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ink/ink1.xml" ContentType="application/inkml+xml"/>
  <Override PartName="/word/ink/ink2.xml" ContentType="application/inkml+xml"/>
  <Override PartName="/word/header4.xml" ContentType="application/vnd.openxmlformats-officedocument.wordprocessingml.header+xml"/>
  <Override PartName="/word/header5.xml" ContentType="application/vnd.openxmlformats-officedocument.wordprocessingml.header+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ink/ink9.xml" ContentType="application/inkml+xml"/>
  <Override PartName="/word/ink/ink10.xml" ContentType="application/inkml+xml"/>
  <Override PartName="/word/ink/ink11.xml" ContentType="application/inkml+xml"/>
  <Override PartName="/word/header15.xml" ContentType="application/vnd.openxmlformats-officedocument.wordprocessingml.header+xml"/>
  <Override PartName="/word/footer4.xml" ContentType="application/vnd.openxmlformats-officedocument.wordprocessingml.footer+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footer6.xml" ContentType="application/vnd.openxmlformats-officedocument.wordprocessingml.footer+xml"/>
  <Override PartName="/word/header1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6A9D877A" w14:textId="77777777" w:rsidR="00CF07B9" w:rsidRDefault="00CF07B9" w:rsidP="00CF07B9">
      <w:pPr>
        <w:pStyle w:val="BodyText"/>
        <w:rPr>
          <w:rFonts w:ascii="Times New Roman"/>
          <w:sz w:val="20"/>
        </w:rPr>
      </w:pPr>
      <w:bookmarkStart w:id="0" w:name="_Hlk70495588"/>
      <w:bookmarkStart w:id="1" w:name="_Hlk70505316"/>
    </w:p>
    <w:p w14:paraId="3863480F" w14:textId="77777777" w:rsidR="00CF07B9" w:rsidRDefault="00CF07B9" w:rsidP="00CF07B9">
      <w:pPr>
        <w:pStyle w:val="BodyText"/>
        <w:spacing w:before="184"/>
        <w:rPr>
          <w:rFonts w:ascii="Times New Roman"/>
          <w:sz w:val="20"/>
        </w:rPr>
      </w:pPr>
    </w:p>
    <w:p w14:paraId="53D04123" w14:textId="77777777" w:rsidR="00CF07B9" w:rsidRDefault="00CF07B9" w:rsidP="00CF07B9">
      <w:pPr>
        <w:ind w:left="4100"/>
        <w:rPr>
          <w:rFonts w:ascii="Times New Roman"/>
          <w:sz w:val="20"/>
        </w:rPr>
      </w:pPr>
      <w:r>
        <w:rPr>
          <w:rFonts w:ascii="Times New Roman"/>
          <w:noProof/>
          <w:sz w:val="20"/>
        </w:rPr>
        <w:drawing>
          <wp:inline distT="0" distB="0" distL="0" distR="0" wp14:anchorId="30B02A9A" wp14:editId="715F23F1">
            <wp:extent cx="1085087" cy="438912"/>
            <wp:effectExtent l="0" t="0" r="0" b="0"/>
            <wp:docPr id="1671581730" name="Image 1" descr="Ashfield District Council log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shfield District Council logo "/>
                    <pic:cNvPicPr/>
                  </pic:nvPicPr>
                  <pic:blipFill>
                    <a:blip r:embed="rId11" cstate="print"/>
                    <a:stretch>
                      <a:fillRect/>
                    </a:stretch>
                  </pic:blipFill>
                  <pic:spPr>
                    <a:xfrm>
                      <a:off x="0" y="0"/>
                      <a:ext cx="1085087" cy="438912"/>
                    </a:xfrm>
                    <a:prstGeom prst="rect">
                      <a:avLst/>
                    </a:prstGeom>
                  </pic:spPr>
                </pic:pic>
              </a:graphicData>
            </a:graphic>
          </wp:inline>
        </w:drawing>
      </w:r>
    </w:p>
    <w:p w14:paraId="775FC5CF" w14:textId="77777777" w:rsidR="00CF07B9" w:rsidRDefault="00CF07B9" w:rsidP="00CF07B9">
      <w:pPr>
        <w:pStyle w:val="BodyText"/>
        <w:spacing w:before="79"/>
        <w:rPr>
          <w:rFonts w:ascii="Times New Roman"/>
          <w:sz w:val="28"/>
        </w:rPr>
      </w:pPr>
    </w:p>
    <w:p w14:paraId="30349E32" w14:textId="77777777" w:rsidR="00CF07B9" w:rsidRDefault="00CF07B9" w:rsidP="00CF07B9">
      <w:pPr>
        <w:pStyle w:val="Disclaimerheadertext"/>
      </w:pPr>
      <w:r>
        <w:t>DISCLAIMER</w:t>
      </w:r>
    </w:p>
    <w:p w14:paraId="089F9340" w14:textId="77777777" w:rsidR="00CF07B9" w:rsidRDefault="00CF07B9" w:rsidP="00CF07B9">
      <w:pPr>
        <w:pStyle w:val="BodyText"/>
        <w:spacing w:before="202"/>
        <w:rPr>
          <w:b/>
          <w:sz w:val="28"/>
        </w:rPr>
      </w:pPr>
    </w:p>
    <w:p w14:paraId="6CE0A2BD" w14:textId="77777777" w:rsidR="00CF07B9" w:rsidRDefault="00CF07B9" w:rsidP="00B00CE2">
      <w:pPr>
        <w:pStyle w:val="BodyText"/>
        <w:ind w:left="85"/>
        <w:jc w:val="left"/>
        <w:rPr>
          <w:spacing w:val="-2"/>
        </w:rPr>
      </w:pPr>
      <w:r>
        <w:t>This</w:t>
      </w:r>
      <w:r>
        <w:rPr>
          <w:spacing w:val="-4"/>
        </w:rPr>
        <w:t xml:space="preserve"> </w:t>
      </w:r>
      <w:r>
        <w:t>document</w:t>
      </w:r>
      <w:r>
        <w:rPr>
          <w:spacing w:val="-4"/>
        </w:rPr>
        <w:t xml:space="preserve"> </w:t>
      </w:r>
      <w:r>
        <w:t>or</w:t>
      </w:r>
      <w:r>
        <w:rPr>
          <w:spacing w:val="-1"/>
        </w:rPr>
        <w:t xml:space="preserve"> </w:t>
      </w:r>
      <w:r>
        <w:t>some</w:t>
      </w:r>
      <w:r>
        <w:rPr>
          <w:spacing w:val="-1"/>
        </w:rPr>
        <w:t xml:space="preserve"> </w:t>
      </w:r>
      <w:r>
        <w:t>parts</w:t>
      </w:r>
      <w:r>
        <w:rPr>
          <w:spacing w:val="-4"/>
        </w:rPr>
        <w:t xml:space="preserve"> </w:t>
      </w:r>
      <w:r>
        <w:t>of</w:t>
      </w:r>
      <w:r>
        <w:rPr>
          <w:spacing w:val="1"/>
        </w:rPr>
        <w:t xml:space="preserve"> </w:t>
      </w:r>
      <w:r>
        <w:t>it</w:t>
      </w:r>
      <w:r>
        <w:rPr>
          <w:spacing w:val="-4"/>
        </w:rPr>
        <w:t xml:space="preserve"> </w:t>
      </w:r>
      <w:r>
        <w:t>may</w:t>
      </w:r>
      <w:r>
        <w:rPr>
          <w:spacing w:val="-1"/>
        </w:rPr>
        <w:t xml:space="preserve"> </w:t>
      </w:r>
      <w:r>
        <w:t>not</w:t>
      </w:r>
      <w:r>
        <w:rPr>
          <w:spacing w:val="1"/>
        </w:rPr>
        <w:t xml:space="preserve"> </w:t>
      </w:r>
      <w:r>
        <w:t>be</w:t>
      </w:r>
      <w:r>
        <w:rPr>
          <w:spacing w:val="-4"/>
        </w:rPr>
        <w:t xml:space="preserve"> </w:t>
      </w:r>
      <w:r>
        <w:t>accessible</w:t>
      </w:r>
      <w:r>
        <w:rPr>
          <w:spacing w:val="-1"/>
        </w:rPr>
        <w:t xml:space="preserve"> </w:t>
      </w:r>
      <w:r>
        <w:t>when</w:t>
      </w:r>
      <w:r>
        <w:rPr>
          <w:spacing w:val="-4"/>
        </w:rPr>
        <w:t xml:space="preserve"> </w:t>
      </w:r>
      <w:r>
        <w:t>using</w:t>
      </w:r>
      <w:r>
        <w:rPr>
          <w:spacing w:val="-2"/>
        </w:rPr>
        <w:t xml:space="preserve"> </w:t>
      </w:r>
      <w:r>
        <w:t>adaptive</w:t>
      </w:r>
      <w:r>
        <w:rPr>
          <w:spacing w:val="-3"/>
        </w:rPr>
        <w:t xml:space="preserve"> </w:t>
      </w:r>
      <w:r>
        <w:rPr>
          <w:spacing w:val="-2"/>
        </w:rPr>
        <w:t>technology.</w:t>
      </w:r>
    </w:p>
    <w:p w14:paraId="3C7649C5" w14:textId="11EF4900" w:rsidR="00B00CE2" w:rsidRDefault="00B00CE2" w:rsidP="00B00CE2">
      <w:pPr>
        <w:pStyle w:val="BodyText"/>
        <w:ind w:left="85"/>
        <w:jc w:val="left"/>
      </w:pPr>
      <w:r>
        <w:rPr>
          <w:spacing w:val="-2"/>
        </w:rPr>
        <w:t>Some changes</w:t>
      </w:r>
      <w:r w:rsidR="00A438BB">
        <w:rPr>
          <w:spacing w:val="-2"/>
        </w:rPr>
        <w:t xml:space="preserve"> to the document (additions and removals)</w:t>
      </w:r>
      <w:r>
        <w:rPr>
          <w:spacing w:val="-2"/>
        </w:rPr>
        <w:t xml:space="preserve"> are only reflected using formatting such as different coloured text or strikethrough text.</w:t>
      </w:r>
    </w:p>
    <w:p w14:paraId="221F1B6D" w14:textId="77777777" w:rsidR="00CF07B9" w:rsidRDefault="00CF07B9" w:rsidP="00B00CE2">
      <w:pPr>
        <w:pStyle w:val="BodyText"/>
        <w:spacing w:before="12"/>
        <w:jc w:val="left"/>
      </w:pPr>
    </w:p>
    <w:p w14:paraId="1E6BDAFF" w14:textId="71609A51" w:rsidR="00CF07B9" w:rsidRDefault="00CF07B9" w:rsidP="00B00CE2">
      <w:pPr>
        <w:pStyle w:val="BodyText"/>
        <w:spacing w:line="276" w:lineRule="auto"/>
        <w:ind w:left="84"/>
        <w:jc w:val="left"/>
      </w:pPr>
      <w:r>
        <w:t>If</w:t>
      </w:r>
      <w:r>
        <w:rPr>
          <w:spacing w:val="-3"/>
        </w:rPr>
        <w:t xml:space="preserve"> </w:t>
      </w:r>
      <w:r>
        <w:t>you</w:t>
      </w:r>
      <w:r>
        <w:rPr>
          <w:spacing w:val="-4"/>
        </w:rPr>
        <w:t xml:space="preserve"> </w:t>
      </w:r>
      <w:r>
        <w:t>require</w:t>
      </w:r>
      <w:r>
        <w:rPr>
          <w:spacing w:val="-4"/>
        </w:rPr>
        <w:t xml:space="preserve"> </w:t>
      </w:r>
      <w:r>
        <w:t>assistance</w:t>
      </w:r>
      <w:r>
        <w:rPr>
          <w:spacing w:val="-3"/>
        </w:rPr>
        <w:t xml:space="preserve"> </w:t>
      </w:r>
      <w:r>
        <w:t>with accessing</w:t>
      </w:r>
      <w:r>
        <w:rPr>
          <w:spacing w:val="-3"/>
        </w:rPr>
        <w:t xml:space="preserve"> </w:t>
      </w:r>
      <w:r>
        <w:t>the</w:t>
      </w:r>
      <w:r>
        <w:rPr>
          <w:spacing w:val="-4"/>
        </w:rPr>
        <w:t xml:space="preserve"> </w:t>
      </w:r>
      <w:r>
        <w:t>content</w:t>
      </w:r>
      <w:r>
        <w:rPr>
          <w:spacing w:val="-4"/>
        </w:rPr>
        <w:t xml:space="preserve"> </w:t>
      </w:r>
      <w:r>
        <w:t>of the</w:t>
      </w:r>
      <w:r>
        <w:rPr>
          <w:spacing w:val="-3"/>
        </w:rPr>
        <w:t xml:space="preserve"> </w:t>
      </w:r>
      <w:r>
        <w:t>document,</w:t>
      </w:r>
      <w:r w:rsidR="00B00CE2">
        <w:t xml:space="preserve"> or finding out what has changed,</w:t>
      </w:r>
      <w:r>
        <w:t xml:space="preserve"> please</w:t>
      </w:r>
      <w:r>
        <w:rPr>
          <w:spacing w:val="-4"/>
        </w:rPr>
        <w:t xml:space="preserve"> </w:t>
      </w:r>
      <w:r>
        <w:t>contact</w:t>
      </w:r>
      <w:r>
        <w:rPr>
          <w:spacing w:val="-4"/>
        </w:rPr>
        <w:t xml:space="preserve"> </w:t>
      </w:r>
      <w:r>
        <w:t>us</w:t>
      </w:r>
      <w:r>
        <w:rPr>
          <w:spacing w:val="-2"/>
        </w:rPr>
        <w:t xml:space="preserve"> </w:t>
      </w:r>
      <w:r>
        <w:rPr>
          <w:color w:val="090909"/>
        </w:rPr>
        <w:t>and quote the document name and the web page you found it on:</w:t>
      </w:r>
    </w:p>
    <w:p w14:paraId="2ABD3D88" w14:textId="77777777" w:rsidR="00CF07B9" w:rsidRDefault="00CF07B9" w:rsidP="00CF07B9">
      <w:pPr>
        <w:pStyle w:val="Disclaimerlist"/>
      </w:pPr>
      <w:r>
        <w:t>email:</w:t>
      </w:r>
      <w:r>
        <w:rPr>
          <w:spacing w:val="-4"/>
        </w:rPr>
        <w:t xml:space="preserve"> </w:t>
      </w:r>
      <w:r>
        <w:t>Forward</w:t>
      </w:r>
      <w:r>
        <w:rPr>
          <w:spacing w:val="-4"/>
        </w:rPr>
        <w:t xml:space="preserve"> </w:t>
      </w:r>
      <w:r>
        <w:t>planning –</w:t>
      </w:r>
      <w:r>
        <w:rPr>
          <w:spacing w:val="-4"/>
        </w:rPr>
        <w:t xml:space="preserve"> </w:t>
      </w:r>
      <w:hyperlink r:id="rId12">
        <w:r>
          <w:rPr>
            <w:color w:val="0000FF"/>
            <w:u w:val="single" w:color="0000FF"/>
          </w:rPr>
          <w:t>localplan@ashfield.gov.uk</w:t>
        </w:r>
      </w:hyperlink>
    </w:p>
    <w:p w14:paraId="2B6083E1" w14:textId="77777777" w:rsidR="00CF07B9" w:rsidRDefault="00CF07B9" w:rsidP="00CF07B9">
      <w:pPr>
        <w:pStyle w:val="Disclaimerlist"/>
      </w:pPr>
      <w:r>
        <w:t>telephone:</w:t>
      </w:r>
      <w:r>
        <w:rPr>
          <w:spacing w:val="-5"/>
        </w:rPr>
        <w:t xml:space="preserve"> </w:t>
      </w:r>
      <w:r>
        <w:t>01623</w:t>
      </w:r>
      <w:r>
        <w:rPr>
          <w:spacing w:val="-4"/>
        </w:rPr>
        <w:t xml:space="preserve"> </w:t>
      </w:r>
      <w:r>
        <w:t>457381</w:t>
      </w:r>
    </w:p>
    <w:p w14:paraId="787C55EA" w14:textId="77777777" w:rsidR="00CF07B9" w:rsidRDefault="00CF07B9" w:rsidP="0092346E">
      <w:pPr>
        <w:pStyle w:val="Heading6"/>
        <w:suppressAutoHyphens w:val="0"/>
        <w:spacing w:line="240" w:lineRule="auto"/>
        <w:jc w:val="center"/>
        <w:rPr>
          <w:rFonts w:cs="Arial"/>
        </w:rPr>
        <w:sectPr w:rsidR="00CF07B9" w:rsidSect="00196772">
          <w:headerReference w:type="default" r:id="rId13"/>
          <w:footerReference w:type="default" r:id="rId14"/>
          <w:pgSz w:w="11906" w:h="16838" w:code="9"/>
          <w:pgMar w:top="1258" w:right="1133" w:bottom="1079" w:left="1134" w:header="709" w:footer="709" w:gutter="0"/>
          <w:pgNumType w:start="1"/>
          <w:cols w:space="708"/>
          <w:docGrid w:linePitch="360"/>
        </w:sectPr>
      </w:pPr>
    </w:p>
    <w:p w14:paraId="7BAD63E4" w14:textId="5FCAB063" w:rsidR="00C30837" w:rsidRDefault="00C30837" w:rsidP="0092346E">
      <w:pPr>
        <w:pStyle w:val="Heading6"/>
        <w:suppressAutoHyphens w:val="0"/>
        <w:spacing w:line="240" w:lineRule="auto"/>
        <w:jc w:val="center"/>
        <w:rPr>
          <w:rFonts w:cs="Arial"/>
        </w:rPr>
      </w:pPr>
    </w:p>
    <w:p w14:paraId="2C4F1E75" w14:textId="77777777" w:rsidR="006D5A5A" w:rsidRPr="006D5A5A" w:rsidRDefault="006D5A5A" w:rsidP="006D5A5A"/>
    <w:p w14:paraId="45DE143E" w14:textId="1CC9DBE9" w:rsidR="009158F7" w:rsidRPr="003C7E62" w:rsidRDefault="00725CDC" w:rsidP="00725CDC">
      <w:pPr>
        <w:jc w:val="center"/>
        <w:rPr>
          <w:rFonts w:cs="Arial"/>
        </w:rPr>
      </w:pPr>
      <w:r w:rsidRPr="003C7E62">
        <w:rPr>
          <w:rFonts w:cs="Arial"/>
          <w:noProof/>
        </w:rPr>
        <w:drawing>
          <wp:inline distT="0" distB="0" distL="0" distR="0" wp14:anchorId="7520E861" wp14:editId="01C35AE4">
            <wp:extent cx="2291052" cy="946800"/>
            <wp:effectExtent l="0" t="0" r="0" b="5715"/>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1052" cy="946800"/>
                    </a:xfrm>
                    <a:prstGeom prst="rect">
                      <a:avLst/>
                    </a:prstGeom>
                    <a:noFill/>
                    <a:ln>
                      <a:noFill/>
                    </a:ln>
                  </pic:spPr>
                </pic:pic>
              </a:graphicData>
            </a:graphic>
          </wp:inline>
        </w:drawing>
      </w:r>
    </w:p>
    <w:p w14:paraId="4F16935A" w14:textId="77777777" w:rsidR="00EE515D" w:rsidRPr="003C7E62" w:rsidRDefault="00EE515D" w:rsidP="0092346E">
      <w:pPr>
        <w:pStyle w:val="Heading6"/>
        <w:suppressAutoHyphens w:val="0"/>
        <w:spacing w:line="240" w:lineRule="auto"/>
        <w:jc w:val="center"/>
        <w:rPr>
          <w:rFonts w:cs="Arial"/>
          <w:sz w:val="44"/>
          <w:szCs w:val="44"/>
        </w:rPr>
      </w:pPr>
    </w:p>
    <w:p w14:paraId="422F5936" w14:textId="2D7E46AF" w:rsidR="00350E58" w:rsidRDefault="00350E58" w:rsidP="007620D3">
      <w:pPr>
        <w:jc w:val="center"/>
        <w:rPr>
          <w:b/>
          <w:bCs/>
          <w:sz w:val="40"/>
          <w:szCs w:val="40"/>
        </w:rPr>
      </w:pPr>
    </w:p>
    <w:p w14:paraId="606A67C9" w14:textId="046192DC" w:rsidR="00350E58" w:rsidRPr="00350E58" w:rsidRDefault="00350E58" w:rsidP="00350E58">
      <w:pPr>
        <w:rPr>
          <w:lang w:eastAsia="en-US"/>
        </w:rPr>
      </w:pPr>
    </w:p>
    <w:bookmarkEnd w:id="0"/>
    <w:bookmarkEnd w:id="1"/>
    <w:p w14:paraId="27985B64" w14:textId="77777777" w:rsidR="0058621D" w:rsidRPr="003943F3" w:rsidRDefault="0058621D" w:rsidP="007620D3">
      <w:pPr>
        <w:pStyle w:val="Style10"/>
        <w:rPr>
          <w:color w:val="000000" w:themeColor="text1"/>
        </w:rPr>
      </w:pPr>
      <w:r w:rsidRPr="003943F3">
        <w:rPr>
          <w:color w:val="000000" w:themeColor="text1"/>
        </w:rPr>
        <w:t>Ashfield Local Plan 2023 to 2040:</w:t>
      </w:r>
    </w:p>
    <w:p w14:paraId="3D52372C" w14:textId="77777777" w:rsidR="0053773A" w:rsidRDefault="0058621D" w:rsidP="0058621D">
      <w:pPr>
        <w:jc w:val="center"/>
        <w:rPr>
          <w:rFonts w:cs="Arial"/>
          <w:b/>
          <w:bCs/>
          <w:sz w:val="40"/>
          <w:szCs w:val="40"/>
        </w:rPr>
      </w:pPr>
      <w:r w:rsidRPr="003943F3">
        <w:rPr>
          <w:rFonts w:cs="Arial"/>
          <w:b/>
          <w:bCs/>
          <w:sz w:val="40"/>
          <w:szCs w:val="40"/>
        </w:rPr>
        <w:t>Regulation 19 Pre-Submission Draft</w:t>
      </w:r>
      <w:r w:rsidR="00F90229">
        <w:rPr>
          <w:rFonts w:cs="Arial"/>
          <w:b/>
          <w:bCs/>
          <w:sz w:val="40"/>
          <w:szCs w:val="40"/>
        </w:rPr>
        <w:t xml:space="preserve"> with</w:t>
      </w:r>
    </w:p>
    <w:p w14:paraId="25C574AA" w14:textId="78750BCA" w:rsidR="00555B70" w:rsidRPr="003943F3" w:rsidRDefault="00F90229" w:rsidP="0058621D">
      <w:pPr>
        <w:jc w:val="center"/>
        <w:rPr>
          <w:rFonts w:cs="Arial"/>
          <w:b/>
          <w:bCs/>
          <w:sz w:val="40"/>
          <w:szCs w:val="40"/>
        </w:rPr>
      </w:pPr>
      <w:r>
        <w:rPr>
          <w:rFonts w:cs="Arial"/>
          <w:b/>
          <w:bCs/>
          <w:sz w:val="40"/>
          <w:szCs w:val="40"/>
        </w:rPr>
        <w:t>Main Modifications</w:t>
      </w:r>
    </w:p>
    <w:p w14:paraId="12858A11" w14:textId="77777777" w:rsidR="0058621D" w:rsidRPr="003943F3" w:rsidRDefault="0058621D" w:rsidP="0058621D">
      <w:pPr>
        <w:jc w:val="center"/>
        <w:rPr>
          <w:rFonts w:cs="Arial"/>
          <w:b/>
          <w:bCs/>
          <w:sz w:val="40"/>
          <w:szCs w:val="40"/>
        </w:rPr>
      </w:pPr>
    </w:p>
    <w:p w14:paraId="36954F2C" w14:textId="77777777" w:rsidR="00A506C9" w:rsidRDefault="00A506C9" w:rsidP="0058621D">
      <w:pPr>
        <w:jc w:val="center"/>
        <w:rPr>
          <w:rFonts w:cs="Arial"/>
          <w:b/>
          <w:bCs/>
          <w:color w:val="FF0000"/>
          <w:sz w:val="40"/>
          <w:szCs w:val="40"/>
        </w:rPr>
      </w:pPr>
    </w:p>
    <w:p w14:paraId="327D93AC" w14:textId="77777777" w:rsidR="00A24CCD" w:rsidRDefault="00A24CCD" w:rsidP="00A506C9">
      <w:pPr>
        <w:jc w:val="center"/>
        <w:rPr>
          <w:rFonts w:cs="Arial"/>
          <w:b/>
          <w:bCs/>
          <w:color w:val="auto"/>
          <w:sz w:val="48"/>
          <w:szCs w:val="48"/>
        </w:rPr>
      </w:pPr>
    </w:p>
    <w:p w14:paraId="4F66287D" w14:textId="77777777" w:rsidR="00C8201D" w:rsidRDefault="00A506C9" w:rsidP="00C8201D">
      <w:pPr>
        <w:jc w:val="center"/>
        <w:rPr>
          <w:rFonts w:cs="Arial"/>
          <w:b/>
          <w:bCs/>
          <w:color w:val="0070C0"/>
          <w:sz w:val="48"/>
          <w:szCs w:val="48"/>
        </w:rPr>
      </w:pPr>
      <w:r w:rsidRPr="00A24CCD">
        <w:rPr>
          <w:rFonts w:cs="Arial"/>
          <w:b/>
          <w:bCs/>
          <w:color w:val="0070C0"/>
          <w:sz w:val="48"/>
          <w:szCs w:val="48"/>
        </w:rPr>
        <w:t>Main Modification</w:t>
      </w:r>
      <w:r w:rsidR="00C8201D">
        <w:rPr>
          <w:rFonts w:cs="Arial"/>
          <w:b/>
          <w:bCs/>
          <w:color w:val="0070C0"/>
          <w:sz w:val="48"/>
          <w:szCs w:val="48"/>
        </w:rPr>
        <w:t>s</w:t>
      </w:r>
      <w:r w:rsidRPr="00A24CCD">
        <w:rPr>
          <w:rFonts w:cs="Arial"/>
          <w:b/>
          <w:bCs/>
          <w:color w:val="0070C0"/>
          <w:sz w:val="48"/>
          <w:szCs w:val="48"/>
        </w:rPr>
        <w:t xml:space="preserve"> Consultation</w:t>
      </w:r>
    </w:p>
    <w:p w14:paraId="39A984D9" w14:textId="4471736E" w:rsidR="00B37F23" w:rsidRPr="00C8201D" w:rsidRDefault="0053773A" w:rsidP="00C8201D">
      <w:pPr>
        <w:jc w:val="center"/>
        <w:rPr>
          <w:rFonts w:cs="Arial"/>
          <w:b/>
          <w:bCs/>
          <w:color w:val="0070C0"/>
          <w:sz w:val="40"/>
          <w:szCs w:val="40"/>
        </w:rPr>
      </w:pPr>
      <w:r w:rsidRPr="00C8201D">
        <w:rPr>
          <w:rFonts w:cs="Arial"/>
          <w:b/>
          <w:bCs/>
          <w:color w:val="0070C0"/>
          <w:sz w:val="40"/>
          <w:szCs w:val="40"/>
        </w:rPr>
        <w:t>17</w:t>
      </w:r>
      <w:r w:rsidRPr="00C8201D">
        <w:rPr>
          <w:rFonts w:cs="Arial"/>
          <w:b/>
          <w:bCs/>
          <w:color w:val="0070C0"/>
          <w:sz w:val="40"/>
          <w:szCs w:val="40"/>
          <w:vertAlign w:val="superscript"/>
        </w:rPr>
        <w:t>th</w:t>
      </w:r>
      <w:r w:rsidRPr="00C8201D">
        <w:rPr>
          <w:rFonts w:cs="Arial"/>
          <w:b/>
          <w:bCs/>
          <w:color w:val="0070C0"/>
          <w:sz w:val="40"/>
          <w:szCs w:val="40"/>
        </w:rPr>
        <w:t xml:space="preserve"> </w:t>
      </w:r>
      <w:r w:rsidR="00B37F23" w:rsidRPr="00C8201D">
        <w:rPr>
          <w:rFonts w:cs="Arial"/>
          <w:b/>
          <w:bCs/>
          <w:color w:val="0070C0"/>
          <w:sz w:val="40"/>
          <w:szCs w:val="40"/>
        </w:rPr>
        <w:t>June</w:t>
      </w:r>
      <w:r w:rsidR="00A24CCD" w:rsidRPr="00C8201D">
        <w:rPr>
          <w:rFonts w:cs="Arial"/>
          <w:b/>
          <w:bCs/>
          <w:color w:val="0070C0"/>
          <w:sz w:val="40"/>
          <w:szCs w:val="40"/>
        </w:rPr>
        <w:t xml:space="preserve"> until 5pm 30</w:t>
      </w:r>
      <w:r w:rsidR="00A24CCD" w:rsidRPr="00C8201D">
        <w:rPr>
          <w:rFonts w:cs="Arial"/>
          <w:b/>
          <w:bCs/>
          <w:color w:val="0070C0"/>
          <w:sz w:val="40"/>
          <w:szCs w:val="40"/>
          <w:vertAlign w:val="superscript"/>
        </w:rPr>
        <w:t>th</w:t>
      </w:r>
      <w:r w:rsidR="00A24CCD" w:rsidRPr="00C8201D">
        <w:rPr>
          <w:rFonts w:cs="Arial"/>
          <w:b/>
          <w:bCs/>
          <w:color w:val="0070C0"/>
          <w:sz w:val="40"/>
          <w:szCs w:val="40"/>
        </w:rPr>
        <w:t xml:space="preserve"> July</w:t>
      </w:r>
      <w:r w:rsidR="00B37F23" w:rsidRPr="00C8201D">
        <w:rPr>
          <w:rFonts w:cs="Arial"/>
          <w:b/>
          <w:bCs/>
          <w:color w:val="0070C0"/>
          <w:sz w:val="40"/>
          <w:szCs w:val="40"/>
        </w:rPr>
        <w:t xml:space="preserve"> 2026</w:t>
      </w:r>
    </w:p>
    <w:p w14:paraId="1C1A4514" w14:textId="77777777" w:rsidR="00D652B5" w:rsidRDefault="00D652B5" w:rsidP="0058621D">
      <w:pPr>
        <w:jc w:val="center"/>
        <w:rPr>
          <w:rFonts w:cs="Arial"/>
          <w:b/>
          <w:bCs/>
          <w:color w:val="FF0000"/>
          <w:sz w:val="40"/>
          <w:szCs w:val="40"/>
        </w:rPr>
      </w:pPr>
    </w:p>
    <w:p w14:paraId="3E17E753" w14:textId="77777777" w:rsidR="001968F2" w:rsidRDefault="001968F2" w:rsidP="00A5385A">
      <w:pPr>
        <w:ind w:left="284" w:right="-359"/>
      </w:pPr>
      <w:bookmarkStart w:id="2" w:name="_Toc141963262"/>
      <w:bookmarkStart w:id="3" w:name="_Toc145511543"/>
      <w:bookmarkStart w:id="4" w:name="_Hlk79134694"/>
    </w:p>
    <w:p w14:paraId="738D85AF" w14:textId="77777777" w:rsidR="001968F2" w:rsidRDefault="001968F2" w:rsidP="00A5385A">
      <w:pPr>
        <w:ind w:left="284" w:right="-359"/>
      </w:pPr>
    </w:p>
    <w:p w14:paraId="39E1550B" w14:textId="77777777" w:rsidR="001968F2" w:rsidRDefault="001968F2" w:rsidP="00A5385A">
      <w:pPr>
        <w:ind w:left="284" w:right="-359"/>
      </w:pPr>
    </w:p>
    <w:p w14:paraId="4CD87BDB" w14:textId="77777777" w:rsidR="001968F2" w:rsidRDefault="001968F2" w:rsidP="00A5385A">
      <w:pPr>
        <w:ind w:left="284" w:right="-359"/>
      </w:pPr>
    </w:p>
    <w:p w14:paraId="31891975" w14:textId="77777777" w:rsidR="001968F2" w:rsidRDefault="001968F2" w:rsidP="00A5385A">
      <w:pPr>
        <w:ind w:left="284" w:right="-359"/>
      </w:pPr>
    </w:p>
    <w:p w14:paraId="1E50CC31" w14:textId="6F9AFD1C" w:rsidR="00A5385A" w:rsidRDefault="00A5385A" w:rsidP="00A5385A">
      <w:pPr>
        <w:ind w:left="284" w:right="-359"/>
      </w:pPr>
      <w:r>
        <w:t xml:space="preserve">This </w:t>
      </w:r>
      <w:r w:rsidR="002C070D">
        <w:t>is a tracked changed version of</w:t>
      </w:r>
      <w:r w:rsidR="001968F2">
        <w:t xml:space="preserve"> the</w:t>
      </w:r>
      <w:r w:rsidR="002C070D">
        <w:t xml:space="preserve"> Ashfield Local Plan 2023 to 2040: Regulation 19 Pre-Sub</w:t>
      </w:r>
      <w:r w:rsidR="00053AF5">
        <w:t xml:space="preserve">mission Draft showing the Main Modifications </w:t>
      </w:r>
      <w:r>
        <w:t>proposed by the Council</w:t>
      </w:r>
      <w:r w:rsidR="00053AF5">
        <w:t>.</w:t>
      </w:r>
      <w:r>
        <w:t xml:space="preserve"> </w:t>
      </w:r>
    </w:p>
    <w:p w14:paraId="1CB62E66" w14:textId="2C73BB3B" w:rsidR="00A5385A" w:rsidRDefault="00A5385A" w:rsidP="00A5385A">
      <w:pPr>
        <w:ind w:left="284"/>
      </w:pPr>
      <w:r>
        <w:t xml:space="preserve">For clarification: New text is shown </w:t>
      </w:r>
      <w:r w:rsidR="00722A05">
        <w:t xml:space="preserve">in </w:t>
      </w:r>
      <w:r w:rsidR="00722A05" w:rsidRPr="00722A05">
        <w:rPr>
          <w:color w:val="0070C0"/>
        </w:rPr>
        <w:t>blue font.</w:t>
      </w:r>
      <w:r>
        <w:t xml:space="preserve">  Deleted text is shown as </w:t>
      </w:r>
      <w:r w:rsidRPr="00391EFA">
        <w:rPr>
          <w:strike/>
        </w:rPr>
        <w:t>strikethrough</w:t>
      </w:r>
      <w:r>
        <w:t xml:space="preserve">.  Text moved within a </w:t>
      </w:r>
      <w:r w:rsidRPr="00646CAA">
        <w:t>policy</w:t>
      </w:r>
      <w:r w:rsidR="00722A05">
        <w:t xml:space="preserve"> or the supporting text</w:t>
      </w:r>
      <w:r w:rsidRPr="00646CAA">
        <w:t xml:space="preserve"> is shown as </w:t>
      </w:r>
      <w:r w:rsidRPr="00BF2A0C">
        <w:rPr>
          <w:u w:val="single"/>
        </w:rPr>
        <w:t>underlined</w:t>
      </w:r>
      <w:r>
        <w:t xml:space="preserve">. </w:t>
      </w:r>
      <w:r w:rsidR="00E76E07">
        <w:t xml:space="preserve"> Actions are shown in </w:t>
      </w:r>
      <w:r w:rsidR="00E76E07" w:rsidRPr="004640BF">
        <w:rPr>
          <w:i/>
          <w:iCs/>
          <w:color w:val="ED0000"/>
        </w:rPr>
        <w:t>red italic</w:t>
      </w:r>
      <w:r w:rsidR="00E76E07">
        <w:t xml:space="preserve">.  </w:t>
      </w:r>
    </w:p>
    <w:p w14:paraId="518E39C2" w14:textId="77777777" w:rsidR="00100CF9" w:rsidRDefault="00100CF9">
      <w:pPr>
        <w:keepNext w:val="0"/>
        <w:spacing w:before="0"/>
        <w:rPr>
          <w:noProof/>
        </w:rPr>
      </w:pPr>
    </w:p>
    <w:p w14:paraId="41077E83" w14:textId="77777777" w:rsidR="00100CF9" w:rsidRDefault="00100CF9">
      <w:pPr>
        <w:keepNext w:val="0"/>
        <w:spacing w:before="0"/>
        <w:rPr>
          <w:noProof/>
        </w:rPr>
      </w:pPr>
    </w:p>
    <w:p w14:paraId="62CE96B7" w14:textId="77777777" w:rsidR="00100CF9" w:rsidRDefault="00100CF9">
      <w:pPr>
        <w:keepNext w:val="0"/>
        <w:spacing w:before="0"/>
        <w:rPr>
          <w:noProof/>
        </w:rPr>
      </w:pPr>
    </w:p>
    <w:p w14:paraId="1DD2D0BB" w14:textId="6EE292B5" w:rsidR="00A5385A" w:rsidRDefault="00A5385A">
      <w:pPr>
        <w:keepNext w:val="0"/>
        <w:spacing w:before="0"/>
        <w:rPr>
          <w:noProof/>
        </w:rPr>
      </w:pPr>
    </w:p>
    <w:p w14:paraId="3AE3847D" w14:textId="445F79DC" w:rsidR="004024F3" w:rsidRDefault="00100CF9" w:rsidP="00926FB9">
      <w:pPr>
        <w:keepNext w:val="0"/>
        <w:spacing w:before="0"/>
        <w:jc w:val="center"/>
        <w:rPr>
          <w:noProof/>
        </w:rPr>
      </w:pPr>
      <w:r>
        <w:rPr>
          <w:noProof/>
        </w:rPr>
        <w:t>THIS PAGE IS INTENTIONALLY BLANK</w:t>
      </w:r>
    </w:p>
    <w:p w14:paraId="57036B13" w14:textId="77777777" w:rsidR="004024F3" w:rsidRDefault="004024F3" w:rsidP="00926FB9">
      <w:pPr>
        <w:keepNext w:val="0"/>
        <w:spacing w:before="0"/>
        <w:jc w:val="center"/>
        <w:rPr>
          <w:noProof/>
        </w:rPr>
      </w:pPr>
    </w:p>
    <w:p w14:paraId="48B8B6D5" w14:textId="77777777" w:rsidR="004024F3" w:rsidRDefault="004024F3" w:rsidP="00926FB9">
      <w:pPr>
        <w:keepNext w:val="0"/>
        <w:spacing w:before="0"/>
        <w:jc w:val="center"/>
        <w:rPr>
          <w:noProof/>
        </w:rPr>
        <w:sectPr w:rsidR="004024F3" w:rsidSect="00196772">
          <w:pgSz w:w="11906" w:h="16838" w:code="9"/>
          <w:pgMar w:top="1258" w:right="1133" w:bottom="1079" w:left="1134" w:header="709" w:footer="709" w:gutter="0"/>
          <w:pgNumType w:start="1"/>
          <w:cols w:space="708"/>
          <w:docGrid w:linePitch="360"/>
        </w:sectPr>
      </w:pPr>
    </w:p>
    <w:p w14:paraId="57E3078B" w14:textId="4DF203B2" w:rsidR="00BE6D36" w:rsidRPr="00651CCF" w:rsidRDefault="00E605B7" w:rsidP="00CF07B9">
      <w:pPr>
        <w:pStyle w:val="Heading1"/>
      </w:pPr>
      <w:r>
        <w:lastRenderedPageBreak/>
        <w:t>Contents</w:t>
      </w:r>
      <w:bookmarkEnd w:id="2"/>
      <w:bookmarkEnd w:id="3"/>
      <w:r w:rsidR="00165C32" w:rsidRPr="00651CCF">
        <w:fldChar w:fldCharType="begin"/>
      </w:r>
      <w:r w:rsidR="00165C32" w:rsidRPr="00651CCF">
        <w:instrText xml:space="preserve"> TOC \o "1-3" \h \z \u </w:instrText>
      </w:r>
      <w:r w:rsidR="00165C32" w:rsidRPr="00651CCF">
        <w:fldChar w:fldCharType="separate"/>
      </w:r>
    </w:p>
    <w:p w14:paraId="076C953A" w14:textId="24DBD92C" w:rsidR="00BE6D36" w:rsidRPr="00651CCF" w:rsidRDefault="00BE6D36" w:rsidP="005F5AF9">
      <w:pPr>
        <w:pStyle w:val="TOC1"/>
        <w:rPr>
          <w:rFonts w:eastAsiaTheme="minorEastAsia"/>
          <w:color w:val="auto"/>
          <w:kern w:val="2"/>
          <w14:ligatures w14:val="standardContextual"/>
        </w:rPr>
      </w:pPr>
      <w:hyperlink w:anchor="_Toc145511544" w:history="1">
        <w:r w:rsidRPr="00651CCF">
          <w:rPr>
            <w:rStyle w:val="Hyperlink"/>
          </w:rPr>
          <w:t>Foreword - Planning together for all our futures</w:t>
        </w:r>
        <w:r w:rsidRPr="00651CCF">
          <w:rPr>
            <w:webHidden/>
          </w:rPr>
          <w:tab/>
        </w:r>
        <w:r w:rsidRPr="00651CCF">
          <w:rPr>
            <w:webHidden/>
          </w:rPr>
          <w:fldChar w:fldCharType="begin"/>
        </w:r>
        <w:r w:rsidRPr="00651CCF">
          <w:rPr>
            <w:webHidden/>
          </w:rPr>
          <w:instrText xml:space="preserve"> PAGEREF _Toc145511544 \h </w:instrText>
        </w:r>
        <w:r w:rsidRPr="00651CCF">
          <w:rPr>
            <w:webHidden/>
          </w:rPr>
        </w:r>
        <w:r w:rsidRPr="00651CCF">
          <w:rPr>
            <w:webHidden/>
          </w:rPr>
          <w:fldChar w:fldCharType="separate"/>
        </w:r>
        <w:r w:rsidR="00567588" w:rsidRPr="00651CCF">
          <w:rPr>
            <w:webHidden/>
          </w:rPr>
          <w:t>1</w:t>
        </w:r>
        <w:r w:rsidRPr="00651CCF">
          <w:rPr>
            <w:webHidden/>
          </w:rPr>
          <w:fldChar w:fldCharType="end"/>
        </w:r>
      </w:hyperlink>
    </w:p>
    <w:p w14:paraId="6BA5932E" w14:textId="78091E86" w:rsidR="00BE6D36" w:rsidRPr="005F5AF9" w:rsidRDefault="00BE6D36" w:rsidP="005F5AF9">
      <w:pPr>
        <w:pStyle w:val="TOC1"/>
        <w:rPr>
          <w:rFonts w:eastAsiaTheme="minorEastAsia"/>
          <w:color w:val="auto"/>
          <w:kern w:val="2"/>
          <w14:ligatures w14:val="standardContextual"/>
        </w:rPr>
      </w:pPr>
      <w:hyperlink w:anchor="_Toc145511545" w:history="1">
        <w:r w:rsidRPr="005F5AF9">
          <w:rPr>
            <w:rStyle w:val="Hyperlink"/>
            <w:b w:val="0"/>
            <w:bCs w:val="0"/>
          </w:rPr>
          <w:t>Chapter 1</w:t>
        </w:r>
        <w:r w:rsidRPr="005F5AF9">
          <w:rPr>
            <w:webHidden/>
          </w:rPr>
          <w:tab/>
        </w:r>
        <w:r w:rsidRPr="005F5AF9">
          <w:rPr>
            <w:webHidden/>
          </w:rPr>
          <w:fldChar w:fldCharType="begin"/>
        </w:r>
        <w:r w:rsidRPr="005F5AF9">
          <w:rPr>
            <w:webHidden/>
          </w:rPr>
          <w:instrText xml:space="preserve"> PAGEREF _Toc145511545 \h </w:instrText>
        </w:r>
        <w:r w:rsidRPr="005F5AF9">
          <w:rPr>
            <w:webHidden/>
          </w:rPr>
        </w:r>
        <w:r w:rsidRPr="005F5AF9">
          <w:rPr>
            <w:webHidden/>
          </w:rPr>
          <w:fldChar w:fldCharType="separate"/>
        </w:r>
        <w:r w:rsidR="00567588" w:rsidRPr="005F5AF9">
          <w:rPr>
            <w:webHidden/>
          </w:rPr>
          <w:t>2</w:t>
        </w:r>
        <w:r w:rsidRPr="005F5AF9">
          <w:rPr>
            <w:webHidden/>
          </w:rPr>
          <w:fldChar w:fldCharType="end"/>
        </w:r>
      </w:hyperlink>
    </w:p>
    <w:p w14:paraId="4A0C45FE" w14:textId="39F5733C" w:rsidR="00BE6D36" w:rsidRPr="00651CCF" w:rsidRDefault="00BE6D36" w:rsidP="005F5AF9">
      <w:pPr>
        <w:pStyle w:val="TOC1"/>
        <w:rPr>
          <w:rFonts w:eastAsiaTheme="minorEastAsia"/>
          <w:color w:val="auto"/>
          <w:kern w:val="2"/>
          <w14:ligatures w14:val="standardContextual"/>
        </w:rPr>
      </w:pPr>
      <w:hyperlink w:anchor="_Toc145511546" w:history="1">
        <w:r w:rsidRPr="00651CCF">
          <w:rPr>
            <w:rStyle w:val="Hyperlink"/>
          </w:rPr>
          <w:t>Where are we now?</w:t>
        </w:r>
        <w:r w:rsidRPr="00651CCF">
          <w:rPr>
            <w:webHidden/>
          </w:rPr>
          <w:tab/>
        </w:r>
        <w:r w:rsidRPr="00651CCF">
          <w:rPr>
            <w:webHidden/>
          </w:rPr>
          <w:fldChar w:fldCharType="begin"/>
        </w:r>
        <w:r w:rsidRPr="00651CCF">
          <w:rPr>
            <w:webHidden/>
          </w:rPr>
          <w:instrText xml:space="preserve"> PAGEREF _Toc145511546 \h </w:instrText>
        </w:r>
        <w:r w:rsidRPr="00651CCF">
          <w:rPr>
            <w:webHidden/>
          </w:rPr>
        </w:r>
        <w:r w:rsidRPr="00651CCF">
          <w:rPr>
            <w:webHidden/>
          </w:rPr>
          <w:fldChar w:fldCharType="separate"/>
        </w:r>
        <w:r w:rsidR="00567588" w:rsidRPr="00651CCF">
          <w:rPr>
            <w:webHidden/>
          </w:rPr>
          <w:t>2</w:t>
        </w:r>
        <w:r w:rsidRPr="00651CCF">
          <w:rPr>
            <w:webHidden/>
          </w:rPr>
          <w:fldChar w:fldCharType="end"/>
        </w:r>
      </w:hyperlink>
    </w:p>
    <w:p w14:paraId="53E60BE5" w14:textId="31AE66A4"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47" w:history="1">
        <w:r w:rsidRPr="00651CCF">
          <w:rPr>
            <w:rStyle w:val="Hyperlink"/>
            <w:rFonts w:asciiTheme="majorHAnsi" w:hAnsiTheme="majorHAnsi" w:cstheme="majorHAnsi"/>
            <w:b/>
            <w:bCs/>
            <w:noProof/>
            <w:sz w:val="24"/>
            <w:szCs w:val="24"/>
          </w:rPr>
          <w:t>Plan Purpose and Background</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_Toc145511547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w:t>
        </w:r>
        <w:r w:rsidRPr="00651CCF">
          <w:rPr>
            <w:rFonts w:asciiTheme="majorHAnsi" w:hAnsiTheme="majorHAnsi" w:cstheme="majorHAnsi"/>
            <w:b/>
            <w:bCs/>
            <w:noProof/>
            <w:webHidden/>
            <w:sz w:val="24"/>
            <w:szCs w:val="24"/>
          </w:rPr>
          <w:fldChar w:fldCharType="end"/>
        </w:r>
      </w:hyperlink>
    </w:p>
    <w:p w14:paraId="3B633C3D" w14:textId="6344E7DC"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48" w:history="1">
        <w:r w:rsidRPr="00651CCF">
          <w:rPr>
            <w:rStyle w:val="Hyperlink"/>
            <w:rFonts w:asciiTheme="majorHAnsi" w:hAnsiTheme="majorHAnsi" w:cstheme="majorHAnsi"/>
            <w:b/>
            <w:bCs/>
            <w:noProof/>
            <w:sz w:val="24"/>
            <w:szCs w:val="24"/>
          </w:rPr>
          <w:t>Our District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_Toc145511548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7</w:t>
        </w:r>
        <w:r w:rsidRPr="00651CCF">
          <w:rPr>
            <w:rFonts w:asciiTheme="majorHAnsi" w:hAnsiTheme="majorHAnsi" w:cstheme="majorHAnsi"/>
            <w:b/>
            <w:bCs/>
            <w:noProof/>
            <w:webHidden/>
            <w:sz w:val="24"/>
            <w:szCs w:val="24"/>
          </w:rPr>
          <w:fldChar w:fldCharType="end"/>
        </w:r>
      </w:hyperlink>
    </w:p>
    <w:p w14:paraId="690AC726" w14:textId="73E04F53" w:rsidR="00BE6D36" w:rsidRPr="00651CCF" w:rsidRDefault="00BE6D36" w:rsidP="005F5AF9">
      <w:pPr>
        <w:pStyle w:val="TOC1"/>
        <w:rPr>
          <w:rFonts w:eastAsiaTheme="minorEastAsia"/>
          <w:color w:val="auto"/>
          <w:kern w:val="2"/>
          <w14:ligatures w14:val="standardContextual"/>
        </w:rPr>
      </w:pPr>
      <w:hyperlink w:anchor="_Toc145511549" w:history="1">
        <w:r w:rsidRPr="00651CCF">
          <w:rPr>
            <w:rStyle w:val="Hyperlink"/>
          </w:rPr>
          <w:t>Chapter 2</w:t>
        </w:r>
        <w:r w:rsidRPr="00651CCF">
          <w:rPr>
            <w:webHidden/>
          </w:rPr>
          <w:tab/>
        </w:r>
        <w:r w:rsidRPr="00651CCF">
          <w:rPr>
            <w:webHidden/>
          </w:rPr>
          <w:fldChar w:fldCharType="begin"/>
        </w:r>
        <w:r w:rsidRPr="00651CCF">
          <w:rPr>
            <w:webHidden/>
          </w:rPr>
          <w:instrText xml:space="preserve"> PAGEREF _Toc145511549 \h </w:instrText>
        </w:r>
        <w:r w:rsidRPr="00651CCF">
          <w:rPr>
            <w:webHidden/>
          </w:rPr>
        </w:r>
        <w:r w:rsidRPr="00651CCF">
          <w:rPr>
            <w:webHidden/>
          </w:rPr>
          <w:fldChar w:fldCharType="separate"/>
        </w:r>
        <w:r w:rsidR="00567588" w:rsidRPr="00651CCF">
          <w:rPr>
            <w:webHidden/>
          </w:rPr>
          <w:t>27</w:t>
        </w:r>
        <w:r w:rsidRPr="00651CCF">
          <w:rPr>
            <w:webHidden/>
          </w:rPr>
          <w:fldChar w:fldCharType="end"/>
        </w:r>
      </w:hyperlink>
    </w:p>
    <w:p w14:paraId="5D86F896" w14:textId="3D3030D9" w:rsidR="00BE6D36" w:rsidRPr="00651CCF" w:rsidRDefault="00BE6D36" w:rsidP="005F5AF9">
      <w:pPr>
        <w:pStyle w:val="TOC1"/>
        <w:rPr>
          <w:rFonts w:eastAsiaTheme="minorEastAsia"/>
          <w:color w:val="auto"/>
          <w:kern w:val="2"/>
          <w14:ligatures w14:val="standardContextual"/>
        </w:rPr>
      </w:pPr>
      <w:hyperlink w:anchor="_Toc145511550" w:history="1">
        <w:r w:rsidRPr="00651CCF">
          <w:rPr>
            <w:rStyle w:val="Hyperlink"/>
            <w:kern w:val="32"/>
            <w:lang w:eastAsia="en-US"/>
          </w:rPr>
          <w:t>Shaping the future of Ashfield, what we want to achieve. (Vision and objectives)</w:t>
        </w:r>
        <w:r w:rsidRPr="00651CCF">
          <w:rPr>
            <w:webHidden/>
          </w:rPr>
          <w:tab/>
        </w:r>
        <w:r w:rsidRPr="00651CCF">
          <w:rPr>
            <w:webHidden/>
          </w:rPr>
          <w:fldChar w:fldCharType="begin"/>
        </w:r>
        <w:r w:rsidRPr="00651CCF">
          <w:rPr>
            <w:webHidden/>
          </w:rPr>
          <w:instrText xml:space="preserve"> PAGEREF _Toc145511550 \h </w:instrText>
        </w:r>
        <w:r w:rsidRPr="00651CCF">
          <w:rPr>
            <w:webHidden/>
          </w:rPr>
        </w:r>
        <w:r w:rsidRPr="00651CCF">
          <w:rPr>
            <w:webHidden/>
          </w:rPr>
          <w:fldChar w:fldCharType="separate"/>
        </w:r>
        <w:r w:rsidR="00567588" w:rsidRPr="00651CCF">
          <w:rPr>
            <w:webHidden/>
          </w:rPr>
          <w:t>27</w:t>
        </w:r>
        <w:r w:rsidRPr="00651CCF">
          <w:rPr>
            <w:webHidden/>
          </w:rPr>
          <w:fldChar w:fldCharType="end"/>
        </w:r>
      </w:hyperlink>
    </w:p>
    <w:p w14:paraId="1DFB6F08" w14:textId="23D2FA0E" w:rsidR="00BE6D36" w:rsidRPr="00651CCF" w:rsidRDefault="00BE6D36" w:rsidP="005F5AF9">
      <w:pPr>
        <w:pStyle w:val="TOC1"/>
        <w:rPr>
          <w:rFonts w:eastAsiaTheme="minorEastAsia"/>
          <w:color w:val="auto"/>
          <w:kern w:val="2"/>
          <w14:ligatures w14:val="standardContextual"/>
        </w:rPr>
      </w:pPr>
      <w:hyperlink w:anchor="_Toc145511551" w:history="1">
        <w:r w:rsidRPr="00651CCF">
          <w:rPr>
            <w:rStyle w:val="Hyperlink"/>
          </w:rPr>
          <w:t>Chapter 3</w:t>
        </w:r>
        <w:r w:rsidRPr="00651CCF">
          <w:rPr>
            <w:webHidden/>
          </w:rPr>
          <w:tab/>
        </w:r>
        <w:r w:rsidRPr="00651CCF">
          <w:rPr>
            <w:webHidden/>
          </w:rPr>
          <w:fldChar w:fldCharType="begin"/>
        </w:r>
        <w:r w:rsidRPr="00651CCF">
          <w:rPr>
            <w:webHidden/>
          </w:rPr>
          <w:instrText xml:space="preserve"> PAGEREF _Toc145511551 \h </w:instrText>
        </w:r>
        <w:r w:rsidRPr="00651CCF">
          <w:rPr>
            <w:webHidden/>
          </w:rPr>
        </w:r>
        <w:r w:rsidRPr="00651CCF">
          <w:rPr>
            <w:webHidden/>
          </w:rPr>
          <w:fldChar w:fldCharType="separate"/>
        </w:r>
        <w:r w:rsidR="00567588" w:rsidRPr="00651CCF">
          <w:rPr>
            <w:webHidden/>
          </w:rPr>
          <w:t>33</w:t>
        </w:r>
        <w:r w:rsidRPr="00651CCF">
          <w:rPr>
            <w:webHidden/>
          </w:rPr>
          <w:fldChar w:fldCharType="end"/>
        </w:r>
      </w:hyperlink>
    </w:p>
    <w:p w14:paraId="51DF45E5" w14:textId="100A920D" w:rsidR="00BE6D36" w:rsidRPr="00651CCF" w:rsidRDefault="00BE6D36" w:rsidP="005F5AF9">
      <w:pPr>
        <w:pStyle w:val="TOC1"/>
        <w:rPr>
          <w:rFonts w:eastAsiaTheme="minorEastAsia"/>
          <w:color w:val="auto"/>
          <w:kern w:val="2"/>
          <w14:ligatures w14:val="standardContextual"/>
        </w:rPr>
      </w:pPr>
      <w:hyperlink w:anchor="_Toc145511552" w:history="1">
        <w:r w:rsidRPr="00651CCF">
          <w:rPr>
            <w:rStyle w:val="Hyperlink"/>
          </w:rPr>
          <w:t>Sustainable development in Ashfield - Strategic Policies</w:t>
        </w:r>
        <w:r w:rsidRPr="00651CCF">
          <w:rPr>
            <w:webHidden/>
          </w:rPr>
          <w:tab/>
        </w:r>
        <w:r w:rsidRPr="00651CCF">
          <w:rPr>
            <w:webHidden/>
          </w:rPr>
          <w:fldChar w:fldCharType="begin"/>
        </w:r>
        <w:r w:rsidRPr="00651CCF">
          <w:rPr>
            <w:webHidden/>
          </w:rPr>
          <w:instrText xml:space="preserve"> PAGEREF _Toc145511552 \h </w:instrText>
        </w:r>
        <w:r w:rsidRPr="00651CCF">
          <w:rPr>
            <w:webHidden/>
          </w:rPr>
        </w:r>
        <w:r w:rsidRPr="00651CCF">
          <w:rPr>
            <w:webHidden/>
          </w:rPr>
          <w:fldChar w:fldCharType="separate"/>
        </w:r>
        <w:r w:rsidR="00567588" w:rsidRPr="00651CCF">
          <w:rPr>
            <w:webHidden/>
          </w:rPr>
          <w:t>33</w:t>
        </w:r>
        <w:r w:rsidRPr="00651CCF">
          <w:rPr>
            <w:webHidden/>
          </w:rPr>
          <w:fldChar w:fldCharType="end"/>
        </w:r>
      </w:hyperlink>
    </w:p>
    <w:p w14:paraId="7D8940AC" w14:textId="6F5DEEFE"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53" w:history="1">
        <w:r w:rsidRPr="00651CCF">
          <w:rPr>
            <w:rStyle w:val="Hyperlink"/>
            <w:rFonts w:asciiTheme="majorHAnsi" w:hAnsiTheme="majorHAnsi" w:cstheme="majorHAnsi"/>
            <w:b/>
            <w:bCs/>
            <w:noProof/>
            <w:sz w:val="24"/>
            <w:szCs w:val="24"/>
          </w:rPr>
          <w:t>Strategic Policy S1: Spatial Strategy to Deliver the Vision</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_Toc145511553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33</w:t>
        </w:r>
        <w:r w:rsidRPr="00651CCF">
          <w:rPr>
            <w:rFonts w:asciiTheme="majorHAnsi" w:hAnsiTheme="majorHAnsi" w:cstheme="majorHAnsi"/>
            <w:b/>
            <w:bCs/>
            <w:noProof/>
            <w:webHidden/>
            <w:sz w:val="24"/>
            <w:szCs w:val="24"/>
          </w:rPr>
          <w:fldChar w:fldCharType="end"/>
        </w:r>
      </w:hyperlink>
    </w:p>
    <w:p w14:paraId="15830890" w14:textId="6871426B"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54" w:history="1">
        <w:r w:rsidRPr="00651CCF">
          <w:rPr>
            <w:rStyle w:val="Hyperlink"/>
            <w:rFonts w:asciiTheme="majorHAnsi" w:hAnsiTheme="majorHAnsi" w:cstheme="majorHAnsi"/>
            <w:b/>
            <w:bCs/>
            <w:noProof/>
            <w:sz w:val="24"/>
            <w:szCs w:val="24"/>
          </w:rPr>
          <w:t>Strategic Policy S2: Achieving Sustainable Development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_Toc145511554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42</w:t>
        </w:r>
        <w:r w:rsidRPr="00651CCF">
          <w:rPr>
            <w:rFonts w:asciiTheme="majorHAnsi" w:hAnsiTheme="majorHAnsi" w:cstheme="majorHAnsi"/>
            <w:b/>
            <w:bCs/>
            <w:noProof/>
            <w:webHidden/>
            <w:sz w:val="24"/>
            <w:szCs w:val="24"/>
          </w:rPr>
          <w:fldChar w:fldCharType="end"/>
        </w:r>
      </w:hyperlink>
    </w:p>
    <w:p w14:paraId="5EEC3C60" w14:textId="20C3EB1A"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55" w:history="1">
        <w:r w:rsidRPr="00651CCF">
          <w:rPr>
            <w:rStyle w:val="Hyperlink"/>
            <w:rFonts w:asciiTheme="majorHAnsi" w:hAnsiTheme="majorHAnsi" w:cstheme="majorHAnsi"/>
            <w:b/>
            <w:bCs/>
            <w:noProof/>
            <w:sz w:val="24"/>
            <w:szCs w:val="24"/>
          </w:rPr>
          <w:t xml:space="preserve">Strategic Policy S3: Meeting the Challenge of </w:t>
        </w:r>
        <w:r w:rsidRPr="00651CCF">
          <w:rPr>
            <w:rStyle w:val="Hyperlink"/>
            <w:rFonts w:asciiTheme="majorHAnsi" w:eastAsia="Arial" w:hAnsiTheme="majorHAnsi" w:cstheme="majorHAnsi"/>
            <w:b/>
            <w:bCs/>
            <w:noProof/>
            <w:sz w:val="24"/>
            <w:szCs w:val="24"/>
          </w:rPr>
          <w:t>Climate Change</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_Toc145511555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47</w:t>
        </w:r>
        <w:r w:rsidRPr="00651CCF">
          <w:rPr>
            <w:rFonts w:asciiTheme="majorHAnsi" w:hAnsiTheme="majorHAnsi" w:cstheme="majorHAnsi"/>
            <w:b/>
            <w:bCs/>
            <w:noProof/>
            <w:webHidden/>
            <w:sz w:val="24"/>
            <w:szCs w:val="24"/>
          </w:rPr>
          <w:fldChar w:fldCharType="end"/>
        </w:r>
      </w:hyperlink>
    </w:p>
    <w:p w14:paraId="27D51454" w14:textId="1B111F49"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56" w:history="1">
        <w:r w:rsidRPr="00651CCF">
          <w:rPr>
            <w:rStyle w:val="Hyperlink"/>
            <w:rFonts w:asciiTheme="majorHAnsi" w:hAnsiTheme="majorHAnsi" w:cstheme="majorHAnsi"/>
            <w:b/>
            <w:bCs/>
            <w:noProof/>
            <w:sz w:val="24"/>
            <w:szCs w:val="24"/>
          </w:rPr>
          <w:t>Strategic Policy S4: Green Belt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_Toc145511556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50</w:t>
        </w:r>
        <w:r w:rsidRPr="00651CCF">
          <w:rPr>
            <w:rFonts w:asciiTheme="majorHAnsi" w:hAnsiTheme="majorHAnsi" w:cstheme="majorHAnsi"/>
            <w:b/>
            <w:bCs/>
            <w:noProof/>
            <w:webHidden/>
            <w:sz w:val="24"/>
            <w:szCs w:val="24"/>
          </w:rPr>
          <w:fldChar w:fldCharType="end"/>
        </w:r>
      </w:hyperlink>
    </w:p>
    <w:p w14:paraId="3479B21C" w14:textId="7E9F64A5"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57" w:history="1">
        <w:r w:rsidRPr="00651CCF">
          <w:rPr>
            <w:rStyle w:val="Hyperlink"/>
            <w:rFonts w:asciiTheme="majorHAnsi" w:hAnsiTheme="majorHAnsi" w:cstheme="majorHAnsi"/>
            <w:b/>
            <w:bCs/>
            <w:noProof/>
            <w:sz w:val="24"/>
            <w:szCs w:val="24"/>
          </w:rPr>
          <w:t>Strategic Policy S5: High Quality Buildings and Places through Place Making and Design</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_Toc145511557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51</w:t>
        </w:r>
        <w:r w:rsidRPr="00651CCF">
          <w:rPr>
            <w:rFonts w:asciiTheme="majorHAnsi" w:hAnsiTheme="majorHAnsi" w:cstheme="majorHAnsi"/>
            <w:b/>
            <w:bCs/>
            <w:noProof/>
            <w:webHidden/>
            <w:sz w:val="24"/>
            <w:szCs w:val="24"/>
          </w:rPr>
          <w:fldChar w:fldCharType="end"/>
        </w:r>
      </w:hyperlink>
    </w:p>
    <w:p w14:paraId="3BB29C9C" w14:textId="43E10442"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58" w:history="1">
        <w:r w:rsidRPr="00651CCF">
          <w:rPr>
            <w:rStyle w:val="Hyperlink"/>
            <w:rFonts w:asciiTheme="majorHAnsi" w:hAnsiTheme="majorHAnsi" w:cstheme="majorHAnsi"/>
            <w:b/>
            <w:bCs/>
            <w:noProof/>
            <w:sz w:val="24"/>
            <w:szCs w:val="24"/>
          </w:rPr>
          <w:t>Strategic Policy S6: Meeting Future Needs - Strategic Employment Allocation at Junction 27 M1 Motorway</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_Toc145511558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54</w:t>
        </w:r>
        <w:r w:rsidRPr="00651CCF">
          <w:rPr>
            <w:rFonts w:asciiTheme="majorHAnsi" w:hAnsiTheme="majorHAnsi" w:cstheme="majorHAnsi"/>
            <w:b/>
            <w:bCs/>
            <w:noProof/>
            <w:webHidden/>
            <w:sz w:val="24"/>
            <w:szCs w:val="24"/>
          </w:rPr>
          <w:fldChar w:fldCharType="end"/>
        </w:r>
      </w:hyperlink>
    </w:p>
    <w:p w14:paraId="4E2EEE9A" w14:textId="3C1F7973"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59" w:history="1">
        <w:r w:rsidRPr="00651CCF">
          <w:rPr>
            <w:rStyle w:val="Hyperlink"/>
            <w:rFonts w:asciiTheme="majorHAnsi" w:hAnsiTheme="majorHAnsi" w:cstheme="majorHAnsi"/>
            <w:b/>
            <w:bCs/>
            <w:noProof/>
            <w:sz w:val="24"/>
            <w:szCs w:val="24"/>
          </w:rPr>
          <w:t>Strategic Policy S7: Meeting Future Housing Provision</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_Toc145511559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59</w:t>
        </w:r>
        <w:r w:rsidRPr="00651CCF">
          <w:rPr>
            <w:rFonts w:asciiTheme="majorHAnsi" w:hAnsiTheme="majorHAnsi" w:cstheme="majorHAnsi"/>
            <w:b/>
            <w:bCs/>
            <w:noProof/>
            <w:webHidden/>
            <w:sz w:val="24"/>
            <w:szCs w:val="24"/>
          </w:rPr>
          <w:fldChar w:fldCharType="end"/>
        </w:r>
      </w:hyperlink>
    </w:p>
    <w:p w14:paraId="7984734B" w14:textId="22D990FB"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60" w:history="1">
        <w:r w:rsidRPr="00651CCF">
          <w:rPr>
            <w:rStyle w:val="Hyperlink"/>
            <w:rFonts w:asciiTheme="majorHAnsi" w:hAnsiTheme="majorHAnsi" w:cstheme="majorHAnsi"/>
            <w:b/>
            <w:bCs/>
            <w:noProof/>
            <w:sz w:val="24"/>
            <w:szCs w:val="24"/>
          </w:rPr>
          <w:t>Strategic Policy S8: Delivering Economic Opportunities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_Toc145511560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67</w:t>
        </w:r>
        <w:r w:rsidRPr="00651CCF">
          <w:rPr>
            <w:rFonts w:asciiTheme="majorHAnsi" w:hAnsiTheme="majorHAnsi" w:cstheme="majorHAnsi"/>
            <w:b/>
            <w:bCs/>
            <w:noProof/>
            <w:webHidden/>
            <w:sz w:val="24"/>
            <w:szCs w:val="24"/>
          </w:rPr>
          <w:fldChar w:fldCharType="end"/>
        </w:r>
      </w:hyperlink>
    </w:p>
    <w:p w14:paraId="6947ECEB" w14:textId="619757BE"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61" w:history="1">
        <w:r w:rsidRPr="00651CCF">
          <w:rPr>
            <w:rStyle w:val="Hyperlink"/>
            <w:rFonts w:asciiTheme="majorHAnsi" w:hAnsiTheme="majorHAnsi" w:cstheme="majorHAnsi"/>
            <w:b/>
            <w:bCs/>
            <w:noProof/>
            <w:sz w:val="24"/>
            <w:szCs w:val="24"/>
          </w:rPr>
          <w:t>Strategic Policy S9: Aligning Growth and Infrastructure</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_Toc145511561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74</w:t>
        </w:r>
        <w:r w:rsidRPr="00651CCF">
          <w:rPr>
            <w:rFonts w:asciiTheme="majorHAnsi" w:hAnsiTheme="majorHAnsi" w:cstheme="majorHAnsi"/>
            <w:b/>
            <w:bCs/>
            <w:noProof/>
            <w:webHidden/>
            <w:sz w:val="24"/>
            <w:szCs w:val="24"/>
          </w:rPr>
          <w:fldChar w:fldCharType="end"/>
        </w:r>
      </w:hyperlink>
    </w:p>
    <w:p w14:paraId="0758EA23" w14:textId="64BAABC9"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62" w:history="1">
        <w:r w:rsidRPr="00651CCF">
          <w:rPr>
            <w:rStyle w:val="Hyperlink"/>
            <w:rFonts w:asciiTheme="majorHAnsi" w:hAnsiTheme="majorHAnsi" w:cstheme="majorHAnsi"/>
            <w:b/>
            <w:bCs/>
            <w:noProof/>
            <w:sz w:val="24"/>
            <w:szCs w:val="24"/>
          </w:rPr>
          <w:t>Strategic Policy S10: Improving Transport Infrastructure.</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_Toc145511562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77</w:t>
        </w:r>
        <w:r w:rsidRPr="00651CCF">
          <w:rPr>
            <w:rFonts w:asciiTheme="majorHAnsi" w:hAnsiTheme="majorHAnsi" w:cstheme="majorHAnsi"/>
            <w:b/>
            <w:bCs/>
            <w:noProof/>
            <w:webHidden/>
            <w:sz w:val="24"/>
            <w:szCs w:val="24"/>
          </w:rPr>
          <w:fldChar w:fldCharType="end"/>
        </w:r>
      </w:hyperlink>
    </w:p>
    <w:p w14:paraId="791AF05E" w14:textId="576EB8D3"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63" w:history="1">
        <w:r w:rsidRPr="00651CCF">
          <w:rPr>
            <w:rStyle w:val="Hyperlink"/>
            <w:rFonts w:asciiTheme="majorHAnsi" w:hAnsiTheme="majorHAnsi" w:cstheme="majorHAnsi"/>
            <w:b/>
            <w:bCs/>
            <w:noProof/>
            <w:sz w:val="24"/>
            <w:szCs w:val="24"/>
          </w:rPr>
          <w:t>Strategic Policy S11 Vibrant Town Centres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_Toc145511563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79</w:t>
        </w:r>
        <w:r w:rsidRPr="00651CCF">
          <w:rPr>
            <w:rFonts w:asciiTheme="majorHAnsi" w:hAnsiTheme="majorHAnsi" w:cstheme="majorHAnsi"/>
            <w:b/>
            <w:bCs/>
            <w:noProof/>
            <w:webHidden/>
            <w:sz w:val="24"/>
            <w:szCs w:val="24"/>
          </w:rPr>
          <w:fldChar w:fldCharType="end"/>
        </w:r>
      </w:hyperlink>
    </w:p>
    <w:p w14:paraId="19843412" w14:textId="41171559"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64" w:history="1">
        <w:r w:rsidRPr="00651CCF">
          <w:rPr>
            <w:rStyle w:val="Hyperlink"/>
            <w:rFonts w:asciiTheme="majorHAnsi" w:hAnsiTheme="majorHAnsi" w:cstheme="majorHAnsi"/>
            <w:b/>
            <w:bCs/>
            <w:noProof/>
            <w:sz w:val="24"/>
            <w:szCs w:val="24"/>
          </w:rPr>
          <w:t>Strategic Policy S12 Tackling Health Inequalities and Facilitating Healthier Lifestyles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_Toc145511564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85</w:t>
        </w:r>
        <w:r w:rsidRPr="00651CCF">
          <w:rPr>
            <w:rFonts w:asciiTheme="majorHAnsi" w:hAnsiTheme="majorHAnsi" w:cstheme="majorHAnsi"/>
            <w:b/>
            <w:bCs/>
            <w:noProof/>
            <w:webHidden/>
            <w:sz w:val="24"/>
            <w:szCs w:val="24"/>
          </w:rPr>
          <w:fldChar w:fldCharType="end"/>
        </w:r>
      </w:hyperlink>
    </w:p>
    <w:p w14:paraId="7FCE5BFE" w14:textId="28F2642A"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65" w:history="1">
        <w:r w:rsidRPr="00651CCF">
          <w:rPr>
            <w:rStyle w:val="Hyperlink"/>
            <w:rFonts w:asciiTheme="majorHAnsi" w:hAnsiTheme="majorHAnsi" w:cstheme="majorHAnsi"/>
            <w:b/>
            <w:bCs/>
            <w:noProof/>
            <w:sz w:val="24"/>
            <w:szCs w:val="24"/>
          </w:rPr>
          <w:t xml:space="preserve">Strategic Policy S13 Protecting and Enhancing Our Green </w:t>
        </w:r>
        <w:r w:rsidR="00252D26" w:rsidRPr="00651CCF">
          <w:rPr>
            <w:rFonts w:asciiTheme="majorHAnsi" w:hAnsiTheme="majorHAnsi" w:cstheme="majorHAnsi"/>
            <w:b/>
            <w:bCs/>
            <w:color w:val="2E74B5" w:themeColor="accent5" w:themeShade="BF"/>
            <w:sz w:val="24"/>
            <w:szCs w:val="24"/>
          </w:rPr>
          <w:t>and Blue</w:t>
        </w:r>
        <w:r w:rsidR="00252D26" w:rsidRPr="00651CCF">
          <w:rPr>
            <w:rFonts w:asciiTheme="majorHAnsi" w:hAnsiTheme="majorHAnsi" w:cstheme="majorHAnsi"/>
            <w:b/>
            <w:bCs/>
            <w:color w:val="2E74B5" w:themeColor="accent5" w:themeShade="BF"/>
            <w:szCs w:val="24"/>
          </w:rPr>
          <w:t xml:space="preserve"> </w:t>
        </w:r>
        <w:r w:rsidRPr="00651CCF">
          <w:rPr>
            <w:rStyle w:val="Hyperlink"/>
            <w:rFonts w:asciiTheme="majorHAnsi" w:hAnsiTheme="majorHAnsi" w:cstheme="majorHAnsi"/>
            <w:b/>
            <w:bCs/>
            <w:noProof/>
            <w:sz w:val="24"/>
            <w:szCs w:val="24"/>
          </w:rPr>
          <w:t>Infrastructure and the Natural Environment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_Toc145511565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88</w:t>
        </w:r>
        <w:r w:rsidRPr="00651CCF">
          <w:rPr>
            <w:rFonts w:asciiTheme="majorHAnsi" w:hAnsiTheme="majorHAnsi" w:cstheme="majorHAnsi"/>
            <w:b/>
            <w:bCs/>
            <w:noProof/>
            <w:webHidden/>
            <w:sz w:val="24"/>
            <w:szCs w:val="24"/>
          </w:rPr>
          <w:fldChar w:fldCharType="end"/>
        </w:r>
      </w:hyperlink>
    </w:p>
    <w:p w14:paraId="2AAC2E17" w14:textId="7C827E74"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66" w:history="1">
        <w:r w:rsidRPr="00651CCF">
          <w:rPr>
            <w:rStyle w:val="Hyperlink"/>
            <w:rFonts w:asciiTheme="majorHAnsi" w:hAnsiTheme="majorHAnsi" w:cstheme="majorHAnsi"/>
            <w:b/>
            <w:bCs/>
            <w:noProof/>
            <w:sz w:val="24"/>
            <w:szCs w:val="24"/>
          </w:rPr>
          <w:t>Strategic Policy S14 Conserving and Enhancing Our Historic Environment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_Toc145511566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90</w:t>
        </w:r>
        <w:r w:rsidRPr="00651CCF">
          <w:rPr>
            <w:rFonts w:asciiTheme="majorHAnsi" w:hAnsiTheme="majorHAnsi" w:cstheme="majorHAnsi"/>
            <w:b/>
            <w:bCs/>
            <w:noProof/>
            <w:webHidden/>
            <w:sz w:val="24"/>
            <w:szCs w:val="24"/>
          </w:rPr>
          <w:fldChar w:fldCharType="end"/>
        </w:r>
      </w:hyperlink>
    </w:p>
    <w:p w14:paraId="2A70E3ED" w14:textId="10562A4F"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67" w:history="1">
        <w:r w:rsidRPr="00651CCF">
          <w:rPr>
            <w:rStyle w:val="Hyperlink"/>
            <w:rFonts w:asciiTheme="majorHAnsi" w:hAnsiTheme="majorHAnsi" w:cstheme="majorHAnsi"/>
            <w:b/>
            <w:bCs/>
            <w:noProof/>
            <w:sz w:val="24"/>
            <w:szCs w:val="24"/>
          </w:rPr>
          <w:t>Strategic Policy S15 Safeguarding Mineral Resources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_Toc145511567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92</w:t>
        </w:r>
        <w:r w:rsidRPr="00651CCF">
          <w:rPr>
            <w:rFonts w:asciiTheme="majorHAnsi" w:hAnsiTheme="majorHAnsi" w:cstheme="majorHAnsi"/>
            <w:b/>
            <w:bCs/>
            <w:noProof/>
            <w:webHidden/>
            <w:sz w:val="24"/>
            <w:szCs w:val="24"/>
          </w:rPr>
          <w:fldChar w:fldCharType="end"/>
        </w:r>
      </w:hyperlink>
    </w:p>
    <w:p w14:paraId="47E4BE15" w14:textId="5F843C1C" w:rsidR="00BE6D36" w:rsidRPr="00651CCF" w:rsidRDefault="00BE6D36" w:rsidP="005F5AF9">
      <w:pPr>
        <w:pStyle w:val="TOC1"/>
        <w:rPr>
          <w:rFonts w:eastAsiaTheme="minorEastAsia"/>
          <w:color w:val="auto"/>
          <w:kern w:val="2"/>
          <w14:ligatures w14:val="standardContextual"/>
        </w:rPr>
      </w:pPr>
      <w:hyperlink w:anchor="_Toc145511568" w:history="1">
        <w:r w:rsidRPr="00651CCF">
          <w:rPr>
            <w:rStyle w:val="Hyperlink"/>
          </w:rPr>
          <w:t>Chapter 4</w:t>
        </w:r>
        <w:r w:rsidRPr="00651CCF">
          <w:rPr>
            <w:webHidden/>
          </w:rPr>
          <w:tab/>
        </w:r>
        <w:r w:rsidRPr="00651CCF">
          <w:rPr>
            <w:webHidden/>
          </w:rPr>
          <w:fldChar w:fldCharType="begin"/>
        </w:r>
        <w:r w:rsidRPr="00651CCF">
          <w:rPr>
            <w:webHidden/>
          </w:rPr>
          <w:instrText xml:space="preserve"> PAGEREF _Toc145511568 \h </w:instrText>
        </w:r>
        <w:r w:rsidRPr="00651CCF">
          <w:rPr>
            <w:webHidden/>
          </w:rPr>
        </w:r>
        <w:r w:rsidRPr="00651CCF">
          <w:rPr>
            <w:webHidden/>
          </w:rPr>
          <w:fldChar w:fldCharType="separate"/>
        </w:r>
        <w:r w:rsidR="00567588" w:rsidRPr="00651CCF">
          <w:rPr>
            <w:webHidden/>
          </w:rPr>
          <w:t>93</w:t>
        </w:r>
        <w:r w:rsidRPr="00651CCF">
          <w:rPr>
            <w:webHidden/>
          </w:rPr>
          <w:fldChar w:fldCharType="end"/>
        </w:r>
      </w:hyperlink>
    </w:p>
    <w:p w14:paraId="2D5D144E" w14:textId="5F9AE96B" w:rsidR="00BE6D36" w:rsidRPr="00651CCF" w:rsidRDefault="00BE6D36" w:rsidP="005F5AF9">
      <w:pPr>
        <w:pStyle w:val="TOC1"/>
        <w:rPr>
          <w:rFonts w:eastAsiaTheme="minorEastAsia"/>
          <w:color w:val="auto"/>
          <w:kern w:val="2"/>
          <w14:ligatures w14:val="standardContextual"/>
        </w:rPr>
      </w:pPr>
      <w:hyperlink w:anchor="_Toc145511569" w:history="1">
        <w:r w:rsidRPr="00651CCF">
          <w:rPr>
            <w:rStyle w:val="Hyperlink"/>
          </w:rPr>
          <w:t>Meeting the challenge of climate change and adapt</w:t>
        </w:r>
        <w:r w:rsidR="00890704" w:rsidRPr="00651CCF">
          <w:rPr>
            <w:rStyle w:val="Hyperlink"/>
          </w:rPr>
          <w:t>ING</w:t>
        </w:r>
        <w:r w:rsidRPr="00651CCF">
          <w:rPr>
            <w:rStyle w:val="Hyperlink"/>
          </w:rPr>
          <w:t xml:space="preserve"> to its effects</w:t>
        </w:r>
        <w:r w:rsidRPr="00651CCF">
          <w:rPr>
            <w:webHidden/>
          </w:rPr>
          <w:tab/>
        </w:r>
        <w:r w:rsidRPr="00651CCF">
          <w:rPr>
            <w:webHidden/>
          </w:rPr>
          <w:fldChar w:fldCharType="begin"/>
        </w:r>
        <w:r w:rsidRPr="00651CCF">
          <w:rPr>
            <w:webHidden/>
          </w:rPr>
          <w:instrText xml:space="preserve"> PAGEREF _Toc145511569 \h </w:instrText>
        </w:r>
        <w:r w:rsidRPr="00651CCF">
          <w:rPr>
            <w:webHidden/>
          </w:rPr>
        </w:r>
        <w:r w:rsidRPr="00651CCF">
          <w:rPr>
            <w:webHidden/>
          </w:rPr>
          <w:fldChar w:fldCharType="separate"/>
        </w:r>
        <w:r w:rsidR="00567588" w:rsidRPr="00651CCF">
          <w:rPr>
            <w:webHidden/>
          </w:rPr>
          <w:t>93</w:t>
        </w:r>
        <w:r w:rsidRPr="00651CCF">
          <w:rPr>
            <w:webHidden/>
          </w:rPr>
          <w:fldChar w:fldCharType="end"/>
        </w:r>
      </w:hyperlink>
    </w:p>
    <w:p w14:paraId="66E0C4A8" w14:textId="05D20C08"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70" w:history="1">
        <w:r w:rsidRPr="00651CCF">
          <w:rPr>
            <w:rStyle w:val="Hyperlink"/>
            <w:rFonts w:asciiTheme="majorHAnsi" w:eastAsia="Arial" w:hAnsiTheme="majorHAnsi" w:cstheme="majorHAnsi"/>
            <w:b/>
            <w:bCs/>
            <w:noProof/>
            <w:sz w:val="24"/>
            <w:szCs w:val="24"/>
          </w:rPr>
          <w:t>Policy CC1:  Zero/Low Carbon Developments and Decentralised, Renewable, Low Carbon Energy Generation</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_Toc145511570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93</w:t>
        </w:r>
        <w:r w:rsidRPr="00651CCF">
          <w:rPr>
            <w:rFonts w:asciiTheme="majorHAnsi" w:hAnsiTheme="majorHAnsi" w:cstheme="majorHAnsi"/>
            <w:b/>
            <w:bCs/>
            <w:noProof/>
            <w:webHidden/>
            <w:sz w:val="24"/>
            <w:szCs w:val="24"/>
          </w:rPr>
          <w:fldChar w:fldCharType="end"/>
        </w:r>
      </w:hyperlink>
    </w:p>
    <w:p w14:paraId="57E55671" w14:textId="188C35D8"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71" w:history="1">
        <w:r w:rsidRPr="00651CCF">
          <w:rPr>
            <w:rStyle w:val="Hyperlink"/>
            <w:rFonts w:asciiTheme="majorHAnsi" w:eastAsia="Arial" w:hAnsiTheme="majorHAnsi" w:cstheme="majorHAnsi"/>
            <w:b/>
            <w:bCs/>
            <w:noProof/>
            <w:sz w:val="24"/>
            <w:szCs w:val="24"/>
          </w:rPr>
          <w:t>Policy CC2: Water Resource Management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_Toc145511571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98</w:t>
        </w:r>
        <w:r w:rsidRPr="00651CCF">
          <w:rPr>
            <w:rFonts w:asciiTheme="majorHAnsi" w:hAnsiTheme="majorHAnsi" w:cstheme="majorHAnsi"/>
            <w:b/>
            <w:bCs/>
            <w:noProof/>
            <w:webHidden/>
            <w:sz w:val="24"/>
            <w:szCs w:val="24"/>
          </w:rPr>
          <w:fldChar w:fldCharType="end"/>
        </w:r>
      </w:hyperlink>
    </w:p>
    <w:p w14:paraId="14321F18" w14:textId="020A4009"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72" w:history="1">
        <w:r w:rsidRPr="00651CCF">
          <w:rPr>
            <w:rStyle w:val="Hyperlink"/>
            <w:rFonts w:asciiTheme="majorHAnsi" w:eastAsia="Arial" w:hAnsiTheme="majorHAnsi" w:cstheme="majorHAnsi"/>
            <w:b/>
            <w:bCs/>
            <w:noProof/>
            <w:sz w:val="24"/>
            <w:szCs w:val="24"/>
          </w:rPr>
          <w:t>Policy CC3: Flood Risk and Sustainable Drainage Systems (SuDs)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_Toc145511572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103</w:t>
        </w:r>
        <w:r w:rsidRPr="00651CCF">
          <w:rPr>
            <w:rFonts w:asciiTheme="majorHAnsi" w:hAnsiTheme="majorHAnsi" w:cstheme="majorHAnsi"/>
            <w:b/>
            <w:bCs/>
            <w:noProof/>
            <w:webHidden/>
            <w:sz w:val="24"/>
            <w:szCs w:val="24"/>
          </w:rPr>
          <w:fldChar w:fldCharType="end"/>
        </w:r>
      </w:hyperlink>
    </w:p>
    <w:p w14:paraId="61DFA0BA" w14:textId="6F105BCD" w:rsidR="00BE6D36" w:rsidRPr="00651CCF" w:rsidRDefault="00BE6D36" w:rsidP="005F5AF9">
      <w:pPr>
        <w:pStyle w:val="TOC1"/>
        <w:rPr>
          <w:rFonts w:eastAsiaTheme="minorEastAsia"/>
          <w:color w:val="auto"/>
          <w:kern w:val="2"/>
          <w14:ligatures w14:val="standardContextual"/>
        </w:rPr>
      </w:pPr>
      <w:hyperlink w:anchor="_Toc145511573" w:history="1">
        <w:r w:rsidRPr="00651CCF">
          <w:rPr>
            <w:rStyle w:val="Hyperlink"/>
          </w:rPr>
          <w:t>Chapter 5</w:t>
        </w:r>
        <w:r w:rsidRPr="00651CCF">
          <w:rPr>
            <w:webHidden/>
          </w:rPr>
          <w:tab/>
        </w:r>
        <w:r w:rsidRPr="00651CCF">
          <w:rPr>
            <w:webHidden/>
          </w:rPr>
          <w:fldChar w:fldCharType="begin"/>
        </w:r>
        <w:r w:rsidRPr="00651CCF">
          <w:rPr>
            <w:webHidden/>
          </w:rPr>
          <w:instrText xml:space="preserve"> PAGEREF _Toc145511573 \h </w:instrText>
        </w:r>
        <w:r w:rsidRPr="00651CCF">
          <w:rPr>
            <w:webHidden/>
          </w:rPr>
        </w:r>
        <w:r w:rsidRPr="00651CCF">
          <w:rPr>
            <w:webHidden/>
          </w:rPr>
          <w:fldChar w:fldCharType="separate"/>
        </w:r>
        <w:r w:rsidR="00567588" w:rsidRPr="00651CCF">
          <w:rPr>
            <w:webHidden/>
          </w:rPr>
          <w:t>108</w:t>
        </w:r>
        <w:r w:rsidRPr="00651CCF">
          <w:rPr>
            <w:webHidden/>
          </w:rPr>
          <w:fldChar w:fldCharType="end"/>
        </w:r>
      </w:hyperlink>
    </w:p>
    <w:p w14:paraId="5B25E493" w14:textId="226AB4AA" w:rsidR="00BE6D36" w:rsidRPr="00651CCF" w:rsidRDefault="00BE6D36" w:rsidP="005F5AF9">
      <w:pPr>
        <w:pStyle w:val="TOC1"/>
        <w:rPr>
          <w:rFonts w:eastAsiaTheme="minorEastAsia"/>
          <w:color w:val="auto"/>
          <w:kern w:val="2"/>
          <w14:ligatures w14:val="standardContextual"/>
        </w:rPr>
      </w:pPr>
      <w:hyperlink w:anchor="_Toc145511574" w:history="1">
        <w:r w:rsidRPr="00651CCF">
          <w:rPr>
            <w:rStyle w:val="Hyperlink"/>
          </w:rPr>
          <w:t>Protecting and enhancing Ashfield’s character through its natural environment and heritage</w:t>
        </w:r>
        <w:r w:rsidRPr="00651CCF">
          <w:rPr>
            <w:webHidden/>
          </w:rPr>
          <w:tab/>
        </w:r>
        <w:r w:rsidRPr="00651CCF">
          <w:rPr>
            <w:webHidden/>
          </w:rPr>
          <w:fldChar w:fldCharType="begin"/>
        </w:r>
        <w:r w:rsidRPr="00651CCF">
          <w:rPr>
            <w:webHidden/>
          </w:rPr>
          <w:instrText xml:space="preserve"> PAGEREF _Toc145511574 \h </w:instrText>
        </w:r>
        <w:r w:rsidRPr="00651CCF">
          <w:rPr>
            <w:webHidden/>
          </w:rPr>
        </w:r>
        <w:r w:rsidRPr="00651CCF">
          <w:rPr>
            <w:webHidden/>
          </w:rPr>
          <w:fldChar w:fldCharType="separate"/>
        </w:r>
        <w:r w:rsidR="00567588" w:rsidRPr="00651CCF">
          <w:rPr>
            <w:webHidden/>
          </w:rPr>
          <w:t>108</w:t>
        </w:r>
        <w:r w:rsidRPr="00651CCF">
          <w:rPr>
            <w:webHidden/>
          </w:rPr>
          <w:fldChar w:fldCharType="end"/>
        </w:r>
      </w:hyperlink>
    </w:p>
    <w:p w14:paraId="57BEAF8C" w14:textId="3E137C87"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75" w:history="1">
        <w:r w:rsidRPr="00651CCF">
          <w:rPr>
            <w:rStyle w:val="Hyperlink"/>
            <w:rFonts w:asciiTheme="majorHAnsi" w:hAnsiTheme="majorHAnsi" w:cstheme="majorHAnsi"/>
            <w:b/>
            <w:bCs/>
            <w:noProof/>
            <w:sz w:val="24"/>
            <w:szCs w:val="24"/>
          </w:rPr>
          <w:t xml:space="preserve">Policy EV1: </w:t>
        </w:r>
        <w:r w:rsidRPr="00651CCF">
          <w:rPr>
            <w:rStyle w:val="Hyperlink"/>
            <w:rFonts w:asciiTheme="majorHAnsi" w:eastAsia="Arial" w:hAnsiTheme="majorHAnsi" w:cstheme="majorHAnsi"/>
            <w:b/>
            <w:bCs/>
            <w:noProof/>
            <w:sz w:val="24"/>
            <w:szCs w:val="24"/>
          </w:rPr>
          <w:t>Green Belt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_Toc145511575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108</w:t>
        </w:r>
        <w:r w:rsidRPr="00651CCF">
          <w:rPr>
            <w:rFonts w:asciiTheme="majorHAnsi" w:hAnsiTheme="majorHAnsi" w:cstheme="majorHAnsi"/>
            <w:b/>
            <w:bCs/>
            <w:noProof/>
            <w:webHidden/>
            <w:sz w:val="24"/>
            <w:szCs w:val="24"/>
          </w:rPr>
          <w:fldChar w:fldCharType="end"/>
        </w:r>
      </w:hyperlink>
    </w:p>
    <w:p w14:paraId="49616706" w14:textId="7FE433B9"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76" w:history="1">
        <w:r w:rsidRPr="00651CCF">
          <w:rPr>
            <w:rStyle w:val="Hyperlink"/>
            <w:rFonts w:asciiTheme="majorHAnsi" w:hAnsiTheme="majorHAnsi" w:cstheme="majorHAnsi"/>
            <w:b/>
            <w:bCs/>
            <w:noProof/>
            <w:sz w:val="24"/>
            <w:szCs w:val="24"/>
          </w:rPr>
          <w:t>Policy EV2: Countryside</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_Toc145511576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113</w:t>
        </w:r>
        <w:r w:rsidRPr="00651CCF">
          <w:rPr>
            <w:rFonts w:asciiTheme="majorHAnsi" w:hAnsiTheme="majorHAnsi" w:cstheme="majorHAnsi"/>
            <w:b/>
            <w:bCs/>
            <w:noProof/>
            <w:webHidden/>
            <w:sz w:val="24"/>
            <w:szCs w:val="24"/>
          </w:rPr>
          <w:fldChar w:fldCharType="end"/>
        </w:r>
      </w:hyperlink>
    </w:p>
    <w:p w14:paraId="38BA30DD" w14:textId="745657B8"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77" w:history="1">
        <w:r w:rsidRPr="00651CCF">
          <w:rPr>
            <w:rStyle w:val="Hyperlink"/>
            <w:rFonts w:asciiTheme="majorHAnsi" w:eastAsia="Arial" w:hAnsiTheme="majorHAnsi" w:cstheme="majorHAnsi"/>
            <w:b/>
            <w:bCs/>
            <w:noProof/>
            <w:sz w:val="24"/>
            <w:szCs w:val="24"/>
          </w:rPr>
          <w:t>Policy EV3: Re-use of Buildings in the Green Belt and Countryside</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_Toc145511577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119</w:t>
        </w:r>
        <w:r w:rsidRPr="00651CCF">
          <w:rPr>
            <w:rFonts w:asciiTheme="majorHAnsi" w:hAnsiTheme="majorHAnsi" w:cstheme="majorHAnsi"/>
            <w:b/>
            <w:bCs/>
            <w:noProof/>
            <w:webHidden/>
            <w:sz w:val="24"/>
            <w:szCs w:val="24"/>
          </w:rPr>
          <w:fldChar w:fldCharType="end"/>
        </w:r>
      </w:hyperlink>
    </w:p>
    <w:p w14:paraId="59F16666" w14:textId="79D20013"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78" w:history="1">
        <w:r w:rsidRPr="00651CCF">
          <w:rPr>
            <w:rStyle w:val="Hyperlink"/>
            <w:rFonts w:asciiTheme="majorHAnsi" w:eastAsia="Arial" w:hAnsiTheme="majorHAnsi" w:cstheme="majorHAnsi"/>
            <w:b/>
            <w:bCs/>
            <w:noProof/>
            <w:sz w:val="24"/>
            <w:szCs w:val="24"/>
          </w:rPr>
          <w:t xml:space="preserve">Policy EV4: Green </w:t>
        </w:r>
        <w:r w:rsidR="00252D26" w:rsidRPr="00651CCF">
          <w:rPr>
            <w:rFonts w:asciiTheme="majorHAnsi" w:hAnsiTheme="majorHAnsi" w:cstheme="majorHAnsi"/>
            <w:b/>
            <w:bCs/>
            <w:color w:val="2E74B5" w:themeColor="accent5" w:themeShade="BF"/>
            <w:sz w:val="24"/>
            <w:szCs w:val="24"/>
          </w:rPr>
          <w:t>and Blue</w:t>
        </w:r>
        <w:r w:rsidR="00252D26" w:rsidRPr="00651CCF">
          <w:rPr>
            <w:rFonts w:asciiTheme="majorHAnsi" w:hAnsiTheme="majorHAnsi" w:cstheme="majorHAnsi"/>
            <w:b/>
            <w:bCs/>
            <w:color w:val="2E74B5" w:themeColor="accent5" w:themeShade="BF"/>
            <w:szCs w:val="24"/>
          </w:rPr>
          <w:t xml:space="preserve"> </w:t>
        </w:r>
        <w:r w:rsidRPr="00651CCF">
          <w:rPr>
            <w:rStyle w:val="Hyperlink"/>
            <w:rFonts w:asciiTheme="majorHAnsi" w:eastAsia="Arial" w:hAnsiTheme="majorHAnsi" w:cstheme="majorHAnsi"/>
            <w:b/>
            <w:bCs/>
            <w:noProof/>
            <w:sz w:val="24"/>
            <w:szCs w:val="24"/>
          </w:rPr>
          <w:t>Infrastructure, Biodiversity and Geodiversity</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_Toc145511578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122</w:t>
        </w:r>
        <w:r w:rsidRPr="00651CCF">
          <w:rPr>
            <w:rFonts w:asciiTheme="majorHAnsi" w:hAnsiTheme="majorHAnsi" w:cstheme="majorHAnsi"/>
            <w:b/>
            <w:bCs/>
            <w:noProof/>
            <w:webHidden/>
            <w:sz w:val="24"/>
            <w:szCs w:val="24"/>
          </w:rPr>
          <w:fldChar w:fldCharType="end"/>
        </w:r>
      </w:hyperlink>
    </w:p>
    <w:p w14:paraId="1CF24846" w14:textId="782766EE"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79" w:history="1">
        <w:r w:rsidRPr="00651CCF">
          <w:rPr>
            <w:rStyle w:val="Hyperlink"/>
            <w:rFonts w:asciiTheme="majorHAnsi" w:eastAsia="Arial" w:hAnsiTheme="majorHAnsi" w:cstheme="majorHAnsi"/>
            <w:b/>
            <w:bCs/>
            <w:noProof/>
            <w:sz w:val="24"/>
            <w:szCs w:val="24"/>
          </w:rPr>
          <w:t>Policy EV5: Protection of Green Spaces and Recreation Facilities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_Toc145511579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130</w:t>
        </w:r>
        <w:r w:rsidRPr="00651CCF">
          <w:rPr>
            <w:rFonts w:asciiTheme="majorHAnsi" w:hAnsiTheme="majorHAnsi" w:cstheme="majorHAnsi"/>
            <w:b/>
            <w:bCs/>
            <w:noProof/>
            <w:webHidden/>
            <w:sz w:val="24"/>
            <w:szCs w:val="24"/>
          </w:rPr>
          <w:fldChar w:fldCharType="end"/>
        </w:r>
      </w:hyperlink>
    </w:p>
    <w:p w14:paraId="15CB6A84" w14:textId="3D8C353A"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80" w:history="1">
        <w:r w:rsidRPr="00651CCF">
          <w:rPr>
            <w:rStyle w:val="Hyperlink"/>
            <w:rFonts w:asciiTheme="majorHAnsi" w:eastAsia="Arial" w:hAnsiTheme="majorHAnsi" w:cstheme="majorHAnsi"/>
            <w:b/>
            <w:bCs/>
            <w:noProof/>
            <w:spacing w:val="-1"/>
            <w:sz w:val="24"/>
            <w:szCs w:val="24"/>
          </w:rPr>
          <w:t xml:space="preserve">Policy EV6: </w:t>
        </w:r>
        <w:r w:rsidRPr="00651CCF">
          <w:rPr>
            <w:rStyle w:val="Hyperlink"/>
            <w:rFonts w:asciiTheme="majorHAnsi" w:eastAsia="Arial" w:hAnsiTheme="majorHAnsi" w:cstheme="majorHAnsi"/>
            <w:b/>
            <w:bCs/>
            <w:noProof/>
            <w:sz w:val="24"/>
            <w:szCs w:val="24"/>
          </w:rPr>
          <w:t>Trees, Woodland and Hedgerows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_Toc145511580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134</w:t>
        </w:r>
        <w:r w:rsidRPr="00651CCF">
          <w:rPr>
            <w:rFonts w:asciiTheme="majorHAnsi" w:hAnsiTheme="majorHAnsi" w:cstheme="majorHAnsi"/>
            <w:b/>
            <w:bCs/>
            <w:noProof/>
            <w:webHidden/>
            <w:sz w:val="24"/>
            <w:szCs w:val="24"/>
          </w:rPr>
          <w:fldChar w:fldCharType="end"/>
        </w:r>
      </w:hyperlink>
    </w:p>
    <w:p w14:paraId="37C20F90" w14:textId="026B4137"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81" w:history="1">
        <w:r w:rsidRPr="00651CCF">
          <w:rPr>
            <w:rStyle w:val="Hyperlink"/>
            <w:rFonts w:asciiTheme="majorHAnsi" w:eastAsia="Arial" w:hAnsiTheme="majorHAnsi" w:cstheme="majorHAnsi"/>
            <w:b/>
            <w:bCs/>
            <w:noProof/>
            <w:sz w:val="24"/>
            <w:szCs w:val="24"/>
          </w:rPr>
          <w:t>Policy EV7: Provision and Protection of Allotments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_Toc145511581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138</w:t>
        </w:r>
        <w:r w:rsidRPr="00651CCF">
          <w:rPr>
            <w:rFonts w:asciiTheme="majorHAnsi" w:hAnsiTheme="majorHAnsi" w:cstheme="majorHAnsi"/>
            <w:b/>
            <w:bCs/>
            <w:noProof/>
            <w:webHidden/>
            <w:sz w:val="24"/>
            <w:szCs w:val="24"/>
          </w:rPr>
          <w:fldChar w:fldCharType="end"/>
        </w:r>
      </w:hyperlink>
    </w:p>
    <w:p w14:paraId="2ADBD756" w14:textId="1E9C73BF"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82" w:history="1">
        <w:r w:rsidRPr="00651CCF">
          <w:rPr>
            <w:rStyle w:val="Hyperlink"/>
            <w:rFonts w:asciiTheme="majorHAnsi" w:eastAsia="Arial" w:hAnsiTheme="majorHAnsi" w:cstheme="majorHAnsi"/>
            <w:b/>
            <w:bCs/>
            <w:noProof/>
            <w:sz w:val="24"/>
            <w:szCs w:val="24"/>
          </w:rPr>
          <w:t>Policy EV8: Agricultural Land Quality</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_Toc145511582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141</w:t>
        </w:r>
        <w:r w:rsidRPr="00651CCF">
          <w:rPr>
            <w:rFonts w:asciiTheme="majorHAnsi" w:hAnsiTheme="majorHAnsi" w:cstheme="majorHAnsi"/>
            <w:b/>
            <w:bCs/>
            <w:noProof/>
            <w:webHidden/>
            <w:sz w:val="24"/>
            <w:szCs w:val="24"/>
          </w:rPr>
          <w:fldChar w:fldCharType="end"/>
        </w:r>
      </w:hyperlink>
    </w:p>
    <w:p w14:paraId="4EE0D7C8" w14:textId="72D7BC6B"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83" w:history="1">
        <w:r w:rsidRPr="00651CCF">
          <w:rPr>
            <w:rStyle w:val="Hyperlink"/>
            <w:rFonts w:asciiTheme="majorHAnsi" w:eastAsia="Arial" w:hAnsiTheme="majorHAnsi" w:cstheme="majorHAnsi"/>
            <w:b/>
            <w:bCs/>
            <w:noProof/>
            <w:sz w:val="24"/>
            <w:szCs w:val="24"/>
          </w:rPr>
          <w:t>Policy EV9: The Historic Environment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_Toc145511583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142</w:t>
        </w:r>
        <w:r w:rsidRPr="00651CCF">
          <w:rPr>
            <w:rFonts w:asciiTheme="majorHAnsi" w:hAnsiTheme="majorHAnsi" w:cstheme="majorHAnsi"/>
            <w:b/>
            <w:bCs/>
            <w:noProof/>
            <w:webHidden/>
            <w:sz w:val="24"/>
            <w:szCs w:val="24"/>
          </w:rPr>
          <w:fldChar w:fldCharType="end"/>
        </w:r>
      </w:hyperlink>
    </w:p>
    <w:p w14:paraId="22C2EFD2" w14:textId="788B125F"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84" w:history="1">
        <w:r w:rsidRPr="00651CCF">
          <w:rPr>
            <w:rStyle w:val="Hyperlink"/>
            <w:rFonts w:asciiTheme="majorHAnsi" w:eastAsia="Arial" w:hAnsiTheme="majorHAnsi" w:cstheme="majorHAnsi"/>
            <w:b/>
            <w:bCs/>
            <w:noProof/>
            <w:sz w:val="24"/>
            <w:szCs w:val="24"/>
          </w:rPr>
          <w:t>Policy EV10: Protection and Enhancement of Landscape Character</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_Toc145511584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154</w:t>
        </w:r>
        <w:r w:rsidRPr="00651CCF">
          <w:rPr>
            <w:rFonts w:asciiTheme="majorHAnsi" w:hAnsiTheme="majorHAnsi" w:cstheme="majorHAnsi"/>
            <w:b/>
            <w:bCs/>
            <w:noProof/>
            <w:webHidden/>
            <w:sz w:val="24"/>
            <w:szCs w:val="24"/>
          </w:rPr>
          <w:fldChar w:fldCharType="end"/>
        </w:r>
      </w:hyperlink>
    </w:p>
    <w:p w14:paraId="2B770ECD" w14:textId="3D08DC78" w:rsidR="00BE6D36" w:rsidRPr="00651CCF" w:rsidRDefault="00BE6D36" w:rsidP="005F5AF9">
      <w:pPr>
        <w:pStyle w:val="TOC1"/>
        <w:rPr>
          <w:rFonts w:eastAsiaTheme="minorEastAsia"/>
          <w:color w:val="auto"/>
          <w:kern w:val="2"/>
          <w14:ligatures w14:val="standardContextual"/>
        </w:rPr>
      </w:pPr>
      <w:hyperlink w:anchor="_Toc145511585" w:history="1">
        <w:r w:rsidRPr="00651CCF">
          <w:rPr>
            <w:rStyle w:val="Hyperlink"/>
          </w:rPr>
          <w:t>Chapter 6</w:t>
        </w:r>
        <w:r w:rsidRPr="00651CCF">
          <w:rPr>
            <w:webHidden/>
          </w:rPr>
          <w:tab/>
        </w:r>
        <w:r w:rsidRPr="00651CCF">
          <w:rPr>
            <w:webHidden/>
          </w:rPr>
          <w:fldChar w:fldCharType="begin"/>
        </w:r>
        <w:r w:rsidRPr="00651CCF">
          <w:rPr>
            <w:webHidden/>
          </w:rPr>
          <w:instrText xml:space="preserve"> PAGEREF _Toc145511585 \h </w:instrText>
        </w:r>
        <w:r w:rsidRPr="00651CCF">
          <w:rPr>
            <w:webHidden/>
          </w:rPr>
        </w:r>
        <w:r w:rsidRPr="00651CCF">
          <w:rPr>
            <w:webHidden/>
          </w:rPr>
          <w:fldChar w:fldCharType="separate"/>
        </w:r>
        <w:r w:rsidR="00567588" w:rsidRPr="00651CCF">
          <w:rPr>
            <w:webHidden/>
          </w:rPr>
          <w:t>157</w:t>
        </w:r>
        <w:r w:rsidRPr="00651CCF">
          <w:rPr>
            <w:webHidden/>
          </w:rPr>
          <w:fldChar w:fldCharType="end"/>
        </w:r>
      </w:hyperlink>
    </w:p>
    <w:p w14:paraId="117F9B34" w14:textId="220ABF9D" w:rsidR="00BE6D36" w:rsidRPr="00651CCF" w:rsidRDefault="00BE6D36" w:rsidP="005F5AF9">
      <w:pPr>
        <w:pStyle w:val="TOC1"/>
        <w:rPr>
          <w:rFonts w:eastAsiaTheme="minorEastAsia"/>
          <w:color w:val="auto"/>
          <w:kern w:val="2"/>
          <w14:ligatures w14:val="standardContextual"/>
        </w:rPr>
      </w:pPr>
      <w:hyperlink w:anchor="_Toc145511586" w:history="1">
        <w:r w:rsidRPr="00651CCF">
          <w:rPr>
            <w:rStyle w:val="Hyperlink"/>
          </w:rPr>
          <w:t>Meeting local housing needs and aspirations</w:t>
        </w:r>
        <w:r w:rsidRPr="00651CCF">
          <w:rPr>
            <w:webHidden/>
          </w:rPr>
          <w:tab/>
        </w:r>
        <w:r w:rsidRPr="00651CCF">
          <w:rPr>
            <w:webHidden/>
          </w:rPr>
          <w:fldChar w:fldCharType="begin"/>
        </w:r>
        <w:r w:rsidRPr="00651CCF">
          <w:rPr>
            <w:webHidden/>
          </w:rPr>
          <w:instrText xml:space="preserve"> PAGEREF _Toc145511586 \h </w:instrText>
        </w:r>
        <w:r w:rsidRPr="00651CCF">
          <w:rPr>
            <w:webHidden/>
          </w:rPr>
        </w:r>
        <w:r w:rsidRPr="00651CCF">
          <w:rPr>
            <w:webHidden/>
          </w:rPr>
          <w:fldChar w:fldCharType="separate"/>
        </w:r>
        <w:r w:rsidR="00567588" w:rsidRPr="00651CCF">
          <w:rPr>
            <w:webHidden/>
          </w:rPr>
          <w:t>157</w:t>
        </w:r>
        <w:r w:rsidRPr="00651CCF">
          <w:rPr>
            <w:webHidden/>
          </w:rPr>
          <w:fldChar w:fldCharType="end"/>
        </w:r>
      </w:hyperlink>
    </w:p>
    <w:p w14:paraId="6771CD5D" w14:textId="031353DC"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87" w:history="1">
        <w:r w:rsidRPr="00651CCF">
          <w:rPr>
            <w:rStyle w:val="Hyperlink"/>
            <w:rFonts w:asciiTheme="majorHAnsi" w:eastAsia="Arial" w:hAnsiTheme="majorHAnsi" w:cstheme="majorHAnsi"/>
            <w:b/>
            <w:bCs/>
            <w:noProof/>
            <w:sz w:val="24"/>
            <w:szCs w:val="24"/>
          </w:rPr>
          <w:t>Policy H1: Housing Site Allocations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_Toc145511587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158</w:t>
        </w:r>
        <w:r w:rsidRPr="00651CCF">
          <w:rPr>
            <w:rFonts w:asciiTheme="majorHAnsi" w:hAnsiTheme="majorHAnsi" w:cstheme="majorHAnsi"/>
            <w:b/>
            <w:bCs/>
            <w:noProof/>
            <w:webHidden/>
            <w:sz w:val="24"/>
            <w:szCs w:val="24"/>
          </w:rPr>
          <w:fldChar w:fldCharType="end"/>
        </w:r>
      </w:hyperlink>
    </w:p>
    <w:p w14:paraId="13E060D3" w14:textId="5D910457"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88" w:history="1">
        <w:r w:rsidRPr="00651CCF">
          <w:rPr>
            <w:rStyle w:val="Hyperlink"/>
            <w:rFonts w:asciiTheme="majorHAnsi" w:eastAsia="Arial" w:hAnsiTheme="majorHAnsi" w:cstheme="majorHAnsi"/>
            <w:b/>
            <w:bCs/>
            <w:noProof/>
            <w:sz w:val="24"/>
            <w:szCs w:val="24"/>
          </w:rPr>
          <w:t>Policy H2: Provision for Gypsies, Travellers and Travelling Showpeople</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_Toc145511588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190</w:t>
        </w:r>
        <w:r w:rsidRPr="00651CCF">
          <w:rPr>
            <w:rFonts w:asciiTheme="majorHAnsi" w:hAnsiTheme="majorHAnsi" w:cstheme="majorHAnsi"/>
            <w:b/>
            <w:bCs/>
            <w:noProof/>
            <w:webHidden/>
            <w:sz w:val="24"/>
            <w:szCs w:val="24"/>
          </w:rPr>
          <w:fldChar w:fldCharType="end"/>
        </w:r>
      </w:hyperlink>
    </w:p>
    <w:p w14:paraId="21EF31AE" w14:textId="4F8E707F"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89" w:history="1">
        <w:r w:rsidRPr="00651CCF">
          <w:rPr>
            <w:rStyle w:val="Hyperlink"/>
            <w:rFonts w:asciiTheme="majorHAnsi" w:eastAsia="Arial" w:hAnsiTheme="majorHAnsi" w:cstheme="majorHAnsi"/>
            <w:b/>
            <w:bCs/>
            <w:noProof/>
            <w:sz w:val="24"/>
            <w:szCs w:val="24"/>
          </w:rPr>
          <w:t>Policy H2a: Gypsy, Traveller and Travelling Showpeople Site Allocations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_Toc145511589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193</w:t>
        </w:r>
        <w:r w:rsidRPr="00651CCF">
          <w:rPr>
            <w:rFonts w:asciiTheme="majorHAnsi" w:hAnsiTheme="majorHAnsi" w:cstheme="majorHAnsi"/>
            <w:b/>
            <w:bCs/>
            <w:noProof/>
            <w:webHidden/>
            <w:sz w:val="24"/>
            <w:szCs w:val="24"/>
          </w:rPr>
          <w:fldChar w:fldCharType="end"/>
        </w:r>
      </w:hyperlink>
    </w:p>
    <w:p w14:paraId="7051AE6F" w14:textId="62E09C67"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90" w:history="1">
        <w:r w:rsidRPr="00651CCF">
          <w:rPr>
            <w:rStyle w:val="Hyperlink"/>
            <w:rFonts w:asciiTheme="majorHAnsi" w:eastAsia="Arial" w:hAnsiTheme="majorHAnsi" w:cstheme="majorHAnsi"/>
            <w:b/>
            <w:bCs/>
            <w:noProof/>
            <w:sz w:val="24"/>
            <w:szCs w:val="24"/>
          </w:rPr>
          <w:t>Policy H3: Affordable Housing</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_Toc145511590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194</w:t>
        </w:r>
        <w:r w:rsidRPr="00651CCF">
          <w:rPr>
            <w:rFonts w:asciiTheme="majorHAnsi" w:hAnsiTheme="majorHAnsi" w:cstheme="majorHAnsi"/>
            <w:b/>
            <w:bCs/>
            <w:noProof/>
            <w:webHidden/>
            <w:sz w:val="24"/>
            <w:szCs w:val="24"/>
          </w:rPr>
          <w:fldChar w:fldCharType="end"/>
        </w:r>
      </w:hyperlink>
    </w:p>
    <w:p w14:paraId="089DCA72" w14:textId="01942CD3"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91" w:history="1">
        <w:r w:rsidRPr="00651CCF">
          <w:rPr>
            <w:rStyle w:val="Hyperlink"/>
            <w:rFonts w:asciiTheme="majorHAnsi" w:eastAsia="Arial" w:hAnsiTheme="majorHAnsi" w:cstheme="majorHAnsi"/>
            <w:b/>
            <w:bCs/>
            <w:noProof/>
            <w:sz w:val="24"/>
            <w:szCs w:val="24"/>
          </w:rPr>
          <w:t>Policy H4: Rural Exceptions Sites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_Toc145511591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198</w:t>
        </w:r>
        <w:r w:rsidRPr="00651CCF">
          <w:rPr>
            <w:rFonts w:asciiTheme="majorHAnsi" w:hAnsiTheme="majorHAnsi" w:cstheme="majorHAnsi"/>
            <w:b/>
            <w:bCs/>
            <w:noProof/>
            <w:webHidden/>
            <w:sz w:val="24"/>
            <w:szCs w:val="24"/>
          </w:rPr>
          <w:fldChar w:fldCharType="end"/>
        </w:r>
      </w:hyperlink>
    </w:p>
    <w:p w14:paraId="286C1D1B" w14:textId="0327654E"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92" w:history="1">
        <w:r w:rsidRPr="00651CCF">
          <w:rPr>
            <w:rStyle w:val="Hyperlink"/>
            <w:rFonts w:asciiTheme="majorHAnsi" w:eastAsia="Arial" w:hAnsiTheme="majorHAnsi" w:cstheme="majorHAnsi"/>
            <w:b/>
            <w:bCs/>
            <w:noProof/>
            <w:sz w:val="24"/>
            <w:szCs w:val="24"/>
          </w:rPr>
          <w:t>Policy H5: Public Open Space in New Residential Developments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_Toc145511592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200</w:t>
        </w:r>
        <w:r w:rsidRPr="00651CCF">
          <w:rPr>
            <w:rFonts w:asciiTheme="majorHAnsi" w:hAnsiTheme="majorHAnsi" w:cstheme="majorHAnsi"/>
            <w:b/>
            <w:bCs/>
            <w:noProof/>
            <w:webHidden/>
            <w:sz w:val="24"/>
            <w:szCs w:val="24"/>
          </w:rPr>
          <w:fldChar w:fldCharType="end"/>
        </w:r>
      </w:hyperlink>
    </w:p>
    <w:p w14:paraId="56A5564B" w14:textId="7BF89425"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93" w:history="1">
        <w:r w:rsidRPr="00651CCF">
          <w:rPr>
            <w:rStyle w:val="Hyperlink"/>
            <w:rFonts w:asciiTheme="majorHAnsi" w:eastAsia="Arial" w:hAnsiTheme="majorHAnsi" w:cstheme="majorHAnsi"/>
            <w:b/>
            <w:bCs/>
            <w:noProof/>
            <w:sz w:val="24"/>
            <w:szCs w:val="24"/>
          </w:rPr>
          <w:t>Policy H6: Housing Mix</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_Toc145511593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203</w:t>
        </w:r>
        <w:r w:rsidRPr="00651CCF">
          <w:rPr>
            <w:rFonts w:asciiTheme="majorHAnsi" w:hAnsiTheme="majorHAnsi" w:cstheme="majorHAnsi"/>
            <w:b/>
            <w:bCs/>
            <w:noProof/>
            <w:webHidden/>
            <w:sz w:val="24"/>
            <w:szCs w:val="24"/>
          </w:rPr>
          <w:fldChar w:fldCharType="end"/>
        </w:r>
      </w:hyperlink>
    </w:p>
    <w:p w14:paraId="1FEC7202" w14:textId="761B8F6F"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94" w:history="1">
        <w:r w:rsidRPr="00651CCF">
          <w:rPr>
            <w:rStyle w:val="Hyperlink"/>
            <w:rFonts w:asciiTheme="majorHAnsi" w:hAnsiTheme="majorHAnsi" w:cstheme="majorHAnsi"/>
            <w:b/>
            <w:bCs/>
            <w:noProof/>
            <w:sz w:val="24"/>
            <w:szCs w:val="24"/>
          </w:rPr>
          <w:t>Policy H7: Housing Density</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_Toc145511594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208</w:t>
        </w:r>
        <w:r w:rsidRPr="00651CCF">
          <w:rPr>
            <w:rFonts w:asciiTheme="majorHAnsi" w:hAnsiTheme="majorHAnsi" w:cstheme="majorHAnsi"/>
            <w:b/>
            <w:bCs/>
            <w:noProof/>
            <w:webHidden/>
            <w:sz w:val="24"/>
            <w:szCs w:val="24"/>
          </w:rPr>
          <w:fldChar w:fldCharType="end"/>
        </w:r>
      </w:hyperlink>
    </w:p>
    <w:p w14:paraId="4CDE8CBE" w14:textId="1C307B85"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95" w:history="1">
        <w:r w:rsidRPr="00651CCF">
          <w:rPr>
            <w:rStyle w:val="Hyperlink"/>
            <w:rFonts w:asciiTheme="majorHAnsi" w:eastAsia="Arial" w:hAnsiTheme="majorHAnsi" w:cstheme="majorHAnsi"/>
            <w:b/>
            <w:bCs/>
            <w:noProof/>
            <w:sz w:val="24"/>
            <w:szCs w:val="24"/>
          </w:rPr>
          <w:t>Policy H8: Houses in Multiple Occupation, Flats and Bedsits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_Toc145511595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211</w:t>
        </w:r>
        <w:r w:rsidRPr="00651CCF">
          <w:rPr>
            <w:rFonts w:asciiTheme="majorHAnsi" w:hAnsiTheme="majorHAnsi" w:cstheme="majorHAnsi"/>
            <w:b/>
            <w:bCs/>
            <w:noProof/>
            <w:webHidden/>
            <w:sz w:val="24"/>
            <w:szCs w:val="24"/>
          </w:rPr>
          <w:fldChar w:fldCharType="end"/>
        </w:r>
      </w:hyperlink>
    </w:p>
    <w:p w14:paraId="10CA42F2" w14:textId="015ADB72" w:rsidR="00BE6D36" w:rsidRPr="00651CCF" w:rsidRDefault="00BE6D36" w:rsidP="005F5AF9">
      <w:pPr>
        <w:pStyle w:val="TOC1"/>
        <w:rPr>
          <w:rFonts w:eastAsiaTheme="minorEastAsia"/>
          <w:color w:val="auto"/>
          <w:kern w:val="2"/>
          <w14:ligatures w14:val="standardContextual"/>
        </w:rPr>
      </w:pPr>
      <w:hyperlink w:anchor="_Toc145511596" w:history="1">
        <w:r w:rsidRPr="00651CCF">
          <w:rPr>
            <w:rStyle w:val="Hyperlink"/>
          </w:rPr>
          <w:t>Chapter 7</w:t>
        </w:r>
        <w:r w:rsidRPr="00651CCF">
          <w:rPr>
            <w:webHidden/>
          </w:rPr>
          <w:tab/>
        </w:r>
        <w:r w:rsidRPr="00651CCF">
          <w:rPr>
            <w:webHidden/>
          </w:rPr>
          <w:fldChar w:fldCharType="begin"/>
        </w:r>
        <w:r w:rsidRPr="00651CCF">
          <w:rPr>
            <w:webHidden/>
          </w:rPr>
          <w:instrText xml:space="preserve"> PAGEREF _Toc145511596 \h </w:instrText>
        </w:r>
        <w:r w:rsidRPr="00651CCF">
          <w:rPr>
            <w:webHidden/>
          </w:rPr>
        </w:r>
        <w:r w:rsidRPr="00651CCF">
          <w:rPr>
            <w:webHidden/>
          </w:rPr>
          <w:fldChar w:fldCharType="separate"/>
        </w:r>
        <w:r w:rsidR="00567588" w:rsidRPr="00651CCF">
          <w:rPr>
            <w:webHidden/>
          </w:rPr>
          <w:t>214</w:t>
        </w:r>
        <w:r w:rsidRPr="00651CCF">
          <w:rPr>
            <w:webHidden/>
          </w:rPr>
          <w:fldChar w:fldCharType="end"/>
        </w:r>
      </w:hyperlink>
    </w:p>
    <w:p w14:paraId="3A77034C" w14:textId="6A08F3C0" w:rsidR="00BE6D36" w:rsidRPr="00651CCF" w:rsidRDefault="00BE6D36" w:rsidP="005F5AF9">
      <w:pPr>
        <w:pStyle w:val="TOC1"/>
        <w:rPr>
          <w:rFonts w:eastAsiaTheme="minorEastAsia"/>
          <w:color w:val="auto"/>
          <w:kern w:val="2"/>
          <w14:ligatures w14:val="standardContextual"/>
        </w:rPr>
      </w:pPr>
      <w:hyperlink w:anchor="_Toc145511597" w:history="1">
        <w:r w:rsidRPr="00651CCF">
          <w:rPr>
            <w:rStyle w:val="Hyperlink"/>
          </w:rPr>
          <w:t>Building a strong economy which provides opportunities for local people</w:t>
        </w:r>
        <w:r w:rsidRPr="00651CCF">
          <w:rPr>
            <w:webHidden/>
          </w:rPr>
          <w:tab/>
        </w:r>
        <w:r w:rsidRPr="00651CCF">
          <w:rPr>
            <w:webHidden/>
          </w:rPr>
          <w:fldChar w:fldCharType="begin"/>
        </w:r>
        <w:r w:rsidRPr="00651CCF">
          <w:rPr>
            <w:webHidden/>
          </w:rPr>
          <w:instrText xml:space="preserve"> PAGEREF _Toc145511597 \h </w:instrText>
        </w:r>
        <w:r w:rsidRPr="00651CCF">
          <w:rPr>
            <w:webHidden/>
          </w:rPr>
        </w:r>
        <w:r w:rsidRPr="00651CCF">
          <w:rPr>
            <w:webHidden/>
          </w:rPr>
          <w:fldChar w:fldCharType="separate"/>
        </w:r>
        <w:r w:rsidR="00567588" w:rsidRPr="00651CCF">
          <w:rPr>
            <w:webHidden/>
          </w:rPr>
          <w:t>214</w:t>
        </w:r>
        <w:r w:rsidRPr="00651CCF">
          <w:rPr>
            <w:webHidden/>
          </w:rPr>
          <w:fldChar w:fldCharType="end"/>
        </w:r>
      </w:hyperlink>
    </w:p>
    <w:p w14:paraId="02C65C18" w14:textId="5148650B"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98" w:history="1">
        <w:r w:rsidRPr="00651CCF">
          <w:rPr>
            <w:rStyle w:val="Hyperlink"/>
            <w:rFonts w:asciiTheme="majorHAnsi" w:eastAsia="Arial" w:hAnsiTheme="majorHAnsi" w:cstheme="majorHAnsi"/>
            <w:b/>
            <w:bCs/>
            <w:noProof/>
            <w:sz w:val="24"/>
            <w:szCs w:val="24"/>
          </w:rPr>
          <w:t>Policy EM1: Business and Economic Development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_Toc145511598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214</w:t>
        </w:r>
        <w:r w:rsidRPr="00651CCF">
          <w:rPr>
            <w:rFonts w:asciiTheme="majorHAnsi" w:hAnsiTheme="majorHAnsi" w:cstheme="majorHAnsi"/>
            <w:b/>
            <w:bCs/>
            <w:noProof/>
            <w:webHidden/>
            <w:sz w:val="24"/>
            <w:szCs w:val="24"/>
          </w:rPr>
          <w:fldChar w:fldCharType="end"/>
        </w:r>
      </w:hyperlink>
    </w:p>
    <w:p w14:paraId="0EC7C443" w14:textId="37F2398D"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599" w:history="1">
        <w:r w:rsidRPr="00651CCF">
          <w:rPr>
            <w:rStyle w:val="Hyperlink"/>
            <w:rFonts w:asciiTheme="majorHAnsi" w:eastAsia="Arial" w:hAnsiTheme="majorHAnsi" w:cstheme="majorHAnsi"/>
            <w:b/>
            <w:bCs/>
            <w:noProof/>
            <w:sz w:val="24"/>
            <w:szCs w:val="24"/>
          </w:rPr>
          <w:t>Policy EM2: Employment Land Allocations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_Toc145511599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217</w:t>
        </w:r>
        <w:r w:rsidRPr="00651CCF">
          <w:rPr>
            <w:rFonts w:asciiTheme="majorHAnsi" w:hAnsiTheme="majorHAnsi" w:cstheme="majorHAnsi"/>
            <w:b/>
            <w:bCs/>
            <w:noProof/>
            <w:webHidden/>
            <w:sz w:val="24"/>
            <w:szCs w:val="24"/>
          </w:rPr>
          <w:fldChar w:fldCharType="end"/>
        </w:r>
      </w:hyperlink>
    </w:p>
    <w:p w14:paraId="20C0F305" w14:textId="47130855"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00" w:history="1">
        <w:r w:rsidRPr="00651CCF">
          <w:rPr>
            <w:rStyle w:val="Hyperlink"/>
            <w:rFonts w:asciiTheme="majorHAnsi" w:eastAsia="Arial" w:hAnsiTheme="majorHAnsi" w:cstheme="majorHAnsi"/>
            <w:b/>
            <w:bCs/>
            <w:noProof/>
            <w:sz w:val="24"/>
            <w:szCs w:val="24"/>
          </w:rPr>
          <w:t>Policy EM3: Retention of Employment Sites and Allocations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_Toc145511600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220</w:t>
        </w:r>
        <w:r w:rsidRPr="00651CCF">
          <w:rPr>
            <w:rFonts w:asciiTheme="majorHAnsi" w:hAnsiTheme="majorHAnsi" w:cstheme="majorHAnsi"/>
            <w:b/>
            <w:bCs/>
            <w:noProof/>
            <w:webHidden/>
            <w:sz w:val="24"/>
            <w:szCs w:val="24"/>
          </w:rPr>
          <w:fldChar w:fldCharType="end"/>
        </w:r>
      </w:hyperlink>
    </w:p>
    <w:p w14:paraId="2537C589" w14:textId="1423986A"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01" w:history="1">
        <w:r w:rsidRPr="00651CCF">
          <w:rPr>
            <w:rStyle w:val="Hyperlink"/>
            <w:rFonts w:asciiTheme="majorHAnsi" w:eastAsia="Arial" w:hAnsiTheme="majorHAnsi" w:cstheme="majorHAnsi"/>
            <w:b/>
            <w:bCs/>
            <w:noProof/>
            <w:sz w:val="24"/>
            <w:szCs w:val="24"/>
          </w:rPr>
          <w:t>Policy EM4: Rural Development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_Toc145511601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222</w:t>
        </w:r>
        <w:r w:rsidRPr="00651CCF">
          <w:rPr>
            <w:rFonts w:asciiTheme="majorHAnsi" w:hAnsiTheme="majorHAnsi" w:cstheme="majorHAnsi"/>
            <w:b/>
            <w:bCs/>
            <w:noProof/>
            <w:webHidden/>
            <w:sz w:val="24"/>
            <w:szCs w:val="24"/>
          </w:rPr>
          <w:fldChar w:fldCharType="end"/>
        </w:r>
      </w:hyperlink>
    </w:p>
    <w:p w14:paraId="67A1CD84" w14:textId="31925195"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02" w:history="1">
        <w:r w:rsidRPr="00651CCF">
          <w:rPr>
            <w:rStyle w:val="Hyperlink"/>
            <w:rFonts w:asciiTheme="majorHAnsi" w:eastAsia="Arial" w:hAnsiTheme="majorHAnsi" w:cstheme="majorHAnsi"/>
            <w:b/>
            <w:bCs/>
            <w:noProof/>
            <w:sz w:val="24"/>
            <w:szCs w:val="24"/>
          </w:rPr>
          <w:t>Policy EM5: Education, Skills and Training</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_Toc145511602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227</w:t>
        </w:r>
        <w:r w:rsidRPr="00651CCF">
          <w:rPr>
            <w:rFonts w:asciiTheme="majorHAnsi" w:hAnsiTheme="majorHAnsi" w:cstheme="majorHAnsi"/>
            <w:b/>
            <w:bCs/>
            <w:noProof/>
            <w:webHidden/>
            <w:sz w:val="24"/>
            <w:szCs w:val="24"/>
          </w:rPr>
          <w:fldChar w:fldCharType="end"/>
        </w:r>
      </w:hyperlink>
    </w:p>
    <w:p w14:paraId="45563C5C" w14:textId="0F13FC41" w:rsidR="00BE6D36" w:rsidRPr="00651CCF" w:rsidRDefault="00BE6D36" w:rsidP="005F5AF9">
      <w:pPr>
        <w:pStyle w:val="TOC1"/>
        <w:rPr>
          <w:rFonts w:eastAsiaTheme="minorEastAsia"/>
          <w:color w:val="auto"/>
          <w:kern w:val="2"/>
          <w14:ligatures w14:val="standardContextual"/>
        </w:rPr>
      </w:pPr>
      <w:hyperlink w:anchor="_Toc145511603" w:history="1">
        <w:r w:rsidRPr="00651CCF">
          <w:rPr>
            <w:rStyle w:val="Hyperlink"/>
          </w:rPr>
          <w:t>Chapter 8</w:t>
        </w:r>
        <w:r w:rsidRPr="00651CCF">
          <w:rPr>
            <w:webHidden/>
          </w:rPr>
          <w:tab/>
        </w:r>
        <w:r w:rsidRPr="00651CCF">
          <w:rPr>
            <w:webHidden/>
          </w:rPr>
          <w:fldChar w:fldCharType="begin"/>
        </w:r>
        <w:r w:rsidRPr="00651CCF">
          <w:rPr>
            <w:webHidden/>
          </w:rPr>
          <w:instrText xml:space="preserve"> PAGEREF _Toc145511603 \h </w:instrText>
        </w:r>
        <w:r w:rsidRPr="00651CCF">
          <w:rPr>
            <w:webHidden/>
          </w:rPr>
        </w:r>
        <w:r w:rsidRPr="00651CCF">
          <w:rPr>
            <w:webHidden/>
          </w:rPr>
          <w:fldChar w:fldCharType="separate"/>
        </w:r>
        <w:r w:rsidR="00567588" w:rsidRPr="00651CCF">
          <w:rPr>
            <w:webHidden/>
          </w:rPr>
          <w:t>231</w:t>
        </w:r>
        <w:r w:rsidRPr="00651CCF">
          <w:rPr>
            <w:webHidden/>
          </w:rPr>
          <w:fldChar w:fldCharType="end"/>
        </w:r>
      </w:hyperlink>
    </w:p>
    <w:p w14:paraId="1856757C" w14:textId="62D6EBBB" w:rsidR="00BE6D36" w:rsidRPr="00651CCF" w:rsidRDefault="00BE6D36" w:rsidP="005F5AF9">
      <w:pPr>
        <w:pStyle w:val="TOC1"/>
        <w:rPr>
          <w:rFonts w:eastAsiaTheme="minorEastAsia"/>
          <w:color w:val="auto"/>
          <w:kern w:val="2"/>
          <w14:ligatures w14:val="standardContextual"/>
        </w:rPr>
      </w:pPr>
      <w:hyperlink w:anchor="_Toc145511604" w:history="1">
        <w:r w:rsidRPr="00651CCF">
          <w:rPr>
            <w:rStyle w:val="Hyperlink"/>
          </w:rPr>
          <w:t>Placing vibrant town and local centres at the heart of the community</w:t>
        </w:r>
        <w:r w:rsidRPr="00651CCF">
          <w:rPr>
            <w:webHidden/>
          </w:rPr>
          <w:tab/>
        </w:r>
        <w:r w:rsidRPr="00651CCF">
          <w:rPr>
            <w:webHidden/>
          </w:rPr>
          <w:fldChar w:fldCharType="begin"/>
        </w:r>
        <w:r w:rsidRPr="00651CCF">
          <w:rPr>
            <w:webHidden/>
          </w:rPr>
          <w:instrText xml:space="preserve"> PAGEREF _Toc145511604 \h </w:instrText>
        </w:r>
        <w:r w:rsidRPr="00651CCF">
          <w:rPr>
            <w:webHidden/>
          </w:rPr>
        </w:r>
        <w:r w:rsidRPr="00651CCF">
          <w:rPr>
            <w:webHidden/>
          </w:rPr>
          <w:fldChar w:fldCharType="separate"/>
        </w:r>
        <w:r w:rsidR="00567588" w:rsidRPr="00651CCF">
          <w:rPr>
            <w:webHidden/>
          </w:rPr>
          <w:t>231</w:t>
        </w:r>
        <w:r w:rsidRPr="00651CCF">
          <w:rPr>
            <w:webHidden/>
          </w:rPr>
          <w:fldChar w:fldCharType="end"/>
        </w:r>
      </w:hyperlink>
    </w:p>
    <w:p w14:paraId="47E5C447" w14:textId="2A9C4714"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05" w:history="1">
        <w:r w:rsidRPr="00651CCF">
          <w:rPr>
            <w:rStyle w:val="Hyperlink"/>
            <w:rFonts w:asciiTheme="majorHAnsi" w:eastAsia="Arial" w:hAnsiTheme="majorHAnsi" w:cstheme="majorHAnsi"/>
            <w:b/>
            <w:bCs/>
            <w:noProof/>
            <w:sz w:val="24"/>
            <w:szCs w:val="24"/>
          </w:rPr>
          <w:t>Policy SH1: Retail, Leisure, Commercial and Town Centre Uses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_Toc145511605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231</w:t>
        </w:r>
        <w:r w:rsidRPr="00651CCF">
          <w:rPr>
            <w:rFonts w:asciiTheme="majorHAnsi" w:hAnsiTheme="majorHAnsi" w:cstheme="majorHAnsi"/>
            <w:b/>
            <w:bCs/>
            <w:noProof/>
            <w:webHidden/>
            <w:sz w:val="24"/>
            <w:szCs w:val="24"/>
          </w:rPr>
          <w:fldChar w:fldCharType="end"/>
        </w:r>
      </w:hyperlink>
    </w:p>
    <w:p w14:paraId="54A7B467" w14:textId="1683C45D"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06" w:history="1">
        <w:r w:rsidRPr="00651CCF">
          <w:rPr>
            <w:rStyle w:val="Hyperlink"/>
            <w:rFonts w:asciiTheme="majorHAnsi" w:eastAsia="Arial" w:hAnsiTheme="majorHAnsi" w:cstheme="majorHAnsi"/>
            <w:b/>
            <w:bCs/>
            <w:noProof/>
            <w:sz w:val="24"/>
            <w:szCs w:val="24"/>
          </w:rPr>
          <w:t>Policy SH2: Local Shopping Centres, Shopping Parades and Single Shops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_Toc145511606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236</w:t>
        </w:r>
        <w:r w:rsidRPr="00651CCF">
          <w:rPr>
            <w:rFonts w:asciiTheme="majorHAnsi" w:hAnsiTheme="majorHAnsi" w:cstheme="majorHAnsi"/>
            <w:b/>
            <w:bCs/>
            <w:noProof/>
            <w:webHidden/>
            <w:sz w:val="24"/>
            <w:szCs w:val="24"/>
          </w:rPr>
          <w:fldChar w:fldCharType="end"/>
        </w:r>
      </w:hyperlink>
    </w:p>
    <w:p w14:paraId="40C0C0BD" w14:textId="1CFBCA87"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07" w:history="1">
        <w:r w:rsidRPr="00651CCF">
          <w:rPr>
            <w:rStyle w:val="Hyperlink"/>
            <w:rFonts w:asciiTheme="majorHAnsi" w:hAnsiTheme="majorHAnsi" w:cstheme="majorHAnsi"/>
            <w:b/>
            <w:bCs/>
            <w:noProof/>
            <w:sz w:val="24"/>
            <w:szCs w:val="24"/>
          </w:rPr>
          <w:t>Policy SH3: Shopfronts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_Toc145511607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239</w:t>
        </w:r>
        <w:r w:rsidRPr="00651CCF">
          <w:rPr>
            <w:rFonts w:asciiTheme="majorHAnsi" w:hAnsiTheme="majorHAnsi" w:cstheme="majorHAnsi"/>
            <w:b/>
            <w:bCs/>
            <w:noProof/>
            <w:webHidden/>
            <w:sz w:val="24"/>
            <w:szCs w:val="24"/>
          </w:rPr>
          <w:fldChar w:fldCharType="end"/>
        </w:r>
      </w:hyperlink>
    </w:p>
    <w:p w14:paraId="3DAEED06" w14:textId="35728DA9" w:rsidR="00BE6D36" w:rsidRPr="00651CCF" w:rsidRDefault="00BE6D36" w:rsidP="005F5AF9">
      <w:pPr>
        <w:pStyle w:val="TOC1"/>
        <w:rPr>
          <w:rFonts w:eastAsiaTheme="minorEastAsia"/>
          <w:color w:val="auto"/>
          <w:kern w:val="2"/>
          <w14:ligatures w14:val="standardContextual"/>
        </w:rPr>
      </w:pPr>
      <w:hyperlink w:anchor="_Toc145511608" w:history="1">
        <w:r w:rsidRPr="00651CCF">
          <w:rPr>
            <w:rStyle w:val="Hyperlink"/>
          </w:rPr>
          <w:t>Chapter 9</w:t>
        </w:r>
        <w:r w:rsidRPr="00651CCF">
          <w:rPr>
            <w:webHidden/>
          </w:rPr>
          <w:tab/>
        </w:r>
        <w:r w:rsidRPr="00651CCF">
          <w:rPr>
            <w:webHidden/>
          </w:rPr>
          <w:fldChar w:fldCharType="begin"/>
        </w:r>
        <w:r w:rsidRPr="00651CCF">
          <w:rPr>
            <w:webHidden/>
          </w:rPr>
          <w:instrText xml:space="preserve"> PAGEREF _Toc145511608 \h </w:instrText>
        </w:r>
        <w:r w:rsidRPr="00651CCF">
          <w:rPr>
            <w:webHidden/>
          </w:rPr>
        </w:r>
        <w:r w:rsidRPr="00651CCF">
          <w:rPr>
            <w:webHidden/>
          </w:rPr>
          <w:fldChar w:fldCharType="separate"/>
        </w:r>
        <w:r w:rsidR="00567588" w:rsidRPr="00651CCF">
          <w:rPr>
            <w:webHidden/>
          </w:rPr>
          <w:t>243</w:t>
        </w:r>
        <w:r w:rsidRPr="00651CCF">
          <w:rPr>
            <w:webHidden/>
          </w:rPr>
          <w:fldChar w:fldCharType="end"/>
        </w:r>
      </w:hyperlink>
    </w:p>
    <w:p w14:paraId="7AC7DB43" w14:textId="5EFC70D9" w:rsidR="00BE6D36" w:rsidRPr="00651CCF" w:rsidRDefault="00BE6D36" w:rsidP="005F5AF9">
      <w:pPr>
        <w:pStyle w:val="TOC1"/>
        <w:rPr>
          <w:rFonts w:eastAsiaTheme="minorEastAsia"/>
          <w:color w:val="auto"/>
          <w:kern w:val="2"/>
          <w14:ligatures w14:val="standardContextual"/>
        </w:rPr>
      </w:pPr>
      <w:hyperlink w:anchor="_Toc145511609" w:history="1">
        <w:r w:rsidRPr="00651CCF">
          <w:rPr>
            <w:rStyle w:val="Hyperlink"/>
          </w:rPr>
          <w:t>Achieving successful development through well designed places</w:t>
        </w:r>
        <w:r w:rsidRPr="00651CCF">
          <w:rPr>
            <w:webHidden/>
          </w:rPr>
          <w:tab/>
        </w:r>
        <w:r w:rsidRPr="00651CCF">
          <w:rPr>
            <w:webHidden/>
          </w:rPr>
          <w:fldChar w:fldCharType="begin"/>
        </w:r>
        <w:r w:rsidRPr="00651CCF">
          <w:rPr>
            <w:webHidden/>
          </w:rPr>
          <w:instrText xml:space="preserve"> PAGEREF _Toc145511609 \h </w:instrText>
        </w:r>
        <w:r w:rsidRPr="00651CCF">
          <w:rPr>
            <w:webHidden/>
          </w:rPr>
        </w:r>
        <w:r w:rsidRPr="00651CCF">
          <w:rPr>
            <w:webHidden/>
          </w:rPr>
          <w:fldChar w:fldCharType="separate"/>
        </w:r>
        <w:r w:rsidR="00567588" w:rsidRPr="00651CCF">
          <w:rPr>
            <w:webHidden/>
          </w:rPr>
          <w:t>243</w:t>
        </w:r>
        <w:r w:rsidRPr="00651CCF">
          <w:rPr>
            <w:webHidden/>
          </w:rPr>
          <w:fldChar w:fldCharType="end"/>
        </w:r>
      </w:hyperlink>
    </w:p>
    <w:p w14:paraId="6033A29B" w14:textId="3DC0DCE2"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0" w:history="1">
        <w:r w:rsidRPr="00651CCF">
          <w:rPr>
            <w:rStyle w:val="Hyperlink"/>
            <w:rFonts w:asciiTheme="majorHAnsi" w:eastAsia="Arial" w:hAnsiTheme="majorHAnsi" w:cstheme="majorHAnsi"/>
            <w:b/>
            <w:bCs/>
            <w:noProof/>
            <w:sz w:val="24"/>
            <w:szCs w:val="24"/>
          </w:rPr>
          <w:t>Policy SD1: Social Value</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_Toc145511610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243</w:t>
        </w:r>
        <w:r w:rsidRPr="00651CCF">
          <w:rPr>
            <w:rFonts w:asciiTheme="majorHAnsi" w:hAnsiTheme="majorHAnsi" w:cstheme="majorHAnsi"/>
            <w:b/>
            <w:bCs/>
            <w:noProof/>
            <w:webHidden/>
            <w:sz w:val="24"/>
            <w:szCs w:val="24"/>
          </w:rPr>
          <w:fldChar w:fldCharType="end"/>
        </w:r>
      </w:hyperlink>
    </w:p>
    <w:p w14:paraId="37F20B85" w14:textId="6D854236"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1" w:history="1">
        <w:r w:rsidRPr="00651CCF">
          <w:rPr>
            <w:rStyle w:val="Hyperlink"/>
            <w:rFonts w:asciiTheme="majorHAnsi" w:hAnsiTheme="majorHAnsi" w:cstheme="majorHAnsi"/>
            <w:b/>
            <w:bCs/>
            <w:noProof/>
            <w:sz w:val="24"/>
            <w:szCs w:val="24"/>
          </w:rPr>
          <w:t>Policy SD2: Good Design Considerations for Development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_Toc145511611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244</w:t>
        </w:r>
        <w:r w:rsidRPr="00651CCF">
          <w:rPr>
            <w:rFonts w:asciiTheme="majorHAnsi" w:hAnsiTheme="majorHAnsi" w:cstheme="majorHAnsi"/>
            <w:b/>
            <w:bCs/>
            <w:noProof/>
            <w:webHidden/>
            <w:sz w:val="24"/>
            <w:szCs w:val="24"/>
          </w:rPr>
          <w:fldChar w:fldCharType="end"/>
        </w:r>
      </w:hyperlink>
    </w:p>
    <w:p w14:paraId="5BB0C6C8" w14:textId="2EA36D98"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2" w:history="1">
        <w:r w:rsidRPr="00651CCF">
          <w:rPr>
            <w:rStyle w:val="Hyperlink"/>
            <w:rFonts w:asciiTheme="majorHAnsi" w:eastAsia="Arial" w:hAnsiTheme="majorHAnsi" w:cstheme="majorHAnsi"/>
            <w:b/>
            <w:bCs/>
            <w:noProof/>
            <w:sz w:val="24"/>
            <w:szCs w:val="24"/>
          </w:rPr>
          <w:t>Policy SD3: Amenity</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_Toc145511612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251</w:t>
        </w:r>
        <w:r w:rsidRPr="00651CCF">
          <w:rPr>
            <w:rFonts w:asciiTheme="majorHAnsi" w:hAnsiTheme="majorHAnsi" w:cstheme="majorHAnsi"/>
            <w:b/>
            <w:bCs/>
            <w:noProof/>
            <w:webHidden/>
            <w:sz w:val="24"/>
            <w:szCs w:val="24"/>
          </w:rPr>
          <w:fldChar w:fldCharType="end"/>
        </w:r>
      </w:hyperlink>
    </w:p>
    <w:p w14:paraId="27C6BBDA" w14:textId="5876D137"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3" w:history="1">
        <w:r w:rsidRPr="00651CCF">
          <w:rPr>
            <w:rStyle w:val="Hyperlink"/>
            <w:rFonts w:asciiTheme="majorHAnsi" w:hAnsiTheme="majorHAnsi" w:cstheme="majorHAnsi"/>
            <w:b/>
            <w:bCs/>
            <w:noProof/>
            <w:sz w:val="24"/>
            <w:szCs w:val="24"/>
          </w:rPr>
          <w:t>Policy SD4: Recycling and Refuse Provision in New Development</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_Toc145511613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255</w:t>
        </w:r>
        <w:r w:rsidRPr="00651CCF">
          <w:rPr>
            <w:rFonts w:asciiTheme="majorHAnsi" w:hAnsiTheme="majorHAnsi" w:cstheme="majorHAnsi"/>
            <w:b/>
            <w:bCs/>
            <w:noProof/>
            <w:webHidden/>
            <w:sz w:val="24"/>
            <w:szCs w:val="24"/>
          </w:rPr>
          <w:fldChar w:fldCharType="end"/>
        </w:r>
      </w:hyperlink>
    </w:p>
    <w:p w14:paraId="0E2161D5" w14:textId="33D8EFCB"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4" w:history="1">
        <w:r w:rsidRPr="00651CCF">
          <w:rPr>
            <w:rStyle w:val="Hyperlink"/>
            <w:rFonts w:asciiTheme="majorHAnsi" w:eastAsia="Arial" w:hAnsiTheme="majorHAnsi" w:cstheme="majorHAnsi"/>
            <w:b/>
            <w:bCs/>
            <w:noProof/>
            <w:sz w:val="24"/>
            <w:szCs w:val="24"/>
          </w:rPr>
          <w:t>Policy SD5: Developer Contributions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_Toc145511614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258</w:t>
        </w:r>
        <w:r w:rsidRPr="00651CCF">
          <w:rPr>
            <w:rFonts w:asciiTheme="majorHAnsi" w:hAnsiTheme="majorHAnsi" w:cstheme="majorHAnsi"/>
            <w:b/>
            <w:bCs/>
            <w:noProof/>
            <w:webHidden/>
            <w:sz w:val="24"/>
            <w:szCs w:val="24"/>
          </w:rPr>
          <w:fldChar w:fldCharType="end"/>
        </w:r>
      </w:hyperlink>
    </w:p>
    <w:p w14:paraId="31B2CE5E" w14:textId="12CC3C18"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5" w:history="1">
        <w:r w:rsidRPr="00651CCF">
          <w:rPr>
            <w:rStyle w:val="Hyperlink"/>
            <w:rFonts w:asciiTheme="majorHAnsi" w:eastAsia="Arial" w:hAnsiTheme="majorHAnsi" w:cstheme="majorHAnsi"/>
            <w:b/>
            <w:bCs/>
            <w:noProof/>
            <w:sz w:val="24"/>
            <w:szCs w:val="24"/>
          </w:rPr>
          <w:t>Policy SD6: Assessing Development Viability and Development Demand</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_Toc145511615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260</w:t>
        </w:r>
        <w:r w:rsidRPr="00651CCF">
          <w:rPr>
            <w:rFonts w:asciiTheme="majorHAnsi" w:hAnsiTheme="majorHAnsi" w:cstheme="majorHAnsi"/>
            <w:b/>
            <w:bCs/>
            <w:noProof/>
            <w:webHidden/>
            <w:sz w:val="24"/>
            <w:szCs w:val="24"/>
          </w:rPr>
          <w:fldChar w:fldCharType="end"/>
        </w:r>
      </w:hyperlink>
    </w:p>
    <w:p w14:paraId="33A3C983" w14:textId="2922F105"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6" w:history="1">
        <w:r w:rsidRPr="00651CCF">
          <w:rPr>
            <w:rStyle w:val="Hyperlink"/>
            <w:rFonts w:asciiTheme="majorHAnsi" w:eastAsia="Arial" w:hAnsiTheme="majorHAnsi" w:cstheme="majorHAnsi"/>
            <w:b/>
            <w:bCs/>
            <w:noProof/>
            <w:sz w:val="24"/>
            <w:szCs w:val="24"/>
          </w:rPr>
          <w:t>Policy SD7: Communications Infrastructure</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_Toc145511616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264</w:t>
        </w:r>
        <w:r w:rsidRPr="00651CCF">
          <w:rPr>
            <w:rFonts w:asciiTheme="majorHAnsi" w:hAnsiTheme="majorHAnsi" w:cstheme="majorHAnsi"/>
            <w:b/>
            <w:bCs/>
            <w:noProof/>
            <w:webHidden/>
            <w:sz w:val="24"/>
            <w:szCs w:val="24"/>
          </w:rPr>
          <w:fldChar w:fldCharType="end"/>
        </w:r>
      </w:hyperlink>
    </w:p>
    <w:p w14:paraId="2D766681" w14:textId="58F2862E"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7" w:history="1">
        <w:r w:rsidRPr="00651CCF">
          <w:rPr>
            <w:rStyle w:val="Hyperlink"/>
            <w:rFonts w:asciiTheme="majorHAnsi" w:hAnsiTheme="majorHAnsi" w:cstheme="majorHAnsi"/>
            <w:b/>
            <w:bCs/>
            <w:noProof/>
            <w:sz w:val="24"/>
            <w:szCs w:val="24"/>
          </w:rPr>
          <w:t>Policy SD8: Contaminated Land and Unstable Land</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_Toc145511617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267</w:t>
        </w:r>
        <w:r w:rsidRPr="00651CCF">
          <w:rPr>
            <w:rFonts w:asciiTheme="majorHAnsi" w:hAnsiTheme="majorHAnsi" w:cstheme="majorHAnsi"/>
            <w:b/>
            <w:bCs/>
            <w:noProof/>
            <w:webHidden/>
            <w:sz w:val="24"/>
            <w:szCs w:val="24"/>
          </w:rPr>
          <w:fldChar w:fldCharType="end"/>
        </w:r>
      </w:hyperlink>
    </w:p>
    <w:p w14:paraId="32473A61" w14:textId="3DB884F0"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8" w:history="1">
        <w:r w:rsidRPr="00651CCF">
          <w:rPr>
            <w:rStyle w:val="Hyperlink"/>
            <w:rFonts w:asciiTheme="majorHAnsi" w:hAnsiTheme="majorHAnsi" w:cstheme="majorHAnsi"/>
            <w:b/>
            <w:bCs/>
            <w:noProof/>
            <w:sz w:val="24"/>
            <w:szCs w:val="24"/>
          </w:rPr>
          <w:t>Policy SD9: Environmental Protection</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_Toc145511618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270</w:t>
        </w:r>
        <w:r w:rsidRPr="00651CCF">
          <w:rPr>
            <w:rFonts w:asciiTheme="majorHAnsi" w:hAnsiTheme="majorHAnsi" w:cstheme="majorHAnsi"/>
            <w:b/>
            <w:bCs/>
            <w:noProof/>
            <w:webHidden/>
            <w:sz w:val="24"/>
            <w:szCs w:val="24"/>
          </w:rPr>
          <w:fldChar w:fldCharType="end"/>
        </w:r>
      </w:hyperlink>
    </w:p>
    <w:p w14:paraId="71977B12" w14:textId="648581D6"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19" w:history="1">
        <w:r w:rsidRPr="00651CCF">
          <w:rPr>
            <w:rStyle w:val="Hyperlink"/>
            <w:rFonts w:asciiTheme="majorHAnsi" w:hAnsiTheme="majorHAnsi" w:cstheme="majorHAnsi"/>
            <w:b/>
            <w:bCs/>
            <w:noProof/>
            <w:sz w:val="24"/>
            <w:szCs w:val="24"/>
          </w:rPr>
          <w:t>Policy SD10: Transport Infrastructure</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_Toc145511619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274</w:t>
        </w:r>
        <w:r w:rsidRPr="00651CCF">
          <w:rPr>
            <w:rFonts w:asciiTheme="majorHAnsi" w:hAnsiTheme="majorHAnsi" w:cstheme="majorHAnsi"/>
            <w:b/>
            <w:bCs/>
            <w:noProof/>
            <w:webHidden/>
            <w:sz w:val="24"/>
            <w:szCs w:val="24"/>
          </w:rPr>
          <w:fldChar w:fldCharType="end"/>
        </w:r>
      </w:hyperlink>
    </w:p>
    <w:p w14:paraId="5B594797" w14:textId="640C2F47"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20" w:history="1">
        <w:r w:rsidRPr="00651CCF">
          <w:rPr>
            <w:rStyle w:val="Hyperlink"/>
            <w:rFonts w:asciiTheme="majorHAnsi" w:hAnsiTheme="majorHAnsi" w:cstheme="majorHAnsi"/>
            <w:b/>
            <w:bCs/>
            <w:noProof/>
            <w:sz w:val="24"/>
            <w:szCs w:val="24"/>
          </w:rPr>
          <w:t>Policy SD11: Parking</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_Toc145511620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278</w:t>
        </w:r>
        <w:r w:rsidRPr="00651CCF">
          <w:rPr>
            <w:rFonts w:asciiTheme="majorHAnsi" w:hAnsiTheme="majorHAnsi" w:cstheme="majorHAnsi"/>
            <w:b/>
            <w:bCs/>
            <w:noProof/>
            <w:webHidden/>
            <w:sz w:val="24"/>
            <w:szCs w:val="24"/>
          </w:rPr>
          <w:fldChar w:fldCharType="end"/>
        </w:r>
      </w:hyperlink>
    </w:p>
    <w:p w14:paraId="0B1C54FC" w14:textId="102E3E1C"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21" w:history="1">
        <w:r w:rsidRPr="00651CCF">
          <w:rPr>
            <w:rStyle w:val="Hyperlink"/>
            <w:rFonts w:asciiTheme="majorHAnsi" w:hAnsiTheme="majorHAnsi" w:cstheme="majorHAnsi"/>
            <w:b/>
            <w:bCs/>
            <w:noProof/>
            <w:sz w:val="24"/>
            <w:szCs w:val="24"/>
          </w:rPr>
          <w:t xml:space="preserve">Policy </w:t>
        </w:r>
        <w:r w:rsidRPr="00651CCF">
          <w:rPr>
            <w:rStyle w:val="Hyperlink"/>
            <w:rFonts w:asciiTheme="majorHAnsi" w:eastAsia="Arial" w:hAnsiTheme="majorHAnsi" w:cstheme="majorHAnsi"/>
            <w:b/>
            <w:bCs/>
            <w:noProof/>
            <w:sz w:val="24"/>
            <w:szCs w:val="24"/>
          </w:rPr>
          <w:t>SD12: Advertisements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_Toc145511621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281</w:t>
        </w:r>
        <w:r w:rsidRPr="00651CCF">
          <w:rPr>
            <w:rFonts w:asciiTheme="majorHAnsi" w:hAnsiTheme="majorHAnsi" w:cstheme="majorHAnsi"/>
            <w:b/>
            <w:bCs/>
            <w:noProof/>
            <w:webHidden/>
            <w:sz w:val="24"/>
            <w:szCs w:val="24"/>
          </w:rPr>
          <w:fldChar w:fldCharType="end"/>
        </w:r>
      </w:hyperlink>
    </w:p>
    <w:p w14:paraId="58F4F4F4" w14:textId="0AF16146" w:rsidR="00BE6D36" w:rsidRPr="00651CCF" w:rsidRDefault="00BE6D36" w:rsidP="00DF0A33">
      <w:pPr>
        <w:pStyle w:val="TOC3"/>
        <w:tabs>
          <w:tab w:val="right" w:leader="dot" w:pos="9629"/>
        </w:tabs>
        <w:rPr>
          <w:rFonts w:asciiTheme="majorHAnsi" w:eastAsiaTheme="minorEastAsia" w:hAnsiTheme="majorHAnsi" w:cstheme="majorHAnsi"/>
          <w:b/>
          <w:bCs/>
          <w:noProof/>
          <w:color w:val="auto"/>
          <w:kern w:val="2"/>
          <w:sz w:val="24"/>
          <w:szCs w:val="24"/>
          <w14:ligatures w14:val="standardContextual"/>
        </w:rPr>
      </w:pPr>
      <w:hyperlink w:anchor="_Toc145511622" w:history="1">
        <w:r w:rsidRPr="00651CCF">
          <w:rPr>
            <w:rStyle w:val="Hyperlink"/>
            <w:rFonts w:asciiTheme="majorHAnsi" w:hAnsiTheme="majorHAnsi" w:cstheme="majorHAnsi"/>
            <w:b/>
            <w:bCs/>
            <w:noProof/>
            <w:sz w:val="24"/>
            <w:szCs w:val="24"/>
          </w:rPr>
          <w:t>Policy SD13: Provision and Protection of Health and Community Facilities</w:t>
        </w:r>
        <w:r w:rsidRPr="00651CCF">
          <w:rPr>
            <w:rFonts w:asciiTheme="majorHAnsi" w:hAnsiTheme="majorHAnsi" w:cstheme="majorHAnsi"/>
            <w:b/>
            <w:bCs/>
            <w:noProof/>
            <w:webHidden/>
            <w:sz w:val="24"/>
            <w:szCs w:val="24"/>
          </w:rPr>
          <w:tab/>
        </w:r>
        <w:r w:rsidRPr="00651CCF">
          <w:rPr>
            <w:rFonts w:asciiTheme="majorHAnsi" w:hAnsiTheme="majorHAnsi" w:cstheme="majorHAnsi"/>
            <w:b/>
            <w:bCs/>
            <w:noProof/>
            <w:webHidden/>
            <w:sz w:val="24"/>
            <w:szCs w:val="24"/>
          </w:rPr>
          <w:fldChar w:fldCharType="begin"/>
        </w:r>
        <w:r w:rsidRPr="00651CCF">
          <w:rPr>
            <w:rFonts w:asciiTheme="majorHAnsi" w:hAnsiTheme="majorHAnsi" w:cstheme="majorHAnsi"/>
            <w:b/>
            <w:bCs/>
            <w:noProof/>
            <w:webHidden/>
            <w:sz w:val="24"/>
            <w:szCs w:val="24"/>
          </w:rPr>
          <w:instrText xml:space="preserve"> PAGEREF _Toc145511622 \h </w:instrText>
        </w:r>
        <w:r w:rsidRPr="00651CCF">
          <w:rPr>
            <w:rFonts w:asciiTheme="majorHAnsi" w:hAnsiTheme="majorHAnsi" w:cstheme="majorHAnsi"/>
            <w:b/>
            <w:bCs/>
            <w:noProof/>
            <w:webHidden/>
            <w:sz w:val="24"/>
            <w:szCs w:val="24"/>
          </w:rPr>
        </w:r>
        <w:r w:rsidRPr="00651CCF">
          <w:rPr>
            <w:rFonts w:asciiTheme="majorHAnsi" w:hAnsiTheme="majorHAnsi" w:cstheme="majorHAnsi"/>
            <w:b/>
            <w:bCs/>
            <w:noProof/>
            <w:webHidden/>
            <w:sz w:val="24"/>
            <w:szCs w:val="24"/>
          </w:rPr>
          <w:fldChar w:fldCharType="separate"/>
        </w:r>
        <w:r w:rsidR="00567588" w:rsidRPr="00651CCF">
          <w:rPr>
            <w:rFonts w:asciiTheme="majorHAnsi" w:hAnsiTheme="majorHAnsi" w:cstheme="majorHAnsi"/>
            <w:b/>
            <w:bCs/>
            <w:noProof/>
            <w:webHidden/>
            <w:sz w:val="24"/>
            <w:szCs w:val="24"/>
          </w:rPr>
          <w:t>282</w:t>
        </w:r>
        <w:r w:rsidRPr="00651CCF">
          <w:rPr>
            <w:rFonts w:asciiTheme="majorHAnsi" w:hAnsiTheme="majorHAnsi" w:cstheme="majorHAnsi"/>
            <w:b/>
            <w:bCs/>
            <w:noProof/>
            <w:webHidden/>
            <w:sz w:val="24"/>
            <w:szCs w:val="24"/>
          </w:rPr>
          <w:fldChar w:fldCharType="end"/>
        </w:r>
      </w:hyperlink>
    </w:p>
    <w:p w14:paraId="48661154" w14:textId="11E08C4C" w:rsidR="00BE6D36" w:rsidRPr="00651CCF" w:rsidRDefault="00BE6D36" w:rsidP="005F5AF9">
      <w:pPr>
        <w:pStyle w:val="TOC1"/>
        <w:rPr>
          <w:rFonts w:eastAsiaTheme="minorEastAsia"/>
          <w:color w:val="auto"/>
          <w:kern w:val="2"/>
          <w14:ligatures w14:val="standardContextual"/>
        </w:rPr>
      </w:pPr>
      <w:hyperlink w:anchor="_Toc145511623" w:history="1">
        <w:r w:rsidRPr="00651CCF">
          <w:rPr>
            <w:rStyle w:val="Hyperlink"/>
          </w:rPr>
          <w:t>Appendix 1 - Glossary of Terms and Abbreviations</w:t>
        </w:r>
        <w:r w:rsidRPr="00651CCF">
          <w:rPr>
            <w:webHidden/>
          </w:rPr>
          <w:tab/>
        </w:r>
        <w:r w:rsidRPr="00651CCF">
          <w:rPr>
            <w:webHidden/>
          </w:rPr>
          <w:fldChar w:fldCharType="begin"/>
        </w:r>
        <w:r w:rsidRPr="00651CCF">
          <w:rPr>
            <w:webHidden/>
          </w:rPr>
          <w:instrText xml:space="preserve"> PAGEREF _Toc145511623 \h </w:instrText>
        </w:r>
        <w:r w:rsidRPr="00651CCF">
          <w:rPr>
            <w:webHidden/>
          </w:rPr>
        </w:r>
        <w:r w:rsidRPr="00651CCF">
          <w:rPr>
            <w:webHidden/>
          </w:rPr>
          <w:fldChar w:fldCharType="separate"/>
        </w:r>
        <w:r w:rsidR="00567588" w:rsidRPr="00651CCF">
          <w:rPr>
            <w:webHidden/>
          </w:rPr>
          <w:t>286</w:t>
        </w:r>
        <w:r w:rsidRPr="00651CCF">
          <w:rPr>
            <w:webHidden/>
          </w:rPr>
          <w:fldChar w:fldCharType="end"/>
        </w:r>
      </w:hyperlink>
    </w:p>
    <w:p w14:paraId="0EB39172" w14:textId="4C099779" w:rsidR="00BE6D36" w:rsidRPr="00651CCF" w:rsidRDefault="00BE6D36" w:rsidP="005F5AF9">
      <w:pPr>
        <w:pStyle w:val="TOC1"/>
        <w:rPr>
          <w:rFonts w:eastAsiaTheme="minorEastAsia"/>
          <w:color w:val="auto"/>
          <w:kern w:val="2"/>
          <w14:ligatures w14:val="standardContextual"/>
        </w:rPr>
      </w:pPr>
      <w:hyperlink w:anchor="_Toc145511624" w:history="1">
        <w:r w:rsidRPr="00651CCF">
          <w:rPr>
            <w:rStyle w:val="Hyperlink"/>
          </w:rPr>
          <w:t>Appendix 2 - Five Year Land Supply and Housing Trajectory</w:t>
        </w:r>
        <w:r w:rsidRPr="00651CCF">
          <w:rPr>
            <w:webHidden/>
          </w:rPr>
          <w:tab/>
        </w:r>
        <w:r w:rsidRPr="00651CCF">
          <w:rPr>
            <w:webHidden/>
          </w:rPr>
          <w:fldChar w:fldCharType="begin"/>
        </w:r>
        <w:r w:rsidRPr="00651CCF">
          <w:rPr>
            <w:webHidden/>
          </w:rPr>
          <w:instrText xml:space="preserve"> PAGEREF _Toc145511624 \h </w:instrText>
        </w:r>
        <w:r w:rsidRPr="00651CCF">
          <w:rPr>
            <w:webHidden/>
          </w:rPr>
        </w:r>
        <w:r w:rsidRPr="00651CCF">
          <w:rPr>
            <w:webHidden/>
          </w:rPr>
          <w:fldChar w:fldCharType="separate"/>
        </w:r>
        <w:r w:rsidR="00567588" w:rsidRPr="00651CCF">
          <w:rPr>
            <w:webHidden/>
          </w:rPr>
          <w:t>298</w:t>
        </w:r>
        <w:r w:rsidRPr="00651CCF">
          <w:rPr>
            <w:webHidden/>
          </w:rPr>
          <w:fldChar w:fldCharType="end"/>
        </w:r>
      </w:hyperlink>
    </w:p>
    <w:p w14:paraId="753CF839" w14:textId="7FDF1FB5" w:rsidR="00497B96" w:rsidRPr="00651CCF" w:rsidRDefault="00497B96" w:rsidP="005F5AF9">
      <w:pPr>
        <w:pStyle w:val="TOC1"/>
        <w:rPr>
          <w:rFonts w:eastAsiaTheme="minorEastAsia"/>
          <w:color w:val="auto"/>
          <w:kern w:val="2"/>
          <w14:ligatures w14:val="standardContextual"/>
        </w:rPr>
      </w:pPr>
      <w:hyperlink w:anchor="_Toc145511633" w:history="1">
        <w:r w:rsidRPr="00651CCF">
          <w:rPr>
            <w:rStyle w:val="Hyperlink"/>
          </w:rPr>
          <w:t>Appendix 3 - Environmental Protection – Matters For Consideration In Taking Decisions On Planning Applications</w:t>
        </w:r>
        <w:r w:rsidRPr="00651CCF">
          <w:rPr>
            <w:webHidden/>
          </w:rPr>
          <w:tab/>
        </w:r>
        <w:r w:rsidRPr="00651CCF">
          <w:rPr>
            <w:webHidden/>
          </w:rPr>
          <w:fldChar w:fldCharType="begin"/>
        </w:r>
        <w:r w:rsidRPr="00651CCF">
          <w:rPr>
            <w:webHidden/>
          </w:rPr>
          <w:instrText xml:space="preserve"> PAGEREF _Toc145511633 \h </w:instrText>
        </w:r>
        <w:r w:rsidRPr="00651CCF">
          <w:rPr>
            <w:webHidden/>
          </w:rPr>
        </w:r>
        <w:r w:rsidRPr="00651CCF">
          <w:rPr>
            <w:webHidden/>
          </w:rPr>
          <w:fldChar w:fldCharType="separate"/>
        </w:r>
        <w:r w:rsidR="00567588" w:rsidRPr="00651CCF">
          <w:rPr>
            <w:webHidden/>
          </w:rPr>
          <w:t>318</w:t>
        </w:r>
        <w:r w:rsidRPr="00651CCF">
          <w:rPr>
            <w:webHidden/>
          </w:rPr>
          <w:fldChar w:fldCharType="end"/>
        </w:r>
      </w:hyperlink>
    </w:p>
    <w:p w14:paraId="2C3083B6" w14:textId="2FFDD0E8" w:rsidR="00BE6D36" w:rsidRPr="00651CCF" w:rsidRDefault="00BE6D36" w:rsidP="005F5AF9">
      <w:pPr>
        <w:pStyle w:val="TOC1"/>
        <w:rPr>
          <w:rFonts w:eastAsiaTheme="minorEastAsia"/>
          <w:color w:val="auto"/>
          <w:kern w:val="2"/>
          <w14:ligatures w14:val="standardContextual"/>
        </w:rPr>
      </w:pPr>
      <w:hyperlink w:anchor="_Toc145511626" w:history="1">
        <w:r w:rsidRPr="00651CCF">
          <w:rPr>
            <w:rStyle w:val="Hyperlink"/>
          </w:rPr>
          <w:t>Appendix 4 - Wind Energy Opportunities Within Ashfield</w:t>
        </w:r>
        <w:r w:rsidRPr="00651CCF">
          <w:rPr>
            <w:webHidden/>
          </w:rPr>
          <w:tab/>
        </w:r>
        <w:r w:rsidRPr="00651CCF">
          <w:rPr>
            <w:webHidden/>
          </w:rPr>
          <w:fldChar w:fldCharType="begin"/>
        </w:r>
        <w:r w:rsidRPr="00651CCF">
          <w:rPr>
            <w:webHidden/>
          </w:rPr>
          <w:instrText xml:space="preserve"> PAGEREF _Toc145511626 \h </w:instrText>
        </w:r>
        <w:r w:rsidRPr="00651CCF">
          <w:rPr>
            <w:webHidden/>
          </w:rPr>
        </w:r>
        <w:r w:rsidRPr="00651CCF">
          <w:rPr>
            <w:webHidden/>
          </w:rPr>
          <w:fldChar w:fldCharType="separate"/>
        </w:r>
        <w:r w:rsidR="00567588" w:rsidRPr="00651CCF">
          <w:rPr>
            <w:webHidden/>
          </w:rPr>
          <w:t>318</w:t>
        </w:r>
        <w:r w:rsidRPr="00651CCF">
          <w:rPr>
            <w:webHidden/>
          </w:rPr>
          <w:fldChar w:fldCharType="end"/>
        </w:r>
      </w:hyperlink>
    </w:p>
    <w:p w14:paraId="5C399623" w14:textId="49E73842" w:rsidR="00BE6D36" w:rsidRPr="00651CCF" w:rsidRDefault="00BE6D36" w:rsidP="005F5AF9">
      <w:pPr>
        <w:pStyle w:val="TOC1"/>
        <w:rPr>
          <w:rFonts w:eastAsiaTheme="minorEastAsia"/>
          <w:color w:val="auto"/>
          <w:kern w:val="2"/>
          <w14:ligatures w14:val="standardContextual"/>
        </w:rPr>
      </w:pPr>
      <w:hyperlink w:anchor="_Toc145511627" w:history="1">
        <w:r w:rsidRPr="00651CCF">
          <w:rPr>
            <w:rStyle w:val="Hyperlink"/>
          </w:rPr>
          <w:t>Appendix 5 - Agricultural, Forestry and Other Occupational Dwellings</w:t>
        </w:r>
        <w:r w:rsidRPr="00651CCF">
          <w:rPr>
            <w:webHidden/>
          </w:rPr>
          <w:tab/>
        </w:r>
        <w:r w:rsidRPr="00651CCF">
          <w:rPr>
            <w:webHidden/>
          </w:rPr>
          <w:fldChar w:fldCharType="begin"/>
        </w:r>
        <w:r w:rsidRPr="00651CCF">
          <w:rPr>
            <w:webHidden/>
          </w:rPr>
          <w:instrText xml:space="preserve"> PAGEREF _Toc145511627 \h </w:instrText>
        </w:r>
        <w:r w:rsidRPr="00651CCF">
          <w:rPr>
            <w:webHidden/>
          </w:rPr>
        </w:r>
        <w:r w:rsidRPr="00651CCF">
          <w:rPr>
            <w:webHidden/>
          </w:rPr>
          <w:fldChar w:fldCharType="separate"/>
        </w:r>
        <w:r w:rsidR="00567588" w:rsidRPr="00651CCF">
          <w:rPr>
            <w:webHidden/>
          </w:rPr>
          <w:t>322</w:t>
        </w:r>
        <w:r w:rsidRPr="00651CCF">
          <w:rPr>
            <w:webHidden/>
          </w:rPr>
          <w:fldChar w:fldCharType="end"/>
        </w:r>
      </w:hyperlink>
    </w:p>
    <w:p w14:paraId="28419F52" w14:textId="553A6647" w:rsidR="00BE6D36" w:rsidRPr="00651CCF" w:rsidRDefault="00BE6D36" w:rsidP="005F5AF9">
      <w:pPr>
        <w:pStyle w:val="TOC1"/>
        <w:rPr>
          <w:rFonts w:eastAsiaTheme="minorEastAsia"/>
          <w:color w:val="auto"/>
          <w:kern w:val="2"/>
          <w14:ligatures w14:val="standardContextual"/>
        </w:rPr>
      </w:pPr>
      <w:hyperlink w:anchor="_Toc145511628" w:history="1">
        <w:r w:rsidRPr="00651CCF">
          <w:rPr>
            <w:rStyle w:val="Hyperlink"/>
          </w:rPr>
          <w:t xml:space="preserve">Appendix 6 - Policy EV4: Green </w:t>
        </w:r>
        <w:r w:rsidR="00F449C8" w:rsidRPr="00651CCF">
          <w:rPr>
            <w:rStyle w:val="Hyperlink"/>
            <w:color w:val="2E74B5" w:themeColor="accent5" w:themeShade="BF"/>
          </w:rPr>
          <w:t xml:space="preserve">AND BLUE </w:t>
        </w:r>
        <w:r w:rsidRPr="00651CCF">
          <w:rPr>
            <w:rStyle w:val="Hyperlink"/>
          </w:rPr>
          <w:t>Infrastructure, Biodiversity and Geodiversity Sites</w:t>
        </w:r>
        <w:r w:rsidRPr="00651CCF">
          <w:rPr>
            <w:webHidden/>
          </w:rPr>
          <w:tab/>
        </w:r>
        <w:r w:rsidRPr="00651CCF">
          <w:rPr>
            <w:webHidden/>
          </w:rPr>
          <w:fldChar w:fldCharType="begin"/>
        </w:r>
        <w:r w:rsidRPr="00651CCF">
          <w:rPr>
            <w:webHidden/>
          </w:rPr>
          <w:instrText xml:space="preserve"> PAGEREF _Toc145511628 \h </w:instrText>
        </w:r>
        <w:r w:rsidRPr="00651CCF">
          <w:rPr>
            <w:webHidden/>
          </w:rPr>
        </w:r>
        <w:r w:rsidRPr="00651CCF">
          <w:rPr>
            <w:webHidden/>
          </w:rPr>
          <w:fldChar w:fldCharType="separate"/>
        </w:r>
        <w:r w:rsidR="00567588" w:rsidRPr="00651CCF">
          <w:rPr>
            <w:webHidden/>
          </w:rPr>
          <w:t>326</w:t>
        </w:r>
        <w:r w:rsidRPr="00651CCF">
          <w:rPr>
            <w:webHidden/>
          </w:rPr>
          <w:fldChar w:fldCharType="end"/>
        </w:r>
      </w:hyperlink>
    </w:p>
    <w:p w14:paraId="7889E820" w14:textId="1399DE0D" w:rsidR="00BE6D36" w:rsidRPr="00651CCF" w:rsidRDefault="00BE6D36" w:rsidP="005F5AF9">
      <w:pPr>
        <w:pStyle w:val="TOC1"/>
        <w:rPr>
          <w:rFonts w:eastAsiaTheme="minorEastAsia"/>
          <w:color w:val="auto"/>
          <w:kern w:val="2"/>
          <w14:ligatures w14:val="standardContextual"/>
        </w:rPr>
      </w:pPr>
      <w:hyperlink w:anchor="_Toc145511629" w:history="1">
        <w:r w:rsidRPr="00651CCF">
          <w:rPr>
            <w:rStyle w:val="Hyperlink"/>
          </w:rPr>
          <w:t>Appendix 7- Policy EV5: Protection of Green Spaces and Recreational Facilities</w:t>
        </w:r>
        <w:r w:rsidRPr="00651CCF">
          <w:rPr>
            <w:webHidden/>
          </w:rPr>
          <w:tab/>
        </w:r>
        <w:r w:rsidRPr="00651CCF">
          <w:rPr>
            <w:webHidden/>
          </w:rPr>
          <w:fldChar w:fldCharType="begin"/>
        </w:r>
        <w:r w:rsidRPr="00651CCF">
          <w:rPr>
            <w:webHidden/>
          </w:rPr>
          <w:instrText xml:space="preserve"> PAGEREF _Toc145511629 \h </w:instrText>
        </w:r>
        <w:r w:rsidRPr="00651CCF">
          <w:rPr>
            <w:webHidden/>
          </w:rPr>
        </w:r>
        <w:r w:rsidRPr="00651CCF">
          <w:rPr>
            <w:webHidden/>
          </w:rPr>
          <w:fldChar w:fldCharType="separate"/>
        </w:r>
        <w:r w:rsidR="00567588" w:rsidRPr="00651CCF">
          <w:rPr>
            <w:webHidden/>
          </w:rPr>
          <w:t>338</w:t>
        </w:r>
        <w:r w:rsidRPr="00651CCF">
          <w:rPr>
            <w:webHidden/>
          </w:rPr>
          <w:fldChar w:fldCharType="end"/>
        </w:r>
      </w:hyperlink>
    </w:p>
    <w:p w14:paraId="5D9AFD92" w14:textId="39C03DB6" w:rsidR="00BE6D36" w:rsidRPr="00651CCF" w:rsidRDefault="00BE6D36" w:rsidP="005F5AF9">
      <w:pPr>
        <w:pStyle w:val="TOC1"/>
        <w:rPr>
          <w:rFonts w:eastAsiaTheme="minorEastAsia"/>
          <w:color w:val="auto"/>
          <w:kern w:val="2"/>
          <w14:ligatures w14:val="standardContextual"/>
        </w:rPr>
      </w:pPr>
      <w:hyperlink w:anchor="_Toc145511630" w:history="1">
        <w:r w:rsidRPr="00651CCF">
          <w:rPr>
            <w:rStyle w:val="Hyperlink"/>
          </w:rPr>
          <w:t>Appendix 8 - Policy EV6: Trees, Woodlands and Hedgerows</w:t>
        </w:r>
        <w:r w:rsidRPr="00651CCF">
          <w:rPr>
            <w:webHidden/>
          </w:rPr>
          <w:tab/>
        </w:r>
        <w:r w:rsidRPr="00651CCF">
          <w:rPr>
            <w:webHidden/>
          </w:rPr>
          <w:fldChar w:fldCharType="begin"/>
        </w:r>
        <w:r w:rsidRPr="00651CCF">
          <w:rPr>
            <w:webHidden/>
          </w:rPr>
          <w:instrText xml:space="preserve"> PAGEREF _Toc145511630 \h </w:instrText>
        </w:r>
        <w:r w:rsidRPr="00651CCF">
          <w:rPr>
            <w:webHidden/>
          </w:rPr>
        </w:r>
        <w:r w:rsidRPr="00651CCF">
          <w:rPr>
            <w:webHidden/>
          </w:rPr>
          <w:fldChar w:fldCharType="separate"/>
        </w:r>
        <w:r w:rsidR="00567588" w:rsidRPr="00651CCF">
          <w:rPr>
            <w:webHidden/>
          </w:rPr>
          <w:t>344</w:t>
        </w:r>
        <w:r w:rsidRPr="00651CCF">
          <w:rPr>
            <w:webHidden/>
          </w:rPr>
          <w:fldChar w:fldCharType="end"/>
        </w:r>
      </w:hyperlink>
    </w:p>
    <w:p w14:paraId="1DFEC440" w14:textId="32BFAE8D" w:rsidR="00BE6D36" w:rsidRPr="00651CCF" w:rsidRDefault="00BE6D36" w:rsidP="005F5AF9">
      <w:pPr>
        <w:pStyle w:val="TOC1"/>
        <w:rPr>
          <w:rFonts w:eastAsiaTheme="minorEastAsia"/>
          <w:color w:val="auto"/>
          <w:kern w:val="2"/>
          <w14:ligatures w14:val="standardContextual"/>
        </w:rPr>
      </w:pPr>
      <w:hyperlink w:anchor="_Toc145511631" w:history="1">
        <w:r w:rsidRPr="00651CCF">
          <w:rPr>
            <w:rStyle w:val="Hyperlink"/>
          </w:rPr>
          <w:t>Appendix 9 - Policy EV7: Provision and Protection of Allotments</w:t>
        </w:r>
        <w:r w:rsidRPr="00651CCF">
          <w:rPr>
            <w:webHidden/>
          </w:rPr>
          <w:tab/>
        </w:r>
        <w:r w:rsidRPr="00651CCF">
          <w:rPr>
            <w:webHidden/>
          </w:rPr>
          <w:fldChar w:fldCharType="begin"/>
        </w:r>
        <w:r w:rsidRPr="00651CCF">
          <w:rPr>
            <w:webHidden/>
          </w:rPr>
          <w:instrText xml:space="preserve"> PAGEREF _Toc145511631 \h </w:instrText>
        </w:r>
        <w:r w:rsidRPr="00651CCF">
          <w:rPr>
            <w:webHidden/>
          </w:rPr>
        </w:r>
        <w:r w:rsidRPr="00651CCF">
          <w:rPr>
            <w:webHidden/>
          </w:rPr>
          <w:fldChar w:fldCharType="separate"/>
        </w:r>
        <w:r w:rsidR="00567588" w:rsidRPr="00651CCF">
          <w:rPr>
            <w:webHidden/>
          </w:rPr>
          <w:t>345</w:t>
        </w:r>
        <w:r w:rsidRPr="00651CCF">
          <w:rPr>
            <w:webHidden/>
          </w:rPr>
          <w:fldChar w:fldCharType="end"/>
        </w:r>
      </w:hyperlink>
    </w:p>
    <w:p w14:paraId="51BB888A" w14:textId="2E7CB18C" w:rsidR="00BE6D36" w:rsidRPr="00651CCF" w:rsidRDefault="00BE6D36" w:rsidP="005F5AF9">
      <w:pPr>
        <w:pStyle w:val="TOC1"/>
      </w:pPr>
      <w:hyperlink w:anchor="_Toc145511632" w:history="1">
        <w:r w:rsidRPr="00651CCF">
          <w:rPr>
            <w:rStyle w:val="Hyperlink"/>
          </w:rPr>
          <w:t>Appendix 10 - Policy EV9 – The Historic Environment</w:t>
        </w:r>
        <w:r w:rsidRPr="00651CCF">
          <w:rPr>
            <w:webHidden/>
          </w:rPr>
          <w:tab/>
        </w:r>
        <w:r w:rsidRPr="00651CCF">
          <w:rPr>
            <w:webHidden/>
          </w:rPr>
          <w:fldChar w:fldCharType="begin"/>
        </w:r>
        <w:r w:rsidRPr="00651CCF">
          <w:rPr>
            <w:webHidden/>
          </w:rPr>
          <w:instrText xml:space="preserve"> PAGEREF _Toc145511632 \h </w:instrText>
        </w:r>
        <w:r w:rsidRPr="00651CCF">
          <w:rPr>
            <w:webHidden/>
          </w:rPr>
        </w:r>
        <w:r w:rsidRPr="00651CCF">
          <w:rPr>
            <w:webHidden/>
          </w:rPr>
          <w:fldChar w:fldCharType="separate"/>
        </w:r>
        <w:r w:rsidR="00567588" w:rsidRPr="00651CCF">
          <w:rPr>
            <w:webHidden/>
          </w:rPr>
          <w:t>346</w:t>
        </w:r>
        <w:r w:rsidRPr="00651CCF">
          <w:rPr>
            <w:webHidden/>
          </w:rPr>
          <w:fldChar w:fldCharType="end"/>
        </w:r>
      </w:hyperlink>
    </w:p>
    <w:p w14:paraId="46E387C3" w14:textId="425492B9" w:rsidR="005C1A90" w:rsidRPr="00651CCF" w:rsidRDefault="005C1A90" w:rsidP="00DF0A33">
      <w:pPr>
        <w:rPr>
          <w:rFonts w:asciiTheme="majorHAnsi" w:eastAsiaTheme="minorEastAsia" w:hAnsiTheme="majorHAnsi" w:cstheme="majorHAnsi"/>
          <w:b/>
          <w:bCs/>
          <w:color w:val="0070C0"/>
        </w:rPr>
      </w:pPr>
      <w:r w:rsidRPr="00651CCF">
        <w:rPr>
          <w:rFonts w:asciiTheme="majorHAnsi" w:eastAsiaTheme="minorEastAsia" w:hAnsiTheme="majorHAnsi" w:cstheme="majorHAnsi"/>
          <w:b/>
          <w:bCs/>
          <w:color w:val="0070C0"/>
        </w:rPr>
        <w:t>APPENDIX 11 - POLICY H1 - HOUSING SITE ALLOCATIONS MASTERPLANS</w:t>
      </w:r>
    </w:p>
    <w:p w14:paraId="11ABA623" w14:textId="33BAB907" w:rsidR="00693B0A" w:rsidRPr="00651CCF" w:rsidRDefault="00693B0A" w:rsidP="00DF0A33">
      <w:pPr>
        <w:rPr>
          <w:rFonts w:asciiTheme="majorHAnsi" w:eastAsiaTheme="minorEastAsia" w:hAnsiTheme="majorHAnsi" w:cstheme="majorHAnsi"/>
          <w:b/>
          <w:bCs/>
          <w:color w:val="0070C0"/>
        </w:rPr>
      </w:pPr>
      <w:r w:rsidRPr="00651CCF">
        <w:rPr>
          <w:rFonts w:asciiTheme="majorHAnsi" w:eastAsiaTheme="minorEastAsia" w:hAnsiTheme="majorHAnsi" w:cstheme="majorHAnsi"/>
          <w:b/>
          <w:bCs/>
          <w:color w:val="0070C0"/>
        </w:rPr>
        <w:t>APPENDIX 12 - MONITORING FRAMEWORK</w:t>
      </w:r>
    </w:p>
    <w:p w14:paraId="1DDABF88" w14:textId="77777777" w:rsidR="00082D3B" w:rsidRDefault="00A10208" w:rsidP="00DF0A33">
      <w:pPr>
        <w:rPr>
          <w:rFonts w:asciiTheme="majorHAnsi" w:hAnsiTheme="majorHAnsi" w:cstheme="majorHAnsi"/>
          <w:b/>
          <w:bCs/>
          <w:color w:val="0070C0"/>
        </w:rPr>
      </w:pPr>
      <w:r w:rsidRPr="00651CCF">
        <w:rPr>
          <w:rFonts w:asciiTheme="majorHAnsi" w:hAnsiTheme="majorHAnsi" w:cstheme="majorHAnsi"/>
          <w:b/>
          <w:bCs/>
          <w:color w:val="0070C0"/>
        </w:rPr>
        <w:t>APPENDIX 13 - EXISTING LOCAL PLAN POLICIES TO BE SUPER</w:t>
      </w:r>
      <w:r w:rsidR="00651CCF" w:rsidRPr="00651CCF">
        <w:rPr>
          <w:rFonts w:asciiTheme="majorHAnsi" w:hAnsiTheme="majorHAnsi" w:cstheme="majorHAnsi"/>
          <w:b/>
          <w:bCs/>
          <w:color w:val="0070C0"/>
        </w:rPr>
        <w:t xml:space="preserve">CEDED UPON ADOPTION OF THE ASHFIELD LOCAL PLAN </w:t>
      </w:r>
      <w:r w:rsidRPr="00651CCF">
        <w:rPr>
          <w:rFonts w:asciiTheme="majorHAnsi" w:hAnsiTheme="majorHAnsi" w:cstheme="majorHAnsi"/>
          <w:b/>
          <w:bCs/>
          <w:color w:val="0070C0"/>
        </w:rPr>
        <w:t>2023 – 2040</w:t>
      </w:r>
      <w:r w:rsidR="00082D3B">
        <w:rPr>
          <w:rFonts w:asciiTheme="majorHAnsi" w:hAnsiTheme="majorHAnsi" w:cstheme="majorHAnsi"/>
          <w:b/>
          <w:bCs/>
          <w:color w:val="0070C0"/>
        </w:rPr>
        <w:t xml:space="preserve">     </w:t>
      </w:r>
    </w:p>
    <w:p w14:paraId="4FE86876" w14:textId="3EA6BE2E" w:rsidR="00A10208" w:rsidRPr="00651CCF" w:rsidRDefault="00082D3B" w:rsidP="00DF0A33">
      <w:pPr>
        <w:rPr>
          <w:rFonts w:asciiTheme="majorHAnsi" w:eastAsiaTheme="minorEastAsia" w:hAnsiTheme="majorHAnsi" w:cstheme="majorHAnsi"/>
          <w:b/>
          <w:bCs/>
          <w:color w:val="0070C0"/>
        </w:rPr>
      </w:pPr>
      <w:r>
        <w:rPr>
          <w:rFonts w:asciiTheme="majorHAnsi" w:hAnsiTheme="majorHAnsi" w:cstheme="majorHAnsi"/>
          <w:b/>
          <w:bCs/>
          <w:color w:val="0070C0"/>
        </w:rPr>
        <w:lastRenderedPageBreak/>
        <w:t>APPENDIX 14 - STRATEGIC POLICIES</w:t>
      </w:r>
    </w:p>
    <w:p w14:paraId="34F20711" w14:textId="60ECF756" w:rsidR="00165C32" w:rsidRPr="009658C2" w:rsidRDefault="00165C32" w:rsidP="00273B1F">
      <w:pPr>
        <w:keepNext w:val="0"/>
        <w:autoSpaceDE w:val="0"/>
        <w:autoSpaceDN w:val="0"/>
        <w:adjustRightInd w:val="0"/>
        <w:spacing w:before="0"/>
        <w:rPr>
          <w:rFonts w:asciiTheme="majorHAnsi" w:hAnsiTheme="majorHAnsi" w:cstheme="majorHAnsi"/>
          <w:b/>
          <w:bCs/>
          <w:noProof/>
          <w:color w:val="0070C0"/>
          <w:szCs w:val="24"/>
        </w:rPr>
        <w:sectPr w:rsidR="00165C32" w:rsidRPr="009658C2" w:rsidSect="00196772">
          <w:headerReference w:type="default" r:id="rId16"/>
          <w:footerReference w:type="default" r:id="rId17"/>
          <w:pgSz w:w="11906" w:h="16838" w:code="9"/>
          <w:pgMar w:top="1258" w:right="1133" w:bottom="1079" w:left="1134" w:header="709" w:footer="709" w:gutter="0"/>
          <w:pgNumType w:start="1"/>
          <w:cols w:space="708"/>
          <w:docGrid w:linePitch="360"/>
        </w:sectPr>
      </w:pPr>
      <w:r w:rsidRPr="00651CCF">
        <w:rPr>
          <w:rFonts w:asciiTheme="majorHAnsi" w:hAnsiTheme="majorHAnsi" w:cstheme="majorHAnsi"/>
          <w:b/>
          <w:bCs/>
          <w:noProof/>
          <w:color w:val="0070C0"/>
          <w:szCs w:val="24"/>
        </w:rPr>
        <w:fldChar w:fldCharType="end"/>
      </w:r>
    </w:p>
    <w:p w14:paraId="3F4AE34E" w14:textId="77777777" w:rsidR="00DA188C" w:rsidRDefault="00830E79" w:rsidP="00CF07B9">
      <w:pPr>
        <w:pStyle w:val="Heading1"/>
      </w:pPr>
      <w:bookmarkStart w:id="5" w:name="_Toc145511544"/>
      <w:bookmarkEnd w:id="4"/>
      <w:r>
        <w:lastRenderedPageBreak/>
        <w:t xml:space="preserve">Foreword - </w:t>
      </w:r>
      <w:r w:rsidRPr="00162A7B">
        <w:t>Planning together for all our futures</w:t>
      </w:r>
      <w:bookmarkEnd w:id="5"/>
      <w:r w:rsidR="00E64668">
        <w:t xml:space="preserve"> </w:t>
      </w:r>
    </w:p>
    <w:p w14:paraId="3E4071DC" w14:textId="29A52360" w:rsidR="00830E79" w:rsidRPr="005B7EBB" w:rsidRDefault="00E64668" w:rsidP="00CF07B9">
      <w:pPr>
        <w:pStyle w:val="Heading1"/>
        <w:rPr>
          <w:b/>
          <w:bCs/>
        </w:rPr>
      </w:pPr>
      <w:r w:rsidRPr="005B7EBB">
        <w:t>(T</w:t>
      </w:r>
      <w:r w:rsidR="00DA188C" w:rsidRPr="005B7EBB">
        <w:t xml:space="preserve">his page will be </w:t>
      </w:r>
      <w:r w:rsidRPr="005B7EBB">
        <w:t>fully updated upon adotion)</w:t>
      </w:r>
    </w:p>
    <w:p w14:paraId="61907667" w14:textId="77777777" w:rsidR="006A339B" w:rsidRDefault="006A339B" w:rsidP="00273B1F">
      <w:pPr>
        <w:keepNext w:val="0"/>
        <w:autoSpaceDE w:val="0"/>
        <w:autoSpaceDN w:val="0"/>
        <w:adjustRightInd w:val="0"/>
        <w:spacing w:before="0"/>
        <w:rPr>
          <w:rFonts w:cs="Arial"/>
          <w:b/>
          <w:bCs/>
          <w:noProof/>
          <w:color w:val="auto"/>
        </w:rPr>
      </w:pPr>
    </w:p>
    <w:p w14:paraId="572BF1DE" w14:textId="77777777" w:rsidR="00830E79" w:rsidRPr="00B04DE3" w:rsidRDefault="00830E79" w:rsidP="00830E79">
      <w:pPr>
        <w:jc w:val="both"/>
        <w:rPr>
          <w:rFonts w:cs="Arial"/>
          <w:color w:val="000000"/>
          <w:szCs w:val="24"/>
        </w:rPr>
      </w:pPr>
      <w:r w:rsidRPr="00B04DE3">
        <w:rPr>
          <w:rFonts w:cs="Arial"/>
          <w:color w:val="000000"/>
          <w:szCs w:val="24"/>
        </w:rPr>
        <w:t>Ashfield is at the heart of the East Midlands, well located with strong transport links and aspirations to achieve excellence for its local communities and businesses whilst protecting its most well-loved landscapes, heritage, and natural habitats. It is a place where people of all ages are proud to live, study, work, visit and aspire to stay.</w:t>
      </w:r>
    </w:p>
    <w:p w14:paraId="4BEAA797" w14:textId="77777777" w:rsidR="00830E79" w:rsidRPr="00B04DE3" w:rsidRDefault="00830E79" w:rsidP="00830E79">
      <w:pPr>
        <w:jc w:val="both"/>
        <w:rPr>
          <w:rFonts w:cs="Arial"/>
          <w:color w:val="000000"/>
          <w:szCs w:val="24"/>
        </w:rPr>
      </w:pPr>
      <w:r w:rsidRPr="00B04DE3">
        <w:rPr>
          <w:rFonts w:cs="Arial"/>
          <w:color w:val="000000"/>
          <w:szCs w:val="24"/>
        </w:rPr>
        <w:t xml:space="preserve">Ashfield looks forward with positivity to the future and as such this plan shows the depth and breadth of the ambition in delivery. Challenges are acknowledged however though partnership, innovation and by harnessing the talent of our young people, we believe we can progress. Opportunities will arise though the development of the Devolution deal and we as a district are best placed to work in partnership for the benefit of our communities. </w:t>
      </w:r>
    </w:p>
    <w:p w14:paraId="042C32D0" w14:textId="1E5D1292" w:rsidR="00830E79" w:rsidRPr="00830E79" w:rsidRDefault="00830E79" w:rsidP="00830E79">
      <w:pPr>
        <w:jc w:val="both"/>
        <w:rPr>
          <w:rFonts w:cs="Arial"/>
          <w:color w:val="000000"/>
          <w:szCs w:val="24"/>
        </w:rPr>
      </w:pPr>
      <w:r w:rsidRPr="00830E79">
        <w:rPr>
          <w:rFonts w:cs="Arial"/>
          <w:color w:val="000000"/>
          <w:szCs w:val="24"/>
        </w:rPr>
        <w:t xml:space="preserve">This document, the Ashfield Local Plan Regulation 19 Pre-Submission Draft, together with other supporting documents, explains the Council’s approach to guide development in the </w:t>
      </w:r>
      <w:proofErr w:type="gramStart"/>
      <w:r w:rsidRPr="00830E79">
        <w:rPr>
          <w:rFonts w:cs="Arial"/>
          <w:color w:val="000000"/>
          <w:szCs w:val="24"/>
        </w:rPr>
        <w:t>District</w:t>
      </w:r>
      <w:proofErr w:type="gramEnd"/>
      <w:r w:rsidRPr="00830E79">
        <w:rPr>
          <w:rFonts w:cs="Arial"/>
          <w:color w:val="000000"/>
          <w:szCs w:val="24"/>
        </w:rPr>
        <w:t xml:space="preserve"> for the period 2023 – 2040.  It is an ambitious document which actively tackles the issues we face today in seeking to achieve sustainable growth.</w:t>
      </w:r>
    </w:p>
    <w:p w14:paraId="2EA5F8B5" w14:textId="14DBA8F1" w:rsidR="00830E79" w:rsidRPr="00830E79" w:rsidRDefault="00830E79" w:rsidP="00830E79">
      <w:pPr>
        <w:jc w:val="both"/>
        <w:rPr>
          <w:rFonts w:cs="Arial"/>
          <w:color w:val="000000"/>
          <w:szCs w:val="24"/>
        </w:rPr>
      </w:pPr>
      <w:r w:rsidRPr="00830E79">
        <w:rPr>
          <w:rFonts w:cs="Arial"/>
          <w:color w:val="000000"/>
          <w:szCs w:val="24"/>
        </w:rPr>
        <w:t>It is a national requirement that local authorities have a sound Local Plan, not only to ensure that vital new homes, jobs and the necessary infrastructure are provided but also because in the absence of an up-to-date Local Plan, the Council cannot effectively control where development takes place, the quality of that development and the community benefit arising from new development.</w:t>
      </w:r>
    </w:p>
    <w:p w14:paraId="3042F280" w14:textId="60136D75" w:rsidR="00830E79" w:rsidRPr="00830E79" w:rsidRDefault="00830E79" w:rsidP="00830E79">
      <w:pPr>
        <w:jc w:val="both"/>
        <w:rPr>
          <w:rFonts w:cs="Arial"/>
          <w:color w:val="000000"/>
          <w:szCs w:val="24"/>
        </w:rPr>
      </w:pPr>
      <w:r w:rsidRPr="00830E79">
        <w:rPr>
          <w:rFonts w:cs="Arial"/>
          <w:color w:val="000000"/>
          <w:szCs w:val="24"/>
        </w:rPr>
        <w:t xml:space="preserve">We are required by the government to bring forward a Local Plan that delivers the </w:t>
      </w:r>
      <w:proofErr w:type="gramStart"/>
      <w:r w:rsidRPr="00830E79">
        <w:rPr>
          <w:rFonts w:cs="Arial"/>
          <w:color w:val="000000"/>
          <w:szCs w:val="24"/>
        </w:rPr>
        <w:t>District’s</w:t>
      </w:r>
      <w:proofErr w:type="gramEnd"/>
      <w:r w:rsidRPr="00830E79">
        <w:rPr>
          <w:rFonts w:cs="Arial"/>
          <w:color w:val="000000"/>
          <w:szCs w:val="24"/>
        </w:rPr>
        <w:t xml:space="preserve"> objectively assessed housing need. Whilst none of us wish to see green fields being built over, </w:t>
      </w:r>
      <w:proofErr w:type="gramStart"/>
      <w:r w:rsidRPr="00830E79">
        <w:rPr>
          <w:rFonts w:cs="Arial"/>
          <w:color w:val="000000"/>
          <w:szCs w:val="24"/>
        </w:rPr>
        <w:t>it is clear that there</w:t>
      </w:r>
      <w:proofErr w:type="gramEnd"/>
      <w:r w:rsidRPr="00830E79">
        <w:rPr>
          <w:rFonts w:cs="Arial"/>
          <w:color w:val="000000"/>
          <w:szCs w:val="24"/>
        </w:rPr>
        <w:t xml:space="preserve"> are insufficient brownfield sites available to meet the identified need, and so the use of sustainably located greenfield sites is unavoidable. We have adopted a spatial strategy that has listened and responded to the consultatio</w:t>
      </w:r>
      <w:r w:rsidRPr="00830E79">
        <w:rPr>
          <w:rFonts w:cs="Arial"/>
          <w:color w:val="auto"/>
          <w:szCs w:val="24"/>
        </w:rPr>
        <w:t>n on the Draft Local Plan</w:t>
      </w:r>
      <w:r w:rsidRPr="00830E79">
        <w:rPr>
          <w:rFonts w:cs="Arial"/>
          <w:color w:val="000000"/>
          <w:szCs w:val="24"/>
        </w:rPr>
        <w:t>.  The Plan is aimed at minimising the negative impacts of development; however, it is inevitable that there will be concern about some of the proposed development.</w:t>
      </w:r>
    </w:p>
    <w:p w14:paraId="12BCEC98" w14:textId="748CCDCD" w:rsidR="00830E79" w:rsidRPr="00DF0A33" w:rsidRDefault="00830E79" w:rsidP="00830E79">
      <w:pPr>
        <w:jc w:val="both"/>
        <w:rPr>
          <w:rFonts w:cs="Arial"/>
          <w:strike/>
          <w:color w:val="auto"/>
          <w:szCs w:val="24"/>
        </w:rPr>
      </w:pPr>
      <w:r w:rsidRPr="00DF0A33">
        <w:rPr>
          <w:rFonts w:cs="Arial"/>
          <w:strike/>
          <w:color w:val="000000"/>
          <w:szCs w:val="24"/>
        </w:rPr>
        <w:t xml:space="preserve">I am committed to ensuring that this document is prepared in an open and transparent manner and that the views of the public and stakeholders are listened to and </w:t>
      </w:r>
      <w:proofErr w:type="gramStart"/>
      <w:r w:rsidRPr="00DF0A33">
        <w:rPr>
          <w:rFonts w:cs="Arial"/>
          <w:strike/>
          <w:color w:val="000000"/>
          <w:szCs w:val="24"/>
        </w:rPr>
        <w:t>taken into account</w:t>
      </w:r>
      <w:proofErr w:type="gramEnd"/>
      <w:r w:rsidRPr="00DF0A33">
        <w:rPr>
          <w:rFonts w:cs="Arial"/>
          <w:strike/>
          <w:color w:val="000000"/>
          <w:szCs w:val="24"/>
        </w:rPr>
        <w:t xml:space="preserve">. This is the final version of the Local Plan before it is submitted to the Secretary of State and the Planning Inspectorate for Examination in Public.  Your views are very much </w:t>
      </w:r>
      <w:r w:rsidRPr="00DF0A33">
        <w:rPr>
          <w:rFonts w:cs="Arial"/>
          <w:strike/>
          <w:color w:val="auto"/>
          <w:szCs w:val="24"/>
        </w:rPr>
        <w:t xml:space="preserve">welcomed and will be reviewed and submitted for consideration by an independent Inspector, who will be appointed as part of the Examination hearings process. </w:t>
      </w:r>
    </w:p>
    <w:p w14:paraId="74CD4F6B" w14:textId="2A8C7C33" w:rsidR="00830E79" w:rsidRPr="00E64668" w:rsidRDefault="00830E79" w:rsidP="00830E79">
      <w:pPr>
        <w:jc w:val="both"/>
        <w:rPr>
          <w:rFonts w:cs="Arial"/>
          <w:strike/>
          <w:color w:val="auto"/>
          <w:szCs w:val="24"/>
        </w:rPr>
      </w:pPr>
      <w:r w:rsidRPr="00DF0A33">
        <w:rPr>
          <w:rFonts w:cs="Arial"/>
          <w:strike/>
          <w:color w:val="auto"/>
          <w:szCs w:val="24"/>
        </w:rPr>
        <w:t xml:space="preserve">Please remember to submit any comments by </w:t>
      </w:r>
      <w:r w:rsidR="00890704" w:rsidRPr="00DF0A33">
        <w:rPr>
          <w:rFonts w:cs="Arial"/>
          <w:strike/>
          <w:color w:val="auto"/>
          <w:szCs w:val="24"/>
        </w:rPr>
        <w:t>5.00pm Monday 29</w:t>
      </w:r>
      <w:r w:rsidR="00B04DE3" w:rsidRPr="00DF0A33">
        <w:rPr>
          <w:rFonts w:cs="Arial"/>
          <w:strike/>
          <w:color w:val="auto"/>
          <w:szCs w:val="24"/>
          <w:vertAlign w:val="superscript"/>
        </w:rPr>
        <w:t>th</w:t>
      </w:r>
      <w:r w:rsidR="00B04DE3" w:rsidRPr="00DF0A33">
        <w:rPr>
          <w:rFonts w:cs="Arial"/>
          <w:strike/>
          <w:color w:val="auto"/>
          <w:szCs w:val="24"/>
        </w:rPr>
        <w:t xml:space="preserve"> January </w:t>
      </w:r>
      <w:r w:rsidRPr="00DF0A33">
        <w:rPr>
          <w:rFonts w:cs="Arial"/>
          <w:strike/>
          <w:color w:val="auto"/>
          <w:szCs w:val="24"/>
        </w:rPr>
        <w:t>2024.</w:t>
      </w:r>
    </w:p>
    <w:p w14:paraId="193557BB" w14:textId="77777777" w:rsidR="006A339B" w:rsidRPr="00E64668" w:rsidRDefault="006A339B" w:rsidP="00273B1F">
      <w:pPr>
        <w:keepNext w:val="0"/>
        <w:autoSpaceDE w:val="0"/>
        <w:autoSpaceDN w:val="0"/>
        <w:adjustRightInd w:val="0"/>
        <w:spacing w:before="0"/>
        <w:rPr>
          <w:rFonts w:cs="Arial"/>
          <w:b/>
          <w:bCs/>
          <w:strike/>
          <w:noProof/>
          <w:color w:val="auto"/>
        </w:rPr>
      </w:pPr>
    </w:p>
    <w:p w14:paraId="41C9AFFB" w14:textId="77777777" w:rsidR="00830E79" w:rsidRPr="00830E79" w:rsidRDefault="00830E79" w:rsidP="00830E79">
      <w:pPr>
        <w:keepNext w:val="0"/>
        <w:spacing w:before="0"/>
        <w:jc w:val="both"/>
        <w:rPr>
          <w:rFonts w:eastAsia="Calibri"/>
          <w:color w:val="auto"/>
          <w:szCs w:val="22"/>
          <w:lang w:eastAsia="en-US"/>
        </w:rPr>
      </w:pPr>
      <w:r w:rsidRPr="00830E79">
        <w:rPr>
          <w:rFonts w:eastAsia="Calibri"/>
          <w:color w:val="auto"/>
          <w:szCs w:val="22"/>
          <w:lang w:eastAsia="en-US"/>
        </w:rPr>
        <w:t xml:space="preserve">Councillor Matthew Relf, Portfolio Holder for Place, Planning and Regeneration, </w:t>
      </w:r>
    </w:p>
    <w:p w14:paraId="71710F91" w14:textId="77777777" w:rsidR="00830E79" w:rsidRPr="00830E79" w:rsidRDefault="00830E79" w:rsidP="00830E79">
      <w:pPr>
        <w:keepNext w:val="0"/>
        <w:spacing w:before="0"/>
        <w:jc w:val="both"/>
        <w:rPr>
          <w:rFonts w:eastAsia="Calibri"/>
          <w:color w:val="auto"/>
          <w:szCs w:val="22"/>
          <w:lang w:eastAsia="en-US"/>
        </w:rPr>
      </w:pPr>
      <w:r w:rsidRPr="00830E79">
        <w:rPr>
          <w:rFonts w:eastAsia="Calibri"/>
          <w:color w:val="auto"/>
          <w:szCs w:val="22"/>
          <w:lang w:eastAsia="en-US"/>
        </w:rPr>
        <w:t>Ashfield District Council</w:t>
      </w:r>
    </w:p>
    <w:p w14:paraId="1CE3EA81" w14:textId="77777777" w:rsidR="006A339B" w:rsidRDefault="006A339B" w:rsidP="00273B1F">
      <w:pPr>
        <w:keepNext w:val="0"/>
        <w:autoSpaceDE w:val="0"/>
        <w:autoSpaceDN w:val="0"/>
        <w:adjustRightInd w:val="0"/>
        <w:spacing w:before="0"/>
        <w:rPr>
          <w:rFonts w:cs="Arial"/>
          <w:b/>
          <w:bCs/>
          <w:noProof/>
          <w:color w:val="auto"/>
        </w:rPr>
      </w:pPr>
    </w:p>
    <w:p w14:paraId="68959962" w14:textId="77777777" w:rsidR="006A339B" w:rsidRDefault="006A339B" w:rsidP="00273B1F">
      <w:pPr>
        <w:keepNext w:val="0"/>
        <w:autoSpaceDE w:val="0"/>
        <w:autoSpaceDN w:val="0"/>
        <w:adjustRightInd w:val="0"/>
        <w:spacing w:before="0"/>
        <w:rPr>
          <w:rFonts w:cs="Arial"/>
          <w:b/>
          <w:bCs/>
          <w:noProof/>
          <w:color w:val="auto"/>
        </w:rPr>
      </w:pPr>
    </w:p>
    <w:p w14:paraId="426B54E0" w14:textId="77777777" w:rsidR="006A339B" w:rsidRDefault="006A339B" w:rsidP="00273B1F">
      <w:pPr>
        <w:keepNext w:val="0"/>
        <w:autoSpaceDE w:val="0"/>
        <w:autoSpaceDN w:val="0"/>
        <w:adjustRightInd w:val="0"/>
        <w:spacing w:before="0"/>
        <w:rPr>
          <w:rFonts w:cs="Arial"/>
          <w:b/>
          <w:bCs/>
          <w:noProof/>
          <w:color w:val="auto"/>
        </w:rPr>
      </w:pPr>
    </w:p>
    <w:p w14:paraId="77BB3464" w14:textId="77777777" w:rsidR="006A339B" w:rsidRDefault="006A339B" w:rsidP="00273B1F">
      <w:pPr>
        <w:keepNext w:val="0"/>
        <w:autoSpaceDE w:val="0"/>
        <w:autoSpaceDN w:val="0"/>
        <w:adjustRightInd w:val="0"/>
        <w:spacing w:before="0"/>
        <w:rPr>
          <w:rFonts w:cs="Arial"/>
          <w:b/>
          <w:bCs/>
          <w:noProof/>
          <w:color w:val="auto"/>
        </w:rPr>
        <w:sectPr w:rsidR="006A339B" w:rsidSect="00263F59">
          <w:headerReference w:type="default" r:id="rId18"/>
          <w:footerReference w:type="default" r:id="rId19"/>
          <w:pgSz w:w="11906" w:h="16838" w:code="9"/>
          <w:pgMar w:top="1258" w:right="1133" w:bottom="1079" w:left="1134" w:header="709" w:footer="709" w:gutter="0"/>
          <w:pgNumType w:start="1"/>
          <w:cols w:space="708"/>
          <w:docGrid w:linePitch="360"/>
        </w:sectPr>
      </w:pPr>
    </w:p>
    <w:p w14:paraId="26C5366D" w14:textId="009BE580" w:rsidR="00DA4833" w:rsidRPr="003C7E62" w:rsidRDefault="00DA4833" w:rsidP="00CF07B9">
      <w:pPr>
        <w:pStyle w:val="Heading1"/>
      </w:pPr>
      <w:bookmarkStart w:id="6" w:name="_Toc145511545"/>
      <w:r w:rsidRPr="003C7E62">
        <w:lastRenderedPageBreak/>
        <w:t>Chapter 1</w:t>
      </w:r>
      <w:bookmarkEnd w:id="6"/>
      <w:r w:rsidRPr="003C7E62">
        <w:t xml:space="preserve"> </w:t>
      </w:r>
    </w:p>
    <w:p w14:paraId="1E1C9C26" w14:textId="77777777" w:rsidR="00593C68" w:rsidRPr="00E605B7" w:rsidRDefault="00593C68" w:rsidP="00E605B7">
      <w:bookmarkStart w:id="7" w:name="_Toc500408718"/>
    </w:p>
    <w:p w14:paraId="411278F1" w14:textId="55D88ED2" w:rsidR="005C27E8" w:rsidRDefault="00162A7B" w:rsidP="00CF07B9">
      <w:pPr>
        <w:pStyle w:val="Heading1"/>
      </w:pPr>
      <w:bookmarkStart w:id="8" w:name="_Toc145511546"/>
      <w:bookmarkStart w:id="9" w:name="_Hlk75500629"/>
      <w:bookmarkEnd w:id="7"/>
      <w:r w:rsidRPr="00162A7B">
        <w:t>Where are we now?</w:t>
      </w:r>
      <w:bookmarkEnd w:id="8"/>
    </w:p>
    <w:p w14:paraId="399544B2" w14:textId="77777777" w:rsidR="00CC6BDF" w:rsidRPr="007620D3" w:rsidRDefault="00CC6BDF" w:rsidP="007620D3"/>
    <w:p w14:paraId="37582DC3" w14:textId="217250E6" w:rsidR="00284AAC" w:rsidRPr="003C7E62" w:rsidRDefault="00284AAC" w:rsidP="000447CA">
      <w:pPr>
        <w:pStyle w:val="Heading3"/>
      </w:pPr>
      <w:bookmarkStart w:id="10" w:name="_Toc145511547"/>
      <w:r w:rsidRPr="003C7E62">
        <w:t>Plan Purpose and Background</w:t>
      </w:r>
      <w:bookmarkEnd w:id="10"/>
    </w:p>
    <w:p w14:paraId="4CE06888" w14:textId="77777777" w:rsidR="00284AAC" w:rsidRPr="003C7E62" w:rsidRDefault="00284AAC" w:rsidP="00CC6BDF">
      <w:pPr>
        <w:spacing w:before="0"/>
        <w:rPr>
          <w:rFonts w:cs="Arial"/>
        </w:rPr>
      </w:pPr>
    </w:p>
    <w:p w14:paraId="58170950" w14:textId="77777777" w:rsidR="00284AAC" w:rsidRPr="003C7E62" w:rsidRDefault="00284AAC" w:rsidP="00CC6BDF">
      <w:pPr>
        <w:keepNext w:val="0"/>
        <w:numPr>
          <w:ilvl w:val="1"/>
          <w:numId w:val="4"/>
        </w:numPr>
        <w:autoSpaceDE w:val="0"/>
        <w:autoSpaceDN w:val="0"/>
        <w:adjustRightInd w:val="0"/>
        <w:spacing w:before="0"/>
        <w:rPr>
          <w:rFonts w:cs="Arial"/>
        </w:rPr>
      </w:pPr>
      <w:r w:rsidRPr="003C7E62">
        <w:rPr>
          <w:rFonts w:cs="Arial"/>
        </w:rPr>
        <w:t>The development plan for Ashfield consists of:</w:t>
      </w:r>
    </w:p>
    <w:p w14:paraId="06CD2F16" w14:textId="77777777" w:rsidR="00284AAC" w:rsidRPr="003C7E62" w:rsidRDefault="00284AAC" w:rsidP="00606546">
      <w:pPr>
        <w:autoSpaceDE w:val="0"/>
        <w:autoSpaceDN w:val="0"/>
        <w:adjustRightInd w:val="0"/>
        <w:spacing w:before="0"/>
        <w:rPr>
          <w:rFonts w:cs="Arial"/>
        </w:rPr>
      </w:pPr>
    </w:p>
    <w:p w14:paraId="08941D7C" w14:textId="57E6FF97" w:rsidR="00284AAC" w:rsidRPr="004D0577" w:rsidRDefault="00284AAC" w:rsidP="00D01157">
      <w:pPr>
        <w:keepNext w:val="0"/>
        <w:numPr>
          <w:ilvl w:val="0"/>
          <w:numId w:val="51"/>
        </w:numPr>
        <w:autoSpaceDE w:val="0"/>
        <w:autoSpaceDN w:val="0"/>
        <w:adjustRightInd w:val="0"/>
        <w:spacing w:before="0"/>
        <w:contextualSpacing/>
        <w:rPr>
          <w:rFonts w:cs="Arial"/>
        </w:rPr>
      </w:pPr>
      <w:r w:rsidRPr="004D0577">
        <w:rPr>
          <w:rFonts w:cs="Arial"/>
          <w:strike/>
        </w:rPr>
        <w:t>Once adopted</w:t>
      </w:r>
      <w:r w:rsidRPr="004D0577">
        <w:rPr>
          <w:rFonts w:cs="Arial"/>
        </w:rPr>
        <w:t xml:space="preserve">, </w:t>
      </w:r>
      <w:r w:rsidR="00075569" w:rsidRPr="004D0577">
        <w:rPr>
          <w:rFonts w:cs="Arial"/>
        </w:rPr>
        <w:t>T</w:t>
      </w:r>
      <w:r w:rsidRPr="004D0577">
        <w:rPr>
          <w:rFonts w:cs="Arial"/>
        </w:rPr>
        <w:t>he Local Plan as set out in this document;</w:t>
      </w:r>
    </w:p>
    <w:p w14:paraId="23A8172F" w14:textId="77777777" w:rsidR="00CC6BDF" w:rsidRPr="004D0577" w:rsidRDefault="00CC6BDF" w:rsidP="00CC6BDF">
      <w:pPr>
        <w:keepNext w:val="0"/>
        <w:autoSpaceDE w:val="0"/>
        <w:autoSpaceDN w:val="0"/>
        <w:adjustRightInd w:val="0"/>
        <w:spacing w:before="0"/>
        <w:ind w:left="1080"/>
        <w:contextualSpacing/>
        <w:rPr>
          <w:rFonts w:cs="Arial"/>
        </w:rPr>
      </w:pPr>
    </w:p>
    <w:p w14:paraId="353BE441" w14:textId="4D15765D" w:rsidR="00284AAC" w:rsidRPr="004D0577" w:rsidRDefault="00284AAC" w:rsidP="00D01157">
      <w:pPr>
        <w:keepNext w:val="0"/>
        <w:numPr>
          <w:ilvl w:val="0"/>
          <w:numId w:val="47"/>
        </w:numPr>
        <w:autoSpaceDE w:val="0"/>
        <w:autoSpaceDN w:val="0"/>
        <w:adjustRightInd w:val="0"/>
        <w:spacing w:before="0"/>
        <w:ind w:left="1134" w:hanging="425"/>
        <w:contextualSpacing/>
        <w:rPr>
          <w:rFonts w:cs="Arial"/>
        </w:rPr>
      </w:pPr>
      <w:r w:rsidRPr="004D0577">
        <w:rPr>
          <w:rFonts w:cs="Arial"/>
        </w:rPr>
        <w:t xml:space="preserve">The </w:t>
      </w:r>
      <w:proofErr w:type="spellStart"/>
      <w:r w:rsidRPr="004D0577">
        <w:rPr>
          <w:rFonts w:eastAsia="Arial" w:cs="Arial"/>
        </w:rPr>
        <w:t>Jacksdale</w:t>
      </w:r>
      <w:proofErr w:type="spellEnd"/>
      <w:r w:rsidRPr="004D0577">
        <w:rPr>
          <w:rFonts w:eastAsia="Arial" w:cs="Arial"/>
        </w:rPr>
        <w:t>, Underwood</w:t>
      </w:r>
      <w:r w:rsidR="008969BA" w:rsidRPr="004D0577">
        <w:rPr>
          <w:rFonts w:eastAsia="Arial" w:cs="Arial"/>
        </w:rPr>
        <w:t>,</w:t>
      </w:r>
      <w:r w:rsidRPr="004D0577">
        <w:rPr>
          <w:rFonts w:eastAsia="Arial" w:cs="Arial"/>
        </w:rPr>
        <w:t xml:space="preserve"> </w:t>
      </w:r>
      <w:proofErr w:type="spellStart"/>
      <w:r w:rsidRPr="004D0577">
        <w:rPr>
          <w:rFonts w:eastAsia="Arial" w:cs="Arial"/>
        </w:rPr>
        <w:t>Selston</w:t>
      </w:r>
      <w:proofErr w:type="spellEnd"/>
      <w:r w:rsidRPr="004D0577">
        <w:rPr>
          <w:rFonts w:eastAsia="Arial" w:cs="Arial"/>
        </w:rPr>
        <w:t xml:space="preserve"> Tomorrow</w:t>
      </w:r>
      <w:r w:rsidR="008969BA" w:rsidRPr="004D0577">
        <w:rPr>
          <w:rFonts w:eastAsia="Arial" w:cs="Arial"/>
        </w:rPr>
        <w:t xml:space="preserve"> Neighbourhood Plan</w:t>
      </w:r>
      <w:r w:rsidRPr="004D0577">
        <w:rPr>
          <w:rFonts w:eastAsia="Arial" w:cs="Arial"/>
        </w:rPr>
        <w:t xml:space="preserve"> (</w:t>
      </w:r>
      <w:r w:rsidRPr="004D0577">
        <w:rPr>
          <w:rFonts w:cs="Arial"/>
        </w:rPr>
        <w:t>JUS</w:t>
      </w:r>
      <w:r w:rsidR="003C3F55" w:rsidRPr="004D0577">
        <w:rPr>
          <w:rFonts w:cs="Arial"/>
        </w:rPr>
        <w:t>-</w:t>
      </w:r>
      <w:r w:rsidRPr="004D0577">
        <w:rPr>
          <w:rFonts w:cs="Arial"/>
        </w:rPr>
        <w:t xml:space="preserve">t) and </w:t>
      </w:r>
      <w:r w:rsidR="008969BA" w:rsidRPr="004D0577">
        <w:rPr>
          <w:rFonts w:cs="Arial"/>
        </w:rPr>
        <w:t xml:space="preserve">the </w:t>
      </w:r>
      <w:r w:rsidRPr="004D0577">
        <w:rPr>
          <w:rFonts w:cs="Arial"/>
        </w:rPr>
        <w:t>Teversal, Stanton Hill and Skegby Neighbourhood Plan (further information is contained in paragraph 1.3</w:t>
      </w:r>
      <w:r w:rsidR="00CC6BDF" w:rsidRPr="004D0577">
        <w:rPr>
          <w:rFonts w:cs="Arial"/>
        </w:rPr>
        <w:t>6</w:t>
      </w:r>
      <w:r w:rsidRPr="004D0577">
        <w:rPr>
          <w:rFonts w:cs="Arial"/>
        </w:rPr>
        <w:t xml:space="preserve"> below);</w:t>
      </w:r>
    </w:p>
    <w:p w14:paraId="619245CE" w14:textId="77777777" w:rsidR="00CC6BDF" w:rsidRPr="004D0577" w:rsidRDefault="00CC6BDF" w:rsidP="00CC6BDF">
      <w:pPr>
        <w:keepNext w:val="0"/>
        <w:autoSpaceDE w:val="0"/>
        <w:autoSpaceDN w:val="0"/>
        <w:adjustRightInd w:val="0"/>
        <w:spacing w:before="0"/>
        <w:ind w:left="1134"/>
        <w:contextualSpacing/>
        <w:rPr>
          <w:rFonts w:cs="Arial"/>
        </w:rPr>
      </w:pPr>
    </w:p>
    <w:p w14:paraId="55B07305" w14:textId="7FF05D99" w:rsidR="00284AAC" w:rsidRPr="004D0577" w:rsidRDefault="00284AAC" w:rsidP="00D01157">
      <w:pPr>
        <w:keepNext w:val="0"/>
        <w:numPr>
          <w:ilvl w:val="0"/>
          <w:numId w:val="47"/>
        </w:numPr>
        <w:autoSpaceDE w:val="0"/>
        <w:autoSpaceDN w:val="0"/>
        <w:adjustRightInd w:val="0"/>
        <w:spacing w:before="0"/>
        <w:ind w:left="1134" w:hanging="425"/>
        <w:contextualSpacing/>
        <w:rPr>
          <w:rFonts w:cs="Arial"/>
          <w:b/>
          <w:bCs/>
        </w:rPr>
      </w:pPr>
      <w:r w:rsidRPr="004D0577">
        <w:rPr>
          <w:rFonts w:cs="Arial"/>
        </w:rPr>
        <w:t xml:space="preserve">Nottinghamshire and Nottingham </w:t>
      </w:r>
      <w:r w:rsidRPr="004D0577">
        <w:rPr>
          <w:rFonts w:cs="Arial"/>
          <w:strike/>
        </w:rPr>
        <w:t>Replacement</w:t>
      </w:r>
      <w:r w:rsidRPr="004D0577">
        <w:rPr>
          <w:rFonts w:cs="Arial"/>
        </w:rPr>
        <w:t xml:space="preserve"> Waste Local Plan</w:t>
      </w:r>
      <w:r w:rsidR="00566A13" w:rsidRPr="004D0577">
        <w:rPr>
          <w:rFonts w:cs="Arial"/>
        </w:rPr>
        <w:t xml:space="preserve"> </w:t>
      </w:r>
      <w:r w:rsidR="003B66A4" w:rsidRPr="004D0577">
        <w:rPr>
          <w:rFonts w:cs="Arial"/>
          <w:color w:val="0070C0"/>
        </w:rPr>
        <w:t>2025</w:t>
      </w:r>
      <w:r w:rsidR="003B66A4" w:rsidRPr="004D0577">
        <w:rPr>
          <w:rFonts w:cs="Arial"/>
          <w:vertAlign w:val="superscript"/>
        </w:rPr>
        <w:footnoteReference w:id="1"/>
      </w:r>
      <w:r w:rsidR="003B66A4" w:rsidRPr="004D0577">
        <w:rPr>
          <w:rFonts w:cs="Arial"/>
          <w:color w:val="0070C0"/>
        </w:rPr>
        <w:t xml:space="preserve"> </w:t>
      </w:r>
      <w:r w:rsidRPr="004D0577">
        <w:rPr>
          <w:rFonts w:cs="Arial"/>
          <w:strike/>
        </w:rPr>
        <w:t>Part 1 Waste Core Strategy 2013</w:t>
      </w:r>
      <w:r w:rsidRPr="004D0577">
        <w:rPr>
          <w:rFonts w:cs="Arial"/>
        </w:rPr>
        <w:t xml:space="preserve">; </w:t>
      </w:r>
      <w:r w:rsidR="003B66A4" w:rsidRPr="004D0577">
        <w:rPr>
          <w:rFonts w:cs="Arial"/>
          <w:b/>
          <w:bCs/>
        </w:rPr>
        <w:t>and</w:t>
      </w:r>
    </w:p>
    <w:p w14:paraId="01F15C10" w14:textId="77777777" w:rsidR="00CC6BDF" w:rsidRPr="004D0577" w:rsidRDefault="00CC6BDF" w:rsidP="00CC6BDF">
      <w:pPr>
        <w:keepNext w:val="0"/>
        <w:autoSpaceDE w:val="0"/>
        <w:autoSpaceDN w:val="0"/>
        <w:adjustRightInd w:val="0"/>
        <w:spacing w:before="0"/>
        <w:contextualSpacing/>
        <w:rPr>
          <w:rFonts w:cs="Arial"/>
        </w:rPr>
      </w:pPr>
    </w:p>
    <w:p w14:paraId="4FB8675D" w14:textId="088C1B80" w:rsidR="00C80ED9" w:rsidRPr="004D0577" w:rsidRDefault="00284AAC" w:rsidP="00D01157">
      <w:pPr>
        <w:keepNext w:val="0"/>
        <w:numPr>
          <w:ilvl w:val="0"/>
          <w:numId w:val="47"/>
        </w:numPr>
        <w:autoSpaceDE w:val="0"/>
        <w:autoSpaceDN w:val="0"/>
        <w:adjustRightInd w:val="0"/>
        <w:spacing w:before="0"/>
        <w:ind w:left="1134" w:hanging="425"/>
        <w:contextualSpacing/>
        <w:rPr>
          <w:rFonts w:cs="Arial"/>
        </w:rPr>
      </w:pPr>
      <w:r w:rsidRPr="004D0577">
        <w:rPr>
          <w:rFonts w:cs="Arial"/>
          <w:strike/>
        </w:rPr>
        <w:t>Nottinghamshire and Nottingham Waste Local Plan 2002 Saved Policies</w:t>
      </w:r>
      <w:r w:rsidRPr="004D0577">
        <w:rPr>
          <w:rFonts w:eastAsia="Arial" w:cs="Arial"/>
          <w:strike/>
          <w:szCs w:val="24"/>
          <w:vertAlign w:val="superscript"/>
        </w:rPr>
        <w:footnoteReference w:id="2"/>
      </w:r>
      <w:r w:rsidRPr="004D0577">
        <w:rPr>
          <w:rFonts w:eastAsia="Arial" w:cs="Arial"/>
          <w:strike/>
          <w:szCs w:val="24"/>
        </w:rPr>
        <w:t>; and</w:t>
      </w:r>
    </w:p>
    <w:p w14:paraId="0207B89F" w14:textId="77777777" w:rsidR="00CC6BDF" w:rsidRDefault="00CC6BDF" w:rsidP="00CC6BDF">
      <w:pPr>
        <w:keepNext w:val="0"/>
        <w:autoSpaceDE w:val="0"/>
        <w:autoSpaceDN w:val="0"/>
        <w:adjustRightInd w:val="0"/>
        <w:spacing w:before="0"/>
        <w:contextualSpacing/>
        <w:rPr>
          <w:rFonts w:cs="Arial"/>
        </w:rPr>
      </w:pPr>
    </w:p>
    <w:p w14:paraId="4E0155E9" w14:textId="420EE01C" w:rsidR="00284AAC" w:rsidRPr="00C80ED9" w:rsidRDefault="00284AAC" w:rsidP="00D01157">
      <w:pPr>
        <w:keepNext w:val="0"/>
        <w:numPr>
          <w:ilvl w:val="0"/>
          <w:numId w:val="47"/>
        </w:numPr>
        <w:autoSpaceDE w:val="0"/>
        <w:autoSpaceDN w:val="0"/>
        <w:adjustRightInd w:val="0"/>
        <w:spacing w:before="0"/>
        <w:ind w:left="1134" w:hanging="425"/>
        <w:contextualSpacing/>
        <w:rPr>
          <w:rFonts w:cs="Arial"/>
        </w:rPr>
      </w:pPr>
      <w:r w:rsidRPr="00C80ED9">
        <w:rPr>
          <w:rFonts w:eastAsia="Arial" w:cs="Arial"/>
          <w:szCs w:val="24"/>
        </w:rPr>
        <w:t>The Nottinghamshire Mineral Development Plan 20</w:t>
      </w:r>
      <w:r w:rsidR="003C3F55" w:rsidRPr="00C80ED9">
        <w:rPr>
          <w:rFonts w:eastAsia="Arial" w:cs="Arial"/>
          <w:szCs w:val="24"/>
        </w:rPr>
        <w:t>21</w:t>
      </w:r>
      <w:r w:rsidRPr="00C80ED9">
        <w:rPr>
          <w:rFonts w:eastAsia="Arial" w:cs="Arial"/>
          <w:szCs w:val="24"/>
          <w:vertAlign w:val="superscript"/>
        </w:rPr>
        <w:footnoteReference w:id="3"/>
      </w:r>
      <w:r w:rsidRPr="00C80ED9">
        <w:rPr>
          <w:rFonts w:eastAsia="Arial" w:cs="Arial"/>
          <w:szCs w:val="24"/>
        </w:rPr>
        <w:t>.</w:t>
      </w:r>
    </w:p>
    <w:p w14:paraId="2449997F" w14:textId="77777777" w:rsidR="00284AAC" w:rsidRPr="003C7E62" w:rsidRDefault="00284AAC" w:rsidP="00606546">
      <w:pPr>
        <w:autoSpaceDE w:val="0"/>
        <w:autoSpaceDN w:val="0"/>
        <w:adjustRightInd w:val="0"/>
        <w:spacing w:before="0"/>
        <w:contextualSpacing/>
        <w:rPr>
          <w:rFonts w:eastAsia="Arial" w:cs="Arial"/>
          <w:szCs w:val="24"/>
        </w:rPr>
      </w:pPr>
    </w:p>
    <w:p w14:paraId="36926C69" w14:textId="77777777" w:rsidR="00284AAC" w:rsidRPr="003C7E62" w:rsidRDefault="00284AAC" w:rsidP="00606546">
      <w:pPr>
        <w:autoSpaceDE w:val="0"/>
        <w:autoSpaceDN w:val="0"/>
        <w:adjustRightInd w:val="0"/>
        <w:spacing w:before="0"/>
        <w:ind w:left="709"/>
        <w:contextualSpacing/>
        <w:rPr>
          <w:rFonts w:cs="Arial"/>
          <w:highlight w:val="yellow"/>
        </w:rPr>
      </w:pPr>
      <w:r w:rsidRPr="003C7E62">
        <w:rPr>
          <w:rFonts w:eastAsia="Arial" w:cs="Arial"/>
          <w:szCs w:val="24"/>
        </w:rPr>
        <w:t>Issues related to waste or minerals are not included in the draft Ashfield Local Plan. Any development proposals related to waste or minerals will be assessed by the County Council as the Waste and Minerals Authority.</w:t>
      </w:r>
    </w:p>
    <w:p w14:paraId="2A55D8BB" w14:textId="77777777" w:rsidR="00284AAC" w:rsidRPr="003C7E62" w:rsidRDefault="00284AAC" w:rsidP="00606546">
      <w:pPr>
        <w:autoSpaceDE w:val="0"/>
        <w:autoSpaceDN w:val="0"/>
        <w:adjustRightInd w:val="0"/>
        <w:spacing w:before="0"/>
        <w:contextualSpacing/>
        <w:rPr>
          <w:rFonts w:cs="Arial"/>
        </w:rPr>
      </w:pPr>
    </w:p>
    <w:p w14:paraId="3A683694" w14:textId="4C3D7D20" w:rsidR="00284AAC" w:rsidRPr="003C7E62" w:rsidRDefault="00284AAC" w:rsidP="00D01157">
      <w:pPr>
        <w:keepNext w:val="0"/>
        <w:numPr>
          <w:ilvl w:val="1"/>
          <w:numId w:val="48"/>
        </w:numPr>
        <w:autoSpaceDE w:val="0"/>
        <w:autoSpaceDN w:val="0"/>
        <w:adjustRightInd w:val="0"/>
        <w:spacing w:before="0"/>
        <w:ind w:left="709" w:hanging="709"/>
        <w:contextualSpacing/>
        <w:rPr>
          <w:rFonts w:cs="Arial"/>
        </w:rPr>
      </w:pPr>
      <w:r w:rsidRPr="002253B9">
        <w:rPr>
          <w:rFonts w:cs="Arial"/>
        </w:rPr>
        <w:t xml:space="preserve">This </w:t>
      </w:r>
      <w:r w:rsidR="00890704" w:rsidRPr="00075569">
        <w:rPr>
          <w:rFonts w:cs="Arial"/>
          <w:strike/>
        </w:rPr>
        <w:t>d</w:t>
      </w:r>
      <w:r w:rsidRPr="00075569">
        <w:rPr>
          <w:rFonts w:cs="Arial"/>
          <w:strike/>
        </w:rPr>
        <w:t>raft</w:t>
      </w:r>
      <w:r w:rsidRPr="002253B9">
        <w:rPr>
          <w:rFonts w:cs="Arial"/>
        </w:rPr>
        <w:t xml:space="preserve"> </w:t>
      </w:r>
      <w:r w:rsidR="006A2145">
        <w:rPr>
          <w:rFonts w:cs="Arial"/>
        </w:rPr>
        <w:t>L</w:t>
      </w:r>
      <w:r w:rsidRPr="002253B9">
        <w:rPr>
          <w:rFonts w:cs="Arial"/>
        </w:rPr>
        <w:t xml:space="preserve">ocal </w:t>
      </w:r>
      <w:r w:rsidR="006A2145">
        <w:rPr>
          <w:rFonts w:cs="Arial"/>
        </w:rPr>
        <w:t>P</w:t>
      </w:r>
      <w:r w:rsidRPr="002253B9">
        <w:rPr>
          <w:rFonts w:cs="Arial"/>
        </w:rPr>
        <w:t>lan (202</w:t>
      </w:r>
      <w:r w:rsidR="002253B9" w:rsidRPr="002253B9">
        <w:rPr>
          <w:rFonts w:cs="Arial"/>
        </w:rPr>
        <w:t>3</w:t>
      </w:r>
      <w:r w:rsidRPr="002253B9">
        <w:rPr>
          <w:rFonts w:cs="Arial"/>
        </w:rPr>
        <w:t xml:space="preserve"> – 20</w:t>
      </w:r>
      <w:r w:rsidR="002253B9" w:rsidRPr="002253B9">
        <w:rPr>
          <w:rFonts w:cs="Arial"/>
        </w:rPr>
        <w:t>40</w:t>
      </w:r>
      <w:r w:rsidRPr="002253B9">
        <w:rPr>
          <w:rFonts w:cs="Arial"/>
        </w:rPr>
        <w:t>)</w:t>
      </w:r>
      <w:r w:rsidRPr="003C7E62">
        <w:rPr>
          <w:rFonts w:cs="Arial"/>
        </w:rPr>
        <w:t xml:space="preserve"> provides the basis for delivering sustainable development within the district of Ashfield</w:t>
      </w:r>
      <w:r w:rsidRPr="003C7E62">
        <w:rPr>
          <w:rFonts w:cs="Arial"/>
          <w:vertAlign w:val="superscript"/>
        </w:rPr>
        <w:footnoteReference w:id="4"/>
      </w:r>
      <w:r w:rsidRPr="003C7E62">
        <w:rPr>
          <w:rFonts w:cs="Arial"/>
        </w:rPr>
        <w:t xml:space="preserve">. It sets out a vision for the future, a framework for meeting identified needs and priorities, and a way in which communities can get involved in shaping the future of the area.  The plan </w:t>
      </w:r>
      <w:r w:rsidRPr="003C7E62">
        <w:rPr>
          <w:rFonts w:eastAsia="Arial" w:cs="Arial"/>
        </w:rPr>
        <w:t xml:space="preserve">considers land use needs for specific types of development and identifies sites and areas of protection. It also provides the basis upon which planning applications will be determined, outlining the main criteria that the Council will employ in assessing planning proposals within the </w:t>
      </w:r>
      <w:proofErr w:type="gramStart"/>
      <w:r w:rsidRPr="003C7E62">
        <w:rPr>
          <w:rFonts w:eastAsia="Arial" w:cs="Arial"/>
        </w:rPr>
        <w:t>District</w:t>
      </w:r>
      <w:proofErr w:type="gramEnd"/>
      <w:r w:rsidRPr="003C7E62">
        <w:rPr>
          <w:rFonts w:eastAsia="Arial" w:cs="Arial"/>
        </w:rPr>
        <w:t>.</w:t>
      </w:r>
    </w:p>
    <w:p w14:paraId="4B02B1E4" w14:textId="77777777" w:rsidR="00284AAC" w:rsidRPr="003C7E62" w:rsidRDefault="00284AAC" w:rsidP="00606546">
      <w:pPr>
        <w:autoSpaceDE w:val="0"/>
        <w:autoSpaceDN w:val="0"/>
        <w:adjustRightInd w:val="0"/>
        <w:spacing w:before="0"/>
        <w:ind w:left="360"/>
        <w:contextualSpacing/>
        <w:rPr>
          <w:rFonts w:cs="Arial"/>
        </w:rPr>
      </w:pPr>
    </w:p>
    <w:p w14:paraId="416F67C5" w14:textId="08DFCCAE" w:rsidR="00284AAC" w:rsidRPr="003C7E62" w:rsidRDefault="00284AAC" w:rsidP="00D01157">
      <w:pPr>
        <w:keepNext w:val="0"/>
        <w:numPr>
          <w:ilvl w:val="1"/>
          <w:numId w:val="48"/>
        </w:numPr>
        <w:autoSpaceDE w:val="0"/>
        <w:autoSpaceDN w:val="0"/>
        <w:adjustRightInd w:val="0"/>
        <w:spacing w:before="0"/>
        <w:ind w:left="709" w:hanging="709"/>
        <w:contextualSpacing/>
        <w:rPr>
          <w:rFonts w:cs="Arial"/>
        </w:rPr>
      </w:pPr>
      <w:r w:rsidRPr="003C7E62">
        <w:rPr>
          <w:rFonts w:eastAsia="Arial" w:cs="Arial"/>
        </w:rPr>
        <w:t xml:space="preserve">All future development in Ashfield will be guided by the policies included in this </w:t>
      </w:r>
      <w:r w:rsidRPr="00075569">
        <w:rPr>
          <w:rFonts w:eastAsia="Arial" w:cs="Arial"/>
          <w:strike/>
        </w:rPr>
        <w:t xml:space="preserve">draft </w:t>
      </w:r>
      <w:r w:rsidRPr="003C7E62">
        <w:rPr>
          <w:rFonts w:eastAsia="Arial" w:cs="Arial"/>
        </w:rPr>
        <w:t xml:space="preserve">Local Plan which has been prepared according to the requirements of planning </w:t>
      </w:r>
      <w:r w:rsidRPr="003C7E62">
        <w:rPr>
          <w:rFonts w:eastAsia="Arial" w:cs="Arial"/>
        </w:rPr>
        <w:lastRenderedPageBreak/>
        <w:t>legislation</w:t>
      </w:r>
      <w:r w:rsidRPr="003C7E62">
        <w:rPr>
          <w:rFonts w:eastAsia="Arial" w:cs="Arial"/>
          <w:vertAlign w:val="superscript"/>
        </w:rPr>
        <w:footnoteReference w:id="5"/>
      </w:r>
      <w:r w:rsidRPr="003C7E62">
        <w:rPr>
          <w:rFonts w:eastAsia="Arial" w:cs="Arial"/>
        </w:rPr>
        <w:t xml:space="preserve"> and an extensive process of evidence gathering and consultation.</w:t>
      </w:r>
      <w:r w:rsidRPr="003C7E62">
        <w:rPr>
          <w:rFonts w:cs="Arial"/>
        </w:rPr>
        <w:t xml:space="preserve">  </w:t>
      </w:r>
      <w:r w:rsidRPr="003C7E62">
        <w:rPr>
          <w:rFonts w:eastAsia="Calibri" w:cs="Arial"/>
          <w:szCs w:val="24"/>
        </w:rPr>
        <w:t xml:space="preserve">The </w:t>
      </w:r>
      <w:r w:rsidRPr="00075569">
        <w:rPr>
          <w:rFonts w:eastAsia="Calibri" w:cs="Arial"/>
          <w:strike/>
          <w:szCs w:val="24"/>
        </w:rPr>
        <w:t>draft</w:t>
      </w:r>
      <w:r w:rsidRPr="00075569">
        <w:rPr>
          <w:rFonts w:eastAsia="Calibri" w:cs="Arial"/>
          <w:szCs w:val="24"/>
        </w:rPr>
        <w:t xml:space="preserve"> </w:t>
      </w:r>
      <w:r w:rsidRPr="003C7E62">
        <w:rPr>
          <w:rFonts w:eastAsia="Calibri" w:cs="Arial"/>
          <w:szCs w:val="24"/>
        </w:rPr>
        <w:t xml:space="preserve">Local Plan has been informed by </w:t>
      </w:r>
      <w:proofErr w:type="gramStart"/>
      <w:r w:rsidRPr="003C7E62">
        <w:rPr>
          <w:rFonts w:eastAsia="Calibri" w:cs="Arial"/>
          <w:szCs w:val="24"/>
        </w:rPr>
        <w:t>a number of</w:t>
      </w:r>
      <w:proofErr w:type="gramEnd"/>
      <w:r w:rsidRPr="003C7E62">
        <w:rPr>
          <w:rFonts w:eastAsia="Calibri" w:cs="Arial"/>
          <w:szCs w:val="24"/>
        </w:rPr>
        <w:t xml:space="preserve"> supporting evidence and background studies including:</w:t>
      </w:r>
    </w:p>
    <w:p w14:paraId="69ECD8A4" w14:textId="77777777" w:rsidR="00284AAC" w:rsidRPr="003C7E62" w:rsidRDefault="00284AAC" w:rsidP="00606546">
      <w:pPr>
        <w:autoSpaceDE w:val="0"/>
        <w:autoSpaceDN w:val="0"/>
        <w:adjustRightInd w:val="0"/>
        <w:spacing w:before="0"/>
        <w:ind w:left="600"/>
        <w:rPr>
          <w:rFonts w:eastAsia="Calibri" w:cs="Arial"/>
          <w:szCs w:val="24"/>
        </w:rPr>
      </w:pPr>
    </w:p>
    <w:p w14:paraId="3E3FF0E2" w14:textId="335CB5D7" w:rsidR="00284AAC" w:rsidRPr="003C7E62" w:rsidRDefault="00284AAC" w:rsidP="00D01157">
      <w:pPr>
        <w:keepNext w:val="0"/>
        <w:numPr>
          <w:ilvl w:val="0"/>
          <w:numId w:val="50"/>
        </w:numPr>
        <w:autoSpaceDE w:val="0"/>
        <w:autoSpaceDN w:val="0"/>
        <w:adjustRightInd w:val="0"/>
        <w:spacing w:before="0"/>
        <w:rPr>
          <w:rFonts w:eastAsia="Calibri" w:cs="Arial"/>
          <w:szCs w:val="24"/>
        </w:rPr>
      </w:pPr>
      <w:r w:rsidRPr="003C7E62">
        <w:rPr>
          <w:rFonts w:eastAsia="Calibri" w:cs="Arial"/>
          <w:szCs w:val="24"/>
        </w:rPr>
        <w:t>T</w:t>
      </w:r>
      <w:r w:rsidRPr="003C7E62">
        <w:rPr>
          <w:rFonts w:eastAsia="Arial" w:cs="Arial"/>
        </w:rPr>
        <w:t>he National Planning Policy Framework (NPPF)</w:t>
      </w:r>
      <w:r w:rsidRPr="003C7E62">
        <w:rPr>
          <w:rStyle w:val="FootnoteReference"/>
          <w:rFonts w:eastAsia="Arial" w:cs="Arial"/>
        </w:rPr>
        <w:footnoteReference w:id="6"/>
      </w:r>
      <w:r w:rsidRPr="003C7E62">
        <w:rPr>
          <w:rFonts w:eastAsia="Arial" w:cs="Arial"/>
        </w:rPr>
        <w:t xml:space="preserve"> and Planning Practice Guidance</w:t>
      </w:r>
      <w:r w:rsidRPr="003C7E62">
        <w:rPr>
          <w:rStyle w:val="FootnoteReference"/>
          <w:rFonts w:eastAsia="Arial" w:cs="Arial"/>
        </w:rPr>
        <w:footnoteReference w:id="7"/>
      </w:r>
      <w:r w:rsidRPr="003C7E62">
        <w:rPr>
          <w:rFonts w:eastAsia="Arial" w:cs="Arial"/>
        </w:rPr>
        <w:t>;</w:t>
      </w:r>
    </w:p>
    <w:p w14:paraId="3608D7C2" w14:textId="77777777" w:rsidR="00284AAC" w:rsidRPr="003C7E62" w:rsidRDefault="00284AAC" w:rsidP="00D01157">
      <w:pPr>
        <w:keepNext w:val="0"/>
        <w:numPr>
          <w:ilvl w:val="0"/>
          <w:numId w:val="50"/>
        </w:numPr>
        <w:autoSpaceDE w:val="0"/>
        <w:autoSpaceDN w:val="0"/>
        <w:adjustRightInd w:val="0"/>
        <w:spacing w:before="0"/>
        <w:rPr>
          <w:rFonts w:eastAsia="Calibri" w:cs="Arial"/>
          <w:szCs w:val="24"/>
        </w:rPr>
      </w:pPr>
      <w:r w:rsidRPr="003C7E62">
        <w:rPr>
          <w:rFonts w:eastAsia="Calibri" w:cs="Arial"/>
          <w:szCs w:val="24"/>
        </w:rPr>
        <w:t>A robust, objective and up-to-date Evidence Base</w:t>
      </w:r>
      <w:r w:rsidRPr="003C7E62">
        <w:rPr>
          <w:rFonts w:eastAsia="Calibri" w:cs="Arial"/>
          <w:szCs w:val="24"/>
          <w:vertAlign w:val="superscript"/>
        </w:rPr>
        <w:footnoteReference w:id="8"/>
      </w:r>
      <w:r w:rsidRPr="003C7E62">
        <w:rPr>
          <w:rFonts w:eastAsia="Calibri" w:cs="Arial"/>
          <w:szCs w:val="24"/>
        </w:rPr>
        <w:t xml:space="preserve">; </w:t>
      </w:r>
    </w:p>
    <w:p w14:paraId="0C49F629" w14:textId="77777777" w:rsidR="00284AAC" w:rsidRPr="003C7E62" w:rsidRDefault="00284AAC" w:rsidP="00D01157">
      <w:pPr>
        <w:keepNext w:val="0"/>
        <w:numPr>
          <w:ilvl w:val="0"/>
          <w:numId w:val="50"/>
        </w:numPr>
        <w:autoSpaceDE w:val="0"/>
        <w:autoSpaceDN w:val="0"/>
        <w:adjustRightInd w:val="0"/>
        <w:spacing w:before="0"/>
        <w:rPr>
          <w:rFonts w:eastAsia="Calibri" w:cs="Arial"/>
          <w:szCs w:val="24"/>
        </w:rPr>
      </w:pPr>
      <w:r w:rsidRPr="003C7E62">
        <w:rPr>
          <w:rFonts w:eastAsia="Calibri" w:cs="Arial"/>
          <w:szCs w:val="24"/>
        </w:rPr>
        <w:t>Regional and local plans and strategies including strategic Council priorities;</w:t>
      </w:r>
    </w:p>
    <w:p w14:paraId="0C753DB7" w14:textId="4647BA83" w:rsidR="00284AAC" w:rsidRPr="003C7E62" w:rsidRDefault="00284AAC" w:rsidP="00D01157">
      <w:pPr>
        <w:keepNext w:val="0"/>
        <w:numPr>
          <w:ilvl w:val="0"/>
          <w:numId w:val="50"/>
        </w:numPr>
        <w:autoSpaceDE w:val="0"/>
        <w:autoSpaceDN w:val="0"/>
        <w:adjustRightInd w:val="0"/>
        <w:spacing w:before="0"/>
        <w:rPr>
          <w:rFonts w:eastAsia="Calibri" w:cs="Arial"/>
          <w:szCs w:val="24"/>
        </w:rPr>
      </w:pPr>
      <w:r w:rsidRPr="003C7E62">
        <w:rPr>
          <w:rFonts w:eastAsia="Calibri" w:cs="Arial"/>
          <w:szCs w:val="24"/>
        </w:rPr>
        <w:t xml:space="preserve">Engagement with specific consultation bodies, organisations, our community and neighbouring Authorities, and </w:t>
      </w:r>
    </w:p>
    <w:p w14:paraId="08CD5F83" w14:textId="77777777" w:rsidR="00284AAC" w:rsidRPr="003C7E62" w:rsidRDefault="00284AAC" w:rsidP="00D01157">
      <w:pPr>
        <w:keepNext w:val="0"/>
        <w:numPr>
          <w:ilvl w:val="0"/>
          <w:numId w:val="50"/>
        </w:numPr>
        <w:autoSpaceDE w:val="0"/>
        <w:autoSpaceDN w:val="0"/>
        <w:adjustRightInd w:val="0"/>
        <w:spacing w:before="0"/>
        <w:rPr>
          <w:rFonts w:eastAsia="Calibri" w:cs="Arial"/>
          <w:szCs w:val="24"/>
        </w:rPr>
      </w:pPr>
      <w:r w:rsidRPr="003C7E62">
        <w:rPr>
          <w:rFonts w:eastAsia="Calibri" w:cs="Arial"/>
          <w:szCs w:val="24"/>
        </w:rPr>
        <w:t xml:space="preserve">Previous consultation on the Local Plan withdrawn in September 2018. </w:t>
      </w:r>
    </w:p>
    <w:p w14:paraId="49D5E9C0" w14:textId="77777777" w:rsidR="00284AAC" w:rsidRPr="003C7E62" w:rsidRDefault="00284AAC" w:rsidP="00606546">
      <w:pPr>
        <w:autoSpaceDE w:val="0"/>
        <w:autoSpaceDN w:val="0"/>
        <w:adjustRightInd w:val="0"/>
        <w:spacing w:before="0"/>
        <w:rPr>
          <w:rFonts w:cs="Arial"/>
        </w:rPr>
      </w:pPr>
    </w:p>
    <w:p w14:paraId="2E753754" w14:textId="77777777" w:rsidR="00284AAC" w:rsidRPr="003C7E62" w:rsidRDefault="00284AAC" w:rsidP="00D01157">
      <w:pPr>
        <w:keepNext w:val="0"/>
        <w:numPr>
          <w:ilvl w:val="1"/>
          <w:numId w:val="48"/>
        </w:numPr>
        <w:autoSpaceDE w:val="0"/>
        <w:autoSpaceDN w:val="0"/>
        <w:adjustRightInd w:val="0"/>
        <w:spacing w:before="0"/>
        <w:ind w:left="709" w:hanging="709"/>
        <w:rPr>
          <w:rFonts w:cs="Arial"/>
        </w:rPr>
      </w:pPr>
      <w:r w:rsidRPr="001302C7">
        <w:rPr>
          <w:rFonts w:eastAsia="Arial" w:cs="Arial"/>
        </w:rPr>
        <w:t>When the Local Plan is adopted</w:t>
      </w:r>
      <w:r w:rsidRPr="003C7E62">
        <w:rPr>
          <w:rFonts w:eastAsia="Arial" w:cs="Arial"/>
        </w:rPr>
        <w:t xml:space="preserve"> the saved policies</w:t>
      </w:r>
      <w:r w:rsidRPr="003C7E62">
        <w:rPr>
          <w:rFonts w:cs="Arial"/>
          <w:vertAlign w:val="superscript"/>
        </w:rPr>
        <w:footnoteReference w:id="9"/>
      </w:r>
      <w:r w:rsidRPr="003C7E62">
        <w:rPr>
          <w:rFonts w:eastAsia="Arial" w:cs="Arial"/>
        </w:rPr>
        <w:t xml:space="preserve"> from the Ashfield Local Plan Review (2002) will be superseded and will no longer form part of the development plan.  </w:t>
      </w:r>
    </w:p>
    <w:p w14:paraId="61D85D6B" w14:textId="77777777" w:rsidR="00284AAC" w:rsidRPr="003C7E62" w:rsidRDefault="00284AAC" w:rsidP="00606546">
      <w:pPr>
        <w:autoSpaceDE w:val="0"/>
        <w:autoSpaceDN w:val="0"/>
        <w:adjustRightInd w:val="0"/>
        <w:spacing w:before="0"/>
        <w:ind w:left="709"/>
        <w:rPr>
          <w:rFonts w:cs="Arial"/>
        </w:rPr>
      </w:pPr>
    </w:p>
    <w:p w14:paraId="686BC57C" w14:textId="1ED8E51E" w:rsidR="00606546" w:rsidRPr="00B655F7" w:rsidRDefault="00284AAC" w:rsidP="00606546">
      <w:pPr>
        <w:autoSpaceDE w:val="0"/>
        <w:autoSpaceDN w:val="0"/>
        <w:adjustRightInd w:val="0"/>
        <w:spacing w:before="0"/>
        <w:ind w:left="709"/>
        <w:rPr>
          <w:rFonts w:cs="Arial"/>
          <w:b/>
          <w:i/>
          <w:strike/>
        </w:rPr>
      </w:pPr>
      <w:r w:rsidRPr="00B655F7">
        <w:rPr>
          <w:rFonts w:cs="Arial"/>
          <w:b/>
          <w:i/>
          <w:strike/>
        </w:rPr>
        <w:t>How have we arrived at the Draft Local Plan?</w:t>
      </w:r>
    </w:p>
    <w:p w14:paraId="01DA852C" w14:textId="77777777" w:rsidR="00606546" w:rsidRPr="00B655F7" w:rsidRDefault="00606546" w:rsidP="00606546">
      <w:pPr>
        <w:autoSpaceDE w:val="0"/>
        <w:autoSpaceDN w:val="0"/>
        <w:adjustRightInd w:val="0"/>
        <w:spacing w:before="0"/>
        <w:rPr>
          <w:rFonts w:cs="Arial"/>
          <w:b/>
          <w:i/>
          <w:strike/>
        </w:rPr>
      </w:pPr>
    </w:p>
    <w:p w14:paraId="30BF16A9" w14:textId="4755A570" w:rsidR="00284AAC" w:rsidRPr="00B655F7" w:rsidRDefault="003316CE" w:rsidP="00D01157">
      <w:pPr>
        <w:keepNext w:val="0"/>
        <w:numPr>
          <w:ilvl w:val="1"/>
          <w:numId w:val="48"/>
        </w:numPr>
        <w:autoSpaceDE w:val="0"/>
        <w:autoSpaceDN w:val="0"/>
        <w:adjustRightInd w:val="0"/>
        <w:spacing w:before="0"/>
        <w:ind w:left="720" w:hanging="720"/>
        <w:rPr>
          <w:rFonts w:cs="Arial"/>
          <w:strike/>
        </w:rPr>
      </w:pPr>
      <w:r w:rsidRPr="00B655F7">
        <w:rPr>
          <w:rFonts w:cs="Arial"/>
          <w:strike/>
        </w:rPr>
        <w:t xml:space="preserve">The Council has submitted two previous Local Plans for examination.  The Local Plan Publication 2013 was withdrawn from examination in July 2014. A subsequent Local Plan was submitted for examination on the </w:t>
      </w:r>
      <w:r w:rsidR="003B66A4" w:rsidRPr="00B655F7">
        <w:rPr>
          <w:rFonts w:cs="Arial"/>
          <w:strike/>
        </w:rPr>
        <w:t>24th of</w:t>
      </w:r>
      <w:r w:rsidRPr="00B655F7">
        <w:rPr>
          <w:rFonts w:cs="Arial"/>
          <w:strike/>
        </w:rPr>
        <w:t xml:space="preserve"> February 2017.  However, following a change in the political administration of the Council, a resolution was passed at the </w:t>
      </w:r>
      <w:r w:rsidR="002C776A" w:rsidRPr="00B655F7">
        <w:rPr>
          <w:rFonts w:cs="Arial"/>
          <w:strike/>
        </w:rPr>
        <w:t>F</w:t>
      </w:r>
      <w:r w:rsidRPr="00B655F7">
        <w:rPr>
          <w:rFonts w:cs="Arial"/>
          <w:strike/>
        </w:rPr>
        <w:t>ull Council meeting of 6th September 2018 to withdraw the Local Plan from examination and commence development of a new Local Plan immediately.</w:t>
      </w:r>
    </w:p>
    <w:p w14:paraId="2DD526AA" w14:textId="77777777" w:rsidR="00284AAC" w:rsidRPr="00B655F7" w:rsidRDefault="00284AAC" w:rsidP="00606546">
      <w:pPr>
        <w:autoSpaceDE w:val="0"/>
        <w:autoSpaceDN w:val="0"/>
        <w:adjustRightInd w:val="0"/>
        <w:spacing w:before="0"/>
        <w:ind w:left="720"/>
        <w:rPr>
          <w:rFonts w:cs="Arial"/>
          <w:strike/>
        </w:rPr>
      </w:pPr>
    </w:p>
    <w:p w14:paraId="6539165B" w14:textId="57A62836" w:rsidR="00284AAC" w:rsidRPr="00B655F7" w:rsidRDefault="002747A3" w:rsidP="00D01157">
      <w:pPr>
        <w:keepNext w:val="0"/>
        <w:numPr>
          <w:ilvl w:val="1"/>
          <w:numId w:val="48"/>
        </w:numPr>
        <w:autoSpaceDE w:val="0"/>
        <w:autoSpaceDN w:val="0"/>
        <w:adjustRightInd w:val="0"/>
        <w:spacing w:before="0"/>
        <w:ind w:left="720" w:hanging="720"/>
        <w:rPr>
          <w:rFonts w:cs="Arial"/>
          <w:strike/>
        </w:rPr>
      </w:pPr>
      <w:r w:rsidRPr="00B655F7">
        <w:rPr>
          <w:rFonts w:cs="Arial"/>
          <w:strike/>
        </w:rPr>
        <w:t xml:space="preserve">The </w:t>
      </w:r>
      <w:r w:rsidR="00284AAC" w:rsidRPr="00B655F7">
        <w:rPr>
          <w:rFonts w:cs="Arial"/>
          <w:strike/>
        </w:rPr>
        <w:t xml:space="preserve">evidence base has </w:t>
      </w:r>
      <w:r w:rsidRPr="00B655F7">
        <w:rPr>
          <w:rFonts w:cs="Arial"/>
          <w:strike/>
        </w:rPr>
        <w:t xml:space="preserve">been updated and has </w:t>
      </w:r>
      <w:r w:rsidR="00284AAC" w:rsidRPr="00B655F7">
        <w:rPr>
          <w:rFonts w:cs="Arial"/>
          <w:strike/>
        </w:rPr>
        <w:t>informed the draft Local Plan.  A new Statement of Community Involvement</w:t>
      </w:r>
      <w:r w:rsidR="00284AAC" w:rsidRPr="00B655F7">
        <w:rPr>
          <w:rFonts w:cs="Arial"/>
          <w:strike/>
          <w:vertAlign w:val="superscript"/>
        </w:rPr>
        <w:footnoteReference w:id="10"/>
      </w:r>
      <w:r w:rsidR="00284AAC" w:rsidRPr="00B655F7">
        <w:rPr>
          <w:rFonts w:cs="Arial"/>
          <w:strike/>
        </w:rPr>
        <w:t xml:space="preserve"> (SCI) and Local Development Scheme</w:t>
      </w:r>
      <w:r w:rsidR="00284AAC" w:rsidRPr="00B655F7">
        <w:rPr>
          <w:rFonts w:cs="Arial"/>
          <w:strike/>
          <w:vertAlign w:val="superscript"/>
        </w:rPr>
        <w:footnoteReference w:id="11"/>
      </w:r>
      <w:r w:rsidR="00284AAC" w:rsidRPr="00B655F7">
        <w:rPr>
          <w:rFonts w:cs="Arial"/>
          <w:strike/>
        </w:rPr>
        <w:t xml:space="preserve"> (LDS) ha</w:t>
      </w:r>
      <w:r w:rsidR="002C776A" w:rsidRPr="00B655F7">
        <w:rPr>
          <w:rFonts w:cs="Arial"/>
          <w:strike/>
        </w:rPr>
        <w:t>ve</w:t>
      </w:r>
      <w:r w:rsidR="00284AAC" w:rsidRPr="00B655F7">
        <w:rPr>
          <w:rFonts w:cs="Arial"/>
          <w:strike/>
        </w:rPr>
        <w:t xml:space="preserve"> also been </w:t>
      </w:r>
      <w:r w:rsidR="002C776A" w:rsidRPr="00B655F7">
        <w:rPr>
          <w:rFonts w:cs="Arial"/>
          <w:strike/>
        </w:rPr>
        <w:t>approved by Cabinet.</w:t>
      </w:r>
    </w:p>
    <w:p w14:paraId="5A1B8FA7" w14:textId="77777777" w:rsidR="00284AAC" w:rsidRPr="00B655F7" w:rsidRDefault="00284AAC" w:rsidP="00606546">
      <w:pPr>
        <w:autoSpaceDE w:val="0"/>
        <w:autoSpaceDN w:val="0"/>
        <w:adjustRightInd w:val="0"/>
        <w:spacing w:before="0"/>
        <w:rPr>
          <w:rFonts w:cs="Arial"/>
          <w:strike/>
        </w:rPr>
      </w:pPr>
    </w:p>
    <w:p w14:paraId="6E62D767" w14:textId="4CE8116A" w:rsidR="00284AAC" w:rsidRPr="00B655F7" w:rsidRDefault="00284AAC" w:rsidP="00D01157">
      <w:pPr>
        <w:keepNext w:val="0"/>
        <w:numPr>
          <w:ilvl w:val="1"/>
          <w:numId w:val="48"/>
        </w:numPr>
        <w:autoSpaceDE w:val="0"/>
        <w:autoSpaceDN w:val="0"/>
        <w:adjustRightInd w:val="0"/>
        <w:spacing w:before="0"/>
        <w:ind w:left="720" w:hanging="720"/>
        <w:rPr>
          <w:rFonts w:cs="Arial"/>
          <w:strike/>
        </w:rPr>
      </w:pPr>
      <w:r w:rsidRPr="00B655F7">
        <w:rPr>
          <w:rFonts w:cs="Arial"/>
          <w:strike/>
        </w:rPr>
        <w:t xml:space="preserve">The Council’s SCI sets out how members of the public can become involved in plan making and planning decisions.  It is important that neighbourhoods and communities have a voice in planning for their area at both a strategic and planning application level.  </w:t>
      </w:r>
    </w:p>
    <w:p w14:paraId="7DF0F82E" w14:textId="77777777" w:rsidR="008C72B3" w:rsidRPr="00B655F7" w:rsidRDefault="008C72B3" w:rsidP="008C72B3">
      <w:pPr>
        <w:keepNext w:val="0"/>
        <w:autoSpaceDE w:val="0"/>
        <w:autoSpaceDN w:val="0"/>
        <w:adjustRightInd w:val="0"/>
        <w:spacing w:before="0"/>
        <w:rPr>
          <w:rFonts w:cs="Arial"/>
          <w:strike/>
        </w:rPr>
      </w:pPr>
    </w:p>
    <w:p w14:paraId="35DF1A69" w14:textId="77777777" w:rsidR="00284AAC" w:rsidRPr="003B66A4" w:rsidRDefault="00284AAC" w:rsidP="00606546">
      <w:pPr>
        <w:autoSpaceDE w:val="0"/>
        <w:autoSpaceDN w:val="0"/>
        <w:adjustRightInd w:val="0"/>
        <w:spacing w:before="0"/>
        <w:ind w:left="709" w:hanging="709"/>
        <w:rPr>
          <w:rFonts w:cs="Arial"/>
          <w:strike/>
        </w:rPr>
      </w:pPr>
      <w:r w:rsidRPr="00B655F7">
        <w:rPr>
          <w:rFonts w:cs="Arial"/>
          <w:strike/>
        </w:rPr>
        <w:t>1.8</w:t>
      </w:r>
      <w:r w:rsidRPr="00B655F7">
        <w:rPr>
          <w:rFonts w:cs="Arial"/>
          <w:strike/>
        </w:rPr>
        <w:tab/>
        <w:t>The LDS sets out the timetable for Local Plan preparation and adoption.  It provides a starting point for people to see at what stage they can become involved in drafting</w:t>
      </w:r>
      <w:r w:rsidRPr="003B66A4">
        <w:rPr>
          <w:rFonts w:cs="Arial"/>
          <w:strike/>
        </w:rPr>
        <w:t xml:space="preserve"> </w:t>
      </w:r>
      <w:r w:rsidRPr="00B655F7">
        <w:rPr>
          <w:rFonts w:cs="Arial"/>
          <w:strike/>
        </w:rPr>
        <w:lastRenderedPageBreak/>
        <w:t>the local plan along with key stages of its preparation such as Examination in Public and adoption.</w:t>
      </w:r>
      <w:r w:rsidRPr="003B66A4">
        <w:rPr>
          <w:rFonts w:cs="Arial"/>
          <w:strike/>
        </w:rPr>
        <w:t xml:space="preserve"> </w:t>
      </w:r>
    </w:p>
    <w:p w14:paraId="4B04F76D" w14:textId="77777777" w:rsidR="00284AAC" w:rsidRPr="003C7E62" w:rsidRDefault="00284AAC" w:rsidP="00606546">
      <w:pPr>
        <w:autoSpaceDE w:val="0"/>
        <w:autoSpaceDN w:val="0"/>
        <w:adjustRightInd w:val="0"/>
        <w:spacing w:before="0"/>
        <w:ind w:left="709" w:hanging="709"/>
        <w:rPr>
          <w:rFonts w:cs="Arial"/>
          <w:b/>
          <w:i/>
        </w:rPr>
      </w:pPr>
    </w:p>
    <w:p w14:paraId="1894DCCD" w14:textId="77777777" w:rsidR="00284AAC" w:rsidRPr="003C7E62" w:rsidRDefault="00284AAC" w:rsidP="00606546">
      <w:pPr>
        <w:spacing w:before="0"/>
        <w:ind w:left="709"/>
        <w:rPr>
          <w:rFonts w:cs="Arial"/>
          <w:b/>
          <w:i/>
        </w:rPr>
      </w:pPr>
      <w:r w:rsidRPr="003C7E62">
        <w:rPr>
          <w:rFonts w:cs="Arial"/>
          <w:b/>
          <w:i/>
        </w:rPr>
        <w:t>Structure of this document</w:t>
      </w:r>
    </w:p>
    <w:p w14:paraId="21E773E6" w14:textId="77777777" w:rsidR="00284AAC" w:rsidRPr="003C7E62" w:rsidRDefault="00284AAC" w:rsidP="00606546">
      <w:pPr>
        <w:spacing w:before="0"/>
        <w:rPr>
          <w:rFonts w:cs="Arial"/>
        </w:rPr>
      </w:pPr>
    </w:p>
    <w:p w14:paraId="6BE1A6FA" w14:textId="7D078F6B" w:rsidR="00284AAC" w:rsidRPr="003C7E62" w:rsidRDefault="00284AAC" w:rsidP="00D01157">
      <w:pPr>
        <w:keepNext w:val="0"/>
        <w:numPr>
          <w:ilvl w:val="1"/>
          <w:numId w:val="52"/>
        </w:numPr>
        <w:autoSpaceDE w:val="0"/>
        <w:autoSpaceDN w:val="0"/>
        <w:adjustRightInd w:val="0"/>
        <w:spacing w:before="0"/>
        <w:ind w:left="709" w:hanging="709"/>
        <w:rPr>
          <w:rFonts w:eastAsia="Arial" w:cs="Arial"/>
        </w:rPr>
      </w:pPr>
      <w:bookmarkStart w:id="11" w:name="_Hlk144193666"/>
      <w:r w:rsidRPr="003C7E62">
        <w:rPr>
          <w:rFonts w:eastAsia="Arial" w:cs="Arial"/>
        </w:rPr>
        <w:t xml:space="preserve">The Local Plan should be </w:t>
      </w:r>
      <w:proofErr w:type="gramStart"/>
      <w:r w:rsidRPr="003C7E62">
        <w:rPr>
          <w:rFonts w:eastAsia="Arial" w:cs="Arial"/>
        </w:rPr>
        <w:t>read as a whole</w:t>
      </w:r>
      <w:proofErr w:type="gramEnd"/>
      <w:r w:rsidR="008C7841">
        <w:rPr>
          <w:rFonts w:eastAsia="Arial" w:cs="Arial"/>
        </w:rPr>
        <w:t xml:space="preserve"> </w:t>
      </w:r>
      <w:r w:rsidR="008C7841" w:rsidRPr="003943F3">
        <w:rPr>
          <w:rFonts w:eastAsia="Arial" w:cs="Arial"/>
        </w:rPr>
        <w:t>(including its footnotes and annexes)</w:t>
      </w:r>
      <w:r w:rsidRPr="003943F3">
        <w:rPr>
          <w:rFonts w:eastAsia="Arial" w:cs="Arial"/>
        </w:rPr>
        <w:t xml:space="preserve">, </w:t>
      </w:r>
      <w:r w:rsidRPr="003C7E62">
        <w:rPr>
          <w:rFonts w:eastAsia="Arial" w:cs="Arial"/>
        </w:rPr>
        <w:t xml:space="preserve">rather than as a series of individual policies, </w:t>
      </w:r>
      <w:proofErr w:type="gramStart"/>
      <w:r w:rsidRPr="003C7E62">
        <w:rPr>
          <w:rFonts w:eastAsia="Arial" w:cs="Arial"/>
        </w:rPr>
        <w:t>in order to</w:t>
      </w:r>
      <w:proofErr w:type="gramEnd"/>
      <w:r w:rsidRPr="003C7E62">
        <w:rPr>
          <w:rFonts w:eastAsia="Arial" w:cs="Arial"/>
        </w:rPr>
        <w:t xml:space="preserve"> understand all the policies and guidance which will apply to any proposal.  A</w:t>
      </w:r>
      <w:r w:rsidRPr="003C7E62">
        <w:rPr>
          <w:rFonts w:eastAsia="Calibri" w:cs="Arial"/>
          <w:szCs w:val="24"/>
        </w:rPr>
        <w:t xml:space="preserve">pplications for planning permission will be considered against all relevant policies in the adopted Local Plan, neighbourhood plans and against other material considerations, including the NPPF. </w:t>
      </w:r>
    </w:p>
    <w:bookmarkEnd w:id="11"/>
    <w:p w14:paraId="4ACFADB8" w14:textId="77777777" w:rsidR="00284AAC" w:rsidRPr="003C7E62" w:rsidRDefault="00284AAC" w:rsidP="00606546">
      <w:pPr>
        <w:spacing w:before="0"/>
        <w:ind w:left="720"/>
        <w:contextualSpacing/>
        <w:rPr>
          <w:rFonts w:eastAsia="Arial" w:cs="Arial"/>
          <w:szCs w:val="24"/>
        </w:rPr>
      </w:pPr>
    </w:p>
    <w:p w14:paraId="1C485113" w14:textId="77777777" w:rsidR="00284AAC" w:rsidRPr="003C7E62" w:rsidRDefault="00284AAC" w:rsidP="00D01157">
      <w:pPr>
        <w:keepNext w:val="0"/>
        <w:numPr>
          <w:ilvl w:val="1"/>
          <w:numId w:val="52"/>
        </w:numPr>
        <w:autoSpaceDE w:val="0"/>
        <w:autoSpaceDN w:val="0"/>
        <w:adjustRightInd w:val="0"/>
        <w:spacing w:before="0"/>
        <w:ind w:left="709" w:hanging="709"/>
        <w:rPr>
          <w:rFonts w:eastAsia="Arial" w:cs="Arial"/>
        </w:rPr>
      </w:pPr>
      <w:r w:rsidRPr="003C7E62">
        <w:rPr>
          <w:rFonts w:eastAsia="Arial" w:cs="Arial"/>
        </w:rPr>
        <w:t>In reading the Local Plan the starting point is the wording of the policy assisted with the words of the supporting text which are</w:t>
      </w:r>
      <w:r w:rsidRPr="003C7E62">
        <w:rPr>
          <w:rFonts w:eastAsia="Calibri" w:cs="Arial"/>
          <w:szCs w:val="24"/>
        </w:rPr>
        <w:t xml:space="preserve"> relevant to the interpretation of the policy.</w:t>
      </w:r>
    </w:p>
    <w:p w14:paraId="1D5B0897" w14:textId="77777777" w:rsidR="00284AAC" w:rsidRPr="003C7E62" w:rsidRDefault="00284AAC" w:rsidP="00606546">
      <w:pPr>
        <w:spacing w:before="0"/>
        <w:ind w:left="720"/>
        <w:contextualSpacing/>
        <w:rPr>
          <w:rFonts w:eastAsia="Calibri" w:cs="Arial"/>
          <w:szCs w:val="24"/>
        </w:rPr>
      </w:pPr>
    </w:p>
    <w:p w14:paraId="486555A8" w14:textId="7536EE25" w:rsidR="00284AAC" w:rsidRPr="003C7E62" w:rsidRDefault="00284AAC" w:rsidP="00D01157">
      <w:pPr>
        <w:keepNext w:val="0"/>
        <w:numPr>
          <w:ilvl w:val="1"/>
          <w:numId w:val="52"/>
        </w:numPr>
        <w:autoSpaceDE w:val="0"/>
        <w:autoSpaceDN w:val="0"/>
        <w:adjustRightInd w:val="0"/>
        <w:spacing w:before="0"/>
        <w:ind w:left="709" w:hanging="709"/>
        <w:rPr>
          <w:rFonts w:eastAsia="Arial" w:cs="Arial"/>
        </w:rPr>
      </w:pPr>
      <w:r w:rsidRPr="003C7E62">
        <w:rPr>
          <w:rFonts w:eastAsia="Calibri" w:cs="Arial"/>
          <w:szCs w:val="24"/>
        </w:rPr>
        <w:t xml:space="preserve">Published with the Local Plan are the separate </w:t>
      </w:r>
      <w:r w:rsidR="006922A2">
        <w:rPr>
          <w:rFonts w:eastAsia="Calibri" w:cs="Arial"/>
          <w:szCs w:val="24"/>
        </w:rPr>
        <w:t xml:space="preserve">north and south </w:t>
      </w:r>
      <w:r w:rsidRPr="003C7E62">
        <w:rPr>
          <w:rFonts w:eastAsia="Calibri" w:cs="Arial"/>
          <w:szCs w:val="24"/>
        </w:rPr>
        <w:t>Policies Maps</w:t>
      </w:r>
      <w:r w:rsidR="006922A2">
        <w:rPr>
          <w:rStyle w:val="FootnoteReference"/>
          <w:rFonts w:eastAsia="Calibri" w:cs="Arial"/>
          <w:szCs w:val="24"/>
        </w:rPr>
        <w:footnoteReference w:id="12"/>
      </w:r>
      <w:r w:rsidRPr="003C7E62">
        <w:rPr>
          <w:rFonts w:eastAsia="Calibri" w:cs="Arial"/>
          <w:szCs w:val="24"/>
        </w:rPr>
        <w:t xml:space="preserve">. The Maps set out the areas in the </w:t>
      </w:r>
      <w:proofErr w:type="gramStart"/>
      <w:r w:rsidRPr="003C7E62">
        <w:rPr>
          <w:rFonts w:eastAsia="Calibri" w:cs="Arial"/>
          <w:szCs w:val="24"/>
        </w:rPr>
        <w:t>District</w:t>
      </w:r>
      <w:proofErr w:type="gramEnd"/>
      <w:r w:rsidRPr="003C7E62">
        <w:rPr>
          <w:rFonts w:eastAsia="Calibri" w:cs="Arial"/>
          <w:szCs w:val="24"/>
        </w:rPr>
        <w:t xml:space="preserve"> to which specific policies in the Local Plan apply.  </w:t>
      </w:r>
      <w:r w:rsidR="006922A2" w:rsidRPr="006922A2">
        <w:rPr>
          <w:color w:val="252B36"/>
        </w:rPr>
        <w:t>An interactive version of the Policies Maps can be view on the Council’s website.</w:t>
      </w:r>
    </w:p>
    <w:p w14:paraId="7293EED6" w14:textId="77777777" w:rsidR="00284AAC" w:rsidRPr="003C7E62" w:rsidRDefault="00284AAC" w:rsidP="00606546">
      <w:pPr>
        <w:spacing w:before="0"/>
        <w:ind w:left="720"/>
        <w:contextualSpacing/>
        <w:rPr>
          <w:rFonts w:eastAsia="Arial" w:cs="Arial"/>
          <w:szCs w:val="24"/>
        </w:rPr>
      </w:pPr>
    </w:p>
    <w:p w14:paraId="681AB5DE" w14:textId="3E927569" w:rsidR="00284AAC" w:rsidRPr="009222E5" w:rsidRDefault="00284AAC" w:rsidP="00D01157">
      <w:pPr>
        <w:keepNext w:val="0"/>
        <w:numPr>
          <w:ilvl w:val="1"/>
          <w:numId w:val="52"/>
        </w:numPr>
        <w:autoSpaceDE w:val="0"/>
        <w:autoSpaceDN w:val="0"/>
        <w:adjustRightInd w:val="0"/>
        <w:spacing w:before="0"/>
        <w:ind w:left="709" w:hanging="709"/>
        <w:rPr>
          <w:rFonts w:eastAsia="Arial" w:cs="Arial"/>
        </w:rPr>
      </w:pPr>
      <w:r w:rsidRPr="003C7E62">
        <w:rPr>
          <w:rFonts w:eastAsia="Arial" w:cs="Arial"/>
          <w:szCs w:val="24"/>
        </w:rPr>
        <w:t>As the Council’s key planning document, the Local Plan performs the following functions:</w:t>
      </w:r>
    </w:p>
    <w:p w14:paraId="67A0A554" w14:textId="77777777" w:rsidR="009222E5" w:rsidRPr="003C7E62" w:rsidRDefault="009222E5" w:rsidP="009222E5">
      <w:pPr>
        <w:keepNext w:val="0"/>
        <w:autoSpaceDE w:val="0"/>
        <w:autoSpaceDN w:val="0"/>
        <w:adjustRightInd w:val="0"/>
        <w:spacing w:before="0"/>
        <w:rPr>
          <w:rFonts w:eastAsia="Arial" w:cs="Arial"/>
        </w:rPr>
      </w:pPr>
    </w:p>
    <w:p w14:paraId="63BFFDAF" w14:textId="6DBAFA3A" w:rsidR="00284AAC" w:rsidRDefault="00284AAC" w:rsidP="003943F3">
      <w:pPr>
        <w:keepNext w:val="0"/>
        <w:numPr>
          <w:ilvl w:val="0"/>
          <w:numId w:val="45"/>
        </w:numPr>
        <w:autoSpaceDE w:val="0"/>
        <w:autoSpaceDN w:val="0"/>
        <w:adjustRightInd w:val="0"/>
        <w:spacing w:before="0"/>
        <w:ind w:hanging="251"/>
        <w:rPr>
          <w:rFonts w:cs="Arial"/>
          <w:szCs w:val="24"/>
        </w:rPr>
      </w:pPr>
      <w:r w:rsidRPr="003C7E62">
        <w:rPr>
          <w:rFonts w:cs="Arial"/>
          <w:szCs w:val="24"/>
        </w:rPr>
        <w:t>sets out the key issues that the plan is seeking to address, a spatial vision for Ashfield to 20</w:t>
      </w:r>
      <w:r w:rsidR="00D333EC" w:rsidRPr="003943F3">
        <w:rPr>
          <w:rFonts w:cs="Arial"/>
          <w:szCs w:val="24"/>
        </w:rPr>
        <w:t xml:space="preserve">40 </w:t>
      </w:r>
      <w:r w:rsidRPr="003C7E62">
        <w:rPr>
          <w:rFonts w:cs="Arial"/>
          <w:szCs w:val="24"/>
        </w:rPr>
        <w:t xml:space="preserve">and </w:t>
      </w:r>
      <w:proofErr w:type="gramStart"/>
      <w:r w:rsidRPr="003C7E62">
        <w:rPr>
          <w:rFonts w:cs="Arial"/>
          <w:szCs w:val="24"/>
        </w:rPr>
        <w:t>a number of</w:t>
      </w:r>
      <w:proofErr w:type="gramEnd"/>
      <w:r w:rsidRPr="003C7E62">
        <w:rPr>
          <w:rFonts w:cs="Arial"/>
          <w:szCs w:val="24"/>
        </w:rPr>
        <w:t xml:space="preserve"> strategic objectives (chapter 2);</w:t>
      </w:r>
    </w:p>
    <w:p w14:paraId="4A150F29" w14:textId="77777777" w:rsidR="009222E5" w:rsidRPr="003C7E62" w:rsidRDefault="009222E5" w:rsidP="009222E5">
      <w:pPr>
        <w:keepNext w:val="0"/>
        <w:autoSpaceDE w:val="0"/>
        <w:autoSpaceDN w:val="0"/>
        <w:adjustRightInd w:val="0"/>
        <w:spacing w:before="0"/>
        <w:ind w:left="960"/>
        <w:rPr>
          <w:rFonts w:cs="Arial"/>
          <w:szCs w:val="24"/>
        </w:rPr>
      </w:pPr>
    </w:p>
    <w:p w14:paraId="5773FBF6" w14:textId="6CD69489" w:rsidR="00284AAC" w:rsidRDefault="00284AAC" w:rsidP="003943F3">
      <w:pPr>
        <w:keepNext w:val="0"/>
        <w:numPr>
          <w:ilvl w:val="0"/>
          <w:numId w:val="45"/>
        </w:numPr>
        <w:autoSpaceDE w:val="0"/>
        <w:autoSpaceDN w:val="0"/>
        <w:adjustRightInd w:val="0"/>
        <w:spacing w:before="0"/>
        <w:ind w:hanging="251"/>
        <w:rPr>
          <w:rFonts w:cs="Arial"/>
          <w:szCs w:val="24"/>
        </w:rPr>
      </w:pPr>
      <w:r w:rsidRPr="003C7E62">
        <w:rPr>
          <w:rFonts w:cs="Arial"/>
          <w:szCs w:val="24"/>
        </w:rPr>
        <w:t>sets out a growth and spatial strategy</w:t>
      </w:r>
      <w:r w:rsidR="002C776A">
        <w:rPr>
          <w:rFonts w:cs="Arial"/>
          <w:szCs w:val="24"/>
        </w:rPr>
        <w:t>,</w:t>
      </w:r>
      <w:r w:rsidRPr="003C7E62">
        <w:rPr>
          <w:rFonts w:cs="Arial"/>
          <w:szCs w:val="24"/>
        </w:rPr>
        <w:t xml:space="preserve"> and strategic policies including the location and amount of new development to take place over the plan period alongside policies which seek to protect the environment (chapter 3);</w:t>
      </w:r>
    </w:p>
    <w:p w14:paraId="2D222B28" w14:textId="77777777" w:rsidR="009222E5" w:rsidRPr="003C7E62" w:rsidRDefault="009222E5" w:rsidP="009222E5">
      <w:pPr>
        <w:keepNext w:val="0"/>
        <w:autoSpaceDE w:val="0"/>
        <w:autoSpaceDN w:val="0"/>
        <w:adjustRightInd w:val="0"/>
        <w:spacing w:before="0"/>
        <w:rPr>
          <w:rFonts w:cs="Arial"/>
          <w:szCs w:val="24"/>
        </w:rPr>
      </w:pPr>
    </w:p>
    <w:p w14:paraId="179600F5" w14:textId="7029173B" w:rsidR="00284AAC" w:rsidRPr="00610CFE" w:rsidRDefault="00284AAC" w:rsidP="003943F3">
      <w:pPr>
        <w:keepNext w:val="0"/>
        <w:numPr>
          <w:ilvl w:val="0"/>
          <w:numId w:val="45"/>
        </w:numPr>
        <w:autoSpaceDE w:val="0"/>
        <w:autoSpaceDN w:val="0"/>
        <w:adjustRightInd w:val="0"/>
        <w:spacing w:before="0"/>
        <w:ind w:hanging="251"/>
        <w:rPr>
          <w:rFonts w:cs="Arial"/>
          <w:szCs w:val="24"/>
        </w:rPr>
      </w:pPr>
      <w:r w:rsidRPr="00610CFE">
        <w:rPr>
          <w:rFonts w:cs="Arial"/>
          <w:szCs w:val="24"/>
        </w:rPr>
        <w:t>provides policies which will guide the determination of planning applications (chapter</w:t>
      </w:r>
      <w:r w:rsidR="004B40BA" w:rsidRPr="00610CFE">
        <w:rPr>
          <w:rFonts w:cs="Arial"/>
          <w:szCs w:val="24"/>
        </w:rPr>
        <w:t>s</w:t>
      </w:r>
      <w:r w:rsidRPr="00610CFE">
        <w:rPr>
          <w:rFonts w:cs="Arial"/>
          <w:szCs w:val="24"/>
        </w:rPr>
        <w:t xml:space="preserve"> </w:t>
      </w:r>
      <w:r w:rsidR="004B40BA" w:rsidRPr="00610CFE">
        <w:rPr>
          <w:rFonts w:cs="Arial"/>
          <w:szCs w:val="24"/>
        </w:rPr>
        <w:t>4 to 9</w:t>
      </w:r>
      <w:r w:rsidRPr="00610CFE">
        <w:rPr>
          <w:rFonts w:cs="Arial"/>
          <w:szCs w:val="24"/>
        </w:rPr>
        <w:t xml:space="preserve">); </w:t>
      </w:r>
      <w:r w:rsidR="006922A2" w:rsidRPr="00610CFE">
        <w:rPr>
          <w:rFonts w:cs="Arial"/>
          <w:szCs w:val="24"/>
        </w:rPr>
        <w:t>and</w:t>
      </w:r>
      <w:r w:rsidRPr="00610CFE">
        <w:rPr>
          <w:rFonts w:cs="Arial"/>
          <w:szCs w:val="24"/>
        </w:rPr>
        <w:t xml:space="preserve"> </w:t>
      </w:r>
    </w:p>
    <w:p w14:paraId="51E5C1F4" w14:textId="77777777" w:rsidR="009222E5" w:rsidRPr="00610CFE" w:rsidRDefault="009222E5" w:rsidP="009222E5">
      <w:pPr>
        <w:keepNext w:val="0"/>
        <w:autoSpaceDE w:val="0"/>
        <w:autoSpaceDN w:val="0"/>
        <w:adjustRightInd w:val="0"/>
        <w:spacing w:before="0"/>
        <w:rPr>
          <w:rFonts w:cs="Arial"/>
          <w:szCs w:val="24"/>
        </w:rPr>
      </w:pPr>
    </w:p>
    <w:p w14:paraId="70AF82C1" w14:textId="7013B82D" w:rsidR="00284AAC" w:rsidRPr="00610CFE" w:rsidRDefault="00284AAC" w:rsidP="00A44712">
      <w:pPr>
        <w:keepNext w:val="0"/>
        <w:numPr>
          <w:ilvl w:val="0"/>
          <w:numId w:val="45"/>
        </w:numPr>
        <w:autoSpaceDE w:val="0"/>
        <w:autoSpaceDN w:val="0"/>
        <w:adjustRightInd w:val="0"/>
        <w:spacing w:before="0"/>
        <w:ind w:hanging="251"/>
        <w:rPr>
          <w:rFonts w:cs="Arial"/>
          <w:szCs w:val="24"/>
        </w:rPr>
      </w:pPr>
      <w:r w:rsidRPr="00610CFE">
        <w:rPr>
          <w:rFonts w:cs="Arial"/>
          <w:szCs w:val="24"/>
        </w:rPr>
        <w:t>identifies targets and indicators to monitor the implementation and effectiveness of the Plan</w:t>
      </w:r>
      <w:r w:rsidR="006922A2" w:rsidRPr="00610CFE">
        <w:rPr>
          <w:rFonts w:cs="Arial"/>
          <w:szCs w:val="24"/>
        </w:rPr>
        <w:t>.</w:t>
      </w:r>
    </w:p>
    <w:p w14:paraId="18381875" w14:textId="77777777" w:rsidR="00284AAC" w:rsidRPr="00610CFE" w:rsidRDefault="00284AAC" w:rsidP="00606546">
      <w:pPr>
        <w:tabs>
          <w:tab w:val="left" w:pos="680"/>
        </w:tabs>
        <w:spacing w:before="0"/>
        <w:rPr>
          <w:rFonts w:eastAsia="Arial" w:cs="Arial"/>
          <w:szCs w:val="24"/>
        </w:rPr>
      </w:pPr>
    </w:p>
    <w:p w14:paraId="3B0EFB2C" w14:textId="00F7D46C" w:rsidR="00284AAC" w:rsidRPr="00610CFE" w:rsidRDefault="00284AAC" w:rsidP="00D01157">
      <w:pPr>
        <w:keepNext w:val="0"/>
        <w:numPr>
          <w:ilvl w:val="1"/>
          <w:numId w:val="52"/>
        </w:numPr>
        <w:autoSpaceDE w:val="0"/>
        <w:autoSpaceDN w:val="0"/>
        <w:adjustRightInd w:val="0"/>
        <w:spacing w:before="0"/>
        <w:ind w:left="709" w:hanging="709"/>
        <w:rPr>
          <w:rFonts w:eastAsia="Calibri" w:cs="Arial"/>
          <w:bCs/>
          <w:szCs w:val="24"/>
        </w:rPr>
      </w:pPr>
      <w:r w:rsidRPr="00610CFE">
        <w:rPr>
          <w:rFonts w:eastAsia="Calibri" w:cs="Arial"/>
          <w:bCs/>
          <w:szCs w:val="24"/>
        </w:rPr>
        <w:t xml:space="preserve">Monitoring the implementation of the Local Plan requires working and co-operation with a range of organisations, including </w:t>
      </w:r>
      <w:r w:rsidR="00D2216F" w:rsidRPr="00610CFE">
        <w:rPr>
          <w:rFonts w:eastAsia="Calibri" w:cs="Arial"/>
          <w:bCs/>
          <w:szCs w:val="24"/>
        </w:rPr>
        <w:t xml:space="preserve">neighbourhood plan forums, </w:t>
      </w:r>
      <w:r w:rsidRPr="00610CFE">
        <w:rPr>
          <w:rFonts w:eastAsia="Calibri" w:cs="Arial"/>
          <w:bCs/>
          <w:szCs w:val="24"/>
        </w:rPr>
        <w:t xml:space="preserve">developers, businesses, residents, community and amenity groups, transport and service providers, and neighbouring councils. An important mechanism for implementing the Local Plan is the consideration of planning applications through the development management process. </w:t>
      </w:r>
    </w:p>
    <w:p w14:paraId="48C6A971" w14:textId="77777777" w:rsidR="00284AAC" w:rsidRPr="00610CFE" w:rsidRDefault="00284AAC" w:rsidP="00606546">
      <w:pPr>
        <w:autoSpaceDE w:val="0"/>
        <w:autoSpaceDN w:val="0"/>
        <w:adjustRightInd w:val="0"/>
        <w:spacing w:before="0"/>
        <w:ind w:left="709"/>
        <w:rPr>
          <w:rFonts w:eastAsia="Calibri" w:cs="Arial"/>
          <w:bCs/>
          <w:szCs w:val="24"/>
        </w:rPr>
      </w:pPr>
    </w:p>
    <w:p w14:paraId="085F2175" w14:textId="04F5F5B0" w:rsidR="00284AAC" w:rsidRPr="00610CFE" w:rsidRDefault="00284AAC" w:rsidP="00D01157">
      <w:pPr>
        <w:keepNext w:val="0"/>
        <w:numPr>
          <w:ilvl w:val="1"/>
          <w:numId w:val="52"/>
        </w:numPr>
        <w:autoSpaceDE w:val="0"/>
        <w:autoSpaceDN w:val="0"/>
        <w:adjustRightInd w:val="0"/>
        <w:spacing w:before="0"/>
        <w:ind w:left="709" w:hanging="709"/>
        <w:rPr>
          <w:rFonts w:eastAsia="Calibri" w:cs="Arial"/>
          <w:bCs/>
          <w:szCs w:val="24"/>
        </w:rPr>
      </w:pPr>
      <w:r w:rsidRPr="00610CFE">
        <w:rPr>
          <w:rFonts w:eastAsia="Calibri" w:cs="Arial"/>
          <w:bCs/>
          <w:szCs w:val="24"/>
        </w:rPr>
        <w:t>The Council will monitor the Local Plan through the production of an A</w:t>
      </w:r>
      <w:r w:rsidR="00AB5694" w:rsidRPr="00610CFE">
        <w:rPr>
          <w:rFonts w:eastAsia="Calibri" w:cs="Arial"/>
          <w:bCs/>
          <w:szCs w:val="24"/>
        </w:rPr>
        <w:t>nnual</w:t>
      </w:r>
      <w:r w:rsidRPr="00610CFE">
        <w:rPr>
          <w:rFonts w:eastAsia="Calibri" w:cs="Arial"/>
          <w:bCs/>
          <w:szCs w:val="24"/>
        </w:rPr>
        <w:t xml:space="preserve"> Monitoring Report (AMR) which will examine where there are changing trends or uncertainties to determine whether any changes to the Plans policies are required.  </w:t>
      </w:r>
      <w:r w:rsidRPr="00610CFE">
        <w:rPr>
          <w:rFonts w:eastAsia="Arial" w:cs="Arial"/>
        </w:rPr>
        <w:lastRenderedPageBreak/>
        <w:t xml:space="preserve">Details of the indicators and mechanism used to monitor the Local Plan is outlined within the Monitoring Framework in </w:t>
      </w:r>
      <w:r w:rsidR="009222E5" w:rsidRPr="00CC2D82">
        <w:rPr>
          <w:rFonts w:eastAsia="Arial" w:cs="Arial"/>
          <w:strike/>
        </w:rPr>
        <w:t>C</w:t>
      </w:r>
      <w:r w:rsidRPr="00CC2D82">
        <w:rPr>
          <w:rFonts w:eastAsia="Arial" w:cs="Arial"/>
          <w:strike/>
        </w:rPr>
        <w:t>hapter 5</w:t>
      </w:r>
      <w:r w:rsidR="00B136C5" w:rsidRPr="00CC2D82">
        <w:rPr>
          <w:rFonts w:eastAsia="Arial" w:cs="Arial"/>
        </w:rPr>
        <w:t xml:space="preserve"> </w:t>
      </w:r>
      <w:r w:rsidR="00B136C5" w:rsidRPr="00CC2D82">
        <w:rPr>
          <w:rFonts w:eastAsia="Arial" w:cs="Arial"/>
          <w:color w:val="2E74B5" w:themeColor="accent5" w:themeShade="BF"/>
        </w:rPr>
        <w:t>Appendix 1</w:t>
      </w:r>
      <w:r w:rsidR="00B95DFD" w:rsidRPr="00CC2D82">
        <w:rPr>
          <w:rFonts w:eastAsia="Arial" w:cs="Arial"/>
          <w:color w:val="2E74B5" w:themeColor="accent5" w:themeShade="BF"/>
        </w:rPr>
        <w:t>2</w:t>
      </w:r>
      <w:r w:rsidRPr="00CC2D82">
        <w:rPr>
          <w:rFonts w:eastAsia="Arial" w:cs="Arial"/>
        </w:rPr>
        <w:t xml:space="preserve">.  </w:t>
      </w:r>
      <w:r w:rsidRPr="00CC2D82">
        <w:rPr>
          <w:rFonts w:eastAsia="Arial" w:cs="Arial"/>
          <w:strike/>
        </w:rPr>
        <w:t xml:space="preserve">Each Local Plan policy also contains the indicator and target (taken from the Monitoring Framework) that will be used to monitor the effectiveness of that </w:t>
      </w:r>
      <w:proofErr w:type="gramStart"/>
      <w:r w:rsidRPr="00CC2D82">
        <w:rPr>
          <w:rFonts w:eastAsia="Arial" w:cs="Arial"/>
          <w:strike/>
        </w:rPr>
        <w:t>particular policy</w:t>
      </w:r>
      <w:proofErr w:type="gramEnd"/>
      <w:r w:rsidRPr="00CC2D82">
        <w:rPr>
          <w:rFonts w:eastAsia="Arial" w:cs="Arial"/>
          <w:strike/>
        </w:rPr>
        <w:t>.</w:t>
      </w:r>
      <w:r w:rsidRPr="00CC2D82">
        <w:rPr>
          <w:rFonts w:eastAsia="Arial" w:cs="Arial"/>
        </w:rPr>
        <w:t xml:space="preserve">   There</w:t>
      </w:r>
      <w:r w:rsidRPr="00610CFE">
        <w:rPr>
          <w:rFonts w:eastAsia="Arial" w:cs="Arial"/>
        </w:rPr>
        <w:t xml:space="preserve"> is a statutory requirement to undertake Plan review every 5 years</w:t>
      </w:r>
      <w:r w:rsidRPr="00610CFE">
        <w:rPr>
          <w:rFonts w:eastAsia="Arial" w:cs="Arial"/>
          <w:vertAlign w:val="superscript"/>
        </w:rPr>
        <w:footnoteReference w:id="13"/>
      </w:r>
      <w:r w:rsidRPr="00610CFE">
        <w:rPr>
          <w:rFonts w:eastAsia="Arial" w:cs="Arial"/>
        </w:rPr>
        <w:t xml:space="preserve">, the AMR will assist in </w:t>
      </w:r>
      <w:proofErr w:type="gramStart"/>
      <w:r w:rsidRPr="00610CFE">
        <w:rPr>
          <w:rFonts w:eastAsia="Arial" w:cs="Arial"/>
        </w:rPr>
        <w:t>future plan</w:t>
      </w:r>
      <w:proofErr w:type="gramEnd"/>
      <w:r w:rsidRPr="00610CFE">
        <w:rPr>
          <w:rFonts w:eastAsia="Arial" w:cs="Arial"/>
        </w:rPr>
        <w:t xml:space="preserve"> review.</w:t>
      </w:r>
    </w:p>
    <w:p w14:paraId="604D8993" w14:textId="77777777" w:rsidR="006111D3" w:rsidRDefault="006111D3" w:rsidP="005E17D1">
      <w:pPr>
        <w:autoSpaceDE w:val="0"/>
        <w:autoSpaceDN w:val="0"/>
        <w:adjustRightInd w:val="0"/>
        <w:spacing w:before="0"/>
        <w:ind w:left="709"/>
        <w:rPr>
          <w:rFonts w:eastAsia="Calibri" w:cs="Arial"/>
          <w:b/>
          <w:i/>
          <w:szCs w:val="24"/>
        </w:rPr>
      </w:pPr>
    </w:p>
    <w:p w14:paraId="5CE43F0A" w14:textId="43243D39" w:rsidR="00284AAC" w:rsidRPr="003C7E62" w:rsidRDefault="00284AAC" w:rsidP="005E17D1">
      <w:pPr>
        <w:autoSpaceDE w:val="0"/>
        <w:autoSpaceDN w:val="0"/>
        <w:adjustRightInd w:val="0"/>
        <w:spacing w:before="0"/>
        <w:ind w:left="709"/>
        <w:rPr>
          <w:rFonts w:eastAsia="Calibri" w:cs="Arial"/>
          <w:b/>
          <w:i/>
          <w:szCs w:val="24"/>
        </w:rPr>
      </w:pPr>
      <w:r w:rsidRPr="003C7E62">
        <w:rPr>
          <w:rFonts w:eastAsia="Calibri" w:cs="Arial"/>
          <w:b/>
          <w:i/>
          <w:szCs w:val="24"/>
        </w:rPr>
        <w:t>Evidence Base and Duty to Cooperate</w:t>
      </w:r>
    </w:p>
    <w:p w14:paraId="3B533F65" w14:textId="77777777" w:rsidR="00284AAC" w:rsidRPr="003C7E62" w:rsidRDefault="00284AAC" w:rsidP="005E17D1">
      <w:pPr>
        <w:autoSpaceDE w:val="0"/>
        <w:autoSpaceDN w:val="0"/>
        <w:adjustRightInd w:val="0"/>
        <w:spacing w:before="0"/>
        <w:rPr>
          <w:rFonts w:eastAsia="Calibri" w:cs="Arial"/>
          <w:b/>
          <w:szCs w:val="24"/>
          <w:u w:val="single"/>
        </w:rPr>
      </w:pPr>
    </w:p>
    <w:p w14:paraId="03B3DA97" w14:textId="77777777"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eastAsia="Calibri" w:cs="Arial"/>
          <w:szCs w:val="24"/>
        </w:rPr>
        <w:t xml:space="preserve">This provides relevant detail and information on a range of issues to help support the creation of a sustainable, ‘sound’ local plan for the </w:t>
      </w:r>
      <w:proofErr w:type="gramStart"/>
      <w:r w:rsidRPr="003C7E62">
        <w:rPr>
          <w:rFonts w:eastAsia="Calibri" w:cs="Arial"/>
          <w:szCs w:val="24"/>
        </w:rPr>
        <w:t>District</w:t>
      </w:r>
      <w:proofErr w:type="gramEnd"/>
      <w:r w:rsidRPr="003C7E62">
        <w:rPr>
          <w:rFonts w:eastAsia="Calibri" w:cs="Arial"/>
          <w:szCs w:val="24"/>
        </w:rPr>
        <w:t xml:space="preserve">. </w:t>
      </w:r>
    </w:p>
    <w:p w14:paraId="25D57E9E" w14:textId="77777777" w:rsidR="00284AAC" w:rsidRPr="003C7E62" w:rsidRDefault="00284AAC" w:rsidP="00606546">
      <w:pPr>
        <w:autoSpaceDE w:val="0"/>
        <w:autoSpaceDN w:val="0"/>
        <w:adjustRightInd w:val="0"/>
        <w:spacing w:before="0"/>
        <w:ind w:left="709"/>
        <w:rPr>
          <w:rFonts w:cs="Arial"/>
        </w:rPr>
      </w:pPr>
    </w:p>
    <w:p w14:paraId="0A6729E0" w14:textId="563BA410"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cs="Arial"/>
        </w:rPr>
        <w:t xml:space="preserve">The evidence base broadly falls under two categories. The first category focusses on understanding the objectively assessed needs of the </w:t>
      </w:r>
      <w:proofErr w:type="gramStart"/>
      <w:r w:rsidRPr="003C7E62">
        <w:rPr>
          <w:rFonts w:cs="Arial"/>
        </w:rPr>
        <w:t>District</w:t>
      </w:r>
      <w:proofErr w:type="gramEnd"/>
      <w:r w:rsidRPr="003C7E62">
        <w:rPr>
          <w:rFonts w:cs="Arial"/>
        </w:rPr>
        <w:t xml:space="preserve">. This relates to housing, gypsy and travellers, employment, retail, leisure and open space requirements. The second category has helped the Council to understand how and where this need could be best met and any subsequent issues and considerations relating to meeting those needs. This second category includes studies such as the Landscape Character Assessment, Green Belt Review, Transport Study, </w:t>
      </w:r>
      <w:r w:rsidR="003316CE">
        <w:rPr>
          <w:rFonts w:cs="Arial"/>
        </w:rPr>
        <w:t xml:space="preserve">Strategic </w:t>
      </w:r>
      <w:r w:rsidRPr="003C7E62">
        <w:rPr>
          <w:rFonts w:cs="Arial"/>
        </w:rPr>
        <w:t xml:space="preserve">Flood Risk Assessment, and Infrastructure Delivery Plan. These studies, along with the Strategic Housing and Employment Land Availability Assessment (SHELAA) have enabled the Council to understand the potential suitability of a site for development and any mitigation needed </w:t>
      </w:r>
      <w:proofErr w:type="gramStart"/>
      <w:r w:rsidRPr="003C7E62">
        <w:rPr>
          <w:rFonts w:cs="Arial"/>
        </w:rPr>
        <w:t>as a result of</w:t>
      </w:r>
      <w:proofErr w:type="gramEnd"/>
      <w:r w:rsidRPr="003C7E62">
        <w:rPr>
          <w:rFonts w:cs="Arial"/>
        </w:rPr>
        <w:t xml:space="preserve"> development. Equally, these studies also informed where future development may not be acceptable. Some of the evidence base will be updated as the Plan moves forward and the most up to date evidence base studies can be found on the Councils website</w:t>
      </w:r>
      <w:r w:rsidRPr="003C7E62">
        <w:rPr>
          <w:rFonts w:cs="Arial"/>
          <w:vertAlign w:val="superscript"/>
        </w:rPr>
        <w:footnoteReference w:id="14"/>
      </w:r>
    </w:p>
    <w:p w14:paraId="32BE2BE0" w14:textId="77777777" w:rsidR="00284AAC" w:rsidRPr="003C7E62" w:rsidRDefault="00284AAC" w:rsidP="00606546">
      <w:pPr>
        <w:spacing w:before="0"/>
        <w:ind w:left="720"/>
        <w:contextualSpacing/>
        <w:rPr>
          <w:rFonts w:cs="Arial"/>
          <w:szCs w:val="24"/>
        </w:rPr>
      </w:pPr>
    </w:p>
    <w:p w14:paraId="44A5FE60" w14:textId="102B0BB5" w:rsidR="00284AAC" w:rsidRPr="003C7E62" w:rsidRDefault="00284AAC" w:rsidP="00D01157">
      <w:pPr>
        <w:keepNext w:val="0"/>
        <w:numPr>
          <w:ilvl w:val="1"/>
          <w:numId w:val="52"/>
        </w:numPr>
        <w:autoSpaceDE w:val="0"/>
        <w:autoSpaceDN w:val="0"/>
        <w:adjustRightInd w:val="0"/>
        <w:spacing w:before="0"/>
        <w:ind w:left="709" w:hanging="709"/>
        <w:rPr>
          <w:rFonts w:cs="Arial"/>
          <w:color w:val="0070C0"/>
        </w:rPr>
      </w:pPr>
      <w:r w:rsidRPr="003C7E62">
        <w:rPr>
          <w:rFonts w:cs="Arial"/>
          <w:color w:val="auto"/>
        </w:rPr>
        <w:t xml:space="preserve">Councils and various other bodies are under a Duty to </w:t>
      </w:r>
      <w:r w:rsidR="00C24627">
        <w:rPr>
          <w:rFonts w:cs="Arial"/>
          <w:color w:val="auto"/>
        </w:rPr>
        <w:t>C</w:t>
      </w:r>
      <w:r w:rsidRPr="003C7E62">
        <w:rPr>
          <w:rFonts w:cs="Arial"/>
          <w:color w:val="auto"/>
        </w:rPr>
        <w:t xml:space="preserve">ooperate under section 33A of the Planning and Compulsory Purchase Act 2004.  The Act places a legal duty to engage constructively, actively and on an ongoing basis to maximise the effectiveness of a local </w:t>
      </w:r>
      <w:r w:rsidRPr="003C7E62">
        <w:rPr>
          <w:rFonts w:cs="Arial"/>
        </w:rPr>
        <w:t>plan.  Ashfield District Council and its neighbouring authorities have long, well established working relationships that have led to effective collaborative working that has benefited all our communities.</w:t>
      </w:r>
      <w:r w:rsidRPr="003C7E62">
        <w:rPr>
          <w:rFonts w:cs="Arial"/>
          <w:color w:val="0070C0"/>
        </w:rPr>
        <w:t xml:space="preserve">  </w:t>
      </w:r>
      <w:r w:rsidRPr="003C7E62">
        <w:rPr>
          <w:rFonts w:cs="Arial"/>
          <w:color w:val="auto"/>
        </w:rPr>
        <w:t xml:space="preserve">The Local Plan has been brought forward in a context of collaborate working with neighbouring councils and infrastructure providers, as evidenced by ‘Statements of Common Ground’ with these various parties.  The Plan </w:t>
      </w:r>
      <w:r w:rsidRPr="00B36CFE">
        <w:rPr>
          <w:rFonts w:cs="Arial"/>
          <w:strike/>
          <w:color w:val="auto"/>
        </w:rPr>
        <w:t>reflects engagement</w:t>
      </w:r>
      <w:r w:rsidRPr="003C7E62">
        <w:rPr>
          <w:rFonts w:cs="Arial"/>
          <w:color w:val="auto"/>
        </w:rPr>
        <w:t xml:space="preserve"> </w:t>
      </w:r>
      <w:r w:rsidR="00B36CFE" w:rsidRPr="00CC2D82">
        <w:rPr>
          <w:rFonts w:cs="Arial"/>
          <w:color w:val="0070C0"/>
        </w:rPr>
        <w:t>has engaged</w:t>
      </w:r>
      <w:r w:rsidR="00B36CFE" w:rsidRPr="00461BBB">
        <w:rPr>
          <w:rFonts w:cs="Arial"/>
          <w:color w:val="0070C0"/>
        </w:rPr>
        <w:t xml:space="preserve"> </w:t>
      </w:r>
      <w:r w:rsidRPr="003C7E62">
        <w:rPr>
          <w:rFonts w:cs="Arial"/>
          <w:color w:val="auto"/>
        </w:rPr>
        <w:t xml:space="preserve">with local communities and relevant bodies including </w:t>
      </w:r>
      <w:r w:rsidR="00266968">
        <w:rPr>
          <w:rFonts w:cs="Arial"/>
          <w:color w:val="auto"/>
        </w:rPr>
        <w:t>Historic England</w:t>
      </w:r>
      <w:r w:rsidRPr="003C7E62">
        <w:rPr>
          <w:rFonts w:cs="Arial"/>
          <w:color w:val="auto"/>
        </w:rPr>
        <w:t>, Natur</w:t>
      </w:r>
      <w:r w:rsidR="00266968">
        <w:rPr>
          <w:rFonts w:cs="Arial"/>
          <w:color w:val="auto"/>
        </w:rPr>
        <w:t>al England</w:t>
      </w:r>
      <w:r w:rsidRPr="003C7E62">
        <w:rPr>
          <w:rFonts w:cs="Arial"/>
          <w:color w:val="auto"/>
        </w:rPr>
        <w:t xml:space="preserve"> and Nottinghamshire County Council.</w:t>
      </w:r>
    </w:p>
    <w:p w14:paraId="2F1C8616" w14:textId="77777777" w:rsidR="00284AAC" w:rsidRPr="003C7E62" w:rsidRDefault="00284AAC" w:rsidP="00606546">
      <w:pPr>
        <w:spacing w:before="0"/>
        <w:ind w:left="720"/>
        <w:contextualSpacing/>
        <w:rPr>
          <w:rFonts w:cs="Arial"/>
          <w:szCs w:val="24"/>
        </w:rPr>
      </w:pPr>
    </w:p>
    <w:p w14:paraId="7450D254" w14:textId="5D6A7A80"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cs="Arial"/>
        </w:rPr>
        <w:t xml:space="preserve">From a strategic perspective, Ashfield District Council forms part of a wider Housing and Functional Economic Market Area.  The location of Hucknall and its </w:t>
      </w:r>
      <w:proofErr w:type="gramStart"/>
      <w:r w:rsidRPr="003C7E62">
        <w:rPr>
          <w:rFonts w:cs="Arial"/>
        </w:rPr>
        <w:t>close proximity</w:t>
      </w:r>
      <w:proofErr w:type="gramEnd"/>
      <w:r w:rsidRPr="003C7E62">
        <w:rPr>
          <w:rFonts w:cs="Arial"/>
        </w:rPr>
        <w:t xml:space="preserve"> to Nottingham City has also led to a</w:t>
      </w:r>
      <w:r w:rsidRPr="003C7E62">
        <w:rPr>
          <w:rFonts w:cs="Arial"/>
          <w:color w:val="0070C0"/>
        </w:rPr>
        <w:t xml:space="preserve"> </w:t>
      </w:r>
      <w:r w:rsidRPr="003C7E62">
        <w:rPr>
          <w:rFonts w:cs="Arial"/>
          <w:color w:val="auto"/>
        </w:rPr>
        <w:t xml:space="preserve">close working relationship with other local authorities forming part of the Greater Nottingham Joint Planning Partnership.  </w:t>
      </w:r>
      <w:r w:rsidR="00E30F38" w:rsidRPr="003943F3">
        <w:rPr>
          <w:rFonts w:cs="Arial"/>
        </w:rPr>
        <w:t xml:space="preserve">The Greater Nottingham Joint Planning Partnership has responsibility for the development of the Greater Nottingham Spatial Plan which adjoins the south of the </w:t>
      </w:r>
      <w:proofErr w:type="gramStart"/>
      <w:r w:rsidR="00E30F38" w:rsidRPr="003943F3">
        <w:rPr>
          <w:rFonts w:cs="Arial"/>
        </w:rPr>
        <w:lastRenderedPageBreak/>
        <w:t>District</w:t>
      </w:r>
      <w:proofErr w:type="gramEnd"/>
      <w:r w:rsidR="00E30F38" w:rsidRPr="003943F3">
        <w:rPr>
          <w:rFonts w:cs="Arial"/>
        </w:rPr>
        <w:t xml:space="preserve">.  </w:t>
      </w:r>
      <w:r w:rsidRPr="003C7E62">
        <w:rPr>
          <w:rFonts w:cs="Arial"/>
        </w:rPr>
        <w:t>Further information on the duty to co- operate and the Housing and Functional Economic Market areas can be found in the Spatial Strategy background paper</w:t>
      </w:r>
      <w:r w:rsidR="00576C9E">
        <w:rPr>
          <w:rStyle w:val="FootnoteReference"/>
          <w:rFonts w:cs="Arial"/>
        </w:rPr>
        <w:footnoteReference w:id="15"/>
      </w:r>
      <w:r w:rsidRPr="003C7E62">
        <w:rPr>
          <w:rFonts w:cs="Arial"/>
        </w:rPr>
        <w:t>.</w:t>
      </w:r>
      <w:r w:rsidRPr="003C7E62" w:rsidDel="00392C78">
        <w:rPr>
          <w:rFonts w:cs="Arial"/>
        </w:rPr>
        <w:t xml:space="preserve"> </w:t>
      </w:r>
    </w:p>
    <w:p w14:paraId="12BD3EFB" w14:textId="77777777" w:rsidR="003316CE" w:rsidRDefault="003316CE" w:rsidP="00606546">
      <w:pPr>
        <w:autoSpaceDE w:val="0"/>
        <w:autoSpaceDN w:val="0"/>
        <w:adjustRightInd w:val="0"/>
        <w:spacing w:before="0"/>
        <w:ind w:left="709"/>
        <w:rPr>
          <w:rFonts w:eastAsia="Arial" w:cs="Arial"/>
          <w:b/>
          <w:bCs/>
          <w:i/>
          <w:iCs/>
        </w:rPr>
      </w:pPr>
    </w:p>
    <w:p w14:paraId="6D19DA72" w14:textId="074C3C98" w:rsidR="00284AAC" w:rsidRPr="003C7E62" w:rsidRDefault="00284AAC" w:rsidP="00606546">
      <w:pPr>
        <w:autoSpaceDE w:val="0"/>
        <w:autoSpaceDN w:val="0"/>
        <w:adjustRightInd w:val="0"/>
        <w:spacing w:before="0"/>
        <w:ind w:left="709"/>
        <w:rPr>
          <w:rFonts w:eastAsia="Arial" w:cs="Arial"/>
          <w:b/>
          <w:bCs/>
          <w:i/>
          <w:iCs/>
        </w:rPr>
      </w:pPr>
      <w:r w:rsidRPr="003C7E62">
        <w:rPr>
          <w:rFonts w:eastAsia="Arial" w:cs="Arial"/>
          <w:b/>
          <w:bCs/>
          <w:i/>
          <w:iCs/>
        </w:rPr>
        <w:t>Other Supporting Documents</w:t>
      </w:r>
    </w:p>
    <w:p w14:paraId="13DE4273" w14:textId="77777777" w:rsidR="00284AAC" w:rsidRPr="003C7E62" w:rsidRDefault="00284AAC" w:rsidP="00606546">
      <w:pPr>
        <w:spacing w:before="0"/>
        <w:rPr>
          <w:rFonts w:eastAsia="Arial" w:cs="Arial"/>
        </w:rPr>
      </w:pPr>
    </w:p>
    <w:p w14:paraId="50A7F325" w14:textId="77777777"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eastAsia="Arial" w:cs="Arial"/>
        </w:rPr>
        <w:t xml:space="preserve">In addition to its evidence base, the final Local Plan to be submitted to the Secretary of State will require </w:t>
      </w:r>
      <w:proofErr w:type="gramStart"/>
      <w:r w:rsidRPr="003C7E62">
        <w:rPr>
          <w:rFonts w:eastAsia="Arial" w:cs="Arial"/>
        </w:rPr>
        <w:t>a number of</w:t>
      </w:r>
      <w:proofErr w:type="gramEnd"/>
      <w:r w:rsidRPr="003C7E62">
        <w:rPr>
          <w:rFonts w:eastAsia="Arial" w:cs="Arial"/>
        </w:rPr>
        <w:t xml:space="preserve"> other supporting technical documents as follows: </w:t>
      </w:r>
    </w:p>
    <w:p w14:paraId="5627A337" w14:textId="77777777" w:rsidR="00284AAC" w:rsidRPr="003C7E62" w:rsidRDefault="00284AAC" w:rsidP="00606546">
      <w:pPr>
        <w:autoSpaceDE w:val="0"/>
        <w:autoSpaceDN w:val="0"/>
        <w:adjustRightInd w:val="0"/>
        <w:spacing w:before="0"/>
        <w:rPr>
          <w:rFonts w:cs="Arial"/>
        </w:rPr>
      </w:pPr>
    </w:p>
    <w:p w14:paraId="49AD477A" w14:textId="2A765423" w:rsidR="00284AAC" w:rsidRPr="003C7E62" w:rsidRDefault="00284AAC" w:rsidP="00D01157">
      <w:pPr>
        <w:keepNext w:val="0"/>
        <w:numPr>
          <w:ilvl w:val="0"/>
          <w:numId w:val="49"/>
        </w:numPr>
        <w:autoSpaceDE w:val="0"/>
        <w:autoSpaceDN w:val="0"/>
        <w:adjustRightInd w:val="0"/>
        <w:spacing w:before="0"/>
        <w:rPr>
          <w:rFonts w:cs="Arial"/>
        </w:rPr>
      </w:pPr>
      <w:r w:rsidRPr="003C7E62">
        <w:rPr>
          <w:rFonts w:cs="Arial"/>
        </w:rPr>
        <w:t xml:space="preserve">Sustainability </w:t>
      </w:r>
      <w:r w:rsidR="00877223" w:rsidRPr="003C7E62">
        <w:rPr>
          <w:rFonts w:cs="Arial"/>
        </w:rPr>
        <w:t>Appraisal</w:t>
      </w:r>
      <w:r w:rsidR="0083405B">
        <w:rPr>
          <w:rFonts w:cs="Arial"/>
        </w:rPr>
        <w:t>,</w:t>
      </w:r>
    </w:p>
    <w:p w14:paraId="179BECA3" w14:textId="7DBB1611" w:rsidR="00284AAC" w:rsidRPr="003C7E62" w:rsidRDefault="00284AAC" w:rsidP="00D01157">
      <w:pPr>
        <w:keepNext w:val="0"/>
        <w:numPr>
          <w:ilvl w:val="0"/>
          <w:numId w:val="49"/>
        </w:numPr>
        <w:autoSpaceDE w:val="0"/>
        <w:autoSpaceDN w:val="0"/>
        <w:adjustRightInd w:val="0"/>
        <w:spacing w:before="0"/>
        <w:rPr>
          <w:rFonts w:cs="Arial"/>
          <w:strike/>
        </w:rPr>
      </w:pPr>
      <w:r w:rsidRPr="003C7E62">
        <w:rPr>
          <w:rFonts w:cs="Arial"/>
        </w:rPr>
        <w:t xml:space="preserve">Habitat Regulations </w:t>
      </w:r>
      <w:r w:rsidR="00877223" w:rsidRPr="003C7E62">
        <w:rPr>
          <w:rFonts w:cs="Arial"/>
        </w:rPr>
        <w:t>Assessment</w:t>
      </w:r>
      <w:r w:rsidR="0083405B">
        <w:rPr>
          <w:rFonts w:cs="Arial"/>
        </w:rPr>
        <w:t>,</w:t>
      </w:r>
    </w:p>
    <w:p w14:paraId="53D1F079" w14:textId="7F668016" w:rsidR="00284AAC" w:rsidRPr="003C7E62" w:rsidRDefault="00284AAC" w:rsidP="00D01157">
      <w:pPr>
        <w:keepNext w:val="0"/>
        <w:numPr>
          <w:ilvl w:val="0"/>
          <w:numId w:val="49"/>
        </w:numPr>
        <w:autoSpaceDE w:val="0"/>
        <w:autoSpaceDN w:val="0"/>
        <w:adjustRightInd w:val="0"/>
        <w:spacing w:before="0"/>
        <w:rPr>
          <w:rFonts w:cs="Arial"/>
        </w:rPr>
      </w:pPr>
      <w:r w:rsidRPr="003C7E62">
        <w:rPr>
          <w:rFonts w:cs="Arial"/>
        </w:rPr>
        <w:t>Health Impact Assessment</w:t>
      </w:r>
      <w:r w:rsidR="0083405B">
        <w:rPr>
          <w:rFonts w:cs="Arial"/>
        </w:rPr>
        <w:t>,</w:t>
      </w:r>
    </w:p>
    <w:p w14:paraId="380321D5" w14:textId="3572FA1A" w:rsidR="00284AAC" w:rsidRPr="003C7E62" w:rsidRDefault="00284AAC" w:rsidP="00D01157">
      <w:pPr>
        <w:keepNext w:val="0"/>
        <w:numPr>
          <w:ilvl w:val="0"/>
          <w:numId w:val="49"/>
        </w:numPr>
        <w:autoSpaceDE w:val="0"/>
        <w:autoSpaceDN w:val="0"/>
        <w:adjustRightInd w:val="0"/>
        <w:spacing w:before="0"/>
        <w:rPr>
          <w:rFonts w:cs="Arial"/>
        </w:rPr>
      </w:pPr>
      <w:r w:rsidRPr="003C7E62">
        <w:rPr>
          <w:rFonts w:cs="Arial"/>
        </w:rPr>
        <w:t>Equalities Impact Assessment</w:t>
      </w:r>
      <w:r w:rsidR="00877223" w:rsidRPr="003C7E62">
        <w:rPr>
          <w:rFonts w:cs="Arial"/>
        </w:rPr>
        <w:t xml:space="preserve">, and </w:t>
      </w:r>
    </w:p>
    <w:p w14:paraId="6B35B3FB" w14:textId="1A4CC288" w:rsidR="00284AAC" w:rsidRPr="003C7E62" w:rsidRDefault="00877223" w:rsidP="00D01157">
      <w:pPr>
        <w:keepNext w:val="0"/>
        <w:numPr>
          <w:ilvl w:val="0"/>
          <w:numId w:val="49"/>
        </w:numPr>
        <w:autoSpaceDE w:val="0"/>
        <w:autoSpaceDN w:val="0"/>
        <w:adjustRightInd w:val="0"/>
        <w:spacing w:before="0"/>
        <w:rPr>
          <w:rFonts w:cs="Arial"/>
        </w:rPr>
      </w:pPr>
      <w:r w:rsidRPr="003C7E62">
        <w:rPr>
          <w:rFonts w:cs="Arial"/>
        </w:rPr>
        <w:t>Data Protection Impact Assessment</w:t>
      </w:r>
      <w:r w:rsidR="0083405B">
        <w:rPr>
          <w:rFonts w:cs="Arial"/>
        </w:rPr>
        <w:t>.</w:t>
      </w:r>
    </w:p>
    <w:p w14:paraId="1353623A" w14:textId="77777777" w:rsidR="00606546" w:rsidRPr="003C7E62" w:rsidRDefault="00606546" w:rsidP="00606546">
      <w:pPr>
        <w:autoSpaceDE w:val="0"/>
        <w:autoSpaceDN w:val="0"/>
        <w:adjustRightInd w:val="0"/>
        <w:spacing w:before="0"/>
        <w:ind w:firstLine="709"/>
        <w:rPr>
          <w:rFonts w:eastAsia="Arial" w:cs="Arial"/>
          <w:i/>
          <w:u w:val="single"/>
        </w:rPr>
      </w:pPr>
    </w:p>
    <w:p w14:paraId="06468897" w14:textId="775858CB" w:rsidR="00284AAC" w:rsidRPr="003C7E62" w:rsidRDefault="00284AAC" w:rsidP="00606546">
      <w:pPr>
        <w:autoSpaceDE w:val="0"/>
        <w:autoSpaceDN w:val="0"/>
        <w:adjustRightInd w:val="0"/>
        <w:spacing w:before="0"/>
        <w:ind w:firstLine="709"/>
        <w:rPr>
          <w:rFonts w:eastAsia="Arial" w:cs="Arial"/>
          <w:i/>
          <w:u w:val="single"/>
        </w:rPr>
      </w:pPr>
      <w:r w:rsidRPr="003C7E62">
        <w:rPr>
          <w:rFonts w:eastAsia="Arial" w:cs="Arial"/>
          <w:i/>
          <w:u w:val="single"/>
        </w:rPr>
        <w:t>Sustainability Appraisal</w:t>
      </w:r>
    </w:p>
    <w:p w14:paraId="5AF2CB9E" w14:textId="77777777" w:rsidR="00284AAC" w:rsidRPr="003C7E62" w:rsidRDefault="00284AAC" w:rsidP="00606546">
      <w:pPr>
        <w:autoSpaceDE w:val="0"/>
        <w:autoSpaceDN w:val="0"/>
        <w:adjustRightInd w:val="0"/>
        <w:spacing w:before="0"/>
        <w:ind w:firstLine="600"/>
        <w:rPr>
          <w:rFonts w:eastAsia="Arial" w:cs="Arial"/>
          <w:i/>
        </w:rPr>
      </w:pPr>
    </w:p>
    <w:p w14:paraId="2F7A402B" w14:textId="77777777"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eastAsia="Arial" w:cs="Arial"/>
        </w:rPr>
        <w:t xml:space="preserve">A Sustainability Appraisal (SA) is an integral part of the plan making process and the Council has undertaken an SA for the Local Plan, including an assessment of </w:t>
      </w:r>
      <w:proofErr w:type="gramStart"/>
      <w:r w:rsidRPr="003C7E62">
        <w:rPr>
          <w:rFonts w:eastAsia="Arial" w:cs="Arial"/>
        </w:rPr>
        <w:t>a number of</w:t>
      </w:r>
      <w:proofErr w:type="gramEnd"/>
      <w:r w:rsidRPr="003C7E62">
        <w:rPr>
          <w:rFonts w:eastAsia="Arial" w:cs="Arial"/>
        </w:rPr>
        <w:t xml:space="preserve"> alternative options. The SA is framed around 17 criteria covering the different elements of sustainability (economic, social and environmental). It is utilised to guide the Plan and ensure it successfully balances the economic, social and environmental considerations of its chosen growth and spatial strategy, content and policy direction. </w:t>
      </w:r>
    </w:p>
    <w:p w14:paraId="7FFC8E4E" w14:textId="77777777" w:rsidR="00284AAC" w:rsidRPr="003C7E62" w:rsidRDefault="00284AAC" w:rsidP="00606546">
      <w:pPr>
        <w:autoSpaceDE w:val="0"/>
        <w:autoSpaceDN w:val="0"/>
        <w:adjustRightInd w:val="0"/>
        <w:spacing w:before="0"/>
        <w:ind w:left="600"/>
        <w:rPr>
          <w:rFonts w:cs="Arial"/>
        </w:rPr>
      </w:pPr>
    </w:p>
    <w:p w14:paraId="16EC3AA1" w14:textId="77777777" w:rsidR="00284AAC" w:rsidRPr="003C7E62" w:rsidRDefault="00284AAC" w:rsidP="00606546">
      <w:pPr>
        <w:autoSpaceDE w:val="0"/>
        <w:autoSpaceDN w:val="0"/>
        <w:adjustRightInd w:val="0"/>
        <w:spacing w:before="0"/>
        <w:ind w:firstLine="709"/>
        <w:rPr>
          <w:rFonts w:cs="Arial"/>
          <w:i/>
          <w:u w:val="single"/>
        </w:rPr>
      </w:pPr>
      <w:r w:rsidRPr="003C7E62">
        <w:rPr>
          <w:rFonts w:cs="Arial"/>
          <w:i/>
          <w:u w:val="single"/>
        </w:rPr>
        <w:t>Habitat Regulations Assessment</w:t>
      </w:r>
    </w:p>
    <w:p w14:paraId="7F91E25D" w14:textId="77777777" w:rsidR="00284AAC" w:rsidRPr="003C7E62" w:rsidRDefault="00284AAC" w:rsidP="00606546">
      <w:pPr>
        <w:autoSpaceDE w:val="0"/>
        <w:autoSpaceDN w:val="0"/>
        <w:adjustRightInd w:val="0"/>
        <w:spacing w:before="0"/>
        <w:ind w:firstLine="600"/>
        <w:rPr>
          <w:rFonts w:cs="Arial"/>
          <w:i/>
        </w:rPr>
      </w:pPr>
    </w:p>
    <w:p w14:paraId="1AA60C9D" w14:textId="77777777"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eastAsia="Arial" w:cs="Arial"/>
        </w:rPr>
        <w:t xml:space="preserve">A Habitats Regulation Assessment (HRA) has been carried out as part of the Local Plan process to provide an assessment of the potential effects of the plan on European Union designated sites and identify whether proposals in the Local Plan have a negative impact on the integrity of any existing or potential sites (Special Protection Areas and Special Areas of Conservation). There are two EU designated sites within 15 kilometres of the </w:t>
      </w:r>
      <w:proofErr w:type="gramStart"/>
      <w:r w:rsidRPr="003C7E62">
        <w:rPr>
          <w:rFonts w:eastAsia="Arial" w:cs="Arial"/>
        </w:rPr>
        <w:t>District</w:t>
      </w:r>
      <w:proofErr w:type="gramEnd"/>
      <w:r w:rsidRPr="003C7E62">
        <w:rPr>
          <w:rFonts w:eastAsia="Arial" w:cs="Arial"/>
        </w:rPr>
        <w:t xml:space="preserve"> boundary:</w:t>
      </w:r>
    </w:p>
    <w:p w14:paraId="6F3E9C34" w14:textId="77777777" w:rsidR="00284AAC" w:rsidRPr="003C7E62" w:rsidRDefault="00284AAC" w:rsidP="00606546">
      <w:pPr>
        <w:autoSpaceDE w:val="0"/>
        <w:autoSpaceDN w:val="0"/>
        <w:adjustRightInd w:val="0"/>
        <w:spacing w:before="0"/>
        <w:rPr>
          <w:rFonts w:cs="Arial"/>
        </w:rPr>
      </w:pPr>
    </w:p>
    <w:p w14:paraId="4FFB676F" w14:textId="351F5F1B" w:rsidR="00284AAC" w:rsidRDefault="00284AAC" w:rsidP="00D01157">
      <w:pPr>
        <w:keepNext w:val="0"/>
        <w:numPr>
          <w:ilvl w:val="0"/>
          <w:numId w:val="46"/>
        </w:numPr>
        <w:autoSpaceDE w:val="0"/>
        <w:autoSpaceDN w:val="0"/>
        <w:adjustRightInd w:val="0"/>
        <w:spacing w:before="0"/>
        <w:rPr>
          <w:rFonts w:cs="Arial"/>
        </w:rPr>
      </w:pPr>
      <w:r w:rsidRPr="003C7E62">
        <w:rPr>
          <w:rFonts w:cs="Arial"/>
        </w:rPr>
        <w:t xml:space="preserve">The Birklands and </w:t>
      </w:r>
      <w:proofErr w:type="spellStart"/>
      <w:r w:rsidRPr="003C7E62">
        <w:rPr>
          <w:rFonts w:cs="Arial"/>
        </w:rPr>
        <w:t>Bilhaugh</w:t>
      </w:r>
      <w:proofErr w:type="spellEnd"/>
      <w:r w:rsidRPr="003C7E62">
        <w:rPr>
          <w:rFonts w:cs="Arial"/>
        </w:rPr>
        <w:t xml:space="preserve"> Special Area of Conservation located within Sherwood Forest, as part of Newark and Sherwood District Council’s administrative boundary, and  </w:t>
      </w:r>
    </w:p>
    <w:p w14:paraId="0F905A7D" w14:textId="77777777" w:rsidR="008C72B3" w:rsidRPr="003C7E62" w:rsidRDefault="008C72B3" w:rsidP="008C72B3">
      <w:pPr>
        <w:keepNext w:val="0"/>
        <w:autoSpaceDE w:val="0"/>
        <w:autoSpaceDN w:val="0"/>
        <w:adjustRightInd w:val="0"/>
        <w:spacing w:before="0"/>
        <w:ind w:left="1080"/>
        <w:rPr>
          <w:rFonts w:cs="Arial"/>
        </w:rPr>
      </w:pPr>
    </w:p>
    <w:p w14:paraId="7ABBE091" w14:textId="77777777" w:rsidR="00284AAC" w:rsidRPr="003C7E62" w:rsidRDefault="00284AAC" w:rsidP="00D01157">
      <w:pPr>
        <w:keepNext w:val="0"/>
        <w:numPr>
          <w:ilvl w:val="0"/>
          <w:numId w:val="46"/>
        </w:numPr>
        <w:autoSpaceDE w:val="0"/>
        <w:autoSpaceDN w:val="0"/>
        <w:adjustRightInd w:val="0"/>
        <w:spacing w:before="0"/>
        <w:rPr>
          <w:rFonts w:cs="Arial"/>
        </w:rPr>
      </w:pPr>
      <w:r w:rsidRPr="003C7E62">
        <w:rPr>
          <w:rFonts w:cs="Arial"/>
        </w:rPr>
        <w:t xml:space="preserve">The South Pennine Moors Special Area of Conservation and Special Protection Area located in the counties of </w:t>
      </w:r>
      <w:smartTag w:uri="urn:schemas-microsoft-com:office:smarttags" w:element="City">
        <w:r w:rsidRPr="003C7E62">
          <w:rPr>
            <w:rFonts w:cs="Arial"/>
          </w:rPr>
          <w:t>Cheshire</w:t>
        </w:r>
      </w:smartTag>
      <w:r w:rsidRPr="003C7E62">
        <w:rPr>
          <w:rFonts w:cs="Arial"/>
        </w:rPr>
        <w:t xml:space="preserve">, Derbyshire, Lancashire, Staffordshire and </w:t>
      </w:r>
      <w:smartTag w:uri="urn:schemas-microsoft-com:office:smarttags" w:element="place">
        <w:r w:rsidRPr="003C7E62">
          <w:rPr>
            <w:rFonts w:cs="Arial"/>
          </w:rPr>
          <w:t>Yorkshire</w:t>
        </w:r>
      </w:smartTag>
      <w:r w:rsidRPr="003C7E62">
        <w:rPr>
          <w:rFonts w:cs="Arial"/>
        </w:rPr>
        <w:t>.</w:t>
      </w:r>
    </w:p>
    <w:p w14:paraId="14A31350" w14:textId="77777777" w:rsidR="00284AAC" w:rsidRPr="003C7E62" w:rsidRDefault="00284AAC" w:rsidP="00606546">
      <w:pPr>
        <w:autoSpaceDE w:val="0"/>
        <w:autoSpaceDN w:val="0"/>
        <w:adjustRightInd w:val="0"/>
        <w:spacing w:before="0"/>
        <w:ind w:left="720"/>
        <w:rPr>
          <w:rFonts w:cs="Arial"/>
          <w:bCs/>
          <w:szCs w:val="24"/>
        </w:rPr>
      </w:pPr>
    </w:p>
    <w:p w14:paraId="4F28A89F" w14:textId="77777777"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cs="Arial"/>
        </w:rPr>
        <w:t xml:space="preserve">In addition to the two designated sites, there is an additional site within the Sherwood Forest Area, important for breeding woodlarks and nightjar, which is not currently designated as a protected site, but which has the potential for future classification. Consequently, the authority has decided to take a risk-based </w:t>
      </w:r>
      <w:r w:rsidRPr="003C7E62">
        <w:rPr>
          <w:rFonts w:cs="Arial"/>
        </w:rPr>
        <w:lastRenderedPageBreak/>
        <w:t xml:space="preserve">approach as advocated by Natural England and undertaken a robust assessment of all sites </w:t>
      </w:r>
      <w:proofErr w:type="gramStart"/>
      <w:r w:rsidRPr="003C7E62">
        <w:rPr>
          <w:rFonts w:cs="Arial"/>
        </w:rPr>
        <w:t>in order to</w:t>
      </w:r>
      <w:proofErr w:type="gramEnd"/>
      <w:r w:rsidRPr="003C7E62">
        <w:rPr>
          <w:rFonts w:cs="Arial"/>
        </w:rPr>
        <w:t xml:space="preserve"> future proof the Plan.</w:t>
      </w:r>
    </w:p>
    <w:p w14:paraId="65D9BD51" w14:textId="77777777" w:rsidR="00284AAC" w:rsidRPr="003C7E62" w:rsidRDefault="00284AAC" w:rsidP="00606546">
      <w:pPr>
        <w:autoSpaceDE w:val="0"/>
        <w:autoSpaceDN w:val="0"/>
        <w:adjustRightInd w:val="0"/>
        <w:spacing w:before="0"/>
        <w:rPr>
          <w:rFonts w:eastAsia="Arial" w:cs="Arial"/>
          <w:i/>
        </w:rPr>
      </w:pPr>
    </w:p>
    <w:p w14:paraId="6D40B94B" w14:textId="77777777" w:rsidR="00284AAC" w:rsidRPr="003C7E62" w:rsidRDefault="00284AAC" w:rsidP="00606546">
      <w:pPr>
        <w:autoSpaceDE w:val="0"/>
        <w:autoSpaceDN w:val="0"/>
        <w:adjustRightInd w:val="0"/>
        <w:spacing w:before="0"/>
        <w:ind w:firstLine="709"/>
        <w:rPr>
          <w:rFonts w:eastAsia="Arial" w:cs="Arial"/>
          <w:i/>
          <w:u w:val="single"/>
        </w:rPr>
      </w:pPr>
      <w:r w:rsidRPr="003C7E62">
        <w:rPr>
          <w:rFonts w:eastAsia="Arial" w:cs="Arial"/>
          <w:i/>
          <w:u w:val="single"/>
        </w:rPr>
        <w:t>Health Impact Assessment</w:t>
      </w:r>
    </w:p>
    <w:p w14:paraId="67116F86" w14:textId="77777777" w:rsidR="00284AAC" w:rsidRPr="003C7E62" w:rsidRDefault="00284AAC" w:rsidP="00606546">
      <w:pPr>
        <w:autoSpaceDE w:val="0"/>
        <w:autoSpaceDN w:val="0"/>
        <w:adjustRightInd w:val="0"/>
        <w:spacing w:before="0"/>
        <w:ind w:firstLine="600"/>
        <w:rPr>
          <w:rFonts w:eastAsia="Arial" w:cs="Arial"/>
          <w:i/>
        </w:rPr>
      </w:pPr>
    </w:p>
    <w:p w14:paraId="22F05C7F" w14:textId="0AE09795"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eastAsia="Arial" w:cs="Arial"/>
        </w:rPr>
        <w:t xml:space="preserve">A Health Impact Assessment of the Local Plan will be undertaken to help ensure the Plan acknowledges the potential health impacts resulting from its implementation.  It will also identify any mitigation which may be required to reduce the impact of the Plan on health and wellbeing.  In seeking to realise the Local Plan’s Vision, the Council has ensured Health is successfully imbedded in the Plan. The assessment will also highlight how different environments can affect people’s health and mental wellbeing directly or indirectly; and will set out how any negative health impacts of the Local Plan could be mitigated, for example, improved access to open spaces and </w:t>
      </w:r>
      <w:r w:rsidRPr="00CC2D82">
        <w:rPr>
          <w:rFonts w:eastAsia="Arial" w:cs="Arial"/>
        </w:rPr>
        <w:t>green</w:t>
      </w:r>
      <w:r w:rsidR="00F449C8" w:rsidRPr="00CC2D82">
        <w:rPr>
          <w:rFonts w:eastAsia="Arial" w:cs="Arial"/>
        </w:rPr>
        <w:t xml:space="preserve"> </w:t>
      </w:r>
      <w:r w:rsidR="00F449C8" w:rsidRPr="00CC2D82">
        <w:rPr>
          <w:rFonts w:eastAsia="Arial" w:cs="Arial"/>
          <w:color w:val="2E74B5" w:themeColor="accent5" w:themeShade="BF"/>
        </w:rPr>
        <w:t>and blue</w:t>
      </w:r>
      <w:r w:rsidRPr="00CC2D82">
        <w:rPr>
          <w:rFonts w:eastAsia="Arial" w:cs="Arial"/>
          <w:color w:val="2E74B5" w:themeColor="accent5" w:themeShade="BF"/>
        </w:rPr>
        <w:t xml:space="preserve"> </w:t>
      </w:r>
      <w:r w:rsidRPr="00CC2D82">
        <w:rPr>
          <w:rFonts w:eastAsia="Arial" w:cs="Arial"/>
        </w:rPr>
        <w:t>i</w:t>
      </w:r>
      <w:r w:rsidRPr="003C7E62">
        <w:rPr>
          <w:rFonts w:eastAsia="Arial" w:cs="Arial"/>
        </w:rPr>
        <w:t xml:space="preserve">nfrastructure links will encourage people to use the outdoor areas close to their home and work. </w:t>
      </w:r>
    </w:p>
    <w:p w14:paraId="7A192E6D" w14:textId="77777777" w:rsidR="00284AAC" w:rsidRPr="003C7E62" w:rsidRDefault="00284AAC" w:rsidP="00606546">
      <w:pPr>
        <w:autoSpaceDE w:val="0"/>
        <w:autoSpaceDN w:val="0"/>
        <w:adjustRightInd w:val="0"/>
        <w:spacing w:before="0"/>
        <w:rPr>
          <w:rFonts w:cs="Arial"/>
        </w:rPr>
      </w:pPr>
    </w:p>
    <w:p w14:paraId="331717F1" w14:textId="29C289AF"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eastAsia="Arial" w:cs="Arial"/>
        </w:rPr>
        <w:t xml:space="preserve">Local Plan policies also include </w:t>
      </w:r>
      <w:proofErr w:type="gramStart"/>
      <w:r w:rsidRPr="003C7E62">
        <w:rPr>
          <w:rFonts w:eastAsia="Arial" w:cs="Arial"/>
        </w:rPr>
        <w:t>a number of</w:t>
      </w:r>
      <w:proofErr w:type="gramEnd"/>
      <w:r w:rsidRPr="003C7E62">
        <w:rPr>
          <w:rFonts w:eastAsia="Arial" w:cs="Arial"/>
        </w:rPr>
        <w:t xml:space="preserve"> measures that will benefit health and wellbeing such as improved access to community amenities, heritage</w:t>
      </w:r>
      <w:r w:rsidRPr="003C7E62">
        <w:rPr>
          <w:rFonts w:eastAsia="Arial" w:cs="Arial"/>
          <w:color w:val="538135"/>
        </w:rPr>
        <w:t xml:space="preserve"> </w:t>
      </w:r>
      <w:r w:rsidRPr="003C7E62">
        <w:rPr>
          <w:rFonts w:eastAsia="Arial" w:cs="Arial"/>
        </w:rPr>
        <w:t xml:space="preserve">and cultural facilities. </w:t>
      </w:r>
      <w:r w:rsidR="00EA7D34" w:rsidRPr="003C7E62">
        <w:rPr>
          <w:rFonts w:eastAsia="Arial" w:cs="Arial"/>
        </w:rPr>
        <w:t>New facilities</w:t>
      </w:r>
      <w:r w:rsidRPr="003C7E62">
        <w:rPr>
          <w:rFonts w:eastAsia="Arial" w:cs="Arial"/>
        </w:rPr>
        <w:t xml:space="preserve"> will seek to remove health inequalities within the </w:t>
      </w:r>
      <w:proofErr w:type="gramStart"/>
      <w:r w:rsidRPr="003C7E62">
        <w:rPr>
          <w:rFonts w:eastAsia="Arial" w:cs="Arial"/>
        </w:rPr>
        <w:t>District</w:t>
      </w:r>
      <w:proofErr w:type="gramEnd"/>
      <w:r w:rsidRPr="003C7E62">
        <w:rPr>
          <w:rFonts w:eastAsia="Arial" w:cs="Arial"/>
        </w:rPr>
        <w:t xml:space="preserve">, by allowing all members of the community to access health services more easily. </w:t>
      </w:r>
    </w:p>
    <w:p w14:paraId="17FE3445" w14:textId="77777777" w:rsidR="00284AAC" w:rsidRPr="003C7E62" w:rsidRDefault="00284AAC" w:rsidP="00606546">
      <w:pPr>
        <w:autoSpaceDE w:val="0"/>
        <w:autoSpaceDN w:val="0"/>
        <w:adjustRightInd w:val="0"/>
        <w:spacing w:before="0"/>
        <w:rPr>
          <w:rFonts w:cs="Arial"/>
        </w:rPr>
      </w:pPr>
      <w:r w:rsidRPr="003C7E62">
        <w:rPr>
          <w:rFonts w:eastAsia="Arial" w:cs="Arial"/>
        </w:rPr>
        <w:t xml:space="preserve"> </w:t>
      </w:r>
    </w:p>
    <w:p w14:paraId="0E280BFE" w14:textId="77777777" w:rsidR="00284AAC" w:rsidRPr="003C7E62" w:rsidRDefault="00284AAC" w:rsidP="00606546">
      <w:pPr>
        <w:autoSpaceDE w:val="0"/>
        <w:autoSpaceDN w:val="0"/>
        <w:adjustRightInd w:val="0"/>
        <w:spacing w:before="0"/>
        <w:ind w:firstLine="709"/>
        <w:rPr>
          <w:rFonts w:eastAsia="Arial" w:cs="Arial"/>
          <w:i/>
          <w:u w:val="single"/>
        </w:rPr>
      </w:pPr>
      <w:r w:rsidRPr="003C7E62">
        <w:rPr>
          <w:rFonts w:eastAsia="Arial" w:cs="Arial"/>
          <w:i/>
          <w:u w:val="single"/>
        </w:rPr>
        <w:t>Equalities Impact Assessment</w:t>
      </w:r>
    </w:p>
    <w:p w14:paraId="3160C958" w14:textId="77777777" w:rsidR="00284AAC" w:rsidRPr="003C7E62" w:rsidRDefault="00284AAC" w:rsidP="00606546">
      <w:pPr>
        <w:autoSpaceDE w:val="0"/>
        <w:autoSpaceDN w:val="0"/>
        <w:adjustRightInd w:val="0"/>
        <w:spacing w:before="0"/>
        <w:rPr>
          <w:rFonts w:eastAsia="Arial" w:cs="Arial"/>
          <w:i/>
        </w:rPr>
      </w:pPr>
    </w:p>
    <w:p w14:paraId="6919060A" w14:textId="2898562E" w:rsidR="00284AAC" w:rsidRPr="003C7E62" w:rsidRDefault="00284AAC" w:rsidP="00D01157">
      <w:pPr>
        <w:keepNext w:val="0"/>
        <w:numPr>
          <w:ilvl w:val="1"/>
          <w:numId w:val="52"/>
        </w:numPr>
        <w:autoSpaceDE w:val="0"/>
        <w:autoSpaceDN w:val="0"/>
        <w:adjustRightInd w:val="0"/>
        <w:spacing w:before="0"/>
        <w:ind w:left="709" w:hanging="709"/>
        <w:rPr>
          <w:rFonts w:cs="Arial"/>
        </w:rPr>
      </w:pPr>
      <w:r w:rsidRPr="003C7E62">
        <w:rPr>
          <w:rFonts w:eastAsia="Arial" w:cs="Arial"/>
        </w:rPr>
        <w:t>An Equalities Impact Assessment of the Local Plan will be undertaken to ensure that it meets the needs of all members of the community. Undertaking Equality Impact Assessments allows the Council to identify any potential adverse impacts on people with protected characteristics caused by its policies, or the way in which it works, and take steps to make sure that measures can be put in place to mitigate the impact. Equality Impact Assessments also allow for the identification of opportunities to promote equality.</w:t>
      </w:r>
    </w:p>
    <w:p w14:paraId="772EF67A" w14:textId="77777777" w:rsidR="00877223" w:rsidRPr="003C7E62" w:rsidRDefault="00877223" w:rsidP="00606546">
      <w:pPr>
        <w:keepNext w:val="0"/>
        <w:autoSpaceDE w:val="0"/>
        <w:autoSpaceDN w:val="0"/>
        <w:adjustRightInd w:val="0"/>
        <w:spacing w:before="0"/>
        <w:ind w:left="709"/>
        <w:rPr>
          <w:rFonts w:cs="Arial"/>
        </w:rPr>
      </w:pPr>
    </w:p>
    <w:p w14:paraId="157EBB3A" w14:textId="31797054" w:rsidR="00877223" w:rsidRDefault="00877223" w:rsidP="00606546">
      <w:pPr>
        <w:keepNext w:val="0"/>
        <w:autoSpaceDE w:val="0"/>
        <w:autoSpaceDN w:val="0"/>
        <w:adjustRightInd w:val="0"/>
        <w:spacing w:before="0"/>
        <w:ind w:left="709"/>
        <w:rPr>
          <w:rFonts w:eastAsia="Arial" w:cs="Arial"/>
          <w:i/>
          <w:iCs/>
          <w:u w:val="single"/>
        </w:rPr>
      </w:pPr>
      <w:bookmarkStart w:id="12" w:name="_Hlk75952630"/>
      <w:r w:rsidRPr="00CC6BDF">
        <w:rPr>
          <w:rFonts w:eastAsia="Arial" w:cs="Arial"/>
          <w:i/>
          <w:iCs/>
          <w:u w:val="single"/>
        </w:rPr>
        <w:t xml:space="preserve">Data Protection Impact Assessment </w:t>
      </w:r>
    </w:p>
    <w:p w14:paraId="1AD70AEE" w14:textId="77777777" w:rsidR="00CC6BDF" w:rsidRPr="00CC6BDF" w:rsidRDefault="00CC6BDF" w:rsidP="00606546">
      <w:pPr>
        <w:keepNext w:val="0"/>
        <w:autoSpaceDE w:val="0"/>
        <w:autoSpaceDN w:val="0"/>
        <w:adjustRightInd w:val="0"/>
        <w:spacing w:before="0"/>
        <w:ind w:left="709"/>
        <w:rPr>
          <w:rFonts w:eastAsia="Arial" w:cs="Arial"/>
          <w:i/>
          <w:iCs/>
          <w:u w:val="single"/>
        </w:rPr>
      </w:pPr>
    </w:p>
    <w:bookmarkEnd w:id="12"/>
    <w:p w14:paraId="7F37E1F7" w14:textId="2EB35966" w:rsidR="00CC6BDF" w:rsidRPr="00CC6BDF" w:rsidRDefault="00CC6BDF" w:rsidP="00D01157">
      <w:pPr>
        <w:keepNext w:val="0"/>
        <w:numPr>
          <w:ilvl w:val="1"/>
          <w:numId w:val="52"/>
        </w:numPr>
        <w:autoSpaceDE w:val="0"/>
        <w:autoSpaceDN w:val="0"/>
        <w:adjustRightInd w:val="0"/>
        <w:spacing w:before="0"/>
        <w:ind w:left="709" w:hanging="709"/>
        <w:rPr>
          <w:rFonts w:cs="Arial"/>
        </w:rPr>
      </w:pPr>
      <w:r w:rsidRPr="00CC6BDF">
        <w:rPr>
          <w:rFonts w:cs="Arial"/>
        </w:rPr>
        <w:t xml:space="preserve">A Data Protection Impact Assessment (DPIA) has been undertaken to help identify and minimise </w:t>
      </w:r>
      <w:r>
        <w:rPr>
          <w:rFonts w:cs="Arial"/>
        </w:rPr>
        <w:t xml:space="preserve">any </w:t>
      </w:r>
      <w:r w:rsidRPr="00CC6BDF">
        <w:rPr>
          <w:rFonts w:cs="Arial"/>
        </w:rPr>
        <w:t xml:space="preserve">data protection risks </w:t>
      </w:r>
      <w:r>
        <w:rPr>
          <w:rFonts w:cs="Arial"/>
        </w:rPr>
        <w:t>in relation to the Local Plan.</w:t>
      </w:r>
    </w:p>
    <w:p w14:paraId="5D563710" w14:textId="77777777" w:rsidR="003316CE" w:rsidRPr="00825421" w:rsidRDefault="003316CE" w:rsidP="00825421">
      <w:bookmarkStart w:id="13" w:name="_Toc145511548"/>
      <w:bookmarkEnd w:id="9"/>
    </w:p>
    <w:p w14:paraId="43A1606D" w14:textId="15EDC2C8" w:rsidR="00100330" w:rsidRPr="003C7E62" w:rsidRDefault="00165C32" w:rsidP="000447CA">
      <w:pPr>
        <w:pStyle w:val="Heading3"/>
      </w:pPr>
      <w:r>
        <w:t xml:space="preserve">Our </w:t>
      </w:r>
      <w:r w:rsidR="00100330" w:rsidRPr="003C7E62">
        <w:t>District</w:t>
      </w:r>
      <w:bookmarkEnd w:id="13"/>
    </w:p>
    <w:p w14:paraId="20FD0CAB" w14:textId="5254E247" w:rsidR="00100330" w:rsidRPr="003C7E62" w:rsidRDefault="00100330" w:rsidP="00606546">
      <w:pPr>
        <w:spacing w:before="0"/>
        <w:rPr>
          <w:rFonts w:cs="Arial"/>
          <w:szCs w:val="24"/>
        </w:rPr>
      </w:pPr>
    </w:p>
    <w:p w14:paraId="175EC0C3" w14:textId="3E2C2419" w:rsidR="00F66CEF" w:rsidRPr="008C72B3" w:rsidRDefault="00100330" w:rsidP="00F66CEF">
      <w:pPr>
        <w:keepNext w:val="0"/>
        <w:numPr>
          <w:ilvl w:val="1"/>
          <w:numId w:val="52"/>
        </w:numPr>
        <w:autoSpaceDE w:val="0"/>
        <w:autoSpaceDN w:val="0"/>
        <w:adjustRightInd w:val="0"/>
        <w:spacing w:before="0"/>
        <w:ind w:left="709" w:hanging="709"/>
        <w:rPr>
          <w:rFonts w:cs="Arial"/>
          <w:szCs w:val="24"/>
        </w:rPr>
      </w:pPr>
      <w:r w:rsidRPr="003C7E62">
        <w:rPr>
          <w:rFonts w:eastAsia="Arial" w:cs="Arial"/>
          <w:szCs w:val="24"/>
        </w:rPr>
        <w:t xml:space="preserve">Ashfield District covers an area of 10,956 hectares and has a population of </w:t>
      </w:r>
      <w:r w:rsidRPr="005F495B">
        <w:rPr>
          <w:rFonts w:eastAsia="Calibri" w:cs="Arial"/>
          <w:szCs w:val="24"/>
        </w:rPr>
        <w:t>127,918</w:t>
      </w:r>
      <w:r w:rsidRPr="005F495B">
        <w:rPr>
          <w:rFonts w:eastAsia="Calibri" w:cs="Arial"/>
          <w:szCs w:val="24"/>
          <w:vertAlign w:val="superscript"/>
        </w:rPr>
        <w:footnoteReference w:id="16"/>
      </w:r>
      <w:r w:rsidRPr="005F495B">
        <w:rPr>
          <w:rFonts w:eastAsia="Calibri" w:cs="Arial"/>
          <w:szCs w:val="24"/>
        </w:rPr>
        <w:t>.</w:t>
      </w:r>
      <w:r w:rsidRPr="003C7E62">
        <w:rPr>
          <w:rFonts w:eastAsia="Calibri" w:cs="Arial"/>
          <w:szCs w:val="24"/>
        </w:rPr>
        <w:t xml:space="preserve">  The district </w:t>
      </w:r>
      <w:r w:rsidRPr="003C7E62">
        <w:rPr>
          <w:rFonts w:eastAsia="Arial" w:cs="Arial"/>
          <w:szCs w:val="24"/>
        </w:rPr>
        <w:t xml:space="preserve">is located on the western side of Nottinghamshire in the East Midlands Region and adjoins seven others as shown in </w:t>
      </w:r>
      <w:r w:rsidR="00B71F41" w:rsidRPr="00EC70AF">
        <w:rPr>
          <w:rFonts w:eastAsia="Arial" w:cs="Arial"/>
          <w:szCs w:val="24"/>
        </w:rPr>
        <w:t>Figure</w:t>
      </w:r>
      <w:r w:rsidRPr="00EC70AF">
        <w:rPr>
          <w:rFonts w:eastAsia="Arial" w:cs="Arial"/>
          <w:szCs w:val="24"/>
        </w:rPr>
        <w:t xml:space="preserve"> 1</w:t>
      </w:r>
      <w:r w:rsidRPr="003C7E62">
        <w:rPr>
          <w:rFonts w:eastAsia="Arial" w:cs="Arial"/>
          <w:szCs w:val="24"/>
        </w:rPr>
        <w:t xml:space="preserve"> below, including the City of Nottingham to the South, Mansfield to the east and Bolsover in Derbyshire to the west.</w:t>
      </w:r>
      <w:r w:rsidR="00F66CEF" w:rsidRPr="00F66CEF">
        <w:rPr>
          <w:rFonts w:eastAsia="Calibri"/>
          <w:noProof/>
          <w:color w:val="auto"/>
        </w:rPr>
        <w:t xml:space="preserve"> </w:t>
      </w:r>
    </w:p>
    <w:p w14:paraId="2F56412D" w14:textId="020B1FA4" w:rsidR="008C72B3" w:rsidRDefault="008C72B3" w:rsidP="008C72B3">
      <w:pPr>
        <w:keepNext w:val="0"/>
        <w:autoSpaceDE w:val="0"/>
        <w:autoSpaceDN w:val="0"/>
        <w:adjustRightInd w:val="0"/>
        <w:spacing w:before="0"/>
        <w:rPr>
          <w:rFonts w:eastAsia="Calibri"/>
          <w:noProof/>
          <w:color w:val="auto"/>
        </w:rPr>
      </w:pPr>
    </w:p>
    <w:p w14:paraId="003EC95F" w14:textId="4EDF165B" w:rsidR="00AC4DFA" w:rsidRDefault="00AC4DFA" w:rsidP="00AC4DFA">
      <w:pPr>
        <w:keepNext w:val="0"/>
        <w:spacing w:before="100" w:beforeAutospacing="1" w:after="100" w:afterAutospacing="1"/>
        <w:rPr>
          <w:rFonts w:cs="Arial"/>
          <w:color w:val="auto"/>
          <w:szCs w:val="24"/>
        </w:rPr>
      </w:pPr>
      <w:r w:rsidRPr="00AC4DFA">
        <w:rPr>
          <w:rFonts w:cs="Arial"/>
          <w:noProof/>
          <w:color w:val="auto"/>
          <w:szCs w:val="24"/>
        </w:rPr>
        <w:lastRenderedPageBreak/>
        <w:drawing>
          <wp:anchor distT="0" distB="0" distL="114300" distR="114300" simplePos="0" relativeHeight="251658256" behindDoc="0" locked="0" layoutInCell="1" allowOverlap="1" wp14:anchorId="6DCCF1BB" wp14:editId="1A2B2485">
            <wp:simplePos x="0" y="0"/>
            <wp:positionH relativeFrom="margin">
              <wp:posOffset>829957</wp:posOffset>
            </wp:positionH>
            <wp:positionV relativeFrom="paragraph">
              <wp:posOffset>21985</wp:posOffset>
            </wp:positionV>
            <wp:extent cx="4664853" cy="6599122"/>
            <wp:effectExtent l="19050" t="19050" r="21590" b="11430"/>
            <wp:wrapNone/>
            <wp:docPr id="928052188" name="Picture 928052188" descr="Map showing Ashfield District Council area with key transportation routes and locations. Highlights include train stations, NET Tram lines with Marion Line and safeguarded areas, town centers marked in orange, and Hucknall Transport Hub indicated with a purp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52188" name="Picture 928052188" descr="Map showing Ashfield District Council area with key transportation routes and locations. Highlights include train stations, NET Tram lines with Marion Line and safeguarded areas, town centers marked in orange, and Hucknall Transport Hub indicated with a purple symbo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64853" cy="659912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32CA1DA" w14:textId="4D7387BC" w:rsidR="00AC4DFA" w:rsidRDefault="00AC4DFA" w:rsidP="00AC4DFA">
      <w:pPr>
        <w:keepNext w:val="0"/>
        <w:spacing w:before="100" w:beforeAutospacing="1" w:after="100" w:afterAutospacing="1"/>
        <w:rPr>
          <w:rFonts w:cs="Arial"/>
          <w:color w:val="auto"/>
          <w:szCs w:val="24"/>
        </w:rPr>
      </w:pPr>
    </w:p>
    <w:p w14:paraId="4102041C" w14:textId="047F5E9F" w:rsidR="00AC4DFA" w:rsidRDefault="00AC4DFA" w:rsidP="00AC4DFA">
      <w:pPr>
        <w:keepNext w:val="0"/>
        <w:spacing w:before="100" w:beforeAutospacing="1" w:after="100" w:afterAutospacing="1"/>
        <w:rPr>
          <w:rFonts w:cs="Arial"/>
          <w:color w:val="auto"/>
          <w:szCs w:val="24"/>
        </w:rPr>
      </w:pPr>
    </w:p>
    <w:p w14:paraId="7C395D21" w14:textId="77777777" w:rsidR="00AC4DFA" w:rsidRDefault="00AC4DFA" w:rsidP="00AC4DFA">
      <w:pPr>
        <w:keepNext w:val="0"/>
        <w:spacing w:before="100" w:beforeAutospacing="1" w:after="100" w:afterAutospacing="1"/>
        <w:rPr>
          <w:rFonts w:cs="Arial"/>
          <w:color w:val="auto"/>
          <w:szCs w:val="24"/>
        </w:rPr>
      </w:pPr>
    </w:p>
    <w:p w14:paraId="5E358F9F" w14:textId="684F9F96" w:rsidR="00AC4DFA" w:rsidRDefault="00AC4DFA" w:rsidP="00AC4DFA">
      <w:pPr>
        <w:keepNext w:val="0"/>
        <w:spacing w:before="100" w:beforeAutospacing="1" w:after="100" w:afterAutospacing="1"/>
        <w:rPr>
          <w:rFonts w:cs="Arial"/>
          <w:color w:val="auto"/>
          <w:szCs w:val="24"/>
        </w:rPr>
      </w:pPr>
    </w:p>
    <w:p w14:paraId="1E041744" w14:textId="53FB756C" w:rsidR="00AC4DFA" w:rsidRDefault="00AC4DFA" w:rsidP="00AC4DFA">
      <w:pPr>
        <w:keepNext w:val="0"/>
        <w:spacing w:before="100" w:beforeAutospacing="1" w:after="100" w:afterAutospacing="1"/>
        <w:rPr>
          <w:rFonts w:cs="Arial"/>
          <w:color w:val="auto"/>
          <w:szCs w:val="24"/>
        </w:rPr>
      </w:pPr>
    </w:p>
    <w:p w14:paraId="17CC751E" w14:textId="2061469F" w:rsidR="00AC4DFA" w:rsidRDefault="00AC4DFA" w:rsidP="00AC4DFA">
      <w:pPr>
        <w:keepNext w:val="0"/>
        <w:spacing w:before="100" w:beforeAutospacing="1" w:after="100" w:afterAutospacing="1"/>
        <w:rPr>
          <w:rFonts w:cs="Arial"/>
          <w:color w:val="auto"/>
          <w:szCs w:val="24"/>
        </w:rPr>
      </w:pPr>
    </w:p>
    <w:p w14:paraId="6D3BBE30" w14:textId="78FFBCA2" w:rsidR="00AC4DFA" w:rsidRDefault="00AC4DFA" w:rsidP="00AC4DFA">
      <w:pPr>
        <w:keepNext w:val="0"/>
        <w:spacing w:before="100" w:beforeAutospacing="1" w:after="100" w:afterAutospacing="1"/>
        <w:rPr>
          <w:rFonts w:cs="Arial"/>
          <w:color w:val="auto"/>
          <w:szCs w:val="24"/>
        </w:rPr>
      </w:pPr>
    </w:p>
    <w:p w14:paraId="0FA7DA82" w14:textId="2E8BCB61" w:rsidR="00AC4DFA" w:rsidRDefault="00AC4DFA" w:rsidP="00AC4DFA">
      <w:pPr>
        <w:keepNext w:val="0"/>
        <w:spacing w:before="100" w:beforeAutospacing="1" w:after="100" w:afterAutospacing="1"/>
        <w:rPr>
          <w:rFonts w:cs="Arial"/>
          <w:color w:val="auto"/>
          <w:szCs w:val="24"/>
        </w:rPr>
      </w:pPr>
    </w:p>
    <w:p w14:paraId="183AD8A5" w14:textId="6C46283D" w:rsidR="00AC4DFA" w:rsidRDefault="00AC4DFA" w:rsidP="00AC4DFA">
      <w:pPr>
        <w:keepNext w:val="0"/>
        <w:spacing w:before="100" w:beforeAutospacing="1" w:after="100" w:afterAutospacing="1"/>
        <w:rPr>
          <w:rFonts w:cs="Arial"/>
          <w:color w:val="auto"/>
          <w:szCs w:val="24"/>
        </w:rPr>
      </w:pPr>
    </w:p>
    <w:p w14:paraId="2718D9D4" w14:textId="77777777" w:rsidR="00AC4DFA" w:rsidRDefault="00AC4DFA" w:rsidP="00AC4DFA">
      <w:pPr>
        <w:keepNext w:val="0"/>
        <w:spacing w:before="100" w:beforeAutospacing="1" w:after="100" w:afterAutospacing="1"/>
        <w:rPr>
          <w:rFonts w:cs="Arial"/>
          <w:color w:val="auto"/>
          <w:szCs w:val="24"/>
        </w:rPr>
      </w:pPr>
    </w:p>
    <w:p w14:paraId="075E3A79" w14:textId="03729FC9" w:rsidR="00AC4DFA" w:rsidRDefault="00AC4DFA" w:rsidP="00AC4DFA">
      <w:pPr>
        <w:keepNext w:val="0"/>
        <w:spacing w:before="100" w:beforeAutospacing="1" w:after="100" w:afterAutospacing="1"/>
        <w:rPr>
          <w:rFonts w:cs="Arial"/>
          <w:color w:val="auto"/>
          <w:szCs w:val="24"/>
        </w:rPr>
      </w:pPr>
    </w:p>
    <w:p w14:paraId="29129B1E" w14:textId="77777777" w:rsidR="00AC4DFA" w:rsidRDefault="00AC4DFA" w:rsidP="00AC4DFA">
      <w:pPr>
        <w:keepNext w:val="0"/>
        <w:spacing w:before="100" w:beforeAutospacing="1" w:after="100" w:afterAutospacing="1"/>
        <w:rPr>
          <w:rFonts w:cs="Arial"/>
          <w:color w:val="auto"/>
          <w:szCs w:val="24"/>
        </w:rPr>
      </w:pPr>
    </w:p>
    <w:p w14:paraId="2337DEDA" w14:textId="77777777" w:rsidR="00AC4DFA" w:rsidRDefault="00AC4DFA" w:rsidP="00AC4DFA">
      <w:pPr>
        <w:keepNext w:val="0"/>
        <w:spacing w:before="100" w:beforeAutospacing="1" w:after="100" w:afterAutospacing="1"/>
        <w:rPr>
          <w:rFonts w:cs="Arial"/>
          <w:color w:val="auto"/>
          <w:szCs w:val="24"/>
        </w:rPr>
      </w:pPr>
    </w:p>
    <w:p w14:paraId="436691F6" w14:textId="77777777" w:rsidR="00AC4DFA" w:rsidRDefault="00AC4DFA" w:rsidP="00AC4DFA">
      <w:pPr>
        <w:keepNext w:val="0"/>
        <w:spacing w:before="100" w:beforeAutospacing="1" w:after="100" w:afterAutospacing="1"/>
        <w:rPr>
          <w:rFonts w:cs="Arial"/>
          <w:color w:val="auto"/>
          <w:szCs w:val="24"/>
        </w:rPr>
      </w:pPr>
    </w:p>
    <w:p w14:paraId="1E52E94D" w14:textId="6AF11EF6" w:rsidR="00AC4DFA" w:rsidRDefault="00AC4DFA" w:rsidP="00AC4DFA">
      <w:pPr>
        <w:keepNext w:val="0"/>
        <w:spacing w:before="100" w:beforeAutospacing="1" w:after="100" w:afterAutospacing="1"/>
        <w:rPr>
          <w:rFonts w:cs="Arial"/>
          <w:color w:val="auto"/>
          <w:szCs w:val="24"/>
        </w:rPr>
      </w:pPr>
    </w:p>
    <w:p w14:paraId="3F29276A" w14:textId="77777777" w:rsidR="00AC4DFA" w:rsidRDefault="00AC4DFA" w:rsidP="00AC4DFA">
      <w:pPr>
        <w:keepNext w:val="0"/>
        <w:spacing w:before="100" w:beforeAutospacing="1" w:after="100" w:afterAutospacing="1"/>
        <w:rPr>
          <w:rFonts w:cs="Arial"/>
          <w:color w:val="auto"/>
          <w:szCs w:val="24"/>
        </w:rPr>
      </w:pPr>
    </w:p>
    <w:p w14:paraId="3AD614EE" w14:textId="77777777" w:rsidR="00AC4DFA" w:rsidRDefault="00AC4DFA" w:rsidP="00AC4DFA">
      <w:pPr>
        <w:keepNext w:val="0"/>
        <w:spacing w:before="100" w:beforeAutospacing="1" w:after="100" w:afterAutospacing="1"/>
        <w:rPr>
          <w:rFonts w:cs="Arial"/>
          <w:color w:val="auto"/>
          <w:szCs w:val="24"/>
        </w:rPr>
      </w:pPr>
    </w:p>
    <w:p w14:paraId="56DFC989" w14:textId="77777777" w:rsidR="00AC4DFA" w:rsidRDefault="00AC4DFA" w:rsidP="00AC4DFA">
      <w:pPr>
        <w:keepNext w:val="0"/>
        <w:spacing w:before="100" w:beforeAutospacing="1" w:after="100" w:afterAutospacing="1"/>
        <w:rPr>
          <w:rFonts w:cs="Arial"/>
          <w:color w:val="auto"/>
          <w:szCs w:val="24"/>
        </w:rPr>
      </w:pPr>
    </w:p>
    <w:p w14:paraId="71155171" w14:textId="5C0B3A95" w:rsidR="00AC4DFA" w:rsidRPr="00A91B65" w:rsidRDefault="00AC4DFA" w:rsidP="000447CA">
      <w:pPr>
        <w:pStyle w:val="Heading3"/>
      </w:pPr>
      <w:r w:rsidRPr="00A91B65">
        <w:t>Figure 1: The District of Ashfield and surrounding area</w:t>
      </w:r>
    </w:p>
    <w:p w14:paraId="59E25CB4" w14:textId="77777777" w:rsidR="00AC4DFA" w:rsidRPr="00A91B65" w:rsidRDefault="00AC4DFA" w:rsidP="00A91B65">
      <w:pPr>
        <w:keepNext w:val="0"/>
        <w:autoSpaceDE w:val="0"/>
        <w:autoSpaceDN w:val="0"/>
        <w:adjustRightInd w:val="0"/>
        <w:spacing w:before="0"/>
        <w:ind w:left="720" w:firstLine="556"/>
        <w:rPr>
          <w:rFonts w:eastAsia="Calibri" w:cs="Arial"/>
          <w:color w:val="0070C0"/>
          <w:sz w:val="20"/>
        </w:rPr>
      </w:pPr>
      <w:r w:rsidRPr="00A91B65">
        <w:rPr>
          <w:rFonts w:eastAsia="Calibri" w:cs="Arial"/>
          <w:color w:val="0070C0"/>
          <w:sz w:val="20"/>
        </w:rPr>
        <w:t>Source: Ashfield District Council</w:t>
      </w:r>
    </w:p>
    <w:p w14:paraId="516D81B1" w14:textId="77777777" w:rsidR="00AC4DFA" w:rsidRPr="00AC4DFA" w:rsidRDefault="00AC4DFA" w:rsidP="00AC4DFA">
      <w:pPr>
        <w:keepNext w:val="0"/>
        <w:spacing w:before="100" w:beforeAutospacing="1" w:after="100" w:afterAutospacing="1"/>
        <w:rPr>
          <w:rFonts w:cs="Arial"/>
          <w:color w:val="auto"/>
          <w:szCs w:val="24"/>
        </w:rPr>
      </w:pPr>
    </w:p>
    <w:p w14:paraId="3929AE11" w14:textId="45FF6891" w:rsidR="00AC4DFA" w:rsidRDefault="00AC4DFA" w:rsidP="000447CA">
      <w:pPr>
        <w:pStyle w:val="Heading3"/>
      </w:pPr>
      <w:r>
        <w:rPr>
          <w:noProof/>
        </w:rPr>
        <w:lastRenderedPageBreak/>
        <mc:AlternateContent>
          <mc:Choice Requires="wpi">
            <w:drawing>
              <wp:anchor distT="0" distB="0" distL="114300" distR="114300" simplePos="0" relativeHeight="251658258" behindDoc="0" locked="0" layoutInCell="1" allowOverlap="1" wp14:anchorId="1E98003E" wp14:editId="433E5A39">
                <wp:simplePos x="0" y="0"/>
                <wp:positionH relativeFrom="column">
                  <wp:posOffset>831850</wp:posOffset>
                </wp:positionH>
                <wp:positionV relativeFrom="paragraph">
                  <wp:posOffset>12065</wp:posOffset>
                </wp:positionV>
                <wp:extent cx="4545810" cy="6417310"/>
                <wp:effectExtent l="57150" t="57150" r="26670" b="40640"/>
                <wp:wrapNone/>
                <wp:docPr id="605649985" name="Ink 10"/>
                <wp:cNvGraphicFramePr/>
                <a:graphic xmlns:a="http://schemas.openxmlformats.org/drawingml/2006/main">
                  <a:graphicData uri="http://schemas.microsoft.com/office/word/2010/wordprocessingInk">
                    <w14:contentPart bwMode="auto" r:id="rId21">
                      <w14:nvContentPartPr>
                        <w14:cNvContentPartPr/>
                      </w14:nvContentPartPr>
                      <w14:xfrm>
                        <a:off x="0" y="0"/>
                        <a:ext cx="4545810" cy="6417310"/>
                      </w14:xfrm>
                    </w14:contentPart>
                  </a:graphicData>
                </a:graphic>
              </wp:anchor>
            </w:drawing>
          </mc:Choice>
          <mc:Fallback xmlns:arto="http://schemas.microsoft.com/office/word/2006/arto">
            <w:pict>
              <v:shapetype w14:anchorId="6EA8AAA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 o:spid="_x0000_s1026" type="#_x0000_t75" style="position:absolute;margin-left:64.8pt;margin-top:.25pt;width:359.4pt;height:506.7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">
                <v:imagedata r:id="rId22" o:title=""/>
              </v:shape>
            </w:pict>
          </mc:Fallback>
        </mc:AlternateContent>
      </w:r>
      <w:r>
        <w:rPr>
          <w:noProof/>
        </w:rPr>
        <mc:AlternateContent>
          <mc:Choice Requires="wpi">
            <w:drawing>
              <wp:anchor distT="0" distB="0" distL="114300" distR="114300" simplePos="0" relativeHeight="251658257" behindDoc="0" locked="0" layoutInCell="1" allowOverlap="1" wp14:anchorId="5722A0D0" wp14:editId="5451C14D">
                <wp:simplePos x="0" y="0"/>
                <wp:positionH relativeFrom="column">
                  <wp:posOffset>831853</wp:posOffset>
                </wp:positionH>
                <wp:positionV relativeFrom="paragraph">
                  <wp:posOffset>5898255</wp:posOffset>
                </wp:positionV>
                <wp:extent cx="514800" cy="514800"/>
                <wp:effectExtent l="57150" t="57150" r="57150" b="57150"/>
                <wp:wrapNone/>
                <wp:docPr id="550392910" name="Ink 8"/>
                <wp:cNvGraphicFramePr/>
                <a:graphic xmlns:a="http://schemas.openxmlformats.org/drawingml/2006/main">
                  <a:graphicData uri="http://schemas.microsoft.com/office/word/2010/wordprocessingInk">
                    <w14:contentPart bwMode="auto" r:id="rId23">
                      <w14:nvContentPartPr>
                        <w14:cNvContentPartPr/>
                      </w14:nvContentPartPr>
                      <w14:xfrm>
                        <a:off x="0" y="0"/>
                        <a:ext cx="514800" cy="514800"/>
                      </w14:xfrm>
                    </w14:contentPart>
                  </a:graphicData>
                </a:graphic>
              </wp:anchor>
            </w:drawing>
          </mc:Choice>
          <mc:Fallback xmlns:arto="http://schemas.microsoft.com/office/word/2006/arto">
            <w:pict>
              <v:shape w14:anchorId="6FDA0FD6" id="Ink 8" o:spid="_x0000_s1026" type="#_x0000_t75" style="position:absolute;margin-left:64.8pt;margin-top:463.75pt;width:41.95pt;height:41.9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">
                <v:imagedata r:id="rId24" o:title=""/>
              </v:shape>
            </w:pict>
          </mc:Fallback>
        </mc:AlternateContent>
      </w:r>
    </w:p>
    <w:p w14:paraId="214AB231" w14:textId="5B21C259" w:rsidR="00F66CEF" w:rsidRPr="00A91B65" w:rsidRDefault="00CB6138" w:rsidP="000447CA">
      <w:pPr>
        <w:pStyle w:val="Heading3"/>
      </w:pPr>
      <w:r w:rsidRPr="00A91B65">
        <w:rPr>
          <w:noProof/>
        </w:rPr>
        <w:drawing>
          <wp:anchor distT="0" distB="0" distL="114300" distR="114300" simplePos="0" relativeHeight="251658241" behindDoc="0" locked="0" layoutInCell="1" allowOverlap="1" wp14:anchorId="619DB7F9" wp14:editId="06FC5DBE">
            <wp:simplePos x="0" y="0"/>
            <wp:positionH relativeFrom="column">
              <wp:posOffset>819002</wp:posOffset>
            </wp:positionH>
            <wp:positionV relativeFrom="paragraph">
              <wp:posOffset>-206029</wp:posOffset>
            </wp:positionV>
            <wp:extent cx="4546800" cy="6429600"/>
            <wp:effectExtent l="19050" t="19050" r="25400" b="9525"/>
            <wp:wrapTopAndBottom/>
            <wp:docPr id="133704680" name="Picture 1" descr="A map of 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4680" name="Picture 1" descr="A map of a cit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46800" cy="6429600"/>
                    </a:xfrm>
                    <a:prstGeom prst="rect">
                      <a:avLst/>
                    </a:prstGeom>
                    <a:pattFill prst="dkDnDiag">
                      <a:fgClr>
                        <a:schemeClr val="tx1"/>
                      </a:fgClr>
                      <a:bgClr>
                        <a:schemeClr val="bg1"/>
                      </a:bgClr>
                    </a:pattFill>
                    <a:ln>
                      <a:solidFill>
                        <a:schemeClr val="tx1"/>
                      </a:solidFill>
                    </a:ln>
                  </pic:spPr>
                </pic:pic>
              </a:graphicData>
            </a:graphic>
            <wp14:sizeRelH relativeFrom="page">
              <wp14:pctWidth>0</wp14:pctWidth>
            </wp14:sizeRelH>
            <wp14:sizeRelV relativeFrom="page">
              <wp14:pctHeight>0</wp14:pctHeight>
            </wp14:sizeRelV>
          </wp:anchor>
        </w:drawing>
      </w:r>
      <w:r w:rsidR="00EC70AF" w:rsidRPr="00A91B65">
        <w:t xml:space="preserve">Figure 1: The </w:t>
      </w:r>
      <w:r w:rsidR="008C72B3" w:rsidRPr="00A91B65">
        <w:t>D</w:t>
      </w:r>
      <w:r w:rsidR="00EC70AF" w:rsidRPr="00A91B65">
        <w:t>istrict of Ashfield and surrounding area</w:t>
      </w:r>
    </w:p>
    <w:p w14:paraId="4C9941A1" w14:textId="30706C38" w:rsidR="00D42EF7" w:rsidRPr="00A91B65" w:rsidRDefault="00EC70AF" w:rsidP="00B44EFF">
      <w:pPr>
        <w:keepNext w:val="0"/>
        <w:autoSpaceDE w:val="0"/>
        <w:autoSpaceDN w:val="0"/>
        <w:adjustRightInd w:val="0"/>
        <w:spacing w:before="0"/>
        <w:ind w:left="567" w:firstLine="709"/>
        <w:rPr>
          <w:rFonts w:eastAsia="Calibri" w:cs="Arial"/>
          <w:strike/>
          <w:sz w:val="20"/>
        </w:rPr>
      </w:pPr>
      <w:r w:rsidRPr="00A91B65">
        <w:rPr>
          <w:rFonts w:eastAsia="Calibri" w:cs="Arial"/>
          <w:strike/>
          <w:sz w:val="20"/>
        </w:rPr>
        <w:t>Source: Ashfield District Council</w:t>
      </w:r>
    </w:p>
    <w:p w14:paraId="0D50D6EE" w14:textId="77777777" w:rsidR="00CB6138" w:rsidRDefault="00CB6138" w:rsidP="00CB6138">
      <w:pPr>
        <w:keepNext w:val="0"/>
        <w:autoSpaceDE w:val="0"/>
        <w:autoSpaceDN w:val="0"/>
        <w:adjustRightInd w:val="0"/>
        <w:spacing w:before="0"/>
        <w:ind w:left="1418" w:firstLine="11"/>
        <w:rPr>
          <w:rFonts w:eastAsia="Calibri" w:cs="Arial"/>
          <w:sz w:val="20"/>
        </w:rPr>
      </w:pPr>
    </w:p>
    <w:p w14:paraId="5DCF5777" w14:textId="77777777" w:rsidR="00CB6138" w:rsidRDefault="00CB6138" w:rsidP="0020285D">
      <w:pPr>
        <w:keepNext w:val="0"/>
        <w:autoSpaceDE w:val="0"/>
        <w:autoSpaceDN w:val="0"/>
        <w:adjustRightInd w:val="0"/>
        <w:spacing w:before="0"/>
        <w:ind w:left="2138" w:firstLine="11"/>
        <w:rPr>
          <w:rFonts w:eastAsia="Calibri" w:cs="Arial"/>
          <w:sz w:val="20"/>
        </w:rPr>
      </w:pPr>
    </w:p>
    <w:p w14:paraId="77CC3F79" w14:textId="519D9CE5" w:rsidR="005E21D7" w:rsidRPr="005E21D7" w:rsidRDefault="005E21D7" w:rsidP="00D01157">
      <w:pPr>
        <w:keepNext w:val="0"/>
        <w:numPr>
          <w:ilvl w:val="1"/>
          <w:numId w:val="52"/>
        </w:numPr>
        <w:autoSpaceDE w:val="0"/>
        <w:autoSpaceDN w:val="0"/>
        <w:adjustRightInd w:val="0"/>
        <w:spacing w:before="0"/>
        <w:ind w:left="709" w:hanging="709"/>
        <w:rPr>
          <w:rFonts w:cs="Arial"/>
          <w:color w:val="538135"/>
          <w:szCs w:val="24"/>
        </w:rPr>
      </w:pPr>
      <w:r w:rsidRPr="005E21D7">
        <w:rPr>
          <w:rFonts w:cs="Arial"/>
          <w:color w:val="auto"/>
          <w:szCs w:val="24"/>
        </w:rPr>
        <w:t xml:space="preserve">The </w:t>
      </w:r>
      <w:proofErr w:type="gramStart"/>
      <w:r w:rsidRPr="005E21D7">
        <w:rPr>
          <w:rFonts w:cs="Arial"/>
          <w:color w:val="auto"/>
          <w:szCs w:val="24"/>
        </w:rPr>
        <w:t>District</w:t>
      </w:r>
      <w:proofErr w:type="gramEnd"/>
      <w:r w:rsidRPr="005E21D7">
        <w:rPr>
          <w:rFonts w:cs="Arial"/>
          <w:color w:val="auto"/>
          <w:szCs w:val="24"/>
        </w:rPr>
        <w:t xml:space="preserve"> benefits from </w:t>
      </w:r>
      <w:proofErr w:type="gramStart"/>
      <w:r w:rsidRPr="005E21D7">
        <w:rPr>
          <w:rFonts w:cs="Arial"/>
          <w:color w:val="auto"/>
          <w:szCs w:val="24"/>
        </w:rPr>
        <w:t>a number of</w:t>
      </w:r>
      <w:proofErr w:type="gramEnd"/>
      <w:r w:rsidRPr="005E21D7">
        <w:rPr>
          <w:rFonts w:cs="Arial"/>
          <w:color w:val="auto"/>
          <w:szCs w:val="24"/>
        </w:rPr>
        <w:t xml:space="preserve"> high-quality transport links (Figure 1), with the M1 dissecting the </w:t>
      </w:r>
      <w:proofErr w:type="gramStart"/>
      <w:r w:rsidRPr="005E21D7">
        <w:rPr>
          <w:rFonts w:cs="Arial"/>
          <w:color w:val="auto"/>
          <w:szCs w:val="24"/>
        </w:rPr>
        <w:t>District</w:t>
      </w:r>
      <w:proofErr w:type="gramEnd"/>
      <w:r w:rsidRPr="005E21D7">
        <w:rPr>
          <w:rFonts w:cs="Arial"/>
          <w:color w:val="auto"/>
          <w:szCs w:val="24"/>
        </w:rPr>
        <w:t xml:space="preserve">, providing communities and businesses with access to the motorway network via Junctions 27 and 28 (adjacent to the </w:t>
      </w:r>
      <w:proofErr w:type="gramStart"/>
      <w:r w:rsidRPr="005E21D7">
        <w:rPr>
          <w:rFonts w:cs="Arial"/>
          <w:color w:val="auto"/>
          <w:szCs w:val="24"/>
        </w:rPr>
        <w:t>District</w:t>
      </w:r>
      <w:proofErr w:type="gramEnd"/>
      <w:r w:rsidRPr="005E21D7">
        <w:rPr>
          <w:rFonts w:cs="Arial"/>
          <w:color w:val="auto"/>
          <w:szCs w:val="24"/>
        </w:rPr>
        <w:t xml:space="preserve">).   The A38 provides a major east- west route across the </w:t>
      </w:r>
      <w:proofErr w:type="gramStart"/>
      <w:r w:rsidRPr="005E21D7">
        <w:rPr>
          <w:rFonts w:cs="Arial"/>
          <w:color w:val="auto"/>
          <w:szCs w:val="24"/>
        </w:rPr>
        <w:t>District</w:t>
      </w:r>
      <w:proofErr w:type="gramEnd"/>
      <w:r w:rsidR="00266968">
        <w:rPr>
          <w:rFonts w:cs="Arial"/>
          <w:color w:val="auto"/>
          <w:szCs w:val="24"/>
        </w:rPr>
        <w:t xml:space="preserve">, as does the </w:t>
      </w:r>
      <w:r w:rsidRPr="005E21D7">
        <w:rPr>
          <w:rFonts w:cs="Arial"/>
          <w:color w:val="auto"/>
          <w:szCs w:val="24"/>
        </w:rPr>
        <w:t xml:space="preserve">A611 </w:t>
      </w:r>
      <w:r w:rsidR="00266968">
        <w:rPr>
          <w:rFonts w:cs="Arial"/>
          <w:color w:val="auto"/>
          <w:szCs w:val="24"/>
        </w:rPr>
        <w:t xml:space="preserve">which </w:t>
      </w:r>
      <w:r w:rsidRPr="005E21D7">
        <w:rPr>
          <w:rFonts w:cs="Arial"/>
          <w:color w:val="auto"/>
          <w:szCs w:val="24"/>
        </w:rPr>
        <w:t>links the District to the City of Nottingham.  For cycling, the National Cycle Route</w:t>
      </w:r>
      <w:r w:rsidR="00D4225A">
        <w:rPr>
          <w:rStyle w:val="FootnoteReference"/>
          <w:rFonts w:cs="Arial"/>
          <w:color w:val="auto"/>
          <w:szCs w:val="24"/>
        </w:rPr>
        <w:footnoteReference w:id="17"/>
      </w:r>
      <w:r w:rsidRPr="005E21D7">
        <w:rPr>
          <w:rFonts w:cs="Arial"/>
          <w:color w:val="auto"/>
          <w:szCs w:val="24"/>
        </w:rPr>
        <w:t xml:space="preserve"> runs </w:t>
      </w:r>
      <w:r w:rsidRPr="005E21D7">
        <w:rPr>
          <w:rFonts w:cs="Arial"/>
          <w:color w:val="auto"/>
          <w:szCs w:val="24"/>
        </w:rPr>
        <w:lastRenderedPageBreak/>
        <w:t xml:space="preserve">through the </w:t>
      </w:r>
      <w:proofErr w:type="gramStart"/>
      <w:r w:rsidRPr="005E21D7">
        <w:rPr>
          <w:rFonts w:cs="Arial"/>
          <w:color w:val="auto"/>
          <w:szCs w:val="24"/>
        </w:rPr>
        <w:t>District</w:t>
      </w:r>
      <w:proofErr w:type="gramEnd"/>
      <w:r w:rsidRPr="005E21D7">
        <w:rPr>
          <w:rFonts w:cs="Arial"/>
          <w:color w:val="auto"/>
          <w:szCs w:val="24"/>
        </w:rPr>
        <w:t xml:space="preserve">.  In addition, there are also </w:t>
      </w:r>
      <w:r w:rsidR="00D4225A">
        <w:rPr>
          <w:rFonts w:cs="Arial"/>
          <w:color w:val="auto"/>
          <w:szCs w:val="24"/>
        </w:rPr>
        <w:t xml:space="preserve">freight and </w:t>
      </w:r>
      <w:r w:rsidR="00825421">
        <w:rPr>
          <w:rFonts w:cs="Arial"/>
          <w:color w:val="auto"/>
          <w:szCs w:val="24"/>
        </w:rPr>
        <w:t>passenger</w:t>
      </w:r>
      <w:r w:rsidRPr="005E21D7">
        <w:rPr>
          <w:rFonts w:cs="Arial"/>
          <w:color w:val="auto"/>
          <w:szCs w:val="24"/>
        </w:rPr>
        <w:t xml:space="preserve"> rail connections that link Ashfield with the wider area.  The Robin Hood Line runs through the District from Worksop to Nottingham with stations at Hucknall, Kirkby-in-Ashfield and Sutton Parkway.  The Nottingham Express Transit (NET) runs from Hucknall into Nottingham and other parts of Greater Nottingham including Clifton and Beeston.  </w:t>
      </w:r>
      <w:r w:rsidR="0040372C" w:rsidRPr="0040372C">
        <w:rPr>
          <w:rFonts w:cs="Arial"/>
          <w:color w:val="auto"/>
          <w:szCs w:val="24"/>
        </w:rPr>
        <w:t xml:space="preserve">The Government removed the section of HS2 from Birmingham to East Midlands in October 2023 but has restated its commitment to transportation projects in the East Midlands area.  </w:t>
      </w:r>
      <w:r w:rsidR="0040372C" w:rsidRPr="0083405B">
        <w:rPr>
          <w:rFonts w:cs="Arial"/>
          <w:strike/>
          <w:color w:val="auto"/>
          <w:szCs w:val="24"/>
        </w:rPr>
        <w:t xml:space="preserve">The safeguarded route for HS2 in Ashfield remains </w:t>
      </w:r>
      <w:proofErr w:type="gramStart"/>
      <w:r w:rsidR="0040372C" w:rsidRPr="0083405B">
        <w:rPr>
          <w:rFonts w:cs="Arial"/>
          <w:strike/>
          <w:color w:val="auto"/>
          <w:szCs w:val="24"/>
        </w:rPr>
        <w:t>at this time</w:t>
      </w:r>
      <w:proofErr w:type="gramEnd"/>
      <w:r w:rsidR="0040372C" w:rsidRPr="0083405B">
        <w:rPr>
          <w:rFonts w:cs="Arial"/>
          <w:strike/>
          <w:color w:val="auto"/>
          <w:szCs w:val="24"/>
        </w:rPr>
        <w:t>.</w:t>
      </w:r>
      <w:r w:rsidR="0040372C" w:rsidRPr="0083405B">
        <w:rPr>
          <w:rFonts w:cs="Arial"/>
          <w:color w:val="auto"/>
          <w:szCs w:val="24"/>
        </w:rPr>
        <w:t xml:space="preserve">  Maid Marian Li</w:t>
      </w:r>
      <w:r w:rsidR="0040372C" w:rsidRPr="0040372C">
        <w:rPr>
          <w:rFonts w:cs="Arial"/>
          <w:color w:val="auto"/>
          <w:szCs w:val="24"/>
        </w:rPr>
        <w:t>ne and Robin Hood line and electrification of the line to Nottingham all remain priorities for wider connectivity in the region.</w:t>
      </w:r>
    </w:p>
    <w:p w14:paraId="351655AE" w14:textId="77777777" w:rsidR="005E21D7" w:rsidRPr="005E21D7" w:rsidRDefault="005E21D7" w:rsidP="005E21D7">
      <w:pPr>
        <w:keepNext w:val="0"/>
        <w:autoSpaceDE w:val="0"/>
        <w:autoSpaceDN w:val="0"/>
        <w:adjustRightInd w:val="0"/>
        <w:spacing w:before="0"/>
        <w:ind w:left="709"/>
        <w:rPr>
          <w:rFonts w:cs="Arial"/>
          <w:color w:val="538135"/>
          <w:szCs w:val="24"/>
        </w:rPr>
      </w:pPr>
    </w:p>
    <w:p w14:paraId="10E4D87C" w14:textId="77BEB045" w:rsidR="00100330" w:rsidRPr="003C7E62" w:rsidRDefault="00100330" w:rsidP="00D01157">
      <w:pPr>
        <w:keepNext w:val="0"/>
        <w:numPr>
          <w:ilvl w:val="1"/>
          <w:numId w:val="52"/>
        </w:numPr>
        <w:autoSpaceDE w:val="0"/>
        <w:autoSpaceDN w:val="0"/>
        <w:adjustRightInd w:val="0"/>
        <w:spacing w:before="0"/>
        <w:ind w:left="709" w:hanging="709"/>
        <w:rPr>
          <w:rFonts w:cs="Arial"/>
          <w:color w:val="538135"/>
          <w:szCs w:val="24"/>
        </w:rPr>
      </w:pPr>
      <w:r w:rsidRPr="003C7E62">
        <w:rPr>
          <w:rFonts w:eastAsia="Calibri" w:cs="Arial"/>
          <w:bCs/>
          <w:szCs w:val="24"/>
        </w:rPr>
        <w:t>The Rural-Urban Classification of Local Authority</w:t>
      </w:r>
      <w:r w:rsidRPr="003C7E62">
        <w:rPr>
          <w:rFonts w:eastAsia="Calibri" w:cs="Arial"/>
          <w:bCs/>
          <w:szCs w:val="24"/>
          <w:vertAlign w:val="superscript"/>
        </w:rPr>
        <w:footnoteReference w:id="18"/>
      </w:r>
      <w:r w:rsidRPr="003C7E62">
        <w:rPr>
          <w:rFonts w:eastAsia="Calibri" w:cs="Arial"/>
          <w:bCs/>
          <w:szCs w:val="24"/>
        </w:rPr>
        <w:t xml:space="preserve"> sets out Ashfield as “Urban with City and Town”.  This identifies that </w:t>
      </w:r>
      <w:proofErr w:type="gramStart"/>
      <w:r w:rsidRPr="003C7E62">
        <w:rPr>
          <w:rFonts w:eastAsia="Calibri" w:cs="Arial"/>
          <w:bCs/>
          <w:szCs w:val="24"/>
        </w:rPr>
        <w:t>the majority of</w:t>
      </w:r>
      <w:proofErr w:type="gramEnd"/>
      <w:r w:rsidRPr="003C7E62">
        <w:rPr>
          <w:rFonts w:eastAsia="Calibri" w:cs="Arial"/>
          <w:bCs/>
          <w:szCs w:val="24"/>
        </w:rPr>
        <w:t xml:space="preserve"> the resident population in the </w:t>
      </w:r>
      <w:proofErr w:type="gramStart"/>
      <w:r w:rsidRPr="003C7E62">
        <w:rPr>
          <w:rFonts w:eastAsia="Calibri" w:cs="Arial"/>
          <w:bCs/>
          <w:szCs w:val="24"/>
        </w:rPr>
        <w:t>District</w:t>
      </w:r>
      <w:proofErr w:type="gramEnd"/>
      <w:r w:rsidRPr="003C7E62">
        <w:rPr>
          <w:rFonts w:eastAsia="Calibri" w:cs="Arial"/>
          <w:bCs/>
          <w:szCs w:val="24"/>
        </w:rPr>
        <w:t xml:space="preserve"> live in the urban settlements. </w:t>
      </w:r>
    </w:p>
    <w:p w14:paraId="2A5DD1A1" w14:textId="77777777" w:rsidR="00606546" w:rsidRPr="003C7E62" w:rsidRDefault="00606546" w:rsidP="00606546">
      <w:pPr>
        <w:keepNext w:val="0"/>
        <w:autoSpaceDE w:val="0"/>
        <w:autoSpaceDN w:val="0"/>
        <w:adjustRightInd w:val="0"/>
        <w:spacing w:before="0"/>
        <w:rPr>
          <w:rFonts w:cs="Arial"/>
          <w:color w:val="538135"/>
          <w:szCs w:val="24"/>
        </w:rPr>
      </w:pPr>
    </w:p>
    <w:p w14:paraId="79306EE5" w14:textId="57D273BC" w:rsidR="00EC70AF" w:rsidRPr="00EC70AF" w:rsidRDefault="00100330" w:rsidP="00D01157">
      <w:pPr>
        <w:keepNext w:val="0"/>
        <w:numPr>
          <w:ilvl w:val="1"/>
          <w:numId w:val="52"/>
        </w:numPr>
        <w:autoSpaceDE w:val="0"/>
        <w:autoSpaceDN w:val="0"/>
        <w:adjustRightInd w:val="0"/>
        <w:spacing w:before="0"/>
        <w:ind w:left="709" w:hanging="709"/>
        <w:rPr>
          <w:rFonts w:cs="Arial"/>
          <w:szCs w:val="24"/>
        </w:rPr>
      </w:pPr>
      <w:r w:rsidRPr="003C7E62">
        <w:rPr>
          <w:rFonts w:eastAsia="Arial" w:cs="Arial"/>
          <w:szCs w:val="24"/>
        </w:rPr>
        <w:t xml:space="preserve">There are three main urban areas in the </w:t>
      </w:r>
      <w:proofErr w:type="gramStart"/>
      <w:r w:rsidRPr="003C7E62">
        <w:rPr>
          <w:rFonts w:eastAsia="Arial" w:cs="Arial"/>
          <w:szCs w:val="24"/>
        </w:rPr>
        <w:t>District</w:t>
      </w:r>
      <w:proofErr w:type="gramEnd"/>
      <w:r w:rsidRPr="003C7E62">
        <w:rPr>
          <w:rFonts w:eastAsia="Arial" w:cs="Arial"/>
          <w:szCs w:val="24"/>
        </w:rPr>
        <w:t xml:space="preserve"> where housing, jobs and services are largely concentrated (</w:t>
      </w:r>
      <w:r w:rsidR="00B71F41" w:rsidRPr="000E1591">
        <w:rPr>
          <w:rFonts w:eastAsia="Arial" w:cs="Arial"/>
          <w:szCs w:val="24"/>
        </w:rPr>
        <w:t xml:space="preserve">Figure </w:t>
      </w:r>
      <w:r w:rsidRPr="000E1591">
        <w:rPr>
          <w:rFonts w:eastAsia="Arial" w:cs="Arial"/>
          <w:szCs w:val="24"/>
        </w:rPr>
        <w:t>1).</w:t>
      </w:r>
      <w:r w:rsidRPr="003C7E62">
        <w:rPr>
          <w:rFonts w:eastAsia="Arial" w:cs="Arial"/>
          <w:szCs w:val="24"/>
        </w:rPr>
        <w:t xml:space="preserve"> Hucknall lies immediately north of Nottingham in the south of the </w:t>
      </w:r>
      <w:proofErr w:type="gramStart"/>
      <w:r w:rsidRPr="003C7E62">
        <w:rPr>
          <w:rFonts w:eastAsia="Arial" w:cs="Arial"/>
          <w:szCs w:val="24"/>
        </w:rPr>
        <w:t>District</w:t>
      </w:r>
      <w:proofErr w:type="gramEnd"/>
      <w:r w:rsidRPr="003C7E62">
        <w:rPr>
          <w:rFonts w:eastAsia="Arial" w:cs="Arial"/>
          <w:szCs w:val="24"/>
        </w:rPr>
        <w:t xml:space="preserve">, whilst Kirkby-in-Ashfield and Sutton-in-Ashfield are to the north and include the adjoining settlements of Kirkby Woodhouse, Annesley Woodhouse, </w:t>
      </w:r>
      <w:proofErr w:type="spellStart"/>
      <w:r w:rsidRPr="003C7E62">
        <w:rPr>
          <w:rFonts w:eastAsia="Arial" w:cs="Arial"/>
          <w:szCs w:val="24"/>
        </w:rPr>
        <w:t>Nuncargate</w:t>
      </w:r>
      <w:proofErr w:type="spellEnd"/>
      <w:r w:rsidRPr="003C7E62">
        <w:rPr>
          <w:rFonts w:eastAsia="Arial" w:cs="Arial"/>
          <w:szCs w:val="24"/>
        </w:rPr>
        <w:t xml:space="preserve">, Huthwaite, Stanton Hill and Skegby.  </w:t>
      </w:r>
      <w:r w:rsidR="00EC70AF">
        <w:rPr>
          <w:rFonts w:eastAsia="Arial" w:cs="Arial"/>
          <w:szCs w:val="24"/>
        </w:rPr>
        <w:t xml:space="preserve">  The three town centres have an important economic and social role.   </w:t>
      </w:r>
      <w:r w:rsidR="00EC70AF" w:rsidRPr="00EC70AF">
        <w:rPr>
          <w:rFonts w:cs="Arial"/>
          <w:szCs w:val="24"/>
        </w:rPr>
        <w:t>A</w:t>
      </w:r>
      <w:r w:rsidR="00EC70AF">
        <w:rPr>
          <w:rFonts w:cs="Arial"/>
          <w:szCs w:val="24"/>
        </w:rPr>
        <w:t xml:space="preserve">n </w:t>
      </w:r>
      <w:r w:rsidR="00EC70AF" w:rsidRPr="00EC70AF">
        <w:rPr>
          <w:rFonts w:cs="Arial"/>
          <w:szCs w:val="24"/>
        </w:rPr>
        <w:t xml:space="preserve">analysis of the town centres is set out in the Ashfield </w:t>
      </w:r>
      <w:r w:rsidR="00106B8C">
        <w:rPr>
          <w:rFonts w:cs="Arial"/>
          <w:szCs w:val="24"/>
        </w:rPr>
        <w:t xml:space="preserve">Town Centre / Local Centre </w:t>
      </w:r>
      <w:r w:rsidR="00EC70AF" w:rsidRPr="00EC70AF">
        <w:rPr>
          <w:rFonts w:cs="Arial"/>
          <w:szCs w:val="24"/>
        </w:rPr>
        <w:t>Study, 20</w:t>
      </w:r>
      <w:r w:rsidR="00AF5874">
        <w:rPr>
          <w:rFonts w:cs="Arial"/>
          <w:szCs w:val="24"/>
        </w:rPr>
        <w:t>23</w:t>
      </w:r>
      <w:r w:rsidR="00EC70AF" w:rsidRPr="00EC70AF">
        <w:rPr>
          <w:rFonts w:cs="Arial"/>
          <w:szCs w:val="24"/>
        </w:rPr>
        <w:t>.</w:t>
      </w:r>
    </w:p>
    <w:p w14:paraId="44D6B20E" w14:textId="77777777" w:rsidR="00EC70AF" w:rsidRPr="00EC70AF" w:rsidRDefault="00EC70AF" w:rsidP="00EC70AF">
      <w:pPr>
        <w:keepNext w:val="0"/>
        <w:autoSpaceDE w:val="0"/>
        <w:autoSpaceDN w:val="0"/>
        <w:adjustRightInd w:val="0"/>
        <w:spacing w:before="0"/>
        <w:rPr>
          <w:rFonts w:cs="Arial"/>
          <w:szCs w:val="24"/>
        </w:rPr>
      </w:pPr>
    </w:p>
    <w:p w14:paraId="03DAF6C4" w14:textId="0B477F6D" w:rsidR="00100330" w:rsidRPr="003C7E62" w:rsidRDefault="00100330" w:rsidP="00D01157">
      <w:pPr>
        <w:keepNext w:val="0"/>
        <w:numPr>
          <w:ilvl w:val="1"/>
          <w:numId w:val="52"/>
        </w:numPr>
        <w:autoSpaceDE w:val="0"/>
        <w:autoSpaceDN w:val="0"/>
        <w:adjustRightInd w:val="0"/>
        <w:spacing w:before="0"/>
        <w:ind w:left="709" w:hanging="709"/>
        <w:rPr>
          <w:rFonts w:cs="Arial"/>
          <w:szCs w:val="24"/>
        </w:rPr>
      </w:pPr>
      <w:r w:rsidRPr="003C7E62">
        <w:rPr>
          <w:rFonts w:eastAsia="Calibri" w:cs="Arial"/>
          <w:szCs w:val="24"/>
        </w:rPr>
        <w:t xml:space="preserve">The villages of </w:t>
      </w:r>
      <w:proofErr w:type="spellStart"/>
      <w:r w:rsidRPr="003C7E62">
        <w:rPr>
          <w:rFonts w:eastAsia="Calibri" w:cs="Arial"/>
          <w:szCs w:val="24"/>
        </w:rPr>
        <w:t>Jacksdale</w:t>
      </w:r>
      <w:proofErr w:type="spellEnd"/>
      <w:r w:rsidRPr="003C7E62">
        <w:rPr>
          <w:rFonts w:eastAsia="Calibri" w:cs="Arial"/>
          <w:szCs w:val="24"/>
        </w:rPr>
        <w:t xml:space="preserve">, </w:t>
      </w:r>
      <w:proofErr w:type="spellStart"/>
      <w:r w:rsidRPr="003C7E62">
        <w:rPr>
          <w:rFonts w:eastAsia="Calibri" w:cs="Arial"/>
          <w:szCs w:val="24"/>
        </w:rPr>
        <w:t>Selston</w:t>
      </w:r>
      <w:proofErr w:type="spellEnd"/>
      <w:r w:rsidRPr="003C7E62">
        <w:rPr>
          <w:rFonts w:eastAsia="Calibri" w:cs="Arial"/>
          <w:szCs w:val="24"/>
        </w:rPr>
        <w:t xml:space="preserve"> and Underwood are more rural in nature and whilst they also contain significant residential areas, they lack the concentration of employment opportunities and services found in the three towns. The remainder of the </w:t>
      </w:r>
      <w:proofErr w:type="gramStart"/>
      <w:r w:rsidRPr="003C7E62">
        <w:rPr>
          <w:rFonts w:eastAsia="Calibri" w:cs="Arial"/>
          <w:szCs w:val="24"/>
        </w:rPr>
        <w:t>District</w:t>
      </w:r>
      <w:proofErr w:type="gramEnd"/>
      <w:r w:rsidRPr="003C7E62">
        <w:rPr>
          <w:rFonts w:eastAsia="Calibri" w:cs="Arial"/>
          <w:szCs w:val="24"/>
        </w:rPr>
        <w:t xml:space="preserve"> is primarily countryside but contains </w:t>
      </w:r>
      <w:proofErr w:type="gramStart"/>
      <w:r w:rsidRPr="003C7E62">
        <w:rPr>
          <w:rFonts w:eastAsia="Calibri" w:cs="Arial"/>
          <w:szCs w:val="24"/>
        </w:rPr>
        <w:t>a number of</w:t>
      </w:r>
      <w:proofErr w:type="gramEnd"/>
      <w:r w:rsidRPr="003C7E62">
        <w:rPr>
          <w:rFonts w:eastAsia="Calibri" w:cs="Arial"/>
          <w:szCs w:val="24"/>
        </w:rPr>
        <w:t xml:space="preserve"> smaller settlements including </w:t>
      </w:r>
      <w:proofErr w:type="spellStart"/>
      <w:r w:rsidRPr="003C7E62">
        <w:rPr>
          <w:rFonts w:eastAsia="Calibri" w:cs="Arial"/>
          <w:szCs w:val="24"/>
        </w:rPr>
        <w:t>Bagthorpe</w:t>
      </w:r>
      <w:proofErr w:type="spellEnd"/>
      <w:r w:rsidRPr="003C7E62">
        <w:rPr>
          <w:rFonts w:eastAsia="Calibri" w:cs="Arial"/>
          <w:szCs w:val="24"/>
        </w:rPr>
        <w:t xml:space="preserve">, Teversal, </w:t>
      </w:r>
      <w:proofErr w:type="spellStart"/>
      <w:r w:rsidRPr="003C7E62">
        <w:rPr>
          <w:rFonts w:eastAsia="Calibri" w:cs="Arial"/>
          <w:szCs w:val="24"/>
        </w:rPr>
        <w:t>Fackley</w:t>
      </w:r>
      <w:proofErr w:type="spellEnd"/>
      <w:r w:rsidRPr="003C7E62">
        <w:rPr>
          <w:rFonts w:eastAsia="Calibri" w:cs="Arial"/>
          <w:szCs w:val="24"/>
        </w:rPr>
        <w:t xml:space="preserve"> and New Annesley together with smaller hamlets.</w:t>
      </w:r>
    </w:p>
    <w:p w14:paraId="3BF2F530" w14:textId="77777777" w:rsidR="00606546" w:rsidRPr="003C7E62" w:rsidRDefault="00606546" w:rsidP="00606546">
      <w:pPr>
        <w:keepNext w:val="0"/>
        <w:autoSpaceDE w:val="0"/>
        <w:autoSpaceDN w:val="0"/>
        <w:adjustRightInd w:val="0"/>
        <w:spacing w:before="0"/>
        <w:rPr>
          <w:rFonts w:cs="Arial"/>
          <w:szCs w:val="24"/>
          <w:highlight w:val="yellow"/>
        </w:rPr>
      </w:pPr>
      <w:bookmarkStart w:id="14" w:name="_Hlk75954025"/>
    </w:p>
    <w:bookmarkEnd w:id="14"/>
    <w:p w14:paraId="701A9B16" w14:textId="6B6D453A" w:rsidR="00100330" w:rsidRPr="00CB6138" w:rsidRDefault="00100330" w:rsidP="00D01157">
      <w:pPr>
        <w:keepNext w:val="0"/>
        <w:numPr>
          <w:ilvl w:val="1"/>
          <w:numId w:val="52"/>
        </w:numPr>
        <w:autoSpaceDE w:val="0"/>
        <w:autoSpaceDN w:val="0"/>
        <w:adjustRightInd w:val="0"/>
        <w:spacing w:before="0"/>
        <w:ind w:left="709" w:hanging="709"/>
        <w:rPr>
          <w:rFonts w:cs="Arial"/>
          <w:color w:val="0070C0"/>
          <w:szCs w:val="24"/>
        </w:rPr>
      </w:pPr>
      <w:r w:rsidRPr="003C7E62">
        <w:rPr>
          <w:rFonts w:eastAsia="Calibri" w:cs="Arial"/>
          <w:szCs w:val="24"/>
        </w:rPr>
        <w:t xml:space="preserve">Across </w:t>
      </w:r>
      <w:r w:rsidRPr="003C7E62">
        <w:rPr>
          <w:rFonts w:eastAsia="Arial" w:cs="Arial"/>
          <w:szCs w:val="24"/>
        </w:rPr>
        <w:t xml:space="preserve">Ashfield lie a </w:t>
      </w:r>
      <w:r w:rsidRPr="00B36CFE">
        <w:rPr>
          <w:rFonts w:eastAsia="Arial" w:cs="Arial"/>
          <w:strike/>
          <w:szCs w:val="24"/>
        </w:rPr>
        <w:t>number</w:t>
      </w:r>
      <w:r w:rsidRPr="003C7E62">
        <w:rPr>
          <w:rFonts w:eastAsia="Arial" w:cs="Arial"/>
          <w:szCs w:val="24"/>
        </w:rPr>
        <w:t xml:space="preserve"> </w:t>
      </w:r>
      <w:r w:rsidR="00B36CFE" w:rsidRPr="00CC2D82">
        <w:rPr>
          <w:rFonts w:eastAsia="Arial" w:cs="Arial"/>
          <w:color w:val="0070C0"/>
          <w:szCs w:val="24"/>
        </w:rPr>
        <w:t>wealth</w:t>
      </w:r>
      <w:r w:rsidR="00B36CFE" w:rsidRPr="00CC2D82">
        <w:rPr>
          <w:rFonts w:eastAsia="Arial" w:cs="Arial"/>
          <w:szCs w:val="24"/>
        </w:rPr>
        <w:t xml:space="preserve"> </w:t>
      </w:r>
      <w:r w:rsidRPr="00CC2D82">
        <w:rPr>
          <w:rFonts w:eastAsia="Arial" w:cs="Arial"/>
          <w:szCs w:val="24"/>
        </w:rPr>
        <w:t xml:space="preserve">of important </w:t>
      </w:r>
      <w:r w:rsidRPr="00CC2D82">
        <w:rPr>
          <w:rFonts w:eastAsia="Arial" w:cs="Arial"/>
          <w:strike/>
          <w:szCs w:val="24"/>
        </w:rPr>
        <w:t>historic</w:t>
      </w:r>
      <w:r w:rsidRPr="00CC2D82">
        <w:rPr>
          <w:rFonts w:eastAsia="Arial" w:cs="Arial"/>
          <w:szCs w:val="24"/>
        </w:rPr>
        <w:t xml:space="preserve"> </w:t>
      </w:r>
      <w:r w:rsidR="00B36CFE" w:rsidRPr="00CC2D82">
        <w:rPr>
          <w:rFonts w:eastAsia="Arial" w:cs="Arial"/>
          <w:color w:val="0070C0"/>
          <w:szCs w:val="24"/>
        </w:rPr>
        <w:t>heritage assets</w:t>
      </w:r>
      <w:r w:rsidR="00B36CFE">
        <w:rPr>
          <w:rFonts w:eastAsia="Arial" w:cs="Arial"/>
          <w:color w:val="00B0F0"/>
          <w:szCs w:val="24"/>
        </w:rPr>
        <w:t xml:space="preserve"> </w:t>
      </w:r>
      <w:r w:rsidRPr="003C7E62">
        <w:rPr>
          <w:rFonts w:eastAsia="Arial" w:cs="Arial"/>
          <w:szCs w:val="24"/>
        </w:rPr>
        <w:t xml:space="preserve">and environmental assets which </w:t>
      </w:r>
      <w:r w:rsidRPr="003C7E62">
        <w:rPr>
          <w:rFonts w:eastAsia="Arial" w:cs="Arial"/>
          <w:color w:val="auto"/>
          <w:szCs w:val="24"/>
        </w:rPr>
        <w:t xml:space="preserve">play an important role in characterising the rural and urban environments. These include </w:t>
      </w:r>
      <w:proofErr w:type="gramStart"/>
      <w:r w:rsidRPr="003C7E62">
        <w:rPr>
          <w:rFonts w:eastAsia="Arial" w:cs="Arial"/>
          <w:color w:val="auto"/>
          <w:szCs w:val="24"/>
        </w:rPr>
        <w:t>a number of</w:t>
      </w:r>
      <w:proofErr w:type="gramEnd"/>
      <w:r w:rsidRPr="003C7E62">
        <w:rPr>
          <w:rFonts w:eastAsia="Arial" w:cs="Arial"/>
          <w:color w:val="auto"/>
          <w:szCs w:val="24"/>
        </w:rPr>
        <w:t xml:space="preserve"> listed and locally listed buildings, scheduled monuments, conservation areas, registered and local historic parks and gardens.  Both Hardwick Hall and the Old Hall are Grade I listed, which is the highest designation.  Both are located just outside the </w:t>
      </w:r>
      <w:proofErr w:type="gramStart"/>
      <w:r w:rsidRPr="003C7E62">
        <w:rPr>
          <w:rFonts w:eastAsia="Arial" w:cs="Arial"/>
          <w:color w:val="auto"/>
          <w:szCs w:val="24"/>
        </w:rPr>
        <w:t>District</w:t>
      </w:r>
      <w:proofErr w:type="gramEnd"/>
      <w:r w:rsidRPr="003C7E62">
        <w:rPr>
          <w:rFonts w:eastAsia="Arial" w:cs="Arial"/>
          <w:color w:val="auto"/>
          <w:szCs w:val="24"/>
        </w:rPr>
        <w:t xml:space="preserve"> boundary but </w:t>
      </w:r>
      <w:r w:rsidR="00574048" w:rsidRPr="003C7E62">
        <w:rPr>
          <w:rFonts w:eastAsia="Arial" w:cs="Arial"/>
          <w:color w:val="auto"/>
          <w:szCs w:val="24"/>
        </w:rPr>
        <w:t>any development in th</w:t>
      </w:r>
      <w:r w:rsidRPr="003C7E62">
        <w:rPr>
          <w:rFonts w:eastAsia="Arial" w:cs="Arial"/>
          <w:color w:val="auto"/>
          <w:szCs w:val="24"/>
        </w:rPr>
        <w:t xml:space="preserve">e northern part of the </w:t>
      </w:r>
      <w:proofErr w:type="gramStart"/>
      <w:r w:rsidRPr="003C7E62">
        <w:rPr>
          <w:rFonts w:eastAsia="Arial" w:cs="Arial"/>
          <w:color w:val="auto"/>
          <w:szCs w:val="24"/>
        </w:rPr>
        <w:t>District</w:t>
      </w:r>
      <w:proofErr w:type="gramEnd"/>
      <w:r w:rsidRPr="003C7E62">
        <w:rPr>
          <w:rFonts w:eastAsia="Arial" w:cs="Arial"/>
          <w:color w:val="auto"/>
          <w:szCs w:val="24"/>
        </w:rPr>
        <w:t xml:space="preserve"> will impact on the setting of these exceptional historic assets.  Hardwick Hall’s Park and Gardens extend into Ashfield and are a Grade 1 Registered Park</w:t>
      </w:r>
      <w:r w:rsidR="00574048" w:rsidRPr="003C7E62">
        <w:rPr>
          <w:rFonts w:eastAsia="Arial" w:cs="Arial"/>
          <w:color w:val="auto"/>
          <w:szCs w:val="24"/>
        </w:rPr>
        <w:t xml:space="preserve"> and</w:t>
      </w:r>
      <w:r w:rsidRPr="003C7E62">
        <w:rPr>
          <w:rFonts w:eastAsia="Arial" w:cs="Arial"/>
          <w:color w:val="auto"/>
          <w:szCs w:val="24"/>
        </w:rPr>
        <w:t xml:space="preserve"> Garden.  </w:t>
      </w:r>
      <w:r w:rsidR="00DB66DD" w:rsidRPr="003943F3">
        <w:rPr>
          <w:rFonts w:eastAsia="Arial" w:cs="Arial"/>
          <w:szCs w:val="24"/>
        </w:rPr>
        <w:t xml:space="preserve">St Katherine's Church in Teversal is also Grade I listed.  </w:t>
      </w:r>
      <w:r w:rsidRPr="003943F3">
        <w:rPr>
          <w:rFonts w:eastAsia="Arial" w:cs="Arial"/>
          <w:szCs w:val="24"/>
        </w:rPr>
        <w:t>Annesley Hall, near Junc</w:t>
      </w:r>
      <w:r w:rsidRPr="003C7E62">
        <w:rPr>
          <w:rFonts w:eastAsia="Arial" w:cs="Arial"/>
          <w:color w:val="auto"/>
          <w:szCs w:val="24"/>
        </w:rPr>
        <w:t>tion 27 of the M1, is a Grade II listed building.  Its associated Park and Gardens are also listed under the Register of Parks and Gardens of Special Historic Interest in England (Grade II*).</w:t>
      </w:r>
      <w:r w:rsidRPr="003C7E62">
        <w:rPr>
          <w:rFonts w:cs="Arial"/>
          <w:color w:val="auto"/>
          <w:szCs w:val="24"/>
        </w:rPr>
        <w:t xml:space="preserve">  </w:t>
      </w:r>
      <w:proofErr w:type="spellStart"/>
      <w:r w:rsidRPr="003C7E62">
        <w:rPr>
          <w:rFonts w:eastAsia="Arial" w:cs="Arial"/>
          <w:color w:val="auto"/>
          <w:szCs w:val="24"/>
        </w:rPr>
        <w:t>Felley</w:t>
      </w:r>
      <w:proofErr w:type="spellEnd"/>
      <w:r w:rsidRPr="003C7E62">
        <w:rPr>
          <w:rFonts w:eastAsia="Arial" w:cs="Arial"/>
          <w:color w:val="auto"/>
          <w:szCs w:val="24"/>
        </w:rPr>
        <w:t xml:space="preserve"> Priory, an adjoining garden wall and a complex of stables/other buildings are Grade II listed.</w:t>
      </w:r>
    </w:p>
    <w:p w14:paraId="59D68E01" w14:textId="77777777" w:rsidR="00CB6138" w:rsidRPr="003C7E62" w:rsidRDefault="00CB6138" w:rsidP="00CB6138">
      <w:pPr>
        <w:keepNext w:val="0"/>
        <w:autoSpaceDE w:val="0"/>
        <w:autoSpaceDN w:val="0"/>
        <w:adjustRightInd w:val="0"/>
        <w:spacing w:before="0"/>
        <w:rPr>
          <w:rFonts w:cs="Arial"/>
          <w:color w:val="0070C0"/>
          <w:szCs w:val="24"/>
        </w:rPr>
      </w:pPr>
    </w:p>
    <w:p w14:paraId="0E39AD20" w14:textId="246E9811" w:rsidR="00726C44" w:rsidRPr="003943F3" w:rsidRDefault="00100330" w:rsidP="00726C44">
      <w:pPr>
        <w:keepNext w:val="0"/>
        <w:numPr>
          <w:ilvl w:val="1"/>
          <w:numId w:val="52"/>
        </w:numPr>
        <w:autoSpaceDE w:val="0"/>
        <w:autoSpaceDN w:val="0"/>
        <w:adjustRightInd w:val="0"/>
        <w:spacing w:before="0"/>
        <w:ind w:left="709" w:hanging="709"/>
        <w:rPr>
          <w:rFonts w:cs="Arial"/>
          <w:szCs w:val="24"/>
        </w:rPr>
      </w:pPr>
      <w:r w:rsidRPr="003C7E62">
        <w:rPr>
          <w:rFonts w:cs="Arial"/>
          <w:szCs w:val="24"/>
        </w:rPr>
        <w:t xml:space="preserve">In terms of ecology there are </w:t>
      </w:r>
      <w:bookmarkStart w:id="15" w:name="_Hlk140755905"/>
      <w:r w:rsidRPr="003C7E62">
        <w:rPr>
          <w:rFonts w:cs="Arial"/>
          <w:szCs w:val="24"/>
        </w:rPr>
        <w:t xml:space="preserve">a significant number of nationally important designations including </w:t>
      </w:r>
      <w:r w:rsidRPr="003C7E62">
        <w:rPr>
          <w:rFonts w:eastAsia="Arial" w:cs="Arial"/>
          <w:szCs w:val="24"/>
        </w:rPr>
        <w:t>ancient woodlands, and S</w:t>
      </w:r>
      <w:r w:rsidR="00574048" w:rsidRPr="003C7E62">
        <w:rPr>
          <w:rFonts w:eastAsia="Arial" w:cs="Arial"/>
          <w:szCs w:val="24"/>
        </w:rPr>
        <w:t xml:space="preserve">ites of </w:t>
      </w:r>
      <w:r w:rsidRPr="003C7E62">
        <w:rPr>
          <w:rFonts w:eastAsia="Arial" w:cs="Arial"/>
          <w:szCs w:val="24"/>
        </w:rPr>
        <w:t>S</w:t>
      </w:r>
      <w:r w:rsidR="00574048" w:rsidRPr="003C7E62">
        <w:rPr>
          <w:rFonts w:eastAsia="Arial" w:cs="Arial"/>
          <w:szCs w:val="24"/>
        </w:rPr>
        <w:t xml:space="preserve">pecial </w:t>
      </w:r>
      <w:r w:rsidRPr="003C7E62">
        <w:rPr>
          <w:rFonts w:eastAsia="Arial" w:cs="Arial"/>
          <w:szCs w:val="24"/>
        </w:rPr>
        <w:t>S</w:t>
      </w:r>
      <w:r w:rsidR="00574048" w:rsidRPr="003C7E62">
        <w:rPr>
          <w:rFonts w:eastAsia="Arial" w:cs="Arial"/>
          <w:szCs w:val="24"/>
        </w:rPr>
        <w:t xml:space="preserve">cientific </w:t>
      </w:r>
      <w:r w:rsidRPr="003C7E62">
        <w:rPr>
          <w:rFonts w:eastAsia="Arial" w:cs="Arial"/>
          <w:szCs w:val="24"/>
        </w:rPr>
        <w:t>I</w:t>
      </w:r>
      <w:r w:rsidR="00574048" w:rsidRPr="003C7E62">
        <w:rPr>
          <w:rFonts w:eastAsia="Arial" w:cs="Arial"/>
          <w:szCs w:val="24"/>
        </w:rPr>
        <w:t>nterest (SSSI</w:t>
      </w:r>
      <w:r w:rsidR="00574048" w:rsidRPr="003C7E62">
        <w:rPr>
          <w:rFonts w:eastAsia="Arial" w:cs="Arial"/>
          <w:color w:val="auto"/>
          <w:szCs w:val="24"/>
        </w:rPr>
        <w:t>)</w:t>
      </w:r>
      <w:r w:rsidRPr="003C7E62">
        <w:rPr>
          <w:rFonts w:eastAsia="Arial" w:cs="Arial"/>
          <w:color w:val="auto"/>
          <w:szCs w:val="24"/>
        </w:rPr>
        <w:t>.   P</w:t>
      </w:r>
      <w:r w:rsidRPr="003C7E62">
        <w:rPr>
          <w:rFonts w:cs="Arial"/>
          <w:color w:val="auto"/>
          <w:szCs w:val="24"/>
        </w:rPr>
        <w:t xml:space="preserve">arts of Sherwood Forest have been identified as being </w:t>
      </w:r>
      <w:r w:rsidRPr="003943F3">
        <w:rPr>
          <w:rFonts w:cs="Arial"/>
          <w:szCs w:val="24"/>
        </w:rPr>
        <w:t xml:space="preserve">a </w:t>
      </w:r>
      <w:r w:rsidR="00726C44" w:rsidRPr="003943F3">
        <w:rPr>
          <w:rFonts w:cs="Arial"/>
          <w:szCs w:val="24"/>
        </w:rPr>
        <w:t xml:space="preserve">possible </w:t>
      </w:r>
      <w:r w:rsidRPr="003943F3">
        <w:rPr>
          <w:rFonts w:cs="Arial"/>
          <w:szCs w:val="24"/>
        </w:rPr>
        <w:t>potential Special Protection Area (</w:t>
      </w:r>
      <w:proofErr w:type="spellStart"/>
      <w:r w:rsidR="00726C44" w:rsidRPr="003943F3">
        <w:rPr>
          <w:rFonts w:cs="Arial"/>
          <w:szCs w:val="24"/>
        </w:rPr>
        <w:t>pp</w:t>
      </w:r>
      <w:r w:rsidRPr="003943F3">
        <w:rPr>
          <w:rFonts w:cs="Arial"/>
          <w:szCs w:val="24"/>
        </w:rPr>
        <w:t>SPA</w:t>
      </w:r>
      <w:proofErr w:type="spellEnd"/>
      <w:r w:rsidRPr="003943F3">
        <w:rPr>
          <w:rFonts w:cs="Arial"/>
          <w:szCs w:val="24"/>
        </w:rPr>
        <w:t>) for its breeding bird (nightjar and woodlark) interest</w:t>
      </w:r>
      <w:r w:rsidRPr="003943F3">
        <w:rPr>
          <w:rFonts w:cs="Arial"/>
          <w:szCs w:val="24"/>
          <w:vertAlign w:val="superscript"/>
        </w:rPr>
        <w:footnoteReference w:id="19"/>
      </w:r>
      <w:r w:rsidRPr="003943F3">
        <w:rPr>
          <w:rFonts w:cs="Arial"/>
          <w:szCs w:val="24"/>
        </w:rPr>
        <w:t xml:space="preserve">.  </w:t>
      </w:r>
      <w:proofErr w:type="gramStart"/>
      <w:r w:rsidRPr="003943F3">
        <w:rPr>
          <w:rFonts w:cs="Arial"/>
          <w:szCs w:val="24"/>
        </w:rPr>
        <w:t xml:space="preserve">A </w:t>
      </w:r>
      <w:r w:rsidR="00574048" w:rsidRPr="003943F3">
        <w:rPr>
          <w:rFonts w:cs="Arial"/>
          <w:szCs w:val="24"/>
        </w:rPr>
        <w:t>large</w:t>
      </w:r>
      <w:r w:rsidRPr="003943F3">
        <w:rPr>
          <w:rFonts w:cs="Arial"/>
          <w:szCs w:val="24"/>
        </w:rPr>
        <w:t xml:space="preserve"> number of</w:t>
      </w:r>
      <w:proofErr w:type="gramEnd"/>
      <w:r w:rsidRPr="003943F3">
        <w:rPr>
          <w:rFonts w:cs="Arial"/>
          <w:szCs w:val="24"/>
        </w:rPr>
        <w:t xml:space="preserve"> sites </w:t>
      </w:r>
      <w:r w:rsidR="00574048" w:rsidRPr="003943F3">
        <w:rPr>
          <w:rFonts w:cs="Arial"/>
          <w:szCs w:val="24"/>
        </w:rPr>
        <w:t xml:space="preserve">have also </w:t>
      </w:r>
      <w:r w:rsidRPr="003943F3">
        <w:rPr>
          <w:rFonts w:cs="Arial"/>
          <w:szCs w:val="24"/>
        </w:rPr>
        <w:t xml:space="preserve">been identified as Local Wildlife Sites. </w:t>
      </w:r>
    </w:p>
    <w:p w14:paraId="5F4D2E5A" w14:textId="77777777" w:rsidR="00726C44" w:rsidRPr="003943F3" w:rsidRDefault="00726C44" w:rsidP="00726C44">
      <w:pPr>
        <w:keepNext w:val="0"/>
        <w:autoSpaceDE w:val="0"/>
        <w:autoSpaceDN w:val="0"/>
        <w:adjustRightInd w:val="0"/>
        <w:spacing w:before="0"/>
        <w:ind w:left="709"/>
        <w:rPr>
          <w:rFonts w:cs="Arial"/>
          <w:szCs w:val="24"/>
        </w:rPr>
      </w:pPr>
    </w:p>
    <w:p w14:paraId="1C763FCA" w14:textId="6FFE69D2" w:rsidR="00726C44" w:rsidRPr="003943F3" w:rsidRDefault="00726C44" w:rsidP="00A44712">
      <w:pPr>
        <w:keepNext w:val="0"/>
        <w:numPr>
          <w:ilvl w:val="1"/>
          <w:numId w:val="52"/>
        </w:numPr>
        <w:autoSpaceDE w:val="0"/>
        <w:autoSpaceDN w:val="0"/>
        <w:adjustRightInd w:val="0"/>
        <w:spacing w:before="0"/>
        <w:ind w:left="709" w:hanging="709"/>
        <w:rPr>
          <w:rFonts w:cs="Arial"/>
          <w:szCs w:val="24"/>
        </w:rPr>
      </w:pPr>
      <w:r w:rsidRPr="003943F3">
        <w:t xml:space="preserve">The whole of </w:t>
      </w:r>
      <w:r w:rsidR="00B23B4B" w:rsidRPr="003943F3">
        <w:t>Ashfield</w:t>
      </w:r>
      <w:r w:rsidRPr="003943F3">
        <w:t xml:space="preserve"> </w:t>
      </w:r>
      <w:r w:rsidR="00B23B4B" w:rsidRPr="003943F3">
        <w:t>D</w:t>
      </w:r>
      <w:r w:rsidRPr="003943F3">
        <w:t>istrict lies within the Greenwood Community Forest</w:t>
      </w:r>
      <w:r w:rsidR="00B23B4B" w:rsidRPr="003943F3">
        <w:t xml:space="preserve"> and is o</w:t>
      </w:r>
      <w:r w:rsidRPr="003943F3">
        <w:t xml:space="preserve">ne of 13 Community Forests across </w:t>
      </w:r>
      <w:r w:rsidR="00B23B4B" w:rsidRPr="003943F3">
        <w:t xml:space="preserve">England.  The </w:t>
      </w:r>
      <w:r w:rsidRPr="003943F3">
        <w:t xml:space="preserve">Greenwood Community Forest enables Nottinghamshire communities to create, improve and enjoy woodlands and other high quality accessible spaces in a sustainable way that benefits the environment, </w:t>
      </w:r>
      <w:r w:rsidR="00B23B4B" w:rsidRPr="003943F3">
        <w:t>l</w:t>
      </w:r>
      <w:r w:rsidRPr="003943F3">
        <w:t>andscape and the local economy.</w:t>
      </w:r>
      <w:r w:rsidR="00B23B4B" w:rsidRPr="003943F3">
        <w:t xml:space="preserve">  </w:t>
      </w:r>
      <w:r w:rsidRPr="003943F3">
        <w:t xml:space="preserve">The District Council is actively involved, along with other bodies, in </w:t>
      </w:r>
      <w:r w:rsidR="00B23B4B" w:rsidRPr="003943F3">
        <w:t>the Greenwood Partnership</w:t>
      </w:r>
      <w:r w:rsidRPr="003943F3">
        <w:t xml:space="preserve">. </w:t>
      </w:r>
    </w:p>
    <w:bookmarkEnd w:id="15"/>
    <w:p w14:paraId="426B4562" w14:textId="77777777" w:rsidR="00BB60DE" w:rsidRPr="003943F3" w:rsidRDefault="00BB60DE" w:rsidP="00BB60DE">
      <w:pPr>
        <w:keepNext w:val="0"/>
        <w:autoSpaceDE w:val="0"/>
        <w:autoSpaceDN w:val="0"/>
        <w:adjustRightInd w:val="0"/>
        <w:spacing w:before="0"/>
        <w:rPr>
          <w:rFonts w:cs="Arial"/>
          <w:szCs w:val="24"/>
        </w:rPr>
      </w:pPr>
    </w:p>
    <w:p w14:paraId="20E122AC" w14:textId="6DB714D3" w:rsidR="000E1591" w:rsidRPr="000B4F46" w:rsidRDefault="00100330" w:rsidP="000E1591">
      <w:pPr>
        <w:keepNext w:val="0"/>
        <w:numPr>
          <w:ilvl w:val="1"/>
          <w:numId w:val="52"/>
        </w:numPr>
        <w:autoSpaceDE w:val="0"/>
        <w:autoSpaceDN w:val="0"/>
        <w:adjustRightInd w:val="0"/>
        <w:spacing w:before="0"/>
        <w:ind w:left="709" w:hanging="709"/>
        <w:rPr>
          <w:rFonts w:cs="Arial"/>
          <w:color w:val="auto"/>
          <w:szCs w:val="24"/>
        </w:rPr>
      </w:pPr>
      <w:r w:rsidRPr="003C7E62">
        <w:rPr>
          <w:rFonts w:eastAsia="Calibri" w:cs="Arial"/>
          <w:color w:val="auto"/>
          <w:szCs w:val="24"/>
        </w:rPr>
        <w:t xml:space="preserve">A substantial part of the </w:t>
      </w:r>
      <w:proofErr w:type="gramStart"/>
      <w:r w:rsidRPr="003C7E62">
        <w:rPr>
          <w:rFonts w:eastAsia="Calibri" w:cs="Arial"/>
          <w:color w:val="auto"/>
          <w:szCs w:val="24"/>
        </w:rPr>
        <w:t>District</w:t>
      </w:r>
      <w:proofErr w:type="gramEnd"/>
      <w:r w:rsidRPr="003C7E62">
        <w:rPr>
          <w:rFonts w:eastAsia="Calibri" w:cs="Arial"/>
          <w:color w:val="auto"/>
          <w:szCs w:val="24"/>
        </w:rPr>
        <w:t xml:space="preserve"> is also designated as part of the Nottingham and Derby Green Belt (</w:t>
      </w:r>
      <w:r w:rsidRPr="000E1591">
        <w:rPr>
          <w:rFonts w:eastAsia="Calibri" w:cs="Arial"/>
          <w:color w:val="auto"/>
          <w:szCs w:val="24"/>
        </w:rPr>
        <w:t>Figure 2)</w:t>
      </w:r>
      <w:r w:rsidRPr="003C7E62">
        <w:rPr>
          <w:rFonts w:eastAsia="Calibri" w:cs="Arial"/>
          <w:color w:val="auto"/>
          <w:szCs w:val="24"/>
        </w:rPr>
        <w:t xml:space="preserve"> and equates to approximately </w:t>
      </w:r>
      <w:r w:rsidRPr="003C7E62">
        <w:rPr>
          <w:rFonts w:eastAsia="Arial" w:cs="Arial"/>
          <w:color w:val="auto"/>
          <w:szCs w:val="24"/>
        </w:rPr>
        <w:t xml:space="preserve">41% of Ashfield.  This includes land around Hucknall, land to the south and east of Kirkby-in-Ashfield and land surrounding the rural villages of </w:t>
      </w:r>
      <w:proofErr w:type="spellStart"/>
      <w:r w:rsidRPr="003C7E62">
        <w:rPr>
          <w:rFonts w:eastAsia="Arial" w:cs="Arial"/>
          <w:color w:val="auto"/>
          <w:szCs w:val="24"/>
        </w:rPr>
        <w:t>Selston</w:t>
      </w:r>
      <w:proofErr w:type="spellEnd"/>
      <w:r w:rsidRPr="003C7E62">
        <w:rPr>
          <w:rFonts w:eastAsia="Arial" w:cs="Arial"/>
          <w:color w:val="auto"/>
          <w:szCs w:val="24"/>
        </w:rPr>
        <w:t xml:space="preserve">, </w:t>
      </w:r>
      <w:proofErr w:type="spellStart"/>
      <w:r w:rsidRPr="003C7E62">
        <w:rPr>
          <w:rFonts w:eastAsia="Arial" w:cs="Arial"/>
          <w:color w:val="auto"/>
          <w:szCs w:val="24"/>
        </w:rPr>
        <w:t>Jacksdale</w:t>
      </w:r>
      <w:proofErr w:type="spellEnd"/>
      <w:r w:rsidRPr="003C7E62">
        <w:rPr>
          <w:rFonts w:eastAsia="Arial" w:cs="Arial"/>
          <w:color w:val="auto"/>
          <w:szCs w:val="24"/>
        </w:rPr>
        <w:t>, Underwood and part of Brinsley.  The village</w:t>
      </w:r>
      <w:r w:rsidR="000B4F46">
        <w:rPr>
          <w:rFonts w:eastAsia="Arial" w:cs="Arial"/>
          <w:color w:val="auto"/>
          <w:szCs w:val="24"/>
        </w:rPr>
        <w:t xml:space="preserve"> o</w:t>
      </w:r>
      <w:r w:rsidRPr="003C7E62">
        <w:rPr>
          <w:rFonts w:eastAsia="Arial" w:cs="Arial"/>
          <w:color w:val="auto"/>
          <w:szCs w:val="24"/>
        </w:rPr>
        <w:t xml:space="preserve">f </w:t>
      </w:r>
      <w:proofErr w:type="spellStart"/>
      <w:r w:rsidRPr="003C7E62">
        <w:rPr>
          <w:rFonts w:eastAsia="Arial" w:cs="Arial"/>
          <w:color w:val="auto"/>
          <w:szCs w:val="24"/>
        </w:rPr>
        <w:t>Bagthorpe</w:t>
      </w:r>
      <w:proofErr w:type="spellEnd"/>
      <w:r w:rsidRPr="003C7E62">
        <w:rPr>
          <w:rFonts w:eastAsia="Arial" w:cs="Arial"/>
          <w:color w:val="auto"/>
          <w:szCs w:val="24"/>
        </w:rPr>
        <w:t xml:space="preserve"> is ‘wash</w:t>
      </w:r>
      <w:r w:rsidR="005A14BD">
        <w:rPr>
          <w:rFonts w:eastAsia="Arial" w:cs="Arial"/>
          <w:color w:val="auto"/>
          <w:szCs w:val="24"/>
        </w:rPr>
        <w:t>ed</w:t>
      </w:r>
      <w:r w:rsidRPr="003C7E62">
        <w:rPr>
          <w:rFonts w:eastAsia="Arial" w:cs="Arial"/>
          <w:color w:val="auto"/>
          <w:szCs w:val="24"/>
        </w:rPr>
        <w:t xml:space="preserve"> over’ by the Green Belt.  </w:t>
      </w:r>
      <w:bookmarkStart w:id="16" w:name="_Hlk79162589"/>
    </w:p>
    <w:bookmarkEnd w:id="16"/>
    <w:p w14:paraId="695A778F" w14:textId="534A8744" w:rsidR="009F53F8" w:rsidRDefault="000E1591" w:rsidP="009F53F8">
      <w:pPr>
        <w:pStyle w:val="ListParagraph"/>
        <w:rPr>
          <w:rFonts w:cs="Arial"/>
          <w:szCs w:val="24"/>
        </w:rPr>
      </w:pPr>
      <w:r>
        <w:rPr>
          <w:rFonts w:eastAsia="Arial"/>
          <w:noProof/>
        </w:rPr>
        <w:lastRenderedPageBreak/>
        <w:drawing>
          <wp:inline distT="0" distB="0" distL="0" distR="0" wp14:anchorId="6D340B0D" wp14:editId="1F048602">
            <wp:extent cx="5353050" cy="6895343"/>
            <wp:effectExtent l="0" t="0" r="0" b="1270"/>
            <wp:docPr id="15" name="Picture 15" descr="Figure 2: Green Belt Ashfield &amp; surrounding districts&#10;Source:  Ashfield D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2: Green Belt Ashfield &amp; surrounding districts&#10;Source:  Ashfield DC&#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0952" cy="6931284"/>
                    </a:xfrm>
                    <a:prstGeom prst="rect">
                      <a:avLst/>
                    </a:prstGeom>
                    <a:noFill/>
                  </pic:spPr>
                </pic:pic>
              </a:graphicData>
            </a:graphic>
          </wp:inline>
        </w:drawing>
      </w:r>
    </w:p>
    <w:p w14:paraId="390270C8" w14:textId="3993B80E" w:rsidR="00F55758" w:rsidRPr="002B49AE" w:rsidRDefault="00100330" w:rsidP="000447CA">
      <w:pPr>
        <w:pStyle w:val="Heading3"/>
        <w:rPr>
          <w:rFonts w:eastAsia="Arial"/>
        </w:rPr>
      </w:pPr>
      <w:r w:rsidRPr="002B49AE">
        <w:t xml:space="preserve">Figure 2: </w:t>
      </w:r>
      <w:r w:rsidR="00825421" w:rsidRPr="002B49AE">
        <w:t xml:space="preserve">Nottingham &amp; Derby </w:t>
      </w:r>
      <w:r w:rsidRPr="002B49AE">
        <w:t xml:space="preserve">Green Belt </w:t>
      </w:r>
      <w:r w:rsidR="00825421" w:rsidRPr="002B49AE">
        <w:t xml:space="preserve">in </w:t>
      </w:r>
      <w:r w:rsidRPr="002B49AE">
        <w:t xml:space="preserve">Ashfield </w:t>
      </w:r>
      <w:r w:rsidR="00825421" w:rsidRPr="002B49AE">
        <w:t>D</w:t>
      </w:r>
      <w:r w:rsidRPr="002B49AE">
        <w:t>istrict</w:t>
      </w:r>
    </w:p>
    <w:p w14:paraId="25333F82" w14:textId="4F36C6B3" w:rsidR="00100330" w:rsidRDefault="00100330" w:rsidP="002B49AE">
      <w:pPr>
        <w:autoSpaceDE w:val="0"/>
        <w:autoSpaceDN w:val="0"/>
        <w:adjustRightInd w:val="0"/>
        <w:spacing w:before="0"/>
        <w:ind w:left="1134" w:firstLine="142"/>
        <w:rPr>
          <w:rFonts w:eastAsia="Calibri" w:cs="Arial"/>
          <w:sz w:val="20"/>
        </w:rPr>
      </w:pPr>
      <w:r w:rsidRPr="00EC70AF">
        <w:rPr>
          <w:rFonts w:eastAsia="Calibri" w:cs="Arial"/>
          <w:sz w:val="20"/>
        </w:rPr>
        <w:t>Source:  Ashfield D</w:t>
      </w:r>
      <w:r w:rsidR="008969BA">
        <w:rPr>
          <w:rFonts w:eastAsia="Calibri" w:cs="Arial"/>
          <w:sz w:val="20"/>
        </w:rPr>
        <w:t xml:space="preserve">istrict </w:t>
      </w:r>
      <w:r w:rsidRPr="00EC70AF">
        <w:rPr>
          <w:rFonts w:eastAsia="Calibri" w:cs="Arial"/>
          <w:sz w:val="20"/>
        </w:rPr>
        <w:t>C</w:t>
      </w:r>
      <w:r w:rsidR="008969BA">
        <w:rPr>
          <w:rFonts w:eastAsia="Calibri" w:cs="Arial"/>
          <w:sz w:val="20"/>
        </w:rPr>
        <w:t>ouncil</w:t>
      </w:r>
    </w:p>
    <w:p w14:paraId="39427674" w14:textId="77777777" w:rsidR="008969BA" w:rsidRPr="00F55758" w:rsidRDefault="008969BA" w:rsidP="00F55758">
      <w:pPr>
        <w:autoSpaceDE w:val="0"/>
        <w:autoSpaceDN w:val="0"/>
        <w:adjustRightInd w:val="0"/>
        <w:spacing w:before="0"/>
        <w:ind w:left="709"/>
        <w:rPr>
          <w:rFonts w:eastAsia="Arial" w:cs="Arial"/>
          <w:szCs w:val="24"/>
        </w:rPr>
      </w:pPr>
    </w:p>
    <w:p w14:paraId="3A181CDE" w14:textId="77777777" w:rsidR="00100330" w:rsidRPr="003C7E62" w:rsidRDefault="00100330" w:rsidP="00606546">
      <w:pPr>
        <w:autoSpaceDE w:val="0"/>
        <w:autoSpaceDN w:val="0"/>
        <w:adjustRightInd w:val="0"/>
        <w:spacing w:before="0"/>
        <w:rPr>
          <w:rFonts w:cs="Arial"/>
          <w:b/>
          <w:i/>
          <w:color w:val="385623"/>
          <w:szCs w:val="24"/>
        </w:rPr>
      </w:pPr>
    </w:p>
    <w:p w14:paraId="5D3CDF79" w14:textId="6F80F53A" w:rsidR="00BB60DE" w:rsidRPr="008969BA" w:rsidRDefault="00EC70AF" w:rsidP="00BB60DE">
      <w:pPr>
        <w:keepNext w:val="0"/>
        <w:numPr>
          <w:ilvl w:val="1"/>
          <w:numId w:val="52"/>
        </w:numPr>
        <w:autoSpaceDE w:val="0"/>
        <w:autoSpaceDN w:val="0"/>
        <w:adjustRightInd w:val="0"/>
        <w:spacing w:before="0"/>
        <w:ind w:left="709" w:hanging="709"/>
        <w:rPr>
          <w:rFonts w:eastAsia="Calibri" w:cs="Arial"/>
          <w:color w:val="auto"/>
          <w:szCs w:val="24"/>
        </w:rPr>
      </w:pPr>
      <w:r w:rsidRPr="00EC70AF">
        <w:rPr>
          <w:rFonts w:cs="Arial"/>
          <w:szCs w:val="24"/>
        </w:rPr>
        <w:t>There</w:t>
      </w:r>
      <w:r w:rsidRPr="00EC70AF">
        <w:rPr>
          <w:rFonts w:eastAsia="Arial" w:cs="Arial"/>
          <w:szCs w:val="24"/>
        </w:rPr>
        <w:t xml:space="preserve"> are two parish councils located within the </w:t>
      </w:r>
      <w:proofErr w:type="gramStart"/>
      <w:r w:rsidRPr="00EC70AF">
        <w:rPr>
          <w:rFonts w:eastAsia="Arial" w:cs="Arial"/>
          <w:szCs w:val="24"/>
        </w:rPr>
        <w:t>District</w:t>
      </w:r>
      <w:proofErr w:type="gramEnd"/>
      <w:r w:rsidRPr="00EC70AF">
        <w:rPr>
          <w:rFonts w:eastAsia="Arial" w:cs="Arial"/>
          <w:szCs w:val="24"/>
        </w:rPr>
        <w:t xml:space="preserve"> - Annesley and </w:t>
      </w:r>
      <w:proofErr w:type="spellStart"/>
      <w:r w:rsidRPr="00EC70AF">
        <w:rPr>
          <w:rFonts w:eastAsia="Arial" w:cs="Arial"/>
          <w:szCs w:val="24"/>
        </w:rPr>
        <w:t>Felley</w:t>
      </w:r>
      <w:proofErr w:type="spellEnd"/>
      <w:r w:rsidRPr="00EC70AF">
        <w:rPr>
          <w:rFonts w:eastAsia="Arial" w:cs="Arial"/>
          <w:szCs w:val="24"/>
        </w:rPr>
        <w:t xml:space="preserve"> Parish Council and </w:t>
      </w:r>
      <w:proofErr w:type="spellStart"/>
      <w:r w:rsidRPr="00EC70AF">
        <w:rPr>
          <w:rFonts w:eastAsia="Arial" w:cs="Arial"/>
          <w:szCs w:val="24"/>
        </w:rPr>
        <w:t>Selston</w:t>
      </w:r>
      <w:proofErr w:type="spellEnd"/>
      <w:r w:rsidRPr="00EC70AF">
        <w:rPr>
          <w:rFonts w:eastAsia="Arial" w:cs="Arial"/>
          <w:szCs w:val="24"/>
        </w:rPr>
        <w:t xml:space="preserve"> Parish Council. There are two Neighbourhood Plans which form part of the development plan for the </w:t>
      </w:r>
      <w:proofErr w:type="gramStart"/>
      <w:r w:rsidRPr="00EC70AF">
        <w:rPr>
          <w:rFonts w:eastAsia="Arial" w:cs="Arial"/>
          <w:szCs w:val="24"/>
        </w:rPr>
        <w:t>District</w:t>
      </w:r>
      <w:proofErr w:type="gramEnd"/>
      <w:r w:rsidRPr="00EC70AF">
        <w:rPr>
          <w:rFonts w:eastAsia="Arial" w:cs="Arial"/>
          <w:szCs w:val="24"/>
        </w:rPr>
        <w:t>:</w:t>
      </w:r>
    </w:p>
    <w:p w14:paraId="0C32FDC5" w14:textId="77777777" w:rsidR="008969BA" w:rsidRPr="00BB60DE" w:rsidRDefault="008969BA" w:rsidP="008969BA">
      <w:pPr>
        <w:keepNext w:val="0"/>
        <w:autoSpaceDE w:val="0"/>
        <w:autoSpaceDN w:val="0"/>
        <w:adjustRightInd w:val="0"/>
        <w:spacing w:before="0"/>
        <w:ind w:left="709"/>
        <w:rPr>
          <w:rFonts w:eastAsia="Calibri" w:cs="Arial"/>
          <w:color w:val="auto"/>
          <w:szCs w:val="24"/>
        </w:rPr>
      </w:pPr>
    </w:p>
    <w:p w14:paraId="795B3A95" w14:textId="6C988145" w:rsidR="00EC70AF" w:rsidRPr="00EC70AF" w:rsidRDefault="00EC70AF" w:rsidP="00D01157">
      <w:pPr>
        <w:keepNext w:val="0"/>
        <w:numPr>
          <w:ilvl w:val="0"/>
          <w:numId w:val="54"/>
        </w:numPr>
        <w:autoSpaceDE w:val="0"/>
        <w:autoSpaceDN w:val="0"/>
        <w:adjustRightInd w:val="0"/>
        <w:spacing w:before="0"/>
        <w:rPr>
          <w:rFonts w:cs="Arial"/>
          <w:szCs w:val="24"/>
        </w:rPr>
      </w:pPr>
      <w:proofErr w:type="spellStart"/>
      <w:r w:rsidRPr="00EC70AF">
        <w:rPr>
          <w:rFonts w:cs="Arial"/>
          <w:szCs w:val="24"/>
        </w:rPr>
        <w:lastRenderedPageBreak/>
        <w:t>Jacksdale</w:t>
      </w:r>
      <w:proofErr w:type="spellEnd"/>
      <w:r w:rsidRPr="00EC70AF">
        <w:rPr>
          <w:rFonts w:cs="Arial"/>
          <w:szCs w:val="24"/>
        </w:rPr>
        <w:t xml:space="preserve">, Underwood </w:t>
      </w:r>
      <w:proofErr w:type="spellStart"/>
      <w:r w:rsidRPr="00EC70AF">
        <w:rPr>
          <w:rFonts w:cs="Arial"/>
          <w:szCs w:val="24"/>
        </w:rPr>
        <w:t>Selston</w:t>
      </w:r>
      <w:proofErr w:type="spellEnd"/>
      <w:r w:rsidRPr="00EC70AF">
        <w:rPr>
          <w:rFonts w:cs="Arial"/>
          <w:szCs w:val="24"/>
        </w:rPr>
        <w:t xml:space="preserve"> Tomorrow (JUS</w:t>
      </w:r>
      <w:r w:rsidR="00416653">
        <w:rPr>
          <w:rFonts w:cs="Arial"/>
          <w:szCs w:val="24"/>
        </w:rPr>
        <w:t>-</w:t>
      </w:r>
      <w:r w:rsidRPr="00EC70AF">
        <w:rPr>
          <w:rFonts w:cs="Arial"/>
          <w:szCs w:val="24"/>
        </w:rPr>
        <w:t>t) Neighbourhood Plans</w:t>
      </w:r>
      <w:r w:rsidRPr="00EC70AF">
        <w:rPr>
          <w:rFonts w:cs="Arial"/>
          <w:szCs w:val="24"/>
          <w:vertAlign w:val="superscript"/>
        </w:rPr>
        <w:footnoteReference w:id="20"/>
      </w:r>
      <w:r w:rsidRPr="00EC70AF">
        <w:rPr>
          <w:rFonts w:cs="Arial"/>
          <w:szCs w:val="24"/>
        </w:rPr>
        <w:t xml:space="preserve"> brought forward by </w:t>
      </w:r>
      <w:proofErr w:type="spellStart"/>
      <w:r w:rsidRPr="00EC70AF">
        <w:rPr>
          <w:rFonts w:cs="Arial"/>
          <w:szCs w:val="24"/>
        </w:rPr>
        <w:t>Selston</w:t>
      </w:r>
      <w:proofErr w:type="spellEnd"/>
      <w:r w:rsidRPr="00EC70AF">
        <w:rPr>
          <w:rFonts w:cs="Arial"/>
          <w:szCs w:val="24"/>
        </w:rPr>
        <w:t xml:space="preserve"> Parish Council and covering a substantial part of the Parish of </w:t>
      </w:r>
      <w:proofErr w:type="spellStart"/>
      <w:r w:rsidRPr="00EC70AF">
        <w:rPr>
          <w:rFonts w:cs="Arial"/>
          <w:szCs w:val="24"/>
        </w:rPr>
        <w:t>Selston</w:t>
      </w:r>
      <w:proofErr w:type="spellEnd"/>
      <w:r w:rsidRPr="00EC70AF">
        <w:rPr>
          <w:rFonts w:cs="Arial"/>
          <w:szCs w:val="24"/>
        </w:rPr>
        <w:t>.</w:t>
      </w:r>
    </w:p>
    <w:p w14:paraId="3BE35985" w14:textId="77777777" w:rsidR="00EC70AF" w:rsidRPr="00EC70AF" w:rsidRDefault="00EC70AF" w:rsidP="00EC70AF">
      <w:pPr>
        <w:autoSpaceDE w:val="0"/>
        <w:autoSpaceDN w:val="0"/>
        <w:adjustRightInd w:val="0"/>
        <w:spacing w:before="0"/>
        <w:ind w:left="1080"/>
        <w:rPr>
          <w:rFonts w:cs="Arial"/>
          <w:szCs w:val="24"/>
        </w:rPr>
      </w:pPr>
    </w:p>
    <w:p w14:paraId="1BEE12AB" w14:textId="77777777" w:rsidR="00EC70AF" w:rsidRPr="00EC70AF" w:rsidRDefault="00EC70AF" w:rsidP="00D01157">
      <w:pPr>
        <w:keepNext w:val="0"/>
        <w:numPr>
          <w:ilvl w:val="0"/>
          <w:numId w:val="54"/>
        </w:numPr>
        <w:autoSpaceDE w:val="0"/>
        <w:autoSpaceDN w:val="0"/>
        <w:adjustRightInd w:val="0"/>
        <w:spacing w:before="0"/>
        <w:rPr>
          <w:rFonts w:cs="Arial"/>
          <w:szCs w:val="24"/>
        </w:rPr>
      </w:pPr>
      <w:r w:rsidRPr="00EC70AF">
        <w:rPr>
          <w:rFonts w:cs="Arial"/>
          <w:szCs w:val="24"/>
        </w:rPr>
        <w:t>Teversal, Stanton Hill and Skegby Neighbourhood Plan</w:t>
      </w:r>
      <w:r w:rsidRPr="00EC70AF">
        <w:rPr>
          <w:rFonts w:cs="Arial"/>
          <w:szCs w:val="24"/>
          <w:vertAlign w:val="superscript"/>
        </w:rPr>
        <w:footnoteReference w:id="21"/>
      </w:r>
      <w:r w:rsidRPr="00EC70AF">
        <w:rPr>
          <w:rFonts w:cs="Arial"/>
          <w:szCs w:val="24"/>
        </w:rPr>
        <w:t xml:space="preserve"> brought forward by the Neighbourhood Forum.  The Plan covers Stanton Hill, Skegby and</w:t>
      </w:r>
      <w:r w:rsidRPr="00EC70AF">
        <w:rPr>
          <w:rFonts w:cs="Arial"/>
          <w:color w:val="538135"/>
          <w:szCs w:val="24"/>
        </w:rPr>
        <w:t xml:space="preserve"> </w:t>
      </w:r>
      <w:r w:rsidRPr="00EC70AF">
        <w:rPr>
          <w:rFonts w:cs="Arial"/>
          <w:szCs w:val="24"/>
        </w:rPr>
        <w:t xml:space="preserve">the rural area to the north of Sutton in Ashfield (including Teversal, </w:t>
      </w:r>
      <w:proofErr w:type="spellStart"/>
      <w:r w:rsidRPr="00EC70AF">
        <w:rPr>
          <w:rFonts w:cs="Arial"/>
          <w:szCs w:val="24"/>
        </w:rPr>
        <w:t>Fackley</w:t>
      </w:r>
      <w:proofErr w:type="spellEnd"/>
      <w:r w:rsidRPr="00EC70AF">
        <w:rPr>
          <w:rFonts w:cs="Arial"/>
          <w:szCs w:val="24"/>
        </w:rPr>
        <w:t xml:space="preserve"> and Stanley).</w:t>
      </w:r>
    </w:p>
    <w:p w14:paraId="174EEB50" w14:textId="77777777" w:rsidR="00EC70AF" w:rsidRPr="00EC70AF" w:rsidRDefault="00EC70AF" w:rsidP="00EC70AF">
      <w:pPr>
        <w:keepNext w:val="0"/>
        <w:autoSpaceDE w:val="0"/>
        <w:autoSpaceDN w:val="0"/>
        <w:adjustRightInd w:val="0"/>
        <w:spacing w:before="0"/>
        <w:rPr>
          <w:rFonts w:cs="Arial"/>
          <w:szCs w:val="24"/>
        </w:rPr>
      </w:pPr>
    </w:p>
    <w:p w14:paraId="45FC9671" w14:textId="7F14FF3F" w:rsidR="00CC7A92" w:rsidRPr="003C7E62" w:rsidRDefault="00CC7A92" w:rsidP="00D01157">
      <w:pPr>
        <w:keepNext w:val="0"/>
        <w:numPr>
          <w:ilvl w:val="1"/>
          <w:numId w:val="52"/>
        </w:numPr>
        <w:autoSpaceDE w:val="0"/>
        <w:autoSpaceDN w:val="0"/>
        <w:adjustRightInd w:val="0"/>
        <w:spacing w:before="0"/>
        <w:ind w:left="709" w:hanging="709"/>
        <w:rPr>
          <w:rFonts w:eastAsia="Calibri" w:cs="Arial"/>
          <w:color w:val="auto"/>
          <w:szCs w:val="24"/>
        </w:rPr>
      </w:pPr>
      <w:r w:rsidRPr="003C7E62">
        <w:rPr>
          <w:rFonts w:eastAsia="Calibri" w:cs="Arial"/>
          <w:color w:val="auto"/>
          <w:szCs w:val="24"/>
        </w:rPr>
        <w:t xml:space="preserve">The Localism Act of 2011 introduced a new right for communities to shape their local areas. Neighbourhood Plans provide an opportunity for local people to </w:t>
      </w:r>
      <w:r w:rsidR="00416653" w:rsidRPr="003C7E62">
        <w:rPr>
          <w:rFonts w:eastAsia="Calibri" w:cs="Arial"/>
          <w:color w:val="auto"/>
          <w:szCs w:val="24"/>
        </w:rPr>
        <w:t>help actively and positively</w:t>
      </w:r>
      <w:r w:rsidRPr="003C7E62">
        <w:rPr>
          <w:rFonts w:eastAsia="Calibri" w:cs="Arial"/>
          <w:color w:val="auto"/>
          <w:szCs w:val="24"/>
        </w:rPr>
        <w:t xml:space="preserve"> to make their local area a great place to live and work</w:t>
      </w:r>
      <w:r w:rsidRPr="003C7E62">
        <w:rPr>
          <w:rFonts w:eastAsia="Calibri" w:cs="Arial"/>
          <w:vertAlign w:val="superscript"/>
        </w:rPr>
        <w:footnoteReference w:id="22"/>
      </w:r>
      <w:r w:rsidRPr="003C7E62">
        <w:rPr>
          <w:rFonts w:eastAsia="Calibri" w:cs="Arial"/>
          <w:color w:val="auto"/>
          <w:szCs w:val="24"/>
        </w:rPr>
        <w:t xml:space="preserve">. The Council will support parish councils and community groups who form neighbourhood forums to prepare a neighbourhood plan/order </w:t>
      </w:r>
      <w:proofErr w:type="gramStart"/>
      <w:r w:rsidRPr="003C7E62">
        <w:rPr>
          <w:rFonts w:eastAsia="Calibri" w:cs="Arial"/>
          <w:color w:val="auto"/>
          <w:szCs w:val="24"/>
        </w:rPr>
        <w:t>provided that</w:t>
      </w:r>
      <w:proofErr w:type="gramEnd"/>
      <w:r w:rsidRPr="003C7E62">
        <w:rPr>
          <w:rFonts w:eastAsia="Calibri" w:cs="Arial"/>
          <w:color w:val="auto"/>
          <w:szCs w:val="24"/>
        </w:rPr>
        <w:t xml:space="preserve"> it is undertake in accordance with the regulations and strategic requirements set out in the Local Plan.</w:t>
      </w:r>
    </w:p>
    <w:p w14:paraId="219462D9" w14:textId="77777777" w:rsidR="00CC7A92" w:rsidRPr="003C7E62" w:rsidRDefault="00CC7A92" w:rsidP="00606546">
      <w:pPr>
        <w:keepNext w:val="0"/>
        <w:autoSpaceDE w:val="0"/>
        <w:autoSpaceDN w:val="0"/>
        <w:adjustRightInd w:val="0"/>
        <w:spacing w:before="0"/>
        <w:rPr>
          <w:rFonts w:eastAsia="Calibri" w:cs="Arial"/>
          <w:color w:val="auto"/>
          <w:szCs w:val="24"/>
          <w:highlight w:val="yellow"/>
        </w:rPr>
      </w:pPr>
    </w:p>
    <w:p w14:paraId="65E3DEBD" w14:textId="77777777" w:rsidR="00C06232" w:rsidRDefault="00C06232" w:rsidP="00606546">
      <w:pPr>
        <w:autoSpaceDE w:val="0"/>
        <w:autoSpaceDN w:val="0"/>
        <w:adjustRightInd w:val="0"/>
        <w:spacing w:before="0"/>
        <w:ind w:left="709"/>
        <w:rPr>
          <w:rFonts w:cs="Arial"/>
          <w:b/>
          <w:iCs/>
          <w:color w:val="auto"/>
          <w:szCs w:val="24"/>
        </w:rPr>
      </w:pPr>
    </w:p>
    <w:p w14:paraId="00146A80" w14:textId="4D12D0DF" w:rsidR="00CC7A92" w:rsidRPr="00C06232" w:rsidRDefault="00CC7A92" w:rsidP="00606546">
      <w:pPr>
        <w:autoSpaceDE w:val="0"/>
        <w:autoSpaceDN w:val="0"/>
        <w:adjustRightInd w:val="0"/>
        <w:spacing w:before="0"/>
        <w:ind w:left="709"/>
        <w:rPr>
          <w:rFonts w:cs="Arial"/>
          <w:b/>
          <w:iCs/>
          <w:color w:val="auto"/>
          <w:szCs w:val="24"/>
        </w:rPr>
      </w:pPr>
      <w:r w:rsidRPr="00C06232">
        <w:rPr>
          <w:rFonts w:cs="Arial"/>
          <w:b/>
          <w:iCs/>
          <w:color w:val="auto"/>
          <w:szCs w:val="24"/>
        </w:rPr>
        <w:t>Delivering Sustainable Development</w:t>
      </w:r>
    </w:p>
    <w:p w14:paraId="6491BC95" w14:textId="77777777" w:rsidR="00CC7A92" w:rsidRPr="003C7E62" w:rsidRDefault="00CC7A92" w:rsidP="00606546">
      <w:pPr>
        <w:keepNext w:val="0"/>
        <w:autoSpaceDE w:val="0"/>
        <w:autoSpaceDN w:val="0"/>
        <w:adjustRightInd w:val="0"/>
        <w:spacing w:before="0"/>
        <w:rPr>
          <w:rFonts w:cs="Arial"/>
          <w:color w:val="auto"/>
          <w:szCs w:val="24"/>
        </w:rPr>
      </w:pPr>
    </w:p>
    <w:p w14:paraId="20D39DEC" w14:textId="77777777" w:rsidR="00CE3097"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International and national bodies have set out broad principles of sustainable development. Resolution 42/187 of the United Nations (UN) General Assembly defined sustainable development as meeting the needs of the present without compromising the ability of future generations to meet their own needs.</w:t>
      </w:r>
    </w:p>
    <w:p w14:paraId="530BDC67" w14:textId="7693D808" w:rsidR="00100330" w:rsidRPr="003C7E62" w:rsidRDefault="00100330" w:rsidP="00CE3097">
      <w:pPr>
        <w:keepNext w:val="0"/>
        <w:autoSpaceDE w:val="0"/>
        <w:autoSpaceDN w:val="0"/>
        <w:adjustRightInd w:val="0"/>
        <w:spacing w:before="0"/>
        <w:ind w:left="709"/>
        <w:rPr>
          <w:rFonts w:cs="Arial"/>
          <w:color w:val="auto"/>
          <w:szCs w:val="24"/>
        </w:rPr>
      </w:pPr>
      <w:r w:rsidRPr="003C7E62">
        <w:rPr>
          <w:rFonts w:cs="Arial"/>
          <w:color w:val="auto"/>
          <w:szCs w:val="24"/>
        </w:rPr>
        <w:t xml:space="preserve"> </w:t>
      </w:r>
    </w:p>
    <w:p w14:paraId="5EB026AA" w14:textId="54616A1A" w:rsidR="009F53F8" w:rsidRDefault="00100330" w:rsidP="00D01157">
      <w:pPr>
        <w:keepNext w:val="0"/>
        <w:numPr>
          <w:ilvl w:val="1"/>
          <w:numId w:val="52"/>
        </w:numPr>
        <w:autoSpaceDE w:val="0"/>
        <w:autoSpaceDN w:val="0"/>
        <w:adjustRightInd w:val="0"/>
        <w:spacing w:before="0"/>
        <w:ind w:left="709" w:hanging="709"/>
        <w:rPr>
          <w:rFonts w:cs="Arial"/>
          <w:color w:val="auto"/>
          <w:szCs w:val="24"/>
        </w:rPr>
      </w:pPr>
      <w:r w:rsidRPr="009F53F8">
        <w:rPr>
          <w:rFonts w:cs="Arial"/>
          <w:color w:val="auto"/>
          <w:szCs w:val="24"/>
        </w:rPr>
        <w:t>The United Nations Sustainable Development Goals (</w:t>
      </w:r>
      <w:r w:rsidRPr="000E1591">
        <w:rPr>
          <w:rFonts w:cs="Arial"/>
          <w:color w:val="auto"/>
          <w:szCs w:val="24"/>
        </w:rPr>
        <w:t>Figure 3)</w:t>
      </w:r>
      <w:r w:rsidRPr="009F53F8">
        <w:rPr>
          <w:rFonts w:cs="Arial"/>
          <w:color w:val="auto"/>
          <w:szCs w:val="24"/>
        </w:rPr>
        <w:t xml:space="preserve"> define the 2030 Agenda for Sustainable Development, signed by all 193 member states of the United Nations.</w:t>
      </w:r>
    </w:p>
    <w:p w14:paraId="38303F1D" w14:textId="77777777" w:rsidR="00EC70AF" w:rsidRDefault="00EC70AF" w:rsidP="00EC70AF">
      <w:pPr>
        <w:keepNext w:val="0"/>
        <w:autoSpaceDE w:val="0"/>
        <w:autoSpaceDN w:val="0"/>
        <w:adjustRightInd w:val="0"/>
        <w:spacing w:before="0"/>
        <w:ind w:left="709"/>
        <w:rPr>
          <w:rFonts w:cs="Arial"/>
          <w:color w:val="auto"/>
          <w:szCs w:val="24"/>
        </w:rPr>
      </w:pPr>
    </w:p>
    <w:p w14:paraId="1BD54A31" w14:textId="388A46EB" w:rsidR="00EC70AF" w:rsidRPr="00EC70AF" w:rsidRDefault="00EC70AF" w:rsidP="00D01157">
      <w:pPr>
        <w:keepNext w:val="0"/>
        <w:numPr>
          <w:ilvl w:val="1"/>
          <w:numId w:val="52"/>
        </w:numPr>
        <w:autoSpaceDE w:val="0"/>
        <w:autoSpaceDN w:val="0"/>
        <w:adjustRightInd w:val="0"/>
        <w:spacing w:before="0"/>
        <w:ind w:left="709" w:hanging="709"/>
        <w:rPr>
          <w:rFonts w:cs="Arial"/>
          <w:color w:val="auto"/>
          <w:szCs w:val="24"/>
        </w:rPr>
      </w:pPr>
      <w:r w:rsidRPr="00EC70AF">
        <w:rPr>
          <w:rFonts w:cs="Arial"/>
          <w:color w:val="auto"/>
          <w:szCs w:val="24"/>
        </w:rPr>
        <w:t>The key pillars underpinning the goals are reflected in the approach to the Planning system with the NPPF emphasising that the role of the planning system is to contribute to the achievement of sustainable development.  The planning system has three overarching objectives; economic, social and environmental, which are interdependent and need to be pursued in mutually supportive ways (so that opportunities can be taken to secure net gains across each of the different objectives).</w:t>
      </w:r>
    </w:p>
    <w:p w14:paraId="03A4EA72" w14:textId="03974EA1" w:rsidR="009153EE" w:rsidRPr="009F53F8" w:rsidRDefault="00100330" w:rsidP="009F53F8">
      <w:pPr>
        <w:keepNext w:val="0"/>
        <w:autoSpaceDE w:val="0"/>
        <w:autoSpaceDN w:val="0"/>
        <w:adjustRightInd w:val="0"/>
        <w:spacing w:before="0"/>
        <w:ind w:left="709"/>
        <w:rPr>
          <w:rFonts w:cs="Arial"/>
          <w:color w:val="auto"/>
          <w:szCs w:val="24"/>
        </w:rPr>
      </w:pPr>
      <w:r w:rsidRPr="009F53F8">
        <w:rPr>
          <w:rFonts w:eastAsia="MS Mincho" w:cs="Arial"/>
          <w:noProof/>
          <w:color w:val="auto"/>
          <w:szCs w:val="24"/>
        </w:rPr>
        <w:lastRenderedPageBreak/>
        <w:t xml:space="preserve">     </w:t>
      </w:r>
      <w:r w:rsidR="009F53F8" w:rsidRPr="00904AA7">
        <w:rPr>
          <w:rFonts w:ascii="Calibri" w:eastAsia="MS Mincho" w:hAnsi="Calibri"/>
          <w:noProof/>
          <w:szCs w:val="24"/>
        </w:rPr>
        <w:drawing>
          <wp:inline distT="0" distB="0" distL="0" distR="0" wp14:anchorId="56FE43D7" wp14:editId="30EDC1B6">
            <wp:extent cx="5726494" cy="2842260"/>
            <wp:effectExtent l="0" t="0" r="7620" b="0"/>
            <wp:docPr id="23" name="Picture 23" descr="United Nations Sustainable Development Goals&#10;Goal 1. No poverty &#10;Goal 2. Zero hunger&#10;Goal 3. Good health and well-being &#10;Goal 4. Quality education &#10;Goal 5. Gender equality &#10;Goal 6. Clean water and sanitation &#10;Goal 7. Affordable and clean energy &#10;Goal 8. Decent work and economic growth&#10;Goal 9. Industry, innovation and infrastructure&#10;Goal 10. Reduced inequalities &#10;Goal 11. Sustainable cities and communities&#10;Goal 12. Responsible consumption and production &#10;Goal 13. Climate action&#10;Goal 14. Life below water&#10;Goal 15. Life on land&#10;Goal 16. Peace, justice and strong institutions &#10;Goal 17. Partnerships for the goals &#10;"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United Nations Sustainable Development Goals&#10;Goal 1. No poverty &#10;Goal 2. Zero hunger&#10;Goal 3. Good health and well-being &#10;Goal 4. Quality education &#10;Goal 5. Gender equality &#10;Goal 6. Clean water and sanitation &#10;Goal 7. Affordable and clean energy &#10;Goal 8. Decent work and economic growth&#10;Goal 9. Industry, innovation and infrastructure&#10;Goal 10. Reduced inequalities &#10;Goal 11. Sustainable cities and communities&#10;Goal 12. Responsible consumption and production &#10;Goal 13. Climate action&#10;Goal 14. Life below water&#10;Goal 15. Life on land&#10;Goal 16. Peace, justice and strong institutions &#10;Goal 17. Partnerships for the goals &#10;" title="Figure 1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8002" cy="2843008"/>
                    </a:xfrm>
                    <a:prstGeom prst="rect">
                      <a:avLst/>
                    </a:prstGeom>
                  </pic:spPr>
                </pic:pic>
              </a:graphicData>
            </a:graphic>
          </wp:inline>
        </w:drawing>
      </w:r>
    </w:p>
    <w:p w14:paraId="13183823" w14:textId="232E5D00" w:rsidR="009153EE" w:rsidRPr="003C7E62" w:rsidRDefault="009153EE" w:rsidP="00606546">
      <w:pPr>
        <w:autoSpaceDE w:val="0"/>
        <w:autoSpaceDN w:val="0"/>
        <w:adjustRightInd w:val="0"/>
        <w:spacing w:before="0"/>
        <w:ind w:left="709"/>
        <w:rPr>
          <w:rFonts w:cs="Arial"/>
          <w:color w:val="auto"/>
          <w:szCs w:val="24"/>
        </w:rPr>
      </w:pPr>
    </w:p>
    <w:p w14:paraId="04FFEA4F" w14:textId="784F3BBE" w:rsidR="00100330" w:rsidRDefault="00100330" w:rsidP="000447CA">
      <w:pPr>
        <w:pStyle w:val="Heading3"/>
      </w:pPr>
      <w:r w:rsidRPr="00F55758">
        <w:t>Figure 3: The United Nations Sustainable Development Goals</w:t>
      </w:r>
      <w:r w:rsidRPr="00F55758">
        <w:rPr>
          <w:vertAlign w:val="superscript"/>
        </w:rPr>
        <w:footnoteReference w:id="23"/>
      </w:r>
    </w:p>
    <w:p w14:paraId="10695C54" w14:textId="1E00937A" w:rsidR="0011216B" w:rsidRPr="0011216B" w:rsidRDefault="0011216B" w:rsidP="0035353F">
      <w:pPr>
        <w:autoSpaceDE w:val="0"/>
        <w:autoSpaceDN w:val="0"/>
        <w:adjustRightInd w:val="0"/>
        <w:spacing w:before="0"/>
        <w:ind w:left="709" w:firstLine="142"/>
        <w:rPr>
          <w:rFonts w:cs="Arial"/>
          <w:color w:val="auto"/>
          <w:sz w:val="20"/>
        </w:rPr>
      </w:pPr>
      <w:r w:rsidRPr="0011216B">
        <w:rPr>
          <w:rFonts w:cs="Arial"/>
          <w:color w:val="auto"/>
          <w:sz w:val="20"/>
        </w:rPr>
        <w:t>Source: United Nations</w:t>
      </w:r>
    </w:p>
    <w:p w14:paraId="795FD232" w14:textId="77777777" w:rsidR="00606546" w:rsidRDefault="00606546" w:rsidP="00606546">
      <w:pPr>
        <w:autoSpaceDE w:val="0"/>
        <w:autoSpaceDN w:val="0"/>
        <w:adjustRightInd w:val="0"/>
        <w:spacing w:before="0"/>
        <w:ind w:left="709"/>
        <w:rPr>
          <w:rFonts w:cs="Arial"/>
          <w:color w:val="auto"/>
          <w:szCs w:val="24"/>
        </w:rPr>
      </w:pPr>
    </w:p>
    <w:p w14:paraId="5F6E4A54" w14:textId="77777777" w:rsidR="008969BA" w:rsidRPr="003C7E62" w:rsidRDefault="008969BA" w:rsidP="00606546">
      <w:pPr>
        <w:autoSpaceDE w:val="0"/>
        <w:autoSpaceDN w:val="0"/>
        <w:adjustRightInd w:val="0"/>
        <w:spacing w:before="0"/>
        <w:ind w:left="709"/>
        <w:rPr>
          <w:rFonts w:cs="Arial"/>
          <w:color w:val="auto"/>
          <w:szCs w:val="24"/>
        </w:rPr>
      </w:pPr>
    </w:p>
    <w:p w14:paraId="0A2A6C06" w14:textId="67F64A12" w:rsidR="00100330" w:rsidRPr="003C7E62"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The key pillars underpinning the goals are reflected in the approach to the Planning system with the NPPF emphasising that the role of the planning system is to contribute to the achievement of sustainable development.  The planning system has three overarching objectives</w:t>
      </w:r>
      <w:r w:rsidRPr="003C7E62">
        <w:rPr>
          <w:rFonts w:cs="Arial"/>
          <w:color w:val="auto"/>
          <w:szCs w:val="24"/>
          <w:vertAlign w:val="superscript"/>
        </w:rPr>
        <w:footnoteReference w:id="24"/>
      </w:r>
      <w:r w:rsidRPr="003C7E62">
        <w:rPr>
          <w:rFonts w:cs="Arial"/>
          <w:color w:val="auto"/>
          <w:szCs w:val="24"/>
        </w:rPr>
        <w:t>; economic, social and environmental, which are interdependent and need to be pursued in mutually supportive ways (so that opportunities can be taken to secure net gains across each of the different objectives).</w:t>
      </w:r>
    </w:p>
    <w:p w14:paraId="06394C00" w14:textId="77777777" w:rsidR="00EC70AF" w:rsidRDefault="00EC70AF" w:rsidP="00606546">
      <w:pPr>
        <w:autoSpaceDE w:val="0"/>
        <w:autoSpaceDN w:val="0"/>
        <w:adjustRightInd w:val="0"/>
        <w:spacing w:before="0"/>
        <w:ind w:left="709"/>
        <w:rPr>
          <w:rFonts w:cs="Arial"/>
          <w:b/>
          <w:i/>
          <w:color w:val="auto"/>
          <w:szCs w:val="24"/>
        </w:rPr>
      </w:pPr>
    </w:p>
    <w:p w14:paraId="187ED535" w14:textId="74DF6DF7" w:rsidR="00100330" w:rsidRPr="00C06232" w:rsidRDefault="00100330" w:rsidP="00606546">
      <w:pPr>
        <w:autoSpaceDE w:val="0"/>
        <w:autoSpaceDN w:val="0"/>
        <w:adjustRightInd w:val="0"/>
        <w:spacing w:before="0"/>
        <w:ind w:left="709"/>
        <w:rPr>
          <w:rFonts w:cs="Arial"/>
          <w:b/>
          <w:iCs/>
          <w:color w:val="auto"/>
          <w:szCs w:val="24"/>
        </w:rPr>
      </w:pPr>
      <w:r w:rsidRPr="00C06232">
        <w:rPr>
          <w:rFonts w:cs="Arial"/>
          <w:b/>
          <w:iCs/>
          <w:color w:val="auto"/>
          <w:szCs w:val="24"/>
        </w:rPr>
        <w:t xml:space="preserve">National Planning Policy Framework (NPPF) </w:t>
      </w:r>
      <w:r w:rsidR="008731D6">
        <w:rPr>
          <w:rFonts w:cs="Arial"/>
          <w:b/>
          <w:iCs/>
          <w:color w:val="auto"/>
          <w:szCs w:val="24"/>
        </w:rPr>
        <w:t xml:space="preserve">and </w:t>
      </w:r>
      <w:r w:rsidRPr="00C06232">
        <w:rPr>
          <w:rFonts w:cs="Arial"/>
          <w:b/>
          <w:iCs/>
          <w:color w:val="auto"/>
          <w:szCs w:val="24"/>
        </w:rPr>
        <w:t>Planning Practice Guidance (PPG)</w:t>
      </w:r>
    </w:p>
    <w:p w14:paraId="05A2D0C7" w14:textId="77777777" w:rsidR="00EC70AF" w:rsidRPr="00EC70AF" w:rsidRDefault="00EC70AF" w:rsidP="00606546">
      <w:pPr>
        <w:autoSpaceDE w:val="0"/>
        <w:autoSpaceDN w:val="0"/>
        <w:adjustRightInd w:val="0"/>
        <w:spacing w:before="0"/>
        <w:ind w:left="709"/>
        <w:rPr>
          <w:rFonts w:cs="Arial"/>
          <w:b/>
          <w:iCs/>
          <w:color w:val="auto"/>
          <w:szCs w:val="24"/>
        </w:rPr>
      </w:pPr>
    </w:p>
    <w:p w14:paraId="54C6207A" w14:textId="3A8A91B2" w:rsidR="00100330" w:rsidRPr="003C7E62"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eastAsia="Arial" w:cs="Arial"/>
          <w:color w:val="auto"/>
          <w:szCs w:val="24"/>
        </w:rPr>
        <w:t xml:space="preserve">The </w:t>
      </w:r>
      <w:r w:rsidRPr="003C7E62">
        <w:rPr>
          <w:rFonts w:cs="Arial"/>
          <w:color w:val="auto"/>
          <w:szCs w:val="24"/>
        </w:rPr>
        <w:t>development plan is at the heart of the planning system with a requirement set in law that planning decisions must be taken in line with the development plan unless material considerations indicate otherwise</w:t>
      </w:r>
      <w:r w:rsidR="008731D6">
        <w:rPr>
          <w:rFonts w:cs="Arial"/>
          <w:color w:val="auto"/>
          <w:szCs w:val="24"/>
        </w:rPr>
        <w:t>.</w:t>
      </w:r>
      <w:r w:rsidRPr="003C7E62">
        <w:rPr>
          <w:rFonts w:cs="Arial"/>
          <w:color w:val="auto"/>
          <w:szCs w:val="24"/>
          <w:vertAlign w:val="superscript"/>
        </w:rPr>
        <w:footnoteReference w:id="25"/>
      </w:r>
    </w:p>
    <w:p w14:paraId="38520D12" w14:textId="77777777" w:rsidR="00606546" w:rsidRPr="003C7E62" w:rsidRDefault="00606546" w:rsidP="00606546">
      <w:pPr>
        <w:keepNext w:val="0"/>
        <w:autoSpaceDE w:val="0"/>
        <w:autoSpaceDN w:val="0"/>
        <w:adjustRightInd w:val="0"/>
        <w:spacing w:before="0"/>
        <w:ind w:left="709"/>
        <w:rPr>
          <w:rFonts w:cs="Arial"/>
          <w:color w:val="auto"/>
          <w:szCs w:val="24"/>
        </w:rPr>
      </w:pPr>
    </w:p>
    <w:p w14:paraId="4FD8DA6F" w14:textId="3B8CE5FE" w:rsidR="00100330" w:rsidRPr="003C7E62"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 xml:space="preserve">The </w:t>
      </w:r>
      <w:r w:rsidRPr="003C7E62">
        <w:rPr>
          <w:rFonts w:eastAsia="Arial" w:cs="Arial"/>
          <w:color w:val="auto"/>
          <w:szCs w:val="24"/>
        </w:rPr>
        <w:t xml:space="preserve">NPPF and supporting </w:t>
      </w:r>
      <w:r w:rsidRPr="003C7E62">
        <w:rPr>
          <w:rFonts w:cs="Arial"/>
          <w:color w:val="auto"/>
          <w:szCs w:val="24"/>
        </w:rPr>
        <w:t>Planning Practice Guidance stresses the importance of having a planning system that is genuinely plan-led.  They identify that succinct and up-to-date plans should provide a positive vision for the future of each area</w:t>
      </w:r>
      <w:r w:rsidRPr="003C7E62">
        <w:rPr>
          <w:rFonts w:cs="Arial"/>
          <w:color w:val="auto"/>
          <w:szCs w:val="24"/>
          <w:vertAlign w:val="superscript"/>
        </w:rPr>
        <w:footnoteReference w:id="26"/>
      </w:r>
      <w:r w:rsidRPr="003C7E62">
        <w:rPr>
          <w:rFonts w:cs="Arial"/>
          <w:color w:val="auto"/>
          <w:szCs w:val="24"/>
        </w:rPr>
        <w:t xml:space="preserve"> and a framework for addressing housing needs and other economic, social and environmental priorities.  This includes needs and opportunities in relation to housing, the economy, community facilities and infrastructure – as well as a basis </w:t>
      </w:r>
      <w:r w:rsidRPr="003C7E62">
        <w:rPr>
          <w:rFonts w:cs="Arial"/>
          <w:color w:val="auto"/>
          <w:szCs w:val="24"/>
        </w:rPr>
        <w:lastRenderedPageBreak/>
        <w:t>for conserving and enhancing the natural and historic environment, mitigating and adapting to climate change, and achieving well designed places.</w:t>
      </w:r>
    </w:p>
    <w:p w14:paraId="27601E69" w14:textId="77777777" w:rsidR="00606546" w:rsidRPr="003C7E62" w:rsidRDefault="00606546" w:rsidP="00606546">
      <w:pPr>
        <w:keepNext w:val="0"/>
        <w:autoSpaceDE w:val="0"/>
        <w:autoSpaceDN w:val="0"/>
        <w:adjustRightInd w:val="0"/>
        <w:spacing w:before="0"/>
        <w:rPr>
          <w:rFonts w:cs="Arial"/>
          <w:color w:val="auto"/>
          <w:szCs w:val="24"/>
        </w:rPr>
      </w:pPr>
    </w:p>
    <w:p w14:paraId="4D40C6AA" w14:textId="54F89C90" w:rsidR="00100330"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In accordance with the NPPF, the Local Plan for Ashfield comprises a combination of strategic policies (which address the priorities for the area</w:t>
      </w:r>
      <w:r w:rsidRPr="003C7E62">
        <w:rPr>
          <w:rFonts w:cs="Arial"/>
          <w:color w:val="auto"/>
          <w:szCs w:val="24"/>
          <w:vertAlign w:val="superscript"/>
        </w:rPr>
        <w:footnoteReference w:id="27"/>
      </w:r>
      <w:r w:rsidRPr="003C7E62">
        <w:rPr>
          <w:rFonts w:cs="Arial"/>
          <w:color w:val="auto"/>
          <w:szCs w:val="24"/>
        </w:rPr>
        <w:t>) and non-strategic policies (which deal with more detailed matters</w:t>
      </w:r>
      <w:r w:rsidRPr="003C7E62">
        <w:rPr>
          <w:rFonts w:cs="Arial"/>
          <w:color w:val="auto"/>
          <w:szCs w:val="24"/>
          <w:vertAlign w:val="superscript"/>
        </w:rPr>
        <w:footnoteReference w:id="28"/>
      </w:r>
      <w:r w:rsidRPr="003C7E62">
        <w:rPr>
          <w:rFonts w:cs="Arial"/>
          <w:color w:val="auto"/>
          <w:szCs w:val="24"/>
        </w:rPr>
        <w:t xml:space="preserve">).  </w:t>
      </w:r>
      <w:bookmarkStart w:id="17" w:name="_Hlk79743454"/>
      <w:r w:rsidRPr="003C7E62">
        <w:rPr>
          <w:rFonts w:cs="Arial"/>
          <w:color w:val="auto"/>
          <w:szCs w:val="24"/>
        </w:rPr>
        <w:t xml:space="preserve">Strategic policies are required to look ahead over a minimum </w:t>
      </w:r>
      <w:proofErr w:type="gramStart"/>
      <w:r w:rsidRPr="003C7E62">
        <w:rPr>
          <w:rFonts w:cs="Arial"/>
          <w:color w:val="auto"/>
          <w:szCs w:val="24"/>
        </w:rPr>
        <w:t>15 year</w:t>
      </w:r>
      <w:proofErr w:type="gramEnd"/>
      <w:r w:rsidRPr="003C7E62">
        <w:rPr>
          <w:rFonts w:cs="Arial"/>
          <w:color w:val="auto"/>
          <w:szCs w:val="24"/>
        </w:rPr>
        <w:t xml:space="preserve"> period from adoption</w:t>
      </w:r>
      <w:r w:rsidR="005A14BD">
        <w:rPr>
          <w:rFonts w:cs="Arial"/>
          <w:color w:val="auto"/>
          <w:szCs w:val="24"/>
        </w:rPr>
        <w:t>, subject to where there is proposed to be larger scale development such as new settlements the policies are set within the context of a vision that looks further ahead.  (At least 30 years)</w:t>
      </w:r>
      <w:bookmarkEnd w:id="17"/>
      <w:r w:rsidRPr="003C7E62">
        <w:rPr>
          <w:rFonts w:cs="Arial"/>
          <w:color w:val="auto"/>
          <w:szCs w:val="24"/>
          <w:vertAlign w:val="superscript"/>
        </w:rPr>
        <w:footnoteReference w:id="29"/>
      </w:r>
      <w:r w:rsidRPr="003C7E62">
        <w:rPr>
          <w:rFonts w:cs="Arial"/>
          <w:color w:val="auto"/>
          <w:szCs w:val="24"/>
        </w:rPr>
        <w:t>.    The policies within the Plan are underpinned by up-to-date evidence and have been informed by the sustainability appraisal, which demonstrate how the Plan has addressed relevant economic, social and environmental objectives.</w:t>
      </w:r>
    </w:p>
    <w:p w14:paraId="44739BDF" w14:textId="77777777" w:rsidR="005E7952" w:rsidRDefault="005E7952" w:rsidP="005E7952">
      <w:pPr>
        <w:keepNext w:val="0"/>
        <w:autoSpaceDE w:val="0"/>
        <w:autoSpaceDN w:val="0"/>
        <w:adjustRightInd w:val="0"/>
        <w:spacing w:before="0"/>
        <w:ind w:left="709"/>
        <w:rPr>
          <w:rFonts w:cs="Arial"/>
          <w:color w:val="auto"/>
          <w:szCs w:val="24"/>
          <w:u w:val="single"/>
        </w:rPr>
      </w:pPr>
    </w:p>
    <w:p w14:paraId="7E07FC43" w14:textId="65107C0B" w:rsidR="005E7952" w:rsidRPr="00C06232" w:rsidRDefault="005E7952" w:rsidP="005E7952">
      <w:pPr>
        <w:keepNext w:val="0"/>
        <w:autoSpaceDE w:val="0"/>
        <w:autoSpaceDN w:val="0"/>
        <w:adjustRightInd w:val="0"/>
        <w:spacing w:before="0"/>
        <w:ind w:left="709"/>
        <w:rPr>
          <w:rFonts w:cs="Arial"/>
          <w:b/>
          <w:bCs/>
          <w:color w:val="auto"/>
          <w:szCs w:val="24"/>
        </w:rPr>
      </w:pPr>
      <w:r w:rsidRPr="00C06232">
        <w:rPr>
          <w:rFonts w:cs="Arial"/>
          <w:b/>
          <w:bCs/>
          <w:color w:val="auto"/>
          <w:szCs w:val="24"/>
        </w:rPr>
        <w:t>Local Government Association (LGA)</w:t>
      </w:r>
    </w:p>
    <w:p w14:paraId="77B8B509" w14:textId="77777777" w:rsidR="005E7952" w:rsidRPr="005E7952" w:rsidRDefault="005E7952" w:rsidP="005E7952">
      <w:pPr>
        <w:keepNext w:val="0"/>
        <w:autoSpaceDE w:val="0"/>
        <w:autoSpaceDN w:val="0"/>
        <w:adjustRightInd w:val="0"/>
        <w:spacing w:before="0"/>
        <w:ind w:left="709"/>
        <w:rPr>
          <w:rFonts w:cs="Arial"/>
          <w:b/>
          <w:bCs/>
          <w:color w:val="auto"/>
          <w:szCs w:val="24"/>
          <w:u w:val="single"/>
        </w:rPr>
      </w:pPr>
    </w:p>
    <w:p w14:paraId="136599FE" w14:textId="77777777" w:rsidR="005E7952" w:rsidRPr="005E7952" w:rsidRDefault="005E7952" w:rsidP="005E7952">
      <w:pPr>
        <w:keepNext w:val="0"/>
        <w:numPr>
          <w:ilvl w:val="1"/>
          <w:numId w:val="52"/>
        </w:numPr>
        <w:shd w:val="clear" w:color="auto" w:fill="FFFFFF"/>
        <w:autoSpaceDE w:val="0"/>
        <w:autoSpaceDN w:val="0"/>
        <w:adjustRightInd w:val="0"/>
        <w:spacing w:before="0" w:after="300"/>
        <w:ind w:left="709" w:hanging="709"/>
        <w:rPr>
          <w:rFonts w:cs="Arial"/>
          <w:color w:val="auto"/>
          <w:sz w:val="27"/>
          <w:szCs w:val="27"/>
        </w:rPr>
      </w:pPr>
      <w:r w:rsidRPr="005E7952">
        <w:rPr>
          <w:rFonts w:cs="Arial"/>
          <w:color w:val="auto"/>
          <w:szCs w:val="24"/>
        </w:rPr>
        <w:t xml:space="preserve">The LGA is a politically led, cross-party organisation that works on behalf of councils to ensure local government has a strong, credible voice with national government. Their aim is to influence and set the political agenda on the issues that matter to councils, so they </w:t>
      </w:r>
      <w:proofErr w:type="gramStart"/>
      <w:r w:rsidRPr="005E7952">
        <w:rPr>
          <w:rFonts w:cs="Arial"/>
          <w:color w:val="auto"/>
          <w:szCs w:val="24"/>
        </w:rPr>
        <w:t>are able to</w:t>
      </w:r>
      <w:proofErr w:type="gramEnd"/>
      <w:r w:rsidRPr="005E7952">
        <w:rPr>
          <w:rFonts w:cs="Arial"/>
          <w:color w:val="auto"/>
          <w:szCs w:val="24"/>
        </w:rPr>
        <w:t xml:space="preserve"> deliver local solutions to national problems. </w:t>
      </w:r>
    </w:p>
    <w:p w14:paraId="3BD15E4B" w14:textId="77777777" w:rsidR="005E7952" w:rsidRPr="00DF760C" w:rsidRDefault="005E7952" w:rsidP="005E7952">
      <w:pPr>
        <w:keepNext w:val="0"/>
        <w:numPr>
          <w:ilvl w:val="1"/>
          <w:numId w:val="52"/>
        </w:numPr>
        <w:shd w:val="clear" w:color="auto" w:fill="FFFFFF"/>
        <w:autoSpaceDE w:val="0"/>
        <w:autoSpaceDN w:val="0"/>
        <w:adjustRightInd w:val="0"/>
        <w:spacing w:before="0" w:after="300"/>
        <w:ind w:left="709" w:hanging="709"/>
        <w:rPr>
          <w:rFonts w:cs="Arial"/>
          <w:color w:val="auto"/>
          <w:sz w:val="27"/>
          <w:szCs w:val="27"/>
        </w:rPr>
      </w:pPr>
      <w:r w:rsidRPr="005E7952">
        <w:rPr>
          <w:rFonts w:cs="Arial"/>
          <w:color w:val="auto"/>
          <w:szCs w:val="24"/>
        </w:rPr>
        <w:t>The Vision for Urban Growth and Recovery Report, analyses the impacts of Covid-19, current economic challenges and opportunities, and sets out a new vision for urban growth and recovery that delivers:</w:t>
      </w:r>
    </w:p>
    <w:p w14:paraId="6A1B45D9" w14:textId="77777777" w:rsidR="005E7952" w:rsidRPr="00DF760C" w:rsidRDefault="005E7952" w:rsidP="00874A98">
      <w:pPr>
        <w:keepNext w:val="0"/>
        <w:numPr>
          <w:ilvl w:val="0"/>
          <w:numId w:val="340"/>
        </w:numPr>
        <w:shd w:val="clear" w:color="auto" w:fill="FFFFFF"/>
        <w:tabs>
          <w:tab w:val="clear" w:pos="720"/>
        </w:tabs>
        <w:spacing w:before="100" w:beforeAutospacing="1" w:after="100" w:afterAutospacing="1"/>
        <w:ind w:left="1560"/>
        <w:rPr>
          <w:rFonts w:cs="Arial"/>
          <w:color w:val="auto"/>
          <w:szCs w:val="24"/>
        </w:rPr>
      </w:pPr>
      <w:r w:rsidRPr="00DF760C">
        <w:rPr>
          <w:rFonts w:cs="Arial"/>
          <w:color w:val="auto"/>
          <w:szCs w:val="24"/>
        </w:rPr>
        <w:t>successful economic restructuring that mitigates against the worst impacts</w:t>
      </w:r>
      <w:r w:rsidRPr="005E7952">
        <w:rPr>
          <w:rFonts w:cs="Arial"/>
          <w:color w:val="auto"/>
          <w:szCs w:val="24"/>
        </w:rPr>
        <w:t xml:space="preserve"> </w:t>
      </w:r>
      <w:r w:rsidRPr="00DF760C">
        <w:rPr>
          <w:rFonts w:cs="Arial"/>
          <w:color w:val="auto"/>
          <w:szCs w:val="24"/>
        </w:rPr>
        <w:t>of structural unemployment and job loss</w:t>
      </w:r>
      <w:r w:rsidRPr="005E7952">
        <w:rPr>
          <w:rFonts w:cs="Arial"/>
          <w:color w:val="auto"/>
          <w:szCs w:val="24"/>
        </w:rPr>
        <w:t>;</w:t>
      </w:r>
    </w:p>
    <w:p w14:paraId="33539789" w14:textId="77777777" w:rsidR="005E7952" w:rsidRPr="00DF760C" w:rsidRDefault="005E7952" w:rsidP="00874A98">
      <w:pPr>
        <w:keepNext w:val="0"/>
        <w:numPr>
          <w:ilvl w:val="0"/>
          <w:numId w:val="340"/>
        </w:numPr>
        <w:shd w:val="clear" w:color="auto" w:fill="FFFFFF"/>
        <w:tabs>
          <w:tab w:val="clear" w:pos="720"/>
        </w:tabs>
        <w:spacing w:before="100" w:beforeAutospacing="1" w:after="100" w:afterAutospacing="1"/>
        <w:ind w:left="1560"/>
        <w:rPr>
          <w:rFonts w:cs="Arial"/>
          <w:color w:val="auto"/>
          <w:szCs w:val="24"/>
        </w:rPr>
      </w:pPr>
      <w:r w:rsidRPr="00DF760C">
        <w:rPr>
          <w:rFonts w:cs="Arial"/>
          <w:color w:val="auto"/>
          <w:szCs w:val="24"/>
        </w:rPr>
        <w:t>successful and relevant urban centres that meet the current and future needs</w:t>
      </w:r>
      <w:r w:rsidRPr="005E7952">
        <w:rPr>
          <w:rFonts w:cs="Arial"/>
          <w:color w:val="auto"/>
          <w:szCs w:val="24"/>
        </w:rPr>
        <w:t xml:space="preserve"> </w:t>
      </w:r>
      <w:r w:rsidRPr="00DF760C">
        <w:rPr>
          <w:rFonts w:cs="Arial"/>
          <w:color w:val="auto"/>
          <w:szCs w:val="24"/>
        </w:rPr>
        <w:t>of residents, businesses and workers</w:t>
      </w:r>
      <w:r w:rsidRPr="005E7952">
        <w:rPr>
          <w:rFonts w:cs="Arial"/>
          <w:color w:val="auto"/>
          <w:szCs w:val="24"/>
        </w:rPr>
        <w:t>;</w:t>
      </w:r>
    </w:p>
    <w:p w14:paraId="28E9265B" w14:textId="77777777" w:rsidR="005E7952" w:rsidRPr="00DF760C" w:rsidRDefault="005E7952" w:rsidP="00874A98">
      <w:pPr>
        <w:keepNext w:val="0"/>
        <w:numPr>
          <w:ilvl w:val="0"/>
          <w:numId w:val="340"/>
        </w:numPr>
        <w:shd w:val="clear" w:color="auto" w:fill="FFFFFF"/>
        <w:tabs>
          <w:tab w:val="clear" w:pos="720"/>
        </w:tabs>
        <w:spacing w:before="100" w:beforeAutospacing="1" w:after="100" w:afterAutospacing="1"/>
        <w:ind w:left="1560"/>
        <w:rPr>
          <w:rFonts w:cs="Arial"/>
          <w:color w:val="auto"/>
          <w:szCs w:val="24"/>
        </w:rPr>
      </w:pPr>
      <w:r w:rsidRPr="00DF760C">
        <w:rPr>
          <w:rFonts w:cs="Arial"/>
          <w:color w:val="auto"/>
          <w:szCs w:val="24"/>
        </w:rPr>
        <w:t xml:space="preserve">a step-change improvement in inequalities and ensures that </w:t>
      </w:r>
      <w:proofErr w:type="gramStart"/>
      <w:r w:rsidRPr="00DF760C">
        <w:rPr>
          <w:rFonts w:cs="Arial"/>
          <w:color w:val="auto"/>
          <w:szCs w:val="24"/>
        </w:rPr>
        <w:t>communities</w:t>
      </w:r>
      <w:proofErr w:type="gramEnd"/>
      <w:r w:rsidRPr="005E7952">
        <w:rPr>
          <w:rFonts w:cs="Arial"/>
          <w:color w:val="auto"/>
          <w:szCs w:val="24"/>
        </w:rPr>
        <w:t xml:space="preserve"> </w:t>
      </w:r>
      <w:r w:rsidRPr="00DF760C">
        <w:rPr>
          <w:rFonts w:cs="Arial"/>
          <w:color w:val="auto"/>
          <w:szCs w:val="24"/>
        </w:rPr>
        <w:t>benefit</w:t>
      </w:r>
      <w:r w:rsidRPr="005E7952">
        <w:rPr>
          <w:rFonts w:cs="Arial"/>
          <w:color w:val="auto"/>
          <w:szCs w:val="24"/>
        </w:rPr>
        <w:t>;</w:t>
      </w:r>
    </w:p>
    <w:p w14:paraId="137144C2" w14:textId="77777777" w:rsidR="005E7952" w:rsidRPr="00DF760C" w:rsidRDefault="005E7952" w:rsidP="00874A98">
      <w:pPr>
        <w:keepNext w:val="0"/>
        <w:numPr>
          <w:ilvl w:val="0"/>
          <w:numId w:val="340"/>
        </w:numPr>
        <w:shd w:val="clear" w:color="auto" w:fill="FFFFFF"/>
        <w:tabs>
          <w:tab w:val="clear" w:pos="720"/>
        </w:tabs>
        <w:spacing w:before="100" w:beforeAutospacing="1" w:after="100" w:afterAutospacing="1"/>
        <w:ind w:left="1560"/>
        <w:rPr>
          <w:rFonts w:cs="Arial"/>
          <w:color w:val="auto"/>
          <w:szCs w:val="24"/>
        </w:rPr>
      </w:pPr>
      <w:r w:rsidRPr="00DF760C">
        <w:rPr>
          <w:rFonts w:cs="Arial"/>
          <w:color w:val="auto"/>
          <w:szCs w:val="24"/>
        </w:rPr>
        <w:t>sustainable solutions that make significant progress towards carbon emissions</w:t>
      </w:r>
      <w:r w:rsidRPr="005E7952">
        <w:rPr>
          <w:rFonts w:cs="Arial"/>
          <w:color w:val="auto"/>
          <w:szCs w:val="24"/>
        </w:rPr>
        <w:t xml:space="preserve"> </w:t>
      </w:r>
      <w:r w:rsidRPr="00DF760C">
        <w:rPr>
          <w:rFonts w:cs="Arial"/>
          <w:color w:val="auto"/>
          <w:szCs w:val="24"/>
        </w:rPr>
        <w:t>reductions</w:t>
      </w:r>
      <w:r w:rsidRPr="005E7952">
        <w:rPr>
          <w:rFonts w:cs="Arial"/>
          <w:color w:val="auto"/>
          <w:szCs w:val="24"/>
        </w:rPr>
        <w:t>;</w:t>
      </w:r>
    </w:p>
    <w:p w14:paraId="7B6775D4" w14:textId="77777777" w:rsidR="005E7952" w:rsidRPr="005E7952" w:rsidRDefault="005E7952" w:rsidP="00874A98">
      <w:pPr>
        <w:keepNext w:val="0"/>
        <w:numPr>
          <w:ilvl w:val="0"/>
          <w:numId w:val="340"/>
        </w:numPr>
        <w:shd w:val="clear" w:color="auto" w:fill="FFFFFF"/>
        <w:tabs>
          <w:tab w:val="clear" w:pos="720"/>
        </w:tabs>
        <w:spacing w:before="0" w:beforeAutospacing="1" w:after="100" w:afterAutospacing="1"/>
        <w:ind w:left="1560"/>
        <w:contextualSpacing/>
        <w:rPr>
          <w:rFonts w:cs="Arial"/>
          <w:b/>
          <w:i/>
          <w:color w:val="auto"/>
          <w:szCs w:val="24"/>
          <w:u w:val="single"/>
        </w:rPr>
      </w:pPr>
      <w:r w:rsidRPr="00DF760C">
        <w:rPr>
          <w:rFonts w:cs="Arial"/>
          <w:color w:val="auto"/>
          <w:szCs w:val="24"/>
        </w:rPr>
        <w:t>the agility and capacity to respond to further challenges and opportunities as</w:t>
      </w:r>
      <w:r w:rsidRPr="005E7952">
        <w:rPr>
          <w:rFonts w:cs="Arial"/>
          <w:color w:val="auto"/>
          <w:szCs w:val="24"/>
        </w:rPr>
        <w:t xml:space="preserve"> </w:t>
      </w:r>
      <w:r w:rsidRPr="00DF760C">
        <w:rPr>
          <w:rFonts w:cs="Arial"/>
          <w:color w:val="auto"/>
          <w:szCs w:val="24"/>
        </w:rPr>
        <w:t>they emerge as we continue to discover the economic implications of COVID-19 and Brexit over the next few years.</w:t>
      </w:r>
    </w:p>
    <w:p w14:paraId="5B40F676" w14:textId="77777777" w:rsidR="005E7952" w:rsidRPr="003C7E62" w:rsidRDefault="005E7952" w:rsidP="005E7952">
      <w:pPr>
        <w:keepNext w:val="0"/>
        <w:autoSpaceDE w:val="0"/>
        <w:autoSpaceDN w:val="0"/>
        <w:adjustRightInd w:val="0"/>
        <w:spacing w:before="0"/>
        <w:rPr>
          <w:rFonts w:cs="Arial"/>
          <w:color w:val="auto"/>
          <w:szCs w:val="24"/>
        </w:rPr>
      </w:pPr>
    </w:p>
    <w:p w14:paraId="3564D102" w14:textId="77777777" w:rsidR="00606546" w:rsidRPr="003C7E62" w:rsidRDefault="00606546" w:rsidP="00606546">
      <w:pPr>
        <w:spacing w:before="0"/>
        <w:contextualSpacing/>
        <w:rPr>
          <w:rFonts w:cs="Arial"/>
          <w:b/>
          <w:i/>
          <w:szCs w:val="24"/>
          <w:u w:val="single"/>
        </w:rPr>
      </w:pPr>
    </w:p>
    <w:p w14:paraId="491248A4" w14:textId="4AAEF7CA" w:rsidR="00100330" w:rsidRPr="00C06232" w:rsidRDefault="00100330" w:rsidP="00606546">
      <w:pPr>
        <w:spacing w:before="0"/>
        <w:ind w:left="709"/>
        <w:contextualSpacing/>
        <w:rPr>
          <w:rFonts w:cs="Arial"/>
          <w:iCs/>
          <w:szCs w:val="24"/>
        </w:rPr>
      </w:pPr>
      <w:r w:rsidRPr="00C06232">
        <w:rPr>
          <w:rFonts w:cs="Arial"/>
          <w:b/>
          <w:iCs/>
          <w:szCs w:val="24"/>
        </w:rPr>
        <w:t>Regional Plans / Strategies</w:t>
      </w:r>
    </w:p>
    <w:p w14:paraId="5D799019" w14:textId="77777777" w:rsidR="00100330" w:rsidRPr="003C7E62" w:rsidRDefault="00100330" w:rsidP="00606546">
      <w:pPr>
        <w:autoSpaceDE w:val="0"/>
        <w:autoSpaceDN w:val="0"/>
        <w:adjustRightInd w:val="0"/>
        <w:spacing w:before="0"/>
        <w:rPr>
          <w:rFonts w:cs="Arial"/>
          <w:color w:val="385623"/>
          <w:szCs w:val="24"/>
          <w:highlight w:val="yellow"/>
        </w:rPr>
      </w:pPr>
    </w:p>
    <w:p w14:paraId="1B99E4BA" w14:textId="53760D3B" w:rsidR="00100330" w:rsidRDefault="004D3970" w:rsidP="00D01157">
      <w:pPr>
        <w:keepNext w:val="0"/>
        <w:numPr>
          <w:ilvl w:val="1"/>
          <w:numId w:val="52"/>
        </w:numPr>
        <w:autoSpaceDE w:val="0"/>
        <w:autoSpaceDN w:val="0"/>
        <w:adjustRightInd w:val="0"/>
        <w:spacing w:before="0"/>
        <w:ind w:left="709" w:hanging="709"/>
        <w:rPr>
          <w:rFonts w:cs="Arial"/>
          <w:color w:val="auto"/>
          <w:szCs w:val="24"/>
        </w:rPr>
      </w:pPr>
      <w:r w:rsidRPr="004D3970">
        <w:rPr>
          <w:rFonts w:cs="Arial"/>
          <w:color w:val="auto"/>
          <w:szCs w:val="24"/>
        </w:rPr>
        <w:t xml:space="preserve">As of October 2022, work is ongoing in County and City Councils to prepare for devolution and the creation of a Combined County Authority between Derbyshire and Nottinghamshire. Ashfield District Council is actively involved in these </w:t>
      </w:r>
      <w:r w:rsidRPr="004D3970">
        <w:rPr>
          <w:rFonts w:cs="Arial"/>
          <w:color w:val="auto"/>
          <w:szCs w:val="24"/>
        </w:rPr>
        <w:lastRenderedPageBreak/>
        <w:t xml:space="preserve">discussions along with neighbouring district authorities, to ensure that Ashfield’s plans and strategies are embedded into regional plans. </w:t>
      </w:r>
      <w:r w:rsidRPr="00121424">
        <w:rPr>
          <w:rFonts w:cs="Arial"/>
          <w:strike/>
          <w:color w:val="auto"/>
          <w:szCs w:val="24"/>
        </w:rPr>
        <w:t xml:space="preserve">The first election for a regional mayor is expected to be in spring 2024. </w:t>
      </w:r>
      <w:r>
        <w:rPr>
          <w:rFonts w:cs="Arial"/>
          <w:color w:val="auto"/>
          <w:szCs w:val="24"/>
        </w:rPr>
        <w:t xml:space="preserve"> </w:t>
      </w:r>
      <w:r w:rsidRPr="004D3970">
        <w:rPr>
          <w:rFonts w:cs="Arial"/>
          <w:color w:val="auto"/>
          <w:szCs w:val="24"/>
        </w:rPr>
        <w:t xml:space="preserve">Below sets out the regional plans and strategies that have helped to shape the Local Plan to date.  </w:t>
      </w:r>
    </w:p>
    <w:p w14:paraId="43E661E8" w14:textId="77777777" w:rsidR="004D3970" w:rsidRPr="003C7E62" w:rsidRDefault="004D3970" w:rsidP="004D3970">
      <w:pPr>
        <w:keepNext w:val="0"/>
        <w:autoSpaceDE w:val="0"/>
        <w:autoSpaceDN w:val="0"/>
        <w:adjustRightInd w:val="0"/>
        <w:spacing w:before="0"/>
        <w:ind w:left="709"/>
        <w:rPr>
          <w:rFonts w:cs="Arial"/>
          <w:color w:val="auto"/>
          <w:szCs w:val="24"/>
        </w:rPr>
      </w:pPr>
    </w:p>
    <w:p w14:paraId="6FF99CED" w14:textId="00372574" w:rsidR="00100330" w:rsidRPr="003C7E62" w:rsidRDefault="00100330" w:rsidP="00606546">
      <w:pPr>
        <w:autoSpaceDE w:val="0"/>
        <w:autoSpaceDN w:val="0"/>
        <w:adjustRightInd w:val="0"/>
        <w:spacing w:before="0"/>
        <w:ind w:left="709"/>
        <w:rPr>
          <w:rFonts w:cs="Arial"/>
          <w:i/>
          <w:color w:val="auto"/>
          <w:szCs w:val="24"/>
          <w:u w:val="single"/>
        </w:rPr>
      </w:pPr>
      <w:r w:rsidRPr="003C7E62">
        <w:rPr>
          <w:rFonts w:cs="Arial"/>
          <w:i/>
          <w:color w:val="auto"/>
          <w:szCs w:val="24"/>
          <w:u w:val="single"/>
        </w:rPr>
        <w:t>Transport Plans</w:t>
      </w:r>
    </w:p>
    <w:p w14:paraId="56062E93" w14:textId="22C367BF" w:rsidR="00100330" w:rsidRPr="009251CD"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 xml:space="preserve">The Local Plan has </w:t>
      </w:r>
      <w:proofErr w:type="gramStart"/>
      <w:r w:rsidRPr="003C7E62">
        <w:rPr>
          <w:rFonts w:cs="Arial"/>
          <w:color w:val="auto"/>
          <w:szCs w:val="24"/>
        </w:rPr>
        <w:t>taken into account</w:t>
      </w:r>
      <w:proofErr w:type="gramEnd"/>
      <w:r w:rsidRPr="003C7E62">
        <w:rPr>
          <w:rFonts w:cs="Arial"/>
          <w:color w:val="auto"/>
          <w:szCs w:val="24"/>
        </w:rPr>
        <w:t xml:space="preserve"> the provisions of the Local Transport Plan (LTP), which sets out Nottinghamshire's transport strategy.  The strategy covers all </w:t>
      </w:r>
      <w:r w:rsidRPr="009251CD">
        <w:rPr>
          <w:rFonts w:cs="Arial"/>
          <w:color w:val="auto"/>
          <w:szCs w:val="24"/>
        </w:rPr>
        <w:t>types of transport including public transport, walking, cycling, cars and freight.</w:t>
      </w:r>
    </w:p>
    <w:p w14:paraId="3D6FBF23" w14:textId="77777777" w:rsidR="00606546" w:rsidRPr="009251CD" w:rsidRDefault="00606546" w:rsidP="00606546">
      <w:pPr>
        <w:keepNext w:val="0"/>
        <w:autoSpaceDE w:val="0"/>
        <w:autoSpaceDN w:val="0"/>
        <w:adjustRightInd w:val="0"/>
        <w:spacing w:before="0"/>
        <w:ind w:left="709"/>
        <w:rPr>
          <w:rFonts w:cs="Arial"/>
          <w:color w:val="auto"/>
          <w:szCs w:val="24"/>
        </w:rPr>
      </w:pPr>
    </w:p>
    <w:p w14:paraId="1DD7FD42" w14:textId="021B9A28" w:rsidR="005A4F12" w:rsidRPr="009251CD" w:rsidRDefault="00100330" w:rsidP="00D01157">
      <w:pPr>
        <w:keepNext w:val="0"/>
        <w:numPr>
          <w:ilvl w:val="1"/>
          <w:numId w:val="52"/>
        </w:numPr>
        <w:autoSpaceDE w:val="0"/>
        <w:autoSpaceDN w:val="0"/>
        <w:adjustRightInd w:val="0"/>
        <w:spacing w:before="0"/>
        <w:ind w:left="709" w:hanging="709"/>
        <w:rPr>
          <w:rFonts w:cs="Arial"/>
          <w:color w:val="auto"/>
          <w:szCs w:val="24"/>
        </w:rPr>
      </w:pPr>
      <w:r w:rsidRPr="009251CD">
        <w:rPr>
          <w:rFonts w:cs="Arial"/>
          <w:color w:val="auto"/>
          <w:szCs w:val="24"/>
        </w:rPr>
        <w:t>The current Local Transport Plan</w:t>
      </w:r>
      <w:r w:rsidRPr="009251CD">
        <w:rPr>
          <w:rFonts w:cs="Arial"/>
          <w:color w:val="auto"/>
          <w:szCs w:val="24"/>
          <w:vertAlign w:val="superscript"/>
        </w:rPr>
        <w:footnoteReference w:id="30"/>
      </w:r>
      <w:r w:rsidRPr="009251CD">
        <w:rPr>
          <w:rFonts w:cs="Arial"/>
          <w:color w:val="auto"/>
          <w:szCs w:val="24"/>
        </w:rPr>
        <w:t xml:space="preserve"> (known as the third Local Transport Plan) runs from 1 April 2011 to 31 March 2026.    It is made up of two documents:</w:t>
      </w:r>
    </w:p>
    <w:p w14:paraId="5FC26699" w14:textId="77777777" w:rsidR="005A4F12" w:rsidRPr="009251CD" w:rsidRDefault="005A4F12" w:rsidP="005A4F12">
      <w:pPr>
        <w:keepNext w:val="0"/>
        <w:autoSpaceDE w:val="0"/>
        <w:autoSpaceDN w:val="0"/>
        <w:adjustRightInd w:val="0"/>
        <w:spacing w:before="0"/>
        <w:rPr>
          <w:rFonts w:cs="Arial"/>
          <w:color w:val="auto"/>
          <w:szCs w:val="24"/>
        </w:rPr>
      </w:pPr>
    </w:p>
    <w:p w14:paraId="3FE6E65B" w14:textId="77777777" w:rsidR="005A4F12" w:rsidRPr="009251CD" w:rsidRDefault="005A4F12" w:rsidP="00D01157">
      <w:pPr>
        <w:keepNext w:val="0"/>
        <w:numPr>
          <w:ilvl w:val="0"/>
          <w:numId w:val="57"/>
        </w:numPr>
        <w:autoSpaceDE w:val="0"/>
        <w:autoSpaceDN w:val="0"/>
        <w:adjustRightInd w:val="0"/>
        <w:spacing w:before="0"/>
        <w:rPr>
          <w:rFonts w:cs="Arial"/>
          <w:color w:val="auto"/>
          <w:szCs w:val="24"/>
        </w:rPr>
      </w:pPr>
      <w:r w:rsidRPr="009251CD">
        <w:rPr>
          <w:rFonts w:cs="Arial"/>
          <w:color w:val="auto"/>
          <w:szCs w:val="24"/>
        </w:rPr>
        <w:t>the Local Transport Plan strategy which details the County Council's vision and the strategy, and</w:t>
      </w:r>
    </w:p>
    <w:p w14:paraId="182004AE" w14:textId="77777777" w:rsidR="005A4F12" w:rsidRPr="009251CD" w:rsidRDefault="005A4F12" w:rsidP="00D01157">
      <w:pPr>
        <w:keepNext w:val="0"/>
        <w:numPr>
          <w:ilvl w:val="0"/>
          <w:numId w:val="57"/>
        </w:numPr>
        <w:autoSpaceDE w:val="0"/>
        <w:autoSpaceDN w:val="0"/>
        <w:adjustRightInd w:val="0"/>
        <w:spacing w:before="0"/>
        <w:rPr>
          <w:rFonts w:cs="Arial"/>
          <w:color w:val="auto"/>
          <w:szCs w:val="24"/>
        </w:rPr>
      </w:pPr>
      <w:r w:rsidRPr="009251CD">
        <w:rPr>
          <w:rFonts w:cs="Arial"/>
          <w:color w:val="auto"/>
          <w:szCs w:val="24"/>
        </w:rPr>
        <w:t>the Implementation Plan 2018/19-2020/21 which details the transport improvements that will help deliver the strategy.</w:t>
      </w:r>
    </w:p>
    <w:p w14:paraId="2E15FD69" w14:textId="77777777" w:rsidR="005A4F12" w:rsidRDefault="005A4F12" w:rsidP="005A4F12">
      <w:pPr>
        <w:keepNext w:val="0"/>
        <w:autoSpaceDE w:val="0"/>
        <w:autoSpaceDN w:val="0"/>
        <w:adjustRightInd w:val="0"/>
        <w:spacing w:before="0"/>
        <w:ind w:left="709"/>
        <w:rPr>
          <w:rFonts w:cs="Arial"/>
          <w:color w:val="auto"/>
          <w:szCs w:val="24"/>
        </w:rPr>
      </w:pPr>
    </w:p>
    <w:p w14:paraId="2D1273E4" w14:textId="7600A169" w:rsidR="002E14E1" w:rsidRPr="004D3970" w:rsidRDefault="00E30F38" w:rsidP="00A44712">
      <w:pPr>
        <w:keepNext w:val="0"/>
        <w:numPr>
          <w:ilvl w:val="1"/>
          <w:numId w:val="52"/>
        </w:numPr>
        <w:autoSpaceDE w:val="0"/>
        <w:autoSpaceDN w:val="0"/>
        <w:adjustRightInd w:val="0"/>
        <w:spacing w:before="0"/>
        <w:ind w:left="709" w:hanging="709"/>
        <w:rPr>
          <w:rFonts w:cs="Arial"/>
          <w:color w:val="auto"/>
          <w:szCs w:val="24"/>
        </w:rPr>
      </w:pPr>
      <w:r w:rsidRPr="004D3970">
        <w:rPr>
          <w:rFonts w:cs="Arial"/>
          <w:szCs w:val="24"/>
        </w:rPr>
        <w:t xml:space="preserve">In spring 2021 the government published the National Bus Strategy. This includes an expectation that in cities and other congested places, there will be significantly more ambitious bus priority schemes, making services faster, more reliable, more attractive to passengers and cheaper to run. Local Transport Authorities are expected to implement ambitious bus priority schemes and draw up ambitious Bus Service Improvement Plans (BSIPs). </w:t>
      </w:r>
      <w:r w:rsidR="004D3970" w:rsidRPr="004D3970">
        <w:rPr>
          <w:rFonts w:cs="Arial"/>
          <w:szCs w:val="24"/>
        </w:rPr>
        <w:t xml:space="preserve">The Bus Service Improvement Plan for Nottinghamshire and Nottingham </w:t>
      </w:r>
      <w:proofErr w:type="gramStart"/>
      <w:r w:rsidR="004D3970" w:rsidRPr="004D3970">
        <w:rPr>
          <w:rFonts w:cs="Arial"/>
          <w:szCs w:val="24"/>
        </w:rPr>
        <w:t>has</w:t>
      </w:r>
      <w:proofErr w:type="gramEnd"/>
      <w:r w:rsidR="004D3970" w:rsidRPr="004D3970">
        <w:rPr>
          <w:rFonts w:cs="Arial"/>
          <w:szCs w:val="24"/>
        </w:rPr>
        <w:t xml:space="preserve"> been drafted and in the process of being implemented. The Enhanced Partnership (EP) Plan and scheme is in progress.</w:t>
      </w:r>
    </w:p>
    <w:p w14:paraId="79506A58" w14:textId="77777777" w:rsidR="005E7952" w:rsidRPr="002E14E1" w:rsidRDefault="005E7952" w:rsidP="005E7952">
      <w:pPr>
        <w:keepNext w:val="0"/>
        <w:autoSpaceDE w:val="0"/>
        <w:autoSpaceDN w:val="0"/>
        <w:adjustRightInd w:val="0"/>
        <w:spacing w:before="0"/>
        <w:ind w:left="709"/>
        <w:rPr>
          <w:rFonts w:cs="Arial"/>
          <w:color w:val="auto"/>
          <w:szCs w:val="24"/>
        </w:rPr>
      </w:pPr>
    </w:p>
    <w:p w14:paraId="273EAAA5" w14:textId="7DF914EB" w:rsidR="005A4F12" w:rsidRPr="002E14E1" w:rsidRDefault="00E30F38" w:rsidP="002E14E1">
      <w:pPr>
        <w:keepNext w:val="0"/>
        <w:numPr>
          <w:ilvl w:val="1"/>
          <w:numId w:val="52"/>
        </w:numPr>
        <w:autoSpaceDE w:val="0"/>
        <w:autoSpaceDN w:val="0"/>
        <w:adjustRightInd w:val="0"/>
        <w:spacing w:before="0"/>
        <w:ind w:left="709" w:hanging="709"/>
        <w:rPr>
          <w:rFonts w:cs="Arial"/>
          <w:color w:val="auto"/>
          <w:szCs w:val="24"/>
        </w:rPr>
      </w:pPr>
      <w:r w:rsidRPr="003943F3">
        <w:rPr>
          <w:rFonts w:cs="Arial"/>
          <w:szCs w:val="24"/>
        </w:rPr>
        <w:t xml:space="preserve">Transport </w:t>
      </w:r>
      <w:r w:rsidRPr="00E30F38">
        <w:rPr>
          <w:rFonts w:cs="Arial"/>
          <w:color w:val="auto"/>
          <w:szCs w:val="24"/>
        </w:rPr>
        <w:t>connectivity to existing train stations within Ashfield and to neighbouring districts is required along with enabling access to</w:t>
      </w:r>
      <w:r w:rsidR="00774946">
        <w:rPr>
          <w:rFonts w:cs="Arial"/>
          <w:color w:val="auto"/>
          <w:szCs w:val="24"/>
        </w:rPr>
        <w:t xml:space="preserve"> and from </w:t>
      </w:r>
      <w:r w:rsidRPr="00E30F38">
        <w:rPr>
          <w:rFonts w:cs="Arial"/>
          <w:color w:val="auto"/>
          <w:szCs w:val="24"/>
        </w:rPr>
        <w:t>employment</w:t>
      </w:r>
      <w:r w:rsidR="00774946">
        <w:rPr>
          <w:rFonts w:cs="Arial"/>
          <w:color w:val="auto"/>
          <w:szCs w:val="24"/>
        </w:rPr>
        <w:t xml:space="preserve">, education, </w:t>
      </w:r>
      <w:r w:rsidR="004D3970">
        <w:rPr>
          <w:rFonts w:cs="Arial"/>
          <w:color w:val="auto"/>
          <w:szCs w:val="24"/>
        </w:rPr>
        <w:t xml:space="preserve">health, </w:t>
      </w:r>
      <w:r w:rsidR="00774946">
        <w:rPr>
          <w:rFonts w:cs="Arial"/>
          <w:color w:val="auto"/>
          <w:szCs w:val="24"/>
        </w:rPr>
        <w:t>leisure and other services</w:t>
      </w:r>
      <w:r w:rsidRPr="00E30F38">
        <w:rPr>
          <w:rFonts w:cs="Arial"/>
          <w:color w:val="auto"/>
          <w:szCs w:val="24"/>
        </w:rPr>
        <w:t>. Ashfield is not solely a feeder for employment opportunities in neighbouring cities but has employment</w:t>
      </w:r>
      <w:r w:rsidR="00774946">
        <w:rPr>
          <w:rFonts w:cs="Arial"/>
          <w:color w:val="auto"/>
          <w:szCs w:val="24"/>
        </w:rPr>
        <w:t>, innovation and education</w:t>
      </w:r>
      <w:r w:rsidRPr="00E30F38">
        <w:rPr>
          <w:rFonts w:cs="Arial"/>
          <w:color w:val="auto"/>
          <w:szCs w:val="24"/>
        </w:rPr>
        <w:t xml:space="preserve"> </w:t>
      </w:r>
      <w:r w:rsidR="00774946" w:rsidRPr="00E30F38">
        <w:rPr>
          <w:rFonts w:cs="Arial"/>
          <w:color w:val="auto"/>
          <w:szCs w:val="24"/>
        </w:rPr>
        <w:t xml:space="preserve">opportunities </w:t>
      </w:r>
      <w:r w:rsidRPr="00E30F38">
        <w:rPr>
          <w:rFonts w:cs="Arial"/>
          <w:color w:val="auto"/>
          <w:szCs w:val="24"/>
        </w:rPr>
        <w:t>within the district</w:t>
      </w:r>
      <w:r w:rsidR="003943F3">
        <w:rPr>
          <w:rFonts w:cs="Arial"/>
          <w:color w:val="auto"/>
          <w:szCs w:val="24"/>
        </w:rPr>
        <w:t>.</w:t>
      </w:r>
      <w:r w:rsidR="002E14E1">
        <w:rPr>
          <w:rFonts w:cs="Arial"/>
          <w:color w:val="auto"/>
          <w:szCs w:val="24"/>
        </w:rPr>
        <w:t xml:space="preserve"> </w:t>
      </w:r>
      <w:r w:rsidR="002E14E1" w:rsidRPr="005A4F12">
        <w:rPr>
          <w:rFonts w:cs="Arial"/>
          <w:color w:val="auto"/>
          <w:szCs w:val="24"/>
        </w:rPr>
        <w:t>Transport connectivity to existing train stations within Ashfield and to neighbouring districts is required along with enabling access to employment</w:t>
      </w:r>
      <w:r w:rsidR="002E14E1">
        <w:rPr>
          <w:rFonts w:cs="Arial"/>
          <w:color w:val="auto"/>
          <w:szCs w:val="24"/>
        </w:rPr>
        <w:t>.</w:t>
      </w:r>
      <w:r w:rsidR="002E14E1" w:rsidRPr="002E14E1">
        <w:rPr>
          <w:rFonts w:cs="Arial"/>
          <w:color w:val="auto"/>
          <w:szCs w:val="24"/>
        </w:rPr>
        <w:t xml:space="preserve"> </w:t>
      </w:r>
    </w:p>
    <w:p w14:paraId="74CBD1AA" w14:textId="77777777" w:rsidR="005A4F12" w:rsidRPr="003C7E62" w:rsidRDefault="005A4F12" w:rsidP="005A4F12">
      <w:pPr>
        <w:keepNext w:val="0"/>
        <w:autoSpaceDE w:val="0"/>
        <w:autoSpaceDN w:val="0"/>
        <w:adjustRightInd w:val="0"/>
        <w:spacing w:before="0"/>
        <w:ind w:left="709"/>
        <w:rPr>
          <w:rFonts w:cs="Arial"/>
          <w:color w:val="auto"/>
          <w:szCs w:val="24"/>
        </w:rPr>
      </w:pPr>
    </w:p>
    <w:p w14:paraId="287D5F13" w14:textId="77777777" w:rsidR="00100330" w:rsidRPr="003C7E62"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 xml:space="preserve">The County Council have undertaken </w:t>
      </w:r>
      <w:proofErr w:type="gramStart"/>
      <w:r w:rsidRPr="003C7E62">
        <w:rPr>
          <w:rFonts w:cs="Arial"/>
          <w:color w:val="auto"/>
          <w:szCs w:val="24"/>
        </w:rPr>
        <w:t>a number of</w:t>
      </w:r>
      <w:proofErr w:type="gramEnd"/>
      <w:r w:rsidRPr="003C7E62">
        <w:rPr>
          <w:rFonts w:cs="Arial"/>
          <w:color w:val="auto"/>
          <w:szCs w:val="24"/>
        </w:rPr>
        <w:t xml:space="preserve"> studies to identify potential options for improvements to local roads in Ashfield which are anticipated to influence future Implementation Plans.</w:t>
      </w:r>
    </w:p>
    <w:p w14:paraId="6CB73D13" w14:textId="77777777" w:rsidR="00606546" w:rsidRPr="003C7E62" w:rsidRDefault="00606546" w:rsidP="00606546">
      <w:pPr>
        <w:autoSpaceDE w:val="0"/>
        <w:autoSpaceDN w:val="0"/>
        <w:adjustRightInd w:val="0"/>
        <w:spacing w:before="0"/>
        <w:rPr>
          <w:rFonts w:cs="Arial"/>
          <w:i/>
          <w:color w:val="auto"/>
          <w:szCs w:val="24"/>
          <w:u w:val="single"/>
        </w:rPr>
      </w:pPr>
    </w:p>
    <w:p w14:paraId="7ED00C36" w14:textId="4B80C985" w:rsidR="00100330" w:rsidRPr="004468F4" w:rsidRDefault="00100330" w:rsidP="00606546">
      <w:pPr>
        <w:autoSpaceDE w:val="0"/>
        <w:autoSpaceDN w:val="0"/>
        <w:adjustRightInd w:val="0"/>
        <w:spacing w:before="0"/>
        <w:ind w:left="709"/>
        <w:rPr>
          <w:rFonts w:cs="Arial"/>
          <w:i/>
          <w:color w:val="auto"/>
          <w:szCs w:val="24"/>
          <w:u w:val="single"/>
        </w:rPr>
      </w:pPr>
      <w:bookmarkStart w:id="18" w:name="_Hlk222224689"/>
      <w:r w:rsidRPr="004468F4">
        <w:rPr>
          <w:rFonts w:cs="Arial"/>
          <w:i/>
          <w:color w:val="auto"/>
          <w:szCs w:val="24"/>
          <w:u w:val="single"/>
        </w:rPr>
        <w:t>D2N2 Local Economic Partnership</w:t>
      </w:r>
    </w:p>
    <w:p w14:paraId="753B8C21" w14:textId="370A9CB8" w:rsidR="008B78E9" w:rsidRPr="004468F4" w:rsidRDefault="00100330" w:rsidP="00A44712">
      <w:pPr>
        <w:keepNext w:val="0"/>
        <w:numPr>
          <w:ilvl w:val="1"/>
          <w:numId w:val="52"/>
        </w:numPr>
        <w:autoSpaceDE w:val="0"/>
        <w:autoSpaceDN w:val="0"/>
        <w:adjustRightInd w:val="0"/>
        <w:spacing w:before="0"/>
        <w:ind w:left="709" w:hanging="709"/>
        <w:rPr>
          <w:rFonts w:cs="Arial"/>
          <w:color w:val="0070C0"/>
          <w:szCs w:val="24"/>
        </w:rPr>
      </w:pPr>
      <w:r w:rsidRPr="004468F4">
        <w:rPr>
          <w:rFonts w:eastAsia="Calibri" w:cs="Arial"/>
          <w:color w:val="auto"/>
          <w:szCs w:val="24"/>
          <w:shd w:val="clear" w:color="auto" w:fill="FFFFFF"/>
        </w:rPr>
        <w:t xml:space="preserve">Local Economic Partnerships (LEPs) </w:t>
      </w:r>
      <w:r w:rsidRPr="004468F4">
        <w:rPr>
          <w:rFonts w:eastAsia="Calibri" w:cs="Arial"/>
          <w:strike/>
          <w:color w:val="auto"/>
          <w:szCs w:val="24"/>
          <w:shd w:val="clear" w:color="auto" w:fill="FFFFFF"/>
        </w:rPr>
        <w:t>are</w:t>
      </w:r>
      <w:r w:rsidRPr="004468F4">
        <w:rPr>
          <w:rFonts w:eastAsia="Calibri" w:cs="Arial"/>
          <w:color w:val="auto"/>
          <w:szCs w:val="24"/>
          <w:shd w:val="clear" w:color="auto" w:fill="FFFFFF"/>
        </w:rPr>
        <w:t xml:space="preserve"> </w:t>
      </w:r>
      <w:proofErr w:type="gramStart"/>
      <w:r w:rsidR="008417A0" w:rsidRPr="004468F4">
        <w:rPr>
          <w:rFonts w:eastAsia="Calibri" w:cs="Arial"/>
          <w:color w:val="0070C0"/>
          <w:szCs w:val="24"/>
          <w:shd w:val="clear" w:color="auto" w:fill="FFFFFF"/>
        </w:rPr>
        <w:t>were</w:t>
      </w:r>
      <w:proofErr w:type="gramEnd"/>
      <w:r w:rsidR="008417A0" w:rsidRPr="004468F4">
        <w:rPr>
          <w:rFonts w:eastAsia="Calibri" w:cs="Arial"/>
          <w:color w:val="auto"/>
          <w:szCs w:val="24"/>
          <w:shd w:val="clear" w:color="auto" w:fill="FFFFFF"/>
        </w:rPr>
        <w:t xml:space="preserve"> </w:t>
      </w:r>
      <w:r w:rsidRPr="004468F4">
        <w:rPr>
          <w:rFonts w:eastAsia="Calibri" w:cs="Arial"/>
          <w:color w:val="auto"/>
          <w:szCs w:val="24"/>
          <w:shd w:val="clear" w:color="auto" w:fill="FFFFFF"/>
        </w:rPr>
        <w:t>non-statutory partnerships between local authorities and businesses, which promote</w:t>
      </w:r>
      <w:r w:rsidR="008417A0" w:rsidRPr="004468F4">
        <w:rPr>
          <w:rFonts w:eastAsia="Calibri" w:cs="Arial"/>
          <w:color w:val="auto"/>
          <w:szCs w:val="24"/>
          <w:shd w:val="clear" w:color="auto" w:fill="FFFFFF"/>
        </w:rPr>
        <w:t>d</w:t>
      </w:r>
      <w:r w:rsidRPr="004468F4">
        <w:rPr>
          <w:rFonts w:eastAsia="Calibri" w:cs="Arial"/>
          <w:color w:val="auto"/>
          <w:szCs w:val="24"/>
          <w:shd w:val="clear" w:color="auto" w:fill="FFFFFF"/>
        </w:rPr>
        <w:t xml:space="preserve"> economic growth in their local area.  D2N2 </w:t>
      </w:r>
      <w:proofErr w:type="gramStart"/>
      <w:r w:rsidRPr="004468F4">
        <w:rPr>
          <w:rFonts w:eastAsia="Calibri" w:cs="Arial"/>
          <w:strike/>
          <w:color w:val="auto"/>
          <w:szCs w:val="24"/>
          <w:shd w:val="clear" w:color="auto" w:fill="FFFFFF"/>
        </w:rPr>
        <w:t>is</w:t>
      </w:r>
      <w:proofErr w:type="gramEnd"/>
      <w:r w:rsidRPr="004468F4">
        <w:rPr>
          <w:rFonts w:eastAsia="Calibri" w:cs="Arial"/>
          <w:color w:val="auto"/>
          <w:szCs w:val="24"/>
          <w:shd w:val="clear" w:color="auto" w:fill="FFFFFF"/>
        </w:rPr>
        <w:t xml:space="preserve"> </w:t>
      </w:r>
      <w:r w:rsidR="008417A0" w:rsidRPr="004468F4">
        <w:rPr>
          <w:rFonts w:eastAsia="Calibri" w:cs="Arial"/>
          <w:color w:val="0070C0"/>
          <w:szCs w:val="24"/>
          <w:shd w:val="clear" w:color="auto" w:fill="FFFFFF"/>
        </w:rPr>
        <w:t>was</w:t>
      </w:r>
      <w:r w:rsidR="008417A0" w:rsidRPr="004468F4">
        <w:rPr>
          <w:rFonts w:eastAsia="Calibri" w:cs="Arial"/>
          <w:b/>
          <w:color w:val="0070C0"/>
          <w:szCs w:val="24"/>
          <w:shd w:val="clear" w:color="auto" w:fill="FFFFFF"/>
        </w:rPr>
        <w:t xml:space="preserve"> </w:t>
      </w:r>
      <w:r w:rsidRPr="004468F4">
        <w:rPr>
          <w:rFonts w:eastAsia="Calibri" w:cs="Arial"/>
          <w:color w:val="auto"/>
          <w:szCs w:val="24"/>
          <w:shd w:val="clear" w:color="auto" w:fill="FFFFFF"/>
        </w:rPr>
        <w:t xml:space="preserve">the LEP that </w:t>
      </w:r>
      <w:r w:rsidRPr="004468F4">
        <w:rPr>
          <w:rFonts w:eastAsia="Calibri" w:cs="Arial"/>
          <w:strike/>
          <w:color w:val="auto"/>
          <w:szCs w:val="24"/>
          <w:shd w:val="clear" w:color="auto" w:fill="FFFFFF"/>
        </w:rPr>
        <w:t>covers</w:t>
      </w:r>
      <w:r w:rsidRPr="004468F4">
        <w:rPr>
          <w:rFonts w:eastAsia="Calibri" w:cs="Arial"/>
          <w:color w:val="auto"/>
          <w:szCs w:val="24"/>
          <w:shd w:val="clear" w:color="auto" w:fill="FFFFFF"/>
        </w:rPr>
        <w:t xml:space="preserve"> </w:t>
      </w:r>
      <w:r w:rsidR="008417A0" w:rsidRPr="004468F4">
        <w:rPr>
          <w:rFonts w:eastAsia="Calibri" w:cs="Arial"/>
          <w:b/>
          <w:bCs/>
          <w:color w:val="auto"/>
          <w:szCs w:val="24"/>
          <w:shd w:val="clear" w:color="auto" w:fill="FFFFFF"/>
        </w:rPr>
        <w:t xml:space="preserve">covered </w:t>
      </w:r>
      <w:r w:rsidRPr="004468F4">
        <w:rPr>
          <w:rFonts w:eastAsia="Calibri" w:cs="Arial"/>
          <w:color w:val="auto"/>
          <w:szCs w:val="24"/>
          <w:shd w:val="clear" w:color="auto" w:fill="FFFFFF"/>
        </w:rPr>
        <w:t>Nottinghamshire and Derbyshire.</w:t>
      </w:r>
      <w:r w:rsidR="006900F6" w:rsidRPr="004468F4">
        <w:t xml:space="preserve"> </w:t>
      </w:r>
      <w:r w:rsidR="006900F6" w:rsidRPr="004468F4">
        <w:rPr>
          <w:rFonts w:cs="Arial"/>
          <w:strike/>
          <w:color w:val="auto"/>
          <w:szCs w:val="24"/>
        </w:rPr>
        <w:t xml:space="preserve">The D2N2 LEP is currently due to close in 2024, when their functions will </w:t>
      </w:r>
      <w:proofErr w:type="gramStart"/>
      <w:r w:rsidR="006900F6" w:rsidRPr="004468F4">
        <w:rPr>
          <w:rFonts w:cs="Arial"/>
          <w:strike/>
          <w:color w:val="auto"/>
          <w:szCs w:val="24"/>
        </w:rPr>
        <w:t>transferred</w:t>
      </w:r>
      <w:proofErr w:type="gramEnd"/>
      <w:r w:rsidR="006900F6" w:rsidRPr="004468F4">
        <w:rPr>
          <w:rFonts w:cs="Arial"/>
          <w:strike/>
          <w:color w:val="auto"/>
          <w:szCs w:val="24"/>
        </w:rPr>
        <w:t xml:space="preserve"> to the combined authority.</w:t>
      </w:r>
      <w:r w:rsidR="008417A0" w:rsidRPr="004468F4">
        <w:rPr>
          <w:rFonts w:cs="Arial"/>
          <w:color w:val="auto"/>
          <w:szCs w:val="24"/>
        </w:rPr>
        <w:t xml:space="preserve"> </w:t>
      </w:r>
      <w:r w:rsidR="008417A0" w:rsidRPr="004468F4">
        <w:rPr>
          <w:color w:val="0070C0"/>
        </w:rPr>
        <w:t>As of 2024-25, the core functions and</w:t>
      </w:r>
      <w:r w:rsidR="008417A0" w:rsidRPr="004468F4">
        <w:rPr>
          <w:b/>
          <w:color w:val="0070C0"/>
        </w:rPr>
        <w:t xml:space="preserve"> </w:t>
      </w:r>
      <w:r w:rsidR="008417A0" w:rsidRPr="004468F4">
        <w:rPr>
          <w:color w:val="0070C0"/>
        </w:rPr>
        <w:t xml:space="preserve">funding </w:t>
      </w:r>
      <w:r w:rsidR="008417A0" w:rsidRPr="004468F4">
        <w:rPr>
          <w:color w:val="0070C0"/>
        </w:rPr>
        <w:lastRenderedPageBreak/>
        <w:t>of the D2N2 LEP were transferred to the East Midlands Combined County Authority, ensuring long term strategy.</w:t>
      </w:r>
    </w:p>
    <w:p w14:paraId="6FE42C8B" w14:textId="77777777" w:rsidR="008417A0" w:rsidRPr="007E66A6" w:rsidRDefault="008417A0" w:rsidP="008417A0">
      <w:pPr>
        <w:keepNext w:val="0"/>
        <w:autoSpaceDE w:val="0"/>
        <w:autoSpaceDN w:val="0"/>
        <w:adjustRightInd w:val="0"/>
        <w:spacing w:before="0"/>
        <w:ind w:left="709"/>
        <w:rPr>
          <w:rFonts w:cs="Arial"/>
          <w:color w:val="auto"/>
          <w:szCs w:val="24"/>
          <w:highlight w:val="yellow"/>
        </w:rPr>
      </w:pPr>
    </w:p>
    <w:p w14:paraId="4EF246BC" w14:textId="3BAD6222" w:rsidR="00606546" w:rsidRPr="008417A0" w:rsidRDefault="008417A0" w:rsidP="008417A0">
      <w:pPr>
        <w:keepNext w:val="0"/>
        <w:numPr>
          <w:ilvl w:val="1"/>
          <w:numId w:val="52"/>
        </w:numPr>
        <w:autoSpaceDE w:val="0"/>
        <w:autoSpaceDN w:val="0"/>
        <w:adjustRightInd w:val="0"/>
        <w:spacing w:before="0"/>
        <w:ind w:left="709" w:hanging="709"/>
        <w:rPr>
          <w:rFonts w:cs="Arial"/>
          <w:strike/>
          <w:color w:val="auto"/>
          <w:szCs w:val="24"/>
        </w:rPr>
      </w:pPr>
      <w:r w:rsidRPr="004468F4">
        <w:rPr>
          <w:color w:val="0070C0"/>
          <w:shd w:val="clear" w:color="auto" w:fill="FFFFFF"/>
        </w:rPr>
        <w:t>The East Midlands Combined County Authority has produced three strategies - The East Midlands Vision for Growth, the East Midlands Growth Plan 2025 -2035 and the East Midlands Inclusive Growth Framework.   The East Midlands Vision for Growth sets out the region’s bold plan which will transform the region. Delivery of the vision will create 100,000 new jobs, deliver 52,000 new homes, and add £4 billion to the East Midlands economy. Ashfield is located within the Heartlands Area, in the centre of the East Midlands Region. The East Midlands Growth Plan promises major investment into the region over the next decade, backing key industries such as clean energy, advanced manufacturing, digital, and the visitor economy.   The aim of the East Midlands Inclusive Growth Framework is to ensure that growth works for everyone by creating pathways into good jobs, supporting communities, and attracting investment.</w:t>
      </w:r>
      <w:r w:rsidRPr="003711D3">
        <w:rPr>
          <w:color w:val="0070C0"/>
          <w:shd w:val="clear" w:color="auto" w:fill="FFFFFF"/>
        </w:rPr>
        <w:t xml:space="preserve">  </w:t>
      </w:r>
      <w:r w:rsidR="00100330" w:rsidRPr="008417A0">
        <w:rPr>
          <w:rFonts w:eastAsia="Calibri" w:cs="Arial"/>
          <w:bCs/>
          <w:strike/>
          <w:color w:val="auto"/>
          <w:szCs w:val="24"/>
          <w:shd w:val="clear" w:color="auto" w:fill="FFFFFF"/>
        </w:rPr>
        <w:t xml:space="preserve">D2N2 </w:t>
      </w:r>
      <w:r w:rsidR="00100330" w:rsidRPr="008417A0">
        <w:rPr>
          <w:rFonts w:eastAsia="Calibri" w:cs="Arial"/>
          <w:strike/>
          <w:color w:val="auto"/>
          <w:szCs w:val="24"/>
          <w:shd w:val="clear" w:color="auto" w:fill="FFFFFF"/>
        </w:rPr>
        <w:t>has published an updated Strategic Economic Plan</w:t>
      </w:r>
      <w:r w:rsidR="009871EF" w:rsidRPr="008417A0">
        <w:rPr>
          <w:rFonts w:eastAsia="Calibri" w:cs="Arial"/>
          <w:strike/>
          <w:color w:val="auto"/>
          <w:szCs w:val="24"/>
          <w:shd w:val="clear" w:color="auto" w:fill="FFFFFF"/>
        </w:rPr>
        <w:t>, 2014,</w:t>
      </w:r>
      <w:r w:rsidR="00100330" w:rsidRPr="008417A0">
        <w:rPr>
          <w:rFonts w:eastAsia="Calibri" w:cs="Arial"/>
          <w:strike/>
          <w:color w:val="auto"/>
          <w:szCs w:val="24"/>
          <w:shd w:val="clear" w:color="auto" w:fill="FFFFFF"/>
        </w:rPr>
        <w:t xml:space="preserve"> as the first stage of its Local Industrial Strategy (LIS)</w:t>
      </w:r>
      <w:r w:rsidR="009871EF" w:rsidRPr="008417A0">
        <w:rPr>
          <w:rFonts w:eastAsia="Calibri" w:cs="Arial"/>
          <w:strike/>
          <w:color w:val="auto"/>
          <w:szCs w:val="24"/>
          <w:shd w:val="clear" w:color="auto" w:fill="FFFFFF"/>
        </w:rPr>
        <w:t>, 2019.</w:t>
      </w:r>
      <w:r w:rsidR="00100330" w:rsidRPr="008417A0">
        <w:rPr>
          <w:rFonts w:eastAsia="Calibri" w:cs="Arial"/>
          <w:strike/>
          <w:color w:val="auto"/>
          <w:szCs w:val="24"/>
          <w:shd w:val="clear" w:color="auto" w:fill="FFFFFF"/>
        </w:rPr>
        <w:t xml:space="preserve"> This has been summarised by the Local Economic Partnership Network</w:t>
      </w:r>
      <w:r w:rsidR="00100330" w:rsidRPr="008417A0">
        <w:rPr>
          <w:rFonts w:eastAsia="Calibri" w:cs="Arial"/>
          <w:strike/>
          <w:color w:val="auto"/>
          <w:szCs w:val="24"/>
          <w:shd w:val="clear" w:color="auto" w:fill="FFFFFF"/>
          <w:vertAlign w:val="superscript"/>
        </w:rPr>
        <w:footnoteReference w:id="31"/>
      </w:r>
      <w:r w:rsidR="00100330" w:rsidRPr="008417A0">
        <w:rPr>
          <w:rFonts w:eastAsia="Calibri" w:cs="Arial"/>
          <w:strike/>
          <w:color w:val="auto"/>
          <w:szCs w:val="24"/>
          <w:shd w:val="clear" w:color="auto" w:fill="FFFFFF"/>
        </w:rPr>
        <w:t xml:space="preserve"> as follows:</w:t>
      </w:r>
    </w:p>
    <w:p w14:paraId="71B0F6FD" w14:textId="3B7D3F4D" w:rsidR="00100330" w:rsidRPr="008417A0" w:rsidRDefault="00100330" w:rsidP="00606546">
      <w:pPr>
        <w:keepNext w:val="0"/>
        <w:autoSpaceDE w:val="0"/>
        <w:autoSpaceDN w:val="0"/>
        <w:adjustRightInd w:val="0"/>
        <w:spacing w:before="0"/>
        <w:rPr>
          <w:rFonts w:eastAsia="Calibri" w:cs="Arial"/>
          <w:strike/>
          <w:color w:val="auto"/>
          <w:szCs w:val="24"/>
        </w:rPr>
      </w:pPr>
      <w:r w:rsidRPr="008417A0">
        <w:rPr>
          <w:rFonts w:eastAsia="Calibri" w:cs="Arial"/>
          <w:strike/>
          <w:color w:val="auto"/>
          <w:szCs w:val="24"/>
          <w:shd w:val="clear" w:color="auto" w:fill="FFFFFF"/>
        </w:rPr>
        <w:t xml:space="preserve"> </w:t>
      </w:r>
    </w:p>
    <w:p w14:paraId="73F3DECF" w14:textId="0EF8892A" w:rsidR="009871EF" w:rsidRPr="008417A0" w:rsidRDefault="00100330" w:rsidP="009871EF">
      <w:pPr>
        <w:autoSpaceDE w:val="0"/>
        <w:autoSpaceDN w:val="0"/>
        <w:adjustRightInd w:val="0"/>
        <w:spacing w:before="0"/>
        <w:ind w:left="709" w:right="425"/>
        <w:rPr>
          <w:rFonts w:eastAsia="Calibri" w:cs="Arial"/>
          <w:i/>
          <w:strike/>
          <w:color w:val="auto"/>
          <w:szCs w:val="24"/>
          <w:shd w:val="clear" w:color="auto" w:fill="FFFFFF"/>
        </w:rPr>
      </w:pPr>
      <w:r w:rsidRPr="008417A0">
        <w:rPr>
          <w:rFonts w:eastAsia="Calibri" w:cs="Arial"/>
          <w:i/>
          <w:strike/>
          <w:color w:val="auto"/>
          <w:szCs w:val="24"/>
          <w:shd w:val="clear" w:color="auto" w:fill="FFFFFF"/>
        </w:rPr>
        <w:t>‘The D2N2 LEP’s Local Industrial Strategy deliver a roadmap towards achieving the vision that</w:t>
      </w:r>
      <w:r w:rsidR="00B65753" w:rsidRPr="008417A0">
        <w:rPr>
          <w:rFonts w:eastAsia="Calibri" w:cs="Arial"/>
          <w:i/>
          <w:strike/>
          <w:color w:val="auto"/>
          <w:szCs w:val="24"/>
          <w:shd w:val="clear" w:color="auto" w:fill="FFFFFF"/>
        </w:rPr>
        <w:t>:</w:t>
      </w:r>
    </w:p>
    <w:p w14:paraId="410F3D21" w14:textId="77777777" w:rsidR="00B65753" w:rsidRPr="008417A0" w:rsidRDefault="00B65753" w:rsidP="006900F6">
      <w:pPr>
        <w:autoSpaceDE w:val="0"/>
        <w:autoSpaceDN w:val="0"/>
        <w:adjustRightInd w:val="0"/>
        <w:spacing w:before="0"/>
        <w:ind w:left="993" w:right="425"/>
        <w:rPr>
          <w:rFonts w:eastAsia="Calibri" w:cs="Arial"/>
          <w:i/>
          <w:iCs/>
          <w:strike/>
          <w:color w:val="auto"/>
          <w:szCs w:val="24"/>
          <w:shd w:val="clear" w:color="auto" w:fill="FFFFFF"/>
        </w:rPr>
      </w:pPr>
    </w:p>
    <w:p w14:paraId="4471123F" w14:textId="1195F61C" w:rsidR="009871EF" w:rsidRPr="008417A0" w:rsidRDefault="00100330" w:rsidP="006900F6">
      <w:pPr>
        <w:autoSpaceDE w:val="0"/>
        <w:autoSpaceDN w:val="0"/>
        <w:adjustRightInd w:val="0"/>
        <w:spacing w:before="0"/>
        <w:ind w:left="993" w:right="425"/>
        <w:rPr>
          <w:rFonts w:eastAsia="Calibri" w:cs="Arial"/>
          <w:i/>
          <w:iCs/>
          <w:strike/>
          <w:color w:val="auto"/>
          <w:szCs w:val="24"/>
          <w:shd w:val="clear" w:color="auto" w:fill="FFFFFF"/>
        </w:rPr>
      </w:pPr>
      <w:r w:rsidRPr="008417A0">
        <w:rPr>
          <w:rFonts w:eastAsia="Calibri" w:cs="Arial"/>
          <w:i/>
          <w:iCs/>
          <w:strike/>
          <w:color w:val="auto"/>
          <w:szCs w:val="24"/>
          <w:shd w:val="clear" w:color="auto" w:fill="FFFFFF"/>
        </w:rPr>
        <w:t>by 2030, D2N2 will have a transformed high-value economy, prosperous, healthy and inclusive, and one of the most productive in Europe. The spark in the UK’s growth engine. </w:t>
      </w:r>
    </w:p>
    <w:p w14:paraId="697E60FF" w14:textId="77777777" w:rsidR="009871EF" w:rsidRPr="008417A0" w:rsidRDefault="009871EF" w:rsidP="006900F6">
      <w:pPr>
        <w:autoSpaceDE w:val="0"/>
        <w:autoSpaceDN w:val="0"/>
        <w:adjustRightInd w:val="0"/>
        <w:spacing w:before="0"/>
        <w:ind w:left="993" w:right="425"/>
        <w:rPr>
          <w:rFonts w:eastAsia="Calibri" w:cs="Arial"/>
          <w:i/>
          <w:iCs/>
          <w:strike/>
          <w:color w:val="auto"/>
          <w:szCs w:val="24"/>
          <w:shd w:val="clear" w:color="auto" w:fill="FFFFFF"/>
        </w:rPr>
      </w:pPr>
    </w:p>
    <w:p w14:paraId="5847AF6D" w14:textId="5D04748F" w:rsidR="00606546" w:rsidRPr="008417A0" w:rsidRDefault="00100330" w:rsidP="009871EF">
      <w:pPr>
        <w:autoSpaceDE w:val="0"/>
        <w:autoSpaceDN w:val="0"/>
        <w:adjustRightInd w:val="0"/>
        <w:spacing w:before="0"/>
        <w:ind w:left="709" w:right="425"/>
        <w:rPr>
          <w:rFonts w:eastAsia="Calibri" w:cs="Arial"/>
          <w:strike/>
          <w:noProof/>
          <w:color w:val="auto"/>
          <w:szCs w:val="24"/>
        </w:rPr>
      </w:pPr>
      <w:r w:rsidRPr="008417A0">
        <w:rPr>
          <w:rFonts w:eastAsia="Calibri" w:cs="Arial"/>
          <w:i/>
          <w:strike/>
          <w:color w:val="auto"/>
          <w:szCs w:val="24"/>
          <w:shd w:val="clear" w:color="auto" w:fill="FFFFFF"/>
        </w:rPr>
        <w:t>It will tackle the cross-sector productivity gap alongside capitalising on its key innovation and business assets. The D2N2 LIS prioritises those policies and interventions that will have the greatest impact in driving productivity and promoting prosperity in all their communities.</w:t>
      </w:r>
      <w:r w:rsidRPr="008417A0">
        <w:rPr>
          <w:rFonts w:eastAsia="Calibri" w:cs="Arial"/>
          <w:strike/>
          <w:color w:val="auto"/>
          <w:szCs w:val="24"/>
          <w:shd w:val="clear" w:color="auto" w:fill="FFFFFF"/>
        </w:rPr>
        <w:t xml:space="preserve">’    </w:t>
      </w:r>
      <w:r w:rsidRPr="008417A0">
        <w:rPr>
          <w:rFonts w:eastAsia="Calibri" w:cs="Arial"/>
          <w:strike/>
          <w:noProof/>
          <w:color w:val="auto"/>
          <w:szCs w:val="24"/>
        </w:rPr>
        <w:t xml:space="preserve">  </w:t>
      </w:r>
    </w:p>
    <w:p w14:paraId="2D003C93" w14:textId="3779D75C" w:rsidR="00100330" w:rsidRPr="003C7E62" w:rsidRDefault="00100330" w:rsidP="00606546">
      <w:pPr>
        <w:autoSpaceDE w:val="0"/>
        <w:autoSpaceDN w:val="0"/>
        <w:adjustRightInd w:val="0"/>
        <w:spacing w:before="0"/>
        <w:rPr>
          <w:rFonts w:eastAsia="Calibri" w:cs="Arial"/>
          <w:color w:val="auto"/>
          <w:szCs w:val="24"/>
        </w:rPr>
      </w:pPr>
      <w:r w:rsidRPr="003C7E62">
        <w:rPr>
          <w:rFonts w:eastAsia="Calibri" w:cs="Arial"/>
          <w:noProof/>
          <w:color w:val="auto"/>
          <w:szCs w:val="24"/>
        </w:rPr>
        <w:t xml:space="preserve">           </w:t>
      </w:r>
    </w:p>
    <w:p w14:paraId="7D20A632" w14:textId="71912339" w:rsidR="00100330" w:rsidRPr="004468F4"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eastAsia="Calibri" w:cs="Arial"/>
          <w:color w:val="auto"/>
          <w:szCs w:val="24"/>
          <w:shd w:val="clear" w:color="auto" w:fill="FFFFFF"/>
        </w:rPr>
        <w:t>The NPPF</w:t>
      </w:r>
      <w:r w:rsidRPr="003C7E62">
        <w:rPr>
          <w:rFonts w:eastAsia="Calibri" w:cs="Arial"/>
          <w:color w:val="auto"/>
          <w:szCs w:val="24"/>
          <w:shd w:val="clear" w:color="auto" w:fill="FFFFFF"/>
          <w:vertAlign w:val="superscript"/>
        </w:rPr>
        <w:footnoteReference w:id="32"/>
      </w:r>
      <w:r w:rsidRPr="003C7E62">
        <w:rPr>
          <w:rFonts w:eastAsia="Calibri" w:cs="Arial"/>
          <w:color w:val="auto"/>
          <w:szCs w:val="24"/>
          <w:shd w:val="clear" w:color="auto" w:fill="FFFFFF"/>
        </w:rPr>
        <w:t xml:space="preserve"> specifically identifies that planning policies should have regard to Local Industrial Strategies and other local policies for economic development and regeneration.   </w:t>
      </w:r>
      <w:r w:rsidRPr="0082742B">
        <w:rPr>
          <w:rFonts w:eastAsia="Calibri" w:cs="Arial"/>
          <w:strike/>
          <w:color w:val="auto"/>
          <w:szCs w:val="24"/>
          <w:shd w:val="clear" w:color="auto" w:fill="FFFFFF"/>
        </w:rPr>
        <w:t>While the LIS</w:t>
      </w:r>
      <w:r w:rsidR="0082742B">
        <w:rPr>
          <w:rFonts w:eastAsia="Calibri" w:cs="Arial"/>
          <w:strike/>
          <w:color w:val="auto"/>
          <w:szCs w:val="24"/>
          <w:shd w:val="clear" w:color="auto" w:fill="FFFFFF"/>
        </w:rPr>
        <w:t xml:space="preserve"> does</w:t>
      </w:r>
      <w:r w:rsidRPr="003C7E62">
        <w:rPr>
          <w:rFonts w:eastAsia="Calibri" w:cs="Arial"/>
          <w:color w:val="auto"/>
          <w:szCs w:val="24"/>
        </w:rPr>
        <w:t xml:space="preserve"> </w:t>
      </w:r>
      <w:r w:rsidR="0082742B" w:rsidRPr="004468F4">
        <w:rPr>
          <w:color w:val="0070C0"/>
        </w:rPr>
        <w:t>EMCCA’s strategies</w:t>
      </w:r>
      <w:r w:rsidR="0082742B" w:rsidRPr="004468F4">
        <w:rPr>
          <w:b/>
          <w:color w:val="0070C0"/>
        </w:rPr>
        <w:t xml:space="preserve"> </w:t>
      </w:r>
      <w:r w:rsidR="0082742B" w:rsidRPr="004468F4">
        <w:rPr>
          <w:color w:val="0070C0"/>
        </w:rPr>
        <w:t>do</w:t>
      </w:r>
      <w:r w:rsidR="0082742B" w:rsidRPr="004468F4">
        <w:rPr>
          <w:b/>
          <w:bCs/>
          <w:color w:val="auto"/>
        </w:rPr>
        <w:t xml:space="preserve"> </w:t>
      </w:r>
      <w:r w:rsidRPr="004468F4">
        <w:rPr>
          <w:rFonts w:eastAsia="Calibri" w:cs="Arial"/>
          <w:color w:val="auto"/>
          <w:szCs w:val="24"/>
        </w:rPr>
        <w:t xml:space="preserve">not make an explicit </w:t>
      </w:r>
      <w:r w:rsidRPr="004468F4">
        <w:rPr>
          <w:rFonts w:eastAsia="Calibri" w:cs="Arial"/>
          <w:color w:val="auto"/>
          <w:szCs w:val="24"/>
          <w:shd w:val="clear" w:color="auto" w:fill="FFFFFF"/>
        </w:rPr>
        <w:t xml:space="preserve">connection to local plans, local plans have an important role in achieving its vision and there are specific priority actions in the draft </w:t>
      </w:r>
      <w:r w:rsidRPr="004468F4">
        <w:rPr>
          <w:rFonts w:eastAsia="Calibri" w:cs="Arial"/>
          <w:strike/>
          <w:color w:val="auto"/>
          <w:szCs w:val="24"/>
          <w:shd w:val="clear" w:color="auto" w:fill="FFFFFF"/>
        </w:rPr>
        <w:t>LIS</w:t>
      </w:r>
      <w:r w:rsidRPr="004468F4">
        <w:rPr>
          <w:rFonts w:eastAsia="Calibri" w:cs="Arial"/>
          <w:color w:val="auto"/>
          <w:szCs w:val="24"/>
          <w:shd w:val="clear" w:color="auto" w:fill="FFFFFF"/>
        </w:rPr>
        <w:t xml:space="preserve"> </w:t>
      </w:r>
      <w:r w:rsidR="0082742B" w:rsidRPr="004468F4">
        <w:rPr>
          <w:rFonts w:eastAsia="Calibri" w:cs="Arial"/>
          <w:color w:val="0070C0"/>
          <w:szCs w:val="24"/>
          <w:shd w:val="clear" w:color="auto" w:fill="FFFFFF"/>
        </w:rPr>
        <w:t>strategies</w:t>
      </w:r>
      <w:r w:rsidR="0082742B" w:rsidRPr="004468F4">
        <w:rPr>
          <w:rFonts w:eastAsia="Calibri" w:cs="Arial"/>
          <w:b/>
          <w:bCs/>
          <w:color w:val="auto"/>
          <w:szCs w:val="24"/>
          <w:shd w:val="clear" w:color="auto" w:fill="FFFFFF"/>
        </w:rPr>
        <w:t xml:space="preserve"> </w:t>
      </w:r>
      <w:r w:rsidRPr="004468F4">
        <w:rPr>
          <w:rFonts w:eastAsia="Calibri" w:cs="Arial"/>
          <w:color w:val="auto"/>
          <w:szCs w:val="24"/>
          <w:shd w:val="clear" w:color="auto" w:fill="FFFFFF"/>
        </w:rPr>
        <w:t>that are facilitated through a local plan such as:</w:t>
      </w:r>
    </w:p>
    <w:p w14:paraId="1999F86D" w14:textId="77777777" w:rsidR="00606546" w:rsidRPr="003C7E62" w:rsidRDefault="00606546" w:rsidP="00606546">
      <w:pPr>
        <w:keepNext w:val="0"/>
        <w:autoSpaceDE w:val="0"/>
        <w:autoSpaceDN w:val="0"/>
        <w:adjustRightInd w:val="0"/>
        <w:spacing w:before="0"/>
        <w:ind w:left="709"/>
        <w:rPr>
          <w:rFonts w:cs="Arial"/>
          <w:color w:val="auto"/>
          <w:szCs w:val="24"/>
        </w:rPr>
      </w:pPr>
    </w:p>
    <w:p w14:paraId="6894C15A" w14:textId="52C41FBF" w:rsidR="00100330" w:rsidRPr="0082742B" w:rsidRDefault="00100330" w:rsidP="00D01157">
      <w:pPr>
        <w:keepNext w:val="0"/>
        <w:numPr>
          <w:ilvl w:val="0"/>
          <w:numId w:val="55"/>
        </w:numPr>
        <w:autoSpaceDE w:val="0"/>
        <w:autoSpaceDN w:val="0"/>
        <w:adjustRightInd w:val="0"/>
        <w:spacing w:before="0"/>
        <w:rPr>
          <w:rFonts w:cs="Arial"/>
          <w:strike/>
          <w:color w:val="auto"/>
          <w:szCs w:val="24"/>
        </w:rPr>
      </w:pPr>
      <w:r w:rsidRPr="0082742B">
        <w:rPr>
          <w:rFonts w:cs="Arial"/>
          <w:strike/>
          <w:color w:val="auto"/>
          <w:szCs w:val="24"/>
        </w:rPr>
        <w:t>‘Develop</w:t>
      </w:r>
      <w:r w:rsidR="00E53AAA" w:rsidRPr="0082742B">
        <w:rPr>
          <w:rFonts w:cs="Arial"/>
          <w:strike/>
          <w:color w:val="auto"/>
          <w:szCs w:val="24"/>
        </w:rPr>
        <w:t>ing</w:t>
      </w:r>
      <w:r w:rsidRPr="0082742B">
        <w:rPr>
          <w:rFonts w:cs="Arial"/>
          <w:strike/>
          <w:color w:val="auto"/>
          <w:szCs w:val="24"/>
        </w:rPr>
        <w:t xml:space="preserve"> planning policy for new housing developments which surpass national standards</w:t>
      </w:r>
      <w:r w:rsidRPr="0082742B">
        <w:rPr>
          <w:rFonts w:cs="Arial"/>
          <w:strike/>
          <w:color w:val="auto"/>
          <w:szCs w:val="24"/>
          <w:vertAlign w:val="superscript"/>
        </w:rPr>
        <w:footnoteReference w:id="33"/>
      </w:r>
      <w:r w:rsidRPr="0082742B">
        <w:rPr>
          <w:rFonts w:cs="Arial"/>
          <w:strike/>
          <w:color w:val="auto"/>
          <w:szCs w:val="24"/>
        </w:rPr>
        <w:t xml:space="preserve"> .’  </w:t>
      </w:r>
    </w:p>
    <w:p w14:paraId="2DCA76D5" w14:textId="7C1E981A" w:rsidR="00100330" w:rsidRPr="0082742B" w:rsidRDefault="00100330" w:rsidP="00D01157">
      <w:pPr>
        <w:keepNext w:val="0"/>
        <w:numPr>
          <w:ilvl w:val="0"/>
          <w:numId w:val="55"/>
        </w:numPr>
        <w:autoSpaceDE w:val="0"/>
        <w:autoSpaceDN w:val="0"/>
        <w:adjustRightInd w:val="0"/>
        <w:spacing w:before="0"/>
        <w:rPr>
          <w:rFonts w:cs="Arial"/>
          <w:strike/>
          <w:color w:val="auto"/>
          <w:szCs w:val="24"/>
        </w:rPr>
      </w:pPr>
      <w:r w:rsidRPr="0082742B">
        <w:rPr>
          <w:rFonts w:cs="Arial"/>
          <w:strike/>
          <w:color w:val="auto"/>
          <w:szCs w:val="24"/>
        </w:rPr>
        <w:t>‘Support</w:t>
      </w:r>
      <w:r w:rsidR="00E53AAA" w:rsidRPr="0082742B">
        <w:rPr>
          <w:rFonts w:cs="Arial"/>
          <w:strike/>
          <w:color w:val="auto"/>
          <w:szCs w:val="24"/>
        </w:rPr>
        <w:t>ing</w:t>
      </w:r>
      <w:r w:rsidRPr="0082742B">
        <w:rPr>
          <w:rFonts w:cs="Arial"/>
          <w:strike/>
          <w:color w:val="auto"/>
          <w:szCs w:val="24"/>
        </w:rPr>
        <w:t xml:space="preserve"> the growth of our cities, towns and economic corridors to improve quality of place and economic prosperity in the wider region.</w:t>
      </w:r>
    </w:p>
    <w:p w14:paraId="4B3D9AC0" w14:textId="42DC3F32" w:rsidR="00100330" w:rsidRPr="004468F4" w:rsidRDefault="00100330" w:rsidP="00D01157">
      <w:pPr>
        <w:keepNext w:val="0"/>
        <w:numPr>
          <w:ilvl w:val="0"/>
          <w:numId w:val="55"/>
        </w:numPr>
        <w:autoSpaceDE w:val="0"/>
        <w:autoSpaceDN w:val="0"/>
        <w:adjustRightInd w:val="0"/>
        <w:spacing w:before="0"/>
        <w:rPr>
          <w:rFonts w:cs="Arial"/>
          <w:strike/>
          <w:color w:val="auto"/>
          <w:szCs w:val="24"/>
        </w:rPr>
      </w:pPr>
      <w:r w:rsidRPr="004468F4">
        <w:rPr>
          <w:rFonts w:cs="Arial"/>
          <w:strike/>
          <w:color w:val="auto"/>
          <w:szCs w:val="24"/>
        </w:rPr>
        <w:lastRenderedPageBreak/>
        <w:t>Ensur</w:t>
      </w:r>
      <w:r w:rsidR="00E53AAA" w:rsidRPr="004468F4">
        <w:rPr>
          <w:rFonts w:cs="Arial"/>
          <w:strike/>
          <w:color w:val="auto"/>
          <w:szCs w:val="24"/>
        </w:rPr>
        <w:t>ing</w:t>
      </w:r>
      <w:r w:rsidRPr="004468F4">
        <w:rPr>
          <w:rFonts w:cs="Arial"/>
          <w:strike/>
          <w:color w:val="auto"/>
          <w:szCs w:val="24"/>
        </w:rPr>
        <w:t xml:space="preserve"> that housing and employment development opportunities are unlocked, and the visitor economy bolstered, to enable wider place-making and productivity objectives</w:t>
      </w:r>
      <w:r w:rsidRPr="004468F4">
        <w:rPr>
          <w:rFonts w:cs="Arial"/>
          <w:strike/>
          <w:color w:val="auto"/>
          <w:szCs w:val="24"/>
          <w:vertAlign w:val="superscript"/>
        </w:rPr>
        <w:footnoteReference w:id="34"/>
      </w:r>
      <w:r w:rsidRPr="004468F4">
        <w:rPr>
          <w:rFonts w:cs="Arial"/>
          <w:strike/>
          <w:color w:val="auto"/>
          <w:szCs w:val="24"/>
        </w:rPr>
        <w:t>.’</w:t>
      </w:r>
    </w:p>
    <w:p w14:paraId="7604EFE4" w14:textId="083C7BA9" w:rsidR="0082742B" w:rsidRPr="004468F4" w:rsidRDefault="0082742B" w:rsidP="0082742B">
      <w:pPr>
        <w:pStyle w:val="ListParagraph"/>
        <w:numPr>
          <w:ilvl w:val="0"/>
          <w:numId w:val="55"/>
        </w:numPr>
        <w:autoSpaceDE w:val="0"/>
        <w:autoSpaceDN w:val="0"/>
        <w:spacing w:after="0" w:line="240" w:lineRule="auto"/>
        <w:contextualSpacing w:val="0"/>
        <w:rPr>
          <w:rFonts w:ascii="Arial" w:hAnsi="Arial" w:cs="Arial"/>
          <w:color w:val="0070C0"/>
          <w:sz w:val="22"/>
        </w:rPr>
      </w:pPr>
      <w:r w:rsidRPr="004468F4">
        <w:rPr>
          <w:rFonts w:ascii="Arial" w:hAnsi="Arial" w:cs="Arial"/>
          <w:color w:val="0070C0"/>
        </w:rPr>
        <w:t xml:space="preserve">Place making. The East Midlands Vision for Growth “will shape and deliver new iconic </w:t>
      </w:r>
      <w:r w:rsidR="00095BBA" w:rsidRPr="004468F4">
        <w:rPr>
          <w:rFonts w:ascii="Arial" w:hAnsi="Arial" w:cs="Arial"/>
          <w:color w:val="0070C0"/>
        </w:rPr>
        <w:t>mixed-use</w:t>
      </w:r>
      <w:r w:rsidRPr="004468F4">
        <w:rPr>
          <w:rFonts w:ascii="Arial" w:hAnsi="Arial" w:cs="Arial"/>
          <w:color w:val="0070C0"/>
        </w:rPr>
        <w:t xml:space="preserve"> places, to attract, retain and cultivate talented communities of the future, whilst the region’s existing communities will be strengthened through the formulation of grass roots strategies to improve services, infrastructure and the delivery of homes.”</w:t>
      </w:r>
    </w:p>
    <w:p w14:paraId="178131B6" w14:textId="77777777" w:rsidR="0082742B" w:rsidRPr="004468F4" w:rsidRDefault="0082742B" w:rsidP="0082742B">
      <w:pPr>
        <w:pStyle w:val="ListParagraph"/>
        <w:numPr>
          <w:ilvl w:val="0"/>
          <w:numId w:val="55"/>
        </w:numPr>
        <w:autoSpaceDE w:val="0"/>
        <w:autoSpaceDN w:val="0"/>
        <w:spacing w:after="0" w:line="240" w:lineRule="auto"/>
        <w:contextualSpacing w:val="0"/>
        <w:rPr>
          <w:rFonts w:ascii="Arial" w:hAnsi="Arial" w:cs="Arial"/>
          <w:color w:val="0070C0"/>
        </w:rPr>
      </w:pPr>
      <w:r w:rsidRPr="004468F4">
        <w:rPr>
          <w:rFonts w:ascii="Arial" w:hAnsi="Arial" w:cs="Arial"/>
          <w:color w:val="0070C0"/>
        </w:rPr>
        <w:t>Enablers of growth. The East Midlands Growth Plan has six enablers – clean energy and climate resilient infrastructure, innovation, jobs and skills. Connectivity, housing ad place and business partnerships.</w:t>
      </w:r>
    </w:p>
    <w:p w14:paraId="020137C8" w14:textId="77777777" w:rsidR="0082742B" w:rsidRPr="003C7E62" w:rsidRDefault="0082742B" w:rsidP="0082742B">
      <w:pPr>
        <w:keepNext w:val="0"/>
        <w:autoSpaceDE w:val="0"/>
        <w:autoSpaceDN w:val="0"/>
        <w:adjustRightInd w:val="0"/>
        <w:spacing w:before="0"/>
        <w:ind w:left="1080"/>
        <w:rPr>
          <w:rFonts w:cs="Arial"/>
          <w:color w:val="auto"/>
          <w:szCs w:val="24"/>
        </w:rPr>
      </w:pPr>
    </w:p>
    <w:p w14:paraId="16713397" w14:textId="77777777" w:rsidR="00606546" w:rsidRPr="003C7E62" w:rsidRDefault="00606546" w:rsidP="00606546">
      <w:pPr>
        <w:keepNext w:val="0"/>
        <w:autoSpaceDE w:val="0"/>
        <w:autoSpaceDN w:val="0"/>
        <w:adjustRightInd w:val="0"/>
        <w:spacing w:before="0"/>
        <w:ind w:left="1080"/>
        <w:rPr>
          <w:rFonts w:cs="Arial"/>
          <w:color w:val="auto"/>
          <w:szCs w:val="24"/>
        </w:rPr>
      </w:pPr>
    </w:p>
    <w:p w14:paraId="15669BA2" w14:textId="7F63FA53" w:rsidR="00100330" w:rsidRPr="00040103"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eastAsia="Calibri" w:cs="Arial"/>
          <w:color w:val="auto"/>
          <w:szCs w:val="24"/>
          <w:shd w:val="clear" w:color="auto" w:fill="FFFFFF"/>
        </w:rPr>
        <w:t xml:space="preserve">The role of the local plan is to identify the physical infrastructure requirements to deliver the priorities set out </w:t>
      </w:r>
      <w:r w:rsidR="009871EF">
        <w:rPr>
          <w:rFonts w:eastAsia="Calibri" w:cs="Arial"/>
          <w:color w:val="auto"/>
          <w:szCs w:val="24"/>
          <w:shd w:val="clear" w:color="auto" w:fill="FFFFFF"/>
        </w:rPr>
        <w:t>by Ashfield District Council</w:t>
      </w:r>
      <w:r w:rsidR="001373A7">
        <w:rPr>
          <w:rFonts w:eastAsia="Calibri" w:cs="Arial"/>
          <w:color w:val="auto"/>
          <w:szCs w:val="24"/>
          <w:shd w:val="clear" w:color="auto" w:fill="FFFFFF"/>
        </w:rPr>
        <w:t xml:space="preserve">, government, partner organisations and </w:t>
      </w:r>
      <w:r w:rsidRPr="003C7E62">
        <w:rPr>
          <w:rFonts w:eastAsia="Calibri" w:cs="Arial"/>
          <w:color w:val="auto"/>
          <w:szCs w:val="24"/>
          <w:shd w:val="clear" w:color="auto" w:fill="FFFFFF"/>
        </w:rPr>
        <w:t>local industrial strategies.  Councils need to ensure that the right kind of employment space, employment land and housing is available to enable that growth and facilitate increase</w:t>
      </w:r>
      <w:r w:rsidR="00E53AAA" w:rsidRPr="003C7E62">
        <w:rPr>
          <w:rFonts w:eastAsia="Calibri" w:cs="Arial"/>
          <w:color w:val="auto"/>
          <w:szCs w:val="24"/>
          <w:shd w:val="clear" w:color="auto" w:fill="FFFFFF"/>
        </w:rPr>
        <w:t>d</w:t>
      </w:r>
      <w:r w:rsidRPr="003C7E62">
        <w:rPr>
          <w:rFonts w:eastAsia="Calibri" w:cs="Arial"/>
          <w:color w:val="auto"/>
          <w:szCs w:val="24"/>
          <w:shd w:val="clear" w:color="auto" w:fill="FFFFFF"/>
        </w:rPr>
        <w:t xml:space="preserve"> productivity.   High quality housing, vibrant town centres, leisure and recreation facilities and good infrastructure are important aspect</w:t>
      </w:r>
      <w:r w:rsidR="00E53AAA" w:rsidRPr="003C7E62">
        <w:rPr>
          <w:rFonts w:eastAsia="Calibri" w:cs="Arial"/>
          <w:color w:val="auto"/>
          <w:szCs w:val="24"/>
          <w:shd w:val="clear" w:color="auto" w:fill="FFFFFF"/>
        </w:rPr>
        <w:t>s</w:t>
      </w:r>
      <w:r w:rsidRPr="003C7E62">
        <w:rPr>
          <w:rFonts w:eastAsia="Calibri" w:cs="Arial"/>
          <w:color w:val="auto"/>
          <w:szCs w:val="24"/>
          <w:shd w:val="clear" w:color="auto" w:fill="FFFFFF"/>
        </w:rPr>
        <w:t xml:space="preserve"> to retaining and attracting graduates and skilled people.  The culture, leisure, and town centre offers are significant factors in business decision-making about where to locate, and key to supporting start-ups.  From Ashfield</w:t>
      </w:r>
      <w:r w:rsidR="00E53AAA" w:rsidRPr="003C7E62">
        <w:rPr>
          <w:rFonts w:eastAsia="Calibri" w:cs="Arial"/>
          <w:color w:val="auto"/>
          <w:szCs w:val="24"/>
          <w:shd w:val="clear" w:color="auto" w:fill="FFFFFF"/>
        </w:rPr>
        <w:t>’s</w:t>
      </w:r>
      <w:r w:rsidRPr="003C7E62">
        <w:rPr>
          <w:rFonts w:eastAsia="Calibri" w:cs="Arial"/>
          <w:color w:val="auto"/>
          <w:szCs w:val="24"/>
          <w:shd w:val="clear" w:color="auto" w:fill="FFFFFF"/>
        </w:rPr>
        <w:t xml:space="preserve"> perspective, place making is regarded as having a key role within the plan and it is important to improve productivity, to upskill local people and our connectiv</w:t>
      </w:r>
      <w:r w:rsidR="00E53AAA" w:rsidRPr="003C7E62">
        <w:rPr>
          <w:rFonts w:eastAsia="Calibri" w:cs="Arial"/>
          <w:color w:val="auto"/>
          <w:szCs w:val="24"/>
          <w:shd w:val="clear" w:color="auto" w:fill="FFFFFF"/>
        </w:rPr>
        <w:t>ity</w:t>
      </w:r>
      <w:r w:rsidRPr="003C7E62">
        <w:rPr>
          <w:rFonts w:eastAsia="Calibri" w:cs="Arial"/>
          <w:color w:val="auto"/>
          <w:szCs w:val="24"/>
          <w:shd w:val="clear" w:color="auto" w:fill="FFFFFF"/>
        </w:rPr>
        <w:t xml:space="preserve">. </w:t>
      </w:r>
    </w:p>
    <w:bookmarkEnd w:id="18"/>
    <w:p w14:paraId="4E06BC78" w14:textId="77777777" w:rsidR="00040103" w:rsidRDefault="00040103" w:rsidP="00040103">
      <w:pPr>
        <w:keepNext w:val="0"/>
        <w:autoSpaceDE w:val="0"/>
        <w:autoSpaceDN w:val="0"/>
        <w:adjustRightInd w:val="0"/>
        <w:spacing w:before="0"/>
        <w:ind w:left="709"/>
        <w:rPr>
          <w:rFonts w:eastAsia="Calibri" w:cs="Arial"/>
          <w:color w:val="auto"/>
          <w:szCs w:val="24"/>
          <w:shd w:val="clear" w:color="auto" w:fill="FFFFFF"/>
        </w:rPr>
      </w:pPr>
    </w:p>
    <w:p w14:paraId="1251CE1B" w14:textId="77777777" w:rsidR="001373A7" w:rsidRDefault="001373A7" w:rsidP="00040103">
      <w:pPr>
        <w:keepNext w:val="0"/>
        <w:autoSpaceDE w:val="0"/>
        <w:autoSpaceDN w:val="0"/>
        <w:adjustRightInd w:val="0"/>
        <w:spacing w:before="0"/>
        <w:ind w:left="709"/>
        <w:rPr>
          <w:rFonts w:eastAsia="Calibri" w:cs="Arial"/>
          <w:i/>
          <w:iCs/>
          <w:color w:val="auto"/>
          <w:szCs w:val="24"/>
          <w:u w:val="single"/>
          <w:shd w:val="clear" w:color="auto" w:fill="FFFFFF"/>
        </w:rPr>
      </w:pPr>
    </w:p>
    <w:p w14:paraId="3A8A35F1" w14:textId="39873039" w:rsidR="00040103" w:rsidRPr="001277CD" w:rsidRDefault="00040103" w:rsidP="00040103">
      <w:pPr>
        <w:keepNext w:val="0"/>
        <w:autoSpaceDE w:val="0"/>
        <w:autoSpaceDN w:val="0"/>
        <w:adjustRightInd w:val="0"/>
        <w:spacing w:before="0"/>
        <w:ind w:left="709"/>
        <w:rPr>
          <w:rFonts w:cs="Arial"/>
          <w:i/>
          <w:iCs/>
          <w:color w:val="auto"/>
          <w:szCs w:val="24"/>
          <w:u w:val="single"/>
        </w:rPr>
      </w:pPr>
      <w:bookmarkStart w:id="19" w:name="_Hlk222224838"/>
      <w:r w:rsidRPr="00DF276B">
        <w:rPr>
          <w:rFonts w:eastAsia="Calibri" w:cs="Arial"/>
          <w:i/>
          <w:iCs/>
          <w:color w:val="auto"/>
          <w:szCs w:val="24"/>
          <w:u w:val="single"/>
          <w:shd w:val="clear" w:color="auto" w:fill="FFFFFF"/>
        </w:rPr>
        <w:t>Maid Marian Line</w:t>
      </w:r>
    </w:p>
    <w:p w14:paraId="0AA053F1" w14:textId="6E6D84FF" w:rsidR="00E81B70" w:rsidRPr="00231DC7" w:rsidRDefault="00E81B70" w:rsidP="00DF276B">
      <w:pPr>
        <w:pStyle w:val="ListParagraph"/>
        <w:numPr>
          <w:ilvl w:val="1"/>
          <w:numId w:val="52"/>
        </w:numPr>
        <w:autoSpaceDE w:val="0"/>
        <w:autoSpaceDN w:val="0"/>
        <w:spacing w:after="0" w:line="240" w:lineRule="auto"/>
        <w:ind w:left="709" w:hanging="709"/>
        <w:rPr>
          <w:rFonts w:ascii="Arial" w:hAnsi="Arial" w:cs="Arial"/>
          <w:color w:val="0070C0"/>
          <w:sz w:val="22"/>
          <w:szCs w:val="20"/>
        </w:rPr>
      </w:pPr>
      <w:r w:rsidRPr="00DF276B">
        <w:rPr>
          <w:rFonts w:ascii="Arial" w:eastAsia="Calibri" w:hAnsi="Arial" w:cs="Arial"/>
          <w:color w:val="auto"/>
        </w:rPr>
        <w:t xml:space="preserve">The Council with its partners has developed a business case for the reopening of the freight-only line between the Robin Hood Line in Nottinghamshire and the </w:t>
      </w:r>
      <w:bookmarkStart w:id="20" w:name="_Hlk82271285"/>
      <w:r w:rsidRPr="00DF276B">
        <w:rPr>
          <w:rFonts w:ascii="Arial" w:eastAsia="Calibri" w:hAnsi="Arial" w:cs="Arial"/>
          <w:color w:val="auto"/>
        </w:rPr>
        <w:t xml:space="preserve">Erewash Valley Line in Derbyshire </w:t>
      </w:r>
      <w:bookmarkEnd w:id="20"/>
      <w:r w:rsidRPr="00DF276B">
        <w:rPr>
          <w:rFonts w:ascii="Arial" w:eastAsia="Calibri" w:hAnsi="Arial" w:cs="Arial"/>
          <w:color w:val="auto"/>
        </w:rPr>
        <w:t xml:space="preserve">(between Kirkby Lane End and </w:t>
      </w:r>
      <w:proofErr w:type="spellStart"/>
      <w:r w:rsidRPr="00DF276B">
        <w:rPr>
          <w:rFonts w:ascii="Arial" w:eastAsia="Calibri" w:hAnsi="Arial" w:cs="Arial"/>
          <w:color w:val="auto"/>
        </w:rPr>
        <w:t>Ironville</w:t>
      </w:r>
      <w:proofErr w:type="spellEnd"/>
      <w:r w:rsidRPr="00DF276B">
        <w:rPr>
          <w:rFonts w:ascii="Arial" w:eastAsia="Calibri" w:hAnsi="Arial" w:cs="Arial"/>
          <w:color w:val="auto"/>
        </w:rPr>
        <w:t xml:space="preserve"> Junctions) and convert it to carry passenger train</w:t>
      </w:r>
      <w:r w:rsidR="00DF276B" w:rsidRPr="00DF276B">
        <w:rPr>
          <w:rFonts w:ascii="Arial" w:eastAsia="Calibri" w:hAnsi="Arial" w:cs="Arial"/>
          <w:color w:val="auto"/>
        </w:rPr>
        <w:t>s</w:t>
      </w:r>
      <w:r w:rsidRPr="00DF276B">
        <w:rPr>
          <w:rFonts w:ascii="Arial" w:eastAsia="Calibri" w:hAnsi="Arial" w:cs="Arial"/>
          <w:color w:val="auto"/>
        </w:rPr>
        <w:t>.</w:t>
      </w:r>
      <w:r w:rsidR="00DF276B" w:rsidRPr="00DF276B">
        <w:rPr>
          <w:rFonts w:ascii="Arial" w:eastAsia="Calibri" w:hAnsi="Arial" w:cs="Arial"/>
          <w:color w:val="auto"/>
        </w:rPr>
        <w:t xml:space="preserve"> </w:t>
      </w:r>
      <w:r w:rsidR="00DF276B" w:rsidRPr="00231DC7">
        <w:rPr>
          <w:rFonts w:ascii="Arial" w:hAnsi="Arial" w:cs="Arial"/>
          <w:color w:val="0070C0"/>
        </w:rPr>
        <w:t>This would connect the four existing stations in Ashfield and Mansfield. It also offers wider connectivity to Nottingham/Derby/ Leicester and beyond.</w:t>
      </w:r>
    </w:p>
    <w:p w14:paraId="70C00482" w14:textId="5E254EC0" w:rsidR="00E81B70" w:rsidRPr="00DF276B" w:rsidRDefault="00E81B70" w:rsidP="00DF276B">
      <w:pPr>
        <w:keepNext w:val="0"/>
        <w:autoSpaceDE w:val="0"/>
        <w:autoSpaceDN w:val="0"/>
        <w:adjustRightInd w:val="0"/>
        <w:spacing w:before="0"/>
        <w:ind w:left="709" w:hanging="709"/>
        <w:rPr>
          <w:rFonts w:cs="Arial"/>
          <w:color w:val="auto"/>
          <w:szCs w:val="24"/>
        </w:rPr>
      </w:pPr>
    </w:p>
    <w:p w14:paraId="0DF40B6B" w14:textId="67C6959C" w:rsidR="009717F1" w:rsidRPr="00D20016" w:rsidRDefault="00E81B70" w:rsidP="009717F1">
      <w:pPr>
        <w:keepNext w:val="0"/>
        <w:numPr>
          <w:ilvl w:val="1"/>
          <w:numId w:val="52"/>
        </w:numPr>
        <w:autoSpaceDE w:val="0"/>
        <w:autoSpaceDN w:val="0"/>
        <w:adjustRightInd w:val="0"/>
        <w:spacing w:before="0"/>
        <w:ind w:left="709" w:hanging="709"/>
        <w:rPr>
          <w:rFonts w:cs="Arial"/>
          <w:color w:val="auto"/>
          <w:szCs w:val="24"/>
        </w:rPr>
      </w:pPr>
      <w:r w:rsidRPr="00D20016">
        <w:rPr>
          <w:rFonts w:eastAsia="Calibri"/>
          <w:color w:val="auto"/>
          <w:szCs w:val="22"/>
          <w:lang w:eastAsia="en-US"/>
        </w:rPr>
        <w:t>The business case is supported by Ashfield and Mansfield Station Masterplans which identify development and place making improvement opportunities arising from locations near Kirkby-in-Ashfield and Sutton Parkway Stations.</w:t>
      </w:r>
      <w:r w:rsidR="00A04606" w:rsidRPr="00D20016">
        <w:rPr>
          <w:rFonts w:eastAsia="Calibri"/>
          <w:color w:val="auto"/>
          <w:szCs w:val="22"/>
          <w:lang w:eastAsia="en-US"/>
        </w:rPr>
        <w:t xml:space="preserve">  </w:t>
      </w:r>
      <w:r w:rsidR="00382109" w:rsidRPr="00D20016">
        <w:rPr>
          <w:rFonts w:cs="Arial"/>
          <w:color w:val="auto"/>
          <w:szCs w:val="24"/>
        </w:rPr>
        <w:t>As part</w:t>
      </w:r>
      <w:r w:rsidR="00A04606" w:rsidRPr="00D20016">
        <w:rPr>
          <w:rFonts w:cs="Arial"/>
          <w:color w:val="auto"/>
          <w:szCs w:val="24"/>
        </w:rPr>
        <w:t xml:space="preserve"> of the Council's Towns Fund programme, development work has commenced on the Kirkby in Ashfield Station Masterplan.</w:t>
      </w:r>
    </w:p>
    <w:p w14:paraId="05E71A99" w14:textId="77777777" w:rsidR="009717F1" w:rsidRPr="00D20016" w:rsidRDefault="009717F1" w:rsidP="009717F1">
      <w:pPr>
        <w:keepNext w:val="0"/>
        <w:autoSpaceDE w:val="0"/>
        <w:autoSpaceDN w:val="0"/>
        <w:adjustRightInd w:val="0"/>
        <w:spacing w:before="0"/>
        <w:ind w:left="709"/>
        <w:rPr>
          <w:rFonts w:cs="Arial"/>
          <w:color w:val="auto"/>
          <w:szCs w:val="24"/>
        </w:rPr>
      </w:pPr>
    </w:p>
    <w:p w14:paraId="529343F1" w14:textId="38F57527" w:rsidR="00DF276B" w:rsidRPr="00D20016" w:rsidRDefault="00E81B70" w:rsidP="001D25B0">
      <w:pPr>
        <w:pStyle w:val="ListParagraph"/>
        <w:numPr>
          <w:ilvl w:val="1"/>
          <w:numId w:val="52"/>
        </w:numPr>
        <w:autoSpaceDE w:val="0"/>
        <w:autoSpaceDN w:val="0"/>
        <w:spacing w:after="0" w:line="240" w:lineRule="auto"/>
        <w:ind w:left="709" w:hanging="709"/>
        <w:rPr>
          <w:rFonts w:ascii="Arial" w:hAnsi="Arial" w:cs="Arial"/>
          <w:color w:val="0070C0"/>
          <w:sz w:val="22"/>
        </w:rPr>
      </w:pPr>
      <w:r w:rsidRPr="00D20016">
        <w:rPr>
          <w:rFonts w:ascii="Arial" w:eastAsia="Calibri" w:hAnsi="Arial" w:cs="Arial"/>
          <w:color w:val="auto"/>
        </w:rPr>
        <w:t xml:space="preserve">Additional work </w:t>
      </w:r>
      <w:r w:rsidR="00A04606" w:rsidRPr="00D20016">
        <w:rPr>
          <w:rFonts w:ascii="Arial" w:eastAsia="Calibri" w:hAnsi="Arial" w:cs="Arial"/>
          <w:color w:val="auto"/>
        </w:rPr>
        <w:t xml:space="preserve">has been </w:t>
      </w:r>
      <w:r w:rsidRPr="00D20016">
        <w:rPr>
          <w:rFonts w:ascii="Arial" w:eastAsia="Calibri" w:hAnsi="Arial" w:cs="Arial"/>
          <w:color w:val="auto"/>
        </w:rPr>
        <w:t xml:space="preserve">undertaken to investigate the economic, social, and environmental benefits of providing additional station platforms at both Kingsmill and </w:t>
      </w:r>
      <w:proofErr w:type="spellStart"/>
      <w:r w:rsidRPr="00D20016">
        <w:rPr>
          <w:rFonts w:ascii="Arial" w:eastAsia="Calibri" w:hAnsi="Arial" w:cs="Arial"/>
          <w:color w:val="auto"/>
        </w:rPr>
        <w:t>Selston</w:t>
      </w:r>
      <w:proofErr w:type="spellEnd"/>
      <w:r w:rsidRPr="00D20016">
        <w:rPr>
          <w:rFonts w:ascii="Arial" w:eastAsia="Calibri" w:hAnsi="Arial" w:cs="Arial"/>
          <w:color w:val="auto"/>
        </w:rPr>
        <w:t xml:space="preserve"> (Jubilee), building on recent Maid Marian Line studies by AECOM and </w:t>
      </w:r>
      <w:proofErr w:type="spellStart"/>
      <w:r w:rsidRPr="00D20016">
        <w:rPr>
          <w:rFonts w:ascii="Arial" w:eastAsia="Calibri" w:hAnsi="Arial" w:cs="Arial"/>
          <w:color w:val="auto"/>
        </w:rPr>
        <w:t>Systra</w:t>
      </w:r>
      <w:proofErr w:type="spellEnd"/>
      <w:r w:rsidRPr="00D20016">
        <w:rPr>
          <w:rFonts w:ascii="Arial" w:eastAsia="Calibri" w:hAnsi="Arial" w:cs="Arial"/>
          <w:color w:val="auto"/>
        </w:rPr>
        <w:t xml:space="preserve"> on behalf of Nottinghamshire Councils. </w:t>
      </w:r>
      <w:r w:rsidR="00DF276B" w:rsidRPr="00D20016">
        <w:rPr>
          <w:rFonts w:ascii="Arial" w:eastAsia="Calibri" w:hAnsi="Arial" w:cs="Arial"/>
          <w:color w:val="auto"/>
        </w:rPr>
        <w:t xml:space="preserve"> </w:t>
      </w:r>
      <w:r w:rsidR="00DF276B" w:rsidRPr="00D20016">
        <w:rPr>
          <w:rFonts w:ascii="Arial" w:hAnsi="Arial" w:cs="Arial"/>
          <w:color w:val="0070C0"/>
        </w:rPr>
        <w:t>Ashfield District Council along with neighbouring authorities has requested that the East Midlands Combined County Authority (EMCCA) fund and lead on a refresh of the feasibility work</w:t>
      </w:r>
      <w:r w:rsidR="00DF276B" w:rsidRPr="00D20016">
        <w:rPr>
          <w:rFonts w:ascii="Arial" w:hAnsi="Arial" w:cs="Arial"/>
          <w:b/>
          <w:color w:val="0070C0"/>
        </w:rPr>
        <w:t xml:space="preserve"> </w:t>
      </w:r>
      <w:r w:rsidR="00DF276B" w:rsidRPr="00D20016">
        <w:rPr>
          <w:rFonts w:ascii="Arial" w:hAnsi="Arial" w:cs="Arial"/>
          <w:color w:val="0070C0"/>
        </w:rPr>
        <w:t>undertaken so</w:t>
      </w:r>
      <w:r w:rsidR="00DF276B" w:rsidRPr="00D20016">
        <w:rPr>
          <w:rFonts w:ascii="Arial" w:hAnsi="Arial" w:cs="Arial"/>
          <w:b/>
          <w:color w:val="0070C0"/>
        </w:rPr>
        <w:t xml:space="preserve"> </w:t>
      </w:r>
      <w:r w:rsidR="00DF276B" w:rsidRPr="00D20016">
        <w:rPr>
          <w:rFonts w:ascii="Arial" w:hAnsi="Arial" w:cs="Arial"/>
          <w:color w:val="0070C0"/>
        </w:rPr>
        <w:lastRenderedPageBreak/>
        <w:t>far with a view to allocating the scheme within EMCCA’s pipeline of transport schemes.</w:t>
      </w:r>
    </w:p>
    <w:p w14:paraId="682F04B1" w14:textId="76A2458C" w:rsidR="00774946" w:rsidRPr="00D20016" w:rsidRDefault="00774946" w:rsidP="00DF276B">
      <w:pPr>
        <w:keepNext w:val="0"/>
        <w:autoSpaceDE w:val="0"/>
        <w:autoSpaceDN w:val="0"/>
        <w:adjustRightInd w:val="0"/>
        <w:spacing w:before="0"/>
        <w:ind w:left="709"/>
        <w:rPr>
          <w:rFonts w:cs="Arial"/>
          <w:color w:val="auto"/>
          <w:szCs w:val="24"/>
        </w:rPr>
      </w:pPr>
    </w:p>
    <w:p w14:paraId="1D9891F0" w14:textId="341D7669" w:rsidR="00E81B70" w:rsidRPr="00D20016" w:rsidRDefault="00E81B70" w:rsidP="00A04606">
      <w:pPr>
        <w:keepNext w:val="0"/>
        <w:numPr>
          <w:ilvl w:val="1"/>
          <w:numId w:val="52"/>
        </w:numPr>
        <w:autoSpaceDE w:val="0"/>
        <w:autoSpaceDN w:val="0"/>
        <w:adjustRightInd w:val="0"/>
        <w:spacing w:before="0"/>
        <w:ind w:left="709" w:hanging="709"/>
        <w:rPr>
          <w:rFonts w:cs="Arial"/>
          <w:strike/>
          <w:color w:val="auto"/>
          <w:szCs w:val="24"/>
        </w:rPr>
      </w:pPr>
      <w:r w:rsidRPr="00D20016">
        <w:rPr>
          <w:rFonts w:eastAsia="Calibri"/>
          <w:strike/>
          <w:color w:val="auto"/>
          <w:szCs w:val="22"/>
          <w:lang w:eastAsia="en-US"/>
        </w:rPr>
        <w:t>The Maid Marian Line reflects the opportunity for the existing freight-only line between the Robin Hood Line at Kirkby-in-Ashfield and the Erewash Valley Line to be reopened to passenger trains. This would connect the four existing stations in Ashfield and Mansfield</w:t>
      </w:r>
      <w:r w:rsidR="00A82872" w:rsidRPr="00D20016">
        <w:rPr>
          <w:rFonts w:eastAsia="Calibri"/>
          <w:strike/>
          <w:color w:val="auto"/>
          <w:szCs w:val="22"/>
          <w:lang w:eastAsia="en-US"/>
        </w:rPr>
        <w:t>.</w:t>
      </w:r>
      <w:r w:rsidRPr="00D20016">
        <w:rPr>
          <w:rFonts w:eastAsia="Calibri"/>
          <w:strike/>
          <w:color w:val="auto"/>
          <w:szCs w:val="22"/>
          <w:lang w:eastAsia="en-US"/>
        </w:rPr>
        <w:t xml:space="preserve"> </w:t>
      </w:r>
      <w:r w:rsidR="00193119" w:rsidRPr="00D20016">
        <w:rPr>
          <w:rFonts w:eastAsia="Calibri"/>
          <w:strike/>
          <w:color w:val="auto"/>
          <w:szCs w:val="22"/>
          <w:lang w:eastAsia="en-US"/>
        </w:rPr>
        <w:t xml:space="preserve">It also offers wider connectivity to </w:t>
      </w:r>
      <w:r w:rsidR="00774946" w:rsidRPr="00D20016">
        <w:rPr>
          <w:rFonts w:eastAsia="Calibri"/>
          <w:strike/>
          <w:color w:val="auto"/>
          <w:szCs w:val="22"/>
          <w:lang w:eastAsia="en-US"/>
        </w:rPr>
        <w:t>Nottingham/</w:t>
      </w:r>
      <w:r w:rsidR="00193119" w:rsidRPr="00D20016">
        <w:rPr>
          <w:rFonts w:eastAsia="Calibri"/>
          <w:strike/>
          <w:color w:val="auto"/>
          <w:szCs w:val="22"/>
          <w:lang w:eastAsia="en-US"/>
        </w:rPr>
        <w:t>Derby/ Leicester and beyond.</w:t>
      </w:r>
    </w:p>
    <w:p w14:paraId="6E3C3BF4" w14:textId="77777777" w:rsidR="00A82872" w:rsidRPr="00D20016" w:rsidRDefault="00A82872" w:rsidP="00A82872">
      <w:pPr>
        <w:keepNext w:val="0"/>
        <w:autoSpaceDE w:val="0"/>
        <w:autoSpaceDN w:val="0"/>
        <w:adjustRightInd w:val="0"/>
        <w:spacing w:before="0"/>
        <w:rPr>
          <w:rFonts w:cs="Arial"/>
          <w:color w:val="auto"/>
          <w:szCs w:val="24"/>
        </w:rPr>
      </w:pPr>
    </w:p>
    <w:p w14:paraId="5342B57D" w14:textId="4CE1CE85" w:rsidR="00E81B70" w:rsidRPr="00E81B70" w:rsidRDefault="00A04606" w:rsidP="00D01157">
      <w:pPr>
        <w:keepNext w:val="0"/>
        <w:numPr>
          <w:ilvl w:val="1"/>
          <w:numId w:val="52"/>
        </w:numPr>
        <w:autoSpaceDE w:val="0"/>
        <w:autoSpaceDN w:val="0"/>
        <w:adjustRightInd w:val="0"/>
        <w:spacing w:before="0"/>
        <w:ind w:left="709" w:hanging="709"/>
        <w:rPr>
          <w:rFonts w:cs="Arial"/>
          <w:color w:val="auto"/>
          <w:szCs w:val="24"/>
        </w:rPr>
      </w:pPr>
      <w:r w:rsidRPr="00D20016">
        <w:rPr>
          <w:rFonts w:eastAsia="Calibri"/>
          <w:color w:val="auto"/>
          <w:szCs w:val="22"/>
          <w:lang w:eastAsia="en-US"/>
        </w:rPr>
        <w:t>The Maid Marian Line is being developed as stand-al</w:t>
      </w:r>
      <w:r w:rsidRPr="00A04606">
        <w:rPr>
          <w:rFonts w:eastAsia="Calibri"/>
          <w:color w:val="auto"/>
          <w:szCs w:val="22"/>
          <w:lang w:eastAsia="en-US"/>
        </w:rPr>
        <w:t>one scheme which will provide greater local connectivity with cross county connections, an alternative route into Nottingham and to Derby and beyond. The scheme offers the opportunity to maximise access to employment and education to enhance quality of life, improve the environment and strengthen the economy. There is a clear ‘golden thread’ from National Policy, through regional strategies and local plans. This will support Ashfield’s ambition to be a destination for employment, education, and tourism.</w:t>
      </w:r>
    </w:p>
    <w:bookmarkEnd w:id="19"/>
    <w:p w14:paraId="154593E5" w14:textId="77777777" w:rsidR="00E81B70" w:rsidRPr="003C7E62" w:rsidRDefault="00E81B70" w:rsidP="00E81B70">
      <w:pPr>
        <w:keepNext w:val="0"/>
        <w:autoSpaceDE w:val="0"/>
        <w:autoSpaceDN w:val="0"/>
        <w:adjustRightInd w:val="0"/>
        <w:spacing w:before="0"/>
        <w:ind w:left="360"/>
        <w:rPr>
          <w:rFonts w:cs="Arial"/>
          <w:color w:val="auto"/>
          <w:szCs w:val="24"/>
        </w:rPr>
      </w:pPr>
    </w:p>
    <w:p w14:paraId="1C6D4E33" w14:textId="7AC655B8" w:rsidR="00100330" w:rsidRPr="00346816" w:rsidRDefault="00100330" w:rsidP="00606546">
      <w:pPr>
        <w:autoSpaceDE w:val="0"/>
        <w:autoSpaceDN w:val="0"/>
        <w:adjustRightInd w:val="0"/>
        <w:spacing w:before="0"/>
        <w:ind w:left="709"/>
        <w:rPr>
          <w:rFonts w:cs="Arial"/>
          <w:i/>
          <w:strike/>
          <w:color w:val="auto"/>
          <w:szCs w:val="24"/>
          <w:u w:val="single"/>
        </w:rPr>
      </w:pPr>
      <w:r w:rsidRPr="00346816">
        <w:rPr>
          <w:rFonts w:eastAsia="Calibri" w:cs="Arial"/>
          <w:i/>
          <w:strike/>
          <w:color w:val="auto"/>
          <w:szCs w:val="24"/>
          <w:u w:val="single"/>
          <w:shd w:val="clear" w:color="auto" w:fill="FFFFFF"/>
        </w:rPr>
        <w:t>High Speed 2 Phase 2b (HS2)</w:t>
      </w:r>
    </w:p>
    <w:p w14:paraId="7742A565" w14:textId="5DD1FCCB" w:rsidR="00BA7A0D" w:rsidRPr="00346816" w:rsidRDefault="00BA7A0D" w:rsidP="00BA7A0D">
      <w:pPr>
        <w:keepNext w:val="0"/>
        <w:numPr>
          <w:ilvl w:val="1"/>
          <w:numId w:val="52"/>
        </w:numPr>
        <w:autoSpaceDE w:val="0"/>
        <w:autoSpaceDN w:val="0"/>
        <w:adjustRightInd w:val="0"/>
        <w:spacing w:before="0"/>
        <w:ind w:left="709" w:hanging="709"/>
        <w:rPr>
          <w:rFonts w:cs="Arial"/>
          <w:strike/>
          <w:color w:val="auto"/>
          <w:szCs w:val="24"/>
        </w:rPr>
      </w:pPr>
      <w:bookmarkStart w:id="21" w:name="_Hlk142981422"/>
      <w:bookmarkStart w:id="22" w:name="_Hlk75956208"/>
      <w:r w:rsidRPr="00346816">
        <w:rPr>
          <w:rFonts w:cs="Arial"/>
          <w:strike/>
          <w:color w:val="auto"/>
          <w:szCs w:val="24"/>
        </w:rPr>
        <w:t>The Department for Transport Integrated Rail Plan for the North and Midlands 2021</w:t>
      </w:r>
      <w:r w:rsidRPr="00346816">
        <w:rPr>
          <w:rStyle w:val="FootnoteReference"/>
          <w:rFonts w:cs="Arial"/>
          <w:strike/>
          <w:color w:val="auto"/>
          <w:szCs w:val="24"/>
        </w:rPr>
        <w:footnoteReference w:id="35"/>
      </w:r>
      <w:r w:rsidRPr="00346816">
        <w:rPr>
          <w:rFonts w:cs="Arial"/>
          <w:strike/>
          <w:color w:val="auto"/>
          <w:szCs w:val="24"/>
        </w:rPr>
        <w:t xml:space="preserve"> </w:t>
      </w:r>
      <w:r w:rsidR="00774946" w:rsidRPr="00346816">
        <w:rPr>
          <w:rFonts w:cs="Arial"/>
          <w:strike/>
          <w:color w:val="auto"/>
          <w:szCs w:val="24"/>
        </w:rPr>
        <w:t xml:space="preserve">stated it would </w:t>
      </w:r>
      <w:r w:rsidRPr="00346816">
        <w:rPr>
          <w:rFonts w:cs="Arial"/>
          <w:strike/>
          <w:color w:val="auto"/>
          <w:szCs w:val="24"/>
        </w:rPr>
        <w:t>include the following proposals</w:t>
      </w:r>
      <w:r w:rsidR="00774946" w:rsidRPr="00346816">
        <w:rPr>
          <w:rFonts w:cs="Arial"/>
          <w:strike/>
          <w:color w:val="auto"/>
          <w:szCs w:val="24"/>
        </w:rPr>
        <w:t>, some of which are under review following Government announcements in 2023</w:t>
      </w:r>
      <w:r w:rsidRPr="00346816">
        <w:rPr>
          <w:rFonts w:cs="Arial"/>
          <w:strike/>
          <w:color w:val="auto"/>
          <w:szCs w:val="24"/>
        </w:rPr>
        <w:t>:</w:t>
      </w:r>
    </w:p>
    <w:p w14:paraId="52CFFE8A" w14:textId="77777777" w:rsidR="00BA7A0D" w:rsidRPr="00B54187" w:rsidRDefault="00BA7A0D" w:rsidP="00BA7A0D">
      <w:pPr>
        <w:keepNext w:val="0"/>
        <w:autoSpaceDE w:val="0"/>
        <w:autoSpaceDN w:val="0"/>
        <w:adjustRightInd w:val="0"/>
        <w:spacing w:before="0"/>
        <w:ind w:left="1276" w:hanging="425"/>
        <w:rPr>
          <w:rFonts w:cs="Arial"/>
          <w:strike/>
          <w:color w:val="auto"/>
          <w:szCs w:val="24"/>
        </w:rPr>
      </w:pPr>
    </w:p>
    <w:p w14:paraId="1064CEE0" w14:textId="77777777" w:rsidR="00BA7A0D" w:rsidRPr="00B54187" w:rsidRDefault="00BA7A0D" w:rsidP="00BA7A0D">
      <w:pPr>
        <w:keepNext w:val="0"/>
        <w:autoSpaceDE w:val="0"/>
        <w:autoSpaceDN w:val="0"/>
        <w:adjustRightInd w:val="0"/>
        <w:spacing w:before="0"/>
        <w:ind w:left="1276" w:hanging="425"/>
        <w:rPr>
          <w:rFonts w:cs="Arial"/>
          <w:strike/>
          <w:color w:val="auto"/>
          <w:szCs w:val="24"/>
        </w:rPr>
      </w:pPr>
      <w:r w:rsidRPr="00B54187">
        <w:rPr>
          <w:rFonts w:cs="Arial"/>
          <w:strike/>
          <w:color w:val="auto"/>
          <w:szCs w:val="24"/>
        </w:rPr>
        <w:t>•</w:t>
      </w:r>
      <w:r w:rsidRPr="00B54187">
        <w:rPr>
          <w:rFonts w:cs="Arial"/>
          <w:strike/>
          <w:color w:val="auto"/>
          <w:szCs w:val="24"/>
        </w:rPr>
        <w:tab/>
        <w:t>Subject to consultation, a stretch of new high-speed line, HS2, will be built from the West Midlands to the East Midlands, based largely on the existing safeguarded route, connecting to the existing railway line near East Midlands Parkway Station (close to East Midlands Airport).</w:t>
      </w:r>
    </w:p>
    <w:p w14:paraId="06611995" w14:textId="77777777" w:rsidR="00BA7A0D" w:rsidRPr="00B54187" w:rsidRDefault="00BA7A0D" w:rsidP="00BA7A0D">
      <w:pPr>
        <w:keepNext w:val="0"/>
        <w:autoSpaceDE w:val="0"/>
        <w:autoSpaceDN w:val="0"/>
        <w:adjustRightInd w:val="0"/>
        <w:spacing w:before="0"/>
        <w:ind w:left="1276" w:hanging="425"/>
        <w:rPr>
          <w:rFonts w:cs="Arial"/>
          <w:strike/>
          <w:color w:val="auto"/>
          <w:szCs w:val="24"/>
        </w:rPr>
      </w:pPr>
    </w:p>
    <w:p w14:paraId="561F1111" w14:textId="710E38B0" w:rsidR="00BA7A0D" w:rsidRPr="00B54187" w:rsidRDefault="00BA7A0D" w:rsidP="00BA7A0D">
      <w:pPr>
        <w:keepNext w:val="0"/>
        <w:autoSpaceDE w:val="0"/>
        <w:autoSpaceDN w:val="0"/>
        <w:adjustRightInd w:val="0"/>
        <w:spacing w:before="0"/>
        <w:ind w:left="1276" w:hanging="425"/>
        <w:rPr>
          <w:rFonts w:cs="Arial"/>
          <w:strike/>
          <w:color w:val="auto"/>
          <w:szCs w:val="24"/>
        </w:rPr>
      </w:pPr>
      <w:r w:rsidRPr="00B54187">
        <w:rPr>
          <w:rFonts w:cs="Arial"/>
          <w:strike/>
          <w:color w:val="auto"/>
          <w:szCs w:val="24"/>
        </w:rPr>
        <w:t>•</w:t>
      </w:r>
      <w:r w:rsidRPr="00B54187">
        <w:rPr>
          <w:rFonts w:cs="Arial"/>
          <w:strike/>
          <w:color w:val="auto"/>
          <w:szCs w:val="24"/>
        </w:rPr>
        <w:tab/>
        <w:t>The Government will accelerate transport improvements at Toton, such as a station for local/regional services, with delivery subject to significant private sector investment – on a 50:50 match-funded basis with the taxpayer – coming forward at the site and developer contributions.  It “will look to exploit any linkages with other investment in Nottinghamshire, including the proposals</w:t>
      </w:r>
      <w:r w:rsidRPr="00BA7A0D">
        <w:rPr>
          <w:rFonts w:cs="Arial"/>
          <w:color w:val="auto"/>
          <w:szCs w:val="24"/>
        </w:rPr>
        <w:t xml:space="preserve"> </w:t>
      </w:r>
      <w:r w:rsidRPr="00B54187">
        <w:rPr>
          <w:rFonts w:cs="Arial"/>
          <w:strike/>
          <w:color w:val="auto"/>
          <w:szCs w:val="24"/>
        </w:rPr>
        <w:t>for the Robin Hood Line Extension and reopening the Maid Marian line</w:t>
      </w:r>
      <w:r w:rsidR="00A04606" w:rsidRPr="00B54187">
        <w:rPr>
          <w:rFonts w:cs="Arial"/>
          <w:strike/>
          <w:color w:val="auto"/>
          <w:szCs w:val="24"/>
        </w:rPr>
        <w:t xml:space="preserve"> to a passenger rail </w:t>
      </w:r>
      <w:proofErr w:type="gramStart"/>
      <w:r w:rsidR="00A04606" w:rsidRPr="00B54187">
        <w:rPr>
          <w:rFonts w:cs="Arial"/>
          <w:strike/>
          <w:color w:val="auto"/>
          <w:szCs w:val="24"/>
        </w:rPr>
        <w:t>services</w:t>
      </w:r>
      <w:proofErr w:type="gramEnd"/>
      <w:r w:rsidRPr="00B54187">
        <w:rPr>
          <w:rFonts w:cs="Arial"/>
          <w:strike/>
          <w:color w:val="auto"/>
          <w:szCs w:val="24"/>
        </w:rPr>
        <w:t>.”</w:t>
      </w:r>
    </w:p>
    <w:p w14:paraId="00DE8BE7" w14:textId="77777777" w:rsidR="00BA7A0D" w:rsidRPr="00B54187" w:rsidRDefault="00BA7A0D" w:rsidP="00BA7A0D">
      <w:pPr>
        <w:keepNext w:val="0"/>
        <w:autoSpaceDE w:val="0"/>
        <w:autoSpaceDN w:val="0"/>
        <w:adjustRightInd w:val="0"/>
        <w:spacing w:before="0"/>
        <w:ind w:left="1276" w:hanging="425"/>
        <w:rPr>
          <w:rFonts w:cs="Arial"/>
          <w:strike/>
          <w:color w:val="auto"/>
          <w:szCs w:val="24"/>
        </w:rPr>
      </w:pPr>
    </w:p>
    <w:p w14:paraId="74A9BE68" w14:textId="77777777" w:rsidR="00BA7A0D" w:rsidRPr="00B54187" w:rsidRDefault="00BA7A0D" w:rsidP="00BA7A0D">
      <w:pPr>
        <w:keepNext w:val="0"/>
        <w:autoSpaceDE w:val="0"/>
        <w:autoSpaceDN w:val="0"/>
        <w:adjustRightInd w:val="0"/>
        <w:spacing w:before="0"/>
        <w:ind w:left="1276" w:hanging="425"/>
        <w:rPr>
          <w:rFonts w:cs="Arial"/>
          <w:strike/>
          <w:color w:val="auto"/>
          <w:szCs w:val="24"/>
        </w:rPr>
      </w:pPr>
      <w:r w:rsidRPr="00B54187">
        <w:rPr>
          <w:rFonts w:cs="Arial"/>
          <w:strike/>
          <w:color w:val="auto"/>
          <w:szCs w:val="24"/>
        </w:rPr>
        <w:t>•</w:t>
      </w:r>
      <w:r w:rsidRPr="00B54187">
        <w:rPr>
          <w:rFonts w:cs="Arial"/>
          <w:strike/>
          <w:color w:val="auto"/>
          <w:szCs w:val="24"/>
        </w:rPr>
        <w:tab/>
        <w:t>Complete electrification of the Midland Mainline, which will allow HS2 trains to serve Nottingham, Derby and Sheffield.</w:t>
      </w:r>
    </w:p>
    <w:p w14:paraId="2EFAA367" w14:textId="77777777" w:rsidR="00BA7A0D" w:rsidRPr="00B54187" w:rsidRDefault="00BA7A0D" w:rsidP="00BA7A0D">
      <w:pPr>
        <w:keepNext w:val="0"/>
        <w:autoSpaceDE w:val="0"/>
        <w:autoSpaceDN w:val="0"/>
        <w:adjustRightInd w:val="0"/>
        <w:spacing w:before="0"/>
        <w:ind w:left="1276" w:hanging="425"/>
        <w:rPr>
          <w:rFonts w:cs="Arial"/>
          <w:strike/>
          <w:color w:val="auto"/>
          <w:szCs w:val="24"/>
        </w:rPr>
      </w:pPr>
    </w:p>
    <w:p w14:paraId="605B82F4" w14:textId="77777777" w:rsidR="00BA7A0D" w:rsidRPr="00B54187" w:rsidRDefault="00BA7A0D" w:rsidP="00BA7A0D">
      <w:pPr>
        <w:keepNext w:val="0"/>
        <w:autoSpaceDE w:val="0"/>
        <w:autoSpaceDN w:val="0"/>
        <w:adjustRightInd w:val="0"/>
        <w:spacing w:before="0"/>
        <w:ind w:left="1276" w:hanging="425"/>
        <w:rPr>
          <w:rFonts w:cs="Arial"/>
          <w:strike/>
          <w:color w:val="auto"/>
          <w:szCs w:val="24"/>
        </w:rPr>
      </w:pPr>
      <w:r w:rsidRPr="00B54187">
        <w:rPr>
          <w:rFonts w:cs="Arial"/>
          <w:strike/>
          <w:color w:val="auto"/>
          <w:szCs w:val="24"/>
        </w:rPr>
        <w:t>•</w:t>
      </w:r>
      <w:r w:rsidRPr="00B54187">
        <w:rPr>
          <w:rFonts w:cs="Arial"/>
          <w:strike/>
          <w:color w:val="auto"/>
          <w:szCs w:val="24"/>
        </w:rPr>
        <w:tab/>
        <w:t>The Government is undertaking further work to look at the most effective way to run HS2 trains to Leeds.</w:t>
      </w:r>
    </w:p>
    <w:p w14:paraId="31BBB0FE" w14:textId="77777777" w:rsidR="00BA7A0D" w:rsidRPr="00B54187" w:rsidRDefault="00BA7A0D" w:rsidP="00BA7A0D">
      <w:pPr>
        <w:pStyle w:val="ListParagraph"/>
        <w:rPr>
          <w:rFonts w:cs="Arial"/>
          <w:strike/>
          <w:color w:val="auto"/>
          <w:szCs w:val="24"/>
        </w:rPr>
      </w:pPr>
    </w:p>
    <w:p w14:paraId="0881DEC3" w14:textId="77777777" w:rsidR="00BA7A0D" w:rsidRPr="00B54187" w:rsidRDefault="00BA7A0D" w:rsidP="00BA7A0D">
      <w:pPr>
        <w:pStyle w:val="ListParagraph"/>
        <w:numPr>
          <w:ilvl w:val="1"/>
          <w:numId w:val="52"/>
        </w:numPr>
        <w:ind w:left="709" w:hanging="709"/>
        <w:rPr>
          <w:rFonts w:ascii="Arial" w:hAnsi="Arial" w:cs="Arial"/>
          <w:strike/>
          <w:color w:val="auto"/>
          <w:szCs w:val="24"/>
          <w:lang w:eastAsia="en-GB"/>
        </w:rPr>
      </w:pPr>
      <w:r w:rsidRPr="00B54187">
        <w:rPr>
          <w:rFonts w:ascii="Arial" w:hAnsi="Arial" w:cs="Arial"/>
          <w:strike/>
          <w:color w:val="auto"/>
          <w:szCs w:val="24"/>
          <w:lang w:eastAsia="en-GB"/>
        </w:rPr>
        <w:t xml:space="preserve">Whilst the Government removed the section of HS2 from Birmingham to East Midlands on the 4th of October 2023, it restated its commitment to transportation projects in the East Midlands area. Maid Marian Line and Robin Hood line and </w:t>
      </w:r>
      <w:r w:rsidRPr="00B54187">
        <w:rPr>
          <w:rFonts w:ascii="Arial" w:hAnsi="Arial" w:cs="Arial"/>
          <w:strike/>
          <w:color w:val="auto"/>
          <w:szCs w:val="24"/>
          <w:lang w:eastAsia="en-GB"/>
        </w:rPr>
        <w:lastRenderedPageBreak/>
        <w:t>electrification of the line to Nottingham all remain priorities for wider connectivity in the region.</w:t>
      </w:r>
    </w:p>
    <w:p w14:paraId="794B9430" w14:textId="77777777" w:rsidR="00BA7A0D" w:rsidRPr="00B54187" w:rsidRDefault="00BA7A0D" w:rsidP="00BA7A0D">
      <w:pPr>
        <w:pStyle w:val="ListParagraph"/>
        <w:ind w:left="709"/>
        <w:rPr>
          <w:rFonts w:ascii="Arial" w:hAnsi="Arial" w:cs="Arial"/>
          <w:strike/>
          <w:color w:val="auto"/>
          <w:szCs w:val="24"/>
          <w:lang w:eastAsia="en-GB"/>
        </w:rPr>
      </w:pPr>
    </w:p>
    <w:p w14:paraId="6380DBDD" w14:textId="77777777" w:rsidR="00BA7A0D" w:rsidRPr="00B54187" w:rsidRDefault="00BA7A0D" w:rsidP="00BA7A0D">
      <w:pPr>
        <w:pStyle w:val="ListParagraph"/>
        <w:numPr>
          <w:ilvl w:val="1"/>
          <w:numId w:val="52"/>
        </w:numPr>
        <w:ind w:left="709" w:hanging="709"/>
        <w:rPr>
          <w:rFonts w:ascii="Arial" w:hAnsi="Arial" w:cs="Arial"/>
          <w:strike/>
          <w:color w:val="auto"/>
          <w:szCs w:val="24"/>
          <w:lang w:eastAsia="en-GB"/>
        </w:rPr>
      </w:pPr>
      <w:r w:rsidRPr="00B54187">
        <w:rPr>
          <w:rFonts w:ascii="Arial" w:hAnsi="Arial" w:cs="Arial"/>
          <w:strike/>
          <w:color w:val="auto"/>
          <w:szCs w:val="24"/>
          <w:lang w:eastAsia="en-GB"/>
        </w:rPr>
        <w:t>The Department for Transport’s Safeguarding Directions</w:t>
      </w:r>
      <w:r w:rsidRPr="00B54187">
        <w:rPr>
          <w:rStyle w:val="FootnoteReference"/>
          <w:rFonts w:ascii="Arial" w:hAnsi="Arial" w:cs="Arial"/>
          <w:strike/>
          <w:color w:val="auto"/>
          <w:szCs w:val="24"/>
          <w:lang w:eastAsia="en-GB"/>
        </w:rPr>
        <w:footnoteReference w:id="36"/>
      </w:r>
      <w:r w:rsidRPr="00B54187">
        <w:rPr>
          <w:rFonts w:ascii="Arial" w:hAnsi="Arial" w:cs="Arial"/>
          <w:strike/>
          <w:color w:val="auto"/>
          <w:szCs w:val="24"/>
          <w:lang w:eastAsia="en-GB"/>
        </w:rPr>
        <w:t xml:space="preserve"> remain in place </w:t>
      </w:r>
      <w:proofErr w:type="gramStart"/>
      <w:r w:rsidRPr="00B54187">
        <w:rPr>
          <w:rFonts w:ascii="Arial" w:hAnsi="Arial" w:cs="Arial"/>
          <w:strike/>
          <w:color w:val="auto"/>
          <w:szCs w:val="24"/>
          <w:lang w:eastAsia="en-GB"/>
        </w:rPr>
        <w:t>at this time</w:t>
      </w:r>
      <w:proofErr w:type="gramEnd"/>
      <w:r w:rsidRPr="00B54187">
        <w:rPr>
          <w:rFonts w:ascii="Arial" w:hAnsi="Arial" w:cs="Arial"/>
          <w:strike/>
          <w:color w:val="auto"/>
          <w:szCs w:val="24"/>
          <w:lang w:eastAsia="en-GB"/>
        </w:rPr>
        <w:t>, which including safeguarding the route through the District of Ashfield.  The anticipated route is shown on the Policies Map.</w:t>
      </w:r>
    </w:p>
    <w:bookmarkEnd w:id="21"/>
    <w:bookmarkEnd w:id="22"/>
    <w:p w14:paraId="7D7184AF" w14:textId="48821A96" w:rsidR="00100330" w:rsidRPr="003C7E62" w:rsidRDefault="00100330" w:rsidP="00606546">
      <w:pPr>
        <w:autoSpaceDE w:val="0"/>
        <w:autoSpaceDN w:val="0"/>
        <w:adjustRightInd w:val="0"/>
        <w:spacing w:before="0"/>
        <w:ind w:left="709"/>
        <w:rPr>
          <w:rFonts w:cs="Arial"/>
          <w:i/>
          <w:color w:val="auto"/>
          <w:szCs w:val="24"/>
          <w:u w:val="single"/>
        </w:rPr>
      </w:pPr>
      <w:r w:rsidRPr="003C7E62">
        <w:rPr>
          <w:rFonts w:cs="Arial"/>
          <w:i/>
          <w:color w:val="auto"/>
          <w:szCs w:val="24"/>
          <w:u w:val="single"/>
        </w:rPr>
        <w:t>Joint Health &amp; Wellbeing Strategy 20</w:t>
      </w:r>
      <w:r w:rsidR="00033FE0">
        <w:rPr>
          <w:rFonts w:cs="Arial"/>
          <w:i/>
          <w:color w:val="auto"/>
          <w:szCs w:val="24"/>
          <w:u w:val="single"/>
        </w:rPr>
        <w:t>22</w:t>
      </w:r>
      <w:r w:rsidRPr="003C7E62">
        <w:rPr>
          <w:rFonts w:cs="Arial"/>
          <w:i/>
          <w:color w:val="auto"/>
          <w:szCs w:val="24"/>
          <w:u w:val="single"/>
        </w:rPr>
        <w:t>-202</w:t>
      </w:r>
      <w:r w:rsidR="00033FE0">
        <w:rPr>
          <w:rFonts w:cs="Arial"/>
          <w:i/>
          <w:color w:val="auto"/>
          <w:szCs w:val="24"/>
          <w:u w:val="single"/>
        </w:rPr>
        <w:t>6</w:t>
      </w:r>
    </w:p>
    <w:p w14:paraId="06FC3B7E" w14:textId="55D363AD" w:rsidR="00100330" w:rsidRDefault="00033FE0" w:rsidP="00D01157">
      <w:pPr>
        <w:keepNext w:val="0"/>
        <w:numPr>
          <w:ilvl w:val="1"/>
          <w:numId w:val="52"/>
        </w:numPr>
        <w:autoSpaceDE w:val="0"/>
        <w:autoSpaceDN w:val="0"/>
        <w:adjustRightInd w:val="0"/>
        <w:spacing w:before="0"/>
        <w:ind w:left="709" w:hanging="709"/>
        <w:rPr>
          <w:rFonts w:cs="Arial"/>
          <w:color w:val="auto"/>
          <w:szCs w:val="24"/>
        </w:rPr>
      </w:pPr>
      <w:r w:rsidRPr="00033FE0">
        <w:rPr>
          <w:rFonts w:cs="Arial"/>
          <w:color w:val="auto"/>
          <w:szCs w:val="24"/>
        </w:rPr>
        <w:t xml:space="preserve">This </w:t>
      </w:r>
      <w:r>
        <w:rPr>
          <w:rFonts w:cs="Arial"/>
          <w:color w:val="auto"/>
          <w:szCs w:val="24"/>
        </w:rPr>
        <w:t>S</w:t>
      </w:r>
      <w:r w:rsidRPr="00033FE0">
        <w:rPr>
          <w:rFonts w:cs="Arial"/>
          <w:color w:val="auto"/>
          <w:szCs w:val="24"/>
        </w:rPr>
        <w:t>trategy</w:t>
      </w:r>
      <w:r>
        <w:rPr>
          <w:rStyle w:val="FootnoteReference"/>
          <w:rFonts w:cs="Arial"/>
          <w:color w:val="auto"/>
          <w:szCs w:val="24"/>
        </w:rPr>
        <w:footnoteReference w:id="37"/>
      </w:r>
      <w:r w:rsidRPr="00033FE0">
        <w:rPr>
          <w:rFonts w:cs="Arial"/>
          <w:color w:val="auto"/>
          <w:szCs w:val="24"/>
        </w:rPr>
        <w:t xml:space="preserve"> sets out the priorities for the Nottinghamshire Health and Wellbeing Board and how it plans to improve the health and wellbeing of our residents and reduce health inequalities amongst our communities.</w:t>
      </w:r>
    </w:p>
    <w:p w14:paraId="5A9123BA" w14:textId="11175542" w:rsidR="00CB6138" w:rsidRDefault="00CB6138" w:rsidP="009F53F8">
      <w:pPr>
        <w:keepNext w:val="0"/>
        <w:autoSpaceDE w:val="0"/>
        <w:autoSpaceDN w:val="0"/>
        <w:adjustRightInd w:val="0"/>
        <w:spacing w:before="0"/>
        <w:rPr>
          <w:rFonts w:cs="Arial"/>
          <w:color w:val="auto"/>
        </w:rPr>
      </w:pPr>
    </w:p>
    <w:p w14:paraId="517CC556" w14:textId="40712904" w:rsidR="000B31B8" w:rsidRPr="003C7E62" w:rsidRDefault="000B31B8" w:rsidP="000B31B8">
      <w:pPr>
        <w:keepNext w:val="0"/>
        <w:autoSpaceDE w:val="0"/>
        <w:autoSpaceDN w:val="0"/>
        <w:adjustRightInd w:val="0"/>
        <w:spacing w:before="0"/>
        <w:rPr>
          <w:rFonts w:cs="Arial"/>
          <w:szCs w:val="24"/>
        </w:rPr>
      </w:pPr>
    </w:p>
    <w:p w14:paraId="7CB0B303" w14:textId="49988D00" w:rsidR="00100330" w:rsidRDefault="00100330" w:rsidP="00606546">
      <w:pPr>
        <w:autoSpaceDE w:val="0"/>
        <w:autoSpaceDN w:val="0"/>
        <w:adjustRightInd w:val="0"/>
        <w:spacing w:before="0"/>
        <w:ind w:left="709"/>
        <w:rPr>
          <w:rFonts w:cs="Arial"/>
          <w:b/>
          <w:szCs w:val="24"/>
        </w:rPr>
      </w:pPr>
      <w:r w:rsidRPr="003C7E62">
        <w:rPr>
          <w:rFonts w:cs="Arial"/>
          <w:b/>
          <w:szCs w:val="24"/>
        </w:rPr>
        <w:t>Local Context / Strategies</w:t>
      </w:r>
    </w:p>
    <w:p w14:paraId="556D4AE8" w14:textId="77777777" w:rsidR="0038361D" w:rsidRPr="003C7E62" w:rsidRDefault="0038361D" w:rsidP="00606546">
      <w:pPr>
        <w:autoSpaceDE w:val="0"/>
        <w:autoSpaceDN w:val="0"/>
        <w:adjustRightInd w:val="0"/>
        <w:spacing w:before="0"/>
        <w:ind w:left="709"/>
        <w:rPr>
          <w:rFonts w:cs="Arial"/>
          <w:b/>
          <w:szCs w:val="24"/>
        </w:rPr>
      </w:pPr>
    </w:p>
    <w:p w14:paraId="21D08648" w14:textId="223E31F6" w:rsidR="00100330" w:rsidRPr="003C7E62" w:rsidRDefault="00100330" w:rsidP="00D01157">
      <w:pPr>
        <w:keepNext w:val="0"/>
        <w:numPr>
          <w:ilvl w:val="1"/>
          <w:numId w:val="52"/>
        </w:numPr>
        <w:autoSpaceDE w:val="0"/>
        <w:autoSpaceDN w:val="0"/>
        <w:adjustRightInd w:val="0"/>
        <w:spacing w:before="0"/>
        <w:ind w:left="709" w:hanging="709"/>
        <w:rPr>
          <w:rFonts w:cs="Arial"/>
          <w:szCs w:val="24"/>
        </w:rPr>
      </w:pPr>
      <w:r w:rsidRPr="003C7E62">
        <w:rPr>
          <w:rFonts w:cs="Arial"/>
          <w:szCs w:val="24"/>
        </w:rPr>
        <w:t xml:space="preserve">The following plans and polices are of local relevance and have been used to shape the </w:t>
      </w:r>
      <w:r w:rsidRPr="00F155DB">
        <w:rPr>
          <w:rFonts w:cs="Arial"/>
          <w:strike/>
          <w:szCs w:val="24"/>
        </w:rPr>
        <w:t>draft</w:t>
      </w:r>
      <w:r w:rsidRPr="003C7E62">
        <w:rPr>
          <w:rFonts w:cs="Arial"/>
          <w:szCs w:val="24"/>
        </w:rPr>
        <w:t xml:space="preserve"> </w:t>
      </w:r>
      <w:r w:rsidR="00E96CEF">
        <w:rPr>
          <w:rFonts w:cs="Arial"/>
          <w:szCs w:val="24"/>
        </w:rPr>
        <w:t>L</w:t>
      </w:r>
      <w:r w:rsidRPr="003C7E62">
        <w:rPr>
          <w:rFonts w:cs="Arial"/>
          <w:szCs w:val="24"/>
        </w:rPr>
        <w:t xml:space="preserve">ocal </w:t>
      </w:r>
      <w:r w:rsidR="00E96CEF">
        <w:rPr>
          <w:rFonts w:cs="Arial"/>
          <w:szCs w:val="24"/>
        </w:rPr>
        <w:t>P</w:t>
      </w:r>
      <w:r w:rsidRPr="003C7E62">
        <w:rPr>
          <w:rFonts w:cs="Arial"/>
          <w:szCs w:val="24"/>
        </w:rPr>
        <w:t>lan.</w:t>
      </w:r>
    </w:p>
    <w:p w14:paraId="24DC83B0" w14:textId="77777777" w:rsidR="00606546" w:rsidRPr="003C7E62" w:rsidRDefault="00606546" w:rsidP="00606546">
      <w:pPr>
        <w:autoSpaceDE w:val="0"/>
        <w:autoSpaceDN w:val="0"/>
        <w:adjustRightInd w:val="0"/>
        <w:spacing w:before="0"/>
        <w:ind w:left="709"/>
        <w:rPr>
          <w:rFonts w:cs="Arial"/>
          <w:i/>
          <w:szCs w:val="24"/>
          <w:u w:val="single"/>
        </w:rPr>
      </w:pPr>
    </w:p>
    <w:p w14:paraId="57BC4C4D" w14:textId="78DA5765" w:rsidR="00100330" w:rsidRPr="00E96CEF" w:rsidRDefault="00100330" w:rsidP="00606546">
      <w:pPr>
        <w:autoSpaceDE w:val="0"/>
        <w:autoSpaceDN w:val="0"/>
        <w:adjustRightInd w:val="0"/>
        <w:spacing w:before="0"/>
        <w:ind w:left="709"/>
        <w:rPr>
          <w:rFonts w:cs="Arial"/>
          <w:color w:val="auto"/>
          <w:szCs w:val="24"/>
        </w:rPr>
      </w:pPr>
      <w:r w:rsidRPr="00E96CEF">
        <w:rPr>
          <w:rFonts w:cs="Arial"/>
          <w:i/>
          <w:color w:val="auto"/>
          <w:szCs w:val="24"/>
          <w:u w:val="single"/>
        </w:rPr>
        <w:t>Ashfield District Council Corporate Plan (20</w:t>
      </w:r>
      <w:r w:rsidR="00F844C8">
        <w:rPr>
          <w:rFonts w:cs="Arial"/>
          <w:i/>
          <w:color w:val="auto"/>
          <w:szCs w:val="24"/>
          <w:u w:val="single"/>
        </w:rPr>
        <w:t>23</w:t>
      </w:r>
      <w:r w:rsidRPr="00E96CEF">
        <w:rPr>
          <w:rFonts w:cs="Arial"/>
          <w:i/>
          <w:color w:val="auto"/>
          <w:szCs w:val="24"/>
          <w:u w:val="single"/>
        </w:rPr>
        <w:t xml:space="preserve"> – 202</w:t>
      </w:r>
      <w:r w:rsidR="00F844C8">
        <w:rPr>
          <w:rFonts w:cs="Arial"/>
          <w:i/>
          <w:color w:val="auto"/>
          <w:szCs w:val="24"/>
          <w:u w:val="single"/>
        </w:rPr>
        <w:t>7</w:t>
      </w:r>
      <w:r w:rsidRPr="00E96CEF">
        <w:rPr>
          <w:rFonts w:cs="Arial"/>
          <w:i/>
          <w:color w:val="auto"/>
          <w:szCs w:val="24"/>
          <w:u w:val="single"/>
        </w:rPr>
        <w:t>)</w:t>
      </w:r>
    </w:p>
    <w:p w14:paraId="6DC7FF23" w14:textId="499CDA55" w:rsidR="00100330" w:rsidRPr="00E96CEF" w:rsidRDefault="00100330" w:rsidP="00D01157">
      <w:pPr>
        <w:keepNext w:val="0"/>
        <w:numPr>
          <w:ilvl w:val="1"/>
          <w:numId w:val="52"/>
        </w:numPr>
        <w:autoSpaceDE w:val="0"/>
        <w:autoSpaceDN w:val="0"/>
        <w:adjustRightInd w:val="0"/>
        <w:spacing w:before="0"/>
        <w:ind w:left="709" w:hanging="709"/>
        <w:rPr>
          <w:rFonts w:cs="Arial"/>
          <w:color w:val="auto"/>
          <w:szCs w:val="24"/>
        </w:rPr>
      </w:pPr>
      <w:r w:rsidRPr="00E96CEF">
        <w:rPr>
          <w:rFonts w:cs="Arial"/>
          <w:color w:val="auto"/>
          <w:szCs w:val="24"/>
        </w:rPr>
        <w:t>Six priorities are set out in the Ashfield District Council Corporate Plan</w:t>
      </w:r>
      <w:r w:rsidRPr="00E96CEF">
        <w:rPr>
          <w:rFonts w:cs="Arial"/>
          <w:color w:val="auto"/>
          <w:szCs w:val="24"/>
          <w:vertAlign w:val="superscript"/>
        </w:rPr>
        <w:footnoteReference w:id="38"/>
      </w:r>
      <w:r w:rsidRPr="00E96CEF">
        <w:rPr>
          <w:rFonts w:cs="Arial"/>
          <w:color w:val="auto"/>
          <w:szCs w:val="24"/>
        </w:rPr>
        <w:t xml:space="preserve"> as follows:</w:t>
      </w:r>
    </w:p>
    <w:p w14:paraId="40BFAEDC" w14:textId="77777777" w:rsidR="008B78E9" w:rsidRPr="00E96CEF" w:rsidRDefault="008B78E9" w:rsidP="008B78E9">
      <w:pPr>
        <w:keepNext w:val="0"/>
        <w:autoSpaceDE w:val="0"/>
        <w:autoSpaceDN w:val="0"/>
        <w:adjustRightInd w:val="0"/>
        <w:spacing w:before="0"/>
        <w:ind w:left="709"/>
        <w:rPr>
          <w:rFonts w:cs="Arial"/>
          <w:color w:val="auto"/>
          <w:szCs w:val="24"/>
        </w:rPr>
      </w:pPr>
    </w:p>
    <w:p w14:paraId="2C93C166" w14:textId="77777777" w:rsidR="00100330" w:rsidRPr="00E96CEF" w:rsidRDefault="00100330" w:rsidP="00D01157">
      <w:pPr>
        <w:keepNext w:val="0"/>
        <w:numPr>
          <w:ilvl w:val="0"/>
          <w:numId w:val="53"/>
        </w:numPr>
        <w:autoSpaceDE w:val="0"/>
        <w:autoSpaceDN w:val="0"/>
        <w:adjustRightInd w:val="0"/>
        <w:spacing w:before="0"/>
        <w:ind w:left="1134" w:hanging="425"/>
        <w:rPr>
          <w:rFonts w:cs="Arial"/>
          <w:color w:val="auto"/>
          <w:szCs w:val="24"/>
        </w:rPr>
      </w:pPr>
      <w:r w:rsidRPr="00E96CEF">
        <w:rPr>
          <w:rFonts w:cs="Arial"/>
          <w:color w:val="auto"/>
          <w:szCs w:val="24"/>
        </w:rPr>
        <w:t>Health and Happiness,</w:t>
      </w:r>
    </w:p>
    <w:p w14:paraId="3B6F3E3F" w14:textId="77777777" w:rsidR="00100330" w:rsidRPr="00E96CEF" w:rsidRDefault="00100330" w:rsidP="00D01157">
      <w:pPr>
        <w:keepNext w:val="0"/>
        <w:numPr>
          <w:ilvl w:val="0"/>
          <w:numId w:val="53"/>
        </w:numPr>
        <w:autoSpaceDE w:val="0"/>
        <w:autoSpaceDN w:val="0"/>
        <w:adjustRightInd w:val="0"/>
        <w:spacing w:before="0"/>
        <w:ind w:left="1134" w:hanging="425"/>
        <w:rPr>
          <w:rFonts w:cs="Arial"/>
          <w:color w:val="auto"/>
          <w:szCs w:val="24"/>
        </w:rPr>
      </w:pPr>
      <w:r w:rsidRPr="00E96CEF">
        <w:rPr>
          <w:rFonts w:cs="Arial"/>
          <w:color w:val="auto"/>
          <w:szCs w:val="24"/>
        </w:rPr>
        <w:t>Homes and Housing,</w:t>
      </w:r>
    </w:p>
    <w:p w14:paraId="35B3C8B6" w14:textId="77777777" w:rsidR="00100330" w:rsidRPr="00E96CEF" w:rsidRDefault="00100330" w:rsidP="00D01157">
      <w:pPr>
        <w:keepNext w:val="0"/>
        <w:numPr>
          <w:ilvl w:val="0"/>
          <w:numId w:val="53"/>
        </w:numPr>
        <w:autoSpaceDE w:val="0"/>
        <w:autoSpaceDN w:val="0"/>
        <w:adjustRightInd w:val="0"/>
        <w:spacing w:before="0"/>
        <w:ind w:left="1134" w:hanging="425"/>
        <w:rPr>
          <w:rFonts w:cs="Arial"/>
          <w:color w:val="auto"/>
          <w:szCs w:val="24"/>
        </w:rPr>
      </w:pPr>
      <w:r w:rsidRPr="00E96CEF">
        <w:rPr>
          <w:rFonts w:cs="Arial"/>
          <w:color w:val="auto"/>
          <w:szCs w:val="24"/>
        </w:rPr>
        <w:t>Economic Growth and Place,</w:t>
      </w:r>
    </w:p>
    <w:p w14:paraId="4D27AF14" w14:textId="77777777" w:rsidR="00100330" w:rsidRPr="00E96CEF" w:rsidRDefault="00100330" w:rsidP="00D01157">
      <w:pPr>
        <w:keepNext w:val="0"/>
        <w:numPr>
          <w:ilvl w:val="0"/>
          <w:numId w:val="53"/>
        </w:numPr>
        <w:autoSpaceDE w:val="0"/>
        <w:autoSpaceDN w:val="0"/>
        <w:adjustRightInd w:val="0"/>
        <w:spacing w:before="0"/>
        <w:ind w:left="1134" w:hanging="425"/>
        <w:rPr>
          <w:rFonts w:cs="Arial"/>
          <w:color w:val="auto"/>
          <w:szCs w:val="24"/>
        </w:rPr>
      </w:pPr>
      <w:r w:rsidRPr="00E96CEF">
        <w:rPr>
          <w:rFonts w:cs="Arial"/>
          <w:color w:val="auto"/>
          <w:szCs w:val="24"/>
        </w:rPr>
        <w:t>Cleaner and Greener,</w:t>
      </w:r>
    </w:p>
    <w:p w14:paraId="06747E9E" w14:textId="77777777" w:rsidR="00100330" w:rsidRPr="00E96CEF" w:rsidRDefault="00100330" w:rsidP="00D01157">
      <w:pPr>
        <w:keepNext w:val="0"/>
        <w:numPr>
          <w:ilvl w:val="0"/>
          <w:numId w:val="53"/>
        </w:numPr>
        <w:autoSpaceDE w:val="0"/>
        <w:autoSpaceDN w:val="0"/>
        <w:adjustRightInd w:val="0"/>
        <w:spacing w:before="0"/>
        <w:ind w:left="1134" w:hanging="425"/>
        <w:rPr>
          <w:rFonts w:cs="Arial"/>
          <w:color w:val="auto"/>
          <w:szCs w:val="24"/>
        </w:rPr>
      </w:pPr>
      <w:r w:rsidRPr="00E96CEF">
        <w:rPr>
          <w:rFonts w:cs="Arial"/>
          <w:color w:val="auto"/>
          <w:szCs w:val="24"/>
        </w:rPr>
        <w:t xml:space="preserve">Safer and Stronger, and </w:t>
      </w:r>
    </w:p>
    <w:p w14:paraId="3E2A198A" w14:textId="77777777" w:rsidR="00100330" w:rsidRPr="00E96CEF" w:rsidRDefault="00100330" w:rsidP="00D01157">
      <w:pPr>
        <w:keepNext w:val="0"/>
        <w:numPr>
          <w:ilvl w:val="0"/>
          <w:numId w:val="53"/>
        </w:numPr>
        <w:autoSpaceDE w:val="0"/>
        <w:autoSpaceDN w:val="0"/>
        <w:adjustRightInd w:val="0"/>
        <w:spacing w:before="0"/>
        <w:ind w:left="1134" w:hanging="425"/>
        <w:rPr>
          <w:rFonts w:cs="Arial"/>
          <w:color w:val="auto"/>
          <w:szCs w:val="24"/>
        </w:rPr>
      </w:pPr>
      <w:r w:rsidRPr="00E96CEF">
        <w:rPr>
          <w:rFonts w:cs="Arial"/>
          <w:color w:val="auto"/>
          <w:szCs w:val="24"/>
        </w:rPr>
        <w:t>Innovate and Improve</w:t>
      </w:r>
    </w:p>
    <w:p w14:paraId="70228810" w14:textId="77777777" w:rsidR="00100330" w:rsidRPr="003C7E62" w:rsidRDefault="00100330" w:rsidP="00606546">
      <w:pPr>
        <w:autoSpaceDE w:val="0"/>
        <w:autoSpaceDN w:val="0"/>
        <w:adjustRightInd w:val="0"/>
        <w:spacing w:before="0"/>
        <w:ind w:left="709"/>
        <w:rPr>
          <w:rFonts w:cs="Arial"/>
          <w:szCs w:val="24"/>
        </w:rPr>
      </w:pPr>
    </w:p>
    <w:p w14:paraId="77CAD235" w14:textId="1B35F23A" w:rsidR="00100330" w:rsidRPr="003C7E62" w:rsidRDefault="00100330" w:rsidP="00D01157">
      <w:pPr>
        <w:keepNext w:val="0"/>
        <w:numPr>
          <w:ilvl w:val="1"/>
          <w:numId w:val="52"/>
        </w:numPr>
        <w:autoSpaceDE w:val="0"/>
        <w:autoSpaceDN w:val="0"/>
        <w:adjustRightInd w:val="0"/>
        <w:spacing w:before="0"/>
        <w:ind w:left="709" w:hanging="709"/>
        <w:rPr>
          <w:rFonts w:cs="Arial"/>
          <w:szCs w:val="24"/>
        </w:rPr>
      </w:pPr>
      <w:r w:rsidRPr="003C7E62">
        <w:rPr>
          <w:rFonts w:cs="Arial"/>
          <w:szCs w:val="24"/>
        </w:rPr>
        <w:t xml:space="preserve">Planning, and the development plan </w:t>
      </w:r>
      <w:proofErr w:type="gramStart"/>
      <w:r w:rsidRPr="003C7E62">
        <w:rPr>
          <w:rFonts w:cs="Arial"/>
          <w:szCs w:val="24"/>
        </w:rPr>
        <w:t>in particular has</w:t>
      </w:r>
      <w:proofErr w:type="gramEnd"/>
      <w:r w:rsidRPr="003C7E62">
        <w:rPr>
          <w:rFonts w:cs="Arial"/>
          <w:szCs w:val="24"/>
        </w:rPr>
        <w:t xml:space="preserve"> a </w:t>
      </w:r>
      <w:r w:rsidR="00382109" w:rsidRPr="003C7E62">
        <w:rPr>
          <w:rFonts w:cs="Arial"/>
          <w:szCs w:val="24"/>
        </w:rPr>
        <w:t>cross-cutting</w:t>
      </w:r>
      <w:r w:rsidRPr="003C7E62">
        <w:rPr>
          <w:rFonts w:cs="Arial"/>
          <w:szCs w:val="24"/>
        </w:rPr>
        <w:t xml:space="preserve"> role to play in helping to meet and deliver these priorities for the People of Ashfield. In particular, the local plan has a key responsibility in delivering the outcomes around the supply of appropriate and affordable homes, improving our town centres, facilitating economic growth especially around transport hubs, improving parks and open space and increasing tree coverage.</w:t>
      </w:r>
    </w:p>
    <w:p w14:paraId="4178C4FB" w14:textId="77777777" w:rsidR="00606546" w:rsidRPr="003C7E62" w:rsidRDefault="00606546" w:rsidP="00606546">
      <w:pPr>
        <w:keepNext w:val="0"/>
        <w:autoSpaceDE w:val="0"/>
        <w:autoSpaceDN w:val="0"/>
        <w:adjustRightInd w:val="0"/>
        <w:spacing w:before="0"/>
        <w:ind w:left="709"/>
        <w:rPr>
          <w:rFonts w:cs="Arial"/>
          <w:szCs w:val="24"/>
        </w:rPr>
      </w:pPr>
    </w:p>
    <w:p w14:paraId="068F4BD7" w14:textId="04BC202E" w:rsidR="00100330" w:rsidRPr="003C7E62" w:rsidRDefault="00E3388F" w:rsidP="00606546">
      <w:pPr>
        <w:autoSpaceDE w:val="0"/>
        <w:autoSpaceDN w:val="0"/>
        <w:adjustRightInd w:val="0"/>
        <w:spacing w:before="0"/>
        <w:ind w:left="709"/>
        <w:rPr>
          <w:rFonts w:cs="Arial"/>
          <w:color w:val="auto"/>
          <w:szCs w:val="24"/>
          <w:u w:val="single"/>
        </w:rPr>
      </w:pPr>
      <w:r w:rsidRPr="003C7E62">
        <w:rPr>
          <w:rFonts w:cs="Arial"/>
          <w:color w:val="auto"/>
          <w:szCs w:val="24"/>
          <w:u w:val="single"/>
        </w:rPr>
        <w:t xml:space="preserve">Ashfield </w:t>
      </w:r>
      <w:r w:rsidR="00100330" w:rsidRPr="003C7E62">
        <w:rPr>
          <w:rFonts w:cs="Arial"/>
          <w:color w:val="auto"/>
          <w:szCs w:val="24"/>
          <w:u w:val="single"/>
        </w:rPr>
        <w:t>Social Value Policy</w:t>
      </w:r>
    </w:p>
    <w:p w14:paraId="425D36CB" w14:textId="51299F8F" w:rsidR="00100330" w:rsidRPr="003C7E62" w:rsidRDefault="00100330" w:rsidP="00D01157">
      <w:pPr>
        <w:keepNext w:val="0"/>
        <w:numPr>
          <w:ilvl w:val="1"/>
          <w:numId w:val="52"/>
        </w:numPr>
        <w:autoSpaceDE w:val="0"/>
        <w:autoSpaceDN w:val="0"/>
        <w:adjustRightInd w:val="0"/>
        <w:spacing w:before="0"/>
        <w:ind w:left="709" w:hanging="709"/>
        <w:rPr>
          <w:rFonts w:cs="Arial"/>
          <w:color w:val="auto"/>
          <w:szCs w:val="24"/>
        </w:rPr>
      </w:pPr>
      <w:r w:rsidRPr="00F916A1">
        <w:rPr>
          <w:rFonts w:cs="Arial"/>
          <w:color w:val="auto"/>
          <w:szCs w:val="24"/>
        </w:rPr>
        <w:t>The Council’s Social Value Policy</w:t>
      </w:r>
      <w:r w:rsidR="00E3388F" w:rsidRPr="00F916A1">
        <w:rPr>
          <w:rStyle w:val="FootnoteReference"/>
          <w:rFonts w:cs="Arial"/>
          <w:color w:val="auto"/>
          <w:szCs w:val="24"/>
        </w:rPr>
        <w:footnoteReference w:id="39"/>
      </w:r>
      <w:r w:rsidRPr="00F916A1">
        <w:rPr>
          <w:rFonts w:cs="Arial"/>
          <w:color w:val="auto"/>
          <w:szCs w:val="24"/>
        </w:rPr>
        <w:t xml:space="preserve"> </w:t>
      </w:r>
      <w:r w:rsidRPr="003C7E62">
        <w:rPr>
          <w:rFonts w:cs="Arial"/>
          <w:color w:val="auto"/>
          <w:szCs w:val="24"/>
        </w:rPr>
        <w:t xml:space="preserve">sets out the Council’s commitment to social value and the added benefits that can be gained from projects and public </w:t>
      </w:r>
      <w:r w:rsidRPr="003C7E62">
        <w:rPr>
          <w:rFonts w:cs="Arial"/>
          <w:color w:val="auto"/>
          <w:szCs w:val="24"/>
        </w:rPr>
        <w:lastRenderedPageBreak/>
        <w:t>procurement, specifically for the social, economic and environmental benefit of local people living in the local area.</w:t>
      </w:r>
    </w:p>
    <w:p w14:paraId="44DB0AA3" w14:textId="77777777" w:rsidR="00606546" w:rsidRPr="003C7E62" w:rsidRDefault="00606546" w:rsidP="00606546">
      <w:pPr>
        <w:keepNext w:val="0"/>
        <w:autoSpaceDE w:val="0"/>
        <w:autoSpaceDN w:val="0"/>
        <w:adjustRightInd w:val="0"/>
        <w:spacing w:before="0"/>
        <w:ind w:left="709"/>
        <w:rPr>
          <w:rFonts w:cs="Arial"/>
          <w:color w:val="auto"/>
          <w:szCs w:val="24"/>
        </w:rPr>
      </w:pPr>
    </w:p>
    <w:p w14:paraId="132499FA" w14:textId="2233F951" w:rsidR="00100330" w:rsidRPr="003C7E62"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 xml:space="preserve">The Policy identifies that it is important for Ashfield District Council to know and understand what is being delivered so that we can understand where we need to concentrate improvement on.  Examples of delivering social value in the Policy includes ‘Building Social Value into planning </w:t>
      </w:r>
      <w:proofErr w:type="gramStart"/>
      <w:r w:rsidRPr="003C7E62">
        <w:rPr>
          <w:rFonts w:cs="Arial"/>
          <w:color w:val="auto"/>
          <w:szCs w:val="24"/>
        </w:rPr>
        <w:t>services’</w:t>
      </w:r>
      <w:proofErr w:type="gramEnd"/>
      <w:r w:rsidRPr="003C7E62">
        <w:rPr>
          <w:rFonts w:cs="Arial"/>
          <w:color w:val="auto"/>
          <w:szCs w:val="24"/>
        </w:rPr>
        <w:t>.</w:t>
      </w:r>
      <w:r w:rsidR="001275A6" w:rsidRPr="003C7E62">
        <w:rPr>
          <w:rFonts w:cs="Arial"/>
          <w:color w:val="auto"/>
          <w:szCs w:val="24"/>
        </w:rPr>
        <w:t xml:space="preserve">  This has been reflected with the inclusion of a social value policy in the </w:t>
      </w:r>
      <w:r w:rsidR="001275A6" w:rsidRPr="00F155DB">
        <w:rPr>
          <w:rFonts w:cs="Arial"/>
          <w:strike/>
          <w:color w:val="auto"/>
          <w:szCs w:val="24"/>
        </w:rPr>
        <w:t>draft</w:t>
      </w:r>
      <w:r w:rsidR="001275A6" w:rsidRPr="003C7E62">
        <w:rPr>
          <w:rFonts w:cs="Arial"/>
          <w:color w:val="auto"/>
          <w:szCs w:val="24"/>
        </w:rPr>
        <w:t xml:space="preserve"> </w:t>
      </w:r>
      <w:proofErr w:type="gramStart"/>
      <w:r w:rsidR="001275A6" w:rsidRPr="003C7E62">
        <w:rPr>
          <w:rFonts w:cs="Arial"/>
          <w:color w:val="auto"/>
          <w:szCs w:val="24"/>
        </w:rPr>
        <w:t>Plan</w:t>
      </w:r>
      <w:proofErr w:type="gramEnd"/>
      <w:r w:rsidR="001275A6" w:rsidRPr="003C7E62">
        <w:rPr>
          <w:rFonts w:cs="Arial"/>
          <w:color w:val="auto"/>
          <w:szCs w:val="24"/>
        </w:rPr>
        <w:t xml:space="preserve"> and the Council have been involved with the Social Value Task Force in the development of the policy approach.</w:t>
      </w:r>
    </w:p>
    <w:p w14:paraId="3EF053B2" w14:textId="77777777" w:rsidR="00606546" w:rsidRPr="003C7E62" w:rsidRDefault="00606546" w:rsidP="00606546">
      <w:pPr>
        <w:keepNext w:val="0"/>
        <w:autoSpaceDE w:val="0"/>
        <w:autoSpaceDN w:val="0"/>
        <w:adjustRightInd w:val="0"/>
        <w:spacing w:before="0"/>
        <w:rPr>
          <w:rFonts w:cs="Arial"/>
          <w:color w:val="auto"/>
          <w:szCs w:val="24"/>
        </w:rPr>
      </w:pPr>
    </w:p>
    <w:p w14:paraId="7E33C117" w14:textId="77777777" w:rsidR="00100330" w:rsidRPr="003C7E62" w:rsidRDefault="00100330" w:rsidP="00606546">
      <w:pPr>
        <w:autoSpaceDE w:val="0"/>
        <w:autoSpaceDN w:val="0"/>
        <w:adjustRightInd w:val="0"/>
        <w:spacing w:before="0"/>
        <w:ind w:left="709"/>
        <w:rPr>
          <w:rFonts w:cs="Arial"/>
          <w:color w:val="auto"/>
          <w:szCs w:val="24"/>
          <w:u w:val="single"/>
        </w:rPr>
      </w:pPr>
      <w:r w:rsidRPr="003C7E62">
        <w:rPr>
          <w:rFonts w:cs="Arial"/>
          <w:color w:val="auto"/>
          <w:szCs w:val="24"/>
          <w:u w:val="single"/>
        </w:rPr>
        <w:t>Ashfield and Mansfield A Plan for Growth 2017. Ashfield DC &amp; Mansfield DC</w:t>
      </w:r>
      <w:r w:rsidRPr="003C7E62">
        <w:rPr>
          <w:rFonts w:cs="Arial"/>
          <w:color w:val="auto"/>
          <w:szCs w:val="24"/>
          <w:u w:val="single"/>
          <w:vertAlign w:val="superscript"/>
        </w:rPr>
        <w:footnoteReference w:id="40"/>
      </w:r>
    </w:p>
    <w:p w14:paraId="2283952E" w14:textId="197DB4E0" w:rsidR="00100330" w:rsidRPr="003C7E62"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This reflects the commitment by both councils, to produce a combined economic strategy. This reflects the fact that the two districts together are effectively an integrated economic community, with many people living in one district and working in the other. This is also supported by Centre for Cities, who have recognised Mansfield principle urban area (including the Ashfield area) as one of the 64 UK “cities”.</w:t>
      </w:r>
    </w:p>
    <w:p w14:paraId="0690C434" w14:textId="77777777" w:rsidR="00606546" w:rsidRPr="003C7E62" w:rsidRDefault="00606546" w:rsidP="00606546">
      <w:pPr>
        <w:keepNext w:val="0"/>
        <w:autoSpaceDE w:val="0"/>
        <w:autoSpaceDN w:val="0"/>
        <w:adjustRightInd w:val="0"/>
        <w:spacing w:before="0"/>
        <w:ind w:left="709"/>
        <w:rPr>
          <w:rFonts w:cs="Arial"/>
          <w:color w:val="auto"/>
          <w:szCs w:val="24"/>
        </w:rPr>
      </w:pPr>
    </w:p>
    <w:p w14:paraId="385EB349" w14:textId="2BE47989" w:rsidR="0089108C" w:rsidRPr="00885A45" w:rsidRDefault="0089108C" w:rsidP="0089108C">
      <w:pPr>
        <w:keepNext w:val="0"/>
        <w:numPr>
          <w:ilvl w:val="1"/>
          <w:numId w:val="52"/>
        </w:numPr>
        <w:autoSpaceDE w:val="0"/>
        <w:autoSpaceDN w:val="0"/>
        <w:adjustRightInd w:val="0"/>
        <w:spacing w:before="0"/>
        <w:ind w:left="709" w:hanging="709"/>
        <w:rPr>
          <w:rFonts w:cs="Arial"/>
          <w:color w:val="auto"/>
          <w:szCs w:val="24"/>
        </w:rPr>
      </w:pPr>
      <w:r w:rsidRPr="00885A45">
        <w:rPr>
          <w:rFonts w:cs="Arial"/>
          <w:color w:val="auto"/>
          <w:szCs w:val="24"/>
        </w:rPr>
        <w:t>The Strategy sets out a vision ‘to maximise the opportunities for people and businesses to grow and prosper in Ashfield &amp; Mansfield’, together with three themes and associated priority actions:</w:t>
      </w:r>
    </w:p>
    <w:p w14:paraId="411D0C21" w14:textId="77777777" w:rsidR="00606546" w:rsidRPr="003C7E62" w:rsidRDefault="00606546" w:rsidP="00606546">
      <w:pPr>
        <w:keepNext w:val="0"/>
        <w:autoSpaceDE w:val="0"/>
        <w:autoSpaceDN w:val="0"/>
        <w:adjustRightInd w:val="0"/>
        <w:spacing w:before="0"/>
        <w:rPr>
          <w:rFonts w:cs="Arial"/>
          <w:color w:val="auto"/>
          <w:szCs w:val="24"/>
        </w:rPr>
      </w:pPr>
    </w:p>
    <w:p w14:paraId="45749CB1" w14:textId="77777777" w:rsidR="00100330" w:rsidRPr="003C7E62" w:rsidRDefault="00100330" w:rsidP="0089108C">
      <w:pPr>
        <w:keepNext w:val="0"/>
        <w:numPr>
          <w:ilvl w:val="0"/>
          <w:numId w:val="56"/>
        </w:numPr>
        <w:autoSpaceDE w:val="0"/>
        <w:autoSpaceDN w:val="0"/>
        <w:adjustRightInd w:val="0"/>
        <w:spacing w:before="0"/>
        <w:ind w:left="1418"/>
        <w:rPr>
          <w:rFonts w:cs="Arial"/>
          <w:color w:val="auto"/>
          <w:szCs w:val="24"/>
        </w:rPr>
      </w:pPr>
      <w:r w:rsidRPr="003C7E62">
        <w:rPr>
          <w:rFonts w:cs="Arial"/>
          <w:color w:val="auto"/>
          <w:szCs w:val="24"/>
        </w:rPr>
        <w:t>Developing the workforce to support business growth.</w:t>
      </w:r>
    </w:p>
    <w:p w14:paraId="25AC1462" w14:textId="77777777" w:rsidR="00100330" w:rsidRPr="003C7E62" w:rsidRDefault="00100330" w:rsidP="0089108C">
      <w:pPr>
        <w:keepNext w:val="0"/>
        <w:numPr>
          <w:ilvl w:val="0"/>
          <w:numId w:val="56"/>
        </w:numPr>
        <w:autoSpaceDE w:val="0"/>
        <w:autoSpaceDN w:val="0"/>
        <w:adjustRightInd w:val="0"/>
        <w:spacing w:before="0"/>
        <w:ind w:left="1418"/>
        <w:rPr>
          <w:rFonts w:cs="Arial"/>
          <w:color w:val="auto"/>
          <w:szCs w:val="24"/>
        </w:rPr>
      </w:pPr>
      <w:r w:rsidRPr="003C7E62">
        <w:rPr>
          <w:rFonts w:cs="Arial"/>
          <w:color w:val="auto"/>
          <w:szCs w:val="24"/>
        </w:rPr>
        <w:t>Encouraging enterprise and business growth.</w:t>
      </w:r>
    </w:p>
    <w:p w14:paraId="13FE291E" w14:textId="143C1537" w:rsidR="00100330" w:rsidRDefault="00100330" w:rsidP="0089108C">
      <w:pPr>
        <w:keepNext w:val="0"/>
        <w:numPr>
          <w:ilvl w:val="0"/>
          <w:numId w:val="56"/>
        </w:numPr>
        <w:autoSpaceDE w:val="0"/>
        <w:autoSpaceDN w:val="0"/>
        <w:adjustRightInd w:val="0"/>
        <w:spacing w:before="0"/>
        <w:ind w:left="1418"/>
        <w:rPr>
          <w:rFonts w:cs="Arial"/>
          <w:color w:val="auto"/>
          <w:szCs w:val="24"/>
        </w:rPr>
      </w:pPr>
      <w:r w:rsidRPr="003C7E62">
        <w:rPr>
          <w:rFonts w:cs="Arial"/>
          <w:color w:val="auto"/>
          <w:szCs w:val="24"/>
        </w:rPr>
        <w:t>Improving infrastructure and stimulating investment</w:t>
      </w:r>
      <w:r w:rsidR="00606546" w:rsidRPr="003C7E62">
        <w:rPr>
          <w:rFonts w:cs="Arial"/>
          <w:color w:val="auto"/>
          <w:szCs w:val="24"/>
        </w:rPr>
        <w:t>.</w:t>
      </w:r>
    </w:p>
    <w:p w14:paraId="6006905B" w14:textId="77777777" w:rsidR="005E21D7" w:rsidRPr="003C7E62" w:rsidRDefault="005E21D7" w:rsidP="005E21D7">
      <w:pPr>
        <w:keepNext w:val="0"/>
        <w:autoSpaceDE w:val="0"/>
        <w:autoSpaceDN w:val="0"/>
        <w:adjustRightInd w:val="0"/>
        <w:spacing w:before="0"/>
        <w:ind w:left="1080"/>
        <w:rPr>
          <w:rFonts w:cs="Arial"/>
          <w:color w:val="auto"/>
          <w:szCs w:val="24"/>
        </w:rPr>
      </w:pPr>
    </w:p>
    <w:p w14:paraId="187C0E9C" w14:textId="777E0E27" w:rsidR="00100330" w:rsidRPr="00103052" w:rsidRDefault="00100330" w:rsidP="005E21D7">
      <w:pPr>
        <w:autoSpaceDE w:val="0"/>
        <w:autoSpaceDN w:val="0"/>
        <w:adjustRightInd w:val="0"/>
        <w:spacing w:before="0"/>
        <w:ind w:left="709"/>
        <w:rPr>
          <w:rFonts w:cs="Arial"/>
          <w:szCs w:val="24"/>
        </w:rPr>
      </w:pPr>
      <w:r w:rsidRPr="00103052">
        <w:rPr>
          <w:rFonts w:cs="Arial"/>
          <w:color w:val="auto"/>
          <w:szCs w:val="24"/>
          <w:u w:val="single"/>
        </w:rPr>
        <w:t>Affordable Housing Delivery Strategy</w:t>
      </w:r>
      <w:r w:rsidR="00103052" w:rsidRPr="00103052">
        <w:rPr>
          <w:rFonts w:cs="Arial"/>
          <w:color w:val="auto"/>
          <w:szCs w:val="24"/>
          <w:u w:val="single"/>
        </w:rPr>
        <w:t xml:space="preserve"> </w:t>
      </w:r>
      <w:r w:rsidRPr="00103052">
        <w:rPr>
          <w:rFonts w:cs="Arial"/>
          <w:szCs w:val="24"/>
          <w:u w:val="single"/>
        </w:rPr>
        <w:t>20</w:t>
      </w:r>
      <w:r w:rsidR="00904ED5" w:rsidRPr="00103052">
        <w:rPr>
          <w:rFonts w:cs="Arial"/>
          <w:szCs w:val="24"/>
          <w:u w:val="single"/>
        </w:rPr>
        <w:t>21</w:t>
      </w:r>
      <w:r w:rsidRPr="00103052">
        <w:rPr>
          <w:rFonts w:cs="Arial"/>
          <w:szCs w:val="24"/>
          <w:u w:val="single"/>
        </w:rPr>
        <w:t xml:space="preserve"> – 202</w:t>
      </w:r>
      <w:r w:rsidR="00904ED5" w:rsidRPr="00103052">
        <w:rPr>
          <w:rFonts w:cs="Arial"/>
          <w:szCs w:val="24"/>
          <w:u w:val="single"/>
        </w:rPr>
        <w:t>3</w:t>
      </w:r>
      <w:r w:rsidRPr="00103052">
        <w:rPr>
          <w:rFonts w:cs="Arial"/>
          <w:szCs w:val="24"/>
          <w:u w:val="single"/>
        </w:rPr>
        <w:t>. Ashfield District Council</w:t>
      </w:r>
      <w:r w:rsidRPr="00103052">
        <w:rPr>
          <w:rFonts w:cs="Arial"/>
          <w:szCs w:val="24"/>
          <w:vertAlign w:val="superscript"/>
        </w:rPr>
        <w:footnoteReference w:id="41"/>
      </w:r>
    </w:p>
    <w:p w14:paraId="6A493EAD" w14:textId="40DC7315" w:rsidR="00100330" w:rsidRPr="00103052" w:rsidRDefault="00100330" w:rsidP="00D01157">
      <w:pPr>
        <w:keepNext w:val="0"/>
        <w:numPr>
          <w:ilvl w:val="1"/>
          <w:numId w:val="52"/>
        </w:numPr>
        <w:autoSpaceDE w:val="0"/>
        <w:autoSpaceDN w:val="0"/>
        <w:adjustRightInd w:val="0"/>
        <w:spacing w:before="0"/>
        <w:ind w:left="709" w:hanging="709"/>
        <w:rPr>
          <w:rFonts w:cs="Arial"/>
          <w:szCs w:val="24"/>
        </w:rPr>
      </w:pPr>
      <w:r w:rsidRPr="00103052">
        <w:rPr>
          <w:rFonts w:cs="Arial"/>
          <w:szCs w:val="24"/>
        </w:rPr>
        <w:t>The strategy focuses on the actions that can be taken by the Council to increase the supply of affordable homes for rent or for sale in Ashfield district, developed either by the Council, housing association or by a private developer.</w:t>
      </w:r>
      <w:r w:rsidR="00E3388F" w:rsidRPr="00103052">
        <w:rPr>
          <w:rFonts w:cs="Arial"/>
          <w:szCs w:val="24"/>
        </w:rPr>
        <w:t xml:space="preserve"> Together with the Local Plan, this strategy will help to deliver affordable homes in the </w:t>
      </w:r>
      <w:proofErr w:type="gramStart"/>
      <w:r w:rsidR="00E3388F" w:rsidRPr="00103052">
        <w:rPr>
          <w:rFonts w:cs="Arial"/>
          <w:szCs w:val="24"/>
        </w:rPr>
        <w:t>District</w:t>
      </w:r>
      <w:proofErr w:type="gramEnd"/>
      <w:r w:rsidR="00E3388F" w:rsidRPr="00103052">
        <w:rPr>
          <w:rFonts w:cs="Arial"/>
          <w:szCs w:val="24"/>
        </w:rPr>
        <w:t>.</w:t>
      </w:r>
      <w:r w:rsidR="00904ED5" w:rsidRPr="00103052">
        <w:rPr>
          <w:rFonts w:cs="Arial"/>
          <w:szCs w:val="24"/>
        </w:rPr>
        <w:t xml:space="preserve">  A series of “Action</w:t>
      </w:r>
      <w:r w:rsidR="002C0A96" w:rsidRPr="00103052">
        <w:rPr>
          <w:rFonts w:cs="Arial"/>
          <w:szCs w:val="24"/>
        </w:rPr>
        <w:t>s</w:t>
      </w:r>
      <w:r w:rsidR="00904ED5" w:rsidRPr="00103052">
        <w:rPr>
          <w:rFonts w:cs="Arial"/>
          <w:szCs w:val="24"/>
        </w:rPr>
        <w:t xml:space="preserve">” are set out for the period 2023 to 2025. </w:t>
      </w:r>
    </w:p>
    <w:p w14:paraId="04870F8D" w14:textId="77777777" w:rsidR="00606546" w:rsidRPr="003C7E62" w:rsidRDefault="00606546" w:rsidP="00606546">
      <w:pPr>
        <w:keepNext w:val="0"/>
        <w:autoSpaceDE w:val="0"/>
        <w:autoSpaceDN w:val="0"/>
        <w:adjustRightInd w:val="0"/>
        <w:spacing w:before="0"/>
        <w:ind w:left="709"/>
        <w:rPr>
          <w:rFonts w:cs="Arial"/>
          <w:color w:val="auto"/>
          <w:szCs w:val="24"/>
        </w:rPr>
      </w:pPr>
    </w:p>
    <w:p w14:paraId="16F6620B" w14:textId="36B14AC4" w:rsidR="00100330" w:rsidRPr="00E6288C" w:rsidRDefault="00100330" w:rsidP="00606546">
      <w:pPr>
        <w:autoSpaceDE w:val="0"/>
        <w:autoSpaceDN w:val="0"/>
        <w:adjustRightInd w:val="0"/>
        <w:spacing w:before="0"/>
        <w:ind w:left="709"/>
        <w:rPr>
          <w:rFonts w:cs="Arial"/>
          <w:szCs w:val="24"/>
          <w:u w:val="single"/>
        </w:rPr>
      </w:pPr>
      <w:r w:rsidRPr="00E6288C">
        <w:rPr>
          <w:rFonts w:cs="Arial"/>
          <w:szCs w:val="24"/>
          <w:u w:val="single"/>
        </w:rPr>
        <w:t>Ashfield Playing Pitch Strategy 20</w:t>
      </w:r>
      <w:r w:rsidR="00E6288C" w:rsidRPr="00E6288C">
        <w:rPr>
          <w:rFonts w:cs="Arial"/>
          <w:szCs w:val="24"/>
          <w:u w:val="single"/>
        </w:rPr>
        <w:t>23</w:t>
      </w:r>
      <w:r w:rsidRPr="00E6288C">
        <w:rPr>
          <w:rFonts w:cs="Arial"/>
          <w:szCs w:val="24"/>
          <w:u w:val="single"/>
        </w:rPr>
        <w:t xml:space="preserve"> -202</w:t>
      </w:r>
      <w:r w:rsidR="00E6288C" w:rsidRPr="00E6288C">
        <w:rPr>
          <w:rFonts w:cs="Arial"/>
          <w:szCs w:val="24"/>
          <w:u w:val="single"/>
        </w:rPr>
        <w:t>7</w:t>
      </w:r>
    </w:p>
    <w:p w14:paraId="051C08C1" w14:textId="4C6C411B" w:rsidR="00100330" w:rsidRPr="00E6288C" w:rsidRDefault="00100330" w:rsidP="00D01157">
      <w:pPr>
        <w:keepNext w:val="0"/>
        <w:numPr>
          <w:ilvl w:val="1"/>
          <w:numId w:val="52"/>
        </w:numPr>
        <w:autoSpaceDE w:val="0"/>
        <w:autoSpaceDN w:val="0"/>
        <w:adjustRightInd w:val="0"/>
        <w:spacing w:before="0"/>
        <w:ind w:left="709" w:hanging="709"/>
        <w:rPr>
          <w:rFonts w:cs="Arial"/>
          <w:szCs w:val="24"/>
        </w:rPr>
      </w:pPr>
      <w:r w:rsidRPr="00E6288C">
        <w:rPr>
          <w:rFonts w:cs="Arial"/>
          <w:szCs w:val="24"/>
        </w:rPr>
        <w:t>The Playing Pitch Strategy will provide a focus for three key areas</w:t>
      </w:r>
      <w:r w:rsidR="00CD5B8F" w:rsidRPr="00E6288C">
        <w:rPr>
          <w:rFonts w:cs="Arial"/>
          <w:szCs w:val="24"/>
        </w:rPr>
        <w:t>:</w:t>
      </w:r>
    </w:p>
    <w:p w14:paraId="1F8895E7" w14:textId="619B364D" w:rsidR="00100330" w:rsidRPr="00E6288C" w:rsidRDefault="00100330" w:rsidP="00874A98">
      <w:pPr>
        <w:keepNext w:val="0"/>
        <w:numPr>
          <w:ilvl w:val="0"/>
          <w:numId w:val="58"/>
        </w:numPr>
        <w:autoSpaceDE w:val="0"/>
        <w:autoSpaceDN w:val="0"/>
        <w:adjustRightInd w:val="0"/>
        <w:spacing w:before="0"/>
        <w:ind w:left="1418"/>
        <w:rPr>
          <w:rFonts w:cs="Arial"/>
          <w:szCs w:val="24"/>
        </w:rPr>
      </w:pPr>
      <w:r w:rsidRPr="00E6288C">
        <w:rPr>
          <w:rFonts w:cs="Arial"/>
          <w:szCs w:val="24"/>
        </w:rPr>
        <w:t xml:space="preserve">Sustainable </w:t>
      </w:r>
      <w:r w:rsidR="00382109" w:rsidRPr="00E6288C">
        <w:rPr>
          <w:rFonts w:cs="Arial"/>
          <w:szCs w:val="24"/>
        </w:rPr>
        <w:t>long-term</w:t>
      </w:r>
      <w:r w:rsidRPr="00E6288C">
        <w:rPr>
          <w:rFonts w:cs="Arial"/>
          <w:szCs w:val="24"/>
        </w:rPr>
        <w:t xml:space="preserve"> management of outdoor sports facilities,</w:t>
      </w:r>
    </w:p>
    <w:p w14:paraId="55EB84D3" w14:textId="77777777" w:rsidR="00100330" w:rsidRPr="00E6288C" w:rsidRDefault="00100330" w:rsidP="00874A98">
      <w:pPr>
        <w:keepNext w:val="0"/>
        <w:numPr>
          <w:ilvl w:val="0"/>
          <w:numId w:val="58"/>
        </w:numPr>
        <w:autoSpaceDE w:val="0"/>
        <w:autoSpaceDN w:val="0"/>
        <w:adjustRightInd w:val="0"/>
        <w:spacing w:before="0"/>
        <w:ind w:left="1418"/>
        <w:rPr>
          <w:rFonts w:cs="Arial"/>
          <w:szCs w:val="24"/>
        </w:rPr>
      </w:pPr>
      <w:r w:rsidRPr="00E6288C">
        <w:rPr>
          <w:rFonts w:cs="Arial"/>
          <w:szCs w:val="24"/>
        </w:rPr>
        <w:t>Evidence of need and priorities to support funding bids for continued improvement of facilities,</w:t>
      </w:r>
    </w:p>
    <w:p w14:paraId="47537E8D" w14:textId="2D0A7C7E" w:rsidR="00100330" w:rsidRPr="00E6288C" w:rsidRDefault="00100330" w:rsidP="00874A98">
      <w:pPr>
        <w:keepNext w:val="0"/>
        <w:numPr>
          <w:ilvl w:val="0"/>
          <w:numId w:val="58"/>
        </w:numPr>
        <w:autoSpaceDE w:val="0"/>
        <w:autoSpaceDN w:val="0"/>
        <w:adjustRightInd w:val="0"/>
        <w:spacing w:before="0"/>
        <w:ind w:left="1418"/>
        <w:rPr>
          <w:rFonts w:cs="Arial"/>
          <w:szCs w:val="24"/>
        </w:rPr>
      </w:pPr>
      <w:r w:rsidRPr="00E6288C">
        <w:rPr>
          <w:rFonts w:cs="Arial"/>
          <w:szCs w:val="24"/>
        </w:rPr>
        <w:t>Provision of new facilities through the development process where a need has been identified.</w:t>
      </w:r>
    </w:p>
    <w:p w14:paraId="0656C36C" w14:textId="4993AAF3" w:rsidR="00CD5B8F" w:rsidRPr="003C7E62" w:rsidRDefault="00CD5B8F" w:rsidP="00606546">
      <w:pPr>
        <w:keepNext w:val="0"/>
        <w:autoSpaceDE w:val="0"/>
        <w:autoSpaceDN w:val="0"/>
        <w:adjustRightInd w:val="0"/>
        <w:spacing w:before="0"/>
        <w:rPr>
          <w:rFonts w:cs="Arial"/>
          <w:color w:val="auto"/>
          <w:szCs w:val="24"/>
        </w:rPr>
      </w:pPr>
    </w:p>
    <w:p w14:paraId="25B97175" w14:textId="77777777" w:rsidR="00100330" w:rsidRPr="003C7E62" w:rsidRDefault="00100330" w:rsidP="00606546">
      <w:pPr>
        <w:autoSpaceDE w:val="0"/>
        <w:autoSpaceDN w:val="0"/>
        <w:adjustRightInd w:val="0"/>
        <w:spacing w:before="0"/>
        <w:ind w:left="709"/>
        <w:rPr>
          <w:rFonts w:cs="Arial"/>
          <w:color w:val="auto"/>
          <w:szCs w:val="24"/>
          <w:u w:val="single"/>
        </w:rPr>
      </w:pPr>
      <w:r w:rsidRPr="00D91D0F">
        <w:rPr>
          <w:rFonts w:cs="Arial"/>
          <w:color w:val="auto"/>
          <w:szCs w:val="24"/>
          <w:u w:val="single"/>
        </w:rPr>
        <w:lastRenderedPageBreak/>
        <w:t>Ashfield Public Open Space Strategy 2016-2026</w:t>
      </w:r>
    </w:p>
    <w:p w14:paraId="4841537E" w14:textId="77777777" w:rsidR="00100330" w:rsidRPr="003C7E62"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The Public Open Space Strategy provides a vision for Ashfield’s public open spaces and emphasises three key areas:</w:t>
      </w:r>
    </w:p>
    <w:p w14:paraId="0F1DE5C7" w14:textId="16E549AF" w:rsidR="00100330" w:rsidRPr="003C7E62" w:rsidRDefault="00100330" w:rsidP="00874A98">
      <w:pPr>
        <w:keepNext w:val="0"/>
        <w:numPr>
          <w:ilvl w:val="0"/>
          <w:numId w:val="59"/>
        </w:numPr>
        <w:autoSpaceDE w:val="0"/>
        <w:autoSpaceDN w:val="0"/>
        <w:adjustRightInd w:val="0"/>
        <w:spacing w:before="0"/>
        <w:ind w:left="1418"/>
        <w:rPr>
          <w:rFonts w:cs="Arial"/>
          <w:color w:val="auto"/>
          <w:szCs w:val="24"/>
        </w:rPr>
      </w:pPr>
      <w:r w:rsidRPr="003C7E62">
        <w:rPr>
          <w:rFonts w:cs="Arial"/>
          <w:color w:val="auto"/>
          <w:szCs w:val="24"/>
        </w:rPr>
        <w:t xml:space="preserve">Sustainable </w:t>
      </w:r>
      <w:r w:rsidR="00382109" w:rsidRPr="003C7E62">
        <w:rPr>
          <w:rFonts w:cs="Arial"/>
          <w:color w:val="auto"/>
          <w:szCs w:val="24"/>
        </w:rPr>
        <w:t>long-term</w:t>
      </w:r>
      <w:r w:rsidRPr="003C7E62">
        <w:rPr>
          <w:rFonts w:cs="Arial"/>
          <w:color w:val="auto"/>
          <w:szCs w:val="24"/>
        </w:rPr>
        <w:t xml:space="preserve"> management of public open space;</w:t>
      </w:r>
    </w:p>
    <w:p w14:paraId="0904C037" w14:textId="77777777" w:rsidR="00100330" w:rsidRPr="003C7E62" w:rsidRDefault="00100330" w:rsidP="00874A98">
      <w:pPr>
        <w:keepNext w:val="0"/>
        <w:numPr>
          <w:ilvl w:val="0"/>
          <w:numId w:val="59"/>
        </w:numPr>
        <w:autoSpaceDE w:val="0"/>
        <w:autoSpaceDN w:val="0"/>
        <w:adjustRightInd w:val="0"/>
        <w:spacing w:before="0"/>
        <w:ind w:left="1418"/>
        <w:rPr>
          <w:rFonts w:cs="Arial"/>
          <w:color w:val="auto"/>
          <w:szCs w:val="24"/>
        </w:rPr>
      </w:pPr>
      <w:r w:rsidRPr="003C7E62">
        <w:rPr>
          <w:rFonts w:cs="Arial"/>
          <w:color w:val="auto"/>
          <w:szCs w:val="24"/>
        </w:rPr>
        <w:t>Continued improvement of public spaces;</w:t>
      </w:r>
    </w:p>
    <w:p w14:paraId="164EA4F2" w14:textId="77777777" w:rsidR="00100330" w:rsidRPr="003C7E62" w:rsidRDefault="00100330" w:rsidP="00874A98">
      <w:pPr>
        <w:keepNext w:val="0"/>
        <w:numPr>
          <w:ilvl w:val="0"/>
          <w:numId w:val="59"/>
        </w:numPr>
        <w:autoSpaceDE w:val="0"/>
        <w:autoSpaceDN w:val="0"/>
        <w:adjustRightInd w:val="0"/>
        <w:spacing w:before="0"/>
        <w:ind w:left="1418"/>
        <w:rPr>
          <w:rFonts w:cs="Arial"/>
          <w:color w:val="auto"/>
          <w:szCs w:val="24"/>
        </w:rPr>
      </w:pPr>
      <w:r w:rsidRPr="003C7E62">
        <w:rPr>
          <w:rFonts w:cs="Arial"/>
          <w:color w:val="auto"/>
          <w:szCs w:val="24"/>
        </w:rPr>
        <w:t>Provision of new public open space and associated facilities through the development process.</w:t>
      </w:r>
    </w:p>
    <w:p w14:paraId="621A9CC5" w14:textId="77777777" w:rsidR="00100330" w:rsidRPr="003C7E62" w:rsidRDefault="00100330" w:rsidP="00606546">
      <w:pPr>
        <w:autoSpaceDE w:val="0"/>
        <w:autoSpaceDN w:val="0"/>
        <w:adjustRightInd w:val="0"/>
        <w:spacing w:before="0"/>
        <w:ind w:left="709"/>
        <w:rPr>
          <w:rFonts w:cs="Arial"/>
          <w:color w:val="0070C0"/>
          <w:szCs w:val="24"/>
        </w:rPr>
      </w:pPr>
    </w:p>
    <w:p w14:paraId="31FD2EFF" w14:textId="00622C7B" w:rsidR="00100330" w:rsidRDefault="00100330"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auto"/>
          <w:szCs w:val="24"/>
        </w:rPr>
        <w:t>The strategy focuses on publicly accessible open spaces, including parks and green spaces, town centre spaces such as squares and plazas, allotments, cemeteries and green links.</w:t>
      </w:r>
    </w:p>
    <w:p w14:paraId="51510881" w14:textId="77777777" w:rsidR="00D91D0F" w:rsidRDefault="00D91D0F" w:rsidP="00D91D0F">
      <w:pPr>
        <w:keepNext w:val="0"/>
        <w:autoSpaceDE w:val="0"/>
        <w:autoSpaceDN w:val="0"/>
        <w:adjustRightInd w:val="0"/>
        <w:spacing w:before="0"/>
        <w:ind w:left="709"/>
        <w:rPr>
          <w:rFonts w:cs="Arial"/>
          <w:color w:val="auto"/>
          <w:szCs w:val="24"/>
        </w:rPr>
      </w:pPr>
    </w:p>
    <w:p w14:paraId="44519B61" w14:textId="74B140F2" w:rsidR="00D91D0F" w:rsidRPr="00103052" w:rsidRDefault="00D91D0F" w:rsidP="00D91D0F">
      <w:pPr>
        <w:keepNext w:val="0"/>
        <w:autoSpaceDE w:val="0"/>
        <w:autoSpaceDN w:val="0"/>
        <w:adjustRightInd w:val="0"/>
        <w:spacing w:before="0"/>
        <w:ind w:left="709"/>
        <w:rPr>
          <w:rFonts w:cs="Arial"/>
          <w:color w:val="auto"/>
          <w:szCs w:val="24"/>
          <w:u w:val="single"/>
        </w:rPr>
      </w:pPr>
      <w:r w:rsidRPr="00103052">
        <w:rPr>
          <w:rFonts w:cs="Arial"/>
          <w:color w:val="auto"/>
          <w:szCs w:val="24"/>
          <w:u w:val="single"/>
        </w:rPr>
        <w:t>The Ashfield Community Partnership Strategic Plan 2019 - 2022</w:t>
      </w:r>
      <w:r w:rsidRPr="00103052">
        <w:rPr>
          <w:rStyle w:val="FootnoteReference"/>
          <w:rFonts w:cs="Arial"/>
          <w:color w:val="auto"/>
          <w:szCs w:val="24"/>
          <w:u w:val="single"/>
        </w:rPr>
        <w:footnoteReference w:id="42"/>
      </w:r>
    </w:p>
    <w:p w14:paraId="118CB68B" w14:textId="3BBD224A" w:rsidR="00D91D0F" w:rsidRPr="00103052" w:rsidRDefault="00D91D0F" w:rsidP="00D01157">
      <w:pPr>
        <w:keepNext w:val="0"/>
        <w:numPr>
          <w:ilvl w:val="1"/>
          <w:numId w:val="52"/>
        </w:numPr>
        <w:autoSpaceDE w:val="0"/>
        <w:autoSpaceDN w:val="0"/>
        <w:adjustRightInd w:val="0"/>
        <w:spacing w:before="0"/>
        <w:ind w:left="709" w:hanging="709"/>
        <w:rPr>
          <w:rFonts w:cs="Arial"/>
          <w:color w:val="auto"/>
          <w:szCs w:val="24"/>
        </w:rPr>
      </w:pPr>
      <w:r w:rsidRPr="00103052">
        <w:rPr>
          <w:rFonts w:cs="Arial"/>
          <w:color w:val="auto"/>
          <w:szCs w:val="24"/>
        </w:rPr>
        <w:t>Ashfield Community Partnership (ACP) is a multi-agency body responsible for tackling and addressing crime and disorder in Ashfield. The Strategic Plan 2019 - 2022 is a 3-year rolling document, which identifies how the partnership plans to tackle local community safety issues that matter to the local community.</w:t>
      </w:r>
    </w:p>
    <w:p w14:paraId="62C1E475" w14:textId="77777777" w:rsidR="00D91D0F" w:rsidRPr="00103052" w:rsidRDefault="00D91D0F" w:rsidP="00606546">
      <w:pPr>
        <w:keepNext w:val="0"/>
        <w:autoSpaceDE w:val="0"/>
        <w:autoSpaceDN w:val="0"/>
        <w:adjustRightInd w:val="0"/>
        <w:spacing w:before="0"/>
        <w:ind w:left="709"/>
        <w:rPr>
          <w:rFonts w:cs="Arial"/>
          <w:color w:val="auto"/>
          <w:szCs w:val="24"/>
        </w:rPr>
      </w:pPr>
    </w:p>
    <w:p w14:paraId="0756B69A" w14:textId="5F590FD8" w:rsidR="00F916A1" w:rsidRPr="00103052" w:rsidRDefault="00D91D0F" w:rsidP="00F916A1">
      <w:pPr>
        <w:keepNext w:val="0"/>
        <w:autoSpaceDE w:val="0"/>
        <w:autoSpaceDN w:val="0"/>
        <w:adjustRightInd w:val="0"/>
        <w:spacing w:before="0"/>
        <w:ind w:left="709"/>
        <w:rPr>
          <w:rFonts w:cs="Arial"/>
          <w:color w:val="auto"/>
          <w:szCs w:val="24"/>
          <w:u w:val="single"/>
        </w:rPr>
      </w:pPr>
      <w:bookmarkStart w:id="23" w:name="_Hlk75958138"/>
      <w:r w:rsidRPr="00103052">
        <w:rPr>
          <w:rFonts w:cs="Arial"/>
          <w:color w:val="auto"/>
          <w:szCs w:val="24"/>
          <w:u w:val="single"/>
        </w:rPr>
        <w:t>Ashfield Health and Wellbeing Partnership Strategy Be Healthy, Be Happy, 2021 – 2025 Ashfield Health and Wellbeing Partnership.</w:t>
      </w:r>
    </w:p>
    <w:p w14:paraId="7E50ED81" w14:textId="65ECE250" w:rsidR="00B87025" w:rsidRPr="00103052" w:rsidRDefault="00D91D0F" w:rsidP="00D01157">
      <w:pPr>
        <w:keepNext w:val="0"/>
        <w:numPr>
          <w:ilvl w:val="1"/>
          <w:numId w:val="52"/>
        </w:numPr>
        <w:autoSpaceDE w:val="0"/>
        <w:autoSpaceDN w:val="0"/>
        <w:adjustRightInd w:val="0"/>
        <w:spacing w:before="0"/>
        <w:ind w:left="709" w:hanging="709"/>
        <w:rPr>
          <w:rFonts w:cs="Arial"/>
          <w:color w:val="auto"/>
          <w:szCs w:val="24"/>
        </w:rPr>
      </w:pPr>
      <w:r w:rsidRPr="00103052">
        <w:rPr>
          <w:rFonts w:cs="Arial"/>
          <w:color w:val="auto"/>
          <w:szCs w:val="24"/>
        </w:rPr>
        <w:t>The Ashfield Health and Wellbeing partnership is a local partnership which aims to encourage and provide opportunities for residents within the Ashfield area to lead a healthy, active lifestyle.  The Strategy identifies a mission ‘To work collaboratively to help people improve their health and wellbeing, develop pride and aspiration in our communities and promote Ashfield in a positive manner.’</w:t>
      </w:r>
    </w:p>
    <w:p w14:paraId="1CF8DFCC" w14:textId="77777777" w:rsidR="00D91D0F" w:rsidRDefault="00D91D0F" w:rsidP="00D91D0F">
      <w:pPr>
        <w:keepNext w:val="0"/>
        <w:autoSpaceDE w:val="0"/>
        <w:autoSpaceDN w:val="0"/>
        <w:adjustRightInd w:val="0"/>
        <w:spacing w:before="0"/>
        <w:ind w:left="709"/>
        <w:rPr>
          <w:rFonts w:cs="Arial"/>
          <w:color w:val="auto"/>
          <w:szCs w:val="24"/>
        </w:rPr>
      </w:pPr>
    </w:p>
    <w:p w14:paraId="07D64F24" w14:textId="77777777" w:rsidR="00B87025" w:rsidRPr="003C7E62" w:rsidRDefault="00B87025" w:rsidP="00606546">
      <w:pPr>
        <w:keepNext w:val="0"/>
        <w:autoSpaceDE w:val="0"/>
        <w:autoSpaceDN w:val="0"/>
        <w:adjustRightInd w:val="0"/>
        <w:spacing w:before="0"/>
        <w:ind w:left="709"/>
        <w:rPr>
          <w:rFonts w:cs="Arial"/>
          <w:color w:val="auto"/>
          <w:szCs w:val="24"/>
          <w:u w:val="single"/>
        </w:rPr>
      </w:pPr>
      <w:r w:rsidRPr="003C7E62">
        <w:rPr>
          <w:rFonts w:cs="Arial"/>
          <w:color w:val="auto"/>
          <w:szCs w:val="24"/>
          <w:u w:val="single"/>
        </w:rPr>
        <w:t>Ashfield District Council Towns Fund</w:t>
      </w:r>
    </w:p>
    <w:p w14:paraId="60A74433" w14:textId="2013BFF8" w:rsidR="00B87025" w:rsidRPr="003C7E62" w:rsidRDefault="00B87025"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0A0A0A"/>
          <w:szCs w:val="24"/>
        </w:rPr>
        <w:t>Kirkby</w:t>
      </w:r>
      <w:r w:rsidR="00606546" w:rsidRPr="003C7E62">
        <w:rPr>
          <w:rFonts w:cs="Arial"/>
          <w:color w:val="0A0A0A"/>
          <w:szCs w:val="24"/>
        </w:rPr>
        <w:t>-</w:t>
      </w:r>
      <w:r w:rsidRPr="003C7E62">
        <w:rPr>
          <w:rFonts w:cs="Arial"/>
          <w:color w:val="0A0A0A"/>
          <w:szCs w:val="24"/>
        </w:rPr>
        <w:t>in</w:t>
      </w:r>
      <w:r w:rsidR="00606546" w:rsidRPr="003C7E62">
        <w:rPr>
          <w:rFonts w:cs="Arial"/>
          <w:color w:val="0A0A0A"/>
          <w:szCs w:val="24"/>
        </w:rPr>
        <w:t>-</w:t>
      </w:r>
      <w:r w:rsidRPr="003C7E62">
        <w:rPr>
          <w:rFonts w:cs="Arial"/>
          <w:color w:val="0A0A0A"/>
          <w:szCs w:val="24"/>
        </w:rPr>
        <w:t>Ashfield and Sutton in Ashfield were chosen by the government in Autumn 2019, as two of the towns in the UK to receive the governments Towns Fund.  The Government set out the three areas of regeneration the Towns Fund will focus on:</w:t>
      </w:r>
    </w:p>
    <w:p w14:paraId="4881B05A" w14:textId="3257353A" w:rsidR="00B87025" w:rsidRPr="003C7E62" w:rsidRDefault="00B87025" w:rsidP="00606546">
      <w:pPr>
        <w:keepNext w:val="0"/>
        <w:autoSpaceDE w:val="0"/>
        <w:autoSpaceDN w:val="0"/>
        <w:adjustRightInd w:val="0"/>
        <w:spacing w:before="0"/>
        <w:ind w:left="709"/>
        <w:rPr>
          <w:rFonts w:cs="Arial"/>
          <w:color w:val="0A0A0A"/>
          <w:szCs w:val="24"/>
        </w:rPr>
      </w:pPr>
    </w:p>
    <w:p w14:paraId="6438348E" w14:textId="77777777" w:rsidR="00B87025" w:rsidRPr="003C7E62" w:rsidRDefault="00B87025" w:rsidP="00874A98">
      <w:pPr>
        <w:keepNext w:val="0"/>
        <w:numPr>
          <w:ilvl w:val="0"/>
          <w:numId w:val="80"/>
        </w:numPr>
        <w:shd w:val="clear" w:color="auto" w:fill="FEFEFE"/>
        <w:spacing w:before="0"/>
        <w:rPr>
          <w:rFonts w:cs="Arial"/>
          <w:color w:val="0A0A0A"/>
          <w:szCs w:val="24"/>
        </w:rPr>
      </w:pPr>
      <w:r w:rsidRPr="003C7E62">
        <w:rPr>
          <w:rFonts w:cs="Arial"/>
          <w:color w:val="0A0A0A"/>
          <w:szCs w:val="24"/>
        </w:rPr>
        <w:t>urban regeneration, planning and land use,</w:t>
      </w:r>
    </w:p>
    <w:p w14:paraId="5B451D07" w14:textId="77777777" w:rsidR="00B87025" w:rsidRPr="003C7E62" w:rsidRDefault="00B87025" w:rsidP="00874A98">
      <w:pPr>
        <w:keepNext w:val="0"/>
        <w:numPr>
          <w:ilvl w:val="0"/>
          <w:numId w:val="80"/>
        </w:numPr>
        <w:shd w:val="clear" w:color="auto" w:fill="FEFEFE"/>
        <w:spacing w:before="0"/>
        <w:rPr>
          <w:rFonts w:cs="Arial"/>
          <w:color w:val="0A0A0A"/>
          <w:szCs w:val="24"/>
        </w:rPr>
      </w:pPr>
      <w:r w:rsidRPr="003C7E62">
        <w:rPr>
          <w:rFonts w:cs="Arial"/>
          <w:color w:val="0A0A0A"/>
          <w:szCs w:val="24"/>
        </w:rPr>
        <w:t xml:space="preserve">skills and enterprise infrastructure, and </w:t>
      </w:r>
    </w:p>
    <w:p w14:paraId="05776F89" w14:textId="3E709CD4" w:rsidR="00B87025" w:rsidRPr="003C7E62" w:rsidRDefault="00B87025" w:rsidP="00874A98">
      <w:pPr>
        <w:keepNext w:val="0"/>
        <w:numPr>
          <w:ilvl w:val="0"/>
          <w:numId w:val="80"/>
        </w:numPr>
        <w:shd w:val="clear" w:color="auto" w:fill="FEFEFE"/>
        <w:spacing w:before="0"/>
        <w:rPr>
          <w:rFonts w:cs="Arial"/>
          <w:color w:val="0A0A0A"/>
          <w:szCs w:val="24"/>
        </w:rPr>
      </w:pPr>
      <w:r w:rsidRPr="003C7E62">
        <w:rPr>
          <w:rFonts w:cs="Arial"/>
          <w:color w:val="0A0A0A"/>
          <w:szCs w:val="24"/>
        </w:rPr>
        <w:t>digital and transport connectivity.</w:t>
      </w:r>
    </w:p>
    <w:p w14:paraId="03603D91" w14:textId="77777777" w:rsidR="00B87025" w:rsidRPr="003C7E62" w:rsidRDefault="00B87025" w:rsidP="00606546">
      <w:pPr>
        <w:keepNext w:val="0"/>
        <w:autoSpaceDE w:val="0"/>
        <w:autoSpaceDN w:val="0"/>
        <w:adjustRightInd w:val="0"/>
        <w:spacing w:before="0"/>
        <w:ind w:left="709"/>
        <w:rPr>
          <w:rFonts w:cs="Arial"/>
          <w:color w:val="auto"/>
          <w:szCs w:val="24"/>
        </w:rPr>
      </w:pPr>
    </w:p>
    <w:p w14:paraId="7A2A89B3" w14:textId="4E55327B" w:rsidR="0095083D" w:rsidRPr="003C7E62" w:rsidRDefault="00B87025"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0A0A0A"/>
          <w:szCs w:val="24"/>
          <w:shd w:val="clear" w:color="auto" w:fill="FEFEFE"/>
        </w:rPr>
        <w:t>Since then, the Council, together with the Discover Ashfield Board have been working closely with stakeholders including business, education, health, transport, and local elected Members to develop the Kirkby and Sutton Town Investment Plan</w:t>
      </w:r>
      <w:r w:rsidR="0095083D" w:rsidRPr="003C7E62">
        <w:rPr>
          <w:rStyle w:val="FootnoteReference"/>
          <w:rFonts w:cs="Arial"/>
          <w:color w:val="0A0A0A"/>
          <w:szCs w:val="24"/>
          <w:shd w:val="clear" w:color="auto" w:fill="FEFEFE"/>
        </w:rPr>
        <w:footnoteReference w:id="43"/>
      </w:r>
      <w:r w:rsidRPr="003C7E62">
        <w:rPr>
          <w:rFonts w:cs="Arial"/>
          <w:color w:val="0A0A0A"/>
          <w:szCs w:val="24"/>
          <w:shd w:val="clear" w:color="auto" w:fill="FEFEFE"/>
        </w:rPr>
        <w:t>.</w:t>
      </w:r>
    </w:p>
    <w:p w14:paraId="68F45D6D" w14:textId="77777777" w:rsidR="0095083D" w:rsidRPr="003C7E62" w:rsidRDefault="0095083D" w:rsidP="00606546">
      <w:pPr>
        <w:keepNext w:val="0"/>
        <w:autoSpaceDE w:val="0"/>
        <w:autoSpaceDN w:val="0"/>
        <w:adjustRightInd w:val="0"/>
        <w:spacing w:before="0"/>
        <w:ind w:left="709"/>
        <w:rPr>
          <w:rFonts w:cs="Arial"/>
          <w:color w:val="auto"/>
          <w:szCs w:val="24"/>
        </w:rPr>
      </w:pPr>
    </w:p>
    <w:p w14:paraId="6DCBA7D5" w14:textId="77777777" w:rsidR="0095083D" w:rsidRPr="003C7E62" w:rsidRDefault="00B87025"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0A0A0A"/>
          <w:szCs w:val="24"/>
          <w:shd w:val="clear" w:color="auto" w:fill="FEFEFE"/>
        </w:rPr>
        <w:t xml:space="preserve">On 8 June 2021 the government announced that it was awarding the Kirkby and Sutton Town Deal £62.6 million. Together with funding secured from the Towns Fund Accelerator Fund (£1.5m) and the Future High Streets Fund, over £70 million has now been secured for Ashfield. Together with co-funding this will bring well over £100 million of investment into the </w:t>
      </w:r>
      <w:proofErr w:type="gramStart"/>
      <w:r w:rsidRPr="003C7E62">
        <w:rPr>
          <w:rFonts w:cs="Arial"/>
          <w:color w:val="0A0A0A"/>
          <w:szCs w:val="24"/>
          <w:shd w:val="clear" w:color="auto" w:fill="FEFEFE"/>
        </w:rPr>
        <w:t>District</w:t>
      </w:r>
      <w:proofErr w:type="gramEnd"/>
      <w:r w:rsidRPr="003C7E62">
        <w:rPr>
          <w:rFonts w:cs="Arial"/>
          <w:color w:val="0A0A0A"/>
          <w:szCs w:val="24"/>
          <w:shd w:val="clear" w:color="auto" w:fill="FEFEFE"/>
        </w:rPr>
        <w:t xml:space="preserve"> over the next five years.</w:t>
      </w:r>
    </w:p>
    <w:p w14:paraId="38F287F9" w14:textId="77777777" w:rsidR="0095083D" w:rsidRPr="003C7E62" w:rsidRDefault="0095083D" w:rsidP="00606546">
      <w:pPr>
        <w:pStyle w:val="ListParagraph"/>
        <w:spacing w:after="0" w:line="240" w:lineRule="auto"/>
        <w:rPr>
          <w:rFonts w:ascii="Arial" w:hAnsi="Arial" w:cs="Arial"/>
          <w:color w:val="0A0A0A"/>
          <w:szCs w:val="24"/>
        </w:rPr>
      </w:pPr>
    </w:p>
    <w:p w14:paraId="7DF075C0" w14:textId="1B4D122A" w:rsidR="00B87025" w:rsidRDefault="00B87025" w:rsidP="00D01157">
      <w:pPr>
        <w:keepNext w:val="0"/>
        <w:numPr>
          <w:ilvl w:val="1"/>
          <w:numId w:val="52"/>
        </w:numPr>
        <w:autoSpaceDE w:val="0"/>
        <w:autoSpaceDN w:val="0"/>
        <w:adjustRightInd w:val="0"/>
        <w:spacing w:before="0"/>
        <w:ind w:left="709" w:hanging="709"/>
        <w:rPr>
          <w:rFonts w:cs="Arial"/>
          <w:color w:val="auto"/>
          <w:szCs w:val="24"/>
        </w:rPr>
      </w:pPr>
      <w:r w:rsidRPr="003C7E62">
        <w:rPr>
          <w:rFonts w:cs="Arial"/>
          <w:color w:val="0A0A0A"/>
          <w:szCs w:val="24"/>
        </w:rPr>
        <w:t>T</w:t>
      </w:r>
      <w:r w:rsidRPr="003C7E62">
        <w:rPr>
          <w:rFonts w:cs="Arial"/>
          <w:color w:val="auto"/>
          <w:szCs w:val="24"/>
        </w:rPr>
        <w:t>he investment will deliver jobs and further education opportunities, long-term economic and productivity growth, new homes, improved transport infrastructure, reduced carbon and new cultural and visitor facilities.</w:t>
      </w:r>
      <w:r w:rsidRPr="003C7E62">
        <w:rPr>
          <w:rFonts w:cs="Arial"/>
          <w:color w:val="0A0A0A"/>
          <w:szCs w:val="24"/>
        </w:rPr>
        <w:t xml:space="preserve">  </w:t>
      </w:r>
      <w:r w:rsidRPr="003C7E62">
        <w:rPr>
          <w:rFonts w:cs="Arial"/>
          <w:color w:val="auto"/>
          <w:szCs w:val="24"/>
        </w:rPr>
        <w:t>The investment plan focuses on four areas:</w:t>
      </w:r>
    </w:p>
    <w:p w14:paraId="4F14027E" w14:textId="700955B7" w:rsidR="00874A98" w:rsidRPr="00874A98" w:rsidRDefault="00874A98" w:rsidP="00874A98">
      <w:pPr>
        <w:pStyle w:val="ListParagraph"/>
        <w:numPr>
          <w:ilvl w:val="1"/>
          <w:numId w:val="80"/>
        </w:numPr>
        <w:rPr>
          <w:rFonts w:ascii="Arial" w:hAnsi="Arial" w:cs="Arial"/>
          <w:color w:val="auto"/>
          <w:szCs w:val="24"/>
        </w:rPr>
      </w:pPr>
      <w:r w:rsidRPr="00874A98">
        <w:rPr>
          <w:rFonts w:ascii="Arial" w:hAnsi="Arial" w:cs="Arial"/>
          <w:color w:val="auto"/>
          <w:szCs w:val="24"/>
        </w:rPr>
        <w:t>Business &amp; Education</w:t>
      </w:r>
    </w:p>
    <w:p w14:paraId="4DB0845F" w14:textId="35C2A228" w:rsidR="00874A98" w:rsidRPr="00874A98" w:rsidRDefault="00874A98" w:rsidP="00874A98">
      <w:pPr>
        <w:pStyle w:val="ListParagraph"/>
        <w:numPr>
          <w:ilvl w:val="1"/>
          <w:numId w:val="80"/>
        </w:numPr>
        <w:rPr>
          <w:rFonts w:ascii="Arial" w:hAnsi="Arial" w:cs="Arial"/>
          <w:color w:val="auto"/>
          <w:szCs w:val="24"/>
        </w:rPr>
      </w:pPr>
      <w:r w:rsidRPr="00874A98">
        <w:rPr>
          <w:rFonts w:ascii="Arial" w:hAnsi="Arial" w:cs="Arial"/>
          <w:color w:val="auto"/>
          <w:szCs w:val="24"/>
        </w:rPr>
        <w:t>Health &amp; Wellbeing</w:t>
      </w:r>
    </w:p>
    <w:p w14:paraId="07D3203C" w14:textId="06D3A02B" w:rsidR="00874A98" w:rsidRPr="00874A98" w:rsidRDefault="00874A98" w:rsidP="00874A98">
      <w:pPr>
        <w:pStyle w:val="ListParagraph"/>
        <w:numPr>
          <w:ilvl w:val="1"/>
          <w:numId w:val="80"/>
        </w:numPr>
        <w:rPr>
          <w:rFonts w:ascii="Arial" w:hAnsi="Arial" w:cs="Arial"/>
          <w:color w:val="auto"/>
          <w:szCs w:val="24"/>
        </w:rPr>
      </w:pPr>
      <w:r w:rsidRPr="00874A98">
        <w:rPr>
          <w:rFonts w:ascii="Arial" w:hAnsi="Arial" w:cs="Arial"/>
          <w:color w:val="auto"/>
          <w:szCs w:val="24"/>
        </w:rPr>
        <w:t>Visitor Economy</w:t>
      </w:r>
    </w:p>
    <w:p w14:paraId="04F7D3EA" w14:textId="7FB4379B" w:rsidR="00874A98" w:rsidRPr="00874A98" w:rsidRDefault="00874A98" w:rsidP="00874A98">
      <w:pPr>
        <w:pStyle w:val="ListParagraph"/>
        <w:numPr>
          <w:ilvl w:val="1"/>
          <w:numId w:val="80"/>
        </w:numPr>
        <w:rPr>
          <w:rFonts w:ascii="Arial" w:hAnsi="Arial" w:cs="Arial"/>
          <w:color w:val="auto"/>
          <w:szCs w:val="24"/>
        </w:rPr>
      </w:pPr>
      <w:r w:rsidRPr="00874A98">
        <w:rPr>
          <w:rFonts w:ascii="Arial" w:hAnsi="Arial" w:cs="Arial"/>
          <w:color w:val="auto"/>
          <w:szCs w:val="24"/>
        </w:rPr>
        <w:t>Greener Ashfield</w:t>
      </w:r>
    </w:p>
    <w:p w14:paraId="242FEA68" w14:textId="77777777" w:rsidR="00874A98" w:rsidRDefault="00874A98" w:rsidP="00874A98">
      <w:pPr>
        <w:keepNext w:val="0"/>
        <w:numPr>
          <w:ilvl w:val="1"/>
          <w:numId w:val="52"/>
        </w:numPr>
        <w:autoSpaceDE w:val="0"/>
        <w:autoSpaceDN w:val="0"/>
        <w:adjustRightInd w:val="0"/>
        <w:spacing w:before="0"/>
        <w:ind w:left="709" w:hanging="709"/>
        <w:rPr>
          <w:rFonts w:cs="Arial"/>
          <w:color w:val="auto"/>
          <w:szCs w:val="24"/>
        </w:rPr>
      </w:pPr>
      <w:r w:rsidRPr="00874A98">
        <w:rPr>
          <w:rFonts w:cs="Arial"/>
          <w:color w:val="auto"/>
          <w:szCs w:val="24"/>
        </w:rPr>
        <w:t>The Towns Fund investment will deliver jobs and further education opportunities, long-term economic and productivity growth, new homes, improved transport infrastructure, reduced carbon, and new cultural and visitor facilities.</w:t>
      </w:r>
    </w:p>
    <w:p w14:paraId="71F5F3CC" w14:textId="77777777" w:rsidR="00874A98" w:rsidRPr="00874A98" w:rsidRDefault="00874A98" w:rsidP="00874A98">
      <w:pPr>
        <w:keepNext w:val="0"/>
        <w:autoSpaceDE w:val="0"/>
        <w:autoSpaceDN w:val="0"/>
        <w:adjustRightInd w:val="0"/>
        <w:spacing w:before="0"/>
        <w:ind w:left="709"/>
        <w:rPr>
          <w:rFonts w:cs="Arial"/>
          <w:color w:val="auto"/>
          <w:szCs w:val="24"/>
        </w:rPr>
      </w:pPr>
    </w:p>
    <w:p w14:paraId="5D406DF3" w14:textId="77777777" w:rsidR="00874A98" w:rsidRPr="00874A98" w:rsidRDefault="00874A98" w:rsidP="00874A98">
      <w:pPr>
        <w:keepNext w:val="0"/>
        <w:numPr>
          <w:ilvl w:val="1"/>
          <w:numId w:val="52"/>
        </w:numPr>
        <w:autoSpaceDE w:val="0"/>
        <w:autoSpaceDN w:val="0"/>
        <w:adjustRightInd w:val="0"/>
        <w:spacing w:before="0"/>
        <w:ind w:left="709" w:hanging="709"/>
        <w:rPr>
          <w:rFonts w:cs="Arial"/>
          <w:color w:val="auto"/>
          <w:szCs w:val="24"/>
        </w:rPr>
      </w:pPr>
      <w:r w:rsidRPr="00874A98">
        <w:rPr>
          <w:rFonts w:cs="Arial"/>
          <w:color w:val="auto"/>
          <w:szCs w:val="24"/>
        </w:rPr>
        <w:t>The investment focuses on four areas:</w:t>
      </w:r>
    </w:p>
    <w:p w14:paraId="081AA4CB" w14:textId="77777777" w:rsidR="00874A98" w:rsidRDefault="00874A98" w:rsidP="00874A98">
      <w:pPr>
        <w:keepNext w:val="0"/>
        <w:autoSpaceDE w:val="0"/>
        <w:autoSpaceDN w:val="0"/>
        <w:adjustRightInd w:val="0"/>
        <w:spacing w:before="0"/>
        <w:ind w:left="709"/>
        <w:rPr>
          <w:rFonts w:cs="Arial"/>
          <w:color w:val="auto"/>
          <w:szCs w:val="24"/>
        </w:rPr>
      </w:pPr>
    </w:p>
    <w:p w14:paraId="0BC6D8C6" w14:textId="52970EAB" w:rsidR="00874A98" w:rsidRPr="00874A98" w:rsidRDefault="00874A98" w:rsidP="00874A98">
      <w:pPr>
        <w:keepNext w:val="0"/>
        <w:autoSpaceDE w:val="0"/>
        <w:autoSpaceDN w:val="0"/>
        <w:adjustRightInd w:val="0"/>
        <w:spacing w:before="0"/>
        <w:ind w:left="709"/>
        <w:rPr>
          <w:rFonts w:cs="Arial"/>
          <w:color w:val="auto"/>
          <w:szCs w:val="24"/>
        </w:rPr>
      </w:pPr>
      <w:r w:rsidRPr="00874A98">
        <w:rPr>
          <w:rFonts w:cs="Arial"/>
          <w:color w:val="auto"/>
          <w:szCs w:val="24"/>
          <w:u w:val="single"/>
        </w:rPr>
        <w:t>Business and education</w:t>
      </w:r>
      <w:r w:rsidRPr="00874A98">
        <w:rPr>
          <w:rFonts w:cs="Arial"/>
          <w:color w:val="auto"/>
          <w:szCs w:val="24"/>
        </w:rPr>
        <w:t>:</w:t>
      </w:r>
    </w:p>
    <w:p w14:paraId="6676E112" w14:textId="03CB53C7" w:rsidR="00874A98" w:rsidRPr="00874A98" w:rsidRDefault="00874A98" w:rsidP="00874A98">
      <w:pPr>
        <w:pStyle w:val="ListParagraph"/>
        <w:numPr>
          <w:ilvl w:val="0"/>
          <w:numId w:val="341"/>
        </w:numPr>
        <w:autoSpaceDE w:val="0"/>
        <w:autoSpaceDN w:val="0"/>
        <w:adjustRightInd w:val="0"/>
        <w:ind w:left="1134"/>
        <w:rPr>
          <w:rFonts w:ascii="Arial" w:hAnsi="Arial" w:cs="Arial"/>
          <w:color w:val="auto"/>
          <w:szCs w:val="24"/>
        </w:rPr>
      </w:pPr>
      <w:r w:rsidRPr="00874A98">
        <w:rPr>
          <w:rFonts w:ascii="Arial" w:hAnsi="Arial" w:cs="Arial"/>
          <w:color w:val="auto"/>
          <w:szCs w:val="24"/>
        </w:rPr>
        <w:t>The centrepiece of the plan is an Automated Distribution and Manufacturing Centre to create a national centre of excellence focused on promoting and providing access to the latest technologies and best practice in automated distribution.</w:t>
      </w:r>
    </w:p>
    <w:p w14:paraId="41718A9E" w14:textId="77777777" w:rsidR="00874A98" w:rsidRDefault="00874A98" w:rsidP="00874A98">
      <w:pPr>
        <w:pStyle w:val="ListParagraph"/>
        <w:autoSpaceDE w:val="0"/>
        <w:autoSpaceDN w:val="0"/>
        <w:adjustRightInd w:val="0"/>
        <w:ind w:left="1134"/>
        <w:rPr>
          <w:rFonts w:ascii="Arial" w:hAnsi="Arial" w:cs="Arial"/>
          <w:color w:val="auto"/>
          <w:szCs w:val="24"/>
        </w:rPr>
      </w:pPr>
    </w:p>
    <w:p w14:paraId="79A551C4" w14:textId="1D4028FF" w:rsidR="00874A98" w:rsidRPr="00874A98" w:rsidRDefault="00874A98" w:rsidP="00874A98">
      <w:pPr>
        <w:pStyle w:val="ListParagraph"/>
        <w:numPr>
          <w:ilvl w:val="0"/>
          <w:numId w:val="341"/>
        </w:numPr>
        <w:autoSpaceDE w:val="0"/>
        <w:autoSpaceDN w:val="0"/>
        <w:adjustRightInd w:val="0"/>
        <w:ind w:left="1134"/>
        <w:rPr>
          <w:rFonts w:ascii="Arial" w:hAnsi="Arial" w:cs="Arial"/>
          <w:color w:val="auto"/>
          <w:szCs w:val="24"/>
        </w:rPr>
      </w:pPr>
      <w:r w:rsidRPr="00874A98">
        <w:rPr>
          <w:rFonts w:ascii="Arial" w:hAnsi="Arial" w:cs="Arial"/>
          <w:color w:val="auto"/>
          <w:szCs w:val="24"/>
        </w:rPr>
        <w:t xml:space="preserve">Two new education centres will provide opportunities for qualifications in construction and civil engineering. At Kirkby and Sutton libraries there will be </w:t>
      </w:r>
      <w:proofErr w:type="gramStart"/>
      <w:r w:rsidRPr="00874A98">
        <w:rPr>
          <w:rFonts w:ascii="Arial" w:hAnsi="Arial" w:cs="Arial"/>
          <w:color w:val="auto"/>
          <w:szCs w:val="24"/>
        </w:rPr>
        <w:t>new innovation</w:t>
      </w:r>
      <w:proofErr w:type="gramEnd"/>
      <w:r w:rsidRPr="00874A98">
        <w:rPr>
          <w:rFonts w:ascii="Arial" w:hAnsi="Arial" w:cs="Arial"/>
          <w:color w:val="auto"/>
          <w:szCs w:val="24"/>
        </w:rPr>
        <w:t xml:space="preserve"> centres which will support residents with digital skills, helping them access digital services, learn new skills, and adapt to new ways of working.</w:t>
      </w:r>
    </w:p>
    <w:p w14:paraId="563ED16D" w14:textId="4FA457F3" w:rsidR="00874A98" w:rsidRPr="00874A98" w:rsidRDefault="00874A98" w:rsidP="00874A98">
      <w:pPr>
        <w:keepNext w:val="0"/>
        <w:autoSpaceDE w:val="0"/>
        <w:autoSpaceDN w:val="0"/>
        <w:adjustRightInd w:val="0"/>
        <w:spacing w:before="0"/>
        <w:ind w:firstLine="720"/>
        <w:rPr>
          <w:rFonts w:cs="Arial"/>
          <w:color w:val="auto"/>
          <w:szCs w:val="24"/>
        </w:rPr>
      </w:pPr>
      <w:r w:rsidRPr="00874A98">
        <w:rPr>
          <w:rFonts w:cs="Arial"/>
          <w:color w:val="auto"/>
          <w:szCs w:val="24"/>
          <w:u w:val="single"/>
        </w:rPr>
        <w:t>Health and wellbeing</w:t>
      </w:r>
      <w:r w:rsidRPr="00874A98">
        <w:rPr>
          <w:rFonts w:cs="Arial"/>
          <w:color w:val="auto"/>
          <w:szCs w:val="24"/>
        </w:rPr>
        <w:t>:</w:t>
      </w:r>
    </w:p>
    <w:p w14:paraId="42F51AF0" w14:textId="132C9E3C" w:rsidR="00874A98" w:rsidRPr="00874A98" w:rsidRDefault="00874A98" w:rsidP="00874A98">
      <w:pPr>
        <w:pStyle w:val="ListParagraph"/>
        <w:numPr>
          <w:ilvl w:val="0"/>
          <w:numId w:val="342"/>
        </w:numPr>
        <w:autoSpaceDE w:val="0"/>
        <w:autoSpaceDN w:val="0"/>
        <w:adjustRightInd w:val="0"/>
        <w:ind w:left="1134"/>
        <w:rPr>
          <w:rFonts w:ascii="Arial" w:hAnsi="Arial" w:cs="Arial"/>
          <w:color w:val="auto"/>
          <w:szCs w:val="24"/>
        </w:rPr>
      </w:pPr>
      <w:r w:rsidRPr="00874A98">
        <w:rPr>
          <w:rFonts w:ascii="Arial" w:hAnsi="Arial" w:cs="Arial"/>
          <w:color w:val="auto"/>
          <w:szCs w:val="24"/>
        </w:rPr>
        <w:t>New Sports Hubs at Kingsway Park and Sutton Lawn will give residents greater access to healthier lifestyles and help improve local health outcomes.</w:t>
      </w:r>
    </w:p>
    <w:p w14:paraId="501748F2" w14:textId="5053FB8B" w:rsidR="00874A98" w:rsidRPr="00874A98" w:rsidRDefault="00874A98" w:rsidP="00874A98">
      <w:pPr>
        <w:keepNext w:val="0"/>
        <w:autoSpaceDE w:val="0"/>
        <w:autoSpaceDN w:val="0"/>
        <w:adjustRightInd w:val="0"/>
        <w:spacing w:before="0"/>
        <w:ind w:left="709"/>
        <w:rPr>
          <w:rFonts w:cs="Arial"/>
          <w:color w:val="auto"/>
          <w:szCs w:val="24"/>
        </w:rPr>
      </w:pPr>
      <w:r w:rsidRPr="00874A98">
        <w:rPr>
          <w:rFonts w:cs="Arial"/>
          <w:color w:val="auto"/>
          <w:szCs w:val="24"/>
          <w:u w:val="single"/>
        </w:rPr>
        <w:t>Boost visitor economy</w:t>
      </w:r>
      <w:r w:rsidRPr="00874A98">
        <w:rPr>
          <w:rFonts w:cs="Arial"/>
          <w:color w:val="auto"/>
          <w:szCs w:val="24"/>
        </w:rPr>
        <w:t>:</w:t>
      </w:r>
    </w:p>
    <w:p w14:paraId="28564B00" w14:textId="77777777" w:rsidR="00874A98" w:rsidRPr="00874A98" w:rsidRDefault="00874A98" w:rsidP="00874A98">
      <w:pPr>
        <w:pStyle w:val="ListParagraph"/>
        <w:numPr>
          <w:ilvl w:val="0"/>
          <w:numId w:val="342"/>
        </w:numPr>
        <w:autoSpaceDE w:val="0"/>
        <w:autoSpaceDN w:val="0"/>
        <w:adjustRightInd w:val="0"/>
        <w:ind w:left="1134"/>
        <w:rPr>
          <w:rFonts w:ascii="Arial" w:hAnsi="Arial" w:cs="Arial"/>
          <w:color w:val="auto"/>
          <w:szCs w:val="24"/>
        </w:rPr>
      </w:pPr>
      <w:r w:rsidRPr="00874A98">
        <w:rPr>
          <w:rFonts w:ascii="Arial" w:hAnsi="Arial" w:cs="Arial"/>
          <w:color w:val="auto"/>
          <w:szCs w:val="24"/>
        </w:rPr>
        <w:t>A new Planetarium and Science Discovery Centre at Sherwood Observatory will help inspire a new generation of scientists and engineers across the region.</w:t>
      </w:r>
    </w:p>
    <w:p w14:paraId="7148550C" w14:textId="77777777" w:rsidR="00874A98" w:rsidRPr="00874A98" w:rsidRDefault="00874A98" w:rsidP="00874A98">
      <w:pPr>
        <w:pStyle w:val="ListParagraph"/>
        <w:autoSpaceDE w:val="0"/>
        <w:autoSpaceDN w:val="0"/>
        <w:adjustRightInd w:val="0"/>
        <w:ind w:left="1134"/>
        <w:rPr>
          <w:rFonts w:ascii="Arial" w:hAnsi="Arial" w:cs="Arial"/>
          <w:color w:val="auto"/>
          <w:szCs w:val="24"/>
        </w:rPr>
      </w:pPr>
    </w:p>
    <w:p w14:paraId="118805BC" w14:textId="77777777" w:rsidR="00874A98" w:rsidRPr="00874A98" w:rsidRDefault="00874A98" w:rsidP="00874A98">
      <w:pPr>
        <w:pStyle w:val="ListParagraph"/>
        <w:numPr>
          <w:ilvl w:val="0"/>
          <w:numId w:val="342"/>
        </w:numPr>
        <w:autoSpaceDE w:val="0"/>
        <w:autoSpaceDN w:val="0"/>
        <w:adjustRightInd w:val="0"/>
        <w:ind w:left="1134"/>
        <w:rPr>
          <w:rFonts w:ascii="Arial" w:hAnsi="Arial" w:cs="Arial"/>
          <w:color w:val="auto"/>
          <w:szCs w:val="24"/>
        </w:rPr>
      </w:pPr>
      <w:r w:rsidRPr="00874A98">
        <w:rPr>
          <w:rFonts w:ascii="Arial" w:hAnsi="Arial" w:cs="Arial"/>
          <w:color w:val="auto"/>
          <w:szCs w:val="24"/>
        </w:rPr>
        <w:t>A new leisure facility at Kings Mill Reservoir will offer a range of new water sports attractions for visitors from across the region. A network of cycling and walking routes across the area will connect visitor attractions, homes, and places of work.</w:t>
      </w:r>
    </w:p>
    <w:p w14:paraId="2A50C2C2" w14:textId="1F425841" w:rsidR="00874A98" w:rsidRPr="00874A98" w:rsidRDefault="00874A98" w:rsidP="00874A98">
      <w:pPr>
        <w:keepNext w:val="0"/>
        <w:autoSpaceDE w:val="0"/>
        <w:autoSpaceDN w:val="0"/>
        <w:adjustRightInd w:val="0"/>
        <w:spacing w:before="0"/>
        <w:ind w:firstLine="720"/>
        <w:rPr>
          <w:rFonts w:cs="Arial"/>
          <w:color w:val="auto"/>
          <w:szCs w:val="24"/>
        </w:rPr>
      </w:pPr>
      <w:r w:rsidRPr="00874A98">
        <w:rPr>
          <w:rFonts w:cs="Arial"/>
          <w:color w:val="auto"/>
          <w:szCs w:val="24"/>
          <w:u w:val="single"/>
        </w:rPr>
        <w:t>Make Ashfield Greener</w:t>
      </w:r>
      <w:r w:rsidRPr="00874A98">
        <w:rPr>
          <w:rFonts w:cs="Arial"/>
          <w:color w:val="auto"/>
          <w:szCs w:val="24"/>
        </w:rPr>
        <w:t>:</w:t>
      </w:r>
    </w:p>
    <w:p w14:paraId="557E9C3A" w14:textId="774C4E8F" w:rsidR="00874A98" w:rsidRPr="00874A98" w:rsidRDefault="00874A98" w:rsidP="00874A98">
      <w:pPr>
        <w:pStyle w:val="ListParagraph"/>
        <w:numPr>
          <w:ilvl w:val="0"/>
          <w:numId w:val="343"/>
        </w:numPr>
        <w:autoSpaceDE w:val="0"/>
        <w:autoSpaceDN w:val="0"/>
        <w:adjustRightInd w:val="0"/>
        <w:ind w:left="1134"/>
        <w:rPr>
          <w:rFonts w:ascii="Arial" w:hAnsi="Arial" w:cs="Arial"/>
          <w:color w:val="auto"/>
          <w:szCs w:val="24"/>
        </w:rPr>
      </w:pPr>
      <w:r w:rsidRPr="00874A98">
        <w:rPr>
          <w:rFonts w:ascii="Arial" w:hAnsi="Arial" w:cs="Arial"/>
          <w:color w:val="auto"/>
          <w:szCs w:val="24"/>
        </w:rPr>
        <w:t xml:space="preserve">The gateway area around Kirkby train station will be developed to provide better access to the station and interchange to buses and the new cycle/walking </w:t>
      </w:r>
      <w:r w:rsidRPr="00874A98">
        <w:rPr>
          <w:rFonts w:ascii="Arial" w:hAnsi="Arial" w:cs="Arial"/>
          <w:color w:val="auto"/>
          <w:szCs w:val="24"/>
        </w:rPr>
        <w:lastRenderedPageBreak/>
        <w:t>network, to promote use of more sustainable forms of transport, as well as a programme to fit existing buildings with solar and other green energy sources.</w:t>
      </w:r>
    </w:p>
    <w:p w14:paraId="76BE9B8A" w14:textId="77777777" w:rsidR="0095083D" w:rsidRPr="003C7E62" w:rsidRDefault="0095083D" w:rsidP="00606546">
      <w:pPr>
        <w:keepNext w:val="0"/>
        <w:autoSpaceDE w:val="0"/>
        <w:autoSpaceDN w:val="0"/>
        <w:adjustRightInd w:val="0"/>
        <w:spacing w:before="0"/>
        <w:rPr>
          <w:rFonts w:cs="Arial"/>
          <w:color w:val="auto"/>
          <w:szCs w:val="24"/>
        </w:rPr>
      </w:pPr>
    </w:p>
    <w:bookmarkEnd w:id="23"/>
    <w:p w14:paraId="08533EF3" w14:textId="7C9B8EFA" w:rsidR="00162A7B" w:rsidRPr="00162A7B" w:rsidRDefault="00162A7B" w:rsidP="00F66CEF">
      <w:pPr>
        <w:keepNext w:val="0"/>
        <w:autoSpaceDE w:val="0"/>
        <w:autoSpaceDN w:val="0"/>
        <w:adjustRightInd w:val="0"/>
        <w:spacing w:before="0"/>
        <w:ind w:left="525" w:firstLine="184"/>
        <w:rPr>
          <w:rFonts w:cs="Arial"/>
          <w:b/>
          <w:bCs/>
          <w:i/>
          <w:iCs/>
          <w:szCs w:val="24"/>
        </w:rPr>
      </w:pPr>
      <w:r w:rsidRPr="00162A7B">
        <w:rPr>
          <w:rFonts w:cs="Arial"/>
          <w:b/>
          <w:bCs/>
          <w:i/>
          <w:iCs/>
          <w:szCs w:val="24"/>
        </w:rPr>
        <w:t>Key Issues</w:t>
      </w:r>
    </w:p>
    <w:p w14:paraId="7281C846" w14:textId="6A37B474" w:rsidR="00162A7B" w:rsidRPr="00162A7B" w:rsidRDefault="00162A7B" w:rsidP="00162A7B">
      <w:pPr>
        <w:pStyle w:val="NormalWeb"/>
        <w:numPr>
          <w:ilvl w:val="1"/>
          <w:numId w:val="52"/>
        </w:numPr>
        <w:shd w:val="clear" w:color="auto" w:fill="FEFEFE"/>
        <w:spacing w:before="0" w:beforeAutospacing="0" w:after="0" w:afterAutospacing="0"/>
        <w:ind w:left="709" w:hanging="709"/>
        <w:rPr>
          <w:rFonts w:ascii="Arial" w:hAnsi="Arial" w:cs="Arial"/>
          <w:color w:val="0A0A0A"/>
        </w:rPr>
      </w:pPr>
      <w:r>
        <w:rPr>
          <w:rFonts w:ascii="Arial" w:eastAsia="Arial" w:hAnsi="Arial" w:cs="Arial"/>
        </w:rPr>
        <w:t>Set out below is a s</w:t>
      </w:r>
      <w:r w:rsidRPr="00162A7B">
        <w:rPr>
          <w:rFonts w:ascii="Arial" w:eastAsia="Arial" w:hAnsi="Arial" w:cs="Arial"/>
        </w:rPr>
        <w:t xml:space="preserve">ummary of the key issues facing the </w:t>
      </w:r>
      <w:proofErr w:type="gramStart"/>
      <w:r w:rsidRPr="00162A7B">
        <w:rPr>
          <w:rFonts w:ascii="Arial" w:eastAsia="Arial" w:hAnsi="Arial" w:cs="Arial"/>
        </w:rPr>
        <w:t>District</w:t>
      </w:r>
      <w:proofErr w:type="gramEnd"/>
      <w:r w:rsidRPr="00162A7B">
        <w:rPr>
          <w:rFonts w:ascii="Arial" w:eastAsia="Arial" w:hAnsi="Arial" w:cs="Arial"/>
        </w:rPr>
        <w:t xml:space="preserve"> as has been identified by the extensive evidence base</w:t>
      </w:r>
      <w:r w:rsidRPr="00162A7B">
        <w:rPr>
          <w:rFonts w:ascii="Arial" w:eastAsia="Arial" w:hAnsi="Arial" w:cs="Arial"/>
          <w:vertAlign w:val="superscript"/>
        </w:rPr>
        <w:footnoteReference w:id="44"/>
      </w:r>
      <w:r w:rsidRPr="00162A7B">
        <w:rPr>
          <w:rFonts w:ascii="Arial" w:eastAsia="Arial" w:hAnsi="Arial" w:cs="Arial"/>
        </w:rPr>
        <w:t xml:space="preserve"> in support of the </w:t>
      </w:r>
      <w:r>
        <w:rPr>
          <w:rFonts w:ascii="Arial" w:eastAsia="Arial" w:hAnsi="Arial" w:cs="Arial"/>
        </w:rPr>
        <w:t>P</w:t>
      </w:r>
      <w:r w:rsidRPr="00162A7B">
        <w:rPr>
          <w:rFonts w:ascii="Arial" w:eastAsia="Arial" w:hAnsi="Arial" w:cs="Arial"/>
        </w:rPr>
        <w:t>lan, the Annual Monitoring Report (AMR)</w:t>
      </w:r>
      <w:r w:rsidRPr="00162A7B">
        <w:rPr>
          <w:rFonts w:ascii="Arial" w:eastAsia="Arial" w:hAnsi="Arial" w:cs="Arial"/>
          <w:vertAlign w:val="superscript"/>
        </w:rPr>
        <w:footnoteReference w:id="45"/>
      </w:r>
      <w:r w:rsidRPr="00162A7B">
        <w:rPr>
          <w:rFonts w:ascii="Arial" w:eastAsia="Arial" w:hAnsi="Arial" w:cs="Arial"/>
        </w:rPr>
        <w:t xml:space="preserve"> and the Sustainability Appraisal (SA) scoping report</w:t>
      </w:r>
      <w:r w:rsidRPr="00162A7B">
        <w:rPr>
          <w:rFonts w:ascii="Arial" w:eastAsia="Arial" w:hAnsi="Arial" w:cs="Arial"/>
          <w:vertAlign w:val="superscript"/>
        </w:rPr>
        <w:footnoteReference w:id="46"/>
      </w:r>
      <w:r w:rsidRPr="00162A7B">
        <w:rPr>
          <w:rFonts w:ascii="Arial" w:eastAsia="Arial" w:hAnsi="Arial" w:cs="Arial"/>
        </w:rPr>
        <w:t xml:space="preserve">.  The key issues identified are not ranked in any </w:t>
      </w:r>
      <w:proofErr w:type="gramStart"/>
      <w:r w:rsidRPr="00162A7B">
        <w:rPr>
          <w:rFonts w:ascii="Arial" w:eastAsia="Arial" w:hAnsi="Arial" w:cs="Arial"/>
        </w:rPr>
        <w:t>particular order</w:t>
      </w:r>
      <w:proofErr w:type="gramEnd"/>
      <w:r w:rsidRPr="00162A7B">
        <w:rPr>
          <w:rFonts w:ascii="Arial" w:eastAsia="Arial" w:hAnsi="Arial" w:cs="Arial"/>
        </w:rPr>
        <w:t xml:space="preserve"> of importance or priority.</w:t>
      </w:r>
    </w:p>
    <w:p w14:paraId="77ED269A" w14:textId="77777777" w:rsidR="00162A7B" w:rsidRPr="00162A7B" w:rsidRDefault="00162A7B" w:rsidP="00162A7B">
      <w:pPr>
        <w:keepNext w:val="0"/>
        <w:autoSpaceDE w:val="0"/>
        <w:autoSpaceDN w:val="0"/>
        <w:adjustRightInd w:val="0"/>
        <w:spacing w:before="0"/>
        <w:ind w:left="709"/>
        <w:rPr>
          <w:rFonts w:cs="Arial"/>
        </w:rPr>
      </w:pPr>
    </w:p>
    <w:p w14:paraId="276DEBFA" w14:textId="681164F6" w:rsidR="000005E9" w:rsidRPr="00E6288C" w:rsidRDefault="000005E9" w:rsidP="00C06232">
      <w:pPr>
        <w:spacing w:before="0"/>
        <w:ind w:firstLine="709"/>
        <w:rPr>
          <w:rFonts w:eastAsia="Arial" w:cs="Arial"/>
          <w:u w:val="single"/>
        </w:rPr>
      </w:pPr>
      <w:bookmarkStart w:id="24" w:name="_Hlk128235319"/>
      <w:r w:rsidRPr="00E6288C">
        <w:rPr>
          <w:rFonts w:eastAsia="Arial" w:cs="Arial"/>
          <w:u w:val="single"/>
        </w:rPr>
        <w:t>Climate Change</w:t>
      </w:r>
    </w:p>
    <w:p w14:paraId="64D4BB2B" w14:textId="517F0DA6" w:rsidR="000005E9" w:rsidRPr="00A5463B" w:rsidRDefault="000005E9" w:rsidP="00874A98">
      <w:pPr>
        <w:pStyle w:val="ListParagraph"/>
        <w:numPr>
          <w:ilvl w:val="0"/>
          <w:numId w:val="339"/>
        </w:numPr>
        <w:ind w:left="993" w:hanging="284"/>
        <w:rPr>
          <w:rFonts w:ascii="Arial" w:eastAsia="Arial" w:hAnsi="Arial" w:cs="Arial"/>
        </w:rPr>
      </w:pPr>
      <w:r w:rsidRPr="00A5463B">
        <w:rPr>
          <w:rFonts w:ascii="Arial" w:eastAsia="Arial" w:hAnsi="Arial" w:cs="Arial"/>
        </w:rPr>
        <w:t xml:space="preserve">Climate change has substantial implications for future </w:t>
      </w:r>
      <w:r w:rsidR="00924ED5" w:rsidRPr="00A5463B">
        <w:rPr>
          <w:rFonts w:ascii="Arial" w:eastAsia="Arial" w:hAnsi="Arial" w:cs="Arial"/>
        </w:rPr>
        <w:t>generations,</w:t>
      </w:r>
      <w:r w:rsidRPr="00A5463B">
        <w:rPr>
          <w:rFonts w:ascii="Arial" w:eastAsia="Arial" w:hAnsi="Arial" w:cs="Arial"/>
        </w:rPr>
        <w:t xml:space="preserve"> and action is need by all to meet national and local targets to reduce carbon emissions and other gases, which make major contributions towards the rises in air and sea temperatures. Ashfield has committed to do everything possible to combat climate change and it is main priority for the local plan. The challenge for us is to provide for new homes and jobs in a way that does not have a detrimental impact on our climate and environment.</w:t>
      </w:r>
    </w:p>
    <w:bookmarkEnd w:id="24"/>
    <w:p w14:paraId="5FEEE7D7" w14:textId="7A245835"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Transport</w:t>
      </w:r>
    </w:p>
    <w:p w14:paraId="6B4113B8" w14:textId="77777777" w:rsidR="00162A7B" w:rsidRDefault="00162A7B" w:rsidP="00874A98">
      <w:pPr>
        <w:keepNext w:val="0"/>
        <w:numPr>
          <w:ilvl w:val="0"/>
          <w:numId w:val="81"/>
        </w:numPr>
        <w:spacing w:before="0"/>
        <w:ind w:left="1134"/>
        <w:rPr>
          <w:rFonts w:eastAsia="Arial" w:cs="Arial"/>
          <w:color w:val="auto"/>
        </w:rPr>
      </w:pPr>
      <w:r w:rsidRPr="00162A7B">
        <w:rPr>
          <w:rFonts w:eastAsia="Arial" w:cs="Arial"/>
          <w:color w:val="auto"/>
        </w:rPr>
        <w:t xml:space="preserve">Ashfield is well located </w:t>
      </w:r>
      <w:proofErr w:type="gramStart"/>
      <w:r w:rsidRPr="00162A7B">
        <w:rPr>
          <w:rFonts w:eastAsia="Arial" w:cs="Arial"/>
          <w:color w:val="auto"/>
        </w:rPr>
        <w:t>with regard to</w:t>
      </w:r>
      <w:proofErr w:type="gramEnd"/>
      <w:r w:rsidRPr="00162A7B">
        <w:rPr>
          <w:rFonts w:eastAsia="Arial" w:cs="Arial"/>
          <w:color w:val="auto"/>
        </w:rPr>
        <w:t xml:space="preserve"> national, regional and local transport links and is close to major centres of population including Nottingham City, Mansfield, Chesterfield and Sheffield. </w:t>
      </w:r>
    </w:p>
    <w:p w14:paraId="01E3B1F1" w14:textId="77777777" w:rsidR="00A5463B" w:rsidRPr="00162A7B" w:rsidRDefault="00A5463B" w:rsidP="00C06232">
      <w:pPr>
        <w:keepNext w:val="0"/>
        <w:spacing w:before="0"/>
        <w:ind w:left="1134"/>
        <w:rPr>
          <w:rFonts w:eastAsia="Arial" w:cs="Arial"/>
          <w:color w:val="auto"/>
        </w:rPr>
      </w:pPr>
    </w:p>
    <w:p w14:paraId="3A9E7A46" w14:textId="77777777" w:rsidR="00162A7B" w:rsidRPr="00A5463B" w:rsidRDefault="00162A7B" w:rsidP="00874A98">
      <w:pPr>
        <w:keepNext w:val="0"/>
        <w:numPr>
          <w:ilvl w:val="0"/>
          <w:numId w:val="81"/>
        </w:numPr>
        <w:spacing w:before="0"/>
        <w:ind w:left="1134"/>
        <w:rPr>
          <w:rFonts w:eastAsia="Arial" w:cs="Arial"/>
          <w:color w:val="auto"/>
        </w:rPr>
      </w:pPr>
      <w:r w:rsidRPr="00162A7B">
        <w:rPr>
          <w:rFonts w:eastAsia="ArialMT" w:cs="Arial"/>
          <w:color w:val="auto"/>
          <w:szCs w:val="24"/>
        </w:rPr>
        <w:t xml:space="preserve">Traffic congestion is an issue at specific locations in the </w:t>
      </w:r>
      <w:proofErr w:type="gramStart"/>
      <w:r w:rsidRPr="00162A7B">
        <w:rPr>
          <w:rFonts w:eastAsia="ArialMT" w:cs="Arial"/>
          <w:color w:val="auto"/>
          <w:szCs w:val="24"/>
        </w:rPr>
        <w:t>District</w:t>
      </w:r>
      <w:proofErr w:type="gramEnd"/>
      <w:r w:rsidRPr="00162A7B">
        <w:rPr>
          <w:rFonts w:eastAsia="ArialMT" w:cs="Arial"/>
          <w:color w:val="auto"/>
          <w:szCs w:val="24"/>
        </w:rPr>
        <w:t xml:space="preserve"> but it is unlikely that there will be significant public funding available for new roads.</w:t>
      </w:r>
    </w:p>
    <w:p w14:paraId="5D403B5D" w14:textId="77777777" w:rsidR="00A5463B" w:rsidRPr="00162A7B" w:rsidRDefault="00A5463B" w:rsidP="00C06232">
      <w:pPr>
        <w:keepNext w:val="0"/>
        <w:spacing w:before="0"/>
        <w:ind w:left="1134"/>
        <w:rPr>
          <w:rFonts w:eastAsia="Arial" w:cs="Arial"/>
          <w:color w:val="auto"/>
        </w:rPr>
      </w:pPr>
    </w:p>
    <w:p w14:paraId="6CC58FCA" w14:textId="77777777" w:rsidR="00162A7B" w:rsidRPr="00162A7B" w:rsidRDefault="00162A7B" w:rsidP="00874A98">
      <w:pPr>
        <w:keepNext w:val="0"/>
        <w:numPr>
          <w:ilvl w:val="0"/>
          <w:numId w:val="81"/>
        </w:numPr>
        <w:spacing w:before="0"/>
        <w:ind w:left="1134"/>
        <w:rPr>
          <w:rFonts w:eastAsia="Arial" w:cs="Arial"/>
          <w:color w:val="auto"/>
        </w:rPr>
      </w:pPr>
      <w:r w:rsidRPr="00162A7B">
        <w:rPr>
          <w:rFonts w:eastAsia="Calibri" w:cs="Arial"/>
          <w:color w:val="auto"/>
          <w:szCs w:val="24"/>
        </w:rPr>
        <w:t>To work with partners to provide an integrated and efficient transport system including public transport, community transport, taxis, walking and cycling network in Ashfield.</w:t>
      </w:r>
    </w:p>
    <w:p w14:paraId="722A39B5" w14:textId="77777777" w:rsidR="00162A7B" w:rsidRPr="00162A7B" w:rsidRDefault="00162A7B" w:rsidP="00162A7B">
      <w:pPr>
        <w:keepNext w:val="0"/>
        <w:spacing w:before="0"/>
        <w:ind w:left="1080"/>
        <w:rPr>
          <w:rFonts w:eastAsia="Arial" w:cs="Arial"/>
          <w:color w:val="auto"/>
        </w:rPr>
      </w:pPr>
    </w:p>
    <w:p w14:paraId="58F4C25F" w14:textId="77777777"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Settlements</w:t>
      </w:r>
    </w:p>
    <w:p w14:paraId="40D1ACD3" w14:textId="66076384" w:rsidR="00162A7B" w:rsidRDefault="00162A7B" w:rsidP="00874A98">
      <w:pPr>
        <w:keepNext w:val="0"/>
        <w:numPr>
          <w:ilvl w:val="0"/>
          <w:numId w:val="87"/>
        </w:numPr>
        <w:spacing w:before="0"/>
        <w:ind w:left="1134"/>
        <w:rPr>
          <w:rFonts w:eastAsia="Arial" w:cs="Arial"/>
          <w:color w:val="auto"/>
        </w:rPr>
      </w:pPr>
      <w:r w:rsidRPr="00162A7B">
        <w:rPr>
          <w:rFonts w:eastAsia="Arial" w:cs="Arial"/>
          <w:color w:val="auto"/>
        </w:rPr>
        <w:t xml:space="preserve">Ashfield has a network of urban areas with their own ‘sense of place’ providing accessible local services and facilities, attractive rural settings and generally </w:t>
      </w:r>
      <w:r w:rsidR="00382109" w:rsidRPr="00162A7B">
        <w:rPr>
          <w:rFonts w:eastAsia="Arial" w:cs="Arial"/>
          <w:color w:val="auto"/>
        </w:rPr>
        <w:t>high-quality</w:t>
      </w:r>
      <w:r w:rsidRPr="00162A7B">
        <w:rPr>
          <w:rFonts w:eastAsia="Arial" w:cs="Arial"/>
          <w:color w:val="auto"/>
        </w:rPr>
        <w:t xml:space="preserve"> environments.</w:t>
      </w:r>
    </w:p>
    <w:p w14:paraId="7C9255A0" w14:textId="77777777" w:rsidR="00A5463B" w:rsidRPr="00162A7B" w:rsidRDefault="00A5463B" w:rsidP="00C06232">
      <w:pPr>
        <w:keepNext w:val="0"/>
        <w:spacing w:before="0"/>
        <w:ind w:left="1134"/>
        <w:rPr>
          <w:rFonts w:eastAsia="Arial" w:cs="Arial"/>
          <w:color w:val="auto"/>
        </w:rPr>
      </w:pPr>
    </w:p>
    <w:p w14:paraId="46DFED39" w14:textId="77777777" w:rsidR="00162A7B" w:rsidRPr="00162A7B" w:rsidRDefault="00162A7B" w:rsidP="00874A98">
      <w:pPr>
        <w:keepNext w:val="0"/>
        <w:numPr>
          <w:ilvl w:val="0"/>
          <w:numId w:val="87"/>
        </w:numPr>
        <w:spacing w:before="0"/>
        <w:ind w:left="1134"/>
        <w:rPr>
          <w:rFonts w:eastAsia="Arial" w:cs="Arial"/>
          <w:color w:val="auto"/>
        </w:rPr>
      </w:pPr>
      <w:r w:rsidRPr="00162A7B">
        <w:rPr>
          <w:rFonts w:eastAsia="Arial" w:cs="Arial"/>
          <w:color w:val="auto"/>
        </w:rPr>
        <w:t>There is a need to improve the quality and range of services available within communities.</w:t>
      </w:r>
    </w:p>
    <w:p w14:paraId="179C83FE" w14:textId="77777777" w:rsidR="00162A7B" w:rsidRPr="00162A7B" w:rsidRDefault="00162A7B" w:rsidP="00162A7B">
      <w:pPr>
        <w:spacing w:before="0"/>
        <w:ind w:firstLine="567"/>
        <w:rPr>
          <w:rFonts w:eastAsia="Arial" w:cs="Arial"/>
          <w:color w:val="auto"/>
          <w:u w:val="single"/>
        </w:rPr>
      </w:pPr>
    </w:p>
    <w:p w14:paraId="6A806A68" w14:textId="77777777"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Town Centres</w:t>
      </w:r>
    </w:p>
    <w:p w14:paraId="5B7F0E64" w14:textId="77777777" w:rsidR="00162A7B" w:rsidRPr="00162A7B" w:rsidRDefault="00162A7B" w:rsidP="00874A98">
      <w:pPr>
        <w:keepNext w:val="0"/>
        <w:numPr>
          <w:ilvl w:val="0"/>
          <w:numId w:val="87"/>
        </w:numPr>
        <w:spacing w:before="0"/>
        <w:ind w:left="1134"/>
        <w:rPr>
          <w:rFonts w:eastAsia="Arial" w:cs="Arial"/>
          <w:color w:val="auto"/>
        </w:rPr>
      </w:pPr>
      <w:r w:rsidRPr="00162A7B">
        <w:rPr>
          <w:rFonts w:eastAsia="Arial" w:cs="Arial"/>
          <w:color w:val="auto"/>
        </w:rPr>
        <w:t xml:space="preserve">All the District’s town centres need continued support and investment to help sustain them into the future.   </w:t>
      </w:r>
    </w:p>
    <w:p w14:paraId="345800C6" w14:textId="77777777" w:rsidR="00162A7B" w:rsidRPr="00162A7B" w:rsidRDefault="00162A7B" w:rsidP="00162A7B">
      <w:pPr>
        <w:spacing w:before="0"/>
        <w:ind w:firstLine="567"/>
        <w:rPr>
          <w:rFonts w:eastAsia="Arial" w:cs="Arial"/>
          <w:color w:val="auto"/>
          <w:u w:val="single"/>
        </w:rPr>
      </w:pPr>
    </w:p>
    <w:p w14:paraId="2F227BBB" w14:textId="77777777"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Housing</w:t>
      </w:r>
    </w:p>
    <w:p w14:paraId="58F17991" w14:textId="77777777" w:rsidR="00162A7B" w:rsidRDefault="00162A7B" w:rsidP="00874A98">
      <w:pPr>
        <w:keepNext w:val="0"/>
        <w:numPr>
          <w:ilvl w:val="0"/>
          <w:numId w:val="86"/>
        </w:numPr>
        <w:spacing w:before="0"/>
        <w:ind w:left="1134"/>
        <w:rPr>
          <w:rFonts w:eastAsia="Arial" w:cs="Arial"/>
          <w:color w:val="auto"/>
        </w:rPr>
      </w:pPr>
      <w:r w:rsidRPr="00162A7B">
        <w:rPr>
          <w:rFonts w:eastAsia="Arial" w:cs="Arial"/>
          <w:color w:val="auto"/>
        </w:rPr>
        <w:t xml:space="preserve">There is a need for more housing across the </w:t>
      </w:r>
      <w:proofErr w:type="gramStart"/>
      <w:r w:rsidRPr="00162A7B">
        <w:rPr>
          <w:rFonts w:eastAsia="Arial" w:cs="Arial"/>
          <w:color w:val="auto"/>
        </w:rPr>
        <w:t>District</w:t>
      </w:r>
      <w:proofErr w:type="gramEnd"/>
      <w:r w:rsidRPr="00162A7B">
        <w:rPr>
          <w:rFonts w:eastAsia="Arial" w:cs="Arial"/>
          <w:color w:val="auto"/>
        </w:rPr>
        <w:t xml:space="preserve">, including affordable, specialist housing and housing for travelling show people and gypsies and travellers. </w:t>
      </w:r>
    </w:p>
    <w:p w14:paraId="258C89E4" w14:textId="77777777" w:rsidR="00A5463B" w:rsidRPr="00162A7B" w:rsidRDefault="00A5463B" w:rsidP="00C06232">
      <w:pPr>
        <w:keepNext w:val="0"/>
        <w:spacing w:before="0"/>
        <w:ind w:left="1134"/>
        <w:rPr>
          <w:rFonts w:eastAsia="Arial" w:cs="Arial"/>
          <w:color w:val="auto"/>
        </w:rPr>
      </w:pPr>
    </w:p>
    <w:p w14:paraId="42D19833" w14:textId="77777777" w:rsidR="00162A7B" w:rsidRDefault="00162A7B" w:rsidP="00874A98">
      <w:pPr>
        <w:keepNext w:val="0"/>
        <w:numPr>
          <w:ilvl w:val="0"/>
          <w:numId w:val="86"/>
        </w:numPr>
        <w:spacing w:before="0"/>
        <w:ind w:left="1134"/>
        <w:rPr>
          <w:rFonts w:eastAsia="Arial" w:cs="Arial"/>
          <w:color w:val="auto"/>
        </w:rPr>
      </w:pPr>
      <w:r w:rsidRPr="00162A7B">
        <w:rPr>
          <w:rFonts w:eastAsia="Arial" w:cs="Arial"/>
          <w:color w:val="auto"/>
        </w:rPr>
        <w:t xml:space="preserve">Given that substantial parts of the </w:t>
      </w:r>
      <w:proofErr w:type="gramStart"/>
      <w:r w:rsidRPr="00162A7B">
        <w:rPr>
          <w:rFonts w:eastAsia="Arial" w:cs="Arial"/>
          <w:color w:val="auto"/>
        </w:rPr>
        <w:t>District</w:t>
      </w:r>
      <w:proofErr w:type="gramEnd"/>
      <w:r w:rsidRPr="00162A7B">
        <w:rPr>
          <w:rFonts w:eastAsia="Arial" w:cs="Arial"/>
          <w:color w:val="auto"/>
        </w:rPr>
        <w:t xml:space="preserve"> are in Green Belt, there are issues in balancing the housing needs of specific areas against the impact on the Green Belt and the countryside.</w:t>
      </w:r>
    </w:p>
    <w:p w14:paraId="665E58AD" w14:textId="77777777" w:rsidR="00A5463B" w:rsidRPr="00162A7B" w:rsidRDefault="00A5463B" w:rsidP="00C06232">
      <w:pPr>
        <w:keepNext w:val="0"/>
        <w:spacing w:before="0"/>
        <w:ind w:left="1134"/>
        <w:rPr>
          <w:rFonts w:eastAsia="Arial" w:cs="Arial"/>
          <w:color w:val="auto"/>
        </w:rPr>
      </w:pPr>
    </w:p>
    <w:p w14:paraId="7DC8C546" w14:textId="77777777" w:rsidR="00162A7B" w:rsidRPr="00162A7B" w:rsidRDefault="00162A7B" w:rsidP="00874A98">
      <w:pPr>
        <w:keepNext w:val="0"/>
        <w:numPr>
          <w:ilvl w:val="0"/>
          <w:numId w:val="86"/>
        </w:numPr>
        <w:spacing w:before="0"/>
        <w:ind w:left="1134"/>
        <w:rPr>
          <w:rFonts w:eastAsia="Arial" w:cs="Arial"/>
          <w:color w:val="auto"/>
        </w:rPr>
      </w:pPr>
      <w:r w:rsidRPr="00162A7B">
        <w:rPr>
          <w:rFonts w:eastAsia="Arial" w:cs="Arial"/>
          <w:color w:val="auto"/>
        </w:rPr>
        <w:t>Past development of previously developed land means that currently there are limited stocks of vacant previously developed land. By implication, this means that there will be a loss of green field sites and agricultural land.</w:t>
      </w:r>
    </w:p>
    <w:p w14:paraId="1A450C16" w14:textId="77777777" w:rsidR="00162A7B" w:rsidRPr="00162A7B" w:rsidRDefault="00162A7B" w:rsidP="00162A7B">
      <w:pPr>
        <w:keepNext w:val="0"/>
        <w:spacing w:before="0"/>
        <w:ind w:left="1080"/>
        <w:rPr>
          <w:rFonts w:eastAsia="Arial" w:cs="Arial"/>
          <w:color w:val="auto"/>
        </w:rPr>
      </w:pPr>
    </w:p>
    <w:p w14:paraId="65ED72FE" w14:textId="77777777"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Economy</w:t>
      </w:r>
    </w:p>
    <w:p w14:paraId="616173A8" w14:textId="77777777" w:rsidR="00162A7B" w:rsidRDefault="00162A7B" w:rsidP="00874A98">
      <w:pPr>
        <w:keepNext w:val="0"/>
        <w:numPr>
          <w:ilvl w:val="0"/>
          <w:numId w:val="83"/>
        </w:numPr>
        <w:spacing w:before="0"/>
        <w:ind w:left="1134"/>
        <w:rPr>
          <w:rFonts w:eastAsia="Arial" w:cs="Arial"/>
          <w:color w:val="auto"/>
        </w:rPr>
      </w:pPr>
      <w:r w:rsidRPr="00162A7B">
        <w:rPr>
          <w:rFonts w:eastAsia="Arial" w:cs="Arial"/>
          <w:color w:val="auto"/>
        </w:rPr>
        <w:t xml:space="preserve">The </w:t>
      </w:r>
      <w:proofErr w:type="gramStart"/>
      <w:r w:rsidRPr="00162A7B">
        <w:rPr>
          <w:rFonts w:eastAsia="Arial" w:cs="Arial"/>
          <w:color w:val="auto"/>
        </w:rPr>
        <w:t>District</w:t>
      </w:r>
      <w:proofErr w:type="gramEnd"/>
      <w:r w:rsidRPr="00162A7B">
        <w:rPr>
          <w:rFonts w:eastAsia="Arial" w:cs="Arial"/>
          <w:color w:val="auto"/>
        </w:rPr>
        <w:t xml:space="preserve"> offers relatively affordable housing and supply of employment sites to meet the </w:t>
      </w:r>
      <w:proofErr w:type="gramStart"/>
      <w:r w:rsidRPr="00162A7B">
        <w:rPr>
          <w:rFonts w:eastAsia="Arial" w:cs="Arial"/>
          <w:color w:val="auto"/>
        </w:rPr>
        <w:t>District’s</w:t>
      </w:r>
      <w:proofErr w:type="gramEnd"/>
      <w:r w:rsidRPr="00162A7B">
        <w:rPr>
          <w:rFonts w:eastAsia="Arial" w:cs="Arial"/>
          <w:color w:val="auto"/>
        </w:rPr>
        <w:t xml:space="preserve"> job forecasts.</w:t>
      </w:r>
    </w:p>
    <w:p w14:paraId="339E017A" w14:textId="77777777" w:rsidR="00A5463B" w:rsidRPr="00162A7B" w:rsidRDefault="00A5463B" w:rsidP="00C06232">
      <w:pPr>
        <w:keepNext w:val="0"/>
        <w:spacing w:before="0"/>
        <w:ind w:left="1134"/>
        <w:rPr>
          <w:rFonts w:eastAsia="Arial" w:cs="Arial"/>
          <w:color w:val="auto"/>
        </w:rPr>
      </w:pPr>
    </w:p>
    <w:p w14:paraId="729ED7C2" w14:textId="77777777" w:rsidR="00162A7B" w:rsidRPr="00162A7B" w:rsidRDefault="00162A7B" w:rsidP="00874A98">
      <w:pPr>
        <w:keepNext w:val="0"/>
        <w:numPr>
          <w:ilvl w:val="0"/>
          <w:numId w:val="83"/>
        </w:numPr>
        <w:spacing w:before="0"/>
        <w:ind w:left="1134"/>
        <w:rPr>
          <w:rFonts w:eastAsia="Arial" w:cs="Arial"/>
          <w:color w:val="auto"/>
        </w:rPr>
      </w:pPr>
      <w:r w:rsidRPr="00162A7B">
        <w:rPr>
          <w:rFonts w:eastAsia="Arial" w:cs="Arial"/>
          <w:color w:val="auto"/>
        </w:rPr>
        <w:t xml:space="preserve">The </w:t>
      </w:r>
      <w:proofErr w:type="gramStart"/>
      <w:r w:rsidRPr="00162A7B">
        <w:rPr>
          <w:rFonts w:eastAsia="Arial" w:cs="Arial"/>
          <w:color w:val="auto"/>
        </w:rPr>
        <w:t>District</w:t>
      </w:r>
      <w:proofErr w:type="gramEnd"/>
      <w:r w:rsidRPr="00162A7B">
        <w:rPr>
          <w:rFonts w:eastAsia="Arial" w:cs="Arial"/>
          <w:color w:val="auto"/>
        </w:rPr>
        <w:t xml:space="preserve"> has traditionally relied on the manufacturing and construction sectors and there needs to be a more diverse local economy moving towards ‘high value-added’ services and manufacturing.</w:t>
      </w:r>
    </w:p>
    <w:p w14:paraId="21C40357" w14:textId="77777777" w:rsidR="00CB6138" w:rsidRDefault="00CB6138" w:rsidP="00F66CEF">
      <w:pPr>
        <w:spacing w:before="0"/>
        <w:ind w:left="360" w:firstLine="720"/>
        <w:rPr>
          <w:rFonts w:eastAsia="Arial" w:cs="Arial"/>
          <w:color w:val="auto"/>
          <w:u w:val="single"/>
        </w:rPr>
      </w:pPr>
    </w:p>
    <w:p w14:paraId="63316DAE" w14:textId="231618D9"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Employment</w:t>
      </w:r>
    </w:p>
    <w:p w14:paraId="7A499375" w14:textId="77777777" w:rsidR="00162A7B" w:rsidRDefault="00162A7B" w:rsidP="00874A98">
      <w:pPr>
        <w:keepNext w:val="0"/>
        <w:numPr>
          <w:ilvl w:val="0"/>
          <w:numId w:val="84"/>
        </w:numPr>
        <w:spacing w:before="0"/>
        <w:ind w:left="1134"/>
        <w:rPr>
          <w:rFonts w:eastAsia="Arial" w:cs="Arial"/>
          <w:color w:val="auto"/>
        </w:rPr>
      </w:pPr>
      <w:r w:rsidRPr="00162A7B">
        <w:rPr>
          <w:rFonts w:eastAsia="Arial" w:cs="Arial"/>
          <w:color w:val="auto"/>
        </w:rPr>
        <w:t xml:space="preserve">New employment will require higher level skills, so that businesses and the </w:t>
      </w:r>
      <w:proofErr w:type="gramStart"/>
      <w:r w:rsidRPr="00162A7B">
        <w:rPr>
          <w:rFonts w:eastAsia="Arial" w:cs="Arial"/>
          <w:color w:val="auto"/>
        </w:rPr>
        <w:t>District</w:t>
      </w:r>
      <w:proofErr w:type="gramEnd"/>
      <w:r w:rsidRPr="00162A7B">
        <w:rPr>
          <w:rFonts w:eastAsia="Arial" w:cs="Arial"/>
          <w:color w:val="auto"/>
        </w:rPr>
        <w:t xml:space="preserve"> can compete in both national and international markets. The past industrial history also results in negative perceptions of the </w:t>
      </w:r>
      <w:proofErr w:type="gramStart"/>
      <w:r w:rsidRPr="00162A7B">
        <w:rPr>
          <w:rFonts w:eastAsia="Arial" w:cs="Arial"/>
          <w:color w:val="auto"/>
        </w:rPr>
        <w:t>District</w:t>
      </w:r>
      <w:proofErr w:type="gramEnd"/>
      <w:r w:rsidRPr="00162A7B">
        <w:rPr>
          <w:rFonts w:eastAsia="Arial" w:cs="Arial"/>
          <w:color w:val="auto"/>
        </w:rPr>
        <w:t>.</w:t>
      </w:r>
    </w:p>
    <w:p w14:paraId="236A08CC" w14:textId="77777777" w:rsidR="00A5463B" w:rsidRPr="00162A7B" w:rsidRDefault="00A5463B" w:rsidP="00C06232">
      <w:pPr>
        <w:keepNext w:val="0"/>
        <w:spacing w:before="0"/>
        <w:ind w:left="1134"/>
        <w:rPr>
          <w:rFonts w:eastAsia="Arial" w:cs="Arial"/>
          <w:color w:val="auto"/>
        </w:rPr>
      </w:pPr>
    </w:p>
    <w:p w14:paraId="73AAFB3E" w14:textId="77777777" w:rsidR="00162A7B" w:rsidRDefault="00162A7B" w:rsidP="00874A98">
      <w:pPr>
        <w:keepNext w:val="0"/>
        <w:numPr>
          <w:ilvl w:val="0"/>
          <w:numId w:val="84"/>
        </w:numPr>
        <w:spacing w:before="0"/>
        <w:ind w:left="1134"/>
        <w:rPr>
          <w:rFonts w:eastAsia="Arial" w:cs="Arial"/>
          <w:color w:val="auto"/>
        </w:rPr>
      </w:pPr>
      <w:r w:rsidRPr="00162A7B">
        <w:rPr>
          <w:rFonts w:eastAsia="Arial" w:cs="Arial"/>
          <w:color w:val="auto"/>
        </w:rPr>
        <w:t>Ashfield has lower than average education attainment levels in schools.</w:t>
      </w:r>
    </w:p>
    <w:p w14:paraId="78BC918F" w14:textId="77777777" w:rsidR="00A5463B" w:rsidRPr="00162A7B" w:rsidRDefault="00A5463B" w:rsidP="00C06232">
      <w:pPr>
        <w:keepNext w:val="0"/>
        <w:spacing w:before="0"/>
        <w:ind w:left="1134"/>
        <w:rPr>
          <w:rFonts w:eastAsia="Arial" w:cs="Arial"/>
          <w:color w:val="auto"/>
        </w:rPr>
      </w:pPr>
    </w:p>
    <w:p w14:paraId="76963892" w14:textId="77777777" w:rsidR="00541C68" w:rsidRDefault="00162A7B" w:rsidP="00541C68">
      <w:pPr>
        <w:keepNext w:val="0"/>
        <w:numPr>
          <w:ilvl w:val="0"/>
          <w:numId w:val="84"/>
        </w:numPr>
        <w:spacing w:before="0"/>
        <w:ind w:left="1134"/>
        <w:rPr>
          <w:rFonts w:eastAsia="Arial" w:cs="Arial"/>
          <w:color w:val="auto"/>
        </w:rPr>
      </w:pPr>
      <w:r w:rsidRPr="00162A7B">
        <w:rPr>
          <w:rFonts w:eastAsia="Arial" w:cs="Arial"/>
          <w:color w:val="auto"/>
        </w:rPr>
        <w:t>There is a h</w:t>
      </w:r>
      <w:r w:rsidRPr="00162A7B">
        <w:rPr>
          <w:rFonts w:cs="Arial"/>
          <w:color w:val="auto"/>
        </w:rPr>
        <w:t>igh percentage of residents with no qualifications and those working in unskilled occupations in comparison to other areas.</w:t>
      </w:r>
    </w:p>
    <w:p w14:paraId="0F5DF15D" w14:textId="77777777" w:rsidR="00924ED5" w:rsidRDefault="00924ED5" w:rsidP="00924ED5">
      <w:pPr>
        <w:keepNext w:val="0"/>
        <w:spacing w:before="0"/>
        <w:ind w:left="1134"/>
        <w:rPr>
          <w:rFonts w:eastAsia="Arial" w:cs="Arial"/>
          <w:color w:val="auto"/>
        </w:rPr>
      </w:pPr>
    </w:p>
    <w:p w14:paraId="54E33036" w14:textId="123B7E03" w:rsidR="00541C68" w:rsidRPr="00541C68" w:rsidRDefault="00541C68" w:rsidP="00541C68">
      <w:pPr>
        <w:keepNext w:val="0"/>
        <w:numPr>
          <w:ilvl w:val="0"/>
          <w:numId w:val="84"/>
        </w:numPr>
        <w:spacing w:before="0"/>
        <w:ind w:left="1134"/>
        <w:rPr>
          <w:rFonts w:eastAsia="Arial" w:cs="Arial"/>
          <w:color w:val="auto"/>
        </w:rPr>
      </w:pPr>
      <w:r w:rsidRPr="00541C68">
        <w:rPr>
          <w:rFonts w:eastAsia="Arial" w:cs="Arial"/>
          <w:color w:val="auto"/>
        </w:rPr>
        <w:t xml:space="preserve">The </w:t>
      </w:r>
      <w:proofErr w:type="gramStart"/>
      <w:r w:rsidRPr="00541C68">
        <w:rPr>
          <w:rFonts w:eastAsia="Arial" w:cs="Arial"/>
          <w:color w:val="auto"/>
        </w:rPr>
        <w:t>District</w:t>
      </w:r>
      <w:proofErr w:type="gramEnd"/>
      <w:r w:rsidRPr="00541C68">
        <w:rPr>
          <w:rFonts w:eastAsia="Arial" w:cs="Arial"/>
          <w:color w:val="auto"/>
        </w:rPr>
        <w:t xml:space="preserve"> demonstrates income levels that are significantly lower than average compared to neighbouring areas or regional figures, resulting in difficulties in accumulating the financial deposits required for house purchases.  </w:t>
      </w:r>
    </w:p>
    <w:p w14:paraId="6AF79AF0" w14:textId="77777777" w:rsidR="00541C68" w:rsidRPr="00162A7B" w:rsidRDefault="00541C68" w:rsidP="00541C68">
      <w:pPr>
        <w:keepNext w:val="0"/>
        <w:spacing w:before="0"/>
        <w:ind w:left="774"/>
        <w:rPr>
          <w:rFonts w:eastAsia="Arial" w:cs="Arial"/>
          <w:color w:val="auto"/>
        </w:rPr>
      </w:pPr>
    </w:p>
    <w:p w14:paraId="1C29DB20" w14:textId="77777777"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Ageing Population</w:t>
      </w:r>
    </w:p>
    <w:p w14:paraId="0CC828E4" w14:textId="77777777" w:rsidR="00162A7B" w:rsidRPr="00162A7B" w:rsidRDefault="00162A7B" w:rsidP="00874A98">
      <w:pPr>
        <w:keepNext w:val="0"/>
        <w:numPr>
          <w:ilvl w:val="0"/>
          <w:numId w:val="88"/>
        </w:numPr>
        <w:spacing w:before="0"/>
        <w:ind w:left="1134"/>
        <w:rPr>
          <w:rFonts w:eastAsia="Arial" w:cs="Arial"/>
          <w:color w:val="auto"/>
        </w:rPr>
      </w:pPr>
      <w:r w:rsidRPr="00162A7B">
        <w:rPr>
          <w:rFonts w:eastAsia="Arial" w:cs="Arial"/>
          <w:color w:val="auto"/>
        </w:rPr>
        <w:t xml:space="preserve">The older population (65+) continues to increase across the </w:t>
      </w:r>
      <w:proofErr w:type="gramStart"/>
      <w:r w:rsidRPr="00162A7B">
        <w:rPr>
          <w:rFonts w:eastAsia="Arial" w:cs="Arial"/>
          <w:color w:val="auto"/>
        </w:rPr>
        <w:t>District</w:t>
      </w:r>
      <w:proofErr w:type="gramEnd"/>
      <w:r w:rsidRPr="00162A7B">
        <w:rPr>
          <w:rFonts w:eastAsia="Arial" w:cs="Arial"/>
          <w:color w:val="auto"/>
        </w:rPr>
        <w:t>. The Rurals has a particularly large percentage of older people, exceeding that of the younger generation (up 15).</w:t>
      </w:r>
    </w:p>
    <w:p w14:paraId="75D56EE1" w14:textId="77777777" w:rsidR="00162A7B" w:rsidRPr="00162A7B" w:rsidRDefault="00162A7B" w:rsidP="00C06232">
      <w:pPr>
        <w:spacing w:before="0"/>
        <w:ind w:left="360" w:firstLine="349"/>
        <w:rPr>
          <w:rFonts w:eastAsia="Arial" w:cs="Arial"/>
          <w:color w:val="auto"/>
          <w:u w:val="single"/>
        </w:rPr>
      </w:pPr>
    </w:p>
    <w:p w14:paraId="180BB134" w14:textId="77777777"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Deprivation</w:t>
      </w:r>
    </w:p>
    <w:p w14:paraId="1399D2B6" w14:textId="77777777" w:rsidR="00162A7B" w:rsidRPr="00162A7B" w:rsidRDefault="00162A7B" w:rsidP="00874A98">
      <w:pPr>
        <w:keepNext w:val="0"/>
        <w:numPr>
          <w:ilvl w:val="0"/>
          <w:numId w:val="88"/>
        </w:numPr>
        <w:spacing w:before="0"/>
        <w:ind w:left="1134"/>
        <w:rPr>
          <w:rFonts w:cs="Arial"/>
          <w:color w:val="auto"/>
        </w:rPr>
      </w:pPr>
      <w:r w:rsidRPr="00162A7B">
        <w:rPr>
          <w:rFonts w:eastAsia="Arial" w:cs="Arial"/>
          <w:color w:val="auto"/>
        </w:rPr>
        <w:t>The Index of Multiple Deprivation identifies that Ashfield is within the top 25% of most deprived districts in the country.</w:t>
      </w:r>
    </w:p>
    <w:p w14:paraId="0F355A26" w14:textId="77777777" w:rsidR="00162A7B" w:rsidRPr="00162A7B" w:rsidRDefault="00162A7B" w:rsidP="00162A7B">
      <w:pPr>
        <w:spacing w:before="0"/>
        <w:ind w:left="567"/>
        <w:rPr>
          <w:rFonts w:cs="Arial"/>
          <w:color w:val="auto"/>
          <w:u w:val="single"/>
        </w:rPr>
      </w:pPr>
    </w:p>
    <w:p w14:paraId="0CD028F8" w14:textId="77777777" w:rsidR="00162A7B" w:rsidRPr="00162A7B" w:rsidRDefault="00162A7B" w:rsidP="00C06232">
      <w:pPr>
        <w:spacing w:before="0"/>
        <w:ind w:left="1069" w:hanging="360"/>
        <w:rPr>
          <w:rFonts w:cs="Arial"/>
          <w:color w:val="auto"/>
          <w:u w:val="single"/>
        </w:rPr>
      </w:pPr>
      <w:r w:rsidRPr="00162A7B">
        <w:rPr>
          <w:rFonts w:cs="Arial"/>
          <w:color w:val="auto"/>
          <w:u w:val="single"/>
        </w:rPr>
        <w:t>Health</w:t>
      </w:r>
    </w:p>
    <w:p w14:paraId="28C0584F" w14:textId="77777777" w:rsidR="00162A7B" w:rsidRPr="00162A7B" w:rsidRDefault="00162A7B" w:rsidP="00874A98">
      <w:pPr>
        <w:keepNext w:val="0"/>
        <w:numPr>
          <w:ilvl w:val="0"/>
          <w:numId w:val="88"/>
        </w:numPr>
        <w:spacing w:before="0"/>
        <w:ind w:left="1134"/>
        <w:rPr>
          <w:rFonts w:cs="Arial"/>
          <w:color w:val="auto"/>
        </w:rPr>
      </w:pPr>
      <w:r w:rsidRPr="00162A7B">
        <w:rPr>
          <w:rFonts w:eastAsia="Arial" w:cs="Arial"/>
          <w:color w:val="auto"/>
        </w:rPr>
        <w:t xml:space="preserve">The health of people in Ashfield is generally worse than the England average, with higher mortality rates, high numbers of smokers and high levels of obesity.  </w:t>
      </w:r>
    </w:p>
    <w:p w14:paraId="76089A99" w14:textId="77777777" w:rsidR="00162A7B" w:rsidRPr="00162A7B" w:rsidRDefault="00162A7B" w:rsidP="00162A7B">
      <w:pPr>
        <w:spacing w:before="0"/>
        <w:ind w:firstLine="567"/>
        <w:rPr>
          <w:rFonts w:eastAsia="Arial" w:cs="Arial"/>
          <w:color w:val="auto"/>
          <w:u w:val="single"/>
        </w:rPr>
      </w:pPr>
    </w:p>
    <w:p w14:paraId="431FDFDC" w14:textId="77777777"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Infrastructure</w:t>
      </w:r>
    </w:p>
    <w:p w14:paraId="38DBD390" w14:textId="77777777" w:rsidR="00162A7B" w:rsidRPr="00162A7B" w:rsidRDefault="00162A7B" w:rsidP="00874A98">
      <w:pPr>
        <w:keepNext w:val="0"/>
        <w:numPr>
          <w:ilvl w:val="0"/>
          <w:numId w:val="88"/>
        </w:numPr>
        <w:spacing w:before="0"/>
        <w:ind w:left="1134"/>
        <w:rPr>
          <w:rFonts w:eastAsia="Arial" w:cs="Arial"/>
          <w:color w:val="auto"/>
        </w:rPr>
      </w:pPr>
      <w:r w:rsidRPr="00162A7B">
        <w:rPr>
          <w:rFonts w:eastAsia="Arial" w:cs="Arial"/>
          <w:color w:val="auto"/>
        </w:rPr>
        <w:t>Areas of the District suffer from limited infrastructure capacity and solutions are needed, in consultation with infrastructure providers to enable future development needs to be accommodated.</w:t>
      </w:r>
    </w:p>
    <w:p w14:paraId="64501094" w14:textId="77777777" w:rsidR="00162A7B" w:rsidRPr="00162A7B" w:rsidRDefault="00162A7B" w:rsidP="00C06232">
      <w:pPr>
        <w:spacing w:before="0"/>
        <w:ind w:left="1134" w:firstLine="567"/>
        <w:rPr>
          <w:rFonts w:eastAsia="Arial" w:cs="Arial"/>
          <w:color w:val="auto"/>
          <w:u w:val="single"/>
        </w:rPr>
      </w:pPr>
    </w:p>
    <w:p w14:paraId="6E98F2BA" w14:textId="77777777" w:rsidR="00162A7B" w:rsidRPr="00162A7B" w:rsidRDefault="00162A7B" w:rsidP="00C06232">
      <w:pPr>
        <w:spacing w:before="0"/>
        <w:ind w:left="360" w:firstLine="349"/>
        <w:rPr>
          <w:rFonts w:eastAsia="Arial" w:cs="Arial"/>
          <w:color w:val="auto"/>
          <w:u w:val="single"/>
        </w:rPr>
      </w:pPr>
      <w:bookmarkStart w:id="25" w:name="_Hlk137027234"/>
      <w:r w:rsidRPr="00162A7B">
        <w:rPr>
          <w:rFonts w:eastAsia="Arial" w:cs="Arial"/>
          <w:color w:val="auto"/>
          <w:u w:val="single"/>
        </w:rPr>
        <w:t>Flooding and Water</w:t>
      </w:r>
    </w:p>
    <w:p w14:paraId="0C1542C7" w14:textId="45BE506F" w:rsidR="003514D5" w:rsidRPr="00E6288C" w:rsidRDefault="0002416B" w:rsidP="00874A98">
      <w:pPr>
        <w:numPr>
          <w:ilvl w:val="0"/>
          <w:numId w:val="85"/>
        </w:numPr>
        <w:spacing w:before="0"/>
        <w:ind w:left="1134" w:hanging="284"/>
        <w:rPr>
          <w:rFonts w:eastAsia="Arial" w:cs="Arial"/>
          <w:szCs w:val="24"/>
        </w:rPr>
      </w:pPr>
      <w:r w:rsidRPr="00E6288C">
        <w:rPr>
          <w:rFonts w:eastAsia="Arial" w:cs="Arial"/>
          <w:szCs w:val="24"/>
        </w:rPr>
        <w:t>Ashfield is substantial</w:t>
      </w:r>
      <w:r w:rsidR="004D1175" w:rsidRPr="00E6288C">
        <w:rPr>
          <w:rFonts w:eastAsia="Arial" w:cs="Arial"/>
          <w:szCs w:val="24"/>
        </w:rPr>
        <w:t>ly</w:t>
      </w:r>
      <w:r w:rsidRPr="00E6288C">
        <w:rPr>
          <w:rFonts w:eastAsia="Arial" w:cs="Arial"/>
          <w:szCs w:val="24"/>
        </w:rPr>
        <w:t xml:space="preserve"> located with Flood Zone 1, </w:t>
      </w:r>
      <w:r w:rsidR="00024856" w:rsidRPr="00E6288C">
        <w:rPr>
          <w:rFonts w:eastAsia="Arial" w:cs="Arial"/>
          <w:szCs w:val="24"/>
        </w:rPr>
        <w:t xml:space="preserve">which is land at the lowest risk of flooding from watercourses. Nevertheless, there are areas at risk of flooding from watercourses including parts of Hucknall and </w:t>
      </w:r>
      <w:proofErr w:type="spellStart"/>
      <w:r w:rsidR="00024856" w:rsidRPr="00E6288C">
        <w:rPr>
          <w:rFonts w:eastAsia="Arial" w:cs="Arial"/>
          <w:szCs w:val="24"/>
        </w:rPr>
        <w:t>Jacksdale</w:t>
      </w:r>
      <w:proofErr w:type="spellEnd"/>
      <w:r w:rsidR="00024856" w:rsidRPr="00E6288C">
        <w:rPr>
          <w:rFonts w:eastAsia="Arial" w:cs="Arial"/>
          <w:szCs w:val="24"/>
        </w:rPr>
        <w:t>. Further, additional water into the River Leen raises significant flood issues in Nottingham. The Nottinghamshire Local Flood Risk Management Strategy 2021-27 identifies that approximately 3,783 residential, and commercial properties together with critical infrastructure is at a high or medium risk of flooding. The Council’s approach is to ensure that the risk of flooding is minimised and does not increase the risk of flooding to the surrounding area. It promotes the use of SUDS and blue / green infrastructure throughout development to ensure a sustainable approach to the management of water and flood risk.</w:t>
      </w:r>
      <w:r w:rsidR="003514D5" w:rsidRPr="00E6288C">
        <w:rPr>
          <w:rFonts w:eastAsia="Arial" w:cs="Arial"/>
          <w:szCs w:val="24"/>
        </w:rPr>
        <w:t xml:space="preserve"> N</w:t>
      </w:r>
      <w:r w:rsidRPr="00E6288C">
        <w:rPr>
          <w:rFonts w:eastAsia="Arial" w:cs="Arial"/>
        </w:rPr>
        <w:t xml:space="preserve">evertheless, there are areas at risk of flooding from watercourses including parts of Hucknall and </w:t>
      </w:r>
      <w:proofErr w:type="spellStart"/>
      <w:r w:rsidRPr="00E6288C">
        <w:rPr>
          <w:rFonts w:eastAsia="Arial" w:cs="Arial"/>
        </w:rPr>
        <w:t>Jacksdale</w:t>
      </w:r>
      <w:proofErr w:type="spellEnd"/>
      <w:r w:rsidRPr="00E6288C">
        <w:rPr>
          <w:rFonts w:eastAsia="Arial" w:cs="Arial"/>
        </w:rPr>
        <w:t xml:space="preserve">. Further, additional water into the River Leen raises significant flood issues in Nottingham. </w:t>
      </w:r>
    </w:p>
    <w:p w14:paraId="38633C1B" w14:textId="77777777" w:rsidR="003514D5" w:rsidRPr="00E6288C" w:rsidRDefault="003514D5" w:rsidP="00C06232">
      <w:pPr>
        <w:spacing w:before="0"/>
        <w:ind w:left="1134"/>
        <w:rPr>
          <w:rFonts w:eastAsia="Arial" w:cs="Arial"/>
          <w:szCs w:val="24"/>
        </w:rPr>
      </w:pPr>
    </w:p>
    <w:p w14:paraId="1875601F" w14:textId="269B21D8" w:rsidR="0002416B" w:rsidRPr="00E6288C" w:rsidRDefault="0002416B" w:rsidP="00874A98">
      <w:pPr>
        <w:numPr>
          <w:ilvl w:val="0"/>
          <w:numId w:val="85"/>
        </w:numPr>
        <w:spacing w:before="0"/>
        <w:ind w:left="1134" w:hanging="284"/>
        <w:rPr>
          <w:rFonts w:eastAsia="Arial" w:cs="Arial"/>
          <w:szCs w:val="24"/>
        </w:rPr>
      </w:pPr>
      <w:r w:rsidRPr="00E6288C">
        <w:rPr>
          <w:rFonts w:eastAsia="Arial" w:cs="Arial"/>
        </w:rPr>
        <w:t>The Nottinghamshire Local Flood Risk Management Strategy 2021-27 identifies that approximately 3,783 residential, and commercial properties together with critical infrastructure is at a high or medium risk of flooding. The Council’s approach is to ensure that the risk of flooding is minimised and does not increase the risk of flooding to the surrounding area. It promotes the use of SUDS and blue / green infrastructure throughout development to ensure a sustainable approach to the management of water and flood risk.</w:t>
      </w:r>
    </w:p>
    <w:p w14:paraId="25B6ED28" w14:textId="77777777" w:rsidR="003514D5" w:rsidRPr="00E6288C" w:rsidRDefault="003514D5" w:rsidP="00C06232">
      <w:pPr>
        <w:keepNext w:val="0"/>
        <w:spacing w:before="0"/>
        <w:ind w:left="1134"/>
        <w:rPr>
          <w:rFonts w:eastAsia="Arial" w:cs="Arial"/>
        </w:rPr>
      </w:pPr>
    </w:p>
    <w:p w14:paraId="0A44F31C" w14:textId="30967E3B" w:rsidR="00162A7B" w:rsidRPr="00162A7B" w:rsidRDefault="00162A7B" w:rsidP="00874A98">
      <w:pPr>
        <w:keepNext w:val="0"/>
        <w:numPr>
          <w:ilvl w:val="0"/>
          <w:numId w:val="85"/>
        </w:numPr>
        <w:spacing w:before="0"/>
        <w:ind w:left="1134"/>
        <w:rPr>
          <w:rFonts w:eastAsia="Arial" w:cs="Arial"/>
          <w:color w:val="auto"/>
        </w:rPr>
      </w:pPr>
      <w:r w:rsidRPr="00162A7B">
        <w:rPr>
          <w:rFonts w:eastAsia="Arial" w:cs="Arial"/>
          <w:color w:val="auto"/>
        </w:rPr>
        <w:t>Reducing the level of water use given the constrained water supply for Greater Nottingham and Ashfield.</w:t>
      </w:r>
    </w:p>
    <w:bookmarkEnd w:id="25"/>
    <w:p w14:paraId="122F1CB1" w14:textId="77777777" w:rsidR="00162A7B" w:rsidRPr="00162A7B" w:rsidRDefault="00162A7B" w:rsidP="00162A7B">
      <w:pPr>
        <w:spacing w:before="0"/>
        <w:ind w:firstLine="567"/>
        <w:rPr>
          <w:rFonts w:eastAsia="Arial" w:cs="Arial"/>
          <w:color w:val="auto"/>
          <w:u w:val="single"/>
        </w:rPr>
      </w:pPr>
    </w:p>
    <w:p w14:paraId="346C6986" w14:textId="722C058D" w:rsidR="00162A7B" w:rsidRPr="00162A7B" w:rsidRDefault="00162A7B" w:rsidP="00C06232">
      <w:pPr>
        <w:spacing w:before="0"/>
        <w:ind w:left="360" w:firstLine="349"/>
        <w:rPr>
          <w:rFonts w:eastAsia="Arial" w:cs="Arial"/>
          <w:color w:val="auto"/>
          <w:u w:val="single"/>
        </w:rPr>
      </w:pPr>
      <w:r w:rsidRPr="00D20016">
        <w:rPr>
          <w:rFonts w:eastAsia="Arial" w:cs="Arial"/>
          <w:color w:val="auto"/>
          <w:u w:val="single"/>
        </w:rPr>
        <w:t>Green</w:t>
      </w:r>
      <w:r w:rsidR="00F449C8" w:rsidRPr="00D20016">
        <w:rPr>
          <w:rFonts w:eastAsia="Arial" w:cs="Arial"/>
          <w:color w:val="auto"/>
          <w:u w:val="single"/>
        </w:rPr>
        <w:t xml:space="preserve"> </w:t>
      </w:r>
      <w:r w:rsidR="00F449C8" w:rsidRPr="00D20016">
        <w:rPr>
          <w:rFonts w:eastAsia="Arial" w:cs="Arial"/>
          <w:color w:val="2E74B5" w:themeColor="accent5" w:themeShade="BF"/>
          <w:u w:val="single"/>
        </w:rPr>
        <w:t>and Blue</w:t>
      </w:r>
      <w:r w:rsidRPr="00D20016">
        <w:rPr>
          <w:rFonts w:eastAsia="Arial" w:cs="Arial"/>
          <w:color w:val="auto"/>
          <w:u w:val="single"/>
        </w:rPr>
        <w:t xml:space="preserve"> Infrastructure</w:t>
      </w:r>
    </w:p>
    <w:p w14:paraId="3E190E80" w14:textId="2C11F657" w:rsidR="00162A7B" w:rsidRDefault="00162A7B" w:rsidP="00874A98">
      <w:pPr>
        <w:keepNext w:val="0"/>
        <w:numPr>
          <w:ilvl w:val="0"/>
          <w:numId w:val="82"/>
        </w:numPr>
        <w:spacing w:before="0"/>
        <w:ind w:left="1134"/>
        <w:rPr>
          <w:rFonts w:cs="Arial"/>
          <w:color w:val="auto"/>
        </w:rPr>
      </w:pPr>
      <w:r w:rsidRPr="00162A7B">
        <w:rPr>
          <w:rFonts w:cs="Arial"/>
          <w:color w:val="auto"/>
          <w:szCs w:val="24"/>
        </w:rPr>
        <w:t xml:space="preserve">The </w:t>
      </w:r>
      <w:proofErr w:type="gramStart"/>
      <w:r w:rsidRPr="00162A7B">
        <w:rPr>
          <w:rFonts w:cs="Arial"/>
          <w:color w:val="auto"/>
          <w:szCs w:val="24"/>
        </w:rPr>
        <w:t>District</w:t>
      </w:r>
      <w:proofErr w:type="gramEnd"/>
      <w:r w:rsidRPr="00162A7B">
        <w:rPr>
          <w:rFonts w:cs="Arial"/>
          <w:color w:val="auto"/>
          <w:szCs w:val="24"/>
        </w:rPr>
        <w:t xml:space="preserve"> holds sites of </w:t>
      </w:r>
      <w:r w:rsidRPr="00E6288C">
        <w:rPr>
          <w:rFonts w:cs="Arial"/>
          <w:szCs w:val="24"/>
        </w:rPr>
        <w:t>significant</w:t>
      </w:r>
      <w:r w:rsidRPr="00162A7B">
        <w:rPr>
          <w:rFonts w:cs="Arial"/>
          <w:color w:val="auto"/>
          <w:szCs w:val="24"/>
        </w:rPr>
        <w:t xml:space="preserve"> environment value</w:t>
      </w:r>
      <w:r w:rsidRPr="00162A7B">
        <w:rPr>
          <w:rFonts w:eastAsia="Arial" w:cs="Arial"/>
          <w:color w:val="auto"/>
        </w:rPr>
        <w:t xml:space="preserve">, as well as open space and facilities, including the Green Belt. </w:t>
      </w:r>
      <w:r w:rsidRPr="00162A7B">
        <w:rPr>
          <w:rFonts w:cs="Arial"/>
          <w:color w:val="auto"/>
        </w:rPr>
        <w:t xml:space="preserve">Appropriate protection, access and linkages between these assets may need to be improved to aid the network of green spaces. </w:t>
      </w:r>
      <w:bookmarkStart w:id="26" w:name="_Hlk149135957"/>
      <w:r w:rsidR="005C7C7C">
        <w:rPr>
          <w:rFonts w:cs="Arial"/>
          <w:color w:val="auto"/>
        </w:rPr>
        <w:t>The Council’s Green and Blue Infrastructure Strategy, 2022 -2032, provides further details.</w:t>
      </w:r>
      <w:bookmarkEnd w:id="26"/>
    </w:p>
    <w:p w14:paraId="199EC15B" w14:textId="77777777" w:rsidR="00A5463B" w:rsidRPr="00162A7B" w:rsidRDefault="00A5463B" w:rsidP="00C06232">
      <w:pPr>
        <w:keepNext w:val="0"/>
        <w:spacing w:before="0"/>
        <w:ind w:left="1134"/>
        <w:rPr>
          <w:rFonts w:cs="Arial"/>
          <w:color w:val="auto"/>
        </w:rPr>
      </w:pPr>
    </w:p>
    <w:p w14:paraId="624E0FA7" w14:textId="4F8726C1" w:rsidR="00162A7B" w:rsidRPr="00E6288C" w:rsidRDefault="00162A7B" w:rsidP="00874A98">
      <w:pPr>
        <w:keepNext w:val="0"/>
        <w:numPr>
          <w:ilvl w:val="0"/>
          <w:numId w:val="82"/>
        </w:numPr>
        <w:spacing w:before="0"/>
        <w:ind w:left="1134"/>
        <w:rPr>
          <w:rFonts w:cs="Arial"/>
        </w:rPr>
      </w:pPr>
      <w:r w:rsidRPr="00162A7B">
        <w:rPr>
          <w:rFonts w:eastAsia="Calibri" w:cs="Arial"/>
          <w:color w:val="auto"/>
          <w:szCs w:val="24"/>
        </w:rPr>
        <w:t xml:space="preserve">Ensuring that there </w:t>
      </w:r>
      <w:proofErr w:type="gramStart"/>
      <w:r w:rsidRPr="00162A7B">
        <w:rPr>
          <w:rFonts w:eastAsia="Calibri" w:cs="Arial"/>
          <w:color w:val="auto"/>
          <w:szCs w:val="24"/>
        </w:rPr>
        <w:t>are</w:t>
      </w:r>
      <w:proofErr w:type="gramEnd"/>
      <w:r w:rsidRPr="00162A7B">
        <w:rPr>
          <w:rFonts w:eastAsia="Calibri" w:cs="Arial"/>
          <w:color w:val="auto"/>
          <w:szCs w:val="24"/>
        </w:rPr>
        <w:t xml:space="preserve"> no adverse effect upon the South Pennines Special Area of Conservation (SAC), the </w:t>
      </w:r>
      <w:r w:rsidRPr="00E6288C">
        <w:rPr>
          <w:rFonts w:eastAsia="Calibri" w:cs="Arial"/>
          <w:szCs w:val="24"/>
        </w:rPr>
        <w:t xml:space="preserve">Birklands </w:t>
      </w:r>
      <w:r w:rsidR="00DB66DD" w:rsidRPr="00E6288C">
        <w:rPr>
          <w:rFonts w:eastAsia="Calibri" w:cs="Arial"/>
          <w:szCs w:val="24"/>
        </w:rPr>
        <w:t>and</w:t>
      </w:r>
      <w:r w:rsidRPr="00E6288C">
        <w:rPr>
          <w:rFonts w:eastAsia="Calibri" w:cs="Arial"/>
          <w:szCs w:val="24"/>
        </w:rPr>
        <w:t xml:space="preserve"> </w:t>
      </w:r>
      <w:proofErr w:type="spellStart"/>
      <w:r w:rsidRPr="00E6288C">
        <w:rPr>
          <w:rFonts w:eastAsia="Calibri" w:cs="Arial"/>
          <w:szCs w:val="24"/>
        </w:rPr>
        <w:t>Bilhaugh</w:t>
      </w:r>
      <w:proofErr w:type="spellEnd"/>
      <w:r w:rsidRPr="00E6288C">
        <w:rPr>
          <w:rFonts w:eastAsia="Calibri" w:cs="Arial"/>
          <w:szCs w:val="24"/>
        </w:rPr>
        <w:t xml:space="preserve"> S</w:t>
      </w:r>
      <w:r w:rsidR="00DB66DD" w:rsidRPr="00E6288C">
        <w:rPr>
          <w:rFonts w:eastAsia="Calibri" w:cs="Arial"/>
          <w:szCs w:val="24"/>
        </w:rPr>
        <w:t>AC a</w:t>
      </w:r>
      <w:r w:rsidRPr="00E6288C">
        <w:rPr>
          <w:rFonts w:eastAsia="Calibri" w:cs="Arial"/>
          <w:szCs w:val="24"/>
        </w:rPr>
        <w:t xml:space="preserve">nd the Sherwood Forest </w:t>
      </w:r>
      <w:r w:rsidR="00DB66DD" w:rsidRPr="00E6288C">
        <w:rPr>
          <w:rFonts w:eastAsia="Calibri" w:cs="Arial"/>
          <w:szCs w:val="24"/>
        </w:rPr>
        <w:t xml:space="preserve">possible </w:t>
      </w:r>
      <w:r w:rsidRPr="00E6288C">
        <w:rPr>
          <w:rFonts w:eastAsia="Calibri" w:cs="Arial"/>
          <w:szCs w:val="24"/>
        </w:rPr>
        <w:t>potential Special Protection Area</w:t>
      </w:r>
      <w:r w:rsidR="00603B4C" w:rsidRPr="00E6288C">
        <w:rPr>
          <w:rFonts w:eastAsia="Calibri" w:cs="Arial"/>
          <w:szCs w:val="24"/>
        </w:rPr>
        <w:t xml:space="preserve"> (</w:t>
      </w:r>
      <w:proofErr w:type="spellStart"/>
      <w:r w:rsidR="00603B4C" w:rsidRPr="00E6288C">
        <w:rPr>
          <w:rFonts w:eastAsia="Calibri" w:cs="Arial"/>
          <w:szCs w:val="24"/>
        </w:rPr>
        <w:t>ppSPA</w:t>
      </w:r>
      <w:proofErr w:type="spellEnd"/>
      <w:r w:rsidR="00603B4C" w:rsidRPr="00E6288C">
        <w:rPr>
          <w:rFonts w:eastAsia="Calibri" w:cs="Arial"/>
          <w:szCs w:val="24"/>
        </w:rPr>
        <w:t>)</w:t>
      </w:r>
      <w:r w:rsidRPr="00E6288C">
        <w:rPr>
          <w:rFonts w:eastAsia="Calibri" w:cs="Arial"/>
          <w:szCs w:val="24"/>
        </w:rPr>
        <w:t>.</w:t>
      </w:r>
    </w:p>
    <w:p w14:paraId="67BB5AA0" w14:textId="7D7B5F41" w:rsidR="00162A7B" w:rsidRPr="00E6288C" w:rsidRDefault="00162A7B" w:rsidP="00162A7B">
      <w:pPr>
        <w:spacing w:before="0"/>
        <w:ind w:firstLine="567"/>
        <w:rPr>
          <w:rFonts w:eastAsia="Arial" w:cs="Arial"/>
          <w:u w:val="single"/>
        </w:rPr>
      </w:pPr>
    </w:p>
    <w:p w14:paraId="1990879D" w14:textId="77777777" w:rsidR="00162A7B" w:rsidRPr="00162A7B" w:rsidRDefault="00162A7B" w:rsidP="00C06232">
      <w:pPr>
        <w:spacing w:before="0"/>
        <w:ind w:left="360" w:firstLine="349"/>
        <w:rPr>
          <w:rFonts w:eastAsia="Arial" w:cs="Arial"/>
          <w:color w:val="auto"/>
          <w:u w:val="single"/>
        </w:rPr>
      </w:pPr>
      <w:r w:rsidRPr="00162A7B">
        <w:rPr>
          <w:rFonts w:eastAsia="Arial" w:cs="Arial"/>
          <w:color w:val="auto"/>
          <w:u w:val="single"/>
        </w:rPr>
        <w:t>Historic Environment</w:t>
      </w:r>
    </w:p>
    <w:p w14:paraId="58AF638E" w14:textId="77777777" w:rsidR="00162A7B" w:rsidRPr="00162A7B" w:rsidRDefault="00162A7B" w:rsidP="00874A98">
      <w:pPr>
        <w:keepNext w:val="0"/>
        <w:numPr>
          <w:ilvl w:val="0"/>
          <w:numId w:val="89"/>
        </w:numPr>
        <w:autoSpaceDE w:val="0"/>
        <w:autoSpaceDN w:val="0"/>
        <w:adjustRightInd w:val="0"/>
        <w:spacing w:before="0"/>
        <w:ind w:left="1134"/>
        <w:rPr>
          <w:rFonts w:eastAsia="Arial" w:cs="Arial"/>
          <w:color w:val="auto"/>
        </w:rPr>
      </w:pPr>
      <w:r w:rsidRPr="00162A7B">
        <w:rPr>
          <w:rFonts w:eastAsia="Arial" w:cs="Arial"/>
          <w:color w:val="auto"/>
        </w:rPr>
        <w:t xml:space="preserve">There is a significant history in Ashfield which should be positively utilised and enhanced. These assets play an important role in providing our places with their distinct identity and character, which should be used in a positive way to regenerate the </w:t>
      </w:r>
      <w:proofErr w:type="gramStart"/>
      <w:r w:rsidRPr="00162A7B">
        <w:rPr>
          <w:rFonts w:eastAsia="Arial" w:cs="Arial"/>
          <w:color w:val="auto"/>
        </w:rPr>
        <w:t>District’s</w:t>
      </w:r>
      <w:proofErr w:type="gramEnd"/>
      <w:r w:rsidRPr="00162A7B">
        <w:rPr>
          <w:rFonts w:eastAsia="Arial" w:cs="Arial"/>
          <w:color w:val="auto"/>
        </w:rPr>
        <w:t xml:space="preserve"> town centres and communities.  </w:t>
      </w:r>
    </w:p>
    <w:p w14:paraId="0EA6A78B" w14:textId="2D3CBABA" w:rsidR="00D91D0F" w:rsidRDefault="00D91D0F" w:rsidP="00C06232">
      <w:pPr>
        <w:keepNext w:val="0"/>
        <w:spacing w:before="0"/>
        <w:ind w:left="1134"/>
        <w:rPr>
          <w:rFonts w:cs="Arial"/>
          <w:b/>
          <w:bCs/>
          <w:szCs w:val="24"/>
        </w:rPr>
      </w:pPr>
    </w:p>
    <w:p w14:paraId="40212CFF" w14:textId="77777777" w:rsidR="00DA4833" w:rsidRPr="003C7E62" w:rsidRDefault="00DA4833" w:rsidP="00D210FC">
      <w:pPr>
        <w:keepNext w:val="0"/>
        <w:autoSpaceDE w:val="0"/>
        <w:autoSpaceDN w:val="0"/>
        <w:adjustRightInd w:val="0"/>
        <w:spacing w:before="0"/>
        <w:rPr>
          <w:rFonts w:cs="Arial"/>
          <w:b/>
          <w:bCs/>
          <w:szCs w:val="24"/>
        </w:rPr>
        <w:sectPr w:rsidR="00DA4833" w:rsidRPr="003C7E62" w:rsidSect="00D76B97">
          <w:headerReference w:type="default" r:id="rId28"/>
          <w:pgSz w:w="11906" w:h="16838" w:code="9"/>
          <w:pgMar w:top="1258" w:right="1133" w:bottom="1079" w:left="1134" w:header="709" w:footer="709" w:gutter="0"/>
          <w:cols w:space="708"/>
          <w:docGrid w:linePitch="360"/>
        </w:sectPr>
      </w:pPr>
    </w:p>
    <w:p w14:paraId="69044070" w14:textId="6C966B47" w:rsidR="00DA4833" w:rsidRPr="003C7E62" w:rsidRDefault="00DA4833" w:rsidP="00CF07B9">
      <w:pPr>
        <w:pStyle w:val="Heading1"/>
      </w:pPr>
      <w:bookmarkStart w:id="27" w:name="_Toc145511549"/>
      <w:r w:rsidRPr="003C7E62">
        <w:lastRenderedPageBreak/>
        <w:t>Chapter 2</w:t>
      </w:r>
      <w:bookmarkEnd w:id="27"/>
      <w:r w:rsidRPr="003C7E62">
        <w:t xml:space="preserve"> </w:t>
      </w:r>
    </w:p>
    <w:p w14:paraId="6328FB07" w14:textId="451484F7" w:rsidR="00DA4833" w:rsidRPr="007620D3" w:rsidRDefault="00162A7B" w:rsidP="007620D3">
      <w:pPr>
        <w:spacing w:before="240" w:after="60"/>
        <w:outlineLvl w:val="0"/>
        <w:rPr>
          <w:rFonts w:cs="Arial"/>
          <w:b/>
          <w:bCs/>
          <w:color w:val="auto"/>
          <w:kern w:val="32"/>
          <w:sz w:val="36"/>
          <w:szCs w:val="36"/>
          <w:lang w:eastAsia="en-US"/>
        </w:rPr>
      </w:pPr>
      <w:bookmarkStart w:id="28" w:name="_Toc145511550"/>
      <w:r w:rsidRPr="007620D3">
        <w:rPr>
          <w:rFonts w:cs="Arial"/>
          <w:b/>
          <w:bCs/>
          <w:color w:val="auto"/>
          <w:kern w:val="32"/>
          <w:sz w:val="36"/>
          <w:szCs w:val="36"/>
          <w:lang w:eastAsia="en-US"/>
        </w:rPr>
        <w:t xml:space="preserve">Shaping the future of Ashfield, what we want to achieve (Vision and </w:t>
      </w:r>
      <w:r w:rsidR="00E6288C">
        <w:rPr>
          <w:rFonts w:cs="Arial"/>
          <w:b/>
          <w:bCs/>
          <w:color w:val="auto"/>
          <w:kern w:val="32"/>
          <w:sz w:val="36"/>
          <w:szCs w:val="36"/>
          <w:lang w:eastAsia="en-US"/>
        </w:rPr>
        <w:t>O</w:t>
      </w:r>
      <w:r w:rsidRPr="007620D3">
        <w:rPr>
          <w:rFonts w:cs="Arial"/>
          <w:b/>
          <w:bCs/>
          <w:color w:val="auto"/>
          <w:kern w:val="32"/>
          <w:sz w:val="36"/>
          <w:szCs w:val="36"/>
          <w:lang w:eastAsia="en-US"/>
        </w:rPr>
        <w:t>bjectives)</w:t>
      </w:r>
      <w:bookmarkEnd w:id="28"/>
    </w:p>
    <w:p w14:paraId="558137DC" w14:textId="58ADFBDF" w:rsidR="00865571" w:rsidRPr="003C7E62" w:rsidRDefault="00865571" w:rsidP="00606546">
      <w:pPr>
        <w:spacing w:before="0"/>
        <w:rPr>
          <w:rFonts w:cs="Arial"/>
          <w:szCs w:val="24"/>
        </w:rPr>
      </w:pPr>
    </w:p>
    <w:p w14:paraId="1F906F7D" w14:textId="601A0A18" w:rsidR="00865571" w:rsidRPr="003C7E62" w:rsidRDefault="00865571" w:rsidP="00162A7B">
      <w:pPr>
        <w:keepNext w:val="0"/>
        <w:numPr>
          <w:ilvl w:val="1"/>
          <w:numId w:val="1"/>
        </w:numPr>
        <w:tabs>
          <w:tab w:val="clear" w:pos="525"/>
        </w:tabs>
        <w:spacing w:before="0"/>
        <w:ind w:left="709" w:hanging="709"/>
        <w:rPr>
          <w:rFonts w:cs="Arial"/>
          <w:color w:val="auto"/>
          <w:szCs w:val="24"/>
          <w:lang w:val="en-US" w:eastAsia="en-US"/>
        </w:rPr>
      </w:pPr>
      <w:r w:rsidRPr="003C7E62">
        <w:rPr>
          <w:rFonts w:cs="Arial"/>
          <w:color w:val="auto"/>
          <w:szCs w:val="24"/>
          <w:lang w:val="en-US" w:eastAsia="en-US"/>
        </w:rPr>
        <w:t>This chapter sets out a vision for Ashfield to 20</w:t>
      </w:r>
      <w:r w:rsidR="00D333EC" w:rsidRPr="00E6288C">
        <w:rPr>
          <w:rFonts w:cs="Arial"/>
          <w:szCs w:val="24"/>
          <w:lang w:val="en-US" w:eastAsia="en-US"/>
        </w:rPr>
        <w:t>40</w:t>
      </w:r>
      <w:r w:rsidRPr="003C7E62">
        <w:rPr>
          <w:rFonts w:cs="Arial"/>
          <w:color w:val="auto"/>
          <w:szCs w:val="24"/>
          <w:lang w:val="en-US" w:eastAsia="en-US"/>
        </w:rPr>
        <w:t xml:space="preserve"> and </w:t>
      </w:r>
      <w:proofErr w:type="gramStart"/>
      <w:r w:rsidRPr="003C7E62">
        <w:rPr>
          <w:rFonts w:cs="Arial"/>
          <w:color w:val="auto"/>
          <w:szCs w:val="24"/>
          <w:lang w:val="en-US" w:eastAsia="en-US"/>
        </w:rPr>
        <w:t>a number of</w:t>
      </w:r>
      <w:proofErr w:type="gramEnd"/>
      <w:r w:rsidRPr="003C7E62">
        <w:rPr>
          <w:rFonts w:cs="Arial"/>
          <w:color w:val="auto"/>
          <w:szCs w:val="24"/>
          <w:lang w:val="en-US" w:eastAsia="en-US"/>
        </w:rPr>
        <w:t xml:space="preserve"> strategic objectives to </w:t>
      </w:r>
      <w:r w:rsidR="0004665C" w:rsidRPr="003C7E62">
        <w:rPr>
          <w:rFonts w:cs="Arial"/>
          <w:color w:val="auto"/>
          <w:szCs w:val="24"/>
          <w:lang w:val="en-US" w:eastAsia="en-US"/>
        </w:rPr>
        <w:t xml:space="preserve">help deliver the identified </w:t>
      </w:r>
      <w:r w:rsidRPr="003C7E62">
        <w:rPr>
          <w:rFonts w:cs="Arial"/>
          <w:color w:val="auto"/>
          <w:szCs w:val="24"/>
          <w:lang w:val="en-US" w:eastAsia="en-US"/>
        </w:rPr>
        <w:t>vision.</w:t>
      </w:r>
    </w:p>
    <w:p w14:paraId="0EE8D897" w14:textId="15C9D0C1" w:rsidR="00865571" w:rsidRPr="003C7E62" w:rsidRDefault="00865571" w:rsidP="00606546">
      <w:pPr>
        <w:keepNext w:val="0"/>
        <w:spacing w:before="0"/>
        <w:rPr>
          <w:rFonts w:cs="Arial"/>
          <w:color w:val="auto"/>
          <w:szCs w:val="24"/>
          <w:lang w:val="en-US" w:eastAsia="en-US"/>
        </w:rPr>
      </w:pPr>
    </w:p>
    <w:p w14:paraId="3E7CD9BB" w14:textId="1FBD31C1" w:rsidR="00B81AB8" w:rsidRPr="003C7E62" w:rsidRDefault="00B81AB8" w:rsidP="00CC6BDF">
      <w:pPr>
        <w:keepNext w:val="0"/>
        <w:spacing w:before="0"/>
        <w:ind w:left="709"/>
        <w:rPr>
          <w:rFonts w:cs="Arial"/>
          <w:b/>
          <w:bCs/>
          <w:i/>
          <w:iCs/>
          <w:color w:val="auto"/>
          <w:szCs w:val="24"/>
          <w:lang w:val="en-US" w:eastAsia="en-US"/>
        </w:rPr>
      </w:pPr>
      <w:r w:rsidRPr="003C7E62">
        <w:rPr>
          <w:rFonts w:cs="Arial"/>
          <w:b/>
          <w:bCs/>
          <w:i/>
          <w:iCs/>
          <w:color w:val="auto"/>
          <w:szCs w:val="24"/>
          <w:lang w:val="en-US" w:eastAsia="en-US"/>
        </w:rPr>
        <w:t>A Vision for Ashfield</w:t>
      </w:r>
    </w:p>
    <w:p w14:paraId="1493CD3F" w14:textId="6BA3BADB" w:rsidR="00B81AB8" w:rsidRPr="003C7E62" w:rsidRDefault="00B81AB8" w:rsidP="00606546">
      <w:pPr>
        <w:keepNext w:val="0"/>
        <w:spacing w:before="0"/>
        <w:rPr>
          <w:rFonts w:cs="Arial"/>
          <w:b/>
          <w:bCs/>
          <w:i/>
          <w:iCs/>
          <w:color w:val="auto"/>
          <w:szCs w:val="24"/>
          <w:lang w:val="en-US" w:eastAsia="en-US"/>
        </w:rPr>
      </w:pPr>
    </w:p>
    <w:p w14:paraId="77427B4E" w14:textId="7E0F7139" w:rsidR="00B81AB8" w:rsidRDefault="00B81AB8" w:rsidP="00874A98">
      <w:pPr>
        <w:pStyle w:val="ListParagraph"/>
        <w:numPr>
          <w:ilvl w:val="1"/>
          <w:numId w:val="90"/>
        </w:numPr>
        <w:spacing w:after="0" w:line="240" w:lineRule="auto"/>
        <w:ind w:left="709" w:hanging="709"/>
        <w:jc w:val="both"/>
        <w:rPr>
          <w:rFonts w:ascii="Arial" w:hAnsi="Arial" w:cs="Arial"/>
          <w:color w:val="auto"/>
          <w:szCs w:val="24"/>
          <w:lang w:val="en-US"/>
        </w:rPr>
      </w:pPr>
      <w:bookmarkStart w:id="29" w:name="_Toc500408726"/>
      <w:r w:rsidRPr="003C7E62">
        <w:rPr>
          <w:rFonts w:ascii="Arial" w:hAnsi="Arial" w:cs="Arial"/>
          <w:color w:val="auto"/>
          <w:szCs w:val="24"/>
          <w:lang w:val="en-US"/>
        </w:rPr>
        <w:t xml:space="preserve">The Vision and set of accompanying strategic objectives will guide future development across the </w:t>
      </w:r>
      <w:proofErr w:type="gramStart"/>
      <w:r w:rsidRPr="003C7E62">
        <w:rPr>
          <w:rFonts w:ascii="Arial" w:hAnsi="Arial" w:cs="Arial"/>
          <w:color w:val="auto"/>
          <w:szCs w:val="24"/>
          <w:lang w:val="en-US"/>
        </w:rPr>
        <w:t>District</w:t>
      </w:r>
      <w:proofErr w:type="gramEnd"/>
      <w:r w:rsidRPr="003C7E62">
        <w:rPr>
          <w:rFonts w:ascii="Arial" w:hAnsi="Arial" w:cs="Arial"/>
          <w:color w:val="auto"/>
          <w:szCs w:val="24"/>
          <w:lang w:val="en-US"/>
        </w:rPr>
        <w:t xml:space="preserve">, benefiting existing and new communities.  The policies and proposals identified in </w:t>
      </w:r>
      <w:r w:rsidRPr="00CC6BDF">
        <w:rPr>
          <w:rFonts w:ascii="Arial" w:hAnsi="Arial" w:cs="Arial"/>
          <w:color w:val="auto"/>
          <w:szCs w:val="24"/>
          <w:lang w:val="en-US"/>
        </w:rPr>
        <w:t>the P</w:t>
      </w:r>
      <w:r w:rsidRPr="003C7E62">
        <w:rPr>
          <w:rFonts w:ascii="Arial" w:hAnsi="Arial" w:cs="Arial"/>
          <w:color w:val="auto"/>
          <w:szCs w:val="24"/>
          <w:lang w:val="en-US"/>
        </w:rPr>
        <w:t>lan flow from the vision and the strategic objectives.</w:t>
      </w:r>
    </w:p>
    <w:p w14:paraId="31779763" w14:textId="77777777" w:rsidR="00CC6BDF" w:rsidRPr="003C7E62" w:rsidRDefault="00CC6BDF" w:rsidP="00CC6BDF">
      <w:pPr>
        <w:pStyle w:val="ListParagraph"/>
        <w:spacing w:after="0" w:line="240" w:lineRule="auto"/>
        <w:ind w:left="709"/>
        <w:jc w:val="both"/>
        <w:rPr>
          <w:rFonts w:ascii="Arial" w:hAnsi="Arial" w:cs="Arial"/>
          <w:color w:val="auto"/>
          <w:szCs w:val="24"/>
          <w:lang w:val="en-US"/>
        </w:rPr>
      </w:pPr>
    </w:p>
    <w:p w14:paraId="3AC5A8AD" w14:textId="5C155D9E" w:rsidR="00B81AB8" w:rsidRDefault="00654B53" w:rsidP="00EC2E31">
      <w:pPr>
        <w:keepNext w:val="0"/>
        <w:spacing w:before="0"/>
        <w:ind w:left="709"/>
        <w:rPr>
          <w:rFonts w:eastAsia="Arial" w:cs="Arial"/>
          <w:color w:val="auto"/>
        </w:rPr>
      </w:pPr>
      <w:r w:rsidRPr="003C7E62">
        <w:rPr>
          <w:rFonts w:eastAsia="Calibri" w:cs="Arial"/>
          <w:noProof/>
          <w:color w:val="auto"/>
        </w:rPr>
        <mc:AlternateContent>
          <mc:Choice Requires="wps">
            <w:drawing>
              <wp:inline distT="0" distB="0" distL="0" distR="0" wp14:anchorId="27495341" wp14:editId="5023AD12">
                <wp:extent cx="5560213" cy="4988603"/>
                <wp:effectExtent l="19050" t="19050" r="21590" b="21590"/>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0213" cy="4988603"/>
                        </a:xfrm>
                        <a:prstGeom prst="rect">
                          <a:avLst/>
                        </a:prstGeom>
                        <a:solidFill>
                          <a:srgbClr val="E2EFD9"/>
                        </a:solidFill>
                        <a:ln w="38100">
                          <a:solidFill>
                            <a:srgbClr val="538135"/>
                          </a:solidFill>
                          <a:miter lim="800000"/>
                          <a:headEnd/>
                          <a:tailEnd/>
                        </a:ln>
                      </wps:spPr>
                      <wps:txbx id="1">
                        <w:txbxContent>
                          <w:p w14:paraId="3F0E4754" w14:textId="77777777" w:rsidR="00054236" w:rsidRDefault="00054236" w:rsidP="00EC2E31">
                            <w:pPr>
                              <w:spacing w:before="0"/>
                              <w:ind w:right="-334"/>
                              <w:rPr>
                                <w:rFonts w:eastAsia="Calibri"/>
                                <w:b/>
                                <w:color w:val="auto"/>
                                <w:szCs w:val="24"/>
                              </w:rPr>
                            </w:pPr>
                          </w:p>
                          <w:p w14:paraId="314FD9D2" w14:textId="2AF9751B" w:rsidR="00054236" w:rsidRPr="005D3347" w:rsidRDefault="00054236" w:rsidP="005D3347">
                            <w:pPr>
                              <w:spacing w:before="0"/>
                              <w:ind w:right="96"/>
                              <w:jc w:val="center"/>
                              <w:rPr>
                                <w:rFonts w:eastAsia="Calibri"/>
                                <w:b/>
                                <w:color w:val="auto"/>
                                <w:sz w:val="32"/>
                                <w:szCs w:val="32"/>
                              </w:rPr>
                            </w:pPr>
                            <w:r w:rsidRPr="005D3347">
                              <w:rPr>
                                <w:rFonts w:eastAsia="Calibri"/>
                                <w:b/>
                                <w:color w:val="auto"/>
                                <w:sz w:val="32"/>
                                <w:szCs w:val="32"/>
                              </w:rPr>
                              <w:t>Vision: ‘Ashfield, a place to be proud of’’</w:t>
                            </w:r>
                          </w:p>
                          <w:p w14:paraId="0178B598" w14:textId="77777777" w:rsidR="003514D5" w:rsidRPr="002A20BE" w:rsidRDefault="003514D5" w:rsidP="003514D5">
                            <w:pPr>
                              <w:spacing w:before="0"/>
                              <w:ind w:right="96"/>
                              <w:rPr>
                                <w:rFonts w:eastAsia="Calibri" w:cs="Arial"/>
                                <w:color w:val="auto"/>
                                <w:szCs w:val="24"/>
                                <w:lang w:eastAsia="en-US"/>
                              </w:rPr>
                            </w:pPr>
                          </w:p>
                          <w:p w14:paraId="4C854F0B" w14:textId="2480EFB5" w:rsidR="003514D5" w:rsidRPr="003514D5" w:rsidRDefault="003514D5" w:rsidP="003514D5">
                            <w:pPr>
                              <w:spacing w:before="0"/>
                              <w:ind w:right="96"/>
                              <w:rPr>
                                <w:rFonts w:eastAsia="Calibri" w:cs="Arial"/>
                                <w:color w:val="auto"/>
                                <w:szCs w:val="24"/>
                                <w:lang w:eastAsia="en-US"/>
                              </w:rPr>
                            </w:pPr>
                            <w:r w:rsidRPr="003514D5">
                              <w:rPr>
                                <w:rFonts w:eastAsia="Calibri" w:cs="Arial"/>
                                <w:color w:val="auto"/>
                                <w:szCs w:val="24"/>
                                <w:lang w:eastAsia="en-US"/>
                              </w:rPr>
                              <w:t>Ashfield is a District where people of all ages are proud to live, study, work, visit and aspire to stay.</w:t>
                            </w:r>
                          </w:p>
                          <w:p w14:paraId="3136421F" w14:textId="77777777" w:rsidR="003514D5" w:rsidRPr="003514D5" w:rsidRDefault="003514D5" w:rsidP="003514D5">
                            <w:pPr>
                              <w:spacing w:before="0"/>
                              <w:ind w:right="95"/>
                              <w:rPr>
                                <w:rFonts w:eastAsia="Calibri" w:cs="Arial"/>
                                <w:color w:val="auto"/>
                                <w:szCs w:val="24"/>
                                <w:lang w:eastAsia="en-US"/>
                              </w:rPr>
                            </w:pPr>
                          </w:p>
                          <w:p w14:paraId="3892D5BC" w14:textId="5EA317F3" w:rsidR="00A1210E" w:rsidRDefault="003514D5" w:rsidP="003514D5">
                            <w:pPr>
                              <w:spacing w:before="0"/>
                              <w:ind w:right="95"/>
                              <w:rPr>
                                <w:rFonts w:eastAsia="Calibri" w:cs="Arial"/>
                                <w:color w:val="auto"/>
                                <w:szCs w:val="24"/>
                                <w:lang w:eastAsia="en-US"/>
                              </w:rPr>
                            </w:pPr>
                            <w:r w:rsidRPr="003514D5">
                              <w:rPr>
                                <w:rFonts w:eastAsia="Calibri" w:cs="Arial"/>
                                <w:color w:val="auto"/>
                                <w:szCs w:val="24"/>
                                <w:lang w:eastAsia="en-US"/>
                              </w:rPr>
                              <w:t>High quality design and place making will shape the delivery of new development, responding to the infrastructure requirements of new and existing local communities</w:t>
                            </w:r>
                            <w:r w:rsidR="00E6288C">
                              <w:rPr>
                                <w:rFonts w:eastAsia="Calibri" w:cs="Arial"/>
                                <w:color w:val="auto"/>
                                <w:szCs w:val="24"/>
                                <w:lang w:eastAsia="en-US"/>
                              </w:rPr>
                              <w:t>.</w:t>
                            </w:r>
                          </w:p>
                          <w:p w14:paraId="4BDDAD1B" w14:textId="77777777" w:rsidR="00A1210E" w:rsidRDefault="00A1210E" w:rsidP="003514D5">
                            <w:pPr>
                              <w:spacing w:before="0"/>
                              <w:ind w:right="95"/>
                              <w:rPr>
                                <w:rFonts w:eastAsia="Calibri" w:cs="Arial"/>
                                <w:color w:val="auto"/>
                                <w:szCs w:val="24"/>
                                <w:lang w:eastAsia="en-US"/>
                              </w:rPr>
                            </w:pPr>
                          </w:p>
                          <w:p w14:paraId="09937309" w14:textId="2F7F2AE9" w:rsidR="003514D5" w:rsidRPr="00E6288C" w:rsidRDefault="003514D5" w:rsidP="003514D5">
                            <w:pPr>
                              <w:spacing w:before="0"/>
                              <w:ind w:right="95"/>
                              <w:rPr>
                                <w:rFonts w:eastAsia="Calibri" w:cs="Arial"/>
                                <w:szCs w:val="24"/>
                                <w:lang w:eastAsia="en-US"/>
                              </w:rPr>
                            </w:pPr>
                            <w:r w:rsidRPr="003514D5">
                              <w:rPr>
                                <w:rFonts w:eastAsia="Calibri" w:cs="Arial"/>
                                <w:color w:val="auto"/>
                                <w:szCs w:val="24"/>
                                <w:lang w:eastAsia="en-US"/>
                              </w:rPr>
                              <w:t xml:space="preserve">New housing </w:t>
                            </w:r>
                            <w:r w:rsidR="00A1210E">
                              <w:rPr>
                                <w:rFonts w:eastAsia="Calibri" w:cs="Arial"/>
                                <w:color w:val="auto"/>
                                <w:szCs w:val="24"/>
                                <w:lang w:eastAsia="en-US"/>
                              </w:rPr>
                              <w:t>will be</w:t>
                            </w:r>
                            <w:r w:rsidRPr="003514D5">
                              <w:rPr>
                                <w:rFonts w:eastAsia="Calibri" w:cs="Arial"/>
                                <w:color w:val="auto"/>
                                <w:szCs w:val="24"/>
                                <w:lang w:eastAsia="en-US"/>
                              </w:rPr>
                              <w:t xml:space="preserve"> responsive to local needs, enhancing the built environment and reflecting the distinctive characteristics of Ashfield’s towns and villages. The lifestyle of the community will be enhanced by accessible health, leisure, and education opportunities</w:t>
                            </w:r>
                            <w:r w:rsidRPr="00E6288C">
                              <w:rPr>
                                <w:rFonts w:eastAsia="Calibri" w:cs="Arial"/>
                                <w:szCs w:val="24"/>
                                <w:lang w:eastAsia="en-US"/>
                              </w:rPr>
                              <w:t>, which will reduce health and income inequality in the district.</w:t>
                            </w:r>
                          </w:p>
                          <w:p w14:paraId="78B0D697" w14:textId="77777777" w:rsidR="003514D5" w:rsidRPr="00E6288C" w:rsidRDefault="003514D5" w:rsidP="003514D5">
                            <w:pPr>
                              <w:spacing w:before="0"/>
                              <w:ind w:right="95"/>
                              <w:rPr>
                                <w:rFonts w:eastAsia="Calibri" w:cs="Arial"/>
                                <w:szCs w:val="24"/>
                                <w:lang w:eastAsia="en-US"/>
                              </w:rPr>
                            </w:pPr>
                          </w:p>
                          <w:p w14:paraId="33255325" w14:textId="77777777" w:rsidR="003514D5" w:rsidRPr="00E6288C" w:rsidRDefault="003514D5" w:rsidP="003514D5">
                            <w:pPr>
                              <w:keepNext w:val="0"/>
                              <w:spacing w:before="0"/>
                              <w:rPr>
                                <w:rFonts w:eastAsia="Calibri" w:cs="Arial"/>
                                <w:szCs w:val="24"/>
                                <w:lang w:eastAsia="en-US"/>
                              </w:rPr>
                            </w:pPr>
                            <w:r w:rsidRPr="00E6288C">
                              <w:rPr>
                                <w:rFonts w:eastAsia="Calibri" w:cs="Arial"/>
                                <w:szCs w:val="24"/>
                                <w:lang w:eastAsia="en-US"/>
                              </w:rPr>
                              <w:t xml:space="preserve">Working in Partnership with other organisations and residents, Ashfield will have taken major steps towards becoming net- zero carbon by 2050. The design and layout of development will reflect the change to drier and hotter summers, including the utilisations of green roofs and green space with extensive tree planting. Green space will be utilised to minimising the increased risk of flooding from all sources. New houses and employment units will be energy efficient, utilising solar and other forms of low carbon energy, reflecting electricity generated from a low carbon grid, combined heat and power plants and local heat sources such as mine water. To minimise the impact of periods of drought, development will be designed to use water efficiently, which facilitate ecosystems with less water being taken out of rivers and aquifers. Vehicles will be substantially powered by electricity resulting in significant local air quality benefits. The emphasis on green infrastructure will facilitate cycling and walking to access local facilities and services, achieving a shift in travel behaviour reducing energy usage and improving the health of residents. </w:t>
                            </w:r>
                          </w:p>
                          <w:p w14:paraId="39F388AF" w14:textId="77777777" w:rsidR="003514D5" w:rsidRPr="00E6288C" w:rsidRDefault="003514D5" w:rsidP="003514D5">
                            <w:pPr>
                              <w:spacing w:before="0"/>
                              <w:ind w:right="95"/>
                              <w:rPr>
                                <w:rFonts w:eastAsia="Calibri" w:cs="Arial"/>
                                <w:szCs w:val="24"/>
                                <w:lang w:eastAsia="en-US"/>
                              </w:rPr>
                            </w:pPr>
                          </w:p>
                          <w:p w14:paraId="4ECF7E09" w14:textId="77777777" w:rsidR="003514D5" w:rsidRPr="00E6288C" w:rsidRDefault="003514D5" w:rsidP="003514D5">
                            <w:pPr>
                              <w:spacing w:before="0"/>
                              <w:ind w:right="95"/>
                              <w:rPr>
                                <w:rFonts w:eastAsia="Calibri" w:cs="Arial"/>
                                <w:szCs w:val="24"/>
                                <w:lang w:eastAsia="en-US"/>
                              </w:rPr>
                            </w:pPr>
                            <w:r w:rsidRPr="00E6288C">
                              <w:rPr>
                                <w:rFonts w:eastAsia="Calibri" w:cs="Arial"/>
                                <w:szCs w:val="24"/>
                                <w:lang w:eastAsia="en-US"/>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utilisation of the highway network for all users.</w:t>
                            </w:r>
                          </w:p>
                          <w:p w14:paraId="7E91EA1E" w14:textId="77777777" w:rsidR="002A20BE" w:rsidRPr="00E6288C" w:rsidRDefault="002A20BE" w:rsidP="003514D5">
                            <w:pPr>
                              <w:spacing w:before="0"/>
                              <w:ind w:right="95"/>
                              <w:rPr>
                                <w:rFonts w:eastAsia="Calibri" w:cs="Arial"/>
                                <w:szCs w:val="24"/>
                                <w:lang w:eastAsia="en-US"/>
                              </w:rPr>
                            </w:pPr>
                          </w:p>
                          <w:p w14:paraId="1E902F47" w14:textId="19D71601" w:rsidR="003514D5" w:rsidRPr="00E6288C" w:rsidRDefault="00723B23" w:rsidP="003514D5">
                            <w:pPr>
                              <w:spacing w:before="0"/>
                              <w:ind w:right="95"/>
                              <w:rPr>
                                <w:rFonts w:eastAsia="Calibri" w:cs="Arial"/>
                                <w:szCs w:val="24"/>
                                <w:lang w:eastAsia="en-US"/>
                              </w:rPr>
                            </w:pPr>
                            <w:r>
                              <w:rPr>
                                <w:color w:val="000000"/>
                              </w:rPr>
                              <w:t xml:space="preserve">Sutton in Ashfield, </w:t>
                            </w:r>
                            <w:r w:rsidRPr="00723B23">
                              <w:rPr>
                                <w:color w:val="auto"/>
                              </w:rPr>
                              <w:t xml:space="preserve">Kirkby-in-Ashfield and Hucknall </w:t>
                            </w:r>
                            <w:r w:rsidR="003514D5" w:rsidRPr="00E6288C">
                              <w:rPr>
                                <w:rFonts w:eastAsia="Calibri" w:cs="Arial"/>
                                <w:szCs w:val="24"/>
                                <w:lang w:eastAsia="en-US"/>
                              </w:rPr>
                              <w:t xml:space="preserve">will have thriving, vibrant town centres, offering local products from local sources.  They will provide a mix of retail, cultural, </w:t>
                            </w:r>
                            <w:r w:rsidR="00EA7AE9" w:rsidRPr="00E6288C">
                              <w:rPr>
                                <w:rFonts w:eastAsia="Calibri" w:cs="Arial"/>
                                <w:szCs w:val="24"/>
                                <w:lang w:eastAsia="en-US"/>
                              </w:rPr>
                              <w:t>employment</w:t>
                            </w:r>
                            <w:r w:rsidR="003514D5" w:rsidRPr="00E6288C">
                              <w:rPr>
                                <w:rFonts w:eastAsia="Calibri" w:cs="Arial"/>
                                <w:szCs w:val="24"/>
                                <w:lang w:eastAsia="en-US"/>
                              </w:rPr>
                              <w:t xml:space="preserve"> and local services, being places where people want to visit and live.</w:t>
                            </w:r>
                          </w:p>
                          <w:p w14:paraId="1C726BC5" w14:textId="77777777" w:rsidR="003514D5" w:rsidRPr="00E6288C" w:rsidRDefault="003514D5" w:rsidP="003514D5">
                            <w:pPr>
                              <w:spacing w:before="0"/>
                              <w:rPr>
                                <w:rFonts w:eastAsia="Calibri" w:cs="Arial"/>
                                <w:sz w:val="20"/>
                                <w:lang w:eastAsia="en-US"/>
                              </w:rPr>
                            </w:pPr>
                          </w:p>
                          <w:p w14:paraId="6C9D2826" w14:textId="136AAE30" w:rsidR="003514D5" w:rsidRPr="00E6288C" w:rsidRDefault="003514D5" w:rsidP="003514D5">
                            <w:pPr>
                              <w:spacing w:before="0"/>
                              <w:ind w:right="95"/>
                              <w:rPr>
                                <w:rFonts w:eastAsia="Calibri" w:cs="Arial"/>
                                <w:szCs w:val="24"/>
                                <w:lang w:eastAsia="en-US"/>
                              </w:rPr>
                            </w:pPr>
                            <w:r w:rsidRPr="00E6288C">
                              <w:rPr>
                                <w:rFonts w:eastAsia="Calibri" w:cs="Arial"/>
                                <w:szCs w:val="24"/>
                                <w:lang w:eastAsia="en-US"/>
                              </w:rPr>
                              <w:t>The District’s rich heritage, scenic countryside and biodiversity are valued resources which will be protected and enhanced for residents to discover and provid</w:t>
                            </w:r>
                            <w:r w:rsidR="00A1210E" w:rsidRPr="00E6288C">
                              <w:rPr>
                                <w:rFonts w:eastAsia="Calibri" w:cs="Arial"/>
                                <w:szCs w:val="24"/>
                                <w:lang w:eastAsia="en-US"/>
                              </w:rPr>
                              <w:t xml:space="preserve">e </w:t>
                            </w:r>
                            <w:r w:rsidRPr="00E6288C">
                              <w:rPr>
                                <w:rFonts w:eastAsia="Calibri" w:cs="Arial"/>
                                <w:szCs w:val="24"/>
                                <w:lang w:eastAsia="en-US"/>
                              </w:rPr>
                              <w:t>opportunities for tourism and recreation.</w:t>
                            </w:r>
                          </w:p>
                          <w:p w14:paraId="5F6428DA" w14:textId="77777777" w:rsidR="00054236" w:rsidRPr="009C5FB2" w:rsidRDefault="00054236" w:rsidP="00622E46">
                            <w:pPr>
                              <w:spacing w:before="0"/>
                              <w:ind w:right="96"/>
                              <w:rPr>
                                <w:rFonts w:eastAsia="Calibri"/>
                                <w:color w:val="auto"/>
                                <w:szCs w:val="24"/>
                              </w:rPr>
                            </w:pPr>
                          </w:p>
                        </w:txbxContent>
                      </wps:txbx>
                      <wps:bodyPr rot="0" vert="horz" wrap="square" lIns="91440" tIns="45720" rIns="91440" bIns="45720" anchor="t" anchorCtr="0" upright="1">
                        <a:noAutofit/>
                      </wps:bodyPr>
                    </wps:wsp>
                  </a:graphicData>
                </a:graphic>
              </wp:inline>
            </w:drawing>
          </mc:Choice>
          <mc:Fallback>
            <w:pict>
              <v:shapetype w14:anchorId="27495341" id="_x0000_t202" coordsize="21600,21600" o:spt="202" path="m,l,21600r21600,l21600,xe">
                <v:stroke joinstyle="miter"/>
                <v:path gradientshapeok="t" o:connecttype="rect"/>
              </v:shapetype>
              <v:shape id="Text Box 5" o:spid="_x0000_s1026" type="#_x0000_t202" style="width:437.8pt;height:39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" fillcolor="#e2efd9" strokecolor="#538135" strokeweight="3pt">
                <v:textbox style="mso-next-textbox:#_x0000_s1027">
                  <w:txbxContent>
                    <w:p w14:paraId="3F0E4754" w14:textId="77777777" w:rsidR="00054236" w:rsidRDefault="00054236" w:rsidP="00EC2E31">
                      <w:pPr>
                        <w:spacing w:before="0"/>
                        <w:ind w:right="-334"/>
                        <w:rPr>
                          <w:rFonts w:eastAsia="Calibri"/>
                          <w:b/>
                          <w:color w:val="auto"/>
                          <w:szCs w:val="24"/>
                        </w:rPr>
                      </w:pPr>
                    </w:p>
                    <w:p w14:paraId="314FD9D2" w14:textId="2AF9751B" w:rsidR="00054236" w:rsidRPr="005D3347" w:rsidRDefault="00054236" w:rsidP="005D3347">
                      <w:pPr>
                        <w:spacing w:before="0"/>
                        <w:ind w:right="96"/>
                        <w:jc w:val="center"/>
                        <w:rPr>
                          <w:rFonts w:eastAsia="Calibri"/>
                          <w:b/>
                          <w:color w:val="auto"/>
                          <w:sz w:val="32"/>
                          <w:szCs w:val="32"/>
                        </w:rPr>
                      </w:pPr>
                      <w:r w:rsidRPr="005D3347">
                        <w:rPr>
                          <w:rFonts w:eastAsia="Calibri"/>
                          <w:b/>
                          <w:color w:val="auto"/>
                          <w:sz w:val="32"/>
                          <w:szCs w:val="32"/>
                        </w:rPr>
                        <w:t>Vision: ‘Ashfield, a place to be proud of’’</w:t>
                      </w:r>
                    </w:p>
                    <w:p w14:paraId="0178B598" w14:textId="77777777" w:rsidR="003514D5" w:rsidRPr="002A20BE" w:rsidRDefault="003514D5" w:rsidP="003514D5">
                      <w:pPr>
                        <w:spacing w:before="0"/>
                        <w:ind w:right="96"/>
                        <w:rPr>
                          <w:rFonts w:eastAsia="Calibri" w:cs="Arial"/>
                          <w:color w:val="auto"/>
                          <w:szCs w:val="24"/>
                          <w:lang w:eastAsia="en-US"/>
                        </w:rPr>
                      </w:pPr>
                    </w:p>
                    <w:p w14:paraId="4C854F0B" w14:textId="2480EFB5" w:rsidR="003514D5" w:rsidRPr="003514D5" w:rsidRDefault="003514D5" w:rsidP="003514D5">
                      <w:pPr>
                        <w:spacing w:before="0"/>
                        <w:ind w:right="96"/>
                        <w:rPr>
                          <w:rFonts w:eastAsia="Calibri" w:cs="Arial"/>
                          <w:color w:val="auto"/>
                          <w:szCs w:val="24"/>
                          <w:lang w:eastAsia="en-US"/>
                        </w:rPr>
                      </w:pPr>
                      <w:r w:rsidRPr="003514D5">
                        <w:rPr>
                          <w:rFonts w:eastAsia="Calibri" w:cs="Arial"/>
                          <w:color w:val="auto"/>
                          <w:szCs w:val="24"/>
                          <w:lang w:eastAsia="en-US"/>
                        </w:rPr>
                        <w:t>Ashfield is a District where people of all ages are proud to live, study, work, visit and aspire to stay.</w:t>
                      </w:r>
                    </w:p>
                    <w:p w14:paraId="3136421F" w14:textId="77777777" w:rsidR="003514D5" w:rsidRPr="003514D5" w:rsidRDefault="003514D5" w:rsidP="003514D5">
                      <w:pPr>
                        <w:spacing w:before="0"/>
                        <w:ind w:right="95"/>
                        <w:rPr>
                          <w:rFonts w:eastAsia="Calibri" w:cs="Arial"/>
                          <w:color w:val="auto"/>
                          <w:szCs w:val="24"/>
                          <w:lang w:eastAsia="en-US"/>
                        </w:rPr>
                      </w:pPr>
                    </w:p>
                    <w:p w14:paraId="3892D5BC" w14:textId="5EA317F3" w:rsidR="00A1210E" w:rsidRDefault="003514D5" w:rsidP="003514D5">
                      <w:pPr>
                        <w:spacing w:before="0"/>
                        <w:ind w:right="95"/>
                        <w:rPr>
                          <w:rFonts w:eastAsia="Calibri" w:cs="Arial"/>
                          <w:color w:val="auto"/>
                          <w:szCs w:val="24"/>
                          <w:lang w:eastAsia="en-US"/>
                        </w:rPr>
                      </w:pPr>
                      <w:r w:rsidRPr="003514D5">
                        <w:rPr>
                          <w:rFonts w:eastAsia="Calibri" w:cs="Arial"/>
                          <w:color w:val="auto"/>
                          <w:szCs w:val="24"/>
                          <w:lang w:eastAsia="en-US"/>
                        </w:rPr>
                        <w:t>High quality design and place making will shape the delivery of new development, responding to the infrastructure requirements of new and existing local communities</w:t>
                      </w:r>
                      <w:r w:rsidR="00E6288C">
                        <w:rPr>
                          <w:rFonts w:eastAsia="Calibri" w:cs="Arial"/>
                          <w:color w:val="auto"/>
                          <w:szCs w:val="24"/>
                          <w:lang w:eastAsia="en-US"/>
                        </w:rPr>
                        <w:t>.</w:t>
                      </w:r>
                    </w:p>
                    <w:p w14:paraId="4BDDAD1B" w14:textId="77777777" w:rsidR="00A1210E" w:rsidRDefault="00A1210E" w:rsidP="003514D5">
                      <w:pPr>
                        <w:spacing w:before="0"/>
                        <w:ind w:right="95"/>
                        <w:rPr>
                          <w:rFonts w:eastAsia="Calibri" w:cs="Arial"/>
                          <w:color w:val="auto"/>
                          <w:szCs w:val="24"/>
                          <w:lang w:eastAsia="en-US"/>
                        </w:rPr>
                      </w:pPr>
                    </w:p>
                    <w:p w14:paraId="09937309" w14:textId="2F7F2AE9" w:rsidR="003514D5" w:rsidRPr="00E6288C" w:rsidRDefault="003514D5" w:rsidP="003514D5">
                      <w:pPr>
                        <w:spacing w:before="0"/>
                        <w:ind w:right="95"/>
                        <w:rPr>
                          <w:rFonts w:eastAsia="Calibri" w:cs="Arial"/>
                          <w:szCs w:val="24"/>
                          <w:lang w:eastAsia="en-US"/>
                        </w:rPr>
                      </w:pPr>
                      <w:r w:rsidRPr="003514D5">
                        <w:rPr>
                          <w:rFonts w:eastAsia="Calibri" w:cs="Arial"/>
                          <w:color w:val="auto"/>
                          <w:szCs w:val="24"/>
                          <w:lang w:eastAsia="en-US"/>
                        </w:rPr>
                        <w:t xml:space="preserve">New housing </w:t>
                      </w:r>
                      <w:r w:rsidR="00A1210E">
                        <w:rPr>
                          <w:rFonts w:eastAsia="Calibri" w:cs="Arial"/>
                          <w:color w:val="auto"/>
                          <w:szCs w:val="24"/>
                          <w:lang w:eastAsia="en-US"/>
                        </w:rPr>
                        <w:t>will be</w:t>
                      </w:r>
                      <w:r w:rsidRPr="003514D5">
                        <w:rPr>
                          <w:rFonts w:eastAsia="Calibri" w:cs="Arial"/>
                          <w:color w:val="auto"/>
                          <w:szCs w:val="24"/>
                          <w:lang w:eastAsia="en-US"/>
                        </w:rPr>
                        <w:t xml:space="preserve"> responsive to local needs, enhancing the built environment and reflecting the distinctive characteristics of Ashfield’s towns and villages. The lifestyle of the community will be enhanced by accessible health, leisure, and education opportunities</w:t>
                      </w:r>
                      <w:r w:rsidRPr="00E6288C">
                        <w:rPr>
                          <w:rFonts w:eastAsia="Calibri" w:cs="Arial"/>
                          <w:szCs w:val="24"/>
                          <w:lang w:eastAsia="en-US"/>
                        </w:rPr>
                        <w:t>, which will reduce health and income inequality in the district.</w:t>
                      </w:r>
                    </w:p>
                    <w:p w14:paraId="78B0D697" w14:textId="77777777" w:rsidR="003514D5" w:rsidRPr="00E6288C" w:rsidRDefault="003514D5" w:rsidP="003514D5">
                      <w:pPr>
                        <w:spacing w:before="0"/>
                        <w:ind w:right="95"/>
                        <w:rPr>
                          <w:rFonts w:eastAsia="Calibri" w:cs="Arial"/>
                          <w:szCs w:val="24"/>
                          <w:lang w:eastAsia="en-US"/>
                        </w:rPr>
                      </w:pPr>
                    </w:p>
                    <w:p w14:paraId="33255325" w14:textId="77777777" w:rsidR="003514D5" w:rsidRPr="00E6288C" w:rsidRDefault="003514D5" w:rsidP="003514D5">
                      <w:pPr>
                        <w:keepNext w:val="0"/>
                        <w:spacing w:before="0"/>
                        <w:rPr>
                          <w:rFonts w:eastAsia="Calibri" w:cs="Arial"/>
                          <w:szCs w:val="24"/>
                          <w:lang w:eastAsia="en-US"/>
                        </w:rPr>
                      </w:pPr>
                      <w:r w:rsidRPr="00E6288C">
                        <w:rPr>
                          <w:rFonts w:eastAsia="Calibri" w:cs="Arial"/>
                          <w:szCs w:val="24"/>
                          <w:lang w:eastAsia="en-US"/>
                        </w:rPr>
                        <w:t xml:space="preserve">Working in Partnership with other organisations and residents, Ashfield will have taken major steps towards becoming net- zero carbon by 2050. The design and layout of development will reflect the change to drier and hotter summers, including the utilisations of green roofs and green space with extensive tree planting. Green space will be utilised to minimising the increased risk of flooding from all sources. New houses and employment units will be energy efficient, utilising solar and other forms of low carbon energy, reflecting electricity generated from a low carbon grid, combined heat and power plants and local heat sources such as mine water. To minimise the impact of periods of drought, development will be designed to use water efficiently, which facilitate ecosystems with less water being taken out of rivers and aquifers. Vehicles will be substantially powered by electricity resulting in significant local air quality benefits. The emphasis on green infrastructure will facilitate cycling and walking to access local facilities and services, achieving a shift in travel behaviour reducing energy usage and improving the health of residents. </w:t>
                      </w:r>
                    </w:p>
                    <w:p w14:paraId="39F388AF" w14:textId="77777777" w:rsidR="003514D5" w:rsidRPr="00E6288C" w:rsidRDefault="003514D5" w:rsidP="003514D5">
                      <w:pPr>
                        <w:spacing w:before="0"/>
                        <w:ind w:right="95"/>
                        <w:rPr>
                          <w:rFonts w:eastAsia="Calibri" w:cs="Arial"/>
                          <w:szCs w:val="24"/>
                          <w:lang w:eastAsia="en-US"/>
                        </w:rPr>
                      </w:pPr>
                    </w:p>
                    <w:p w14:paraId="4ECF7E09" w14:textId="77777777" w:rsidR="003514D5" w:rsidRPr="00E6288C" w:rsidRDefault="003514D5" w:rsidP="003514D5">
                      <w:pPr>
                        <w:spacing w:before="0"/>
                        <w:ind w:right="95"/>
                        <w:rPr>
                          <w:rFonts w:eastAsia="Calibri" w:cs="Arial"/>
                          <w:szCs w:val="24"/>
                          <w:lang w:eastAsia="en-US"/>
                        </w:rPr>
                      </w:pPr>
                      <w:r w:rsidRPr="00E6288C">
                        <w:rPr>
                          <w:rFonts w:eastAsia="Calibri" w:cs="Arial"/>
                          <w:szCs w:val="24"/>
                          <w:lang w:eastAsia="en-US"/>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utilisation of the highway network for all users.</w:t>
                      </w:r>
                    </w:p>
                    <w:p w14:paraId="7E91EA1E" w14:textId="77777777" w:rsidR="002A20BE" w:rsidRPr="00E6288C" w:rsidRDefault="002A20BE" w:rsidP="003514D5">
                      <w:pPr>
                        <w:spacing w:before="0"/>
                        <w:ind w:right="95"/>
                        <w:rPr>
                          <w:rFonts w:eastAsia="Calibri" w:cs="Arial"/>
                          <w:szCs w:val="24"/>
                          <w:lang w:eastAsia="en-US"/>
                        </w:rPr>
                      </w:pPr>
                    </w:p>
                    <w:p w14:paraId="1E902F47" w14:textId="19D71601" w:rsidR="003514D5" w:rsidRPr="00E6288C" w:rsidRDefault="00723B23" w:rsidP="003514D5">
                      <w:pPr>
                        <w:spacing w:before="0"/>
                        <w:ind w:right="95"/>
                        <w:rPr>
                          <w:rFonts w:eastAsia="Calibri" w:cs="Arial"/>
                          <w:szCs w:val="24"/>
                          <w:lang w:eastAsia="en-US"/>
                        </w:rPr>
                      </w:pPr>
                      <w:r>
                        <w:rPr>
                          <w:color w:val="000000"/>
                        </w:rPr>
                        <w:t xml:space="preserve">Sutton in Ashfield, </w:t>
                      </w:r>
                      <w:r w:rsidRPr="00723B23">
                        <w:rPr>
                          <w:color w:val="auto"/>
                        </w:rPr>
                        <w:t xml:space="preserve">Kirkby-in-Ashfield and Hucknall </w:t>
                      </w:r>
                      <w:r w:rsidR="003514D5" w:rsidRPr="00E6288C">
                        <w:rPr>
                          <w:rFonts w:eastAsia="Calibri" w:cs="Arial"/>
                          <w:szCs w:val="24"/>
                          <w:lang w:eastAsia="en-US"/>
                        </w:rPr>
                        <w:t xml:space="preserve">will have thriving, vibrant town centres, offering local products from local sources.  They will provide a mix of retail, cultural, </w:t>
                      </w:r>
                      <w:r w:rsidR="00EA7AE9" w:rsidRPr="00E6288C">
                        <w:rPr>
                          <w:rFonts w:eastAsia="Calibri" w:cs="Arial"/>
                          <w:szCs w:val="24"/>
                          <w:lang w:eastAsia="en-US"/>
                        </w:rPr>
                        <w:t>employment</w:t>
                      </w:r>
                      <w:r w:rsidR="003514D5" w:rsidRPr="00E6288C">
                        <w:rPr>
                          <w:rFonts w:eastAsia="Calibri" w:cs="Arial"/>
                          <w:szCs w:val="24"/>
                          <w:lang w:eastAsia="en-US"/>
                        </w:rPr>
                        <w:t xml:space="preserve"> and local services, being places where people want to visit and live.</w:t>
                      </w:r>
                    </w:p>
                    <w:p w14:paraId="1C726BC5" w14:textId="77777777" w:rsidR="003514D5" w:rsidRPr="00E6288C" w:rsidRDefault="003514D5" w:rsidP="003514D5">
                      <w:pPr>
                        <w:spacing w:before="0"/>
                        <w:rPr>
                          <w:rFonts w:eastAsia="Calibri" w:cs="Arial"/>
                          <w:sz w:val="20"/>
                          <w:lang w:eastAsia="en-US"/>
                        </w:rPr>
                      </w:pPr>
                    </w:p>
                    <w:p w14:paraId="6C9D2826" w14:textId="136AAE30" w:rsidR="003514D5" w:rsidRPr="00E6288C" w:rsidRDefault="003514D5" w:rsidP="003514D5">
                      <w:pPr>
                        <w:spacing w:before="0"/>
                        <w:ind w:right="95"/>
                        <w:rPr>
                          <w:rFonts w:eastAsia="Calibri" w:cs="Arial"/>
                          <w:szCs w:val="24"/>
                          <w:lang w:eastAsia="en-US"/>
                        </w:rPr>
                      </w:pPr>
                      <w:r w:rsidRPr="00E6288C">
                        <w:rPr>
                          <w:rFonts w:eastAsia="Calibri" w:cs="Arial"/>
                          <w:szCs w:val="24"/>
                          <w:lang w:eastAsia="en-US"/>
                        </w:rPr>
                        <w:t>The District’s rich heritage, scenic countryside and biodiversity are valued resources which will be protected and enhanced for residents to discover and provid</w:t>
                      </w:r>
                      <w:r w:rsidR="00A1210E" w:rsidRPr="00E6288C">
                        <w:rPr>
                          <w:rFonts w:eastAsia="Calibri" w:cs="Arial"/>
                          <w:szCs w:val="24"/>
                          <w:lang w:eastAsia="en-US"/>
                        </w:rPr>
                        <w:t xml:space="preserve">e </w:t>
                      </w:r>
                      <w:r w:rsidRPr="00E6288C">
                        <w:rPr>
                          <w:rFonts w:eastAsia="Calibri" w:cs="Arial"/>
                          <w:szCs w:val="24"/>
                          <w:lang w:eastAsia="en-US"/>
                        </w:rPr>
                        <w:t>opportunities for tourism and recreation.</w:t>
                      </w:r>
                    </w:p>
                    <w:p w14:paraId="5F6428DA" w14:textId="77777777" w:rsidR="00054236" w:rsidRPr="009C5FB2" w:rsidRDefault="00054236" w:rsidP="00622E46">
                      <w:pPr>
                        <w:spacing w:before="0"/>
                        <w:ind w:right="96"/>
                        <w:rPr>
                          <w:rFonts w:eastAsia="Calibri"/>
                          <w:color w:val="auto"/>
                          <w:szCs w:val="24"/>
                        </w:rPr>
                      </w:pPr>
                    </w:p>
                  </w:txbxContent>
                </v:textbox>
                <w10:anchorlock/>
              </v:shape>
            </w:pict>
          </mc:Fallback>
        </mc:AlternateContent>
      </w:r>
    </w:p>
    <w:p w14:paraId="7D055483" w14:textId="77777777" w:rsidR="00D34A53" w:rsidRDefault="00D34A53" w:rsidP="00EC2E31">
      <w:pPr>
        <w:keepNext w:val="0"/>
        <w:spacing w:before="0"/>
        <w:ind w:left="709"/>
        <w:rPr>
          <w:rFonts w:eastAsia="Arial" w:cs="Arial"/>
          <w:color w:val="auto"/>
        </w:rPr>
      </w:pPr>
    </w:p>
    <w:p w14:paraId="103BC439" w14:textId="77777777" w:rsidR="00D34A53" w:rsidRDefault="00D34A53" w:rsidP="00EC2E31">
      <w:pPr>
        <w:keepNext w:val="0"/>
        <w:spacing w:before="0"/>
        <w:ind w:left="709"/>
        <w:rPr>
          <w:rFonts w:eastAsia="Arial" w:cs="Arial"/>
          <w:color w:val="auto"/>
        </w:rPr>
      </w:pPr>
    </w:p>
    <w:p w14:paraId="2147B619" w14:textId="6B73D870" w:rsidR="00B049C5" w:rsidRDefault="002A20BE" w:rsidP="00EA7AE9">
      <w:pPr>
        <w:keepNext w:val="0"/>
        <w:spacing w:before="0"/>
        <w:rPr>
          <w:rFonts w:eastAsia="Arial" w:cs="Arial"/>
          <w:b/>
          <w:bCs/>
          <w:i/>
          <w:iCs/>
          <w:color w:val="auto"/>
        </w:rPr>
      </w:pPr>
      <w:r w:rsidRPr="002A20BE">
        <w:rPr>
          <w:rFonts w:eastAsia="Arial" w:cs="Arial"/>
          <w:b/>
          <w:bCs/>
          <w:i/>
          <w:iCs/>
          <w:noProof/>
          <w:color w:val="auto"/>
        </w:rPr>
        <w:lastRenderedPageBreak/>
        <mc:AlternateContent>
          <mc:Choice Requires="wps">
            <w:drawing>
              <wp:anchor distT="45720" distB="45720" distL="114300" distR="114300" simplePos="0" relativeHeight="251658240" behindDoc="0" locked="0" layoutInCell="1" allowOverlap="1" wp14:anchorId="06399240" wp14:editId="502A5A2B">
                <wp:simplePos x="0" y="0"/>
                <wp:positionH relativeFrom="column">
                  <wp:posOffset>403860</wp:posOffset>
                </wp:positionH>
                <wp:positionV relativeFrom="paragraph">
                  <wp:posOffset>185420</wp:posOffset>
                </wp:positionV>
                <wp:extent cx="5400675" cy="3857625"/>
                <wp:effectExtent l="19050" t="1905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3857625"/>
                        </a:xfrm>
                        <a:prstGeom prst="rect">
                          <a:avLst/>
                        </a:prstGeom>
                        <a:solidFill>
                          <a:schemeClr val="accent6">
                            <a:lumMod val="20000"/>
                            <a:lumOff val="80000"/>
                          </a:schemeClr>
                        </a:solidFill>
                        <a:ln w="38100">
                          <a:solidFill>
                            <a:schemeClr val="accent6">
                              <a:lumMod val="75000"/>
                            </a:schemeClr>
                          </a:solidFill>
                          <a:miter lim="800000"/>
                          <a:headEnd/>
                          <a:tailEnd/>
                        </a:ln>
                      </wps:spPr>
                      <wps:linkedTxbx id="1" seq="1"/>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6399240" id="_x0000_s1027" type="#_x0000_t202" style="position:absolute;margin-left:31.8pt;margin-top:14.6pt;width:425.25pt;height:303.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" fillcolor="#e2efd9 [665]" strokecolor="#538135 [2409]" strokeweight="3pt">
                <v:textbox>
                  <w:txbxContent/>
                </v:textbox>
                <w10:wrap type="square"/>
              </v:shape>
            </w:pict>
          </mc:Fallback>
        </mc:AlternateContent>
      </w:r>
    </w:p>
    <w:p w14:paraId="68BF0EF5" w14:textId="77777777" w:rsidR="00EA7AE9" w:rsidRDefault="00EA7AE9" w:rsidP="00CC6BDF">
      <w:pPr>
        <w:keepNext w:val="0"/>
        <w:spacing w:before="0"/>
        <w:ind w:left="851"/>
        <w:rPr>
          <w:rFonts w:eastAsia="Arial" w:cs="Arial"/>
          <w:b/>
          <w:bCs/>
          <w:color w:val="auto"/>
        </w:rPr>
      </w:pPr>
    </w:p>
    <w:p w14:paraId="510F4D27" w14:textId="564323BE" w:rsidR="00B81AB8" w:rsidRPr="003C7E62" w:rsidRDefault="00B81AB8" w:rsidP="00CC6BDF">
      <w:pPr>
        <w:keepNext w:val="0"/>
        <w:spacing w:before="0"/>
        <w:ind w:left="851"/>
        <w:rPr>
          <w:rFonts w:eastAsia="Arial" w:cs="Arial"/>
          <w:b/>
          <w:bCs/>
          <w:i/>
          <w:iCs/>
          <w:color w:val="auto"/>
        </w:rPr>
      </w:pPr>
      <w:r w:rsidRPr="003C7E62">
        <w:rPr>
          <w:rFonts w:eastAsia="Arial" w:cs="Arial"/>
          <w:b/>
          <w:bCs/>
          <w:i/>
          <w:iCs/>
          <w:color w:val="auto"/>
        </w:rPr>
        <w:t xml:space="preserve">Strategic Objectives </w:t>
      </w:r>
    </w:p>
    <w:p w14:paraId="039E19B0" w14:textId="77777777" w:rsidR="00B81AB8" w:rsidRPr="003C7E62" w:rsidRDefault="00B81AB8" w:rsidP="00606546">
      <w:pPr>
        <w:keepNext w:val="0"/>
        <w:spacing w:before="0"/>
        <w:rPr>
          <w:rFonts w:cs="Arial"/>
          <w:color w:val="auto"/>
          <w:szCs w:val="24"/>
          <w:lang w:val="en-US" w:eastAsia="en-US"/>
        </w:rPr>
      </w:pPr>
    </w:p>
    <w:p w14:paraId="170A14C6" w14:textId="48477AEB" w:rsidR="003D2A07" w:rsidRPr="003C7E62" w:rsidRDefault="003D2A07" w:rsidP="00874A98">
      <w:pPr>
        <w:pStyle w:val="ListParagraph"/>
        <w:numPr>
          <w:ilvl w:val="1"/>
          <w:numId w:val="90"/>
        </w:numPr>
        <w:spacing w:after="0" w:line="240" w:lineRule="auto"/>
        <w:ind w:left="851" w:hanging="851"/>
        <w:rPr>
          <w:rFonts w:ascii="Arial" w:hAnsi="Arial" w:cs="Arial"/>
          <w:color w:val="auto"/>
          <w:szCs w:val="24"/>
          <w:lang w:val="en-US"/>
        </w:rPr>
      </w:pPr>
      <w:r w:rsidRPr="003C7E62">
        <w:rPr>
          <w:rFonts w:ascii="Arial" w:eastAsia="Arial" w:hAnsi="Arial" w:cs="Arial"/>
          <w:color w:val="auto"/>
        </w:rPr>
        <w:t>The following strategic objectives have been identified as central to achieving the delivery of the vision for Ashfield</w:t>
      </w:r>
      <w:r w:rsidR="00622E46" w:rsidRPr="003C7E62">
        <w:rPr>
          <w:rFonts w:ascii="Arial" w:eastAsia="Arial" w:hAnsi="Arial" w:cs="Arial"/>
          <w:color w:val="auto"/>
        </w:rPr>
        <w:t xml:space="preserve">. </w:t>
      </w:r>
    </w:p>
    <w:p w14:paraId="07666845" w14:textId="7EBAD995" w:rsidR="003D2A07" w:rsidRPr="003C7E62" w:rsidRDefault="003D2A07" w:rsidP="00606546">
      <w:pPr>
        <w:keepNext w:val="0"/>
        <w:spacing w:before="0"/>
        <w:ind w:left="525"/>
        <w:rPr>
          <w:rFonts w:eastAsia="Arial" w:cs="Arial"/>
          <w:color w:val="538135"/>
        </w:rPr>
      </w:pPr>
      <w:bookmarkStart w:id="30" w:name="_Hlk83706108"/>
    </w:p>
    <w:tbl>
      <w:tblPr>
        <w:tblStyle w:val="TableGrid4"/>
        <w:tblW w:w="9634" w:type="dxa"/>
        <w:tblLook w:val="04A0" w:firstRow="1" w:lastRow="0" w:firstColumn="1" w:lastColumn="0" w:noHBand="0" w:noVBand="1"/>
      </w:tblPr>
      <w:tblGrid>
        <w:gridCol w:w="900"/>
        <w:gridCol w:w="1080"/>
        <w:gridCol w:w="7654"/>
      </w:tblGrid>
      <w:tr w:rsidR="001B5662" w:rsidRPr="003C7E62" w14:paraId="7943FBEA" w14:textId="77777777" w:rsidTr="006C6E8A">
        <w:trPr>
          <w:cantSplit/>
          <w:trHeight w:val="1134"/>
        </w:trPr>
        <w:tc>
          <w:tcPr>
            <w:tcW w:w="900" w:type="dxa"/>
            <w:shd w:val="clear" w:color="auto" w:fill="FFF2CC" w:themeFill="accent4" w:themeFillTint="33"/>
            <w:textDirection w:val="btLr"/>
            <w:vAlign w:val="center"/>
          </w:tcPr>
          <w:p w14:paraId="6F238FCE" w14:textId="27649870" w:rsidR="001B5662" w:rsidRPr="003C7E62" w:rsidRDefault="001B5662" w:rsidP="001B5662">
            <w:pPr>
              <w:keepNext w:val="0"/>
              <w:spacing w:before="0" w:line="276" w:lineRule="auto"/>
              <w:jc w:val="center"/>
              <w:rPr>
                <w:rFonts w:cs="Arial"/>
                <w:b/>
                <w:color w:val="auto"/>
              </w:rPr>
            </w:pPr>
            <w:r w:rsidRPr="006E6F68">
              <w:rPr>
                <w:rFonts w:cs="Arial"/>
                <w:b/>
              </w:rPr>
              <w:t>The Community</w:t>
            </w:r>
          </w:p>
        </w:tc>
        <w:tc>
          <w:tcPr>
            <w:tcW w:w="1080" w:type="dxa"/>
          </w:tcPr>
          <w:p w14:paraId="2B454198" w14:textId="7CB2B701" w:rsidR="001B5662" w:rsidRPr="003C7E62" w:rsidRDefault="001B5662" w:rsidP="001B5662">
            <w:pPr>
              <w:keepNext w:val="0"/>
              <w:spacing w:before="0" w:line="276" w:lineRule="auto"/>
              <w:rPr>
                <w:rFonts w:cs="Arial"/>
                <w:b/>
                <w:color w:val="auto"/>
              </w:rPr>
            </w:pPr>
            <w:r w:rsidRPr="003C7E62">
              <w:rPr>
                <w:rFonts w:cs="Arial"/>
                <w:b/>
                <w:color w:val="auto"/>
              </w:rPr>
              <w:t xml:space="preserve">SO1 </w:t>
            </w:r>
          </w:p>
        </w:tc>
        <w:tc>
          <w:tcPr>
            <w:tcW w:w="7654" w:type="dxa"/>
          </w:tcPr>
          <w:p w14:paraId="1AF22064" w14:textId="58C5810B" w:rsidR="001B5662" w:rsidRPr="003C7E62" w:rsidRDefault="001B5662" w:rsidP="001B5662">
            <w:pPr>
              <w:keepNext w:val="0"/>
              <w:spacing w:before="0" w:line="276" w:lineRule="auto"/>
              <w:rPr>
                <w:rFonts w:cs="Arial"/>
                <w:b/>
                <w:color w:val="auto"/>
                <w:sz w:val="20"/>
              </w:rPr>
            </w:pPr>
            <w:r w:rsidRPr="003C7E62">
              <w:rPr>
                <w:rFonts w:cs="Arial"/>
                <w:b/>
                <w:color w:val="auto"/>
                <w:sz w:val="20"/>
              </w:rPr>
              <w:t>Facilitate Place Making</w:t>
            </w:r>
          </w:p>
          <w:p w14:paraId="6B2AA278" w14:textId="77777777" w:rsidR="001B5662" w:rsidRPr="003C7E62" w:rsidRDefault="001B5662" w:rsidP="001B5662">
            <w:pPr>
              <w:keepNext w:val="0"/>
              <w:spacing w:before="0" w:line="276" w:lineRule="auto"/>
              <w:rPr>
                <w:rFonts w:cs="Arial"/>
                <w:b/>
                <w:color w:val="auto"/>
                <w:sz w:val="20"/>
              </w:rPr>
            </w:pPr>
          </w:p>
          <w:p w14:paraId="55D14A55" w14:textId="5D58EF2D" w:rsidR="001B5662" w:rsidRPr="003C7E62" w:rsidRDefault="001B5662" w:rsidP="006C6E8A">
            <w:pPr>
              <w:keepNext w:val="0"/>
              <w:spacing w:before="0" w:line="276" w:lineRule="auto"/>
              <w:jc w:val="left"/>
              <w:rPr>
                <w:rFonts w:cs="Arial"/>
                <w:color w:val="auto"/>
                <w:sz w:val="20"/>
              </w:rPr>
            </w:pPr>
            <w:bookmarkStart w:id="31" w:name="_Hlk82272209"/>
            <w:r w:rsidRPr="003C7E62">
              <w:rPr>
                <w:rFonts w:cs="Arial"/>
                <w:color w:val="auto"/>
                <w:sz w:val="20"/>
              </w:rPr>
              <w:t xml:space="preserve">Ensure that place making is at the heart of the delivery of </w:t>
            </w:r>
            <w:r w:rsidR="00382109" w:rsidRPr="003C7E62">
              <w:rPr>
                <w:rFonts w:cs="Arial"/>
                <w:color w:val="auto"/>
                <w:sz w:val="20"/>
              </w:rPr>
              <w:t>high-quality well-designed</w:t>
            </w:r>
            <w:r w:rsidRPr="003C7E62">
              <w:rPr>
                <w:rFonts w:cs="Arial"/>
                <w:color w:val="auto"/>
                <w:sz w:val="20"/>
              </w:rPr>
              <w:t xml:space="preserve"> neighbourhoods and developments by:</w:t>
            </w:r>
          </w:p>
          <w:bookmarkEnd w:id="31"/>
          <w:p w14:paraId="591D8CF3" w14:textId="77777777" w:rsidR="001B5662" w:rsidRPr="003C7E62" w:rsidRDefault="001B5662" w:rsidP="006C6E8A">
            <w:pPr>
              <w:keepNext w:val="0"/>
              <w:numPr>
                <w:ilvl w:val="0"/>
                <w:numId w:val="66"/>
              </w:numPr>
              <w:spacing w:before="0" w:line="276" w:lineRule="auto"/>
              <w:ind w:left="315" w:hanging="284"/>
              <w:contextualSpacing/>
              <w:jc w:val="left"/>
              <w:rPr>
                <w:rFonts w:cs="Arial"/>
                <w:color w:val="auto"/>
                <w:sz w:val="20"/>
              </w:rPr>
            </w:pPr>
            <w:r w:rsidRPr="003C7E62">
              <w:rPr>
                <w:rFonts w:cs="Arial"/>
                <w:color w:val="auto"/>
                <w:sz w:val="20"/>
              </w:rPr>
              <w:t>Creating, safe, welcoming and adaptable places that enhance local character and support communities.</w:t>
            </w:r>
          </w:p>
          <w:p w14:paraId="5DB51999" w14:textId="77777777" w:rsidR="001B5662" w:rsidRPr="003C7E62" w:rsidRDefault="001B5662" w:rsidP="006C6E8A">
            <w:pPr>
              <w:keepNext w:val="0"/>
              <w:numPr>
                <w:ilvl w:val="0"/>
                <w:numId w:val="66"/>
              </w:numPr>
              <w:tabs>
                <w:tab w:val="left" w:pos="680"/>
              </w:tabs>
              <w:spacing w:before="0" w:line="276" w:lineRule="auto"/>
              <w:ind w:left="315" w:hanging="284"/>
              <w:contextualSpacing/>
              <w:jc w:val="left"/>
              <w:rPr>
                <w:rFonts w:cs="Arial"/>
                <w:color w:val="auto"/>
                <w:sz w:val="20"/>
              </w:rPr>
            </w:pPr>
            <w:r w:rsidRPr="003C7E62">
              <w:rPr>
                <w:rFonts w:cs="Arial"/>
                <w:color w:val="auto"/>
                <w:sz w:val="20"/>
              </w:rPr>
              <w:t xml:space="preserve">Providing attractive and accessible green spaces to encourage healthy lifestyles. </w:t>
            </w:r>
          </w:p>
          <w:p w14:paraId="07A3DBD3" w14:textId="77777777" w:rsidR="001B5662" w:rsidRPr="003C7E62" w:rsidRDefault="001B5662" w:rsidP="006C6E8A">
            <w:pPr>
              <w:keepNext w:val="0"/>
              <w:numPr>
                <w:ilvl w:val="0"/>
                <w:numId w:val="66"/>
              </w:numPr>
              <w:tabs>
                <w:tab w:val="left" w:pos="680"/>
              </w:tabs>
              <w:spacing w:before="0" w:line="276" w:lineRule="auto"/>
              <w:ind w:left="315" w:hanging="284"/>
              <w:contextualSpacing/>
              <w:jc w:val="left"/>
              <w:rPr>
                <w:rFonts w:cs="Arial"/>
                <w:color w:val="auto"/>
                <w:sz w:val="20"/>
              </w:rPr>
            </w:pPr>
            <w:r w:rsidRPr="003C7E62">
              <w:rPr>
                <w:rFonts w:cs="Arial"/>
                <w:color w:val="auto"/>
                <w:sz w:val="20"/>
              </w:rPr>
              <w:t>Identifying strategic gaps between settlements to prevent coalescence.</w:t>
            </w:r>
          </w:p>
          <w:p w14:paraId="3434EDF1" w14:textId="77777777" w:rsidR="001B5662" w:rsidRPr="003C7E62" w:rsidRDefault="001B5662" w:rsidP="006C6E8A">
            <w:pPr>
              <w:keepNext w:val="0"/>
              <w:numPr>
                <w:ilvl w:val="0"/>
                <w:numId w:val="66"/>
              </w:numPr>
              <w:tabs>
                <w:tab w:val="left" w:pos="680"/>
              </w:tabs>
              <w:spacing w:before="0" w:line="276" w:lineRule="auto"/>
              <w:ind w:left="315" w:hanging="284"/>
              <w:contextualSpacing/>
              <w:jc w:val="left"/>
              <w:rPr>
                <w:rFonts w:cs="Arial"/>
                <w:color w:val="auto"/>
                <w:sz w:val="20"/>
              </w:rPr>
            </w:pPr>
            <w:r w:rsidRPr="003C7E62">
              <w:rPr>
                <w:rFonts w:cs="Arial"/>
                <w:color w:val="auto"/>
                <w:sz w:val="20"/>
              </w:rPr>
              <w:t xml:space="preserve">Creating sustainable places that contribute to people’s health and wellbeing and function well for the purpose they were designed. </w:t>
            </w:r>
          </w:p>
          <w:p w14:paraId="6D990A8B" w14:textId="77777777" w:rsidR="001B5662" w:rsidRPr="003C7E62" w:rsidRDefault="001B5662" w:rsidP="006C6E8A">
            <w:pPr>
              <w:keepNext w:val="0"/>
              <w:numPr>
                <w:ilvl w:val="0"/>
                <w:numId w:val="66"/>
              </w:numPr>
              <w:tabs>
                <w:tab w:val="left" w:pos="680"/>
              </w:tabs>
              <w:spacing w:before="0" w:line="276" w:lineRule="auto"/>
              <w:ind w:left="315" w:hanging="284"/>
              <w:contextualSpacing/>
              <w:jc w:val="left"/>
              <w:rPr>
                <w:rFonts w:cs="Arial"/>
                <w:color w:val="auto"/>
                <w:sz w:val="20"/>
              </w:rPr>
            </w:pPr>
            <w:r w:rsidRPr="003C7E62">
              <w:rPr>
                <w:rFonts w:cs="Arial"/>
                <w:color w:val="auto"/>
                <w:sz w:val="20"/>
              </w:rPr>
              <w:t>Reducing energy needs by adopting sustainable energy measures.</w:t>
            </w:r>
          </w:p>
          <w:p w14:paraId="55C1C57D" w14:textId="77777777" w:rsidR="001B5662" w:rsidRPr="001B5662" w:rsidRDefault="001B5662" w:rsidP="006C6E8A">
            <w:pPr>
              <w:keepNext w:val="0"/>
              <w:numPr>
                <w:ilvl w:val="0"/>
                <w:numId w:val="66"/>
              </w:numPr>
              <w:tabs>
                <w:tab w:val="left" w:pos="680"/>
              </w:tabs>
              <w:spacing w:before="0" w:line="276" w:lineRule="auto"/>
              <w:ind w:left="315" w:hanging="284"/>
              <w:contextualSpacing/>
              <w:jc w:val="left"/>
              <w:rPr>
                <w:rFonts w:cs="Arial"/>
                <w:b/>
                <w:color w:val="auto"/>
              </w:rPr>
            </w:pPr>
            <w:r w:rsidRPr="003C7E62">
              <w:rPr>
                <w:rFonts w:cs="Arial"/>
                <w:color w:val="auto"/>
                <w:sz w:val="20"/>
              </w:rPr>
              <w:t>Promoting greater community pride and ownership in an area.</w:t>
            </w:r>
          </w:p>
          <w:p w14:paraId="23366817" w14:textId="32893BA4" w:rsidR="001B5662" w:rsidRPr="003C7E62" w:rsidRDefault="001B5662" w:rsidP="001B5662">
            <w:pPr>
              <w:keepNext w:val="0"/>
              <w:tabs>
                <w:tab w:val="left" w:pos="680"/>
              </w:tabs>
              <w:spacing w:before="0" w:line="276" w:lineRule="auto"/>
              <w:ind w:left="315"/>
              <w:contextualSpacing/>
              <w:rPr>
                <w:rFonts w:cs="Arial"/>
                <w:b/>
                <w:color w:val="auto"/>
              </w:rPr>
            </w:pPr>
          </w:p>
        </w:tc>
      </w:tr>
      <w:tr w:rsidR="001B5662" w:rsidRPr="003C7E62" w14:paraId="00D19433" w14:textId="77777777" w:rsidTr="006C6E8A">
        <w:trPr>
          <w:cantSplit/>
          <w:trHeight w:val="1134"/>
        </w:trPr>
        <w:tc>
          <w:tcPr>
            <w:tcW w:w="900" w:type="dxa"/>
            <w:shd w:val="clear" w:color="auto" w:fill="FFF2CC" w:themeFill="accent4" w:themeFillTint="33"/>
            <w:textDirection w:val="btLr"/>
            <w:vAlign w:val="center"/>
          </w:tcPr>
          <w:p w14:paraId="301B2C74" w14:textId="6522B726" w:rsidR="001B5662" w:rsidRPr="003C7E62" w:rsidRDefault="001B5662" w:rsidP="001B5662">
            <w:pPr>
              <w:keepNext w:val="0"/>
              <w:spacing w:before="0"/>
              <w:ind w:left="113" w:right="113"/>
              <w:jc w:val="center"/>
              <w:rPr>
                <w:rFonts w:cs="Arial"/>
                <w:b/>
                <w:bCs/>
                <w:color w:val="auto"/>
              </w:rPr>
            </w:pPr>
            <w:r w:rsidRPr="006E6F68">
              <w:rPr>
                <w:rFonts w:cs="Arial"/>
                <w:b/>
              </w:rPr>
              <w:lastRenderedPageBreak/>
              <w:t>The Community</w:t>
            </w:r>
          </w:p>
        </w:tc>
        <w:tc>
          <w:tcPr>
            <w:tcW w:w="1080" w:type="dxa"/>
          </w:tcPr>
          <w:p w14:paraId="49614DB5" w14:textId="4250C826" w:rsidR="001B5662" w:rsidRPr="003C7E62" w:rsidRDefault="001B5662" w:rsidP="001B5662">
            <w:pPr>
              <w:keepNext w:val="0"/>
              <w:spacing w:before="0"/>
              <w:rPr>
                <w:rFonts w:cs="Arial"/>
                <w:b/>
                <w:bCs/>
                <w:color w:val="auto"/>
              </w:rPr>
            </w:pPr>
            <w:r w:rsidRPr="003C7E62">
              <w:rPr>
                <w:rFonts w:cs="Arial"/>
                <w:b/>
                <w:bCs/>
                <w:color w:val="auto"/>
              </w:rPr>
              <w:t>SO2</w:t>
            </w:r>
          </w:p>
        </w:tc>
        <w:tc>
          <w:tcPr>
            <w:tcW w:w="7654" w:type="dxa"/>
          </w:tcPr>
          <w:p w14:paraId="34EEEE9F" w14:textId="5CD03EEA" w:rsidR="001B5662" w:rsidRPr="003C7E62" w:rsidRDefault="001B5662" w:rsidP="001B5662">
            <w:pPr>
              <w:keepNext w:val="0"/>
              <w:spacing w:before="0" w:line="276" w:lineRule="auto"/>
              <w:rPr>
                <w:rFonts w:cs="Arial"/>
                <w:b/>
                <w:color w:val="auto"/>
                <w:sz w:val="20"/>
              </w:rPr>
            </w:pPr>
            <w:r w:rsidRPr="003C7E62">
              <w:rPr>
                <w:rFonts w:cs="Arial"/>
                <w:b/>
                <w:color w:val="auto"/>
                <w:sz w:val="20"/>
              </w:rPr>
              <w:t>Promote socially cohesive, healthy and active communities</w:t>
            </w:r>
          </w:p>
          <w:p w14:paraId="617EC9C6" w14:textId="77777777" w:rsidR="001B5662" w:rsidRPr="003C7E62" w:rsidRDefault="001B5662" w:rsidP="001B5662">
            <w:pPr>
              <w:keepNext w:val="0"/>
              <w:spacing w:before="0" w:line="276" w:lineRule="auto"/>
              <w:rPr>
                <w:rFonts w:cs="Arial"/>
                <w:b/>
                <w:color w:val="auto"/>
                <w:sz w:val="20"/>
              </w:rPr>
            </w:pPr>
          </w:p>
          <w:p w14:paraId="4D4529BF" w14:textId="3BACCB76" w:rsidR="001B5662" w:rsidRPr="003C7E62" w:rsidRDefault="001B5662" w:rsidP="001B5662">
            <w:pPr>
              <w:keepNext w:val="0"/>
              <w:spacing w:before="0" w:line="276" w:lineRule="auto"/>
              <w:rPr>
                <w:rFonts w:cs="Arial"/>
                <w:color w:val="auto"/>
                <w:sz w:val="20"/>
              </w:rPr>
            </w:pPr>
            <w:r w:rsidRPr="003C7E62">
              <w:rPr>
                <w:rFonts w:cs="Arial"/>
                <w:color w:val="auto"/>
                <w:sz w:val="20"/>
              </w:rPr>
              <w:t xml:space="preserve">Promote social inclusion, healthier </w:t>
            </w:r>
            <w:r w:rsidR="00382109" w:rsidRPr="003C7E62">
              <w:rPr>
                <w:rFonts w:cs="Arial"/>
                <w:color w:val="auto"/>
                <w:sz w:val="20"/>
              </w:rPr>
              <w:t>lifestyles</w:t>
            </w:r>
            <w:r w:rsidRPr="003C7E62">
              <w:rPr>
                <w:rFonts w:cs="Arial"/>
                <w:color w:val="auto"/>
                <w:sz w:val="20"/>
              </w:rPr>
              <w:t xml:space="preserve"> and improve the health and wellbeing of the population by:</w:t>
            </w:r>
          </w:p>
          <w:p w14:paraId="715F5202" w14:textId="77777777" w:rsidR="001B5662" w:rsidRPr="003C7E62" w:rsidRDefault="001B5662" w:rsidP="00874A98">
            <w:pPr>
              <w:keepNext w:val="0"/>
              <w:numPr>
                <w:ilvl w:val="0"/>
                <w:numId w:val="67"/>
              </w:numPr>
              <w:spacing w:before="0" w:line="276" w:lineRule="auto"/>
              <w:ind w:left="315" w:hanging="284"/>
              <w:contextualSpacing/>
              <w:rPr>
                <w:rFonts w:cs="Arial"/>
                <w:b/>
                <w:color w:val="auto"/>
                <w:sz w:val="20"/>
              </w:rPr>
            </w:pPr>
            <w:r w:rsidRPr="003C7E62">
              <w:rPr>
                <w:rFonts w:cs="Arial"/>
                <w:color w:val="auto"/>
                <w:sz w:val="20"/>
              </w:rPr>
              <w:t>Working with healthcare partners to deliver improved and, where required, new health and social care facilities.</w:t>
            </w:r>
          </w:p>
          <w:p w14:paraId="70DA1DD2" w14:textId="77777777" w:rsidR="001B5662" w:rsidRPr="003C7E62" w:rsidRDefault="001B5662" w:rsidP="00874A98">
            <w:pPr>
              <w:keepNext w:val="0"/>
              <w:numPr>
                <w:ilvl w:val="0"/>
                <w:numId w:val="67"/>
              </w:numPr>
              <w:tabs>
                <w:tab w:val="left" w:pos="680"/>
              </w:tabs>
              <w:spacing w:before="0" w:line="276" w:lineRule="auto"/>
              <w:ind w:left="315" w:hanging="284"/>
              <w:contextualSpacing/>
              <w:rPr>
                <w:rFonts w:cs="Arial"/>
                <w:b/>
                <w:color w:val="auto"/>
                <w:sz w:val="20"/>
              </w:rPr>
            </w:pPr>
            <w:r w:rsidRPr="003C7E62">
              <w:rPr>
                <w:rFonts w:cs="Arial"/>
                <w:color w:val="auto"/>
                <w:sz w:val="20"/>
              </w:rPr>
              <w:t>Facilitating involvement for all in the social and economic life of the community through the location and design of development and supporting infrastructure.</w:t>
            </w:r>
          </w:p>
          <w:p w14:paraId="7AB6EE4E" w14:textId="77777777" w:rsidR="001B5662" w:rsidRPr="003C7E62" w:rsidRDefault="001B5662" w:rsidP="00874A98">
            <w:pPr>
              <w:keepNext w:val="0"/>
              <w:numPr>
                <w:ilvl w:val="0"/>
                <w:numId w:val="67"/>
              </w:numPr>
              <w:tabs>
                <w:tab w:val="left" w:pos="680"/>
              </w:tabs>
              <w:spacing w:before="0" w:line="276" w:lineRule="auto"/>
              <w:ind w:left="315" w:hanging="284"/>
              <w:contextualSpacing/>
              <w:rPr>
                <w:rFonts w:cs="Arial"/>
                <w:b/>
                <w:color w:val="auto"/>
                <w:sz w:val="20"/>
              </w:rPr>
            </w:pPr>
            <w:r w:rsidRPr="003C7E62">
              <w:rPr>
                <w:rFonts w:cs="Arial"/>
                <w:color w:val="auto"/>
                <w:sz w:val="20"/>
              </w:rPr>
              <w:t>Improving community safety, reduce crime and the fear of crime through the development of good quality well planned environments.</w:t>
            </w:r>
          </w:p>
          <w:p w14:paraId="56E131A0" w14:textId="77777777" w:rsidR="001B5662" w:rsidRPr="003C7E62" w:rsidRDefault="001B5662" w:rsidP="00874A98">
            <w:pPr>
              <w:keepNext w:val="0"/>
              <w:numPr>
                <w:ilvl w:val="0"/>
                <w:numId w:val="67"/>
              </w:numPr>
              <w:tabs>
                <w:tab w:val="left" w:pos="680"/>
              </w:tabs>
              <w:spacing w:before="0" w:line="276" w:lineRule="auto"/>
              <w:ind w:left="315" w:hanging="284"/>
              <w:contextualSpacing/>
              <w:rPr>
                <w:rFonts w:cs="Arial"/>
                <w:b/>
                <w:color w:val="auto"/>
                <w:sz w:val="20"/>
              </w:rPr>
            </w:pPr>
            <w:r w:rsidRPr="003C7E62">
              <w:rPr>
                <w:rFonts w:cs="Arial"/>
                <w:color w:val="auto"/>
                <w:sz w:val="20"/>
              </w:rPr>
              <w:t>Improving access to the countryside, recreational, leisure and cultural facilities.</w:t>
            </w:r>
          </w:p>
          <w:p w14:paraId="1839BABE" w14:textId="77777777" w:rsidR="001B5662" w:rsidRPr="003C7E62" w:rsidRDefault="001B5662" w:rsidP="00874A98">
            <w:pPr>
              <w:keepNext w:val="0"/>
              <w:numPr>
                <w:ilvl w:val="0"/>
                <w:numId w:val="67"/>
              </w:numPr>
              <w:tabs>
                <w:tab w:val="left" w:pos="680"/>
              </w:tabs>
              <w:spacing w:before="0" w:line="276" w:lineRule="auto"/>
              <w:ind w:left="315" w:hanging="284"/>
              <w:contextualSpacing/>
              <w:rPr>
                <w:rFonts w:cs="Arial"/>
                <w:b/>
                <w:color w:val="auto"/>
                <w:sz w:val="20"/>
              </w:rPr>
            </w:pPr>
            <w:r w:rsidRPr="003C7E62">
              <w:rPr>
                <w:rFonts w:cs="Arial"/>
                <w:color w:val="auto"/>
                <w:sz w:val="20"/>
              </w:rPr>
              <w:t>Addresses issues of air quality.</w:t>
            </w:r>
          </w:p>
          <w:p w14:paraId="7CB8AE2D" w14:textId="77777777" w:rsidR="001B5662" w:rsidRDefault="001B5662" w:rsidP="00874A98">
            <w:pPr>
              <w:keepNext w:val="0"/>
              <w:numPr>
                <w:ilvl w:val="0"/>
                <w:numId w:val="67"/>
              </w:numPr>
              <w:tabs>
                <w:tab w:val="left" w:pos="680"/>
              </w:tabs>
              <w:autoSpaceDE w:val="0"/>
              <w:autoSpaceDN w:val="0"/>
              <w:adjustRightInd w:val="0"/>
              <w:spacing w:before="0"/>
              <w:ind w:left="315" w:hanging="284"/>
              <w:contextualSpacing/>
              <w:rPr>
                <w:rFonts w:cs="Arial"/>
                <w:color w:val="auto"/>
                <w:sz w:val="20"/>
              </w:rPr>
            </w:pPr>
            <w:r w:rsidRPr="003C7E62">
              <w:rPr>
                <w:rFonts w:cs="Arial"/>
                <w:color w:val="auto"/>
                <w:sz w:val="20"/>
              </w:rPr>
              <w:t xml:space="preserve">Facilitating walking and cycling to </w:t>
            </w:r>
            <w:proofErr w:type="gramStart"/>
            <w:r w:rsidRPr="003C7E62">
              <w:rPr>
                <w:rFonts w:cs="Arial"/>
                <w:color w:val="auto"/>
                <w:sz w:val="20"/>
              </w:rPr>
              <w:t>work,</w:t>
            </w:r>
            <w:proofErr w:type="gramEnd"/>
            <w:r w:rsidRPr="003C7E62">
              <w:rPr>
                <w:rFonts w:cs="Arial"/>
                <w:color w:val="auto"/>
                <w:sz w:val="20"/>
              </w:rPr>
              <w:t xml:space="preserve"> to services and for leisure. </w:t>
            </w:r>
          </w:p>
          <w:p w14:paraId="2089FAA7" w14:textId="77777777" w:rsidR="006A2145" w:rsidRDefault="006A2145" w:rsidP="006A2145">
            <w:pPr>
              <w:keepNext w:val="0"/>
              <w:tabs>
                <w:tab w:val="left" w:pos="680"/>
              </w:tabs>
              <w:autoSpaceDE w:val="0"/>
              <w:autoSpaceDN w:val="0"/>
              <w:adjustRightInd w:val="0"/>
              <w:spacing w:before="0"/>
              <w:ind w:left="315"/>
              <w:contextualSpacing/>
              <w:rPr>
                <w:rFonts w:cs="Arial"/>
                <w:color w:val="auto"/>
                <w:sz w:val="20"/>
              </w:rPr>
            </w:pPr>
          </w:p>
          <w:p w14:paraId="75431F04" w14:textId="77777777" w:rsidR="006A2145" w:rsidRDefault="006A2145" w:rsidP="006A2145">
            <w:pPr>
              <w:keepNext w:val="0"/>
              <w:tabs>
                <w:tab w:val="left" w:pos="680"/>
              </w:tabs>
              <w:autoSpaceDE w:val="0"/>
              <w:autoSpaceDN w:val="0"/>
              <w:adjustRightInd w:val="0"/>
              <w:spacing w:before="0"/>
              <w:ind w:left="315"/>
              <w:contextualSpacing/>
              <w:rPr>
                <w:rFonts w:cs="Arial"/>
                <w:color w:val="auto"/>
                <w:sz w:val="20"/>
              </w:rPr>
            </w:pPr>
          </w:p>
          <w:p w14:paraId="79BDC8E9" w14:textId="21D4D33E" w:rsidR="001B5662" w:rsidRPr="003C7E62" w:rsidRDefault="001B5662" w:rsidP="001B5662">
            <w:pPr>
              <w:keepNext w:val="0"/>
              <w:tabs>
                <w:tab w:val="left" w:pos="680"/>
              </w:tabs>
              <w:autoSpaceDE w:val="0"/>
              <w:autoSpaceDN w:val="0"/>
              <w:adjustRightInd w:val="0"/>
              <w:spacing w:before="0"/>
              <w:ind w:left="315"/>
              <w:contextualSpacing/>
              <w:rPr>
                <w:rFonts w:cs="Arial"/>
                <w:color w:val="auto"/>
                <w:sz w:val="20"/>
              </w:rPr>
            </w:pPr>
          </w:p>
        </w:tc>
      </w:tr>
      <w:tr w:rsidR="001B5662" w:rsidRPr="003C7E62" w14:paraId="0440F2B1" w14:textId="77777777" w:rsidTr="006C6E8A">
        <w:tc>
          <w:tcPr>
            <w:tcW w:w="900" w:type="dxa"/>
            <w:shd w:val="clear" w:color="auto" w:fill="FFF2CC" w:themeFill="accent4" w:themeFillTint="33"/>
            <w:textDirection w:val="btLr"/>
            <w:vAlign w:val="center"/>
          </w:tcPr>
          <w:p w14:paraId="170434EC" w14:textId="1F77602B" w:rsidR="001B5662" w:rsidRPr="003C7E62" w:rsidRDefault="001B5662" w:rsidP="001B5662">
            <w:pPr>
              <w:keepNext w:val="0"/>
              <w:spacing w:before="0"/>
              <w:jc w:val="center"/>
              <w:rPr>
                <w:rFonts w:cs="Arial"/>
                <w:b/>
                <w:bCs/>
                <w:color w:val="auto"/>
              </w:rPr>
            </w:pPr>
            <w:r w:rsidRPr="006E6F68">
              <w:rPr>
                <w:rFonts w:cs="Arial"/>
                <w:b/>
              </w:rPr>
              <w:t>The Community</w:t>
            </w:r>
          </w:p>
        </w:tc>
        <w:tc>
          <w:tcPr>
            <w:tcW w:w="1080" w:type="dxa"/>
          </w:tcPr>
          <w:p w14:paraId="41A86028" w14:textId="1D851F08" w:rsidR="001B5662" w:rsidRPr="003C7E62" w:rsidRDefault="001B5662" w:rsidP="001B5662">
            <w:pPr>
              <w:keepNext w:val="0"/>
              <w:spacing w:before="0"/>
              <w:rPr>
                <w:rFonts w:cs="Arial"/>
                <w:b/>
                <w:bCs/>
                <w:color w:val="auto"/>
              </w:rPr>
            </w:pPr>
            <w:r w:rsidRPr="003C7E62">
              <w:rPr>
                <w:rFonts w:cs="Arial"/>
                <w:b/>
                <w:bCs/>
                <w:color w:val="auto"/>
              </w:rPr>
              <w:t>SO3</w:t>
            </w:r>
          </w:p>
        </w:tc>
        <w:tc>
          <w:tcPr>
            <w:tcW w:w="7654" w:type="dxa"/>
          </w:tcPr>
          <w:p w14:paraId="737DBAE0" w14:textId="3C0A8BE6" w:rsidR="001B5662" w:rsidRPr="003C7E62" w:rsidRDefault="001B5662" w:rsidP="001B5662">
            <w:pPr>
              <w:keepNext w:val="0"/>
              <w:spacing w:before="0" w:line="276" w:lineRule="auto"/>
              <w:rPr>
                <w:rFonts w:cs="Arial"/>
                <w:b/>
                <w:color w:val="auto"/>
                <w:sz w:val="20"/>
              </w:rPr>
            </w:pPr>
            <w:r w:rsidRPr="003C7E62">
              <w:rPr>
                <w:rFonts w:cs="Arial"/>
                <w:b/>
                <w:color w:val="auto"/>
                <w:sz w:val="20"/>
              </w:rPr>
              <w:t>Meeting Local Housing Needs and Aspirations</w:t>
            </w:r>
          </w:p>
          <w:p w14:paraId="2A5C5255" w14:textId="77777777" w:rsidR="001B5662" w:rsidRPr="003C7E62" w:rsidRDefault="001B5662" w:rsidP="001B5662">
            <w:pPr>
              <w:keepNext w:val="0"/>
              <w:spacing w:before="0" w:line="276" w:lineRule="auto"/>
              <w:rPr>
                <w:rFonts w:cs="Arial"/>
                <w:b/>
                <w:color w:val="auto"/>
                <w:sz w:val="20"/>
              </w:rPr>
            </w:pPr>
          </w:p>
          <w:p w14:paraId="39771AE3" w14:textId="77777777" w:rsidR="001B5662" w:rsidRPr="003C7E62" w:rsidRDefault="001B5662" w:rsidP="001B5662">
            <w:pPr>
              <w:keepNext w:val="0"/>
              <w:spacing w:before="0" w:line="276" w:lineRule="auto"/>
              <w:rPr>
                <w:rFonts w:cs="Arial"/>
                <w:color w:val="auto"/>
                <w:sz w:val="20"/>
              </w:rPr>
            </w:pPr>
            <w:r w:rsidRPr="003C7E62">
              <w:rPr>
                <w:rFonts w:cs="Arial"/>
                <w:color w:val="auto"/>
                <w:sz w:val="20"/>
              </w:rPr>
              <w:t>To meet local housing needs and aspirations by:</w:t>
            </w:r>
          </w:p>
          <w:p w14:paraId="294F4584" w14:textId="77777777" w:rsidR="001B5662" w:rsidRPr="003C7E62" w:rsidRDefault="001B5662" w:rsidP="00874A98">
            <w:pPr>
              <w:keepNext w:val="0"/>
              <w:numPr>
                <w:ilvl w:val="0"/>
                <w:numId w:val="68"/>
              </w:numPr>
              <w:spacing w:before="0" w:line="276" w:lineRule="auto"/>
              <w:ind w:left="315" w:hanging="284"/>
              <w:contextualSpacing/>
              <w:rPr>
                <w:rFonts w:cs="Arial"/>
                <w:color w:val="auto"/>
                <w:sz w:val="20"/>
              </w:rPr>
            </w:pPr>
            <w:r w:rsidRPr="003C7E62">
              <w:rPr>
                <w:rFonts w:cs="Arial"/>
                <w:color w:val="auto"/>
                <w:sz w:val="20"/>
              </w:rPr>
              <w:t>Supporting the delivery of well-designed good quality, new homes at densities, which respect local character.</w:t>
            </w:r>
          </w:p>
          <w:p w14:paraId="612AA4A1" w14:textId="77777777" w:rsidR="001B5662" w:rsidRPr="003C7E62" w:rsidRDefault="001B5662" w:rsidP="00874A98">
            <w:pPr>
              <w:keepNext w:val="0"/>
              <w:numPr>
                <w:ilvl w:val="0"/>
                <w:numId w:val="68"/>
              </w:numPr>
              <w:spacing w:before="0" w:line="276" w:lineRule="auto"/>
              <w:ind w:left="315" w:hanging="284"/>
              <w:contextualSpacing/>
              <w:rPr>
                <w:rFonts w:cs="Arial"/>
                <w:color w:val="auto"/>
                <w:sz w:val="20"/>
              </w:rPr>
            </w:pPr>
            <w:r w:rsidRPr="003C7E62">
              <w:rPr>
                <w:rFonts w:cs="Arial"/>
                <w:color w:val="auto"/>
                <w:sz w:val="20"/>
              </w:rPr>
              <w:t>Ensuring that development delivers a range of housing types and tenures to meet the needs of Ashfield’s existing and future households.</w:t>
            </w:r>
          </w:p>
          <w:p w14:paraId="3BFA9FDC" w14:textId="77777777" w:rsidR="001B5662" w:rsidRPr="003C7E62" w:rsidRDefault="001B5662" w:rsidP="00874A98">
            <w:pPr>
              <w:keepNext w:val="0"/>
              <w:numPr>
                <w:ilvl w:val="0"/>
                <w:numId w:val="68"/>
              </w:numPr>
              <w:spacing w:before="0" w:line="276" w:lineRule="auto"/>
              <w:ind w:left="315" w:hanging="284"/>
              <w:contextualSpacing/>
              <w:rPr>
                <w:rFonts w:cs="Arial"/>
                <w:color w:val="auto"/>
                <w:sz w:val="20"/>
              </w:rPr>
            </w:pPr>
            <w:r w:rsidRPr="003C7E62">
              <w:rPr>
                <w:rFonts w:cs="Arial"/>
                <w:color w:val="auto"/>
                <w:sz w:val="20"/>
              </w:rPr>
              <w:t>Enabling people to live independently longer including provision of adaptable, accessible and specialist homes.</w:t>
            </w:r>
          </w:p>
          <w:p w14:paraId="18D39FEE" w14:textId="77777777" w:rsidR="001B5662" w:rsidRPr="003C7E62" w:rsidRDefault="001B5662" w:rsidP="00874A98">
            <w:pPr>
              <w:keepNext w:val="0"/>
              <w:numPr>
                <w:ilvl w:val="0"/>
                <w:numId w:val="68"/>
              </w:numPr>
              <w:spacing w:before="0" w:line="276" w:lineRule="auto"/>
              <w:ind w:left="315" w:hanging="284"/>
              <w:contextualSpacing/>
              <w:rPr>
                <w:rFonts w:cs="Arial"/>
                <w:color w:val="auto"/>
                <w:sz w:val="20"/>
              </w:rPr>
            </w:pPr>
            <w:r w:rsidRPr="003C7E62">
              <w:rPr>
                <w:rFonts w:cs="Arial"/>
                <w:color w:val="auto"/>
                <w:sz w:val="20"/>
              </w:rPr>
              <w:t>Increasing the supply of quality affordable homes to provide inclusive and mixed communities.</w:t>
            </w:r>
          </w:p>
          <w:p w14:paraId="50EA6E6D" w14:textId="77777777" w:rsidR="001B5662" w:rsidRDefault="001B5662" w:rsidP="00874A98">
            <w:pPr>
              <w:keepNext w:val="0"/>
              <w:numPr>
                <w:ilvl w:val="0"/>
                <w:numId w:val="68"/>
              </w:numPr>
              <w:spacing w:before="0" w:line="276" w:lineRule="auto"/>
              <w:ind w:left="315" w:hanging="284"/>
              <w:contextualSpacing/>
              <w:rPr>
                <w:rFonts w:cs="Arial"/>
                <w:color w:val="auto"/>
                <w:sz w:val="20"/>
              </w:rPr>
            </w:pPr>
            <w:r w:rsidRPr="003C7E62">
              <w:rPr>
                <w:rFonts w:cs="Arial"/>
                <w:color w:val="auto"/>
                <w:sz w:val="20"/>
              </w:rPr>
              <w:t xml:space="preserve">Meeting the accommodation needs of Gypsies, Travellers and Travelling </w:t>
            </w:r>
            <w:proofErr w:type="spellStart"/>
            <w:r w:rsidRPr="003C7E62">
              <w:rPr>
                <w:rFonts w:cs="Arial"/>
                <w:color w:val="auto"/>
                <w:sz w:val="20"/>
              </w:rPr>
              <w:t>Showpeople</w:t>
            </w:r>
            <w:proofErr w:type="spellEnd"/>
            <w:r w:rsidRPr="003C7E62">
              <w:rPr>
                <w:rFonts w:cs="Arial"/>
                <w:color w:val="auto"/>
                <w:sz w:val="20"/>
              </w:rPr>
              <w:t xml:space="preserve"> in appropriate locations.</w:t>
            </w:r>
          </w:p>
          <w:p w14:paraId="3074D80B" w14:textId="77777777" w:rsidR="006A2145" w:rsidRDefault="006A2145" w:rsidP="006A2145">
            <w:pPr>
              <w:keepNext w:val="0"/>
              <w:spacing w:before="0" w:line="276" w:lineRule="auto"/>
              <w:ind w:left="315"/>
              <w:contextualSpacing/>
              <w:rPr>
                <w:rFonts w:cs="Arial"/>
                <w:color w:val="auto"/>
                <w:sz w:val="20"/>
              </w:rPr>
            </w:pPr>
          </w:p>
          <w:p w14:paraId="09AB1B3F" w14:textId="17800815" w:rsidR="006A2145" w:rsidRPr="001B5662" w:rsidRDefault="006A2145" w:rsidP="006A2145">
            <w:pPr>
              <w:keepNext w:val="0"/>
              <w:spacing w:before="0" w:line="276" w:lineRule="auto"/>
              <w:ind w:left="315"/>
              <w:contextualSpacing/>
              <w:rPr>
                <w:rFonts w:cs="Arial"/>
                <w:color w:val="auto"/>
                <w:sz w:val="20"/>
              </w:rPr>
            </w:pPr>
          </w:p>
        </w:tc>
      </w:tr>
      <w:tr w:rsidR="001B5662" w:rsidRPr="003C7E62" w14:paraId="2927B354" w14:textId="77777777" w:rsidTr="006C6E8A">
        <w:tc>
          <w:tcPr>
            <w:tcW w:w="900" w:type="dxa"/>
            <w:shd w:val="clear" w:color="auto" w:fill="FFF2CC" w:themeFill="accent4" w:themeFillTint="33"/>
            <w:textDirection w:val="btLr"/>
            <w:vAlign w:val="center"/>
          </w:tcPr>
          <w:p w14:paraId="1B2017FC" w14:textId="1DC93B4F" w:rsidR="001B5662" w:rsidRPr="003C7E62" w:rsidRDefault="001B5662" w:rsidP="001B5662">
            <w:pPr>
              <w:keepNext w:val="0"/>
              <w:spacing w:before="0"/>
              <w:jc w:val="center"/>
              <w:rPr>
                <w:rFonts w:cs="Arial"/>
                <w:b/>
                <w:bCs/>
                <w:color w:val="auto"/>
              </w:rPr>
            </w:pPr>
            <w:r w:rsidRPr="006E6F68">
              <w:rPr>
                <w:rFonts w:cs="Arial"/>
                <w:b/>
              </w:rPr>
              <w:t>The Community</w:t>
            </w:r>
          </w:p>
        </w:tc>
        <w:tc>
          <w:tcPr>
            <w:tcW w:w="1080" w:type="dxa"/>
          </w:tcPr>
          <w:p w14:paraId="236890E1" w14:textId="176F125C" w:rsidR="001B5662" w:rsidRPr="003C7E62" w:rsidRDefault="001B5662" w:rsidP="001B5662">
            <w:pPr>
              <w:keepNext w:val="0"/>
              <w:spacing w:before="0"/>
              <w:rPr>
                <w:rFonts w:cs="Arial"/>
                <w:b/>
                <w:bCs/>
                <w:color w:val="auto"/>
              </w:rPr>
            </w:pPr>
            <w:r w:rsidRPr="003C7E62">
              <w:rPr>
                <w:rFonts w:cs="Arial"/>
                <w:b/>
                <w:bCs/>
                <w:color w:val="auto"/>
              </w:rPr>
              <w:t>SO4</w:t>
            </w:r>
          </w:p>
        </w:tc>
        <w:tc>
          <w:tcPr>
            <w:tcW w:w="7654" w:type="dxa"/>
          </w:tcPr>
          <w:p w14:paraId="7D8AD297" w14:textId="7BA5B7D0" w:rsidR="001B5662" w:rsidRPr="003C7E62" w:rsidRDefault="001B5662" w:rsidP="001B5662">
            <w:pPr>
              <w:keepNext w:val="0"/>
              <w:spacing w:before="0" w:line="276" w:lineRule="auto"/>
              <w:rPr>
                <w:rFonts w:cs="Arial"/>
                <w:b/>
                <w:color w:val="auto"/>
                <w:sz w:val="20"/>
              </w:rPr>
            </w:pPr>
            <w:r w:rsidRPr="003C7E62">
              <w:rPr>
                <w:rFonts w:cs="Arial"/>
                <w:b/>
                <w:color w:val="auto"/>
                <w:sz w:val="20"/>
              </w:rPr>
              <w:t>Timely and Viable Infrastructure</w:t>
            </w:r>
          </w:p>
          <w:p w14:paraId="1A5CBEAC" w14:textId="77777777" w:rsidR="001B5662" w:rsidRPr="003C7E62" w:rsidRDefault="001B5662" w:rsidP="001B5662">
            <w:pPr>
              <w:keepNext w:val="0"/>
              <w:spacing w:before="0" w:line="276" w:lineRule="auto"/>
              <w:rPr>
                <w:rFonts w:cs="Arial"/>
                <w:b/>
                <w:color w:val="auto"/>
                <w:sz w:val="20"/>
              </w:rPr>
            </w:pPr>
          </w:p>
          <w:p w14:paraId="51BDD64D" w14:textId="77777777" w:rsidR="001B5662" w:rsidRPr="003C7E62" w:rsidRDefault="001B5662" w:rsidP="001B5662">
            <w:pPr>
              <w:keepNext w:val="0"/>
              <w:spacing w:before="0" w:line="276" w:lineRule="auto"/>
              <w:rPr>
                <w:rFonts w:cs="Arial"/>
                <w:color w:val="auto"/>
                <w:sz w:val="20"/>
              </w:rPr>
            </w:pPr>
            <w:r w:rsidRPr="003C7E62">
              <w:rPr>
                <w:rFonts w:cs="Arial"/>
                <w:color w:val="auto"/>
                <w:sz w:val="20"/>
              </w:rPr>
              <w:t>Ensure necessary infrastructure is provided on a timely basis as part of new development for the benefit of new and existing residents. This includes:</w:t>
            </w:r>
          </w:p>
          <w:p w14:paraId="7AD33417" w14:textId="77777777" w:rsidR="001B5662" w:rsidRPr="003C7E62" w:rsidRDefault="001B5662" w:rsidP="00874A98">
            <w:pPr>
              <w:keepNext w:val="0"/>
              <w:numPr>
                <w:ilvl w:val="0"/>
                <w:numId w:val="69"/>
              </w:numPr>
              <w:spacing w:before="0" w:line="276" w:lineRule="auto"/>
              <w:ind w:left="315" w:hanging="284"/>
              <w:contextualSpacing/>
              <w:rPr>
                <w:rFonts w:cs="Arial"/>
                <w:color w:val="auto"/>
                <w:sz w:val="20"/>
              </w:rPr>
            </w:pPr>
            <w:r w:rsidRPr="003C7E62">
              <w:rPr>
                <w:rFonts w:cs="Arial"/>
                <w:color w:val="auto"/>
                <w:sz w:val="20"/>
              </w:rPr>
              <w:t xml:space="preserve">Working with partners to secure education, training, community and health facilities in appropriate locations. </w:t>
            </w:r>
          </w:p>
          <w:p w14:paraId="13825AAF" w14:textId="77777777" w:rsidR="001B5662" w:rsidRPr="003C7E62" w:rsidRDefault="001B5662" w:rsidP="00874A98">
            <w:pPr>
              <w:keepNext w:val="0"/>
              <w:numPr>
                <w:ilvl w:val="0"/>
                <w:numId w:val="69"/>
              </w:numPr>
              <w:spacing w:before="0" w:line="276" w:lineRule="auto"/>
              <w:ind w:left="315" w:hanging="284"/>
              <w:contextualSpacing/>
              <w:rPr>
                <w:rFonts w:cs="Arial"/>
                <w:color w:val="auto"/>
                <w:sz w:val="20"/>
              </w:rPr>
            </w:pPr>
            <w:r w:rsidRPr="003C7E62">
              <w:rPr>
                <w:rFonts w:cs="Arial"/>
                <w:color w:val="auto"/>
                <w:sz w:val="20"/>
              </w:rPr>
              <w:t>The provision of green and blue infrastructure.</w:t>
            </w:r>
          </w:p>
          <w:p w14:paraId="0ADD96A9" w14:textId="77777777" w:rsidR="001B5662" w:rsidRPr="003C7E62" w:rsidRDefault="001B5662" w:rsidP="00874A98">
            <w:pPr>
              <w:keepNext w:val="0"/>
              <w:numPr>
                <w:ilvl w:val="0"/>
                <w:numId w:val="69"/>
              </w:numPr>
              <w:spacing w:before="0" w:line="276" w:lineRule="auto"/>
              <w:ind w:left="315" w:hanging="284"/>
              <w:contextualSpacing/>
              <w:rPr>
                <w:rFonts w:cs="Arial"/>
                <w:color w:val="auto"/>
                <w:sz w:val="20"/>
              </w:rPr>
            </w:pPr>
            <w:r w:rsidRPr="003C7E62">
              <w:rPr>
                <w:rFonts w:cs="Arial"/>
                <w:color w:val="auto"/>
                <w:sz w:val="20"/>
              </w:rPr>
              <w:t>Supporting the provision of an accessible, energy efficient and integrated transport network including links to regional and national destinations.</w:t>
            </w:r>
          </w:p>
          <w:p w14:paraId="1F96FFBC" w14:textId="77777777" w:rsidR="001B5662" w:rsidRDefault="001B5662" w:rsidP="00874A98">
            <w:pPr>
              <w:keepNext w:val="0"/>
              <w:numPr>
                <w:ilvl w:val="0"/>
                <w:numId w:val="69"/>
              </w:numPr>
              <w:spacing w:before="0" w:line="276" w:lineRule="auto"/>
              <w:ind w:left="315" w:hanging="284"/>
              <w:contextualSpacing/>
              <w:rPr>
                <w:rFonts w:cs="Arial"/>
                <w:color w:val="auto"/>
                <w:sz w:val="20"/>
              </w:rPr>
            </w:pPr>
            <w:r w:rsidRPr="003C7E62">
              <w:rPr>
                <w:rFonts w:cs="Arial"/>
                <w:color w:val="auto"/>
                <w:sz w:val="20"/>
              </w:rPr>
              <w:t>Enhancing the digital infrastructure of broadband and mobile networks to ensure that benefits to economic growth and social wellbeing for Ashfield are fully realised in the future.</w:t>
            </w:r>
          </w:p>
          <w:p w14:paraId="047D7442" w14:textId="77777777" w:rsidR="006A2145" w:rsidRDefault="006A2145" w:rsidP="006A2145">
            <w:pPr>
              <w:keepNext w:val="0"/>
              <w:spacing w:before="0" w:line="276" w:lineRule="auto"/>
              <w:ind w:left="315"/>
              <w:contextualSpacing/>
              <w:rPr>
                <w:rFonts w:cs="Arial"/>
                <w:color w:val="auto"/>
                <w:sz w:val="20"/>
              </w:rPr>
            </w:pPr>
          </w:p>
          <w:p w14:paraId="71E995E0" w14:textId="730B9D1B" w:rsidR="001B5662" w:rsidRPr="003C7E62" w:rsidRDefault="001B5662" w:rsidP="001B5662">
            <w:pPr>
              <w:keepNext w:val="0"/>
              <w:spacing w:before="0" w:line="276" w:lineRule="auto"/>
              <w:ind w:left="315"/>
              <w:contextualSpacing/>
              <w:rPr>
                <w:rFonts w:cs="Arial"/>
                <w:color w:val="auto"/>
                <w:sz w:val="20"/>
              </w:rPr>
            </w:pPr>
          </w:p>
        </w:tc>
      </w:tr>
      <w:tr w:rsidR="001B5662" w:rsidRPr="003C7E62" w14:paraId="231C5F11" w14:textId="77777777" w:rsidTr="006C6E8A">
        <w:tc>
          <w:tcPr>
            <w:tcW w:w="900" w:type="dxa"/>
            <w:shd w:val="clear" w:color="auto" w:fill="FFF2CC" w:themeFill="accent4" w:themeFillTint="33"/>
            <w:textDirection w:val="btLr"/>
            <w:vAlign w:val="center"/>
          </w:tcPr>
          <w:p w14:paraId="21621488" w14:textId="50DAD131" w:rsidR="001B5662" w:rsidRPr="003C7E62" w:rsidRDefault="001B5662" w:rsidP="001B5662">
            <w:pPr>
              <w:keepNext w:val="0"/>
              <w:spacing w:before="0"/>
              <w:jc w:val="center"/>
              <w:rPr>
                <w:rFonts w:cs="Arial"/>
                <w:b/>
                <w:bCs/>
                <w:color w:val="auto"/>
              </w:rPr>
            </w:pPr>
            <w:r w:rsidRPr="006E6F68">
              <w:rPr>
                <w:rFonts w:cs="Arial"/>
                <w:b/>
              </w:rPr>
              <w:t>The Community</w:t>
            </w:r>
          </w:p>
        </w:tc>
        <w:tc>
          <w:tcPr>
            <w:tcW w:w="1080" w:type="dxa"/>
          </w:tcPr>
          <w:p w14:paraId="640609DA" w14:textId="3944D9BE" w:rsidR="001B5662" w:rsidRPr="003C7E62" w:rsidRDefault="001B5662" w:rsidP="001B5662">
            <w:pPr>
              <w:keepNext w:val="0"/>
              <w:spacing w:before="0"/>
              <w:rPr>
                <w:rFonts w:cs="Arial"/>
                <w:b/>
                <w:bCs/>
                <w:color w:val="auto"/>
              </w:rPr>
            </w:pPr>
            <w:r w:rsidRPr="003C7E62">
              <w:rPr>
                <w:rFonts w:cs="Arial"/>
                <w:b/>
                <w:bCs/>
                <w:color w:val="auto"/>
              </w:rPr>
              <w:t>SO5</w:t>
            </w:r>
          </w:p>
        </w:tc>
        <w:tc>
          <w:tcPr>
            <w:tcW w:w="7654" w:type="dxa"/>
          </w:tcPr>
          <w:p w14:paraId="56B4E468" w14:textId="1F89AEC9" w:rsidR="001B5662" w:rsidRPr="003C7E62" w:rsidRDefault="001B5662" w:rsidP="001B5662">
            <w:pPr>
              <w:keepNext w:val="0"/>
              <w:spacing w:before="0" w:line="276" w:lineRule="auto"/>
              <w:rPr>
                <w:rFonts w:cs="Arial"/>
                <w:b/>
                <w:color w:val="auto"/>
                <w:sz w:val="20"/>
              </w:rPr>
            </w:pPr>
            <w:r w:rsidRPr="003C7E62">
              <w:rPr>
                <w:rFonts w:cs="Arial"/>
                <w:b/>
                <w:color w:val="auto"/>
                <w:sz w:val="20"/>
              </w:rPr>
              <w:t>Strong and Vibrant Rural Communities</w:t>
            </w:r>
          </w:p>
          <w:p w14:paraId="1419AA28" w14:textId="77777777" w:rsidR="001B5662" w:rsidRPr="003C7E62" w:rsidRDefault="001B5662" w:rsidP="001B5662">
            <w:pPr>
              <w:keepNext w:val="0"/>
              <w:spacing w:before="0" w:line="276" w:lineRule="auto"/>
              <w:rPr>
                <w:rFonts w:cs="Arial"/>
                <w:b/>
                <w:color w:val="auto"/>
                <w:sz w:val="20"/>
              </w:rPr>
            </w:pPr>
          </w:p>
          <w:p w14:paraId="74AB5F6A" w14:textId="77777777" w:rsidR="001B5662" w:rsidRPr="003C7E62" w:rsidRDefault="001B5662" w:rsidP="001B5662">
            <w:pPr>
              <w:keepNext w:val="0"/>
              <w:spacing w:before="0" w:line="276" w:lineRule="auto"/>
              <w:rPr>
                <w:rFonts w:cs="Arial"/>
                <w:color w:val="auto"/>
                <w:sz w:val="20"/>
              </w:rPr>
            </w:pPr>
            <w:r w:rsidRPr="003C7E62">
              <w:rPr>
                <w:rFonts w:cs="Arial"/>
                <w:color w:val="auto"/>
                <w:sz w:val="20"/>
              </w:rPr>
              <w:t>Protecting the character of rural settlements and ensuring that development respects the size of villages, whilst sustaining local services, supporting diversification of rural businesses and making provision for affordable housing.</w:t>
            </w:r>
          </w:p>
          <w:p w14:paraId="6D786C74" w14:textId="77777777" w:rsidR="001B5662" w:rsidRPr="003C7E62" w:rsidRDefault="001B5662" w:rsidP="001B5662">
            <w:pPr>
              <w:keepNext w:val="0"/>
              <w:spacing w:before="0" w:line="276" w:lineRule="auto"/>
              <w:rPr>
                <w:rFonts w:cs="Arial"/>
                <w:color w:val="auto"/>
                <w:sz w:val="20"/>
              </w:rPr>
            </w:pPr>
          </w:p>
          <w:p w14:paraId="3FE57D3A" w14:textId="77777777" w:rsidR="001B5662" w:rsidRPr="003C7E62" w:rsidRDefault="001B5662" w:rsidP="001B5662">
            <w:pPr>
              <w:keepNext w:val="0"/>
              <w:spacing w:before="0" w:line="276" w:lineRule="auto"/>
              <w:rPr>
                <w:rFonts w:cs="Arial"/>
                <w:color w:val="auto"/>
                <w:sz w:val="20"/>
              </w:rPr>
            </w:pPr>
            <w:r w:rsidRPr="003C7E62">
              <w:rPr>
                <w:rFonts w:cs="Arial"/>
                <w:color w:val="auto"/>
                <w:sz w:val="20"/>
              </w:rPr>
              <w:lastRenderedPageBreak/>
              <w:t xml:space="preserve">Supporting enhancing and improving the sustainability, vibrancy and vitality of the larger villages of </w:t>
            </w:r>
            <w:proofErr w:type="spellStart"/>
            <w:r w:rsidRPr="003C7E62">
              <w:rPr>
                <w:rFonts w:cs="Arial"/>
                <w:color w:val="auto"/>
                <w:sz w:val="20"/>
              </w:rPr>
              <w:t>Selston</w:t>
            </w:r>
            <w:proofErr w:type="spellEnd"/>
            <w:r w:rsidRPr="003C7E62">
              <w:rPr>
                <w:rFonts w:cs="Arial"/>
                <w:color w:val="auto"/>
                <w:sz w:val="20"/>
              </w:rPr>
              <w:t xml:space="preserve">, </w:t>
            </w:r>
            <w:proofErr w:type="spellStart"/>
            <w:r w:rsidRPr="003C7E62">
              <w:rPr>
                <w:rFonts w:cs="Arial"/>
                <w:color w:val="auto"/>
                <w:sz w:val="20"/>
              </w:rPr>
              <w:t>Jacksdale</w:t>
            </w:r>
            <w:proofErr w:type="spellEnd"/>
            <w:r w:rsidRPr="003C7E62">
              <w:rPr>
                <w:rFonts w:cs="Arial"/>
                <w:color w:val="auto"/>
                <w:sz w:val="20"/>
              </w:rPr>
              <w:t xml:space="preserve"> and Underwood by providing: </w:t>
            </w:r>
          </w:p>
          <w:p w14:paraId="6201E0E0" w14:textId="77777777" w:rsidR="001B5662" w:rsidRPr="003C7E62" w:rsidRDefault="001B5662" w:rsidP="00874A98">
            <w:pPr>
              <w:keepNext w:val="0"/>
              <w:numPr>
                <w:ilvl w:val="0"/>
                <w:numId w:val="70"/>
              </w:numPr>
              <w:spacing w:before="0" w:line="276" w:lineRule="auto"/>
              <w:ind w:left="315" w:hanging="284"/>
              <w:contextualSpacing/>
              <w:rPr>
                <w:rFonts w:cs="Arial"/>
                <w:color w:val="auto"/>
                <w:sz w:val="20"/>
              </w:rPr>
            </w:pPr>
            <w:r w:rsidRPr="003C7E62">
              <w:rPr>
                <w:rFonts w:cs="Arial"/>
                <w:color w:val="auto"/>
                <w:sz w:val="20"/>
              </w:rPr>
              <w:t xml:space="preserve">Access to a range of quality housing providing for the needs of all sectors of the communities, while ensuring that any development relates positively in form and function of the village. </w:t>
            </w:r>
          </w:p>
          <w:p w14:paraId="7D1CE429" w14:textId="77777777" w:rsidR="001B5662" w:rsidRPr="003C7E62" w:rsidRDefault="001B5662" w:rsidP="00874A98">
            <w:pPr>
              <w:keepNext w:val="0"/>
              <w:numPr>
                <w:ilvl w:val="0"/>
                <w:numId w:val="70"/>
              </w:numPr>
              <w:spacing w:before="0" w:line="276" w:lineRule="auto"/>
              <w:ind w:left="315" w:hanging="284"/>
              <w:contextualSpacing/>
              <w:rPr>
                <w:rFonts w:cs="Arial"/>
                <w:color w:val="auto"/>
                <w:sz w:val="20"/>
              </w:rPr>
            </w:pPr>
            <w:r w:rsidRPr="003C7E62">
              <w:rPr>
                <w:rFonts w:cs="Arial"/>
                <w:color w:val="auto"/>
                <w:sz w:val="20"/>
              </w:rPr>
              <w:t xml:space="preserve">Development, which sustain and where appropriate, enhances local facilities including retail capacity and community facilities such as health and education. </w:t>
            </w:r>
          </w:p>
          <w:p w14:paraId="586A0396" w14:textId="77777777" w:rsidR="001B5662" w:rsidRPr="003C7E62" w:rsidRDefault="001B5662" w:rsidP="00874A98">
            <w:pPr>
              <w:keepNext w:val="0"/>
              <w:numPr>
                <w:ilvl w:val="0"/>
                <w:numId w:val="70"/>
              </w:numPr>
              <w:spacing w:before="0" w:line="276" w:lineRule="auto"/>
              <w:ind w:left="315" w:hanging="284"/>
              <w:contextualSpacing/>
              <w:rPr>
                <w:rFonts w:cs="Arial"/>
                <w:color w:val="auto"/>
                <w:sz w:val="20"/>
              </w:rPr>
            </w:pPr>
            <w:r w:rsidRPr="003C7E62">
              <w:rPr>
                <w:rFonts w:cs="Arial"/>
                <w:color w:val="auto"/>
                <w:sz w:val="20"/>
              </w:rPr>
              <w:t>An environment that is attractive to small businesses and home working.</w:t>
            </w:r>
          </w:p>
          <w:p w14:paraId="73E06468" w14:textId="77777777" w:rsidR="001B5662" w:rsidRDefault="001B5662" w:rsidP="00874A98">
            <w:pPr>
              <w:keepNext w:val="0"/>
              <w:numPr>
                <w:ilvl w:val="0"/>
                <w:numId w:val="70"/>
              </w:numPr>
              <w:spacing w:before="0" w:line="276" w:lineRule="auto"/>
              <w:ind w:left="315" w:hanging="284"/>
              <w:contextualSpacing/>
              <w:rPr>
                <w:rFonts w:cs="Arial"/>
                <w:color w:val="auto"/>
                <w:sz w:val="20"/>
              </w:rPr>
            </w:pPr>
            <w:r w:rsidRPr="003C7E62">
              <w:rPr>
                <w:rFonts w:cs="Arial"/>
                <w:color w:val="auto"/>
                <w:sz w:val="20"/>
              </w:rPr>
              <w:t>For the extension and enhancement of public space and recreational facilities.</w:t>
            </w:r>
          </w:p>
          <w:p w14:paraId="761873B8" w14:textId="051AE56E" w:rsidR="001630D1" w:rsidRPr="003C7E62" w:rsidRDefault="001630D1" w:rsidP="001630D1">
            <w:pPr>
              <w:keepNext w:val="0"/>
              <w:spacing w:before="0" w:line="276" w:lineRule="auto"/>
              <w:ind w:left="315"/>
              <w:contextualSpacing/>
              <w:rPr>
                <w:rFonts w:cs="Arial"/>
                <w:color w:val="auto"/>
                <w:sz w:val="20"/>
              </w:rPr>
            </w:pPr>
          </w:p>
        </w:tc>
      </w:tr>
    </w:tbl>
    <w:p w14:paraId="1277E785" w14:textId="6A7FAA4C" w:rsidR="003D2A07" w:rsidRDefault="003D2A07" w:rsidP="003D2A07">
      <w:pPr>
        <w:keepNext w:val="0"/>
        <w:spacing w:before="0" w:after="160" w:line="252" w:lineRule="auto"/>
        <w:jc w:val="both"/>
        <w:rPr>
          <w:rFonts w:eastAsia="Calibri" w:cs="Arial"/>
          <w:color w:val="auto"/>
          <w:szCs w:val="22"/>
          <w:lang w:eastAsia="en-US"/>
        </w:rPr>
      </w:pPr>
    </w:p>
    <w:tbl>
      <w:tblPr>
        <w:tblStyle w:val="TableGrid4"/>
        <w:tblW w:w="9634" w:type="dxa"/>
        <w:tblLook w:val="04A0" w:firstRow="1" w:lastRow="0" w:firstColumn="1" w:lastColumn="0" w:noHBand="0" w:noVBand="1"/>
      </w:tblPr>
      <w:tblGrid>
        <w:gridCol w:w="846"/>
        <w:gridCol w:w="1134"/>
        <w:gridCol w:w="7654"/>
      </w:tblGrid>
      <w:tr w:rsidR="001B5662" w:rsidRPr="003C7E62" w14:paraId="0F9CC3B8" w14:textId="77777777" w:rsidTr="006C6E8A">
        <w:trPr>
          <w:cantSplit/>
          <w:trHeight w:val="1134"/>
        </w:trPr>
        <w:tc>
          <w:tcPr>
            <w:tcW w:w="846" w:type="dxa"/>
            <w:shd w:val="clear" w:color="auto" w:fill="0070C0"/>
            <w:textDirection w:val="btLr"/>
            <w:vAlign w:val="center"/>
          </w:tcPr>
          <w:p w14:paraId="4D1164ED" w14:textId="7BECF110" w:rsidR="001B5662" w:rsidRPr="003C7E62" w:rsidRDefault="001B5662" w:rsidP="001B5662">
            <w:pPr>
              <w:keepNext w:val="0"/>
              <w:spacing w:before="0" w:line="276" w:lineRule="auto"/>
              <w:jc w:val="center"/>
              <w:rPr>
                <w:rFonts w:cs="Arial"/>
                <w:b/>
                <w:color w:val="auto"/>
              </w:rPr>
            </w:pPr>
            <w:r w:rsidRPr="003C7E62">
              <w:rPr>
                <w:rFonts w:cs="Arial"/>
                <w:b/>
                <w:color w:val="FFFFFF"/>
              </w:rPr>
              <w:t>The Economy</w:t>
            </w:r>
          </w:p>
        </w:tc>
        <w:tc>
          <w:tcPr>
            <w:tcW w:w="1134" w:type="dxa"/>
          </w:tcPr>
          <w:p w14:paraId="655BFAC5" w14:textId="4C49FA3A" w:rsidR="001B5662" w:rsidRPr="003C7E62" w:rsidRDefault="001B5662" w:rsidP="001B5662">
            <w:pPr>
              <w:keepNext w:val="0"/>
              <w:spacing w:before="0" w:line="276" w:lineRule="auto"/>
              <w:rPr>
                <w:rFonts w:cs="Arial"/>
                <w:b/>
                <w:color w:val="auto"/>
              </w:rPr>
            </w:pPr>
            <w:r w:rsidRPr="003C7E62">
              <w:rPr>
                <w:rFonts w:cs="Arial"/>
                <w:b/>
                <w:color w:val="auto"/>
              </w:rPr>
              <w:t xml:space="preserve">SO6 </w:t>
            </w:r>
          </w:p>
        </w:tc>
        <w:tc>
          <w:tcPr>
            <w:tcW w:w="7654" w:type="dxa"/>
          </w:tcPr>
          <w:p w14:paraId="14B05260" w14:textId="77777777" w:rsidR="001B5662" w:rsidRPr="003C7E62" w:rsidRDefault="001B5662" w:rsidP="001B5662">
            <w:pPr>
              <w:keepNext w:val="0"/>
              <w:spacing w:before="0" w:after="120" w:line="276" w:lineRule="auto"/>
              <w:rPr>
                <w:rFonts w:cs="Arial"/>
                <w:b/>
                <w:color w:val="auto"/>
                <w:sz w:val="20"/>
              </w:rPr>
            </w:pPr>
            <w:r w:rsidRPr="003C7E62">
              <w:rPr>
                <w:rFonts w:cs="Arial"/>
                <w:b/>
                <w:color w:val="auto"/>
                <w:sz w:val="20"/>
              </w:rPr>
              <w:t>Economic Opportunity for All</w:t>
            </w:r>
          </w:p>
          <w:p w14:paraId="4B54FB8D" w14:textId="77777777" w:rsidR="001B5662" w:rsidRPr="003C7E62" w:rsidRDefault="001B5662" w:rsidP="001B5662">
            <w:pPr>
              <w:keepNext w:val="0"/>
              <w:spacing w:before="0" w:line="276" w:lineRule="auto"/>
              <w:rPr>
                <w:rFonts w:cs="Arial"/>
                <w:color w:val="auto"/>
                <w:sz w:val="20"/>
              </w:rPr>
            </w:pPr>
            <w:r w:rsidRPr="003C7E62">
              <w:rPr>
                <w:rFonts w:cs="Arial"/>
                <w:color w:val="auto"/>
                <w:sz w:val="20"/>
              </w:rPr>
              <w:t xml:space="preserve">To be ambitious for economic growth and productivity in Ashfield while recognising the requirements of environmental capacity and amenity by: </w:t>
            </w:r>
          </w:p>
          <w:p w14:paraId="16431F6D" w14:textId="77777777" w:rsidR="001B5662" w:rsidRPr="003C7E62" w:rsidRDefault="001B5662" w:rsidP="00874A98">
            <w:pPr>
              <w:keepNext w:val="0"/>
              <w:numPr>
                <w:ilvl w:val="0"/>
                <w:numId w:val="71"/>
              </w:numPr>
              <w:spacing w:before="0" w:line="276" w:lineRule="auto"/>
              <w:ind w:left="315" w:hanging="284"/>
              <w:contextualSpacing/>
              <w:rPr>
                <w:rFonts w:cs="Arial"/>
                <w:color w:val="auto"/>
                <w:sz w:val="20"/>
              </w:rPr>
            </w:pPr>
            <w:r w:rsidRPr="003C7E62">
              <w:rPr>
                <w:rFonts w:cs="Arial"/>
                <w:color w:val="auto"/>
                <w:sz w:val="20"/>
              </w:rPr>
              <w:t>Creating a climate for business and enterprise growth with an emphasis on making investment happen.</w:t>
            </w:r>
          </w:p>
          <w:p w14:paraId="28194BDA" w14:textId="77777777" w:rsidR="001B5662" w:rsidRPr="003C7E62" w:rsidRDefault="001B5662" w:rsidP="00874A98">
            <w:pPr>
              <w:keepNext w:val="0"/>
              <w:numPr>
                <w:ilvl w:val="0"/>
                <w:numId w:val="71"/>
              </w:numPr>
              <w:spacing w:before="0" w:line="276" w:lineRule="auto"/>
              <w:ind w:left="315" w:hanging="284"/>
              <w:contextualSpacing/>
              <w:rPr>
                <w:rFonts w:cs="Arial"/>
                <w:color w:val="auto"/>
                <w:sz w:val="20"/>
              </w:rPr>
            </w:pPr>
            <w:r w:rsidRPr="003C7E62">
              <w:rPr>
                <w:rFonts w:cs="Arial"/>
                <w:color w:val="auto"/>
                <w:sz w:val="20"/>
              </w:rPr>
              <w:t xml:space="preserve">To encourage economic development and regeneration of the </w:t>
            </w:r>
            <w:proofErr w:type="gramStart"/>
            <w:r w:rsidRPr="003C7E62">
              <w:rPr>
                <w:rFonts w:cs="Arial"/>
                <w:color w:val="auto"/>
                <w:sz w:val="20"/>
              </w:rPr>
              <w:t>District</w:t>
            </w:r>
            <w:proofErr w:type="gramEnd"/>
            <w:r w:rsidRPr="003C7E62">
              <w:rPr>
                <w:rFonts w:cs="Arial"/>
                <w:color w:val="auto"/>
                <w:sz w:val="20"/>
              </w:rPr>
              <w:t xml:space="preserve"> and diversification of the local economy by ensuring the provision of a range and choice of employment sites in terms of size, quality and location</w:t>
            </w:r>
          </w:p>
          <w:p w14:paraId="6D7FA6F6" w14:textId="77777777" w:rsidR="001B5662" w:rsidRPr="003C7E62" w:rsidRDefault="001B5662" w:rsidP="00874A98">
            <w:pPr>
              <w:keepNext w:val="0"/>
              <w:numPr>
                <w:ilvl w:val="0"/>
                <w:numId w:val="71"/>
              </w:numPr>
              <w:spacing w:before="0" w:line="276" w:lineRule="auto"/>
              <w:ind w:left="315" w:hanging="284"/>
              <w:contextualSpacing/>
              <w:rPr>
                <w:rFonts w:cs="Arial"/>
                <w:color w:val="auto"/>
                <w:sz w:val="20"/>
              </w:rPr>
            </w:pPr>
            <w:r w:rsidRPr="003C7E62">
              <w:rPr>
                <w:rFonts w:cs="Arial"/>
                <w:color w:val="auto"/>
                <w:sz w:val="20"/>
              </w:rPr>
              <w:t>Promoting a higher wage and higher skilled economy.</w:t>
            </w:r>
          </w:p>
          <w:p w14:paraId="5535111E" w14:textId="77777777" w:rsidR="001B5662" w:rsidRPr="003C7E62" w:rsidRDefault="001B5662" w:rsidP="00874A98">
            <w:pPr>
              <w:keepNext w:val="0"/>
              <w:numPr>
                <w:ilvl w:val="0"/>
                <w:numId w:val="71"/>
              </w:numPr>
              <w:spacing w:before="0" w:line="276" w:lineRule="auto"/>
              <w:ind w:left="315" w:hanging="284"/>
              <w:contextualSpacing/>
              <w:rPr>
                <w:rFonts w:cs="Arial"/>
                <w:vanish/>
                <w:color w:val="auto"/>
                <w:sz w:val="20"/>
              </w:rPr>
            </w:pPr>
            <w:r w:rsidRPr="003C7E62">
              <w:rPr>
                <w:rFonts w:cs="Arial"/>
                <w:color w:val="auto"/>
                <w:sz w:val="20"/>
              </w:rPr>
              <w:t>Supporting the growth of a diverse range of economic sectors, p</w:t>
            </w:r>
            <w:r w:rsidRPr="003C7E62">
              <w:rPr>
                <w:rFonts w:cs="Arial"/>
                <w:bCs/>
                <w:color w:val="auto"/>
                <w:kern w:val="24"/>
                <w:sz w:val="20"/>
              </w:rPr>
              <w:t>romoting development to parts of the district where it is needed to build and strengthen</w:t>
            </w:r>
            <w:r w:rsidRPr="003C7E62">
              <w:rPr>
                <w:rFonts w:cs="Arial"/>
                <w:bCs/>
                <w:i/>
                <w:color w:val="auto"/>
                <w:kern w:val="24"/>
                <w:sz w:val="20"/>
              </w:rPr>
              <w:t xml:space="preserve"> </w:t>
            </w:r>
            <w:r w:rsidRPr="003C7E62">
              <w:rPr>
                <w:rFonts w:cs="Arial"/>
                <w:bCs/>
                <w:color w:val="auto"/>
                <w:kern w:val="24"/>
                <w:sz w:val="20"/>
              </w:rPr>
              <w:t xml:space="preserve">vibrant and cohesive communities. </w:t>
            </w:r>
          </w:p>
          <w:p w14:paraId="6FDE9F83" w14:textId="77777777" w:rsidR="001B5662" w:rsidRPr="003C7E62" w:rsidRDefault="001B5662" w:rsidP="00874A98">
            <w:pPr>
              <w:keepNext w:val="0"/>
              <w:numPr>
                <w:ilvl w:val="0"/>
                <w:numId w:val="71"/>
              </w:numPr>
              <w:spacing w:before="0" w:line="276" w:lineRule="auto"/>
              <w:ind w:left="315" w:hanging="284"/>
              <w:contextualSpacing/>
              <w:rPr>
                <w:rFonts w:cs="Arial"/>
                <w:color w:val="auto"/>
                <w:sz w:val="20"/>
              </w:rPr>
            </w:pPr>
            <w:r w:rsidRPr="003C7E62">
              <w:rPr>
                <w:rFonts w:cs="Arial"/>
                <w:color w:val="auto"/>
                <w:sz w:val="20"/>
              </w:rPr>
              <w:t>Facilitating access to a skilled and educated labour force.</w:t>
            </w:r>
          </w:p>
          <w:p w14:paraId="4A9A48D8" w14:textId="77777777" w:rsidR="001B5662" w:rsidRPr="003C7E62" w:rsidRDefault="001B5662" w:rsidP="00874A98">
            <w:pPr>
              <w:keepNext w:val="0"/>
              <w:numPr>
                <w:ilvl w:val="0"/>
                <w:numId w:val="104"/>
              </w:numPr>
              <w:spacing w:before="0" w:line="276" w:lineRule="auto"/>
              <w:ind w:left="315" w:hanging="284"/>
              <w:contextualSpacing/>
              <w:rPr>
                <w:rFonts w:cs="Arial"/>
                <w:color w:val="auto"/>
                <w:sz w:val="20"/>
              </w:rPr>
            </w:pPr>
            <w:r w:rsidRPr="003C7E62">
              <w:rPr>
                <w:rFonts w:cs="Arial"/>
                <w:color w:val="auto"/>
                <w:sz w:val="20"/>
              </w:rPr>
              <w:t>Facilitating the wider transport network and local rail links to integrate with key transport hubs</w:t>
            </w:r>
          </w:p>
          <w:p w14:paraId="1BE961CF" w14:textId="77777777" w:rsidR="001B5662" w:rsidRPr="003C7E62" w:rsidRDefault="001B5662" w:rsidP="00874A98">
            <w:pPr>
              <w:keepNext w:val="0"/>
              <w:numPr>
                <w:ilvl w:val="0"/>
                <w:numId w:val="104"/>
              </w:numPr>
              <w:spacing w:before="0" w:line="276" w:lineRule="auto"/>
              <w:ind w:left="315" w:hanging="284"/>
              <w:contextualSpacing/>
              <w:rPr>
                <w:rFonts w:cs="Arial"/>
                <w:color w:val="auto"/>
                <w:sz w:val="20"/>
              </w:rPr>
            </w:pPr>
            <w:r w:rsidRPr="003C7E62">
              <w:rPr>
                <w:rFonts w:cs="Arial"/>
                <w:color w:val="auto"/>
                <w:sz w:val="20"/>
              </w:rPr>
              <w:t xml:space="preserve">Expanding the leisure, tourism and visitor offer to inspire and encourage the exploration of Ashfield. </w:t>
            </w:r>
          </w:p>
          <w:p w14:paraId="635A05C8" w14:textId="102CA43A" w:rsidR="001B5662" w:rsidRPr="003C7E62" w:rsidRDefault="001B5662" w:rsidP="001B5662">
            <w:pPr>
              <w:keepNext w:val="0"/>
              <w:spacing w:before="0" w:line="276" w:lineRule="auto"/>
              <w:contextualSpacing/>
              <w:rPr>
                <w:rFonts w:cs="Arial"/>
                <w:color w:val="auto"/>
                <w:sz w:val="20"/>
              </w:rPr>
            </w:pPr>
          </w:p>
        </w:tc>
      </w:tr>
      <w:tr w:rsidR="001B5662" w:rsidRPr="003C7E62" w14:paraId="1DE4E7E1" w14:textId="77777777" w:rsidTr="006C6E8A">
        <w:tc>
          <w:tcPr>
            <w:tcW w:w="846" w:type="dxa"/>
            <w:shd w:val="clear" w:color="auto" w:fill="0070C0"/>
            <w:textDirection w:val="btLr"/>
            <w:vAlign w:val="center"/>
          </w:tcPr>
          <w:p w14:paraId="2053C71E" w14:textId="715094F3" w:rsidR="001B5662" w:rsidRPr="003C7E62" w:rsidRDefault="001B5662" w:rsidP="001B5662">
            <w:pPr>
              <w:keepNext w:val="0"/>
              <w:spacing w:before="0"/>
              <w:jc w:val="center"/>
              <w:rPr>
                <w:rFonts w:cs="Arial"/>
                <w:b/>
                <w:bCs/>
                <w:color w:val="auto"/>
              </w:rPr>
            </w:pPr>
            <w:r w:rsidRPr="003C7E62">
              <w:rPr>
                <w:rFonts w:cs="Arial"/>
                <w:b/>
                <w:color w:val="FFFFFF"/>
              </w:rPr>
              <w:t>The Economy</w:t>
            </w:r>
          </w:p>
        </w:tc>
        <w:tc>
          <w:tcPr>
            <w:tcW w:w="1134" w:type="dxa"/>
          </w:tcPr>
          <w:p w14:paraId="6D8C8B92" w14:textId="2F59BA7B" w:rsidR="001B5662" w:rsidRPr="003C7E62" w:rsidRDefault="001B5662" w:rsidP="001B5662">
            <w:pPr>
              <w:keepNext w:val="0"/>
              <w:spacing w:before="0"/>
              <w:rPr>
                <w:rFonts w:cs="Arial"/>
                <w:b/>
                <w:bCs/>
                <w:color w:val="auto"/>
              </w:rPr>
            </w:pPr>
            <w:r w:rsidRPr="003C7E62">
              <w:rPr>
                <w:rFonts w:cs="Arial"/>
                <w:b/>
                <w:bCs/>
                <w:color w:val="auto"/>
              </w:rPr>
              <w:t>SO7</w:t>
            </w:r>
          </w:p>
        </w:tc>
        <w:tc>
          <w:tcPr>
            <w:tcW w:w="7654" w:type="dxa"/>
          </w:tcPr>
          <w:p w14:paraId="43D35C45" w14:textId="77777777" w:rsidR="001B5662" w:rsidRPr="003C7E62" w:rsidRDefault="001B5662" w:rsidP="001B5662">
            <w:pPr>
              <w:keepNext w:val="0"/>
              <w:spacing w:before="0" w:line="276" w:lineRule="auto"/>
              <w:rPr>
                <w:rFonts w:cs="Arial"/>
                <w:b/>
                <w:color w:val="auto"/>
                <w:sz w:val="20"/>
              </w:rPr>
            </w:pPr>
            <w:r w:rsidRPr="003C7E62">
              <w:rPr>
                <w:rFonts w:cs="Arial"/>
                <w:b/>
                <w:color w:val="auto"/>
                <w:sz w:val="20"/>
              </w:rPr>
              <w:t>Sutton-in-Ashfield Town Centre</w:t>
            </w:r>
          </w:p>
          <w:p w14:paraId="1E87A334" w14:textId="77777777" w:rsidR="001B5662" w:rsidRPr="003C7E62" w:rsidRDefault="001B5662" w:rsidP="001B5662">
            <w:pPr>
              <w:keepNext w:val="0"/>
              <w:spacing w:before="0" w:line="276" w:lineRule="auto"/>
              <w:rPr>
                <w:rFonts w:cs="Arial"/>
                <w:b/>
                <w:color w:val="auto"/>
                <w:sz w:val="20"/>
              </w:rPr>
            </w:pPr>
          </w:p>
          <w:p w14:paraId="548CB717" w14:textId="77777777" w:rsidR="001B5662" w:rsidRPr="003C7E62" w:rsidRDefault="001B5662" w:rsidP="001B5662">
            <w:pPr>
              <w:keepNext w:val="0"/>
              <w:spacing w:before="0" w:line="276" w:lineRule="auto"/>
              <w:rPr>
                <w:rFonts w:cs="Arial"/>
                <w:color w:val="auto"/>
                <w:sz w:val="20"/>
              </w:rPr>
            </w:pPr>
            <w:r w:rsidRPr="003C7E62">
              <w:rPr>
                <w:rFonts w:cs="Arial"/>
                <w:color w:val="auto"/>
                <w:sz w:val="20"/>
              </w:rPr>
              <w:t>Refocus Sutton as an attractive and vibrant Town Centre by:</w:t>
            </w:r>
          </w:p>
          <w:p w14:paraId="3558C5D9" w14:textId="1341B930" w:rsidR="001B5662" w:rsidRPr="003C7E62" w:rsidRDefault="001B5662" w:rsidP="00874A98">
            <w:pPr>
              <w:keepNext w:val="0"/>
              <w:numPr>
                <w:ilvl w:val="0"/>
                <w:numId w:val="72"/>
              </w:numPr>
              <w:spacing w:before="0" w:line="276" w:lineRule="auto"/>
              <w:ind w:left="315" w:hanging="284"/>
              <w:contextualSpacing/>
              <w:rPr>
                <w:rFonts w:cs="Arial"/>
                <w:color w:val="auto"/>
                <w:sz w:val="20"/>
              </w:rPr>
            </w:pPr>
            <w:r w:rsidRPr="003C7E62">
              <w:rPr>
                <w:rFonts w:cs="Arial"/>
                <w:color w:val="auto"/>
                <w:sz w:val="20"/>
              </w:rPr>
              <w:t xml:space="preserve">Encouraging a </w:t>
            </w:r>
            <w:r w:rsidR="00083A29" w:rsidRPr="003C7E62">
              <w:rPr>
                <w:rFonts w:cs="Arial"/>
                <w:color w:val="auto"/>
                <w:sz w:val="20"/>
              </w:rPr>
              <w:t>high-quality</w:t>
            </w:r>
            <w:r w:rsidRPr="003C7E62">
              <w:rPr>
                <w:rFonts w:cs="Arial"/>
                <w:color w:val="auto"/>
                <w:sz w:val="20"/>
              </w:rPr>
              <w:t xml:space="preserve"> mix of retail, health, culture, housing, employment and leisure that will enhance the opportunity for people to live, work and visit the town centre;</w:t>
            </w:r>
          </w:p>
          <w:p w14:paraId="29AADD2A" w14:textId="77777777" w:rsidR="001B5662" w:rsidRPr="003C7E62" w:rsidRDefault="001B5662" w:rsidP="00874A98">
            <w:pPr>
              <w:keepNext w:val="0"/>
              <w:numPr>
                <w:ilvl w:val="0"/>
                <w:numId w:val="72"/>
              </w:numPr>
              <w:spacing w:before="0" w:line="276" w:lineRule="auto"/>
              <w:ind w:left="315" w:hanging="284"/>
              <w:contextualSpacing/>
              <w:rPr>
                <w:rFonts w:cs="Arial"/>
                <w:color w:val="auto"/>
                <w:sz w:val="20"/>
              </w:rPr>
            </w:pPr>
            <w:r w:rsidRPr="003C7E62">
              <w:rPr>
                <w:rFonts w:cs="Arial"/>
                <w:color w:val="auto"/>
                <w:sz w:val="20"/>
              </w:rPr>
              <w:t xml:space="preserve">Creating </w:t>
            </w:r>
            <w:r w:rsidRPr="003C7E62">
              <w:rPr>
                <w:rFonts w:cs="Arial"/>
                <w:bCs/>
                <w:color w:val="auto"/>
                <w:sz w:val="20"/>
              </w:rPr>
              <w:t xml:space="preserve">a town centre environment which residents are proud of;  </w:t>
            </w:r>
          </w:p>
          <w:p w14:paraId="1AF36B1A" w14:textId="77777777" w:rsidR="001B5662" w:rsidRPr="003C7E62" w:rsidRDefault="001B5662" w:rsidP="00874A98">
            <w:pPr>
              <w:keepNext w:val="0"/>
              <w:numPr>
                <w:ilvl w:val="0"/>
                <w:numId w:val="72"/>
              </w:numPr>
              <w:autoSpaceDE w:val="0"/>
              <w:autoSpaceDN w:val="0"/>
              <w:adjustRightInd w:val="0"/>
              <w:spacing w:before="0" w:line="241" w:lineRule="atLeast"/>
              <w:ind w:left="315" w:hanging="284"/>
              <w:rPr>
                <w:rFonts w:cs="Arial"/>
                <w:bCs/>
                <w:color w:val="auto"/>
                <w:sz w:val="20"/>
              </w:rPr>
            </w:pPr>
            <w:r w:rsidRPr="003C7E62">
              <w:rPr>
                <w:rFonts w:cs="Arial"/>
                <w:bCs/>
                <w:color w:val="auto"/>
                <w:sz w:val="20"/>
              </w:rPr>
              <w:t xml:space="preserve">Strengthening connections across the town centre through linking key destinations and promoting activity; </w:t>
            </w:r>
          </w:p>
          <w:p w14:paraId="15ABC6F2" w14:textId="77777777" w:rsidR="001B5662" w:rsidRPr="001B5662" w:rsidRDefault="001B5662" w:rsidP="00874A98">
            <w:pPr>
              <w:keepNext w:val="0"/>
              <w:numPr>
                <w:ilvl w:val="0"/>
                <w:numId w:val="72"/>
              </w:numPr>
              <w:autoSpaceDE w:val="0"/>
              <w:autoSpaceDN w:val="0"/>
              <w:adjustRightInd w:val="0"/>
              <w:spacing w:before="0" w:line="241" w:lineRule="atLeast"/>
              <w:ind w:left="315" w:hanging="284"/>
              <w:rPr>
                <w:rFonts w:eastAsia="Arial" w:cs="Arial"/>
                <w:color w:val="auto"/>
                <w:sz w:val="20"/>
              </w:rPr>
            </w:pPr>
            <w:r w:rsidRPr="003C7E62">
              <w:rPr>
                <w:rFonts w:cs="Arial"/>
                <w:bCs/>
                <w:color w:val="auto"/>
                <w:sz w:val="20"/>
              </w:rPr>
              <w:t>Enhancing the townscape character by ensuring that new development respects the town’s heritage particularly around Brook Street, Market Square (Conservation Area), Portland Square and Fox Street, and provides high quality design.</w:t>
            </w:r>
          </w:p>
          <w:p w14:paraId="4E6B4CB5" w14:textId="77777777" w:rsidR="001B5662" w:rsidRDefault="001B5662" w:rsidP="001B5662">
            <w:pPr>
              <w:keepNext w:val="0"/>
              <w:autoSpaceDE w:val="0"/>
              <w:autoSpaceDN w:val="0"/>
              <w:adjustRightInd w:val="0"/>
              <w:spacing w:before="0" w:line="241" w:lineRule="atLeast"/>
              <w:rPr>
                <w:rFonts w:cs="Arial"/>
                <w:bCs/>
                <w:color w:val="auto"/>
                <w:sz w:val="20"/>
              </w:rPr>
            </w:pPr>
          </w:p>
          <w:p w14:paraId="07608BEE" w14:textId="79FBDD72" w:rsidR="001B5662" w:rsidRPr="003C7E62" w:rsidRDefault="001B5662" w:rsidP="001B5662">
            <w:pPr>
              <w:keepNext w:val="0"/>
              <w:autoSpaceDE w:val="0"/>
              <w:autoSpaceDN w:val="0"/>
              <w:adjustRightInd w:val="0"/>
              <w:spacing w:before="0" w:line="241" w:lineRule="atLeast"/>
              <w:rPr>
                <w:rFonts w:eastAsia="Arial" w:cs="Arial"/>
                <w:color w:val="auto"/>
                <w:sz w:val="20"/>
              </w:rPr>
            </w:pPr>
          </w:p>
        </w:tc>
      </w:tr>
      <w:tr w:rsidR="001B5662" w:rsidRPr="003C7E62" w14:paraId="12EFF2BF" w14:textId="77777777" w:rsidTr="006C6E8A">
        <w:tc>
          <w:tcPr>
            <w:tcW w:w="846" w:type="dxa"/>
            <w:shd w:val="clear" w:color="auto" w:fill="0070C0"/>
            <w:textDirection w:val="btLr"/>
            <w:vAlign w:val="center"/>
          </w:tcPr>
          <w:p w14:paraId="36BCEC67" w14:textId="6BD5C8C6" w:rsidR="001B5662" w:rsidRPr="003C7E62" w:rsidRDefault="001B5662" w:rsidP="001B5662">
            <w:pPr>
              <w:keepNext w:val="0"/>
              <w:spacing w:before="0"/>
              <w:jc w:val="center"/>
              <w:rPr>
                <w:rFonts w:cs="Arial"/>
                <w:b/>
                <w:bCs/>
                <w:color w:val="auto"/>
              </w:rPr>
            </w:pPr>
            <w:r w:rsidRPr="003C7E62">
              <w:rPr>
                <w:rFonts w:cs="Arial"/>
                <w:b/>
                <w:color w:val="FFFFFF"/>
              </w:rPr>
              <w:t>The Economy</w:t>
            </w:r>
          </w:p>
        </w:tc>
        <w:tc>
          <w:tcPr>
            <w:tcW w:w="1134" w:type="dxa"/>
          </w:tcPr>
          <w:p w14:paraId="30DB9959" w14:textId="490A99D9" w:rsidR="001B5662" w:rsidRPr="003C7E62" w:rsidRDefault="001B5662" w:rsidP="001B5662">
            <w:pPr>
              <w:keepNext w:val="0"/>
              <w:spacing w:before="0"/>
              <w:rPr>
                <w:rFonts w:cs="Arial"/>
                <w:b/>
                <w:bCs/>
                <w:color w:val="auto"/>
              </w:rPr>
            </w:pPr>
            <w:r w:rsidRPr="003C7E62">
              <w:rPr>
                <w:rFonts w:cs="Arial"/>
                <w:b/>
                <w:bCs/>
                <w:color w:val="auto"/>
              </w:rPr>
              <w:t>SO8</w:t>
            </w:r>
          </w:p>
        </w:tc>
        <w:tc>
          <w:tcPr>
            <w:tcW w:w="7654" w:type="dxa"/>
          </w:tcPr>
          <w:p w14:paraId="7396C9F7" w14:textId="77777777" w:rsidR="001B5662" w:rsidRPr="003C7E62" w:rsidRDefault="001B5662" w:rsidP="006C6E8A">
            <w:pPr>
              <w:keepNext w:val="0"/>
              <w:spacing w:before="0" w:line="276" w:lineRule="auto"/>
              <w:jc w:val="left"/>
              <w:rPr>
                <w:rFonts w:cs="Arial"/>
                <w:b/>
                <w:color w:val="auto"/>
                <w:sz w:val="20"/>
              </w:rPr>
            </w:pPr>
            <w:r w:rsidRPr="003C7E62">
              <w:rPr>
                <w:rFonts w:cs="Arial"/>
                <w:b/>
                <w:color w:val="auto"/>
                <w:sz w:val="20"/>
              </w:rPr>
              <w:t>Hucknall Town Centre</w:t>
            </w:r>
          </w:p>
          <w:p w14:paraId="7ACEF260" w14:textId="77777777" w:rsidR="001B5662" w:rsidRPr="003C7E62" w:rsidRDefault="001B5662" w:rsidP="006C6E8A">
            <w:pPr>
              <w:keepNext w:val="0"/>
              <w:spacing w:before="0" w:line="276" w:lineRule="auto"/>
              <w:jc w:val="left"/>
              <w:rPr>
                <w:rFonts w:cs="Arial"/>
                <w:b/>
                <w:color w:val="auto"/>
                <w:sz w:val="20"/>
              </w:rPr>
            </w:pPr>
          </w:p>
          <w:p w14:paraId="70355192" w14:textId="77777777" w:rsidR="001B5662" w:rsidRPr="003C7E62" w:rsidRDefault="001B5662" w:rsidP="006C6E8A">
            <w:pPr>
              <w:keepNext w:val="0"/>
              <w:spacing w:before="0" w:line="276" w:lineRule="auto"/>
              <w:jc w:val="left"/>
              <w:rPr>
                <w:rFonts w:cs="Arial"/>
                <w:color w:val="auto"/>
                <w:sz w:val="20"/>
              </w:rPr>
            </w:pPr>
            <w:r w:rsidRPr="003C7E62">
              <w:rPr>
                <w:rFonts w:cs="Arial"/>
                <w:color w:val="auto"/>
                <w:sz w:val="20"/>
              </w:rPr>
              <w:t>Promote Hucknall as a lively and prosperous Town Centre that is proud of its past by:</w:t>
            </w:r>
          </w:p>
          <w:p w14:paraId="48874241" w14:textId="77777777" w:rsidR="001B5662" w:rsidRPr="003C7E62" w:rsidRDefault="001B5662" w:rsidP="006C6E8A">
            <w:pPr>
              <w:keepNext w:val="0"/>
              <w:numPr>
                <w:ilvl w:val="0"/>
                <w:numId w:val="73"/>
              </w:numPr>
              <w:autoSpaceDE w:val="0"/>
              <w:autoSpaceDN w:val="0"/>
              <w:adjustRightInd w:val="0"/>
              <w:spacing w:before="0" w:line="241" w:lineRule="atLeast"/>
              <w:jc w:val="left"/>
              <w:rPr>
                <w:rFonts w:cs="Arial"/>
                <w:color w:val="auto"/>
                <w:sz w:val="20"/>
              </w:rPr>
            </w:pPr>
            <w:r w:rsidRPr="003C7E62">
              <w:rPr>
                <w:rFonts w:cs="Arial"/>
                <w:color w:val="auto"/>
                <w:sz w:val="20"/>
              </w:rPr>
              <w:t xml:space="preserve">Protecting and making the most of the town centre’s rich heritage and strong links to Lord Byron as part of the </w:t>
            </w:r>
            <w:proofErr w:type="gramStart"/>
            <w:r w:rsidRPr="003C7E62">
              <w:rPr>
                <w:rFonts w:cs="Arial"/>
                <w:color w:val="auto"/>
                <w:sz w:val="20"/>
              </w:rPr>
              <w:t>District’s</w:t>
            </w:r>
            <w:proofErr w:type="gramEnd"/>
            <w:r w:rsidRPr="003C7E62">
              <w:rPr>
                <w:rFonts w:cs="Arial"/>
                <w:color w:val="auto"/>
                <w:sz w:val="20"/>
              </w:rPr>
              <w:t xml:space="preserve"> visitor economy;</w:t>
            </w:r>
          </w:p>
          <w:p w14:paraId="080586F7" w14:textId="77777777" w:rsidR="001B5662" w:rsidRPr="003C7E62" w:rsidRDefault="001B5662" w:rsidP="006C6E8A">
            <w:pPr>
              <w:keepNext w:val="0"/>
              <w:numPr>
                <w:ilvl w:val="0"/>
                <w:numId w:val="73"/>
              </w:numPr>
              <w:autoSpaceDE w:val="0"/>
              <w:autoSpaceDN w:val="0"/>
              <w:adjustRightInd w:val="0"/>
              <w:spacing w:before="0" w:line="241" w:lineRule="atLeast"/>
              <w:jc w:val="left"/>
              <w:rPr>
                <w:rFonts w:cs="Arial"/>
                <w:color w:val="auto"/>
                <w:sz w:val="20"/>
              </w:rPr>
            </w:pPr>
            <w:r w:rsidRPr="003C7E62">
              <w:rPr>
                <w:rFonts w:cs="Arial"/>
                <w:bCs/>
                <w:color w:val="auto"/>
                <w:sz w:val="20"/>
              </w:rPr>
              <w:lastRenderedPageBreak/>
              <w:t>Enhancing the townscape character and historic environment through ensuring that new development respects the town’s Conservation Area and provides high quality design;</w:t>
            </w:r>
          </w:p>
          <w:p w14:paraId="571772EB" w14:textId="3EABB57D" w:rsidR="001B5662" w:rsidRPr="003C7E62" w:rsidRDefault="001B5662" w:rsidP="006C6E8A">
            <w:pPr>
              <w:keepNext w:val="0"/>
              <w:numPr>
                <w:ilvl w:val="0"/>
                <w:numId w:val="73"/>
              </w:numPr>
              <w:autoSpaceDE w:val="0"/>
              <w:autoSpaceDN w:val="0"/>
              <w:adjustRightInd w:val="0"/>
              <w:spacing w:before="0" w:line="241" w:lineRule="atLeast"/>
              <w:jc w:val="left"/>
              <w:rPr>
                <w:rFonts w:cs="Arial"/>
                <w:color w:val="auto"/>
                <w:sz w:val="20"/>
              </w:rPr>
            </w:pPr>
            <w:r w:rsidRPr="003C7E62">
              <w:rPr>
                <w:rFonts w:cs="Arial"/>
                <w:bCs/>
                <w:color w:val="auto"/>
                <w:sz w:val="20"/>
              </w:rPr>
              <w:t>E</w:t>
            </w:r>
            <w:r w:rsidRPr="003C7E62">
              <w:rPr>
                <w:rFonts w:cs="Arial"/>
                <w:color w:val="auto"/>
                <w:sz w:val="20"/>
              </w:rPr>
              <w:t xml:space="preserve">ncouraging a </w:t>
            </w:r>
            <w:r w:rsidR="00083A29" w:rsidRPr="003C7E62">
              <w:rPr>
                <w:rFonts w:cs="Arial"/>
                <w:color w:val="auto"/>
                <w:sz w:val="20"/>
              </w:rPr>
              <w:t>high-quality</w:t>
            </w:r>
            <w:r w:rsidRPr="003C7E62">
              <w:rPr>
                <w:rFonts w:cs="Arial"/>
                <w:color w:val="auto"/>
                <w:sz w:val="20"/>
              </w:rPr>
              <w:t xml:space="preserve"> mix of retail, tourism, health, culture, leisure, housing and employment that will enhance the opportunity for people to live, work and visit the town centre;</w:t>
            </w:r>
          </w:p>
          <w:p w14:paraId="39A07C43" w14:textId="77777777" w:rsidR="001B5662" w:rsidRPr="003C7E62" w:rsidRDefault="001B5662" w:rsidP="006C6E8A">
            <w:pPr>
              <w:keepNext w:val="0"/>
              <w:numPr>
                <w:ilvl w:val="0"/>
                <w:numId w:val="73"/>
              </w:numPr>
              <w:autoSpaceDE w:val="0"/>
              <w:autoSpaceDN w:val="0"/>
              <w:adjustRightInd w:val="0"/>
              <w:spacing w:before="0" w:line="241" w:lineRule="atLeast"/>
              <w:jc w:val="left"/>
              <w:rPr>
                <w:rFonts w:cs="Arial"/>
                <w:color w:val="auto"/>
                <w:sz w:val="20"/>
              </w:rPr>
            </w:pPr>
            <w:r w:rsidRPr="003C7E62">
              <w:rPr>
                <w:rFonts w:cs="Arial"/>
                <w:bCs/>
                <w:color w:val="auto"/>
                <w:sz w:val="20"/>
              </w:rPr>
              <w:t xml:space="preserve">Strengthening connections between the NET Station and the </w:t>
            </w:r>
            <w:r w:rsidRPr="003C7E62">
              <w:rPr>
                <w:rFonts w:cs="Arial"/>
                <w:color w:val="auto"/>
                <w:sz w:val="20"/>
              </w:rPr>
              <w:t>town centre;</w:t>
            </w:r>
          </w:p>
          <w:p w14:paraId="5E0A31AA" w14:textId="2CAE6DE1" w:rsidR="001B5662" w:rsidRPr="00CB6138" w:rsidRDefault="001B5662" w:rsidP="006C6E8A">
            <w:pPr>
              <w:keepNext w:val="0"/>
              <w:numPr>
                <w:ilvl w:val="0"/>
                <w:numId w:val="73"/>
              </w:numPr>
              <w:autoSpaceDE w:val="0"/>
              <w:autoSpaceDN w:val="0"/>
              <w:adjustRightInd w:val="0"/>
              <w:spacing w:before="0" w:line="241" w:lineRule="atLeast"/>
              <w:jc w:val="left"/>
              <w:rPr>
                <w:rFonts w:cs="Arial"/>
                <w:bCs/>
                <w:color w:val="auto"/>
                <w:sz w:val="20"/>
              </w:rPr>
            </w:pPr>
            <w:r w:rsidRPr="00CB6138">
              <w:rPr>
                <w:rFonts w:cs="Arial"/>
                <w:color w:val="auto"/>
                <w:sz w:val="20"/>
              </w:rPr>
              <w:t xml:space="preserve">Creating </w:t>
            </w:r>
            <w:r w:rsidRPr="00CB6138">
              <w:rPr>
                <w:rFonts w:cs="Arial"/>
                <w:bCs/>
                <w:color w:val="auto"/>
                <w:sz w:val="20"/>
              </w:rPr>
              <w:t>a town centre environment, which is the focus for the life of the community.</w:t>
            </w:r>
          </w:p>
          <w:p w14:paraId="5CCBD67A" w14:textId="6BFCD87D" w:rsidR="001B5662" w:rsidRPr="003C7E62" w:rsidRDefault="001B5662" w:rsidP="006C6E8A">
            <w:pPr>
              <w:keepNext w:val="0"/>
              <w:autoSpaceDE w:val="0"/>
              <w:autoSpaceDN w:val="0"/>
              <w:adjustRightInd w:val="0"/>
              <w:spacing w:before="0" w:line="241" w:lineRule="atLeast"/>
              <w:ind w:left="360"/>
              <w:jc w:val="left"/>
              <w:rPr>
                <w:rFonts w:cs="Arial"/>
                <w:color w:val="auto"/>
                <w:sz w:val="20"/>
              </w:rPr>
            </w:pPr>
          </w:p>
        </w:tc>
      </w:tr>
      <w:tr w:rsidR="001B5662" w:rsidRPr="003C7E62" w14:paraId="7F095563" w14:textId="77777777" w:rsidTr="006C6E8A">
        <w:tc>
          <w:tcPr>
            <w:tcW w:w="846" w:type="dxa"/>
            <w:shd w:val="clear" w:color="auto" w:fill="0070C0"/>
            <w:textDirection w:val="btLr"/>
            <w:vAlign w:val="center"/>
          </w:tcPr>
          <w:p w14:paraId="30BBBB87" w14:textId="09E304A4" w:rsidR="001B5662" w:rsidRPr="003C7E62" w:rsidRDefault="001B5662" w:rsidP="001B5662">
            <w:pPr>
              <w:keepNext w:val="0"/>
              <w:spacing w:before="0"/>
              <w:jc w:val="center"/>
              <w:rPr>
                <w:rFonts w:cs="Arial"/>
                <w:b/>
                <w:bCs/>
                <w:color w:val="auto"/>
              </w:rPr>
            </w:pPr>
            <w:r w:rsidRPr="003C7E62">
              <w:rPr>
                <w:rFonts w:cs="Arial"/>
                <w:b/>
                <w:color w:val="FFFFFF"/>
              </w:rPr>
              <w:lastRenderedPageBreak/>
              <w:t>The Economy</w:t>
            </w:r>
          </w:p>
        </w:tc>
        <w:tc>
          <w:tcPr>
            <w:tcW w:w="1134" w:type="dxa"/>
          </w:tcPr>
          <w:p w14:paraId="2C7766F4" w14:textId="08C60BB4" w:rsidR="001B5662" w:rsidRPr="003C7E62" w:rsidRDefault="001B5662" w:rsidP="001B5662">
            <w:pPr>
              <w:keepNext w:val="0"/>
              <w:spacing w:before="0"/>
              <w:rPr>
                <w:rFonts w:cs="Arial"/>
                <w:b/>
                <w:bCs/>
                <w:color w:val="auto"/>
              </w:rPr>
            </w:pPr>
            <w:r w:rsidRPr="003C7E62">
              <w:rPr>
                <w:rFonts w:cs="Arial"/>
                <w:b/>
                <w:bCs/>
                <w:color w:val="auto"/>
              </w:rPr>
              <w:t>SO9</w:t>
            </w:r>
          </w:p>
        </w:tc>
        <w:tc>
          <w:tcPr>
            <w:tcW w:w="7654" w:type="dxa"/>
          </w:tcPr>
          <w:p w14:paraId="7BB556AF" w14:textId="77777777" w:rsidR="001B5662" w:rsidRPr="003C7E62" w:rsidRDefault="001B5662" w:rsidP="006C6E8A">
            <w:pPr>
              <w:keepNext w:val="0"/>
              <w:spacing w:before="0" w:line="276" w:lineRule="auto"/>
              <w:jc w:val="left"/>
              <w:rPr>
                <w:rFonts w:cs="Arial"/>
                <w:b/>
                <w:color w:val="auto"/>
                <w:sz w:val="20"/>
              </w:rPr>
            </w:pPr>
            <w:r w:rsidRPr="003C7E62">
              <w:rPr>
                <w:rFonts w:cs="Arial"/>
                <w:b/>
                <w:color w:val="auto"/>
                <w:sz w:val="20"/>
              </w:rPr>
              <w:t>Kirkby-in-Ashfield Town Centre</w:t>
            </w:r>
          </w:p>
          <w:p w14:paraId="76CB72AE" w14:textId="77777777" w:rsidR="001B5662" w:rsidRPr="003C7E62" w:rsidRDefault="001B5662" w:rsidP="006C6E8A">
            <w:pPr>
              <w:keepNext w:val="0"/>
              <w:spacing w:before="0" w:line="276" w:lineRule="auto"/>
              <w:jc w:val="left"/>
              <w:rPr>
                <w:rFonts w:cs="Arial"/>
                <w:b/>
                <w:color w:val="auto"/>
                <w:sz w:val="20"/>
              </w:rPr>
            </w:pPr>
          </w:p>
          <w:p w14:paraId="75FB67D5" w14:textId="77777777" w:rsidR="001B5662" w:rsidRPr="003C7E62" w:rsidRDefault="001B5662" w:rsidP="000808D9">
            <w:pPr>
              <w:keepNext w:val="0"/>
              <w:spacing w:before="0" w:line="276" w:lineRule="auto"/>
              <w:jc w:val="left"/>
              <w:rPr>
                <w:rFonts w:cs="Arial"/>
                <w:color w:val="auto"/>
                <w:sz w:val="20"/>
              </w:rPr>
            </w:pPr>
            <w:r w:rsidRPr="003C7E62">
              <w:rPr>
                <w:rFonts w:cs="Arial"/>
                <w:color w:val="auto"/>
                <w:sz w:val="20"/>
              </w:rPr>
              <w:t>Continue Kirkby’s regeneration as a vibrant and successful District Centre by:</w:t>
            </w:r>
          </w:p>
          <w:p w14:paraId="48CB4280" w14:textId="77777777" w:rsidR="001B5662" w:rsidRPr="003C7E62" w:rsidRDefault="001B5662" w:rsidP="000808D9">
            <w:pPr>
              <w:keepNext w:val="0"/>
              <w:numPr>
                <w:ilvl w:val="0"/>
                <w:numId w:val="74"/>
              </w:numPr>
              <w:autoSpaceDE w:val="0"/>
              <w:autoSpaceDN w:val="0"/>
              <w:adjustRightInd w:val="0"/>
              <w:spacing w:before="0" w:line="241" w:lineRule="atLeast"/>
              <w:jc w:val="left"/>
              <w:rPr>
                <w:rFonts w:cs="Arial"/>
                <w:color w:val="auto"/>
                <w:sz w:val="20"/>
              </w:rPr>
            </w:pPr>
            <w:r w:rsidRPr="003C7E62">
              <w:rPr>
                <w:rFonts w:cs="Arial"/>
                <w:color w:val="auto"/>
                <w:sz w:val="20"/>
              </w:rPr>
              <w:t>Reinvigorating the town centre leisure offer and health provision through the provision of a state-of-the-art flagship leisure centre and swimming pool;</w:t>
            </w:r>
          </w:p>
          <w:p w14:paraId="38C30689" w14:textId="28A717DE" w:rsidR="001B5662" w:rsidRPr="003C7E62" w:rsidRDefault="001B5662" w:rsidP="000808D9">
            <w:pPr>
              <w:keepNext w:val="0"/>
              <w:numPr>
                <w:ilvl w:val="0"/>
                <w:numId w:val="74"/>
              </w:numPr>
              <w:autoSpaceDE w:val="0"/>
              <w:autoSpaceDN w:val="0"/>
              <w:adjustRightInd w:val="0"/>
              <w:spacing w:before="0" w:line="241" w:lineRule="atLeast"/>
              <w:jc w:val="left"/>
              <w:rPr>
                <w:rFonts w:cs="Arial"/>
                <w:color w:val="auto"/>
                <w:sz w:val="20"/>
              </w:rPr>
            </w:pPr>
            <w:r w:rsidRPr="003C7E62">
              <w:rPr>
                <w:rFonts w:cs="Arial"/>
                <w:bCs/>
                <w:color w:val="auto"/>
                <w:sz w:val="20"/>
              </w:rPr>
              <w:t>E</w:t>
            </w:r>
            <w:r w:rsidRPr="003C7E62">
              <w:rPr>
                <w:rFonts w:cs="Arial"/>
                <w:color w:val="auto"/>
                <w:sz w:val="20"/>
              </w:rPr>
              <w:t xml:space="preserve">ncouraging a </w:t>
            </w:r>
            <w:r w:rsidR="00083A29" w:rsidRPr="003C7E62">
              <w:rPr>
                <w:rFonts w:cs="Arial"/>
                <w:color w:val="auto"/>
                <w:sz w:val="20"/>
              </w:rPr>
              <w:t>high-quality</w:t>
            </w:r>
            <w:r w:rsidRPr="003C7E62">
              <w:rPr>
                <w:rFonts w:cs="Arial"/>
                <w:color w:val="auto"/>
                <w:sz w:val="20"/>
              </w:rPr>
              <w:t xml:space="preserve"> mix of retail, culture, health, housing and employment that will enhance the opportunity for people to live, work and visit the town centre;</w:t>
            </w:r>
          </w:p>
          <w:p w14:paraId="2CDE8E09" w14:textId="77777777" w:rsidR="001B5662" w:rsidRPr="003C7E62" w:rsidRDefault="001B5662" w:rsidP="000808D9">
            <w:pPr>
              <w:keepNext w:val="0"/>
              <w:numPr>
                <w:ilvl w:val="0"/>
                <w:numId w:val="74"/>
              </w:numPr>
              <w:autoSpaceDE w:val="0"/>
              <w:autoSpaceDN w:val="0"/>
              <w:adjustRightInd w:val="0"/>
              <w:spacing w:before="0" w:line="241" w:lineRule="atLeast"/>
              <w:jc w:val="left"/>
              <w:rPr>
                <w:rFonts w:cs="Arial"/>
                <w:color w:val="auto"/>
                <w:sz w:val="20"/>
              </w:rPr>
            </w:pPr>
            <w:r w:rsidRPr="003C7E62">
              <w:rPr>
                <w:rFonts w:cs="Arial"/>
                <w:bCs/>
                <w:color w:val="auto"/>
                <w:sz w:val="20"/>
              </w:rPr>
              <w:t>Enhancing the townscape character by ensuring that new development offers high quality design;</w:t>
            </w:r>
          </w:p>
          <w:p w14:paraId="70FBC80F" w14:textId="77777777" w:rsidR="001B5662" w:rsidRPr="003C7E62" w:rsidRDefault="001B5662" w:rsidP="000808D9">
            <w:pPr>
              <w:keepNext w:val="0"/>
              <w:numPr>
                <w:ilvl w:val="0"/>
                <w:numId w:val="74"/>
              </w:numPr>
              <w:autoSpaceDE w:val="0"/>
              <w:autoSpaceDN w:val="0"/>
              <w:adjustRightInd w:val="0"/>
              <w:spacing w:before="0" w:line="241" w:lineRule="atLeast"/>
              <w:jc w:val="left"/>
              <w:rPr>
                <w:rFonts w:cs="Arial"/>
                <w:color w:val="auto"/>
                <w:sz w:val="20"/>
              </w:rPr>
            </w:pPr>
            <w:r w:rsidRPr="003C7E62">
              <w:rPr>
                <w:rFonts w:cs="Arial"/>
                <w:color w:val="auto"/>
                <w:sz w:val="20"/>
              </w:rPr>
              <w:t xml:space="preserve">Creating </w:t>
            </w:r>
            <w:r w:rsidRPr="003C7E62">
              <w:rPr>
                <w:rFonts w:cs="Arial"/>
                <w:bCs/>
                <w:color w:val="auto"/>
                <w:sz w:val="20"/>
              </w:rPr>
              <w:t xml:space="preserve">a town centre environment which is the focus for the life of the community;  </w:t>
            </w:r>
          </w:p>
          <w:p w14:paraId="7EF2B6D2" w14:textId="77777777" w:rsidR="001B5662" w:rsidRPr="005A3E46" w:rsidRDefault="001B5662" w:rsidP="000808D9">
            <w:pPr>
              <w:keepNext w:val="0"/>
              <w:numPr>
                <w:ilvl w:val="0"/>
                <w:numId w:val="74"/>
              </w:numPr>
              <w:autoSpaceDE w:val="0"/>
              <w:autoSpaceDN w:val="0"/>
              <w:adjustRightInd w:val="0"/>
              <w:spacing w:before="0" w:line="241" w:lineRule="atLeast"/>
              <w:jc w:val="left"/>
              <w:rPr>
                <w:rFonts w:cs="Arial"/>
                <w:color w:val="auto"/>
                <w:sz w:val="20"/>
              </w:rPr>
            </w:pPr>
            <w:r w:rsidRPr="003C7E62">
              <w:rPr>
                <w:rFonts w:cs="Arial"/>
                <w:bCs/>
                <w:color w:val="auto"/>
                <w:sz w:val="20"/>
              </w:rPr>
              <w:t>Strengthening connections across the town centre through linking key destinations and promoting activity.</w:t>
            </w:r>
          </w:p>
          <w:p w14:paraId="0636CAA8" w14:textId="6175CAD2" w:rsidR="005A3E46" w:rsidRPr="003C7E62" w:rsidRDefault="005A3E46" w:rsidP="006C6E8A">
            <w:pPr>
              <w:keepNext w:val="0"/>
              <w:autoSpaceDE w:val="0"/>
              <w:autoSpaceDN w:val="0"/>
              <w:adjustRightInd w:val="0"/>
              <w:spacing w:before="0" w:line="241" w:lineRule="atLeast"/>
              <w:ind w:left="360"/>
              <w:jc w:val="left"/>
              <w:rPr>
                <w:rFonts w:cs="Arial"/>
                <w:color w:val="auto"/>
                <w:sz w:val="20"/>
              </w:rPr>
            </w:pPr>
          </w:p>
        </w:tc>
      </w:tr>
      <w:tr w:rsidR="001B5662" w:rsidRPr="003C7E62" w14:paraId="46B95F8B" w14:textId="77777777" w:rsidTr="006C6E8A">
        <w:tc>
          <w:tcPr>
            <w:tcW w:w="846" w:type="dxa"/>
            <w:shd w:val="clear" w:color="auto" w:fill="0070C0"/>
            <w:textDirection w:val="btLr"/>
            <w:vAlign w:val="center"/>
          </w:tcPr>
          <w:p w14:paraId="3F2FD754" w14:textId="5DA797F0" w:rsidR="001B5662" w:rsidRPr="003C7E62" w:rsidRDefault="001B5662" w:rsidP="001B5662">
            <w:pPr>
              <w:keepNext w:val="0"/>
              <w:spacing w:before="0"/>
              <w:jc w:val="center"/>
              <w:rPr>
                <w:rFonts w:cs="Arial"/>
                <w:b/>
                <w:bCs/>
                <w:color w:val="auto"/>
              </w:rPr>
            </w:pPr>
            <w:r w:rsidRPr="003C7E62">
              <w:rPr>
                <w:rFonts w:cs="Arial"/>
                <w:b/>
                <w:color w:val="FFFFFF"/>
              </w:rPr>
              <w:t>The Economy</w:t>
            </w:r>
          </w:p>
        </w:tc>
        <w:tc>
          <w:tcPr>
            <w:tcW w:w="1134" w:type="dxa"/>
          </w:tcPr>
          <w:p w14:paraId="2081FB8B" w14:textId="2D15FA4B" w:rsidR="001B5662" w:rsidRPr="003C7E62" w:rsidRDefault="001B5662" w:rsidP="001B5662">
            <w:pPr>
              <w:keepNext w:val="0"/>
              <w:spacing w:before="0"/>
              <w:rPr>
                <w:rFonts w:cs="Arial"/>
                <w:b/>
                <w:bCs/>
                <w:color w:val="auto"/>
              </w:rPr>
            </w:pPr>
            <w:r w:rsidRPr="003C7E62">
              <w:rPr>
                <w:rFonts w:cs="Arial"/>
                <w:b/>
                <w:bCs/>
                <w:color w:val="auto"/>
              </w:rPr>
              <w:t>SO10</w:t>
            </w:r>
          </w:p>
        </w:tc>
        <w:tc>
          <w:tcPr>
            <w:tcW w:w="7654" w:type="dxa"/>
          </w:tcPr>
          <w:p w14:paraId="359BCAFB" w14:textId="77777777" w:rsidR="001B5662" w:rsidRPr="003C7E62" w:rsidRDefault="001B5662" w:rsidP="001B5662">
            <w:pPr>
              <w:keepNext w:val="0"/>
              <w:spacing w:before="0" w:line="276" w:lineRule="auto"/>
              <w:rPr>
                <w:rFonts w:cs="Arial"/>
                <w:b/>
                <w:color w:val="auto"/>
                <w:sz w:val="20"/>
              </w:rPr>
            </w:pPr>
            <w:r w:rsidRPr="003C7E62">
              <w:rPr>
                <w:rFonts w:cs="Arial"/>
                <w:b/>
                <w:color w:val="auto"/>
                <w:sz w:val="20"/>
              </w:rPr>
              <w:t>Local Shopping Areas</w:t>
            </w:r>
          </w:p>
          <w:p w14:paraId="34C6BD9A" w14:textId="77777777" w:rsidR="001B5662" w:rsidRPr="003C7E62" w:rsidRDefault="001B5662" w:rsidP="001B5662">
            <w:pPr>
              <w:keepNext w:val="0"/>
              <w:spacing w:before="0" w:line="276" w:lineRule="auto"/>
              <w:rPr>
                <w:rFonts w:cs="Arial"/>
                <w:b/>
                <w:color w:val="auto"/>
                <w:sz w:val="20"/>
              </w:rPr>
            </w:pPr>
          </w:p>
          <w:p w14:paraId="47647C2F" w14:textId="77777777" w:rsidR="001B5662" w:rsidRPr="003C7E62" w:rsidRDefault="001B5662" w:rsidP="006C6E8A">
            <w:pPr>
              <w:keepNext w:val="0"/>
              <w:spacing w:before="0" w:line="276" w:lineRule="auto"/>
              <w:jc w:val="left"/>
              <w:rPr>
                <w:rFonts w:cs="Arial"/>
                <w:color w:val="auto"/>
                <w:sz w:val="20"/>
              </w:rPr>
            </w:pPr>
            <w:r w:rsidRPr="003C7E62">
              <w:rPr>
                <w:rFonts w:cs="Arial"/>
                <w:color w:val="auto"/>
                <w:sz w:val="20"/>
              </w:rPr>
              <w:t>Ensure local shopping areas provide appropriate services to satisfy local consumer needs by:</w:t>
            </w:r>
          </w:p>
          <w:p w14:paraId="74FCFC99" w14:textId="77777777" w:rsidR="001B5662" w:rsidRPr="003C7E62" w:rsidRDefault="001B5662" w:rsidP="006C6E8A">
            <w:pPr>
              <w:keepNext w:val="0"/>
              <w:numPr>
                <w:ilvl w:val="0"/>
                <w:numId w:val="75"/>
              </w:numPr>
              <w:autoSpaceDE w:val="0"/>
              <w:autoSpaceDN w:val="0"/>
              <w:adjustRightInd w:val="0"/>
              <w:spacing w:before="0" w:line="241" w:lineRule="atLeast"/>
              <w:jc w:val="left"/>
              <w:rPr>
                <w:rFonts w:cs="Arial"/>
                <w:color w:val="auto"/>
                <w:sz w:val="20"/>
              </w:rPr>
            </w:pPr>
            <w:r w:rsidRPr="003C7E62">
              <w:rPr>
                <w:rFonts w:cs="Arial"/>
                <w:color w:val="auto"/>
                <w:sz w:val="20"/>
              </w:rPr>
              <w:t xml:space="preserve">Protecting and promoting a diverse mix of uses, which cater for the day-to-day needs of the community.  </w:t>
            </w:r>
          </w:p>
          <w:p w14:paraId="28737E82" w14:textId="77777777" w:rsidR="001B5662" w:rsidRPr="003C7E62" w:rsidRDefault="001B5662" w:rsidP="006C6E8A">
            <w:pPr>
              <w:keepNext w:val="0"/>
              <w:numPr>
                <w:ilvl w:val="0"/>
                <w:numId w:val="75"/>
              </w:numPr>
              <w:autoSpaceDE w:val="0"/>
              <w:autoSpaceDN w:val="0"/>
              <w:adjustRightInd w:val="0"/>
              <w:spacing w:before="0" w:line="241" w:lineRule="atLeast"/>
              <w:jc w:val="left"/>
              <w:rPr>
                <w:rFonts w:cs="Arial"/>
                <w:color w:val="auto"/>
                <w:sz w:val="20"/>
              </w:rPr>
            </w:pPr>
            <w:r w:rsidRPr="003C7E62">
              <w:rPr>
                <w:rFonts w:cs="Arial"/>
                <w:color w:val="auto"/>
                <w:sz w:val="20"/>
              </w:rPr>
              <w:t>Supporting sensitive redevelopments and new developments where they contribute to the vitality and viability of the area and enhance the retail, service and leisure offer;</w:t>
            </w:r>
          </w:p>
          <w:p w14:paraId="12D3C694" w14:textId="77777777" w:rsidR="001B5662" w:rsidRDefault="001B5662" w:rsidP="006C6E8A">
            <w:pPr>
              <w:keepNext w:val="0"/>
              <w:numPr>
                <w:ilvl w:val="0"/>
                <w:numId w:val="75"/>
              </w:numPr>
              <w:autoSpaceDE w:val="0"/>
              <w:autoSpaceDN w:val="0"/>
              <w:adjustRightInd w:val="0"/>
              <w:spacing w:before="0" w:line="241" w:lineRule="atLeast"/>
              <w:jc w:val="left"/>
              <w:rPr>
                <w:rFonts w:cs="Arial"/>
                <w:color w:val="auto"/>
                <w:sz w:val="20"/>
              </w:rPr>
            </w:pPr>
            <w:r w:rsidRPr="003C7E62">
              <w:rPr>
                <w:rFonts w:cs="Arial"/>
                <w:color w:val="auto"/>
                <w:sz w:val="20"/>
              </w:rPr>
              <w:t>Enhancing the environment to make local shopping areas attractive place to visit at any time of the day.</w:t>
            </w:r>
          </w:p>
          <w:p w14:paraId="71C8FDB1" w14:textId="3F2BEA99" w:rsidR="005A3E46" w:rsidRPr="003C7E62" w:rsidRDefault="005A3E46" w:rsidP="005A3E46">
            <w:pPr>
              <w:keepNext w:val="0"/>
              <w:autoSpaceDE w:val="0"/>
              <w:autoSpaceDN w:val="0"/>
              <w:adjustRightInd w:val="0"/>
              <w:spacing w:before="0" w:line="241" w:lineRule="atLeast"/>
              <w:ind w:left="360"/>
              <w:rPr>
                <w:rFonts w:cs="Arial"/>
                <w:color w:val="auto"/>
                <w:sz w:val="20"/>
              </w:rPr>
            </w:pPr>
          </w:p>
        </w:tc>
      </w:tr>
    </w:tbl>
    <w:p w14:paraId="4193E5E0" w14:textId="77777777" w:rsidR="005A3E46" w:rsidRDefault="005A3E46" w:rsidP="003D2A07">
      <w:pPr>
        <w:keepNext w:val="0"/>
        <w:spacing w:before="0" w:after="160" w:line="252" w:lineRule="auto"/>
        <w:jc w:val="both"/>
        <w:rPr>
          <w:rFonts w:eastAsia="Calibri" w:cs="Arial"/>
          <w:color w:val="auto"/>
          <w:szCs w:val="22"/>
          <w:lang w:eastAsia="en-US"/>
        </w:rPr>
      </w:pPr>
    </w:p>
    <w:tbl>
      <w:tblPr>
        <w:tblStyle w:val="TableGrid"/>
        <w:tblW w:w="9634" w:type="dxa"/>
        <w:tblLayout w:type="fixed"/>
        <w:tblLook w:val="04A0" w:firstRow="1" w:lastRow="0" w:firstColumn="1" w:lastColumn="0" w:noHBand="0" w:noVBand="1"/>
      </w:tblPr>
      <w:tblGrid>
        <w:gridCol w:w="851"/>
        <w:gridCol w:w="1129"/>
        <w:gridCol w:w="7654"/>
      </w:tblGrid>
      <w:tr w:rsidR="001B5662" w14:paraId="1043E50D" w14:textId="77777777" w:rsidTr="006C6E8A">
        <w:tc>
          <w:tcPr>
            <w:tcW w:w="851" w:type="dxa"/>
            <w:shd w:val="clear" w:color="auto" w:fill="A8D08D" w:themeFill="accent6" w:themeFillTint="99"/>
            <w:textDirection w:val="btLr"/>
            <w:vAlign w:val="center"/>
          </w:tcPr>
          <w:p w14:paraId="4F7C9311" w14:textId="131BA464" w:rsidR="001B5662" w:rsidRPr="003C7E62" w:rsidRDefault="001B5662" w:rsidP="001B5662">
            <w:pPr>
              <w:keepNext w:val="0"/>
              <w:spacing w:before="0" w:after="160" w:line="252" w:lineRule="auto"/>
              <w:jc w:val="center"/>
              <w:rPr>
                <w:rFonts w:cs="Arial"/>
                <w:b/>
                <w:color w:val="auto"/>
              </w:rPr>
            </w:pPr>
            <w:r w:rsidRPr="003C7E62">
              <w:rPr>
                <w:rFonts w:cs="Arial"/>
                <w:b/>
                <w:color w:val="auto"/>
              </w:rPr>
              <w:t>The Environment</w:t>
            </w:r>
          </w:p>
        </w:tc>
        <w:tc>
          <w:tcPr>
            <w:tcW w:w="1129" w:type="dxa"/>
          </w:tcPr>
          <w:p w14:paraId="3C19F1F8" w14:textId="5209728E" w:rsidR="001B5662" w:rsidRDefault="001B5662" w:rsidP="001B5662">
            <w:pPr>
              <w:keepNext w:val="0"/>
              <w:spacing w:before="0" w:after="160" w:line="252" w:lineRule="auto"/>
              <w:jc w:val="both"/>
              <w:rPr>
                <w:rFonts w:eastAsia="Calibri" w:cs="Arial"/>
                <w:color w:val="auto"/>
                <w:szCs w:val="22"/>
                <w:lang w:eastAsia="en-US"/>
              </w:rPr>
            </w:pPr>
            <w:r w:rsidRPr="003C7E62">
              <w:rPr>
                <w:rFonts w:cs="Arial"/>
                <w:b/>
                <w:color w:val="auto"/>
              </w:rPr>
              <w:t>SO11</w:t>
            </w:r>
          </w:p>
        </w:tc>
        <w:tc>
          <w:tcPr>
            <w:tcW w:w="7654" w:type="dxa"/>
          </w:tcPr>
          <w:p w14:paraId="654A9C8E" w14:textId="77777777" w:rsidR="001B5662" w:rsidRPr="003C7E62" w:rsidRDefault="001B5662" w:rsidP="001B5662">
            <w:pPr>
              <w:keepNext w:val="0"/>
              <w:spacing w:before="0"/>
              <w:rPr>
                <w:rFonts w:cs="Arial"/>
                <w:b/>
                <w:color w:val="auto"/>
                <w:sz w:val="20"/>
              </w:rPr>
            </w:pPr>
            <w:r w:rsidRPr="003C7E62">
              <w:rPr>
                <w:rFonts w:cs="Arial"/>
                <w:b/>
                <w:color w:val="auto"/>
                <w:sz w:val="20"/>
              </w:rPr>
              <w:t>To meet the global challenge of climate change</w:t>
            </w:r>
          </w:p>
          <w:p w14:paraId="7A64E972" w14:textId="77777777" w:rsidR="001B5662" w:rsidRPr="003C7E62" w:rsidRDefault="001B5662" w:rsidP="001B5662">
            <w:pPr>
              <w:keepNext w:val="0"/>
              <w:spacing w:before="0"/>
              <w:rPr>
                <w:rFonts w:cs="Arial"/>
                <w:color w:val="auto"/>
                <w:sz w:val="20"/>
              </w:rPr>
            </w:pPr>
          </w:p>
          <w:p w14:paraId="0C5CAFE8" w14:textId="77777777" w:rsidR="001B5662" w:rsidRPr="003C7E62" w:rsidRDefault="001B5662" w:rsidP="001B5662">
            <w:pPr>
              <w:keepNext w:val="0"/>
              <w:spacing w:before="0"/>
              <w:rPr>
                <w:rFonts w:cs="Arial"/>
                <w:color w:val="auto"/>
                <w:sz w:val="20"/>
              </w:rPr>
            </w:pPr>
            <w:r w:rsidRPr="003C7E62">
              <w:rPr>
                <w:rFonts w:cs="Arial"/>
                <w:color w:val="auto"/>
                <w:sz w:val="20"/>
              </w:rPr>
              <w:t>To rise to the global challenge of climate change, which at a local level presents risks to people, property, infrastructure and natural resources by:</w:t>
            </w:r>
          </w:p>
          <w:p w14:paraId="5AD50390" w14:textId="77777777" w:rsidR="001B5662" w:rsidRPr="003C7E62" w:rsidRDefault="001B5662" w:rsidP="001B5662">
            <w:pPr>
              <w:keepNext w:val="0"/>
              <w:spacing w:before="0"/>
              <w:rPr>
                <w:rFonts w:cs="Arial"/>
                <w:color w:val="auto"/>
                <w:sz w:val="20"/>
              </w:rPr>
            </w:pPr>
          </w:p>
          <w:p w14:paraId="38F69290" w14:textId="77777777" w:rsidR="001B5662" w:rsidRPr="003C7E62" w:rsidRDefault="001B5662" w:rsidP="00874A98">
            <w:pPr>
              <w:keepNext w:val="0"/>
              <w:numPr>
                <w:ilvl w:val="0"/>
                <w:numId w:val="76"/>
              </w:numPr>
              <w:autoSpaceDE w:val="0"/>
              <w:autoSpaceDN w:val="0"/>
              <w:adjustRightInd w:val="0"/>
              <w:spacing w:before="0" w:line="259" w:lineRule="auto"/>
              <w:contextualSpacing/>
              <w:rPr>
                <w:rFonts w:cs="Arial"/>
                <w:color w:val="auto"/>
                <w:sz w:val="20"/>
              </w:rPr>
            </w:pPr>
            <w:r w:rsidRPr="003C7E62">
              <w:rPr>
                <w:rFonts w:cs="Arial"/>
                <w:color w:val="auto"/>
                <w:sz w:val="20"/>
              </w:rPr>
              <w:t>Supporting the delivery of low carbon renewable energy and local energy networks;</w:t>
            </w:r>
          </w:p>
          <w:p w14:paraId="666183B0" w14:textId="77777777" w:rsidR="001B5662" w:rsidRPr="003C7E62" w:rsidRDefault="001B5662" w:rsidP="00874A98">
            <w:pPr>
              <w:keepNext w:val="0"/>
              <w:numPr>
                <w:ilvl w:val="0"/>
                <w:numId w:val="76"/>
              </w:numPr>
              <w:spacing w:before="0" w:line="259" w:lineRule="auto"/>
              <w:contextualSpacing/>
              <w:rPr>
                <w:rFonts w:cs="Arial"/>
                <w:color w:val="auto"/>
                <w:sz w:val="20"/>
              </w:rPr>
            </w:pPr>
            <w:r w:rsidRPr="003C7E62">
              <w:rPr>
                <w:rFonts w:cs="Arial"/>
                <w:color w:val="auto"/>
                <w:sz w:val="20"/>
              </w:rPr>
              <w:t>Shaping places to help secure cuts in greenhouse gas emissions with location for new developments that allows for efficient use of resources;</w:t>
            </w:r>
          </w:p>
          <w:p w14:paraId="4605EDEC" w14:textId="3E19E04A" w:rsidR="001B5662" w:rsidRPr="003C7E62" w:rsidRDefault="001B5662" w:rsidP="00874A98">
            <w:pPr>
              <w:keepNext w:val="0"/>
              <w:numPr>
                <w:ilvl w:val="0"/>
                <w:numId w:val="76"/>
              </w:numPr>
              <w:autoSpaceDE w:val="0"/>
              <w:autoSpaceDN w:val="0"/>
              <w:adjustRightInd w:val="0"/>
              <w:spacing w:before="0" w:line="259" w:lineRule="auto"/>
              <w:contextualSpacing/>
              <w:rPr>
                <w:rFonts w:cs="Arial"/>
                <w:color w:val="auto"/>
                <w:sz w:val="20"/>
              </w:rPr>
            </w:pPr>
            <w:r w:rsidRPr="003C7E62">
              <w:rPr>
                <w:rFonts w:cs="Arial"/>
                <w:color w:val="auto"/>
                <w:sz w:val="20"/>
              </w:rPr>
              <w:t xml:space="preserve">Facilitating the integration of sustainable building design principles in new development, improve the resilience of buildings and places to cope with a changing climate, ensuring flood risk is </w:t>
            </w:r>
            <w:r w:rsidRPr="00E6288C">
              <w:rPr>
                <w:rFonts w:cs="Arial"/>
                <w:sz w:val="20"/>
              </w:rPr>
              <w:t xml:space="preserve">managed </w:t>
            </w:r>
            <w:r w:rsidR="00D148F4" w:rsidRPr="00E6288C">
              <w:rPr>
                <w:rFonts w:cs="Arial"/>
                <w:sz w:val="20"/>
              </w:rPr>
              <w:t xml:space="preserve">by encouraging </w:t>
            </w:r>
            <w:r w:rsidR="00083A29" w:rsidRPr="00E6288C">
              <w:rPr>
                <w:rFonts w:cs="Arial"/>
                <w:sz w:val="20"/>
              </w:rPr>
              <w:t>nature-based</w:t>
            </w:r>
            <w:r w:rsidR="00D148F4" w:rsidRPr="00E6288C">
              <w:rPr>
                <w:rFonts w:cs="Arial"/>
                <w:sz w:val="20"/>
              </w:rPr>
              <w:t xml:space="preserve"> solutions </w:t>
            </w:r>
            <w:r w:rsidRPr="00E6288C">
              <w:rPr>
                <w:rFonts w:cs="Arial"/>
                <w:sz w:val="20"/>
              </w:rPr>
              <w:t xml:space="preserve">and potential problems of extreme weather </w:t>
            </w:r>
            <w:r w:rsidRPr="003C7E62">
              <w:rPr>
                <w:rFonts w:cs="Arial"/>
                <w:color w:val="auto"/>
                <w:sz w:val="20"/>
              </w:rPr>
              <w:t xml:space="preserve">are minimised; </w:t>
            </w:r>
          </w:p>
          <w:p w14:paraId="6C8561A8" w14:textId="77777777" w:rsidR="001B5662" w:rsidRPr="003C7E62" w:rsidRDefault="001B5662" w:rsidP="00874A98">
            <w:pPr>
              <w:keepNext w:val="0"/>
              <w:numPr>
                <w:ilvl w:val="0"/>
                <w:numId w:val="76"/>
              </w:numPr>
              <w:autoSpaceDE w:val="0"/>
              <w:autoSpaceDN w:val="0"/>
              <w:adjustRightInd w:val="0"/>
              <w:spacing w:before="0" w:line="259" w:lineRule="auto"/>
              <w:contextualSpacing/>
              <w:rPr>
                <w:rFonts w:cs="Arial"/>
                <w:color w:val="auto"/>
                <w:sz w:val="20"/>
              </w:rPr>
            </w:pPr>
            <w:r w:rsidRPr="003C7E62">
              <w:rPr>
                <w:rFonts w:cs="Arial"/>
                <w:color w:val="auto"/>
                <w:sz w:val="20"/>
              </w:rPr>
              <w:t xml:space="preserve">Reducing the amount of waste that ends up in landfill, particularly biodegradable waste, and increase self-sufficiency; </w:t>
            </w:r>
          </w:p>
          <w:p w14:paraId="54004B96" w14:textId="77777777" w:rsidR="001B5662" w:rsidRPr="003C7E62" w:rsidRDefault="001B5662" w:rsidP="00874A98">
            <w:pPr>
              <w:keepNext w:val="0"/>
              <w:numPr>
                <w:ilvl w:val="0"/>
                <w:numId w:val="76"/>
              </w:numPr>
              <w:autoSpaceDE w:val="0"/>
              <w:autoSpaceDN w:val="0"/>
              <w:adjustRightInd w:val="0"/>
              <w:spacing w:before="0" w:line="259" w:lineRule="auto"/>
              <w:contextualSpacing/>
              <w:rPr>
                <w:rFonts w:cs="Arial"/>
                <w:color w:val="auto"/>
                <w:sz w:val="20"/>
              </w:rPr>
            </w:pPr>
            <w:r w:rsidRPr="003C7E62">
              <w:rPr>
                <w:rFonts w:cs="Arial"/>
                <w:color w:val="auto"/>
                <w:sz w:val="20"/>
              </w:rPr>
              <w:lastRenderedPageBreak/>
              <w:t>Supporting the infrastructure to provide for zero emission vehicles;</w:t>
            </w:r>
          </w:p>
          <w:p w14:paraId="375E2A4A" w14:textId="77777777" w:rsidR="001B5662" w:rsidRDefault="001B5662" w:rsidP="00874A98">
            <w:pPr>
              <w:keepNext w:val="0"/>
              <w:numPr>
                <w:ilvl w:val="0"/>
                <w:numId w:val="76"/>
              </w:numPr>
              <w:spacing w:before="0" w:line="259" w:lineRule="auto"/>
              <w:contextualSpacing/>
              <w:rPr>
                <w:rFonts w:cs="Arial"/>
                <w:color w:val="auto"/>
                <w:sz w:val="20"/>
              </w:rPr>
            </w:pPr>
            <w:r w:rsidRPr="003C7E62">
              <w:rPr>
                <w:rFonts w:cs="Arial"/>
                <w:color w:val="auto"/>
                <w:sz w:val="20"/>
              </w:rPr>
              <w:t>Ensuring that there are opportunities to take positive action on climate change by encouraging community-led initiatives such as the promotion of decentralised renewable energy use;</w:t>
            </w:r>
          </w:p>
          <w:p w14:paraId="516071B5" w14:textId="77777777" w:rsidR="001B5662" w:rsidRDefault="001B5662" w:rsidP="00874A98">
            <w:pPr>
              <w:keepNext w:val="0"/>
              <w:numPr>
                <w:ilvl w:val="0"/>
                <w:numId w:val="76"/>
              </w:numPr>
              <w:spacing w:before="0" w:line="259" w:lineRule="auto"/>
              <w:contextualSpacing/>
              <w:rPr>
                <w:rFonts w:cs="Arial"/>
                <w:color w:val="auto"/>
                <w:sz w:val="20"/>
              </w:rPr>
            </w:pPr>
            <w:r w:rsidRPr="001B5662">
              <w:rPr>
                <w:rFonts w:cs="Arial"/>
                <w:color w:val="auto"/>
                <w:sz w:val="20"/>
              </w:rPr>
              <w:t>Moving away from the extraction of fossil fuels, the burning of which is carbon intensive.</w:t>
            </w:r>
          </w:p>
          <w:p w14:paraId="62EE8B5B" w14:textId="028C09CB" w:rsidR="005A3E46" w:rsidRPr="001B5662" w:rsidRDefault="005A3E46" w:rsidP="005A3E46">
            <w:pPr>
              <w:keepNext w:val="0"/>
              <w:spacing w:before="0" w:line="259" w:lineRule="auto"/>
              <w:ind w:left="360"/>
              <w:contextualSpacing/>
              <w:rPr>
                <w:rFonts w:cs="Arial"/>
                <w:color w:val="auto"/>
                <w:sz w:val="20"/>
              </w:rPr>
            </w:pPr>
          </w:p>
        </w:tc>
      </w:tr>
      <w:tr w:rsidR="001B5662" w14:paraId="31E2D48A" w14:textId="77777777" w:rsidTr="006C6E8A">
        <w:tc>
          <w:tcPr>
            <w:tcW w:w="851" w:type="dxa"/>
            <w:shd w:val="clear" w:color="auto" w:fill="A8D08D" w:themeFill="accent6" w:themeFillTint="99"/>
            <w:textDirection w:val="btLr"/>
            <w:vAlign w:val="center"/>
          </w:tcPr>
          <w:p w14:paraId="48EEAF4E" w14:textId="14BE7A60" w:rsidR="001B5662" w:rsidRPr="004C5E1B" w:rsidRDefault="001B5662" w:rsidP="005A3E46">
            <w:pPr>
              <w:keepNext w:val="0"/>
              <w:spacing w:before="0" w:after="160" w:line="252" w:lineRule="auto"/>
              <w:jc w:val="center"/>
              <w:rPr>
                <w:b/>
                <w:bCs/>
              </w:rPr>
            </w:pPr>
            <w:r w:rsidRPr="003C7E62">
              <w:rPr>
                <w:rFonts w:cs="Arial"/>
                <w:b/>
                <w:color w:val="auto"/>
              </w:rPr>
              <w:lastRenderedPageBreak/>
              <w:t>The Environment</w:t>
            </w:r>
          </w:p>
        </w:tc>
        <w:tc>
          <w:tcPr>
            <w:tcW w:w="1129" w:type="dxa"/>
          </w:tcPr>
          <w:p w14:paraId="5B5C5D5B" w14:textId="7922D913" w:rsidR="001B5662" w:rsidRPr="004C5E1B" w:rsidRDefault="001B5662" w:rsidP="001B5662">
            <w:pPr>
              <w:keepNext w:val="0"/>
              <w:spacing w:before="0" w:after="160" w:line="252" w:lineRule="auto"/>
              <w:jc w:val="both"/>
              <w:rPr>
                <w:rFonts w:eastAsia="Calibri" w:cs="Arial"/>
                <w:b/>
                <w:bCs/>
                <w:color w:val="auto"/>
                <w:szCs w:val="22"/>
                <w:lang w:eastAsia="en-US"/>
              </w:rPr>
            </w:pPr>
            <w:r w:rsidRPr="004C5E1B">
              <w:rPr>
                <w:b/>
                <w:bCs/>
              </w:rPr>
              <w:t>SO12</w:t>
            </w:r>
          </w:p>
        </w:tc>
        <w:tc>
          <w:tcPr>
            <w:tcW w:w="7654" w:type="dxa"/>
          </w:tcPr>
          <w:p w14:paraId="4442DF9F" w14:textId="387A56E3" w:rsidR="001B5662" w:rsidRPr="003C7E62" w:rsidRDefault="001B5662" w:rsidP="001B5662">
            <w:pPr>
              <w:keepNext w:val="0"/>
              <w:spacing w:before="0" w:line="276" w:lineRule="auto"/>
              <w:rPr>
                <w:rFonts w:cs="Arial"/>
                <w:b/>
                <w:color w:val="auto"/>
                <w:sz w:val="20"/>
              </w:rPr>
            </w:pPr>
            <w:r w:rsidRPr="003C7E62">
              <w:rPr>
                <w:rFonts w:cs="Arial"/>
                <w:b/>
                <w:color w:val="auto"/>
                <w:sz w:val="20"/>
              </w:rPr>
              <w:t>Transport and Accessibility</w:t>
            </w:r>
          </w:p>
          <w:p w14:paraId="5489B82B" w14:textId="77777777" w:rsidR="001B5662" w:rsidRPr="003C7E62" w:rsidRDefault="001B5662" w:rsidP="001B5662">
            <w:pPr>
              <w:keepNext w:val="0"/>
              <w:spacing w:before="0" w:line="276" w:lineRule="auto"/>
              <w:rPr>
                <w:rFonts w:cs="Arial"/>
                <w:b/>
                <w:color w:val="auto"/>
                <w:sz w:val="20"/>
              </w:rPr>
            </w:pPr>
          </w:p>
          <w:p w14:paraId="426B288E" w14:textId="77777777" w:rsidR="001B5662" w:rsidRPr="003C7E62" w:rsidRDefault="001B5662" w:rsidP="001B5662">
            <w:pPr>
              <w:keepNext w:val="0"/>
              <w:spacing w:before="0" w:line="276" w:lineRule="auto"/>
              <w:rPr>
                <w:rFonts w:cs="Arial"/>
                <w:color w:val="auto"/>
                <w:sz w:val="20"/>
              </w:rPr>
            </w:pPr>
            <w:r w:rsidRPr="003C7E62">
              <w:rPr>
                <w:rFonts w:cs="Arial"/>
                <w:color w:val="auto"/>
                <w:sz w:val="20"/>
              </w:rPr>
              <w:t xml:space="preserve">Improving movement and accessibility through: </w:t>
            </w:r>
          </w:p>
          <w:p w14:paraId="23FFAEBF" w14:textId="77777777" w:rsidR="001B5662" w:rsidRPr="003C7E62" w:rsidRDefault="001B5662" w:rsidP="00874A98">
            <w:pPr>
              <w:keepNext w:val="0"/>
              <w:numPr>
                <w:ilvl w:val="0"/>
                <w:numId w:val="77"/>
              </w:numPr>
              <w:spacing w:before="0" w:line="276" w:lineRule="auto"/>
              <w:contextualSpacing/>
              <w:rPr>
                <w:rFonts w:cs="Arial"/>
                <w:color w:val="auto"/>
                <w:sz w:val="20"/>
              </w:rPr>
            </w:pPr>
            <w:r w:rsidRPr="003C7E62">
              <w:rPr>
                <w:rFonts w:cs="Arial"/>
                <w:color w:val="auto"/>
                <w:sz w:val="20"/>
              </w:rPr>
              <w:t>Make efficient use of the existing transport infrastructure,</w:t>
            </w:r>
          </w:p>
          <w:p w14:paraId="22DFA317" w14:textId="77777777" w:rsidR="001B5662" w:rsidRPr="003C7E62" w:rsidRDefault="001B5662" w:rsidP="00874A98">
            <w:pPr>
              <w:keepNext w:val="0"/>
              <w:numPr>
                <w:ilvl w:val="0"/>
                <w:numId w:val="77"/>
              </w:numPr>
              <w:spacing w:before="0" w:line="276" w:lineRule="auto"/>
              <w:contextualSpacing/>
              <w:rPr>
                <w:rFonts w:cs="Arial"/>
                <w:color w:val="auto"/>
                <w:sz w:val="20"/>
              </w:rPr>
            </w:pPr>
            <w:r w:rsidRPr="003C7E62">
              <w:rPr>
                <w:rFonts w:cs="Arial"/>
                <w:color w:val="auto"/>
                <w:sz w:val="20"/>
              </w:rPr>
              <w:t>Reduce the need to travel by car and improves accessibility.</w:t>
            </w:r>
          </w:p>
          <w:p w14:paraId="78806AB1" w14:textId="77777777" w:rsidR="001B5662" w:rsidRPr="003C7E62" w:rsidRDefault="001B5662" w:rsidP="00874A98">
            <w:pPr>
              <w:keepNext w:val="0"/>
              <w:numPr>
                <w:ilvl w:val="0"/>
                <w:numId w:val="77"/>
              </w:numPr>
              <w:spacing w:before="0" w:line="276" w:lineRule="auto"/>
              <w:contextualSpacing/>
              <w:rPr>
                <w:rFonts w:cs="Arial"/>
                <w:color w:val="auto"/>
                <w:sz w:val="20"/>
              </w:rPr>
            </w:pPr>
            <w:r w:rsidRPr="003C7E62">
              <w:rPr>
                <w:rFonts w:cs="Arial"/>
                <w:color w:val="auto"/>
                <w:sz w:val="20"/>
              </w:rPr>
              <w:t>Working with others to promote quality public transport.</w:t>
            </w:r>
          </w:p>
          <w:p w14:paraId="7DF277AC" w14:textId="77777777" w:rsidR="001B5662" w:rsidRDefault="001B5662" w:rsidP="00874A98">
            <w:pPr>
              <w:keepNext w:val="0"/>
              <w:numPr>
                <w:ilvl w:val="0"/>
                <w:numId w:val="77"/>
              </w:numPr>
              <w:spacing w:before="0" w:line="276" w:lineRule="auto"/>
              <w:contextualSpacing/>
              <w:rPr>
                <w:rFonts w:cs="Arial"/>
                <w:color w:val="auto"/>
                <w:sz w:val="20"/>
              </w:rPr>
            </w:pPr>
            <w:r w:rsidRPr="003C7E62">
              <w:rPr>
                <w:rFonts w:cs="Arial"/>
                <w:color w:val="auto"/>
                <w:sz w:val="20"/>
              </w:rPr>
              <w:t>Encouraging cycling and walking opportunities.</w:t>
            </w:r>
          </w:p>
          <w:p w14:paraId="66AA9FA9" w14:textId="77777777" w:rsidR="001B5662" w:rsidRDefault="001B5662" w:rsidP="00874A98">
            <w:pPr>
              <w:keepNext w:val="0"/>
              <w:numPr>
                <w:ilvl w:val="0"/>
                <w:numId w:val="77"/>
              </w:numPr>
              <w:spacing w:before="0" w:line="276" w:lineRule="auto"/>
              <w:contextualSpacing/>
              <w:rPr>
                <w:rFonts w:cs="Arial"/>
                <w:color w:val="auto"/>
                <w:sz w:val="20"/>
              </w:rPr>
            </w:pPr>
            <w:r w:rsidRPr="001B5662">
              <w:rPr>
                <w:rFonts w:cs="Arial"/>
                <w:color w:val="auto"/>
                <w:sz w:val="20"/>
              </w:rPr>
              <w:t>Improve access to jobs, homes and services.</w:t>
            </w:r>
          </w:p>
          <w:p w14:paraId="62945B98" w14:textId="77777777" w:rsidR="006A2145" w:rsidRDefault="006A2145" w:rsidP="006A2145">
            <w:pPr>
              <w:keepNext w:val="0"/>
              <w:spacing w:before="0" w:line="276" w:lineRule="auto"/>
              <w:ind w:left="360"/>
              <w:contextualSpacing/>
              <w:rPr>
                <w:rFonts w:cs="Arial"/>
                <w:color w:val="auto"/>
                <w:sz w:val="20"/>
              </w:rPr>
            </w:pPr>
          </w:p>
          <w:p w14:paraId="656D66B1" w14:textId="61E699E4" w:rsidR="005A3E46" w:rsidRPr="001B5662" w:rsidRDefault="005A3E46" w:rsidP="005A3E46">
            <w:pPr>
              <w:keepNext w:val="0"/>
              <w:spacing w:before="0" w:line="276" w:lineRule="auto"/>
              <w:ind w:left="360"/>
              <w:contextualSpacing/>
              <w:rPr>
                <w:rFonts w:cs="Arial"/>
                <w:color w:val="auto"/>
                <w:sz w:val="20"/>
              </w:rPr>
            </w:pPr>
          </w:p>
        </w:tc>
      </w:tr>
      <w:tr w:rsidR="001B5662" w14:paraId="0C4E211A" w14:textId="77777777" w:rsidTr="006C6E8A">
        <w:tc>
          <w:tcPr>
            <w:tcW w:w="851" w:type="dxa"/>
            <w:shd w:val="clear" w:color="auto" w:fill="A8D08D" w:themeFill="accent6" w:themeFillTint="99"/>
            <w:textDirection w:val="btLr"/>
            <w:vAlign w:val="center"/>
          </w:tcPr>
          <w:p w14:paraId="2153AD32" w14:textId="6EA96E08" w:rsidR="001B5662" w:rsidRPr="004C5E1B" w:rsidRDefault="001B5662" w:rsidP="005A3E46">
            <w:pPr>
              <w:keepNext w:val="0"/>
              <w:spacing w:before="0" w:after="160" w:line="252" w:lineRule="auto"/>
              <w:jc w:val="center"/>
              <w:rPr>
                <w:b/>
                <w:bCs/>
              </w:rPr>
            </w:pPr>
            <w:r w:rsidRPr="003C7E62">
              <w:rPr>
                <w:rFonts w:cs="Arial"/>
                <w:b/>
                <w:color w:val="auto"/>
              </w:rPr>
              <w:t>The Environment</w:t>
            </w:r>
          </w:p>
        </w:tc>
        <w:tc>
          <w:tcPr>
            <w:tcW w:w="1129" w:type="dxa"/>
          </w:tcPr>
          <w:p w14:paraId="39C81D84" w14:textId="07C8117D" w:rsidR="001B5662" w:rsidRPr="004C5E1B" w:rsidRDefault="001B5662" w:rsidP="001B5662">
            <w:pPr>
              <w:keepNext w:val="0"/>
              <w:spacing w:before="0" w:after="160" w:line="252" w:lineRule="auto"/>
              <w:jc w:val="both"/>
              <w:rPr>
                <w:rFonts w:eastAsia="Calibri" w:cs="Arial"/>
                <w:b/>
                <w:bCs/>
                <w:color w:val="auto"/>
                <w:szCs w:val="22"/>
                <w:lang w:eastAsia="en-US"/>
              </w:rPr>
            </w:pPr>
            <w:r w:rsidRPr="004C5E1B">
              <w:rPr>
                <w:b/>
                <w:bCs/>
              </w:rPr>
              <w:t>SO13</w:t>
            </w:r>
          </w:p>
        </w:tc>
        <w:tc>
          <w:tcPr>
            <w:tcW w:w="7654" w:type="dxa"/>
          </w:tcPr>
          <w:p w14:paraId="5AED4937" w14:textId="77777777" w:rsidR="001B5662" w:rsidRPr="003C7E62" w:rsidRDefault="001B5662" w:rsidP="001B5662">
            <w:pPr>
              <w:keepNext w:val="0"/>
              <w:spacing w:before="0" w:line="276" w:lineRule="auto"/>
              <w:rPr>
                <w:rFonts w:cs="Arial"/>
                <w:b/>
                <w:color w:val="auto"/>
                <w:sz w:val="20"/>
              </w:rPr>
            </w:pPr>
            <w:r w:rsidRPr="003C7E62">
              <w:rPr>
                <w:rFonts w:cs="Arial"/>
                <w:b/>
                <w:color w:val="auto"/>
                <w:sz w:val="20"/>
              </w:rPr>
              <w:t>Minimising our Impact on the Environment</w:t>
            </w:r>
          </w:p>
          <w:p w14:paraId="5C1EB89E" w14:textId="77777777" w:rsidR="001B5662" w:rsidRPr="003C7E62" w:rsidRDefault="001B5662" w:rsidP="001B5662">
            <w:pPr>
              <w:keepNext w:val="0"/>
              <w:spacing w:before="0" w:line="276" w:lineRule="auto"/>
              <w:rPr>
                <w:rFonts w:cs="Arial"/>
                <w:b/>
                <w:color w:val="auto"/>
                <w:sz w:val="20"/>
              </w:rPr>
            </w:pPr>
            <w:r w:rsidRPr="003C7E62">
              <w:rPr>
                <w:rFonts w:cs="Arial"/>
                <w:b/>
                <w:color w:val="auto"/>
                <w:sz w:val="20"/>
              </w:rPr>
              <w:t xml:space="preserve"> </w:t>
            </w:r>
          </w:p>
          <w:p w14:paraId="219D65FC" w14:textId="77777777" w:rsidR="001B5662" w:rsidRPr="003C7E62" w:rsidRDefault="001B5662" w:rsidP="001B5662">
            <w:pPr>
              <w:keepNext w:val="0"/>
              <w:spacing w:before="0" w:line="276" w:lineRule="auto"/>
              <w:rPr>
                <w:rFonts w:cs="Arial"/>
                <w:color w:val="auto"/>
                <w:sz w:val="20"/>
              </w:rPr>
            </w:pPr>
            <w:r w:rsidRPr="003C7E62">
              <w:rPr>
                <w:rFonts w:cs="Arial"/>
                <w:color w:val="auto"/>
                <w:sz w:val="20"/>
              </w:rPr>
              <w:t>Promote the efficient use of resources by embracing sustainable patterns of development including:</w:t>
            </w:r>
          </w:p>
          <w:p w14:paraId="2E5E2D32" w14:textId="77777777" w:rsidR="001B5662" w:rsidRPr="003C7E62" w:rsidRDefault="001B5662" w:rsidP="00874A98">
            <w:pPr>
              <w:keepNext w:val="0"/>
              <w:numPr>
                <w:ilvl w:val="0"/>
                <w:numId w:val="78"/>
              </w:numPr>
              <w:spacing w:before="0" w:line="276" w:lineRule="auto"/>
              <w:contextualSpacing/>
              <w:rPr>
                <w:rFonts w:cs="Arial"/>
                <w:color w:val="auto"/>
                <w:sz w:val="20"/>
              </w:rPr>
            </w:pPr>
            <w:r w:rsidRPr="003C7E62">
              <w:rPr>
                <w:rFonts w:cs="Arial"/>
                <w:color w:val="auto"/>
                <w:sz w:val="20"/>
              </w:rPr>
              <w:t>Maximising the use of previously developed land unless it conflicts with other strategic objectives and policies.</w:t>
            </w:r>
          </w:p>
          <w:p w14:paraId="6DF896ED" w14:textId="77777777" w:rsidR="001B5662" w:rsidRPr="003C7E62" w:rsidRDefault="001B5662" w:rsidP="00874A98">
            <w:pPr>
              <w:keepNext w:val="0"/>
              <w:numPr>
                <w:ilvl w:val="0"/>
                <w:numId w:val="78"/>
              </w:numPr>
              <w:spacing w:before="0" w:line="276" w:lineRule="auto"/>
              <w:contextualSpacing/>
              <w:rPr>
                <w:rFonts w:cs="Arial"/>
                <w:color w:val="auto"/>
                <w:sz w:val="20"/>
              </w:rPr>
            </w:pPr>
            <w:r w:rsidRPr="003C7E62">
              <w:rPr>
                <w:rFonts w:cs="Arial"/>
                <w:color w:val="auto"/>
                <w:sz w:val="20"/>
              </w:rPr>
              <w:t>Ensuring development proposals fully consider the coal mining legacy issues to ensure the stability of the land</w:t>
            </w:r>
            <w:r>
              <w:rPr>
                <w:rFonts w:cs="Arial"/>
                <w:color w:val="auto"/>
                <w:sz w:val="20"/>
              </w:rPr>
              <w:t xml:space="preserve"> and to o</w:t>
            </w:r>
            <w:r w:rsidRPr="00832DE8">
              <w:rPr>
                <w:rFonts w:cs="Arial"/>
                <w:color w:val="auto"/>
                <w:sz w:val="20"/>
              </w:rPr>
              <w:t>ptimise the potential for the u</w:t>
            </w:r>
            <w:r>
              <w:rPr>
                <w:rFonts w:cs="Arial"/>
                <w:color w:val="auto"/>
                <w:sz w:val="20"/>
              </w:rPr>
              <w:t>s</w:t>
            </w:r>
            <w:r w:rsidRPr="00832DE8">
              <w:rPr>
                <w:rFonts w:cs="Arial"/>
                <w:color w:val="auto"/>
                <w:sz w:val="20"/>
              </w:rPr>
              <w:t>e of mine water heating</w:t>
            </w:r>
            <w:r w:rsidRPr="003C7E62">
              <w:rPr>
                <w:rFonts w:cs="Arial"/>
                <w:color w:val="auto"/>
                <w:sz w:val="20"/>
              </w:rPr>
              <w:t>.</w:t>
            </w:r>
          </w:p>
          <w:p w14:paraId="74C2F20A" w14:textId="4AF393C8" w:rsidR="001B5662" w:rsidRPr="00E6288C" w:rsidRDefault="00D148F4" w:rsidP="00874A98">
            <w:pPr>
              <w:keepNext w:val="0"/>
              <w:numPr>
                <w:ilvl w:val="0"/>
                <w:numId w:val="78"/>
              </w:numPr>
              <w:spacing w:before="0" w:line="276" w:lineRule="auto"/>
              <w:contextualSpacing/>
              <w:rPr>
                <w:rFonts w:cs="Arial"/>
                <w:sz w:val="20"/>
              </w:rPr>
            </w:pPr>
            <w:r w:rsidRPr="00E6288C">
              <w:rPr>
                <w:rFonts w:cs="Arial"/>
                <w:sz w:val="20"/>
              </w:rPr>
              <w:t>Avoiding the impacts of new development on natural resources wherever possible and minimise, mitigate and compensate where it cannot be avoided.</w:t>
            </w:r>
          </w:p>
          <w:p w14:paraId="34FA15D7" w14:textId="77777777" w:rsidR="001B5662" w:rsidRDefault="001B5662" w:rsidP="00874A98">
            <w:pPr>
              <w:keepNext w:val="0"/>
              <w:numPr>
                <w:ilvl w:val="0"/>
                <w:numId w:val="78"/>
              </w:numPr>
              <w:spacing w:before="0" w:line="276" w:lineRule="auto"/>
              <w:contextualSpacing/>
              <w:rPr>
                <w:rFonts w:cs="Arial"/>
                <w:color w:val="auto"/>
                <w:sz w:val="20"/>
              </w:rPr>
            </w:pPr>
            <w:r w:rsidRPr="003C7E62">
              <w:rPr>
                <w:rFonts w:cs="Arial"/>
                <w:color w:val="auto"/>
                <w:sz w:val="20"/>
              </w:rPr>
              <w:t>Improving water quality, ensuring that development safeguards the water supply in the principal limestone and sandstone aquifers.</w:t>
            </w:r>
          </w:p>
          <w:p w14:paraId="445655F1" w14:textId="77777777" w:rsidR="001B5662" w:rsidRDefault="001B5662" w:rsidP="00874A98">
            <w:pPr>
              <w:keepNext w:val="0"/>
              <w:numPr>
                <w:ilvl w:val="0"/>
                <w:numId w:val="78"/>
              </w:numPr>
              <w:spacing w:before="0" w:line="276" w:lineRule="auto"/>
              <w:contextualSpacing/>
              <w:rPr>
                <w:rFonts w:cs="Arial"/>
                <w:color w:val="auto"/>
                <w:sz w:val="20"/>
              </w:rPr>
            </w:pPr>
            <w:r w:rsidRPr="001B5662">
              <w:rPr>
                <w:rFonts w:cs="Arial"/>
                <w:color w:val="auto"/>
                <w:sz w:val="20"/>
              </w:rPr>
              <w:t>Minimising pollution including air, noise, water, soil and light pollution.</w:t>
            </w:r>
          </w:p>
          <w:p w14:paraId="00062A1E" w14:textId="77777777" w:rsidR="006A2145" w:rsidRDefault="006A2145" w:rsidP="006A2145">
            <w:pPr>
              <w:keepNext w:val="0"/>
              <w:spacing w:before="0" w:line="276" w:lineRule="auto"/>
              <w:ind w:left="360"/>
              <w:contextualSpacing/>
              <w:rPr>
                <w:rFonts w:cs="Arial"/>
                <w:color w:val="auto"/>
                <w:sz w:val="20"/>
              </w:rPr>
            </w:pPr>
          </w:p>
          <w:p w14:paraId="56B2B49F" w14:textId="4DFB7F7A" w:rsidR="005A3E46" w:rsidRPr="001B5662" w:rsidRDefault="005A3E46" w:rsidP="005A3E46">
            <w:pPr>
              <w:keepNext w:val="0"/>
              <w:spacing w:before="0" w:line="276" w:lineRule="auto"/>
              <w:ind w:left="360"/>
              <w:contextualSpacing/>
              <w:rPr>
                <w:rFonts w:cs="Arial"/>
                <w:color w:val="auto"/>
                <w:sz w:val="20"/>
              </w:rPr>
            </w:pPr>
          </w:p>
        </w:tc>
      </w:tr>
      <w:tr w:rsidR="001B5662" w14:paraId="14464128" w14:textId="77777777" w:rsidTr="006C6E8A">
        <w:tc>
          <w:tcPr>
            <w:tcW w:w="851" w:type="dxa"/>
            <w:shd w:val="clear" w:color="auto" w:fill="A8D08D" w:themeFill="accent6" w:themeFillTint="99"/>
            <w:textDirection w:val="btLr"/>
            <w:vAlign w:val="center"/>
          </w:tcPr>
          <w:p w14:paraId="797715D8" w14:textId="7A2A50B7" w:rsidR="001B5662" w:rsidRPr="004C5E1B" w:rsidRDefault="001B5662" w:rsidP="005A3E46">
            <w:pPr>
              <w:keepNext w:val="0"/>
              <w:spacing w:before="0" w:after="160" w:line="252" w:lineRule="auto"/>
              <w:jc w:val="center"/>
              <w:rPr>
                <w:b/>
                <w:bCs/>
              </w:rPr>
            </w:pPr>
            <w:r w:rsidRPr="003C7E62">
              <w:rPr>
                <w:rFonts w:cs="Arial"/>
                <w:b/>
                <w:color w:val="auto"/>
              </w:rPr>
              <w:t>The Environment</w:t>
            </w:r>
          </w:p>
        </w:tc>
        <w:tc>
          <w:tcPr>
            <w:tcW w:w="1129" w:type="dxa"/>
          </w:tcPr>
          <w:p w14:paraId="5FB296ED" w14:textId="22282744" w:rsidR="001B5662" w:rsidRPr="004C5E1B" w:rsidRDefault="001B5662" w:rsidP="001B5662">
            <w:pPr>
              <w:keepNext w:val="0"/>
              <w:spacing w:before="0" w:after="160" w:line="252" w:lineRule="auto"/>
              <w:jc w:val="both"/>
              <w:rPr>
                <w:rFonts w:eastAsia="Calibri" w:cs="Arial"/>
                <w:b/>
                <w:bCs/>
                <w:color w:val="auto"/>
                <w:szCs w:val="22"/>
                <w:lang w:eastAsia="en-US"/>
              </w:rPr>
            </w:pPr>
            <w:r w:rsidRPr="004C5E1B">
              <w:rPr>
                <w:b/>
                <w:bCs/>
              </w:rPr>
              <w:t>SO14</w:t>
            </w:r>
          </w:p>
        </w:tc>
        <w:tc>
          <w:tcPr>
            <w:tcW w:w="7654" w:type="dxa"/>
          </w:tcPr>
          <w:p w14:paraId="0A1F26D6" w14:textId="77777777" w:rsidR="001B5662" w:rsidRPr="003C7E62" w:rsidRDefault="001B5662" w:rsidP="001B5662">
            <w:pPr>
              <w:keepNext w:val="0"/>
              <w:spacing w:before="0" w:line="276" w:lineRule="auto"/>
              <w:rPr>
                <w:rFonts w:cs="Arial"/>
                <w:b/>
                <w:color w:val="auto"/>
                <w:sz w:val="20"/>
              </w:rPr>
            </w:pPr>
            <w:r w:rsidRPr="003C7E62">
              <w:rPr>
                <w:rFonts w:cs="Arial"/>
                <w:b/>
                <w:color w:val="auto"/>
                <w:sz w:val="20"/>
              </w:rPr>
              <w:t>Protecting and Enhancing the Quality of the Local Environment</w:t>
            </w:r>
          </w:p>
          <w:p w14:paraId="682185A7" w14:textId="77777777" w:rsidR="001B5662" w:rsidRPr="003C7E62" w:rsidRDefault="001B5662" w:rsidP="001B5662">
            <w:pPr>
              <w:keepNext w:val="0"/>
              <w:spacing w:before="0" w:line="276" w:lineRule="auto"/>
              <w:rPr>
                <w:rFonts w:cs="Arial"/>
                <w:b/>
                <w:color w:val="auto"/>
                <w:sz w:val="20"/>
              </w:rPr>
            </w:pPr>
          </w:p>
          <w:p w14:paraId="6911546C" w14:textId="77777777" w:rsidR="001B5662" w:rsidRPr="003C7E62" w:rsidRDefault="001B5662" w:rsidP="001B5662">
            <w:pPr>
              <w:keepNext w:val="0"/>
              <w:spacing w:before="0" w:line="276" w:lineRule="auto"/>
              <w:rPr>
                <w:rFonts w:cs="Arial"/>
                <w:color w:val="auto"/>
                <w:sz w:val="20"/>
              </w:rPr>
            </w:pPr>
            <w:r w:rsidRPr="003C7E62">
              <w:rPr>
                <w:rFonts w:cs="Arial"/>
                <w:color w:val="auto"/>
                <w:sz w:val="20"/>
              </w:rPr>
              <w:t xml:space="preserve">Enrich the quality of the natural, historic, geological and built environment enhancing the </w:t>
            </w:r>
            <w:proofErr w:type="gramStart"/>
            <w:r w:rsidRPr="003C7E62">
              <w:rPr>
                <w:rFonts w:cs="Arial"/>
                <w:color w:val="auto"/>
                <w:sz w:val="20"/>
              </w:rPr>
              <w:t>District’s</w:t>
            </w:r>
            <w:proofErr w:type="gramEnd"/>
            <w:r w:rsidRPr="003C7E62">
              <w:rPr>
                <w:rFonts w:cs="Arial"/>
                <w:color w:val="auto"/>
                <w:sz w:val="20"/>
              </w:rPr>
              <w:t xml:space="preserve"> distinctiveness and sense of place by:</w:t>
            </w:r>
          </w:p>
          <w:p w14:paraId="58E09DA2" w14:textId="77777777" w:rsidR="001B5662" w:rsidRPr="003C7E62" w:rsidRDefault="001B5662" w:rsidP="00874A98">
            <w:pPr>
              <w:keepNext w:val="0"/>
              <w:numPr>
                <w:ilvl w:val="0"/>
                <w:numId w:val="79"/>
              </w:numPr>
              <w:spacing w:before="0" w:line="276" w:lineRule="auto"/>
              <w:contextualSpacing/>
              <w:rPr>
                <w:rFonts w:cs="Arial"/>
                <w:color w:val="auto"/>
                <w:sz w:val="20"/>
              </w:rPr>
            </w:pPr>
            <w:r w:rsidRPr="003C7E62">
              <w:rPr>
                <w:rFonts w:cs="Arial"/>
                <w:color w:val="auto"/>
                <w:sz w:val="20"/>
              </w:rPr>
              <w:t>Protecting and enhancing geological sites, natural habitats, ecological networks and the biodiversity they support.</w:t>
            </w:r>
          </w:p>
          <w:p w14:paraId="3C0C26FE" w14:textId="77777777" w:rsidR="001B5662" w:rsidRPr="003C7E62" w:rsidRDefault="001B5662" w:rsidP="00874A98">
            <w:pPr>
              <w:keepNext w:val="0"/>
              <w:numPr>
                <w:ilvl w:val="0"/>
                <w:numId w:val="79"/>
              </w:numPr>
              <w:spacing w:before="0" w:line="276" w:lineRule="auto"/>
              <w:contextualSpacing/>
              <w:rPr>
                <w:rFonts w:cs="Arial"/>
                <w:color w:val="auto"/>
                <w:sz w:val="20"/>
              </w:rPr>
            </w:pPr>
            <w:r w:rsidRPr="003C7E62">
              <w:rPr>
                <w:rFonts w:cs="Arial"/>
                <w:color w:val="auto"/>
                <w:sz w:val="20"/>
              </w:rPr>
              <w:t xml:space="preserve">Safeguarding Ashfield’s scenic and distinct countryside, heritage and valued landscapes. </w:t>
            </w:r>
          </w:p>
          <w:p w14:paraId="1DA3F1E1" w14:textId="77777777" w:rsidR="001B5662" w:rsidRDefault="001B5662" w:rsidP="00874A98">
            <w:pPr>
              <w:keepNext w:val="0"/>
              <w:numPr>
                <w:ilvl w:val="0"/>
                <w:numId w:val="79"/>
              </w:numPr>
              <w:spacing w:before="0" w:line="276" w:lineRule="auto"/>
              <w:contextualSpacing/>
              <w:rPr>
                <w:rFonts w:cs="Arial"/>
                <w:color w:val="auto"/>
                <w:sz w:val="20"/>
              </w:rPr>
            </w:pPr>
            <w:r w:rsidRPr="003C7E62">
              <w:rPr>
                <w:rFonts w:cs="Arial"/>
                <w:color w:val="auto"/>
                <w:sz w:val="20"/>
              </w:rPr>
              <w:t>The provision of connected quality green and blue spaces that are multifunctional, accessible to all, supporting wildlife and human health.</w:t>
            </w:r>
          </w:p>
          <w:p w14:paraId="6E33A2DA" w14:textId="77777777" w:rsidR="001B5662" w:rsidRDefault="001B5662" w:rsidP="00874A98">
            <w:pPr>
              <w:keepNext w:val="0"/>
              <w:numPr>
                <w:ilvl w:val="0"/>
                <w:numId w:val="79"/>
              </w:numPr>
              <w:spacing w:before="0" w:line="276" w:lineRule="auto"/>
              <w:contextualSpacing/>
              <w:rPr>
                <w:rFonts w:cs="Arial"/>
                <w:color w:val="auto"/>
                <w:sz w:val="20"/>
              </w:rPr>
            </w:pPr>
            <w:r w:rsidRPr="001B5662">
              <w:rPr>
                <w:rFonts w:cs="Arial"/>
                <w:color w:val="auto"/>
                <w:sz w:val="20"/>
              </w:rPr>
              <w:t xml:space="preserve">Conserving, and enhancing the </w:t>
            </w:r>
            <w:proofErr w:type="gramStart"/>
            <w:r w:rsidRPr="001B5662">
              <w:rPr>
                <w:rFonts w:cs="Arial"/>
                <w:color w:val="auto"/>
                <w:sz w:val="20"/>
              </w:rPr>
              <w:t>District’s</w:t>
            </w:r>
            <w:proofErr w:type="gramEnd"/>
            <w:r w:rsidRPr="001B5662">
              <w:rPr>
                <w:rFonts w:cs="Arial"/>
                <w:color w:val="auto"/>
                <w:sz w:val="20"/>
              </w:rPr>
              <w:t xml:space="preserve"> distinct historic environment and cultural heritage including locally valued non-designated heritage assets.</w:t>
            </w:r>
          </w:p>
          <w:p w14:paraId="38747A4E" w14:textId="271510D6" w:rsidR="005A3E46" w:rsidRPr="001B5662" w:rsidRDefault="005A3E46" w:rsidP="005A3E46">
            <w:pPr>
              <w:keepNext w:val="0"/>
              <w:spacing w:before="0" w:line="276" w:lineRule="auto"/>
              <w:ind w:left="360"/>
              <w:contextualSpacing/>
              <w:rPr>
                <w:rFonts w:cs="Arial"/>
                <w:color w:val="auto"/>
                <w:sz w:val="20"/>
              </w:rPr>
            </w:pPr>
          </w:p>
        </w:tc>
      </w:tr>
      <w:bookmarkEnd w:id="29"/>
    </w:tbl>
    <w:p w14:paraId="029728A9" w14:textId="77777777" w:rsidR="00F42218" w:rsidRPr="00F42218" w:rsidRDefault="00F42218" w:rsidP="00CB1B12">
      <w:pPr>
        <w:keepNext w:val="0"/>
        <w:spacing w:before="0"/>
        <w:rPr>
          <w:rFonts w:cs="Arial"/>
          <w:bCs/>
          <w:color w:val="auto"/>
          <w:szCs w:val="24"/>
        </w:rPr>
      </w:pPr>
    </w:p>
    <w:bookmarkEnd w:id="30"/>
    <w:p w14:paraId="5862FBD6" w14:textId="77777777" w:rsidR="007A4FE5" w:rsidRDefault="007A4FE5" w:rsidP="00CB1B12">
      <w:pPr>
        <w:keepNext w:val="0"/>
        <w:spacing w:before="0"/>
        <w:rPr>
          <w:rFonts w:cs="Arial"/>
          <w:b/>
          <w:color w:val="auto"/>
          <w:sz w:val="36"/>
          <w:szCs w:val="36"/>
        </w:rPr>
        <w:sectPr w:rsidR="007A4FE5" w:rsidSect="007A4FE5">
          <w:headerReference w:type="default" r:id="rId29"/>
          <w:pgSz w:w="11906" w:h="16838" w:code="9"/>
          <w:pgMar w:top="1258" w:right="1133" w:bottom="1079" w:left="1134" w:header="709" w:footer="709" w:gutter="0"/>
          <w:cols w:space="708"/>
          <w:docGrid w:linePitch="360"/>
        </w:sectPr>
      </w:pPr>
    </w:p>
    <w:p w14:paraId="11D2B71A" w14:textId="523BBA32" w:rsidR="00DA4833" w:rsidRPr="003C7E62" w:rsidRDefault="00DA4833" w:rsidP="00CF07B9">
      <w:pPr>
        <w:pStyle w:val="Heading1"/>
      </w:pPr>
      <w:bookmarkStart w:id="32" w:name="_Toc145511551"/>
      <w:bookmarkStart w:id="33" w:name="_Hlk129877992"/>
      <w:r w:rsidRPr="00E439EC">
        <w:lastRenderedPageBreak/>
        <w:t>Chapter 3</w:t>
      </w:r>
      <w:bookmarkEnd w:id="32"/>
      <w:r w:rsidRPr="003C7E62">
        <w:t xml:space="preserve"> </w:t>
      </w:r>
    </w:p>
    <w:p w14:paraId="5BC722C1" w14:textId="77777777" w:rsidR="00DA4833" w:rsidRPr="003C7E62" w:rsidRDefault="00DA4833" w:rsidP="00CB1B12">
      <w:pPr>
        <w:keepNext w:val="0"/>
        <w:spacing w:before="0"/>
        <w:rPr>
          <w:rFonts w:cs="Arial"/>
          <w:b/>
          <w:color w:val="auto"/>
          <w:sz w:val="20"/>
        </w:rPr>
      </w:pPr>
    </w:p>
    <w:p w14:paraId="795389DD" w14:textId="22FBCC23" w:rsidR="0004665C" w:rsidRPr="00E6288C" w:rsidRDefault="00162A7B" w:rsidP="00CF07B9">
      <w:pPr>
        <w:pStyle w:val="Heading1"/>
      </w:pPr>
      <w:bookmarkStart w:id="34" w:name="_Toc145511552"/>
      <w:r w:rsidRPr="00364726">
        <w:t xml:space="preserve">Sustainable </w:t>
      </w:r>
      <w:r w:rsidR="00E6288C">
        <w:t>d</w:t>
      </w:r>
      <w:r w:rsidRPr="00364726">
        <w:t>evelopment in Ashfield -</w:t>
      </w:r>
      <w:r w:rsidR="00364726">
        <w:t xml:space="preserve"> </w:t>
      </w:r>
      <w:r w:rsidR="006A5605" w:rsidRPr="00364726">
        <w:t>S</w:t>
      </w:r>
      <w:r w:rsidRPr="00364726">
        <w:t xml:space="preserve">trategic </w:t>
      </w:r>
      <w:r w:rsidR="006A5605" w:rsidRPr="00364726">
        <w:t>P</w:t>
      </w:r>
      <w:r w:rsidRPr="00364726">
        <w:t>olicies</w:t>
      </w:r>
      <w:bookmarkStart w:id="35" w:name="_Hlk80698575"/>
      <w:bookmarkEnd w:id="34"/>
    </w:p>
    <w:p w14:paraId="3B73FDD0" w14:textId="77777777" w:rsidR="006A5605" w:rsidRPr="006A5605" w:rsidRDefault="006A5605" w:rsidP="006A5605">
      <w:pPr>
        <w:rPr>
          <w:lang w:eastAsia="en-US"/>
        </w:rPr>
      </w:pPr>
    </w:p>
    <w:p w14:paraId="0F3B4749" w14:textId="37F2A39A" w:rsidR="006A5605" w:rsidRPr="009D5737" w:rsidRDefault="006A5605" w:rsidP="009D5737">
      <w:pPr>
        <w:pStyle w:val="Heading2"/>
        <w:jc w:val="left"/>
        <w:rPr>
          <w:sz w:val="28"/>
          <w:szCs w:val="28"/>
        </w:rPr>
      </w:pPr>
      <w:bookmarkStart w:id="36" w:name="_Toc145511553"/>
      <w:r w:rsidRPr="009D5737">
        <w:rPr>
          <w:sz w:val="28"/>
          <w:szCs w:val="28"/>
        </w:rPr>
        <w:t xml:space="preserve">Strategic Policy </w:t>
      </w:r>
      <w:bookmarkStart w:id="37" w:name="_Hlk144276185"/>
      <w:r w:rsidRPr="009D5737">
        <w:rPr>
          <w:sz w:val="28"/>
          <w:szCs w:val="28"/>
        </w:rPr>
        <w:t xml:space="preserve">S1: Spatial Strategy to </w:t>
      </w:r>
      <w:r w:rsidR="00952440" w:rsidRPr="009D5737">
        <w:rPr>
          <w:sz w:val="28"/>
          <w:szCs w:val="28"/>
        </w:rPr>
        <w:t>D</w:t>
      </w:r>
      <w:r w:rsidRPr="009D5737">
        <w:rPr>
          <w:sz w:val="28"/>
          <w:szCs w:val="28"/>
        </w:rPr>
        <w:t>eliver the Vision</w:t>
      </w:r>
      <w:bookmarkEnd w:id="36"/>
      <w:bookmarkEnd w:id="37"/>
    </w:p>
    <w:p w14:paraId="702A81A6" w14:textId="7FAFA75E" w:rsidR="006A5605" w:rsidRPr="009B02C6" w:rsidRDefault="006A5605" w:rsidP="006A5605">
      <w:pPr>
        <w:rPr>
          <w:b/>
          <w:bCs/>
          <w:color w:val="auto"/>
          <w:sz w:val="28"/>
          <w:szCs w:val="28"/>
        </w:rPr>
      </w:pPr>
    </w:p>
    <w:p w14:paraId="29BCBE1C" w14:textId="44C6E218" w:rsidR="006A5605" w:rsidRPr="00E439EC" w:rsidRDefault="006A5605" w:rsidP="006A5605">
      <w:pPr>
        <w:keepNext w:val="0"/>
        <w:numPr>
          <w:ilvl w:val="1"/>
          <w:numId w:val="2"/>
        </w:numPr>
        <w:tabs>
          <w:tab w:val="clear" w:pos="525"/>
          <w:tab w:val="num" w:pos="709"/>
        </w:tabs>
        <w:autoSpaceDE w:val="0"/>
        <w:autoSpaceDN w:val="0"/>
        <w:adjustRightInd w:val="0"/>
        <w:spacing w:before="0"/>
        <w:ind w:left="709" w:hanging="709"/>
        <w:rPr>
          <w:rFonts w:eastAsia="Arial" w:cs="Arial"/>
        </w:rPr>
      </w:pPr>
      <w:r w:rsidRPr="00E439EC">
        <w:rPr>
          <w:rFonts w:eastAsia="Arial" w:cs="Arial"/>
        </w:rPr>
        <w:t>The spatial strategy sets out how the Council will seek to deliver the Local Plan’s Vision by guiding the distribution of development across the District over the Plan period, 2023 – 2040.</w:t>
      </w:r>
      <w:r w:rsidRPr="00E439EC">
        <w:t xml:space="preserve"> It has been positively prepared to meet the development and infrastructure needs of Ashfield and provides a framework and context for the other policies of the </w:t>
      </w:r>
      <w:r w:rsidR="006C49F9">
        <w:t>P</w:t>
      </w:r>
      <w:r w:rsidRPr="00E439EC">
        <w:t>lan.</w:t>
      </w:r>
    </w:p>
    <w:p w14:paraId="48D5F4F0" w14:textId="15F2C9C2" w:rsidR="006A5605" w:rsidRPr="00E439EC" w:rsidRDefault="006A5605" w:rsidP="006A5605">
      <w:pPr>
        <w:autoSpaceDE w:val="0"/>
        <w:autoSpaceDN w:val="0"/>
        <w:adjustRightInd w:val="0"/>
        <w:ind w:left="709"/>
        <w:rPr>
          <w:rFonts w:eastAsia="Arial" w:cs="Arial"/>
        </w:rPr>
      </w:pPr>
    </w:p>
    <w:p w14:paraId="532280F0" w14:textId="1AE99FCC" w:rsidR="006A5605" w:rsidRDefault="006A5605" w:rsidP="006A5605">
      <w:pPr>
        <w:keepNext w:val="0"/>
        <w:numPr>
          <w:ilvl w:val="1"/>
          <w:numId w:val="2"/>
        </w:numPr>
        <w:tabs>
          <w:tab w:val="clear" w:pos="525"/>
          <w:tab w:val="num" w:pos="709"/>
        </w:tabs>
        <w:autoSpaceDE w:val="0"/>
        <w:autoSpaceDN w:val="0"/>
        <w:adjustRightInd w:val="0"/>
        <w:spacing w:before="0"/>
        <w:ind w:left="709" w:hanging="709"/>
        <w:rPr>
          <w:rFonts w:eastAsia="Arial" w:cs="Arial"/>
        </w:rPr>
      </w:pPr>
      <w:bookmarkStart w:id="38" w:name="_Hlk148449767"/>
      <w:r w:rsidRPr="00E439EC">
        <w:rPr>
          <w:rFonts w:eastAsia="Arial" w:cs="Arial"/>
        </w:rPr>
        <w:t>The main proposals of the Local Plan are illustrated on the Key Diagram below.</w:t>
      </w:r>
    </w:p>
    <w:p w14:paraId="01BD5A3B" w14:textId="77777777" w:rsidR="00981F8A" w:rsidRPr="00E439EC" w:rsidRDefault="00981F8A" w:rsidP="00981F8A">
      <w:pPr>
        <w:keepNext w:val="0"/>
        <w:autoSpaceDE w:val="0"/>
        <w:autoSpaceDN w:val="0"/>
        <w:adjustRightInd w:val="0"/>
        <w:spacing w:before="0"/>
        <w:ind w:left="709"/>
        <w:rPr>
          <w:rFonts w:eastAsia="Arial" w:cs="Arial"/>
        </w:rPr>
      </w:pPr>
    </w:p>
    <w:p w14:paraId="69E1DB93" w14:textId="01CBE878" w:rsidR="00981F8A" w:rsidRDefault="001C7593" w:rsidP="00981F8A">
      <w:pPr>
        <w:keepNext w:val="0"/>
        <w:spacing w:before="0"/>
        <w:ind w:left="720"/>
        <w:jc w:val="center"/>
      </w:pPr>
      <w:r>
        <w:rPr>
          <w:rFonts w:cs="Arial"/>
          <w:b/>
          <w:bCs/>
          <w:noProof/>
          <w:color w:val="auto"/>
          <w:szCs w:val="24"/>
        </w:rPr>
        <mc:AlternateContent>
          <mc:Choice Requires="wpi">
            <w:drawing>
              <wp:anchor distT="0" distB="0" distL="114300" distR="114300" simplePos="0" relativeHeight="251658264" behindDoc="0" locked="0" layoutInCell="1" allowOverlap="1" wp14:anchorId="06A1F127" wp14:editId="7B187B41">
                <wp:simplePos x="0" y="0"/>
                <wp:positionH relativeFrom="column">
                  <wp:posOffset>6053050</wp:posOffset>
                </wp:positionH>
                <wp:positionV relativeFrom="paragraph">
                  <wp:posOffset>1905331</wp:posOffset>
                </wp:positionV>
                <wp:extent cx="360" cy="360"/>
                <wp:effectExtent l="0" t="0" r="0" b="0"/>
                <wp:wrapNone/>
                <wp:docPr id="1421617021" name="Ink 21"/>
                <wp:cNvGraphicFramePr/>
                <a:graphic xmlns:a="http://schemas.openxmlformats.org/drawingml/2006/main">
                  <a:graphicData uri="http://schemas.microsoft.com/office/word/2010/wordprocessingInk">
                    <w14:contentPart bwMode="auto" r:id="rId30">
                      <w14:nvContentPartPr>
                        <w14:cNvContentPartPr/>
                      </w14:nvContentPartPr>
                      <w14:xfrm>
                        <a:off x="0" y="0"/>
                        <a:ext cx="360" cy="360"/>
                      </w14:xfrm>
                    </w14:contentPart>
                  </a:graphicData>
                </a:graphic>
              </wp:anchor>
            </w:drawing>
          </mc:Choice>
          <mc:Fallback xmlns:arto="http://schemas.microsoft.com/office/word/2006/arto">
            <w:pict>
              <v:shape w14:anchorId="5F022601" id="Ink 21" o:spid="_x0000_s1026" type="#_x0000_t75" style="position:absolute;margin-left:475.9pt;margin-top:149.35pt;width:1.45pt;height:1.4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">
                <v:imagedata r:id="rId31" o:title=""/>
              </v:shape>
            </w:pict>
          </mc:Fallback>
        </mc:AlternateContent>
      </w:r>
      <w:r>
        <w:rPr>
          <w:rFonts w:cs="Arial"/>
          <w:b/>
          <w:bCs/>
          <w:noProof/>
          <w:color w:val="auto"/>
          <w:szCs w:val="24"/>
        </w:rPr>
        <mc:AlternateContent>
          <mc:Choice Requires="wpi">
            <w:drawing>
              <wp:anchor distT="0" distB="0" distL="114300" distR="114300" simplePos="0" relativeHeight="251658263" behindDoc="0" locked="0" layoutInCell="1" allowOverlap="1" wp14:anchorId="6033A134" wp14:editId="631F728E">
                <wp:simplePos x="0" y="0"/>
                <wp:positionH relativeFrom="column">
                  <wp:posOffset>1347130</wp:posOffset>
                </wp:positionH>
                <wp:positionV relativeFrom="paragraph">
                  <wp:posOffset>4515331</wp:posOffset>
                </wp:positionV>
                <wp:extent cx="214200" cy="214200"/>
                <wp:effectExtent l="57150" t="57150" r="52705" b="52705"/>
                <wp:wrapNone/>
                <wp:docPr id="604269017" name="Ink 15"/>
                <wp:cNvGraphicFramePr/>
                <a:graphic xmlns:a="http://schemas.openxmlformats.org/drawingml/2006/main">
                  <a:graphicData uri="http://schemas.microsoft.com/office/word/2010/wordprocessingInk">
                    <w14:contentPart bwMode="auto" r:id="rId32">
                      <w14:nvContentPartPr>
                        <w14:cNvContentPartPr/>
                      </w14:nvContentPartPr>
                      <w14:xfrm>
                        <a:off x="0" y="0"/>
                        <a:ext cx="214200" cy="214200"/>
                      </w14:xfrm>
                    </w14:contentPart>
                  </a:graphicData>
                </a:graphic>
              </wp:anchor>
            </w:drawing>
          </mc:Choice>
          <mc:Fallback xmlns:arto="http://schemas.microsoft.com/office/word/2006/arto">
            <w:pict>
              <v:shape w14:anchorId="0663ACA8" id="Ink 15" o:spid="_x0000_s1026" type="#_x0000_t75" style="position:absolute;margin-left:105.35pt;margin-top:354.85pt;width:18.25pt;height:18.2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">
                <v:imagedata r:id="rId33" o:title=""/>
              </v:shape>
            </w:pict>
          </mc:Fallback>
        </mc:AlternateContent>
      </w:r>
      <w:r>
        <w:rPr>
          <w:rFonts w:cs="Arial"/>
          <w:b/>
          <w:bCs/>
          <w:noProof/>
          <w:color w:val="auto"/>
          <w:szCs w:val="24"/>
        </w:rPr>
        <mc:AlternateContent>
          <mc:Choice Requires="wpi">
            <w:drawing>
              <wp:anchor distT="0" distB="0" distL="114300" distR="114300" simplePos="0" relativeHeight="251658262" behindDoc="0" locked="0" layoutInCell="1" allowOverlap="1" wp14:anchorId="426A0BBD" wp14:editId="6EB9EC95">
                <wp:simplePos x="0" y="0"/>
                <wp:positionH relativeFrom="column">
                  <wp:posOffset>1368730</wp:posOffset>
                </wp:positionH>
                <wp:positionV relativeFrom="paragraph">
                  <wp:posOffset>2697691</wp:posOffset>
                </wp:positionV>
                <wp:extent cx="1984680" cy="1984680"/>
                <wp:effectExtent l="57150" t="57150" r="53975" b="53975"/>
                <wp:wrapNone/>
                <wp:docPr id="1335033591" name="Ink 14"/>
                <wp:cNvGraphicFramePr/>
                <a:graphic xmlns:a="http://schemas.openxmlformats.org/drawingml/2006/main">
                  <a:graphicData uri="http://schemas.microsoft.com/office/word/2010/wordprocessingInk">
                    <w14:contentPart bwMode="auto" r:id="rId34">
                      <w14:nvContentPartPr>
                        <w14:cNvContentPartPr/>
                      </w14:nvContentPartPr>
                      <w14:xfrm>
                        <a:off x="0" y="0"/>
                        <a:ext cx="1984680" cy="1984680"/>
                      </w14:xfrm>
                    </w14:contentPart>
                  </a:graphicData>
                </a:graphic>
              </wp:anchor>
            </w:drawing>
          </mc:Choice>
          <mc:Fallback xmlns:arto="http://schemas.microsoft.com/office/word/2006/arto">
            <w:pict>
              <v:shape w14:anchorId="3BD49553" id="Ink 14" o:spid="_x0000_s1026" type="#_x0000_t75" style="position:absolute;margin-left:107.05pt;margin-top:211.7pt;width:157.65pt;height:157.6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">
                <v:imagedata r:id="rId35" o:title=""/>
              </v:shape>
            </w:pict>
          </mc:Fallback>
        </mc:AlternateContent>
      </w:r>
      <w:r>
        <w:rPr>
          <w:rFonts w:cs="Arial"/>
          <w:b/>
          <w:bCs/>
          <w:noProof/>
          <w:color w:val="auto"/>
          <w:szCs w:val="24"/>
        </w:rPr>
        <mc:AlternateContent>
          <mc:Choice Requires="wpi">
            <w:drawing>
              <wp:anchor distT="0" distB="0" distL="114300" distR="114300" simplePos="0" relativeHeight="251658261" behindDoc="0" locked="0" layoutInCell="1" allowOverlap="1" wp14:anchorId="39A9D318" wp14:editId="7ABF3924">
                <wp:simplePos x="0" y="0"/>
                <wp:positionH relativeFrom="column">
                  <wp:posOffset>1368730</wp:posOffset>
                </wp:positionH>
                <wp:positionV relativeFrom="paragraph">
                  <wp:posOffset>868891</wp:posOffset>
                </wp:positionV>
                <wp:extent cx="3791160" cy="3791160"/>
                <wp:effectExtent l="57150" t="57150" r="57150" b="57150"/>
                <wp:wrapNone/>
                <wp:docPr id="773592440" name="Ink 13"/>
                <wp:cNvGraphicFramePr/>
                <a:graphic xmlns:a="http://schemas.openxmlformats.org/drawingml/2006/main">
                  <a:graphicData uri="http://schemas.microsoft.com/office/word/2010/wordprocessingInk">
                    <w14:contentPart bwMode="auto" r:id="rId36">
                      <w14:nvContentPartPr>
                        <w14:cNvContentPartPr/>
                      </w14:nvContentPartPr>
                      <w14:xfrm>
                        <a:off x="0" y="0"/>
                        <a:ext cx="3791160" cy="3791160"/>
                      </w14:xfrm>
                    </w14:contentPart>
                  </a:graphicData>
                </a:graphic>
              </wp:anchor>
            </w:drawing>
          </mc:Choice>
          <mc:Fallback xmlns:arto="http://schemas.microsoft.com/office/word/2006/arto">
            <w:pict>
              <v:shape w14:anchorId="1E225585" id="Ink 13" o:spid="_x0000_s1026" type="#_x0000_t75" style="position:absolute;margin-left:107.05pt;margin-top:67.7pt;width:299.9pt;height:299.9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">
                <v:imagedata r:id="rId37" o:title=""/>
              </v:shape>
            </w:pict>
          </mc:Fallback>
        </mc:AlternateContent>
      </w:r>
      <w:r>
        <w:rPr>
          <w:rFonts w:cs="Arial"/>
          <w:b/>
          <w:bCs/>
          <w:noProof/>
          <w:color w:val="auto"/>
          <w:szCs w:val="24"/>
        </w:rPr>
        <mc:AlternateContent>
          <mc:Choice Requires="wpi">
            <w:drawing>
              <wp:anchor distT="0" distB="0" distL="114300" distR="114300" simplePos="0" relativeHeight="251658260" behindDoc="0" locked="0" layoutInCell="1" allowOverlap="1" wp14:anchorId="7063C0E3" wp14:editId="12CF4528">
                <wp:simplePos x="0" y="0"/>
                <wp:positionH relativeFrom="column">
                  <wp:posOffset>2368450</wp:posOffset>
                </wp:positionH>
                <wp:positionV relativeFrom="paragraph">
                  <wp:posOffset>50251</wp:posOffset>
                </wp:positionV>
                <wp:extent cx="2938320" cy="2938320"/>
                <wp:effectExtent l="57150" t="57150" r="52705" b="52705"/>
                <wp:wrapNone/>
                <wp:docPr id="1532292445" name="Ink 12"/>
                <wp:cNvGraphicFramePr/>
                <a:graphic xmlns:a="http://schemas.openxmlformats.org/drawingml/2006/main">
                  <a:graphicData uri="http://schemas.microsoft.com/office/word/2010/wordprocessingInk">
                    <w14:contentPart bwMode="auto" r:id="rId38">
                      <w14:nvContentPartPr>
                        <w14:cNvContentPartPr/>
                      </w14:nvContentPartPr>
                      <w14:xfrm>
                        <a:off x="0" y="0"/>
                        <a:ext cx="2938320" cy="2938320"/>
                      </w14:xfrm>
                    </w14:contentPart>
                  </a:graphicData>
                </a:graphic>
              </wp:anchor>
            </w:drawing>
          </mc:Choice>
          <mc:Fallback xmlns:arto="http://schemas.microsoft.com/office/word/2006/arto">
            <w:pict>
              <v:shape w14:anchorId="1F167E7B" id="Ink 12" o:spid="_x0000_s1026" type="#_x0000_t75" style="position:absolute;margin-left:185.8pt;margin-top:3.25pt;width:232.75pt;height:232.7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">
                <v:imagedata r:id="rId39" o:title=""/>
              </v:shape>
            </w:pict>
          </mc:Fallback>
        </mc:AlternateContent>
      </w:r>
      <w:r>
        <w:rPr>
          <w:rFonts w:cs="Arial"/>
          <w:b/>
          <w:bCs/>
          <w:noProof/>
          <w:color w:val="auto"/>
          <w:szCs w:val="24"/>
        </w:rPr>
        <mc:AlternateContent>
          <mc:Choice Requires="wpi">
            <w:drawing>
              <wp:anchor distT="0" distB="0" distL="114300" distR="114300" simplePos="0" relativeHeight="251658259" behindDoc="0" locked="0" layoutInCell="1" allowOverlap="1" wp14:anchorId="275FE974" wp14:editId="4EAF3539">
                <wp:simplePos x="0" y="0"/>
                <wp:positionH relativeFrom="column">
                  <wp:posOffset>4155130</wp:posOffset>
                </wp:positionH>
                <wp:positionV relativeFrom="paragraph">
                  <wp:posOffset>7051</wp:posOffset>
                </wp:positionV>
                <wp:extent cx="1098720" cy="1098720"/>
                <wp:effectExtent l="57150" t="57150" r="44450" b="44450"/>
                <wp:wrapNone/>
                <wp:docPr id="122171454" name="Ink 11"/>
                <wp:cNvGraphicFramePr/>
                <a:graphic xmlns:a="http://schemas.openxmlformats.org/drawingml/2006/main">
                  <a:graphicData uri="http://schemas.microsoft.com/office/word/2010/wordprocessingInk">
                    <w14:contentPart bwMode="auto" r:id="rId40">
                      <w14:nvContentPartPr>
                        <w14:cNvContentPartPr/>
                      </w14:nvContentPartPr>
                      <w14:xfrm>
                        <a:off x="0" y="0"/>
                        <a:ext cx="1098720" cy="1098720"/>
                      </w14:xfrm>
                    </w14:contentPart>
                  </a:graphicData>
                </a:graphic>
              </wp:anchor>
            </w:drawing>
          </mc:Choice>
          <mc:Fallback xmlns:arto="http://schemas.microsoft.com/office/word/2006/arto">
            <w:pict>
              <v:shape w14:anchorId="2EE9856A" id="Ink 11" o:spid="_x0000_s1026" type="#_x0000_t75" style="position:absolute;margin-left:326.5pt;margin-top:-.15pt;width:87.9pt;height:87.9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">
                <v:imagedata r:id="rId41" o:title=""/>
              </v:shape>
            </w:pict>
          </mc:Fallback>
        </mc:AlternateContent>
      </w:r>
      <w:r w:rsidR="00BF07B5">
        <w:rPr>
          <w:rFonts w:cs="Arial"/>
          <w:b/>
          <w:bCs/>
          <w:noProof/>
          <w:color w:val="auto"/>
          <w:szCs w:val="24"/>
        </w:rPr>
        <w:drawing>
          <wp:inline distT="0" distB="0" distL="0" distR="0" wp14:anchorId="3988D778" wp14:editId="7369D0CB">
            <wp:extent cx="3872466" cy="4716756"/>
            <wp:effectExtent l="19050" t="19050" r="13970" b="27305"/>
            <wp:docPr id="363242021" name="Picture 1" descr="Map showing Ashfield District with town centers, green belt areas, named settlements, conservation areas, and key transport routes including HS2, Maid Marion Line, and NET Tram. Important markers highlight Sherwood Business Park, Strategic Employment Site, railway stations, and council boundary, with major roads and surrounding towns Mansfield, Hucknall, and Nottingham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42021" name="Picture 1" descr="Map showing Ashfield District with town centers, green belt areas, named settlements, conservation areas, and key transport routes including HS2, Maid Marion Line, and NET Tram. Important markers highlight Sherwood Business Park, Strategic Employment Site, railway stations, and council boundary, with major roads and surrounding towns Mansfield, Hucknall, and Nottingham indic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09080" cy="4761353"/>
                    </a:xfrm>
                    <a:prstGeom prst="rect">
                      <a:avLst/>
                    </a:prstGeom>
                    <a:noFill/>
                    <a:ln>
                      <a:solidFill>
                        <a:schemeClr val="tx1"/>
                      </a:solidFill>
                    </a:ln>
                  </pic:spPr>
                </pic:pic>
              </a:graphicData>
            </a:graphic>
          </wp:inline>
        </w:drawing>
      </w:r>
      <w:r w:rsidR="00981F8A">
        <w:t xml:space="preserve"> </w:t>
      </w:r>
    </w:p>
    <w:p w14:paraId="75A3FF42" w14:textId="77777777" w:rsidR="00DA1197" w:rsidRPr="00282712" w:rsidRDefault="009B02C6" w:rsidP="000447CA">
      <w:pPr>
        <w:pStyle w:val="Heading3"/>
      </w:pPr>
      <w:r w:rsidRPr="00282712">
        <w:t xml:space="preserve">Figure </w:t>
      </w:r>
      <w:r w:rsidR="005D3347" w:rsidRPr="00282712">
        <w:t>4</w:t>
      </w:r>
      <w:r w:rsidRPr="00282712">
        <w:t>: Ashfield Local Plan Key Diagram</w:t>
      </w:r>
      <w:r w:rsidR="00885A45" w:rsidRPr="00282712">
        <w:t xml:space="preserve"> </w:t>
      </w:r>
    </w:p>
    <w:p w14:paraId="4B94DCF6" w14:textId="2584E077" w:rsidR="00981F8A" w:rsidRPr="00282712" w:rsidRDefault="00981F8A" w:rsidP="000447CA">
      <w:pPr>
        <w:pStyle w:val="Heading3"/>
      </w:pPr>
      <w:r w:rsidRPr="00282712">
        <w:t>Source: Ashfield District Council</w:t>
      </w:r>
    </w:p>
    <w:p w14:paraId="751DCE5B" w14:textId="28EDA5E8" w:rsidR="00981F8A" w:rsidRPr="00282712" w:rsidRDefault="00981F8A" w:rsidP="00981F8A">
      <w:pPr>
        <w:keepNext w:val="0"/>
        <w:spacing w:before="0"/>
        <w:ind w:left="1004" w:firstLine="720"/>
        <w:rPr>
          <w:b/>
          <w:bCs/>
          <w:strike/>
        </w:rPr>
      </w:pPr>
    </w:p>
    <w:p w14:paraId="3EA3F47F" w14:textId="12DD3708" w:rsidR="00BF07B5" w:rsidRDefault="00981F8A" w:rsidP="000447CA">
      <w:pPr>
        <w:pStyle w:val="Heading3"/>
      </w:pPr>
      <w:r>
        <w:lastRenderedPageBreak/>
        <w:t xml:space="preserve">   </w:t>
      </w:r>
    </w:p>
    <w:p w14:paraId="5336FF80" w14:textId="77777777" w:rsidR="00DA1197" w:rsidRPr="00DA1197" w:rsidRDefault="00DA1197" w:rsidP="00DA1197">
      <w:pPr>
        <w:keepNext w:val="0"/>
        <w:spacing w:before="100" w:beforeAutospacing="1" w:after="100" w:afterAutospacing="1"/>
        <w:rPr>
          <w:rFonts w:cs="Arial"/>
          <w:color w:val="auto"/>
          <w:szCs w:val="24"/>
        </w:rPr>
      </w:pPr>
      <w:r w:rsidRPr="00DA1197">
        <w:rPr>
          <w:rFonts w:cs="Arial"/>
          <w:noProof/>
          <w:color w:val="auto"/>
          <w:szCs w:val="24"/>
        </w:rPr>
        <w:drawing>
          <wp:inline distT="0" distB="0" distL="0" distR="0" wp14:anchorId="7FF4B1EE" wp14:editId="590B3767">
            <wp:extent cx="4956246" cy="7006354"/>
            <wp:effectExtent l="19050" t="19050" r="15875" b="23495"/>
            <wp:docPr id="1346394975" name="Picture 1346394975" descr="Map showing Ashfield District with town centers marked by purple circles and green belts shaded in light green. Key features include named settlements, conservation areas, strategic employment sites marked by dark blue diamonds, major roads, railways, stations, and Ashfield District Council boundary outlined with a red dash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94975" name="Picture 1346394975" descr="Map showing Ashfield District with town centers marked by purple circles and green belts shaded in light green. Key features include named settlements, conservation areas, strategic employment sites marked by dark blue diamonds, major roads, railways, stations, and Ashfield District Council boundary outlined with a red dashed lin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59016" cy="7010270"/>
                    </a:xfrm>
                    <a:prstGeom prst="rect">
                      <a:avLst/>
                    </a:prstGeom>
                    <a:noFill/>
                    <a:ln>
                      <a:solidFill>
                        <a:schemeClr val="tx1"/>
                      </a:solidFill>
                    </a:ln>
                  </pic:spPr>
                </pic:pic>
              </a:graphicData>
            </a:graphic>
          </wp:inline>
        </w:drawing>
      </w:r>
    </w:p>
    <w:p w14:paraId="1055BF34" w14:textId="77777777" w:rsidR="00981F8A" w:rsidRPr="00DA1197" w:rsidRDefault="00981F8A" w:rsidP="000447CA">
      <w:pPr>
        <w:pStyle w:val="Heading3"/>
      </w:pPr>
      <w:r w:rsidRPr="00DA1197">
        <w:t xml:space="preserve">Figure 4: Ashfield Local Plan Key Diagram </w:t>
      </w:r>
    </w:p>
    <w:p w14:paraId="4494DF58" w14:textId="528077E8" w:rsidR="00981F8A" w:rsidRPr="00DA1197" w:rsidRDefault="00981F8A" w:rsidP="000447CA">
      <w:pPr>
        <w:pStyle w:val="Heading3"/>
      </w:pPr>
      <w:r w:rsidRPr="00DA1197">
        <w:t>Source: Ashfield District Council</w:t>
      </w:r>
    </w:p>
    <w:p w14:paraId="59AB2367" w14:textId="157A1D2F" w:rsidR="0060286D" w:rsidRDefault="0060286D">
      <w:pPr>
        <w:keepNext w:val="0"/>
        <w:spacing w:before="0"/>
        <w:rPr>
          <w:lang w:eastAsia="en-US"/>
        </w:rPr>
      </w:pPr>
      <w:r>
        <w:rPr>
          <w:lang w:eastAsia="en-US"/>
        </w:rPr>
        <w:br w:type="page"/>
      </w:r>
    </w:p>
    <w:tbl>
      <w:tblPr>
        <w:tblStyle w:val="TableGrid24"/>
        <w:tblW w:w="9356" w:type="dxa"/>
        <w:tblInd w:w="137" w:type="dxa"/>
        <w:tblLook w:val="04A0" w:firstRow="1" w:lastRow="0" w:firstColumn="1" w:lastColumn="0" w:noHBand="0" w:noVBand="1"/>
      </w:tblPr>
      <w:tblGrid>
        <w:gridCol w:w="3260"/>
        <w:gridCol w:w="6096"/>
      </w:tblGrid>
      <w:tr w:rsidR="000B3D9D" w:rsidRPr="000B3D9D" w14:paraId="0E3764CF" w14:textId="77777777" w:rsidTr="009D4C91">
        <w:tc>
          <w:tcPr>
            <w:tcW w:w="9356" w:type="dxa"/>
            <w:gridSpan w:val="2"/>
          </w:tcPr>
          <w:p w14:paraId="1ABDC263" w14:textId="77777777" w:rsidR="0020285D" w:rsidRDefault="0020285D" w:rsidP="0020285D">
            <w:pPr>
              <w:keepNext w:val="0"/>
              <w:spacing w:before="0"/>
              <w:ind w:left="164"/>
              <w:rPr>
                <w:rFonts w:cs="Arial"/>
                <w:b/>
                <w:bCs/>
                <w:iCs/>
                <w:color w:val="auto"/>
                <w:szCs w:val="24"/>
              </w:rPr>
            </w:pPr>
          </w:p>
          <w:p w14:paraId="3161E929" w14:textId="20C40342" w:rsidR="0020285D" w:rsidRDefault="000B3D9D" w:rsidP="0020285D">
            <w:pPr>
              <w:keepNext w:val="0"/>
              <w:spacing w:before="0"/>
              <w:ind w:left="164"/>
              <w:rPr>
                <w:rFonts w:cs="Arial"/>
                <w:b/>
                <w:bCs/>
                <w:iCs/>
                <w:color w:val="auto"/>
                <w:szCs w:val="24"/>
              </w:rPr>
            </w:pPr>
            <w:r w:rsidRPr="000B3D9D">
              <w:rPr>
                <w:rFonts w:cs="Arial"/>
                <w:b/>
                <w:bCs/>
                <w:iCs/>
                <w:color w:val="auto"/>
                <w:szCs w:val="24"/>
              </w:rPr>
              <w:t xml:space="preserve">Strategic Policy S1: Spatial Strategy to Deliver the Vision  </w:t>
            </w:r>
          </w:p>
          <w:p w14:paraId="037081FC" w14:textId="03BE2A1A" w:rsidR="000B3D9D" w:rsidRPr="000B3D9D" w:rsidRDefault="000B3D9D" w:rsidP="0020285D">
            <w:pPr>
              <w:keepNext w:val="0"/>
              <w:spacing w:before="0"/>
              <w:ind w:left="164"/>
              <w:rPr>
                <w:rFonts w:cs="Arial"/>
                <w:color w:val="auto"/>
                <w:szCs w:val="24"/>
              </w:rPr>
            </w:pPr>
            <w:r w:rsidRPr="000B3D9D">
              <w:rPr>
                <w:rFonts w:cs="Arial"/>
                <w:b/>
                <w:bCs/>
                <w:iCs/>
                <w:color w:val="auto"/>
                <w:szCs w:val="24"/>
              </w:rPr>
              <w:t xml:space="preserve"> </w:t>
            </w:r>
          </w:p>
        </w:tc>
      </w:tr>
      <w:tr w:rsidR="000B3D9D" w:rsidRPr="000B3D9D" w14:paraId="429EBD36" w14:textId="77777777" w:rsidTr="009D4C91">
        <w:tc>
          <w:tcPr>
            <w:tcW w:w="3260" w:type="dxa"/>
          </w:tcPr>
          <w:p w14:paraId="7E231EE1" w14:textId="77777777" w:rsidR="000B3D9D" w:rsidRPr="000B3D9D" w:rsidRDefault="000B3D9D" w:rsidP="0020285D">
            <w:pPr>
              <w:keepNext w:val="0"/>
              <w:spacing w:before="0"/>
              <w:ind w:left="164"/>
              <w:rPr>
                <w:rFonts w:cs="Arial"/>
                <w:color w:val="auto"/>
                <w:szCs w:val="24"/>
              </w:rPr>
            </w:pPr>
            <w:r w:rsidRPr="000B3D9D">
              <w:rPr>
                <w:rFonts w:cs="Arial"/>
                <w:bCs/>
                <w:color w:val="auto"/>
                <w:szCs w:val="24"/>
              </w:rPr>
              <w:t>Strategic Objectives</w:t>
            </w:r>
          </w:p>
        </w:tc>
        <w:tc>
          <w:tcPr>
            <w:tcW w:w="6096" w:type="dxa"/>
          </w:tcPr>
          <w:p w14:paraId="24649B18" w14:textId="77777777" w:rsidR="000B3D9D" w:rsidRPr="000B3D9D" w:rsidRDefault="000B3D9D" w:rsidP="0020285D">
            <w:pPr>
              <w:keepNext w:val="0"/>
              <w:spacing w:before="0"/>
              <w:ind w:left="164"/>
              <w:rPr>
                <w:rFonts w:cs="Arial"/>
                <w:color w:val="auto"/>
                <w:szCs w:val="24"/>
              </w:rPr>
            </w:pPr>
            <w:r w:rsidRPr="000B3D9D">
              <w:rPr>
                <w:rFonts w:cs="Arial"/>
                <w:bCs/>
                <w:color w:val="auto"/>
                <w:szCs w:val="24"/>
              </w:rPr>
              <w:t>SO1, SO3, SO5, SO6, SO11, SO13, S014</w:t>
            </w:r>
          </w:p>
        </w:tc>
      </w:tr>
      <w:tr w:rsidR="000B3D9D" w:rsidRPr="000B3D9D" w14:paraId="5042C0BE" w14:textId="77777777" w:rsidTr="009D4C91">
        <w:tc>
          <w:tcPr>
            <w:tcW w:w="9356" w:type="dxa"/>
            <w:gridSpan w:val="2"/>
            <w:shd w:val="clear" w:color="auto" w:fill="D9D9D9" w:themeFill="background1" w:themeFillShade="D9"/>
          </w:tcPr>
          <w:p w14:paraId="45F93049" w14:textId="77777777" w:rsidR="0020285D" w:rsidRDefault="0020285D" w:rsidP="0020285D">
            <w:pPr>
              <w:keepNext w:val="0"/>
              <w:tabs>
                <w:tab w:val="left" w:pos="1133"/>
                <w:tab w:val="left" w:pos="2267"/>
              </w:tabs>
              <w:spacing w:before="0"/>
              <w:ind w:left="164" w:right="284"/>
              <w:rPr>
                <w:rFonts w:cs="Arial"/>
                <w:bCs/>
                <w:color w:val="auto"/>
                <w:szCs w:val="24"/>
              </w:rPr>
            </w:pPr>
          </w:p>
          <w:p w14:paraId="5ECDA41F" w14:textId="354F8049" w:rsidR="000B3D9D" w:rsidRPr="000B3D9D" w:rsidRDefault="000B3D9D" w:rsidP="0020285D">
            <w:pPr>
              <w:keepNext w:val="0"/>
              <w:tabs>
                <w:tab w:val="left" w:pos="1133"/>
                <w:tab w:val="left" w:pos="2267"/>
              </w:tabs>
              <w:spacing w:before="0"/>
              <w:ind w:left="164" w:right="284"/>
              <w:rPr>
                <w:rFonts w:cs="Arial"/>
                <w:bCs/>
                <w:color w:val="auto"/>
                <w:szCs w:val="24"/>
              </w:rPr>
            </w:pPr>
            <w:r w:rsidRPr="000B3D9D">
              <w:rPr>
                <w:rFonts w:cs="Arial"/>
                <w:bCs/>
                <w:color w:val="auto"/>
                <w:szCs w:val="24"/>
              </w:rPr>
              <w:t>Sustainable growth to deliver the Vision will be achieved through:</w:t>
            </w:r>
          </w:p>
          <w:p w14:paraId="121E1B7F" w14:textId="77777777" w:rsidR="000B3D9D" w:rsidRPr="000B3D9D" w:rsidRDefault="000B3D9D" w:rsidP="0020285D">
            <w:pPr>
              <w:keepNext w:val="0"/>
              <w:tabs>
                <w:tab w:val="left" w:pos="680"/>
                <w:tab w:val="left" w:pos="1133"/>
                <w:tab w:val="left" w:pos="2267"/>
              </w:tabs>
              <w:spacing w:before="0"/>
              <w:ind w:left="589" w:right="284"/>
              <w:rPr>
                <w:rFonts w:cs="Arial"/>
                <w:bCs/>
                <w:color w:val="auto"/>
                <w:szCs w:val="24"/>
              </w:rPr>
            </w:pPr>
          </w:p>
          <w:p w14:paraId="28118FA2" w14:textId="77777777" w:rsidR="000B3D9D" w:rsidRPr="000B3D9D" w:rsidRDefault="000B3D9D" w:rsidP="00874A98">
            <w:pPr>
              <w:keepNext w:val="0"/>
              <w:numPr>
                <w:ilvl w:val="0"/>
                <w:numId w:val="333"/>
              </w:numPr>
              <w:tabs>
                <w:tab w:val="left" w:pos="680"/>
                <w:tab w:val="left" w:pos="1133"/>
                <w:tab w:val="left" w:pos="2267"/>
              </w:tabs>
              <w:spacing w:before="0"/>
              <w:ind w:left="589" w:right="284"/>
              <w:contextualSpacing/>
              <w:rPr>
                <w:rFonts w:cs="Arial"/>
                <w:bCs/>
                <w:szCs w:val="24"/>
              </w:rPr>
            </w:pPr>
            <w:r w:rsidRPr="000B3D9D">
              <w:rPr>
                <w:rFonts w:cs="Arial"/>
                <w:bCs/>
                <w:szCs w:val="24"/>
              </w:rPr>
              <w:t>Creating sustainable and attractive places with an enhanced quality of life for residents;</w:t>
            </w:r>
          </w:p>
          <w:p w14:paraId="44C0120B" w14:textId="77777777" w:rsidR="000B3D9D" w:rsidRPr="000B3D9D" w:rsidRDefault="000B3D9D" w:rsidP="0020285D">
            <w:pPr>
              <w:keepNext w:val="0"/>
              <w:tabs>
                <w:tab w:val="left" w:pos="680"/>
                <w:tab w:val="left" w:pos="1133"/>
                <w:tab w:val="left" w:pos="2267"/>
              </w:tabs>
              <w:spacing w:before="0"/>
              <w:ind w:left="589" w:right="284"/>
              <w:contextualSpacing/>
              <w:rPr>
                <w:rFonts w:cs="Arial"/>
                <w:bCs/>
                <w:szCs w:val="24"/>
              </w:rPr>
            </w:pPr>
          </w:p>
          <w:p w14:paraId="178101D2" w14:textId="77777777" w:rsidR="000B3D9D" w:rsidRPr="000B3D9D" w:rsidRDefault="000B3D9D" w:rsidP="00874A98">
            <w:pPr>
              <w:keepNext w:val="0"/>
              <w:numPr>
                <w:ilvl w:val="0"/>
                <w:numId w:val="333"/>
              </w:numPr>
              <w:tabs>
                <w:tab w:val="left" w:pos="680"/>
                <w:tab w:val="left" w:pos="1133"/>
                <w:tab w:val="left" w:pos="2267"/>
              </w:tabs>
              <w:spacing w:before="0"/>
              <w:ind w:left="589" w:right="284"/>
              <w:contextualSpacing/>
              <w:rPr>
                <w:rFonts w:cs="Arial"/>
                <w:bCs/>
                <w:szCs w:val="24"/>
              </w:rPr>
            </w:pPr>
            <w:r w:rsidRPr="000B3D9D">
              <w:rPr>
                <w:rFonts w:cs="Arial"/>
                <w:bCs/>
                <w:szCs w:val="24"/>
              </w:rPr>
              <w:t>Ensuring a strong regeneration focus for our towns, including maximising the use of previously developed (Brownfield) land;</w:t>
            </w:r>
          </w:p>
          <w:p w14:paraId="4B2F9640" w14:textId="77777777" w:rsidR="000B3D9D" w:rsidRPr="000B3D9D" w:rsidRDefault="000B3D9D" w:rsidP="0020285D">
            <w:pPr>
              <w:keepNext w:val="0"/>
              <w:tabs>
                <w:tab w:val="left" w:pos="680"/>
                <w:tab w:val="left" w:pos="1133"/>
                <w:tab w:val="left" w:pos="2267"/>
              </w:tabs>
              <w:spacing w:before="0"/>
              <w:ind w:left="589" w:right="284"/>
              <w:rPr>
                <w:rFonts w:cs="Arial"/>
                <w:bCs/>
                <w:color w:val="auto"/>
                <w:szCs w:val="24"/>
              </w:rPr>
            </w:pPr>
          </w:p>
          <w:p w14:paraId="7BA40198" w14:textId="77777777" w:rsidR="000B3D9D" w:rsidRPr="000B3D9D" w:rsidRDefault="000B3D9D" w:rsidP="00874A98">
            <w:pPr>
              <w:keepNext w:val="0"/>
              <w:numPr>
                <w:ilvl w:val="0"/>
                <w:numId w:val="333"/>
              </w:numPr>
              <w:spacing w:before="0" w:line="259" w:lineRule="auto"/>
              <w:ind w:left="589"/>
              <w:contextualSpacing/>
              <w:rPr>
                <w:rFonts w:cs="Arial"/>
                <w:szCs w:val="24"/>
              </w:rPr>
            </w:pPr>
            <w:r w:rsidRPr="000B3D9D">
              <w:rPr>
                <w:rFonts w:cs="Arial"/>
                <w:szCs w:val="24"/>
              </w:rPr>
              <w:t xml:space="preserve">Locating growth in sustainable and accessible locations </w:t>
            </w:r>
            <w:r w:rsidRPr="000B3D9D">
              <w:rPr>
                <w:rFonts w:cs="Arial"/>
                <w:bCs/>
                <w:szCs w:val="24"/>
              </w:rPr>
              <w:t>through prioritising sites for development within and adjoining the Main Urban Areas;</w:t>
            </w:r>
          </w:p>
          <w:p w14:paraId="5DDE1715" w14:textId="77777777" w:rsidR="000B3D9D" w:rsidRPr="000B3D9D" w:rsidRDefault="000B3D9D" w:rsidP="0020285D">
            <w:pPr>
              <w:keepNext w:val="0"/>
              <w:spacing w:before="0" w:after="200" w:line="276" w:lineRule="auto"/>
              <w:ind w:left="589"/>
              <w:contextualSpacing/>
              <w:rPr>
                <w:rFonts w:cs="Arial"/>
                <w:bCs/>
                <w:szCs w:val="24"/>
              </w:rPr>
            </w:pPr>
          </w:p>
          <w:p w14:paraId="2C286C01" w14:textId="38E2020B" w:rsidR="000B3D9D" w:rsidRPr="003E3BD8" w:rsidRDefault="000B3D9D" w:rsidP="003E3BD8">
            <w:pPr>
              <w:keepNext w:val="0"/>
              <w:numPr>
                <w:ilvl w:val="0"/>
                <w:numId w:val="333"/>
              </w:numPr>
              <w:tabs>
                <w:tab w:val="left" w:pos="680"/>
                <w:tab w:val="left" w:pos="1133"/>
                <w:tab w:val="left" w:pos="2267"/>
              </w:tabs>
              <w:spacing w:before="0"/>
              <w:ind w:left="589" w:right="284"/>
              <w:contextualSpacing/>
              <w:rPr>
                <w:rFonts w:cs="Arial"/>
                <w:bCs/>
                <w:szCs w:val="24"/>
              </w:rPr>
            </w:pPr>
            <w:r w:rsidRPr="000B3D9D">
              <w:rPr>
                <w:rFonts w:cs="Arial"/>
                <w:bCs/>
                <w:szCs w:val="24"/>
              </w:rPr>
              <w:t>Ensuring that new development in or adjoining Named Settlements is of a scale and cha</w:t>
            </w:r>
            <w:r w:rsidRPr="003E3BD8">
              <w:rPr>
                <w:rFonts w:cs="Arial"/>
                <w:bCs/>
                <w:szCs w:val="24"/>
              </w:rPr>
              <w:t>racter that supports these as sustainable locations for growth;</w:t>
            </w:r>
          </w:p>
          <w:p w14:paraId="25C42101" w14:textId="77777777" w:rsidR="000B3D9D" w:rsidRPr="000B3D9D" w:rsidRDefault="000B3D9D" w:rsidP="0020285D">
            <w:pPr>
              <w:keepNext w:val="0"/>
              <w:spacing w:before="0" w:after="200" w:line="276" w:lineRule="auto"/>
              <w:ind w:left="589"/>
              <w:contextualSpacing/>
              <w:rPr>
                <w:rFonts w:cs="Arial"/>
                <w:bCs/>
                <w:szCs w:val="24"/>
              </w:rPr>
            </w:pPr>
          </w:p>
          <w:p w14:paraId="7032F781" w14:textId="77777777" w:rsidR="000B3D9D" w:rsidRPr="000B3D9D" w:rsidRDefault="000B3D9D" w:rsidP="00874A98">
            <w:pPr>
              <w:keepNext w:val="0"/>
              <w:numPr>
                <w:ilvl w:val="0"/>
                <w:numId w:val="333"/>
              </w:numPr>
              <w:tabs>
                <w:tab w:val="left" w:pos="680"/>
                <w:tab w:val="left" w:pos="1133"/>
                <w:tab w:val="left" w:pos="2267"/>
              </w:tabs>
              <w:spacing w:before="0" w:after="160" w:line="259" w:lineRule="auto"/>
              <w:ind w:left="589" w:right="284"/>
              <w:contextualSpacing/>
              <w:rPr>
                <w:rFonts w:cs="Arial"/>
                <w:bCs/>
                <w:szCs w:val="24"/>
              </w:rPr>
            </w:pPr>
            <w:r w:rsidRPr="000B3D9D">
              <w:rPr>
                <w:rFonts w:cs="Arial"/>
                <w:bCs/>
                <w:szCs w:val="24"/>
              </w:rPr>
              <w:t xml:space="preserve">Delivering homes via dispersed development, focusing on sites of less than 500 dwellings; </w:t>
            </w:r>
          </w:p>
          <w:p w14:paraId="6E4E0F64" w14:textId="77777777" w:rsidR="000B3D9D" w:rsidRPr="000B3D9D" w:rsidRDefault="000B3D9D" w:rsidP="0020285D">
            <w:pPr>
              <w:keepNext w:val="0"/>
              <w:spacing w:before="0" w:after="200" w:line="276" w:lineRule="auto"/>
              <w:ind w:left="589"/>
              <w:contextualSpacing/>
              <w:rPr>
                <w:rFonts w:cs="Arial"/>
                <w:bCs/>
                <w:szCs w:val="24"/>
                <w:highlight w:val="yellow"/>
              </w:rPr>
            </w:pPr>
          </w:p>
          <w:p w14:paraId="43B14F29" w14:textId="6C0347C1" w:rsidR="000B3D9D" w:rsidRPr="000B3D9D" w:rsidRDefault="000B3D9D" w:rsidP="00874A98">
            <w:pPr>
              <w:keepNext w:val="0"/>
              <w:numPr>
                <w:ilvl w:val="0"/>
                <w:numId w:val="333"/>
              </w:numPr>
              <w:tabs>
                <w:tab w:val="left" w:pos="680"/>
                <w:tab w:val="left" w:pos="1133"/>
                <w:tab w:val="left" w:pos="2267"/>
              </w:tabs>
              <w:spacing w:before="0"/>
              <w:ind w:left="589" w:right="284"/>
              <w:contextualSpacing/>
              <w:rPr>
                <w:rFonts w:cs="Arial"/>
                <w:bCs/>
                <w:szCs w:val="24"/>
              </w:rPr>
            </w:pPr>
            <w:r w:rsidRPr="000B3D9D">
              <w:rPr>
                <w:rFonts w:cs="Arial"/>
                <w:bCs/>
                <w:szCs w:val="24"/>
              </w:rPr>
              <w:t>Maximising the economic development potential of key sites including land adjacent to M1 Junction 27</w:t>
            </w:r>
            <w:r w:rsidR="00991E62">
              <w:rPr>
                <w:rFonts w:cs="Arial"/>
                <w:bCs/>
                <w:szCs w:val="24"/>
              </w:rPr>
              <w:t xml:space="preserve"> </w:t>
            </w:r>
            <w:r w:rsidRPr="000B3D9D">
              <w:rPr>
                <w:rFonts w:cs="Arial"/>
                <w:bCs/>
                <w:szCs w:val="24"/>
              </w:rPr>
              <w:t>and Sherwood Business Park</w:t>
            </w:r>
            <w:r w:rsidR="00991E62">
              <w:rPr>
                <w:rFonts w:cs="Arial"/>
                <w:bCs/>
                <w:szCs w:val="24"/>
              </w:rPr>
              <w:t xml:space="preserve">, </w:t>
            </w:r>
            <w:r w:rsidR="00991E62" w:rsidRPr="00E56F9C">
              <w:rPr>
                <w:rFonts w:cs="Arial"/>
                <w:bCs/>
                <w:color w:val="005EAC"/>
                <w:szCs w:val="24"/>
              </w:rPr>
              <w:t>where land is released from the Green Belt</w:t>
            </w:r>
            <w:r w:rsidRPr="000B3D9D">
              <w:rPr>
                <w:rFonts w:cs="Arial"/>
                <w:bCs/>
                <w:szCs w:val="24"/>
              </w:rPr>
              <w:t>;</w:t>
            </w:r>
          </w:p>
          <w:p w14:paraId="0436BE07" w14:textId="77777777" w:rsidR="000B3D9D" w:rsidRPr="000B3D9D" w:rsidRDefault="000B3D9D" w:rsidP="0020285D">
            <w:pPr>
              <w:keepNext w:val="0"/>
              <w:tabs>
                <w:tab w:val="left" w:pos="680"/>
                <w:tab w:val="left" w:pos="1133"/>
                <w:tab w:val="left" w:pos="2267"/>
              </w:tabs>
              <w:spacing w:before="0" w:after="200" w:line="276" w:lineRule="auto"/>
              <w:ind w:left="589" w:right="284"/>
              <w:contextualSpacing/>
              <w:rPr>
                <w:rFonts w:cs="Arial"/>
                <w:bCs/>
                <w:szCs w:val="24"/>
              </w:rPr>
            </w:pPr>
          </w:p>
          <w:p w14:paraId="4324B5C2" w14:textId="77777777" w:rsidR="000B3D9D" w:rsidRPr="000B3D9D" w:rsidRDefault="000B3D9D" w:rsidP="00874A98">
            <w:pPr>
              <w:keepNext w:val="0"/>
              <w:numPr>
                <w:ilvl w:val="0"/>
                <w:numId w:val="333"/>
              </w:numPr>
              <w:tabs>
                <w:tab w:val="left" w:pos="680"/>
                <w:tab w:val="left" w:pos="1133"/>
                <w:tab w:val="left" w:pos="2267"/>
              </w:tabs>
              <w:spacing w:before="0"/>
              <w:ind w:left="589" w:right="284"/>
              <w:contextualSpacing/>
              <w:rPr>
                <w:rFonts w:cs="Arial"/>
                <w:bCs/>
                <w:szCs w:val="24"/>
              </w:rPr>
            </w:pPr>
            <w:r w:rsidRPr="000B3D9D">
              <w:rPr>
                <w:rFonts w:cs="Arial"/>
                <w:bCs/>
                <w:szCs w:val="24"/>
              </w:rPr>
              <w:t>Facilitating the delivery of new key infrastructure;</w:t>
            </w:r>
          </w:p>
          <w:p w14:paraId="725DBB8D" w14:textId="77777777" w:rsidR="000B3D9D" w:rsidRPr="000B3D9D" w:rsidRDefault="000B3D9D" w:rsidP="0020285D">
            <w:pPr>
              <w:keepNext w:val="0"/>
              <w:spacing w:before="0" w:after="200" w:line="276" w:lineRule="auto"/>
              <w:ind w:left="589"/>
              <w:contextualSpacing/>
              <w:rPr>
                <w:rFonts w:cs="Arial"/>
                <w:bCs/>
                <w:szCs w:val="24"/>
              </w:rPr>
            </w:pPr>
          </w:p>
          <w:p w14:paraId="10F0F587" w14:textId="77777777" w:rsidR="000B3D9D" w:rsidRPr="000B3D9D" w:rsidRDefault="000B3D9D" w:rsidP="00874A98">
            <w:pPr>
              <w:keepNext w:val="0"/>
              <w:numPr>
                <w:ilvl w:val="0"/>
                <w:numId w:val="333"/>
              </w:numPr>
              <w:tabs>
                <w:tab w:val="left" w:pos="680"/>
                <w:tab w:val="left" w:pos="1133"/>
                <w:tab w:val="left" w:pos="2267"/>
              </w:tabs>
              <w:spacing w:before="0"/>
              <w:ind w:left="589" w:right="284"/>
              <w:contextualSpacing/>
              <w:rPr>
                <w:rFonts w:cs="Arial"/>
                <w:bCs/>
                <w:szCs w:val="24"/>
              </w:rPr>
            </w:pPr>
            <w:r w:rsidRPr="000B3D9D">
              <w:rPr>
                <w:rFonts w:cs="Arial"/>
                <w:bCs/>
                <w:szCs w:val="24"/>
              </w:rPr>
              <w:t>Ensuring development maximises opportunities to enhance the Blue and Green Infrastructure network and incorporates Blue and Green Infrastructure into new development; and</w:t>
            </w:r>
          </w:p>
          <w:p w14:paraId="070805B4" w14:textId="77777777" w:rsidR="000B3D9D" w:rsidRPr="000B3D9D" w:rsidRDefault="000B3D9D" w:rsidP="0020285D">
            <w:pPr>
              <w:keepNext w:val="0"/>
              <w:spacing w:before="0" w:after="200" w:line="276" w:lineRule="auto"/>
              <w:ind w:left="589"/>
              <w:contextualSpacing/>
              <w:rPr>
                <w:rFonts w:cs="Arial"/>
                <w:bCs/>
                <w:szCs w:val="24"/>
              </w:rPr>
            </w:pPr>
          </w:p>
          <w:p w14:paraId="59CF6CB5" w14:textId="77777777" w:rsidR="000B3D9D" w:rsidRDefault="000B3D9D" w:rsidP="00874A98">
            <w:pPr>
              <w:keepNext w:val="0"/>
              <w:numPr>
                <w:ilvl w:val="0"/>
                <w:numId w:val="333"/>
              </w:numPr>
              <w:tabs>
                <w:tab w:val="left" w:pos="680"/>
                <w:tab w:val="left" w:pos="1133"/>
                <w:tab w:val="left" w:pos="2267"/>
              </w:tabs>
              <w:spacing w:before="0"/>
              <w:ind w:left="589" w:right="284"/>
              <w:contextualSpacing/>
              <w:rPr>
                <w:rFonts w:cs="Arial"/>
                <w:bCs/>
                <w:szCs w:val="24"/>
              </w:rPr>
            </w:pPr>
            <w:r w:rsidRPr="000B3D9D">
              <w:rPr>
                <w:rFonts w:cs="Arial"/>
                <w:bCs/>
                <w:szCs w:val="24"/>
              </w:rPr>
              <w:t>Protecting and enhancing the natural and built heritage, providing opportunities for tourism and recreation.</w:t>
            </w:r>
          </w:p>
          <w:p w14:paraId="3C0486A2" w14:textId="77777777" w:rsidR="00F05476" w:rsidRDefault="00F05476" w:rsidP="00F05476">
            <w:pPr>
              <w:keepNext w:val="0"/>
              <w:tabs>
                <w:tab w:val="left" w:pos="680"/>
                <w:tab w:val="left" w:pos="1133"/>
                <w:tab w:val="left" w:pos="2267"/>
              </w:tabs>
              <w:spacing w:before="0"/>
              <w:ind w:left="589" w:right="284"/>
              <w:contextualSpacing/>
              <w:rPr>
                <w:rFonts w:cs="Arial"/>
                <w:bCs/>
                <w:szCs w:val="24"/>
              </w:rPr>
            </w:pPr>
          </w:p>
          <w:p w14:paraId="4B3676AE" w14:textId="20537036" w:rsidR="00F05476" w:rsidRPr="00E56F9C" w:rsidRDefault="00F05476" w:rsidP="00874A98">
            <w:pPr>
              <w:keepNext w:val="0"/>
              <w:numPr>
                <w:ilvl w:val="0"/>
                <w:numId w:val="333"/>
              </w:numPr>
              <w:tabs>
                <w:tab w:val="left" w:pos="680"/>
                <w:tab w:val="left" w:pos="1133"/>
                <w:tab w:val="left" w:pos="2267"/>
              </w:tabs>
              <w:spacing w:before="0"/>
              <w:ind w:left="589" w:right="284"/>
              <w:contextualSpacing/>
              <w:rPr>
                <w:rFonts w:cs="Arial"/>
                <w:bCs/>
                <w:color w:val="005EAC"/>
                <w:szCs w:val="24"/>
              </w:rPr>
            </w:pPr>
            <w:r w:rsidRPr="00E56F9C">
              <w:rPr>
                <w:rFonts w:cs="Arial"/>
                <w:bCs/>
                <w:color w:val="005EAC"/>
                <w:szCs w:val="24"/>
              </w:rPr>
              <w:t xml:space="preserve">Releasing land from the Green Belt for new residential development at Hucknall, Underwood, </w:t>
            </w:r>
            <w:proofErr w:type="spellStart"/>
            <w:r w:rsidRPr="00E56F9C">
              <w:rPr>
                <w:rFonts w:cs="Arial"/>
                <w:bCs/>
                <w:color w:val="005EAC"/>
                <w:szCs w:val="24"/>
              </w:rPr>
              <w:t>Selston</w:t>
            </w:r>
            <w:proofErr w:type="spellEnd"/>
            <w:r w:rsidRPr="00E56F9C">
              <w:rPr>
                <w:rFonts w:cs="Arial"/>
                <w:bCs/>
                <w:color w:val="005EAC"/>
                <w:szCs w:val="24"/>
              </w:rPr>
              <w:t xml:space="preserve">, Brinsley and </w:t>
            </w:r>
            <w:proofErr w:type="spellStart"/>
            <w:r w:rsidRPr="00E56F9C">
              <w:rPr>
                <w:rFonts w:cs="Arial"/>
                <w:bCs/>
                <w:color w:val="005EAC"/>
                <w:szCs w:val="24"/>
              </w:rPr>
              <w:t>Jacksdale</w:t>
            </w:r>
            <w:proofErr w:type="spellEnd"/>
            <w:r w:rsidRPr="00E56F9C">
              <w:rPr>
                <w:rFonts w:cs="Arial"/>
                <w:bCs/>
                <w:color w:val="005EAC"/>
                <w:szCs w:val="24"/>
              </w:rPr>
              <w:t xml:space="preserve"> to meet housing needs to 2040 in accordance with the settlement hierarchy.</w:t>
            </w:r>
          </w:p>
          <w:p w14:paraId="058A3CF1" w14:textId="77777777" w:rsidR="000B3D9D" w:rsidRDefault="000B3D9D" w:rsidP="0020285D">
            <w:pPr>
              <w:keepNext w:val="0"/>
              <w:spacing w:before="0" w:after="200" w:line="276" w:lineRule="auto"/>
              <w:ind w:left="589"/>
              <w:contextualSpacing/>
              <w:rPr>
                <w:rFonts w:cs="Arial"/>
                <w:bCs/>
                <w:szCs w:val="24"/>
              </w:rPr>
            </w:pPr>
          </w:p>
          <w:p w14:paraId="23508D38" w14:textId="77777777" w:rsidR="000B3D9D" w:rsidRPr="000B3D9D" w:rsidRDefault="000B3D9D" w:rsidP="00E02410">
            <w:pPr>
              <w:keepNext w:val="0"/>
              <w:tabs>
                <w:tab w:val="left" w:pos="175"/>
                <w:tab w:val="left" w:pos="1133"/>
                <w:tab w:val="left" w:pos="2267"/>
              </w:tabs>
              <w:spacing w:before="0"/>
              <w:ind w:left="175" w:right="284"/>
              <w:rPr>
                <w:rFonts w:cs="Arial"/>
                <w:bCs/>
                <w:color w:val="auto"/>
                <w:szCs w:val="24"/>
              </w:rPr>
            </w:pPr>
            <w:r w:rsidRPr="000B3D9D">
              <w:rPr>
                <w:rFonts w:cs="Arial"/>
                <w:bCs/>
                <w:color w:val="auto"/>
                <w:szCs w:val="24"/>
              </w:rPr>
              <w:t>The settlement hierarchy to accommodate future growth is set out below and identified on the Policies Map:</w:t>
            </w:r>
          </w:p>
          <w:p w14:paraId="64466280" w14:textId="77777777" w:rsidR="000B3D9D" w:rsidRPr="000B3D9D" w:rsidRDefault="000B3D9D" w:rsidP="0020285D">
            <w:pPr>
              <w:keepNext w:val="0"/>
              <w:tabs>
                <w:tab w:val="left" w:pos="680"/>
                <w:tab w:val="left" w:pos="1133"/>
                <w:tab w:val="left" w:pos="2267"/>
              </w:tabs>
              <w:spacing w:before="0"/>
              <w:ind w:left="589" w:right="284"/>
              <w:rPr>
                <w:rFonts w:cs="Arial"/>
                <w:bCs/>
                <w:color w:val="auto"/>
                <w:szCs w:val="24"/>
              </w:rPr>
            </w:pPr>
          </w:p>
          <w:p w14:paraId="7B3DBB70" w14:textId="77777777" w:rsidR="000B3D9D" w:rsidRPr="000B3D9D" w:rsidRDefault="000B3D9D" w:rsidP="00874A98">
            <w:pPr>
              <w:keepNext w:val="0"/>
              <w:numPr>
                <w:ilvl w:val="0"/>
                <w:numId w:val="334"/>
              </w:numPr>
              <w:autoSpaceDE w:val="0"/>
              <w:autoSpaceDN w:val="0"/>
              <w:adjustRightInd w:val="0"/>
              <w:spacing w:before="0"/>
              <w:ind w:left="589"/>
              <w:contextualSpacing/>
              <w:rPr>
                <w:rFonts w:cs="Arial"/>
                <w:b/>
                <w:bCs/>
                <w:szCs w:val="24"/>
              </w:rPr>
            </w:pPr>
            <w:r w:rsidRPr="000B3D9D">
              <w:rPr>
                <w:rFonts w:cs="Arial"/>
                <w:b/>
                <w:bCs/>
                <w:szCs w:val="24"/>
              </w:rPr>
              <w:t xml:space="preserve">Main Urban Areas </w:t>
            </w:r>
            <w:r w:rsidRPr="000B3D9D">
              <w:rPr>
                <w:rFonts w:cs="Arial"/>
                <w:szCs w:val="24"/>
              </w:rPr>
              <w:t>to accommodate the largest scale of growth:</w:t>
            </w:r>
          </w:p>
          <w:p w14:paraId="0A4CA9F5"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r w:rsidRPr="000B3D9D">
              <w:rPr>
                <w:rFonts w:cs="Arial"/>
                <w:szCs w:val="24"/>
              </w:rPr>
              <w:t>Sutton in Ashfield (Sutton)</w:t>
            </w:r>
          </w:p>
          <w:p w14:paraId="3A20CFA1"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r w:rsidRPr="000B3D9D">
              <w:rPr>
                <w:rFonts w:cs="Arial"/>
                <w:szCs w:val="24"/>
              </w:rPr>
              <w:t>Kirkby-in-Ashfield (Kirkby)</w:t>
            </w:r>
          </w:p>
          <w:p w14:paraId="17CA3319"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r w:rsidRPr="000B3D9D">
              <w:rPr>
                <w:rFonts w:cs="Arial"/>
                <w:szCs w:val="24"/>
              </w:rPr>
              <w:t>Hucknall</w:t>
            </w:r>
          </w:p>
          <w:p w14:paraId="4317173B"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r w:rsidRPr="000B3D9D">
              <w:rPr>
                <w:rFonts w:cs="Arial"/>
                <w:szCs w:val="24"/>
              </w:rPr>
              <w:lastRenderedPageBreak/>
              <w:t>Areas in the District adjacent to the Mansfield Urban Area</w:t>
            </w:r>
          </w:p>
          <w:p w14:paraId="67E30168"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p>
          <w:p w14:paraId="0AB9DDDB" w14:textId="67822C57" w:rsidR="000B3D9D" w:rsidRPr="000B3D9D" w:rsidRDefault="000B3D9D" w:rsidP="00874A98">
            <w:pPr>
              <w:keepNext w:val="0"/>
              <w:numPr>
                <w:ilvl w:val="0"/>
                <w:numId w:val="334"/>
              </w:numPr>
              <w:autoSpaceDE w:val="0"/>
              <w:autoSpaceDN w:val="0"/>
              <w:adjustRightInd w:val="0"/>
              <w:spacing w:before="0"/>
              <w:ind w:left="589"/>
              <w:contextualSpacing/>
              <w:rPr>
                <w:rFonts w:cs="Arial"/>
                <w:szCs w:val="24"/>
              </w:rPr>
            </w:pPr>
            <w:r w:rsidRPr="000B3D9D">
              <w:rPr>
                <w:rFonts w:cs="Arial"/>
                <w:b/>
                <w:bCs/>
                <w:szCs w:val="24"/>
              </w:rPr>
              <w:t>Strategic Employment Area</w:t>
            </w:r>
            <w:r w:rsidRPr="000B3D9D">
              <w:rPr>
                <w:rFonts w:cs="Arial"/>
                <w:szCs w:val="24"/>
              </w:rPr>
              <w:t xml:space="preserve"> to assist in economic growth, whilst maximising the locational benefits associated with major transport corridors:</w:t>
            </w:r>
          </w:p>
          <w:p w14:paraId="1780E3B1"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r w:rsidRPr="000B3D9D">
              <w:rPr>
                <w:rFonts w:cs="Arial"/>
                <w:szCs w:val="24"/>
              </w:rPr>
              <w:t>Sherwood Business Park/M1 Motorway Junction 27.</w:t>
            </w:r>
          </w:p>
          <w:p w14:paraId="46ABBB91"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p>
          <w:p w14:paraId="45478158" w14:textId="77777777" w:rsidR="000B3D9D" w:rsidRPr="000B3D9D" w:rsidRDefault="000B3D9D" w:rsidP="00874A98">
            <w:pPr>
              <w:keepNext w:val="0"/>
              <w:numPr>
                <w:ilvl w:val="0"/>
                <w:numId w:val="334"/>
              </w:numPr>
              <w:autoSpaceDE w:val="0"/>
              <w:autoSpaceDN w:val="0"/>
              <w:adjustRightInd w:val="0"/>
              <w:spacing w:before="0"/>
              <w:ind w:left="589"/>
              <w:contextualSpacing/>
              <w:rPr>
                <w:rFonts w:cs="Arial"/>
                <w:b/>
                <w:bCs/>
                <w:szCs w:val="24"/>
              </w:rPr>
            </w:pPr>
            <w:r w:rsidRPr="000B3D9D">
              <w:rPr>
                <w:rFonts w:cs="Arial"/>
                <w:b/>
                <w:bCs/>
                <w:szCs w:val="24"/>
              </w:rPr>
              <w:t>Named Settlements</w:t>
            </w:r>
            <w:r w:rsidRPr="000B3D9D">
              <w:rPr>
                <w:rFonts w:cs="Arial"/>
                <w:szCs w:val="24"/>
              </w:rPr>
              <w:t xml:space="preserve"> to </w:t>
            </w:r>
            <w:r w:rsidRPr="000B3D9D">
              <w:rPr>
                <w:rFonts w:cs="Arial"/>
                <w:bCs/>
                <w:szCs w:val="24"/>
              </w:rPr>
              <w:t>accommodate smaller scale growth</w:t>
            </w:r>
            <w:r w:rsidRPr="000B3D9D">
              <w:rPr>
                <w:rFonts w:cs="Arial"/>
                <w:szCs w:val="24"/>
              </w:rPr>
              <w:t xml:space="preserve"> which</w:t>
            </w:r>
            <w:r w:rsidRPr="000B3D9D">
              <w:rPr>
                <w:rFonts w:cs="Arial"/>
                <w:bCs/>
                <w:szCs w:val="24"/>
              </w:rPr>
              <w:t xml:space="preserve"> meets the needs of the community and sustains services and facilities:</w:t>
            </w:r>
          </w:p>
          <w:p w14:paraId="6339D460"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proofErr w:type="spellStart"/>
            <w:r w:rsidRPr="000B3D9D">
              <w:rPr>
                <w:rFonts w:cs="Arial"/>
                <w:szCs w:val="24"/>
              </w:rPr>
              <w:t>Selston</w:t>
            </w:r>
            <w:proofErr w:type="spellEnd"/>
          </w:p>
          <w:p w14:paraId="3C9544B0"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proofErr w:type="spellStart"/>
            <w:r w:rsidRPr="000B3D9D">
              <w:rPr>
                <w:rFonts w:cs="Arial"/>
                <w:szCs w:val="24"/>
              </w:rPr>
              <w:t>Jacksdale</w:t>
            </w:r>
            <w:proofErr w:type="spellEnd"/>
          </w:p>
          <w:p w14:paraId="4578D74C"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r w:rsidRPr="000B3D9D">
              <w:rPr>
                <w:rFonts w:cs="Arial"/>
                <w:szCs w:val="24"/>
              </w:rPr>
              <w:t>Underwood</w:t>
            </w:r>
          </w:p>
          <w:p w14:paraId="47E863C3"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r w:rsidRPr="000B3D9D">
              <w:rPr>
                <w:rFonts w:cs="Arial"/>
                <w:szCs w:val="24"/>
              </w:rPr>
              <w:t>Annesley/ Newstead</w:t>
            </w:r>
          </w:p>
          <w:p w14:paraId="394811EC"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r w:rsidRPr="000B3D9D">
              <w:rPr>
                <w:rFonts w:cs="Arial"/>
                <w:szCs w:val="24"/>
              </w:rPr>
              <w:t>Bestwood Village</w:t>
            </w:r>
          </w:p>
          <w:p w14:paraId="1CE45BA9"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r w:rsidRPr="000B3D9D">
              <w:rPr>
                <w:rFonts w:cs="Arial"/>
                <w:szCs w:val="24"/>
              </w:rPr>
              <w:t>Brinsley</w:t>
            </w:r>
          </w:p>
          <w:p w14:paraId="7F9D1C76"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proofErr w:type="spellStart"/>
            <w:r w:rsidRPr="000B3D9D">
              <w:rPr>
                <w:rFonts w:cs="Arial"/>
                <w:szCs w:val="24"/>
              </w:rPr>
              <w:t>Fackley</w:t>
            </w:r>
            <w:proofErr w:type="spellEnd"/>
          </w:p>
          <w:p w14:paraId="4959D24D" w14:textId="77777777" w:rsidR="000B3D9D" w:rsidRPr="000B3D9D" w:rsidRDefault="000B3D9D" w:rsidP="0020285D">
            <w:pPr>
              <w:keepNext w:val="0"/>
              <w:autoSpaceDE w:val="0"/>
              <w:autoSpaceDN w:val="0"/>
              <w:adjustRightInd w:val="0"/>
              <w:spacing w:before="0" w:after="200" w:line="276" w:lineRule="auto"/>
              <w:ind w:left="589"/>
              <w:contextualSpacing/>
              <w:rPr>
                <w:rFonts w:cs="Arial"/>
                <w:szCs w:val="24"/>
              </w:rPr>
            </w:pPr>
          </w:p>
          <w:p w14:paraId="15E5C27F" w14:textId="77777777" w:rsidR="000B3D9D" w:rsidRPr="000B3D9D" w:rsidRDefault="000B3D9D" w:rsidP="00874A98">
            <w:pPr>
              <w:keepNext w:val="0"/>
              <w:numPr>
                <w:ilvl w:val="0"/>
                <w:numId w:val="334"/>
              </w:numPr>
              <w:autoSpaceDE w:val="0"/>
              <w:autoSpaceDN w:val="0"/>
              <w:adjustRightInd w:val="0"/>
              <w:spacing w:before="0"/>
              <w:ind w:left="589"/>
              <w:contextualSpacing/>
              <w:rPr>
                <w:rFonts w:cs="Arial"/>
                <w:szCs w:val="24"/>
              </w:rPr>
            </w:pPr>
            <w:r w:rsidRPr="000B3D9D">
              <w:rPr>
                <w:rFonts w:cs="Arial"/>
                <w:b/>
                <w:bCs/>
                <w:szCs w:val="24"/>
              </w:rPr>
              <w:t>Blenheim Industrial Estate</w:t>
            </w:r>
            <w:r w:rsidRPr="000B3D9D">
              <w:rPr>
                <w:rFonts w:cs="Arial"/>
                <w:szCs w:val="24"/>
              </w:rPr>
              <w:t xml:space="preserve"> to accommodate existing and future employment uses in the event of redevelopment. </w:t>
            </w:r>
          </w:p>
          <w:p w14:paraId="2A63328B" w14:textId="77777777" w:rsidR="000B3D9D" w:rsidRPr="000B3D9D" w:rsidRDefault="000B3D9D" w:rsidP="0020285D">
            <w:pPr>
              <w:keepNext w:val="0"/>
              <w:autoSpaceDE w:val="0"/>
              <w:autoSpaceDN w:val="0"/>
              <w:adjustRightInd w:val="0"/>
              <w:spacing w:before="0"/>
              <w:ind w:left="589"/>
              <w:contextualSpacing/>
              <w:rPr>
                <w:rFonts w:cs="Arial"/>
                <w:strike/>
                <w:szCs w:val="24"/>
              </w:rPr>
            </w:pPr>
          </w:p>
          <w:p w14:paraId="3A96BF03" w14:textId="77777777" w:rsidR="000B3D9D" w:rsidRDefault="000B3D9D" w:rsidP="00874A98">
            <w:pPr>
              <w:keepNext w:val="0"/>
              <w:numPr>
                <w:ilvl w:val="0"/>
                <w:numId w:val="334"/>
              </w:numPr>
              <w:autoSpaceDE w:val="0"/>
              <w:autoSpaceDN w:val="0"/>
              <w:adjustRightInd w:val="0"/>
              <w:spacing w:before="0"/>
              <w:ind w:left="589"/>
              <w:contextualSpacing/>
              <w:rPr>
                <w:rFonts w:cs="Arial"/>
                <w:szCs w:val="24"/>
              </w:rPr>
            </w:pPr>
            <w:r w:rsidRPr="000B3D9D">
              <w:rPr>
                <w:rFonts w:cs="Arial"/>
                <w:b/>
                <w:bCs/>
                <w:szCs w:val="24"/>
              </w:rPr>
              <w:t>The Remainder of the District</w:t>
            </w:r>
            <w:r w:rsidRPr="000B3D9D">
              <w:rPr>
                <w:rFonts w:cs="Arial"/>
                <w:szCs w:val="24"/>
              </w:rPr>
              <w:t xml:space="preserve"> comprises open countryside including land in Green Belt and all other small villages/hamlets within the </w:t>
            </w:r>
            <w:proofErr w:type="gramStart"/>
            <w:r w:rsidRPr="000B3D9D">
              <w:rPr>
                <w:rFonts w:cs="Arial"/>
                <w:szCs w:val="24"/>
              </w:rPr>
              <w:t>District</w:t>
            </w:r>
            <w:proofErr w:type="gramEnd"/>
            <w:r w:rsidRPr="000B3D9D">
              <w:rPr>
                <w:rFonts w:cs="Arial"/>
                <w:szCs w:val="24"/>
              </w:rPr>
              <w:t xml:space="preserve"> not defined above.</w:t>
            </w:r>
          </w:p>
          <w:p w14:paraId="0AE5A393" w14:textId="77777777" w:rsidR="0020285D" w:rsidRPr="000B3D9D" w:rsidRDefault="0020285D" w:rsidP="0020285D">
            <w:pPr>
              <w:keepNext w:val="0"/>
              <w:autoSpaceDE w:val="0"/>
              <w:autoSpaceDN w:val="0"/>
              <w:adjustRightInd w:val="0"/>
              <w:spacing w:before="0"/>
              <w:contextualSpacing/>
              <w:rPr>
                <w:rFonts w:cs="Arial"/>
                <w:szCs w:val="24"/>
              </w:rPr>
            </w:pPr>
          </w:p>
          <w:p w14:paraId="442A98A0" w14:textId="77777777" w:rsidR="000B3D9D" w:rsidRPr="000B3D9D" w:rsidRDefault="000B3D9D" w:rsidP="0020285D">
            <w:pPr>
              <w:keepNext w:val="0"/>
              <w:tabs>
                <w:tab w:val="left" w:pos="680"/>
                <w:tab w:val="left" w:pos="1133"/>
                <w:tab w:val="left" w:pos="2267"/>
              </w:tabs>
              <w:spacing w:before="0" w:after="160"/>
              <w:ind w:left="589" w:right="284"/>
              <w:rPr>
                <w:rFonts w:cs="Arial"/>
                <w:bCs/>
                <w:color w:val="auto"/>
                <w:szCs w:val="24"/>
              </w:rPr>
            </w:pPr>
            <w:r w:rsidRPr="000B3D9D">
              <w:rPr>
                <w:rFonts w:cs="Arial"/>
                <w:bCs/>
                <w:color w:val="auto"/>
                <w:szCs w:val="24"/>
              </w:rPr>
              <w:t>Limited infill development may be appropriate in small villages/hamlets, provided there is no adverse effect on the scale and character of the area. In all other areas, development will only be considered appropriate where sites are specifically allocated in the Development Plan, or where development is appropriate to the Green Belt or Countryside as set out in Policies EV1 and EV2. In this respect development will be restricted to that which requires a countryside location, meets a local need, or supports rural diversification in accordance with policies in this Local Plan.</w:t>
            </w:r>
          </w:p>
          <w:p w14:paraId="312E175B" w14:textId="77777777" w:rsidR="000B3D9D" w:rsidRPr="000B3D9D" w:rsidRDefault="000B3D9D" w:rsidP="0020285D">
            <w:pPr>
              <w:keepNext w:val="0"/>
              <w:spacing w:before="0"/>
              <w:ind w:left="589"/>
              <w:rPr>
                <w:rFonts w:cs="Arial"/>
                <w:color w:val="auto"/>
                <w:szCs w:val="24"/>
              </w:rPr>
            </w:pPr>
          </w:p>
        </w:tc>
      </w:tr>
      <w:tr w:rsidR="000B3D9D" w:rsidRPr="000B3D9D" w14:paraId="3F202409" w14:textId="77777777" w:rsidTr="009D4C91">
        <w:tc>
          <w:tcPr>
            <w:tcW w:w="3260" w:type="dxa"/>
          </w:tcPr>
          <w:p w14:paraId="2BE92C31" w14:textId="77777777" w:rsidR="000B3D9D" w:rsidRPr="000B3D9D" w:rsidRDefault="000B3D9D" w:rsidP="000B3D9D">
            <w:pPr>
              <w:keepNext w:val="0"/>
              <w:spacing w:before="0"/>
              <w:rPr>
                <w:rFonts w:cs="Arial"/>
                <w:color w:val="auto"/>
                <w:sz w:val="20"/>
              </w:rPr>
            </w:pPr>
            <w:r w:rsidRPr="000B3D9D">
              <w:rPr>
                <w:rFonts w:cs="Arial"/>
                <w:bCs/>
                <w:color w:val="auto"/>
                <w:sz w:val="20"/>
              </w:rPr>
              <w:lastRenderedPageBreak/>
              <w:t>Evidence base</w:t>
            </w:r>
          </w:p>
        </w:tc>
        <w:tc>
          <w:tcPr>
            <w:tcW w:w="6096" w:type="dxa"/>
          </w:tcPr>
          <w:p w14:paraId="2B510E3F" w14:textId="77777777" w:rsidR="000B3D9D" w:rsidRPr="000B3D9D" w:rsidRDefault="000B3D9D" w:rsidP="000B3D9D">
            <w:pPr>
              <w:keepNext w:val="0"/>
              <w:numPr>
                <w:ilvl w:val="0"/>
                <w:numId w:val="13"/>
              </w:numPr>
              <w:tabs>
                <w:tab w:val="left" w:pos="680"/>
                <w:tab w:val="left" w:pos="1133"/>
                <w:tab w:val="left" w:pos="2267"/>
              </w:tabs>
              <w:spacing w:before="0" w:after="160" w:line="252" w:lineRule="auto"/>
              <w:ind w:right="284"/>
              <w:contextualSpacing/>
              <w:rPr>
                <w:rFonts w:cs="Arial"/>
                <w:bCs/>
                <w:color w:val="auto"/>
                <w:sz w:val="20"/>
              </w:rPr>
            </w:pPr>
            <w:r w:rsidRPr="000B3D9D">
              <w:rPr>
                <w:rFonts w:cs="Arial"/>
                <w:bCs/>
                <w:color w:val="auto"/>
                <w:sz w:val="20"/>
              </w:rPr>
              <w:t>Greater Nottingham (including Ashfield) Accessibility of Settlements Study – Nottingham Outer Housing Market Area authorities and Ashfield, 2010.</w:t>
            </w:r>
          </w:p>
          <w:p w14:paraId="5F9C5470" w14:textId="7B349182" w:rsidR="000B3D9D" w:rsidRPr="000B3D9D" w:rsidRDefault="000B3D9D" w:rsidP="00A44712">
            <w:pPr>
              <w:keepNext w:val="0"/>
              <w:numPr>
                <w:ilvl w:val="0"/>
                <w:numId w:val="13"/>
              </w:numPr>
              <w:tabs>
                <w:tab w:val="left" w:pos="680"/>
                <w:tab w:val="left" w:pos="1133"/>
                <w:tab w:val="left" w:pos="2267"/>
              </w:tabs>
              <w:spacing w:before="0" w:after="160" w:line="252" w:lineRule="auto"/>
              <w:ind w:right="284"/>
              <w:contextualSpacing/>
              <w:rPr>
                <w:rFonts w:eastAsia="Arial" w:cs="Arial"/>
                <w:bCs/>
                <w:color w:val="auto"/>
                <w:sz w:val="20"/>
              </w:rPr>
            </w:pPr>
            <w:r w:rsidRPr="000B3D9D">
              <w:rPr>
                <w:rFonts w:eastAsia="Arial" w:cs="Arial"/>
                <w:bCs/>
                <w:color w:val="auto"/>
                <w:sz w:val="20"/>
              </w:rPr>
              <w:t>Annual Monitoring Re</w:t>
            </w:r>
            <w:r w:rsidR="00266968">
              <w:rPr>
                <w:rFonts w:eastAsia="Arial" w:cs="Arial"/>
                <w:bCs/>
                <w:color w:val="auto"/>
                <w:sz w:val="20"/>
              </w:rPr>
              <w:t xml:space="preserve">port, </w:t>
            </w:r>
            <w:r w:rsidR="00083A29">
              <w:rPr>
                <w:rFonts w:eastAsia="Arial" w:cs="Arial"/>
                <w:bCs/>
                <w:color w:val="auto"/>
                <w:sz w:val="20"/>
              </w:rPr>
              <w:t>annually</w:t>
            </w:r>
            <w:r w:rsidR="0020285D">
              <w:rPr>
                <w:rFonts w:eastAsia="Arial" w:cs="Arial"/>
                <w:bCs/>
                <w:color w:val="auto"/>
                <w:sz w:val="20"/>
              </w:rPr>
              <w:t xml:space="preserve"> </w:t>
            </w:r>
            <w:r w:rsidRPr="000B3D9D">
              <w:rPr>
                <w:rFonts w:eastAsia="Arial" w:cs="Arial"/>
                <w:bCs/>
                <w:color w:val="auto"/>
                <w:sz w:val="20"/>
              </w:rPr>
              <w:t>– Ashfield District Council.</w:t>
            </w:r>
            <w:r w:rsidRPr="000B3D9D">
              <w:rPr>
                <w:rFonts w:eastAsia="Arial" w:cs="Arial"/>
                <w:bCs/>
                <w:color w:val="auto"/>
                <w:sz w:val="20"/>
              </w:rPr>
              <w:tab/>
            </w:r>
          </w:p>
          <w:p w14:paraId="0B602675" w14:textId="77777777" w:rsidR="000B3D9D" w:rsidRPr="000B3D9D" w:rsidRDefault="000B3D9D" w:rsidP="000B3D9D">
            <w:pPr>
              <w:keepNext w:val="0"/>
              <w:numPr>
                <w:ilvl w:val="0"/>
                <w:numId w:val="13"/>
              </w:numPr>
              <w:tabs>
                <w:tab w:val="left" w:pos="680"/>
                <w:tab w:val="left" w:pos="1133"/>
                <w:tab w:val="left" w:pos="2267"/>
              </w:tabs>
              <w:spacing w:before="0" w:after="160" w:line="252" w:lineRule="auto"/>
              <w:ind w:right="284"/>
              <w:contextualSpacing/>
              <w:rPr>
                <w:rFonts w:cs="Arial"/>
                <w:bCs/>
                <w:color w:val="auto"/>
                <w:sz w:val="20"/>
              </w:rPr>
            </w:pPr>
            <w:r w:rsidRPr="000B3D9D">
              <w:rPr>
                <w:rFonts w:cs="Arial"/>
                <w:color w:val="auto"/>
                <w:sz w:val="20"/>
              </w:rPr>
              <w:t>Background Paper No 1: Spatial Strategy and Site Selection 2023. Ashfield District Council</w:t>
            </w:r>
          </w:p>
          <w:p w14:paraId="02AFFAD9" w14:textId="77777777" w:rsidR="000B3D9D" w:rsidRPr="000B3D9D" w:rsidRDefault="000B3D9D" w:rsidP="000B3D9D">
            <w:pPr>
              <w:keepNext w:val="0"/>
              <w:numPr>
                <w:ilvl w:val="0"/>
                <w:numId w:val="13"/>
              </w:numPr>
              <w:tabs>
                <w:tab w:val="left" w:pos="680"/>
                <w:tab w:val="left" w:pos="1133"/>
                <w:tab w:val="left" w:pos="2267"/>
              </w:tabs>
              <w:spacing w:before="0" w:after="160" w:line="252" w:lineRule="auto"/>
              <w:ind w:right="284"/>
              <w:contextualSpacing/>
              <w:rPr>
                <w:rFonts w:cs="Arial"/>
                <w:bCs/>
                <w:color w:val="auto"/>
                <w:sz w:val="20"/>
              </w:rPr>
            </w:pPr>
            <w:r w:rsidRPr="000B3D9D">
              <w:rPr>
                <w:rFonts w:cs="Arial"/>
                <w:bCs/>
                <w:color w:val="auto"/>
                <w:sz w:val="20"/>
              </w:rPr>
              <w:t xml:space="preserve">Sustainability Appraisal August 2023, </w:t>
            </w:r>
            <w:r w:rsidRPr="000B3D9D">
              <w:rPr>
                <w:rFonts w:cs="Arial"/>
                <w:color w:val="auto"/>
                <w:sz w:val="20"/>
              </w:rPr>
              <w:t xml:space="preserve">WSP UK Limited </w:t>
            </w:r>
          </w:p>
          <w:p w14:paraId="34370DFB" w14:textId="77777777" w:rsidR="000B3D9D" w:rsidRPr="000B3D9D" w:rsidRDefault="000B3D9D" w:rsidP="000B3D9D">
            <w:pPr>
              <w:keepNext w:val="0"/>
              <w:spacing w:before="0"/>
              <w:rPr>
                <w:rFonts w:cs="Arial"/>
                <w:color w:val="auto"/>
                <w:sz w:val="20"/>
              </w:rPr>
            </w:pPr>
          </w:p>
        </w:tc>
      </w:tr>
      <w:tr w:rsidR="000B3D9D" w:rsidRPr="000B3D9D" w14:paraId="01589428" w14:textId="77777777" w:rsidTr="009D4C91">
        <w:tc>
          <w:tcPr>
            <w:tcW w:w="3260" w:type="dxa"/>
          </w:tcPr>
          <w:p w14:paraId="4F13538C" w14:textId="77777777" w:rsidR="000B3D9D" w:rsidRPr="000B3D9D" w:rsidRDefault="000B3D9D" w:rsidP="000B3D9D">
            <w:pPr>
              <w:keepNext w:val="0"/>
              <w:spacing w:before="0"/>
              <w:rPr>
                <w:rFonts w:cs="Arial"/>
                <w:color w:val="auto"/>
                <w:sz w:val="20"/>
              </w:rPr>
            </w:pPr>
            <w:r w:rsidRPr="000B3D9D">
              <w:rPr>
                <w:rFonts w:cs="Arial"/>
                <w:bCs/>
                <w:color w:val="auto"/>
                <w:sz w:val="20"/>
              </w:rPr>
              <w:t>National Planning Policy and Guidance</w:t>
            </w:r>
          </w:p>
        </w:tc>
        <w:tc>
          <w:tcPr>
            <w:tcW w:w="6096" w:type="dxa"/>
          </w:tcPr>
          <w:p w14:paraId="3378F960" w14:textId="77777777" w:rsidR="000B3D9D" w:rsidRPr="000B3D9D" w:rsidRDefault="000B3D9D" w:rsidP="00874A98">
            <w:pPr>
              <w:keepNext w:val="0"/>
              <w:numPr>
                <w:ilvl w:val="0"/>
                <w:numId w:val="91"/>
              </w:numPr>
              <w:spacing w:before="0" w:after="160" w:line="252" w:lineRule="auto"/>
              <w:contextualSpacing/>
              <w:rPr>
                <w:rFonts w:cs="Arial"/>
                <w:color w:val="auto"/>
                <w:sz w:val="20"/>
              </w:rPr>
            </w:pPr>
            <w:r w:rsidRPr="000B3D9D">
              <w:rPr>
                <w:rFonts w:cs="Arial"/>
                <w:color w:val="auto"/>
                <w:sz w:val="20"/>
              </w:rPr>
              <w:t>NPPF 2023, Part 2: Achieving sustainable development.</w:t>
            </w:r>
          </w:p>
          <w:p w14:paraId="4303B7B5" w14:textId="77777777" w:rsidR="000B3D9D" w:rsidRPr="000B3D9D" w:rsidRDefault="000B3D9D" w:rsidP="00874A98">
            <w:pPr>
              <w:keepNext w:val="0"/>
              <w:numPr>
                <w:ilvl w:val="0"/>
                <w:numId w:val="91"/>
              </w:numPr>
              <w:spacing w:before="0" w:after="160" w:line="252" w:lineRule="auto"/>
              <w:contextualSpacing/>
              <w:rPr>
                <w:rFonts w:cs="Arial"/>
                <w:color w:val="auto"/>
                <w:sz w:val="20"/>
              </w:rPr>
            </w:pPr>
            <w:r w:rsidRPr="000B3D9D">
              <w:rPr>
                <w:rFonts w:cs="Arial"/>
                <w:color w:val="auto"/>
                <w:sz w:val="20"/>
              </w:rPr>
              <w:t>NPPF 2023, Part 3: Plan-making.</w:t>
            </w:r>
          </w:p>
          <w:p w14:paraId="00AB80CF" w14:textId="77777777" w:rsidR="000B3D9D" w:rsidRPr="000B3D9D" w:rsidRDefault="000B3D9D" w:rsidP="00874A98">
            <w:pPr>
              <w:keepNext w:val="0"/>
              <w:numPr>
                <w:ilvl w:val="0"/>
                <w:numId w:val="91"/>
              </w:numPr>
              <w:spacing w:before="0" w:after="160" w:line="252" w:lineRule="auto"/>
              <w:contextualSpacing/>
              <w:rPr>
                <w:rFonts w:cs="Arial"/>
                <w:color w:val="auto"/>
                <w:sz w:val="20"/>
              </w:rPr>
            </w:pPr>
            <w:r w:rsidRPr="000B3D9D">
              <w:rPr>
                <w:rFonts w:cs="Arial"/>
                <w:color w:val="auto"/>
                <w:sz w:val="20"/>
              </w:rPr>
              <w:t>NPPF 2023, Part 7: Ensuring the vitality of town centres.</w:t>
            </w:r>
          </w:p>
          <w:p w14:paraId="4E7947CF" w14:textId="77777777" w:rsidR="000B3D9D" w:rsidRPr="000B3D9D" w:rsidRDefault="000B3D9D" w:rsidP="00874A98">
            <w:pPr>
              <w:keepNext w:val="0"/>
              <w:numPr>
                <w:ilvl w:val="0"/>
                <w:numId w:val="91"/>
              </w:numPr>
              <w:spacing w:before="0" w:after="160" w:line="252" w:lineRule="auto"/>
              <w:contextualSpacing/>
              <w:rPr>
                <w:rFonts w:cs="Arial"/>
                <w:color w:val="auto"/>
                <w:sz w:val="20"/>
              </w:rPr>
            </w:pPr>
            <w:r w:rsidRPr="000B3D9D">
              <w:rPr>
                <w:rFonts w:cs="Arial"/>
                <w:color w:val="auto"/>
                <w:sz w:val="20"/>
              </w:rPr>
              <w:t>NPPF 2023, Part 8: Promoting healthy and safe communities.</w:t>
            </w:r>
          </w:p>
          <w:p w14:paraId="1DC4BC66" w14:textId="77777777" w:rsidR="000B3D9D" w:rsidRPr="000B3D9D" w:rsidRDefault="000B3D9D" w:rsidP="00874A98">
            <w:pPr>
              <w:keepNext w:val="0"/>
              <w:numPr>
                <w:ilvl w:val="0"/>
                <w:numId w:val="91"/>
              </w:numPr>
              <w:spacing w:before="0" w:after="160" w:line="252" w:lineRule="auto"/>
              <w:contextualSpacing/>
              <w:rPr>
                <w:rFonts w:cs="Arial"/>
                <w:color w:val="auto"/>
                <w:sz w:val="20"/>
              </w:rPr>
            </w:pPr>
            <w:r w:rsidRPr="000B3D9D">
              <w:rPr>
                <w:rFonts w:cs="Arial"/>
                <w:color w:val="auto"/>
                <w:sz w:val="20"/>
              </w:rPr>
              <w:t>NPPF 2023, Part 9: Promoting sustainable transport.</w:t>
            </w:r>
          </w:p>
          <w:p w14:paraId="1F7C5F16" w14:textId="77777777" w:rsidR="000B3D9D" w:rsidRPr="000B3D9D" w:rsidRDefault="000B3D9D" w:rsidP="00874A98">
            <w:pPr>
              <w:keepNext w:val="0"/>
              <w:numPr>
                <w:ilvl w:val="0"/>
                <w:numId w:val="91"/>
              </w:numPr>
              <w:spacing w:before="0" w:after="160" w:line="252" w:lineRule="auto"/>
              <w:contextualSpacing/>
              <w:rPr>
                <w:rFonts w:cs="Arial"/>
                <w:color w:val="auto"/>
                <w:sz w:val="20"/>
              </w:rPr>
            </w:pPr>
            <w:r w:rsidRPr="000B3D9D">
              <w:rPr>
                <w:rFonts w:cs="Arial"/>
                <w:color w:val="auto"/>
                <w:sz w:val="20"/>
              </w:rPr>
              <w:t>Planning Practice Guidance: Plan-making as of August 2021.</w:t>
            </w:r>
          </w:p>
        </w:tc>
      </w:tr>
    </w:tbl>
    <w:p w14:paraId="01AEC0F4" w14:textId="77777777" w:rsidR="000B3D9D" w:rsidRDefault="000B3D9D" w:rsidP="006A5605">
      <w:pPr>
        <w:tabs>
          <w:tab w:val="left" w:pos="680"/>
          <w:tab w:val="left" w:pos="1133"/>
          <w:tab w:val="left" w:pos="2267"/>
        </w:tabs>
        <w:ind w:right="284"/>
        <w:rPr>
          <w:rFonts w:eastAsia="Arial" w:cs="Arial"/>
          <w:b/>
          <w:szCs w:val="24"/>
        </w:rPr>
      </w:pPr>
    </w:p>
    <w:p w14:paraId="32E7792A" w14:textId="2F9FC5A7" w:rsidR="006A5605" w:rsidRPr="00E6288C" w:rsidRDefault="006A5605" w:rsidP="006A5605">
      <w:pPr>
        <w:keepNext w:val="0"/>
        <w:numPr>
          <w:ilvl w:val="1"/>
          <w:numId w:val="2"/>
        </w:numPr>
        <w:tabs>
          <w:tab w:val="clear" w:pos="525"/>
        </w:tabs>
        <w:autoSpaceDE w:val="0"/>
        <w:autoSpaceDN w:val="0"/>
        <w:adjustRightInd w:val="0"/>
        <w:spacing w:before="0"/>
        <w:ind w:left="851" w:hanging="851"/>
        <w:rPr>
          <w:rFonts w:eastAsia="Arial" w:cs="Arial"/>
        </w:rPr>
      </w:pPr>
      <w:proofErr w:type="gramStart"/>
      <w:r w:rsidRPr="00E6288C">
        <w:rPr>
          <w:rFonts w:eastAsia="Arial" w:cs="Arial"/>
        </w:rPr>
        <w:t>In order to</w:t>
      </w:r>
      <w:proofErr w:type="gramEnd"/>
      <w:r w:rsidRPr="00E6288C">
        <w:rPr>
          <w:rFonts w:eastAsia="Arial" w:cs="Arial"/>
        </w:rPr>
        <w:t xml:space="preserve"> arrive at the preferred spatial strategy, the Council formulated </w:t>
      </w:r>
      <w:proofErr w:type="gramStart"/>
      <w:r w:rsidRPr="00E6288C">
        <w:rPr>
          <w:rFonts w:eastAsia="Arial" w:cs="Arial"/>
        </w:rPr>
        <w:t>a number of</w:t>
      </w:r>
      <w:proofErr w:type="gramEnd"/>
      <w:r w:rsidRPr="00E6288C">
        <w:rPr>
          <w:rFonts w:eastAsia="Arial" w:cs="Arial"/>
        </w:rPr>
        <w:t xml:space="preserve"> alternative spatial options (outlined within the Sustainability Appraisal) to deliver the vision. These took into consideration the evidence base including the Strategic Housing and Employment Availability Assessment (SHELAA), the key issues that the plan is seeking to address and the outcome of previous Local Plan consultations. The Council has concluded that that the spatial strategy proposed is the most appropriate way forward</w:t>
      </w:r>
      <w:r w:rsidR="00E6288C" w:rsidRPr="00E6288C">
        <w:rPr>
          <w:rFonts w:eastAsia="Arial" w:cs="Arial"/>
        </w:rPr>
        <w:t>.</w:t>
      </w:r>
    </w:p>
    <w:p w14:paraId="75200F9B" w14:textId="77777777" w:rsidR="006A5605" w:rsidRPr="00E6288C" w:rsidRDefault="006A5605" w:rsidP="006A5605">
      <w:pPr>
        <w:autoSpaceDE w:val="0"/>
        <w:autoSpaceDN w:val="0"/>
        <w:adjustRightInd w:val="0"/>
        <w:ind w:left="525"/>
        <w:rPr>
          <w:rFonts w:eastAsia="Arial" w:cs="Arial"/>
        </w:rPr>
      </w:pPr>
    </w:p>
    <w:bookmarkEnd w:id="38"/>
    <w:p w14:paraId="14CB1B63" w14:textId="77777777" w:rsidR="00B41355" w:rsidRPr="00014EF9" w:rsidRDefault="006A5605" w:rsidP="00A44712">
      <w:pPr>
        <w:keepNext w:val="0"/>
        <w:numPr>
          <w:ilvl w:val="1"/>
          <w:numId w:val="306"/>
        </w:numPr>
        <w:autoSpaceDE w:val="0"/>
        <w:autoSpaceDN w:val="0"/>
        <w:adjustRightInd w:val="0"/>
        <w:spacing w:before="0"/>
        <w:ind w:left="851" w:hanging="851"/>
        <w:rPr>
          <w:rFonts w:eastAsia="Arial" w:cs="Arial"/>
          <w:strike/>
        </w:rPr>
      </w:pPr>
      <w:r w:rsidRPr="00B41355">
        <w:rPr>
          <w:rFonts w:eastAsia="Arial" w:cs="Arial"/>
        </w:rPr>
        <w:t>Further information in relation to the Spatial Strategy and Site Selection can be found in Background Paper 1</w:t>
      </w:r>
      <w:r w:rsidR="007B6BB8" w:rsidRPr="00B41355">
        <w:rPr>
          <w:rFonts w:eastAsia="Arial" w:cs="Arial"/>
        </w:rPr>
        <w:t>,</w:t>
      </w:r>
      <w:r w:rsidR="00716A70" w:rsidRPr="00B41355">
        <w:rPr>
          <w:rFonts w:eastAsia="Arial" w:cs="Arial"/>
        </w:rPr>
        <w:t xml:space="preserve"> 2023.</w:t>
      </w:r>
      <w:r w:rsidRPr="00B41355">
        <w:rPr>
          <w:rFonts w:eastAsia="Arial" w:cs="Arial"/>
        </w:rPr>
        <w:t xml:space="preserve">  Briefly, the spatial strategy seeks to:</w:t>
      </w:r>
    </w:p>
    <w:p w14:paraId="38E2CC37" w14:textId="77777777" w:rsidR="00014EF9" w:rsidRPr="00B41355" w:rsidRDefault="00014EF9" w:rsidP="00014EF9">
      <w:pPr>
        <w:keepNext w:val="0"/>
        <w:autoSpaceDE w:val="0"/>
        <w:autoSpaceDN w:val="0"/>
        <w:adjustRightInd w:val="0"/>
        <w:spacing w:before="0"/>
        <w:rPr>
          <w:rFonts w:eastAsia="Arial" w:cs="Arial"/>
          <w:strike/>
        </w:rPr>
      </w:pPr>
    </w:p>
    <w:p w14:paraId="14F45A1D" w14:textId="77777777" w:rsidR="00014EF9" w:rsidRPr="00014EF9" w:rsidRDefault="00014EF9" w:rsidP="00014EF9">
      <w:pPr>
        <w:keepNext w:val="0"/>
        <w:numPr>
          <w:ilvl w:val="0"/>
          <w:numId w:val="281"/>
        </w:numPr>
        <w:spacing w:before="0"/>
        <w:contextualSpacing/>
        <w:rPr>
          <w:rFonts w:eastAsia="Arial" w:cs="Arial"/>
          <w:color w:val="auto"/>
          <w:szCs w:val="22"/>
          <w:lang w:eastAsia="en-US"/>
        </w:rPr>
      </w:pPr>
      <w:r w:rsidRPr="00014EF9">
        <w:rPr>
          <w:rFonts w:eastAsia="Arial" w:cs="Arial"/>
          <w:color w:val="auto"/>
          <w:szCs w:val="22"/>
          <w:lang w:eastAsia="en-US"/>
        </w:rPr>
        <w:t>Take advantage of the district’s proximity to Nottingham City,</w:t>
      </w:r>
    </w:p>
    <w:p w14:paraId="7D31B59E" w14:textId="77777777" w:rsidR="00014EF9" w:rsidRPr="00014EF9" w:rsidRDefault="00014EF9" w:rsidP="00014EF9">
      <w:pPr>
        <w:keepNext w:val="0"/>
        <w:numPr>
          <w:ilvl w:val="0"/>
          <w:numId w:val="281"/>
        </w:numPr>
        <w:spacing w:before="0"/>
        <w:contextualSpacing/>
        <w:rPr>
          <w:rFonts w:eastAsia="Arial" w:cs="Arial"/>
          <w:color w:val="auto"/>
          <w:szCs w:val="22"/>
          <w:lang w:eastAsia="en-US"/>
        </w:rPr>
      </w:pPr>
      <w:r w:rsidRPr="00014EF9">
        <w:rPr>
          <w:rFonts w:eastAsia="Arial" w:cs="Arial"/>
          <w:color w:val="auto"/>
          <w:szCs w:val="22"/>
          <w:lang w:eastAsia="en-US"/>
        </w:rPr>
        <w:t>Capitalise on the accessibility of the M1 transport corridor,</w:t>
      </w:r>
    </w:p>
    <w:p w14:paraId="7711593E" w14:textId="77777777" w:rsidR="00014EF9" w:rsidRPr="00014EF9" w:rsidRDefault="00014EF9" w:rsidP="00014EF9">
      <w:pPr>
        <w:keepNext w:val="0"/>
        <w:numPr>
          <w:ilvl w:val="0"/>
          <w:numId w:val="281"/>
        </w:numPr>
        <w:spacing w:before="0"/>
        <w:contextualSpacing/>
        <w:rPr>
          <w:rFonts w:eastAsia="Arial" w:cs="Arial"/>
          <w:color w:val="auto"/>
          <w:szCs w:val="22"/>
          <w:lang w:eastAsia="en-US"/>
        </w:rPr>
      </w:pPr>
      <w:r w:rsidRPr="00014EF9">
        <w:rPr>
          <w:rFonts w:eastAsia="Arial" w:cs="Arial"/>
          <w:color w:val="auto"/>
          <w:szCs w:val="22"/>
          <w:lang w:eastAsia="en-US"/>
        </w:rPr>
        <w:t>Locate growth in sustainable and accessible locations,</w:t>
      </w:r>
    </w:p>
    <w:p w14:paraId="6F99A09F" w14:textId="6D8B9A78" w:rsidR="00014EF9" w:rsidRPr="00014EF9" w:rsidRDefault="00014EF9" w:rsidP="00014EF9">
      <w:pPr>
        <w:keepNext w:val="0"/>
        <w:numPr>
          <w:ilvl w:val="0"/>
          <w:numId w:val="281"/>
        </w:numPr>
        <w:spacing w:before="0"/>
        <w:contextualSpacing/>
        <w:rPr>
          <w:rFonts w:eastAsia="Arial" w:cs="Arial"/>
          <w:color w:val="auto"/>
          <w:szCs w:val="22"/>
          <w:lang w:eastAsia="en-US"/>
        </w:rPr>
      </w:pPr>
      <w:r w:rsidRPr="00014EF9">
        <w:rPr>
          <w:rFonts w:eastAsia="Arial" w:cs="Arial"/>
          <w:color w:val="auto"/>
          <w:szCs w:val="22"/>
          <w:lang w:eastAsia="en-US"/>
        </w:rPr>
        <w:t>Ensure a strong regeneration focus for our towns,</w:t>
      </w:r>
    </w:p>
    <w:p w14:paraId="73B3F2C3" w14:textId="1634B95C" w:rsidR="00014EF9" w:rsidRPr="00014EF9" w:rsidRDefault="00014EF9" w:rsidP="00014EF9">
      <w:pPr>
        <w:keepNext w:val="0"/>
        <w:numPr>
          <w:ilvl w:val="0"/>
          <w:numId w:val="281"/>
        </w:numPr>
        <w:spacing w:before="0"/>
        <w:contextualSpacing/>
        <w:rPr>
          <w:rFonts w:eastAsia="Arial" w:cs="Arial"/>
          <w:color w:val="auto"/>
          <w:szCs w:val="22"/>
          <w:lang w:eastAsia="en-US"/>
        </w:rPr>
      </w:pPr>
      <w:r w:rsidRPr="00014EF9">
        <w:rPr>
          <w:rFonts w:eastAsia="Arial" w:cs="Arial"/>
          <w:color w:val="auto"/>
          <w:szCs w:val="22"/>
          <w:lang w:eastAsia="en-US"/>
        </w:rPr>
        <w:t>Support proportionate and sustainable growth in the villages,</w:t>
      </w:r>
    </w:p>
    <w:p w14:paraId="59751E8C" w14:textId="77777777" w:rsidR="00014EF9" w:rsidRPr="00014EF9" w:rsidRDefault="00014EF9" w:rsidP="00014EF9">
      <w:pPr>
        <w:keepNext w:val="0"/>
        <w:numPr>
          <w:ilvl w:val="0"/>
          <w:numId w:val="281"/>
        </w:numPr>
        <w:spacing w:before="0"/>
        <w:contextualSpacing/>
        <w:rPr>
          <w:rFonts w:eastAsia="Arial" w:cs="Arial"/>
          <w:color w:val="auto"/>
          <w:szCs w:val="22"/>
          <w:lang w:eastAsia="en-US"/>
        </w:rPr>
      </w:pPr>
      <w:r w:rsidRPr="00014EF9">
        <w:rPr>
          <w:rFonts w:eastAsia="Arial" w:cs="Arial"/>
          <w:color w:val="auto"/>
          <w:szCs w:val="22"/>
          <w:lang w:eastAsia="en-US"/>
        </w:rPr>
        <w:t xml:space="preserve">Promote sites which will be deliverable in the short to medium term, distributed proportionately across the </w:t>
      </w:r>
      <w:proofErr w:type="gramStart"/>
      <w:r w:rsidRPr="00014EF9">
        <w:rPr>
          <w:rFonts w:eastAsia="Arial" w:cs="Arial"/>
          <w:color w:val="auto"/>
          <w:szCs w:val="22"/>
          <w:lang w:eastAsia="en-US"/>
        </w:rPr>
        <w:t>District</w:t>
      </w:r>
      <w:proofErr w:type="gramEnd"/>
      <w:r w:rsidRPr="00014EF9">
        <w:rPr>
          <w:rFonts w:eastAsia="Arial" w:cs="Arial"/>
          <w:color w:val="auto"/>
          <w:szCs w:val="22"/>
          <w:lang w:eastAsia="en-US"/>
        </w:rPr>
        <w:t>,</w:t>
      </w:r>
    </w:p>
    <w:p w14:paraId="1786DACD" w14:textId="77777777" w:rsidR="00014EF9" w:rsidRDefault="00014EF9" w:rsidP="00014EF9">
      <w:pPr>
        <w:keepNext w:val="0"/>
        <w:numPr>
          <w:ilvl w:val="0"/>
          <w:numId w:val="281"/>
        </w:numPr>
        <w:spacing w:before="0"/>
        <w:contextualSpacing/>
        <w:rPr>
          <w:rFonts w:eastAsia="Arial" w:cs="Arial"/>
          <w:szCs w:val="22"/>
          <w:lang w:eastAsia="en-US"/>
        </w:rPr>
      </w:pPr>
      <w:r w:rsidRPr="00014EF9">
        <w:rPr>
          <w:rFonts w:eastAsia="Arial" w:cs="Arial"/>
          <w:color w:val="auto"/>
          <w:szCs w:val="22"/>
          <w:lang w:eastAsia="en-US"/>
        </w:rPr>
        <w:t>Facilitate the delivery of new infrastructure</w:t>
      </w:r>
      <w:r w:rsidRPr="00014EF9">
        <w:rPr>
          <w:rFonts w:eastAsia="Arial" w:cs="Arial"/>
          <w:szCs w:val="22"/>
          <w:lang w:eastAsia="en-US"/>
        </w:rPr>
        <w:t xml:space="preserve">, and </w:t>
      </w:r>
    </w:p>
    <w:p w14:paraId="753D9FD5" w14:textId="7FB7AF32" w:rsidR="00B41355" w:rsidRPr="00014EF9" w:rsidRDefault="00014EF9" w:rsidP="00014EF9">
      <w:pPr>
        <w:keepNext w:val="0"/>
        <w:numPr>
          <w:ilvl w:val="0"/>
          <w:numId w:val="281"/>
        </w:numPr>
        <w:spacing w:before="0"/>
        <w:contextualSpacing/>
        <w:rPr>
          <w:rFonts w:eastAsia="Arial" w:cs="Arial"/>
          <w:szCs w:val="22"/>
          <w:lang w:eastAsia="en-US"/>
        </w:rPr>
      </w:pPr>
      <w:r w:rsidRPr="00014EF9">
        <w:rPr>
          <w:rFonts w:eastAsia="Arial" w:cs="Arial"/>
        </w:rPr>
        <w:t>Deliver high quality design and placemaking</w:t>
      </w:r>
      <w:r>
        <w:rPr>
          <w:rFonts w:eastAsia="Arial" w:cs="Arial"/>
        </w:rPr>
        <w:t>.</w:t>
      </w:r>
    </w:p>
    <w:p w14:paraId="1919AB8C" w14:textId="77777777" w:rsidR="00014EF9" w:rsidRPr="00014EF9" w:rsidRDefault="00014EF9" w:rsidP="00014EF9">
      <w:pPr>
        <w:keepNext w:val="0"/>
        <w:spacing w:before="0"/>
        <w:ind w:left="1211"/>
        <w:contextualSpacing/>
        <w:rPr>
          <w:rFonts w:eastAsia="Arial" w:cs="Arial"/>
          <w:szCs w:val="22"/>
          <w:lang w:eastAsia="en-US"/>
        </w:rPr>
      </w:pPr>
    </w:p>
    <w:p w14:paraId="6DD10F14" w14:textId="090507B8" w:rsidR="00B41355" w:rsidRDefault="001213D8"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 xml:space="preserve">The strategy </w:t>
      </w:r>
      <w:r w:rsidRPr="00B41355">
        <w:rPr>
          <w:rFonts w:eastAsia="Arial" w:cs="Arial"/>
          <w:color w:val="auto"/>
        </w:rPr>
        <w:t>is estimated to meet the housing requirement of 446 dwellings per annum (dpa)</w:t>
      </w:r>
      <w:r w:rsidR="00D70FDB" w:rsidRPr="00B41355">
        <w:rPr>
          <w:rFonts w:eastAsia="Arial" w:cs="Arial"/>
          <w:color w:val="auto"/>
        </w:rPr>
        <w:t>,</w:t>
      </w:r>
      <w:r w:rsidRPr="00B41355">
        <w:rPr>
          <w:rFonts w:eastAsia="Arial" w:cs="Arial"/>
          <w:color w:val="auto"/>
        </w:rPr>
        <w:t xml:space="preserve"> identified </w:t>
      </w:r>
      <w:r w:rsidR="00D70FDB" w:rsidRPr="00B41355">
        <w:rPr>
          <w:rFonts w:eastAsia="Arial" w:cs="Arial"/>
          <w:color w:val="auto"/>
        </w:rPr>
        <w:t>using</w:t>
      </w:r>
      <w:r w:rsidRPr="00B41355">
        <w:rPr>
          <w:rFonts w:eastAsia="Arial" w:cs="Arial"/>
          <w:color w:val="auto"/>
        </w:rPr>
        <w:t xml:space="preserve"> </w:t>
      </w:r>
      <w:r w:rsidRPr="00B41355">
        <w:rPr>
          <w:rFonts w:eastAsia="Arial" w:cs="Arial"/>
        </w:rPr>
        <w:t xml:space="preserve">the standard </w:t>
      </w:r>
      <w:r w:rsidR="00D70FDB" w:rsidRPr="00B41355">
        <w:rPr>
          <w:rFonts w:eastAsia="Arial" w:cs="Arial"/>
        </w:rPr>
        <w:t xml:space="preserve">method for assessing </w:t>
      </w:r>
      <w:r w:rsidRPr="00B41355">
        <w:rPr>
          <w:rFonts w:eastAsia="Arial" w:cs="Arial"/>
        </w:rPr>
        <w:t xml:space="preserve">housing need </w:t>
      </w:r>
      <w:r w:rsidRPr="00B0559A">
        <w:rPr>
          <w:rStyle w:val="FootnoteReference"/>
          <w:rFonts w:eastAsia="Arial" w:cs="Arial"/>
        </w:rPr>
        <w:footnoteReference w:id="47"/>
      </w:r>
      <w:r w:rsidRPr="00B41355">
        <w:rPr>
          <w:rFonts w:eastAsia="Arial" w:cs="Arial"/>
          <w:strike/>
        </w:rPr>
        <w:t xml:space="preserve">, </w:t>
      </w:r>
      <w:r w:rsidRPr="00B41355">
        <w:rPr>
          <w:rFonts w:eastAsia="Arial" w:cs="Arial"/>
          <w:color w:val="auto"/>
        </w:rPr>
        <w:t>up to the year 203</w:t>
      </w:r>
      <w:r w:rsidR="00B2195C">
        <w:rPr>
          <w:rFonts w:eastAsia="Arial" w:cs="Arial"/>
          <w:color w:val="auto"/>
        </w:rPr>
        <w:t>8</w:t>
      </w:r>
      <w:r w:rsidRPr="00B41355">
        <w:rPr>
          <w:rFonts w:eastAsia="Arial" w:cs="Arial"/>
          <w:color w:val="auto"/>
        </w:rPr>
        <w:t>/3</w:t>
      </w:r>
      <w:r w:rsidR="00B2195C">
        <w:rPr>
          <w:rFonts w:eastAsia="Arial" w:cs="Arial"/>
          <w:color w:val="auto"/>
        </w:rPr>
        <w:t>9</w:t>
      </w:r>
      <w:r w:rsidRPr="00B41355">
        <w:rPr>
          <w:rFonts w:eastAsia="Arial" w:cs="Arial"/>
          <w:color w:val="auto"/>
        </w:rPr>
        <w:t>. It provides for the evidenced employment land requirement as set out in the Employment Land Needs Study</w:t>
      </w:r>
      <w:r w:rsidRPr="001213D8">
        <w:rPr>
          <w:rStyle w:val="FootnoteReference"/>
          <w:rFonts w:eastAsia="Arial" w:cs="Arial"/>
          <w:color w:val="auto"/>
        </w:rPr>
        <w:footnoteReference w:id="48"/>
      </w:r>
      <w:r w:rsidRPr="00B41355">
        <w:rPr>
          <w:rFonts w:eastAsia="Arial" w:cs="Arial"/>
          <w:color w:val="auto"/>
        </w:rPr>
        <w:t xml:space="preserve"> and the Employment Background Papers 2021 and 2023</w:t>
      </w:r>
      <w:r w:rsidRPr="001213D8">
        <w:rPr>
          <w:rStyle w:val="FootnoteReference"/>
          <w:rFonts w:eastAsia="Arial" w:cs="Arial"/>
          <w:color w:val="auto"/>
        </w:rPr>
        <w:footnoteReference w:id="49"/>
      </w:r>
      <w:r w:rsidRPr="00B41355">
        <w:rPr>
          <w:rFonts w:eastAsia="Arial" w:cs="Arial"/>
          <w:color w:val="auto"/>
        </w:rPr>
        <w:t xml:space="preserve">. </w:t>
      </w:r>
    </w:p>
    <w:p w14:paraId="0AAFC2CB"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3F954554" w14:textId="075E778F" w:rsidR="00B41355" w:rsidRDefault="001213D8"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 xml:space="preserve">The SHELAA </w:t>
      </w:r>
      <w:r w:rsidRPr="00B41355">
        <w:rPr>
          <w:rFonts w:eastAsia="Arial" w:cs="Arial"/>
          <w:color w:val="auto"/>
        </w:rPr>
        <w:t xml:space="preserve">and Brownfield Capacity Study </w:t>
      </w:r>
      <w:r w:rsidR="00014EF9" w:rsidRPr="00B41355">
        <w:rPr>
          <w:rFonts w:eastAsia="Arial" w:cs="Arial"/>
          <w:color w:val="auto"/>
        </w:rPr>
        <w:t>identify</w:t>
      </w:r>
      <w:r w:rsidRPr="00B41355">
        <w:rPr>
          <w:rFonts w:eastAsia="Arial" w:cs="Arial"/>
          <w:color w:val="auto"/>
        </w:rPr>
        <w:t xml:space="preserve"> that there are insufficient developable brownfie</w:t>
      </w:r>
      <w:r w:rsidRPr="00B41355">
        <w:rPr>
          <w:rFonts w:eastAsia="Arial" w:cs="Arial"/>
        </w:rPr>
        <w:t xml:space="preserve">ld sites within the existing built-up areas to accommodate the required levels of growth over the plan period.  As such, it has been necessary to direct new development to greenfield land outside of the existing settlements. Some of this new development requires the release of land from the Green Belt, including strategic employment land allocated at junction 27 of the </w:t>
      </w:r>
      <w:r w:rsidRPr="00B41355">
        <w:rPr>
          <w:rFonts w:eastAsia="Arial" w:cs="Arial"/>
          <w:color w:val="auto"/>
        </w:rPr>
        <w:t>M1 (Policy S8) and several housing allocations identified under Policy H1.</w:t>
      </w:r>
    </w:p>
    <w:p w14:paraId="1DA1B787"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17EB3F84" w14:textId="5E4BD11A"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color w:val="auto"/>
        </w:rPr>
        <w:t xml:space="preserve">Policy S1 sets </w:t>
      </w:r>
      <w:r w:rsidRPr="00B41355">
        <w:rPr>
          <w:rFonts w:eastAsia="Arial" w:cs="Arial"/>
        </w:rPr>
        <w:t>out the hierarchy of settlements which will assist in the creation of sustainable communities by identifying the areas which have the best access to a wide range of services and facilities.  It also promotes sustainability by directing</w:t>
      </w:r>
      <w:r w:rsidR="009C12CD" w:rsidRPr="00B41355">
        <w:rPr>
          <w:rFonts w:eastAsia="Arial" w:cs="Arial"/>
        </w:rPr>
        <w:t xml:space="preserve"> </w:t>
      </w:r>
      <w:r w:rsidRPr="00B41355">
        <w:rPr>
          <w:rFonts w:eastAsia="Arial" w:cs="Arial"/>
        </w:rPr>
        <w:t xml:space="preserve">development within and adjacent to the built-up areas of the </w:t>
      </w:r>
      <w:proofErr w:type="gramStart"/>
      <w:r w:rsidR="00716A70" w:rsidRPr="00B41355">
        <w:rPr>
          <w:rFonts w:eastAsia="Arial" w:cs="Arial"/>
        </w:rPr>
        <w:t>District</w:t>
      </w:r>
      <w:proofErr w:type="gramEnd"/>
      <w:r w:rsidR="00716A70" w:rsidRPr="00B41355">
        <w:rPr>
          <w:rFonts w:eastAsia="Arial" w:cs="Arial"/>
        </w:rPr>
        <w:t xml:space="preserve"> and</w:t>
      </w:r>
      <w:r w:rsidRPr="00B41355">
        <w:rPr>
          <w:rFonts w:eastAsia="Arial" w:cs="Arial"/>
        </w:rPr>
        <w:t xml:space="preserve"> protecting rural and natural environments. </w:t>
      </w:r>
    </w:p>
    <w:p w14:paraId="458186A5"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7F220D55" w14:textId="13D09F72"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lastRenderedPageBreak/>
        <w:t xml:space="preserve">The hierarchy identifies that the existing settlements and town centres of Sutton, Hucknall, and Kirkby offer the best opportunities for residential, employment, services, and facilities within the </w:t>
      </w:r>
      <w:proofErr w:type="gramStart"/>
      <w:r w:rsidRPr="00B41355">
        <w:rPr>
          <w:rFonts w:eastAsia="Arial" w:cs="Arial"/>
        </w:rPr>
        <w:t>District</w:t>
      </w:r>
      <w:proofErr w:type="gramEnd"/>
      <w:r w:rsidRPr="00B41355">
        <w:rPr>
          <w:rFonts w:eastAsia="Arial" w:cs="Arial"/>
        </w:rPr>
        <w:t xml:space="preserve">.  </w:t>
      </w:r>
    </w:p>
    <w:p w14:paraId="38ADC28B"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4A041005" w14:textId="77777777" w:rsidR="00014EF9" w:rsidRPr="000808D9" w:rsidRDefault="006A5605" w:rsidP="00014EF9">
      <w:pPr>
        <w:keepNext w:val="0"/>
        <w:numPr>
          <w:ilvl w:val="1"/>
          <w:numId w:val="306"/>
        </w:numPr>
        <w:autoSpaceDE w:val="0"/>
        <w:autoSpaceDN w:val="0"/>
        <w:adjustRightInd w:val="0"/>
        <w:spacing w:before="0"/>
        <w:ind w:left="851" w:hanging="851"/>
        <w:rPr>
          <w:rFonts w:eastAsia="Calibri" w:cs="Arial"/>
          <w:color w:val="auto"/>
        </w:rPr>
      </w:pPr>
      <w:r w:rsidRPr="00B41355">
        <w:rPr>
          <w:rFonts w:cs="Arial"/>
          <w:szCs w:val="24"/>
        </w:rPr>
        <w:t xml:space="preserve">Housing Development will be mainly concentrated in and adjacent to the larger and more accessible towns of Hucknall, Sutton-in-Ashfield (Sutton) and Kirkby-in-Ashfield (Kirkby). The villages of </w:t>
      </w:r>
      <w:proofErr w:type="spellStart"/>
      <w:r w:rsidRPr="00B41355">
        <w:rPr>
          <w:rFonts w:cs="Arial"/>
          <w:szCs w:val="24"/>
        </w:rPr>
        <w:t>Selston</w:t>
      </w:r>
      <w:proofErr w:type="spellEnd"/>
      <w:r w:rsidRPr="00B41355">
        <w:rPr>
          <w:rFonts w:cs="Arial"/>
          <w:szCs w:val="24"/>
        </w:rPr>
        <w:t xml:space="preserve">, </w:t>
      </w:r>
      <w:proofErr w:type="spellStart"/>
      <w:r w:rsidRPr="00B41355">
        <w:rPr>
          <w:rFonts w:cs="Arial"/>
          <w:szCs w:val="24"/>
        </w:rPr>
        <w:t>Jacksdale</w:t>
      </w:r>
      <w:proofErr w:type="spellEnd"/>
      <w:r w:rsidRPr="00B41355">
        <w:rPr>
          <w:rFonts w:cs="Arial"/>
          <w:szCs w:val="24"/>
        </w:rPr>
        <w:t xml:space="preserve"> and Underwood</w:t>
      </w:r>
      <w:r w:rsidR="00B0466E" w:rsidRPr="00B41355">
        <w:rPr>
          <w:rFonts w:cs="Arial"/>
          <w:szCs w:val="24"/>
        </w:rPr>
        <w:t xml:space="preserve">, Brinsley, Annesley/Newstead and </w:t>
      </w:r>
      <w:proofErr w:type="spellStart"/>
      <w:r w:rsidR="00B0466E" w:rsidRPr="00B41355">
        <w:rPr>
          <w:rFonts w:cs="Arial"/>
          <w:szCs w:val="24"/>
        </w:rPr>
        <w:t>Fackley</w:t>
      </w:r>
      <w:proofErr w:type="spellEnd"/>
      <w:r w:rsidRPr="00B41355">
        <w:rPr>
          <w:rFonts w:cs="Arial"/>
          <w:szCs w:val="24"/>
        </w:rPr>
        <w:t xml:space="preserve"> have been allocated appropriate levels of development to support rural infrastructure and sustain vitality, whilst respecting their ‘village’ character. </w:t>
      </w:r>
    </w:p>
    <w:p w14:paraId="03619819" w14:textId="77777777" w:rsidR="000808D9" w:rsidRDefault="000808D9" w:rsidP="000808D9">
      <w:pPr>
        <w:keepNext w:val="0"/>
        <w:autoSpaceDE w:val="0"/>
        <w:autoSpaceDN w:val="0"/>
        <w:adjustRightInd w:val="0"/>
        <w:spacing w:before="0"/>
        <w:rPr>
          <w:rFonts w:eastAsia="Calibri" w:cs="Arial"/>
          <w:color w:val="auto"/>
        </w:rPr>
      </w:pPr>
    </w:p>
    <w:p w14:paraId="7480B849" w14:textId="55557205" w:rsidR="00B41355" w:rsidRPr="00014EF9" w:rsidRDefault="006A5605" w:rsidP="00014EF9">
      <w:pPr>
        <w:keepNext w:val="0"/>
        <w:numPr>
          <w:ilvl w:val="1"/>
          <w:numId w:val="306"/>
        </w:numPr>
        <w:autoSpaceDE w:val="0"/>
        <w:autoSpaceDN w:val="0"/>
        <w:adjustRightInd w:val="0"/>
        <w:spacing w:before="0"/>
        <w:ind w:left="851" w:hanging="851"/>
        <w:rPr>
          <w:rFonts w:eastAsia="Calibri" w:cs="Arial"/>
          <w:color w:val="auto"/>
        </w:rPr>
      </w:pPr>
      <w:r w:rsidRPr="00014EF9">
        <w:rPr>
          <w:rFonts w:eastAsia="Arial" w:cs="Arial"/>
        </w:rPr>
        <w:t>Concentrating new development in these areas will help to reduce the carbon footprint of the community, with less need to travel to other areas for jobs, services, and facilities. The growth of the three towns will also serve to attract inward investment into these areas, assisting in regeneration and improving the opportunities and the lives of people living there.</w:t>
      </w:r>
    </w:p>
    <w:p w14:paraId="7CE55C01"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575EE327" w14:textId="7D0D28DB"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cs="Arial"/>
          <w:szCs w:val="24"/>
        </w:rPr>
        <w:t>The Greater Nottingham Accessible Settlements Study was produced for Ashfield and other Nottinghamshire core authority areas in 2010 and ranks settlements in terms of the level of access to a range of facilities and services. The findings of this study support the hierarchy of settlements as set out in Policy S</w:t>
      </w:r>
      <w:r w:rsidR="00716A70" w:rsidRPr="00B41355">
        <w:rPr>
          <w:rFonts w:cs="Arial"/>
          <w:szCs w:val="24"/>
        </w:rPr>
        <w:t>1</w:t>
      </w:r>
      <w:r w:rsidRPr="00B41355">
        <w:rPr>
          <w:rFonts w:cs="Arial"/>
          <w:szCs w:val="24"/>
        </w:rPr>
        <w:t>.</w:t>
      </w:r>
    </w:p>
    <w:p w14:paraId="6CED46A4"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044F2C25" w14:textId="06079BB6"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 xml:space="preserve">Sutton, Hucknall and Kirkby are the largest towns in Ashfield and provide excellent public transport links to other major conurbations via the Robin Hood rail line, with stations in all three areas. Sutton has a central bus station and there are frequent, regular bus services in operation throughout Ashfield and Mansfield. Sutton and Kirkby are also </w:t>
      </w:r>
      <w:proofErr w:type="gramStart"/>
      <w:r w:rsidRPr="00B41355">
        <w:rPr>
          <w:rFonts w:eastAsia="Arial" w:cs="Arial"/>
        </w:rPr>
        <w:t>in close proximity to</w:t>
      </w:r>
      <w:proofErr w:type="gramEnd"/>
      <w:r w:rsidRPr="00B41355">
        <w:rPr>
          <w:rFonts w:eastAsia="Arial" w:cs="Arial"/>
        </w:rPr>
        <w:t xml:space="preserve"> each other, so the services and facilities available within each town can be easily accessed from both locations. In the south, Hucknall has excellent links to Nottingham via the Robin Hood Line and the NET tram service, with tram stops within the town centre and to the south and east of the centre. Expansion to the south-west of Hucknall should bring further investment opportunities at </w:t>
      </w:r>
      <w:r w:rsidR="002605A4" w:rsidRPr="00B41355">
        <w:rPr>
          <w:rFonts w:eastAsia="Arial" w:cs="Arial"/>
        </w:rPr>
        <w:t xml:space="preserve">Harrier Park </w:t>
      </w:r>
      <w:r w:rsidRPr="00B41355">
        <w:rPr>
          <w:rFonts w:eastAsia="Arial" w:cs="Arial"/>
        </w:rPr>
        <w:t>leading to the creation of new jobs. Hucknall is surrounded by the Nottinghamshire-Derbyshire Green Belt which constrains growth in this area.</w:t>
      </w:r>
    </w:p>
    <w:p w14:paraId="78FC030F"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72AD0F64" w14:textId="65BC0440"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The sub-regional centre of Mansfield also offers opportunities for larger scale growth. Future growth to the south of the town at Lindhurst (within Mansfield District), provides opportunities for new facilities and infrastructure which will support further expansion within Ashfield District.</w:t>
      </w:r>
    </w:p>
    <w:p w14:paraId="78EBDB58"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678FF6F9" w14:textId="18E25C4C"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 xml:space="preserve">Opportunities for walking and cycling are good in all of </w:t>
      </w:r>
      <w:r w:rsidR="003E3BD8" w:rsidRPr="00B41355">
        <w:rPr>
          <w:rFonts w:eastAsia="Arial" w:cs="Arial"/>
        </w:rPr>
        <w:t>towns and</w:t>
      </w:r>
      <w:r w:rsidRPr="00B41355">
        <w:rPr>
          <w:rFonts w:eastAsia="Arial" w:cs="Arial"/>
        </w:rPr>
        <w:t xml:space="preserve"> will continue to improve over time through the delivery of plans for Green</w:t>
      </w:r>
      <w:r w:rsidR="00B41355">
        <w:rPr>
          <w:rFonts w:eastAsia="Arial" w:cs="Arial"/>
        </w:rPr>
        <w:t xml:space="preserve"> and Blue</w:t>
      </w:r>
      <w:r w:rsidRPr="00B41355">
        <w:rPr>
          <w:rFonts w:eastAsia="Arial" w:cs="Arial"/>
        </w:rPr>
        <w:t xml:space="preserve"> Infrastructure links.</w:t>
      </w:r>
    </w:p>
    <w:p w14:paraId="4D66CECD"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367DFFFB" w14:textId="133F201F"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 xml:space="preserve">Sherwood Business Park, Annesley is a former Enterprise Zone, which has been developed as a </w:t>
      </w:r>
      <w:r w:rsidR="00834714" w:rsidRPr="00B41355">
        <w:rPr>
          <w:rFonts w:eastAsia="Arial" w:cs="Arial"/>
        </w:rPr>
        <w:t>high-quality</w:t>
      </w:r>
      <w:r w:rsidRPr="00B41355">
        <w:rPr>
          <w:rFonts w:eastAsia="Arial" w:cs="Arial"/>
        </w:rPr>
        <w:t xml:space="preserve"> business park.  The development of the Business Park reflects the strategic significance of the site lying close to Junction 27 of the </w:t>
      </w:r>
      <w:r w:rsidRPr="00B41355">
        <w:rPr>
          <w:rFonts w:eastAsia="Arial" w:cs="Arial"/>
        </w:rPr>
        <w:lastRenderedPageBreak/>
        <w:t>M1 motorway. New sites have also been allocated for strategic employment opportunities in this location which capitalise on the M1 corridor.</w:t>
      </w:r>
    </w:p>
    <w:p w14:paraId="4EC2BE1B"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4B16DFAF" w14:textId="7C18640A"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bookmarkStart w:id="39" w:name="_Hlk151030053"/>
      <w:r w:rsidRPr="00B41355">
        <w:rPr>
          <w:rFonts w:eastAsia="Arial" w:cs="Arial"/>
        </w:rPr>
        <w:t>Huthwaite, Stanton Hill, and Skegby</w:t>
      </w:r>
      <w:bookmarkEnd w:id="39"/>
      <w:r w:rsidRPr="00B41355">
        <w:rPr>
          <w:rFonts w:eastAsia="Arial" w:cs="Arial"/>
        </w:rPr>
        <w:t>, which form part of Sutton Main Urban Area, are key settlements located to the north and west of Sutton-in-Ashfield. Their proximity to a town centre, accompanied by the services and facilities available in each area mean that these settlements are capable of expansion. A regular bus service operates in each area and there are fewer policy restrictions to growth due to the absence of Green Belt in this area.</w:t>
      </w:r>
    </w:p>
    <w:p w14:paraId="521AC97A"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451F06F1" w14:textId="2003EFFF"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Annesley Woodhouse falls within Kirkby-in-Ashfield Main Urban Area and scored reasonably well in the Accessible Settlements Study. However, there is less opportunity for large scale development here due to its character as a moderately sized settlement, and its location surrounded by Green Belt. As such, this settlement will only be expected to accommodate small scale growth.</w:t>
      </w:r>
    </w:p>
    <w:p w14:paraId="4776B19A"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2EF6ACDE" w14:textId="68B01DDE"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 xml:space="preserve">In the Named Settlements of </w:t>
      </w:r>
      <w:proofErr w:type="spellStart"/>
      <w:r w:rsidRPr="00B41355">
        <w:rPr>
          <w:rFonts w:eastAsia="Arial" w:cs="Arial"/>
        </w:rPr>
        <w:t>Selston</w:t>
      </w:r>
      <w:proofErr w:type="spellEnd"/>
      <w:r w:rsidRPr="00B41355">
        <w:rPr>
          <w:rFonts w:eastAsia="Arial" w:cs="Arial"/>
        </w:rPr>
        <w:t xml:space="preserve">, </w:t>
      </w:r>
      <w:proofErr w:type="spellStart"/>
      <w:r w:rsidRPr="00B41355">
        <w:rPr>
          <w:rFonts w:eastAsia="Arial" w:cs="Arial"/>
        </w:rPr>
        <w:t>Jacksdale</w:t>
      </w:r>
      <w:proofErr w:type="spellEnd"/>
      <w:r w:rsidRPr="00B41355">
        <w:rPr>
          <w:rFonts w:eastAsia="Arial" w:cs="Arial"/>
        </w:rPr>
        <w:t>, Underwood, Annesley</w:t>
      </w:r>
      <w:r w:rsidR="00D70FDB" w:rsidRPr="00B41355">
        <w:rPr>
          <w:rFonts w:eastAsia="Arial" w:cs="Arial"/>
        </w:rPr>
        <w:t>/ Newstead</w:t>
      </w:r>
      <w:r w:rsidRPr="00B41355">
        <w:rPr>
          <w:rFonts w:eastAsia="Arial" w:cs="Arial"/>
        </w:rPr>
        <w:t xml:space="preserve">, Bestwood Village, Brinsley and </w:t>
      </w:r>
      <w:proofErr w:type="spellStart"/>
      <w:r w:rsidRPr="00B41355">
        <w:rPr>
          <w:rFonts w:eastAsia="Arial" w:cs="Arial"/>
        </w:rPr>
        <w:t>Fackley</w:t>
      </w:r>
      <w:proofErr w:type="spellEnd"/>
      <w:r w:rsidRPr="00B41355">
        <w:rPr>
          <w:rFonts w:eastAsia="Arial" w:cs="Arial"/>
        </w:rPr>
        <w:t>, access to services and facilities is more limited and the settlements are more rural in character than their larger counterparts. There is however scope to deliver smaller scale growth to meet the needs of the communities, and to continue to support the services located there.</w:t>
      </w:r>
    </w:p>
    <w:p w14:paraId="1A0A2E43"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12796247" w14:textId="6F4D5F90" w:rsidR="00B41355" w:rsidRDefault="00682BF2"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cs="Arial"/>
          <w:szCs w:val="24"/>
        </w:rPr>
        <w:t xml:space="preserve">Blenheim </w:t>
      </w:r>
      <w:r w:rsidR="00656DAA" w:rsidRPr="00B41355">
        <w:rPr>
          <w:rFonts w:cs="Arial"/>
          <w:szCs w:val="24"/>
        </w:rPr>
        <w:t>I</w:t>
      </w:r>
      <w:r w:rsidRPr="00B41355">
        <w:rPr>
          <w:rFonts w:cs="Arial"/>
          <w:szCs w:val="24"/>
        </w:rPr>
        <w:t xml:space="preserve">ndustrial </w:t>
      </w:r>
      <w:r w:rsidR="00656DAA" w:rsidRPr="00B41355">
        <w:rPr>
          <w:rFonts w:cs="Arial"/>
          <w:szCs w:val="24"/>
        </w:rPr>
        <w:t>E</w:t>
      </w:r>
      <w:r w:rsidRPr="00B41355">
        <w:rPr>
          <w:rFonts w:cs="Arial"/>
          <w:szCs w:val="24"/>
        </w:rPr>
        <w:t xml:space="preserve">state largely falls within Nottingham City </w:t>
      </w:r>
      <w:r w:rsidR="00656DAA" w:rsidRPr="00B41355">
        <w:rPr>
          <w:rFonts w:cs="Arial"/>
          <w:szCs w:val="24"/>
        </w:rPr>
        <w:t>Council</w:t>
      </w:r>
      <w:r w:rsidRPr="00B41355">
        <w:rPr>
          <w:rFonts w:cs="Arial"/>
          <w:szCs w:val="24"/>
        </w:rPr>
        <w:t xml:space="preserve"> area. However, the north-eastern section crosses the boundary into Ashfield District to the south of Hucknall.  </w:t>
      </w:r>
      <w:r w:rsidR="00656DAA" w:rsidRPr="00B41355">
        <w:rPr>
          <w:rFonts w:cs="Arial"/>
          <w:szCs w:val="24"/>
        </w:rPr>
        <w:t>T</w:t>
      </w:r>
      <w:r w:rsidRPr="00B41355">
        <w:rPr>
          <w:rFonts w:cs="Arial"/>
          <w:szCs w:val="24"/>
        </w:rPr>
        <w:t xml:space="preserve">he area adjoining Nottingham </w:t>
      </w:r>
      <w:r w:rsidR="00656DAA" w:rsidRPr="00B41355">
        <w:rPr>
          <w:rFonts w:cs="Arial"/>
          <w:szCs w:val="24"/>
        </w:rPr>
        <w:t>City</w:t>
      </w:r>
      <w:r w:rsidRPr="00B41355">
        <w:rPr>
          <w:rFonts w:cs="Arial"/>
          <w:szCs w:val="24"/>
        </w:rPr>
        <w:t xml:space="preserve"> is not a focus for future development within </w:t>
      </w:r>
      <w:r w:rsidR="00656DAA" w:rsidRPr="00B41355">
        <w:rPr>
          <w:rFonts w:cs="Arial"/>
          <w:szCs w:val="24"/>
        </w:rPr>
        <w:t>Ashfield and</w:t>
      </w:r>
      <w:r w:rsidRPr="00B41355">
        <w:rPr>
          <w:rFonts w:cs="Arial"/>
          <w:szCs w:val="24"/>
        </w:rPr>
        <w:t xml:space="preserve"> performs an important strategic Green Belt role in the segregation of Hucknall and Nottingham</w:t>
      </w:r>
      <w:r w:rsidR="00656DAA" w:rsidRPr="00B41355">
        <w:rPr>
          <w:rFonts w:cs="Arial"/>
          <w:szCs w:val="24"/>
        </w:rPr>
        <w:t xml:space="preserve">. However, </w:t>
      </w:r>
      <w:r w:rsidRPr="00B41355">
        <w:rPr>
          <w:rFonts w:cs="Arial"/>
          <w:szCs w:val="24"/>
        </w:rPr>
        <w:t xml:space="preserve">this </w:t>
      </w:r>
      <w:proofErr w:type="gramStart"/>
      <w:r w:rsidR="00656DAA" w:rsidRPr="00B41355">
        <w:rPr>
          <w:rFonts w:cs="Arial"/>
          <w:szCs w:val="24"/>
        </w:rPr>
        <w:t xml:space="preserve">particular </w:t>
      </w:r>
      <w:r w:rsidRPr="00B41355">
        <w:rPr>
          <w:rFonts w:cs="Arial"/>
          <w:szCs w:val="24"/>
        </w:rPr>
        <w:t>area</w:t>
      </w:r>
      <w:proofErr w:type="gramEnd"/>
      <w:r w:rsidRPr="00B41355">
        <w:rPr>
          <w:rFonts w:cs="Arial"/>
          <w:szCs w:val="24"/>
        </w:rPr>
        <w:t xml:space="preserve"> is already comprehensively developed for employment uses and is protected for such under Policy EM1. </w:t>
      </w:r>
      <w:r w:rsidR="00425B8E">
        <w:rPr>
          <w:rFonts w:cs="Arial"/>
          <w:szCs w:val="24"/>
        </w:rPr>
        <w:t>Consequently</w:t>
      </w:r>
      <w:r w:rsidRPr="00B41355">
        <w:rPr>
          <w:rFonts w:cs="Arial"/>
          <w:szCs w:val="24"/>
        </w:rPr>
        <w:t xml:space="preserve">, it is excluded from the ‘Remainder of the District’. </w:t>
      </w:r>
    </w:p>
    <w:p w14:paraId="1A87E991"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37889C4D" w14:textId="139D746B"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 xml:space="preserve">The </w:t>
      </w:r>
      <w:r w:rsidR="00656DAA" w:rsidRPr="00B41355">
        <w:rPr>
          <w:rFonts w:eastAsia="Arial" w:cs="Arial"/>
        </w:rPr>
        <w:t>‘</w:t>
      </w:r>
      <w:r w:rsidRPr="00B41355">
        <w:rPr>
          <w:rFonts w:eastAsia="Arial" w:cs="Arial"/>
        </w:rPr>
        <w:t>Remainder of the District</w:t>
      </w:r>
      <w:r w:rsidR="00656DAA" w:rsidRPr="00B41355">
        <w:rPr>
          <w:rFonts w:eastAsia="Arial" w:cs="Arial"/>
        </w:rPr>
        <w:t>’</w:t>
      </w:r>
      <w:r w:rsidRPr="00B41355">
        <w:rPr>
          <w:rFonts w:eastAsia="Arial" w:cs="Arial"/>
        </w:rPr>
        <w:t xml:space="preserve"> is not defined by any boundaries and </w:t>
      </w:r>
      <w:proofErr w:type="gramStart"/>
      <w:r w:rsidRPr="00B41355">
        <w:rPr>
          <w:rFonts w:eastAsia="Arial" w:cs="Arial"/>
        </w:rPr>
        <w:t>is considered to be</w:t>
      </w:r>
      <w:proofErr w:type="gramEnd"/>
      <w:r w:rsidRPr="00B41355">
        <w:rPr>
          <w:rFonts w:eastAsia="Arial" w:cs="Arial"/>
        </w:rPr>
        <w:t xml:space="preserve"> ‘open countryside’ with a limited number of small villages and hamlets, largely associated with agriculture (Teversal, </w:t>
      </w:r>
      <w:proofErr w:type="spellStart"/>
      <w:r w:rsidRPr="00B41355">
        <w:rPr>
          <w:rFonts w:eastAsia="Arial" w:cs="Arial"/>
        </w:rPr>
        <w:t>Bagthorpe</w:t>
      </w:r>
      <w:proofErr w:type="spellEnd"/>
      <w:r w:rsidRPr="00B41355">
        <w:rPr>
          <w:rFonts w:eastAsia="Arial" w:cs="Arial"/>
        </w:rPr>
        <w:t>, New Westwood, Jubilee and Harlow Wood). Teversal village scored the lowest in the Accessible Settlements Study due to its location and a lesser opportunity for access to services and facilities.</w:t>
      </w:r>
    </w:p>
    <w:p w14:paraId="1661484F"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45EF9F93" w14:textId="3A346357"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 xml:space="preserve">The villages of Teversal and </w:t>
      </w:r>
      <w:proofErr w:type="spellStart"/>
      <w:r w:rsidRPr="00B41355">
        <w:rPr>
          <w:rFonts w:eastAsia="Arial" w:cs="Arial"/>
        </w:rPr>
        <w:t>Bagthorpe</w:t>
      </w:r>
      <w:proofErr w:type="spellEnd"/>
      <w:r w:rsidRPr="00B41355">
        <w:rPr>
          <w:rFonts w:eastAsia="Arial" w:cs="Arial"/>
        </w:rPr>
        <w:t xml:space="preserve"> are also Conservation </w:t>
      </w:r>
      <w:r w:rsidR="003E3BD8" w:rsidRPr="00B41355">
        <w:rPr>
          <w:rFonts w:eastAsia="Arial" w:cs="Arial"/>
        </w:rPr>
        <w:t>Areas,</w:t>
      </w:r>
      <w:r w:rsidRPr="00B41355">
        <w:rPr>
          <w:rFonts w:eastAsia="Arial" w:cs="Arial"/>
        </w:rPr>
        <w:t xml:space="preserve"> and, due to the character of the settlements, infill development will be restricted. Development in the rest of the </w:t>
      </w:r>
      <w:proofErr w:type="gramStart"/>
      <w:r w:rsidRPr="00B41355">
        <w:rPr>
          <w:rFonts w:eastAsia="Arial" w:cs="Arial"/>
        </w:rPr>
        <w:t>District</w:t>
      </w:r>
      <w:proofErr w:type="gramEnd"/>
      <w:r w:rsidRPr="00B41355">
        <w:rPr>
          <w:rFonts w:eastAsia="Arial" w:cs="Arial"/>
        </w:rPr>
        <w:t>, outside the villages named, is restricted by national and local planning policies.</w:t>
      </w:r>
    </w:p>
    <w:p w14:paraId="336DC0BF"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61D38C02" w14:textId="2D1FAE48"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cs="Arial"/>
          <w:szCs w:val="24"/>
        </w:rPr>
        <w:t xml:space="preserve">To the north of the </w:t>
      </w:r>
      <w:proofErr w:type="gramStart"/>
      <w:r w:rsidRPr="00B41355">
        <w:rPr>
          <w:rFonts w:cs="Arial"/>
          <w:szCs w:val="24"/>
        </w:rPr>
        <w:t>District</w:t>
      </w:r>
      <w:proofErr w:type="gramEnd"/>
      <w:r w:rsidRPr="00B41355">
        <w:rPr>
          <w:rFonts w:cs="Arial"/>
          <w:szCs w:val="24"/>
        </w:rPr>
        <w:t xml:space="preserve"> the countryside forms the setting</w:t>
      </w:r>
      <w:r>
        <w:rPr>
          <w:rStyle w:val="FootnoteReference"/>
          <w:rFonts w:cs="Arial"/>
        </w:rPr>
        <w:footnoteReference w:id="50"/>
      </w:r>
      <w:r w:rsidRPr="00B41355">
        <w:rPr>
          <w:rFonts w:cs="Arial"/>
          <w:szCs w:val="24"/>
        </w:rPr>
        <w:t xml:space="preserve"> of Hardwick Hall and Hardwick Old Hall, both Grade 1 Listed Building, and the associated historic listed </w:t>
      </w:r>
      <w:r w:rsidRPr="00B41355">
        <w:rPr>
          <w:rFonts w:cs="Arial"/>
          <w:szCs w:val="24"/>
        </w:rPr>
        <w:lastRenderedPageBreak/>
        <w:t>gardens. Heritage assets “are an irreplaceable resource and should be conserved in a manner appropriate to their significance, so that they can be enjoyed for their contribution to the quality of life of existing and future generations</w:t>
      </w:r>
      <w:r>
        <w:rPr>
          <w:rStyle w:val="FootnoteReference"/>
          <w:rFonts w:cs="Arial"/>
        </w:rPr>
        <w:footnoteReference w:id="51"/>
      </w:r>
      <w:r w:rsidRPr="00B41355">
        <w:rPr>
          <w:rFonts w:cs="Arial"/>
          <w:szCs w:val="24"/>
        </w:rPr>
        <w:t xml:space="preserve"> ”.  Consequently, the potential impact both on the setting and the significance of these heritage assets is a major constraint on development in this part of the </w:t>
      </w:r>
      <w:proofErr w:type="gramStart"/>
      <w:r w:rsidRPr="00B41355">
        <w:rPr>
          <w:rFonts w:cs="Arial"/>
          <w:szCs w:val="24"/>
        </w:rPr>
        <w:t>District</w:t>
      </w:r>
      <w:proofErr w:type="gramEnd"/>
      <w:r w:rsidRPr="00B41355">
        <w:rPr>
          <w:rFonts w:cs="Arial"/>
          <w:szCs w:val="24"/>
        </w:rPr>
        <w:t>.</w:t>
      </w:r>
    </w:p>
    <w:p w14:paraId="469593EF" w14:textId="77777777" w:rsidR="00B41355" w:rsidRPr="00B41355" w:rsidRDefault="00B41355" w:rsidP="00B41355">
      <w:pPr>
        <w:keepNext w:val="0"/>
        <w:autoSpaceDE w:val="0"/>
        <w:autoSpaceDN w:val="0"/>
        <w:adjustRightInd w:val="0"/>
        <w:spacing w:before="0"/>
        <w:ind w:left="851"/>
        <w:rPr>
          <w:rFonts w:eastAsia="Calibri" w:cs="Arial"/>
          <w:color w:val="auto"/>
        </w:rPr>
      </w:pPr>
    </w:p>
    <w:p w14:paraId="10911812" w14:textId="148828E5" w:rsidR="00B41355" w:rsidRDefault="006A5605" w:rsidP="00B41355">
      <w:pPr>
        <w:keepNext w:val="0"/>
        <w:numPr>
          <w:ilvl w:val="1"/>
          <w:numId w:val="306"/>
        </w:numPr>
        <w:autoSpaceDE w:val="0"/>
        <w:autoSpaceDN w:val="0"/>
        <w:adjustRightInd w:val="0"/>
        <w:spacing w:before="0"/>
        <w:ind w:left="851" w:hanging="851"/>
        <w:rPr>
          <w:rFonts w:eastAsia="Calibri" w:cs="Arial"/>
          <w:color w:val="auto"/>
        </w:rPr>
      </w:pPr>
      <w:r w:rsidRPr="00B41355">
        <w:rPr>
          <w:rFonts w:eastAsia="Arial" w:cs="Arial"/>
        </w:rPr>
        <w:t xml:space="preserve">It should be noted that the southern part of the </w:t>
      </w:r>
      <w:proofErr w:type="gramStart"/>
      <w:r w:rsidRPr="00B41355">
        <w:rPr>
          <w:rFonts w:eastAsia="Arial" w:cs="Arial"/>
        </w:rPr>
        <w:t>District</w:t>
      </w:r>
      <w:proofErr w:type="gramEnd"/>
      <w:r w:rsidRPr="00B41355">
        <w:rPr>
          <w:rFonts w:eastAsia="Arial" w:cs="Arial"/>
        </w:rPr>
        <w:t xml:space="preserve"> which lies outside any settlement/strategic Employment area boundaries is washed over by the Nottingham/Derby Green Belt.</w:t>
      </w:r>
    </w:p>
    <w:p w14:paraId="61DC4DD6" w14:textId="77777777" w:rsidR="00B41355" w:rsidRPr="00FA0A04" w:rsidRDefault="00B41355" w:rsidP="00FA0A04">
      <w:pPr>
        <w:keepNext w:val="0"/>
        <w:autoSpaceDE w:val="0"/>
        <w:autoSpaceDN w:val="0"/>
        <w:adjustRightInd w:val="0"/>
        <w:spacing w:before="0"/>
        <w:ind w:left="851"/>
        <w:rPr>
          <w:rFonts w:eastAsia="Calibri" w:cs="Arial"/>
          <w:bCs/>
          <w:color w:val="auto"/>
        </w:rPr>
      </w:pPr>
    </w:p>
    <w:p w14:paraId="184B40E1" w14:textId="00736C93" w:rsidR="006A5605" w:rsidRPr="007E0F25" w:rsidRDefault="004E56FA" w:rsidP="00A35ED5">
      <w:pPr>
        <w:keepNext w:val="0"/>
        <w:numPr>
          <w:ilvl w:val="1"/>
          <w:numId w:val="306"/>
        </w:numPr>
        <w:autoSpaceDE w:val="0"/>
        <w:autoSpaceDN w:val="0"/>
        <w:adjustRightInd w:val="0"/>
        <w:spacing w:before="0"/>
        <w:ind w:left="851" w:hanging="851"/>
        <w:rPr>
          <w:rFonts w:eastAsia="Arial" w:cs="Arial"/>
          <w:i/>
          <w:iCs/>
          <w:color w:val="0070C0"/>
          <w:u w:val="single"/>
        </w:rPr>
      </w:pPr>
      <w:r w:rsidRPr="00E81E58">
        <w:rPr>
          <w:rFonts w:eastAsia="Calibri" w:cs="Arial"/>
          <w:bCs/>
          <w:color w:val="auto"/>
        </w:rPr>
        <w:t>Table 1 compares the distribution of future housing development proposals across the district by geographical area. The figures include pipeline projects which already have planning permission and in many cases are under construction, in addition to new sites proposed in the emerging Local Plan. When compared with the existing population, the level of growth directed to each area is broadly comparable and supports the Council’s spatial strategy for dispersed development</w:t>
      </w:r>
      <w:r w:rsidRPr="003E3BD8">
        <w:rPr>
          <w:rFonts w:eastAsia="Calibri" w:cs="Arial"/>
          <w:bCs/>
          <w:color w:val="0070C0"/>
        </w:rPr>
        <w:t xml:space="preserve">. </w:t>
      </w:r>
      <w:r w:rsidR="00E81E58" w:rsidRPr="003E3BD8">
        <w:rPr>
          <w:color w:val="0070C0"/>
        </w:rPr>
        <w:t xml:space="preserve">Despite the slightly higher planned growth in the north of the </w:t>
      </w:r>
      <w:proofErr w:type="gramStart"/>
      <w:r w:rsidR="00E81E58" w:rsidRPr="003E3BD8">
        <w:rPr>
          <w:color w:val="0070C0"/>
        </w:rPr>
        <w:t>District</w:t>
      </w:r>
      <w:proofErr w:type="gramEnd"/>
      <w:r w:rsidR="00E81E58" w:rsidRPr="003E3BD8">
        <w:rPr>
          <w:color w:val="0070C0"/>
        </w:rPr>
        <w:t>, it is considered that this is at a scale which is appropriate to the existing settlements. Hucknall has additional permissioned and planned growth which falls within the administration boundary of Gedling Borough. This is likely to see future expansion of the town beyond the Ashfield Local Plan period of 2040.</w:t>
      </w:r>
      <w:r w:rsidR="00A35ED5">
        <w:rPr>
          <w:rFonts w:eastAsia="Arial" w:cs="Arial"/>
          <w:color w:val="0070C0"/>
        </w:rPr>
        <w:t xml:space="preserve"> </w:t>
      </w:r>
      <w:r w:rsidR="006A5605" w:rsidRPr="00912435">
        <w:rPr>
          <w:rFonts w:eastAsia="Arial" w:cs="Arial"/>
          <w:color w:val="auto"/>
          <w:u w:val="single"/>
        </w:rPr>
        <w:t xml:space="preserve">Housing </w:t>
      </w:r>
      <w:r w:rsidR="006A5605" w:rsidRPr="00912435">
        <w:rPr>
          <w:rFonts w:eastAsia="Arial" w:cs="Arial"/>
          <w:u w:val="single"/>
        </w:rPr>
        <w:t>policies for the provision of land allocations are included in Policies H1 and are identified on the Policies Map, with employment allocations also shown on the Policies Map and as identified in Policy EM2</w:t>
      </w:r>
      <w:r w:rsidR="00425B8E" w:rsidRPr="00912435">
        <w:rPr>
          <w:rFonts w:eastAsia="Arial" w:cs="Arial"/>
          <w:u w:val="single"/>
        </w:rPr>
        <w:t xml:space="preserve"> and Policy S6</w:t>
      </w:r>
      <w:r w:rsidR="006A5605" w:rsidRPr="00912435">
        <w:rPr>
          <w:rFonts w:eastAsia="Arial" w:cs="Arial"/>
          <w:u w:val="single"/>
        </w:rPr>
        <w:t>.</w:t>
      </w:r>
      <w:r w:rsidR="00AD315E" w:rsidRPr="00F53521">
        <w:rPr>
          <w:rFonts w:eastAsia="Arial" w:cs="Arial"/>
          <w:color w:val="ED0000"/>
        </w:rPr>
        <w:t xml:space="preserve"> </w:t>
      </w:r>
      <w:r w:rsidR="00AD315E" w:rsidRPr="00F53521">
        <w:rPr>
          <w:rFonts w:eastAsia="Arial" w:cs="Arial"/>
          <w:i/>
          <w:iCs/>
          <w:color w:val="ED0000"/>
        </w:rPr>
        <w:t>(</w:t>
      </w:r>
      <w:r w:rsidR="007E0F25" w:rsidRPr="00F53521">
        <w:rPr>
          <w:rFonts w:eastAsia="Arial" w:cs="Arial"/>
          <w:i/>
          <w:iCs/>
          <w:color w:val="ED0000"/>
        </w:rPr>
        <w:t xml:space="preserve">text </w:t>
      </w:r>
      <w:r w:rsidR="00AD315E" w:rsidRPr="00F53521">
        <w:rPr>
          <w:rFonts w:eastAsia="Arial" w:cs="Arial"/>
          <w:i/>
          <w:iCs/>
          <w:color w:val="ED0000"/>
        </w:rPr>
        <w:t>moved to below Table 1a)</w:t>
      </w:r>
    </w:p>
    <w:p w14:paraId="1A9E469C" w14:textId="77777777" w:rsidR="001C7722" w:rsidRPr="00F001AF" w:rsidRDefault="001C7722" w:rsidP="001C7722">
      <w:pPr>
        <w:pStyle w:val="ListParagraph"/>
        <w:ind w:left="525"/>
        <w:rPr>
          <w:rFonts w:eastAsia="Calibri" w:cs="Arial"/>
          <w:bCs/>
          <w:color w:val="0070C0"/>
          <w:u w:val="single"/>
        </w:rPr>
      </w:pPr>
    </w:p>
    <w:tbl>
      <w:tblPr>
        <w:tblW w:w="9789" w:type="dxa"/>
        <w:tblInd w:w="-5" w:type="dxa"/>
        <w:tblLook w:val="04A0" w:firstRow="1" w:lastRow="0" w:firstColumn="1" w:lastColumn="0" w:noHBand="0" w:noVBand="1"/>
      </w:tblPr>
      <w:tblGrid>
        <w:gridCol w:w="2127"/>
        <w:gridCol w:w="1701"/>
        <w:gridCol w:w="1701"/>
        <w:gridCol w:w="1412"/>
        <w:gridCol w:w="1474"/>
        <w:gridCol w:w="1374"/>
      </w:tblGrid>
      <w:tr w:rsidR="002C1DE3" w:rsidRPr="008929E4" w14:paraId="17156F50" w14:textId="77777777">
        <w:trPr>
          <w:trHeight w:val="1353"/>
        </w:trPr>
        <w:tc>
          <w:tcPr>
            <w:tcW w:w="2127" w:type="dxa"/>
            <w:tcBorders>
              <w:top w:val="single" w:sz="4" w:space="0" w:color="auto"/>
              <w:left w:val="single" w:sz="4" w:space="0" w:color="auto"/>
              <w:bottom w:val="single" w:sz="4" w:space="0" w:color="auto"/>
              <w:right w:val="single" w:sz="4" w:space="0" w:color="auto"/>
            </w:tcBorders>
            <w:shd w:val="clear" w:color="000000" w:fill="D9D9D9"/>
            <w:hideMark/>
          </w:tcPr>
          <w:p w14:paraId="34198199" w14:textId="77777777" w:rsidR="002C1DE3" w:rsidRPr="003A35EE" w:rsidRDefault="002C1DE3">
            <w:pPr>
              <w:jc w:val="center"/>
              <w:rPr>
                <w:rFonts w:cs="Arial"/>
                <w:b/>
                <w:bCs/>
                <w:strike/>
                <w:color w:val="000000"/>
                <w:sz w:val="22"/>
                <w:szCs w:val="22"/>
              </w:rPr>
            </w:pPr>
            <w:r w:rsidRPr="003A35EE">
              <w:rPr>
                <w:rFonts w:cs="Arial"/>
                <w:b/>
                <w:bCs/>
                <w:strike/>
                <w:color w:val="000000"/>
                <w:sz w:val="22"/>
                <w:szCs w:val="22"/>
              </w:rPr>
              <w:lastRenderedPageBreak/>
              <w:t>Geographical Area</w:t>
            </w:r>
          </w:p>
        </w:tc>
        <w:tc>
          <w:tcPr>
            <w:tcW w:w="1701" w:type="dxa"/>
            <w:tcBorders>
              <w:top w:val="single" w:sz="4" w:space="0" w:color="auto"/>
              <w:left w:val="nil"/>
              <w:bottom w:val="single" w:sz="4" w:space="0" w:color="auto"/>
              <w:right w:val="single" w:sz="4" w:space="0" w:color="auto"/>
            </w:tcBorders>
            <w:shd w:val="clear" w:color="000000" w:fill="D9D9D9"/>
            <w:hideMark/>
          </w:tcPr>
          <w:p w14:paraId="518D91C4" w14:textId="77777777" w:rsidR="002C1DE3" w:rsidRPr="003A35EE" w:rsidRDefault="002C1DE3">
            <w:pPr>
              <w:jc w:val="center"/>
              <w:rPr>
                <w:rFonts w:cs="Arial"/>
                <w:b/>
                <w:bCs/>
                <w:strike/>
                <w:color w:val="000000"/>
                <w:sz w:val="22"/>
                <w:szCs w:val="22"/>
              </w:rPr>
            </w:pPr>
            <w:r w:rsidRPr="003A35EE">
              <w:rPr>
                <w:rFonts w:cs="Arial"/>
                <w:b/>
                <w:bCs/>
                <w:strike/>
                <w:color w:val="000000"/>
                <w:sz w:val="22"/>
                <w:szCs w:val="22"/>
              </w:rPr>
              <w:t>Housing Sites with planning permission (Dwellings)*</w:t>
            </w:r>
          </w:p>
        </w:tc>
        <w:tc>
          <w:tcPr>
            <w:tcW w:w="1701" w:type="dxa"/>
            <w:tcBorders>
              <w:top w:val="single" w:sz="4" w:space="0" w:color="auto"/>
              <w:left w:val="nil"/>
              <w:bottom w:val="single" w:sz="4" w:space="0" w:color="auto"/>
              <w:right w:val="single" w:sz="4" w:space="0" w:color="auto"/>
            </w:tcBorders>
            <w:shd w:val="clear" w:color="000000" w:fill="D9D9D9"/>
            <w:hideMark/>
          </w:tcPr>
          <w:p w14:paraId="3F1DEC1D" w14:textId="77777777" w:rsidR="002C1DE3" w:rsidRPr="003A35EE" w:rsidRDefault="002C1DE3">
            <w:pPr>
              <w:jc w:val="center"/>
              <w:rPr>
                <w:rFonts w:cs="Arial"/>
                <w:b/>
                <w:bCs/>
                <w:strike/>
                <w:color w:val="000000"/>
                <w:sz w:val="22"/>
                <w:szCs w:val="22"/>
              </w:rPr>
            </w:pPr>
            <w:r w:rsidRPr="003A35EE">
              <w:rPr>
                <w:rFonts w:cs="Arial"/>
                <w:b/>
                <w:bCs/>
                <w:strike/>
                <w:color w:val="000000"/>
                <w:sz w:val="22"/>
                <w:szCs w:val="22"/>
              </w:rPr>
              <w:t>Housing Sites without planning permission (Dwellings)</w:t>
            </w:r>
          </w:p>
        </w:tc>
        <w:tc>
          <w:tcPr>
            <w:tcW w:w="1412" w:type="dxa"/>
            <w:tcBorders>
              <w:top w:val="single" w:sz="4" w:space="0" w:color="auto"/>
              <w:left w:val="nil"/>
              <w:bottom w:val="single" w:sz="4" w:space="0" w:color="auto"/>
              <w:right w:val="single" w:sz="4" w:space="0" w:color="auto"/>
            </w:tcBorders>
            <w:shd w:val="clear" w:color="000000" w:fill="D9D9D9"/>
            <w:hideMark/>
          </w:tcPr>
          <w:p w14:paraId="79F7DB30" w14:textId="77777777" w:rsidR="002C1DE3" w:rsidRPr="003A35EE" w:rsidRDefault="002C1DE3">
            <w:pPr>
              <w:jc w:val="center"/>
              <w:rPr>
                <w:rFonts w:cs="Arial"/>
                <w:b/>
                <w:bCs/>
                <w:strike/>
                <w:color w:val="000000"/>
                <w:sz w:val="22"/>
                <w:szCs w:val="22"/>
              </w:rPr>
            </w:pPr>
            <w:r w:rsidRPr="003A35EE">
              <w:rPr>
                <w:rFonts w:cs="Arial"/>
                <w:b/>
                <w:bCs/>
                <w:strike/>
                <w:color w:val="000000"/>
                <w:sz w:val="22"/>
                <w:szCs w:val="22"/>
              </w:rPr>
              <w:t>All Housing Sites (Dwellings)</w:t>
            </w:r>
          </w:p>
        </w:tc>
        <w:tc>
          <w:tcPr>
            <w:tcW w:w="1474" w:type="dxa"/>
            <w:tcBorders>
              <w:top w:val="single" w:sz="4" w:space="0" w:color="auto"/>
              <w:left w:val="nil"/>
              <w:bottom w:val="single" w:sz="4" w:space="0" w:color="auto"/>
              <w:right w:val="single" w:sz="4" w:space="0" w:color="auto"/>
            </w:tcBorders>
            <w:shd w:val="clear" w:color="000000" w:fill="D9D9D9"/>
            <w:hideMark/>
          </w:tcPr>
          <w:p w14:paraId="34A0CBA8" w14:textId="77777777" w:rsidR="002C1DE3" w:rsidRPr="003A35EE" w:rsidRDefault="002C1DE3">
            <w:pPr>
              <w:jc w:val="center"/>
              <w:rPr>
                <w:rFonts w:cs="Arial"/>
                <w:b/>
                <w:bCs/>
                <w:strike/>
                <w:color w:val="000000"/>
                <w:sz w:val="22"/>
                <w:szCs w:val="22"/>
              </w:rPr>
            </w:pPr>
            <w:r w:rsidRPr="003A35EE">
              <w:rPr>
                <w:rFonts w:cs="Arial"/>
                <w:b/>
                <w:bCs/>
                <w:strike/>
                <w:color w:val="000000"/>
                <w:sz w:val="22"/>
                <w:szCs w:val="22"/>
              </w:rPr>
              <w:t>% Distribution by Area</w:t>
            </w:r>
          </w:p>
        </w:tc>
        <w:tc>
          <w:tcPr>
            <w:tcW w:w="1374" w:type="dxa"/>
            <w:tcBorders>
              <w:top w:val="single" w:sz="4" w:space="0" w:color="auto"/>
              <w:left w:val="nil"/>
              <w:bottom w:val="single" w:sz="4" w:space="0" w:color="auto"/>
              <w:right w:val="single" w:sz="4" w:space="0" w:color="auto"/>
            </w:tcBorders>
            <w:shd w:val="clear" w:color="000000" w:fill="D9D9D9"/>
            <w:hideMark/>
          </w:tcPr>
          <w:p w14:paraId="17B1B264" w14:textId="77777777" w:rsidR="002C1DE3" w:rsidRPr="003A35EE" w:rsidRDefault="002C1DE3">
            <w:pPr>
              <w:jc w:val="center"/>
              <w:rPr>
                <w:rFonts w:cs="Arial"/>
                <w:b/>
                <w:bCs/>
                <w:strike/>
                <w:color w:val="000000"/>
                <w:sz w:val="22"/>
                <w:szCs w:val="22"/>
              </w:rPr>
            </w:pPr>
            <w:r w:rsidRPr="003A35EE">
              <w:rPr>
                <w:rFonts w:cs="Arial"/>
                <w:b/>
                <w:bCs/>
                <w:strike/>
                <w:color w:val="000000"/>
                <w:sz w:val="22"/>
                <w:szCs w:val="22"/>
              </w:rPr>
              <w:t>% Existing Population (2021 Census)</w:t>
            </w:r>
          </w:p>
        </w:tc>
      </w:tr>
      <w:tr w:rsidR="002C1DE3" w:rsidRPr="008929E4" w14:paraId="60FCDA2E" w14:textId="77777777">
        <w:trPr>
          <w:trHeight w:val="603"/>
        </w:trPr>
        <w:tc>
          <w:tcPr>
            <w:tcW w:w="2127" w:type="dxa"/>
            <w:tcBorders>
              <w:top w:val="nil"/>
              <w:left w:val="single" w:sz="4" w:space="0" w:color="auto"/>
              <w:bottom w:val="single" w:sz="4" w:space="0" w:color="auto"/>
              <w:right w:val="single" w:sz="4" w:space="0" w:color="auto"/>
            </w:tcBorders>
            <w:vAlign w:val="bottom"/>
            <w:hideMark/>
          </w:tcPr>
          <w:p w14:paraId="2C5C0065" w14:textId="77777777" w:rsidR="002C1DE3" w:rsidRPr="003A35EE" w:rsidRDefault="002C1DE3">
            <w:pPr>
              <w:rPr>
                <w:rFonts w:cs="Arial"/>
                <w:strike/>
                <w:color w:val="000000"/>
                <w:sz w:val="22"/>
                <w:szCs w:val="22"/>
              </w:rPr>
            </w:pPr>
            <w:r w:rsidRPr="003A35EE">
              <w:rPr>
                <w:rFonts w:cs="Arial"/>
                <w:strike/>
                <w:color w:val="000000"/>
                <w:sz w:val="22"/>
                <w:szCs w:val="22"/>
              </w:rPr>
              <w:t>Northern Towns Area</w:t>
            </w:r>
          </w:p>
        </w:tc>
        <w:tc>
          <w:tcPr>
            <w:tcW w:w="1701" w:type="dxa"/>
            <w:tcBorders>
              <w:top w:val="nil"/>
              <w:left w:val="nil"/>
              <w:bottom w:val="single" w:sz="4" w:space="0" w:color="auto"/>
              <w:right w:val="single" w:sz="4" w:space="0" w:color="auto"/>
            </w:tcBorders>
            <w:vAlign w:val="bottom"/>
            <w:hideMark/>
          </w:tcPr>
          <w:p w14:paraId="6087DC3C" w14:textId="77777777" w:rsidR="002C1DE3" w:rsidRPr="003A35EE" w:rsidRDefault="002C1DE3">
            <w:pPr>
              <w:jc w:val="right"/>
              <w:rPr>
                <w:rFonts w:cs="Arial"/>
                <w:strike/>
                <w:color w:val="000000"/>
                <w:sz w:val="22"/>
                <w:szCs w:val="22"/>
              </w:rPr>
            </w:pPr>
            <w:r w:rsidRPr="003A35EE">
              <w:rPr>
                <w:rFonts w:cs="Arial"/>
                <w:strike/>
                <w:color w:val="000000"/>
                <w:sz w:val="22"/>
                <w:szCs w:val="22"/>
              </w:rPr>
              <w:t>1600</w:t>
            </w:r>
          </w:p>
        </w:tc>
        <w:tc>
          <w:tcPr>
            <w:tcW w:w="1701" w:type="dxa"/>
            <w:tcBorders>
              <w:top w:val="single" w:sz="4" w:space="0" w:color="auto"/>
              <w:left w:val="single" w:sz="4" w:space="0" w:color="auto"/>
              <w:bottom w:val="single" w:sz="4" w:space="0" w:color="auto"/>
              <w:right w:val="single" w:sz="4" w:space="0" w:color="auto"/>
            </w:tcBorders>
            <w:vAlign w:val="bottom"/>
            <w:hideMark/>
          </w:tcPr>
          <w:p w14:paraId="5718D6D1" w14:textId="77777777" w:rsidR="002C1DE3" w:rsidRPr="003A35EE" w:rsidRDefault="002C1DE3">
            <w:pPr>
              <w:jc w:val="right"/>
              <w:rPr>
                <w:rFonts w:cs="Arial"/>
                <w:strike/>
                <w:color w:val="000000"/>
                <w:sz w:val="22"/>
                <w:szCs w:val="22"/>
              </w:rPr>
            </w:pPr>
            <w:r w:rsidRPr="003A35EE">
              <w:rPr>
                <w:strike/>
                <w:color w:val="000000"/>
              </w:rPr>
              <w:t>2418</w:t>
            </w:r>
          </w:p>
        </w:tc>
        <w:tc>
          <w:tcPr>
            <w:tcW w:w="1412" w:type="dxa"/>
            <w:tcBorders>
              <w:top w:val="single" w:sz="4" w:space="0" w:color="auto"/>
              <w:left w:val="nil"/>
              <w:bottom w:val="single" w:sz="4" w:space="0" w:color="auto"/>
              <w:right w:val="single" w:sz="4" w:space="0" w:color="auto"/>
            </w:tcBorders>
            <w:vAlign w:val="bottom"/>
            <w:hideMark/>
          </w:tcPr>
          <w:p w14:paraId="6EF5F4C7" w14:textId="77777777" w:rsidR="002C1DE3" w:rsidRPr="003A35EE" w:rsidRDefault="002C1DE3">
            <w:pPr>
              <w:jc w:val="right"/>
              <w:rPr>
                <w:rFonts w:cs="Arial"/>
                <w:strike/>
                <w:color w:val="000000"/>
                <w:sz w:val="22"/>
                <w:szCs w:val="22"/>
              </w:rPr>
            </w:pPr>
            <w:r w:rsidRPr="003A35EE">
              <w:rPr>
                <w:strike/>
                <w:color w:val="000000"/>
              </w:rPr>
              <w:t>4018</w:t>
            </w:r>
          </w:p>
        </w:tc>
        <w:tc>
          <w:tcPr>
            <w:tcW w:w="1474" w:type="dxa"/>
            <w:tcBorders>
              <w:top w:val="single" w:sz="4" w:space="0" w:color="auto"/>
              <w:left w:val="nil"/>
              <w:bottom w:val="single" w:sz="4" w:space="0" w:color="auto"/>
              <w:right w:val="single" w:sz="4" w:space="0" w:color="auto"/>
            </w:tcBorders>
            <w:vAlign w:val="bottom"/>
            <w:hideMark/>
          </w:tcPr>
          <w:p w14:paraId="6CBC62DD" w14:textId="77777777" w:rsidR="002C1DE3" w:rsidRPr="003A35EE" w:rsidRDefault="002C1DE3">
            <w:pPr>
              <w:jc w:val="right"/>
              <w:rPr>
                <w:rFonts w:cs="Arial"/>
                <w:strike/>
                <w:color w:val="000000"/>
                <w:sz w:val="22"/>
                <w:szCs w:val="22"/>
              </w:rPr>
            </w:pPr>
            <w:r w:rsidRPr="003A35EE">
              <w:rPr>
                <w:strike/>
                <w:color w:val="000000"/>
              </w:rPr>
              <w:t>65.8%</w:t>
            </w:r>
          </w:p>
        </w:tc>
        <w:tc>
          <w:tcPr>
            <w:tcW w:w="1374" w:type="dxa"/>
            <w:tcBorders>
              <w:top w:val="single" w:sz="4" w:space="0" w:color="auto"/>
              <w:left w:val="nil"/>
              <w:bottom w:val="single" w:sz="4" w:space="0" w:color="auto"/>
              <w:right w:val="single" w:sz="4" w:space="0" w:color="auto"/>
            </w:tcBorders>
            <w:vAlign w:val="bottom"/>
            <w:hideMark/>
          </w:tcPr>
          <w:p w14:paraId="122999C5" w14:textId="77777777" w:rsidR="002C1DE3" w:rsidRPr="003A35EE" w:rsidRDefault="002C1DE3">
            <w:pPr>
              <w:jc w:val="right"/>
              <w:rPr>
                <w:rFonts w:cs="Arial"/>
                <w:strike/>
                <w:color w:val="000000"/>
                <w:sz w:val="22"/>
                <w:szCs w:val="22"/>
              </w:rPr>
            </w:pPr>
            <w:r w:rsidRPr="003A35EE">
              <w:rPr>
                <w:strike/>
                <w:color w:val="000000"/>
              </w:rPr>
              <w:t>61.1%</w:t>
            </w:r>
          </w:p>
        </w:tc>
      </w:tr>
      <w:tr w:rsidR="002C1DE3" w:rsidRPr="008929E4" w14:paraId="1AADE6EE" w14:textId="77777777">
        <w:trPr>
          <w:trHeight w:val="755"/>
        </w:trPr>
        <w:tc>
          <w:tcPr>
            <w:tcW w:w="2127" w:type="dxa"/>
            <w:tcBorders>
              <w:top w:val="nil"/>
              <w:left w:val="single" w:sz="4" w:space="0" w:color="auto"/>
              <w:bottom w:val="single" w:sz="4" w:space="0" w:color="auto"/>
              <w:right w:val="single" w:sz="4" w:space="0" w:color="auto"/>
            </w:tcBorders>
            <w:vAlign w:val="bottom"/>
            <w:hideMark/>
          </w:tcPr>
          <w:p w14:paraId="5F4AF8B7" w14:textId="77777777" w:rsidR="002C1DE3" w:rsidRPr="003A35EE" w:rsidRDefault="002C1DE3">
            <w:pPr>
              <w:rPr>
                <w:rFonts w:cs="Arial"/>
                <w:strike/>
                <w:color w:val="000000"/>
                <w:sz w:val="22"/>
                <w:szCs w:val="22"/>
              </w:rPr>
            </w:pPr>
            <w:r w:rsidRPr="003A35EE">
              <w:rPr>
                <w:rFonts w:cs="Arial"/>
                <w:strike/>
                <w:color w:val="000000"/>
                <w:sz w:val="22"/>
                <w:szCs w:val="22"/>
              </w:rPr>
              <w:t>Rural Villages west of M1 (Green Belt constrained)</w:t>
            </w:r>
          </w:p>
        </w:tc>
        <w:tc>
          <w:tcPr>
            <w:tcW w:w="1701" w:type="dxa"/>
            <w:tcBorders>
              <w:top w:val="nil"/>
              <w:left w:val="nil"/>
              <w:bottom w:val="single" w:sz="4" w:space="0" w:color="auto"/>
              <w:right w:val="single" w:sz="4" w:space="0" w:color="auto"/>
            </w:tcBorders>
            <w:vAlign w:val="bottom"/>
            <w:hideMark/>
          </w:tcPr>
          <w:p w14:paraId="5A3474CC" w14:textId="77777777" w:rsidR="002C1DE3" w:rsidRPr="003A35EE" w:rsidRDefault="002C1DE3">
            <w:pPr>
              <w:jc w:val="right"/>
              <w:rPr>
                <w:rFonts w:cs="Arial"/>
                <w:strike/>
                <w:color w:val="000000"/>
                <w:sz w:val="22"/>
                <w:szCs w:val="22"/>
              </w:rPr>
            </w:pPr>
            <w:r w:rsidRPr="003A35EE">
              <w:rPr>
                <w:rFonts w:cs="Arial"/>
                <w:strike/>
                <w:color w:val="000000"/>
                <w:sz w:val="22"/>
                <w:szCs w:val="22"/>
              </w:rPr>
              <w:t>38</w:t>
            </w:r>
          </w:p>
        </w:tc>
        <w:tc>
          <w:tcPr>
            <w:tcW w:w="1701" w:type="dxa"/>
            <w:tcBorders>
              <w:top w:val="nil"/>
              <w:left w:val="single" w:sz="4" w:space="0" w:color="auto"/>
              <w:bottom w:val="single" w:sz="4" w:space="0" w:color="auto"/>
              <w:right w:val="single" w:sz="4" w:space="0" w:color="auto"/>
            </w:tcBorders>
            <w:vAlign w:val="bottom"/>
            <w:hideMark/>
          </w:tcPr>
          <w:p w14:paraId="29719AAA" w14:textId="77777777" w:rsidR="002C1DE3" w:rsidRPr="003A35EE" w:rsidRDefault="002C1DE3">
            <w:pPr>
              <w:jc w:val="right"/>
              <w:rPr>
                <w:rFonts w:cs="Arial"/>
                <w:strike/>
                <w:color w:val="000000"/>
                <w:sz w:val="22"/>
                <w:szCs w:val="22"/>
              </w:rPr>
            </w:pPr>
            <w:r w:rsidRPr="003A35EE">
              <w:rPr>
                <w:strike/>
                <w:color w:val="000000"/>
              </w:rPr>
              <w:t>580</w:t>
            </w:r>
          </w:p>
        </w:tc>
        <w:tc>
          <w:tcPr>
            <w:tcW w:w="1412" w:type="dxa"/>
            <w:tcBorders>
              <w:top w:val="nil"/>
              <w:left w:val="nil"/>
              <w:bottom w:val="single" w:sz="4" w:space="0" w:color="auto"/>
              <w:right w:val="single" w:sz="4" w:space="0" w:color="auto"/>
            </w:tcBorders>
            <w:vAlign w:val="bottom"/>
            <w:hideMark/>
          </w:tcPr>
          <w:p w14:paraId="06473C76" w14:textId="77777777" w:rsidR="002C1DE3" w:rsidRPr="003A35EE" w:rsidRDefault="002C1DE3">
            <w:pPr>
              <w:jc w:val="right"/>
              <w:rPr>
                <w:rFonts w:cs="Arial"/>
                <w:strike/>
                <w:color w:val="000000"/>
                <w:sz w:val="22"/>
                <w:szCs w:val="22"/>
              </w:rPr>
            </w:pPr>
            <w:r w:rsidRPr="003A35EE">
              <w:rPr>
                <w:strike/>
                <w:color w:val="000000"/>
              </w:rPr>
              <w:t>618</w:t>
            </w:r>
          </w:p>
        </w:tc>
        <w:tc>
          <w:tcPr>
            <w:tcW w:w="1474" w:type="dxa"/>
            <w:tcBorders>
              <w:top w:val="nil"/>
              <w:left w:val="nil"/>
              <w:bottom w:val="single" w:sz="4" w:space="0" w:color="auto"/>
              <w:right w:val="single" w:sz="4" w:space="0" w:color="auto"/>
            </w:tcBorders>
            <w:vAlign w:val="bottom"/>
            <w:hideMark/>
          </w:tcPr>
          <w:p w14:paraId="75E72007" w14:textId="77777777" w:rsidR="002C1DE3" w:rsidRPr="003A35EE" w:rsidRDefault="002C1DE3">
            <w:pPr>
              <w:jc w:val="right"/>
              <w:rPr>
                <w:rFonts w:cs="Arial"/>
                <w:strike/>
                <w:color w:val="000000"/>
                <w:sz w:val="22"/>
                <w:szCs w:val="22"/>
              </w:rPr>
            </w:pPr>
            <w:r w:rsidRPr="003A35EE">
              <w:rPr>
                <w:strike/>
                <w:color w:val="000000"/>
              </w:rPr>
              <w:t>10.1%</w:t>
            </w:r>
          </w:p>
        </w:tc>
        <w:tc>
          <w:tcPr>
            <w:tcW w:w="1374" w:type="dxa"/>
            <w:tcBorders>
              <w:top w:val="nil"/>
              <w:left w:val="nil"/>
              <w:bottom w:val="single" w:sz="4" w:space="0" w:color="auto"/>
              <w:right w:val="single" w:sz="4" w:space="0" w:color="auto"/>
            </w:tcBorders>
            <w:vAlign w:val="bottom"/>
            <w:hideMark/>
          </w:tcPr>
          <w:p w14:paraId="3EC4B058" w14:textId="77777777" w:rsidR="002C1DE3" w:rsidRPr="003A35EE" w:rsidRDefault="002C1DE3">
            <w:pPr>
              <w:jc w:val="right"/>
              <w:rPr>
                <w:rFonts w:cs="Arial"/>
                <w:strike/>
                <w:color w:val="000000"/>
                <w:sz w:val="22"/>
                <w:szCs w:val="22"/>
              </w:rPr>
            </w:pPr>
            <w:r w:rsidRPr="003A35EE">
              <w:rPr>
                <w:strike/>
                <w:color w:val="000000"/>
              </w:rPr>
              <w:t>10.1%</w:t>
            </w:r>
          </w:p>
        </w:tc>
      </w:tr>
      <w:tr w:rsidR="002C1DE3" w:rsidRPr="008929E4" w14:paraId="65641381" w14:textId="77777777">
        <w:trPr>
          <w:trHeight w:val="654"/>
        </w:trPr>
        <w:tc>
          <w:tcPr>
            <w:tcW w:w="2127" w:type="dxa"/>
            <w:tcBorders>
              <w:top w:val="nil"/>
              <w:left w:val="single" w:sz="4" w:space="0" w:color="auto"/>
              <w:bottom w:val="single" w:sz="4" w:space="0" w:color="auto"/>
              <w:right w:val="single" w:sz="4" w:space="0" w:color="auto"/>
            </w:tcBorders>
            <w:vAlign w:val="bottom"/>
            <w:hideMark/>
          </w:tcPr>
          <w:p w14:paraId="1C80EC77" w14:textId="77777777" w:rsidR="002C1DE3" w:rsidRPr="003A35EE" w:rsidRDefault="002C1DE3">
            <w:pPr>
              <w:rPr>
                <w:rFonts w:cs="Arial"/>
                <w:strike/>
                <w:color w:val="000000"/>
                <w:sz w:val="22"/>
                <w:szCs w:val="22"/>
              </w:rPr>
            </w:pPr>
            <w:r w:rsidRPr="003A35EE">
              <w:rPr>
                <w:rFonts w:cs="Arial"/>
                <w:strike/>
                <w:color w:val="000000"/>
                <w:sz w:val="22"/>
                <w:szCs w:val="22"/>
              </w:rPr>
              <w:t>Southern Town Area (Green Belt constrained)</w:t>
            </w:r>
          </w:p>
        </w:tc>
        <w:tc>
          <w:tcPr>
            <w:tcW w:w="1701" w:type="dxa"/>
            <w:tcBorders>
              <w:top w:val="nil"/>
              <w:left w:val="nil"/>
              <w:bottom w:val="single" w:sz="4" w:space="0" w:color="auto"/>
              <w:right w:val="single" w:sz="4" w:space="0" w:color="auto"/>
            </w:tcBorders>
            <w:vAlign w:val="bottom"/>
            <w:hideMark/>
          </w:tcPr>
          <w:p w14:paraId="18FC46F5" w14:textId="77777777" w:rsidR="002C1DE3" w:rsidRPr="003A35EE" w:rsidRDefault="002C1DE3">
            <w:pPr>
              <w:jc w:val="right"/>
              <w:rPr>
                <w:rFonts w:cs="Arial"/>
                <w:strike/>
                <w:color w:val="000000"/>
                <w:sz w:val="22"/>
                <w:szCs w:val="22"/>
              </w:rPr>
            </w:pPr>
            <w:r w:rsidRPr="003A35EE">
              <w:rPr>
                <w:rFonts w:cs="Arial"/>
                <w:strike/>
                <w:color w:val="000000"/>
                <w:sz w:val="22"/>
                <w:szCs w:val="22"/>
              </w:rPr>
              <w:t>710</w:t>
            </w:r>
          </w:p>
        </w:tc>
        <w:tc>
          <w:tcPr>
            <w:tcW w:w="1701" w:type="dxa"/>
            <w:tcBorders>
              <w:top w:val="nil"/>
              <w:left w:val="single" w:sz="4" w:space="0" w:color="auto"/>
              <w:bottom w:val="single" w:sz="4" w:space="0" w:color="auto"/>
              <w:right w:val="single" w:sz="4" w:space="0" w:color="auto"/>
            </w:tcBorders>
            <w:vAlign w:val="bottom"/>
            <w:hideMark/>
          </w:tcPr>
          <w:p w14:paraId="213AE18C" w14:textId="77777777" w:rsidR="002C1DE3" w:rsidRPr="003A35EE" w:rsidRDefault="002C1DE3">
            <w:pPr>
              <w:jc w:val="right"/>
              <w:rPr>
                <w:rFonts w:cs="Arial"/>
                <w:strike/>
                <w:color w:val="000000"/>
                <w:sz w:val="22"/>
                <w:szCs w:val="22"/>
              </w:rPr>
            </w:pPr>
            <w:r w:rsidRPr="003A35EE">
              <w:rPr>
                <w:strike/>
                <w:color w:val="000000"/>
              </w:rPr>
              <w:t>759</w:t>
            </w:r>
          </w:p>
        </w:tc>
        <w:tc>
          <w:tcPr>
            <w:tcW w:w="1412" w:type="dxa"/>
            <w:tcBorders>
              <w:top w:val="nil"/>
              <w:left w:val="nil"/>
              <w:bottom w:val="single" w:sz="4" w:space="0" w:color="auto"/>
              <w:right w:val="single" w:sz="4" w:space="0" w:color="auto"/>
            </w:tcBorders>
            <w:vAlign w:val="bottom"/>
            <w:hideMark/>
          </w:tcPr>
          <w:p w14:paraId="6AEB88B4" w14:textId="77777777" w:rsidR="002C1DE3" w:rsidRPr="003A35EE" w:rsidRDefault="002C1DE3">
            <w:pPr>
              <w:jc w:val="right"/>
              <w:rPr>
                <w:rFonts w:cs="Arial"/>
                <w:strike/>
                <w:color w:val="000000"/>
                <w:sz w:val="22"/>
                <w:szCs w:val="22"/>
              </w:rPr>
            </w:pPr>
            <w:r w:rsidRPr="003A35EE">
              <w:rPr>
                <w:strike/>
                <w:color w:val="000000"/>
              </w:rPr>
              <w:t>1469</w:t>
            </w:r>
          </w:p>
        </w:tc>
        <w:tc>
          <w:tcPr>
            <w:tcW w:w="1474" w:type="dxa"/>
            <w:tcBorders>
              <w:top w:val="nil"/>
              <w:left w:val="nil"/>
              <w:bottom w:val="single" w:sz="4" w:space="0" w:color="auto"/>
              <w:right w:val="single" w:sz="4" w:space="0" w:color="auto"/>
            </w:tcBorders>
            <w:vAlign w:val="bottom"/>
            <w:hideMark/>
          </w:tcPr>
          <w:p w14:paraId="68E86137" w14:textId="77777777" w:rsidR="002C1DE3" w:rsidRPr="003A35EE" w:rsidRDefault="002C1DE3">
            <w:pPr>
              <w:jc w:val="right"/>
              <w:rPr>
                <w:rFonts w:cs="Arial"/>
                <w:strike/>
                <w:color w:val="000000"/>
                <w:sz w:val="22"/>
                <w:szCs w:val="22"/>
              </w:rPr>
            </w:pPr>
            <w:r w:rsidRPr="003A35EE">
              <w:rPr>
                <w:strike/>
                <w:color w:val="000000"/>
              </w:rPr>
              <w:t>24.1%</w:t>
            </w:r>
          </w:p>
        </w:tc>
        <w:tc>
          <w:tcPr>
            <w:tcW w:w="1374" w:type="dxa"/>
            <w:tcBorders>
              <w:top w:val="nil"/>
              <w:left w:val="nil"/>
              <w:bottom w:val="single" w:sz="4" w:space="0" w:color="auto"/>
              <w:right w:val="single" w:sz="4" w:space="0" w:color="auto"/>
            </w:tcBorders>
            <w:vAlign w:val="bottom"/>
            <w:hideMark/>
          </w:tcPr>
          <w:p w14:paraId="35E676B0" w14:textId="77777777" w:rsidR="002C1DE3" w:rsidRPr="003A35EE" w:rsidRDefault="002C1DE3">
            <w:pPr>
              <w:jc w:val="right"/>
              <w:rPr>
                <w:rFonts w:cs="Arial"/>
                <w:strike/>
                <w:color w:val="000000"/>
                <w:sz w:val="22"/>
                <w:szCs w:val="22"/>
              </w:rPr>
            </w:pPr>
            <w:r w:rsidRPr="003A35EE">
              <w:rPr>
                <w:strike/>
                <w:color w:val="000000"/>
              </w:rPr>
              <w:t>28.8%</w:t>
            </w:r>
          </w:p>
        </w:tc>
      </w:tr>
      <w:tr w:rsidR="002C1DE3" w:rsidRPr="008929E4" w14:paraId="1A7F091E" w14:textId="77777777">
        <w:trPr>
          <w:trHeight w:val="603"/>
        </w:trPr>
        <w:tc>
          <w:tcPr>
            <w:tcW w:w="2127" w:type="dxa"/>
            <w:tcBorders>
              <w:top w:val="nil"/>
              <w:left w:val="single" w:sz="4" w:space="0" w:color="auto"/>
              <w:bottom w:val="single" w:sz="4" w:space="0" w:color="auto"/>
              <w:right w:val="single" w:sz="4" w:space="0" w:color="auto"/>
            </w:tcBorders>
            <w:vAlign w:val="bottom"/>
            <w:hideMark/>
          </w:tcPr>
          <w:p w14:paraId="4B4D2656" w14:textId="77777777" w:rsidR="002C1DE3" w:rsidRPr="003A35EE" w:rsidRDefault="002C1DE3">
            <w:pPr>
              <w:rPr>
                <w:rFonts w:cs="Arial"/>
                <w:b/>
                <w:bCs/>
                <w:strike/>
                <w:color w:val="000000"/>
                <w:sz w:val="22"/>
                <w:szCs w:val="22"/>
              </w:rPr>
            </w:pPr>
            <w:r w:rsidRPr="003A35EE">
              <w:rPr>
                <w:rFonts w:cs="Arial"/>
                <w:b/>
                <w:bCs/>
                <w:strike/>
                <w:color w:val="000000"/>
                <w:sz w:val="22"/>
                <w:szCs w:val="22"/>
              </w:rPr>
              <w:t>Ashfield District Total</w:t>
            </w:r>
          </w:p>
        </w:tc>
        <w:tc>
          <w:tcPr>
            <w:tcW w:w="1701" w:type="dxa"/>
            <w:tcBorders>
              <w:top w:val="nil"/>
              <w:left w:val="nil"/>
              <w:bottom w:val="single" w:sz="4" w:space="0" w:color="auto"/>
              <w:right w:val="single" w:sz="4" w:space="0" w:color="auto"/>
            </w:tcBorders>
            <w:vAlign w:val="bottom"/>
            <w:hideMark/>
          </w:tcPr>
          <w:p w14:paraId="69C48F5A" w14:textId="77777777" w:rsidR="002C1DE3" w:rsidRPr="003A35EE" w:rsidRDefault="002C1DE3">
            <w:pPr>
              <w:jc w:val="right"/>
              <w:rPr>
                <w:rFonts w:cs="Arial"/>
                <w:b/>
                <w:bCs/>
                <w:strike/>
                <w:color w:val="000000"/>
                <w:sz w:val="22"/>
                <w:szCs w:val="22"/>
              </w:rPr>
            </w:pPr>
            <w:r w:rsidRPr="003A35EE">
              <w:rPr>
                <w:rFonts w:cs="Arial"/>
                <w:b/>
                <w:bCs/>
                <w:strike/>
                <w:color w:val="000000"/>
                <w:sz w:val="22"/>
                <w:szCs w:val="22"/>
              </w:rPr>
              <w:t>2348</w:t>
            </w:r>
          </w:p>
        </w:tc>
        <w:tc>
          <w:tcPr>
            <w:tcW w:w="1701" w:type="dxa"/>
            <w:tcBorders>
              <w:top w:val="nil"/>
              <w:left w:val="single" w:sz="4" w:space="0" w:color="auto"/>
              <w:bottom w:val="single" w:sz="4" w:space="0" w:color="auto"/>
              <w:right w:val="single" w:sz="4" w:space="0" w:color="auto"/>
            </w:tcBorders>
            <w:vAlign w:val="bottom"/>
            <w:hideMark/>
          </w:tcPr>
          <w:p w14:paraId="34BC4EEE" w14:textId="77777777" w:rsidR="002C1DE3" w:rsidRPr="003A35EE" w:rsidRDefault="002C1DE3">
            <w:pPr>
              <w:jc w:val="right"/>
              <w:rPr>
                <w:rFonts w:cs="Arial"/>
                <w:b/>
                <w:bCs/>
                <w:strike/>
                <w:color w:val="000000"/>
                <w:sz w:val="22"/>
                <w:szCs w:val="22"/>
              </w:rPr>
            </w:pPr>
            <w:r w:rsidRPr="003A35EE">
              <w:rPr>
                <w:b/>
                <w:bCs/>
                <w:strike/>
                <w:color w:val="000000"/>
              </w:rPr>
              <w:t>3757</w:t>
            </w:r>
          </w:p>
        </w:tc>
        <w:tc>
          <w:tcPr>
            <w:tcW w:w="1412" w:type="dxa"/>
            <w:tcBorders>
              <w:top w:val="nil"/>
              <w:left w:val="nil"/>
              <w:bottom w:val="single" w:sz="4" w:space="0" w:color="auto"/>
              <w:right w:val="single" w:sz="4" w:space="0" w:color="auto"/>
            </w:tcBorders>
            <w:vAlign w:val="bottom"/>
            <w:hideMark/>
          </w:tcPr>
          <w:p w14:paraId="372CD521" w14:textId="77777777" w:rsidR="002C1DE3" w:rsidRPr="003A35EE" w:rsidRDefault="002C1DE3">
            <w:pPr>
              <w:jc w:val="right"/>
              <w:rPr>
                <w:rFonts w:cs="Arial"/>
                <w:b/>
                <w:bCs/>
                <w:strike/>
                <w:color w:val="000000"/>
                <w:sz w:val="22"/>
                <w:szCs w:val="22"/>
              </w:rPr>
            </w:pPr>
            <w:r w:rsidRPr="003A35EE">
              <w:rPr>
                <w:b/>
                <w:bCs/>
                <w:strike/>
                <w:color w:val="000000"/>
              </w:rPr>
              <w:t>6105</w:t>
            </w:r>
          </w:p>
        </w:tc>
        <w:tc>
          <w:tcPr>
            <w:tcW w:w="1474" w:type="dxa"/>
            <w:tcBorders>
              <w:top w:val="nil"/>
              <w:left w:val="nil"/>
              <w:bottom w:val="single" w:sz="4" w:space="0" w:color="auto"/>
              <w:right w:val="single" w:sz="4" w:space="0" w:color="auto"/>
            </w:tcBorders>
            <w:vAlign w:val="bottom"/>
            <w:hideMark/>
          </w:tcPr>
          <w:p w14:paraId="4DF93691" w14:textId="77777777" w:rsidR="002C1DE3" w:rsidRPr="003A35EE" w:rsidRDefault="002C1DE3">
            <w:pPr>
              <w:jc w:val="right"/>
              <w:rPr>
                <w:rFonts w:cs="Arial"/>
                <w:b/>
                <w:bCs/>
                <w:strike/>
                <w:color w:val="000000"/>
                <w:sz w:val="22"/>
                <w:szCs w:val="22"/>
              </w:rPr>
            </w:pPr>
            <w:r w:rsidRPr="003A35EE">
              <w:rPr>
                <w:b/>
                <w:bCs/>
                <w:strike/>
                <w:color w:val="000000"/>
              </w:rPr>
              <w:t>100.0%</w:t>
            </w:r>
          </w:p>
        </w:tc>
        <w:tc>
          <w:tcPr>
            <w:tcW w:w="1374" w:type="dxa"/>
            <w:tcBorders>
              <w:top w:val="nil"/>
              <w:left w:val="nil"/>
              <w:bottom w:val="single" w:sz="4" w:space="0" w:color="auto"/>
              <w:right w:val="single" w:sz="4" w:space="0" w:color="auto"/>
            </w:tcBorders>
            <w:vAlign w:val="bottom"/>
            <w:hideMark/>
          </w:tcPr>
          <w:p w14:paraId="6CAF41DF" w14:textId="77777777" w:rsidR="002C1DE3" w:rsidRPr="003A35EE" w:rsidRDefault="002C1DE3">
            <w:pPr>
              <w:jc w:val="right"/>
              <w:rPr>
                <w:rFonts w:cs="Arial"/>
                <w:b/>
                <w:bCs/>
                <w:strike/>
                <w:color w:val="000000"/>
                <w:sz w:val="22"/>
                <w:szCs w:val="22"/>
              </w:rPr>
            </w:pPr>
            <w:r w:rsidRPr="003A35EE">
              <w:rPr>
                <w:b/>
                <w:bCs/>
                <w:strike/>
                <w:color w:val="000000"/>
              </w:rPr>
              <w:t>100.0%</w:t>
            </w:r>
          </w:p>
        </w:tc>
      </w:tr>
    </w:tbl>
    <w:p w14:paraId="654BFB67" w14:textId="77777777" w:rsidR="002C1DE3" w:rsidRDefault="002C1DE3" w:rsidP="003A35EE">
      <w:pPr>
        <w:rPr>
          <w:b/>
          <w:bCs/>
          <w:color w:val="5B9BD5" w:themeColor="accent5"/>
        </w:rPr>
      </w:pPr>
    </w:p>
    <w:tbl>
      <w:tblPr>
        <w:tblW w:w="9852" w:type="dxa"/>
        <w:tblLayout w:type="fixed"/>
        <w:tblLook w:val="04A0" w:firstRow="1" w:lastRow="0" w:firstColumn="1" w:lastColumn="0" w:noHBand="0" w:noVBand="1"/>
      </w:tblPr>
      <w:tblGrid>
        <w:gridCol w:w="1838"/>
        <w:gridCol w:w="1549"/>
        <w:gridCol w:w="1219"/>
        <w:gridCol w:w="1389"/>
        <w:gridCol w:w="1095"/>
        <w:gridCol w:w="1410"/>
        <w:gridCol w:w="1352"/>
      </w:tblGrid>
      <w:tr w:rsidR="00E315F5" w:rsidRPr="00235B8A" w14:paraId="043D9D85" w14:textId="77777777" w:rsidTr="00D37528">
        <w:trPr>
          <w:trHeight w:val="1550"/>
        </w:trPr>
        <w:tc>
          <w:tcPr>
            <w:tcW w:w="1838" w:type="dxa"/>
            <w:tcBorders>
              <w:top w:val="single" w:sz="4" w:space="0" w:color="auto"/>
              <w:left w:val="single" w:sz="4" w:space="0" w:color="auto"/>
              <w:bottom w:val="single" w:sz="4" w:space="0" w:color="auto"/>
              <w:right w:val="single" w:sz="4" w:space="0" w:color="auto"/>
            </w:tcBorders>
            <w:shd w:val="clear" w:color="auto" w:fill="D9D9D9"/>
            <w:hideMark/>
          </w:tcPr>
          <w:p w14:paraId="52B555BA" w14:textId="77777777" w:rsidR="003A35EE" w:rsidRPr="00E56F9C" w:rsidRDefault="003A35EE">
            <w:pPr>
              <w:jc w:val="center"/>
              <w:rPr>
                <w:rFonts w:cs="Arial"/>
                <w:color w:val="005EAC"/>
                <w:kern w:val="2"/>
                <w:sz w:val="22"/>
                <w14:ligatures w14:val="standardContextual"/>
              </w:rPr>
            </w:pPr>
            <w:r w:rsidRPr="00E56F9C">
              <w:rPr>
                <w:rFonts w:cs="Arial"/>
                <w:color w:val="005EAC"/>
                <w:kern w:val="2"/>
                <w:sz w:val="22"/>
                <w14:ligatures w14:val="standardContextual"/>
              </w:rPr>
              <w:t>Geographical Area</w:t>
            </w:r>
          </w:p>
        </w:tc>
        <w:tc>
          <w:tcPr>
            <w:tcW w:w="1549" w:type="dxa"/>
            <w:tcBorders>
              <w:top w:val="single" w:sz="4" w:space="0" w:color="auto"/>
              <w:left w:val="nil"/>
              <w:bottom w:val="single" w:sz="4" w:space="0" w:color="auto"/>
              <w:right w:val="single" w:sz="4" w:space="0" w:color="auto"/>
            </w:tcBorders>
            <w:shd w:val="clear" w:color="auto" w:fill="D9D9D9"/>
            <w:hideMark/>
          </w:tcPr>
          <w:p w14:paraId="11A69325" w14:textId="77777777" w:rsidR="003A35EE" w:rsidRPr="00E56F9C" w:rsidRDefault="003A35EE">
            <w:pPr>
              <w:jc w:val="center"/>
              <w:rPr>
                <w:rFonts w:cs="Arial"/>
                <w:color w:val="005EAC"/>
                <w:kern w:val="2"/>
                <w:sz w:val="22"/>
                <w14:ligatures w14:val="standardContextual"/>
              </w:rPr>
            </w:pPr>
            <w:r w:rsidRPr="00E56F9C">
              <w:rPr>
                <w:rFonts w:cs="Arial"/>
                <w:color w:val="005EAC"/>
                <w:kern w:val="2"/>
                <w:sz w:val="22"/>
                <w14:ligatures w14:val="standardContextual"/>
              </w:rPr>
              <w:t>Net Housing Completions 2023-2025</w:t>
            </w:r>
          </w:p>
        </w:tc>
        <w:tc>
          <w:tcPr>
            <w:tcW w:w="1219" w:type="dxa"/>
            <w:tcBorders>
              <w:top w:val="single" w:sz="4" w:space="0" w:color="auto"/>
              <w:left w:val="nil"/>
              <w:bottom w:val="single" w:sz="4" w:space="0" w:color="auto"/>
              <w:right w:val="single" w:sz="4" w:space="0" w:color="auto"/>
            </w:tcBorders>
            <w:shd w:val="clear" w:color="auto" w:fill="D9D9D9"/>
            <w:hideMark/>
          </w:tcPr>
          <w:p w14:paraId="3E67AC5D" w14:textId="6829353B" w:rsidR="003A35EE" w:rsidRPr="00E56F9C" w:rsidRDefault="003A35EE">
            <w:pPr>
              <w:jc w:val="center"/>
              <w:rPr>
                <w:rFonts w:cs="Arial"/>
                <w:color w:val="005EAC"/>
                <w:kern w:val="2"/>
                <w:sz w:val="22"/>
                <w14:ligatures w14:val="standardContextual"/>
              </w:rPr>
            </w:pPr>
            <w:r w:rsidRPr="00E56F9C">
              <w:rPr>
                <w:rFonts w:cs="Arial"/>
                <w:color w:val="005EAC"/>
                <w:kern w:val="2"/>
                <w:sz w:val="22"/>
                <w14:ligatures w14:val="standardContextual"/>
              </w:rPr>
              <w:t>Permitted Housing Sites *</w:t>
            </w:r>
          </w:p>
        </w:tc>
        <w:tc>
          <w:tcPr>
            <w:tcW w:w="1389" w:type="dxa"/>
            <w:tcBorders>
              <w:top w:val="single" w:sz="4" w:space="0" w:color="auto"/>
              <w:left w:val="nil"/>
              <w:bottom w:val="single" w:sz="4" w:space="0" w:color="auto"/>
              <w:right w:val="single" w:sz="4" w:space="0" w:color="auto"/>
            </w:tcBorders>
            <w:shd w:val="clear" w:color="auto" w:fill="D9D9D9"/>
            <w:hideMark/>
          </w:tcPr>
          <w:p w14:paraId="2A4C2EEC" w14:textId="5B78BEF6" w:rsidR="003A35EE" w:rsidRPr="00E56F9C" w:rsidRDefault="00E315F5">
            <w:pPr>
              <w:jc w:val="center"/>
              <w:rPr>
                <w:rFonts w:cs="Arial"/>
                <w:color w:val="005EAC"/>
                <w:kern w:val="2"/>
                <w:sz w:val="22"/>
                <w14:ligatures w14:val="standardContextual"/>
              </w:rPr>
            </w:pPr>
            <w:r w:rsidRPr="00E56F9C">
              <w:rPr>
                <w:rFonts w:cs="Arial"/>
                <w:color w:val="005EAC"/>
                <w:kern w:val="2"/>
                <w:sz w:val="22"/>
                <w14:ligatures w14:val="standardContextual"/>
              </w:rPr>
              <w:t xml:space="preserve">H1 </w:t>
            </w:r>
            <w:r w:rsidR="003A35EE" w:rsidRPr="00E56F9C">
              <w:rPr>
                <w:rFonts w:cs="Arial"/>
                <w:color w:val="005EAC"/>
                <w:kern w:val="2"/>
                <w:sz w:val="22"/>
                <w14:ligatures w14:val="standardContextual"/>
              </w:rPr>
              <w:t xml:space="preserve">Housing Sites without planning permission </w:t>
            </w:r>
          </w:p>
        </w:tc>
        <w:tc>
          <w:tcPr>
            <w:tcW w:w="1095" w:type="dxa"/>
            <w:tcBorders>
              <w:top w:val="single" w:sz="4" w:space="0" w:color="auto"/>
              <w:left w:val="nil"/>
              <w:bottom w:val="single" w:sz="4" w:space="0" w:color="auto"/>
              <w:right w:val="single" w:sz="4" w:space="0" w:color="auto"/>
            </w:tcBorders>
            <w:shd w:val="clear" w:color="auto" w:fill="D9D9D9"/>
            <w:hideMark/>
          </w:tcPr>
          <w:p w14:paraId="47B0E3FC" w14:textId="77777777" w:rsidR="003A35EE" w:rsidRPr="00E56F9C" w:rsidRDefault="003A35EE">
            <w:pPr>
              <w:jc w:val="center"/>
              <w:rPr>
                <w:rFonts w:cs="Arial"/>
                <w:color w:val="005EAC"/>
                <w:kern w:val="2"/>
                <w:sz w:val="22"/>
                <w14:ligatures w14:val="standardContextual"/>
              </w:rPr>
            </w:pPr>
            <w:r w:rsidRPr="00E56F9C">
              <w:rPr>
                <w:rFonts w:cs="Arial"/>
                <w:color w:val="005EAC"/>
                <w:kern w:val="2"/>
                <w:sz w:val="22"/>
                <w14:ligatures w14:val="standardContextual"/>
              </w:rPr>
              <w:t xml:space="preserve">All Housing Sites </w:t>
            </w:r>
          </w:p>
        </w:tc>
        <w:tc>
          <w:tcPr>
            <w:tcW w:w="1410" w:type="dxa"/>
            <w:tcBorders>
              <w:top w:val="single" w:sz="4" w:space="0" w:color="auto"/>
              <w:left w:val="nil"/>
              <w:bottom w:val="single" w:sz="4" w:space="0" w:color="auto"/>
              <w:right w:val="single" w:sz="4" w:space="0" w:color="auto"/>
            </w:tcBorders>
            <w:shd w:val="clear" w:color="auto" w:fill="D9D9D9"/>
            <w:hideMark/>
          </w:tcPr>
          <w:p w14:paraId="682702A0" w14:textId="77777777" w:rsidR="003A35EE" w:rsidRPr="00E56F9C" w:rsidRDefault="003A35EE">
            <w:pPr>
              <w:jc w:val="center"/>
              <w:rPr>
                <w:rFonts w:cs="Arial"/>
                <w:color w:val="005EAC"/>
                <w:kern w:val="2"/>
                <w:sz w:val="22"/>
                <w14:ligatures w14:val="standardContextual"/>
              </w:rPr>
            </w:pPr>
            <w:r w:rsidRPr="00E56F9C">
              <w:rPr>
                <w:rFonts w:cs="Arial"/>
                <w:color w:val="005EAC"/>
                <w:kern w:val="2"/>
                <w:sz w:val="22"/>
                <w14:ligatures w14:val="standardContextual"/>
              </w:rPr>
              <w:t>Distribution by Area</w:t>
            </w:r>
          </w:p>
        </w:tc>
        <w:tc>
          <w:tcPr>
            <w:tcW w:w="1352" w:type="dxa"/>
            <w:tcBorders>
              <w:top w:val="single" w:sz="4" w:space="0" w:color="auto"/>
              <w:left w:val="nil"/>
              <w:bottom w:val="single" w:sz="4" w:space="0" w:color="auto"/>
              <w:right w:val="single" w:sz="4" w:space="0" w:color="auto"/>
            </w:tcBorders>
            <w:shd w:val="clear" w:color="auto" w:fill="D9D9D9"/>
            <w:hideMark/>
          </w:tcPr>
          <w:p w14:paraId="3B9CAA4A" w14:textId="77777777" w:rsidR="003A35EE" w:rsidRPr="00E56F9C" w:rsidRDefault="003A35EE">
            <w:pPr>
              <w:jc w:val="center"/>
              <w:rPr>
                <w:rFonts w:cs="Arial"/>
                <w:color w:val="005EAC"/>
                <w:kern w:val="2"/>
                <w:sz w:val="22"/>
                <w14:ligatures w14:val="standardContextual"/>
              </w:rPr>
            </w:pPr>
            <w:r w:rsidRPr="00E56F9C">
              <w:rPr>
                <w:rFonts w:cs="Arial"/>
                <w:color w:val="005EAC"/>
                <w:kern w:val="2"/>
                <w:sz w:val="22"/>
                <w14:ligatures w14:val="standardContextual"/>
              </w:rPr>
              <w:t xml:space="preserve">% Existing </w:t>
            </w:r>
            <w:proofErr w:type="gramStart"/>
            <w:r w:rsidRPr="00E56F9C">
              <w:rPr>
                <w:rFonts w:cs="Arial"/>
                <w:color w:val="005EAC"/>
                <w:kern w:val="2"/>
                <w:sz w:val="22"/>
                <w14:ligatures w14:val="standardContextual"/>
              </w:rPr>
              <w:t>Population  (</w:t>
            </w:r>
            <w:proofErr w:type="gramEnd"/>
            <w:r w:rsidRPr="00E56F9C">
              <w:rPr>
                <w:rFonts w:cs="Arial"/>
                <w:color w:val="005EAC"/>
                <w:kern w:val="2"/>
                <w:sz w:val="22"/>
                <w14:ligatures w14:val="standardContextual"/>
              </w:rPr>
              <w:t>2021 Census)</w:t>
            </w:r>
          </w:p>
        </w:tc>
      </w:tr>
      <w:tr w:rsidR="00E315F5" w:rsidRPr="00235B8A" w14:paraId="42433A10" w14:textId="77777777" w:rsidTr="00D37528">
        <w:trPr>
          <w:trHeight w:val="890"/>
        </w:trPr>
        <w:tc>
          <w:tcPr>
            <w:tcW w:w="1838" w:type="dxa"/>
            <w:tcBorders>
              <w:top w:val="nil"/>
              <w:left w:val="single" w:sz="4" w:space="0" w:color="auto"/>
              <w:bottom w:val="single" w:sz="4" w:space="0" w:color="auto"/>
              <w:right w:val="single" w:sz="4" w:space="0" w:color="auto"/>
            </w:tcBorders>
            <w:vAlign w:val="bottom"/>
            <w:hideMark/>
          </w:tcPr>
          <w:p w14:paraId="4AD0B97A" w14:textId="77777777" w:rsidR="003A35EE" w:rsidRPr="00235B8A" w:rsidRDefault="003A35EE">
            <w:pPr>
              <w:rPr>
                <w:rFonts w:cs="Arial"/>
                <w:color w:val="0070C0"/>
                <w:kern w:val="2"/>
                <w:sz w:val="22"/>
                <w14:ligatures w14:val="standardContextual"/>
              </w:rPr>
            </w:pPr>
            <w:r w:rsidRPr="00235B8A">
              <w:rPr>
                <w:rFonts w:cs="Arial"/>
                <w:color w:val="0070C0"/>
                <w:kern w:val="2"/>
                <w:sz w:val="22"/>
                <w14:ligatures w14:val="standardContextual"/>
              </w:rPr>
              <w:t>Northern Towns Area</w:t>
            </w:r>
          </w:p>
        </w:tc>
        <w:tc>
          <w:tcPr>
            <w:tcW w:w="1549" w:type="dxa"/>
            <w:tcBorders>
              <w:top w:val="nil"/>
              <w:left w:val="nil"/>
              <w:bottom w:val="single" w:sz="4" w:space="0" w:color="auto"/>
              <w:right w:val="single" w:sz="4" w:space="0" w:color="auto"/>
            </w:tcBorders>
            <w:vAlign w:val="bottom"/>
            <w:hideMark/>
          </w:tcPr>
          <w:p w14:paraId="44686612"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590</w:t>
            </w:r>
          </w:p>
        </w:tc>
        <w:tc>
          <w:tcPr>
            <w:tcW w:w="1219" w:type="dxa"/>
            <w:tcBorders>
              <w:top w:val="nil"/>
              <w:left w:val="nil"/>
              <w:bottom w:val="single" w:sz="4" w:space="0" w:color="auto"/>
              <w:right w:val="single" w:sz="4" w:space="0" w:color="auto"/>
            </w:tcBorders>
            <w:vAlign w:val="bottom"/>
            <w:hideMark/>
          </w:tcPr>
          <w:p w14:paraId="742097D4"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2249</w:t>
            </w:r>
          </w:p>
        </w:tc>
        <w:tc>
          <w:tcPr>
            <w:tcW w:w="1389" w:type="dxa"/>
            <w:tcBorders>
              <w:top w:val="nil"/>
              <w:left w:val="nil"/>
              <w:bottom w:val="single" w:sz="4" w:space="0" w:color="auto"/>
              <w:right w:val="single" w:sz="4" w:space="0" w:color="auto"/>
            </w:tcBorders>
            <w:vAlign w:val="bottom"/>
            <w:hideMark/>
          </w:tcPr>
          <w:p w14:paraId="216D914F"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2242</w:t>
            </w:r>
          </w:p>
        </w:tc>
        <w:tc>
          <w:tcPr>
            <w:tcW w:w="1095" w:type="dxa"/>
            <w:tcBorders>
              <w:top w:val="nil"/>
              <w:left w:val="nil"/>
              <w:bottom w:val="single" w:sz="4" w:space="0" w:color="auto"/>
              <w:right w:val="single" w:sz="4" w:space="0" w:color="auto"/>
            </w:tcBorders>
            <w:vAlign w:val="bottom"/>
            <w:hideMark/>
          </w:tcPr>
          <w:p w14:paraId="036C4FC1"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5081</w:t>
            </w:r>
          </w:p>
        </w:tc>
        <w:tc>
          <w:tcPr>
            <w:tcW w:w="1410" w:type="dxa"/>
            <w:tcBorders>
              <w:top w:val="nil"/>
              <w:left w:val="nil"/>
              <w:bottom w:val="single" w:sz="4" w:space="0" w:color="auto"/>
              <w:right w:val="single" w:sz="4" w:space="0" w:color="auto"/>
            </w:tcBorders>
            <w:vAlign w:val="bottom"/>
            <w:hideMark/>
          </w:tcPr>
          <w:p w14:paraId="6D3C6099"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70.3%</w:t>
            </w:r>
          </w:p>
        </w:tc>
        <w:tc>
          <w:tcPr>
            <w:tcW w:w="1352" w:type="dxa"/>
            <w:tcBorders>
              <w:top w:val="nil"/>
              <w:left w:val="nil"/>
              <w:bottom w:val="single" w:sz="4" w:space="0" w:color="auto"/>
              <w:right w:val="single" w:sz="4" w:space="0" w:color="auto"/>
            </w:tcBorders>
            <w:vAlign w:val="bottom"/>
            <w:hideMark/>
          </w:tcPr>
          <w:p w14:paraId="4052C458"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61.1%</w:t>
            </w:r>
          </w:p>
        </w:tc>
      </w:tr>
      <w:tr w:rsidR="00E315F5" w:rsidRPr="00235B8A" w14:paraId="224D69B8" w14:textId="77777777" w:rsidTr="00D37528">
        <w:trPr>
          <w:trHeight w:val="1240"/>
        </w:trPr>
        <w:tc>
          <w:tcPr>
            <w:tcW w:w="1838" w:type="dxa"/>
            <w:tcBorders>
              <w:top w:val="nil"/>
              <w:left w:val="single" w:sz="4" w:space="0" w:color="auto"/>
              <w:bottom w:val="single" w:sz="4" w:space="0" w:color="auto"/>
              <w:right w:val="single" w:sz="4" w:space="0" w:color="auto"/>
            </w:tcBorders>
            <w:vAlign w:val="bottom"/>
            <w:hideMark/>
          </w:tcPr>
          <w:p w14:paraId="28174657" w14:textId="01F6990C" w:rsidR="003A35EE" w:rsidRPr="00235B8A" w:rsidRDefault="003A35EE">
            <w:pPr>
              <w:rPr>
                <w:rFonts w:cs="Arial"/>
                <w:color w:val="0070C0"/>
                <w:kern w:val="2"/>
                <w:sz w:val="22"/>
                <w14:ligatures w14:val="standardContextual"/>
              </w:rPr>
            </w:pPr>
            <w:r w:rsidRPr="00235B8A">
              <w:rPr>
                <w:rFonts w:cs="Arial"/>
                <w:color w:val="0070C0"/>
                <w:kern w:val="2"/>
                <w:sz w:val="22"/>
                <w14:ligatures w14:val="standardContextual"/>
              </w:rPr>
              <w:t>Rural Villages west of M1(</w:t>
            </w:r>
            <w:r w:rsidR="00D37528">
              <w:rPr>
                <w:rFonts w:cs="Arial"/>
                <w:color w:val="0070C0"/>
                <w:kern w:val="2"/>
                <w:sz w:val="22"/>
                <w14:ligatures w14:val="standardContextual"/>
              </w:rPr>
              <w:t>G</w:t>
            </w:r>
            <w:r w:rsidRPr="00235B8A">
              <w:rPr>
                <w:rFonts w:cs="Arial"/>
                <w:color w:val="0070C0"/>
                <w:kern w:val="2"/>
                <w:sz w:val="22"/>
                <w14:ligatures w14:val="standardContextual"/>
              </w:rPr>
              <w:t xml:space="preserve">reen </w:t>
            </w:r>
            <w:r w:rsidR="00D37528">
              <w:rPr>
                <w:rFonts w:cs="Arial"/>
                <w:color w:val="0070C0"/>
                <w:kern w:val="2"/>
                <w:sz w:val="22"/>
                <w14:ligatures w14:val="standardContextual"/>
              </w:rPr>
              <w:t>B</w:t>
            </w:r>
            <w:r w:rsidRPr="00235B8A">
              <w:rPr>
                <w:rFonts w:cs="Arial"/>
                <w:color w:val="0070C0"/>
                <w:kern w:val="2"/>
                <w:sz w:val="22"/>
                <w14:ligatures w14:val="standardContextual"/>
              </w:rPr>
              <w:t>elt Constrained)</w:t>
            </w:r>
          </w:p>
        </w:tc>
        <w:tc>
          <w:tcPr>
            <w:tcW w:w="1549" w:type="dxa"/>
            <w:tcBorders>
              <w:top w:val="nil"/>
              <w:left w:val="nil"/>
              <w:bottom w:val="single" w:sz="4" w:space="0" w:color="auto"/>
              <w:right w:val="single" w:sz="4" w:space="0" w:color="auto"/>
            </w:tcBorders>
            <w:vAlign w:val="bottom"/>
            <w:hideMark/>
          </w:tcPr>
          <w:p w14:paraId="1FF238DF"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11</w:t>
            </w:r>
          </w:p>
        </w:tc>
        <w:tc>
          <w:tcPr>
            <w:tcW w:w="1219" w:type="dxa"/>
            <w:tcBorders>
              <w:top w:val="nil"/>
              <w:left w:val="nil"/>
              <w:bottom w:val="single" w:sz="4" w:space="0" w:color="auto"/>
              <w:right w:val="single" w:sz="4" w:space="0" w:color="auto"/>
            </w:tcBorders>
            <w:vAlign w:val="bottom"/>
            <w:hideMark/>
          </w:tcPr>
          <w:p w14:paraId="2A7C7E82"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129</w:t>
            </w:r>
          </w:p>
        </w:tc>
        <w:tc>
          <w:tcPr>
            <w:tcW w:w="1389" w:type="dxa"/>
            <w:tcBorders>
              <w:top w:val="nil"/>
              <w:left w:val="nil"/>
              <w:bottom w:val="single" w:sz="4" w:space="0" w:color="auto"/>
              <w:right w:val="single" w:sz="4" w:space="0" w:color="auto"/>
            </w:tcBorders>
            <w:vAlign w:val="bottom"/>
            <w:hideMark/>
          </w:tcPr>
          <w:p w14:paraId="050DFD40"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476</w:t>
            </w:r>
          </w:p>
        </w:tc>
        <w:tc>
          <w:tcPr>
            <w:tcW w:w="1095" w:type="dxa"/>
            <w:tcBorders>
              <w:top w:val="nil"/>
              <w:left w:val="nil"/>
              <w:bottom w:val="single" w:sz="4" w:space="0" w:color="auto"/>
              <w:right w:val="single" w:sz="4" w:space="0" w:color="auto"/>
            </w:tcBorders>
            <w:vAlign w:val="bottom"/>
            <w:hideMark/>
          </w:tcPr>
          <w:p w14:paraId="04B92053"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616</w:t>
            </w:r>
          </w:p>
        </w:tc>
        <w:tc>
          <w:tcPr>
            <w:tcW w:w="1410" w:type="dxa"/>
            <w:tcBorders>
              <w:top w:val="nil"/>
              <w:left w:val="nil"/>
              <w:bottom w:val="single" w:sz="4" w:space="0" w:color="auto"/>
              <w:right w:val="single" w:sz="4" w:space="0" w:color="auto"/>
            </w:tcBorders>
            <w:vAlign w:val="bottom"/>
            <w:hideMark/>
          </w:tcPr>
          <w:p w14:paraId="4D19B9BD"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8.5%</w:t>
            </w:r>
          </w:p>
        </w:tc>
        <w:tc>
          <w:tcPr>
            <w:tcW w:w="1352" w:type="dxa"/>
            <w:tcBorders>
              <w:top w:val="nil"/>
              <w:left w:val="nil"/>
              <w:bottom w:val="single" w:sz="4" w:space="0" w:color="auto"/>
              <w:right w:val="single" w:sz="4" w:space="0" w:color="auto"/>
            </w:tcBorders>
            <w:vAlign w:val="bottom"/>
            <w:hideMark/>
          </w:tcPr>
          <w:p w14:paraId="6EF75A3B"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10.1%</w:t>
            </w:r>
          </w:p>
        </w:tc>
      </w:tr>
      <w:tr w:rsidR="00E315F5" w:rsidRPr="00235B8A" w14:paraId="441422FC" w14:textId="77777777" w:rsidTr="00D37528">
        <w:trPr>
          <w:trHeight w:val="960"/>
        </w:trPr>
        <w:tc>
          <w:tcPr>
            <w:tcW w:w="1838" w:type="dxa"/>
            <w:tcBorders>
              <w:top w:val="nil"/>
              <w:left w:val="single" w:sz="4" w:space="0" w:color="auto"/>
              <w:bottom w:val="single" w:sz="4" w:space="0" w:color="auto"/>
              <w:right w:val="single" w:sz="4" w:space="0" w:color="auto"/>
            </w:tcBorders>
            <w:vAlign w:val="bottom"/>
            <w:hideMark/>
          </w:tcPr>
          <w:p w14:paraId="0EDD7B0F" w14:textId="1D572D89" w:rsidR="003A35EE" w:rsidRPr="00235B8A" w:rsidRDefault="005C6551">
            <w:pPr>
              <w:rPr>
                <w:rFonts w:cs="Arial"/>
                <w:color w:val="0070C0"/>
                <w:kern w:val="2"/>
                <w:sz w:val="22"/>
                <w14:ligatures w14:val="standardContextual"/>
              </w:rPr>
            </w:pPr>
            <w:r w:rsidRPr="00235B8A">
              <w:rPr>
                <w:rFonts w:cs="Arial"/>
                <w:color w:val="0070C0"/>
                <w:kern w:val="2"/>
                <w:sz w:val="22"/>
                <w14:ligatures w14:val="standardContextual"/>
              </w:rPr>
              <w:t>Southern Town</w:t>
            </w:r>
            <w:r w:rsidR="003A35EE" w:rsidRPr="00235B8A">
              <w:rPr>
                <w:rFonts w:cs="Arial"/>
                <w:color w:val="0070C0"/>
                <w:kern w:val="2"/>
                <w:sz w:val="22"/>
                <w14:ligatures w14:val="standardContextual"/>
              </w:rPr>
              <w:t xml:space="preserve"> Area (</w:t>
            </w:r>
            <w:r w:rsidR="00D37528">
              <w:rPr>
                <w:rFonts w:cs="Arial"/>
                <w:color w:val="0070C0"/>
                <w:kern w:val="2"/>
                <w:sz w:val="22"/>
                <w14:ligatures w14:val="standardContextual"/>
              </w:rPr>
              <w:t>G</w:t>
            </w:r>
            <w:r w:rsidR="003A35EE" w:rsidRPr="00235B8A">
              <w:rPr>
                <w:rFonts w:cs="Arial"/>
                <w:color w:val="0070C0"/>
                <w:kern w:val="2"/>
                <w:sz w:val="22"/>
                <w14:ligatures w14:val="standardContextual"/>
              </w:rPr>
              <w:t xml:space="preserve">reen </w:t>
            </w:r>
            <w:r w:rsidR="00D37528">
              <w:rPr>
                <w:rFonts w:cs="Arial"/>
                <w:color w:val="0070C0"/>
                <w:kern w:val="2"/>
                <w:sz w:val="22"/>
                <w14:ligatures w14:val="standardContextual"/>
              </w:rPr>
              <w:t>B</w:t>
            </w:r>
            <w:r w:rsidR="003A35EE" w:rsidRPr="00235B8A">
              <w:rPr>
                <w:rFonts w:cs="Arial"/>
                <w:color w:val="0070C0"/>
                <w:kern w:val="2"/>
                <w:sz w:val="22"/>
                <w14:ligatures w14:val="standardContextual"/>
              </w:rPr>
              <w:t>elt constrained)</w:t>
            </w:r>
          </w:p>
        </w:tc>
        <w:tc>
          <w:tcPr>
            <w:tcW w:w="1549" w:type="dxa"/>
            <w:tcBorders>
              <w:top w:val="nil"/>
              <w:left w:val="nil"/>
              <w:bottom w:val="single" w:sz="4" w:space="0" w:color="auto"/>
              <w:right w:val="single" w:sz="4" w:space="0" w:color="auto"/>
            </w:tcBorders>
            <w:vAlign w:val="bottom"/>
            <w:hideMark/>
          </w:tcPr>
          <w:p w14:paraId="61C69F4D"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306</w:t>
            </w:r>
          </w:p>
        </w:tc>
        <w:tc>
          <w:tcPr>
            <w:tcW w:w="1219" w:type="dxa"/>
            <w:tcBorders>
              <w:top w:val="nil"/>
              <w:left w:val="nil"/>
              <w:bottom w:val="single" w:sz="4" w:space="0" w:color="auto"/>
              <w:right w:val="single" w:sz="4" w:space="0" w:color="auto"/>
            </w:tcBorders>
            <w:vAlign w:val="bottom"/>
            <w:hideMark/>
          </w:tcPr>
          <w:p w14:paraId="1BDA374C"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461</w:t>
            </w:r>
          </w:p>
        </w:tc>
        <w:tc>
          <w:tcPr>
            <w:tcW w:w="1389" w:type="dxa"/>
            <w:tcBorders>
              <w:top w:val="nil"/>
              <w:left w:val="nil"/>
              <w:bottom w:val="single" w:sz="4" w:space="0" w:color="auto"/>
              <w:right w:val="single" w:sz="4" w:space="0" w:color="auto"/>
            </w:tcBorders>
            <w:vAlign w:val="bottom"/>
            <w:hideMark/>
          </w:tcPr>
          <w:p w14:paraId="1D882EC9"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759</w:t>
            </w:r>
          </w:p>
        </w:tc>
        <w:tc>
          <w:tcPr>
            <w:tcW w:w="1095" w:type="dxa"/>
            <w:tcBorders>
              <w:top w:val="nil"/>
              <w:left w:val="nil"/>
              <w:bottom w:val="single" w:sz="4" w:space="0" w:color="auto"/>
              <w:right w:val="single" w:sz="4" w:space="0" w:color="auto"/>
            </w:tcBorders>
            <w:vAlign w:val="bottom"/>
            <w:hideMark/>
          </w:tcPr>
          <w:p w14:paraId="0C779623"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1526</w:t>
            </w:r>
          </w:p>
        </w:tc>
        <w:tc>
          <w:tcPr>
            <w:tcW w:w="1410" w:type="dxa"/>
            <w:tcBorders>
              <w:top w:val="nil"/>
              <w:left w:val="nil"/>
              <w:bottom w:val="single" w:sz="4" w:space="0" w:color="auto"/>
              <w:right w:val="single" w:sz="4" w:space="0" w:color="auto"/>
            </w:tcBorders>
            <w:vAlign w:val="bottom"/>
            <w:hideMark/>
          </w:tcPr>
          <w:p w14:paraId="62C76A45"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21.1%</w:t>
            </w:r>
          </w:p>
        </w:tc>
        <w:tc>
          <w:tcPr>
            <w:tcW w:w="1352" w:type="dxa"/>
            <w:tcBorders>
              <w:top w:val="nil"/>
              <w:left w:val="nil"/>
              <w:bottom w:val="single" w:sz="4" w:space="0" w:color="auto"/>
              <w:right w:val="single" w:sz="4" w:space="0" w:color="auto"/>
            </w:tcBorders>
            <w:vAlign w:val="bottom"/>
            <w:hideMark/>
          </w:tcPr>
          <w:p w14:paraId="1744C3B1" w14:textId="77777777" w:rsidR="003A35EE" w:rsidRPr="00235B8A" w:rsidRDefault="003A35EE">
            <w:pPr>
              <w:jc w:val="right"/>
              <w:rPr>
                <w:rFonts w:cs="Arial"/>
                <w:color w:val="0070C0"/>
                <w:kern w:val="2"/>
                <w:sz w:val="22"/>
                <w14:ligatures w14:val="standardContextual"/>
              </w:rPr>
            </w:pPr>
            <w:r w:rsidRPr="00235B8A">
              <w:rPr>
                <w:rFonts w:cs="Arial"/>
                <w:color w:val="0070C0"/>
                <w:kern w:val="2"/>
                <w:sz w:val="22"/>
                <w14:ligatures w14:val="standardContextual"/>
              </w:rPr>
              <w:t>28.8%</w:t>
            </w:r>
          </w:p>
        </w:tc>
      </w:tr>
      <w:tr w:rsidR="00E315F5" w:rsidRPr="00235B8A" w14:paraId="3B2E5A73" w14:textId="77777777" w:rsidTr="00D37528">
        <w:trPr>
          <w:trHeight w:val="720"/>
        </w:trPr>
        <w:tc>
          <w:tcPr>
            <w:tcW w:w="1838" w:type="dxa"/>
            <w:tcBorders>
              <w:top w:val="nil"/>
              <w:left w:val="single" w:sz="4" w:space="0" w:color="auto"/>
              <w:bottom w:val="single" w:sz="4" w:space="0" w:color="auto"/>
              <w:right w:val="single" w:sz="4" w:space="0" w:color="auto"/>
            </w:tcBorders>
            <w:vAlign w:val="bottom"/>
            <w:hideMark/>
          </w:tcPr>
          <w:p w14:paraId="538EF48A" w14:textId="77777777" w:rsidR="003A35EE" w:rsidRPr="00235B8A" w:rsidRDefault="003A35EE">
            <w:pPr>
              <w:rPr>
                <w:rFonts w:cs="Arial"/>
                <w:b/>
                <w:bCs/>
                <w:color w:val="0070C0"/>
                <w:kern w:val="2"/>
                <w:sz w:val="22"/>
                <w14:ligatures w14:val="standardContextual"/>
              </w:rPr>
            </w:pPr>
            <w:r w:rsidRPr="00235B8A">
              <w:rPr>
                <w:rFonts w:cs="Arial"/>
                <w:b/>
                <w:bCs/>
                <w:color w:val="0070C0"/>
                <w:kern w:val="2"/>
                <w:sz w:val="22"/>
                <w14:ligatures w14:val="standardContextual"/>
              </w:rPr>
              <w:t>Ashfield District Total</w:t>
            </w:r>
          </w:p>
        </w:tc>
        <w:tc>
          <w:tcPr>
            <w:tcW w:w="1549" w:type="dxa"/>
            <w:tcBorders>
              <w:top w:val="nil"/>
              <w:left w:val="nil"/>
              <w:bottom w:val="single" w:sz="4" w:space="0" w:color="auto"/>
              <w:right w:val="single" w:sz="4" w:space="0" w:color="auto"/>
            </w:tcBorders>
            <w:vAlign w:val="bottom"/>
            <w:hideMark/>
          </w:tcPr>
          <w:p w14:paraId="2E48278D" w14:textId="77777777" w:rsidR="003A35EE" w:rsidRPr="00235B8A" w:rsidRDefault="003A35EE">
            <w:pPr>
              <w:jc w:val="right"/>
              <w:rPr>
                <w:rFonts w:cs="Arial"/>
                <w:b/>
                <w:bCs/>
                <w:color w:val="0070C0"/>
                <w:kern w:val="2"/>
                <w:sz w:val="22"/>
                <w14:ligatures w14:val="standardContextual"/>
              </w:rPr>
            </w:pPr>
            <w:r w:rsidRPr="00235B8A">
              <w:rPr>
                <w:rFonts w:cs="Arial"/>
                <w:b/>
                <w:bCs/>
                <w:color w:val="0070C0"/>
                <w:kern w:val="2"/>
                <w:sz w:val="22"/>
                <w14:ligatures w14:val="standardContextual"/>
              </w:rPr>
              <w:t>907</w:t>
            </w:r>
          </w:p>
        </w:tc>
        <w:tc>
          <w:tcPr>
            <w:tcW w:w="1219" w:type="dxa"/>
            <w:tcBorders>
              <w:top w:val="nil"/>
              <w:left w:val="nil"/>
              <w:bottom w:val="single" w:sz="4" w:space="0" w:color="auto"/>
              <w:right w:val="single" w:sz="4" w:space="0" w:color="auto"/>
            </w:tcBorders>
            <w:vAlign w:val="bottom"/>
            <w:hideMark/>
          </w:tcPr>
          <w:p w14:paraId="212228C3" w14:textId="77777777" w:rsidR="003A35EE" w:rsidRPr="00235B8A" w:rsidRDefault="003A35EE">
            <w:pPr>
              <w:jc w:val="right"/>
              <w:rPr>
                <w:rFonts w:cs="Arial"/>
                <w:b/>
                <w:bCs/>
                <w:color w:val="0070C0"/>
                <w:kern w:val="2"/>
                <w:sz w:val="22"/>
                <w14:ligatures w14:val="standardContextual"/>
              </w:rPr>
            </w:pPr>
            <w:r w:rsidRPr="00235B8A">
              <w:rPr>
                <w:rFonts w:cs="Arial"/>
                <w:b/>
                <w:bCs/>
                <w:color w:val="0070C0"/>
                <w:kern w:val="2"/>
                <w:sz w:val="22"/>
                <w14:ligatures w14:val="standardContextual"/>
              </w:rPr>
              <w:t>2839</w:t>
            </w:r>
          </w:p>
        </w:tc>
        <w:tc>
          <w:tcPr>
            <w:tcW w:w="1389" w:type="dxa"/>
            <w:tcBorders>
              <w:top w:val="nil"/>
              <w:left w:val="nil"/>
              <w:bottom w:val="single" w:sz="4" w:space="0" w:color="auto"/>
              <w:right w:val="single" w:sz="4" w:space="0" w:color="auto"/>
            </w:tcBorders>
            <w:vAlign w:val="bottom"/>
            <w:hideMark/>
          </w:tcPr>
          <w:p w14:paraId="368280D4" w14:textId="77777777" w:rsidR="003A35EE" w:rsidRPr="00235B8A" w:rsidRDefault="003A35EE">
            <w:pPr>
              <w:jc w:val="right"/>
              <w:rPr>
                <w:rFonts w:cs="Arial"/>
                <w:b/>
                <w:bCs/>
                <w:color w:val="0070C0"/>
                <w:kern w:val="2"/>
                <w:sz w:val="22"/>
                <w14:ligatures w14:val="standardContextual"/>
              </w:rPr>
            </w:pPr>
            <w:r w:rsidRPr="00235B8A">
              <w:rPr>
                <w:rFonts w:cs="Arial"/>
                <w:b/>
                <w:bCs/>
                <w:color w:val="0070C0"/>
                <w:kern w:val="2"/>
                <w:sz w:val="22"/>
                <w14:ligatures w14:val="standardContextual"/>
              </w:rPr>
              <w:t>3477</w:t>
            </w:r>
          </w:p>
        </w:tc>
        <w:tc>
          <w:tcPr>
            <w:tcW w:w="1095" w:type="dxa"/>
            <w:tcBorders>
              <w:top w:val="nil"/>
              <w:left w:val="nil"/>
              <w:bottom w:val="single" w:sz="4" w:space="0" w:color="auto"/>
              <w:right w:val="single" w:sz="4" w:space="0" w:color="auto"/>
            </w:tcBorders>
            <w:vAlign w:val="bottom"/>
            <w:hideMark/>
          </w:tcPr>
          <w:p w14:paraId="47952380" w14:textId="77777777" w:rsidR="003A35EE" w:rsidRPr="00235B8A" w:rsidRDefault="003A35EE">
            <w:pPr>
              <w:jc w:val="right"/>
              <w:rPr>
                <w:rFonts w:cs="Arial"/>
                <w:b/>
                <w:bCs/>
                <w:color w:val="0070C0"/>
                <w:kern w:val="2"/>
                <w:sz w:val="22"/>
                <w14:ligatures w14:val="standardContextual"/>
              </w:rPr>
            </w:pPr>
            <w:r w:rsidRPr="00235B8A">
              <w:rPr>
                <w:rFonts w:cs="Arial"/>
                <w:b/>
                <w:bCs/>
                <w:color w:val="0070C0"/>
                <w:kern w:val="2"/>
                <w:sz w:val="22"/>
                <w14:ligatures w14:val="standardContextual"/>
              </w:rPr>
              <w:t>7223</w:t>
            </w:r>
          </w:p>
        </w:tc>
        <w:tc>
          <w:tcPr>
            <w:tcW w:w="1410" w:type="dxa"/>
            <w:tcBorders>
              <w:top w:val="nil"/>
              <w:left w:val="nil"/>
              <w:bottom w:val="single" w:sz="4" w:space="0" w:color="auto"/>
              <w:right w:val="single" w:sz="4" w:space="0" w:color="auto"/>
            </w:tcBorders>
            <w:vAlign w:val="bottom"/>
            <w:hideMark/>
          </w:tcPr>
          <w:p w14:paraId="3F7FC136" w14:textId="77777777" w:rsidR="003A35EE" w:rsidRPr="00235B8A" w:rsidRDefault="003A35EE">
            <w:pPr>
              <w:jc w:val="right"/>
              <w:rPr>
                <w:rFonts w:cs="Arial"/>
                <w:b/>
                <w:bCs/>
                <w:color w:val="0070C0"/>
                <w:kern w:val="2"/>
                <w:sz w:val="22"/>
                <w14:ligatures w14:val="standardContextual"/>
              </w:rPr>
            </w:pPr>
            <w:r w:rsidRPr="00235B8A">
              <w:rPr>
                <w:rFonts w:cs="Arial"/>
                <w:b/>
                <w:bCs/>
                <w:color w:val="0070C0"/>
                <w:kern w:val="2"/>
                <w:sz w:val="22"/>
                <w14:ligatures w14:val="standardContextual"/>
              </w:rPr>
              <w:t>100.0%</w:t>
            </w:r>
          </w:p>
        </w:tc>
        <w:tc>
          <w:tcPr>
            <w:tcW w:w="1352" w:type="dxa"/>
            <w:tcBorders>
              <w:top w:val="nil"/>
              <w:left w:val="nil"/>
              <w:bottom w:val="single" w:sz="4" w:space="0" w:color="auto"/>
              <w:right w:val="single" w:sz="4" w:space="0" w:color="auto"/>
            </w:tcBorders>
            <w:vAlign w:val="bottom"/>
            <w:hideMark/>
          </w:tcPr>
          <w:p w14:paraId="23241B0C" w14:textId="77777777" w:rsidR="003A35EE" w:rsidRPr="00235B8A" w:rsidRDefault="003A35EE">
            <w:pPr>
              <w:jc w:val="right"/>
              <w:rPr>
                <w:rFonts w:cs="Arial"/>
                <w:b/>
                <w:bCs/>
                <w:color w:val="0070C0"/>
                <w:kern w:val="2"/>
                <w:sz w:val="22"/>
                <w14:ligatures w14:val="standardContextual"/>
              </w:rPr>
            </w:pPr>
            <w:r w:rsidRPr="00235B8A">
              <w:rPr>
                <w:rFonts w:cs="Arial"/>
                <w:b/>
                <w:bCs/>
                <w:color w:val="0070C0"/>
                <w:kern w:val="2"/>
                <w:sz w:val="22"/>
                <w14:ligatures w14:val="standardContextual"/>
              </w:rPr>
              <w:t>100.0%</w:t>
            </w:r>
          </w:p>
        </w:tc>
      </w:tr>
    </w:tbl>
    <w:p w14:paraId="17EB132D" w14:textId="68CEE154" w:rsidR="0021547A" w:rsidRDefault="0021547A" w:rsidP="00D53E67">
      <w:pPr>
        <w:keepNext w:val="0"/>
        <w:spacing w:before="0"/>
        <w:ind w:left="720" w:hanging="720"/>
        <w:rPr>
          <w:rFonts w:cs="Arial"/>
          <w:color w:val="000000"/>
          <w:sz w:val="20"/>
        </w:rPr>
      </w:pPr>
      <w:r w:rsidRPr="0021547A">
        <w:rPr>
          <w:rFonts w:cs="Arial"/>
          <w:color w:val="000000"/>
          <w:sz w:val="22"/>
          <w:szCs w:val="22"/>
        </w:rPr>
        <w:t>*</w:t>
      </w:r>
      <w:r w:rsidRPr="0021547A">
        <w:rPr>
          <w:rFonts w:cs="Arial"/>
          <w:color w:val="000000"/>
          <w:sz w:val="20"/>
        </w:rPr>
        <w:t>All sites with planning permission (including small sites), Planning in Principle or permitted development</w:t>
      </w:r>
    </w:p>
    <w:p w14:paraId="1A0C0D00" w14:textId="75B0164F" w:rsidR="006A5605" w:rsidRPr="003E3BD8" w:rsidRDefault="006A5605" w:rsidP="000447CA">
      <w:pPr>
        <w:pStyle w:val="Heading3"/>
      </w:pPr>
      <w:r w:rsidRPr="009D5737">
        <w:rPr>
          <w:color w:val="000000"/>
        </w:rPr>
        <w:t xml:space="preserve">Table 1: </w:t>
      </w:r>
      <w:r w:rsidRPr="009D5737">
        <w:t>Distribution of New Housing</w:t>
      </w:r>
      <w:r w:rsidR="001C7722" w:rsidRPr="009D5737">
        <w:t xml:space="preserve"> Development by Geographical Area</w:t>
      </w:r>
      <w:r w:rsidR="00D53E67">
        <w:t xml:space="preserve"> </w:t>
      </w:r>
      <w:r w:rsidR="00D53E67" w:rsidRPr="00D53E67">
        <w:rPr>
          <w:color w:val="0070C0"/>
        </w:rPr>
        <w:t>(Dwellings)</w:t>
      </w:r>
      <w:r w:rsidR="003A35EE" w:rsidRPr="00D53E67">
        <w:rPr>
          <w:color w:val="0070C0"/>
        </w:rPr>
        <w:t xml:space="preserve">: October </w:t>
      </w:r>
      <w:proofErr w:type="gramStart"/>
      <w:r w:rsidR="003A35EE" w:rsidRPr="00D53E67">
        <w:rPr>
          <w:color w:val="0070C0"/>
        </w:rPr>
        <w:t>2025</w:t>
      </w:r>
      <w:r w:rsidR="003E3BD8">
        <w:rPr>
          <w:color w:val="0070C0"/>
        </w:rPr>
        <w:t xml:space="preserve">  </w:t>
      </w:r>
      <w:r w:rsidRPr="003E3BD8">
        <w:t>Source</w:t>
      </w:r>
      <w:proofErr w:type="gramEnd"/>
      <w:r w:rsidRPr="003E3BD8">
        <w:t>: Ashfield District Council</w:t>
      </w:r>
    </w:p>
    <w:p w14:paraId="31A43DD5" w14:textId="77777777" w:rsidR="00B553F3" w:rsidRDefault="00B553F3" w:rsidP="001C7722">
      <w:pPr>
        <w:ind w:firstLine="720"/>
        <w:rPr>
          <w:b/>
          <w:bCs/>
          <w:color w:val="0070C0"/>
        </w:rPr>
      </w:pPr>
    </w:p>
    <w:p w14:paraId="406D8136" w14:textId="6257351B" w:rsidR="00B553F3" w:rsidRPr="003247B5" w:rsidRDefault="00B553F3" w:rsidP="00757034">
      <w:pPr>
        <w:keepNext w:val="0"/>
        <w:autoSpaceDE w:val="0"/>
        <w:autoSpaceDN w:val="0"/>
        <w:adjustRightInd w:val="0"/>
        <w:spacing w:before="0"/>
        <w:ind w:left="567"/>
        <w:rPr>
          <w:color w:val="0070C0"/>
        </w:rPr>
      </w:pPr>
      <w:r w:rsidRPr="003247B5">
        <w:rPr>
          <w:color w:val="0070C0"/>
        </w:rPr>
        <w:t xml:space="preserve">Table 1 demonstrates the implementation of the dispersed development strategy, Table </w:t>
      </w:r>
      <w:r w:rsidR="003A35EE" w:rsidRPr="003247B5">
        <w:rPr>
          <w:color w:val="0070C0"/>
        </w:rPr>
        <w:t>1a</w:t>
      </w:r>
      <w:r w:rsidRPr="003247B5">
        <w:rPr>
          <w:color w:val="0070C0"/>
        </w:rPr>
        <w:t xml:space="preserve">, below illustrates how planned development fits with the Settlement Hierarchy in accordance with Policy S1. This includes pipeline projects which already have planning consent and in some cases are under construction, in addition to new site allocations proposed through the Local Plan. The table </w:t>
      </w:r>
      <w:r w:rsidR="003247B5" w:rsidRPr="003247B5">
        <w:rPr>
          <w:color w:val="0070C0"/>
        </w:rPr>
        <w:t xml:space="preserve">summarises detailed data </w:t>
      </w:r>
      <w:r w:rsidR="003247B5" w:rsidRPr="003247B5">
        <w:rPr>
          <w:color w:val="0070C0"/>
        </w:rPr>
        <w:lastRenderedPageBreak/>
        <w:t xml:space="preserve">included at Appendix 2a and </w:t>
      </w:r>
      <w:r w:rsidRPr="003247B5">
        <w:rPr>
          <w:color w:val="0070C0"/>
        </w:rPr>
        <w:t>demonstrates that</w:t>
      </w:r>
      <w:r w:rsidR="003A35EE" w:rsidRPr="003247B5">
        <w:rPr>
          <w:color w:val="0070C0"/>
        </w:rPr>
        <w:t xml:space="preserve"> p</w:t>
      </w:r>
      <w:r w:rsidRPr="003247B5">
        <w:rPr>
          <w:color w:val="0070C0"/>
        </w:rPr>
        <w:t>lanned housing growth is consistent with the identified settlement hierarchy</w:t>
      </w:r>
      <w:r w:rsidR="003247B5" w:rsidRPr="00184119">
        <w:rPr>
          <w:color w:val="0070C0"/>
        </w:rPr>
        <w:t xml:space="preserve">. </w:t>
      </w:r>
    </w:p>
    <w:p w14:paraId="0D63D5B0" w14:textId="33924FC5" w:rsidR="003E14D3" w:rsidRDefault="003E14D3" w:rsidP="003E14D3">
      <w:pPr>
        <w:ind w:left="720"/>
        <w:rPr>
          <w:color w:val="5B9BD5" w:themeColor="accent5"/>
        </w:rPr>
      </w:pPr>
    </w:p>
    <w:tbl>
      <w:tblPr>
        <w:tblStyle w:val="TableGrid"/>
        <w:tblW w:w="8789" w:type="dxa"/>
        <w:tblInd w:w="562" w:type="dxa"/>
        <w:tblLook w:val="04A0" w:firstRow="1" w:lastRow="0" w:firstColumn="1" w:lastColumn="0" w:noHBand="0" w:noVBand="1"/>
      </w:tblPr>
      <w:tblGrid>
        <w:gridCol w:w="5371"/>
        <w:gridCol w:w="3418"/>
      </w:tblGrid>
      <w:tr w:rsidR="003E14D3" w14:paraId="05876117" w14:textId="77777777" w:rsidTr="003E14D3">
        <w:trPr>
          <w:trHeight w:val="1035"/>
        </w:trPr>
        <w:tc>
          <w:tcPr>
            <w:tcW w:w="5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098546" w14:textId="77777777" w:rsidR="003E14D3" w:rsidRPr="00E56F9C" w:rsidRDefault="003E14D3">
            <w:pPr>
              <w:rPr>
                <w:color w:val="005EAC"/>
              </w:rPr>
            </w:pPr>
            <w:r w:rsidRPr="00E56F9C">
              <w:rPr>
                <w:color w:val="005EAC"/>
              </w:rPr>
              <w:t>Settlement Hierarchy (Policy S1)</w:t>
            </w:r>
          </w:p>
        </w:tc>
        <w:tc>
          <w:tcPr>
            <w:tcW w:w="3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CBFCF4A" w14:textId="6C6CBCEC" w:rsidR="003E14D3" w:rsidRPr="00E56F9C" w:rsidRDefault="003E14D3">
            <w:pPr>
              <w:rPr>
                <w:color w:val="005EAC"/>
              </w:rPr>
            </w:pPr>
            <w:r w:rsidRPr="00E56F9C">
              <w:rPr>
                <w:color w:val="005EAC"/>
              </w:rPr>
              <w:t>Distribution including all Housing Sites</w:t>
            </w:r>
          </w:p>
          <w:p w14:paraId="65804942" w14:textId="72F8C99F" w:rsidR="003E14D3" w:rsidRPr="00E56F9C" w:rsidRDefault="003E14D3">
            <w:pPr>
              <w:rPr>
                <w:color w:val="005EAC"/>
              </w:rPr>
            </w:pPr>
          </w:p>
        </w:tc>
      </w:tr>
      <w:tr w:rsidR="003E14D3" w14:paraId="6017D366" w14:textId="77777777" w:rsidTr="003E14D3">
        <w:trPr>
          <w:trHeight w:val="397"/>
        </w:trPr>
        <w:tc>
          <w:tcPr>
            <w:tcW w:w="5371" w:type="dxa"/>
            <w:tcBorders>
              <w:top w:val="single" w:sz="4" w:space="0" w:color="auto"/>
              <w:left w:val="single" w:sz="4" w:space="0" w:color="auto"/>
              <w:bottom w:val="single" w:sz="4" w:space="0" w:color="auto"/>
              <w:right w:val="single" w:sz="4" w:space="0" w:color="auto"/>
            </w:tcBorders>
            <w:hideMark/>
          </w:tcPr>
          <w:p w14:paraId="35A4695A" w14:textId="77777777" w:rsidR="003E14D3" w:rsidRPr="003E14D3" w:rsidRDefault="003E14D3">
            <w:pPr>
              <w:rPr>
                <w:color w:val="0070C0"/>
              </w:rPr>
            </w:pPr>
            <w:r w:rsidRPr="003E14D3">
              <w:rPr>
                <w:color w:val="0070C0"/>
              </w:rPr>
              <w:t>Tier a): Main Urban Areas</w:t>
            </w:r>
          </w:p>
        </w:tc>
        <w:tc>
          <w:tcPr>
            <w:tcW w:w="3418" w:type="dxa"/>
            <w:tcBorders>
              <w:top w:val="single" w:sz="4" w:space="0" w:color="auto"/>
              <w:left w:val="single" w:sz="4" w:space="0" w:color="auto"/>
              <w:bottom w:val="single" w:sz="4" w:space="0" w:color="auto"/>
              <w:right w:val="single" w:sz="4" w:space="0" w:color="auto"/>
            </w:tcBorders>
            <w:hideMark/>
          </w:tcPr>
          <w:p w14:paraId="30B6639A" w14:textId="77777777" w:rsidR="003E14D3" w:rsidRPr="003E14D3" w:rsidRDefault="003E14D3">
            <w:pPr>
              <w:jc w:val="center"/>
              <w:rPr>
                <w:color w:val="0070C0"/>
              </w:rPr>
            </w:pPr>
            <w:r w:rsidRPr="003E14D3">
              <w:rPr>
                <w:color w:val="0070C0"/>
              </w:rPr>
              <w:t>88%</w:t>
            </w:r>
          </w:p>
        </w:tc>
      </w:tr>
      <w:tr w:rsidR="003E14D3" w14:paraId="04BFC831" w14:textId="77777777" w:rsidTr="003E14D3">
        <w:trPr>
          <w:trHeight w:val="397"/>
        </w:trPr>
        <w:tc>
          <w:tcPr>
            <w:tcW w:w="5371" w:type="dxa"/>
            <w:tcBorders>
              <w:top w:val="single" w:sz="4" w:space="0" w:color="auto"/>
              <w:left w:val="single" w:sz="4" w:space="0" w:color="auto"/>
              <w:bottom w:val="single" w:sz="4" w:space="0" w:color="auto"/>
              <w:right w:val="single" w:sz="4" w:space="0" w:color="auto"/>
            </w:tcBorders>
            <w:hideMark/>
          </w:tcPr>
          <w:p w14:paraId="0D15E2B3" w14:textId="77777777" w:rsidR="003E14D3" w:rsidRPr="003E14D3" w:rsidRDefault="003E14D3">
            <w:pPr>
              <w:rPr>
                <w:color w:val="0070C0"/>
              </w:rPr>
            </w:pPr>
            <w:r w:rsidRPr="003E14D3">
              <w:rPr>
                <w:color w:val="0070C0"/>
              </w:rPr>
              <w:t>Tier b): Strategic Employment Areas</w:t>
            </w:r>
          </w:p>
        </w:tc>
        <w:tc>
          <w:tcPr>
            <w:tcW w:w="3418" w:type="dxa"/>
            <w:tcBorders>
              <w:top w:val="single" w:sz="4" w:space="0" w:color="auto"/>
              <w:left w:val="single" w:sz="4" w:space="0" w:color="auto"/>
              <w:bottom w:val="single" w:sz="4" w:space="0" w:color="auto"/>
              <w:right w:val="single" w:sz="4" w:space="0" w:color="auto"/>
            </w:tcBorders>
            <w:hideMark/>
          </w:tcPr>
          <w:p w14:paraId="61E40C7B" w14:textId="77777777" w:rsidR="003E14D3" w:rsidRPr="003E14D3" w:rsidRDefault="003E14D3">
            <w:pPr>
              <w:jc w:val="center"/>
              <w:rPr>
                <w:color w:val="0070C0"/>
              </w:rPr>
            </w:pPr>
            <w:r w:rsidRPr="003E14D3">
              <w:rPr>
                <w:color w:val="0070C0"/>
              </w:rPr>
              <w:t>N/A</w:t>
            </w:r>
          </w:p>
        </w:tc>
      </w:tr>
      <w:tr w:rsidR="003E14D3" w14:paraId="52CBFDBD" w14:textId="77777777" w:rsidTr="003E14D3">
        <w:trPr>
          <w:trHeight w:val="397"/>
        </w:trPr>
        <w:tc>
          <w:tcPr>
            <w:tcW w:w="5371" w:type="dxa"/>
            <w:tcBorders>
              <w:top w:val="single" w:sz="4" w:space="0" w:color="auto"/>
              <w:left w:val="single" w:sz="4" w:space="0" w:color="auto"/>
              <w:bottom w:val="single" w:sz="4" w:space="0" w:color="auto"/>
              <w:right w:val="single" w:sz="4" w:space="0" w:color="auto"/>
            </w:tcBorders>
            <w:hideMark/>
          </w:tcPr>
          <w:p w14:paraId="4C6FBCCB" w14:textId="77777777" w:rsidR="003E14D3" w:rsidRPr="003E14D3" w:rsidRDefault="003E14D3">
            <w:pPr>
              <w:rPr>
                <w:color w:val="0070C0"/>
              </w:rPr>
            </w:pPr>
            <w:r w:rsidRPr="003E14D3">
              <w:rPr>
                <w:color w:val="0070C0"/>
              </w:rPr>
              <w:t>Tier c): Named Settlements</w:t>
            </w:r>
          </w:p>
        </w:tc>
        <w:tc>
          <w:tcPr>
            <w:tcW w:w="3418" w:type="dxa"/>
            <w:tcBorders>
              <w:top w:val="single" w:sz="4" w:space="0" w:color="auto"/>
              <w:left w:val="single" w:sz="4" w:space="0" w:color="auto"/>
              <w:bottom w:val="single" w:sz="4" w:space="0" w:color="auto"/>
              <w:right w:val="single" w:sz="4" w:space="0" w:color="auto"/>
            </w:tcBorders>
            <w:hideMark/>
          </w:tcPr>
          <w:p w14:paraId="2ACB42BC" w14:textId="77777777" w:rsidR="003E14D3" w:rsidRPr="003E14D3" w:rsidRDefault="003E14D3">
            <w:pPr>
              <w:jc w:val="center"/>
              <w:rPr>
                <w:color w:val="0070C0"/>
              </w:rPr>
            </w:pPr>
            <w:r w:rsidRPr="003E14D3">
              <w:rPr>
                <w:color w:val="0070C0"/>
              </w:rPr>
              <w:t>10%</w:t>
            </w:r>
          </w:p>
        </w:tc>
      </w:tr>
      <w:tr w:rsidR="003E14D3" w14:paraId="56B67469" w14:textId="77777777" w:rsidTr="003E14D3">
        <w:trPr>
          <w:trHeight w:val="397"/>
        </w:trPr>
        <w:tc>
          <w:tcPr>
            <w:tcW w:w="5371" w:type="dxa"/>
            <w:tcBorders>
              <w:top w:val="single" w:sz="4" w:space="0" w:color="auto"/>
              <w:left w:val="single" w:sz="4" w:space="0" w:color="auto"/>
              <w:bottom w:val="single" w:sz="4" w:space="0" w:color="auto"/>
              <w:right w:val="single" w:sz="4" w:space="0" w:color="auto"/>
            </w:tcBorders>
            <w:hideMark/>
          </w:tcPr>
          <w:p w14:paraId="76D21486" w14:textId="77777777" w:rsidR="003E14D3" w:rsidRPr="003E14D3" w:rsidRDefault="003E14D3">
            <w:pPr>
              <w:rPr>
                <w:color w:val="0070C0"/>
              </w:rPr>
            </w:pPr>
            <w:r w:rsidRPr="003E14D3">
              <w:rPr>
                <w:color w:val="0070C0"/>
              </w:rPr>
              <w:t>Tier d): Blenheim Industrial Estate</w:t>
            </w:r>
          </w:p>
        </w:tc>
        <w:tc>
          <w:tcPr>
            <w:tcW w:w="3418" w:type="dxa"/>
            <w:tcBorders>
              <w:top w:val="single" w:sz="4" w:space="0" w:color="auto"/>
              <w:left w:val="single" w:sz="4" w:space="0" w:color="auto"/>
              <w:bottom w:val="single" w:sz="4" w:space="0" w:color="auto"/>
              <w:right w:val="single" w:sz="4" w:space="0" w:color="auto"/>
            </w:tcBorders>
            <w:hideMark/>
          </w:tcPr>
          <w:p w14:paraId="2B938DDF" w14:textId="77777777" w:rsidR="003E14D3" w:rsidRPr="003E14D3" w:rsidRDefault="003E14D3">
            <w:pPr>
              <w:jc w:val="center"/>
              <w:rPr>
                <w:color w:val="0070C0"/>
              </w:rPr>
            </w:pPr>
            <w:r w:rsidRPr="003E14D3">
              <w:rPr>
                <w:color w:val="0070C0"/>
              </w:rPr>
              <w:t>N/A</w:t>
            </w:r>
          </w:p>
        </w:tc>
      </w:tr>
      <w:tr w:rsidR="003E14D3" w14:paraId="2D09C32F" w14:textId="77777777" w:rsidTr="003E14D3">
        <w:trPr>
          <w:trHeight w:val="397"/>
        </w:trPr>
        <w:tc>
          <w:tcPr>
            <w:tcW w:w="5371" w:type="dxa"/>
            <w:tcBorders>
              <w:top w:val="single" w:sz="4" w:space="0" w:color="auto"/>
              <w:left w:val="single" w:sz="4" w:space="0" w:color="auto"/>
              <w:bottom w:val="single" w:sz="4" w:space="0" w:color="auto"/>
              <w:right w:val="single" w:sz="4" w:space="0" w:color="auto"/>
            </w:tcBorders>
            <w:hideMark/>
          </w:tcPr>
          <w:p w14:paraId="309CB62A" w14:textId="77777777" w:rsidR="003E14D3" w:rsidRPr="003E14D3" w:rsidRDefault="003E14D3">
            <w:pPr>
              <w:rPr>
                <w:color w:val="0070C0"/>
              </w:rPr>
            </w:pPr>
            <w:r w:rsidRPr="003E14D3">
              <w:rPr>
                <w:color w:val="0070C0"/>
              </w:rPr>
              <w:t>Tier e): The Remainder of the District</w:t>
            </w:r>
          </w:p>
        </w:tc>
        <w:tc>
          <w:tcPr>
            <w:tcW w:w="3418" w:type="dxa"/>
            <w:tcBorders>
              <w:top w:val="single" w:sz="4" w:space="0" w:color="auto"/>
              <w:left w:val="single" w:sz="4" w:space="0" w:color="auto"/>
              <w:bottom w:val="single" w:sz="4" w:space="0" w:color="auto"/>
              <w:right w:val="single" w:sz="4" w:space="0" w:color="auto"/>
            </w:tcBorders>
            <w:hideMark/>
          </w:tcPr>
          <w:p w14:paraId="6D2E874F" w14:textId="77777777" w:rsidR="003E14D3" w:rsidRPr="003E14D3" w:rsidRDefault="003E14D3">
            <w:pPr>
              <w:jc w:val="center"/>
              <w:rPr>
                <w:color w:val="0070C0"/>
              </w:rPr>
            </w:pPr>
            <w:r w:rsidRPr="003E14D3">
              <w:rPr>
                <w:color w:val="0070C0"/>
              </w:rPr>
              <w:t>2%</w:t>
            </w:r>
          </w:p>
        </w:tc>
      </w:tr>
    </w:tbl>
    <w:p w14:paraId="5D3CF622" w14:textId="317C708E" w:rsidR="003E14D3" w:rsidRDefault="003E14D3" w:rsidP="000447CA">
      <w:pPr>
        <w:pStyle w:val="Heading3"/>
      </w:pPr>
      <w:r w:rsidRPr="003E14D3">
        <w:t xml:space="preserve">Table 1a: Distribution of New Housing Development by Settlement Hierarchy, October </w:t>
      </w:r>
      <w:proofErr w:type="gramStart"/>
      <w:r w:rsidRPr="003E14D3">
        <w:t>2025</w:t>
      </w:r>
      <w:r w:rsidR="00AA4C2C">
        <w:t xml:space="preserve">  </w:t>
      </w:r>
      <w:r w:rsidRPr="00AA4C2C">
        <w:t>Source</w:t>
      </w:r>
      <w:proofErr w:type="gramEnd"/>
      <w:r w:rsidRPr="00AA4C2C">
        <w:t>: Ashfield District Council</w:t>
      </w:r>
    </w:p>
    <w:p w14:paraId="40896301" w14:textId="77777777" w:rsidR="00235B8A" w:rsidRPr="00235B8A" w:rsidRDefault="00235B8A" w:rsidP="00235B8A">
      <w:pPr>
        <w:rPr>
          <w:lang w:eastAsia="en-US"/>
        </w:rPr>
      </w:pPr>
    </w:p>
    <w:p w14:paraId="655BECB3" w14:textId="59FD0F53" w:rsidR="00235B8A" w:rsidRPr="00F53521" w:rsidRDefault="00235B8A" w:rsidP="00A35ED5">
      <w:pPr>
        <w:keepNext w:val="0"/>
        <w:autoSpaceDE w:val="0"/>
        <w:autoSpaceDN w:val="0"/>
        <w:adjustRightInd w:val="0"/>
        <w:spacing w:before="0"/>
        <w:ind w:left="567"/>
        <w:rPr>
          <w:rFonts w:eastAsia="Calibri" w:cs="Arial"/>
          <w:color w:val="ED0000"/>
        </w:rPr>
      </w:pPr>
      <w:r w:rsidRPr="00AD315E">
        <w:rPr>
          <w:rFonts w:eastAsia="Arial" w:cs="Arial"/>
          <w:color w:val="auto"/>
        </w:rPr>
        <w:t>Housing policies for the provision of land allocations are included in Policies H1 and are identified on the Policies Map, with employment allocations also shown on the Policies Map and as identified in Policy EM2 and Policy S6.</w:t>
      </w:r>
      <w:r w:rsidR="00AD315E">
        <w:rPr>
          <w:rFonts w:eastAsia="Arial" w:cs="Arial"/>
          <w:color w:val="auto"/>
        </w:rPr>
        <w:t xml:space="preserve"> </w:t>
      </w:r>
      <w:r w:rsidR="00AD315E" w:rsidRPr="00F53521">
        <w:rPr>
          <w:rFonts w:eastAsia="Arial" w:cs="Arial"/>
          <w:color w:val="ED0000"/>
        </w:rPr>
        <w:t>(</w:t>
      </w:r>
      <w:proofErr w:type="gramStart"/>
      <w:r w:rsidR="00186473" w:rsidRPr="00F53521">
        <w:rPr>
          <w:rFonts w:eastAsia="Arial" w:cs="Arial"/>
          <w:color w:val="ED0000"/>
        </w:rPr>
        <w:t>text</w:t>
      </w:r>
      <w:proofErr w:type="gramEnd"/>
      <w:r w:rsidR="00186473" w:rsidRPr="00F53521">
        <w:rPr>
          <w:rFonts w:eastAsia="Arial" w:cs="Arial"/>
          <w:color w:val="ED0000"/>
        </w:rPr>
        <w:t xml:space="preserve"> </w:t>
      </w:r>
      <w:r w:rsidR="00AD315E" w:rsidRPr="00F53521">
        <w:rPr>
          <w:rFonts w:eastAsia="Arial" w:cs="Arial"/>
          <w:color w:val="ED0000"/>
        </w:rPr>
        <w:t>moved from para. 3.24)</w:t>
      </w:r>
    </w:p>
    <w:p w14:paraId="591B1935" w14:textId="77777777" w:rsidR="00B553F3" w:rsidRPr="003E14D3" w:rsidRDefault="00B553F3" w:rsidP="001C7722">
      <w:pPr>
        <w:ind w:firstLine="720"/>
        <w:rPr>
          <w:b/>
          <w:bCs/>
          <w:color w:val="0070C0"/>
        </w:rPr>
      </w:pPr>
    </w:p>
    <w:p w14:paraId="411A14DA" w14:textId="77777777" w:rsidR="006849B1" w:rsidRDefault="006849B1" w:rsidP="009D5737">
      <w:pPr>
        <w:pStyle w:val="Heading2"/>
        <w:jc w:val="left"/>
        <w:rPr>
          <w:sz w:val="28"/>
          <w:szCs w:val="28"/>
        </w:rPr>
      </w:pPr>
      <w:bookmarkStart w:id="40" w:name="_Hlk141796593"/>
      <w:bookmarkStart w:id="41" w:name="_Toc500408729"/>
      <w:bookmarkStart w:id="42" w:name="_Toc145511554"/>
      <w:bookmarkEnd w:id="35"/>
    </w:p>
    <w:p w14:paraId="5F2D34B7" w14:textId="1EF53C61" w:rsidR="007070E5" w:rsidRPr="009D5737" w:rsidRDefault="00216BD3" w:rsidP="009D5737">
      <w:pPr>
        <w:pStyle w:val="Heading2"/>
        <w:jc w:val="left"/>
        <w:rPr>
          <w:sz w:val="28"/>
          <w:szCs w:val="28"/>
        </w:rPr>
      </w:pPr>
      <w:r w:rsidRPr="009D5737">
        <w:rPr>
          <w:sz w:val="28"/>
          <w:szCs w:val="28"/>
        </w:rPr>
        <w:t xml:space="preserve">Strategic Policy </w:t>
      </w:r>
      <w:r w:rsidR="00CB1B12" w:rsidRPr="009D5737">
        <w:rPr>
          <w:sz w:val="28"/>
          <w:szCs w:val="28"/>
        </w:rPr>
        <w:t>S</w:t>
      </w:r>
      <w:bookmarkEnd w:id="40"/>
      <w:r w:rsidR="006A5605" w:rsidRPr="009D5737">
        <w:rPr>
          <w:sz w:val="28"/>
          <w:szCs w:val="28"/>
        </w:rPr>
        <w:t>2</w:t>
      </w:r>
      <w:r w:rsidR="00CB1B12" w:rsidRPr="009D5737">
        <w:rPr>
          <w:sz w:val="28"/>
          <w:szCs w:val="28"/>
        </w:rPr>
        <w:t>:</w:t>
      </w:r>
      <w:r w:rsidR="003962EC" w:rsidRPr="009D5737">
        <w:rPr>
          <w:sz w:val="28"/>
          <w:szCs w:val="28"/>
        </w:rPr>
        <w:t xml:space="preserve"> </w:t>
      </w:r>
      <w:r w:rsidR="00162A7B" w:rsidRPr="009D5737">
        <w:rPr>
          <w:sz w:val="28"/>
          <w:szCs w:val="28"/>
        </w:rPr>
        <w:t xml:space="preserve">Achieving </w:t>
      </w:r>
      <w:r w:rsidR="00CB1B12" w:rsidRPr="009D5737">
        <w:rPr>
          <w:sz w:val="28"/>
          <w:szCs w:val="28"/>
        </w:rPr>
        <w:t>Sustainable Development</w:t>
      </w:r>
      <w:bookmarkEnd w:id="41"/>
      <w:bookmarkEnd w:id="42"/>
    </w:p>
    <w:p w14:paraId="700CFD4C" w14:textId="65937194" w:rsidR="007070E5" w:rsidRPr="009B02C6" w:rsidRDefault="007070E5" w:rsidP="005E17D1">
      <w:pPr>
        <w:keepNext w:val="0"/>
        <w:spacing w:before="0"/>
        <w:rPr>
          <w:rFonts w:eastAsia="Arial" w:cs="Arial"/>
          <w:color w:val="auto"/>
        </w:rPr>
      </w:pPr>
    </w:p>
    <w:tbl>
      <w:tblPr>
        <w:tblStyle w:val="ReportTable1"/>
        <w:tblpPr w:leftFromText="180" w:rightFromText="180" w:vertAnchor="text" w:horzAnchor="margin" w:tblpXSpec="right" w:tblpY="191"/>
        <w:tblW w:w="0" w:type="auto"/>
        <w:tblLook w:val="04A0" w:firstRow="1" w:lastRow="0" w:firstColumn="1" w:lastColumn="0" w:noHBand="0" w:noVBand="1"/>
      </w:tblPr>
      <w:tblGrid>
        <w:gridCol w:w="2552"/>
        <w:gridCol w:w="367"/>
        <w:gridCol w:w="6579"/>
      </w:tblGrid>
      <w:tr w:rsidR="00FB4E8F" w:rsidRPr="003C7E62" w14:paraId="59EED329" w14:textId="77777777" w:rsidTr="009D4C91">
        <w:tc>
          <w:tcPr>
            <w:tcW w:w="9498" w:type="dxa"/>
            <w:gridSpan w:val="3"/>
          </w:tcPr>
          <w:p w14:paraId="62A807DD" w14:textId="3315A844" w:rsidR="00FB4E8F" w:rsidRDefault="00FB4E8F" w:rsidP="00E605B7">
            <w:pPr>
              <w:rPr>
                <w:rFonts w:cs="Arial"/>
                <w:b/>
                <w:bCs/>
                <w:iCs/>
                <w:color w:val="auto"/>
                <w:szCs w:val="24"/>
                <w:lang w:eastAsia="en-US"/>
              </w:rPr>
            </w:pPr>
            <w:r w:rsidRPr="003C7E62">
              <w:rPr>
                <w:rFonts w:cs="Arial"/>
                <w:b/>
                <w:bCs/>
                <w:iCs/>
                <w:color w:val="auto"/>
                <w:szCs w:val="22"/>
                <w:lang w:eastAsia="en-US"/>
              </w:rPr>
              <w:t xml:space="preserve">Strategic Policy </w:t>
            </w:r>
            <w:r w:rsidRPr="009C12CD">
              <w:rPr>
                <w:rFonts w:cs="Arial"/>
                <w:b/>
                <w:bCs/>
                <w:iCs/>
                <w:szCs w:val="22"/>
                <w:lang w:eastAsia="en-US"/>
              </w:rPr>
              <w:t>S</w:t>
            </w:r>
            <w:r w:rsidR="009B02C6" w:rsidRPr="009C12CD">
              <w:rPr>
                <w:rFonts w:cs="Arial"/>
                <w:b/>
                <w:bCs/>
                <w:iCs/>
                <w:szCs w:val="22"/>
                <w:lang w:eastAsia="en-US"/>
              </w:rPr>
              <w:t>2</w:t>
            </w:r>
            <w:r w:rsidRPr="009C12CD">
              <w:rPr>
                <w:rFonts w:cs="Arial"/>
                <w:b/>
                <w:bCs/>
                <w:iCs/>
                <w:szCs w:val="22"/>
                <w:lang w:eastAsia="en-US"/>
              </w:rPr>
              <w:t>:</w:t>
            </w:r>
            <w:r w:rsidRPr="003C7E62">
              <w:rPr>
                <w:rFonts w:cs="Arial"/>
                <w:b/>
                <w:bCs/>
                <w:iCs/>
                <w:color w:val="auto"/>
                <w:szCs w:val="22"/>
                <w:lang w:eastAsia="en-US"/>
              </w:rPr>
              <w:t xml:space="preserve"> </w:t>
            </w:r>
            <w:r w:rsidR="00162A7B">
              <w:t xml:space="preserve"> </w:t>
            </w:r>
            <w:r w:rsidR="00162A7B" w:rsidRPr="00162A7B">
              <w:rPr>
                <w:rFonts w:cs="Arial"/>
                <w:b/>
                <w:bCs/>
                <w:iCs/>
                <w:color w:val="auto"/>
                <w:szCs w:val="22"/>
                <w:lang w:eastAsia="en-US"/>
              </w:rPr>
              <w:t xml:space="preserve">Achieving </w:t>
            </w:r>
            <w:r w:rsidRPr="003C7E62">
              <w:rPr>
                <w:rFonts w:cs="Arial"/>
                <w:b/>
                <w:bCs/>
                <w:iCs/>
                <w:color w:val="auto"/>
                <w:szCs w:val="24"/>
                <w:lang w:eastAsia="en-US"/>
              </w:rPr>
              <w:t>Sustainable Development</w:t>
            </w:r>
          </w:p>
          <w:p w14:paraId="457FFBE1" w14:textId="0D7528B9" w:rsidR="005E17D1" w:rsidRPr="003C7E62" w:rsidRDefault="005E17D1" w:rsidP="005E17D1">
            <w:pPr>
              <w:spacing w:before="0"/>
              <w:outlineLvl w:val="1"/>
              <w:rPr>
                <w:rFonts w:cs="Arial"/>
                <w:bCs/>
                <w:iCs/>
                <w:color w:val="auto"/>
                <w:szCs w:val="24"/>
                <w:lang w:eastAsia="en-US"/>
              </w:rPr>
            </w:pPr>
          </w:p>
        </w:tc>
      </w:tr>
      <w:tr w:rsidR="00DC5B07" w:rsidRPr="003C7E62" w14:paraId="6AA7BDBD" w14:textId="77777777" w:rsidTr="009D4C91">
        <w:tc>
          <w:tcPr>
            <w:tcW w:w="2919" w:type="dxa"/>
            <w:gridSpan w:val="2"/>
          </w:tcPr>
          <w:p w14:paraId="7016B600" w14:textId="77777777" w:rsidR="00DC5B07" w:rsidRPr="005E17D1" w:rsidRDefault="00DC5B07" w:rsidP="005E17D1">
            <w:pPr>
              <w:keepNext w:val="0"/>
              <w:tabs>
                <w:tab w:val="left" w:pos="680"/>
              </w:tabs>
              <w:spacing w:before="40" w:after="40"/>
              <w:rPr>
                <w:rFonts w:eastAsia="Arial" w:cs="Arial"/>
                <w:bCs/>
                <w:color w:val="auto"/>
              </w:rPr>
            </w:pPr>
            <w:bookmarkStart w:id="43" w:name="_Hlk77148378"/>
            <w:r w:rsidRPr="005E17D1">
              <w:rPr>
                <w:rFonts w:eastAsia="Arial" w:cs="Arial"/>
                <w:bCs/>
                <w:color w:val="auto"/>
              </w:rPr>
              <w:t>Strategic Objectives</w:t>
            </w:r>
          </w:p>
        </w:tc>
        <w:tc>
          <w:tcPr>
            <w:tcW w:w="6579" w:type="dxa"/>
          </w:tcPr>
          <w:p w14:paraId="32510E8B" w14:textId="77777777" w:rsidR="00DC5B07" w:rsidRPr="005E17D1" w:rsidRDefault="00DC5B07" w:rsidP="005E17D1">
            <w:pPr>
              <w:keepNext w:val="0"/>
              <w:tabs>
                <w:tab w:val="left" w:pos="680"/>
              </w:tabs>
              <w:spacing w:before="40" w:after="40"/>
              <w:rPr>
                <w:rFonts w:eastAsia="Arial" w:cs="Arial"/>
                <w:bCs/>
                <w:color w:val="auto"/>
              </w:rPr>
            </w:pPr>
            <w:r w:rsidRPr="005E17D1">
              <w:rPr>
                <w:rFonts w:eastAsia="Arial" w:cs="Arial"/>
                <w:bCs/>
                <w:color w:val="auto"/>
              </w:rPr>
              <w:t>SO1, SO2, SO4, SO6, SO11, SO12, SO13.</w:t>
            </w:r>
          </w:p>
        </w:tc>
      </w:tr>
      <w:tr w:rsidR="00DC5B07" w:rsidRPr="003C7E62" w14:paraId="11A73974" w14:textId="77777777" w:rsidTr="009D4C91">
        <w:tc>
          <w:tcPr>
            <w:tcW w:w="9498" w:type="dxa"/>
            <w:gridSpan w:val="3"/>
            <w:shd w:val="clear" w:color="auto" w:fill="D9D9D9" w:themeFill="background1" w:themeFillShade="D9"/>
          </w:tcPr>
          <w:p w14:paraId="4026F44C" w14:textId="77777777" w:rsidR="00DC5B07" w:rsidRPr="003C7E62" w:rsidRDefault="00DC5B07" w:rsidP="005E17D1">
            <w:pPr>
              <w:keepNext w:val="0"/>
              <w:tabs>
                <w:tab w:val="left" w:pos="680"/>
                <w:tab w:val="left" w:pos="1133"/>
                <w:tab w:val="left" w:pos="2267"/>
              </w:tabs>
              <w:spacing w:before="0"/>
              <w:ind w:right="284"/>
              <w:rPr>
                <w:rFonts w:eastAsia="Arial" w:cs="Arial"/>
                <w:bCs/>
                <w:color w:val="auto"/>
                <w:szCs w:val="24"/>
              </w:rPr>
            </w:pPr>
          </w:p>
          <w:p w14:paraId="3176CC05" w14:textId="77777777" w:rsidR="00DC5B07" w:rsidRPr="003C7E62" w:rsidRDefault="00DC5B07" w:rsidP="00D01157">
            <w:pPr>
              <w:keepNext w:val="0"/>
              <w:numPr>
                <w:ilvl w:val="0"/>
                <w:numId w:val="11"/>
              </w:numPr>
              <w:tabs>
                <w:tab w:val="left" w:pos="680"/>
                <w:tab w:val="left" w:pos="1133"/>
                <w:tab w:val="left" w:pos="2267"/>
              </w:tabs>
              <w:spacing w:before="0"/>
              <w:ind w:right="284"/>
              <w:rPr>
                <w:rFonts w:eastAsia="Arial" w:cs="Arial"/>
                <w:bCs/>
                <w:color w:val="auto"/>
                <w:szCs w:val="24"/>
              </w:rPr>
            </w:pPr>
            <w:r w:rsidRPr="003C7E62">
              <w:rPr>
                <w:rFonts w:eastAsia="Arial" w:cs="Arial"/>
                <w:bCs/>
                <w:color w:val="auto"/>
                <w:szCs w:val="24"/>
              </w:rPr>
              <w:t>The Council will work with applicants and other stakeholders to seek solutions, which mean that proposals can be approved wherever possible and will secure improvements to the economic, social and environmental conditions in the area.</w:t>
            </w:r>
          </w:p>
          <w:p w14:paraId="357DAF70" w14:textId="77777777" w:rsidR="00DC5B07" w:rsidRPr="003C7E62" w:rsidRDefault="00DC5B07" w:rsidP="005E17D1">
            <w:pPr>
              <w:keepNext w:val="0"/>
              <w:tabs>
                <w:tab w:val="left" w:pos="680"/>
                <w:tab w:val="left" w:pos="1133"/>
                <w:tab w:val="left" w:pos="2267"/>
              </w:tabs>
              <w:spacing w:before="0"/>
              <w:ind w:right="284"/>
              <w:rPr>
                <w:rFonts w:eastAsia="Arial" w:cs="Arial"/>
                <w:bCs/>
                <w:color w:val="auto"/>
                <w:szCs w:val="24"/>
              </w:rPr>
            </w:pPr>
          </w:p>
          <w:p w14:paraId="31C02A70" w14:textId="77777777" w:rsidR="00DC5B07" w:rsidRPr="009C12CD" w:rsidRDefault="00DC5B07" w:rsidP="00D01157">
            <w:pPr>
              <w:keepNext w:val="0"/>
              <w:numPr>
                <w:ilvl w:val="0"/>
                <w:numId w:val="11"/>
              </w:numPr>
              <w:tabs>
                <w:tab w:val="left" w:pos="680"/>
                <w:tab w:val="left" w:pos="1133"/>
                <w:tab w:val="left" w:pos="2267"/>
              </w:tabs>
              <w:spacing w:before="0"/>
              <w:ind w:right="284"/>
              <w:rPr>
                <w:rFonts w:eastAsia="Arial" w:cs="Arial"/>
                <w:bCs/>
                <w:szCs w:val="24"/>
              </w:rPr>
            </w:pPr>
            <w:r w:rsidRPr="009C12CD">
              <w:rPr>
                <w:rFonts w:eastAsia="Arial" w:cs="Arial"/>
                <w:bCs/>
                <w:szCs w:val="24"/>
              </w:rPr>
              <w:t>Development will be permitted without delay where:</w:t>
            </w:r>
          </w:p>
          <w:p w14:paraId="3428E0DB" w14:textId="77777777" w:rsidR="00DC5B07" w:rsidRPr="009C12CD" w:rsidRDefault="00DC5B07" w:rsidP="005E17D1">
            <w:pPr>
              <w:keepNext w:val="0"/>
              <w:tabs>
                <w:tab w:val="left" w:pos="680"/>
                <w:tab w:val="left" w:pos="1133"/>
                <w:tab w:val="left" w:pos="2267"/>
              </w:tabs>
              <w:spacing w:before="0"/>
              <w:ind w:right="284"/>
              <w:rPr>
                <w:rFonts w:eastAsia="Arial" w:cs="Arial"/>
                <w:bCs/>
                <w:szCs w:val="24"/>
              </w:rPr>
            </w:pPr>
          </w:p>
          <w:p w14:paraId="1F47070E" w14:textId="6804D710" w:rsidR="00DC5B07" w:rsidRPr="009C12CD" w:rsidRDefault="00DC5B07" w:rsidP="00D01157">
            <w:pPr>
              <w:keepNext w:val="0"/>
              <w:numPr>
                <w:ilvl w:val="1"/>
                <w:numId w:val="11"/>
              </w:numPr>
              <w:spacing w:before="0"/>
              <w:rPr>
                <w:rFonts w:eastAsia="Arial" w:cs="Arial"/>
                <w:bCs/>
                <w:szCs w:val="24"/>
              </w:rPr>
            </w:pPr>
            <w:r w:rsidRPr="009C12CD">
              <w:rPr>
                <w:rFonts w:eastAsia="Arial" w:cs="Arial"/>
                <w:bCs/>
                <w:szCs w:val="24"/>
              </w:rPr>
              <w:t>It will not conflict with other policies in this Local Plan or policies in a neighbourhood plan, unless material considerations indicate otherwise;</w:t>
            </w:r>
          </w:p>
          <w:p w14:paraId="1CBB6358" w14:textId="77777777" w:rsidR="005F5595" w:rsidRPr="009C12CD" w:rsidRDefault="005F5595" w:rsidP="005E17D1">
            <w:pPr>
              <w:keepNext w:val="0"/>
              <w:spacing w:before="0"/>
              <w:ind w:left="964"/>
              <w:rPr>
                <w:rFonts w:eastAsia="Arial" w:cs="Arial"/>
                <w:bCs/>
                <w:szCs w:val="24"/>
              </w:rPr>
            </w:pPr>
          </w:p>
          <w:p w14:paraId="02E6613B" w14:textId="378B2FC6" w:rsidR="00DC5B07" w:rsidRPr="009C12CD" w:rsidRDefault="00DC5B07" w:rsidP="00D01157">
            <w:pPr>
              <w:keepNext w:val="0"/>
              <w:numPr>
                <w:ilvl w:val="1"/>
                <w:numId w:val="11"/>
              </w:numPr>
              <w:spacing w:before="0"/>
              <w:rPr>
                <w:rFonts w:eastAsia="Arial" w:cs="Arial"/>
                <w:bCs/>
                <w:szCs w:val="24"/>
              </w:rPr>
            </w:pPr>
            <w:r w:rsidRPr="009C12CD">
              <w:rPr>
                <w:rFonts w:eastAsia="Arial" w:cs="Arial"/>
                <w:bCs/>
                <w:szCs w:val="24"/>
              </w:rPr>
              <w:t xml:space="preserve">It will not adversely affect, and should enhance, the character, quality, amenity </w:t>
            </w:r>
            <w:r w:rsidR="00862B71" w:rsidRPr="009C12CD">
              <w:rPr>
                <w:rFonts w:eastAsia="Arial" w:cs="Arial"/>
                <w:bCs/>
                <w:szCs w:val="24"/>
              </w:rPr>
              <w:t>and</w:t>
            </w:r>
            <w:r w:rsidRPr="009C12CD">
              <w:rPr>
                <w:rFonts w:eastAsia="Arial" w:cs="Arial"/>
                <w:bCs/>
                <w:szCs w:val="24"/>
              </w:rPr>
              <w:t xml:space="preserve"> safety of the </w:t>
            </w:r>
            <w:r w:rsidR="004C775E" w:rsidRPr="00F53521">
              <w:rPr>
                <w:rFonts w:eastAsia="Arial" w:cs="Arial"/>
                <w:bCs/>
                <w:color w:val="2F5496" w:themeColor="accent1" w:themeShade="BF"/>
                <w:szCs w:val="24"/>
              </w:rPr>
              <w:t>b</w:t>
            </w:r>
            <w:r w:rsidR="004C775E" w:rsidRPr="00F53521">
              <w:rPr>
                <w:rFonts w:eastAsia="Arial"/>
                <w:bCs/>
                <w:color w:val="2F5496" w:themeColor="accent1" w:themeShade="BF"/>
              </w:rPr>
              <w:t xml:space="preserve">uilt, natural and historic </w:t>
            </w:r>
            <w:r w:rsidRPr="009C12CD">
              <w:rPr>
                <w:rFonts w:eastAsia="Arial" w:cs="Arial"/>
                <w:bCs/>
                <w:szCs w:val="24"/>
              </w:rPr>
              <w:t>environment</w:t>
            </w:r>
            <w:r w:rsidR="005F5595" w:rsidRPr="009C12CD">
              <w:rPr>
                <w:rFonts w:eastAsia="Arial" w:cs="Arial"/>
                <w:bCs/>
                <w:szCs w:val="24"/>
              </w:rPr>
              <w:t>;</w:t>
            </w:r>
          </w:p>
          <w:p w14:paraId="72F81514" w14:textId="77777777" w:rsidR="005F5595" w:rsidRPr="009C12CD" w:rsidRDefault="005F5595" w:rsidP="005E17D1">
            <w:pPr>
              <w:keepNext w:val="0"/>
              <w:spacing w:before="0"/>
              <w:rPr>
                <w:rFonts w:eastAsia="Arial" w:cs="Arial"/>
                <w:bCs/>
                <w:szCs w:val="24"/>
              </w:rPr>
            </w:pPr>
          </w:p>
          <w:p w14:paraId="5B2CD04D" w14:textId="63F05B11" w:rsidR="00DC5B07" w:rsidRPr="009C12CD" w:rsidRDefault="00DC5B07" w:rsidP="00D01157">
            <w:pPr>
              <w:keepNext w:val="0"/>
              <w:numPr>
                <w:ilvl w:val="1"/>
                <w:numId w:val="11"/>
              </w:numPr>
              <w:spacing w:before="0"/>
              <w:rPr>
                <w:rFonts w:eastAsia="Arial" w:cs="Arial"/>
                <w:bCs/>
                <w:szCs w:val="24"/>
              </w:rPr>
            </w:pPr>
            <w:r w:rsidRPr="009C12CD">
              <w:rPr>
                <w:rFonts w:eastAsia="Arial" w:cs="Arial"/>
                <w:bCs/>
                <w:szCs w:val="24"/>
              </w:rPr>
              <w:t>It will not adversely affect highway safety or the capacity of the transport system;</w:t>
            </w:r>
          </w:p>
          <w:p w14:paraId="16E28940" w14:textId="77777777" w:rsidR="005F5595" w:rsidRPr="009C12CD" w:rsidRDefault="005F5595" w:rsidP="005E17D1">
            <w:pPr>
              <w:keepNext w:val="0"/>
              <w:spacing w:before="0"/>
              <w:rPr>
                <w:rFonts w:eastAsia="Arial" w:cs="Arial"/>
                <w:bCs/>
                <w:szCs w:val="24"/>
              </w:rPr>
            </w:pPr>
          </w:p>
          <w:p w14:paraId="613FF8D5" w14:textId="2E460F7F" w:rsidR="00DC5B07" w:rsidRPr="009C12CD" w:rsidRDefault="00DC5B07" w:rsidP="00D01157">
            <w:pPr>
              <w:keepNext w:val="0"/>
              <w:numPr>
                <w:ilvl w:val="1"/>
                <w:numId w:val="11"/>
              </w:numPr>
              <w:spacing w:before="0"/>
              <w:contextualSpacing/>
              <w:rPr>
                <w:rFonts w:eastAsia="Arial" w:cs="Arial"/>
                <w:bCs/>
                <w:szCs w:val="24"/>
              </w:rPr>
            </w:pPr>
            <w:r w:rsidRPr="009C12CD">
              <w:rPr>
                <w:rFonts w:eastAsia="Arial" w:cs="Arial"/>
                <w:bCs/>
                <w:szCs w:val="24"/>
              </w:rPr>
              <w:t>It will not materially conflict with adjoining or nearby land uses;</w:t>
            </w:r>
          </w:p>
          <w:p w14:paraId="50CD3B6D" w14:textId="77777777" w:rsidR="005F5595" w:rsidRPr="009C12CD" w:rsidRDefault="005F5595" w:rsidP="005E17D1">
            <w:pPr>
              <w:keepNext w:val="0"/>
              <w:spacing w:before="0"/>
              <w:contextualSpacing/>
              <w:rPr>
                <w:rFonts w:eastAsia="Arial" w:cs="Arial"/>
                <w:bCs/>
                <w:szCs w:val="24"/>
              </w:rPr>
            </w:pPr>
          </w:p>
          <w:p w14:paraId="6E39F292" w14:textId="1C0CD1D2" w:rsidR="00DC5B07" w:rsidRPr="009C12CD" w:rsidRDefault="00DC5B07" w:rsidP="00D01157">
            <w:pPr>
              <w:pStyle w:val="ListParagraph"/>
              <w:numPr>
                <w:ilvl w:val="1"/>
                <w:numId w:val="11"/>
              </w:numPr>
              <w:spacing w:after="0" w:line="240" w:lineRule="auto"/>
              <w:rPr>
                <w:rFonts w:ascii="Arial" w:eastAsia="Arial" w:hAnsi="Arial" w:cs="Arial"/>
                <w:bCs/>
                <w:szCs w:val="24"/>
                <w:lang w:eastAsia="en-GB"/>
              </w:rPr>
            </w:pPr>
            <w:r w:rsidRPr="009C12CD">
              <w:rPr>
                <w:rFonts w:ascii="Arial" w:eastAsia="Arial" w:hAnsi="Arial" w:cs="Arial"/>
                <w:bCs/>
                <w:szCs w:val="24"/>
                <w:lang w:eastAsia="en-GB"/>
              </w:rPr>
              <w:t>It will not prejudice the comprehensive development of an area</w:t>
            </w:r>
            <w:r w:rsidR="005F5595" w:rsidRPr="009C12CD">
              <w:rPr>
                <w:rFonts w:ascii="Arial" w:eastAsia="Arial" w:hAnsi="Arial" w:cs="Arial"/>
                <w:bCs/>
                <w:szCs w:val="24"/>
                <w:lang w:eastAsia="en-GB"/>
              </w:rPr>
              <w:t>;</w:t>
            </w:r>
          </w:p>
          <w:p w14:paraId="7702C5B2" w14:textId="77777777" w:rsidR="00EE1451" w:rsidRPr="009C12CD" w:rsidRDefault="00EE1451" w:rsidP="00EE1451">
            <w:pPr>
              <w:pStyle w:val="ListParagraph"/>
              <w:rPr>
                <w:rFonts w:ascii="Arial" w:eastAsia="Arial" w:hAnsi="Arial" w:cs="Arial"/>
                <w:bCs/>
                <w:szCs w:val="24"/>
                <w:lang w:eastAsia="en-GB"/>
              </w:rPr>
            </w:pPr>
          </w:p>
          <w:p w14:paraId="49EAA1DA" w14:textId="77777777" w:rsidR="00EE1451" w:rsidRPr="009C12CD" w:rsidRDefault="00EE1451" w:rsidP="00EE1451">
            <w:pPr>
              <w:pStyle w:val="ListParagraph"/>
              <w:numPr>
                <w:ilvl w:val="1"/>
                <w:numId w:val="11"/>
              </w:numPr>
              <w:rPr>
                <w:rFonts w:ascii="Arial" w:eastAsia="Arial" w:hAnsi="Arial" w:cs="Arial"/>
                <w:bCs/>
                <w:szCs w:val="24"/>
                <w:lang w:eastAsia="en-GB"/>
              </w:rPr>
            </w:pPr>
            <w:r w:rsidRPr="009C12CD">
              <w:rPr>
                <w:rFonts w:ascii="Arial" w:eastAsia="Arial" w:hAnsi="Arial" w:cs="Arial"/>
                <w:bCs/>
                <w:szCs w:val="24"/>
                <w:lang w:eastAsia="en-GB"/>
              </w:rPr>
              <w:t>It makes effective use of land by:</w:t>
            </w:r>
          </w:p>
          <w:p w14:paraId="65CD2DF8" w14:textId="3474584C" w:rsidR="00EE1451" w:rsidRPr="009C12CD" w:rsidRDefault="00EE1451" w:rsidP="00874A98">
            <w:pPr>
              <w:pStyle w:val="ListParagraph"/>
              <w:numPr>
                <w:ilvl w:val="0"/>
                <w:numId w:val="319"/>
              </w:numPr>
              <w:rPr>
                <w:rFonts w:ascii="Arial" w:eastAsia="Arial" w:hAnsi="Arial" w:cs="Arial"/>
                <w:bCs/>
                <w:szCs w:val="24"/>
                <w:lang w:eastAsia="en-GB"/>
              </w:rPr>
            </w:pPr>
            <w:r w:rsidRPr="009C12CD">
              <w:rPr>
                <w:rFonts w:ascii="Arial" w:eastAsia="Arial" w:hAnsi="Arial" w:cs="Arial"/>
                <w:bCs/>
                <w:szCs w:val="24"/>
                <w:lang w:eastAsia="en-GB"/>
              </w:rPr>
              <w:t>the re-use of previously developed land within main urban areas and named settlements provided it is not of high environmental value;</w:t>
            </w:r>
          </w:p>
          <w:p w14:paraId="32DA2D25" w14:textId="1020213E" w:rsidR="00EE1451" w:rsidRPr="009C12CD" w:rsidRDefault="00EE1451" w:rsidP="00874A98">
            <w:pPr>
              <w:pStyle w:val="ListParagraph"/>
              <w:numPr>
                <w:ilvl w:val="0"/>
                <w:numId w:val="319"/>
              </w:numPr>
              <w:rPr>
                <w:rFonts w:ascii="Arial" w:eastAsia="Arial" w:hAnsi="Arial" w:cs="Arial"/>
                <w:bCs/>
                <w:szCs w:val="24"/>
                <w:lang w:eastAsia="en-GB"/>
              </w:rPr>
            </w:pPr>
            <w:r w:rsidRPr="009C12CD">
              <w:rPr>
                <w:rFonts w:ascii="Arial" w:eastAsia="Arial" w:hAnsi="Arial" w:cs="Arial"/>
                <w:bCs/>
                <w:szCs w:val="24"/>
              </w:rPr>
              <w:t>Achieving appropriate densities</w:t>
            </w:r>
            <w:r w:rsidR="00263588" w:rsidRPr="009C12CD">
              <w:rPr>
                <w:rFonts w:ascii="Arial" w:eastAsia="Arial" w:hAnsi="Arial" w:cs="Arial"/>
                <w:bCs/>
                <w:szCs w:val="24"/>
              </w:rPr>
              <w:t>;</w:t>
            </w:r>
          </w:p>
          <w:p w14:paraId="785D4001" w14:textId="77777777" w:rsidR="00EE1451" w:rsidRPr="009C12CD" w:rsidRDefault="00EE1451" w:rsidP="00EE1451">
            <w:pPr>
              <w:pStyle w:val="ListParagraph"/>
              <w:ind w:left="1324"/>
              <w:rPr>
                <w:rFonts w:ascii="Arial" w:eastAsia="Arial" w:hAnsi="Arial" w:cs="Arial"/>
                <w:bCs/>
                <w:szCs w:val="24"/>
                <w:lang w:eastAsia="en-GB"/>
              </w:rPr>
            </w:pPr>
          </w:p>
          <w:p w14:paraId="30D30E13" w14:textId="77777777" w:rsidR="00D9460E" w:rsidRPr="009C12CD" w:rsidRDefault="00D9460E" w:rsidP="00D01157">
            <w:pPr>
              <w:pStyle w:val="ListParagraph"/>
              <w:numPr>
                <w:ilvl w:val="1"/>
                <w:numId w:val="11"/>
              </w:numPr>
              <w:spacing w:line="240" w:lineRule="auto"/>
              <w:rPr>
                <w:rFonts w:ascii="Arial" w:eastAsia="Arial" w:hAnsi="Arial" w:cs="Arial"/>
                <w:bCs/>
                <w:szCs w:val="24"/>
                <w:lang w:eastAsia="en-GB"/>
              </w:rPr>
            </w:pPr>
            <w:r w:rsidRPr="009C12CD">
              <w:rPr>
                <w:rFonts w:ascii="Arial" w:eastAsia="Arial" w:hAnsi="Arial" w:cs="Arial"/>
                <w:bCs/>
                <w:szCs w:val="24"/>
                <w:lang w:eastAsia="en-GB"/>
              </w:rPr>
              <w:t>It protects the environment and quality of life by:</w:t>
            </w:r>
          </w:p>
          <w:p w14:paraId="13A0D4D1" w14:textId="77777777" w:rsidR="00D9460E" w:rsidRPr="009C12CD" w:rsidRDefault="00D9460E" w:rsidP="00D01157">
            <w:pPr>
              <w:pStyle w:val="ListParagraph"/>
              <w:numPr>
                <w:ilvl w:val="0"/>
                <w:numId w:val="44"/>
              </w:numPr>
              <w:spacing w:line="240" w:lineRule="auto"/>
              <w:rPr>
                <w:rFonts w:ascii="Arial" w:eastAsia="Arial" w:hAnsi="Arial" w:cs="Arial"/>
                <w:bCs/>
                <w:szCs w:val="24"/>
                <w:lang w:eastAsia="en-GB"/>
              </w:rPr>
            </w:pPr>
            <w:r w:rsidRPr="009C12CD">
              <w:rPr>
                <w:rFonts w:ascii="Arial" w:eastAsia="Arial" w:hAnsi="Arial" w:cs="Arial"/>
                <w:bCs/>
                <w:szCs w:val="24"/>
                <w:lang w:eastAsia="en-GB"/>
              </w:rPr>
              <w:t xml:space="preserve">managing and reducing the risk of pollution in relation to the quality of land, air, light and water and </w:t>
            </w:r>
          </w:p>
          <w:p w14:paraId="042464A3" w14:textId="37D62F58" w:rsidR="00D9460E" w:rsidRPr="003C7E62" w:rsidRDefault="00D9460E" w:rsidP="00D01157">
            <w:pPr>
              <w:pStyle w:val="ListParagraph"/>
              <w:numPr>
                <w:ilvl w:val="0"/>
                <w:numId w:val="44"/>
              </w:numPr>
              <w:spacing w:line="240" w:lineRule="auto"/>
              <w:rPr>
                <w:rFonts w:ascii="Arial" w:eastAsia="Arial" w:hAnsi="Arial" w:cs="Arial"/>
                <w:bCs/>
                <w:color w:val="auto"/>
                <w:szCs w:val="24"/>
                <w:lang w:eastAsia="en-GB"/>
              </w:rPr>
            </w:pPr>
            <w:r w:rsidRPr="003C7E62">
              <w:rPr>
                <w:rFonts w:ascii="Arial" w:eastAsia="Arial" w:hAnsi="Arial" w:cs="Arial"/>
                <w:bCs/>
                <w:color w:val="auto"/>
                <w:szCs w:val="24"/>
                <w:lang w:eastAsia="en-GB"/>
              </w:rPr>
              <w:t>ensuring the site is suitable for its proposed use taking account of ground conditions, including land instability and contamination</w:t>
            </w:r>
            <w:r w:rsidR="00263588">
              <w:rPr>
                <w:rFonts w:ascii="Arial" w:eastAsia="Arial" w:hAnsi="Arial" w:cs="Arial"/>
                <w:bCs/>
                <w:color w:val="auto"/>
                <w:szCs w:val="24"/>
                <w:lang w:eastAsia="en-GB"/>
              </w:rPr>
              <w:t>;</w:t>
            </w:r>
          </w:p>
          <w:p w14:paraId="330C3C64" w14:textId="77777777" w:rsidR="005F5595" w:rsidRPr="003C7E62" w:rsidRDefault="005F5595" w:rsidP="005E17D1">
            <w:pPr>
              <w:pStyle w:val="ListParagraph"/>
              <w:spacing w:line="240" w:lineRule="auto"/>
              <w:ind w:left="1324"/>
              <w:rPr>
                <w:rFonts w:ascii="Arial" w:eastAsia="Arial" w:hAnsi="Arial" w:cs="Arial"/>
                <w:bCs/>
                <w:color w:val="auto"/>
                <w:szCs w:val="24"/>
                <w:lang w:eastAsia="en-GB"/>
              </w:rPr>
            </w:pPr>
          </w:p>
          <w:p w14:paraId="57BB88CB" w14:textId="5F7E4B47" w:rsidR="005F5595" w:rsidRPr="003C7E62" w:rsidRDefault="00DC5B07" w:rsidP="00D01157">
            <w:pPr>
              <w:pStyle w:val="ListParagraph"/>
              <w:numPr>
                <w:ilvl w:val="1"/>
                <w:numId w:val="11"/>
              </w:numPr>
              <w:spacing w:after="0" w:line="240" w:lineRule="auto"/>
              <w:rPr>
                <w:rFonts w:ascii="Arial" w:eastAsia="Arial" w:hAnsi="Arial" w:cs="Arial"/>
                <w:bCs/>
                <w:color w:val="auto"/>
                <w:szCs w:val="24"/>
                <w:lang w:eastAsia="en-GB"/>
              </w:rPr>
            </w:pPr>
            <w:r w:rsidRPr="003C7E62">
              <w:rPr>
                <w:rFonts w:ascii="Arial" w:eastAsia="Arial" w:hAnsi="Arial" w:cs="Arial"/>
                <w:bCs/>
                <w:color w:val="auto"/>
                <w:szCs w:val="24"/>
                <w:lang w:eastAsia="en-GB"/>
              </w:rPr>
              <w:t xml:space="preserve">It </w:t>
            </w:r>
            <w:r w:rsidRPr="003C7E62">
              <w:rPr>
                <w:rFonts w:ascii="Arial" w:eastAsia="Arial" w:hAnsi="Arial" w:cs="Arial"/>
                <w:bCs/>
                <w:color w:val="auto"/>
                <w:szCs w:val="24"/>
              </w:rPr>
              <w:t>does not form part of a larger site where there would be a requirement for infrastructure provision if developed as a whole;</w:t>
            </w:r>
          </w:p>
          <w:p w14:paraId="0B1ACE8B" w14:textId="77777777" w:rsidR="005F5595" w:rsidRPr="003C7E62" w:rsidRDefault="005F5595" w:rsidP="005E17D1">
            <w:pPr>
              <w:pStyle w:val="ListParagraph"/>
              <w:spacing w:after="0" w:line="240" w:lineRule="auto"/>
              <w:ind w:left="964"/>
              <w:rPr>
                <w:rFonts w:ascii="Arial" w:eastAsia="Arial" w:hAnsi="Arial" w:cs="Arial"/>
                <w:bCs/>
                <w:color w:val="auto"/>
                <w:szCs w:val="24"/>
                <w:lang w:eastAsia="en-GB"/>
              </w:rPr>
            </w:pPr>
          </w:p>
          <w:p w14:paraId="292C2202" w14:textId="77777777" w:rsidR="00862B71" w:rsidRPr="003C7E62" w:rsidRDefault="00DC5B07" w:rsidP="00D01157">
            <w:pPr>
              <w:keepNext w:val="0"/>
              <w:numPr>
                <w:ilvl w:val="1"/>
                <w:numId w:val="11"/>
              </w:numPr>
              <w:spacing w:before="0"/>
              <w:contextualSpacing/>
              <w:rPr>
                <w:rFonts w:eastAsia="Arial" w:cs="Arial"/>
                <w:bCs/>
                <w:color w:val="auto"/>
                <w:szCs w:val="24"/>
              </w:rPr>
            </w:pPr>
            <w:r w:rsidRPr="003C7E62">
              <w:rPr>
                <w:rFonts w:eastAsia="Arial" w:cs="Arial"/>
                <w:bCs/>
                <w:color w:val="auto"/>
                <w:szCs w:val="24"/>
              </w:rPr>
              <w:t xml:space="preserve">It would not result in piecemeal, unsatisfactory forms of development, </w:t>
            </w:r>
            <w:r w:rsidR="00862B71" w:rsidRPr="003C7E62">
              <w:rPr>
                <w:rFonts w:eastAsia="Arial" w:cs="Arial"/>
                <w:bCs/>
                <w:color w:val="auto"/>
                <w:szCs w:val="24"/>
              </w:rPr>
              <w:t>and</w:t>
            </w:r>
          </w:p>
          <w:p w14:paraId="1D216A50" w14:textId="77777777" w:rsidR="00862B71" w:rsidRPr="003C7E62" w:rsidRDefault="00862B71" w:rsidP="005E17D1">
            <w:pPr>
              <w:rPr>
                <w:rFonts w:eastAsia="Arial" w:cs="Arial"/>
                <w:bCs/>
                <w:color w:val="auto"/>
                <w:szCs w:val="24"/>
              </w:rPr>
            </w:pPr>
          </w:p>
          <w:p w14:paraId="02C178C3" w14:textId="341D0B6A" w:rsidR="00DC5B07" w:rsidRPr="003C7E62" w:rsidRDefault="00DC5B07" w:rsidP="00D01157">
            <w:pPr>
              <w:keepNext w:val="0"/>
              <w:numPr>
                <w:ilvl w:val="1"/>
                <w:numId w:val="11"/>
              </w:numPr>
              <w:spacing w:before="0"/>
              <w:contextualSpacing/>
              <w:rPr>
                <w:rFonts w:eastAsia="Arial" w:cs="Arial"/>
                <w:bCs/>
                <w:color w:val="auto"/>
                <w:szCs w:val="24"/>
              </w:rPr>
            </w:pPr>
            <w:r w:rsidRPr="003C7E62">
              <w:rPr>
                <w:rFonts w:eastAsia="Arial" w:cs="Arial"/>
                <w:bCs/>
                <w:color w:val="auto"/>
                <w:szCs w:val="24"/>
              </w:rPr>
              <w:t xml:space="preserve">proposals </w:t>
            </w:r>
            <w:r w:rsidR="00FF7C78" w:rsidRPr="009C12CD">
              <w:rPr>
                <w:rFonts w:eastAsia="Arial" w:cs="Arial"/>
                <w:bCs/>
                <w:szCs w:val="24"/>
              </w:rPr>
              <w:t xml:space="preserve">reflect a </w:t>
            </w:r>
            <w:r w:rsidR="003962EC" w:rsidRPr="009C12CD">
              <w:rPr>
                <w:rFonts w:eastAsia="Arial" w:cs="Arial"/>
                <w:bCs/>
                <w:szCs w:val="24"/>
              </w:rPr>
              <w:t>high</w:t>
            </w:r>
            <w:r w:rsidR="003962EC" w:rsidRPr="003C7E62">
              <w:rPr>
                <w:rFonts w:eastAsia="Arial" w:cs="Arial"/>
                <w:bCs/>
                <w:color w:val="auto"/>
                <w:szCs w:val="24"/>
              </w:rPr>
              <w:t>-quality</w:t>
            </w:r>
            <w:r w:rsidRPr="003C7E62">
              <w:rPr>
                <w:rFonts w:eastAsia="Arial" w:cs="Arial"/>
                <w:bCs/>
                <w:color w:val="auto"/>
                <w:szCs w:val="24"/>
              </w:rPr>
              <w:t xml:space="preserve"> design and construction, which enhance local character and distinctiveness.</w:t>
            </w:r>
          </w:p>
          <w:p w14:paraId="5342775A" w14:textId="77777777" w:rsidR="00DC5B07" w:rsidRPr="003C7E62" w:rsidRDefault="00DC5B07" w:rsidP="005E17D1">
            <w:pPr>
              <w:keepNext w:val="0"/>
              <w:tabs>
                <w:tab w:val="left" w:pos="680"/>
                <w:tab w:val="left" w:pos="1133"/>
                <w:tab w:val="left" w:pos="2267"/>
              </w:tabs>
              <w:spacing w:before="0"/>
              <w:ind w:right="284"/>
              <w:rPr>
                <w:rFonts w:eastAsia="Arial" w:cs="Arial"/>
                <w:bCs/>
                <w:color w:val="auto"/>
                <w:szCs w:val="24"/>
              </w:rPr>
            </w:pPr>
          </w:p>
          <w:p w14:paraId="37E99F79" w14:textId="21488303" w:rsidR="00DC5B07" w:rsidRPr="003C7E62" w:rsidRDefault="00DC5B07" w:rsidP="00D01157">
            <w:pPr>
              <w:keepNext w:val="0"/>
              <w:numPr>
                <w:ilvl w:val="0"/>
                <w:numId w:val="11"/>
              </w:numPr>
              <w:tabs>
                <w:tab w:val="left" w:pos="680"/>
                <w:tab w:val="left" w:pos="1133"/>
                <w:tab w:val="left" w:pos="2267"/>
              </w:tabs>
              <w:spacing w:before="0"/>
              <w:ind w:right="284"/>
              <w:rPr>
                <w:rFonts w:eastAsia="Arial" w:cs="Arial"/>
                <w:bCs/>
                <w:color w:val="auto"/>
                <w:szCs w:val="24"/>
              </w:rPr>
            </w:pPr>
            <w:r w:rsidRPr="003C7E62">
              <w:rPr>
                <w:rFonts w:eastAsia="Arial" w:cs="Arial"/>
                <w:bCs/>
                <w:color w:val="auto"/>
                <w:szCs w:val="24"/>
              </w:rPr>
              <w:t xml:space="preserve">Where there are no policies relevant to the application or the policies which are most important for determining the application are out of date at the time of making the decision, the Council will grant permission unless material considerations indicate otherwise, </w:t>
            </w:r>
            <w:proofErr w:type="gramStart"/>
            <w:r w:rsidRPr="003C7E62">
              <w:rPr>
                <w:rFonts w:eastAsia="Arial" w:cs="Arial"/>
                <w:bCs/>
                <w:color w:val="auto"/>
                <w:szCs w:val="24"/>
              </w:rPr>
              <w:t>taking into account</w:t>
            </w:r>
            <w:proofErr w:type="gramEnd"/>
            <w:r w:rsidRPr="003C7E62">
              <w:rPr>
                <w:rFonts w:eastAsia="Arial" w:cs="Arial"/>
                <w:bCs/>
                <w:color w:val="auto"/>
                <w:szCs w:val="24"/>
              </w:rPr>
              <w:t xml:space="preserve"> whether:</w:t>
            </w:r>
          </w:p>
          <w:p w14:paraId="1897C564" w14:textId="77777777" w:rsidR="00DC5B07" w:rsidRPr="003C7E62" w:rsidRDefault="00DC5B07" w:rsidP="005E17D1">
            <w:pPr>
              <w:keepNext w:val="0"/>
              <w:tabs>
                <w:tab w:val="left" w:pos="680"/>
                <w:tab w:val="left" w:pos="1133"/>
                <w:tab w:val="left" w:pos="2267"/>
              </w:tabs>
              <w:spacing w:before="0"/>
              <w:ind w:right="284"/>
              <w:rPr>
                <w:rFonts w:eastAsia="Arial" w:cs="Arial"/>
                <w:bCs/>
                <w:color w:val="auto"/>
                <w:szCs w:val="24"/>
              </w:rPr>
            </w:pPr>
          </w:p>
          <w:p w14:paraId="117C5E67" w14:textId="77777777" w:rsidR="00DC5B07" w:rsidRPr="003C7E62" w:rsidRDefault="00DC5B07" w:rsidP="00D01157">
            <w:pPr>
              <w:keepNext w:val="0"/>
              <w:numPr>
                <w:ilvl w:val="0"/>
                <w:numId w:val="12"/>
              </w:numPr>
              <w:tabs>
                <w:tab w:val="left" w:pos="1133"/>
                <w:tab w:val="left" w:pos="2267"/>
              </w:tabs>
              <w:spacing w:before="0"/>
              <w:ind w:right="284"/>
              <w:rPr>
                <w:rFonts w:eastAsia="Arial" w:cs="Arial"/>
                <w:bCs/>
                <w:color w:val="auto"/>
                <w:szCs w:val="24"/>
              </w:rPr>
            </w:pPr>
            <w:r w:rsidRPr="003C7E62">
              <w:rPr>
                <w:rFonts w:eastAsia="Arial" w:cs="Arial"/>
                <w:bCs/>
                <w:color w:val="auto"/>
                <w:szCs w:val="24"/>
              </w:rPr>
              <w:t xml:space="preserve">Application of policies within the National Planning Policy Framework that protect areas or assets of particular importance provide a clear reason for refusing the development proposed, or </w:t>
            </w:r>
          </w:p>
          <w:p w14:paraId="6B3E5D6C" w14:textId="77777777" w:rsidR="00DC5B07" w:rsidRPr="003C7E62" w:rsidRDefault="00DC5B07" w:rsidP="005E17D1">
            <w:pPr>
              <w:keepNext w:val="0"/>
              <w:tabs>
                <w:tab w:val="left" w:pos="1133"/>
                <w:tab w:val="left" w:pos="2267"/>
              </w:tabs>
              <w:spacing w:before="0"/>
              <w:ind w:left="964" w:right="284"/>
              <w:rPr>
                <w:rFonts w:eastAsia="Arial" w:cs="Arial"/>
                <w:bCs/>
                <w:color w:val="auto"/>
                <w:szCs w:val="24"/>
              </w:rPr>
            </w:pPr>
            <w:r w:rsidRPr="003C7E62">
              <w:rPr>
                <w:rFonts w:eastAsia="Arial" w:cs="Arial"/>
                <w:bCs/>
                <w:color w:val="auto"/>
                <w:szCs w:val="24"/>
              </w:rPr>
              <w:t xml:space="preserve">  </w:t>
            </w:r>
          </w:p>
          <w:p w14:paraId="5292E76D" w14:textId="77777777" w:rsidR="00DC5B07" w:rsidRPr="003C7E62" w:rsidRDefault="00DC5B07" w:rsidP="00D01157">
            <w:pPr>
              <w:keepNext w:val="0"/>
              <w:numPr>
                <w:ilvl w:val="0"/>
                <w:numId w:val="12"/>
              </w:numPr>
              <w:spacing w:before="0"/>
              <w:contextualSpacing/>
              <w:rPr>
                <w:rFonts w:eastAsia="Arial" w:cs="Arial"/>
                <w:bCs/>
                <w:color w:val="auto"/>
                <w:szCs w:val="24"/>
              </w:rPr>
            </w:pPr>
            <w:r w:rsidRPr="003C7E62">
              <w:rPr>
                <w:rFonts w:eastAsia="Arial" w:cs="Arial"/>
                <w:bCs/>
                <w:color w:val="auto"/>
                <w:szCs w:val="24"/>
              </w:rPr>
              <w:t>Any adverse impacts of granting permission would significantly and demonstrably outweigh the benefits, when assessed against the policies in the National Planning Policy Framework (NPPF) taken as a whole.</w:t>
            </w:r>
          </w:p>
          <w:p w14:paraId="68C52FB7" w14:textId="77777777" w:rsidR="00DC5B07" w:rsidRPr="003C7E62" w:rsidRDefault="00DC5B07" w:rsidP="005E17D1">
            <w:pPr>
              <w:keepNext w:val="0"/>
              <w:spacing w:before="0"/>
              <w:contextualSpacing/>
              <w:rPr>
                <w:rFonts w:eastAsia="Arial" w:cs="Arial"/>
                <w:bCs/>
                <w:color w:val="auto"/>
                <w:szCs w:val="24"/>
              </w:rPr>
            </w:pPr>
          </w:p>
          <w:p w14:paraId="5CC877C2" w14:textId="084DEE00" w:rsidR="00DC5B07" w:rsidRPr="003C7E62" w:rsidRDefault="00DC5B07" w:rsidP="00186473">
            <w:pPr>
              <w:keepNext w:val="0"/>
              <w:numPr>
                <w:ilvl w:val="0"/>
                <w:numId w:val="11"/>
              </w:numPr>
              <w:tabs>
                <w:tab w:val="left" w:pos="680"/>
                <w:tab w:val="left" w:pos="1133"/>
                <w:tab w:val="left" w:pos="2267"/>
              </w:tabs>
              <w:spacing w:before="0"/>
              <w:ind w:right="284"/>
              <w:rPr>
                <w:rFonts w:eastAsia="Arial" w:cs="Arial"/>
                <w:bCs/>
                <w:color w:val="auto"/>
                <w:szCs w:val="24"/>
              </w:rPr>
            </w:pPr>
            <w:r w:rsidRPr="003C7E62">
              <w:rPr>
                <w:rFonts w:eastAsia="Arial" w:cs="Arial"/>
                <w:bCs/>
                <w:color w:val="auto"/>
                <w:szCs w:val="24"/>
              </w:rPr>
              <w:t xml:space="preserve">All </w:t>
            </w:r>
            <w:r w:rsidR="00B3086C" w:rsidRPr="00E56F9C">
              <w:rPr>
                <w:rFonts w:eastAsia="Arial" w:cs="Arial"/>
                <w:bCs/>
                <w:color w:val="005EAC"/>
                <w:szCs w:val="24"/>
              </w:rPr>
              <w:t>major</w:t>
            </w:r>
            <w:r w:rsidR="00B3086C">
              <w:rPr>
                <w:rFonts w:eastAsia="Arial" w:cs="Arial"/>
                <w:bCs/>
                <w:color w:val="auto"/>
                <w:szCs w:val="24"/>
              </w:rPr>
              <w:t xml:space="preserve"> </w:t>
            </w:r>
            <w:r w:rsidRPr="003C7E62">
              <w:rPr>
                <w:rFonts w:eastAsia="Arial" w:cs="Arial"/>
                <w:bCs/>
                <w:color w:val="auto"/>
                <w:szCs w:val="24"/>
              </w:rPr>
              <w:t xml:space="preserve">development should be located, designed, constructed and operated </w:t>
            </w:r>
            <w:proofErr w:type="gramStart"/>
            <w:r w:rsidRPr="003C7E62">
              <w:rPr>
                <w:rFonts w:eastAsia="Arial" w:cs="Arial"/>
                <w:bCs/>
                <w:color w:val="auto"/>
                <w:szCs w:val="24"/>
              </w:rPr>
              <w:t>so as to</w:t>
            </w:r>
            <w:proofErr w:type="gramEnd"/>
            <w:r w:rsidRPr="003C7E62">
              <w:rPr>
                <w:rFonts w:eastAsia="Arial" w:cs="Arial"/>
                <w:bCs/>
                <w:color w:val="auto"/>
                <w:szCs w:val="24"/>
              </w:rPr>
              <w:t xml:space="preserve"> maximise </w:t>
            </w:r>
            <w:r w:rsidR="00945E91">
              <w:rPr>
                <w:rFonts w:eastAsia="Arial" w:cs="Arial"/>
                <w:bCs/>
                <w:color w:val="auto"/>
                <w:szCs w:val="24"/>
              </w:rPr>
              <w:t xml:space="preserve">and deliver </w:t>
            </w:r>
            <w:r w:rsidRPr="003C7E62">
              <w:rPr>
                <w:rFonts w:eastAsia="Arial" w:cs="Arial"/>
                <w:bCs/>
                <w:color w:val="auto"/>
                <w:szCs w:val="24"/>
              </w:rPr>
              <w:t>social value.</w:t>
            </w:r>
          </w:p>
        </w:tc>
      </w:tr>
      <w:tr w:rsidR="00DC5B07" w:rsidRPr="003C7E62" w14:paraId="30B4165A" w14:textId="77777777" w:rsidTr="009D4C91">
        <w:tc>
          <w:tcPr>
            <w:tcW w:w="2552" w:type="dxa"/>
          </w:tcPr>
          <w:p w14:paraId="5753C0CD" w14:textId="77777777" w:rsidR="00DC5B07" w:rsidRPr="00D46943" w:rsidRDefault="00DC5B07" w:rsidP="005A3E46">
            <w:pPr>
              <w:keepNext w:val="0"/>
              <w:tabs>
                <w:tab w:val="left" w:pos="680"/>
                <w:tab w:val="left" w:pos="1133"/>
                <w:tab w:val="left" w:pos="2267"/>
              </w:tabs>
              <w:spacing w:before="0"/>
              <w:ind w:right="284"/>
              <w:rPr>
                <w:rFonts w:eastAsia="Arial" w:cs="Arial"/>
                <w:bCs/>
                <w:color w:val="auto"/>
                <w:sz w:val="20"/>
              </w:rPr>
            </w:pPr>
            <w:r w:rsidRPr="00D46943">
              <w:rPr>
                <w:rFonts w:eastAsia="Arial" w:cs="Arial"/>
                <w:bCs/>
                <w:color w:val="auto"/>
                <w:sz w:val="20"/>
              </w:rPr>
              <w:lastRenderedPageBreak/>
              <w:t>Evidence base</w:t>
            </w:r>
          </w:p>
        </w:tc>
        <w:tc>
          <w:tcPr>
            <w:tcW w:w="6946" w:type="dxa"/>
            <w:gridSpan w:val="2"/>
          </w:tcPr>
          <w:p w14:paraId="43185203" w14:textId="0F8C56F8" w:rsidR="00DC5B07" w:rsidRPr="009C12CD" w:rsidRDefault="00DC5B07" w:rsidP="005A3E46">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rPr>
            </w:pPr>
            <w:r w:rsidRPr="00D46943">
              <w:rPr>
                <w:rFonts w:eastAsia="Arial" w:cs="Arial"/>
                <w:bCs/>
                <w:color w:val="auto"/>
                <w:sz w:val="20"/>
              </w:rPr>
              <w:t>Sustainability Appraisal</w:t>
            </w:r>
            <w:r w:rsidR="006549CC" w:rsidRPr="00D46943">
              <w:rPr>
                <w:rFonts w:eastAsia="Arial" w:cs="Arial"/>
                <w:bCs/>
                <w:color w:val="auto"/>
                <w:sz w:val="20"/>
              </w:rPr>
              <w:t xml:space="preserve">, </w:t>
            </w:r>
            <w:r w:rsidR="006549CC" w:rsidRPr="009C12CD">
              <w:rPr>
                <w:rFonts w:eastAsia="Arial" w:cs="Arial"/>
                <w:bCs/>
                <w:sz w:val="20"/>
              </w:rPr>
              <w:t>202</w:t>
            </w:r>
            <w:r w:rsidR="00D411FD" w:rsidRPr="009C12CD">
              <w:rPr>
                <w:rFonts w:eastAsia="Arial" w:cs="Arial"/>
                <w:bCs/>
                <w:sz w:val="20"/>
              </w:rPr>
              <w:t>3</w:t>
            </w:r>
            <w:r w:rsidR="00017F77" w:rsidRPr="009C12CD">
              <w:rPr>
                <w:rFonts w:eastAsia="Arial" w:cs="Arial"/>
                <w:bCs/>
                <w:sz w:val="20"/>
              </w:rPr>
              <w:t xml:space="preserve">. WSP UK Limited.  </w:t>
            </w:r>
          </w:p>
          <w:p w14:paraId="170F1941" w14:textId="5D65D4C9" w:rsidR="00DC5B07" w:rsidRPr="009C12CD" w:rsidRDefault="00DC5B07" w:rsidP="005A3E46">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rPr>
            </w:pPr>
            <w:r w:rsidRPr="009C12CD">
              <w:rPr>
                <w:rFonts w:eastAsia="Arial" w:cs="Arial"/>
                <w:bCs/>
                <w:sz w:val="20"/>
              </w:rPr>
              <w:t>Social Value Portal</w:t>
            </w:r>
            <w:r w:rsidR="006549CC" w:rsidRPr="009C12CD">
              <w:rPr>
                <w:rFonts w:eastAsia="Arial" w:cs="Arial"/>
                <w:bCs/>
                <w:sz w:val="20"/>
              </w:rPr>
              <w:t>, August 2021.</w:t>
            </w:r>
          </w:p>
          <w:p w14:paraId="1D0D3994" w14:textId="77777777" w:rsidR="00CB51F1" w:rsidRPr="00CB51F1" w:rsidRDefault="00CB51F1" w:rsidP="005A3E46">
            <w:pPr>
              <w:keepNext w:val="0"/>
              <w:numPr>
                <w:ilvl w:val="0"/>
                <w:numId w:val="13"/>
              </w:numPr>
              <w:tabs>
                <w:tab w:val="left" w:pos="680"/>
                <w:tab w:val="left" w:pos="1133"/>
                <w:tab w:val="left" w:pos="2267"/>
              </w:tabs>
              <w:spacing w:before="0" w:after="160" w:line="252" w:lineRule="auto"/>
              <w:ind w:right="284"/>
              <w:contextualSpacing/>
              <w:rPr>
                <w:rFonts w:eastAsia="Arial" w:cs="Arial"/>
                <w:bCs/>
                <w:color w:val="auto"/>
                <w:sz w:val="20"/>
              </w:rPr>
            </w:pPr>
            <w:r w:rsidRPr="009C12CD">
              <w:rPr>
                <w:rFonts w:eastAsia="Arial" w:cs="Arial"/>
                <w:bCs/>
                <w:sz w:val="20"/>
              </w:rPr>
              <w:t>Ashfield Social Value Policy, 2020.  Ashfield District Coun</w:t>
            </w:r>
            <w:r w:rsidRPr="00CB51F1">
              <w:rPr>
                <w:rFonts w:eastAsia="Arial" w:cs="Arial"/>
                <w:bCs/>
                <w:color w:val="auto"/>
                <w:sz w:val="20"/>
              </w:rPr>
              <w:t>cil</w:t>
            </w:r>
          </w:p>
          <w:p w14:paraId="1F66B257" w14:textId="77777777" w:rsidR="00CB51F1" w:rsidRPr="00CB51F1" w:rsidRDefault="00CB51F1" w:rsidP="005A3E46">
            <w:pPr>
              <w:keepNext w:val="0"/>
              <w:numPr>
                <w:ilvl w:val="0"/>
                <w:numId w:val="13"/>
              </w:numPr>
              <w:tabs>
                <w:tab w:val="left" w:pos="680"/>
                <w:tab w:val="left" w:pos="1133"/>
                <w:tab w:val="left" w:pos="2267"/>
              </w:tabs>
              <w:spacing w:before="0" w:after="160" w:line="252" w:lineRule="auto"/>
              <w:ind w:right="284"/>
              <w:contextualSpacing/>
              <w:rPr>
                <w:rFonts w:eastAsia="Arial" w:cs="Arial"/>
                <w:bCs/>
                <w:color w:val="auto"/>
                <w:sz w:val="20"/>
              </w:rPr>
            </w:pPr>
            <w:r w:rsidRPr="00CB51F1">
              <w:rPr>
                <w:rFonts w:eastAsia="Arial" w:cs="Arial"/>
                <w:bCs/>
                <w:color w:val="auto"/>
                <w:sz w:val="20"/>
              </w:rPr>
              <w:t>Ashfield Health and Wellbeing Partnership Strategy Be Healthy, Be Happy, 2021 – 2025 Ashfield Health and Wellbeing Partnership.</w:t>
            </w:r>
          </w:p>
          <w:p w14:paraId="41D489B3" w14:textId="77777777" w:rsidR="00CB51F1" w:rsidRPr="00716A70" w:rsidRDefault="00CB51F1" w:rsidP="005A3E46">
            <w:pPr>
              <w:keepNext w:val="0"/>
              <w:numPr>
                <w:ilvl w:val="0"/>
                <w:numId w:val="13"/>
              </w:numPr>
              <w:tabs>
                <w:tab w:val="left" w:pos="680"/>
                <w:tab w:val="left" w:pos="1133"/>
                <w:tab w:val="left" w:pos="2267"/>
              </w:tabs>
              <w:spacing w:before="0" w:after="160" w:line="252" w:lineRule="auto"/>
              <w:ind w:right="284"/>
              <w:contextualSpacing/>
              <w:rPr>
                <w:rFonts w:eastAsia="Arial" w:cs="Arial"/>
                <w:bCs/>
                <w:color w:val="auto"/>
                <w:sz w:val="20"/>
              </w:rPr>
            </w:pPr>
            <w:r w:rsidRPr="00716A70">
              <w:rPr>
                <w:rFonts w:eastAsia="Arial" w:cs="Arial"/>
                <w:bCs/>
                <w:color w:val="auto"/>
                <w:sz w:val="20"/>
              </w:rPr>
              <w:t xml:space="preserve">Ashfield Community Partnership Strategic Plan 2019-2022 </w:t>
            </w:r>
          </w:p>
          <w:p w14:paraId="11B3668E" w14:textId="77777777" w:rsidR="00CB51F1" w:rsidRPr="00716A70" w:rsidRDefault="00CB51F1" w:rsidP="005A3E46">
            <w:pPr>
              <w:keepNext w:val="0"/>
              <w:numPr>
                <w:ilvl w:val="0"/>
                <w:numId w:val="13"/>
              </w:numPr>
              <w:tabs>
                <w:tab w:val="left" w:pos="680"/>
                <w:tab w:val="left" w:pos="1133"/>
                <w:tab w:val="left" w:pos="2267"/>
              </w:tabs>
              <w:spacing w:before="0" w:after="160" w:line="252" w:lineRule="auto"/>
              <w:ind w:right="284"/>
              <w:contextualSpacing/>
              <w:rPr>
                <w:rFonts w:eastAsia="Arial" w:cs="Arial"/>
                <w:bCs/>
                <w:color w:val="auto"/>
                <w:sz w:val="20"/>
              </w:rPr>
            </w:pPr>
            <w:r w:rsidRPr="00716A70">
              <w:rPr>
                <w:rFonts w:eastAsia="Arial" w:cs="Arial"/>
                <w:bCs/>
                <w:color w:val="auto"/>
                <w:sz w:val="20"/>
              </w:rPr>
              <w:t>Ashfield Community Partnership Strategic Assessment 2019-2022</w:t>
            </w:r>
          </w:p>
          <w:p w14:paraId="39489620" w14:textId="205D8EE0" w:rsidR="00DC5B07" w:rsidRPr="00D46943" w:rsidRDefault="00DC5B07" w:rsidP="005A3E46">
            <w:pPr>
              <w:keepNext w:val="0"/>
              <w:numPr>
                <w:ilvl w:val="0"/>
                <w:numId w:val="13"/>
              </w:numPr>
              <w:tabs>
                <w:tab w:val="left" w:pos="680"/>
                <w:tab w:val="left" w:pos="1133"/>
                <w:tab w:val="left" w:pos="2267"/>
              </w:tabs>
              <w:spacing w:before="0" w:after="160" w:line="252" w:lineRule="auto"/>
              <w:ind w:right="284"/>
              <w:contextualSpacing/>
              <w:rPr>
                <w:rFonts w:eastAsia="Arial" w:cs="Arial"/>
                <w:bCs/>
                <w:color w:val="auto"/>
                <w:sz w:val="20"/>
              </w:rPr>
            </w:pPr>
            <w:r w:rsidRPr="00D46943">
              <w:rPr>
                <w:rFonts w:eastAsia="Arial" w:cs="Arial"/>
                <w:bCs/>
                <w:color w:val="auto"/>
                <w:sz w:val="20"/>
              </w:rPr>
              <w:t>Annual Monitoring Report</w:t>
            </w:r>
            <w:r w:rsidR="006549CC" w:rsidRPr="00D46943">
              <w:rPr>
                <w:rFonts w:eastAsia="Arial" w:cs="Arial"/>
                <w:bCs/>
                <w:color w:val="auto"/>
                <w:sz w:val="20"/>
              </w:rPr>
              <w:t xml:space="preserve">, </w:t>
            </w:r>
            <w:proofErr w:type="gramStart"/>
            <w:r w:rsidR="006549CC" w:rsidRPr="00D46943">
              <w:rPr>
                <w:rFonts w:eastAsia="Arial" w:cs="Arial"/>
                <w:bCs/>
                <w:color w:val="auto"/>
                <w:sz w:val="20"/>
              </w:rPr>
              <w:t>Annually</w:t>
            </w:r>
            <w:proofErr w:type="gramEnd"/>
            <w:r w:rsidR="006549CC" w:rsidRPr="00D46943">
              <w:rPr>
                <w:rFonts w:eastAsia="Arial" w:cs="Arial"/>
                <w:bCs/>
                <w:color w:val="auto"/>
                <w:sz w:val="20"/>
              </w:rPr>
              <w:t xml:space="preserve"> </w:t>
            </w:r>
            <w:r w:rsidRPr="00D46943">
              <w:rPr>
                <w:rFonts w:eastAsia="Arial" w:cs="Arial"/>
                <w:bCs/>
                <w:color w:val="auto"/>
                <w:sz w:val="20"/>
              </w:rPr>
              <w:t>– Ashfield District Council</w:t>
            </w:r>
            <w:r w:rsidR="00617AEA" w:rsidRPr="00D46943">
              <w:rPr>
                <w:rFonts w:eastAsia="Arial" w:cs="Arial"/>
                <w:bCs/>
                <w:color w:val="auto"/>
                <w:sz w:val="20"/>
              </w:rPr>
              <w:t>.</w:t>
            </w:r>
          </w:p>
        </w:tc>
      </w:tr>
      <w:tr w:rsidR="00DC5B07" w:rsidRPr="003C7E62" w14:paraId="13511171" w14:textId="77777777" w:rsidTr="009D4C91">
        <w:tc>
          <w:tcPr>
            <w:tcW w:w="2552" w:type="dxa"/>
          </w:tcPr>
          <w:p w14:paraId="07CA548A" w14:textId="68FAD1A1" w:rsidR="00DC5B07" w:rsidRPr="00D46943" w:rsidRDefault="00DC5B07" w:rsidP="005A3E46">
            <w:pPr>
              <w:keepNext w:val="0"/>
              <w:tabs>
                <w:tab w:val="left" w:pos="680"/>
                <w:tab w:val="left" w:pos="1133"/>
                <w:tab w:val="left" w:pos="2267"/>
              </w:tabs>
              <w:spacing w:before="0"/>
              <w:ind w:right="284"/>
              <w:rPr>
                <w:rFonts w:eastAsia="Arial" w:cs="Arial"/>
                <w:bCs/>
                <w:color w:val="auto"/>
                <w:sz w:val="20"/>
              </w:rPr>
            </w:pPr>
            <w:r w:rsidRPr="00D46943">
              <w:rPr>
                <w:rFonts w:eastAsia="Arial" w:cs="Arial"/>
                <w:bCs/>
                <w:color w:val="auto"/>
                <w:sz w:val="20"/>
              </w:rPr>
              <w:t xml:space="preserve">National Planning Policy </w:t>
            </w:r>
            <w:r w:rsidR="00B8736C" w:rsidRPr="00D46943">
              <w:rPr>
                <w:rFonts w:eastAsia="Arial" w:cs="Arial"/>
                <w:bCs/>
                <w:color w:val="auto"/>
                <w:sz w:val="20"/>
              </w:rPr>
              <w:t>and</w:t>
            </w:r>
            <w:r w:rsidRPr="00D46943">
              <w:rPr>
                <w:rFonts w:eastAsia="Arial" w:cs="Arial"/>
                <w:bCs/>
                <w:color w:val="auto"/>
                <w:sz w:val="20"/>
              </w:rPr>
              <w:t xml:space="preserve"> Guidance</w:t>
            </w:r>
          </w:p>
        </w:tc>
        <w:tc>
          <w:tcPr>
            <w:tcW w:w="6946" w:type="dxa"/>
            <w:gridSpan w:val="2"/>
          </w:tcPr>
          <w:p w14:paraId="7819DD70" w14:textId="5A9A6068" w:rsidR="00DC5B07" w:rsidRPr="00D46943" w:rsidRDefault="00DC5B07" w:rsidP="00874A98">
            <w:pPr>
              <w:pStyle w:val="ListParagraph"/>
              <w:numPr>
                <w:ilvl w:val="0"/>
                <w:numId w:val="105"/>
              </w:numPr>
              <w:tabs>
                <w:tab w:val="left" w:pos="680"/>
                <w:tab w:val="left" w:pos="1133"/>
                <w:tab w:val="left" w:pos="2267"/>
              </w:tabs>
              <w:ind w:right="284"/>
              <w:rPr>
                <w:rFonts w:ascii="Arial" w:eastAsia="Arial" w:hAnsi="Arial" w:cs="Arial"/>
                <w:bCs/>
                <w:color w:val="auto"/>
                <w:sz w:val="20"/>
              </w:rPr>
            </w:pPr>
            <w:r w:rsidRPr="00D46943">
              <w:rPr>
                <w:rFonts w:ascii="Arial" w:eastAsia="Arial" w:hAnsi="Arial" w:cs="Arial"/>
                <w:bCs/>
                <w:color w:val="auto"/>
                <w:sz w:val="20"/>
              </w:rPr>
              <w:t xml:space="preserve">NPPF </w:t>
            </w:r>
            <w:r w:rsidR="006549CC" w:rsidRPr="00D46943">
              <w:rPr>
                <w:rFonts w:ascii="Arial" w:eastAsia="Arial" w:hAnsi="Arial" w:cs="Arial"/>
                <w:bCs/>
                <w:color w:val="auto"/>
                <w:sz w:val="20"/>
              </w:rPr>
              <w:t>20</w:t>
            </w:r>
            <w:r w:rsidR="00A74E08" w:rsidRPr="00D46943">
              <w:rPr>
                <w:rFonts w:ascii="Arial" w:eastAsia="Arial" w:hAnsi="Arial" w:cs="Arial"/>
                <w:bCs/>
                <w:color w:val="auto"/>
                <w:sz w:val="20"/>
              </w:rPr>
              <w:t>2</w:t>
            </w:r>
            <w:r w:rsidR="00A37A61">
              <w:rPr>
                <w:rFonts w:ascii="Arial" w:eastAsia="Arial" w:hAnsi="Arial" w:cs="Arial"/>
                <w:bCs/>
                <w:color w:val="auto"/>
                <w:sz w:val="20"/>
              </w:rPr>
              <w:t>3</w:t>
            </w:r>
            <w:r w:rsidR="00617AEA" w:rsidRPr="00D46943">
              <w:rPr>
                <w:rFonts w:ascii="Arial" w:eastAsia="Arial" w:hAnsi="Arial" w:cs="Arial"/>
                <w:bCs/>
                <w:color w:val="auto"/>
                <w:sz w:val="20"/>
              </w:rPr>
              <w:t>.</w:t>
            </w:r>
          </w:p>
        </w:tc>
      </w:tr>
      <w:bookmarkEnd w:id="43"/>
    </w:tbl>
    <w:p w14:paraId="483C13C5" w14:textId="77777777" w:rsidR="00FA0A04" w:rsidRDefault="00FA0A04" w:rsidP="00FA0A04">
      <w:pPr>
        <w:keepNext w:val="0"/>
        <w:spacing w:before="0"/>
        <w:ind w:left="709"/>
        <w:rPr>
          <w:rFonts w:cs="Arial"/>
          <w:color w:val="auto"/>
          <w:szCs w:val="24"/>
          <w:lang w:eastAsia="en-US"/>
        </w:rPr>
      </w:pPr>
    </w:p>
    <w:p w14:paraId="555F696F" w14:textId="64092221" w:rsidR="005E21D7" w:rsidRPr="00FA0A04" w:rsidRDefault="005E21D7" w:rsidP="00636D0F">
      <w:pPr>
        <w:keepNext w:val="0"/>
        <w:numPr>
          <w:ilvl w:val="1"/>
          <w:numId w:val="306"/>
        </w:numPr>
        <w:autoSpaceDE w:val="0"/>
        <w:autoSpaceDN w:val="0"/>
        <w:adjustRightInd w:val="0"/>
        <w:spacing w:before="0"/>
        <w:ind w:left="851" w:hanging="851"/>
        <w:rPr>
          <w:rFonts w:cs="Arial"/>
          <w:color w:val="auto"/>
          <w:szCs w:val="24"/>
          <w:lang w:eastAsia="en-US"/>
        </w:rPr>
      </w:pPr>
      <w:r w:rsidRPr="00FA0A04">
        <w:rPr>
          <w:rFonts w:cs="Arial"/>
          <w:color w:val="auto"/>
          <w:szCs w:val="24"/>
        </w:rPr>
        <w:t>Policy S</w:t>
      </w:r>
      <w:r w:rsidR="00FA0A04">
        <w:rPr>
          <w:rFonts w:cs="Arial"/>
          <w:color w:val="auto"/>
          <w:szCs w:val="24"/>
        </w:rPr>
        <w:t>2</w:t>
      </w:r>
      <w:r w:rsidRPr="00FA0A04">
        <w:rPr>
          <w:rFonts w:cs="Arial"/>
          <w:color w:val="auto"/>
          <w:szCs w:val="24"/>
        </w:rPr>
        <w:t xml:space="preserve"> sets out the Councils approach to sustainable development, including social value.  It represents the general policy against which all development proposals will be assessed irrespective of land use.  It enshrines the presumption in favour of sustainable development and outlines the basic criteria which all development proposals must satisfy, it also applies to all the land use-based policies in the Plan.</w:t>
      </w:r>
    </w:p>
    <w:p w14:paraId="485CBBC3" w14:textId="77777777" w:rsidR="005E21D7" w:rsidRDefault="005E21D7" w:rsidP="005E21D7">
      <w:pPr>
        <w:pStyle w:val="ListParagraph"/>
        <w:spacing w:after="0" w:line="240" w:lineRule="auto"/>
        <w:rPr>
          <w:rFonts w:cs="Arial"/>
          <w:color w:val="auto"/>
          <w:szCs w:val="24"/>
        </w:rPr>
      </w:pPr>
    </w:p>
    <w:p w14:paraId="3617E0FB" w14:textId="77777777" w:rsidR="00FA0A04" w:rsidRDefault="005E21D7" w:rsidP="00636D0F">
      <w:pPr>
        <w:keepNext w:val="0"/>
        <w:numPr>
          <w:ilvl w:val="1"/>
          <w:numId w:val="306"/>
        </w:numPr>
        <w:autoSpaceDE w:val="0"/>
        <w:autoSpaceDN w:val="0"/>
        <w:adjustRightInd w:val="0"/>
        <w:spacing w:before="0"/>
        <w:ind w:left="851" w:hanging="851"/>
        <w:rPr>
          <w:rFonts w:cs="Arial"/>
          <w:color w:val="auto"/>
          <w:szCs w:val="24"/>
          <w:lang w:eastAsia="en-US"/>
        </w:rPr>
      </w:pPr>
      <w:r w:rsidRPr="005E21D7">
        <w:rPr>
          <w:rFonts w:cs="Arial"/>
          <w:color w:val="auto"/>
          <w:szCs w:val="24"/>
        </w:rPr>
        <w:t xml:space="preserve">The Council has adopted a positive approach in seeking to meet the objectively assessed development needs of the </w:t>
      </w:r>
      <w:proofErr w:type="gramStart"/>
      <w:r w:rsidRPr="005E21D7">
        <w:rPr>
          <w:rFonts w:cs="Arial"/>
          <w:color w:val="auto"/>
          <w:szCs w:val="24"/>
        </w:rPr>
        <w:t>District</w:t>
      </w:r>
      <w:proofErr w:type="gramEnd"/>
      <w:r w:rsidRPr="005E21D7">
        <w:rPr>
          <w:rFonts w:cs="Arial"/>
          <w:color w:val="auto"/>
          <w:szCs w:val="24"/>
        </w:rPr>
        <w:t>. The policies in the Local Plan provide a clear framework to guide development that creates positive, sustainable growth, enabling proposals that accord with the Plan objectives to be approved without delay.  Development is required to make effective use of land while safeguarding and improving the environment and ensuring the health/ wellbeing of the community.</w:t>
      </w:r>
    </w:p>
    <w:p w14:paraId="2F51DF36" w14:textId="77777777" w:rsidR="00FA0A04" w:rsidRDefault="00FA0A04" w:rsidP="00FA0A04">
      <w:pPr>
        <w:keepNext w:val="0"/>
        <w:spacing w:before="0"/>
        <w:ind w:left="709"/>
        <w:rPr>
          <w:rFonts w:cs="Arial"/>
          <w:color w:val="auto"/>
          <w:szCs w:val="24"/>
          <w:lang w:eastAsia="en-US"/>
        </w:rPr>
      </w:pPr>
    </w:p>
    <w:p w14:paraId="7E000E7B" w14:textId="35D5A838" w:rsidR="003962EC" w:rsidRPr="00FA0A04" w:rsidRDefault="005E21D7" w:rsidP="00636D0F">
      <w:pPr>
        <w:keepNext w:val="0"/>
        <w:numPr>
          <w:ilvl w:val="1"/>
          <w:numId w:val="306"/>
        </w:numPr>
        <w:autoSpaceDE w:val="0"/>
        <w:autoSpaceDN w:val="0"/>
        <w:adjustRightInd w:val="0"/>
        <w:spacing w:before="0"/>
        <w:ind w:left="851" w:hanging="851"/>
        <w:rPr>
          <w:rFonts w:cs="Arial"/>
          <w:color w:val="auto"/>
          <w:szCs w:val="24"/>
          <w:lang w:eastAsia="en-US"/>
        </w:rPr>
      </w:pPr>
      <w:r w:rsidRPr="00FA0A04">
        <w:rPr>
          <w:rFonts w:cs="Arial"/>
          <w:color w:val="auto"/>
          <w:szCs w:val="24"/>
        </w:rPr>
        <w:t>A development must not adversely affect the character, quality, amenity or safety of the built</w:t>
      </w:r>
      <w:r w:rsidR="0024147A">
        <w:rPr>
          <w:rFonts w:cs="Arial"/>
          <w:color w:val="auto"/>
          <w:szCs w:val="24"/>
        </w:rPr>
        <w:t>,</w:t>
      </w:r>
      <w:r w:rsidRPr="00FA0A04">
        <w:rPr>
          <w:rFonts w:cs="Arial"/>
          <w:color w:val="auto"/>
          <w:szCs w:val="24"/>
        </w:rPr>
        <w:t xml:space="preserve"> </w:t>
      </w:r>
      <w:r w:rsidRPr="0024147A">
        <w:rPr>
          <w:rFonts w:cs="Arial"/>
          <w:strike/>
          <w:color w:val="auto"/>
          <w:szCs w:val="24"/>
        </w:rPr>
        <w:t>or</w:t>
      </w:r>
      <w:r w:rsidRPr="0024147A">
        <w:rPr>
          <w:rFonts w:cs="Arial"/>
          <w:color w:val="auto"/>
          <w:szCs w:val="24"/>
        </w:rPr>
        <w:t xml:space="preserve"> </w:t>
      </w:r>
      <w:r w:rsidRPr="0036055D">
        <w:rPr>
          <w:rFonts w:cs="Arial"/>
          <w:color w:val="auto"/>
          <w:szCs w:val="24"/>
        </w:rPr>
        <w:t xml:space="preserve">natural </w:t>
      </w:r>
      <w:r w:rsidR="0036055D" w:rsidRPr="001E1066">
        <w:rPr>
          <w:rFonts w:cs="Arial"/>
          <w:color w:val="0070C0"/>
          <w:szCs w:val="24"/>
        </w:rPr>
        <w:t>and</w:t>
      </w:r>
      <w:r w:rsidR="0024147A" w:rsidRPr="001E1066">
        <w:rPr>
          <w:rFonts w:cs="Arial"/>
          <w:color w:val="0070C0"/>
          <w:szCs w:val="24"/>
        </w:rPr>
        <w:t xml:space="preserve"> historic </w:t>
      </w:r>
      <w:r w:rsidRPr="0036055D">
        <w:rPr>
          <w:rFonts w:cs="Arial"/>
          <w:color w:val="auto"/>
          <w:szCs w:val="24"/>
        </w:rPr>
        <w:t>environment</w:t>
      </w:r>
      <w:r w:rsidRPr="00FA0A04">
        <w:rPr>
          <w:rFonts w:cs="Arial"/>
          <w:color w:val="auto"/>
          <w:szCs w:val="24"/>
        </w:rPr>
        <w:t>, wherever it occurs. This will include the need to protect open spaces and playing fields in urban areas and elsewhere. The appearance of a proposed development and its relationship with its surroundings are a key factor and the Council will require good quality design solutions which respect and enhance the local character of an area.</w:t>
      </w:r>
    </w:p>
    <w:p w14:paraId="359606E7" w14:textId="77777777" w:rsidR="005E21D7" w:rsidRPr="005E21D7" w:rsidRDefault="005E21D7" w:rsidP="005E21D7">
      <w:pPr>
        <w:keepNext w:val="0"/>
        <w:spacing w:before="0"/>
        <w:rPr>
          <w:rFonts w:cs="Arial"/>
          <w:color w:val="auto"/>
          <w:szCs w:val="24"/>
          <w:lang w:eastAsia="en-US"/>
        </w:rPr>
      </w:pPr>
    </w:p>
    <w:p w14:paraId="417324D4" w14:textId="68A3B840" w:rsidR="005E17D1" w:rsidRDefault="005E17D1" w:rsidP="00285BC7">
      <w:pPr>
        <w:keepNext w:val="0"/>
        <w:spacing w:before="0"/>
        <w:ind w:firstLine="851"/>
        <w:rPr>
          <w:rFonts w:cs="Arial"/>
          <w:color w:val="auto"/>
          <w:szCs w:val="24"/>
        </w:rPr>
      </w:pPr>
      <w:r w:rsidRPr="005E17D1">
        <w:rPr>
          <w:rFonts w:asciiTheme="minorHAnsi" w:eastAsia="Arial" w:hAnsiTheme="minorHAnsi" w:cs="Arial"/>
          <w:noProof/>
          <w:color w:val="FF0000"/>
          <w:sz w:val="22"/>
          <w:szCs w:val="22"/>
        </w:rPr>
        <mc:AlternateContent>
          <mc:Choice Requires="wps">
            <w:drawing>
              <wp:inline distT="0" distB="0" distL="0" distR="0" wp14:anchorId="2BDE29F8" wp14:editId="10752B6F">
                <wp:extent cx="5391150" cy="4171950"/>
                <wp:effectExtent l="0" t="0" r="19050" b="1905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4171950"/>
                        </a:xfrm>
                        <a:prstGeom prst="rect">
                          <a:avLst/>
                        </a:prstGeom>
                        <a:solidFill>
                          <a:schemeClr val="accent6">
                            <a:lumMod val="60000"/>
                            <a:lumOff val="40000"/>
                          </a:schemeClr>
                        </a:solidFill>
                        <a:ln w="9525">
                          <a:solidFill>
                            <a:srgbClr val="000000"/>
                          </a:solidFill>
                          <a:miter lim="800000"/>
                          <a:headEnd/>
                          <a:tailEnd/>
                        </a:ln>
                      </wps:spPr>
                      <wps:txbx>
                        <w:txbxContent>
                          <w:p w14:paraId="1A25C88B" w14:textId="77777777" w:rsidR="00054236" w:rsidRPr="00716A70" w:rsidRDefault="00054236" w:rsidP="005E17D1">
                            <w:pPr>
                              <w:keepNext w:val="0"/>
                              <w:spacing w:before="0"/>
                              <w:rPr>
                                <w:rFonts w:cs="Arial"/>
                                <w:b/>
                                <w:bCs/>
                                <w:color w:val="auto"/>
                                <w:sz w:val="22"/>
                                <w:szCs w:val="22"/>
                              </w:rPr>
                            </w:pPr>
                            <w:r w:rsidRPr="00716A70">
                              <w:rPr>
                                <w:rFonts w:cs="Arial"/>
                                <w:b/>
                                <w:bCs/>
                                <w:color w:val="auto"/>
                                <w:sz w:val="22"/>
                                <w:szCs w:val="22"/>
                              </w:rPr>
                              <w:t>NPPF Paragraph 8</w:t>
                            </w:r>
                          </w:p>
                          <w:p w14:paraId="368B3E36" w14:textId="77777777" w:rsidR="00054236" w:rsidRPr="00716A70" w:rsidRDefault="00054236" w:rsidP="005E17D1">
                            <w:pPr>
                              <w:keepNext w:val="0"/>
                              <w:spacing w:before="0"/>
                              <w:rPr>
                                <w:rFonts w:cs="Arial"/>
                                <w:color w:val="auto"/>
                                <w:sz w:val="22"/>
                                <w:szCs w:val="22"/>
                              </w:rPr>
                            </w:pPr>
                          </w:p>
                          <w:p w14:paraId="6B91A39A" w14:textId="0CC9871C" w:rsidR="00054236" w:rsidRPr="005E17D1" w:rsidRDefault="00054236" w:rsidP="005E17D1">
                            <w:pPr>
                              <w:keepNext w:val="0"/>
                              <w:autoSpaceDE w:val="0"/>
                              <w:autoSpaceDN w:val="0"/>
                              <w:adjustRightInd w:val="0"/>
                              <w:spacing w:before="0"/>
                              <w:rPr>
                                <w:rFonts w:cs="Arial"/>
                                <w:i/>
                                <w:iCs/>
                                <w:color w:val="auto"/>
                                <w:sz w:val="22"/>
                                <w:szCs w:val="22"/>
                              </w:rPr>
                            </w:pPr>
                            <w:r w:rsidRPr="005E17D1">
                              <w:rPr>
                                <w:rFonts w:cs="Arial"/>
                                <w:i/>
                                <w:iCs/>
                                <w:color w:val="auto"/>
                                <w:sz w:val="22"/>
                                <w:szCs w:val="22"/>
                              </w:rPr>
                              <w:t>Achieving sustainable development means that the planning system has three</w:t>
                            </w:r>
                            <w:r w:rsidR="00716A70">
                              <w:rPr>
                                <w:rFonts w:cs="Arial"/>
                                <w:i/>
                                <w:iCs/>
                                <w:color w:val="auto"/>
                                <w:sz w:val="22"/>
                                <w:szCs w:val="22"/>
                              </w:rPr>
                              <w:t xml:space="preserve"> </w:t>
                            </w:r>
                            <w:r w:rsidRPr="005E17D1">
                              <w:rPr>
                                <w:rFonts w:cs="Arial"/>
                                <w:i/>
                                <w:iCs/>
                                <w:color w:val="auto"/>
                                <w:sz w:val="22"/>
                                <w:szCs w:val="22"/>
                              </w:rPr>
                              <w:t>overarching objectives, which are interdependent and need to be pursued in</w:t>
                            </w:r>
                          </w:p>
                          <w:p w14:paraId="4D3E39FD" w14:textId="77777777" w:rsidR="00054236" w:rsidRPr="005E17D1" w:rsidRDefault="00054236" w:rsidP="005E17D1">
                            <w:pPr>
                              <w:keepNext w:val="0"/>
                              <w:autoSpaceDE w:val="0"/>
                              <w:autoSpaceDN w:val="0"/>
                              <w:adjustRightInd w:val="0"/>
                              <w:spacing w:before="0"/>
                              <w:rPr>
                                <w:rFonts w:cs="Arial"/>
                                <w:i/>
                                <w:iCs/>
                                <w:color w:val="auto"/>
                                <w:sz w:val="22"/>
                                <w:szCs w:val="22"/>
                              </w:rPr>
                            </w:pPr>
                            <w:r w:rsidRPr="005E17D1">
                              <w:rPr>
                                <w:rFonts w:cs="Arial"/>
                                <w:i/>
                                <w:iCs/>
                                <w:color w:val="auto"/>
                                <w:sz w:val="22"/>
                                <w:szCs w:val="22"/>
                              </w:rPr>
                              <w:t>mutually supportive ways (so that opportunities can be taken to secure net gains</w:t>
                            </w:r>
                          </w:p>
                          <w:p w14:paraId="6743803D" w14:textId="77777777" w:rsidR="00054236" w:rsidRPr="005E17D1" w:rsidRDefault="00054236" w:rsidP="005E17D1">
                            <w:pPr>
                              <w:keepNext w:val="0"/>
                              <w:spacing w:before="0"/>
                              <w:rPr>
                                <w:rFonts w:cs="Arial"/>
                                <w:i/>
                                <w:iCs/>
                                <w:color w:val="auto"/>
                                <w:sz w:val="22"/>
                                <w:szCs w:val="22"/>
                              </w:rPr>
                            </w:pPr>
                            <w:r w:rsidRPr="005E17D1">
                              <w:rPr>
                                <w:rFonts w:cs="Arial"/>
                                <w:i/>
                                <w:iCs/>
                                <w:color w:val="auto"/>
                                <w:sz w:val="22"/>
                                <w:szCs w:val="22"/>
                              </w:rPr>
                              <w:t>across each of the different objectives):</w:t>
                            </w:r>
                          </w:p>
                          <w:p w14:paraId="239BA27E" w14:textId="77777777" w:rsidR="00054236" w:rsidRPr="005E17D1" w:rsidRDefault="00054236" w:rsidP="005E17D1">
                            <w:pPr>
                              <w:keepNext w:val="0"/>
                              <w:spacing w:before="0"/>
                              <w:rPr>
                                <w:rFonts w:cs="Arial"/>
                                <w:i/>
                                <w:iCs/>
                                <w:color w:val="auto"/>
                                <w:sz w:val="22"/>
                                <w:szCs w:val="22"/>
                              </w:rPr>
                            </w:pPr>
                          </w:p>
                          <w:p w14:paraId="24B578B1" w14:textId="77777777" w:rsidR="00054236" w:rsidRPr="005E17D1" w:rsidRDefault="00054236" w:rsidP="00D01157">
                            <w:pPr>
                              <w:pStyle w:val="ListParagraph"/>
                              <w:numPr>
                                <w:ilvl w:val="0"/>
                                <w:numId w:val="41"/>
                              </w:numPr>
                              <w:spacing w:after="160" w:line="252" w:lineRule="auto"/>
                              <w:rPr>
                                <w:rFonts w:ascii="Arial" w:hAnsi="Arial" w:cs="Arial"/>
                                <w:i/>
                                <w:iCs/>
                                <w:color w:val="auto"/>
                                <w:sz w:val="22"/>
                              </w:rPr>
                            </w:pPr>
                            <w:r w:rsidRPr="005E17D1">
                              <w:rPr>
                                <w:rFonts w:ascii="Arial" w:hAnsi="Arial" w:cs="Arial"/>
                                <w:i/>
                                <w:iCs/>
                                <w:color w:val="auto"/>
                                <w:sz w:val="22"/>
                              </w:rPr>
                              <w:t>an economic objective – to help build a strong, responsive and competitive economy, by ensuring that sufficient land of the right types is available in the right places and at the right time to support growth, innovation and improved productivity; and by identifying and coordinating the provision of infrastructure;</w:t>
                            </w:r>
                          </w:p>
                          <w:p w14:paraId="60E3EBA0" w14:textId="77777777" w:rsidR="00054236" w:rsidRPr="005E17D1" w:rsidRDefault="00054236" w:rsidP="005E17D1">
                            <w:pPr>
                              <w:pStyle w:val="ListParagraph"/>
                              <w:spacing w:after="160" w:line="252" w:lineRule="auto"/>
                              <w:ind w:left="360"/>
                              <w:rPr>
                                <w:rFonts w:ascii="Arial" w:hAnsi="Arial" w:cs="Arial"/>
                                <w:i/>
                                <w:iCs/>
                                <w:color w:val="auto"/>
                                <w:sz w:val="22"/>
                              </w:rPr>
                            </w:pPr>
                          </w:p>
                          <w:p w14:paraId="22D34459" w14:textId="77777777" w:rsidR="00054236" w:rsidRPr="005E17D1" w:rsidRDefault="00054236" w:rsidP="00D01157">
                            <w:pPr>
                              <w:pStyle w:val="ListParagraph"/>
                              <w:numPr>
                                <w:ilvl w:val="0"/>
                                <w:numId w:val="41"/>
                              </w:numPr>
                              <w:spacing w:after="160" w:line="252" w:lineRule="auto"/>
                              <w:rPr>
                                <w:rFonts w:ascii="Arial" w:hAnsi="Arial" w:cs="Arial"/>
                                <w:i/>
                                <w:iCs/>
                                <w:color w:val="auto"/>
                                <w:sz w:val="22"/>
                              </w:rPr>
                            </w:pPr>
                            <w:r w:rsidRPr="005E17D1">
                              <w:rPr>
                                <w:rFonts w:ascii="Arial" w:hAnsi="Arial" w:cs="Arial"/>
                                <w:i/>
                                <w:iCs/>
                                <w:color w:val="auto"/>
                                <w:sz w:val="22"/>
                              </w:rPr>
                              <w:t>a social objective – to support strong, vibrant and healthy communities, by ensuring that a sufficient number and range of homes can be provided to meet the needs of present and future generations; and by fostering well-designed, beautiful and safe places, with accessible services and open spaces that reflect current and future needs and support communities’ health, social and cultural well-being; and</w:t>
                            </w:r>
                          </w:p>
                          <w:p w14:paraId="1DF1E167" w14:textId="77777777" w:rsidR="00054236" w:rsidRPr="005E17D1" w:rsidRDefault="00054236" w:rsidP="005E17D1">
                            <w:pPr>
                              <w:pStyle w:val="ListParagraph"/>
                              <w:spacing w:after="160" w:line="252" w:lineRule="auto"/>
                              <w:ind w:left="360"/>
                              <w:rPr>
                                <w:rFonts w:ascii="Arial" w:hAnsi="Arial" w:cs="Arial"/>
                                <w:i/>
                                <w:iCs/>
                                <w:color w:val="auto"/>
                                <w:sz w:val="22"/>
                              </w:rPr>
                            </w:pPr>
                          </w:p>
                          <w:p w14:paraId="6360E270" w14:textId="77777777" w:rsidR="00054236" w:rsidRPr="005E17D1" w:rsidRDefault="00054236" w:rsidP="00D01157">
                            <w:pPr>
                              <w:pStyle w:val="ListParagraph"/>
                              <w:numPr>
                                <w:ilvl w:val="0"/>
                                <w:numId w:val="41"/>
                              </w:numPr>
                              <w:spacing w:after="160" w:line="252" w:lineRule="auto"/>
                              <w:rPr>
                                <w:rFonts w:ascii="Arial" w:hAnsi="Arial" w:cs="Arial"/>
                                <w:i/>
                                <w:iCs/>
                                <w:color w:val="auto"/>
                                <w:sz w:val="22"/>
                              </w:rPr>
                            </w:pPr>
                            <w:r w:rsidRPr="005E17D1">
                              <w:rPr>
                                <w:rFonts w:ascii="Arial" w:hAnsi="Arial" w:cs="Arial"/>
                                <w:i/>
                                <w:iCs/>
                                <w:color w:val="auto"/>
                                <w:sz w:val="22"/>
                              </w:rPr>
                              <w:t>an environmental objective –</w:t>
                            </w:r>
                            <w:r w:rsidRPr="005E17D1">
                              <w:rPr>
                                <w:sz w:val="22"/>
                              </w:rPr>
                              <w:t xml:space="preserve"> </w:t>
                            </w:r>
                            <w:r w:rsidRPr="005E17D1">
                              <w:rPr>
                                <w:rFonts w:ascii="Arial" w:hAnsi="Arial" w:cs="Arial"/>
                                <w:i/>
                                <w:iCs/>
                                <w:color w:val="auto"/>
                                <w:sz w:val="22"/>
                              </w:rPr>
                              <w:t>to protect and enhance our natural, built and historic environment; including making effective use of land, improving biodiversity, using natural resources prudently, minimising waste and pollution, and mitigating and adapting to climate change, including moving to a low carbon economy.</w:t>
                            </w:r>
                          </w:p>
                          <w:p w14:paraId="16DBE178" w14:textId="77777777" w:rsidR="00054236" w:rsidRPr="006971C4" w:rsidRDefault="00054236" w:rsidP="005E17D1">
                            <w:pPr>
                              <w:pStyle w:val="Pa5"/>
                              <w:rPr>
                                <w:rFonts w:ascii="Calibri" w:hAnsi="Calibri" w:cs="Calibri"/>
                                <w:color w:val="000000"/>
                              </w:rPr>
                            </w:pPr>
                          </w:p>
                        </w:txbxContent>
                      </wps:txbx>
                      <wps:bodyPr rot="0" vert="horz" wrap="square" lIns="91440" tIns="45720" rIns="91440" bIns="45720" anchor="t" anchorCtr="0">
                        <a:noAutofit/>
                      </wps:bodyPr>
                    </wps:wsp>
                  </a:graphicData>
                </a:graphic>
              </wp:inline>
            </w:drawing>
          </mc:Choice>
          <mc:Fallback>
            <w:pict>
              <v:shape w14:anchorId="2BDE29F8" id="Text Box 2" o:spid="_x0000_s1028" type="#_x0000_t202" style="width:424.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" fillcolor="#a8d08d [1945]">
                <v:textbox>
                  <w:txbxContent>
                    <w:p w14:paraId="1A25C88B" w14:textId="77777777" w:rsidR="00054236" w:rsidRPr="00716A70" w:rsidRDefault="00054236" w:rsidP="005E17D1">
                      <w:pPr>
                        <w:keepNext w:val="0"/>
                        <w:spacing w:before="0"/>
                        <w:rPr>
                          <w:rFonts w:cs="Arial"/>
                          <w:b/>
                          <w:bCs/>
                          <w:color w:val="auto"/>
                          <w:sz w:val="22"/>
                          <w:szCs w:val="22"/>
                        </w:rPr>
                      </w:pPr>
                      <w:r w:rsidRPr="00716A70">
                        <w:rPr>
                          <w:rFonts w:cs="Arial"/>
                          <w:b/>
                          <w:bCs/>
                          <w:color w:val="auto"/>
                          <w:sz w:val="22"/>
                          <w:szCs w:val="22"/>
                        </w:rPr>
                        <w:t>NPPF Paragraph 8</w:t>
                      </w:r>
                    </w:p>
                    <w:p w14:paraId="368B3E36" w14:textId="77777777" w:rsidR="00054236" w:rsidRPr="00716A70" w:rsidRDefault="00054236" w:rsidP="005E17D1">
                      <w:pPr>
                        <w:keepNext w:val="0"/>
                        <w:spacing w:before="0"/>
                        <w:rPr>
                          <w:rFonts w:cs="Arial"/>
                          <w:color w:val="auto"/>
                          <w:sz w:val="22"/>
                          <w:szCs w:val="22"/>
                        </w:rPr>
                      </w:pPr>
                    </w:p>
                    <w:p w14:paraId="6B91A39A" w14:textId="0CC9871C" w:rsidR="00054236" w:rsidRPr="005E17D1" w:rsidRDefault="00054236" w:rsidP="005E17D1">
                      <w:pPr>
                        <w:keepNext w:val="0"/>
                        <w:autoSpaceDE w:val="0"/>
                        <w:autoSpaceDN w:val="0"/>
                        <w:adjustRightInd w:val="0"/>
                        <w:spacing w:before="0"/>
                        <w:rPr>
                          <w:rFonts w:cs="Arial"/>
                          <w:i/>
                          <w:iCs/>
                          <w:color w:val="auto"/>
                          <w:sz w:val="22"/>
                          <w:szCs w:val="22"/>
                        </w:rPr>
                      </w:pPr>
                      <w:r w:rsidRPr="005E17D1">
                        <w:rPr>
                          <w:rFonts w:cs="Arial"/>
                          <w:i/>
                          <w:iCs/>
                          <w:color w:val="auto"/>
                          <w:sz w:val="22"/>
                          <w:szCs w:val="22"/>
                        </w:rPr>
                        <w:t>Achieving sustainable development means that the planning system has three</w:t>
                      </w:r>
                      <w:r w:rsidR="00716A70">
                        <w:rPr>
                          <w:rFonts w:cs="Arial"/>
                          <w:i/>
                          <w:iCs/>
                          <w:color w:val="auto"/>
                          <w:sz w:val="22"/>
                          <w:szCs w:val="22"/>
                        </w:rPr>
                        <w:t xml:space="preserve"> </w:t>
                      </w:r>
                      <w:r w:rsidRPr="005E17D1">
                        <w:rPr>
                          <w:rFonts w:cs="Arial"/>
                          <w:i/>
                          <w:iCs/>
                          <w:color w:val="auto"/>
                          <w:sz w:val="22"/>
                          <w:szCs w:val="22"/>
                        </w:rPr>
                        <w:t>overarching objectives, which are interdependent and need to be pursued in</w:t>
                      </w:r>
                    </w:p>
                    <w:p w14:paraId="4D3E39FD" w14:textId="77777777" w:rsidR="00054236" w:rsidRPr="005E17D1" w:rsidRDefault="00054236" w:rsidP="005E17D1">
                      <w:pPr>
                        <w:keepNext w:val="0"/>
                        <w:autoSpaceDE w:val="0"/>
                        <w:autoSpaceDN w:val="0"/>
                        <w:adjustRightInd w:val="0"/>
                        <w:spacing w:before="0"/>
                        <w:rPr>
                          <w:rFonts w:cs="Arial"/>
                          <w:i/>
                          <w:iCs/>
                          <w:color w:val="auto"/>
                          <w:sz w:val="22"/>
                          <w:szCs w:val="22"/>
                        </w:rPr>
                      </w:pPr>
                      <w:r w:rsidRPr="005E17D1">
                        <w:rPr>
                          <w:rFonts w:cs="Arial"/>
                          <w:i/>
                          <w:iCs/>
                          <w:color w:val="auto"/>
                          <w:sz w:val="22"/>
                          <w:szCs w:val="22"/>
                        </w:rPr>
                        <w:t>mutually supportive ways (so that opportunities can be taken to secure net gains</w:t>
                      </w:r>
                    </w:p>
                    <w:p w14:paraId="6743803D" w14:textId="77777777" w:rsidR="00054236" w:rsidRPr="005E17D1" w:rsidRDefault="00054236" w:rsidP="005E17D1">
                      <w:pPr>
                        <w:keepNext w:val="0"/>
                        <w:spacing w:before="0"/>
                        <w:rPr>
                          <w:rFonts w:cs="Arial"/>
                          <w:i/>
                          <w:iCs/>
                          <w:color w:val="auto"/>
                          <w:sz w:val="22"/>
                          <w:szCs w:val="22"/>
                        </w:rPr>
                      </w:pPr>
                      <w:r w:rsidRPr="005E17D1">
                        <w:rPr>
                          <w:rFonts w:cs="Arial"/>
                          <w:i/>
                          <w:iCs/>
                          <w:color w:val="auto"/>
                          <w:sz w:val="22"/>
                          <w:szCs w:val="22"/>
                        </w:rPr>
                        <w:t>across each of the different objectives):</w:t>
                      </w:r>
                    </w:p>
                    <w:p w14:paraId="239BA27E" w14:textId="77777777" w:rsidR="00054236" w:rsidRPr="005E17D1" w:rsidRDefault="00054236" w:rsidP="005E17D1">
                      <w:pPr>
                        <w:keepNext w:val="0"/>
                        <w:spacing w:before="0"/>
                        <w:rPr>
                          <w:rFonts w:cs="Arial"/>
                          <w:i/>
                          <w:iCs/>
                          <w:color w:val="auto"/>
                          <w:sz w:val="22"/>
                          <w:szCs w:val="22"/>
                        </w:rPr>
                      </w:pPr>
                    </w:p>
                    <w:p w14:paraId="24B578B1" w14:textId="77777777" w:rsidR="00054236" w:rsidRPr="005E17D1" w:rsidRDefault="00054236" w:rsidP="00D01157">
                      <w:pPr>
                        <w:pStyle w:val="ListParagraph"/>
                        <w:numPr>
                          <w:ilvl w:val="0"/>
                          <w:numId w:val="41"/>
                        </w:numPr>
                        <w:spacing w:after="160" w:line="252" w:lineRule="auto"/>
                        <w:rPr>
                          <w:rFonts w:ascii="Arial" w:hAnsi="Arial" w:cs="Arial"/>
                          <w:i/>
                          <w:iCs/>
                          <w:color w:val="auto"/>
                          <w:sz w:val="22"/>
                        </w:rPr>
                      </w:pPr>
                      <w:r w:rsidRPr="005E17D1">
                        <w:rPr>
                          <w:rFonts w:ascii="Arial" w:hAnsi="Arial" w:cs="Arial"/>
                          <w:i/>
                          <w:iCs/>
                          <w:color w:val="auto"/>
                          <w:sz w:val="22"/>
                        </w:rPr>
                        <w:t>an economic objective – to help build a strong, responsive and competitive economy, by ensuring that sufficient land of the right types is available in the right places and at the right time to support growth, innovation and improved productivity; and by identifying and coordinating the provision of infrastructure;</w:t>
                      </w:r>
                    </w:p>
                    <w:p w14:paraId="60E3EBA0" w14:textId="77777777" w:rsidR="00054236" w:rsidRPr="005E17D1" w:rsidRDefault="00054236" w:rsidP="005E17D1">
                      <w:pPr>
                        <w:pStyle w:val="ListParagraph"/>
                        <w:spacing w:after="160" w:line="252" w:lineRule="auto"/>
                        <w:ind w:left="360"/>
                        <w:rPr>
                          <w:rFonts w:ascii="Arial" w:hAnsi="Arial" w:cs="Arial"/>
                          <w:i/>
                          <w:iCs/>
                          <w:color w:val="auto"/>
                          <w:sz w:val="22"/>
                        </w:rPr>
                      </w:pPr>
                    </w:p>
                    <w:p w14:paraId="22D34459" w14:textId="77777777" w:rsidR="00054236" w:rsidRPr="005E17D1" w:rsidRDefault="00054236" w:rsidP="00D01157">
                      <w:pPr>
                        <w:pStyle w:val="ListParagraph"/>
                        <w:numPr>
                          <w:ilvl w:val="0"/>
                          <w:numId w:val="41"/>
                        </w:numPr>
                        <w:spacing w:after="160" w:line="252" w:lineRule="auto"/>
                        <w:rPr>
                          <w:rFonts w:ascii="Arial" w:hAnsi="Arial" w:cs="Arial"/>
                          <w:i/>
                          <w:iCs/>
                          <w:color w:val="auto"/>
                          <w:sz w:val="22"/>
                        </w:rPr>
                      </w:pPr>
                      <w:r w:rsidRPr="005E17D1">
                        <w:rPr>
                          <w:rFonts w:ascii="Arial" w:hAnsi="Arial" w:cs="Arial"/>
                          <w:i/>
                          <w:iCs/>
                          <w:color w:val="auto"/>
                          <w:sz w:val="22"/>
                        </w:rPr>
                        <w:t>a social objective – to support strong, vibrant and healthy communities, by ensuring that a sufficient number and range of homes can be provided to meet the needs of present and future generations; and by fostering well-designed, beautiful and safe places, with accessible services and open spaces that reflect current and future needs and support communities’ health, social and cultural well-being; and</w:t>
                      </w:r>
                    </w:p>
                    <w:p w14:paraId="1DF1E167" w14:textId="77777777" w:rsidR="00054236" w:rsidRPr="005E17D1" w:rsidRDefault="00054236" w:rsidP="005E17D1">
                      <w:pPr>
                        <w:pStyle w:val="ListParagraph"/>
                        <w:spacing w:after="160" w:line="252" w:lineRule="auto"/>
                        <w:ind w:left="360"/>
                        <w:rPr>
                          <w:rFonts w:ascii="Arial" w:hAnsi="Arial" w:cs="Arial"/>
                          <w:i/>
                          <w:iCs/>
                          <w:color w:val="auto"/>
                          <w:sz w:val="22"/>
                        </w:rPr>
                      </w:pPr>
                    </w:p>
                    <w:p w14:paraId="6360E270" w14:textId="77777777" w:rsidR="00054236" w:rsidRPr="005E17D1" w:rsidRDefault="00054236" w:rsidP="00D01157">
                      <w:pPr>
                        <w:pStyle w:val="ListParagraph"/>
                        <w:numPr>
                          <w:ilvl w:val="0"/>
                          <w:numId w:val="41"/>
                        </w:numPr>
                        <w:spacing w:after="160" w:line="252" w:lineRule="auto"/>
                        <w:rPr>
                          <w:rFonts w:ascii="Arial" w:hAnsi="Arial" w:cs="Arial"/>
                          <w:i/>
                          <w:iCs/>
                          <w:color w:val="auto"/>
                          <w:sz w:val="22"/>
                        </w:rPr>
                      </w:pPr>
                      <w:r w:rsidRPr="005E17D1">
                        <w:rPr>
                          <w:rFonts w:ascii="Arial" w:hAnsi="Arial" w:cs="Arial"/>
                          <w:i/>
                          <w:iCs/>
                          <w:color w:val="auto"/>
                          <w:sz w:val="22"/>
                        </w:rPr>
                        <w:t>an environmental objective –</w:t>
                      </w:r>
                      <w:r w:rsidRPr="005E17D1">
                        <w:rPr>
                          <w:sz w:val="22"/>
                        </w:rPr>
                        <w:t xml:space="preserve"> </w:t>
                      </w:r>
                      <w:r w:rsidRPr="005E17D1">
                        <w:rPr>
                          <w:rFonts w:ascii="Arial" w:hAnsi="Arial" w:cs="Arial"/>
                          <w:i/>
                          <w:iCs/>
                          <w:color w:val="auto"/>
                          <w:sz w:val="22"/>
                        </w:rPr>
                        <w:t>to protect and enhance our natural, built and historic environment; including making effective use of land, improving biodiversity, using natural resources prudently, minimising waste and pollution, and mitigating and adapting to climate change, including moving to a low carbon economy.</w:t>
                      </w:r>
                    </w:p>
                    <w:p w14:paraId="16DBE178" w14:textId="77777777" w:rsidR="00054236" w:rsidRPr="006971C4" w:rsidRDefault="00054236" w:rsidP="005E17D1">
                      <w:pPr>
                        <w:pStyle w:val="Pa5"/>
                        <w:rPr>
                          <w:rFonts w:ascii="Calibri" w:hAnsi="Calibri" w:cs="Calibri"/>
                          <w:color w:val="000000"/>
                        </w:rPr>
                      </w:pPr>
                    </w:p>
                  </w:txbxContent>
                </v:textbox>
                <w10:anchorlock/>
              </v:shape>
            </w:pict>
          </mc:Fallback>
        </mc:AlternateContent>
      </w:r>
    </w:p>
    <w:p w14:paraId="0407FFFB" w14:textId="77777777" w:rsidR="0077141C" w:rsidRPr="005E21D7" w:rsidRDefault="0077141C" w:rsidP="005E21D7">
      <w:pPr>
        <w:rPr>
          <w:rFonts w:eastAsia="Calibri" w:cs="Arial"/>
          <w:color w:val="auto"/>
          <w:szCs w:val="24"/>
        </w:rPr>
      </w:pPr>
    </w:p>
    <w:p w14:paraId="397A21F9" w14:textId="77777777" w:rsidR="0077141C" w:rsidRPr="003C7E62" w:rsidRDefault="007070E5" w:rsidP="00636D0F">
      <w:pPr>
        <w:keepNext w:val="0"/>
        <w:numPr>
          <w:ilvl w:val="1"/>
          <w:numId w:val="306"/>
        </w:numPr>
        <w:autoSpaceDE w:val="0"/>
        <w:autoSpaceDN w:val="0"/>
        <w:adjustRightInd w:val="0"/>
        <w:spacing w:before="0"/>
        <w:ind w:left="851" w:hanging="851"/>
        <w:rPr>
          <w:rFonts w:cs="Arial"/>
          <w:color w:val="auto"/>
          <w:szCs w:val="24"/>
          <w:lang w:eastAsia="en-US"/>
        </w:rPr>
      </w:pPr>
      <w:r w:rsidRPr="003C7E62">
        <w:rPr>
          <w:rFonts w:eastAsia="Calibri" w:cs="Arial"/>
          <w:color w:val="auto"/>
          <w:szCs w:val="24"/>
        </w:rPr>
        <w:t xml:space="preserve">All developments must have a safe means of access which is adequate to serve the proposal and does not adversely affect pedestrian, cyclist or vehicular safety. The capacity of the transport system to take new development will </w:t>
      </w:r>
      <w:r w:rsidR="005F229B" w:rsidRPr="003C7E62">
        <w:rPr>
          <w:rFonts w:eastAsia="Calibri" w:cs="Arial"/>
          <w:color w:val="auto"/>
          <w:szCs w:val="24"/>
        </w:rPr>
        <w:t xml:space="preserve">also be an important aspect </w:t>
      </w:r>
      <w:r w:rsidRPr="003C7E62">
        <w:rPr>
          <w:rFonts w:eastAsia="Calibri" w:cs="Arial"/>
          <w:color w:val="auto"/>
          <w:szCs w:val="24"/>
        </w:rPr>
        <w:t xml:space="preserve">and transport impact assessments will be required for major proposals. </w:t>
      </w:r>
    </w:p>
    <w:p w14:paraId="1D761BAF" w14:textId="3A55A568" w:rsidR="0077141C" w:rsidRDefault="0077141C" w:rsidP="005E17D1">
      <w:pPr>
        <w:pStyle w:val="ListParagraph"/>
        <w:spacing w:after="0" w:line="240" w:lineRule="auto"/>
        <w:rPr>
          <w:rFonts w:ascii="Arial" w:eastAsia="Calibri" w:hAnsi="Arial" w:cs="Arial"/>
          <w:color w:val="auto"/>
          <w:szCs w:val="24"/>
        </w:rPr>
      </w:pPr>
    </w:p>
    <w:p w14:paraId="4E9F8639" w14:textId="77777777" w:rsidR="00636D0F" w:rsidRPr="00636D0F" w:rsidRDefault="00636D0F" w:rsidP="00636D0F">
      <w:pPr>
        <w:pStyle w:val="ListParagraph"/>
        <w:numPr>
          <w:ilvl w:val="0"/>
          <w:numId w:val="344"/>
        </w:numPr>
        <w:spacing w:after="0" w:line="240" w:lineRule="auto"/>
        <w:contextualSpacing w:val="0"/>
        <w:rPr>
          <w:rFonts w:ascii="Arial" w:eastAsia="Calibri" w:hAnsi="Arial"/>
          <w:vanish/>
          <w:color w:val="auto"/>
        </w:rPr>
      </w:pPr>
    </w:p>
    <w:p w14:paraId="1C713991" w14:textId="77777777" w:rsidR="00636D0F" w:rsidRPr="00636D0F" w:rsidRDefault="00636D0F" w:rsidP="00636D0F">
      <w:pPr>
        <w:pStyle w:val="ListParagraph"/>
        <w:numPr>
          <w:ilvl w:val="0"/>
          <w:numId w:val="344"/>
        </w:numPr>
        <w:spacing w:after="0" w:line="240" w:lineRule="auto"/>
        <w:contextualSpacing w:val="0"/>
        <w:rPr>
          <w:rFonts w:ascii="Arial" w:eastAsia="Calibri" w:hAnsi="Arial"/>
          <w:vanish/>
          <w:color w:val="auto"/>
        </w:rPr>
      </w:pPr>
    </w:p>
    <w:p w14:paraId="057625C2" w14:textId="77777777" w:rsidR="00636D0F" w:rsidRPr="00636D0F" w:rsidRDefault="00636D0F" w:rsidP="00636D0F">
      <w:pPr>
        <w:pStyle w:val="ListParagraph"/>
        <w:numPr>
          <w:ilvl w:val="0"/>
          <w:numId w:val="344"/>
        </w:numPr>
        <w:spacing w:after="0" w:line="240" w:lineRule="auto"/>
        <w:contextualSpacing w:val="0"/>
        <w:rPr>
          <w:rFonts w:ascii="Arial" w:eastAsia="Calibri" w:hAnsi="Arial"/>
          <w:vanish/>
          <w:color w:val="auto"/>
        </w:rPr>
      </w:pPr>
    </w:p>
    <w:p w14:paraId="4B177BA8"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2DD335AB"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1E3A6D88"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102D4CA8"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7105CAEE"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6B37101C"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423F5525"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592E4D22"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438753A7"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6FE68C33"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0688C14F"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2E9B37EB"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53262C58"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1EE40B6C"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126EBCFF"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0A517978"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0900A949"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1B41E4EE"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54B9F22A"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26202D41"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0C2E9260"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579BC4DE"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5C3DAA13"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10B0869C"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37E1122B"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474695E6"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4095C927"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7B6B8091" w14:textId="77777777" w:rsidR="00636D0F" w:rsidRPr="00636D0F" w:rsidRDefault="00636D0F" w:rsidP="00636D0F">
      <w:pPr>
        <w:pStyle w:val="ListParagraph"/>
        <w:numPr>
          <w:ilvl w:val="1"/>
          <w:numId w:val="344"/>
        </w:numPr>
        <w:spacing w:after="0" w:line="240" w:lineRule="auto"/>
        <w:contextualSpacing w:val="0"/>
        <w:rPr>
          <w:rFonts w:ascii="Arial" w:eastAsia="Calibri" w:hAnsi="Arial"/>
          <w:vanish/>
          <w:color w:val="auto"/>
        </w:rPr>
      </w:pPr>
    </w:p>
    <w:p w14:paraId="43AE788F" w14:textId="4D52C565" w:rsidR="0077141C" w:rsidRPr="003C7E62" w:rsidRDefault="002D6995" w:rsidP="00636D0F">
      <w:pPr>
        <w:keepNext w:val="0"/>
        <w:numPr>
          <w:ilvl w:val="1"/>
          <w:numId w:val="344"/>
        </w:numPr>
        <w:tabs>
          <w:tab w:val="clear" w:pos="525"/>
          <w:tab w:val="num" w:pos="851"/>
        </w:tabs>
        <w:spacing w:before="0"/>
        <w:ind w:left="851" w:hanging="851"/>
        <w:rPr>
          <w:rFonts w:cs="Arial"/>
          <w:color w:val="auto"/>
          <w:szCs w:val="24"/>
          <w:lang w:eastAsia="en-US"/>
        </w:rPr>
      </w:pPr>
      <w:r w:rsidRPr="00D15F96">
        <w:rPr>
          <w:rFonts w:eastAsia="Calibri"/>
          <w:color w:val="auto"/>
          <w:szCs w:val="22"/>
          <w:lang w:eastAsia="en-US"/>
        </w:rPr>
        <w:t xml:space="preserve">National planning policy requires that policies and decisions should promote an effective use of land in meeting the needs for homes and other uses.  Some developments, due to the relationship between the site and adjacent land, may prove to be unacceptable as their implementation in isolation could adversely affect the more comprehensive development of the area of land </w:t>
      </w:r>
      <w:proofErr w:type="gramStart"/>
      <w:r w:rsidRPr="00D15F96">
        <w:rPr>
          <w:rFonts w:eastAsia="Calibri"/>
          <w:color w:val="auto"/>
          <w:szCs w:val="22"/>
          <w:lang w:eastAsia="en-US"/>
        </w:rPr>
        <w:t>at a later date</w:t>
      </w:r>
      <w:proofErr w:type="gramEnd"/>
      <w:r w:rsidRPr="00D15F96">
        <w:rPr>
          <w:rFonts w:eastAsia="Calibri"/>
          <w:color w:val="auto"/>
          <w:szCs w:val="22"/>
          <w:lang w:eastAsia="en-US"/>
        </w:rPr>
        <w:t xml:space="preserve"> or negate the development contributing towards affordable housing and infrastructure.  In such circumstances, the Council will expect that </w:t>
      </w:r>
      <w:r w:rsidR="000255E1" w:rsidRPr="009C12CD">
        <w:rPr>
          <w:rFonts w:eastAsia="Calibri"/>
          <w:szCs w:val="22"/>
          <w:lang w:eastAsia="en-US"/>
        </w:rPr>
        <w:t xml:space="preserve">landowners, promoters, </w:t>
      </w:r>
      <w:r w:rsidRPr="009C12CD">
        <w:rPr>
          <w:rFonts w:eastAsia="Calibri"/>
          <w:szCs w:val="22"/>
          <w:lang w:eastAsia="en-US"/>
        </w:rPr>
        <w:t>developer</w:t>
      </w:r>
      <w:r w:rsidR="00EE1451" w:rsidRPr="009C12CD">
        <w:rPr>
          <w:rFonts w:eastAsia="Calibri"/>
          <w:szCs w:val="22"/>
          <w:lang w:eastAsia="en-US"/>
        </w:rPr>
        <w:t>s</w:t>
      </w:r>
      <w:r w:rsidRPr="009C12CD">
        <w:rPr>
          <w:rFonts w:eastAsia="Calibri"/>
          <w:szCs w:val="22"/>
          <w:lang w:eastAsia="en-US"/>
        </w:rPr>
        <w:t xml:space="preserve"> </w:t>
      </w:r>
      <w:r w:rsidR="00EE1451" w:rsidRPr="009C12CD">
        <w:rPr>
          <w:rFonts w:eastAsia="Calibri"/>
          <w:szCs w:val="22"/>
          <w:lang w:eastAsia="en-US"/>
        </w:rPr>
        <w:t xml:space="preserve">and adjacent landowners </w:t>
      </w:r>
      <w:r w:rsidRPr="009C12CD">
        <w:rPr>
          <w:rFonts w:eastAsia="Calibri"/>
          <w:szCs w:val="22"/>
          <w:lang w:eastAsia="en-US"/>
        </w:rPr>
        <w:t>will work</w:t>
      </w:r>
      <w:r w:rsidR="00EE1451" w:rsidRPr="009C12CD">
        <w:rPr>
          <w:rFonts w:eastAsia="Calibri"/>
          <w:szCs w:val="22"/>
          <w:lang w:eastAsia="en-US"/>
        </w:rPr>
        <w:t xml:space="preserve"> together to maximise the efficient delivery of sites and achieve </w:t>
      </w:r>
      <w:r w:rsidRPr="009C12CD">
        <w:rPr>
          <w:rFonts w:eastAsia="Calibri"/>
          <w:szCs w:val="22"/>
          <w:lang w:eastAsia="en-US"/>
        </w:rPr>
        <w:t xml:space="preserve">a comprehensive solution.  </w:t>
      </w:r>
    </w:p>
    <w:p w14:paraId="1753E29A" w14:textId="5ACC90B9" w:rsidR="0077141C" w:rsidRDefault="0077141C" w:rsidP="005E17D1">
      <w:pPr>
        <w:pStyle w:val="ListParagraph"/>
        <w:spacing w:after="0" w:line="240" w:lineRule="auto"/>
        <w:rPr>
          <w:rFonts w:ascii="Arial" w:eastAsia="Calibri" w:hAnsi="Arial" w:cs="Arial"/>
          <w:color w:val="auto"/>
          <w:szCs w:val="24"/>
        </w:rPr>
      </w:pPr>
    </w:p>
    <w:p w14:paraId="300B409A" w14:textId="1ACC943A" w:rsidR="0077141C" w:rsidRPr="003C7E62" w:rsidRDefault="007070E5" w:rsidP="00FA0A04">
      <w:pPr>
        <w:keepNext w:val="0"/>
        <w:numPr>
          <w:ilvl w:val="1"/>
          <w:numId w:val="344"/>
        </w:numPr>
        <w:tabs>
          <w:tab w:val="clear" w:pos="525"/>
          <w:tab w:val="num" w:pos="851"/>
        </w:tabs>
        <w:spacing w:before="0"/>
        <w:ind w:left="851" w:hanging="851"/>
        <w:rPr>
          <w:rFonts w:cs="Arial"/>
          <w:color w:val="auto"/>
          <w:szCs w:val="24"/>
          <w:lang w:eastAsia="en-US"/>
        </w:rPr>
      </w:pPr>
      <w:r w:rsidRPr="003C7E62">
        <w:rPr>
          <w:rFonts w:eastAsia="Calibri" w:cs="Arial"/>
          <w:color w:val="auto"/>
          <w:szCs w:val="24"/>
        </w:rPr>
        <w:t>Developments which are acceptable in one location may be unacceptable in another due to possible conflicts with adjacent or nearby land uses. This may include such issues as diverse as a new lighting scheme which may result in glare or light spillage beyond the site, for example the floodlighting of a sports facility adjacent to residential properties</w:t>
      </w:r>
      <w:r w:rsidR="00CD61AD" w:rsidRPr="00CD61AD">
        <w:t xml:space="preserve"> </w:t>
      </w:r>
      <w:r w:rsidR="00CD61AD" w:rsidRPr="00CD61AD">
        <w:rPr>
          <w:rFonts w:eastAsia="Calibri" w:cs="Arial"/>
          <w:color w:val="auto"/>
          <w:szCs w:val="24"/>
        </w:rPr>
        <w:t xml:space="preserve">or light pollution that </w:t>
      </w:r>
      <w:proofErr w:type="gramStart"/>
      <w:r w:rsidR="00CD61AD" w:rsidRPr="00CD61AD">
        <w:rPr>
          <w:rFonts w:eastAsia="Calibri" w:cs="Arial"/>
          <w:color w:val="auto"/>
          <w:szCs w:val="24"/>
        </w:rPr>
        <w:t>has the ability to</w:t>
      </w:r>
      <w:proofErr w:type="gramEnd"/>
      <w:r w:rsidR="00CD61AD" w:rsidRPr="00CD61AD">
        <w:rPr>
          <w:rFonts w:eastAsia="Calibri" w:cs="Arial"/>
          <w:color w:val="auto"/>
          <w:szCs w:val="24"/>
        </w:rPr>
        <w:t xml:space="preserve"> impact on dark skies particularly in the vicinity of the Sherwood Observatory</w:t>
      </w:r>
      <w:r w:rsidRPr="003C7E62">
        <w:rPr>
          <w:rFonts w:eastAsia="Calibri" w:cs="Arial"/>
          <w:color w:val="auto"/>
          <w:szCs w:val="24"/>
        </w:rPr>
        <w:t xml:space="preserve">. New industrial uses may also be unacceptable close to residential </w:t>
      </w:r>
      <w:proofErr w:type="gramStart"/>
      <w:r w:rsidRPr="003C7E62">
        <w:rPr>
          <w:rFonts w:eastAsia="Calibri" w:cs="Arial"/>
          <w:color w:val="auto"/>
          <w:szCs w:val="24"/>
        </w:rPr>
        <w:t>areas</w:t>
      </w:r>
      <w:proofErr w:type="gramEnd"/>
      <w:r w:rsidRPr="003C7E62">
        <w:rPr>
          <w:rFonts w:eastAsia="Calibri" w:cs="Arial"/>
          <w:color w:val="auto"/>
          <w:szCs w:val="24"/>
        </w:rPr>
        <w:t xml:space="preserve"> or existing uses may generate noise, smells, vibrations etc. which render nearby sites unsuitable for other uses.</w:t>
      </w:r>
    </w:p>
    <w:p w14:paraId="3ABA1E80" w14:textId="77777777" w:rsidR="0077141C" w:rsidRPr="003C7E62" w:rsidRDefault="0077141C" w:rsidP="005E17D1">
      <w:pPr>
        <w:pStyle w:val="ListParagraph"/>
        <w:spacing w:after="0" w:line="240" w:lineRule="auto"/>
        <w:rPr>
          <w:rFonts w:ascii="Arial" w:hAnsi="Arial" w:cs="Arial"/>
          <w:color w:val="auto"/>
          <w:szCs w:val="24"/>
        </w:rPr>
      </w:pPr>
    </w:p>
    <w:p w14:paraId="1E756E93" w14:textId="2A50E32A" w:rsidR="0077141C" w:rsidRPr="003C7E62" w:rsidRDefault="00D9460E" w:rsidP="00FA0A04">
      <w:pPr>
        <w:keepNext w:val="0"/>
        <w:numPr>
          <w:ilvl w:val="1"/>
          <w:numId w:val="344"/>
        </w:numPr>
        <w:tabs>
          <w:tab w:val="clear" w:pos="525"/>
          <w:tab w:val="num" w:pos="851"/>
        </w:tabs>
        <w:spacing w:before="0"/>
        <w:ind w:left="851" w:hanging="851"/>
        <w:rPr>
          <w:rFonts w:cs="Arial"/>
          <w:color w:val="auto"/>
          <w:szCs w:val="24"/>
          <w:lang w:eastAsia="en-US"/>
        </w:rPr>
      </w:pPr>
      <w:r w:rsidRPr="003C7E62">
        <w:rPr>
          <w:rFonts w:cs="Arial"/>
          <w:color w:val="auto"/>
          <w:szCs w:val="24"/>
          <w:lang w:eastAsia="en-US"/>
        </w:rPr>
        <w:t>The minimisation of pollution, ground instability and contamination are important priorities.  The Council will consider the possible polluting effects of a development proposal on aspects such as amenity and surrounding land-uses, and will take account of the agent of change principle</w:t>
      </w:r>
      <w:r w:rsidRPr="003C7E62">
        <w:rPr>
          <w:rStyle w:val="FootnoteReference"/>
          <w:rFonts w:cs="Arial"/>
          <w:color w:val="auto"/>
          <w:szCs w:val="24"/>
          <w:lang w:eastAsia="en-US"/>
        </w:rPr>
        <w:footnoteReference w:id="52"/>
      </w:r>
    </w:p>
    <w:p w14:paraId="0C2F84ED" w14:textId="77777777" w:rsidR="00A74E08" w:rsidRPr="003C7E62" w:rsidRDefault="00A74E08" w:rsidP="005E17D1">
      <w:pPr>
        <w:keepNext w:val="0"/>
        <w:spacing w:before="0"/>
        <w:ind w:left="851"/>
        <w:rPr>
          <w:rFonts w:cs="Arial"/>
          <w:color w:val="auto"/>
          <w:szCs w:val="24"/>
          <w:lang w:eastAsia="en-US"/>
        </w:rPr>
      </w:pPr>
    </w:p>
    <w:p w14:paraId="56BB75D3" w14:textId="7C165B1A" w:rsidR="0077141C" w:rsidRPr="003C7E62" w:rsidRDefault="007070E5" w:rsidP="00FA0A04">
      <w:pPr>
        <w:keepNext w:val="0"/>
        <w:numPr>
          <w:ilvl w:val="1"/>
          <w:numId w:val="344"/>
        </w:numPr>
        <w:tabs>
          <w:tab w:val="clear" w:pos="525"/>
          <w:tab w:val="num" w:pos="851"/>
        </w:tabs>
        <w:spacing w:before="0"/>
        <w:ind w:left="851" w:hanging="851"/>
        <w:rPr>
          <w:rFonts w:cs="Arial"/>
          <w:color w:val="auto"/>
          <w:szCs w:val="24"/>
          <w:lang w:eastAsia="en-US"/>
        </w:rPr>
      </w:pPr>
      <w:r w:rsidRPr="003C7E62">
        <w:rPr>
          <w:rFonts w:eastAsia="Arial" w:cs="Arial"/>
          <w:color w:val="auto"/>
        </w:rPr>
        <w:t xml:space="preserve">It is important to make efficient use of land. Development proposals should not sterilise a larger site, for example by impeding access, or bringing forward </w:t>
      </w:r>
      <w:proofErr w:type="gramStart"/>
      <w:r w:rsidRPr="003C7E62">
        <w:rPr>
          <w:rFonts w:eastAsia="Arial" w:cs="Arial"/>
          <w:color w:val="auto"/>
        </w:rPr>
        <w:t>a number of</w:t>
      </w:r>
      <w:proofErr w:type="gramEnd"/>
      <w:r w:rsidRPr="003C7E62">
        <w:rPr>
          <w:rFonts w:eastAsia="Arial" w:cs="Arial"/>
          <w:color w:val="auto"/>
        </w:rPr>
        <w:t xml:space="preserve"> small developments which could limit the potential for a holistic approach to be taken to design</w:t>
      </w:r>
      <w:r w:rsidR="00A714D1" w:rsidRPr="009C12CD">
        <w:rPr>
          <w:rFonts w:eastAsia="Arial" w:cs="Arial"/>
        </w:rPr>
        <w:t>,</w:t>
      </w:r>
      <w:r w:rsidR="00A714D1" w:rsidRPr="009C12CD">
        <w:t xml:space="preserve"> </w:t>
      </w:r>
      <w:r w:rsidR="00A714D1" w:rsidRPr="009C12CD">
        <w:rPr>
          <w:rFonts w:eastAsia="Arial" w:cs="Arial"/>
        </w:rPr>
        <w:t>that might otherwise prejudice the place-making objectives of the Plan.</w:t>
      </w:r>
      <w:r w:rsidRPr="009C12CD">
        <w:rPr>
          <w:rFonts w:cs="Arial"/>
          <w:szCs w:val="24"/>
          <w:lang w:eastAsia="en-US"/>
        </w:rPr>
        <w:t xml:space="preserve">   </w:t>
      </w:r>
      <w:r w:rsidRPr="009C12CD">
        <w:rPr>
          <w:rFonts w:eastAsia="Arial" w:cs="Arial"/>
        </w:rPr>
        <w:t>Develop</w:t>
      </w:r>
      <w:r w:rsidRPr="003C7E62">
        <w:rPr>
          <w:rFonts w:eastAsia="Arial" w:cs="Arial"/>
          <w:color w:val="auto"/>
        </w:rPr>
        <w:t xml:space="preserve">ment proposals will be required to provide or contribute towards infrastructure needs arising from the development. Where requirements are based on development thresholds, </w:t>
      </w:r>
      <w:proofErr w:type="gramStart"/>
      <w:r w:rsidRPr="003C7E62">
        <w:rPr>
          <w:rFonts w:eastAsia="Arial" w:cs="Arial"/>
          <w:color w:val="auto"/>
        </w:rPr>
        <w:t>a number of</w:t>
      </w:r>
      <w:proofErr w:type="gramEnd"/>
      <w:r w:rsidRPr="003C7E62">
        <w:rPr>
          <w:rFonts w:eastAsia="Arial" w:cs="Arial"/>
          <w:color w:val="auto"/>
        </w:rPr>
        <w:t xml:space="preserve"> smaller development proposals will not be permitted if by doing so, the full requirements of a site would not be met.</w:t>
      </w:r>
      <w:bookmarkStart w:id="44" w:name="_Hlk75271165"/>
    </w:p>
    <w:p w14:paraId="46FAC7E9" w14:textId="77777777" w:rsidR="00A74E08" w:rsidRPr="003C7E62" w:rsidRDefault="00A74E08" w:rsidP="005E17D1">
      <w:pPr>
        <w:keepNext w:val="0"/>
        <w:spacing w:before="0"/>
        <w:ind w:left="851"/>
        <w:rPr>
          <w:rFonts w:cs="Arial"/>
          <w:color w:val="auto"/>
          <w:szCs w:val="24"/>
          <w:lang w:eastAsia="en-US"/>
        </w:rPr>
      </w:pPr>
    </w:p>
    <w:p w14:paraId="51A2FA11" w14:textId="3D5D269B" w:rsidR="007070E5" w:rsidRPr="003C7E62" w:rsidRDefault="007070E5" w:rsidP="00FA0A04">
      <w:pPr>
        <w:keepNext w:val="0"/>
        <w:numPr>
          <w:ilvl w:val="1"/>
          <w:numId w:val="344"/>
        </w:numPr>
        <w:tabs>
          <w:tab w:val="clear" w:pos="525"/>
          <w:tab w:val="num" w:pos="851"/>
        </w:tabs>
        <w:spacing w:before="0"/>
        <w:ind w:left="851" w:hanging="851"/>
        <w:rPr>
          <w:rFonts w:cs="Arial"/>
          <w:color w:val="auto"/>
          <w:szCs w:val="24"/>
          <w:lang w:eastAsia="en-US"/>
        </w:rPr>
      </w:pPr>
      <w:r w:rsidRPr="003C7E62">
        <w:rPr>
          <w:rFonts w:eastAsia="Arial" w:cs="Arial"/>
          <w:color w:val="auto"/>
        </w:rPr>
        <w:lastRenderedPageBreak/>
        <w:t>The concept of social value relates to the delivery of positive social, economic and environmental impacts, arising from the actions and operations of various organisations.  It can be defined as</w:t>
      </w:r>
      <w:bookmarkEnd w:id="44"/>
      <w:r w:rsidR="00DC5B07" w:rsidRPr="003C7E62">
        <w:rPr>
          <w:rFonts w:eastAsia="Arial" w:cs="Arial"/>
          <w:color w:val="auto"/>
        </w:rPr>
        <w:t>:</w:t>
      </w:r>
    </w:p>
    <w:p w14:paraId="399ED4BC" w14:textId="5D51A2AB" w:rsidR="00A74E08" w:rsidRPr="003C7E62" w:rsidRDefault="00A74E08" w:rsidP="005E17D1">
      <w:pPr>
        <w:keepNext w:val="0"/>
        <w:spacing w:before="0"/>
        <w:ind w:left="851"/>
        <w:rPr>
          <w:rFonts w:eastAsia="Arial" w:cs="Arial"/>
          <w:color w:val="auto"/>
        </w:rPr>
      </w:pPr>
    </w:p>
    <w:p w14:paraId="00402BD5" w14:textId="4A722D22" w:rsidR="00A74E08" w:rsidRDefault="00A74E08" w:rsidP="005E17D1">
      <w:pPr>
        <w:keepNext w:val="0"/>
        <w:autoSpaceDE w:val="0"/>
        <w:autoSpaceDN w:val="0"/>
        <w:adjustRightInd w:val="0"/>
        <w:spacing w:before="0"/>
        <w:ind w:left="993" w:right="566"/>
        <w:rPr>
          <w:rFonts w:eastAsia="Arial" w:cs="Arial"/>
          <w:color w:val="auto"/>
        </w:rPr>
      </w:pPr>
      <w:proofErr w:type="gramStart"/>
      <w:r w:rsidRPr="003C7E62">
        <w:rPr>
          <w:rFonts w:eastAsia="Arial" w:cs="Arial"/>
          <w:i/>
          <w:iCs/>
          <w:color w:val="auto"/>
        </w:rPr>
        <w:t>“ the</w:t>
      </w:r>
      <w:proofErr w:type="gramEnd"/>
      <w:r w:rsidRPr="003C7E62">
        <w:rPr>
          <w:rFonts w:eastAsia="Arial" w:cs="Arial"/>
          <w:i/>
          <w:iCs/>
          <w:color w:val="auto"/>
        </w:rPr>
        <w:t xml:space="preserve"> wider social contribution that a development creates for society through how it is constructed and managed including the economic return to the local economy, the wellbeing of individuals and communities as well as the benefits to help regenerate the environment.”</w:t>
      </w:r>
      <w:r w:rsidRPr="003C7E62">
        <w:rPr>
          <w:rFonts w:eastAsia="Arial" w:cs="Arial"/>
          <w:color w:val="auto"/>
        </w:rPr>
        <w:t xml:space="preserve">  (Social Value Portal, </w:t>
      </w:r>
      <w:r w:rsidR="00CB51F1">
        <w:rPr>
          <w:rFonts w:eastAsia="Arial" w:cs="Arial"/>
          <w:color w:val="auto"/>
        </w:rPr>
        <w:t>August 2021)</w:t>
      </w:r>
      <w:r w:rsidRPr="00CB51F1">
        <w:rPr>
          <w:rFonts w:eastAsia="Arial" w:cs="Arial"/>
          <w:color w:val="auto"/>
        </w:rPr>
        <w:t>.</w:t>
      </w:r>
      <w:r w:rsidRPr="003C7E62">
        <w:rPr>
          <w:rFonts w:eastAsia="Arial" w:cs="Arial"/>
          <w:color w:val="auto"/>
        </w:rPr>
        <w:t xml:space="preserve"> </w:t>
      </w:r>
    </w:p>
    <w:p w14:paraId="193A5CCD" w14:textId="77777777" w:rsidR="009A1B27" w:rsidRPr="009A1B27" w:rsidRDefault="009A1B27" w:rsidP="009A1B27">
      <w:pPr>
        <w:keepNext w:val="0"/>
        <w:autoSpaceDE w:val="0"/>
        <w:autoSpaceDN w:val="0"/>
        <w:adjustRightInd w:val="0"/>
        <w:spacing w:before="0"/>
        <w:ind w:left="851" w:right="566"/>
        <w:rPr>
          <w:rFonts w:eastAsia="Arial" w:cs="Arial"/>
          <w:color w:val="auto"/>
        </w:rPr>
      </w:pPr>
    </w:p>
    <w:p w14:paraId="30E5F707" w14:textId="0D6D82AB" w:rsidR="00A74E08" w:rsidRPr="003C7E62" w:rsidRDefault="007070E5" w:rsidP="00CD61AD">
      <w:pPr>
        <w:keepNext w:val="0"/>
        <w:numPr>
          <w:ilvl w:val="1"/>
          <w:numId w:val="344"/>
        </w:numPr>
        <w:tabs>
          <w:tab w:val="clear" w:pos="525"/>
          <w:tab w:val="num" w:pos="851"/>
        </w:tabs>
        <w:spacing w:before="0"/>
        <w:ind w:left="851" w:hanging="851"/>
        <w:rPr>
          <w:rFonts w:eastAsia="Calibri" w:cs="Arial"/>
          <w:color w:val="auto"/>
          <w:szCs w:val="22"/>
          <w:lang w:eastAsia="en-US"/>
        </w:rPr>
      </w:pPr>
      <w:r w:rsidRPr="003C7E62">
        <w:rPr>
          <w:rFonts w:eastAsia="Arial" w:cs="Arial"/>
          <w:color w:val="auto"/>
        </w:rPr>
        <w:t xml:space="preserve">This means that as well as </w:t>
      </w:r>
      <w:proofErr w:type="gramStart"/>
      <w:r w:rsidRPr="003C7E62">
        <w:rPr>
          <w:rFonts w:eastAsia="Arial" w:cs="Arial"/>
          <w:color w:val="auto"/>
        </w:rPr>
        <w:t>taking into account</w:t>
      </w:r>
      <w:proofErr w:type="gramEnd"/>
      <w:r w:rsidRPr="003C7E62">
        <w:rPr>
          <w:rFonts w:eastAsia="Arial" w:cs="Arial"/>
          <w:color w:val="auto"/>
        </w:rPr>
        <w:t xml:space="preserve"> the direct effects of interventions, the wider effects on other areas must also be considered, particularly the effects on the local economy and the health and wellbeing of </w:t>
      </w:r>
      <w:proofErr w:type="gramStart"/>
      <w:r w:rsidRPr="003C7E62">
        <w:rPr>
          <w:rFonts w:eastAsia="Arial" w:cs="Arial"/>
          <w:color w:val="auto"/>
        </w:rPr>
        <w:t>local residents</w:t>
      </w:r>
      <w:proofErr w:type="gramEnd"/>
      <w:r w:rsidRPr="003C7E62">
        <w:rPr>
          <w:rFonts w:eastAsia="Arial" w:cs="Arial"/>
          <w:color w:val="auto"/>
        </w:rPr>
        <w:t>.</w:t>
      </w:r>
      <w:r w:rsidR="00DC5B07" w:rsidRPr="003C7E62">
        <w:rPr>
          <w:rFonts w:eastAsia="Arial" w:cs="Arial"/>
          <w:color w:val="auto"/>
        </w:rPr>
        <w:t xml:space="preserve"> </w:t>
      </w:r>
      <w:r w:rsidRPr="003C7E62">
        <w:rPr>
          <w:rFonts w:eastAsia="Arial" w:cs="Arial"/>
          <w:color w:val="auto"/>
        </w:rPr>
        <w:t xml:space="preserve"> It is important to ensure that potential benefits – including small-scale benefits which together can have major cumulative benefits – are maximised from all possible sources.  The way </w:t>
      </w:r>
      <w:r w:rsidRPr="003C7E62">
        <w:rPr>
          <w:rFonts w:eastAsia="Calibri" w:cs="Arial"/>
          <w:color w:val="auto"/>
          <w:szCs w:val="22"/>
          <w:lang w:eastAsia="en-US"/>
        </w:rPr>
        <w:t xml:space="preserve">places are planned, maintained, built and operated can positively impact </w:t>
      </w:r>
      <w:proofErr w:type="gramStart"/>
      <w:r w:rsidRPr="003C7E62">
        <w:rPr>
          <w:rFonts w:eastAsia="Calibri" w:cs="Arial"/>
          <w:color w:val="auto"/>
          <w:szCs w:val="22"/>
          <w:lang w:eastAsia="en-US"/>
        </w:rPr>
        <w:t>a number of</w:t>
      </w:r>
      <w:proofErr w:type="gramEnd"/>
      <w:r w:rsidRPr="003C7E62">
        <w:rPr>
          <w:rFonts w:eastAsia="Calibri" w:cs="Arial"/>
          <w:color w:val="auto"/>
          <w:szCs w:val="22"/>
          <w:lang w:eastAsia="en-US"/>
        </w:rPr>
        <w:t xml:space="preserve"> factors including:</w:t>
      </w:r>
    </w:p>
    <w:p w14:paraId="3D3A8581" w14:textId="77777777" w:rsidR="00A74E08" w:rsidRPr="003C7E62" w:rsidRDefault="00A74E08" w:rsidP="005E17D1">
      <w:pPr>
        <w:keepNext w:val="0"/>
        <w:spacing w:before="0"/>
        <w:ind w:left="851"/>
        <w:rPr>
          <w:rFonts w:eastAsia="Calibri" w:cs="Arial"/>
          <w:color w:val="auto"/>
          <w:szCs w:val="22"/>
          <w:lang w:eastAsia="en-US"/>
        </w:rPr>
      </w:pPr>
    </w:p>
    <w:p w14:paraId="01429F5D" w14:textId="77777777" w:rsidR="00A74E08" w:rsidRPr="003C7E62" w:rsidRDefault="00A74E08" w:rsidP="00874A98">
      <w:pPr>
        <w:pStyle w:val="ListParagraph"/>
        <w:numPr>
          <w:ilvl w:val="0"/>
          <w:numId w:val="95"/>
        </w:numPr>
        <w:autoSpaceDE w:val="0"/>
        <w:autoSpaceDN w:val="0"/>
        <w:adjustRightInd w:val="0"/>
        <w:spacing w:after="0" w:line="240" w:lineRule="auto"/>
        <w:rPr>
          <w:rFonts w:ascii="Arial" w:eastAsia="Calibri" w:hAnsi="Arial" w:cs="Arial"/>
          <w:color w:val="auto"/>
        </w:rPr>
      </w:pPr>
      <w:r w:rsidRPr="003C7E62">
        <w:rPr>
          <w:rFonts w:ascii="Arial" w:eastAsia="Calibri" w:hAnsi="Arial" w:cs="Arial"/>
          <w:color w:val="auto"/>
        </w:rPr>
        <w:t>Jobs and economic growth</w:t>
      </w:r>
    </w:p>
    <w:p w14:paraId="73E861C3" w14:textId="77777777" w:rsidR="00A74E08" w:rsidRPr="003C7E62" w:rsidRDefault="00A74E08" w:rsidP="00874A98">
      <w:pPr>
        <w:pStyle w:val="ListParagraph"/>
        <w:numPr>
          <w:ilvl w:val="0"/>
          <w:numId w:val="95"/>
        </w:numPr>
        <w:autoSpaceDE w:val="0"/>
        <w:autoSpaceDN w:val="0"/>
        <w:adjustRightInd w:val="0"/>
        <w:spacing w:after="0" w:line="240" w:lineRule="auto"/>
        <w:rPr>
          <w:rFonts w:ascii="Arial" w:eastAsia="Calibri" w:hAnsi="Arial" w:cs="Arial"/>
          <w:color w:val="auto"/>
        </w:rPr>
      </w:pPr>
      <w:r w:rsidRPr="003C7E62">
        <w:rPr>
          <w:rFonts w:ascii="Arial" w:eastAsia="Calibri" w:hAnsi="Arial" w:cs="Arial"/>
          <w:color w:val="auto"/>
        </w:rPr>
        <w:t>Health, wellbeing and the environment;</w:t>
      </w:r>
    </w:p>
    <w:p w14:paraId="34FB71C6" w14:textId="4E02378C" w:rsidR="00A74E08" w:rsidRPr="003C7E62" w:rsidRDefault="00A74E08" w:rsidP="00874A98">
      <w:pPr>
        <w:pStyle w:val="ListParagraph"/>
        <w:numPr>
          <w:ilvl w:val="0"/>
          <w:numId w:val="95"/>
        </w:numPr>
        <w:autoSpaceDE w:val="0"/>
        <w:autoSpaceDN w:val="0"/>
        <w:adjustRightInd w:val="0"/>
        <w:spacing w:after="0" w:line="240" w:lineRule="auto"/>
        <w:rPr>
          <w:rFonts w:ascii="Arial" w:eastAsia="Calibri" w:hAnsi="Arial" w:cs="Arial"/>
          <w:color w:val="auto"/>
        </w:rPr>
      </w:pPr>
      <w:r w:rsidRPr="003C7E62">
        <w:rPr>
          <w:rFonts w:ascii="Arial" w:eastAsia="Calibri" w:hAnsi="Arial" w:cs="Arial"/>
          <w:color w:val="auto"/>
        </w:rPr>
        <w:t>Community cohesiveness.</w:t>
      </w:r>
    </w:p>
    <w:p w14:paraId="4619C7E8" w14:textId="77777777" w:rsidR="00EE39E9" w:rsidRPr="003C7E62" w:rsidRDefault="00EE39E9" w:rsidP="005E17D1">
      <w:pPr>
        <w:pStyle w:val="ListParagraph"/>
        <w:autoSpaceDE w:val="0"/>
        <w:autoSpaceDN w:val="0"/>
        <w:adjustRightInd w:val="0"/>
        <w:spacing w:after="0" w:line="240" w:lineRule="auto"/>
        <w:ind w:left="1211"/>
        <w:rPr>
          <w:rFonts w:ascii="Arial" w:eastAsia="Calibri" w:hAnsi="Arial" w:cs="Arial"/>
          <w:color w:val="auto"/>
        </w:rPr>
      </w:pPr>
    </w:p>
    <w:p w14:paraId="464C91C0" w14:textId="677155E7" w:rsidR="007070E5" w:rsidRPr="009A1B27" w:rsidRDefault="007070E5" w:rsidP="00CD61AD">
      <w:pPr>
        <w:keepNext w:val="0"/>
        <w:numPr>
          <w:ilvl w:val="1"/>
          <w:numId w:val="344"/>
        </w:numPr>
        <w:tabs>
          <w:tab w:val="clear" w:pos="525"/>
          <w:tab w:val="num" w:pos="851"/>
        </w:tabs>
        <w:spacing w:before="0"/>
        <w:ind w:left="851" w:hanging="851"/>
        <w:rPr>
          <w:rFonts w:eastAsia="Calibri" w:cs="Arial"/>
          <w:color w:val="auto"/>
          <w:szCs w:val="22"/>
          <w:lang w:eastAsia="en-US"/>
        </w:rPr>
      </w:pPr>
      <w:r w:rsidRPr="003C7E62">
        <w:rPr>
          <w:rFonts w:eastAsia="Calibri" w:cs="Arial"/>
          <w:color w:val="auto"/>
          <w:szCs w:val="22"/>
          <w:lang w:eastAsia="en-US"/>
        </w:rPr>
        <w:t xml:space="preserve">For Ashfield, to achieve the maximum benefits of a social value approach, the Council will take social value into consideration for decisions </w:t>
      </w:r>
      <w:r w:rsidR="00216BD3" w:rsidRPr="003C7E62">
        <w:rPr>
          <w:rFonts w:eastAsia="Calibri" w:cs="Arial"/>
          <w:color w:val="auto"/>
          <w:szCs w:val="22"/>
          <w:lang w:eastAsia="en-US"/>
        </w:rPr>
        <w:t xml:space="preserve">on </w:t>
      </w:r>
      <w:r w:rsidRPr="003C7E62">
        <w:rPr>
          <w:rFonts w:eastAsia="Calibri" w:cs="Arial"/>
          <w:color w:val="auto"/>
          <w:szCs w:val="22"/>
          <w:lang w:eastAsia="en-US"/>
        </w:rPr>
        <w:t>planning and development with the aim of integrating sustainable economic, social and environment</w:t>
      </w:r>
      <w:r w:rsidR="00216BD3" w:rsidRPr="003C7E62">
        <w:rPr>
          <w:rFonts w:eastAsia="Calibri" w:cs="Arial"/>
          <w:color w:val="auto"/>
          <w:szCs w:val="22"/>
          <w:lang w:eastAsia="en-US"/>
        </w:rPr>
        <w:t>al</w:t>
      </w:r>
      <w:r w:rsidRPr="003C7E62">
        <w:rPr>
          <w:rFonts w:eastAsia="Calibri" w:cs="Arial"/>
          <w:color w:val="auto"/>
          <w:szCs w:val="22"/>
          <w:lang w:eastAsia="en-US"/>
        </w:rPr>
        <w:t xml:space="preserve"> objectives through social value. </w:t>
      </w:r>
      <w:r w:rsidR="00216BD3" w:rsidRPr="009A1B27">
        <w:rPr>
          <w:rFonts w:eastAsia="Calibri" w:cs="Arial"/>
          <w:color w:val="auto"/>
          <w:szCs w:val="22"/>
          <w:lang w:eastAsia="en-US"/>
        </w:rPr>
        <w:t xml:space="preserve">Further detail on how this will be applied to individual development proposals is set out in </w:t>
      </w:r>
      <w:r w:rsidR="009A1B27" w:rsidRPr="009A1B27">
        <w:rPr>
          <w:rFonts w:eastAsia="Calibri" w:cs="Arial"/>
          <w:color w:val="auto"/>
          <w:szCs w:val="22"/>
          <w:lang w:eastAsia="en-US"/>
        </w:rPr>
        <w:t>P</w:t>
      </w:r>
      <w:r w:rsidR="00216BD3" w:rsidRPr="009A1B27">
        <w:rPr>
          <w:rFonts w:eastAsia="Calibri" w:cs="Arial"/>
          <w:color w:val="auto"/>
          <w:szCs w:val="22"/>
          <w:lang w:eastAsia="en-US"/>
        </w:rPr>
        <w:t xml:space="preserve">olicy </w:t>
      </w:r>
      <w:r w:rsidR="009A1B27" w:rsidRPr="009A1B27">
        <w:rPr>
          <w:rFonts w:eastAsia="Calibri" w:cs="Arial"/>
          <w:color w:val="auto"/>
          <w:szCs w:val="22"/>
          <w:lang w:eastAsia="en-US"/>
        </w:rPr>
        <w:t>SD1.</w:t>
      </w:r>
      <w:r w:rsidR="00216BD3" w:rsidRPr="009A1B27">
        <w:rPr>
          <w:rFonts w:eastAsia="Calibri" w:cs="Arial"/>
          <w:color w:val="auto"/>
          <w:szCs w:val="22"/>
          <w:lang w:eastAsia="en-US"/>
        </w:rPr>
        <w:t xml:space="preserve"> </w:t>
      </w:r>
    </w:p>
    <w:p w14:paraId="18672DC2" w14:textId="49531B81" w:rsidR="00A74E08" w:rsidRPr="003C7E62" w:rsidRDefault="00A74E08" w:rsidP="005E17D1">
      <w:pPr>
        <w:keepNext w:val="0"/>
        <w:spacing w:before="0"/>
        <w:ind w:left="851"/>
        <w:rPr>
          <w:rFonts w:eastAsia="Calibri" w:cs="Arial"/>
          <w:color w:val="auto"/>
          <w:szCs w:val="22"/>
          <w:lang w:eastAsia="en-US"/>
        </w:rPr>
      </w:pPr>
    </w:p>
    <w:p w14:paraId="03361FE0" w14:textId="77777777" w:rsidR="00CB51F1" w:rsidRDefault="00CB51F1" w:rsidP="00CB51F1">
      <w:pPr>
        <w:keepNext w:val="0"/>
        <w:spacing w:before="0"/>
        <w:ind w:left="851"/>
        <w:rPr>
          <w:rFonts w:eastAsia="Arial" w:cs="Arial"/>
          <w:color w:val="auto"/>
        </w:rPr>
      </w:pPr>
    </w:p>
    <w:p w14:paraId="4E717E2F" w14:textId="77777777" w:rsidR="00CB51F1" w:rsidRDefault="00CB51F1" w:rsidP="00CB51F1">
      <w:pPr>
        <w:keepNext w:val="0"/>
        <w:spacing w:before="0"/>
        <w:ind w:left="851"/>
        <w:rPr>
          <w:rFonts w:eastAsia="Arial" w:cs="Arial"/>
          <w:color w:val="auto"/>
        </w:rPr>
      </w:pPr>
      <w:r w:rsidRPr="00CB51F1">
        <w:rPr>
          <w:rFonts w:cs="Arial"/>
          <w:noProof/>
          <w:color w:val="0070C0"/>
        </w:rPr>
        <w:drawing>
          <wp:inline distT="0" distB="0" distL="0" distR="0" wp14:anchorId="18544362" wp14:editId="1356650D">
            <wp:extent cx="5631180" cy="1455420"/>
            <wp:effectExtent l="0" t="0" r="7620" b="0"/>
            <wp:docPr id="19" name="Picture 19" descr="Figure 6: Ashfield District Council Social Value &#10;Source Ashfield District Counci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6: Ashfield District Council Social Value &#10;Source Ashfield District Council&#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31180" cy="1455420"/>
                    </a:xfrm>
                    <a:prstGeom prst="rect">
                      <a:avLst/>
                    </a:prstGeom>
                    <a:noFill/>
                    <a:ln>
                      <a:noFill/>
                    </a:ln>
                  </pic:spPr>
                </pic:pic>
              </a:graphicData>
            </a:graphic>
          </wp:inline>
        </w:drawing>
      </w:r>
    </w:p>
    <w:p w14:paraId="7302B88D" w14:textId="77777777" w:rsidR="00CB51F1" w:rsidRDefault="00CB51F1" w:rsidP="00CB51F1">
      <w:pPr>
        <w:keepNext w:val="0"/>
        <w:spacing w:before="0"/>
        <w:ind w:left="851"/>
        <w:rPr>
          <w:rFonts w:eastAsia="Arial" w:cs="Arial"/>
          <w:color w:val="auto"/>
        </w:rPr>
      </w:pPr>
    </w:p>
    <w:p w14:paraId="4A6EE425" w14:textId="68DB009D" w:rsidR="00CB51F1" w:rsidRPr="0011216B" w:rsidRDefault="009A1B27" w:rsidP="000447CA">
      <w:pPr>
        <w:pStyle w:val="Heading3"/>
      </w:pPr>
      <w:r w:rsidRPr="0011216B">
        <w:t xml:space="preserve">Figure </w:t>
      </w:r>
      <w:r w:rsidR="00636D0F">
        <w:t>5</w:t>
      </w:r>
      <w:r w:rsidRPr="0011216B">
        <w:t>:</w:t>
      </w:r>
      <w:r w:rsidR="00CB51F1" w:rsidRPr="0011216B">
        <w:t xml:space="preserve"> Ashfield District Council Social Value </w:t>
      </w:r>
    </w:p>
    <w:p w14:paraId="1B334113" w14:textId="77777777" w:rsidR="00CB51F1" w:rsidRPr="00CB51F1" w:rsidRDefault="00CB51F1" w:rsidP="00636D0F">
      <w:pPr>
        <w:keepNext w:val="0"/>
        <w:autoSpaceDE w:val="0"/>
        <w:autoSpaceDN w:val="0"/>
        <w:adjustRightInd w:val="0"/>
        <w:spacing w:before="0"/>
        <w:ind w:left="720" w:firstLine="131"/>
        <w:rPr>
          <w:rFonts w:cs="Arial"/>
          <w:color w:val="auto"/>
          <w:sz w:val="20"/>
        </w:rPr>
      </w:pPr>
      <w:r w:rsidRPr="00CB51F1">
        <w:rPr>
          <w:rFonts w:cs="Arial"/>
          <w:color w:val="auto"/>
          <w:sz w:val="20"/>
        </w:rPr>
        <w:t>Source Ashfield District Council</w:t>
      </w:r>
    </w:p>
    <w:p w14:paraId="14530E44" w14:textId="33CFF845" w:rsidR="00A74E08" w:rsidRPr="003C7E62" w:rsidRDefault="00A74E08" w:rsidP="005E17D1">
      <w:pPr>
        <w:keepNext w:val="0"/>
        <w:spacing w:before="0"/>
        <w:ind w:left="851"/>
        <w:rPr>
          <w:rFonts w:eastAsia="Calibri" w:cs="Arial"/>
          <w:color w:val="auto"/>
          <w:szCs w:val="22"/>
          <w:lang w:eastAsia="en-US"/>
        </w:rPr>
      </w:pPr>
    </w:p>
    <w:p w14:paraId="0EF55F32" w14:textId="77777777" w:rsidR="00A74E08" w:rsidRPr="003C7E62" w:rsidRDefault="00A74E08" w:rsidP="005E17D1">
      <w:pPr>
        <w:keepNext w:val="0"/>
        <w:autoSpaceDE w:val="0"/>
        <w:autoSpaceDN w:val="0"/>
        <w:adjustRightInd w:val="0"/>
        <w:spacing w:before="0"/>
        <w:ind w:left="851" w:hanging="851"/>
        <w:rPr>
          <w:rFonts w:eastAsia="Calibri" w:cs="Arial"/>
          <w:color w:val="auto"/>
          <w:szCs w:val="22"/>
          <w:lang w:eastAsia="en-US"/>
        </w:rPr>
      </w:pPr>
    </w:p>
    <w:p w14:paraId="371BAE4B" w14:textId="2FD32D59" w:rsidR="00A74E08" w:rsidRPr="009D5737" w:rsidRDefault="00A74E08" w:rsidP="009D5737">
      <w:pPr>
        <w:pStyle w:val="Heading2"/>
        <w:jc w:val="left"/>
        <w:rPr>
          <w:rFonts w:eastAsia="Calibri"/>
          <w:sz w:val="28"/>
          <w:szCs w:val="28"/>
        </w:rPr>
      </w:pPr>
      <w:r w:rsidRPr="003C7E62">
        <w:rPr>
          <w:rFonts w:eastAsia="Calibri"/>
          <w:szCs w:val="22"/>
        </w:rPr>
        <w:br w:type="page"/>
      </w:r>
      <w:bookmarkStart w:id="45" w:name="_Toc145511555"/>
      <w:bookmarkStart w:id="46" w:name="_Hlk75527559"/>
      <w:r w:rsidRPr="009D5737">
        <w:rPr>
          <w:sz w:val="28"/>
          <w:szCs w:val="28"/>
        </w:rPr>
        <w:lastRenderedPageBreak/>
        <w:t>Strategic Policy S</w:t>
      </w:r>
      <w:r w:rsidR="0043047B" w:rsidRPr="009D5737">
        <w:rPr>
          <w:sz w:val="28"/>
          <w:szCs w:val="28"/>
        </w:rPr>
        <w:t>3</w:t>
      </w:r>
      <w:r w:rsidRPr="009D5737">
        <w:rPr>
          <w:sz w:val="28"/>
          <w:szCs w:val="28"/>
        </w:rPr>
        <w:t xml:space="preserve">: </w:t>
      </w:r>
      <w:r w:rsidR="00162A7B" w:rsidRPr="009D5737">
        <w:rPr>
          <w:sz w:val="28"/>
          <w:szCs w:val="28"/>
        </w:rPr>
        <w:t xml:space="preserve">Meeting the Challenge of </w:t>
      </w:r>
      <w:r w:rsidRPr="009D5737">
        <w:rPr>
          <w:rFonts w:eastAsia="Arial"/>
          <w:sz w:val="28"/>
          <w:szCs w:val="28"/>
        </w:rPr>
        <w:t>Climate Change</w:t>
      </w:r>
      <w:bookmarkEnd w:id="33"/>
      <w:bookmarkEnd w:id="45"/>
    </w:p>
    <w:p w14:paraId="3BFA53FB" w14:textId="77777777" w:rsidR="00A74E08" w:rsidRPr="003C7E62" w:rsidRDefault="00A74E08" w:rsidP="00A74E08">
      <w:pPr>
        <w:keepNext w:val="0"/>
        <w:spacing w:before="0"/>
        <w:rPr>
          <w:rFonts w:cs="Arial"/>
          <w:color w:val="auto"/>
          <w:lang w:eastAsia="en-US"/>
        </w:rPr>
      </w:pPr>
      <w:bookmarkStart w:id="47" w:name="_Hlk129878067"/>
      <w:bookmarkEnd w:id="46"/>
    </w:p>
    <w:tbl>
      <w:tblPr>
        <w:tblStyle w:val="ReportTable1"/>
        <w:tblW w:w="9634" w:type="dxa"/>
        <w:tblLook w:val="04A0" w:firstRow="1" w:lastRow="0" w:firstColumn="1" w:lastColumn="0" w:noHBand="0" w:noVBand="1"/>
      </w:tblPr>
      <w:tblGrid>
        <w:gridCol w:w="1701"/>
        <w:gridCol w:w="850"/>
        <w:gridCol w:w="7083"/>
      </w:tblGrid>
      <w:tr w:rsidR="00FB4E8F" w:rsidRPr="003C7E62" w14:paraId="2C10BA36" w14:textId="77777777" w:rsidTr="009D4C91">
        <w:tc>
          <w:tcPr>
            <w:tcW w:w="9634" w:type="dxa"/>
            <w:gridSpan w:val="3"/>
          </w:tcPr>
          <w:p w14:paraId="79236F4A" w14:textId="77777777" w:rsidR="005E17D1" w:rsidRDefault="005E17D1" w:rsidP="005E17D1">
            <w:pPr>
              <w:keepNext w:val="0"/>
              <w:tabs>
                <w:tab w:val="left" w:pos="680"/>
              </w:tabs>
              <w:spacing w:before="40" w:after="40"/>
              <w:rPr>
                <w:rFonts w:cs="Arial"/>
                <w:b/>
                <w:bCs/>
                <w:iCs/>
                <w:color w:val="auto"/>
                <w:szCs w:val="24"/>
                <w:lang w:eastAsia="en-US"/>
              </w:rPr>
            </w:pPr>
          </w:p>
          <w:p w14:paraId="207E51DC" w14:textId="52085A11" w:rsidR="00FB4E8F" w:rsidRDefault="00FB4E8F" w:rsidP="00E605B7">
            <w:pPr>
              <w:rPr>
                <w:rFonts w:eastAsia="Arial" w:cs="Arial"/>
                <w:b/>
                <w:bCs/>
                <w:iCs/>
                <w:color w:val="auto"/>
                <w:szCs w:val="24"/>
                <w:lang w:eastAsia="en-US"/>
              </w:rPr>
            </w:pPr>
            <w:r w:rsidRPr="003C7E62">
              <w:rPr>
                <w:rFonts w:cs="Arial"/>
                <w:b/>
                <w:bCs/>
                <w:iCs/>
                <w:color w:val="auto"/>
                <w:szCs w:val="24"/>
                <w:lang w:eastAsia="en-US"/>
              </w:rPr>
              <w:t>Strategic Policy S</w:t>
            </w:r>
            <w:r w:rsidR="0043047B" w:rsidRPr="009C12CD">
              <w:rPr>
                <w:rFonts w:cs="Arial"/>
                <w:b/>
                <w:bCs/>
                <w:iCs/>
                <w:szCs w:val="24"/>
                <w:lang w:eastAsia="en-US"/>
              </w:rPr>
              <w:t>3</w:t>
            </w:r>
            <w:r w:rsidRPr="003C7E62">
              <w:rPr>
                <w:rFonts w:cs="Arial"/>
                <w:b/>
                <w:bCs/>
                <w:iCs/>
                <w:color w:val="auto"/>
                <w:szCs w:val="24"/>
                <w:lang w:eastAsia="en-US"/>
              </w:rPr>
              <w:t xml:space="preserve">: </w:t>
            </w:r>
            <w:r w:rsidR="00162A7B" w:rsidRPr="00162A7B">
              <w:rPr>
                <w:rFonts w:cs="Arial"/>
                <w:b/>
                <w:bCs/>
                <w:iCs/>
                <w:color w:val="auto"/>
                <w:szCs w:val="24"/>
                <w:lang w:eastAsia="en-US"/>
              </w:rPr>
              <w:t xml:space="preserve">Meeting the Challenge of </w:t>
            </w:r>
            <w:r w:rsidRPr="003C7E62">
              <w:rPr>
                <w:rFonts w:eastAsia="Arial" w:cs="Arial"/>
                <w:b/>
                <w:bCs/>
                <w:iCs/>
                <w:color w:val="auto"/>
                <w:szCs w:val="24"/>
                <w:lang w:eastAsia="en-US"/>
              </w:rPr>
              <w:t>Climate Change</w:t>
            </w:r>
          </w:p>
          <w:p w14:paraId="35CA46F3" w14:textId="0D76C55E" w:rsidR="005E17D1" w:rsidRPr="003C7E62" w:rsidRDefault="005E17D1" w:rsidP="005E17D1">
            <w:pPr>
              <w:keepNext w:val="0"/>
              <w:tabs>
                <w:tab w:val="left" w:pos="680"/>
              </w:tabs>
              <w:spacing w:before="40" w:after="40"/>
              <w:rPr>
                <w:rFonts w:eastAsia="Arial" w:cs="Arial"/>
                <w:b/>
                <w:color w:val="auto"/>
              </w:rPr>
            </w:pPr>
          </w:p>
        </w:tc>
      </w:tr>
      <w:tr w:rsidR="00A74E08" w:rsidRPr="003C7E62" w14:paraId="4ED8BFAF" w14:textId="77777777" w:rsidTr="009D4C91">
        <w:tc>
          <w:tcPr>
            <w:tcW w:w="2551" w:type="dxa"/>
            <w:gridSpan w:val="2"/>
          </w:tcPr>
          <w:p w14:paraId="0D748AC5" w14:textId="77777777" w:rsidR="00A74E08" w:rsidRPr="005E17D1" w:rsidRDefault="00A74E08" w:rsidP="00A74E08">
            <w:pPr>
              <w:keepNext w:val="0"/>
              <w:tabs>
                <w:tab w:val="left" w:pos="680"/>
              </w:tabs>
              <w:spacing w:before="40" w:after="40"/>
              <w:rPr>
                <w:rFonts w:eastAsia="Arial" w:cs="Arial"/>
                <w:bCs/>
                <w:color w:val="auto"/>
              </w:rPr>
            </w:pPr>
            <w:bookmarkStart w:id="48" w:name="_Hlk77151511"/>
            <w:r w:rsidRPr="005E17D1">
              <w:rPr>
                <w:rFonts w:eastAsia="Arial" w:cs="Arial"/>
                <w:bCs/>
                <w:color w:val="auto"/>
              </w:rPr>
              <w:t>Strategic Objectives</w:t>
            </w:r>
          </w:p>
        </w:tc>
        <w:tc>
          <w:tcPr>
            <w:tcW w:w="7083" w:type="dxa"/>
          </w:tcPr>
          <w:p w14:paraId="4AFC5F17" w14:textId="77777777" w:rsidR="00A74E08" w:rsidRPr="005E17D1" w:rsidRDefault="00A74E08" w:rsidP="00A74E08">
            <w:pPr>
              <w:keepNext w:val="0"/>
              <w:tabs>
                <w:tab w:val="left" w:pos="680"/>
              </w:tabs>
              <w:spacing w:before="40" w:after="40"/>
              <w:rPr>
                <w:rFonts w:eastAsia="Arial" w:cs="Arial"/>
                <w:bCs/>
                <w:color w:val="auto"/>
              </w:rPr>
            </w:pPr>
            <w:r w:rsidRPr="005E17D1">
              <w:rPr>
                <w:rFonts w:eastAsia="Arial" w:cs="Arial"/>
                <w:bCs/>
                <w:color w:val="auto"/>
              </w:rPr>
              <w:t>SO1, SO11, SO13.</w:t>
            </w:r>
          </w:p>
        </w:tc>
      </w:tr>
      <w:tr w:rsidR="00A74E08" w:rsidRPr="003C7E62" w14:paraId="060CA0D0" w14:textId="77777777" w:rsidTr="009D4C91">
        <w:tc>
          <w:tcPr>
            <w:tcW w:w="9634" w:type="dxa"/>
            <w:gridSpan w:val="3"/>
            <w:shd w:val="clear" w:color="auto" w:fill="D9D9D9" w:themeFill="background1" w:themeFillShade="D9"/>
          </w:tcPr>
          <w:p w14:paraId="6C3E7D9B" w14:textId="77777777" w:rsidR="00A74E08" w:rsidRPr="003C7E62" w:rsidRDefault="00A74E08" w:rsidP="00EE39E9">
            <w:pPr>
              <w:keepNext w:val="0"/>
              <w:tabs>
                <w:tab w:val="left" w:pos="680"/>
                <w:tab w:val="left" w:pos="1133"/>
                <w:tab w:val="left" w:pos="2267"/>
              </w:tabs>
              <w:spacing w:before="0"/>
              <w:ind w:left="360" w:right="284"/>
              <w:rPr>
                <w:rFonts w:eastAsia="Arial" w:cs="Arial"/>
                <w:color w:val="auto"/>
                <w:szCs w:val="24"/>
              </w:rPr>
            </w:pPr>
          </w:p>
          <w:p w14:paraId="346585C4" w14:textId="746F4E6E" w:rsidR="00A74E08" w:rsidRPr="003C7E62" w:rsidRDefault="00673FC7" w:rsidP="00D01157">
            <w:pPr>
              <w:keepNext w:val="0"/>
              <w:numPr>
                <w:ilvl w:val="0"/>
                <w:numId w:val="14"/>
              </w:numPr>
              <w:tabs>
                <w:tab w:val="left" w:pos="680"/>
                <w:tab w:val="left" w:pos="1133"/>
                <w:tab w:val="left" w:pos="2267"/>
              </w:tabs>
              <w:spacing w:before="0"/>
              <w:ind w:right="284"/>
              <w:rPr>
                <w:rFonts w:eastAsia="Arial" w:cs="Arial"/>
                <w:color w:val="auto"/>
                <w:szCs w:val="24"/>
              </w:rPr>
            </w:pPr>
            <w:r w:rsidRPr="009C12CD">
              <w:rPr>
                <w:rFonts w:eastAsia="Arial" w:cs="Arial"/>
                <w:szCs w:val="24"/>
              </w:rPr>
              <w:t>The Council will prioritis</w:t>
            </w:r>
            <w:r w:rsidR="00285BC7" w:rsidRPr="009C12CD">
              <w:rPr>
                <w:rFonts w:eastAsia="Arial" w:cs="Arial"/>
                <w:szCs w:val="24"/>
              </w:rPr>
              <w:t>e</w:t>
            </w:r>
            <w:r w:rsidRPr="009C12CD">
              <w:rPr>
                <w:rFonts w:eastAsia="Arial" w:cs="Arial"/>
                <w:szCs w:val="24"/>
              </w:rPr>
              <w:t xml:space="preserve"> climate change in all planning decisions, </w:t>
            </w:r>
            <w:r w:rsidR="00A74E08" w:rsidRPr="003C7E62">
              <w:rPr>
                <w:rFonts w:eastAsia="Arial" w:cs="Arial"/>
                <w:color w:val="auto"/>
                <w:szCs w:val="24"/>
              </w:rPr>
              <w:t xml:space="preserve">tackling the causes and impacts of climate change and deliver a reduction in the </w:t>
            </w:r>
            <w:proofErr w:type="gramStart"/>
            <w:r w:rsidR="00A74E08" w:rsidRPr="003C7E62">
              <w:rPr>
                <w:rFonts w:eastAsia="Arial" w:cs="Arial"/>
                <w:color w:val="auto"/>
                <w:szCs w:val="24"/>
              </w:rPr>
              <w:t>District’s</w:t>
            </w:r>
            <w:proofErr w:type="gramEnd"/>
            <w:r w:rsidR="00A74E08" w:rsidRPr="003C7E62">
              <w:rPr>
                <w:rFonts w:eastAsia="Arial" w:cs="Arial"/>
                <w:color w:val="auto"/>
                <w:szCs w:val="24"/>
              </w:rPr>
              <w:t xml:space="preserve"> carbon footprint.  Development and the use of land/ and buildings will be required to address climate change, adapting to anticipated future changes and mitigating against further change by reducing greenhouse gas emissions.</w:t>
            </w:r>
          </w:p>
          <w:p w14:paraId="35C97DC1" w14:textId="77777777" w:rsidR="00A74E08" w:rsidRPr="003C7E62" w:rsidRDefault="00A74E08" w:rsidP="00EE39E9">
            <w:pPr>
              <w:keepNext w:val="0"/>
              <w:tabs>
                <w:tab w:val="left" w:pos="680"/>
                <w:tab w:val="left" w:pos="1133"/>
                <w:tab w:val="left" w:pos="2267"/>
              </w:tabs>
              <w:spacing w:before="0"/>
              <w:ind w:left="360" w:right="284"/>
              <w:rPr>
                <w:rFonts w:eastAsia="Arial" w:cs="Arial"/>
                <w:color w:val="auto"/>
                <w:szCs w:val="24"/>
              </w:rPr>
            </w:pPr>
          </w:p>
          <w:p w14:paraId="0DEA2EE1" w14:textId="77777777" w:rsidR="00A74E08" w:rsidRPr="003C7E62" w:rsidRDefault="00A74E08" w:rsidP="00D01157">
            <w:pPr>
              <w:keepNext w:val="0"/>
              <w:numPr>
                <w:ilvl w:val="0"/>
                <w:numId w:val="14"/>
              </w:numPr>
              <w:tabs>
                <w:tab w:val="left" w:pos="680"/>
                <w:tab w:val="left" w:pos="1133"/>
                <w:tab w:val="left" w:pos="2267"/>
              </w:tabs>
              <w:spacing w:before="0"/>
              <w:ind w:right="284"/>
              <w:rPr>
                <w:rFonts w:eastAsia="Arial" w:cs="Arial"/>
                <w:color w:val="auto"/>
                <w:szCs w:val="24"/>
              </w:rPr>
            </w:pPr>
            <w:r w:rsidRPr="003C7E62">
              <w:rPr>
                <w:rFonts w:eastAsia="Arial" w:cs="Arial"/>
                <w:color w:val="auto"/>
                <w:szCs w:val="24"/>
              </w:rPr>
              <w:t xml:space="preserve">The Council will work with partners, stakeholders and developers to: </w:t>
            </w:r>
          </w:p>
          <w:p w14:paraId="6C153870" w14:textId="77777777" w:rsidR="00A74E08" w:rsidRPr="003C7E62" w:rsidRDefault="00A74E08" w:rsidP="00EE39E9">
            <w:pPr>
              <w:keepNext w:val="0"/>
              <w:tabs>
                <w:tab w:val="left" w:pos="680"/>
                <w:tab w:val="left" w:pos="1133"/>
                <w:tab w:val="left" w:pos="2267"/>
              </w:tabs>
              <w:spacing w:before="0"/>
              <w:ind w:right="284"/>
              <w:rPr>
                <w:rFonts w:eastAsia="Arial" w:cs="Arial"/>
                <w:color w:val="auto"/>
                <w:szCs w:val="24"/>
              </w:rPr>
            </w:pPr>
          </w:p>
          <w:p w14:paraId="05232491" w14:textId="61AED2DE" w:rsidR="00A74E08" w:rsidRPr="003C7E62" w:rsidRDefault="00A74E08" w:rsidP="00D01157">
            <w:pPr>
              <w:keepNext w:val="0"/>
              <w:numPr>
                <w:ilvl w:val="0"/>
                <w:numId w:val="15"/>
              </w:numPr>
              <w:spacing w:before="0"/>
              <w:ind w:right="284"/>
              <w:contextualSpacing/>
              <w:rPr>
                <w:rFonts w:eastAsia="Arial" w:cs="Arial"/>
                <w:color w:val="auto"/>
                <w:szCs w:val="24"/>
                <w:lang w:eastAsia="en-US"/>
              </w:rPr>
            </w:pPr>
            <w:r w:rsidRPr="003C7E62">
              <w:rPr>
                <w:rFonts w:eastAsia="Arial" w:cs="Arial"/>
                <w:color w:val="auto"/>
                <w:szCs w:val="24"/>
                <w:lang w:eastAsia="en-US"/>
              </w:rPr>
              <w:t xml:space="preserve">Promote energy generation from renewable and low-carbon sources, through supporting new development where it </w:t>
            </w:r>
            <w:proofErr w:type="gramStart"/>
            <w:r w:rsidRPr="003C7E62">
              <w:rPr>
                <w:rFonts w:eastAsia="Arial" w:cs="Arial"/>
                <w:color w:val="auto"/>
                <w:szCs w:val="24"/>
                <w:lang w:eastAsia="en-US"/>
              </w:rPr>
              <w:t>is able to</w:t>
            </w:r>
            <w:proofErr w:type="gramEnd"/>
            <w:r w:rsidRPr="003C7E62">
              <w:rPr>
                <w:rFonts w:eastAsia="Arial" w:cs="Arial"/>
                <w:color w:val="auto"/>
                <w:szCs w:val="24"/>
                <w:lang w:eastAsia="en-US"/>
              </w:rPr>
              <w:t xml:space="preserve"> demonstrate that its adverse impacts have been satisfactorily addressed. </w:t>
            </w:r>
          </w:p>
          <w:p w14:paraId="303E762A" w14:textId="77777777" w:rsidR="00A74E08" w:rsidRPr="003C7E62" w:rsidRDefault="00A74E08" w:rsidP="00EE39E9">
            <w:pPr>
              <w:keepNext w:val="0"/>
              <w:spacing w:before="0"/>
              <w:ind w:left="720" w:right="284"/>
              <w:contextualSpacing/>
              <w:rPr>
                <w:rFonts w:eastAsia="Arial" w:cs="Arial"/>
                <w:color w:val="auto"/>
                <w:szCs w:val="24"/>
                <w:lang w:eastAsia="en-US"/>
              </w:rPr>
            </w:pPr>
          </w:p>
          <w:p w14:paraId="6747F888" w14:textId="77777777" w:rsidR="00A74E08" w:rsidRPr="003C7E62" w:rsidRDefault="00A74E08" w:rsidP="00D01157">
            <w:pPr>
              <w:keepNext w:val="0"/>
              <w:numPr>
                <w:ilvl w:val="0"/>
                <w:numId w:val="15"/>
              </w:numPr>
              <w:spacing w:before="0"/>
              <w:ind w:right="284"/>
              <w:contextualSpacing/>
              <w:rPr>
                <w:rFonts w:eastAsia="Arial" w:cs="Arial"/>
                <w:color w:val="auto"/>
                <w:szCs w:val="24"/>
                <w:lang w:eastAsia="en-US"/>
              </w:rPr>
            </w:pPr>
            <w:r w:rsidRPr="003C7E62">
              <w:rPr>
                <w:rFonts w:eastAsia="Arial" w:cs="Arial"/>
                <w:color w:val="auto"/>
                <w:szCs w:val="24"/>
                <w:lang w:eastAsia="en-US"/>
              </w:rPr>
              <w:t>Mitigate the impacts of climate change through ensuring that new development proposals minimise their potential adverse environmental impacts during their construction and eventual operation. New proposals for development should:</w:t>
            </w:r>
          </w:p>
          <w:p w14:paraId="4F1659FD" w14:textId="77777777" w:rsidR="00A74E08" w:rsidRPr="003C7E62" w:rsidRDefault="00A74E08" w:rsidP="00EE39E9">
            <w:pPr>
              <w:keepNext w:val="0"/>
              <w:spacing w:before="0"/>
              <w:ind w:left="720" w:right="284"/>
              <w:contextualSpacing/>
              <w:rPr>
                <w:rFonts w:eastAsia="Arial" w:cs="Arial"/>
                <w:color w:val="auto"/>
                <w:szCs w:val="24"/>
                <w:lang w:eastAsia="en-US"/>
              </w:rPr>
            </w:pPr>
          </w:p>
          <w:p w14:paraId="27871DEC" w14:textId="04803F1A" w:rsidR="00A74E08" w:rsidRPr="003C7E62" w:rsidRDefault="00A74E08" w:rsidP="00D01157">
            <w:pPr>
              <w:keepNext w:val="0"/>
              <w:numPr>
                <w:ilvl w:val="0"/>
                <w:numId w:val="16"/>
              </w:numPr>
              <w:tabs>
                <w:tab w:val="left" w:pos="680"/>
                <w:tab w:val="left" w:pos="1133"/>
                <w:tab w:val="left" w:pos="2267"/>
              </w:tabs>
              <w:spacing w:before="0"/>
              <w:ind w:right="284"/>
              <w:contextualSpacing/>
              <w:rPr>
                <w:rFonts w:eastAsia="Arial" w:cs="Arial"/>
                <w:color w:val="auto"/>
                <w:szCs w:val="24"/>
                <w:lang w:eastAsia="en-US"/>
              </w:rPr>
            </w:pPr>
            <w:r w:rsidRPr="003C7E62">
              <w:rPr>
                <w:rFonts w:eastAsia="Arial" w:cs="Arial"/>
                <w:color w:val="auto"/>
                <w:szCs w:val="24"/>
                <w:lang w:eastAsia="en-US"/>
              </w:rPr>
              <w:t>Ensure that the impacts on natural resources are minimised and the use of renewable resources encouraged</w:t>
            </w:r>
            <w:r w:rsidR="00A52BBF">
              <w:rPr>
                <w:rFonts w:eastAsia="Arial" w:cs="Arial"/>
                <w:color w:val="auto"/>
                <w:szCs w:val="24"/>
                <w:lang w:eastAsia="en-US"/>
              </w:rPr>
              <w:t>;</w:t>
            </w:r>
            <w:r w:rsidRPr="003C7E62">
              <w:rPr>
                <w:rFonts w:eastAsia="Arial" w:cs="Arial"/>
                <w:color w:val="auto"/>
                <w:szCs w:val="24"/>
                <w:lang w:eastAsia="en-US"/>
              </w:rPr>
              <w:t xml:space="preserve"> </w:t>
            </w:r>
          </w:p>
          <w:p w14:paraId="0593A681" w14:textId="1CC597E3" w:rsidR="00A74E08" w:rsidRPr="003C7E62" w:rsidRDefault="00A74E08" w:rsidP="00D01157">
            <w:pPr>
              <w:keepNext w:val="0"/>
              <w:numPr>
                <w:ilvl w:val="0"/>
                <w:numId w:val="16"/>
              </w:numPr>
              <w:tabs>
                <w:tab w:val="left" w:pos="680"/>
                <w:tab w:val="left" w:pos="1133"/>
                <w:tab w:val="left" w:pos="2267"/>
              </w:tabs>
              <w:spacing w:before="0"/>
              <w:ind w:right="284"/>
              <w:contextualSpacing/>
              <w:rPr>
                <w:rFonts w:eastAsia="Arial" w:cs="Arial"/>
                <w:color w:val="auto"/>
                <w:szCs w:val="24"/>
                <w:lang w:eastAsia="en-US"/>
              </w:rPr>
            </w:pPr>
            <w:r w:rsidRPr="003C7E62">
              <w:rPr>
                <w:rFonts w:eastAsia="Arial" w:cs="Arial"/>
                <w:color w:val="auto"/>
                <w:szCs w:val="24"/>
              </w:rPr>
              <w:t>Reduce carbon emissions</w:t>
            </w:r>
            <w:r w:rsidR="00A52BBF">
              <w:rPr>
                <w:rFonts w:eastAsia="Arial" w:cs="Arial"/>
                <w:color w:val="auto"/>
                <w:szCs w:val="24"/>
              </w:rPr>
              <w:t>;</w:t>
            </w:r>
            <w:r w:rsidRPr="003C7E62">
              <w:rPr>
                <w:rFonts w:eastAsia="Arial" w:cs="Arial"/>
                <w:color w:val="auto"/>
                <w:szCs w:val="24"/>
                <w:lang w:eastAsia="en-US"/>
              </w:rPr>
              <w:t xml:space="preserve"> </w:t>
            </w:r>
          </w:p>
          <w:p w14:paraId="0C674615" w14:textId="213D19EB" w:rsidR="00A74E08" w:rsidRDefault="00A74E08" w:rsidP="00D01157">
            <w:pPr>
              <w:keepNext w:val="0"/>
              <w:numPr>
                <w:ilvl w:val="0"/>
                <w:numId w:val="16"/>
              </w:numPr>
              <w:tabs>
                <w:tab w:val="left" w:pos="680"/>
                <w:tab w:val="left" w:pos="1133"/>
                <w:tab w:val="left" w:pos="2267"/>
              </w:tabs>
              <w:spacing w:before="0"/>
              <w:ind w:right="284"/>
              <w:contextualSpacing/>
              <w:rPr>
                <w:rFonts w:eastAsia="Arial" w:cs="Arial"/>
                <w:color w:val="auto"/>
                <w:szCs w:val="24"/>
                <w:lang w:eastAsia="en-US"/>
              </w:rPr>
            </w:pPr>
            <w:r w:rsidRPr="003C7E62">
              <w:rPr>
                <w:rFonts w:eastAsia="Arial" w:cs="Arial"/>
                <w:color w:val="auto"/>
                <w:szCs w:val="24"/>
                <w:lang w:eastAsia="en-US"/>
              </w:rPr>
              <w:t>Be efficient in minimising the consumption of energy, water and other resources</w:t>
            </w:r>
            <w:r w:rsidR="00A52BBF">
              <w:rPr>
                <w:rFonts w:eastAsia="Arial" w:cs="Arial"/>
                <w:color w:val="auto"/>
                <w:szCs w:val="24"/>
                <w:lang w:eastAsia="en-US"/>
              </w:rPr>
              <w:t>;</w:t>
            </w:r>
          </w:p>
          <w:p w14:paraId="33AC0029" w14:textId="213DD1E8" w:rsidR="00A52BBF" w:rsidRPr="009C12CD" w:rsidRDefault="00A52BBF" w:rsidP="00A44712">
            <w:pPr>
              <w:pStyle w:val="ListParagraph"/>
              <w:numPr>
                <w:ilvl w:val="0"/>
                <w:numId w:val="16"/>
              </w:numPr>
              <w:tabs>
                <w:tab w:val="left" w:pos="680"/>
                <w:tab w:val="left" w:pos="1133"/>
                <w:tab w:val="left" w:pos="2267"/>
              </w:tabs>
              <w:ind w:right="284"/>
              <w:rPr>
                <w:rFonts w:ascii="Arial" w:eastAsia="Arial" w:hAnsi="Arial" w:cs="Arial"/>
                <w:szCs w:val="24"/>
              </w:rPr>
            </w:pPr>
            <w:r w:rsidRPr="009C12CD">
              <w:rPr>
                <w:rFonts w:ascii="Arial" w:eastAsia="Arial" w:hAnsi="Arial" w:cs="Arial"/>
                <w:szCs w:val="24"/>
              </w:rPr>
              <w:t>Make new and existing buildings as energy efficient as possible;</w:t>
            </w:r>
          </w:p>
          <w:p w14:paraId="02BCACF6" w14:textId="218AB493" w:rsidR="00A52BBF" w:rsidRPr="009C12CD" w:rsidRDefault="00A52BBF" w:rsidP="00A44712">
            <w:pPr>
              <w:pStyle w:val="ListParagraph"/>
              <w:numPr>
                <w:ilvl w:val="0"/>
                <w:numId w:val="16"/>
              </w:numPr>
              <w:tabs>
                <w:tab w:val="left" w:pos="680"/>
                <w:tab w:val="left" w:pos="1133"/>
                <w:tab w:val="left" w:pos="2267"/>
              </w:tabs>
              <w:ind w:right="284"/>
              <w:rPr>
                <w:rFonts w:ascii="Arial" w:eastAsia="Arial" w:hAnsi="Arial" w:cs="Arial"/>
                <w:szCs w:val="24"/>
              </w:rPr>
            </w:pPr>
            <w:r w:rsidRPr="009C12CD">
              <w:rPr>
                <w:rFonts w:ascii="Arial" w:eastAsia="Arial" w:hAnsi="Arial" w:cs="Arial"/>
                <w:szCs w:val="24"/>
              </w:rPr>
              <w:t>Protect and enhance the network of green and blue spaces; and</w:t>
            </w:r>
          </w:p>
          <w:p w14:paraId="70F85557" w14:textId="796F4571" w:rsidR="00A74E08" w:rsidRPr="009C12CD" w:rsidRDefault="00A74E08" w:rsidP="00A44712">
            <w:pPr>
              <w:pStyle w:val="ListParagraph"/>
              <w:numPr>
                <w:ilvl w:val="0"/>
                <w:numId w:val="16"/>
              </w:numPr>
              <w:tabs>
                <w:tab w:val="left" w:pos="680"/>
                <w:tab w:val="left" w:pos="1133"/>
                <w:tab w:val="left" w:pos="2267"/>
              </w:tabs>
              <w:ind w:right="284"/>
              <w:rPr>
                <w:rFonts w:ascii="Arial" w:eastAsia="Arial" w:hAnsi="Arial" w:cs="Arial"/>
                <w:szCs w:val="24"/>
              </w:rPr>
            </w:pPr>
            <w:r w:rsidRPr="009C12CD">
              <w:rPr>
                <w:rFonts w:ascii="Arial" w:eastAsia="Arial" w:hAnsi="Arial" w:cs="Arial"/>
                <w:szCs w:val="24"/>
              </w:rPr>
              <w:t xml:space="preserve">Maintain </w:t>
            </w:r>
            <w:r w:rsidR="00A52BBF" w:rsidRPr="009C12CD">
              <w:rPr>
                <w:rFonts w:ascii="Arial" w:eastAsia="Arial" w:hAnsi="Arial" w:cs="Arial"/>
                <w:szCs w:val="24"/>
              </w:rPr>
              <w:t xml:space="preserve">and enhancing </w:t>
            </w:r>
            <w:r w:rsidRPr="009C12CD">
              <w:rPr>
                <w:rFonts w:ascii="Arial" w:eastAsia="Arial" w:hAnsi="Arial" w:cs="Arial"/>
                <w:szCs w:val="24"/>
              </w:rPr>
              <w:t>ecological</w:t>
            </w:r>
            <w:r w:rsidRPr="009C12CD">
              <w:rPr>
                <w:rFonts w:ascii="Arial" w:eastAsia="Calibri" w:hAnsi="Arial" w:cs="Arial"/>
              </w:rPr>
              <w:t xml:space="preserve"> </w:t>
            </w:r>
            <w:r w:rsidRPr="009C12CD">
              <w:rPr>
                <w:rFonts w:ascii="Arial" w:eastAsia="Arial" w:hAnsi="Arial" w:cs="Arial"/>
                <w:szCs w:val="24"/>
              </w:rPr>
              <w:t>resilience</w:t>
            </w:r>
            <w:r w:rsidR="00263588" w:rsidRPr="009C12CD">
              <w:rPr>
                <w:rFonts w:ascii="Arial" w:eastAsia="Arial" w:hAnsi="Arial" w:cs="Arial"/>
                <w:szCs w:val="24"/>
              </w:rPr>
              <w:t>.</w:t>
            </w:r>
          </w:p>
          <w:p w14:paraId="01EECFEA" w14:textId="77777777" w:rsidR="00A74E08" w:rsidRPr="009C12CD" w:rsidRDefault="00A74E08" w:rsidP="00EE39E9">
            <w:pPr>
              <w:keepNext w:val="0"/>
              <w:spacing w:before="0"/>
              <w:ind w:left="720" w:right="284"/>
              <w:contextualSpacing/>
              <w:rPr>
                <w:rFonts w:eastAsia="Arial" w:cs="Arial"/>
                <w:szCs w:val="24"/>
                <w:lang w:eastAsia="en-US"/>
              </w:rPr>
            </w:pPr>
          </w:p>
          <w:p w14:paraId="41AAE74D" w14:textId="47267D9F" w:rsidR="00A74E08" w:rsidRPr="009C12CD" w:rsidRDefault="002558FC" w:rsidP="00D01157">
            <w:pPr>
              <w:keepNext w:val="0"/>
              <w:numPr>
                <w:ilvl w:val="0"/>
                <w:numId w:val="15"/>
              </w:numPr>
              <w:spacing w:before="0"/>
              <w:ind w:right="284"/>
              <w:contextualSpacing/>
              <w:rPr>
                <w:rFonts w:eastAsia="Arial" w:cs="Arial"/>
                <w:szCs w:val="24"/>
                <w:lang w:eastAsia="en-US"/>
              </w:rPr>
            </w:pPr>
            <w:r w:rsidRPr="009C12CD">
              <w:t>The Council will ensure no development is put at risk of flooding nor does it increase the risk of flooding to the surrounding areas</w:t>
            </w:r>
            <w:r w:rsidR="003C32D3" w:rsidRPr="009C12CD">
              <w:t>, d</w:t>
            </w:r>
            <w:r w:rsidR="00A74E08" w:rsidRPr="009C12CD">
              <w:rPr>
                <w:rFonts w:eastAsia="Arial" w:cs="Arial"/>
                <w:szCs w:val="24"/>
                <w:lang w:eastAsia="en-US"/>
              </w:rPr>
              <w:t xml:space="preserve">irecting development </w:t>
            </w:r>
            <w:r w:rsidR="00B34068" w:rsidRPr="009C12CD">
              <w:rPr>
                <w:rFonts w:eastAsia="Arial" w:cs="Arial"/>
                <w:szCs w:val="24"/>
                <w:lang w:eastAsia="en-US"/>
              </w:rPr>
              <w:t xml:space="preserve">and infrastructure </w:t>
            </w:r>
            <w:r w:rsidR="00A74E08" w:rsidRPr="009C12CD">
              <w:rPr>
                <w:rFonts w:eastAsia="Arial" w:cs="Arial"/>
                <w:szCs w:val="24"/>
                <w:lang w:eastAsia="en-US"/>
              </w:rPr>
              <w:t xml:space="preserve">to area at the lowest risk of flooding in the </w:t>
            </w:r>
            <w:proofErr w:type="gramStart"/>
            <w:r w:rsidR="00A74E08" w:rsidRPr="009C12CD">
              <w:rPr>
                <w:rFonts w:eastAsia="Arial" w:cs="Arial"/>
                <w:szCs w:val="24"/>
                <w:lang w:eastAsia="en-US"/>
              </w:rPr>
              <w:t>District</w:t>
            </w:r>
            <w:proofErr w:type="gramEnd"/>
            <w:r w:rsidR="00A74E08" w:rsidRPr="009C12CD">
              <w:rPr>
                <w:rFonts w:eastAsia="Arial" w:cs="Arial"/>
                <w:szCs w:val="24"/>
                <w:lang w:eastAsia="en-US"/>
              </w:rPr>
              <w:t>.</w:t>
            </w:r>
          </w:p>
          <w:p w14:paraId="54783DA8" w14:textId="450C3222" w:rsidR="00A74E08" w:rsidRPr="009C12CD" w:rsidRDefault="00A74E08" w:rsidP="00611C8D">
            <w:pPr>
              <w:keepNext w:val="0"/>
              <w:spacing w:before="0"/>
              <w:ind w:right="284"/>
              <w:contextualSpacing/>
              <w:rPr>
                <w:rFonts w:eastAsia="Arial" w:cs="Arial"/>
                <w:szCs w:val="24"/>
                <w:lang w:eastAsia="en-US"/>
              </w:rPr>
            </w:pPr>
          </w:p>
          <w:p w14:paraId="23E227DB" w14:textId="4D0FE97A" w:rsidR="00A74E08" w:rsidRPr="009C12CD" w:rsidRDefault="00A74E08" w:rsidP="00D01157">
            <w:pPr>
              <w:keepNext w:val="0"/>
              <w:numPr>
                <w:ilvl w:val="0"/>
                <w:numId w:val="15"/>
              </w:numPr>
              <w:spacing w:before="0"/>
              <w:ind w:right="284"/>
              <w:contextualSpacing/>
              <w:rPr>
                <w:rFonts w:eastAsia="Arial" w:cs="Arial"/>
                <w:szCs w:val="24"/>
                <w:lang w:eastAsia="en-US"/>
              </w:rPr>
            </w:pPr>
            <w:r w:rsidRPr="009C12CD">
              <w:rPr>
                <w:rFonts w:eastAsia="Arial" w:cs="Arial"/>
                <w:szCs w:val="24"/>
                <w:lang w:eastAsia="en-US"/>
              </w:rPr>
              <w:t>Ensure, that development</w:t>
            </w:r>
            <w:r w:rsidR="00275006" w:rsidRPr="009C12CD">
              <w:rPr>
                <w:rFonts w:eastAsia="Arial" w:cs="Arial"/>
                <w:szCs w:val="24"/>
                <w:lang w:eastAsia="en-US"/>
              </w:rPr>
              <w:t xml:space="preserve"> provides for integrated water </w:t>
            </w:r>
            <w:r w:rsidRPr="009C12CD">
              <w:rPr>
                <w:rFonts w:eastAsia="Arial" w:cs="Arial"/>
                <w:szCs w:val="24"/>
                <w:lang w:eastAsia="en-US"/>
              </w:rPr>
              <w:t>management including:</w:t>
            </w:r>
          </w:p>
          <w:p w14:paraId="361FBD86" w14:textId="77777777" w:rsidR="00A74E08" w:rsidRPr="009C12CD" w:rsidRDefault="00A74E08" w:rsidP="00EE39E9">
            <w:pPr>
              <w:keepNext w:val="0"/>
              <w:spacing w:before="0"/>
              <w:ind w:left="1080" w:right="284"/>
              <w:contextualSpacing/>
              <w:rPr>
                <w:rFonts w:eastAsia="Arial" w:cs="Arial"/>
                <w:szCs w:val="24"/>
                <w:lang w:eastAsia="en-US"/>
              </w:rPr>
            </w:pPr>
          </w:p>
          <w:p w14:paraId="7AB683A9" w14:textId="54B9A377" w:rsidR="00A74E08" w:rsidRPr="003C7E62" w:rsidRDefault="00A74E08" w:rsidP="00D01157">
            <w:pPr>
              <w:pStyle w:val="ListParagraph"/>
              <w:numPr>
                <w:ilvl w:val="0"/>
                <w:numId w:val="42"/>
              </w:numPr>
              <w:tabs>
                <w:tab w:val="left" w:pos="1133"/>
                <w:tab w:val="left" w:pos="2267"/>
              </w:tabs>
              <w:spacing w:after="0" w:line="240" w:lineRule="auto"/>
              <w:ind w:left="1080" w:right="284"/>
              <w:rPr>
                <w:rFonts w:ascii="Arial" w:eastAsia="Arial" w:hAnsi="Arial" w:cs="Arial"/>
                <w:color w:val="auto"/>
                <w:szCs w:val="24"/>
              </w:rPr>
            </w:pPr>
            <w:r w:rsidRPr="003C7E62">
              <w:rPr>
                <w:rFonts w:ascii="Arial" w:eastAsia="Arial" w:hAnsi="Arial" w:cs="Arial"/>
                <w:color w:val="auto"/>
                <w:szCs w:val="24"/>
              </w:rPr>
              <w:t>Improving the quality of water resources and the natural features of Kings Mill Reservoir, the Rivers Leen, Erewash, Maun, Meden, Idle and Doe Lea, their tributary streams, ponds and associated habitats</w:t>
            </w:r>
            <w:r w:rsidR="00282C6F">
              <w:rPr>
                <w:rFonts w:ascii="Arial" w:eastAsia="Arial" w:hAnsi="Arial" w:cs="Arial"/>
                <w:color w:val="auto"/>
                <w:szCs w:val="24"/>
              </w:rPr>
              <w:t>;</w:t>
            </w:r>
          </w:p>
          <w:p w14:paraId="46E5DD42" w14:textId="77777777" w:rsidR="00A74E08" w:rsidRPr="003C7E62" w:rsidRDefault="00A74E08" w:rsidP="00EE39E9">
            <w:pPr>
              <w:pStyle w:val="ListParagraph"/>
              <w:tabs>
                <w:tab w:val="left" w:pos="1133"/>
                <w:tab w:val="left" w:pos="2267"/>
              </w:tabs>
              <w:spacing w:after="0" w:line="240" w:lineRule="auto"/>
              <w:ind w:left="1080" w:right="284"/>
              <w:rPr>
                <w:rFonts w:ascii="Arial" w:eastAsia="Arial" w:hAnsi="Arial" w:cs="Arial"/>
                <w:color w:val="auto"/>
                <w:szCs w:val="24"/>
              </w:rPr>
            </w:pPr>
          </w:p>
          <w:p w14:paraId="7B661858" w14:textId="35CDD51D" w:rsidR="00A74E08" w:rsidRPr="00372D94" w:rsidRDefault="00A74E08" w:rsidP="00D01157">
            <w:pPr>
              <w:pStyle w:val="ListParagraph"/>
              <w:numPr>
                <w:ilvl w:val="0"/>
                <w:numId w:val="42"/>
              </w:numPr>
              <w:tabs>
                <w:tab w:val="left" w:pos="1133"/>
                <w:tab w:val="left" w:pos="2267"/>
              </w:tabs>
              <w:spacing w:after="0" w:line="240" w:lineRule="auto"/>
              <w:ind w:left="1080" w:right="284"/>
              <w:rPr>
                <w:rFonts w:ascii="Arial" w:eastAsia="Arial" w:hAnsi="Arial" w:cs="Arial"/>
                <w:szCs w:val="24"/>
              </w:rPr>
            </w:pPr>
            <w:r w:rsidRPr="00372D94">
              <w:rPr>
                <w:rFonts w:ascii="Arial" w:eastAsia="Arial" w:hAnsi="Arial" w:cs="Arial"/>
                <w:szCs w:val="24"/>
              </w:rPr>
              <w:t>Minimising any risk to the quality of the groundwater in the principal aquifers</w:t>
            </w:r>
            <w:r w:rsidR="004D5481" w:rsidRPr="00372D94">
              <w:rPr>
                <w:rFonts w:ascii="Arial" w:eastAsia="Arial" w:hAnsi="Arial" w:cs="Arial"/>
                <w:szCs w:val="24"/>
              </w:rPr>
              <w:t>,</w:t>
            </w:r>
            <w:r w:rsidRPr="00372D94">
              <w:rPr>
                <w:rFonts w:ascii="Arial" w:eastAsia="Arial" w:hAnsi="Arial" w:cs="Arial"/>
                <w:szCs w:val="24"/>
              </w:rPr>
              <w:t xml:space="preserve"> </w:t>
            </w:r>
            <w:r w:rsidR="004D5481" w:rsidRPr="00372D94">
              <w:rPr>
                <w:rFonts w:ascii="Arial" w:eastAsia="Arial" w:hAnsi="Arial" w:cs="Arial"/>
                <w:szCs w:val="24"/>
              </w:rPr>
              <w:t xml:space="preserve">secondary aquifers </w:t>
            </w:r>
            <w:r w:rsidRPr="00372D94">
              <w:rPr>
                <w:rFonts w:ascii="Arial" w:eastAsia="Arial" w:hAnsi="Arial" w:cs="Arial"/>
                <w:szCs w:val="24"/>
              </w:rPr>
              <w:t>or in groundwater source protection zones</w:t>
            </w:r>
            <w:r w:rsidR="00282C6F" w:rsidRPr="00372D94">
              <w:rPr>
                <w:rFonts w:ascii="Arial" w:eastAsia="Arial" w:hAnsi="Arial" w:cs="Arial"/>
                <w:szCs w:val="24"/>
              </w:rPr>
              <w:t>;</w:t>
            </w:r>
          </w:p>
          <w:p w14:paraId="16C0F357" w14:textId="77777777" w:rsidR="00A74E08" w:rsidRPr="00372D94" w:rsidRDefault="00A74E08" w:rsidP="00EE39E9">
            <w:pPr>
              <w:tabs>
                <w:tab w:val="left" w:pos="1133"/>
                <w:tab w:val="left" w:pos="2267"/>
              </w:tabs>
              <w:spacing w:before="0"/>
              <w:ind w:right="284"/>
              <w:rPr>
                <w:rFonts w:eastAsia="Arial" w:cs="Arial"/>
                <w:szCs w:val="24"/>
              </w:rPr>
            </w:pPr>
          </w:p>
          <w:p w14:paraId="0343FE64" w14:textId="1C9B2773" w:rsidR="00A74E08" w:rsidRPr="00372D94" w:rsidRDefault="00A74E08" w:rsidP="00D01157">
            <w:pPr>
              <w:pStyle w:val="ListParagraph"/>
              <w:numPr>
                <w:ilvl w:val="0"/>
                <w:numId w:val="42"/>
              </w:numPr>
              <w:tabs>
                <w:tab w:val="left" w:pos="1133"/>
                <w:tab w:val="left" w:pos="2267"/>
              </w:tabs>
              <w:spacing w:after="0" w:line="240" w:lineRule="auto"/>
              <w:ind w:left="1080" w:right="284"/>
              <w:rPr>
                <w:rFonts w:ascii="Arial" w:eastAsia="Arial" w:hAnsi="Arial" w:cs="Arial"/>
                <w:szCs w:val="24"/>
              </w:rPr>
            </w:pPr>
            <w:r w:rsidRPr="00372D94">
              <w:rPr>
                <w:rFonts w:ascii="Arial" w:eastAsia="Arial" w:hAnsi="Arial" w:cs="Arial"/>
                <w:szCs w:val="24"/>
              </w:rPr>
              <w:t>Applying a sequential approach to minimise flood risk</w:t>
            </w:r>
            <w:r w:rsidR="00282C6F" w:rsidRPr="00372D94">
              <w:rPr>
                <w:rFonts w:ascii="Arial" w:eastAsia="Arial" w:hAnsi="Arial" w:cs="Arial"/>
                <w:szCs w:val="24"/>
              </w:rPr>
              <w:t>;</w:t>
            </w:r>
          </w:p>
          <w:p w14:paraId="6282F521" w14:textId="77777777" w:rsidR="00A74E08" w:rsidRPr="00372D94" w:rsidRDefault="00A74E08" w:rsidP="00EE39E9">
            <w:pPr>
              <w:pStyle w:val="ListParagraph"/>
              <w:tabs>
                <w:tab w:val="left" w:pos="1133"/>
                <w:tab w:val="left" w:pos="2267"/>
              </w:tabs>
              <w:spacing w:after="0" w:line="240" w:lineRule="auto"/>
              <w:ind w:left="1080" w:right="284"/>
              <w:rPr>
                <w:rFonts w:ascii="Arial" w:eastAsia="Arial" w:hAnsi="Arial" w:cs="Arial"/>
                <w:szCs w:val="24"/>
              </w:rPr>
            </w:pPr>
          </w:p>
          <w:p w14:paraId="634C3465" w14:textId="30E7E309" w:rsidR="00F577CC" w:rsidRPr="00372D94" w:rsidRDefault="00A74E08" w:rsidP="00F577CC">
            <w:pPr>
              <w:pStyle w:val="ListParagraph"/>
              <w:numPr>
                <w:ilvl w:val="0"/>
                <w:numId w:val="42"/>
              </w:numPr>
              <w:tabs>
                <w:tab w:val="left" w:pos="1133"/>
                <w:tab w:val="left" w:pos="2267"/>
              </w:tabs>
              <w:spacing w:after="0" w:line="240" w:lineRule="auto"/>
              <w:ind w:left="1080" w:right="284"/>
              <w:rPr>
                <w:rFonts w:ascii="Arial" w:eastAsia="Arial" w:hAnsi="Arial" w:cs="Arial"/>
                <w:szCs w:val="24"/>
              </w:rPr>
            </w:pPr>
            <w:r w:rsidRPr="00372D94">
              <w:rPr>
                <w:rFonts w:ascii="Arial" w:hAnsi="Arial" w:cs="Arial"/>
                <w:szCs w:val="24"/>
              </w:rPr>
              <w:t>Achieving greenfield</w:t>
            </w:r>
            <w:r w:rsidR="00C66463">
              <w:rPr>
                <w:rFonts w:ascii="Arial" w:hAnsi="Arial" w:cs="Arial"/>
                <w:szCs w:val="24"/>
              </w:rPr>
              <w:t xml:space="preserve"> </w:t>
            </w:r>
            <w:r w:rsidR="00C66463" w:rsidRPr="00E56F9C">
              <w:rPr>
                <w:rFonts w:ascii="Arial" w:hAnsi="Arial" w:cs="Arial"/>
                <w:color w:val="005EAC"/>
                <w:szCs w:val="24"/>
              </w:rPr>
              <w:t>and, where possible, lower</w:t>
            </w:r>
            <w:r w:rsidRPr="00E56F9C">
              <w:rPr>
                <w:rFonts w:ascii="Arial" w:hAnsi="Arial" w:cs="Arial"/>
                <w:color w:val="005EAC"/>
                <w:szCs w:val="24"/>
              </w:rPr>
              <w:t xml:space="preserve"> </w:t>
            </w:r>
            <w:r w:rsidRPr="00372D94">
              <w:rPr>
                <w:rFonts w:ascii="Arial" w:hAnsi="Arial" w:cs="Arial"/>
                <w:szCs w:val="24"/>
              </w:rPr>
              <w:t xml:space="preserve">run-off rates within the catchment of the River Leen </w:t>
            </w:r>
            <w:r w:rsidRPr="00372D94">
              <w:rPr>
                <w:rFonts w:ascii="Arial" w:eastAsia="Arial" w:hAnsi="Arial" w:cs="Arial"/>
                <w:szCs w:val="24"/>
              </w:rPr>
              <w:t>to minimise the risk of flooding to Hucknall and the City of Nottingham</w:t>
            </w:r>
            <w:r w:rsidR="00282C6F" w:rsidRPr="00372D94">
              <w:rPr>
                <w:rFonts w:ascii="Arial" w:eastAsia="Arial" w:hAnsi="Arial" w:cs="Arial"/>
                <w:szCs w:val="24"/>
              </w:rPr>
              <w:t>;</w:t>
            </w:r>
          </w:p>
          <w:p w14:paraId="7D82EB3E" w14:textId="77777777" w:rsidR="00F577CC" w:rsidRPr="00372D94" w:rsidRDefault="00F577CC" w:rsidP="00F577CC">
            <w:pPr>
              <w:pStyle w:val="ListParagraph"/>
              <w:rPr>
                <w:rFonts w:ascii="Arial" w:hAnsi="Arial" w:cs="Arial"/>
                <w:szCs w:val="24"/>
              </w:rPr>
            </w:pPr>
          </w:p>
          <w:p w14:paraId="6BCE861E" w14:textId="0E61A17A" w:rsidR="00F30460" w:rsidRPr="00372D94" w:rsidRDefault="00F30460" w:rsidP="00F577CC">
            <w:pPr>
              <w:pStyle w:val="ListParagraph"/>
              <w:numPr>
                <w:ilvl w:val="0"/>
                <w:numId w:val="42"/>
              </w:numPr>
              <w:tabs>
                <w:tab w:val="left" w:pos="1133"/>
                <w:tab w:val="left" w:pos="2267"/>
              </w:tabs>
              <w:spacing w:after="0" w:line="240" w:lineRule="auto"/>
              <w:ind w:left="1080" w:right="284"/>
              <w:rPr>
                <w:rFonts w:ascii="Arial" w:hAnsi="Arial" w:cs="Arial"/>
                <w:bCs/>
                <w:szCs w:val="24"/>
              </w:rPr>
            </w:pPr>
            <w:r w:rsidRPr="00372D94">
              <w:rPr>
                <w:rFonts w:ascii="Arial" w:hAnsi="Arial" w:cs="Arial"/>
                <w:bCs/>
                <w:szCs w:val="24"/>
              </w:rPr>
              <w:t>Util</w:t>
            </w:r>
            <w:r w:rsidR="002D00A7" w:rsidRPr="00372D94">
              <w:rPr>
                <w:rFonts w:ascii="Arial" w:hAnsi="Arial" w:cs="Arial"/>
                <w:bCs/>
                <w:szCs w:val="24"/>
              </w:rPr>
              <w:t>i</w:t>
            </w:r>
            <w:r w:rsidRPr="00372D94">
              <w:rPr>
                <w:rFonts w:ascii="Arial" w:hAnsi="Arial" w:cs="Arial"/>
                <w:bCs/>
                <w:szCs w:val="24"/>
              </w:rPr>
              <w:t>sing Sustainable Drainage Systems (</w:t>
            </w:r>
            <w:proofErr w:type="spellStart"/>
            <w:r w:rsidRPr="00372D94">
              <w:rPr>
                <w:rFonts w:ascii="Arial" w:hAnsi="Arial" w:cs="Arial"/>
                <w:bCs/>
                <w:szCs w:val="24"/>
              </w:rPr>
              <w:t>Su</w:t>
            </w:r>
            <w:r w:rsidR="002D00A7" w:rsidRPr="00372D94">
              <w:rPr>
                <w:rFonts w:ascii="Arial" w:hAnsi="Arial" w:cs="Arial"/>
                <w:bCs/>
                <w:szCs w:val="24"/>
              </w:rPr>
              <w:t>DS</w:t>
            </w:r>
            <w:proofErr w:type="spellEnd"/>
            <w:r w:rsidR="002D00A7" w:rsidRPr="00372D94">
              <w:rPr>
                <w:rFonts w:ascii="Arial" w:hAnsi="Arial" w:cs="Arial"/>
                <w:bCs/>
                <w:szCs w:val="24"/>
              </w:rPr>
              <w:t>)</w:t>
            </w:r>
            <w:r w:rsidR="00282C6F" w:rsidRPr="00372D94">
              <w:rPr>
                <w:rFonts w:ascii="Arial" w:hAnsi="Arial" w:cs="Arial"/>
                <w:bCs/>
                <w:szCs w:val="24"/>
              </w:rPr>
              <w:t xml:space="preserve">; </w:t>
            </w:r>
          </w:p>
          <w:p w14:paraId="6CFC2EE6" w14:textId="77777777" w:rsidR="00F30460" w:rsidRPr="00372D94" w:rsidRDefault="00F30460" w:rsidP="00F30460">
            <w:pPr>
              <w:pStyle w:val="ListParagraph"/>
              <w:rPr>
                <w:rFonts w:ascii="Arial" w:hAnsi="Arial" w:cs="Arial"/>
                <w:szCs w:val="24"/>
              </w:rPr>
            </w:pPr>
          </w:p>
          <w:p w14:paraId="0DF7838B" w14:textId="673E940B" w:rsidR="00275006" w:rsidRDefault="00A74E08" w:rsidP="00A44712">
            <w:pPr>
              <w:pStyle w:val="ListParagraph"/>
              <w:numPr>
                <w:ilvl w:val="0"/>
                <w:numId w:val="42"/>
              </w:numPr>
              <w:tabs>
                <w:tab w:val="left" w:pos="1133"/>
                <w:tab w:val="left" w:pos="2267"/>
              </w:tabs>
              <w:spacing w:after="0" w:line="240" w:lineRule="auto"/>
              <w:ind w:left="1080" w:right="284"/>
              <w:rPr>
                <w:rFonts w:ascii="Arial" w:eastAsia="Arial" w:hAnsi="Arial" w:cs="Arial"/>
                <w:color w:val="auto"/>
                <w:szCs w:val="24"/>
              </w:rPr>
            </w:pPr>
            <w:r w:rsidRPr="00372D94">
              <w:rPr>
                <w:rFonts w:ascii="Arial" w:eastAsia="Arial" w:hAnsi="Arial" w:cs="Arial"/>
                <w:szCs w:val="24"/>
              </w:rPr>
              <w:t>Ensu</w:t>
            </w:r>
            <w:r w:rsidR="00A3215F" w:rsidRPr="00372D94">
              <w:rPr>
                <w:rFonts w:ascii="Arial" w:eastAsia="Arial" w:hAnsi="Arial" w:cs="Arial"/>
                <w:szCs w:val="24"/>
              </w:rPr>
              <w:t>r</w:t>
            </w:r>
            <w:r w:rsidR="00263588" w:rsidRPr="00372D94">
              <w:rPr>
                <w:rFonts w:ascii="Arial" w:eastAsia="Arial" w:hAnsi="Arial" w:cs="Arial"/>
                <w:szCs w:val="24"/>
              </w:rPr>
              <w:t>e</w:t>
            </w:r>
            <w:r w:rsidRPr="00372D94">
              <w:rPr>
                <w:rFonts w:ascii="Arial" w:eastAsia="Arial" w:hAnsi="Arial" w:cs="Arial"/>
                <w:szCs w:val="24"/>
              </w:rPr>
              <w:t xml:space="preserve"> that surface water is managed so that there is no unacceptable impact from surface water flooding to </w:t>
            </w:r>
            <w:r w:rsidRPr="00275006">
              <w:rPr>
                <w:rFonts w:ascii="Arial" w:eastAsia="Arial" w:hAnsi="Arial" w:cs="Arial"/>
                <w:color w:val="auto"/>
                <w:szCs w:val="24"/>
              </w:rPr>
              <w:t>the development, to surrounding areas or to the existing drainage regime</w:t>
            </w:r>
            <w:r w:rsidR="00282C6F">
              <w:rPr>
                <w:rFonts w:ascii="Arial" w:eastAsia="Arial" w:hAnsi="Arial" w:cs="Arial"/>
                <w:color w:val="auto"/>
                <w:szCs w:val="24"/>
              </w:rPr>
              <w:t>; and</w:t>
            </w:r>
          </w:p>
          <w:p w14:paraId="772CE24C" w14:textId="77777777" w:rsidR="00282C6F" w:rsidRPr="00263588" w:rsidRDefault="00282C6F" w:rsidP="00282C6F">
            <w:pPr>
              <w:pStyle w:val="ListParagraph"/>
              <w:rPr>
                <w:rFonts w:ascii="Arial" w:eastAsia="Arial" w:hAnsi="Arial" w:cs="Arial"/>
                <w:color w:val="auto"/>
                <w:szCs w:val="24"/>
              </w:rPr>
            </w:pPr>
          </w:p>
          <w:p w14:paraId="39176438" w14:textId="576DC32F" w:rsidR="00282C6F" w:rsidRPr="00716A70" w:rsidRDefault="00282C6F" w:rsidP="00716A70">
            <w:pPr>
              <w:pStyle w:val="ListParagraph"/>
              <w:numPr>
                <w:ilvl w:val="0"/>
                <w:numId w:val="42"/>
              </w:numPr>
              <w:tabs>
                <w:tab w:val="left" w:pos="1133"/>
                <w:tab w:val="left" w:pos="2267"/>
              </w:tabs>
              <w:spacing w:after="0" w:line="240" w:lineRule="auto"/>
              <w:ind w:left="1080" w:right="284"/>
              <w:rPr>
                <w:rFonts w:ascii="Arial" w:eastAsia="Arial" w:hAnsi="Arial" w:cs="Arial"/>
                <w:szCs w:val="24"/>
              </w:rPr>
            </w:pPr>
            <w:r w:rsidRPr="00716A70">
              <w:rPr>
                <w:rFonts w:ascii="Arial" w:hAnsi="Arial" w:cs="Arial"/>
                <w:szCs w:val="24"/>
              </w:rPr>
              <w:t xml:space="preserve">Discharge of surface water as high up </w:t>
            </w:r>
            <w:r w:rsidRPr="00716A70">
              <w:rPr>
                <w:rFonts w:ascii="Arial" w:hAnsi="Arial" w:cs="Arial"/>
                <w:bCs/>
                <w:szCs w:val="24"/>
              </w:rPr>
              <w:t>the drainage hierarchy, as reasonably practicable:</w:t>
            </w:r>
          </w:p>
          <w:p w14:paraId="516C82E6" w14:textId="77777777" w:rsidR="00282C6F" w:rsidRPr="00716A70" w:rsidRDefault="00282C6F" w:rsidP="00716A70">
            <w:pPr>
              <w:keepNext w:val="0"/>
              <w:spacing w:before="0"/>
              <w:ind w:left="720"/>
              <w:contextualSpacing/>
              <w:rPr>
                <w:rFonts w:cs="Arial"/>
                <w:bCs/>
                <w:color w:val="0070C0"/>
                <w:szCs w:val="24"/>
              </w:rPr>
            </w:pPr>
          </w:p>
          <w:p w14:paraId="4AE68121" w14:textId="0BCD545C" w:rsidR="00282C6F" w:rsidRPr="00716A70" w:rsidRDefault="00282C6F" w:rsidP="00874A98">
            <w:pPr>
              <w:keepNext w:val="0"/>
              <w:numPr>
                <w:ilvl w:val="0"/>
                <w:numId w:val="320"/>
              </w:numPr>
              <w:spacing w:before="0"/>
              <w:ind w:left="1308" w:hanging="283"/>
              <w:contextualSpacing/>
              <w:rPr>
                <w:rFonts w:cs="Arial"/>
                <w:bCs/>
                <w:color w:val="auto"/>
                <w:szCs w:val="24"/>
                <w:lang w:eastAsia="en-US"/>
              </w:rPr>
            </w:pPr>
            <w:r w:rsidRPr="00716A70">
              <w:rPr>
                <w:rFonts w:cs="Arial"/>
                <w:bCs/>
                <w:color w:val="auto"/>
                <w:szCs w:val="24"/>
                <w:lang w:eastAsia="en-US"/>
              </w:rPr>
              <w:t xml:space="preserve">to an </w:t>
            </w:r>
            <w:proofErr w:type="gramStart"/>
            <w:r w:rsidRPr="00716A70">
              <w:rPr>
                <w:rFonts w:cs="Arial"/>
                <w:bCs/>
                <w:color w:val="auto"/>
                <w:szCs w:val="24"/>
                <w:lang w:eastAsia="en-US"/>
              </w:rPr>
              <w:t>infiltration based</w:t>
            </w:r>
            <w:proofErr w:type="gramEnd"/>
            <w:r w:rsidRPr="00716A70">
              <w:rPr>
                <w:rFonts w:cs="Arial"/>
                <w:bCs/>
                <w:color w:val="auto"/>
                <w:szCs w:val="24"/>
                <w:lang w:eastAsia="en-US"/>
              </w:rPr>
              <w:t xml:space="preserve"> system wherever possible (such as soakaways)</w:t>
            </w:r>
            <w:r w:rsidR="00263588" w:rsidRPr="00716A70">
              <w:rPr>
                <w:rFonts w:cs="Arial"/>
                <w:bCs/>
                <w:color w:val="auto"/>
                <w:szCs w:val="24"/>
                <w:lang w:eastAsia="en-US"/>
              </w:rPr>
              <w:t>,</w:t>
            </w:r>
          </w:p>
          <w:p w14:paraId="07F4A516" w14:textId="77777777" w:rsidR="00282C6F" w:rsidRPr="00716A70" w:rsidRDefault="00282C6F" w:rsidP="00716A70">
            <w:pPr>
              <w:keepNext w:val="0"/>
              <w:spacing w:before="0"/>
              <w:ind w:left="1308"/>
              <w:contextualSpacing/>
              <w:rPr>
                <w:rFonts w:cs="Arial"/>
                <w:bCs/>
                <w:color w:val="auto"/>
                <w:sz w:val="16"/>
                <w:szCs w:val="16"/>
                <w:lang w:eastAsia="en-US"/>
              </w:rPr>
            </w:pPr>
          </w:p>
          <w:p w14:paraId="4F6DE527" w14:textId="410FB142" w:rsidR="00282C6F" w:rsidRPr="00716A70" w:rsidRDefault="00282C6F" w:rsidP="00874A98">
            <w:pPr>
              <w:keepNext w:val="0"/>
              <w:numPr>
                <w:ilvl w:val="0"/>
                <w:numId w:val="320"/>
              </w:numPr>
              <w:spacing w:before="0"/>
              <w:ind w:left="1308" w:hanging="283"/>
              <w:contextualSpacing/>
              <w:rPr>
                <w:rFonts w:cs="Arial"/>
                <w:bCs/>
                <w:color w:val="auto"/>
                <w:szCs w:val="24"/>
                <w:lang w:eastAsia="en-US"/>
              </w:rPr>
            </w:pPr>
            <w:r w:rsidRPr="00716A70">
              <w:rPr>
                <w:rFonts w:cs="Arial"/>
                <w:bCs/>
                <w:color w:val="auto"/>
                <w:szCs w:val="24"/>
                <w:lang w:eastAsia="en-US"/>
              </w:rPr>
              <w:t>discharge into a watercourse with the prior approval of the landowner and navigation authority (following treatment where necessary)</w:t>
            </w:r>
            <w:r w:rsidR="00263588" w:rsidRPr="00716A70">
              <w:rPr>
                <w:rFonts w:cs="Arial"/>
                <w:bCs/>
                <w:color w:val="auto"/>
                <w:szCs w:val="24"/>
                <w:lang w:eastAsia="en-US"/>
              </w:rPr>
              <w:t>,</w:t>
            </w:r>
          </w:p>
          <w:p w14:paraId="45FCF0CB" w14:textId="77777777" w:rsidR="00282C6F" w:rsidRPr="00716A70" w:rsidRDefault="00282C6F" w:rsidP="00716A70">
            <w:pPr>
              <w:rPr>
                <w:rFonts w:cs="Arial"/>
                <w:bCs/>
                <w:color w:val="auto"/>
                <w:sz w:val="16"/>
                <w:szCs w:val="16"/>
              </w:rPr>
            </w:pPr>
          </w:p>
          <w:p w14:paraId="13AE7D9B" w14:textId="0987C79D" w:rsidR="00282C6F" w:rsidRPr="00716A70" w:rsidRDefault="00282C6F" w:rsidP="00874A98">
            <w:pPr>
              <w:keepNext w:val="0"/>
              <w:numPr>
                <w:ilvl w:val="0"/>
                <w:numId w:val="320"/>
              </w:numPr>
              <w:spacing w:before="0"/>
              <w:ind w:left="1308" w:hanging="283"/>
              <w:contextualSpacing/>
              <w:rPr>
                <w:rFonts w:cs="Arial"/>
                <w:bCs/>
                <w:color w:val="auto"/>
                <w:szCs w:val="24"/>
                <w:lang w:eastAsia="en-US"/>
              </w:rPr>
            </w:pPr>
            <w:r w:rsidRPr="00716A70">
              <w:rPr>
                <w:rFonts w:cs="Arial"/>
                <w:bCs/>
                <w:color w:val="auto"/>
                <w:szCs w:val="24"/>
                <w:lang w:eastAsia="en-US"/>
              </w:rPr>
              <w:t>discharge to a surface water sewer, highway drain, or another drainage system</w:t>
            </w:r>
            <w:r w:rsidR="00263588" w:rsidRPr="00716A70">
              <w:rPr>
                <w:rFonts w:cs="Arial"/>
                <w:bCs/>
                <w:color w:val="auto"/>
                <w:szCs w:val="24"/>
                <w:lang w:eastAsia="en-US"/>
              </w:rPr>
              <w:t>,</w:t>
            </w:r>
          </w:p>
          <w:p w14:paraId="28155F54" w14:textId="77777777" w:rsidR="00282C6F" w:rsidRPr="00716A70" w:rsidRDefault="00282C6F" w:rsidP="00716A70">
            <w:pPr>
              <w:rPr>
                <w:rFonts w:cs="Arial"/>
                <w:bCs/>
                <w:color w:val="auto"/>
                <w:sz w:val="16"/>
                <w:szCs w:val="16"/>
              </w:rPr>
            </w:pPr>
          </w:p>
          <w:p w14:paraId="6AB4E42D" w14:textId="338FBA29" w:rsidR="00282C6F" w:rsidRPr="00716A70" w:rsidRDefault="00372D94" w:rsidP="00874A98">
            <w:pPr>
              <w:keepNext w:val="0"/>
              <w:numPr>
                <w:ilvl w:val="0"/>
                <w:numId w:val="320"/>
              </w:numPr>
              <w:spacing w:before="0"/>
              <w:ind w:left="1308" w:right="284" w:hanging="283"/>
              <w:contextualSpacing/>
              <w:rPr>
                <w:rFonts w:eastAsia="Arial" w:cs="Arial"/>
                <w:color w:val="auto"/>
                <w:szCs w:val="24"/>
              </w:rPr>
            </w:pPr>
            <w:r w:rsidRPr="00716A70">
              <w:rPr>
                <w:rFonts w:cs="Arial"/>
                <w:bCs/>
                <w:color w:val="auto"/>
                <w:szCs w:val="24"/>
                <w:lang w:eastAsia="en-US"/>
              </w:rPr>
              <w:t>d</w:t>
            </w:r>
            <w:r w:rsidR="00282C6F" w:rsidRPr="00716A70">
              <w:rPr>
                <w:rFonts w:cs="Arial"/>
                <w:bCs/>
                <w:color w:val="auto"/>
                <w:szCs w:val="24"/>
                <w:lang w:eastAsia="en-US"/>
              </w:rPr>
              <w:t>ischarge to a combined sewer.</w:t>
            </w:r>
          </w:p>
          <w:p w14:paraId="31AE47FE" w14:textId="77777777" w:rsidR="00A74E08" w:rsidRPr="003C7E62" w:rsidRDefault="00A74E08" w:rsidP="00EE39E9">
            <w:pPr>
              <w:keepNext w:val="0"/>
              <w:spacing w:before="0"/>
              <w:ind w:left="360" w:right="284"/>
              <w:rPr>
                <w:rFonts w:eastAsia="Arial" w:cs="Arial"/>
                <w:color w:val="auto"/>
                <w:szCs w:val="24"/>
              </w:rPr>
            </w:pPr>
          </w:p>
        </w:tc>
      </w:tr>
      <w:tr w:rsidR="00A74E08" w:rsidRPr="003C7E62" w14:paraId="04427602" w14:textId="77777777" w:rsidTr="009D4C91">
        <w:tc>
          <w:tcPr>
            <w:tcW w:w="1701" w:type="dxa"/>
          </w:tcPr>
          <w:p w14:paraId="2D81EE41" w14:textId="77777777" w:rsidR="00A74E08" w:rsidRPr="00D46943" w:rsidRDefault="00A74E08" w:rsidP="00D0642D">
            <w:pPr>
              <w:keepNext w:val="0"/>
              <w:tabs>
                <w:tab w:val="left" w:pos="680"/>
                <w:tab w:val="left" w:pos="1133"/>
                <w:tab w:val="left" w:pos="2267"/>
              </w:tabs>
              <w:spacing w:before="0"/>
              <w:ind w:right="284"/>
              <w:rPr>
                <w:rFonts w:eastAsia="Arial" w:cs="Arial"/>
                <w:bCs/>
                <w:color w:val="C00000"/>
                <w:sz w:val="20"/>
              </w:rPr>
            </w:pPr>
            <w:r w:rsidRPr="00D46943">
              <w:rPr>
                <w:rFonts w:eastAsia="Arial" w:cs="Arial"/>
                <w:bCs/>
                <w:color w:val="auto"/>
                <w:sz w:val="20"/>
              </w:rPr>
              <w:lastRenderedPageBreak/>
              <w:t>Evidence base</w:t>
            </w:r>
          </w:p>
        </w:tc>
        <w:tc>
          <w:tcPr>
            <w:tcW w:w="7933" w:type="dxa"/>
            <w:gridSpan w:val="2"/>
          </w:tcPr>
          <w:p w14:paraId="6C9E1145" w14:textId="24C78946" w:rsidR="00A74E08" w:rsidRPr="003C7E62" w:rsidRDefault="00A74E08" w:rsidP="00D01157">
            <w:pPr>
              <w:keepNext w:val="0"/>
              <w:numPr>
                <w:ilvl w:val="0"/>
                <w:numId w:val="18"/>
              </w:numPr>
              <w:spacing w:before="0" w:after="160" w:line="252" w:lineRule="auto"/>
              <w:contextualSpacing/>
              <w:rPr>
                <w:rFonts w:eastAsia="Calibri" w:cs="Arial"/>
                <w:color w:val="auto"/>
                <w:sz w:val="20"/>
                <w:lang w:eastAsia="en-US"/>
              </w:rPr>
            </w:pPr>
            <w:r w:rsidRPr="003C7E62">
              <w:rPr>
                <w:rFonts w:eastAsia="Calibri" w:cs="Arial"/>
                <w:color w:val="auto"/>
                <w:sz w:val="20"/>
                <w:lang w:eastAsia="en-US"/>
              </w:rPr>
              <w:t>Towards a Sustainable Energy Policy for Nottinghamshire - Nottinghamshire Sustainable Energy Planning </w:t>
            </w:r>
            <w:r w:rsidR="00C500AA" w:rsidRPr="003C7E62">
              <w:rPr>
                <w:rFonts w:eastAsia="Calibri" w:cs="Arial"/>
                <w:color w:val="auto"/>
                <w:sz w:val="20"/>
                <w:lang w:eastAsia="en-US"/>
              </w:rPr>
              <w:t>Partnership 2009</w:t>
            </w:r>
            <w:r w:rsidRPr="003C7E62">
              <w:rPr>
                <w:rFonts w:eastAsia="Calibri" w:cs="Arial"/>
                <w:color w:val="auto"/>
                <w:sz w:val="20"/>
                <w:lang w:eastAsia="en-US"/>
              </w:rPr>
              <w:t xml:space="preserve"> (NSEPP). </w:t>
            </w:r>
          </w:p>
          <w:p w14:paraId="07098638" w14:textId="77777777" w:rsidR="00A74E08" w:rsidRPr="003C7E62" w:rsidRDefault="00A74E08" w:rsidP="00D01157">
            <w:pPr>
              <w:keepNext w:val="0"/>
              <w:numPr>
                <w:ilvl w:val="0"/>
                <w:numId w:val="18"/>
              </w:numPr>
              <w:spacing w:before="0" w:after="160" w:line="252" w:lineRule="auto"/>
              <w:contextualSpacing/>
              <w:rPr>
                <w:rFonts w:eastAsia="Calibri" w:cs="Arial"/>
                <w:color w:val="auto"/>
                <w:sz w:val="20"/>
                <w:lang w:eastAsia="en-US"/>
              </w:rPr>
            </w:pPr>
            <w:r w:rsidRPr="003C7E62">
              <w:rPr>
                <w:rFonts w:eastAsia="Calibri" w:cs="Arial"/>
                <w:color w:val="auto"/>
                <w:sz w:val="20"/>
                <w:lang w:eastAsia="en-US"/>
              </w:rPr>
              <w:t>Nottinghamshire: Operational Renewal and Low Carbon Energy Schemes 2009 - Nottinghamshire Sustainable Energy Planning Partnership (NSEPP).</w:t>
            </w:r>
          </w:p>
          <w:p w14:paraId="136ED974" w14:textId="77777777" w:rsidR="00A74E08" w:rsidRPr="003C7E62" w:rsidRDefault="00A74E08" w:rsidP="00D01157">
            <w:pPr>
              <w:keepNext w:val="0"/>
              <w:numPr>
                <w:ilvl w:val="0"/>
                <w:numId w:val="18"/>
              </w:numPr>
              <w:spacing w:before="0" w:after="160" w:line="252" w:lineRule="auto"/>
              <w:contextualSpacing/>
              <w:rPr>
                <w:rFonts w:eastAsia="Calibri" w:cs="Arial"/>
                <w:color w:val="auto"/>
                <w:sz w:val="20"/>
                <w:lang w:eastAsia="en-US"/>
              </w:rPr>
            </w:pPr>
            <w:r w:rsidRPr="003C7E62">
              <w:rPr>
                <w:rFonts w:eastAsia="Calibri" w:cs="Arial"/>
                <w:color w:val="auto"/>
                <w:sz w:val="20"/>
                <w:lang w:eastAsia="en-US"/>
              </w:rPr>
              <w:t>Towards a Sustainable Energy Policy for Nottinghamshire, Report of Consultation 2009 - Nottinghamshire Sustainable Energy Planning Partnership (NSEPP).</w:t>
            </w:r>
          </w:p>
          <w:p w14:paraId="1E98F914" w14:textId="77777777" w:rsidR="00A74E08" w:rsidRPr="003C7E62" w:rsidRDefault="00A74E08" w:rsidP="00D01157">
            <w:pPr>
              <w:keepNext w:val="0"/>
              <w:numPr>
                <w:ilvl w:val="0"/>
                <w:numId w:val="18"/>
              </w:numPr>
              <w:spacing w:before="0" w:after="160" w:line="252" w:lineRule="auto"/>
              <w:contextualSpacing/>
              <w:rPr>
                <w:rFonts w:eastAsia="Calibri" w:cs="Arial"/>
                <w:color w:val="auto"/>
                <w:sz w:val="20"/>
                <w:lang w:eastAsia="en-US"/>
              </w:rPr>
            </w:pPr>
            <w:r w:rsidRPr="003C7E62">
              <w:rPr>
                <w:rFonts w:eastAsia="Calibri" w:cs="Arial"/>
                <w:color w:val="auto"/>
                <w:sz w:val="20"/>
                <w:lang w:eastAsia="en-US"/>
              </w:rPr>
              <w:t>Low Carbon Energy Opportunities and Heat Mapping for Local Planning Areas Across the East Midlands 2011 - Final Report - Land Use Consultants, Centre for Sustainable Energy and SQW</w:t>
            </w:r>
          </w:p>
          <w:p w14:paraId="6D98481C" w14:textId="2CED5F0A" w:rsidR="00A74E08" w:rsidRPr="00372D94" w:rsidRDefault="00A74E08" w:rsidP="00D01157">
            <w:pPr>
              <w:keepNext w:val="0"/>
              <w:numPr>
                <w:ilvl w:val="0"/>
                <w:numId w:val="18"/>
              </w:numPr>
              <w:spacing w:before="0" w:after="160" w:line="252" w:lineRule="auto"/>
              <w:contextualSpacing/>
              <w:rPr>
                <w:rFonts w:eastAsia="Calibri" w:cs="Arial"/>
                <w:sz w:val="20"/>
                <w:lang w:eastAsia="en-US"/>
              </w:rPr>
            </w:pPr>
            <w:r w:rsidRPr="00372D94">
              <w:rPr>
                <w:rFonts w:eastAsia="Calibri" w:cs="Arial"/>
                <w:sz w:val="20"/>
                <w:lang w:eastAsia="en-US"/>
              </w:rPr>
              <w:t>Ashfield District Council Strategic Flood Risk Assessment Level 1</w:t>
            </w:r>
            <w:r w:rsidR="00D46943" w:rsidRPr="00372D94">
              <w:rPr>
                <w:rFonts w:eastAsia="Calibri" w:cs="Arial"/>
                <w:sz w:val="20"/>
                <w:lang w:eastAsia="en-US"/>
              </w:rPr>
              <w:t xml:space="preserve"> </w:t>
            </w:r>
            <w:r w:rsidR="00017F77" w:rsidRPr="00372D94">
              <w:rPr>
                <w:rFonts w:eastAsia="Calibri" w:cs="Arial"/>
                <w:sz w:val="20"/>
                <w:lang w:eastAsia="en-US"/>
              </w:rPr>
              <w:t xml:space="preserve">2023. </w:t>
            </w:r>
            <w:r w:rsidRPr="00372D94">
              <w:rPr>
                <w:rFonts w:eastAsia="Calibri" w:cs="Arial"/>
                <w:sz w:val="20"/>
                <w:lang w:eastAsia="en-US"/>
              </w:rPr>
              <w:t>Ashfield District Council.</w:t>
            </w:r>
          </w:p>
          <w:p w14:paraId="139989A7" w14:textId="50B6171B" w:rsidR="00A74E08" w:rsidRPr="00D46943" w:rsidRDefault="00A74E08" w:rsidP="00D01157">
            <w:pPr>
              <w:keepNext w:val="0"/>
              <w:numPr>
                <w:ilvl w:val="0"/>
                <w:numId w:val="18"/>
              </w:numPr>
              <w:spacing w:before="0" w:after="160" w:line="252" w:lineRule="auto"/>
              <w:contextualSpacing/>
              <w:rPr>
                <w:rFonts w:eastAsia="Calibri" w:cs="Arial"/>
                <w:color w:val="auto"/>
                <w:sz w:val="20"/>
                <w:lang w:eastAsia="en-US"/>
              </w:rPr>
            </w:pPr>
            <w:r w:rsidRPr="00372D94">
              <w:rPr>
                <w:rFonts w:eastAsia="Calibri" w:cs="Arial"/>
                <w:sz w:val="20"/>
                <w:lang w:eastAsia="en-US"/>
              </w:rPr>
              <w:t xml:space="preserve">Sustainability Appraisal </w:t>
            </w:r>
            <w:bookmarkStart w:id="49" w:name="_Hlk139609672"/>
            <w:r w:rsidRPr="00372D94">
              <w:rPr>
                <w:rFonts w:eastAsia="Calibri" w:cs="Arial"/>
                <w:sz w:val="20"/>
                <w:lang w:eastAsia="en-US"/>
              </w:rPr>
              <w:t>20</w:t>
            </w:r>
            <w:r w:rsidR="00017F77" w:rsidRPr="00372D94">
              <w:rPr>
                <w:rFonts w:eastAsia="Calibri" w:cs="Arial"/>
                <w:sz w:val="20"/>
                <w:lang w:eastAsia="en-US"/>
              </w:rPr>
              <w:t>23</w:t>
            </w:r>
            <w:r w:rsidRPr="00372D94">
              <w:rPr>
                <w:rFonts w:eastAsia="Calibri" w:cs="Arial"/>
                <w:sz w:val="20"/>
                <w:lang w:eastAsia="en-US"/>
              </w:rPr>
              <w:t xml:space="preserve">, </w:t>
            </w:r>
            <w:r w:rsidR="00017F77" w:rsidRPr="00372D94">
              <w:rPr>
                <w:rFonts w:eastAsia="Calibri" w:cs="Arial"/>
                <w:sz w:val="20"/>
                <w:lang w:eastAsia="en-US"/>
              </w:rPr>
              <w:t xml:space="preserve">WSP UK Limited </w:t>
            </w:r>
            <w:bookmarkEnd w:id="49"/>
          </w:p>
        </w:tc>
      </w:tr>
      <w:tr w:rsidR="00A74E08" w:rsidRPr="003C7E62" w14:paraId="7FF4F003" w14:textId="77777777" w:rsidTr="009D4C91">
        <w:tc>
          <w:tcPr>
            <w:tcW w:w="1701" w:type="dxa"/>
          </w:tcPr>
          <w:p w14:paraId="04B5CFE5" w14:textId="77777777" w:rsidR="00A74E08" w:rsidRPr="00D46943" w:rsidRDefault="00A74E08" w:rsidP="00D0642D">
            <w:pPr>
              <w:keepNext w:val="0"/>
              <w:tabs>
                <w:tab w:val="left" w:pos="680"/>
                <w:tab w:val="left" w:pos="1133"/>
                <w:tab w:val="left" w:pos="2267"/>
              </w:tabs>
              <w:spacing w:before="0"/>
              <w:ind w:right="284"/>
              <w:contextualSpacing/>
              <w:rPr>
                <w:rFonts w:eastAsia="Arial" w:cs="Arial"/>
                <w:bCs/>
                <w:color w:val="auto"/>
                <w:sz w:val="20"/>
              </w:rPr>
            </w:pPr>
            <w:r w:rsidRPr="00D46943">
              <w:rPr>
                <w:rFonts w:eastAsia="Arial" w:cs="Arial"/>
                <w:bCs/>
                <w:color w:val="auto"/>
                <w:sz w:val="20"/>
              </w:rPr>
              <w:t>National Planning Policy and Guidance</w:t>
            </w:r>
          </w:p>
        </w:tc>
        <w:tc>
          <w:tcPr>
            <w:tcW w:w="7933" w:type="dxa"/>
            <w:gridSpan w:val="2"/>
          </w:tcPr>
          <w:p w14:paraId="4DF53B43" w14:textId="6D4F8728" w:rsidR="00A74E08" w:rsidRPr="003C7E62" w:rsidRDefault="00A74E08" w:rsidP="00D01157">
            <w:pPr>
              <w:pStyle w:val="ListParagraph"/>
              <w:numPr>
                <w:ilvl w:val="0"/>
                <w:numId w:val="19"/>
              </w:numPr>
              <w:spacing w:after="0" w:line="240" w:lineRule="auto"/>
              <w:rPr>
                <w:rFonts w:ascii="Arial" w:hAnsi="Arial" w:cs="Arial"/>
                <w:color w:val="auto"/>
                <w:sz w:val="20"/>
                <w:szCs w:val="20"/>
              </w:rPr>
            </w:pPr>
            <w:r w:rsidRPr="003C7E62">
              <w:rPr>
                <w:rFonts w:ascii="Arial" w:eastAsia="Arial" w:hAnsi="Arial" w:cs="Arial"/>
                <w:bCs/>
                <w:color w:val="auto"/>
                <w:sz w:val="20"/>
                <w:szCs w:val="20"/>
              </w:rPr>
              <w:t>NPPF 202</w:t>
            </w:r>
            <w:r w:rsidR="00A37A61">
              <w:rPr>
                <w:rFonts w:ascii="Arial" w:eastAsia="Arial" w:hAnsi="Arial" w:cs="Arial"/>
                <w:bCs/>
                <w:color w:val="auto"/>
                <w:sz w:val="20"/>
                <w:szCs w:val="20"/>
              </w:rPr>
              <w:t>3</w:t>
            </w:r>
            <w:r w:rsidRPr="003C7E62">
              <w:rPr>
                <w:rFonts w:ascii="Arial" w:eastAsia="Arial" w:hAnsi="Arial" w:cs="Arial"/>
                <w:bCs/>
                <w:color w:val="auto"/>
                <w:sz w:val="20"/>
                <w:szCs w:val="20"/>
              </w:rPr>
              <w:t>, Part 2: Achieving sustainable development.</w:t>
            </w:r>
          </w:p>
          <w:p w14:paraId="53EF6696" w14:textId="063B3EE9" w:rsidR="00A74E08" w:rsidRPr="003C7E62" w:rsidRDefault="00A74E08" w:rsidP="00D01157">
            <w:pPr>
              <w:pStyle w:val="ListParagraph"/>
              <w:numPr>
                <w:ilvl w:val="0"/>
                <w:numId w:val="19"/>
              </w:numPr>
              <w:spacing w:after="0" w:line="240" w:lineRule="auto"/>
              <w:rPr>
                <w:rFonts w:ascii="Arial" w:hAnsi="Arial" w:cs="Arial"/>
                <w:color w:val="auto"/>
                <w:sz w:val="20"/>
                <w:szCs w:val="20"/>
              </w:rPr>
            </w:pPr>
            <w:r w:rsidRPr="003C7E62">
              <w:rPr>
                <w:rFonts w:ascii="Arial" w:hAnsi="Arial" w:cs="Arial"/>
                <w:color w:val="auto"/>
                <w:sz w:val="20"/>
                <w:szCs w:val="20"/>
              </w:rPr>
              <w:t>NPPF 202</w:t>
            </w:r>
            <w:r w:rsidR="00A37A61">
              <w:rPr>
                <w:rFonts w:ascii="Arial" w:hAnsi="Arial" w:cs="Arial"/>
                <w:color w:val="auto"/>
                <w:sz w:val="20"/>
                <w:szCs w:val="20"/>
              </w:rPr>
              <w:t>3</w:t>
            </w:r>
            <w:r w:rsidRPr="003C7E62">
              <w:rPr>
                <w:rFonts w:ascii="Arial" w:hAnsi="Arial" w:cs="Arial"/>
                <w:color w:val="auto"/>
                <w:sz w:val="20"/>
                <w:szCs w:val="20"/>
              </w:rPr>
              <w:t>, Part 14: Meeting the challenge of climate change, flooding and coastal change.</w:t>
            </w:r>
          </w:p>
          <w:p w14:paraId="223F5BE4" w14:textId="313CBB25" w:rsidR="00A74E08" w:rsidRPr="003C7E62" w:rsidRDefault="00A74E08" w:rsidP="00D01157">
            <w:pPr>
              <w:pStyle w:val="ListParagraph"/>
              <w:numPr>
                <w:ilvl w:val="0"/>
                <w:numId w:val="19"/>
              </w:numPr>
              <w:spacing w:after="0" w:line="240" w:lineRule="auto"/>
              <w:rPr>
                <w:rFonts w:ascii="Arial" w:hAnsi="Arial" w:cs="Arial"/>
                <w:color w:val="auto"/>
                <w:sz w:val="20"/>
                <w:szCs w:val="20"/>
              </w:rPr>
            </w:pPr>
            <w:r w:rsidRPr="003C7E62">
              <w:rPr>
                <w:rFonts w:ascii="Arial" w:eastAsia="Calibri" w:hAnsi="Arial" w:cs="Arial"/>
                <w:color w:val="auto"/>
                <w:sz w:val="20"/>
                <w:szCs w:val="20"/>
              </w:rPr>
              <w:t xml:space="preserve">Planning Practice Guidance: Climate change as </w:t>
            </w:r>
            <w:r w:rsidR="00416653" w:rsidRPr="003C7E62">
              <w:rPr>
                <w:rFonts w:ascii="Arial" w:eastAsia="Calibri" w:hAnsi="Arial" w:cs="Arial"/>
                <w:color w:val="auto"/>
                <w:sz w:val="20"/>
                <w:szCs w:val="20"/>
              </w:rPr>
              <w:t>of</w:t>
            </w:r>
            <w:r w:rsidRPr="003C7E62">
              <w:rPr>
                <w:rFonts w:ascii="Arial" w:eastAsia="Calibri" w:hAnsi="Arial" w:cs="Arial"/>
                <w:color w:val="auto"/>
                <w:sz w:val="20"/>
                <w:szCs w:val="20"/>
              </w:rPr>
              <w:t xml:space="preserve"> August 2021.</w:t>
            </w:r>
          </w:p>
          <w:p w14:paraId="73B4F3AC" w14:textId="24F172B8" w:rsidR="00A74E08" w:rsidRPr="003C7E62" w:rsidRDefault="00A74E08" w:rsidP="00D01157">
            <w:pPr>
              <w:pStyle w:val="ListParagraph"/>
              <w:numPr>
                <w:ilvl w:val="0"/>
                <w:numId w:val="19"/>
              </w:numPr>
              <w:spacing w:after="0" w:line="240" w:lineRule="auto"/>
              <w:rPr>
                <w:rFonts w:ascii="Arial" w:hAnsi="Arial" w:cs="Arial"/>
                <w:color w:val="auto"/>
                <w:sz w:val="20"/>
                <w:szCs w:val="20"/>
              </w:rPr>
            </w:pPr>
            <w:r w:rsidRPr="003C7E62">
              <w:rPr>
                <w:rFonts w:ascii="Arial" w:eastAsia="Calibri" w:hAnsi="Arial" w:cs="Arial"/>
                <w:color w:val="auto"/>
                <w:sz w:val="20"/>
                <w:szCs w:val="20"/>
              </w:rPr>
              <w:t xml:space="preserve">Planning Practice Guidance: Flood risk </w:t>
            </w:r>
            <w:r w:rsidR="00716A70">
              <w:rPr>
                <w:rFonts w:ascii="Arial" w:eastAsia="Calibri" w:hAnsi="Arial" w:cs="Arial"/>
                <w:color w:val="auto"/>
                <w:sz w:val="20"/>
                <w:szCs w:val="20"/>
              </w:rPr>
              <w:t>&amp;</w:t>
            </w:r>
            <w:r w:rsidRPr="003C7E62">
              <w:rPr>
                <w:rFonts w:ascii="Arial" w:eastAsia="Calibri" w:hAnsi="Arial" w:cs="Arial"/>
                <w:color w:val="auto"/>
                <w:sz w:val="20"/>
                <w:szCs w:val="20"/>
              </w:rPr>
              <w:t xml:space="preserve"> coastal change as </w:t>
            </w:r>
            <w:r w:rsidR="00416653" w:rsidRPr="003C7E62">
              <w:rPr>
                <w:rFonts w:ascii="Arial" w:eastAsia="Calibri" w:hAnsi="Arial" w:cs="Arial"/>
                <w:color w:val="auto"/>
                <w:sz w:val="20"/>
                <w:szCs w:val="20"/>
              </w:rPr>
              <w:t>of</w:t>
            </w:r>
            <w:r w:rsidRPr="003C7E62">
              <w:rPr>
                <w:rFonts w:ascii="Arial" w:eastAsia="Calibri" w:hAnsi="Arial" w:cs="Arial"/>
                <w:color w:val="auto"/>
                <w:sz w:val="20"/>
                <w:szCs w:val="20"/>
              </w:rPr>
              <w:t xml:space="preserve"> August 2021.</w:t>
            </w:r>
          </w:p>
        </w:tc>
      </w:tr>
      <w:bookmarkEnd w:id="48"/>
    </w:tbl>
    <w:p w14:paraId="766FBD72" w14:textId="77777777" w:rsidR="00CB6138" w:rsidRPr="00CB6138" w:rsidRDefault="00CB6138" w:rsidP="00CB6138">
      <w:pPr>
        <w:keepNext w:val="0"/>
        <w:spacing w:before="0"/>
        <w:ind w:left="851"/>
        <w:rPr>
          <w:rFonts w:cs="Arial"/>
          <w:szCs w:val="24"/>
        </w:rPr>
      </w:pPr>
    </w:p>
    <w:p w14:paraId="68FF0164" w14:textId="77777777" w:rsidR="00CB6138" w:rsidRPr="00CB6138" w:rsidRDefault="00CB6138" w:rsidP="00CB6138">
      <w:pPr>
        <w:keepNext w:val="0"/>
        <w:spacing w:before="0"/>
        <w:ind w:left="851"/>
        <w:rPr>
          <w:rFonts w:cs="Arial"/>
          <w:szCs w:val="24"/>
        </w:rPr>
      </w:pPr>
    </w:p>
    <w:p w14:paraId="0671B6E5" w14:textId="37C3AE35" w:rsidR="00A53A3F" w:rsidRPr="00372D94" w:rsidRDefault="007070E5" w:rsidP="00CD61AD">
      <w:pPr>
        <w:keepNext w:val="0"/>
        <w:numPr>
          <w:ilvl w:val="1"/>
          <w:numId w:val="344"/>
        </w:numPr>
        <w:tabs>
          <w:tab w:val="clear" w:pos="525"/>
          <w:tab w:val="num" w:pos="851"/>
        </w:tabs>
        <w:spacing w:before="0"/>
        <w:ind w:left="851" w:hanging="851"/>
        <w:rPr>
          <w:rFonts w:cs="Arial"/>
          <w:szCs w:val="24"/>
        </w:rPr>
      </w:pPr>
      <w:r w:rsidRPr="003C7E62">
        <w:rPr>
          <w:rFonts w:eastAsia="Arial" w:cs="Arial"/>
          <w:color w:val="auto"/>
        </w:rPr>
        <w:t xml:space="preserve">Adapting and mitigating against the effects of climate change is one of the key challenges facing us all and a core element of sustainable development. As such, the Council is committed to supporting proposals and initiatives that seek to achieve zero and low carbon development; and implement low carbon and renewable energy infrastructure.  </w:t>
      </w:r>
      <w:r w:rsidR="004D5481" w:rsidRPr="00372D94">
        <w:rPr>
          <w:rFonts w:eastAsia="Arial" w:cs="Arial"/>
        </w:rPr>
        <w:t xml:space="preserve">This includes all types of buildings. For example, </w:t>
      </w:r>
      <w:r w:rsidR="004D5481" w:rsidRPr="00372D94">
        <w:rPr>
          <w:rFonts w:eastAsia="Arial" w:cs="Arial"/>
        </w:rPr>
        <w:lastRenderedPageBreak/>
        <w:t>the sympathetic re-use and refurbishment of historic buildings, and the sustainability of traditional building materials.</w:t>
      </w:r>
    </w:p>
    <w:p w14:paraId="18D83A72" w14:textId="77777777" w:rsidR="00A74E08" w:rsidRPr="00372D94" w:rsidRDefault="00A74E08" w:rsidP="005E17D1">
      <w:pPr>
        <w:keepNext w:val="0"/>
        <w:spacing w:before="0"/>
        <w:ind w:left="851"/>
        <w:rPr>
          <w:rFonts w:cs="Arial"/>
          <w:szCs w:val="24"/>
        </w:rPr>
      </w:pPr>
    </w:p>
    <w:p w14:paraId="31A5465C" w14:textId="2C891203" w:rsidR="00A74E08" w:rsidRPr="003C7E62" w:rsidRDefault="007070E5" w:rsidP="00CD61AD">
      <w:pPr>
        <w:keepNext w:val="0"/>
        <w:numPr>
          <w:ilvl w:val="1"/>
          <w:numId w:val="344"/>
        </w:numPr>
        <w:tabs>
          <w:tab w:val="clear" w:pos="525"/>
          <w:tab w:val="num" w:pos="851"/>
        </w:tabs>
        <w:spacing w:before="0"/>
        <w:ind w:left="851" w:hanging="851"/>
        <w:rPr>
          <w:rFonts w:cs="Arial"/>
          <w:color w:val="auto"/>
          <w:szCs w:val="24"/>
        </w:rPr>
      </w:pPr>
      <w:r w:rsidRPr="003C7E62">
        <w:rPr>
          <w:rFonts w:eastAsia="Arial" w:cs="Arial"/>
          <w:color w:val="auto"/>
        </w:rPr>
        <w:t xml:space="preserve">Development in Ashfield should contribute towards the construction and creation of well-designed sustainable </w:t>
      </w:r>
      <w:r w:rsidR="00A53A3F" w:rsidRPr="003C7E62">
        <w:rPr>
          <w:rFonts w:eastAsia="Arial" w:cs="Arial"/>
          <w:color w:val="auto"/>
        </w:rPr>
        <w:t>places</w:t>
      </w:r>
      <w:r w:rsidRPr="003C7E62">
        <w:rPr>
          <w:rFonts w:eastAsia="Arial" w:cs="Arial"/>
          <w:color w:val="auto"/>
        </w:rPr>
        <w:t xml:space="preserve"> to mitigate against and adapt to climate change, and to contribute to national targets on reducing carbon emissions and energy use.</w:t>
      </w:r>
    </w:p>
    <w:p w14:paraId="2184C7B8" w14:textId="77777777" w:rsidR="00A74E08" w:rsidRPr="003C7E62" w:rsidRDefault="00A74E08" w:rsidP="005E17D1">
      <w:pPr>
        <w:keepNext w:val="0"/>
        <w:spacing w:before="0"/>
        <w:ind w:left="851"/>
        <w:rPr>
          <w:rFonts w:cs="Arial"/>
          <w:color w:val="auto"/>
          <w:szCs w:val="24"/>
        </w:rPr>
      </w:pPr>
    </w:p>
    <w:p w14:paraId="06082072" w14:textId="6876AA38" w:rsidR="00275006" w:rsidRPr="00F12DDD" w:rsidRDefault="00611C8D" w:rsidP="00CD61AD">
      <w:pPr>
        <w:keepNext w:val="0"/>
        <w:numPr>
          <w:ilvl w:val="1"/>
          <w:numId w:val="344"/>
        </w:numPr>
        <w:tabs>
          <w:tab w:val="clear" w:pos="525"/>
          <w:tab w:val="num" w:pos="851"/>
        </w:tabs>
        <w:spacing w:before="0"/>
        <w:ind w:left="851" w:hanging="851"/>
        <w:rPr>
          <w:rFonts w:cs="Arial"/>
          <w:color w:val="0070C0"/>
          <w:szCs w:val="24"/>
        </w:rPr>
      </w:pPr>
      <w:r w:rsidRPr="00372D94">
        <w:rPr>
          <w:rFonts w:eastAsia="Arial" w:cs="Arial"/>
        </w:rPr>
        <w:t xml:space="preserve">Integrated </w:t>
      </w:r>
      <w:r w:rsidR="007070E5" w:rsidRPr="00372D94">
        <w:rPr>
          <w:rFonts w:eastAsia="Arial" w:cs="Arial"/>
        </w:rPr>
        <w:t xml:space="preserve">Water </w:t>
      </w:r>
      <w:r w:rsidR="00B34068" w:rsidRPr="00372D94">
        <w:rPr>
          <w:rFonts w:eastAsia="Arial" w:cs="Arial"/>
        </w:rPr>
        <w:t>M</w:t>
      </w:r>
      <w:r w:rsidR="007070E5" w:rsidRPr="00372D94">
        <w:rPr>
          <w:rFonts w:eastAsia="Arial" w:cs="Arial"/>
        </w:rPr>
        <w:t xml:space="preserve">anagement is a key aspect of sustainable development. </w:t>
      </w:r>
      <w:r w:rsidRPr="00372D94">
        <w:rPr>
          <w:rFonts w:eastAsia="Arial" w:cs="Arial"/>
        </w:rPr>
        <w:t>It is a collaborative approach to managing land and water that delivers coordinated management of water storage, supply, demand, wastewater, flood risk, water quality and the wider environment.</w:t>
      </w:r>
      <w:r w:rsidRPr="00372D94">
        <w:rPr>
          <w:rFonts w:cs="Arial"/>
          <w:szCs w:val="24"/>
        </w:rPr>
        <w:t xml:space="preserve"> </w:t>
      </w:r>
      <w:r w:rsidR="007070E5" w:rsidRPr="00372D94">
        <w:rPr>
          <w:rFonts w:eastAsia="Arial" w:cs="Arial"/>
        </w:rPr>
        <w:t xml:space="preserve">As a substantial area of Ashfield is on a principal aquifer there is a particular emphasis on protecting ground water from contamination and enhancing the water environment. </w:t>
      </w:r>
      <w:r w:rsidR="00F12DDD" w:rsidRPr="00372D94">
        <w:rPr>
          <w:rFonts w:eastAsia="Arial" w:cs="Arial"/>
        </w:rPr>
        <w:t xml:space="preserve">Management of surface water requires the use of </w:t>
      </w:r>
      <w:proofErr w:type="spellStart"/>
      <w:r w:rsidR="00F12DDD" w:rsidRPr="00372D94">
        <w:rPr>
          <w:rFonts w:eastAsia="Arial" w:cs="Arial"/>
        </w:rPr>
        <w:t>SuDS</w:t>
      </w:r>
      <w:proofErr w:type="spellEnd"/>
      <w:r w:rsidR="00F12DDD" w:rsidRPr="00372D94">
        <w:rPr>
          <w:rFonts w:eastAsia="Arial" w:cs="Arial"/>
        </w:rPr>
        <w:t xml:space="preserve"> and implementing the drainage hierarchy. However, infiltration should not be used where there are existing groundwater flooding issues and, where appropriate, should include suitable pollution prevention measures to protect the quality of the groundwater.</w:t>
      </w:r>
      <w:r w:rsidR="00F12DDD" w:rsidRPr="00372D94">
        <w:rPr>
          <w:rFonts w:cs="Arial"/>
          <w:szCs w:val="24"/>
        </w:rPr>
        <w:t xml:space="preserve">   </w:t>
      </w:r>
      <w:r w:rsidR="007070E5" w:rsidRPr="00372D94">
        <w:rPr>
          <w:rFonts w:eastAsia="Arial" w:cs="Arial"/>
        </w:rPr>
        <w:t xml:space="preserve">Development Management Policies on these aspects set out </w:t>
      </w:r>
      <w:r w:rsidR="007070E5" w:rsidRPr="00F12DDD">
        <w:rPr>
          <w:rFonts w:eastAsia="Arial" w:cs="Arial"/>
          <w:color w:val="auto"/>
        </w:rPr>
        <w:t xml:space="preserve">in Policy CC2: Water Resource Management and Policy CC3: Flood Risk. </w:t>
      </w:r>
      <w:r w:rsidR="00F12DDD" w:rsidRPr="00F12DDD">
        <w:rPr>
          <w:rFonts w:eastAsia="Arial" w:cs="Arial"/>
          <w:color w:val="auto"/>
        </w:rPr>
        <w:t xml:space="preserve"> </w:t>
      </w:r>
    </w:p>
    <w:p w14:paraId="7B86D1F2" w14:textId="77777777" w:rsidR="00275006" w:rsidRPr="003C7E62" w:rsidRDefault="00275006" w:rsidP="005E17D1">
      <w:pPr>
        <w:keepNext w:val="0"/>
        <w:spacing w:before="0"/>
        <w:ind w:left="851"/>
        <w:rPr>
          <w:rFonts w:cs="Arial"/>
          <w:color w:val="auto"/>
          <w:szCs w:val="24"/>
        </w:rPr>
      </w:pPr>
    </w:p>
    <w:p w14:paraId="69093FEB" w14:textId="219CF6F3" w:rsidR="00A74E08" w:rsidRPr="003C7E62" w:rsidRDefault="007070E5" w:rsidP="00CD61AD">
      <w:pPr>
        <w:keepNext w:val="0"/>
        <w:numPr>
          <w:ilvl w:val="1"/>
          <w:numId w:val="344"/>
        </w:numPr>
        <w:tabs>
          <w:tab w:val="clear" w:pos="525"/>
          <w:tab w:val="num" w:pos="851"/>
        </w:tabs>
        <w:spacing w:before="0"/>
        <w:ind w:left="851" w:hanging="851"/>
        <w:rPr>
          <w:rFonts w:cs="Arial"/>
          <w:color w:val="auto"/>
          <w:szCs w:val="24"/>
        </w:rPr>
      </w:pPr>
      <w:r w:rsidRPr="003C7E62">
        <w:rPr>
          <w:rFonts w:eastAsia="Calibri" w:cs="Arial"/>
          <w:color w:val="auto"/>
        </w:rPr>
        <w:t xml:space="preserve">Design and Access Statements (DAS) can </w:t>
      </w:r>
      <w:r w:rsidR="00A53A3F" w:rsidRPr="003C7E62">
        <w:rPr>
          <w:rFonts w:eastAsia="Calibri" w:cs="Arial"/>
          <w:color w:val="auto"/>
        </w:rPr>
        <w:t xml:space="preserve">also </w:t>
      </w:r>
      <w:r w:rsidRPr="003C7E62">
        <w:rPr>
          <w:rFonts w:eastAsia="Calibri" w:cs="Arial"/>
          <w:color w:val="auto"/>
        </w:rPr>
        <w:t>be used to explain:</w:t>
      </w:r>
    </w:p>
    <w:p w14:paraId="60B23D49" w14:textId="77777777" w:rsidR="00A74E08" w:rsidRPr="003C7E62" w:rsidRDefault="00A74E08" w:rsidP="009A1B27">
      <w:pPr>
        <w:keepNext w:val="0"/>
        <w:spacing w:before="0"/>
        <w:ind w:left="851"/>
        <w:rPr>
          <w:rFonts w:cs="Arial"/>
          <w:color w:val="auto"/>
          <w:szCs w:val="24"/>
        </w:rPr>
      </w:pPr>
    </w:p>
    <w:p w14:paraId="30E60172" w14:textId="77777777" w:rsidR="00A74E08" w:rsidRPr="003C7E62" w:rsidRDefault="00A74E08" w:rsidP="00D01157">
      <w:pPr>
        <w:keepNext w:val="0"/>
        <w:numPr>
          <w:ilvl w:val="0"/>
          <w:numId w:val="17"/>
        </w:numPr>
        <w:spacing w:before="0"/>
        <w:contextualSpacing/>
        <w:rPr>
          <w:rFonts w:eastAsia="Calibri" w:cs="Arial"/>
          <w:color w:val="auto"/>
          <w:szCs w:val="22"/>
          <w:lang w:eastAsia="en-US"/>
        </w:rPr>
      </w:pPr>
      <w:r w:rsidRPr="003C7E62">
        <w:rPr>
          <w:rFonts w:eastAsia="Calibri" w:cs="Arial"/>
          <w:color w:val="auto"/>
          <w:szCs w:val="22"/>
          <w:lang w:eastAsia="en-US"/>
        </w:rPr>
        <w:t xml:space="preserve">How the proposal seeks to reduce carbon emissions through reducing energy demand by maximising energy efficiency and reducing the need to travel. </w:t>
      </w:r>
    </w:p>
    <w:p w14:paraId="02D249C9" w14:textId="77777777" w:rsidR="00A74E08" w:rsidRPr="003C7E62" w:rsidRDefault="00A74E08" w:rsidP="009A1B27">
      <w:pPr>
        <w:keepNext w:val="0"/>
        <w:spacing w:before="0"/>
        <w:ind w:left="720"/>
        <w:contextualSpacing/>
        <w:rPr>
          <w:rFonts w:eastAsia="Calibri" w:cs="Arial"/>
          <w:color w:val="auto"/>
          <w:szCs w:val="22"/>
          <w:lang w:eastAsia="en-US"/>
        </w:rPr>
      </w:pPr>
    </w:p>
    <w:p w14:paraId="58654F8D" w14:textId="6CF7E4FD" w:rsidR="00A74E08" w:rsidRDefault="00A74E08" w:rsidP="00D01157">
      <w:pPr>
        <w:keepNext w:val="0"/>
        <w:numPr>
          <w:ilvl w:val="0"/>
          <w:numId w:val="17"/>
        </w:numPr>
        <w:spacing w:before="0"/>
        <w:contextualSpacing/>
        <w:rPr>
          <w:rFonts w:eastAsia="Calibri" w:cs="Arial"/>
          <w:color w:val="auto"/>
          <w:szCs w:val="22"/>
          <w:lang w:eastAsia="en-US"/>
        </w:rPr>
      </w:pPr>
      <w:proofErr w:type="gramStart"/>
      <w:r w:rsidRPr="003C7E62">
        <w:rPr>
          <w:rFonts w:eastAsia="Calibri" w:cs="Arial"/>
          <w:color w:val="auto"/>
          <w:szCs w:val="22"/>
          <w:lang w:eastAsia="en-US"/>
        </w:rPr>
        <w:t>How</w:t>
      </w:r>
      <w:proofErr w:type="gramEnd"/>
      <w:r w:rsidRPr="003C7E62">
        <w:rPr>
          <w:rFonts w:eastAsia="Calibri" w:cs="Arial"/>
          <w:color w:val="auto"/>
          <w:szCs w:val="22"/>
          <w:lang w:eastAsia="en-US"/>
        </w:rPr>
        <w:t xml:space="preserve"> renewable energy and low carbon development have been incorporated to reduce reliance on fossil fuels; </w:t>
      </w:r>
    </w:p>
    <w:p w14:paraId="7D18A6A8" w14:textId="77777777" w:rsidR="009A1B27" w:rsidRPr="003C7E62" w:rsidRDefault="009A1B27" w:rsidP="009A1B27">
      <w:pPr>
        <w:keepNext w:val="0"/>
        <w:spacing w:before="0"/>
        <w:contextualSpacing/>
        <w:rPr>
          <w:rFonts w:eastAsia="Calibri" w:cs="Arial"/>
          <w:color w:val="auto"/>
          <w:szCs w:val="22"/>
          <w:lang w:eastAsia="en-US"/>
        </w:rPr>
      </w:pPr>
    </w:p>
    <w:p w14:paraId="41A9C285" w14:textId="059C9642" w:rsidR="00A74E08" w:rsidRDefault="00A74E08" w:rsidP="00D01157">
      <w:pPr>
        <w:keepNext w:val="0"/>
        <w:numPr>
          <w:ilvl w:val="0"/>
          <w:numId w:val="17"/>
        </w:numPr>
        <w:spacing w:before="0"/>
        <w:contextualSpacing/>
        <w:rPr>
          <w:rFonts w:eastAsia="Calibri" w:cs="Arial"/>
          <w:color w:val="auto"/>
          <w:szCs w:val="22"/>
          <w:lang w:eastAsia="en-US"/>
        </w:rPr>
      </w:pPr>
      <w:r w:rsidRPr="003C7E62">
        <w:rPr>
          <w:rFonts w:eastAsia="Calibri" w:cs="Arial"/>
          <w:color w:val="auto"/>
          <w:szCs w:val="22"/>
          <w:lang w:eastAsia="en-US"/>
        </w:rPr>
        <w:t xml:space="preserve">How trees and soils, are affected by </w:t>
      </w:r>
      <w:r w:rsidR="00416653" w:rsidRPr="003C7E62">
        <w:rPr>
          <w:rFonts w:eastAsia="Calibri" w:cs="Arial"/>
          <w:color w:val="auto"/>
          <w:szCs w:val="22"/>
          <w:lang w:eastAsia="en-US"/>
        </w:rPr>
        <w:t>development with</w:t>
      </w:r>
      <w:r w:rsidRPr="003C7E62">
        <w:rPr>
          <w:rFonts w:eastAsia="Calibri" w:cs="Arial"/>
          <w:color w:val="auto"/>
          <w:szCs w:val="22"/>
          <w:lang w:eastAsia="en-US"/>
        </w:rPr>
        <w:t xml:space="preserve"> the emphasis on the retention of </w:t>
      </w:r>
      <w:r w:rsidR="00416653" w:rsidRPr="003C7E62">
        <w:rPr>
          <w:rFonts w:eastAsia="Calibri" w:cs="Arial"/>
          <w:color w:val="auto"/>
          <w:szCs w:val="22"/>
          <w:lang w:eastAsia="en-US"/>
        </w:rPr>
        <w:t>trees as</w:t>
      </w:r>
      <w:r w:rsidRPr="003C7E62">
        <w:rPr>
          <w:rFonts w:eastAsia="Calibri" w:cs="Arial"/>
          <w:color w:val="auto"/>
          <w:szCs w:val="22"/>
          <w:lang w:eastAsia="en-US"/>
        </w:rPr>
        <w:t xml:space="preserve"> they </w:t>
      </w:r>
      <w:r w:rsidR="00416653" w:rsidRPr="003C7E62">
        <w:rPr>
          <w:rFonts w:eastAsia="Calibri" w:cs="Arial"/>
          <w:color w:val="auto"/>
          <w:szCs w:val="22"/>
          <w:lang w:eastAsia="en-US"/>
        </w:rPr>
        <w:t>provide</w:t>
      </w:r>
      <w:r w:rsidRPr="003C7E62">
        <w:rPr>
          <w:rFonts w:eastAsia="Calibri" w:cs="Arial"/>
          <w:color w:val="auto"/>
          <w:szCs w:val="22"/>
          <w:lang w:eastAsia="en-US"/>
        </w:rPr>
        <w:t xml:space="preserve"> a carbon store.</w:t>
      </w:r>
    </w:p>
    <w:p w14:paraId="791D7326" w14:textId="77777777" w:rsidR="009A1B27" w:rsidRPr="003C7E62" w:rsidRDefault="009A1B27" w:rsidP="009A1B27">
      <w:pPr>
        <w:keepNext w:val="0"/>
        <w:spacing w:before="0"/>
        <w:contextualSpacing/>
        <w:rPr>
          <w:rFonts w:eastAsia="Calibri" w:cs="Arial"/>
          <w:color w:val="auto"/>
          <w:szCs w:val="22"/>
          <w:lang w:eastAsia="en-US"/>
        </w:rPr>
      </w:pPr>
    </w:p>
    <w:p w14:paraId="2898412F" w14:textId="59CE78F5" w:rsidR="00A74E08" w:rsidRDefault="00A74E08" w:rsidP="00D01157">
      <w:pPr>
        <w:keepNext w:val="0"/>
        <w:numPr>
          <w:ilvl w:val="0"/>
          <w:numId w:val="17"/>
        </w:numPr>
        <w:spacing w:before="0"/>
        <w:contextualSpacing/>
        <w:rPr>
          <w:rFonts w:eastAsia="Calibri" w:cs="Arial"/>
          <w:color w:val="auto"/>
          <w:szCs w:val="22"/>
          <w:lang w:eastAsia="en-US"/>
        </w:rPr>
      </w:pPr>
      <w:r w:rsidRPr="003C7E62">
        <w:rPr>
          <w:rFonts w:eastAsia="Calibri" w:cs="Arial"/>
          <w:color w:val="auto"/>
          <w:szCs w:val="22"/>
          <w:lang w:eastAsia="en-US"/>
        </w:rPr>
        <w:t xml:space="preserve">How the proposal for buildings, the public realm and the wider landscape </w:t>
      </w:r>
      <w:proofErr w:type="gramStart"/>
      <w:r w:rsidRPr="003C7E62">
        <w:rPr>
          <w:rFonts w:eastAsia="Calibri" w:cs="Arial"/>
          <w:color w:val="auto"/>
          <w:szCs w:val="22"/>
          <w:lang w:eastAsia="en-US"/>
        </w:rPr>
        <w:t>adapts</w:t>
      </w:r>
      <w:proofErr w:type="gramEnd"/>
      <w:r w:rsidRPr="003C7E62">
        <w:rPr>
          <w:rFonts w:eastAsia="Calibri" w:cs="Arial"/>
          <w:color w:val="auto"/>
          <w:szCs w:val="22"/>
          <w:lang w:eastAsia="en-US"/>
        </w:rPr>
        <w:t xml:space="preserve"> to the implications of climate change which include likely increased temperatures, more frequent and severe flooding and extreme weather events. </w:t>
      </w:r>
    </w:p>
    <w:p w14:paraId="61034038" w14:textId="77777777" w:rsidR="009A1B27" w:rsidRPr="003C7E62" w:rsidRDefault="009A1B27" w:rsidP="009A1B27">
      <w:pPr>
        <w:keepNext w:val="0"/>
        <w:spacing w:before="0"/>
        <w:contextualSpacing/>
        <w:rPr>
          <w:rFonts w:eastAsia="Calibri" w:cs="Arial"/>
          <w:color w:val="auto"/>
          <w:szCs w:val="22"/>
          <w:lang w:eastAsia="en-US"/>
        </w:rPr>
      </w:pPr>
    </w:p>
    <w:p w14:paraId="74096BE2" w14:textId="77777777" w:rsidR="00A74E08" w:rsidRPr="003C7E62" w:rsidRDefault="00A74E08" w:rsidP="00D01157">
      <w:pPr>
        <w:keepNext w:val="0"/>
        <w:numPr>
          <w:ilvl w:val="0"/>
          <w:numId w:val="17"/>
        </w:numPr>
        <w:spacing w:before="0"/>
        <w:contextualSpacing/>
        <w:rPr>
          <w:rFonts w:eastAsia="Calibri" w:cs="Arial"/>
          <w:color w:val="auto"/>
          <w:szCs w:val="22"/>
          <w:lang w:eastAsia="en-US"/>
        </w:rPr>
      </w:pPr>
      <w:r w:rsidRPr="003C7E62">
        <w:rPr>
          <w:rFonts w:eastAsia="Calibri" w:cs="Arial"/>
          <w:color w:val="auto"/>
          <w:szCs w:val="22"/>
          <w:lang w:eastAsia="en-US"/>
        </w:rPr>
        <w:t>How flood risk within areas susceptible to fluvial and surface water flooding has been considered.</w:t>
      </w:r>
    </w:p>
    <w:p w14:paraId="287CA5B4" w14:textId="77777777" w:rsidR="00A74E08" w:rsidRPr="003C7E62" w:rsidRDefault="00A74E08" w:rsidP="005E17D1">
      <w:pPr>
        <w:keepNext w:val="0"/>
        <w:spacing w:before="0"/>
        <w:rPr>
          <w:rFonts w:cs="Arial"/>
          <w:color w:val="auto"/>
          <w:szCs w:val="24"/>
        </w:rPr>
      </w:pPr>
      <w:r w:rsidRPr="003C7E62">
        <w:rPr>
          <w:rFonts w:cs="Arial"/>
          <w:color w:val="auto"/>
          <w:szCs w:val="24"/>
        </w:rPr>
        <w:br w:type="page"/>
      </w:r>
    </w:p>
    <w:p w14:paraId="156B17DF" w14:textId="7F5B2E78" w:rsidR="00AE71BE" w:rsidRPr="009D5737" w:rsidRDefault="00AE71BE" w:rsidP="009D5737">
      <w:pPr>
        <w:pStyle w:val="Heading2"/>
        <w:jc w:val="left"/>
        <w:rPr>
          <w:rFonts w:eastAsia="Arial"/>
          <w:sz w:val="28"/>
          <w:szCs w:val="28"/>
        </w:rPr>
      </w:pPr>
      <w:bookmarkStart w:id="50" w:name="_Toc145511556"/>
      <w:bookmarkStart w:id="51" w:name="_Hlk76638620"/>
      <w:r w:rsidRPr="009D5737">
        <w:rPr>
          <w:sz w:val="28"/>
          <w:szCs w:val="28"/>
        </w:rPr>
        <w:lastRenderedPageBreak/>
        <w:t>Strategic Policy S4: Green Belt</w:t>
      </w:r>
      <w:bookmarkEnd w:id="47"/>
      <w:bookmarkEnd w:id="50"/>
      <w:r w:rsidRPr="009D5737">
        <w:rPr>
          <w:rFonts w:eastAsia="Arial"/>
          <w:sz w:val="28"/>
          <w:szCs w:val="28"/>
        </w:rPr>
        <w:t xml:space="preserve"> </w:t>
      </w:r>
    </w:p>
    <w:p w14:paraId="487F955C" w14:textId="77777777" w:rsidR="00AE71BE" w:rsidRPr="009B02C6" w:rsidRDefault="00AE71BE" w:rsidP="009B02C6">
      <w:pPr>
        <w:rPr>
          <w:rFonts w:eastAsia="Arial"/>
        </w:rPr>
      </w:pPr>
    </w:p>
    <w:tbl>
      <w:tblPr>
        <w:tblStyle w:val="ReportTable1"/>
        <w:tblW w:w="9634" w:type="dxa"/>
        <w:tblLook w:val="04A0" w:firstRow="1" w:lastRow="0" w:firstColumn="1" w:lastColumn="0" w:noHBand="0" w:noVBand="1"/>
      </w:tblPr>
      <w:tblGrid>
        <w:gridCol w:w="1980"/>
        <w:gridCol w:w="637"/>
        <w:gridCol w:w="7017"/>
      </w:tblGrid>
      <w:tr w:rsidR="00FB4E8F" w:rsidRPr="003C7E62" w14:paraId="2DA04031" w14:textId="77777777" w:rsidTr="009D4C91">
        <w:tc>
          <w:tcPr>
            <w:tcW w:w="9634" w:type="dxa"/>
            <w:gridSpan w:val="3"/>
          </w:tcPr>
          <w:p w14:paraId="7E37B9BE" w14:textId="77777777" w:rsidR="005E17D1" w:rsidRDefault="005E17D1" w:rsidP="00FB4E8F">
            <w:pPr>
              <w:spacing w:before="0"/>
              <w:outlineLvl w:val="1"/>
              <w:rPr>
                <w:rFonts w:cs="Arial"/>
                <w:b/>
                <w:bCs/>
                <w:iCs/>
                <w:color w:val="auto"/>
                <w:szCs w:val="24"/>
                <w:lang w:eastAsia="en-US"/>
              </w:rPr>
            </w:pPr>
          </w:p>
          <w:p w14:paraId="5939433B" w14:textId="04D51949" w:rsidR="005E17D1" w:rsidRDefault="00FB4E8F" w:rsidP="00E605B7">
            <w:pPr>
              <w:rPr>
                <w:rFonts w:eastAsia="Arial" w:cs="Arial"/>
                <w:b/>
                <w:bCs/>
                <w:iCs/>
                <w:color w:val="auto"/>
                <w:szCs w:val="24"/>
                <w:lang w:eastAsia="en-US"/>
              </w:rPr>
            </w:pPr>
            <w:r w:rsidRPr="003C7E62">
              <w:rPr>
                <w:rFonts w:cs="Arial"/>
                <w:b/>
                <w:bCs/>
                <w:iCs/>
                <w:color w:val="auto"/>
                <w:szCs w:val="24"/>
                <w:lang w:eastAsia="en-US"/>
              </w:rPr>
              <w:t>Strategic Policy S4: Green Belt</w:t>
            </w:r>
            <w:r w:rsidRPr="003C7E62">
              <w:rPr>
                <w:rFonts w:eastAsia="Arial" w:cs="Arial"/>
                <w:b/>
                <w:bCs/>
                <w:iCs/>
                <w:color w:val="auto"/>
                <w:szCs w:val="24"/>
                <w:lang w:eastAsia="en-US"/>
              </w:rPr>
              <w:t xml:space="preserve"> </w:t>
            </w:r>
          </w:p>
          <w:p w14:paraId="5403B76A" w14:textId="0B6C6A5E" w:rsidR="00FB4E8F" w:rsidRPr="003C7E62" w:rsidRDefault="00FB4E8F" w:rsidP="00FB4E8F">
            <w:pPr>
              <w:spacing w:before="0"/>
              <w:outlineLvl w:val="1"/>
              <w:rPr>
                <w:rFonts w:eastAsia="Arial" w:cs="Arial"/>
                <w:b/>
                <w:bCs/>
                <w:iCs/>
                <w:color w:val="auto"/>
                <w:szCs w:val="24"/>
                <w:lang w:eastAsia="en-US"/>
              </w:rPr>
            </w:pPr>
            <w:r w:rsidRPr="003C7E62">
              <w:rPr>
                <w:rFonts w:eastAsia="Arial" w:cs="Arial"/>
                <w:b/>
                <w:bCs/>
                <w:iCs/>
                <w:color w:val="auto"/>
                <w:szCs w:val="24"/>
                <w:lang w:eastAsia="en-US"/>
              </w:rPr>
              <w:t xml:space="preserve"> </w:t>
            </w:r>
          </w:p>
        </w:tc>
      </w:tr>
      <w:tr w:rsidR="00AE71BE" w:rsidRPr="003C7E62" w14:paraId="207FCE79" w14:textId="77777777" w:rsidTr="009D4C91">
        <w:tc>
          <w:tcPr>
            <w:tcW w:w="2617" w:type="dxa"/>
            <w:gridSpan w:val="2"/>
          </w:tcPr>
          <w:p w14:paraId="6191D1F9" w14:textId="77777777" w:rsidR="00AE71BE" w:rsidRPr="005E17D1" w:rsidRDefault="00AE71BE" w:rsidP="00523DED">
            <w:pPr>
              <w:tabs>
                <w:tab w:val="left" w:pos="680"/>
              </w:tabs>
              <w:spacing w:before="40" w:after="40"/>
              <w:rPr>
                <w:rFonts w:eastAsia="Arial" w:cs="Arial"/>
                <w:bCs/>
              </w:rPr>
            </w:pPr>
            <w:r w:rsidRPr="005E17D1">
              <w:rPr>
                <w:rFonts w:eastAsia="Arial" w:cs="Arial"/>
                <w:bCs/>
              </w:rPr>
              <w:t>Strategic Objectives</w:t>
            </w:r>
          </w:p>
        </w:tc>
        <w:tc>
          <w:tcPr>
            <w:tcW w:w="7017" w:type="dxa"/>
          </w:tcPr>
          <w:p w14:paraId="32311859" w14:textId="77777777" w:rsidR="00AE71BE" w:rsidRPr="005E17D1" w:rsidRDefault="00AE71BE" w:rsidP="00523DED">
            <w:pPr>
              <w:tabs>
                <w:tab w:val="left" w:pos="680"/>
              </w:tabs>
              <w:spacing w:before="40" w:after="40"/>
              <w:rPr>
                <w:rFonts w:eastAsia="Arial" w:cs="Arial"/>
                <w:bCs/>
              </w:rPr>
            </w:pPr>
            <w:r w:rsidRPr="005E17D1">
              <w:rPr>
                <w:rFonts w:eastAsia="Arial" w:cs="Arial"/>
                <w:bCs/>
              </w:rPr>
              <w:t>SO1, SO2, SO5, SO6, SO13, SO14.</w:t>
            </w:r>
          </w:p>
        </w:tc>
      </w:tr>
      <w:tr w:rsidR="00AE71BE" w:rsidRPr="003C7E62" w14:paraId="6713AEE9" w14:textId="77777777" w:rsidTr="009D4C91">
        <w:tc>
          <w:tcPr>
            <w:tcW w:w="9634" w:type="dxa"/>
            <w:gridSpan w:val="3"/>
            <w:shd w:val="clear" w:color="auto" w:fill="DBDBDB"/>
          </w:tcPr>
          <w:p w14:paraId="582ECCD5" w14:textId="77777777" w:rsidR="00EE39E9" w:rsidRPr="003C7E62" w:rsidRDefault="00EE39E9" w:rsidP="00EE39E9">
            <w:pPr>
              <w:autoSpaceDE w:val="0"/>
              <w:autoSpaceDN w:val="0"/>
              <w:adjustRightInd w:val="0"/>
              <w:spacing w:before="0"/>
              <w:rPr>
                <w:rFonts w:eastAsia="Calibri" w:cs="Arial"/>
                <w:color w:val="000000"/>
                <w:szCs w:val="24"/>
              </w:rPr>
            </w:pPr>
            <w:bookmarkStart w:id="52" w:name="_Hlk75350766"/>
          </w:p>
          <w:p w14:paraId="6220BE03" w14:textId="580B8434" w:rsidR="00AE71BE" w:rsidRPr="003C7E62" w:rsidRDefault="00AE71BE" w:rsidP="00EE39E9">
            <w:pPr>
              <w:autoSpaceDE w:val="0"/>
              <w:autoSpaceDN w:val="0"/>
              <w:adjustRightInd w:val="0"/>
              <w:spacing w:before="0"/>
              <w:rPr>
                <w:rFonts w:eastAsia="Calibri" w:cs="Arial"/>
                <w:color w:val="auto"/>
                <w:szCs w:val="24"/>
              </w:rPr>
            </w:pPr>
            <w:r w:rsidRPr="003C7E62">
              <w:rPr>
                <w:rFonts w:eastAsia="Calibri" w:cs="Arial"/>
                <w:color w:val="000000"/>
                <w:szCs w:val="24"/>
              </w:rPr>
              <w:t xml:space="preserve">The Green Belt, as shown on the Policies Map, will be protected against inappropriate development as identified in the National Planning Policy Framework.  </w:t>
            </w:r>
            <w:r w:rsidRPr="003C7E62">
              <w:rPr>
                <w:rFonts w:eastAsia="Arial" w:cs="Arial"/>
                <w:color w:val="auto"/>
              </w:rPr>
              <w:t xml:space="preserve">This includes land around Hucknall, land to the south and east of Kirkby-in-Ashfield and land surrounding the rural villages of </w:t>
            </w:r>
            <w:proofErr w:type="spellStart"/>
            <w:r w:rsidRPr="003C7E62">
              <w:rPr>
                <w:rFonts w:eastAsia="Arial" w:cs="Arial"/>
                <w:color w:val="auto"/>
              </w:rPr>
              <w:t>Selston</w:t>
            </w:r>
            <w:proofErr w:type="spellEnd"/>
            <w:r w:rsidRPr="003C7E62">
              <w:rPr>
                <w:rFonts w:eastAsia="Arial" w:cs="Arial"/>
                <w:color w:val="auto"/>
              </w:rPr>
              <w:t xml:space="preserve">, </w:t>
            </w:r>
            <w:proofErr w:type="spellStart"/>
            <w:r w:rsidRPr="003C7E62">
              <w:rPr>
                <w:rFonts w:eastAsia="Arial" w:cs="Arial"/>
                <w:color w:val="auto"/>
              </w:rPr>
              <w:t>Jacksdale</w:t>
            </w:r>
            <w:proofErr w:type="spellEnd"/>
            <w:r w:rsidRPr="003C7E62">
              <w:rPr>
                <w:rFonts w:eastAsia="Arial" w:cs="Arial"/>
                <w:color w:val="auto"/>
              </w:rPr>
              <w:t xml:space="preserve">, Underwood and part of Brinsley.  The village of </w:t>
            </w:r>
            <w:proofErr w:type="spellStart"/>
            <w:r w:rsidRPr="003C7E62">
              <w:rPr>
                <w:rFonts w:eastAsia="Arial" w:cs="Arial"/>
                <w:color w:val="auto"/>
              </w:rPr>
              <w:t>Bagthorpe</w:t>
            </w:r>
            <w:proofErr w:type="spellEnd"/>
            <w:r w:rsidRPr="003C7E62">
              <w:rPr>
                <w:rFonts w:eastAsia="Arial" w:cs="Arial"/>
                <w:color w:val="auto"/>
              </w:rPr>
              <w:t xml:space="preserve"> is ‘wash</w:t>
            </w:r>
            <w:r w:rsidR="00832DE8">
              <w:rPr>
                <w:rFonts w:eastAsia="Arial" w:cs="Arial"/>
                <w:color w:val="auto"/>
              </w:rPr>
              <w:t>ed</w:t>
            </w:r>
            <w:r w:rsidRPr="003C7E62">
              <w:rPr>
                <w:rFonts w:eastAsia="Arial" w:cs="Arial"/>
                <w:color w:val="auto"/>
              </w:rPr>
              <w:t xml:space="preserve"> over’ by the Green Belt.  </w:t>
            </w:r>
          </w:p>
          <w:bookmarkEnd w:id="52"/>
          <w:p w14:paraId="1D2672ED" w14:textId="77777777" w:rsidR="00AE71BE" w:rsidRPr="003C7E62" w:rsidRDefault="00AE71BE" w:rsidP="00523DED">
            <w:pPr>
              <w:tabs>
                <w:tab w:val="left" w:pos="680"/>
                <w:tab w:val="left" w:pos="1133"/>
                <w:tab w:val="left" w:pos="2267"/>
              </w:tabs>
              <w:ind w:right="284"/>
              <w:rPr>
                <w:rFonts w:eastAsia="Arial" w:cs="Arial"/>
                <w:b/>
                <w:color w:val="0070C0"/>
              </w:rPr>
            </w:pPr>
          </w:p>
        </w:tc>
      </w:tr>
      <w:tr w:rsidR="00AE71BE" w:rsidRPr="003C7E62" w14:paraId="696FDF25" w14:textId="77777777" w:rsidTr="009D4C91">
        <w:tc>
          <w:tcPr>
            <w:tcW w:w="1980" w:type="dxa"/>
            <w:shd w:val="clear" w:color="auto" w:fill="DBDBDB"/>
          </w:tcPr>
          <w:p w14:paraId="7929FF0D" w14:textId="77777777" w:rsidR="00AE71BE" w:rsidRPr="003C7E62" w:rsidRDefault="00AE71BE" w:rsidP="00D0642D">
            <w:pPr>
              <w:tabs>
                <w:tab w:val="left" w:pos="680"/>
                <w:tab w:val="left" w:pos="1133"/>
                <w:tab w:val="left" w:pos="2267"/>
              </w:tabs>
              <w:ind w:right="284"/>
              <w:rPr>
                <w:rFonts w:eastAsia="Arial" w:cs="Arial"/>
                <w:b/>
                <w:color w:val="C00000"/>
                <w:sz w:val="20"/>
              </w:rPr>
            </w:pPr>
            <w:r w:rsidRPr="003C7E62">
              <w:rPr>
                <w:rFonts w:eastAsia="Arial" w:cs="Arial"/>
                <w:bCs/>
                <w:sz w:val="20"/>
              </w:rPr>
              <w:t>Evidence base</w:t>
            </w:r>
          </w:p>
        </w:tc>
        <w:tc>
          <w:tcPr>
            <w:tcW w:w="7654" w:type="dxa"/>
            <w:gridSpan w:val="2"/>
            <w:shd w:val="clear" w:color="auto" w:fill="DBDBDB"/>
          </w:tcPr>
          <w:p w14:paraId="1B6FB986" w14:textId="1B296679" w:rsidR="00F10F95" w:rsidRPr="00372D94" w:rsidRDefault="00AE71BE" w:rsidP="00A44712">
            <w:pPr>
              <w:pStyle w:val="ListParagraph"/>
              <w:numPr>
                <w:ilvl w:val="0"/>
                <w:numId w:val="13"/>
              </w:numPr>
              <w:tabs>
                <w:tab w:val="left" w:pos="680"/>
                <w:tab w:val="left" w:pos="1133"/>
                <w:tab w:val="left" w:pos="2267"/>
              </w:tabs>
              <w:spacing w:after="0" w:line="240" w:lineRule="auto"/>
              <w:ind w:right="284"/>
              <w:rPr>
                <w:rFonts w:ascii="Arial" w:eastAsia="Arial" w:hAnsi="Arial" w:cs="Arial"/>
                <w:bCs/>
                <w:sz w:val="20"/>
                <w:szCs w:val="20"/>
                <w:lang w:eastAsia="en-GB"/>
              </w:rPr>
            </w:pPr>
            <w:r w:rsidRPr="00372D94">
              <w:rPr>
                <w:rFonts w:ascii="Arial" w:eastAsia="Arial" w:hAnsi="Arial" w:cs="Arial"/>
                <w:bCs/>
                <w:sz w:val="20"/>
                <w:szCs w:val="20"/>
                <w:lang w:eastAsia="en-GB"/>
              </w:rPr>
              <w:t xml:space="preserve">Sustainability Appraisal </w:t>
            </w:r>
            <w:r w:rsidR="00F10F95" w:rsidRPr="00372D94">
              <w:rPr>
                <w:rFonts w:ascii="Arial" w:eastAsia="Arial" w:hAnsi="Arial" w:cs="Arial"/>
                <w:bCs/>
                <w:sz w:val="20"/>
                <w:szCs w:val="20"/>
                <w:lang w:eastAsia="en-GB"/>
              </w:rPr>
              <w:t>2023</w:t>
            </w:r>
            <w:r w:rsidR="00A86E75" w:rsidRPr="00372D94">
              <w:rPr>
                <w:rFonts w:ascii="Arial" w:eastAsia="Arial" w:hAnsi="Arial" w:cs="Arial"/>
                <w:bCs/>
                <w:sz w:val="20"/>
                <w:szCs w:val="20"/>
                <w:lang w:eastAsia="en-GB"/>
              </w:rPr>
              <w:t>,</w:t>
            </w:r>
            <w:r w:rsidR="00F10F95" w:rsidRPr="00372D94">
              <w:t xml:space="preserve"> </w:t>
            </w:r>
            <w:r w:rsidR="00F10F95" w:rsidRPr="00372D94">
              <w:rPr>
                <w:rFonts w:ascii="Arial" w:eastAsia="Arial" w:hAnsi="Arial" w:cs="Arial"/>
                <w:bCs/>
                <w:sz w:val="20"/>
                <w:szCs w:val="20"/>
                <w:lang w:eastAsia="en-GB"/>
              </w:rPr>
              <w:t>WSP UK Limited.</w:t>
            </w:r>
          </w:p>
          <w:p w14:paraId="0B02FFA4" w14:textId="41256B1D" w:rsidR="00AE71BE" w:rsidRPr="00372D94" w:rsidRDefault="00F10F95" w:rsidP="00A44712">
            <w:pPr>
              <w:pStyle w:val="ListParagraph"/>
              <w:numPr>
                <w:ilvl w:val="0"/>
                <w:numId w:val="13"/>
              </w:numPr>
              <w:tabs>
                <w:tab w:val="left" w:pos="680"/>
                <w:tab w:val="left" w:pos="1133"/>
                <w:tab w:val="left" w:pos="2267"/>
              </w:tabs>
              <w:spacing w:after="0" w:line="240" w:lineRule="auto"/>
              <w:ind w:right="284"/>
              <w:rPr>
                <w:rFonts w:ascii="Arial" w:eastAsia="Arial" w:hAnsi="Arial" w:cs="Arial"/>
                <w:bCs/>
                <w:sz w:val="20"/>
                <w:szCs w:val="20"/>
                <w:lang w:eastAsia="en-GB"/>
              </w:rPr>
            </w:pPr>
            <w:r w:rsidRPr="00372D94">
              <w:rPr>
                <w:rFonts w:ascii="Arial" w:eastAsia="Arial" w:hAnsi="Arial" w:cs="Arial"/>
                <w:bCs/>
                <w:sz w:val="20"/>
                <w:szCs w:val="20"/>
                <w:lang w:eastAsia="en-GB"/>
              </w:rPr>
              <w:t>B</w:t>
            </w:r>
            <w:r w:rsidR="00AE71BE" w:rsidRPr="00372D94">
              <w:rPr>
                <w:rFonts w:ascii="Arial" w:eastAsia="Arial" w:hAnsi="Arial" w:cs="Arial"/>
                <w:bCs/>
                <w:sz w:val="20"/>
                <w:szCs w:val="20"/>
                <w:lang w:eastAsia="en-GB"/>
              </w:rPr>
              <w:t xml:space="preserve">ackground Paper 04: Green Belt </w:t>
            </w:r>
            <w:r w:rsidR="001E72FC" w:rsidRPr="00372D94">
              <w:rPr>
                <w:rFonts w:ascii="Arial" w:eastAsia="Arial" w:hAnsi="Arial" w:cs="Arial"/>
                <w:bCs/>
                <w:sz w:val="20"/>
                <w:szCs w:val="20"/>
                <w:lang w:eastAsia="en-GB"/>
              </w:rPr>
              <w:t xml:space="preserve">Harm </w:t>
            </w:r>
            <w:r w:rsidR="000350D9" w:rsidRPr="00372D94">
              <w:rPr>
                <w:rFonts w:ascii="Arial" w:eastAsia="Arial" w:hAnsi="Arial" w:cs="Arial"/>
                <w:bCs/>
                <w:sz w:val="20"/>
                <w:szCs w:val="20"/>
                <w:lang w:eastAsia="en-GB"/>
              </w:rPr>
              <w:t xml:space="preserve">Assessment </w:t>
            </w:r>
            <w:r w:rsidR="00AE71BE" w:rsidRPr="00372D94">
              <w:rPr>
                <w:rFonts w:ascii="Arial" w:eastAsia="Arial" w:hAnsi="Arial" w:cs="Arial"/>
                <w:bCs/>
                <w:sz w:val="20"/>
                <w:szCs w:val="20"/>
                <w:lang w:eastAsia="en-GB"/>
              </w:rPr>
              <w:t>202</w:t>
            </w:r>
            <w:r w:rsidR="00372D94" w:rsidRPr="00372D94">
              <w:rPr>
                <w:rFonts w:ascii="Arial" w:eastAsia="Arial" w:hAnsi="Arial" w:cs="Arial"/>
                <w:bCs/>
                <w:sz w:val="20"/>
                <w:szCs w:val="20"/>
                <w:lang w:eastAsia="en-GB"/>
              </w:rPr>
              <w:t>3</w:t>
            </w:r>
            <w:r w:rsidR="00AE71BE" w:rsidRPr="00372D94">
              <w:rPr>
                <w:rFonts w:ascii="Arial" w:eastAsia="Arial" w:hAnsi="Arial" w:cs="Arial"/>
                <w:bCs/>
                <w:sz w:val="20"/>
                <w:szCs w:val="20"/>
                <w:lang w:eastAsia="en-GB"/>
              </w:rPr>
              <w:t>, Ashfield District Council.</w:t>
            </w:r>
          </w:p>
          <w:p w14:paraId="0D15FC44" w14:textId="4AE05199" w:rsidR="00AE71BE" w:rsidRPr="003C7E62" w:rsidRDefault="00AE71BE" w:rsidP="00D01157">
            <w:pPr>
              <w:pStyle w:val="ListParagraph"/>
              <w:numPr>
                <w:ilvl w:val="0"/>
                <w:numId w:val="13"/>
              </w:numPr>
              <w:tabs>
                <w:tab w:val="left" w:pos="680"/>
                <w:tab w:val="left" w:pos="1133"/>
                <w:tab w:val="left" w:pos="2267"/>
              </w:tabs>
              <w:spacing w:after="0" w:line="240" w:lineRule="auto"/>
              <w:ind w:right="284"/>
              <w:rPr>
                <w:rFonts w:ascii="Arial" w:eastAsia="Arial" w:hAnsi="Arial" w:cs="Arial"/>
                <w:bCs/>
                <w:sz w:val="20"/>
                <w:szCs w:val="20"/>
                <w:lang w:eastAsia="en-GB"/>
              </w:rPr>
            </w:pPr>
            <w:r w:rsidRPr="003C7E62">
              <w:rPr>
                <w:rFonts w:ascii="Arial" w:eastAsia="Arial" w:hAnsi="Arial" w:cs="Arial"/>
                <w:bCs/>
                <w:sz w:val="20"/>
                <w:szCs w:val="20"/>
                <w:lang w:eastAsia="en-GB"/>
              </w:rPr>
              <w:t>Ashfield Green Belt Boundary Review Technical Paper</w:t>
            </w:r>
            <w:r w:rsidR="00F10F95">
              <w:rPr>
                <w:rFonts w:ascii="Arial" w:eastAsia="Arial" w:hAnsi="Arial" w:cs="Arial"/>
                <w:bCs/>
                <w:sz w:val="20"/>
                <w:szCs w:val="20"/>
                <w:lang w:eastAsia="en-GB"/>
              </w:rPr>
              <w:t>,</w:t>
            </w:r>
            <w:r w:rsidRPr="003C7E62">
              <w:rPr>
                <w:rFonts w:ascii="Arial" w:eastAsia="Arial" w:hAnsi="Arial" w:cs="Arial"/>
                <w:bCs/>
                <w:sz w:val="20"/>
                <w:szCs w:val="20"/>
                <w:lang w:eastAsia="en-GB"/>
              </w:rPr>
              <w:t xml:space="preserve"> 20</w:t>
            </w:r>
            <w:r w:rsidR="00C17B15">
              <w:rPr>
                <w:rFonts w:ascii="Arial" w:eastAsia="Arial" w:hAnsi="Arial" w:cs="Arial"/>
                <w:bCs/>
                <w:sz w:val="20"/>
                <w:szCs w:val="20"/>
                <w:lang w:eastAsia="en-GB"/>
              </w:rPr>
              <w:t>21</w:t>
            </w:r>
            <w:r w:rsidR="00F10F95">
              <w:rPr>
                <w:rFonts w:ascii="Arial" w:eastAsia="Arial" w:hAnsi="Arial" w:cs="Arial"/>
                <w:bCs/>
                <w:sz w:val="20"/>
                <w:szCs w:val="20"/>
                <w:lang w:eastAsia="en-GB"/>
              </w:rPr>
              <w:t>.</w:t>
            </w:r>
            <w:r w:rsidRPr="003C7E62">
              <w:rPr>
                <w:rFonts w:ascii="Arial" w:eastAsia="Arial" w:hAnsi="Arial" w:cs="Arial"/>
                <w:bCs/>
                <w:sz w:val="20"/>
                <w:szCs w:val="20"/>
                <w:lang w:eastAsia="en-GB"/>
              </w:rPr>
              <w:t xml:space="preserve"> Ashfield District Council.</w:t>
            </w:r>
          </w:p>
          <w:p w14:paraId="5D1E2B4C" w14:textId="77777777" w:rsidR="00AE71BE" w:rsidRPr="003C7E62" w:rsidRDefault="00AE71BE" w:rsidP="00D01157">
            <w:pPr>
              <w:pStyle w:val="ListParagraph"/>
              <w:numPr>
                <w:ilvl w:val="0"/>
                <w:numId w:val="13"/>
              </w:numPr>
              <w:tabs>
                <w:tab w:val="left" w:pos="680"/>
                <w:tab w:val="left" w:pos="1133"/>
                <w:tab w:val="left" w:pos="2267"/>
              </w:tabs>
              <w:spacing w:after="0" w:line="240" w:lineRule="auto"/>
              <w:ind w:right="284"/>
              <w:rPr>
                <w:rFonts w:ascii="Arial" w:eastAsia="Arial" w:hAnsi="Arial" w:cs="Arial"/>
                <w:bCs/>
                <w:sz w:val="20"/>
                <w:szCs w:val="20"/>
                <w:lang w:eastAsia="en-GB"/>
              </w:rPr>
            </w:pPr>
            <w:r w:rsidRPr="003C7E62">
              <w:rPr>
                <w:rFonts w:ascii="Arial" w:eastAsia="Arial" w:hAnsi="Arial" w:cs="Arial"/>
                <w:bCs/>
                <w:sz w:val="20"/>
                <w:szCs w:val="20"/>
                <w:lang w:eastAsia="en-GB"/>
              </w:rPr>
              <w:t>Ashfield Strategic Green Belt Review 2016, Ashfield District Council.</w:t>
            </w:r>
          </w:p>
        </w:tc>
      </w:tr>
      <w:tr w:rsidR="00AE71BE" w:rsidRPr="003C7E62" w14:paraId="575AE81A" w14:textId="77777777" w:rsidTr="009D4C91">
        <w:tc>
          <w:tcPr>
            <w:tcW w:w="1980" w:type="dxa"/>
            <w:shd w:val="clear" w:color="auto" w:fill="DBDBDB"/>
          </w:tcPr>
          <w:p w14:paraId="03D074CC" w14:textId="77777777" w:rsidR="00AE71BE" w:rsidRPr="003C7E62" w:rsidRDefault="00AE71BE" w:rsidP="00D0642D">
            <w:pPr>
              <w:tabs>
                <w:tab w:val="left" w:pos="680"/>
                <w:tab w:val="left" w:pos="1133"/>
                <w:tab w:val="left" w:pos="2267"/>
              </w:tabs>
              <w:ind w:right="284"/>
              <w:contextualSpacing/>
              <w:rPr>
                <w:rFonts w:eastAsia="Arial" w:cs="Arial"/>
                <w:b/>
                <w:sz w:val="20"/>
              </w:rPr>
            </w:pPr>
            <w:r w:rsidRPr="003C7E62">
              <w:rPr>
                <w:rFonts w:eastAsia="Arial" w:cs="Arial"/>
                <w:bCs/>
                <w:sz w:val="20"/>
              </w:rPr>
              <w:t>National Planning Policy and Guidance</w:t>
            </w:r>
          </w:p>
        </w:tc>
        <w:tc>
          <w:tcPr>
            <w:tcW w:w="7654" w:type="dxa"/>
            <w:gridSpan w:val="2"/>
            <w:shd w:val="clear" w:color="auto" w:fill="DBDBDB"/>
          </w:tcPr>
          <w:p w14:paraId="6F1D6E3A" w14:textId="6E91BCA6" w:rsidR="00AE71BE" w:rsidRPr="003C7E62" w:rsidRDefault="00AE71BE" w:rsidP="00874A98">
            <w:pPr>
              <w:pStyle w:val="ListParagraph"/>
              <w:numPr>
                <w:ilvl w:val="0"/>
                <w:numId w:val="60"/>
              </w:numPr>
              <w:spacing w:after="0" w:line="240" w:lineRule="auto"/>
              <w:rPr>
                <w:rFonts w:ascii="Arial" w:hAnsi="Arial" w:cs="Arial"/>
                <w:sz w:val="20"/>
                <w:szCs w:val="20"/>
              </w:rPr>
            </w:pPr>
            <w:r w:rsidRPr="003C7E62">
              <w:rPr>
                <w:rFonts w:ascii="Arial" w:eastAsia="Arial" w:hAnsi="Arial" w:cs="Arial"/>
                <w:bCs/>
                <w:sz w:val="20"/>
                <w:szCs w:val="20"/>
                <w:lang w:eastAsia="en-GB"/>
              </w:rPr>
              <w:t>NPPF 202</w:t>
            </w:r>
            <w:r w:rsidR="00A37A61">
              <w:rPr>
                <w:rFonts w:ascii="Arial" w:eastAsia="Arial" w:hAnsi="Arial" w:cs="Arial"/>
                <w:bCs/>
                <w:sz w:val="20"/>
                <w:szCs w:val="20"/>
                <w:lang w:eastAsia="en-GB"/>
              </w:rPr>
              <w:t>3</w:t>
            </w:r>
            <w:r w:rsidRPr="003C7E62">
              <w:rPr>
                <w:rFonts w:ascii="Arial" w:eastAsia="Arial" w:hAnsi="Arial" w:cs="Arial"/>
                <w:bCs/>
                <w:sz w:val="20"/>
                <w:szCs w:val="20"/>
                <w:lang w:eastAsia="en-GB"/>
              </w:rPr>
              <w:t>, Part 2: Achieving sustainable development.</w:t>
            </w:r>
          </w:p>
          <w:p w14:paraId="571AA925" w14:textId="41A93C6D" w:rsidR="00AE71BE" w:rsidRPr="003C7E62" w:rsidRDefault="00AE71BE" w:rsidP="00874A98">
            <w:pPr>
              <w:pStyle w:val="ListParagraph"/>
              <w:numPr>
                <w:ilvl w:val="0"/>
                <w:numId w:val="60"/>
              </w:numPr>
              <w:spacing w:after="0" w:line="240" w:lineRule="auto"/>
              <w:rPr>
                <w:rFonts w:ascii="Arial" w:hAnsi="Arial" w:cs="Arial"/>
                <w:sz w:val="20"/>
                <w:szCs w:val="20"/>
              </w:rPr>
            </w:pPr>
            <w:r w:rsidRPr="003C7E62">
              <w:rPr>
                <w:rFonts w:ascii="Arial" w:hAnsi="Arial" w:cs="Arial"/>
                <w:sz w:val="20"/>
                <w:szCs w:val="20"/>
              </w:rPr>
              <w:t>NPPF 202</w:t>
            </w:r>
            <w:r w:rsidR="00A37A61">
              <w:rPr>
                <w:rFonts w:ascii="Arial" w:hAnsi="Arial" w:cs="Arial"/>
                <w:sz w:val="20"/>
                <w:szCs w:val="20"/>
              </w:rPr>
              <w:t>3</w:t>
            </w:r>
            <w:r w:rsidRPr="003C7E62">
              <w:rPr>
                <w:rFonts w:ascii="Arial" w:hAnsi="Arial" w:cs="Arial"/>
                <w:sz w:val="20"/>
                <w:szCs w:val="20"/>
              </w:rPr>
              <w:t>, Part 13: Protecting Green Belt land.</w:t>
            </w:r>
          </w:p>
          <w:p w14:paraId="34D7D6DF" w14:textId="54CB213E" w:rsidR="00AE71BE" w:rsidRPr="003C7E62" w:rsidRDefault="00AE71BE" w:rsidP="00874A98">
            <w:pPr>
              <w:pStyle w:val="ListParagraph"/>
              <w:numPr>
                <w:ilvl w:val="0"/>
                <w:numId w:val="60"/>
              </w:numPr>
              <w:spacing w:after="0" w:line="240" w:lineRule="auto"/>
              <w:rPr>
                <w:rFonts w:ascii="Arial" w:hAnsi="Arial" w:cs="Arial"/>
                <w:sz w:val="20"/>
                <w:szCs w:val="20"/>
              </w:rPr>
            </w:pPr>
            <w:r w:rsidRPr="003C7E62">
              <w:rPr>
                <w:rFonts w:ascii="Arial" w:hAnsi="Arial" w:cs="Arial"/>
                <w:sz w:val="20"/>
                <w:szCs w:val="20"/>
              </w:rPr>
              <w:t xml:space="preserve">Planning Practice Guidance: Green Belt as </w:t>
            </w:r>
            <w:r w:rsidR="00416653" w:rsidRPr="003C7E62">
              <w:rPr>
                <w:rFonts w:ascii="Arial" w:hAnsi="Arial" w:cs="Arial"/>
                <w:sz w:val="20"/>
                <w:szCs w:val="20"/>
              </w:rPr>
              <w:t>of</w:t>
            </w:r>
            <w:r w:rsidRPr="003C7E62">
              <w:rPr>
                <w:rFonts w:ascii="Arial" w:hAnsi="Arial" w:cs="Arial"/>
                <w:sz w:val="20"/>
                <w:szCs w:val="20"/>
              </w:rPr>
              <w:t xml:space="preserve"> </w:t>
            </w:r>
            <w:r w:rsidR="00F10F95" w:rsidRPr="00372D94">
              <w:rPr>
                <w:rFonts w:ascii="Arial" w:hAnsi="Arial" w:cs="Arial"/>
                <w:sz w:val="20"/>
                <w:szCs w:val="20"/>
              </w:rPr>
              <w:t>July 2019</w:t>
            </w:r>
            <w:r w:rsidRPr="00372D94">
              <w:rPr>
                <w:rFonts w:ascii="Arial" w:hAnsi="Arial" w:cs="Arial"/>
                <w:sz w:val="20"/>
                <w:szCs w:val="20"/>
              </w:rPr>
              <w:t>.</w:t>
            </w:r>
          </w:p>
        </w:tc>
      </w:tr>
    </w:tbl>
    <w:p w14:paraId="55870509" w14:textId="77777777" w:rsidR="00AE71BE" w:rsidRPr="009B02C6" w:rsidRDefault="00AE71BE" w:rsidP="009B02C6"/>
    <w:p w14:paraId="51A2E2BC" w14:textId="426BE95B" w:rsidR="00AE71BE" w:rsidRPr="0031252C" w:rsidRDefault="00007328" w:rsidP="0031252C">
      <w:pPr>
        <w:keepNext w:val="0"/>
        <w:spacing w:before="0"/>
        <w:rPr>
          <w:rFonts w:cs="Arial"/>
          <w:color w:val="auto"/>
          <w:szCs w:val="24"/>
        </w:rPr>
      </w:pPr>
      <w:r w:rsidRPr="003C7E62">
        <w:rPr>
          <w:rFonts w:eastAsia="Arial" w:cs="Arial"/>
        </w:rPr>
        <w:t xml:space="preserve">  </w:t>
      </w:r>
    </w:p>
    <w:p w14:paraId="4973FF11" w14:textId="265B38C8" w:rsidR="0031252C" w:rsidRPr="0031252C" w:rsidRDefault="0031252C" w:rsidP="00CD61AD">
      <w:pPr>
        <w:pStyle w:val="ListParagraph"/>
        <w:numPr>
          <w:ilvl w:val="1"/>
          <w:numId w:val="344"/>
        </w:numPr>
        <w:tabs>
          <w:tab w:val="clear" w:pos="525"/>
          <w:tab w:val="num" w:pos="851"/>
        </w:tabs>
        <w:spacing w:after="0" w:line="240" w:lineRule="auto"/>
        <w:ind w:left="851" w:hanging="851"/>
        <w:rPr>
          <w:rFonts w:ascii="Arial" w:hAnsi="Arial" w:cs="Arial"/>
          <w:color w:val="auto"/>
          <w:szCs w:val="24"/>
          <w:lang w:eastAsia="en-GB"/>
        </w:rPr>
      </w:pPr>
      <w:r w:rsidRPr="0031252C">
        <w:rPr>
          <w:rFonts w:ascii="Arial" w:hAnsi="Arial" w:cs="Arial"/>
          <w:color w:val="auto"/>
          <w:szCs w:val="24"/>
          <w:lang w:eastAsia="en-GB"/>
        </w:rPr>
        <w:t xml:space="preserve">The main purpose the Nottingham – Derby Green Belt is to contain the outward growth of Nottingham City and Derby City and to prevent the coalescence of these and other settlements within it by keeping land permanently open; the essential characteristics of Green Belts are their openness and their permanence. This original purpose remains important today, and at a local level maintenance of the Green Belt ensures that Hucknall and Nottingham in particular, which lie very close together, remain physically separate.  </w:t>
      </w:r>
    </w:p>
    <w:p w14:paraId="084168E4" w14:textId="77777777" w:rsidR="00AE71BE" w:rsidRPr="003C7E62" w:rsidRDefault="00AE71BE" w:rsidP="005E17D1">
      <w:pPr>
        <w:keepNext w:val="0"/>
        <w:spacing w:before="0"/>
        <w:ind w:left="851"/>
        <w:rPr>
          <w:rFonts w:cs="Arial"/>
          <w:color w:val="auto"/>
          <w:szCs w:val="24"/>
        </w:rPr>
      </w:pPr>
    </w:p>
    <w:p w14:paraId="33FC73C6" w14:textId="1EC1683D" w:rsidR="00AE71BE" w:rsidRPr="003C7E62" w:rsidRDefault="00007328" w:rsidP="00CD61AD">
      <w:pPr>
        <w:keepNext w:val="0"/>
        <w:numPr>
          <w:ilvl w:val="1"/>
          <w:numId w:val="344"/>
        </w:numPr>
        <w:tabs>
          <w:tab w:val="clear" w:pos="525"/>
          <w:tab w:val="num" w:pos="851"/>
        </w:tabs>
        <w:spacing w:before="0"/>
        <w:ind w:left="851" w:hanging="851"/>
        <w:rPr>
          <w:rFonts w:cs="Arial"/>
          <w:color w:val="auto"/>
          <w:szCs w:val="24"/>
        </w:rPr>
      </w:pPr>
      <w:r w:rsidRPr="00715236">
        <w:rPr>
          <w:rFonts w:eastAsia="Arial" w:cs="Arial"/>
          <w:strike/>
        </w:rPr>
        <w:t>When considering proposals for development within the Green Belt, regard will be given to the following five purposes</w:t>
      </w:r>
      <w:r w:rsidR="00715236">
        <w:rPr>
          <w:rFonts w:eastAsia="Arial" w:cs="Arial"/>
        </w:rPr>
        <w:t xml:space="preserve"> </w:t>
      </w:r>
      <w:r w:rsidR="00715236" w:rsidRPr="00DD2B4C">
        <w:rPr>
          <w:rFonts w:eastAsia="Arial" w:cs="Arial"/>
          <w:color w:val="0070C0"/>
        </w:rPr>
        <w:t>Green Belt serves the following purposes</w:t>
      </w:r>
      <w:r w:rsidRPr="00DD2B4C">
        <w:rPr>
          <w:rFonts w:eastAsia="Arial" w:cs="Arial"/>
        </w:rPr>
        <w:t>:</w:t>
      </w:r>
      <w:r w:rsidRPr="003C7E62">
        <w:rPr>
          <w:rFonts w:eastAsia="Arial" w:cs="Arial"/>
        </w:rPr>
        <w:t xml:space="preserve"> </w:t>
      </w:r>
    </w:p>
    <w:p w14:paraId="4444E39B" w14:textId="21DC9172" w:rsidR="00AE71BE" w:rsidRPr="003C7E62" w:rsidRDefault="00AE71BE" w:rsidP="0031252C">
      <w:pPr>
        <w:keepNext w:val="0"/>
        <w:spacing w:before="0"/>
        <w:ind w:left="851"/>
        <w:rPr>
          <w:rFonts w:eastAsia="Arial" w:cs="Arial"/>
        </w:rPr>
      </w:pPr>
    </w:p>
    <w:p w14:paraId="598DF460" w14:textId="77777777" w:rsidR="00AE71BE" w:rsidRPr="003C7E62" w:rsidRDefault="00AE71BE" w:rsidP="005E17D1">
      <w:pPr>
        <w:autoSpaceDE w:val="0"/>
        <w:autoSpaceDN w:val="0"/>
        <w:adjustRightInd w:val="0"/>
        <w:spacing w:before="0"/>
        <w:ind w:left="731" w:firstLine="120"/>
        <w:rPr>
          <w:rFonts w:eastAsia="Arial" w:cs="Arial"/>
        </w:rPr>
      </w:pPr>
      <w:r w:rsidRPr="003C7E62">
        <w:rPr>
          <w:rFonts w:eastAsia="Arial" w:cs="Arial"/>
        </w:rPr>
        <w:t>a)  Check the unrestricted sprawl of large built-up areas;</w:t>
      </w:r>
    </w:p>
    <w:p w14:paraId="35E4DDB8" w14:textId="77777777" w:rsidR="00AE71BE" w:rsidRPr="003C7E62" w:rsidRDefault="00AE71BE" w:rsidP="005E17D1">
      <w:pPr>
        <w:autoSpaceDE w:val="0"/>
        <w:autoSpaceDN w:val="0"/>
        <w:adjustRightInd w:val="0"/>
        <w:spacing w:before="0"/>
        <w:ind w:left="611" w:firstLine="240"/>
        <w:rPr>
          <w:rFonts w:eastAsia="Arial" w:cs="Arial"/>
        </w:rPr>
      </w:pPr>
      <w:r w:rsidRPr="003C7E62">
        <w:rPr>
          <w:rFonts w:eastAsia="Arial" w:cs="Arial"/>
        </w:rPr>
        <w:t>b)  Prevent neighbouring towns from merging into one another;</w:t>
      </w:r>
    </w:p>
    <w:p w14:paraId="281AA354" w14:textId="77777777" w:rsidR="00AE71BE" w:rsidRPr="003C7E62" w:rsidRDefault="00AE71BE" w:rsidP="005E17D1">
      <w:pPr>
        <w:autoSpaceDE w:val="0"/>
        <w:autoSpaceDN w:val="0"/>
        <w:adjustRightInd w:val="0"/>
        <w:spacing w:before="0"/>
        <w:ind w:left="491" w:firstLine="360"/>
        <w:rPr>
          <w:rFonts w:eastAsia="Arial" w:cs="Arial"/>
        </w:rPr>
      </w:pPr>
      <w:r w:rsidRPr="003C7E62">
        <w:rPr>
          <w:rFonts w:eastAsia="Arial" w:cs="Arial"/>
        </w:rPr>
        <w:t>c)  Assist in safeguarding the countryside from encroachment;</w:t>
      </w:r>
    </w:p>
    <w:p w14:paraId="20F88BEF" w14:textId="77777777" w:rsidR="00AE71BE" w:rsidRPr="003C7E62" w:rsidRDefault="00AE71BE" w:rsidP="005E17D1">
      <w:pPr>
        <w:autoSpaceDE w:val="0"/>
        <w:autoSpaceDN w:val="0"/>
        <w:adjustRightInd w:val="0"/>
        <w:spacing w:before="0"/>
        <w:ind w:left="371" w:firstLine="480"/>
        <w:rPr>
          <w:rFonts w:eastAsia="Arial" w:cs="Arial"/>
        </w:rPr>
      </w:pPr>
      <w:r w:rsidRPr="003C7E62">
        <w:rPr>
          <w:rFonts w:eastAsia="Arial" w:cs="Arial"/>
        </w:rPr>
        <w:t>d)  Preserve the setting and character of historic towns; and</w:t>
      </w:r>
    </w:p>
    <w:p w14:paraId="7A1D0F0F" w14:textId="77777777" w:rsidR="00AE71BE" w:rsidRPr="003C7E62" w:rsidRDefault="00AE71BE" w:rsidP="00716A70">
      <w:pPr>
        <w:autoSpaceDE w:val="0"/>
        <w:autoSpaceDN w:val="0"/>
        <w:adjustRightInd w:val="0"/>
        <w:spacing w:before="0"/>
        <w:ind w:left="1276" w:hanging="425"/>
        <w:rPr>
          <w:rFonts w:eastAsia="Arial" w:cs="Arial"/>
        </w:rPr>
      </w:pPr>
      <w:r w:rsidRPr="003C7E62">
        <w:rPr>
          <w:rFonts w:eastAsia="Arial" w:cs="Arial"/>
        </w:rPr>
        <w:t>e)  Assist in urban regeneration, by encouraging the recycling of derelict and other urban land.</w:t>
      </w:r>
    </w:p>
    <w:p w14:paraId="25C4779D" w14:textId="77777777" w:rsidR="00AE71BE" w:rsidRPr="003C7E62" w:rsidRDefault="00AE71BE" w:rsidP="005E17D1">
      <w:pPr>
        <w:keepNext w:val="0"/>
        <w:spacing w:before="0"/>
        <w:ind w:left="851"/>
        <w:rPr>
          <w:rFonts w:cs="Arial"/>
          <w:color w:val="auto"/>
          <w:szCs w:val="24"/>
        </w:rPr>
      </w:pPr>
    </w:p>
    <w:p w14:paraId="2A56387C" w14:textId="48C1B295" w:rsidR="00AE71BE" w:rsidRPr="003C7E62" w:rsidRDefault="00007328" w:rsidP="00CD61AD">
      <w:pPr>
        <w:keepNext w:val="0"/>
        <w:numPr>
          <w:ilvl w:val="1"/>
          <w:numId w:val="344"/>
        </w:numPr>
        <w:tabs>
          <w:tab w:val="clear" w:pos="525"/>
          <w:tab w:val="num" w:pos="851"/>
        </w:tabs>
        <w:spacing w:before="0"/>
        <w:ind w:left="851" w:hanging="851"/>
        <w:rPr>
          <w:rFonts w:cs="Arial"/>
          <w:color w:val="auto"/>
          <w:szCs w:val="24"/>
        </w:rPr>
      </w:pPr>
      <w:r w:rsidRPr="003C7E62">
        <w:rPr>
          <w:rFonts w:eastAsia="Arial" w:cs="Arial"/>
        </w:rPr>
        <w:t xml:space="preserve">Due to the nature and location of the built-up areas in Ashfield, the Council consider that the five Green Belt purposes should relate to all settlements (rather than only to ‘large built-up areas’ and ‘towns/historic towns’), as listed in the ‘Accessible Settlements Study for Greater Nottingham February 2010’. </w:t>
      </w:r>
      <w:r w:rsidRPr="003C7E62">
        <w:rPr>
          <w:rFonts w:eastAsia="Arial" w:cs="Arial"/>
        </w:rPr>
        <w:lastRenderedPageBreak/>
        <w:t xml:space="preserve">Settlements will be considered </w:t>
      </w:r>
      <w:proofErr w:type="gramStart"/>
      <w:r w:rsidRPr="003C7E62">
        <w:rPr>
          <w:rFonts w:eastAsia="Arial" w:cs="Arial"/>
        </w:rPr>
        <w:t>on the basis of</w:t>
      </w:r>
      <w:proofErr w:type="gramEnd"/>
      <w:r w:rsidRPr="003C7E62">
        <w:rPr>
          <w:rFonts w:eastAsia="Arial" w:cs="Arial"/>
        </w:rPr>
        <w:t xml:space="preserve"> their built form and not </w:t>
      </w:r>
      <w:proofErr w:type="gramStart"/>
      <w:r w:rsidRPr="003C7E62">
        <w:rPr>
          <w:rFonts w:eastAsia="Arial" w:cs="Arial"/>
        </w:rPr>
        <w:t>on the basis of</w:t>
      </w:r>
      <w:proofErr w:type="gramEnd"/>
      <w:r w:rsidRPr="003C7E62">
        <w:rPr>
          <w:rFonts w:eastAsia="Arial" w:cs="Arial"/>
        </w:rPr>
        <w:t xml:space="preserve"> town or parish boundaries.  </w:t>
      </w:r>
    </w:p>
    <w:p w14:paraId="49ECC72F" w14:textId="77777777" w:rsidR="00AE71BE" w:rsidRPr="003C7E62" w:rsidRDefault="00AE71BE" w:rsidP="005E17D1">
      <w:pPr>
        <w:keepNext w:val="0"/>
        <w:spacing w:before="0"/>
        <w:ind w:left="851"/>
        <w:rPr>
          <w:rFonts w:cs="Arial"/>
          <w:color w:val="auto"/>
          <w:szCs w:val="24"/>
        </w:rPr>
      </w:pPr>
    </w:p>
    <w:p w14:paraId="4E483F6F" w14:textId="568FF167" w:rsidR="00AE71BE" w:rsidRPr="003C7E62" w:rsidRDefault="00007328" w:rsidP="00CD61AD">
      <w:pPr>
        <w:keepNext w:val="0"/>
        <w:numPr>
          <w:ilvl w:val="1"/>
          <w:numId w:val="344"/>
        </w:numPr>
        <w:tabs>
          <w:tab w:val="clear" w:pos="525"/>
          <w:tab w:val="num" w:pos="851"/>
        </w:tabs>
        <w:spacing w:before="0"/>
        <w:ind w:left="851" w:hanging="851"/>
        <w:rPr>
          <w:rFonts w:cs="Arial"/>
          <w:color w:val="auto"/>
          <w:szCs w:val="24"/>
        </w:rPr>
      </w:pPr>
      <w:r w:rsidRPr="003C7E62">
        <w:rPr>
          <w:rFonts w:cs="Arial"/>
          <w:szCs w:val="24"/>
        </w:rPr>
        <w:t xml:space="preserve">The </w:t>
      </w:r>
      <w:r w:rsidR="005D6672">
        <w:rPr>
          <w:rFonts w:cs="Arial"/>
          <w:szCs w:val="24"/>
        </w:rPr>
        <w:t>N</w:t>
      </w:r>
      <w:r w:rsidRPr="003C7E62">
        <w:rPr>
          <w:rFonts w:cs="Arial"/>
          <w:szCs w:val="24"/>
        </w:rPr>
        <w:t>PPF highlights that once established Green Belt boundaries should be altered only in exceptional circumstances, when fully evidenced and justified, and only when a Local Plan is being prepared or updated.</w:t>
      </w:r>
    </w:p>
    <w:p w14:paraId="22B88814" w14:textId="77777777" w:rsidR="00AE71BE" w:rsidRPr="003C7E62" w:rsidRDefault="00AE71BE" w:rsidP="005E17D1">
      <w:pPr>
        <w:keepNext w:val="0"/>
        <w:spacing w:before="0"/>
        <w:ind w:left="851"/>
        <w:rPr>
          <w:rFonts w:cs="Arial"/>
          <w:color w:val="auto"/>
          <w:szCs w:val="24"/>
        </w:rPr>
      </w:pPr>
    </w:p>
    <w:p w14:paraId="4C843E00" w14:textId="66BA9EA9" w:rsidR="00AE71BE" w:rsidRPr="005E1157" w:rsidRDefault="00007328" w:rsidP="00CD61AD">
      <w:pPr>
        <w:keepNext w:val="0"/>
        <w:numPr>
          <w:ilvl w:val="1"/>
          <w:numId w:val="344"/>
        </w:numPr>
        <w:tabs>
          <w:tab w:val="clear" w:pos="525"/>
          <w:tab w:val="num" w:pos="851"/>
        </w:tabs>
        <w:spacing w:before="0"/>
        <w:ind w:left="851" w:hanging="851"/>
        <w:rPr>
          <w:rFonts w:eastAsia="Calibri" w:cs="Arial"/>
          <w:bCs/>
          <w:color w:val="auto"/>
          <w:szCs w:val="24"/>
          <w:lang w:eastAsia="en-US"/>
        </w:rPr>
      </w:pPr>
      <w:r w:rsidRPr="00507499">
        <w:rPr>
          <w:rFonts w:eastAsia="Arial" w:cs="Arial"/>
        </w:rPr>
        <w:t xml:space="preserve">Ashfield’s Green Belt has been subject to </w:t>
      </w:r>
      <w:r w:rsidR="00472971" w:rsidRPr="00507499">
        <w:rPr>
          <w:rFonts w:eastAsia="Arial" w:cs="Arial"/>
        </w:rPr>
        <w:t>t</w:t>
      </w:r>
      <w:r w:rsidR="00827521" w:rsidRPr="00507499">
        <w:rPr>
          <w:rFonts w:eastAsia="Arial" w:cs="Arial"/>
        </w:rPr>
        <w:t xml:space="preserve">hree </w:t>
      </w:r>
      <w:r w:rsidR="00472971" w:rsidRPr="0024147A">
        <w:rPr>
          <w:rFonts w:eastAsia="Arial" w:cs="Arial"/>
          <w:strike/>
        </w:rPr>
        <w:t>sperate</w:t>
      </w:r>
      <w:r w:rsidR="00472971" w:rsidRPr="00507499">
        <w:rPr>
          <w:rFonts w:eastAsia="Arial" w:cs="Arial"/>
        </w:rPr>
        <w:t xml:space="preserve"> </w:t>
      </w:r>
      <w:r w:rsidR="0024147A" w:rsidRPr="00DD2B4C">
        <w:rPr>
          <w:rFonts w:eastAsia="Arial" w:cs="Arial"/>
          <w:color w:val="0070C0"/>
        </w:rPr>
        <w:t>separate</w:t>
      </w:r>
      <w:r w:rsidR="0024147A" w:rsidRPr="00DD2B4C">
        <w:rPr>
          <w:rFonts w:eastAsia="Arial" w:cs="Arial"/>
          <w:color w:val="00B0F0"/>
        </w:rPr>
        <w:t xml:space="preserve"> </w:t>
      </w:r>
      <w:r w:rsidRPr="00DD2B4C">
        <w:rPr>
          <w:rFonts w:eastAsia="Arial" w:cs="Arial"/>
        </w:rPr>
        <w:t>r</w:t>
      </w:r>
      <w:r w:rsidRPr="00507499">
        <w:rPr>
          <w:rFonts w:eastAsia="Arial" w:cs="Arial"/>
        </w:rPr>
        <w:t xml:space="preserve">eviews as part of the local plan process.  </w:t>
      </w:r>
      <w:proofErr w:type="gramStart"/>
      <w:r w:rsidRPr="00507499">
        <w:rPr>
          <w:rFonts w:eastAsia="Arial" w:cs="Arial"/>
          <w:szCs w:val="24"/>
        </w:rPr>
        <w:t>A number of</w:t>
      </w:r>
      <w:proofErr w:type="gramEnd"/>
      <w:r w:rsidRPr="00507499">
        <w:rPr>
          <w:rFonts w:eastAsia="Arial" w:cs="Arial"/>
          <w:szCs w:val="24"/>
        </w:rPr>
        <w:t xml:space="preserve"> changes have been </w:t>
      </w:r>
      <w:r w:rsidR="009355A4" w:rsidRPr="00507499">
        <w:rPr>
          <w:rFonts w:eastAsia="Arial" w:cs="Arial"/>
          <w:szCs w:val="24"/>
        </w:rPr>
        <w:t>proposed</w:t>
      </w:r>
      <w:r w:rsidRPr="00507499">
        <w:rPr>
          <w:rFonts w:eastAsia="Arial" w:cs="Arial"/>
          <w:szCs w:val="24"/>
        </w:rPr>
        <w:t xml:space="preserve"> to the Ashfield Green Belt boundary to accommodate the spatial strategy.  These changes </w:t>
      </w:r>
      <w:r w:rsidR="002E0CB4" w:rsidRPr="00507499">
        <w:rPr>
          <w:rFonts w:eastAsia="Arial" w:cs="Arial"/>
          <w:szCs w:val="24"/>
        </w:rPr>
        <w:t>are discussed further</w:t>
      </w:r>
      <w:r w:rsidRPr="00507499">
        <w:rPr>
          <w:rFonts w:eastAsia="Arial" w:cs="Arial"/>
          <w:szCs w:val="24"/>
        </w:rPr>
        <w:t xml:space="preserve"> in </w:t>
      </w:r>
      <w:r w:rsidR="005E1157" w:rsidRPr="005E1157">
        <w:rPr>
          <w:rFonts w:eastAsia="Calibri" w:cs="Arial"/>
          <w:color w:val="auto"/>
          <w:szCs w:val="24"/>
          <w:lang w:eastAsia="en-US"/>
        </w:rPr>
        <w:t>Background Paper No 1: Spatial Strategy and Site Selection 2023 - Ashfield District Council</w:t>
      </w:r>
      <w:r w:rsidR="00827521" w:rsidRPr="005E1157">
        <w:rPr>
          <w:rFonts w:eastAsia="Calibri" w:cs="Arial"/>
          <w:color w:val="auto"/>
          <w:szCs w:val="24"/>
          <w:lang w:eastAsia="en-US"/>
        </w:rPr>
        <w:t xml:space="preserve"> </w:t>
      </w:r>
      <w:r w:rsidRPr="005E1157">
        <w:rPr>
          <w:rFonts w:eastAsia="Arial" w:cs="Arial"/>
          <w:szCs w:val="24"/>
        </w:rPr>
        <w:t xml:space="preserve">which sets out the reasoned justification for why this has been necessary.   </w:t>
      </w:r>
    </w:p>
    <w:p w14:paraId="512C6FCF" w14:textId="77777777" w:rsidR="00AE71BE" w:rsidRPr="003C7E62" w:rsidRDefault="00AE71BE" w:rsidP="005E17D1">
      <w:pPr>
        <w:keepNext w:val="0"/>
        <w:spacing w:before="0"/>
        <w:ind w:left="851"/>
        <w:rPr>
          <w:rFonts w:cs="Arial"/>
          <w:color w:val="auto"/>
          <w:szCs w:val="24"/>
        </w:rPr>
      </w:pPr>
    </w:p>
    <w:p w14:paraId="51C25346" w14:textId="27018191" w:rsidR="00AE71BE" w:rsidRPr="003C7E62" w:rsidRDefault="00007328" w:rsidP="00CD61AD">
      <w:pPr>
        <w:keepNext w:val="0"/>
        <w:numPr>
          <w:ilvl w:val="1"/>
          <w:numId w:val="344"/>
        </w:numPr>
        <w:tabs>
          <w:tab w:val="clear" w:pos="525"/>
          <w:tab w:val="num" w:pos="851"/>
        </w:tabs>
        <w:spacing w:before="0"/>
        <w:ind w:left="851" w:hanging="851"/>
        <w:rPr>
          <w:rFonts w:cs="Arial"/>
          <w:color w:val="auto"/>
          <w:szCs w:val="24"/>
        </w:rPr>
      </w:pPr>
      <w:r w:rsidRPr="003C7E62">
        <w:rPr>
          <w:rFonts w:eastAsia="Arial" w:cs="Arial"/>
        </w:rPr>
        <w:t>Notwithstanding these changes, the majority of the Green Belt in the District continues to fulfil the purposes set out in the NPPF. The remaining Green Belt will therefore need to be protected for the long term, and opportunities which enhance the Green Belt, particularly in terms of public accessibility or enhancement to the landscape, visual amenity and biodiversity will be supported.</w:t>
      </w:r>
      <w:bookmarkStart w:id="53" w:name="_Hlk76640399"/>
      <w:bookmarkEnd w:id="51"/>
    </w:p>
    <w:p w14:paraId="7FD4690B" w14:textId="77777777" w:rsidR="00AE71BE" w:rsidRPr="003C7E62" w:rsidRDefault="00AE71BE" w:rsidP="005E17D1">
      <w:pPr>
        <w:keepNext w:val="0"/>
        <w:spacing w:before="0"/>
        <w:ind w:left="851"/>
        <w:rPr>
          <w:rFonts w:cs="Arial"/>
          <w:color w:val="auto"/>
          <w:szCs w:val="24"/>
        </w:rPr>
      </w:pPr>
    </w:p>
    <w:p w14:paraId="146BFCF2" w14:textId="77777777" w:rsidR="00CD61AD" w:rsidRDefault="00CD61AD" w:rsidP="001B14F5">
      <w:pPr>
        <w:keepNext w:val="0"/>
        <w:spacing w:before="0"/>
        <w:ind w:left="851"/>
        <w:rPr>
          <w:rFonts w:cs="Arial"/>
          <w:color w:val="auto"/>
          <w:szCs w:val="24"/>
        </w:rPr>
      </w:pPr>
      <w:bookmarkStart w:id="54" w:name="_Hlk77166763"/>
      <w:bookmarkEnd w:id="53"/>
    </w:p>
    <w:p w14:paraId="0650C845" w14:textId="77777777" w:rsidR="00B65753" w:rsidRPr="00254EE5" w:rsidRDefault="00B65753" w:rsidP="00254EE5">
      <w:bookmarkStart w:id="55" w:name="_Toc145511557"/>
    </w:p>
    <w:p w14:paraId="4BBF366F" w14:textId="2C20EDD5" w:rsidR="00AD3C00" w:rsidRPr="009D5737" w:rsidRDefault="00AD3C00" w:rsidP="009D5737">
      <w:pPr>
        <w:pStyle w:val="Heading2"/>
        <w:jc w:val="left"/>
        <w:rPr>
          <w:sz w:val="28"/>
          <w:szCs w:val="28"/>
        </w:rPr>
      </w:pPr>
      <w:r w:rsidRPr="009D5737">
        <w:rPr>
          <w:sz w:val="28"/>
          <w:szCs w:val="28"/>
        </w:rPr>
        <w:t>S</w:t>
      </w:r>
      <w:r w:rsidR="0038361D" w:rsidRPr="009D5737">
        <w:rPr>
          <w:sz w:val="28"/>
          <w:szCs w:val="28"/>
        </w:rPr>
        <w:t>trategic Policy S</w:t>
      </w:r>
      <w:r w:rsidRPr="009D5737">
        <w:rPr>
          <w:sz w:val="28"/>
          <w:szCs w:val="28"/>
        </w:rPr>
        <w:t xml:space="preserve">5: </w:t>
      </w:r>
      <w:r w:rsidR="00162A7B" w:rsidRPr="009D5737">
        <w:rPr>
          <w:sz w:val="28"/>
          <w:szCs w:val="28"/>
        </w:rPr>
        <w:t xml:space="preserve">High Quality Buildings and Places through </w:t>
      </w:r>
      <w:r w:rsidRPr="009D5737">
        <w:rPr>
          <w:sz w:val="28"/>
          <w:szCs w:val="28"/>
        </w:rPr>
        <w:t>Place Making and Design</w:t>
      </w:r>
      <w:bookmarkEnd w:id="55"/>
    </w:p>
    <w:p w14:paraId="01980D0E" w14:textId="77777777" w:rsidR="00AD3C00" w:rsidRPr="009D5737" w:rsidRDefault="00AD3C00" w:rsidP="009D5737">
      <w:pPr>
        <w:keepNext w:val="0"/>
        <w:spacing w:before="0"/>
        <w:rPr>
          <w:rFonts w:cs="Arial"/>
          <w:color w:val="auto"/>
          <w:sz w:val="28"/>
          <w:szCs w:val="28"/>
          <w:lang w:eastAsia="en-US"/>
        </w:rPr>
      </w:pPr>
    </w:p>
    <w:tbl>
      <w:tblPr>
        <w:tblStyle w:val="ReportTable1"/>
        <w:tblW w:w="9634" w:type="dxa"/>
        <w:tblLook w:val="04A0" w:firstRow="1" w:lastRow="0" w:firstColumn="1" w:lastColumn="0" w:noHBand="0" w:noVBand="1"/>
      </w:tblPr>
      <w:tblGrid>
        <w:gridCol w:w="1838"/>
        <w:gridCol w:w="779"/>
        <w:gridCol w:w="7017"/>
      </w:tblGrid>
      <w:tr w:rsidR="00AD3C00" w:rsidRPr="00AD3C00" w14:paraId="56C5B6FC" w14:textId="77777777" w:rsidTr="009D4C91">
        <w:tc>
          <w:tcPr>
            <w:tcW w:w="9634" w:type="dxa"/>
            <w:gridSpan w:val="3"/>
          </w:tcPr>
          <w:p w14:paraId="392E0216" w14:textId="77777777" w:rsidR="00F260E8" w:rsidRDefault="00F260E8" w:rsidP="00F260E8">
            <w:pPr>
              <w:keepNext w:val="0"/>
              <w:tabs>
                <w:tab w:val="left" w:pos="680"/>
              </w:tabs>
              <w:spacing w:before="0"/>
              <w:rPr>
                <w:rFonts w:eastAsia="Arial"/>
                <w:b/>
                <w:color w:val="auto"/>
              </w:rPr>
            </w:pPr>
            <w:bookmarkStart w:id="56" w:name="_Hlk78364801"/>
          </w:p>
          <w:p w14:paraId="5A5311D8" w14:textId="77777777" w:rsidR="00F260E8" w:rsidRDefault="00372D94" w:rsidP="00CD61AD">
            <w:pPr>
              <w:keepNext w:val="0"/>
              <w:tabs>
                <w:tab w:val="left" w:pos="680"/>
              </w:tabs>
              <w:spacing w:before="0"/>
              <w:rPr>
                <w:rFonts w:eastAsia="Arial"/>
                <w:b/>
                <w:color w:val="auto"/>
              </w:rPr>
            </w:pPr>
            <w:r>
              <w:rPr>
                <w:rFonts w:eastAsia="Arial"/>
                <w:b/>
                <w:color w:val="auto"/>
              </w:rPr>
              <w:t xml:space="preserve">Strategic </w:t>
            </w:r>
            <w:r w:rsidR="00AD3C00" w:rsidRPr="00AD3C00">
              <w:rPr>
                <w:rFonts w:eastAsia="Arial"/>
                <w:b/>
                <w:color w:val="auto"/>
              </w:rPr>
              <w:t xml:space="preserve">Policy S5: </w:t>
            </w:r>
            <w:r w:rsidR="00162A7B" w:rsidRPr="00162A7B">
              <w:rPr>
                <w:rFonts w:eastAsia="Arial"/>
                <w:b/>
                <w:color w:val="auto"/>
              </w:rPr>
              <w:t xml:space="preserve">High Quality Buildings and Places through </w:t>
            </w:r>
            <w:r w:rsidR="00AD3C00" w:rsidRPr="00AD3C00">
              <w:rPr>
                <w:rFonts w:eastAsia="Arial"/>
                <w:b/>
                <w:color w:val="auto"/>
              </w:rPr>
              <w:t>Place Making and Design</w:t>
            </w:r>
          </w:p>
          <w:p w14:paraId="41398590" w14:textId="0DD3881D" w:rsidR="00CD61AD" w:rsidRPr="00F260E8" w:rsidRDefault="00CD61AD" w:rsidP="00CD61AD">
            <w:pPr>
              <w:keepNext w:val="0"/>
              <w:tabs>
                <w:tab w:val="left" w:pos="680"/>
              </w:tabs>
              <w:spacing w:before="0"/>
              <w:rPr>
                <w:rFonts w:eastAsia="Arial"/>
                <w:b/>
                <w:color w:val="auto"/>
              </w:rPr>
            </w:pPr>
          </w:p>
        </w:tc>
      </w:tr>
      <w:tr w:rsidR="00AD3C00" w:rsidRPr="00AD3C00" w14:paraId="671C929B" w14:textId="77777777" w:rsidTr="009D4C91">
        <w:tc>
          <w:tcPr>
            <w:tcW w:w="2617" w:type="dxa"/>
            <w:gridSpan w:val="2"/>
          </w:tcPr>
          <w:p w14:paraId="7A09C666" w14:textId="77777777" w:rsidR="00AD3C00" w:rsidRPr="005E17D1" w:rsidRDefault="00AD3C00" w:rsidP="005E17D1">
            <w:pPr>
              <w:keepNext w:val="0"/>
              <w:tabs>
                <w:tab w:val="left" w:pos="680"/>
              </w:tabs>
              <w:spacing w:before="0" w:after="170"/>
              <w:rPr>
                <w:rFonts w:eastAsia="Arial"/>
                <w:bCs/>
                <w:color w:val="auto"/>
              </w:rPr>
            </w:pPr>
            <w:r w:rsidRPr="005E17D1">
              <w:rPr>
                <w:rFonts w:eastAsia="Arial"/>
                <w:bCs/>
                <w:color w:val="auto"/>
              </w:rPr>
              <w:t>Strategic Objectives</w:t>
            </w:r>
          </w:p>
        </w:tc>
        <w:tc>
          <w:tcPr>
            <w:tcW w:w="7017" w:type="dxa"/>
          </w:tcPr>
          <w:p w14:paraId="640D23A0" w14:textId="77777777" w:rsidR="00AD3C00" w:rsidRPr="005E17D1" w:rsidRDefault="00AD3C00" w:rsidP="005E17D1">
            <w:pPr>
              <w:keepNext w:val="0"/>
              <w:tabs>
                <w:tab w:val="left" w:pos="680"/>
              </w:tabs>
              <w:spacing w:before="40" w:after="40"/>
              <w:rPr>
                <w:rFonts w:eastAsia="Arial"/>
                <w:bCs/>
                <w:color w:val="auto"/>
              </w:rPr>
            </w:pPr>
            <w:r w:rsidRPr="005E17D1">
              <w:rPr>
                <w:rFonts w:eastAsia="Arial"/>
                <w:bCs/>
                <w:color w:val="auto"/>
              </w:rPr>
              <w:t>SO1, SO5, SO6, SO11, SO12.</w:t>
            </w:r>
          </w:p>
        </w:tc>
      </w:tr>
      <w:tr w:rsidR="00AD3C00" w:rsidRPr="00AD3C00" w14:paraId="4CDA54E4" w14:textId="77777777" w:rsidTr="009D4C91">
        <w:tc>
          <w:tcPr>
            <w:tcW w:w="9634" w:type="dxa"/>
            <w:gridSpan w:val="3"/>
            <w:shd w:val="clear" w:color="auto" w:fill="D9D9D9"/>
          </w:tcPr>
          <w:p w14:paraId="4E312A36" w14:textId="77777777" w:rsidR="00AD3C00" w:rsidRPr="00372D94" w:rsidRDefault="00AD3C00" w:rsidP="00D46943">
            <w:pPr>
              <w:keepNext w:val="0"/>
              <w:tabs>
                <w:tab w:val="left" w:pos="680"/>
                <w:tab w:val="left" w:pos="1133"/>
                <w:tab w:val="left" w:pos="2267"/>
              </w:tabs>
              <w:spacing w:before="0"/>
              <w:ind w:right="284"/>
              <w:rPr>
                <w:rFonts w:eastAsia="Calibri" w:cs="Arial"/>
                <w:szCs w:val="24"/>
              </w:rPr>
            </w:pPr>
          </w:p>
          <w:p w14:paraId="4F2D34A8" w14:textId="77777777" w:rsidR="00AD3C00" w:rsidRPr="00372D94" w:rsidRDefault="00AD3C00" w:rsidP="00874A98">
            <w:pPr>
              <w:keepNext w:val="0"/>
              <w:numPr>
                <w:ilvl w:val="0"/>
                <w:numId w:val="155"/>
              </w:numPr>
              <w:tabs>
                <w:tab w:val="left" w:pos="680"/>
                <w:tab w:val="left" w:pos="1133"/>
                <w:tab w:val="left" w:pos="2267"/>
              </w:tabs>
              <w:spacing w:before="0"/>
              <w:ind w:right="284"/>
              <w:contextualSpacing/>
              <w:rPr>
                <w:rFonts w:eastAsia="Arial" w:cs="Arial"/>
                <w:szCs w:val="24"/>
              </w:rPr>
            </w:pPr>
            <w:r w:rsidRPr="00372D94">
              <w:rPr>
                <w:rFonts w:eastAsia="Calibri" w:cs="Arial"/>
                <w:szCs w:val="24"/>
              </w:rPr>
              <w:t xml:space="preserve">New development must create high quality building and places. </w:t>
            </w:r>
          </w:p>
          <w:p w14:paraId="1449DF1C" w14:textId="77777777" w:rsidR="00AD3C00" w:rsidRPr="00372D94" w:rsidRDefault="00AD3C00" w:rsidP="00D46943">
            <w:pPr>
              <w:keepNext w:val="0"/>
              <w:tabs>
                <w:tab w:val="left" w:pos="680"/>
                <w:tab w:val="left" w:pos="1133"/>
                <w:tab w:val="left" w:pos="2267"/>
              </w:tabs>
              <w:spacing w:before="0"/>
              <w:ind w:left="360" w:right="284"/>
              <w:contextualSpacing/>
              <w:rPr>
                <w:rFonts w:eastAsia="Arial" w:cs="Arial"/>
                <w:szCs w:val="24"/>
              </w:rPr>
            </w:pPr>
          </w:p>
          <w:p w14:paraId="3868EACF" w14:textId="77777777" w:rsidR="00D46943" w:rsidRPr="00372D94" w:rsidRDefault="00AD3C00" w:rsidP="00874A98">
            <w:pPr>
              <w:keepNext w:val="0"/>
              <w:numPr>
                <w:ilvl w:val="0"/>
                <w:numId w:val="155"/>
              </w:numPr>
              <w:tabs>
                <w:tab w:val="left" w:pos="680"/>
                <w:tab w:val="left" w:pos="1133"/>
                <w:tab w:val="left" w:pos="2267"/>
              </w:tabs>
              <w:spacing w:before="0"/>
              <w:ind w:right="284"/>
              <w:contextualSpacing/>
              <w:rPr>
                <w:rFonts w:eastAsia="Arial" w:cs="Arial"/>
                <w:szCs w:val="24"/>
              </w:rPr>
            </w:pPr>
            <w:r w:rsidRPr="00372D94">
              <w:rPr>
                <w:rFonts w:eastAsia="Calibri" w:cs="Arial"/>
                <w:szCs w:val="24"/>
              </w:rPr>
              <w:t>To ensure good place making the Council will require:</w:t>
            </w:r>
          </w:p>
          <w:p w14:paraId="7100F2FC" w14:textId="2D97ECEC" w:rsidR="00AD3C00" w:rsidRPr="00372D94" w:rsidRDefault="00AD3C00" w:rsidP="00D46943">
            <w:pPr>
              <w:keepNext w:val="0"/>
              <w:tabs>
                <w:tab w:val="left" w:pos="680"/>
                <w:tab w:val="left" w:pos="1133"/>
                <w:tab w:val="left" w:pos="2267"/>
              </w:tabs>
              <w:spacing w:before="0"/>
              <w:ind w:left="360" w:right="284"/>
              <w:contextualSpacing/>
              <w:rPr>
                <w:rFonts w:eastAsia="Arial" w:cs="Arial"/>
                <w:szCs w:val="24"/>
              </w:rPr>
            </w:pPr>
            <w:r w:rsidRPr="00372D94">
              <w:rPr>
                <w:rFonts w:eastAsia="Calibri" w:cs="Arial"/>
                <w:szCs w:val="24"/>
              </w:rPr>
              <w:t xml:space="preserve"> </w:t>
            </w:r>
          </w:p>
          <w:p w14:paraId="47C67CDA" w14:textId="31D37979" w:rsidR="00D46943" w:rsidRPr="00372D94" w:rsidRDefault="00AD3C00" w:rsidP="00874A98">
            <w:pPr>
              <w:pStyle w:val="ListParagraph"/>
              <w:numPr>
                <w:ilvl w:val="0"/>
                <w:numId w:val="162"/>
              </w:numPr>
              <w:tabs>
                <w:tab w:val="left" w:pos="1133"/>
                <w:tab w:val="left" w:pos="2267"/>
              </w:tabs>
              <w:ind w:right="284"/>
              <w:rPr>
                <w:rFonts w:ascii="Arial" w:eastAsia="Arial" w:hAnsi="Arial" w:cs="Arial"/>
                <w:szCs w:val="24"/>
              </w:rPr>
            </w:pPr>
            <w:r w:rsidRPr="00372D94">
              <w:rPr>
                <w:rFonts w:ascii="Arial" w:eastAsia="Calibri" w:hAnsi="Arial" w:cs="Arial"/>
                <w:szCs w:val="24"/>
              </w:rPr>
              <w:t xml:space="preserve">the use of </w:t>
            </w:r>
            <w:r w:rsidR="006C310B" w:rsidRPr="00372D94">
              <w:rPr>
                <w:rFonts w:ascii="Arial" w:eastAsia="Calibri" w:hAnsi="Arial" w:cs="Arial"/>
                <w:szCs w:val="24"/>
              </w:rPr>
              <w:t xml:space="preserve">agreed </w:t>
            </w:r>
            <w:r w:rsidRPr="00372D94">
              <w:rPr>
                <w:rFonts w:ascii="Arial" w:eastAsia="Calibri" w:hAnsi="Arial" w:cs="Arial"/>
                <w:szCs w:val="24"/>
              </w:rPr>
              <w:t xml:space="preserve">development frameworks, masterplans and other design guidance documents, </w:t>
            </w:r>
          </w:p>
          <w:p w14:paraId="4175A4A9" w14:textId="37B96EC7" w:rsidR="00546C3C" w:rsidRPr="00546C3C" w:rsidRDefault="00546C3C" w:rsidP="00874A98">
            <w:pPr>
              <w:pStyle w:val="ListParagraph"/>
              <w:numPr>
                <w:ilvl w:val="0"/>
                <w:numId w:val="162"/>
              </w:numPr>
              <w:tabs>
                <w:tab w:val="left" w:pos="1133"/>
                <w:tab w:val="left" w:pos="2267"/>
              </w:tabs>
              <w:ind w:right="284"/>
              <w:rPr>
                <w:rFonts w:ascii="Arial" w:eastAsia="Arial" w:hAnsi="Arial" w:cs="Arial"/>
                <w:szCs w:val="24"/>
              </w:rPr>
            </w:pPr>
            <w:r>
              <w:rPr>
                <w:rFonts w:ascii="Arial" w:eastAsia="Calibri" w:hAnsi="Arial" w:cs="Arial"/>
                <w:szCs w:val="24"/>
              </w:rPr>
              <w:t xml:space="preserve">the </w:t>
            </w:r>
            <w:r w:rsidR="00AD3C00" w:rsidRPr="00372D94">
              <w:rPr>
                <w:rFonts w:ascii="Arial" w:eastAsia="Calibri" w:hAnsi="Arial" w:cs="Arial"/>
                <w:szCs w:val="24"/>
              </w:rPr>
              <w:t xml:space="preserve">use design codes </w:t>
            </w:r>
            <w:r>
              <w:rPr>
                <w:rFonts w:ascii="Arial" w:eastAsia="Calibri" w:hAnsi="Arial" w:cs="Arial"/>
                <w:szCs w:val="24"/>
              </w:rPr>
              <w:t xml:space="preserve">for strategic scale developments and other large sites, and   </w:t>
            </w:r>
          </w:p>
          <w:p w14:paraId="7F1CDA1E" w14:textId="4302BDDE" w:rsidR="00AD3C00" w:rsidRPr="00372D94" w:rsidRDefault="00546C3C" w:rsidP="00874A98">
            <w:pPr>
              <w:pStyle w:val="ListParagraph"/>
              <w:numPr>
                <w:ilvl w:val="0"/>
                <w:numId w:val="162"/>
              </w:numPr>
              <w:tabs>
                <w:tab w:val="left" w:pos="1133"/>
                <w:tab w:val="left" w:pos="2267"/>
              </w:tabs>
              <w:ind w:right="284"/>
              <w:rPr>
                <w:rFonts w:ascii="Arial" w:eastAsia="Arial" w:hAnsi="Arial" w:cs="Arial"/>
                <w:szCs w:val="24"/>
              </w:rPr>
            </w:pPr>
            <w:r>
              <w:rPr>
                <w:rFonts w:ascii="Arial" w:eastAsia="Calibri" w:hAnsi="Arial" w:cs="Arial"/>
                <w:szCs w:val="24"/>
              </w:rPr>
              <w:t xml:space="preserve">the use of </w:t>
            </w:r>
            <w:r w:rsidR="00AD3C00" w:rsidRPr="00372D94">
              <w:rPr>
                <w:rFonts w:ascii="Arial" w:eastAsia="Calibri" w:hAnsi="Arial" w:cs="Arial"/>
                <w:szCs w:val="24"/>
              </w:rPr>
              <w:t>the Design Review Panel</w:t>
            </w:r>
            <w:r>
              <w:rPr>
                <w:rFonts w:ascii="Arial" w:eastAsia="Calibri" w:hAnsi="Arial" w:cs="Arial"/>
                <w:szCs w:val="24"/>
              </w:rPr>
              <w:t>, where deemed appropriate</w:t>
            </w:r>
            <w:r w:rsidR="00AD3C00" w:rsidRPr="00372D94">
              <w:rPr>
                <w:rFonts w:ascii="Arial" w:eastAsia="Calibri" w:hAnsi="Arial" w:cs="Arial"/>
                <w:szCs w:val="24"/>
              </w:rPr>
              <w:t xml:space="preserve">. </w:t>
            </w:r>
            <w:r w:rsidR="00AD3C00" w:rsidRPr="00372D94">
              <w:rPr>
                <w:rFonts w:ascii="Arial" w:eastAsia="Arial" w:hAnsi="Arial" w:cs="Arial"/>
                <w:szCs w:val="24"/>
              </w:rPr>
              <w:t xml:space="preserve"> </w:t>
            </w:r>
          </w:p>
          <w:p w14:paraId="4DEB098D" w14:textId="641FA1E8" w:rsidR="00D46943" w:rsidRPr="00372D94" w:rsidRDefault="00AD3C00" w:rsidP="00B65753">
            <w:pPr>
              <w:keepNext w:val="0"/>
              <w:numPr>
                <w:ilvl w:val="0"/>
                <w:numId w:val="155"/>
              </w:numPr>
              <w:tabs>
                <w:tab w:val="left" w:pos="680"/>
                <w:tab w:val="left" w:pos="1133"/>
                <w:tab w:val="left" w:pos="2267"/>
              </w:tabs>
              <w:spacing w:before="0"/>
              <w:ind w:right="284"/>
              <w:contextualSpacing/>
              <w:rPr>
                <w:rFonts w:eastAsia="Calibri"/>
                <w:szCs w:val="22"/>
              </w:rPr>
            </w:pPr>
            <w:r w:rsidRPr="00372D94">
              <w:rPr>
                <w:rFonts w:eastAsia="Calibri"/>
                <w:szCs w:val="22"/>
              </w:rPr>
              <w:t>Neighbourhood plans/orders can have a key role in placemaking and allows communities to have more influence and control over their local area to ensure they get the right type of development for their neighbourhood.   The Council is supportive of the production of neighbourhood plans/orders that are in conformity with strategic policies within the Local Plan.</w:t>
            </w:r>
          </w:p>
        </w:tc>
      </w:tr>
      <w:bookmarkEnd w:id="56"/>
      <w:tr w:rsidR="00AD3C00" w:rsidRPr="00AD3C00" w14:paraId="7FD2B26F" w14:textId="77777777" w:rsidTr="009D4C91">
        <w:tc>
          <w:tcPr>
            <w:tcW w:w="1838" w:type="dxa"/>
            <w:shd w:val="clear" w:color="auto" w:fill="D9D9D9"/>
          </w:tcPr>
          <w:p w14:paraId="6EF79387" w14:textId="77777777" w:rsidR="00AD3C00" w:rsidRPr="00D0642D" w:rsidDel="009E40E4" w:rsidRDefault="00AD3C00" w:rsidP="00D0642D">
            <w:pPr>
              <w:keepNext w:val="0"/>
              <w:tabs>
                <w:tab w:val="left" w:pos="680"/>
                <w:tab w:val="left" w:pos="1133"/>
                <w:tab w:val="left" w:pos="2267"/>
              </w:tabs>
              <w:spacing w:before="0"/>
              <w:ind w:right="284"/>
              <w:rPr>
                <w:rFonts w:eastAsia="Arial"/>
                <w:bCs/>
                <w:color w:val="C00000"/>
                <w:sz w:val="20"/>
              </w:rPr>
            </w:pPr>
            <w:r w:rsidRPr="00D0642D">
              <w:rPr>
                <w:rFonts w:eastAsia="Arial"/>
                <w:bCs/>
                <w:color w:val="auto"/>
                <w:sz w:val="20"/>
              </w:rPr>
              <w:lastRenderedPageBreak/>
              <w:t>Evidence base</w:t>
            </w:r>
          </w:p>
        </w:tc>
        <w:tc>
          <w:tcPr>
            <w:tcW w:w="7796" w:type="dxa"/>
            <w:gridSpan w:val="2"/>
            <w:shd w:val="clear" w:color="auto" w:fill="D9D9D9"/>
          </w:tcPr>
          <w:p w14:paraId="2AE3A70B" w14:textId="75B9CE93" w:rsidR="00AD3C00" w:rsidRPr="00372D94" w:rsidRDefault="00AD3C00" w:rsidP="00874A98">
            <w:pPr>
              <w:keepNext w:val="0"/>
              <w:numPr>
                <w:ilvl w:val="0"/>
                <w:numId w:val="156"/>
              </w:numPr>
              <w:spacing w:before="0" w:after="160" w:line="252" w:lineRule="auto"/>
              <w:ind w:right="284"/>
              <w:contextualSpacing/>
              <w:rPr>
                <w:rFonts w:eastAsia="Arial"/>
                <w:bCs/>
                <w:sz w:val="20"/>
              </w:rPr>
            </w:pPr>
            <w:r w:rsidRPr="00372D94">
              <w:rPr>
                <w:rFonts w:eastAsia="Arial"/>
                <w:bCs/>
                <w:sz w:val="20"/>
              </w:rPr>
              <w:t>Sustainability Appraisal 202</w:t>
            </w:r>
            <w:r w:rsidR="00F10F95" w:rsidRPr="00372D94">
              <w:rPr>
                <w:rFonts w:eastAsia="Arial"/>
                <w:bCs/>
                <w:sz w:val="20"/>
              </w:rPr>
              <w:t>3</w:t>
            </w:r>
            <w:r w:rsidRPr="00372D94">
              <w:rPr>
                <w:rFonts w:eastAsia="Arial"/>
                <w:bCs/>
                <w:sz w:val="20"/>
              </w:rPr>
              <w:t xml:space="preserve">, </w:t>
            </w:r>
            <w:r w:rsidR="00F10F95" w:rsidRPr="00372D94">
              <w:rPr>
                <w:rFonts w:eastAsia="Calibri" w:cs="Arial"/>
                <w:sz w:val="20"/>
                <w:lang w:eastAsia="en-US"/>
              </w:rPr>
              <w:t>WSP UK Limited.</w:t>
            </w:r>
          </w:p>
          <w:p w14:paraId="7A8C145A" w14:textId="19A58B03" w:rsidR="00AD3C00" w:rsidRPr="00372D94" w:rsidRDefault="00AD3C00" w:rsidP="00874A98">
            <w:pPr>
              <w:keepNext w:val="0"/>
              <w:numPr>
                <w:ilvl w:val="0"/>
                <w:numId w:val="156"/>
              </w:numPr>
              <w:tabs>
                <w:tab w:val="left" w:pos="680"/>
                <w:tab w:val="left" w:pos="1133"/>
                <w:tab w:val="left" w:pos="2267"/>
              </w:tabs>
              <w:spacing w:before="0" w:after="160" w:line="252" w:lineRule="auto"/>
              <w:ind w:right="284"/>
              <w:contextualSpacing/>
              <w:rPr>
                <w:rFonts w:eastAsia="Arial"/>
                <w:bCs/>
                <w:sz w:val="20"/>
              </w:rPr>
            </w:pPr>
            <w:r w:rsidRPr="00372D94">
              <w:rPr>
                <w:rFonts w:eastAsia="Arial"/>
                <w:bCs/>
                <w:sz w:val="20"/>
              </w:rPr>
              <w:t>Sutton Town Centre Spatial Masterplan</w:t>
            </w:r>
            <w:r w:rsidR="00D46943" w:rsidRPr="00372D94">
              <w:rPr>
                <w:rFonts w:eastAsia="Arial"/>
                <w:bCs/>
                <w:sz w:val="20"/>
              </w:rPr>
              <w:t xml:space="preserve"> 2019.  Ashfield District Council.</w:t>
            </w:r>
          </w:p>
          <w:p w14:paraId="6AF5CC36" w14:textId="7F68ABA1" w:rsidR="00AD3C00" w:rsidRPr="00372D94" w:rsidRDefault="00AD3C00" w:rsidP="00874A98">
            <w:pPr>
              <w:keepNext w:val="0"/>
              <w:numPr>
                <w:ilvl w:val="0"/>
                <w:numId w:val="156"/>
              </w:numPr>
              <w:tabs>
                <w:tab w:val="left" w:pos="680"/>
                <w:tab w:val="left" w:pos="1133"/>
                <w:tab w:val="left" w:pos="2267"/>
              </w:tabs>
              <w:spacing w:before="0" w:after="160" w:line="252" w:lineRule="auto"/>
              <w:ind w:right="284"/>
              <w:contextualSpacing/>
              <w:rPr>
                <w:rFonts w:eastAsia="Arial"/>
                <w:bCs/>
                <w:sz w:val="20"/>
              </w:rPr>
            </w:pPr>
            <w:r w:rsidRPr="00372D94">
              <w:rPr>
                <w:rFonts w:eastAsia="Arial"/>
                <w:bCs/>
                <w:sz w:val="20"/>
              </w:rPr>
              <w:t>Kirkby Town Centre Spatial Masterplan</w:t>
            </w:r>
            <w:r w:rsidR="00D46943" w:rsidRPr="00372D94">
              <w:rPr>
                <w:rFonts w:eastAsia="Arial"/>
                <w:bCs/>
                <w:sz w:val="20"/>
              </w:rPr>
              <w:t xml:space="preserve"> 2021.  Ashfield District Council.</w:t>
            </w:r>
          </w:p>
          <w:p w14:paraId="1B42C6E0" w14:textId="762355B3" w:rsidR="00F10F95" w:rsidRPr="00372D94" w:rsidRDefault="00F10F95" w:rsidP="00874A98">
            <w:pPr>
              <w:keepNext w:val="0"/>
              <w:numPr>
                <w:ilvl w:val="0"/>
                <w:numId w:val="156"/>
              </w:numPr>
              <w:tabs>
                <w:tab w:val="left" w:pos="680"/>
                <w:tab w:val="left" w:pos="1133"/>
                <w:tab w:val="left" w:pos="2267"/>
              </w:tabs>
              <w:spacing w:before="0" w:after="160" w:line="252" w:lineRule="auto"/>
              <w:ind w:right="284"/>
              <w:contextualSpacing/>
              <w:rPr>
                <w:rFonts w:eastAsia="Arial"/>
                <w:bCs/>
                <w:sz w:val="20"/>
              </w:rPr>
            </w:pPr>
            <w:r w:rsidRPr="00372D94">
              <w:rPr>
                <w:rFonts w:eastAsia="Arial"/>
                <w:bCs/>
                <w:sz w:val="20"/>
              </w:rPr>
              <w:t>Hucknall Town Centre Spatial Masterplan 2022.</w:t>
            </w:r>
          </w:p>
          <w:p w14:paraId="5C9DCBBA" w14:textId="77777777" w:rsidR="00165056" w:rsidRPr="00372D94" w:rsidRDefault="00165056" w:rsidP="00874A98">
            <w:pPr>
              <w:keepNext w:val="0"/>
              <w:numPr>
                <w:ilvl w:val="0"/>
                <w:numId w:val="156"/>
              </w:numPr>
              <w:tabs>
                <w:tab w:val="left" w:pos="680"/>
                <w:tab w:val="left" w:pos="1133"/>
                <w:tab w:val="left" w:pos="2267"/>
              </w:tabs>
              <w:spacing w:before="0" w:after="160" w:line="252" w:lineRule="auto"/>
              <w:ind w:right="284"/>
              <w:contextualSpacing/>
              <w:rPr>
                <w:rFonts w:eastAsia="Arial"/>
                <w:bCs/>
                <w:sz w:val="20"/>
              </w:rPr>
            </w:pPr>
            <w:r w:rsidRPr="00372D94">
              <w:rPr>
                <w:rFonts w:eastAsia="Arial"/>
                <w:bCs/>
                <w:sz w:val="20"/>
              </w:rPr>
              <w:t>Active Design 2015, Sport England.</w:t>
            </w:r>
          </w:p>
          <w:p w14:paraId="355B04C4" w14:textId="7E6A5FC2" w:rsidR="00165056" w:rsidRPr="00372D94" w:rsidDel="009E40E4" w:rsidRDefault="00165056" w:rsidP="00874A98">
            <w:pPr>
              <w:keepNext w:val="0"/>
              <w:numPr>
                <w:ilvl w:val="0"/>
                <w:numId w:val="156"/>
              </w:numPr>
              <w:tabs>
                <w:tab w:val="left" w:pos="680"/>
                <w:tab w:val="left" w:pos="1133"/>
                <w:tab w:val="left" w:pos="2267"/>
              </w:tabs>
              <w:spacing w:before="0" w:after="160" w:line="252" w:lineRule="auto"/>
              <w:ind w:right="284"/>
              <w:contextualSpacing/>
              <w:rPr>
                <w:rFonts w:eastAsia="Arial"/>
                <w:bCs/>
                <w:sz w:val="20"/>
              </w:rPr>
            </w:pPr>
            <w:r w:rsidRPr="00372D94">
              <w:rPr>
                <w:rFonts w:eastAsia="Arial"/>
                <w:bCs/>
                <w:sz w:val="20"/>
              </w:rPr>
              <w:t>Handbook Designing for physical activity 2021, Sports England.</w:t>
            </w:r>
          </w:p>
        </w:tc>
      </w:tr>
      <w:tr w:rsidR="00AD3C00" w:rsidRPr="00AD3C00" w14:paraId="3D9A567A" w14:textId="77777777" w:rsidTr="009D4C91">
        <w:tc>
          <w:tcPr>
            <w:tcW w:w="1838" w:type="dxa"/>
            <w:shd w:val="clear" w:color="auto" w:fill="D9D9D9"/>
          </w:tcPr>
          <w:p w14:paraId="5114475B" w14:textId="77777777" w:rsidR="00AD3C00" w:rsidRPr="00AD3C00" w:rsidRDefault="00AD3C00" w:rsidP="00D0642D">
            <w:pPr>
              <w:keepNext w:val="0"/>
              <w:tabs>
                <w:tab w:val="left" w:pos="680"/>
                <w:tab w:val="left" w:pos="1133"/>
                <w:tab w:val="left" w:pos="2267"/>
              </w:tabs>
              <w:spacing w:before="0"/>
              <w:ind w:right="284"/>
              <w:rPr>
                <w:rFonts w:eastAsia="Arial"/>
                <w:bCs/>
                <w:color w:val="C00000"/>
                <w:sz w:val="20"/>
              </w:rPr>
            </w:pPr>
            <w:r w:rsidRPr="00AD3C00">
              <w:rPr>
                <w:rFonts w:eastAsia="Arial"/>
                <w:bCs/>
                <w:color w:val="auto"/>
                <w:sz w:val="20"/>
              </w:rPr>
              <w:t>National Planning Policy &amp; Guidance</w:t>
            </w:r>
          </w:p>
        </w:tc>
        <w:tc>
          <w:tcPr>
            <w:tcW w:w="7796" w:type="dxa"/>
            <w:gridSpan w:val="2"/>
            <w:shd w:val="clear" w:color="auto" w:fill="D9D9D9"/>
          </w:tcPr>
          <w:p w14:paraId="120251CB" w14:textId="0E115B86" w:rsidR="00AD3C00" w:rsidRPr="00372D94" w:rsidRDefault="00AD3C00" w:rsidP="00874A98">
            <w:pPr>
              <w:keepNext w:val="0"/>
              <w:numPr>
                <w:ilvl w:val="0"/>
                <w:numId w:val="158"/>
              </w:numPr>
              <w:tabs>
                <w:tab w:val="left" w:pos="360"/>
                <w:tab w:val="left" w:pos="1133"/>
                <w:tab w:val="left" w:pos="2267"/>
              </w:tabs>
              <w:spacing w:before="0" w:after="160" w:line="252" w:lineRule="auto"/>
              <w:ind w:right="284"/>
              <w:contextualSpacing/>
              <w:rPr>
                <w:rFonts w:eastAsia="Arial"/>
                <w:bCs/>
                <w:sz w:val="20"/>
              </w:rPr>
            </w:pPr>
            <w:r w:rsidRPr="00372D94">
              <w:rPr>
                <w:rFonts w:eastAsia="Arial"/>
                <w:bCs/>
                <w:sz w:val="20"/>
              </w:rPr>
              <w:t>NPPF 202</w:t>
            </w:r>
            <w:r w:rsidR="00A37A61" w:rsidRPr="00372D94">
              <w:rPr>
                <w:rFonts w:eastAsia="Arial"/>
                <w:bCs/>
                <w:sz w:val="20"/>
              </w:rPr>
              <w:t>3</w:t>
            </w:r>
            <w:r w:rsidRPr="00372D94">
              <w:rPr>
                <w:rFonts w:eastAsia="Arial"/>
                <w:bCs/>
                <w:sz w:val="20"/>
              </w:rPr>
              <w:t>, Part 2 – Achieving Sustainable Development</w:t>
            </w:r>
          </w:p>
          <w:p w14:paraId="7E088327" w14:textId="17522A7D" w:rsidR="00AD3C00" w:rsidRPr="00372D94" w:rsidRDefault="00AD3C00" w:rsidP="00874A98">
            <w:pPr>
              <w:keepNext w:val="0"/>
              <w:numPr>
                <w:ilvl w:val="0"/>
                <w:numId w:val="157"/>
              </w:numPr>
              <w:tabs>
                <w:tab w:val="left" w:pos="360"/>
                <w:tab w:val="left" w:pos="1133"/>
                <w:tab w:val="left" w:pos="2267"/>
              </w:tabs>
              <w:spacing w:before="0" w:after="160" w:line="252" w:lineRule="auto"/>
              <w:ind w:left="328" w:right="284" w:hanging="328"/>
              <w:contextualSpacing/>
              <w:rPr>
                <w:rFonts w:eastAsia="Arial"/>
                <w:bCs/>
                <w:sz w:val="20"/>
              </w:rPr>
            </w:pPr>
            <w:r w:rsidRPr="00372D94">
              <w:rPr>
                <w:rFonts w:eastAsia="Arial"/>
                <w:bCs/>
                <w:sz w:val="20"/>
              </w:rPr>
              <w:t>NPPF 202</w:t>
            </w:r>
            <w:r w:rsidR="00A37A61" w:rsidRPr="00372D94">
              <w:rPr>
                <w:rFonts w:eastAsia="Arial"/>
                <w:bCs/>
                <w:sz w:val="20"/>
              </w:rPr>
              <w:t>3</w:t>
            </w:r>
            <w:r w:rsidRPr="00372D94">
              <w:rPr>
                <w:rFonts w:eastAsia="Arial"/>
                <w:bCs/>
                <w:sz w:val="20"/>
              </w:rPr>
              <w:t>, Part 12 – Achieving Well Designed Places</w:t>
            </w:r>
          </w:p>
          <w:p w14:paraId="279C6807" w14:textId="4ADA7400" w:rsidR="00AD3C00" w:rsidRPr="00372D94" w:rsidRDefault="00AD3C00" w:rsidP="00874A98">
            <w:pPr>
              <w:keepNext w:val="0"/>
              <w:numPr>
                <w:ilvl w:val="0"/>
                <w:numId w:val="157"/>
              </w:numPr>
              <w:tabs>
                <w:tab w:val="left" w:pos="360"/>
                <w:tab w:val="left" w:pos="1133"/>
                <w:tab w:val="left" w:pos="2267"/>
              </w:tabs>
              <w:spacing w:before="0" w:after="160" w:line="252" w:lineRule="auto"/>
              <w:ind w:left="328" w:right="284" w:hanging="328"/>
              <w:contextualSpacing/>
              <w:rPr>
                <w:rFonts w:eastAsia="Arial"/>
                <w:bCs/>
                <w:sz w:val="20"/>
              </w:rPr>
            </w:pPr>
            <w:r w:rsidRPr="00372D94">
              <w:rPr>
                <w:rFonts w:eastAsia="Arial"/>
                <w:bCs/>
                <w:sz w:val="20"/>
              </w:rPr>
              <w:t xml:space="preserve">Planning Practice Guidance Design: Process and Tools as </w:t>
            </w:r>
            <w:r w:rsidR="00416653" w:rsidRPr="00372D94">
              <w:rPr>
                <w:rFonts w:eastAsia="Arial"/>
                <w:bCs/>
                <w:sz w:val="20"/>
              </w:rPr>
              <w:t>of</w:t>
            </w:r>
            <w:r w:rsidRPr="00372D94">
              <w:rPr>
                <w:rFonts w:eastAsia="Arial"/>
                <w:bCs/>
                <w:sz w:val="20"/>
              </w:rPr>
              <w:t xml:space="preserve"> </w:t>
            </w:r>
            <w:r w:rsidR="00D949EB" w:rsidRPr="00372D94">
              <w:rPr>
                <w:rFonts w:eastAsia="Arial"/>
                <w:bCs/>
                <w:sz w:val="20"/>
              </w:rPr>
              <w:t>October 2019.</w:t>
            </w:r>
          </w:p>
          <w:p w14:paraId="015626A0" w14:textId="77777777" w:rsidR="00D949EB" w:rsidRPr="00372D94" w:rsidRDefault="00AD3C00" w:rsidP="00874A98">
            <w:pPr>
              <w:keepNext w:val="0"/>
              <w:numPr>
                <w:ilvl w:val="0"/>
                <w:numId w:val="157"/>
              </w:numPr>
              <w:tabs>
                <w:tab w:val="left" w:pos="360"/>
                <w:tab w:val="left" w:pos="1133"/>
                <w:tab w:val="left" w:pos="2267"/>
              </w:tabs>
              <w:spacing w:before="0" w:after="160" w:line="252" w:lineRule="auto"/>
              <w:ind w:left="328" w:right="284" w:hanging="328"/>
              <w:contextualSpacing/>
              <w:rPr>
                <w:rFonts w:eastAsia="Arial"/>
                <w:bCs/>
                <w:sz w:val="20"/>
              </w:rPr>
            </w:pPr>
            <w:r w:rsidRPr="00372D94">
              <w:rPr>
                <w:rFonts w:eastAsia="Arial"/>
                <w:bCs/>
                <w:sz w:val="20"/>
              </w:rPr>
              <w:t xml:space="preserve">Planning Practice Guidance Neighbourhood Planning as </w:t>
            </w:r>
            <w:r w:rsidR="00416653" w:rsidRPr="00372D94">
              <w:rPr>
                <w:rFonts w:eastAsia="Arial"/>
                <w:bCs/>
                <w:sz w:val="20"/>
              </w:rPr>
              <w:t>of</w:t>
            </w:r>
            <w:r w:rsidRPr="00372D94">
              <w:rPr>
                <w:rFonts w:eastAsia="Arial"/>
                <w:bCs/>
                <w:sz w:val="20"/>
              </w:rPr>
              <w:t xml:space="preserve"> </w:t>
            </w:r>
            <w:r w:rsidR="00D949EB" w:rsidRPr="00372D94">
              <w:rPr>
                <w:rFonts w:eastAsia="Arial"/>
                <w:bCs/>
                <w:sz w:val="20"/>
              </w:rPr>
              <w:t>September</w:t>
            </w:r>
          </w:p>
          <w:p w14:paraId="29D0780D" w14:textId="28206F12" w:rsidR="00AD3C00" w:rsidRPr="00372D94" w:rsidRDefault="00D949EB" w:rsidP="00546C3C">
            <w:pPr>
              <w:keepNext w:val="0"/>
              <w:tabs>
                <w:tab w:val="left" w:pos="360"/>
                <w:tab w:val="left" w:pos="1133"/>
                <w:tab w:val="left" w:pos="2267"/>
              </w:tabs>
              <w:spacing w:before="0" w:after="160" w:line="252" w:lineRule="auto"/>
              <w:ind w:left="328" w:right="284"/>
              <w:contextualSpacing/>
              <w:rPr>
                <w:rFonts w:eastAsia="Arial"/>
                <w:bCs/>
                <w:sz w:val="20"/>
              </w:rPr>
            </w:pPr>
            <w:r w:rsidRPr="00372D94">
              <w:rPr>
                <w:rFonts w:eastAsia="Arial"/>
                <w:bCs/>
                <w:sz w:val="20"/>
              </w:rPr>
              <w:t>2020</w:t>
            </w:r>
          </w:p>
        </w:tc>
      </w:tr>
    </w:tbl>
    <w:p w14:paraId="64F4524C" w14:textId="77777777" w:rsidR="00AD3C00" w:rsidRPr="00AD3C00" w:rsidRDefault="00AD3C00" w:rsidP="00AD3C00">
      <w:pPr>
        <w:keepNext w:val="0"/>
        <w:tabs>
          <w:tab w:val="left" w:pos="680"/>
          <w:tab w:val="left" w:pos="1133"/>
          <w:tab w:val="left" w:pos="2267"/>
        </w:tabs>
        <w:spacing w:before="0"/>
        <w:ind w:right="284"/>
        <w:rPr>
          <w:rFonts w:eastAsia="Arial"/>
          <w:b/>
          <w:color w:val="auto"/>
          <w:szCs w:val="24"/>
        </w:rPr>
      </w:pPr>
    </w:p>
    <w:p w14:paraId="4413C1A9" w14:textId="77777777" w:rsidR="0052046F" w:rsidRPr="0052046F" w:rsidRDefault="0052046F" w:rsidP="00CD61AD">
      <w:pPr>
        <w:keepNext w:val="0"/>
        <w:numPr>
          <w:ilvl w:val="1"/>
          <w:numId w:val="344"/>
        </w:numPr>
        <w:tabs>
          <w:tab w:val="clear" w:pos="525"/>
          <w:tab w:val="num" w:pos="851"/>
        </w:tabs>
        <w:spacing w:before="0"/>
        <w:ind w:left="851" w:hanging="851"/>
        <w:rPr>
          <w:rFonts w:cs="Arial"/>
          <w:color w:val="auto"/>
          <w:szCs w:val="24"/>
        </w:rPr>
      </w:pPr>
      <w:r w:rsidRPr="0052046F">
        <w:rPr>
          <w:rFonts w:eastAsia="Calibri"/>
          <w:color w:val="auto"/>
          <w:szCs w:val="22"/>
          <w:lang w:eastAsia="en-US"/>
        </w:rPr>
        <w:t>The design of the built environment has a direct effect upon how places are used. The relationship between buildings, spaces and landscape as well as detailed design and materials are all relevant factors. Good design will influence how people move around our settlements, how they interact and how places make people feel.</w:t>
      </w:r>
    </w:p>
    <w:p w14:paraId="712B9B36" w14:textId="30EE6133" w:rsidR="0052046F" w:rsidRDefault="0052046F" w:rsidP="00F260E8">
      <w:pPr>
        <w:keepNext w:val="0"/>
        <w:spacing w:before="0"/>
        <w:ind w:left="851"/>
        <w:rPr>
          <w:rFonts w:cs="Arial"/>
          <w:color w:val="auto"/>
          <w:szCs w:val="24"/>
        </w:rPr>
      </w:pPr>
      <w:r w:rsidRPr="0052046F">
        <w:rPr>
          <w:rFonts w:eastAsia="Calibri"/>
          <w:color w:val="auto"/>
          <w:szCs w:val="22"/>
          <w:lang w:eastAsia="en-US"/>
        </w:rPr>
        <w:t xml:space="preserve">  </w:t>
      </w:r>
    </w:p>
    <w:p w14:paraId="50C99AE8" w14:textId="77777777" w:rsidR="0052046F" w:rsidRDefault="0052046F" w:rsidP="00CD61AD">
      <w:pPr>
        <w:keepNext w:val="0"/>
        <w:numPr>
          <w:ilvl w:val="1"/>
          <w:numId w:val="344"/>
        </w:numPr>
        <w:tabs>
          <w:tab w:val="clear" w:pos="525"/>
          <w:tab w:val="num" w:pos="851"/>
        </w:tabs>
        <w:spacing w:before="0"/>
        <w:ind w:left="851" w:hanging="851"/>
        <w:rPr>
          <w:rFonts w:cs="Arial"/>
          <w:color w:val="auto"/>
          <w:szCs w:val="24"/>
        </w:rPr>
      </w:pPr>
      <w:r w:rsidRPr="0052046F">
        <w:rPr>
          <w:rFonts w:eastAsia="Calibri"/>
          <w:color w:val="auto"/>
          <w:szCs w:val="22"/>
          <w:lang w:eastAsia="en-US"/>
        </w:rPr>
        <w:t xml:space="preserve">The NPPF states that the creation of </w:t>
      </w:r>
      <w:proofErr w:type="gramStart"/>
      <w:r w:rsidRPr="0052046F">
        <w:rPr>
          <w:rFonts w:eastAsia="Calibri"/>
          <w:color w:val="auto"/>
          <w:szCs w:val="22"/>
          <w:lang w:eastAsia="en-US"/>
        </w:rPr>
        <w:t>high quality</w:t>
      </w:r>
      <w:proofErr w:type="gramEnd"/>
      <w:r w:rsidRPr="0052046F">
        <w:rPr>
          <w:rFonts w:eastAsia="Calibri"/>
          <w:color w:val="auto"/>
          <w:szCs w:val="22"/>
          <w:lang w:eastAsia="en-US"/>
        </w:rPr>
        <w:t xml:space="preserve"> buildings and places is fundamental to what the planning and development process should achieve. Good design is a key aspect of sustainable development, creates better places in which to live and work and helps make development acceptable to communities. Urban design and architecture can contribute to health outcomes through encouragement of more active lifestyles. </w:t>
      </w:r>
    </w:p>
    <w:p w14:paraId="0E00FD7B" w14:textId="77777777" w:rsidR="0052046F" w:rsidRPr="0052046F" w:rsidRDefault="0052046F" w:rsidP="00F260E8">
      <w:pPr>
        <w:keepNext w:val="0"/>
        <w:spacing w:before="0"/>
        <w:ind w:left="851"/>
        <w:rPr>
          <w:rFonts w:cs="Arial"/>
          <w:color w:val="auto"/>
          <w:szCs w:val="24"/>
        </w:rPr>
      </w:pPr>
    </w:p>
    <w:p w14:paraId="19F304EC" w14:textId="77777777" w:rsidR="0052046F" w:rsidRDefault="0052046F" w:rsidP="00CD61AD">
      <w:pPr>
        <w:keepNext w:val="0"/>
        <w:numPr>
          <w:ilvl w:val="1"/>
          <w:numId w:val="344"/>
        </w:numPr>
        <w:tabs>
          <w:tab w:val="clear" w:pos="525"/>
          <w:tab w:val="num" w:pos="851"/>
        </w:tabs>
        <w:spacing w:before="0"/>
        <w:ind w:left="851" w:hanging="851"/>
        <w:rPr>
          <w:rFonts w:cs="Arial"/>
          <w:color w:val="auto"/>
          <w:szCs w:val="24"/>
        </w:rPr>
      </w:pPr>
      <w:r w:rsidRPr="0052046F">
        <w:rPr>
          <w:rFonts w:eastAsia="Calibri"/>
          <w:color w:val="auto"/>
          <w:szCs w:val="22"/>
          <w:lang w:eastAsia="en-US"/>
        </w:rPr>
        <w:t xml:space="preserve">Development should be encouraged to create places that create mixed communities catering for the needs of different types of people, including the young and old, encourage walking and cycling, improve access to public transport, and ensure that new development connects with existing parks and open spaces for recreation. Building exteriors and public realm should be designed in a way that contributes to pedestrian friendly environments. </w:t>
      </w:r>
    </w:p>
    <w:p w14:paraId="6297DAAE" w14:textId="77777777" w:rsidR="0052046F" w:rsidRPr="0052046F" w:rsidRDefault="0052046F" w:rsidP="00F260E8">
      <w:pPr>
        <w:keepNext w:val="0"/>
        <w:spacing w:before="0"/>
        <w:ind w:left="851"/>
        <w:rPr>
          <w:rFonts w:cs="Arial"/>
          <w:color w:val="auto"/>
          <w:szCs w:val="24"/>
        </w:rPr>
      </w:pPr>
    </w:p>
    <w:p w14:paraId="613904C8" w14:textId="6EDC1960" w:rsidR="0052046F" w:rsidRPr="00D0642D" w:rsidRDefault="0052046F" w:rsidP="00CD61AD">
      <w:pPr>
        <w:keepNext w:val="0"/>
        <w:numPr>
          <w:ilvl w:val="1"/>
          <w:numId w:val="344"/>
        </w:numPr>
        <w:tabs>
          <w:tab w:val="clear" w:pos="525"/>
          <w:tab w:val="num" w:pos="851"/>
        </w:tabs>
        <w:spacing w:before="0"/>
        <w:ind w:left="851" w:hanging="851"/>
        <w:rPr>
          <w:rFonts w:cs="Arial"/>
          <w:color w:val="auto"/>
          <w:szCs w:val="24"/>
        </w:rPr>
      </w:pPr>
      <w:r w:rsidRPr="0052046F">
        <w:rPr>
          <w:rFonts w:eastAsia="Calibri"/>
          <w:color w:val="auto"/>
          <w:szCs w:val="22"/>
          <w:lang w:eastAsia="en-US"/>
        </w:rPr>
        <w:t xml:space="preserve">The Council will expect development to respond to local character and history, reflecting the identity of its context whilst allowing for innovative and </w:t>
      </w:r>
      <w:proofErr w:type="gramStart"/>
      <w:r w:rsidRPr="0052046F">
        <w:rPr>
          <w:rFonts w:eastAsia="Calibri"/>
          <w:color w:val="auto"/>
          <w:szCs w:val="22"/>
          <w:lang w:eastAsia="en-US"/>
        </w:rPr>
        <w:t>forward thinking</w:t>
      </w:r>
      <w:proofErr w:type="gramEnd"/>
      <w:r w:rsidRPr="0052046F">
        <w:rPr>
          <w:rFonts w:eastAsia="Calibri"/>
          <w:color w:val="auto"/>
          <w:szCs w:val="22"/>
          <w:lang w:eastAsia="en-US"/>
        </w:rPr>
        <w:t xml:space="preserve"> design. More detail on this is set out in </w:t>
      </w:r>
      <w:r w:rsidRPr="00D0642D">
        <w:rPr>
          <w:rFonts w:eastAsia="Calibri"/>
          <w:color w:val="auto"/>
          <w:szCs w:val="22"/>
          <w:lang w:eastAsia="en-US"/>
        </w:rPr>
        <w:t>Policy SD</w:t>
      </w:r>
      <w:r w:rsidR="00D0642D" w:rsidRPr="00D0642D">
        <w:rPr>
          <w:rFonts w:eastAsia="Calibri"/>
          <w:color w:val="auto"/>
          <w:szCs w:val="22"/>
          <w:lang w:eastAsia="en-US"/>
        </w:rPr>
        <w:t>2</w:t>
      </w:r>
      <w:r w:rsidRPr="00D0642D">
        <w:rPr>
          <w:rFonts w:eastAsia="Calibri"/>
          <w:color w:val="auto"/>
          <w:szCs w:val="22"/>
          <w:lang w:eastAsia="en-US"/>
        </w:rPr>
        <w:t xml:space="preserve">. </w:t>
      </w:r>
    </w:p>
    <w:p w14:paraId="6F1B298F" w14:textId="77777777" w:rsidR="0052046F" w:rsidRPr="0052046F" w:rsidRDefault="0052046F" w:rsidP="00F260E8">
      <w:pPr>
        <w:keepNext w:val="0"/>
        <w:spacing w:before="0"/>
        <w:ind w:left="851"/>
        <w:rPr>
          <w:rFonts w:cs="Arial"/>
          <w:color w:val="auto"/>
          <w:szCs w:val="24"/>
        </w:rPr>
      </w:pPr>
    </w:p>
    <w:p w14:paraId="2E040024" w14:textId="22AE4A09" w:rsidR="0052046F" w:rsidRPr="008405D1" w:rsidRDefault="0052046F" w:rsidP="008405D1">
      <w:pPr>
        <w:keepNext w:val="0"/>
        <w:numPr>
          <w:ilvl w:val="1"/>
          <w:numId w:val="344"/>
        </w:numPr>
        <w:tabs>
          <w:tab w:val="clear" w:pos="525"/>
          <w:tab w:val="num" w:pos="851"/>
        </w:tabs>
        <w:spacing w:before="0"/>
        <w:ind w:left="851" w:hanging="851"/>
        <w:rPr>
          <w:rFonts w:cs="Arial"/>
          <w:color w:val="auto"/>
          <w:szCs w:val="24"/>
        </w:rPr>
      </w:pPr>
      <w:r w:rsidRPr="00F753D6">
        <w:rPr>
          <w:rFonts w:eastAsia="Calibri"/>
          <w:color w:val="auto"/>
          <w:szCs w:val="22"/>
          <w:lang w:eastAsia="en-US"/>
        </w:rPr>
        <w:t xml:space="preserve">Regard will be had to various Council documents in assessing the design of new development to ensure that it provides positive benefit in terms of landscape and townscape </w:t>
      </w:r>
      <w:r w:rsidR="00416653" w:rsidRPr="00F753D6">
        <w:rPr>
          <w:rFonts w:eastAsia="Calibri"/>
          <w:color w:val="auto"/>
          <w:szCs w:val="22"/>
          <w:lang w:eastAsia="en-US"/>
        </w:rPr>
        <w:t>character and</w:t>
      </w:r>
      <w:r w:rsidRPr="00F753D6">
        <w:rPr>
          <w:rFonts w:eastAsia="Calibri"/>
          <w:color w:val="auto"/>
          <w:szCs w:val="22"/>
          <w:lang w:eastAsia="en-US"/>
        </w:rPr>
        <w:t xml:space="preserve"> enhances local distinctiveness. This includes the Town Centre Masterplans, the Residential Design Guide SPD and the Landscape Character Assessment (LCA).</w:t>
      </w:r>
    </w:p>
    <w:p w14:paraId="4A11182D" w14:textId="77777777" w:rsidR="008405D1" w:rsidRPr="00BF42EB" w:rsidRDefault="008405D1" w:rsidP="008405D1">
      <w:pPr>
        <w:keepNext w:val="0"/>
        <w:spacing w:before="0"/>
        <w:rPr>
          <w:rFonts w:cs="Arial"/>
          <w:color w:val="auto"/>
          <w:szCs w:val="24"/>
        </w:rPr>
      </w:pPr>
    </w:p>
    <w:p w14:paraId="27822DA4" w14:textId="0D2A7FAA" w:rsidR="00F753D6" w:rsidRDefault="00F753D6" w:rsidP="00A44712">
      <w:pPr>
        <w:keepNext w:val="0"/>
        <w:numPr>
          <w:ilvl w:val="1"/>
          <w:numId w:val="344"/>
        </w:numPr>
        <w:tabs>
          <w:tab w:val="clear" w:pos="525"/>
          <w:tab w:val="num" w:pos="851"/>
        </w:tabs>
        <w:spacing w:before="0"/>
        <w:ind w:left="851" w:hanging="851"/>
        <w:rPr>
          <w:rFonts w:cs="Arial"/>
          <w:color w:val="auto"/>
          <w:szCs w:val="24"/>
        </w:rPr>
      </w:pPr>
      <w:r>
        <w:rPr>
          <w:rFonts w:cs="Arial"/>
          <w:color w:val="auto"/>
          <w:szCs w:val="24"/>
        </w:rPr>
        <w:t>The National Model Design Code</w:t>
      </w:r>
      <w:r w:rsidR="0042513D">
        <w:rPr>
          <w:rStyle w:val="FootnoteReference"/>
          <w:rFonts w:cs="Arial"/>
          <w:color w:val="auto"/>
          <w:szCs w:val="24"/>
        </w:rPr>
        <w:footnoteReference w:id="53"/>
      </w:r>
      <w:r>
        <w:rPr>
          <w:rFonts w:cs="Arial"/>
          <w:color w:val="auto"/>
          <w:szCs w:val="24"/>
        </w:rPr>
        <w:t xml:space="preserve"> </w:t>
      </w:r>
      <w:r w:rsidR="0042513D">
        <w:rPr>
          <w:rFonts w:cs="Arial"/>
          <w:color w:val="auto"/>
          <w:szCs w:val="24"/>
        </w:rPr>
        <w:t xml:space="preserve">describes </w:t>
      </w:r>
      <w:r w:rsidRPr="00F753D6">
        <w:rPr>
          <w:rFonts w:cs="Arial"/>
          <w:color w:val="auto"/>
          <w:szCs w:val="24"/>
        </w:rPr>
        <w:t>design code</w:t>
      </w:r>
      <w:r w:rsidR="0042513D">
        <w:rPr>
          <w:rFonts w:cs="Arial"/>
          <w:color w:val="auto"/>
          <w:szCs w:val="24"/>
        </w:rPr>
        <w:t>s as</w:t>
      </w:r>
      <w:r w:rsidRPr="00F753D6">
        <w:rPr>
          <w:rFonts w:cs="Arial"/>
          <w:color w:val="auto"/>
          <w:szCs w:val="24"/>
        </w:rPr>
        <w:t xml:space="preserve"> a set of simple, concise, illustrated design requirements that are visual and numerical wherever possible to provide specific, detailed parameters for the physical development of a site or area. The code should build upon a design vision, such as a masterplan or other design and development framework for a site or area.</w:t>
      </w:r>
    </w:p>
    <w:p w14:paraId="0C3244F8" w14:textId="77777777" w:rsidR="00F753D6" w:rsidRPr="00F753D6" w:rsidRDefault="00F753D6" w:rsidP="00F753D6">
      <w:pPr>
        <w:keepNext w:val="0"/>
        <w:spacing w:before="0"/>
        <w:rPr>
          <w:rFonts w:cs="Arial"/>
          <w:color w:val="auto"/>
          <w:szCs w:val="24"/>
        </w:rPr>
      </w:pPr>
    </w:p>
    <w:p w14:paraId="665C263A" w14:textId="4994947B" w:rsidR="0052046F" w:rsidRPr="00F753D6" w:rsidRDefault="0052046F" w:rsidP="00A44712">
      <w:pPr>
        <w:keepNext w:val="0"/>
        <w:numPr>
          <w:ilvl w:val="1"/>
          <w:numId w:val="344"/>
        </w:numPr>
        <w:tabs>
          <w:tab w:val="clear" w:pos="525"/>
          <w:tab w:val="num" w:pos="851"/>
        </w:tabs>
        <w:spacing w:before="0"/>
        <w:ind w:left="851" w:hanging="851"/>
        <w:rPr>
          <w:rFonts w:cs="Arial"/>
          <w:color w:val="auto"/>
          <w:szCs w:val="24"/>
        </w:rPr>
      </w:pPr>
      <w:r w:rsidRPr="00F753D6">
        <w:rPr>
          <w:rFonts w:eastAsia="Calibri"/>
          <w:color w:val="auto"/>
          <w:szCs w:val="22"/>
          <w:lang w:eastAsia="en-US"/>
        </w:rPr>
        <w:t xml:space="preserve">The use of the ‘Design Review Panel’ </w:t>
      </w:r>
      <w:r w:rsidR="00F753D6" w:rsidRPr="00F753D6">
        <w:rPr>
          <w:rFonts w:eastAsia="Calibri"/>
          <w:color w:val="auto"/>
          <w:szCs w:val="22"/>
          <w:lang w:eastAsia="en-US"/>
        </w:rPr>
        <w:t>may</w:t>
      </w:r>
      <w:r w:rsidRPr="00F753D6">
        <w:rPr>
          <w:rFonts w:eastAsia="Calibri"/>
          <w:color w:val="auto"/>
          <w:szCs w:val="22"/>
          <w:lang w:eastAsia="en-US"/>
        </w:rPr>
        <w:t xml:space="preserve"> be used for important new development schemes and proposals for important public spaces, strategic </w:t>
      </w:r>
      <w:r w:rsidR="00416653" w:rsidRPr="00F753D6">
        <w:rPr>
          <w:rFonts w:eastAsia="Calibri"/>
          <w:color w:val="auto"/>
          <w:szCs w:val="22"/>
          <w:lang w:eastAsia="en-US"/>
        </w:rPr>
        <w:t>sites,</w:t>
      </w:r>
      <w:r w:rsidRPr="00F753D6">
        <w:rPr>
          <w:rFonts w:eastAsia="Calibri"/>
          <w:color w:val="auto"/>
          <w:szCs w:val="22"/>
          <w:lang w:eastAsia="en-US"/>
        </w:rPr>
        <w:t xml:space="preserve"> and other large sites</w:t>
      </w:r>
      <w:r w:rsidR="00F753D6" w:rsidRPr="00F753D6">
        <w:rPr>
          <w:rFonts w:eastAsia="Calibri"/>
          <w:color w:val="auto"/>
          <w:szCs w:val="22"/>
          <w:lang w:eastAsia="en-US"/>
        </w:rPr>
        <w:t>,</w:t>
      </w:r>
      <w:r w:rsidRPr="00F753D6">
        <w:rPr>
          <w:rFonts w:eastAsia="Calibri"/>
          <w:color w:val="auto"/>
          <w:szCs w:val="22"/>
          <w:lang w:eastAsia="en-US"/>
        </w:rPr>
        <w:t xml:space="preserve"> where deemed appropriate.  The Design Review Panel operates nationally, providing an impartial, multi-disciplinary, constructive, expert, review process during the pre-application stage of the planning process, to applicants and local authorities.  </w:t>
      </w:r>
    </w:p>
    <w:p w14:paraId="7D34212F" w14:textId="77777777" w:rsidR="00F753D6" w:rsidRPr="00F753D6" w:rsidRDefault="00F753D6" w:rsidP="00F753D6">
      <w:pPr>
        <w:keepNext w:val="0"/>
        <w:spacing w:before="0"/>
        <w:rPr>
          <w:rFonts w:cs="Arial"/>
          <w:color w:val="auto"/>
          <w:szCs w:val="24"/>
        </w:rPr>
      </w:pPr>
    </w:p>
    <w:p w14:paraId="6550862B" w14:textId="16B71AB6" w:rsidR="0052046F" w:rsidRDefault="0052046F" w:rsidP="00CD61AD">
      <w:pPr>
        <w:keepNext w:val="0"/>
        <w:numPr>
          <w:ilvl w:val="1"/>
          <w:numId w:val="344"/>
        </w:numPr>
        <w:tabs>
          <w:tab w:val="clear" w:pos="525"/>
          <w:tab w:val="num" w:pos="851"/>
        </w:tabs>
        <w:spacing w:before="0"/>
        <w:ind w:left="851" w:hanging="851"/>
        <w:rPr>
          <w:rFonts w:cs="Arial"/>
          <w:color w:val="auto"/>
          <w:szCs w:val="24"/>
        </w:rPr>
      </w:pPr>
      <w:r w:rsidRPr="0052046F">
        <w:rPr>
          <w:rFonts w:eastAsia="Calibri"/>
          <w:color w:val="auto"/>
          <w:szCs w:val="22"/>
          <w:lang w:eastAsia="en-US"/>
        </w:rPr>
        <w:t xml:space="preserve">It is important that new housing development is of high quality, </w:t>
      </w:r>
      <w:proofErr w:type="gramStart"/>
      <w:r w:rsidRPr="0052046F">
        <w:rPr>
          <w:rFonts w:eastAsia="Calibri"/>
          <w:color w:val="auto"/>
          <w:szCs w:val="22"/>
          <w:lang w:eastAsia="en-US"/>
        </w:rPr>
        <w:t>in order to</w:t>
      </w:r>
      <w:proofErr w:type="gramEnd"/>
      <w:r w:rsidRPr="0052046F">
        <w:rPr>
          <w:rFonts w:eastAsia="Calibri"/>
          <w:color w:val="auto"/>
          <w:szCs w:val="22"/>
          <w:lang w:eastAsia="en-US"/>
        </w:rPr>
        <w:t xml:space="preserve"> enhance or create a distinctive sense of place, where people will be proud of their neighbourhood. Building for a Healthy</w:t>
      </w:r>
      <w:r w:rsidR="00F753D6">
        <w:rPr>
          <w:rFonts w:eastAsia="Calibri"/>
          <w:color w:val="auto"/>
          <w:szCs w:val="22"/>
          <w:lang w:eastAsia="en-US"/>
        </w:rPr>
        <w:t xml:space="preserve"> Life</w:t>
      </w:r>
      <w:r w:rsidR="00F753D6">
        <w:rPr>
          <w:rStyle w:val="FootnoteReference"/>
          <w:rFonts w:eastAsia="Calibri"/>
          <w:color w:val="auto"/>
          <w:szCs w:val="22"/>
          <w:lang w:eastAsia="en-US"/>
        </w:rPr>
        <w:footnoteReference w:id="54"/>
      </w:r>
      <w:r w:rsidRPr="0052046F">
        <w:rPr>
          <w:rFonts w:eastAsia="Calibri"/>
          <w:color w:val="auto"/>
          <w:szCs w:val="22"/>
          <w:lang w:eastAsia="en-US"/>
        </w:rPr>
        <w:t xml:space="preserve"> is an established and recognised methodology for assessing the design of new housing and neighbourhoods, and all new housing development will be expected to perform well against it, or any successor standards.  </w:t>
      </w:r>
      <w:bookmarkStart w:id="57" w:name="_Hlk77669697"/>
    </w:p>
    <w:p w14:paraId="3E2AD533" w14:textId="77777777" w:rsidR="0052046F" w:rsidRPr="0052046F" w:rsidRDefault="0052046F" w:rsidP="00F260E8">
      <w:pPr>
        <w:keepNext w:val="0"/>
        <w:spacing w:before="0"/>
        <w:ind w:left="851"/>
        <w:rPr>
          <w:rFonts w:cs="Arial"/>
          <w:color w:val="auto"/>
          <w:szCs w:val="24"/>
        </w:rPr>
      </w:pPr>
    </w:p>
    <w:p w14:paraId="42A07813" w14:textId="3B050A8E" w:rsidR="0052046F" w:rsidRPr="0052046F" w:rsidRDefault="0052046F" w:rsidP="00CD61AD">
      <w:pPr>
        <w:keepNext w:val="0"/>
        <w:numPr>
          <w:ilvl w:val="1"/>
          <w:numId w:val="344"/>
        </w:numPr>
        <w:tabs>
          <w:tab w:val="clear" w:pos="525"/>
          <w:tab w:val="num" w:pos="851"/>
        </w:tabs>
        <w:spacing w:before="0"/>
        <w:ind w:left="851" w:hanging="851"/>
        <w:rPr>
          <w:rFonts w:cs="Arial"/>
          <w:color w:val="auto"/>
          <w:szCs w:val="24"/>
        </w:rPr>
      </w:pPr>
      <w:r w:rsidRPr="0052046F">
        <w:rPr>
          <w:rFonts w:eastAsia="Calibri" w:cs="Arial"/>
          <w:color w:val="auto"/>
          <w:szCs w:val="24"/>
        </w:rPr>
        <w:t xml:space="preserve">The Localism Act of 2011 introduced a new right for communities to shape their local areas. Neighbourhood Plans provide an opportunity for local people to </w:t>
      </w:r>
      <w:r w:rsidR="00416653" w:rsidRPr="0052046F">
        <w:rPr>
          <w:rFonts w:eastAsia="Calibri" w:cs="Arial"/>
          <w:color w:val="auto"/>
          <w:szCs w:val="24"/>
        </w:rPr>
        <w:t>help actively and positively</w:t>
      </w:r>
      <w:r w:rsidRPr="0052046F">
        <w:rPr>
          <w:rFonts w:eastAsia="Calibri" w:cs="Arial"/>
          <w:color w:val="auto"/>
          <w:szCs w:val="24"/>
        </w:rPr>
        <w:t xml:space="preserve"> to make their local area a great place to live and work</w:t>
      </w:r>
      <w:r w:rsidRPr="0052046F">
        <w:rPr>
          <w:rFonts w:eastAsia="Calibri" w:cs="Arial"/>
          <w:color w:val="auto"/>
          <w:szCs w:val="24"/>
          <w:vertAlign w:val="superscript"/>
        </w:rPr>
        <w:footnoteReference w:id="55"/>
      </w:r>
      <w:r w:rsidRPr="0052046F">
        <w:rPr>
          <w:rFonts w:eastAsia="Calibri" w:cs="Arial"/>
          <w:color w:val="auto"/>
          <w:szCs w:val="24"/>
        </w:rPr>
        <w:t xml:space="preserve">. The Council will support parish councils and community groups who form neighbourhood forums to prepare a neighbourhood plan/order </w:t>
      </w:r>
      <w:proofErr w:type="gramStart"/>
      <w:r w:rsidRPr="0052046F">
        <w:rPr>
          <w:rFonts w:eastAsia="Calibri" w:cs="Arial"/>
          <w:color w:val="auto"/>
          <w:szCs w:val="24"/>
        </w:rPr>
        <w:t>provided that</w:t>
      </w:r>
      <w:proofErr w:type="gramEnd"/>
      <w:r w:rsidRPr="0052046F">
        <w:rPr>
          <w:rFonts w:eastAsia="Calibri" w:cs="Arial"/>
          <w:color w:val="auto"/>
          <w:szCs w:val="24"/>
        </w:rPr>
        <w:t xml:space="preserve"> it is undertake in accordance with the regulations and strategic requirements set out in the Local Plan.</w:t>
      </w:r>
    </w:p>
    <w:p w14:paraId="6A075F81" w14:textId="1B6786DD" w:rsidR="00D0642D" w:rsidRDefault="00D0642D" w:rsidP="00EE39E9">
      <w:pPr>
        <w:pStyle w:val="ListParagraph"/>
        <w:spacing w:after="0" w:line="240" w:lineRule="auto"/>
        <w:rPr>
          <w:rFonts w:ascii="Arial" w:eastAsia="Calibri" w:hAnsi="Arial" w:cs="Arial"/>
          <w:color w:val="auto"/>
          <w:szCs w:val="24"/>
        </w:rPr>
      </w:pPr>
      <w:bookmarkStart w:id="58" w:name="_Hlk79153383"/>
      <w:bookmarkEnd w:id="57"/>
    </w:p>
    <w:p w14:paraId="33A971E9" w14:textId="77777777" w:rsidR="00CD61AD" w:rsidRDefault="00CD61AD" w:rsidP="00EE39E9">
      <w:pPr>
        <w:pStyle w:val="ListParagraph"/>
        <w:spacing w:after="0" w:line="240" w:lineRule="auto"/>
        <w:rPr>
          <w:rFonts w:ascii="Arial" w:eastAsia="Calibri" w:hAnsi="Arial" w:cs="Arial"/>
          <w:color w:val="auto"/>
          <w:szCs w:val="24"/>
        </w:rPr>
      </w:pPr>
    </w:p>
    <w:p w14:paraId="013603E6" w14:textId="6D92B075" w:rsidR="009933FB" w:rsidRPr="009D5737" w:rsidRDefault="009933FB" w:rsidP="009D5737">
      <w:pPr>
        <w:pStyle w:val="Heading2"/>
        <w:jc w:val="left"/>
        <w:rPr>
          <w:sz w:val="28"/>
          <w:szCs w:val="28"/>
        </w:rPr>
      </w:pPr>
      <w:bookmarkStart w:id="59" w:name="_Toc145511558"/>
      <w:bookmarkStart w:id="60" w:name="_Hlk83014372"/>
      <w:bookmarkStart w:id="61" w:name="_Hlk78538142"/>
      <w:bookmarkEnd w:id="54"/>
      <w:r w:rsidRPr="009D5737">
        <w:rPr>
          <w:sz w:val="28"/>
          <w:szCs w:val="28"/>
        </w:rPr>
        <w:t>Strategic Policy S</w:t>
      </w:r>
      <w:r w:rsidR="00295930" w:rsidRPr="009D5737">
        <w:rPr>
          <w:sz w:val="28"/>
          <w:szCs w:val="28"/>
        </w:rPr>
        <w:t>6</w:t>
      </w:r>
      <w:r w:rsidRPr="009D5737">
        <w:rPr>
          <w:sz w:val="28"/>
          <w:szCs w:val="28"/>
        </w:rPr>
        <w:t xml:space="preserve">: </w:t>
      </w:r>
      <w:r w:rsidR="00162A7B" w:rsidRPr="009D5737">
        <w:rPr>
          <w:sz w:val="28"/>
          <w:szCs w:val="28"/>
        </w:rPr>
        <w:t xml:space="preserve">Meeting Future Needs - </w:t>
      </w:r>
      <w:r w:rsidRPr="009D5737">
        <w:rPr>
          <w:sz w:val="28"/>
          <w:szCs w:val="28"/>
        </w:rPr>
        <w:t xml:space="preserve">Strategic Employment Allocation </w:t>
      </w:r>
      <w:r w:rsidR="009E6F00" w:rsidRPr="009D5737">
        <w:rPr>
          <w:sz w:val="28"/>
          <w:szCs w:val="28"/>
        </w:rPr>
        <w:t xml:space="preserve">at </w:t>
      </w:r>
      <w:r w:rsidRPr="009D5737">
        <w:rPr>
          <w:sz w:val="28"/>
          <w:szCs w:val="28"/>
        </w:rPr>
        <w:t>Junction 27 M1 Motorway</w:t>
      </w:r>
      <w:bookmarkEnd w:id="59"/>
    </w:p>
    <w:bookmarkEnd w:id="60"/>
    <w:p w14:paraId="184DD5AF" w14:textId="77777777" w:rsidR="009D5737" w:rsidRPr="00BD197D" w:rsidRDefault="009D5737" w:rsidP="00BD197D">
      <w:pPr>
        <w:keepNext w:val="0"/>
        <w:spacing w:before="0"/>
        <w:rPr>
          <w:rFonts w:cs="Arial"/>
          <w:b/>
          <w:bCs/>
          <w:iCs/>
          <w:color w:val="auto"/>
          <w:szCs w:val="24"/>
        </w:rPr>
      </w:pPr>
    </w:p>
    <w:tbl>
      <w:tblPr>
        <w:tblStyle w:val="ReportTable1"/>
        <w:tblW w:w="9634" w:type="dxa"/>
        <w:tblLook w:val="04A0" w:firstRow="1" w:lastRow="0" w:firstColumn="1" w:lastColumn="0" w:noHBand="0" w:noVBand="1"/>
      </w:tblPr>
      <w:tblGrid>
        <w:gridCol w:w="1838"/>
        <w:gridCol w:w="1276"/>
        <w:gridCol w:w="6520"/>
      </w:tblGrid>
      <w:tr w:rsidR="00BD197D" w:rsidRPr="00BD197D" w14:paraId="33AE825F" w14:textId="77777777" w:rsidTr="009D4C91">
        <w:tc>
          <w:tcPr>
            <w:tcW w:w="9634" w:type="dxa"/>
            <w:gridSpan w:val="3"/>
          </w:tcPr>
          <w:p w14:paraId="0391CD9B" w14:textId="77777777" w:rsidR="00BD197D" w:rsidRPr="00BD197D" w:rsidRDefault="00BD197D" w:rsidP="00BD197D">
            <w:pPr>
              <w:keepNext w:val="0"/>
              <w:spacing w:before="0"/>
              <w:rPr>
                <w:rFonts w:eastAsia="Arial" w:cs="Arial"/>
                <w:b/>
                <w:color w:val="auto"/>
              </w:rPr>
            </w:pPr>
          </w:p>
          <w:p w14:paraId="2A873605" w14:textId="66BCA0BA" w:rsidR="00BD197D" w:rsidRDefault="00BD197D" w:rsidP="00BD197D">
            <w:pPr>
              <w:keepNext w:val="0"/>
              <w:spacing w:before="0"/>
              <w:rPr>
                <w:rFonts w:eastAsia="Arial" w:cs="Arial"/>
                <w:b/>
                <w:color w:val="auto"/>
              </w:rPr>
            </w:pPr>
            <w:r w:rsidRPr="00BD197D">
              <w:rPr>
                <w:rFonts w:eastAsia="Arial" w:cs="Arial"/>
                <w:b/>
                <w:color w:val="auto"/>
              </w:rPr>
              <w:t xml:space="preserve">Strategic Policy </w:t>
            </w:r>
            <w:r w:rsidRPr="00372D94">
              <w:rPr>
                <w:rFonts w:eastAsia="Arial" w:cs="Arial"/>
                <w:b/>
              </w:rPr>
              <w:t>S</w:t>
            </w:r>
            <w:r w:rsidR="00295930" w:rsidRPr="00372D94">
              <w:rPr>
                <w:rFonts w:eastAsia="Arial" w:cs="Arial"/>
                <w:b/>
              </w:rPr>
              <w:t>6</w:t>
            </w:r>
            <w:r w:rsidRPr="00372D94">
              <w:rPr>
                <w:rFonts w:eastAsia="Arial" w:cs="Arial"/>
                <w:b/>
              </w:rPr>
              <w:t>:</w:t>
            </w:r>
            <w:r w:rsidRPr="00BD197D">
              <w:rPr>
                <w:rFonts w:eastAsia="Arial" w:cs="Arial"/>
                <w:b/>
                <w:color w:val="auto"/>
              </w:rPr>
              <w:t xml:space="preserve"> </w:t>
            </w:r>
            <w:r w:rsidR="00162A7B" w:rsidRPr="00162A7B">
              <w:rPr>
                <w:rFonts w:eastAsia="Arial" w:cs="Arial"/>
                <w:b/>
                <w:color w:val="auto"/>
              </w:rPr>
              <w:t xml:space="preserve">Meeting Future Needs - </w:t>
            </w:r>
            <w:r w:rsidRPr="00BD197D">
              <w:rPr>
                <w:rFonts w:eastAsia="Arial" w:cs="Arial"/>
                <w:b/>
                <w:color w:val="auto"/>
              </w:rPr>
              <w:t>Strategic Employment Allocation</w:t>
            </w:r>
            <w:r w:rsidR="00910CAF">
              <w:rPr>
                <w:rFonts w:eastAsia="Arial" w:cs="Arial"/>
                <w:b/>
                <w:color w:val="auto"/>
              </w:rPr>
              <w:t>s</w:t>
            </w:r>
            <w:r w:rsidRPr="00BD197D">
              <w:rPr>
                <w:rFonts w:eastAsia="Arial" w:cs="Arial"/>
                <w:b/>
                <w:color w:val="auto"/>
              </w:rPr>
              <w:t xml:space="preserve"> Junction 27, M1 Motorway, Annesley</w:t>
            </w:r>
          </w:p>
          <w:p w14:paraId="0B897732" w14:textId="11775868" w:rsidR="009B4089" w:rsidRPr="00BD197D" w:rsidRDefault="009B4089" w:rsidP="00BD197D">
            <w:pPr>
              <w:keepNext w:val="0"/>
              <w:spacing w:before="0"/>
              <w:rPr>
                <w:rFonts w:cs="Arial"/>
                <w:b/>
                <w:bCs/>
                <w:color w:val="auto"/>
                <w:szCs w:val="24"/>
              </w:rPr>
            </w:pPr>
          </w:p>
        </w:tc>
      </w:tr>
      <w:tr w:rsidR="00BD197D" w:rsidRPr="00BD197D" w14:paraId="1514559C" w14:textId="77777777" w:rsidTr="009D4C91">
        <w:tc>
          <w:tcPr>
            <w:tcW w:w="3114" w:type="dxa"/>
            <w:gridSpan w:val="2"/>
          </w:tcPr>
          <w:p w14:paraId="48CC3BBF" w14:textId="77777777" w:rsidR="00BD197D" w:rsidRPr="00BD197D" w:rsidRDefault="00BD197D" w:rsidP="00BD197D">
            <w:pPr>
              <w:keepNext w:val="0"/>
              <w:spacing w:before="0"/>
              <w:rPr>
                <w:rFonts w:eastAsia="Arial" w:cs="Arial"/>
                <w:b/>
                <w:color w:val="auto"/>
              </w:rPr>
            </w:pPr>
            <w:r w:rsidRPr="00BD197D">
              <w:rPr>
                <w:rFonts w:eastAsia="Arial" w:cs="Arial"/>
                <w:bCs/>
                <w:color w:val="auto"/>
              </w:rPr>
              <w:t>Strategic Objectives</w:t>
            </w:r>
          </w:p>
        </w:tc>
        <w:tc>
          <w:tcPr>
            <w:tcW w:w="6520" w:type="dxa"/>
          </w:tcPr>
          <w:p w14:paraId="5E1CE1EE" w14:textId="77777777" w:rsidR="00BD197D" w:rsidRPr="00BD197D" w:rsidRDefault="00BD197D" w:rsidP="00BD197D">
            <w:pPr>
              <w:keepNext w:val="0"/>
              <w:spacing w:before="0"/>
              <w:rPr>
                <w:rFonts w:eastAsia="Arial" w:cs="Arial"/>
                <w:b/>
                <w:color w:val="auto"/>
              </w:rPr>
            </w:pPr>
            <w:r w:rsidRPr="00BD197D">
              <w:rPr>
                <w:rFonts w:eastAsia="Arial" w:cs="Arial"/>
                <w:bCs/>
                <w:color w:val="auto"/>
              </w:rPr>
              <w:t>SO1, S02, SO3, SO4, SO11, SO12, SO13, SO14</w:t>
            </w:r>
          </w:p>
        </w:tc>
      </w:tr>
      <w:tr w:rsidR="00BD197D" w:rsidRPr="00BD197D" w14:paraId="7D6D13D2" w14:textId="77777777" w:rsidTr="009D4C91">
        <w:tc>
          <w:tcPr>
            <w:tcW w:w="9634" w:type="dxa"/>
            <w:gridSpan w:val="3"/>
            <w:shd w:val="clear" w:color="auto" w:fill="D9D9D9" w:themeFill="background1" w:themeFillShade="D9"/>
          </w:tcPr>
          <w:p w14:paraId="4824F599" w14:textId="77777777" w:rsidR="00BD197D" w:rsidRPr="00971F1A" w:rsidRDefault="00BD197D" w:rsidP="00BD197D">
            <w:pPr>
              <w:keepNext w:val="0"/>
              <w:spacing w:before="0"/>
              <w:rPr>
                <w:rFonts w:eastAsia="Arial" w:cs="Arial"/>
                <w:bCs/>
              </w:rPr>
            </w:pPr>
          </w:p>
          <w:p w14:paraId="4CEEC3B3" w14:textId="1FD697C4" w:rsidR="00BD197D" w:rsidRPr="00971F1A" w:rsidRDefault="00BD197D" w:rsidP="00BD197D">
            <w:pPr>
              <w:keepNext w:val="0"/>
              <w:spacing w:before="0"/>
              <w:rPr>
                <w:rFonts w:eastAsia="Arial" w:cs="Arial"/>
                <w:bCs/>
              </w:rPr>
            </w:pPr>
            <w:r w:rsidRPr="00971F1A">
              <w:rPr>
                <w:rFonts w:eastAsia="Arial" w:cs="Arial"/>
                <w:bCs/>
              </w:rPr>
              <w:t>Employment land development</w:t>
            </w:r>
            <w:r w:rsidR="00BC3D9B">
              <w:rPr>
                <w:rFonts w:eastAsia="Arial" w:cs="Arial"/>
                <w:bCs/>
              </w:rPr>
              <w:t>,</w:t>
            </w:r>
            <w:r w:rsidRPr="00971F1A">
              <w:rPr>
                <w:rFonts w:eastAsia="Arial" w:cs="Arial"/>
                <w:bCs/>
              </w:rPr>
              <w:t xml:space="preserve"> </w:t>
            </w:r>
            <w:r w:rsidR="00BC3D9B">
              <w:rPr>
                <w:rFonts w:eastAsia="Arial" w:cs="Arial"/>
                <w:bCs/>
              </w:rPr>
              <w:t xml:space="preserve">principally for logistic and distribution, </w:t>
            </w:r>
            <w:r w:rsidRPr="00971F1A">
              <w:rPr>
                <w:rFonts w:eastAsia="Arial" w:cs="Arial"/>
                <w:bCs/>
              </w:rPr>
              <w:t>will be permitted on land off Junction 27 of the M1 Motorway as shown on the Policies Map:</w:t>
            </w:r>
          </w:p>
          <w:p w14:paraId="7EB5D0C7" w14:textId="77777777" w:rsidR="003444EA" w:rsidRPr="00971F1A" w:rsidRDefault="003444EA" w:rsidP="00BD197D">
            <w:pPr>
              <w:keepNext w:val="0"/>
              <w:spacing w:before="0"/>
              <w:rPr>
                <w:rFonts w:eastAsia="Arial" w:cs="Arial"/>
                <w:bCs/>
              </w:rPr>
            </w:pPr>
          </w:p>
          <w:p w14:paraId="08879690" w14:textId="5228DB4B" w:rsidR="00BD197D" w:rsidRPr="00971F1A" w:rsidRDefault="00BD197D" w:rsidP="00910CAF">
            <w:pPr>
              <w:pStyle w:val="ListParagraph"/>
              <w:numPr>
                <w:ilvl w:val="1"/>
                <w:numId w:val="11"/>
              </w:numPr>
              <w:tabs>
                <w:tab w:val="clear" w:pos="964"/>
              </w:tabs>
              <w:spacing w:after="160" w:line="252" w:lineRule="auto"/>
              <w:ind w:left="306" w:hanging="306"/>
              <w:rPr>
                <w:rFonts w:ascii="Arial" w:eastAsia="Arial" w:hAnsi="Arial" w:cs="Arial"/>
                <w:b/>
              </w:rPr>
            </w:pPr>
            <w:r w:rsidRPr="00971F1A">
              <w:rPr>
                <w:rFonts w:ascii="Arial" w:eastAsia="Arial" w:hAnsi="Arial" w:cs="Arial"/>
                <w:b/>
              </w:rPr>
              <w:t>Land to the North</w:t>
            </w:r>
            <w:r w:rsidR="00580F27" w:rsidRPr="00971F1A">
              <w:rPr>
                <w:rFonts w:ascii="Arial" w:eastAsia="Arial" w:hAnsi="Arial" w:cs="Arial"/>
                <w:b/>
              </w:rPr>
              <w:t>-</w:t>
            </w:r>
            <w:r w:rsidRPr="00971F1A">
              <w:rPr>
                <w:rFonts w:ascii="Arial" w:eastAsia="Arial" w:hAnsi="Arial" w:cs="Arial"/>
                <w:b/>
              </w:rPr>
              <w:t xml:space="preserve">East of Junction 27 and west of Sherwood Business Park comprising a gross site area of </w:t>
            </w:r>
            <w:r w:rsidR="00265BB0" w:rsidRPr="00971F1A">
              <w:rPr>
                <w:rFonts w:ascii="Arial" w:eastAsia="Arial" w:hAnsi="Arial" w:cs="Arial"/>
                <w:b/>
              </w:rPr>
              <w:t xml:space="preserve">approximately </w:t>
            </w:r>
            <w:r w:rsidRPr="00971F1A">
              <w:rPr>
                <w:rFonts w:ascii="Arial" w:eastAsia="Arial" w:hAnsi="Arial" w:cs="Arial"/>
                <w:b/>
              </w:rPr>
              <w:t>20.</w:t>
            </w:r>
            <w:r w:rsidR="00265BB0" w:rsidRPr="00971F1A">
              <w:rPr>
                <w:rFonts w:ascii="Arial" w:eastAsia="Arial" w:hAnsi="Arial" w:cs="Arial"/>
                <w:b/>
              </w:rPr>
              <w:t>47</w:t>
            </w:r>
            <w:r w:rsidRPr="00971F1A">
              <w:rPr>
                <w:rFonts w:ascii="Arial" w:eastAsia="Arial" w:hAnsi="Arial" w:cs="Arial"/>
                <w:b/>
              </w:rPr>
              <w:t xml:space="preserve"> hectares.</w:t>
            </w:r>
          </w:p>
          <w:p w14:paraId="1CCDE8E6" w14:textId="7FFDB892" w:rsidR="00BD197D" w:rsidRPr="0073604D" w:rsidRDefault="00BD197D" w:rsidP="00BD197D">
            <w:pPr>
              <w:keepNext w:val="0"/>
              <w:spacing w:before="0"/>
              <w:rPr>
                <w:rFonts w:eastAsia="Arial" w:cs="Arial"/>
                <w:bCs/>
              </w:rPr>
            </w:pPr>
            <w:bookmarkStart w:id="62" w:name="_Hlk146272607"/>
            <w:bookmarkStart w:id="63" w:name="_Hlk146272934"/>
            <w:r w:rsidRPr="00971F1A">
              <w:rPr>
                <w:rFonts w:eastAsia="Arial" w:cs="Arial"/>
                <w:bCs/>
              </w:rPr>
              <w:t xml:space="preserve">The site is of strategic employment importance given its relationship to the principal areas of growth and its accessibility via the strategic road network.  It will create high quality business space </w:t>
            </w:r>
            <w:r w:rsidR="00045A5E" w:rsidRPr="00971F1A">
              <w:rPr>
                <w:rFonts w:eastAsia="Arial" w:cs="Arial"/>
                <w:bCs/>
              </w:rPr>
              <w:t xml:space="preserve">to contribute towards meeting the regional demand for logistics.  </w:t>
            </w:r>
            <w:bookmarkEnd w:id="62"/>
            <w:r w:rsidR="00045A5E" w:rsidRPr="0073604D">
              <w:rPr>
                <w:rFonts w:eastAsia="Arial" w:cs="Arial"/>
                <w:bCs/>
              </w:rPr>
              <w:t xml:space="preserve">The site </w:t>
            </w:r>
            <w:r w:rsidR="00890358" w:rsidRPr="0073604D">
              <w:rPr>
                <w:rFonts w:eastAsia="Arial" w:cs="Arial"/>
                <w:bCs/>
              </w:rPr>
              <w:t>will deliver</w:t>
            </w:r>
            <w:r w:rsidRPr="0073604D">
              <w:rPr>
                <w:rFonts w:eastAsia="Arial" w:cs="Arial"/>
                <w:bCs/>
              </w:rPr>
              <w:t>:</w:t>
            </w:r>
          </w:p>
          <w:bookmarkEnd w:id="63"/>
          <w:p w14:paraId="226C7FEC" w14:textId="2286E62B" w:rsidR="00BD197D" w:rsidRPr="0073604D" w:rsidRDefault="00BD197D" w:rsidP="00BD197D">
            <w:pPr>
              <w:keepNext w:val="0"/>
              <w:spacing w:before="0"/>
              <w:rPr>
                <w:rFonts w:eastAsia="Arial" w:cs="Arial"/>
                <w:bCs/>
                <w:u w:val="single"/>
              </w:rPr>
            </w:pPr>
          </w:p>
          <w:p w14:paraId="37743556" w14:textId="4495EFA8" w:rsidR="00BD197D" w:rsidRPr="0073604D" w:rsidRDefault="00C867BE" w:rsidP="00874A98">
            <w:pPr>
              <w:keepNext w:val="0"/>
              <w:numPr>
                <w:ilvl w:val="0"/>
                <w:numId w:val="213"/>
              </w:numPr>
              <w:spacing w:before="0" w:after="160" w:line="252" w:lineRule="auto"/>
              <w:contextualSpacing/>
              <w:rPr>
                <w:rFonts w:eastAsia="Arial" w:cs="Arial"/>
                <w:bCs/>
              </w:rPr>
            </w:pPr>
            <w:r w:rsidRPr="0073604D">
              <w:rPr>
                <w:rFonts w:eastAsia="Arial" w:cs="Arial"/>
                <w:bCs/>
              </w:rPr>
              <w:t>D</w:t>
            </w:r>
            <w:r w:rsidR="00BD197D" w:rsidRPr="0073604D">
              <w:rPr>
                <w:rFonts w:eastAsia="Arial" w:cs="Arial"/>
                <w:bCs/>
              </w:rPr>
              <w:t>evelopment of business</w:t>
            </w:r>
            <w:r w:rsidRPr="0073604D">
              <w:rPr>
                <w:rFonts w:eastAsia="Arial" w:cs="Arial"/>
                <w:bCs/>
              </w:rPr>
              <w:t>es</w:t>
            </w:r>
            <w:r w:rsidR="00BD197D" w:rsidRPr="0073604D">
              <w:rPr>
                <w:rFonts w:eastAsia="Arial" w:cs="Arial"/>
                <w:bCs/>
              </w:rPr>
              <w:t xml:space="preserve"> operated substantially within the logistics sector</w:t>
            </w:r>
            <w:r w:rsidR="00263588" w:rsidRPr="0073604D">
              <w:rPr>
                <w:rFonts w:eastAsia="Arial" w:cs="Arial"/>
                <w:bCs/>
              </w:rPr>
              <w:t>;</w:t>
            </w:r>
          </w:p>
          <w:p w14:paraId="002EEB5A" w14:textId="6A168128" w:rsidR="00BD197D" w:rsidRPr="0073604D" w:rsidRDefault="00971F1A" w:rsidP="00874A98">
            <w:pPr>
              <w:keepNext w:val="0"/>
              <w:numPr>
                <w:ilvl w:val="0"/>
                <w:numId w:val="213"/>
              </w:numPr>
              <w:spacing w:before="0" w:after="160" w:line="252" w:lineRule="auto"/>
              <w:contextualSpacing/>
              <w:rPr>
                <w:rFonts w:eastAsia="Arial" w:cs="Arial"/>
                <w:bCs/>
              </w:rPr>
            </w:pPr>
            <w:r w:rsidRPr="0073604D">
              <w:rPr>
                <w:rFonts w:eastAsia="Arial" w:cs="Arial"/>
                <w:bCs/>
              </w:rPr>
              <w:t>H</w:t>
            </w:r>
            <w:r w:rsidR="00BD197D" w:rsidRPr="0073604D">
              <w:rPr>
                <w:rFonts w:eastAsia="Arial" w:cs="Arial"/>
                <w:bCs/>
              </w:rPr>
              <w:t xml:space="preserve">igh-quality </w:t>
            </w:r>
            <w:r w:rsidR="00832DE8" w:rsidRPr="0073604D">
              <w:rPr>
                <w:rFonts w:eastAsia="Arial" w:cs="Arial"/>
                <w:bCs/>
              </w:rPr>
              <w:t xml:space="preserve">sustainable buildings, which are carbon neutral with the </w:t>
            </w:r>
            <w:r w:rsidR="00BD197D" w:rsidRPr="0073604D">
              <w:rPr>
                <w:rFonts w:eastAsia="Arial" w:cs="Arial"/>
                <w:bCs/>
              </w:rPr>
              <w:t xml:space="preserve">design in the form and layout of the buildings and green space, which respond to </w:t>
            </w:r>
            <w:r w:rsidR="00832DE8" w:rsidRPr="0073604D">
              <w:rPr>
                <w:rFonts w:eastAsia="Arial" w:cs="Arial"/>
                <w:bCs/>
              </w:rPr>
              <w:t xml:space="preserve">site levels </w:t>
            </w:r>
            <w:proofErr w:type="gramStart"/>
            <w:r w:rsidR="00832DE8" w:rsidRPr="0073604D">
              <w:rPr>
                <w:rFonts w:eastAsia="Arial" w:cs="Arial"/>
                <w:bCs/>
              </w:rPr>
              <w:t>so as to</w:t>
            </w:r>
            <w:proofErr w:type="gramEnd"/>
            <w:r w:rsidR="00832DE8" w:rsidRPr="0073604D">
              <w:rPr>
                <w:rFonts w:eastAsia="Arial" w:cs="Arial"/>
                <w:bCs/>
              </w:rPr>
              <w:t xml:space="preserve"> minimise the visual impact on the</w:t>
            </w:r>
            <w:r w:rsidR="00BD197D" w:rsidRPr="0073604D">
              <w:rPr>
                <w:rFonts w:eastAsia="Arial" w:cs="Arial"/>
                <w:bCs/>
              </w:rPr>
              <w:t xml:space="preserve"> landscape</w:t>
            </w:r>
            <w:r w:rsidR="00263588" w:rsidRPr="0073604D">
              <w:rPr>
                <w:rFonts w:eastAsia="Arial" w:cs="Arial"/>
                <w:bCs/>
              </w:rPr>
              <w:t>;</w:t>
            </w:r>
          </w:p>
          <w:p w14:paraId="763E1682" w14:textId="0CD3ACF3" w:rsidR="00C867BE" w:rsidRPr="0073604D" w:rsidRDefault="00C867BE" w:rsidP="00874A98">
            <w:pPr>
              <w:keepNext w:val="0"/>
              <w:numPr>
                <w:ilvl w:val="0"/>
                <w:numId w:val="213"/>
              </w:numPr>
              <w:spacing w:before="0" w:after="160" w:line="252" w:lineRule="auto"/>
              <w:contextualSpacing/>
              <w:rPr>
                <w:rFonts w:eastAsia="Arial" w:cs="Arial"/>
                <w:bCs/>
              </w:rPr>
            </w:pPr>
            <w:r w:rsidRPr="0073604D">
              <w:rPr>
                <w:rFonts w:eastAsia="Arial" w:cs="Arial"/>
                <w:bCs/>
              </w:rPr>
              <w:t>The sensitive design and location of buildings that support the positive development of the site whilst respecting local character and distinctiveness</w:t>
            </w:r>
            <w:r w:rsidR="00263588" w:rsidRPr="0073604D">
              <w:rPr>
                <w:rFonts w:eastAsia="Arial" w:cs="Arial"/>
                <w:bCs/>
              </w:rPr>
              <w:t>;</w:t>
            </w:r>
          </w:p>
          <w:p w14:paraId="23079DA2" w14:textId="1D6468E5" w:rsidR="00BD197D" w:rsidRPr="0073604D" w:rsidRDefault="00C867BE" w:rsidP="00874A98">
            <w:pPr>
              <w:keepNext w:val="0"/>
              <w:numPr>
                <w:ilvl w:val="0"/>
                <w:numId w:val="213"/>
              </w:numPr>
              <w:spacing w:before="0" w:after="160" w:line="252" w:lineRule="auto"/>
              <w:contextualSpacing/>
              <w:rPr>
                <w:rFonts w:eastAsia="Arial" w:cs="Arial"/>
                <w:bCs/>
              </w:rPr>
            </w:pPr>
            <w:r w:rsidRPr="0073604D">
              <w:rPr>
                <w:rFonts w:eastAsia="Arial" w:cs="Arial"/>
                <w:bCs/>
              </w:rPr>
              <w:t>A</w:t>
            </w:r>
            <w:r w:rsidR="00BD197D" w:rsidRPr="0073604D">
              <w:rPr>
                <w:rFonts w:eastAsia="Arial" w:cs="Arial"/>
                <w:bCs/>
              </w:rPr>
              <w:t xml:space="preserve"> comprehensive package of highway improvements to facilitate the employment site</w:t>
            </w:r>
            <w:r w:rsidRPr="0073604D">
              <w:rPr>
                <w:rFonts w:eastAsia="Arial" w:cs="Arial"/>
                <w:bCs/>
              </w:rPr>
              <w:t xml:space="preserve"> including all necessary transport infrastructure improvements through direct mitigation or contributions to new and improved infrastructure, informed by National Highways and Local Highways Authority advice</w:t>
            </w:r>
            <w:r w:rsidR="00632834" w:rsidRPr="0073604D">
              <w:rPr>
                <w:rFonts w:eastAsia="Arial" w:cs="Arial"/>
                <w:bCs/>
              </w:rPr>
              <w:t>;</w:t>
            </w:r>
          </w:p>
          <w:p w14:paraId="0013D9FC" w14:textId="70722A52" w:rsidR="00973BDE" w:rsidRPr="0073604D" w:rsidRDefault="00973BDE" w:rsidP="00874A98">
            <w:pPr>
              <w:keepNext w:val="0"/>
              <w:numPr>
                <w:ilvl w:val="0"/>
                <w:numId w:val="213"/>
              </w:numPr>
              <w:spacing w:before="0" w:after="160" w:line="252" w:lineRule="auto"/>
              <w:contextualSpacing/>
              <w:rPr>
                <w:rFonts w:eastAsia="Arial" w:cs="Arial"/>
                <w:bCs/>
              </w:rPr>
            </w:pPr>
            <w:r w:rsidRPr="0073604D">
              <w:rPr>
                <w:rFonts w:eastAsia="Arial" w:cs="Arial"/>
                <w:bCs/>
              </w:rPr>
              <w:t xml:space="preserve">An appropriate financial contribution towards extending a high frequency bus service to the site supported by appropriate public transport infrastructure in or </w:t>
            </w:r>
            <w:proofErr w:type="gramStart"/>
            <w:r w:rsidRPr="0073604D">
              <w:rPr>
                <w:rFonts w:eastAsia="Arial" w:cs="Arial"/>
                <w:bCs/>
              </w:rPr>
              <w:t>close proximity</w:t>
            </w:r>
            <w:proofErr w:type="gramEnd"/>
            <w:r w:rsidRPr="0073604D">
              <w:rPr>
                <w:rFonts w:eastAsia="Arial" w:cs="Arial"/>
                <w:bCs/>
              </w:rPr>
              <w:t xml:space="preserve"> to the site</w:t>
            </w:r>
            <w:r w:rsidR="00263588" w:rsidRPr="0073604D">
              <w:rPr>
                <w:rFonts w:eastAsia="Arial" w:cs="Arial"/>
                <w:bCs/>
              </w:rPr>
              <w:t>;</w:t>
            </w:r>
          </w:p>
          <w:p w14:paraId="763723B2" w14:textId="1A36FF8B" w:rsidR="00BD197D" w:rsidRPr="0073604D" w:rsidRDefault="004C757A" w:rsidP="00874A98">
            <w:pPr>
              <w:keepNext w:val="0"/>
              <w:numPr>
                <w:ilvl w:val="0"/>
                <w:numId w:val="213"/>
              </w:numPr>
              <w:spacing w:before="0" w:after="160" w:line="252" w:lineRule="auto"/>
              <w:contextualSpacing/>
              <w:rPr>
                <w:rFonts w:eastAsia="Arial" w:cs="Arial"/>
                <w:bCs/>
              </w:rPr>
            </w:pPr>
            <w:r w:rsidRPr="0073604D">
              <w:rPr>
                <w:rFonts w:eastAsia="Arial" w:cs="Arial"/>
                <w:bCs/>
              </w:rPr>
              <w:t>Facilitates and enhances the right of way networking including access from north to south onto Weavers Lane</w:t>
            </w:r>
            <w:r w:rsidR="00263588" w:rsidRPr="0073604D">
              <w:rPr>
                <w:rFonts w:eastAsia="Arial" w:cs="Arial"/>
                <w:bCs/>
              </w:rPr>
              <w:t>;</w:t>
            </w:r>
          </w:p>
          <w:p w14:paraId="3C6155B5" w14:textId="77777777" w:rsidR="00BD197D" w:rsidRPr="0073604D" w:rsidRDefault="00BD197D" w:rsidP="00874A98">
            <w:pPr>
              <w:keepNext w:val="0"/>
              <w:numPr>
                <w:ilvl w:val="0"/>
                <w:numId w:val="213"/>
              </w:numPr>
              <w:spacing w:before="0" w:after="160" w:line="252" w:lineRule="auto"/>
              <w:contextualSpacing/>
              <w:rPr>
                <w:rFonts w:eastAsia="Arial" w:cs="Arial"/>
                <w:bCs/>
              </w:rPr>
            </w:pPr>
            <w:r w:rsidRPr="0073604D">
              <w:rPr>
                <w:rFonts w:eastAsia="Arial" w:cs="Arial"/>
                <w:bCs/>
              </w:rPr>
              <w:t>Provides a choice of walking and cycling links to Sherwood Business Park.</w:t>
            </w:r>
          </w:p>
          <w:p w14:paraId="13B26E96" w14:textId="46989D68" w:rsidR="00BD197D" w:rsidRPr="0073604D" w:rsidRDefault="00632834" w:rsidP="00874A98">
            <w:pPr>
              <w:keepNext w:val="0"/>
              <w:numPr>
                <w:ilvl w:val="0"/>
                <w:numId w:val="213"/>
              </w:numPr>
              <w:spacing w:before="0" w:after="160" w:line="252" w:lineRule="auto"/>
              <w:contextualSpacing/>
              <w:rPr>
                <w:rFonts w:eastAsia="Arial" w:cs="Arial"/>
                <w:bCs/>
              </w:rPr>
            </w:pPr>
            <w:r w:rsidRPr="0073604D">
              <w:rPr>
                <w:rFonts w:eastAsia="Arial" w:cs="Arial"/>
                <w:bCs/>
              </w:rPr>
              <w:t>A development that integrates into the landscape to c</w:t>
            </w:r>
            <w:r w:rsidR="00BD197D" w:rsidRPr="0073604D">
              <w:rPr>
                <w:rFonts w:eastAsia="Arial" w:cs="Arial"/>
                <w:bCs/>
              </w:rPr>
              <w:t>reate attractive landscaped edges to the boundaries</w:t>
            </w:r>
            <w:r w:rsidR="00263588" w:rsidRPr="0073604D">
              <w:rPr>
                <w:rFonts w:eastAsia="Arial" w:cs="Arial"/>
                <w:bCs/>
              </w:rPr>
              <w:t>;</w:t>
            </w:r>
          </w:p>
          <w:p w14:paraId="40A3675B" w14:textId="7BB6618A" w:rsidR="00567A3F" w:rsidRPr="0073604D" w:rsidRDefault="00C867BE" w:rsidP="00874A98">
            <w:pPr>
              <w:keepNext w:val="0"/>
              <w:numPr>
                <w:ilvl w:val="0"/>
                <w:numId w:val="213"/>
              </w:numPr>
              <w:spacing w:before="0" w:after="160" w:line="252" w:lineRule="auto"/>
              <w:contextualSpacing/>
              <w:rPr>
                <w:rFonts w:eastAsia="Arial" w:cs="Arial"/>
                <w:bCs/>
              </w:rPr>
            </w:pPr>
            <w:r w:rsidRPr="0073604D">
              <w:rPr>
                <w:rFonts w:eastAsia="Arial" w:cs="Arial"/>
                <w:bCs/>
              </w:rPr>
              <w:t>A scheme of an appropriate scale, layout, form and materials which respects the significance and setting of affected heritage asset</w:t>
            </w:r>
            <w:r w:rsidR="00973BDE" w:rsidRPr="0073604D">
              <w:rPr>
                <w:rFonts w:eastAsia="Arial" w:cs="Arial"/>
                <w:bCs/>
              </w:rPr>
              <w:t>s, m</w:t>
            </w:r>
            <w:r w:rsidR="000C1B98" w:rsidRPr="0073604D">
              <w:rPr>
                <w:rFonts w:eastAsia="Arial" w:cs="Arial"/>
                <w:bCs/>
              </w:rPr>
              <w:t>inimis</w:t>
            </w:r>
            <w:r w:rsidRPr="0073604D">
              <w:rPr>
                <w:rFonts w:eastAsia="Arial" w:cs="Arial"/>
                <w:bCs/>
              </w:rPr>
              <w:t>ing</w:t>
            </w:r>
            <w:r w:rsidR="000C1B98" w:rsidRPr="0073604D">
              <w:rPr>
                <w:rFonts w:eastAsia="Arial" w:cs="Arial"/>
                <w:bCs/>
              </w:rPr>
              <w:t xml:space="preserve"> </w:t>
            </w:r>
            <w:r w:rsidR="00973BDE" w:rsidRPr="0073604D">
              <w:rPr>
                <w:rFonts w:eastAsia="Arial" w:cs="Arial"/>
                <w:bCs/>
              </w:rPr>
              <w:t>any</w:t>
            </w:r>
            <w:r w:rsidR="000C1B98" w:rsidRPr="0073604D">
              <w:rPr>
                <w:rFonts w:eastAsia="Arial" w:cs="Arial"/>
                <w:bCs/>
              </w:rPr>
              <w:t xml:space="preserve"> harm to</w:t>
            </w:r>
            <w:r w:rsidR="00B21D61" w:rsidRPr="0073604D">
              <w:rPr>
                <w:rFonts w:eastAsia="Arial" w:cs="Arial"/>
                <w:bCs/>
              </w:rPr>
              <w:t xml:space="preserve"> </w:t>
            </w:r>
            <w:r w:rsidR="008D7AE2" w:rsidRPr="0073604D">
              <w:rPr>
                <w:rFonts w:eastAsia="Arial" w:cs="Arial"/>
                <w:bCs/>
              </w:rPr>
              <w:t>designated and non-designated heritage assets and their settin</w:t>
            </w:r>
            <w:r w:rsidR="00263588" w:rsidRPr="0073604D">
              <w:rPr>
                <w:rFonts w:eastAsia="Arial" w:cs="Arial"/>
                <w:bCs/>
              </w:rPr>
              <w:t>g;</w:t>
            </w:r>
          </w:p>
          <w:p w14:paraId="3F493C8B" w14:textId="0910E3F2" w:rsidR="00BD197D" w:rsidRPr="0073604D" w:rsidRDefault="00632834" w:rsidP="00874A98">
            <w:pPr>
              <w:keepNext w:val="0"/>
              <w:numPr>
                <w:ilvl w:val="0"/>
                <w:numId w:val="213"/>
              </w:numPr>
              <w:spacing w:before="0" w:after="160" w:line="252" w:lineRule="auto"/>
              <w:contextualSpacing/>
              <w:rPr>
                <w:rFonts w:eastAsia="Arial" w:cs="Arial"/>
                <w:bCs/>
              </w:rPr>
            </w:pPr>
            <w:r w:rsidRPr="0073604D">
              <w:rPr>
                <w:rFonts w:eastAsia="Arial" w:cs="Arial"/>
                <w:bCs/>
              </w:rPr>
              <w:t>The r</w:t>
            </w:r>
            <w:r w:rsidR="00BD197D" w:rsidRPr="0073604D">
              <w:rPr>
                <w:rFonts w:eastAsia="Arial" w:cs="Arial"/>
                <w:bCs/>
              </w:rPr>
              <w:t>et</w:t>
            </w:r>
            <w:r w:rsidRPr="0073604D">
              <w:rPr>
                <w:rFonts w:eastAsia="Arial" w:cs="Arial"/>
                <w:bCs/>
              </w:rPr>
              <w:t>ention</w:t>
            </w:r>
            <w:r w:rsidR="00BD197D" w:rsidRPr="0073604D">
              <w:rPr>
                <w:rFonts w:eastAsia="Arial" w:cs="Arial"/>
                <w:bCs/>
              </w:rPr>
              <w:t>, where possible, exiting hedges and trees together with enhancement of boundary hedges and trees</w:t>
            </w:r>
            <w:r w:rsidR="00263588" w:rsidRPr="0073604D">
              <w:rPr>
                <w:rFonts w:eastAsia="Arial" w:cs="Arial"/>
                <w:bCs/>
              </w:rPr>
              <w:t>;</w:t>
            </w:r>
          </w:p>
          <w:p w14:paraId="77A48858" w14:textId="4DC1385D" w:rsidR="00BD197D" w:rsidRPr="0073604D" w:rsidRDefault="00632834" w:rsidP="00874A98">
            <w:pPr>
              <w:keepNext w:val="0"/>
              <w:numPr>
                <w:ilvl w:val="0"/>
                <w:numId w:val="213"/>
              </w:numPr>
              <w:spacing w:before="0" w:after="160" w:line="252" w:lineRule="auto"/>
              <w:contextualSpacing/>
              <w:rPr>
                <w:rFonts w:eastAsia="Arial" w:cs="Arial"/>
                <w:bCs/>
                <w:strike/>
              </w:rPr>
            </w:pPr>
            <w:r w:rsidRPr="0073604D">
              <w:rPr>
                <w:rFonts w:eastAsia="Arial" w:cs="Arial"/>
                <w:bCs/>
              </w:rPr>
              <w:t>Protection and enhancement of existing wildlife areas and create a coherent biodiversity network in accordance with Policy EV4</w:t>
            </w:r>
            <w:r w:rsidR="00971F1A" w:rsidRPr="0073604D">
              <w:rPr>
                <w:rFonts w:eastAsia="Arial" w:cs="Arial"/>
                <w:bCs/>
              </w:rPr>
              <w:t>;</w:t>
            </w:r>
          </w:p>
          <w:p w14:paraId="7E0F8EBA" w14:textId="37BAA32B" w:rsidR="00BD197D" w:rsidRPr="0073604D" w:rsidRDefault="00632834" w:rsidP="00874A98">
            <w:pPr>
              <w:keepNext w:val="0"/>
              <w:numPr>
                <w:ilvl w:val="0"/>
                <w:numId w:val="213"/>
              </w:numPr>
              <w:spacing w:before="0" w:after="160" w:line="252" w:lineRule="auto"/>
              <w:contextualSpacing/>
              <w:rPr>
                <w:rFonts w:eastAsia="Arial" w:cs="Arial"/>
                <w:bCs/>
              </w:rPr>
            </w:pPr>
            <w:r w:rsidRPr="0073604D">
              <w:rPr>
                <w:rFonts w:eastAsia="Arial" w:cs="Arial"/>
                <w:bCs/>
              </w:rPr>
              <w:t>B</w:t>
            </w:r>
            <w:r w:rsidR="00BD197D" w:rsidRPr="0073604D">
              <w:rPr>
                <w:rFonts w:eastAsia="Arial" w:cs="Arial"/>
                <w:bCs/>
              </w:rPr>
              <w:t>iodiversity net gain through the delivery of extensive woodland and native scrub planting, wildflower meadows and neutral grassland and reinforcement of hedgerows with native species</w:t>
            </w:r>
            <w:r w:rsidR="00263588" w:rsidRPr="0073604D">
              <w:rPr>
                <w:rFonts w:eastAsia="Arial" w:cs="Arial"/>
                <w:bCs/>
              </w:rPr>
              <w:t>;</w:t>
            </w:r>
          </w:p>
          <w:p w14:paraId="7FAC2F73" w14:textId="3A1AC6D9" w:rsidR="006F6F68" w:rsidRPr="0073604D" w:rsidRDefault="009D275E" w:rsidP="00874A98">
            <w:pPr>
              <w:keepNext w:val="0"/>
              <w:numPr>
                <w:ilvl w:val="0"/>
                <w:numId w:val="213"/>
              </w:numPr>
              <w:spacing w:before="0"/>
              <w:ind w:left="357" w:hanging="357"/>
              <w:contextualSpacing/>
              <w:rPr>
                <w:rFonts w:eastAsia="Arial" w:cs="Arial"/>
                <w:bCs/>
              </w:rPr>
            </w:pPr>
            <w:r w:rsidRPr="0073604D">
              <w:rPr>
                <w:rFonts w:eastAsia="Arial" w:cs="Arial"/>
                <w:bCs/>
              </w:rPr>
              <w:t>M</w:t>
            </w:r>
            <w:r w:rsidR="006F6F68" w:rsidRPr="0073604D">
              <w:rPr>
                <w:rFonts w:eastAsia="Arial" w:cs="Arial"/>
                <w:bCs/>
              </w:rPr>
              <w:t>inimising the likely ecological impacts of the amount and quality of artificial light</w:t>
            </w:r>
            <w:r w:rsidR="00263588" w:rsidRPr="0073604D">
              <w:rPr>
                <w:rFonts w:eastAsia="Arial" w:cs="Arial"/>
                <w:bCs/>
              </w:rPr>
              <w:t>;</w:t>
            </w:r>
          </w:p>
          <w:p w14:paraId="19917000" w14:textId="6DE90D41" w:rsidR="006456CA" w:rsidRPr="0073604D" w:rsidRDefault="00971F1A" w:rsidP="00874A98">
            <w:pPr>
              <w:pStyle w:val="ListParagraph"/>
              <w:numPr>
                <w:ilvl w:val="0"/>
                <w:numId w:val="213"/>
              </w:numPr>
              <w:spacing w:after="0" w:line="240" w:lineRule="auto"/>
              <w:ind w:left="357" w:hanging="357"/>
              <w:rPr>
                <w:rFonts w:ascii="Arial" w:eastAsia="Arial" w:hAnsi="Arial" w:cs="Arial"/>
                <w:bCs/>
                <w:szCs w:val="20"/>
                <w:lang w:eastAsia="en-GB"/>
              </w:rPr>
            </w:pPr>
            <w:r w:rsidRPr="0073604D">
              <w:rPr>
                <w:rFonts w:ascii="Arial" w:eastAsia="Arial" w:hAnsi="Arial" w:cs="Arial"/>
                <w:bCs/>
                <w:szCs w:val="20"/>
                <w:lang w:eastAsia="en-GB"/>
              </w:rPr>
              <w:t>D</w:t>
            </w:r>
            <w:r w:rsidR="006456CA" w:rsidRPr="0073604D">
              <w:rPr>
                <w:rFonts w:ascii="Arial" w:eastAsia="Arial" w:hAnsi="Arial" w:cs="Arial"/>
                <w:bCs/>
                <w:szCs w:val="20"/>
                <w:lang w:eastAsia="en-GB"/>
              </w:rPr>
              <w:t>evelopment which, subject to viability, will exceed Building Regulations requirements for carbon emissions in accordance with Policy CC1;</w:t>
            </w:r>
          </w:p>
          <w:p w14:paraId="719A4524" w14:textId="083E4D64" w:rsidR="00BD197D" w:rsidRPr="0073604D" w:rsidRDefault="00632834" w:rsidP="00874A98">
            <w:pPr>
              <w:keepNext w:val="0"/>
              <w:numPr>
                <w:ilvl w:val="0"/>
                <w:numId w:val="213"/>
              </w:numPr>
              <w:spacing w:before="0" w:after="160" w:line="252" w:lineRule="auto"/>
              <w:contextualSpacing/>
              <w:rPr>
                <w:rFonts w:eastAsia="Arial" w:cs="Arial"/>
                <w:bCs/>
              </w:rPr>
            </w:pPr>
            <w:r w:rsidRPr="0073604D">
              <w:rPr>
                <w:rFonts w:eastAsia="Arial" w:cs="Arial"/>
                <w:bCs/>
              </w:rPr>
              <w:t>S</w:t>
            </w:r>
            <w:r w:rsidR="00BD197D" w:rsidRPr="0073604D">
              <w:rPr>
                <w:rFonts w:eastAsia="Arial" w:cs="Arial"/>
                <w:bCs/>
              </w:rPr>
              <w:t>ustainable drainage systems (</w:t>
            </w:r>
            <w:proofErr w:type="spellStart"/>
            <w:r w:rsidR="00BD197D" w:rsidRPr="0073604D">
              <w:rPr>
                <w:rFonts w:eastAsia="Arial" w:cs="Arial"/>
                <w:bCs/>
              </w:rPr>
              <w:t>SuDS</w:t>
            </w:r>
            <w:proofErr w:type="spellEnd"/>
            <w:r w:rsidR="00BD197D" w:rsidRPr="0073604D">
              <w:rPr>
                <w:rFonts w:eastAsia="Arial" w:cs="Arial"/>
                <w:bCs/>
              </w:rPr>
              <w:t xml:space="preserve">) to retain surface water flows at greenfield rates of run off.  </w:t>
            </w:r>
            <w:proofErr w:type="spellStart"/>
            <w:r w:rsidR="00BD197D" w:rsidRPr="0073604D">
              <w:rPr>
                <w:rFonts w:eastAsia="Arial" w:cs="Arial"/>
                <w:bCs/>
              </w:rPr>
              <w:t>SuDS</w:t>
            </w:r>
            <w:proofErr w:type="spellEnd"/>
            <w:r w:rsidR="00BD197D" w:rsidRPr="0073604D">
              <w:rPr>
                <w:rFonts w:eastAsia="Arial" w:cs="Arial"/>
                <w:bCs/>
              </w:rPr>
              <w:t xml:space="preserve"> should be integrated into the green/blue infrastructure</w:t>
            </w:r>
            <w:r w:rsidRPr="0073604D">
              <w:rPr>
                <w:rFonts w:eastAsia="Arial" w:cs="Arial"/>
                <w:bCs/>
              </w:rPr>
              <w:t>; and</w:t>
            </w:r>
          </w:p>
          <w:p w14:paraId="465B64AC" w14:textId="49BD181E" w:rsidR="00BD197D" w:rsidRPr="0073604D" w:rsidRDefault="00BD197D" w:rsidP="00874A98">
            <w:pPr>
              <w:keepNext w:val="0"/>
              <w:numPr>
                <w:ilvl w:val="0"/>
                <w:numId w:val="213"/>
              </w:numPr>
              <w:spacing w:before="0" w:after="160" w:line="252" w:lineRule="auto"/>
              <w:contextualSpacing/>
              <w:rPr>
                <w:rFonts w:eastAsia="Arial" w:cs="Arial"/>
                <w:bCs/>
              </w:rPr>
            </w:pPr>
            <w:r w:rsidRPr="0073604D">
              <w:rPr>
                <w:rFonts w:eastAsia="Arial" w:cs="Arial"/>
                <w:bCs/>
              </w:rPr>
              <w:t>Provision for the long-term managements of the green spaces.</w:t>
            </w:r>
          </w:p>
          <w:p w14:paraId="60ECBEC3" w14:textId="77777777" w:rsidR="00971F1A" w:rsidRPr="00971F1A" w:rsidRDefault="00971F1A" w:rsidP="00971F1A">
            <w:pPr>
              <w:keepNext w:val="0"/>
              <w:spacing w:before="0" w:after="160" w:line="252" w:lineRule="auto"/>
              <w:ind w:left="360"/>
              <w:contextualSpacing/>
              <w:rPr>
                <w:rFonts w:eastAsia="Arial" w:cs="Arial"/>
                <w:bCs/>
              </w:rPr>
            </w:pPr>
          </w:p>
          <w:p w14:paraId="070C5F1A" w14:textId="77777777" w:rsidR="00BD197D" w:rsidRPr="00971F1A" w:rsidRDefault="00BD197D" w:rsidP="00BD197D">
            <w:pPr>
              <w:keepNext w:val="0"/>
              <w:spacing w:before="0"/>
              <w:rPr>
                <w:rFonts w:eastAsia="Arial" w:cs="Arial"/>
                <w:bCs/>
              </w:rPr>
            </w:pPr>
          </w:p>
          <w:p w14:paraId="1437EC73" w14:textId="213023F0" w:rsidR="003444EA" w:rsidRPr="00971F1A" w:rsidRDefault="003444EA" w:rsidP="003444EA">
            <w:pPr>
              <w:pStyle w:val="ListParagraph"/>
              <w:numPr>
                <w:ilvl w:val="1"/>
                <w:numId w:val="11"/>
              </w:numPr>
              <w:tabs>
                <w:tab w:val="clear" w:pos="964"/>
              </w:tabs>
              <w:spacing w:after="160" w:line="252" w:lineRule="auto"/>
              <w:ind w:left="306" w:hanging="306"/>
              <w:rPr>
                <w:rFonts w:ascii="Arial" w:eastAsia="Arial" w:hAnsi="Arial" w:cs="Arial"/>
                <w:b/>
              </w:rPr>
            </w:pPr>
            <w:r w:rsidRPr="00971F1A">
              <w:rPr>
                <w:rFonts w:ascii="Arial" w:eastAsia="Arial" w:hAnsi="Arial" w:cs="Arial"/>
                <w:b/>
              </w:rPr>
              <w:t>Land to the South- East of Junction 27 comprising a gross area of approximately 25 hectares towards the latter part of the Plan Period.</w:t>
            </w:r>
          </w:p>
          <w:p w14:paraId="61F5EAA6" w14:textId="6F281231" w:rsidR="00BD197D" w:rsidRPr="00971F1A" w:rsidRDefault="00BD197D" w:rsidP="00BD197D">
            <w:pPr>
              <w:keepNext w:val="0"/>
              <w:spacing w:before="0"/>
              <w:rPr>
                <w:rFonts w:eastAsia="Arial" w:cs="Arial"/>
                <w:bCs/>
              </w:rPr>
            </w:pPr>
            <w:r w:rsidRPr="00971F1A">
              <w:rPr>
                <w:rFonts w:eastAsia="Arial" w:cs="Arial"/>
                <w:bCs/>
              </w:rPr>
              <w:t xml:space="preserve">This site is of strategic employment importance given its relationship to the principal areas of growth and its accessibility via the strategic road network.  It will create high quality business space </w:t>
            </w:r>
            <w:r w:rsidR="00045A5E" w:rsidRPr="00971F1A">
              <w:rPr>
                <w:rFonts w:eastAsia="Arial" w:cs="Arial"/>
                <w:bCs/>
              </w:rPr>
              <w:t xml:space="preserve">to contribute towards meeting the regional demand for logistics. The site </w:t>
            </w:r>
            <w:r w:rsidR="00973BDE" w:rsidRPr="00971F1A">
              <w:rPr>
                <w:rFonts w:eastAsia="Arial" w:cs="Arial"/>
                <w:bCs/>
              </w:rPr>
              <w:t>will deliver</w:t>
            </w:r>
            <w:r w:rsidRPr="00971F1A">
              <w:rPr>
                <w:rFonts w:eastAsia="Arial" w:cs="Arial"/>
                <w:bCs/>
              </w:rPr>
              <w:t>:</w:t>
            </w:r>
          </w:p>
          <w:p w14:paraId="3237BC98" w14:textId="77777777" w:rsidR="00BD197D" w:rsidRPr="00971F1A" w:rsidRDefault="00BD197D" w:rsidP="00BD197D">
            <w:pPr>
              <w:keepNext w:val="0"/>
              <w:spacing w:before="0"/>
              <w:rPr>
                <w:rFonts w:eastAsia="Arial" w:cs="Arial"/>
                <w:bCs/>
                <w:u w:val="single"/>
              </w:rPr>
            </w:pPr>
          </w:p>
          <w:p w14:paraId="1F4AE857" w14:textId="108812BD" w:rsidR="00BD197D" w:rsidRPr="00971F1A" w:rsidRDefault="00973BDE" w:rsidP="00874A98">
            <w:pPr>
              <w:keepNext w:val="0"/>
              <w:numPr>
                <w:ilvl w:val="0"/>
                <w:numId w:val="213"/>
              </w:numPr>
              <w:spacing w:before="0" w:after="160" w:line="252" w:lineRule="auto"/>
              <w:contextualSpacing/>
              <w:rPr>
                <w:rFonts w:eastAsia="Arial" w:cs="Arial"/>
                <w:bCs/>
              </w:rPr>
            </w:pPr>
            <w:r w:rsidRPr="00971F1A">
              <w:rPr>
                <w:rFonts w:eastAsia="Arial" w:cs="Arial"/>
                <w:bCs/>
              </w:rPr>
              <w:t>D</w:t>
            </w:r>
            <w:r w:rsidR="00BD197D" w:rsidRPr="00971F1A">
              <w:rPr>
                <w:rFonts w:eastAsia="Arial" w:cs="Arial"/>
                <w:bCs/>
              </w:rPr>
              <w:t>evelopment of business</w:t>
            </w:r>
            <w:r w:rsidRPr="00971F1A">
              <w:rPr>
                <w:rFonts w:eastAsia="Arial" w:cs="Arial"/>
                <w:bCs/>
              </w:rPr>
              <w:t>es</w:t>
            </w:r>
            <w:r w:rsidR="00BD197D" w:rsidRPr="00971F1A">
              <w:rPr>
                <w:rFonts w:eastAsia="Arial" w:cs="Arial"/>
                <w:bCs/>
              </w:rPr>
              <w:t xml:space="preserve"> operated substantially within the logistics sector</w:t>
            </w:r>
            <w:r w:rsidR="00971F1A">
              <w:rPr>
                <w:rFonts w:eastAsia="Arial" w:cs="Arial"/>
                <w:bCs/>
              </w:rPr>
              <w:t>;</w:t>
            </w:r>
          </w:p>
          <w:p w14:paraId="3DD8E408" w14:textId="63F13EE4" w:rsidR="00D411FD" w:rsidRPr="00971F1A" w:rsidRDefault="00C336C2" w:rsidP="00874A98">
            <w:pPr>
              <w:keepNext w:val="0"/>
              <w:numPr>
                <w:ilvl w:val="0"/>
                <w:numId w:val="213"/>
              </w:numPr>
              <w:spacing w:before="0" w:after="160" w:line="252" w:lineRule="auto"/>
              <w:contextualSpacing/>
              <w:rPr>
                <w:rFonts w:eastAsia="Arial" w:cs="Arial"/>
                <w:bCs/>
              </w:rPr>
            </w:pPr>
            <w:r w:rsidRPr="00971F1A">
              <w:rPr>
                <w:rFonts w:eastAsia="Arial" w:cs="Arial"/>
                <w:bCs/>
              </w:rPr>
              <w:lastRenderedPageBreak/>
              <w:t>H</w:t>
            </w:r>
            <w:r w:rsidR="00D411FD" w:rsidRPr="00971F1A">
              <w:rPr>
                <w:rFonts w:eastAsia="Arial" w:cs="Arial"/>
                <w:bCs/>
              </w:rPr>
              <w:t xml:space="preserve">igh-quality sustainable buildings, which are carbon neutral with the design in the form and layout of the buildings and green space, which respond to site levels </w:t>
            </w:r>
            <w:proofErr w:type="gramStart"/>
            <w:r w:rsidR="00D411FD" w:rsidRPr="00971F1A">
              <w:rPr>
                <w:rFonts w:eastAsia="Arial" w:cs="Arial"/>
                <w:bCs/>
              </w:rPr>
              <w:t>so as to</w:t>
            </w:r>
            <w:proofErr w:type="gramEnd"/>
            <w:r w:rsidR="00D411FD" w:rsidRPr="00971F1A">
              <w:rPr>
                <w:rFonts w:eastAsia="Arial" w:cs="Arial"/>
                <w:bCs/>
              </w:rPr>
              <w:t xml:space="preserve"> minimise the visual impact on the landscape</w:t>
            </w:r>
            <w:r w:rsidR="00632834" w:rsidRPr="00971F1A">
              <w:rPr>
                <w:rFonts w:eastAsia="Arial" w:cs="Arial"/>
                <w:bCs/>
              </w:rPr>
              <w:t>;</w:t>
            </w:r>
          </w:p>
          <w:p w14:paraId="4CB68BB7" w14:textId="674AB4ED" w:rsidR="00C336C2" w:rsidRPr="00971F1A" w:rsidRDefault="00C336C2" w:rsidP="00874A98">
            <w:pPr>
              <w:keepNext w:val="0"/>
              <w:numPr>
                <w:ilvl w:val="0"/>
                <w:numId w:val="213"/>
              </w:numPr>
              <w:spacing w:before="0" w:after="160" w:line="252" w:lineRule="auto"/>
              <w:contextualSpacing/>
              <w:rPr>
                <w:rFonts w:eastAsia="Arial" w:cs="Arial"/>
                <w:bCs/>
              </w:rPr>
            </w:pPr>
            <w:r w:rsidRPr="00971F1A">
              <w:rPr>
                <w:rFonts w:eastAsia="Arial" w:cs="Arial"/>
                <w:bCs/>
              </w:rPr>
              <w:t>A</w:t>
            </w:r>
            <w:r w:rsidR="00BD197D" w:rsidRPr="00971F1A">
              <w:rPr>
                <w:rFonts w:eastAsia="Arial" w:cs="Arial"/>
                <w:bCs/>
              </w:rPr>
              <w:t xml:space="preserve"> comprehensive package of highway improvements to facilitate the employment site</w:t>
            </w:r>
            <w:r w:rsidRPr="00971F1A">
              <w:t xml:space="preserve"> </w:t>
            </w:r>
            <w:r w:rsidRPr="00971F1A">
              <w:rPr>
                <w:rFonts w:eastAsia="Arial" w:cs="Arial"/>
                <w:bCs/>
              </w:rPr>
              <w:t>including all necessary transport infrastructure improvements through direct mitigation or contributions to new and improved infrastructure, informed by National Highways and Local Highways Authority advice</w:t>
            </w:r>
            <w:r w:rsidR="00632834" w:rsidRPr="00971F1A">
              <w:rPr>
                <w:rFonts w:eastAsia="Arial" w:cs="Arial"/>
                <w:bCs/>
              </w:rPr>
              <w:t>;</w:t>
            </w:r>
          </w:p>
          <w:p w14:paraId="121ACE9D" w14:textId="188544DC" w:rsidR="00C336C2" w:rsidRPr="00971F1A" w:rsidRDefault="00C336C2" w:rsidP="00874A98">
            <w:pPr>
              <w:keepNext w:val="0"/>
              <w:numPr>
                <w:ilvl w:val="0"/>
                <w:numId w:val="213"/>
              </w:numPr>
              <w:spacing w:before="0" w:after="160" w:line="252" w:lineRule="auto"/>
              <w:contextualSpacing/>
              <w:rPr>
                <w:rFonts w:eastAsia="Arial" w:cs="Arial"/>
                <w:bCs/>
              </w:rPr>
            </w:pPr>
            <w:r w:rsidRPr="00971F1A">
              <w:rPr>
                <w:rFonts w:eastAsia="Arial" w:cs="Arial"/>
                <w:bCs/>
              </w:rPr>
              <w:t xml:space="preserve">An appropriate financial contribution towards extending a high frequency bus service to the site supported by appropriate public transport infrastructure in or </w:t>
            </w:r>
            <w:proofErr w:type="gramStart"/>
            <w:r w:rsidRPr="00971F1A">
              <w:rPr>
                <w:rFonts w:eastAsia="Arial" w:cs="Arial"/>
                <w:bCs/>
              </w:rPr>
              <w:t>close proximity</w:t>
            </w:r>
            <w:proofErr w:type="gramEnd"/>
            <w:r w:rsidRPr="00971F1A">
              <w:rPr>
                <w:rFonts w:eastAsia="Arial" w:cs="Arial"/>
                <w:bCs/>
              </w:rPr>
              <w:t xml:space="preserve"> to the site</w:t>
            </w:r>
            <w:r w:rsidR="006456CA" w:rsidRPr="00971F1A">
              <w:rPr>
                <w:rFonts w:eastAsia="Arial" w:cs="Arial"/>
                <w:bCs/>
              </w:rPr>
              <w:t>;</w:t>
            </w:r>
          </w:p>
          <w:p w14:paraId="7C959C6C" w14:textId="3A2F56EA" w:rsidR="000E096B" w:rsidRPr="00971F1A" w:rsidRDefault="000E096B" w:rsidP="00874A98">
            <w:pPr>
              <w:keepNext w:val="0"/>
              <w:numPr>
                <w:ilvl w:val="0"/>
                <w:numId w:val="213"/>
              </w:numPr>
              <w:spacing w:before="0" w:after="160" w:line="252" w:lineRule="auto"/>
              <w:contextualSpacing/>
              <w:rPr>
                <w:rFonts w:eastAsia="Arial" w:cs="Arial"/>
                <w:bCs/>
              </w:rPr>
            </w:pPr>
            <w:r w:rsidRPr="00971F1A">
              <w:rPr>
                <w:rFonts w:eastAsia="Arial" w:cs="Arial"/>
                <w:bCs/>
              </w:rPr>
              <w:t>Facilitates and enhances the right of way networking including access from north to south onto Weavers Lane</w:t>
            </w:r>
            <w:r w:rsidR="00632834" w:rsidRPr="00971F1A">
              <w:rPr>
                <w:rFonts w:eastAsia="Arial" w:cs="Arial"/>
                <w:bCs/>
              </w:rPr>
              <w:t>;</w:t>
            </w:r>
          </w:p>
          <w:p w14:paraId="01B9A0D3" w14:textId="017E7A3F" w:rsidR="00632834" w:rsidRPr="00971F1A" w:rsidRDefault="00632834" w:rsidP="00874A98">
            <w:pPr>
              <w:keepNext w:val="0"/>
              <w:numPr>
                <w:ilvl w:val="0"/>
                <w:numId w:val="213"/>
              </w:numPr>
              <w:spacing w:before="0" w:after="160" w:line="252" w:lineRule="auto"/>
              <w:contextualSpacing/>
              <w:rPr>
                <w:rFonts w:eastAsia="Arial" w:cs="Arial"/>
                <w:bCs/>
              </w:rPr>
            </w:pPr>
            <w:r w:rsidRPr="00971F1A">
              <w:rPr>
                <w:rFonts w:eastAsia="Arial" w:cs="Arial"/>
                <w:bCs/>
              </w:rPr>
              <w:t>A development that i</w:t>
            </w:r>
            <w:r w:rsidR="00BD197D" w:rsidRPr="00971F1A">
              <w:rPr>
                <w:rFonts w:eastAsia="Arial" w:cs="Arial"/>
                <w:bCs/>
              </w:rPr>
              <w:t>ntegrates into the landscape to create attractive landscaped edges to the boundaries</w:t>
            </w:r>
            <w:r w:rsidRPr="00971F1A">
              <w:rPr>
                <w:rFonts w:eastAsia="Arial" w:cs="Arial"/>
                <w:bCs/>
              </w:rPr>
              <w:t>;</w:t>
            </w:r>
          </w:p>
          <w:p w14:paraId="27E64AF2" w14:textId="54BECEFD" w:rsidR="00567A3F" w:rsidRPr="00971F1A" w:rsidRDefault="00C336C2" w:rsidP="00874A98">
            <w:pPr>
              <w:keepNext w:val="0"/>
              <w:numPr>
                <w:ilvl w:val="0"/>
                <w:numId w:val="213"/>
              </w:numPr>
              <w:spacing w:before="0" w:after="160" w:line="252" w:lineRule="auto"/>
              <w:contextualSpacing/>
              <w:rPr>
                <w:rFonts w:eastAsia="Arial" w:cs="Arial"/>
                <w:bCs/>
              </w:rPr>
            </w:pPr>
            <w:r w:rsidRPr="00971F1A">
              <w:rPr>
                <w:rFonts w:eastAsia="Arial" w:cs="Arial"/>
                <w:bCs/>
              </w:rPr>
              <w:t>A scheme of an appropriate scale, layout, form and materials which respects the significance and setting of affected heritage assets, minimising any harm to designated and non-designated heritage assets and their setting</w:t>
            </w:r>
            <w:r w:rsidR="006456CA" w:rsidRPr="00971F1A">
              <w:rPr>
                <w:rFonts w:eastAsia="Arial" w:cs="Arial"/>
                <w:bCs/>
              </w:rPr>
              <w:t>;</w:t>
            </w:r>
            <w:r w:rsidR="008D7AE2" w:rsidRPr="00971F1A">
              <w:rPr>
                <w:rFonts w:eastAsia="Arial" w:cs="Arial"/>
                <w:bCs/>
              </w:rPr>
              <w:t xml:space="preserve"> </w:t>
            </w:r>
          </w:p>
          <w:p w14:paraId="6D7014FA" w14:textId="6A5830B8" w:rsidR="00BD197D" w:rsidRPr="00971F1A" w:rsidRDefault="00632834" w:rsidP="00874A98">
            <w:pPr>
              <w:keepNext w:val="0"/>
              <w:numPr>
                <w:ilvl w:val="0"/>
                <w:numId w:val="213"/>
              </w:numPr>
              <w:spacing w:before="0" w:after="160" w:line="252" w:lineRule="auto"/>
              <w:contextualSpacing/>
              <w:rPr>
                <w:rFonts w:eastAsia="Arial" w:cs="Arial"/>
                <w:bCs/>
              </w:rPr>
            </w:pPr>
            <w:r w:rsidRPr="00971F1A">
              <w:rPr>
                <w:rFonts w:eastAsia="Arial" w:cs="Arial"/>
                <w:bCs/>
              </w:rPr>
              <w:t>The r</w:t>
            </w:r>
            <w:r w:rsidR="00BD197D" w:rsidRPr="00971F1A">
              <w:rPr>
                <w:rFonts w:eastAsia="Arial" w:cs="Arial"/>
                <w:bCs/>
              </w:rPr>
              <w:t>etention, where possible, of exiting hedges and trees together with enhancement of boundary hedges and trees</w:t>
            </w:r>
            <w:r w:rsidR="00971F1A">
              <w:rPr>
                <w:rFonts w:eastAsia="Arial" w:cs="Arial"/>
                <w:bCs/>
              </w:rPr>
              <w:t>;</w:t>
            </w:r>
          </w:p>
          <w:p w14:paraId="108EB56A" w14:textId="64273043" w:rsidR="00BD197D" w:rsidRPr="00971F1A" w:rsidRDefault="00632834" w:rsidP="00874A98">
            <w:pPr>
              <w:keepNext w:val="0"/>
              <w:numPr>
                <w:ilvl w:val="0"/>
                <w:numId w:val="213"/>
              </w:numPr>
              <w:tabs>
                <w:tab w:val="left" w:pos="680"/>
                <w:tab w:val="left" w:pos="1133"/>
                <w:tab w:val="left" w:pos="2267"/>
              </w:tabs>
              <w:spacing w:before="0" w:after="160" w:line="252" w:lineRule="auto"/>
              <w:ind w:right="284"/>
              <w:contextualSpacing/>
              <w:jc w:val="both"/>
              <w:rPr>
                <w:rFonts w:eastAsia="Arial" w:cs="Arial"/>
                <w:szCs w:val="24"/>
                <w:lang w:eastAsia="en-US"/>
              </w:rPr>
            </w:pPr>
            <w:r w:rsidRPr="00971F1A">
              <w:rPr>
                <w:rFonts w:eastAsia="Arial" w:cs="Arial"/>
                <w:szCs w:val="24"/>
                <w:lang w:eastAsia="en-US"/>
              </w:rPr>
              <w:t>P</w:t>
            </w:r>
            <w:r w:rsidR="00AE30BD" w:rsidRPr="00971F1A">
              <w:rPr>
                <w:rFonts w:eastAsia="Arial" w:cs="Arial"/>
                <w:szCs w:val="24"/>
                <w:lang w:eastAsia="en-US"/>
              </w:rPr>
              <w:t>rotect</w:t>
            </w:r>
            <w:r w:rsidRPr="00971F1A">
              <w:rPr>
                <w:rFonts w:eastAsia="Arial" w:cs="Arial"/>
                <w:szCs w:val="24"/>
                <w:lang w:eastAsia="en-US"/>
              </w:rPr>
              <w:t>ion</w:t>
            </w:r>
            <w:r w:rsidR="00AE30BD" w:rsidRPr="00971F1A">
              <w:rPr>
                <w:rFonts w:eastAsia="Arial" w:cs="Arial"/>
                <w:szCs w:val="24"/>
                <w:lang w:eastAsia="en-US"/>
              </w:rPr>
              <w:t xml:space="preserve"> and enhance</w:t>
            </w:r>
            <w:r w:rsidRPr="00971F1A">
              <w:rPr>
                <w:rFonts w:eastAsia="Arial" w:cs="Arial"/>
                <w:szCs w:val="24"/>
                <w:lang w:eastAsia="en-US"/>
              </w:rPr>
              <w:t>ment of</w:t>
            </w:r>
            <w:r w:rsidR="00AE30BD" w:rsidRPr="00971F1A">
              <w:rPr>
                <w:rFonts w:eastAsia="Arial" w:cs="Arial"/>
                <w:szCs w:val="24"/>
                <w:lang w:eastAsia="en-US"/>
              </w:rPr>
              <w:t xml:space="preserve"> existing wildlife areas and create a coherent biodiversity network in accordance with Policy EV4</w:t>
            </w:r>
            <w:r w:rsidR="00971F1A">
              <w:rPr>
                <w:rFonts w:eastAsia="Arial" w:cs="Arial"/>
                <w:szCs w:val="24"/>
                <w:lang w:eastAsia="en-US"/>
              </w:rPr>
              <w:t>;</w:t>
            </w:r>
          </w:p>
          <w:p w14:paraId="59D2E474" w14:textId="77777777" w:rsidR="006456CA" w:rsidRPr="00971F1A" w:rsidRDefault="006456CA" w:rsidP="00874A98">
            <w:pPr>
              <w:keepNext w:val="0"/>
              <w:numPr>
                <w:ilvl w:val="0"/>
                <w:numId w:val="213"/>
              </w:numPr>
              <w:spacing w:before="0" w:after="160" w:line="252" w:lineRule="auto"/>
              <w:contextualSpacing/>
              <w:rPr>
                <w:rFonts w:eastAsia="Arial" w:cs="Arial"/>
                <w:bCs/>
              </w:rPr>
            </w:pPr>
            <w:r w:rsidRPr="00971F1A">
              <w:rPr>
                <w:rFonts w:eastAsia="Arial" w:cs="Arial"/>
                <w:bCs/>
              </w:rPr>
              <w:t>Biodiversity net gain through the delivery of extensive woodland and native scrub planting, wildflower meadows and neutral grassland and reinforcement of hedgerows with native species;</w:t>
            </w:r>
          </w:p>
          <w:p w14:paraId="225C839D" w14:textId="3A852DF8" w:rsidR="006F6F68" w:rsidRPr="00971F1A" w:rsidRDefault="009D275E" w:rsidP="00874A98">
            <w:pPr>
              <w:keepNext w:val="0"/>
              <w:numPr>
                <w:ilvl w:val="0"/>
                <w:numId w:val="213"/>
              </w:numPr>
              <w:spacing w:before="0" w:after="160" w:line="252" w:lineRule="auto"/>
              <w:contextualSpacing/>
              <w:rPr>
                <w:rFonts w:eastAsia="Arial" w:cs="Arial"/>
                <w:bCs/>
              </w:rPr>
            </w:pPr>
            <w:r w:rsidRPr="00971F1A">
              <w:rPr>
                <w:rFonts w:eastAsia="Arial" w:cs="Arial"/>
                <w:bCs/>
              </w:rPr>
              <w:t>M</w:t>
            </w:r>
            <w:r w:rsidR="006F6F68" w:rsidRPr="00971F1A">
              <w:rPr>
                <w:rFonts w:eastAsia="Arial" w:cs="Arial"/>
                <w:bCs/>
              </w:rPr>
              <w:t>inimis</w:t>
            </w:r>
            <w:r w:rsidR="000C1B98" w:rsidRPr="00971F1A">
              <w:rPr>
                <w:rFonts w:eastAsia="Arial" w:cs="Arial"/>
                <w:bCs/>
              </w:rPr>
              <w:t>es</w:t>
            </w:r>
            <w:r w:rsidR="006F6F68" w:rsidRPr="00971F1A">
              <w:rPr>
                <w:rFonts w:eastAsia="Arial" w:cs="Arial"/>
                <w:bCs/>
              </w:rPr>
              <w:t xml:space="preserve"> the ecological impacts of the amount and quality of artificial light</w:t>
            </w:r>
            <w:r w:rsidR="00971F1A">
              <w:rPr>
                <w:rFonts w:eastAsia="Arial" w:cs="Arial"/>
                <w:bCs/>
              </w:rPr>
              <w:t>;</w:t>
            </w:r>
          </w:p>
          <w:p w14:paraId="4DD25EC7" w14:textId="3B8FC29C" w:rsidR="00BD197D" w:rsidRPr="00971F1A" w:rsidRDefault="00971F1A" w:rsidP="00874A98">
            <w:pPr>
              <w:keepNext w:val="0"/>
              <w:numPr>
                <w:ilvl w:val="0"/>
                <w:numId w:val="213"/>
              </w:numPr>
              <w:spacing w:before="0" w:after="160" w:line="252" w:lineRule="auto"/>
              <w:contextualSpacing/>
              <w:rPr>
                <w:rFonts w:eastAsia="Arial" w:cs="Arial"/>
                <w:bCs/>
              </w:rPr>
            </w:pPr>
            <w:r>
              <w:rPr>
                <w:rFonts w:eastAsia="Arial" w:cs="Arial"/>
                <w:bCs/>
              </w:rPr>
              <w:t>D</w:t>
            </w:r>
            <w:r w:rsidR="00BD197D" w:rsidRPr="00971F1A">
              <w:rPr>
                <w:rFonts w:eastAsia="Arial" w:cs="Arial"/>
                <w:bCs/>
              </w:rPr>
              <w:t xml:space="preserve">evelopment </w:t>
            </w:r>
            <w:r w:rsidR="00263588" w:rsidRPr="00971F1A">
              <w:rPr>
                <w:rFonts w:eastAsia="Arial" w:cs="Arial"/>
                <w:bCs/>
              </w:rPr>
              <w:t xml:space="preserve">which subject to </w:t>
            </w:r>
            <w:r w:rsidR="00BD197D" w:rsidRPr="00971F1A">
              <w:rPr>
                <w:rFonts w:eastAsia="Arial" w:cs="Arial"/>
                <w:bCs/>
              </w:rPr>
              <w:t>viab</w:t>
            </w:r>
            <w:r w:rsidR="00632834" w:rsidRPr="00971F1A">
              <w:rPr>
                <w:rFonts w:eastAsia="Arial" w:cs="Arial"/>
                <w:bCs/>
              </w:rPr>
              <w:t>ility</w:t>
            </w:r>
            <w:r w:rsidR="00BD197D" w:rsidRPr="00971F1A">
              <w:rPr>
                <w:rFonts w:eastAsia="Arial" w:cs="Arial"/>
                <w:bCs/>
              </w:rPr>
              <w:t xml:space="preserve">, </w:t>
            </w:r>
            <w:r w:rsidR="00632834" w:rsidRPr="00971F1A">
              <w:rPr>
                <w:rFonts w:eastAsia="Arial" w:cs="Arial"/>
                <w:bCs/>
              </w:rPr>
              <w:t xml:space="preserve">will </w:t>
            </w:r>
            <w:r w:rsidR="00BD197D" w:rsidRPr="00971F1A">
              <w:rPr>
                <w:rFonts w:eastAsia="Arial" w:cs="Arial"/>
                <w:bCs/>
              </w:rPr>
              <w:t xml:space="preserve">exceed Building Regulations </w:t>
            </w:r>
            <w:r w:rsidR="00632834" w:rsidRPr="00971F1A">
              <w:rPr>
                <w:rFonts w:eastAsia="Arial" w:cs="Arial"/>
                <w:bCs/>
              </w:rPr>
              <w:t xml:space="preserve">requirements </w:t>
            </w:r>
            <w:r w:rsidR="00BD197D" w:rsidRPr="00971F1A">
              <w:rPr>
                <w:rFonts w:eastAsia="Arial" w:cs="Arial"/>
                <w:bCs/>
              </w:rPr>
              <w:t>for carbon emissions in accordance with Policy CC1</w:t>
            </w:r>
            <w:r w:rsidR="00632834" w:rsidRPr="00971F1A">
              <w:rPr>
                <w:rFonts w:eastAsia="Arial" w:cs="Arial"/>
                <w:bCs/>
              </w:rPr>
              <w:t>;</w:t>
            </w:r>
          </w:p>
          <w:p w14:paraId="1A8AC5C5" w14:textId="6192A512" w:rsidR="00BD197D" w:rsidRPr="00971F1A" w:rsidRDefault="00632834" w:rsidP="00874A98">
            <w:pPr>
              <w:keepNext w:val="0"/>
              <w:numPr>
                <w:ilvl w:val="0"/>
                <w:numId w:val="213"/>
              </w:numPr>
              <w:spacing w:before="0" w:after="160" w:line="252" w:lineRule="auto"/>
              <w:contextualSpacing/>
              <w:rPr>
                <w:rFonts w:eastAsia="Arial" w:cs="Arial"/>
                <w:bCs/>
              </w:rPr>
            </w:pPr>
            <w:r w:rsidRPr="00971F1A">
              <w:rPr>
                <w:rFonts w:eastAsia="Arial" w:cs="Arial"/>
                <w:bCs/>
              </w:rPr>
              <w:t>S</w:t>
            </w:r>
            <w:r w:rsidR="00BD197D" w:rsidRPr="00971F1A">
              <w:rPr>
                <w:rFonts w:eastAsia="Arial" w:cs="Arial"/>
                <w:bCs/>
              </w:rPr>
              <w:t>ustainable drainage systems (</w:t>
            </w:r>
            <w:proofErr w:type="spellStart"/>
            <w:r w:rsidR="00BD197D" w:rsidRPr="00971F1A">
              <w:rPr>
                <w:rFonts w:eastAsia="Arial" w:cs="Arial"/>
                <w:bCs/>
              </w:rPr>
              <w:t>SuDS</w:t>
            </w:r>
            <w:proofErr w:type="spellEnd"/>
            <w:r w:rsidR="00BD197D" w:rsidRPr="00971F1A">
              <w:rPr>
                <w:rFonts w:eastAsia="Arial" w:cs="Arial"/>
                <w:bCs/>
              </w:rPr>
              <w:t xml:space="preserve">) to retain surface water flows at greenfield rates of run off.  </w:t>
            </w:r>
            <w:proofErr w:type="spellStart"/>
            <w:r w:rsidR="00BD197D" w:rsidRPr="00971F1A">
              <w:rPr>
                <w:rFonts w:eastAsia="Arial" w:cs="Arial"/>
                <w:bCs/>
              </w:rPr>
              <w:t>SuDS</w:t>
            </w:r>
            <w:proofErr w:type="spellEnd"/>
            <w:r w:rsidR="00BD197D" w:rsidRPr="00971F1A">
              <w:rPr>
                <w:rFonts w:eastAsia="Arial" w:cs="Arial"/>
                <w:bCs/>
              </w:rPr>
              <w:t xml:space="preserve"> should be integrated into the green/blue infrastructure</w:t>
            </w:r>
            <w:r w:rsidRPr="00971F1A">
              <w:rPr>
                <w:rFonts w:eastAsia="Arial" w:cs="Arial"/>
                <w:bCs/>
              </w:rPr>
              <w:t>; and</w:t>
            </w:r>
          </w:p>
          <w:p w14:paraId="58D1E95C" w14:textId="5B8B52E0" w:rsidR="00BD197D" w:rsidRPr="00971F1A" w:rsidRDefault="00BD197D" w:rsidP="00874A98">
            <w:pPr>
              <w:keepNext w:val="0"/>
              <w:numPr>
                <w:ilvl w:val="0"/>
                <w:numId w:val="213"/>
              </w:numPr>
              <w:spacing w:before="0" w:after="160" w:line="252" w:lineRule="auto"/>
              <w:contextualSpacing/>
              <w:rPr>
                <w:rFonts w:eastAsia="Arial" w:cs="Arial"/>
                <w:bCs/>
              </w:rPr>
            </w:pPr>
            <w:r w:rsidRPr="00971F1A">
              <w:rPr>
                <w:rFonts w:eastAsia="Arial" w:cs="Arial"/>
                <w:bCs/>
              </w:rPr>
              <w:t>Provision for the long-term managements of the green spaces.</w:t>
            </w:r>
          </w:p>
          <w:p w14:paraId="07F2639D" w14:textId="5DCBBD29" w:rsidR="00BD197D" w:rsidRPr="00971F1A" w:rsidRDefault="00BD197D" w:rsidP="00BD197D">
            <w:pPr>
              <w:keepNext w:val="0"/>
              <w:spacing w:before="0"/>
              <w:rPr>
                <w:rFonts w:eastAsia="Arial" w:cs="Arial"/>
                <w:bCs/>
              </w:rPr>
            </w:pPr>
          </w:p>
          <w:p w14:paraId="6C24BD9C" w14:textId="4AF77B18" w:rsidR="00265BB0" w:rsidRPr="00872E07" w:rsidRDefault="00265BB0" w:rsidP="00BD197D">
            <w:pPr>
              <w:keepNext w:val="0"/>
              <w:spacing w:before="0"/>
              <w:rPr>
                <w:rFonts w:eastAsia="Arial" w:cs="Arial"/>
                <w:bCs/>
                <w:strike/>
              </w:rPr>
            </w:pPr>
            <w:r w:rsidRPr="00872E07">
              <w:rPr>
                <w:rFonts w:eastAsia="Arial" w:cs="Arial"/>
                <w:bCs/>
                <w:strike/>
              </w:rPr>
              <w:t xml:space="preserve">The site to the </w:t>
            </w:r>
            <w:proofErr w:type="gramStart"/>
            <w:r w:rsidRPr="00872E07">
              <w:rPr>
                <w:rFonts w:eastAsia="Arial" w:cs="Arial"/>
                <w:bCs/>
                <w:strike/>
              </w:rPr>
              <w:t>south east</w:t>
            </w:r>
            <w:proofErr w:type="gramEnd"/>
            <w:r w:rsidRPr="00872E07">
              <w:rPr>
                <w:rFonts w:eastAsia="Arial" w:cs="Arial"/>
                <w:bCs/>
                <w:strike/>
              </w:rPr>
              <w:t xml:space="preserve"> of Junction 27 </w:t>
            </w:r>
            <w:r w:rsidR="00C336C2" w:rsidRPr="00872E07">
              <w:rPr>
                <w:rFonts w:eastAsia="Arial" w:cs="Arial"/>
                <w:bCs/>
                <w:strike/>
              </w:rPr>
              <w:t xml:space="preserve">may </w:t>
            </w:r>
            <w:r w:rsidRPr="00872E07">
              <w:rPr>
                <w:rFonts w:eastAsia="Arial" w:cs="Arial"/>
                <w:bCs/>
                <w:strike/>
              </w:rPr>
              <w:t xml:space="preserve">not come forward until the latter part of the </w:t>
            </w:r>
            <w:r w:rsidR="00C336C2" w:rsidRPr="00872E07">
              <w:rPr>
                <w:rFonts w:eastAsia="Arial" w:cs="Arial"/>
                <w:bCs/>
                <w:strike/>
              </w:rPr>
              <w:t>P</w:t>
            </w:r>
            <w:r w:rsidRPr="00872E07">
              <w:rPr>
                <w:rFonts w:eastAsia="Arial" w:cs="Arial"/>
                <w:bCs/>
                <w:strike/>
              </w:rPr>
              <w:t xml:space="preserve">lan as substantial areas are </w:t>
            </w:r>
            <w:r w:rsidR="00C336C2" w:rsidRPr="00872E07">
              <w:rPr>
                <w:rFonts w:eastAsia="Arial" w:cs="Arial"/>
                <w:bCs/>
                <w:strike/>
              </w:rPr>
              <w:t xml:space="preserve">identified as </w:t>
            </w:r>
            <w:r w:rsidRPr="00872E07">
              <w:rPr>
                <w:rFonts w:eastAsia="Arial" w:cs="Arial"/>
                <w:bCs/>
                <w:strike/>
              </w:rPr>
              <w:t xml:space="preserve">a HS2 compound associated with the construction of </w:t>
            </w:r>
            <w:proofErr w:type="gramStart"/>
            <w:r w:rsidRPr="00872E07">
              <w:rPr>
                <w:rFonts w:eastAsia="Arial" w:cs="Arial"/>
                <w:bCs/>
                <w:strike/>
              </w:rPr>
              <w:t>High Speed</w:t>
            </w:r>
            <w:proofErr w:type="gramEnd"/>
            <w:r w:rsidRPr="00872E07">
              <w:rPr>
                <w:rFonts w:eastAsia="Arial" w:cs="Arial"/>
                <w:bCs/>
                <w:strike/>
              </w:rPr>
              <w:t xml:space="preserve"> Railway Phased 2b</w:t>
            </w:r>
            <w:r w:rsidR="00C336C2" w:rsidRPr="00872E07">
              <w:rPr>
                <w:rFonts w:eastAsia="Arial" w:cs="Arial"/>
                <w:bCs/>
                <w:strike/>
              </w:rPr>
              <w:t xml:space="preserve"> with the route and compound area being subject to Safeguarding Directions by the Department for Transport</w:t>
            </w:r>
            <w:r w:rsidRPr="00872E07">
              <w:rPr>
                <w:rFonts w:eastAsia="Arial" w:cs="Arial"/>
                <w:bCs/>
                <w:strike/>
              </w:rPr>
              <w:t xml:space="preserve">.  </w:t>
            </w:r>
          </w:p>
          <w:p w14:paraId="5AAF733F" w14:textId="77777777" w:rsidR="00265BB0" w:rsidRPr="00971F1A" w:rsidRDefault="00265BB0" w:rsidP="00BD197D">
            <w:pPr>
              <w:keepNext w:val="0"/>
              <w:spacing w:before="0"/>
              <w:rPr>
                <w:rFonts w:eastAsia="Arial" w:cs="Arial"/>
                <w:bCs/>
              </w:rPr>
            </w:pPr>
          </w:p>
          <w:p w14:paraId="65CABA92" w14:textId="77777777" w:rsidR="00BD197D" w:rsidRPr="00B91AFC" w:rsidRDefault="00BD197D" w:rsidP="00BD197D">
            <w:pPr>
              <w:keepNext w:val="0"/>
              <w:spacing w:before="0"/>
              <w:rPr>
                <w:rFonts w:eastAsia="Arial" w:cs="Arial"/>
                <w:bCs/>
              </w:rPr>
            </w:pPr>
            <w:r w:rsidRPr="00B91AFC">
              <w:rPr>
                <w:rFonts w:eastAsia="Arial" w:cs="Arial"/>
                <w:bCs/>
              </w:rPr>
              <w:t>This will be achieved through working with public and private partners to agree a development framework.</w:t>
            </w:r>
          </w:p>
          <w:p w14:paraId="2D645712" w14:textId="77777777" w:rsidR="00BD197D" w:rsidRPr="00971F1A" w:rsidRDefault="00BD197D" w:rsidP="00BD197D">
            <w:pPr>
              <w:contextualSpacing/>
              <w:rPr>
                <w:rFonts w:ascii="Calibri" w:eastAsia="Arial" w:hAnsi="Calibri" w:cs="Arial"/>
                <w:bCs/>
                <w:szCs w:val="22"/>
                <w:lang w:eastAsia="en-US"/>
              </w:rPr>
            </w:pPr>
          </w:p>
        </w:tc>
      </w:tr>
      <w:tr w:rsidR="00BD197D" w:rsidRPr="00BD197D" w14:paraId="4AAF5BE1" w14:textId="77777777" w:rsidTr="009D4C91">
        <w:tc>
          <w:tcPr>
            <w:tcW w:w="1838" w:type="dxa"/>
          </w:tcPr>
          <w:p w14:paraId="5C9E47AA" w14:textId="77777777" w:rsidR="00BD197D" w:rsidRPr="00BD197D" w:rsidRDefault="00BD197D" w:rsidP="000032A9">
            <w:pPr>
              <w:keepNext w:val="0"/>
              <w:spacing w:before="0"/>
              <w:jc w:val="both"/>
              <w:rPr>
                <w:rFonts w:eastAsia="Arial" w:cs="Arial"/>
                <w:b/>
                <w:color w:val="auto"/>
              </w:rPr>
            </w:pPr>
            <w:r w:rsidRPr="00BD197D">
              <w:rPr>
                <w:rFonts w:eastAsia="Arial" w:cs="Arial"/>
                <w:color w:val="auto"/>
                <w:sz w:val="20"/>
              </w:rPr>
              <w:lastRenderedPageBreak/>
              <w:t>Evidence Base</w:t>
            </w:r>
          </w:p>
        </w:tc>
        <w:tc>
          <w:tcPr>
            <w:tcW w:w="7796" w:type="dxa"/>
            <w:gridSpan w:val="2"/>
          </w:tcPr>
          <w:p w14:paraId="3F301FA5" w14:textId="16EBC3D8" w:rsidR="00BD197D" w:rsidRPr="00971F1A" w:rsidRDefault="00BD197D"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lang w:eastAsia="en-US"/>
              </w:rPr>
            </w:pPr>
            <w:r w:rsidRPr="00D949EB">
              <w:rPr>
                <w:rFonts w:eastAsia="Arial" w:cs="Arial"/>
                <w:bCs/>
                <w:color w:val="auto"/>
                <w:sz w:val="20"/>
                <w:lang w:eastAsia="en-US"/>
              </w:rPr>
              <w:t>Sustainability Appraisal</w:t>
            </w:r>
            <w:r w:rsidRPr="00971F1A">
              <w:rPr>
                <w:rFonts w:eastAsia="Arial" w:cs="Arial"/>
                <w:bCs/>
                <w:sz w:val="20"/>
                <w:lang w:eastAsia="en-US"/>
              </w:rPr>
              <w:t xml:space="preserve">, </w:t>
            </w:r>
            <w:r w:rsidR="00D949EB" w:rsidRPr="00971F1A">
              <w:rPr>
                <w:rFonts w:eastAsia="Arial" w:cs="Arial"/>
                <w:bCs/>
                <w:sz w:val="20"/>
                <w:lang w:eastAsia="en-US"/>
              </w:rPr>
              <w:t xml:space="preserve">2023, </w:t>
            </w:r>
            <w:bookmarkStart w:id="64" w:name="_Hlk139622805"/>
            <w:r w:rsidR="00D949EB" w:rsidRPr="00971F1A">
              <w:rPr>
                <w:rFonts w:eastAsia="Arial" w:cs="Arial"/>
                <w:bCs/>
                <w:sz w:val="20"/>
                <w:lang w:eastAsia="en-US"/>
              </w:rPr>
              <w:t>WSP UK Limited</w:t>
            </w:r>
            <w:bookmarkEnd w:id="64"/>
          </w:p>
          <w:p w14:paraId="343AE372" w14:textId="479041E6" w:rsidR="00BD197D" w:rsidRPr="00971F1A" w:rsidRDefault="00BD197D"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lang w:eastAsia="en-US"/>
              </w:rPr>
            </w:pPr>
            <w:r w:rsidRPr="00971F1A">
              <w:rPr>
                <w:rFonts w:eastAsia="Arial" w:cs="Arial"/>
                <w:bCs/>
                <w:sz w:val="20"/>
                <w:szCs w:val="22"/>
                <w:lang w:eastAsia="en-US"/>
              </w:rPr>
              <w:t>Background Paper</w:t>
            </w:r>
            <w:r w:rsidR="00A05D94" w:rsidRPr="00971F1A">
              <w:rPr>
                <w:rFonts w:eastAsia="Arial" w:cs="Arial"/>
                <w:bCs/>
                <w:sz w:val="20"/>
                <w:szCs w:val="22"/>
                <w:lang w:eastAsia="en-US"/>
              </w:rPr>
              <w:t xml:space="preserve"> No1:</w:t>
            </w:r>
            <w:r w:rsidRPr="00971F1A">
              <w:rPr>
                <w:rFonts w:eastAsia="Arial" w:cs="Arial"/>
                <w:bCs/>
                <w:sz w:val="20"/>
                <w:szCs w:val="22"/>
                <w:lang w:eastAsia="en-US"/>
              </w:rPr>
              <w:t xml:space="preserve"> Spatial Strategy and </w:t>
            </w:r>
            <w:r w:rsidR="000E778B">
              <w:rPr>
                <w:rFonts w:eastAsia="Arial" w:cs="Arial"/>
                <w:bCs/>
                <w:sz w:val="20"/>
                <w:szCs w:val="22"/>
                <w:lang w:eastAsia="en-US"/>
              </w:rPr>
              <w:t>Site Selection, 2023</w:t>
            </w:r>
            <w:r w:rsidRPr="00971F1A">
              <w:rPr>
                <w:rFonts w:eastAsia="Arial" w:cs="Arial"/>
                <w:bCs/>
                <w:sz w:val="20"/>
                <w:szCs w:val="22"/>
                <w:lang w:eastAsia="en-US"/>
              </w:rPr>
              <w:t>. Ashfield District Council</w:t>
            </w:r>
          </w:p>
          <w:p w14:paraId="52345279" w14:textId="53C9A29A" w:rsidR="00BD197D" w:rsidRPr="00971F1A" w:rsidRDefault="00BD197D"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lang w:eastAsia="en-US"/>
              </w:rPr>
            </w:pPr>
            <w:r w:rsidRPr="00971F1A">
              <w:rPr>
                <w:rFonts w:eastAsia="Arial" w:cs="Arial"/>
                <w:bCs/>
                <w:sz w:val="20"/>
                <w:szCs w:val="22"/>
                <w:lang w:eastAsia="en-US"/>
              </w:rPr>
              <w:t xml:space="preserve">Background Paper </w:t>
            </w:r>
            <w:r w:rsidR="00A05D94" w:rsidRPr="00971F1A">
              <w:rPr>
                <w:rFonts w:eastAsia="Arial" w:cs="Arial"/>
                <w:bCs/>
                <w:sz w:val="20"/>
                <w:szCs w:val="22"/>
                <w:lang w:eastAsia="en-US"/>
              </w:rPr>
              <w:t>No 3:</w:t>
            </w:r>
            <w:r w:rsidRPr="00971F1A">
              <w:rPr>
                <w:rFonts w:eastAsia="Arial" w:cs="Arial"/>
                <w:bCs/>
                <w:sz w:val="20"/>
                <w:szCs w:val="22"/>
                <w:lang w:eastAsia="en-US"/>
              </w:rPr>
              <w:t xml:space="preserve"> </w:t>
            </w:r>
            <w:r w:rsidR="000032A9" w:rsidRPr="00971F1A">
              <w:rPr>
                <w:rFonts w:eastAsia="Arial" w:cs="Arial"/>
                <w:bCs/>
                <w:sz w:val="20"/>
                <w:szCs w:val="22"/>
                <w:lang w:eastAsia="en-US"/>
              </w:rPr>
              <w:t xml:space="preserve">Economy &amp; </w:t>
            </w:r>
            <w:r w:rsidRPr="00971F1A">
              <w:rPr>
                <w:rFonts w:eastAsia="Arial" w:cs="Arial"/>
                <w:bCs/>
                <w:sz w:val="20"/>
                <w:szCs w:val="22"/>
                <w:lang w:eastAsia="en-US"/>
              </w:rPr>
              <w:t>Employment Land 202</w:t>
            </w:r>
            <w:r w:rsidR="00D411FD" w:rsidRPr="00971F1A">
              <w:rPr>
                <w:rFonts w:eastAsia="Arial" w:cs="Arial"/>
                <w:bCs/>
                <w:sz w:val="20"/>
                <w:szCs w:val="22"/>
                <w:lang w:eastAsia="en-US"/>
              </w:rPr>
              <w:t>3</w:t>
            </w:r>
            <w:r w:rsidRPr="00971F1A">
              <w:rPr>
                <w:rFonts w:eastAsia="Arial" w:cs="Arial"/>
                <w:bCs/>
                <w:sz w:val="20"/>
                <w:szCs w:val="22"/>
                <w:lang w:eastAsia="en-US"/>
              </w:rPr>
              <w:t>.  Ashfield District Council.</w:t>
            </w:r>
          </w:p>
          <w:p w14:paraId="3C4CBF6D" w14:textId="06BEBBA3" w:rsidR="00BD197D" w:rsidRPr="00971F1A" w:rsidRDefault="00BD197D"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rPr>
            </w:pPr>
            <w:r w:rsidRPr="00971F1A">
              <w:rPr>
                <w:rFonts w:eastAsia="Arial" w:cs="Arial"/>
                <w:bCs/>
                <w:sz w:val="20"/>
              </w:rPr>
              <w:t xml:space="preserve">Background Paper </w:t>
            </w:r>
            <w:r w:rsidR="00A05D94" w:rsidRPr="00971F1A">
              <w:rPr>
                <w:rFonts w:eastAsia="Arial" w:cs="Arial"/>
                <w:bCs/>
                <w:sz w:val="20"/>
              </w:rPr>
              <w:t xml:space="preserve">No </w:t>
            </w:r>
            <w:r w:rsidRPr="00971F1A">
              <w:rPr>
                <w:rFonts w:eastAsia="Arial" w:cs="Arial"/>
                <w:bCs/>
                <w:sz w:val="20"/>
              </w:rPr>
              <w:t xml:space="preserve">4: </w:t>
            </w:r>
            <w:bookmarkStart w:id="65" w:name="_Hlk82270992"/>
            <w:r w:rsidRPr="00971F1A">
              <w:rPr>
                <w:rFonts w:eastAsia="Arial" w:cs="Arial"/>
                <w:bCs/>
                <w:sz w:val="20"/>
              </w:rPr>
              <w:t xml:space="preserve">Green Belt </w:t>
            </w:r>
            <w:r w:rsidR="002B15A2" w:rsidRPr="00971F1A">
              <w:rPr>
                <w:rFonts w:eastAsia="Arial" w:cs="Arial"/>
                <w:bCs/>
                <w:sz w:val="20"/>
              </w:rPr>
              <w:t xml:space="preserve">Harm Assessment </w:t>
            </w:r>
            <w:r w:rsidRPr="00971F1A">
              <w:rPr>
                <w:rFonts w:eastAsia="Arial" w:cs="Arial"/>
                <w:bCs/>
                <w:sz w:val="20"/>
              </w:rPr>
              <w:t>202</w:t>
            </w:r>
            <w:bookmarkEnd w:id="65"/>
            <w:r w:rsidR="0073604D">
              <w:rPr>
                <w:rFonts w:eastAsia="Arial" w:cs="Arial"/>
                <w:bCs/>
                <w:sz w:val="20"/>
              </w:rPr>
              <w:t>3</w:t>
            </w:r>
            <w:r w:rsidRPr="00971F1A">
              <w:rPr>
                <w:rFonts w:eastAsia="Arial" w:cs="Arial"/>
                <w:bCs/>
                <w:sz w:val="20"/>
              </w:rPr>
              <w:t>, Ashfield District Council.</w:t>
            </w:r>
          </w:p>
          <w:p w14:paraId="67589FC6" w14:textId="77777777" w:rsidR="00BD197D" w:rsidRPr="00971F1A" w:rsidRDefault="00BD197D"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lang w:eastAsia="en-US"/>
              </w:rPr>
            </w:pPr>
            <w:r w:rsidRPr="00971F1A">
              <w:rPr>
                <w:rFonts w:eastAsia="Arial" w:cs="Arial"/>
                <w:bCs/>
                <w:sz w:val="20"/>
                <w:szCs w:val="22"/>
                <w:lang w:eastAsia="en-US"/>
              </w:rPr>
              <w:lastRenderedPageBreak/>
              <w:t>The Nottingham Core HMA and Nottingham Outer HMA Employment Land Needs Study, 2021.  Lichfield.</w:t>
            </w:r>
          </w:p>
          <w:p w14:paraId="4DF64D57" w14:textId="698C2955" w:rsidR="00BD197D" w:rsidRPr="00971F1A" w:rsidRDefault="00BD197D"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lang w:eastAsia="en-US"/>
              </w:rPr>
            </w:pPr>
            <w:r w:rsidRPr="00971F1A">
              <w:rPr>
                <w:rFonts w:eastAsia="Arial" w:cs="Arial"/>
                <w:bCs/>
                <w:sz w:val="20"/>
                <w:szCs w:val="22"/>
                <w:lang w:eastAsia="en-US"/>
              </w:rPr>
              <w:t>Strategic Housing and Employment Land Availability Assessment</w:t>
            </w:r>
            <w:r w:rsidR="00AE785A">
              <w:rPr>
                <w:rFonts w:eastAsia="Arial" w:cs="Arial"/>
                <w:bCs/>
                <w:sz w:val="20"/>
                <w:szCs w:val="22"/>
                <w:lang w:eastAsia="en-US"/>
              </w:rPr>
              <w:t xml:space="preserve"> </w:t>
            </w:r>
            <w:r w:rsidRPr="00971F1A">
              <w:rPr>
                <w:rFonts w:eastAsia="Arial" w:cs="Arial"/>
                <w:bCs/>
                <w:sz w:val="20"/>
                <w:szCs w:val="22"/>
                <w:lang w:eastAsia="en-US"/>
              </w:rPr>
              <w:t>2021</w:t>
            </w:r>
            <w:r w:rsidR="00AE785A">
              <w:rPr>
                <w:rFonts w:eastAsia="Arial" w:cs="Arial"/>
                <w:bCs/>
                <w:sz w:val="20"/>
                <w:szCs w:val="22"/>
                <w:lang w:eastAsia="en-US"/>
              </w:rPr>
              <w:t xml:space="preserve"> - 2023</w:t>
            </w:r>
            <w:r w:rsidRPr="00971F1A">
              <w:rPr>
                <w:rFonts w:eastAsia="Arial" w:cs="Arial"/>
                <w:bCs/>
                <w:sz w:val="20"/>
                <w:szCs w:val="22"/>
                <w:lang w:eastAsia="en-US"/>
              </w:rPr>
              <w:t>. Ashfield District Council.</w:t>
            </w:r>
          </w:p>
          <w:p w14:paraId="0AC80FAC" w14:textId="14BD8CF7" w:rsidR="00D411FD" w:rsidRPr="00971F1A" w:rsidRDefault="00D411FD"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lang w:eastAsia="en-US"/>
              </w:rPr>
            </w:pPr>
            <w:r w:rsidRPr="00971F1A">
              <w:rPr>
                <w:rFonts w:eastAsia="Arial" w:cs="Arial"/>
                <w:bCs/>
                <w:sz w:val="20"/>
                <w:szCs w:val="22"/>
                <w:lang w:eastAsia="en-US"/>
              </w:rPr>
              <w:t>The Nottingham Core HMA and Nottingham Outer HMA Logistics Study 2022, Iceni.</w:t>
            </w:r>
          </w:p>
          <w:p w14:paraId="37150F76" w14:textId="585F6338" w:rsidR="00274F30" w:rsidRPr="00971F1A" w:rsidRDefault="00274F30"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lang w:eastAsia="en-US"/>
              </w:rPr>
            </w:pPr>
            <w:r w:rsidRPr="00971F1A">
              <w:rPr>
                <w:rFonts w:eastAsia="Arial" w:cs="Arial"/>
                <w:bCs/>
                <w:sz w:val="20"/>
                <w:szCs w:val="22"/>
                <w:lang w:eastAsia="en-US"/>
              </w:rPr>
              <w:t xml:space="preserve">Greater Nottingham Logistics Background </w:t>
            </w:r>
            <w:r w:rsidR="00CD61AD">
              <w:rPr>
                <w:rFonts w:eastAsia="Arial" w:cs="Arial"/>
                <w:bCs/>
                <w:sz w:val="20"/>
                <w:szCs w:val="22"/>
                <w:lang w:eastAsia="en-US"/>
              </w:rPr>
              <w:t>P</w:t>
            </w:r>
            <w:r w:rsidRPr="00971F1A">
              <w:rPr>
                <w:rFonts w:eastAsia="Arial" w:cs="Arial"/>
                <w:bCs/>
                <w:sz w:val="20"/>
                <w:szCs w:val="22"/>
                <w:lang w:eastAsia="en-US"/>
              </w:rPr>
              <w:t>aper 2023.  Ashfield DC, Broxtowe BC, Erewash BC, Gedling BC, Nottingham City, &amp; Rushcliffe BC.</w:t>
            </w:r>
          </w:p>
          <w:p w14:paraId="4E5C8E75" w14:textId="77777777" w:rsidR="00BD197D" w:rsidRPr="006E3758" w:rsidRDefault="00BD197D"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color w:val="auto"/>
                <w:sz w:val="20"/>
                <w:lang w:eastAsia="en-US"/>
              </w:rPr>
            </w:pPr>
            <w:r w:rsidRPr="00971F1A">
              <w:rPr>
                <w:rFonts w:eastAsia="Arial" w:cs="Arial"/>
                <w:bCs/>
                <w:sz w:val="20"/>
                <w:szCs w:val="22"/>
                <w:lang w:eastAsia="en-US"/>
              </w:rPr>
              <w:t>Ashfield and Mansfield - A Plan for Growth 2016 (Joint Economic Strategic) Ashfield DC &amp; Mansfield DC</w:t>
            </w:r>
            <w:r w:rsidRPr="00BD197D">
              <w:rPr>
                <w:rFonts w:eastAsia="Arial" w:cs="Arial"/>
                <w:bCs/>
                <w:color w:val="auto"/>
                <w:sz w:val="20"/>
                <w:szCs w:val="22"/>
                <w:lang w:eastAsia="en-US"/>
              </w:rPr>
              <w:t>.</w:t>
            </w:r>
          </w:p>
          <w:p w14:paraId="7D01D759" w14:textId="3EF6EB0B" w:rsidR="006E3758" w:rsidRPr="006E3758" w:rsidRDefault="006E3758" w:rsidP="00874A98">
            <w:pPr>
              <w:keepNext w:val="0"/>
              <w:numPr>
                <w:ilvl w:val="0"/>
                <w:numId w:val="97"/>
              </w:numPr>
              <w:tabs>
                <w:tab w:val="left" w:pos="680"/>
                <w:tab w:val="left" w:pos="1133"/>
                <w:tab w:val="left" w:pos="2267"/>
              </w:tabs>
              <w:spacing w:before="0" w:after="160" w:line="252" w:lineRule="auto"/>
              <w:ind w:right="284"/>
              <w:contextualSpacing/>
              <w:rPr>
                <w:rFonts w:eastAsia="Arial" w:cs="Arial"/>
                <w:bCs/>
                <w:color w:val="auto"/>
                <w:sz w:val="20"/>
                <w:lang w:eastAsia="en-US"/>
              </w:rPr>
            </w:pPr>
            <w:r w:rsidRPr="006E3758">
              <w:rPr>
                <w:rFonts w:eastAsia="Arial" w:cs="Arial"/>
                <w:bCs/>
                <w:color w:val="auto"/>
                <w:sz w:val="20"/>
                <w:lang w:eastAsia="en-US"/>
              </w:rPr>
              <w:t>Gear change: a bold vision for cycling and walking (2020) Department for Transport</w:t>
            </w:r>
            <w:r>
              <w:rPr>
                <w:rFonts w:eastAsia="Arial" w:cs="Arial"/>
                <w:bCs/>
                <w:color w:val="auto"/>
                <w:sz w:val="20"/>
                <w:lang w:eastAsia="en-US"/>
              </w:rPr>
              <w:t>.</w:t>
            </w:r>
          </w:p>
        </w:tc>
      </w:tr>
      <w:tr w:rsidR="00BD197D" w:rsidRPr="00BD197D" w14:paraId="0F6D12C7" w14:textId="77777777" w:rsidTr="009D4C91">
        <w:tc>
          <w:tcPr>
            <w:tcW w:w="1838" w:type="dxa"/>
          </w:tcPr>
          <w:p w14:paraId="4464ABF7" w14:textId="77777777" w:rsidR="00BD197D" w:rsidRPr="00BD197D" w:rsidRDefault="00BD197D" w:rsidP="00CD61AD">
            <w:pPr>
              <w:keepNext w:val="0"/>
              <w:spacing w:before="0"/>
              <w:rPr>
                <w:rFonts w:eastAsia="Arial" w:cs="Arial"/>
                <w:b/>
                <w:color w:val="auto"/>
              </w:rPr>
            </w:pPr>
            <w:r w:rsidRPr="00BD197D">
              <w:rPr>
                <w:rFonts w:eastAsia="Arial" w:cs="Arial"/>
                <w:color w:val="auto"/>
                <w:sz w:val="20"/>
              </w:rPr>
              <w:lastRenderedPageBreak/>
              <w:t xml:space="preserve">National Planning Policy and Guidance </w:t>
            </w:r>
          </w:p>
        </w:tc>
        <w:tc>
          <w:tcPr>
            <w:tcW w:w="7796" w:type="dxa"/>
            <w:gridSpan w:val="2"/>
          </w:tcPr>
          <w:p w14:paraId="65260BC7" w14:textId="0E94A45E" w:rsidR="00BD197D" w:rsidRPr="00BD197D" w:rsidRDefault="00BD197D" w:rsidP="00874A98">
            <w:pPr>
              <w:keepNext w:val="0"/>
              <w:numPr>
                <w:ilvl w:val="0"/>
                <w:numId w:val="98"/>
              </w:numPr>
              <w:spacing w:before="0" w:after="160" w:line="252" w:lineRule="auto"/>
              <w:ind w:left="357" w:hanging="357"/>
              <w:contextualSpacing/>
              <w:rPr>
                <w:rFonts w:cs="Arial"/>
                <w:bCs/>
                <w:color w:val="auto"/>
                <w:sz w:val="20"/>
                <w:u w:val="single"/>
              </w:rPr>
            </w:pPr>
            <w:r w:rsidRPr="00BD197D">
              <w:rPr>
                <w:rFonts w:eastAsia="Arial" w:cs="Arial"/>
                <w:bCs/>
                <w:color w:val="auto"/>
                <w:sz w:val="20"/>
              </w:rPr>
              <w:t>NPPF 202</w:t>
            </w:r>
            <w:r w:rsidR="00A37A61">
              <w:rPr>
                <w:rFonts w:eastAsia="Arial" w:cs="Arial"/>
                <w:bCs/>
                <w:color w:val="auto"/>
                <w:sz w:val="20"/>
              </w:rPr>
              <w:t>3</w:t>
            </w:r>
            <w:r w:rsidRPr="00BD197D">
              <w:rPr>
                <w:rFonts w:eastAsia="Arial" w:cs="Arial"/>
                <w:bCs/>
                <w:color w:val="auto"/>
                <w:sz w:val="20"/>
              </w:rPr>
              <w:t>, Part 2: Achieving sustainable development.</w:t>
            </w:r>
          </w:p>
          <w:p w14:paraId="7F9EC474" w14:textId="7C97F119" w:rsidR="00BD197D" w:rsidRPr="00BD197D" w:rsidRDefault="00BD197D" w:rsidP="00874A98">
            <w:pPr>
              <w:keepNext w:val="0"/>
              <w:numPr>
                <w:ilvl w:val="0"/>
                <w:numId w:val="98"/>
              </w:numPr>
              <w:tabs>
                <w:tab w:val="left" w:pos="360"/>
                <w:tab w:val="left" w:pos="1133"/>
                <w:tab w:val="left" w:pos="2267"/>
              </w:tabs>
              <w:spacing w:before="0" w:after="160" w:line="252" w:lineRule="auto"/>
              <w:ind w:left="357" w:right="284" w:hanging="357"/>
              <w:contextualSpacing/>
              <w:rPr>
                <w:rFonts w:eastAsia="Arial" w:cs="Arial"/>
                <w:bCs/>
                <w:color w:val="auto"/>
                <w:sz w:val="20"/>
                <w:lang w:eastAsia="en-US"/>
              </w:rPr>
            </w:pPr>
            <w:r w:rsidRPr="00BD197D">
              <w:rPr>
                <w:rFonts w:eastAsia="Arial" w:cs="Arial"/>
                <w:bCs/>
                <w:color w:val="auto"/>
                <w:sz w:val="20"/>
                <w:lang w:eastAsia="en-US"/>
              </w:rPr>
              <w:t>NPPF 202</w:t>
            </w:r>
            <w:r w:rsidR="00A37A61">
              <w:rPr>
                <w:rFonts w:eastAsia="Arial" w:cs="Arial"/>
                <w:bCs/>
                <w:color w:val="auto"/>
                <w:sz w:val="20"/>
                <w:lang w:eastAsia="en-US"/>
              </w:rPr>
              <w:t>3</w:t>
            </w:r>
            <w:r w:rsidRPr="00BD197D">
              <w:rPr>
                <w:rFonts w:eastAsia="Arial" w:cs="Arial"/>
                <w:bCs/>
                <w:color w:val="auto"/>
                <w:sz w:val="20"/>
                <w:lang w:eastAsia="en-US"/>
              </w:rPr>
              <w:t>, Part 3: Plan Making.</w:t>
            </w:r>
          </w:p>
          <w:p w14:paraId="08E39D51" w14:textId="3DBA4781" w:rsidR="00BD197D" w:rsidRPr="00BD197D" w:rsidRDefault="00BD197D" w:rsidP="00874A98">
            <w:pPr>
              <w:keepNext w:val="0"/>
              <w:numPr>
                <w:ilvl w:val="0"/>
                <w:numId w:val="98"/>
              </w:numPr>
              <w:tabs>
                <w:tab w:val="left" w:pos="680"/>
                <w:tab w:val="left" w:pos="1133"/>
                <w:tab w:val="left" w:pos="2267"/>
              </w:tabs>
              <w:spacing w:before="0" w:after="160" w:line="252" w:lineRule="auto"/>
              <w:ind w:left="357" w:right="284" w:hanging="357"/>
              <w:contextualSpacing/>
              <w:rPr>
                <w:rFonts w:eastAsia="Arial" w:cs="Arial"/>
                <w:bCs/>
                <w:color w:val="auto"/>
                <w:sz w:val="20"/>
              </w:rPr>
            </w:pPr>
            <w:r w:rsidRPr="00BD197D">
              <w:rPr>
                <w:rFonts w:eastAsia="Arial" w:cs="Arial"/>
                <w:bCs/>
                <w:color w:val="auto"/>
                <w:sz w:val="20"/>
              </w:rPr>
              <w:t>NPPF 202</w:t>
            </w:r>
            <w:r w:rsidR="00A37A61">
              <w:rPr>
                <w:rFonts w:eastAsia="Arial" w:cs="Arial"/>
                <w:bCs/>
                <w:color w:val="auto"/>
                <w:sz w:val="20"/>
              </w:rPr>
              <w:t>3</w:t>
            </w:r>
            <w:r w:rsidRPr="00BD197D">
              <w:rPr>
                <w:rFonts w:eastAsia="Arial" w:cs="Arial"/>
                <w:bCs/>
                <w:color w:val="auto"/>
                <w:sz w:val="20"/>
              </w:rPr>
              <w:t xml:space="preserve">, Part 6: </w:t>
            </w:r>
            <w:r w:rsidRPr="00BD197D">
              <w:rPr>
                <w:rFonts w:eastAsia="Calibri" w:cs="Arial"/>
                <w:bCs/>
                <w:color w:val="auto"/>
                <w:sz w:val="20"/>
                <w:lang w:eastAsia="en-US"/>
              </w:rPr>
              <w:t>Building a strong, competitive economy.</w:t>
            </w:r>
          </w:p>
          <w:p w14:paraId="1F16D39E" w14:textId="34E02E7A" w:rsidR="00BD197D" w:rsidRPr="00BD197D" w:rsidRDefault="00BD197D" w:rsidP="00874A98">
            <w:pPr>
              <w:keepNext w:val="0"/>
              <w:numPr>
                <w:ilvl w:val="0"/>
                <w:numId w:val="98"/>
              </w:numPr>
              <w:spacing w:before="0" w:after="160" w:line="252" w:lineRule="auto"/>
              <w:ind w:left="357" w:hanging="357"/>
              <w:contextualSpacing/>
              <w:rPr>
                <w:rFonts w:cs="Arial"/>
                <w:bCs/>
                <w:color w:val="auto"/>
                <w:sz w:val="20"/>
                <w:u w:val="single"/>
              </w:rPr>
            </w:pPr>
            <w:r w:rsidRPr="00BD197D">
              <w:rPr>
                <w:rFonts w:eastAsia="Arial" w:cs="Arial"/>
                <w:bCs/>
                <w:color w:val="auto"/>
                <w:sz w:val="20"/>
              </w:rPr>
              <w:t>NPPF 202</w:t>
            </w:r>
            <w:r w:rsidR="00A37A61">
              <w:rPr>
                <w:rFonts w:eastAsia="Arial" w:cs="Arial"/>
                <w:bCs/>
                <w:color w:val="auto"/>
                <w:sz w:val="20"/>
              </w:rPr>
              <w:t>3</w:t>
            </w:r>
            <w:r w:rsidRPr="00BD197D">
              <w:rPr>
                <w:rFonts w:eastAsia="Arial" w:cs="Arial"/>
                <w:bCs/>
                <w:color w:val="auto"/>
                <w:sz w:val="20"/>
              </w:rPr>
              <w:t xml:space="preserve"> Part 11: Making effective use of land.</w:t>
            </w:r>
          </w:p>
          <w:p w14:paraId="49C107CD" w14:textId="68D657B1" w:rsidR="00BD197D" w:rsidRPr="00BD197D" w:rsidRDefault="00BD197D" w:rsidP="00874A98">
            <w:pPr>
              <w:keepNext w:val="0"/>
              <w:numPr>
                <w:ilvl w:val="0"/>
                <w:numId w:val="98"/>
              </w:numPr>
              <w:spacing w:before="0" w:after="160" w:line="252" w:lineRule="auto"/>
              <w:ind w:left="357" w:hanging="357"/>
              <w:contextualSpacing/>
              <w:rPr>
                <w:rFonts w:cs="Arial"/>
                <w:bCs/>
                <w:color w:val="auto"/>
                <w:sz w:val="20"/>
              </w:rPr>
            </w:pPr>
            <w:r w:rsidRPr="00BD197D">
              <w:rPr>
                <w:rFonts w:cs="Arial"/>
                <w:bCs/>
                <w:color w:val="auto"/>
                <w:sz w:val="20"/>
              </w:rPr>
              <w:t>NPPF 202</w:t>
            </w:r>
            <w:r w:rsidR="00A37A61">
              <w:rPr>
                <w:rFonts w:cs="Arial"/>
                <w:bCs/>
                <w:color w:val="auto"/>
                <w:sz w:val="20"/>
              </w:rPr>
              <w:t>3</w:t>
            </w:r>
            <w:r w:rsidRPr="00BD197D">
              <w:rPr>
                <w:rFonts w:cs="Arial"/>
                <w:bCs/>
                <w:color w:val="auto"/>
                <w:sz w:val="20"/>
              </w:rPr>
              <w:t xml:space="preserve">, Part 13: </w:t>
            </w:r>
            <w:r w:rsidR="0048712C">
              <w:rPr>
                <w:rFonts w:cs="Arial"/>
                <w:bCs/>
                <w:color w:val="auto"/>
                <w:sz w:val="20"/>
              </w:rPr>
              <w:t>P</w:t>
            </w:r>
            <w:r w:rsidRPr="00BD197D">
              <w:rPr>
                <w:rFonts w:cs="Arial"/>
                <w:bCs/>
                <w:color w:val="auto"/>
                <w:sz w:val="20"/>
              </w:rPr>
              <w:t>rotecting Green Belt land</w:t>
            </w:r>
          </w:p>
          <w:p w14:paraId="0D550E2E" w14:textId="1A393DFC" w:rsidR="00BD197D" w:rsidRPr="0073604D" w:rsidRDefault="00BD197D" w:rsidP="00874A98">
            <w:pPr>
              <w:keepNext w:val="0"/>
              <w:numPr>
                <w:ilvl w:val="0"/>
                <w:numId w:val="98"/>
              </w:numPr>
              <w:tabs>
                <w:tab w:val="left" w:pos="360"/>
                <w:tab w:val="left" w:pos="1133"/>
                <w:tab w:val="left" w:pos="2267"/>
              </w:tabs>
              <w:spacing w:before="0" w:after="160" w:line="252" w:lineRule="auto"/>
              <w:ind w:left="357" w:right="284" w:hanging="357"/>
              <w:contextualSpacing/>
              <w:rPr>
                <w:rFonts w:eastAsia="Arial" w:cs="Arial"/>
                <w:bCs/>
                <w:sz w:val="20"/>
                <w:lang w:eastAsia="en-US"/>
              </w:rPr>
            </w:pPr>
            <w:r w:rsidRPr="00BD197D">
              <w:rPr>
                <w:rFonts w:eastAsia="Arial" w:cs="Arial"/>
                <w:bCs/>
                <w:color w:val="auto"/>
                <w:sz w:val="20"/>
                <w:lang w:eastAsia="en-US"/>
              </w:rPr>
              <w:t xml:space="preserve">Planning Practice Guidance: Housing and economic land availability assessment as of </w:t>
            </w:r>
            <w:r w:rsidR="00D949EB" w:rsidRPr="0073604D">
              <w:rPr>
                <w:rFonts w:eastAsia="Arial" w:cs="Arial"/>
                <w:bCs/>
                <w:sz w:val="20"/>
                <w:lang w:eastAsia="en-US"/>
              </w:rPr>
              <w:t>July 2019</w:t>
            </w:r>
            <w:r w:rsidRPr="0073604D">
              <w:rPr>
                <w:rFonts w:eastAsia="Arial" w:cs="Arial"/>
                <w:bCs/>
                <w:sz w:val="20"/>
                <w:lang w:eastAsia="en-US"/>
              </w:rPr>
              <w:t>.</w:t>
            </w:r>
          </w:p>
          <w:p w14:paraId="130DB1DC" w14:textId="10CA9E0E" w:rsidR="00BD197D" w:rsidRPr="00BD197D" w:rsidRDefault="00BD197D" w:rsidP="00874A98">
            <w:pPr>
              <w:keepNext w:val="0"/>
              <w:numPr>
                <w:ilvl w:val="0"/>
                <w:numId w:val="98"/>
              </w:numPr>
              <w:tabs>
                <w:tab w:val="left" w:pos="360"/>
                <w:tab w:val="left" w:pos="1133"/>
                <w:tab w:val="left" w:pos="2267"/>
              </w:tabs>
              <w:spacing w:before="0" w:after="160" w:line="252" w:lineRule="auto"/>
              <w:ind w:left="357" w:right="284" w:hanging="357"/>
              <w:contextualSpacing/>
              <w:rPr>
                <w:rFonts w:eastAsia="Arial" w:cs="Arial"/>
                <w:bCs/>
                <w:color w:val="auto"/>
                <w:sz w:val="20"/>
                <w:lang w:eastAsia="en-US"/>
              </w:rPr>
            </w:pPr>
            <w:r w:rsidRPr="0073604D">
              <w:rPr>
                <w:rFonts w:eastAsia="Arial" w:cs="Arial"/>
                <w:bCs/>
                <w:sz w:val="20"/>
                <w:szCs w:val="22"/>
                <w:lang w:eastAsia="en-US"/>
              </w:rPr>
              <w:t xml:space="preserve">Planning Practice Guidance: </w:t>
            </w:r>
            <w:bookmarkStart w:id="66" w:name="_Hlk78550548"/>
            <w:r w:rsidRPr="0073604D">
              <w:rPr>
                <w:rFonts w:eastAsia="Arial" w:cs="Arial"/>
                <w:bCs/>
                <w:sz w:val="20"/>
                <w:szCs w:val="22"/>
                <w:lang w:eastAsia="en-US"/>
              </w:rPr>
              <w:t xml:space="preserve">Housing and economic needs assessment </w:t>
            </w:r>
            <w:bookmarkEnd w:id="66"/>
            <w:r w:rsidRPr="0073604D">
              <w:rPr>
                <w:rFonts w:eastAsia="Arial" w:cs="Arial"/>
                <w:bCs/>
                <w:sz w:val="20"/>
                <w:szCs w:val="22"/>
                <w:lang w:eastAsia="en-US"/>
              </w:rPr>
              <w:t xml:space="preserve">as of </w:t>
            </w:r>
            <w:r w:rsidR="00D949EB" w:rsidRPr="0073604D">
              <w:rPr>
                <w:rFonts w:eastAsia="Arial" w:cs="Arial"/>
                <w:bCs/>
                <w:sz w:val="20"/>
                <w:szCs w:val="22"/>
                <w:lang w:eastAsia="en-US"/>
              </w:rPr>
              <w:t>December 2020</w:t>
            </w:r>
            <w:r w:rsidRPr="0073604D">
              <w:rPr>
                <w:rFonts w:eastAsia="Arial" w:cs="Arial"/>
                <w:bCs/>
                <w:sz w:val="20"/>
                <w:szCs w:val="22"/>
                <w:lang w:eastAsia="en-US"/>
              </w:rPr>
              <w:t>.</w:t>
            </w:r>
          </w:p>
        </w:tc>
      </w:tr>
    </w:tbl>
    <w:p w14:paraId="66760534" w14:textId="77777777" w:rsidR="00BD197D" w:rsidRPr="00BD197D" w:rsidRDefault="00BD197D" w:rsidP="00BD197D">
      <w:pPr>
        <w:keepNext w:val="0"/>
        <w:spacing w:before="0"/>
        <w:ind w:left="851"/>
        <w:rPr>
          <w:rFonts w:cs="Arial"/>
          <w:color w:val="auto"/>
          <w:szCs w:val="24"/>
        </w:rPr>
      </w:pPr>
    </w:p>
    <w:p w14:paraId="6F7431C8" w14:textId="77777777" w:rsidR="009933FB" w:rsidRPr="003C7E62" w:rsidRDefault="009933FB" w:rsidP="009933FB">
      <w:pPr>
        <w:keepNext w:val="0"/>
        <w:spacing w:before="0"/>
        <w:rPr>
          <w:rFonts w:cs="Arial"/>
          <w:b/>
          <w:bCs/>
          <w:color w:val="auto"/>
          <w:szCs w:val="24"/>
        </w:rPr>
      </w:pPr>
    </w:p>
    <w:p w14:paraId="482B3048" w14:textId="6EBDFD53" w:rsidR="00BD197D" w:rsidRPr="006456CA" w:rsidRDefault="00BD197D" w:rsidP="00CD61AD">
      <w:pPr>
        <w:keepNext w:val="0"/>
        <w:numPr>
          <w:ilvl w:val="1"/>
          <w:numId w:val="344"/>
        </w:numPr>
        <w:tabs>
          <w:tab w:val="clear" w:pos="525"/>
          <w:tab w:val="num" w:pos="851"/>
        </w:tabs>
        <w:spacing w:before="0"/>
        <w:ind w:left="851" w:hanging="851"/>
        <w:rPr>
          <w:rFonts w:cs="Arial"/>
          <w:color w:val="auto"/>
          <w:szCs w:val="24"/>
        </w:rPr>
      </w:pPr>
      <w:r w:rsidRPr="00BD197D">
        <w:rPr>
          <w:rFonts w:cs="Arial"/>
          <w:color w:val="auto"/>
          <w:szCs w:val="24"/>
        </w:rPr>
        <w:t>The employment evidence base for the Local Plan is set out by the Employment Land Need Study</w:t>
      </w:r>
      <w:r w:rsidRPr="0073604D">
        <w:rPr>
          <w:rFonts w:cs="Arial"/>
          <w:szCs w:val="24"/>
          <w:vertAlign w:val="superscript"/>
        </w:rPr>
        <w:footnoteReference w:id="56"/>
      </w:r>
      <w:r w:rsidR="00AE7D37">
        <w:rPr>
          <w:rFonts w:cs="Arial"/>
          <w:color w:val="auto"/>
          <w:szCs w:val="24"/>
        </w:rPr>
        <w:t xml:space="preserve"> </w:t>
      </w:r>
      <w:r w:rsidR="002E32C8" w:rsidRPr="0073604D">
        <w:rPr>
          <w:rFonts w:cs="Arial"/>
          <w:szCs w:val="24"/>
        </w:rPr>
        <w:t>(ELNS)</w:t>
      </w:r>
      <w:r w:rsidR="006456CA" w:rsidRPr="0073604D">
        <w:rPr>
          <w:rFonts w:cs="Arial"/>
          <w:szCs w:val="24"/>
        </w:rPr>
        <w:t>, Logistics Study 2022</w:t>
      </w:r>
      <w:r w:rsidR="006456CA" w:rsidRPr="0073604D">
        <w:rPr>
          <w:rStyle w:val="FootnoteReference"/>
          <w:rFonts w:cs="Arial"/>
          <w:szCs w:val="24"/>
        </w:rPr>
        <w:footnoteReference w:id="57"/>
      </w:r>
      <w:r w:rsidR="006456CA" w:rsidRPr="0073604D">
        <w:rPr>
          <w:rFonts w:cs="Arial"/>
          <w:szCs w:val="24"/>
        </w:rPr>
        <w:t xml:space="preserve">, Background Paper No 3 Economy </w:t>
      </w:r>
      <w:r w:rsidR="006A2E08">
        <w:rPr>
          <w:rFonts w:cs="Arial"/>
          <w:szCs w:val="24"/>
        </w:rPr>
        <w:t>and</w:t>
      </w:r>
      <w:r w:rsidR="006456CA" w:rsidRPr="0073604D">
        <w:rPr>
          <w:rFonts w:cs="Arial"/>
          <w:szCs w:val="24"/>
        </w:rPr>
        <w:t xml:space="preserve"> Employment Land 2023 and the Greater Nottingham Strategic Distribution and Logistics Sites Background Paper 2023</w:t>
      </w:r>
      <w:r w:rsidRPr="0073604D">
        <w:rPr>
          <w:rFonts w:cs="Arial"/>
          <w:szCs w:val="24"/>
        </w:rPr>
        <w:t xml:space="preserve">. The </w:t>
      </w:r>
      <w:r w:rsidR="002E32C8" w:rsidRPr="0073604D">
        <w:rPr>
          <w:rFonts w:cs="Arial"/>
          <w:szCs w:val="24"/>
        </w:rPr>
        <w:t xml:space="preserve">ELNS </w:t>
      </w:r>
      <w:r w:rsidRPr="006456CA">
        <w:rPr>
          <w:rFonts w:cs="Arial"/>
          <w:color w:val="auto"/>
          <w:szCs w:val="24"/>
        </w:rPr>
        <w:t xml:space="preserve">identified various scenarios to meet future employment land needs based on labour demand, labour supply and past take up rates.  It was acknowledged in the Study that Ashfield past take up rates, at least in part reflected the development of logistics units on </w:t>
      </w:r>
      <w:proofErr w:type="gramStart"/>
      <w:r w:rsidRPr="006456CA">
        <w:rPr>
          <w:rFonts w:cs="Arial"/>
          <w:color w:val="auto"/>
          <w:szCs w:val="24"/>
        </w:rPr>
        <w:t>a number of</w:t>
      </w:r>
      <w:proofErr w:type="gramEnd"/>
      <w:r w:rsidRPr="006456CA">
        <w:rPr>
          <w:rFonts w:cs="Arial"/>
          <w:color w:val="auto"/>
          <w:szCs w:val="24"/>
        </w:rPr>
        <w:t xml:space="preserve"> sites such as Castlewood Grange Business Park and Summit Park. The Study highlighted there was a substantial regional demand for distributions facilities along the western arc of the M1 corridor (Junctions 28 to Junction 24). This is in the context of the evidence indicating there is a limited supply of sites to meet this need. </w:t>
      </w:r>
    </w:p>
    <w:p w14:paraId="4FA4C2B5" w14:textId="77777777" w:rsidR="00BD197D" w:rsidRDefault="00BD197D" w:rsidP="00BD197D">
      <w:pPr>
        <w:keepNext w:val="0"/>
        <w:spacing w:before="0"/>
        <w:ind w:left="851"/>
        <w:rPr>
          <w:rFonts w:cs="Arial"/>
          <w:color w:val="auto"/>
          <w:szCs w:val="24"/>
        </w:rPr>
      </w:pPr>
    </w:p>
    <w:p w14:paraId="6532583A" w14:textId="27ADAAAE" w:rsidR="00BD197D" w:rsidRDefault="00BD197D" w:rsidP="006A2E08">
      <w:pPr>
        <w:keepNext w:val="0"/>
        <w:numPr>
          <w:ilvl w:val="1"/>
          <w:numId w:val="344"/>
        </w:numPr>
        <w:tabs>
          <w:tab w:val="clear" w:pos="525"/>
          <w:tab w:val="num" w:pos="851"/>
        </w:tabs>
        <w:spacing w:before="0"/>
        <w:ind w:left="851" w:hanging="851"/>
        <w:rPr>
          <w:rFonts w:cs="Arial"/>
          <w:color w:val="auto"/>
          <w:szCs w:val="24"/>
        </w:rPr>
      </w:pPr>
      <w:r w:rsidRPr="00BD197D">
        <w:rPr>
          <w:rFonts w:cs="Arial"/>
          <w:color w:val="auto"/>
          <w:szCs w:val="24"/>
        </w:rPr>
        <w:t>The NPPF highlights that planning policies should recognise the specific locational requirements of different sectors including distribution operations in suitably accessible locations.  Further guidance is set out in Planning Practice Guidance</w:t>
      </w:r>
      <w:r w:rsidRPr="00BD197D">
        <w:rPr>
          <w:rFonts w:cs="Arial"/>
          <w:color w:val="auto"/>
          <w:szCs w:val="24"/>
          <w:vertAlign w:val="superscript"/>
        </w:rPr>
        <w:footnoteReference w:id="58"/>
      </w:r>
      <w:r w:rsidRPr="00BD197D">
        <w:rPr>
          <w:rFonts w:cs="Arial"/>
          <w:color w:val="auto"/>
          <w:szCs w:val="24"/>
        </w:rPr>
        <w:t xml:space="preserve">  highlights that strategic policy-making authorities will need to identify the scale of any need and the most appropriate locations for meeting these identified needs. The PPG identifies that high tech, engineering, digital, creative and logistics as examples of such industries, where clustering can drive innovation, productivity and economic growth.</w:t>
      </w:r>
    </w:p>
    <w:p w14:paraId="576F9976" w14:textId="77777777" w:rsidR="00BD197D" w:rsidRDefault="00BD197D" w:rsidP="00BD197D">
      <w:pPr>
        <w:pStyle w:val="ListParagraph"/>
        <w:spacing w:after="0" w:line="240" w:lineRule="auto"/>
        <w:rPr>
          <w:rFonts w:cs="Arial"/>
          <w:color w:val="auto"/>
          <w:szCs w:val="24"/>
        </w:rPr>
      </w:pPr>
    </w:p>
    <w:p w14:paraId="0F9AD894" w14:textId="1EDD4D10" w:rsidR="009431BD" w:rsidRPr="009431BD" w:rsidRDefault="00BD197D" w:rsidP="006A2E08">
      <w:pPr>
        <w:keepNext w:val="0"/>
        <w:numPr>
          <w:ilvl w:val="1"/>
          <w:numId w:val="344"/>
        </w:numPr>
        <w:tabs>
          <w:tab w:val="clear" w:pos="525"/>
          <w:tab w:val="num" w:pos="851"/>
        </w:tabs>
        <w:spacing w:before="0"/>
        <w:ind w:left="851" w:hanging="851"/>
        <w:rPr>
          <w:rFonts w:cs="Arial"/>
          <w:color w:val="FF0000"/>
          <w:szCs w:val="24"/>
        </w:rPr>
      </w:pPr>
      <w:bookmarkStart w:id="67" w:name="_Hlk149206544"/>
      <w:bookmarkStart w:id="68" w:name="_Hlk83014234"/>
      <w:r w:rsidRPr="00BD197D">
        <w:rPr>
          <w:rFonts w:cs="Arial"/>
          <w:color w:val="auto"/>
          <w:szCs w:val="24"/>
        </w:rPr>
        <w:lastRenderedPageBreak/>
        <w:t>Based on the evidence</w:t>
      </w:r>
      <w:r w:rsidR="002929F1">
        <w:rPr>
          <w:rFonts w:cs="Arial"/>
          <w:color w:val="auto"/>
          <w:szCs w:val="24"/>
        </w:rPr>
        <w:t>,</w:t>
      </w:r>
      <w:r w:rsidRPr="00BD197D">
        <w:rPr>
          <w:rFonts w:cs="Arial"/>
          <w:color w:val="auto"/>
          <w:szCs w:val="24"/>
        </w:rPr>
        <w:t xml:space="preserve"> the Council has identified the need to meet an employment requirement of </w:t>
      </w:r>
      <w:r w:rsidRPr="0073604D">
        <w:rPr>
          <w:rFonts w:cs="Arial"/>
          <w:szCs w:val="24"/>
        </w:rPr>
        <w:t xml:space="preserve">approximately </w:t>
      </w:r>
      <w:r w:rsidR="000A5EE8">
        <w:rPr>
          <w:rFonts w:cs="Arial"/>
          <w:szCs w:val="24"/>
        </w:rPr>
        <w:t>81</w:t>
      </w:r>
      <w:r w:rsidR="002E32C8" w:rsidRPr="0073604D">
        <w:rPr>
          <w:rFonts w:cs="Arial"/>
          <w:szCs w:val="24"/>
        </w:rPr>
        <w:t xml:space="preserve"> </w:t>
      </w:r>
      <w:r w:rsidRPr="0073604D">
        <w:rPr>
          <w:rFonts w:cs="Arial"/>
          <w:szCs w:val="24"/>
        </w:rPr>
        <w:t>hectares</w:t>
      </w:r>
      <w:r w:rsidRPr="0073604D">
        <w:rPr>
          <w:rFonts w:cs="Arial"/>
          <w:szCs w:val="24"/>
          <w:vertAlign w:val="superscript"/>
        </w:rPr>
        <w:footnoteReference w:id="59"/>
      </w:r>
      <w:r w:rsidRPr="0073604D">
        <w:rPr>
          <w:rFonts w:cs="Arial"/>
          <w:szCs w:val="24"/>
        </w:rPr>
        <w:t>.  Taken with the sites submitted to the Strategic Housing</w:t>
      </w:r>
      <w:r w:rsidR="00936E25">
        <w:rPr>
          <w:rFonts w:cs="Arial"/>
          <w:szCs w:val="24"/>
        </w:rPr>
        <w:t xml:space="preserve"> and Employment</w:t>
      </w:r>
      <w:r w:rsidRPr="0073604D">
        <w:rPr>
          <w:rFonts w:cs="Arial"/>
          <w:szCs w:val="24"/>
        </w:rPr>
        <w:t xml:space="preserve"> Land Availability Assessment and the evidence </w:t>
      </w:r>
      <w:r w:rsidR="002E32C8" w:rsidRPr="0073604D">
        <w:rPr>
          <w:rFonts w:cs="Arial"/>
          <w:szCs w:val="24"/>
        </w:rPr>
        <w:t>for employment land requirements</w:t>
      </w:r>
      <w:r w:rsidR="00936E25">
        <w:rPr>
          <w:rFonts w:cs="Arial"/>
          <w:szCs w:val="24"/>
        </w:rPr>
        <w:t>,</w:t>
      </w:r>
      <w:r w:rsidR="002E32C8" w:rsidRPr="0073604D">
        <w:rPr>
          <w:rFonts w:cs="Arial"/>
          <w:szCs w:val="24"/>
        </w:rPr>
        <w:t xml:space="preserve"> </w:t>
      </w:r>
      <w:r w:rsidRPr="0073604D">
        <w:rPr>
          <w:rFonts w:cs="Arial"/>
          <w:szCs w:val="24"/>
        </w:rPr>
        <w:t>the allocations of</w:t>
      </w:r>
      <w:r w:rsidR="002E32C8" w:rsidRPr="0073604D">
        <w:rPr>
          <w:rFonts w:cs="Arial"/>
          <w:szCs w:val="24"/>
        </w:rPr>
        <w:t>f</w:t>
      </w:r>
      <w:r w:rsidRPr="0073604D">
        <w:rPr>
          <w:rFonts w:cs="Arial"/>
          <w:szCs w:val="24"/>
        </w:rPr>
        <w:t xml:space="preserve"> Junction 27 are regarded as key in meeting future employment land needs in the </w:t>
      </w:r>
      <w:proofErr w:type="gramStart"/>
      <w:r w:rsidRPr="0073604D">
        <w:rPr>
          <w:rFonts w:cs="Arial"/>
          <w:szCs w:val="24"/>
        </w:rPr>
        <w:t>District</w:t>
      </w:r>
      <w:proofErr w:type="gramEnd"/>
      <w:r w:rsidR="002E32C8" w:rsidRPr="0073604D">
        <w:rPr>
          <w:rFonts w:cs="Arial"/>
          <w:szCs w:val="24"/>
        </w:rPr>
        <w:t xml:space="preserve"> and contribution to regional needs for logistics</w:t>
      </w:r>
      <w:r w:rsidRPr="0073604D">
        <w:rPr>
          <w:rFonts w:cs="Arial"/>
          <w:szCs w:val="24"/>
        </w:rPr>
        <w:t>.</w:t>
      </w:r>
      <w:r w:rsidR="00FD028C" w:rsidRPr="0073604D">
        <w:rPr>
          <w:rFonts w:cs="Arial"/>
          <w:szCs w:val="24"/>
        </w:rPr>
        <w:t xml:space="preserve">  </w:t>
      </w:r>
    </w:p>
    <w:bookmarkEnd w:id="67"/>
    <w:p w14:paraId="1F7402C1" w14:textId="77777777" w:rsidR="009431BD" w:rsidRPr="009431BD" w:rsidRDefault="009431BD" w:rsidP="009431BD">
      <w:pPr>
        <w:keepNext w:val="0"/>
        <w:spacing w:before="0"/>
        <w:rPr>
          <w:rFonts w:cs="Arial"/>
          <w:color w:val="FF0000"/>
          <w:szCs w:val="24"/>
        </w:rPr>
      </w:pPr>
    </w:p>
    <w:p w14:paraId="2FA1CC0E" w14:textId="14FB6F58" w:rsidR="00BD197D" w:rsidRPr="0073604D" w:rsidRDefault="000D0A37" w:rsidP="006A2E08">
      <w:pPr>
        <w:pStyle w:val="ListParagraph"/>
        <w:numPr>
          <w:ilvl w:val="1"/>
          <w:numId w:val="344"/>
        </w:numPr>
        <w:spacing w:after="0" w:line="240" w:lineRule="auto"/>
        <w:ind w:left="851" w:hanging="709"/>
        <w:rPr>
          <w:rFonts w:ascii="Arial" w:hAnsi="Arial" w:cs="Arial"/>
          <w:szCs w:val="24"/>
          <w:lang w:eastAsia="en-GB"/>
        </w:rPr>
      </w:pPr>
      <w:r w:rsidRPr="0073604D">
        <w:rPr>
          <w:rFonts w:ascii="Arial" w:hAnsi="Arial" w:cs="Arial"/>
          <w:szCs w:val="24"/>
          <w:lang w:eastAsia="en-GB"/>
        </w:rPr>
        <w:t>There is the potential for archaeological remain on both sites. Prior to development further archaeological evaluation work will be required, beginning with a Desk Based Assessment (DBA), to ascertain the extent and level of survival of archaeological remains within the site.  Depending on the results of the DBA further archaeological investigations may be warranted, including a geophysical survey and targeted trial trenching, where necessary.  This work will inform the need for mitigation</w:t>
      </w:r>
      <w:r w:rsidR="0073604D" w:rsidRPr="0073604D">
        <w:rPr>
          <w:rFonts w:ascii="Arial" w:hAnsi="Arial" w:cs="Arial"/>
          <w:szCs w:val="24"/>
          <w:lang w:eastAsia="en-GB"/>
        </w:rPr>
        <w:t>.</w:t>
      </w:r>
    </w:p>
    <w:bookmarkEnd w:id="68"/>
    <w:p w14:paraId="6D1E01BC" w14:textId="77777777" w:rsidR="00BD197D" w:rsidRDefault="00BD197D" w:rsidP="00BD197D">
      <w:pPr>
        <w:pStyle w:val="ListParagraph"/>
        <w:spacing w:after="0" w:line="240" w:lineRule="auto"/>
        <w:rPr>
          <w:rFonts w:cs="Arial"/>
          <w:color w:val="auto"/>
          <w:szCs w:val="24"/>
        </w:rPr>
      </w:pPr>
    </w:p>
    <w:p w14:paraId="5BFE1464" w14:textId="7D4D0DEF" w:rsidR="00BD197D" w:rsidRPr="00872E07" w:rsidRDefault="00BD197D" w:rsidP="00A44712">
      <w:pPr>
        <w:keepNext w:val="0"/>
        <w:numPr>
          <w:ilvl w:val="1"/>
          <w:numId w:val="344"/>
        </w:numPr>
        <w:tabs>
          <w:tab w:val="clear" w:pos="525"/>
          <w:tab w:val="num" w:pos="851"/>
        </w:tabs>
        <w:spacing w:before="0"/>
        <w:ind w:left="851" w:hanging="851"/>
        <w:rPr>
          <w:rFonts w:cs="Arial"/>
          <w:strike/>
          <w:color w:val="auto"/>
          <w:szCs w:val="24"/>
        </w:rPr>
      </w:pPr>
      <w:r w:rsidRPr="006A2E08">
        <w:rPr>
          <w:rFonts w:cs="Arial"/>
          <w:color w:val="auto"/>
          <w:szCs w:val="24"/>
        </w:rPr>
        <w:t xml:space="preserve">This site is adjacent to Junction 27 of the M1 Motorway and established Sherwood Business Park. The site is split into two portions – the land north of Mansfield Road (A608) and land south of Mansfield Road. </w:t>
      </w:r>
      <w:r w:rsidRPr="00872E07">
        <w:rPr>
          <w:rFonts w:cs="Arial"/>
          <w:strike/>
          <w:color w:val="auto"/>
          <w:szCs w:val="24"/>
        </w:rPr>
        <w:t xml:space="preserve">The site to the south of Mansfield Road is substantially impacted by HS2 Safeguarding Land, both in terms of the route and for a major compound and temporary material stockpile. Under these circumstances, it is not anticipated that the site would come forward until the later part of the Plan once </w:t>
      </w:r>
      <w:r w:rsidR="002E32C8" w:rsidRPr="00872E07">
        <w:rPr>
          <w:rFonts w:cs="Arial"/>
          <w:strike/>
          <w:szCs w:val="24"/>
        </w:rPr>
        <w:t xml:space="preserve">HS2b </w:t>
      </w:r>
      <w:r w:rsidR="006A2E08" w:rsidRPr="00872E07">
        <w:rPr>
          <w:rFonts w:cs="Arial"/>
          <w:strike/>
          <w:szCs w:val="24"/>
        </w:rPr>
        <w:t xml:space="preserve">safeguarded route </w:t>
      </w:r>
      <w:r w:rsidR="002E32C8" w:rsidRPr="00872E07">
        <w:rPr>
          <w:rFonts w:cs="Arial"/>
          <w:strike/>
          <w:szCs w:val="24"/>
        </w:rPr>
        <w:t>through Ashfield</w:t>
      </w:r>
      <w:r w:rsidR="006A2E08" w:rsidRPr="00872E07">
        <w:rPr>
          <w:rFonts w:cs="Arial"/>
          <w:strike/>
          <w:szCs w:val="24"/>
        </w:rPr>
        <w:t xml:space="preserve"> has been removed</w:t>
      </w:r>
      <w:r w:rsidRPr="00872E07">
        <w:rPr>
          <w:rFonts w:cs="Arial"/>
          <w:strike/>
          <w:szCs w:val="24"/>
        </w:rPr>
        <w:t>.</w:t>
      </w:r>
    </w:p>
    <w:p w14:paraId="25AD6F61" w14:textId="4BFAB15B" w:rsidR="002E32C8" w:rsidRDefault="002E32C8" w:rsidP="00BD197D">
      <w:pPr>
        <w:pStyle w:val="ListParagraph"/>
        <w:spacing w:after="0" w:line="240" w:lineRule="auto"/>
        <w:rPr>
          <w:rFonts w:cs="Arial"/>
          <w:color w:val="auto"/>
          <w:szCs w:val="24"/>
        </w:rPr>
      </w:pPr>
    </w:p>
    <w:p w14:paraId="76463543" w14:textId="6BE005FD" w:rsidR="00643893" w:rsidRPr="003C7E62" w:rsidRDefault="00BD197D">
      <w:pPr>
        <w:keepNext w:val="0"/>
        <w:numPr>
          <w:ilvl w:val="1"/>
          <w:numId w:val="344"/>
        </w:numPr>
        <w:tabs>
          <w:tab w:val="clear" w:pos="525"/>
        </w:tabs>
        <w:spacing w:before="0"/>
        <w:ind w:left="851" w:hanging="851"/>
        <w:rPr>
          <w:rFonts w:cs="Arial"/>
          <w:b/>
          <w:bCs/>
          <w:color w:val="auto"/>
          <w:szCs w:val="24"/>
        </w:rPr>
      </w:pPr>
      <w:r w:rsidRPr="00CB6138">
        <w:rPr>
          <w:rFonts w:cs="Arial"/>
          <w:color w:val="auto"/>
          <w:szCs w:val="24"/>
        </w:rPr>
        <w:t xml:space="preserve">An assessment of the site was undertaken as part of the ELNS which anticipated that a ratio of 90% of </w:t>
      </w:r>
      <w:r w:rsidR="006A2E08">
        <w:rPr>
          <w:rFonts w:cs="Arial"/>
          <w:color w:val="auto"/>
          <w:szCs w:val="24"/>
        </w:rPr>
        <w:t xml:space="preserve">the </w:t>
      </w:r>
      <w:r w:rsidRPr="00CB6138">
        <w:rPr>
          <w:rFonts w:cs="Arial"/>
          <w:color w:val="auto"/>
          <w:szCs w:val="24"/>
        </w:rPr>
        <w:t>gross</w:t>
      </w:r>
      <w:r w:rsidR="006A2E08">
        <w:rPr>
          <w:rFonts w:cs="Arial"/>
          <w:color w:val="auto"/>
          <w:szCs w:val="24"/>
        </w:rPr>
        <w:t xml:space="preserve"> area</w:t>
      </w:r>
      <w:r w:rsidRPr="00CB6138">
        <w:rPr>
          <w:rFonts w:cs="Arial"/>
          <w:color w:val="auto"/>
          <w:szCs w:val="24"/>
        </w:rPr>
        <w:t xml:space="preserve"> was realistic.  Consequently, for the site to the north</w:t>
      </w:r>
      <w:r w:rsidR="003C3D52">
        <w:rPr>
          <w:rFonts w:cs="Arial"/>
          <w:color w:val="auto"/>
          <w:szCs w:val="24"/>
        </w:rPr>
        <w:t>-</w:t>
      </w:r>
      <w:r w:rsidRPr="00CB6138">
        <w:rPr>
          <w:rFonts w:cs="Arial"/>
          <w:color w:val="auto"/>
          <w:szCs w:val="24"/>
        </w:rPr>
        <w:t>east of Junction 27 the net developable area is anticipated to be 18.42 hectares.  Applying a similar ratio to the area to the south</w:t>
      </w:r>
      <w:r w:rsidR="003C3D52">
        <w:rPr>
          <w:rFonts w:cs="Arial"/>
          <w:color w:val="auto"/>
          <w:szCs w:val="24"/>
        </w:rPr>
        <w:t>-</w:t>
      </w:r>
      <w:r w:rsidRPr="00CB6138">
        <w:rPr>
          <w:rFonts w:cs="Arial"/>
          <w:color w:val="auto"/>
          <w:szCs w:val="24"/>
        </w:rPr>
        <w:t>east of Junction 27 would result in a net developable area of 22.5 hectares.</w:t>
      </w:r>
      <w:bookmarkEnd w:id="61"/>
    </w:p>
    <w:p w14:paraId="7C95E211" w14:textId="77777777" w:rsidR="00F75C34" w:rsidRDefault="00F75C34" w:rsidP="00F75C34">
      <w:pPr>
        <w:pStyle w:val="ListParagraph"/>
        <w:rPr>
          <w:rFonts w:cs="Arial"/>
          <w:b/>
          <w:bCs/>
          <w:color w:val="auto"/>
          <w:szCs w:val="24"/>
        </w:rPr>
      </w:pPr>
    </w:p>
    <w:p w14:paraId="5A09DA13" w14:textId="77777777" w:rsidR="00F75C34" w:rsidRPr="00F75C34" w:rsidRDefault="00F75C34" w:rsidP="00F75C34">
      <w:pPr>
        <w:keepNext w:val="0"/>
        <w:spacing w:before="0"/>
        <w:rPr>
          <w:rFonts w:cs="Arial"/>
          <w:b/>
          <w:bCs/>
          <w:color w:val="auto"/>
          <w:szCs w:val="24"/>
        </w:rPr>
      </w:pPr>
    </w:p>
    <w:p w14:paraId="02F95240" w14:textId="056AA1FC" w:rsidR="00F260E8" w:rsidRPr="009D5737" w:rsidRDefault="00FB4E8F" w:rsidP="009D5737">
      <w:pPr>
        <w:pStyle w:val="Heading2"/>
        <w:jc w:val="left"/>
        <w:rPr>
          <w:rFonts w:eastAsia="Arial"/>
          <w:sz w:val="28"/>
          <w:szCs w:val="28"/>
        </w:rPr>
      </w:pPr>
      <w:bookmarkStart w:id="69" w:name="_Toc145511559"/>
      <w:bookmarkEnd w:id="58"/>
      <w:r w:rsidRPr="009D5737">
        <w:rPr>
          <w:sz w:val="28"/>
          <w:szCs w:val="28"/>
        </w:rPr>
        <w:t>Strategic Policy S</w:t>
      </w:r>
      <w:r w:rsidR="00295930" w:rsidRPr="009D5737">
        <w:rPr>
          <w:sz w:val="28"/>
          <w:szCs w:val="28"/>
        </w:rPr>
        <w:t>7</w:t>
      </w:r>
      <w:r w:rsidRPr="009D5737">
        <w:rPr>
          <w:sz w:val="28"/>
          <w:szCs w:val="28"/>
        </w:rPr>
        <w:t xml:space="preserve">: </w:t>
      </w:r>
      <w:r w:rsidR="00162A7B" w:rsidRPr="009D5737">
        <w:rPr>
          <w:sz w:val="28"/>
          <w:szCs w:val="28"/>
        </w:rPr>
        <w:t xml:space="preserve">Meeting Future </w:t>
      </w:r>
      <w:r w:rsidRPr="009D5737">
        <w:rPr>
          <w:sz w:val="28"/>
          <w:szCs w:val="28"/>
        </w:rPr>
        <w:t>Housing Provision</w:t>
      </w:r>
      <w:bookmarkEnd w:id="69"/>
      <w:r w:rsidRPr="009D5737">
        <w:rPr>
          <w:rFonts w:eastAsia="Arial"/>
          <w:sz w:val="28"/>
          <w:szCs w:val="28"/>
        </w:rPr>
        <w:t xml:space="preserve"> </w:t>
      </w:r>
    </w:p>
    <w:p w14:paraId="2367067B" w14:textId="42706477" w:rsidR="00F260E8" w:rsidRPr="009D5737" w:rsidRDefault="00F260E8" w:rsidP="009D5737">
      <w:pPr>
        <w:rPr>
          <w:rFonts w:eastAsia="Arial"/>
        </w:rPr>
      </w:pPr>
    </w:p>
    <w:tbl>
      <w:tblPr>
        <w:tblStyle w:val="ReportTable1"/>
        <w:tblW w:w="9776" w:type="dxa"/>
        <w:tblLook w:val="04A0" w:firstRow="1" w:lastRow="0" w:firstColumn="1" w:lastColumn="0" w:noHBand="0" w:noVBand="1"/>
      </w:tblPr>
      <w:tblGrid>
        <w:gridCol w:w="1980"/>
        <w:gridCol w:w="680"/>
        <w:gridCol w:w="7116"/>
      </w:tblGrid>
      <w:tr w:rsidR="00F260E8" w:rsidRPr="003C7E62" w14:paraId="241A8AFF" w14:textId="77777777" w:rsidTr="009D4C91">
        <w:trPr>
          <w:trHeight w:val="295"/>
        </w:trPr>
        <w:tc>
          <w:tcPr>
            <w:tcW w:w="9776" w:type="dxa"/>
            <w:gridSpan w:val="3"/>
          </w:tcPr>
          <w:p w14:paraId="04F0C74D" w14:textId="77CA67F6" w:rsidR="00F260E8" w:rsidRPr="0073604D" w:rsidRDefault="00F260E8" w:rsidP="00F34584">
            <w:pPr>
              <w:keepNext w:val="0"/>
              <w:spacing w:before="40" w:after="120"/>
              <w:rPr>
                <w:rFonts w:eastAsia="Arial" w:cs="Arial"/>
                <w:b/>
                <w:sz w:val="22"/>
                <w:szCs w:val="22"/>
                <w:u w:val="single"/>
              </w:rPr>
            </w:pPr>
            <w:r w:rsidRPr="0073604D">
              <w:rPr>
                <w:rFonts w:eastAsia="Arial" w:cs="Arial"/>
                <w:b/>
              </w:rPr>
              <w:t>Strategic Policy S</w:t>
            </w:r>
            <w:r w:rsidR="00295930" w:rsidRPr="0073604D">
              <w:rPr>
                <w:rFonts w:eastAsia="Arial" w:cs="Arial"/>
                <w:b/>
              </w:rPr>
              <w:t>7</w:t>
            </w:r>
            <w:r w:rsidRPr="0073604D">
              <w:rPr>
                <w:rFonts w:eastAsia="Arial" w:cs="Arial"/>
                <w:b/>
              </w:rPr>
              <w:t xml:space="preserve">: </w:t>
            </w:r>
            <w:r w:rsidR="00162A7B" w:rsidRPr="0073604D">
              <w:rPr>
                <w:rFonts w:eastAsia="Arial" w:cs="Arial"/>
                <w:b/>
              </w:rPr>
              <w:t xml:space="preserve">Meeting Future </w:t>
            </w:r>
            <w:r w:rsidRPr="0073604D">
              <w:rPr>
                <w:rFonts w:eastAsia="Arial" w:cs="Arial"/>
                <w:b/>
              </w:rPr>
              <w:t>Housing Provision</w:t>
            </w:r>
          </w:p>
        </w:tc>
      </w:tr>
      <w:tr w:rsidR="00F260E8" w:rsidRPr="00F260E8" w14:paraId="103764BE" w14:textId="77777777" w:rsidTr="009D4C91">
        <w:tc>
          <w:tcPr>
            <w:tcW w:w="2660" w:type="dxa"/>
            <w:gridSpan w:val="2"/>
          </w:tcPr>
          <w:p w14:paraId="2953310E" w14:textId="1A537251" w:rsidR="00F260E8" w:rsidRPr="0073604D" w:rsidRDefault="00F260E8" w:rsidP="00F260E8">
            <w:pPr>
              <w:keepNext w:val="0"/>
              <w:tabs>
                <w:tab w:val="left" w:pos="680"/>
              </w:tabs>
              <w:spacing w:before="40" w:after="40"/>
              <w:rPr>
                <w:rFonts w:eastAsia="Arial" w:cs="Arial"/>
                <w:bCs/>
                <w:sz w:val="22"/>
                <w:szCs w:val="22"/>
                <w:u w:val="single"/>
              </w:rPr>
            </w:pPr>
            <w:r w:rsidRPr="0073604D">
              <w:rPr>
                <w:rFonts w:eastAsia="Arial" w:cs="Arial"/>
                <w:bCs/>
                <w:szCs w:val="24"/>
              </w:rPr>
              <w:t>Strategic Objectives</w:t>
            </w:r>
          </w:p>
        </w:tc>
        <w:tc>
          <w:tcPr>
            <w:tcW w:w="7116" w:type="dxa"/>
          </w:tcPr>
          <w:p w14:paraId="778DA672" w14:textId="0E5555AA" w:rsidR="00F260E8" w:rsidRPr="0073604D" w:rsidRDefault="00F260E8" w:rsidP="00F260E8">
            <w:pPr>
              <w:keepNext w:val="0"/>
              <w:tabs>
                <w:tab w:val="left" w:pos="680"/>
              </w:tabs>
              <w:spacing w:before="40" w:after="40"/>
              <w:rPr>
                <w:rFonts w:eastAsia="Arial" w:cs="Arial"/>
                <w:bCs/>
                <w:sz w:val="22"/>
                <w:szCs w:val="22"/>
                <w:u w:val="single"/>
              </w:rPr>
            </w:pPr>
            <w:r w:rsidRPr="0073604D">
              <w:rPr>
                <w:rFonts w:eastAsia="Arial" w:cs="Arial"/>
                <w:bCs/>
              </w:rPr>
              <w:t>SO1, SO2, SO3, SO5, SO12.</w:t>
            </w:r>
          </w:p>
        </w:tc>
      </w:tr>
      <w:tr w:rsidR="00F260E8" w:rsidRPr="003C7E62" w14:paraId="04BB47B0" w14:textId="77777777" w:rsidTr="009D4C91">
        <w:trPr>
          <w:trHeight w:val="416"/>
        </w:trPr>
        <w:tc>
          <w:tcPr>
            <w:tcW w:w="9776" w:type="dxa"/>
            <w:gridSpan w:val="3"/>
            <w:shd w:val="clear" w:color="auto" w:fill="D9D9D9" w:themeFill="background1" w:themeFillShade="D9"/>
          </w:tcPr>
          <w:p w14:paraId="7EED5504" w14:textId="77777777" w:rsidR="00F260E8" w:rsidRPr="0073604D" w:rsidRDefault="00F260E8" w:rsidP="00F260E8">
            <w:pPr>
              <w:keepNext w:val="0"/>
              <w:tabs>
                <w:tab w:val="left" w:pos="680"/>
                <w:tab w:val="left" w:pos="1133"/>
                <w:tab w:val="left" w:pos="2267"/>
              </w:tabs>
              <w:spacing w:before="0"/>
              <w:ind w:right="284"/>
              <w:rPr>
                <w:rFonts w:eastAsia="Arial" w:cs="Arial"/>
                <w:bCs/>
                <w:sz w:val="22"/>
                <w:szCs w:val="22"/>
              </w:rPr>
            </w:pPr>
          </w:p>
          <w:p w14:paraId="26F3BAB0" w14:textId="03F26751" w:rsidR="00F260E8" w:rsidRPr="0073604D" w:rsidRDefault="00F260E8" w:rsidP="00874A98">
            <w:pPr>
              <w:pStyle w:val="ListParagraph"/>
              <w:numPr>
                <w:ilvl w:val="0"/>
                <w:numId w:val="161"/>
              </w:numPr>
              <w:tabs>
                <w:tab w:val="left" w:pos="680"/>
                <w:tab w:val="left" w:pos="1133"/>
                <w:tab w:val="left" w:pos="2267"/>
              </w:tabs>
              <w:spacing w:after="0" w:line="240" w:lineRule="auto"/>
              <w:ind w:right="284"/>
              <w:rPr>
                <w:rFonts w:ascii="Arial" w:eastAsia="Arial" w:hAnsi="Arial" w:cs="Arial"/>
                <w:bCs/>
                <w:szCs w:val="24"/>
              </w:rPr>
            </w:pPr>
            <w:r w:rsidRPr="0073604D">
              <w:rPr>
                <w:rFonts w:ascii="Arial" w:eastAsia="Arial" w:hAnsi="Arial" w:cs="Arial"/>
                <w:bCs/>
                <w:szCs w:val="24"/>
              </w:rPr>
              <w:t>A minimum of</w:t>
            </w:r>
            <w:r w:rsidR="00060199" w:rsidRPr="0073604D">
              <w:rPr>
                <w:rFonts w:ascii="Arial" w:eastAsia="Arial" w:hAnsi="Arial" w:cs="Arial"/>
                <w:bCs/>
                <w:szCs w:val="24"/>
              </w:rPr>
              <w:t xml:space="preserve"> 7,582</w:t>
            </w:r>
            <w:r w:rsidRPr="0073604D">
              <w:rPr>
                <w:rFonts w:ascii="Arial" w:eastAsia="Arial" w:hAnsi="Arial" w:cs="Arial"/>
                <w:bCs/>
                <w:szCs w:val="24"/>
              </w:rPr>
              <w:t xml:space="preserve"> new dwellings will be delivered within the period 202</w:t>
            </w:r>
            <w:r w:rsidR="001B3786" w:rsidRPr="0073604D">
              <w:rPr>
                <w:rFonts w:ascii="Arial" w:eastAsia="Arial" w:hAnsi="Arial" w:cs="Arial"/>
                <w:bCs/>
                <w:szCs w:val="24"/>
              </w:rPr>
              <w:t xml:space="preserve">3 </w:t>
            </w:r>
            <w:r w:rsidRPr="0073604D">
              <w:rPr>
                <w:rFonts w:ascii="Arial" w:eastAsia="Arial" w:hAnsi="Arial" w:cs="Arial"/>
                <w:bCs/>
                <w:szCs w:val="24"/>
              </w:rPr>
              <w:t>to 20</w:t>
            </w:r>
            <w:r w:rsidR="001B3786" w:rsidRPr="0073604D">
              <w:rPr>
                <w:rFonts w:ascii="Arial" w:eastAsia="Arial" w:hAnsi="Arial" w:cs="Arial"/>
                <w:bCs/>
                <w:szCs w:val="24"/>
              </w:rPr>
              <w:t>40</w:t>
            </w:r>
            <w:r w:rsidRPr="0073604D">
              <w:rPr>
                <w:rFonts w:ascii="Arial" w:eastAsia="Arial" w:hAnsi="Arial" w:cs="Arial"/>
                <w:bCs/>
                <w:szCs w:val="24"/>
              </w:rPr>
              <w:t xml:space="preserve">, dispersed across the </w:t>
            </w:r>
            <w:proofErr w:type="gramStart"/>
            <w:r w:rsidRPr="0073604D">
              <w:rPr>
                <w:rFonts w:ascii="Arial" w:eastAsia="Arial" w:hAnsi="Arial" w:cs="Arial"/>
                <w:bCs/>
                <w:szCs w:val="24"/>
              </w:rPr>
              <w:t>District</w:t>
            </w:r>
            <w:proofErr w:type="gramEnd"/>
            <w:r w:rsidRPr="0073604D">
              <w:rPr>
                <w:rFonts w:ascii="Arial" w:eastAsia="Arial" w:hAnsi="Arial" w:cs="Arial"/>
                <w:bCs/>
                <w:szCs w:val="24"/>
              </w:rPr>
              <w:t xml:space="preserve"> in accordance with the Council’s spatial strategy for growth.  </w:t>
            </w:r>
            <w:r w:rsidR="00933854" w:rsidRPr="0073604D">
              <w:rPr>
                <w:rFonts w:ascii="Arial" w:eastAsia="Arial" w:hAnsi="Arial" w:cs="Arial"/>
                <w:bCs/>
                <w:szCs w:val="24"/>
              </w:rPr>
              <w:t xml:space="preserve">This will necessitate the release of land previously identified as Green Belt </w:t>
            </w:r>
            <w:proofErr w:type="gramStart"/>
            <w:r w:rsidR="00933854" w:rsidRPr="0073604D">
              <w:rPr>
                <w:rFonts w:ascii="Arial" w:eastAsia="Arial" w:hAnsi="Arial" w:cs="Arial"/>
                <w:bCs/>
                <w:szCs w:val="24"/>
              </w:rPr>
              <w:t>in order to</w:t>
            </w:r>
            <w:proofErr w:type="gramEnd"/>
            <w:r w:rsidR="00933854" w:rsidRPr="0073604D">
              <w:rPr>
                <w:rFonts w:ascii="Arial" w:eastAsia="Arial" w:hAnsi="Arial" w:cs="Arial"/>
                <w:bCs/>
                <w:szCs w:val="24"/>
              </w:rPr>
              <w:t xml:space="preserve"> meet the identified needs. N</w:t>
            </w:r>
            <w:r w:rsidRPr="0073604D">
              <w:rPr>
                <w:rFonts w:ascii="Arial" w:eastAsia="Arial" w:hAnsi="Arial" w:cs="Arial"/>
                <w:bCs/>
                <w:szCs w:val="24"/>
              </w:rPr>
              <w:t xml:space="preserve">ew dwelling provision will </w:t>
            </w:r>
            <w:r w:rsidR="00933854" w:rsidRPr="0073604D">
              <w:rPr>
                <w:rFonts w:ascii="Arial" w:eastAsia="Arial" w:hAnsi="Arial" w:cs="Arial"/>
                <w:bCs/>
                <w:szCs w:val="24"/>
              </w:rPr>
              <w:t xml:space="preserve">also </w:t>
            </w:r>
            <w:r w:rsidRPr="0073604D">
              <w:rPr>
                <w:rFonts w:ascii="Arial" w:eastAsia="Arial" w:hAnsi="Arial" w:cs="Arial"/>
                <w:bCs/>
                <w:szCs w:val="24"/>
              </w:rPr>
              <w:t xml:space="preserve">include an element of Affordable Housing as set out under Policy H3 of this Plan. </w:t>
            </w:r>
          </w:p>
          <w:p w14:paraId="7526A8A8" w14:textId="77777777" w:rsidR="00F260E8" w:rsidRPr="0073604D" w:rsidRDefault="00F260E8" w:rsidP="00F260E8">
            <w:pPr>
              <w:pStyle w:val="ListParagraph"/>
              <w:tabs>
                <w:tab w:val="left" w:pos="680"/>
                <w:tab w:val="left" w:pos="1133"/>
                <w:tab w:val="left" w:pos="2267"/>
              </w:tabs>
              <w:spacing w:after="0" w:line="240" w:lineRule="auto"/>
              <w:ind w:left="360" w:right="284"/>
              <w:rPr>
                <w:rFonts w:ascii="Arial" w:eastAsia="Arial" w:hAnsi="Arial" w:cs="Arial"/>
                <w:bCs/>
                <w:szCs w:val="24"/>
              </w:rPr>
            </w:pPr>
          </w:p>
          <w:p w14:paraId="4340012E" w14:textId="77777777" w:rsidR="00F260E8" w:rsidRPr="0073604D" w:rsidRDefault="00F260E8" w:rsidP="00874A98">
            <w:pPr>
              <w:pStyle w:val="ListParagraph"/>
              <w:numPr>
                <w:ilvl w:val="0"/>
                <w:numId w:val="161"/>
              </w:numPr>
              <w:tabs>
                <w:tab w:val="left" w:pos="680"/>
                <w:tab w:val="left" w:pos="1133"/>
                <w:tab w:val="left" w:pos="2267"/>
              </w:tabs>
              <w:spacing w:after="0" w:line="240" w:lineRule="auto"/>
              <w:ind w:right="284"/>
              <w:rPr>
                <w:rFonts w:ascii="Arial" w:eastAsia="Arial" w:hAnsi="Arial" w:cs="Arial"/>
                <w:bCs/>
                <w:szCs w:val="24"/>
              </w:rPr>
            </w:pPr>
            <w:r w:rsidRPr="0073604D">
              <w:rPr>
                <w:rFonts w:ascii="Arial" w:eastAsia="Arial" w:hAnsi="Arial" w:cs="Arial"/>
                <w:bCs/>
                <w:szCs w:val="24"/>
              </w:rPr>
              <w:lastRenderedPageBreak/>
              <w:t>Proposals for new housing for older people and those with disabilities, including supported and specialist accommodation, will be encouraged where they are in suitable locations in line with the role and size of the settlement.</w:t>
            </w:r>
          </w:p>
          <w:p w14:paraId="097A1A0E" w14:textId="77777777" w:rsidR="00F260E8" w:rsidRPr="0073604D" w:rsidRDefault="00F260E8" w:rsidP="00F260E8">
            <w:pPr>
              <w:pStyle w:val="ListParagraph"/>
              <w:spacing w:after="0" w:line="240" w:lineRule="auto"/>
              <w:rPr>
                <w:rFonts w:ascii="Arial" w:eastAsia="Arial" w:hAnsi="Arial" w:cs="Arial"/>
                <w:bCs/>
                <w:szCs w:val="24"/>
              </w:rPr>
            </w:pPr>
          </w:p>
          <w:p w14:paraId="6E97C14B" w14:textId="77777777" w:rsidR="00F260E8" w:rsidRPr="0073604D" w:rsidRDefault="00F260E8" w:rsidP="00874A98">
            <w:pPr>
              <w:pStyle w:val="ListParagraph"/>
              <w:numPr>
                <w:ilvl w:val="0"/>
                <w:numId w:val="161"/>
              </w:numPr>
              <w:tabs>
                <w:tab w:val="left" w:pos="680"/>
                <w:tab w:val="left" w:pos="1133"/>
                <w:tab w:val="left" w:pos="2267"/>
              </w:tabs>
              <w:spacing w:after="0" w:line="240" w:lineRule="auto"/>
              <w:ind w:right="284"/>
              <w:rPr>
                <w:rFonts w:ascii="Arial" w:eastAsia="Arial" w:hAnsi="Arial" w:cs="Arial"/>
                <w:bCs/>
                <w:szCs w:val="24"/>
              </w:rPr>
            </w:pPr>
            <w:r w:rsidRPr="0073604D">
              <w:rPr>
                <w:rFonts w:ascii="Arial" w:eastAsia="Arial" w:hAnsi="Arial" w:cs="Arial"/>
                <w:bCs/>
                <w:szCs w:val="24"/>
              </w:rPr>
              <w:t>The inclusion of self-build and custom-build properties on sites will be encouraged.</w:t>
            </w:r>
          </w:p>
          <w:p w14:paraId="4EDF4EAF" w14:textId="77777777" w:rsidR="00F260E8" w:rsidRPr="0073604D" w:rsidRDefault="00F260E8" w:rsidP="00F260E8">
            <w:pPr>
              <w:pStyle w:val="ListParagraph"/>
              <w:spacing w:after="0" w:line="240" w:lineRule="auto"/>
              <w:rPr>
                <w:rFonts w:ascii="Arial" w:eastAsia="Arial" w:hAnsi="Arial" w:cs="Arial"/>
                <w:bCs/>
                <w:szCs w:val="24"/>
              </w:rPr>
            </w:pPr>
          </w:p>
          <w:p w14:paraId="3C67C959" w14:textId="77777777" w:rsidR="00F260E8" w:rsidRPr="0073604D" w:rsidRDefault="00F260E8" w:rsidP="00874A98">
            <w:pPr>
              <w:pStyle w:val="ListParagraph"/>
              <w:numPr>
                <w:ilvl w:val="0"/>
                <w:numId w:val="161"/>
              </w:numPr>
              <w:tabs>
                <w:tab w:val="left" w:pos="680"/>
                <w:tab w:val="left" w:pos="1133"/>
                <w:tab w:val="left" w:pos="2267"/>
              </w:tabs>
              <w:spacing w:after="0" w:line="240" w:lineRule="auto"/>
              <w:ind w:right="284"/>
              <w:rPr>
                <w:rFonts w:ascii="Arial" w:eastAsia="Arial" w:hAnsi="Arial" w:cs="Arial"/>
                <w:bCs/>
                <w:szCs w:val="24"/>
              </w:rPr>
            </w:pPr>
            <w:r w:rsidRPr="0073604D">
              <w:rPr>
                <w:rFonts w:ascii="Arial" w:eastAsia="Arial" w:hAnsi="Arial" w:cs="Arial"/>
                <w:bCs/>
                <w:szCs w:val="24"/>
              </w:rPr>
              <w:t>The Council will support schemes which bring forward a mix of house sizes appropriate to deliver mixed and balanced communities.</w:t>
            </w:r>
          </w:p>
          <w:p w14:paraId="74A430E6" w14:textId="77777777" w:rsidR="00F260E8" w:rsidRPr="0073604D" w:rsidRDefault="00F260E8" w:rsidP="00F260E8">
            <w:pPr>
              <w:pStyle w:val="ListParagraph"/>
              <w:spacing w:after="0" w:line="240" w:lineRule="auto"/>
              <w:rPr>
                <w:rFonts w:ascii="Arial" w:eastAsia="Arial" w:hAnsi="Arial" w:cs="Arial"/>
                <w:bCs/>
                <w:szCs w:val="24"/>
              </w:rPr>
            </w:pPr>
          </w:p>
          <w:p w14:paraId="635E311B" w14:textId="5E01EBC7" w:rsidR="00F260E8" w:rsidRPr="0073604D" w:rsidRDefault="00F260E8" w:rsidP="00874A98">
            <w:pPr>
              <w:pStyle w:val="ListParagraph"/>
              <w:numPr>
                <w:ilvl w:val="0"/>
                <w:numId w:val="161"/>
              </w:numPr>
              <w:tabs>
                <w:tab w:val="left" w:pos="680"/>
                <w:tab w:val="left" w:pos="1133"/>
                <w:tab w:val="left" w:pos="2267"/>
              </w:tabs>
              <w:spacing w:after="0" w:line="240" w:lineRule="auto"/>
              <w:ind w:right="284"/>
              <w:rPr>
                <w:rFonts w:ascii="Arial" w:eastAsia="Arial" w:hAnsi="Arial" w:cs="Arial"/>
                <w:bCs/>
                <w:szCs w:val="24"/>
              </w:rPr>
            </w:pPr>
            <w:r w:rsidRPr="0073604D">
              <w:rPr>
                <w:rFonts w:ascii="Arial" w:eastAsia="Arial" w:hAnsi="Arial" w:cs="Arial"/>
                <w:bCs/>
                <w:szCs w:val="24"/>
              </w:rPr>
              <w:t>All new housing development within the area must deliver high quality, sustainable design as required by Policy SD</w:t>
            </w:r>
            <w:r w:rsidR="00AF02F7" w:rsidRPr="0073604D">
              <w:rPr>
                <w:rFonts w:ascii="Arial" w:eastAsia="Arial" w:hAnsi="Arial" w:cs="Arial"/>
                <w:bCs/>
                <w:szCs w:val="24"/>
              </w:rPr>
              <w:t>2</w:t>
            </w:r>
            <w:r w:rsidRPr="0073604D">
              <w:rPr>
                <w:rFonts w:ascii="Arial" w:eastAsia="Arial" w:hAnsi="Arial" w:cs="Arial"/>
                <w:bCs/>
                <w:szCs w:val="24"/>
              </w:rPr>
              <w:t xml:space="preserve"> and site-specific design policies in the Neighbourhood Plan, where relevant.</w:t>
            </w:r>
            <w:r w:rsidR="008C5D99">
              <w:rPr>
                <w:rFonts w:ascii="Arial" w:eastAsia="Arial" w:hAnsi="Arial" w:cs="Arial"/>
                <w:bCs/>
                <w:szCs w:val="24"/>
              </w:rPr>
              <w:t xml:space="preserve"> </w:t>
            </w:r>
            <w:r w:rsidR="008C5D99">
              <w:rPr>
                <w:rFonts w:eastAsia="Arial" w:cs="Arial"/>
                <w:szCs w:val="24"/>
              </w:rPr>
              <w:t xml:space="preserve"> </w:t>
            </w:r>
          </w:p>
          <w:p w14:paraId="2F8EC874" w14:textId="77777777" w:rsidR="00F260E8" w:rsidRPr="0073604D" w:rsidRDefault="00F260E8" w:rsidP="00F260E8">
            <w:pPr>
              <w:pStyle w:val="ListParagraph"/>
              <w:spacing w:after="0" w:line="240" w:lineRule="auto"/>
              <w:rPr>
                <w:rFonts w:ascii="Arial" w:eastAsia="Arial" w:hAnsi="Arial" w:cs="Arial"/>
                <w:bCs/>
                <w:szCs w:val="24"/>
              </w:rPr>
            </w:pPr>
          </w:p>
          <w:p w14:paraId="76A5D50B" w14:textId="45671DCB" w:rsidR="00F260E8" w:rsidRDefault="00F260E8" w:rsidP="00874A98">
            <w:pPr>
              <w:pStyle w:val="ListParagraph"/>
              <w:numPr>
                <w:ilvl w:val="0"/>
                <w:numId w:val="161"/>
              </w:numPr>
              <w:tabs>
                <w:tab w:val="left" w:pos="680"/>
                <w:tab w:val="left" w:pos="1133"/>
                <w:tab w:val="left" w:pos="2267"/>
              </w:tabs>
              <w:spacing w:after="0" w:line="240" w:lineRule="auto"/>
              <w:ind w:right="284"/>
              <w:rPr>
                <w:rFonts w:ascii="Arial" w:eastAsia="Arial" w:hAnsi="Arial" w:cs="Arial"/>
                <w:bCs/>
                <w:szCs w:val="24"/>
              </w:rPr>
            </w:pPr>
            <w:r w:rsidRPr="0073604D">
              <w:rPr>
                <w:rFonts w:ascii="Arial" w:eastAsia="Arial" w:hAnsi="Arial" w:cs="Arial"/>
                <w:bCs/>
                <w:szCs w:val="24"/>
              </w:rPr>
              <w:t xml:space="preserve">The Council will </w:t>
            </w:r>
            <w:r w:rsidRPr="00433759">
              <w:rPr>
                <w:rFonts w:ascii="Arial" w:eastAsia="Arial" w:hAnsi="Arial" w:cs="Arial"/>
                <w:bCs/>
                <w:strike/>
                <w:szCs w:val="24"/>
              </w:rPr>
              <w:t>permit, and where necessary</w:t>
            </w:r>
            <w:r w:rsidRPr="0073604D">
              <w:rPr>
                <w:rFonts w:ascii="Arial" w:eastAsia="Arial" w:hAnsi="Arial" w:cs="Arial"/>
                <w:bCs/>
                <w:szCs w:val="24"/>
              </w:rPr>
              <w:t xml:space="preserve"> identify sufficient pitches </w:t>
            </w:r>
            <w:r w:rsidR="00DC5A91">
              <w:rPr>
                <w:rFonts w:ascii="Arial" w:eastAsia="Arial" w:hAnsi="Arial" w:cs="Arial"/>
                <w:bCs/>
                <w:szCs w:val="24"/>
              </w:rPr>
              <w:t>and</w:t>
            </w:r>
            <w:r w:rsidRPr="0073604D">
              <w:rPr>
                <w:rFonts w:ascii="Arial" w:eastAsia="Arial" w:hAnsi="Arial" w:cs="Arial"/>
                <w:bCs/>
                <w:szCs w:val="24"/>
              </w:rPr>
              <w:t xml:space="preserve"> plots to meet the </w:t>
            </w:r>
            <w:r w:rsidRPr="004C1094">
              <w:rPr>
                <w:rFonts w:ascii="Arial" w:eastAsia="Arial" w:hAnsi="Arial" w:cs="Arial"/>
                <w:bCs/>
                <w:strike/>
                <w:szCs w:val="24"/>
              </w:rPr>
              <w:t>current and any future</w:t>
            </w:r>
            <w:r w:rsidRPr="0073604D">
              <w:rPr>
                <w:rFonts w:ascii="Arial" w:eastAsia="Arial" w:hAnsi="Arial" w:cs="Arial"/>
                <w:bCs/>
                <w:szCs w:val="24"/>
              </w:rPr>
              <w:t xml:space="preserve"> identified accommodation needs of Gypsies, Travellers and Travelling </w:t>
            </w:r>
            <w:proofErr w:type="spellStart"/>
            <w:r w:rsidRPr="0073604D">
              <w:rPr>
                <w:rFonts w:ascii="Arial" w:eastAsia="Arial" w:hAnsi="Arial" w:cs="Arial"/>
                <w:bCs/>
                <w:szCs w:val="24"/>
              </w:rPr>
              <w:t>Showpeople</w:t>
            </w:r>
            <w:proofErr w:type="spellEnd"/>
            <w:r w:rsidRPr="0073604D">
              <w:rPr>
                <w:rFonts w:ascii="Arial" w:eastAsia="Arial" w:hAnsi="Arial" w:cs="Arial"/>
                <w:bCs/>
                <w:szCs w:val="24"/>
              </w:rPr>
              <w:t xml:space="preserve"> as </w:t>
            </w:r>
            <w:r w:rsidRPr="00C21F53">
              <w:rPr>
                <w:rFonts w:ascii="Arial" w:eastAsia="Arial" w:hAnsi="Arial" w:cs="Arial"/>
                <w:bCs/>
                <w:szCs w:val="24"/>
              </w:rPr>
              <w:t>set out</w:t>
            </w:r>
            <w:r w:rsidR="00C21F53">
              <w:rPr>
                <w:rFonts w:ascii="Arial" w:eastAsia="Arial" w:hAnsi="Arial" w:cs="Arial"/>
                <w:bCs/>
                <w:szCs w:val="24"/>
              </w:rPr>
              <w:t xml:space="preserve"> in the </w:t>
            </w:r>
            <w:r w:rsidR="00C21F53" w:rsidRPr="00E56F9C">
              <w:rPr>
                <w:rFonts w:ascii="Arial" w:eastAsia="Arial" w:hAnsi="Arial" w:cs="Arial"/>
                <w:bCs/>
                <w:color w:val="005EAC"/>
                <w:szCs w:val="24"/>
              </w:rPr>
              <w:t>Greater Nottingham and Ashfield District Council Gypsy and Traveller Accommodation Assessment 2021 as follows:</w:t>
            </w:r>
            <w:r w:rsidRPr="00E56F9C">
              <w:rPr>
                <w:rFonts w:ascii="Arial" w:eastAsia="Arial" w:hAnsi="Arial" w:cs="Arial"/>
                <w:bCs/>
                <w:strike/>
                <w:color w:val="005EAC"/>
                <w:szCs w:val="24"/>
              </w:rPr>
              <w:t xml:space="preserve"> </w:t>
            </w:r>
            <w:r w:rsidRPr="00C21F53">
              <w:rPr>
                <w:rFonts w:ascii="Arial" w:eastAsia="Arial" w:hAnsi="Arial" w:cs="Arial"/>
                <w:bCs/>
                <w:strike/>
                <w:szCs w:val="24"/>
              </w:rPr>
              <w:t>by national guidance</w:t>
            </w:r>
            <w:r w:rsidRPr="0073604D">
              <w:rPr>
                <w:rFonts w:ascii="Arial" w:eastAsia="Arial" w:hAnsi="Arial" w:cs="Arial"/>
                <w:bCs/>
                <w:szCs w:val="24"/>
              </w:rPr>
              <w:t xml:space="preserve">.  </w:t>
            </w:r>
          </w:p>
          <w:p w14:paraId="753AEE94" w14:textId="77777777" w:rsidR="005A3B66" w:rsidRDefault="005A3B66" w:rsidP="005A3B66">
            <w:pPr>
              <w:pStyle w:val="ListParagraph"/>
              <w:tabs>
                <w:tab w:val="left" w:pos="680"/>
                <w:tab w:val="left" w:pos="1133"/>
                <w:tab w:val="left" w:pos="2267"/>
              </w:tabs>
              <w:spacing w:after="0" w:line="240" w:lineRule="auto"/>
              <w:ind w:left="360" w:right="284"/>
              <w:rPr>
                <w:rFonts w:ascii="Arial" w:eastAsia="Arial" w:hAnsi="Arial" w:cs="Arial"/>
                <w:bCs/>
                <w:szCs w:val="24"/>
              </w:rPr>
            </w:pPr>
          </w:p>
          <w:tbl>
            <w:tblPr>
              <w:tblStyle w:val="ReportTable1"/>
              <w:tblW w:w="8931" w:type="dxa"/>
              <w:tblInd w:w="310" w:type="dxa"/>
              <w:tblLook w:val="04A0" w:firstRow="1" w:lastRow="0" w:firstColumn="1" w:lastColumn="0" w:noHBand="0" w:noVBand="1"/>
            </w:tblPr>
            <w:tblGrid>
              <w:gridCol w:w="2694"/>
              <w:gridCol w:w="3260"/>
              <w:gridCol w:w="2977"/>
            </w:tblGrid>
            <w:tr w:rsidR="00C21F53" w14:paraId="36CBF418" w14:textId="77777777" w:rsidTr="00433759">
              <w:trPr>
                <w:trHeight w:val="425"/>
              </w:trPr>
              <w:tc>
                <w:tcPr>
                  <w:tcW w:w="2694" w:type="dxa"/>
                  <w:tcBorders>
                    <w:top w:val="single" w:sz="4" w:space="0" w:color="auto"/>
                    <w:left w:val="single" w:sz="4" w:space="0" w:color="auto"/>
                    <w:bottom w:val="single" w:sz="4" w:space="0" w:color="auto"/>
                    <w:right w:val="single" w:sz="4" w:space="0" w:color="auto"/>
                  </w:tcBorders>
                  <w:shd w:val="clear" w:color="auto" w:fill="D9D9D9"/>
                  <w:hideMark/>
                </w:tcPr>
                <w:p w14:paraId="58E0E778" w14:textId="7DEAFCB1" w:rsidR="00C21F53" w:rsidRPr="00E56F9C" w:rsidRDefault="00433759" w:rsidP="00C21F53">
                  <w:pPr>
                    <w:spacing w:after="255"/>
                    <w:contextualSpacing/>
                    <w:rPr>
                      <w:rFonts w:cs="Arial"/>
                      <w:b/>
                      <w:color w:val="005EAC"/>
                      <w:szCs w:val="24"/>
                    </w:rPr>
                  </w:pPr>
                  <w:r w:rsidRPr="00E56F9C">
                    <w:rPr>
                      <w:rFonts w:cs="Arial"/>
                      <w:b/>
                      <w:color w:val="005EAC"/>
                      <w:szCs w:val="24"/>
                    </w:rPr>
                    <w:t>P</w:t>
                  </w:r>
                  <w:r w:rsidR="00C21F53" w:rsidRPr="00E56F9C">
                    <w:rPr>
                      <w:rFonts w:cs="Arial"/>
                      <w:b/>
                      <w:color w:val="005EAC"/>
                      <w:szCs w:val="24"/>
                    </w:rPr>
                    <w:t>eriod</w:t>
                  </w:r>
                </w:p>
              </w:tc>
              <w:tc>
                <w:tcPr>
                  <w:tcW w:w="3260" w:type="dxa"/>
                  <w:tcBorders>
                    <w:top w:val="single" w:sz="4" w:space="0" w:color="auto"/>
                    <w:left w:val="single" w:sz="4" w:space="0" w:color="auto"/>
                    <w:bottom w:val="single" w:sz="4" w:space="0" w:color="auto"/>
                    <w:right w:val="single" w:sz="4" w:space="0" w:color="auto"/>
                  </w:tcBorders>
                  <w:shd w:val="clear" w:color="auto" w:fill="D9D9D9"/>
                  <w:hideMark/>
                </w:tcPr>
                <w:p w14:paraId="471CC7ED" w14:textId="77777777" w:rsidR="00C21F53" w:rsidRPr="00E56F9C" w:rsidRDefault="00C21F53" w:rsidP="00C21F53">
                  <w:pPr>
                    <w:spacing w:after="255"/>
                    <w:contextualSpacing/>
                    <w:jc w:val="center"/>
                    <w:rPr>
                      <w:rFonts w:cs="Arial"/>
                      <w:b/>
                      <w:color w:val="005EAC"/>
                      <w:szCs w:val="24"/>
                    </w:rPr>
                  </w:pPr>
                  <w:r w:rsidRPr="00E56F9C">
                    <w:rPr>
                      <w:rFonts w:cs="Arial"/>
                      <w:b/>
                      <w:color w:val="005EAC"/>
                      <w:szCs w:val="24"/>
                    </w:rPr>
                    <w:t>Gypsy/Traveller Pitches</w:t>
                  </w:r>
                </w:p>
              </w:tc>
              <w:tc>
                <w:tcPr>
                  <w:tcW w:w="2977" w:type="dxa"/>
                  <w:tcBorders>
                    <w:top w:val="single" w:sz="4" w:space="0" w:color="auto"/>
                    <w:left w:val="single" w:sz="4" w:space="0" w:color="auto"/>
                    <w:bottom w:val="single" w:sz="4" w:space="0" w:color="auto"/>
                    <w:right w:val="single" w:sz="4" w:space="0" w:color="auto"/>
                  </w:tcBorders>
                  <w:shd w:val="clear" w:color="auto" w:fill="D9D9D9"/>
                  <w:hideMark/>
                </w:tcPr>
                <w:p w14:paraId="362EA710" w14:textId="77777777" w:rsidR="00C21F53" w:rsidRPr="00E56F9C" w:rsidRDefault="00C21F53" w:rsidP="00C21F53">
                  <w:pPr>
                    <w:spacing w:after="255"/>
                    <w:contextualSpacing/>
                    <w:jc w:val="center"/>
                    <w:rPr>
                      <w:rFonts w:cs="Arial"/>
                      <w:b/>
                      <w:color w:val="005EAC"/>
                      <w:szCs w:val="24"/>
                    </w:rPr>
                  </w:pPr>
                  <w:proofErr w:type="spellStart"/>
                  <w:r w:rsidRPr="00E56F9C">
                    <w:rPr>
                      <w:rFonts w:cs="Arial"/>
                      <w:b/>
                      <w:color w:val="005EAC"/>
                      <w:szCs w:val="24"/>
                    </w:rPr>
                    <w:t>Showpeople’s</w:t>
                  </w:r>
                  <w:proofErr w:type="spellEnd"/>
                  <w:r w:rsidRPr="00E56F9C">
                    <w:rPr>
                      <w:rFonts w:cs="Arial"/>
                      <w:b/>
                      <w:color w:val="005EAC"/>
                      <w:szCs w:val="24"/>
                    </w:rPr>
                    <w:t xml:space="preserve"> Plots</w:t>
                  </w:r>
                </w:p>
              </w:tc>
            </w:tr>
            <w:tr w:rsidR="00C21F53" w14:paraId="4CE64E29" w14:textId="77777777" w:rsidTr="00433759">
              <w:trPr>
                <w:trHeight w:val="340"/>
              </w:trPr>
              <w:tc>
                <w:tcPr>
                  <w:tcW w:w="2694" w:type="dxa"/>
                  <w:tcBorders>
                    <w:top w:val="single" w:sz="4" w:space="0" w:color="auto"/>
                    <w:left w:val="single" w:sz="4" w:space="0" w:color="auto"/>
                    <w:bottom w:val="single" w:sz="4" w:space="0" w:color="auto"/>
                    <w:right w:val="single" w:sz="4" w:space="0" w:color="auto"/>
                  </w:tcBorders>
                  <w:hideMark/>
                </w:tcPr>
                <w:p w14:paraId="4461CAB1" w14:textId="5EFCBBF7" w:rsidR="00C21F53" w:rsidRPr="00E56F9C" w:rsidRDefault="00C21F53" w:rsidP="00C21F53">
                  <w:pPr>
                    <w:spacing w:after="255"/>
                    <w:contextualSpacing/>
                    <w:rPr>
                      <w:rFonts w:cs="Arial"/>
                      <w:color w:val="005EAC"/>
                      <w:szCs w:val="24"/>
                    </w:rPr>
                  </w:pPr>
                  <w:r w:rsidRPr="00E56F9C">
                    <w:rPr>
                      <w:rFonts w:cs="Arial"/>
                      <w:color w:val="005EAC"/>
                      <w:szCs w:val="24"/>
                    </w:rPr>
                    <w:t>2020 to 2038</w:t>
                  </w:r>
                </w:p>
              </w:tc>
              <w:tc>
                <w:tcPr>
                  <w:tcW w:w="3260" w:type="dxa"/>
                  <w:tcBorders>
                    <w:top w:val="single" w:sz="4" w:space="0" w:color="auto"/>
                    <w:left w:val="single" w:sz="4" w:space="0" w:color="auto"/>
                    <w:bottom w:val="single" w:sz="4" w:space="0" w:color="auto"/>
                    <w:right w:val="single" w:sz="4" w:space="0" w:color="auto"/>
                  </w:tcBorders>
                  <w:hideMark/>
                </w:tcPr>
                <w:p w14:paraId="76A9B7F2" w14:textId="77777777" w:rsidR="00C21F53" w:rsidRPr="00E56F9C" w:rsidRDefault="00C21F53" w:rsidP="00C21F53">
                  <w:pPr>
                    <w:spacing w:after="255"/>
                    <w:contextualSpacing/>
                    <w:jc w:val="center"/>
                    <w:rPr>
                      <w:rFonts w:cs="Arial"/>
                      <w:color w:val="005EAC"/>
                      <w:szCs w:val="24"/>
                    </w:rPr>
                  </w:pPr>
                  <w:r w:rsidRPr="00E56F9C">
                    <w:rPr>
                      <w:rFonts w:cs="Arial"/>
                      <w:color w:val="005EAC"/>
                      <w:szCs w:val="24"/>
                    </w:rPr>
                    <w:t>4</w:t>
                  </w:r>
                </w:p>
              </w:tc>
              <w:tc>
                <w:tcPr>
                  <w:tcW w:w="2977" w:type="dxa"/>
                  <w:tcBorders>
                    <w:top w:val="single" w:sz="4" w:space="0" w:color="auto"/>
                    <w:left w:val="single" w:sz="4" w:space="0" w:color="auto"/>
                    <w:bottom w:val="single" w:sz="4" w:space="0" w:color="auto"/>
                    <w:right w:val="single" w:sz="4" w:space="0" w:color="auto"/>
                  </w:tcBorders>
                  <w:hideMark/>
                </w:tcPr>
                <w:p w14:paraId="6802C256" w14:textId="77777777" w:rsidR="00C21F53" w:rsidRPr="00E56F9C" w:rsidRDefault="00C21F53" w:rsidP="00C21F53">
                  <w:pPr>
                    <w:spacing w:after="255"/>
                    <w:contextualSpacing/>
                    <w:jc w:val="center"/>
                    <w:rPr>
                      <w:rFonts w:cs="Arial"/>
                      <w:color w:val="005EAC"/>
                      <w:szCs w:val="24"/>
                    </w:rPr>
                  </w:pPr>
                  <w:r w:rsidRPr="00E56F9C">
                    <w:rPr>
                      <w:rFonts w:cs="Arial"/>
                      <w:color w:val="005EAC"/>
                      <w:szCs w:val="24"/>
                    </w:rPr>
                    <w:t>14</w:t>
                  </w:r>
                </w:p>
              </w:tc>
            </w:tr>
          </w:tbl>
          <w:p w14:paraId="4951A93E" w14:textId="77777777" w:rsidR="00C21F53" w:rsidRPr="00C21F53" w:rsidRDefault="00C21F53" w:rsidP="00C21F53">
            <w:pPr>
              <w:pStyle w:val="ListParagraph"/>
              <w:rPr>
                <w:rFonts w:ascii="Arial" w:eastAsia="Arial" w:hAnsi="Arial" w:cs="Arial"/>
                <w:bCs/>
                <w:szCs w:val="24"/>
              </w:rPr>
            </w:pPr>
          </w:p>
          <w:p w14:paraId="0916C35E" w14:textId="795CAB51" w:rsidR="00C21F53" w:rsidRPr="00E56F9C" w:rsidRDefault="00433759" w:rsidP="00433759">
            <w:pPr>
              <w:pStyle w:val="ListParagraph"/>
              <w:numPr>
                <w:ilvl w:val="0"/>
                <w:numId w:val="161"/>
              </w:numPr>
              <w:tabs>
                <w:tab w:val="left" w:pos="680"/>
                <w:tab w:val="left" w:pos="1133"/>
                <w:tab w:val="left" w:pos="2267"/>
              </w:tabs>
              <w:spacing w:after="0" w:line="240" w:lineRule="auto"/>
              <w:ind w:right="284"/>
              <w:rPr>
                <w:rFonts w:ascii="Arial" w:eastAsia="Arial" w:hAnsi="Arial" w:cs="Arial"/>
                <w:bCs/>
                <w:color w:val="005EAC"/>
                <w:szCs w:val="24"/>
              </w:rPr>
            </w:pPr>
            <w:r w:rsidRPr="00E56F9C">
              <w:rPr>
                <w:rFonts w:ascii="Arial" w:eastAsia="Arial" w:hAnsi="Arial" w:cs="Arial"/>
                <w:bCs/>
                <w:color w:val="005EAC"/>
                <w:szCs w:val="24"/>
              </w:rPr>
              <w:t xml:space="preserve">In addition to the requirements of criteria 6, the Council will permit future pitches and plots to meet any additional needs arising for Gypsy, Traveller and Travelling </w:t>
            </w:r>
            <w:proofErr w:type="spellStart"/>
            <w:r w:rsidRPr="00E56F9C">
              <w:rPr>
                <w:rFonts w:ascii="Arial" w:eastAsia="Arial" w:hAnsi="Arial" w:cs="Arial"/>
                <w:bCs/>
                <w:color w:val="005EAC"/>
                <w:szCs w:val="24"/>
              </w:rPr>
              <w:t>Showpeople’s</w:t>
            </w:r>
            <w:proofErr w:type="spellEnd"/>
            <w:r w:rsidRPr="00E56F9C">
              <w:rPr>
                <w:rFonts w:ascii="Arial" w:eastAsia="Arial" w:hAnsi="Arial" w:cs="Arial"/>
                <w:bCs/>
                <w:color w:val="005EAC"/>
                <w:szCs w:val="24"/>
              </w:rPr>
              <w:t xml:space="preserve"> accommodation </w:t>
            </w:r>
            <w:r w:rsidR="003348C2" w:rsidRPr="00E56F9C">
              <w:rPr>
                <w:rFonts w:ascii="Arial" w:eastAsia="Arial" w:hAnsi="Arial" w:cs="Arial"/>
                <w:bCs/>
                <w:color w:val="005EAC"/>
                <w:szCs w:val="24"/>
              </w:rPr>
              <w:t>w</w:t>
            </w:r>
            <w:r w:rsidRPr="00E56F9C">
              <w:rPr>
                <w:rFonts w:ascii="Arial" w:eastAsia="Arial" w:hAnsi="Arial" w:cs="Arial"/>
                <w:bCs/>
                <w:color w:val="005EAC"/>
                <w:szCs w:val="24"/>
              </w:rPr>
              <w:t>here proposals are consistent with the requirements of Policy H2.</w:t>
            </w:r>
          </w:p>
          <w:p w14:paraId="3D51C339" w14:textId="77777777" w:rsidR="00F260E8" w:rsidRPr="0073604D" w:rsidRDefault="00F260E8" w:rsidP="00F260E8">
            <w:pPr>
              <w:keepNext w:val="0"/>
              <w:spacing w:before="0"/>
              <w:rPr>
                <w:rFonts w:cs="Arial"/>
                <w:bCs/>
                <w:sz w:val="22"/>
                <w:szCs w:val="22"/>
                <w:lang w:eastAsia="en-US"/>
              </w:rPr>
            </w:pPr>
          </w:p>
        </w:tc>
      </w:tr>
      <w:tr w:rsidR="00F260E8" w:rsidRPr="003C7E62" w14:paraId="1BE56EBE" w14:textId="77777777" w:rsidTr="009D4C91">
        <w:trPr>
          <w:trHeight w:val="416"/>
        </w:trPr>
        <w:tc>
          <w:tcPr>
            <w:tcW w:w="1980" w:type="dxa"/>
          </w:tcPr>
          <w:p w14:paraId="3DF4EA27" w14:textId="4C539A2E" w:rsidR="00F260E8" w:rsidRPr="00F260E8" w:rsidRDefault="00F260E8" w:rsidP="000032A9">
            <w:pPr>
              <w:keepNext w:val="0"/>
              <w:tabs>
                <w:tab w:val="left" w:pos="680"/>
                <w:tab w:val="left" w:pos="1133"/>
                <w:tab w:val="left" w:pos="2267"/>
              </w:tabs>
              <w:spacing w:before="0"/>
              <w:ind w:right="284"/>
              <w:rPr>
                <w:rFonts w:eastAsia="Arial" w:cs="Arial"/>
                <w:b/>
                <w:color w:val="auto"/>
                <w:sz w:val="22"/>
                <w:szCs w:val="22"/>
                <w:u w:val="single"/>
              </w:rPr>
            </w:pPr>
            <w:r w:rsidRPr="003C7E62">
              <w:rPr>
                <w:rFonts w:eastAsia="Arial" w:cs="Arial"/>
                <w:iCs/>
                <w:color w:val="auto"/>
                <w:sz w:val="20"/>
                <w:lang w:eastAsia="en-US"/>
              </w:rPr>
              <w:lastRenderedPageBreak/>
              <w:t>Evidence Base</w:t>
            </w:r>
          </w:p>
        </w:tc>
        <w:tc>
          <w:tcPr>
            <w:tcW w:w="7796" w:type="dxa"/>
            <w:gridSpan w:val="2"/>
          </w:tcPr>
          <w:p w14:paraId="3E4EA396" w14:textId="77777777" w:rsidR="00F260E8" w:rsidRPr="003C7E62" w:rsidRDefault="00F260E8" w:rsidP="00874A98">
            <w:pPr>
              <w:pStyle w:val="ListParagraph"/>
              <w:numPr>
                <w:ilvl w:val="0"/>
                <w:numId w:val="93"/>
              </w:numPr>
              <w:spacing w:after="0" w:line="240" w:lineRule="auto"/>
              <w:rPr>
                <w:rFonts w:ascii="Arial" w:hAnsi="Arial" w:cs="Arial"/>
                <w:color w:val="auto"/>
                <w:sz w:val="20"/>
                <w:szCs w:val="20"/>
              </w:rPr>
            </w:pPr>
            <w:r w:rsidRPr="003C7E62">
              <w:rPr>
                <w:rFonts w:ascii="Arial" w:hAnsi="Arial" w:cs="Arial"/>
                <w:color w:val="auto"/>
                <w:sz w:val="20"/>
                <w:szCs w:val="20"/>
              </w:rPr>
              <w:t xml:space="preserve">Standard Method to calculate housing Need, August 2021. NPPF and Planning Practice Guidance. </w:t>
            </w:r>
          </w:p>
          <w:p w14:paraId="7C358DDC" w14:textId="77777777" w:rsidR="005E1157" w:rsidRPr="005E1157" w:rsidRDefault="005E1157" w:rsidP="00874A98">
            <w:pPr>
              <w:pStyle w:val="ListParagraph"/>
              <w:numPr>
                <w:ilvl w:val="0"/>
                <w:numId w:val="93"/>
              </w:numPr>
              <w:rPr>
                <w:rFonts w:ascii="Arial" w:hAnsi="Arial" w:cs="Arial"/>
                <w:sz w:val="20"/>
                <w:szCs w:val="20"/>
              </w:rPr>
            </w:pPr>
            <w:r w:rsidRPr="005E1157">
              <w:rPr>
                <w:rFonts w:ascii="Arial" w:hAnsi="Arial" w:cs="Arial"/>
                <w:sz w:val="20"/>
                <w:szCs w:val="20"/>
              </w:rPr>
              <w:t>Background Paper No 1: Spatial Strategy and Site Selection 2023 - Ashfield District Council</w:t>
            </w:r>
          </w:p>
          <w:p w14:paraId="4E92B57F" w14:textId="4E3B0F49" w:rsidR="00F260E8" w:rsidRPr="0073604D" w:rsidRDefault="00F260E8" w:rsidP="00874A98">
            <w:pPr>
              <w:pStyle w:val="ListParagraph"/>
              <w:numPr>
                <w:ilvl w:val="0"/>
                <w:numId w:val="93"/>
              </w:numPr>
              <w:spacing w:after="0" w:line="240" w:lineRule="auto"/>
              <w:rPr>
                <w:rFonts w:ascii="Arial" w:hAnsi="Arial" w:cs="Arial"/>
                <w:sz w:val="20"/>
                <w:szCs w:val="20"/>
              </w:rPr>
            </w:pPr>
            <w:r w:rsidRPr="0073604D">
              <w:rPr>
                <w:rFonts w:ascii="Arial" w:hAnsi="Arial" w:cs="Arial"/>
                <w:sz w:val="20"/>
                <w:szCs w:val="20"/>
              </w:rPr>
              <w:t xml:space="preserve">Background Paper </w:t>
            </w:r>
            <w:r w:rsidR="00A05D94" w:rsidRPr="0073604D">
              <w:rPr>
                <w:rFonts w:ascii="Arial" w:hAnsi="Arial" w:cs="Arial"/>
                <w:sz w:val="20"/>
                <w:szCs w:val="20"/>
              </w:rPr>
              <w:t xml:space="preserve">No </w:t>
            </w:r>
            <w:r w:rsidRPr="0073604D">
              <w:rPr>
                <w:rFonts w:ascii="Arial" w:hAnsi="Arial" w:cs="Arial"/>
                <w:sz w:val="20"/>
                <w:szCs w:val="20"/>
              </w:rPr>
              <w:t>2</w:t>
            </w:r>
            <w:r w:rsidR="00A05D94" w:rsidRPr="0073604D">
              <w:rPr>
                <w:rFonts w:ascii="Arial" w:hAnsi="Arial" w:cs="Arial"/>
                <w:sz w:val="20"/>
                <w:szCs w:val="20"/>
              </w:rPr>
              <w:t xml:space="preserve">: </w:t>
            </w:r>
            <w:r w:rsidRPr="0073604D">
              <w:rPr>
                <w:rFonts w:ascii="Arial" w:hAnsi="Arial" w:cs="Arial"/>
                <w:sz w:val="20"/>
                <w:szCs w:val="20"/>
              </w:rPr>
              <w:t xml:space="preserve"> Housing</w:t>
            </w:r>
            <w:r w:rsidR="00A05D94" w:rsidRPr="0073604D">
              <w:rPr>
                <w:rFonts w:ascii="Arial" w:hAnsi="Arial" w:cs="Arial"/>
                <w:sz w:val="20"/>
                <w:szCs w:val="20"/>
              </w:rPr>
              <w:t xml:space="preserve"> 202</w:t>
            </w:r>
            <w:r w:rsidR="00E30ED8" w:rsidRPr="0073604D">
              <w:rPr>
                <w:rFonts w:ascii="Arial" w:hAnsi="Arial" w:cs="Arial"/>
                <w:sz w:val="20"/>
                <w:szCs w:val="20"/>
              </w:rPr>
              <w:t>3</w:t>
            </w:r>
            <w:r w:rsidRPr="0073604D">
              <w:rPr>
                <w:rFonts w:ascii="Arial" w:hAnsi="Arial" w:cs="Arial"/>
                <w:sz w:val="20"/>
                <w:szCs w:val="20"/>
              </w:rPr>
              <w:t xml:space="preserve"> - Ashfield District Council</w:t>
            </w:r>
          </w:p>
          <w:p w14:paraId="73CA4F54" w14:textId="77777777" w:rsidR="00AE785A" w:rsidRDefault="00F260E8" w:rsidP="00874A98">
            <w:pPr>
              <w:pStyle w:val="ListParagraph"/>
              <w:numPr>
                <w:ilvl w:val="0"/>
                <w:numId w:val="93"/>
              </w:numPr>
              <w:spacing w:after="0" w:line="240" w:lineRule="auto"/>
              <w:rPr>
                <w:rFonts w:ascii="Arial" w:hAnsi="Arial" w:cs="Arial"/>
                <w:color w:val="auto"/>
                <w:sz w:val="20"/>
                <w:szCs w:val="20"/>
              </w:rPr>
            </w:pPr>
            <w:r w:rsidRPr="003C7E62">
              <w:rPr>
                <w:rFonts w:ascii="Arial" w:hAnsi="Arial" w:cs="Arial"/>
                <w:color w:val="auto"/>
                <w:sz w:val="20"/>
                <w:szCs w:val="20"/>
              </w:rPr>
              <w:t>Strategic Housing &amp; Employment Land Available Assessment</w:t>
            </w:r>
          </w:p>
          <w:p w14:paraId="6D49A346" w14:textId="0E47CE84" w:rsidR="00F260E8" w:rsidRPr="003C7E62" w:rsidRDefault="00F260E8" w:rsidP="00874A98">
            <w:pPr>
              <w:pStyle w:val="ListParagraph"/>
              <w:numPr>
                <w:ilvl w:val="0"/>
                <w:numId w:val="93"/>
              </w:numPr>
              <w:spacing w:after="0" w:line="240" w:lineRule="auto"/>
              <w:rPr>
                <w:rFonts w:ascii="Arial" w:hAnsi="Arial" w:cs="Arial"/>
                <w:color w:val="auto"/>
                <w:sz w:val="20"/>
                <w:szCs w:val="20"/>
              </w:rPr>
            </w:pPr>
            <w:r w:rsidRPr="003C7E62">
              <w:rPr>
                <w:rFonts w:ascii="Arial" w:hAnsi="Arial" w:cs="Arial"/>
                <w:color w:val="auto"/>
                <w:sz w:val="20"/>
                <w:szCs w:val="20"/>
              </w:rPr>
              <w:t xml:space="preserve"> (</w:t>
            </w:r>
            <w:r w:rsidR="00AE7D37" w:rsidRPr="003C7E62">
              <w:rPr>
                <w:rFonts w:ascii="Arial" w:hAnsi="Arial" w:cs="Arial"/>
                <w:color w:val="auto"/>
                <w:sz w:val="20"/>
                <w:szCs w:val="20"/>
              </w:rPr>
              <w:t>SHELAA)</w:t>
            </w:r>
            <w:r w:rsidR="00AE7D37">
              <w:rPr>
                <w:rFonts w:ascii="Arial" w:hAnsi="Arial" w:cs="Arial"/>
                <w:color w:val="auto"/>
                <w:sz w:val="20"/>
                <w:szCs w:val="20"/>
              </w:rPr>
              <w:t xml:space="preserve"> </w:t>
            </w:r>
            <w:r w:rsidR="00AE7D37" w:rsidRPr="003C7E62">
              <w:rPr>
                <w:rFonts w:ascii="Arial" w:hAnsi="Arial" w:cs="Arial"/>
                <w:color w:val="auto"/>
                <w:sz w:val="20"/>
                <w:szCs w:val="20"/>
              </w:rPr>
              <w:t>2021</w:t>
            </w:r>
            <w:r w:rsidR="00AE7D37">
              <w:rPr>
                <w:rFonts w:ascii="Arial" w:hAnsi="Arial" w:cs="Arial"/>
                <w:color w:val="auto"/>
                <w:sz w:val="20"/>
                <w:szCs w:val="20"/>
              </w:rPr>
              <w:t xml:space="preserve"> -2023</w:t>
            </w:r>
            <w:r w:rsidRPr="003C7E62">
              <w:rPr>
                <w:rFonts w:ascii="Arial" w:hAnsi="Arial" w:cs="Arial"/>
                <w:color w:val="auto"/>
                <w:sz w:val="20"/>
                <w:szCs w:val="20"/>
              </w:rPr>
              <w:t>. Ashfield District Council.</w:t>
            </w:r>
          </w:p>
          <w:p w14:paraId="3D09A1FA" w14:textId="77777777" w:rsidR="00F260E8" w:rsidRPr="003C7E62" w:rsidRDefault="00F260E8" w:rsidP="00874A98">
            <w:pPr>
              <w:pStyle w:val="ListParagraph"/>
              <w:numPr>
                <w:ilvl w:val="0"/>
                <w:numId w:val="93"/>
              </w:numPr>
              <w:spacing w:after="0" w:line="240" w:lineRule="auto"/>
              <w:rPr>
                <w:rFonts w:ascii="Arial" w:hAnsi="Arial" w:cs="Arial"/>
                <w:color w:val="auto"/>
                <w:sz w:val="20"/>
                <w:szCs w:val="20"/>
              </w:rPr>
            </w:pPr>
            <w:bookmarkStart w:id="70" w:name="_Hlk147303672"/>
            <w:r w:rsidRPr="005B74FD">
              <w:rPr>
                <w:rFonts w:ascii="Arial" w:hAnsi="Arial" w:cs="Arial"/>
                <w:color w:val="auto"/>
                <w:sz w:val="20"/>
                <w:szCs w:val="20"/>
              </w:rPr>
              <w:t>Greater Nottingham &amp; Ashfield Housing Needs Assessment Final Report 2020</w:t>
            </w:r>
            <w:r w:rsidRPr="003C7E62">
              <w:rPr>
                <w:rFonts w:ascii="Arial" w:hAnsi="Arial" w:cs="Arial"/>
                <w:color w:val="auto"/>
                <w:sz w:val="20"/>
                <w:szCs w:val="20"/>
              </w:rPr>
              <w:t xml:space="preserve"> - Iceni Projects Limited on behalf of the Greater Nottingham Planning Partnership</w:t>
            </w:r>
          </w:p>
          <w:bookmarkEnd w:id="70"/>
          <w:p w14:paraId="3597BCE0" w14:textId="77777777" w:rsidR="00F260E8" w:rsidRPr="003C7E62" w:rsidRDefault="00F260E8" w:rsidP="00874A98">
            <w:pPr>
              <w:pStyle w:val="ListParagraph"/>
              <w:numPr>
                <w:ilvl w:val="0"/>
                <w:numId w:val="93"/>
              </w:numPr>
              <w:spacing w:after="0" w:line="240" w:lineRule="auto"/>
              <w:rPr>
                <w:rFonts w:ascii="Arial" w:hAnsi="Arial" w:cs="Arial"/>
                <w:color w:val="auto"/>
                <w:sz w:val="20"/>
                <w:szCs w:val="20"/>
              </w:rPr>
            </w:pPr>
            <w:r w:rsidRPr="003C7E62">
              <w:rPr>
                <w:rFonts w:ascii="Arial" w:hAnsi="Arial" w:cs="Arial"/>
                <w:color w:val="auto"/>
                <w:sz w:val="20"/>
                <w:szCs w:val="20"/>
              </w:rPr>
              <w:t xml:space="preserve">Ashfield New Settlement Study Final Report, March 2021 – AECOM.  </w:t>
            </w:r>
          </w:p>
          <w:p w14:paraId="3D55240F" w14:textId="77777777" w:rsidR="00F260E8" w:rsidRPr="003C7E62" w:rsidRDefault="00F260E8" w:rsidP="00874A98">
            <w:pPr>
              <w:pStyle w:val="ListParagraph"/>
              <w:numPr>
                <w:ilvl w:val="0"/>
                <w:numId w:val="93"/>
              </w:numPr>
              <w:spacing w:after="0" w:line="240" w:lineRule="auto"/>
              <w:rPr>
                <w:rFonts w:ascii="Arial" w:hAnsi="Arial" w:cs="Arial"/>
                <w:color w:val="auto"/>
                <w:sz w:val="20"/>
                <w:szCs w:val="20"/>
              </w:rPr>
            </w:pPr>
            <w:r w:rsidRPr="003C7E62">
              <w:rPr>
                <w:rFonts w:ascii="Arial" w:hAnsi="Arial" w:cs="Arial"/>
                <w:color w:val="auto"/>
                <w:sz w:val="20"/>
                <w:szCs w:val="20"/>
              </w:rPr>
              <w:t>Greater Nottingham and Ashfield District Council Gypsy and Traveller Accommodation Assessment, 2021.  RRR Consultancy Ltd.</w:t>
            </w:r>
          </w:p>
          <w:p w14:paraId="06551A7C" w14:textId="50A03B5F" w:rsidR="00F260E8" w:rsidRPr="003C7E62" w:rsidRDefault="00F260E8" w:rsidP="000032A9">
            <w:pPr>
              <w:pStyle w:val="ListParagraph"/>
              <w:numPr>
                <w:ilvl w:val="0"/>
                <w:numId w:val="13"/>
              </w:numPr>
              <w:tabs>
                <w:tab w:val="left" w:pos="680"/>
                <w:tab w:val="left" w:pos="1133"/>
                <w:tab w:val="left" w:pos="2267"/>
              </w:tabs>
              <w:spacing w:after="0" w:line="240" w:lineRule="auto"/>
              <w:ind w:right="284"/>
              <w:rPr>
                <w:rFonts w:ascii="Arial" w:eastAsia="Arial" w:hAnsi="Arial" w:cs="Arial"/>
                <w:bCs/>
                <w:color w:val="auto"/>
                <w:sz w:val="20"/>
                <w:szCs w:val="20"/>
                <w:lang w:eastAsia="en-GB"/>
              </w:rPr>
            </w:pPr>
            <w:r w:rsidRPr="003C7E62">
              <w:rPr>
                <w:rFonts w:ascii="Arial" w:eastAsia="Arial" w:hAnsi="Arial" w:cs="Arial"/>
                <w:bCs/>
                <w:color w:val="auto"/>
                <w:sz w:val="20"/>
                <w:szCs w:val="20"/>
                <w:lang w:eastAsia="en-GB"/>
              </w:rPr>
              <w:t xml:space="preserve">Brownfield Land Register.  Ashfield District Council. </w:t>
            </w:r>
          </w:p>
          <w:p w14:paraId="09E5C205" w14:textId="1A10C2A9" w:rsidR="00F260E8" w:rsidRPr="003C7E62" w:rsidRDefault="00F260E8" w:rsidP="000032A9">
            <w:pPr>
              <w:pStyle w:val="ListParagraph"/>
              <w:numPr>
                <w:ilvl w:val="0"/>
                <w:numId w:val="13"/>
              </w:numPr>
              <w:tabs>
                <w:tab w:val="left" w:pos="680"/>
                <w:tab w:val="left" w:pos="1133"/>
                <w:tab w:val="left" w:pos="2267"/>
              </w:tabs>
              <w:spacing w:after="0" w:line="240" w:lineRule="auto"/>
              <w:ind w:right="284"/>
              <w:rPr>
                <w:rFonts w:ascii="Arial" w:eastAsia="Arial" w:hAnsi="Arial" w:cs="Arial"/>
                <w:bCs/>
                <w:color w:val="auto"/>
                <w:sz w:val="20"/>
                <w:szCs w:val="20"/>
                <w:lang w:eastAsia="en-GB"/>
              </w:rPr>
            </w:pPr>
            <w:r w:rsidRPr="003C7E62">
              <w:rPr>
                <w:rFonts w:ascii="Arial" w:eastAsia="Arial" w:hAnsi="Arial" w:cs="Arial"/>
                <w:bCs/>
                <w:color w:val="auto"/>
                <w:sz w:val="20"/>
                <w:szCs w:val="20"/>
                <w:lang w:eastAsia="en-GB"/>
              </w:rPr>
              <w:t>Housing Land Monitoring Report</w:t>
            </w:r>
            <w:r w:rsidR="00287238">
              <w:rPr>
                <w:rFonts w:ascii="Arial" w:eastAsia="Arial" w:hAnsi="Arial" w:cs="Arial"/>
                <w:bCs/>
                <w:color w:val="auto"/>
                <w:sz w:val="20"/>
                <w:szCs w:val="20"/>
                <w:lang w:eastAsia="en-GB"/>
              </w:rPr>
              <w:t>s</w:t>
            </w:r>
            <w:r w:rsidRPr="003C7E62">
              <w:rPr>
                <w:rFonts w:ascii="Arial" w:eastAsia="Arial" w:hAnsi="Arial" w:cs="Arial"/>
                <w:bCs/>
                <w:color w:val="auto"/>
                <w:sz w:val="20"/>
                <w:szCs w:val="20"/>
                <w:lang w:eastAsia="en-GB"/>
              </w:rPr>
              <w:t>. Ashfield District Council</w:t>
            </w:r>
          </w:p>
          <w:p w14:paraId="4E50EB6B" w14:textId="0733D8B9" w:rsidR="00F260E8" w:rsidRPr="003C7E62" w:rsidRDefault="00F260E8" w:rsidP="000032A9">
            <w:pPr>
              <w:pStyle w:val="ListParagraph"/>
              <w:numPr>
                <w:ilvl w:val="0"/>
                <w:numId w:val="13"/>
              </w:numPr>
              <w:tabs>
                <w:tab w:val="left" w:pos="680"/>
                <w:tab w:val="left" w:pos="1133"/>
                <w:tab w:val="left" w:pos="2267"/>
              </w:tabs>
              <w:spacing w:after="0" w:line="240" w:lineRule="auto"/>
              <w:ind w:right="284"/>
              <w:rPr>
                <w:rFonts w:ascii="Arial" w:eastAsia="Arial" w:hAnsi="Arial" w:cs="Arial"/>
                <w:bCs/>
                <w:color w:val="auto"/>
                <w:sz w:val="20"/>
                <w:szCs w:val="20"/>
                <w:lang w:eastAsia="en-GB"/>
              </w:rPr>
            </w:pPr>
            <w:r w:rsidRPr="003C7E62">
              <w:rPr>
                <w:rFonts w:ascii="Arial" w:eastAsia="Arial" w:hAnsi="Arial" w:cs="Arial"/>
                <w:bCs/>
                <w:color w:val="auto"/>
                <w:sz w:val="20"/>
                <w:szCs w:val="20"/>
                <w:lang w:eastAsia="en-GB"/>
              </w:rPr>
              <w:t>Employment Land and Monitoring Report</w:t>
            </w:r>
            <w:r w:rsidR="00287238">
              <w:rPr>
                <w:rFonts w:ascii="Arial" w:eastAsia="Arial" w:hAnsi="Arial" w:cs="Arial"/>
                <w:bCs/>
                <w:color w:val="auto"/>
                <w:sz w:val="20"/>
                <w:szCs w:val="20"/>
                <w:lang w:eastAsia="en-GB"/>
              </w:rPr>
              <w:t>s</w:t>
            </w:r>
            <w:r w:rsidRPr="003C7E62">
              <w:rPr>
                <w:rFonts w:ascii="Arial" w:eastAsia="Arial" w:hAnsi="Arial" w:cs="Arial"/>
                <w:bCs/>
                <w:color w:val="auto"/>
                <w:sz w:val="20"/>
                <w:szCs w:val="20"/>
                <w:lang w:eastAsia="en-GB"/>
              </w:rPr>
              <w:t>. Ashfield District Council</w:t>
            </w:r>
          </w:p>
          <w:p w14:paraId="2ED2E2CC" w14:textId="601B5E43" w:rsidR="00A05D94" w:rsidRDefault="00F260E8" w:rsidP="000032A9">
            <w:pPr>
              <w:pStyle w:val="ListParagraph"/>
              <w:numPr>
                <w:ilvl w:val="0"/>
                <w:numId w:val="13"/>
              </w:numPr>
              <w:tabs>
                <w:tab w:val="left" w:pos="680"/>
                <w:tab w:val="left" w:pos="1133"/>
                <w:tab w:val="left" w:pos="2267"/>
              </w:tabs>
              <w:spacing w:after="0" w:line="240" w:lineRule="auto"/>
              <w:ind w:right="284"/>
              <w:rPr>
                <w:rFonts w:ascii="Arial" w:eastAsia="Arial" w:hAnsi="Arial" w:cs="Arial"/>
                <w:bCs/>
                <w:color w:val="auto"/>
                <w:sz w:val="20"/>
                <w:szCs w:val="20"/>
                <w:lang w:eastAsia="en-GB"/>
              </w:rPr>
            </w:pPr>
            <w:r w:rsidRPr="003C7E62">
              <w:rPr>
                <w:rFonts w:ascii="Arial" w:eastAsia="Arial" w:hAnsi="Arial" w:cs="Arial"/>
                <w:bCs/>
                <w:color w:val="auto"/>
                <w:sz w:val="20"/>
                <w:szCs w:val="20"/>
                <w:lang w:eastAsia="en-GB"/>
              </w:rPr>
              <w:t>Self-build and custom build monitoring. Ashfield District Council</w:t>
            </w:r>
          </w:p>
          <w:p w14:paraId="1BAB7648" w14:textId="30D60261" w:rsidR="008016CC" w:rsidRPr="000B5068" w:rsidRDefault="00F260E8" w:rsidP="000B5068">
            <w:pPr>
              <w:pStyle w:val="ListParagraph"/>
              <w:numPr>
                <w:ilvl w:val="0"/>
                <w:numId w:val="13"/>
              </w:numPr>
              <w:tabs>
                <w:tab w:val="left" w:pos="680"/>
                <w:tab w:val="left" w:pos="1133"/>
                <w:tab w:val="left" w:pos="2267"/>
              </w:tabs>
              <w:spacing w:after="0" w:line="240" w:lineRule="auto"/>
              <w:ind w:right="284"/>
              <w:rPr>
                <w:rFonts w:ascii="Arial" w:eastAsia="Arial" w:hAnsi="Arial" w:cs="Arial"/>
                <w:bCs/>
                <w:color w:val="auto"/>
                <w:sz w:val="20"/>
                <w:szCs w:val="20"/>
                <w:lang w:eastAsia="en-GB"/>
              </w:rPr>
            </w:pPr>
            <w:r w:rsidRPr="00287238">
              <w:rPr>
                <w:rFonts w:ascii="Arial" w:eastAsia="Arial" w:hAnsi="Arial" w:cs="Arial"/>
                <w:bCs/>
                <w:color w:val="auto"/>
                <w:sz w:val="20"/>
              </w:rPr>
              <w:t xml:space="preserve">Sustainability Appraisal, </w:t>
            </w:r>
            <w:r w:rsidR="00287238" w:rsidRPr="0073604D">
              <w:rPr>
                <w:rFonts w:ascii="Arial" w:eastAsia="Arial" w:hAnsi="Arial" w:cs="Arial"/>
                <w:bCs/>
                <w:sz w:val="20"/>
              </w:rPr>
              <w:t>2023</w:t>
            </w:r>
            <w:r w:rsidRPr="0073604D">
              <w:rPr>
                <w:rFonts w:ascii="Arial" w:eastAsia="Arial" w:hAnsi="Arial" w:cs="Arial"/>
                <w:bCs/>
                <w:sz w:val="20"/>
              </w:rPr>
              <w:t>.</w:t>
            </w:r>
            <w:r w:rsidRPr="0073604D">
              <w:rPr>
                <w:rFonts w:ascii="Arial" w:eastAsia="Arial" w:hAnsi="Arial" w:cs="Arial"/>
                <w:bCs/>
                <w:szCs w:val="24"/>
              </w:rPr>
              <w:t xml:space="preserve"> </w:t>
            </w:r>
            <w:r w:rsidR="00287238" w:rsidRPr="0073604D">
              <w:rPr>
                <w:rFonts w:ascii="Arial" w:eastAsia="Arial" w:hAnsi="Arial" w:cs="Arial"/>
                <w:bCs/>
                <w:sz w:val="20"/>
                <w:szCs w:val="20"/>
              </w:rPr>
              <w:t>WSP UK Limited</w:t>
            </w:r>
          </w:p>
        </w:tc>
      </w:tr>
      <w:tr w:rsidR="00F260E8" w:rsidRPr="003C7E62" w14:paraId="78C87977" w14:textId="77777777" w:rsidTr="009D4C91">
        <w:trPr>
          <w:trHeight w:val="416"/>
        </w:trPr>
        <w:tc>
          <w:tcPr>
            <w:tcW w:w="1980" w:type="dxa"/>
          </w:tcPr>
          <w:p w14:paraId="34F4A159" w14:textId="5D81A0FF" w:rsidR="00F260E8" w:rsidRPr="00F260E8" w:rsidRDefault="00F260E8" w:rsidP="000032A9">
            <w:pPr>
              <w:keepNext w:val="0"/>
              <w:tabs>
                <w:tab w:val="left" w:pos="680"/>
                <w:tab w:val="left" w:pos="1133"/>
                <w:tab w:val="left" w:pos="2267"/>
              </w:tabs>
              <w:spacing w:before="0"/>
              <w:ind w:right="284"/>
              <w:rPr>
                <w:rFonts w:eastAsia="Arial" w:cs="Arial"/>
                <w:b/>
                <w:color w:val="auto"/>
                <w:sz w:val="22"/>
                <w:szCs w:val="22"/>
                <w:u w:val="single"/>
              </w:rPr>
            </w:pPr>
            <w:r w:rsidRPr="003C7E62">
              <w:rPr>
                <w:rFonts w:eastAsia="Arial" w:cs="Arial"/>
                <w:b/>
                <w:bCs/>
                <w:iCs/>
                <w:color w:val="auto"/>
                <w:sz w:val="20"/>
                <w:lang w:eastAsia="en-US"/>
              </w:rPr>
              <w:t xml:space="preserve">National Planning Policy and Guidance </w:t>
            </w:r>
          </w:p>
        </w:tc>
        <w:tc>
          <w:tcPr>
            <w:tcW w:w="7796" w:type="dxa"/>
            <w:gridSpan w:val="2"/>
          </w:tcPr>
          <w:p w14:paraId="510A2DB4" w14:textId="48FFDBEC" w:rsidR="00F260E8" w:rsidRPr="003C7E62" w:rsidRDefault="00F260E8" w:rsidP="00874A98">
            <w:pPr>
              <w:pStyle w:val="ListParagraph"/>
              <w:numPr>
                <w:ilvl w:val="0"/>
                <w:numId w:val="94"/>
              </w:numPr>
              <w:spacing w:after="0" w:line="240" w:lineRule="auto"/>
              <w:rPr>
                <w:rFonts w:ascii="Arial" w:hAnsi="Arial" w:cs="Arial"/>
                <w:color w:val="auto"/>
                <w:sz w:val="20"/>
                <w:szCs w:val="20"/>
                <w:lang w:eastAsia="en-GB"/>
              </w:rPr>
            </w:pPr>
            <w:r w:rsidRPr="003C7E62">
              <w:rPr>
                <w:rFonts w:ascii="Arial" w:hAnsi="Arial" w:cs="Arial"/>
                <w:color w:val="auto"/>
                <w:sz w:val="20"/>
                <w:szCs w:val="20"/>
                <w:lang w:eastAsia="en-GB"/>
              </w:rPr>
              <w:t>NPPF 202</w:t>
            </w:r>
            <w:r w:rsidR="00A37A61">
              <w:rPr>
                <w:rFonts w:ascii="Arial" w:hAnsi="Arial" w:cs="Arial"/>
                <w:color w:val="auto"/>
                <w:sz w:val="20"/>
                <w:szCs w:val="20"/>
                <w:lang w:eastAsia="en-GB"/>
              </w:rPr>
              <w:t>3</w:t>
            </w:r>
            <w:r w:rsidRPr="003C7E62">
              <w:rPr>
                <w:rFonts w:ascii="Arial" w:hAnsi="Arial" w:cs="Arial"/>
                <w:color w:val="auto"/>
                <w:sz w:val="20"/>
                <w:szCs w:val="20"/>
                <w:lang w:eastAsia="en-GB"/>
              </w:rPr>
              <w:t>, Part 2: Achieving sustainable development.</w:t>
            </w:r>
          </w:p>
          <w:p w14:paraId="0E882EC8" w14:textId="3D6029B8" w:rsidR="00F260E8" w:rsidRPr="003C7E62" w:rsidRDefault="00F260E8" w:rsidP="00874A98">
            <w:pPr>
              <w:pStyle w:val="ListParagraph"/>
              <w:numPr>
                <w:ilvl w:val="0"/>
                <w:numId w:val="94"/>
              </w:numPr>
              <w:spacing w:after="160" w:line="252" w:lineRule="auto"/>
              <w:rPr>
                <w:rFonts w:ascii="Arial" w:hAnsi="Arial" w:cs="Arial"/>
                <w:color w:val="auto"/>
                <w:sz w:val="20"/>
                <w:szCs w:val="20"/>
                <w:lang w:eastAsia="en-GB"/>
              </w:rPr>
            </w:pPr>
            <w:r w:rsidRPr="003C7E62">
              <w:rPr>
                <w:rFonts w:ascii="Arial" w:hAnsi="Arial" w:cs="Arial"/>
                <w:color w:val="auto"/>
                <w:sz w:val="20"/>
                <w:szCs w:val="20"/>
                <w:lang w:eastAsia="en-GB"/>
              </w:rPr>
              <w:t>NPPF 202</w:t>
            </w:r>
            <w:r w:rsidR="00A37A61">
              <w:rPr>
                <w:rFonts w:ascii="Arial" w:hAnsi="Arial" w:cs="Arial"/>
                <w:color w:val="auto"/>
                <w:sz w:val="20"/>
                <w:szCs w:val="20"/>
                <w:lang w:eastAsia="en-GB"/>
              </w:rPr>
              <w:t>3</w:t>
            </w:r>
            <w:r w:rsidRPr="003C7E62">
              <w:rPr>
                <w:rFonts w:ascii="Arial" w:hAnsi="Arial" w:cs="Arial"/>
                <w:color w:val="auto"/>
                <w:sz w:val="20"/>
                <w:szCs w:val="20"/>
                <w:lang w:eastAsia="en-GB"/>
              </w:rPr>
              <w:t>, Part 5: Delivering a sufficient supply of homes.</w:t>
            </w:r>
          </w:p>
          <w:p w14:paraId="197760B6" w14:textId="3B4DBEA8" w:rsidR="00F260E8" w:rsidRPr="003C7E62" w:rsidRDefault="00F260E8" w:rsidP="00874A98">
            <w:pPr>
              <w:pStyle w:val="ListParagraph"/>
              <w:numPr>
                <w:ilvl w:val="0"/>
                <w:numId w:val="94"/>
              </w:numPr>
              <w:spacing w:after="0" w:line="240" w:lineRule="auto"/>
              <w:rPr>
                <w:rFonts w:ascii="Arial" w:hAnsi="Arial" w:cs="Arial"/>
                <w:color w:val="auto"/>
                <w:sz w:val="20"/>
                <w:szCs w:val="20"/>
                <w:lang w:eastAsia="en-GB"/>
              </w:rPr>
            </w:pPr>
            <w:r w:rsidRPr="003C7E62">
              <w:rPr>
                <w:rFonts w:ascii="Arial" w:eastAsia="Arial" w:hAnsi="Arial" w:cs="Arial"/>
                <w:bCs/>
                <w:color w:val="auto"/>
                <w:sz w:val="20"/>
                <w:szCs w:val="20"/>
                <w:lang w:eastAsia="en-GB"/>
              </w:rPr>
              <w:t xml:space="preserve">NPPF </w:t>
            </w:r>
            <w:proofErr w:type="gramStart"/>
            <w:r w:rsidRPr="003C7E62">
              <w:rPr>
                <w:rFonts w:ascii="Arial" w:eastAsia="Arial" w:hAnsi="Arial" w:cs="Arial"/>
                <w:bCs/>
                <w:color w:val="auto"/>
                <w:sz w:val="20"/>
                <w:szCs w:val="20"/>
                <w:lang w:eastAsia="en-GB"/>
              </w:rPr>
              <w:t>202</w:t>
            </w:r>
            <w:r w:rsidR="00A37A61">
              <w:rPr>
                <w:rFonts w:ascii="Arial" w:eastAsia="Arial" w:hAnsi="Arial" w:cs="Arial"/>
                <w:bCs/>
                <w:color w:val="auto"/>
                <w:sz w:val="20"/>
                <w:szCs w:val="20"/>
                <w:lang w:eastAsia="en-GB"/>
              </w:rPr>
              <w:t>3</w:t>
            </w:r>
            <w:r w:rsidRPr="003C7E62">
              <w:rPr>
                <w:rFonts w:ascii="Arial" w:eastAsia="Arial" w:hAnsi="Arial" w:cs="Arial"/>
                <w:bCs/>
                <w:color w:val="auto"/>
                <w:sz w:val="20"/>
                <w:szCs w:val="20"/>
                <w:lang w:eastAsia="en-GB"/>
              </w:rPr>
              <w:t>,  Part</w:t>
            </w:r>
            <w:proofErr w:type="gramEnd"/>
            <w:r w:rsidRPr="003C7E62">
              <w:rPr>
                <w:rFonts w:ascii="Arial" w:eastAsia="Arial" w:hAnsi="Arial" w:cs="Arial"/>
                <w:bCs/>
                <w:color w:val="auto"/>
                <w:sz w:val="20"/>
                <w:szCs w:val="20"/>
                <w:lang w:eastAsia="en-GB"/>
              </w:rPr>
              <w:t xml:space="preserve"> 11: Making effective use of land.</w:t>
            </w:r>
          </w:p>
          <w:p w14:paraId="13C5E67C" w14:textId="31CAB5A7" w:rsidR="00F260E8" w:rsidRPr="003C7E62" w:rsidRDefault="00F260E8" w:rsidP="00874A98">
            <w:pPr>
              <w:pStyle w:val="ListParagraph"/>
              <w:numPr>
                <w:ilvl w:val="0"/>
                <w:numId w:val="94"/>
              </w:numPr>
              <w:spacing w:after="0" w:line="240" w:lineRule="auto"/>
              <w:rPr>
                <w:rFonts w:ascii="Arial" w:hAnsi="Arial" w:cs="Arial"/>
                <w:color w:val="auto"/>
                <w:sz w:val="20"/>
                <w:szCs w:val="20"/>
                <w:lang w:eastAsia="en-GB"/>
              </w:rPr>
            </w:pPr>
            <w:r w:rsidRPr="003C7E62">
              <w:rPr>
                <w:rFonts w:ascii="Arial" w:hAnsi="Arial" w:cs="Arial"/>
                <w:color w:val="auto"/>
                <w:sz w:val="20"/>
                <w:szCs w:val="20"/>
              </w:rPr>
              <w:t>Planning Practice Guidance</w:t>
            </w:r>
            <w:r w:rsidR="0073604D">
              <w:rPr>
                <w:rFonts w:ascii="Arial" w:hAnsi="Arial" w:cs="Arial"/>
                <w:color w:val="auto"/>
                <w:sz w:val="20"/>
                <w:szCs w:val="20"/>
              </w:rPr>
              <w:t xml:space="preserve"> (PPG)</w:t>
            </w:r>
            <w:r w:rsidRPr="003C7E62">
              <w:rPr>
                <w:rFonts w:ascii="Arial" w:hAnsi="Arial" w:cs="Arial"/>
                <w:color w:val="auto"/>
                <w:sz w:val="20"/>
                <w:szCs w:val="20"/>
              </w:rPr>
              <w:t xml:space="preserve">: Effective use of land as </w:t>
            </w:r>
            <w:r w:rsidR="00416653" w:rsidRPr="003C7E62">
              <w:rPr>
                <w:rFonts w:ascii="Arial" w:hAnsi="Arial" w:cs="Arial"/>
                <w:color w:val="auto"/>
                <w:sz w:val="20"/>
                <w:szCs w:val="20"/>
              </w:rPr>
              <w:t>of</w:t>
            </w:r>
            <w:r w:rsidRPr="003C7E62">
              <w:rPr>
                <w:rFonts w:ascii="Arial" w:hAnsi="Arial" w:cs="Arial"/>
                <w:color w:val="auto"/>
                <w:sz w:val="20"/>
                <w:szCs w:val="20"/>
              </w:rPr>
              <w:t xml:space="preserve"> August 2021.</w:t>
            </w:r>
          </w:p>
          <w:p w14:paraId="2A27D7A6" w14:textId="024854D9" w:rsidR="00F260E8" w:rsidRPr="003C7E62" w:rsidRDefault="00F260E8" w:rsidP="00874A98">
            <w:pPr>
              <w:pStyle w:val="ListParagraph"/>
              <w:numPr>
                <w:ilvl w:val="0"/>
                <w:numId w:val="94"/>
              </w:numPr>
              <w:spacing w:after="0" w:line="240" w:lineRule="auto"/>
              <w:rPr>
                <w:rFonts w:ascii="Arial" w:hAnsi="Arial" w:cs="Arial"/>
                <w:color w:val="auto"/>
                <w:sz w:val="20"/>
                <w:szCs w:val="20"/>
                <w:lang w:eastAsia="en-GB"/>
              </w:rPr>
            </w:pPr>
            <w:r w:rsidRPr="003C7E62">
              <w:rPr>
                <w:rFonts w:ascii="Arial" w:hAnsi="Arial" w:cs="Arial"/>
                <w:color w:val="auto"/>
                <w:sz w:val="20"/>
                <w:szCs w:val="20"/>
                <w:lang w:eastAsia="en-GB"/>
              </w:rPr>
              <w:t>P</w:t>
            </w:r>
            <w:r w:rsidR="0073604D">
              <w:rPr>
                <w:rFonts w:ascii="Arial" w:hAnsi="Arial" w:cs="Arial"/>
                <w:color w:val="auto"/>
                <w:sz w:val="20"/>
                <w:szCs w:val="20"/>
                <w:lang w:eastAsia="en-GB"/>
              </w:rPr>
              <w:t>P</w:t>
            </w:r>
            <w:r w:rsidRPr="003C7E62">
              <w:rPr>
                <w:rFonts w:ascii="Arial" w:hAnsi="Arial" w:cs="Arial"/>
                <w:color w:val="auto"/>
                <w:sz w:val="20"/>
                <w:szCs w:val="20"/>
                <w:lang w:eastAsia="en-GB"/>
              </w:rPr>
              <w:t xml:space="preserve">G: Housing </w:t>
            </w:r>
            <w:r w:rsidR="0073604D">
              <w:rPr>
                <w:rFonts w:ascii="Arial" w:hAnsi="Arial" w:cs="Arial"/>
                <w:color w:val="auto"/>
                <w:sz w:val="20"/>
                <w:szCs w:val="20"/>
                <w:lang w:eastAsia="en-GB"/>
              </w:rPr>
              <w:t>&amp;</w:t>
            </w:r>
            <w:r w:rsidRPr="003C7E62">
              <w:rPr>
                <w:rFonts w:ascii="Arial" w:hAnsi="Arial" w:cs="Arial"/>
                <w:color w:val="auto"/>
                <w:sz w:val="20"/>
                <w:szCs w:val="20"/>
                <w:lang w:eastAsia="en-GB"/>
              </w:rPr>
              <w:t xml:space="preserve"> economic land availability assessment as </w:t>
            </w:r>
            <w:r w:rsidR="00416653" w:rsidRPr="003C7E62">
              <w:rPr>
                <w:rFonts w:ascii="Arial" w:hAnsi="Arial" w:cs="Arial"/>
                <w:color w:val="auto"/>
                <w:sz w:val="20"/>
                <w:szCs w:val="20"/>
                <w:lang w:eastAsia="en-GB"/>
              </w:rPr>
              <w:t>of</w:t>
            </w:r>
            <w:r w:rsidRPr="003C7E62">
              <w:rPr>
                <w:rFonts w:ascii="Arial" w:hAnsi="Arial" w:cs="Arial"/>
                <w:color w:val="auto"/>
                <w:sz w:val="20"/>
                <w:szCs w:val="20"/>
                <w:lang w:eastAsia="en-GB"/>
              </w:rPr>
              <w:t xml:space="preserve"> August </w:t>
            </w:r>
            <w:r w:rsidR="0073604D">
              <w:rPr>
                <w:rFonts w:ascii="Arial" w:hAnsi="Arial" w:cs="Arial"/>
                <w:color w:val="auto"/>
                <w:sz w:val="20"/>
                <w:szCs w:val="20"/>
                <w:lang w:eastAsia="en-GB"/>
              </w:rPr>
              <w:t>2</w:t>
            </w:r>
            <w:r w:rsidRPr="003C7E62">
              <w:rPr>
                <w:rFonts w:ascii="Arial" w:hAnsi="Arial" w:cs="Arial"/>
                <w:color w:val="auto"/>
                <w:sz w:val="20"/>
                <w:szCs w:val="20"/>
                <w:lang w:eastAsia="en-GB"/>
              </w:rPr>
              <w:t>021.</w:t>
            </w:r>
          </w:p>
          <w:p w14:paraId="5588C269" w14:textId="4BABFFE6" w:rsidR="00F260E8" w:rsidRPr="0073604D" w:rsidRDefault="00F260E8" w:rsidP="00874A98">
            <w:pPr>
              <w:pStyle w:val="ListParagraph"/>
              <w:numPr>
                <w:ilvl w:val="0"/>
                <w:numId w:val="94"/>
              </w:numPr>
              <w:spacing w:after="0" w:line="240" w:lineRule="auto"/>
              <w:rPr>
                <w:rFonts w:ascii="Arial" w:hAnsi="Arial" w:cs="Arial"/>
                <w:sz w:val="20"/>
                <w:szCs w:val="20"/>
                <w:lang w:eastAsia="en-GB"/>
              </w:rPr>
            </w:pPr>
            <w:r w:rsidRPr="0073604D">
              <w:rPr>
                <w:rFonts w:ascii="Arial" w:hAnsi="Arial" w:cs="Arial"/>
                <w:sz w:val="20"/>
                <w:szCs w:val="20"/>
                <w:lang w:eastAsia="en-GB"/>
              </w:rPr>
              <w:t>P</w:t>
            </w:r>
            <w:r w:rsidR="0073604D">
              <w:rPr>
                <w:rFonts w:ascii="Arial" w:hAnsi="Arial" w:cs="Arial"/>
                <w:sz w:val="20"/>
                <w:szCs w:val="20"/>
                <w:lang w:eastAsia="en-GB"/>
              </w:rPr>
              <w:t>PG</w:t>
            </w:r>
            <w:r w:rsidRPr="0073604D">
              <w:rPr>
                <w:rFonts w:ascii="Arial" w:hAnsi="Arial" w:cs="Arial"/>
                <w:sz w:val="20"/>
                <w:szCs w:val="20"/>
                <w:lang w:eastAsia="en-GB"/>
              </w:rPr>
              <w:t xml:space="preserve">: Housing and economic needs assessment as </w:t>
            </w:r>
            <w:r w:rsidR="00416653" w:rsidRPr="0073604D">
              <w:rPr>
                <w:rFonts w:ascii="Arial" w:hAnsi="Arial" w:cs="Arial"/>
                <w:sz w:val="20"/>
                <w:szCs w:val="20"/>
                <w:lang w:eastAsia="en-GB"/>
              </w:rPr>
              <w:t>of</w:t>
            </w:r>
            <w:r w:rsidRPr="0073604D">
              <w:rPr>
                <w:rFonts w:ascii="Arial" w:hAnsi="Arial" w:cs="Arial"/>
                <w:sz w:val="20"/>
                <w:szCs w:val="20"/>
                <w:lang w:eastAsia="en-GB"/>
              </w:rPr>
              <w:t xml:space="preserve"> </w:t>
            </w:r>
            <w:r w:rsidR="00287238" w:rsidRPr="0073604D">
              <w:rPr>
                <w:rFonts w:ascii="Arial" w:hAnsi="Arial" w:cs="Arial"/>
                <w:sz w:val="20"/>
                <w:szCs w:val="20"/>
                <w:lang w:eastAsia="en-GB"/>
              </w:rPr>
              <w:t>December 2020</w:t>
            </w:r>
            <w:r w:rsidRPr="0073604D">
              <w:rPr>
                <w:rFonts w:ascii="Arial" w:hAnsi="Arial" w:cs="Arial"/>
                <w:sz w:val="20"/>
                <w:szCs w:val="20"/>
                <w:lang w:eastAsia="en-GB"/>
              </w:rPr>
              <w:t>.</w:t>
            </w:r>
          </w:p>
          <w:p w14:paraId="7A971E71" w14:textId="6E1304F2" w:rsidR="00F260E8" w:rsidRPr="0073604D" w:rsidRDefault="00F260E8" w:rsidP="00874A98">
            <w:pPr>
              <w:pStyle w:val="ListParagraph"/>
              <w:numPr>
                <w:ilvl w:val="0"/>
                <w:numId w:val="94"/>
              </w:numPr>
              <w:spacing w:after="0" w:line="240" w:lineRule="auto"/>
              <w:rPr>
                <w:rFonts w:ascii="Arial" w:hAnsi="Arial" w:cs="Arial"/>
                <w:sz w:val="20"/>
                <w:szCs w:val="20"/>
                <w:lang w:eastAsia="en-GB"/>
              </w:rPr>
            </w:pPr>
            <w:r w:rsidRPr="0073604D">
              <w:rPr>
                <w:rFonts w:ascii="Arial" w:hAnsi="Arial" w:cs="Arial"/>
                <w:sz w:val="20"/>
                <w:szCs w:val="20"/>
                <w:lang w:eastAsia="en-GB"/>
              </w:rPr>
              <w:lastRenderedPageBreak/>
              <w:t>P</w:t>
            </w:r>
            <w:r w:rsidR="0073604D">
              <w:rPr>
                <w:rFonts w:ascii="Arial" w:hAnsi="Arial" w:cs="Arial"/>
                <w:sz w:val="20"/>
                <w:szCs w:val="20"/>
                <w:lang w:eastAsia="en-GB"/>
              </w:rPr>
              <w:t>PG</w:t>
            </w:r>
            <w:r w:rsidRPr="0073604D">
              <w:rPr>
                <w:rFonts w:ascii="Arial" w:hAnsi="Arial" w:cs="Arial"/>
                <w:sz w:val="20"/>
                <w:szCs w:val="20"/>
                <w:lang w:eastAsia="en-GB"/>
              </w:rPr>
              <w:t xml:space="preserve">: Housing needs of different groups, as </w:t>
            </w:r>
            <w:r w:rsidR="00416653" w:rsidRPr="0073604D">
              <w:rPr>
                <w:rFonts w:ascii="Arial" w:hAnsi="Arial" w:cs="Arial"/>
                <w:sz w:val="20"/>
                <w:szCs w:val="20"/>
                <w:lang w:eastAsia="en-GB"/>
              </w:rPr>
              <w:t>of</w:t>
            </w:r>
            <w:r w:rsidRPr="0073604D">
              <w:rPr>
                <w:rFonts w:ascii="Arial" w:hAnsi="Arial" w:cs="Arial"/>
                <w:sz w:val="20"/>
                <w:szCs w:val="20"/>
                <w:lang w:eastAsia="en-GB"/>
              </w:rPr>
              <w:t xml:space="preserve"> </w:t>
            </w:r>
            <w:r w:rsidR="00287238" w:rsidRPr="0073604D">
              <w:rPr>
                <w:rFonts w:ascii="Arial" w:hAnsi="Arial" w:cs="Arial"/>
                <w:sz w:val="20"/>
                <w:szCs w:val="20"/>
                <w:lang w:eastAsia="en-GB"/>
              </w:rPr>
              <w:t>May 2021</w:t>
            </w:r>
            <w:r w:rsidRPr="0073604D">
              <w:rPr>
                <w:rFonts w:ascii="Arial" w:hAnsi="Arial" w:cs="Arial"/>
                <w:sz w:val="20"/>
                <w:szCs w:val="20"/>
                <w:lang w:eastAsia="en-GB"/>
              </w:rPr>
              <w:t>.</w:t>
            </w:r>
          </w:p>
          <w:p w14:paraId="1277CF43" w14:textId="0CC05D2C" w:rsidR="00F260E8" w:rsidRPr="0073604D" w:rsidRDefault="00F260E8" w:rsidP="00874A98">
            <w:pPr>
              <w:pStyle w:val="ListParagraph"/>
              <w:numPr>
                <w:ilvl w:val="0"/>
                <w:numId w:val="94"/>
              </w:numPr>
              <w:spacing w:after="0" w:line="240" w:lineRule="auto"/>
              <w:rPr>
                <w:rFonts w:ascii="Arial" w:hAnsi="Arial" w:cs="Arial"/>
                <w:sz w:val="20"/>
                <w:szCs w:val="20"/>
                <w:lang w:eastAsia="en-GB"/>
              </w:rPr>
            </w:pPr>
            <w:r w:rsidRPr="0073604D">
              <w:rPr>
                <w:rFonts w:ascii="Arial" w:hAnsi="Arial" w:cs="Arial"/>
                <w:sz w:val="20"/>
                <w:szCs w:val="20"/>
                <w:lang w:eastAsia="en-GB"/>
              </w:rPr>
              <w:t>P</w:t>
            </w:r>
            <w:r w:rsidR="0073604D">
              <w:rPr>
                <w:rFonts w:ascii="Arial" w:hAnsi="Arial" w:cs="Arial"/>
                <w:sz w:val="20"/>
                <w:szCs w:val="20"/>
                <w:lang w:eastAsia="en-GB"/>
              </w:rPr>
              <w:t>PG</w:t>
            </w:r>
            <w:r w:rsidRPr="0073604D">
              <w:rPr>
                <w:rFonts w:ascii="Arial" w:hAnsi="Arial" w:cs="Arial"/>
                <w:sz w:val="20"/>
                <w:szCs w:val="20"/>
                <w:lang w:eastAsia="en-GB"/>
              </w:rPr>
              <w:t xml:space="preserve">: Housing for older and disabled people as </w:t>
            </w:r>
            <w:r w:rsidR="00416653" w:rsidRPr="0073604D">
              <w:rPr>
                <w:rFonts w:ascii="Arial" w:hAnsi="Arial" w:cs="Arial"/>
                <w:sz w:val="20"/>
                <w:szCs w:val="20"/>
                <w:lang w:eastAsia="en-GB"/>
              </w:rPr>
              <w:t>of</w:t>
            </w:r>
            <w:r w:rsidRPr="0073604D">
              <w:rPr>
                <w:rFonts w:ascii="Arial" w:hAnsi="Arial" w:cs="Arial"/>
                <w:sz w:val="20"/>
                <w:szCs w:val="20"/>
                <w:lang w:eastAsia="en-GB"/>
              </w:rPr>
              <w:t xml:space="preserve"> </w:t>
            </w:r>
            <w:r w:rsidR="00287238" w:rsidRPr="0073604D">
              <w:rPr>
                <w:rFonts w:ascii="Arial" w:hAnsi="Arial" w:cs="Arial"/>
                <w:sz w:val="20"/>
                <w:szCs w:val="20"/>
                <w:lang w:eastAsia="en-GB"/>
              </w:rPr>
              <w:t>June 2019</w:t>
            </w:r>
            <w:r w:rsidRPr="0073604D">
              <w:rPr>
                <w:rFonts w:ascii="Arial" w:hAnsi="Arial" w:cs="Arial"/>
                <w:sz w:val="20"/>
                <w:szCs w:val="20"/>
                <w:lang w:eastAsia="en-GB"/>
              </w:rPr>
              <w:t>.</w:t>
            </w:r>
          </w:p>
          <w:p w14:paraId="1956FAB5" w14:textId="4FFD87D6" w:rsidR="00F260E8" w:rsidRPr="0073604D" w:rsidRDefault="00F260E8" w:rsidP="00874A98">
            <w:pPr>
              <w:pStyle w:val="ListParagraph"/>
              <w:numPr>
                <w:ilvl w:val="0"/>
                <w:numId w:val="94"/>
              </w:numPr>
              <w:spacing w:after="0" w:line="240" w:lineRule="auto"/>
              <w:rPr>
                <w:rFonts w:ascii="Arial" w:hAnsi="Arial" w:cs="Arial"/>
                <w:sz w:val="20"/>
                <w:szCs w:val="20"/>
                <w:lang w:eastAsia="en-GB"/>
              </w:rPr>
            </w:pPr>
            <w:r w:rsidRPr="0073604D">
              <w:rPr>
                <w:rFonts w:ascii="Arial" w:hAnsi="Arial" w:cs="Arial"/>
                <w:sz w:val="20"/>
                <w:szCs w:val="20"/>
                <w:lang w:eastAsia="en-GB"/>
              </w:rPr>
              <w:t>P</w:t>
            </w:r>
            <w:r w:rsidR="0073604D">
              <w:rPr>
                <w:rFonts w:ascii="Arial" w:hAnsi="Arial" w:cs="Arial"/>
                <w:sz w:val="20"/>
                <w:szCs w:val="20"/>
                <w:lang w:eastAsia="en-GB"/>
              </w:rPr>
              <w:t xml:space="preserve">PG: </w:t>
            </w:r>
            <w:r w:rsidRPr="0073604D">
              <w:rPr>
                <w:rFonts w:ascii="Arial" w:hAnsi="Arial" w:cs="Arial"/>
                <w:sz w:val="20"/>
                <w:szCs w:val="20"/>
                <w:lang w:eastAsia="en-GB"/>
              </w:rPr>
              <w:t xml:space="preserve">Housing: optional technical standards, as </w:t>
            </w:r>
            <w:r w:rsidR="00416653" w:rsidRPr="0073604D">
              <w:rPr>
                <w:rFonts w:ascii="Arial" w:hAnsi="Arial" w:cs="Arial"/>
                <w:sz w:val="20"/>
                <w:szCs w:val="20"/>
                <w:lang w:eastAsia="en-GB"/>
              </w:rPr>
              <w:t>of</w:t>
            </w:r>
            <w:r w:rsidRPr="0073604D">
              <w:rPr>
                <w:rFonts w:ascii="Arial" w:hAnsi="Arial" w:cs="Arial"/>
                <w:sz w:val="20"/>
                <w:szCs w:val="20"/>
                <w:lang w:eastAsia="en-GB"/>
              </w:rPr>
              <w:t xml:space="preserve"> </w:t>
            </w:r>
            <w:r w:rsidR="00287238" w:rsidRPr="0073604D">
              <w:rPr>
                <w:rFonts w:ascii="Arial" w:hAnsi="Arial" w:cs="Arial"/>
                <w:sz w:val="20"/>
                <w:szCs w:val="20"/>
                <w:lang w:eastAsia="en-GB"/>
              </w:rPr>
              <w:t>March 2015</w:t>
            </w:r>
            <w:r w:rsidRPr="0073604D">
              <w:rPr>
                <w:rFonts w:ascii="Arial" w:hAnsi="Arial" w:cs="Arial"/>
                <w:sz w:val="20"/>
                <w:szCs w:val="20"/>
                <w:lang w:eastAsia="en-GB"/>
              </w:rPr>
              <w:t>.</w:t>
            </w:r>
          </w:p>
          <w:p w14:paraId="7191932F" w14:textId="79E52D35" w:rsidR="00F260E8" w:rsidRPr="002F1957" w:rsidRDefault="00F260E8" w:rsidP="00874A98">
            <w:pPr>
              <w:pStyle w:val="ListParagraph"/>
              <w:numPr>
                <w:ilvl w:val="0"/>
                <w:numId w:val="94"/>
              </w:numPr>
              <w:tabs>
                <w:tab w:val="left" w:pos="680"/>
                <w:tab w:val="left" w:pos="1133"/>
                <w:tab w:val="left" w:pos="2267"/>
              </w:tabs>
              <w:ind w:right="284"/>
              <w:rPr>
                <w:rFonts w:ascii="Arial" w:eastAsia="Arial" w:hAnsi="Arial" w:cs="Arial"/>
                <w:b/>
                <w:color w:val="auto"/>
                <w:sz w:val="22"/>
                <w:u w:val="single"/>
              </w:rPr>
            </w:pPr>
            <w:r w:rsidRPr="0073604D">
              <w:rPr>
                <w:rFonts w:ascii="Arial" w:hAnsi="Arial" w:cs="Arial"/>
                <w:sz w:val="20"/>
              </w:rPr>
              <w:t>P</w:t>
            </w:r>
            <w:r w:rsidR="0073604D">
              <w:rPr>
                <w:rFonts w:ascii="Arial" w:hAnsi="Arial" w:cs="Arial"/>
                <w:sz w:val="20"/>
              </w:rPr>
              <w:t>PG</w:t>
            </w:r>
            <w:r w:rsidRPr="0073604D">
              <w:rPr>
                <w:rFonts w:ascii="Arial" w:hAnsi="Arial" w:cs="Arial"/>
                <w:sz w:val="20"/>
              </w:rPr>
              <w:t xml:space="preserve">: Housing supply and delivery as </w:t>
            </w:r>
            <w:r w:rsidR="00416653" w:rsidRPr="0073604D">
              <w:rPr>
                <w:rFonts w:ascii="Arial" w:hAnsi="Arial" w:cs="Arial"/>
                <w:sz w:val="20"/>
              </w:rPr>
              <w:t>of</w:t>
            </w:r>
            <w:r w:rsidRPr="0073604D">
              <w:rPr>
                <w:rFonts w:ascii="Arial" w:hAnsi="Arial" w:cs="Arial"/>
                <w:sz w:val="20"/>
              </w:rPr>
              <w:t xml:space="preserve"> </w:t>
            </w:r>
            <w:r w:rsidR="00287238" w:rsidRPr="0073604D">
              <w:rPr>
                <w:rFonts w:ascii="Arial" w:hAnsi="Arial" w:cs="Arial"/>
                <w:sz w:val="20"/>
              </w:rPr>
              <w:t>July 2019</w:t>
            </w:r>
            <w:r w:rsidRPr="0073604D">
              <w:rPr>
                <w:rFonts w:ascii="Arial" w:hAnsi="Arial" w:cs="Arial"/>
                <w:sz w:val="20"/>
              </w:rPr>
              <w:t>.</w:t>
            </w:r>
          </w:p>
        </w:tc>
      </w:tr>
    </w:tbl>
    <w:p w14:paraId="6CCB0384" w14:textId="042A3C2C" w:rsidR="00F260E8" w:rsidRDefault="00F260E8" w:rsidP="00E30ED8">
      <w:pPr>
        <w:rPr>
          <w:rFonts w:eastAsia="Arial"/>
        </w:rPr>
      </w:pPr>
    </w:p>
    <w:p w14:paraId="072B3BE9" w14:textId="77777777" w:rsidR="00FB4E8F" w:rsidRPr="00BB639C" w:rsidRDefault="00FB4E8F" w:rsidP="00743F63">
      <w:pPr>
        <w:autoSpaceDE w:val="0"/>
        <w:autoSpaceDN w:val="0"/>
        <w:adjustRightInd w:val="0"/>
        <w:spacing w:before="0"/>
        <w:ind w:left="851"/>
        <w:rPr>
          <w:rFonts w:eastAsia="Arial" w:cs="Arial"/>
          <w:b/>
          <w:color w:val="auto"/>
          <w:u w:val="single"/>
        </w:rPr>
      </w:pPr>
      <w:r w:rsidRPr="00BB639C">
        <w:rPr>
          <w:rFonts w:eastAsia="Arial" w:cs="Arial"/>
          <w:b/>
          <w:color w:val="auto"/>
          <w:u w:val="single"/>
        </w:rPr>
        <w:t>Strategic Approach to Housing Growth</w:t>
      </w:r>
    </w:p>
    <w:p w14:paraId="44E5BA1B" w14:textId="77777777" w:rsidR="00743F63" w:rsidRPr="003C7E62" w:rsidRDefault="00743F63" w:rsidP="00743F63">
      <w:pPr>
        <w:autoSpaceDE w:val="0"/>
        <w:autoSpaceDN w:val="0"/>
        <w:adjustRightInd w:val="0"/>
        <w:spacing w:before="0"/>
        <w:rPr>
          <w:rFonts w:eastAsia="Arial" w:cs="Arial"/>
          <w:bCs/>
          <w:color w:val="auto"/>
          <w:u w:val="single"/>
        </w:rPr>
      </w:pPr>
    </w:p>
    <w:p w14:paraId="20A61883" w14:textId="747FB47E" w:rsidR="00FB4E8F" w:rsidRDefault="00FB4E8F" w:rsidP="00743F63">
      <w:pPr>
        <w:autoSpaceDE w:val="0"/>
        <w:autoSpaceDN w:val="0"/>
        <w:adjustRightInd w:val="0"/>
        <w:spacing w:before="0"/>
        <w:ind w:left="851"/>
        <w:rPr>
          <w:rFonts w:eastAsia="Arial" w:cs="Arial"/>
          <w:b/>
          <w:color w:val="auto"/>
        </w:rPr>
      </w:pPr>
      <w:r w:rsidRPr="00BB639C">
        <w:rPr>
          <w:rFonts w:eastAsia="Arial" w:cs="Arial"/>
          <w:b/>
          <w:color w:val="auto"/>
        </w:rPr>
        <w:t xml:space="preserve">Quantum </w:t>
      </w:r>
      <w:r w:rsidR="00B61C86">
        <w:rPr>
          <w:rFonts w:eastAsia="Arial" w:cs="Arial"/>
          <w:b/>
          <w:color w:val="auto"/>
        </w:rPr>
        <w:t>of Housing Development</w:t>
      </w:r>
    </w:p>
    <w:p w14:paraId="6EA86899" w14:textId="77777777" w:rsidR="006D3A8E" w:rsidRPr="00BB639C" w:rsidRDefault="006D3A8E" w:rsidP="00743F63">
      <w:pPr>
        <w:autoSpaceDE w:val="0"/>
        <w:autoSpaceDN w:val="0"/>
        <w:adjustRightInd w:val="0"/>
        <w:spacing w:before="0"/>
        <w:ind w:left="851"/>
        <w:rPr>
          <w:rFonts w:cs="Arial"/>
          <w:b/>
          <w:color w:val="auto"/>
          <w:szCs w:val="24"/>
        </w:rPr>
      </w:pPr>
    </w:p>
    <w:p w14:paraId="558CC73F" w14:textId="5980B2C5" w:rsidR="00FB4E8F" w:rsidRPr="003C7E62" w:rsidRDefault="00677AA3" w:rsidP="00E73430">
      <w:pPr>
        <w:keepNext w:val="0"/>
        <w:numPr>
          <w:ilvl w:val="1"/>
          <w:numId w:val="344"/>
        </w:numPr>
        <w:tabs>
          <w:tab w:val="clear" w:pos="525"/>
          <w:tab w:val="num" w:pos="851"/>
        </w:tabs>
        <w:spacing w:before="0"/>
        <w:ind w:left="851" w:hanging="851"/>
        <w:rPr>
          <w:rFonts w:cs="Arial"/>
          <w:color w:val="auto"/>
          <w:szCs w:val="24"/>
        </w:rPr>
      </w:pPr>
      <w:r w:rsidRPr="003C7E62">
        <w:rPr>
          <w:rFonts w:cs="Arial"/>
          <w:color w:val="auto"/>
          <w:szCs w:val="24"/>
          <w:lang w:eastAsia="en-US"/>
        </w:rPr>
        <w:t xml:space="preserve">The </w:t>
      </w:r>
      <w:r w:rsidR="005D6672">
        <w:rPr>
          <w:rFonts w:cs="Arial"/>
          <w:color w:val="auto"/>
          <w:szCs w:val="24"/>
          <w:lang w:eastAsia="en-US"/>
        </w:rPr>
        <w:t xml:space="preserve">NPPF </w:t>
      </w:r>
      <w:r w:rsidRPr="003C7E62">
        <w:rPr>
          <w:rFonts w:cs="Arial"/>
          <w:color w:val="auto"/>
          <w:szCs w:val="24"/>
          <w:lang w:eastAsia="en-US"/>
        </w:rPr>
        <w:t>sets out a requirement for strategic policies to be informed by local housing need assessments, conducted using the standard method set out in National Planning Practice Guidance (PPG)</w:t>
      </w:r>
      <w:r w:rsidRPr="003C7E62">
        <w:rPr>
          <w:rStyle w:val="FootnoteReference"/>
          <w:rFonts w:cs="Arial"/>
          <w:color w:val="auto"/>
          <w:szCs w:val="24"/>
          <w:lang w:eastAsia="en-US"/>
        </w:rPr>
        <w:footnoteReference w:id="60"/>
      </w:r>
      <w:r w:rsidRPr="003C7E62">
        <w:rPr>
          <w:rFonts w:cs="Arial"/>
          <w:color w:val="auto"/>
          <w:szCs w:val="24"/>
          <w:lang w:eastAsia="en-US"/>
        </w:rPr>
        <w:t>. The Local Housing Need (LHN) for Ashfield District, based on this standard methodology, was 4</w:t>
      </w:r>
      <w:r w:rsidR="00060199">
        <w:rPr>
          <w:rFonts w:cs="Arial"/>
          <w:color w:val="auto"/>
          <w:szCs w:val="24"/>
          <w:lang w:eastAsia="en-US"/>
        </w:rPr>
        <w:t>46</w:t>
      </w:r>
      <w:r w:rsidRPr="003C7E62">
        <w:rPr>
          <w:rFonts w:cs="Arial"/>
          <w:color w:val="auto"/>
          <w:szCs w:val="24"/>
          <w:lang w:eastAsia="en-US"/>
        </w:rPr>
        <w:t xml:space="preserve"> dwellings per annum (dpa) as of April 202</w:t>
      </w:r>
      <w:r w:rsidR="00060199">
        <w:rPr>
          <w:rFonts w:cs="Arial"/>
          <w:color w:val="auto"/>
          <w:szCs w:val="24"/>
          <w:lang w:eastAsia="en-US"/>
        </w:rPr>
        <w:t>3</w:t>
      </w:r>
      <w:r w:rsidR="00441D75">
        <w:rPr>
          <w:rFonts w:cs="Arial"/>
          <w:color w:val="auto"/>
          <w:szCs w:val="24"/>
          <w:lang w:eastAsia="en-US"/>
        </w:rPr>
        <w:t>.</w:t>
      </w:r>
      <w:r w:rsidR="005A1A32">
        <w:rPr>
          <w:rFonts w:cs="Arial"/>
          <w:color w:val="auto"/>
          <w:szCs w:val="24"/>
          <w:lang w:eastAsia="en-US"/>
        </w:rPr>
        <w:t xml:space="preserve"> </w:t>
      </w:r>
    </w:p>
    <w:p w14:paraId="57E9CD20" w14:textId="77777777" w:rsidR="00FB4E8F" w:rsidRPr="003C7E62" w:rsidRDefault="00FB4E8F" w:rsidP="00310DB0">
      <w:pPr>
        <w:keepNext w:val="0"/>
        <w:spacing w:before="0"/>
        <w:ind w:left="851"/>
        <w:rPr>
          <w:rFonts w:cs="Arial"/>
          <w:color w:val="auto"/>
          <w:szCs w:val="24"/>
        </w:rPr>
      </w:pPr>
    </w:p>
    <w:p w14:paraId="39BA75EE" w14:textId="30D1245A" w:rsidR="00630D3C" w:rsidRDefault="00630D3C" w:rsidP="00E73430">
      <w:pPr>
        <w:keepNext w:val="0"/>
        <w:numPr>
          <w:ilvl w:val="1"/>
          <w:numId w:val="344"/>
        </w:numPr>
        <w:tabs>
          <w:tab w:val="clear" w:pos="525"/>
          <w:tab w:val="num" w:pos="851"/>
        </w:tabs>
        <w:spacing w:before="0"/>
        <w:ind w:left="851" w:hanging="851"/>
        <w:rPr>
          <w:rFonts w:cs="Arial"/>
          <w:color w:val="auto"/>
          <w:szCs w:val="24"/>
        </w:rPr>
      </w:pPr>
      <w:r w:rsidRPr="00033FDC">
        <w:rPr>
          <w:rFonts w:cs="Arial"/>
          <w:color w:val="auto"/>
          <w:szCs w:val="24"/>
          <w:lang w:eastAsia="en-US"/>
        </w:rPr>
        <w:t>It has been determined that a review of the Green Belt boundaries</w:t>
      </w:r>
      <w:r w:rsidR="005B74FD" w:rsidRPr="00033FDC">
        <w:rPr>
          <w:rFonts w:cs="Arial"/>
          <w:color w:val="auto"/>
          <w:szCs w:val="24"/>
          <w:lang w:eastAsia="en-US"/>
        </w:rPr>
        <w:t xml:space="preserve"> will be required</w:t>
      </w:r>
      <w:r w:rsidRPr="00033FDC">
        <w:rPr>
          <w:rFonts w:cs="Arial"/>
          <w:color w:val="auto"/>
          <w:szCs w:val="24"/>
          <w:lang w:eastAsia="en-US"/>
        </w:rPr>
        <w:t xml:space="preserve"> </w:t>
      </w:r>
      <w:proofErr w:type="gramStart"/>
      <w:r w:rsidRPr="00033FDC">
        <w:rPr>
          <w:rFonts w:cs="Arial"/>
          <w:color w:val="auto"/>
          <w:szCs w:val="24"/>
          <w:lang w:eastAsia="en-US"/>
        </w:rPr>
        <w:t>in order to</w:t>
      </w:r>
      <w:proofErr w:type="gramEnd"/>
      <w:r w:rsidRPr="00033FDC">
        <w:rPr>
          <w:rFonts w:cs="Arial"/>
          <w:color w:val="auto"/>
          <w:szCs w:val="24"/>
          <w:lang w:eastAsia="en-US"/>
        </w:rPr>
        <w:t xml:space="preserve"> address the Council’s strategy for growth, as set out in </w:t>
      </w:r>
      <w:r w:rsidR="00060199" w:rsidRPr="00033FDC">
        <w:rPr>
          <w:rFonts w:cs="Arial"/>
          <w:szCs w:val="24"/>
          <w:lang w:eastAsia="en-US"/>
        </w:rPr>
        <w:t>Policy S1</w:t>
      </w:r>
      <w:r w:rsidRPr="00033FDC">
        <w:rPr>
          <w:rFonts w:cs="Arial"/>
          <w:color w:val="auto"/>
          <w:szCs w:val="24"/>
          <w:lang w:eastAsia="en-US"/>
        </w:rPr>
        <w:t xml:space="preserve">, and in greater detail in Background Paper 1: Spatial Strategy and </w:t>
      </w:r>
      <w:r w:rsidR="005B74FD" w:rsidRPr="00033FDC">
        <w:rPr>
          <w:rFonts w:cs="Arial"/>
          <w:color w:val="auto"/>
          <w:szCs w:val="24"/>
          <w:lang w:eastAsia="en-US"/>
        </w:rPr>
        <w:t>Site Selection</w:t>
      </w:r>
      <w:r w:rsidRPr="00033FDC">
        <w:rPr>
          <w:rFonts w:cs="Arial"/>
          <w:color w:val="auto"/>
          <w:szCs w:val="24"/>
          <w:lang w:eastAsia="en-US"/>
        </w:rPr>
        <w:t xml:space="preserve">. </w:t>
      </w:r>
      <w:r w:rsidR="00677AA3" w:rsidRPr="00033FDC">
        <w:rPr>
          <w:rFonts w:cs="Arial"/>
          <w:color w:val="auto"/>
          <w:szCs w:val="24"/>
          <w:lang w:eastAsia="en-US"/>
        </w:rPr>
        <w:t>Under the duty to co-operate</w:t>
      </w:r>
      <w:r w:rsidRPr="00033FDC">
        <w:rPr>
          <w:rFonts w:cs="Arial"/>
          <w:color w:val="auto"/>
          <w:szCs w:val="24"/>
          <w:lang w:eastAsia="en-US"/>
        </w:rPr>
        <w:t>,</w:t>
      </w:r>
      <w:r w:rsidR="00677AA3" w:rsidRPr="00033FDC">
        <w:rPr>
          <w:rFonts w:cs="Arial"/>
          <w:color w:val="auto"/>
          <w:szCs w:val="24"/>
          <w:lang w:eastAsia="en-US"/>
        </w:rPr>
        <w:t xml:space="preserve"> the Council have agreed with Mansfield and Newark &amp; Sherwood Councils that each district will accommodate their own LHN. </w:t>
      </w:r>
    </w:p>
    <w:p w14:paraId="73AA622A" w14:textId="77777777" w:rsidR="00033FDC" w:rsidRPr="00033FDC" w:rsidRDefault="00033FDC" w:rsidP="00033FDC">
      <w:pPr>
        <w:keepNext w:val="0"/>
        <w:spacing w:before="0"/>
        <w:rPr>
          <w:rFonts w:cs="Arial"/>
          <w:color w:val="auto"/>
          <w:szCs w:val="24"/>
        </w:rPr>
      </w:pPr>
    </w:p>
    <w:p w14:paraId="2232C33F" w14:textId="595F372D" w:rsidR="007B4AFC" w:rsidRPr="00567588" w:rsidRDefault="007B4AFC" w:rsidP="00E73430">
      <w:pPr>
        <w:keepNext w:val="0"/>
        <w:numPr>
          <w:ilvl w:val="1"/>
          <w:numId w:val="344"/>
        </w:numPr>
        <w:tabs>
          <w:tab w:val="clear" w:pos="525"/>
          <w:tab w:val="num" w:pos="851"/>
        </w:tabs>
        <w:spacing w:before="0"/>
        <w:ind w:left="851" w:hanging="851"/>
        <w:rPr>
          <w:rFonts w:cs="Arial"/>
          <w:color w:val="auto"/>
          <w:szCs w:val="24"/>
        </w:rPr>
      </w:pPr>
      <w:r w:rsidRPr="00567588">
        <w:rPr>
          <w:rFonts w:cs="Arial"/>
          <w:color w:val="auto"/>
          <w:szCs w:val="24"/>
          <w:lang w:eastAsia="en-US"/>
        </w:rPr>
        <w:t xml:space="preserve">Having assessed the land supply, policy and physical constraints, the Council is proposing to adopt a baseline minimum of 446 dwellings per year as its housing target. The NPPF (para 22) requires strategic policies to look ahead over a minimum of 15 years post adoption, as such Policy S7 sets a minimum figure of 7582 dwellings over the entire Plan period. </w:t>
      </w:r>
      <w:r w:rsidRPr="00567588">
        <w:rPr>
          <w:rFonts w:cs="Arial"/>
          <w:strike/>
          <w:color w:val="auto"/>
          <w:szCs w:val="24"/>
          <w:lang w:eastAsia="en-US"/>
        </w:rPr>
        <w:t xml:space="preserve">It is acknowledged </w:t>
      </w:r>
      <w:bookmarkStart w:id="71" w:name="_Hlk151034397"/>
      <w:r w:rsidRPr="00567588">
        <w:rPr>
          <w:rFonts w:cs="Arial"/>
          <w:strike/>
          <w:color w:val="auto"/>
          <w:szCs w:val="24"/>
          <w:lang w:eastAsia="en-US"/>
        </w:rPr>
        <w:t xml:space="preserve">that the proposed allocations (in Policy H1) </w:t>
      </w:r>
      <w:r w:rsidR="0008340A" w:rsidRPr="00567588">
        <w:rPr>
          <w:rFonts w:cs="Arial"/>
          <w:strike/>
          <w:color w:val="auto"/>
          <w:szCs w:val="24"/>
          <w:lang w:eastAsia="en-US"/>
        </w:rPr>
        <w:t xml:space="preserve">together with </w:t>
      </w:r>
      <w:r w:rsidRPr="00567588">
        <w:rPr>
          <w:rFonts w:cs="Arial"/>
          <w:strike/>
          <w:color w:val="auto"/>
          <w:szCs w:val="24"/>
          <w:lang w:eastAsia="en-US"/>
        </w:rPr>
        <w:t>small site</w:t>
      </w:r>
      <w:r w:rsidR="0008340A" w:rsidRPr="00567588">
        <w:rPr>
          <w:rFonts w:cs="Arial"/>
          <w:strike/>
          <w:color w:val="auto"/>
          <w:szCs w:val="24"/>
          <w:lang w:eastAsia="en-US"/>
        </w:rPr>
        <w:t xml:space="preserve"> supply</w:t>
      </w:r>
      <w:r w:rsidRPr="00567588">
        <w:rPr>
          <w:rFonts w:cs="Arial"/>
          <w:strike/>
          <w:color w:val="auto"/>
          <w:szCs w:val="24"/>
          <w:lang w:eastAsia="en-US"/>
        </w:rPr>
        <w:t xml:space="preserve"> will provide for approximately 1</w:t>
      </w:r>
      <w:r w:rsidR="00452551" w:rsidRPr="00567588">
        <w:rPr>
          <w:rFonts w:cs="Arial"/>
          <w:strike/>
          <w:color w:val="auto"/>
          <w:szCs w:val="24"/>
          <w:lang w:eastAsia="en-US"/>
        </w:rPr>
        <w:t>3</w:t>
      </w:r>
      <w:r w:rsidRPr="00567588">
        <w:rPr>
          <w:rFonts w:cs="Arial"/>
          <w:strike/>
          <w:color w:val="auto"/>
          <w:szCs w:val="24"/>
          <w:lang w:eastAsia="en-US"/>
        </w:rPr>
        <w:t xml:space="preserve"> years’ worth of housing supply</w:t>
      </w:r>
      <w:r w:rsidR="006F4117" w:rsidRPr="00567588">
        <w:rPr>
          <w:rFonts w:cs="Arial"/>
          <w:strike/>
          <w:color w:val="auto"/>
          <w:szCs w:val="24"/>
          <w:lang w:eastAsia="en-US"/>
        </w:rPr>
        <w:t xml:space="preserve"> post adoption</w:t>
      </w:r>
      <w:r w:rsidRPr="00567588">
        <w:rPr>
          <w:rFonts w:cs="Arial"/>
          <w:strike/>
          <w:color w:val="auto"/>
          <w:szCs w:val="24"/>
          <w:lang w:eastAsia="en-US"/>
        </w:rPr>
        <w:t>, and this is discussed in greater detail in Background Paper 1.</w:t>
      </w:r>
      <w:bookmarkEnd w:id="71"/>
      <w:r w:rsidRPr="00567588">
        <w:rPr>
          <w:rFonts w:cs="Arial"/>
          <w:strike/>
          <w:color w:val="auto"/>
          <w:szCs w:val="24"/>
        </w:rPr>
        <w:t xml:space="preserve"> This is consistent with NPPF paragraph 68 which</w:t>
      </w:r>
      <w:r w:rsidRPr="00567588">
        <w:rPr>
          <w:rFonts w:cs="Arial"/>
          <w:color w:val="auto"/>
          <w:szCs w:val="24"/>
        </w:rPr>
        <w:t xml:space="preserve"> </w:t>
      </w:r>
      <w:r w:rsidR="00FD5894" w:rsidRPr="00567588">
        <w:rPr>
          <w:rFonts w:cs="Arial"/>
          <w:color w:val="0070C0"/>
          <w:szCs w:val="24"/>
        </w:rPr>
        <w:t xml:space="preserve">National policy also </w:t>
      </w:r>
      <w:r w:rsidRPr="00567588">
        <w:rPr>
          <w:color w:val="auto"/>
        </w:rPr>
        <w:t>requires policies to identify a sufficient supply and mix of sites, (taking into account their availability, suitability and likely economic viability), with specific, deliverable sites for years one to five of the plan period, and specific, developable sites or broad locations for growth, for years 6-10 and, where possible, for years 11-15 of the plan.</w:t>
      </w:r>
      <w:r w:rsidR="00FD5894" w:rsidRPr="00567588">
        <w:rPr>
          <w:color w:val="auto"/>
        </w:rPr>
        <w:t xml:space="preserve"> </w:t>
      </w:r>
    </w:p>
    <w:p w14:paraId="6DE1A2D1" w14:textId="77777777" w:rsidR="00CB6138" w:rsidRPr="00567588" w:rsidRDefault="00CB6138" w:rsidP="00CB6138">
      <w:pPr>
        <w:keepNext w:val="0"/>
        <w:spacing w:before="0"/>
        <w:ind w:left="851"/>
        <w:rPr>
          <w:rFonts w:cs="Arial"/>
          <w:color w:val="auto"/>
          <w:szCs w:val="24"/>
        </w:rPr>
      </w:pPr>
    </w:p>
    <w:p w14:paraId="3034AE1A" w14:textId="163E44C9" w:rsidR="00630D3C" w:rsidRPr="00567588" w:rsidRDefault="007B4AFC" w:rsidP="00E73430">
      <w:pPr>
        <w:keepNext w:val="0"/>
        <w:numPr>
          <w:ilvl w:val="1"/>
          <w:numId w:val="344"/>
        </w:numPr>
        <w:tabs>
          <w:tab w:val="clear" w:pos="525"/>
          <w:tab w:val="num" w:pos="851"/>
        </w:tabs>
        <w:spacing w:before="0"/>
        <w:ind w:left="851" w:hanging="851"/>
        <w:rPr>
          <w:rFonts w:cs="Arial"/>
          <w:strike/>
          <w:color w:val="auto"/>
          <w:szCs w:val="24"/>
        </w:rPr>
      </w:pPr>
      <w:r w:rsidRPr="00567588">
        <w:rPr>
          <w:strike/>
          <w:color w:val="auto"/>
        </w:rPr>
        <w:t>The supply of land for future housing will be kept under review as required by NPPF paragraph 33 which sets out that “</w:t>
      </w:r>
      <w:r w:rsidRPr="00567588">
        <w:rPr>
          <w:i/>
          <w:iCs/>
          <w:strike/>
          <w:color w:val="auto"/>
        </w:rPr>
        <w:t xml:space="preserve">Policies in local plans and spatial development strategies should be reviewed to assess whether they need updating at least once every five </w:t>
      </w:r>
      <w:proofErr w:type="gramStart"/>
      <w:r w:rsidRPr="00567588">
        <w:rPr>
          <w:i/>
          <w:iCs/>
          <w:strike/>
          <w:color w:val="auto"/>
        </w:rPr>
        <w:t>years, and</w:t>
      </w:r>
      <w:proofErr w:type="gramEnd"/>
      <w:r w:rsidRPr="00567588">
        <w:rPr>
          <w:i/>
          <w:iCs/>
          <w:strike/>
          <w:color w:val="auto"/>
        </w:rPr>
        <w:t xml:space="preserve"> should then be updated as necessary. Reviews should…… </w:t>
      </w:r>
      <w:proofErr w:type="gramStart"/>
      <w:r w:rsidRPr="00567588">
        <w:rPr>
          <w:i/>
          <w:iCs/>
          <w:strike/>
          <w:color w:val="auto"/>
        </w:rPr>
        <w:t>take into account</w:t>
      </w:r>
      <w:proofErr w:type="gramEnd"/>
      <w:r w:rsidRPr="00567588">
        <w:rPr>
          <w:i/>
          <w:iCs/>
          <w:strike/>
          <w:color w:val="auto"/>
        </w:rPr>
        <w:t xml:space="preserve"> changing circumstances affecting the area, or any relevant changes in national policy. Relevant strategic policies will need updating at least once every five years if their applicable local housing need figure has </w:t>
      </w:r>
      <w:r w:rsidRPr="00567588">
        <w:rPr>
          <w:i/>
          <w:iCs/>
          <w:strike/>
          <w:color w:val="auto"/>
        </w:rPr>
        <w:lastRenderedPageBreak/>
        <w:t xml:space="preserve">changed significantly; and they are likely to require earlier review if local housing need is expected to change significantly </w:t>
      </w:r>
      <w:proofErr w:type="gramStart"/>
      <w:r w:rsidRPr="00567588">
        <w:rPr>
          <w:i/>
          <w:iCs/>
          <w:strike/>
          <w:color w:val="auto"/>
        </w:rPr>
        <w:t>in the near future</w:t>
      </w:r>
      <w:proofErr w:type="gramEnd"/>
      <w:r w:rsidRPr="00567588">
        <w:rPr>
          <w:strike/>
          <w:color w:val="auto"/>
        </w:rPr>
        <w:t>.”</w:t>
      </w:r>
    </w:p>
    <w:p w14:paraId="13FF6163" w14:textId="77777777" w:rsidR="007B4AFC" w:rsidRPr="00567588" w:rsidRDefault="007B4AFC" w:rsidP="007B4AFC">
      <w:pPr>
        <w:keepNext w:val="0"/>
        <w:spacing w:before="0"/>
        <w:rPr>
          <w:rFonts w:cs="Arial"/>
          <w:color w:val="auto"/>
          <w:szCs w:val="24"/>
        </w:rPr>
      </w:pPr>
    </w:p>
    <w:p w14:paraId="25D52502" w14:textId="527C6A7E" w:rsidR="00FB4E8F" w:rsidRPr="00567588" w:rsidRDefault="00FD5894" w:rsidP="00452551">
      <w:pPr>
        <w:keepNext w:val="0"/>
        <w:numPr>
          <w:ilvl w:val="1"/>
          <w:numId w:val="344"/>
        </w:numPr>
        <w:tabs>
          <w:tab w:val="clear" w:pos="525"/>
          <w:tab w:val="num" w:pos="851"/>
        </w:tabs>
        <w:spacing w:before="0"/>
        <w:ind w:left="851" w:hanging="851"/>
        <w:rPr>
          <w:rFonts w:cs="Arial"/>
          <w:strike/>
          <w:szCs w:val="24"/>
        </w:rPr>
      </w:pPr>
      <w:r w:rsidRPr="00567588">
        <w:rPr>
          <w:rFonts w:cs="Arial"/>
          <w:color w:val="0070C0"/>
          <w:szCs w:val="24"/>
          <w:lang w:eastAsia="en-US"/>
        </w:rPr>
        <w:t xml:space="preserve">Housing land allocations are identified in Policy H1 of this Plan </w:t>
      </w:r>
      <w:proofErr w:type="gramStart"/>
      <w:r w:rsidRPr="00567588">
        <w:rPr>
          <w:rFonts w:cs="Arial"/>
          <w:color w:val="0070C0"/>
          <w:szCs w:val="24"/>
          <w:lang w:eastAsia="en-US"/>
        </w:rPr>
        <w:t>and also</w:t>
      </w:r>
      <w:proofErr w:type="gramEnd"/>
      <w:r w:rsidRPr="00567588">
        <w:rPr>
          <w:rFonts w:cs="Arial"/>
          <w:color w:val="0070C0"/>
          <w:szCs w:val="24"/>
          <w:lang w:eastAsia="en-US"/>
        </w:rPr>
        <w:t xml:space="preserve"> in the</w:t>
      </w:r>
      <w:r w:rsidR="00ED3B6E" w:rsidRPr="00567588">
        <w:rPr>
          <w:rFonts w:cs="Arial"/>
          <w:color w:val="0070C0"/>
          <w:szCs w:val="24"/>
          <w:lang w:eastAsia="en-US"/>
        </w:rPr>
        <w:t xml:space="preserve"> ‘Anticipated Annual Delivery’</w:t>
      </w:r>
      <w:r w:rsidRPr="00567588">
        <w:rPr>
          <w:rFonts w:cs="Arial"/>
          <w:color w:val="0070C0"/>
          <w:szCs w:val="24"/>
          <w:lang w:eastAsia="en-US"/>
        </w:rPr>
        <w:t xml:space="preserve"> schedules </w:t>
      </w:r>
      <w:r w:rsidR="00ED3B6E" w:rsidRPr="00567588">
        <w:rPr>
          <w:rFonts w:cs="Arial"/>
          <w:color w:val="0070C0"/>
          <w:szCs w:val="24"/>
          <w:lang w:eastAsia="en-US"/>
        </w:rPr>
        <w:t xml:space="preserve">which inform the Housing Trajectory </w:t>
      </w:r>
      <w:r w:rsidRPr="00567588">
        <w:rPr>
          <w:rFonts w:cs="Arial"/>
          <w:color w:val="0070C0"/>
          <w:szCs w:val="24"/>
          <w:lang w:eastAsia="en-US"/>
        </w:rPr>
        <w:t xml:space="preserve">at Appendix 2. </w:t>
      </w:r>
      <w:r w:rsidR="00677AA3" w:rsidRPr="00567588">
        <w:rPr>
          <w:rFonts w:cs="Arial"/>
          <w:color w:val="auto"/>
          <w:szCs w:val="24"/>
          <w:lang w:eastAsia="en-US"/>
        </w:rPr>
        <w:t xml:space="preserve">Table </w:t>
      </w:r>
      <w:r w:rsidR="00AB4A58" w:rsidRPr="00567588">
        <w:rPr>
          <w:rFonts w:cs="Arial"/>
          <w:color w:val="auto"/>
          <w:szCs w:val="24"/>
          <w:lang w:eastAsia="en-US"/>
        </w:rPr>
        <w:t>2</w:t>
      </w:r>
      <w:r w:rsidR="00677AA3" w:rsidRPr="00567588">
        <w:rPr>
          <w:rFonts w:cs="Arial"/>
          <w:color w:val="auto"/>
          <w:szCs w:val="24"/>
          <w:lang w:eastAsia="en-US"/>
        </w:rPr>
        <w:t xml:space="preserve"> below illustrates how the Local Housing Need will be met over the Local Plan period of </w:t>
      </w:r>
      <w:r w:rsidR="00677AA3" w:rsidRPr="00567588">
        <w:rPr>
          <w:rFonts w:cs="Arial"/>
          <w:szCs w:val="24"/>
          <w:lang w:eastAsia="en-US"/>
        </w:rPr>
        <w:t>20</w:t>
      </w:r>
      <w:r w:rsidR="001B3786" w:rsidRPr="00567588">
        <w:rPr>
          <w:rFonts w:cs="Arial"/>
          <w:szCs w:val="24"/>
          <w:lang w:eastAsia="en-US"/>
        </w:rPr>
        <w:t>23</w:t>
      </w:r>
      <w:r w:rsidR="00677AA3" w:rsidRPr="00567588">
        <w:rPr>
          <w:rFonts w:cs="Arial"/>
          <w:szCs w:val="24"/>
          <w:lang w:eastAsia="en-US"/>
        </w:rPr>
        <w:t xml:space="preserve"> to 20</w:t>
      </w:r>
      <w:r w:rsidR="001B3786" w:rsidRPr="00567588">
        <w:rPr>
          <w:rFonts w:cs="Arial"/>
          <w:szCs w:val="24"/>
          <w:lang w:eastAsia="en-US"/>
        </w:rPr>
        <w:t>40</w:t>
      </w:r>
      <w:r w:rsidR="00677AA3" w:rsidRPr="00567588">
        <w:rPr>
          <w:rFonts w:cs="Arial"/>
          <w:szCs w:val="24"/>
          <w:lang w:eastAsia="en-US"/>
        </w:rPr>
        <w:t xml:space="preserve">. The anticipated supply applies a discount rate to planning permissions to account for potential non-delivery, alongside a windfall allowance to reflect small sites which may come forward beyond </w:t>
      </w:r>
      <w:r w:rsidR="00677AA3" w:rsidRPr="00567588">
        <w:rPr>
          <w:rFonts w:cs="Arial"/>
          <w:strike/>
          <w:szCs w:val="24"/>
          <w:lang w:eastAsia="en-US"/>
        </w:rPr>
        <w:t>the first 5</w:t>
      </w:r>
      <w:r w:rsidR="00677AA3" w:rsidRPr="00567588">
        <w:rPr>
          <w:rFonts w:cs="Arial"/>
          <w:szCs w:val="24"/>
          <w:lang w:eastAsia="en-US"/>
        </w:rPr>
        <w:t xml:space="preserve"> </w:t>
      </w:r>
      <w:r w:rsidRPr="00567588">
        <w:rPr>
          <w:rFonts w:cs="Arial"/>
          <w:color w:val="0070C0"/>
          <w:szCs w:val="24"/>
          <w:lang w:eastAsia="en-US"/>
        </w:rPr>
        <w:t xml:space="preserve">3 </w:t>
      </w:r>
      <w:r w:rsidR="00677AA3" w:rsidRPr="00567588">
        <w:rPr>
          <w:rFonts w:cs="Arial"/>
          <w:szCs w:val="24"/>
          <w:lang w:eastAsia="en-US"/>
        </w:rPr>
        <w:t xml:space="preserve">years. </w:t>
      </w:r>
      <w:r w:rsidR="00677AA3" w:rsidRPr="00567588">
        <w:rPr>
          <w:rFonts w:cs="Arial"/>
          <w:strike/>
          <w:szCs w:val="24"/>
          <w:lang w:eastAsia="en-US"/>
        </w:rPr>
        <w:t xml:space="preserve">These calculations are based on historic performance over a period of 10 years </w:t>
      </w:r>
      <w:proofErr w:type="gramStart"/>
      <w:r w:rsidR="00677AA3" w:rsidRPr="00567588">
        <w:rPr>
          <w:rFonts w:cs="Arial"/>
          <w:strike/>
          <w:szCs w:val="24"/>
          <w:lang w:eastAsia="en-US"/>
        </w:rPr>
        <w:t>in order to</w:t>
      </w:r>
      <w:proofErr w:type="gramEnd"/>
      <w:r w:rsidR="00677AA3" w:rsidRPr="00567588">
        <w:rPr>
          <w:rFonts w:cs="Arial"/>
          <w:strike/>
          <w:szCs w:val="24"/>
          <w:lang w:eastAsia="en-US"/>
        </w:rPr>
        <w:t xml:space="preserve"> take account of peaks and troughs in the housing market.</w:t>
      </w:r>
      <w:r w:rsidR="00441D75" w:rsidRPr="00567588">
        <w:rPr>
          <w:rFonts w:cs="Arial"/>
          <w:strike/>
          <w:szCs w:val="24"/>
          <w:lang w:eastAsia="en-US"/>
        </w:rPr>
        <w:t xml:space="preserve"> Background Paper </w:t>
      </w:r>
      <w:r w:rsidR="00874A98" w:rsidRPr="00567588">
        <w:rPr>
          <w:rFonts w:cs="Arial"/>
          <w:strike/>
          <w:szCs w:val="24"/>
          <w:lang w:eastAsia="en-US"/>
        </w:rPr>
        <w:t>2</w:t>
      </w:r>
      <w:r w:rsidR="00441D75" w:rsidRPr="00567588">
        <w:rPr>
          <w:rFonts w:cs="Arial"/>
          <w:strike/>
          <w:szCs w:val="24"/>
          <w:lang w:eastAsia="en-US"/>
        </w:rPr>
        <w:t>: Housing sets out more detail regarding assumptions and calculations.</w:t>
      </w:r>
    </w:p>
    <w:p w14:paraId="0CE8B600" w14:textId="0CAC1C69" w:rsidR="00567588" w:rsidRPr="00567588" w:rsidRDefault="00567588">
      <w:pPr>
        <w:keepNext w:val="0"/>
        <w:spacing w:before="0"/>
        <w:rPr>
          <w:rFonts w:cs="Arial"/>
          <w:szCs w:val="24"/>
          <w:lang w:eastAsia="en-US"/>
        </w:rPr>
      </w:pPr>
      <w:r w:rsidRPr="00567588">
        <w:rPr>
          <w:rFonts w:cs="Arial"/>
          <w:szCs w:val="24"/>
          <w:lang w:eastAsia="en-US"/>
        </w:rPr>
        <w:br w:type="page"/>
      </w:r>
    </w:p>
    <w:tbl>
      <w:tblPr>
        <w:tblW w:w="9498" w:type="dxa"/>
        <w:tblLook w:val="04A0" w:firstRow="1" w:lastRow="0" w:firstColumn="1" w:lastColumn="0" w:noHBand="0" w:noVBand="1"/>
      </w:tblPr>
      <w:tblGrid>
        <w:gridCol w:w="8161"/>
        <w:gridCol w:w="1337"/>
      </w:tblGrid>
      <w:tr w:rsidR="0073604D" w:rsidRPr="00567588" w14:paraId="5BBB64A8" w14:textId="77777777" w:rsidTr="00762FCE">
        <w:trPr>
          <w:trHeight w:val="330"/>
        </w:trPr>
        <w:tc>
          <w:tcPr>
            <w:tcW w:w="8161" w:type="dxa"/>
            <w:tcBorders>
              <w:top w:val="single" w:sz="8" w:space="0" w:color="FFFFFF"/>
              <w:left w:val="nil"/>
              <w:bottom w:val="single" w:sz="8" w:space="0" w:color="FFFFFF"/>
              <w:right w:val="single" w:sz="8" w:space="0" w:color="FFFFFF"/>
            </w:tcBorders>
            <w:shd w:val="clear" w:color="000000" w:fill="D9D9D9"/>
            <w:hideMark/>
          </w:tcPr>
          <w:p w14:paraId="04BAB035" w14:textId="61986F08" w:rsidR="00441D75" w:rsidRPr="00567588" w:rsidRDefault="00441D75" w:rsidP="00441D75">
            <w:pPr>
              <w:keepNext w:val="0"/>
              <w:spacing w:before="0"/>
              <w:rPr>
                <w:rFonts w:cs="Arial"/>
                <w:b/>
                <w:bCs/>
                <w:szCs w:val="24"/>
              </w:rPr>
            </w:pPr>
            <w:r w:rsidRPr="00567588">
              <w:rPr>
                <w:rFonts w:cs="Arial"/>
                <w:b/>
                <w:bCs/>
                <w:szCs w:val="24"/>
              </w:rPr>
              <w:lastRenderedPageBreak/>
              <w:t>Housing Requirement</w:t>
            </w:r>
          </w:p>
        </w:tc>
        <w:tc>
          <w:tcPr>
            <w:tcW w:w="1337" w:type="dxa"/>
            <w:tcBorders>
              <w:top w:val="single" w:sz="8" w:space="0" w:color="FFFFFF"/>
              <w:left w:val="nil"/>
              <w:bottom w:val="single" w:sz="8" w:space="0" w:color="FFFFFF"/>
              <w:right w:val="single" w:sz="8" w:space="0" w:color="FFFFFF"/>
            </w:tcBorders>
            <w:shd w:val="clear" w:color="000000" w:fill="D9D9D9"/>
            <w:hideMark/>
          </w:tcPr>
          <w:p w14:paraId="09068F7D" w14:textId="77777777" w:rsidR="00441D75" w:rsidRPr="00567588" w:rsidRDefault="00441D75" w:rsidP="00441D75">
            <w:pPr>
              <w:keepNext w:val="0"/>
              <w:spacing w:before="0"/>
              <w:rPr>
                <w:rFonts w:cs="Arial"/>
                <w:b/>
                <w:bCs/>
                <w:szCs w:val="24"/>
              </w:rPr>
            </w:pPr>
            <w:r w:rsidRPr="00567588">
              <w:rPr>
                <w:rFonts w:cs="Arial"/>
                <w:b/>
                <w:bCs/>
                <w:szCs w:val="24"/>
              </w:rPr>
              <w:t>Dwellings</w:t>
            </w:r>
          </w:p>
        </w:tc>
      </w:tr>
      <w:tr w:rsidR="0073604D" w:rsidRPr="00567588" w14:paraId="51701489" w14:textId="77777777" w:rsidTr="00762FCE">
        <w:trPr>
          <w:trHeight w:val="315"/>
        </w:trPr>
        <w:tc>
          <w:tcPr>
            <w:tcW w:w="8161" w:type="dxa"/>
            <w:tcBorders>
              <w:top w:val="nil"/>
              <w:left w:val="nil"/>
              <w:bottom w:val="single" w:sz="8" w:space="0" w:color="FFFFFF"/>
              <w:right w:val="single" w:sz="8" w:space="0" w:color="FFFFFF"/>
            </w:tcBorders>
            <w:shd w:val="clear" w:color="000000" w:fill="D9D9D9"/>
            <w:hideMark/>
          </w:tcPr>
          <w:p w14:paraId="3F116E5A" w14:textId="1190B6AB" w:rsidR="00441D75" w:rsidRPr="00567588" w:rsidRDefault="00441D75" w:rsidP="00441D75">
            <w:pPr>
              <w:keepNext w:val="0"/>
              <w:spacing w:before="0"/>
              <w:rPr>
                <w:rFonts w:cs="Arial"/>
                <w:szCs w:val="24"/>
              </w:rPr>
            </w:pPr>
            <w:r w:rsidRPr="00567588">
              <w:rPr>
                <w:rFonts w:cs="Arial"/>
                <w:szCs w:val="24"/>
              </w:rPr>
              <w:t>Annual Local Housing Need based on Standard Methodology April 2023</w:t>
            </w:r>
          </w:p>
        </w:tc>
        <w:tc>
          <w:tcPr>
            <w:tcW w:w="1337" w:type="dxa"/>
            <w:tcBorders>
              <w:top w:val="nil"/>
              <w:left w:val="nil"/>
              <w:bottom w:val="single" w:sz="8" w:space="0" w:color="FFFFFF"/>
              <w:right w:val="single" w:sz="8" w:space="0" w:color="FFFFFF"/>
            </w:tcBorders>
            <w:shd w:val="clear" w:color="000000" w:fill="D9D9D9"/>
            <w:hideMark/>
          </w:tcPr>
          <w:p w14:paraId="1AC34D10" w14:textId="77777777" w:rsidR="00441D75" w:rsidRPr="00567588" w:rsidRDefault="00441D75" w:rsidP="00441D75">
            <w:pPr>
              <w:keepNext w:val="0"/>
              <w:spacing w:before="0"/>
              <w:jc w:val="right"/>
              <w:rPr>
                <w:rFonts w:cs="Arial"/>
                <w:szCs w:val="24"/>
              </w:rPr>
            </w:pPr>
            <w:r w:rsidRPr="00567588">
              <w:rPr>
                <w:rFonts w:cs="Arial"/>
                <w:szCs w:val="24"/>
              </w:rPr>
              <w:t>446</w:t>
            </w:r>
          </w:p>
        </w:tc>
      </w:tr>
      <w:tr w:rsidR="0073604D" w:rsidRPr="00567588" w14:paraId="6996CD20" w14:textId="77777777" w:rsidTr="00762FCE">
        <w:trPr>
          <w:trHeight w:val="367"/>
        </w:trPr>
        <w:tc>
          <w:tcPr>
            <w:tcW w:w="8161" w:type="dxa"/>
            <w:tcBorders>
              <w:top w:val="nil"/>
              <w:left w:val="nil"/>
              <w:bottom w:val="single" w:sz="6" w:space="0" w:color="FFFFFF" w:themeColor="background1"/>
              <w:right w:val="single" w:sz="8" w:space="0" w:color="FFFFFF"/>
            </w:tcBorders>
            <w:shd w:val="clear" w:color="000000" w:fill="D9D9D9"/>
            <w:hideMark/>
          </w:tcPr>
          <w:p w14:paraId="53D0AEAD" w14:textId="2B93E6B3" w:rsidR="00441D75" w:rsidRPr="00567588" w:rsidRDefault="00441D75" w:rsidP="00441D75">
            <w:pPr>
              <w:keepNext w:val="0"/>
              <w:spacing w:before="0"/>
              <w:rPr>
                <w:rFonts w:cs="Arial"/>
                <w:szCs w:val="24"/>
              </w:rPr>
            </w:pPr>
            <w:r w:rsidRPr="00567588">
              <w:rPr>
                <w:rFonts w:cs="Arial"/>
                <w:szCs w:val="24"/>
              </w:rPr>
              <w:t>Houses needed to meet requirement, 1/4/2023 to 31/4/2040</w:t>
            </w:r>
          </w:p>
        </w:tc>
        <w:tc>
          <w:tcPr>
            <w:tcW w:w="1337" w:type="dxa"/>
            <w:tcBorders>
              <w:top w:val="nil"/>
              <w:left w:val="nil"/>
              <w:bottom w:val="single" w:sz="6" w:space="0" w:color="FFFFFF" w:themeColor="background1"/>
              <w:right w:val="single" w:sz="8" w:space="0" w:color="FFFFFF"/>
            </w:tcBorders>
            <w:shd w:val="clear" w:color="000000" w:fill="D9D9D9"/>
            <w:hideMark/>
          </w:tcPr>
          <w:p w14:paraId="07C9F3B3" w14:textId="18A43FB2" w:rsidR="00441D75" w:rsidRPr="00567588" w:rsidRDefault="00441D75" w:rsidP="00441D75">
            <w:pPr>
              <w:keepNext w:val="0"/>
              <w:spacing w:before="0"/>
              <w:jc w:val="right"/>
              <w:rPr>
                <w:rFonts w:cs="Arial"/>
                <w:b/>
                <w:bCs/>
                <w:szCs w:val="24"/>
              </w:rPr>
            </w:pPr>
            <w:r w:rsidRPr="00567588">
              <w:rPr>
                <w:rFonts w:cs="Arial"/>
                <w:b/>
                <w:bCs/>
                <w:szCs w:val="24"/>
              </w:rPr>
              <w:t>7</w:t>
            </w:r>
            <w:r w:rsidR="0084256E" w:rsidRPr="00567588">
              <w:rPr>
                <w:rFonts w:cs="Arial"/>
                <w:b/>
                <w:bCs/>
                <w:szCs w:val="24"/>
              </w:rPr>
              <w:t>,</w:t>
            </w:r>
            <w:r w:rsidRPr="00567588">
              <w:rPr>
                <w:rFonts w:cs="Arial"/>
                <w:b/>
                <w:bCs/>
                <w:szCs w:val="24"/>
              </w:rPr>
              <w:t>582</w:t>
            </w:r>
          </w:p>
        </w:tc>
      </w:tr>
      <w:tr w:rsidR="00762FCE" w:rsidRPr="00567588" w14:paraId="1F95E554" w14:textId="77777777" w:rsidTr="00762FCE">
        <w:trPr>
          <w:trHeight w:val="367"/>
        </w:trPr>
        <w:tc>
          <w:tcPr>
            <w:tcW w:w="816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D9D9D9"/>
          </w:tcPr>
          <w:p w14:paraId="07E186A2" w14:textId="46961EBA" w:rsidR="00762FCE" w:rsidRPr="00567588" w:rsidRDefault="00762FCE" w:rsidP="00441D75">
            <w:pPr>
              <w:keepNext w:val="0"/>
              <w:spacing w:before="0"/>
              <w:rPr>
                <w:rFonts w:cs="Arial"/>
                <w:szCs w:val="24"/>
              </w:rPr>
            </w:pPr>
            <w:r w:rsidRPr="00E56F9C">
              <w:rPr>
                <w:rFonts w:cs="Arial"/>
                <w:color w:val="005EAC"/>
                <w:szCs w:val="24"/>
              </w:rPr>
              <w:t>Net Homes delivered* 1/4/2023 to 31/3/2025</w:t>
            </w:r>
          </w:p>
        </w:tc>
        <w:tc>
          <w:tcPr>
            <w:tcW w:w="133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D9D9D9"/>
          </w:tcPr>
          <w:p w14:paraId="71F6AE9E" w14:textId="387D0EE8" w:rsidR="00762FCE" w:rsidRPr="00567588" w:rsidRDefault="00762FCE" w:rsidP="00441D75">
            <w:pPr>
              <w:keepNext w:val="0"/>
              <w:spacing w:before="0"/>
              <w:jc w:val="right"/>
              <w:rPr>
                <w:rFonts w:cs="Arial"/>
                <w:b/>
                <w:bCs/>
                <w:szCs w:val="24"/>
              </w:rPr>
            </w:pPr>
            <w:r w:rsidRPr="00E56F9C">
              <w:rPr>
                <w:rFonts w:cs="Arial"/>
                <w:b/>
                <w:bCs/>
                <w:color w:val="005EAC"/>
                <w:szCs w:val="24"/>
              </w:rPr>
              <w:t>907</w:t>
            </w:r>
          </w:p>
        </w:tc>
      </w:tr>
      <w:tr w:rsidR="00762FCE" w:rsidRPr="001B716F" w14:paraId="0962742A" w14:textId="77777777" w:rsidTr="00762FCE">
        <w:trPr>
          <w:trHeight w:val="367"/>
        </w:trPr>
        <w:tc>
          <w:tcPr>
            <w:tcW w:w="816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D9D9D9"/>
          </w:tcPr>
          <w:p w14:paraId="0641060F" w14:textId="654496BC" w:rsidR="00762FCE" w:rsidRPr="00567588" w:rsidRDefault="00762FCE" w:rsidP="00441D75">
            <w:pPr>
              <w:keepNext w:val="0"/>
              <w:spacing w:before="0"/>
              <w:rPr>
                <w:rFonts w:cs="Arial"/>
                <w:szCs w:val="24"/>
              </w:rPr>
            </w:pPr>
            <w:r w:rsidRPr="00E56F9C">
              <w:rPr>
                <w:rFonts w:cs="Arial"/>
                <w:color w:val="005EAC"/>
                <w:szCs w:val="24"/>
              </w:rPr>
              <w:t>Houses needed to meet requirement, 1/4/2025 to 31/4/2040</w:t>
            </w:r>
          </w:p>
        </w:tc>
        <w:tc>
          <w:tcPr>
            <w:tcW w:w="133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000000" w:fill="D9D9D9"/>
          </w:tcPr>
          <w:p w14:paraId="07920F52" w14:textId="79A6C420" w:rsidR="00762FCE" w:rsidRPr="00567588" w:rsidRDefault="00762FCE" w:rsidP="00441D75">
            <w:pPr>
              <w:keepNext w:val="0"/>
              <w:spacing w:before="0"/>
              <w:jc w:val="right"/>
              <w:rPr>
                <w:rFonts w:cs="Arial"/>
                <w:b/>
                <w:bCs/>
                <w:szCs w:val="24"/>
              </w:rPr>
            </w:pPr>
            <w:r w:rsidRPr="00E56F9C">
              <w:rPr>
                <w:rFonts w:cs="Arial"/>
                <w:b/>
                <w:bCs/>
                <w:color w:val="005EAC"/>
                <w:szCs w:val="24"/>
              </w:rPr>
              <w:t>6,675</w:t>
            </w:r>
          </w:p>
        </w:tc>
      </w:tr>
    </w:tbl>
    <w:p w14:paraId="4C3AE719" w14:textId="77777777" w:rsidR="00FB4E8F" w:rsidRPr="001B716F" w:rsidRDefault="00FB4E8F" w:rsidP="00743F63">
      <w:pPr>
        <w:keepNext w:val="0"/>
        <w:spacing w:before="0"/>
        <w:ind w:left="851"/>
        <w:jc w:val="both"/>
        <w:rPr>
          <w:rFonts w:cs="Arial"/>
          <w:szCs w:val="24"/>
          <w:highlight w:val="yellow"/>
        </w:rPr>
      </w:pPr>
    </w:p>
    <w:tbl>
      <w:tblPr>
        <w:tblW w:w="9547" w:type="dxa"/>
        <w:tblInd w:w="10" w:type="dxa"/>
        <w:tblLook w:val="04A0" w:firstRow="1" w:lastRow="0" w:firstColumn="1" w:lastColumn="0" w:noHBand="0" w:noVBand="1"/>
      </w:tblPr>
      <w:tblGrid>
        <w:gridCol w:w="8210"/>
        <w:gridCol w:w="1337"/>
      </w:tblGrid>
      <w:tr w:rsidR="0073604D" w:rsidRPr="00567588" w14:paraId="5BDA22EA" w14:textId="77777777" w:rsidTr="00CB0557">
        <w:trPr>
          <w:trHeight w:val="330"/>
        </w:trPr>
        <w:tc>
          <w:tcPr>
            <w:tcW w:w="8212" w:type="dxa"/>
            <w:tcBorders>
              <w:top w:val="single" w:sz="8" w:space="0" w:color="FFFFFF"/>
              <w:left w:val="nil"/>
              <w:bottom w:val="single" w:sz="8" w:space="0" w:color="FFFFFF"/>
              <w:right w:val="single" w:sz="8" w:space="0" w:color="FFFFFF"/>
            </w:tcBorders>
            <w:shd w:val="clear" w:color="000000" w:fill="D6DCE4"/>
            <w:hideMark/>
          </w:tcPr>
          <w:p w14:paraId="0F6A71B4" w14:textId="77777777" w:rsidR="00441D75" w:rsidRPr="00567588" w:rsidRDefault="00441D75" w:rsidP="00441D75">
            <w:pPr>
              <w:keepNext w:val="0"/>
              <w:spacing w:before="0"/>
              <w:rPr>
                <w:rFonts w:cs="Arial"/>
                <w:b/>
                <w:bCs/>
                <w:szCs w:val="24"/>
              </w:rPr>
            </w:pPr>
            <w:r w:rsidRPr="00567588">
              <w:rPr>
                <w:rFonts w:cs="Arial"/>
                <w:b/>
                <w:bCs/>
                <w:szCs w:val="24"/>
              </w:rPr>
              <w:t>Future Supply Source</w:t>
            </w:r>
          </w:p>
        </w:tc>
        <w:tc>
          <w:tcPr>
            <w:tcW w:w="1335" w:type="dxa"/>
            <w:tcBorders>
              <w:top w:val="single" w:sz="8" w:space="0" w:color="FFFFFF"/>
              <w:left w:val="nil"/>
              <w:bottom w:val="single" w:sz="8" w:space="0" w:color="FFFFFF"/>
              <w:right w:val="single" w:sz="8" w:space="0" w:color="FFFFFF"/>
            </w:tcBorders>
            <w:shd w:val="clear" w:color="000000" w:fill="D6DCE4"/>
            <w:hideMark/>
          </w:tcPr>
          <w:p w14:paraId="0198BEBE" w14:textId="77777777" w:rsidR="00441D75" w:rsidRPr="00567588" w:rsidRDefault="00441D75" w:rsidP="00441D75">
            <w:pPr>
              <w:keepNext w:val="0"/>
              <w:spacing w:before="0"/>
              <w:rPr>
                <w:rFonts w:cs="Arial"/>
                <w:b/>
                <w:bCs/>
                <w:szCs w:val="24"/>
              </w:rPr>
            </w:pPr>
            <w:r w:rsidRPr="00567588">
              <w:rPr>
                <w:rFonts w:cs="Arial"/>
                <w:b/>
                <w:bCs/>
                <w:szCs w:val="24"/>
              </w:rPr>
              <w:t>Dwellings</w:t>
            </w:r>
          </w:p>
        </w:tc>
      </w:tr>
      <w:tr w:rsidR="0073604D" w:rsidRPr="00567588" w14:paraId="7D2F55B7" w14:textId="77777777" w:rsidTr="00CB0557">
        <w:trPr>
          <w:trHeight w:val="330"/>
        </w:trPr>
        <w:tc>
          <w:tcPr>
            <w:tcW w:w="8212" w:type="dxa"/>
            <w:tcBorders>
              <w:top w:val="nil"/>
              <w:left w:val="nil"/>
              <w:bottom w:val="single" w:sz="8" w:space="0" w:color="FFFFFF"/>
              <w:right w:val="single" w:sz="8" w:space="0" w:color="FFFFFF"/>
            </w:tcBorders>
            <w:shd w:val="clear" w:color="000000" w:fill="D6DCE4"/>
            <w:hideMark/>
          </w:tcPr>
          <w:p w14:paraId="1FB8B595" w14:textId="0DBEF651" w:rsidR="00441D75" w:rsidRPr="00567588" w:rsidRDefault="00441D75" w:rsidP="00441D75">
            <w:pPr>
              <w:keepNext w:val="0"/>
              <w:spacing w:before="0"/>
              <w:rPr>
                <w:rFonts w:cs="Arial"/>
                <w:szCs w:val="24"/>
              </w:rPr>
            </w:pPr>
            <w:r w:rsidRPr="00567588">
              <w:rPr>
                <w:rFonts w:cs="Arial"/>
                <w:szCs w:val="24"/>
              </w:rPr>
              <w:t xml:space="preserve">Houses deliverable on </w:t>
            </w:r>
            <w:r w:rsidRPr="00567588">
              <w:rPr>
                <w:rFonts w:cs="Arial"/>
                <w:b/>
                <w:bCs/>
                <w:szCs w:val="24"/>
              </w:rPr>
              <w:t>small sites</w:t>
            </w:r>
            <w:r w:rsidRPr="00567588">
              <w:rPr>
                <w:rFonts w:cs="Arial"/>
                <w:szCs w:val="24"/>
              </w:rPr>
              <w:t>, 1/4/202</w:t>
            </w:r>
            <w:r w:rsidRPr="00567588">
              <w:rPr>
                <w:rFonts w:cs="Arial"/>
                <w:strike/>
                <w:szCs w:val="24"/>
              </w:rPr>
              <w:t>3</w:t>
            </w:r>
            <w:r w:rsidR="00762FCE" w:rsidRPr="00E56F9C">
              <w:rPr>
                <w:rFonts w:cs="Arial"/>
                <w:color w:val="0060AE"/>
                <w:szCs w:val="24"/>
              </w:rPr>
              <w:t>5</w:t>
            </w:r>
            <w:r w:rsidRPr="00567588">
              <w:rPr>
                <w:rFonts w:cs="Arial"/>
                <w:szCs w:val="24"/>
              </w:rPr>
              <w:t xml:space="preserve"> to 31/3/20</w:t>
            </w:r>
            <w:r w:rsidR="0084256E" w:rsidRPr="00567588">
              <w:rPr>
                <w:rFonts w:cs="Arial"/>
                <w:szCs w:val="24"/>
              </w:rPr>
              <w:t>40</w:t>
            </w:r>
          </w:p>
        </w:tc>
        <w:tc>
          <w:tcPr>
            <w:tcW w:w="1335" w:type="dxa"/>
            <w:tcBorders>
              <w:top w:val="nil"/>
              <w:left w:val="nil"/>
              <w:bottom w:val="single" w:sz="8" w:space="0" w:color="FFFFFF"/>
              <w:right w:val="single" w:sz="8" w:space="0" w:color="FFFFFF"/>
            </w:tcBorders>
            <w:shd w:val="clear" w:color="000000" w:fill="D6DCE4"/>
            <w:hideMark/>
          </w:tcPr>
          <w:p w14:paraId="0C1ADA24" w14:textId="77777777" w:rsidR="00441D75" w:rsidRPr="00567588" w:rsidRDefault="00441D75" w:rsidP="00441D75">
            <w:pPr>
              <w:keepNext w:val="0"/>
              <w:spacing w:before="0"/>
              <w:rPr>
                <w:rFonts w:cs="Arial"/>
                <w:szCs w:val="24"/>
              </w:rPr>
            </w:pPr>
            <w:r w:rsidRPr="00567588">
              <w:rPr>
                <w:rFonts w:cs="Arial"/>
                <w:szCs w:val="24"/>
              </w:rPr>
              <w:t xml:space="preserve"> </w:t>
            </w:r>
          </w:p>
        </w:tc>
      </w:tr>
      <w:tr w:rsidR="0073604D" w:rsidRPr="00567588" w14:paraId="0D931280" w14:textId="77777777" w:rsidTr="003178CD">
        <w:trPr>
          <w:trHeight w:hRule="exact" w:val="680"/>
        </w:trPr>
        <w:tc>
          <w:tcPr>
            <w:tcW w:w="8212" w:type="dxa"/>
            <w:tcBorders>
              <w:top w:val="nil"/>
              <w:left w:val="nil"/>
              <w:bottom w:val="single" w:sz="8" w:space="0" w:color="FFFFFF"/>
              <w:right w:val="single" w:sz="8" w:space="0" w:color="FFFFFF"/>
            </w:tcBorders>
            <w:shd w:val="clear" w:color="000000" w:fill="D6DCE4"/>
            <w:hideMark/>
          </w:tcPr>
          <w:p w14:paraId="1EEE8E27" w14:textId="4E51F36F" w:rsidR="00441D75" w:rsidRPr="00567588" w:rsidRDefault="00441D75" w:rsidP="00874A98">
            <w:pPr>
              <w:pStyle w:val="ListParagraph"/>
              <w:numPr>
                <w:ilvl w:val="0"/>
                <w:numId w:val="336"/>
              </w:numPr>
              <w:rPr>
                <w:rFonts w:cs="Arial"/>
                <w:szCs w:val="24"/>
              </w:rPr>
            </w:pPr>
            <w:r w:rsidRPr="00567588">
              <w:rPr>
                <w:rFonts w:cs="Arial"/>
                <w:szCs w:val="24"/>
              </w:rPr>
              <w:t xml:space="preserve">With planning permission (including new build, net conversions and change of use) </w:t>
            </w:r>
            <w:proofErr w:type="gramStart"/>
            <w:r w:rsidRPr="00567588">
              <w:rPr>
                <w:rFonts w:cs="Arial"/>
                <w:szCs w:val="24"/>
              </w:rPr>
              <w:t>at</w:t>
            </w:r>
            <w:proofErr w:type="gramEnd"/>
            <w:r w:rsidRPr="00567588">
              <w:rPr>
                <w:rFonts w:cs="Arial"/>
                <w:szCs w:val="24"/>
              </w:rPr>
              <w:t xml:space="preserve"> 1st April 202</w:t>
            </w:r>
            <w:r w:rsidRPr="00567588">
              <w:rPr>
                <w:rFonts w:cs="Arial"/>
                <w:strike/>
                <w:szCs w:val="24"/>
              </w:rPr>
              <w:t>3</w:t>
            </w:r>
            <w:r w:rsidR="00762FCE" w:rsidRPr="00567588">
              <w:rPr>
                <w:rFonts w:cs="Arial"/>
                <w:szCs w:val="24"/>
              </w:rPr>
              <w:t xml:space="preserve"> </w:t>
            </w:r>
            <w:r w:rsidR="00762FCE" w:rsidRPr="00E56F9C">
              <w:rPr>
                <w:rFonts w:cs="Arial"/>
                <w:color w:val="0060AE"/>
                <w:szCs w:val="24"/>
              </w:rPr>
              <w:t>5</w:t>
            </w:r>
          </w:p>
        </w:tc>
        <w:tc>
          <w:tcPr>
            <w:tcW w:w="1335" w:type="dxa"/>
            <w:tcBorders>
              <w:top w:val="nil"/>
              <w:left w:val="nil"/>
              <w:bottom w:val="single" w:sz="8" w:space="0" w:color="FFFFFF"/>
              <w:right w:val="single" w:sz="8" w:space="0" w:color="FFFFFF"/>
            </w:tcBorders>
            <w:shd w:val="clear" w:color="000000" w:fill="D6DCE4"/>
            <w:hideMark/>
          </w:tcPr>
          <w:p w14:paraId="40D02E75" w14:textId="42DE8BE7" w:rsidR="00441D75" w:rsidRPr="00567588" w:rsidRDefault="00441D75" w:rsidP="00441D75">
            <w:pPr>
              <w:keepNext w:val="0"/>
              <w:spacing w:before="0"/>
              <w:jc w:val="right"/>
              <w:rPr>
                <w:rFonts w:cs="Arial"/>
                <w:strike/>
                <w:szCs w:val="24"/>
              </w:rPr>
            </w:pPr>
            <w:proofErr w:type="gramStart"/>
            <w:r w:rsidRPr="00567588">
              <w:rPr>
                <w:rFonts w:cs="Arial"/>
                <w:strike/>
                <w:szCs w:val="24"/>
              </w:rPr>
              <w:t>338</w:t>
            </w:r>
            <w:r w:rsidR="00762FCE" w:rsidRPr="00567588">
              <w:rPr>
                <w:rFonts w:cs="Arial"/>
                <w:strike/>
                <w:szCs w:val="24"/>
              </w:rPr>
              <w:t xml:space="preserve"> </w:t>
            </w:r>
            <w:r w:rsidR="00762FCE" w:rsidRPr="00E56F9C">
              <w:rPr>
                <w:rFonts w:cs="Arial"/>
                <w:color w:val="0060AE"/>
                <w:szCs w:val="24"/>
              </w:rPr>
              <w:t xml:space="preserve"> 342</w:t>
            </w:r>
            <w:proofErr w:type="gramEnd"/>
          </w:p>
        </w:tc>
      </w:tr>
      <w:tr w:rsidR="0073604D" w:rsidRPr="00567588" w14:paraId="5634F7C2" w14:textId="77777777" w:rsidTr="003178CD">
        <w:trPr>
          <w:trHeight w:hRule="exact" w:val="680"/>
        </w:trPr>
        <w:tc>
          <w:tcPr>
            <w:tcW w:w="8212" w:type="dxa"/>
            <w:tcBorders>
              <w:top w:val="nil"/>
              <w:left w:val="nil"/>
              <w:bottom w:val="single" w:sz="8" w:space="0" w:color="FFFFFF"/>
              <w:right w:val="single" w:sz="8" w:space="0" w:color="FFFFFF"/>
            </w:tcBorders>
            <w:shd w:val="clear" w:color="000000" w:fill="D6DCE4"/>
            <w:hideMark/>
          </w:tcPr>
          <w:p w14:paraId="5F7F5E7F" w14:textId="683E252E" w:rsidR="00441D75" w:rsidRPr="00567588" w:rsidRDefault="00441D75" w:rsidP="00874A98">
            <w:pPr>
              <w:pStyle w:val="ListParagraph"/>
              <w:numPr>
                <w:ilvl w:val="0"/>
                <w:numId w:val="336"/>
              </w:numPr>
              <w:rPr>
                <w:rFonts w:cs="Arial"/>
                <w:szCs w:val="24"/>
              </w:rPr>
            </w:pPr>
            <w:r w:rsidRPr="00567588">
              <w:rPr>
                <w:rFonts w:cs="Arial"/>
                <w:szCs w:val="24"/>
              </w:rPr>
              <w:t xml:space="preserve">Known permitted development/prior notification schemes not yet implemented </w:t>
            </w:r>
            <w:proofErr w:type="gramStart"/>
            <w:r w:rsidRPr="00567588">
              <w:rPr>
                <w:rFonts w:cs="Arial"/>
                <w:szCs w:val="24"/>
              </w:rPr>
              <w:t>at</w:t>
            </w:r>
            <w:proofErr w:type="gramEnd"/>
            <w:r w:rsidRPr="00567588">
              <w:rPr>
                <w:rFonts w:cs="Arial"/>
                <w:szCs w:val="24"/>
              </w:rPr>
              <w:t xml:space="preserve"> 1st April 202</w:t>
            </w:r>
            <w:r w:rsidRPr="00567588">
              <w:rPr>
                <w:rFonts w:cs="Arial"/>
                <w:strike/>
                <w:szCs w:val="24"/>
              </w:rPr>
              <w:t>3</w:t>
            </w:r>
            <w:r w:rsidR="007C1865" w:rsidRPr="00567588">
              <w:rPr>
                <w:rFonts w:cs="Arial"/>
                <w:strike/>
                <w:szCs w:val="24"/>
              </w:rPr>
              <w:t xml:space="preserve"> </w:t>
            </w:r>
            <w:r w:rsidR="007C1865" w:rsidRPr="00E56F9C">
              <w:rPr>
                <w:rFonts w:cs="Arial"/>
                <w:color w:val="0060AE"/>
                <w:szCs w:val="24"/>
              </w:rPr>
              <w:t>5</w:t>
            </w:r>
          </w:p>
        </w:tc>
        <w:tc>
          <w:tcPr>
            <w:tcW w:w="1335" w:type="dxa"/>
            <w:tcBorders>
              <w:top w:val="nil"/>
              <w:left w:val="nil"/>
              <w:bottom w:val="single" w:sz="8" w:space="0" w:color="FFFFFF"/>
              <w:right w:val="single" w:sz="8" w:space="0" w:color="FFFFFF"/>
            </w:tcBorders>
            <w:shd w:val="clear" w:color="000000" w:fill="D6DCE4"/>
            <w:hideMark/>
          </w:tcPr>
          <w:p w14:paraId="34590581" w14:textId="40F7315E" w:rsidR="00441D75" w:rsidRPr="00E56F9C" w:rsidRDefault="00441D75" w:rsidP="00441D75">
            <w:pPr>
              <w:keepNext w:val="0"/>
              <w:spacing w:before="0"/>
              <w:jc w:val="right"/>
              <w:rPr>
                <w:rFonts w:cs="Arial"/>
                <w:color w:val="0060AE"/>
                <w:szCs w:val="24"/>
              </w:rPr>
            </w:pPr>
            <w:proofErr w:type="gramStart"/>
            <w:r w:rsidRPr="00E56F9C">
              <w:rPr>
                <w:rFonts w:cs="Arial"/>
                <w:strike/>
                <w:color w:val="0060AE"/>
                <w:szCs w:val="24"/>
              </w:rPr>
              <w:t>14</w:t>
            </w:r>
            <w:r w:rsidR="00762FCE" w:rsidRPr="00E56F9C">
              <w:rPr>
                <w:rFonts w:cs="Arial"/>
                <w:color w:val="0060AE"/>
                <w:szCs w:val="24"/>
              </w:rPr>
              <w:t xml:space="preserve">  1</w:t>
            </w:r>
            <w:proofErr w:type="gramEnd"/>
          </w:p>
        </w:tc>
      </w:tr>
      <w:tr w:rsidR="0073604D" w:rsidRPr="00567588" w14:paraId="46614F8A" w14:textId="77777777" w:rsidTr="003178CD">
        <w:trPr>
          <w:trHeight w:hRule="exact" w:val="454"/>
        </w:trPr>
        <w:tc>
          <w:tcPr>
            <w:tcW w:w="8212" w:type="dxa"/>
            <w:tcBorders>
              <w:top w:val="nil"/>
              <w:left w:val="nil"/>
              <w:bottom w:val="single" w:sz="8" w:space="0" w:color="FFFFFF"/>
              <w:right w:val="single" w:sz="8" w:space="0" w:color="FFFFFF"/>
            </w:tcBorders>
            <w:shd w:val="clear" w:color="000000" w:fill="D6DCE4"/>
            <w:hideMark/>
          </w:tcPr>
          <w:p w14:paraId="485D5CCB" w14:textId="5A4C3FA4" w:rsidR="00441D75" w:rsidRPr="00567588" w:rsidRDefault="00441D75" w:rsidP="00874A98">
            <w:pPr>
              <w:pStyle w:val="ListParagraph"/>
              <w:numPr>
                <w:ilvl w:val="0"/>
                <w:numId w:val="336"/>
              </w:numPr>
              <w:rPr>
                <w:rFonts w:cs="Arial"/>
                <w:szCs w:val="24"/>
              </w:rPr>
            </w:pPr>
            <w:r w:rsidRPr="00567588">
              <w:rPr>
                <w:rFonts w:cs="Arial"/>
                <w:szCs w:val="24"/>
              </w:rPr>
              <w:t xml:space="preserve">Demolitions and other losses with planning permission at </w:t>
            </w:r>
            <w:r w:rsidR="00762FCE" w:rsidRPr="00567588">
              <w:rPr>
                <w:rFonts w:cs="Arial"/>
                <w:strike/>
                <w:szCs w:val="24"/>
              </w:rPr>
              <w:t>¼</w:t>
            </w:r>
            <w:r w:rsidRPr="00567588">
              <w:rPr>
                <w:rFonts w:cs="Arial"/>
                <w:strike/>
                <w:szCs w:val="24"/>
              </w:rPr>
              <w:t>/</w:t>
            </w:r>
            <w:proofErr w:type="gramStart"/>
            <w:r w:rsidRPr="00567588">
              <w:rPr>
                <w:rFonts w:cs="Arial"/>
                <w:strike/>
                <w:szCs w:val="24"/>
              </w:rPr>
              <w:t>23</w:t>
            </w:r>
            <w:r w:rsidR="007C1865" w:rsidRPr="00567588">
              <w:rPr>
                <w:rFonts w:cs="Arial"/>
                <w:strike/>
                <w:szCs w:val="24"/>
              </w:rPr>
              <w:t xml:space="preserve"> </w:t>
            </w:r>
            <w:r w:rsidR="007C1865" w:rsidRPr="00E56F9C">
              <w:rPr>
                <w:rFonts w:cs="Arial"/>
                <w:color w:val="0060AE"/>
                <w:szCs w:val="24"/>
              </w:rPr>
              <w:t xml:space="preserve"> 1</w:t>
            </w:r>
            <w:proofErr w:type="gramEnd"/>
            <w:r w:rsidR="007C1865" w:rsidRPr="00E56F9C">
              <w:rPr>
                <w:rFonts w:cs="Arial"/>
                <w:color w:val="0060AE"/>
                <w:szCs w:val="24"/>
              </w:rPr>
              <w:t>/4/25</w:t>
            </w:r>
          </w:p>
        </w:tc>
        <w:tc>
          <w:tcPr>
            <w:tcW w:w="1335" w:type="dxa"/>
            <w:tcBorders>
              <w:top w:val="nil"/>
              <w:left w:val="nil"/>
              <w:bottom w:val="single" w:sz="8" w:space="0" w:color="FFFFFF"/>
              <w:right w:val="single" w:sz="8" w:space="0" w:color="FFFFFF"/>
            </w:tcBorders>
            <w:shd w:val="clear" w:color="000000" w:fill="D6DCE4"/>
            <w:hideMark/>
          </w:tcPr>
          <w:p w14:paraId="40BDA49F" w14:textId="7F965D2A" w:rsidR="00441D75" w:rsidRPr="00E56F9C" w:rsidRDefault="00441D75" w:rsidP="00441D75">
            <w:pPr>
              <w:keepNext w:val="0"/>
              <w:spacing w:before="0"/>
              <w:jc w:val="right"/>
              <w:rPr>
                <w:rFonts w:cs="Arial"/>
                <w:color w:val="0060AE"/>
                <w:szCs w:val="24"/>
              </w:rPr>
            </w:pPr>
            <w:r w:rsidRPr="00E56F9C">
              <w:rPr>
                <w:rFonts w:cs="Arial"/>
                <w:strike/>
                <w:color w:val="0060AE"/>
                <w:szCs w:val="24"/>
              </w:rPr>
              <w:t>-</w:t>
            </w:r>
            <w:proofErr w:type="gramStart"/>
            <w:r w:rsidRPr="00E56F9C">
              <w:rPr>
                <w:rFonts w:cs="Arial"/>
                <w:strike/>
                <w:color w:val="0060AE"/>
                <w:szCs w:val="24"/>
              </w:rPr>
              <w:t>1</w:t>
            </w:r>
            <w:r w:rsidR="00762FCE" w:rsidRPr="00E56F9C">
              <w:rPr>
                <w:rFonts w:cs="Arial"/>
                <w:color w:val="0060AE"/>
                <w:szCs w:val="24"/>
              </w:rPr>
              <w:t xml:space="preserve">  -</w:t>
            </w:r>
            <w:proofErr w:type="gramEnd"/>
            <w:r w:rsidR="00762FCE" w:rsidRPr="00E56F9C">
              <w:rPr>
                <w:rFonts w:cs="Arial"/>
                <w:color w:val="0060AE"/>
                <w:szCs w:val="24"/>
              </w:rPr>
              <w:t>3</w:t>
            </w:r>
          </w:p>
        </w:tc>
      </w:tr>
      <w:tr w:rsidR="0073604D" w:rsidRPr="00567588" w14:paraId="783C4E34" w14:textId="77777777" w:rsidTr="003178CD">
        <w:trPr>
          <w:trHeight w:hRule="exact" w:val="454"/>
        </w:trPr>
        <w:tc>
          <w:tcPr>
            <w:tcW w:w="8212" w:type="dxa"/>
            <w:tcBorders>
              <w:top w:val="nil"/>
              <w:left w:val="nil"/>
              <w:bottom w:val="single" w:sz="8" w:space="0" w:color="FFFFFF"/>
              <w:right w:val="single" w:sz="8" w:space="0" w:color="FFFFFF"/>
            </w:tcBorders>
            <w:shd w:val="clear" w:color="000000" w:fill="D6DCE4"/>
            <w:hideMark/>
          </w:tcPr>
          <w:p w14:paraId="78AEB073" w14:textId="77777777" w:rsidR="00441D75" w:rsidRPr="00567588" w:rsidRDefault="00441D75" w:rsidP="00874A98">
            <w:pPr>
              <w:pStyle w:val="ListParagraph"/>
              <w:numPr>
                <w:ilvl w:val="0"/>
                <w:numId w:val="336"/>
              </w:numPr>
              <w:rPr>
                <w:rFonts w:cs="Arial"/>
                <w:szCs w:val="24"/>
              </w:rPr>
            </w:pPr>
            <w:r w:rsidRPr="00567588">
              <w:rPr>
                <w:rFonts w:cs="Arial"/>
                <w:szCs w:val="24"/>
              </w:rPr>
              <w:t>Deduction to account for potential lapsed permissions</w:t>
            </w:r>
          </w:p>
        </w:tc>
        <w:tc>
          <w:tcPr>
            <w:tcW w:w="1335" w:type="dxa"/>
            <w:tcBorders>
              <w:top w:val="nil"/>
              <w:left w:val="nil"/>
              <w:bottom w:val="single" w:sz="8" w:space="0" w:color="FFFFFF"/>
              <w:right w:val="single" w:sz="8" w:space="0" w:color="FFFFFF"/>
            </w:tcBorders>
            <w:shd w:val="clear" w:color="000000" w:fill="D6DCE4"/>
            <w:hideMark/>
          </w:tcPr>
          <w:p w14:paraId="60B41952" w14:textId="278DDA02" w:rsidR="00441D75" w:rsidRPr="00567588" w:rsidRDefault="00441D75" w:rsidP="00441D75">
            <w:pPr>
              <w:keepNext w:val="0"/>
              <w:spacing w:before="0"/>
              <w:jc w:val="right"/>
              <w:rPr>
                <w:rFonts w:cs="Arial"/>
                <w:strike/>
                <w:szCs w:val="24"/>
              </w:rPr>
            </w:pPr>
            <w:r w:rsidRPr="00567588">
              <w:rPr>
                <w:rFonts w:cs="Arial"/>
                <w:strike/>
                <w:szCs w:val="24"/>
              </w:rPr>
              <w:t>-</w:t>
            </w:r>
            <w:proofErr w:type="gramStart"/>
            <w:r w:rsidRPr="00567588">
              <w:rPr>
                <w:rFonts w:cs="Arial"/>
                <w:strike/>
                <w:szCs w:val="24"/>
              </w:rPr>
              <w:t>89</w:t>
            </w:r>
            <w:r w:rsidR="00762FCE" w:rsidRPr="00E56F9C">
              <w:rPr>
                <w:rFonts w:cs="Arial"/>
                <w:color w:val="0060AE"/>
                <w:szCs w:val="24"/>
              </w:rPr>
              <w:t xml:space="preserve">  -</w:t>
            </w:r>
            <w:proofErr w:type="gramEnd"/>
            <w:r w:rsidR="00762FCE" w:rsidRPr="00E56F9C">
              <w:rPr>
                <w:rFonts w:cs="Arial"/>
                <w:color w:val="0060AE"/>
                <w:szCs w:val="24"/>
              </w:rPr>
              <w:t>92</w:t>
            </w:r>
          </w:p>
        </w:tc>
      </w:tr>
      <w:tr w:rsidR="0073604D" w:rsidRPr="00567588" w14:paraId="52666F31" w14:textId="77777777" w:rsidTr="003178CD">
        <w:trPr>
          <w:trHeight w:hRule="exact" w:val="454"/>
        </w:trPr>
        <w:tc>
          <w:tcPr>
            <w:tcW w:w="8212" w:type="dxa"/>
            <w:tcBorders>
              <w:top w:val="nil"/>
              <w:left w:val="nil"/>
              <w:bottom w:val="single" w:sz="8" w:space="0" w:color="FFFFFF"/>
              <w:right w:val="single" w:sz="8" w:space="0" w:color="FFFFFF"/>
            </w:tcBorders>
            <w:shd w:val="clear" w:color="000000" w:fill="D6DCE4"/>
            <w:hideMark/>
          </w:tcPr>
          <w:p w14:paraId="274200F2" w14:textId="3577D36F" w:rsidR="00441D75" w:rsidRPr="00567588" w:rsidRDefault="00441D75" w:rsidP="00874A98">
            <w:pPr>
              <w:pStyle w:val="ListParagraph"/>
              <w:numPr>
                <w:ilvl w:val="0"/>
                <w:numId w:val="336"/>
              </w:numPr>
              <w:rPr>
                <w:rFonts w:cs="Arial"/>
                <w:szCs w:val="24"/>
              </w:rPr>
            </w:pPr>
            <w:r w:rsidRPr="00567588">
              <w:rPr>
                <w:rFonts w:cs="Arial"/>
                <w:szCs w:val="24"/>
              </w:rPr>
              <w:t xml:space="preserve">Windfall allowance beyond </w:t>
            </w:r>
            <w:r w:rsidRPr="00567588">
              <w:rPr>
                <w:rFonts w:cs="Arial"/>
                <w:strike/>
                <w:szCs w:val="24"/>
              </w:rPr>
              <w:t>5</w:t>
            </w:r>
            <w:r w:rsidR="007C1865" w:rsidRPr="00567588">
              <w:rPr>
                <w:rFonts w:cs="Arial"/>
                <w:szCs w:val="24"/>
              </w:rPr>
              <w:t xml:space="preserve"> </w:t>
            </w:r>
            <w:r w:rsidR="007C1865" w:rsidRPr="00E56F9C">
              <w:rPr>
                <w:rFonts w:cs="Arial"/>
                <w:color w:val="0060AE"/>
                <w:szCs w:val="24"/>
              </w:rPr>
              <w:t>3</w:t>
            </w:r>
            <w:r w:rsidRPr="00E56F9C">
              <w:rPr>
                <w:rFonts w:cs="Arial"/>
                <w:color w:val="0060AE"/>
                <w:szCs w:val="24"/>
              </w:rPr>
              <w:t xml:space="preserve"> </w:t>
            </w:r>
            <w:r w:rsidRPr="00567588">
              <w:rPr>
                <w:rFonts w:cs="Arial"/>
                <w:szCs w:val="24"/>
              </w:rPr>
              <w:t>years (</w:t>
            </w:r>
            <w:r w:rsidRPr="00567588">
              <w:rPr>
                <w:rFonts w:cs="Arial"/>
                <w:strike/>
                <w:szCs w:val="24"/>
              </w:rPr>
              <w:t>60</w:t>
            </w:r>
            <w:r w:rsidR="007C1865" w:rsidRPr="00567588">
              <w:rPr>
                <w:rFonts w:cs="Arial"/>
                <w:szCs w:val="24"/>
              </w:rPr>
              <w:t xml:space="preserve"> </w:t>
            </w:r>
            <w:r w:rsidR="007C1865" w:rsidRPr="00E56F9C">
              <w:rPr>
                <w:rFonts w:cs="Arial"/>
                <w:color w:val="0060AE"/>
                <w:szCs w:val="24"/>
              </w:rPr>
              <w:t>91</w:t>
            </w:r>
            <w:r w:rsidRPr="00567588">
              <w:rPr>
                <w:rFonts w:cs="Arial"/>
                <w:szCs w:val="24"/>
              </w:rPr>
              <w:t xml:space="preserve"> dpa) - 1/4/2028 to 1/4/20</w:t>
            </w:r>
            <w:r w:rsidR="0084256E" w:rsidRPr="00567588">
              <w:rPr>
                <w:rFonts w:cs="Arial"/>
                <w:szCs w:val="24"/>
              </w:rPr>
              <w:t>40</w:t>
            </w:r>
          </w:p>
        </w:tc>
        <w:tc>
          <w:tcPr>
            <w:tcW w:w="1335" w:type="dxa"/>
            <w:tcBorders>
              <w:top w:val="nil"/>
              <w:left w:val="nil"/>
              <w:bottom w:val="single" w:sz="8" w:space="0" w:color="FFFFFF"/>
              <w:right w:val="single" w:sz="8" w:space="0" w:color="FFFFFF"/>
            </w:tcBorders>
            <w:shd w:val="clear" w:color="000000" w:fill="D6DCE4"/>
            <w:hideMark/>
          </w:tcPr>
          <w:p w14:paraId="2A2B18E2" w14:textId="00F85E5B" w:rsidR="00441D75" w:rsidRPr="00E56F9C" w:rsidRDefault="00441D75" w:rsidP="00441D75">
            <w:pPr>
              <w:keepNext w:val="0"/>
              <w:spacing w:before="0"/>
              <w:jc w:val="right"/>
              <w:rPr>
                <w:rFonts w:cs="Arial"/>
                <w:color w:val="0060AE"/>
                <w:szCs w:val="24"/>
              </w:rPr>
            </w:pPr>
            <w:proofErr w:type="gramStart"/>
            <w:r w:rsidRPr="00E56F9C">
              <w:rPr>
                <w:rFonts w:cs="Arial"/>
                <w:strike/>
                <w:color w:val="0060AE"/>
                <w:szCs w:val="24"/>
              </w:rPr>
              <w:t>720</w:t>
            </w:r>
            <w:r w:rsidR="00762FCE" w:rsidRPr="00E56F9C">
              <w:rPr>
                <w:rFonts w:cs="Arial"/>
                <w:strike/>
                <w:color w:val="0060AE"/>
                <w:szCs w:val="24"/>
              </w:rPr>
              <w:t xml:space="preserve">  </w:t>
            </w:r>
            <w:r w:rsidR="00762FCE" w:rsidRPr="00E56F9C">
              <w:rPr>
                <w:rFonts w:cs="Arial"/>
                <w:color w:val="0060AE"/>
                <w:szCs w:val="24"/>
              </w:rPr>
              <w:t>1092</w:t>
            </w:r>
            <w:proofErr w:type="gramEnd"/>
          </w:p>
        </w:tc>
      </w:tr>
      <w:tr w:rsidR="0073604D" w:rsidRPr="00567588" w14:paraId="69573FC2" w14:textId="77777777" w:rsidTr="00CB0557">
        <w:trPr>
          <w:trHeight w:val="330"/>
        </w:trPr>
        <w:tc>
          <w:tcPr>
            <w:tcW w:w="8212" w:type="dxa"/>
            <w:tcBorders>
              <w:top w:val="nil"/>
              <w:left w:val="nil"/>
              <w:bottom w:val="single" w:sz="8" w:space="0" w:color="FFFFFF"/>
              <w:right w:val="single" w:sz="8" w:space="0" w:color="FFFFFF"/>
            </w:tcBorders>
            <w:shd w:val="clear" w:color="000000" w:fill="D6DCE4"/>
            <w:hideMark/>
          </w:tcPr>
          <w:p w14:paraId="13F63B31" w14:textId="4E728604" w:rsidR="00441D75" w:rsidRPr="00567588" w:rsidRDefault="00441D75" w:rsidP="00441D75">
            <w:pPr>
              <w:keepNext w:val="0"/>
              <w:spacing w:before="0"/>
              <w:rPr>
                <w:rFonts w:cs="Arial"/>
                <w:szCs w:val="24"/>
              </w:rPr>
            </w:pPr>
            <w:r w:rsidRPr="00567588">
              <w:rPr>
                <w:rFonts w:cs="Arial"/>
                <w:szCs w:val="24"/>
              </w:rPr>
              <w:t xml:space="preserve">Houses deliverable on </w:t>
            </w:r>
            <w:r w:rsidRPr="00567588">
              <w:rPr>
                <w:rFonts w:cs="Arial"/>
                <w:b/>
                <w:bCs/>
                <w:szCs w:val="24"/>
              </w:rPr>
              <w:t>large sites</w:t>
            </w:r>
            <w:r w:rsidRPr="00567588">
              <w:rPr>
                <w:rFonts w:cs="Arial"/>
                <w:szCs w:val="24"/>
              </w:rPr>
              <w:t xml:space="preserve"> </w:t>
            </w:r>
            <w:r w:rsidR="008979C3" w:rsidRPr="00E56F9C">
              <w:rPr>
                <w:rFonts w:cs="Arial"/>
                <w:b/>
                <w:bCs/>
                <w:color w:val="0060AE"/>
                <w:szCs w:val="24"/>
              </w:rPr>
              <w:t>(Policy H1)</w:t>
            </w:r>
            <w:r w:rsidR="008979C3" w:rsidRPr="00E56F9C">
              <w:rPr>
                <w:rFonts w:cs="Arial"/>
                <w:color w:val="0060AE"/>
                <w:szCs w:val="24"/>
              </w:rPr>
              <w:t xml:space="preserve"> </w:t>
            </w:r>
            <w:r w:rsidRPr="00567588">
              <w:rPr>
                <w:rFonts w:cs="Arial"/>
                <w:szCs w:val="24"/>
              </w:rPr>
              <w:t>1/4/202</w:t>
            </w:r>
            <w:r w:rsidRPr="00567588">
              <w:rPr>
                <w:rFonts w:cs="Arial"/>
                <w:strike/>
                <w:szCs w:val="24"/>
              </w:rPr>
              <w:t>3</w:t>
            </w:r>
            <w:r w:rsidRPr="00567588">
              <w:rPr>
                <w:rFonts w:cs="Arial"/>
                <w:szCs w:val="24"/>
              </w:rPr>
              <w:t xml:space="preserve"> </w:t>
            </w:r>
            <w:r w:rsidR="007C1865" w:rsidRPr="00E56F9C">
              <w:rPr>
                <w:rFonts w:cs="Arial"/>
                <w:color w:val="0060AE"/>
                <w:szCs w:val="24"/>
              </w:rPr>
              <w:t xml:space="preserve">5 </w:t>
            </w:r>
            <w:r w:rsidRPr="00567588">
              <w:rPr>
                <w:rFonts w:cs="Arial"/>
                <w:szCs w:val="24"/>
              </w:rPr>
              <w:t>to 31/3/20</w:t>
            </w:r>
            <w:r w:rsidR="0084256E" w:rsidRPr="00567588">
              <w:rPr>
                <w:rFonts w:cs="Arial"/>
                <w:szCs w:val="24"/>
              </w:rPr>
              <w:t>40</w:t>
            </w:r>
          </w:p>
        </w:tc>
        <w:tc>
          <w:tcPr>
            <w:tcW w:w="1335" w:type="dxa"/>
            <w:tcBorders>
              <w:top w:val="nil"/>
              <w:left w:val="nil"/>
              <w:bottom w:val="single" w:sz="8" w:space="0" w:color="FFFFFF"/>
              <w:right w:val="single" w:sz="8" w:space="0" w:color="FFFFFF"/>
            </w:tcBorders>
            <w:shd w:val="clear" w:color="000000" w:fill="D6DCE4"/>
            <w:hideMark/>
          </w:tcPr>
          <w:p w14:paraId="68499147" w14:textId="77777777" w:rsidR="00441D75" w:rsidRPr="00567588" w:rsidRDefault="00441D75" w:rsidP="00441D75">
            <w:pPr>
              <w:keepNext w:val="0"/>
              <w:spacing w:before="0"/>
              <w:jc w:val="right"/>
              <w:rPr>
                <w:rFonts w:cs="Arial"/>
                <w:szCs w:val="24"/>
              </w:rPr>
            </w:pPr>
            <w:r w:rsidRPr="00567588">
              <w:rPr>
                <w:rFonts w:cs="Arial"/>
                <w:szCs w:val="24"/>
              </w:rPr>
              <w:t> </w:t>
            </w:r>
          </w:p>
        </w:tc>
      </w:tr>
      <w:tr w:rsidR="0073604D" w:rsidRPr="00567588" w14:paraId="55128903" w14:textId="77777777" w:rsidTr="007C1865">
        <w:trPr>
          <w:trHeight w:hRule="exact" w:val="567"/>
        </w:trPr>
        <w:tc>
          <w:tcPr>
            <w:tcW w:w="8212" w:type="dxa"/>
            <w:tcBorders>
              <w:top w:val="nil"/>
              <w:left w:val="nil"/>
              <w:bottom w:val="single" w:sz="8" w:space="0" w:color="FFFFFF"/>
              <w:right w:val="single" w:sz="8" w:space="0" w:color="FFFFFF"/>
            </w:tcBorders>
            <w:shd w:val="clear" w:color="000000" w:fill="D6DCE4"/>
            <w:hideMark/>
          </w:tcPr>
          <w:p w14:paraId="582D453C" w14:textId="60EBDB15" w:rsidR="00441D75" w:rsidRPr="00567588" w:rsidRDefault="00441D75" w:rsidP="00874A98">
            <w:pPr>
              <w:pStyle w:val="ListParagraph"/>
              <w:numPr>
                <w:ilvl w:val="0"/>
                <w:numId w:val="336"/>
              </w:numPr>
              <w:rPr>
                <w:rFonts w:cs="Arial"/>
                <w:szCs w:val="24"/>
              </w:rPr>
            </w:pPr>
            <w:r w:rsidRPr="00567588">
              <w:rPr>
                <w:rFonts w:cs="Arial"/>
                <w:szCs w:val="24"/>
              </w:rPr>
              <w:t xml:space="preserve">With planning permission </w:t>
            </w:r>
            <w:proofErr w:type="gramStart"/>
            <w:r w:rsidRPr="00567588">
              <w:rPr>
                <w:rFonts w:cs="Arial"/>
                <w:szCs w:val="24"/>
              </w:rPr>
              <w:t>at</w:t>
            </w:r>
            <w:proofErr w:type="gramEnd"/>
            <w:r w:rsidRPr="00567588">
              <w:rPr>
                <w:rFonts w:cs="Arial"/>
                <w:szCs w:val="24"/>
              </w:rPr>
              <w:t xml:space="preserve"> 1st </w:t>
            </w:r>
            <w:r w:rsidRPr="00567588">
              <w:rPr>
                <w:rFonts w:cs="Arial"/>
                <w:strike/>
                <w:szCs w:val="24"/>
              </w:rPr>
              <w:t>April 2023</w:t>
            </w:r>
            <w:r w:rsidR="007C1865" w:rsidRPr="00567588">
              <w:rPr>
                <w:rFonts w:cs="Arial"/>
                <w:strike/>
                <w:szCs w:val="24"/>
              </w:rPr>
              <w:t xml:space="preserve"> </w:t>
            </w:r>
            <w:r w:rsidR="007C1865" w:rsidRPr="00E56F9C">
              <w:rPr>
                <w:rFonts w:cs="Arial"/>
                <w:color w:val="0060AE"/>
                <w:szCs w:val="24"/>
              </w:rPr>
              <w:t>October 2025</w:t>
            </w:r>
          </w:p>
        </w:tc>
        <w:tc>
          <w:tcPr>
            <w:tcW w:w="1335" w:type="dxa"/>
            <w:tcBorders>
              <w:top w:val="nil"/>
              <w:left w:val="nil"/>
              <w:bottom w:val="single" w:sz="8" w:space="0" w:color="FFFFFF"/>
              <w:right w:val="single" w:sz="8" w:space="0" w:color="FFFFFF"/>
            </w:tcBorders>
            <w:shd w:val="clear" w:color="000000" w:fill="D6DCE4"/>
            <w:hideMark/>
          </w:tcPr>
          <w:p w14:paraId="5BC5F9F1" w14:textId="5ABE9C86" w:rsidR="00441D75" w:rsidRPr="00E56F9C" w:rsidRDefault="00441D75" w:rsidP="00441D75">
            <w:pPr>
              <w:keepNext w:val="0"/>
              <w:spacing w:before="0"/>
              <w:jc w:val="right"/>
              <w:rPr>
                <w:rFonts w:cs="Arial"/>
                <w:color w:val="0060AE"/>
                <w:szCs w:val="24"/>
              </w:rPr>
            </w:pPr>
            <w:proofErr w:type="gramStart"/>
            <w:r w:rsidRPr="00E56F9C">
              <w:rPr>
                <w:rFonts w:cs="Arial"/>
                <w:strike/>
                <w:color w:val="0060AE"/>
                <w:szCs w:val="24"/>
              </w:rPr>
              <w:t>1</w:t>
            </w:r>
            <w:r w:rsidR="0093065B" w:rsidRPr="00E56F9C">
              <w:rPr>
                <w:rFonts w:cs="Arial"/>
                <w:strike/>
                <w:color w:val="0060AE"/>
                <w:szCs w:val="24"/>
              </w:rPr>
              <w:t>9</w:t>
            </w:r>
            <w:r w:rsidR="00E75EB6" w:rsidRPr="00E56F9C">
              <w:rPr>
                <w:rFonts w:cs="Arial"/>
                <w:strike/>
                <w:color w:val="0060AE"/>
                <w:szCs w:val="24"/>
              </w:rPr>
              <w:t>5</w:t>
            </w:r>
            <w:r w:rsidRPr="00E56F9C">
              <w:rPr>
                <w:rFonts w:cs="Arial"/>
                <w:strike/>
                <w:color w:val="0060AE"/>
                <w:szCs w:val="24"/>
              </w:rPr>
              <w:t>0</w:t>
            </w:r>
            <w:r w:rsidR="007C1865" w:rsidRPr="00E56F9C">
              <w:rPr>
                <w:rFonts w:cs="Arial"/>
                <w:color w:val="0060AE"/>
                <w:szCs w:val="24"/>
              </w:rPr>
              <w:t xml:space="preserve">  2638</w:t>
            </w:r>
            <w:proofErr w:type="gramEnd"/>
          </w:p>
        </w:tc>
      </w:tr>
      <w:tr w:rsidR="0073604D" w:rsidRPr="00567588" w14:paraId="007C674D" w14:textId="77777777" w:rsidTr="003178CD">
        <w:trPr>
          <w:trHeight w:hRule="exact" w:val="454"/>
        </w:trPr>
        <w:tc>
          <w:tcPr>
            <w:tcW w:w="8212" w:type="dxa"/>
            <w:tcBorders>
              <w:top w:val="nil"/>
              <w:left w:val="nil"/>
              <w:bottom w:val="single" w:sz="8" w:space="0" w:color="FFFFFF"/>
              <w:right w:val="single" w:sz="8" w:space="0" w:color="FFFFFF"/>
            </w:tcBorders>
            <w:shd w:val="clear" w:color="000000" w:fill="D6DCE4"/>
            <w:hideMark/>
          </w:tcPr>
          <w:p w14:paraId="1AFF7DA0" w14:textId="4644BA26" w:rsidR="00441D75" w:rsidRPr="00567588" w:rsidRDefault="00441D75" w:rsidP="00874A98">
            <w:pPr>
              <w:pStyle w:val="ListParagraph"/>
              <w:numPr>
                <w:ilvl w:val="0"/>
                <w:numId w:val="336"/>
              </w:numPr>
              <w:rPr>
                <w:rFonts w:cs="Arial"/>
                <w:szCs w:val="24"/>
              </w:rPr>
            </w:pPr>
            <w:r w:rsidRPr="00567588">
              <w:rPr>
                <w:rFonts w:cs="Arial"/>
                <w:szCs w:val="24"/>
              </w:rPr>
              <w:t>Demolitions and other losses with planning permission at 1/4/</w:t>
            </w:r>
            <w:proofErr w:type="gramStart"/>
            <w:r w:rsidRPr="00567588">
              <w:rPr>
                <w:rFonts w:cs="Arial"/>
                <w:szCs w:val="24"/>
              </w:rPr>
              <w:t>2</w:t>
            </w:r>
            <w:r w:rsidRPr="00567588">
              <w:rPr>
                <w:rFonts w:cs="Arial"/>
                <w:strike/>
                <w:szCs w:val="24"/>
              </w:rPr>
              <w:t>3</w:t>
            </w:r>
            <w:r w:rsidR="007C1865" w:rsidRPr="00E56F9C">
              <w:rPr>
                <w:rFonts w:cs="Arial"/>
                <w:color w:val="0060AE"/>
                <w:szCs w:val="24"/>
              </w:rPr>
              <w:t xml:space="preserve">  5</w:t>
            </w:r>
            <w:proofErr w:type="gramEnd"/>
          </w:p>
        </w:tc>
        <w:tc>
          <w:tcPr>
            <w:tcW w:w="1335" w:type="dxa"/>
            <w:tcBorders>
              <w:top w:val="nil"/>
              <w:left w:val="nil"/>
              <w:bottom w:val="single" w:sz="8" w:space="0" w:color="FFFFFF"/>
              <w:right w:val="single" w:sz="8" w:space="0" w:color="FFFFFF"/>
            </w:tcBorders>
            <w:shd w:val="clear" w:color="000000" w:fill="D6DCE4"/>
            <w:hideMark/>
          </w:tcPr>
          <w:p w14:paraId="56832702" w14:textId="77777777" w:rsidR="00441D75" w:rsidRPr="00567588" w:rsidRDefault="00441D75" w:rsidP="00441D75">
            <w:pPr>
              <w:keepNext w:val="0"/>
              <w:spacing w:before="0"/>
              <w:jc w:val="right"/>
              <w:rPr>
                <w:rFonts w:cs="Arial"/>
                <w:szCs w:val="24"/>
              </w:rPr>
            </w:pPr>
            <w:r w:rsidRPr="00567588">
              <w:rPr>
                <w:rFonts w:cs="Arial"/>
                <w:szCs w:val="24"/>
              </w:rPr>
              <w:t>0</w:t>
            </w:r>
          </w:p>
        </w:tc>
      </w:tr>
      <w:tr w:rsidR="0073604D" w:rsidRPr="00567588" w14:paraId="2130024D" w14:textId="77777777" w:rsidTr="003178CD">
        <w:trPr>
          <w:trHeight w:hRule="exact" w:val="454"/>
        </w:trPr>
        <w:tc>
          <w:tcPr>
            <w:tcW w:w="8212" w:type="dxa"/>
            <w:tcBorders>
              <w:top w:val="nil"/>
              <w:left w:val="nil"/>
              <w:bottom w:val="single" w:sz="8" w:space="0" w:color="FFFFFF"/>
              <w:right w:val="single" w:sz="8" w:space="0" w:color="FFFFFF"/>
            </w:tcBorders>
            <w:shd w:val="clear" w:color="000000" w:fill="D6DCE4"/>
            <w:hideMark/>
          </w:tcPr>
          <w:p w14:paraId="1B9B9904" w14:textId="55A629DB" w:rsidR="00441D75" w:rsidRPr="00567588" w:rsidRDefault="00441D75" w:rsidP="00874A98">
            <w:pPr>
              <w:pStyle w:val="ListParagraph"/>
              <w:numPr>
                <w:ilvl w:val="0"/>
                <w:numId w:val="336"/>
              </w:numPr>
              <w:rPr>
                <w:rFonts w:cs="Arial"/>
                <w:szCs w:val="24"/>
              </w:rPr>
            </w:pPr>
            <w:r w:rsidRPr="00567588">
              <w:rPr>
                <w:rFonts w:cs="Arial"/>
                <w:szCs w:val="24"/>
              </w:rPr>
              <w:t>Deduction to account for potential lapsed permissions</w:t>
            </w:r>
            <w:r w:rsidR="007C1865" w:rsidRPr="00567588">
              <w:rPr>
                <w:rFonts w:cs="Arial"/>
                <w:szCs w:val="24"/>
              </w:rPr>
              <w:t xml:space="preserve"> </w:t>
            </w:r>
          </w:p>
        </w:tc>
        <w:tc>
          <w:tcPr>
            <w:tcW w:w="1335" w:type="dxa"/>
            <w:tcBorders>
              <w:top w:val="nil"/>
              <w:left w:val="nil"/>
              <w:bottom w:val="single" w:sz="8" w:space="0" w:color="FFFFFF"/>
              <w:right w:val="single" w:sz="8" w:space="0" w:color="FFFFFF"/>
            </w:tcBorders>
            <w:shd w:val="clear" w:color="000000" w:fill="D6DCE4"/>
            <w:hideMark/>
          </w:tcPr>
          <w:p w14:paraId="3B4A01B3" w14:textId="7758A5AF" w:rsidR="00441D75" w:rsidRPr="00E56F9C" w:rsidRDefault="00441D75" w:rsidP="00441D75">
            <w:pPr>
              <w:keepNext w:val="0"/>
              <w:spacing w:before="0"/>
              <w:jc w:val="right"/>
              <w:rPr>
                <w:rFonts w:cs="Arial"/>
                <w:color w:val="0060AE"/>
                <w:szCs w:val="24"/>
              </w:rPr>
            </w:pPr>
            <w:r w:rsidRPr="00E56F9C">
              <w:rPr>
                <w:rFonts w:cs="Arial"/>
                <w:strike/>
                <w:color w:val="0060AE"/>
                <w:szCs w:val="24"/>
              </w:rPr>
              <w:t>-</w:t>
            </w:r>
            <w:proofErr w:type="gramStart"/>
            <w:r w:rsidRPr="00E56F9C">
              <w:rPr>
                <w:rFonts w:cs="Arial"/>
                <w:strike/>
                <w:color w:val="0060AE"/>
                <w:szCs w:val="24"/>
              </w:rPr>
              <w:t>35</w:t>
            </w:r>
            <w:r w:rsidR="007C1865" w:rsidRPr="00E56F9C">
              <w:rPr>
                <w:rFonts w:cs="Arial"/>
                <w:color w:val="0060AE"/>
                <w:szCs w:val="24"/>
              </w:rPr>
              <w:t xml:space="preserve">  -</w:t>
            </w:r>
            <w:proofErr w:type="gramEnd"/>
            <w:r w:rsidR="007C1865" w:rsidRPr="00E56F9C">
              <w:rPr>
                <w:rFonts w:cs="Arial"/>
                <w:color w:val="0060AE"/>
                <w:szCs w:val="24"/>
              </w:rPr>
              <w:t>47</w:t>
            </w:r>
          </w:p>
        </w:tc>
      </w:tr>
      <w:tr w:rsidR="0073604D" w:rsidRPr="00567588" w14:paraId="69CFB6AB" w14:textId="77777777" w:rsidTr="007C1865">
        <w:trPr>
          <w:trHeight w:hRule="exact" w:val="623"/>
        </w:trPr>
        <w:tc>
          <w:tcPr>
            <w:tcW w:w="8212" w:type="dxa"/>
            <w:tcBorders>
              <w:top w:val="nil"/>
              <w:left w:val="nil"/>
              <w:bottom w:val="single" w:sz="8" w:space="0" w:color="FFFFFF"/>
              <w:right w:val="single" w:sz="8" w:space="0" w:color="FFFFFF"/>
            </w:tcBorders>
            <w:shd w:val="clear" w:color="000000" w:fill="D6DCE4"/>
            <w:hideMark/>
          </w:tcPr>
          <w:p w14:paraId="0CAF6B3A" w14:textId="7C571447" w:rsidR="00441D75" w:rsidRPr="00567588" w:rsidRDefault="0084256E" w:rsidP="00874A98">
            <w:pPr>
              <w:pStyle w:val="ListParagraph"/>
              <w:numPr>
                <w:ilvl w:val="0"/>
                <w:numId w:val="336"/>
              </w:numPr>
              <w:rPr>
                <w:rFonts w:cs="Arial"/>
                <w:szCs w:val="24"/>
              </w:rPr>
            </w:pPr>
            <w:r w:rsidRPr="00567588">
              <w:rPr>
                <w:rFonts w:cs="Arial"/>
                <w:szCs w:val="24"/>
              </w:rPr>
              <w:t>D</w:t>
            </w:r>
            <w:r w:rsidR="00441D75" w:rsidRPr="00567588">
              <w:rPr>
                <w:rFonts w:cs="Arial"/>
                <w:szCs w:val="24"/>
              </w:rPr>
              <w:t xml:space="preserve">elivery from </w:t>
            </w:r>
            <w:r w:rsidRPr="00567588">
              <w:rPr>
                <w:rFonts w:cs="Arial"/>
                <w:szCs w:val="24"/>
              </w:rPr>
              <w:t xml:space="preserve">H1 </w:t>
            </w:r>
            <w:r w:rsidR="00441D75" w:rsidRPr="00567588">
              <w:rPr>
                <w:rFonts w:cs="Arial"/>
                <w:szCs w:val="24"/>
              </w:rPr>
              <w:t>allocated sites without planning permission</w:t>
            </w:r>
          </w:p>
        </w:tc>
        <w:tc>
          <w:tcPr>
            <w:tcW w:w="1335" w:type="dxa"/>
            <w:tcBorders>
              <w:top w:val="nil"/>
              <w:left w:val="nil"/>
              <w:bottom w:val="single" w:sz="8" w:space="0" w:color="FFFFFF"/>
              <w:right w:val="single" w:sz="8" w:space="0" w:color="FFFFFF"/>
            </w:tcBorders>
            <w:shd w:val="clear" w:color="000000" w:fill="D6DCE4"/>
            <w:hideMark/>
          </w:tcPr>
          <w:p w14:paraId="40B13875" w14:textId="1AD922BD" w:rsidR="00441D75" w:rsidRPr="00E56F9C" w:rsidRDefault="00441D75" w:rsidP="00441D75">
            <w:pPr>
              <w:keepNext w:val="0"/>
              <w:spacing w:before="0"/>
              <w:jc w:val="right"/>
              <w:rPr>
                <w:rFonts w:cs="Arial"/>
                <w:color w:val="0060AE"/>
                <w:szCs w:val="24"/>
              </w:rPr>
            </w:pPr>
            <w:proofErr w:type="gramStart"/>
            <w:r w:rsidRPr="00E56F9C">
              <w:rPr>
                <w:rFonts w:cs="Arial"/>
                <w:strike/>
                <w:color w:val="0060AE"/>
                <w:szCs w:val="24"/>
              </w:rPr>
              <w:t>3</w:t>
            </w:r>
            <w:r w:rsidR="00283434" w:rsidRPr="00E56F9C">
              <w:rPr>
                <w:rFonts w:cs="Arial"/>
                <w:strike/>
                <w:color w:val="0060AE"/>
                <w:szCs w:val="24"/>
              </w:rPr>
              <w:t>757</w:t>
            </w:r>
            <w:r w:rsidR="007C1865" w:rsidRPr="00E56F9C">
              <w:rPr>
                <w:rFonts w:cs="Arial"/>
                <w:strike/>
                <w:color w:val="0060AE"/>
                <w:szCs w:val="24"/>
              </w:rPr>
              <w:t xml:space="preserve"> </w:t>
            </w:r>
            <w:r w:rsidR="007C1865" w:rsidRPr="00E56F9C">
              <w:rPr>
                <w:rFonts w:cs="Arial"/>
                <w:color w:val="0060AE"/>
                <w:szCs w:val="24"/>
              </w:rPr>
              <w:t xml:space="preserve"> 3328</w:t>
            </w:r>
            <w:proofErr w:type="gramEnd"/>
          </w:p>
        </w:tc>
      </w:tr>
      <w:tr w:rsidR="0073604D" w:rsidRPr="00567588" w14:paraId="091B9F77" w14:textId="77777777" w:rsidTr="007C1865">
        <w:trPr>
          <w:trHeight w:val="454"/>
        </w:trPr>
        <w:tc>
          <w:tcPr>
            <w:tcW w:w="8212" w:type="dxa"/>
            <w:tcBorders>
              <w:top w:val="nil"/>
              <w:left w:val="nil"/>
              <w:bottom w:val="single" w:sz="8" w:space="0" w:color="FFFFFF"/>
              <w:right w:val="single" w:sz="8" w:space="0" w:color="FFFFFF"/>
            </w:tcBorders>
            <w:shd w:val="clear" w:color="000000" w:fill="D6DCE4"/>
            <w:hideMark/>
          </w:tcPr>
          <w:p w14:paraId="6AAE8F53" w14:textId="5F15B299" w:rsidR="00441D75" w:rsidRPr="00567588" w:rsidRDefault="00441D75" w:rsidP="00441D75">
            <w:pPr>
              <w:keepNext w:val="0"/>
              <w:spacing w:before="0"/>
              <w:rPr>
                <w:rFonts w:cs="Arial"/>
                <w:szCs w:val="24"/>
              </w:rPr>
            </w:pPr>
            <w:r w:rsidRPr="00567588">
              <w:rPr>
                <w:rFonts w:cs="Arial"/>
                <w:szCs w:val="24"/>
              </w:rPr>
              <w:t>Provision from C2 residential institutions (dwelling equivalent)</w:t>
            </w:r>
            <w:r w:rsidR="007C1865" w:rsidRPr="00567588">
              <w:rPr>
                <w:rFonts w:cs="Arial"/>
                <w:szCs w:val="24"/>
              </w:rPr>
              <w:t xml:space="preserve"> </w:t>
            </w:r>
            <w:r w:rsidR="007C1865" w:rsidRPr="00E56F9C">
              <w:rPr>
                <w:rFonts w:cs="Arial"/>
                <w:color w:val="0060AE"/>
                <w:szCs w:val="24"/>
              </w:rPr>
              <w:t>at 1/4/25</w:t>
            </w:r>
          </w:p>
        </w:tc>
        <w:tc>
          <w:tcPr>
            <w:tcW w:w="1335" w:type="dxa"/>
            <w:tcBorders>
              <w:top w:val="nil"/>
              <w:left w:val="nil"/>
              <w:bottom w:val="single" w:sz="8" w:space="0" w:color="FFFFFF"/>
              <w:right w:val="single" w:sz="8" w:space="0" w:color="FFFFFF"/>
            </w:tcBorders>
            <w:shd w:val="clear" w:color="000000" w:fill="D6DCE4"/>
            <w:hideMark/>
          </w:tcPr>
          <w:p w14:paraId="45BD4562" w14:textId="1379E8BB" w:rsidR="00441D75" w:rsidRPr="00E56F9C" w:rsidRDefault="00441D75" w:rsidP="00441D75">
            <w:pPr>
              <w:keepNext w:val="0"/>
              <w:spacing w:before="0"/>
              <w:jc w:val="right"/>
              <w:rPr>
                <w:rFonts w:cs="Arial"/>
                <w:color w:val="0060AE"/>
                <w:szCs w:val="24"/>
              </w:rPr>
            </w:pPr>
            <w:proofErr w:type="gramStart"/>
            <w:r w:rsidRPr="00E56F9C">
              <w:rPr>
                <w:rFonts w:cs="Arial"/>
                <w:strike/>
                <w:color w:val="0060AE"/>
                <w:szCs w:val="24"/>
              </w:rPr>
              <w:t>46</w:t>
            </w:r>
            <w:r w:rsidR="007C1865" w:rsidRPr="00E56F9C">
              <w:rPr>
                <w:rFonts w:cs="Arial"/>
                <w:strike/>
                <w:color w:val="0060AE"/>
                <w:szCs w:val="24"/>
              </w:rPr>
              <w:t xml:space="preserve">  </w:t>
            </w:r>
            <w:r w:rsidR="007C1865" w:rsidRPr="00E56F9C">
              <w:rPr>
                <w:rFonts w:cs="Arial"/>
                <w:color w:val="0060AE"/>
                <w:szCs w:val="24"/>
              </w:rPr>
              <w:t>7</w:t>
            </w:r>
            <w:proofErr w:type="gramEnd"/>
          </w:p>
        </w:tc>
      </w:tr>
      <w:tr w:rsidR="0073604D" w:rsidRPr="001B716F" w14:paraId="05B939AE" w14:textId="77777777" w:rsidTr="00CB0557">
        <w:trPr>
          <w:trHeight w:val="475"/>
        </w:trPr>
        <w:tc>
          <w:tcPr>
            <w:tcW w:w="8212" w:type="dxa"/>
            <w:tcBorders>
              <w:top w:val="nil"/>
              <w:left w:val="nil"/>
              <w:bottom w:val="single" w:sz="8" w:space="0" w:color="FFFFFF"/>
              <w:right w:val="single" w:sz="8" w:space="0" w:color="FFFFFF"/>
            </w:tcBorders>
            <w:shd w:val="clear" w:color="000000" w:fill="D6DCE4"/>
            <w:hideMark/>
          </w:tcPr>
          <w:p w14:paraId="2942F346" w14:textId="11B730D2" w:rsidR="00441D75" w:rsidRPr="00567588" w:rsidRDefault="00441D75" w:rsidP="00441D75">
            <w:pPr>
              <w:keepNext w:val="0"/>
              <w:spacing w:before="0"/>
              <w:rPr>
                <w:rFonts w:cs="Arial"/>
                <w:b/>
                <w:bCs/>
                <w:szCs w:val="24"/>
              </w:rPr>
            </w:pPr>
            <w:r w:rsidRPr="00567588">
              <w:rPr>
                <w:rFonts w:cs="Arial"/>
                <w:b/>
                <w:bCs/>
                <w:szCs w:val="24"/>
              </w:rPr>
              <w:t>Total housing supply 1/4/2023 to 31/3/20</w:t>
            </w:r>
            <w:r w:rsidR="0084256E" w:rsidRPr="00567588">
              <w:rPr>
                <w:rFonts w:cs="Arial"/>
                <w:b/>
                <w:bCs/>
                <w:szCs w:val="24"/>
              </w:rPr>
              <w:t>40</w:t>
            </w:r>
            <w:r w:rsidRPr="00567588">
              <w:rPr>
                <w:rFonts w:cs="Arial"/>
                <w:szCs w:val="24"/>
              </w:rPr>
              <w:t xml:space="preserve"> </w:t>
            </w:r>
          </w:p>
        </w:tc>
        <w:tc>
          <w:tcPr>
            <w:tcW w:w="1335" w:type="dxa"/>
            <w:tcBorders>
              <w:top w:val="nil"/>
              <w:left w:val="nil"/>
              <w:bottom w:val="single" w:sz="8" w:space="0" w:color="FFFFFF"/>
              <w:right w:val="single" w:sz="8" w:space="0" w:color="FFFFFF"/>
            </w:tcBorders>
            <w:shd w:val="clear" w:color="000000" w:fill="D6DCE4"/>
            <w:hideMark/>
          </w:tcPr>
          <w:p w14:paraId="087B8565" w14:textId="404236EB" w:rsidR="00441D75" w:rsidRPr="00E56F9C" w:rsidRDefault="00441D75" w:rsidP="00441D75">
            <w:pPr>
              <w:keepNext w:val="0"/>
              <w:spacing w:before="0"/>
              <w:jc w:val="right"/>
              <w:rPr>
                <w:rFonts w:cs="Arial"/>
                <w:b/>
                <w:bCs/>
                <w:color w:val="0060AE"/>
                <w:szCs w:val="24"/>
              </w:rPr>
            </w:pPr>
            <w:r w:rsidRPr="00E56F9C">
              <w:rPr>
                <w:rFonts w:cs="Arial"/>
                <w:b/>
                <w:bCs/>
                <w:strike/>
                <w:color w:val="0060AE"/>
                <w:szCs w:val="24"/>
              </w:rPr>
              <w:t>6,</w:t>
            </w:r>
            <w:r w:rsidR="00283434" w:rsidRPr="00E56F9C">
              <w:rPr>
                <w:rFonts w:cs="Arial"/>
                <w:b/>
                <w:bCs/>
                <w:strike/>
                <w:color w:val="0060AE"/>
                <w:szCs w:val="24"/>
              </w:rPr>
              <w:t>700</w:t>
            </w:r>
            <w:r w:rsidR="007C1865" w:rsidRPr="00E56F9C">
              <w:rPr>
                <w:rFonts w:cs="Arial"/>
                <w:b/>
                <w:bCs/>
                <w:strike/>
                <w:color w:val="0060AE"/>
                <w:szCs w:val="24"/>
              </w:rPr>
              <w:t xml:space="preserve"> </w:t>
            </w:r>
            <w:r w:rsidR="007C1865" w:rsidRPr="00E56F9C">
              <w:rPr>
                <w:rFonts w:cs="Arial"/>
                <w:b/>
                <w:bCs/>
                <w:color w:val="0060AE"/>
                <w:szCs w:val="24"/>
              </w:rPr>
              <w:t>7,266</w:t>
            </w:r>
          </w:p>
        </w:tc>
      </w:tr>
    </w:tbl>
    <w:p w14:paraId="66AAD011" w14:textId="77777777" w:rsidR="00441D75" w:rsidRPr="001B716F" w:rsidRDefault="00441D75" w:rsidP="00743F63">
      <w:pPr>
        <w:keepNext w:val="0"/>
        <w:spacing w:before="0"/>
        <w:ind w:left="851"/>
        <w:jc w:val="both"/>
        <w:rPr>
          <w:rFonts w:cs="Arial"/>
          <w:szCs w:val="24"/>
          <w:highlight w:val="yellow"/>
        </w:rPr>
      </w:pPr>
    </w:p>
    <w:tbl>
      <w:tblPr>
        <w:tblW w:w="9498" w:type="dxa"/>
        <w:tblLook w:val="04A0" w:firstRow="1" w:lastRow="0" w:firstColumn="1" w:lastColumn="0" w:noHBand="0" w:noVBand="1"/>
      </w:tblPr>
      <w:tblGrid>
        <w:gridCol w:w="8161"/>
        <w:gridCol w:w="1337"/>
      </w:tblGrid>
      <w:tr w:rsidR="0073604D" w:rsidRPr="00567588" w14:paraId="7C237901" w14:textId="77777777" w:rsidTr="00CB0557">
        <w:trPr>
          <w:trHeight w:val="330"/>
        </w:trPr>
        <w:tc>
          <w:tcPr>
            <w:tcW w:w="8161" w:type="dxa"/>
            <w:tcBorders>
              <w:top w:val="single" w:sz="8" w:space="0" w:color="FFFFFF"/>
              <w:left w:val="nil"/>
              <w:bottom w:val="single" w:sz="8" w:space="0" w:color="FFFFFF"/>
              <w:right w:val="single" w:sz="8" w:space="0" w:color="FFFFFF"/>
            </w:tcBorders>
            <w:shd w:val="clear" w:color="000000" w:fill="BFBFBF"/>
            <w:hideMark/>
          </w:tcPr>
          <w:p w14:paraId="359B1397" w14:textId="77777777" w:rsidR="001B3A11" w:rsidRPr="00567588" w:rsidRDefault="001B3A11" w:rsidP="001B3A11">
            <w:pPr>
              <w:keepNext w:val="0"/>
              <w:spacing w:before="0"/>
              <w:rPr>
                <w:rFonts w:cs="Arial"/>
                <w:b/>
                <w:bCs/>
                <w:szCs w:val="24"/>
              </w:rPr>
            </w:pPr>
            <w:r w:rsidRPr="00567588">
              <w:rPr>
                <w:rFonts w:cs="Arial"/>
                <w:b/>
                <w:bCs/>
                <w:szCs w:val="24"/>
              </w:rPr>
              <w:t>Net Provision</w:t>
            </w:r>
          </w:p>
        </w:tc>
        <w:tc>
          <w:tcPr>
            <w:tcW w:w="1337" w:type="dxa"/>
            <w:tcBorders>
              <w:top w:val="single" w:sz="8" w:space="0" w:color="FFFFFF"/>
              <w:left w:val="nil"/>
              <w:bottom w:val="single" w:sz="8" w:space="0" w:color="FFFFFF"/>
              <w:right w:val="single" w:sz="8" w:space="0" w:color="FFFFFF"/>
            </w:tcBorders>
            <w:shd w:val="clear" w:color="000000" w:fill="BFBFBF"/>
            <w:hideMark/>
          </w:tcPr>
          <w:p w14:paraId="194B630C" w14:textId="77777777" w:rsidR="001B3A11" w:rsidRPr="00567588" w:rsidRDefault="001B3A11" w:rsidP="001B3A11">
            <w:pPr>
              <w:keepNext w:val="0"/>
              <w:spacing w:before="0"/>
              <w:rPr>
                <w:rFonts w:cs="Arial"/>
                <w:b/>
                <w:bCs/>
                <w:szCs w:val="24"/>
              </w:rPr>
            </w:pPr>
            <w:r w:rsidRPr="00567588">
              <w:rPr>
                <w:rFonts w:cs="Arial"/>
                <w:b/>
                <w:bCs/>
                <w:szCs w:val="24"/>
              </w:rPr>
              <w:t>Dwellings</w:t>
            </w:r>
          </w:p>
        </w:tc>
      </w:tr>
      <w:tr w:rsidR="0073604D" w:rsidRPr="001B716F" w14:paraId="51BFB39B" w14:textId="77777777" w:rsidTr="003178CD">
        <w:trPr>
          <w:trHeight w:hRule="exact" w:val="510"/>
        </w:trPr>
        <w:tc>
          <w:tcPr>
            <w:tcW w:w="8161" w:type="dxa"/>
            <w:tcBorders>
              <w:top w:val="nil"/>
              <w:left w:val="nil"/>
              <w:bottom w:val="nil"/>
              <w:right w:val="single" w:sz="8" w:space="0" w:color="FFFFFF"/>
            </w:tcBorders>
            <w:shd w:val="clear" w:color="000000" w:fill="BFBFBF"/>
            <w:hideMark/>
          </w:tcPr>
          <w:p w14:paraId="77E61DA9" w14:textId="7F98D29E" w:rsidR="001B3A11" w:rsidRPr="00567588" w:rsidRDefault="001B3A11" w:rsidP="001B3A11">
            <w:pPr>
              <w:keepNext w:val="0"/>
              <w:spacing w:before="0"/>
              <w:jc w:val="both"/>
              <w:rPr>
                <w:rFonts w:cs="Arial"/>
                <w:szCs w:val="24"/>
              </w:rPr>
            </w:pPr>
            <w:r w:rsidRPr="00567588">
              <w:rPr>
                <w:rFonts w:cs="Arial"/>
                <w:szCs w:val="24"/>
              </w:rPr>
              <w:t>Provision against Local Housing Need 202</w:t>
            </w:r>
            <w:r w:rsidR="00E75EB6" w:rsidRPr="00567588">
              <w:rPr>
                <w:rFonts w:cs="Arial"/>
                <w:szCs w:val="24"/>
              </w:rPr>
              <w:t>3</w:t>
            </w:r>
            <w:r w:rsidRPr="00567588">
              <w:rPr>
                <w:rFonts w:cs="Arial"/>
                <w:szCs w:val="24"/>
              </w:rPr>
              <w:t xml:space="preserve"> to 20</w:t>
            </w:r>
            <w:r w:rsidR="004A528F" w:rsidRPr="00567588">
              <w:rPr>
                <w:rFonts w:cs="Arial"/>
                <w:szCs w:val="24"/>
              </w:rPr>
              <w:t>40</w:t>
            </w:r>
          </w:p>
        </w:tc>
        <w:tc>
          <w:tcPr>
            <w:tcW w:w="1337" w:type="dxa"/>
            <w:tcBorders>
              <w:top w:val="nil"/>
              <w:left w:val="nil"/>
              <w:bottom w:val="nil"/>
              <w:right w:val="single" w:sz="8" w:space="0" w:color="FFFFFF"/>
            </w:tcBorders>
            <w:shd w:val="clear" w:color="000000" w:fill="BFBFBF"/>
            <w:hideMark/>
          </w:tcPr>
          <w:p w14:paraId="520CD7CD" w14:textId="597456F3" w:rsidR="001B3A11" w:rsidRPr="00567588" w:rsidRDefault="00651121" w:rsidP="001B3A11">
            <w:pPr>
              <w:keepNext w:val="0"/>
              <w:spacing w:before="0"/>
              <w:jc w:val="right"/>
              <w:rPr>
                <w:rFonts w:cs="Arial"/>
                <w:szCs w:val="24"/>
              </w:rPr>
            </w:pPr>
            <w:r w:rsidRPr="00567588">
              <w:rPr>
                <w:rFonts w:cs="Arial"/>
                <w:szCs w:val="24"/>
              </w:rPr>
              <w:t>-</w:t>
            </w:r>
            <w:r w:rsidR="00E75EB6" w:rsidRPr="00567588">
              <w:rPr>
                <w:rFonts w:cs="Arial"/>
                <w:strike/>
                <w:szCs w:val="24"/>
              </w:rPr>
              <w:t>963</w:t>
            </w:r>
            <w:r w:rsidR="00751773" w:rsidRPr="00567588">
              <w:rPr>
                <w:rFonts w:cs="Arial"/>
                <w:szCs w:val="24"/>
              </w:rPr>
              <w:t xml:space="preserve"> </w:t>
            </w:r>
            <w:r w:rsidR="000C4C7C" w:rsidRPr="00E56F9C">
              <w:rPr>
                <w:rFonts w:cs="Arial"/>
                <w:b/>
                <w:bCs/>
                <w:color w:val="004C98"/>
                <w:szCs w:val="24"/>
              </w:rPr>
              <w:t>591</w:t>
            </w:r>
          </w:p>
        </w:tc>
      </w:tr>
    </w:tbl>
    <w:p w14:paraId="5EB55720" w14:textId="520FB26F" w:rsidR="006D3A8E" w:rsidRPr="007C1865" w:rsidRDefault="00CB0557" w:rsidP="000447CA">
      <w:pPr>
        <w:pStyle w:val="Heading3"/>
        <w:rPr>
          <w:sz w:val="22"/>
          <w:szCs w:val="22"/>
        </w:rPr>
      </w:pPr>
      <w:r w:rsidRPr="00567588">
        <w:t>Table 2: Dwelling Requirement and Provision 2023-2040</w:t>
      </w:r>
      <w:r w:rsidR="006D3A8E" w:rsidRPr="00567588">
        <w:t xml:space="preserve">, </w:t>
      </w:r>
      <w:r w:rsidR="006D3A8E" w:rsidRPr="00567588">
        <w:rPr>
          <w:sz w:val="22"/>
          <w:szCs w:val="22"/>
        </w:rPr>
        <w:t>source Ashfield District Council</w:t>
      </w:r>
    </w:p>
    <w:p w14:paraId="5E695E1F" w14:textId="77777777" w:rsidR="006D3A8E" w:rsidRPr="006D3A8E" w:rsidRDefault="006D3A8E" w:rsidP="006D3A8E">
      <w:pPr>
        <w:rPr>
          <w:sz w:val="22"/>
          <w:szCs w:val="22"/>
          <w:lang w:eastAsia="en-US"/>
        </w:rPr>
      </w:pPr>
    </w:p>
    <w:p w14:paraId="0D09C854" w14:textId="7D1C0281" w:rsidR="00FB4E8F" w:rsidRPr="003C7E62" w:rsidRDefault="0009371E" w:rsidP="00E73430">
      <w:pPr>
        <w:keepNext w:val="0"/>
        <w:numPr>
          <w:ilvl w:val="1"/>
          <w:numId w:val="344"/>
        </w:numPr>
        <w:tabs>
          <w:tab w:val="clear" w:pos="525"/>
          <w:tab w:val="num" w:pos="851"/>
        </w:tabs>
        <w:spacing w:before="0"/>
        <w:ind w:left="851" w:hanging="851"/>
        <w:rPr>
          <w:rFonts w:cs="Arial"/>
          <w:color w:val="auto"/>
          <w:szCs w:val="24"/>
        </w:rPr>
      </w:pPr>
      <w:r w:rsidRPr="0073604D">
        <w:rPr>
          <w:rFonts w:cs="Arial"/>
          <w:szCs w:val="24"/>
          <w:lang w:eastAsia="en-US"/>
        </w:rPr>
        <w:t xml:space="preserve">National </w:t>
      </w:r>
      <w:r w:rsidR="005D6672" w:rsidRPr="0073604D">
        <w:rPr>
          <w:rFonts w:cs="Arial"/>
          <w:szCs w:val="24"/>
          <w:lang w:eastAsia="en-US"/>
        </w:rPr>
        <w:t>p</w:t>
      </w:r>
      <w:r w:rsidRPr="0073604D">
        <w:rPr>
          <w:rFonts w:cs="Arial"/>
          <w:szCs w:val="24"/>
          <w:lang w:eastAsia="en-US"/>
        </w:rPr>
        <w:t xml:space="preserve">lanning </w:t>
      </w:r>
      <w:r w:rsidR="005D6672" w:rsidRPr="0073604D">
        <w:rPr>
          <w:rFonts w:cs="Arial"/>
          <w:szCs w:val="24"/>
          <w:lang w:eastAsia="en-US"/>
        </w:rPr>
        <w:t>p</w:t>
      </w:r>
      <w:r w:rsidRPr="0073604D">
        <w:rPr>
          <w:rFonts w:cs="Arial"/>
          <w:szCs w:val="24"/>
          <w:lang w:eastAsia="en-US"/>
        </w:rPr>
        <w:t xml:space="preserve">olicy guidance identifies that a potential source of housing supply may come forward from derelict land and buildings, including empty homes. Whilst the Council have and continue to work to bring forward empty homes, it should be recognised that this source deals with existing properties. Those </w:t>
      </w:r>
      <w:r w:rsidRPr="003C7E62">
        <w:rPr>
          <w:rFonts w:cs="Arial"/>
          <w:color w:val="auto"/>
          <w:szCs w:val="24"/>
          <w:lang w:eastAsia="en-US"/>
        </w:rPr>
        <w:t xml:space="preserve">brought back into use as a result therefore represent a change in tenure (from private to affordable rented) and not additional supply since they are already included within the existing housing stock. </w:t>
      </w:r>
    </w:p>
    <w:p w14:paraId="60945A32" w14:textId="77777777" w:rsidR="00FB4E8F" w:rsidRPr="003C7E62" w:rsidRDefault="00FB4E8F" w:rsidP="00310DB0">
      <w:pPr>
        <w:keepNext w:val="0"/>
        <w:spacing w:before="0"/>
        <w:ind w:left="851"/>
        <w:rPr>
          <w:rFonts w:cs="Arial"/>
          <w:color w:val="auto"/>
          <w:szCs w:val="24"/>
        </w:rPr>
      </w:pPr>
    </w:p>
    <w:p w14:paraId="3B024ADE" w14:textId="21B6FAFE" w:rsidR="00FB4E8F" w:rsidRPr="003C7E62" w:rsidRDefault="0009371E" w:rsidP="00E73430">
      <w:pPr>
        <w:keepNext w:val="0"/>
        <w:numPr>
          <w:ilvl w:val="1"/>
          <w:numId w:val="344"/>
        </w:numPr>
        <w:tabs>
          <w:tab w:val="clear" w:pos="525"/>
          <w:tab w:val="num" w:pos="851"/>
        </w:tabs>
        <w:spacing w:before="0"/>
        <w:ind w:left="851" w:hanging="851"/>
        <w:rPr>
          <w:rFonts w:cs="Arial"/>
          <w:color w:val="auto"/>
          <w:szCs w:val="24"/>
        </w:rPr>
      </w:pPr>
      <w:r w:rsidRPr="003C7E62">
        <w:rPr>
          <w:rFonts w:cs="Arial"/>
          <w:color w:val="auto"/>
          <w:szCs w:val="24"/>
          <w:lang w:eastAsia="en-US"/>
        </w:rPr>
        <w:lastRenderedPageBreak/>
        <w:t xml:space="preserve">The NPPF requires local planning authorities to identify and update annually a supply of specific deliverable sites sufficient to provide for five years’ worth of housing against their requirements.  Details of the </w:t>
      </w:r>
      <w:r w:rsidR="00CA1F11" w:rsidRPr="003C7E62">
        <w:rPr>
          <w:rFonts w:cs="Arial"/>
          <w:color w:val="auto"/>
          <w:szCs w:val="24"/>
          <w:lang w:eastAsia="en-US"/>
        </w:rPr>
        <w:t>five-year</w:t>
      </w:r>
      <w:r w:rsidRPr="003C7E62">
        <w:rPr>
          <w:rFonts w:cs="Arial"/>
          <w:color w:val="auto"/>
          <w:szCs w:val="24"/>
          <w:lang w:eastAsia="en-US"/>
        </w:rPr>
        <w:t xml:space="preserve"> land supply for Ashfield are set out in the annual Housing Land Monitoring Report</w:t>
      </w:r>
      <w:r w:rsidRPr="003C7E62">
        <w:rPr>
          <w:rStyle w:val="FootnoteReference"/>
          <w:rFonts w:cs="Arial"/>
          <w:color w:val="auto"/>
          <w:szCs w:val="24"/>
          <w:lang w:eastAsia="en-US"/>
        </w:rPr>
        <w:footnoteReference w:id="61"/>
      </w:r>
      <w:r w:rsidRPr="003C7E62">
        <w:rPr>
          <w:rFonts w:cs="Arial"/>
          <w:color w:val="auto"/>
          <w:szCs w:val="24"/>
          <w:lang w:eastAsia="en-US"/>
        </w:rPr>
        <w:t xml:space="preserve">  and in Appendix 2. </w:t>
      </w:r>
    </w:p>
    <w:p w14:paraId="0CCB83B8" w14:textId="7688D526" w:rsidR="00FB4E8F" w:rsidRPr="003C7E62" w:rsidRDefault="00FB4E8F" w:rsidP="00310DB0">
      <w:pPr>
        <w:keepNext w:val="0"/>
        <w:spacing w:before="0"/>
        <w:ind w:left="851"/>
        <w:rPr>
          <w:rFonts w:cs="Arial"/>
          <w:color w:val="auto"/>
          <w:szCs w:val="24"/>
          <w:lang w:eastAsia="en-US"/>
        </w:rPr>
      </w:pPr>
    </w:p>
    <w:p w14:paraId="7A66128E" w14:textId="38E2C640" w:rsidR="00FB4E8F" w:rsidRPr="003C7E62" w:rsidRDefault="00FB4E8F" w:rsidP="00310DB0">
      <w:pPr>
        <w:keepNext w:val="0"/>
        <w:spacing w:before="0"/>
        <w:ind w:left="851"/>
        <w:rPr>
          <w:rFonts w:cs="Arial"/>
          <w:color w:val="auto"/>
          <w:szCs w:val="24"/>
          <w:lang w:eastAsia="en-US"/>
        </w:rPr>
      </w:pPr>
    </w:p>
    <w:p w14:paraId="162A9330" w14:textId="77777777" w:rsidR="00FB4E8F" w:rsidRPr="00BB639C" w:rsidRDefault="00FB4E8F" w:rsidP="00310DB0">
      <w:pPr>
        <w:keepNext w:val="0"/>
        <w:spacing w:before="0"/>
        <w:ind w:left="851"/>
        <w:rPr>
          <w:rFonts w:eastAsia="Arial" w:cs="Arial"/>
          <w:b/>
          <w:bCs/>
          <w:color w:val="auto"/>
          <w:spacing w:val="-1"/>
        </w:rPr>
      </w:pPr>
      <w:r w:rsidRPr="00BB639C">
        <w:rPr>
          <w:rFonts w:eastAsia="Arial" w:cs="Arial"/>
          <w:b/>
          <w:bCs/>
          <w:color w:val="auto"/>
          <w:spacing w:val="-1"/>
        </w:rPr>
        <w:t>Housing Mix</w:t>
      </w:r>
    </w:p>
    <w:p w14:paraId="6EDC580B" w14:textId="77777777" w:rsidR="00FB4E8F" w:rsidRPr="003C7E62" w:rsidRDefault="00FB4E8F" w:rsidP="00310DB0">
      <w:pPr>
        <w:keepNext w:val="0"/>
        <w:spacing w:before="0"/>
        <w:ind w:left="851"/>
        <w:rPr>
          <w:rFonts w:cs="Arial"/>
          <w:color w:val="auto"/>
          <w:szCs w:val="24"/>
        </w:rPr>
      </w:pPr>
    </w:p>
    <w:p w14:paraId="2A566239" w14:textId="551DF518" w:rsidR="00FB4E8F" w:rsidRPr="003C7E62" w:rsidRDefault="00BE1423" w:rsidP="00E73430">
      <w:pPr>
        <w:keepNext w:val="0"/>
        <w:numPr>
          <w:ilvl w:val="1"/>
          <w:numId w:val="344"/>
        </w:numPr>
        <w:tabs>
          <w:tab w:val="clear" w:pos="525"/>
          <w:tab w:val="num" w:pos="851"/>
        </w:tabs>
        <w:spacing w:before="0"/>
        <w:ind w:left="851" w:hanging="851"/>
        <w:rPr>
          <w:rFonts w:cs="Arial"/>
          <w:color w:val="auto"/>
          <w:szCs w:val="24"/>
        </w:rPr>
      </w:pPr>
      <w:r w:rsidRPr="003C7E62">
        <w:rPr>
          <w:rFonts w:cs="Arial"/>
          <w:color w:val="auto"/>
          <w:szCs w:val="24"/>
          <w:lang w:eastAsia="en-US"/>
        </w:rPr>
        <w:t>Paragraph 6</w:t>
      </w:r>
      <w:r w:rsidR="009F0EC8">
        <w:rPr>
          <w:rFonts w:cs="Arial"/>
          <w:color w:val="auto"/>
          <w:szCs w:val="24"/>
          <w:lang w:eastAsia="en-US"/>
        </w:rPr>
        <w:t>2</w:t>
      </w:r>
      <w:r w:rsidRPr="003C7E62">
        <w:rPr>
          <w:rFonts w:cs="Arial"/>
          <w:color w:val="auto"/>
          <w:szCs w:val="24"/>
          <w:lang w:eastAsia="en-US"/>
        </w:rPr>
        <w:t xml:space="preserve"> of the NPPF requires that the needs of different groups in the community with specific housing requirements are assessed and reflected in planning policies. This includes those who require affordable housing, families with children, older people, students, people with disabilities, service families, travellers, people who rent their homes and people wishing to commission or build their own homes</w:t>
      </w:r>
      <w:r w:rsidRPr="003C7E62">
        <w:rPr>
          <w:rStyle w:val="FootnoteReference"/>
          <w:rFonts w:cs="Arial"/>
          <w:color w:val="auto"/>
          <w:szCs w:val="24"/>
          <w:lang w:eastAsia="en-US"/>
        </w:rPr>
        <w:footnoteReference w:id="62"/>
      </w:r>
      <w:r w:rsidRPr="003C7E62">
        <w:rPr>
          <w:rFonts w:cs="Arial"/>
          <w:color w:val="auto"/>
          <w:szCs w:val="24"/>
          <w:lang w:eastAsia="en-US"/>
        </w:rPr>
        <w:t xml:space="preserve">). For Ashfield, the following categories have been identified as having </w:t>
      </w:r>
      <w:proofErr w:type="gramStart"/>
      <w:r w:rsidRPr="003C7E62">
        <w:rPr>
          <w:rFonts w:cs="Arial"/>
          <w:color w:val="auto"/>
          <w:szCs w:val="24"/>
          <w:lang w:eastAsia="en-US"/>
        </w:rPr>
        <w:t>particular needs</w:t>
      </w:r>
      <w:proofErr w:type="gramEnd"/>
      <w:r w:rsidRPr="003C7E62">
        <w:rPr>
          <w:rFonts w:cs="Arial"/>
          <w:color w:val="auto"/>
          <w:szCs w:val="24"/>
          <w:lang w:eastAsia="en-US"/>
        </w:rPr>
        <w:t xml:space="preserve"> in the Greater Nottingham and Ashfield Housing Needs Assessment 2020 (HNA)</w:t>
      </w:r>
      <w:r w:rsidR="007D431A" w:rsidRPr="003C7E62">
        <w:rPr>
          <w:rFonts w:cs="Arial"/>
          <w:color w:val="auto"/>
          <w:szCs w:val="24"/>
          <w:lang w:eastAsia="en-US"/>
        </w:rPr>
        <w:t>.</w:t>
      </w:r>
    </w:p>
    <w:p w14:paraId="3D73DA7E" w14:textId="2091F495" w:rsidR="00FB4E8F" w:rsidRPr="003C7E62" w:rsidRDefault="00FB4E8F" w:rsidP="00310DB0">
      <w:pPr>
        <w:keepNext w:val="0"/>
        <w:spacing w:before="0"/>
        <w:ind w:left="851"/>
        <w:rPr>
          <w:rFonts w:cs="Arial"/>
          <w:color w:val="auto"/>
          <w:szCs w:val="24"/>
          <w:lang w:eastAsia="en-US"/>
        </w:rPr>
      </w:pPr>
    </w:p>
    <w:p w14:paraId="0D8C7DFA" w14:textId="77777777" w:rsidR="00FB4E8F" w:rsidRPr="00BB639C" w:rsidRDefault="00FB4E8F" w:rsidP="00310DB0">
      <w:pPr>
        <w:keepNext w:val="0"/>
        <w:spacing w:before="0"/>
        <w:ind w:left="851"/>
        <w:rPr>
          <w:rFonts w:cs="Arial"/>
          <w:color w:val="auto"/>
          <w:szCs w:val="24"/>
          <w:u w:val="single"/>
          <w:lang w:eastAsia="en-US"/>
        </w:rPr>
      </w:pPr>
      <w:r w:rsidRPr="00BB639C">
        <w:rPr>
          <w:rFonts w:cs="Arial"/>
          <w:color w:val="auto"/>
          <w:szCs w:val="24"/>
          <w:u w:val="single"/>
          <w:lang w:eastAsia="en-US"/>
        </w:rPr>
        <w:t>Affordable Housing</w:t>
      </w:r>
    </w:p>
    <w:p w14:paraId="1A60C5AF" w14:textId="77777777" w:rsidR="00FB4E8F" w:rsidRPr="003C7E62" w:rsidRDefault="00FB4E8F" w:rsidP="00310DB0">
      <w:pPr>
        <w:keepNext w:val="0"/>
        <w:spacing w:before="0"/>
        <w:ind w:left="851"/>
        <w:rPr>
          <w:rFonts w:cs="Arial"/>
          <w:color w:val="auto"/>
          <w:szCs w:val="24"/>
        </w:rPr>
      </w:pPr>
    </w:p>
    <w:p w14:paraId="79EE0E92" w14:textId="604EC414" w:rsidR="000A144B" w:rsidRPr="003C7E62" w:rsidRDefault="00B011B7" w:rsidP="00E73430">
      <w:pPr>
        <w:keepNext w:val="0"/>
        <w:numPr>
          <w:ilvl w:val="1"/>
          <w:numId w:val="344"/>
        </w:numPr>
        <w:tabs>
          <w:tab w:val="clear" w:pos="525"/>
          <w:tab w:val="num" w:pos="851"/>
        </w:tabs>
        <w:spacing w:before="0"/>
        <w:ind w:left="851" w:hanging="851"/>
        <w:rPr>
          <w:rFonts w:cs="Arial"/>
          <w:color w:val="auto"/>
          <w:szCs w:val="24"/>
        </w:rPr>
      </w:pPr>
      <w:r w:rsidRPr="003C7E62">
        <w:rPr>
          <w:rFonts w:cs="Arial"/>
          <w:szCs w:val="24"/>
        </w:rPr>
        <w:t xml:space="preserve">The HNA identifies the level of affordable housing need for each authority based upon current and future projections and the development targets. It assesses the need for rented products and affordable home ownership separately as set out in </w:t>
      </w:r>
      <w:r w:rsidRPr="00AB4A58">
        <w:rPr>
          <w:rFonts w:cs="Arial"/>
          <w:szCs w:val="24"/>
        </w:rPr>
        <w:t xml:space="preserve">Table </w:t>
      </w:r>
      <w:r w:rsidR="00450591">
        <w:rPr>
          <w:rFonts w:cs="Arial"/>
          <w:szCs w:val="24"/>
        </w:rPr>
        <w:t>3</w:t>
      </w:r>
      <w:r w:rsidRPr="009B4089">
        <w:rPr>
          <w:rFonts w:cs="Arial"/>
          <w:szCs w:val="24"/>
        </w:rPr>
        <w:t>.</w:t>
      </w:r>
      <w:r w:rsidRPr="003C7E62">
        <w:rPr>
          <w:rFonts w:cs="Arial"/>
          <w:szCs w:val="24"/>
        </w:rPr>
        <w:t xml:space="preserve"> </w:t>
      </w:r>
      <w:r w:rsidRPr="003C7E62">
        <w:rPr>
          <w:rFonts w:eastAsia="Arial" w:cs="Arial"/>
          <w:color w:val="auto"/>
        </w:rPr>
        <w:t xml:space="preserve">(these figures form part of the overall housing target of </w:t>
      </w:r>
      <w:r w:rsidR="005A1A32" w:rsidRPr="000032B0">
        <w:rPr>
          <w:rFonts w:eastAsia="Arial" w:cs="Arial"/>
          <w:color w:val="auto"/>
        </w:rPr>
        <w:t xml:space="preserve">446 </w:t>
      </w:r>
      <w:r w:rsidRPr="000032B0">
        <w:rPr>
          <w:rFonts w:eastAsia="Arial" w:cs="Arial"/>
          <w:color w:val="auto"/>
        </w:rPr>
        <w:t>d</w:t>
      </w:r>
      <w:r w:rsidRPr="003C7E62">
        <w:rPr>
          <w:rFonts w:eastAsia="Arial" w:cs="Arial"/>
          <w:color w:val="auto"/>
        </w:rPr>
        <w:t>pa).</w:t>
      </w:r>
    </w:p>
    <w:p w14:paraId="1036506B" w14:textId="77777777" w:rsidR="000A144B" w:rsidRPr="003C7E62" w:rsidRDefault="000A144B" w:rsidP="00310DB0">
      <w:pPr>
        <w:keepNext w:val="0"/>
        <w:spacing w:before="0"/>
        <w:ind w:left="851"/>
        <w:rPr>
          <w:rFonts w:cs="Arial"/>
          <w:color w:val="auto"/>
          <w:szCs w:val="24"/>
        </w:rPr>
      </w:pPr>
    </w:p>
    <w:p w14:paraId="078E1D3F" w14:textId="0BDB2B8B" w:rsidR="000A144B" w:rsidRPr="000032B0" w:rsidRDefault="00A61B81" w:rsidP="00E73430">
      <w:pPr>
        <w:keepNext w:val="0"/>
        <w:numPr>
          <w:ilvl w:val="1"/>
          <w:numId w:val="344"/>
        </w:numPr>
        <w:tabs>
          <w:tab w:val="clear" w:pos="525"/>
          <w:tab w:val="num" w:pos="851"/>
        </w:tabs>
        <w:spacing w:before="0"/>
        <w:ind w:left="851" w:hanging="851"/>
        <w:rPr>
          <w:rFonts w:cs="Arial"/>
          <w:color w:val="auto"/>
          <w:szCs w:val="24"/>
        </w:rPr>
      </w:pPr>
      <w:r w:rsidRPr="000032B0">
        <w:rPr>
          <w:rFonts w:cs="Arial"/>
        </w:rPr>
        <w:t>The HNA report provides a starting point in developing an affordable housing target, which will also be informed by further analysis including a full Plan viability assessment.</w:t>
      </w:r>
      <w:r w:rsidRPr="000032B0">
        <w:rPr>
          <w:rFonts w:eastAsia="Arial" w:cs="Arial"/>
          <w:color w:val="00B0F0"/>
        </w:rPr>
        <w:t xml:space="preserve"> </w:t>
      </w:r>
    </w:p>
    <w:p w14:paraId="3B6F9872" w14:textId="23B30739" w:rsidR="003D6C7E" w:rsidRDefault="003D6C7E">
      <w:pPr>
        <w:keepNext w:val="0"/>
        <w:spacing w:before="0"/>
        <w:rPr>
          <w:rFonts w:cs="Arial"/>
        </w:rPr>
      </w:pPr>
    </w:p>
    <w:p w14:paraId="7445E0FC" w14:textId="77777777" w:rsidR="000A144B" w:rsidRPr="000032B0" w:rsidRDefault="000A144B" w:rsidP="00310DB0">
      <w:pPr>
        <w:keepNext w:val="0"/>
        <w:spacing w:before="0"/>
        <w:ind w:left="851"/>
        <w:rPr>
          <w:rFonts w:cs="Arial"/>
        </w:rPr>
      </w:pPr>
    </w:p>
    <w:tbl>
      <w:tblPr>
        <w:tblStyle w:val="TableGrid"/>
        <w:tblW w:w="8647" w:type="dxa"/>
        <w:tblInd w:w="846" w:type="dxa"/>
        <w:tblLayout w:type="fixed"/>
        <w:tblLook w:val="04A0" w:firstRow="1" w:lastRow="0" w:firstColumn="1" w:lastColumn="0" w:noHBand="0" w:noVBand="1"/>
      </w:tblPr>
      <w:tblGrid>
        <w:gridCol w:w="6804"/>
        <w:gridCol w:w="1843"/>
      </w:tblGrid>
      <w:tr w:rsidR="000A144B" w:rsidRPr="000032B0" w14:paraId="70F3F10A" w14:textId="77777777" w:rsidTr="003B0537">
        <w:trPr>
          <w:trHeight w:val="511"/>
        </w:trPr>
        <w:tc>
          <w:tcPr>
            <w:tcW w:w="8647" w:type="dxa"/>
            <w:gridSpan w:val="2"/>
            <w:shd w:val="clear" w:color="auto" w:fill="D9D9D9" w:themeFill="background1" w:themeFillShade="D9"/>
            <w:vAlign w:val="center"/>
          </w:tcPr>
          <w:p w14:paraId="201C18E6" w14:textId="43B4C7BF" w:rsidR="000A144B" w:rsidRPr="000032B0" w:rsidRDefault="000A144B" w:rsidP="00523DED">
            <w:pPr>
              <w:pStyle w:val="Heading4"/>
              <w:jc w:val="both"/>
              <w:rPr>
                <w:rFonts w:cs="Arial"/>
                <w:sz w:val="24"/>
                <w:szCs w:val="24"/>
              </w:rPr>
            </w:pPr>
            <w:r w:rsidRPr="000032B0">
              <w:rPr>
                <w:rFonts w:cs="Arial"/>
                <w:sz w:val="24"/>
                <w:szCs w:val="24"/>
              </w:rPr>
              <w:t>Ashfield Affordable Housing Net Need, 2020-38</w:t>
            </w:r>
          </w:p>
        </w:tc>
      </w:tr>
      <w:tr w:rsidR="000A144B" w:rsidRPr="000032B0" w14:paraId="7CA8608A" w14:textId="77777777" w:rsidTr="003B0537">
        <w:trPr>
          <w:trHeight w:val="562"/>
        </w:trPr>
        <w:tc>
          <w:tcPr>
            <w:tcW w:w="6804" w:type="dxa"/>
            <w:vAlign w:val="center"/>
          </w:tcPr>
          <w:p w14:paraId="59730365" w14:textId="77777777" w:rsidR="000A144B" w:rsidRPr="000032B0" w:rsidRDefault="000A144B" w:rsidP="00523DED">
            <w:pPr>
              <w:rPr>
                <w:rFonts w:cs="Arial"/>
              </w:rPr>
            </w:pPr>
            <w:r w:rsidRPr="000032B0">
              <w:rPr>
                <w:rFonts w:cs="Arial"/>
              </w:rPr>
              <w:t>Net Need for Rented Affordable (per annum)</w:t>
            </w:r>
          </w:p>
        </w:tc>
        <w:tc>
          <w:tcPr>
            <w:tcW w:w="1843" w:type="dxa"/>
            <w:vAlign w:val="center"/>
          </w:tcPr>
          <w:p w14:paraId="2C560FC9" w14:textId="77777777" w:rsidR="000A144B" w:rsidRPr="000032B0" w:rsidRDefault="000A144B" w:rsidP="00523DED">
            <w:pPr>
              <w:jc w:val="right"/>
              <w:rPr>
                <w:rFonts w:cs="Arial"/>
              </w:rPr>
            </w:pPr>
            <w:r w:rsidRPr="000032B0">
              <w:rPr>
                <w:rFonts w:cs="Arial"/>
              </w:rPr>
              <w:t>237</w:t>
            </w:r>
          </w:p>
        </w:tc>
      </w:tr>
      <w:tr w:rsidR="003D6C7E" w:rsidRPr="003D6C7E" w14:paraId="1E0EC827" w14:textId="77777777" w:rsidTr="003B0537">
        <w:trPr>
          <w:trHeight w:val="556"/>
        </w:trPr>
        <w:tc>
          <w:tcPr>
            <w:tcW w:w="6804" w:type="dxa"/>
            <w:vAlign w:val="center"/>
          </w:tcPr>
          <w:p w14:paraId="628C9C1F" w14:textId="77777777" w:rsidR="000A144B" w:rsidRPr="003D6C7E" w:rsidRDefault="000A144B" w:rsidP="00523DED">
            <w:pPr>
              <w:rPr>
                <w:rFonts w:cs="Arial"/>
                <w:color w:val="auto"/>
              </w:rPr>
            </w:pPr>
            <w:r w:rsidRPr="003D6C7E">
              <w:rPr>
                <w:rFonts w:cs="Arial"/>
                <w:color w:val="auto"/>
              </w:rPr>
              <w:t>Net Need/Surplus for Affordable Home Ownership (per annum)</w:t>
            </w:r>
          </w:p>
        </w:tc>
        <w:tc>
          <w:tcPr>
            <w:tcW w:w="1843" w:type="dxa"/>
            <w:vAlign w:val="center"/>
          </w:tcPr>
          <w:p w14:paraId="474E3331" w14:textId="77777777" w:rsidR="000A144B" w:rsidRPr="003D6C7E" w:rsidRDefault="000A144B" w:rsidP="00523DED">
            <w:pPr>
              <w:jc w:val="right"/>
              <w:rPr>
                <w:rFonts w:cs="Arial"/>
                <w:color w:val="auto"/>
              </w:rPr>
            </w:pPr>
            <w:r w:rsidRPr="003D6C7E">
              <w:rPr>
                <w:rFonts w:cs="Arial"/>
                <w:color w:val="auto"/>
              </w:rPr>
              <w:t>-195</w:t>
            </w:r>
          </w:p>
        </w:tc>
      </w:tr>
    </w:tbl>
    <w:p w14:paraId="6416E174" w14:textId="77777777" w:rsidR="00CE3097" w:rsidRPr="003D6C7E" w:rsidRDefault="00CE3097" w:rsidP="000A144B">
      <w:pPr>
        <w:keepNext w:val="0"/>
        <w:spacing w:before="0"/>
        <w:ind w:left="525"/>
        <w:rPr>
          <w:rFonts w:eastAsia="Arial" w:cs="Arial"/>
          <w:color w:val="auto"/>
        </w:rPr>
      </w:pPr>
      <w:r w:rsidRPr="003D6C7E">
        <w:rPr>
          <w:rFonts w:eastAsia="Arial" w:cs="Arial"/>
          <w:color w:val="auto"/>
        </w:rPr>
        <w:t xml:space="preserve">     </w:t>
      </w:r>
    </w:p>
    <w:p w14:paraId="3821427B" w14:textId="204FAE65" w:rsidR="000A144B" w:rsidRPr="003D6C7E" w:rsidRDefault="00CE3097" w:rsidP="000447CA">
      <w:pPr>
        <w:pStyle w:val="Heading3"/>
      </w:pPr>
      <w:r w:rsidRPr="003D6C7E">
        <w:t xml:space="preserve">Table </w:t>
      </w:r>
      <w:r w:rsidR="00450591" w:rsidRPr="003D6C7E">
        <w:t>3</w:t>
      </w:r>
      <w:r w:rsidRPr="003D6C7E">
        <w:t>: Ashfield Affordable Housing Net Need, 2020-38</w:t>
      </w:r>
    </w:p>
    <w:p w14:paraId="2F7DAC76" w14:textId="41CD63D0" w:rsidR="00CE3097" w:rsidRPr="003D6C7E" w:rsidRDefault="00CE3097" w:rsidP="00CE3097">
      <w:pPr>
        <w:keepNext w:val="0"/>
        <w:spacing w:before="0"/>
        <w:ind w:left="851"/>
        <w:rPr>
          <w:rFonts w:eastAsia="Arial" w:cs="Arial"/>
          <w:color w:val="auto"/>
          <w:sz w:val="20"/>
        </w:rPr>
      </w:pPr>
      <w:r w:rsidRPr="003D6C7E">
        <w:rPr>
          <w:rFonts w:eastAsia="Arial" w:cs="Arial"/>
          <w:color w:val="auto"/>
          <w:sz w:val="20"/>
        </w:rPr>
        <w:t>Source: Greater Nottingham and Ashfield Housing Needs Assessment 2020</w:t>
      </w:r>
    </w:p>
    <w:p w14:paraId="7DF9B05C" w14:textId="77777777" w:rsidR="00CE3097" w:rsidRPr="003D6C7E" w:rsidRDefault="00CE3097" w:rsidP="000A144B">
      <w:pPr>
        <w:keepNext w:val="0"/>
        <w:spacing w:before="0"/>
        <w:ind w:left="525"/>
        <w:rPr>
          <w:rFonts w:eastAsia="Arial" w:cs="Arial"/>
          <w:color w:val="auto"/>
        </w:rPr>
      </w:pPr>
    </w:p>
    <w:p w14:paraId="31D3465A" w14:textId="51EAE0B5" w:rsidR="000A144B" w:rsidRPr="003C7E62" w:rsidRDefault="00A61B81" w:rsidP="00E73430">
      <w:pPr>
        <w:keepNext w:val="0"/>
        <w:numPr>
          <w:ilvl w:val="1"/>
          <w:numId w:val="344"/>
        </w:numPr>
        <w:tabs>
          <w:tab w:val="clear" w:pos="525"/>
          <w:tab w:val="num" w:pos="851"/>
        </w:tabs>
        <w:spacing w:before="0"/>
        <w:ind w:left="851" w:hanging="851"/>
        <w:rPr>
          <w:rFonts w:cs="Arial"/>
          <w:color w:val="auto"/>
          <w:szCs w:val="24"/>
        </w:rPr>
      </w:pPr>
      <w:r w:rsidRPr="003D6C7E">
        <w:rPr>
          <w:rFonts w:eastAsia="Arial" w:cs="Arial"/>
          <w:color w:val="auto"/>
        </w:rPr>
        <w:t xml:space="preserve">In </w:t>
      </w:r>
      <w:r w:rsidRPr="003C7E62">
        <w:rPr>
          <w:rFonts w:eastAsia="Arial" w:cs="Arial"/>
          <w:color w:val="auto"/>
        </w:rPr>
        <w:t xml:space="preserve">addition to the delivery of Affordable Housing provision as part of larger developments under </w:t>
      </w:r>
      <w:r w:rsidRPr="009B4089">
        <w:rPr>
          <w:rFonts w:eastAsia="Arial" w:cs="Arial"/>
          <w:color w:val="auto"/>
        </w:rPr>
        <w:t>Policy H</w:t>
      </w:r>
      <w:r w:rsidR="00F82D11" w:rsidRPr="009B4089">
        <w:rPr>
          <w:rFonts w:eastAsia="Arial" w:cs="Arial"/>
          <w:color w:val="auto"/>
        </w:rPr>
        <w:t>3</w:t>
      </w:r>
      <w:r w:rsidRPr="003C7E62">
        <w:rPr>
          <w:rFonts w:eastAsia="Arial" w:cs="Arial"/>
          <w:color w:val="auto"/>
        </w:rPr>
        <w:t xml:space="preserve">, the District Council will also consider </w:t>
      </w:r>
      <w:r w:rsidR="00107882">
        <w:rPr>
          <w:rFonts w:eastAsia="Arial" w:cs="Arial"/>
          <w:color w:val="auto"/>
        </w:rPr>
        <w:t>a</w:t>
      </w:r>
      <w:r w:rsidRPr="003C7E62">
        <w:rPr>
          <w:rFonts w:eastAsia="Arial" w:cs="Arial"/>
          <w:color w:val="auto"/>
        </w:rPr>
        <w:t xml:space="preserve">ffordable </w:t>
      </w:r>
      <w:r w:rsidR="00107882">
        <w:rPr>
          <w:rFonts w:eastAsia="Arial" w:cs="Arial"/>
          <w:color w:val="auto"/>
        </w:rPr>
        <w:lastRenderedPageBreak/>
        <w:t>h</w:t>
      </w:r>
      <w:r w:rsidRPr="003C7E62">
        <w:rPr>
          <w:rFonts w:eastAsia="Arial" w:cs="Arial"/>
          <w:color w:val="auto"/>
        </w:rPr>
        <w:t xml:space="preserve">ousing schemes on the edge of existing rural settlements as set out in </w:t>
      </w:r>
      <w:r w:rsidRPr="009B4089">
        <w:rPr>
          <w:rFonts w:eastAsia="Arial" w:cs="Arial"/>
          <w:color w:val="auto"/>
        </w:rPr>
        <w:t>Policy H</w:t>
      </w:r>
      <w:r w:rsidR="00F82D11" w:rsidRPr="009B4089">
        <w:rPr>
          <w:rFonts w:eastAsia="Arial" w:cs="Arial"/>
          <w:color w:val="auto"/>
        </w:rPr>
        <w:t>4</w:t>
      </w:r>
      <w:r w:rsidRPr="009B4089">
        <w:rPr>
          <w:rFonts w:eastAsia="Arial" w:cs="Arial"/>
          <w:color w:val="auto"/>
        </w:rPr>
        <w:t>,</w:t>
      </w:r>
      <w:r w:rsidRPr="003C7E62">
        <w:rPr>
          <w:rFonts w:eastAsia="Arial" w:cs="Arial"/>
          <w:color w:val="auto"/>
        </w:rPr>
        <w:t xml:space="preserve"> Rural Exceptions. These schemes present an exception to normal planning policy, and only </w:t>
      </w:r>
      <w:r w:rsidR="00107882">
        <w:rPr>
          <w:rFonts w:eastAsia="Arial" w:cs="Arial"/>
          <w:color w:val="auto"/>
        </w:rPr>
        <w:t>a</w:t>
      </w:r>
      <w:r w:rsidRPr="003C7E62">
        <w:rPr>
          <w:rFonts w:eastAsia="Arial" w:cs="Arial"/>
          <w:color w:val="auto"/>
        </w:rPr>
        <w:t xml:space="preserve">ffordable </w:t>
      </w:r>
      <w:r w:rsidR="00107882">
        <w:rPr>
          <w:rFonts w:eastAsia="Arial" w:cs="Arial"/>
          <w:color w:val="auto"/>
        </w:rPr>
        <w:t>h</w:t>
      </w:r>
      <w:r w:rsidRPr="003C7E62">
        <w:rPr>
          <w:rFonts w:eastAsia="Arial" w:cs="Arial"/>
          <w:color w:val="auto"/>
        </w:rPr>
        <w:t xml:space="preserve">ousing units </w:t>
      </w:r>
      <w:r w:rsidR="00E2584D" w:rsidRPr="0073604D">
        <w:rPr>
          <w:rFonts w:eastAsia="Arial" w:cs="Arial"/>
        </w:rPr>
        <w:t>(</w:t>
      </w:r>
      <w:r w:rsidR="00107882" w:rsidRPr="0073604D">
        <w:rPr>
          <w:rFonts w:eastAsia="Arial" w:cs="Arial"/>
        </w:rPr>
        <w:t>as defined in the N</w:t>
      </w:r>
      <w:r w:rsidR="00E2584D" w:rsidRPr="0073604D">
        <w:rPr>
          <w:rFonts w:eastAsia="Arial" w:cs="Arial"/>
        </w:rPr>
        <w:t xml:space="preserve">ational Planning Policy Framework) </w:t>
      </w:r>
      <w:r w:rsidRPr="0073604D">
        <w:rPr>
          <w:rFonts w:eastAsia="Arial" w:cs="Arial"/>
        </w:rPr>
        <w:t>will be permitted on th</w:t>
      </w:r>
      <w:r w:rsidRPr="003C7E62">
        <w:rPr>
          <w:rFonts w:eastAsia="Arial" w:cs="Arial"/>
          <w:color w:val="auto"/>
        </w:rPr>
        <w:t>ese sites.</w:t>
      </w:r>
    </w:p>
    <w:p w14:paraId="2BEA7CC7" w14:textId="5DC19D75" w:rsidR="000A144B" w:rsidRPr="003C7E62" w:rsidRDefault="000A144B" w:rsidP="00D02D33">
      <w:pPr>
        <w:keepNext w:val="0"/>
        <w:spacing w:before="0"/>
        <w:ind w:left="851"/>
        <w:rPr>
          <w:rFonts w:eastAsia="Arial" w:cs="Arial"/>
          <w:color w:val="auto"/>
        </w:rPr>
      </w:pPr>
    </w:p>
    <w:p w14:paraId="2A25D118" w14:textId="425DE394" w:rsidR="000A144B" w:rsidRPr="000032B0" w:rsidRDefault="000A144B" w:rsidP="00D02D33">
      <w:pPr>
        <w:pStyle w:val="ListParagraph"/>
        <w:spacing w:after="0" w:line="240" w:lineRule="auto"/>
        <w:ind w:left="1004" w:hanging="153"/>
        <w:rPr>
          <w:rFonts w:ascii="Arial" w:eastAsia="Arial" w:hAnsi="Arial" w:cs="Arial"/>
          <w:color w:val="auto"/>
          <w:u w:val="single"/>
        </w:rPr>
      </w:pPr>
      <w:r w:rsidRPr="000032B0">
        <w:rPr>
          <w:rFonts w:ascii="Arial" w:eastAsia="Arial" w:hAnsi="Arial" w:cs="Arial"/>
          <w:color w:val="auto"/>
          <w:u w:val="single"/>
        </w:rPr>
        <w:t>Older Person and those with Disabilities Housing Needs</w:t>
      </w:r>
    </w:p>
    <w:p w14:paraId="26F0788A" w14:textId="77777777" w:rsidR="00BB639C" w:rsidRPr="000032B0" w:rsidRDefault="00BB639C" w:rsidP="00D02D33">
      <w:pPr>
        <w:pStyle w:val="ListParagraph"/>
        <w:spacing w:after="0" w:line="240" w:lineRule="auto"/>
        <w:ind w:left="1004" w:hanging="153"/>
        <w:rPr>
          <w:rFonts w:ascii="Arial" w:eastAsia="Arial" w:hAnsi="Arial" w:cs="Arial"/>
          <w:color w:val="auto"/>
          <w:u w:val="single"/>
        </w:rPr>
      </w:pPr>
    </w:p>
    <w:p w14:paraId="0263A914" w14:textId="182EAAE7" w:rsidR="00BB1663" w:rsidRPr="000032B0" w:rsidRDefault="005E2443" w:rsidP="00E73430">
      <w:pPr>
        <w:keepNext w:val="0"/>
        <w:numPr>
          <w:ilvl w:val="1"/>
          <w:numId w:val="344"/>
        </w:numPr>
        <w:tabs>
          <w:tab w:val="clear" w:pos="525"/>
          <w:tab w:val="num" w:pos="851"/>
        </w:tabs>
        <w:spacing w:before="0"/>
        <w:ind w:left="851" w:hanging="851"/>
        <w:rPr>
          <w:rFonts w:cs="Arial"/>
          <w:color w:val="auto"/>
          <w:szCs w:val="24"/>
        </w:rPr>
      </w:pPr>
      <w:r w:rsidRPr="000032B0">
        <w:rPr>
          <w:rFonts w:cs="Arial"/>
          <w:szCs w:val="24"/>
        </w:rPr>
        <w:t xml:space="preserve">Greater Nottingham and Ashfield </w:t>
      </w:r>
      <w:proofErr w:type="gramStart"/>
      <w:r w:rsidRPr="000032B0">
        <w:rPr>
          <w:rFonts w:cs="Arial"/>
          <w:szCs w:val="24"/>
        </w:rPr>
        <w:t>is</w:t>
      </w:r>
      <w:proofErr w:type="gramEnd"/>
      <w:r w:rsidRPr="000032B0">
        <w:rPr>
          <w:rFonts w:cs="Arial"/>
          <w:szCs w:val="24"/>
        </w:rPr>
        <w:t xml:space="preserve"> projected to see a notable increase in the older person population, with the total number of people aged 65 and over projected to increase by 37.8% over the 18 years to 2038. This compares with overall population growth of 10.6% and a modest increase in the Under 65 population of 4.8%</w:t>
      </w:r>
      <w:r w:rsidR="000A144B" w:rsidRPr="000032B0">
        <w:rPr>
          <w:rFonts w:cs="Arial"/>
          <w:szCs w:val="24"/>
        </w:rPr>
        <w:t>.</w:t>
      </w:r>
      <w:r w:rsidR="005B03EE" w:rsidRPr="000032B0">
        <w:t xml:space="preserve"> The </w:t>
      </w:r>
      <w:r w:rsidR="005B03EE" w:rsidRPr="000032B0">
        <w:rPr>
          <w:rFonts w:cs="Arial"/>
          <w:szCs w:val="24"/>
        </w:rPr>
        <w:t>analysis also shows that there is a substantial volume of younger adults (aged 65 and under) across the study area with a range of disabilities.</w:t>
      </w:r>
    </w:p>
    <w:p w14:paraId="3D7BA6B9" w14:textId="77777777" w:rsidR="005B03EE" w:rsidRPr="000032B0" w:rsidRDefault="005B03EE" w:rsidP="009B4089">
      <w:pPr>
        <w:keepNext w:val="0"/>
        <w:spacing w:before="0"/>
        <w:ind w:left="851"/>
        <w:rPr>
          <w:rFonts w:cs="Arial"/>
          <w:color w:val="auto"/>
          <w:szCs w:val="24"/>
        </w:rPr>
      </w:pPr>
    </w:p>
    <w:p w14:paraId="568A717A" w14:textId="6E5694D2" w:rsidR="00BB1663" w:rsidRPr="000032B0" w:rsidRDefault="00BB1663" w:rsidP="00E73430">
      <w:pPr>
        <w:numPr>
          <w:ilvl w:val="1"/>
          <w:numId w:val="344"/>
        </w:numPr>
        <w:tabs>
          <w:tab w:val="clear" w:pos="525"/>
          <w:tab w:val="num" w:pos="851"/>
        </w:tabs>
        <w:spacing w:before="0"/>
        <w:ind w:left="851" w:hanging="851"/>
        <w:rPr>
          <w:rFonts w:cs="Arial"/>
          <w:color w:val="auto"/>
          <w:szCs w:val="24"/>
        </w:rPr>
      </w:pPr>
      <w:r w:rsidRPr="000032B0">
        <w:rPr>
          <w:rFonts w:cs="Arial"/>
          <w:color w:val="auto"/>
          <w:szCs w:val="24"/>
        </w:rPr>
        <w:t xml:space="preserve">In line with </w:t>
      </w:r>
      <w:r w:rsidR="005D6672" w:rsidRPr="000032B0">
        <w:rPr>
          <w:rFonts w:cs="Arial"/>
          <w:color w:val="auto"/>
          <w:szCs w:val="24"/>
        </w:rPr>
        <w:t>P</w:t>
      </w:r>
      <w:r w:rsidRPr="000032B0">
        <w:rPr>
          <w:rFonts w:cs="Arial"/>
          <w:color w:val="auto"/>
          <w:szCs w:val="24"/>
        </w:rPr>
        <w:t>lanning Policy Guidance, some older households, particularly those aged over 75, will require specialist housing provision. For Ashfield, the analysis in the HNA points to a need for 2,463 units of housing with support, and 948 units of housing with care.</w:t>
      </w:r>
      <w:r w:rsidRPr="000032B0">
        <w:t xml:space="preserve"> </w:t>
      </w:r>
      <w:r w:rsidRPr="000032B0">
        <w:rPr>
          <w:rFonts w:cs="Arial"/>
          <w:color w:val="auto"/>
          <w:szCs w:val="24"/>
        </w:rPr>
        <w:t xml:space="preserve">The analysis also identifies a need for 1,252 additional care home bedspaces in Ashfield to 2038 which will fall within a C2 use class. </w:t>
      </w:r>
    </w:p>
    <w:p w14:paraId="7756559E" w14:textId="77777777" w:rsidR="00BB1663" w:rsidRPr="000032B0" w:rsidRDefault="00BB1663" w:rsidP="009B4089">
      <w:pPr>
        <w:keepNext w:val="0"/>
        <w:spacing w:before="0"/>
        <w:ind w:left="851"/>
        <w:rPr>
          <w:rFonts w:cs="Arial"/>
          <w:color w:val="auto"/>
          <w:szCs w:val="24"/>
        </w:rPr>
      </w:pPr>
    </w:p>
    <w:p w14:paraId="5F123336" w14:textId="0E71363C" w:rsidR="00BB1663" w:rsidRPr="000032B0" w:rsidRDefault="005B03EE" w:rsidP="00E73430">
      <w:pPr>
        <w:numPr>
          <w:ilvl w:val="1"/>
          <w:numId w:val="344"/>
        </w:numPr>
        <w:tabs>
          <w:tab w:val="clear" w:pos="525"/>
        </w:tabs>
        <w:spacing w:before="0"/>
        <w:ind w:left="851" w:hanging="851"/>
        <w:rPr>
          <w:rFonts w:cs="Arial"/>
          <w:color w:val="auto"/>
          <w:szCs w:val="24"/>
        </w:rPr>
      </w:pPr>
      <w:r w:rsidRPr="000032B0">
        <w:rPr>
          <w:rFonts w:cs="Arial"/>
          <w:color w:val="auto"/>
          <w:szCs w:val="24"/>
        </w:rPr>
        <w:t>There will be a combination of those with disabilities and long-term health problems that continue to live at home with family, those who choose to live independently with the possibility of incorporating adaptations into their homes and those who choose to move into supported housing.</w:t>
      </w:r>
      <w:r w:rsidR="00565F76" w:rsidRPr="000032B0">
        <w:rPr>
          <w:rFonts w:cs="Arial"/>
          <w:color w:val="auto"/>
          <w:szCs w:val="24"/>
        </w:rPr>
        <w:t xml:space="preserve"> </w:t>
      </w:r>
      <w:r w:rsidR="00BB1663" w:rsidRPr="000032B0">
        <w:rPr>
          <w:rFonts w:cs="Arial"/>
          <w:szCs w:val="24"/>
        </w:rPr>
        <w:t>Policy H6:2 and the associated supporting text sets out the Cou</w:t>
      </w:r>
      <w:r w:rsidR="00565F76" w:rsidRPr="000032B0">
        <w:rPr>
          <w:rFonts w:cs="Arial"/>
          <w:szCs w:val="24"/>
        </w:rPr>
        <w:t>nci</w:t>
      </w:r>
      <w:r w:rsidR="00BB1663" w:rsidRPr="000032B0">
        <w:rPr>
          <w:rFonts w:cs="Arial"/>
          <w:szCs w:val="24"/>
        </w:rPr>
        <w:t>l</w:t>
      </w:r>
      <w:r w:rsidR="00565F76" w:rsidRPr="000032B0">
        <w:rPr>
          <w:rFonts w:cs="Arial"/>
          <w:szCs w:val="24"/>
        </w:rPr>
        <w:t>’</w:t>
      </w:r>
      <w:r w:rsidR="00BB1663" w:rsidRPr="000032B0">
        <w:rPr>
          <w:rFonts w:cs="Arial"/>
          <w:szCs w:val="24"/>
        </w:rPr>
        <w:t xml:space="preserve">s approach to </w:t>
      </w:r>
      <w:r w:rsidR="00565F76" w:rsidRPr="000032B0">
        <w:rPr>
          <w:rFonts w:cs="Arial"/>
          <w:szCs w:val="24"/>
        </w:rPr>
        <w:t>specialist housing.</w:t>
      </w:r>
    </w:p>
    <w:p w14:paraId="19B36E27" w14:textId="2C133773" w:rsidR="000A144B" w:rsidRPr="000032B0" w:rsidRDefault="000A144B" w:rsidP="00D02D33">
      <w:pPr>
        <w:keepNext w:val="0"/>
        <w:spacing w:before="0"/>
        <w:ind w:left="851"/>
        <w:jc w:val="both"/>
        <w:rPr>
          <w:rFonts w:cs="Arial"/>
          <w:color w:val="auto"/>
          <w:szCs w:val="24"/>
        </w:rPr>
      </w:pPr>
    </w:p>
    <w:p w14:paraId="2A90473B" w14:textId="77777777" w:rsidR="000A144B" w:rsidRPr="000032B0" w:rsidRDefault="000A144B" w:rsidP="008277E6">
      <w:pPr>
        <w:keepNext w:val="0"/>
        <w:spacing w:before="0"/>
        <w:ind w:left="851"/>
        <w:rPr>
          <w:rFonts w:cs="Arial"/>
          <w:szCs w:val="24"/>
          <w:u w:val="single"/>
        </w:rPr>
      </w:pPr>
      <w:r w:rsidRPr="000032B0">
        <w:rPr>
          <w:rFonts w:cs="Arial"/>
          <w:szCs w:val="24"/>
          <w:u w:val="single"/>
        </w:rPr>
        <w:t>Self-Build and Custom Build Homes</w:t>
      </w:r>
    </w:p>
    <w:p w14:paraId="19B49388" w14:textId="77777777" w:rsidR="000A144B" w:rsidRPr="000032B0" w:rsidRDefault="000A144B" w:rsidP="008277E6">
      <w:pPr>
        <w:keepNext w:val="0"/>
        <w:spacing w:before="0"/>
        <w:ind w:left="851"/>
        <w:rPr>
          <w:rFonts w:cs="Arial"/>
          <w:color w:val="auto"/>
          <w:szCs w:val="24"/>
        </w:rPr>
      </w:pPr>
    </w:p>
    <w:p w14:paraId="5BFD0EE7" w14:textId="16319B19" w:rsidR="000A144B" w:rsidRPr="000032B0" w:rsidRDefault="00743A52" w:rsidP="00E73430">
      <w:pPr>
        <w:keepNext w:val="0"/>
        <w:numPr>
          <w:ilvl w:val="1"/>
          <w:numId w:val="344"/>
        </w:numPr>
        <w:tabs>
          <w:tab w:val="clear" w:pos="525"/>
          <w:tab w:val="num" w:pos="851"/>
        </w:tabs>
        <w:spacing w:before="0"/>
        <w:ind w:left="851" w:hanging="851"/>
        <w:rPr>
          <w:rFonts w:cs="Arial"/>
          <w:color w:val="auto"/>
          <w:szCs w:val="24"/>
        </w:rPr>
      </w:pPr>
      <w:r w:rsidRPr="000032B0">
        <w:rPr>
          <w:rFonts w:cs="Arial"/>
          <w:szCs w:val="24"/>
        </w:rPr>
        <w:t>Self-build or custom build helps to diversify the housing market and increase consumer choice. Self-build and custom housebuilders choose the design and layout of their home</w:t>
      </w:r>
      <w:r w:rsidR="007E3072" w:rsidRPr="000032B0">
        <w:rPr>
          <w:rFonts w:cs="Arial"/>
          <w:szCs w:val="24"/>
        </w:rPr>
        <w:t xml:space="preserve"> </w:t>
      </w:r>
      <w:r w:rsidRPr="000032B0">
        <w:rPr>
          <w:rFonts w:cs="Arial"/>
          <w:szCs w:val="24"/>
        </w:rPr>
        <w:t>and can be innovative in both its design and construction.</w:t>
      </w:r>
    </w:p>
    <w:p w14:paraId="0817C622" w14:textId="77777777" w:rsidR="000A144B" w:rsidRPr="000032B0" w:rsidRDefault="000A144B" w:rsidP="008277E6">
      <w:pPr>
        <w:keepNext w:val="0"/>
        <w:spacing w:before="0"/>
        <w:ind w:left="851"/>
        <w:rPr>
          <w:rFonts w:cs="Arial"/>
          <w:color w:val="auto"/>
          <w:szCs w:val="24"/>
        </w:rPr>
      </w:pPr>
    </w:p>
    <w:p w14:paraId="3ED94158" w14:textId="2FACA90F" w:rsidR="000A144B" w:rsidRPr="000032B0" w:rsidRDefault="00743A52" w:rsidP="00E73430">
      <w:pPr>
        <w:keepNext w:val="0"/>
        <w:numPr>
          <w:ilvl w:val="1"/>
          <w:numId w:val="344"/>
        </w:numPr>
        <w:tabs>
          <w:tab w:val="clear" w:pos="525"/>
          <w:tab w:val="num" w:pos="851"/>
        </w:tabs>
        <w:spacing w:before="0"/>
        <w:ind w:left="851" w:hanging="851"/>
        <w:rPr>
          <w:rFonts w:cs="Arial"/>
          <w:color w:val="auto"/>
          <w:szCs w:val="24"/>
        </w:rPr>
      </w:pPr>
      <w:r w:rsidRPr="000032B0">
        <w:rPr>
          <w:rFonts w:cs="Arial"/>
          <w:szCs w:val="24"/>
        </w:rPr>
        <w:t xml:space="preserve">Ashfield Council has a responsibility for keeping a self-build and custom housebuilding register, which is shared with </w:t>
      </w:r>
      <w:r w:rsidRPr="000032B0">
        <w:rPr>
          <w:rFonts w:cs="Arial"/>
        </w:rPr>
        <w:t>Mansfield and Newark &amp; Sherwood District Councils. The level of demand for such sites is monitored against small sites coming forward through the planning application process in an annual monitoring report.</w:t>
      </w:r>
      <w:r w:rsidRPr="000032B0">
        <w:rPr>
          <w:rStyle w:val="FootnoteReference"/>
          <w:rFonts w:cs="Arial"/>
        </w:rPr>
        <w:footnoteReference w:id="63"/>
      </w:r>
      <w:r w:rsidRPr="000032B0">
        <w:rPr>
          <w:rFonts w:cs="Arial"/>
        </w:rPr>
        <w:t xml:space="preserve"> </w:t>
      </w:r>
    </w:p>
    <w:p w14:paraId="0DDE60FF" w14:textId="273BC11F" w:rsidR="000A144B" w:rsidRPr="00BB639C" w:rsidRDefault="000A144B" w:rsidP="008277E6">
      <w:pPr>
        <w:keepNext w:val="0"/>
        <w:spacing w:before="0"/>
        <w:ind w:left="851"/>
        <w:rPr>
          <w:rFonts w:cs="Arial"/>
          <w:u w:val="single"/>
        </w:rPr>
      </w:pPr>
    </w:p>
    <w:p w14:paraId="0038428C" w14:textId="5DED4EBB" w:rsidR="000A144B" w:rsidRPr="00BB639C" w:rsidRDefault="000A144B" w:rsidP="008277E6">
      <w:pPr>
        <w:keepNext w:val="0"/>
        <w:autoSpaceDE w:val="0"/>
        <w:autoSpaceDN w:val="0"/>
        <w:adjustRightInd w:val="0"/>
        <w:spacing w:before="0"/>
        <w:ind w:left="851"/>
        <w:rPr>
          <w:rFonts w:cs="Arial"/>
          <w:szCs w:val="24"/>
          <w:u w:val="single"/>
        </w:rPr>
      </w:pPr>
      <w:r w:rsidRPr="00BB639C">
        <w:rPr>
          <w:rFonts w:cs="Arial"/>
          <w:szCs w:val="24"/>
          <w:u w:val="single"/>
        </w:rPr>
        <w:t>The Need for Different Sizes of Homes</w:t>
      </w:r>
    </w:p>
    <w:p w14:paraId="3A6C9BBA" w14:textId="77777777" w:rsidR="000A144B" w:rsidRPr="003C7E62" w:rsidRDefault="000A144B" w:rsidP="008277E6">
      <w:pPr>
        <w:keepNext w:val="0"/>
        <w:spacing w:before="0"/>
        <w:rPr>
          <w:rFonts w:cs="Arial"/>
          <w:color w:val="auto"/>
          <w:szCs w:val="24"/>
        </w:rPr>
      </w:pPr>
    </w:p>
    <w:p w14:paraId="0317BB9C" w14:textId="77777777" w:rsidR="006D4619" w:rsidRPr="0052574F" w:rsidRDefault="00743A52" w:rsidP="00E73430">
      <w:pPr>
        <w:keepNext w:val="0"/>
        <w:numPr>
          <w:ilvl w:val="1"/>
          <w:numId w:val="344"/>
        </w:numPr>
        <w:tabs>
          <w:tab w:val="clear" w:pos="525"/>
          <w:tab w:val="num" w:pos="851"/>
        </w:tabs>
        <w:spacing w:before="0"/>
        <w:ind w:left="851" w:hanging="851"/>
        <w:rPr>
          <w:rFonts w:cs="Arial"/>
          <w:color w:val="auto"/>
          <w:szCs w:val="24"/>
        </w:rPr>
      </w:pPr>
      <w:r w:rsidRPr="0052574F">
        <w:rPr>
          <w:rFonts w:cs="Arial"/>
          <w:szCs w:val="24"/>
        </w:rPr>
        <w:t>The existing housing mix is important in considering what future mix of housing is appropriate to deliver a mixed and balanced community. The HNA analysis indicates an emphasis on family sized housing within the market sector, with family and smaller homes being required within the affordable housing sector.</w:t>
      </w:r>
    </w:p>
    <w:p w14:paraId="7D04D7EC" w14:textId="7789F8B9" w:rsidR="000A144B" w:rsidRPr="0052574F" w:rsidRDefault="00743A52" w:rsidP="006D4619">
      <w:pPr>
        <w:keepNext w:val="0"/>
        <w:spacing w:before="0"/>
        <w:ind w:left="851"/>
        <w:rPr>
          <w:rFonts w:cs="Arial"/>
          <w:color w:val="auto"/>
          <w:szCs w:val="24"/>
        </w:rPr>
      </w:pPr>
      <w:r w:rsidRPr="0052574F">
        <w:rPr>
          <w:rFonts w:cs="Arial"/>
          <w:szCs w:val="24"/>
        </w:rPr>
        <w:lastRenderedPageBreak/>
        <w:t xml:space="preserve"> </w:t>
      </w:r>
    </w:p>
    <w:p w14:paraId="24DD4F51" w14:textId="2CF8DE57" w:rsidR="000A144B" w:rsidRPr="0052574F" w:rsidRDefault="00030D3A" w:rsidP="00E73430">
      <w:pPr>
        <w:keepNext w:val="0"/>
        <w:numPr>
          <w:ilvl w:val="1"/>
          <w:numId w:val="344"/>
        </w:numPr>
        <w:tabs>
          <w:tab w:val="clear" w:pos="525"/>
        </w:tabs>
        <w:spacing w:before="0"/>
        <w:ind w:left="851" w:hanging="851"/>
        <w:rPr>
          <w:rFonts w:cs="Arial"/>
          <w:color w:val="0070C0"/>
          <w:szCs w:val="24"/>
        </w:rPr>
      </w:pPr>
      <w:r w:rsidRPr="0052574F">
        <w:rPr>
          <w:rFonts w:cs="Arial"/>
          <w:szCs w:val="24"/>
        </w:rPr>
        <w:t>There are instances where adjustments will need to be applied according to the local profile of housing, the character of the local area, the sustainability credentials of the site and the viability of providing a particular mix of housing dependent on</w:t>
      </w:r>
      <w:r w:rsidRPr="003C7E62">
        <w:rPr>
          <w:rFonts w:cs="Arial"/>
          <w:szCs w:val="24"/>
        </w:rPr>
        <w:t xml:space="preserve"> submarket characteristics. </w:t>
      </w:r>
      <w:r w:rsidRPr="009B4089">
        <w:rPr>
          <w:rFonts w:cs="Arial"/>
          <w:szCs w:val="24"/>
        </w:rPr>
        <w:t xml:space="preserve">Policy </w:t>
      </w:r>
      <w:r w:rsidR="008277E6">
        <w:rPr>
          <w:rFonts w:cs="Arial"/>
          <w:szCs w:val="24"/>
        </w:rPr>
        <w:t>H7</w:t>
      </w:r>
      <w:r w:rsidRPr="003C7E62">
        <w:rPr>
          <w:rFonts w:cs="Arial"/>
          <w:szCs w:val="24"/>
        </w:rPr>
        <w:t xml:space="preserve"> sets out the approach to housing mix for development management purposes</w:t>
      </w:r>
      <w:r w:rsidR="000024F2">
        <w:rPr>
          <w:rFonts w:cs="Arial"/>
          <w:szCs w:val="24"/>
        </w:rPr>
        <w:t xml:space="preserve">. </w:t>
      </w:r>
      <w:r w:rsidR="000024F2" w:rsidRPr="0052574F">
        <w:rPr>
          <w:rFonts w:cs="Arial"/>
          <w:color w:val="0070C0"/>
          <w:szCs w:val="24"/>
        </w:rPr>
        <w:t>Policy H8 specifically acknowledges the role of Housing in Multiple Occupation (HMOs) and outlines the Council’s requirements for these proposals.</w:t>
      </w:r>
    </w:p>
    <w:p w14:paraId="6931B309" w14:textId="32AE54EF" w:rsidR="000A144B" w:rsidRPr="003C7E62" w:rsidRDefault="000A144B" w:rsidP="008277E6">
      <w:pPr>
        <w:keepNext w:val="0"/>
        <w:spacing w:before="0"/>
        <w:ind w:left="851"/>
        <w:rPr>
          <w:rFonts w:cs="Arial"/>
          <w:szCs w:val="24"/>
        </w:rPr>
      </w:pPr>
    </w:p>
    <w:p w14:paraId="5EE2EDB7" w14:textId="77777777" w:rsidR="000A144B" w:rsidRPr="00BB639C" w:rsidRDefault="000A144B" w:rsidP="008277E6">
      <w:pPr>
        <w:keepNext w:val="0"/>
        <w:spacing w:before="0"/>
        <w:ind w:left="851"/>
        <w:rPr>
          <w:rFonts w:cs="Arial"/>
          <w:szCs w:val="24"/>
          <w:u w:val="single"/>
        </w:rPr>
      </w:pPr>
      <w:r w:rsidRPr="00BB639C">
        <w:rPr>
          <w:rFonts w:cs="Arial"/>
          <w:szCs w:val="24"/>
          <w:u w:val="single"/>
        </w:rPr>
        <w:t xml:space="preserve">Gypsy, Travellers and Travelling </w:t>
      </w:r>
      <w:proofErr w:type="spellStart"/>
      <w:r w:rsidRPr="00BB639C">
        <w:rPr>
          <w:rFonts w:cs="Arial"/>
          <w:szCs w:val="24"/>
          <w:u w:val="single"/>
        </w:rPr>
        <w:t>Showpeople</w:t>
      </w:r>
      <w:proofErr w:type="spellEnd"/>
    </w:p>
    <w:p w14:paraId="64FD278B" w14:textId="77777777" w:rsidR="000A144B" w:rsidRPr="003C7E62" w:rsidRDefault="000A144B" w:rsidP="008277E6">
      <w:pPr>
        <w:keepNext w:val="0"/>
        <w:spacing w:before="0"/>
        <w:ind w:left="851"/>
        <w:rPr>
          <w:rFonts w:cs="Arial"/>
          <w:color w:val="auto"/>
          <w:szCs w:val="24"/>
        </w:rPr>
      </w:pPr>
    </w:p>
    <w:p w14:paraId="06E4D909" w14:textId="72772ACD" w:rsidR="000A144B" w:rsidRPr="00E927BB" w:rsidRDefault="009F33D5" w:rsidP="00E73430">
      <w:pPr>
        <w:keepNext w:val="0"/>
        <w:numPr>
          <w:ilvl w:val="1"/>
          <w:numId w:val="344"/>
        </w:numPr>
        <w:tabs>
          <w:tab w:val="clear" w:pos="525"/>
          <w:tab w:val="num" w:pos="993"/>
        </w:tabs>
        <w:spacing w:before="0"/>
        <w:ind w:left="851" w:hanging="851"/>
        <w:rPr>
          <w:rFonts w:cs="Arial"/>
          <w:color w:val="auto"/>
          <w:szCs w:val="24"/>
        </w:rPr>
      </w:pPr>
      <w:r w:rsidRPr="003C7E62">
        <w:rPr>
          <w:rFonts w:eastAsia="Arial" w:cs="Arial"/>
        </w:rPr>
        <w:t xml:space="preserve">Planning Policy for Traveller sites </w:t>
      </w:r>
      <w:r w:rsidRPr="009E4444">
        <w:rPr>
          <w:rFonts w:eastAsia="Arial" w:cs="Arial"/>
        </w:rPr>
        <w:t>(August 2015)</w:t>
      </w:r>
      <w:r w:rsidRPr="009E4444">
        <w:rPr>
          <w:rFonts w:eastAsia="Arial" w:cs="Arial"/>
          <w:vertAlign w:val="superscript"/>
        </w:rPr>
        <w:footnoteReference w:id="64"/>
      </w:r>
      <w:r w:rsidRPr="003C7E62">
        <w:rPr>
          <w:rFonts w:eastAsia="Arial" w:cs="Arial"/>
        </w:rPr>
        <w:t xml:space="preserve"> requires local need for accommodation to be based on robust evidence.  Specific deliverable sites should be identified </w:t>
      </w:r>
      <w:proofErr w:type="gramStart"/>
      <w:r w:rsidRPr="003C7E62">
        <w:rPr>
          <w:rFonts w:eastAsia="Arial" w:cs="Arial"/>
        </w:rPr>
        <w:t>in order to</w:t>
      </w:r>
      <w:proofErr w:type="gramEnd"/>
      <w:r w:rsidRPr="003C7E62">
        <w:rPr>
          <w:rFonts w:eastAsia="Arial" w:cs="Arial"/>
        </w:rPr>
        <w:t xml:space="preserve"> meet accommodation needs for 5 years, together with a supply of developable sites or broad locations for growth for 6 to 10 years, and where possible, for years 11 to 15.</w:t>
      </w:r>
    </w:p>
    <w:p w14:paraId="60B1E2B2" w14:textId="77777777" w:rsidR="00E927BB" w:rsidRPr="00E927BB" w:rsidRDefault="00E927BB" w:rsidP="00E927BB">
      <w:pPr>
        <w:keepNext w:val="0"/>
        <w:spacing w:before="0"/>
        <w:ind w:left="851"/>
        <w:rPr>
          <w:rFonts w:cs="Arial"/>
          <w:color w:val="auto"/>
          <w:szCs w:val="24"/>
        </w:rPr>
      </w:pPr>
    </w:p>
    <w:p w14:paraId="0EA18F3E" w14:textId="5038C46B" w:rsidR="00E927BB" w:rsidRPr="003B5395" w:rsidRDefault="00E927BB" w:rsidP="00E73430">
      <w:pPr>
        <w:keepNext w:val="0"/>
        <w:numPr>
          <w:ilvl w:val="1"/>
          <w:numId w:val="344"/>
        </w:numPr>
        <w:tabs>
          <w:tab w:val="clear" w:pos="525"/>
        </w:tabs>
        <w:spacing w:before="0"/>
        <w:ind w:left="851" w:hanging="851"/>
        <w:rPr>
          <w:rFonts w:cs="Arial"/>
          <w:color w:val="auto"/>
          <w:szCs w:val="24"/>
        </w:rPr>
      </w:pPr>
      <w:r w:rsidRPr="003B5395">
        <w:rPr>
          <w:rFonts w:cs="Arial"/>
          <w:color w:val="auto"/>
          <w:szCs w:val="24"/>
        </w:rPr>
        <w:t>Under the duty to co-operate, the Council must work collaboratively with neighbouring local planning authorities to set targets for Gypsy and Traveller accommodation and</w:t>
      </w:r>
      <w:r w:rsidR="00E56AD1" w:rsidRPr="003B5395">
        <w:rPr>
          <w:rFonts w:cs="Arial"/>
          <w:color w:val="auto"/>
          <w:szCs w:val="24"/>
        </w:rPr>
        <w:t>,</w:t>
      </w:r>
      <w:r w:rsidRPr="003B5395">
        <w:rPr>
          <w:rFonts w:cs="Arial"/>
          <w:color w:val="auto"/>
          <w:szCs w:val="24"/>
        </w:rPr>
        <w:t xml:space="preserve"> where necessary</w:t>
      </w:r>
      <w:r w:rsidR="00E56AD1" w:rsidRPr="003B5395">
        <w:rPr>
          <w:rFonts w:cs="Arial"/>
          <w:color w:val="auto"/>
          <w:szCs w:val="24"/>
        </w:rPr>
        <w:t>,</w:t>
      </w:r>
      <w:r w:rsidRPr="003B5395">
        <w:rPr>
          <w:rFonts w:cs="Arial"/>
          <w:color w:val="auto"/>
          <w:szCs w:val="24"/>
        </w:rPr>
        <w:t xml:space="preserve"> to identify suitable sites. The Council jointly commissioned the</w:t>
      </w:r>
      <w:r w:rsidRPr="003B5395">
        <w:rPr>
          <w:rFonts w:cs="Arial"/>
        </w:rPr>
        <w:t xml:space="preserve"> Greater Nottingham and Ashfield District Council Gypsy and Traveller Accommodation Assessment </w:t>
      </w:r>
      <w:r w:rsidRPr="003B5395">
        <w:rPr>
          <w:rFonts w:cs="Arial"/>
          <w:bCs/>
        </w:rPr>
        <w:t>2021</w:t>
      </w:r>
      <w:r w:rsidR="00E56AD1" w:rsidRPr="003B5395">
        <w:rPr>
          <w:rFonts w:cs="Arial"/>
          <w:bCs/>
        </w:rPr>
        <w:t xml:space="preserve"> (GTAA)</w:t>
      </w:r>
      <w:r w:rsidRPr="003B5395">
        <w:rPr>
          <w:rStyle w:val="FootnoteReference"/>
          <w:rFonts w:cs="Arial"/>
          <w:bCs/>
        </w:rPr>
        <w:footnoteReference w:id="65"/>
      </w:r>
      <w:r w:rsidRPr="003B5395">
        <w:rPr>
          <w:rFonts w:cs="Arial"/>
          <w:bCs/>
        </w:rPr>
        <w:t xml:space="preserve"> </w:t>
      </w:r>
      <w:r w:rsidRPr="003B5395">
        <w:rPr>
          <w:rFonts w:cs="Arial"/>
          <w:color w:val="auto"/>
          <w:szCs w:val="24"/>
        </w:rPr>
        <w:t xml:space="preserve">with </w:t>
      </w:r>
      <w:r w:rsidR="00E56AD1" w:rsidRPr="003B5395">
        <w:rPr>
          <w:rFonts w:cs="Arial"/>
          <w:color w:val="auto"/>
          <w:szCs w:val="24"/>
        </w:rPr>
        <w:t xml:space="preserve">Broxtowe, Erewash, Gedling, Nottingham City and Rushcliffe councils and </w:t>
      </w:r>
      <w:r w:rsidRPr="003B5395">
        <w:rPr>
          <w:rFonts w:cs="Arial"/>
          <w:color w:val="auto"/>
          <w:szCs w:val="24"/>
        </w:rPr>
        <w:t>will continue to work with other neighbouring authorities in determining targets and identifying sites to meet need</w:t>
      </w:r>
      <w:r w:rsidR="00E56AD1" w:rsidRPr="003B5395">
        <w:rPr>
          <w:rFonts w:cs="Arial"/>
          <w:color w:val="auto"/>
          <w:szCs w:val="24"/>
        </w:rPr>
        <w:t>s.</w:t>
      </w:r>
    </w:p>
    <w:p w14:paraId="4BA41A67" w14:textId="77777777" w:rsidR="000A144B" w:rsidRPr="003B5395" w:rsidRDefault="000A144B" w:rsidP="008277E6">
      <w:pPr>
        <w:keepNext w:val="0"/>
        <w:spacing w:before="0"/>
        <w:ind w:left="851"/>
        <w:rPr>
          <w:rFonts w:cs="Arial"/>
          <w:color w:val="auto"/>
          <w:szCs w:val="24"/>
        </w:rPr>
      </w:pPr>
    </w:p>
    <w:p w14:paraId="32E91B04" w14:textId="6922E6BE" w:rsidR="00E56AD1" w:rsidRPr="0073604D" w:rsidRDefault="00E56AD1" w:rsidP="00E73430">
      <w:pPr>
        <w:keepNext w:val="0"/>
        <w:numPr>
          <w:ilvl w:val="1"/>
          <w:numId w:val="344"/>
        </w:numPr>
        <w:tabs>
          <w:tab w:val="clear" w:pos="525"/>
        </w:tabs>
        <w:spacing w:before="0"/>
        <w:ind w:left="851" w:hanging="851"/>
      </w:pPr>
      <w:r w:rsidRPr="00F3057E">
        <w:rPr>
          <w:rFonts w:cs="Arial"/>
        </w:rPr>
        <w:t xml:space="preserve">The GTAA </w:t>
      </w:r>
      <w:r w:rsidR="009F33D5" w:rsidRPr="00F3057E">
        <w:rPr>
          <w:rFonts w:cs="Arial"/>
        </w:rPr>
        <w:t xml:space="preserve">sets out the level of future need for the </w:t>
      </w:r>
      <w:proofErr w:type="gramStart"/>
      <w:r w:rsidR="009F33D5" w:rsidRPr="00F3057E">
        <w:rPr>
          <w:rFonts w:cs="Arial"/>
        </w:rPr>
        <w:t>District</w:t>
      </w:r>
      <w:proofErr w:type="gramEnd"/>
      <w:r w:rsidR="009F33D5" w:rsidRPr="00F3057E">
        <w:rPr>
          <w:rFonts w:cs="Arial"/>
        </w:rPr>
        <w:t xml:space="preserve"> for the period 2020 to 2038 as illustrated in</w:t>
      </w:r>
      <w:r w:rsidR="009F33D5" w:rsidRPr="00F3057E">
        <w:rPr>
          <w:rFonts w:cs="Arial"/>
          <w:color w:val="0070C0"/>
        </w:rPr>
        <w:t xml:space="preserve"> </w:t>
      </w:r>
      <w:r w:rsidR="009F33D5" w:rsidRPr="00F3057E">
        <w:rPr>
          <w:rFonts w:cs="Arial"/>
        </w:rPr>
        <w:t xml:space="preserve">Table </w:t>
      </w:r>
      <w:r w:rsidR="000032B0">
        <w:rPr>
          <w:rFonts w:cs="Arial"/>
        </w:rPr>
        <w:t>4</w:t>
      </w:r>
      <w:r w:rsidR="009F33D5" w:rsidRPr="00F3057E">
        <w:rPr>
          <w:rFonts w:cs="Arial"/>
        </w:rPr>
        <w:t xml:space="preserve"> below</w:t>
      </w:r>
      <w:r w:rsidR="009F33D5" w:rsidRPr="0073604D">
        <w:rPr>
          <w:rFonts w:cs="Arial"/>
        </w:rPr>
        <w:t xml:space="preserve">. </w:t>
      </w:r>
      <w:r w:rsidR="00F3057E" w:rsidRPr="0073604D">
        <w:rPr>
          <w:rFonts w:cs="Arial"/>
        </w:rPr>
        <w:t>In respect of Gypsy/Traveller pitches, t</w:t>
      </w:r>
      <w:r w:rsidR="00207686" w:rsidRPr="0073604D">
        <w:rPr>
          <w:rFonts w:cs="Arial"/>
        </w:rPr>
        <w:t xml:space="preserve">he Council have </w:t>
      </w:r>
      <w:r w:rsidR="00207686" w:rsidRPr="0073604D">
        <w:t>used the higher level of assessed need for this period, based on the ‘ethnic definition’, as opposed to the Traveller definition set out in national policy Planning Policy for Traveller Sites</w:t>
      </w:r>
      <w:r w:rsidR="00F3057E" w:rsidRPr="0073604D">
        <w:t xml:space="preserve">. It is acknowledged that there is a slight mismatch in the evidence base timeframe, i.e., for the period 2020-2038, rather than 2023-2040. However, since the quantum of assessed need is minimal it is considered appropriate that any additional need </w:t>
      </w:r>
      <w:r w:rsidRPr="0073604D">
        <w:t xml:space="preserve">will be </w:t>
      </w:r>
      <w:r w:rsidR="00F3057E" w:rsidRPr="0073604D">
        <w:t xml:space="preserve">addressed using </w:t>
      </w:r>
      <w:proofErr w:type="gramStart"/>
      <w:r w:rsidRPr="0073604D">
        <w:t>criteria based</w:t>
      </w:r>
      <w:proofErr w:type="gramEnd"/>
      <w:r w:rsidRPr="0073604D">
        <w:t xml:space="preserve"> policy H2 </w:t>
      </w:r>
      <w:r w:rsidR="00F3057E" w:rsidRPr="0073604D">
        <w:t xml:space="preserve">alongside </w:t>
      </w:r>
      <w:r w:rsidRPr="0073604D">
        <w:t>site allocations within policy H2a.</w:t>
      </w:r>
    </w:p>
    <w:p w14:paraId="7BF6F40C" w14:textId="33BE3DF3" w:rsidR="000A144B" w:rsidRPr="0073604D" w:rsidRDefault="000A144B" w:rsidP="00E56AD1">
      <w:pPr>
        <w:keepNext w:val="0"/>
        <w:spacing w:before="0"/>
        <w:rPr>
          <w:rFonts w:cs="Arial"/>
          <w:szCs w:val="24"/>
        </w:rPr>
      </w:pPr>
    </w:p>
    <w:p w14:paraId="528F702F" w14:textId="0155265A" w:rsidR="000A144B" w:rsidRPr="003C7E62" w:rsidRDefault="000A144B" w:rsidP="008277E6">
      <w:pPr>
        <w:keepNext w:val="0"/>
        <w:spacing w:before="0"/>
        <w:ind w:left="525"/>
        <w:rPr>
          <w:rFonts w:cs="Arial"/>
        </w:rPr>
      </w:pPr>
    </w:p>
    <w:tbl>
      <w:tblPr>
        <w:tblStyle w:val="ReportTable1"/>
        <w:tblW w:w="0" w:type="auto"/>
        <w:tblInd w:w="846" w:type="dxa"/>
        <w:tblLook w:val="04A0" w:firstRow="1" w:lastRow="0" w:firstColumn="1" w:lastColumn="0" w:noHBand="0" w:noVBand="1"/>
      </w:tblPr>
      <w:tblGrid>
        <w:gridCol w:w="2410"/>
        <w:gridCol w:w="2977"/>
        <w:gridCol w:w="2977"/>
        <w:gridCol w:w="7"/>
      </w:tblGrid>
      <w:tr w:rsidR="000A144B" w:rsidRPr="003C7E62" w14:paraId="5ED0C8D3" w14:textId="77777777" w:rsidTr="00763B31">
        <w:trPr>
          <w:trHeight w:val="637"/>
        </w:trPr>
        <w:tc>
          <w:tcPr>
            <w:tcW w:w="8371" w:type="dxa"/>
            <w:gridSpan w:val="4"/>
            <w:shd w:val="clear" w:color="auto" w:fill="D9D9D9"/>
          </w:tcPr>
          <w:p w14:paraId="1B030B2F" w14:textId="6128D750" w:rsidR="000A144B" w:rsidRPr="003C7E62" w:rsidRDefault="000A144B" w:rsidP="00523DED">
            <w:pPr>
              <w:contextualSpacing/>
              <w:rPr>
                <w:rFonts w:cs="Arial"/>
                <w:b/>
                <w:szCs w:val="24"/>
              </w:rPr>
            </w:pPr>
            <w:r w:rsidRPr="000032B0">
              <w:rPr>
                <w:rFonts w:cs="Arial"/>
                <w:b/>
                <w:szCs w:val="24"/>
              </w:rPr>
              <w:lastRenderedPageBreak/>
              <w:t>Ashfield Future Pitch/Plot Requirements 2020 to 2038</w:t>
            </w:r>
          </w:p>
        </w:tc>
      </w:tr>
      <w:tr w:rsidR="000A144B" w:rsidRPr="003C7E62" w14:paraId="51D49BCA" w14:textId="77777777" w:rsidTr="00763B31">
        <w:trPr>
          <w:gridAfter w:val="1"/>
          <w:wAfter w:w="7" w:type="dxa"/>
          <w:trHeight w:val="519"/>
        </w:trPr>
        <w:tc>
          <w:tcPr>
            <w:tcW w:w="2410" w:type="dxa"/>
            <w:shd w:val="clear" w:color="auto" w:fill="D9D9D9"/>
          </w:tcPr>
          <w:p w14:paraId="0AB5386F" w14:textId="77777777" w:rsidR="000A144B" w:rsidRPr="003C7E62" w:rsidRDefault="000A144B" w:rsidP="00523DED">
            <w:pPr>
              <w:contextualSpacing/>
              <w:rPr>
                <w:rFonts w:cs="Arial"/>
                <w:b/>
                <w:szCs w:val="24"/>
              </w:rPr>
            </w:pPr>
            <w:r w:rsidRPr="003C7E62">
              <w:rPr>
                <w:rFonts w:cs="Arial"/>
                <w:b/>
                <w:szCs w:val="24"/>
              </w:rPr>
              <w:t>Period</w:t>
            </w:r>
          </w:p>
        </w:tc>
        <w:tc>
          <w:tcPr>
            <w:tcW w:w="2977" w:type="dxa"/>
            <w:shd w:val="clear" w:color="auto" w:fill="D9D9D9"/>
          </w:tcPr>
          <w:p w14:paraId="6542BA29" w14:textId="77777777" w:rsidR="000A144B" w:rsidRPr="003C7E62" w:rsidRDefault="000A144B" w:rsidP="00523DED">
            <w:pPr>
              <w:contextualSpacing/>
              <w:jc w:val="center"/>
              <w:rPr>
                <w:rFonts w:cs="Arial"/>
                <w:b/>
                <w:szCs w:val="24"/>
              </w:rPr>
            </w:pPr>
            <w:r w:rsidRPr="003C7E62">
              <w:rPr>
                <w:rFonts w:cs="Arial"/>
                <w:b/>
                <w:szCs w:val="24"/>
              </w:rPr>
              <w:t>Gypsy/Traveller Pitches</w:t>
            </w:r>
          </w:p>
        </w:tc>
        <w:tc>
          <w:tcPr>
            <w:tcW w:w="2977" w:type="dxa"/>
            <w:shd w:val="clear" w:color="auto" w:fill="D9D9D9"/>
          </w:tcPr>
          <w:p w14:paraId="4BECADCE" w14:textId="77777777" w:rsidR="000A144B" w:rsidRPr="003C7E62" w:rsidRDefault="000A144B" w:rsidP="00523DED">
            <w:pPr>
              <w:contextualSpacing/>
              <w:jc w:val="center"/>
              <w:rPr>
                <w:rFonts w:cs="Arial"/>
                <w:b/>
                <w:szCs w:val="24"/>
              </w:rPr>
            </w:pPr>
            <w:proofErr w:type="spellStart"/>
            <w:r w:rsidRPr="003C7E62">
              <w:rPr>
                <w:rFonts w:cs="Arial"/>
                <w:b/>
                <w:szCs w:val="24"/>
              </w:rPr>
              <w:t>Showpeople’s</w:t>
            </w:r>
            <w:proofErr w:type="spellEnd"/>
            <w:r w:rsidRPr="003C7E62">
              <w:rPr>
                <w:rFonts w:cs="Arial"/>
                <w:b/>
                <w:szCs w:val="24"/>
              </w:rPr>
              <w:t xml:space="preserve"> Plots/Yards</w:t>
            </w:r>
          </w:p>
        </w:tc>
      </w:tr>
      <w:tr w:rsidR="000A144B" w:rsidRPr="003C7E62" w14:paraId="386D6AC0" w14:textId="77777777" w:rsidTr="00763B31">
        <w:trPr>
          <w:gridAfter w:val="1"/>
          <w:wAfter w:w="7" w:type="dxa"/>
          <w:trHeight w:val="526"/>
        </w:trPr>
        <w:tc>
          <w:tcPr>
            <w:tcW w:w="2410" w:type="dxa"/>
          </w:tcPr>
          <w:p w14:paraId="64697A0F" w14:textId="55AF5132" w:rsidR="000A144B" w:rsidRPr="003C7E62" w:rsidRDefault="000A144B" w:rsidP="00523DED">
            <w:pPr>
              <w:contextualSpacing/>
              <w:rPr>
                <w:rFonts w:cs="Arial"/>
                <w:szCs w:val="24"/>
              </w:rPr>
            </w:pPr>
            <w:r w:rsidRPr="003C7E62">
              <w:rPr>
                <w:rFonts w:cs="Arial"/>
                <w:szCs w:val="24"/>
              </w:rPr>
              <w:t>2020 to 2025</w:t>
            </w:r>
          </w:p>
        </w:tc>
        <w:tc>
          <w:tcPr>
            <w:tcW w:w="2977" w:type="dxa"/>
          </w:tcPr>
          <w:p w14:paraId="3D7C7DF2" w14:textId="2802ED5B" w:rsidR="000A144B" w:rsidRPr="0073604D" w:rsidRDefault="00207686" w:rsidP="00523DED">
            <w:pPr>
              <w:contextualSpacing/>
              <w:jc w:val="center"/>
              <w:rPr>
                <w:rFonts w:cs="Arial"/>
                <w:strike/>
                <w:szCs w:val="24"/>
              </w:rPr>
            </w:pPr>
            <w:r w:rsidRPr="0073604D">
              <w:rPr>
                <w:rFonts w:cs="Arial"/>
                <w:szCs w:val="24"/>
              </w:rPr>
              <w:t>1</w:t>
            </w:r>
          </w:p>
        </w:tc>
        <w:tc>
          <w:tcPr>
            <w:tcW w:w="2977" w:type="dxa"/>
          </w:tcPr>
          <w:p w14:paraId="6BF8875A" w14:textId="77777777" w:rsidR="000A144B" w:rsidRPr="0073604D" w:rsidRDefault="000A144B" w:rsidP="00523DED">
            <w:pPr>
              <w:contextualSpacing/>
              <w:jc w:val="center"/>
              <w:rPr>
                <w:rFonts w:cs="Arial"/>
                <w:szCs w:val="24"/>
              </w:rPr>
            </w:pPr>
            <w:r w:rsidRPr="0073604D">
              <w:rPr>
                <w:rFonts w:cs="Arial"/>
                <w:szCs w:val="24"/>
              </w:rPr>
              <w:t>9</w:t>
            </w:r>
          </w:p>
        </w:tc>
      </w:tr>
      <w:tr w:rsidR="000A144B" w:rsidRPr="003C7E62" w14:paraId="375F2957" w14:textId="77777777" w:rsidTr="00763B31">
        <w:trPr>
          <w:gridAfter w:val="1"/>
          <w:wAfter w:w="7" w:type="dxa"/>
          <w:trHeight w:val="520"/>
        </w:trPr>
        <w:tc>
          <w:tcPr>
            <w:tcW w:w="2410" w:type="dxa"/>
          </w:tcPr>
          <w:p w14:paraId="58A526AF" w14:textId="77777777" w:rsidR="000A144B" w:rsidRPr="003C7E62" w:rsidRDefault="000A144B" w:rsidP="00523DED">
            <w:pPr>
              <w:contextualSpacing/>
              <w:rPr>
                <w:rFonts w:cs="Arial"/>
                <w:szCs w:val="24"/>
              </w:rPr>
            </w:pPr>
            <w:r w:rsidRPr="003C7E62">
              <w:rPr>
                <w:rFonts w:cs="Arial"/>
                <w:szCs w:val="24"/>
              </w:rPr>
              <w:t>2025 to 2030</w:t>
            </w:r>
          </w:p>
        </w:tc>
        <w:tc>
          <w:tcPr>
            <w:tcW w:w="2977" w:type="dxa"/>
          </w:tcPr>
          <w:p w14:paraId="52C9E6BB" w14:textId="77777777" w:rsidR="000A144B" w:rsidRPr="0073604D" w:rsidRDefault="000A144B" w:rsidP="00523DED">
            <w:pPr>
              <w:contextualSpacing/>
              <w:jc w:val="center"/>
              <w:rPr>
                <w:rFonts w:cs="Arial"/>
                <w:szCs w:val="24"/>
              </w:rPr>
            </w:pPr>
            <w:r w:rsidRPr="0073604D">
              <w:rPr>
                <w:rFonts w:cs="Arial"/>
                <w:szCs w:val="24"/>
              </w:rPr>
              <w:t>1</w:t>
            </w:r>
          </w:p>
        </w:tc>
        <w:tc>
          <w:tcPr>
            <w:tcW w:w="2977" w:type="dxa"/>
          </w:tcPr>
          <w:p w14:paraId="26A58800" w14:textId="77777777" w:rsidR="000A144B" w:rsidRPr="0073604D" w:rsidRDefault="000A144B" w:rsidP="00523DED">
            <w:pPr>
              <w:contextualSpacing/>
              <w:jc w:val="center"/>
              <w:rPr>
                <w:rFonts w:cs="Arial"/>
                <w:szCs w:val="24"/>
              </w:rPr>
            </w:pPr>
            <w:r w:rsidRPr="0073604D">
              <w:rPr>
                <w:rFonts w:cs="Arial"/>
                <w:szCs w:val="24"/>
              </w:rPr>
              <w:t>2</w:t>
            </w:r>
          </w:p>
        </w:tc>
      </w:tr>
      <w:tr w:rsidR="000A144B" w:rsidRPr="003C7E62" w14:paraId="7F83768F" w14:textId="77777777" w:rsidTr="00763B31">
        <w:trPr>
          <w:gridAfter w:val="1"/>
          <w:wAfter w:w="7" w:type="dxa"/>
          <w:trHeight w:val="627"/>
        </w:trPr>
        <w:tc>
          <w:tcPr>
            <w:tcW w:w="2410" w:type="dxa"/>
          </w:tcPr>
          <w:p w14:paraId="58C1B111" w14:textId="77777777" w:rsidR="000A144B" w:rsidRPr="003C7E62" w:rsidRDefault="000A144B" w:rsidP="00523DED">
            <w:pPr>
              <w:contextualSpacing/>
              <w:rPr>
                <w:rFonts w:cs="Arial"/>
                <w:szCs w:val="24"/>
              </w:rPr>
            </w:pPr>
            <w:r w:rsidRPr="003C7E62">
              <w:rPr>
                <w:rFonts w:cs="Arial"/>
                <w:szCs w:val="24"/>
              </w:rPr>
              <w:t>2030 to 2035</w:t>
            </w:r>
          </w:p>
        </w:tc>
        <w:tc>
          <w:tcPr>
            <w:tcW w:w="2977" w:type="dxa"/>
          </w:tcPr>
          <w:p w14:paraId="19B2B770" w14:textId="77777777" w:rsidR="000A144B" w:rsidRPr="0073604D" w:rsidRDefault="000A144B" w:rsidP="00523DED">
            <w:pPr>
              <w:contextualSpacing/>
              <w:jc w:val="center"/>
              <w:rPr>
                <w:rFonts w:cs="Arial"/>
                <w:szCs w:val="24"/>
              </w:rPr>
            </w:pPr>
            <w:r w:rsidRPr="0073604D">
              <w:rPr>
                <w:rFonts w:cs="Arial"/>
                <w:szCs w:val="24"/>
              </w:rPr>
              <w:t>1</w:t>
            </w:r>
          </w:p>
        </w:tc>
        <w:tc>
          <w:tcPr>
            <w:tcW w:w="2977" w:type="dxa"/>
          </w:tcPr>
          <w:p w14:paraId="78340A7E" w14:textId="77777777" w:rsidR="000A144B" w:rsidRPr="0073604D" w:rsidRDefault="000A144B" w:rsidP="00523DED">
            <w:pPr>
              <w:contextualSpacing/>
              <w:jc w:val="center"/>
              <w:rPr>
                <w:rFonts w:cs="Arial"/>
                <w:szCs w:val="24"/>
              </w:rPr>
            </w:pPr>
            <w:r w:rsidRPr="0073604D">
              <w:rPr>
                <w:rFonts w:cs="Arial"/>
                <w:szCs w:val="24"/>
              </w:rPr>
              <w:t>2</w:t>
            </w:r>
          </w:p>
        </w:tc>
      </w:tr>
      <w:tr w:rsidR="000A144B" w:rsidRPr="003C7E62" w14:paraId="5CDF5682" w14:textId="77777777" w:rsidTr="00763B31">
        <w:trPr>
          <w:gridAfter w:val="1"/>
          <w:wAfter w:w="7" w:type="dxa"/>
          <w:trHeight w:val="627"/>
        </w:trPr>
        <w:tc>
          <w:tcPr>
            <w:tcW w:w="2410" w:type="dxa"/>
          </w:tcPr>
          <w:p w14:paraId="716856A4" w14:textId="77777777" w:rsidR="000A144B" w:rsidRPr="003C7E62" w:rsidRDefault="000A144B" w:rsidP="00523DED">
            <w:pPr>
              <w:contextualSpacing/>
              <w:rPr>
                <w:rFonts w:cs="Arial"/>
                <w:szCs w:val="24"/>
              </w:rPr>
            </w:pPr>
            <w:r w:rsidRPr="003C7E62">
              <w:rPr>
                <w:rFonts w:cs="Arial"/>
                <w:szCs w:val="24"/>
              </w:rPr>
              <w:t>2035 to 2038</w:t>
            </w:r>
          </w:p>
        </w:tc>
        <w:tc>
          <w:tcPr>
            <w:tcW w:w="2977" w:type="dxa"/>
          </w:tcPr>
          <w:p w14:paraId="4AD0B3CF" w14:textId="77777777" w:rsidR="000A144B" w:rsidRPr="0073604D" w:rsidRDefault="000A144B" w:rsidP="00523DED">
            <w:pPr>
              <w:contextualSpacing/>
              <w:jc w:val="center"/>
              <w:rPr>
                <w:rFonts w:cs="Arial"/>
                <w:szCs w:val="24"/>
              </w:rPr>
            </w:pPr>
            <w:r w:rsidRPr="0073604D">
              <w:rPr>
                <w:rFonts w:cs="Arial"/>
                <w:szCs w:val="24"/>
              </w:rPr>
              <w:t>1</w:t>
            </w:r>
          </w:p>
        </w:tc>
        <w:tc>
          <w:tcPr>
            <w:tcW w:w="2977" w:type="dxa"/>
          </w:tcPr>
          <w:p w14:paraId="438EEB22" w14:textId="77777777" w:rsidR="000A144B" w:rsidRPr="0073604D" w:rsidRDefault="000A144B" w:rsidP="00523DED">
            <w:pPr>
              <w:contextualSpacing/>
              <w:jc w:val="center"/>
              <w:rPr>
                <w:rFonts w:cs="Arial"/>
                <w:szCs w:val="24"/>
              </w:rPr>
            </w:pPr>
            <w:r w:rsidRPr="0073604D">
              <w:rPr>
                <w:rFonts w:cs="Arial"/>
                <w:szCs w:val="24"/>
              </w:rPr>
              <w:t>1</w:t>
            </w:r>
          </w:p>
        </w:tc>
      </w:tr>
      <w:tr w:rsidR="000A144B" w:rsidRPr="003C7E62" w14:paraId="798C09E6" w14:textId="77777777" w:rsidTr="00763B31">
        <w:trPr>
          <w:gridAfter w:val="1"/>
          <w:wAfter w:w="7" w:type="dxa"/>
          <w:trHeight w:val="627"/>
        </w:trPr>
        <w:tc>
          <w:tcPr>
            <w:tcW w:w="2410" w:type="dxa"/>
          </w:tcPr>
          <w:p w14:paraId="7F06AD49" w14:textId="77777777" w:rsidR="000A144B" w:rsidRPr="003C7E62" w:rsidRDefault="000A144B" w:rsidP="00523DED">
            <w:pPr>
              <w:contextualSpacing/>
              <w:rPr>
                <w:rFonts w:cs="Arial"/>
                <w:b/>
                <w:bCs/>
                <w:color w:val="auto"/>
                <w:szCs w:val="24"/>
              </w:rPr>
            </w:pPr>
            <w:r w:rsidRPr="003C7E62">
              <w:rPr>
                <w:rFonts w:cs="Arial"/>
                <w:b/>
                <w:bCs/>
                <w:color w:val="auto"/>
                <w:szCs w:val="24"/>
              </w:rPr>
              <w:t>Total 2020 to 2038</w:t>
            </w:r>
          </w:p>
        </w:tc>
        <w:tc>
          <w:tcPr>
            <w:tcW w:w="2977" w:type="dxa"/>
          </w:tcPr>
          <w:p w14:paraId="3E32D796" w14:textId="3C02991C" w:rsidR="000A144B" w:rsidRPr="0073604D" w:rsidRDefault="00207686" w:rsidP="00523DED">
            <w:pPr>
              <w:contextualSpacing/>
              <w:jc w:val="center"/>
              <w:rPr>
                <w:rFonts w:cs="Arial"/>
                <w:b/>
                <w:bCs/>
                <w:szCs w:val="24"/>
              </w:rPr>
            </w:pPr>
            <w:r w:rsidRPr="0073604D">
              <w:rPr>
                <w:rFonts w:cs="Arial"/>
                <w:b/>
                <w:szCs w:val="24"/>
              </w:rPr>
              <w:t>4</w:t>
            </w:r>
          </w:p>
        </w:tc>
        <w:tc>
          <w:tcPr>
            <w:tcW w:w="2977" w:type="dxa"/>
          </w:tcPr>
          <w:p w14:paraId="3F8557F4" w14:textId="77777777" w:rsidR="000A144B" w:rsidRPr="0073604D" w:rsidRDefault="000A144B" w:rsidP="00523DED">
            <w:pPr>
              <w:contextualSpacing/>
              <w:jc w:val="center"/>
              <w:rPr>
                <w:rFonts w:cs="Arial"/>
                <w:b/>
                <w:bCs/>
                <w:szCs w:val="24"/>
              </w:rPr>
            </w:pPr>
            <w:r w:rsidRPr="0073604D">
              <w:rPr>
                <w:rFonts w:cs="Arial"/>
                <w:b/>
                <w:bCs/>
                <w:szCs w:val="24"/>
              </w:rPr>
              <w:t>14</w:t>
            </w:r>
          </w:p>
        </w:tc>
      </w:tr>
    </w:tbl>
    <w:p w14:paraId="4ACCE582" w14:textId="77777777" w:rsidR="0011216B" w:rsidRDefault="0011216B" w:rsidP="00F260E8">
      <w:pPr>
        <w:keepNext w:val="0"/>
        <w:spacing w:before="0"/>
        <w:ind w:left="525"/>
        <w:rPr>
          <w:rFonts w:cs="Arial"/>
          <w:b/>
          <w:szCs w:val="24"/>
        </w:rPr>
      </w:pPr>
    </w:p>
    <w:p w14:paraId="3AACF508" w14:textId="21971864" w:rsidR="000A144B" w:rsidRDefault="0011216B" w:rsidP="000447CA">
      <w:pPr>
        <w:pStyle w:val="Heading3"/>
      </w:pPr>
      <w:r w:rsidRPr="009B4089">
        <w:t xml:space="preserve">Table </w:t>
      </w:r>
      <w:r w:rsidR="000032B0">
        <w:t>4</w:t>
      </w:r>
      <w:r w:rsidRPr="009B4089">
        <w:t>:</w:t>
      </w:r>
      <w:r w:rsidRPr="003C7E62">
        <w:t xml:space="preserve"> Ashfield Future Pitch/Plot Requirements 2020 to 2038</w:t>
      </w:r>
      <w:r w:rsidR="00CE3097">
        <w:t>.</w:t>
      </w:r>
    </w:p>
    <w:p w14:paraId="59E30AC7" w14:textId="5864934B" w:rsidR="0011216B" w:rsidRPr="0011216B" w:rsidRDefault="0011216B" w:rsidP="0016791D">
      <w:pPr>
        <w:keepNext w:val="0"/>
        <w:spacing w:before="0"/>
        <w:ind w:left="851"/>
        <w:rPr>
          <w:rFonts w:cs="Arial"/>
          <w:color w:val="auto"/>
          <w:sz w:val="20"/>
        </w:rPr>
      </w:pPr>
      <w:r w:rsidRPr="0011216B">
        <w:rPr>
          <w:rFonts w:cs="Arial"/>
          <w:color w:val="auto"/>
          <w:sz w:val="20"/>
        </w:rPr>
        <w:t>Source: Greater Nottingham and Ashfield District Council Gypsy and Traveller Accommodation Assessment 2021</w:t>
      </w:r>
      <w:r w:rsidR="00CE3097">
        <w:rPr>
          <w:rFonts w:cs="Arial"/>
          <w:color w:val="auto"/>
          <w:sz w:val="20"/>
        </w:rPr>
        <w:t>.</w:t>
      </w:r>
    </w:p>
    <w:p w14:paraId="6AB16A85" w14:textId="77777777" w:rsidR="000A144B" w:rsidRPr="003C7E62" w:rsidRDefault="000A144B" w:rsidP="00F260E8">
      <w:pPr>
        <w:keepNext w:val="0"/>
        <w:spacing w:before="0"/>
        <w:ind w:left="851"/>
        <w:rPr>
          <w:rFonts w:cs="Arial"/>
          <w:color w:val="auto"/>
          <w:szCs w:val="24"/>
        </w:rPr>
      </w:pPr>
    </w:p>
    <w:p w14:paraId="201C981E" w14:textId="77777777" w:rsidR="00337A4B" w:rsidRDefault="00337A4B" w:rsidP="00337A4B">
      <w:pPr>
        <w:rPr>
          <w:rFonts w:eastAsiaTheme="minorHAnsi" w:cstheme="minorBidi"/>
          <w:color w:val="auto"/>
          <w:szCs w:val="22"/>
          <w:lang w:eastAsia="en-US"/>
        </w:rPr>
      </w:pPr>
    </w:p>
    <w:p w14:paraId="783C6F6E" w14:textId="0E71670B" w:rsidR="00337A4B" w:rsidRPr="004A0C5D" w:rsidRDefault="0095348B" w:rsidP="00E73430">
      <w:pPr>
        <w:keepNext w:val="0"/>
        <w:numPr>
          <w:ilvl w:val="1"/>
          <w:numId w:val="344"/>
        </w:numPr>
        <w:spacing w:before="0"/>
        <w:ind w:left="567" w:hanging="851"/>
        <w:rPr>
          <w:rFonts w:cs="Arial"/>
          <w:color w:val="auto"/>
          <w:szCs w:val="24"/>
          <w:lang w:eastAsia="en-US"/>
        </w:rPr>
      </w:pPr>
      <w:r w:rsidRPr="004A0C5D">
        <w:rPr>
          <w:rFonts w:cs="Arial"/>
          <w:szCs w:val="24"/>
        </w:rPr>
        <w:t xml:space="preserve">The provision of Traveller sites </w:t>
      </w:r>
      <w:r w:rsidRPr="004A0C5D">
        <w:rPr>
          <w:rFonts w:cs="Arial"/>
          <w:strike/>
          <w:szCs w:val="24"/>
        </w:rPr>
        <w:t>will be</w:t>
      </w:r>
      <w:r w:rsidRPr="004A0C5D">
        <w:rPr>
          <w:rFonts w:cs="Arial"/>
          <w:szCs w:val="24"/>
        </w:rPr>
        <w:t xml:space="preserve"> </w:t>
      </w:r>
      <w:r w:rsidR="00337A4B" w:rsidRPr="004A0C5D">
        <w:rPr>
          <w:rFonts w:cs="Arial"/>
          <w:color w:val="0070C0"/>
          <w:szCs w:val="24"/>
        </w:rPr>
        <w:t>is</w:t>
      </w:r>
      <w:r w:rsidR="00337A4B" w:rsidRPr="004A0C5D">
        <w:rPr>
          <w:rFonts w:cs="Arial"/>
          <w:szCs w:val="24"/>
        </w:rPr>
        <w:t xml:space="preserve"> </w:t>
      </w:r>
      <w:r w:rsidRPr="004A0C5D">
        <w:rPr>
          <w:rFonts w:cs="Arial"/>
          <w:szCs w:val="24"/>
        </w:rPr>
        <w:t xml:space="preserve">monitored </w:t>
      </w:r>
      <w:r w:rsidR="00337A4B" w:rsidRPr="004A0C5D">
        <w:rPr>
          <w:rFonts w:cs="Arial"/>
          <w:color w:val="0070C0"/>
          <w:szCs w:val="24"/>
        </w:rPr>
        <w:t>annually</w:t>
      </w:r>
      <w:r w:rsidR="00337A4B" w:rsidRPr="004A0C5D">
        <w:rPr>
          <w:rFonts w:cs="Arial"/>
          <w:szCs w:val="24"/>
        </w:rPr>
        <w:t xml:space="preserve"> </w:t>
      </w:r>
      <w:r w:rsidRPr="004A0C5D">
        <w:rPr>
          <w:rFonts w:cs="Arial"/>
          <w:szCs w:val="24"/>
        </w:rPr>
        <w:t>in</w:t>
      </w:r>
      <w:r w:rsidR="00337A4B" w:rsidRPr="004A0C5D">
        <w:rPr>
          <w:rFonts w:cs="Arial"/>
          <w:szCs w:val="24"/>
        </w:rPr>
        <w:t xml:space="preserve"> </w:t>
      </w:r>
      <w:r w:rsidR="00337A4B" w:rsidRPr="004A0C5D">
        <w:rPr>
          <w:rFonts w:cs="Arial"/>
          <w:color w:val="0070C0"/>
          <w:szCs w:val="24"/>
        </w:rPr>
        <w:t>the</w:t>
      </w:r>
      <w:r w:rsidRPr="004A0C5D">
        <w:rPr>
          <w:rFonts w:cs="Arial"/>
          <w:szCs w:val="24"/>
        </w:rPr>
        <w:t xml:space="preserve"> </w:t>
      </w:r>
      <w:r w:rsidRPr="004A0C5D">
        <w:rPr>
          <w:rFonts w:cs="Arial"/>
          <w:strike/>
          <w:szCs w:val="24"/>
        </w:rPr>
        <w:t>future</w:t>
      </w:r>
      <w:r w:rsidRPr="004A0C5D">
        <w:rPr>
          <w:rFonts w:cs="Arial"/>
          <w:szCs w:val="24"/>
        </w:rPr>
        <w:t xml:space="preserve"> Housing Land Monitoring Report</w:t>
      </w:r>
      <w:r w:rsidRPr="004A0C5D">
        <w:rPr>
          <w:rFonts w:cs="Arial"/>
          <w:strike/>
          <w:szCs w:val="24"/>
        </w:rPr>
        <w:t>s on an annual basis</w:t>
      </w:r>
      <w:r w:rsidR="00337A4B" w:rsidRPr="004A0C5D">
        <w:rPr>
          <w:rFonts w:cs="Arial"/>
          <w:szCs w:val="24"/>
        </w:rPr>
        <w:t xml:space="preserve"> </w:t>
      </w:r>
      <w:r w:rsidR="00337A4B" w:rsidRPr="004A0C5D">
        <w:rPr>
          <w:rFonts w:cs="Arial"/>
          <w:color w:val="0070C0"/>
          <w:szCs w:val="24"/>
        </w:rPr>
        <w:t>and sets out the current position in respect of need and supply</w:t>
      </w:r>
      <w:r w:rsidRPr="004A0C5D">
        <w:rPr>
          <w:rFonts w:cs="Arial"/>
          <w:szCs w:val="24"/>
        </w:rPr>
        <w:t xml:space="preserve">. </w:t>
      </w:r>
    </w:p>
    <w:p w14:paraId="2C076B0A" w14:textId="77777777" w:rsidR="00337A4B" w:rsidRPr="004A0C5D" w:rsidRDefault="00337A4B" w:rsidP="00337A4B">
      <w:pPr>
        <w:keepNext w:val="0"/>
        <w:spacing w:before="0"/>
        <w:rPr>
          <w:rFonts w:cs="Arial"/>
          <w:szCs w:val="24"/>
        </w:rPr>
      </w:pPr>
    </w:p>
    <w:p w14:paraId="0C315044" w14:textId="4ACBEBEC" w:rsidR="00337A4B" w:rsidRPr="00337A4B" w:rsidRDefault="00337A4B" w:rsidP="00E42ECA">
      <w:pPr>
        <w:keepNext w:val="0"/>
        <w:spacing w:before="0"/>
        <w:ind w:left="567"/>
        <w:rPr>
          <w:color w:val="0070C0"/>
        </w:rPr>
      </w:pPr>
      <w:r w:rsidRPr="004A0C5D">
        <w:rPr>
          <w:color w:val="0070C0"/>
        </w:rPr>
        <w:t>T</w:t>
      </w:r>
      <w:r w:rsidR="00B901A8" w:rsidRPr="004A0C5D">
        <w:rPr>
          <w:color w:val="0070C0"/>
        </w:rPr>
        <w:t>he t</w:t>
      </w:r>
      <w:r w:rsidRPr="004A0C5D">
        <w:rPr>
          <w:color w:val="0070C0"/>
        </w:rPr>
        <w:t>ables below illustrate the supply</w:t>
      </w:r>
      <w:r w:rsidRPr="00337A4B">
        <w:rPr>
          <w:color w:val="0070C0"/>
        </w:rPr>
        <w:t xml:space="preserve"> of accommodation provision against the identified minimum need set out in the GTAA 2020-2038</w:t>
      </w:r>
      <w:r w:rsidR="003348C2">
        <w:rPr>
          <w:color w:val="0070C0"/>
        </w:rPr>
        <w:t xml:space="preserve"> at July 2025</w:t>
      </w:r>
      <w:r w:rsidR="00B901A8">
        <w:rPr>
          <w:color w:val="0070C0"/>
        </w:rPr>
        <w:t>. They</w:t>
      </w:r>
      <w:r w:rsidRPr="00337A4B">
        <w:rPr>
          <w:color w:val="0070C0"/>
        </w:rPr>
        <w:t xml:space="preserve"> demonstrate that this </w:t>
      </w:r>
      <w:r w:rsidR="00B901A8">
        <w:rPr>
          <w:color w:val="0070C0"/>
        </w:rPr>
        <w:t xml:space="preserve">need </w:t>
      </w:r>
      <w:r w:rsidRPr="00337A4B">
        <w:rPr>
          <w:color w:val="0070C0"/>
        </w:rPr>
        <w:t xml:space="preserve">is anticipated to be met in full by </w:t>
      </w:r>
      <w:r>
        <w:rPr>
          <w:color w:val="0070C0"/>
        </w:rPr>
        <w:t>completions between 2020 to 2025</w:t>
      </w:r>
      <w:r w:rsidR="00B901A8">
        <w:rPr>
          <w:color w:val="0070C0"/>
        </w:rPr>
        <w:t xml:space="preserve"> and </w:t>
      </w:r>
      <w:r w:rsidRPr="00337A4B">
        <w:rPr>
          <w:color w:val="0070C0"/>
        </w:rPr>
        <w:t xml:space="preserve">the proposed site allocations under Policy H2a. </w:t>
      </w:r>
    </w:p>
    <w:p w14:paraId="013E2ED2" w14:textId="4B12304F" w:rsidR="00337A4B" w:rsidRPr="00337A4B" w:rsidRDefault="00337A4B" w:rsidP="00337A4B">
      <w:pPr>
        <w:tabs>
          <w:tab w:val="num" w:pos="582"/>
        </w:tabs>
        <w:ind w:left="582" w:hanging="576"/>
        <w:rPr>
          <w:color w:val="0070C0"/>
        </w:rPr>
      </w:pPr>
      <w:r w:rsidRPr="00337A4B">
        <w:rPr>
          <w:rFonts w:cs="Arial"/>
          <w:b/>
          <w:bCs/>
          <w:color w:val="0070C0"/>
          <w:szCs w:val="24"/>
        </w:rPr>
        <w:lastRenderedPageBreak/>
        <w:tab/>
        <w:t>Gypsy &amp; Traveller Accommodation Requirement/Supply</w:t>
      </w:r>
      <w:r w:rsidR="00B901A8">
        <w:rPr>
          <w:rFonts w:cs="Arial"/>
          <w:b/>
          <w:bCs/>
          <w:color w:val="0070C0"/>
          <w:szCs w:val="24"/>
        </w:rPr>
        <w:t>: July 2025</w:t>
      </w:r>
    </w:p>
    <w:tbl>
      <w:tblPr>
        <w:tblW w:w="8789" w:type="dxa"/>
        <w:tblInd w:w="562" w:type="dxa"/>
        <w:tblLook w:val="04A0" w:firstRow="1" w:lastRow="0" w:firstColumn="1" w:lastColumn="0" w:noHBand="0" w:noVBand="1"/>
      </w:tblPr>
      <w:tblGrid>
        <w:gridCol w:w="6946"/>
        <w:gridCol w:w="1843"/>
      </w:tblGrid>
      <w:tr w:rsidR="00337A4B" w:rsidRPr="00337A4B" w14:paraId="29B5496B" w14:textId="77777777">
        <w:trPr>
          <w:trHeight w:val="495"/>
        </w:trPr>
        <w:tc>
          <w:tcPr>
            <w:tcW w:w="6946" w:type="dxa"/>
            <w:tcBorders>
              <w:top w:val="single" w:sz="4" w:space="0" w:color="auto"/>
              <w:left w:val="single" w:sz="4" w:space="0" w:color="auto"/>
              <w:bottom w:val="single" w:sz="4" w:space="0" w:color="auto"/>
              <w:right w:val="single" w:sz="4" w:space="0" w:color="auto"/>
            </w:tcBorders>
            <w:noWrap/>
            <w:vAlign w:val="bottom"/>
            <w:hideMark/>
          </w:tcPr>
          <w:p w14:paraId="4996E044" w14:textId="77777777" w:rsidR="00337A4B" w:rsidRPr="00337A4B" w:rsidRDefault="00337A4B">
            <w:pPr>
              <w:rPr>
                <w:rFonts w:cs="Arial"/>
                <w:color w:val="0070C0"/>
                <w:kern w:val="2"/>
                <w:szCs w:val="24"/>
                <w14:ligatures w14:val="standardContextual"/>
              </w:rPr>
            </w:pPr>
            <w:r w:rsidRPr="00337A4B">
              <w:rPr>
                <w:rFonts w:cs="Arial"/>
                <w:color w:val="0070C0"/>
                <w:kern w:val="2"/>
                <w:szCs w:val="24"/>
                <w14:ligatures w14:val="standardContextual"/>
              </w:rPr>
              <w:t>Gypsy/Traveller Pitch minimum requirement 2020-2038</w:t>
            </w:r>
          </w:p>
        </w:tc>
        <w:tc>
          <w:tcPr>
            <w:tcW w:w="1843" w:type="dxa"/>
            <w:tcBorders>
              <w:top w:val="single" w:sz="4" w:space="0" w:color="auto"/>
              <w:left w:val="nil"/>
              <w:bottom w:val="single" w:sz="4" w:space="0" w:color="auto"/>
              <w:right w:val="single" w:sz="4" w:space="0" w:color="auto"/>
            </w:tcBorders>
            <w:noWrap/>
            <w:vAlign w:val="bottom"/>
            <w:hideMark/>
          </w:tcPr>
          <w:p w14:paraId="3C267077" w14:textId="77777777" w:rsidR="00337A4B" w:rsidRPr="00337A4B" w:rsidRDefault="00337A4B">
            <w:pPr>
              <w:jc w:val="right"/>
              <w:rPr>
                <w:rFonts w:cs="Arial"/>
                <w:color w:val="0070C0"/>
                <w:kern w:val="2"/>
                <w:szCs w:val="24"/>
                <w14:ligatures w14:val="standardContextual"/>
              </w:rPr>
            </w:pPr>
            <w:r w:rsidRPr="00337A4B">
              <w:rPr>
                <w:rFonts w:cs="Arial"/>
                <w:color w:val="0070C0"/>
                <w:kern w:val="2"/>
                <w:szCs w:val="24"/>
                <w14:ligatures w14:val="standardContextual"/>
              </w:rPr>
              <w:t>4</w:t>
            </w:r>
          </w:p>
        </w:tc>
      </w:tr>
      <w:tr w:rsidR="00337A4B" w:rsidRPr="00337A4B" w14:paraId="53AD9C5A" w14:textId="77777777">
        <w:trPr>
          <w:trHeight w:val="450"/>
        </w:trPr>
        <w:tc>
          <w:tcPr>
            <w:tcW w:w="6946" w:type="dxa"/>
            <w:tcBorders>
              <w:top w:val="nil"/>
              <w:left w:val="single" w:sz="4" w:space="0" w:color="auto"/>
              <w:bottom w:val="single" w:sz="4" w:space="0" w:color="auto"/>
              <w:right w:val="single" w:sz="4" w:space="0" w:color="auto"/>
            </w:tcBorders>
            <w:noWrap/>
            <w:vAlign w:val="bottom"/>
            <w:hideMark/>
          </w:tcPr>
          <w:p w14:paraId="2ACE4C96" w14:textId="77777777" w:rsidR="00337A4B" w:rsidRPr="00337A4B" w:rsidRDefault="00337A4B">
            <w:pPr>
              <w:rPr>
                <w:rFonts w:cs="Arial"/>
                <w:color w:val="0070C0"/>
                <w:kern w:val="2"/>
                <w:szCs w:val="24"/>
                <w14:ligatures w14:val="standardContextual"/>
              </w:rPr>
            </w:pPr>
            <w:r w:rsidRPr="00337A4B">
              <w:rPr>
                <w:rFonts w:cs="Arial"/>
                <w:color w:val="0070C0"/>
                <w:kern w:val="2"/>
                <w:szCs w:val="24"/>
                <w14:ligatures w14:val="standardContextual"/>
              </w:rPr>
              <w:t>New pitches delivered 2020 - 2025</w:t>
            </w:r>
          </w:p>
        </w:tc>
        <w:tc>
          <w:tcPr>
            <w:tcW w:w="1843" w:type="dxa"/>
            <w:tcBorders>
              <w:top w:val="nil"/>
              <w:left w:val="nil"/>
              <w:bottom w:val="single" w:sz="4" w:space="0" w:color="auto"/>
              <w:right w:val="single" w:sz="4" w:space="0" w:color="auto"/>
            </w:tcBorders>
            <w:noWrap/>
            <w:vAlign w:val="bottom"/>
            <w:hideMark/>
          </w:tcPr>
          <w:p w14:paraId="475CF19B" w14:textId="77777777" w:rsidR="00337A4B" w:rsidRPr="00337A4B" w:rsidRDefault="00337A4B">
            <w:pPr>
              <w:jc w:val="right"/>
              <w:rPr>
                <w:rFonts w:cs="Arial"/>
                <w:color w:val="0070C0"/>
                <w:kern w:val="2"/>
                <w:szCs w:val="24"/>
                <w14:ligatures w14:val="standardContextual"/>
              </w:rPr>
            </w:pPr>
            <w:r w:rsidRPr="00337A4B">
              <w:rPr>
                <w:rFonts w:cs="Arial"/>
                <w:color w:val="0070C0"/>
                <w:kern w:val="2"/>
                <w:szCs w:val="24"/>
                <w14:ligatures w14:val="standardContextual"/>
              </w:rPr>
              <w:t>1</w:t>
            </w:r>
          </w:p>
        </w:tc>
      </w:tr>
      <w:tr w:rsidR="00337A4B" w:rsidRPr="00337A4B" w14:paraId="65B5045D" w14:textId="77777777">
        <w:trPr>
          <w:trHeight w:val="465"/>
        </w:trPr>
        <w:tc>
          <w:tcPr>
            <w:tcW w:w="6946" w:type="dxa"/>
            <w:tcBorders>
              <w:top w:val="nil"/>
              <w:left w:val="single" w:sz="4" w:space="0" w:color="auto"/>
              <w:bottom w:val="single" w:sz="4" w:space="0" w:color="auto"/>
              <w:right w:val="single" w:sz="4" w:space="0" w:color="auto"/>
            </w:tcBorders>
            <w:noWrap/>
            <w:vAlign w:val="bottom"/>
            <w:hideMark/>
          </w:tcPr>
          <w:p w14:paraId="465408C1" w14:textId="77777777" w:rsidR="00337A4B" w:rsidRPr="00337A4B" w:rsidRDefault="00337A4B">
            <w:pPr>
              <w:rPr>
                <w:rFonts w:cs="Arial"/>
                <w:color w:val="0070C0"/>
                <w:kern w:val="2"/>
                <w:szCs w:val="24"/>
                <w14:ligatures w14:val="standardContextual"/>
              </w:rPr>
            </w:pPr>
            <w:r w:rsidRPr="00337A4B">
              <w:rPr>
                <w:rFonts w:cs="Arial"/>
                <w:color w:val="0070C0"/>
                <w:kern w:val="2"/>
                <w:szCs w:val="24"/>
                <w14:ligatures w14:val="standardContextual"/>
              </w:rPr>
              <w:t>Net pitch requirement 2025 - 2038</w:t>
            </w:r>
          </w:p>
        </w:tc>
        <w:tc>
          <w:tcPr>
            <w:tcW w:w="1843" w:type="dxa"/>
            <w:tcBorders>
              <w:top w:val="nil"/>
              <w:left w:val="nil"/>
              <w:bottom w:val="single" w:sz="4" w:space="0" w:color="auto"/>
              <w:right w:val="single" w:sz="4" w:space="0" w:color="auto"/>
            </w:tcBorders>
            <w:noWrap/>
            <w:vAlign w:val="bottom"/>
            <w:hideMark/>
          </w:tcPr>
          <w:p w14:paraId="20E0A8B6" w14:textId="77777777" w:rsidR="00337A4B" w:rsidRPr="00337A4B" w:rsidRDefault="00337A4B">
            <w:pPr>
              <w:jc w:val="right"/>
              <w:rPr>
                <w:rFonts w:cs="Arial"/>
                <w:color w:val="0070C0"/>
                <w:kern w:val="2"/>
                <w:szCs w:val="24"/>
                <w14:ligatures w14:val="standardContextual"/>
              </w:rPr>
            </w:pPr>
            <w:r w:rsidRPr="00337A4B">
              <w:rPr>
                <w:rFonts w:cs="Arial"/>
                <w:color w:val="0070C0"/>
                <w:kern w:val="2"/>
                <w:szCs w:val="24"/>
                <w14:ligatures w14:val="standardContextual"/>
              </w:rPr>
              <w:t>3</w:t>
            </w:r>
          </w:p>
        </w:tc>
      </w:tr>
      <w:tr w:rsidR="00337A4B" w:rsidRPr="00337A4B" w14:paraId="26449B39" w14:textId="77777777">
        <w:trPr>
          <w:trHeight w:val="510"/>
        </w:trPr>
        <w:tc>
          <w:tcPr>
            <w:tcW w:w="6946" w:type="dxa"/>
            <w:tcBorders>
              <w:top w:val="nil"/>
              <w:left w:val="single" w:sz="4" w:space="0" w:color="auto"/>
              <w:bottom w:val="single" w:sz="4" w:space="0" w:color="auto"/>
              <w:right w:val="single" w:sz="4" w:space="0" w:color="auto"/>
            </w:tcBorders>
            <w:noWrap/>
            <w:vAlign w:val="bottom"/>
            <w:hideMark/>
          </w:tcPr>
          <w:p w14:paraId="6C75511A" w14:textId="77777777" w:rsidR="00337A4B" w:rsidRPr="00337A4B" w:rsidRDefault="00337A4B">
            <w:pPr>
              <w:rPr>
                <w:rFonts w:cs="Arial"/>
                <w:color w:val="0070C0"/>
                <w:kern w:val="2"/>
                <w:szCs w:val="24"/>
                <w14:ligatures w14:val="standardContextual"/>
              </w:rPr>
            </w:pPr>
            <w:r w:rsidRPr="00337A4B">
              <w:rPr>
                <w:rFonts w:cs="Arial"/>
                <w:color w:val="0070C0"/>
                <w:kern w:val="2"/>
                <w:szCs w:val="24"/>
                <w14:ligatures w14:val="standardContextual"/>
              </w:rPr>
              <w:t>Future Supply from Policy H2a(c) allocation</w:t>
            </w:r>
          </w:p>
        </w:tc>
        <w:tc>
          <w:tcPr>
            <w:tcW w:w="1843" w:type="dxa"/>
            <w:tcBorders>
              <w:top w:val="nil"/>
              <w:left w:val="nil"/>
              <w:bottom w:val="single" w:sz="4" w:space="0" w:color="auto"/>
              <w:right w:val="single" w:sz="4" w:space="0" w:color="auto"/>
            </w:tcBorders>
            <w:noWrap/>
            <w:vAlign w:val="bottom"/>
            <w:hideMark/>
          </w:tcPr>
          <w:p w14:paraId="6BB5532B" w14:textId="77777777" w:rsidR="00337A4B" w:rsidRPr="00337A4B" w:rsidRDefault="00337A4B">
            <w:pPr>
              <w:jc w:val="right"/>
              <w:rPr>
                <w:rFonts w:cs="Arial"/>
                <w:color w:val="0070C0"/>
                <w:kern w:val="2"/>
                <w:szCs w:val="24"/>
                <w14:ligatures w14:val="standardContextual"/>
              </w:rPr>
            </w:pPr>
            <w:r w:rsidRPr="00337A4B">
              <w:rPr>
                <w:rFonts w:cs="Arial"/>
                <w:color w:val="0070C0"/>
                <w:kern w:val="2"/>
                <w:szCs w:val="24"/>
                <w14:ligatures w14:val="standardContextual"/>
              </w:rPr>
              <w:t>4</w:t>
            </w:r>
          </w:p>
        </w:tc>
      </w:tr>
      <w:tr w:rsidR="00337A4B" w:rsidRPr="00337A4B" w14:paraId="5EA28019" w14:textId="77777777" w:rsidTr="00337A4B">
        <w:trPr>
          <w:trHeight w:val="450"/>
        </w:trPr>
        <w:tc>
          <w:tcPr>
            <w:tcW w:w="6946"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103A443" w14:textId="77777777" w:rsidR="00337A4B" w:rsidRPr="00E56F9C" w:rsidRDefault="00337A4B">
            <w:pPr>
              <w:rPr>
                <w:rFonts w:cs="Arial"/>
                <w:color w:val="005EAC"/>
                <w:kern w:val="2"/>
                <w:szCs w:val="24"/>
                <w14:ligatures w14:val="standardContextual"/>
              </w:rPr>
            </w:pPr>
            <w:r w:rsidRPr="00E56F9C">
              <w:rPr>
                <w:rFonts w:cs="Arial"/>
                <w:color w:val="005EAC"/>
                <w:kern w:val="2"/>
                <w:szCs w:val="24"/>
                <w14:ligatures w14:val="standardContextual"/>
              </w:rPr>
              <w:t>Balance of requirement 2025 - 2038</w:t>
            </w:r>
          </w:p>
        </w:tc>
        <w:tc>
          <w:tcPr>
            <w:tcW w:w="1843" w:type="dxa"/>
            <w:tcBorders>
              <w:top w:val="nil"/>
              <w:left w:val="nil"/>
              <w:bottom w:val="single" w:sz="4" w:space="0" w:color="auto"/>
              <w:right w:val="single" w:sz="4" w:space="0" w:color="auto"/>
            </w:tcBorders>
            <w:shd w:val="clear" w:color="auto" w:fill="D9D9D9" w:themeFill="background1" w:themeFillShade="D9"/>
            <w:noWrap/>
            <w:vAlign w:val="bottom"/>
            <w:hideMark/>
          </w:tcPr>
          <w:p w14:paraId="73C16DE9" w14:textId="77777777" w:rsidR="00337A4B" w:rsidRPr="00E56F9C" w:rsidRDefault="00337A4B">
            <w:pPr>
              <w:jc w:val="right"/>
              <w:rPr>
                <w:rFonts w:cs="Arial"/>
                <w:color w:val="005EAC"/>
                <w:kern w:val="2"/>
                <w:szCs w:val="24"/>
                <w14:ligatures w14:val="standardContextual"/>
              </w:rPr>
            </w:pPr>
            <w:r w:rsidRPr="00E56F9C">
              <w:rPr>
                <w:rFonts w:cs="Arial"/>
                <w:color w:val="005EAC"/>
                <w:kern w:val="2"/>
                <w:szCs w:val="24"/>
                <w14:ligatures w14:val="standardContextual"/>
              </w:rPr>
              <w:t>-1</w:t>
            </w:r>
          </w:p>
        </w:tc>
      </w:tr>
    </w:tbl>
    <w:p w14:paraId="1B19340C" w14:textId="77777777" w:rsidR="00337A4B" w:rsidRPr="00337A4B" w:rsidRDefault="00337A4B" w:rsidP="00337A4B">
      <w:pPr>
        <w:rPr>
          <w:rFonts w:eastAsiaTheme="minorHAnsi" w:cstheme="minorBidi"/>
          <w:color w:val="0070C0"/>
          <w:szCs w:val="22"/>
          <w:lang w:eastAsia="en-US"/>
        </w:rPr>
      </w:pPr>
    </w:p>
    <w:p w14:paraId="30EE7897" w14:textId="034FBA21" w:rsidR="00337A4B" w:rsidRPr="00337A4B" w:rsidRDefault="00337A4B" w:rsidP="00337A4B">
      <w:pPr>
        <w:ind w:firstLine="567"/>
        <w:rPr>
          <w:color w:val="0070C0"/>
        </w:rPr>
      </w:pPr>
      <w:r w:rsidRPr="00337A4B">
        <w:rPr>
          <w:rFonts w:cs="Arial"/>
          <w:b/>
          <w:bCs/>
          <w:color w:val="0070C0"/>
          <w:szCs w:val="24"/>
        </w:rPr>
        <w:t xml:space="preserve">Travelling </w:t>
      </w:r>
      <w:proofErr w:type="spellStart"/>
      <w:r w:rsidRPr="00337A4B">
        <w:rPr>
          <w:rFonts w:cs="Arial"/>
          <w:b/>
          <w:bCs/>
          <w:color w:val="0070C0"/>
          <w:szCs w:val="24"/>
        </w:rPr>
        <w:t>Showpeople's</w:t>
      </w:r>
      <w:proofErr w:type="spellEnd"/>
      <w:r w:rsidRPr="00337A4B">
        <w:rPr>
          <w:rFonts w:cs="Arial"/>
          <w:b/>
          <w:bCs/>
          <w:color w:val="0070C0"/>
          <w:szCs w:val="24"/>
        </w:rPr>
        <w:t xml:space="preserve"> Accommodation Requirement/Supply</w:t>
      </w:r>
      <w:r w:rsidR="00B901A8">
        <w:rPr>
          <w:rFonts w:cs="Arial"/>
          <w:b/>
          <w:bCs/>
          <w:color w:val="0070C0"/>
          <w:szCs w:val="24"/>
        </w:rPr>
        <w:t>: July 2025</w:t>
      </w:r>
    </w:p>
    <w:tbl>
      <w:tblPr>
        <w:tblW w:w="8789" w:type="dxa"/>
        <w:tblInd w:w="562" w:type="dxa"/>
        <w:tblLook w:val="04A0" w:firstRow="1" w:lastRow="0" w:firstColumn="1" w:lastColumn="0" w:noHBand="0" w:noVBand="1"/>
      </w:tblPr>
      <w:tblGrid>
        <w:gridCol w:w="6946"/>
        <w:gridCol w:w="1843"/>
      </w:tblGrid>
      <w:tr w:rsidR="00337A4B" w:rsidRPr="00337A4B" w14:paraId="6BC926F2" w14:textId="77777777">
        <w:trPr>
          <w:trHeight w:val="525"/>
        </w:trPr>
        <w:tc>
          <w:tcPr>
            <w:tcW w:w="6946" w:type="dxa"/>
            <w:tcBorders>
              <w:top w:val="single" w:sz="4" w:space="0" w:color="auto"/>
              <w:left w:val="single" w:sz="4" w:space="0" w:color="auto"/>
              <w:bottom w:val="single" w:sz="4" w:space="0" w:color="auto"/>
              <w:right w:val="single" w:sz="4" w:space="0" w:color="auto"/>
            </w:tcBorders>
            <w:noWrap/>
            <w:vAlign w:val="bottom"/>
            <w:hideMark/>
          </w:tcPr>
          <w:p w14:paraId="47951697" w14:textId="77777777" w:rsidR="00337A4B" w:rsidRPr="00337A4B" w:rsidRDefault="00337A4B">
            <w:pPr>
              <w:rPr>
                <w:rFonts w:cs="Arial"/>
                <w:color w:val="0070C0"/>
                <w:kern w:val="2"/>
                <w:szCs w:val="24"/>
                <w14:ligatures w14:val="standardContextual"/>
              </w:rPr>
            </w:pPr>
            <w:proofErr w:type="spellStart"/>
            <w:r w:rsidRPr="00337A4B">
              <w:rPr>
                <w:rFonts w:cs="Arial"/>
                <w:color w:val="0070C0"/>
                <w:kern w:val="2"/>
                <w:szCs w:val="24"/>
                <w14:ligatures w14:val="standardContextual"/>
              </w:rPr>
              <w:t>Showpeople's</w:t>
            </w:r>
            <w:proofErr w:type="spellEnd"/>
            <w:r w:rsidRPr="00337A4B">
              <w:rPr>
                <w:rFonts w:cs="Arial"/>
                <w:color w:val="0070C0"/>
                <w:kern w:val="2"/>
                <w:szCs w:val="24"/>
                <w14:ligatures w14:val="standardContextual"/>
              </w:rPr>
              <w:t xml:space="preserve"> Plots minimum requirement 2020-2038</w:t>
            </w:r>
          </w:p>
        </w:tc>
        <w:tc>
          <w:tcPr>
            <w:tcW w:w="1843" w:type="dxa"/>
            <w:tcBorders>
              <w:top w:val="single" w:sz="4" w:space="0" w:color="auto"/>
              <w:left w:val="nil"/>
              <w:bottom w:val="single" w:sz="4" w:space="0" w:color="auto"/>
              <w:right w:val="single" w:sz="4" w:space="0" w:color="auto"/>
            </w:tcBorders>
            <w:noWrap/>
            <w:vAlign w:val="bottom"/>
            <w:hideMark/>
          </w:tcPr>
          <w:p w14:paraId="3D90819D" w14:textId="77777777" w:rsidR="00337A4B" w:rsidRPr="00337A4B" w:rsidRDefault="00337A4B">
            <w:pPr>
              <w:jc w:val="right"/>
              <w:rPr>
                <w:rFonts w:cs="Arial"/>
                <w:color w:val="0070C0"/>
                <w:kern w:val="2"/>
                <w:szCs w:val="24"/>
                <w14:ligatures w14:val="standardContextual"/>
              </w:rPr>
            </w:pPr>
            <w:r w:rsidRPr="00337A4B">
              <w:rPr>
                <w:rFonts w:cs="Arial"/>
                <w:color w:val="0070C0"/>
                <w:kern w:val="2"/>
                <w:szCs w:val="24"/>
                <w14:ligatures w14:val="standardContextual"/>
              </w:rPr>
              <w:t>14</w:t>
            </w:r>
          </w:p>
        </w:tc>
      </w:tr>
      <w:tr w:rsidR="00337A4B" w:rsidRPr="00337A4B" w14:paraId="37DA92EE" w14:textId="77777777">
        <w:trPr>
          <w:trHeight w:val="390"/>
        </w:trPr>
        <w:tc>
          <w:tcPr>
            <w:tcW w:w="6946" w:type="dxa"/>
            <w:tcBorders>
              <w:top w:val="nil"/>
              <w:left w:val="single" w:sz="4" w:space="0" w:color="auto"/>
              <w:bottom w:val="single" w:sz="4" w:space="0" w:color="auto"/>
              <w:right w:val="single" w:sz="4" w:space="0" w:color="auto"/>
            </w:tcBorders>
            <w:noWrap/>
            <w:vAlign w:val="bottom"/>
            <w:hideMark/>
          </w:tcPr>
          <w:p w14:paraId="1EE7F39F" w14:textId="77777777" w:rsidR="00337A4B" w:rsidRPr="00337A4B" w:rsidRDefault="00337A4B">
            <w:pPr>
              <w:rPr>
                <w:rFonts w:cs="Arial"/>
                <w:color w:val="0070C0"/>
                <w:kern w:val="2"/>
                <w:szCs w:val="24"/>
                <w14:ligatures w14:val="standardContextual"/>
              </w:rPr>
            </w:pPr>
            <w:r w:rsidRPr="00337A4B">
              <w:rPr>
                <w:rFonts w:cs="Arial"/>
                <w:color w:val="0070C0"/>
                <w:kern w:val="2"/>
                <w:szCs w:val="24"/>
                <w14:ligatures w14:val="standardContextual"/>
              </w:rPr>
              <w:t>New plots delivered 2020 - 2025</w:t>
            </w:r>
          </w:p>
        </w:tc>
        <w:tc>
          <w:tcPr>
            <w:tcW w:w="1843" w:type="dxa"/>
            <w:tcBorders>
              <w:top w:val="nil"/>
              <w:left w:val="nil"/>
              <w:bottom w:val="single" w:sz="4" w:space="0" w:color="auto"/>
              <w:right w:val="single" w:sz="4" w:space="0" w:color="auto"/>
            </w:tcBorders>
            <w:noWrap/>
            <w:vAlign w:val="bottom"/>
            <w:hideMark/>
          </w:tcPr>
          <w:p w14:paraId="4379EF35" w14:textId="77777777" w:rsidR="00337A4B" w:rsidRPr="00337A4B" w:rsidRDefault="00337A4B">
            <w:pPr>
              <w:jc w:val="right"/>
              <w:rPr>
                <w:rFonts w:cs="Arial"/>
                <w:color w:val="0070C0"/>
                <w:kern w:val="2"/>
                <w:szCs w:val="24"/>
                <w14:ligatures w14:val="standardContextual"/>
              </w:rPr>
            </w:pPr>
            <w:r w:rsidRPr="00337A4B">
              <w:rPr>
                <w:rFonts w:cs="Arial"/>
                <w:color w:val="0070C0"/>
                <w:kern w:val="2"/>
                <w:szCs w:val="24"/>
                <w14:ligatures w14:val="standardContextual"/>
              </w:rPr>
              <w:t>7</w:t>
            </w:r>
          </w:p>
        </w:tc>
      </w:tr>
      <w:tr w:rsidR="00337A4B" w:rsidRPr="00337A4B" w14:paraId="3B5263DB" w14:textId="77777777">
        <w:trPr>
          <w:trHeight w:val="390"/>
        </w:trPr>
        <w:tc>
          <w:tcPr>
            <w:tcW w:w="6946" w:type="dxa"/>
            <w:tcBorders>
              <w:top w:val="nil"/>
              <w:left w:val="single" w:sz="4" w:space="0" w:color="auto"/>
              <w:bottom w:val="single" w:sz="4" w:space="0" w:color="auto"/>
              <w:right w:val="single" w:sz="4" w:space="0" w:color="auto"/>
            </w:tcBorders>
            <w:noWrap/>
            <w:vAlign w:val="bottom"/>
            <w:hideMark/>
          </w:tcPr>
          <w:p w14:paraId="574383A9" w14:textId="77777777" w:rsidR="00337A4B" w:rsidRPr="00337A4B" w:rsidRDefault="00337A4B">
            <w:pPr>
              <w:rPr>
                <w:rFonts w:cs="Arial"/>
                <w:color w:val="0070C0"/>
                <w:kern w:val="2"/>
                <w:szCs w:val="24"/>
                <w14:ligatures w14:val="standardContextual"/>
              </w:rPr>
            </w:pPr>
            <w:r w:rsidRPr="00337A4B">
              <w:rPr>
                <w:rFonts w:cs="Arial"/>
                <w:color w:val="0070C0"/>
                <w:kern w:val="2"/>
                <w:szCs w:val="24"/>
                <w14:ligatures w14:val="standardContextual"/>
              </w:rPr>
              <w:t>Net plot requirement 2025 - 2038</w:t>
            </w:r>
          </w:p>
        </w:tc>
        <w:tc>
          <w:tcPr>
            <w:tcW w:w="1843" w:type="dxa"/>
            <w:tcBorders>
              <w:top w:val="nil"/>
              <w:left w:val="nil"/>
              <w:bottom w:val="single" w:sz="4" w:space="0" w:color="auto"/>
              <w:right w:val="single" w:sz="4" w:space="0" w:color="auto"/>
            </w:tcBorders>
            <w:noWrap/>
            <w:vAlign w:val="bottom"/>
            <w:hideMark/>
          </w:tcPr>
          <w:p w14:paraId="541EC402" w14:textId="77777777" w:rsidR="00337A4B" w:rsidRPr="00337A4B" w:rsidRDefault="00337A4B">
            <w:pPr>
              <w:jc w:val="right"/>
              <w:rPr>
                <w:rFonts w:cs="Arial"/>
                <w:color w:val="0070C0"/>
                <w:kern w:val="2"/>
                <w:szCs w:val="24"/>
                <w14:ligatures w14:val="standardContextual"/>
              </w:rPr>
            </w:pPr>
            <w:r w:rsidRPr="00337A4B">
              <w:rPr>
                <w:rFonts w:cs="Arial"/>
                <w:color w:val="0070C0"/>
                <w:kern w:val="2"/>
                <w:szCs w:val="24"/>
                <w14:ligatures w14:val="standardContextual"/>
              </w:rPr>
              <w:t>7</w:t>
            </w:r>
          </w:p>
        </w:tc>
      </w:tr>
      <w:tr w:rsidR="00337A4B" w:rsidRPr="00337A4B" w14:paraId="60042193" w14:textId="77777777">
        <w:trPr>
          <w:trHeight w:val="360"/>
        </w:trPr>
        <w:tc>
          <w:tcPr>
            <w:tcW w:w="6946" w:type="dxa"/>
            <w:tcBorders>
              <w:top w:val="nil"/>
              <w:left w:val="single" w:sz="4" w:space="0" w:color="auto"/>
              <w:bottom w:val="single" w:sz="4" w:space="0" w:color="auto"/>
              <w:right w:val="single" w:sz="4" w:space="0" w:color="auto"/>
            </w:tcBorders>
            <w:noWrap/>
            <w:vAlign w:val="bottom"/>
            <w:hideMark/>
          </w:tcPr>
          <w:p w14:paraId="62CDAE4F" w14:textId="77777777" w:rsidR="00337A4B" w:rsidRPr="00337A4B" w:rsidRDefault="00337A4B">
            <w:pPr>
              <w:rPr>
                <w:rFonts w:cs="Arial"/>
                <w:color w:val="0070C0"/>
                <w:kern w:val="2"/>
                <w:szCs w:val="24"/>
                <w14:ligatures w14:val="standardContextual"/>
              </w:rPr>
            </w:pPr>
            <w:r w:rsidRPr="00337A4B">
              <w:rPr>
                <w:rFonts w:cs="Arial"/>
                <w:color w:val="0070C0"/>
                <w:kern w:val="2"/>
                <w:szCs w:val="24"/>
                <w14:ligatures w14:val="standardContextual"/>
              </w:rPr>
              <w:t>Supply from Policy H2a(b) allocation</w:t>
            </w:r>
          </w:p>
        </w:tc>
        <w:tc>
          <w:tcPr>
            <w:tcW w:w="1843" w:type="dxa"/>
            <w:tcBorders>
              <w:top w:val="nil"/>
              <w:left w:val="nil"/>
              <w:bottom w:val="single" w:sz="4" w:space="0" w:color="auto"/>
              <w:right w:val="single" w:sz="4" w:space="0" w:color="auto"/>
            </w:tcBorders>
            <w:noWrap/>
            <w:vAlign w:val="bottom"/>
            <w:hideMark/>
          </w:tcPr>
          <w:p w14:paraId="07A5002B" w14:textId="77777777" w:rsidR="00337A4B" w:rsidRPr="00337A4B" w:rsidRDefault="00337A4B">
            <w:pPr>
              <w:jc w:val="right"/>
              <w:rPr>
                <w:rFonts w:cs="Arial"/>
                <w:color w:val="0070C0"/>
                <w:kern w:val="2"/>
                <w:szCs w:val="24"/>
                <w14:ligatures w14:val="standardContextual"/>
              </w:rPr>
            </w:pPr>
            <w:r w:rsidRPr="00337A4B">
              <w:rPr>
                <w:rFonts w:cs="Arial"/>
                <w:color w:val="0070C0"/>
                <w:kern w:val="2"/>
                <w:szCs w:val="24"/>
                <w14:ligatures w14:val="standardContextual"/>
              </w:rPr>
              <w:t>7</w:t>
            </w:r>
          </w:p>
        </w:tc>
      </w:tr>
      <w:tr w:rsidR="00337A4B" w:rsidRPr="00337A4B" w14:paraId="17D5C390" w14:textId="77777777" w:rsidTr="00337A4B">
        <w:trPr>
          <w:trHeight w:val="450"/>
        </w:trPr>
        <w:tc>
          <w:tcPr>
            <w:tcW w:w="6946"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988E7D6" w14:textId="77777777" w:rsidR="00337A4B" w:rsidRPr="00E56F9C" w:rsidRDefault="00337A4B">
            <w:pPr>
              <w:rPr>
                <w:rFonts w:cs="Arial"/>
                <w:color w:val="005EAC"/>
                <w:kern w:val="2"/>
                <w:szCs w:val="24"/>
                <w14:ligatures w14:val="standardContextual"/>
              </w:rPr>
            </w:pPr>
            <w:r w:rsidRPr="00E56F9C">
              <w:rPr>
                <w:rFonts w:cs="Arial"/>
                <w:color w:val="005EAC"/>
                <w:kern w:val="2"/>
                <w:szCs w:val="24"/>
                <w14:ligatures w14:val="standardContextual"/>
              </w:rPr>
              <w:t>Balance of requirement 2025 - 2038</w:t>
            </w:r>
          </w:p>
        </w:tc>
        <w:tc>
          <w:tcPr>
            <w:tcW w:w="1843" w:type="dxa"/>
            <w:tcBorders>
              <w:top w:val="nil"/>
              <w:left w:val="nil"/>
              <w:bottom w:val="single" w:sz="4" w:space="0" w:color="auto"/>
              <w:right w:val="single" w:sz="4" w:space="0" w:color="auto"/>
            </w:tcBorders>
            <w:shd w:val="clear" w:color="auto" w:fill="D9D9D9" w:themeFill="background1" w:themeFillShade="D9"/>
            <w:noWrap/>
            <w:vAlign w:val="bottom"/>
            <w:hideMark/>
          </w:tcPr>
          <w:p w14:paraId="3432B1A5" w14:textId="77777777" w:rsidR="00337A4B" w:rsidRPr="00E56F9C" w:rsidRDefault="00337A4B">
            <w:pPr>
              <w:jc w:val="right"/>
              <w:rPr>
                <w:rFonts w:cs="Arial"/>
                <w:color w:val="005EAC"/>
                <w:kern w:val="2"/>
                <w:szCs w:val="24"/>
                <w14:ligatures w14:val="standardContextual"/>
              </w:rPr>
            </w:pPr>
            <w:r w:rsidRPr="00E56F9C">
              <w:rPr>
                <w:rFonts w:cs="Arial"/>
                <w:color w:val="005EAC"/>
                <w:kern w:val="2"/>
                <w:szCs w:val="24"/>
                <w14:ligatures w14:val="standardContextual"/>
              </w:rPr>
              <w:t>0</w:t>
            </w:r>
          </w:p>
        </w:tc>
      </w:tr>
    </w:tbl>
    <w:p w14:paraId="289CF965" w14:textId="7EBC1CC3" w:rsidR="005F229B" w:rsidRPr="003B0537" w:rsidRDefault="005F229B" w:rsidP="00337A4B">
      <w:pPr>
        <w:keepNext w:val="0"/>
        <w:spacing w:before="0"/>
        <w:rPr>
          <w:rFonts w:cs="Arial"/>
          <w:color w:val="auto"/>
          <w:szCs w:val="24"/>
          <w:lang w:eastAsia="en-US"/>
        </w:rPr>
      </w:pPr>
    </w:p>
    <w:p w14:paraId="5BADE59D" w14:textId="77777777" w:rsidR="00337A4B" w:rsidRDefault="00337A4B">
      <w:pPr>
        <w:keepNext w:val="0"/>
        <w:spacing w:before="0"/>
        <w:rPr>
          <w:b/>
          <w:sz w:val="28"/>
          <w:szCs w:val="28"/>
          <w:lang w:eastAsia="en-US"/>
        </w:rPr>
      </w:pPr>
      <w:bookmarkStart w:id="72" w:name="_Toc145511560"/>
      <w:bookmarkStart w:id="73" w:name="_Hlk146273104"/>
      <w:r>
        <w:rPr>
          <w:sz w:val="28"/>
          <w:szCs w:val="28"/>
        </w:rPr>
        <w:br w:type="page"/>
      </w:r>
    </w:p>
    <w:p w14:paraId="1695F32C" w14:textId="622FB7E0" w:rsidR="005F229B" w:rsidRPr="009D5737" w:rsidRDefault="004D1D2A" w:rsidP="009D5737">
      <w:pPr>
        <w:pStyle w:val="Heading2"/>
        <w:jc w:val="left"/>
        <w:rPr>
          <w:sz w:val="28"/>
          <w:szCs w:val="28"/>
        </w:rPr>
      </w:pPr>
      <w:r w:rsidRPr="009D5737">
        <w:rPr>
          <w:sz w:val="28"/>
          <w:szCs w:val="28"/>
        </w:rPr>
        <w:lastRenderedPageBreak/>
        <w:t xml:space="preserve">Strategic Policy </w:t>
      </w:r>
      <w:r w:rsidR="005F229B" w:rsidRPr="009D5737">
        <w:rPr>
          <w:sz w:val="28"/>
          <w:szCs w:val="28"/>
        </w:rPr>
        <w:t>S</w:t>
      </w:r>
      <w:r w:rsidR="005908AA" w:rsidRPr="009D5737">
        <w:rPr>
          <w:sz w:val="28"/>
          <w:szCs w:val="28"/>
        </w:rPr>
        <w:t>8</w:t>
      </w:r>
      <w:r w:rsidRPr="009D5737">
        <w:rPr>
          <w:sz w:val="28"/>
          <w:szCs w:val="28"/>
        </w:rPr>
        <w:t>:</w:t>
      </w:r>
      <w:r w:rsidR="005F229B" w:rsidRPr="009D5737">
        <w:rPr>
          <w:sz w:val="28"/>
          <w:szCs w:val="28"/>
        </w:rPr>
        <w:t xml:space="preserve"> </w:t>
      </w:r>
      <w:r w:rsidR="00162A7B" w:rsidRPr="009D5737">
        <w:rPr>
          <w:sz w:val="28"/>
          <w:szCs w:val="28"/>
        </w:rPr>
        <w:t>Delivering Economic Opportunities</w:t>
      </w:r>
      <w:bookmarkEnd w:id="72"/>
      <w:r w:rsidR="00162A7B" w:rsidRPr="009D5737">
        <w:rPr>
          <w:sz w:val="28"/>
          <w:szCs w:val="28"/>
        </w:rPr>
        <w:t xml:space="preserve"> </w:t>
      </w:r>
      <w:bookmarkStart w:id="74" w:name="_Hlk77936685"/>
      <w:bookmarkEnd w:id="73"/>
    </w:p>
    <w:p w14:paraId="7FDC6271" w14:textId="77777777" w:rsidR="00162A7B" w:rsidRPr="003C7E62" w:rsidRDefault="00162A7B" w:rsidP="005F229B">
      <w:pPr>
        <w:keepNext w:val="0"/>
        <w:spacing w:before="0"/>
        <w:rPr>
          <w:rFonts w:cs="Arial"/>
          <w:b/>
          <w:bCs/>
          <w:color w:val="auto"/>
          <w:sz w:val="28"/>
          <w:szCs w:val="28"/>
          <w:lang w:eastAsia="en-US"/>
        </w:rPr>
      </w:pPr>
    </w:p>
    <w:tbl>
      <w:tblPr>
        <w:tblStyle w:val="ReportTable1"/>
        <w:tblW w:w="9634" w:type="dxa"/>
        <w:tblLook w:val="04A0" w:firstRow="1" w:lastRow="0" w:firstColumn="1" w:lastColumn="0" w:noHBand="0" w:noVBand="1"/>
      </w:tblPr>
      <w:tblGrid>
        <w:gridCol w:w="1413"/>
        <w:gridCol w:w="8221"/>
      </w:tblGrid>
      <w:tr w:rsidR="000A144B" w:rsidRPr="003C7E62" w14:paraId="2AE4DEE4" w14:textId="77777777" w:rsidTr="00CB0557">
        <w:tc>
          <w:tcPr>
            <w:tcW w:w="9634" w:type="dxa"/>
            <w:gridSpan w:val="2"/>
          </w:tcPr>
          <w:p w14:paraId="0E05D98B" w14:textId="77777777" w:rsidR="009B4089" w:rsidRDefault="009B4089" w:rsidP="000A144B">
            <w:pPr>
              <w:keepNext w:val="0"/>
              <w:spacing w:before="0"/>
              <w:rPr>
                <w:rFonts w:cs="Arial"/>
                <w:b/>
                <w:bCs/>
                <w:color w:val="auto"/>
                <w:szCs w:val="24"/>
                <w:lang w:eastAsia="en-US"/>
              </w:rPr>
            </w:pPr>
          </w:p>
          <w:p w14:paraId="1BA8D19A" w14:textId="622BC042" w:rsidR="009B4089" w:rsidRDefault="000A144B" w:rsidP="00162A7B">
            <w:pPr>
              <w:keepNext w:val="0"/>
              <w:spacing w:before="0"/>
              <w:rPr>
                <w:rFonts w:cs="Arial"/>
                <w:b/>
                <w:bCs/>
                <w:color w:val="auto"/>
                <w:szCs w:val="24"/>
                <w:lang w:eastAsia="en-US"/>
              </w:rPr>
            </w:pPr>
            <w:bookmarkStart w:id="75" w:name="_Hlk82269071"/>
            <w:r w:rsidRPr="003C7E62">
              <w:rPr>
                <w:rFonts w:cs="Arial"/>
                <w:b/>
                <w:bCs/>
                <w:color w:val="auto"/>
                <w:szCs w:val="24"/>
                <w:lang w:eastAsia="en-US"/>
              </w:rPr>
              <w:t>Strategic Policy S</w:t>
            </w:r>
            <w:r w:rsidR="005908AA" w:rsidRPr="001B720A">
              <w:rPr>
                <w:rFonts w:cs="Arial"/>
                <w:b/>
                <w:bCs/>
                <w:color w:val="auto"/>
                <w:szCs w:val="24"/>
                <w:lang w:eastAsia="en-US"/>
              </w:rPr>
              <w:t>8</w:t>
            </w:r>
            <w:r w:rsidRPr="003C7E62">
              <w:rPr>
                <w:rFonts w:cs="Arial"/>
                <w:b/>
                <w:bCs/>
                <w:color w:val="auto"/>
                <w:szCs w:val="24"/>
                <w:lang w:eastAsia="en-US"/>
              </w:rPr>
              <w:t xml:space="preserve">: </w:t>
            </w:r>
            <w:r w:rsidR="00162A7B" w:rsidRPr="00162A7B">
              <w:rPr>
                <w:rFonts w:cs="Arial"/>
                <w:b/>
                <w:bCs/>
                <w:color w:val="auto"/>
                <w:szCs w:val="24"/>
                <w:lang w:eastAsia="en-US"/>
              </w:rPr>
              <w:t xml:space="preserve">Delivering Economic Opportunities </w:t>
            </w:r>
          </w:p>
          <w:bookmarkEnd w:id="75"/>
          <w:p w14:paraId="27A61E4B" w14:textId="6DDB9325" w:rsidR="00162A7B" w:rsidRPr="003C7E62" w:rsidRDefault="00162A7B" w:rsidP="00162A7B">
            <w:pPr>
              <w:keepNext w:val="0"/>
              <w:spacing w:before="0"/>
              <w:rPr>
                <w:rFonts w:cs="Arial"/>
                <w:b/>
                <w:bCs/>
                <w:color w:val="auto"/>
                <w:szCs w:val="24"/>
                <w:lang w:eastAsia="en-US"/>
              </w:rPr>
            </w:pPr>
          </w:p>
        </w:tc>
      </w:tr>
      <w:tr w:rsidR="00253929" w:rsidRPr="003C7E62" w14:paraId="7359E34F" w14:textId="77777777" w:rsidTr="00CB0557">
        <w:tc>
          <w:tcPr>
            <w:tcW w:w="1413" w:type="dxa"/>
          </w:tcPr>
          <w:p w14:paraId="49950668" w14:textId="77777777" w:rsidR="00253929" w:rsidRPr="00F11936" w:rsidRDefault="00253929" w:rsidP="00253929">
            <w:pPr>
              <w:keepNext w:val="0"/>
              <w:tabs>
                <w:tab w:val="left" w:pos="680"/>
              </w:tabs>
              <w:spacing w:before="40" w:after="40"/>
              <w:rPr>
                <w:rFonts w:eastAsia="Arial" w:cs="Arial"/>
                <w:bCs/>
                <w:color w:val="auto"/>
              </w:rPr>
            </w:pPr>
            <w:r w:rsidRPr="00F11936">
              <w:rPr>
                <w:rFonts w:eastAsia="Arial" w:cs="Arial"/>
                <w:bCs/>
                <w:color w:val="auto"/>
              </w:rPr>
              <w:t>Strategic Objectives</w:t>
            </w:r>
          </w:p>
        </w:tc>
        <w:tc>
          <w:tcPr>
            <w:tcW w:w="8221" w:type="dxa"/>
          </w:tcPr>
          <w:p w14:paraId="7523A410" w14:textId="77777777" w:rsidR="00253929" w:rsidRPr="00F11936" w:rsidRDefault="00253929" w:rsidP="00253929">
            <w:pPr>
              <w:keepNext w:val="0"/>
              <w:tabs>
                <w:tab w:val="left" w:pos="680"/>
              </w:tabs>
              <w:spacing w:before="40" w:after="40"/>
              <w:rPr>
                <w:rFonts w:eastAsia="Arial" w:cs="Arial"/>
                <w:bCs/>
                <w:color w:val="auto"/>
              </w:rPr>
            </w:pPr>
            <w:r w:rsidRPr="00F11936">
              <w:rPr>
                <w:rFonts w:eastAsia="Arial" w:cs="Arial"/>
                <w:bCs/>
                <w:color w:val="auto"/>
              </w:rPr>
              <w:t>SO1, SO4, SO5, SO6, SO7, SO8, SO9, SO10, SO12.</w:t>
            </w:r>
          </w:p>
        </w:tc>
      </w:tr>
      <w:tr w:rsidR="00253929" w:rsidRPr="003C7E62" w14:paraId="2E195FC3" w14:textId="77777777" w:rsidTr="00CB0557">
        <w:tc>
          <w:tcPr>
            <w:tcW w:w="9634" w:type="dxa"/>
            <w:gridSpan w:val="2"/>
            <w:shd w:val="clear" w:color="auto" w:fill="DBDBDB"/>
          </w:tcPr>
          <w:p w14:paraId="5A72444F" w14:textId="77777777" w:rsidR="00253929" w:rsidRPr="0073604D" w:rsidRDefault="00253929" w:rsidP="00F260E8">
            <w:pPr>
              <w:keepNext w:val="0"/>
              <w:tabs>
                <w:tab w:val="left" w:pos="680"/>
                <w:tab w:val="left" w:pos="1133"/>
                <w:tab w:val="left" w:pos="2267"/>
              </w:tabs>
              <w:spacing w:before="0"/>
              <w:ind w:right="284"/>
              <w:rPr>
                <w:rFonts w:eastAsia="Arial" w:cs="Arial"/>
              </w:rPr>
            </w:pPr>
          </w:p>
          <w:p w14:paraId="6CB37937" w14:textId="5827839D" w:rsidR="00253929" w:rsidRPr="0073604D" w:rsidRDefault="00253929" w:rsidP="00D01157">
            <w:pPr>
              <w:keepNext w:val="0"/>
              <w:numPr>
                <w:ilvl w:val="0"/>
                <w:numId w:val="23"/>
              </w:numPr>
              <w:spacing w:before="0"/>
              <w:ind w:right="284"/>
              <w:rPr>
                <w:rFonts w:eastAsia="Arial" w:cs="Arial"/>
                <w:szCs w:val="24"/>
              </w:rPr>
            </w:pPr>
            <w:bookmarkStart w:id="76" w:name="_Hlk146273377"/>
            <w:r w:rsidRPr="0073604D">
              <w:rPr>
                <w:rFonts w:eastAsia="Arial" w:cs="Arial"/>
              </w:rPr>
              <w:t xml:space="preserve">The Council is committed to developing a sustainable, diverse and resilient economy, </w:t>
            </w:r>
            <w:r w:rsidRPr="0073604D">
              <w:rPr>
                <w:rFonts w:eastAsia="Arial" w:cs="Arial"/>
                <w:szCs w:val="24"/>
              </w:rPr>
              <w:t xml:space="preserve">reducing low wages and improving skill levels </w:t>
            </w:r>
            <w:proofErr w:type="gramStart"/>
            <w:r w:rsidRPr="0073604D">
              <w:rPr>
                <w:rFonts w:eastAsia="Arial" w:cs="Arial"/>
                <w:szCs w:val="24"/>
              </w:rPr>
              <w:t>in order to</w:t>
            </w:r>
            <w:proofErr w:type="gramEnd"/>
            <w:r w:rsidRPr="0073604D">
              <w:rPr>
                <w:rFonts w:eastAsia="Arial" w:cs="Arial"/>
                <w:szCs w:val="24"/>
              </w:rPr>
              <w:t xml:space="preserve"> narrow the difference between District and national figures by:</w:t>
            </w:r>
          </w:p>
          <w:p w14:paraId="3C3E301C" w14:textId="77777777" w:rsidR="00253929" w:rsidRPr="0073604D" w:rsidRDefault="00253929" w:rsidP="00F260E8">
            <w:pPr>
              <w:keepNext w:val="0"/>
              <w:tabs>
                <w:tab w:val="left" w:pos="680"/>
                <w:tab w:val="left" w:pos="1133"/>
                <w:tab w:val="left" w:pos="2267"/>
              </w:tabs>
              <w:spacing w:before="0"/>
              <w:ind w:left="360" w:right="284"/>
              <w:rPr>
                <w:rFonts w:eastAsia="Arial" w:cs="Arial"/>
                <w:szCs w:val="24"/>
              </w:rPr>
            </w:pPr>
          </w:p>
          <w:p w14:paraId="522E2F40" w14:textId="6F408E59" w:rsidR="007529CE" w:rsidRPr="007529CE" w:rsidRDefault="007529CE" w:rsidP="007529CE">
            <w:pPr>
              <w:pStyle w:val="ListParagraph"/>
              <w:numPr>
                <w:ilvl w:val="0"/>
                <w:numId w:val="20"/>
              </w:numPr>
              <w:rPr>
                <w:rFonts w:ascii="Arial" w:eastAsia="Arial" w:hAnsi="Arial" w:cs="Arial"/>
                <w:szCs w:val="24"/>
                <w:lang w:eastAsia="en-GB"/>
              </w:rPr>
            </w:pPr>
            <w:r w:rsidRPr="007529CE">
              <w:rPr>
                <w:rFonts w:ascii="Arial" w:eastAsia="Arial" w:hAnsi="Arial" w:cs="Arial"/>
                <w:szCs w:val="24"/>
                <w:lang w:eastAsia="en-GB"/>
              </w:rPr>
              <w:t xml:space="preserve">Providing for the growth of the local and regional economy by ensuring sufficient and appropriate employment land is available within the </w:t>
            </w:r>
            <w:proofErr w:type="gramStart"/>
            <w:r w:rsidRPr="007529CE">
              <w:rPr>
                <w:rFonts w:ascii="Arial" w:eastAsia="Arial" w:hAnsi="Arial" w:cs="Arial"/>
                <w:szCs w:val="24"/>
                <w:lang w:eastAsia="en-GB"/>
              </w:rPr>
              <w:t>District</w:t>
            </w:r>
            <w:proofErr w:type="gramEnd"/>
            <w:r>
              <w:rPr>
                <w:rFonts w:ascii="Arial" w:eastAsia="Arial" w:hAnsi="Arial" w:cs="Arial"/>
                <w:szCs w:val="24"/>
                <w:lang w:eastAsia="en-GB"/>
              </w:rPr>
              <w:t xml:space="preserve"> to meet local n</w:t>
            </w:r>
            <w:r w:rsidRPr="007529CE">
              <w:rPr>
                <w:rFonts w:ascii="Arial" w:eastAsia="Arial" w:hAnsi="Arial" w:cs="Arial"/>
                <w:szCs w:val="24"/>
                <w:lang w:eastAsia="en-GB"/>
              </w:rPr>
              <w:t xml:space="preserve">eeds and to contribute towards future regional needs of businesses. The employment land demand requires 81 ha of employment land from 2023 to 2040, which is met through Strategic Policy S6: Strategic Employment Allocation at Junction 27 M1 Motorway and Policy EM2: Employment land Allocations.   </w:t>
            </w:r>
          </w:p>
          <w:p w14:paraId="1448700D" w14:textId="01480C81" w:rsidR="00945E91" w:rsidRPr="0073604D" w:rsidRDefault="00945E91" w:rsidP="00D01157">
            <w:pPr>
              <w:keepNext w:val="0"/>
              <w:numPr>
                <w:ilvl w:val="0"/>
                <w:numId w:val="20"/>
              </w:numPr>
              <w:spacing w:before="0" w:after="160"/>
              <w:ind w:right="284"/>
              <w:contextualSpacing/>
              <w:rPr>
                <w:rFonts w:eastAsia="Arial" w:cs="Arial"/>
                <w:szCs w:val="24"/>
              </w:rPr>
            </w:pPr>
            <w:bookmarkStart w:id="77" w:name="_Hlk82269108"/>
            <w:bookmarkEnd w:id="76"/>
            <w:r w:rsidRPr="0073604D">
              <w:rPr>
                <w:rFonts w:eastAsia="Arial" w:cs="Arial"/>
                <w:szCs w:val="24"/>
              </w:rPr>
              <w:t xml:space="preserve">Providing a framework to protect the </w:t>
            </w:r>
            <w:proofErr w:type="gramStart"/>
            <w:r w:rsidRPr="0073604D">
              <w:rPr>
                <w:rFonts w:eastAsia="Arial" w:cs="Arial"/>
                <w:szCs w:val="24"/>
              </w:rPr>
              <w:t>District’s</w:t>
            </w:r>
            <w:proofErr w:type="gramEnd"/>
            <w:r w:rsidRPr="0073604D">
              <w:rPr>
                <w:rFonts w:eastAsia="Arial" w:cs="Arial"/>
                <w:szCs w:val="24"/>
              </w:rPr>
              <w:t xml:space="preserve"> employment allocations, Key Employment Areas identified below, and other employment sites /buildings:</w:t>
            </w:r>
          </w:p>
          <w:p w14:paraId="1B160757" w14:textId="1784BCFE" w:rsidR="00B462C9" w:rsidRPr="0073604D" w:rsidRDefault="00B462C9"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Calladine Business Park, Sutton in Ashfield</w:t>
            </w:r>
            <w:r w:rsidR="00AB1A98" w:rsidRPr="0073604D">
              <w:rPr>
                <w:rFonts w:ascii="Arial" w:eastAsia="Arial" w:hAnsi="Arial" w:cs="Arial"/>
                <w:szCs w:val="24"/>
              </w:rPr>
              <w:t>;</w:t>
            </w:r>
          </w:p>
          <w:p w14:paraId="372446F5" w14:textId="41677536" w:rsidR="00B462C9" w:rsidRPr="0073604D" w:rsidRDefault="00B462C9"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Castlewood Grange Business Park, Sutton in Ashfield</w:t>
            </w:r>
            <w:r w:rsidR="00AB1A98" w:rsidRPr="0073604D">
              <w:rPr>
                <w:rFonts w:ascii="Arial" w:eastAsia="Arial" w:hAnsi="Arial" w:cs="Arial"/>
                <w:szCs w:val="24"/>
              </w:rPr>
              <w:t>;</w:t>
            </w:r>
          </w:p>
          <w:p w14:paraId="05C3013F" w14:textId="163DEB9B" w:rsidR="00B462C9" w:rsidRPr="0073604D" w:rsidRDefault="00B462C9"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County Estate Nunn Brook Road/Brookside Way, Sutton in Ashfield</w:t>
            </w:r>
            <w:r w:rsidR="00AB1A98" w:rsidRPr="0073604D">
              <w:rPr>
                <w:rFonts w:ascii="Arial" w:eastAsia="Arial" w:hAnsi="Arial" w:cs="Arial"/>
                <w:szCs w:val="24"/>
              </w:rPr>
              <w:t>;</w:t>
            </w:r>
          </w:p>
          <w:p w14:paraId="25137201" w14:textId="51D56669" w:rsidR="00B462C9" w:rsidRPr="0073604D" w:rsidRDefault="00B462C9"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Common Road, Industrial Estate, Export Drive, Sutton in Ashfield</w:t>
            </w:r>
            <w:r w:rsidR="00AB1A98" w:rsidRPr="0073604D">
              <w:rPr>
                <w:rFonts w:ascii="Arial" w:eastAsia="Arial" w:hAnsi="Arial" w:cs="Arial"/>
                <w:szCs w:val="24"/>
              </w:rPr>
              <w:t>;</w:t>
            </w:r>
          </w:p>
          <w:p w14:paraId="760958F7" w14:textId="1AA77F8C" w:rsidR="00B462C9" w:rsidRPr="0073604D" w:rsidRDefault="00B462C9"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Fulwood Industrial Estate, Fulwood Road, Sutton in Ashfield</w:t>
            </w:r>
            <w:r w:rsidR="00AB1A98" w:rsidRPr="0073604D">
              <w:rPr>
                <w:rFonts w:ascii="Arial" w:eastAsia="Arial" w:hAnsi="Arial" w:cs="Arial"/>
                <w:szCs w:val="24"/>
              </w:rPr>
              <w:t>;</w:t>
            </w:r>
          </w:p>
          <w:p w14:paraId="5FA6FC4E" w14:textId="50161A65" w:rsidR="00B462C9" w:rsidRPr="0073604D" w:rsidRDefault="00B462C9"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Hamilton Road, Sutton in Ashfield</w:t>
            </w:r>
            <w:r w:rsidR="00AB1A98" w:rsidRPr="0073604D">
              <w:rPr>
                <w:rFonts w:ascii="Arial" w:eastAsia="Arial" w:hAnsi="Arial" w:cs="Arial"/>
                <w:szCs w:val="24"/>
              </w:rPr>
              <w:t>;</w:t>
            </w:r>
          </w:p>
          <w:p w14:paraId="242A30DA" w14:textId="368D6E91" w:rsidR="00B462C9" w:rsidRPr="0073604D" w:rsidRDefault="00B462C9"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Summit Park, Sherwood Way South, Sutton in Ashfield</w:t>
            </w:r>
            <w:r w:rsidR="00AB1A98" w:rsidRPr="0073604D">
              <w:rPr>
                <w:rFonts w:ascii="Arial" w:eastAsia="Arial" w:hAnsi="Arial" w:cs="Arial"/>
                <w:szCs w:val="24"/>
              </w:rPr>
              <w:t>;</w:t>
            </w:r>
          </w:p>
          <w:p w14:paraId="01A0DFFC" w14:textId="69BBBDB1" w:rsidR="00B462C9" w:rsidRPr="0073604D" w:rsidRDefault="00B462C9" w:rsidP="00874A98">
            <w:pPr>
              <w:pStyle w:val="ListParagraph"/>
              <w:numPr>
                <w:ilvl w:val="0"/>
                <w:numId w:val="99"/>
              </w:numPr>
              <w:spacing w:line="240" w:lineRule="auto"/>
              <w:rPr>
                <w:rFonts w:ascii="Arial" w:eastAsia="Arial" w:hAnsi="Arial" w:cs="Arial"/>
                <w:szCs w:val="24"/>
              </w:rPr>
            </w:pPr>
            <w:proofErr w:type="spellStart"/>
            <w:r w:rsidRPr="0073604D">
              <w:rPr>
                <w:rFonts w:ascii="Arial" w:eastAsia="Arial" w:hAnsi="Arial" w:cs="Arial"/>
                <w:szCs w:val="24"/>
              </w:rPr>
              <w:t>Lowmoor</w:t>
            </w:r>
            <w:proofErr w:type="spellEnd"/>
            <w:r w:rsidRPr="0073604D">
              <w:rPr>
                <w:rFonts w:ascii="Arial" w:eastAsia="Arial" w:hAnsi="Arial" w:cs="Arial"/>
                <w:szCs w:val="24"/>
              </w:rPr>
              <w:t xml:space="preserve"> Business Park, Kirkby-in-Ashfield</w:t>
            </w:r>
            <w:r w:rsidR="00AB1A98" w:rsidRPr="0073604D">
              <w:rPr>
                <w:rFonts w:ascii="Arial" w:eastAsia="Arial" w:hAnsi="Arial" w:cs="Arial"/>
                <w:szCs w:val="24"/>
              </w:rPr>
              <w:t>;</w:t>
            </w:r>
          </w:p>
          <w:p w14:paraId="13BD7049" w14:textId="76A6CCAC" w:rsidR="00B462C9" w:rsidRPr="0073604D" w:rsidRDefault="00B462C9"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Park Lane Business Park, Kirkby-in-Ashfield</w:t>
            </w:r>
            <w:r w:rsidR="00AB1A98" w:rsidRPr="0073604D">
              <w:rPr>
                <w:rFonts w:ascii="Arial" w:eastAsia="Arial" w:hAnsi="Arial" w:cs="Arial"/>
                <w:szCs w:val="24"/>
              </w:rPr>
              <w:t>;</w:t>
            </w:r>
          </w:p>
          <w:p w14:paraId="65895AAA" w14:textId="709710F0" w:rsidR="00B462C9" w:rsidRPr="0073604D" w:rsidRDefault="00B462C9" w:rsidP="00874A98">
            <w:pPr>
              <w:pStyle w:val="ListParagraph"/>
              <w:numPr>
                <w:ilvl w:val="0"/>
                <w:numId w:val="99"/>
              </w:numPr>
              <w:spacing w:line="240" w:lineRule="auto"/>
              <w:rPr>
                <w:rFonts w:ascii="Arial" w:eastAsia="Arial" w:hAnsi="Arial" w:cs="Arial"/>
                <w:szCs w:val="24"/>
              </w:rPr>
            </w:pPr>
            <w:proofErr w:type="spellStart"/>
            <w:r w:rsidRPr="0073604D">
              <w:rPr>
                <w:rFonts w:ascii="Arial" w:eastAsia="Arial" w:hAnsi="Arial" w:cs="Arial"/>
                <w:szCs w:val="24"/>
              </w:rPr>
              <w:t>Oddicroft</w:t>
            </w:r>
            <w:proofErr w:type="spellEnd"/>
            <w:r w:rsidRPr="0073604D">
              <w:rPr>
                <w:rFonts w:ascii="Arial" w:eastAsia="Arial" w:hAnsi="Arial" w:cs="Arial"/>
                <w:szCs w:val="24"/>
              </w:rPr>
              <w:t xml:space="preserve"> Lane, Kirkby-in-Ashfield</w:t>
            </w:r>
            <w:r w:rsidR="00AB1A98" w:rsidRPr="0073604D">
              <w:rPr>
                <w:rFonts w:ascii="Arial" w:eastAsia="Arial" w:hAnsi="Arial" w:cs="Arial"/>
                <w:szCs w:val="24"/>
              </w:rPr>
              <w:t>;</w:t>
            </w:r>
          </w:p>
          <w:p w14:paraId="61680F4C" w14:textId="18D9F67F" w:rsidR="00B462C9" w:rsidRPr="0073604D" w:rsidRDefault="00AB1A98"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 xml:space="preserve">The Strategic Employment Area of Sherwood Business Park/M1 Motorway Junction </w:t>
            </w:r>
            <w:r w:rsidR="003D6694" w:rsidRPr="0073604D">
              <w:rPr>
                <w:rFonts w:ascii="Arial" w:eastAsia="Arial" w:hAnsi="Arial" w:cs="Arial"/>
                <w:szCs w:val="24"/>
              </w:rPr>
              <w:t>27</w:t>
            </w:r>
            <w:r w:rsidR="00B462C9" w:rsidRPr="0073604D">
              <w:rPr>
                <w:rFonts w:ascii="Arial" w:eastAsia="Arial" w:hAnsi="Arial" w:cs="Arial"/>
                <w:szCs w:val="24"/>
              </w:rPr>
              <w:t>, Annesley</w:t>
            </w:r>
            <w:r w:rsidRPr="0073604D">
              <w:rPr>
                <w:rFonts w:ascii="Arial" w:eastAsia="Arial" w:hAnsi="Arial" w:cs="Arial"/>
                <w:szCs w:val="24"/>
              </w:rPr>
              <w:t>;</w:t>
            </w:r>
            <w:r w:rsidR="003506D6" w:rsidRPr="0073604D">
              <w:rPr>
                <w:rFonts w:ascii="Arial" w:eastAsia="Arial" w:hAnsi="Arial" w:cs="Arial"/>
                <w:szCs w:val="24"/>
              </w:rPr>
              <w:t xml:space="preserve"> and </w:t>
            </w:r>
          </w:p>
          <w:p w14:paraId="7F88DE7B" w14:textId="1D5EAA4A" w:rsidR="00253929" w:rsidRPr="0073604D" w:rsidRDefault="009D6E8C" w:rsidP="00874A98">
            <w:pPr>
              <w:pStyle w:val="ListParagraph"/>
              <w:numPr>
                <w:ilvl w:val="0"/>
                <w:numId w:val="99"/>
              </w:numPr>
              <w:spacing w:line="240" w:lineRule="auto"/>
              <w:rPr>
                <w:rFonts w:ascii="Arial" w:eastAsia="Arial" w:hAnsi="Arial" w:cs="Arial"/>
                <w:szCs w:val="24"/>
              </w:rPr>
            </w:pPr>
            <w:r w:rsidRPr="0073604D">
              <w:rPr>
                <w:rFonts w:ascii="Arial" w:eastAsia="Arial" w:hAnsi="Arial" w:cs="Arial"/>
                <w:szCs w:val="24"/>
              </w:rPr>
              <w:t xml:space="preserve">Land to the south of </w:t>
            </w:r>
            <w:proofErr w:type="spellStart"/>
            <w:r w:rsidRPr="0073604D">
              <w:rPr>
                <w:rFonts w:ascii="Arial" w:eastAsia="Arial" w:hAnsi="Arial" w:cs="Arial"/>
                <w:szCs w:val="24"/>
              </w:rPr>
              <w:t>Watnall</w:t>
            </w:r>
            <w:proofErr w:type="spellEnd"/>
            <w:r w:rsidRPr="0073604D">
              <w:rPr>
                <w:rFonts w:ascii="Arial" w:eastAsia="Arial" w:hAnsi="Arial" w:cs="Arial"/>
                <w:szCs w:val="24"/>
              </w:rPr>
              <w:t xml:space="preserve"> Road, including Rolls Royce and </w:t>
            </w:r>
            <w:r w:rsidR="00B462C9" w:rsidRPr="0073604D">
              <w:rPr>
                <w:rFonts w:ascii="Arial" w:eastAsia="Arial" w:hAnsi="Arial" w:cs="Arial"/>
                <w:szCs w:val="24"/>
              </w:rPr>
              <w:t>Harrier Park, Hucknall</w:t>
            </w:r>
            <w:r w:rsidR="00AB1A98" w:rsidRPr="0073604D">
              <w:rPr>
                <w:rFonts w:ascii="Arial" w:eastAsia="Arial" w:hAnsi="Arial" w:cs="Arial"/>
                <w:szCs w:val="24"/>
              </w:rPr>
              <w:t>.</w:t>
            </w:r>
          </w:p>
          <w:bookmarkEnd w:id="77"/>
          <w:p w14:paraId="71300FDD" w14:textId="6DA5F6F8" w:rsidR="00253929" w:rsidRPr="0073604D" w:rsidRDefault="00253929" w:rsidP="00D01157">
            <w:pPr>
              <w:keepNext w:val="0"/>
              <w:numPr>
                <w:ilvl w:val="0"/>
                <w:numId w:val="20"/>
              </w:numPr>
              <w:spacing w:before="0" w:after="160"/>
              <w:ind w:right="284"/>
              <w:contextualSpacing/>
              <w:rPr>
                <w:rFonts w:eastAsia="Arial" w:cs="Arial"/>
                <w:szCs w:val="24"/>
              </w:rPr>
            </w:pPr>
            <w:r w:rsidRPr="0073604D">
              <w:rPr>
                <w:rFonts w:eastAsia="Arial" w:cs="Arial"/>
                <w:szCs w:val="24"/>
              </w:rPr>
              <w:t>Supporting business start</w:t>
            </w:r>
            <w:r w:rsidR="006725CC" w:rsidRPr="0073604D">
              <w:rPr>
                <w:rFonts w:eastAsia="Arial" w:cs="Arial"/>
                <w:szCs w:val="24"/>
              </w:rPr>
              <w:t>-</w:t>
            </w:r>
            <w:r w:rsidRPr="0073604D">
              <w:rPr>
                <w:rFonts w:eastAsia="Arial" w:cs="Arial"/>
                <w:szCs w:val="24"/>
              </w:rPr>
              <w:t xml:space="preserve">up and growth within the Main Urban </w:t>
            </w:r>
            <w:proofErr w:type="gramStart"/>
            <w:r w:rsidRPr="0073604D">
              <w:rPr>
                <w:rFonts w:eastAsia="Arial" w:cs="Arial"/>
                <w:szCs w:val="24"/>
              </w:rPr>
              <w:t>Areas</w:t>
            </w:r>
            <w:r w:rsidR="00031087" w:rsidRPr="0073604D">
              <w:rPr>
                <w:rFonts w:eastAsia="Arial" w:cs="Arial"/>
                <w:szCs w:val="24"/>
              </w:rPr>
              <w:t>,</w:t>
            </w:r>
            <w:r w:rsidRPr="0073604D">
              <w:rPr>
                <w:rFonts w:eastAsia="Arial" w:cs="Arial"/>
                <w:szCs w:val="24"/>
              </w:rPr>
              <w:t xml:space="preserve"> </w:t>
            </w:r>
            <w:r w:rsidR="004E3F70" w:rsidRPr="0073604D">
              <w:rPr>
                <w:rFonts w:eastAsia="Arial" w:cs="Arial"/>
                <w:szCs w:val="24"/>
              </w:rPr>
              <w:t>and</w:t>
            </w:r>
            <w:proofErr w:type="gramEnd"/>
            <w:r w:rsidR="004E3F70" w:rsidRPr="0073604D">
              <w:rPr>
                <w:rFonts w:eastAsia="Arial" w:cs="Arial"/>
                <w:szCs w:val="24"/>
              </w:rPr>
              <w:t xml:space="preserve"> </w:t>
            </w:r>
            <w:r w:rsidR="00AB1A98" w:rsidRPr="0073604D">
              <w:rPr>
                <w:rFonts w:eastAsia="Arial" w:cs="Arial"/>
                <w:szCs w:val="24"/>
              </w:rPr>
              <w:t xml:space="preserve">Named </w:t>
            </w:r>
            <w:r w:rsidRPr="0073604D">
              <w:rPr>
                <w:rFonts w:eastAsia="Arial" w:cs="Arial"/>
                <w:szCs w:val="24"/>
              </w:rPr>
              <w:t xml:space="preserve">Settlements as defined by the </w:t>
            </w:r>
            <w:r w:rsidR="000C1B98" w:rsidRPr="0073604D">
              <w:rPr>
                <w:rFonts w:eastAsia="Arial" w:cs="Arial"/>
                <w:szCs w:val="24"/>
              </w:rPr>
              <w:t xml:space="preserve">Spatial Strategy and </w:t>
            </w:r>
            <w:r w:rsidRPr="0073604D">
              <w:rPr>
                <w:rFonts w:eastAsia="Arial" w:cs="Arial"/>
                <w:szCs w:val="24"/>
              </w:rPr>
              <w:t>Location of Development Policy.</w:t>
            </w:r>
            <w:r w:rsidR="00CF5436" w:rsidRPr="0073604D">
              <w:rPr>
                <w:rFonts w:eastAsia="Arial" w:cs="Arial"/>
                <w:szCs w:val="24"/>
              </w:rPr>
              <w:t xml:space="preserve"> </w:t>
            </w:r>
          </w:p>
          <w:p w14:paraId="50C6B67C" w14:textId="77777777" w:rsidR="00E64DE0" w:rsidRPr="0073604D" w:rsidRDefault="00E64DE0" w:rsidP="00F260E8">
            <w:pPr>
              <w:ind w:left="360"/>
              <w:rPr>
                <w:rFonts w:eastAsia="Arial" w:cs="Arial"/>
                <w:szCs w:val="24"/>
              </w:rPr>
            </w:pPr>
          </w:p>
          <w:p w14:paraId="5BB3764B" w14:textId="1C8677A5" w:rsidR="00253929" w:rsidRPr="0073604D" w:rsidRDefault="00253929" w:rsidP="00D01157">
            <w:pPr>
              <w:keepNext w:val="0"/>
              <w:numPr>
                <w:ilvl w:val="0"/>
                <w:numId w:val="20"/>
              </w:numPr>
              <w:spacing w:before="0" w:after="160"/>
              <w:contextualSpacing/>
              <w:rPr>
                <w:rFonts w:eastAsia="Arial" w:cs="Arial"/>
                <w:strike/>
                <w:szCs w:val="24"/>
              </w:rPr>
            </w:pPr>
            <w:r w:rsidRPr="0073604D">
              <w:rPr>
                <w:rFonts w:eastAsia="Arial" w:cs="Arial"/>
                <w:szCs w:val="24"/>
              </w:rPr>
              <w:t>Supporting and encouraging rural businesses to provide local employment opportunities, increase local economic prosperity and minimise the need to travel for employment.</w:t>
            </w:r>
          </w:p>
          <w:p w14:paraId="6DA8A63E" w14:textId="77777777" w:rsidR="00BD1220" w:rsidRPr="0073604D" w:rsidRDefault="00BD1220" w:rsidP="00F260E8">
            <w:pPr>
              <w:keepNext w:val="0"/>
              <w:spacing w:before="0" w:after="160"/>
              <w:contextualSpacing/>
              <w:rPr>
                <w:rFonts w:eastAsia="Arial" w:cs="Arial"/>
                <w:strike/>
                <w:szCs w:val="24"/>
              </w:rPr>
            </w:pPr>
          </w:p>
          <w:p w14:paraId="0ECE0E7D" w14:textId="77777777" w:rsidR="00253929" w:rsidRPr="0073604D" w:rsidRDefault="00253929" w:rsidP="00D01157">
            <w:pPr>
              <w:keepNext w:val="0"/>
              <w:numPr>
                <w:ilvl w:val="0"/>
                <w:numId w:val="20"/>
              </w:numPr>
              <w:spacing w:before="0" w:after="160"/>
              <w:ind w:right="284"/>
              <w:contextualSpacing/>
              <w:rPr>
                <w:rFonts w:eastAsia="Arial" w:cs="Arial"/>
                <w:szCs w:val="24"/>
              </w:rPr>
            </w:pPr>
            <w:r w:rsidRPr="0073604D">
              <w:rPr>
                <w:rFonts w:eastAsia="Arial" w:cs="Arial"/>
                <w:szCs w:val="24"/>
              </w:rPr>
              <w:t>Taking advantage of the economic and regeneration opportunities arising from:</w:t>
            </w:r>
          </w:p>
          <w:p w14:paraId="120E92D3" w14:textId="247ADEB5" w:rsidR="00253929" w:rsidRPr="0073604D" w:rsidRDefault="00253929" w:rsidP="00D01157">
            <w:pPr>
              <w:keepNext w:val="0"/>
              <w:numPr>
                <w:ilvl w:val="0"/>
                <w:numId w:val="22"/>
              </w:numPr>
              <w:spacing w:before="0" w:after="160"/>
              <w:ind w:right="284"/>
              <w:contextualSpacing/>
              <w:rPr>
                <w:rFonts w:eastAsia="Arial" w:cs="Arial"/>
                <w:szCs w:val="24"/>
              </w:rPr>
            </w:pPr>
            <w:bookmarkStart w:id="78" w:name="_Hlk118871794"/>
            <w:r w:rsidRPr="0073604D">
              <w:rPr>
                <w:rFonts w:eastAsia="Arial" w:cs="Arial"/>
                <w:szCs w:val="24"/>
              </w:rPr>
              <w:lastRenderedPageBreak/>
              <w:t>The Maid Marian Line and the Robin Hood Line Stations, having regard to the Ashfield Stations Masterplan</w:t>
            </w:r>
            <w:r w:rsidR="003D6694" w:rsidRPr="0073604D">
              <w:rPr>
                <w:rFonts w:eastAsia="Arial" w:cs="Arial"/>
                <w:szCs w:val="24"/>
              </w:rPr>
              <w:t>;</w:t>
            </w:r>
            <w:r w:rsidR="00CF5436" w:rsidRPr="0073604D">
              <w:rPr>
                <w:rFonts w:eastAsia="Arial" w:cs="Arial"/>
                <w:szCs w:val="24"/>
              </w:rPr>
              <w:t xml:space="preserve"> </w:t>
            </w:r>
          </w:p>
          <w:bookmarkEnd w:id="78"/>
          <w:p w14:paraId="43E3EF38" w14:textId="77777777" w:rsidR="00862BB0" w:rsidRDefault="00253929" w:rsidP="00D01157">
            <w:pPr>
              <w:keepNext w:val="0"/>
              <w:numPr>
                <w:ilvl w:val="0"/>
                <w:numId w:val="22"/>
              </w:numPr>
              <w:spacing w:before="0" w:after="160"/>
              <w:ind w:right="284"/>
              <w:contextualSpacing/>
              <w:rPr>
                <w:rFonts w:eastAsia="Arial" w:cs="Arial"/>
                <w:szCs w:val="24"/>
              </w:rPr>
            </w:pPr>
            <w:r w:rsidRPr="0073604D">
              <w:rPr>
                <w:rFonts w:eastAsia="Arial" w:cs="Arial"/>
                <w:szCs w:val="24"/>
              </w:rPr>
              <w:t>The light railway system, Nottingham Express Transit</w:t>
            </w:r>
            <w:r w:rsidR="003D6694" w:rsidRPr="0073604D">
              <w:rPr>
                <w:rFonts w:eastAsia="Arial" w:cs="Arial"/>
                <w:szCs w:val="24"/>
              </w:rPr>
              <w:t>;</w:t>
            </w:r>
            <w:r w:rsidR="00276532" w:rsidRPr="0073604D">
              <w:rPr>
                <w:rFonts w:eastAsia="Arial" w:cs="Arial"/>
                <w:szCs w:val="24"/>
              </w:rPr>
              <w:t xml:space="preserve"> </w:t>
            </w:r>
          </w:p>
          <w:p w14:paraId="12746DAD" w14:textId="48E6C046" w:rsidR="000C1B98" w:rsidRPr="0073604D" w:rsidRDefault="000C1B98" w:rsidP="00D01157">
            <w:pPr>
              <w:keepNext w:val="0"/>
              <w:numPr>
                <w:ilvl w:val="0"/>
                <w:numId w:val="22"/>
              </w:numPr>
              <w:spacing w:before="0" w:after="160"/>
              <w:ind w:right="284"/>
              <w:contextualSpacing/>
              <w:rPr>
                <w:rFonts w:eastAsia="Arial" w:cs="Arial"/>
                <w:szCs w:val="24"/>
              </w:rPr>
            </w:pPr>
            <w:r w:rsidRPr="00CB6138">
              <w:rPr>
                <w:rFonts w:eastAsia="Arial" w:cs="Arial"/>
                <w:szCs w:val="24"/>
              </w:rPr>
              <w:t xml:space="preserve">The provision of </w:t>
            </w:r>
            <w:r w:rsidR="006A267A">
              <w:rPr>
                <w:rFonts w:eastAsia="Arial" w:cs="Arial"/>
                <w:szCs w:val="24"/>
              </w:rPr>
              <w:t xml:space="preserve">an </w:t>
            </w:r>
            <w:r w:rsidRPr="00CB6138">
              <w:rPr>
                <w:rFonts w:eastAsia="Arial" w:cs="Arial"/>
                <w:szCs w:val="24"/>
              </w:rPr>
              <w:t>A</w:t>
            </w:r>
            <w:r w:rsidR="006A267A">
              <w:rPr>
                <w:rFonts w:eastAsia="Arial" w:cs="Arial"/>
                <w:szCs w:val="24"/>
              </w:rPr>
              <w:t>utomated</w:t>
            </w:r>
            <w:r w:rsidR="0007484B" w:rsidRPr="00CB6138">
              <w:rPr>
                <w:rFonts w:eastAsia="Arial" w:cs="Arial"/>
                <w:szCs w:val="24"/>
              </w:rPr>
              <w:t xml:space="preserve"> Distribution and</w:t>
            </w:r>
            <w:r w:rsidRPr="0073604D">
              <w:rPr>
                <w:rFonts w:eastAsia="Arial" w:cs="Arial"/>
                <w:szCs w:val="24"/>
              </w:rPr>
              <w:t xml:space="preserve"> Manufacturing Centre within the District</w:t>
            </w:r>
            <w:r w:rsidR="0040622F" w:rsidRPr="0073604D">
              <w:rPr>
                <w:rFonts w:eastAsia="Arial" w:cs="Arial"/>
                <w:szCs w:val="24"/>
              </w:rPr>
              <w:t>.</w:t>
            </w:r>
            <w:r w:rsidRPr="0073604D">
              <w:rPr>
                <w:rFonts w:eastAsia="Arial" w:cs="Arial"/>
                <w:szCs w:val="24"/>
              </w:rPr>
              <w:t xml:space="preserve"> </w:t>
            </w:r>
          </w:p>
          <w:p w14:paraId="6EDC69C4" w14:textId="77777777" w:rsidR="00253929" w:rsidRPr="0073604D" w:rsidRDefault="00253929" w:rsidP="00F260E8">
            <w:pPr>
              <w:keepNext w:val="0"/>
              <w:tabs>
                <w:tab w:val="left" w:pos="680"/>
                <w:tab w:val="left" w:pos="1133"/>
                <w:tab w:val="left" w:pos="2267"/>
              </w:tabs>
              <w:spacing w:before="0"/>
              <w:ind w:right="284"/>
              <w:rPr>
                <w:rFonts w:eastAsia="Arial" w:cs="Arial"/>
                <w:szCs w:val="24"/>
              </w:rPr>
            </w:pPr>
          </w:p>
          <w:p w14:paraId="18D271C0" w14:textId="1B28B61F" w:rsidR="00253929" w:rsidRPr="0073604D" w:rsidRDefault="00253929" w:rsidP="00D01157">
            <w:pPr>
              <w:keepNext w:val="0"/>
              <w:numPr>
                <w:ilvl w:val="0"/>
                <w:numId w:val="20"/>
              </w:numPr>
              <w:spacing w:before="0" w:after="160"/>
              <w:ind w:right="284"/>
              <w:contextualSpacing/>
              <w:rPr>
                <w:rFonts w:eastAsia="Arial" w:cs="Arial"/>
                <w:szCs w:val="24"/>
              </w:rPr>
            </w:pPr>
            <w:r w:rsidRPr="0073604D">
              <w:rPr>
                <w:rFonts w:eastAsia="Arial" w:cs="Arial"/>
                <w:szCs w:val="24"/>
              </w:rPr>
              <w:t>Working with educational providers, learning and training bodies, job centres and higher education providers to raise workforce skill levels, and improve employability</w:t>
            </w:r>
            <w:r w:rsidR="00CF5436" w:rsidRPr="0073604D">
              <w:rPr>
                <w:rFonts w:eastAsia="Arial" w:cs="Arial"/>
                <w:szCs w:val="24"/>
              </w:rPr>
              <w:t>.</w:t>
            </w:r>
          </w:p>
          <w:p w14:paraId="5C629BCE" w14:textId="77777777" w:rsidR="00253929" w:rsidRPr="0073604D" w:rsidRDefault="00253929" w:rsidP="00F260E8">
            <w:pPr>
              <w:keepNext w:val="0"/>
              <w:tabs>
                <w:tab w:val="left" w:pos="680"/>
                <w:tab w:val="left" w:pos="1133"/>
                <w:tab w:val="left" w:pos="2267"/>
              </w:tabs>
              <w:spacing w:before="0"/>
              <w:ind w:left="720" w:right="284"/>
              <w:contextualSpacing/>
              <w:rPr>
                <w:rFonts w:eastAsia="Arial" w:cs="Arial"/>
                <w:szCs w:val="24"/>
              </w:rPr>
            </w:pPr>
          </w:p>
          <w:p w14:paraId="4E000B7F" w14:textId="16E187B8" w:rsidR="00253929" w:rsidRPr="0073604D" w:rsidRDefault="00253929" w:rsidP="00D01157">
            <w:pPr>
              <w:keepNext w:val="0"/>
              <w:numPr>
                <w:ilvl w:val="0"/>
                <w:numId w:val="20"/>
              </w:numPr>
              <w:spacing w:before="0" w:after="160"/>
              <w:ind w:right="284"/>
              <w:contextualSpacing/>
              <w:rPr>
                <w:rFonts w:eastAsia="Arial" w:cs="Arial"/>
                <w:szCs w:val="24"/>
              </w:rPr>
            </w:pPr>
            <w:r w:rsidRPr="0073604D">
              <w:rPr>
                <w:rFonts w:eastAsia="Arial" w:cs="Arial"/>
                <w:szCs w:val="24"/>
              </w:rPr>
              <w:t xml:space="preserve">Working with key stakeholders and providers to improve access to </w:t>
            </w:r>
            <w:r w:rsidR="00CA1F11" w:rsidRPr="0073604D">
              <w:rPr>
                <w:rFonts w:eastAsia="Arial" w:cs="Arial"/>
                <w:szCs w:val="24"/>
              </w:rPr>
              <w:t>high-speed</w:t>
            </w:r>
            <w:r w:rsidRPr="0073604D">
              <w:rPr>
                <w:rFonts w:eastAsia="Arial" w:cs="Arial"/>
                <w:szCs w:val="24"/>
              </w:rPr>
              <w:t xml:space="preserve"> information technology infrastructure across the </w:t>
            </w:r>
            <w:proofErr w:type="gramStart"/>
            <w:r w:rsidRPr="0073604D">
              <w:rPr>
                <w:rFonts w:eastAsia="Arial" w:cs="Arial"/>
                <w:szCs w:val="24"/>
              </w:rPr>
              <w:t>District</w:t>
            </w:r>
            <w:proofErr w:type="gramEnd"/>
            <w:r w:rsidRPr="0073604D">
              <w:rPr>
                <w:rFonts w:eastAsia="Arial" w:cs="Arial"/>
                <w:szCs w:val="24"/>
              </w:rPr>
              <w:t xml:space="preserve"> by supporting, enabling and where practical assisting in its provision</w:t>
            </w:r>
            <w:r w:rsidR="00CF5436" w:rsidRPr="0073604D">
              <w:rPr>
                <w:rFonts w:eastAsia="Arial" w:cs="Arial"/>
                <w:szCs w:val="24"/>
              </w:rPr>
              <w:t>.</w:t>
            </w:r>
          </w:p>
          <w:p w14:paraId="72C5E2EC" w14:textId="77777777" w:rsidR="00253929" w:rsidRPr="0073604D" w:rsidRDefault="00253929" w:rsidP="00F260E8">
            <w:pPr>
              <w:keepNext w:val="0"/>
              <w:tabs>
                <w:tab w:val="left" w:pos="680"/>
                <w:tab w:val="left" w:pos="1133"/>
                <w:tab w:val="left" w:pos="2267"/>
              </w:tabs>
              <w:spacing w:before="0"/>
              <w:ind w:right="284"/>
              <w:rPr>
                <w:rFonts w:eastAsia="Arial" w:cs="Arial"/>
                <w:szCs w:val="24"/>
              </w:rPr>
            </w:pPr>
          </w:p>
          <w:p w14:paraId="2C9F6522" w14:textId="77777777" w:rsidR="00253929" w:rsidRPr="0073604D" w:rsidRDefault="00253929" w:rsidP="00D01157">
            <w:pPr>
              <w:keepNext w:val="0"/>
              <w:numPr>
                <w:ilvl w:val="0"/>
                <w:numId w:val="20"/>
              </w:numPr>
              <w:spacing w:before="0" w:after="160"/>
              <w:ind w:right="284"/>
              <w:contextualSpacing/>
              <w:rPr>
                <w:rFonts w:eastAsia="Arial" w:cs="Arial"/>
                <w:szCs w:val="24"/>
              </w:rPr>
            </w:pPr>
            <w:r w:rsidRPr="0073604D">
              <w:rPr>
                <w:rFonts w:eastAsia="Arial" w:cs="Arial"/>
                <w:szCs w:val="24"/>
              </w:rPr>
              <w:t>Developing a distinct image and civic pride for the area to promote economic progress and increasing awareness of what Ashfield has to offer.</w:t>
            </w:r>
          </w:p>
          <w:p w14:paraId="79F78451" w14:textId="77777777" w:rsidR="00253929" w:rsidRPr="0073604D" w:rsidRDefault="00253929" w:rsidP="00F260E8">
            <w:pPr>
              <w:keepNext w:val="0"/>
              <w:tabs>
                <w:tab w:val="left" w:pos="1133"/>
                <w:tab w:val="left" w:pos="2267"/>
              </w:tabs>
              <w:spacing w:before="0"/>
              <w:ind w:right="284"/>
              <w:rPr>
                <w:rFonts w:eastAsia="Arial" w:cs="Arial"/>
                <w:b/>
                <w:szCs w:val="24"/>
              </w:rPr>
            </w:pPr>
          </w:p>
          <w:p w14:paraId="6D0E39D3" w14:textId="77777777" w:rsidR="00C374DB" w:rsidRPr="0073604D" w:rsidRDefault="00253929" w:rsidP="00D01157">
            <w:pPr>
              <w:keepNext w:val="0"/>
              <w:numPr>
                <w:ilvl w:val="0"/>
                <w:numId w:val="21"/>
              </w:numPr>
              <w:spacing w:before="0" w:after="160"/>
              <w:ind w:right="284"/>
              <w:rPr>
                <w:rFonts w:eastAsia="Arial" w:cs="Arial"/>
              </w:rPr>
            </w:pPr>
            <w:r w:rsidRPr="0073604D">
              <w:rPr>
                <w:rFonts w:eastAsia="Arial" w:cs="Arial"/>
                <w:szCs w:val="22"/>
              </w:rPr>
              <w:t>The Council will support and enhance opportunities for</w:t>
            </w:r>
            <w:r w:rsidR="00C374DB" w:rsidRPr="0073604D">
              <w:rPr>
                <w:rFonts w:eastAsia="Arial" w:cs="Arial"/>
                <w:szCs w:val="22"/>
              </w:rPr>
              <w:t>:</w:t>
            </w:r>
          </w:p>
          <w:p w14:paraId="279C15C2" w14:textId="7B10575C" w:rsidR="00253929" w:rsidRPr="0073604D" w:rsidRDefault="00C374DB" w:rsidP="00C374DB">
            <w:pPr>
              <w:pStyle w:val="ListParagraph"/>
              <w:numPr>
                <w:ilvl w:val="1"/>
                <w:numId w:val="11"/>
              </w:numPr>
              <w:spacing w:after="160"/>
              <w:ind w:right="284"/>
              <w:rPr>
                <w:rFonts w:ascii="Arial" w:eastAsia="Arial" w:hAnsi="Arial" w:cs="Arial"/>
              </w:rPr>
            </w:pPr>
            <w:r w:rsidRPr="0073604D">
              <w:rPr>
                <w:rFonts w:ascii="Arial" w:eastAsia="Arial" w:hAnsi="Arial" w:cs="Arial"/>
              </w:rPr>
              <w:t>T</w:t>
            </w:r>
            <w:r w:rsidR="00253929" w:rsidRPr="0073604D">
              <w:rPr>
                <w:rFonts w:ascii="Arial" w:eastAsia="Arial" w:hAnsi="Arial" w:cs="Arial"/>
              </w:rPr>
              <w:t>ourism which reflect</w:t>
            </w:r>
            <w:r w:rsidRPr="0073604D">
              <w:rPr>
                <w:rFonts w:ascii="Arial" w:eastAsia="Arial" w:hAnsi="Arial" w:cs="Arial"/>
              </w:rPr>
              <w:t>s</w:t>
            </w:r>
            <w:r w:rsidR="00253929" w:rsidRPr="0073604D">
              <w:rPr>
                <w:rFonts w:ascii="Arial" w:eastAsia="Arial" w:hAnsi="Arial" w:cs="Arial"/>
              </w:rPr>
              <w:t xml:space="preserve"> the local distinctiveness and heritage of the area.</w:t>
            </w:r>
          </w:p>
          <w:p w14:paraId="29FB708B" w14:textId="20035DBA" w:rsidR="00253929" w:rsidRPr="0073604D" w:rsidRDefault="00C374DB" w:rsidP="00450591">
            <w:pPr>
              <w:pStyle w:val="ListParagraph"/>
              <w:numPr>
                <w:ilvl w:val="1"/>
                <w:numId w:val="11"/>
              </w:numPr>
              <w:spacing w:after="160"/>
              <w:ind w:right="284"/>
              <w:rPr>
                <w:rFonts w:ascii="Arial" w:eastAsia="Arial" w:hAnsi="Arial" w:cs="Arial"/>
              </w:rPr>
            </w:pPr>
            <w:r w:rsidRPr="0073604D">
              <w:rPr>
                <w:rFonts w:ascii="Arial" w:eastAsia="Arial" w:hAnsi="Arial" w:cs="Arial"/>
              </w:rPr>
              <w:t>Heritage led regeneration to conserve and enhance the historic environment.</w:t>
            </w:r>
          </w:p>
        </w:tc>
      </w:tr>
      <w:tr w:rsidR="00253929" w:rsidRPr="003C7E62" w14:paraId="5859AEC1" w14:textId="77777777" w:rsidTr="00CB0557">
        <w:tc>
          <w:tcPr>
            <w:tcW w:w="1413" w:type="dxa"/>
            <w:shd w:val="clear" w:color="auto" w:fill="FFFFFF" w:themeFill="background1"/>
          </w:tcPr>
          <w:p w14:paraId="15EB3723" w14:textId="77777777" w:rsidR="00253929" w:rsidRPr="003C7E62" w:rsidRDefault="00253929" w:rsidP="000032A9">
            <w:pPr>
              <w:keepNext w:val="0"/>
              <w:tabs>
                <w:tab w:val="left" w:pos="680"/>
                <w:tab w:val="left" w:pos="1133"/>
                <w:tab w:val="left" w:pos="2267"/>
              </w:tabs>
              <w:spacing w:before="0"/>
              <w:ind w:left="22" w:right="284"/>
              <w:jc w:val="both"/>
              <w:rPr>
                <w:rFonts w:eastAsia="Arial" w:cs="Arial"/>
                <w:b/>
                <w:color w:val="C00000"/>
                <w:sz w:val="20"/>
              </w:rPr>
            </w:pPr>
            <w:r w:rsidRPr="003C7E62">
              <w:rPr>
                <w:rFonts w:eastAsia="Arial" w:cs="Arial"/>
                <w:bCs/>
                <w:color w:val="auto"/>
                <w:sz w:val="20"/>
              </w:rPr>
              <w:lastRenderedPageBreak/>
              <w:t>Evidence base</w:t>
            </w:r>
          </w:p>
        </w:tc>
        <w:tc>
          <w:tcPr>
            <w:tcW w:w="8221" w:type="dxa"/>
            <w:shd w:val="clear" w:color="auto" w:fill="FFFFFF" w:themeFill="background1"/>
          </w:tcPr>
          <w:p w14:paraId="7BAEE8EB" w14:textId="1F409B89"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bookmarkStart w:id="79" w:name="_Hlk82270909"/>
            <w:r w:rsidRPr="0073604D">
              <w:rPr>
                <w:rFonts w:eastAsia="Arial" w:cs="Arial"/>
                <w:bCs/>
                <w:sz w:val="20"/>
              </w:rPr>
              <w:t>Background Paper</w:t>
            </w:r>
            <w:r w:rsidR="00A05D94" w:rsidRPr="0073604D">
              <w:rPr>
                <w:rFonts w:eastAsia="Arial" w:cs="Arial"/>
                <w:bCs/>
                <w:sz w:val="20"/>
              </w:rPr>
              <w:t xml:space="preserve"> No 1: </w:t>
            </w:r>
            <w:r w:rsidRPr="0073604D">
              <w:rPr>
                <w:rFonts w:eastAsia="Arial" w:cs="Arial"/>
                <w:bCs/>
                <w:sz w:val="20"/>
              </w:rPr>
              <w:t xml:space="preserve">Spatial Strategy and </w:t>
            </w:r>
            <w:r w:rsidR="006A2145">
              <w:rPr>
                <w:rFonts w:eastAsia="Arial" w:cs="Arial"/>
                <w:bCs/>
                <w:sz w:val="20"/>
              </w:rPr>
              <w:t>Site Selection,</w:t>
            </w:r>
            <w:r w:rsidR="00031087" w:rsidRPr="0073604D">
              <w:rPr>
                <w:rFonts w:eastAsia="Arial" w:cs="Arial"/>
                <w:bCs/>
                <w:sz w:val="20"/>
              </w:rPr>
              <w:t xml:space="preserve"> 202</w:t>
            </w:r>
            <w:r w:rsidR="006A2145">
              <w:rPr>
                <w:rFonts w:eastAsia="Arial" w:cs="Arial"/>
                <w:bCs/>
                <w:sz w:val="20"/>
              </w:rPr>
              <w:t>3</w:t>
            </w:r>
            <w:r w:rsidR="00031087" w:rsidRPr="0073604D">
              <w:rPr>
                <w:rFonts w:eastAsia="Arial" w:cs="Arial"/>
                <w:bCs/>
                <w:sz w:val="20"/>
              </w:rPr>
              <w:t xml:space="preserve">. </w:t>
            </w:r>
            <w:r w:rsidRPr="0073604D">
              <w:rPr>
                <w:rFonts w:eastAsia="Arial" w:cs="Arial"/>
                <w:bCs/>
                <w:sz w:val="20"/>
              </w:rPr>
              <w:t>Ashfield District Council</w:t>
            </w:r>
          </w:p>
          <w:bookmarkEnd w:id="79"/>
          <w:p w14:paraId="002A80DA" w14:textId="07465255"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 xml:space="preserve">Background Paper </w:t>
            </w:r>
            <w:r w:rsidR="00A05D94" w:rsidRPr="0073604D">
              <w:rPr>
                <w:rFonts w:eastAsia="Arial" w:cs="Arial"/>
                <w:bCs/>
                <w:sz w:val="20"/>
              </w:rPr>
              <w:t xml:space="preserve">No </w:t>
            </w:r>
            <w:r w:rsidRPr="0073604D">
              <w:rPr>
                <w:rFonts w:eastAsia="Arial" w:cs="Arial"/>
                <w:bCs/>
                <w:sz w:val="20"/>
              </w:rPr>
              <w:t>3</w:t>
            </w:r>
            <w:r w:rsidR="00A05D94" w:rsidRPr="0073604D">
              <w:rPr>
                <w:rFonts w:eastAsia="Arial" w:cs="Arial"/>
                <w:bCs/>
                <w:sz w:val="20"/>
              </w:rPr>
              <w:t>:</w:t>
            </w:r>
            <w:r w:rsidRPr="0073604D">
              <w:rPr>
                <w:rFonts w:eastAsia="Arial" w:cs="Arial"/>
                <w:bCs/>
                <w:sz w:val="20"/>
              </w:rPr>
              <w:t xml:space="preserve"> </w:t>
            </w:r>
            <w:r w:rsidR="000032A9" w:rsidRPr="0073604D">
              <w:rPr>
                <w:rFonts w:eastAsia="Arial" w:cs="Arial"/>
                <w:bCs/>
                <w:sz w:val="20"/>
              </w:rPr>
              <w:t xml:space="preserve">Economy &amp; </w:t>
            </w:r>
            <w:r w:rsidRPr="0073604D">
              <w:rPr>
                <w:rFonts w:eastAsia="Arial" w:cs="Arial"/>
                <w:bCs/>
                <w:sz w:val="20"/>
              </w:rPr>
              <w:t xml:space="preserve">Employment Land </w:t>
            </w:r>
            <w:r w:rsidR="00031087" w:rsidRPr="0073604D">
              <w:rPr>
                <w:rFonts w:eastAsia="Arial" w:cs="Arial"/>
                <w:bCs/>
                <w:sz w:val="20"/>
              </w:rPr>
              <w:t>202</w:t>
            </w:r>
            <w:r w:rsidR="00287238" w:rsidRPr="0073604D">
              <w:rPr>
                <w:rFonts w:eastAsia="Arial" w:cs="Arial"/>
                <w:bCs/>
                <w:sz w:val="20"/>
              </w:rPr>
              <w:t>3</w:t>
            </w:r>
            <w:r w:rsidR="00031087" w:rsidRPr="0073604D">
              <w:rPr>
                <w:rFonts w:eastAsia="Arial" w:cs="Arial"/>
                <w:bCs/>
                <w:sz w:val="20"/>
              </w:rPr>
              <w:t xml:space="preserve">. </w:t>
            </w:r>
            <w:r w:rsidRPr="0073604D">
              <w:rPr>
                <w:rFonts w:eastAsia="Arial" w:cs="Arial"/>
                <w:bCs/>
                <w:sz w:val="20"/>
              </w:rPr>
              <w:t xml:space="preserve"> Ashfield District Council</w:t>
            </w:r>
            <w:r w:rsidR="00E876F5" w:rsidRPr="0073604D">
              <w:rPr>
                <w:rFonts w:eastAsia="Arial" w:cs="Arial"/>
                <w:bCs/>
                <w:sz w:val="20"/>
              </w:rPr>
              <w:t>.</w:t>
            </w:r>
          </w:p>
          <w:p w14:paraId="799DD9DF" w14:textId="3C649AEF"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The Nottingham Core HMA and Nottingham Outer HMA Employment Land Needs Study, 202</w:t>
            </w:r>
            <w:r w:rsidR="00031087" w:rsidRPr="0073604D">
              <w:rPr>
                <w:rFonts w:eastAsia="Arial" w:cs="Arial"/>
                <w:bCs/>
                <w:sz w:val="20"/>
              </w:rPr>
              <w:t xml:space="preserve">1. </w:t>
            </w:r>
            <w:r w:rsidRPr="0073604D">
              <w:rPr>
                <w:rFonts w:eastAsia="Arial" w:cs="Arial"/>
                <w:bCs/>
                <w:sz w:val="20"/>
              </w:rPr>
              <w:t xml:space="preserve"> Lichfield</w:t>
            </w:r>
            <w:r w:rsidR="00E876F5" w:rsidRPr="0073604D">
              <w:rPr>
                <w:rFonts w:eastAsia="Arial" w:cs="Arial"/>
                <w:bCs/>
                <w:sz w:val="20"/>
              </w:rPr>
              <w:t>.</w:t>
            </w:r>
          </w:p>
          <w:p w14:paraId="37BC466F" w14:textId="3C4BA0CD"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Employment Land Forecasting Study, Nottingham Core HMA &amp; Nottingham Outer HMA</w:t>
            </w:r>
            <w:r w:rsidR="00250155" w:rsidRPr="0073604D">
              <w:rPr>
                <w:rFonts w:eastAsia="Arial" w:cs="Arial"/>
                <w:bCs/>
                <w:sz w:val="20"/>
              </w:rPr>
              <w:t xml:space="preserve"> 2015 - </w:t>
            </w:r>
            <w:r w:rsidRPr="0073604D">
              <w:rPr>
                <w:rFonts w:eastAsia="Arial" w:cs="Arial"/>
                <w:bCs/>
                <w:sz w:val="20"/>
              </w:rPr>
              <w:t>Nathaniel Litchfield &amp; Partners</w:t>
            </w:r>
            <w:r w:rsidR="00E876F5" w:rsidRPr="0073604D">
              <w:rPr>
                <w:rFonts w:eastAsia="Arial" w:cs="Arial"/>
                <w:bCs/>
                <w:sz w:val="20"/>
              </w:rPr>
              <w:t>.</w:t>
            </w:r>
          </w:p>
          <w:p w14:paraId="4CE6F34E" w14:textId="32F1C991"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 xml:space="preserve">Strategic Housing and Employment Land Availability Assessment </w:t>
            </w:r>
            <w:r w:rsidR="00031087" w:rsidRPr="0073604D">
              <w:rPr>
                <w:rFonts w:eastAsia="Arial" w:cs="Arial"/>
                <w:bCs/>
                <w:sz w:val="20"/>
              </w:rPr>
              <w:t>2021</w:t>
            </w:r>
            <w:r w:rsidR="00AE785A">
              <w:rPr>
                <w:rFonts w:eastAsia="Arial" w:cs="Arial"/>
                <w:bCs/>
                <w:sz w:val="20"/>
              </w:rPr>
              <w:t xml:space="preserve"> -2023</w:t>
            </w:r>
            <w:r w:rsidR="00031087" w:rsidRPr="0073604D">
              <w:rPr>
                <w:rFonts w:eastAsia="Arial" w:cs="Arial"/>
                <w:bCs/>
                <w:sz w:val="20"/>
              </w:rPr>
              <w:t xml:space="preserve">. </w:t>
            </w:r>
            <w:r w:rsidRPr="0073604D">
              <w:rPr>
                <w:rFonts w:eastAsia="Arial" w:cs="Arial"/>
                <w:bCs/>
                <w:sz w:val="20"/>
              </w:rPr>
              <w:t>Ashfield District Council</w:t>
            </w:r>
            <w:r w:rsidR="00E876F5" w:rsidRPr="0073604D">
              <w:rPr>
                <w:rFonts w:eastAsia="Arial" w:cs="Arial"/>
                <w:bCs/>
                <w:sz w:val="20"/>
              </w:rPr>
              <w:t>.</w:t>
            </w:r>
          </w:p>
          <w:p w14:paraId="0E1465F1" w14:textId="77777777" w:rsidR="00287238" w:rsidRPr="0073604D" w:rsidRDefault="00287238" w:rsidP="00287238">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The Nottingham Core HMA and Nottingham Outer HMA Logistics Study 2022, Iceni.</w:t>
            </w:r>
          </w:p>
          <w:p w14:paraId="3F977FEE" w14:textId="77777777" w:rsidR="00287238" w:rsidRPr="0073604D" w:rsidRDefault="00287238" w:rsidP="00287238">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Greater Nottingham Logistics Background paper 2023.  Ashfield DC, Broxtowe BC, Erewash BC, Gedling BC, Nottingham City, &amp; Rushcliffe BC.</w:t>
            </w:r>
          </w:p>
          <w:p w14:paraId="46E7E083" w14:textId="4FE40A95"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Ashfield and Mansfield - A Plan for Growth 2016 (Joint Economic Masterplan Update)</w:t>
            </w:r>
            <w:r w:rsidR="00031087" w:rsidRPr="0073604D">
              <w:rPr>
                <w:rFonts w:eastAsia="Arial" w:cs="Arial"/>
                <w:bCs/>
                <w:sz w:val="20"/>
              </w:rPr>
              <w:t>.</w:t>
            </w:r>
            <w:r w:rsidRPr="0073604D">
              <w:rPr>
                <w:rFonts w:eastAsia="Arial" w:cs="Arial"/>
                <w:bCs/>
                <w:sz w:val="20"/>
              </w:rPr>
              <w:t xml:space="preserve"> Ashfield District Council &amp; Mansfield District Council</w:t>
            </w:r>
            <w:r w:rsidR="00E876F5" w:rsidRPr="0073604D">
              <w:rPr>
                <w:rFonts w:eastAsia="Arial" w:cs="Arial"/>
                <w:bCs/>
                <w:sz w:val="20"/>
              </w:rPr>
              <w:t>.</w:t>
            </w:r>
          </w:p>
          <w:p w14:paraId="489CD728" w14:textId="1690E669"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Maid Marian Rail Extension Economic Impact Analysis 2020</w:t>
            </w:r>
            <w:r w:rsidR="00031087" w:rsidRPr="0073604D">
              <w:rPr>
                <w:rFonts w:eastAsia="Arial" w:cs="Arial"/>
                <w:bCs/>
                <w:sz w:val="20"/>
              </w:rPr>
              <w:t>.</w:t>
            </w:r>
            <w:r w:rsidRPr="0073604D">
              <w:rPr>
                <w:rFonts w:eastAsia="Arial" w:cs="Arial"/>
                <w:bCs/>
                <w:sz w:val="20"/>
              </w:rPr>
              <w:t xml:space="preserve"> </w:t>
            </w:r>
            <w:proofErr w:type="spellStart"/>
            <w:r w:rsidRPr="0073604D">
              <w:rPr>
                <w:rFonts w:eastAsia="Arial" w:cs="Arial"/>
                <w:bCs/>
                <w:sz w:val="20"/>
              </w:rPr>
              <w:t>Lichfields</w:t>
            </w:r>
            <w:proofErr w:type="spellEnd"/>
            <w:r w:rsidR="00E876F5" w:rsidRPr="0073604D">
              <w:rPr>
                <w:rFonts w:eastAsia="Arial" w:cs="Arial"/>
                <w:bCs/>
                <w:sz w:val="20"/>
              </w:rPr>
              <w:t>.</w:t>
            </w:r>
          </w:p>
          <w:p w14:paraId="43F70401" w14:textId="06CC8C49"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 xml:space="preserve">Maid Marian Rail Extension - Ashfield Masterplan Report </w:t>
            </w:r>
            <w:r w:rsidR="00031087" w:rsidRPr="0073604D">
              <w:rPr>
                <w:rFonts w:eastAsia="Arial" w:cs="Arial"/>
                <w:bCs/>
                <w:sz w:val="20"/>
              </w:rPr>
              <w:t>2020</w:t>
            </w:r>
            <w:r w:rsidR="00FF79A8" w:rsidRPr="0073604D">
              <w:rPr>
                <w:rFonts w:eastAsia="Arial" w:cs="Arial"/>
                <w:bCs/>
                <w:sz w:val="20"/>
              </w:rPr>
              <w:t>. Ryders.</w:t>
            </w:r>
            <w:r w:rsidR="00031087" w:rsidRPr="0073604D">
              <w:rPr>
                <w:rFonts w:eastAsia="Arial" w:cs="Arial"/>
                <w:bCs/>
                <w:sz w:val="20"/>
              </w:rPr>
              <w:t xml:space="preserve"> </w:t>
            </w:r>
            <w:r w:rsidRPr="0073604D">
              <w:rPr>
                <w:rFonts w:eastAsia="Arial" w:cs="Arial"/>
                <w:bCs/>
                <w:sz w:val="20"/>
              </w:rPr>
              <w:t xml:space="preserve"> Ashfield District Council and Mansfield District Council</w:t>
            </w:r>
            <w:r w:rsidR="00E876F5" w:rsidRPr="0073604D">
              <w:rPr>
                <w:rFonts w:eastAsia="Arial" w:cs="Arial"/>
                <w:bCs/>
                <w:sz w:val="20"/>
              </w:rPr>
              <w:t>.</w:t>
            </w:r>
          </w:p>
          <w:p w14:paraId="76617878" w14:textId="5A619F13"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D2N2 – the Spark in the UK’s Growth Engine Strategic Economic Plan 2019-2030</w:t>
            </w:r>
            <w:r w:rsidR="00031087" w:rsidRPr="0073604D">
              <w:rPr>
                <w:rFonts w:eastAsia="Arial" w:cs="Arial"/>
                <w:bCs/>
                <w:sz w:val="20"/>
              </w:rPr>
              <w:t xml:space="preserve">. </w:t>
            </w:r>
            <w:r w:rsidRPr="0073604D">
              <w:rPr>
                <w:rFonts w:eastAsia="Arial" w:cs="Arial"/>
                <w:bCs/>
                <w:sz w:val="20"/>
              </w:rPr>
              <w:t>D2N2 Local Enterprise Partnership</w:t>
            </w:r>
            <w:r w:rsidR="00031087" w:rsidRPr="0073604D">
              <w:rPr>
                <w:rFonts w:eastAsia="Arial" w:cs="Arial"/>
                <w:bCs/>
                <w:sz w:val="20"/>
              </w:rPr>
              <w:t>.</w:t>
            </w:r>
          </w:p>
          <w:p w14:paraId="14579932" w14:textId="0042D819"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The D2N2 draft Local Industrial Strategy</w:t>
            </w:r>
            <w:r w:rsidR="00675185" w:rsidRPr="0073604D">
              <w:rPr>
                <w:rFonts w:eastAsia="Arial" w:cs="Arial"/>
                <w:bCs/>
                <w:sz w:val="20"/>
              </w:rPr>
              <w:t>,</w:t>
            </w:r>
            <w:r w:rsidRPr="0073604D">
              <w:rPr>
                <w:rFonts w:eastAsia="Arial" w:cs="Arial"/>
                <w:bCs/>
                <w:sz w:val="20"/>
              </w:rPr>
              <w:t xml:space="preserve"> </w:t>
            </w:r>
            <w:r w:rsidR="00675185" w:rsidRPr="0073604D">
              <w:rPr>
                <w:rFonts w:eastAsia="Arial" w:cs="Arial"/>
                <w:bCs/>
                <w:sz w:val="20"/>
              </w:rPr>
              <w:t xml:space="preserve">March </w:t>
            </w:r>
            <w:r w:rsidR="00031087" w:rsidRPr="0073604D">
              <w:rPr>
                <w:rFonts w:eastAsia="Arial" w:cs="Arial"/>
                <w:bCs/>
                <w:sz w:val="20"/>
              </w:rPr>
              <w:t xml:space="preserve">2020. </w:t>
            </w:r>
            <w:r w:rsidRPr="0073604D">
              <w:rPr>
                <w:rFonts w:eastAsia="Arial" w:cs="Arial"/>
                <w:bCs/>
                <w:sz w:val="20"/>
              </w:rPr>
              <w:t>D2N2 Local Enterprise Partnership</w:t>
            </w:r>
            <w:r w:rsidR="00E876F5" w:rsidRPr="0073604D">
              <w:rPr>
                <w:rFonts w:eastAsia="Arial" w:cs="Arial"/>
                <w:bCs/>
                <w:sz w:val="20"/>
              </w:rPr>
              <w:t>.</w:t>
            </w:r>
          </w:p>
          <w:p w14:paraId="7F9CC18B" w14:textId="6717346B"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D2N2 Local Industrial Strategy Evidence Base - D2N2 Local Enterprise Partnership</w:t>
            </w:r>
            <w:r w:rsidR="00E876F5" w:rsidRPr="0073604D">
              <w:rPr>
                <w:rFonts w:eastAsia="Arial" w:cs="Arial"/>
                <w:bCs/>
                <w:sz w:val="20"/>
              </w:rPr>
              <w:t>.</w:t>
            </w:r>
          </w:p>
          <w:p w14:paraId="3BB9DC0B" w14:textId="26A2669B" w:rsidR="00253929" w:rsidRPr="0073604D" w:rsidRDefault="00253929" w:rsidP="00A05D94">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Employment Land and Monitoring Report</w:t>
            </w:r>
            <w:r w:rsidR="00287238" w:rsidRPr="0073604D">
              <w:rPr>
                <w:rFonts w:eastAsia="Arial" w:cs="Arial"/>
                <w:bCs/>
                <w:sz w:val="20"/>
              </w:rPr>
              <w:t>s</w:t>
            </w:r>
            <w:r w:rsidR="00031087" w:rsidRPr="0073604D">
              <w:rPr>
                <w:rFonts w:eastAsia="Arial" w:cs="Arial"/>
                <w:bCs/>
                <w:sz w:val="20"/>
              </w:rPr>
              <w:t>.</w:t>
            </w:r>
            <w:r w:rsidRPr="0073604D">
              <w:rPr>
                <w:rFonts w:eastAsia="Arial" w:cs="Arial"/>
                <w:bCs/>
                <w:sz w:val="20"/>
              </w:rPr>
              <w:t xml:space="preserve"> Ashfield District Counci</w:t>
            </w:r>
            <w:r w:rsidR="00E876F5" w:rsidRPr="0073604D">
              <w:rPr>
                <w:rFonts w:eastAsia="Arial" w:cs="Arial"/>
                <w:bCs/>
                <w:sz w:val="20"/>
              </w:rPr>
              <w:t>l.</w:t>
            </w:r>
          </w:p>
          <w:p w14:paraId="0188CE8F" w14:textId="1682739D" w:rsidR="00287238" w:rsidRPr="0073604D" w:rsidRDefault="00253929" w:rsidP="00287238">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Sustainability Appraisal</w:t>
            </w:r>
            <w:r w:rsidR="00031087" w:rsidRPr="0073604D">
              <w:rPr>
                <w:rFonts w:eastAsia="Arial" w:cs="Arial"/>
                <w:bCs/>
                <w:sz w:val="20"/>
              </w:rPr>
              <w:t xml:space="preserve"> 202</w:t>
            </w:r>
            <w:r w:rsidR="00287238" w:rsidRPr="0073604D">
              <w:rPr>
                <w:rFonts w:eastAsia="Arial" w:cs="Arial"/>
                <w:bCs/>
                <w:sz w:val="20"/>
              </w:rPr>
              <w:t>3. WSP UK Limited.</w:t>
            </w:r>
          </w:p>
          <w:p w14:paraId="643B7739" w14:textId="35E8C288" w:rsidR="008016CC" w:rsidRPr="004A0C5D" w:rsidRDefault="006E3758" w:rsidP="004A0C5D">
            <w:pPr>
              <w:keepNext w:val="0"/>
              <w:numPr>
                <w:ilvl w:val="0"/>
                <w:numId w:val="24"/>
              </w:numPr>
              <w:tabs>
                <w:tab w:val="left" w:pos="680"/>
                <w:tab w:val="left" w:pos="1133"/>
                <w:tab w:val="left" w:pos="2267"/>
              </w:tabs>
              <w:spacing w:before="0" w:after="160" w:line="252" w:lineRule="auto"/>
              <w:ind w:right="284"/>
              <w:contextualSpacing/>
              <w:rPr>
                <w:rFonts w:eastAsia="Arial" w:cs="Arial"/>
                <w:bCs/>
                <w:sz w:val="20"/>
              </w:rPr>
            </w:pPr>
            <w:r w:rsidRPr="0073604D">
              <w:rPr>
                <w:rFonts w:eastAsia="Arial" w:cs="Arial"/>
                <w:bCs/>
                <w:sz w:val="20"/>
              </w:rPr>
              <w:t>Securing developer contributions for education, April 2019. Department for Education.</w:t>
            </w:r>
          </w:p>
        </w:tc>
      </w:tr>
      <w:tr w:rsidR="00253929" w:rsidRPr="003C7E62" w14:paraId="08E495C7" w14:textId="77777777" w:rsidTr="00CB0557">
        <w:trPr>
          <w:trHeight w:val="623"/>
        </w:trPr>
        <w:tc>
          <w:tcPr>
            <w:tcW w:w="1413" w:type="dxa"/>
            <w:shd w:val="clear" w:color="auto" w:fill="FFFFFF" w:themeFill="background1"/>
          </w:tcPr>
          <w:p w14:paraId="03921548" w14:textId="6CDE19E1" w:rsidR="00253929" w:rsidRPr="003C7E62" w:rsidRDefault="00253929" w:rsidP="002430A6">
            <w:pPr>
              <w:keepNext w:val="0"/>
              <w:spacing w:before="0"/>
              <w:contextualSpacing/>
              <w:rPr>
                <w:rFonts w:cs="Arial"/>
                <w:bCs/>
                <w:color w:val="auto"/>
                <w:sz w:val="20"/>
                <w:lang w:eastAsia="en-US"/>
              </w:rPr>
            </w:pPr>
            <w:r w:rsidRPr="003C7E62">
              <w:rPr>
                <w:rFonts w:eastAsia="Arial" w:cs="Arial"/>
                <w:bCs/>
                <w:color w:val="auto"/>
                <w:sz w:val="20"/>
              </w:rPr>
              <w:lastRenderedPageBreak/>
              <w:t xml:space="preserve">National Planning Policy </w:t>
            </w:r>
            <w:r w:rsidR="00B8736C" w:rsidRPr="003C7E62">
              <w:rPr>
                <w:rFonts w:eastAsia="Arial" w:cs="Arial"/>
                <w:bCs/>
                <w:color w:val="auto"/>
                <w:sz w:val="20"/>
              </w:rPr>
              <w:t>and</w:t>
            </w:r>
            <w:r w:rsidRPr="003C7E62">
              <w:rPr>
                <w:rFonts w:eastAsia="Arial" w:cs="Arial"/>
                <w:bCs/>
                <w:color w:val="auto"/>
                <w:sz w:val="20"/>
              </w:rPr>
              <w:t xml:space="preserve"> Guidance</w:t>
            </w:r>
          </w:p>
        </w:tc>
        <w:tc>
          <w:tcPr>
            <w:tcW w:w="8221" w:type="dxa"/>
            <w:shd w:val="clear" w:color="auto" w:fill="FFFFFF" w:themeFill="background1"/>
          </w:tcPr>
          <w:p w14:paraId="427A527F" w14:textId="53947FCC" w:rsidR="00253929" w:rsidRPr="003C7E62" w:rsidRDefault="00E51D51" w:rsidP="002430A6">
            <w:pPr>
              <w:keepNext w:val="0"/>
              <w:numPr>
                <w:ilvl w:val="0"/>
                <w:numId w:val="25"/>
              </w:numPr>
              <w:spacing w:before="0" w:after="160" w:line="252" w:lineRule="auto"/>
              <w:contextualSpacing/>
              <w:rPr>
                <w:rFonts w:cs="Arial"/>
                <w:bCs/>
                <w:color w:val="auto"/>
                <w:sz w:val="20"/>
                <w:u w:val="single"/>
              </w:rPr>
            </w:pPr>
            <w:r w:rsidRPr="003C7E62">
              <w:rPr>
                <w:rFonts w:eastAsia="Arial" w:cs="Arial"/>
                <w:bCs/>
                <w:color w:val="auto"/>
                <w:sz w:val="20"/>
              </w:rPr>
              <w:t xml:space="preserve">NPPF </w:t>
            </w:r>
            <w:r w:rsidR="00031087" w:rsidRPr="003C7E62">
              <w:rPr>
                <w:rFonts w:eastAsia="Arial" w:cs="Arial"/>
                <w:bCs/>
                <w:color w:val="auto"/>
                <w:sz w:val="20"/>
              </w:rPr>
              <w:t>20</w:t>
            </w:r>
            <w:r w:rsidR="00AE71BE" w:rsidRPr="003C7E62">
              <w:rPr>
                <w:rFonts w:eastAsia="Arial" w:cs="Arial"/>
                <w:bCs/>
                <w:color w:val="auto"/>
                <w:sz w:val="20"/>
              </w:rPr>
              <w:t>2</w:t>
            </w:r>
            <w:r w:rsidR="00A37A61">
              <w:rPr>
                <w:rFonts w:eastAsia="Arial" w:cs="Arial"/>
                <w:bCs/>
                <w:color w:val="auto"/>
                <w:sz w:val="20"/>
              </w:rPr>
              <w:t>3</w:t>
            </w:r>
            <w:r w:rsidR="00031087" w:rsidRPr="003C7E62">
              <w:rPr>
                <w:rFonts w:eastAsia="Arial" w:cs="Arial"/>
                <w:bCs/>
                <w:color w:val="auto"/>
                <w:sz w:val="20"/>
              </w:rPr>
              <w:t xml:space="preserve">, </w:t>
            </w:r>
            <w:r w:rsidR="00253929" w:rsidRPr="003C7E62">
              <w:rPr>
                <w:rFonts w:eastAsia="Arial" w:cs="Arial"/>
                <w:bCs/>
                <w:color w:val="auto"/>
                <w:sz w:val="20"/>
              </w:rPr>
              <w:t>Part 2</w:t>
            </w:r>
            <w:r w:rsidR="00031087" w:rsidRPr="003C7E62">
              <w:rPr>
                <w:rFonts w:eastAsia="Arial" w:cs="Arial"/>
                <w:bCs/>
                <w:color w:val="auto"/>
                <w:sz w:val="20"/>
              </w:rPr>
              <w:t>:</w:t>
            </w:r>
            <w:r w:rsidR="00253929" w:rsidRPr="003C7E62">
              <w:rPr>
                <w:rFonts w:eastAsia="Arial" w:cs="Arial"/>
                <w:bCs/>
                <w:color w:val="auto"/>
                <w:sz w:val="20"/>
              </w:rPr>
              <w:t xml:space="preserve"> Achieving sustainable development</w:t>
            </w:r>
            <w:r w:rsidR="00E876F5" w:rsidRPr="003C7E62">
              <w:rPr>
                <w:rFonts w:eastAsia="Arial" w:cs="Arial"/>
                <w:bCs/>
                <w:color w:val="auto"/>
                <w:sz w:val="20"/>
              </w:rPr>
              <w:t>.</w:t>
            </w:r>
          </w:p>
          <w:p w14:paraId="69BBABE6" w14:textId="6D9B78CD" w:rsidR="00253929" w:rsidRPr="003C7E62" w:rsidRDefault="00E51D51" w:rsidP="002430A6">
            <w:pPr>
              <w:keepNext w:val="0"/>
              <w:numPr>
                <w:ilvl w:val="0"/>
                <w:numId w:val="25"/>
              </w:numPr>
              <w:tabs>
                <w:tab w:val="left" w:pos="680"/>
                <w:tab w:val="left" w:pos="1133"/>
                <w:tab w:val="left" w:pos="2267"/>
              </w:tabs>
              <w:spacing w:before="0" w:after="160" w:line="252" w:lineRule="auto"/>
              <w:ind w:right="284"/>
              <w:contextualSpacing/>
              <w:rPr>
                <w:rFonts w:eastAsia="Arial" w:cs="Arial"/>
                <w:bCs/>
                <w:color w:val="auto"/>
                <w:sz w:val="20"/>
              </w:rPr>
            </w:pPr>
            <w:r w:rsidRPr="003C7E62">
              <w:rPr>
                <w:rFonts w:eastAsia="Arial" w:cs="Arial"/>
                <w:bCs/>
                <w:color w:val="auto"/>
                <w:sz w:val="20"/>
              </w:rPr>
              <w:t xml:space="preserve">NPPF </w:t>
            </w:r>
            <w:r w:rsidR="00031087" w:rsidRPr="003C7E62">
              <w:rPr>
                <w:rFonts w:eastAsia="Arial" w:cs="Arial"/>
                <w:bCs/>
                <w:color w:val="auto"/>
                <w:sz w:val="20"/>
              </w:rPr>
              <w:t>20</w:t>
            </w:r>
            <w:r w:rsidR="00AE71BE" w:rsidRPr="003C7E62">
              <w:rPr>
                <w:rFonts w:eastAsia="Arial" w:cs="Arial"/>
                <w:bCs/>
                <w:color w:val="auto"/>
                <w:sz w:val="20"/>
              </w:rPr>
              <w:t>2</w:t>
            </w:r>
            <w:r w:rsidR="00A37A61">
              <w:rPr>
                <w:rFonts w:eastAsia="Arial" w:cs="Arial"/>
                <w:bCs/>
                <w:color w:val="auto"/>
                <w:sz w:val="20"/>
              </w:rPr>
              <w:t>3</w:t>
            </w:r>
            <w:r w:rsidR="00031087" w:rsidRPr="003C7E62">
              <w:rPr>
                <w:rFonts w:eastAsia="Arial" w:cs="Arial"/>
                <w:bCs/>
                <w:color w:val="auto"/>
                <w:sz w:val="20"/>
              </w:rPr>
              <w:t xml:space="preserve">, </w:t>
            </w:r>
            <w:r w:rsidR="00253929" w:rsidRPr="003C7E62">
              <w:rPr>
                <w:rFonts w:eastAsia="Arial" w:cs="Arial"/>
                <w:bCs/>
                <w:color w:val="auto"/>
                <w:sz w:val="20"/>
              </w:rPr>
              <w:t>Part 6</w:t>
            </w:r>
            <w:r w:rsidR="00031087" w:rsidRPr="003C7E62">
              <w:rPr>
                <w:rFonts w:eastAsia="Arial" w:cs="Arial"/>
                <w:bCs/>
                <w:color w:val="auto"/>
                <w:sz w:val="20"/>
              </w:rPr>
              <w:t>:</w:t>
            </w:r>
            <w:r w:rsidR="00253929" w:rsidRPr="003C7E62">
              <w:rPr>
                <w:rFonts w:eastAsia="Arial" w:cs="Arial"/>
                <w:bCs/>
                <w:color w:val="auto"/>
                <w:sz w:val="20"/>
              </w:rPr>
              <w:t xml:space="preserve"> </w:t>
            </w:r>
            <w:r w:rsidR="00253929" w:rsidRPr="003C7E62">
              <w:rPr>
                <w:rFonts w:eastAsia="Calibri" w:cs="Arial"/>
                <w:bCs/>
                <w:color w:val="auto"/>
                <w:sz w:val="20"/>
                <w:lang w:eastAsia="en-US"/>
              </w:rPr>
              <w:t>Building a strong, competitive economy</w:t>
            </w:r>
            <w:r w:rsidR="00E876F5" w:rsidRPr="003C7E62">
              <w:rPr>
                <w:rFonts w:eastAsia="Calibri" w:cs="Arial"/>
                <w:bCs/>
                <w:color w:val="auto"/>
                <w:sz w:val="20"/>
                <w:lang w:eastAsia="en-US"/>
              </w:rPr>
              <w:t>.</w:t>
            </w:r>
          </w:p>
          <w:p w14:paraId="5FBE879F" w14:textId="542D5AAD" w:rsidR="00253929" w:rsidRPr="003C7E62" w:rsidRDefault="00E51D51" w:rsidP="002430A6">
            <w:pPr>
              <w:keepNext w:val="0"/>
              <w:numPr>
                <w:ilvl w:val="0"/>
                <w:numId w:val="25"/>
              </w:numPr>
              <w:spacing w:before="0" w:after="160" w:line="252" w:lineRule="auto"/>
              <w:contextualSpacing/>
              <w:rPr>
                <w:rFonts w:cs="Arial"/>
                <w:bCs/>
                <w:color w:val="auto"/>
                <w:sz w:val="20"/>
                <w:u w:val="single"/>
              </w:rPr>
            </w:pPr>
            <w:r w:rsidRPr="003C7E62">
              <w:rPr>
                <w:rFonts w:eastAsia="Arial" w:cs="Arial"/>
                <w:bCs/>
                <w:color w:val="auto"/>
                <w:sz w:val="20"/>
              </w:rPr>
              <w:t xml:space="preserve">NPPF </w:t>
            </w:r>
            <w:r w:rsidR="00031087" w:rsidRPr="003C7E62">
              <w:rPr>
                <w:rFonts w:eastAsia="Arial" w:cs="Arial"/>
                <w:bCs/>
                <w:color w:val="auto"/>
                <w:sz w:val="20"/>
              </w:rPr>
              <w:t>20</w:t>
            </w:r>
            <w:r w:rsidR="00AE71BE" w:rsidRPr="003C7E62">
              <w:rPr>
                <w:rFonts w:eastAsia="Arial" w:cs="Arial"/>
                <w:bCs/>
                <w:color w:val="auto"/>
                <w:sz w:val="20"/>
              </w:rPr>
              <w:t>2</w:t>
            </w:r>
            <w:r w:rsidR="00A37A61">
              <w:rPr>
                <w:rFonts w:eastAsia="Arial" w:cs="Arial"/>
                <w:bCs/>
                <w:color w:val="auto"/>
                <w:sz w:val="20"/>
              </w:rPr>
              <w:t>3</w:t>
            </w:r>
            <w:r w:rsidR="00031087" w:rsidRPr="003C7E62">
              <w:rPr>
                <w:rFonts w:eastAsia="Arial" w:cs="Arial"/>
                <w:bCs/>
                <w:color w:val="auto"/>
                <w:sz w:val="20"/>
              </w:rPr>
              <w:t xml:space="preserve"> </w:t>
            </w:r>
            <w:r w:rsidR="00253929" w:rsidRPr="003C7E62">
              <w:rPr>
                <w:rFonts w:eastAsia="Arial" w:cs="Arial"/>
                <w:bCs/>
                <w:color w:val="auto"/>
                <w:sz w:val="20"/>
              </w:rPr>
              <w:t>Part 11</w:t>
            </w:r>
            <w:r w:rsidR="00031087" w:rsidRPr="003C7E62">
              <w:rPr>
                <w:rFonts w:eastAsia="Arial" w:cs="Arial"/>
                <w:bCs/>
                <w:color w:val="auto"/>
                <w:sz w:val="20"/>
              </w:rPr>
              <w:t>:</w:t>
            </w:r>
            <w:r w:rsidR="00253929" w:rsidRPr="003C7E62">
              <w:rPr>
                <w:rFonts w:eastAsia="Arial" w:cs="Arial"/>
                <w:bCs/>
                <w:color w:val="auto"/>
                <w:sz w:val="20"/>
              </w:rPr>
              <w:t xml:space="preserve"> Making effective use of land</w:t>
            </w:r>
            <w:r w:rsidR="00E876F5" w:rsidRPr="003C7E62">
              <w:rPr>
                <w:rFonts w:eastAsia="Arial" w:cs="Arial"/>
                <w:bCs/>
                <w:color w:val="auto"/>
                <w:sz w:val="20"/>
              </w:rPr>
              <w:t>.</w:t>
            </w:r>
          </w:p>
          <w:p w14:paraId="4AB536CB" w14:textId="77777777" w:rsidR="00287238" w:rsidRPr="00A32846" w:rsidRDefault="00287238" w:rsidP="002430A6">
            <w:pPr>
              <w:keepNext w:val="0"/>
              <w:numPr>
                <w:ilvl w:val="0"/>
                <w:numId w:val="25"/>
              </w:numPr>
              <w:spacing w:before="0" w:after="160" w:line="252" w:lineRule="auto"/>
              <w:contextualSpacing/>
              <w:rPr>
                <w:rFonts w:eastAsia="Calibri" w:cs="Arial"/>
                <w:bCs/>
                <w:sz w:val="20"/>
                <w:lang w:eastAsia="en-US"/>
              </w:rPr>
            </w:pPr>
            <w:r w:rsidRPr="00287238">
              <w:rPr>
                <w:rFonts w:eastAsia="Calibri" w:cs="Arial"/>
                <w:bCs/>
                <w:color w:val="auto"/>
                <w:sz w:val="20"/>
                <w:lang w:eastAsia="en-US"/>
              </w:rPr>
              <w:t xml:space="preserve">Planning Practice Guidance: Housing and economic land availability assessment </w:t>
            </w:r>
            <w:r w:rsidRPr="00A32846">
              <w:rPr>
                <w:rFonts w:eastAsia="Calibri" w:cs="Arial"/>
                <w:bCs/>
                <w:sz w:val="20"/>
                <w:lang w:eastAsia="en-US"/>
              </w:rPr>
              <w:t>as of July 2019.</w:t>
            </w:r>
          </w:p>
          <w:p w14:paraId="10B4F340" w14:textId="779E3E52" w:rsidR="00253929" w:rsidRPr="00287238" w:rsidRDefault="00287238" w:rsidP="002430A6">
            <w:pPr>
              <w:keepNext w:val="0"/>
              <w:numPr>
                <w:ilvl w:val="0"/>
                <w:numId w:val="25"/>
              </w:numPr>
              <w:spacing w:before="0" w:after="160" w:line="252" w:lineRule="auto"/>
              <w:contextualSpacing/>
              <w:rPr>
                <w:rFonts w:eastAsia="Calibri" w:cs="Arial"/>
                <w:bCs/>
                <w:color w:val="auto"/>
                <w:sz w:val="20"/>
                <w:lang w:eastAsia="en-US"/>
              </w:rPr>
            </w:pPr>
            <w:r w:rsidRPr="00A32846">
              <w:rPr>
                <w:rFonts w:eastAsia="Calibri" w:cs="Arial"/>
                <w:bCs/>
                <w:sz w:val="20"/>
                <w:lang w:eastAsia="en-US"/>
              </w:rPr>
              <w:t>Planning Practice Guidance: Housing and economic needs assessment as of December 2020.</w:t>
            </w:r>
          </w:p>
        </w:tc>
      </w:tr>
    </w:tbl>
    <w:p w14:paraId="501783C9" w14:textId="77777777" w:rsidR="00B15934" w:rsidRPr="003C7E62" w:rsidRDefault="00B15934" w:rsidP="00F11936">
      <w:pPr>
        <w:pStyle w:val="ListParagraph"/>
        <w:autoSpaceDE w:val="0"/>
        <w:autoSpaceDN w:val="0"/>
        <w:adjustRightInd w:val="0"/>
        <w:spacing w:after="160" w:line="252" w:lineRule="auto"/>
        <w:ind w:left="851"/>
        <w:rPr>
          <w:rFonts w:ascii="Arial" w:eastAsia="Arial" w:hAnsi="Arial" w:cs="Arial"/>
          <w:color w:val="auto"/>
        </w:rPr>
      </w:pPr>
    </w:p>
    <w:bookmarkEnd w:id="74"/>
    <w:p w14:paraId="08D24C1F" w14:textId="18F3B75E" w:rsidR="003E6203" w:rsidRPr="003C7E62" w:rsidRDefault="00253929" w:rsidP="00874A98">
      <w:pPr>
        <w:pStyle w:val="ListParagraph"/>
        <w:numPr>
          <w:ilvl w:val="1"/>
          <w:numId w:val="103"/>
        </w:numPr>
        <w:autoSpaceDE w:val="0"/>
        <w:autoSpaceDN w:val="0"/>
        <w:adjustRightInd w:val="0"/>
        <w:spacing w:after="0" w:line="240" w:lineRule="auto"/>
        <w:ind w:left="851" w:hanging="851"/>
        <w:rPr>
          <w:rFonts w:ascii="Arial" w:eastAsia="Arial" w:hAnsi="Arial" w:cs="Arial"/>
          <w:color w:val="auto"/>
        </w:rPr>
      </w:pPr>
      <w:r w:rsidRPr="003C7E62">
        <w:rPr>
          <w:rFonts w:ascii="Arial" w:eastAsia="Arial" w:hAnsi="Arial" w:cs="Arial"/>
          <w:color w:val="auto"/>
        </w:rPr>
        <w:t xml:space="preserve">To maintain and improve the economic performance of the </w:t>
      </w:r>
      <w:proofErr w:type="gramStart"/>
      <w:r w:rsidRPr="003C7E62">
        <w:rPr>
          <w:rFonts w:ascii="Arial" w:eastAsia="Arial" w:hAnsi="Arial" w:cs="Arial"/>
          <w:color w:val="auto"/>
        </w:rPr>
        <w:t>District</w:t>
      </w:r>
      <w:proofErr w:type="gramEnd"/>
      <w:r w:rsidRPr="003C7E62">
        <w:rPr>
          <w:rFonts w:ascii="Arial" w:eastAsia="Arial" w:hAnsi="Arial" w:cs="Arial"/>
          <w:color w:val="auto"/>
        </w:rPr>
        <w:t xml:space="preserve">, it is important to make provision for future employment and economic development alongside housing growth and protection of the environment. </w:t>
      </w:r>
      <w:r w:rsidR="00675185" w:rsidRPr="003C7E62">
        <w:rPr>
          <w:rFonts w:ascii="Arial" w:eastAsia="Arial" w:hAnsi="Arial" w:cs="Arial"/>
          <w:color w:val="auto"/>
        </w:rPr>
        <w:t xml:space="preserve">Through the policies in the Local Plan the </w:t>
      </w:r>
      <w:r w:rsidRPr="003C7E62">
        <w:rPr>
          <w:rFonts w:ascii="Arial" w:eastAsia="Arial" w:hAnsi="Arial" w:cs="Arial"/>
          <w:color w:val="auto"/>
        </w:rPr>
        <w:t xml:space="preserve">Council is committed to </w:t>
      </w:r>
      <w:r w:rsidR="00675185" w:rsidRPr="003C7E62">
        <w:rPr>
          <w:rFonts w:ascii="Arial" w:eastAsia="Arial" w:hAnsi="Arial" w:cs="Arial"/>
          <w:color w:val="auto"/>
        </w:rPr>
        <w:t xml:space="preserve">supporting and developing the local economy by </w:t>
      </w:r>
      <w:r w:rsidR="00E876F5" w:rsidRPr="003C7E62">
        <w:rPr>
          <w:rFonts w:ascii="Arial" w:eastAsia="Arial" w:hAnsi="Arial" w:cs="Arial"/>
          <w:color w:val="auto"/>
        </w:rPr>
        <w:t>a variety of means including</w:t>
      </w:r>
      <w:r w:rsidR="003E6203" w:rsidRPr="003C7E62">
        <w:rPr>
          <w:rFonts w:ascii="Arial" w:eastAsia="Arial" w:hAnsi="Arial" w:cs="Arial"/>
          <w:color w:val="auto"/>
        </w:rPr>
        <w:t>:</w:t>
      </w:r>
    </w:p>
    <w:p w14:paraId="58CE4F30" w14:textId="77777777" w:rsidR="00743F63" w:rsidRPr="003C7E62" w:rsidRDefault="00743F63" w:rsidP="00F11936">
      <w:pPr>
        <w:pStyle w:val="ListParagraph"/>
        <w:autoSpaceDE w:val="0"/>
        <w:autoSpaceDN w:val="0"/>
        <w:adjustRightInd w:val="0"/>
        <w:spacing w:after="0" w:line="240" w:lineRule="auto"/>
        <w:ind w:left="851"/>
        <w:rPr>
          <w:rFonts w:ascii="Arial" w:eastAsia="Arial" w:hAnsi="Arial" w:cs="Arial"/>
          <w:color w:val="auto"/>
        </w:rPr>
      </w:pPr>
    </w:p>
    <w:p w14:paraId="432BFF4A" w14:textId="77777777" w:rsidR="003E6203" w:rsidRPr="003C7E62" w:rsidRDefault="006725CC" w:rsidP="00874A98">
      <w:pPr>
        <w:keepNext w:val="0"/>
        <w:numPr>
          <w:ilvl w:val="0"/>
          <w:numId w:val="96"/>
        </w:numPr>
        <w:autoSpaceDE w:val="0"/>
        <w:autoSpaceDN w:val="0"/>
        <w:adjustRightInd w:val="0"/>
        <w:spacing w:before="0"/>
        <w:ind w:left="1276" w:hanging="425"/>
        <w:contextualSpacing/>
        <w:rPr>
          <w:rFonts w:eastAsia="Arial" w:cs="Arial"/>
          <w:color w:val="auto"/>
        </w:rPr>
      </w:pPr>
      <w:r w:rsidRPr="003C7E62">
        <w:rPr>
          <w:rFonts w:eastAsia="Arial" w:cs="Arial"/>
          <w:color w:val="auto"/>
        </w:rPr>
        <w:t xml:space="preserve">encouraging and facilitating private sector involvement in the development of the employment infrastructure of the </w:t>
      </w:r>
      <w:proofErr w:type="gramStart"/>
      <w:r w:rsidRPr="003C7E62">
        <w:rPr>
          <w:rFonts w:eastAsia="Arial" w:cs="Arial"/>
          <w:color w:val="auto"/>
        </w:rPr>
        <w:t>District</w:t>
      </w:r>
      <w:proofErr w:type="gramEnd"/>
      <w:r w:rsidRPr="003C7E62">
        <w:rPr>
          <w:rFonts w:eastAsia="Arial" w:cs="Arial"/>
          <w:color w:val="auto"/>
        </w:rPr>
        <w:t xml:space="preserve"> (land, premises, communications and transport);</w:t>
      </w:r>
    </w:p>
    <w:p w14:paraId="51B2CE47" w14:textId="707F753E" w:rsidR="003E6203" w:rsidRPr="003C7E62" w:rsidRDefault="006725CC" w:rsidP="00874A98">
      <w:pPr>
        <w:keepNext w:val="0"/>
        <w:numPr>
          <w:ilvl w:val="0"/>
          <w:numId w:val="96"/>
        </w:numPr>
        <w:autoSpaceDE w:val="0"/>
        <w:autoSpaceDN w:val="0"/>
        <w:adjustRightInd w:val="0"/>
        <w:spacing w:before="0"/>
        <w:ind w:left="1276" w:hanging="425"/>
        <w:contextualSpacing/>
        <w:rPr>
          <w:rFonts w:eastAsia="Arial" w:cs="Arial"/>
          <w:color w:val="auto"/>
        </w:rPr>
      </w:pPr>
      <w:r w:rsidRPr="003C7E62">
        <w:rPr>
          <w:rFonts w:eastAsia="Arial" w:cs="Arial"/>
          <w:color w:val="auto"/>
        </w:rPr>
        <w:t xml:space="preserve">maintaining a supply of quality land and premises for new </w:t>
      </w:r>
      <w:r w:rsidR="00675185" w:rsidRPr="003C7E62">
        <w:rPr>
          <w:rFonts w:eastAsia="Arial" w:cs="Arial"/>
          <w:color w:val="auto"/>
        </w:rPr>
        <w:t xml:space="preserve">and existing </w:t>
      </w:r>
      <w:r w:rsidRPr="003C7E62">
        <w:rPr>
          <w:rFonts w:eastAsia="Arial" w:cs="Arial"/>
          <w:color w:val="auto"/>
        </w:rPr>
        <w:t>business</w:t>
      </w:r>
      <w:r w:rsidR="00675185" w:rsidRPr="003C7E62">
        <w:rPr>
          <w:rFonts w:eastAsia="Arial" w:cs="Arial"/>
          <w:color w:val="auto"/>
        </w:rPr>
        <w:t>es</w:t>
      </w:r>
      <w:r w:rsidR="00DA6CAF">
        <w:rPr>
          <w:rFonts w:eastAsia="Arial" w:cs="Arial"/>
          <w:color w:val="auto"/>
        </w:rPr>
        <w:t>;</w:t>
      </w:r>
    </w:p>
    <w:p w14:paraId="06887852" w14:textId="77777777" w:rsidR="003E6203" w:rsidRPr="003C7E62" w:rsidRDefault="006725CC" w:rsidP="00874A98">
      <w:pPr>
        <w:keepNext w:val="0"/>
        <w:numPr>
          <w:ilvl w:val="0"/>
          <w:numId w:val="96"/>
        </w:numPr>
        <w:autoSpaceDE w:val="0"/>
        <w:autoSpaceDN w:val="0"/>
        <w:adjustRightInd w:val="0"/>
        <w:spacing w:before="0"/>
        <w:ind w:left="1276" w:hanging="425"/>
        <w:contextualSpacing/>
        <w:rPr>
          <w:rFonts w:eastAsia="Arial" w:cs="Arial"/>
          <w:color w:val="auto"/>
        </w:rPr>
      </w:pPr>
      <w:r w:rsidRPr="003C7E62">
        <w:rPr>
          <w:rFonts w:eastAsia="Arial" w:cs="Arial"/>
          <w:color w:val="auto"/>
        </w:rPr>
        <w:t>supporting diversification of rural area</w:t>
      </w:r>
      <w:r w:rsidR="00E64DE0" w:rsidRPr="003C7E62">
        <w:rPr>
          <w:rFonts w:eastAsia="Arial" w:cs="Arial"/>
          <w:color w:val="auto"/>
        </w:rPr>
        <w:t>s</w:t>
      </w:r>
      <w:r w:rsidRPr="003C7E62">
        <w:rPr>
          <w:rFonts w:eastAsia="Arial" w:cs="Arial"/>
          <w:color w:val="auto"/>
        </w:rPr>
        <w:t>;</w:t>
      </w:r>
    </w:p>
    <w:p w14:paraId="2F690EDF" w14:textId="77777777" w:rsidR="003E6203" w:rsidRPr="003C7E62" w:rsidRDefault="006725CC" w:rsidP="00874A98">
      <w:pPr>
        <w:keepNext w:val="0"/>
        <w:numPr>
          <w:ilvl w:val="0"/>
          <w:numId w:val="96"/>
        </w:numPr>
        <w:autoSpaceDE w:val="0"/>
        <w:autoSpaceDN w:val="0"/>
        <w:adjustRightInd w:val="0"/>
        <w:spacing w:before="0"/>
        <w:ind w:left="1276" w:hanging="425"/>
        <w:contextualSpacing/>
        <w:rPr>
          <w:rFonts w:eastAsia="Arial" w:cs="Arial"/>
          <w:color w:val="auto"/>
        </w:rPr>
      </w:pPr>
      <w:r w:rsidRPr="003C7E62">
        <w:rPr>
          <w:rFonts w:eastAsia="Arial" w:cs="Arial"/>
          <w:color w:val="auto"/>
        </w:rPr>
        <w:t>improving the built environment through high standards of design;</w:t>
      </w:r>
      <w:r w:rsidR="00675185" w:rsidRPr="003C7E62">
        <w:rPr>
          <w:rFonts w:eastAsia="Arial" w:cs="Arial"/>
          <w:color w:val="auto"/>
        </w:rPr>
        <w:t xml:space="preserve"> and</w:t>
      </w:r>
    </w:p>
    <w:p w14:paraId="18C5E08C" w14:textId="693EF5D0" w:rsidR="006725CC" w:rsidRPr="003C7E62" w:rsidRDefault="006725CC" w:rsidP="00874A98">
      <w:pPr>
        <w:keepNext w:val="0"/>
        <w:numPr>
          <w:ilvl w:val="0"/>
          <w:numId w:val="96"/>
        </w:numPr>
        <w:autoSpaceDE w:val="0"/>
        <w:autoSpaceDN w:val="0"/>
        <w:adjustRightInd w:val="0"/>
        <w:spacing w:before="0"/>
        <w:ind w:left="1276" w:hanging="425"/>
        <w:contextualSpacing/>
        <w:rPr>
          <w:rFonts w:eastAsia="Arial" w:cs="Arial"/>
          <w:color w:val="auto"/>
        </w:rPr>
      </w:pPr>
      <w:r w:rsidRPr="003C7E62">
        <w:rPr>
          <w:rFonts w:eastAsia="Arial" w:cs="Arial"/>
          <w:color w:val="auto"/>
        </w:rPr>
        <w:t>supporting and increasing social cohesion and community benefits.</w:t>
      </w:r>
    </w:p>
    <w:p w14:paraId="42C0B7BA" w14:textId="77777777" w:rsidR="006725CC" w:rsidRPr="003C7E62" w:rsidRDefault="006725CC" w:rsidP="00F11936">
      <w:pPr>
        <w:keepNext w:val="0"/>
        <w:spacing w:before="0"/>
        <w:ind w:left="525"/>
        <w:rPr>
          <w:rFonts w:cs="Arial"/>
          <w:color w:val="auto"/>
          <w:szCs w:val="24"/>
          <w:lang w:eastAsia="en-US"/>
        </w:rPr>
      </w:pPr>
    </w:p>
    <w:p w14:paraId="14275E8C" w14:textId="3DA967D7" w:rsidR="003E6203" w:rsidRPr="00A32846" w:rsidRDefault="00253929" w:rsidP="00874A98">
      <w:pPr>
        <w:pStyle w:val="ListParagraph"/>
        <w:numPr>
          <w:ilvl w:val="1"/>
          <w:numId w:val="103"/>
        </w:numPr>
        <w:spacing w:after="0" w:line="240" w:lineRule="auto"/>
        <w:ind w:left="851" w:hanging="851"/>
        <w:rPr>
          <w:rFonts w:ascii="Arial" w:hAnsi="Arial" w:cs="Arial"/>
          <w:szCs w:val="24"/>
        </w:rPr>
      </w:pPr>
      <w:r w:rsidRPr="003C7E62">
        <w:rPr>
          <w:rFonts w:ascii="Arial" w:eastAsia="Arial" w:hAnsi="Arial" w:cs="Arial"/>
          <w:color w:val="auto"/>
        </w:rPr>
        <w:t xml:space="preserve">The employment land requirements </w:t>
      </w:r>
      <w:r w:rsidR="000B025E" w:rsidRPr="003C7E62">
        <w:rPr>
          <w:rFonts w:ascii="Arial" w:eastAsia="Arial" w:hAnsi="Arial" w:cs="Arial"/>
          <w:color w:val="auto"/>
        </w:rPr>
        <w:t xml:space="preserve">set out in the policy </w:t>
      </w:r>
      <w:r w:rsidRPr="003C7E62">
        <w:rPr>
          <w:rFonts w:ascii="Arial" w:eastAsia="Arial" w:hAnsi="Arial" w:cs="Arial"/>
          <w:color w:val="auto"/>
        </w:rPr>
        <w:t>reflects the evidence from the Nottingham Core HMA and Nottingham Outer HMA, Employment Land Needs Study</w:t>
      </w:r>
      <w:r w:rsidR="000B025E" w:rsidRPr="003C7E62">
        <w:rPr>
          <w:rFonts w:ascii="Arial" w:eastAsia="Arial" w:hAnsi="Arial" w:cs="Arial"/>
          <w:color w:val="auto"/>
        </w:rPr>
        <w:t xml:space="preserve"> (ELNS)</w:t>
      </w:r>
      <w:r w:rsidR="00B462C9" w:rsidRPr="003C7E62">
        <w:rPr>
          <w:rFonts w:ascii="Arial" w:eastAsia="Arial" w:hAnsi="Arial" w:cs="Arial"/>
          <w:color w:val="auto"/>
        </w:rPr>
        <w:t xml:space="preserve"> </w:t>
      </w:r>
      <w:r w:rsidR="003E6203" w:rsidRPr="003C7E62">
        <w:rPr>
          <w:rFonts w:ascii="Arial" w:eastAsia="Arial" w:hAnsi="Arial" w:cs="Arial"/>
          <w:color w:val="auto"/>
        </w:rPr>
        <w:t>(</w:t>
      </w:r>
      <w:r w:rsidR="00B462C9" w:rsidRPr="003C7E62">
        <w:rPr>
          <w:rFonts w:ascii="Arial" w:eastAsia="Arial" w:hAnsi="Arial" w:cs="Arial"/>
          <w:color w:val="auto"/>
        </w:rPr>
        <w:t>May 2021</w:t>
      </w:r>
      <w:r w:rsidR="00250155" w:rsidRPr="003C7E62">
        <w:rPr>
          <w:rFonts w:ascii="Arial" w:eastAsia="Arial" w:hAnsi="Arial" w:cs="Arial"/>
          <w:color w:val="auto"/>
        </w:rPr>
        <w:t xml:space="preserve">, </w:t>
      </w:r>
      <w:proofErr w:type="spellStart"/>
      <w:r w:rsidRPr="003C7E62">
        <w:rPr>
          <w:rFonts w:ascii="Arial" w:eastAsia="Arial" w:hAnsi="Arial" w:cs="Arial"/>
          <w:color w:val="auto"/>
        </w:rPr>
        <w:t>Lichfields</w:t>
      </w:r>
      <w:proofErr w:type="spellEnd"/>
      <w:r w:rsidR="003E6203" w:rsidRPr="00A32846">
        <w:rPr>
          <w:rFonts w:ascii="Arial" w:eastAsia="Arial" w:hAnsi="Arial" w:cs="Arial"/>
        </w:rPr>
        <w:t>)</w:t>
      </w:r>
      <w:r w:rsidR="00AF6C1D" w:rsidRPr="00A32846">
        <w:rPr>
          <w:rFonts w:ascii="Arial" w:eastAsia="Arial" w:hAnsi="Arial" w:cs="Arial"/>
        </w:rPr>
        <w:t>,</w:t>
      </w:r>
      <w:r w:rsidR="003E6203" w:rsidRPr="00A32846">
        <w:rPr>
          <w:rFonts w:ascii="Arial" w:eastAsia="Arial" w:hAnsi="Arial" w:cs="Arial"/>
        </w:rPr>
        <w:t xml:space="preserve"> </w:t>
      </w:r>
      <w:r w:rsidR="00AF6C1D" w:rsidRPr="00A32846">
        <w:rPr>
          <w:rFonts w:ascii="Arial" w:eastAsia="Arial" w:hAnsi="Arial" w:cs="Arial"/>
        </w:rPr>
        <w:t xml:space="preserve">Nottingham Core HMA and Nottingham Outer HMA Logistics Study 2022 </w:t>
      </w:r>
      <w:r w:rsidRPr="00A32846">
        <w:rPr>
          <w:rFonts w:ascii="Arial" w:eastAsia="Arial" w:hAnsi="Arial" w:cs="Arial"/>
        </w:rPr>
        <w:t>and the analysis set out in Background Paper No 3</w:t>
      </w:r>
      <w:r w:rsidR="00B33C3A">
        <w:rPr>
          <w:rFonts w:ascii="Arial" w:eastAsia="Arial" w:hAnsi="Arial" w:cs="Arial"/>
        </w:rPr>
        <w:t>:</w:t>
      </w:r>
      <w:r w:rsidRPr="00A32846">
        <w:rPr>
          <w:rFonts w:ascii="Arial" w:eastAsia="Arial" w:hAnsi="Arial" w:cs="Arial"/>
        </w:rPr>
        <w:t xml:space="preserve"> </w:t>
      </w:r>
      <w:r w:rsidR="000032A9" w:rsidRPr="00A32846">
        <w:rPr>
          <w:rFonts w:ascii="Arial" w:eastAsia="Arial" w:hAnsi="Arial" w:cs="Arial"/>
        </w:rPr>
        <w:t xml:space="preserve">Economy &amp; </w:t>
      </w:r>
      <w:r w:rsidRPr="00A32846">
        <w:rPr>
          <w:rFonts w:ascii="Arial" w:eastAsia="Arial" w:hAnsi="Arial" w:cs="Arial"/>
        </w:rPr>
        <w:t>Employment Land</w:t>
      </w:r>
      <w:r w:rsidR="00007D90" w:rsidRPr="00A32846">
        <w:rPr>
          <w:rFonts w:ascii="Arial" w:eastAsia="Arial" w:hAnsi="Arial" w:cs="Arial"/>
        </w:rPr>
        <w:t xml:space="preserve">, </w:t>
      </w:r>
      <w:r w:rsidR="00AF6C1D" w:rsidRPr="00A32846">
        <w:rPr>
          <w:rFonts w:ascii="Arial" w:eastAsia="Arial" w:hAnsi="Arial" w:cs="Arial"/>
        </w:rPr>
        <w:t xml:space="preserve">2023 </w:t>
      </w:r>
      <w:r w:rsidR="003D6694" w:rsidRPr="00A32846">
        <w:rPr>
          <w:rFonts w:ascii="Arial" w:eastAsia="Arial" w:hAnsi="Arial" w:cs="Arial"/>
        </w:rPr>
        <w:t>and the Greater Nottingham Strategic Distribution and Logistics Sites Background Paper 2023</w:t>
      </w:r>
      <w:r w:rsidRPr="00A32846">
        <w:rPr>
          <w:rFonts w:ascii="Arial" w:eastAsia="Arial" w:hAnsi="Arial" w:cs="Arial"/>
        </w:rPr>
        <w:t xml:space="preserve">.  This </w:t>
      </w:r>
      <w:r w:rsidR="00576FFE" w:rsidRPr="00A32846">
        <w:rPr>
          <w:rFonts w:ascii="Arial" w:eastAsia="Arial" w:hAnsi="Arial" w:cs="Arial"/>
        </w:rPr>
        <w:t>includes evidence in relation to</w:t>
      </w:r>
      <w:r w:rsidRPr="00A32846">
        <w:rPr>
          <w:rFonts w:ascii="Arial" w:eastAsia="Arial" w:hAnsi="Arial" w:cs="Arial"/>
        </w:rPr>
        <w:t>:</w:t>
      </w:r>
    </w:p>
    <w:p w14:paraId="616A039A" w14:textId="77777777" w:rsidR="00743F63" w:rsidRPr="003C7E62" w:rsidRDefault="00743F63" w:rsidP="00F11936">
      <w:pPr>
        <w:pStyle w:val="ListParagraph"/>
        <w:spacing w:after="0" w:line="240" w:lineRule="auto"/>
        <w:ind w:left="851"/>
        <w:rPr>
          <w:rFonts w:ascii="Arial" w:hAnsi="Arial" w:cs="Arial"/>
          <w:color w:val="auto"/>
          <w:szCs w:val="24"/>
        </w:rPr>
      </w:pPr>
    </w:p>
    <w:p w14:paraId="098CF6C8" w14:textId="77777777" w:rsidR="003E6203" w:rsidRPr="003C7E62" w:rsidRDefault="006725CC" w:rsidP="00D01157">
      <w:pPr>
        <w:keepNext w:val="0"/>
        <w:numPr>
          <w:ilvl w:val="0"/>
          <w:numId w:val="26"/>
        </w:numPr>
        <w:autoSpaceDE w:val="0"/>
        <w:autoSpaceDN w:val="0"/>
        <w:adjustRightInd w:val="0"/>
        <w:spacing w:before="0"/>
        <w:ind w:left="1276" w:hanging="425"/>
        <w:contextualSpacing/>
        <w:rPr>
          <w:rFonts w:eastAsia="Arial" w:cs="Arial"/>
          <w:color w:val="auto"/>
        </w:rPr>
      </w:pPr>
      <w:r w:rsidRPr="003C7E62">
        <w:rPr>
          <w:rFonts w:eastAsia="Arial" w:cs="Arial"/>
          <w:color w:val="auto"/>
        </w:rPr>
        <w:t>the functional economic market area</w:t>
      </w:r>
      <w:r w:rsidR="00576FFE" w:rsidRPr="003C7E62">
        <w:rPr>
          <w:rFonts w:eastAsia="Arial" w:cs="Arial"/>
          <w:color w:val="auto"/>
        </w:rPr>
        <w:t>s (FEMA)</w:t>
      </w:r>
      <w:r w:rsidR="000B025E" w:rsidRPr="003C7E62">
        <w:rPr>
          <w:rFonts w:eastAsia="Arial" w:cs="Arial"/>
          <w:color w:val="auto"/>
        </w:rPr>
        <w:t>;</w:t>
      </w:r>
    </w:p>
    <w:p w14:paraId="4D69D9DC" w14:textId="77777777" w:rsidR="003E6203" w:rsidRPr="003C7E62" w:rsidRDefault="006725CC" w:rsidP="00D01157">
      <w:pPr>
        <w:keepNext w:val="0"/>
        <w:numPr>
          <w:ilvl w:val="0"/>
          <w:numId w:val="26"/>
        </w:numPr>
        <w:autoSpaceDE w:val="0"/>
        <w:autoSpaceDN w:val="0"/>
        <w:adjustRightInd w:val="0"/>
        <w:spacing w:before="0"/>
        <w:ind w:left="1276" w:hanging="425"/>
        <w:contextualSpacing/>
        <w:rPr>
          <w:rFonts w:eastAsia="Arial" w:cs="Arial"/>
          <w:color w:val="auto"/>
        </w:rPr>
      </w:pPr>
      <w:r w:rsidRPr="003C7E62">
        <w:rPr>
          <w:rFonts w:eastAsia="Arial" w:cs="Arial"/>
          <w:color w:val="auto"/>
        </w:rPr>
        <w:t xml:space="preserve">the existing stock of land for employment uses within the </w:t>
      </w:r>
      <w:proofErr w:type="gramStart"/>
      <w:r w:rsidR="000B025E" w:rsidRPr="003C7E62">
        <w:rPr>
          <w:rFonts w:eastAsia="Arial" w:cs="Arial"/>
          <w:color w:val="auto"/>
        </w:rPr>
        <w:t>District</w:t>
      </w:r>
      <w:proofErr w:type="gramEnd"/>
      <w:r w:rsidR="00B462C9" w:rsidRPr="003C7E62">
        <w:rPr>
          <w:rFonts w:eastAsia="Arial" w:cs="Arial"/>
          <w:color w:val="auto"/>
        </w:rPr>
        <w:t>.</w:t>
      </w:r>
    </w:p>
    <w:p w14:paraId="3B57D24D" w14:textId="77777777" w:rsidR="003E6203" w:rsidRPr="003C7E62" w:rsidRDefault="006725CC" w:rsidP="00D01157">
      <w:pPr>
        <w:keepNext w:val="0"/>
        <w:numPr>
          <w:ilvl w:val="0"/>
          <w:numId w:val="26"/>
        </w:numPr>
        <w:autoSpaceDE w:val="0"/>
        <w:autoSpaceDN w:val="0"/>
        <w:adjustRightInd w:val="0"/>
        <w:spacing w:before="0"/>
        <w:ind w:left="1276" w:hanging="425"/>
        <w:contextualSpacing/>
        <w:rPr>
          <w:rFonts w:eastAsia="Arial" w:cs="Arial"/>
          <w:color w:val="auto"/>
        </w:rPr>
      </w:pPr>
      <w:r w:rsidRPr="003C7E62">
        <w:rPr>
          <w:rFonts w:eastAsia="Arial" w:cs="Arial"/>
          <w:color w:val="auto"/>
        </w:rPr>
        <w:t>the recent pattern of employment land supply and loss</w:t>
      </w:r>
      <w:r w:rsidR="000B025E" w:rsidRPr="003C7E62">
        <w:rPr>
          <w:rFonts w:eastAsia="Arial" w:cs="Arial"/>
          <w:color w:val="auto"/>
        </w:rPr>
        <w:t xml:space="preserve"> in the </w:t>
      </w:r>
      <w:proofErr w:type="gramStart"/>
      <w:r w:rsidR="000B025E" w:rsidRPr="003C7E62">
        <w:rPr>
          <w:rFonts w:eastAsia="Arial" w:cs="Arial"/>
          <w:color w:val="auto"/>
        </w:rPr>
        <w:t>District</w:t>
      </w:r>
      <w:proofErr w:type="gramEnd"/>
      <w:r w:rsidR="000B025E" w:rsidRPr="003C7E62">
        <w:rPr>
          <w:rFonts w:eastAsia="Arial" w:cs="Arial"/>
          <w:color w:val="auto"/>
        </w:rPr>
        <w:t>;</w:t>
      </w:r>
      <w:bookmarkStart w:id="80" w:name="_Hlk75884293"/>
    </w:p>
    <w:p w14:paraId="32AAA0B1" w14:textId="77777777" w:rsidR="003E6203" w:rsidRPr="003C7E62" w:rsidRDefault="006E7518" w:rsidP="00D01157">
      <w:pPr>
        <w:keepNext w:val="0"/>
        <w:numPr>
          <w:ilvl w:val="0"/>
          <w:numId w:val="26"/>
        </w:numPr>
        <w:autoSpaceDE w:val="0"/>
        <w:autoSpaceDN w:val="0"/>
        <w:adjustRightInd w:val="0"/>
        <w:spacing w:before="0"/>
        <w:ind w:left="1276" w:hanging="425"/>
        <w:contextualSpacing/>
        <w:rPr>
          <w:rFonts w:eastAsia="Arial" w:cs="Arial"/>
          <w:color w:val="auto"/>
        </w:rPr>
      </w:pPr>
      <w:r w:rsidRPr="003C7E62">
        <w:rPr>
          <w:rFonts w:eastAsia="Arial" w:cs="Arial"/>
          <w:color w:val="auto"/>
        </w:rPr>
        <w:t xml:space="preserve">D2N2 Local Enterprise Partnership Strategic Economic Plan </w:t>
      </w:r>
      <w:r w:rsidR="00675185" w:rsidRPr="003C7E62">
        <w:rPr>
          <w:rFonts w:eastAsia="Arial" w:cs="Arial"/>
          <w:color w:val="auto"/>
        </w:rPr>
        <w:t xml:space="preserve">2019 -2030 </w:t>
      </w:r>
      <w:r w:rsidRPr="003C7E62">
        <w:rPr>
          <w:rFonts w:eastAsia="Arial" w:cs="Arial"/>
          <w:color w:val="auto"/>
        </w:rPr>
        <w:t xml:space="preserve">(SEP) with its emphasis on priority sectors and the draft Local Industrial Strategy </w:t>
      </w:r>
      <w:r w:rsidR="00E876F5" w:rsidRPr="003C7E62">
        <w:rPr>
          <w:rFonts w:eastAsia="Arial" w:cs="Arial"/>
          <w:color w:val="auto"/>
        </w:rPr>
        <w:t>2020</w:t>
      </w:r>
      <w:r w:rsidR="00E64DE0" w:rsidRPr="003C7E62">
        <w:rPr>
          <w:rFonts w:eastAsia="Arial" w:cs="Arial"/>
          <w:color w:val="auto"/>
        </w:rPr>
        <w:t xml:space="preserve"> </w:t>
      </w:r>
      <w:r w:rsidR="000B025E" w:rsidRPr="003C7E62">
        <w:rPr>
          <w:rFonts w:eastAsia="Arial" w:cs="Arial"/>
          <w:color w:val="auto"/>
        </w:rPr>
        <w:t>requirements;</w:t>
      </w:r>
      <w:bookmarkEnd w:id="80"/>
    </w:p>
    <w:p w14:paraId="0B418FA5" w14:textId="77777777" w:rsidR="003E6203" w:rsidRPr="003C7E62" w:rsidRDefault="006725CC" w:rsidP="00D01157">
      <w:pPr>
        <w:keepNext w:val="0"/>
        <w:numPr>
          <w:ilvl w:val="0"/>
          <w:numId w:val="26"/>
        </w:numPr>
        <w:autoSpaceDE w:val="0"/>
        <w:autoSpaceDN w:val="0"/>
        <w:adjustRightInd w:val="0"/>
        <w:spacing w:before="0"/>
        <w:ind w:left="1276" w:hanging="425"/>
        <w:contextualSpacing/>
        <w:rPr>
          <w:rFonts w:eastAsia="Arial" w:cs="Arial"/>
          <w:color w:val="auto"/>
        </w:rPr>
      </w:pPr>
      <w:r w:rsidRPr="003C7E62">
        <w:rPr>
          <w:rFonts w:eastAsia="Arial" w:cs="Arial"/>
          <w:color w:val="auto"/>
        </w:rPr>
        <w:t xml:space="preserve">evidence of market demand (including the locational and premises requirements of </w:t>
      </w:r>
      <w:proofErr w:type="gramStart"/>
      <w:r w:rsidRPr="003C7E62">
        <w:rPr>
          <w:rFonts w:eastAsia="Arial" w:cs="Arial"/>
          <w:color w:val="auto"/>
        </w:rPr>
        <w:t>particular types</w:t>
      </w:r>
      <w:proofErr w:type="gramEnd"/>
      <w:r w:rsidRPr="003C7E62">
        <w:rPr>
          <w:rFonts w:eastAsia="Arial" w:cs="Arial"/>
          <w:color w:val="auto"/>
        </w:rPr>
        <w:t xml:space="preserve"> of business);</w:t>
      </w:r>
      <w:r w:rsidR="000B025E" w:rsidRPr="003C7E62">
        <w:rPr>
          <w:rFonts w:eastAsia="Arial" w:cs="Arial"/>
          <w:color w:val="auto"/>
        </w:rPr>
        <w:t xml:space="preserve"> and</w:t>
      </w:r>
    </w:p>
    <w:p w14:paraId="23785F7E" w14:textId="45488C77" w:rsidR="006725CC" w:rsidRPr="003C7E62" w:rsidRDefault="006725CC" w:rsidP="00D01157">
      <w:pPr>
        <w:keepNext w:val="0"/>
        <w:numPr>
          <w:ilvl w:val="0"/>
          <w:numId w:val="26"/>
        </w:numPr>
        <w:autoSpaceDE w:val="0"/>
        <w:autoSpaceDN w:val="0"/>
        <w:adjustRightInd w:val="0"/>
        <w:spacing w:before="0"/>
        <w:ind w:left="1276" w:hanging="425"/>
        <w:contextualSpacing/>
        <w:rPr>
          <w:rFonts w:eastAsia="Arial" w:cs="Arial"/>
          <w:color w:val="auto"/>
        </w:rPr>
      </w:pPr>
      <w:r w:rsidRPr="003C7E62">
        <w:rPr>
          <w:rFonts w:eastAsia="Arial" w:cs="Arial"/>
          <w:color w:val="auto"/>
        </w:rPr>
        <w:t>wider market signals relating to economic growth, diversification and innovation</w:t>
      </w:r>
      <w:r w:rsidR="000B025E" w:rsidRPr="003C7E62">
        <w:rPr>
          <w:rFonts w:eastAsia="Arial" w:cs="Arial"/>
          <w:color w:val="auto"/>
        </w:rPr>
        <w:t>.</w:t>
      </w:r>
    </w:p>
    <w:p w14:paraId="5745AC32" w14:textId="77777777" w:rsidR="006725CC" w:rsidRPr="003C7E62" w:rsidRDefault="006725CC" w:rsidP="00F11936">
      <w:pPr>
        <w:keepNext w:val="0"/>
        <w:spacing w:before="0"/>
        <w:ind w:left="525"/>
        <w:rPr>
          <w:rFonts w:cs="Arial"/>
          <w:color w:val="auto"/>
          <w:szCs w:val="24"/>
          <w:lang w:eastAsia="en-US"/>
        </w:rPr>
      </w:pPr>
      <w:bookmarkStart w:id="81" w:name="_Hlk140659109"/>
    </w:p>
    <w:p w14:paraId="4E2CDC05" w14:textId="60A50903" w:rsidR="00B37017" w:rsidRDefault="00BD1220" w:rsidP="00874A98">
      <w:pPr>
        <w:keepNext w:val="0"/>
        <w:numPr>
          <w:ilvl w:val="1"/>
          <w:numId w:val="103"/>
        </w:numPr>
        <w:autoSpaceDE w:val="0"/>
        <w:autoSpaceDN w:val="0"/>
        <w:adjustRightInd w:val="0"/>
        <w:spacing w:before="0"/>
        <w:ind w:left="851" w:hanging="851"/>
        <w:rPr>
          <w:rFonts w:cs="Arial"/>
          <w:color w:val="auto"/>
          <w:szCs w:val="24"/>
        </w:rPr>
      </w:pPr>
      <w:bookmarkStart w:id="82" w:name="_Hlk149208046"/>
      <w:r w:rsidRPr="003C7E62">
        <w:rPr>
          <w:rFonts w:eastAsia="Arial" w:cs="Arial"/>
          <w:color w:val="auto"/>
        </w:rPr>
        <w:t xml:space="preserve">The </w:t>
      </w:r>
      <w:r w:rsidR="003D6694">
        <w:rPr>
          <w:rFonts w:eastAsia="Arial" w:cs="Arial"/>
          <w:color w:val="auto"/>
        </w:rPr>
        <w:t>P</w:t>
      </w:r>
      <w:r w:rsidRPr="003C7E62">
        <w:rPr>
          <w:rFonts w:eastAsia="Arial" w:cs="Arial"/>
          <w:color w:val="auto"/>
        </w:rPr>
        <w:t xml:space="preserve">olicy identifies </w:t>
      </w:r>
      <w:r w:rsidR="005759AB">
        <w:rPr>
          <w:rFonts w:eastAsia="Arial" w:cs="Arial"/>
          <w:color w:val="auto"/>
        </w:rPr>
        <w:t xml:space="preserve">approximately </w:t>
      </w:r>
      <w:r w:rsidR="002F3399">
        <w:rPr>
          <w:rFonts w:eastAsia="Arial" w:cs="Arial"/>
          <w:color w:val="auto"/>
        </w:rPr>
        <w:t>81</w:t>
      </w:r>
      <w:r w:rsidR="005759AB" w:rsidRPr="00CB6138">
        <w:rPr>
          <w:rFonts w:eastAsia="Arial" w:cs="Arial"/>
        </w:rPr>
        <w:t xml:space="preserve"> </w:t>
      </w:r>
      <w:r w:rsidRPr="00CB6138">
        <w:rPr>
          <w:rFonts w:eastAsia="Arial" w:cs="Arial"/>
        </w:rPr>
        <w:t>ha of</w:t>
      </w:r>
      <w:r w:rsidRPr="00A32846">
        <w:rPr>
          <w:rFonts w:eastAsia="Arial" w:cs="Arial"/>
        </w:rPr>
        <w:t xml:space="preserve"> land for employment purposes over the </w:t>
      </w:r>
      <w:r w:rsidR="003D6694" w:rsidRPr="00A32846">
        <w:rPr>
          <w:rFonts w:eastAsia="Arial" w:cs="Arial"/>
        </w:rPr>
        <w:t>P</w:t>
      </w:r>
      <w:r w:rsidRPr="00A32846">
        <w:rPr>
          <w:rFonts w:eastAsia="Arial" w:cs="Arial"/>
        </w:rPr>
        <w:t xml:space="preserve">lan period. The ELNS sets out </w:t>
      </w:r>
      <w:proofErr w:type="gramStart"/>
      <w:r w:rsidRPr="00A32846">
        <w:rPr>
          <w:rFonts w:eastAsia="Arial" w:cs="Arial"/>
        </w:rPr>
        <w:t>a number of</w:t>
      </w:r>
      <w:proofErr w:type="gramEnd"/>
      <w:r w:rsidRPr="00A32846">
        <w:rPr>
          <w:rFonts w:eastAsia="Arial" w:cs="Arial"/>
        </w:rPr>
        <w:t xml:space="preserve"> scenarios for future demand for employment land based on </w:t>
      </w:r>
      <w:proofErr w:type="gramStart"/>
      <w:r w:rsidRPr="00A32846">
        <w:rPr>
          <w:rFonts w:eastAsia="Arial" w:cs="Arial"/>
        </w:rPr>
        <w:t>a number of</w:t>
      </w:r>
      <w:proofErr w:type="gramEnd"/>
      <w:r w:rsidRPr="00A32846">
        <w:rPr>
          <w:rFonts w:eastAsia="Arial" w:cs="Arial"/>
        </w:rPr>
        <w:t xml:space="preserve"> data sources reflecting labour demand, labour supply and past take up rate scenarios. </w:t>
      </w:r>
      <w:bookmarkStart w:id="83" w:name="_Hlk148621908"/>
      <w:r w:rsidRPr="00A32846">
        <w:rPr>
          <w:rFonts w:eastAsia="Arial" w:cs="Arial"/>
        </w:rPr>
        <w:t xml:space="preserve">The figure in the </w:t>
      </w:r>
      <w:r w:rsidR="003D6694" w:rsidRPr="00A32846">
        <w:rPr>
          <w:rFonts w:eastAsia="Arial" w:cs="Arial"/>
        </w:rPr>
        <w:t>P</w:t>
      </w:r>
      <w:r w:rsidRPr="00A32846">
        <w:rPr>
          <w:rFonts w:eastAsia="Arial" w:cs="Arial"/>
        </w:rPr>
        <w:t>olicy is based on the adjusted past take up rate scenario, which reflects the logistics development already taking place in Ashfield</w:t>
      </w:r>
      <w:r w:rsidR="00743227" w:rsidRPr="00A32846">
        <w:rPr>
          <w:rFonts w:eastAsia="Arial" w:cs="Arial"/>
        </w:rPr>
        <w:t xml:space="preserve">, </w:t>
      </w:r>
      <w:proofErr w:type="gramStart"/>
      <w:r w:rsidR="003D6694" w:rsidRPr="00A32846">
        <w:rPr>
          <w:rFonts w:eastAsia="Arial" w:cs="Arial"/>
        </w:rPr>
        <w:t>takes into account</w:t>
      </w:r>
      <w:proofErr w:type="gramEnd"/>
      <w:r w:rsidR="003D6694" w:rsidRPr="00A32846">
        <w:rPr>
          <w:rFonts w:eastAsia="Arial" w:cs="Arial"/>
        </w:rPr>
        <w:t xml:space="preserve"> the </w:t>
      </w:r>
      <w:r w:rsidR="002F3399">
        <w:rPr>
          <w:rFonts w:eastAsia="Arial" w:cs="Arial"/>
        </w:rPr>
        <w:t xml:space="preserve">wider </w:t>
      </w:r>
      <w:r w:rsidR="003D6694" w:rsidRPr="00A32846">
        <w:rPr>
          <w:rFonts w:eastAsia="Arial" w:cs="Arial"/>
        </w:rPr>
        <w:t xml:space="preserve">demand for space </w:t>
      </w:r>
      <w:r w:rsidR="003D6694" w:rsidRPr="00A32846">
        <w:rPr>
          <w:rFonts w:eastAsia="Arial" w:cs="Arial"/>
        </w:rPr>
        <w:lastRenderedPageBreak/>
        <w:t>from the logistics</w:t>
      </w:r>
      <w:r w:rsidR="002F3399">
        <w:rPr>
          <w:rFonts w:eastAsia="Arial" w:cs="Arial"/>
        </w:rPr>
        <w:t xml:space="preserve">. </w:t>
      </w:r>
      <w:r w:rsidR="00B37017" w:rsidRPr="00A32846">
        <w:rPr>
          <w:rFonts w:eastAsia="Arial" w:cs="Arial"/>
        </w:rPr>
        <w:t>This approach will facilitate the priority sectors identified in D2N2’s</w:t>
      </w:r>
      <w:r w:rsidR="00B37017" w:rsidRPr="00A32846">
        <w:rPr>
          <w:rFonts w:cs="Arial"/>
        </w:rPr>
        <w:t xml:space="preserve"> </w:t>
      </w:r>
      <w:r w:rsidR="00B37017" w:rsidRPr="00A32846">
        <w:rPr>
          <w:rFonts w:eastAsia="Arial" w:cs="Arial"/>
        </w:rPr>
        <w:t>Strategic Economic Plan</w:t>
      </w:r>
      <w:r w:rsidR="00B37017" w:rsidRPr="00A32846">
        <w:rPr>
          <w:rStyle w:val="FootnoteReference"/>
          <w:rFonts w:eastAsia="Arial" w:cs="Arial"/>
        </w:rPr>
        <w:footnoteReference w:id="66"/>
      </w:r>
      <w:r w:rsidR="00B37017" w:rsidRPr="00A32846">
        <w:rPr>
          <w:rFonts w:eastAsia="Arial" w:cs="Arial"/>
        </w:rPr>
        <w:t xml:space="preserve">, which aims </w:t>
      </w:r>
      <w:r w:rsidR="00B37017" w:rsidRPr="003C7E62">
        <w:rPr>
          <w:rFonts w:eastAsia="Arial" w:cs="Arial"/>
          <w:color w:val="auto"/>
        </w:rPr>
        <w:t xml:space="preserve">to </w:t>
      </w:r>
      <w:r w:rsidR="00B37017" w:rsidRPr="003C7E62">
        <w:rPr>
          <w:rFonts w:cs="Arial"/>
          <w:color w:val="auto"/>
          <w:szCs w:val="24"/>
        </w:rPr>
        <w:t xml:space="preserve">tackle the productivity gap </w:t>
      </w:r>
      <w:proofErr w:type="gramStart"/>
      <w:r w:rsidR="00B37017" w:rsidRPr="003C7E62">
        <w:rPr>
          <w:rFonts w:cs="Arial"/>
          <w:color w:val="auto"/>
          <w:szCs w:val="24"/>
        </w:rPr>
        <w:t>in order for</w:t>
      </w:r>
      <w:proofErr w:type="gramEnd"/>
      <w:r w:rsidR="00B37017" w:rsidRPr="003C7E62">
        <w:rPr>
          <w:rFonts w:cs="Arial"/>
          <w:color w:val="auto"/>
          <w:szCs w:val="24"/>
        </w:rPr>
        <w:t xml:space="preserve"> the D2N2 area to remain a competitive business location and to deliver long term prosperity</w:t>
      </w:r>
      <w:r w:rsidR="00743227">
        <w:rPr>
          <w:rFonts w:cs="Arial"/>
          <w:color w:val="auto"/>
          <w:szCs w:val="24"/>
        </w:rPr>
        <w:t>.</w:t>
      </w:r>
    </w:p>
    <w:bookmarkEnd w:id="82"/>
    <w:bookmarkEnd w:id="83"/>
    <w:p w14:paraId="285B0B26" w14:textId="77777777" w:rsidR="00743227" w:rsidRDefault="00743227" w:rsidP="00743227">
      <w:pPr>
        <w:keepNext w:val="0"/>
        <w:autoSpaceDE w:val="0"/>
        <w:autoSpaceDN w:val="0"/>
        <w:adjustRightInd w:val="0"/>
        <w:spacing w:before="0"/>
        <w:rPr>
          <w:rFonts w:cs="Arial"/>
          <w:color w:val="auto"/>
          <w:szCs w:val="24"/>
        </w:rPr>
      </w:pPr>
    </w:p>
    <w:p w14:paraId="2F91351B" w14:textId="77777777" w:rsidR="00F55758" w:rsidRDefault="00F55758" w:rsidP="00743227">
      <w:pPr>
        <w:keepNext w:val="0"/>
        <w:autoSpaceDE w:val="0"/>
        <w:autoSpaceDN w:val="0"/>
        <w:adjustRightInd w:val="0"/>
        <w:spacing w:before="0"/>
        <w:rPr>
          <w:rFonts w:cs="Arial"/>
          <w:color w:val="auto"/>
          <w:szCs w:val="24"/>
        </w:rPr>
      </w:pPr>
    </w:p>
    <w:tbl>
      <w:tblPr>
        <w:tblpPr w:leftFromText="181" w:rightFromText="181" w:vertAnchor="text" w:horzAnchor="margin" w:tblpXSpec="center" w:tblpY="-50"/>
        <w:tblOverlap w:val="never"/>
        <w:tblW w:w="7112" w:type="dxa"/>
        <w:tblLook w:val="04A0" w:firstRow="1" w:lastRow="0" w:firstColumn="1" w:lastColumn="0" w:noHBand="0" w:noVBand="1"/>
      </w:tblPr>
      <w:tblGrid>
        <w:gridCol w:w="3828"/>
        <w:gridCol w:w="992"/>
        <w:gridCol w:w="1575"/>
        <w:gridCol w:w="717"/>
      </w:tblGrid>
      <w:tr w:rsidR="00BD4547" w:rsidRPr="00BD4547" w14:paraId="73BF8E5D" w14:textId="77777777" w:rsidTr="003D6C7E">
        <w:trPr>
          <w:trHeight w:val="300"/>
        </w:trPr>
        <w:tc>
          <w:tcPr>
            <w:tcW w:w="7112" w:type="dxa"/>
            <w:gridSpan w:val="4"/>
            <w:tcBorders>
              <w:top w:val="nil"/>
              <w:left w:val="nil"/>
              <w:bottom w:val="nil"/>
              <w:right w:val="nil"/>
            </w:tcBorders>
            <w:noWrap/>
            <w:vAlign w:val="center"/>
            <w:hideMark/>
          </w:tcPr>
          <w:p w14:paraId="5C2432D9" w14:textId="77777777" w:rsidR="00BD4547" w:rsidRPr="00BD4547" w:rsidRDefault="00BD4547" w:rsidP="003D6C7E">
            <w:pPr>
              <w:keepNext w:val="0"/>
              <w:spacing w:before="0"/>
              <w:rPr>
                <w:rFonts w:cs="Arial"/>
                <w:b/>
                <w:bCs/>
                <w:color w:val="auto"/>
                <w:sz w:val="20"/>
              </w:rPr>
            </w:pPr>
            <w:r w:rsidRPr="00BD4547">
              <w:rPr>
                <w:rFonts w:cs="Arial"/>
                <w:b/>
                <w:bCs/>
                <w:color w:val="auto"/>
                <w:sz w:val="20"/>
              </w:rPr>
              <w:t xml:space="preserve">Ashfield Employment Land Requirements 2018-2040 </w:t>
            </w:r>
          </w:p>
        </w:tc>
      </w:tr>
      <w:tr w:rsidR="00BD4547" w:rsidRPr="00BD4547" w14:paraId="43E8499C" w14:textId="77777777" w:rsidTr="003D6C7E">
        <w:trPr>
          <w:trHeight w:val="300"/>
        </w:trPr>
        <w:tc>
          <w:tcPr>
            <w:tcW w:w="3828" w:type="dxa"/>
            <w:tcBorders>
              <w:top w:val="nil"/>
              <w:left w:val="nil"/>
              <w:bottom w:val="nil"/>
              <w:right w:val="nil"/>
            </w:tcBorders>
            <w:noWrap/>
            <w:vAlign w:val="center"/>
            <w:hideMark/>
          </w:tcPr>
          <w:p w14:paraId="16C57655" w14:textId="77777777" w:rsidR="00BD4547" w:rsidRPr="00BD4547" w:rsidRDefault="00BD4547" w:rsidP="003D6C7E">
            <w:pPr>
              <w:keepNext w:val="0"/>
              <w:spacing w:before="0"/>
              <w:rPr>
                <w:rFonts w:ascii="Times New Roman" w:hAnsi="Times New Roman"/>
                <w:color w:val="auto"/>
                <w:sz w:val="20"/>
              </w:rPr>
            </w:pPr>
          </w:p>
        </w:tc>
        <w:tc>
          <w:tcPr>
            <w:tcW w:w="992" w:type="dxa"/>
            <w:tcBorders>
              <w:top w:val="nil"/>
              <w:left w:val="nil"/>
              <w:bottom w:val="nil"/>
              <w:right w:val="nil"/>
            </w:tcBorders>
            <w:noWrap/>
            <w:vAlign w:val="center"/>
            <w:hideMark/>
          </w:tcPr>
          <w:p w14:paraId="305947C3" w14:textId="77777777" w:rsidR="00BD4547" w:rsidRPr="00BD4547" w:rsidRDefault="00BD4547" w:rsidP="003D6C7E">
            <w:pPr>
              <w:keepNext w:val="0"/>
              <w:spacing w:before="0"/>
              <w:rPr>
                <w:rFonts w:ascii="Times New Roman" w:hAnsi="Times New Roman"/>
                <w:color w:val="auto"/>
                <w:sz w:val="20"/>
              </w:rPr>
            </w:pPr>
          </w:p>
        </w:tc>
        <w:tc>
          <w:tcPr>
            <w:tcW w:w="1575" w:type="dxa"/>
            <w:tcBorders>
              <w:top w:val="nil"/>
              <w:left w:val="nil"/>
              <w:bottom w:val="nil"/>
              <w:right w:val="nil"/>
            </w:tcBorders>
            <w:noWrap/>
            <w:vAlign w:val="center"/>
            <w:hideMark/>
          </w:tcPr>
          <w:p w14:paraId="6C22D61C" w14:textId="77777777" w:rsidR="00BD4547" w:rsidRPr="00BD4547" w:rsidRDefault="00BD4547" w:rsidP="003D6C7E">
            <w:pPr>
              <w:keepNext w:val="0"/>
              <w:spacing w:before="0"/>
              <w:rPr>
                <w:rFonts w:ascii="Times New Roman" w:hAnsi="Times New Roman"/>
                <w:color w:val="auto"/>
                <w:sz w:val="20"/>
              </w:rPr>
            </w:pPr>
          </w:p>
        </w:tc>
        <w:tc>
          <w:tcPr>
            <w:tcW w:w="717" w:type="dxa"/>
            <w:tcBorders>
              <w:top w:val="nil"/>
              <w:left w:val="nil"/>
              <w:bottom w:val="nil"/>
              <w:right w:val="nil"/>
            </w:tcBorders>
            <w:noWrap/>
            <w:vAlign w:val="center"/>
            <w:hideMark/>
          </w:tcPr>
          <w:p w14:paraId="0F7CDAF3" w14:textId="77777777" w:rsidR="00BD4547" w:rsidRPr="00BD4547" w:rsidRDefault="00BD4547" w:rsidP="003D6C7E">
            <w:pPr>
              <w:keepNext w:val="0"/>
              <w:spacing w:before="0"/>
              <w:rPr>
                <w:rFonts w:ascii="Times New Roman" w:hAnsi="Times New Roman"/>
                <w:color w:val="auto"/>
                <w:sz w:val="20"/>
              </w:rPr>
            </w:pPr>
          </w:p>
        </w:tc>
      </w:tr>
      <w:tr w:rsidR="00BD4547" w:rsidRPr="00BD4547" w14:paraId="5B6C185A" w14:textId="77777777" w:rsidTr="003D6C7E">
        <w:trPr>
          <w:trHeight w:val="300"/>
        </w:trPr>
        <w:tc>
          <w:tcPr>
            <w:tcW w:w="3828" w:type="dxa"/>
            <w:tcBorders>
              <w:top w:val="nil"/>
              <w:left w:val="nil"/>
              <w:bottom w:val="nil"/>
              <w:right w:val="nil"/>
            </w:tcBorders>
            <w:noWrap/>
            <w:vAlign w:val="bottom"/>
            <w:hideMark/>
          </w:tcPr>
          <w:p w14:paraId="415CBB64" w14:textId="77777777" w:rsidR="00BD4547" w:rsidRPr="00BD4547" w:rsidRDefault="00BD4547" w:rsidP="003D6C7E">
            <w:pPr>
              <w:keepNext w:val="0"/>
              <w:spacing w:before="0"/>
              <w:rPr>
                <w:rFonts w:ascii="Times New Roman" w:hAnsi="Times New Roman"/>
                <w:color w:val="auto"/>
                <w:sz w:val="20"/>
              </w:rPr>
            </w:pPr>
          </w:p>
        </w:tc>
        <w:tc>
          <w:tcPr>
            <w:tcW w:w="992" w:type="dxa"/>
            <w:tcBorders>
              <w:top w:val="nil"/>
              <w:left w:val="nil"/>
              <w:bottom w:val="nil"/>
              <w:right w:val="nil"/>
            </w:tcBorders>
            <w:noWrap/>
            <w:vAlign w:val="center"/>
            <w:hideMark/>
          </w:tcPr>
          <w:p w14:paraId="1D8DBD61" w14:textId="77777777" w:rsidR="00BD4547" w:rsidRPr="00BD4547" w:rsidRDefault="00BD4547" w:rsidP="003D6C7E">
            <w:pPr>
              <w:keepNext w:val="0"/>
              <w:spacing w:before="0"/>
              <w:jc w:val="center"/>
              <w:rPr>
                <w:rFonts w:cs="Arial"/>
                <w:color w:val="auto"/>
                <w:sz w:val="20"/>
              </w:rPr>
            </w:pPr>
            <w:r w:rsidRPr="00BD4547">
              <w:rPr>
                <w:rFonts w:cs="Arial"/>
                <w:color w:val="auto"/>
                <w:sz w:val="20"/>
              </w:rPr>
              <w:t>E(g)(</w:t>
            </w:r>
            <w:proofErr w:type="spellStart"/>
            <w:r w:rsidRPr="00BD4547">
              <w:rPr>
                <w:rFonts w:cs="Arial"/>
                <w:color w:val="auto"/>
                <w:sz w:val="20"/>
              </w:rPr>
              <w:t>i</w:t>
            </w:r>
            <w:proofErr w:type="spellEnd"/>
            <w:r w:rsidRPr="00BD4547">
              <w:rPr>
                <w:rFonts w:cs="Arial"/>
                <w:color w:val="auto"/>
                <w:sz w:val="20"/>
              </w:rPr>
              <w:t>)</w:t>
            </w:r>
          </w:p>
        </w:tc>
        <w:tc>
          <w:tcPr>
            <w:tcW w:w="1575" w:type="dxa"/>
            <w:tcBorders>
              <w:top w:val="nil"/>
              <w:left w:val="nil"/>
              <w:bottom w:val="nil"/>
              <w:right w:val="nil"/>
            </w:tcBorders>
            <w:noWrap/>
            <w:vAlign w:val="center"/>
            <w:hideMark/>
          </w:tcPr>
          <w:p w14:paraId="61A6E1BE" w14:textId="77777777" w:rsidR="00BD4547" w:rsidRPr="00BD4547" w:rsidRDefault="00BD4547" w:rsidP="003D6C7E">
            <w:pPr>
              <w:keepNext w:val="0"/>
              <w:spacing w:before="0"/>
              <w:jc w:val="center"/>
              <w:rPr>
                <w:rFonts w:cs="Arial"/>
                <w:color w:val="auto"/>
                <w:sz w:val="20"/>
              </w:rPr>
            </w:pPr>
            <w:proofErr w:type="gramStart"/>
            <w:r w:rsidRPr="00BD4547">
              <w:rPr>
                <w:rFonts w:cs="Arial"/>
                <w:color w:val="auto"/>
                <w:sz w:val="20"/>
              </w:rPr>
              <w:t>E(</w:t>
            </w:r>
            <w:proofErr w:type="gramEnd"/>
            <w:r w:rsidRPr="00BD4547">
              <w:rPr>
                <w:rFonts w:cs="Arial"/>
                <w:color w:val="auto"/>
                <w:sz w:val="20"/>
              </w:rPr>
              <w:t xml:space="preserve">g </w:t>
            </w:r>
            <w:proofErr w:type="spellStart"/>
            <w:r w:rsidRPr="00BD4547">
              <w:rPr>
                <w:rFonts w:cs="Arial"/>
                <w:color w:val="auto"/>
                <w:sz w:val="20"/>
              </w:rPr>
              <w:t>i&amp;ii</w:t>
            </w:r>
            <w:proofErr w:type="spellEnd"/>
            <w:r w:rsidRPr="00BD4547">
              <w:rPr>
                <w:rFonts w:cs="Arial"/>
                <w:color w:val="auto"/>
                <w:sz w:val="20"/>
              </w:rPr>
              <w:t>)/B2/B8</w:t>
            </w:r>
          </w:p>
        </w:tc>
        <w:tc>
          <w:tcPr>
            <w:tcW w:w="717" w:type="dxa"/>
            <w:tcBorders>
              <w:top w:val="nil"/>
              <w:left w:val="nil"/>
              <w:bottom w:val="nil"/>
              <w:right w:val="nil"/>
            </w:tcBorders>
            <w:noWrap/>
            <w:vAlign w:val="center"/>
            <w:hideMark/>
          </w:tcPr>
          <w:p w14:paraId="5A2F1601" w14:textId="77777777" w:rsidR="00BD4547" w:rsidRPr="00BD4547" w:rsidRDefault="00BD4547" w:rsidP="003D6C7E">
            <w:pPr>
              <w:keepNext w:val="0"/>
              <w:spacing w:before="0"/>
              <w:jc w:val="center"/>
              <w:rPr>
                <w:rFonts w:cs="Arial"/>
                <w:color w:val="auto"/>
                <w:sz w:val="20"/>
              </w:rPr>
            </w:pPr>
            <w:r w:rsidRPr="00BD4547">
              <w:rPr>
                <w:rFonts w:cs="Arial"/>
                <w:color w:val="auto"/>
                <w:sz w:val="20"/>
              </w:rPr>
              <w:t>Total</w:t>
            </w:r>
          </w:p>
        </w:tc>
      </w:tr>
      <w:tr w:rsidR="00BD4547" w:rsidRPr="00BD4547" w14:paraId="7DC5B17D" w14:textId="77777777" w:rsidTr="003D6C7E">
        <w:trPr>
          <w:trHeight w:val="192"/>
        </w:trPr>
        <w:tc>
          <w:tcPr>
            <w:tcW w:w="3828" w:type="dxa"/>
            <w:tcBorders>
              <w:top w:val="nil"/>
              <w:left w:val="nil"/>
              <w:bottom w:val="nil"/>
              <w:right w:val="nil"/>
            </w:tcBorders>
            <w:noWrap/>
            <w:vAlign w:val="bottom"/>
            <w:hideMark/>
          </w:tcPr>
          <w:p w14:paraId="5CEF156D" w14:textId="77777777" w:rsidR="00BD4547" w:rsidRPr="00BD4547" w:rsidRDefault="00BD4547" w:rsidP="003D6C7E">
            <w:pPr>
              <w:keepNext w:val="0"/>
              <w:spacing w:before="0"/>
              <w:rPr>
                <w:rFonts w:ascii="Times New Roman" w:hAnsi="Times New Roman"/>
                <w:color w:val="auto"/>
                <w:sz w:val="20"/>
              </w:rPr>
            </w:pPr>
          </w:p>
        </w:tc>
        <w:tc>
          <w:tcPr>
            <w:tcW w:w="992" w:type="dxa"/>
            <w:tcBorders>
              <w:top w:val="nil"/>
              <w:left w:val="nil"/>
              <w:bottom w:val="nil"/>
              <w:right w:val="nil"/>
            </w:tcBorders>
            <w:noWrap/>
            <w:vAlign w:val="bottom"/>
            <w:hideMark/>
          </w:tcPr>
          <w:p w14:paraId="5B15E38B" w14:textId="77777777" w:rsidR="00BD4547" w:rsidRPr="00BD4547" w:rsidRDefault="00BD4547" w:rsidP="003D6C7E">
            <w:pPr>
              <w:keepNext w:val="0"/>
              <w:spacing w:before="0"/>
              <w:rPr>
                <w:rFonts w:ascii="Times New Roman" w:hAnsi="Times New Roman"/>
                <w:color w:val="auto"/>
                <w:sz w:val="20"/>
              </w:rPr>
            </w:pPr>
          </w:p>
        </w:tc>
        <w:tc>
          <w:tcPr>
            <w:tcW w:w="1575" w:type="dxa"/>
            <w:tcBorders>
              <w:top w:val="nil"/>
              <w:left w:val="nil"/>
              <w:bottom w:val="nil"/>
              <w:right w:val="nil"/>
            </w:tcBorders>
            <w:noWrap/>
            <w:vAlign w:val="bottom"/>
            <w:hideMark/>
          </w:tcPr>
          <w:p w14:paraId="71C72961" w14:textId="77777777" w:rsidR="00BD4547" w:rsidRPr="00BD4547" w:rsidRDefault="00BD4547" w:rsidP="003D6C7E">
            <w:pPr>
              <w:keepNext w:val="0"/>
              <w:spacing w:before="0"/>
              <w:rPr>
                <w:rFonts w:ascii="Times New Roman" w:hAnsi="Times New Roman"/>
                <w:color w:val="auto"/>
                <w:sz w:val="20"/>
              </w:rPr>
            </w:pPr>
          </w:p>
        </w:tc>
        <w:tc>
          <w:tcPr>
            <w:tcW w:w="717" w:type="dxa"/>
            <w:tcBorders>
              <w:top w:val="nil"/>
              <w:left w:val="nil"/>
              <w:bottom w:val="nil"/>
              <w:right w:val="nil"/>
            </w:tcBorders>
            <w:noWrap/>
            <w:vAlign w:val="bottom"/>
            <w:hideMark/>
          </w:tcPr>
          <w:p w14:paraId="008B5EEF" w14:textId="77777777" w:rsidR="00BD4547" w:rsidRPr="00BD4547" w:rsidRDefault="00BD4547" w:rsidP="003D6C7E">
            <w:pPr>
              <w:keepNext w:val="0"/>
              <w:spacing w:before="0"/>
              <w:rPr>
                <w:rFonts w:ascii="Times New Roman" w:hAnsi="Times New Roman"/>
                <w:color w:val="auto"/>
                <w:sz w:val="20"/>
              </w:rPr>
            </w:pPr>
          </w:p>
        </w:tc>
      </w:tr>
      <w:tr w:rsidR="00BD4547" w:rsidRPr="00BD4547" w14:paraId="66084059" w14:textId="77777777" w:rsidTr="003D6C7E">
        <w:trPr>
          <w:trHeight w:val="420"/>
        </w:trPr>
        <w:tc>
          <w:tcPr>
            <w:tcW w:w="3828" w:type="dxa"/>
            <w:tcBorders>
              <w:top w:val="single" w:sz="8" w:space="0" w:color="auto"/>
              <w:left w:val="nil"/>
              <w:bottom w:val="single" w:sz="8" w:space="0" w:color="auto"/>
              <w:right w:val="nil"/>
            </w:tcBorders>
            <w:noWrap/>
            <w:vAlign w:val="bottom"/>
            <w:hideMark/>
          </w:tcPr>
          <w:p w14:paraId="2437113B" w14:textId="77777777" w:rsidR="00BD4547" w:rsidRPr="00BD4547" w:rsidRDefault="00BD4547" w:rsidP="003D6C7E">
            <w:pPr>
              <w:keepNext w:val="0"/>
              <w:spacing w:before="0"/>
              <w:rPr>
                <w:rFonts w:cs="Arial"/>
                <w:color w:val="auto"/>
                <w:sz w:val="20"/>
              </w:rPr>
            </w:pPr>
            <w:r w:rsidRPr="00BD4547">
              <w:rPr>
                <w:rFonts w:cs="Arial"/>
                <w:color w:val="auto"/>
                <w:sz w:val="20"/>
              </w:rPr>
              <w:t xml:space="preserve">Demand - Draft Local Plan 2018 to 2040 </w:t>
            </w:r>
          </w:p>
        </w:tc>
        <w:tc>
          <w:tcPr>
            <w:tcW w:w="992" w:type="dxa"/>
            <w:tcBorders>
              <w:top w:val="single" w:sz="8" w:space="0" w:color="auto"/>
              <w:left w:val="nil"/>
              <w:bottom w:val="single" w:sz="8" w:space="0" w:color="auto"/>
              <w:right w:val="nil"/>
            </w:tcBorders>
            <w:noWrap/>
            <w:vAlign w:val="bottom"/>
            <w:hideMark/>
          </w:tcPr>
          <w:p w14:paraId="6F9CDD5F" w14:textId="77777777" w:rsidR="00BD4547" w:rsidRPr="00BD4547" w:rsidRDefault="00BD4547" w:rsidP="003D6C7E">
            <w:pPr>
              <w:keepNext w:val="0"/>
              <w:spacing w:before="0"/>
              <w:jc w:val="center"/>
              <w:rPr>
                <w:rFonts w:cs="Arial"/>
                <w:color w:val="auto"/>
                <w:sz w:val="20"/>
              </w:rPr>
            </w:pPr>
            <w:r w:rsidRPr="00BD4547">
              <w:rPr>
                <w:rFonts w:cs="Arial"/>
                <w:color w:val="auto"/>
                <w:sz w:val="20"/>
              </w:rPr>
              <w:t>1.00</w:t>
            </w:r>
          </w:p>
        </w:tc>
        <w:tc>
          <w:tcPr>
            <w:tcW w:w="1575" w:type="dxa"/>
            <w:tcBorders>
              <w:top w:val="single" w:sz="8" w:space="0" w:color="auto"/>
              <w:left w:val="nil"/>
              <w:bottom w:val="single" w:sz="8" w:space="0" w:color="auto"/>
              <w:right w:val="nil"/>
            </w:tcBorders>
            <w:noWrap/>
            <w:vAlign w:val="bottom"/>
            <w:hideMark/>
          </w:tcPr>
          <w:p w14:paraId="6FE576A7" w14:textId="77777777" w:rsidR="00BD4547" w:rsidRPr="00BD4547" w:rsidRDefault="00BD4547" w:rsidP="003D6C7E">
            <w:pPr>
              <w:keepNext w:val="0"/>
              <w:spacing w:before="0"/>
              <w:jc w:val="center"/>
              <w:rPr>
                <w:rFonts w:cs="Arial"/>
                <w:color w:val="auto"/>
                <w:sz w:val="20"/>
              </w:rPr>
            </w:pPr>
            <w:r w:rsidRPr="00BD4547">
              <w:rPr>
                <w:rFonts w:cs="Arial"/>
                <w:color w:val="auto"/>
                <w:sz w:val="20"/>
              </w:rPr>
              <w:t>92.00</w:t>
            </w:r>
          </w:p>
        </w:tc>
        <w:tc>
          <w:tcPr>
            <w:tcW w:w="717" w:type="dxa"/>
            <w:tcBorders>
              <w:top w:val="single" w:sz="8" w:space="0" w:color="auto"/>
              <w:left w:val="nil"/>
              <w:bottom w:val="single" w:sz="8" w:space="0" w:color="auto"/>
              <w:right w:val="nil"/>
            </w:tcBorders>
            <w:noWrap/>
            <w:vAlign w:val="bottom"/>
            <w:hideMark/>
          </w:tcPr>
          <w:p w14:paraId="5105C94C" w14:textId="77777777" w:rsidR="00BD4547" w:rsidRPr="00BD4547" w:rsidRDefault="00BD4547" w:rsidP="003D6C7E">
            <w:pPr>
              <w:keepNext w:val="0"/>
              <w:spacing w:before="0"/>
              <w:jc w:val="center"/>
              <w:rPr>
                <w:rFonts w:cs="Arial"/>
                <w:color w:val="auto"/>
                <w:sz w:val="20"/>
              </w:rPr>
            </w:pPr>
            <w:r w:rsidRPr="00BD4547">
              <w:rPr>
                <w:rFonts w:cs="Arial"/>
                <w:color w:val="auto"/>
                <w:sz w:val="20"/>
              </w:rPr>
              <w:t>93.00</w:t>
            </w:r>
          </w:p>
        </w:tc>
      </w:tr>
      <w:tr w:rsidR="00BD4547" w:rsidRPr="00BD4547" w14:paraId="55C89C17" w14:textId="77777777" w:rsidTr="003D6C7E">
        <w:trPr>
          <w:trHeight w:val="300"/>
        </w:trPr>
        <w:tc>
          <w:tcPr>
            <w:tcW w:w="3828" w:type="dxa"/>
            <w:tcBorders>
              <w:top w:val="nil"/>
              <w:left w:val="nil"/>
              <w:bottom w:val="nil"/>
              <w:right w:val="nil"/>
            </w:tcBorders>
            <w:noWrap/>
            <w:vAlign w:val="bottom"/>
            <w:hideMark/>
          </w:tcPr>
          <w:p w14:paraId="65998B11" w14:textId="77777777" w:rsidR="00BD4547" w:rsidRPr="00BD4547" w:rsidRDefault="00BD4547" w:rsidP="003D6C7E">
            <w:pPr>
              <w:keepNext w:val="0"/>
              <w:spacing w:before="0"/>
              <w:rPr>
                <w:rFonts w:cs="Arial"/>
                <w:color w:val="auto"/>
                <w:sz w:val="20"/>
              </w:rPr>
            </w:pPr>
          </w:p>
        </w:tc>
        <w:tc>
          <w:tcPr>
            <w:tcW w:w="992" w:type="dxa"/>
            <w:tcBorders>
              <w:top w:val="nil"/>
              <w:left w:val="nil"/>
              <w:bottom w:val="nil"/>
              <w:right w:val="nil"/>
            </w:tcBorders>
            <w:noWrap/>
            <w:vAlign w:val="bottom"/>
            <w:hideMark/>
          </w:tcPr>
          <w:p w14:paraId="4E790B3A" w14:textId="77777777" w:rsidR="00BD4547" w:rsidRPr="00BD4547" w:rsidRDefault="00BD4547" w:rsidP="003D6C7E">
            <w:pPr>
              <w:keepNext w:val="0"/>
              <w:spacing w:before="0"/>
              <w:jc w:val="center"/>
              <w:rPr>
                <w:rFonts w:ascii="Times New Roman" w:hAnsi="Times New Roman"/>
                <w:color w:val="auto"/>
                <w:sz w:val="20"/>
              </w:rPr>
            </w:pPr>
          </w:p>
        </w:tc>
        <w:tc>
          <w:tcPr>
            <w:tcW w:w="1575" w:type="dxa"/>
            <w:tcBorders>
              <w:top w:val="nil"/>
              <w:left w:val="nil"/>
              <w:bottom w:val="nil"/>
              <w:right w:val="nil"/>
            </w:tcBorders>
            <w:noWrap/>
            <w:vAlign w:val="bottom"/>
            <w:hideMark/>
          </w:tcPr>
          <w:p w14:paraId="14B09A2C" w14:textId="77777777" w:rsidR="00BD4547" w:rsidRPr="00BD4547" w:rsidRDefault="00BD4547" w:rsidP="003D6C7E">
            <w:pPr>
              <w:keepNext w:val="0"/>
              <w:spacing w:before="0"/>
              <w:jc w:val="center"/>
              <w:rPr>
                <w:rFonts w:ascii="Times New Roman" w:hAnsi="Times New Roman"/>
                <w:color w:val="auto"/>
                <w:sz w:val="20"/>
              </w:rPr>
            </w:pPr>
          </w:p>
        </w:tc>
        <w:tc>
          <w:tcPr>
            <w:tcW w:w="717" w:type="dxa"/>
            <w:tcBorders>
              <w:top w:val="nil"/>
              <w:left w:val="nil"/>
              <w:bottom w:val="nil"/>
              <w:right w:val="nil"/>
            </w:tcBorders>
            <w:noWrap/>
            <w:vAlign w:val="bottom"/>
            <w:hideMark/>
          </w:tcPr>
          <w:p w14:paraId="56174540" w14:textId="77777777" w:rsidR="00BD4547" w:rsidRPr="00BD4547" w:rsidRDefault="00BD4547" w:rsidP="003D6C7E">
            <w:pPr>
              <w:keepNext w:val="0"/>
              <w:spacing w:before="0"/>
              <w:jc w:val="center"/>
              <w:rPr>
                <w:rFonts w:ascii="Times New Roman" w:hAnsi="Times New Roman"/>
                <w:color w:val="auto"/>
                <w:sz w:val="20"/>
              </w:rPr>
            </w:pPr>
          </w:p>
        </w:tc>
      </w:tr>
      <w:tr w:rsidR="00BD4547" w:rsidRPr="00BD4547" w14:paraId="6CC3F8FB" w14:textId="77777777" w:rsidTr="003D6C7E">
        <w:trPr>
          <w:trHeight w:val="300"/>
        </w:trPr>
        <w:tc>
          <w:tcPr>
            <w:tcW w:w="3828" w:type="dxa"/>
            <w:tcBorders>
              <w:top w:val="nil"/>
              <w:left w:val="nil"/>
              <w:bottom w:val="nil"/>
              <w:right w:val="nil"/>
            </w:tcBorders>
            <w:noWrap/>
            <w:vAlign w:val="center"/>
            <w:hideMark/>
          </w:tcPr>
          <w:p w14:paraId="0C18F128" w14:textId="77777777" w:rsidR="00BD4547" w:rsidRPr="00BD4547" w:rsidRDefault="00BD4547" w:rsidP="003D6C7E">
            <w:pPr>
              <w:keepNext w:val="0"/>
              <w:spacing w:before="0"/>
              <w:rPr>
                <w:rFonts w:cs="Arial"/>
                <w:color w:val="auto"/>
                <w:sz w:val="20"/>
              </w:rPr>
            </w:pPr>
            <w:r w:rsidRPr="00BD4547">
              <w:rPr>
                <w:rFonts w:cs="Arial"/>
                <w:color w:val="auto"/>
                <w:sz w:val="20"/>
              </w:rPr>
              <w:t xml:space="preserve">Less land developed on allocations  </w:t>
            </w:r>
          </w:p>
        </w:tc>
        <w:tc>
          <w:tcPr>
            <w:tcW w:w="992" w:type="dxa"/>
            <w:tcBorders>
              <w:top w:val="nil"/>
              <w:left w:val="nil"/>
              <w:bottom w:val="nil"/>
              <w:right w:val="nil"/>
            </w:tcBorders>
            <w:noWrap/>
            <w:vAlign w:val="bottom"/>
            <w:hideMark/>
          </w:tcPr>
          <w:p w14:paraId="33E833FE" w14:textId="77777777" w:rsidR="00BD4547" w:rsidRPr="00BD4547" w:rsidRDefault="00BD4547" w:rsidP="003D6C7E">
            <w:pPr>
              <w:keepNext w:val="0"/>
              <w:spacing w:before="0"/>
              <w:jc w:val="center"/>
              <w:rPr>
                <w:rFonts w:cs="Arial"/>
                <w:color w:val="auto"/>
                <w:sz w:val="20"/>
              </w:rPr>
            </w:pPr>
          </w:p>
        </w:tc>
        <w:tc>
          <w:tcPr>
            <w:tcW w:w="1575" w:type="dxa"/>
            <w:tcBorders>
              <w:top w:val="nil"/>
              <w:left w:val="nil"/>
              <w:bottom w:val="nil"/>
              <w:right w:val="nil"/>
            </w:tcBorders>
            <w:noWrap/>
            <w:vAlign w:val="bottom"/>
            <w:hideMark/>
          </w:tcPr>
          <w:p w14:paraId="6E1F7468" w14:textId="77777777" w:rsidR="00BD4547" w:rsidRPr="00BD4547" w:rsidRDefault="00BD4547" w:rsidP="003D6C7E">
            <w:pPr>
              <w:keepNext w:val="0"/>
              <w:spacing w:before="0"/>
              <w:jc w:val="center"/>
              <w:rPr>
                <w:rFonts w:ascii="Times New Roman" w:hAnsi="Times New Roman"/>
                <w:color w:val="auto"/>
                <w:sz w:val="20"/>
              </w:rPr>
            </w:pPr>
          </w:p>
        </w:tc>
        <w:tc>
          <w:tcPr>
            <w:tcW w:w="717" w:type="dxa"/>
            <w:tcBorders>
              <w:top w:val="nil"/>
              <w:left w:val="nil"/>
              <w:bottom w:val="nil"/>
              <w:right w:val="nil"/>
            </w:tcBorders>
            <w:noWrap/>
            <w:vAlign w:val="bottom"/>
            <w:hideMark/>
          </w:tcPr>
          <w:p w14:paraId="47C1B184" w14:textId="77777777" w:rsidR="00BD4547" w:rsidRPr="00BD4547" w:rsidRDefault="00BD4547" w:rsidP="003D6C7E">
            <w:pPr>
              <w:keepNext w:val="0"/>
              <w:spacing w:before="0"/>
              <w:jc w:val="center"/>
              <w:rPr>
                <w:rFonts w:ascii="Times New Roman" w:hAnsi="Times New Roman"/>
                <w:color w:val="auto"/>
                <w:sz w:val="20"/>
              </w:rPr>
            </w:pPr>
          </w:p>
        </w:tc>
      </w:tr>
      <w:tr w:rsidR="00BD4547" w:rsidRPr="00BD4547" w14:paraId="4803469F" w14:textId="77777777" w:rsidTr="003D6C7E">
        <w:trPr>
          <w:trHeight w:val="300"/>
        </w:trPr>
        <w:tc>
          <w:tcPr>
            <w:tcW w:w="3828" w:type="dxa"/>
            <w:tcBorders>
              <w:top w:val="nil"/>
              <w:left w:val="nil"/>
              <w:bottom w:val="nil"/>
              <w:right w:val="nil"/>
            </w:tcBorders>
            <w:noWrap/>
            <w:vAlign w:val="center"/>
            <w:hideMark/>
          </w:tcPr>
          <w:p w14:paraId="3533A1D5" w14:textId="77777777" w:rsidR="00BD4547" w:rsidRPr="00BD4547" w:rsidRDefault="00BD4547" w:rsidP="003D6C7E">
            <w:pPr>
              <w:keepNext w:val="0"/>
              <w:spacing w:before="0"/>
              <w:rPr>
                <w:rFonts w:cs="Arial"/>
                <w:color w:val="auto"/>
                <w:sz w:val="20"/>
              </w:rPr>
            </w:pPr>
            <w:r w:rsidRPr="00BD4547">
              <w:rPr>
                <w:rFonts w:cs="Arial"/>
                <w:color w:val="auto"/>
                <w:sz w:val="20"/>
              </w:rPr>
              <w:t>2018/19</w:t>
            </w:r>
          </w:p>
        </w:tc>
        <w:tc>
          <w:tcPr>
            <w:tcW w:w="992" w:type="dxa"/>
            <w:tcBorders>
              <w:top w:val="nil"/>
              <w:left w:val="nil"/>
              <w:bottom w:val="nil"/>
              <w:right w:val="nil"/>
            </w:tcBorders>
            <w:noWrap/>
            <w:vAlign w:val="center"/>
            <w:hideMark/>
          </w:tcPr>
          <w:p w14:paraId="18D42A8B" w14:textId="77777777" w:rsidR="00BD4547" w:rsidRPr="00BD4547" w:rsidRDefault="00BD4547" w:rsidP="003D6C7E">
            <w:pPr>
              <w:keepNext w:val="0"/>
              <w:spacing w:before="0"/>
              <w:jc w:val="center"/>
              <w:rPr>
                <w:rFonts w:cs="Arial"/>
                <w:color w:val="auto"/>
                <w:sz w:val="20"/>
              </w:rPr>
            </w:pPr>
            <w:r w:rsidRPr="00BD4547">
              <w:rPr>
                <w:rFonts w:cs="Arial"/>
                <w:color w:val="auto"/>
                <w:sz w:val="20"/>
              </w:rPr>
              <w:t>0.00</w:t>
            </w:r>
          </w:p>
        </w:tc>
        <w:tc>
          <w:tcPr>
            <w:tcW w:w="1575" w:type="dxa"/>
            <w:tcBorders>
              <w:top w:val="nil"/>
              <w:left w:val="nil"/>
              <w:bottom w:val="nil"/>
              <w:right w:val="nil"/>
            </w:tcBorders>
            <w:noWrap/>
            <w:vAlign w:val="center"/>
            <w:hideMark/>
          </w:tcPr>
          <w:p w14:paraId="1E70D8E3" w14:textId="77777777" w:rsidR="00BD4547" w:rsidRPr="00BD4547" w:rsidRDefault="00BD4547" w:rsidP="003D6C7E">
            <w:pPr>
              <w:keepNext w:val="0"/>
              <w:spacing w:before="0"/>
              <w:jc w:val="center"/>
              <w:rPr>
                <w:rFonts w:cs="Arial"/>
                <w:color w:val="auto"/>
                <w:sz w:val="20"/>
              </w:rPr>
            </w:pPr>
            <w:r w:rsidRPr="00BD4547">
              <w:rPr>
                <w:rFonts w:cs="Arial"/>
                <w:color w:val="auto"/>
                <w:sz w:val="20"/>
              </w:rPr>
              <w:t>6.95</w:t>
            </w:r>
          </w:p>
        </w:tc>
        <w:tc>
          <w:tcPr>
            <w:tcW w:w="717" w:type="dxa"/>
            <w:tcBorders>
              <w:top w:val="nil"/>
              <w:left w:val="nil"/>
              <w:bottom w:val="nil"/>
              <w:right w:val="nil"/>
            </w:tcBorders>
            <w:noWrap/>
            <w:vAlign w:val="center"/>
            <w:hideMark/>
          </w:tcPr>
          <w:p w14:paraId="6A3D2D64" w14:textId="77777777" w:rsidR="00BD4547" w:rsidRPr="00BD4547" w:rsidRDefault="00BD4547" w:rsidP="003D6C7E">
            <w:pPr>
              <w:keepNext w:val="0"/>
              <w:spacing w:before="0"/>
              <w:jc w:val="center"/>
              <w:rPr>
                <w:rFonts w:cs="Arial"/>
                <w:color w:val="auto"/>
                <w:sz w:val="20"/>
              </w:rPr>
            </w:pPr>
            <w:r w:rsidRPr="00BD4547">
              <w:rPr>
                <w:rFonts w:cs="Arial"/>
                <w:color w:val="auto"/>
                <w:sz w:val="20"/>
              </w:rPr>
              <w:t>6.95</w:t>
            </w:r>
          </w:p>
        </w:tc>
      </w:tr>
      <w:tr w:rsidR="00BD4547" w:rsidRPr="00BD4547" w14:paraId="5E340187" w14:textId="77777777" w:rsidTr="003D6C7E">
        <w:trPr>
          <w:trHeight w:val="300"/>
        </w:trPr>
        <w:tc>
          <w:tcPr>
            <w:tcW w:w="3828" w:type="dxa"/>
            <w:tcBorders>
              <w:top w:val="nil"/>
              <w:left w:val="nil"/>
              <w:bottom w:val="nil"/>
              <w:right w:val="nil"/>
            </w:tcBorders>
            <w:noWrap/>
            <w:vAlign w:val="center"/>
            <w:hideMark/>
          </w:tcPr>
          <w:p w14:paraId="40B90DD0" w14:textId="77777777" w:rsidR="00BD4547" w:rsidRPr="00BD4547" w:rsidRDefault="00BD4547" w:rsidP="003D6C7E">
            <w:pPr>
              <w:keepNext w:val="0"/>
              <w:spacing w:before="0"/>
              <w:jc w:val="both"/>
              <w:rPr>
                <w:rFonts w:cs="Arial"/>
                <w:color w:val="auto"/>
                <w:sz w:val="20"/>
              </w:rPr>
            </w:pPr>
            <w:r w:rsidRPr="00BD4547">
              <w:rPr>
                <w:rFonts w:cs="Arial"/>
                <w:color w:val="auto"/>
                <w:sz w:val="20"/>
              </w:rPr>
              <w:t>2019/20</w:t>
            </w:r>
          </w:p>
        </w:tc>
        <w:tc>
          <w:tcPr>
            <w:tcW w:w="992" w:type="dxa"/>
            <w:tcBorders>
              <w:top w:val="nil"/>
              <w:left w:val="nil"/>
              <w:bottom w:val="nil"/>
              <w:right w:val="nil"/>
            </w:tcBorders>
            <w:noWrap/>
            <w:vAlign w:val="center"/>
            <w:hideMark/>
          </w:tcPr>
          <w:p w14:paraId="1653CC6A" w14:textId="77777777" w:rsidR="00BD4547" w:rsidRPr="00BD4547" w:rsidRDefault="00BD4547" w:rsidP="003D6C7E">
            <w:pPr>
              <w:keepNext w:val="0"/>
              <w:spacing w:before="0"/>
              <w:jc w:val="center"/>
              <w:rPr>
                <w:rFonts w:cs="Arial"/>
                <w:color w:val="auto"/>
                <w:sz w:val="20"/>
              </w:rPr>
            </w:pPr>
            <w:r w:rsidRPr="00BD4547">
              <w:rPr>
                <w:rFonts w:cs="Arial"/>
                <w:color w:val="auto"/>
                <w:sz w:val="20"/>
              </w:rPr>
              <w:t>0.00</w:t>
            </w:r>
          </w:p>
        </w:tc>
        <w:tc>
          <w:tcPr>
            <w:tcW w:w="1575" w:type="dxa"/>
            <w:tcBorders>
              <w:top w:val="nil"/>
              <w:left w:val="nil"/>
              <w:bottom w:val="nil"/>
              <w:right w:val="nil"/>
            </w:tcBorders>
            <w:noWrap/>
            <w:vAlign w:val="center"/>
            <w:hideMark/>
          </w:tcPr>
          <w:p w14:paraId="27D5CEE8" w14:textId="77777777" w:rsidR="00BD4547" w:rsidRPr="00BD4547" w:rsidRDefault="00BD4547" w:rsidP="003D6C7E">
            <w:pPr>
              <w:keepNext w:val="0"/>
              <w:spacing w:before="0"/>
              <w:jc w:val="center"/>
              <w:rPr>
                <w:rFonts w:cs="Arial"/>
                <w:color w:val="auto"/>
                <w:sz w:val="20"/>
              </w:rPr>
            </w:pPr>
            <w:r w:rsidRPr="00BD4547">
              <w:rPr>
                <w:rFonts w:cs="Arial"/>
                <w:color w:val="auto"/>
                <w:sz w:val="20"/>
              </w:rPr>
              <w:t>19.45</w:t>
            </w:r>
          </w:p>
        </w:tc>
        <w:tc>
          <w:tcPr>
            <w:tcW w:w="717" w:type="dxa"/>
            <w:tcBorders>
              <w:top w:val="nil"/>
              <w:left w:val="nil"/>
              <w:bottom w:val="nil"/>
              <w:right w:val="nil"/>
            </w:tcBorders>
            <w:noWrap/>
            <w:vAlign w:val="center"/>
            <w:hideMark/>
          </w:tcPr>
          <w:p w14:paraId="506F704C" w14:textId="77777777" w:rsidR="00BD4547" w:rsidRPr="00BD4547" w:rsidRDefault="00BD4547" w:rsidP="003D6C7E">
            <w:pPr>
              <w:keepNext w:val="0"/>
              <w:spacing w:before="0"/>
              <w:jc w:val="center"/>
              <w:rPr>
                <w:rFonts w:cs="Arial"/>
                <w:color w:val="auto"/>
                <w:sz w:val="20"/>
              </w:rPr>
            </w:pPr>
            <w:r w:rsidRPr="00BD4547">
              <w:rPr>
                <w:rFonts w:cs="Arial"/>
                <w:color w:val="auto"/>
                <w:sz w:val="20"/>
              </w:rPr>
              <w:t>19.45</w:t>
            </w:r>
          </w:p>
        </w:tc>
      </w:tr>
      <w:tr w:rsidR="00BD4547" w:rsidRPr="00BD4547" w14:paraId="18074766" w14:textId="77777777" w:rsidTr="003D6C7E">
        <w:trPr>
          <w:trHeight w:val="300"/>
        </w:trPr>
        <w:tc>
          <w:tcPr>
            <w:tcW w:w="3828" w:type="dxa"/>
            <w:tcBorders>
              <w:top w:val="nil"/>
              <w:left w:val="nil"/>
              <w:bottom w:val="nil"/>
              <w:right w:val="nil"/>
            </w:tcBorders>
            <w:noWrap/>
            <w:vAlign w:val="center"/>
            <w:hideMark/>
          </w:tcPr>
          <w:p w14:paraId="0C2B83CB" w14:textId="77777777" w:rsidR="00BD4547" w:rsidRPr="00BD4547" w:rsidRDefault="00BD4547" w:rsidP="003D6C7E">
            <w:pPr>
              <w:keepNext w:val="0"/>
              <w:spacing w:before="0"/>
              <w:jc w:val="both"/>
              <w:rPr>
                <w:rFonts w:cs="Arial"/>
                <w:color w:val="auto"/>
                <w:sz w:val="20"/>
              </w:rPr>
            </w:pPr>
            <w:r w:rsidRPr="00BD4547">
              <w:rPr>
                <w:rFonts w:cs="Arial"/>
                <w:color w:val="auto"/>
                <w:sz w:val="20"/>
              </w:rPr>
              <w:t>2020/21</w:t>
            </w:r>
          </w:p>
        </w:tc>
        <w:tc>
          <w:tcPr>
            <w:tcW w:w="992" w:type="dxa"/>
            <w:tcBorders>
              <w:top w:val="nil"/>
              <w:left w:val="nil"/>
              <w:bottom w:val="nil"/>
              <w:right w:val="nil"/>
            </w:tcBorders>
            <w:noWrap/>
            <w:vAlign w:val="center"/>
            <w:hideMark/>
          </w:tcPr>
          <w:p w14:paraId="7C6BBDDC" w14:textId="77777777" w:rsidR="00BD4547" w:rsidRPr="00BD4547" w:rsidRDefault="00BD4547" w:rsidP="003D6C7E">
            <w:pPr>
              <w:keepNext w:val="0"/>
              <w:spacing w:before="0"/>
              <w:jc w:val="center"/>
              <w:rPr>
                <w:rFonts w:cs="Arial"/>
                <w:color w:val="auto"/>
                <w:sz w:val="20"/>
              </w:rPr>
            </w:pPr>
            <w:r w:rsidRPr="00BD4547">
              <w:rPr>
                <w:rFonts w:cs="Arial"/>
                <w:color w:val="auto"/>
                <w:sz w:val="20"/>
              </w:rPr>
              <w:t>0.00</w:t>
            </w:r>
          </w:p>
        </w:tc>
        <w:tc>
          <w:tcPr>
            <w:tcW w:w="1575" w:type="dxa"/>
            <w:tcBorders>
              <w:top w:val="nil"/>
              <w:left w:val="nil"/>
              <w:bottom w:val="nil"/>
              <w:right w:val="nil"/>
            </w:tcBorders>
            <w:noWrap/>
            <w:vAlign w:val="center"/>
            <w:hideMark/>
          </w:tcPr>
          <w:p w14:paraId="4C5FAD30" w14:textId="77777777" w:rsidR="00BD4547" w:rsidRPr="00BD4547" w:rsidRDefault="00BD4547" w:rsidP="003D6C7E">
            <w:pPr>
              <w:keepNext w:val="0"/>
              <w:spacing w:before="0"/>
              <w:jc w:val="center"/>
              <w:rPr>
                <w:rFonts w:cs="Arial"/>
                <w:color w:val="auto"/>
                <w:sz w:val="20"/>
              </w:rPr>
            </w:pPr>
            <w:r w:rsidRPr="00BD4547">
              <w:rPr>
                <w:rFonts w:cs="Arial"/>
                <w:color w:val="auto"/>
                <w:sz w:val="20"/>
              </w:rPr>
              <w:t>6.69</w:t>
            </w:r>
          </w:p>
        </w:tc>
        <w:tc>
          <w:tcPr>
            <w:tcW w:w="717" w:type="dxa"/>
            <w:tcBorders>
              <w:top w:val="nil"/>
              <w:left w:val="nil"/>
              <w:bottom w:val="nil"/>
              <w:right w:val="nil"/>
            </w:tcBorders>
            <w:noWrap/>
            <w:vAlign w:val="center"/>
            <w:hideMark/>
          </w:tcPr>
          <w:p w14:paraId="0D83E57B" w14:textId="77777777" w:rsidR="00BD4547" w:rsidRPr="00BD4547" w:rsidRDefault="00BD4547" w:rsidP="003D6C7E">
            <w:pPr>
              <w:keepNext w:val="0"/>
              <w:spacing w:before="0"/>
              <w:jc w:val="center"/>
              <w:rPr>
                <w:rFonts w:cs="Arial"/>
                <w:color w:val="auto"/>
                <w:sz w:val="20"/>
              </w:rPr>
            </w:pPr>
            <w:r w:rsidRPr="00BD4547">
              <w:rPr>
                <w:rFonts w:cs="Arial"/>
                <w:color w:val="auto"/>
                <w:sz w:val="20"/>
              </w:rPr>
              <w:t>6.69</w:t>
            </w:r>
          </w:p>
        </w:tc>
      </w:tr>
      <w:tr w:rsidR="00BD4547" w:rsidRPr="00BD4547" w14:paraId="055D05CE" w14:textId="77777777" w:rsidTr="003D6C7E">
        <w:trPr>
          <w:trHeight w:val="300"/>
        </w:trPr>
        <w:tc>
          <w:tcPr>
            <w:tcW w:w="3828" w:type="dxa"/>
            <w:tcBorders>
              <w:top w:val="nil"/>
              <w:left w:val="nil"/>
              <w:bottom w:val="nil"/>
              <w:right w:val="nil"/>
            </w:tcBorders>
            <w:noWrap/>
            <w:vAlign w:val="center"/>
            <w:hideMark/>
          </w:tcPr>
          <w:p w14:paraId="6A4AD1DE" w14:textId="77777777" w:rsidR="00BD4547" w:rsidRPr="00BD4547" w:rsidRDefault="00BD4547" w:rsidP="003D6C7E">
            <w:pPr>
              <w:keepNext w:val="0"/>
              <w:spacing w:before="0"/>
              <w:jc w:val="both"/>
              <w:rPr>
                <w:rFonts w:cs="Arial"/>
                <w:color w:val="auto"/>
                <w:sz w:val="20"/>
              </w:rPr>
            </w:pPr>
            <w:r w:rsidRPr="00BD4547">
              <w:rPr>
                <w:rFonts w:cs="Arial"/>
                <w:color w:val="auto"/>
                <w:sz w:val="20"/>
              </w:rPr>
              <w:t>2021/22</w:t>
            </w:r>
          </w:p>
        </w:tc>
        <w:tc>
          <w:tcPr>
            <w:tcW w:w="992" w:type="dxa"/>
            <w:tcBorders>
              <w:top w:val="nil"/>
              <w:left w:val="nil"/>
              <w:bottom w:val="nil"/>
              <w:right w:val="nil"/>
            </w:tcBorders>
            <w:noWrap/>
            <w:vAlign w:val="center"/>
            <w:hideMark/>
          </w:tcPr>
          <w:p w14:paraId="53622C3B" w14:textId="77777777" w:rsidR="00BD4547" w:rsidRPr="00BD4547" w:rsidRDefault="00BD4547" w:rsidP="003D6C7E">
            <w:pPr>
              <w:keepNext w:val="0"/>
              <w:spacing w:before="0"/>
              <w:jc w:val="center"/>
              <w:rPr>
                <w:rFonts w:cs="Arial"/>
                <w:color w:val="auto"/>
                <w:sz w:val="20"/>
              </w:rPr>
            </w:pPr>
            <w:r w:rsidRPr="00BD4547">
              <w:rPr>
                <w:rFonts w:cs="Arial"/>
                <w:color w:val="auto"/>
                <w:sz w:val="20"/>
              </w:rPr>
              <w:t>0.00</w:t>
            </w:r>
          </w:p>
        </w:tc>
        <w:tc>
          <w:tcPr>
            <w:tcW w:w="1575" w:type="dxa"/>
            <w:tcBorders>
              <w:top w:val="nil"/>
              <w:left w:val="nil"/>
              <w:bottom w:val="nil"/>
              <w:right w:val="nil"/>
            </w:tcBorders>
            <w:noWrap/>
            <w:vAlign w:val="center"/>
            <w:hideMark/>
          </w:tcPr>
          <w:p w14:paraId="7847B390" w14:textId="77777777" w:rsidR="00BD4547" w:rsidRPr="00BD4547" w:rsidRDefault="00BD4547" w:rsidP="003D6C7E">
            <w:pPr>
              <w:keepNext w:val="0"/>
              <w:spacing w:before="0"/>
              <w:jc w:val="center"/>
              <w:rPr>
                <w:rFonts w:cs="Arial"/>
                <w:color w:val="auto"/>
                <w:sz w:val="20"/>
              </w:rPr>
            </w:pPr>
            <w:r w:rsidRPr="00BD4547">
              <w:rPr>
                <w:rFonts w:cs="Arial"/>
                <w:color w:val="auto"/>
                <w:sz w:val="20"/>
              </w:rPr>
              <w:t>5.31</w:t>
            </w:r>
          </w:p>
        </w:tc>
        <w:tc>
          <w:tcPr>
            <w:tcW w:w="717" w:type="dxa"/>
            <w:tcBorders>
              <w:top w:val="nil"/>
              <w:left w:val="nil"/>
              <w:bottom w:val="nil"/>
              <w:right w:val="nil"/>
            </w:tcBorders>
            <w:noWrap/>
            <w:vAlign w:val="center"/>
            <w:hideMark/>
          </w:tcPr>
          <w:p w14:paraId="71C09D3C" w14:textId="77777777" w:rsidR="00BD4547" w:rsidRPr="00BD4547" w:rsidRDefault="00BD4547" w:rsidP="003D6C7E">
            <w:pPr>
              <w:keepNext w:val="0"/>
              <w:spacing w:before="0"/>
              <w:jc w:val="center"/>
              <w:rPr>
                <w:rFonts w:cs="Arial"/>
                <w:color w:val="auto"/>
                <w:sz w:val="20"/>
              </w:rPr>
            </w:pPr>
            <w:r w:rsidRPr="00BD4547">
              <w:rPr>
                <w:rFonts w:cs="Arial"/>
                <w:color w:val="auto"/>
                <w:sz w:val="20"/>
              </w:rPr>
              <w:t>5.31</w:t>
            </w:r>
          </w:p>
        </w:tc>
      </w:tr>
      <w:tr w:rsidR="00BD4547" w:rsidRPr="00BD4547" w14:paraId="67DC18DE" w14:textId="77777777" w:rsidTr="003D6C7E">
        <w:trPr>
          <w:trHeight w:val="300"/>
        </w:trPr>
        <w:tc>
          <w:tcPr>
            <w:tcW w:w="3828" w:type="dxa"/>
            <w:tcBorders>
              <w:top w:val="nil"/>
              <w:left w:val="nil"/>
              <w:bottom w:val="nil"/>
              <w:right w:val="nil"/>
            </w:tcBorders>
            <w:noWrap/>
            <w:vAlign w:val="center"/>
            <w:hideMark/>
          </w:tcPr>
          <w:p w14:paraId="5CB45ED1" w14:textId="77777777" w:rsidR="00BD4547" w:rsidRPr="00BD4547" w:rsidRDefault="00BD4547" w:rsidP="003D6C7E">
            <w:pPr>
              <w:keepNext w:val="0"/>
              <w:spacing w:before="0"/>
              <w:jc w:val="both"/>
              <w:rPr>
                <w:rFonts w:cs="Arial"/>
                <w:color w:val="auto"/>
                <w:sz w:val="20"/>
              </w:rPr>
            </w:pPr>
            <w:r w:rsidRPr="00BD4547">
              <w:rPr>
                <w:rFonts w:cs="Arial"/>
                <w:color w:val="auto"/>
                <w:sz w:val="20"/>
              </w:rPr>
              <w:t>2022/23</w:t>
            </w:r>
          </w:p>
        </w:tc>
        <w:tc>
          <w:tcPr>
            <w:tcW w:w="992" w:type="dxa"/>
            <w:tcBorders>
              <w:top w:val="nil"/>
              <w:left w:val="nil"/>
              <w:bottom w:val="nil"/>
              <w:right w:val="nil"/>
            </w:tcBorders>
            <w:noWrap/>
            <w:vAlign w:val="center"/>
            <w:hideMark/>
          </w:tcPr>
          <w:p w14:paraId="0EA64D7F" w14:textId="77777777" w:rsidR="00BD4547" w:rsidRPr="00BD4547" w:rsidRDefault="00BD4547" w:rsidP="003D6C7E">
            <w:pPr>
              <w:keepNext w:val="0"/>
              <w:spacing w:before="0"/>
              <w:jc w:val="center"/>
              <w:rPr>
                <w:rFonts w:cs="Arial"/>
                <w:color w:val="auto"/>
                <w:sz w:val="20"/>
              </w:rPr>
            </w:pPr>
            <w:r w:rsidRPr="00BD4547">
              <w:rPr>
                <w:rFonts w:cs="Arial"/>
                <w:color w:val="auto"/>
                <w:sz w:val="20"/>
              </w:rPr>
              <w:t>0.00</w:t>
            </w:r>
          </w:p>
        </w:tc>
        <w:tc>
          <w:tcPr>
            <w:tcW w:w="1575" w:type="dxa"/>
            <w:tcBorders>
              <w:top w:val="nil"/>
              <w:left w:val="nil"/>
              <w:bottom w:val="nil"/>
              <w:right w:val="nil"/>
            </w:tcBorders>
            <w:noWrap/>
            <w:vAlign w:val="center"/>
            <w:hideMark/>
          </w:tcPr>
          <w:p w14:paraId="1CF7C540" w14:textId="77777777" w:rsidR="00BD4547" w:rsidRPr="00BD4547" w:rsidRDefault="00BD4547" w:rsidP="003D6C7E">
            <w:pPr>
              <w:keepNext w:val="0"/>
              <w:spacing w:before="0"/>
              <w:jc w:val="center"/>
              <w:rPr>
                <w:rFonts w:cs="Arial"/>
                <w:color w:val="auto"/>
                <w:sz w:val="20"/>
              </w:rPr>
            </w:pPr>
            <w:r w:rsidRPr="00BD4547">
              <w:rPr>
                <w:rFonts w:cs="Arial"/>
                <w:color w:val="auto"/>
                <w:sz w:val="20"/>
              </w:rPr>
              <w:t>8.66</w:t>
            </w:r>
          </w:p>
        </w:tc>
        <w:tc>
          <w:tcPr>
            <w:tcW w:w="717" w:type="dxa"/>
            <w:tcBorders>
              <w:top w:val="nil"/>
              <w:left w:val="nil"/>
              <w:bottom w:val="nil"/>
              <w:right w:val="nil"/>
            </w:tcBorders>
            <w:noWrap/>
            <w:vAlign w:val="center"/>
            <w:hideMark/>
          </w:tcPr>
          <w:p w14:paraId="6856DFFF" w14:textId="77777777" w:rsidR="00BD4547" w:rsidRPr="00BD4547" w:rsidRDefault="00BD4547" w:rsidP="003D6C7E">
            <w:pPr>
              <w:keepNext w:val="0"/>
              <w:spacing w:before="0"/>
              <w:jc w:val="center"/>
              <w:rPr>
                <w:rFonts w:cs="Arial"/>
                <w:color w:val="auto"/>
                <w:sz w:val="20"/>
              </w:rPr>
            </w:pPr>
            <w:r w:rsidRPr="00BD4547">
              <w:rPr>
                <w:rFonts w:cs="Arial"/>
                <w:color w:val="auto"/>
                <w:sz w:val="20"/>
              </w:rPr>
              <w:t>8.66</w:t>
            </w:r>
          </w:p>
        </w:tc>
      </w:tr>
      <w:tr w:rsidR="00BD4547" w:rsidRPr="00BD4547" w14:paraId="3988DEA9" w14:textId="77777777" w:rsidTr="003D6C7E">
        <w:trPr>
          <w:trHeight w:val="315"/>
        </w:trPr>
        <w:tc>
          <w:tcPr>
            <w:tcW w:w="3828" w:type="dxa"/>
            <w:tcBorders>
              <w:top w:val="nil"/>
              <w:left w:val="nil"/>
              <w:bottom w:val="nil"/>
              <w:right w:val="nil"/>
            </w:tcBorders>
            <w:noWrap/>
            <w:vAlign w:val="bottom"/>
            <w:hideMark/>
          </w:tcPr>
          <w:p w14:paraId="01B2F7AF" w14:textId="77777777" w:rsidR="00BD4547" w:rsidRPr="00BD4547" w:rsidRDefault="00BD4547" w:rsidP="003D6C7E">
            <w:pPr>
              <w:keepNext w:val="0"/>
              <w:spacing w:before="0"/>
              <w:jc w:val="both"/>
              <w:rPr>
                <w:rFonts w:ascii="Times New Roman" w:hAnsi="Times New Roman"/>
                <w:color w:val="auto"/>
                <w:sz w:val="20"/>
              </w:rPr>
            </w:pPr>
          </w:p>
        </w:tc>
        <w:tc>
          <w:tcPr>
            <w:tcW w:w="992" w:type="dxa"/>
            <w:tcBorders>
              <w:top w:val="nil"/>
              <w:left w:val="nil"/>
              <w:bottom w:val="nil"/>
              <w:right w:val="nil"/>
            </w:tcBorders>
            <w:noWrap/>
            <w:vAlign w:val="bottom"/>
            <w:hideMark/>
          </w:tcPr>
          <w:p w14:paraId="49D4B1CA" w14:textId="77777777" w:rsidR="00BD4547" w:rsidRPr="00BD4547" w:rsidRDefault="00BD4547" w:rsidP="003D6C7E">
            <w:pPr>
              <w:keepNext w:val="0"/>
              <w:spacing w:before="0"/>
              <w:jc w:val="center"/>
              <w:rPr>
                <w:rFonts w:ascii="Times New Roman" w:hAnsi="Times New Roman"/>
                <w:color w:val="auto"/>
                <w:sz w:val="20"/>
              </w:rPr>
            </w:pPr>
          </w:p>
        </w:tc>
        <w:tc>
          <w:tcPr>
            <w:tcW w:w="1575" w:type="dxa"/>
            <w:tcBorders>
              <w:top w:val="nil"/>
              <w:left w:val="nil"/>
              <w:bottom w:val="nil"/>
              <w:right w:val="nil"/>
            </w:tcBorders>
            <w:noWrap/>
            <w:vAlign w:val="bottom"/>
            <w:hideMark/>
          </w:tcPr>
          <w:p w14:paraId="7FB57B95" w14:textId="77777777" w:rsidR="00BD4547" w:rsidRPr="00BD4547" w:rsidRDefault="00BD4547" w:rsidP="003D6C7E">
            <w:pPr>
              <w:keepNext w:val="0"/>
              <w:spacing w:before="0"/>
              <w:jc w:val="center"/>
              <w:rPr>
                <w:rFonts w:ascii="Times New Roman" w:hAnsi="Times New Roman"/>
                <w:color w:val="auto"/>
                <w:sz w:val="20"/>
              </w:rPr>
            </w:pPr>
          </w:p>
        </w:tc>
        <w:tc>
          <w:tcPr>
            <w:tcW w:w="717" w:type="dxa"/>
            <w:tcBorders>
              <w:top w:val="nil"/>
              <w:left w:val="nil"/>
              <w:bottom w:val="nil"/>
              <w:right w:val="nil"/>
            </w:tcBorders>
            <w:noWrap/>
            <w:vAlign w:val="bottom"/>
            <w:hideMark/>
          </w:tcPr>
          <w:p w14:paraId="7052F4DE" w14:textId="77777777" w:rsidR="00BD4547" w:rsidRPr="00BD4547" w:rsidRDefault="00BD4547" w:rsidP="003D6C7E">
            <w:pPr>
              <w:keepNext w:val="0"/>
              <w:spacing w:before="0"/>
              <w:jc w:val="center"/>
              <w:rPr>
                <w:rFonts w:ascii="Times New Roman" w:hAnsi="Times New Roman"/>
                <w:color w:val="auto"/>
                <w:sz w:val="20"/>
              </w:rPr>
            </w:pPr>
          </w:p>
        </w:tc>
      </w:tr>
      <w:tr w:rsidR="00BD4547" w:rsidRPr="00BD4547" w14:paraId="5A97CACA" w14:textId="77777777" w:rsidTr="003D6C7E">
        <w:trPr>
          <w:trHeight w:val="315"/>
        </w:trPr>
        <w:tc>
          <w:tcPr>
            <w:tcW w:w="3828" w:type="dxa"/>
            <w:tcBorders>
              <w:top w:val="nil"/>
              <w:left w:val="nil"/>
              <w:bottom w:val="nil"/>
              <w:right w:val="nil"/>
            </w:tcBorders>
            <w:noWrap/>
            <w:vAlign w:val="center"/>
            <w:hideMark/>
          </w:tcPr>
          <w:p w14:paraId="52D2D688" w14:textId="77777777" w:rsidR="00BD4547" w:rsidRPr="00BD4547" w:rsidRDefault="00BD4547" w:rsidP="003D6C7E">
            <w:pPr>
              <w:keepNext w:val="0"/>
              <w:spacing w:before="0"/>
              <w:rPr>
                <w:rFonts w:cs="Arial"/>
                <w:color w:val="auto"/>
                <w:sz w:val="20"/>
              </w:rPr>
            </w:pPr>
            <w:r w:rsidRPr="00BD4547">
              <w:rPr>
                <w:rFonts w:cs="Arial"/>
                <w:color w:val="auto"/>
                <w:sz w:val="20"/>
              </w:rPr>
              <w:t>Total developed 2018 to 31</w:t>
            </w:r>
            <w:r w:rsidRPr="00BD4547">
              <w:rPr>
                <w:rFonts w:cs="Arial"/>
                <w:color w:val="auto"/>
                <w:sz w:val="20"/>
                <w:vertAlign w:val="superscript"/>
              </w:rPr>
              <w:t>st</w:t>
            </w:r>
            <w:r w:rsidRPr="00BD4547">
              <w:rPr>
                <w:rFonts w:cs="Arial"/>
                <w:color w:val="auto"/>
                <w:sz w:val="20"/>
              </w:rPr>
              <w:t xml:space="preserve"> March 2023</w:t>
            </w:r>
          </w:p>
        </w:tc>
        <w:tc>
          <w:tcPr>
            <w:tcW w:w="992" w:type="dxa"/>
            <w:tcBorders>
              <w:top w:val="single" w:sz="8" w:space="0" w:color="auto"/>
              <w:left w:val="nil"/>
              <w:bottom w:val="single" w:sz="8" w:space="0" w:color="auto"/>
              <w:right w:val="nil"/>
            </w:tcBorders>
            <w:noWrap/>
            <w:vAlign w:val="center"/>
            <w:hideMark/>
          </w:tcPr>
          <w:p w14:paraId="7D7CF0C6" w14:textId="77777777" w:rsidR="00BD4547" w:rsidRPr="00BD4547" w:rsidRDefault="00BD4547" w:rsidP="003D6C7E">
            <w:pPr>
              <w:keepNext w:val="0"/>
              <w:spacing w:before="0"/>
              <w:jc w:val="center"/>
              <w:rPr>
                <w:rFonts w:cs="Arial"/>
                <w:color w:val="auto"/>
                <w:sz w:val="20"/>
              </w:rPr>
            </w:pPr>
            <w:r w:rsidRPr="00BD4547">
              <w:rPr>
                <w:rFonts w:cs="Arial"/>
                <w:color w:val="auto"/>
                <w:sz w:val="20"/>
              </w:rPr>
              <w:t>0.00</w:t>
            </w:r>
          </w:p>
        </w:tc>
        <w:tc>
          <w:tcPr>
            <w:tcW w:w="1575" w:type="dxa"/>
            <w:tcBorders>
              <w:top w:val="single" w:sz="8" w:space="0" w:color="auto"/>
              <w:left w:val="nil"/>
              <w:bottom w:val="single" w:sz="8" w:space="0" w:color="auto"/>
              <w:right w:val="nil"/>
            </w:tcBorders>
            <w:noWrap/>
            <w:vAlign w:val="center"/>
            <w:hideMark/>
          </w:tcPr>
          <w:p w14:paraId="3D2DE62C" w14:textId="77777777" w:rsidR="00BD4547" w:rsidRPr="00BD4547" w:rsidRDefault="00BD4547" w:rsidP="003D6C7E">
            <w:pPr>
              <w:keepNext w:val="0"/>
              <w:spacing w:before="0"/>
              <w:jc w:val="center"/>
              <w:rPr>
                <w:rFonts w:cs="Arial"/>
                <w:color w:val="auto"/>
                <w:sz w:val="20"/>
              </w:rPr>
            </w:pPr>
            <w:r w:rsidRPr="00BD4547">
              <w:rPr>
                <w:rFonts w:cs="Arial"/>
                <w:color w:val="auto"/>
                <w:sz w:val="20"/>
              </w:rPr>
              <w:t>47.06</w:t>
            </w:r>
          </w:p>
        </w:tc>
        <w:tc>
          <w:tcPr>
            <w:tcW w:w="717" w:type="dxa"/>
            <w:tcBorders>
              <w:top w:val="single" w:sz="8" w:space="0" w:color="auto"/>
              <w:left w:val="nil"/>
              <w:bottom w:val="single" w:sz="8" w:space="0" w:color="auto"/>
              <w:right w:val="nil"/>
            </w:tcBorders>
            <w:noWrap/>
            <w:vAlign w:val="center"/>
            <w:hideMark/>
          </w:tcPr>
          <w:p w14:paraId="24E404C5" w14:textId="77777777" w:rsidR="00BD4547" w:rsidRPr="00BD4547" w:rsidRDefault="00BD4547" w:rsidP="003D6C7E">
            <w:pPr>
              <w:keepNext w:val="0"/>
              <w:spacing w:before="0"/>
              <w:jc w:val="center"/>
              <w:rPr>
                <w:rFonts w:cs="Arial"/>
                <w:color w:val="auto"/>
                <w:sz w:val="20"/>
              </w:rPr>
            </w:pPr>
            <w:r w:rsidRPr="00BD4547">
              <w:rPr>
                <w:rFonts w:cs="Arial"/>
                <w:color w:val="auto"/>
                <w:sz w:val="20"/>
              </w:rPr>
              <w:t>47.06</w:t>
            </w:r>
          </w:p>
        </w:tc>
      </w:tr>
      <w:tr w:rsidR="00BD4547" w:rsidRPr="00BD4547" w14:paraId="4DEAFE0B" w14:textId="77777777" w:rsidTr="003D6C7E">
        <w:trPr>
          <w:trHeight w:val="315"/>
        </w:trPr>
        <w:tc>
          <w:tcPr>
            <w:tcW w:w="3828" w:type="dxa"/>
            <w:tcBorders>
              <w:top w:val="nil"/>
              <w:left w:val="nil"/>
              <w:bottom w:val="nil"/>
              <w:right w:val="nil"/>
            </w:tcBorders>
            <w:noWrap/>
            <w:vAlign w:val="bottom"/>
            <w:hideMark/>
          </w:tcPr>
          <w:p w14:paraId="0C4B7D54" w14:textId="77777777" w:rsidR="00BD4547" w:rsidRPr="00BD4547" w:rsidRDefault="00BD4547" w:rsidP="003D6C7E">
            <w:pPr>
              <w:keepNext w:val="0"/>
              <w:spacing w:before="0"/>
              <w:rPr>
                <w:rFonts w:cs="Arial"/>
                <w:color w:val="auto"/>
                <w:sz w:val="20"/>
              </w:rPr>
            </w:pPr>
          </w:p>
        </w:tc>
        <w:tc>
          <w:tcPr>
            <w:tcW w:w="992" w:type="dxa"/>
            <w:tcBorders>
              <w:top w:val="nil"/>
              <w:left w:val="nil"/>
              <w:bottom w:val="nil"/>
              <w:right w:val="nil"/>
            </w:tcBorders>
            <w:noWrap/>
            <w:vAlign w:val="bottom"/>
            <w:hideMark/>
          </w:tcPr>
          <w:p w14:paraId="4713C01B" w14:textId="77777777" w:rsidR="00BD4547" w:rsidRPr="00BD4547" w:rsidRDefault="00BD4547" w:rsidP="003D6C7E">
            <w:pPr>
              <w:keepNext w:val="0"/>
              <w:spacing w:before="0"/>
              <w:jc w:val="center"/>
              <w:rPr>
                <w:rFonts w:ascii="Times New Roman" w:hAnsi="Times New Roman"/>
                <w:color w:val="auto"/>
                <w:sz w:val="20"/>
              </w:rPr>
            </w:pPr>
          </w:p>
        </w:tc>
        <w:tc>
          <w:tcPr>
            <w:tcW w:w="1575" w:type="dxa"/>
            <w:tcBorders>
              <w:top w:val="nil"/>
              <w:left w:val="nil"/>
              <w:bottom w:val="nil"/>
              <w:right w:val="nil"/>
            </w:tcBorders>
            <w:noWrap/>
            <w:vAlign w:val="bottom"/>
            <w:hideMark/>
          </w:tcPr>
          <w:p w14:paraId="5BBD9550" w14:textId="77777777" w:rsidR="00BD4547" w:rsidRPr="00BD4547" w:rsidRDefault="00BD4547" w:rsidP="003D6C7E">
            <w:pPr>
              <w:keepNext w:val="0"/>
              <w:spacing w:before="0"/>
              <w:jc w:val="center"/>
              <w:rPr>
                <w:rFonts w:ascii="Times New Roman" w:hAnsi="Times New Roman"/>
                <w:color w:val="auto"/>
                <w:sz w:val="20"/>
              </w:rPr>
            </w:pPr>
          </w:p>
        </w:tc>
        <w:tc>
          <w:tcPr>
            <w:tcW w:w="717" w:type="dxa"/>
            <w:tcBorders>
              <w:top w:val="nil"/>
              <w:left w:val="nil"/>
              <w:bottom w:val="nil"/>
              <w:right w:val="nil"/>
            </w:tcBorders>
            <w:noWrap/>
            <w:vAlign w:val="bottom"/>
            <w:hideMark/>
          </w:tcPr>
          <w:p w14:paraId="1315FF2C" w14:textId="77777777" w:rsidR="00BD4547" w:rsidRPr="00BD4547" w:rsidRDefault="00BD4547" w:rsidP="003D6C7E">
            <w:pPr>
              <w:keepNext w:val="0"/>
              <w:spacing w:before="0"/>
              <w:jc w:val="center"/>
              <w:rPr>
                <w:rFonts w:ascii="Times New Roman" w:hAnsi="Times New Roman"/>
                <w:color w:val="auto"/>
                <w:sz w:val="20"/>
              </w:rPr>
            </w:pPr>
          </w:p>
        </w:tc>
      </w:tr>
      <w:tr w:rsidR="00BD4547" w:rsidRPr="00BD4547" w14:paraId="6443BCC9" w14:textId="77777777" w:rsidTr="003D6C7E">
        <w:trPr>
          <w:trHeight w:val="840"/>
        </w:trPr>
        <w:tc>
          <w:tcPr>
            <w:tcW w:w="3828" w:type="dxa"/>
            <w:tcBorders>
              <w:top w:val="single" w:sz="12" w:space="0" w:color="auto"/>
              <w:left w:val="nil"/>
              <w:bottom w:val="single" w:sz="12" w:space="0" w:color="auto"/>
              <w:right w:val="nil"/>
            </w:tcBorders>
            <w:vAlign w:val="center"/>
            <w:hideMark/>
          </w:tcPr>
          <w:p w14:paraId="4B20DBA4" w14:textId="77777777" w:rsidR="00BD4547" w:rsidRPr="00BD4547" w:rsidRDefault="00BD4547" w:rsidP="003D6C7E">
            <w:pPr>
              <w:keepNext w:val="0"/>
              <w:spacing w:before="0"/>
              <w:rPr>
                <w:rFonts w:cs="Arial"/>
                <w:b/>
                <w:bCs/>
                <w:color w:val="auto"/>
                <w:sz w:val="18"/>
                <w:szCs w:val="18"/>
              </w:rPr>
            </w:pPr>
            <w:r w:rsidRPr="00BD4547">
              <w:rPr>
                <w:rFonts w:cs="Arial"/>
                <w:b/>
                <w:bCs/>
                <w:color w:val="auto"/>
                <w:sz w:val="18"/>
                <w:szCs w:val="18"/>
              </w:rPr>
              <w:t>Demand 1st April 2023 after development undertaken from 2018/19 to 2022/23</w:t>
            </w:r>
          </w:p>
        </w:tc>
        <w:tc>
          <w:tcPr>
            <w:tcW w:w="992" w:type="dxa"/>
            <w:tcBorders>
              <w:top w:val="single" w:sz="12" w:space="0" w:color="auto"/>
              <w:left w:val="nil"/>
              <w:bottom w:val="single" w:sz="12" w:space="0" w:color="auto"/>
              <w:right w:val="nil"/>
            </w:tcBorders>
            <w:noWrap/>
            <w:vAlign w:val="center"/>
            <w:hideMark/>
          </w:tcPr>
          <w:p w14:paraId="4696EEC8" w14:textId="77777777" w:rsidR="00BD4547" w:rsidRPr="00BD4547" w:rsidRDefault="00BD4547" w:rsidP="003D6C7E">
            <w:pPr>
              <w:keepNext w:val="0"/>
              <w:spacing w:before="0"/>
              <w:jc w:val="center"/>
              <w:rPr>
                <w:rFonts w:cs="Arial"/>
                <w:b/>
                <w:bCs/>
                <w:color w:val="auto"/>
                <w:sz w:val="20"/>
              </w:rPr>
            </w:pPr>
            <w:r w:rsidRPr="00BD4547">
              <w:rPr>
                <w:rFonts w:cs="Arial"/>
                <w:b/>
                <w:bCs/>
                <w:color w:val="auto"/>
                <w:sz w:val="20"/>
              </w:rPr>
              <w:t>1.00</w:t>
            </w:r>
          </w:p>
        </w:tc>
        <w:tc>
          <w:tcPr>
            <w:tcW w:w="1575" w:type="dxa"/>
            <w:tcBorders>
              <w:top w:val="single" w:sz="12" w:space="0" w:color="auto"/>
              <w:left w:val="nil"/>
              <w:bottom w:val="single" w:sz="12" w:space="0" w:color="auto"/>
              <w:right w:val="nil"/>
            </w:tcBorders>
            <w:noWrap/>
            <w:vAlign w:val="center"/>
            <w:hideMark/>
          </w:tcPr>
          <w:p w14:paraId="27533E15" w14:textId="77777777" w:rsidR="00BD4547" w:rsidRPr="00BD4547" w:rsidRDefault="00BD4547" w:rsidP="003D6C7E">
            <w:pPr>
              <w:keepNext w:val="0"/>
              <w:spacing w:before="0"/>
              <w:jc w:val="center"/>
              <w:rPr>
                <w:rFonts w:cs="Arial"/>
                <w:b/>
                <w:bCs/>
                <w:color w:val="auto"/>
                <w:sz w:val="20"/>
              </w:rPr>
            </w:pPr>
            <w:r w:rsidRPr="00BD4547">
              <w:rPr>
                <w:rFonts w:cs="Arial"/>
                <w:b/>
                <w:bCs/>
                <w:color w:val="auto"/>
                <w:sz w:val="20"/>
              </w:rPr>
              <w:t>44.94</w:t>
            </w:r>
          </w:p>
        </w:tc>
        <w:tc>
          <w:tcPr>
            <w:tcW w:w="717" w:type="dxa"/>
            <w:tcBorders>
              <w:top w:val="single" w:sz="12" w:space="0" w:color="auto"/>
              <w:left w:val="nil"/>
              <w:bottom w:val="single" w:sz="12" w:space="0" w:color="auto"/>
              <w:right w:val="nil"/>
            </w:tcBorders>
            <w:noWrap/>
            <w:vAlign w:val="center"/>
            <w:hideMark/>
          </w:tcPr>
          <w:p w14:paraId="3F8173C9" w14:textId="77777777" w:rsidR="00BD4547" w:rsidRPr="00BD4547" w:rsidRDefault="00BD4547" w:rsidP="003D6C7E">
            <w:pPr>
              <w:keepNext w:val="0"/>
              <w:spacing w:before="0"/>
              <w:jc w:val="center"/>
              <w:rPr>
                <w:rFonts w:cs="Arial"/>
                <w:b/>
                <w:bCs/>
                <w:color w:val="auto"/>
                <w:sz w:val="20"/>
              </w:rPr>
            </w:pPr>
            <w:r w:rsidRPr="00BD4547">
              <w:rPr>
                <w:rFonts w:cs="Arial"/>
                <w:b/>
                <w:bCs/>
                <w:color w:val="auto"/>
                <w:sz w:val="20"/>
              </w:rPr>
              <w:t>45.94</w:t>
            </w:r>
          </w:p>
        </w:tc>
      </w:tr>
    </w:tbl>
    <w:p w14:paraId="07E69CF3" w14:textId="77777777" w:rsidR="00F55758" w:rsidRPr="00A32846" w:rsidRDefault="00F55758" w:rsidP="00743227">
      <w:pPr>
        <w:keepNext w:val="0"/>
        <w:autoSpaceDE w:val="0"/>
        <w:autoSpaceDN w:val="0"/>
        <w:adjustRightInd w:val="0"/>
        <w:spacing w:before="0"/>
        <w:rPr>
          <w:rFonts w:cs="Arial"/>
          <w:szCs w:val="24"/>
        </w:rPr>
      </w:pPr>
    </w:p>
    <w:p w14:paraId="1FDC3F2B" w14:textId="77777777" w:rsidR="00F55758" w:rsidRPr="00A32846" w:rsidRDefault="00F55758" w:rsidP="00743227">
      <w:pPr>
        <w:keepNext w:val="0"/>
        <w:autoSpaceDE w:val="0"/>
        <w:autoSpaceDN w:val="0"/>
        <w:adjustRightInd w:val="0"/>
        <w:spacing w:before="0"/>
        <w:rPr>
          <w:rFonts w:cs="Arial"/>
          <w:szCs w:val="24"/>
        </w:rPr>
      </w:pPr>
    </w:p>
    <w:p w14:paraId="67D6BA0C" w14:textId="77777777" w:rsidR="00F55758" w:rsidRPr="00A32846" w:rsidRDefault="00F55758" w:rsidP="00743227">
      <w:pPr>
        <w:keepNext w:val="0"/>
        <w:autoSpaceDE w:val="0"/>
        <w:autoSpaceDN w:val="0"/>
        <w:adjustRightInd w:val="0"/>
        <w:spacing w:before="0"/>
        <w:rPr>
          <w:rFonts w:cs="Arial"/>
          <w:szCs w:val="24"/>
        </w:rPr>
      </w:pPr>
    </w:p>
    <w:p w14:paraId="7150CA0F" w14:textId="77777777" w:rsidR="00F55758" w:rsidRPr="00A32846" w:rsidRDefault="00F55758" w:rsidP="00743227">
      <w:pPr>
        <w:keepNext w:val="0"/>
        <w:autoSpaceDE w:val="0"/>
        <w:autoSpaceDN w:val="0"/>
        <w:adjustRightInd w:val="0"/>
        <w:spacing w:before="0"/>
        <w:rPr>
          <w:rFonts w:cs="Arial"/>
          <w:szCs w:val="24"/>
        </w:rPr>
      </w:pPr>
    </w:p>
    <w:p w14:paraId="0405332A" w14:textId="77777777" w:rsidR="00F55758" w:rsidRPr="00A32846" w:rsidRDefault="00F55758" w:rsidP="00743227">
      <w:pPr>
        <w:keepNext w:val="0"/>
        <w:autoSpaceDE w:val="0"/>
        <w:autoSpaceDN w:val="0"/>
        <w:adjustRightInd w:val="0"/>
        <w:spacing w:before="0"/>
        <w:rPr>
          <w:rFonts w:cs="Arial"/>
          <w:szCs w:val="24"/>
        </w:rPr>
      </w:pPr>
    </w:p>
    <w:p w14:paraId="4DCA371E" w14:textId="77777777" w:rsidR="00F55758" w:rsidRPr="00A32846" w:rsidRDefault="00F55758" w:rsidP="00743227">
      <w:pPr>
        <w:keepNext w:val="0"/>
        <w:autoSpaceDE w:val="0"/>
        <w:autoSpaceDN w:val="0"/>
        <w:adjustRightInd w:val="0"/>
        <w:spacing w:before="0"/>
        <w:rPr>
          <w:rFonts w:cs="Arial"/>
          <w:szCs w:val="24"/>
        </w:rPr>
      </w:pPr>
    </w:p>
    <w:p w14:paraId="697EFB7F" w14:textId="77777777" w:rsidR="00F55758" w:rsidRPr="00A32846" w:rsidRDefault="00F55758" w:rsidP="00743227">
      <w:pPr>
        <w:keepNext w:val="0"/>
        <w:autoSpaceDE w:val="0"/>
        <w:autoSpaceDN w:val="0"/>
        <w:adjustRightInd w:val="0"/>
        <w:spacing w:before="0"/>
        <w:rPr>
          <w:rFonts w:cs="Arial"/>
          <w:szCs w:val="24"/>
        </w:rPr>
      </w:pPr>
    </w:p>
    <w:p w14:paraId="0C935CF3" w14:textId="77777777" w:rsidR="00F55758" w:rsidRPr="00A32846" w:rsidRDefault="00F55758" w:rsidP="00743227">
      <w:pPr>
        <w:keepNext w:val="0"/>
        <w:autoSpaceDE w:val="0"/>
        <w:autoSpaceDN w:val="0"/>
        <w:adjustRightInd w:val="0"/>
        <w:spacing w:before="0"/>
        <w:rPr>
          <w:rFonts w:cs="Arial"/>
          <w:szCs w:val="24"/>
        </w:rPr>
      </w:pPr>
    </w:p>
    <w:p w14:paraId="158C9BAD" w14:textId="77777777" w:rsidR="00F55758" w:rsidRPr="00A32846" w:rsidRDefault="00F55758" w:rsidP="00743227">
      <w:pPr>
        <w:keepNext w:val="0"/>
        <w:autoSpaceDE w:val="0"/>
        <w:autoSpaceDN w:val="0"/>
        <w:adjustRightInd w:val="0"/>
        <w:spacing w:before="0"/>
        <w:rPr>
          <w:rFonts w:cs="Arial"/>
          <w:szCs w:val="24"/>
        </w:rPr>
      </w:pPr>
    </w:p>
    <w:p w14:paraId="132BEF86" w14:textId="77777777" w:rsidR="00F55758" w:rsidRPr="00A32846" w:rsidRDefault="00F55758" w:rsidP="00743227">
      <w:pPr>
        <w:keepNext w:val="0"/>
        <w:autoSpaceDE w:val="0"/>
        <w:autoSpaceDN w:val="0"/>
        <w:adjustRightInd w:val="0"/>
        <w:spacing w:before="0"/>
        <w:rPr>
          <w:rFonts w:cs="Arial"/>
          <w:szCs w:val="24"/>
        </w:rPr>
      </w:pPr>
    </w:p>
    <w:p w14:paraId="24F89889" w14:textId="77777777" w:rsidR="00F55758" w:rsidRPr="00A32846" w:rsidRDefault="00F55758" w:rsidP="00743227">
      <w:pPr>
        <w:keepNext w:val="0"/>
        <w:autoSpaceDE w:val="0"/>
        <w:autoSpaceDN w:val="0"/>
        <w:adjustRightInd w:val="0"/>
        <w:spacing w:before="0"/>
        <w:rPr>
          <w:rFonts w:cs="Arial"/>
          <w:szCs w:val="24"/>
        </w:rPr>
      </w:pPr>
    </w:p>
    <w:p w14:paraId="61513002" w14:textId="77777777" w:rsidR="00F55758" w:rsidRPr="00A32846" w:rsidRDefault="00F55758" w:rsidP="00743227">
      <w:pPr>
        <w:keepNext w:val="0"/>
        <w:autoSpaceDE w:val="0"/>
        <w:autoSpaceDN w:val="0"/>
        <w:adjustRightInd w:val="0"/>
        <w:spacing w:before="0"/>
        <w:rPr>
          <w:rFonts w:cs="Arial"/>
          <w:szCs w:val="24"/>
        </w:rPr>
      </w:pPr>
    </w:p>
    <w:p w14:paraId="0CCFFDF0" w14:textId="77777777" w:rsidR="00F55758" w:rsidRPr="00A32846" w:rsidRDefault="00F55758" w:rsidP="00743227">
      <w:pPr>
        <w:keepNext w:val="0"/>
        <w:autoSpaceDE w:val="0"/>
        <w:autoSpaceDN w:val="0"/>
        <w:adjustRightInd w:val="0"/>
        <w:spacing w:before="0"/>
        <w:rPr>
          <w:rFonts w:cs="Arial"/>
          <w:szCs w:val="24"/>
        </w:rPr>
      </w:pPr>
    </w:p>
    <w:p w14:paraId="13499EE5" w14:textId="77777777" w:rsidR="00F55758" w:rsidRPr="00A32846" w:rsidRDefault="00F55758" w:rsidP="00743227">
      <w:pPr>
        <w:keepNext w:val="0"/>
        <w:autoSpaceDE w:val="0"/>
        <w:autoSpaceDN w:val="0"/>
        <w:adjustRightInd w:val="0"/>
        <w:spacing w:before="0"/>
        <w:rPr>
          <w:rFonts w:cs="Arial"/>
          <w:szCs w:val="24"/>
        </w:rPr>
      </w:pPr>
    </w:p>
    <w:p w14:paraId="57587771" w14:textId="77777777" w:rsidR="00F55758" w:rsidRPr="00A32846" w:rsidRDefault="00F55758" w:rsidP="00743227">
      <w:pPr>
        <w:keepNext w:val="0"/>
        <w:autoSpaceDE w:val="0"/>
        <w:autoSpaceDN w:val="0"/>
        <w:adjustRightInd w:val="0"/>
        <w:spacing w:before="0"/>
        <w:rPr>
          <w:rFonts w:cs="Arial"/>
          <w:szCs w:val="24"/>
        </w:rPr>
      </w:pPr>
    </w:p>
    <w:p w14:paraId="5DBA7E2B" w14:textId="7AF02F4A" w:rsidR="00F55758" w:rsidRPr="00A32846" w:rsidRDefault="00F55758" w:rsidP="00743227">
      <w:pPr>
        <w:keepNext w:val="0"/>
        <w:autoSpaceDE w:val="0"/>
        <w:autoSpaceDN w:val="0"/>
        <w:adjustRightInd w:val="0"/>
        <w:spacing w:before="0"/>
        <w:rPr>
          <w:rFonts w:cs="Arial"/>
          <w:szCs w:val="24"/>
        </w:rPr>
      </w:pPr>
    </w:p>
    <w:p w14:paraId="29814892" w14:textId="77777777" w:rsidR="00F55758" w:rsidRPr="00A32846" w:rsidRDefault="00F55758" w:rsidP="00F55758">
      <w:pPr>
        <w:keepNext w:val="0"/>
        <w:spacing w:before="0" w:after="160" w:line="252" w:lineRule="auto"/>
        <w:jc w:val="both"/>
        <w:rPr>
          <w:rFonts w:eastAsia="Calibri"/>
          <w:szCs w:val="22"/>
          <w:lang w:eastAsia="en-US"/>
        </w:rPr>
      </w:pPr>
    </w:p>
    <w:p w14:paraId="4A69ECC8" w14:textId="4F82887A" w:rsidR="00743227" w:rsidRPr="00A32846" w:rsidRDefault="00743227" w:rsidP="00743227">
      <w:pPr>
        <w:keepNext w:val="0"/>
        <w:autoSpaceDE w:val="0"/>
        <w:autoSpaceDN w:val="0"/>
        <w:adjustRightInd w:val="0"/>
        <w:spacing w:before="0"/>
        <w:rPr>
          <w:rFonts w:cs="Arial"/>
          <w:szCs w:val="24"/>
        </w:rPr>
      </w:pPr>
    </w:p>
    <w:p w14:paraId="20CD608B" w14:textId="77777777" w:rsidR="00743227" w:rsidRPr="00A32846" w:rsidRDefault="00743227" w:rsidP="00743227">
      <w:pPr>
        <w:keepNext w:val="0"/>
        <w:autoSpaceDE w:val="0"/>
        <w:autoSpaceDN w:val="0"/>
        <w:adjustRightInd w:val="0"/>
        <w:spacing w:before="0"/>
        <w:rPr>
          <w:rFonts w:cs="Arial"/>
          <w:szCs w:val="24"/>
        </w:rPr>
      </w:pPr>
    </w:p>
    <w:p w14:paraId="71624EF0" w14:textId="77777777" w:rsidR="00743227" w:rsidRPr="00A32846" w:rsidRDefault="00743227" w:rsidP="00743227">
      <w:pPr>
        <w:keepNext w:val="0"/>
        <w:autoSpaceDE w:val="0"/>
        <w:autoSpaceDN w:val="0"/>
        <w:adjustRightInd w:val="0"/>
        <w:spacing w:before="0"/>
        <w:rPr>
          <w:rFonts w:cs="Arial"/>
          <w:szCs w:val="24"/>
        </w:rPr>
      </w:pPr>
    </w:p>
    <w:p w14:paraId="4DED36AE" w14:textId="77777777" w:rsidR="00E3260E" w:rsidRDefault="00E3260E" w:rsidP="00BD4547">
      <w:pPr>
        <w:keepNext w:val="0"/>
        <w:autoSpaceDE w:val="0"/>
        <w:autoSpaceDN w:val="0"/>
        <w:adjustRightInd w:val="0"/>
        <w:spacing w:before="0"/>
        <w:ind w:left="1440" w:hanging="589"/>
        <w:rPr>
          <w:rFonts w:cs="Arial"/>
          <w:b/>
          <w:bCs/>
          <w:szCs w:val="24"/>
        </w:rPr>
      </w:pPr>
    </w:p>
    <w:p w14:paraId="09FB858E" w14:textId="317418EE" w:rsidR="00BD4547" w:rsidRPr="00BD4547" w:rsidRDefault="00F55758" w:rsidP="000447CA">
      <w:pPr>
        <w:pStyle w:val="Heading3"/>
      </w:pPr>
      <w:r w:rsidRPr="00A32846">
        <w:t xml:space="preserve">Table </w:t>
      </w:r>
      <w:r w:rsidR="00B33C3A">
        <w:t>5</w:t>
      </w:r>
      <w:r w:rsidRPr="00BD4547">
        <w:t xml:space="preserve">: </w:t>
      </w:r>
      <w:r w:rsidR="00BD4547" w:rsidRPr="00BD4547">
        <w:t>Employment Land Demand Adjustment from 2018 to 2023</w:t>
      </w:r>
    </w:p>
    <w:p w14:paraId="113F544F" w14:textId="0F064AB2" w:rsidR="00BD4547" w:rsidRPr="00BD4547" w:rsidRDefault="00BD4547" w:rsidP="00BD4547">
      <w:pPr>
        <w:keepNext w:val="0"/>
        <w:autoSpaceDE w:val="0"/>
        <w:autoSpaceDN w:val="0"/>
        <w:adjustRightInd w:val="0"/>
        <w:spacing w:before="0"/>
        <w:ind w:left="851" w:hanging="22"/>
        <w:rPr>
          <w:rFonts w:cs="Arial"/>
          <w:color w:val="auto"/>
          <w:sz w:val="20"/>
        </w:rPr>
      </w:pPr>
      <w:r w:rsidRPr="00BD4547">
        <w:rPr>
          <w:rFonts w:cs="Arial"/>
          <w:color w:val="auto"/>
          <w:sz w:val="20"/>
        </w:rPr>
        <w:t>Source: Employment Land Needs Study 2021, Logistic Study 2022, Background Paper No 3, Economy &amp; Employment Land, 2023.</w:t>
      </w:r>
    </w:p>
    <w:p w14:paraId="786F6F03" w14:textId="77777777" w:rsidR="001B720A" w:rsidRPr="00A32846" w:rsidRDefault="001B720A" w:rsidP="00743227">
      <w:pPr>
        <w:keepNext w:val="0"/>
        <w:autoSpaceDE w:val="0"/>
        <w:autoSpaceDN w:val="0"/>
        <w:adjustRightInd w:val="0"/>
        <w:spacing w:before="0"/>
        <w:rPr>
          <w:rFonts w:cs="Arial"/>
          <w:szCs w:val="24"/>
        </w:rPr>
      </w:pPr>
    </w:p>
    <w:p w14:paraId="50EB17CC" w14:textId="3695E829" w:rsidR="00BD1220" w:rsidRPr="00A32846" w:rsidRDefault="00BD1220" w:rsidP="00874A98">
      <w:pPr>
        <w:keepNext w:val="0"/>
        <w:numPr>
          <w:ilvl w:val="1"/>
          <w:numId w:val="103"/>
        </w:numPr>
        <w:spacing w:before="0"/>
        <w:ind w:left="851" w:hanging="851"/>
        <w:rPr>
          <w:rFonts w:cs="Arial"/>
          <w:strike/>
          <w:szCs w:val="24"/>
          <w:lang w:eastAsia="en-US"/>
        </w:rPr>
      </w:pPr>
      <w:bookmarkStart w:id="84" w:name="_Hlk148622045"/>
      <w:r w:rsidRPr="00A32846">
        <w:rPr>
          <w:rFonts w:eastAsia="Arial" w:cs="Arial"/>
        </w:rPr>
        <w:t xml:space="preserve">The ELNS also highlights, from wider market signals, that there is significant </w:t>
      </w:r>
      <w:r w:rsidRPr="00A32846">
        <w:rPr>
          <w:rFonts w:eastAsia="Arial" w:cs="Arial"/>
          <w:color w:val="auto"/>
        </w:rPr>
        <w:t xml:space="preserve">demand for land for logistics along the M1 corridor. </w:t>
      </w:r>
      <w:r w:rsidR="00AF6C1D" w:rsidRPr="00A32846">
        <w:rPr>
          <w:rFonts w:eastAsia="Arial" w:cs="Arial"/>
        </w:rPr>
        <w:t>This was confirmed in the Logistics Study 2022</w:t>
      </w:r>
      <w:r w:rsidR="003D6694" w:rsidRPr="00A32846">
        <w:rPr>
          <w:rFonts w:eastAsia="Arial" w:cs="Arial"/>
        </w:rPr>
        <w:t>.</w:t>
      </w:r>
      <w:r w:rsidR="00AF6C1D" w:rsidRPr="00A32846">
        <w:rPr>
          <w:rFonts w:eastAsia="Arial" w:cs="Arial"/>
        </w:rPr>
        <w:t xml:space="preserve"> </w:t>
      </w:r>
      <w:bookmarkEnd w:id="84"/>
      <w:r w:rsidR="00E357C3" w:rsidRPr="00A32846">
        <w:rPr>
          <w:rFonts w:eastAsia="Arial" w:cs="Arial"/>
        </w:rPr>
        <w:t>T</w:t>
      </w:r>
      <w:r w:rsidRPr="00A32846">
        <w:rPr>
          <w:rFonts w:eastAsia="Arial" w:cs="Arial"/>
        </w:rPr>
        <w:t xml:space="preserve">he </w:t>
      </w:r>
      <w:r w:rsidR="00E357C3" w:rsidRPr="00A32846">
        <w:rPr>
          <w:rFonts w:eastAsia="Arial" w:cs="Arial"/>
        </w:rPr>
        <w:t>P</w:t>
      </w:r>
      <w:r w:rsidRPr="00A32846">
        <w:rPr>
          <w:rFonts w:eastAsia="Arial" w:cs="Arial"/>
        </w:rPr>
        <w:t xml:space="preserve">lan responds to the need identified </w:t>
      </w:r>
      <w:r w:rsidR="003D6694" w:rsidRPr="00A32846">
        <w:rPr>
          <w:rFonts w:eastAsia="Arial" w:cs="Arial"/>
        </w:rPr>
        <w:t xml:space="preserve">for logistics </w:t>
      </w:r>
      <w:r w:rsidRPr="00A32846">
        <w:rPr>
          <w:rFonts w:eastAsia="Arial" w:cs="Arial"/>
        </w:rPr>
        <w:t xml:space="preserve">by allocating </w:t>
      </w:r>
      <w:r w:rsidR="00265BB0" w:rsidRPr="00A32846">
        <w:rPr>
          <w:rFonts w:eastAsia="Arial" w:cs="Arial"/>
        </w:rPr>
        <w:t xml:space="preserve">38.42 </w:t>
      </w:r>
      <w:r w:rsidRPr="00A32846">
        <w:rPr>
          <w:rFonts w:eastAsia="Arial" w:cs="Arial"/>
        </w:rPr>
        <w:t>ha of land at the District’s Strategic Em</w:t>
      </w:r>
      <w:r w:rsidRPr="00A32846">
        <w:rPr>
          <w:rFonts w:eastAsia="Arial" w:cs="Arial"/>
          <w:color w:val="auto"/>
        </w:rPr>
        <w:t xml:space="preserve">ployment Area of </w:t>
      </w:r>
      <w:r w:rsidRPr="00A32846">
        <w:rPr>
          <w:rFonts w:eastAsia="Arial" w:cs="Arial"/>
          <w:color w:val="auto"/>
          <w:szCs w:val="24"/>
        </w:rPr>
        <w:t xml:space="preserve">Sherwood Business </w:t>
      </w:r>
      <w:r w:rsidR="00A32846">
        <w:rPr>
          <w:rFonts w:eastAsia="Arial" w:cs="Arial"/>
          <w:color w:val="auto"/>
          <w:szCs w:val="24"/>
        </w:rPr>
        <w:t>P</w:t>
      </w:r>
      <w:r w:rsidRPr="00A32846">
        <w:rPr>
          <w:rFonts w:eastAsia="Arial" w:cs="Arial"/>
          <w:color w:val="auto"/>
          <w:szCs w:val="24"/>
        </w:rPr>
        <w:t>ark / M1 Motorway junction 27.</w:t>
      </w:r>
      <w:r w:rsidR="006D57FE" w:rsidRPr="00A32846">
        <w:rPr>
          <w:rFonts w:eastAsia="Arial" w:cs="Arial"/>
          <w:color w:val="auto"/>
          <w:szCs w:val="24"/>
        </w:rPr>
        <w:t xml:space="preserve"> Part of t</w:t>
      </w:r>
      <w:r w:rsidR="005759AB" w:rsidRPr="00A32846">
        <w:rPr>
          <w:rFonts w:eastAsia="Arial" w:cs="Arial"/>
          <w:color w:val="auto"/>
          <w:szCs w:val="24"/>
        </w:rPr>
        <w:t>h</w:t>
      </w:r>
      <w:r w:rsidR="006D57FE" w:rsidRPr="00A32846">
        <w:rPr>
          <w:rFonts w:eastAsia="Arial" w:cs="Arial"/>
          <w:color w:val="auto"/>
          <w:szCs w:val="24"/>
        </w:rPr>
        <w:t xml:space="preserve">e land allocated to the </w:t>
      </w:r>
      <w:proofErr w:type="gramStart"/>
      <w:r w:rsidR="006D57FE" w:rsidRPr="00A32846">
        <w:rPr>
          <w:rFonts w:eastAsia="Arial" w:cs="Arial"/>
          <w:color w:val="auto"/>
          <w:szCs w:val="24"/>
        </w:rPr>
        <w:t>south east</w:t>
      </w:r>
      <w:proofErr w:type="gramEnd"/>
      <w:r w:rsidR="006D57FE" w:rsidRPr="00A32846">
        <w:rPr>
          <w:rFonts w:eastAsia="Arial" w:cs="Arial"/>
          <w:color w:val="auto"/>
          <w:szCs w:val="24"/>
        </w:rPr>
        <w:t xml:space="preserve"> of </w:t>
      </w:r>
      <w:r w:rsidR="00E357C3" w:rsidRPr="00A32846">
        <w:rPr>
          <w:rFonts w:eastAsia="Arial" w:cs="Arial"/>
          <w:color w:val="auto"/>
          <w:szCs w:val="24"/>
        </w:rPr>
        <w:t>J</w:t>
      </w:r>
      <w:r w:rsidR="006D57FE" w:rsidRPr="00A32846">
        <w:rPr>
          <w:rFonts w:eastAsia="Arial" w:cs="Arial"/>
          <w:color w:val="auto"/>
          <w:szCs w:val="24"/>
        </w:rPr>
        <w:t xml:space="preserve">unction 27 </w:t>
      </w:r>
      <w:r w:rsidR="005759AB" w:rsidRPr="00A32846">
        <w:rPr>
          <w:rFonts w:eastAsia="Arial" w:cs="Arial"/>
          <w:color w:val="auto"/>
          <w:szCs w:val="24"/>
        </w:rPr>
        <w:t xml:space="preserve">comprising approximately 20 ha net developable </w:t>
      </w:r>
      <w:r w:rsidR="005759AB" w:rsidRPr="00A32846">
        <w:rPr>
          <w:rFonts w:eastAsia="Arial" w:cs="Arial"/>
          <w:szCs w:val="24"/>
        </w:rPr>
        <w:t xml:space="preserve">area </w:t>
      </w:r>
      <w:r w:rsidR="006D57FE" w:rsidRPr="00A32846">
        <w:rPr>
          <w:rFonts w:eastAsia="Arial" w:cs="Arial"/>
          <w:szCs w:val="24"/>
        </w:rPr>
        <w:t xml:space="preserve">is subject to safeguarding directions for HS2 from the </w:t>
      </w:r>
      <w:r w:rsidR="005759AB" w:rsidRPr="00A32846">
        <w:rPr>
          <w:rFonts w:eastAsia="Arial" w:cs="Arial"/>
          <w:szCs w:val="24"/>
        </w:rPr>
        <w:t>S</w:t>
      </w:r>
      <w:r w:rsidR="006D57FE" w:rsidRPr="00A32846">
        <w:rPr>
          <w:rFonts w:eastAsia="Arial" w:cs="Arial"/>
          <w:szCs w:val="24"/>
        </w:rPr>
        <w:t xml:space="preserve">ecretary of </w:t>
      </w:r>
      <w:r w:rsidR="005759AB" w:rsidRPr="00A32846">
        <w:rPr>
          <w:rFonts w:eastAsia="Arial" w:cs="Arial"/>
          <w:szCs w:val="24"/>
        </w:rPr>
        <w:t>S</w:t>
      </w:r>
      <w:r w:rsidR="006D57FE" w:rsidRPr="00A32846">
        <w:rPr>
          <w:rFonts w:eastAsia="Arial" w:cs="Arial"/>
          <w:szCs w:val="24"/>
        </w:rPr>
        <w:t xml:space="preserve">tate. </w:t>
      </w:r>
      <w:r w:rsidR="003D6694" w:rsidRPr="00A32846">
        <w:rPr>
          <w:rFonts w:eastAsia="Arial" w:cs="Arial"/>
          <w:szCs w:val="24"/>
        </w:rPr>
        <w:t xml:space="preserve">When it comes forward will be dependent on the Government’s decision regarding the HS 2b route. </w:t>
      </w:r>
    </w:p>
    <w:p w14:paraId="44F4BBBF" w14:textId="77777777" w:rsidR="00A32846" w:rsidRPr="00A32846" w:rsidRDefault="00A32846" w:rsidP="00A32846">
      <w:pPr>
        <w:keepNext w:val="0"/>
        <w:spacing w:before="0"/>
        <w:ind w:left="851"/>
        <w:rPr>
          <w:rFonts w:cs="Arial"/>
          <w:strike/>
          <w:szCs w:val="24"/>
          <w:lang w:eastAsia="en-US"/>
        </w:rPr>
      </w:pPr>
    </w:p>
    <w:p w14:paraId="164428D2" w14:textId="63657E56" w:rsidR="009831A5" w:rsidRPr="00A32846" w:rsidRDefault="00BD1220" w:rsidP="00874A98">
      <w:pPr>
        <w:keepNext w:val="0"/>
        <w:numPr>
          <w:ilvl w:val="1"/>
          <w:numId w:val="103"/>
        </w:numPr>
        <w:spacing w:before="0"/>
        <w:ind w:left="851" w:hanging="851"/>
        <w:rPr>
          <w:rFonts w:cs="Arial"/>
          <w:szCs w:val="24"/>
          <w:lang w:eastAsia="en-US"/>
        </w:rPr>
      </w:pPr>
      <w:r w:rsidRPr="00A32846">
        <w:rPr>
          <w:rFonts w:cs="Arial"/>
          <w:szCs w:val="24"/>
          <w:lang w:eastAsia="en-US"/>
        </w:rPr>
        <w:t>T</w:t>
      </w:r>
      <w:r w:rsidRPr="00A32846">
        <w:rPr>
          <w:rFonts w:eastAsia="Arial" w:cs="Arial"/>
        </w:rPr>
        <w:t xml:space="preserve">he ELNS identifies that the Nottingham Outer Housing Market Area can be regarded as a FEMA.  However, Hucknall </w:t>
      </w:r>
      <w:r w:rsidRPr="00A32846">
        <w:rPr>
          <w:rFonts w:cs="Arial"/>
          <w:szCs w:val="24"/>
          <w:lang w:eastAsia="en-US"/>
        </w:rPr>
        <w:t>has strong linkages with the Core HMA districts, and particularly Nottingham City with significant commuter flows into Nottingham, Gedling and Broxtowe from Hucknall.</w:t>
      </w:r>
      <w:bookmarkStart w:id="85" w:name="_Hlk75884348"/>
      <w:r w:rsidR="00007D90" w:rsidRPr="00A32846">
        <w:rPr>
          <w:rStyle w:val="FootnoteReference"/>
          <w:rFonts w:cs="Arial"/>
          <w:szCs w:val="24"/>
          <w:lang w:eastAsia="en-US"/>
        </w:rPr>
        <w:footnoteReference w:id="67"/>
      </w:r>
      <w:r w:rsidR="00007D90" w:rsidRPr="00A32846">
        <w:rPr>
          <w:rFonts w:cs="Arial"/>
          <w:szCs w:val="24"/>
          <w:lang w:eastAsia="en-US"/>
        </w:rPr>
        <w:t>.</w:t>
      </w:r>
    </w:p>
    <w:p w14:paraId="47AC8DDF" w14:textId="77777777" w:rsidR="006D57FE" w:rsidRPr="00A32846" w:rsidRDefault="006D57FE" w:rsidP="00F11936">
      <w:pPr>
        <w:keepNext w:val="0"/>
        <w:spacing w:before="0"/>
        <w:rPr>
          <w:rFonts w:cs="Arial"/>
          <w:szCs w:val="24"/>
          <w:lang w:eastAsia="en-US"/>
        </w:rPr>
      </w:pPr>
    </w:p>
    <w:bookmarkEnd w:id="81"/>
    <w:bookmarkEnd w:id="85"/>
    <w:p w14:paraId="29A2FEC3" w14:textId="67D26F83" w:rsidR="00DA3799" w:rsidRPr="00A32846" w:rsidRDefault="00DA3799" w:rsidP="00874A98">
      <w:pPr>
        <w:keepNext w:val="0"/>
        <w:numPr>
          <w:ilvl w:val="1"/>
          <w:numId w:val="103"/>
        </w:numPr>
        <w:spacing w:before="0"/>
        <w:ind w:left="851" w:hanging="851"/>
        <w:rPr>
          <w:rFonts w:cs="Arial"/>
          <w:szCs w:val="24"/>
          <w:lang w:eastAsia="en-US"/>
        </w:rPr>
      </w:pPr>
      <w:r w:rsidRPr="00A32846">
        <w:rPr>
          <w:rFonts w:cs="Arial"/>
          <w:szCs w:val="24"/>
          <w:lang w:eastAsia="en-US"/>
        </w:rPr>
        <w:t>Employment land plays an important role in ensuring that there is sufficient land to meet future economic needs of the district</w:t>
      </w:r>
      <w:r w:rsidR="002F3399">
        <w:rPr>
          <w:rFonts w:cs="Arial"/>
          <w:szCs w:val="24"/>
          <w:lang w:eastAsia="en-US"/>
        </w:rPr>
        <w:t xml:space="preserve"> and some wider regional need</w:t>
      </w:r>
      <w:r w:rsidRPr="00A32846">
        <w:rPr>
          <w:rFonts w:cs="Arial"/>
          <w:szCs w:val="24"/>
          <w:lang w:eastAsia="en-US"/>
        </w:rPr>
        <w:t>.</w:t>
      </w:r>
      <w:r w:rsidR="003D7F3B" w:rsidRPr="00A32846">
        <w:rPr>
          <w:rFonts w:cs="Arial"/>
          <w:szCs w:val="24"/>
          <w:lang w:eastAsia="en-US"/>
        </w:rPr>
        <w:t xml:space="preserve">  A framework for protecting employment land is important for </w:t>
      </w:r>
      <w:proofErr w:type="gramStart"/>
      <w:r w:rsidR="003D7F3B" w:rsidRPr="00A32846">
        <w:rPr>
          <w:rFonts w:cs="Arial"/>
          <w:szCs w:val="24"/>
          <w:lang w:eastAsia="en-US"/>
        </w:rPr>
        <w:t>a number of</w:t>
      </w:r>
      <w:proofErr w:type="gramEnd"/>
      <w:r w:rsidR="003D7F3B" w:rsidRPr="00A32846">
        <w:rPr>
          <w:rFonts w:cs="Arial"/>
          <w:szCs w:val="24"/>
          <w:lang w:eastAsia="en-US"/>
        </w:rPr>
        <w:t xml:space="preserve"> reasons including:</w:t>
      </w:r>
    </w:p>
    <w:p w14:paraId="31FFF753" w14:textId="71AADDFA" w:rsidR="00DA3799" w:rsidRPr="00A32846" w:rsidRDefault="00DA3799" w:rsidP="00F11936">
      <w:pPr>
        <w:keepNext w:val="0"/>
        <w:spacing w:before="0"/>
        <w:ind w:left="460"/>
        <w:rPr>
          <w:rFonts w:cs="Arial"/>
          <w:szCs w:val="24"/>
          <w:lang w:eastAsia="en-US"/>
        </w:rPr>
      </w:pPr>
    </w:p>
    <w:p w14:paraId="0A457AA0" w14:textId="01F46269" w:rsidR="003D7F3B" w:rsidRPr="003C7E62" w:rsidRDefault="00DA3799" w:rsidP="00874A98">
      <w:pPr>
        <w:pStyle w:val="ListParagraph"/>
        <w:numPr>
          <w:ilvl w:val="0"/>
          <w:numId w:val="100"/>
        </w:numPr>
        <w:spacing w:after="0" w:line="240" w:lineRule="auto"/>
        <w:rPr>
          <w:rFonts w:ascii="Arial" w:hAnsi="Arial" w:cs="Arial"/>
          <w:color w:val="auto"/>
          <w:szCs w:val="24"/>
        </w:rPr>
      </w:pPr>
      <w:r w:rsidRPr="00A32846">
        <w:rPr>
          <w:rFonts w:ascii="Arial" w:hAnsi="Arial" w:cs="Arial"/>
          <w:szCs w:val="24"/>
        </w:rPr>
        <w:t xml:space="preserve">Viability – </w:t>
      </w:r>
      <w:r w:rsidR="005D25F5" w:rsidRPr="00A32846">
        <w:rPr>
          <w:rFonts w:ascii="Arial" w:hAnsi="Arial" w:cs="Arial"/>
          <w:szCs w:val="24"/>
        </w:rPr>
        <w:t xml:space="preserve">There </w:t>
      </w:r>
      <w:r w:rsidR="003D6694" w:rsidRPr="00A32846">
        <w:rPr>
          <w:rFonts w:ascii="Arial" w:hAnsi="Arial" w:cs="Arial"/>
          <w:szCs w:val="24"/>
        </w:rPr>
        <w:t xml:space="preserve">has traditionally been </w:t>
      </w:r>
      <w:r w:rsidR="005D25F5" w:rsidRPr="00A32846">
        <w:rPr>
          <w:rFonts w:ascii="Arial" w:hAnsi="Arial" w:cs="Arial"/>
          <w:szCs w:val="24"/>
        </w:rPr>
        <w:t xml:space="preserve">the potential for employment land to be lost to the </w:t>
      </w:r>
      <w:r w:rsidRPr="00A32846">
        <w:rPr>
          <w:rFonts w:ascii="Arial" w:hAnsi="Arial" w:cs="Arial"/>
          <w:szCs w:val="24"/>
        </w:rPr>
        <w:t xml:space="preserve">higher values of residential or retail </w:t>
      </w:r>
      <w:r w:rsidRPr="003C7E62">
        <w:rPr>
          <w:rFonts w:ascii="Arial" w:hAnsi="Arial" w:cs="Arial"/>
          <w:color w:val="auto"/>
          <w:szCs w:val="24"/>
        </w:rPr>
        <w:t xml:space="preserve">uses.  </w:t>
      </w:r>
    </w:p>
    <w:p w14:paraId="29A1348E" w14:textId="4286AF68" w:rsidR="003D7F3B" w:rsidRPr="003C7E62" w:rsidRDefault="003D7F3B" w:rsidP="00874A98">
      <w:pPr>
        <w:pStyle w:val="ListParagraph"/>
        <w:numPr>
          <w:ilvl w:val="0"/>
          <w:numId w:val="100"/>
        </w:numPr>
        <w:spacing w:after="0" w:line="240" w:lineRule="auto"/>
        <w:rPr>
          <w:rFonts w:ascii="Arial" w:hAnsi="Arial" w:cs="Arial"/>
          <w:color w:val="auto"/>
          <w:szCs w:val="24"/>
        </w:rPr>
      </w:pPr>
      <w:r w:rsidRPr="003C7E62">
        <w:rPr>
          <w:rFonts w:ascii="Arial" w:hAnsi="Arial" w:cs="Arial"/>
          <w:color w:val="auto"/>
          <w:szCs w:val="24"/>
        </w:rPr>
        <w:t xml:space="preserve">Aging stock - </w:t>
      </w:r>
      <w:r w:rsidR="00DA3799" w:rsidRPr="003C7E62">
        <w:rPr>
          <w:rFonts w:ascii="Arial" w:hAnsi="Arial" w:cs="Arial"/>
          <w:color w:val="auto"/>
          <w:szCs w:val="24"/>
        </w:rPr>
        <w:t xml:space="preserve">It is important that </w:t>
      </w:r>
      <w:r w:rsidR="0095363C" w:rsidRPr="003C7E62">
        <w:rPr>
          <w:rFonts w:ascii="Arial" w:hAnsi="Arial" w:cs="Arial"/>
          <w:color w:val="auto"/>
          <w:szCs w:val="24"/>
        </w:rPr>
        <w:t xml:space="preserve">any </w:t>
      </w:r>
      <w:r w:rsidR="005D25F5" w:rsidRPr="003C7E62">
        <w:rPr>
          <w:rFonts w:ascii="Arial" w:hAnsi="Arial" w:cs="Arial"/>
          <w:color w:val="auto"/>
          <w:szCs w:val="24"/>
        </w:rPr>
        <w:t xml:space="preserve">substantial areas of </w:t>
      </w:r>
      <w:r w:rsidRPr="003C7E62">
        <w:rPr>
          <w:rFonts w:ascii="Arial" w:hAnsi="Arial" w:cs="Arial"/>
          <w:color w:val="auto"/>
          <w:szCs w:val="24"/>
        </w:rPr>
        <w:t>older stock is not lost to non</w:t>
      </w:r>
      <w:r w:rsidR="00A32846">
        <w:rPr>
          <w:rFonts w:ascii="Arial" w:hAnsi="Arial" w:cs="Arial"/>
          <w:color w:val="auto"/>
          <w:szCs w:val="24"/>
        </w:rPr>
        <w:t>-</w:t>
      </w:r>
      <w:r w:rsidRPr="003C7E62">
        <w:rPr>
          <w:rFonts w:ascii="Arial" w:hAnsi="Arial" w:cs="Arial"/>
          <w:color w:val="auto"/>
          <w:szCs w:val="24"/>
        </w:rPr>
        <w:t xml:space="preserve">employment uses rather than being redeveloped for employment purposes. </w:t>
      </w:r>
    </w:p>
    <w:p w14:paraId="16696C61" w14:textId="621D4D42" w:rsidR="003D7F3B" w:rsidRPr="003C7E62" w:rsidRDefault="00DA3799" w:rsidP="00874A98">
      <w:pPr>
        <w:pStyle w:val="ListParagraph"/>
        <w:numPr>
          <w:ilvl w:val="0"/>
          <w:numId w:val="100"/>
        </w:numPr>
        <w:spacing w:after="0" w:line="240" w:lineRule="auto"/>
        <w:rPr>
          <w:rFonts w:ascii="Arial" w:hAnsi="Arial" w:cs="Arial"/>
          <w:color w:val="auto"/>
          <w:szCs w:val="24"/>
        </w:rPr>
      </w:pPr>
      <w:r w:rsidRPr="003C7E62">
        <w:rPr>
          <w:rFonts w:ascii="Arial" w:hAnsi="Arial" w:cs="Arial"/>
          <w:color w:val="auto"/>
          <w:szCs w:val="24"/>
        </w:rPr>
        <w:t xml:space="preserve">Permitted Development Rights (PDRs) – </w:t>
      </w:r>
      <w:r w:rsidR="003D7F3B" w:rsidRPr="003C7E62">
        <w:rPr>
          <w:rFonts w:ascii="Arial" w:hAnsi="Arial" w:cs="Arial"/>
          <w:color w:val="auto"/>
          <w:szCs w:val="24"/>
        </w:rPr>
        <w:t>There are potential implication</w:t>
      </w:r>
      <w:r w:rsidR="009831A5" w:rsidRPr="003C7E62">
        <w:rPr>
          <w:rFonts w:ascii="Arial" w:hAnsi="Arial" w:cs="Arial"/>
          <w:color w:val="auto"/>
          <w:szCs w:val="24"/>
        </w:rPr>
        <w:t>s</w:t>
      </w:r>
      <w:r w:rsidR="003D7F3B" w:rsidRPr="003C7E62">
        <w:rPr>
          <w:rFonts w:ascii="Arial" w:hAnsi="Arial" w:cs="Arial"/>
          <w:color w:val="auto"/>
          <w:szCs w:val="24"/>
        </w:rPr>
        <w:t xml:space="preserve"> regarding employment premises </w:t>
      </w:r>
      <w:r w:rsidR="009831A5" w:rsidRPr="003C7E62">
        <w:rPr>
          <w:rFonts w:ascii="Arial" w:hAnsi="Arial" w:cs="Arial"/>
          <w:color w:val="auto"/>
          <w:szCs w:val="24"/>
        </w:rPr>
        <w:t>being permitted</w:t>
      </w:r>
      <w:r w:rsidR="003D7F3B" w:rsidRPr="003C7E62">
        <w:rPr>
          <w:rFonts w:ascii="Arial" w:hAnsi="Arial" w:cs="Arial"/>
          <w:color w:val="auto"/>
          <w:szCs w:val="24"/>
        </w:rPr>
        <w:t xml:space="preserve"> to residential use.  </w:t>
      </w:r>
    </w:p>
    <w:p w14:paraId="6F8302D9" w14:textId="1929CA73" w:rsidR="00DA3799" w:rsidRPr="00E3260E" w:rsidRDefault="003D7F3B" w:rsidP="00874A98">
      <w:pPr>
        <w:pStyle w:val="ListParagraph"/>
        <w:numPr>
          <w:ilvl w:val="0"/>
          <w:numId w:val="100"/>
        </w:numPr>
        <w:spacing w:after="0" w:line="240" w:lineRule="auto"/>
        <w:rPr>
          <w:rFonts w:ascii="Arial" w:hAnsi="Arial" w:cs="Arial"/>
          <w:color w:val="auto"/>
          <w:szCs w:val="24"/>
        </w:rPr>
      </w:pPr>
      <w:r w:rsidRPr="003C7E62">
        <w:rPr>
          <w:rFonts w:ascii="Arial" w:hAnsi="Arial" w:cs="Arial"/>
          <w:color w:val="auto"/>
          <w:szCs w:val="24"/>
        </w:rPr>
        <w:t>Conflict between uses - R</w:t>
      </w:r>
      <w:r w:rsidR="00DA3799" w:rsidRPr="003C7E62">
        <w:rPr>
          <w:rFonts w:ascii="Arial" w:hAnsi="Arial" w:cs="Arial"/>
          <w:color w:val="auto"/>
          <w:szCs w:val="24"/>
        </w:rPr>
        <w:t xml:space="preserve">esidential development in inappropriate areas </w:t>
      </w:r>
      <w:r w:rsidRPr="003C7E62">
        <w:rPr>
          <w:rFonts w:ascii="Arial" w:hAnsi="Arial" w:cs="Arial"/>
          <w:color w:val="auto"/>
          <w:szCs w:val="24"/>
        </w:rPr>
        <w:t xml:space="preserve">may </w:t>
      </w:r>
      <w:r w:rsidR="00DA3799" w:rsidRPr="00E3260E">
        <w:rPr>
          <w:rFonts w:ascii="Arial" w:hAnsi="Arial" w:cs="Arial"/>
          <w:color w:val="auto"/>
          <w:szCs w:val="24"/>
        </w:rPr>
        <w:t>threaten the ongoing use of surrounding areas for employment uses.</w:t>
      </w:r>
    </w:p>
    <w:p w14:paraId="14712DF0" w14:textId="77777777" w:rsidR="003D7F3B" w:rsidRPr="00E3260E" w:rsidRDefault="003D7F3B" w:rsidP="00F11936">
      <w:pPr>
        <w:keepNext w:val="0"/>
        <w:spacing w:before="0"/>
        <w:ind w:left="460"/>
        <w:rPr>
          <w:rFonts w:cs="Arial"/>
          <w:color w:val="auto"/>
          <w:szCs w:val="24"/>
          <w:lang w:eastAsia="en-US"/>
        </w:rPr>
      </w:pPr>
    </w:p>
    <w:p w14:paraId="213498A4" w14:textId="79D08FD6" w:rsidR="009831A5" w:rsidRPr="00E3260E" w:rsidRDefault="003D7F3B" w:rsidP="00E357C3">
      <w:pPr>
        <w:pStyle w:val="ListParagraph"/>
        <w:spacing w:after="0" w:line="240" w:lineRule="auto"/>
        <w:ind w:left="851"/>
        <w:rPr>
          <w:rFonts w:ascii="Arial" w:hAnsi="Arial" w:cs="Arial"/>
          <w:color w:val="auto"/>
          <w:szCs w:val="24"/>
        </w:rPr>
      </w:pPr>
      <w:r w:rsidRPr="00E3260E">
        <w:rPr>
          <w:rFonts w:ascii="Arial" w:eastAsia="Arial" w:hAnsi="Arial" w:cs="Arial"/>
          <w:color w:val="auto"/>
        </w:rPr>
        <w:t xml:space="preserve">The </w:t>
      </w:r>
      <w:r w:rsidR="009831A5" w:rsidRPr="00E3260E">
        <w:rPr>
          <w:rFonts w:ascii="Arial" w:eastAsia="Arial" w:hAnsi="Arial" w:cs="Arial"/>
          <w:color w:val="auto"/>
        </w:rPr>
        <w:t>Key Employment Areas</w:t>
      </w:r>
      <w:r w:rsidRPr="00E3260E">
        <w:rPr>
          <w:rFonts w:ascii="Arial" w:eastAsia="Arial" w:hAnsi="Arial" w:cs="Arial"/>
          <w:color w:val="auto"/>
        </w:rPr>
        <w:t xml:space="preserve"> </w:t>
      </w:r>
      <w:r w:rsidR="005D25F5" w:rsidRPr="00E3260E">
        <w:rPr>
          <w:rFonts w:ascii="Arial" w:eastAsia="Arial" w:hAnsi="Arial" w:cs="Arial"/>
          <w:color w:val="auto"/>
        </w:rPr>
        <w:t xml:space="preserve">in the policy reflect that the </w:t>
      </w:r>
      <w:r w:rsidRPr="00E3260E">
        <w:rPr>
          <w:rFonts w:ascii="Arial" w:eastAsia="Arial" w:hAnsi="Arial" w:cs="Arial"/>
          <w:color w:val="auto"/>
        </w:rPr>
        <w:t>ELNS identifie</w:t>
      </w:r>
      <w:r w:rsidR="00175900" w:rsidRPr="00E3260E">
        <w:rPr>
          <w:rFonts w:ascii="Arial" w:eastAsia="Arial" w:hAnsi="Arial" w:cs="Arial"/>
          <w:color w:val="auto"/>
        </w:rPr>
        <w:t>s</w:t>
      </w:r>
      <w:r w:rsidR="005D25F5" w:rsidRPr="00E3260E">
        <w:rPr>
          <w:rFonts w:ascii="Arial" w:eastAsia="Arial" w:hAnsi="Arial" w:cs="Arial"/>
          <w:color w:val="auto"/>
        </w:rPr>
        <w:t xml:space="preserve"> </w:t>
      </w:r>
      <w:proofErr w:type="gramStart"/>
      <w:r w:rsidRPr="00E3260E">
        <w:rPr>
          <w:rFonts w:ascii="Arial" w:eastAsia="Arial" w:hAnsi="Arial" w:cs="Arial"/>
          <w:color w:val="auto"/>
        </w:rPr>
        <w:t>a number of</w:t>
      </w:r>
      <w:proofErr w:type="gramEnd"/>
      <w:r w:rsidRPr="00E3260E">
        <w:rPr>
          <w:rFonts w:ascii="Arial" w:eastAsia="Arial" w:hAnsi="Arial" w:cs="Arial"/>
          <w:color w:val="auto"/>
        </w:rPr>
        <w:t xml:space="preserve"> employment </w:t>
      </w:r>
      <w:r w:rsidR="005D25F5" w:rsidRPr="00E3260E">
        <w:rPr>
          <w:rFonts w:ascii="Arial" w:eastAsia="Arial" w:hAnsi="Arial" w:cs="Arial"/>
          <w:color w:val="auto"/>
        </w:rPr>
        <w:t xml:space="preserve">areas that </w:t>
      </w:r>
      <w:r w:rsidRPr="00E3260E">
        <w:rPr>
          <w:rFonts w:ascii="Arial" w:eastAsia="Arial" w:hAnsi="Arial" w:cs="Arial"/>
          <w:color w:val="auto"/>
        </w:rPr>
        <w:t>continue</w:t>
      </w:r>
      <w:r w:rsidR="009831A5" w:rsidRPr="00E3260E">
        <w:rPr>
          <w:rFonts w:ascii="Arial" w:eastAsia="Arial" w:hAnsi="Arial" w:cs="Arial"/>
          <w:color w:val="auto"/>
        </w:rPr>
        <w:t xml:space="preserve"> </w:t>
      </w:r>
      <w:r w:rsidRPr="00E3260E">
        <w:rPr>
          <w:rFonts w:ascii="Arial" w:eastAsia="Arial" w:hAnsi="Arial" w:cs="Arial"/>
          <w:color w:val="auto"/>
        </w:rPr>
        <w:t>to play an important role in the local economy</w:t>
      </w:r>
      <w:r w:rsidR="009831A5" w:rsidRPr="00E3260E">
        <w:rPr>
          <w:rFonts w:ascii="Arial" w:eastAsia="Arial" w:hAnsi="Arial" w:cs="Arial"/>
          <w:color w:val="auto"/>
        </w:rPr>
        <w:t xml:space="preserve"> and it is </w:t>
      </w:r>
      <w:r w:rsidRPr="00E3260E">
        <w:rPr>
          <w:rFonts w:ascii="Arial" w:eastAsia="Arial" w:hAnsi="Arial" w:cs="Arial"/>
          <w:color w:val="auto"/>
        </w:rPr>
        <w:t xml:space="preserve">recommended that they should </w:t>
      </w:r>
      <w:r w:rsidR="009831A5" w:rsidRPr="00E3260E">
        <w:rPr>
          <w:rFonts w:ascii="Arial" w:eastAsia="Arial" w:hAnsi="Arial" w:cs="Arial"/>
          <w:color w:val="auto"/>
        </w:rPr>
        <w:t>be</w:t>
      </w:r>
      <w:r w:rsidRPr="00E3260E">
        <w:rPr>
          <w:rFonts w:ascii="Arial" w:eastAsia="Arial" w:hAnsi="Arial" w:cs="Arial"/>
          <w:color w:val="auto"/>
        </w:rPr>
        <w:t xml:space="preserve"> protect</w:t>
      </w:r>
      <w:r w:rsidR="009831A5" w:rsidRPr="00E3260E">
        <w:rPr>
          <w:rFonts w:ascii="Arial" w:eastAsia="Arial" w:hAnsi="Arial" w:cs="Arial"/>
          <w:color w:val="auto"/>
        </w:rPr>
        <w:t>ed</w:t>
      </w:r>
      <w:r w:rsidRPr="00E3260E">
        <w:rPr>
          <w:rFonts w:ascii="Arial" w:eastAsia="Arial" w:hAnsi="Arial" w:cs="Arial"/>
          <w:color w:val="auto"/>
        </w:rPr>
        <w:t xml:space="preserve"> to retain their use for employment purposes.</w:t>
      </w:r>
      <w:r w:rsidR="009831A5" w:rsidRPr="00E3260E">
        <w:rPr>
          <w:rFonts w:ascii="Arial" w:eastAsia="Arial" w:hAnsi="Arial" w:cs="Arial"/>
          <w:color w:val="auto"/>
        </w:rPr>
        <w:t xml:space="preserve"> </w:t>
      </w:r>
    </w:p>
    <w:p w14:paraId="512AF0CA" w14:textId="77777777" w:rsidR="009831A5" w:rsidRPr="00E3260E" w:rsidRDefault="009831A5" w:rsidP="00F11936">
      <w:pPr>
        <w:pStyle w:val="ListParagraph"/>
        <w:spacing w:after="0" w:line="240" w:lineRule="auto"/>
        <w:ind w:left="460"/>
        <w:rPr>
          <w:rFonts w:ascii="Arial" w:hAnsi="Arial" w:cs="Arial"/>
          <w:color w:val="auto"/>
          <w:szCs w:val="24"/>
        </w:rPr>
      </w:pPr>
    </w:p>
    <w:p w14:paraId="0AB72089" w14:textId="0017DFDC" w:rsidR="00743F63" w:rsidRPr="003C7E62" w:rsidRDefault="00316569" w:rsidP="00874A98">
      <w:pPr>
        <w:pStyle w:val="ListParagraph"/>
        <w:numPr>
          <w:ilvl w:val="1"/>
          <w:numId w:val="103"/>
        </w:numPr>
        <w:spacing w:after="0" w:line="240" w:lineRule="auto"/>
        <w:ind w:left="851" w:hanging="851"/>
        <w:rPr>
          <w:rFonts w:ascii="Arial" w:hAnsi="Arial" w:cs="Arial"/>
          <w:color w:val="auto"/>
          <w:szCs w:val="24"/>
        </w:rPr>
      </w:pPr>
      <w:r w:rsidRPr="003C7E62">
        <w:rPr>
          <w:rFonts w:ascii="Arial" w:eastAsia="Calibri" w:hAnsi="Arial" w:cs="Arial"/>
          <w:color w:val="auto"/>
          <w:szCs w:val="24"/>
        </w:rPr>
        <w:t xml:space="preserve">The local economy of the </w:t>
      </w:r>
      <w:proofErr w:type="gramStart"/>
      <w:r w:rsidRPr="003C7E62">
        <w:rPr>
          <w:rFonts w:ascii="Arial" w:eastAsia="Calibri" w:hAnsi="Arial" w:cs="Arial"/>
          <w:color w:val="auto"/>
          <w:szCs w:val="24"/>
        </w:rPr>
        <w:t>District</w:t>
      </w:r>
      <w:proofErr w:type="gramEnd"/>
      <w:r w:rsidRPr="003C7E62">
        <w:rPr>
          <w:rFonts w:ascii="Arial" w:eastAsia="Calibri" w:hAnsi="Arial" w:cs="Arial"/>
          <w:color w:val="auto"/>
          <w:szCs w:val="24"/>
        </w:rPr>
        <w:t xml:space="preserve"> is faced with </w:t>
      </w:r>
      <w:proofErr w:type="gramStart"/>
      <w:r w:rsidRPr="003C7E62">
        <w:rPr>
          <w:rFonts w:ascii="Arial" w:eastAsia="Calibri" w:hAnsi="Arial" w:cs="Arial"/>
          <w:color w:val="auto"/>
          <w:szCs w:val="24"/>
        </w:rPr>
        <w:t>a number of</w:t>
      </w:r>
      <w:proofErr w:type="gramEnd"/>
      <w:r w:rsidRPr="003C7E62">
        <w:rPr>
          <w:rFonts w:ascii="Arial" w:eastAsia="Calibri" w:hAnsi="Arial" w:cs="Arial"/>
          <w:color w:val="auto"/>
          <w:szCs w:val="24"/>
        </w:rPr>
        <w:t xml:space="preserve"> issues related to low paid and lower quality employment opportunities, a shortage of skills and qualifications, and a need to create economic diversity to minimise the reliance on the manufacturing sector. </w:t>
      </w:r>
      <w:r w:rsidR="00E876F5" w:rsidRPr="003C7E62">
        <w:rPr>
          <w:rFonts w:ascii="Arial" w:hAnsi="Arial" w:cs="Arial"/>
          <w:color w:val="auto"/>
          <w:szCs w:val="24"/>
        </w:rPr>
        <w:t xml:space="preserve">High levels of deprivation remain within Ashfield; with areas ranked in the top 10% and top 20% of most deprived areas in the country.  </w:t>
      </w:r>
      <w:r w:rsidR="00E876F5" w:rsidRPr="00A32846">
        <w:rPr>
          <w:rFonts w:ascii="Arial" w:hAnsi="Arial" w:cs="Arial"/>
          <w:szCs w:val="24"/>
        </w:rPr>
        <w:t xml:space="preserve">The 2019 </w:t>
      </w:r>
      <w:r w:rsidR="002D7365" w:rsidRPr="00A32846">
        <w:rPr>
          <w:rFonts w:ascii="Arial" w:hAnsi="Arial" w:cs="Arial"/>
          <w:szCs w:val="24"/>
        </w:rPr>
        <w:t>ONS Indices of Multiple Deprivation (</w:t>
      </w:r>
      <w:r w:rsidR="00E876F5" w:rsidRPr="00A32846">
        <w:rPr>
          <w:rFonts w:ascii="Arial" w:hAnsi="Arial" w:cs="Arial"/>
          <w:szCs w:val="24"/>
        </w:rPr>
        <w:t>IMD</w:t>
      </w:r>
      <w:r w:rsidR="002D7365" w:rsidRPr="00A32846">
        <w:rPr>
          <w:rFonts w:ascii="Arial" w:hAnsi="Arial" w:cs="Arial"/>
          <w:szCs w:val="24"/>
        </w:rPr>
        <w:t>)</w:t>
      </w:r>
      <w:r w:rsidR="00E876F5" w:rsidRPr="00A32846">
        <w:rPr>
          <w:rFonts w:ascii="Arial" w:hAnsi="Arial" w:cs="Arial"/>
          <w:szCs w:val="24"/>
        </w:rPr>
        <w:t xml:space="preserve"> </w:t>
      </w:r>
      <w:r w:rsidR="00175900" w:rsidRPr="00A32846">
        <w:rPr>
          <w:rFonts w:ascii="Arial" w:hAnsi="Arial" w:cs="Arial"/>
          <w:szCs w:val="24"/>
        </w:rPr>
        <w:t>ranks Ashfield as the 63</w:t>
      </w:r>
      <w:r w:rsidR="00175900" w:rsidRPr="00A32846">
        <w:rPr>
          <w:rFonts w:ascii="Arial" w:hAnsi="Arial" w:cs="Arial"/>
          <w:szCs w:val="24"/>
          <w:vertAlign w:val="superscript"/>
        </w:rPr>
        <w:t>rd</w:t>
      </w:r>
      <w:r w:rsidR="00175900" w:rsidRPr="00A32846">
        <w:rPr>
          <w:rFonts w:ascii="Arial" w:hAnsi="Arial" w:cs="Arial"/>
          <w:szCs w:val="24"/>
        </w:rPr>
        <w:t xml:space="preserve"> most deprived local authority in England</w:t>
      </w:r>
      <w:r w:rsidR="00175900" w:rsidRPr="00A32846">
        <w:rPr>
          <w:rStyle w:val="FootnoteReference"/>
          <w:rFonts w:ascii="Arial" w:hAnsi="Arial" w:cs="Arial"/>
          <w:szCs w:val="24"/>
        </w:rPr>
        <w:footnoteReference w:id="68"/>
      </w:r>
      <w:r w:rsidR="00175900" w:rsidRPr="00A32846">
        <w:rPr>
          <w:rFonts w:ascii="Arial" w:hAnsi="Arial" w:cs="Arial"/>
          <w:szCs w:val="24"/>
        </w:rPr>
        <w:t xml:space="preserve">.  </w:t>
      </w:r>
      <w:r w:rsidRPr="00A32846">
        <w:rPr>
          <w:rFonts w:ascii="Arial" w:eastAsia="Calibri" w:hAnsi="Arial" w:cs="Arial"/>
          <w:szCs w:val="24"/>
        </w:rPr>
        <w:t xml:space="preserve">A key message from the </w:t>
      </w:r>
      <w:r w:rsidR="005D25F5" w:rsidRPr="00A32846">
        <w:rPr>
          <w:rFonts w:ascii="Arial" w:eastAsia="Calibri" w:hAnsi="Arial" w:cs="Arial"/>
          <w:szCs w:val="24"/>
        </w:rPr>
        <w:t xml:space="preserve">Ashfield and Mansfield - A Plan for Growth 2016 (Joint Economic Masterplan Update) is </w:t>
      </w:r>
      <w:r w:rsidRPr="00A32846">
        <w:rPr>
          <w:rFonts w:ascii="Arial" w:eastAsia="Calibri" w:hAnsi="Arial" w:cs="Arial"/>
          <w:szCs w:val="24"/>
        </w:rPr>
        <w:t>that to maximise the ability of the labour supply to drive growth, it is vital that opportunities are open to all to be economically active, through access to education, training and employment</w:t>
      </w:r>
      <w:r w:rsidRPr="003C7E62">
        <w:rPr>
          <w:rFonts w:ascii="Arial" w:eastAsia="Calibri" w:hAnsi="Arial" w:cs="Arial"/>
          <w:color w:val="auto"/>
          <w:szCs w:val="24"/>
        </w:rPr>
        <w:t xml:space="preserve">.  The Council is committed to supporting opportunities which assist with the </w:t>
      </w:r>
      <w:r w:rsidR="00BC0E0A" w:rsidRPr="003C7E62">
        <w:rPr>
          <w:rFonts w:ascii="Arial" w:eastAsia="Calibri" w:hAnsi="Arial" w:cs="Arial"/>
          <w:color w:val="auto"/>
          <w:szCs w:val="24"/>
        </w:rPr>
        <w:t>long-term</w:t>
      </w:r>
      <w:r w:rsidRPr="003C7E62">
        <w:rPr>
          <w:rFonts w:ascii="Arial" w:eastAsia="Calibri" w:hAnsi="Arial" w:cs="Arial"/>
          <w:color w:val="auto"/>
          <w:szCs w:val="24"/>
        </w:rPr>
        <w:t xml:space="preserve"> re-skilling of the Ashfield workforce which is necessary to ensure the presence of a </w:t>
      </w:r>
      <w:r w:rsidR="0091749B" w:rsidRPr="003C7E62">
        <w:rPr>
          <w:rFonts w:ascii="Arial" w:eastAsia="Calibri" w:hAnsi="Arial" w:cs="Arial"/>
          <w:color w:val="auto"/>
          <w:szCs w:val="24"/>
        </w:rPr>
        <w:t>highly skilled</w:t>
      </w:r>
      <w:r w:rsidRPr="003C7E62">
        <w:rPr>
          <w:rFonts w:ascii="Arial" w:eastAsia="Calibri" w:hAnsi="Arial" w:cs="Arial"/>
          <w:color w:val="auto"/>
          <w:szCs w:val="24"/>
        </w:rPr>
        <w:t xml:space="preserve"> labour pool to take advantage of new jobs across the </w:t>
      </w:r>
      <w:proofErr w:type="gramStart"/>
      <w:r w:rsidRPr="003C7E62">
        <w:rPr>
          <w:rFonts w:ascii="Arial" w:eastAsia="Calibri" w:hAnsi="Arial" w:cs="Arial"/>
          <w:color w:val="auto"/>
          <w:szCs w:val="24"/>
        </w:rPr>
        <w:t>District</w:t>
      </w:r>
      <w:proofErr w:type="gramEnd"/>
      <w:r w:rsidRPr="003C7E62">
        <w:rPr>
          <w:rFonts w:ascii="Arial" w:eastAsia="Calibri" w:hAnsi="Arial" w:cs="Arial"/>
          <w:color w:val="auto"/>
          <w:szCs w:val="24"/>
        </w:rPr>
        <w:t>.</w:t>
      </w:r>
    </w:p>
    <w:p w14:paraId="182D0A4B" w14:textId="77777777" w:rsidR="00AC4BA4" w:rsidRDefault="00AC4BA4" w:rsidP="00AC4BA4">
      <w:pPr>
        <w:pStyle w:val="ListParagraph"/>
        <w:spacing w:after="0" w:line="240" w:lineRule="auto"/>
        <w:rPr>
          <w:rFonts w:cs="Arial"/>
          <w:color w:val="auto"/>
          <w:szCs w:val="24"/>
        </w:rPr>
      </w:pPr>
    </w:p>
    <w:p w14:paraId="1EC8503A" w14:textId="65291C65" w:rsidR="00614042" w:rsidRPr="00C23246" w:rsidRDefault="00614042" w:rsidP="00874A98">
      <w:pPr>
        <w:keepNext w:val="0"/>
        <w:numPr>
          <w:ilvl w:val="1"/>
          <w:numId w:val="103"/>
        </w:numPr>
        <w:spacing w:before="0"/>
        <w:ind w:left="851" w:hanging="851"/>
        <w:rPr>
          <w:rFonts w:cs="Arial"/>
          <w:color w:val="auto"/>
          <w:szCs w:val="24"/>
          <w:lang w:eastAsia="en-US"/>
        </w:rPr>
      </w:pPr>
      <w:r w:rsidRPr="00C23246">
        <w:rPr>
          <w:rFonts w:cs="Arial"/>
          <w:color w:val="auto"/>
          <w:szCs w:val="24"/>
          <w:lang w:eastAsia="en-US"/>
        </w:rPr>
        <w:t xml:space="preserve">The reopening of the Maid Marian Line and an additional station platform on the Robin Hood Line provides opportunities to facilitate economic development.  There are a significant number of small to medium sized businesses registered in the rural areas, particularly </w:t>
      </w:r>
      <w:proofErr w:type="spellStart"/>
      <w:r w:rsidRPr="00C23246">
        <w:rPr>
          <w:rFonts w:cs="Arial"/>
          <w:color w:val="auto"/>
          <w:szCs w:val="24"/>
          <w:lang w:eastAsia="en-US"/>
        </w:rPr>
        <w:t>Selston</w:t>
      </w:r>
      <w:proofErr w:type="spellEnd"/>
      <w:r w:rsidRPr="00C23246">
        <w:rPr>
          <w:rFonts w:cs="Arial"/>
          <w:color w:val="auto"/>
          <w:szCs w:val="24"/>
          <w:lang w:eastAsia="en-US"/>
        </w:rPr>
        <w:t>.</w:t>
      </w:r>
      <w:r w:rsidR="00E357C3">
        <w:rPr>
          <w:rFonts w:cs="Arial"/>
          <w:color w:val="auto"/>
          <w:szCs w:val="24"/>
          <w:lang w:eastAsia="en-US"/>
        </w:rPr>
        <w:t xml:space="preserve"> </w:t>
      </w:r>
      <w:r w:rsidRPr="00C23246">
        <w:rPr>
          <w:rFonts w:cs="Arial"/>
          <w:color w:val="auto"/>
          <w:szCs w:val="24"/>
          <w:lang w:eastAsia="en-US"/>
        </w:rPr>
        <w:t xml:space="preserve">The reopening of the Maid Marian Line with a station platform in the rural area would provide significantly improved access to wider business markets. </w:t>
      </w:r>
    </w:p>
    <w:p w14:paraId="7143B350" w14:textId="4D43029E" w:rsidR="00614042" w:rsidRPr="00C23246" w:rsidRDefault="00614042" w:rsidP="00614042">
      <w:pPr>
        <w:keepNext w:val="0"/>
        <w:spacing w:before="0"/>
        <w:ind w:left="851"/>
        <w:rPr>
          <w:rFonts w:cs="Arial"/>
          <w:color w:val="auto"/>
          <w:szCs w:val="24"/>
          <w:lang w:eastAsia="en-US"/>
        </w:rPr>
      </w:pPr>
      <w:r w:rsidRPr="00C23246">
        <w:rPr>
          <w:rFonts w:cs="Arial"/>
          <w:color w:val="auto"/>
          <w:szCs w:val="24"/>
          <w:lang w:eastAsia="en-US"/>
        </w:rPr>
        <w:t xml:space="preserve">  </w:t>
      </w:r>
    </w:p>
    <w:p w14:paraId="0C4E3902" w14:textId="48644708" w:rsidR="00614042" w:rsidRPr="00E357C3" w:rsidRDefault="00614042" w:rsidP="00874A98">
      <w:pPr>
        <w:keepNext w:val="0"/>
        <w:numPr>
          <w:ilvl w:val="1"/>
          <w:numId w:val="103"/>
        </w:numPr>
        <w:spacing w:before="0"/>
        <w:ind w:left="851" w:hanging="851"/>
        <w:rPr>
          <w:rFonts w:cs="Arial"/>
          <w:strike/>
          <w:color w:val="auto"/>
          <w:szCs w:val="24"/>
          <w:lang w:eastAsia="en-US"/>
        </w:rPr>
      </w:pPr>
      <w:r w:rsidRPr="00C23246">
        <w:rPr>
          <w:rFonts w:cs="Arial"/>
          <w:color w:val="auto"/>
          <w:szCs w:val="24"/>
          <w:lang w:eastAsia="en-US"/>
        </w:rPr>
        <w:t xml:space="preserve">The new journey opportunities provided by a Maid Marian Line service would enable residents of Ashfield, Mansfield and Bolsover much improved access to </w:t>
      </w:r>
      <w:r w:rsidRPr="00C23246">
        <w:rPr>
          <w:rFonts w:cs="Arial"/>
          <w:color w:val="auto"/>
          <w:szCs w:val="24"/>
          <w:lang w:eastAsia="en-US"/>
        </w:rPr>
        <w:lastRenderedPageBreak/>
        <w:t>leisure and tourism opportunities by interchanging with longer distance services.  The potential opening of a new station platform at Kings Mill would provide opportunities to access the amenities around the reservoir which are currently being enhanced by a £1.45 million Heritage Lottery funded project. It would also facilitate access to Summit Park</w:t>
      </w:r>
      <w:r w:rsidR="00556C94">
        <w:rPr>
          <w:rFonts w:cs="Arial"/>
          <w:color w:val="auto"/>
          <w:szCs w:val="24"/>
          <w:lang w:eastAsia="en-US"/>
        </w:rPr>
        <w:t>,</w:t>
      </w:r>
      <w:r w:rsidRPr="00C23246">
        <w:rPr>
          <w:rFonts w:cs="Arial"/>
          <w:color w:val="auto"/>
          <w:szCs w:val="24"/>
          <w:lang w:eastAsia="en-US"/>
        </w:rPr>
        <w:t xml:space="preserve"> occupied by a major warehousing development providing up to </w:t>
      </w:r>
      <w:r w:rsidR="00556C94">
        <w:rPr>
          <w:rFonts w:cs="Arial"/>
          <w:color w:val="auto"/>
          <w:szCs w:val="24"/>
          <w:lang w:eastAsia="en-US"/>
        </w:rPr>
        <w:t>2</w:t>
      </w:r>
      <w:r w:rsidRPr="00C23246">
        <w:rPr>
          <w:rFonts w:cs="Arial"/>
          <w:color w:val="auto"/>
          <w:szCs w:val="24"/>
          <w:lang w:eastAsia="en-US"/>
        </w:rPr>
        <w:t>,</w:t>
      </w:r>
      <w:r w:rsidR="00556C94">
        <w:rPr>
          <w:rFonts w:cs="Arial"/>
          <w:color w:val="auto"/>
          <w:szCs w:val="24"/>
          <w:lang w:eastAsia="en-US"/>
        </w:rPr>
        <w:t>0</w:t>
      </w:r>
      <w:r w:rsidRPr="00C23246">
        <w:rPr>
          <w:rFonts w:cs="Arial"/>
          <w:color w:val="auto"/>
          <w:szCs w:val="24"/>
          <w:lang w:eastAsia="en-US"/>
        </w:rPr>
        <w:t xml:space="preserve">00 jobs, to Oakham Business Park and Kings Mill Hospital, the largest employer in Ashfield. </w:t>
      </w:r>
      <w:bookmarkStart w:id="87" w:name="_Hlk79739095"/>
      <w:r w:rsidRPr="00E357C3">
        <w:rPr>
          <w:rFonts w:cs="Arial"/>
          <w:color w:val="auto"/>
          <w:szCs w:val="24"/>
          <w:lang w:eastAsia="en-US"/>
        </w:rPr>
        <w:t xml:space="preserve">New journey opportunities would be available to improve access to education and training opportunities in Ashfield, Bolsover and Mansfield which are due to be enhanced by Ashfield’s Towns Fund award, which including plans for a new </w:t>
      </w:r>
      <w:r w:rsidRPr="00CB6138">
        <w:rPr>
          <w:rFonts w:cs="Arial"/>
          <w:color w:val="auto"/>
          <w:szCs w:val="24"/>
          <w:lang w:eastAsia="en-US"/>
        </w:rPr>
        <w:t>regional Automated</w:t>
      </w:r>
      <w:r w:rsidRPr="00E357C3">
        <w:rPr>
          <w:rFonts w:cs="Arial"/>
          <w:color w:val="auto"/>
          <w:szCs w:val="24"/>
          <w:lang w:eastAsia="en-US"/>
        </w:rPr>
        <w:t xml:space="preserve"> Distribution and Manufacturing Centre (ADMC) creating a regional centre of excellence</w:t>
      </w:r>
      <w:r w:rsidR="00C23246" w:rsidRPr="00E357C3">
        <w:rPr>
          <w:rFonts w:cs="Arial"/>
          <w:color w:val="auto"/>
          <w:szCs w:val="24"/>
          <w:lang w:eastAsia="en-US"/>
        </w:rPr>
        <w:t>.  With the support of the County Council this is anticipated to be located close to one of the Stations.</w:t>
      </w:r>
      <w:r w:rsidR="00987F2E" w:rsidRPr="00E357C3">
        <w:rPr>
          <w:rFonts w:cs="Arial"/>
          <w:color w:val="auto"/>
          <w:szCs w:val="24"/>
          <w:lang w:eastAsia="en-US"/>
        </w:rPr>
        <w:t xml:space="preserve"> </w:t>
      </w:r>
      <w:r w:rsidRPr="00E357C3">
        <w:rPr>
          <w:rFonts w:cs="Arial"/>
          <w:color w:val="auto"/>
          <w:szCs w:val="24"/>
          <w:lang w:eastAsia="en-US"/>
        </w:rPr>
        <w:t xml:space="preserve"> </w:t>
      </w:r>
      <w:r w:rsidR="00C23246" w:rsidRPr="00E357C3">
        <w:rPr>
          <w:rFonts w:cs="Arial"/>
          <w:color w:val="auto"/>
          <w:szCs w:val="24"/>
          <w:lang w:eastAsia="en-US"/>
        </w:rPr>
        <w:t xml:space="preserve">Through </w:t>
      </w:r>
      <w:r w:rsidRPr="00E357C3">
        <w:rPr>
          <w:rFonts w:cs="Arial"/>
          <w:color w:val="auto"/>
          <w:szCs w:val="24"/>
          <w:lang w:eastAsia="en-US"/>
        </w:rPr>
        <w:t>Vison West Nottinghamshire Collage and Nottingham Trent University</w:t>
      </w:r>
      <w:r w:rsidR="0080138B" w:rsidRPr="00E357C3">
        <w:rPr>
          <w:rFonts w:cs="Arial"/>
          <w:color w:val="auto"/>
          <w:szCs w:val="24"/>
          <w:lang w:eastAsia="en-US"/>
        </w:rPr>
        <w:t>,</w:t>
      </w:r>
      <w:r w:rsidRPr="00E357C3">
        <w:rPr>
          <w:rFonts w:cs="Arial"/>
          <w:color w:val="auto"/>
          <w:szCs w:val="24"/>
          <w:lang w:eastAsia="en-US"/>
        </w:rPr>
        <w:t xml:space="preserve"> who ha</w:t>
      </w:r>
      <w:r w:rsidR="0080138B" w:rsidRPr="00E357C3">
        <w:rPr>
          <w:rFonts w:cs="Arial"/>
          <w:color w:val="auto"/>
          <w:szCs w:val="24"/>
          <w:lang w:eastAsia="en-US"/>
        </w:rPr>
        <w:t>s</w:t>
      </w:r>
      <w:r w:rsidRPr="00E357C3">
        <w:rPr>
          <w:rFonts w:cs="Arial"/>
          <w:color w:val="auto"/>
          <w:szCs w:val="24"/>
          <w:lang w:eastAsia="en-US"/>
        </w:rPr>
        <w:t xml:space="preserve"> recently opened a campus in Mansfield, a Research &amp; Innovation, and Teaching &amp; Learning “platform” is already under development on which to base the ADMC. This enables the development of a proposition unlikely to have been imagined in the area previously. </w:t>
      </w:r>
    </w:p>
    <w:bookmarkEnd w:id="87"/>
    <w:p w14:paraId="2A82DDD3" w14:textId="77777777" w:rsidR="00C23246" w:rsidRPr="00C23246" w:rsidRDefault="00C23246" w:rsidP="00C23246">
      <w:pPr>
        <w:keepNext w:val="0"/>
        <w:spacing w:before="0"/>
        <w:rPr>
          <w:rFonts w:cs="Arial"/>
          <w:color w:val="auto"/>
          <w:szCs w:val="24"/>
          <w:lang w:eastAsia="en-US"/>
        </w:rPr>
      </w:pPr>
    </w:p>
    <w:p w14:paraId="40DB5863" w14:textId="39DAA6D5" w:rsidR="00614042" w:rsidRPr="00C23246" w:rsidRDefault="00614042" w:rsidP="00874A98">
      <w:pPr>
        <w:keepNext w:val="0"/>
        <w:numPr>
          <w:ilvl w:val="1"/>
          <w:numId w:val="103"/>
        </w:numPr>
        <w:spacing w:before="0"/>
        <w:ind w:left="851" w:hanging="851"/>
        <w:rPr>
          <w:rFonts w:cs="Arial"/>
          <w:color w:val="auto"/>
          <w:szCs w:val="24"/>
          <w:lang w:eastAsia="en-US"/>
        </w:rPr>
      </w:pPr>
      <w:r w:rsidRPr="00C23246">
        <w:rPr>
          <w:rFonts w:cs="Arial"/>
          <w:color w:val="auto"/>
          <w:szCs w:val="24"/>
          <w:lang w:eastAsia="en-US"/>
        </w:rPr>
        <w:t>The Lichfield Maid Marian Rail Extension: Economic Impact Analysis concluded that increased capacity, connectivity and accessibility brought by the Maid Marian Rail Extension would support the delivery of residential and commercial development within the catchments of the four enhanced stations at Mansfield Woodhouse, Mansfield Town, Sutton Parkway and Kirkby-in-Ashfield. It would also benefit employees by allowing them to access a wider range of job opportunities and housing choices; employers by giving them access to a wider labour pool and more accessible locations; and will make the two Districts more attractive to operators through improved services and facilities, and improved retail and leisure offers.  The Station Masterplans build on this economic analysis by identify several development opportunities near Sutton Parkway and Kirkby-in-Ashfield stations on the Robin Hood Line.</w:t>
      </w:r>
    </w:p>
    <w:p w14:paraId="143EFD31" w14:textId="77777777" w:rsidR="00614042" w:rsidRPr="00C23246" w:rsidRDefault="00614042" w:rsidP="00614042">
      <w:pPr>
        <w:keepNext w:val="0"/>
        <w:spacing w:before="0"/>
        <w:ind w:left="851"/>
        <w:rPr>
          <w:rFonts w:cs="Arial"/>
          <w:color w:val="auto"/>
          <w:szCs w:val="24"/>
          <w:lang w:eastAsia="en-US"/>
        </w:rPr>
      </w:pPr>
    </w:p>
    <w:p w14:paraId="37DE5DFA" w14:textId="3E5F0453" w:rsidR="00614042" w:rsidRPr="00C23246" w:rsidRDefault="002F3399" w:rsidP="00874A98">
      <w:pPr>
        <w:keepNext w:val="0"/>
        <w:numPr>
          <w:ilvl w:val="1"/>
          <w:numId w:val="103"/>
        </w:numPr>
        <w:spacing w:before="0"/>
        <w:ind w:left="851" w:hanging="851"/>
        <w:rPr>
          <w:rFonts w:cs="Arial"/>
          <w:color w:val="auto"/>
          <w:szCs w:val="24"/>
          <w:lang w:eastAsia="en-US"/>
        </w:rPr>
      </w:pPr>
      <w:r>
        <w:rPr>
          <w:rFonts w:cs="Arial"/>
          <w:color w:val="auto"/>
          <w:szCs w:val="24"/>
          <w:lang w:eastAsia="en-US"/>
        </w:rPr>
        <w:t>T</w:t>
      </w:r>
      <w:r w:rsidR="00614042" w:rsidRPr="00C23246">
        <w:rPr>
          <w:rFonts w:cs="Arial"/>
          <w:color w:val="auto"/>
          <w:szCs w:val="24"/>
          <w:lang w:eastAsia="en-US"/>
        </w:rPr>
        <w:t>he Maid Marian Line is being developed a</w:t>
      </w:r>
      <w:r w:rsidR="000A5EE8">
        <w:rPr>
          <w:rFonts w:cs="Arial"/>
          <w:color w:val="auto"/>
          <w:szCs w:val="24"/>
          <w:lang w:eastAsia="en-US"/>
        </w:rPr>
        <w:t xml:space="preserve"> </w:t>
      </w:r>
      <w:r w:rsidR="00614042" w:rsidRPr="00C23246">
        <w:rPr>
          <w:rFonts w:cs="Arial"/>
          <w:color w:val="auto"/>
          <w:szCs w:val="24"/>
          <w:lang w:eastAsia="en-US"/>
        </w:rPr>
        <w:t>scheme which will provide greater local connectivity with cross county connections, an alternative route into Nottingham and to Derby and beyond.</w:t>
      </w:r>
      <w:r w:rsidR="000A5EE8" w:rsidRPr="000A5EE8">
        <w:t xml:space="preserve"> </w:t>
      </w:r>
      <w:r w:rsidR="000A5EE8" w:rsidRPr="000A5EE8">
        <w:rPr>
          <w:rFonts w:cs="Arial"/>
          <w:color w:val="auto"/>
          <w:szCs w:val="24"/>
          <w:lang w:eastAsia="en-US"/>
        </w:rPr>
        <w:t xml:space="preserve">There is an opportunity through the Maid Marian Line to improve capacity in the wider strategic rail network.  </w:t>
      </w:r>
      <w:r w:rsidR="00614042" w:rsidRPr="00C23246">
        <w:rPr>
          <w:rFonts w:cs="Arial"/>
          <w:color w:val="auto"/>
          <w:szCs w:val="24"/>
          <w:lang w:eastAsia="en-US"/>
        </w:rPr>
        <w:t xml:space="preserve"> This will support Ashfield’s ambition to be a destination for employment, education, and tourism.</w:t>
      </w:r>
    </w:p>
    <w:p w14:paraId="79189EF5" w14:textId="77777777" w:rsidR="00614042" w:rsidRPr="00614042" w:rsidRDefault="00614042" w:rsidP="00614042">
      <w:pPr>
        <w:keepNext w:val="0"/>
        <w:spacing w:before="0"/>
        <w:ind w:left="851"/>
        <w:rPr>
          <w:rFonts w:cs="Arial"/>
          <w:color w:val="0070C0"/>
          <w:szCs w:val="24"/>
          <w:lang w:eastAsia="en-US"/>
        </w:rPr>
      </w:pPr>
    </w:p>
    <w:p w14:paraId="0F79232B" w14:textId="4E913601" w:rsidR="001839AE" w:rsidRPr="00A32846" w:rsidRDefault="001839AE" w:rsidP="00874A98">
      <w:pPr>
        <w:keepNext w:val="0"/>
        <w:numPr>
          <w:ilvl w:val="1"/>
          <w:numId w:val="103"/>
        </w:numPr>
        <w:spacing w:before="0"/>
        <w:ind w:left="851" w:hanging="851"/>
        <w:rPr>
          <w:rFonts w:cs="Arial"/>
          <w:szCs w:val="24"/>
          <w:lang w:eastAsia="en-US"/>
        </w:rPr>
      </w:pPr>
      <w:r w:rsidRPr="00A32846">
        <w:rPr>
          <w:rFonts w:cs="Arial"/>
          <w:szCs w:val="24"/>
          <w:lang w:eastAsia="en-US"/>
        </w:rPr>
        <w:t xml:space="preserve">A key aspect of the Towns Funding received by the Council is the </w:t>
      </w:r>
      <w:r w:rsidRPr="00A32846">
        <w:rPr>
          <w:rFonts w:eastAsia="Arial" w:cs="Arial"/>
        </w:rPr>
        <w:t xml:space="preserve">Automated Distribution and Manufacturing Centre.  </w:t>
      </w:r>
      <w:r w:rsidR="0091749B" w:rsidRPr="00A32846">
        <w:rPr>
          <w:rFonts w:eastAsia="Arial" w:cs="Arial"/>
        </w:rPr>
        <w:t>They</w:t>
      </w:r>
      <w:r w:rsidRPr="00A32846">
        <w:rPr>
          <w:rFonts w:eastAsia="Arial" w:cs="Arial"/>
        </w:rPr>
        <w:t xml:space="preserve"> will create a centre of excellence focused on promoting and providing access to the latest technologies and best practice in automated distribution and improve skills of the local workforce.  It is anticipated to bring other employment opportunities in adjacent land employment allocations.</w:t>
      </w:r>
    </w:p>
    <w:p w14:paraId="0F35DA59" w14:textId="77777777" w:rsidR="001839AE" w:rsidRPr="001839AE" w:rsidRDefault="001839AE" w:rsidP="001839AE">
      <w:pPr>
        <w:keepNext w:val="0"/>
        <w:spacing w:before="0"/>
        <w:rPr>
          <w:rFonts w:cs="Arial"/>
          <w:color w:val="0070C0"/>
          <w:szCs w:val="24"/>
          <w:lang w:eastAsia="en-US"/>
        </w:rPr>
      </w:pPr>
    </w:p>
    <w:p w14:paraId="0DCA8166" w14:textId="1592D6BC" w:rsidR="00BC0E0A" w:rsidRPr="00614042" w:rsidRDefault="00253929" w:rsidP="00874A98">
      <w:pPr>
        <w:keepNext w:val="0"/>
        <w:numPr>
          <w:ilvl w:val="1"/>
          <w:numId w:val="103"/>
        </w:numPr>
        <w:spacing w:before="0"/>
        <w:ind w:left="851" w:hanging="851"/>
        <w:rPr>
          <w:rFonts w:cs="Arial"/>
          <w:color w:val="0070C0"/>
          <w:szCs w:val="24"/>
          <w:lang w:eastAsia="en-US"/>
        </w:rPr>
      </w:pPr>
      <w:r w:rsidRPr="00614042">
        <w:rPr>
          <w:rFonts w:eastAsia="Arial" w:cs="Arial"/>
          <w:color w:val="auto"/>
        </w:rPr>
        <w:t>Working in residential areas and businesses operated from within built-up areas, including residential areas and people’s homes, will be supported, subject to highways, access and amenity considerations.</w:t>
      </w:r>
    </w:p>
    <w:p w14:paraId="2CD2D257" w14:textId="77777777" w:rsidR="00BC0E0A" w:rsidRPr="003C7E62" w:rsidRDefault="00BC0E0A" w:rsidP="00F11936">
      <w:pPr>
        <w:spacing w:before="0"/>
        <w:rPr>
          <w:rFonts w:eastAsia="Calibri" w:cs="Arial"/>
          <w:color w:val="auto"/>
        </w:rPr>
      </w:pPr>
    </w:p>
    <w:p w14:paraId="3A30D529" w14:textId="13AA603E" w:rsidR="0080115E" w:rsidRPr="001012CC" w:rsidRDefault="0095363C" w:rsidP="00874A98">
      <w:pPr>
        <w:keepNext w:val="0"/>
        <w:numPr>
          <w:ilvl w:val="1"/>
          <w:numId w:val="103"/>
        </w:numPr>
        <w:spacing w:before="0"/>
        <w:ind w:left="851" w:hanging="851"/>
        <w:rPr>
          <w:rFonts w:cs="Arial"/>
          <w:szCs w:val="24"/>
          <w:lang w:eastAsia="en-US"/>
        </w:rPr>
      </w:pPr>
      <w:r w:rsidRPr="003C7E62">
        <w:rPr>
          <w:rFonts w:eastAsia="Calibri" w:cs="Arial"/>
          <w:color w:val="auto"/>
          <w:szCs w:val="22"/>
          <w:lang w:eastAsia="en-US"/>
        </w:rPr>
        <w:t>Past evidence has identified that the</w:t>
      </w:r>
      <w:r w:rsidR="004A6EB6" w:rsidRPr="003C7E62">
        <w:rPr>
          <w:rFonts w:eastAsia="Calibri" w:cs="Arial"/>
          <w:color w:val="auto"/>
          <w:szCs w:val="22"/>
          <w:lang w:eastAsia="en-US"/>
        </w:rPr>
        <w:t xml:space="preserve">re </w:t>
      </w:r>
      <w:r w:rsidR="00253929" w:rsidRPr="003C7E62">
        <w:rPr>
          <w:rFonts w:eastAsia="Calibri" w:cs="Arial"/>
          <w:color w:val="auto"/>
          <w:szCs w:val="22"/>
          <w:lang w:eastAsia="en-US"/>
        </w:rPr>
        <w:t xml:space="preserve">have been negative perceptions of Ashfield characterised by the history of coal mining, textiles and heavy industry. </w:t>
      </w:r>
      <w:r w:rsidRPr="003C7E62">
        <w:rPr>
          <w:rFonts w:eastAsia="Calibri" w:cs="Arial"/>
          <w:color w:val="auto"/>
        </w:rPr>
        <w:t>Shaping the image of the district away from historical stereotypes would help attract investment from home and abroad</w:t>
      </w:r>
      <w:r w:rsidRPr="003C7E62">
        <w:rPr>
          <w:rFonts w:cs="Arial"/>
          <w:color w:val="auto"/>
          <w:szCs w:val="24"/>
          <w:lang w:eastAsia="en-US"/>
        </w:rPr>
        <w:t xml:space="preserve">. Therefore, emphasising the district’s ‘unique selling points’ is imperative in seeking to build a stronger, more extensive ‘brand’ and facilitate economic opportunities.  </w:t>
      </w:r>
      <w:r w:rsidR="00253929" w:rsidRPr="003C7E62">
        <w:rPr>
          <w:rFonts w:eastAsia="Calibri" w:cs="Arial"/>
          <w:color w:val="auto"/>
          <w:szCs w:val="22"/>
          <w:lang w:eastAsia="en-US"/>
        </w:rPr>
        <w:t>Discover Ashfield</w:t>
      </w:r>
      <w:r w:rsidR="0069385A">
        <w:rPr>
          <w:rStyle w:val="FootnoteReference"/>
          <w:rFonts w:eastAsia="Calibri" w:cs="Arial"/>
          <w:color w:val="auto"/>
          <w:szCs w:val="22"/>
          <w:lang w:eastAsia="en-US"/>
        </w:rPr>
        <w:footnoteReference w:id="69"/>
      </w:r>
      <w:r w:rsidR="00253929" w:rsidRPr="003C7E62">
        <w:rPr>
          <w:rFonts w:eastAsia="Calibri" w:cs="Arial"/>
          <w:color w:val="auto"/>
          <w:szCs w:val="22"/>
          <w:lang w:eastAsia="en-US"/>
        </w:rPr>
        <w:t xml:space="preserve"> celebrates all that is </w:t>
      </w:r>
      <w:r w:rsidR="00253929" w:rsidRPr="00A32846">
        <w:rPr>
          <w:rFonts w:eastAsia="Calibri" w:cs="Arial"/>
          <w:szCs w:val="22"/>
          <w:lang w:eastAsia="en-US"/>
        </w:rPr>
        <w:t>best about living, visiting, working and doing business in Ashfield through four themes</w:t>
      </w:r>
      <w:r w:rsidR="004A6EB6" w:rsidRPr="00A32846">
        <w:rPr>
          <w:rFonts w:eastAsia="Calibri" w:cs="Arial"/>
          <w:szCs w:val="22"/>
          <w:lang w:eastAsia="en-US"/>
        </w:rPr>
        <w:t xml:space="preserve"> to</w:t>
      </w:r>
      <w:r w:rsidR="00253929" w:rsidRPr="00A32846">
        <w:rPr>
          <w:rFonts w:eastAsia="Calibri" w:cs="Arial"/>
          <w:szCs w:val="22"/>
          <w:lang w:eastAsia="en-US"/>
        </w:rPr>
        <w:t>:</w:t>
      </w:r>
      <w:bookmarkStart w:id="88" w:name="_Hlk75876888"/>
    </w:p>
    <w:p w14:paraId="3FD921D3" w14:textId="11758846" w:rsidR="0080115E" w:rsidRDefault="0080115E" w:rsidP="002430A6">
      <w:pPr>
        <w:keepNext w:val="0"/>
        <w:numPr>
          <w:ilvl w:val="0"/>
          <w:numId w:val="27"/>
        </w:numPr>
        <w:spacing w:before="0"/>
        <w:ind w:left="1559"/>
        <w:contextualSpacing/>
        <w:rPr>
          <w:rFonts w:eastAsia="Calibri" w:cs="Arial"/>
          <w:szCs w:val="22"/>
          <w:lang w:eastAsia="en-US"/>
        </w:rPr>
      </w:pPr>
      <w:r w:rsidRPr="00A32846">
        <w:rPr>
          <w:rFonts w:eastAsia="Calibri" w:cs="Arial"/>
          <w:szCs w:val="22"/>
          <w:lang w:eastAsia="en-US"/>
        </w:rPr>
        <w:t>Promote Ashfield in a positive manner</w:t>
      </w:r>
      <w:r w:rsidR="001B720A">
        <w:rPr>
          <w:rFonts w:eastAsia="Calibri" w:cs="Arial"/>
          <w:szCs w:val="22"/>
          <w:lang w:eastAsia="en-US"/>
        </w:rPr>
        <w:t>.</w:t>
      </w:r>
      <w:r w:rsidRPr="00A32846">
        <w:rPr>
          <w:rFonts w:eastAsia="Calibri" w:cs="Arial"/>
          <w:szCs w:val="22"/>
          <w:lang w:eastAsia="en-US"/>
        </w:rPr>
        <w:t xml:space="preserve"> </w:t>
      </w:r>
    </w:p>
    <w:p w14:paraId="1369DDD4" w14:textId="77777777" w:rsidR="001B720A" w:rsidRPr="00A32846" w:rsidRDefault="001B720A" w:rsidP="002430A6">
      <w:pPr>
        <w:keepNext w:val="0"/>
        <w:spacing w:before="0"/>
        <w:ind w:left="1559"/>
        <w:contextualSpacing/>
        <w:rPr>
          <w:rFonts w:eastAsia="Calibri" w:cs="Arial"/>
          <w:szCs w:val="22"/>
          <w:lang w:eastAsia="en-US"/>
        </w:rPr>
      </w:pPr>
    </w:p>
    <w:p w14:paraId="7554BE1C" w14:textId="64F993A9" w:rsidR="001839AE" w:rsidRDefault="001839AE" w:rsidP="002430A6">
      <w:pPr>
        <w:keepNext w:val="0"/>
        <w:numPr>
          <w:ilvl w:val="0"/>
          <w:numId w:val="27"/>
        </w:numPr>
        <w:spacing w:before="0"/>
        <w:ind w:left="1559"/>
        <w:contextualSpacing/>
        <w:rPr>
          <w:rFonts w:eastAsia="Calibri" w:cs="Arial"/>
          <w:szCs w:val="22"/>
          <w:lang w:eastAsia="en-US"/>
        </w:rPr>
      </w:pPr>
      <w:r w:rsidRPr="00A32846">
        <w:rPr>
          <w:rFonts w:eastAsia="Calibri" w:cs="Arial"/>
          <w:szCs w:val="22"/>
          <w:lang w:eastAsia="en-US"/>
        </w:rPr>
        <w:t>Develop pride and aspiration in our communities</w:t>
      </w:r>
      <w:r w:rsidR="001B720A">
        <w:rPr>
          <w:rFonts w:eastAsia="Calibri" w:cs="Arial"/>
          <w:szCs w:val="22"/>
          <w:lang w:eastAsia="en-US"/>
        </w:rPr>
        <w:t>.</w:t>
      </w:r>
    </w:p>
    <w:p w14:paraId="301F2CB3" w14:textId="77777777" w:rsidR="001B720A" w:rsidRPr="00A32846" w:rsidRDefault="001B720A" w:rsidP="002430A6">
      <w:pPr>
        <w:keepNext w:val="0"/>
        <w:spacing w:before="0"/>
        <w:ind w:left="1559"/>
        <w:contextualSpacing/>
        <w:rPr>
          <w:rFonts w:eastAsia="Calibri" w:cs="Arial"/>
          <w:szCs w:val="22"/>
          <w:lang w:eastAsia="en-US"/>
        </w:rPr>
      </w:pPr>
    </w:p>
    <w:p w14:paraId="1CD4A1BE" w14:textId="2559575D" w:rsidR="001839AE" w:rsidRDefault="001839AE" w:rsidP="002430A6">
      <w:pPr>
        <w:keepNext w:val="0"/>
        <w:numPr>
          <w:ilvl w:val="0"/>
          <w:numId w:val="27"/>
        </w:numPr>
        <w:spacing w:before="0"/>
        <w:ind w:left="1559"/>
        <w:contextualSpacing/>
        <w:rPr>
          <w:rFonts w:eastAsia="Calibri" w:cs="Arial"/>
          <w:szCs w:val="22"/>
          <w:lang w:eastAsia="en-US"/>
        </w:rPr>
      </w:pPr>
      <w:r w:rsidRPr="00A32846">
        <w:rPr>
          <w:rFonts w:eastAsia="Calibri" w:cs="Arial"/>
          <w:szCs w:val="22"/>
          <w:lang w:eastAsia="en-US"/>
        </w:rPr>
        <w:t>Encourage and promote inward investment with the support of business and educators.</w:t>
      </w:r>
    </w:p>
    <w:p w14:paraId="6536DAAC" w14:textId="77777777" w:rsidR="001B720A" w:rsidRPr="00A32846" w:rsidRDefault="001B720A" w:rsidP="002430A6">
      <w:pPr>
        <w:keepNext w:val="0"/>
        <w:spacing w:before="0"/>
        <w:ind w:left="1559"/>
        <w:contextualSpacing/>
        <w:rPr>
          <w:rFonts w:eastAsia="Calibri" w:cs="Arial"/>
          <w:szCs w:val="22"/>
          <w:lang w:eastAsia="en-US"/>
        </w:rPr>
      </w:pPr>
    </w:p>
    <w:p w14:paraId="1F1AD50A" w14:textId="6654B55A" w:rsidR="0080115E" w:rsidRPr="001B720A" w:rsidRDefault="0080115E" w:rsidP="002430A6">
      <w:pPr>
        <w:keepNext w:val="0"/>
        <w:numPr>
          <w:ilvl w:val="0"/>
          <w:numId w:val="27"/>
        </w:numPr>
        <w:spacing w:before="0"/>
        <w:ind w:left="1559"/>
        <w:contextualSpacing/>
        <w:rPr>
          <w:rFonts w:eastAsia="Calibri" w:cs="Arial"/>
          <w:strike/>
          <w:szCs w:val="22"/>
          <w:lang w:eastAsia="en-US"/>
        </w:rPr>
      </w:pPr>
      <w:r w:rsidRPr="00A32846">
        <w:rPr>
          <w:rFonts w:eastAsia="Calibri" w:cs="Arial"/>
          <w:szCs w:val="22"/>
          <w:lang w:eastAsia="en-US"/>
        </w:rPr>
        <w:t>Help people improve their health and wellbeing</w:t>
      </w:r>
      <w:r w:rsidR="001839AE" w:rsidRPr="00A32846">
        <w:rPr>
          <w:rFonts w:eastAsia="Calibri" w:cs="Arial"/>
          <w:szCs w:val="22"/>
          <w:lang w:eastAsia="en-US"/>
        </w:rPr>
        <w:t>.</w:t>
      </w:r>
    </w:p>
    <w:p w14:paraId="1215EB64" w14:textId="77777777" w:rsidR="001B720A" w:rsidRPr="00A32846" w:rsidRDefault="001B720A" w:rsidP="002430A6">
      <w:pPr>
        <w:keepNext w:val="0"/>
        <w:spacing w:before="0"/>
        <w:ind w:left="1559"/>
        <w:contextualSpacing/>
        <w:rPr>
          <w:rFonts w:eastAsia="Calibri" w:cs="Arial"/>
          <w:strike/>
          <w:szCs w:val="22"/>
          <w:lang w:eastAsia="en-US"/>
        </w:rPr>
      </w:pPr>
    </w:p>
    <w:p w14:paraId="636B965B" w14:textId="3800A20E" w:rsidR="0080115E" w:rsidRPr="00A32846" w:rsidRDefault="0080115E" w:rsidP="002430A6">
      <w:pPr>
        <w:keepNext w:val="0"/>
        <w:numPr>
          <w:ilvl w:val="0"/>
          <w:numId w:val="27"/>
        </w:numPr>
        <w:spacing w:before="0"/>
        <w:ind w:left="1559"/>
        <w:contextualSpacing/>
        <w:rPr>
          <w:rFonts w:eastAsia="Calibri" w:cs="Arial"/>
          <w:strike/>
          <w:szCs w:val="22"/>
          <w:lang w:eastAsia="en-US"/>
        </w:rPr>
      </w:pPr>
      <w:r w:rsidRPr="00A32846">
        <w:rPr>
          <w:rFonts w:eastAsia="Calibri" w:cs="Arial"/>
          <w:szCs w:val="22"/>
          <w:lang w:eastAsia="en-US"/>
        </w:rPr>
        <w:t>Support tourism and the visitor economy</w:t>
      </w:r>
      <w:r w:rsidR="0069385A" w:rsidRPr="00A32846">
        <w:rPr>
          <w:rFonts w:eastAsia="Calibri" w:cs="Arial"/>
          <w:szCs w:val="22"/>
          <w:lang w:eastAsia="en-US"/>
        </w:rPr>
        <w:t>.</w:t>
      </w:r>
      <w:r w:rsidRPr="00A32846">
        <w:rPr>
          <w:rFonts w:eastAsia="Calibri" w:cs="Arial"/>
          <w:szCs w:val="22"/>
          <w:lang w:eastAsia="en-US"/>
        </w:rPr>
        <w:t xml:space="preserve"> </w:t>
      </w:r>
    </w:p>
    <w:p w14:paraId="317403F7" w14:textId="77777777" w:rsidR="0080115E" w:rsidRPr="00A32846" w:rsidRDefault="0080115E" w:rsidP="002430A6">
      <w:pPr>
        <w:keepNext w:val="0"/>
        <w:autoSpaceDE w:val="0"/>
        <w:autoSpaceDN w:val="0"/>
        <w:adjustRightInd w:val="0"/>
        <w:spacing w:before="0"/>
        <w:rPr>
          <w:rFonts w:eastAsia="Arial" w:cs="Arial"/>
        </w:rPr>
      </w:pPr>
    </w:p>
    <w:p w14:paraId="4AC8EB94" w14:textId="77777777" w:rsidR="0080115E" w:rsidRPr="00E3260E" w:rsidRDefault="0080115E" w:rsidP="00F11936">
      <w:pPr>
        <w:keepNext w:val="0"/>
        <w:spacing w:before="0"/>
        <w:ind w:left="851"/>
        <w:rPr>
          <w:rFonts w:cs="Arial"/>
          <w:color w:val="auto"/>
          <w:szCs w:val="24"/>
          <w:lang w:eastAsia="en-US"/>
        </w:rPr>
      </w:pPr>
      <w:r w:rsidRPr="003C7E62">
        <w:rPr>
          <w:rFonts w:cs="Arial"/>
          <w:color w:val="auto"/>
          <w:szCs w:val="24"/>
          <w:lang w:eastAsia="en-US"/>
        </w:rPr>
        <w:t xml:space="preserve">Supporting Discover </w:t>
      </w:r>
      <w:r w:rsidRPr="00E3260E">
        <w:rPr>
          <w:rFonts w:cs="Arial"/>
          <w:color w:val="auto"/>
          <w:szCs w:val="24"/>
          <w:lang w:eastAsia="en-US"/>
        </w:rPr>
        <w:t xml:space="preserve">Ashfield remains an important aspect of promoting the economic opportunities of the </w:t>
      </w:r>
      <w:proofErr w:type="gramStart"/>
      <w:r w:rsidRPr="00E3260E">
        <w:rPr>
          <w:rFonts w:cs="Arial"/>
          <w:color w:val="auto"/>
          <w:szCs w:val="24"/>
          <w:lang w:eastAsia="en-US"/>
        </w:rPr>
        <w:t>District</w:t>
      </w:r>
      <w:proofErr w:type="gramEnd"/>
      <w:r w:rsidRPr="00E3260E">
        <w:rPr>
          <w:rFonts w:cs="Arial"/>
          <w:color w:val="auto"/>
          <w:szCs w:val="24"/>
          <w:lang w:eastAsia="en-US"/>
        </w:rPr>
        <w:t>.</w:t>
      </w:r>
    </w:p>
    <w:p w14:paraId="65B3DAAE" w14:textId="77777777" w:rsidR="0080115E" w:rsidRPr="00E3260E" w:rsidRDefault="0080115E" w:rsidP="00F11936">
      <w:pPr>
        <w:pStyle w:val="ListParagraph"/>
        <w:spacing w:after="0" w:line="240" w:lineRule="auto"/>
        <w:rPr>
          <w:rFonts w:ascii="Arial" w:hAnsi="Arial" w:cs="Arial"/>
          <w:b/>
          <w:bCs/>
          <w:color w:val="auto"/>
          <w:szCs w:val="24"/>
        </w:rPr>
      </w:pPr>
    </w:p>
    <w:p w14:paraId="0880C24E" w14:textId="0752D31B" w:rsidR="0080115E" w:rsidRPr="00702656" w:rsidRDefault="0080115E" w:rsidP="00874A98">
      <w:pPr>
        <w:keepNext w:val="0"/>
        <w:numPr>
          <w:ilvl w:val="1"/>
          <w:numId w:val="103"/>
        </w:numPr>
        <w:spacing w:before="0"/>
        <w:ind w:left="851" w:hanging="851"/>
        <w:rPr>
          <w:rFonts w:cs="Arial"/>
          <w:color w:val="auto"/>
          <w:szCs w:val="24"/>
          <w:lang w:eastAsia="en-US"/>
        </w:rPr>
      </w:pPr>
      <w:r w:rsidRPr="00E3260E">
        <w:rPr>
          <w:rFonts w:cs="Arial"/>
          <w:color w:val="auto"/>
          <w:szCs w:val="24"/>
          <w:lang w:eastAsia="en-US"/>
        </w:rPr>
        <w:t xml:space="preserve">To promote and </w:t>
      </w:r>
      <w:r w:rsidRPr="00702656">
        <w:rPr>
          <w:rFonts w:cs="Arial"/>
          <w:strike/>
          <w:color w:val="auto"/>
          <w:szCs w:val="24"/>
          <w:lang w:eastAsia="en-US"/>
        </w:rPr>
        <w:t>development</w:t>
      </w:r>
      <w:r w:rsidRPr="00702656">
        <w:rPr>
          <w:rFonts w:cs="Arial"/>
          <w:color w:val="auto"/>
          <w:szCs w:val="24"/>
          <w:lang w:eastAsia="en-US"/>
        </w:rPr>
        <w:t xml:space="preserve"> </w:t>
      </w:r>
      <w:r w:rsidR="007C5CC2" w:rsidRPr="00702656">
        <w:rPr>
          <w:rFonts w:cs="Arial"/>
          <w:color w:val="0070C0"/>
          <w:szCs w:val="24"/>
          <w:lang w:eastAsia="en-US"/>
        </w:rPr>
        <w:t xml:space="preserve">develop </w:t>
      </w:r>
      <w:r w:rsidRPr="00702656">
        <w:rPr>
          <w:rFonts w:cs="Arial"/>
          <w:color w:val="auto"/>
          <w:szCs w:val="24"/>
          <w:lang w:eastAsia="en-US"/>
        </w:rPr>
        <w:t xml:space="preserve">opportunities for tourism the Council will undertake </w:t>
      </w:r>
      <w:proofErr w:type="gramStart"/>
      <w:r w:rsidRPr="00702656">
        <w:rPr>
          <w:rFonts w:cs="Arial"/>
          <w:color w:val="auto"/>
          <w:szCs w:val="24"/>
          <w:lang w:eastAsia="en-US"/>
        </w:rPr>
        <w:t>a number of</w:t>
      </w:r>
      <w:proofErr w:type="gramEnd"/>
      <w:r w:rsidRPr="00702656">
        <w:rPr>
          <w:rFonts w:cs="Arial"/>
          <w:color w:val="auto"/>
          <w:szCs w:val="24"/>
          <w:lang w:eastAsia="en-US"/>
        </w:rPr>
        <w:t xml:space="preserve"> measures including:</w:t>
      </w:r>
    </w:p>
    <w:p w14:paraId="43670069" w14:textId="77777777" w:rsidR="00364726" w:rsidRPr="00702656" w:rsidRDefault="0080115E" w:rsidP="002430A6">
      <w:pPr>
        <w:pStyle w:val="ListParagraph"/>
        <w:numPr>
          <w:ilvl w:val="0"/>
          <w:numId w:val="335"/>
        </w:numPr>
        <w:tabs>
          <w:tab w:val="clear" w:pos="1211"/>
          <w:tab w:val="num" w:pos="1560"/>
        </w:tabs>
        <w:spacing w:after="0" w:line="240" w:lineRule="auto"/>
        <w:ind w:left="1418"/>
        <w:rPr>
          <w:rFonts w:ascii="Arial" w:hAnsi="Arial" w:cs="Arial"/>
          <w:color w:val="auto"/>
          <w:szCs w:val="24"/>
        </w:rPr>
      </w:pPr>
      <w:r w:rsidRPr="00702656">
        <w:rPr>
          <w:rFonts w:ascii="Arial" w:hAnsi="Arial" w:cs="Arial"/>
          <w:color w:val="auto"/>
          <w:szCs w:val="24"/>
        </w:rPr>
        <w:t>Safeguarding key landscape, ecological sensitive area and heritages asset including Old Teversal Village, Brierley Forest Park, Teversal Trails, Silverhill Woods, Thieves Wood, Kings Mill Reservoir and Portland Park;</w:t>
      </w:r>
    </w:p>
    <w:p w14:paraId="5987EEAF" w14:textId="77777777" w:rsidR="001B720A" w:rsidRPr="00702656" w:rsidRDefault="001B720A" w:rsidP="002430A6">
      <w:pPr>
        <w:pStyle w:val="ListParagraph"/>
        <w:tabs>
          <w:tab w:val="num" w:pos="1560"/>
        </w:tabs>
        <w:spacing w:after="0" w:line="240" w:lineRule="auto"/>
        <w:ind w:left="1418"/>
        <w:rPr>
          <w:rFonts w:ascii="Arial" w:hAnsi="Arial" w:cs="Arial"/>
          <w:color w:val="auto"/>
          <w:sz w:val="16"/>
          <w:szCs w:val="16"/>
        </w:rPr>
      </w:pPr>
    </w:p>
    <w:p w14:paraId="219F75E7" w14:textId="52A12CB8" w:rsidR="001B720A" w:rsidRPr="00702656" w:rsidRDefault="0080115E" w:rsidP="002430A6">
      <w:pPr>
        <w:pStyle w:val="ListParagraph"/>
        <w:numPr>
          <w:ilvl w:val="0"/>
          <w:numId w:val="335"/>
        </w:numPr>
        <w:tabs>
          <w:tab w:val="clear" w:pos="1211"/>
          <w:tab w:val="num" w:pos="1560"/>
        </w:tabs>
        <w:spacing w:after="0" w:line="240" w:lineRule="auto"/>
        <w:ind w:left="1418"/>
        <w:rPr>
          <w:rFonts w:ascii="Arial" w:hAnsi="Arial" w:cs="Arial"/>
          <w:color w:val="auto"/>
          <w:szCs w:val="24"/>
        </w:rPr>
      </w:pPr>
      <w:r w:rsidRPr="00702656">
        <w:rPr>
          <w:rFonts w:ascii="Arial" w:hAnsi="Arial" w:cs="Arial"/>
        </w:rPr>
        <w:t xml:space="preserve">Protecting </w:t>
      </w:r>
      <w:r w:rsidR="0069385A" w:rsidRPr="00702656">
        <w:rPr>
          <w:rFonts w:ascii="Arial" w:hAnsi="Arial" w:cs="Arial"/>
        </w:rPr>
        <w:t xml:space="preserve">and enhancing the historic environment; </w:t>
      </w:r>
      <w:r w:rsidRPr="00702656">
        <w:rPr>
          <w:rFonts w:ascii="Arial" w:hAnsi="Arial" w:cs="Arial"/>
        </w:rPr>
        <w:t>the historic parks and gardens of Hardwick Hall (those areas within Ashfield), Annesley Hall</w:t>
      </w:r>
      <w:r w:rsidR="00116286" w:rsidRPr="00702656">
        <w:rPr>
          <w:rFonts w:ascii="Arial" w:hAnsi="Arial" w:cs="Arial"/>
        </w:rPr>
        <w:t xml:space="preserve"> </w:t>
      </w:r>
      <w:r w:rsidR="00116286" w:rsidRPr="00702656">
        <w:rPr>
          <w:rFonts w:ascii="Arial" w:hAnsi="Arial" w:cs="Arial"/>
          <w:color w:val="0070C0"/>
        </w:rPr>
        <w:t>(identified on Historic England’s Heritage at Risk Register)</w:t>
      </w:r>
      <w:r w:rsidRPr="00702656">
        <w:rPr>
          <w:rFonts w:ascii="Arial" w:hAnsi="Arial" w:cs="Arial"/>
        </w:rPr>
        <w:t>, and Skegby Hal</w:t>
      </w:r>
      <w:r w:rsidR="008D51C2" w:rsidRPr="00702656">
        <w:rPr>
          <w:rFonts w:ascii="Arial" w:hAnsi="Arial" w:cs="Arial"/>
        </w:rPr>
        <w:t>l;</w:t>
      </w:r>
    </w:p>
    <w:p w14:paraId="61A0E748" w14:textId="77777777" w:rsidR="00CB6138" w:rsidRPr="000E3EB6" w:rsidRDefault="00CB6138" w:rsidP="002430A6">
      <w:pPr>
        <w:pStyle w:val="ListParagraph"/>
        <w:tabs>
          <w:tab w:val="num" w:pos="1560"/>
        </w:tabs>
        <w:spacing w:after="0" w:line="240" w:lineRule="auto"/>
        <w:ind w:left="1418"/>
        <w:rPr>
          <w:rFonts w:ascii="Arial" w:hAnsi="Arial" w:cs="Arial"/>
          <w:color w:val="auto"/>
          <w:sz w:val="16"/>
          <w:szCs w:val="16"/>
        </w:rPr>
      </w:pPr>
    </w:p>
    <w:p w14:paraId="30E26ABE" w14:textId="4E850F18" w:rsidR="00364726" w:rsidRPr="001B720A" w:rsidRDefault="0080115E" w:rsidP="002430A6">
      <w:pPr>
        <w:pStyle w:val="ListParagraph"/>
        <w:numPr>
          <w:ilvl w:val="0"/>
          <w:numId w:val="335"/>
        </w:numPr>
        <w:tabs>
          <w:tab w:val="clear" w:pos="1211"/>
          <w:tab w:val="num" w:pos="1560"/>
        </w:tabs>
        <w:spacing w:after="0" w:line="240" w:lineRule="auto"/>
        <w:ind w:left="1418"/>
        <w:rPr>
          <w:rFonts w:ascii="Arial" w:hAnsi="Arial" w:cs="Arial"/>
          <w:color w:val="auto"/>
          <w:szCs w:val="24"/>
        </w:rPr>
      </w:pPr>
      <w:r w:rsidRPr="00364726">
        <w:rPr>
          <w:rFonts w:ascii="Arial" w:hAnsi="Arial" w:cs="Arial"/>
        </w:rPr>
        <w:t>Supporting the development of appropriate visitor-related attractions and facilities where opportunities arise</w:t>
      </w:r>
      <w:r w:rsidR="001B720A">
        <w:rPr>
          <w:rFonts w:ascii="Arial" w:hAnsi="Arial" w:cs="Arial"/>
        </w:rPr>
        <w:t>;</w:t>
      </w:r>
    </w:p>
    <w:p w14:paraId="0ADF9AEF" w14:textId="77777777" w:rsidR="00CB6138" w:rsidRPr="000E3EB6" w:rsidRDefault="00CB6138" w:rsidP="002430A6">
      <w:pPr>
        <w:pStyle w:val="ListParagraph"/>
        <w:tabs>
          <w:tab w:val="num" w:pos="1560"/>
        </w:tabs>
        <w:spacing w:after="0" w:line="240" w:lineRule="auto"/>
        <w:ind w:left="1418"/>
        <w:rPr>
          <w:rFonts w:ascii="Arial" w:hAnsi="Arial" w:cs="Arial"/>
          <w:color w:val="auto"/>
          <w:sz w:val="16"/>
          <w:szCs w:val="16"/>
        </w:rPr>
      </w:pPr>
    </w:p>
    <w:p w14:paraId="7DC692CE" w14:textId="2661A40F" w:rsidR="00364726" w:rsidRPr="001B720A" w:rsidRDefault="0080115E" w:rsidP="002430A6">
      <w:pPr>
        <w:pStyle w:val="ListParagraph"/>
        <w:numPr>
          <w:ilvl w:val="0"/>
          <w:numId w:val="335"/>
        </w:numPr>
        <w:tabs>
          <w:tab w:val="clear" w:pos="1211"/>
          <w:tab w:val="num" w:pos="1560"/>
        </w:tabs>
        <w:spacing w:after="0" w:line="240" w:lineRule="auto"/>
        <w:ind w:left="1418"/>
        <w:rPr>
          <w:rFonts w:ascii="Arial" w:hAnsi="Arial" w:cs="Arial"/>
          <w:color w:val="auto"/>
          <w:szCs w:val="24"/>
        </w:rPr>
      </w:pPr>
      <w:r w:rsidRPr="00364726">
        <w:rPr>
          <w:rFonts w:ascii="Arial" w:hAnsi="Arial" w:cs="Arial"/>
        </w:rPr>
        <w:t xml:space="preserve">Supporting the development and improvement of rural trails and cycle routes; </w:t>
      </w:r>
    </w:p>
    <w:p w14:paraId="1822C72E" w14:textId="77777777" w:rsidR="001B720A" w:rsidRPr="000E3EB6" w:rsidRDefault="001B720A" w:rsidP="002430A6">
      <w:pPr>
        <w:pStyle w:val="ListParagraph"/>
        <w:tabs>
          <w:tab w:val="num" w:pos="1560"/>
        </w:tabs>
        <w:spacing w:after="0" w:line="240" w:lineRule="auto"/>
        <w:ind w:left="1418"/>
        <w:rPr>
          <w:rFonts w:ascii="Arial" w:hAnsi="Arial" w:cs="Arial"/>
          <w:color w:val="auto"/>
          <w:sz w:val="16"/>
          <w:szCs w:val="16"/>
        </w:rPr>
      </w:pPr>
    </w:p>
    <w:p w14:paraId="32213351" w14:textId="49B81B12" w:rsidR="000E3EB6" w:rsidRPr="00E3260E" w:rsidRDefault="0080115E" w:rsidP="002430A6">
      <w:pPr>
        <w:pStyle w:val="ListParagraph"/>
        <w:numPr>
          <w:ilvl w:val="0"/>
          <w:numId w:val="335"/>
        </w:numPr>
        <w:tabs>
          <w:tab w:val="clear" w:pos="1211"/>
          <w:tab w:val="num" w:pos="1560"/>
        </w:tabs>
        <w:spacing w:after="0" w:line="240" w:lineRule="auto"/>
        <w:ind w:left="1418"/>
        <w:rPr>
          <w:rFonts w:cs="Arial"/>
          <w:color w:val="auto"/>
          <w:szCs w:val="24"/>
        </w:rPr>
      </w:pPr>
      <w:r w:rsidRPr="000E3EB6">
        <w:rPr>
          <w:rFonts w:ascii="Arial" w:hAnsi="Arial" w:cs="Arial"/>
        </w:rPr>
        <w:t>Developing and supporting the evening economy in the town centres of Hucknall,</w:t>
      </w:r>
      <w:r w:rsidRPr="000E3EB6">
        <w:rPr>
          <w:rFonts w:ascii="Arial" w:hAnsi="Arial" w:cs="Arial"/>
          <w:color w:val="auto"/>
          <w:szCs w:val="24"/>
        </w:rPr>
        <w:t xml:space="preserve"> Sutton in Ashfield and Kirkby-in-Ashfield; and</w:t>
      </w:r>
    </w:p>
    <w:p w14:paraId="748139A8" w14:textId="77777777" w:rsidR="00E3260E" w:rsidRPr="00E3260E" w:rsidRDefault="00E3260E" w:rsidP="002430A6">
      <w:pPr>
        <w:pStyle w:val="ListParagraph"/>
        <w:spacing w:after="0" w:line="240" w:lineRule="auto"/>
        <w:rPr>
          <w:rFonts w:cs="Arial"/>
          <w:color w:val="auto"/>
          <w:szCs w:val="24"/>
        </w:rPr>
      </w:pPr>
    </w:p>
    <w:p w14:paraId="768689AB" w14:textId="35B973C2" w:rsidR="00743F63" w:rsidRPr="00E3260E" w:rsidRDefault="001012CC" w:rsidP="002430A6">
      <w:pPr>
        <w:pStyle w:val="ListParagraph"/>
        <w:numPr>
          <w:ilvl w:val="0"/>
          <w:numId w:val="335"/>
        </w:numPr>
        <w:tabs>
          <w:tab w:val="clear" w:pos="1211"/>
          <w:tab w:val="num" w:pos="1418"/>
        </w:tabs>
        <w:spacing w:after="0" w:line="240" w:lineRule="auto"/>
        <w:ind w:left="1418"/>
        <w:rPr>
          <w:rFonts w:ascii="Arial" w:hAnsi="Arial" w:cs="Arial"/>
          <w:color w:val="auto"/>
          <w:szCs w:val="24"/>
        </w:rPr>
      </w:pPr>
      <w:r>
        <w:rPr>
          <w:rFonts w:ascii="Arial" w:hAnsi="Arial" w:cs="Arial"/>
          <w:color w:val="auto"/>
          <w:szCs w:val="24"/>
        </w:rPr>
        <w:t>S</w:t>
      </w:r>
      <w:r w:rsidR="0080115E" w:rsidRPr="00364726">
        <w:rPr>
          <w:rFonts w:ascii="Arial" w:hAnsi="Arial" w:cs="Arial"/>
          <w:color w:val="auto"/>
          <w:szCs w:val="24"/>
        </w:rPr>
        <w:t xml:space="preserve">upporting tourism related initiatives in Hucknall, Sutton in Ashfield and Kirkby-in-Ashfield including schemes, which improve the accessibility of </w:t>
      </w:r>
      <w:r w:rsidR="008D51C2" w:rsidRPr="00364726">
        <w:rPr>
          <w:rFonts w:ascii="Arial" w:hAnsi="Arial" w:cs="Arial"/>
          <w:color w:val="auto"/>
          <w:szCs w:val="24"/>
        </w:rPr>
        <w:t xml:space="preserve">areas potentially attractive to </w:t>
      </w:r>
      <w:r w:rsidR="0080115E" w:rsidRPr="00364726">
        <w:rPr>
          <w:rFonts w:ascii="Arial" w:hAnsi="Arial" w:cs="Arial"/>
          <w:color w:val="auto"/>
          <w:szCs w:val="24"/>
        </w:rPr>
        <w:t>tourist.</w:t>
      </w:r>
      <w:r w:rsidR="0080115E" w:rsidRPr="00364726">
        <w:rPr>
          <w:rFonts w:cs="Arial"/>
          <w:color w:val="auto"/>
          <w:szCs w:val="24"/>
        </w:rPr>
        <w:t xml:space="preserve"> </w:t>
      </w:r>
    </w:p>
    <w:p w14:paraId="1AFAC190" w14:textId="77777777" w:rsidR="00702656" w:rsidRDefault="00702656" w:rsidP="009D5737">
      <w:pPr>
        <w:pStyle w:val="Heading2"/>
        <w:jc w:val="left"/>
        <w:rPr>
          <w:sz w:val="28"/>
          <w:szCs w:val="28"/>
        </w:rPr>
      </w:pPr>
      <w:bookmarkStart w:id="89" w:name="_Toc145511561"/>
    </w:p>
    <w:p w14:paraId="0A1093DB" w14:textId="77777777" w:rsidR="0091749B" w:rsidRDefault="0091749B" w:rsidP="009D5737">
      <w:pPr>
        <w:pStyle w:val="Heading2"/>
        <w:jc w:val="left"/>
        <w:rPr>
          <w:sz w:val="28"/>
          <w:szCs w:val="28"/>
        </w:rPr>
      </w:pPr>
    </w:p>
    <w:p w14:paraId="2829EB2E" w14:textId="71635068" w:rsidR="005F229B" w:rsidRPr="009D5737" w:rsidRDefault="009B0877" w:rsidP="009D5737">
      <w:pPr>
        <w:pStyle w:val="Heading2"/>
        <w:jc w:val="left"/>
        <w:rPr>
          <w:sz w:val="28"/>
          <w:szCs w:val="28"/>
        </w:rPr>
      </w:pPr>
      <w:r w:rsidRPr="009D5737">
        <w:rPr>
          <w:sz w:val="28"/>
          <w:szCs w:val="28"/>
        </w:rPr>
        <w:t xml:space="preserve">Strategic Policy </w:t>
      </w:r>
      <w:r w:rsidR="005F229B" w:rsidRPr="009D5737">
        <w:rPr>
          <w:sz w:val="28"/>
          <w:szCs w:val="28"/>
        </w:rPr>
        <w:t>S</w:t>
      </w:r>
      <w:r w:rsidR="005908AA" w:rsidRPr="009D5737">
        <w:rPr>
          <w:sz w:val="28"/>
          <w:szCs w:val="28"/>
        </w:rPr>
        <w:t>9</w:t>
      </w:r>
      <w:r w:rsidR="005F229B" w:rsidRPr="009D5737">
        <w:rPr>
          <w:sz w:val="28"/>
          <w:szCs w:val="28"/>
        </w:rPr>
        <w:t xml:space="preserve">: </w:t>
      </w:r>
      <w:r w:rsidR="00162A7B" w:rsidRPr="009D5737">
        <w:rPr>
          <w:sz w:val="28"/>
          <w:szCs w:val="28"/>
        </w:rPr>
        <w:t>Aligning Growth and Infrastructure</w:t>
      </w:r>
      <w:bookmarkEnd w:id="89"/>
      <w:r w:rsidR="00162A7B" w:rsidRPr="009D5737">
        <w:rPr>
          <w:sz w:val="28"/>
          <w:szCs w:val="28"/>
        </w:rPr>
        <w:t xml:space="preserve"> </w:t>
      </w:r>
    </w:p>
    <w:p w14:paraId="34A4A740" w14:textId="77777777" w:rsidR="00CF4EF1" w:rsidRPr="003C7E62" w:rsidRDefault="00CF4EF1" w:rsidP="00CF4EF1">
      <w:pPr>
        <w:keepNext w:val="0"/>
        <w:tabs>
          <w:tab w:val="left" w:pos="680"/>
          <w:tab w:val="left" w:pos="1133"/>
          <w:tab w:val="left" w:pos="2267"/>
        </w:tabs>
        <w:spacing w:before="0"/>
        <w:ind w:right="284"/>
        <w:rPr>
          <w:rFonts w:eastAsia="Arial" w:cs="Arial"/>
          <w:b/>
          <w:color w:val="auto"/>
          <w:szCs w:val="24"/>
        </w:rPr>
      </w:pPr>
    </w:p>
    <w:tbl>
      <w:tblPr>
        <w:tblStyle w:val="ReportTable1"/>
        <w:tblW w:w="0" w:type="auto"/>
        <w:tblLook w:val="04A0" w:firstRow="1" w:lastRow="0" w:firstColumn="1" w:lastColumn="0" w:noHBand="0" w:noVBand="1"/>
      </w:tblPr>
      <w:tblGrid>
        <w:gridCol w:w="1838"/>
        <w:gridCol w:w="783"/>
        <w:gridCol w:w="6872"/>
      </w:tblGrid>
      <w:tr w:rsidR="000A144B" w:rsidRPr="003C7E62" w14:paraId="506EE76D" w14:textId="77777777" w:rsidTr="003C413D">
        <w:trPr>
          <w:trHeight w:val="249"/>
        </w:trPr>
        <w:tc>
          <w:tcPr>
            <w:tcW w:w="9493" w:type="dxa"/>
            <w:gridSpan w:val="3"/>
          </w:tcPr>
          <w:p w14:paraId="4E417FBF" w14:textId="77777777" w:rsidR="009B4089" w:rsidRDefault="009B4089" w:rsidP="000A144B">
            <w:pPr>
              <w:spacing w:before="0"/>
              <w:outlineLvl w:val="1"/>
              <w:rPr>
                <w:rFonts w:cs="Arial"/>
                <w:b/>
                <w:bCs/>
                <w:color w:val="auto"/>
                <w:szCs w:val="24"/>
                <w:lang w:eastAsia="en-US"/>
              </w:rPr>
            </w:pPr>
            <w:bookmarkStart w:id="90" w:name="_Hlk78262645"/>
          </w:p>
          <w:p w14:paraId="505E5A02" w14:textId="36BA52AE" w:rsidR="000A144B" w:rsidRDefault="000A144B" w:rsidP="009E6F00">
            <w:pPr>
              <w:rPr>
                <w:rFonts w:cs="Arial"/>
                <w:b/>
                <w:bCs/>
                <w:iCs/>
                <w:color w:val="auto"/>
                <w:szCs w:val="24"/>
                <w:lang w:eastAsia="en-US"/>
              </w:rPr>
            </w:pPr>
            <w:r w:rsidRPr="003C7E62">
              <w:rPr>
                <w:rFonts w:cs="Arial"/>
                <w:b/>
                <w:bCs/>
                <w:color w:val="auto"/>
                <w:szCs w:val="24"/>
                <w:lang w:eastAsia="en-US"/>
              </w:rPr>
              <w:t xml:space="preserve">Strategic Policy </w:t>
            </w:r>
            <w:r w:rsidRPr="00A32846">
              <w:rPr>
                <w:rFonts w:cs="Arial"/>
                <w:b/>
                <w:bCs/>
                <w:iCs/>
                <w:szCs w:val="24"/>
                <w:lang w:eastAsia="en-US"/>
              </w:rPr>
              <w:t>S</w:t>
            </w:r>
            <w:r w:rsidR="005908AA" w:rsidRPr="00A32846">
              <w:rPr>
                <w:rFonts w:cs="Arial"/>
                <w:b/>
                <w:bCs/>
                <w:iCs/>
                <w:szCs w:val="24"/>
                <w:lang w:eastAsia="en-US"/>
              </w:rPr>
              <w:t>9</w:t>
            </w:r>
            <w:r w:rsidRPr="00A32846">
              <w:rPr>
                <w:rFonts w:cs="Arial"/>
                <w:b/>
                <w:bCs/>
                <w:iCs/>
                <w:szCs w:val="24"/>
                <w:lang w:eastAsia="en-US"/>
              </w:rPr>
              <w:t>:</w:t>
            </w:r>
            <w:r w:rsidR="00162A7B" w:rsidRPr="00A32846">
              <w:t xml:space="preserve"> </w:t>
            </w:r>
            <w:r w:rsidR="00162A7B" w:rsidRPr="00162A7B">
              <w:rPr>
                <w:rFonts w:cs="Arial"/>
                <w:b/>
                <w:bCs/>
                <w:iCs/>
                <w:color w:val="auto"/>
                <w:szCs w:val="24"/>
                <w:lang w:eastAsia="en-US"/>
              </w:rPr>
              <w:t>Aligning Growth and Infrastructure</w:t>
            </w:r>
          </w:p>
          <w:p w14:paraId="2EF38CD7" w14:textId="51A8B616" w:rsidR="009B4089" w:rsidRPr="003C7E62" w:rsidRDefault="009B4089" w:rsidP="000A144B">
            <w:pPr>
              <w:spacing w:before="0"/>
              <w:outlineLvl w:val="1"/>
              <w:rPr>
                <w:rFonts w:cs="Arial"/>
                <w:b/>
                <w:bCs/>
                <w:iCs/>
                <w:color w:val="auto"/>
                <w:szCs w:val="24"/>
                <w:lang w:eastAsia="en-US"/>
              </w:rPr>
            </w:pPr>
          </w:p>
        </w:tc>
      </w:tr>
      <w:tr w:rsidR="00CF4EF1" w:rsidRPr="003C7E62" w14:paraId="17D2D37B" w14:textId="77777777" w:rsidTr="003C413D">
        <w:tc>
          <w:tcPr>
            <w:tcW w:w="2621" w:type="dxa"/>
            <w:gridSpan w:val="2"/>
          </w:tcPr>
          <w:p w14:paraId="1EAED71E" w14:textId="77777777" w:rsidR="00CF4EF1" w:rsidRPr="00F11936" w:rsidRDefault="00CF4EF1" w:rsidP="00CF4EF1">
            <w:pPr>
              <w:keepNext w:val="0"/>
              <w:tabs>
                <w:tab w:val="left" w:pos="680"/>
              </w:tabs>
              <w:spacing w:before="40" w:after="40"/>
              <w:rPr>
                <w:rFonts w:eastAsia="Arial" w:cs="Arial"/>
                <w:bCs/>
                <w:color w:val="auto"/>
              </w:rPr>
            </w:pPr>
            <w:r w:rsidRPr="00F11936">
              <w:rPr>
                <w:rFonts w:eastAsia="Arial" w:cs="Arial"/>
                <w:bCs/>
                <w:color w:val="auto"/>
              </w:rPr>
              <w:t>Strategic Objectives</w:t>
            </w:r>
          </w:p>
        </w:tc>
        <w:tc>
          <w:tcPr>
            <w:tcW w:w="6872" w:type="dxa"/>
          </w:tcPr>
          <w:p w14:paraId="347F6F05" w14:textId="6CBB6F86" w:rsidR="00CF4EF1" w:rsidRPr="008634A8" w:rsidRDefault="00CF4EF1" w:rsidP="00CF4EF1">
            <w:pPr>
              <w:keepNext w:val="0"/>
              <w:tabs>
                <w:tab w:val="left" w:pos="680"/>
              </w:tabs>
              <w:spacing w:before="40" w:after="40"/>
              <w:rPr>
                <w:rFonts w:eastAsia="Arial" w:cs="Arial"/>
                <w:bCs/>
                <w:color w:val="auto"/>
                <w:highlight w:val="yellow"/>
              </w:rPr>
            </w:pPr>
            <w:r w:rsidRPr="008634A8">
              <w:rPr>
                <w:rFonts w:eastAsia="Arial" w:cs="Arial"/>
                <w:bCs/>
                <w:color w:val="auto"/>
              </w:rPr>
              <w:t>SO1, SO2, SO3, SO4, SO5, SO6, SO7, SO8, SO9, SO10, SO11, SO12, SO13, SO14</w:t>
            </w:r>
          </w:p>
        </w:tc>
      </w:tr>
      <w:tr w:rsidR="00CF4EF1" w:rsidRPr="003C7E62" w14:paraId="029B7B53" w14:textId="77777777" w:rsidTr="003C413D">
        <w:tc>
          <w:tcPr>
            <w:tcW w:w="9493" w:type="dxa"/>
            <w:gridSpan w:val="3"/>
            <w:shd w:val="clear" w:color="auto" w:fill="D9D9D9"/>
          </w:tcPr>
          <w:p w14:paraId="0E07E629" w14:textId="77777777" w:rsidR="00CF4EF1" w:rsidRPr="00A32846" w:rsidRDefault="00CF4EF1" w:rsidP="0069385A">
            <w:pPr>
              <w:keepNext w:val="0"/>
              <w:tabs>
                <w:tab w:val="left" w:pos="680"/>
                <w:tab w:val="left" w:pos="1133"/>
                <w:tab w:val="left" w:pos="2267"/>
              </w:tabs>
              <w:spacing w:before="0"/>
              <w:ind w:left="283" w:right="284"/>
              <w:rPr>
                <w:rFonts w:eastAsia="Arial" w:cs="Arial"/>
                <w:b/>
                <w:szCs w:val="24"/>
              </w:rPr>
            </w:pPr>
          </w:p>
          <w:p w14:paraId="1C24CF5E" w14:textId="5401278F" w:rsidR="00A825A2" w:rsidRPr="00A32846" w:rsidRDefault="00CF4EF1" w:rsidP="0069385A">
            <w:pPr>
              <w:keepNext w:val="0"/>
              <w:numPr>
                <w:ilvl w:val="0"/>
                <w:numId w:val="38"/>
              </w:numPr>
              <w:tabs>
                <w:tab w:val="left" w:pos="680"/>
                <w:tab w:val="left" w:pos="1133"/>
                <w:tab w:val="left" w:pos="2267"/>
              </w:tabs>
              <w:spacing w:before="0"/>
              <w:ind w:left="357" w:right="284"/>
              <w:rPr>
                <w:rFonts w:eastAsia="Arial" w:cs="Arial"/>
                <w:bCs/>
                <w:szCs w:val="24"/>
              </w:rPr>
            </w:pPr>
            <w:bookmarkStart w:id="91" w:name="_Hlk153371136"/>
            <w:r w:rsidRPr="00A32846">
              <w:rPr>
                <w:rFonts w:eastAsia="Arial" w:cs="Arial"/>
                <w:bCs/>
              </w:rPr>
              <w:t>The Council will work with partners, neighbouring councils, infrastructure providers, developers and stakeholders to facilitate the requirements for economic, social and environmental infrastructure to support development</w:t>
            </w:r>
            <w:bookmarkEnd w:id="91"/>
            <w:r w:rsidRPr="00A32846">
              <w:rPr>
                <w:rFonts w:eastAsia="Arial" w:cs="Arial"/>
                <w:bCs/>
              </w:rPr>
              <w:t xml:space="preserve">.  </w:t>
            </w:r>
            <w:r w:rsidR="00A825A2" w:rsidRPr="00A32846">
              <w:rPr>
                <w:rFonts w:eastAsia="Calibri" w:cs="Arial"/>
                <w:szCs w:val="24"/>
              </w:rPr>
              <w:t xml:space="preserve">Priorities for infrastructure provision in the </w:t>
            </w:r>
            <w:proofErr w:type="gramStart"/>
            <w:r w:rsidR="00A825A2" w:rsidRPr="00A32846">
              <w:rPr>
                <w:rFonts w:eastAsia="Calibri" w:cs="Arial"/>
                <w:szCs w:val="24"/>
              </w:rPr>
              <w:t>District</w:t>
            </w:r>
            <w:proofErr w:type="gramEnd"/>
            <w:r w:rsidR="00A825A2" w:rsidRPr="00A32846">
              <w:rPr>
                <w:rFonts w:eastAsia="Calibri" w:cs="Arial"/>
                <w:szCs w:val="24"/>
              </w:rPr>
              <w:t xml:space="preserve"> include:</w:t>
            </w:r>
          </w:p>
          <w:p w14:paraId="4B340E02" w14:textId="77777777" w:rsidR="00A825A2" w:rsidRPr="00A32846" w:rsidRDefault="00A825A2" w:rsidP="0069385A">
            <w:pPr>
              <w:keepNext w:val="0"/>
              <w:tabs>
                <w:tab w:val="left" w:pos="680"/>
                <w:tab w:val="left" w:pos="1133"/>
                <w:tab w:val="left" w:pos="2267"/>
              </w:tabs>
              <w:spacing w:before="0"/>
              <w:ind w:right="284"/>
              <w:rPr>
                <w:rFonts w:eastAsia="Arial" w:cs="Arial"/>
                <w:szCs w:val="24"/>
              </w:rPr>
            </w:pPr>
          </w:p>
          <w:p w14:paraId="6B161DC2" w14:textId="3846F014" w:rsidR="00902FA5" w:rsidRPr="00A32846" w:rsidRDefault="00902FA5" w:rsidP="0069385A">
            <w:pPr>
              <w:keepNext w:val="0"/>
              <w:numPr>
                <w:ilvl w:val="0"/>
                <w:numId w:val="43"/>
              </w:numPr>
              <w:spacing w:before="0"/>
              <w:ind w:left="720" w:right="284"/>
              <w:contextualSpacing/>
              <w:rPr>
                <w:rFonts w:eastAsia="Arial" w:cs="Arial"/>
                <w:szCs w:val="24"/>
              </w:rPr>
            </w:pPr>
            <w:r w:rsidRPr="00A32846">
              <w:rPr>
                <w:rFonts w:eastAsia="Arial" w:cs="Arial"/>
                <w:szCs w:val="24"/>
              </w:rPr>
              <w:t xml:space="preserve">Working with utility providers to enable physical infrastructure to </w:t>
            </w:r>
            <w:r w:rsidR="00CA1F11" w:rsidRPr="00A32846">
              <w:rPr>
                <w:rFonts w:eastAsia="Arial" w:cs="Arial"/>
                <w:szCs w:val="24"/>
              </w:rPr>
              <w:t>be coordinated</w:t>
            </w:r>
            <w:r w:rsidRPr="00A32846">
              <w:rPr>
                <w:rFonts w:eastAsia="Arial" w:cs="Arial"/>
                <w:szCs w:val="24"/>
              </w:rPr>
              <w:t xml:space="preserve"> with the requirements arising from new development. </w:t>
            </w:r>
          </w:p>
          <w:p w14:paraId="618D43C0" w14:textId="77777777" w:rsidR="00902FA5" w:rsidRPr="00A32846" w:rsidRDefault="00902FA5" w:rsidP="0069385A">
            <w:pPr>
              <w:keepNext w:val="0"/>
              <w:spacing w:before="0"/>
              <w:ind w:left="720" w:right="284"/>
              <w:contextualSpacing/>
              <w:rPr>
                <w:rFonts w:eastAsia="Arial" w:cs="Arial"/>
                <w:szCs w:val="24"/>
              </w:rPr>
            </w:pPr>
          </w:p>
          <w:p w14:paraId="270A39CC" w14:textId="159BC061" w:rsidR="00A825A2" w:rsidRPr="00A32846" w:rsidRDefault="00A825A2" w:rsidP="0069385A">
            <w:pPr>
              <w:keepNext w:val="0"/>
              <w:numPr>
                <w:ilvl w:val="0"/>
                <w:numId w:val="43"/>
              </w:numPr>
              <w:spacing w:before="0"/>
              <w:ind w:left="720" w:right="284"/>
              <w:contextualSpacing/>
              <w:rPr>
                <w:rFonts w:eastAsia="Arial" w:cs="Arial"/>
                <w:szCs w:val="24"/>
              </w:rPr>
            </w:pPr>
            <w:r w:rsidRPr="00A32846">
              <w:rPr>
                <w:rFonts w:eastAsia="Arial" w:cs="Arial"/>
                <w:szCs w:val="24"/>
              </w:rPr>
              <w:t>Provi</w:t>
            </w:r>
            <w:r w:rsidR="00231A34" w:rsidRPr="00A32846">
              <w:rPr>
                <w:rFonts w:eastAsia="Arial" w:cs="Arial"/>
                <w:szCs w:val="24"/>
              </w:rPr>
              <w:t xml:space="preserve">sion of </w:t>
            </w:r>
            <w:r w:rsidRPr="00A32846">
              <w:rPr>
                <w:rFonts w:eastAsia="Arial" w:cs="Arial"/>
                <w:szCs w:val="24"/>
              </w:rPr>
              <w:t>sufficient school places in the form of expanded or new primary and secondary schools with larger developments setting aside land and/or contributing to the cost of delivering land for new schools where required</w:t>
            </w:r>
            <w:r w:rsidR="00627321" w:rsidRPr="00A32846">
              <w:rPr>
                <w:rFonts w:eastAsia="Arial" w:cs="Arial"/>
                <w:szCs w:val="24"/>
              </w:rPr>
              <w:t>.</w:t>
            </w:r>
          </w:p>
          <w:p w14:paraId="4E57FD22" w14:textId="77777777" w:rsidR="00A825A2" w:rsidRPr="00A32846" w:rsidRDefault="00A825A2" w:rsidP="0069385A">
            <w:pPr>
              <w:keepNext w:val="0"/>
              <w:tabs>
                <w:tab w:val="left" w:pos="680"/>
                <w:tab w:val="left" w:pos="1133"/>
                <w:tab w:val="left" w:pos="2267"/>
              </w:tabs>
              <w:spacing w:before="0"/>
              <w:ind w:right="284"/>
              <w:contextualSpacing/>
              <w:rPr>
                <w:rFonts w:eastAsia="Arial" w:cs="Arial"/>
                <w:szCs w:val="24"/>
              </w:rPr>
            </w:pPr>
            <w:r w:rsidRPr="00A32846">
              <w:rPr>
                <w:rFonts w:eastAsia="Arial" w:cs="Arial"/>
                <w:szCs w:val="24"/>
              </w:rPr>
              <w:t xml:space="preserve"> </w:t>
            </w:r>
          </w:p>
          <w:p w14:paraId="2096D9C5" w14:textId="31CE17DD" w:rsidR="00A825A2" w:rsidRPr="00A32846" w:rsidRDefault="00A825A2" w:rsidP="0069385A">
            <w:pPr>
              <w:keepNext w:val="0"/>
              <w:numPr>
                <w:ilvl w:val="0"/>
                <w:numId w:val="43"/>
              </w:numPr>
              <w:spacing w:before="0"/>
              <w:ind w:left="720" w:right="284"/>
              <w:contextualSpacing/>
              <w:rPr>
                <w:rFonts w:eastAsia="Arial" w:cs="Arial"/>
                <w:szCs w:val="24"/>
              </w:rPr>
            </w:pPr>
            <w:r w:rsidRPr="00A32846">
              <w:rPr>
                <w:rFonts w:eastAsia="Arial" w:cs="Arial"/>
                <w:szCs w:val="24"/>
              </w:rPr>
              <w:t>Facilitat</w:t>
            </w:r>
            <w:r w:rsidR="00864294" w:rsidRPr="00A32846">
              <w:rPr>
                <w:rFonts w:eastAsia="Arial" w:cs="Arial"/>
                <w:szCs w:val="24"/>
              </w:rPr>
              <w:t>ing</w:t>
            </w:r>
            <w:r w:rsidRPr="00A32846">
              <w:rPr>
                <w:rFonts w:eastAsia="Arial" w:cs="Arial"/>
                <w:szCs w:val="24"/>
              </w:rPr>
              <w:t xml:space="preserve"> and support</w:t>
            </w:r>
            <w:r w:rsidR="00864294" w:rsidRPr="00A32846">
              <w:rPr>
                <w:rFonts w:eastAsia="Arial" w:cs="Arial"/>
                <w:szCs w:val="24"/>
              </w:rPr>
              <w:t>ing</w:t>
            </w:r>
            <w:r w:rsidRPr="00A32846">
              <w:rPr>
                <w:rFonts w:eastAsia="Arial" w:cs="Arial"/>
                <w:szCs w:val="24"/>
              </w:rPr>
              <w:t xml:space="preserve"> provision of practical vocational training, apprenticeships, and further and higher education</w:t>
            </w:r>
            <w:r w:rsidR="00627321" w:rsidRPr="00A32846">
              <w:rPr>
                <w:rFonts w:eastAsia="Arial" w:cs="Arial"/>
                <w:szCs w:val="24"/>
              </w:rPr>
              <w:t>.</w:t>
            </w:r>
          </w:p>
          <w:p w14:paraId="562D1AEE" w14:textId="77777777" w:rsidR="00A825A2" w:rsidRPr="00A32846" w:rsidRDefault="00A825A2" w:rsidP="0069385A">
            <w:pPr>
              <w:keepNext w:val="0"/>
              <w:tabs>
                <w:tab w:val="left" w:pos="680"/>
                <w:tab w:val="left" w:pos="1133"/>
                <w:tab w:val="left" w:pos="2267"/>
              </w:tabs>
              <w:spacing w:before="0"/>
              <w:ind w:right="284"/>
              <w:contextualSpacing/>
              <w:rPr>
                <w:rFonts w:eastAsia="Arial" w:cs="Arial"/>
                <w:szCs w:val="24"/>
              </w:rPr>
            </w:pPr>
          </w:p>
          <w:p w14:paraId="1B6EF76D" w14:textId="34C7EDAF" w:rsidR="00A825A2" w:rsidRPr="00A32846" w:rsidRDefault="00A825A2" w:rsidP="0069385A">
            <w:pPr>
              <w:keepNext w:val="0"/>
              <w:numPr>
                <w:ilvl w:val="0"/>
                <w:numId w:val="43"/>
              </w:numPr>
              <w:spacing w:before="0"/>
              <w:ind w:left="720" w:right="284"/>
              <w:contextualSpacing/>
              <w:rPr>
                <w:rFonts w:eastAsia="Arial" w:cs="Arial"/>
                <w:szCs w:val="24"/>
              </w:rPr>
            </w:pPr>
            <w:r w:rsidRPr="00A32846">
              <w:rPr>
                <w:rFonts w:eastAsia="Arial" w:cs="Arial"/>
                <w:szCs w:val="24"/>
              </w:rPr>
              <w:t>Ensur</w:t>
            </w:r>
            <w:r w:rsidR="00864294" w:rsidRPr="00A32846">
              <w:rPr>
                <w:rFonts w:eastAsia="Arial" w:cs="Arial"/>
                <w:szCs w:val="24"/>
              </w:rPr>
              <w:t>ing</w:t>
            </w:r>
            <w:r w:rsidRPr="00A32846">
              <w:rPr>
                <w:rFonts w:eastAsia="Arial" w:cs="Arial"/>
                <w:szCs w:val="24"/>
              </w:rPr>
              <w:t xml:space="preserve"> that development positively contributes to creating healthy communities, where appropriate providing for or contribut</w:t>
            </w:r>
            <w:r w:rsidR="00864294" w:rsidRPr="00A32846">
              <w:rPr>
                <w:rFonts w:eastAsia="Arial" w:cs="Arial"/>
                <w:szCs w:val="24"/>
              </w:rPr>
              <w:t>ing</w:t>
            </w:r>
            <w:r w:rsidRPr="00A32846">
              <w:rPr>
                <w:rFonts w:eastAsia="Arial" w:cs="Arial"/>
                <w:szCs w:val="24"/>
              </w:rPr>
              <w:t xml:space="preserve"> towards essential health care and community infrastructure</w:t>
            </w:r>
            <w:r w:rsidR="00627321" w:rsidRPr="00A32846">
              <w:rPr>
                <w:rFonts w:eastAsia="Arial" w:cs="Arial"/>
                <w:szCs w:val="24"/>
              </w:rPr>
              <w:t>.</w:t>
            </w:r>
          </w:p>
          <w:p w14:paraId="0B16D7B5" w14:textId="77777777" w:rsidR="00A825A2" w:rsidRPr="00A32846" w:rsidRDefault="00A825A2" w:rsidP="0069385A">
            <w:pPr>
              <w:keepNext w:val="0"/>
              <w:spacing w:before="0"/>
              <w:ind w:right="284"/>
              <w:contextualSpacing/>
              <w:rPr>
                <w:rFonts w:eastAsia="Arial" w:cs="Arial"/>
                <w:szCs w:val="24"/>
              </w:rPr>
            </w:pPr>
          </w:p>
          <w:p w14:paraId="065DFCB2" w14:textId="1F699A58" w:rsidR="00A825A2" w:rsidRPr="00A32846" w:rsidRDefault="00A825A2" w:rsidP="0069385A">
            <w:pPr>
              <w:keepNext w:val="0"/>
              <w:numPr>
                <w:ilvl w:val="0"/>
                <w:numId w:val="43"/>
              </w:numPr>
              <w:spacing w:before="0"/>
              <w:ind w:left="720" w:right="284"/>
              <w:contextualSpacing/>
              <w:rPr>
                <w:rFonts w:eastAsia="Arial" w:cs="Arial"/>
                <w:szCs w:val="24"/>
              </w:rPr>
            </w:pPr>
            <w:r w:rsidRPr="00A32846">
              <w:rPr>
                <w:rFonts w:eastAsia="Arial" w:cs="Arial"/>
                <w:szCs w:val="24"/>
              </w:rPr>
              <w:t>Roll-out of full-fibre broadband to secure the earliest availability for universal broadband coverage and fastest connection speeds for all existing and new developments</w:t>
            </w:r>
            <w:r w:rsidR="00627321" w:rsidRPr="00A32846">
              <w:rPr>
                <w:rFonts w:eastAsia="Arial" w:cs="Arial"/>
                <w:szCs w:val="24"/>
              </w:rPr>
              <w:t>.</w:t>
            </w:r>
          </w:p>
          <w:p w14:paraId="5EB3E625" w14:textId="77777777" w:rsidR="00A825A2" w:rsidRPr="00A32846" w:rsidRDefault="00A825A2" w:rsidP="0069385A">
            <w:pPr>
              <w:keepNext w:val="0"/>
              <w:spacing w:before="0"/>
              <w:ind w:right="284"/>
              <w:contextualSpacing/>
              <w:rPr>
                <w:rFonts w:eastAsia="Arial" w:cs="Arial"/>
                <w:szCs w:val="24"/>
              </w:rPr>
            </w:pPr>
          </w:p>
          <w:p w14:paraId="734A71E2" w14:textId="51DEC791" w:rsidR="00A825A2" w:rsidRPr="00A32846" w:rsidRDefault="00A825A2" w:rsidP="0069385A">
            <w:pPr>
              <w:keepNext w:val="0"/>
              <w:numPr>
                <w:ilvl w:val="0"/>
                <w:numId w:val="43"/>
              </w:numPr>
              <w:spacing w:before="0"/>
              <w:ind w:left="720" w:right="284"/>
              <w:contextualSpacing/>
              <w:rPr>
                <w:rFonts w:eastAsia="Arial" w:cs="Arial"/>
                <w:szCs w:val="24"/>
              </w:rPr>
            </w:pPr>
            <w:r w:rsidRPr="00A32846">
              <w:rPr>
                <w:rFonts w:eastAsia="Calibri" w:cs="Arial"/>
                <w:szCs w:val="24"/>
              </w:rPr>
              <w:t xml:space="preserve">Improved connectivity by promoting more sustainable travel patterns, increase transport choice, providing better public transport infrastructure and services. </w:t>
            </w:r>
            <w:r w:rsidRPr="00A32846">
              <w:rPr>
                <w:rFonts w:eastAsia="Arial" w:cs="Arial"/>
                <w:szCs w:val="24"/>
              </w:rPr>
              <w:t>The delivery of sustainable transport networks should seek to provide</w:t>
            </w:r>
            <w:r w:rsidR="00864294" w:rsidRPr="00A32846">
              <w:rPr>
                <w:rFonts w:eastAsia="Arial" w:cs="Arial"/>
                <w:szCs w:val="24"/>
              </w:rPr>
              <w:t>:</w:t>
            </w:r>
          </w:p>
          <w:p w14:paraId="30EAC837" w14:textId="77777777" w:rsidR="00864294" w:rsidRPr="00A32846" w:rsidRDefault="00864294" w:rsidP="0069385A">
            <w:pPr>
              <w:keepNext w:val="0"/>
              <w:spacing w:before="0"/>
              <w:ind w:right="284"/>
              <w:contextualSpacing/>
              <w:rPr>
                <w:rFonts w:eastAsia="Arial" w:cs="Arial"/>
                <w:szCs w:val="24"/>
              </w:rPr>
            </w:pPr>
          </w:p>
          <w:p w14:paraId="09FFE816" w14:textId="77777777" w:rsidR="00A825A2" w:rsidRPr="00A32846" w:rsidRDefault="00A825A2" w:rsidP="0069385A">
            <w:pPr>
              <w:keepNext w:val="0"/>
              <w:numPr>
                <w:ilvl w:val="0"/>
                <w:numId w:val="37"/>
              </w:numPr>
              <w:spacing w:before="0"/>
              <w:ind w:right="284"/>
              <w:contextualSpacing/>
              <w:rPr>
                <w:rFonts w:eastAsia="Arial" w:cs="Arial"/>
                <w:szCs w:val="24"/>
              </w:rPr>
            </w:pPr>
            <w:r w:rsidRPr="00A32846">
              <w:rPr>
                <w:rFonts w:eastAsia="Arial" w:cs="Arial"/>
                <w:szCs w:val="24"/>
              </w:rPr>
              <w:t>Area wide travel demand management (policies to reduce travel by private car and incentives to use public transport, walking and cycling for appropriate journeys including travel planning);</w:t>
            </w:r>
          </w:p>
          <w:p w14:paraId="39774692" w14:textId="3E9B0ABB" w:rsidR="00A825A2" w:rsidRPr="00A32846" w:rsidRDefault="00A825A2" w:rsidP="0069385A">
            <w:pPr>
              <w:keepNext w:val="0"/>
              <w:numPr>
                <w:ilvl w:val="0"/>
                <w:numId w:val="37"/>
              </w:numPr>
              <w:spacing w:before="0"/>
              <w:ind w:right="284"/>
              <w:contextualSpacing/>
              <w:rPr>
                <w:rFonts w:eastAsia="Arial" w:cs="Arial"/>
                <w:szCs w:val="24"/>
              </w:rPr>
            </w:pPr>
            <w:r w:rsidRPr="00A32846">
              <w:rPr>
                <w:rFonts w:eastAsia="Arial" w:cs="Arial"/>
                <w:szCs w:val="24"/>
              </w:rPr>
              <w:t>Improvements to public transport services, and walking and cycling facilities</w:t>
            </w:r>
            <w:r w:rsidR="00A42FCF" w:rsidRPr="00A32846">
              <w:rPr>
                <w:rFonts w:eastAsia="Arial" w:cs="Arial"/>
                <w:szCs w:val="24"/>
              </w:rPr>
              <w:t>, including secure cycle parking</w:t>
            </w:r>
            <w:r w:rsidRPr="00A32846">
              <w:rPr>
                <w:rFonts w:eastAsia="Arial" w:cs="Arial"/>
                <w:szCs w:val="24"/>
              </w:rPr>
              <w:t>;</w:t>
            </w:r>
          </w:p>
          <w:p w14:paraId="2FDB19D2" w14:textId="0189270C" w:rsidR="00A825A2" w:rsidRPr="00A32846" w:rsidRDefault="00A825A2" w:rsidP="0069385A">
            <w:pPr>
              <w:keepNext w:val="0"/>
              <w:numPr>
                <w:ilvl w:val="0"/>
                <w:numId w:val="37"/>
              </w:numPr>
              <w:spacing w:before="0"/>
              <w:ind w:right="284"/>
              <w:contextualSpacing/>
              <w:rPr>
                <w:rFonts w:eastAsia="Arial" w:cs="Arial"/>
                <w:szCs w:val="24"/>
              </w:rPr>
            </w:pPr>
            <w:r w:rsidRPr="00A32846">
              <w:rPr>
                <w:rFonts w:eastAsia="Arial" w:cs="Arial"/>
                <w:szCs w:val="24"/>
              </w:rPr>
              <w:t>Optimisation of existing highway network to prioritise public transport and encourage walking and cycling;</w:t>
            </w:r>
            <w:r w:rsidR="0069385A" w:rsidRPr="00A32846">
              <w:rPr>
                <w:rFonts w:eastAsia="Arial" w:cs="Arial"/>
                <w:szCs w:val="24"/>
              </w:rPr>
              <w:t xml:space="preserve"> and</w:t>
            </w:r>
          </w:p>
          <w:p w14:paraId="037A4B69" w14:textId="77777777" w:rsidR="00A825A2" w:rsidRPr="00A32846" w:rsidRDefault="00A825A2" w:rsidP="0069385A">
            <w:pPr>
              <w:keepNext w:val="0"/>
              <w:numPr>
                <w:ilvl w:val="0"/>
                <w:numId w:val="37"/>
              </w:numPr>
              <w:spacing w:before="0"/>
              <w:ind w:right="284"/>
              <w:contextualSpacing/>
              <w:rPr>
                <w:rFonts w:eastAsia="Arial" w:cs="Arial"/>
                <w:szCs w:val="24"/>
              </w:rPr>
            </w:pPr>
            <w:r w:rsidRPr="00A32846">
              <w:rPr>
                <w:rFonts w:eastAsia="Arial" w:cs="Arial"/>
                <w:szCs w:val="24"/>
              </w:rPr>
              <w:t>Major highway capacity enhancements to deal with residual car demand.</w:t>
            </w:r>
          </w:p>
          <w:p w14:paraId="05AB9E84" w14:textId="77777777" w:rsidR="00A825A2" w:rsidRPr="00A32846" w:rsidRDefault="00A825A2" w:rsidP="0069385A">
            <w:pPr>
              <w:keepNext w:val="0"/>
              <w:spacing w:before="0"/>
              <w:ind w:left="1080" w:right="284"/>
              <w:contextualSpacing/>
              <w:rPr>
                <w:rFonts w:eastAsia="Arial" w:cs="Arial"/>
                <w:szCs w:val="24"/>
              </w:rPr>
            </w:pPr>
          </w:p>
          <w:p w14:paraId="23ECD73E" w14:textId="55B3B7A3" w:rsidR="00A825A2" w:rsidRPr="00A32846" w:rsidRDefault="00A825A2" w:rsidP="0069385A">
            <w:pPr>
              <w:keepNext w:val="0"/>
              <w:numPr>
                <w:ilvl w:val="0"/>
                <w:numId w:val="43"/>
              </w:numPr>
              <w:spacing w:before="0"/>
              <w:ind w:left="720" w:right="284"/>
              <w:contextualSpacing/>
              <w:rPr>
                <w:rFonts w:eastAsia="Arial" w:cs="Arial"/>
                <w:szCs w:val="24"/>
              </w:rPr>
            </w:pPr>
            <w:r w:rsidRPr="00A32846">
              <w:rPr>
                <w:rFonts w:eastAsia="Calibri" w:cs="Arial"/>
                <w:szCs w:val="24"/>
              </w:rPr>
              <w:lastRenderedPageBreak/>
              <w:t>Develop innovative strategies for the management of private car use and parking including support for electric car charging points</w:t>
            </w:r>
            <w:r w:rsidR="00627321" w:rsidRPr="00A32846">
              <w:rPr>
                <w:rFonts w:eastAsia="Calibri" w:cs="Arial"/>
                <w:szCs w:val="24"/>
              </w:rPr>
              <w:t>.</w:t>
            </w:r>
            <w:r w:rsidRPr="00A32846">
              <w:rPr>
                <w:rFonts w:eastAsia="Calibri" w:cs="Arial"/>
                <w:szCs w:val="24"/>
              </w:rPr>
              <w:t xml:space="preserve"> </w:t>
            </w:r>
          </w:p>
          <w:p w14:paraId="752B6E30" w14:textId="77777777" w:rsidR="00864294" w:rsidRPr="00A32846" w:rsidRDefault="00864294" w:rsidP="0069385A">
            <w:pPr>
              <w:keepNext w:val="0"/>
              <w:spacing w:before="0"/>
              <w:ind w:left="720" w:right="284"/>
              <w:contextualSpacing/>
              <w:rPr>
                <w:rFonts w:eastAsia="Arial" w:cs="Arial"/>
                <w:szCs w:val="24"/>
              </w:rPr>
            </w:pPr>
          </w:p>
          <w:p w14:paraId="2F3710AC" w14:textId="77777777" w:rsidR="008E1A71" w:rsidRDefault="00A825A2" w:rsidP="008E1A71">
            <w:pPr>
              <w:keepNext w:val="0"/>
              <w:numPr>
                <w:ilvl w:val="0"/>
                <w:numId w:val="43"/>
              </w:numPr>
              <w:spacing w:before="0"/>
              <w:ind w:left="720" w:right="284"/>
              <w:contextualSpacing/>
              <w:rPr>
                <w:rFonts w:eastAsia="Arial" w:cs="Arial"/>
                <w:szCs w:val="24"/>
              </w:rPr>
            </w:pPr>
            <w:r w:rsidRPr="00A32846">
              <w:rPr>
                <w:rFonts w:eastAsia="Arial" w:cs="Arial"/>
                <w:szCs w:val="24"/>
              </w:rPr>
              <w:t>Improving railway connections and facilities, on the Robin Hood Line, the Maid Marian Line and the light rail system Nottingham Express Transit.</w:t>
            </w:r>
          </w:p>
          <w:p w14:paraId="3F1D013A" w14:textId="77777777" w:rsidR="00BF0FE8" w:rsidRDefault="00BF0FE8" w:rsidP="00BF0FE8">
            <w:pPr>
              <w:keepNext w:val="0"/>
              <w:spacing w:before="0"/>
              <w:ind w:right="284"/>
              <w:contextualSpacing/>
              <w:rPr>
                <w:rFonts w:eastAsia="Arial" w:cs="Arial"/>
                <w:szCs w:val="24"/>
              </w:rPr>
            </w:pPr>
          </w:p>
          <w:p w14:paraId="073D26A0" w14:textId="079D0E37" w:rsidR="00FB51D8" w:rsidRPr="00BF0FE8" w:rsidRDefault="00FB51D8" w:rsidP="008E1A71">
            <w:pPr>
              <w:keepNext w:val="0"/>
              <w:numPr>
                <w:ilvl w:val="0"/>
                <w:numId w:val="43"/>
              </w:numPr>
              <w:spacing w:before="0"/>
              <w:ind w:left="720" w:right="284"/>
              <w:contextualSpacing/>
              <w:rPr>
                <w:rFonts w:eastAsia="Arial" w:cs="Arial"/>
                <w:szCs w:val="24"/>
              </w:rPr>
            </w:pPr>
            <w:r w:rsidRPr="00E56F9C">
              <w:rPr>
                <w:rFonts w:cs="Arial"/>
                <w:color w:val="005EAC"/>
              </w:rPr>
              <w:t>Facilitating and supporting provision for sustainable waste management    facilities where appropriate to meet identified needs.</w:t>
            </w:r>
          </w:p>
          <w:p w14:paraId="3CA10D85" w14:textId="77777777" w:rsidR="00FB51D8" w:rsidRPr="00A32846" w:rsidRDefault="00FB51D8" w:rsidP="00FB51D8">
            <w:pPr>
              <w:keepNext w:val="0"/>
              <w:spacing w:before="0"/>
              <w:ind w:left="720" w:right="284"/>
              <w:contextualSpacing/>
              <w:rPr>
                <w:rFonts w:eastAsia="Arial" w:cs="Arial"/>
                <w:szCs w:val="24"/>
              </w:rPr>
            </w:pPr>
          </w:p>
          <w:p w14:paraId="66A46FDF" w14:textId="7B8B33CA" w:rsidR="00CF4EF1" w:rsidRPr="00A32846" w:rsidRDefault="00CF4EF1" w:rsidP="0069385A">
            <w:pPr>
              <w:keepNext w:val="0"/>
              <w:numPr>
                <w:ilvl w:val="0"/>
                <w:numId w:val="38"/>
              </w:numPr>
              <w:tabs>
                <w:tab w:val="left" w:pos="680"/>
                <w:tab w:val="left" w:pos="1133"/>
                <w:tab w:val="left" w:pos="2267"/>
              </w:tabs>
              <w:spacing w:before="0"/>
              <w:ind w:right="284"/>
              <w:rPr>
                <w:rFonts w:eastAsia="Arial" w:cs="Arial"/>
                <w:bCs/>
                <w:szCs w:val="24"/>
              </w:rPr>
            </w:pPr>
            <w:r w:rsidRPr="00A32846">
              <w:rPr>
                <w:rFonts w:eastAsia="Arial" w:cs="Arial"/>
                <w:bCs/>
              </w:rPr>
              <w:t xml:space="preserve">To make a positive contribution to the sustainable growth of Ashfield, proposed development, including development adjacent to, but outside the </w:t>
            </w:r>
            <w:proofErr w:type="gramStart"/>
            <w:r w:rsidRPr="00A32846">
              <w:rPr>
                <w:rFonts w:eastAsia="Arial" w:cs="Arial"/>
                <w:bCs/>
              </w:rPr>
              <w:t>District</w:t>
            </w:r>
            <w:proofErr w:type="gramEnd"/>
            <w:r w:rsidRPr="00A32846">
              <w:rPr>
                <w:rFonts w:eastAsia="Arial" w:cs="Arial"/>
                <w:bCs/>
              </w:rPr>
              <w:t xml:space="preserve"> boundary, shall contribute towards the economic, social and environmental infrastructure requirements of the area.</w:t>
            </w:r>
            <w:r w:rsidR="0069385A" w:rsidRPr="00A32846">
              <w:rPr>
                <w:rFonts w:eastAsia="Arial" w:cs="Arial"/>
                <w:bCs/>
              </w:rPr>
              <w:t xml:space="preserve"> </w:t>
            </w:r>
            <w:r w:rsidRPr="00A32846">
              <w:rPr>
                <w:rFonts w:eastAsia="Arial" w:cs="Arial"/>
                <w:bCs/>
              </w:rPr>
              <w:t xml:space="preserve">The nature and scale of the requirements will be commensurate with the form of the development together with its potential impact upon the surrounding area and will include:  </w:t>
            </w:r>
          </w:p>
          <w:p w14:paraId="4D649BF9" w14:textId="77777777" w:rsidR="00CF4EF1" w:rsidRPr="00A32846" w:rsidRDefault="00CF4EF1" w:rsidP="0069385A">
            <w:pPr>
              <w:keepNext w:val="0"/>
              <w:tabs>
                <w:tab w:val="left" w:pos="680"/>
                <w:tab w:val="left" w:pos="1133"/>
                <w:tab w:val="left" w:pos="2267"/>
              </w:tabs>
              <w:spacing w:before="0"/>
              <w:ind w:right="284"/>
              <w:rPr>
                <w:rFonts w:eastAsia="Arial" w:cs="Arial"/>
                <w:bCs/>
                <w:szCs w:val="24"/>
              </w:rPr>
            </w:pPr>
          </w:p>
          <w:p w14:paraId="32ADDC8F" w14:textId="2B4C4CD3" w:rsidR="00386A0E" w:rsidRPr="00A32846" w:rsidRDefault="00CF4EF1" w:rsidP="0069385A">
            <w:pPr>
              <w:pStyle w:val="ListParagraph"/>
              <w:numPr>
                <w:ilvl w:val="0"/>
                <w:numId w:val="40"/>
              </w:numPr>
              <w:spacing w:after="0" w:line="240" w:lineRule="auto"/>
              <w:rPr>
                <w:rFonts w:ascii="Arial" w:eastAsia="Arial" w:hAnsi="Arial" w:cs="Arial"/>
                <w:bCs/>
              </w:rPr>
            </w:pPr>
            <w:r w:rsidRPr="00A32846">
              <w:rPr>
                <w:rFonts w:ascii="Arial" w:eastAsia="Arial" w:hAnsi="Arial" w:cs="Arial"/>
                <w:bCs/>
              </w:rPr>
              <w:t xml:space="preserve">Meeting the reasonable cost of new infrastructure, facilities or services, on or off site, required </w:t>
            </w:r>
            <w:proofErr w:type="gramStart"/>
            <w:r w:rsidRPr="00A32846">
              <w:rPr>
                <w:rFonts w:ascii="Arial" w:eastAsia="Arial" w:hAnsi="Arial" w:cs="Arial"/>
                <w:bCs/>
              </w:rPr>
              <w:t>as a consequence of</w:t>
            </w:r>
            <w:proofErr w:type="gramEnd"/>
            <w:r w:rsidRPr="00A32846">
              <w:rPr>
                <w:rFonts w:ascii="Arial" w:eastAsia="Arial" w:hAnsi="Arial" w:cs="Arial"/>
                <w:bCs/>
              </w:rPr>
              <w:t xml:space="preserve"> the proposal</w:t>
            </w:r>
            <w:r w:rsidR="00C61685" w:rsidRPr="00A32846">
              <w:rPr>
                <w:rFonts w:ascii="Arial" w:eastAsia="Arial" w:hAnsi="Arial" w:cs="Arial"/>
                <w:bCs/>
              </w:rPr>
              <w:t xml:space="preserve"> enabling the cumulative impacts of development to be managed</w:t>
            </w:r>
            <w:r w:rsidR="0069385A" w:rsidRPr="00A32846">
              <w:rPr>
                <w:rFonts w:ascii="Arial" w:eastAsia="Arial" w:hAnsi="Arial" w:cs="Arial"/>
                <w:bCs/>
              </w:rPr>
              <w:t>;</w:t>
            </w:r>
          </w:p>
          <w:p w14:paraId="1A829E4D" w14:textId="77777777" w:rsidR="0069385A" w:rsidRPr="00A32846" w:rsidRDefault="0069385A" w:rsidP="0069385A">
            <w:pPr>
              <w:pStyle w:val="ListParagraph"/>
              <w:spacing w:after="0" w:line="240" w:lineRule="auto"/>
              <w:rPr>
                <w:rFonts w:ascii="Arial" w:eastAsia="Arial" w:hAnsi="Arial" w:cs="Arial"/>
                <w:bCs/>
              </w:rPr>
            </w:pPr>
          </w:p>
          <w:p w14:paraId="752BD46B" w14:textId="31197751" w:rsidR="00A02441" w:rsidRPr="00A32846" w:rsidRDefault="00A02441" w:rsidP="0069385A">
            <w:pPr>
              <w:pStyle w:val="ListParagraph"/>
              <w:numPr>
                <w:ilvl w:val="0"/>
                <w:numId w:val="40"/>
              </w:numPr>
              <w:spacing w:after="0" w:line="240" w:lineRule="auto"/>
              <w:rPr>
                <w:rFonts w:ascii="Arial" w:eastAsia="Arial" w:hAnsi="Arial" w:cs="Arial"/>
                <w:bCs/>
              </w:rPr>
            </w:pPr>
            <w:bookmarkStart w:id="92" w:name="_Hlk109713861"/>
            <w:r w:rsidRPr="00A32846">
              <w:rPr>
                <w:rFonts w:ascii="Arial" w:eastAsia="Arial" w:hAnsi="Arial" w:cs="Arial"/>
                <w:bCs/>
              </w:rPr>
              <w:t>Contributing retrospectively when it has been necessary to forward fund infrastructure projects in advance of anticipated housing growth</w:t>
            </w:r>
            <w:r w:rsidR="0069385A" w:rsidRPr="00A32846">
              <w:rPr>
                <w:rFonts w:ascii="Arial" w:eastAsia="Arial" w:hAnsi="Arial" w:cs="Arial"/>
                <w:bCs/>
              </w:rPr>
              <w:t>;</w:t>
            </w:r>
          </w:p>
          <w:bookmarkEnd w:id="92"/>
          <w:p w14:paraId="2D80FFBD" w14:textId="77777777" w:rsidR="00A02441" w:rsidRPr="00A32846" w:rsidRDefault="00A02441" w:rsidP="0069385A">
            <w:pPr>
              <w:pStyle w:val="ListParagraph"/>
              <w:spacing w:after="0" w:line="240" w:lineRule="auto"/>
              <w:rPr>
                <w:rFonts w:ascii="Arial" w:eastAsia="Arial" w:hAnsi="Arial" w:cs="Arial"/>
                <w:bCs/>
              </w:rPr>
            </w:pPr>
          </w:p>
          <w:p w14:paraId="2418DE13" w14:textId="48AF9B9D" w:rsidR="00CF4EF1" w:rsidRPr="00A32846" w:rsidRDefault="00CF4EF1" w:rsidP="0069385A">
            <w:pPr>
              <w:pStyle w:val="ListParagraph"/>
              <w:numPr>
                <w:ilvl w:val="0"/>
                <w:numId w:val="40"/>
              </w:numPr>
              <w:spacing w:after="0" w:line="240" w:lineRule="auto"/>
              <w:rPr>
                <w:rFonts w:ascii="Arial" w:eastAsia="Arial" w:hAnsi="Arial" w:cs="Arial"/>
                <w:bCs/>
              </w:rPr>
            </w:pPr>
            <w:r w:rsidRPr="00A32846">
              <w:rPr>
                <w:rFonts w:ascii="Arial" w:eastAsia="Arial" w:hAnsi="Arial" w:cs="Arial"/>
                <w:bCs/>
              </w:rPr>
              <w:t>Making the most effective use of existing infrastructure, facilities and services including the opportunities for co-location and multifunctional use of facilities</w:t>
            </w:r>
            <w:r w:rsidR="0069385A" w:rsidRPr="00A32846">
              <w:rPr>
                <w:rFonts w:ascii="Arial" w:eastAsia="Arial" w:hAnsi="Arial" w:cs="Arial"/>
                <w:bCs/>
              </w:rPr>
              <w:t>;</w:t>
            </w:r>
          </w:p>
          <w:p w14:paraId="5359691F" w14:textId="77777777" w:rsidR="00386A0E" w:rsidRPr="00A32846" w:rsidRDefault="00386A0E" w:rsidP="0069385A">
            <w:pPr>
              <w:spacing w:before="0"/>
              <w:rPr>
                <w:rFonts w:eastAsia="Arial" w:cs="Arial"/>
                <w:bCs/>
              </w:rPr>
            </w:pPr>
          </w:p>
          <w:p w14:paraId="180E742E" w14:textId="30D42DBF" w:rsidR="00CF4EF1" w:rsidRPr="00A32846" w:rsidRDefault="00CF4EF1" w:rsidP="0069385A">
            <w:pPr>
              <w:pStyle w:val="ListParagraph"/>
              <w:numPr>
                <w:ilvl w:val="0"/>
                <w:numId w:val="40"/>
              </w:numPr>
              <w:spacing w:after="0" w:line="240" w:lineRule="auto"/>
              <w:rPr>
                <w:rFonts w:ascii="Arial" w:eastAsia="Arial" w:hAnsi="Arial" w:cs="Arial"/>
                <w:bCs/>
              </w:rPr>
            </w:pPr>
            <w:r w:rsidRPr="00A32846">
              <w:rPr>
                <w:rFonts w:ascii="Arial" w:eastAsia="Arial" w:hAnsi="Arial" w:cs="Arial"/>
                <w:bCs/>
              </w:rPr>
              <w:t xml:space="preserve">Safeguarding the requirements of infrastructure providers, including but not limited to telecommunications equipment (particularly </w:t>
            </w:r>
            <w:proofErr w:type="gramStart"/>
            <w:r w:rsidRPr="00A32846">
              <w:rPr>
                <w:rFonts w:ascii="Arial" w:eastAsia="Arial" w:hAnsi="Arial" w:cs="Arial"/>
                <w:bCs/>
              </w:rPr>
              <w:t>high speed</w:t>
            </w:r>
            <w:proofErr w:type="gramEnd"/>
            <w:r w:rsidRPr="00A32846">
              <w:rPr>
                <w:rFonts w:ascii="Arial" w:eastAsia="Arial" w:hAnsi="Arial" w:cs="Arial"/>
                <w:bCs/>
              </w:rPr>
              <w:t xml:space="preserve"> broadband), electricity power lines, high pressure gas mains, educational facilities, health facilities and aquifer protection areas</w:t>
            </w:r>
            <w:r w:rsidR="0069385A" w:rsidRPr="00A32846">
              <w:rPr>
                <w:rFonts w:ascii="Arial" w:eastAsia="Arial" w:hAnsi="Arial" w:cs="Arial"/>
                <w:bCs/>
              </w:rPr>
              <w:t>; and</w:t>
            </w:r>
          </w:p>
          <w:p w14:paraId="2B04A286" w14:textId="77777777" w:rsidR="00386A0E" w:rsidRPr="00A32846" w:rsidRDefault="00386A0E" w:rsidP="0069385A">
            <w:pPr>
              <w:spacing w:before="0"/>
              <w:rPr>
                <w:rFonts w:eastAsia="Arial" w:cs="Arial"/>
                <w:bCs/>
              </w:rPr>
            </w:pPr>
          </w:p>
          <w:p w14:paraId="305CE7B3" w14:textId="77777777" w:rsidR="00627321" w:rsidRPr="00A32846" w:rsidRDefault="00CF4EF1" w:rsidP="0069385A">
            <w:pPr>
              <w:pStyle w:val="ListParagraph"/>
              <w:numPr>
                <w:ilvl w:val="0"/>
                <w:numId w:val="40"/>
              </w:numPr>
              <w:spacing w:after="0" w:line="240" w:lineRule="auto"/>
              <w:rPr>
                <w:rFonts w:ascii="Arial" w:eastAsia="Arial" w:hAnsi="Arial" w:cs="Arial"/>
                <w:bCs/>
              </w:rPr>
            </w:pPr>
            <w:r w:rsidRPr="00A32846">
              <w:rPr>
                <w:rFonts w:ascii="Arial" w:eastAsia="Arial" w:hAnsi="Arial" w:cs="Arial"/>
                <w:bCs/>
              </w:rPr>
              <w:t>Facilitating accessibility to facilities and services by a range of transport modes</w:t>
            </w:r>
            <w:r w:rsidR="00864294" w:rsidRPr="00A32846">
              <w:rPr>
                <w:rFonts w:ascii="Arial" w:eastAsia="Arial" w:hAnsi="Arial" w:cs="Arial"/>
                <w:bCs/>
              </w:rPr>
              <w:t>.</w:t>
            </w:r>
          </w:p>
          <w:p w14:paraId="2891F61D" w14:textId="4802D111" w:rsidR="0069385A" w:rsidRPr="00A32846" w:rsidRDefault="0069385A" w:rsidP="0069385A">
            <w:pPr>
              <w:spacing w:before="0"/>
              <w:rPr>
                <w:rFonts w:eastAsia="Arial" w:cs="Arial"/>
                <w:bCs/>
              </w:rPr>
            </w:pPr>
          </w:p>
        </w:tc>
      </w:tr>
      <w:tr w:rsidR="00CF4EF1" w:rsidRPr="003C7E62" w14:paraId="4CD8A99A" w14:textId="77777777" w:rsidTr="003C413D">
        <w:tc>
          <w:tcPr>
            <w:tcW w:w="1838" w:type="dxa"/>
            <w:shd w:val="clear" w:color="auto" w:fill="FFFFFF" w:themeFill="background1"/>
          </w:tcPr>
          <w:p w14:paraId="21D6C8E4" w14:textId="77777777" w:rsidR="00CF4EF1" w:rsidRPr="003C7E62" w:rsidRDefault="00CF4EF1" w:rsidP="000032A9">
            <w:pPr>
              <w:keepNext w:val="0"/>
              <w:tabs>
                <w:tab w:val="left" w:pos="680"/>
                <w:tab w:val="left" w:pos="1133"/>
                <w:tab w:val="left" w:pos="2267"/>
              </w:tabs>
              <w:spacing w:before="0"/>
              <w:ind w:right="284"/>
              <w:rPr>
                <w:rFonts w:eastAsia="Arial" w:cs="Arial"/>
                <w:bCs/>
                <w:color w:val="C00000"/>
                <w:szCs w:val="24"/>
              </w:rPr>
            </w:pPr>
            <w:r w:rsidRPr="003C7E62">
              <w:rPr>
                <w:rFonts w:eastAsia="Arial" w:cs="Arial"/>
                <w:bCs/>
                <w:color w:val="auto"/>
                <w:sz w:val="20"/>
              </w:rPr>
              <w:lastRenderedPageBreak/>
              <w:t>Evidence base</w:t>
            </w:r>
          </w:p>
        </w:tc>
        <w:tc>
          <w:tcPr>
            <w:tcW w:w="7655" w:type="dxa"/>
            <w:gridSpan w:val="2"/>
            <w:shd w:val="clear" w:color="auto" w:fill="FFFFFF" w:themeFill="background1"/>
          </w:tcPr>
          <w:p w14:paraId="059F6D58" w14:textId="48B458A5" w:rsidR="00E51D51" w:rsidRPr="00A32846" w:rsidRDefault="00E51D51" w:rsidP="000032A9">
            <w:pPr>
              <w:keepNext w:val="0"/>
              <w:numPr>
                <w:ilvl w:val="0"/>
                <w:numId w:val="39"/>
              </w:numPr>
              <w:tabs>
                <w:tab w:val="left" w:pos="680"/>
                <w:tab w:val="left" w:pos="1133"/>
                <w:tab w:val="left" w:pos="2267"/>
              </w:tabs>
              <w:spacing w:before="0" w:after="160" w:line="252" w:lineRule="auto"/>
              <w:ind w:right="284"/>
              <w:contextualSpacing/>
              <w:rPr>
                <w:rFonts w:eastAsia="Arial" w:cs="Arial"/>
                <w:bCs/>
                <w:sz w:val="20"/>
              </w:rPr>
            </w:pPr>
            <w:r w:rsidRPr="00A32846">
              <w:rPr>
                <w:rFonts w:eastAsia="Arial" w:cs="Arial"/>
                <w:bCs/>
                <w:sz w:val="20"/>
              </w:rPr>
              <w:t xml:space="preserve">Sustainability Appraisal </w:t>
            </w:r>
            <w:r w:rsidR="002D7365" w:rsidRPr="00A32846">
              <w:rPr>
                <w:rFonts w:eastAsia="Arial" w:cs="Arial"/>
                <w:bCs/>
                <w:sz w:val="20"/>
              </w:rPr>
              <w:t>202</w:t>
            </w:r>
            <w:r w:rsidR="00D022BB" w:rsidRPr="00A32846">
              <w:rPr>
                <w:rFonts w:eastAsia="Arial" w:cs="Arial"/>
                <w:bCs/>
                <w:sz w:val="20"/>
              </w:rPr>
              <w:t>3</w:t>
            </w:r>
            <w:r w:rsidR="002D7365" w:rsidRPr="00A32846">
              <w:rPr>
                <w:rFonts w:eastAsia="Arial" w:cs="Arial"/>
                <w:bCs/>
                <w:sz w:val="20"/>
              </w:rPr>
              <w:t xml:space="preserve">. </w:t>
            </w:r>
            <w:r w:rsidR="00D022BB" w:rsidRPr="00A32846">
              <w:rPr>
                <w:rFonts w:eastAsia="Arial" w:cs="Arial"/>
                <w:bCs/>
                <w:sz w:val="20"/>
              </w:rPr>
              <w:t>WSP UK Limited</w:t>
            </w:r>
            <w:r w:rsidR="002D7365" w:rsidRPr="00A32846">
              <w:rPr>
                <w:rFonts w:eastAsia="Arial" w:cs="Arial"/>
                <w:bCs/>
                <w:sz w:val="20"/>
              </w:rPr>
              <w:t>.</w:t>
            </w:r>
          </w:p>
          <w:p w14:paraId="47E58CFA" w14:textId="32D15080" w:rsidR="00CF4EF1" w:rsidRPr="000E778B" w:rsidRDefault="00CF4EF1" w:rsidP="000032A9">
            <w:pPr>
              <w:keepNext w:val="0"/>
              <w:numPr>
                <w:ilvl w:val="0"/>
                <w:numId w:val="39"/>
              </w:numPr>
              <w:tabs>
                <w:tab w:val="left" w:pos="680"/>
                <w:tab w:val="left" w:pos="1133"/>
                <w:tab w:val="left" w:pos="2267"/>
              </w:tabs>
              <w:spacing w:before="0" w:after="160" w:line="252" w:lineRule="auto"/>
              <w:ind w:right="284"/>
              <w:contextualSpacing/>
              <w:rPr>
                <w:rFonts w:eastAsia="Arial" w:cs="Arial"/>
                <w:bCs/>
                <w:color w:val="auto"/>
                <w:sz w:val="20"/>
              </w:rPr>
            </w:pPr>
            <w:r w:rsidRPr="000E778B">
              <w:rPr>
                <w:rFonts w:eastAsia="Arial" w:cs="Arial"/>
                <w:bCs/>
                <w:color w:val="auto"/>
                <w:sz w:val="20"/>
              </w:rPr>
              <w:t xml:space="preserve">Background Paper </w:t>
            </w:r>
            <w:r w:rsidR="007075B1" w:rsidRPr="000E778B">
              <w:rPr>
                <w:rFonts w:eastAsia="Arial" w:cs="Arial"/>
                <w:bCs/>
                <w:color w:val="auto"/>
                <w:sz w:val="20"/>
              </w:rPr>
              <w:t xml:space="preserve">No </w:t>
            </w:r>
            <w:r w:rsidRPr="000E778B">
              <w:rPr>
                <w:rFonts w:eastAsia="Arial" w:cs="Arial"/>
                <w:bCs/>
                <w:color w:val="auto"/>
                <w:sz w:val="20"/>
              </w:rPr>
              <w:t>5</w:t>
            </w:r>
            <w:r w:rsidR="007075B1" w:rsidRPr="000E778B">
              <w:rPr>
                <w:rFonts w:eastAsia="Arial" w:cs="Arial"/>
                <w:bCs/>
                <w:color w:val="auto"/>
                <w:sz w:val="20"/>
              </w:rPr>
              <w:t>:</w:t>
            </w:r>
            <w:r w:rsidRPr="000E778B">
              <w:rPr>
                <w:rFonts w:eastAsia="Arial" w:cs="Arial"/>
                <w:bCs/>
                <w:color w:val="auto"/>
                <w:sz w:val="20"/>
              </w:rPr>
              <w:t xml:space="preserve"> Infrastructure Delivery</w:t>
            </w:r>
            <w:r w:rsidR="007075B1" w:rsidRPr="000E778B">
              <w:rPr>
                <w:rFonts w:eastAsia="Arial" w:cs="Arial"/>
                <w:bCs/>
                <w:color w:val="auto"/>
                <w:sz w:val="20"/>
              </w:rPr>
              <w:t>, 202</w:t>
            </w:r>
            <w:r w:rsidR="000E778B" w:rsidRPr="000E778B">
              <w:rPr>
                <w:rFonts w:eastAsia="Arial" w:cs="Arial"/>
                <w:bCs/>
                <w:color w:val="auto"/>
                <w:sz w:val="20"/>
              </w:rPr>
              <w:t>3</w:t>
            </w:r>
            <w:r w:rsidR="002D7365" w:rsidRPr="000E778B">
              <w:rPr>
                <w:rFonts w:eastAsia="Arial" w:cs="Arial"/>
                <w:bCs/>
                <w:color w:val="auto"/>
                <w:sz w:val="20"/>
              </w:rPr>
              <w:t xml:space="preserve">. </w:t>
            </w:r>
            <w:r w:rsidRPr="000E778B">
              <w:rPr>
                <w:rFonts w:eastAsia="Arial" w:cs="Arial"/>
                <w:bCs/>
                <w:color w:val="auto"/>
                <w:sz w:val="20"/>
              </w:rPr>
              <w:t>Ashfield District Council</w:t>
            </w:r>
            <w:r w:rsidR="002D7365" w:rsidRPr="000E778B">
              <w:rPr>
                <w:rFonts w:eastAsia="Arial" w:cs="Arial"/>
                <w:bCs/>
                <w:color w:val="auto"/>
                <w:sz w:val="20"/>
              </w:rPr>
              <w:t>.</w:t>
            </w:r>
          </w:p>
          <w:p w14:paraId="6EB23DEE" w14:textId="5F390D60" w:rsidR="00CF4EF1" w:rsidRPr="00A32846" w:rsidRDefault="00CF4EF1" w:rsidP="000032A9">
            <w:pPr>
              <w:keepNext w:val="0"/>
              <w:numPr>
                <w:ilvl w:val="0"/>
                <w:numId w:val="39"/>
              </w:numPr>
              <w:tabs>
                <w:tab w:val="left" w:pos="680"/>
                <w:tab w:val="left" w:pos="1133"/>
                <w:tab w:val="left" w:pos="2267"/>
              </w:tabs>
              <w:spacing w:before="0" w:after="160" w:line="252" w:lineRule="auto"/>
              <w:ind w:right="284"/>
              <w:contextualSpacing/>
              <w:rPr>
                <w:rFonts w:eastAsia="Arial" w:cs="Arial"/>
                <w:bCs/>
                <w:sz w:val="20"/>
              </w:rPr>
            </w:pPr>
            <w:r w:rsidRPr="00A32846">
              <w:rPr>
                <w:rFonts w:eastAsia="Calibri" w:cs="Arial"/>
                <w:sz w:val="20"/>
                <w:lang w:eastAsia="en-US"/>
              </w:rPr>
              <w:t xml:space="preserve">Ashfield Transport Study </w:t>
            </w:r>
            <w:r w:rsidR="002D7365" w:rsidRPr="00A32846">
              <w:rPr>
                <w:rFonts w:eastAsia="Calibri" w:cs="Arial"/>
                <w:sz w:val="20"/>
                <w:lang w:eastAsia="en-US"/>
              </w:rPr>
              <w:t>20</w:t>
            </w:r>
            <w:r w:rsidR="00A32846">
              <w:rPr>
                <w:rFonts w:eastAsia="Calibri" w:cs="Arial"/>
                <w:sz w:val="20"/>
                <w:lang w:eastAsia="en-US"/>
              </w:rPr>
              <w:t>23</w:t>
            </w:r>
            <w:r w:rsidR="002D7365" w:rsidRPr="00A32846">
              <w:rPr>
                <w:rFonts w:eastAsia="Calibri" w:cs="Arial"/>
                <w:sz w:val="20"/>
                <w:lang w:eastAsia="en-US"/>
              </w:rPr>
              <w:t xml:space="preserve">. </w:t>
            </w:r>
            <w:proofErr w:type="spellStart"/>
            <w:r w:rsidRPr="00A32846">
              <w:rPr>
                <w:rFonts w:eastAsia="Calibri" w:cs="Arial"/>
                <w:sz w:val="20"/>
                <w:lang w:eastAsia="en-US"/>
              </w:rPr>
              <w:t>Systra</w:t>
            </w:r>
            <w:proofErr w:type="spellEnd"/>
            <w:r w:rsidR="002D7365" w:rsidRPr="00A32846">
              <w:rPr>
                <w:rFonts w:eastAsia="Calibri" w:cs="Arial"/>
                <w:sz w:val="20"/>
                <w:lang w:eastAsia="en-US"/>
              </w:rPr>
              <w:t>.</w:t>
            </w:r>
            <w:r w:rsidRPr="00A32846">
              <w:rPr>
                <w:rFonts w:eastAsia="Calibri" w:cs="Arial"/>
                <w:sz w:val="20"/>
                <w:lang w:eastAsia="en-US"/>
              </w:rPr>
              <w:t xml:space="preserve"> </w:t>
            </w:r>
          </w:p>
          <w:p w14:paraId="52DB5C9D" w14:textId="77777777" w:rsidR="00E963E4" w:rsidRPr="00A32846" w:rsidRDefault="00E963E4" w:rsidP="000032A9">
            <w:pPr>
              <w:keepNext w:val="0"/>
              <w:numPr>
                <w:ilvl w:val="0"/>
                <w:numId w:val="39"/>
              </w:numPr>
              <w:tabs>
                <w:tab w:val="left" w:pos="680"/>
                <w:tab w:val="left" w:pos="1133"/>
                <w:tab w:val="left" w:pos="2267"/>
              </w:tabs>
              <w:spacing w:before="0" w:after="160" w:line="252" w:lineRule="auto"/>
              <w:ind w:right="284"/>
              <w:contextualSpacing/>
              <w:rPr>
                <w:rFonts w:eastAsia="Arial" w:cs="Arial"/>
                <w:bCs/>
                <w:sz w:val="20"/>
              </w:rPr>
            </w:pPr>
            <w:r w:rsidRPr="00A32846">
              <w:rPr>
                <w:rFonts w:eastAsia="Arial" w:cs="Arial"/>
                <w:bCs/>
                <w:sz w:val="20"/>
              </w:rPr>
              <w:t xml:space="preserve">Maid Marian Rail Extension Economic Impact Analysis 2020. </w:t>
            </w:r>
            <w:proofErr w:type="spellStart"/>
            <w:r w:rsidRPr="00A32846">
              <w:rPr>
                <w:rFonts w:eastAsia="Arial" w:cs="Arial"/>
                <w:bCs/>
                <w:sz w:val="20"/>
              </w:rPr>
              <w:t>Lichfields</w:t>
            </w:r>
            <w:proofErr w:type="spellEnd"/>
            <w:r w:rsidRPr="00A32846">
              <w:rPr>
                <w:rFonts w:eastAsia="Arial" w:cs="Arial"/>
                <w:bCs/>
                <w:sz w:val="20"/>
              </w:rPr>
              <w:t>.</w:t>
            </w:r>
          </w:p>
          <w:p w14:paraId="4B3DC3A2" w14:textId="77777777" w:rsidR="00E963E4" w:rsidRPr="00A32846" w:rsidRDefault="00E963E4" w:rsidP="000032A9">
            <w:pPr>
              <w:keepNext w:val="0"/>
              <w:numPr>
                <w:ilvl w:val="0"/>
                <w:numId w:val="39"/>
              </w:numPr>
              <w:tabs>
                <w:tab w:val="left" w:pos="680"/>
                <w:tab w:val="left" w:pos="1133"/>
                <w:tab w:val="left" w:pos="2267"/>
              </w:tabs>
              <w:spacing w:before="0" w:after="160" w:line="252" w:lineRule="auto"/>
              <w:ind w:right="284"/>
              <w:contextualSpacing/>
              <w:rPr>
                <w:rFonts w:eastAsia="Arial" w:cs="Arial"/>
                <w:bCs/>
                <w:sz w:val="20"/>
              </w:rPr>
            </w:pPr>
            <w:r w:rsidRPr="00A32846">
              <w:rPr>
                <w:rFonts w:eastAsia="Arial" w:cs="Arial"/>
                <w:bCs/>
                <w:sz w:val="20"/>
              </w:rPr>
              <w:t>Maid Marian Rail Extension - Ashfield Masterplan Report 2020.  Ashfield District Council and Mansfield District Council.</w:t>
            </w:r>
          </w:p>
          <w:p w14:paraId="4407581E" w14:textId="77777777" w:rsidR="006E3758" w:rsidRPr="00A32846" w:rsidRDefault="006E3758" w:rsidP="006E3758">
            <w:pPr>
              <w:keepNext w:val="0"/>
              <w:numPr>
                <w:ilvl w:val="0"/>
                <w:numId w:val="39"/>
              </w:numPr>
              <w:tabs>
                <w:tab w:val="left" w:pos="680"/>
                <w:tab w:val="left" w:pos="1133"/>
                <w:tab w:val="left" w:pos="2267"/>
              </w:tabs>
              <w:spacing w:before="0" w:after="160" w:line="252" w:lineRule="auto"/>
              <w:ind w:right="284"/>
              <w:contextualSpacing/>
              <w:rPr>
                <w:rFonts w:eastAsia="Arial" w:cs="Arial"/>
                <w:bCs/>
                <w:sz w:val="20"/>
              </w:rPr>
            </w:pPr>
            <w:r w:rsidRPr="00A32846">
              <w:rPr>
                <w:rFonts w:eastAsia="Arial" w:cs="Arial"/>
                <w:bCs/>
                <w:sz w:val="20"/>
              </w:rPr>
              <w:t>Gear change: a bold vision for cycling and walking (2020) Department for Transport</w:t>
            </w:r>
          </w:p>
          <w:p w14:paraId="5151DEAE" w14:textId="5351BBC4" w:rsidR="006E3758" w:rsidRPr="00A32846" w:rsidRDefault="006E3758" w:rsidP="006E3758">
            <w:pPr>
              <w:keepNext w:val="0"/>
              <w:numPr>
                <w:ilvl w:val="0"/>
                <w:numId w:val="39"/>
              </w:numPr>
              <w:tabs>
                <w:tab w:val="left" w:pos="680"/>
                <w:tab w:val="left" w:pos="1133"/>
                <w:tab w:val="left" w:pos="2267"/>
              </w:tabs>
              <w:spacing w:before="0" w:after="160" w:line="252" w:lineRule="auto"/>
              <w:ind w:right="284"/>
              <w:contextualSpacing/>
              <w:rPr>
                <w:rFonts w:eastAsia="Arial" w:cs="Arial"/>
                <w:bCs/>
                <w:sz w:val="20"/>
              </w:rPr>
            </w:pPr>
            <w:r w:rsidRPr="00A32846">
              <w:rPr>
                <w:rFonts w:eastAsia="Arial" w:cs="Arial"/>
                <w:bCs/>
                <w:sz w:val="20"/>
              </w:rPr>
              <w:t>Securing developer contributions for education, April 2019. Department for Education.</w:t>
            </w:r>
          </w:p>
        </w:tc>
      </w:tr>
      <w:tr w:rsidR="00CF4EF1" w:rsidRPr="003C7E62" w14:paraId="4399198E" w14:textId="77777777" w:rsidTr="003C413D">
        <w:trPr>
          <w:trHeight w:val="1699"/>
        </w:trPr>
        <w:tc>
          <w:tcPr>
            <w:tcW w:w="1838" w:type="dxa"/>
            <w:shd w:val="clear" w:color="auto" w:fill="FFFFFF" w:themeFill="background1"/>
          </w:tcPr>
          <w:p w14:paraId="2EEF6478" w14:textId="77777777" w:rsidR="00CF4EF1" w:rsidRPr="003C7E62" w:rsidRDefault="00CF4EF1" w:rsidP="000032A9">
            <w:pPr>
              <w:keepNext w:val="0"/>
              <w:tabs>
                <w:tab w:val="left" w:pos="680"/>
                <w:tab w:val="left" w:pos="1133"/>
                <w:tab w:val="left" w:pos="2267"/>
              </w:tabs>
              <w:spacing w:before="0"/>
              <w:ind w:right="284"/>
              <w:contextualSpacing/>
              <w:rPr>
                <w:rFonts w:eastAsia="Arial" w:cs="Arial"/>
                <w:bCs/>
                <w:color w:val="auto"/>
                <w:szCs w:val="24"/>
              </w:rPr>
            </w:pPr>
            <w:r w:rsidRPr="003C7E62">
              <w:rPr>
                <w:rFonts w:eastAsia="Arial" w:cs="Arial"/>
                <w:bCs/>
                <w:color w:val="auto"/>
                <w:sz w:val="20"/>
              </w:rPr>
              <w:lastRenderedPageBreak/>
              <w:t>National Planning Policy &amp; Guidance</w:t>
            </w:r>
          </w:p>
        </w:tc>
        <w:tc>
          <w:tcPr>
            <w:tcW w:w="7655" w:type="dxa"/>
            <w:gridSpan w:val="2"/>
            <w:shd w:val="clear" w:color="auto" w:fill="FFFFFF" w:themeFill="background1"/>
          </w:tcPr>
          <w:p w14:paraId="52B1C89B" w14:textId="753B57B7" w:rsidR="00CF4EF1" w:rsidRPr="003C7E62" w:rsidRDefault="00E51D51" w:rsidP="000032A9">
            <w:pPr>
              <w:keepNext w:val="0"/>
              <w:numPr>
                <w:ilvl w:val="0"/>
                <w:numId w:val="39"/>
              </w:numPr>
              <w:spacing w:before="0"/>
              <w:rPr>
                <w:rFonts w:cs="Arial"/>
                <w:color w:val="auto"/>
                <w:sz w:val="22"/>
                <w:szCs w:val="22"/>
                <w:lang w:eastAsia="en-US"/>
              </w:rPr>
            </w:pPr>
            <w:r w:rsidRPr="003C7E62">
              <w:rPr>
                <w:rFonts w:eastAsia="Arial" w:cs="Arial"/>
                <w:bCs/>
                <w:color w:val="auto"/>
                <w:sz w:val="20"/>
              </w:rPr>
              <w:t xml:space="preserve">NPPF </w:t>
            </w:r>
            <w:r w:rsidR="002D7365" w:rsidRPr="003C7E62">
              <w:rPr>
                <w:rFonts w:eastAsia="Arial" w:cs="Arial"/>
                <w:bCs/>
                <w:color w:val="auto"/>
                <w:sz w:val="20"/>
              </w:rPr>
              <w:t>20</w:t>
            </w:r>
            <w:r w:rsidR="00AE71BE" w:rsidRPr="003C7E62">
              <w:rPr>
                <w:rFonts w:eastAsia="Arial" w:cs="Arial"/>
                <w:bCs/>
                <w:color w:val="auto"/>
                <w:sz w:val="20"/>
              </w:rPr>
              <w:t>2</w:t>
            </w:r>
            <w:r w:rsidR="00A37A61">
              <w:rPr>
                <w:rFonts w:eastAsia="Arial" w:cs="Arial"/>
                <w:bCs/>
                <w:color w:val="auto"/>
                <w:sz w:val="20"/>
              </w:rPr>
              <w:t>3</w:t>
            </w:r>
            <w:r w:rsidR="002D7365" w:rsidRPr="003C7E62">
              <w:rPr>
                <w:rFonts w:eastAsia="Arial" w:cs="Arial"/>
                <w:bCs/>
                <w:color w:val="auto"/>
                <w:sz w:val="20"/>
              </w:rPr>
              <w:t xml:space="preserve">, </w:t>
            </w:r>
            <w:r w:rsidR="00CF4EF1" w:rsidRPr="003C7E62">
              <w:rPr>
                <w:rFonts w:eastAsia="Arial" w:cs="Arial"/>
                <w:bCs/>
                <w:color w:val="auto"/>
                <w:sz w:val="20"/>
              </w:rPr>
              <w:t>Part 2</w:t>
            </w:r>
            <w:r w:rsidR="002D7365" w:rsidRPr="003C7E62">
              <w:rPr>
                <w:rFonts w:eastAsia="Arial" w:cs="Arial"/>
                <w:bCs/>
                <w:color w:val="auto"/>
                <w:sz w:val="20"/>
              </w:rPr>
              <w:t>:</w:t>
            </w:r>
            <w:r w:rsidR="00CF4EF1" w:rsidRPr="003C7E62">
              <w:rPr>
                <w:rFonts w:eastAsia="Arial" w:cs="Arial"/>
                <w:bCs/>
                <w:color w:val="auto"/>
                <w:sz w:val="20"/>
              </w:rPr>
              <w:t xml:space="preserve"> Achieving sustainable development</w:t>
            </w:r>
            <w:r w:rsidR="002D7365" w:rsidRPr="003C7E62">
              <w:rPr>
                <w:rFonts w:eastAsia="Arial" w:cs="Arial"/>
                <w:bCs/>
                <w:color w:val="auto"/>
                <w:sz w:val="20"/>
              </w:rPr>
              <w:t>.</w:t>
            </w:r>
          </w:p>
          <w:p w14:paraId="6E2DD4D7" w14:textId="393B3E27" w:rsidR="00CF4EF1" w:rsidRPr="003C7E62" w:rsidRDefault="00E51D51" w:rsidP="000032A9">
            <w:pPr>
              <w:keepNext w:val="0"/>
              <w:numPr>
                <w:ilvl w:val="0"/>
                <w:numId w:val="39"/>
              </w:numPr>
              <w:spacing w:before="0"/>
              <w:rPr>
                <w:rFonts w:cs="Arial"/>
                <w:color w:val="auto"/>
                <w:sz w:val="22"/>
                <w:szCs w:val="22"/>
                <w:lang w:eastAsia="en-US"/>
              </w:rPr>
            </w:pPr>
            <w:r w:rsidRPr="003C7E62">
              <w:rPr>
                <w:rFonts w:eastAsia="Calibri" w:cs="Arial"/>
                <w:color w:val="auto"/>
                <w:sz w:val="20"/>
                <w:lang w:eastAsia="en-US"/>
              </w:rPr>
              <w:t xml:space="preserve">NPPF </w:t>
            </w:r>
            <w:r w:rsidR="002D7365" w:rsidRPr="003C7E62">
              <w:rPr>
                <w:rFonts w:eastAsia="Calibri" w:cs="Arial"/>
                <w:color w:val="auto"/>
                <w:sz w:val="20"/>
                <w:lang w:eastAsia="en-US"/>
              </w:rPr>
              <w:t>20</w:t>
            </w:r>
            <w:r w:rsidR="00AE71BE" w:rsidRPr="003C7E62">
              <w:rPr>
                <w:rFonts w:eastAsia="Calibri" w:cs="Arial"/>
                <w:color w:val="auto"/>
                <w:sz w:val="20"/>
                <w:lang w:eastAsia="en-US"/>
              </w:rPr>
              <w:t>2</w:t>
            </w:r>
            <w:r w:rsidR="00A37A61">
              <w:rPr>
                <w:rFonts w:eastAsia="Calibri" w:cs="Arial"/>
                <w:color w:val="auto"/>
                <w:sz w:val="20"/>
                <w:lang w:eastAsia="en-US"/>
              </w:rPr>
              <w:t>3</w:t>
            </w:r>
            <w:r w:rsidR="002D7365" w:rsidRPr="003C7E62">
              <w:rPr>
                <w:rFonts w:eastAsia="Calibri" w:cs="Arial"/>
                <w:color w:val="auto"/>
                <w:sz w:val="20"/>
                <w:lang w:eastAsia="en-US"/>
              </w:rPr>
              <w:t xml:space="preserve">, </w:t>
            </w:r>
            <w:r w:rsidR="00CF4EF1" w:rsidRPr="003C7E62">
              <w:rPr>
                <w:rFonts w:eastAsia="Calibri" w:cs="Arial"/>
                <w:color w:val="auto"/>
                <w:sz w:val="20"/>
                <w:lang w:eastAsia="en-US"/>
              </w:rPr>
              <w:t>Part 3</w:t>
            </w:r>
            <w:r w:rsidR="002D7365" w:rsidRPr="003C7E62">
              <w:rPr>
                <w:rFonts w:eastAsia="Calibri" w:cs="Arial"/>
                <w:color w:val="auto"/>
                <w:sz w:val="20"/>
                <w:lang w:eastAsia="en-US"/>
              </w:rPr>
              <w:t>:</w:t>
            </w:r>
            <w:r w:rsidR="00CF4EF1" w:rsidRPr="003C7E62">
              <w:rPr>
                <w:rFonts w:eastAsia="Calibri" w:cs="Arial"/>
                <w:color w:val="auto"/>
                <w:sz w:val="20"/>
                <w:lang w:eastAsia="en-US"/>
              </w:rPr>
              <w:t xml:space="preserve"> Plan making</w:t>
            </w:r>
            <w:r w:rsidR="002D7365" w:rsidRPr="003C7E62">
              <w:rPr>
                <w:rFonts w:eastAsia="Calibri" w:cs="Arial"/>
                <w:color w:val="auto"/>
                <w:sz w:val="20"/>
                <w:lang w:eastAsia="en-US"/>
              </w:rPr>
              <w:t>.</w:t>
            </w:r>
          </w:p>
          <w:p w14:paraId="7D727D1E" w14:textId="270610EC" w:rsidR="00CF4EF1" w:rsidRPr="003C7E62" w:rsidRDefault="00E51D51" w:rsidP="000032A9">
            <w:pPr>
              <w:keepNext w:val="0"/>
              <w:numPr>
                <w:ilvl w:val="0"/>
                <w:numId w:val="39"/>
              </w:numPr>
              <w:spacing w:before="0"/>
              <w:rPr>
                <w:rFonts w:cs="Arial"/>
                <w:color w:val="auto"/>
                <w:sz w:val="22"/>
                <w:szCs w:val="22"/>
                <w:lang w:eastAsia="en-US"/>
              </w:rPr>
            </w:pPr>
            <w:r w:rsidRPr="003C7E62">
              <w:rPr>
                <w:rFonts w:eastAsia="Arial" w:cs="Arial"/>
                <w:bCs/>
                <w:color w:val="auto"/>
                <w:sz w:val="20"/>
              </w:rPr>
              <w:t>NPPF</w:t>
            </w:r>
            <w:r w:rsidR="002D7365" w:rsidRPr="003C7E62">
              <w:rPr>
                <w:rFonts w:eastAsia="Arial" w:cs="Arial"/>
                <w:bCs/>
                <w:color w:val="auto"/>
                <w:sz w:val="20"/>
              </w:rPr>
              <w:t xml:space="preserve"> 20</w:t>
            </w:r>
            <w:r w:rsidR="00AE71BE" w:rsidRPr="003C7E62">
              <w:rPr>
                <w:rFonts w:eastAsia="Arial" w:cs="Arial"/>
                <w:bCs/>
                <w:color w:val="auto"/>
                <w:sz w:val="20"/>
              </w:rPr>
              <w:t>2</w:t>
            </w:r>
            <w:r w:rsidR="00A37A61">
              <w:rPr>
                <w:rFonts w:eastAsia="Arial" w:cs="Arial"/>
                <w:bCs/>
                <w:color w:val="auto"/>
                <w:sz w:val="20"/>
              </w:rPr>
              <w:t>3</w:t>
            </w:r>
            <w:r w:rsidR="002D7365" w:rsidRPr="003C7E62">
              <w:rPr>
                <w:rFonts w:eastAsia="Arial" w:cs="Arial"/>
                <w:bCs/>
                <w:color w:val="auto"/>
                <w:sz w:val="20"/>
              </w:rPr>
              <w:t xml:space="preserve">, </w:t>
            </w:r>
            <w:r w:rsidRPr="003C7E62">
              <w:rPr>
                <w:rFonts w:eastAsia="Calibri" w:cs="Arial"/>
                <w:color w:val="auto"/>
                <w:sz w:val="20"/>
                <w:lang w:eastAsia="en-US"/>
              </w:rPr>
              <w:t>P</w:t>
            </w:r>
            <w:r w:rsidR="00CF4EF1" w:rsidRPr="003C7E62">
              <w:rPr>
                <w:rFonts w:eastAsia="Calibri" w:cs="Arial"/>
                <w:color w:val="auto"/>
                <w:sz w:val="20"/>
                <w:lang w:eastAsia="en-US"/>
              </w:rPr>
              <w:t>art 4</w:t>
            </w:r>
            <w:r w:rsidR="002D7365" w:rsidRPr="003C7E62">
              <w:rPr>
                <w:rFonts w:eastAsia="Calibri" w:cs="Arial"/>
                <w:color w:val="auto"/>
                <w:sz w:val="20"/>
                <w:lang w:eastAsia="en-US"/>
              </w:rPr>
              <w:t>:</w:t>
            </w:r>
            <w:r w:rsidR="00CF4EF1" w:rsidRPr="003C7E62">
              <w:rPr>
                <w:rFonts w:eastAsia="Calibri" w:cs="Arial"/>
                <w:color w:val="auto"/>
                <w:sz w:val="20"/>
                <w:lang w:eastAsia="en-US"/>
              </w:rPr>
              <w:t xml:space="preserve"> Decision Making</w:t>
            </w:r>
            <w:r w:rsidR="002D7365" w:rsidRPr="003C7E62">
              <w:rPr>
                <w:rFonts w:eastAsia="Calibri" w:cs="Arial"/>
                <w:color w:val="auto"/>
                <w:sz w:val="20"/>
                <w:lang w:eastAsia="en-US"/>
              </w:rPr>
              <w:t>.</w:t>
            </w:r>
          </w:p>
          <w:p w14:paraId="1D9AE316" w14:textId="2FB43779" w:rsidR="00CF4EF1" w:rsidRPr="003C7E62" w:rsidRDefault="00E51D51" w:rsidP="000032A9">
            <w:pPr>
              <w:keepNext w:val="0"/>
              <w:numPr>
                <w:ilvl w:val="0"/>
                <w:numId w:val="39"/>
              </w:numPr>
              <w:spacing w:before="0"/>
              <w:rPr>
                <w:rFonts w:cs="Arial"/>
                <w:color w:val="auto"/>
                <w:sz w:val="22"/>
                <w:szCs w:val="22"/>
                <w:lang w:eastAsia="en-US"/>
              </w:rPr>
            </w:pPr>
            <w:r w:rsidRPr="003C7E62">
              <w:rPr>
                <w:rFonts w:eastAsia="Arial" w:cs="Arial"/>
                <w:bCs/>
                <w:color w:val="auto"/>
                <w:sz w:val="20"/>
              </w:rPr>
              <w:t>NPPF</w:t>
            </w:r>
            <w:r w:rsidRPr="003C7E62">
              <w:rPr>
                <w:rFonts w:cs="Arial"/>
                <w:color w:val="auto"/>
                <w:sz w:val="20"/>
                <w:lang w:eastAsia="en-US"/>
              </w:rPr>
              <w:t xml:space="preserve"> </w:t>
            </w:r>
            <w:r w:rsidR="002D7365" w:rsidRPr="003C7E62">
              <w:rPr>
                <w:rFonts w:cs="Arial"/>
                <w:color w:val="auto"/>
                <w:sz w:val="20"/>
                <w:lang w:eastAsia="en-US"/>
              </w:rPr>
              <w:t>20</w:t>
            </w:r>
            <w:r w:rsidR="00AE71BE" w:rsidRPr="003C7E62">
              <w:rPr>
                <w:rFonts w:cs="Arial"/>
                <w:color w:val="auto"/>
                <w:sz w:val="20"/>
                <w:lang w:eastAsia="en-US"/>
              </w:rPr>
              <w:t>2</w:t>
            </w:r>
            <w:r w:rsidR="00A37A61">
              <w:rPr>
                <w:rFonts w:cs="Arial"/>
                <w:color w:val="auto"/>
                <w:sz w:val="20"/>
                <w:lang w:eastAsia="en-US"/>
              </w:rPr>
              <w:t>3</w:t>
            </w:r>
            <w:r w:rsidR="002D7365" w:rsidRPr="003C7E62">
              <w:rPr>
                <w:rFonts w:cs="Arial"/>
                <w:color w:val="auto"/>
                <w:sz w:val="20"/>
                <w:lang w:eastAsia="en-US"/>
              </w:rPr>
              <w:t xml:space="preserve">, </w:t>
            </w:r>
            <w:r w:rsidR="00CF4EF1" w:rsidRPr="003C7E62">
              <w:rPr>
                <w:rFonts w:cs="Arial"/>
                <w:color w:val="auto"/>
                <w:sz w:val="20"/>
                <w:lang w:eastAsia="en-US"/>
              </w:rPr>
              <w:t xml:space="preserve">Part 5. </w:t>
            </w:r>
            <w:r w:rsidR="00CF4EF1" w:rsidRPr="003C7E62">
              <w:rPr>
                <w:rFonts w:eastAsia="Calibri" w:cs="Arial"/>
                <w:bCs/>
                <w:color w:val="auto"/>
                <w:sz w:val="20"/>
                <w:lang w:eastAsia="en-US"/>
              </w:rPr>
              <w:t>Delivering a sufficient supply of homes</w:t>
            </w:r>
            <w:r w:rsidR="002D7365" w:rsidRPr="003C7E62">
              <w:rPr>
                <w:rFonts w:eastAsia="Calibri" w:cs="Arial"/>
                <w:bCs/>
                <w:color w:val="auto"/>
                <w:sz w:val="20"/>
                <w:lang w:eastAsia="en-US"/>
              </w:rPr>
              <w:t>.</w:t>
            </w:r>
            <w:r w:rsidR="00CF4EF1" w:rsidRPr="003C7E62">
              <w:rPr>
                <w:rFonts w:cs="Arial"/>
                <w:color w:val="auto"/>
                <w:sz w:val="20"/>
                <w:lang w:eastAsia="en-US"/>
              </w:rPr>
              <w:t xml:space="preserve"> </w:t>
            </w:r>
          </w:p>
          <w:p w14:paraId="5A067245" w14:textId="195E3B0F" w:rsidR="00CF4EF1" w:rsidRPr="003C7E62" w:rsidRDefault="00E51D51" w:rsidP="000032A9">
            <w:pPr>
              <w:keepNext w:val="0"/>
              <w:numPr>
                <w:ilvl w:val="0"/>
                <w:numId w:val="35"/>
              </w:numPr>
              <w:tabs>
                <w:tab w:val="left" w:pos="680"/>
                <w:tab w:val="left" w:pos="1133"/>
                <w:tab w:val="left" w:pos="2267"/>
              </w:tabs>
              <w:spacing w:before="0" w:after="160" w:line="252" w:lineRule="auto"/>
              <w:ind w:right="284"/>
              <w:contextualSpacing/>
              <w:rPr>
                <w:rFonts w:eastAsia="Arial" w:cs="Arial"/>
                <w:bCs/>
                <w:color w:val="auto"/>
                <w:sz w:val="20"/>
              </w:rPr>
            </w:pPr>
            <w:r w:rsidRPr="003C7E62">
              <w:rPr>
                <w:rFonts w:eastAsia="Arial" w:cs="Arial"/>
                <w:bCs/>
                <w:color w:val="auto"/>
                <w:sz w:val="20"/>
              </w:rPr>
              <w:t xml:space="preserve">NPPF </w:t>
            </w:r>
            <w:r w:rsidR="002D7365" w:rsidRPr="003C7E62">
              <w:rPr>
                <w:rFonts w:eastAsia="Arial" w:cs="Arial"/>
                <w:bCs/>
                <w:color w:val="auto"/>
                <w:sz w:val="20"/>
              </w:rPr>
              <w:t>20</w:t>
            </w:r>
            <w:r w:rsidR="00AE71BE" w:rsidRPr="003C7E62">
              <w:rPr>
                <w:rFonts w:eastAsia="Arial" w:cs="Arial"/>
                <w:bCs/>
                <w:color w:val="auto"/>
                <w:sz w:val="20"/>
              </w:rPr>
              <w:t>2</w:t>
            </w:r>
            <w:r w:rsidR="00A37A61">
              <w:rPr>
                <w:rFonts w:eastAsia="Arial" w:cs="Arial"/>
                <w:bCs/>
                <w:color w:val="auto"/>
                <w:sz w:val="20"/>
              </w:rPr>
              <w:t>3</w:t>
            </w:r>
            <w:r w:rsidR="002D7365" w:rsidRPr="003C7E62">
              <w:rPr>
                <w:rFonts w:eastAsia="Arial" w:cs="Arial"/>
                <w:bCs/>
                <w:color w:val="auto"/>
                <w:sz w:val="20"/>
              </w:rPr>
              <w:t xml:space="preserve">, </w:t>
            </w:r>
            <w:r w:rsidR="00CF4EF1" w:rsidRPr="003C7E62">
              <w:rPr>
                <w:rFonts w:eastAsia="Arial" w:cs="Arial"/>
                <w:bCs/>
                <w:color w:val="auto"/>
                <w:sz w:val="20"/>
              </w:rPr>
              <w:t>Part 6</w:t>
            </w:r>
            <w:r w:rsidR="002D7365" w:rsidRPr="003C7E62">
              <w:rPr>
                <w:rFonts w:eastAsia="Arial" w:cs="Arial"/>
                <w:bCs/>
                <w:color w:val="auto"/>
                <w:sz w:val="20"/>
              </w:rPr>
              <w:t>:</w:t>
            </w:r>
            <w:r w:rsidR="00CF4EF1" w:rsidRPr="003C7E62">
              <w:rPr>
                <w:rFonts w:eastAsia="Arial" w:cs="Arial"/>
                <w:bCs/>
                <w:color w:val="auto"/>
                <w:sz w:val="20"/>
              </w:rPr>
              <w:t xml:space="preserve"> </w:t>
            </w:r>
            <w:r w:rsidR="00CF4EF1" w:rsidRPr="003C7E62">
              <w:rPr>
                <w:rFonts w:eastAsia="Calibri" w:cs="Arial"/>
                <w:bCs/>
                <w:color w:val="auto"/>
                <w:sz w:val="20"/>
                <w:lang w:eastAsia="en-US"/>
              </w:rPr>
              <w:t>Building a strong, competitive economy</w:t>
            </w:r>
            <w:r w:rsidR="002D7365" w:rsidRPr="003C7E62">
              <w:rPr>
                <w:rFonts w:eastAsia="Calibri" w:cs="Arial"/>
                <w:bCs/>
                <w:color w:val="auto"/>
                <w:sz w:val="20"/>
                <w:lang w:eastAsia="en-US"/>
              </w:rPr>
              <w:t>.</w:t>
            </w:r>
          </w:p>
          <w:p w14:paraId="76841150" w14:textId="729C2B1D" w:rsidR="00CF4EF1" w:rsidRPr="003C7E62" w:rsidRDefault="007844C8" w:rsidP="000032A9">
            <w:pPr>
              <w:keepNext w:val="0"/>
              <w:numPr>
                <w:ilvl w:val="0"/>
                <w:numId w:val="35"/>
              </w:numPr>
              <w:tabs>
                <w:tab w:val="left" w:pos="680"/>
                <w:tab w:val="left" w:pos="1133"/>
                <w:tab w:val="left" w:pos="2267"/>
              </w:tabs>
              <w:spacing w:before="0" w:after="160" w:line="252" w:lineRule="auto"/>
              <w:ind w:right="284"/>
              <w:contextualSpacing/>
              <w:rPr>
                <w:rFonts w:eastAsia="Arial" w:cs="Arial"/>
                <w:bCs/>
                <w:color w:val="auto"/>
                <w:sz w:val="20"/>
              </w:rPr>
            </w:pPr>
            <w:r>
              <w:rPr>
                <w:rFonts w:eastAsia="Arial" w:cs="Arial"/>
                <w:bCs/>
                <w:color w:val="auto"/>
                <w:sz w:val="20"/>
              </w:rPr>
              <w:t>Planning Practice Guidance: Viability as of August 2021.</w:t>
            </w:r>
          </w:p>
        </w:tc>
      </w:tr>
      <w:bookmarkEnd w:id="90"/>
    </w:tbl>
    <w:p w14:paraId="4C65733C" w14:textId="77777777" w:rsidR="003C413D" w:rsidRPr="00E3260E" w:rsidRDefault="003C413D" w:rsidP="003C413D">
      <w:pPr>
        <w:keepNext w:val="0"/>
        <w:spacing w:before="0"/>
        <w:ind w:left="851"/>
        <w:rPr>
          <w:rFonts w:eastAsia="Arial" w:cs="Arial"/>
          <w:color w:val="auto"/>
        </w:rPr>
      </w:pPr>
    </w:p>
    <w:p w14:paraId="695B33E4" w14:textId="318CEF71" w:rsidR="00CF4EF1" w:rsidRPr="00E3260E" w:rsidRDefault="00CF4EF1" w:rsidP="00874A98">
      <w:pPr>
        <w:keepNext w:val="0"/>
        <w:numPr>
          <w:ilvl w:val="1"/>
          <w:numId w:val="103"/>
        </w:numPr>
        <w:spacing w:before="0"/>
        <w:ind w:left="851" w:hanging="851"/>
        <w:rPr>
          <w:rFonts w:eastAsia="Arial" w:cs="Arial"/>
          <w:color w:val="auto"/>
        </w:rPr>
      </w:pPr>
      <w:r w:rsidRPr="00E3260E">
        <w:rPr>
          <w:rFonts w:eastAsia="Arial" w:cs="Arial"/>
          <w:color w:val="auto"/>
        </w:rPr>
        <w:t>Infrastructure has a broad definition including physical, social and green</w:t>
      </w:r>
      <w:r w:rsidR="00F449C8" w:rsidRPr="00702656">
        <w:rPr>
          <w:rFonts w:eastAsia="Arial" w:cs="Arial"/>
          <w:color w:val="2E74B5" w:themeColor="accent5" w:themeShade="BF"/>
        </w:rPr>
        <w:t>/blue</w:t>
      </w:r>
      <w:r w:rsidRPr="00F449C8">
        <w:rPr>
          <w:rFonts w:eastAsia="Arial" w:cs="Arial"/>
          <w:color w:val="2E74B5" w:themeColor="accent5" w:themeShade="BF"/>
        </w:rPr>
        <w:t xml:space="preserve"> </w:t>
      </w:r>
      <w:r w:rsidRPr="00E3260E">
        <w:rPr>
          <w:rFonts w:eastAsia="Arial" w:cs="Arial"/>
          <w:color w:val="auto"/>
        </w:rPr>
        <w:t xml:space="preserve">infrastructure needed to facilitate the amount of development proposed for the area. </w:t>
      </w:r>
      <w:r w:rsidR="002D7365" w:rsidRPr="00E3260E">
        <w:rPr>
          <w:rFonts w:eastAsia="Arial" w:cs="Arial"/>
          <w:color w:val="auto"/>
        </w:rPr>
        <w:t>I</w:t>
      </w:r>
      <w:r w:rsidRPr="00E3260E">
        <w:rPr>
          <w:rFonts w:eastAsia="Arial" w:cs="Arial"/>
          <w:color w:val="auto"/>
        </w:rPr>
        <w:t>nfrastructure provision</w:t>
      </w:r>
      <w:r w:rsidR="002D7365" w:rsidRPr="00E3260E">
        <w:rPr>
          <w:rFonts w:eastAsia="Arial" w:cs="Arial"/>
          <w:color w:val="auto"/>
        </w:rPr>
        <w:t xml:space="preserve"> can be:</w:t>
      </w:r>
    </w:p>
    <w:p w14:paraId="43570836" w14:textId="787A0BA4" w:rsidR="00743F63" w:rsidRDefault="00CF4EF1" w:rsidP="002430A6">
      <w:pPr>
        <w:pStyle w:val="ListParagraph"/>
        <w:keepLines/>
        <w:numPr>
          <w:ilvl w:val="0"/>
          <w:numId w:val="124"/>
        </w:numPr>
        <w:suppressAutoHyphens/>
        <w:spacing w:after="0" w:line="240" w:lineRule="auto"/>
        <w:ind w:left="1208" w:right="57" w:hanging="357"/>
        <w:textAlignment w:val="baseline"/>
        <w:rPr>
          <w:rFonts w:ascii="Arial" w:eastAsia="Arial" w:hAnsi="Arial" w:cs="Arial"/>
          <w:color w:val="auto"/>
        </w:rPr>
      </w:pPr>
      <w:r w:rsidRPr="00E3260E">
        <w:rPr>
          <w:rFonts w:ascii="Arial" w:eastAsia="Arial" w:hAnsi="Arial" w:cs="Arial"/>
          <w:color w:val="auto"/>
        </w:rPr>
        <w:t>Strategic</w:t>
      </w:r>
      <w:r w:rsidR="00C61685" w:rsidRPr="00E3260E">
        <w:rPr>
          <w:rFonts w:ascii="Arial" w:eastAsia="Arial" w:hAnsi="Arial" w:cs="Arial"/>
          <w:color w:val="auto"/>
        </w:rPr>
        <w:t xml:space="preserve"> - </w:t>
      </w:r>
      <w:r w:rsidRPr="00E3260E">
        <w:rPr>
          <w:rFonts w:ascii="Arial" w:eastAsia="Arial" w:hAnsi="Arial" w:cs="Arial"/>
          <w:color w:val="auto"/>
        </w:rPr>
        <w:t xml:space="preserve">usually be delivered off-site </w:t>
      </w:r>
      <w:r w:rsidRPr="003C7E62">
        <w:rPr>
          <w:rFonts w:ascii="Arial" w:eastAsia="Arial" w:hAnsi="Arial" w:cs="Arial"/>
          <w:color w:val="auto"/>
        </w:rPr>
        <w:t>and outlined in the Infrastructure Delivery Plan (some infrastructure needs may cross District boundaries)</w:t>
      </w:r>
      <w:r w:rsidR="0061668F">
        <w:rPr>
          <w:rFonts w:ascii="Arial" w:eastAsia="Arial" w:hAnsi="Arial" w:cs="Arial"/>
          <w:color w:val="auto"/>
        </w:rPr>
        <w:t>.</w:t>
      </w:r>
    </w:p>
    <w:p w14:paraId="4B5E77C2" w14:textId="77777777" w:rsidR="0061668F" w:rsidRPr="003C7E62" w:rsidRDefault="0061668F" w:rsidP="002430A6">
      <w:pPr>
        <w:pStyle w:val="ListParagraph"/>
        <w:keepLines/>
        <w:suppressAutoHyphens/>
        <w:spacing w:after="0" w:line="240" w:lineRule="auto"/>
        <w:ind w:left="1208" w:right="57"/>
        <w:textAlignment w:val="baseline"/>
        <w:rPr>
          <w:rFonts w:ascii="Arial" w:eastAsia="Arial" w:hAnsi="Arial" w:cs="Arial"/>
          <w:color w:val="auto"/>
        </w:rPr>
      </w:pPr>
    </w:p>
    <w:p w14:paraId="3D83CBDA" w14:textId="3E1C7F77" w:rsidR="0061668F" w:rsidRDefault="00CF4EF1" w:rsidP="002430A6">
      <w:pPr>
        <w:pStyle w:val="ListParagraph"/>
        <w:keepLines/>
        <w:numPr>
          <w:ilvl w:val="0"/>
          <w:numId w:val="124"/>
        </w:numPr>
        <w:suppressAutoHyphens/>
        <w:spacing w:after="0" w:line="240" w:lineRule="auto"/>
        <w:ind w:left="1208" w:right="57" w:hanging="357"/>
        <w:textAlignment w:val="baseline"/>
        <w:rPr>
          <w:rFonts w:ascii="Arial" w:eastAsia="Arial" w:hAnsi="Arial" w:cs="Arial"/>
          <w:color w:val="auto"/>
        </w:rPr>
      </w:pPr>
      <w:r w:rsidRPr="003C7E62">
        <w:rPr>
          <w:rFonts w:ascii="Arial" w:eastAsia="Arial" w:hAnsi="Arial" w:cs="Arial"/>
          <w:color w:val="auto"/>
        </w:rPr>
        <w:t>Local</w:t>
      </w:r>
      <w:r w:rsidR="00C61685" w:rsidRPr="003C7E62">
        <w:rPr>
          <w:rFonts w:ascii="Arial" w:eastAsia="Arial" w:hAnsi="Arial" w:cs="Arial"/>
          <w:color w:val="auto"/>
        </w:rPr>
        <w:t xml:space="preserve"> -</w:t>
      </w:r>
      <w:r w:rsidRPr="003C7E62">
        <w:rPr>
          <w:rFonts w:ascii="Arial" w:eastAsia="Arial" w:hAnsi="Arial" w:cs="Arial"/>
          <w:color w:val="auto"/>
        </w:rPr>
        <w:t xml:space="preserve"> may be delivered on larger developments through on-site delivery; or through off-site investment in existing infrastructure within the area of the development, necessary to mitigate the cumulative impact of development</w:t>
      </w:r>
      <w:r w:rsidR="0061668F">
        <w:rPr>
          <w:rFonts w:ascii="Arial" w:eastAsia="Arial" w:hAnsi="Arial" w:cs="Arial"/>
          <w:color w:val="auto"/>
        </w:rPr>
        <w:t>.</w:t>
      </w:r>
    </w:p>
    <w:p w14:paraId="09FC2E77" w14:textId="0F5B52CA" w:rsidR="00743F63" w:rsidRPr="0061668F" w:rsidRDefault="00CF4EF1" w:rsidP="002430A6">
      <w:pPr>
        <w:keepLines/>
        <w:suppressAutoHyphens/>
        <w:spacing w:before="0"/>
        <w:ind w:right="57"/>
        <w:textAlignment w:val="baseline"/>
        <w:rPr>
          <w:rFonts w:eastAsia="Arial" w:cs="Arial"/>
          <w:color w:val="auto"/>
        </w:rPr>
      </w:pPr>
      <w:r w:rsidRPr="0061668F">
        <w:rPr>
          <w:rFonts w:eastAsia="Arial" w:cs="Arial"/>
          <w:color w:val="auto"/>
        </w:rPr>
        <w:t xml:space="preserve"> </w:t>
      </w:r>
    </w:p>
    <w:p w14:paraId="0701E54D" w14:textId="489175BD" w:rsidR="00CF4EF1" w:rsidRPr="003C7E62" w:rsidRDefault="00C61685" w:rsidP="002430A6">
      <w:pPr>
        <w:pStyle w:val="ListParagraph"/>
        <w:keepLines/>
        <w:numPr>
          <w:ilvl w:val="0"/>
          <w:numId w:val="124"/>
        </w:numPr>
        <w:suppressAutoHyphens/>
        <w:spacing w:after="0" w:line="240" w:lineRule="auto"/>
        <w:ind w:left="1208" w:right="57" w:hanging="357"/>
        <w:textAlignment w:val="baseline"/>
        <w:rPr>
          <w:rFonts w:ascii="Arial" w:eastAsia="Arial" w:hAnsi="Arial" w:cs="Arial"/>
          <w:color w:val="auto"/>
        </w:rPr>
      </w:pPr>
      <w:r w:rsidRPr="003C7E62">
        <w:rPr>
          <w:rFonts w:ascii="Arial" w:eastAsia="Arial" w:hAnsi="Arial" w:cs="Arial"/>
          <w:color w:val="auto"/>
        </w:rPr>
        <w:t>O</w:t>
      </w:r>
      <w:r w:rsidR="00CF4EF1" w:rsidRPr="003C7E62">
        <w:rPr>
          <w:rFonts w:ascii="Arial" w:eastAsia="Arial" w:hAnsi="Arial" w:cs="Arial"/>
          <w:color w:val="auto"/>
        </w:rPr>
        <w:t>n-site</w:t>
      </w:r>
      <w:r w:rsidRPr="003C7E62">
        <w:rPr>
          <w:rFonts w:ascii="Arial" w:eastAsia="Arial" w:hAnsi="Arial" w:cs="Arial"/>
          <w:color w:val="auto"/>
        </w:rPr>
        <w:t xml:space="preserve"> - </w:t>
      </w:r>
      <w:r w:rsidR="00CF4EF1" w:rsidRPr="003C7E62">
        <w:rPr>
          <w:rFonts w:ascii="Arial" w:eastAsia="Arial" w:hAnsi="Arial" w:cs="Arial"/>
          <w:color w:val="auto"/>
        </w:rPr>
        <w:t>arising from a direct link between the development and the provision or improvements to infrastructure.</w:t>
      </w:r>
    </w:p>
    <w:p w14:paraId="3DC2DB1F" w14:textId="77777777" w:rsidR="00743F63" w:rsidRPr="003C7E62" w:rsidRDefault="00743F63" w:rsidP="002430A6">
      <w:pPr>
        <w:keepNext w:val="0"/>
        <w:keepLines/>
        <w:suppressAutoHyphens/>
        <w:spacing w:before="0"/>
        <w:ind w:left="1418" w:right="56"/>
        <w:textAlignment w:val="baseline"/>
        <w:rPr>
          <w:rFonts w:eastAsia="Arial" w:cs="Arial"/>
          <w:color w:val="auto"/>
        </w:rPr>
      </w:pPr>
    </w:p>
    <w:p w14:paraId="00422529" w14:textId="629A6692" w:rsidR="00CF19CA" w:rsidRPr="003C7E62" w:rsidRDefault="00CF4EF1" w:rsidP="00874A98">
      <w:pPr>
        <w:keepNext w:val="0"/>
        <w:numPr>
          <w:ilvl w:val="1"/>
          <w:numId w:val="103"/>
        </w:numPr>
        <w:spacing w:before="0"/>
        <w:ind w:left="851" w:hanging="851"/>
        <w:rPr>
          <w:rFonts w:eastAsia="Arial" w:cs="Arial"/>
          <w:color w:val="auto"/>
        </w:rPr>
      </w:pPr>
      <w:r w:rsidRPr="003C7E62">
        <w:rPr>
          <w:rFonts w:eastAsia="Arial" w:cs="Arial"/>
          <w:color w:val="auto"/>
        </w:rPr>
        <w:t xml:space="preserve">All development must </w:t>
      </w:r>
      <w:proofErr w:type="gramStart"/>
      <w:r w:rsidRPr="003C7E62">
        <w:rPr>
          <w:rFonts w:eastAsia="Arial" w:cs="Arial"/>
          <w:color w:val="auto"/>
        </w:rPr>
        <w:t>take into account</w:t>
      </w:r>
      <w:proofErr w:type="gramEnd"/>
      <w:r w:rsidRPr="003C7E62">
        <w:rPr>
          <w:rFonts w:eastAsia="Arial" w:cs="Arial"/>
          <w:color w:val="auto"/>
        </w:rPr>
        <w:t xml:space="preserve"> the need to provide necessary infrastructure to enable and/ or support development, including (but not limited to) </w:t>
      </w:r>
      <w:bookmarkStart w:id="93" w:name="_Hlk153371255"/>
      <w:r w:rsidRPr="003C7E62">
        <w:rPr>
          <w:rFonts w:eastAsia="Arial" w:cs="Arial"/>
          <w:color w:val="auto"/>
        </w:rPr>
        <w:t>transport, education, health, green</w:t>
      </w:r>
      <w:r w:rsidR="00F449C8">
        <w:rPr>
          <w:rFonts w:eastAsia="Arial" w:cs="Arial"/>
          <w:color w:val="auto"/>
        </w:rPr>
        <w:t xml:space="preserve"> </w:t>
      </w:r>
      <w:r w:rsidR="00F449C8" w:rsidRPr="00702656">
        <w:rPr>
          <w:rFonts w:eastAsia="Arial" w:cs="Arial"/>
          <w:color w:val="2E74B5" w:themeColor="accent5" w:themeShade="BF"/>
        </w:rPr>
        <w:t>and blue</w:t>
      </w:r>
      <w:r w:rsidRPr="00F449C8">
        <w:rPr>
          <w:rFonts w:eastAsia="Arial" w:cs="Arial"/>
          <w:color w:val="2E74B5" w:themeColor="accent5" w:themeShade="BF"/>
        </w:rPr>
        <w:t xml:space="preserve"> </w:t>
      </w:r>
      <w:r w:rsidRPr="003C7E62">
        <w:rPr>
          <w:rFonts w:eastAsia="Arial" w:cs="Arial"/>
          <w:color w:val="auto"/>
        </w:rPr>
        <w:t xml:space="preserve">Infrastructure, utilities, waste facilities, wastewater, leisure, cultural and community facilities. </w:t>
      </w:r>
      <w:bookmarkEnd w:id="93"/>
      <w:r w:rsidRPr="003C7E62">
        <w:rPr>
          <w:rFonts w:eastAsia="Arial" w:cs="Arial"/>
          <w:color w:val="auto"/>
        </w:rPr>
        <w:t>Additionally, sustainable development requires facilities and services to support communities and facilitate economic development. The coordinated delivery of adequately funded infrastructure at the right time and in the right place is key to ensuring that local services, facilities and the transport network can cope with any added demand that arises from housing growth and other new development</w:t>
      </w:r>
      <w:r w:rsidR="00CF19CA" w:rsidRPr="003C7E62">
        <w:rPr>
          <w:rFonts w:eastAsia="Arial" w:cs="Arial"/>
          <w:color w:val="auto"/>
        </w:rPr>
        <w:t>.</w:t>
      </w:r>
    </w:p>
    <w:p w14:paraId="63AAB782" w14:textId="77777777" w:rsidR="00CF19CA" w:rsidRPr="003C7E62" w:rsidRDefault="00CF19CA" w:rsidP="00F11936">
      <w:pPr>
        <w:keepNext w:val="0"/>
        <w:spacing w:before="0"/>
        <w:ind w:left="851"/>
        <w:rPr>
          <w:rFonts w:eastAsia="Arial" w:cs="Arial"/>
          <w:color w:val="auto"/>
        </w:rPr>
      </w:pPr>
    </w:p>
    <w:p w14:paraId="52A452AE" w14:textId="77777777" w:rsidR="00CF19CA" w:rsidRPr="003C7E62" w:rsidRDefault="00CF4EF1" w:rsidP="00874A98">
      <w:pPr>
        <w:keepNext w:val="0"/>
        <w:numPr>
          <w:ilvl w:val="1"/>
          <w:numId w:val="103"/>
        </w:numPr>
        <w:spacing w:before="0"/>
        <w:ind w:left="851" w:hanging="851"/>
        <w:rPr>
          <w:rFonts w:eastAsia="Arial" w:cs="Arial"/>
          <w:color w:val="auto"/>
        </w:rPr>
      </w:pPr>
      <w:r w:rsidRPr="003C7E62">
        <w:rPr>
          <w:rFonts w:eastAsia="Arial" w:cs="Arial"/>
          <w:color w:val="000000"/>
        </w:rPr>
        <w:t>As such, infrastructure</w:t>
      </w:r>
      <w:r w:rsidRPr="003C7E62">
        <w:rPr>
          <w:rFonts w:eastAsia="Arial" w:cs="Arial"/>
          <w:color w:val="auto"/>
        </w:rPr>
        <w:t xml:space="preserve"> planning and delivery fulfil a key role in the plan making process by identifying where or when deficits or surpluses of capacity exist and predict future capacity issues brought about by development.  </w:t>
      </w:r>
    </w:p>
    <w:p w14:paraId="0504CC55" w14:textId="77777777" w:rsidR="00CF19CA" w:rsidRPr="003C7E62" w:rsidRDefault="00CF19CA" w:rsidP="00F11936">
      <w:pPr>
        <w:spacing w:before="0"/>
        <w:rPr>
          <w:rFonts w:eastAsia="Arial" w:cs="Arial"/>
          <w:color w:val="auto"/>
        </w:rPr>
      </w:pPr>
    </w:p>
    <w:p w14:paraId="7EE66E34" w14:textId="076F5545" w:rsidR="00F85FC9" w:rsidRPr="003C7E62" w:rsidRDefault="00CF4EF1" w:rsidP="00874A98">
      <w:pPr>
        <w:keepNext w:val="0"/>
        <w:numPr>
          <w:ilvl w:val="1"/>
          <w:numId w:val="103"/>
        </w:numPr>
        <w:spacing w:before="0"/>
        <w:ind w:left="851" w:hanging="851"/>
        <w:rPr>
          <w:rFonts w:eastAsia="Arial" w:cs="Arial"/>
          <w:color w:val="auto"/>
        </w:rPr>
      </w:pPr>
      <w:r w:rsidRPr="003C7E62">
        <w:rPr>
          <w:rFonts w:eastAsia="Arial" w:cs="Arial"/>
          <w:color w:val="auto"/>
        </w:rPr>
        <w:t xml:space="preserve">Without appropriate measures to mitigate impact and investment to enable the provision of infrastructure improvements, development will be neither sustainable nor acceptable. </w:t>
      </w:r>
      <w:bookmarkStart w:id="94" w:name="_Hlk153372391"/>
      <w:r w:rsidRPr="003C7E62">
        <w:rPr>
          <w:rFonts w:eastAsia="Arial" w:cs="Arial"/>
          <w:color w:val="auto"/>
        </w:rPr>
        <w:t>New development will therefore be required to</w:t>
      </w:r>
      <w:r w:rsidRPr="003C7E62">
        <w:rPr>
          <w:rFonts w:eastAsia="Arial" w:cs="Arial"/>
          <w:color w:val="0070C0"/>
        </w:rPr>
        <w:t xml:space="preserve"> </w:t>
      </w:r>
      <w:r w:rsidRPr="003C7E62">
        <w:rPr>
          <w:rFonts w:eastAsia="Arial" w:cs="Arial"/>
          <w:color w:val="auto"/>
        </w:rPr>
        <w:t xml:space="preserve">provide or contribute towards the provision of the necessary infrastructure, facilities and services in a timely manner </w:t>
      </w:r>
      <w:proofErr w:type="gramStart"/>
      <w:r w:rsidRPr="003C7E62">
        <w:rPr>
          <w:rFonts w:eastAsia="Arial" w:cs="Arial"/>
          <w:color w:val="auto"/>
        </w:rPr>
        <w:t>so as to</w:t>
      </w:r>
      <w:proofErr w:type="gramEnd"/>
      <w:r w:rsidRPr="003C7E62">
        <w:rPr>
          <w:rFonts w:eastAsia="Arial" w:cs="Arial"/>
          <w:color w:val="auto"/>
        </w:rPr>
        <w:t xml:space="preserve"> support the growth of the </w:t>
      </w:r>
      <w:proofErr w:type="gramStart"/>
      <w:r w:rsidRPr="003C7E62">
        <w:rPr>
          <w:rFonts w:eastAsia="Arial" w:cs="Arial"/>
          <w:color w:val="auto"/>
        </w:rPr>
        <w:t>District</w:t>
      </w:r>
      <w:proofErr w:type="gramEnd"/>
      <w:r w:rsidRPr="003C7E62">
        <w:rPr>
          <w:rFonts w:eastAsia="Arial" w:cs="Arial"/>
          <w:color w:val="auto"/>
        </w:rPr>
        <w:t>.</w:t>
      </w:r>
    </w:p>
    <w:bookmarkEnd w:id="94"/>
    <w:p w14:paraId="5526D9A2" w14:textId="77777777" w:rsidR="004E3862" w:rsidRPr="003C7E62" w:rsidRDefault="004E3862" w:rsidP="00F11936">
      <w:pPr>
        <w:keepNext w:val="0"/>
        <w:spacing w:before="0"/>
        <w:ind w:left="851"/>
        <w:rPr>
          <w:rFonts w:eastAsia="Arial" w:cs="Arial"/>
          <w:color w:val="auto"/>
        </w:rPr>
      </w:pPr>
    </w:p>
    <w:p w14:paraId="15546593" w14:textId="77777777" w:rsidR="00606E15" w:rsidRPr="00A32846" w:rsidRDefault="00A02441" w:rsidP="00874A98">
      <w:pPr>
        <w:keepNext w:val="0"/>
        <w:numPr>
          <w:ilvl w:val="1"/>
          <w:numId w:val="103"/>
        </w:numPr>
        <w:spacing w:before="0"/>
        <w:ind w:left="851" w:hanging="851"/>
        <w:rPr>
          <w:rFonts w:eastAsia="Arial" w:cs="Arial"/>
        </w:rPr>
      </w:pPr>
      <w:r w:rsidRPr="00A32846">
        <w:rPr>
          <w:rFonts w:eastAsia="Arial" w:cs="Arial"/>
        </w:rPr>
        <w:t xml:space="preserve">Where </w:t>
      </w:r>
      <w:r w:rsidR="00606E15" w:rsidRPr="00A32846">
        <w:rPr>
          <w:rFonts w:eastAsia="Arial" w:cs="Arial"/>
        </w:rPr>
        <w:t>infrastructure has been forward funded in advance of developer contributions being received, those contributions remain necessary as mitigation for the development.  For example, the local authority’s expansion of a secondary school to ensure that places are available in time to support development coming forward.</w:t>
      </w:r>
    </w:p>
    <w:p w14:paraId="61C986DA" w14:textId="77777777" w:rsidR="00606E15" w:rsidRPr="00A32846" w:rsidRDefault="00606E15" w:rsidP="00606E15">
      <w:pPr>
        <w:pStyle w:val="ListParagraph"/>
        <w:spacing w:after="0" w:line="240" w:lineRule="auto"/>
        <w:rPr>
          <w:rFonts w:eastAsia="Arial" w:cs="Arial"/>
        </w:rPr>
      </w:pPr>
    </w:p>
    <w:p w14:paraId="462B186E" w14:textId="4ADB2C8B" w:rsidR="008555C0" w:rsidRPr="00A32846" w:rsidRDefault="008555C0" w:rsidP="00874A98">
      <w:pPr>
        <w:keepNext w:val="0"/>
        <w:numPr>
          <w:ilvl w:val="1"/>
          <w:numId w:val="103"/>
        </w:numPr>
        <w:spacing w:before="0"/>
        <w:ind w:left="851" w:hanging="851"/>
        <w:rPr>
          <w:rFonts w:eastAsia="Arial" w:cs="Arial"/>
        </w:rPr>
      </w:pPr>
      <w:bookmarkStart w:id="95" w:name="_Hlk148434380"/>
      <w:r w:rsidRPr="00A32846">
        <w:rPr>
          <w:rFonts w:eastAsia="Arial" w:cs="Arial"/>
        </w:rPr>
        <w:t xml:space="preserve">The </w:t>
      </w:r>
      <w:r w:rsidR="000E778B">
        <w:rPr>
          <w:rFonts w:eastAsia="Arial" w:cs="Arial"/>
        </w:rPr>
        <w:t>2023</w:t>
      </w:r>
      <w:r w:rsidRPr="00A32846">
        <w:rPr>
          <w:rFonts w:eastAsia="Arial" w:cs="Arial"/>
        </w:rPr>
        <w:t xml:space="preserve"> Ashfield Transport Study </w:t>
      </w:r>
      <w:bookmarkEnd w:id="95"/>
      <w:r w:rsidR="00862BB0">
        <w:rPr>
          <w:rFonts w:eastAsia="Arial" w:cs="Arial"/>
        </w:rPr>
        <w:t xml:space="preserve">has </w:t>
      </w:r>
      <w:proofErr w:type="gramStart"/>
      <w:r w:rsidR="00862BB0">
        <w:rPr>
          <w:rFonts w:eastAsia="Arial" w:cs="Arial"/>
        </w:rPr>
        <w:t>made</w:t>
      </w:r>
      <w:r w:rsidRPr="00A32846">
        <w:rPr>
          <w:rFonts w:eastAsia="Arial" w:cs="Arial"/>
        </w:rPr>
        <w:t xml:space="preserve"> an </w:t>
      </w:r>
      <w:r w:rsidRPr="00A32846">
        <w:rPr>
          <w:rFonts w:cs="Arial"/>
          <w:szCs w:val="24"/>
        </w:rPr>
        <w:t>assessment of</w:t>
      </w:r>
      <w:proofErr w:type="gramEnd"/>
      <w:r w:rsidRPr="00A32846">
        <w:rPr>
          <w:rFonts w:cs="Arial"/>
          <w:szCs w:val="24"/>
        </w:rPr>
        <w:t xml:space="preserve"> the transport impact of the </w:t>
      </w:r>
      <w:r w:rsidR="000E778B">
        <w:rPr>
          <w:rFonts w:cs="Arial"/>
          <w:szCs w:val="24"/>
        </w:rPr>
        <w:t xml:space="preserve">Draft </w:t>
      </w:r>
      <w:r w:rsidRPr="00A32846">
        <w:rPr>
          <w:rFonts w:cs="Arial"/>
          <w:szCs w:val="24"/>
        </w:rPr>
        <w:t xml:space="preserve">Local Plan to provide an indication of whether the development </w:t>
      </w:r>
      <w:r w:rsidRPr="00A32846">
        <w:rPr>
          <w:rFonts w:cs="Arial"/>
          <w:szCs w:val="24"/>
        </w:rPr>
        <w:lastRenderedPageBreak/>
        <w:t xml:space="preserve">proposals are feasible in transport terms and, if so, what mitigation is required to accommodate the Local Plan developments.  </w:t>
      </w:r>
    </w:p>
    <w:p w14:paraId="24B1BA26" w14:textId="77777777" w:rsidR="00E963E4" w:rsidRPr="00E963E4" w:rsidRDefault="00E963E4" w:rsidP="00E963E4">
      <w:pPr>
        <w:keepNext w:val="0"/>
        <w:spacing w:before="0"/>
        <w:ind w:left="851"/>
        <w:rPr>
          <w:rFonts w:eastAsia="Arial" w:cs="Arial"/>
          <w:color w:val="auto"/>
        </w:rPr>
      </w:pPr>
    </w:p>
    <w:p w14:paraId="53B53649" w14:textId="390DC606" w:rsidR="00743F63" w:rsidRPr="003C0768" w:rsidRDefault="00E963E4" w:rsidP="00874A98">
      <w:pPr>
        <w:keepNext w:val="0"/>
        <w:numPr>
          <w:ilvl w:val="1"/>
          <w:numId w:val="103"/>
        </w:numPr>
        <w:spacing w:before="0"/>
        <w:ind w:left="851" w:hanging="851"/>
        <w:rPr>
          <w:rFonts w:cs="Arial"/>
          <w:b/>
          <w:bCs/>
          <w:color w:val="auto"/>
          <w:szCs w:val="24"/>
        </w:rPr>
      </w:pPr>
      <w:r w:rsidRPr="00862BB0">
        <w:rPr>
          <w:rFonts w:eastAsia="Arial" w:cs="Arial"/>
          <w:color w:val="auto"/>
        </w:rPr>
        <w:t xml:space="preserve">The upgrading of the existing freight-only line (Maid Marian Line) between the Robin Hood Line in Nottinghamshire and the Pye Bridge junction of the Erewash Valley Line in Derbyshire (between Kirkby Lane End and </w:t>
      </w:r>
      <w:proofErr w:type="spellStart"/>
      <w:r w:rsidRPr="00862BB0">
        <w:rPr>
          <w:rFonts w:eastAsia="Arial" w:cs="Arial"/>
          <w:color w:val="auto"/>
        </w:rPr>
        <w:t>Ironville</w:t>
      </w:r>
      <w:proofErr w:type="spellEnd"/>
      <w:r w:rsidRPr="00862BB0">
        <w:rPr>
          <w:rFonts w:eastAsia="Arial" w:cs="Arial"/>
          <w:color w:val="auto"/>
        </w:rPr>
        <w:t xml:space="preserve"> Junctions), to convert it to carry passenger trains on a regular basis has the potential for positive economic impacts by enhancing the viability and attractiveness of key locations and sites along the route.  (See supporting information to Policy </w:t>
      </w:r>
      <w:r w:rsidRPr="00862BB0">
        <w:rPr>
          <w:rFonts w:eastAsia="Arial" w:cs="Arial"/>
        </w:rPr>
        <w:t>S</w:t>
      </w:r>
      <w:r w:rsidR="00627321" w:rsidRPr="00862BB0">
        <w:rPr>
          <w:rFonts w:eastAsia="Arial" w:cs="Arial"/>
        </w:rPr>
        <w:t>8</w:t>
      </w:r>
      <w:r w:rsidRPr="00862BB0">
        <w:rPr>
          <w:rFonts w:eastAsia="Arial" w:cs="Arial"/>
          <w:color w:val="auto"/>
        </w:rPr>
        <w:t xml:space="preserve"> </w:t>
      </w:r>
      <w:r w:rsidR="000E3EB6">
        <w:rPr>
          <w:rFonts w:eastAsia="Arial" w:cs="Arial"/>
          <w:color w:val="auto"/>
        </w:rPr>
        <w:t xml:space="preserve">Delivering </w:t>
      </w:r>
      <w:r w:rsidRPr="00862BB0">
        <w:rPr>
          <w:rFonts w:eastAsia="Arial" w:cs="Arial"/>
          <w:color w:val="auto"/>
        </w:rPr>
        <w:t>Economy</w:t>
      </w:r>
      <w:r w:rsidR="000E3EB6">
        <w:rPr>
          <w:rFonts w:eastAsia="Arial" w:cs="Arial"/>
          <w:color w:val="auto"/>
        </w:rPr>
        <w:t xml:space="preserve"> Opportunities</w:t>
      </w:r>
      <w:r w:rsidRPr="00862BB0">
        <w:rPr>
          <w:rFonts w:eastAsia="Arial" w:cs="Arial"/>
          <w:color w:val="auto"/>
        </w:rPr>
        <w:t xml:space="preserve">).  </w:t>
      </w:r>
    </w:p>
    <w:p w14:paraId="1716A83F" w14:textId="77777777" w:rsidR="003C0768" w:rsidRPr="00862BB0" w:rsidRDefault="003C0768" w:rsidP="003C0768">
      <w:pPr>
        <w:keepNext w:val="0"/>
        <w:spacing w:before="0"/>
        <w:rPr>
          <w:rFonts w:cs="Arial"/>
          <w:b/>
          <w:bCs/>
          <w:color w:val="auto"/>
          <w:szCs w:val="24"/>
        </w:rPr>
      </w:pPr>
    </w:p>
    <w:p w14:paraId="6C3C2C65" w14:textId="6F28DE5F" w:rsidR="002866EF" w:rsidRPr="009D5737" w:rsidRDefault="002866EF" w:rsidP="009D5737">
      <w:pPr>
        <w:pStyle w:val="Heading2"/>
        <w:jc w:val="left"/>
        <w:rPr>
          <w:sz w:val="28"/>
          <w:szCs w:val="28"/>
        </w:rPr>
      </w:pPr>
      <w:bookmarkStart w:id="96" w:name="_Toc145511562"/>
      <w:r w:rsidRPr="009D5737">
        <w:rPr>
          <w:sz w:val="28"/>
          <w:szCs w:val="28"/>
        </w:rPr>
        <w:t>Strategic Policy S1</w:t>
      </w:r>
      <w:r w:rsidR="005908AA" w:rsidRPr="009D5737">
        <w:rPr>
          <w:sz w:val="28"/>
          <w:szCs w:val="28"/>
        </w:rPr>
        <w:t>0</w:t>
      </w:r>
      <w:r w:rsidRPr="009D5737">
        <w:rPr>
          <w:sz w:val="28"/>
          <w:szCs w:val="28"/>
        </w:rPr>
        <w:t xml:space="preserve">: </w:t>
      </w:r>
      <w:r w:rsidR="00162A7B" w:rsidRPr="009D5737">
        <w:rPr>
          <w:sz w:val="28"/>
          <w:szCs w:val="28"/>
        </w:rPr>
        <w:t>Improving Transport Infrastructure.</w:t>
      </w:r>
      <w:bookmarkEnd w:id="96"/>
    </w:p>
    <w:p w14:paraId="744EE967" w14:textId="77777777" w:rsidR="00F26A22" w:rsidRPr="003C7E62" w:rsidRDefault="00F26A22" w:rsidP="002866EF">
      <w:pPr>
        <w:rPr>
          <w:rFonts w:cs="Arial"/>
          <w:b/>
          <w:bCs/>
          <w:color w:val="auto"/>
          <w:szCs w:val="24"/>
        </w:rPr>
      </w:pPr>
    </w:p>
    <w:tbl>
      <w:tblPr>
        <w:tblStyle w:val="ReportTable1"/>
        <w:tblW w:w="9634" w:type="dxa"/>
        <w:tblLook w:val="04A0" w:firstRow="1" w:lastRow="0" w:firstColumn="1" w:lastColumn="0" w:noHBand="0" w:noVBand="1"/>
      </w:tblPr>
      <w:tblGrid>
        <w:gridCol w:w="1838"/>
        <w:gridCol w:w="779"/>
        <w:gridCol w:w="7017"/>
      </w:tblGrid>
      <w:tr w:rsidR="000A144B" w:rsidRPr="003C7E62" w14:paraId="4AF85A9E" w14:textId="77777777" w:rsidTr="003C413D">
        <w:tc>
          <w:tcPr>
            <w:tcW w:w="9634" w:type="dxa"/>
            <w:gridSpan w:val="3"/>
          </w:tcPr>
          <w:p w14:paraId="5B03F261" w14:textId="77777777" w:rsidR="009B4089" w:rsidRDefault="009B4089" w:rsidP="009B4089">
            <w:pPr>
              <w:spacing w:before="0"/>
              <w:rPr>
                <w:rFonts w:cs="Arial"/>
                <w:b/>
                <w:bCs/>
                <w:color w:val="auto"/>
                <w:szCs w:val="24"/>
              </w:rPr>
            </w:pPr>
            <w:bookmarkStart w:id="97" w:name="_Hlk78262865"/>
          </w:p>
          <w:p w14:paraId="72307818" w14:textId="4932D0A1" w:rsidR="000A144B" w:rsidRDefault="000A144B" w:rsidP="009B4089">
            <w:pPr>
              <w:spacing w:before="0"/>
              <w:rPr>
                <w:rFonts w:cs="Arial"/>
                <w:b/>
                <w:bCs/>
                <w:color w:val="auto"/>
                <w:szCs w:val="24"/>
              </w:rPr>
            </w:pPr>
            <w:bookmarkStart w:id="98" w:name="_Hlk146187786"/>
            <w:r w:rsidRPr="003C7E62">
              <w:rPr>
                <w:rFonts w:cs="Arial"/>
                <w:b/>
                <w:bCs/>
                <w:color w:val="auto"/>
                <w:szCs w:val="24"/>
              </w:rPr>
              <w:t xml:space="preserve">Strategic Policy </w:t>
            </w:r>
            <w:bookmarkStart w:id="99" w:name="_Hlk140046668"/>
            <w:r w:rsidRPr="003C7E62">
              <w:rPr>
                <w:rFonts w:cs="Arial"/>
                <w:b/>
                <w:bCs/>
                <w:color w:val="auto"/>
                <w:szCs w:val="24"/>
              </w:rPr>
              <w:t>S</w:t>
            </w:r>
            <w:r w:rsidR="005908AA" w:rsidRPr="00A32846">
              <w:rPr>
                <w:rFonts w:cs="Arial"/>
                <w:b/>
                <w:bCs/>
                <w:szCs w:val="24"/>
              </w:rPr>
              <w:t>10</w:t>
            </w:r>
            <w:r w:rsidRPr="003C7E62">
              <w:rPr>
                <w:rFonts w:cs="Arial"/>
                <w:b/>
                <w:bCs/>
                <w:color w:val="auto"/>
                <w:szCs w:val="24"/>
              </w:rPr>
              <w:t xml:space="preserve">: </w:t>
            </w:r>
            <w:r w:rsidR="00162A7B" w:rsidRPr="00162A7B">
              <w:rPr>
                <w:rFonts w:cs="Arial"/>
                <w:b/>
                <w:bCs/>
                <w:color w:val="auto"/>
                <w:szCs w:val="24"/>
              </w:rPr>
              <w:t xml:space="preserve">Improving Transport </w:t>
            </w:r>
            <w:bookmarkEnd w:id="99"/>
            <w:r w:rsidR="00162A7B" w:rsidRPr="00162A7B">
              <w:rPr>
                <w:rFonts w:cs="Arial"/>
                <w:b/>
                <w:bCs/>
                <w:color w:val="auto"/>
                <w:szCs w:val="24"/>
              </w:rPr>
              <w:t>Infrastructure</w:t>
            </w:r>
            <w:bookmarkEnd w:id="98"/>
            <w:r w:rsidR="00162A7B" w:rsidRPr="00162A7B">
              <w:rPr>
                <w:rFonts w:cs="Arial"/>
                <w:b/>
                <w:bCs/>
                <w:color w:val="auto"/>
                <w:szCs w:val="24"/>
              </w:rPr>
              <w:t>.</w:t>
            </w:r>
          </w:p>
          <w:p w14:paraId="3B05075D" w14:textId="2030260D" w:rsidR="009B4089" w:rsidRPr="003C7E62" w:rsidRDefault="009B4089" w:rsidP="009B4089">
            <w:pPr>
              <w:spacing w:before="0"/>
              <w:rPr>
                <w:rFonts w:cs="Arial"/>
                <w:b/>
                <w:bCs/>
                <w:color w:val="auto"/>
                <w:szCs w:val="24"/>
              </w:rPr>
            </w:pPr>
          </w:p>
        </w:tc>
      </w:tr>
      <w:tr w:rsidR="00F26A22" w:rsidRPr="003C7E62" w14:paraId="6DD9AB7C" w14:textId="77777777" w:rsidTr="003C413D">
        <w:tc>
          <w:tcPr>
            <w:tcW w:w="2617" w:type="dxa"/>
            <w:gridSpan w:val="2"/>
          </w:tcPr>
          <w:p w14:paraId="27EB4E3C" w14:textId="77777777" w:rsidR="00F26A22" w:rsidRPr="00F11936" w:rsidRDefault="00F26A22" w:rsidP="00883D51">
            <w:pPr>
              <w:tabs>
                <w:tab w:val="left" w:pos="680"/>
              </w:tabs>
              <w:spacing w:before="40" w:after="40"/>
              <w:rPr>
                <w:rFonts w:eastAsia="Arial" w:cs="Arial"/>
                <w:bCs/>
              </w:rPr>
            </w:pPr>
            <w:r w:rsidRPr="00F11936">
              <w:rPr>
                <w:rFonts w:eastAsia="Arial" w:cs="Arial"/>
                <w:bCs/>
              </w:rPr>
              <w:t>Strategic Objectives</w:t>
            </w:r>
          </w:p>
        </w:tc>
        <w:tc>
          <w:tcPr>
            <w:tcW w:w="7017" w:type="dxa"/>
          </w:tcPr>
          <w:p w14:paraId="09250FBE" w14:textId="6DB25080" w:rsidR="00F26A22" w:rsidRPr="00F11936" w:rsidRDefault="00886620" w:rsidP="009B4089">
            <w:pPr>
              <w:tabs>
                <w:tab w:val="left" w:pos="680"/>
              </w:tabs>
              <w:spacing w:before="0"/>
              <w:rPr>
                <w:rFonts w:eastAsia="Arial" w:cs="Arial"/>
                <w:bCs/>
              </w:rPr>
            </w:pPr>
            <w:r w:rsidRPr="00F11936">
              <w:rPr>
                <w:rFonts w:eastAsia="Arial" w:cs="Arial"/>
                <w:bCs/>
              </w:rPr>
              <w:t xml:space="preserve">SO1, SO2, SO3, SO4, SO5, SO6, SO11, </w:t>
            </w:r>
            <w:r w:rsidR="00E67961" w:rsidRPr="00F11936">
              <w:rPr>
                <w:rFonts w:eastAsia="Arial" w:cs="Arial"/>
                <w:bCs/>
              </w:rPr>
              <w:t>SO12, SO13</w:t>
            </w:r>
          </w:p>
        </w:tc>
      </w:tr>
      <w:tr w:rsidR="00F26A22" w:rsidRPr="003C7E62" w14:paraId="0B99BFE8" w14:textId="77777777" w:rsidTr="003C413D">
        <w:tc>
          <w:tcPr>
            <w:tcW w:w="9634" w:type="dxa"/>
            <w:gridSpan w:val="3"/>
            <w:shd w:val="clear" w:color="auto" w:fill="D9D9D9"/>
          </w:tcPr>
          <w:p w14:paraId="19D63F74" w14:textId="77777777" w:rsidR="00F11936" w:rsidRDefault="00F11936" w:rsidP="00F11936">
            <w:pPr>
              <w:pStyle w:val="ListParagraph"/>
              <w:autoSpaceDE w:val="0"/>
              <w:autoSpaceDN w:val="0"/>
              <w:adjustRightInd w:val="0"/>
              <w:spacing w:after="0" w:line="240" w:lineRule="auto"/>
              <w:ind w:left="360"/>
              <w:rPr>
                <w:rFonts w:ascii="Arial" w:hAnsi="Arial" w:cs="Arial"/>
                <w:color w:val="auto"/>
                <w:szCs w:val="24"/>
              </w:rPr>
            </w:pPr>
            <w:bookmarkStart w:id="100" w:name="_Hlk75784131"/>
          </w:p>
          <w:p w14:paraId="2CF67708" w14:textId="7AB8AD1E" w:rsidR="00F26A22" w:rsidRPr="003C7E62" w:rsidRDefault="00F26A22" w:rsidP="00874A98">
            <w:pPr>
              <w:pStyle w:val="ListParagraph"/>
              <w:numPr>
                <w:ilvl w:val="0"/>
                <w:numId w:val="101"/>
              </w:numPr>
              <w:autoSpaceDE w:val="0"/>
              <w:autoSpaceDN w:val="0"/>
              <w:adjustRightInd w:val="0"/>
              <w:spacing w:after="0" w:line="240" w:lineRule="auto"/>
              <w:ind w:left="360"/>
              <w:rPr>
                <w:rFonts w:ascii="Arial" w:hAnsi="Arial" w:cs="Arial"/>
                <w:color w:val="auto"/>
                <w:szCs w:val="24"/>
              </w:rPr>
            </w:pPr>
            <w:r w:rsidRPr="003C7E62">
              <w:rPr>
                <w:rFonts w:ascii="Arial" w:hAnsi="Arial" w:cs="Arial"/>
                <w:color w:val="auto"/>
                <w:szCs w:val="24"/>
              </w:rPr>
              <w:t xml:space="preserve">The Council will work with other parties to improve transport infrastructure with the objective of promoting travel choice and reducing the reliance on the private car. </w:t>
            </w:r>
          </w:p>
          <w:p w14:paraId="0641394A" w14:textId="77777777" w:rsidR="00F26A22" w:rsidRPr="003C7E62" w:rsidRDefault="00F26A22" w:rsidP="00F11936">
            <w:pPr>
              <w:pStyle w:val="ListParagraph"/>
              <w:autoSpaceDE w:val="0"/>
              <w:autoSpaceDN w:val="0"/>
              <w:adjustRightInd w:val="0"/>
              <w:spacing w:after="0" w:line="240" w:lineRule="auto"/>
              <w:ind w:left="360"/>
              <w:rPr>
                <w:rFonts w:ascii="Arial" w:hAnsi="Arial" w:cs="Arial"/>
                <w:color w:val="auto"/>
                <w:szCs w:val="24"/>
              </w:rPr>
            </w:pPr>
          </w:p>
          <w:p w14:paraId="0F3F7506" w14:textId="1C879275" w:rsidR="00F26A22" w:rsidRPr="00A32846" w:rsidRDefault="00F26A22" w:rsidP="00874A98">
            <w:pPr>
              <w:pStyle w:val="ListParagraph"/>
              <w:numPr>
                <w:ilvl w:val="0"/>
                <w:numId w:val="101"/>
              </w:numPr>
              <w:autoSpaceDE w:val="0"/>
              <w:autoSpaceDN w:val="0"/>
              <w:adjustRightInd w:val="0"/>
              <w:spacing w:after="0" w:line="240" w:lineRule="auto"/>
              <w:ind w:left="360"/>
              <w:rPr>
                <w:rFonts w:ascii="Arial" w:hAnsi="Arial" w:cs="Arial"/>
                <w:strike/>
                <w:szCs w:val="24"/>
              </w:rPr>
            </w:pPr>
            <w:bookmarkStart w:id="101" w:name="_Hlk133929364"/>
            <w:r w:rsidRPr="00BD4F81">
              <w:rPr>
                <w:rFonts w:ascii="Arial" w:hAnsi="Arial" w:cs="Arial"/>
                <w:color w:val="auto"/>
                <w:szCs w:val="24"/>
              </w:rPr>
              <w:t xml:space="preserve">Development </w:t>
            </w:r>
            <w:r w:rsidR="00BD4F81" w:rsidRPr="00A32846">
              <w:rPr>
                <w:rFonts w:ascii="Arial" w:hAnsi="Arial" w:cs="Arial"/>
                <w:szCs w:val="24"/>
              </w:rPr>
              <w:t>which enhance</w:t>
            </w:r>
            <w:r w:rsidR="001000DC" w:rsidRPr="00A32846">
              <w:rPr>
                <w:rFonts w:ascii="Arial" w:hAnsi="Arial" w:cs="Arial"/>
                <w:szCs w:val="24"/>
              </w:rPr>
              <w:t>s</w:t>
            </w:r>
            <w:r w:rsidR="00BD4F81" w:rsidRPr="00A32846">
              <w:rPr>
                <w:rFonts w:ascii="Arial" w:hAnsi="Arial" w:cs="Arial"/>
                <w:szCs w:val="24"/>
              </w:rPr>
              <w:t xml:space="preserve"> the existing sustainable transport network </w:t>
            </w:r>
            <w:r w:rsidR="001000DC" w:rsidRPr="00A32846">
              <w:rPr>
                <w:rFonts w:ascii="Arial" w:hAnsi="Arial" w:cs="Arial"/>
                <w:szCs w:val="24"/>
              </w:rPr>
              <w:t xml:space="preserve">and </w:t>
            </w:r>
            <w:proofErr w:type="gramStart"/>
            <w:r w:rsidR="001000DC" w:rsidRPr="00A32846">
              <w:rPr>
                <w:rFonts w:ascii="Arial" w:hAnsi="Arial" w:cs="Arial"/>
                <w:szCs w:val="24"/>
              </w:rPr>
              <w:t>do</w:t>
            </w:r>
            <w:proofErr w:type="gramEnd"/>
            <w:r w:rsidR="001000DC" w:rsidRPr="00A32846">
              <w:rPr>
                <w:rFonts w:ascii="Arial" w:hAnsi="Arial" w:cs="Arial"/>
                <w:szCs w:val="24"/>
              </w:rPr>
              <w:t xml:space="preserve"> not conflict with other policies in the Plan </w:t>
            </w:r>
            <w:r w:rsidR="00BD4F81" w:rsidRPr="00A32846">
              <w:rPr>
                <w:rFonts w:ascii="Arial" w:hAnsi="Arial" w:cs="Arial"/>
                <w:szCs w:val="24"/>
              </w:rPr>
              <w:t xml:space="preserve">will be supported </w:t>
            </w:r>
            <w:r w:rsidR="001000DC" w:rsidRPr="00A32846">
              <w:rPr>
                <w:rFonts w:ascii="Arial" w:hAnsi="Arial" w:cs="Arial"/>
                <w:szCs w:val="24"/>
              </w:rPr>
              <w:t xml:space="preserve">where </w:t>
            </w:r>
            <w:r w:rsidR="00416190" w:rsidRPr="00A32846">
              <w:rPr>
                <w:rFonts w:ascii="Arial" w:hAnsi="Arial" w:cs="Arial"/>
                <w:szCs w:val="24"/>
              </w:rPr>
              <w:t>it</w:t>
            </w:r>
            <w:r w:rsidR="001000DC" w:rsidRPr="00A32846">
              <w:rPr>
                <w:rFonts w:ascii="Arial" w:hAnsi="Arial" w:cs="Arial"/>
                <w:szCs w:val="24"/>
              </w:rPr>
              <w:t xml:space="preserve">: </w:t>
            </w:r>
            <w:r w:rsidRPr="00A32846">
              <w:rPr>
                <w:rFonts w:ascii="Arial" w:hAnsi="Arial" w:cs="Arial"/>
                <w:strike/>
                <w:szCs w:val="24"/>
              </w:rPr>
              <w:t xml:space="preserve"> </w:t>
            </w:r>
          </w:p>
          <w:bookmarkEnd w:id="101"/>
          <w:p w14:paraId="10790FF2" w14:textId="77777777" w:rsidR="00F26A22" w:rsidRPr="00A32846" w:rsidRDefault="00F26A22" w:rsidP="009933FB">
            <w:pPr>
              <w:pStyle w:val="ListParagraph"/>
              <w:autoSpaceDE w:val="0"/>
              <w:autoSpaceDN w:val="0"/>
              <w:adjustRightInd w:val="0"/>
              <w:spacing w:after="0" w:line="240" w:lineRule="auto"/>
              <w:ind w:left="360"/>
              <w:rPr>
                <w:rFonts w:ascii="Arial" w:hAnsi="Arial" w:cs="Arial"/>
                <w:szCs w:val="24"/>
              </w:rPr>
            </w:pPr>
          </w:p>
          <w:p w14:paraId="7949547F" w14:textId="330BEAC6" w:rsidR="001000DC" w:rsidRPr="00A32846" w:rsidRDefault="001000DC" w:rsidP="00874A98">
            <w:pPr>
              <w:pStyle w:val="ListParagraph"/>
              <w:numPr>
                <w:ilvl w:val="0"/>
                <w:numId w:val="163"/>
              </w:numPr>
              <w:autoSpaceDE w:val="0"/>
              <w:autoSpaceDN w:val="0"/>
              <w:adjustRightInd w:val="0"/>
              <w:spacing w:after="0" w:line="240" w:lineRule="auto"/>
              <w:rPr>
                <w:rFonts w:ascii="Arial" w:hAnsi="Arial" w:cs="Arial"/>
                <w:szCs w:val="24"/>
              </w:rPr>
            </w:pPr>
            <w:r w:rsidRPr="00A32846">
              <w:rPr>
                <w:rFonts w:ascii="Arial" w:hAnsi="Arial" w:cs="Arial"/>
                <w:szCs w:val="24"/>
              </w:rPr>
              <w:t>Improve connectivity to heavy and light railways including:</w:t>
            </w:r>
          </w:p>
          <w:p w14:paraId="3CC2A168" w14:textId="77777777" w:rsidR="001000DC" w:rsidRPr="00A32846" w:rsidRDefault="001000DC" w:rsidP="001000DC">
            <w:pPr>
              <w:pStyle w:val="ListParagraph"/>
              <w:autoSpaceDE w:val="0"/>
              <w:autoSpaceDN w:val="0"/>
              <w:adjustRightInd w:val="0"/>
              <w:spacing w:after="0" w:line="240" w:lineRule="auto"/>
              <w:rPr>
                <w:rFonts w:ascii="Arial" w:hAnsi="Arial" w:cs="Arial"/>
                <w:szCs w:val="24"/>
              </w:rPr>
            </w:pPr>
          </w:p>
          <w:p w14:paraId="2A65B103" w14:textId="22C9ECB2" w:rsidR="001000DC" w:rsidRPr="00A32846" w:rsidRDefault="00F26A22" w:rsidP="00874A98">
            <w:pPr>
              <w:pStyle w:val="ListParagraph"/>
              <w:numPr>
                <w:ilvl w:val="0"/>
                <w:numId w:val="324"/>
              </w:numPr>
              <w:autoSpaceDE w:val="0"/>
              <w:autoSpaceDN w:val="0"/>
              <w:adjustRightInd w:val="0"/>
              <w:rPr>
                <w:rFonts w:ascii="Arial" w:hAnsi="Arial" w:cs="Arial"/>
                <w:strike/>
                <w:szCs w:val="24"/>
              </w:rPr>
            </w:pPr>
            <w:r w:rsidRPr="00A32846">
              <w:rPr>
                <w:rFonts w:ascii="Arial" w:hAnsi="Arial" w:cs="Arial"/>
                <w:szCs w:val="24"/>
              </w:rPr>
              <w:t xml:space="preserve">The Nottingham Express Transit System, </w:t>
            </w:r>
          </w:p>
          <w:p w14:paraId="769570BA" w14:textId="281119A2" w:rsidR="001000DC" w:rsidRPr="00A32846" w:rsidRDefault="00F26A22" w:rsidP="00874A98">
            <w:pPr>
              <w:pStyle w:val="ListParagraph"/>
              <w:numPr>
                <w:ilvl w:val="0"/>
                <w:numId w:val="324"/>
              </w:numPr>
              <w:autoSpaceDE w:val="0"/>
              <w:autoSpaceDN w:val="0"/>
              <w:adjustRightInd w:val="0"/>
              <w:rPr>
                <w:rFonts w:ascii="Arial" w:hAnsi="Arial" w:cs="Arial"/>
                <w:szCs w:val="24"/>
              </w:rPr>
            </w:pPr>
            <w:r w:rsidRPr="00A32846">
              <w:rPr>
                <w:rFonts w:ascii="Arial" w:hAnsi="Arial" w:cs="Arial"/>
                <w:szCs w:val="24"/>
              </w:rPr>
              <w:t>The Robin Hood railway line and the railway stations at Hucknall, Kirkby-in-Ashfield and Sutton Parkway</w:t>
            </w:r>
            <w:r w:rsidR="00416190" w:rsidRPr="00A32846">
              <w:rPr>
                <w:rFonts w:ascii="Arial" w:hAnsi="Arial" w:cs="Arial"/>
                <w:szCs w:val="24"/>
              </w:rPr>
              <w:t>,</w:t>
            </w:r>
          </w:p>
          <w:p w14:paraId="77F0A565" w14:textId="2B7C3CA0" w:rsidR="001000DC" w:rsidRPr="00A32846" w:rsidRDefault="003601D8" w:rsidP="00874A98">
            <w:pPr>
              <w:pStyle w:val="ListParagraph"/>
              <w:numPr>
                <w:ilvl w:val="0"/>
                <w:numId w:val="324"/>
              </w:numPr>
              <w:autoSpaceDE w:val="0"/>
              <w:autoSpaceDN w:val="0"/>
              <w:adjustRightInd w:val="0"/>
              <w:rPr>
                <w:rFonts w:ascii="Arial" w:hAnsi="Arial" w:cs="Arial"/>
                <w:szCs w:val="24"/>
              </w:rPr>
            </w:pPr>
            <w:r w:rsidRPr="00A32846">
              <w:rPr>
                <w:rFonts w:ascii="Arial" w:hAnsi="Arial" w:cs="Arial"/>
                <w:szCs w:val="24"/>
              </w:rPr>
              <w:t>The r</w:t>
            </w:r>
            <w:r w:rsidR="00F26A22" w:rsidRPr="00A32846">
              <w:rPr>
                <w:rFonts w:ascii="Arial" w:hAnsi="Arial" w:cs="Arial"/>
                <w:szCs w:val="24"/>
              </w:rPr>
              <w:t>e-opening of the freight only Maid Marian Line between the Robin Hood Line and the Erewash Valley Line to carry passenger trains on a regular basis</w:t>
            </w:r>
            <w:r w:rsidR="000E3EB6">
              <w:rPr>
                <w:rFonts w:ascii="Arial" w:hAnsi="Arial" w:cs="Arial"/>
                <w:szCs w:val="24"/>
              </w:rPr>
              <w:t>.</w:t>
            </w:r>
          </w:p>
          <w:p w14:paraId="1C584FE5" w14:textId="77777777" w:rsidR="009933FB" w:rsidRPr="00A32846" w:rsidRDefault="009933FB" w:rsidP="009933FB">
            <w:pPr>
              <w:pStyle w:val="ListParagraph"/>
              <w:autoSpaceDE w:val="0"/>
              <w:autoSpaceDN w:val="0"/>
              <w:adjustRightInd w:val="0"/>
              <w:spacing w:after="0" w:line="240" w:lineRule="auto"/>
              <w:rPr>
                <w:rFonts w:ascii="Arial" w:hAnsi="Arial" w:cs="Arial"/>
                <w:szCs w:val="24"/>
              </w:rPr>
            </w:pPr>
          </w:p>
          <w:p w14:paraId="31D8CD8F" w14:textId="2D8F89FB" w:rsidR="001000DC" w:rsidRDefault="001000DC" w:rsidP="00874A98">
            <w:pPr>
              <w:pStyle w:val="ListParagraph"/>
              <w:numPr>
                <w:ilvl w:val="0"/>
                <w:numId w:val="163"/>
              </w:numPr>
              <w:autoSpaceDE w:val="0"/>
              <w:autoSpaceDN w:val="0"/>
              <w:adjustRightInd w:val="0"/>
              <w:spacing w:after="0" w:line="240" w:lineRule="auto"/>
              <w:rPr>
                <w:rFonts w:ascii="Arial" w:hAnsi="Arial" w:cs="Arial"/>
                <w:szCs w:val="24"/>
              </w:rPr>
            </w:pPr>
            <w:r w:rsidRPr="00A32846">
              <w:rPr>
                <w:rFonts w:ascii="Arial" w:hAnsi="Arial" w:cs="Arial"/>
                <w:szCs w:val="24"/>
              </w:rPr>
              <w:t>Facilitate the delivery of highway improvement schemes/sustainable transport solutions along the district’s main arterial routes and public transport corridors, including:</w:t>
            </w:r>
          </w:p>
          <w:p w14:paraId="2BCC42F2" w14:textId="77777777" w:rsidR="002430A6" w:rsidRDefault="002430A6" w:rsidP="002430A6">
            <w:pPr>
              <w:pStyle w:val="ListParagraph"/>
              <w:autoSpaceDE w:val="0"/>
              <w:autoSpaceDN w:val="0"/>
              <w:adjustRightInd w:val="0"/>
              <w:spacing w:after="0" w:line="240" w:lineRule="auto"/>
              <w:rPr>
                <w:rFonts w:ascii="Arial" w:hAnsi="Arial" w:cs="Arial"/>
                <w:szCs w:val="24"/>
              </w:rPr>
            </w:pPr>
          </w:p>
          <w:p w14:paraId="04B3FF7B" w14:textId="76F1E1EA" w:rsidR="001000DC" w:rsidRPr="00A32846" w:rsidRDefault="001000DC" w:rsidP="002430A6">
            <w:pPr>
              <w:pStyle w:val="ListParagraph"/>
              <w:numPr>
                <w:ilvl w:val="0"/>
                <w:numId w:val="325"/>
              </w:numPr>
              <w:autoSpaceDE w:val="0"/>
              <w:autoSpaceDN w:val="0"/>
              <w:adjustRightInd w:val="0"/>
              <w:ind w:left="1156"/>
              <w:rPr>
                <w:rFonts w:ascii="Arial" w:hAnsi="Arial" w:cs="Arial"/>
                <w:szCs w:val="24"/>
              </w:rPr>
            </w:pPr>
            <w:r w:rsidRPr="00A32846">
              <w:rPr>
                <w:rFonts w:ascii="Arial" w:hAnsi="Arial" w:cs="Arial"/>
                <w:szCs w:val="24"/>
              </w:rPr>
              <w:t>A38;</w:t>
            </w:r>
          </w:p>
          <w:p w14:paraId="2FD2588D" w14:textId="0CC677BF" w:rsidR="001000DC" w:rsidRPr="00A32846" w:rsidRDefault="001000DC" w:rsidP="002430A6">
            <w:pPr>
              <w:pStyle w:val="ListParagraph"/>
              <w:numPr>
                <w:ilvl w:val="0"/>
                <w:numId w:val="325"/>
              </w:numPr>
              <w:autoSpaceDE w:val="0"/>
              <w:autoSpaceDN w:val="0"/>
              <w:adjustRightInd w:val="0"/>
              <w:ind w:left="1156"/>
              <w:rPr>
                <w:rFonts w:ascii="Arial" w:hAnsi="Arial" w:cs="Arial"/>
                <w:szCs w:val="24"/>
              </w:rPr>
            </w:pPr>
            <w:r w:rsidRPr="00A32846">
              <w:rPr>
                <w:rFonts w:ascii="Arial" w:hAnsi="Arial" w:cs="Arial"/>
                <w:szCs w:val="24"/>
              </w:rPr>
              <w:t>A611;</w:t>
            </w:r>
          </w:p>
          <w:p w14:paraId="51578D3B" w14:textId="4EB8C63E" w:rsidR="001000DC" w:rsidRPr="00A32846" w:rsidRDefault="004A3578" w:rsidP="002430A6">
            <w:pPr>
              <w:pStyle w:val="ListParagraph"/>
              <w:numPr>
                <w:ilvl w:val="0"/>
                <w:numId w:val="325"/>
              </w:numPr>
              <w:autoSpaceDE w:val="0"/>
              <w:autoSpaceDN w:val="0"/>
              <w:adjustRightInd w:val="0"/>
              <w:ind w:left="1156"/>
              <w:rPr>
                <w:rFonts w:ascii="Arial" w:hAnsi="Arial" w:cs="Arial"/>
                <w:szCs w:val="24"/>
              </w:rPr>
            </w:pPr>
            <w:r w:rsidRPr="00A32846">
              <w:rPr>
                <w:rFonts w:ascii="Arial" w:hAnsi="Arial" w:cs="Arial"/>
                <w:szCs w:val="24"/>
              </w:rPr>
              <w:t>A608.</w:t>
            </w:r>
          </w:p>
          <w:p w14:paraId="5DBC351C" w14:textId="77777777" w:rsidR="001000DC" w:rsidRPr="00A32846" w:rsidRDefault="001000DC" w:rsidP="001000DC">
            <w:pPr>
              <w:pStyle w:val="ListParagraph"/>
              <w:autoSpaceDE w:val="0"/>
              <w:autoSpaceDN w:val="0"/>
              <w:adjustRightInd w:val="0"/>
              <w:spacing w:after="0" w:line="240" w:lineRule="auto"/>
              <w:rPr>
                <w:rFonts w:ascii="Arial" w:hAnsi="Arial" w:cs="Arial"/>
                <w:szCs w:val="24"/>
              </w:rPr>
            </w:pPr>
          </w:p>
          <w:p w14:paraId="56A563CA" w14:textId="70892AD6" w:rsidR="009933FB" w:rsidRPr="00A32846" w:rsidRDefault="001000DC" w:rsidP="00874A98">
            <w:pPr>
              <w:pStyle w:val="ListParagraph"/>
              <w:numPr>
                <w:ilvl w:val="0"/>
                <w:numId w:val="163"/>
              </w:numPr>
              <w:autoSpaceDE w:val="0"/>
              <w:autoSpaceDN w:val="0"/>
              <w:adjustRightInd w:val="0"/>
              <w:spacing w:after="0" w:line="240" w:lineRule="auto"/>
              <w:rPr>
                <w:rFonts w:ascii="Arial" w:hAnsi="Arial" w:cs="Arial"/>
                <w:szCs w:val="24"/>
              </w:rPr>
            </w:pPr>
            <w:r w:rsidRPr="00A32846">
              <w:rPr>
                <w:rFonts w:ascii="Arial" w:hAnsi="Arial" w:cs="Arial"/>
                <w:szCs w:val="24"/>
              </w:rPr>
              <w:t>Facilitate the delivery of b</w:t>
            </w:r>
            <w:r w:rsidR="00F26A22" w:rsidRPr="00A32846">
              <w:rPr>
                <w:rFonts w:ascii="Arial" w:hAnsi="Arial" w:cs="Arial"/>
                <w:szCs w:val="24"/>
              </w:rPr>
              <w:t>us and coach services</w:t>
            </w:r>
            <w:r w:rsidR="00EC4D30" w:rsidRPr="00A32846">
              <w:rPr>
                <w:rFonts w:ascii="Arial" w:hAnsi="Arial" w:cs="Arial"/>
                <w:szCs w:val="24"/>
              </w:rPr>
              <w:t xml:space="preserve">, including community transport, </w:t>
            </w:r>
            <w:r w:rsidR="00E06316" w:rsidRPr="00A32846">
              <w:rPr>
                <w:rFonts w:ascii="Arial" w:hAnsi="Arial" w:cs="Arial"/>
                <w:szCs w:val="24"/>
              </w:rPr>
              <w:t xml:space="preserve">in the </w:t>
            </w:r>
            <w:proofErr w:type="gramStart"/>
            <w:r w:rsidR="00E06316" w:rsidRPr="00A32846">
              <w:rPr>
                <w:rFonts w:ascii="Arial" w:hAnsi="Arial" w:cs="Arial"/>
                <w:szCs w:val="24"/>
              </w:rPr>
              <w:t>District</w:t>
            </w:r>
            <w:proofErr w:type="gramEnd"/>
            <w:r w:rsidR="00416190" w:rsidRPr="00A32846">
              <w:rPr>
                <w:rFonts w:ascii="Arial" w:hAnsi="Arial" w:cs="Arial"/>
                <w:szCs w:val="24"/>
              </w:rPr>
              <w:t>; and</w:t>
            </w:r>
          </w:p>
          <w:p w14:paraId="5E198326" w14:textId="77777777" w:rsidR="009933FB" w:rsidRPr="00A32846" w:rsidRDefault="009933FB" w:rsidP="009933FB">
            <w:pPr>
              <w:pStyle w:val="ListParagraph"/>
              <w:autoSpaceDE w:val="0"/>
              <w:autoSpaceDN w:val="0"/>
              <w:adjustRightInd w:val="0"/>
              <w:spacing w:after="0" w:line="240" w:lineRule="auto"/>
              <w:rPr>
                <w:rFonts w:ascii="Arial" w:hAnsi="Arial" w:cs="Arial"/>
                <w:szCs w:val="24"/>
              </w:rPr>
            </w:pPr>
          </w:p>
          <w:p w14:paraId="583F7F49" w14:textId="56F399C7" w:rsidR="00F26A22" w:rsidRPr="00A32846" w:rsidRDefault="001000DC" w:rsidP="00874A98">
            <w:pPr>
              <w:pStyle w:val="ListParagraph"/>
              <w:numPr>
                <w:ilvl w:val="0"/>
                <w:numId w:val="163"/>
              </w:numPr>
              <w:autoSpaceDE w:val="0"/>
              <w:autoSpaceDN w:val="0"/>
              <w:adjustRightInd w:val="0"/>
              <w:spacing w:after="0" w:line="240" w:lineRule="auto"/>
              <w:rPr>
                <w:rFonts w:ascii="Arial" w:hAnsi="Arial" w:cs="Arial"/>
                <w:szCs w:val="24"/>
              </w:rPr>
            </w:pPr>
            <w:bookmarkStart w:id="102" w:name="_Hlk83107060"/>
            <w:r w:rsidRPr="00A32846">
              <w:rPr>
                <w:rFonts w:ascii="Arial" w:eastAsia="Arial" w:hAnsi="Arial" w:cs="Arial"/>
                <w:szCs w:val="24"/>
              </w:rPr>
              <w:t xml:space="preserve">Improve connectivity to </w:t>
            </w:r>
            <w:bookmarkStart w:id="103" w:name="_Hlk142391326"/>
            <w:r w:rsidRPr="00A32846">
              <w:rPr>
                <w:rFonts w:ascii="Arial" w:eastAsia="Arial" w:hAnsi="Arial" w:cs="Arial"/>
                <w:szCs w:val="24"/>
              </w:rPr>
              <w:t>a c</w:t>
            </w:r>
            <w:r w:rsidR="00F26A22" w:rsidRPr="00A32846">
              <w:rPr>
                <w:rFonts w:ascii="Arial" w:eastAsia="Arial" w:hAnsi="Arial" w:cs="Arial"/>
                <w:szCs w:val="24"/>
              </w:rPr>
              <w:t xml:space="preserve">omprehensive network of high-quality </w:t>
            </w:r>
            <w:r w:rsidR="00901882" w:rsidRPr="00A32846">
              <w:rPr>
                <w:rFonts w:ascii="Arial" w:eastAsia="Arial" w:hAnsi="Arial" w:cs="Arial"/>
                <w:szCs w:val="24"/>
              </w:rPr>
              <w:t xml:space="preserve">pedestrian and </w:t>
            </w:r>
            <w:r w:rsidR="00F26A22" w:rsidRPr="00A32846">
              <w:rPr>
                <w:rFonts w:ascii="Arial" w:eastAsia="Arial" w:hAnsi="Arial" w:cs="Arial"/>
                <w:szCs w:val="24"/>
              </w:rPr>
              <w:t>cycle networks</w:t>
            </w:r>
            <w:r w:rsidR="003601D8" w:rsidRPr="00A32846">
              <w:rPr>
                <w:rFonts w:ascii="Arial" w:eastAsia="Arial" w:hAnsi="Arial" w:cs="Arial"/>
                <w:szCs w:val="24"/>
              </w:rPr>
              <w:t xml:space="preserve">.  </w:t>
            </w:r>
            <w:r w:rsidR="00F26A22" w:rsidRPr="00A32846">
              <w:rPr>
                <w:rFonts w:ascii="Arial" w:eastAsia="Arial" w:hAnsi="Arial" w:cs="Arial"/>
                <w:szCs w:val="24"/>
              </w:rPr>
              <w:t>The main routes</w:t>
            </w:r>
            <w:r w:rsidR="00095F11" w:rsidRPr="00A32846">
              <w:rPr>
                <w:rFonts w:ascii="Arial" w:eastAsia="Arial" w:hAnsi="Arial" w:cs="Arial"/>
                <w:szCs w:val="24"/>
              </w:rPr>
              <w:t xml:space="preserve"> </w:t>
            </w:r>
            <w:r w:rsidR="00F26A22" w:rsidRPr="00A32846">
              <w:rPr>
                <w:rFonts w:ascii="Arial" w:eastAsia="Arial" w:hAnsi="Arial" w:cs="Arial"/>
                <w:szCs w:val="24"/>
              </w:rPr>
              <w:t>to be upgraded and/or created</w:t>
            </w:r>
            <w:bookmarkEnd w:id="103"/>
            <w:r w:rsidR="00F26A22" w:rsidRPr="00A32846">
              <w:rPr>
                <w:rFonts w:ascii="Arial" w:eastAsia="Arial" w:hAnsi="Arial" w:cs="Arial"/>
                <w:szCs w:val="24"/>
              </w:rPr>
              <w:t xml:space="preserve"> </w:t>
            </w:r>
            <w:r w:rsidR="00095F11" w:rsidRPr="00A32846">
              <w:rPr>
                <w:rFonts w:ascii="Arial" w:eastAsia="Arial" w:hAnsi="Arial" w:cs="Arial"/>
                <w:szCs w:val="24"/>
              </w:rPr>
              <w:t xml:space="preserve">are shown on the Policies Map and </w:t>
            </w:r>
            <w:r w:rsidR="00F26A22" w:rsidRPr="00A32846">
              <w:rPr>
                <w:rFonts w:ascii="Arial" w:eastAsia="Arial" w:hAnsi="Arial" w:cs="Arial"/>
                <w:szCs w:val="24"/>
              </w:rPr>
              <w:t>include:</w:t>
            </w:r>
          </w:p>
          <w:p w14:paraId="1702F168" w14:textId="77777777" w:rsidR="00F26A22" w:rsidRPr="00A32846" w:rsidRDefault="00F26A22" w:rsidP="009933FB">
            <w:pPr>
              <w:pStyle w:val="ListParagraph"/>
              <w:spacing w:after="0" w:line="240" w:lineRule="auto"/>
              <w:ind w:left="622"/>
              <w:rPr>
                <w:rFonts w:ascii="Arial" w:eastAsia="Arial" w:hAnsi="Arial" w:cs="Arial"/>
                <w:szCs w:val="24"/>
                <w:lang w:eastAsia="en-GB"/>
              </w:rPr>
            </w:pPr>
          </w:p>
          <w:p w14:paraId="66F3ED1C" w14:textId="0B3E760C" w:rsidR="00F26A22" w:rsidRPr="009933FB" w:rsidRDefault="00F26A22" w:rsidP="002430A6">
            <w:pPr>
              <w:pStyle w:val="ListParagraph"/>
              <w:numPr>
                <w:ilvl w:val="0"/>
                <w:numId w:val="102"/>
              </w:numPr>
              <w:autoSpaceDE w:val="0"/>
              <w:autoSpaceDN w:val="0"/>
              <w:adjustRightInd w:val="0"/>
              <w:spacing w:after="0" w:line="240" w:lineRule="auto"/>
              <w:ind w:left="1156" w:hanging="142"/>
              <w:rPr>
                <w:rFonts w:ascii="Arial" w:eastAsia="Arial" w:hAnsi="Arial" w:cs="Arial"/>
                <w:color w:val="auto"/>
                <w:szCs w:val="24"/>
                <w:lang w:eastAsia="en-GB"/>
              </w:rPr>
            </w:pPr>
            <w:r w:rsidRPr="009933FB">
              <w:rPr>
                <w:rFonts w:ascii="Arial" w:eastAsia="Arial" w:hAnsi="Arial" w:cs="Arial"/>
                <w:color w:val="auto"/>
                <w:szCs w:val="24"/>
                <w:lang w:eastAsia="en-GB"/>
              </w:rPr>
              <w:t>Hucknall</w:t>
            </w:r>
            <w:r w:rsidR="00FC41C7" w:rsidRPr="009933FB">
              <w:rPr>
                <w:rFonts w:ascii="Arial" w:eastAsia="Arial" w:hAnsi="Arial" w:cs="Arial"/>
                <w:color w:val="auto"/>
                <w:szCs w:val="24"/>
                <w:lang w:eastAsia="en-GB"/>
              </w:rPr>
              <w:t xml:space="preserve"> </w:t>
            </w:r>
            <w:r w:rsidR="00A3627D" w:rsidRPr="009933FB">
              <w:rPr>
                <w:rFonts w:ascii="Arial" w:eastAsia="Arial" w:hAnsi="Arial" w:cs="Arial"/>
                <w:color w:val="auto"/>
                <w:szCs w:val="24"/>
                <w:lang w:eastAsia="en-GB"/>
              </w:rPr>
              <w:t>-</w:t>
            </w:r>
            <w:r w:rsidR="00FC41C7" w:rsidRPr="009933FB">
              <w:rPr>
                <w:rFonts w:ascii="Arial" w:eastAsia="Arial" w:hAnsi="Arial" w:cs="Arial"/>
                <w:color w:val="auto"/>
                <w:szCs w:val="24"/>
                <w:lang w:eastAsia="en-GB"/>
              </w:rPr>
              <w:t xml:space="preserve"> </w:t>
            </w:r>
            <w:r w:rsidRPr="009933FB">
              <w:rPr>
                <w:rFonts w:ascii="Arial" w:eastAsia="Arial" w:hAnsi="Arial" w:cs="Arial"/>
                <w:color w:val="auto"/>
                <w:szCs w:val="24"/>
                <w:lang w:eastAsia="en-GB"/>
              </w:rPr>
              <w:t>Kirkby</w:t>
            </w:r>
            <w:r w:rsidR="00FC41C7" w:rsidRPr="009933FB">
              <w:rPr>
                <w:rFonts w:ascii="Arial" w:eastAsia="Arial" w:hAnsi="Arial" w:cs="Arial"/>
                <w:color w:val="auto"/>
                <w:szCs w:val="24"/>
                <w:lang w:eastAsia="en-GB"/>
              </w:rPr>
              <w:t xml:space="preserve"> </w:t>
            </w:r>
            <w:r w:rsidR="00A3627D" w:rsidRPr="009933FB">
              <w:rPr>
                <w:rFonts w:ascii="Arial" w:eastAsia="Arial" w:hAnsi="Arial" w:cs="Arial"/>
                <w:color w:val="auto"/>
                <w:szCs w:val="24"/>
                <w:lang w:eastAsia="en-GB"/>
              </w:rPr>
              <w:t xml:space="preserve">– </w:t>
            </w:r>
            <w:r w:rsidRPr="009933FB">
              <w:rPr>
                <w:rFonts w:ascii="Arial" w:eastAsia="Arial" w:hAnsi="Arial" w:cs="Arial"/>
                <w:color w:val="auto"/>
                <w:szCs w:val="24"/>
                <w:lang w:eastAsia="en-GB"/>
              </w:rPr>
              <w:t>Sutton</w:t>
            </w:r>
            <w:r w:rsidR="00A3627D" w:rsidRPr="009933FB">
              <w:rPr>
                <w:rFonts w:ascii="Arial" w:eastAsia="Arial" w:hAnsi="Arial" w:cs="Arial"/>
                <w:color w:val="auto"/>
                <w:szCs w:val="24"/>
                <w:lang w:eastAsia="en-GB"/>
              </w:rPr>
              <w:t xml:space="preserve"> </w:t>
            </w:r>
            <w:r w:rsidR="003B30FD">
              <w:rPr>
                <w:rFonts w:ascii="Arial" w:eastAsia="Arial" w:hAnsi="Arial" w:cs="Arial"/>
                <w:color w:val="auto"/>
                <w:szCs w:val="24"/>
                <w:lang w:eastAsia="en-GB"/>
              </w:rPr>
              <w:t>–</w:t>
            </w:r>
            <w:r w:rsidR="00A3627D" w:rsidRPr="009933FB">
              <w:rPr>
                <w:rFonts w:ascii="Arial" w:eastAsia="Arial" w:hAnsi="Arial" w:cs="Arial"/>
                <w:color w:val="auto"/>
                <w:szCs w:val="24"/>
                <w:lang w:eastAsia="en-GB"/>
              </w:rPr>
              <w:t xml:space="preserve"> </w:t>
            </w:r>
            <w:r w:rsidRPr="009933FB">
              <w:rPr>
                <w:rFonts w:ascii="Arial" w:eastAsia="Arial" w:hAnsi="Arial" w:cs="Arial"/>
                <w:color w:val="auto"/>
                <w:szCs w:val="24"/>
                <w:lang w:eastAsia="en-GB"/>
              </w:rPr>
              <w:t>Mansfield</w:t>
            </w:r>
            <w:r w:rsidR="003B30FD">
              <w:rPr>
                <w:rFonts w:ascii="Arial" w:eastAsia="Arial" w:hAnsi="Arial" w:cs="Arial"/>
                <w:color w:val="auto"/>
                <w:szCs w:val="24"/>
                <w:lang w:eastAsia="en-GB"/>
              </w:rPr>
              <w:t>,</w:t>
            </w:r>
          </w:p>
          <w:p w14:paraId="36DC2C34" w14:textId="747DA2E8" w:rsidR="00F26A22" w:rsidRPr="009933FB" w:rsidRDefault="00F26A22" w:rsidP="002430A6">
            <w:pPr>
              <w:pStyle w:val="ListParagraph"/>
              <w:numPr>
                <w:ilvl w:val="0"/>
                <w:numId w:val="102"/>
              </w:numPr>
              <w:autoSpaceDE w:val="0"/>
              <w:autoSpaceDN w:val="0"/>
              <w:adjustRightInd w:val="0"/>
              <w:spacing w:after="0" w:line="240" w:lineRule="auto"/>
              <w:ind w:left="1156" w:hanging="142"/>
              <w:jc w:val="both"/>
              <w:rPr>
                <w:rFonts w:ascii="Arial" w:eastAsia="Arial" w:hAnsi="Arial" w:cs="Arial"/>
                <w:color w:val="auto"/>
                <w:szCs w:val="24"/>
                <w:lang w:eastAsia="en-GB"/>
              </w:rPr>
            </w:pPr>
            <w:r w:rsidRPr="009933FB">
              <w:rPr>
                <w:rFonts w:ascii="Arial" w:eastAsia="Arial" w:hAnsi="Arial" w:cs="Arial"/>
                <w:color w:val="auto"/>
                <w:szCs w:val="24"/>
                <w:lang w:eastAsia="en-GB"/>
              </w:rPr>
              <w:t>Sutton – Derbyshire</w:t>
            </w:r>
            <w:r w:rsidR="003B30FD">
              <w:rPr>
                <w:rFonts w:ascii="Arial" w:eastAsia="Arial" w:hAnsi="Arial" w:cs="Arial"/>
                <w:color w:val="auto"/>
                <w:szCs w:val="24"/>
                <w:lang w:eastAsia="en-GB"/>
              </w:rPr>
              <w:t>,</w:t>
            </w:r>
          </w:p>
          <w:p w14:paraId="3798A959" w14:textId="214523DD" w:rsidR="00F26A22" w:rsidRPr="009933FB" w:rsidRDefault="00F26A22" w:rsidP="002430A6">
            <w:pPr>
              <w:pStyle w:val="ListParagraph"/>
              <w:numPr>
                <w:ilvl w:val="0"/>
                <w:numId w:val="102"/>
              </w:numPr>
              <w:autoSpaceDE w:val="0"/>
              <w:autoSpaceDN w:val="0"/>
              <w:adjustRightInd w:val="0"/>
              <w:spacing w:after="0" w:line="240" w:lineRule="auto"/>
              <w:ind w:left="1156" w:hanging="142"/>
              <w:jc w:val="both"/>
              <w:rPr>
                <w:rFonts w:ascii="Arial" w:eastAsia="Arial" w:hAnsi="Arial" w:cs="Arial"/>
                <w:color w:val="auto"/>
                <w:szCs w:val="24"/>
                <w:lang w:eastAsia="en-GB"/>
              </w:rPr>
            </w:pPr>
            <w:r w:rsidRPr="009933FB">
              <w:rPr>
                <w:rFonts w:ascii="Arial" w:eastAsia="Arial" w:hAnsi="Arial" w:cs="Arial"/>
                <w:color w:val="auto"/>
                <w:szCs w:val="24"/>
                <w:lang w:eastAsia="en-GB"/>
              </w:rPr>
              <w:t>Huthwaite – Sutton</w:t>
            </w:r>
            <w:r w:rsidR="003B30FD">
              <w:rPr>
                <w:rFonts w:ascii="Arial" w:eastAsia="Arial" w:hAnsi="Arial" w:cs="Arial"/>
                <w:color w:val="auto"/>
                <w:szCs w:val="24"/>
                <w:lang w:eastAsia="en-GB"/>
              </w:rPr>
              <w:t>,</w:t>
            </w:r>
          </w:p>
          <w:p w14:paraId="5565634D" w14:textId="22333356" w:rsidR="00F26A22" w:rsidRPr="009933FB" w:rsidRDefault="00F26A22" w:rsidP="002430A6">
            <w:pPr>
              <w:pStyle w:val="ListParagraph"/>
              <w:numPr>
                <w:ilvl w:val="0"/>
                <w:numId w:val="102"/>
              </w:numPr>
              <w:autoSpaceDE w:val="0"/>
              <w:autoSpaceDN w:val="0"/>
              <w:adjustRightInd w:val="0"/>
              <w:spacing w:after="0" w:line="240" w:lineRule="auto"/>
              <w:ind w:left="1156" w:hanging="142"/>
              <w:jc w:val="both"/>
              <w:rPr>
                <w:rFonts w:ascii="Arial" w:eastAsia="Arial" w:hAnsi="Arial" w:cs="Arial"/>
                <w:color w:val="auto"/>
                <w:szCs w:val="24"/>
                <w:lang w:eastAsia="en-GB"/>
              </w:rPr>
            </w:pPr>
            <w:r w:rsidRPr="009933FB">
              <w:rPr>
                <w:rFonts w:ascii="Arial" w:eastAsia="Arial" w:hAnsi="Arial" w:cs="Arial"/>
                <w:color w:val="auto"/>
                <w:szCs w:val="24"/>
                <w:lang w:eastAsia="en-GB"/>
              </w:rPr>
              <w:t>Sutton</w:t>
            </w:r>
            <w:r w:rsidR="00A3627D" w:rsidRPr="009933FB">
              <w:rPr>
                <w:rFonts w:ascii="Arial" w:eastAsia="Arial" w:hAnsi="Arial" w:cs="Arial"/>
                <w:color w:val="auto"/>
                <w:szCs w:val="24"/>
                <w:lang w:eastAsia="en-GB"/>
              </w:rPr>
              <w:t xml:space="preserve"> </w:t>
            </w:r>
            <w:r w:rsidRPr="009933FB">
              <w:rPr>
                <w:rFonts w:ascii="Arial" w:eastAsia="Arial" w:hAnsi="Arial" w:cs="Arial"/>
                <w:color w:val="auto"/>
                <w:szCs w:val="24"/>
                <w:lang w:eastAsia="en-GB"/>
              </w:rPr>
              <w:t>- Sherwood Observatory</w:t>
            </w:r>
            <w:bookmarkEnd w:id="100"/>
            <w:r w:rsidR="003B30FD">
              <w:rPr>
                <w:rFonts w:ascii="Arial" w:eastAsia="Arial" w:hAnsi="Arial" w:cs="Arial"/>
                <w:color w:val="auto"/>
                <w:szCs w:val="24"/>
                <w:lang w:eastAsia="en-GB"/>
              </w:rPr>
              <w:t>.</w:t>
            </w:r>
          </w:p>
          <w:bookmarkEnd w:id="102"/>
          <w:p w14:paraId="505B4019" w14:textId="77777777" w:rsidR="00416190" w:rsidRPr="00416190" w:rsidRDefault="00416190" w:rsidP="002430A6">
            <w:pPr>
              <w:pStyle w:val="ListParagraph"/>
              <w:autoSpaceDE w:val="0"/>
              <w:autoSpaceDN w:val="0"/>
              <w:adjustRightInd w:val="0"/>
              <w:spacing w:after="0" w:line="240" w:lineRule="auto"/>
              <w:ind w:left="1156"/>
              <w:rPr>
                <w:rFonts w:ascii="Arial" w:hAnsi="Arial" w:cs="Arial"/>
                <w:color w:val="0070C0"/>
                <w:szCs w:val="24"/>
              </w:rPr>
            </w:pPr>
          </w:p>
          <w:p w14:paraId="77AAD8F9" w14:textId="333B1282" w:rsidR="001000DC" w:rsidRPr="00C474FF" w:rsidRDefault="00416190" w:rsidP="00874A98">
            <w:pPr>
              <w:pStyle w:val="ListParagraph"/>
              <w:numPr>
                <w:ilvl w:val="0"/>
                <w:numId w:val="101"/>
              </w:numPr>
              <w:autoSpaceDE w:val="0"/>
              <w:autoSpaceDN w:val="0"/>
              <w:adjustRightInd w:val="0"/>
              <w:spacing w:after="0" w:line="240" w:lineRule="auto"/>
              <w:rPr>
                <w:rFonts w:ascii="Arial" w:hAnsi="Arial" w:cs="Arial"/>
                <w:szCs w:val="24"/>
              </w:rPr>
            </w:pPr>
            <w:r w:rsidRPr="00A32846">
              <w:rPr>
                <w:rFonts w:ascii="Arial" w:hAnsi="Arial" w:cs="Arial"/>
                <w:szCs w:val="24"/>
              </w:rPr>
              <w:t>Safeguard land for the Nottingham Express Transit System, from Hucknall Station to the boundary with Gedling Borough as identified on the Policies Map.</w:t>
            </w:r>
          </w:p>
          <w:p w14:paraId="6BCBFC44" w14:textId="14387822" w:rsidR="001000DC" w:rsidRPr="001000DC" w:rsidRDefault="001000DC" w:rsidP="001000DC">
            <w:pPr>
              <w:autoSpaceDE w:val="0"/>
              <w:autoSpaceDN w:val="0"/>
              <w:adjustRightInd w:val="0"/>
              <w:rPr>
                <w:rFonts w:eastAsia="Arial" w:cs="Arial"/>
                <w:color w:val="0070C0"/>
                <w:szCs w:val="24"/>
                <w:highlight w:val="yellow"/>
              </w:rPr>
            </w:pPr>
          </w:p>
        </w:tc>
      </w:tr>
      <w:tr w:rsidR="00F11936" w:rsidRPr="003C7E62" w14:paraId="02FFB8E3" w14:textId="77777777" w:rsidTr="002430A6">
        <w:tc>
          <w:tcPr>
            <w:tcW w:w="1838" w:type="dxa"/>
            <w:shd w:val="clear" w:color="auto" w:fill="FFFFFF" w:themeFill="background1"/>
          </w:tcPr>
          <w:p w14:paraId="4D37D163" w14:textId="1FFFA532" w:rsidR="00F11936" w:rsidRPr="004A5D83" w:rsidRDefault="00F11936" w:rsidP="004A5D83">
            <w:pPr>
              <w:autoSpaceDE w:val="0"/>
              <w:autoSpaceDN w:val="0"/>
              <w:adjustRightInd w:val="0"/>
              <w:rPr>
                <w:rFonts w:cs="Arial"/>
                <w:color w:val="auto"/>
                <w:szCs w:val="24"/>
              </w:rPr>
            </w:pPr>
            <w:r w:rsidRPr="004A5D83">
              <w:rPr>
                <w:rFonts w:eastAsia="Arial" w:cs="Arial"/>
                <w:bCs/>
                <w:color w:val="auto"/>
                <w:sz w:val="20"/>
              </w:rPr>
              <w:lastRenderedPageBreak/>
              <w:t>Evidence Base</w:t>
            </w:r>
          </w:p>
        </w:tc>
        <w:tc>
          <w:tcPr>
            <w:tcW w:w="7796" w:type="dxa"/>
            <w:gridSpan w:val="2"/>
            <w:shd w:val="clear" w:color="auto" w:fill="FFFFFF" w:themeFill="background1"/>
          </w:tcPr>
          <w:p w14:paraId="6C5E304D" w14:textId="085039CF" w:rsidR="00F11936" w:rsidRPr="00A32846" w:rsidRDefault="00F11936" w:rsidP="004A5D83">
            <w:pPr>
              <w:keepNext w:val="0"/>
              <w:numPr>
                <w:ilvl w:val="0"/>
                <w:numId w:val="32"/>
              </w:numPr>
              <w:tabs>
                <w:tab w:val="left" w:pos="680"/>
                <w:tab w:val="left" w:pos="1133"/>
                <w:tab w:val="left" w:pos="2267"/>
              </w:tabs>
              <w:spacing w:before="0" w:after="160" w:line="252" w:lineRule="auto"/>
              <w:ind w:right="284"/>
              <w:contextualSpacing/>
              <w:rPr>
                <w:rFonts w:eastAsia="Arial" w:cs="Arial"/>
                <w:bCs/>
                <w:sz w:val="20"/>
              </w:rPr>
            </w:pPr>
            <w:r w:rsidRPr="003C7E62">
              <w:rPr>
                <w:rFonts w:eastAsia="Arial" w:cs="Arial"/>
                <w:bCs/>
                <w:color w:val="auto"/>
                <w:sz w:val="20"/>
              </w:rPr>
              <w:t xml:space="preserve">Sustainability Appraisal </w:t>
            </w:r>
            <w:r w:rsidRPr="00A32846">
              <w:rPr>
                <w:rFonts w:eastAsia="Arial" w:cs="Arial"/>
                <w:bCs/>
                <w:sz w:val="20"/>
              </w:rPr>
              <w:t>202</w:t>
            </w:r>
            <w:r w:rsidR="00D022BB" w:rsidRPr="00A32846">
              <w:rPr>
                <w:rFonts w:eastAsia="Arial" w:cs="Arial"/>
                <w:bCs/>
                <w:sz w:val="20"/>
              </w:rPr>
              <w:t>3</w:t>
            </w:r>
            <w:r w:rsidRPr="00A32846">
              <w:rPr>
                <w:rFonts w:eastAsia="Arial" w:cs="Arial"/>
                <w:bCs/>
                <w:sz w:val="20"/>
              </w:rPr>
              <w:t xml:space="preserve">.  </w:t>
            </w:r>
            <w:r w:rsidR="00D022BB" w:rsidRPr="00A32846">
              <w:rPr>
                <w:rFonts w:eastAsia="Arial" w:cs="Arial"/>
                <w:bCs/>
                <w:sz w:val="20"/>
              </w:rPr>
              <w:t>WSP UK Limited</w:t>
            </w:r>
            <w:r w:rsidRPr="00A32846">
              <w:rPr>
                <w:rFonts w:eastAsia="Arial" w:cs="Arial"/>
                <w:bCs/>
                <w:sz w:val="20"/>
              </w:rPr>
              <w:t>.</w:t>
            </w:r>
          </w:p>
          <w:p w14:paraId="746FF9F3" w14:textId="5A876803" w:rsidR="00F11936" w:rsidRPr="000E778B" w:rsidRDefault="00F11936" w:rsidP="004A5D83">
            <w:pPr>
              <w:keepNext w:val="0"/>
              <w:numPr>
                <w:ilvl w:val="0"/>
                <w:numId w:val="32"/>
              </w:numPr>
              <w:tabs>
                <w:tab w:val="left" w:pos="680"/>
                <w:tab w:val="left" w:pos="1133"/>
                <w:tab w:val="left" w:pos="2267"/>
              </w:tabs>
              <w:spacing w:before="0" w:after="160" w:line="252" w:lineRule="auto"/>
              <w:ind w:right="284"/>
              <w:contextualSpacing/>
              <w:rPr>
                <w:rFonts w:eastAsia="Arial" w:cs="Arial"/>
                <w:bCs/>
                <w:color w:val="auto"/>
                <w:sz w:val="20"/>
              </w:rPr>
            </w:pPr>
            <w:r w:rsidRPr="000E778B">
              <w:rPr>
                <w:rFonts w:eastAsia="Arial" w:cs="Arial"/>
                <w:bCs/>
                <w:color w:val="auto"/>
                <w:sz w:val="20"/>
              </w:rPr>
              <w:t xml:space="preserve">Background Paper </w:t>
            </w:r>
            <w:r w:rsidR="007075B1" w:rsidRPr="000E778B">
              <w:rPr>
                <w:rFonts w:eastAsia="Arial" w:cs="Arial"/>
                <w:bCs/>
                <w:color w:val="auto"/>
                <w:sz w:val="20"/>
              </w:rPr>
              <w:t xml:space="preserve">No </w:t>
            </w:r>
            <w:r w:rsidRPr="000E778B">
              <w:rPr>
                <w:rFonts w:eastAsia="Arial" w:cs="Arial"/>
                <w:bCs/>
                <w:color w:val="auto"/>
                <w:sz w:val="20"/>
              </w:rPr>
              <w:t>5</w:t>
            </w:r>
            <w:r w:rsidR="007075B1" w:rsidRPr="000E778B">
              <w:rPr>
                <w:rFonts w:eastAsia="Arial" w:cs="Arial"/>
                <w:bCs/>
                <w:color w:val="auto"/>
                <w:sz w:val="20"/>
              </w:rPr>
              <w:t>:</w:t>
            </w:r>
            <w:r w:rsidRPr="000E778B">
              <w:rPr>
                <w:rFonts w:eastAsia="Arial" w:cs="Arial"/>
                <w:bCs/>
                <w:color w:val="auto"/>
                <w:sz w:val="20"/>
              </w:rPr>
              <w:t xml:space="preserve"> Infrastructure Delivery</w:t>
            </w:r>
            <w:r w:rsidR="007075B1" w:rsidRPr="000E778B">
              <w:rPr>
                <w:rFonts w:eastAsia="Arial" w:cs="Arial"/>
                <w:bCs/>
                <w:color w:val="auto"/>
                <w:sz w:val="20"/>
              </w:rPr>
              <w:t xml:space="preserve"> 202</w:t>
            </w:r>
            <w:r w:rsidR="000E778B" w:rsidRPr="000E778B">
              <w:rPr>
                <w:rFonts w:eastAsia="Arial" w:cs="Arial"/>
                <w:bCs/>
                <w:color w:val="auto"/>
                <w:sz w:val="20"/>
              </w:rPr>
              <w:t>3</w:t>
            </w:r>
            <w:r w:rsidRPr="000E778B">
              <w:rPr>
                <w:rFonts w:eastAsia="Arial" w:cs="Arial"/>
                <w:bCs/>
                <w:color w:val="auto"/>
                <w:sz w:val="20"/>
              </w:rPr>
              <w:t xml:space="preserve"> Ashfield District Council.</w:t>
            </w:r>
          </w:p>
          <w:p w14:paraId="06D4C269" w14:textId="27F63DCF" w:rsidR="00F11936" w:rsidRPr="00A32846" w:rsidRDefault="00F11936" w:rsidP="004A5D83">
            <w:pPr>
              <w:keepNext w:val="0"/>
              <w:numPr>
                <w:ilvl w:val="0"/>
                <w:numId w:val="32"/>
              </w:numPr>
              <w:tabs>
                <w:tab w:val="left" w:pos="680"/>
                <w:tab w:val="left" w:pos="1133"/>
                <w:tab w:val="left" w:pos="2267"/>
              </w:tabs>
              <w:spacing w:before="0" w:after="160" w:line="252" w:lineRule="auto"/>
              <w:ind w:right="284"/>
              <w:contextualSpacing/>
              <w:rPr>
                <w:rFonts w:eastAsia="Arial" w:cs="Arial"/>
                <w:bCs/>
                <w:sz w:val="20"/>
              </w:rPr>
            </w:pPr>
            <w:r w:rsidRPr="00A32846">
              <w:rPr>
                <w:rFonts w:eastAsia="Calibri" w:cs="Arial"/>
                <w:sz w:val="20"/>
              </w:rPr>
              <w:t>Ashfield Transport Study</w:t>
            </w:r>
            <w:r w:rsidR="00A32846" w:rsidRPr="00A32846">
              <w:rPr>
                <w:rFonts w:eastAsia="Calibri" w:cs="Arial"/>
                <w:sz w:val="20"/>
              </w:rPr>
              <w:t xml:space="preserve"> </w:t>
            </w:r>
            <w:r w:rsidRPr="00A32846">
              <w:rPr>
                <w:rFonts w:eastAsia="Calibri" w:cs="Arial"/>
                <w:sz w:val="20"/>
              </w:rPr>
              <w:t>20</w:t>
            </w:r>
            <w:r w:rsidR="00A32846" w:rsidRPr="00A32846">
              <w:rPr>
                <w:rFonts w:eastAsia="Calibri" w:cs="Arial"/>
                <w:sz w:val="20"/>
              </w:rPr>
              <w:t>23</w:t>
            </w:r>
            <w:r w:rsidRPr="00A32846">
              <w:rPr>
                <w:rFonts w:eastAsia="Calibri" w:cs="Arial"/>
                <w:sz w:val="20"/>
              </w:rPr>
              <w:t xml:space="preserve">. </w:t>
            </w:r>
            <w:proofErr w:type="spellStart"/>
            <w:r w:rsidRPr="00A32846">
              <w:rPr>
                <w:rFonts w:eastAsia="Calibri" w:cs="Arial"/>
                <w:sz w:val="20"/>
              </w:rPr>
              <w:t>Systra</w:t>
            </w:r>
            <w:proofErr w:type="spellEnd"/>
            <w:r w:rsidR="00024CB3" w:rsidRPr="00A32846">
              <w:rPr>
                <w:rFonts w:eastAsia="Calibri" w:cs="Arial"/>
                <w:sz w:val="20"/>
              </w:rPr>
              <w:t>.</w:t>
            </w:r>
          </w:p>
          <w:p w14:paraId="0E6A04CA" w14:textId="5F0B44EC" w:rsidR="00F11936" w:rsidRPr="0061668F" w:rsidRDefault="00F11936" w:rsidP="004A5D83">
            <w:pPr>
              <w:keepNext w:val="0"/>
              <w:numPr>
                <w:ilvl w:val="0"/>
                <w:numId w:val="32"/>
              </w:numPr>
              <w:tabs>
                <w:tab w:val="left" w:pos="680"/>
                <w:tab w:val="left" w:pos="1133"/>
                <w:tab w:val="left" w:pos="2267"/>
              </w:tabs>
              <w:spacing w:before="0" w:after="160" w:line="252" w:lineRule="auto"/>
              <w:ind w:right="284"/>
              <w:contextualSpacing/>
              <w:rPr>
                <w:rFonts w:eastAsia="Arial" w:cs="Arial"/>
                <w:bCs/>
                <w:color w:val="auto"/>
                <w:sz w:val="20"/>
              </w:rPr>
            </w:pPr>
            <w:r w:rsidRPr="0061668F">
              <w:rPr>
                <w:rFonts w:eastAsia="Arial" w:cs="Arial"/>
                <w:bCs/>
                <w:color w:val="auto"/>
                <w:sz w:val="20"/>
              </w:rPr>
              <w:t>Local Transport Plan (LTP) 2011</w:t>
            </w:r>
            <w:r w:rsidR="0061668F" w:rsidRPr="0061668F">
              <w:rPr>
                <w:rFonts w:eastAsia="Arial" w:cs="Arial"/>
                <w:bCs/>
                <w:color w:val="auto"/>
                <w:sz w:val="20"/>
              </w:rPr>
              <w:t xml:space="preserve"> </w:t>
            </w:r>
            <w:r w:rsidRPr="0061668F">
              <w:rPr>
                <w:rFonts w:eastAsia="Arial" w:cs="Arial"/>
                <w:bCs/>
                <w:color w:val="auto"/>
                <w:sz w:val="20"/>
              </w:rPr>
              <w:t xml:space="preserve">– </w:t>
            </w:r>
            <w:r w:rsidR="0061668F" w:rsidRPr="0061668F">
              <w:rPr>
                <w:rFonts w:eastAsia="Arial" w:cs="Arial"/>
                <w:bCs/>
                <w:color w:val="auto"/>
                <w:sz w:val="20"/>
              </w:rPr>
              <w:t>20</w:t>
            </w:r>
            <w:r w:rsidRPr="0061668F">
              <w:rPr>
                <w:rFonts w:eastAsia="Arial" w:cs="Arial"/>
                <w:bCs/>
                <w:color w:val="auto"/>
                <w:sz w:val="20"/>
              </w:rPr>
              <w:t>26. Nottinghamshire County Council</w:t>
            </w:r>
            <w:r w:rsidR="00024CB3" w:rsidRPr="0061668F">
              <w:rPr>
                <w:rFonts w:eastAsia="Arial" w:cs="Arial"/>
                <w:bCs/>
                <w:color w:val="auto"/>
                <w:sz w:val="20"/>
              </w:rPr>
              <w:t>.</w:t>
            </w:r>
          </w:p>
          <w:p w14:paraId="0658F711" w14:textId="77777777" w:rsidR="00F11936" w:rsidRPr="006E3758" w:rsidRDefault="00F11936" w:rsidP="004A5D83">
            <w:pPr>
              <w:keepNext w:val="0"/>
              <w:numPr>
                <w:ilvl w:val="0"/>
                <w:numId w:val="32"/>
              </w:numPr>
              <w:tabs>
                <w:tab w:val="left" w:pos="680"/>
                <w:tab w:val="left" w:pos="1133"/>
                <w:tab w:val="left" w:pos="2267"/>
              </w:tabs>
              <w:spacing w:before="0" w:after="160" w:line="252" w:lineRule="auto"/>
              <w:ind w:right="284"/>
              <w:contextualSpacing/>
              <w:rPr>
                <w:rFonts w:eastAsia="Arial" w:cs="Arial"/>
                <w:bCs/>
                <w:color w:val="auto"/>
                <w:sz w:val="20"/>
              </w:rPr>
            </w:pPr>
            <w:r w:rsidRPr="00F11936">
              <w:rPr>
                <w:rFonts w:cs="Arial"/>
                <w:sz w:val="20"/>
              </w:rPr>
              <w:t>Discover Ashfield</w:t>
            </w:r>
            <w:r w:rsidR="00024CB3">
              <w:rPr>
                <w:rFonts w:cs="Arial"/>
                <w:sz w:val="20"/>
              </w:rPr>
              <w:t>.</w:t>
            </w:r>
          </w:p>
          <w:p w14:paraId="5A8031B4" w14:textId="18350240" w:rsidR="006E3758" w:rsidRPr="006E3758" w:rsidRDefault="006E3758" w:rsidP="004A5D83">
            <w:pPr>
              <w:keepNext w:val="0"/>
              <w:numPr>
                <w:ilvl w:val="0"/>
                <w:numId w:val="32"/>
              </w:numPr>
              <w:tabs>
                <w:tab w:val="left" w:pos="680"/>
                <w:tab w:val="left" w:pos="1133"/>
                <w:tab w:val="left" w:pos="2267"/>
              </w:tabs>
              <w:spacing w:before="0" w:after="160" w:line="252" w:lineRule="auto"/>
              <w:ind w:right="284"/>
              <w:contextualSpacing/>
              <w:rPr>
                <w:rFonts w:eastAsia="Arial" w:cs="Arial"/>
                <w:bCs/>
                <w:color w:val="auto"/>
                <w:sz w:val="20"/>
              </w:rPr>
            </w:pPr>
            <w:r w:rsidRPr="006E3758">
              <w:rPr>
                <w:rFonts w:eastAsia="Arial" w:cs="Arial"/>
                <w:bCs/>
                <w:color w:val="auto"/>
                <w:sz w:val="20"/>
              </w:rPr>
              <w:t xml:space="preserve">Gear change: a bold vision for cycling </w:t>
            </w:r>
            <w:r w:rsidR="002430A6">
              <w:rPr>
                <w:rFonts w:eastAsia="Arial" w:cs="Arial"/>
                <w:bCs/>
                <w:color w:val="auto"/>
                <w:sz w:val="20"/>
              </w:rPr>
              <w:t>&amp;</w:t>
            </w:r>
            <w:r w:rsidRPr="006E3758">
              <w:rPr>
                <w:rFonts w:eastAsia="Arial" w:cs="Arial"/>
                <w:bCs/>
                <w:color w:val="auto"/>
                <w:sz w:val="20"/>
              </w:rPr>
              <w:t xml:space="preserve"> walking</w:t>
            </w:r>
            <w:r w:rsidR="002430A6">
              <w:rPr>
                <w:rFonts w:eastAsia="Arial" w:cs="Arial"/>
                <w:bCs/>
                <w:color w:val="auto"/>
                <w:sz w:val="20"/>
              </w:rPr>
              <w:t xml:space="preserve">, </w:t>
            </w:r>
            <w:r w:rsidRPr="006E3758">
              <w:rPr>
                <w:rFonts w:eastAsia="Arial" w:cs="Arial"/>
                <w:bCs/>
                <w:color w:val="auto"/>
                <w:sz w:val="20"/>
              </w:rPr>
              <w:t>2020</w:t>
            </w:r>
            <w:r w:rsidR="002430A6">
              <w:rPr>
                <w:rFonts w:eastAsia="Arial" w:cs="Arial"/>
                <w:bCs/>
                <w:color w:val="auto"/>
                <w:sz w:val="20"/>
              </w:rPr>
              <w:t xml:space="preserve">. </w:t>
            </w:r>
            <w:r w:rsidRPr="006E3758">
              <w:rPr>
                <w:rFonts w:eastAsia="Arial" w:cs="Arial"/>
                <w:bCs/>
                <w:color w:val="auto"/>
                <w:sz w:val="20"/>
              </w:rPr>
              <w:t>Department for Transport</w:t>
            </w:r>
          </w:p>
        </w:tc>
      </w:tr>
      <w:tr w:rsidR="00F11936" w:rsidRPr="003C7E62" w14:paraId="2C0D9E78" w14:textId="77777777" w:rsidTr="002430A6">
        <w:tc>
          <w:tcPr>
            <w:tcW w:w="1838" w:type="dxa"/>
            <w:shd w:val="clear" w:color="auto" w:fill="FFFFFF" w:themeFill="background1"/>
          </w:tcPr>
          <w:p w14:paraId="4A1A7C25" w14:textId="70CA9D8B" w:rsidR="00F11936" w:rsidRPr="004A5D83" w:rsidRDefault="00F11936" w:rsidP="004A5D83">
            <w:pPr>
              <w:autoSpaceDE w:val="0"/>
              <w:autoSpaceDN w:val="0"/>
              <w:adjustRightInd w:val="0"/>
              <w:rPr>
                <w:rFonts w:cs="Arial"/>
                <w:color w:val="auto"/>
                <w:szCs w:val="24"/>
              </w:rPr>
            </w:pPr>
            <w:r w:rsidRPr="004A5D83">
              <w:rPr>
                <w:rFonts w:eastAsia="Arial" w:cs="Arial"/>
                <w:bCs/>
                <w:color w:val="auto"/>
                <w:sz w:val="20"/>
              </w:rPr>
              <w:t>National Planning Policy and Guidance</w:t>
            </w:r>
          </w:p>
        </w:tc>
        <w:tc>
          <w:tcPr>
            <w:tcW w:w="7796" w:type="dxa"/>
            <w:gridSpan w:val="2"/>
            <w:shd w:val="clear" w:color="auto" w:fill="FFFFFF" w:themeFill="background1"/>
          </w:tcPr>
          <w:p w14:paraId="280AD23C" w14:textId="7EEF3115" w:rsidR="00F11936" w:rsidRPr="003C7E62" w:rsidRDefault="00F11936" w:rsidP="004A5D83">
            <w:pPr>
              <w:keepNext w:val="0"/>
              <w:numPr>
                <w:ilvl w:val="0"/>
                <w:numId w:val="32"/>
              </w:numPr>
              <w:spacing w:before="0" w:after="160" w:line="252" w:lineRule="auto"/>
              <w:ind w:right="284"/>
              <w:contextualSpacing/>
              <w:rPr>
                <w:rFonts w:eastAsia="Arial" w:cs="Arial"/>
                <w:bCs/>
                <w:color w:val="auto"/>
                <w:sz w:val="20"/>
              </w:rPr>
            </w:pPr>
            <w:r w:rsidRPr="003C7E62">
              <w:rPr>
                <w:rFonts w:eastAsia="Arial" w:cs="Arial"/>
                <w:bCs/>
                <w:color w:val="auto"/>
                <w:sz w:val="20"/>
              </w:rPr>
              <w:t>NPPF 202</w:t>
            </w:r>
            <w:r w:rsidR="00812066">
              <w:rPr>
                <w:rFonts w:eastAsia="Arial" w:cs="Arial"/>
                <w:bCs/>
                <w:color w:val="auto"/>
                <w:sz w:val="20"/>
              </w:rPr>
              <w:t>3</w:t>
            </w:r>
            <w:r w:rsidRPr="003C7E62">
              <w:rPr>
                <w:rFonts w:eastAsia="Arial" w:cs="Arial"/>
                <w:bCs/>
                <w:color w:val="auto"/>
                <w:sz w:val="20"/>
              </w:rPr>
              <w:t>, Part 2: Achieving sustainable development.</w:t>
            </w:r>
          </w:p>
          <w:p w14:paraId="423021A3" w14:textId="26A7D9F0" w:rsidR="00F11936" w:rsidRPr="003C7E62" w:rsidRDefault="00F11936" w:rsidP="004A5D83">
            <w:pPr>
              <w:keepNext w:val="0"/>
              <w:numPr>
                <w:ilvl w:val="0"/>
                <w:numId w:val="32"/>
              </w:numPr>
              <w:tabs>
                <w:tab w:val="left" w:pos="680"/>
                <w:tab w:val="left" w:pos="1133"/>
                <w:tab w:val="left" w:pos="2267"/>
              </w:tabs>
              <w:spacing w:before="0" w:after="160" w:line="252" w:lineRule="auto"/>
              <w:ind w:right="284"/>
              <w:contextualSpacing/>
              <w:rPr>
                <w:rFonts w:eastAsia="Arial" w:cs="Arial"/>
                <w:bCs/>
                <w:color w:val="auto"/>
                <w:sz w:val="20"/>
              </w:rPr>
            </w:pPr>
            <w:r w:rsidRPr="003C7E62">
              <w:rPr>
                <w:rFonts w:eastAsia="Arial" w:cs="Arial"/>
                <w:bCs/>
                <w:color w:val="auto"/>
                <w:sz w:val="20"/>
              </w:rPr>
              <w:t>NPPF 202</w:t>
            </w:r>
            <w:r w:rsidR="00812066">
              <w:rPr>
                <w:rFonts w:eastAsia="Arial" w:cs="Arial"/>
                <w:bCs/>
                <w:color w:val="auto"/>
                <w:sz w:val="20"/>
              </w:rPr>
              <w:t>3</w:t>
            </w:r>
            <w:r w:rsidRPr="003C7E62">
              <w:rPr>
                <w:rFonts w:eastAsia="Arial" w:cs="Arial"/>
                <w:bCs/>
                <w:color w:val="auto"/>
                <w:sz w:val="20"/>
              </w:rPr>
              <w:t xml:space="preserve">, Part 8. </w:t>
            </w:r>
            <w:r w:rsidRPr="003C7E62">
              <w:rPr>
                <w:rFonts w:eastAsia="Calibri" w:cs="Arial"/>
                <w:bCs/>
                <w:color w:val="auto"/>
                <w:sz w:val="20"/>
                <w:lang w:eastAsia="en-US"/>
              </w:rPr>
              <w:t>Promoting healthy and safe communities.</w:t>
            </w:r>
          </w:p>
          <w:p w14:paraId="7A3C85E5" w14:textId="6247C055" w:rsidR="00F11936" w:rsidRDefault="00F11936" w:rsidP="004A5D83">
            <w:pPr>
              <w:keepNext w:val="0"/>
              <w:numPr>
                <w:ilvl w:val="0"/>
                <w:numId w:val="32"/>
              </w:numPr>
              <w:tabs>
                <w:tab w:val="left" w:pos="680"/>
                <w:tab w:val="left" w:pos="1133"/>
                <w:tab w:val="left" w:pos="2267"/>
              </w:tabs>
              <w:spacing w:before="0" w:after="160" w:line="252" w:lineRule="auto"/>
              <w:ind w:right="284"/>
              <w:contextualSpacing/>
              <w:rPr>
                <w:rFonts w:cs="Arial"/>
                <w:color w:val="auto"/>
                <w:sz w:val="20"/>
              </w:rPr>
            </w:pPr>
            <w:r w:rsidRPr="00F11936">
              <w:rPr>
                <w:rFonts w:eastAsia="Arial" w:cs="Arial"/>
                <w:bCs/>
                <w:color w:val="auto"/>
                <w:sz w:val="20"/>
              </w:rPr>
              <w:t>NPPF</w:t>
            </w:r>
            <w:r w:rsidRPr="00F11936">
              <w:rPr>
                <w:rFonts w:cs="Arial"/>
                <w:color w:val="auto"/>
                <w:sz w:val="20"/>
                <w:lang w:eastAsia="en-US"/>
              </w:rPr>
              <w:t xml:space="preserve"> 202</w:t>
            </w:r>
            <w:r w:rsidR="00812066">
              <w:rPr>
                <w:rFonts w:cs="Arial"/>
                <w:color w:val="auto"/>
                <w:sz w:val="20"/>
                <w:lang w:eastAsia="en-US"/>
              </w:rPr>
              <w:t>3</w:t>
            </w:r>
            <w:r w:rsidRPr="00F11936">
              <w:rPr>
                <w:rFonts w:cs="Arial"/>
                <w:color w:val="auto"/>
                <w:sz w:val="20"/>
                <w:lang w:eastAsia="en-US"/>
              </w:rPr>
              <w:t>, Part 9: Promoting sustainable transport.</w:t>
            </w:r>
          </w:p>
          <w:p w14:paraId="5558003A" w14:textId="2468B006" w:rsidR="00F11936" w:rsidRPr="00F11936" w:rsidRDefault="00F11936" w:rsidP="004A5D83">
            <w:pPr>
              <w:keepNext w:val="0"/>
              <w:numPr>
                <w:ilvl w:val="0"/>
                <w:numId w:val="32"/>
              </w:numPr>
              <w:tabs>
                <w:tab w:val="left" w:pos="680"/>
                <w:tab w:val="left" w:pos="1133"/>
                <w:tab w:val="left" w:pos="2267"/>
              </w:tabs>
              <w:spacing w:before="0" w:after="160" w:line="252" w:lineRule="auto"/>
              <w:ind w:right="284"/>
              <w:contextualSpacing/>
              <w:rPr>
                <w:rFonts w:cs="Arial"/>
                <w:color w:val="auto"/>
                <w:sz w:val="20"/>
              </w:rPr>
            </w:pPr>
            <w:r w:rsidRPr="00F11936">
              <w:rPr>
                <w:rFonts w:eastAsia="Arial" w:cs="Arial"/>
                <w:bCs/>
                <w:color w:val="auto"/>
                <w:sz w:val="20"/>
              </w:rPr>
              <w:t>NPPF 202</w:t>
            </w:r>
            <w:r w:rsidR="00812066">
              <w:rPr>
                <w:rFonts w:eastAsia="Arial" w:cs="Arial"/>
                <w:bCs/>
                <w:color w:val="auto"/>
                <w:sz w:val="20"/>
              </w:rPr>
              <w:t>3</w:t>
            </w:r>
            <w:r w:rsidRPr="00F11936">
              <w:rPr>
                <w:rFonts w:eastAsia="Arial" w:cs="Arial"/>
                <w:bCs/>
                <w:color w:val="auto"/>
                <w:sz w:val="20"/>
              </w:rPr>
              <w:t xml:space="preserve">, Part 14: </w:t>
            </w:r>
            <w:r w:rsidRPr="00F11936">
              <w:rPr>
                <w:rFonts w:eastAsia="Calibri" w:cs="Arial"/>
                <w:color w:val="auto"/>
                <w:sz w:val="20"/>
              </w:rPr>
              <w:t>Meeting the challenge of climate change, flooding and coastal change.</w:t>
            </w:r>
          </w:p>
        </w:tc>
      </w:tr>
      <w:bookmarkEnd w:id="97"/>
    </w:tbl>
    <w:p w14:paraId="131C6BD9" w14:textId="77777777" w:rsidR="00F26A22" w:rsidRPr="003C7E62" w:rsidRDefault="00F26A22" w:rsidP="00F11936">
      <w:pPr>
        <w:spacing w:before="0"/>
        <w:rPr>
          <w:rFonts w:cs="Arial"/>
          <w:b/>
          <w:bCs/>
          <w:color w:val="auto"/>
          <w:szCs w:val="24"/>
        </w:rPr>
      </w:pPr>
    </w:p>
    <w:p w14:paraId="55808E85" w14:textId="77777777" w:rsidR="002866EF" w:rsidRPr="00C624AA" w:rsidRDefault="002866EF" w:rsidP="00874A98">
      <w:pPr>
        <w:keepNext w:val="0"/>
        <w:numPr>
          <w:ilvl w:val="1"/>
          <w:numId w:val="103"/>
        </w:numPr>
        <w:spacing w:before="0"/>
        <w:ind w:left="851" w:hanging="851"/>
        <w:rPr>
          <w:rFonts w:eastAsia="Arial" w:cs="Arial"/>
          <w:strike/>
        </w:rPr>
      </w:pPr>
      <w:proofErr w:type="gramStart"/>
      <w:r w:rsidRPr="003C7E62">
        <w:rPr>
          <w:rFonts w:cs="Arial"/>
          <w:szCs w:val="24"/>
        </w:rPr>
        <w:t>In order to</w:t>
      </w:r>
      <w:proofErr w:type="gramEnd"/>
      <w:r w:rsidRPr="003C7E62">
        <w:rPr>
          <w:rFonts w:cs="Arial"/>
          <w:szCs w:val="24"/>
        </w:rPr>
        <w:t xml:space="preserve"> create more sustainable communities and enable transport choice,</w:t>
      </w:r>
    </w:p>
    <w:p w14:paraId="3FE86D4B" w14:textId="77777777" w:rsidR="002866EF" w:rsidRPr="003C7E62" w:rsidRDefault="002866EF" w:rsidP="00F11936">
      <w:pPr>
        <w:autoSpaceDE w:val="0"/>
        <w:autoSpaceDN w:val="0"/>
        <w:adjustRightInd w:val="0"/>
        <w:spacing w:before="0"/>
        <w:ind w:left="851"/>
        <w:rPr>
          <w:rFonts w:cs="Arial"/>
          <w:szCs w:val="24"/>
        </w:rPr>
      </w:pPr>
      <w:r w:rsidRPr="003C7E62">
        <w:rPr>
          <w:rFonts w:cs="Arial"/>
          <w:szCs w:val="24"/>
        </w:rPr>
        <w:t>it is important that people living in Ashfield have good access to a range of</w:t>
      </w:r>
    </w:p>
    <w:p w14:paraId="52B59C14" w14:textId="77777777" w:rsidR="002866EF" w:rsidRPr="003C7E62" w:rsidRDefault="002866EF" w:rsidP="00F11936">
      <w:pPr>
        <w:autoSpaceDE w:val="0"/>
        <w:autoSpaceDN w:val="0"/>
        <w:adjustRightInd w:val="0"/>
        <w:spacing w:before="0"/>
        <w:ind w:firstLine="851"/>
        <w:rPr>
          <w:rFonts w:cs="Arial"/>
          <w:szCs w:val="24"/>
        </w:rPr>
      </w:pPr>
      <w:r w:rsidRPr="003C7E62">
        <w:rPr>
          <w:rFonts w:cs="Arial"/>
          <w:szCs w:val="24"/>
        </w:rPr>
        <w:t>transport modes to enable them to access services, facilities and employment</w:t>
      </w:r>
    </w:p>
    <w:p w14:paraId="7BD9C91F" w14:textId="1E9EAA73" w:rsidR="001B203E" w:rsidRPr="003C7E62" w:rsidRDefault="002866EF" w:rsidP="00F11936">
      <w:pPr>
        <w:autoSpaceDE w:val="0"/>
        <w:autoSpaceDN w:val="0"/>
        <w:adjustRightInd w:val="0"/>
        <w:spacing w:before="0"/>
        <w:ind w:firstLine="851"/>
        <w:rPr>
          <w:rFonts w:cs="Arial"/>
          <w:szCs w:val="24"/>
        </w:rPr>
      </w:pPr>
      <w:r w:rsidRPr="003C7E62">
        <w:rPr>
          <w:rFonts w:cs="Arial"/>
          <w:szCs w:val="24"/>
        </w:rPr>
        <w:t xml:space="preserve">opportunities within and beyond the </w:t>
      </w:r>
      <w:proofErr w:type="gramStart"/>
      <w:r w:rsidRPr="003C7E62">
        <w:rPr>
          <w:rFonts w:cs="Arial"/>
          <w:szCs w:val="24"/>
        </w:rPr>
        <w:t>District</w:t>
      </w:r>
      <w:proofErr w:type="gramEnd"/>
      <w:r w:rsidRPr="003C7E62">
        <w:rPr>
          <w:rFonts w:cs="Arial"/>
          <w:szCs w:val="24"/>
        </w:rPr>
        <w:t>.</w:t>
      </w:r>
    </w:p>
    <w:p w14:paraId="5E5782A5" w14:textId="77777777" w:rsidR="00380B39" w:rsidRPr="003C7E62" w:rsidRDefault="00380B39" w:rsidP="00F11936">
      <w:pPr>
        <w:autoSpaceDE w:val="0"/>
        <w:autoSpaceDN w:val="0"/>
        <w:adjustRightInd w:val="0"/>
        <w:spacing w:before="0"/>
        <w:rPr>
          <w:rFonts w:cs="Arial"/>
          <w:b/>
          <w:bCs/>
          <w:color w:val="7030A1"/>
          <w:szCs w:val="24"/>
        </w:rPr>
      </w:pPr>
    </w:p>
    <w:p w14:paraId="4291CE94" w14:textId="3FE04660" w:rsidR="002866EF" w:rsidRPr="003C7E62" w:rsidRDefault="002866EF" w:rsidP="00874A98">
      <w:pPr>
        <w:pStyle w:val="ListParagraph"/>
        <w:numPr>
          <w:ilvl w:val="1"/>
          <w:numId w:val="103"/>
        </w:numPr>
        <w:autoSpaceDE w:val="0"/>
        <w:autoSpaceDN w:val="0"/>
        <w:adjustRightInd w:val="0"/>
        <w:spacing w:after="0" w:line="240" w:lineRule="auto"/>
        <w:ind w:left="851" w:hanging="851"/>
        <w:rPr>
          <w:rFonts w:ascii="Arial" w:hAnsi="Arial" w:cs="Arial"/>
          <w:color w:val="auto"/>
          <w:szCs w:val="24"/>
        </w:rPr>
      </w:pPr>
      <w:r w:rsidRPr="003C7E62">
        <w:rPr>
          <w:rFonts w:ascii="Arial" w:hAnsi="Arial" w:cs="Arial"/>
          <w:color w:val="auto"/>
          <w:szCs w:val="24"/>
        </w:rPr>
        <w:t>The Nottingham Express Transit System was developed as a light rail system</w:t>
      </w:r>
      <w:r w:rsidR="00F26A22" w:rsidRPr="003C7E62">
        <w:rPr>
          <w:rFonts w:ascii="Arial" w:hAnsi="Arial" w:cs="Arial"/>
          <w:color w:val="auto"/>
          <w:szCs w:val="24"/>
        </w:rPr>
        <w:t xml:space="preserve"> </w:t>
      </w:r>
      <w:r w:rsidRPr="003C7E62">
        <w:rPr>
          <w:rFonts w:ascii="Arial" w:hAnsi="Arial" w:cs="Arial"/>
          <w:color w:val="auto"/>
          <w:szCs w:val="24"/>
        </w:rPr>
        <w:t>to serve the public transport needs of Greater Nottingham.</w:t>
      </w:r>
      <w:r w:rsidR="00380B39" w:rsidRPr="003C7E62">
        <w:rPr>
          <w:rFonts w:ascii="Arial" w:hAnsi="Arial" w:cs="Arial"/>
          <w:color w:val="auto"/>
          <w:szCs w:val="24"/>
        </w:rPr>
        <w:t xml:space="preserve"> </w:t>
      </w:r>
      <w:r w:rsidRPr="003C7E62">
        <w:rPr>
          <w:rFonts w:ascii="Arial" w:hAnsi="Arial" w:cs="Arial"/>
          <w:color w:val="auto"/>
          <w:szCs w:val="24"/>
        </w:rPr>
        <w:t xml:space="preserve"> Hucknall Station</w:t>
      </w:r>
      <w:r w:rsidR="00F26A22" w:rsidRPr="003C7E62">
        <w:rPr>
          <w:rFonts w:ascii="Arial" w:hAnsi="Arial" w:cs="Arial"/>
          <w:color w:val="auto"/>
          <w:szCs w:val="24"/>
        </w:rPr>
        <w:t xml:space="preserve"> </w:t>
      </w:r>
      <w:r w:rsidRPr="003C7E62">
        <w:rPr>
          <w:rFonts w:ascii="Arial" w:hAnsi="Arial" w:cs="Arial"/>
          <w:color w:val="auto"/>
          <w:szCs w:val="24"/>
        </w:rPr>
        <w:t>currently provides an interchange facility with heavy rail and park and ride.</w:t>
      </w:r>
      <w:r w:rsidR="00F26A22" w:rsidRPr="003C7E62">
        <w:rPr>
          <w:rFonts w:ascii="Arial" w:hAnsi="Arial" w:cs="Arial"/>
          <w:color w:val="auto"/>
          <w:szCs w:val="24"/>
        </w:rPr>
        <w:t xml:space="preserve"> </w:t>
      </w:r>
      <w:r w:rsidRPr="003C7E62">
        <w:rPr>
          <w:rFonts w:ascii="Arial" w:hAnsi="Arial" w:cs="Arial"/>
          <w:color w:val="auto"/>
          <w:szCs w:val="24"/>
        </w:rPr>
        <w:t>Allocations for new housing and employment development are set out in the</w:t>
      </w:r>
      <w:r w:rsidR="00F26A22" w:rsidRPr="003C7E62">
        <w:rPr>
          <w:rFonts w:ascii="Arial" w:hAnsi="Arial" w:cs="Arial"/>
          <w:color w:val="auto"/>
          <w:szCs w:val="24"/>
        </w:rPr>
        <w:t xml:space="preserve"> </w:t>
      </w:r>
      <w:r w:rsidRPr="003C7E62">
        <w:rPr>
          <w:rFonts w:ascii="Arial" w:hAnsi="Arial" w:cs="Arial"/>
          <w:color w:val="auto"/>
          <w:szCs w:val="24"/>
        </w:rPr>
        <w:t>Gedling Borough Aligned Core Strategy, Part 1 Local Plan</w:t>
      </w:r>
      <w:r w:rsidR="00C42C6B" w:rsidRPr="003C7E62">
        <w:rPr>
          <w:rStyle w:val="FootnoteReference"/>
          <w:rFonts w:ascii="Arial" w:hAnsi="Arial" w:cs="Arial"/>
          <w:color w:val="auto"/>
          <w:szCs w:val="24"/>
        </w:rPr>
        <w:footnoteReference w:id="70"/>
      </w:r>
      <w:r w:rsidRPr="003C7E62">
        <w:rPr>
          <w:rFonts w:ascii="Arial" w:hAnsi="Arial" w:cs="Arial"/>
          <w:color w:val="auto"/>
          <w:szCs w:val="24"/>
        </w:rPr>
        <w:t xml:space="preserve">. </w:t>
      </w:r>
      <w:r w:rsidR="00380B39" w:rsidRPr="003C7E62">
        <w:rPr>
          <w:rFonts w:ascii="Arial" w:hAnsi="Arial" w:cs="Arial"/>
          <w:color w:val="auto"/>
          <w:szCs w:val="24"/>
        </w:rPr>
        <w:t xml:space="preserve"> </w:t>
      </w:r>
      <w:r w:rsidRPr="003C7E62">
        <w:rPr>
          <w:rFonts w:ascii="Arial" w:hAnsi="Arial" w:cs="Arial"/>
          <w:color w:val="auto"/>
          <w:szCs w:val="24"/>
        </w:rPr>
        <w:t>While current</w:t>
      </w:r>
      <w:r w:rsidR="00F26A22" w:rsidRPr="003C7E62">
        <w:rPr>
          <w:rFonts w:ascii="Arial" w:hAnsi="Arial" w:cs="Arial"/>
          <w:color w:val="auto"/>
          <w:szCs w:val="24"/>
        </w:rPr>
        <w:t xml:space="preserve"> </w:t>
      </w:r>
      <w:r w:rsidRPr="003C7E62">
        <w:rPr>
          <w:rFonts w:ascii="Arial" w:hAnsi="Arial" w:cs="Arial"/>
          <w:color w:val="auto"/>
          <w:szCs w:val="24"/>
        </w:rPr>
        <w:t>proposals do not include the development of a NET station, the Council has</w:t>
      </w:r>
      <w:r w:rsidR="00F26A22" w:rsidRPr="003C7E62">
        <w:rPr>
          <w:rFonts w:ascii="Arial" w:hAnsi="Arial" w:cs="Arial"/>
          <w:color w:val="auto"/>
          <w:szCs w:val="24"/>
        </w:rPr>
        <w:t xml:space="preserve"> </w:t>
      </w:r>
      <w:r w:rsidRPr="003C7E62">
        <w:rPr>
          <w:rFonts w:ascii="Arial" w:hAnsi="Arial" w:cs="Arial"/>
          <w:color w:val="auto"/>
          <w:szCs w:val="24"/>
        </w:rPr>
        <w:t>been requested to safeguard land should this be required in the future to</w:t>
      </w:r>
      <w:r w:rsidR="00F26A22" w:rsidRPr="003C7E62">
        <w:rPr>
          <w:rFonts w:ascii="Arial" w:hAnsi="Arial" w:cs="Arial"/>
          <w:color w:val="auto"/>
          <w:szCs w:val="24"/>
        </w:rPr>
        <w:t xml:space="preserve"> </w:t>
      </w:r>
      <w:r w:rsidRPr="003C7E62">
        <w:rPr>
          <w:rFonts w:ascii="Arial" w:hAnsi="Arial" w:cs="Arial"/>
          <w:color w:val="auto"/>
          <w:szCs w:val="24"/>
        </w:rPr>
        <w:t>widen transport choices in the area.</w:t>
      </w:r>
    </w:p>
    <w:p w14:paraId="39BF2765" w14:textId="77777777" w:rsidR="00380B39" w:rsidRPr="003C7E62" w:rsidRDefault="00380B39" w:rsidP="00F11936">
      <w:pPr>
        <w:pStyle w:val="ListParagraph"/>
        <w:autoSpaceDE w:val="0"/>
        <w:autoSpaceDN w:val="0"/>
        <w:adjustRightInd w:val="0"/>
        <w:spacing w:after="0" w:line="240" w:lineRule="auto"/>
        <w:ind w:left="460"/>
        <w:rPr>
          <w:rFonts w:ascii="Arial" w:hAnsi="Arial" w:cs="Arial"/>
          <w:color w:val="auto"/>
          <w:szCs w:val="24"/>
        </w:rPr>
      </w:pPr>
    </w:p>
    <w:p w14:paraId="10660F48" w14:textId="77777777" w:rsidR="00380B39" w:rsidRPr="003C7E62" w:rsidRDefault="002866EF" w:rsidP="00874A98">
      <w:pPr>
        <w:pStyle w:val="ListParagraph"/>
        <w:numPr>
          <w:ilvl w:val="1"/>
          <w:numId w:val="103"/>
        </w:numPr>
        <w:autoSpaceDE w:val="0"/>
        <w:autoSpaceDN w:val="0"/>
        <w:adjustRightInd w:val="0"/>
        <w:spacing w:after="0" w:line="240" w:lineRule="auto"/>
        <w:ind w:left="851" w:hanging="851"/>
        <w:rPr>
          <w:rFonts w:ascii="Arial" w:hAnsi="Arial" w:cs="Arial"/>
          <w:b/>
          <w:bCs/>
          <w:color w:val="7030A1"/>
          <w:szCs w:val="24"/>
        </w:rPr>
      </w:pPr>
      <w:r w:rsidRPr="003C7E62">
        <w:rPr>
          <w:rFonts w:ascii="Arial" w:hAnsi="Arial" w:cs="Arial"/>
          <w:color w:val="auto"/>
          <w:szCs w:val="24"/>
        </w:rPr>
        <w:t>The Robin Hood Line from Workshop to Nottingham was reopened in 1993 by a partnership of local authorities led by Nottinghamshire County Council as</w:t>
      </w:r>
      <w:r w:rsidR="00F26A22" w:rsidRPr="003C7E62">
        <w:rPr>
          <w:rFonts w:ascii="Arial" w:hAnsi="Arial" w:cs="Arial"/>
          <w:color w:val="auto"/>
          <w:szCs w:val="24"/>
        </w:rPr>
        <w:t xml:space="preserve"> </w:t>
      </w:r>
      <w:r w:rsidRPr="003C7E62">
        <w:rPr>
          <w:rFonts w:ascii="Arial" w:hAnsi="Arial" w:cs="Arial"/>
          <w:color w:val="auto"/>
          <w:szCs w:val="24"/>
        </w:rPr>
        <w:t>part of a multi-</w:t>
      </w:r>
      <w:proofErr w:type="gramStart"/>
      <w:r w:rsidRPr="003C7E62">
        <w:rPr>
          <w:rFonts w:ascii="Arial" w:hAnsi="Arial" w:cs="Arial"/>
          <w:color w:val="auto"/>
          <w:szCs w:val="24"/>
        </w:rPr>
        <w:t>million pound</w:t>
      </w:r>
      <w:proofErr w:type="gramEnd"/>
      <w:r w:rsidRPr="003C7E62">
        <w:rPr>
          <w:rFonts w:ascii="Arial" w:hAnsi="Arial" w:cs="Arial"/>
          <w:color w:val="auto"/>
          <w:szCs w:val="24"/>
        </w:rPr>
        <w:t xml:space="preserve"> investment. Ashfield District Council was actively</w:t>
      </w:r>
      <w:r w:rsidR="00F26A22" w:rsidRPr="003C7E62">
        <w:rPr>
          <w:rFonts w:ascii="Arial" w:hAnsi="Arial" w:cs="Arial"/>
          <w:color w:val="auto"/>
          <w:szCs w:val="24"/>
        </w:rPr>
        <w:t xml:space="preserve"> </w:t>
      </w:r>
      <w:r w:rsidRPr="003C7E62">
        <w:rPr>
          <w:rFonts w:ascii="Arial" w:hAnsi="Arial" w:cs="Arial"/>
          <w:color w:val="auto"/>
          <w:szCs w:val="24"/>
        </w:rPr>
        <w:t>involved with supporting the re-opening of the line and the provision of</w:t>
      </w:r>
      <w:r w:rsidR="00F26A22" w:rsidRPr="003C7E62">
        <w:rPr>
          <w:rFonts w:ascii="Arial" w:hAnsi="Arial" w:cs="Arial"/>
          <w:color w:val="auto"/>
          <w:szCs w:val="24"/>
        </w:rPr>
        <w:t xml:space="preserve"> </w:t>
      </w:r>
      <w:r w:rsidRPr="003C7E62">
        <w:rPr>
          <w:rFonts w:ascii="Arial" w:hAnsi="Arial" w:cs="Arial"/>
          <w:color w:val="auto"/>
          <w:szCs w:val="24"/>
        </w:rPr>
        <w:t>stations at Hucknall, Kirkby-in-Ashfield and Sutton Parkway.</w:t>
      </w:r>
    </w:p>
    <w:p w14:paraId="366505C3" w14:textId="77777777" w:rsidR="00380B39" w:rsidRPr="003C7E62" w:rsidRDefault="00380B39" w:rsidP="00F11936">
      <w:pPr>
        <w:pStyle w:val="ListParagraph"/>
        <w:spacing w:after="0" w:line="240" w:lineRule="auto"/>
        <w:rPr>
          <w:rFonts w:ascii="Arial" w:hAnsi="Arial" w:cs="Arial"/>
          <w:color w:val="auto"/>
          <w:szCs w:val="24"/>
        </w:rPr>
      </w:pPr>
    </w:p>
    <w:p w14:paraId="6CCBD56C" w14:textId="5A966533" w:rsidR="00322F44" w:rsidRPr="00862BB0" w:rsidRDefault="00322F44" w:rsidP="00874A98">
      <w:pPr>
        <w:pStyle w:val="ListParagraph"/>
        <w:numPr>
          <w:ilvl w:val="1"/>
          <w:numId w:val="103"/>
        </w:numPr>
        <w:autoSpaceDE w:val="0"/>
        <w:autoSpaceDN w:val="0"/>
        <w:adjustRightInd w:val="0"/>
        <w:spacing w:after="0" w:line="240" w:lineRule="auto"/>
        <w:ind w:left="851" w:hanging="851"/>
        <w:rPr>
          <w:rFonts w:ascii="Arial" w:hAnsi="Arial" w:cs="Arial"/>
          <w:b/>
          <w:bCs/>
          <w:szCs w:val="24"/>
        </w:rPr>
      </w:pPr>
      <w:bookmarkStart w:id="104" w:name="_Hlk79739989"/>
      <w:r w:rsidRPr="00862BB0">
        <w:rPr>
          <w:rFonts w:ascii="Arial" w:hAnsi="Arial" w:cs="Arial"/>
          <w:color w:val="auto"/>
          <w:szCs w:val="24"/>
        </w:rPr>
        <w:t xml:space="preserve">The reopening of the Maid Marian Line for passenger traffic has </w:t>
      </w:r>
      <w:proofErr w:type="gramStart"/>
      <w:r w:rsidRPr="00862BB0">
        <w:rPr>
          <w:rFonts w:ascii="Arial" w:hAnsi="Arial" w:cs="Arial"/>
          <w:color w:val="auto"/>
          <w:szCs w:val="24"/>
        </w:rPr>
        <w:t>a number of</w:t>
      </w:r>
      <w:proofErr w:type="gramEnd"/>
      <w:r w:rsidRPr="00862BB0">
        <w:rPr>
          <w:rFonts w:ascii="Arial" w:hAnsi="Arial" w:cs="Arial"/>
          <w:color w:val="auto"/>
          <w:szCs w:val="24"/>
        </w:rPr>
        <w:t xml:space="preserve"> economic, environmental and social benefits.  Information on the potential economic and other benefits from reopening the line to passengers is set out under the supporting information to Policy </w:t>
      </w:r>
      <w:r w:rsidRPr="00862BB0">
        <w:rPr>
          <w:rFonts w:ascii="Arial" w:hAnsi="Arial" w:cs="Arial"/>
          <w:szCs w:val="24"/>
        </w:rPr>
        <w:t>S</w:t>
      </w:r>
      <w:r w:rsidR="00416190" w:rsidRPr="00862BB0">
        <w:rPr>
          <w:rFonts w:ascii="Arial" w:hAnsi="Arial" w:cs="Arial"/>
          <w:szCs w:val="24"/>
        </w:rPr>
        <w:t>8</w:t>
      </w:r>
      <w:r w:rsidRPr="00862BB0">
        <w:rPr>
          <w:rFonts w:ascii="Arial" w:hAnsi="Arial" w:cs="Arial"/>
          <w:szCs w:val="24"/>
        </w:rPr>
        <w:t>.</w:t>
      </w:r>
    </w:p>
    <w:p w14:paraId="4C581832" w14:textId="77777777" w:rsidR="00322F44" w:rsidRPr="00862BB0" w:rsidRDefault="00322F44" w:rsidP="00322F44">
      <w:pPr>
        <w:pStyle w:val="ListParagraph"/>
        <w:rPr>
          <w:rFonts w:ascii="Arial" w:hAnsi="Arial" w:cs="Arial"/>
          <w:szCs w:val="24"/>
        </w:rPr>
      </w:pPr>
    </w:p>
    <w:bookmarkEnd w:id="104"/>
    <w:p w14:paraId="00282E60" w14:textId="4799EC26" w:rsidR="008A4495" w:rsidRPr="003C7E62" w:rsidRDefault="002866EF" w:rsidP="00874A98">
      <w:pPr>
        <w:pStyle w:val="ListParagraph"/>
        <w:numPr>
          <w:ilvl w:val="1"/>
          <w:numId w:val="103"/>
        </w:numPr>
        <w:autoSpaceDE w:val="0"/>
        <w:autoSpaceDN w:val="0"/>
        <w:adjustRightInd w:val="0"/>
        <w:spacing w:after="0" w:line="240" w:lineRule="auto"/>
        <w:ind w:left="851" w:hanging="851"/>
        <w:rPr>
          <w:rFonts w:ascii="Arial" w:hAnsi="Arial" w:cs="Arial"/>
          <w:b/>
          <w:bCs/>
          <w:color w:val="7030A1"/>
          <w:szCs w:val="24"/>
        </w:rPr>
      </w:pPr>
      <w:r w:rsidRPr="003C7E62">
        <w:rPr>
          <w:rFonts w:ascii="Arial" w:hAnsi="Arial" w:cs="Arial"/>
          <w:color w:val="auto"/>
          <w:szCs w:val="24"/>
        </w:rPr>
        <w:lastRenderedPageBreak/>
        <w:t>Analysis undertaken by Nottinghamshire County Council during 2020 shows that walking and cycling ha</w:t>
      </w:r>
      <w:r w:rsidR="008A4495" w:rsidRPr="003C7E62">
        <w:rPr>
          <w:rFonts w:ascii="Arial" w:hAnsi="Arial" w:cs="Arial"/>
          <w:color w:val="auto"/>
          <w:szCs w:val="24"/>
        </w:rPr>
        <w:t>s</w:t>
      </w:r>
      <w:r w:rsidRPr="003C7E62">
        <w:rPr>
          <w:rFonts w:ascii="Arial" w:hAnsi="Arial" w:cs="Arial"/>
          <w:color w:val="auto"/>
          <w:szCs w:val="24"/>
        </w:rPr>
        <w:t xml:space="preserve"> increased in popularity during the pandemic, reflecting the national picture. As a former mining area there are miles of former railway corridors in the area, providing an opportunity to further develop the off-road cycling and walking network.</w:t>
      </w:r>
      <w:r w:rsidRPr="003C7E62">
        <w:rPr>
          <w:rFonts w:ascii="Arial" w:hAnsi="Arial" w:cs="Arial"/>
          <w:color w:val="auto"/>
        </w:rPr>
        <w:t xml:space="preserve"> </w:t>
      </w:r>
      <w:r w:rsidRPr="003C7E62">
        <w:rPr>
          <w:rFonts w:ascii="Arial" w:hAnsi="Arial" w:cs="Arial"/>
          <w:color w:val="auto"/>
          <w:szCs w:val="24"/>
        </w:rPr>
        <w:t>Through the Towns Fund</w:t>
      </w:r>
      <w:r w:rsidR="00F26A22" w:rsidRPr="003C7E62">
        <w:rPr>
          <w:rStyle w:val="FootnoteReference"/>
          <w:rFonts w:ascii="Arial" w:hAnsi="Arial" w:cs="Arial"/>
          <w:color w:val="auto"/>
          <w:szCs w:val="24"/>
        </w:rPr>
        <w:footnoteReference w:id="71"/>
      </w:r>
      <w:r w:rsidRPr="003C7E62">
        <w:rPr>
          <w:rFonts w:ascii="Arial" w:hAnsi="Arial" w:cs="Arial"/>
          <w:color w:val="auto"/>
          <w:szCs w:val="24"/>
        </w:rPr>
        <w:t xml:space="preserve"> award, a comprehensive network of high-quality walking and cycling routes will be provided, with a first phase being delivered through the accelerated funding. Upgrading sections of existing routes, and the creation of new sections will support the development of the visitor economy and provide improved connections to key employment areas and public transport links.</w:t>
      </w:r>
    </w:p>
    <w:p w14:paraId="13E873AF" w14:textId="77777777" w:rsidR="008A4495" w:rsidRPr="003C7E62" w:rsidRDefault="008A4495" w:rsidP="00F11936">
      <w:pPr>
        <w:pStyle w:val="ListParagraph"/>
        <w:autoSpaceDE w:val="0"/>
        <w:autoSpaceDN w:val="0"/>
        <w:adjustRightInd w:val="0"/>
        <w:spacing w:after="0" w:line="240" w:lineRule="auto"/>
        <w:ind w:left="851"/>
        <w:rPr>
          <w:rFonts w:ascii="Arial" w:hAnsi="Arial" w:cs="Arial"/>
          <w:b/>
          <w:bCs/>
          <w:color w:val="7030A1"/>
          <w:szCs w:val="24"/>
        </w:rPr>
      </w:pPr>
    </w:p>
    <w:p w14:paraId="0C467860" w14:textId="77777777" w:rsidR="00D06046" w:rsidRPr="00D06046" w:rsidRDefault="002866EF" w:rsidP="00A44712">
      <w:pPr>
        <w:pStyle w:val="ListParagraph"/>
        <w:numPr>
          <w:ilvl w:val="1"/>
          <w:numId w:val="103"/>
        </w:numPr>
        <w:autoSpaceDE w:val="0"/>
        <w:autoSpaceDN w:val="0"/>
        <w:adjustRightInd w:val="0"/>
        <w:spacing w:after="0" w:line="240" w:lineRule="auto"/>
        <w:ind w:left="851" w:hanging="851"/>
        <w:rPr>
          <w:rFonts w:cs="Arial"/>
          <w:b/>
          <w:bCs/>
          <w:color w:val="auto"/>
          <w:sz w:val="28"/>
          <w:szCs w:val="28"/>
        </w:rPr>
      </w:pPr>
      <w:bookmarkStart w:id="105" w:name="_Hlk133929280"/>
      <w:r w:rsidRPr="00D06046">
        <w:rPr>
          <w:rFonts w:ascii="Arial" w:hAnsi="Arial" w:cs="Arial"/>
          <w:color w:val="auto"/>
          <w:szCs w:val="24"/>
        </w:rPr>
        <w:t xml:space="preserve">The main </w:t>
      </w:r>
      <w:r w:rsidR="00901882" w:rsidRPr="00D06046">
        <w:rPr>
          <w:rFonts w:ascii="Arial" w:hAnsi="Arial" w:cs="Arial"/>
          <w:szCs w:val="24"/>
        </w:rPr>
        <w:t xml:space="preserve">pedestrian and cycle </w:t>
      </w:r>
      <w:r w:rsidRPr="00D06046">
        <w:rPr>
          <w:rFonts w:ascii="Arial" w:hAnsi="Arial" w:cs="Arial"/>
          <w:szCs w:val="24"/>
        </w:rPr>
        <w:t>routes</w:t>
      </w:r>
      <w:r w:rsidR="00901882" w:rsidRPr="00D06046">
        <w:rPr>
          <w:rFonts w:ascii="Arial" w:hAnsi="Arial" w:cs="Arial"/>
          <w:szCs w:val="24"/>
        </w:rPr>
        <w:t xml:space="preserve"> identified in </w:t>
      </w:r>
      <w:r w:rsidR="00416190" w:rsidRPr="00D06046">
        <w:rPr>
          <w:rFonts w:ascii="Arial" w:hAnsi="Arial" w:cs="Arial"/>
          <w:szCs w:val="24"/>
        </w:rPr>
        <w:t>the</w:t>
      </w:r>
      <w:r w:rsidR="00901882" w:rsidRPr="00D06046">
        <w:rPr>
          <w:rFonts w:ascii="Arial" w:hAnsi="Arial" w:cs="Arial"/>
          <w:szCs w:val="24"/>
        </w:rPr>
        <w:t xml:space="preserve"> Policy, navigate </w:t>
      </w:r>
      <w:r w:rsidRPr="00D06046">
        <w:rPr>
          <w:rFonts w:ascii="Arial" w:hAnsi="Arial" w:cs="Arial"/>
          <w:szCs w:val="24"/>
        </w:rPr>
        <w:t xml:space="preserve">through the </w:t>
      </w:r>
      <w:r w:rsidR="00AF5A25" w:rsidRPr="00D06046">
        <w:rPr>
          <w:rFonts w:ascii="Arial" w:hAnsi="Arial" w:cs="Arial"/>
          <w:szCs w:val="24"/>
        </w:rPr>
        <w:t xml:space="preserve">District’s </w:t>
      </w:r>
      <w:r w:rsidRPr="00D06046">
        <w:rPr>
          <w:rFonts w:ascii="Arial" w:hAnsi="Arial" w:cs="Arial"/>
          <w:szCs w:val="24"/>
        </w:rPr>
        <w:t xml:space="preserve">town centres linking to Sherwood and Castlewood Business </w:t>
      </w:r>
      <w:r w:rsidR="0034106E" w:rsidRPr="00D06046">
        <w:rPr>
          <w:rFonts w:ascii="Arial" w:hAnsi="Arial" w:cs="Arial"/>
          <w:szCs w:val="24"/>
        </w:rPr>
        <w:t>P</w:t>
      </w:r>
      <w:r w:rsidRPr="00D06046">
        <w:rPr>
          <w:rFonts w:ascii="Arial" w:hAnsi="Arial" w:cs="Arial"/>
          <w:szCs w:val="24"/>
        </w:rPr>
        <w:t>arks to the south and west</w:t>
      </w:r>
      <w:r w:rsidR="0034106E" w:rsidRPr="00D06046">
        <w:rPr>
          <w:rFonts w:ascii="Arial" w:hAnsi="Arial" w:cs="Arial"/>
          <w:szCs w:val="24"/>
        </w:rPr>
        <w:t xml:space="preserve">, </w:t>
      </w:r>
      <w:r w:rsidRPr="00D06046">
        <w:rPr>
          <w:rFonts w:ascii="Arial" w:hAnsi="Arial" w:cs="Arial"/>
          <w:szCs w:val="24"/>
        </w:rPr>
        <w:t xml:space="preserve">visitor attractions including Mill Waters at Kings Mill Reservoir, the </w:t>
      </w:r>
      <w:r w:rsidR="00AF5A25" w:rsidRPr="00D06046">
        <w:rPr>
          <w:rFonts w:ascii="Arial" w:eastAsia="Arial" w:hAnsi="Arial" w:cs="Arial"/>
          <w:szCs w:val="24"/>
          <w:lang w:eastAsia="en-GB"/>
        </w:rPr>
        <w:t>Sherwood Observatory</w:t>
      </w:r>
      <w:r w:rsidRPr="00D06046">
        <w:rPr>
          <w:rFonts w:ascii="Arial" w:hAnsi="Arial" w:cs="Arial"/>
          <w:szCs w:val="24"/>
        </w:rPr>
        <w:t>, and Hardwick Hall to the east and north respectively</w:t>
      </w:r>
      <w:r w:rsidR="0034106E" w:rsidRPr="00D06046">
        <w:rPr>
          <w:rFonts w:ascii="Arial" w:hAnsi="Arial" w:cs="Arial"/>
          <w:szCs w:val="24"/>
        </w:rPr>
        <w:t>,</w:t>
      </w:r>
      <w:r w:rsidRPr="00D06046">
        <w:rPr>
          <w:rFonts w:ascii="Arial" w:hAnsi="Arial" w:cs="Arial"/>
          <w:szCs w:val="24"/>
        </w:rPr>
        <w:t xml:space="preserve"> picking up links to residential areas thro</w:t>
      </w:r>
      <w:r w:rsidRPr="00D06046">
        <w:rPr>
          <w:rFonts w:ascii="Arial" w:hAnsi="Arial" w:cs="Arial"/>
          <w:color w:val="auto"/>
          <w:szCs w:val="24"/>
        </w:rPr>
        <w:t>ughout.</w:t>
      </w:r>
      <w:r w:rsidR="008555C0" w:rsidRPr="00D06046">
        <w:rPr>
          <w:rFonts w:ascii="Arial" w:hAnsi="Arial" w:cs="Arial"/>
          <w:color w:val="FF0000"/>
          <w:szCs w:val="24"/>
        </w:rPr>
        <w:t xml:space="preserve"> </w:t>
      </w:r>
      <w:r w:rsidR="003A325B" w:rsidRPr="00D06046">
        <w:rPr>
          <w:rFonts w:ascii="Arial" w:hAnsi="Arial" w:cs="Arial"/>
          <w:color w:val="FF0000"/>
          <w:szCs w:val="24"/>
        </w:rPr>
        <w:t xml:space="preserve">  </w:t>
      </w:r>
      <w:bookmarkEnd w:id="88"/>
      <w:bookmarkEnd w:id="105"/>
    </w:p>
    <w:p w14:paraId="0684B074" w14:textId="77777777" w:rsidR="00D06046" w:rsidRPr="00D06046" w:rsidRDefault="00D06046" w:rsidP="00D06046">
      <w:pPr>
        <w:pStyle w:val="ListParagraph"/>
        <w:rPr>
          <w:rFonts w:cs="Arial"/>
          <w:b/>
          <w:bCs/>
          <w:color w:val="auto"/>
          <w:sz w:val="28"/>
          <w:szCs w:val="28"/>
        </w:rPr>
      </w:pPr>
    </w:p>
    <w:p w14:paraId="743F2C2E" w14:textId="6FDF11AD" w:rsidR="006E2655" w:rsidRPr="00D06046" w:rsidRDefault="006E2655" w:rsidP="00D06046">
      <w:pPr>
        <w:autoSpaceDE w:val="0"/>
        <w:autoSpaceDN w:val="0"/>
        <w:adjustRightInd w:val="0"/>
        <w:rPr>
          <w:rFonts w:cs="Arial"/>
          <w:b/>
          <w:bCs/>
          <w:color w:val="auto"/>
          <w:sz w:val="28"/>
          <w:szCs w:val="28"/>
        </w:rPr>
      </w:pPr>
    </w:p>
    <w:p w14:paraId="6B6468D8" w14:textId="3FE4EDA3" w:rsidR="003178B5" w:rsidRPr="009D5737" w:rsidRDefault="0060632E" w:rsidP="009D5737">
      <w:pPr>
        <w:pStyle w:val="Heading2"/>
        <w:jc w:val="left"/>
        <w:rPr>
          <w:sz w:val="28"/>
          <w:szCs w:val="28"/>
        </w:rPr>
      </w:pPr>
      <w:bookmarkStart w:id="106" w:name="_Toc145511563"/>
      <w:bookmarkStart w:id="107" w:name="_Hlk146188371"/>
      <w:bookmarkStart w:id="108" w:name="_Hlk147928968"/>
      <w:r w:rsidRPr="009D5737">
        <w:rPr>
          <w:sz w:val="28"/>
          <w:szCs w:val="28"/>
        </w:rPr>
        <w:t xml:space="preserve">Strategic Policy </w:t>
      </w:r>
      <w:r w:rsidR="005F229B" w:rsidRPr="009D5737">
        <w:rPr>
          <w:sz w:val="28"/>
          <w:szCs w:val="28"/>
        </w:rPr>
        <w:t>S</w:t>
      </w:r>
      <w:r w:rsidR="005908AA" w:rsidRPr="009D5737">
        <w:rPr>
          <w:sz w:val="28"/>
          <w:szCs w:val="28"/>
        </w:rPr>
        <w:t>11</w:t>
      </w:r>
      <w:r w:rsidR="007E1CA9" w:rsidRPr="009D5737">
        <w:rPr>
          <w:sz w:val="28"/>
          <w:szCs w:val="28"/>
        </w:rPr>
        <w:t>:</w:t>
      </w:r>
      <w:r w:rsidR="005F229B" w:rsidRPr="009D5737">
        <w:rPr>
          <w:sz w:val="28"/>
          <w:szCs w:val="28"/>
        </w:rPr>
        <w:t xml:space="preserve"> </w:t>
      </w:r>
      <w:r w:rsidR="00162A7B" w:rsidRPr="009D5737">
        <w:rPr>
          <w:sz w:val="28"/>
          <w:szCs w:val="28"/>
        </w:rPr>
        <w:t xml:space="preserve">Vibrant </w:t>
      </w:r>
      <w:r w:rsidR="005F229B" w:rsidRPr="009D5737">
        <w:rPr>
          <w:sz w:val="28"/>
          <w:szCs w:val="28"/>
        </w:rPr>
        <w:t>Town Centres</w:t>
      </w:r>
      <w:bookmarkEnd w:id="106"/>
      <w:r w:rsidR="005F229B" w:rsidRPr="009D5737">
        <w:rPr>
          <w:sz w:val="28"/>
          <w:szCs w:val="28"/>
        </w:rPr>
        <w:t xml:space="preserve"> </w:t>
      </w:r>
    </w:p>
    <w:bookmarkEnd w:id="107"/>
    <w:p w14:paraId="4DAC7A8F" w14:textId="77777777" w:rsidR="005F1B0D" w:rsidRPr="003C7E62" w:rsidRDefault="005F1B0D" w:rsidP="003178B5">
      <w:pPr>
        <w:keepNext w:val="0"/>
        <w:spacing w:before="0"/>
        <w:rPr>
          <w:rFonts w:cs="Arial"/>
          <w:color w:val="auto"/>
          <w:lang w:eastAsia="en-US"/>
        </w:rPr>
      </w:pPr>
    </w:p>
    <w:tbl>
      <w:tblPr>
        <w:tblStyle w:val="ReportTable1"/>
        <w:tblW w:w="9634" w:type="dxa"/>
        <w:tblLook w:val="04A0" w:firstRow="1" w:lastRow="0" w:firstColumn="1" w:lastColumn="0" w:noHBand="0" w:noVBand="1"/>
      </w:tblPr>
      <w:tblGrid>
        <w:gridCol w:w="1696"/>
        <w:gridCol w:w="962"/>
        <w:gridCol w:w="6976"/>
      </w:tblGrid>
      <w:tr w:rsidR="000A144B" w:rsidRPr="003C7E62" w14:paraId="056956E3" w14:textId="77777777" w:rsidTr="003C413D">
        <w:tc>
          <w:tcPr>
            <w:tcW w:w="9634" w:type="dxa"/>
            <w:gridSpan w:val="3"/>
          </w:tcPr>
          <w:p w14:paraId="400224CF" w14:textId="77777777" w:rsidR="00433E30" w:rsidRDefault="00433E30" w:rsidP="000A144B">
            <w:pPr>
              <w:keepNext w:val="0"/>
              <w:spacing w:before="0"/>
              <w:rPr>
                <w:rFonts w:cs="Arial"/>
                <w:b/>
                <w:bCs/>
                <w:color w:val="auto"/>
                <w:szCs w:val="24"/>
                <w:lang w:eastAsia="en-US"/>
              </w:rPr>
            </w:pPr>
            <w:bookmarkStart w:id="109" w:name="_Hlk78264655"/>
          </w:p>
          <w:p w14:paraId="61C70A63" w14:textId="7C26D439" w:rsidR="000A144B" w:rsidRDefault="000A144B" w:rsidP="000A144B">
            <w:pPr>
              <w:keepNext w:val="0"/>
              <w:spacing w:before="0"/>
              <w:rPr>
                <w:rFonts w:cs="Arial"/>
                <w:b/>
                <w:bCs/>
                <w:color w:val="auto"/>
                <w:szCs w:val="24"/>
                <w:lang w:eastAsia="en-US"/>
              </w:rPr>
            </w:pPr>
            <w:r w:rsidRPr="003C7E62">
              <w:rPr>
                <w:rFonts w:cs="Arial"/>
                <w:b/>
                <w:bCs/>
                <w:color w:val="auto"/>
                <w:szCs w:val="24"/>
                <w:lang w:eastAsia="en-US"/>
              </w:rPr>
              <w:t>Strategic Policy S</w:t>
            </w:r>
            <w:r w:rsidR="005908AA" w:rsidRPr="00C474FF">
              <w:rPr>
                <w:rFonts w:cs="Arial"/>
                <w:b/>
                <w:bCs/>
                <w:szCs w:val="24"/>
                <w:lang w:eastAsia="en-US"/>
              </w:rPr>
              <w:t>11</w:t>
            </w:r>
            <w:r w:rsidRPr="00C474FF">
              <w:rPr>
                <w:rFonts w:cs="Arial"/>
                <w:b/>
                <w:bCs/>
                <w:szCs w:val="24"/>
                <w:lang w:eastAsia="en-US"/>
              </w:rPr>
              <w:t xml:space="preserve"> </w:t>
            </w:r>
            <w:r w:rsidR="00162A7B" w:rsidRPr="00162A7B">
              <w:rPr>
                <w:rFonts w:cs="Arial"/>
                <w:b/>
                <w:bCs/>
                <w:color w:val="auto"/>
                <w:szCs w:val="24"/>
                <w:lang w:eastAsia="en-US"/>
              </w:rPr>
              <w:t xml:space="preserve">Vibrant </w:t>
            </w:r>
            <w:r w:rsidRPr="003C7E62">
              <w:rPr>
                <w:rFonts w:cs="Arial"/>
                <w:b/>
                <w:bCs/>
                <w:color w:val="auto"/>
                <w:szCs w:val="24"/>
                <w:lang w:eastAsia="en-US"/>
              </w:rPr>
              <w:t xml:space="preserve">Town Centres </w:t>
            </w:r>
          </w:p>
          <w:p w14:paraId="5ADA57DB" w14:textId="304BAA0A" w:rsidR="00433E30" w:rsidRPr="003C7E62" w:rsidRDefault="00433E30" w:rsidP="000A144B">
            <w:pPr>
              <w:keepNext w:val="0"/>
              <w:spacing w:before="0"/>
              <w:rPr>
                <w:rFonts w:cs="Arial"/>
                <w:b/>
                <w:bCs/>
                <w:color w:val="auto"/>
                <w:szCs w:val="24"/>
                <w:lang w:eastAsia="en-US"/>
              </w:rPr>
            </w:pPr>
          </w:p>
        </w:tc>
      </w:tr>
      <w:tr w:rsidR="003178B5" w:rsidRPr="003C7E62" w14:paraId="0327262D" w14:textId="77777777" w:rsidTr="003C413D">
        <w:tc>
          <w:tcPr>
            <w:tcW w:w="2658" w:type="dxa"/>
            <w:gridSpan w:val="2"/>
          </w:tcPr>
          <w:p w14:paraId="21056D40" w14:textId="77777777" w:rsidR="003178B5" w:rsidRPr="00433E30" w:rsidRDefault="003178B5" w:rsidP="003178B5">
            <w:pPr>
              <w:keepNext w:val="0"/>
              <w:tabs>
                <w:tab w:val="left" w:pos="680"/>
              </w:tabs>
              <w:spacing w:before="40" w:after="40"/>
              <w:rPr>
                <w:rFonts w:eastAsia="Arial" w:cs="Arial"/>
                <w:bCs/>
                <w:color w:val="auto"/>
              </w:rPr>
            </w:pPr>
            <w:r w:rsidRPr="00433E30">
              <w:rPr>
                <w:rFonts w:eastAsia="Arial" w:cs="Arial"/>
                <w:bCs/>
                <w:color w:val="auto"/>
              </w:rPr>
              <w:t>Strategic Objectives</w:t>
            </w:r>
          </w:p>
        </w:tc>
        <w:tc>
          <w:tcPr>
            <w:tcW w:w="6976" w:type="dxa"/>
          </w:tcPr>
          <w:p w14:paraId="683CE4EC" w14:textId="77777777" w:rsidR="003178B5" w:rsidRPr="00433E30" w:rsidRDefault="003178B5" w:rsidP="003178B5">
            <w:pPr>
              <w:keepNext w:val="0"/>
              <w:tabs>
                <w:tab w:val="left" w:pos="680"/>
              </w:tabs>
              <w:spacing w:before="40" w:after="40"/>
              <w:rPr>
                <w:rFonts w:eastAsia="Arial" w:cs="Arial"/>
                <w:bCs/>
                <w:color w:val="auto"/>
              </w:rPr>
            </w:pPr>
            <w:r w:rsidRPr="00433E30">
              <w:rPr>
                <w:rFonts w:eastAsia="Arial" w:cs="Arial"/>
                <w:bCs/>
                <w:color w:val="auto"/>
              </w:rPr>
              <w:t>SO5, SO6, SO7, SO8, SO9, SO10.</w:t>
            </w:r>
          </w:p>
        </w:tc>
      </w:tr>
      <w:tr w:rsidR="003178B5" w:rsidRPr="003C7E62" w14:paraId="5DD76012" w14:textId="77777777" w:rsidTr="003C413D">
        <w:tc>
          <w:tcPr>
            <w:tcW w:w="9634" w:type="dxa"/>
            <w:gridSpan w:val="3"/>
            <w:shd w:val="clear" w:color="auto" w:fill="D9D9D9"/>
          </w:tcPr>
          <w:p w14:paraId="2700A189" w14:textId="77777777" w:rsidR="00D14538" w:rsidRDefault="00D14538" w:rsidP="00D14538">
            <w:pPr>
              <w:keepNext w:val="0"/>
              <w:tabs>
                <w:tab w:val="left" w:pos="680"/>
                <w:tab w:val="left" w:pos="1133"/>
                <w:tab w:val="left" w:pos="2267"/>
              </w:tabs>
              <w:spacing w:before="0"/>
              <w:ind w:right="284"/>
              <w:rPr>
                <w:rFonts w:eastAsia="Arial" w:cs="Arial"/>
                <w:bCs/>
                <w:color w:val="auto"/>
                <w:szCs w:val="24"/>
              </w:rPr>
            </w:pPr>
          </w:p>
          <w:p w14:paraId="4225D180" w14:textId="2AB2864C" w:rsidR="00812066" w:rsidRPr="00C474FF" w:rsidRDefault="00812066" w:rsidP="00D01157">
            <w:pPr>
              <w:keepNext w:val="0"/>
              <w:numPr>
                <w:ilvl w:val="0"/>
                <w:numId w:val="34"/>
              </w:numPr>
              <w:tabs>
                <w:tab w:val="left" w:pos="680"/>
                <w:tab w:val="left" w:pos="1133"/>
                <w:tab w:val="left" w:pos="2267"/>
              </w:tabs>
              <w:spacing w:before="0"/>
              <w:ind w:left="357" w:right="284"/>
              <w:rPr>
                <w:rFonts w:eastAsia="Arial" w:cs="Arial"/>
                <w:bCs/>
                <w:szCs w:val="24"/>
              </w:rPr>
            </w:pPr>
            <w:r w:rsidRPr="00C474FF">
              <w:rPr>
                <w:rFonts w:eastAsia="Arial" w:cs="Arial"/>
                <w:bCs/>
                <w:szCs w:val="24"/>
              </w:rPr>
              <w:t xml:space="preserve">Development should promote the </w:t>
            </w:r>
            <w:bookmarkStart w:id="110" w:name="_Hlk146188502"/>
            <w:r w:rsidRPr="00C474FF">
              <w:rPr>
                <w:rFonts w:eastAsia="Arial" w:cs="Arial"/>
                <w:bCs/>
                <w:szCs w:val="24"/>
              </w:rPr>
              <w:t>vitality and viability of the centres</w:t>
            </w:r>
            <w:bookmarkEnd w:id="110"/>
            <w:r w:rsidRPr="00C474FF">
              <w:rPr>
                <w:rFonts w:eastAsia="Arial" w:cs="Arial"/>
                <w:bCs/>
                <w:szCs w:val="24"/>
              </w:rPr>
              <w:t>.</w:t>
            </w:r>
          </w:p>
          <w:p w14:paraId="475204E9" w14:textId="77777777" w:rsidR="00812066" w:rsidRPr="00C474FF" w:rsidRDefault="00812066" w:rsidP="00812066">
            <w:pPr>
              <w:keepNext w:val="0"/>
              <w:tabs>
                <w:tab w:val="left" w:pos="680"/>
                <w:tab w:val="left" w:pos="1133"/>
                <w:tab w:val="left" w:pos="2267"/>
              </w:tabs>
              <w:spacing w:before="0"/>
              <w:ind w:left="357" w:right="284"/>
              <w:rPr>
                <w:rFonts w:eastAsia="Arial" w:cs="Arial"/>
                <w:bCs/>
                <w:szCs w:val="24"/>
              </w:rPr>
            </w:pPr>
          </w:p>
          <w:p w14:paraId="163FA320" w14:textId="144E4B6E" w:rsidR="00D14538" w:rsidRPr="00C474FF" w:rsidRDefault="003178B5" w:rsidP="00A44712">
            <w:pPr>
              <w:keepNext w:val="0"/>
              <w:numPr>
                <w:ilvl w:val="0"/>
                <w:numId w:val="34"/>
              </w:numPr>
              <w:tabs>
                <w:tab w:val="left" w:pos="680"/>
                <w:tab w:val="left" w:pos="1133"/>
                <w:tab w:val="left" w:pos="2267"/>
              </w:tabs>
              <w:spacing w:before="0"/>
              <w:ind w:left="357" w:right="284"/>
              <w:rPr>
                <w:rFonts w:eastAsia="Arial" w:cs="Arial"/>
                <w:bCs/>
                <w:strike/>
                <w:szCs w:val="24"/>
              </w:rPr>
            </w:pPr>
            <w:r w:rsidRPr="00C474FF">
              <w:rPr>
                <w:rFonts w:eastAsia="Arial" w:cs="Arial"/>
                <w:bCs/>
                <w:szCs w:val="24"/>
              </w:rPr>
              <w:t>Main town centre uses</w:t>
            </w:r>
            <w:r w:rsidRPr="00C474FF">
              <w:rPr>
                <w:rFonts w:eastAsia="Arial" w:cs="Arial"/>
                <w:bCs/>
                <w:szCs w:val="24"/>
                <w:vertAlign w:val="superscript"/>
              </w:rPr>
              <w:t>1</w:t>
            </w:r>
            <w:r w:rsidRPr="00C474FF">
              <w:rPr>
                <w:rFonts w:eastAsia="Arial" w:cs="Arial"/>
                <w:bCs/>
                <w:szCs w:val="24"/>
              </w:rPr>
              <w:t xml:space="preserve"> will </w:t>
            </w:r>
            <w:proofErr w:type="gramStart"/>
            <w:r w:rsidRPr="00C474FF">
              <w:rPr>
                <w:rFonts w:eastAsia="Arial" w:cs="Arial"/>
                <w:bCs/>
                <w:szCs w:val="24"/>
              </w:rPr>
              <w:t>be located in</w:t>
            </w:r>
            <w:proofErr w:type="gramEnd"/>
            <w:r w:rsidRPr="00C474FF">
              <w:rPr>
                <w:rFonts w:eastAsia="Arial" w:cs="Arial"/>
                <w:bCs/>
                <w:szCs w:val="24"/>
              </w:rPr>
              <w:t xml:space="preserve"> the Town Centres of Sutton in Ashfield, Kirkby-in-Ashfield</w:t>
            </w:r>
            <w:r w:rsidR="00425B8E">
              <w:rPr>
                <w:rFonts w:eastAsia="Arial" w:cs="Arial"/>
                <w:bCs/>
                <w:szCs w:val="24"/>
              </w:rPr>
              <w:t xml:space="preserve"> and Hucknall</w:t>
            </w:r>
            <w:r w:rsidRPr="00C474FF">
              <w:rPr>
                <w:rFonts w:eastAsia="Arial" w:cs="Arial"/>
                <w:bCs/>
                <w:szCs w:val="24"/>
              </w:rPr>
              <w:t xml:space="preserve"> and in local centres having regard to the </w:t>
            </w:r>
            <w:r w:rsidRPr="003A519C">
              <w:rPr>
                <w:rFonts w:eastAsia="Arial" w:cs="Arial"/>
                <w:bCs/>
                <w:szCs w:val="24"/>
              </w:rPr>
              <w:t>retail</w:t>
            </w:r>
            <w:r w:rsidRPr="00C474FF">
              <w:rPr>
                <w:rFonts w:eastAsia="Arial" w:cs="Arial"/>
                <w:bCs/>
                <w:szCs w:val="24"/>
              </w:rPr>
              <w:t xml:space="preserve"> hierarch</w:t>
            </w:r>
            <w:r w:rsidR="00A619C9" w:rsidRPr="00C474FF">
              <w:rPr>
                <w:rFonts w:eastAsia="Arial" w:cs="Arial"/>
                <w:bCs/>
                <w:szCs w:val="24"/>
              </w:rPr>
              <w:t>y</w:t>
            </w:r>
            <w:r w:rsidRPr="00C474FF">
              <w:rPr>
                <w:rFonts w:eastAsia="Arial" w:cs="Arial"/>
                <w:bCs/>
                <w:szCs w:val="24"/>
              </w:rPr>
              <w:t xml:space="preserve">, </w:t>
            </w:r>
            <w:r w:rsidR="00D9460E" w:rsidRPr="00C474FF">
              <w:rPr>
                <w:rFonts w:eastAsia="Arial" w:cs="Arial"/>
                <w:bCs/>
                <w:szCs w:val="24"/>
              </w:rPr>
              <w:t xml:space="preserve">the </w:t>
            </w:r>
            <w:r w:rsidRPr="00C474FF">
              <w:rPr>
                <w:rFonts w:eastAsia="Arial" w:cs="Arial"/>
                <w:bCs/>
                <w:szCs w:val="24"/>
              </w:rPr>
              <w:t xml:space="preserve">Ashfield </w:t>
            </w:r>
            <w:r w:rsidR="00E10A27" w:rsidRPr="00C474FF">
              <w:rPr>
                <w:rFonts w:eastAsia="Arial" w:cs="Arial"/>
                <w:bCs/>
                <w:szCs w:val="24"/>
              </w:rPr>
              <w:t>Town Centre</w:t>
            </w:r>
            <w:r w:rsidR="002F0813">
              <w:rPr>
                <w:rFonts w:eastAsia="Arial" w:cs="Arial"/>
                <w:bCs/>
                <w:szCs w:val="24"/>
              </w:rPr>
              <w:t xml:space="preserve">/Local Centre </w:t>
            </w:r>
            <w:r w:rsidR="00E10A27" w:rsidRPr="00C474FF">
              <w:rPr>
                <w:rFonts w:eastAsia="Arial" w:cs="Arial"/>
                <w:bCs/>
                <w:szCs w:val="24"/>
              </w:rPr>
              <w:t xml:space="preserve">Study </w:t>
            </w:r>
            <w:r w:rsidRPr="00C474FF">
              <w:rPr>
                <w:rFonts w:eastAsia="Arial" w:cs="Arial"/>
                <w:bCs/>
                <w:szCs w:val="24"/>
              </w:rPr>
              <w:t>and the delivery of the objectives and schemes set out in the Town Centre Masterplans</w:t>
            </w:r>
            <w:r w:rsidR="00D14538" w:rsidRPr="00C474FF">
              <w:rPr>
                <w:rFonts w:eastAsia="Arial" w:cs="Arial"/>
                <w:bCs/>
                <w:szCs w:val="24"/>
              </w:rPr>
              <w:t>.</w:t>
            </w:r>
            <w:r w:rsidRPr="00C474FF">
              <w:rPr>
                <w:rFonts w:eastAsia="Arial" w:cs="Arial"/>
                <w:bCs/>
                <w:szCs w:val="24"/>
              </w:rPr>
              <w:t xml:space="preserve">  </w:t>
            </w:r>
          </w:p>
          <w:p w14:paraId="32955BFB" w14:textId="77777777" w:rsidR="00C474FF" w:rsidRPr="00C474FF" w:rsidRDefault="00C474FF" w:rsidP="00C474FF">
            <w:pPr>
              <w:keepNext w:val="0"/>
              <w:tabs>
                <w:tab w:val="left" w:pos="680"/>
                <w:tab w:val="left" w:pos="1133"/>
                <w:tab w:val="left" w:pos="2267"/>
              </w:tabs>
              <w:spacing w:before="0"/>
              <w:ind w:right="284"/>
              <w:rPr>
                <w:rFonts w:eastAsia="Arial" w:cs="Arial"/>
                <w:bCs/>
                <w:strike/>
                <w:szCs w:val="24"/>
              </w:rPr>
            </w:pPr>
          </w:p>
          <w:p w14:paraId="64DB58D8" w14:textId="3F67B33B" w:rsidR="00D61B49" w:rsidRPr="00295D3F" w:rsidRDefault="00D14538" w:rsidP="00295D3F">
            <w:pPr>
              <w:keepNext w:val="0"/>
              <w:numPr>
                <w:ilvl w:val="0"/>
                <w:numId w:val="34"/>
              </w:numPr>
              <w:tabs>
                <w:tab w:val="left" w:pos="680"/>
                <w:tab w:val="left" w:pos="1133"/>
                <w:tab w:val="left" w:pos="2267"/>
              </w:tabs>
              <w:spacing w:before="0"/>
              <w:ind w:left="357" w:right="284"/>
              <w:rPr>
                <w:rFonts w:eastAsia="Arial" w:cs="Arial"/>
                <w:bCs/>
                <w:color w:val="auto"/>
                <w:szCs w:val="24"/>
              </w:rPr>
            </w:pPr>
            <w:r w:rsidRPr="00295D3F">
              <w:rPr>
                <w:rFonts w:eastAsia="Arial" w:cs="Arial"/>
                <w:bCs/>
                <w:color w:val="auto"/>
                <w:szCs w:val="24"/>
              </w:rPr>
              <w:t xml:space="preserve">The </w:t>
            </w:r>
            <w:r w:rsidR="00295D3F" w:rsidRPr="00295D3F">
              <w:rPr>
                <w:rFonts w:eastAsia="Arial" w:cs="Arial"/>
                <w:bCs/>
                <w:color w:val="auto"/>
                <w:szCs w:val="24"/>
              </w:rPr>
              <w:t>Town Centre Masterplans identify development opportunity sites and gateways within and around the designated town centre boundaries. Key locations are identified on the Policies Map.</w:t>
            </w:r>
            <w:r w:rsidR="00CC7721" w:rsidRPr="00295D3F">
              <w:rPr>
                <w:rFonts w:eastAsia="Arial" w:cs="Arial"/>
                <w:bCs/>
                <w:color w:val="auto"/>
                <w:szCs w:val="24"/>
              </w:rPr>
              <w:t xml:space="preserve"> </w:t>
            </w:r>
          </w:p>
          <w:p w14:paraId="60ACE915" w14:textId="77777777" w:rsidR="00B94708" w:rsidRDefault="00B94708" w:rsidP="00B94708">
            <w:pPr>
              <w:keepNext w:val="0"/>
              <w:tabs>
                <w:tab w:val="left" w:pos="680"/>
                <w:tab w:val="left" w:pos="1133"/>
                <w:tab w:val="left" w:pos="2267"/>
              </w:tabs>
              <w:spacing w:before="0"/>
              <w:ind w:right="284"/>
              <w:rPr>
                <w:rFonts w:eastAsia="Arial" w:cs="Arial"/>
                <w:bCs/>
                <w:color w:val="auto"/>
                <w:szCs w:val="24"/>
              </w:rPr>
            </w:pPr>
          </w:p>
          <w:p w14:paraId="48979D5D" w14:textId="704B00D6" w:rsidR="00D61B49" w:rsidRPr="003C7E62" w:rsidRDefault="00D61B49" w:rsidP="00D01157">
            <w:pPr>
              <w:keepNext w:val="0"/>
              <w:numPr>
                <w:ilvl w:val="0"/>
                <w:numId w:val="34"/>
              </w:numPr>
              <w:tabs>
                <w:tab w:val="left" w:pos="680"/>
                <w:tab w:val="left" w:pos="1133"/>
                <w:tab w:val="left" w:pos="2267"/>
              </w:tabs>
              <w:spacing w:before="0"/>
              <w:ind w:left="357" w:right="284"/>
              <w:rPr>
                <w:rFonts w:eastAsia="Arial" w:cs="Arial"/>
                <w:bCs/>
                <w:color w:val="auto"/>
                <w:szCs w:val="24"/>
              </w:rPr>
            </w:pPr>
            <w:r w:rsidRPr="00D61B49">
              <w:rPr>
                <w:rFonts w:eastAsia="Arial" w:cs="Arial"/>
                <w:bCs/>
                <w:color w:val="auto"/>
                <w:szCs w:val="24"/>
              </w:rPr>
              <w:t xml:space="preserve">The extent of the Town Centres and Primary Shopping Areas are identified on the </w:t>
            </w:r>
            <w:r w:rsidR="005C01D3">
              <w:rPr>
                <w:rFonts w:eastAsia="Arial" w:cs="Arial"/>
                <w:bCs/>
                <w:color w:val="auto"/>
                <w:szCs w:val="24"/>
              </w:rPr>
              <w:t>Policies</w:t>
            </w:r>
            <w:r w:rsidRPr="00D61B49">
              <w:rPr>
                <w:rFonts w:eastAsia="Arial" w:cs="Arial"/>
                <w:bCs/>
                <w:color w:val="auto"/>
                <w:szCs w:val="24"/>
              </w:rPr>
              <w:t xml:space="preserve"> Map.</w:t>
            </w:r>
          </w:p>
          <w:p w14:paraId="67F79C74" w14:textId="77777777" w:rsidR="003178B5" w:rsidRPr="003C7E62" w:rsidRDefault="003178B5" w:rsidP="00F11936">
            <w:pPr>
              <w:keepNext w:val="0"/>
              <w:tabs>
                <w:tab w:val="left" w:pos="680"/>
                <w:tab w:val="left" w:pos="1133"/>
                <w:tab w:val="left" w:pos="2267"/>
              </w:tabs>
              <w:spacing w:before="0"/>
              <w:ind w:left="357" w:right="284"/>
              <w:rPr>
                <w:rFonts w:eastAsia="Arial" w:cs="Arial"/>
                <w:bCs/>
                <w:color w:val="auto"/>
                <w:szCs w:val="24"/>
              </w:rPr>
            </w:pPr>
          </w:p>
          <w:p w14:paraId="33656A09" w14:textId="357A1CBD" w:rsidR="00B15934" w:rsidRPr="003C7E62" w:rsidRDefault="003178B5" w:rsidP="00D01157">
            <w:pPr>
              <w:keepNext w:val="0"/>
              <w:numPr>
                <w:ilvl w:val="0"/>
                <w:numId w:val="34"/>
              </w:numPr>
              <w:tabs>
                <w:tab w:val="left" w:pos="680"/>
                <w:tab w:val="left" w:pos="1133"/>
                <w:tab w:val="left" w:pos="2267"/>
              </w:tabs>
              <w:spacing w:before="0"/>
              <w:ind w:left="357" w:right="284"/>
              <w:rPr>
                <w:rFonts w:eastAsia="Arial" w:cs="Arial"/>
                <w:bCs/>
                <w:color w:val="auto"/>
                <w:szCs w:val="24"/>
              </w:rPr>
            </w:pPr>
            <w:r w:rsidRPr="003C7E62">
              <w:rPr>
                <w:rFonts w:eastAsia="Arial" w:cs="Arial"/>
                <w:bCs/>
                <w:color w:val="auto"/>
                <w:szCs w:val="24"/>
              </w:rPr>
              <w:t xml:space="preserve">The Council will require a sequential test and, where appropriate, </w:t>
            </w:r>
            <w:r w:rsidR="005F2CDC" w:rsidRPr="00E56F9C">
              <w:rPr>
                <w:bCs/>
                <w:color w:val="005EAC"/>
              </w:rPr>
              <w:t>as defined by Policy SH1</w:t>
            </w:r>
            <w:r w:rsidR="005F2CDC">
              <w:rPr>
                <w:b/>
              </w:rPr>
              <w:t>,</w:t>
            </w:r>
            <w:r w:rsidR="005F2CDC">
              <w:rPr>
                <w:bCs/>
              </w:rPr>
              <w:t xml:space="preserve"> </w:t>
            </w:r>
            <w:r w:rsidRPr="003C7E62">
              <w:rPr>
                <w:rFonts w:eastAsia="Arial" w:cs="Arial"/>
                <w:bCs/>
                <w:color w:val="auto"/>
                <w:szCs w:val="24"/>
              </w:rPr>
              <w:t xml:space="preserve">an impact assessment for proposed development for main town centre uses which are outside the town centres.   </w:t>
            </w:r>
          </w:p>
          <w:p w14:paraId="660102B8" w14:textId="77777777" w:rsidR="00B15934" w:rsidRPr="003C7E62" w:rsidRDefault="00B15934" w:rsidP="00F11936">
            <w:pPr>
              <w:keepNext w:val="0"/>
              <w:tabs>
                <w:tab w:val="left" w:pos="680"/>
                <w:tab w:val="left" w:pos="1133"/>
                <w:tab w:val="left" w:pos="2267"/>
              </w:tabs>
              <w:spacing w:before="0"/>
              <w:ind w:right="284"/>
              <w:rPr>
                <w:rFonts w:eastAsia="Arial" w:cs="Arial"/>
                <w:bCs/>
                <w:color w:val="auto"/>
                <w:szCs w:val="24"/>
              </w:rPr>
            </w:pPr>
          </w:p>
          <w:p w14:paraId="2A0683E7" w14:textId="3D400782" w:rsidR="00B15934" w:rsidRPr="00D14538" w:rsidRDefault="00B15934" w:rsidP="00D14538">
            <w:pPr>
              <w:keepNext w:val="0"/>
              <w:tabs>
                <w:tab w:val="left" w:pos="680"/>
                <w:tab w:val="left" w:pos="1133"/>
                <w:tab w:val="left" w:pos="2267"/>
              </w:tabs>
              <w:spacing w:before="0"/>
              <w:ind w:right="284" w:firstLine="316"/>
              <w:rPr>
                <w:rFonts w:eastAsia="Arial" w:cs="Arial"/>
                <w:b/>
                <w:color w:val="auto"/>
                <w:szCs w:val="24"/>
              </w:rPr>
            </w:pPr>
            <w:r w:rsidRPr="00D14538">
              <w:rPr>
                <w:rFonts w:eastAsia="Arial" w:cs="Arial"/>
                <w:b/>
                <w:color w:val="auto"/>
                <w:szCs w:val="24"/>
              </w:rPr>
              <w:lastRenderedPageBreak/>
              <w:t>Retail Hierarchy</w:t>
            </w:r>
          </w:p>
          <w:p w14:paraId="06D58F74" w14:textId="33715647" w:rsidR="003178B5" w:rsidRPr="003C7E62" w:rsidRDefault="003178B5" w:rsidP="00D01157">
            <w:pPr>
              <w:keepNext w:val="0"/>
              <w:numPr>
                <w:ilvl w:val="0"/>
                <w:numId w:val="34"/>
              </w:numPr>
              <w:tabs>
                <w:tab w:val="left" w:pos="680"/>
                <w:tab w:val="left" w:pos="1133"/>
                <w:tab w:val="left" w:pos="2267"/>
              </w:tabs>
              <w:spacing w:before="0"/>
              <w:ind w:right="284"/>
              <w:rPr>
                <w:rFonts w:eastAsia="Arial" w:cs="Arial"/>
                <w:bCs/>
                <w:color w:val="auto"/>
                <w:szCs w:val="24"/>
              </w:rPr>
            </w:pPr>
            <w:r w:rsidRPr="003C7E62">
              <w:rPr>
                <w:rFonts w:eastAsia="Arial" w:cs="Arial"/>
                <w:bCs/>
                <w:color w:val="auto"/>
                <w:szCs w:val="24"/>
              </w:rPr>
              <w:t>Proposals for development within the town centres, local centres and shopping parades, identified on the Policies Map, will be supported where the scale and nature of the proposed development will maintain and enhance the individual role of the centre in accordance with the following retail hierarchy.</w:t>
            </w:r>
          </w:p>
          <w:p w14:paraId="49ECFA88" w14:textId="77777777" w:rsidR="003178B5" w:rsidRPr="003C7E62" w:rsidRDefault="003178B5" w:rsidP="006E2655">
            <w:pPr>
              <w:keepNext w:val="0"/>
              <w:tabs>
                <w:tab w:val="left" w:pos="680"/>
                <w:tab w:val="left" w:pos="1133"/>
                <w:tab w:val="left" w:pos="2267"/>
              </w:tabs>
              <w:spacing w:before="0"/>
              <w:ind w:left="283" w:right="283"/>
              <w:rPr>
                <w:rFonts w:eastAsia="Arial" w:cs="Arial"/>
                <w:bCs/>
                <w:color w:val="auto"/>
                <w:szCs w:val="24"/>
              </w:rPr>
            </w:pPr>
          </w:p>
          <w:tbl>
            <w:tblPr>
              <w:tblStyle w:val="ReportTable1"/>
              <w:tblW w:w="0" w:type="auto"/>
              <w:jc w:val="center"/>
              <w:tblLook w:val="01E0" w:firstRow="1" w:lastRow="1" w:firstColumn="1" w:lastColumn="1" w:noHBand="0" w:noVBand="0"/>
            </w:tblPr>
            <w:tblGrid>
              <w:gridCol w:w="3289"/>
              <w:gridCol w:w="4820"/>
            </w:tblGrid>
            <w:tr w:rsidR="003178B5" w:rsidRPr="003C7E62" w14:paraId="0CB8F092" w14:textId="77777777" w:rsidTr="001347BB">
              <w:trPr>
                <w:trHeight w:val="444"/>
                <w:jc w:val="center"/>
              </w:trPr>
              <w:tc>
                <w:tcPr>
                  <w:tcW w:w="3289" w:type="dxa"/>
                  <w:shd w:val="clear" w:color="auto" w:fill="A6A6A6"/>
                </w:tcPr>
                <w:p w14:paraId="2353FF63" w14:textId="77777777" w:rsidR="003178B5" w:rsidRPr="003C7E62" w:rsidRDefault="003178B5" w:rsidP="006E2655">
                  <w:pPr>
                    <w:keepNext w:val="0"/>
                    <w:autoSpaceDE w:val="0"/>
                    <w:autoSpaceDN w:val="0"/>
                    <w:adjustRightInd w:val="0"/>
                    <w:spacing w:before="0"/>
                    <w:rPr>
                      <w:rFonts w:eastAsia="Arial" w:cs="Arial"/>
                      <w:b/>
                      <w:color w:val="auto"/>
                      <w:szCs w:val="24"/>
                    </w:rPr>
                  </w:pPr>
                  <w:r w:rsidRPr="003C7E62">
                    <w:rPr>
                      <w:rFonts w:cs="Arial"/>
                      <w:b/>
                      <w:color w:val="auto"/>
                      <w:szCs w:val="24"/>
                    </w:rPr>
                    <w:t xml:space="preserve">Hierarchy </w:t>
                  </w:r>
                </w:p>
              </w:tc>
              <w:tc>
                <w:tcPr>
                  <w:tcW w:w="4820" w:type="dxa"/>
                  <w:shd w:val="clear" w:color="auto" w:fill="A6A6A6"/>
                </w:tcPr>
                <w:p w14:paraId="6879337B" w14:textId="77777777" w:rsidR="003178B5" w:rsidRPr="003C7E62" w:rsidRDefault="003178B5" w:rsidP="006E2655">
                  <w:pPr>
                    <w:keepNext w:val="0"/>
                    <w:tabs>
                      <w:tab w:val="left" w:pos="680"/>
                      <w:tab w:val="left" w:pos="1133"/>
                      <w:tab w:val="left" w:pos="2267"/>
                    </w:tabs>
                    <w:spacing w:before="0"/>
                    <w:ind w:right="283"/>
                    <w:rPr>
                      <w:rFonts w:eastAsia="Arial" w:cs="Arial"/>
                      <w:b/>
                      <w:color w:val="auto"/>
                      <w:szCs w:val="24"/>
                    </w:rPr>
                  </w:pPr>
                  <w:r w:rsidRPr="003C7E62">
                    <w:rPr>
                      <w:rFonts w:eastAsia="Arial" w:cs="Arial"/>
                      <w:b/>
                      <w:color w:val="auto"/>
                      <w:szCs w:val="24"/>
                    </w:rPr>
                    <w:t>Town/Settlement</w:t>
                  </w:r>
                </w:p>
              </w:tc>
            </w:tr>
            <w:tr w:rsidR="002579BF" w:rsidRPr="003C7E62" w14:paraId="79D222A2" w14:textId="77777777" w:rsidTr="001347BB">
              <w:trPr>
                <w:trHeight w:val="848"/>
                <w:jc w:val="center"/>
              </w:trPr>
              <w:tc>
                <w:tcPr>
                  <w:tcW w:w="3289" w:type="dxa"/>
                </w:tcPr>
                <w:p w14:paraId="2DF1C052" w14:textId="1E7BBEB0" w:rsidR="002579BF" w:rsidRPr="003C7E62" w:rsidRDefault="002579BF" w:rsidP="006E2655">
                  <w:pPr>
                    <w:keepNext w:val="0"/>
                    <w:autoSpaceDE w:val="0"/>
                    <w:autoSpaceDN w:val="0"/>
                    <w:adjustRightInd w:val="0"/>
                    <w:spacing w:before="0"/>
                    <w:rPr>
                      <w:rFonts w:cs="Arial"/>
                      <w:bCs/>
                      <w:color w:val="auto"/>
                      <w:szCs w:val="24"/>
                    </w:rPr>
                  </w:pPr>
                  <w:r w:rsidRPr="003C7E62">
                    <w:rPr>
                      <w:rFonts w:cs="Arial"/>
                      <w:bCs/>
                      <w:color w:val="auto"/>
                      <w:szCs w:val="24"/>
                    </w:rPr>
                    <w:t xml:space="preserve">Town Centres </w:t>
                  </w:r>
                </w:p>
              </w:tc>
              <w:tc>
                <w:tcPr>
                  <w:tcW w:w="4820" w:type="dxa"/>
                </w:tcPr>
                <w:p w14:paraId="025CDD29" w14:textId="77777777" w:rsidR="002579BF" w:rsidRPr="003C7E62" w:rsidRDefault="002579BF" w:rsidP="006E2655">
                  <w:pPr>
                    <w:keepNext w:val="0"/>
                    <w:tabs>
                      <w:tab w:val="left" w:pos="680"/>
                      <w:tab w:val="left" w:pos="1133"/>
                      <w:tab w:val="left" w:pos="2267"/>
                    </w:tabs>
                    <w:spacing w:before="0"/>
                    <w:ind w:right="283"/>
                    <w:rPr>
                      <w:rFonts w:eastAsia="Arial" w:cs="Arial"/>
                      <w:bCs/>
                      <w:color w:val="auto"/>
                      <w:szCs w:val="24"/>
                    </w:rPr>
                  </w:pPr>
                  <w:r w:rsidRPr="003C7E62">
                    <w:rPr>
                      <w:rFonts w:eastAsia="Arial" w:cs="Arial"/>
                      <w:bCs/>
                      <w:color w:val="auto"/>
                      <w:szCs w:val="24"/>
                    </w:rPr>
                    <w:t>Sutton in Ashfield</w:t>
                  </w:r>
                </w:p>
                <w:p w14:paraId="3B973B14" w14:textId="77777777" w:rsidR="002579BF" w:rsidRDefault="002579BF" w:rsidP="006E2655">
                  <w:pPr>
                    <w:tabs>
                      <w:tab w:val="left" w:pos="680"/>
                      <w:tab w:val="left" w:pos="1133"/>
                      <w:tab w:val="left" w:pos="2267"/>
                    </w:tabs>
                    <w:spacing w:before="0"/>
                    <w:ind w:right="283"/>
                    <w:rPr>
                      <w:rFonts w:eastAsia="Arial" w:cs="Arial"/>
                      <w:bCs/>
                      <w:color w:val="auto"/>
                      <w:szCs w:val="24"/>
                    </w:rPr>
                  </w:pPr>
                  <w:r w:rsidRPr="003C7E62">
                    <w:rPr>
                      <w:rFonts w:eastAsia="Arial" w:cs="Arial"/>
                      <w:bCs/>
                      <w:color w:val="auto"/>
                      <w:szCs w:val="24"/>
                    </w:rPr>
                    <w:t>Kirkby in Ashfield</w:t>
                  </w:r>
                </w:p>
                <w:p w14:paraId="2E6BD4DE" w14:textId="47BF9401" w:rsidR="00425B8E" w:rsidRPr="003C7E62" w:rsidRDefault="00425B8E" w:rsidP="006E2655">
                  <w:pPr>
                    <w:tabs>
                      <w:tab w:val="left" w:pos="680"/>
                      <w:tab w:val="left" w:pos="1133"/>
                      <w:tab w:val="left" w:pos="2267"/>
                    </w:tabs>
                    <w:spacing w:before="0"/>
                    <w:ind w:right="283"/>
                    <w:rPr>
                      <w:rFonts w:eastAsia="Arial" w:cs="Arial"/>
                      <w:bCs/>
                      <w:color w:val="auto"/>
                      <w:szCs w:val="24"/>
                    </w:rPr>
                  </w:pPr>
                  <w:r>
                    <w:rPr>
                      <w:rFonts w:eastAsia="Arial" w:cs="Arial"/>
                      <w:bCs/>
                      <w:color w:val="auto"/>
                      <w:szCs w:val="24"/>
                    </w:rPr>
                    <w:t>Hucknall</w:t>
                  </w:r>
                </w:p>
              </w:tc>
            </w:tr>
            <w:tr w:rsidR="003178B5" w:rsidRPr="003C7E62" w14:paraId="42B69CD7" w14:textId="77777777" w:rsidTr="001347BB">
              <w:trPr>
                <w:jc w:val="center"/>
              </w:trPr>
              <w:tc>
                <w:tcPr>
                  <w:tcW w:w="3289" w:type="dxa"/>
                </w:tcPr>
                <w:p w14:paraId="0A70EE82" w14:textId="77777777" w:rsidR="003178B5" w:rsidRPr="003C7E62" w:rsidRDefault="003178B5" w:rsidP="006E2655">
                  <w:pPr>
                    <w:keepNext w:val="0"/>
                    <w:autoSpaceDE w:val="0"/>
                    <w:autoSpaceDN w:val="0"/>
                    <w:adjustRightInd w:val="0"/>
                    <w:spacing w:before="0"/>
                    <w:rPr>
                      <w:rFonts w:cs="Arial"/>
                      <w:bCs/>
                      <w:color w:val="auto"/>
                      <w:szCs w:val="24"/>
                    </w:rPr>
                  </w:pPr>
                  <w:r w:rsidRPr="003C7E62">
                    <w:rPr>
                      <w:rFonts w:cs="Arial"/>
                      <w:bCs/>
                      <w:color w:val="auto"/>
                      <w:szCs w:val="24"/>
                    </w:rPr>
                    <w:t>Local Shopping</w:t>
                  </w:r>
                </w:p>
                <w:p w14:paraId="297AB8A3" w14:textId="77777777" w:rsidR="003178B5" w:rsidRPr="003C7E62" w:rsidRDefault="003178B5" w:rsidP="006E2655">
                  <w:pPr>
                    <w:keepNext w:val="0"/>
                    <w:autoSpaceDE w:val="0"/>
                    <w:autoSpaceDN w:val="0"/>
                    <w:adjustRightInd w:val="0"/>
                    <w:spacing w:before="0"/>
                    <w:rPr>
                      <w:rFonts w:cs="Arial"/>
                      <w:bCs/>
                      <w:color w:val="auto"/>
                      <w:szCs w:val="24"/>
                    </w:rPr>
                  </w:pPr>
                  <w:r w:rsidRPr="003C7E62">
                    <w:rPr>
                      <w:rFonts w:cs="Arial"/>
                      <w:bCs/>
                      <w:color w:val="auto"/>
                      <w:szCs w:val="24"/>
                    </w:rPr>
                    <w:t>Centres</w:t>
                  </w:r>
                </w:p>
                <w:p w14:paraId="6409FCA9" w14:textId="77777777" w:rsidR="003178B5" w:rsidRPr="003C7E62" w:rsidRDefault="003178B5" w:rsidP="006E2655">
                  <w:pPr>
                    <w:keepNext w:val="0"/>
                    <w:autoSpaceDE w:val="0"/>
                    <w:autoSpaceDN w:val="0"/>
                    <w:adjustRightInd w:val="0"/>
                    <w:spacing w:before="0"/>
                    <w:rPr>
                      <w:rFonts w:cs="Arial"/>
                      <w:bCs/>
                      <w:color w:val="auto"/>
                      <w:szCs w:val="24"/>
                    </w:rPr>
                  </w:pPr>
                </w:p>
              </w:tc>
              <w:tc>
                <w:tcPr>
                  <w:tcW w:w="4820" w:type="dxa"/>
                </w:tcPr>
                <w:p w14:paraId="6E2EC91E" w14:textId="77777777" w:rsidR="003178B5" w:rsidRPr="003C7E62" w:rsidRDefault="003178B5" w:rsidP="006E2655">
                  <w:pPr>
                    <w:keepNext w:val="0"/>
                    <w:autoSpaceDE w:val="0"/>
                    <w:autoSpaceDN w:val="0"/>
                    <w:adjustRightInd w:val="0"/>
                    <w:spacing w:before="0"/>
                    <w:rPr>
                      <w:rFonts w:cs="Arial"/>
                      <w:bCs/>
                      <w:color w:val="auto"/>
                      <w:szCs w:val="24"/>
                    </w:rPr>
                  </w:pPr>
                  <w:r w:rsidRPr="003C7E62">
                    <w:rPr>
                      <w:rFonts w:cs="Arial"/>
                      <w:bCs/>
                      <w:color w:val="auto"/>
                      <w:szCs w:val="24"/>
                    </w:rPr>
                    <w:t>Outram Street, Sutton</w:t>
                  </w:r>
                </w:p>
                <w:p w14:paraId="13E6690E" w14:textId="77777777" w:rsidR="003178B5" w:rsidRPr="003C7E62" w:rsidRDefault="003178B5" w:rsidP="006E2655">
                  <w:pPr>
                    <w:keepNext w:val="0"/>
                    <w:autoSpaceDE w:val="0"/>
                    <w:autoSpaceDN w:val="0"/>
                    <w:adjustRightInd w:val="0"/>
                    <w:spacing w:before="0"/>
                    <w:rPr>
                      <w:rFonts w:cs="Arial"/>
                      <w:bCs/>
                      <w:color w:val="auto"/>
                      <w:szCs w:val="24"/>
                    </w:rPr>
                  </w:pPr>
                  <w:r w:rsidRPr="003C7E62">
                    <w:rPr>
                      <w:rFonts w:cs="Arial"/>
                      <w:bCs/>
                      <w:color w:val="auto"/>
                      <w:szCs w:val="24"/>
                    </w:rPr>
                    <w:t>Stanton Hill</w:t>
                  </w:r>
                </w:p>
                <w:p w14:paraId="0958F9F5" w14:textId="77777777" w:rsidR="003178B5" w:rsidRPr="003C7E62" w:rsidRDefault="003178B5" w:rsidP="006E2655">
                  <w:pPr>
                    <w:keepNext w:val="0"/>
                    <w:autoSpaceDE w:val="0"/>
                    <w:autoSpaceDN w:val="0"/>
                    <w:adjustRightInd w:val="0"/>
                    <w:spacing w:before="0"/>
                    <w:rPr>
                      <w:rFonts w:cs="Arial"/>
                      <w:bCs/>
                      <w:color w:val="auto"/>
                      <w:szCs w:val="24"/>
                    </w:rPr>
                  </w:pPr>
                  <w:r w:rsidRPr="003C7E62">
                    <w:rPr>
                      <w:rFonts w:cs="Arial"/>
                      <w:bCs/>
                      <w:color w:val="auto"/>
                      <w:szCs w:val="24"/>
                    </w:rPr>
                    <w:t>Huthwaite</w:t>
                  </w:r>
                </w:p>
                <w:p w14:paraId="3579E480" w14:textId="77777777" w:rsidR="003178B5" w:rsidRPr="003C7E62" w:rsidRDefault="003178B5" w:rsidP="006E2655">
                  <w:pPr>
                    <w:keepNext w:val="0"/>
                    <w:autoSpaceDE w:val="0"/>
                    <w:autoSpaceDN w:val="0"/>
                    <w:adjustRightInd w:val="0"/>
                    <w:spacing w:before="0"/>
                    <w:rPr>
                      <w:rFonts w:cs="Arial"/>
                      <w:bCs/>
                      <w:color w:val="auto"/>
                      <w:szCs w:val="24"/>
                    </w:rPr>
                  </w:pPr>
                  <w:r w:rsidRPr="003C7E62">
                    <w:rPr>
                      <w:rFonts w:cs="Arial"/>
                      <w:bCs/>
                      <w:color w:val="auto"/>
                      <w:szCs w:val="24"/>
                    </w:rPr>
                    <w:t>Forest Road, Annesley</w:t>
                  </w:r>
                </w:p>
                <w:p w14:paraId="203FDAB1" w14:textId="77777777" w:rsidR="003178B5" w:rsidRPr="003C7E62" w:rsidRDefault="003178B5" w:rsidP="006E2655">
                  <w:pPr>
                    <w:keepNext w:val="0"/>
                    <w:autoSpaceDE w:val="0"/>
                    <w:autoSpaceDN w:val="0"/>
                    <w:adjustRightInd w:val="0"/>
                    <w:spacing w:before="0"/>
                    <w:rPr>
                      <w:rFonts w:cs="Arial"/>
                      <w:bCs/>
                      <w:color w:val="auto"/>
                      <w:szCs w:val="24"/>
                    </w:rPr>
                  </w:pPr>
                  <w:r w:rsidRPr="003C7E62">
                    <w:rPr>
                      <w:rFonts w:cs="Arial"/>
                      <w:bCs/>
                      <w:color w:val="auto"/>
                      <w:szCs w:val="24"/>
                    </w:rPr>
                    <w:t>Annesley Road, Hucknall</w:t>
                  </w:r>
                </w:p>
                <w:p w14:paraId="4CB58A1F" w14:textId="77777777" w:rsidR="003178B5" w:rsidRPr="003C7E62" w:rsidRDefault="003178B5" w:rsidP="006E2655">
                  <w:pPr>
                    <w:keepNext w:val="0"/>
                    <w:autoSpaceDE w:val="0"/>
                    <w:autoSpaceDN w:val="0"/>
                    <w:adjustRightInd w:val="0"/>
                    <w:spacing w:before="0"/>
                    <w:rPr>
                      <w:rFonts w:cs="Arial"/>
                      <w:bCs/>
                      <w:color w:val="auto"/>
                      <w:szCs w:val="24"/>
                    </w:rPr>
                  </w:pPr>
                  <w:proofErr w:type="spellStart"/>
                  <w:r w:rsidRPr="003C7E62">
                    <w:rPr>
                      <w:rFonts w:cs="Arial"/>
                      <w:bCs/>
                      <w:color w:val="auto"/>
                      <w:szCs w:val="24"/>
                    </w:rPr>
                    <w:t>Watnall</w:t>
                  </w:r>
                  <w:proofErr w:type="spellEnd"/>
                  <w:r w:rsidRPr="003C7E62">
                    <w:rPr>
                      <w:rFonts w:cs="Arial"/>
                      <w:bCs/>
                      <w:color w:val="auto"/>
                      <w:szCs w:val="24"/>
                    </w:rPr>
                    <w:t xml:space="preserve"> Road, Hucknall</w:t>
                  </w:r>
                </w:p>
                <w:p w14:paraId="6B80AE96" w14:textId="77777777" w:rsidR="003178B5" w:rsidRPr="003C7E62" w:rsidRDefault="003178B5" w:rsidP="006E2655">
                  <w:pPr>
                    <w:keepNext w:val="0"/>
                    <w:autoSpaceDE w:val="0"/>
                    <w:autoSpaceDN w:val="0"/>
                    <w:adjustRightInd w:val="0"/>
                    <w:spacing w:before="0"/>
                    <w:rPr>
                      <w:rFonts w:cs="Arial"/>
                      <w:bCs/>
                      <w:color w:val="auto"/>
                      <w:szCs w:val="24"/>
                    </w:rPr>
                  </w:pPr>
                  <w:proofErr w:type="spellStart"/>
                  <w:r w:rsidRPr="003C7E62">
                    <w:rPr>
                      <w:rFonts w:cs="Arial"/>
                      <w:bCs/>
                      <w:color w:val="auto"/>
                      <w:szCs w:val="24"/>
                    </w:rPr>
                    <w:t>Jacksdale</w:t>
                  </w:r>
                  <w:proofErr w:type="spellEnd"/>
                </w:p>
              </w:tc>
            </w:tr>
            <w:tr w:rsidR="003178B5" w:rsidRPr="003C7E62" w14:paraId="729F26EA" w14:textId="77777777" w:rsidTr="001347BB">
              <w:trPr>
                <w:jc w:val="center"/>
              </w:trPr>
              <w:tc>
                <w:tcPr>
                  <w:tcW w:w="3289" w:type="dxa"/>
                </w:tcPr>
                <w:p w14:paraId="72ABB0C1" w14:textId="77777777" w:rsidR="003178B5" w:rsidRPr="003C7E62" w:rsidRDefault="003178B5" w:rsidP="006E2655">
                  <w:pPr>
                    <w:keepNext w:val="0"/>
                    <w:tabs>
                      <w:tab w:val="left" w:pos="680"/>
                      <w:tab w:val="left" w:pos="1133"/>
                      <w:tab w:val="left" w:pos="2267"/>
                    </w:tabs>
                    <w:spacing w:before="0"/>
                    <w:ind w:right="283"/>
                    <w:rPr>
                      <w:rFonts w:eastAsia="Arial" w:cs="Arial"/>
                      <w:bCs/>
                      <w:color w:val="auto"/>
                      <w:szCs w:val="24"/>
                    </w:rPr>
                  </w:pPr>
                  <w:r w:rsidRPr="003C7E62">
                    <w:rPr>
                      <w:rFonts w:eastAsia="Arial" w:cs="Arial"/>
                      <w:bCs/>
                      <w:color w:val="auto"/>
                      <w:szCs w:val="24"/>
                    </w:rPr>
                    <w:t xml:space="preserve">Shopping Parades </w:t>
                  </w:r>
                </w:p>
              </w:tc>
              <w:tc>
                <w:tcPr>
                  <w:tcW w:w="4820" w:type="dxa"/>
                </w:tcPr>
                <w:p w14:paraId="3FA8D559" w14:textId="77777777" w:rsidR="003178B5" w:rsidRPr="003C7E62" w:rsidRDefault="003178B5" w:rsidP="006E2655">
                  <w:pPr>
                    <w:keepNext w:val="0"/>
                    <w:tabs>
                      <w:tab w:val="left" w:pos="680"/>
                      <w:tab w:val="left" w:pos="1133"/>
                      <w:tab w:val="left" w:pos="2267"/>
                    </w:tabs>
                    <w:spacing w:before="0"/>
                    <w:ind w:right="283"/>
                    <w:rPr>
                      <w:rFonts w:eastAsia="Arial" w:cs="Arial"/>
                      <w:bCs/>
                      <w:color w:val="auto"/>
                      <w:szCs w:val="24"/>
                    </w:rPr>
                  </w:pPr>
                  <w:r w:rsidRPr="003C7E62">
                    <w:rPr>
                      <w:rFonts w:eastAsia="Arial" w:cs="Arial"/>
                      <w:bCs/>
                      <w:color w:val="auto"/>
                      <w:szCs w:val="24"/>
                    </w:rPr>
                    <w:t>Skegby</w:t>
                  </w:r>
                </w:p>
                <w:p w14:paraId="4B0D8D46" w14:textId="77777777" w:rsidR="003178B5" w:rsidRPr="003C7E62" w:rsidRDefault="003178B5" w:rsidP="006E2655">
                  <w:pPr>
                    <w:keepNext w:val="0"/>
                    <w:autoSpaceDE w:val="0"/>
                    <w:autoSpaceDN w:val="0"/>
                    <w:adjustRightInd w:val="0"/>
                    <w:spacing w:before="0"/>
                    <w:rPr>
                      <w:rFonts w:cs="Arial"/>
                      <w:bCs/>
                      <w:color w:val="auto"/>
                      <w:szCs w:val="24"/>
                    </w:rPr>
                  </w:pPr>
                  <w:proofErr w:type="spellStart"/>
                  <w:r w:rsidRPr="003C7E62">
                    <w:rPr>
                      <w:rFonts w:cs="Arial"/>
                      <w:bCs/>
                      <w:color w:val="auto"/>
                      <w:szCs w:val="24"/>
                    </w:rPr>
                    <w:t>Nuncargate</w:t>
                  </w:r>
                  <w:proofErr w:type="spellEnd"/>
                </w:p>
                <w:p w14:paraId="61F19D61" w14:textId="77777777" w:rsidR="003178B5" w:rsidRPr="003C7E62" w:rsidRDefault="003178B5" w:rsidP="006E2655">
                  <w:pPr>
                    <w:keepNext w:val="0"/>
                    <w:autoSpaceDE w:val="0"/>
                    <w:autoSpaceDN w:val="0"/>
                    <w:adjustRightInd w:val="0"/>
                    <w:spacing w:before="0"/>
                    <w:rPr>
                      <w:rFonts w:cs="Arial"/>
                      <w:bCs/>
                      <w:color w:val="auto"/>
                      <w:szCs w:val="24"/>
                    </w:rPr>
                  </w:pPr>
                  <w:proofErr w:type="spellStart"/>
                  <w:r w:rsidRPr="003C7E62">
                    <w:rPr>
                      <w:rFonts w:cs="Arial"/>
                      <w:bCs/>
                      <w:color w:val="auto"/>
                      <w:szCs w:val="24"/>
                    </w:rPr>
                    <w:t>Selston</w:t>
                  </w:r>
                  <w:proofErr w:type="spellEnd"/>
                </w:p>
                <w:p w14:paraId="0D2F821C" w14:textId="77777777" w:rsidR="003178B5" w:rsidRPr="003C7E62" w:rsidRDefault="003178B5" w:rsidP="006E2655">
                  <w:pPr>
                    <w:keepNext w:val="0"/>
                    <w:tabs>
                      <w:tab w:val="left" w:pos="680"/>
                      <w:tab w:val="left" w:pos="1133"/>
                      <w:tab w:val="left" w:pos="2267"/>
                    </w:tabs>
                    <w:spacing w:before="0"/>
                    <w:ind w:right="283"/>
                    <w:rPr>
                      <w:rFonts w:eastAsia="Arial" w:cs="Arial"/>
                      <w:bCs/>
                      <w:color w:val="auto"/>
                      <w:szCs w:val="24"/>
                    </w:rPr>
                  </w:pPr>
                  <w:r w:rsidRPr="003C7E62">
                    <w:rPr>
                      <w:rFonts w:eastAsia="Arial" w:cs="Arial"/>
                      <w:bCs/>
                      <w:color w:val="auto"/>
                      <w:szCs w:val="24"/>
                    </w:rPr>
                    <w:t>Underwood</w:t>
                  </w:r>
                </w:p>
              </w:tc>
            </w:tr>
            <w:tr w:rsidR="00C474FF" w:rsidRPr="00C474FF" w14:paraId="0E49A836" w14:textId="77777777" w:rsidTr="001347BB">
              <w:trPr>
                <w:jc w:val="center"/>
              </w:trPr>
              <w:tc>
                <w:tcPr>
                  <w:tcW w:w="3289" w:type="dxa"/>
                </w:tcPr>
                <w:p w14:paraId="36D8447B" w14:textId="7493630C" w:rsidR="00D14538" w:rsidRPr="00C474FF" w:rsidRDefault="00D14538" w:rsidP="006E2655">
                  <w:pPr>
                    <w:keepNext w:val="0"/>
                    <w:tabs>
                      <w:tab w:val="left" w:pos="680"/>
                      <w:tab w:val="left" w:pos="1133"/>
                      <w:tab w:val="left" w:pos="2267"/>
                    </w:tabs>
                    <w:spacing w:before="0"/>
                    <w:ind w:right="283"/>
                    <w:rPr>
                      <w:rFonts w:eastAsia="Arial" w:cs="Arial"/>
                      <w:bCs/>
                      <w:szCs w:val="24"/>
                    </w:rPr>
                  </w:pPr>
                  <w:r w:rsidRPr="00C474FF">
                    <w:rPr>
                      <w:rFonts w:eastAsia="Arial" w:cs="Arial"/>
                      <w:bCs/>
                      <w:szCs w:val="24"/>
                    </w:rPr>
                    <w:t>Other Areas</w:t>
                  </w:r>
                </w:p>
              </w:tc>
              <w:tc>
                <w:tcPr>
                  <w:tcW w:w="4820" w:type="dxa"/>
                </w:tcPr>
                <w:p w14:paraId="21C7EFDD" w14:textId="45C71AE1" w:rsidR="00D14538" w:rsidRPr="00C474FF" w:rsidRDefault="00D14538" w:rsidP="006E2655">
                  <w:pPr>
                    <w:keepNext w:val="0"/>
                    <w:tabs>
                      <w:tab w:val="left" w:pos="680"/>
                      <w:tab w:val="left" w:pos="1133"/>
                      <w:tab w:val="left" w:pos="2267"/>
                    </w:tabs>
                    <w:spacing w:before="0"/>
                    <w:ind w:right="283"/>
                    <w:rPr>
                      <w:rFonts w:eastAsia="Arial" w:cs="Arial"/>
                      <w:bCs/>
                      <w:szCs w:val="24"/>
                    </w:rPr>
                  </w:pPr>
                  <w:r w:rsidRPr="00C474FF">
                    <w:rPr>
                      <w:rFonts w:eastAsia="Arial" w:cs="Arial"/>
                      <w:bCs/>
                      <w:szCs w:val="24"/>
                    </w:rPr>
                    <w:t xml:space="preserve">Other Areas within the District </w:t>
                  </w:r>
                </w:p>
              </w:tc>
            </w:tr>
          </w:tbl>
          <w:p w14:paraId="5EA4C86E" w14:textId="77777777" w:rsidR="003178B5" w:rsidRPr="00C474FF" w:rsidRDefault="003178B5" w:rsidP="00F11936">
            <w:pPr>
              <w:keepNext w:val="0"/>
              <w:tabs>
                <w:tab w:val="left" w:pos="680"/>
                <w:tab w:val="left" w:pos="1133"/>
                <w:tab w:val="left" w:pos="2267"/>
              </w:tabs>
              <w:spacing w:before="0"/>
              <w:ind w:left="283" w:right="283"/>
              <w:rPr>
                <w:rFonts w:eastAsia="Arial" w:cs="Arial"/>
                <w:bCs/>
                <w:szCs w:val="24"/>
              </w:rPr>
            </w:pPr>
          </w:p>
          <w:p w14:paraId="0AAC3961" w14:textId="5C8E27ED" w:rsidR="004B3014" w:rsidRPr="00C474FF" w:rsidRDefault="004B3014" w:rsidP="00A44712">
            <w:pPr>
              <w:keepNext w:val="0"/>
              <w:numPr>
                <w:ilvl w:val="0"/>
                <w:numId w:val="33"/>
              </w:numPr>
              <w:tabs>
                <w:tab w:val="left" w:pos="680"/>
                <w:tab w:val="left" w:pos="1133"/>
                <w:tab w:val="left" w:pos="2267"/>
              </w:tabs>
              <w:spacing w:before="0"/>
              <w:ind w:right="284"/>
              <w:rPr>
                <w:rFonts w:eastAsia="Arial" w:cs="Arial"/>
                <w:bCs/>
                <w:szCs w:val="24"/>
                <w:u w:val="single"/>
              </w:rPr>
            </w:pPr>
            <w:r w:rsidRPr="00C474FF">
              <w:rPr>
                <w:rFonts w:eastAsia="Arial" w:cs="Arial"/>
                <w:bCs/>
                <w:szCs w:val="24"/>
                <w:u w:val="single"/>
              </w:rPr>
              <w:t>Town Centres</w:t>
            </w:r>
          </w:p>
          <w:p w14:paraId="377F58A1" w14:textId="5C5D8A90" w:rsidR="004B3014" w:rsidRPr="0061668F" w:rsidRDefault="003178B5" w:rsidP="0061668F">
            <w:pPr>
              <w:tabs>
                <w:tab w:val="left" w:pos="680"/>
                <w:tab w:val="left" w:pos="1024"/>
                <w:tab w:val="left" w:pos="2267"/>
              </w:tabs>
              <w:ind w:left="743" w:right="284"/>
              <w:rPr>
                <w:rFonts w:eastAsia="Arial" w:cs="Arial"/>
                <w:bCs/>
                <w:szCs w:val="24"/>
              </w:rPr>
            </w:pPr>
            <w:r w:rsidRPr="0061668F">
              <w:rPr>
                <w:rFonts w:eastAsia="Arial" w:cs="Arial"/>
                <w:b/>
                <w:szCs w:val="24"/>
              </w:rPr>
              <w:t>Sutton in Ashfield</w:t>
            </w:r>
            <w:r w:rsidRPr="0061668F">
              <w:rPr>
                <w:rFonts w:eastAsia="Arial" w:cs="Arial"/>
                <w:bCs/>
                <w:szCs w:val="24"/>
              </w:rPr>
              <w:t xml:space="preserve"> - Development should sustain and enhance the centre’s role by maintaining and extending the range and quality of facilities and services offered. Development should have regard to objectives and schemes set out in the Sutton Town Centre Spatial Masterplan. </w:t>
            </w:r>
            <w:r w:rsidR="00071C70" w:rsidRPr="0061668F">
              <w:rPr>
                <w:rFonts w:eastAsia="Arial" w:cs="Arial"/>
                <w:bCs/>
                <w:szCs w:val="24"/>
              </w:rPr>
              <w:t xml:space="preserve"> </w:t>
            </w:r>
            <w:r w:rsidR="005A1A0E" w:rsidRPr="0061668F">
              <w:rPr>
                <w:rFonts w:eastAsia="Arial" w:cs="Arial"/>
                <w:bCs/>
                <w:szCs w:val="24"/>
              </w:rPr>
              <w:t>The Sutton in Ashfield Church and Market Place Conservation Area extends into the Town Centre.</w:t>
            </w:r>
            <w:r w:rsidR="00EC4D30" w:rsidRPr="0061668F">
              <w:rPr>
                <w:rFonts w:eastAsia="Arial" w:cs="Arial"/>
                <w:bCs/>
                <w:szCs w:val="24"/>
              </w:rPr>
              <w:t xml:space="preserve"> </w:t>
            </w:r>
            <w:r w:rsidR="00071C70" w:rsidRPr="0061668F">
              <w:rPr>
                <w:rFonts w:eastAsia="Arial" w:cs="Arial"/>
                <w:bCs/>
                <w:szCs w:val="24"/>
              </w:rPr>
              <w:t xml:space="preserve">Opportunities to conserve and enhance the historic environment through heritage led regeneration </w:t>
            </w:r>
            <w:r w:rsidR="005A1A0E" w:rsidRPr="0061668F">
              <w:rPr>
                <w:rFonts w:eastAsia="Arial" w:cs="Arial"/>
                <w:bCs/>
                <w:szCs w:val="24"/>
              </w:rPr>
              <w:t>will be supported.</w:t>
            </w:r>
          </w:p>
          <w:p w14:paraId="75910EBE" w14:textId="7915A95E" w:rsidR="003178B5" w:rsidRDefault="003178B5" w:rsidP="0061668F">
            <w:pPr>
              <w:tabs>
                <w:tab w:val="left" w:pos="680"/>
                <w:tab w:val="left" w:pos="1024"/>
                <w:tab w:val="left" w:pos="2267"/>
              </w:tabs>
              <w:ind w:left="743" w:right="284"/>
              <w:rPr>
                <w:rFonts w:eastAsia="Arial" w:cs="Arial"/>
                <w:bCs/>
                <w:color w:val="auto"/>
                <w:szCs w:val="24"/>
              </w:rPr>
            </w:pPr>
            <w:r w:rsidRPr="0061668F">
              <w:rPr>
                <w:rFonts w:eastAsia="Arial" w:cs="Arial"/>
                <w:b/>
                <w:szCs w:val="24"/>
              </w:rPr>
              <w:t>Kirkby-in-Ashfield</w:t>
            </w:r>
            <w:r w:rsidRPr="0061668F">
              <w:rPr>
                <w:rFonts w:eastAsia="Arial" w:cs="Arial"/>
                <w:bCs/>
                <w:szCs w:val="24"/>
              </w:rPr>
              <w:t xml:space="preserve"> - Development that supports the </w:t>
            </w:r>
            <w:r w:rsidRPr="0061668F">
              <w:rPr>
                <w:rFonts w:eastAsia="Arial" w:cs="Arial"/>
                <w:bCs/>
                <w:color w:val="auto"/>
                <w:szCs w:val="24"/>
              </w:rPr>
              <w:t xml:space="preserve">consolidation and facilitates </w:t>
            </w:r>
            <w:r w:rsidR="00B84C2F" w:rsidRPr="0061668F">
              <w:rPr>
                <w:rFonts w:eastAsia="Arial" w:cs="Arial"/>
                <w:bCs/>
                <w:color w:val="auto"/>
                <w:szCs w:val="24"/>
              </w:rPr>
              <w:t xml:space="preserve">in </w:t>
            </w:r>
            <w:r w:rsidRPr="0061668F">
              <w:rPr>
                <w:rFonts w:eastAsia="Arial" w:cs="Arial"/>
                <w:bCs/>
                <w:color w:val="auto"/>
                <w:szCs w:val="24"/>
              </w:rPr>
              <w:t xml:space="preserve">the </w:t>
            </w:r>
            <w:r w:rsidR="00B84C2F" w:rsidRPr="0061668F">
              <w:rPr>
                <w:rFonts w:eastAsia="Arial" w:cs="Arial"/>
                <w:bCs/>
                <w:color w:val="auto"/>
                <w:szCs w:val="24"/>
              </w:rPr>
              <w:t>Town Centre</w:t>
            </w:r>
            <w:r w:rsidRPr="0061668F">
              <w:rPr>
                <w:rFonts w:eastAsia="Arial" w:cs="Arial"/>
                <w:bCs/>
                <w:color w:val="auto"/>
                <w:szCs w:val="24"/>
              </w:rPr>
              <w:t xml:space="preserve"> will be encouraged, particularly where this broadens the range, and quality of facilities, services and cultural activities. Development should have regard to objectives and schemes set out in the Kirkby Town Centre Spatial Masterplan.</w:t>
            </w:r>
          </w:p>
          <w:p w14:paraId="47B441A1" w14:textId="77777777" w:rsidR="00425B8E" w:rsidRPr="0061668F" w:rsidRDefault="00425B8E" w:rsidP="00425B8E">
            <w:pPr>
              <w:tabs>
                <w:tab w:val="left" w:pos="680"/>
                <w:tab w:val="left" w:pos="1024"/>
                <w:tab w:val="left" w:pos="2267"/>
              </w:tabs>
              <w:ind w:left="743" w:right="284"/>
              <w:rPr>
                <w:rFonts w:eastAsia="Arial" w:cs="Arial"/>
                <w:bCs/>
                <w:szCs w:val="24"/>
              </w:rPr>
            </w:pPr>
            <w:r w:rsidRPr="0061668F">
              <w:rPr>
                <w:rFonts w:eastAsia="Arial" w:cs="Arial"/>
                <w:b/>
                <w:szCs w:val="24"/>
              </w:rPr>
              <w:t xml:space="preserve">Hucknall </w:t>
            </w:r>
            <w:r w:rsidRPr="0061668F">
              <w:rPr>
                <w:rFonts w:eastAsia="Arial" w:cs="Arial"/>
                <w:bCs/>
                <w:szCs w:val="24"/>
              </w:rPr>
              <w:t>- Development should sustain and enhance the role of Hucknall, strengthening the retail offer and provide a mix of suitable uses at an appropriate scale with the aim of broadening the town centre's appeal. Development should have regard to objectives and schemes set out in the Hucknall Town Centre Spatial Masterplan.  The Hucknall Town Centre Conservation Area forms a substantial part of the Town Centre.  Opportunities to conserve and enhance the historic environment through heritage led regeneration will be supported.</w:t>
            </w:r>
          </w:p>
          <w:p w14:paraId="58EF81D0" w14:textId="77777777" w:rsidR="003178B5" w:rsidRPr="003C7E62" w:rsidRDefault="003178B5" w:rsidP="00F11936">
            <w:pPr>
              <w:keepNext w:val="0"/>
              <w:tabs>
                <w:tab w:val="left" w:pos="680"/>
                <w:tab w:val="left" w:pos="1133"/>
                <w:tab w:val="left" w:pos="2267"/>
              </w:tabs>
              <w:spacing w:before="0"/>
              <w:ind w:left="720" w:right="284"/>
              <w:rPr>
                <w:rFonts w:eastAsia="Arial" w:cs="Arial"/>
                <w:bCs/>
                <w:color w:val="auto"/>
                <w:szCs w:val="24"/>
              </w:rPr>
            </w:pPr>
          </w:p>
          <w:p w14:paraId="4D81593F" w14:textId="77777777" w:rsidR="004B3014" w:rsidRDefault="004B3014" w:rsidP="00D01157">
            <w:pPr>
              <w:keepNext w:val="0"/>
              <w:numPr>
                <w:ilvl w:val="0"/>
                <w:numId w:val="33"/>
              </w:numPr>
              <w:tabs>
                <w:tab w:val="left" w:pos="680"/>
                <w:tab w:val="left" w:pos="1133"/>
                <w:tab w:val="left" w:pos="2267"/>
              </w:tabs>
              <w:spacing w:before="0"/>
              <w:ind w:right="284"/>
              <w:rPr>
                <w:rFonts w:eastAsia="Arial" w:cs="Arial"/>
                <w:bCs/>
                <w:color w:val="auto"/>
                <w:szCs w:val="24"/>
                <w:u w:val="single"/>
              </w:rPr>
            </w:pPr>
            <w:r w:rsidRPr="004B3014">
              <w:rPr>
                <w:rFonts w:eastAsia="Arial" w:cs="Arial"/>
                <w:bCs/>
                <w:color w:val="auto"/>
                <w:szCs w:val="24"/>
                <w:u w:val="single"/>
              </w:rPr>
              <w:t>Local Shopping Centres</w:t>
            </w:r>
          </w:p>
          <w:p w14:paraId="7753ECE3" w14:textId="0DCB5B7C" w:rsidR="003178B5" w:rsidRPr="0061668F" w:rsidRDefault="003178B5" w:rsidP="0061668F">
            <w:pPr>
              <w:tabs>
                <w:tab w:val="left" w:pos="680"/>
                <w:tab w:val="left" w:pos="1024"/>
                <w:tab w:val="left" w:pos="2267"/>
              </w:tabs>
              <w:ind w:left="743" w:right="284"/>
              <w:rPr>
                <w:rFonts w:eastAsia="Arial" w:cs="Arial"/>
                <w:bCs/>
                <w:color w:val="auto"/>
                <w:szCs w:val="24"/>
              </w:rPr>
            </w:pPr>
            <w:r w:rsidRPr="0061668F">
              <w:rPr>
                <w:rFonts w:eastAsia="Arial" w:cs="Arial"/>
                <w:bCs/>
                <w:color w:val="auto"/>
                <w:szCs w:val="24"/>
              </w:rPr>
              <w:lastRenderedPageBreak/>
              <w:t xml:space="preserve">Development that respects the individual local scale and character of the local centre will be supported.  </w:t>
            </w:r>
          </w:p>
          <w:p w14:paraId="69B3C8FB" w14:textId="77777777" w:rsidR="003178B5" w:rsidRPr="003C7E62" w:rsidRDefault="003178B5" w:rsidP="00F11936">
            <w:pPr>
              <w:keepNext w:val="0"/>
              <w:tabs>
                <w:tab w:val="left" w:pos="680"/>
                <w:tab w:val="left" w:pos="1133"/>
                <w:tab w:val="left" w:pos="2267"/>
              </w:tabs>
              <w:spacing w:before="0"/>
              <w:ind w:left="720" w:right="284"/>
              <w:rPr>
                <w:rFonts w:eastAsia="Arial" w:cs="Arial"/>
                <w:bCs/>
                <w:color w:val="auto"/>
                <w:szCs w:val="24"/>
              </w:rPr>
            </w:pPr>
          </w:p>
          <w:p w14:paraId="01355F35" w14:textId="77777777" w:rsidR="00CC7721" w:rsidRPr="00CC7721" w:rsidRDefault="00CC7721" w:rsidP="00D01157">
            <w:pPr>
              <w:keepNext w:val="0"/>
              <w:numPr>
                <w:ilvl w:val="0"/>
                <w:numId w:val="33"/>
              </w:numPr>
              <w:tabs>
                <w:tab w:val="left" w:pos="680"/>
                <w:tab w:val="left" w:pos="1133"/>
                <w:tab w:val="left" w:pos="2267"/>
              </w:tabs>
              <w:spacing w:before="0"/>
              <w:ind w:right="284"/>
              <w:rPr>
                <w:rFonts w:eastAsia="Arial" w:cs="Arial"/>
                <w:bCs/>
                <w:color w:val="auto"/>
                <w:szCs w:val="24"/>
                <w:u w:val="single"/>
              </w:rPr>
            </w:pPr>
            <w:r w:rsidRPr="00CC7721">
              <w:rPr>
                <w:rFonts w:eastAsia="Arial" w:cs="Arial"/>
                <w:bCs/>
                <w:color w:val="auto"/>
                <w:szCs w:val="24"/>
                <w:u w:val="single"/>
              </w:rPr>
              <w:t>Shopping Parades</w:t>
            </w:r>
          </w:p>
          <w:p w14:paraId="31324397" w14:textId="77922C39" w:rsidR="003178B5" w:rsidRPr="0061668F" w:rsidRDefault="003178B5" w:rsidP="0061668F">
            <w:pPr>
              <w:tabs>
                <w:tab w:val="left" w:pos="680"/>
                <w:tab w:val="left" w:pos="1024"/>
                <w:tab w:val="left" w:pos="2267"/>
              </w:tabs>
              <w:ind w:left="743" w:right="284"/>
              <w:rPr>
                <w:rFonts w:eastAsia="Arial" w:cs="Arial"/>
                <w:bCs/>
                <w:color w:val="auto"/>
                <w:szCs w:val="24"/>
              </w:rPr>
            </w:pPr>
            <w:r w:rsidRPr="0061668F">
              <w:rPr>
                <w:rFonts w:eastAsia="Arial" w:cs="Arial"/>
                <w:bCs/>
                <w:color w:val="auto"/>
                <w:szCs w:val="24"/>
              </w:rPr>
              <w:t>Development of an appropriate scale should enhance Shopping Parades.</w:t>
            </w:r>
          </w:p>
          <w:p w14:paraId="7057BBBD" w14:textId="77777777" w:rsidR="003178B5" w:rsidRPr="003C7E62" w:rsidRDefault="003178B5" w:rsidP="00F11936">
            <w:pPr>
              <w:keepNext w:val="0"/>
              <w:tabs>
                <w:tab w:val="left" w:pos="680"/>
                <w:tab w:val="left" w:pos="1133"/>
                <w:tab w:val="left" w:pos="2267"/>
              </w:tabs>
              <w:spacing w:before="0"/>
              <w:ind w:right="284"/>
              <w:rPr>
                <w:rFonts w:eastAsia="Arial" w:cs="Arial"/>
                <w:bCs/>
                <w:color w:val="auto"/>
                <w:szCs w:val="24"/>
              </w:rPr>
            </w:pPr>
          </w:p>
          <w:p w14:paraId="746DFBFC" w14:textId="77777777" w:rsidR="00CC7721" w:rsidRPr="00CC7721" w:rsidRDefault="00CC7721" w:rsidP="00D01157">
            <w:pPr>
              <w:keepNext w:val="0"/>
              <w:numPr>
                <w:ilvl w:val="0"/>
                <w:numId w:val="33"/>
              </w:numPr>
              <w:tabs>
                <w:tab w:val="left" w:pos="680"/>
                <w:tab w:val="left" w:pos="1133"/>
                <w:tab w:val="left" w:pos="2267"/>
              </w:tabs>
              <w:spacing w:before="0"/>
              <w:ind w:right="284"/>
              <w:rPr>
                <w:rFonts w:eastAsia="Arial" w:cs="Arial"/>
                <w:bCs/>
                <w:color w:val="auto"/>
                <w:szCs w:val="24"/>
                <w:u w:val="single"/>
              </w:rPr>
            </w:pPr>
            <w:r w:rsidRPr="00CC7721">
              <w:rPr>
                <w:rFonts w:eastAsia="Arial" w:cs="Arial"/>
                <w:bCs/>
                <w:color w:val="auto"/>
                <w:szCs w:val="24"/>
                <w:u w:val="single"/>
              </w:rPr>
              <w:t>Other Areas</w:t>
            </w:r>
          </w:p>
          <w:p w14:paraId="17CF69BF" w14:textId="32E0C839" w:rsidR="003178B5" w:rsidRDefault="003178B5" w:rsidP="0061668F">
            <w:pPr>
              <w:tabs>
                <w:tab w:val="left" w:pos="680"/>
                <w:tab w:val="left" w:pos="1024"/>
                <w:tab w:val="left" w:pos="2267"/>
              </w:tabs>
              <w:ind w:left="743" w:right="284"/>
              <w:rPr>
                <w:rFonts w:eastAsia="Arial" w:cs="Arial"/>
                <w:bCs/>
                <w:color w:val="auto"/>
                <w:szCs w:val="24"/>
              </w:rPr>
            </w:pPr>
            <w:r w:rsidRPr="0061668F">
              <w:rPr>
                <w:rFonts w:eastAsia="Arial" w:cs="Arial"/>
                <w:bCs/>
                <w:color w:val="auto"/>
                <w:szCs w:val="24"/>
              </w:rPr>
              <w:t xml:space="preserve">Development of an appropriate design, type and scale will be supported in other areas where it meets local needs but does not undermine existing centres. </w:t>
            </w:r>
          </w:p>
          <w:p w14:paraId="0CB66A84" w14:textId="77777777" w:rsidR="003A519C" w:rsidRDefault="003A519C" w:rsidP="00F11936">
            <w:pPr>
              <w:keepNext w:val="0"/>
              <w:tabs>
                <w:tab w:val="left" w:pos="680"/>
                <w:tab w:val="left" w:pos="1133"/>
                <w:tab w:val="left" w:pos="2267"/>
              </w:tabs>
              <w:spacing w:before="0"/>
              <w:ind w:right="283"/>
              <w:jc w:val="both"/>
              <w:rPr>
                <w:rFonts w:eastAsia="Arial" w:cs="Arial"/>
                <w:bCs/>
                <w:color w:val="auto"/>
                <w:sz w:val="20"/>
              </w:rPr>
            </w:pPr>
          </w:p>
          <w:p w14:paraId="43374440" w14:textId="77777777" w:rsidR="003A519C" w:rsidRDefault="003A519C" w:rsidP="00F11936">
            <w:pPr>
              <w:keepNext w:val="0"/>
              <w:tabs>
                <w:tab w:val="left" w:pos="680"/>
                <w:tab w:val="left" w:pos="1133"/>
                <w:tab w:val="left" w:pos="2267"/>
              </w:tabs>
              <w:spacing w:before="0"/>
              <w:ind w:right="283"/>
              <w:jc w:val="both"/>
              <w:rPr>
                <w:rFonts w:eastAsia="Arial" w:cs="Arial"/>
                <w:bCs/>
                <w:color w:val="auto"/>
                <w:sz w:val="20"/>
              </w:rPr>
            </w:pPr>
          </w:p>
          <w:p w14:paraId="209ABBDC" w14:textId="1B1EEEA8" w:rsidR="003178B5" w:rsidRPr="003C7E62" w:rsidRDefault="003178B5" w:rsidP="00F11936">
            <w:pPr>
              <w:keepNext w:val="0"/>
              <w:tabs>
                <w:tab w:val="left" w:pos="680"/>
                <w:tab w:val="left" w:pos="1133"/>
                <w:tab w:val="left" w:pos="2267"/>
              </w:tabs>
              <w:spacing w:before="0"/>
              <w:ind w:right="283"/>
              <w:jc w:val="both"/>
              <w:rPr>
                <w:rFonts w:eastAsia="Arial" w:cs="Arial"/>
                <w:bCs/>
                <w:color w:val="auto"/>
                <w:sz w:val="20"/>
              </w:rPr>
            </w:pPr>
            <w:r w:rsidRPr="003C7E62">
              <w:rPr>
                <w:rFonts w:eastAsia="Arial" w:cs="Arial"/>
                <w:bCs/>
                <w:color w:val="auto"/>
                <w:sz w:val="20"/>
              </w:rPr>
              <w:t xml:space="preserve">1 – Main Town Centre uses reflect the definition of main town centre uses set out in the NPPF </w:t>
            </w:r>
            <w:r w:rsidR="00601192" w:rsidRPr="00C474FF">
              <w:rPr>
                <w:rFonts w:eastAsia="Arial" w:cs="Arial"/>
                <w:bCs/>
                <w:sz w:val="20"/>
              </w:rPr>
              <w:t>202</w:t>
            </w:r>
            <w:r w:rsidR="00C474FF" w:rsidRPr="00C474FF">
              <w:rPr>
                <w:rFonts w:eastAsia="Arial" w:cs="Arial"/>
                <w:bCs/>
                <w:sz w:val="20"/>
              </w:rPr>
              <w:t>3</w:t>
            </w:r>
            <w:r w:rsidR="00601192">
              <w:rPr>
                <w:rFonts w:eastAsia="Arial" w:cs="Arial"/>
                <w:bCs/>
                <w:color w:val="auto"/>
                <w:sz w:val="20"/>
              </w:rPr>
              <w:t xml:space="preserve"> </w:t>
            </w:r>
            <w:r w:rsidRPr="003C7E62">
              <w:rPr>
                <w:rFonts w:eastAsia="Arial" w:cs="Arial"/>
                <w:bCs/>
                <w:color w:val="auto"/>
                <w:sz w:val="20"/>
              </w:rPr>
              <w:t>or any subsequent replacement.</w:t>
            </w:r>
          </w:p>
          <w:p w14:paraId="6B25BD89" w14:textId="77777777" w:rsidR="003178B5" w:rsidRPr="003C7E62" w:rsidRDefault="003178B5" w:rsidP="00F11936">
            <w:pPr>
              <w:keepNext w:val="0"/>
              <w:tabs>
                <w:tab w:val="left" w:pos="680"/>
                <w:tab w:val="left" w:pos="1133"/>
                <w:tab w:val="left" w:pos="2267"/>
              </w:tabs>
              <w:spacing w:before="0"/>
              <w:ind w:right="283"/>
              <w:jc w:val="both"/>
              <w:rPr>
                <w:rFonts w:eastAsia="Arial" w:cs="Arial"/>
                <w:bCs/>
                <w:color w:val="auto"/>
                <w:szCs w:val="24"/>
              </w:rPr>
            </w:pPr>
          </w:p>
          <w:p w14:paraId="7AE7BE14" w14:textId="30A104BA" w:rsidR="003178B5" w:rsidRPr="003C7E62" w:rsidRDefault="003178B5" w:rsidP="00F11936">
            <w:pPr>
              <w:keepNext w:val="0"/>
              <w:tabs>
                <w:tab w:val="left" w:pos="680"/>
                <w:tab w:val="left" w:pos="1133"/>
                <w:tab w:val="left" w:pos="2267"/>
              </w:tabs>
              <w:spacing w:before="0"/>
              <w:ind w:right="284"/>
              <w:jc w:val="both"/>
              <w:rPr>
                <w:rFonts w:eastAsia="Arial" w:cs="Arial"/>
                <w:bCs/>
                <w:color w:val="auto"/>
                <w:szCs w:val="18"/>
              </w:rPr>
            </w:pPr>
            <w:r w:rsidRPr="003C7E62">
              <w:rPr>
                <w:rFonts w:eastAsia="Arial" w:cs="Arial"/>
                <w:bCs/>
                <w:color w:val="auto"/>
                <w:sz w:val="18"/>
                <w:szCs w:val="18"/>
              </w:rPr>
              <w:t>Note: Hucknall is defined as a Town Centre in the Nottingham Core Aligned Core Strategy.</w:t>
            </w:r>
          </w:p>
          <w:p w14:paraId="636CBE8F" w14:textId="654DF61E" w:rsidR="003178B5" w:rsidRPr="003C7E62" w:rsidRDefault="003178B5" w:rsidP="006E2655">
            <w:pPr>
              <w:keepNext w:val="0"/>
              <w:tabs>
                <w:tab w:val="left" w:pos="680"/>
                <w:tab w:val="left" w:pos="1133"/>
                <w:tab w:val="left" w:pos="2267"/>
              </w:tabs>
              <w:spacing w:before="0"/>
              <w:ind w:right="284"/>
              <w:rPr>
                <w:rFonts w:eastAsia="Arial" w:cs="Arial"/>
                <w:bCs/>
                <w:color w:val="0070C0"/>
              </w:rPr>
            </w:pPr>
          </w:p>
        </w:tc>
      </w:tr>
      <w:bookmarkEnd w:id="109"/>
      <w:tr w:rsidR="003178B5" w:rsidRPr="003C7E62" w14:paraId="2D1C244F" w14:textId="77777777" w:rsidTr="003C413D">
        <w:tc>
          <w:tcPr>
            <w:tcW w:w="1696" w:type="dxa"/>
            <w:shd w:val="clear" w:color="auto" w:fill="FFFFFF" w:themeFill="background1"/>
          </w:tcPr>
          <w:p w14:paraId="2A8D7080" w14:textId="77777777" w:rsidR="003178B5" w:rsidRPr="003C7E62" w:rsidRDefault="003178B5" w:rsidP="00433E30">
            <w:pPr>
              <w:keepNext w:val="0"/>
              <w:tabs>
                <w:tab w:val="left" w:pos="680"/>
                <w:tab w:val="left" w:pos="1133"/>
                <w:tab w:val="left" w:pos="2267"/>
              </w:tabs>
              <w:spacing w:before="0"/>
              <w:ind w:right="284"/>
              <w:rPr>
                <w:rFonts w:eastAsia="Arial" w:cs="Arial"/>
                <w:bCs/>
                <w:color w:val="C00000"/>
                <w:szCs w:val="24"/>
              </w:rPr>
            </w:pPr>
            <w:r w:rsidRPr="003C7E62">
              <w:rPr>
                <w:rFonts w:eastAsia="Arial" w:cs="Arial"/>
                <w:bCs/>
                <w:color w:val="auto"/>
                <w:sz w:val="20"/>
              </w:rPr>
              <w:lastRenderedPageBreak/>
              <w:t>Evidence base</w:t>
            </w:r>
          </w:p>
        </w:tc>
        <w:tc>
          <w:tcPr>
            <w:tcW w:w="7938" w:type="dxa"/>
            <w:gridSpan w:val="2"/>
            <w:shd w:val="clear" w:color="auto" w:fill="FFFFFF" w:themeFill="background1"/>
          </w:tcPr>
          <w:p w14:paraId="07048ACC" w14:textId="77777777" w:rsidR="005E1157" w:rsidRPr="00885752" w:rsidRDefault="005E1157" w:rsidP="00A44712">
            <w:pPr>
              <w:pStyle w:val="ListParagraph"/>
              <w:numPr>
                <w:ilvl w:val="0"/>
                <w:numId w:val="36"/>
              </w:numPr>
              <w:spacing w:after="160" w:line="252" w:lineRule="auto"/>
              <w:rPr>
                <w:rFonts w:ascii="Arial" w:eastAsia="Calibri" w:hAnsi="Arial" w:cs="Arial"/>
                <w:sz w:val="20"/>
              </w:rPr>
            </w:pPr>
            <w:r w:rsidRPr="00885752">
              <w:rPr>
                <w:rFonts w:ascii="Arial" w:eastAsia="Calibri" w:hAnsi="Arial" w:cs="Arial"/>
                <w:sz w:val="20"/>
                <w:szCs w:val="20"/>
              </w:rPr>
              <w:t>Background Paper No 1: Spatial Strategy and Site Selection 2023 - Ashfield District Council</w:t>
            </w:r>
          </w:p>
          <w:p w14:paraId="5E8BE9F8" w14:textId="19418BCE" w:rsidR="00885752" w:rsidRPr="00885752" w:rsidRDefault="003178B5" w:rsidP="00885752">
            <w:pPr>
              <w:pStyle w:val="ListParagraph"/>
              <w:numPr>
                <w:ilvl w:val="0"/>
                <w:numId w:val="36"/>
              </w:numPr>
              <w:spacing w:after="160" w:line="252" w:lineRule="auto"/>
              <w:rPr>
                <w:rFonts w:ascii="Arial" w:eastAsia="Calibri" w:hAnsi="Arial" w:cs="Arial"/>
                <w:color w:val="auto"/>
                <w:sz w:val="20"/>
              </w:rPr>
            </w:pPr>
            <w:r w:rsidRPr="00885752">
              <w:rPr>
                <w:rFonts w:ascii="Arial" w:eastAsia="Calibri" w:hAnsi="Arial" w:cs="Arial"/>
                <w:color w:val="auto"/>
                <w:sz w:val="20"/>
              </w:rPr>
              <w:t>Sutton Town Centre Spatial Masterplan</w:t>
            </w:r>
            <w:r w:rsidR="00E0659F" w:rsidRPr="00885752">
              <w:rPr>
                <w:rFonts w:ascii="Arial" w:eastAsia="Calibri" w:hAnsi="Arial" w:cs="Arial"/>
                <w:color w:val="auto"/>
                <w:sz w:val="20"/>
              </w:rPr>
              <w:t>, 20</w:t>
            </w:r>
            <w:r w:rsidR="00461D79">
              <w:rPr>
                <w:rFonts w:ascii="Arial" w:eastAsia="Calibri" w:hAnsi="Arial" w:cs="Arial"/>
                <w:color w:val="auto"/>
                <w:sz w:val="20"/>
              </w:rPr>
              <w:t>19</w:t>
            </w:r>
            <w:r w:rsidR="00E0659F" w:rsidRPr="00885752">
              <w:rPr>
                <w:rFonts w:ascii="Arial" w:eastAsia="Calibri" w:hAnsi="Arial" w:cs="Arial"/>
                <w:color w:val="auto"/>
                <w:sz w:val="20"/>
              </w:rPr>
              <w:t xml:space="preserve">.  </w:t>
            </w:r>
            <w:r w:rsidRPr="00885752">
              <w:rPr>
                <w:rFonts w:ascii="Arial" w:eastAsia="Calibri" w:hAnsi="Arial" w:cs="Arial"/>
                <w:color w:val="auto"/>
                <w:sz w:val="20"/>
              </w:rPr>
              <w:t>Ashfield District Council</w:t>
            </w:r>
            <w:r w:rsidR="00E0659F" w:rsidRPr="00885752">
              <w:rPr>
                <w:rFonts w:ascii="Arial" w:eastAsia="Calibri" w:hAnsi="Arial" w:cs="Arial"/>
                <w:color w:val="auto"/>
                <w:sz w:val="20"/>
              </w:rPr>
              <w:t>.</w:t>
            </w:r>
          </w:p>
          <w:p w14:paraId="3276A205" w14:textId="77777777" w:rsidR="00885752" w:rsidRPr="00885752" w:rsidRDefault="003178B5" w:rsidP="00885752">
            <w:pPr>
              <w:pStyle w:val="ListParagraph"/>
              <w:numPr>
                <w:ilvl w:val="0"/>
                <w:numId w:val="36"/>
              </w:numPr>
              <w:spacing w:after="160" w:line="252" w:lineRule="auto"/>
              <w:rPr>
                <w:rFonts w:ascii="Arial" w:eastAsia="Calibri" w:hAnsi="Arial" w:cs="Arial"/>
                <w:color w:val="auto"/>
                <w:sz w:val="20"/>
              </w:rPr>
            </w:pPr>
            <w:r w:rsidRPr="00885752">
              <w:rPr>
                <w:rFonts w:ascii="Arial" w:eastAsia="Calibri" w:hAnsi="Arial" w:cs="Arial"/>
                <w:color w:val="auto"/>
                <w:sz w:val="20"/>
              </w:rPr>
              <w:t>Kirkby Town Centre Spatial Masterplan</w:t>
            </w:r>
            <w:r w:rsidR="00E0659F" w:rsidRPr="00885752">
              <w:rPr>
                <w:rFonts w:ascii="Arial" w:eastAsia="Calibri" w:hAnsi="Arial" w:cs="Arial"/>
                <w:color w:val="auto"/>
                <w:sz w:val="20"/>
              </w:rPr>
              <w:t xml:space="preserve">, 2021. </w:t>
            </w:r>
            <w:r w:rsidRPr="00885752">
              <w:rPr>
                <w:rFonts w:ascii="Arial" w:eastAsia="Calibri" w:hAnsi="Arial" w:cs="Arial"/>
                <w:color w:val="auto"/>
                <w:sz w:val="20"/>
              </w:rPr>
              <w:t>Ashfield District Council</w:t>
            </w:r>
            <w:r w:rsidR="00E0659F" w:rsidRPr="00885752">
              <w:rPr>
                <w:rFonts w:ascii="Arial" w:eastAsia="Calibri" w:hAnsi="Arial" w:cs="Arial"/>
                <w:color w:val="auto"/>
                <w:sz w:val="20"/>
              </w:rPr>
              <w:t>.</w:t>
            </w:r>
          </w:p>
          <w:p w14:paraId="148E36EF" w14:textId="77777777" w:rsidR="005D5B24" w:rsidRDefault="003178B5" w:rsidP="005D5B24">
            <w:pPr>
              <w:pStyle w:val="ListParagraph"/>
              <w:numPr>
                <w:ilvl w:val="0"/>
                <w:numId w:val="36"/>
              </w:numPr>
              <w:spacing w:after="160" w:line="252" w:lineRule="auto"/>
              <w:rPr>
                <w:rFonts w:ascii="Arial" w:eastAsia="Calibri" w:hAnsi="Arial" w:cs="Arial"/>
                <w:color w:val="auto"/>
                <w:sz w:val="20"/>
              </w:rPr>
            </w:pPr>
            <w:r w:rsidRPr="00885752">
              <w:rPr>
                <w:rFonts w:ascii="Arial" w:eastAsia="Calibri" w:hAnsi="Arial" w:cs="Arial"/>
                <w:color w:val="auto"/>
                <w:sz w:val="20"/>
              </w:rPr>
              <w:t>Hucknall Town Centre Spatial Masterplan</w:t>
            </w:r>
            <w:r w:rsidR="00D022BB" w:rsidRPr="00885752">
              <w:rPr>
                <w:rFonts w:ascii="Arial" w:eastAsia="Calibri" w:hAnsi="Arial" w:cs="Arial"/>
                <w:color w:val="auto"/>
                <w:sz w:val="20"/>
              </w:rPr>
              <w:t xml:space="preserve"> </w:t>
            </w:r>
            <w:r w:rsidR="00D022BB" w:rsidRPr="00885752">
              <w:rPr>
                <w:rFonts w:ascii="Arial" w:eastAsia="Calibri" w:hAnsi="Arial" w:cs="Arial"/>
                <w:sz w:val="20"/>
              </w:rPr>
              <w:t>2022</w:t>
            </w:r>
            <w:r w:rsidRPr="00885752">
              <w:rPr>
                <w:rFonts w:ascii="Arial" w:eastAsia="Calibri" w:hAnsi="Arial" w:cs="Arial"/>
                <w:sz w:val="20"/>
              </w:rPr>
              <w:t xml:space="preserve"> </w:t>
            </w:r>
            <w:r w:rsidRPr="00885752">
              <w:rPr>
                <w:rFonts w:ascii="Arial" w:eastAsia="Calibri" w:hAnsi="Arial" w:cs="Arial"/>
                <w:color w:val="auto"/>
                <w:sz w:val="20"/>
              </w:rPr>
              <w:t>– Ashfield District Council</w:t>
            </w:r>
            <w:r w:rsidR="00E0659F" w:rsidRPr="00885752">
              <w:rPr>
                <w:rFonts w:ascii="Arial" w:eastAsia="Calibri" w:hAnsi="Arial" w:cs="Arial"/>
                <w:color w:val="auto"/>
                <w:sz w:val="20"/>
              </w:rPr>
              <w:t>.</w:t>
            </w:r>
          </w:p>
          <w:p w14:paraId="5BCF328F" w14:textId="2EDE25D3" w:rsidR="005D5B24" w:rsidRPr="005D5B24" w:rsidRDefault="005D5B24" w:rsidP="005D5B24">
            <w:pPr>
              <w:pStyle w:val="ListParagraph"/>
              <w:numPr>
                <w:ilvl w:val="0"/>
                <w:numId w:val="36"/>
              </w:numPr>
              <w:spacing w:after="160" w:line="252" w:lineRule="auto"/>
              <w:rPr>
                <w:rFonts w:ascii="Arial" w:eastAsia="Calibri" w:hAnsi="Arial" w:cs="Arial"/>
                <w:color w:val="auto"/>
                <w:sz w:val="20"/>
              </w:rPr>
            </w:pPr>
            <w:r w:rsidRPr="005D5B24">
              <w:rPr>
                <w:rFonts w:ascii="Arial" w:hAnsi="Arial" w:cs="Arial"/>
                <w:sz w:val="20"/>
              </w:rPr>
              <w:t xml:space="preserve">Ashfield Town Centre / Local Centre Study, 2023. </w:t>
            </w:r>
            <w:r w:rsidRPr="005D5B24">
              <w:rPr>
                <w:rFonts w:ascii="Arial" w:hAnsi="Arial" w:cs="Arial"/>
                <w:color w:val="auto"/>
                <w:sz w:val="20"/>
              </w:rPr>
              <w:t>Nexus Planning.</w:t>
            </w:r>
          </w:p>
          <w:p w14:paraId="619E7A17" w14:textId="77777777" w:rsidR="00885752" w:rsidRPr="00885752" w:rsidRDefault="003178B5" w:rsidP="00885752">
            <w:pPr>
              <w:pStyle w:val="ListParagraph"/>
              <w:numPr>
                <w:ilvl w:val="0"/>
                <w:numId w:val="36"/>
              </w:numPr>
              <w:spacing w:after="160" w:line="252" w:lineRule="auto"/>
              <w:rPr>
                <w:rFonts w:ascii="Arial" w:eastAsia="Calibri" w:hAnsi="Arial" w:cs="Arial"/>
                <w:color w:val="auto"/>
                <w:sz w:val="20"/>
              </w:rPr>
            </w:pPr>
            <w:r w:rsidRPr="00885752">
              <w:rPr>
                <w:rFonts w:ascii="Arial" w:eastAsia="Calibri" w:hAnsi="Arial" w:cs="Arial"/>
                <w:color w:val="auto"/>
                <w:sz w:val="20"/>
              </w:rPr>
              <w:t>Retail Floorspace Survey 2020</w:t>
            </w:r>
            <w:r w:rsidR="00E0659F" w:rsidRPr="00885752">
              <w:rPr>
                <w:rFonts w:ascii="Arial" w:eastAsia="Calibri" w:hAnsi="Arial" w:cs="Arial"/>
                <w:color w:val="auto"/>
                <w:sz w:val="20"/>
              </w:rPr>
              <w:t xml:space="preserve">. </w:t>
            </w:r>
            <w:r w:rsidRPr="00885752">
              <w:rPr>
                <w:rFonts w:ascii="Arial" w:eastAsia="Calibri" w:hAnsi="Arial" w:cs="Arial"/>
                <w:color w:val="auto"/>
                <w:sz w:val="20"/>
              </w:rPr>
              <w:t>Ashfield District Council</w:t>
            </w:r>
            <w:r w:rsidR="00E0659F" w:rsidRPr="00885752">
              <w:rPr>
                <w:rFonts w:ascii="Arial" w:eastAsia="Calibri" w:hAnsi="Arial" w:cs="Arial"/>
                <w:color w:val="auto"/>
                <w:sz w:val="20"/>
              </w:rPr>
              <w:t>.</w:t>
            </w:r>
          </w:p>
          <w:p w14:paraId="769EBF0F" w14:textId="77777777" w:rsidR="00885752" w:rsidRPr="00885752" w:rsidRDefault="00F777E4" w:rsidP="00885752">
            <w:pPr>
              <w:pStyle w:val="ListParagraph"/>
              <w:numPr>
                <w:ilvl w:val="0"/>
                <w:numId w:val="36"/>
              </w:numPr>
              <w:spacing w:after="160" w:line="252" w:lineRule="auto"/>
              <w:rPr>
                <w:rFonts w:ascii="Arial" w:eastAsia="Calibri" w:hAnsi="Arial" w:cs="Arial"/>
                <w:color w:val="auto"/>
                <w:sz w:val="20"/>
              </w:rPr>
            </w:pPr>
            <w:r w:rsidRPr="00885752">
              <w:rPr>
                <w:rFonts w:ascii="Arial" w:eastAsia="Calibri" w:hAnsi="Arial" w:cs="Arial"/>
                <w:color w:val="auto"/>
                <w:sz w:val="20"/>
              </w:rPr>
              <w:t>Kirkby-in-Ashfield &amp; Sutton in Ashfield Town Investment Plan</w:t>
            </w:r>
            <w:r w:rsidR="00885752" w:rsidRPr="00885752">
              <w:rPr>
                <w:rFonts w:ascii="Arial" w:eastAsia="Calibri" w:hAnsi="Arial" w:cs="Arial"/>
                <w:color w:val="auto"/>
                <w:sz w:val="20"/>
              </w:rPr>
              <w:t xml:space="preserve"> </w:t>
            </w:r>
            <w:r w:rsidRPr="00885752">
              <w:rPr>
                <w:rFonts w:ascii="Arial" w:eastAsia="Calibri" w:hAnsi="Arial" w:cs="Arial"/>
                <w:color w:val="auto"/>
                <w:sz w:val="20"/>
              </w:rPr>
              <w:t>2021-2030</w:t>
            </w:r>
            <w:r w:rsidR="00E0659F" w:rsidRPr="00885752">
              <w:rPr>
                <w:rFonts w:ascii="Arial" w:eastAsia="Calibri" w:hAnsi="Arial" w:cs="Arial"/>
                <w:color w:val="auto"/>
                <w:sz w:val="20"/>
              </w:rPr>
              <w:t>.  Ashfield District Council.</w:t>
            </w:r>
          </w:p>
          <w:p w14:paraId="55DA2722" w14:textId="6727A2D5" w:rsidR="003178B5" w:rsidRPr="00885752" w:rsidRDefault="003178B5" w:rsidP="00885752">
            <w:pPr>
              <w:pStyle w:val="ListParagraph"/>
              <w:numPr>
                <w:ilvl w:val="0"/>
                <w:numId w:val="36"/>
              </w:numPr>
              <w:spacing w:after="160" w:line="252" w:lineRule="auto"/>
              <w:rPr>
                <w:rFonts w:ascii="Arial" w:eastAsia="Calibri" w:hAnsi="Arial" w:cs="Arial"/>
                <w:color w:val="auto"/>
                <w:sz w:val="20"/>
              </w:rPr>
            </w:pPr>
            <w:r w:rsidRPr="00885752">
              <w:rPr>
                <w:rFonts w:ascii="Arial" w:eastAsia="Calibri" w:hAnsi="Arial" w:cs="Arial"/>
                <w:color w:val="auto"/>
                <w:sz w:val="20"/>
              </w:rPr>
              <w:t>Sustainability Appraisa</w:t>
            </w:r>
            <w:r w:rsidR="00E0659F" w:rsidRPr="00885752">
              <w:rPr>
                <w:rFonts w:ascii="Arial" w:eastAsia="Calibri" w:hAnsi="Arial" w:cs="Arial"/>
                <w:color w:val="auto"/>
                <w:sz w:val="20"/>
              </w:rPr>
              <w:t>l</w:t>
            </w:r>
            <w:r w:rsidR="00E0659F" w:rsidRPr="00885752">
              <w:rPr>
                <w:rFonts w:ascii="Arial" w:eastAsia="Calibri" w:hAnsi="Arial" w:cs="Arial"/>
                <w:sz w:val="20"/>
              </w:rPr>
              <w:t>, 202</w:t>
            </w:r>
            <w:r w:rsidR="00D022BB" w:rsidRPr="00885752">
              <w:rPr>
                <w:rFonts w:ascii="Arial" w:eastAsia="Calibri" w:hAnsi="Arial" w:cs="Arial"/>
                <w:sz w:val="20"/>
              </w:rPr>
              <w:t>3.</w:t>
            </w:r>
            <w:r w:rsidR="00E0659F" w:rsidRPr="00885752">
              <w:rPr>
                <w:rFonts w:ascii="Arial" w:eastAsia="Calibri" w:hAnsi="Arial" w:cs="Arial"/>
                <w:sz w:val="20"/>
              </w:rPr>
              <w:t xml:space="preserve"> </w:t>
            </w:r>
            <w:r w:rsidR="00D022BB" w:rsidRPr="00885752">
              <w:rPr>
                <w:rFonts w:ascii="Arial" w:eastAsia="Calibri" w:hAnsi="Arial" w:cs="Arial"/>
                <w:sz w:val="20"/>
              </w:rPr>
              <w:t>WSP UK Limited</w:t>
            </w:r>
            <w:r w:rsidR="00E0659F" w:rsidRPr="00885752">
              <w:rPr>
                <w:rFonts w:ascii="Arial" w:eastAsia="Calibri" w:hAnsi="Arial" w:cs="Arial"/>
                <w:sz w:val="20"/>
              </w:rPr>
              <w:t>.</w:t>
            </w:r>
          </w:p>
        </w:tc>
      </w:tr>
      <w:tr w:rsidR="00C474FF" w:rsidRPr="00C474FF" w14:paraId="7506CE84" w14:textId="77777777" w:rsidTr="003C413D">
        <w:tc>
          <w:tcPr>
            <w:tcW w:w="1696" w:type="dxa"/>
            <w:shd w:val="clear" w:color="auto" w:fill="FFFFFF" w:themeFill="background1"/>
          </w:tcPr>
          <w:p w14:paraId="2BA9C630" w14:textId="37637E81" w:rsidR="003178B5" w:rsidRPr="00C474FF" w:rsidRDefault="003178B5" w:rsidP="00433E30">
            <w:pPr>
              <w:keepNext w:val="0"/>
              <w:tabs>
                <w:tab w:val="left" w:pos="680"/>
                <w:tab w:val="left" w:pos="1133"/>
                <w:tab w:val="left" w:pos="2267"/>
              </w:tabs>
              <w:spacing w:before="0"/>
              <w:ind w:right="284"/>
              <w:contextualSpacing/>
              <w:rPr>
                <w:rFonts w:eastAsia="Arial" w:cs="Arial"/>
                <w:bCs/>
                <w:szCs w:val="24"/>
              </w:rPr>
            </w:pPr>
            <w:r w:rsidRPr="00C474FF">
              <w:rPr>
                <w:rFonts w:eastAsia="Arial" w:cs="Arial"/>
                <w:bCs/>
                <w:sz w:val="20"/>
              </w:rPr>
              <w:t xml:space="preserve">National Planning Policy </w:t>
            </w:r>
            <w:r w:rsidR="00B8736C" w:rsidRPr="00C474FF">
              <w:rPr>
                <w:rFonts w:eastAsia="Arial" w:cs="Arial"/>
                <w:bCs/>
                <w:sz w:val="20"/>
              </w:rPr>
              <w:t>and</w:t>
            </w:r>
            <w:r w:rsidRPr="00C474FF">
              <w:rPr>
                <w:rFonts w:eastAsia="Arial" w:cs="Arial"/>
                <w:bCs/>
                <w:sz w:val="20"/>
              </w:rPr>
              <w:t xml:space="preserve"> Guidance</w:t>
            </w:r>
          </w:p>
        </w:tc>
        <w:tc>
          <w:tcPr>
            <w:tcW w:w="7938" w:type="dxa"/>
            <w:gridSpan w:val="2"/>
            <w:shd w:val="clear" w:color="auto" w:fill="FFFFFF" w:themeFill="background1"/>
          </w:tcPr>
          <w:p w14:paraId="433CD8D2" w14:textId="198BA4B5" w:rsidR="003178B5" w:rsidRPr="00C474FF" w:rsidRDefault="00C716F6" w:rsidP="00D01157">
            <w:pPr>
              <w:keepNext w:val="0"/>
              <w:numPr>
                <w:ilvl w:val="0"/>
                <w:numId w:val="35"/>
              </w:numPr>
              <w:tabs>
                <w:tab w:val="left" w:pos="680"/>
                <w:tab w:val="left" w:pos="1133"/>
                <w:tab w:val="left" w:pos="2267"/>
              </w:tabs>
              <w:spacing w:before="0" w:after="160" w:line="252" w:lineRule="auto"/>
              <w:ind w:right="284"/>
              <w:contextualSpacing/>
              <w:rPr>
                <w:rFonts w:eastAsia="Arial" w:cs="Arial"/>
                <w:bCs/>
                <w:sz w:val="20"/>
              </w:rPr>
            </w:pPr>
            <w:r w:rsidRPr="00C474FF">
              <w:rPr>
                <w:rFonts w:eastAsia="Calibri" w:cs="Arial"/>
                <w:bCs/>
                <w:sz w:val="20"/>
                <w:lang w:eastAsia="en-US"/>
              </w:rPr>
              <w:t xml:space="preserve">NPPF </w:t>
            </w:r>
            <w:r w:rsidR="00E0659F" w:rsidRPr="00C474FF">
              <w:rPr>
                <w:rFonts w:eastAsia="Calibri" w:cs="Arial"/>
                <w:bCs/>
                <w:sz w:val="20"/>
                <w:lang w:eastAsia="en-US"/>
              </w:rPr>
              <w:t>20</w:t>
            </w:r>
            <w:r w:rsidR="00AE71BE" w:rsidRPr="00C474FF">
              <w:rPr>
                <w:rFonts w:eastAsia="Calibri" w:cs="Arial"/>
                <w:bCs/>
                <w:sz w:val="20"/>
                <w:lang w:eastAsia="en-US"/>
              </w:rPr>
              <w:t>2</w:t>
            </w:r>
            <w:r w:rsidR="00616B41" w:rsidRPr="00C474FF">
              <w:rPr>
                <w:rFonts w:eastAsia="Calibri" w:cs="Arial"/>
                <w:bCs/>
                <w:sz w:val="20"/>
                <w:lang w:eastAsia="en-US"/>
              </w:rPr>
              <w:t>3</w:t>
            </w:r>
            <w:r w:rsidR="00E0659F" w:rsidRPr="00C474FF">
              <w:rPr>
                <w:rFonts w:eastAsia="Calibri" w:cs="Arial"/>
                <w:bCs/>
                <w:sz w:val="20"/>
                <w:lang w:eastAsia="en-US"/>
              </w:rPr>
              <w:t xml:space="preserve">, </w:t>
            </w:r>
            <w:r w:rsidR="003178B5" w:rsidRPr="00C474FF">
              <w:rPr>
                <w:rFonts w:eastAsia="Calibri" w:cs="Arial"/>
                <w:bCs/>
                <w:sz w:val="20"/>
                <w:lang w:eastAsia="en-US"/>
              </w:rPr>
              <w:t>Part 2</w:t>
            </w:r>
            <w:r w:rsidR="00E0659F" w:rsidRPr="00C474FF">
              <w:rPr>
                <w:rFonts w:eastAsia="Calibri" w:cs="Arial"/>
                <w:bCs/>
                <w:sz w:val="20"/>
                <w:lang w:eastAsia="en-US"/>
              </w:rPr>
              <w:t>:</w:t>
            </w:r>
            <w:r w:rsidR="003178B5" w:rsidRPr="00C474FF">
              <w:rPr>
                <w:rFonts w:eastAsia="Calibri" w:cs="Arial"/>
                <w:bCs/>
                <w:sz w:val="20"/>
                <w:lang w:eastAsia="en-US"/>
              </w:rPr>
              <w:t xml:space="preserve"> Achieving Sustainable Development</w:t>
            </w:r>
            <w:r w:rsidR="00E0659F" w:rsidRPr="00C474FF">
              <w:rPr>
                <w:rFonts w:eastAsia="Calibri" w:cs="Arial"/>
                <w:bCs/>
                <w:sz w:val="20"/>
                <w:lang w:eastAsia="en-US"/>
              </w:rPr>
              <w:t>.</w:t>
            </w:r>
          </w:p>
          <w:p w14:paraId="1056C6C2" w14:textId="1814FB20" w:rsidR="003178B5" w:rsidRPr="00C474FF" w:rsidRDefault="00C716F6" w:rsidP="00D01157">
            <w:pPr>
              <w:keepNext w:val="0"/>
              <w:numPr>
                <w:ilvl w:val="0"/>
                <w:numId w:val="35"/>
              </w:numPr>
              <w:tabs>
                <w:tab w:val="left" w:pos="680"/>
                <w:tab w:val="left" w:pos="1133"/>
                <w:tab w:val="left" w:pos="2267"/>
              </w:tabs>
              <w:spacing w:before="0" w:after="160" w:line="252" w:lineRule="auto"/>
              <w:ind w:right="284"/>
              <w:contextualSpacing/>
              <w:rPr>
                <w:rFonts w:eastAsia="Arial" w:cs="Arial"/>
                <w:bCs/>
                <w:sz w:val="20"/>
              </w:rPr>
            </w:pPr>
            <w:r w:rsidRPr="00C474FF">
              <w:rPr>
                <w:rFonts w:eastAsia="Calibri" w:cs="Arial"/>
                <w:bCs/>
                <w:sz w:val="20"/>
                <w:lang w:eastAsia="en-US"/>
              </w:rPr>
              <w:t>NPPF</w:t>
            </w:r>
            <w:r w:rsidR="00E0659F" w:rsidRPr="00C474FF">
              <w:rPr>
                <w:rFonts w:eastAsia="Calibri" w:cs="Arial"/>
                <w:bCs/>
                <w:sz w:val="20"/>
                <w:lang w:eastAsia="en-US"/>
              </w:rPr>
              <w:t xml:space="preserve"> 2</w:t>
            </w:r>
            <w:r w:rsidR="00AE71BE" w:rsidRPr="00C474FF">
              <w:rPr>
                <w:rFonts w:eastAsia="Calibri" w:cs="Arial"/>
                <w:bCs/>
                <w:sz w:val="20"/>
                <w:lang w:eastAsia="en-US"/>
              </w:rPr>
              <w:t>02</w:t>
            </w:r>
            <w:r w:rsidR="00616B41" w:rsidRPr="00C474FF">
              <w:rPr>
                <w:rFonts w:eastAsia="Calibri" w:cs="Arial"/>
                <w:bCs/>
                <w:sz w:val="20"/>
                <w:lang w:eastAsia="en-US"/>
              </w:rPr>
              <w:t>3</w:t>
            </w:r>
            <w:r w:rsidR="00E0659F" w:rsidRPr="00C474FF">
              <w:rPr>
                <w:rFonts w:eastAsia="Calibri" w:cs="Arial"/>
                <w:bCs/>
                <w:sz w:val="20"/>
                <w:lang w:eastAsia="en-US"/>
              </w:rPr>
              <w:t>,</w:t>
            </w:r>
            <w:r w:rsidRPr="00C474FF">
              <w:rPr>
                <w:rFonts w:eastAsia="Calibri" w:cs="Arial"/>
                <w:bCs/>
                <w:sz w:val="20"/>
                <w:lang w:eastAsia="en-US"/>
              </w:rPr>
              <w:t xml:space="preserve"> </w:t>
            </w:r>
            <w:r w:rsidR="003178B5" w:rsidRPr="00C474FF">
              <w:rPr>
                <w:rFonts w:eastAsia="Calibri" w:cs="Arial"/>
                <w:bCs/>
                <w:sz w:val="20"/>
                <w:lang w:eastAsia="en-US"/>
              </w:rPr>
              <w:t>Part 7</w:t>
            </w:r>
            <w:r w:rsidR="00E0659F" w:rsidRPr="00C474FF">
              <w:rPr>
                <w:rFonts w:eastAsia="Calibri" w:cs="Arial"/>
                <w:bCs/>
                <w:sz w:val="20"/>
                <w:lang w:eastAsia="en-US"/>
              </w:rPr>
              <w:t>:</w:t>
            </w:r>
            <w:r w:rsidR="003178B5" w:rsidRPr="00C474FF">
              <w:rPr>
                <w:rFonts w:eastAsia="Calibri" w:cs="Arial"/>
                <w:bCs/>
                <w:sz w:val="20"/>
                <w:lang w:eastAsia="en-US"/>
              </w:rPr>
              <w:t xml:space="preserve"> Ensuring the vitality of town centres</w:t>
            </w:r>
            <w:r w:rsidR="00E0659F" w:rsidRPr="00C474FF">
              <w:rPr>
                <w:rFonts w:eastAsia="Calibri" w:cs="Arial"/>
                <w:bCs/>
                <w:sz w:val="20"/>
                <w:lang w:eastAsia="en-US"/>
              </w:rPr>
              <w:t>.</w:t>
            </w:r>
          </w:p>
          <w:p w14:paraId="43998EC4" w14:textId="2BA90C65" w:rsidR="000275CC" w:rsidRPr="00C474FF" w:rsidRDefault="003178B5" w:rsidP="001012CC">
            <w:pPr>
              <w:keepNext w:val="0"/>
              <w:numPr>
                <w:ilvl w:val="0"/>
                <w:numId w:val="35"/>
              </w:numPr>
              <w:tabs>
                <w:tab w:val="left" w:pos="680"/>
                <w:tab w:val="left" w:pos="1133"/>
                <w:tab w:val="left" w:pos="2267"/>
              </w:tabs>
              <w:spacing w:before="0" w:after="160" w:line="252" w:lineRule="auto"/>
              <w:ind w:right="284"/>
              <w:contextualSpacing/>
              <w:rPr>
                <w:rFonts w:eastAsia="Arial" w:cs="Arial"/>
                <w:bCs/>
                <w:sz w:val="20"/>
              </w:rPr>
            </w:pPr>
            <w:r w:rsidRPr="00C474FF">
              <w:rPr>
                <w:rFonts w:eastAsia="Arial" w:cs="Arial"/>
                <w:bCs/>
                <w:sz w:val="20"/>
              </w:rPr>
              <w:t>Planning Practice Guidance</w:t>
            </w:r>
            <w:r w:rsidR="00E0659F" w:rsidRPr="00C474FF">
              <w:rPr>
                <w:rFonts w:eastAsia="Arial" w:cs="Arial"/>
                <w:bCs/>
                <w:sz w:val="20"/>
              </w:rPr>
              <w:t>:</w:t>
            </w:r>
            <w:r w:rsidR="00DF3FCE" w:rsidRPr="00C474FF">
              <w:rPr>
                <w:rFonts w:eastAsia="Arial" w:cs="Arial"/>
                <w:bCs/>
                <w:sz w:val="20"/>
              </w:rPr>
              <w:t xml:space="preserve"> </w:t>
            </w:r>
            <w:r w:rsidRPr="00C474FF">
              <w:rPr>
                <w:rFonts w:eastAsia="Arial" w:cs="Arial"/>
                <w:bCs/>
                <w:sz w:val="20"/>
              </w:rPr>
              <w:t>Town centres and retail</w:t>
            </w:r>
            <w:r w:rsidR="00E0659F" w:rsidRPr="00C474FF">
              <w:rPr>
                <w:rFonts w:eastAsia="Arial" w:cs="Arial"/>
                <w:bCs/>
                <w:sz w:val="20"/>
              </w:rPr>
              <w:t xml:space="preserve"> as </w:t>
            </w:r>
            <w:r w:rsidR="009D1815" w:rsidRPr="00C474FF">
              <w:rPr>
                <w:rFonts w:eastAsia="Arial" w:cs="Arial"/>
                <w:bCs/>
                <w:sz w:val="20"/>
              </w:rPr>
              <w:t>of</w:t>
            </w:r>
            <w:r w:rsidR="00E0659F" w:rsidRPr="00C474FF">
              <w:rPr>
                <w:rFonts w:eastAsia="Arial" w:cs="Arial"/>
                <w:bCs/>
                <w:sz w:val="20"/>
              </w:rPr>
              <w:t xml:space="preserve"> </w:t>
            </w:r>
            <w:r w:rsidR="00D022BB" w:rsidRPr="00C474FF">
              <w:rPr>
                <w:rFonts w:eastAsia="Arial" w:cs="Arial"/>
                <w:bCs/>
                <w:sz w:val="20"/>
              </w:rPr>
              <w:t>September 2020</w:t>
            </w:r>
            <w:r w:rsidR="00E0659F" w:rsidRPr="00C474FF">
              <w:rPr>
                <w:rFonts w:eastAsia="Arial" w:cs="Arial"/>
                <w:bCs/>
                <w:sz w:val="20"/>
              </w:rPr>
              <w:t>.</w:t>
            </w:r>
          </w:p>
        </w:tc>
      </w:tr>
    </w:tbl>
    <w:p w14:paraId="752E2C4B" w14:textId="77777777" w:rsidR="005F229B" w:rsidRPr="00C474FF" w:rsidRDefault="005F229B" w:rsidP="00F11936">
      <w:pPr>
        <w:keepNext w:val="0"/>
        <w:spacing w:before="0"/>
        <w:rPr>
          <w:rFonts w:cs="Arial"/>
          <w:b/>
          <w:bCs/>
          <w:sz w:val="28"/>
          <w:szCs w:val="28"/>
          <w:lang w:eastAsia="en-US"/>
        </w:rPr>
      </w:pPr>
    </w:p>
    <w:p w14:paraId="4AE9E560" w14:textId="57F8321E" w:rsidR="005B2834" w:rsidRPr="003C7E62" w:rsidRDefault="003178B5" w:rsidP="00874A98">
      <w:pPr>
        <w:keepNext w:val="0"/>
        <w:numPr>
          <w:ilvl w:val="1"/>
          <w:numId w:val="103"/>
        </w:numPr>
        <w:spacing w:before="0"/>
        <w:ind w:left="851" w:hanging="851"/>
        <w:rPr>
          <w:rFonts w:cs="Arial"/>
          <w:color w:val="auto"/>
          <w:szCs w:val="24"/>
          <w:lang w:eastAsia="en-US"/>
        </w:rPr>
      </w:pPr>
      <w:r w:rsidRPr="003C7E62">
        <w:rPr>
          <w:rFonts w:eastAsia="Arial" w:cs="Arial"/>
          <w:color w:val="auto"/>
          <w:szCs w:val="24"/>
        </w:rPr>
        <w:t xml:space="preserve">Vibrant and viable town centres play an important role in supporting the </w:t>
      </w:r>
      <w:proofErr w:type="gramStart"/>
      <w:r w:rsidRPr="003C7E62">
        <w:rPr>
          <w:rFonts w:eastAsia="Arial" w:cs="Arial"/>
          <w:color w:val="auto"/>
          <w:szCs w:val="24"/>
        </w:rPr>
        <w:t>District’s</w:t>
      </w:r>
      <w:proofErr w:type="gramEnd"/>
      <w:r w:rsidRPr="003C7E62">
        <w:rPr>
          <w:rFonts w:eastAsia="Arial" w:cs="Arial"/>
          <w:color w:val="auto"/>
          <w:szCs w:val="24"/>
        </w:rPr>
        <w:t xml:space="preserve"> communities, providing jobs, services and facilities. They play a key role in delivering sustainable development and the Local Plan will seek to ensure all the </w:t>
      </w:r>
      <w:proofErr w:type="gramStart"/>
      <w:r w:rsidRPr="003C7E62">
        <w:rPr>
          <w:rFonts w:eastAsia="Arial" w:cs="Arial"/>
          <w:color w:val="auto"/>
          <w:szCs w:val="24"/>
        </w:rPr>
        <w:t>District’s</w:t>
      </w:r>
      <w:proofErr w:type="gramEnd"/>
      <w:r w:rsidRPr="003C7E62">
        <w:rPr>
          <w:rFonts w:eastAsia="Arial" w:cs="Arial"/>
          <w:color w:val="auto"/>
          <w:szCs w:val="24"/>
        </w:rPr>
        <w:t xml:space="preserve"> centres are enhanced during the Plan period, through the development and growth of appropriate town centre uses. To further guide development across the three town centres, the Council has undertaken revisions to existing masterplans</w:t>
      </w:r>
      <w:r w:rsidR="004E3862" w:rsidRPr="003C7E62">
        <w:rPr>
          <w:rFonts w:eastAsia="Arial" w:cs="Arial"/>
          <w:color w:val="auto"/>
          <w:szCs w:val="24"/>
        </w:rPr>
        <w:t xml:space="preserve"> (2010).  </w:t>
      </w:r>
      <w:r w:rsidRPr="003C7E62">
        <w:rPr>
          <w:rFonts w:eastAsia="Arial" w:cs="Arial"/>
          <w:color w:val="auto"/>
          <w:szCs w:val="24"/>
        </w:rPr>
        <w:t xml:space="preserve">The local plan reflects the NPPF which places an emphasis on a strong town centre first approach to the development of town centre uses. </w:t>
      </w:r>
    </w:p>
    <w:p w14:paraId="6B4EF8AA" w14:textId="3B77C5B0" w:rsidR="00B313DE" w:rsidRPr="003C7E62" w:rsidRDefault="00B313DE" w:rsidP="00F11936">
      <w:pPr>
        <w:keepNext w:val="0"/>
        <w:spacing w:before="0"/>
        <w:ind w:left="851"/>
        <w:rPr>
          <w:rFonts w:cs="Arial"/>
          <w:color w:val="auto"/>
          <w:sz w:val="23"/>
          <w:szCs w:val="23"/>
        </w:rPr>
      </w:pPr>
    </w:p>
    <w:p w14:paraId="2C155137" w14:textId="2EBA591F" w:rsidR="00DD5921" w:rsidRPr="003C7E62" w:rsidRDefault="003178B5" w:rsidP="00874A98">
      <w:pPr>
        <w:keepNext w:val="0"/>
        <w:numPr>
          <w:ilvl w:val="1"/>
          <w:numId w:val="103"/>
        </w:numPr>
        <w:spacing w:before="0"/>
        <w:ind w:left="851" w:hanging="851"/>
        <w:rPr>
          <w:rFonts w:cs="Arial"/>
          <w:color w:val="auto"/>
          <w:szCs w:val="24"/>
        </w:rPr>
      </w:pPr>
      <w:r w:rsidRPr="003C7E62">
        <w:rPr>
          <w:rFonts w:cs="Arial"/>
          <w:color w:val="auto"/>
          <w:szCs w:val="24"/>
        </w:rPr>
        <w:t xml:space="preserve">Sutton in Ashfield is a traditional town centre with a good mix of national and independent retailers, along with an indoor shopping centre, leisure centre and a market. It is the largest </w:t>
      </w:r>
      <w:r w:rsidR="005B2834" w:rsidRPr="003C7E62">
        <w:rPr>
          <w:rFonts w:cs="Arial"/>
          <w:color w:val="auto"/>
          <w:szCs w:val="24"/>
        </w:rPr>
        <w:t xml:space="preserve">retail </w:t>
      </w:r>
      <w:r w:rsidRPr="003C7E62">
        <w:rPr>
          <w:rFonts w:cs="Arial"/>
          <w:color w:val="auto"/>
          <w:szCs w:val="24"/>
        </w:rPr>
        <w:t>centre within Ashfield District and is generally well used by the resident population. The historic core of the centre is designated as a conservation area. The Sutton in Ashfield Spatial Masterplan sets out the framework for future investment and development</w:t>
      </w:r>
      <w:r w:rsidR="005B2834" w:rsidRPr="003C7E62">
        <w:rPr>
          <w:rFonts w:cs="Arial"/>
          <w:color w:val="auto"/>
          <w:szCs w:val="24"/>
        </w:rPr>
        <w:t xml:space="preserve"> </w:t>
      </w:r>
      <w:r w:rsidR="005B2834" w:rsidRPr="00433E30">
        <w:rPr>
          <w:rFonts w:cs="Arial"/>
          <w:color w:val="auto"/>
          <w:szCs w:val="24"/>
        </w:rPr>
        <w:t>(</w:t>
      </w:r>
      <w:r w:rsidR="00433E30" w:rsidRPr="00433E30">
        <w:rPr>
          <w:rFonts w:cs="Arial"/>
          <w:color w:val="auto"/>
          <w:szCs w:val="24"/>
        </w:rPr>
        <w:t>F</w:t>
      </w:r>
      <w:r w:rsidR="005B2834" w:rsidRPr="00433E30">
        <w:rPr>
          <w:rFonts w:cs="Arial"/>
          <w:color w:val="auto"/>
          <w:szCs w:val="24"/>
        </w:rPr>
        <w:t xml:space="preserve">igure </w:t>
      </w:r>
      <w:r w:rsidR="00E3260E">
        <w:rPr>
          <w:rFonts w:cs="Arial"/>
          <w:color w:val="auto"/>
          <w:szCs w:val="24"/>
        </w:rPr>
        <w:t>6</w:t>
      </w:r>
      <w:r w:rsidR="00433E30" w:rsidRPr="00433E30">
        <w:rPr>
          <w:rFonts w:cs="Arial"/>
          <w:color w:val="auto"/>
          <w:szCs w:val="24"/>
        </w:rPr>
        <w:t xml:space="preserve"> </w:t>
      </w:r>
      <w:r w:rsidR="005B2834" w:rsidRPr="00433E30">
        <w:rPr>
          <w:rFonts w:cs="Arial"/>
          <w:color w:val="auto"/>
          <w:szCs w:val="24"/>
        </w:rPr>
        <w:t>below)</w:t>
      </w:r>
      <w:r w:rsidR="00DD5921" w:rsidRPr="00433E30">
        <w:rPr>
          <w:rFonts w:cs="Arial"/>
          <w:color w:val="auto"/>
          <w:szCs w:val="24"/>
        </w:rPr>
        <w:t>.</w:t>
      </w:r>
    </w:p>
    <w:p w14:paraId="12CF887D" w14:textId="77777777" w:rsidR="00B313DE" w:rsidRDefault="00B313DE" w:rsidP="00F11936">
      <w:pPr>
        <w:spacing w:before="0"/>
        <w:rPr>
          <w:rFonts w:cs="Arial"/>
          <w:color w:val="auto"/>
          <w:szCs w:val="24"/>
        </w:rPr>
      </w:pPr>
    </w:p>
    <w:p w14:paraId="20AFC8E9" w14:textId="77777777" w:rsidR="00EC4D30" w:rsidRPr="003C7E62" w:rsidRDefault="00EC4D30" w:rsidP="00EC4D30">
      <w:pPr>
        <w:keepNext w:val="0"/>
        <w:spacing w:before="0"/>
        <w:jc w:val="center"/>
        <w:rPr>
          <w:rFonts w:cs="Arial"/>
          <w:color w:val="auto"/>
          <w:sz w:val="23"/>
          <w:szCs w:val="23"/>
        </w:rPr>
      </w:pPr>
      <w:r w:rsidRPr="003C7E62">
        <w:rPr>
          <w:rFonts w:eastAsia="Arial" w:cs="Arial"/>
          <w:noProof/>
          <w:color w:val="auto"/>
          <w:sz w:val="28"/>
          <w:szCs w:val="22"/>
        </w:rPr>
        <w:drawing>
          <wp:inline distT="0" distB="0" distL="0" distR="0" wp14:anchorId="2C24E6C0" wp14:editId="1EB52F04">
            <wp:extent cx="4396960" cy="6277211"/>
            <wp:effectExtent l="12382" t="25718" r="16193" b="16192"/>
            <wp:docPr id="8" name="Picture 8" descr="Figure 11: Sutton in Ashfield Town Centre Concept Plan &#10;Source Sutton in Ashfield Masterplan, 20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11: Sutton in Ashfield Town Centre Concept Plan &#10;Source Sutton in Ashfield Masterplan, 2019&#10;"/>
                    <pic:cNvPicPr>
                      <a:picLocks noChangeAspect="1" noChangeArrowheads="1"/>
                    </pic:cNvPicPr>
                  </pic:nvPicPr>
                  <pic:blipFill rotWithShape="1">
                    <a:blip r:embed="rId45">
                      <a:extLst>
                        <a:ext uri="{28A0092B-C50C-407E-A947-70E740481C1C}">
                          <a14:useLocalDpi xmlns:a14="http://schemas.microsoft.com/office/drawing/2010/main" val="0"/>
                        </a:ext>
                      </a:extLst>
                    </a:blip>
                    <a:srcRect l="959"/>
                    <a:stretch/>
                  </pic:blipFill>
                  <pic:spPr bwMode="auto">
                    <a:xfrm rot="5400000">
                      <a:off x="0" y="0"/>
                      <a:ext cx="4428376" cy="6322061"/>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5C8A192" w14:textId="2B0224B8" w:rsidR="00EC4D30" w:rsidRPr="00433E30" w:rsidRDefault="00EC4D30" w:rsidP="000447CA">
      <w:pPr>
        <w:pStyle w:val="Heading3"/>
      </w:pPr>
      <w:r w:rsidRPr="00433E30">
        <w:t xml:space="preserve">Figure </w:t>
      </w:r>
      <w:r w:rsidR="00E3260E">
        <w:t>6</w:t>
      </w:r>
      <w:r w:rsidRPr="00433E30">
        <w:t xml:space="preserve">: Sutton in Ashfield Town Centre Concept Plan </w:t>
      </w:r>
    </w:p>
    <w:p w14:paraId="6CEB3F5E" w14:textId="77777777" w:rsidR="00EC4D30" w:rsidRPr="00433E30" w:rsidRDefault="00EC4D30" w:rsidP="00EC4D30">
      <w:pPr>
        <w:keepNext w:val="0"/>
        <w:spacing w:before="0"/>
        <w:rPr>
          <w:rFonts w:cs="Arial"/>
          <w:color w:val="auto"/>
          <w:sz w:val="20"/>
        </w:rPr>
      </w:pPr>
      <w:r w:rsidRPr="00433E30">
        <w:rPr>
          <w:rFonts w:cs="Arial"/>
          <w:color w:val="auto"/>
          <w:sz w:val="20"/>
        </w:rPr>
        <w:t>Source Sutton in Ashfield Masterplan, 2019</w:t>
      </w:r>
    </w:p>
    <w:p w14:paraId="555E8B04" w14:textId="77777777" w:rsidR="00EC4D30" w:rsidRDefault="00EC4D30" w:rsidP="00F11936">
      <w:pPr>
        <w:spacing w:before="0"/>
        <w:rPr>
          <w:rFonts w:cs="Arial"/>
          <w:color w:val="auto"/>
          <w:szCs w:val="24"/>
        </w:rPr>
      </w:pPr>
    </w:p>
    <w:p w14:paraId="65E1633A" w14:textId="77777777" w:rsidR="002430A6" w:rsidRPr="003C7E62" w:rsidRDefault="002430A6" w:rsidP="00F11936">
      <w:pPr>
        <w:spacing w:before="0"/>
        <w:rPr>
          <w:rFonts w:cs="Arial"/>
          <w:color w:val="auto"/>
          <w:szCs w:val="24"/>
        </w:rPr>
      </w:pPr>
    </w:p>
    <w:p w14:paraId="12DA8490" w14:textId="24553A3B" w:rsidR="00B313DE" w:rsidRPr="003C7E62" w:rsidRDefault="00B313DE" w:rsidP="00874A98">
      <w:pPr>
        <w:keepNext w:val="0"/>
        <w:numPr>
          <w:ilvl w:val="1"/>
          <w:numId w:val="103"/>
        </w:numPr>
        <w:autoSpaceDE w:val="0"/>
        <w:autoSpaceDN w:val="0"/>
        <w:adjustRightInd w:val="0"/>
        <w:spacing w:before="0"/>
        <w:ind w:left="851" w:hanging="851"/>
        <w:rPr>
          <w:rFonts w:eastAsia="Arial" w:cs="Arial"/>
          <w:color w:val="auto"/>
          <w:szCs w:val="24"/>
        </w:rPr>
      </w:pPr>
      <w:r w:rsidRPr="003C7E62">
        <w:rPr>
          <w:rFonts w:eastAsia="Arial" w:cs="Arial"/>
          <w:color w:val="auto"/>
          <w:szCs w:val="24"/>
        </w:rPr>
        <w:t>Kirkby-in-Ashfield is a traditional small, town centre dominated by independent retailers, with a small number of</w:t>
      </w:r>
      <w:r w:rsidRPr="003C7E62">
        <w:rPr>
          <w:rFonts w:cs="Arial"/>
          <w:color w:val="auto"/>
          <w:szCs w:val="24"/>
        </w:rPr>
        <w:t xml:space="preserve"> </w:t>
      </w:r>
      <w:r w:rsidRPr="003C7E62">
        <w:rPr>
          <w:rFonts w:eastAsia="Arial" w:cs="Arial"/>
          <w:color w:val="auto"/>
          <w:szCs w:val="24"/>
        </w:rPr>
        <w:t xml:space="preserve">national operators and a small market operating on </w:t>
      </w:r>
      <w:proofErr w:type="gramStart"/>
      <w:r w:rsidRPr="003C7E62">
        <w:rPr>
          <w:rFonts w:eastAsia="Arial" w:cs="Arial"/>
          <w:color w:val="auto"/>
          <w:szCs w:val="24"/>
        </w:rPr>
        <w:t>a number of</w:t>
      </w:r>
      <w:proofErr w:type="gramEnd"/>
      <w:r w:rsidRPr="003C7E62">
        <w:rPr>
          <w:rFonts w:eastAsia="Arial" w:cs="Arial"/>
          <w:color w:val="auto"/>
          <w:szCs w:val="24"/>
        </w:rPr>
        <w:t xml:space="preserve"> days. It is generally used by the local resident population and workers. Substantial funding has already been invested in Kirkby Town Centre in improving the public realm through the civic square and the construction of a new leisure </w:t>
      </w:r>
      <w:r w:rsidRPr="00433E30">
        <w:rPr>
          <w:rFonts w:eastAsia="Arial" w:cs="Arial"/>
          <w:color w:val="auto"/>
          <w:szCs w:val="24"/>
        </w:rPr>
        <w:t>centre (</w:t>
      </w:r>
      <w:r w:rsidR="00433E30" w:rsidRPr="00433E30">
        <w:rPr>
          <w:rFonts w:eastAsia="Arial" w:cs="Arial"/>
          <w:color w:val="auto"/>
          <w:szCs w:val="24"/>
        </w:rPr>
        <w:t>F</w:t>
      </w:r>
      <w:r w:rsidRPr="00433E30">
        <w:rPr>
          <w:rFonts w:eastAsia="Arial" w:cs="Arial"/>
          <w:color w:val="auto"/>
          <w:szCs w:val="24"/>
        </w:rPr>
        <w:t xml:space="preserve">igure </w:t>
      </w:r>
      <w:r w:rsidR="00E3260E">
        <w:rPr>
          <w:rFonts w:eastAsia="Arial" w:cs="Arial"/>
          <w:color w:val="auto"/>
          <w:szCs w:val="24"/>
        </w:rPr>
        <w:t>7</w:t>
      </w:r>
      <w:r w:rsidRPr="00433E30">
        <w:rPr>
          <w:rFonts w:eastAsia="Arial" w:cs="Arial"/>
          <w:color w:val="auto"/>
          <w:szCs w:val="24"/>
        </w:rPr>
        <w:t xml:space="preserve"> below</w:t>
      </w:r>
      <w:r w:rsidRPr="003C7E62">
        <w:rPr>
          <w:rFonts w:eastAsia="Arial" w:cs="Arial"/>
          <w:color w:val="auto"/>
          <w:szCs w:val="24"/>
        </w:rPr>
        <w:t xml:space="preserve">) </w:t>
      </w:r>
    </w:p>
    <w:p w14:paraId="41FC9B09" w14:textId="77777777" w:rsidR="00052A69" w:rsidRPr="003C7E62" w:rsidRDefault="00052A69" w:rsidP="00F11936">
      <w:pPr>
        <w:pStyle w:val="ListParagraph"/>
        <w:spacing w:after="0" w:line="240" w:lineRule="auto"/>
        <w:rPr>
          <w:rFonts w:ascii="Arial" w:eastAsia="Arial" w:hAnsi="Arial" w:cs="Arial"/>
          <w:color w:val="auto"/>
          <w:szCs w:val="24"/>
        </w:rPr>
      </w:pPr>
    </w:p>
    <w:p w14:paraId="7C768A84" w14:textId="77777777" w:rsidR="00052A69" w:rsidRPr="00E3260E" w:rsidRDefault="00052A69" w:rsidP="00874A98">
      <w:pPr>
        <w:keepNext w:val="0"/>
        <w:numPr>
          <w:ilvl w:val="1"/>
          <w:numId w:val="103"/>
        </w:numPr>
        <w:autoSpaceDE w:val="0"/>
        <w:autoSpaceDN w:val="0"/>
        <w:adjustRightInd w:val="0"/>
        <w:spacing w:before="0"/>
        <w:ind w:left="851" w:hanging="851"/>
        <w:rPr>
          <w:rFonts w:eastAsia="Arial" w:cs="Arial"/>
          <w:color w:val="auto"/>
          <w:szCs w:val="24"/>
        </w:rPr>
      </w:pPr>
      <w:r w:rsidRPr="003C7E62">
        <w:rPr>
          <w:rFonts w:cs="Arial"/>
          <w:color w:val="282828"/>
          <w:shd w:val="clear" w:color="auto" w:fill="FFFFFF"/>
        </w:rPr>
        <w:t>The successful bid for £62.6m from the Towns Fund for Sutton in Ashfield and Kirkby-in-Ashfield provides substantial opportunities to create sustainable change across the Kirkby and Sutton area and their respective town centres</w:t>
      </w:r>
      <w:r w:rsidRPr="00E3260E">
        <w:rPr>
          <w:rFonts w:cs="Arial"/>
          <w:color w:val="auto"/>
          <w:shd w:val="clear" w:color="auto" w:fill="FFFFFF"/>
        </w:rPr>
        <w:t>.</w:t>
      </w:r>
    </w:p>
    <w:p w14:paraId="42FB691F" w14:textId="77777777" w:rsidR="00052A69" w:rsidRPr="003C7E62" w:rsidRDefault="00052A69" w:rsidP="00F11936">
      <w:pPr>
        <w:keepNext w:val="0"/>
        <w:autoSpaceDE w:val="0"/>
        <w:autoSpaceDN w:val="0"/>
        <w:adjustRightInd w:val="0"/>
        <w:spacing w:before="0"/>
        <w:ind w:left="851"/>
        <w:rPr>
          <w:rFonts w:eastAsia="Arial" w:cs="Arial"/>
          <w:color w:val="auto"/>
          <w:szCs w:val="24"/>
        </w:rPr>
      </w:pPr>
    </w:p>
    <w:p w14:paraId="6F4D0E94" w14:textId="3935621F" w:rsidR="006971C4" w:rsidRPr="003C7E62" w:rsidRDefault="00B313DE" w:rsidP="006971C4">
      <w:pPr>
        <w:keepNext w:val="0"/>
        <w:autoSpaceDE w:val="0"/>
        <w:autoSpaceDN w:val="0"/>
        <w:adjustRightInd w:val="0"/>
        <w:spacing w:before="0"/>
        <w:rPr>
          <w:rFonts w:eastAsia="Arial" w:cs="Arial"/>
          <w:color w:val="FF0000"/>
          <w:szCs w:val="24"/>
        </w:rPr>
      </w:pPr>
      <w:r w:rsidRPr="003C7E62">
        <w:rPr>
          <w:rFonts w:eastAsia="Calibri" w:cs="Arial"/>
          <w:noProof/>
          <w:color w:val="auto"/>
          <w:sz w:val="22"/>
        </w:rPr>
        <w:lastRenderedPageBreak/>
        <w:drawing>
          <wp:inline distT="0" distB="0" distL="0" distR="0" wp14:anchorId="113E666D" wp14:editId="112E61CA">
            <wp:extent cx="6260506" cy="3403600"/>
            <wp:effectExtent l="19050" t="19050" r="26035" b="25400"/>
            <wp:docPr id="53" name="Picture 53" descr="Figure 12: Kirkby-in-Ashfield Concept Plan &#10;Source: Kirkby-in-Ashfield Masterplan, 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12: Kirkby-in-Ashfield Concept Plan &#10;Source: Kirkby-in-Ashfield Masterplan, 2021&#1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298" t="15700" r="4278" b="15531"/>
                    <a:stretch/>
                  </pic:blipFill>
                  <pic:spPr bwMode="auto">
                    <a:xfrm>
                      <a:off x="0" y="0"/>
                      <a:ext cx="6270163" cy="340885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61A56672" w14:textId="534DC22D" w:rsidR="00433E30" w:rsidRPr="00433E30" w:rsidRDefault="00052A69" w:rsidP="000447CA">
      <w:pPr>
        <w:pStyle w:val="Heading3"/>
      </w:pPr>
      <w:r w:rsidRPr="00433E30">
        <w:t xml:space="preserve">Figure </w:t>
      </w:r>
      <w:r w:rsidR="00E3260E">
        <w:t>7</w:t>
      </w:r>
      <w:r w:rsidRPr="00433E30">
        <w:t>: Kirkby</w:t>
      </w:r>
      <w:r w:rsidR="00433E30" w:rsidRPr="00433E30">
        <w:t>-</w:t>
      </w:r>
      <w:r w:rsidRPr="00433E30">
        <w:t>in</w:t>
      </w:r>
      <w:r w:rsidR="00433E30" w:rsidRPr="00433E30">
        <w:t>-</w:t>
      </w:r>
      <w:r w:rsidRPr="00433E30">
        <w:t xml:space="preserve">Ashfield Concept Plan </w:t>
      </w:r>
    </w:p>
    <w:p w14:paraId="2E29FCED" w14:textId="4D2D0801" w:rsidR="006971C4" w:rsidRDefault="00433E30" w:rsidP="00AB6F9F">
      <w:pPr>
        <w:keepNext w:val="0"/>
        <w:autoSpaceDE w:val="0"/>
        <w:autoSpaceDN w:val="0"/>
        <w:adjustRightInd w:val="0"/>
        <w:spacing w:before="0"/>
        <w:rPr>
          <w:rFonts w:eastAsia="Arial" w:cs="Arial"/>
          <w:color w:val="auto"/>
          <w:szCs w:val="24"/>
        </w:rPr>
      </w:pPr>
      <w:r w:rsidRPr="00433E30">
        <w:rPr>
          <w:rFonts w:eastAsia="Arial" w:cs="Arial"/>
          <w:color w:val="auto"/>
          <w:szCs w:val="24"/>
        </w:rPr>
        <w:t>S</w:t>
      </w:r>
      <w:r w:rsidR="00052A69" w:rsidRPr="00433E30">
        <w:rPr>
          <w:rFonts w:eastAsia="Arial" w:cs="Arial"/>
          <w:color w:val="auto"/>
          <w:szCs w:val="24"/>
        </w:rPr>
        <w:t>ource</w:t>
      </w:r>
      <w:r w:rsidR="00EE6AB2">
        <w:rPr>
          <w:rFonts w:eastAsia="Arial" w:cs="Arial"/>
          <w:color w:val="auto"/>
          <w:szCs w:val="24"/>
        </w:rPr>
        <w:t>:</w:t>
      </w:r>
      <w:r w:rsidR="00052A69" w:rsidRPr="00433E30">
        <w:rPr>
          <w:rFonts w:eastAsia="Arial" w:cs="Arial"/>
          <w:color w:val="auto"/>
          <w:szCs w:val="24"/>
        </w:rPr>
        <w:t xml:space="preserve"> Kirkby</w:t>
      </w:r>
      <w:r w:rsidRPr="00433E30">
        <w:rPr>
          <w:rFonts w:eastAsia="Arial" w:cs="Arial"/>
          <w:color w:val="auto"/>
          <w:szCs w:val="24"/>
        </w:rPr>
        <w:t>-</w:t>
      </w:r>
      <w:r w:rsidR="00052A69" w:rsidRPr="00433E30">
        <w:rPr>
          <w:rFonts w:eastAsia="Arial" w:cs="Arial"/>
          <w:color w:val="auto"/>
          <w:szCs w:val="24"/>
        </w:rPr>
        <w:t>in</w:t>
      </w:r>
      <w:r w:rsidRPr="00433E30">
        <w:rPr>
          <w:rFonts w:eastAsia="Arial" w:cs="Arial"/>
          <w:color w:val="auto"/>
          <w:szCs w:val="24"/>
        </w:rPr>
        <w:t>-</w:t>
      </w:r>
      <w:r w:rsidR="00052A69" w:rsidRPr="00433E30">
        <w:rPr>
          <w:rFonts w:eastAsia="Arial" w:cs="Arial"/>
          <w:color w:val="auto"/>
          <w:szCs w:val="24"/>
        </w:rPr>
        <w:t xml:space="preserve">Ashfield Masterplan, </w:t>
      </w:r>
      <w:r w:rsidRPr="00433E30">
        <w:rPr>
          <w:rFonts w:eastAsia="Arial" w:cs="Arial"/>
          <w:color w:val="auto"/>
          <w:szCs w:val="24"/>
        </w:rPr>
        <w:t>2021</w:t>
      </w:r>
    </w:p>
    <w:p w14:paraId="06A08553" w14:textId="572764E4" w:rsidR="00433E30" w:rsidRDefault="00433E30" w:rsidP="00AB6F9F">
      <w:pPr>
        <w:keepNext w:val="0"/>
        <w:autoSpaceDE w:val="0"/>
        <w:autoSpaceDN w:val="0"/>
        <w:adjustRightInd w:val="0"/>
        <w:spacing w:before="0"/>
        <w:rPr>
          <w:rFonts w:eastAsia="Arial" w:cs="Arial"/>
          <w:color w:val="auto"/>
          <w:szCs w:val="24"/>
        </w:rPr>
      </w:pPr>
    </w:p>
    <w:p w14:paraId="5529802A" w14:textId="77777777" w:rsidR="00433E30" w:rsidRPr="003C7E62" w:rsidRDefault="00433E30" w:rsidP="00AB6F9F">
      <w:pPr>
        <w:keepNext w:val="0"/>
        <w:autoSpaceDE w:val="0"/>
        <w:autoSpaceDN w:val="0"/>
        <w:adjustRightInd w:val="0"/>
        <w:spacing w:before="0"/>
        <w:rPr>
          <w:rFonts w:eastAsia="Arial" w:cs="Arial"/>
          <w:color w:val="auto"/>
          <w:szCs w:val="24"/>
        </w:rPr>
      </w:pPr>
    </w:p>
    <w:p w14:paraId="452F5FD8" w14:textId="373F1081" w:rsidR="00AB6F9F" w:rsidRPr="000275CC" w:rsidRDefault="003178B5" w:rsidP="00874A98">
      <w:pPr>
        <w:keepNext w:val="0"/>
        <w:numPr>
          <w:ilvl w:val="1"/>
          <w:numId w:val="103"/>
        </w:numPr>
        <w:autoSpaceDE w:val="0"/>
        <w:autoSpaceDN w:val="0"/>
        <w:adjustRightInd w:val="0"/>
        <w:spacing w:before="0"/>
        <w:ind w:left="851" w:hanging="851"/>
        <w:rPr>
          <w:rFonts w:eastAsia="Arial" w:cs="Arial"/>
          <w:color w:val="auto"/>
          <w:szCs w:val="24"/>
        </w:rPr>
      </w:pPr>
      <w:r w:rsidRPr="003C7E62">
        <w:rPr>
          <w:rFonts w:eastAsia="Calibri" w:cs="Arial"/>
          <w:szCs w:val="24"/>
        </w:rPr>
        <w:t xml:space="preserve">Hucknall is a traditional town centre with a good mix of national and independent retailers, along with a weekly outdoor market. It is the second largest retail centre in the Ashfield District and is generally well used by </w:t>
      </w:r>
      <w:proofErr w:type="gramStart"/>
      <w:r w:rsidRPr="003C7E62">
        <w:rPr>
          <w:rFonts w:eastAsia="Calibri" w:cs="Arial"/>
          <w:szCs w:val="24"/>
        </w:rPr>
        <w:t>local residents</w:t>
      </w:r>
      <w:proofErr w:type="gramEnd"/>
      <w:r w:rsidRPr="003C7E62">
        <w:rPr>
          <w:rFonts w:eastAsia="Calibri" w:cs="Arial"/>
          <w:szCs w:val="24"/>
        </w:rPr>
        <w:t>. The relocation of the market and pedestrianisation of the High Street has facilitate</w:t>
      </w:r>
      <w:r w:rsidR="00AB6F9F" w:rsidRPr="003C7E62">
        <w:rPr>
          <w:rFonts w:eastAsia="Calibri" w:cs="Arial"/>
          <w:szCs w:val="24"/>
        </w:rPr>
        <w:t>d</w:t>
      </w:r>
      <w:r w:rsidRPr="003C7E62">
        <w:rPr>
          <w:rFonts w:eastAsia="Calibri" w:cs="Arial"/>
          <w:szCs w:val="24"/>
        </w:rPr>
        <w:t xml:space="preserve"> pedestrian access to help support Hucknall’s primary shopping area.  A substantial part of the Town Centre is designated as a Conservation Area.  </w:t>
      </w:r>
      <w:r w:rsidRPr="003C7E62">
        <w:rPr>
          <w:rFonts w:cs="Arial"/>
          <w:color w:val="auto"/>
          <w:szCs w:val="24"/>
        </w:rPr>
        <w:t>The Hucknall Town Centre Spatial Masterplan sets out the framework for future investment and development</w:t>
      </w:r>
      <w:r w:rsidR="006971C4" w:rsidRPr="003C7E62">
        <w:rPr>
          <w:rFonts w:cs="Arial"/>
          <w:color w:val="auto"/>
          <w:szCs w:val="24"/>
        </w:rPr>
        <w:t xml:space="preserve"> </w:t>
      </w:r>
      <w:r w:rsidRPr="003C7E62">
        <w:rPr>
          <w:rFonts w:cs="Arial"/>
          <w:color w:val="auto"/>
          <w:szCs w:val="24"/>
        </w:rPr>
        <w:t>of the Town Centre</w:t>
      </w:r>
      <w:r w:rsidR="000275CC">
        <w:rPr>
          <w:rFonts w:cs="Arial"/>
          <w:color w:val="auto"/>
          <w:szCs w:val="24"/>
        </w:rPr>
        <w:t xml:space="preserve"> (Figure </w:t>
      </w:r>
      <w:r w:rsidR="00E3260E">
        <w:rPr>
          <w:rFonts w:cs="Arial"/>
          <w:color w:val="auto"/>
          <w:szCs w:val="24"/>
        </w:rPr>
        <w:t>8</w:t>
      </w:r>
      <w:r w:rsidR="000275CC">
        <w:rPr>
          <w:rFonts w:cs="Arial"/>
          <w:color w:val="auto"/>
          <w:szCs w:val="24"/>
        </w:rPr>
        <w:t xml:space="preserve"> below)</w:t>
      </w:r>
      <w:r w:rsidRPr="003C7E62">
        <w:rPr>
          <w:rFonts w:cs="Arial"/>
          <w:color w:val="auto"/>
          <w:szCs w:val="24"/>
        </w:rPr>
        <w:t>.</w:t>
      </w:r>
    </w:p>
    <w:p w14:paraId="08E23B1C" w14:textId="77777777" w:rsidR="000275CC" w:rsidRDefault="000275CC" w:rsidP="000275CC">
      <w:pPr>
        <w:keepNext w:val="0"/>
        <w:autoSpaceDE w:val="0"/>
        <w:autoSpaceDN w:val="0"/>
        <w:adjustRightInd w:val="0"/>
        <w:spacing w:before="0"/>
        <w:rPr>
          <w:rFonts w:eastAsia="Arial" w:cs="Arial"/>
          <w:color w:val="auto"/>
          <w:szCs w:val="24"/>
        </w:rPr>
      </w:pPr>
    </w:p>
    <w:p w14:paraId="78FFD8BF" w14:textId="2C3189D8" w:rsidR="000275CC" w:rsidRDefault="000275CC" w:rsidP="000275CC">
      <w:pPr>
        <w:keepNext w:val="0"/>
        <w:autoSpaceDE w:val="0"/>
        <w:autoSpaceDN w:val="0"/>
        <w:adjustRightInd w:val="0"/>
        <w:spacing w:before="0"/>
        <w:rPr>
          <w:rFonts w:eastAsia="Arial" w:cs="Arial"/>
          <w:color w:val="auto"/>
          <w:szCs w:val="24"/>
        </w:rPr>
      </w:pPr>
      <w:r w:rsidRPr="000275CC">
        <w:rPr>
          <w:rFonts w:eastAsia="Arial" w:cs="Arial"/>
          <w:noProof/>
          <w:color w:val="auto"/>
          <w:szCs w:val="24"/>
        </w:rPr>
        <w:lastRenderedPageBreak/>
        <w:drawing>
          <wp:inline distT="0" distB="0" distL="0" distR="0" wp14:anchorId="0381E077" wp14:editId="244CFE03">
            <wp:extent cx="6120765" cy="4311015"/>
            <wp:effectExtent l="0" t="0" r="0" b="0"/>
            <wp:docPr id="99034953" name="Picture 1" descr="Hucknall Town Centre Masterplan showing areas of priority. The extent of the masterplan area is denoted by a red boundary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34953" name="Picture 1" descr="Hucknall Town Centre Masterplan showing areas of priority. The extent of the masterplan area is denoted by a red boundary line."/>
                    <pic:cNvPicPr/>
                  </pic:nvPicPr>
                  <pic:blipFill>
                    <a:blip r:embed="rId47"/>
                    <a:stretch>
                      <a:fillRect/>
                    </a:stretch>
                  </pic:blipFill>
                  <pic:spPr>
                    <a:xfrm>
                      <a:off x="0" y="0"/>
                      <a:ext cx="6120765" cy="4311015"/>
                    </a:xfrm>
                    <a:prstGeom prst="rect">
                      <a:avLst/>
                    </a:prstGeom>
                  </pic:spPr>
                </pic:pic>
              </a:graphicData>
            </a:graphic>
          </wp:inline>
        </w:drawing>
      </w:r>
    </w:p>
    <w:p w14:paraId="54E58317" w14:textId="683E7A47" w:rsidR="000275CC" w:rsidRPr="00433E30" w:rsidRDefault="002430A6" w:rsidP="000447CA">
      <w:pPr>
        <w:pStyle w:val="Heading3"/>
      </w:pPr>
      <w:bookmarkStart w:id="111" w:name="_Hlk148436291"/>
      <w:r>
        <w:t xml:space="preserve">  </w:t>
      </w:r>
      <w:r w:rsidR="000275CC" w:rsidRPr="00433E30">
        <w:t xml:space="preserve">Figure </w:t>
      </w:r>
      <w:r w:rsidR="00E3260E">
        <w:t>8</w:t>
      </w:r>
      <w:r w:rsidR="000275CC" w:rsidRPr="00433E30">
        <w:t xml:space="preserve">: </w:t>
      </w:r>
      <w:r w:rsidR="000275CC">
        <w:t>Hucknall Priority Areas and Areas of public realm improvements</w:t>
      </w:r>
      <w:r w:rsidR="000275CC" w:rsidRPr="00433E30">
        <w:t xml:space="preserve"> </w:t>
      </w:r>
    </w:p>
    <w:p w14:paraId="03E2EBBE" w14:textId="4B68A9D4" w:rsidR="000275CC" w:rsidRDefault="000275CC" w:rsidP="00E3260E">
      <w:pPr>
        <w:keepNext w:val="0"/>
        <w:autoSpaceDE w:val="0"/>
        <w:autoSpaceDN w:val="0"/>
        <w:adjustRightInd w:val="0"/>
        <w:spacing w:before="0"/>
        <w:ind w:firstLine="142"/>
        <w:rPr>
          <w:rFonts w:eastAsia="Arial" w:cs="Arial"/>
          <w:color w:val="auto"/>
          <w:szCs w:val="24"/>
        </w:rPr>
      </w:pPr>
      <w:r w:rsidRPr="00433E30">
        <w:rPr>
          <w:rFonts w:eastAsia="Arial" w:cs="Arial"/>
          <w:color w:val="auto"/>
          <w:szCs w:val="24"/>
        </w:rPr>
        <w:t>Source</w:t>
      </w:r>
      <w:r>
        <w:rPr>
          <w:rFonts w:eastAsia="Arial" w:cs="Arial"/>
          <w:color w:val="auto"/>
          <w:szCs w:val="24"/>
        </w:rPr>
        <w:t>:</w:t>
      </w:r>
      <w:r w:rsidRPr="00433E30">
        <w:rPr>
          <w:rFonts w:eastAsia="Arial" w:cs="Arial"/>
          <w:color w:val="auto"/>
          <w:szCs w:val="24"/>
        </w:rPr>
        <w:t xml:space="preserve"> </w:t>
      </w:r>
      <w:r>
        <w:rPr>
          <w:rFonts w:eastAsia="Arial" w:cs="Arial"/>
          <w:color w:val="auto"/>
          <w:szCs w:val="24"/>
        </w:rPr>
        <w:t>Hucknall</w:t>
      </w:r>
      <w:r w:rsidRPr="00433E30">
        <w:rPr>
          <w:rFonts w:eastAsia="Arial" w:cs="Arial"/>
          <w:color w:val="auto"/>
          <w:szCs w:val="24"/>
        </w:rPr>
        <w:t xml:space="preserve"> Masterplan, 202</w:t>
      </w:r>
      <w:r>
        <w:rPr>
          <w:rFonts w:eastAsia="Arial" w:cs="Arial"/>
          <w:color w:val="auto"/>
          <w:szCs w:val="24"/>
        </w:rPr>
        <w:t>2</w:t>
      </w:r>
    </w:p>
    <w:bookmarkEnd w:id="111"/>
    <w:p w14:paraId="308B60BE" w14:textId="77777777" w:rsidR="000275CC" w:rsidRPr="003C7E62" w:rsidRDefault="000275CC" w:rsidP="000275CC">
      <w:pPr>
        <w:keepNext w:val="0"/>
        <w:autoSpaceDE w:val="0"/>
        <w:autoSpaceDN w:val="0"/>
        <w:adjustRightInd w:val="0"/>
        <w:spacing w:before="0"/>
        <w:rPr>
          <w:rFonts w:eastAsia="Arial" w:cs="Arial"/>
          <w:color w:val="auto"/>
          <w:szCs w:val="24"/>
        </w:rPr>
      </w:pPr>
    </w:p>
    <w:p w14:paraId="5AEBB13C" w14:textId="77777777" w:rsidR="00AB6F9F" w:rsidRPr="003C7E62" w:rsidRDefault="00AB6F9F" w:rsidP="00F11936">
      <w:pPr>
        <w:keepNext w:val="0"/>
        <w:autoSpaceDE w:val="0"/>
        <w:autoSpaceDN w:val="0"/>
        <w:adjustRightInd w:val="0"/>
        <w:spacing w:before="0"/>
        <w:ind w:left="851"/>
        <w:rPr>
          <w:rFonts w:eastAsia="Arial" w:cs="Arial"/>
          <w:color w:val="auto"/>
          <w:szCs w:val="24"/>
        </w:rPr>
      </w:pPr>
    </w:p>
    <w:p w14:paraId="49BE2E2E" w14:textId="77777777" w:rsidR="00AB6F9F" w:rsidRPr="003C7E62" w:rsidRDefault="003178B5" w:rsidP="00874A98">
      <w:pPr>
        <w:keepNext w:val="0"/>
        <w:numPr>
          <w:ilvl w:val="1"/>
          <w:numId w:val="103"/>
        </w:numPr>
        <w:autoSpaceDE w:val="0"/>
        <w:autoSpaceDN w:val="0"/>
        <w:adjustRightInd w:val="0"/>
        <w:spacing w:before="0"/>
        <w:ind w:left="851" w:hanging="851"/>
        <w:rPr>
          <w:rFonts w:eastAsia="Arial" w:cs="Arial"/>
          <w:color w:val="auto"/>
          <w:szCs w:val="24"/>
        </w:rPr>
      </w:pPr>
      <w:r w:rsidRPr="003C7E62">
        <w:rPr>
          <w:rFonts w:eastAsia="Arial" w:cs="Arial"/>
          <w:color w:val="auto"/>
          <w:szCs w:val="24"/>
        </w:rPr>
        <w:t>Growth around Hucknall, provides opportunities to enhance the town centre to meet the needs of the growing population and to ensuring access to a mix of facilities based on local need.</w:t>
      </w:r>
    </w:p>
    <w:p w14:paraId="1FFE66B1" w14:textId="77777777" w:rsidR="00AB6F9F" w:rsidRPr="003C7E62" w:rsidRDefault="00AB6F9F" w:rsidP="00F11936">
      <w:pPr>
        <w:spacing w:before="0"/>
        <w:rPr>
          <w:rFonts w:eastAsia="Arial" w:cs="Arial"/>
          <w:color w:val="auto"/>
        </w:rPr>
      </w:pPr>
    </w:p>
    <w:p w14:paraId="05304592" w14:textId="77777777" w:rsidR="00AB6F9F" w:rsidRPr="003C7E62" w:rsidRDefault="003178B5" w:rsidP="00874A98">
      <w:pPr>
        <w:keepNext w:val="0"/>
        <w:numPr>
          <w:ilvl w:val="1"/>
          <w:numId w:val="103"/>
        </w:numPr>
        <w:autoSpaceDE w:val="0"/>
        <w:autoSpaceDN w:val="0"/>
        <w:adjustRightInd w:val="0"/>
        <w:spacing w:before="0"/>
        <w:ind w:left="851" w:hanging="851"/>
        <w:rPr>
          <w:rFonts w:eastAsia="Arial" w:cs="Arial"/>
          <w:color w:val="auto"/>
          <w:szCs w:val="24"/>
        </w:rPr>
      </w:pPr>
      <w:r w:rsidRPr="003C7E62">
        <w:rPr>
          <w:rFonts w:eastAsia="Arial" w:cs="Arial"/>
          <w:color w:val="auto"/>
        </w:rPr>
        <w:t xml:space="preserve">Local Shopping Centres and Shopping Parades should accommodate small scale development which provides for the </w:t>
      </w:r>
      <w:proofErr w:type="gramStart"/>
      <w:r w:rsidRPr="003C7E62">
        <w:rPr>
          <w:rFonts w:eastAsia="Arial" w:cs="Arial"/>
          <w:color w:val="auto"/>
        </w:rPr>
        <w:t>day to day</w:t>
      </w:r>
      <w:proofErr w:type="gramEnd"/>
      <w:r w:rsidRPr="003C7E62">
        <w:rPr>
          <w:rFonts w:eastAsia="Arial" w:cs="Arial"/>
          <w:color w:val="auto"/>
        </w:rPr>
        <w:t xml:space="preserve"> needs of the community without threatening the vitality and viability of Town Centres. At a national level, the NPPF promotes strong neighbourhood centres because they provide consumer choice and reduce the need to travel further distances. </w:t>
      </w:r>
    </w:p>
    <w:p w14:paraId="27E99F86" w14:textId="77777777" w:rsidR="00AB6F9F" w:rsidRPr="003C7E62" w:rsidRDefault="00AB6F9F" w:rsidP="00F11936">
      <w:pPr>
        <w:spacing w:before="0"/>
        <w:rPr>
          <w:rFonts w:eastAsia="Arial" w:cs="Arial"/>
          <w:color w:val="auto"/>
          <w:szCs w:val="24"/>
        </w:rPr>
      </w:pPr>
    </w:p>
    <w:p w14:paraId="1A3F44AA" w14:textId="7CF60525" w:rsidR="006971C4" w:rsidRPr="003C7E62" w:rsidRDefault="003178B5" w:rsidP="00874A98">
      <w:pPr>
        <w:keepNext w:val="0"/>
        <w:numPr>
          <w:ilvl w:val="1"/>
          <w:numId w:val="103"/>
        </w:numPr>
        <w:autoSpaceDE w:val="0"/>
        <w:autoSpaceDN w:val="0"/>
        <w:adjustRightInd w:val="0"/>
        <w:spacing w:before="0"/>
        <w:ind w:left="851" w:hanging="851"/>
        <w:rPr>
          <w:rFonts w:eastAsia="Arial" w:cs="Arial"/>
          <w:color w:val="auto"/>
          <w:szCs w:val="24"/>
        </w:rPr>
      </w:pPr>
      <w:r w:rsidRPr="003C7E62">
        <w:rPr>
          <w:rFonts w:eastAsia="Arial" w:cs="Arial"/>
          <w:color w:val="auto"/>
          <w:szCs w:val="24"/>
        </w:rPr>
        <w:t xml:space="preserve">Sutton, Hucknall and Kirkby provide good public transport links to other major conurbations via the Robin Hood rail line. Sutton has a central bus station and there are frequent, regular bus services in operation to Kirkby, which also has a railway station on the edge of the Town Centre.  In the south, Hucknall has excellent links to Nottingham via the Robin Hood Line and the NET tram service, with tram stops within the town centre and to the south and east of the centre. As a focus for public transport, concentrating new development in these areas will have a significant role in reducing the carbon footprint of the community and a positive impact in relation to climate change.   The growth of the three towns will </w:t>
      </w:r>
      <w:r w:rsidRPr="003C7E62">
        <w:rPr>
          <w:rFonts w:eastAsia="Arial" w:cs="Arial"/>
          <w:color w:val="auto"/>
          <w:szCs w:val="24"/>
        </w:rPr>
        <w:lastRenderedPageBreak/>
        <w:t>also serve to attract inward investment into these areas, thereby improving the opportunities and the lives of people living there.</w:t>
      </w:r>
    </w:p>
    <w:p w14:paraId="0839E4FC" w14:textId="77777777" w:rsidR="006971C4" w:rsidRPr="003C7E62" w:rsidRDefault="006971C4" w:rsidP="00F11936">
      <w:pPr>
        <w:pStyle w:val="ListParagraph"/>
        <w:spacing w:after="0" w:line="240" w:lineRule="auto"/>
        <w:rPr>
          <w:rFonts w:ascii="Arial" w:eastAsia="Arial" w:hAnsi="Arial" w:cs="Arial"/>
        </w:rPr>
      </w:pPr>
    </w:p>
    <w:p w14:paraId="09D0A614" w14:textId="07307383" w:rsidR="006971C4" w:rsidRPr="003C7E62" w:rsidRDefault="003178B5" w:rsidP="00874A98">
      <w:pPr>
        <w:keepNext w:val="0"/>
        <w:numPr>
          <w:ilvl w:val="1"/>
          <w:numId w:val="103"/>
        </w:numPr>
        <w:autoSpaceDE w:val="0"/>
        <w:autoSpaceDN w:val="0"/>
        <w:adjustRightInd w:val="0"/>
        <w:spacing w:before="0"/>
        <w:ind w:left="851" w:hanging="851"/>
        <w:rPr>
          <w:rFonts w:eastAsia="Arial" w:cs="Arial"/>
          <w:color w:val="auto"/>
          <w:szCs w:val="24"/>
        </w:rPr>
      </w:pPr>
      <w:r w:rsidRPr="003C7E62">
        <w:rPr>
          <w:rFonts w:eastAsia="Arial" w:cs="Arial"/>
          <w:color w:val="auto"/>
        </w:rPr>
        <w:t xml:space="preserve">Proposals for out-of-centre retail development and town centre uses will be required to </w:t>
      </w:r>
      <w:r w:rsidR="009D1815" w:rsidRPr="003C7E62">
        <w:rPr>
          <w:rFonts w:eastAsia="Arial" w:cs="Arial"/>
          <w:color w:val="auto"/>
        </w:rPr>
        <w:t>strongly demonstrate</w:t>
      </w:r>
      <w:r w:rsidRPr="003C7E62">
        <w:rPr>
          <w:rFonts w:eastAsia="Arial" w:cs="Arial"/>
          <w:color w:val="auto"/>
        </w:rPr>
        <w:t xml:space="preserve"> the need for such development, and how they will mitigate their impact on nearby centres, and any regeneration activities. </w:t>
      </w:r>
      <w:r w:rsidRPr="003C7E62">
        <w:rPr>
          <w:rFonts w:eastAsia="Arial" w:cs="Arial"/>
          <w:color w:val="auto"/>
          <w:szCs w:val="24"/>
        </w:rPr>
        <w:t>The requirement for a sequential test and, where appropriate, an impact assessment to town centre uses outside the town centres and local centres is elaborated in the development management policies within the Local Plan.</w:t>
      </w:r>
    </w:p>
    <w:p w14:paraId="247FF8E0" w14:textId="77777777" w:rsidR="006971C4" w:rsidRPr="003C7E62" w:rsidRDefault="006971C4" w:rsidP="00F11936">
      <w:pPr>
        <w:pStyle w:val="ListParagraph"/>
        <w:spacing w:after="0" w:line="240" w:lineRule="auto"/>
        <w:rPr>
          <w:rFonts w:ascii="Arial" w:eastAsia="Arial" w:hAnsi="Arial" w:cs="Arial"/>
          <w:color w:val="auto"/>
        </w:rPr>
      </w:pPr>
    </w:p>
    <w:p w14:paraId="3B074675" w14:textId="7FBC3AAA" w:rsidR="006971C4" w:rsidRPr="006B5FCB" w:rsidRDefault="003178B5" w:rsidP="00874A98">
      <w:pPr>
        <w:keepNext w:val="0"/>
        <w:numPr>
          <w:ilvl w:val="1"/>
          <w:numId w:val="103"/>
        </w:numPr>
        <w:autoSpaceDE w:val="0"/>
        <w:autoSpaceDN w:val="0"/>
        <w:adjustRightInd w:val="0"/>
        <w:spacing w:before="0"/>
        <w:ind w:left="851" w:hanging="851"/>
        <w:rPr>
          <w:rFonts w:eastAsia="Arial" w:cs="Arial"/>
          <w:color w:val="auto"/>
          <w:szCs w:val="24"/>
        </w:rPr>
      </w:pPr>
      <w:r w:rsidRPr="006B5FCB">
        <w:rPr>
          <w:rFonts w:eastAsia="Arial" w:cs="Arial"/>
          <w:color w:val="auto"/>
        </w:rPr>
        <w:t xml:space="preserve">The town centre hierarchy has been developed using evidence taken from the </w:t>
      </w:r>
      <w:r w:rsidR="00106B8C" w:rsidRPr="006B5FCB">
        <w:rPr>
          <w:rFonts w:cs="Arial"/>
          <w:color w:val="auto"/>
          <w:szCs w:val="24"/>
        </w:rPr>
        <w:t xml:space="preserve">Ashfield </w:t>
      </w:r>
      <w:bookmarkStart w:id="112" w:name="_Hlk148436525"/>
      <w:r w:rsidR="00106B8C" w:rsidRPr="006B5FCB">
        <w:rPr>
          <w:rFonts w:cs="Arial"/>
          <w:color w:val="auto"/>
          <w:szCs w:val="24"/>
        </w:rPr>
        <w:t xml:space="preserve">Town Centre / Local Centre Study, 2023 </w:t>
      </w:r>
      <w:bookmarkEnd w:id="112"/>
      <w:r w:rsidRPr="006B5FCB">
        <w:rPr>
          <w:rFonts w:eastAsia="Arial" w:cs="Arial"/>
          <w:color w:val="auto"/>
        </w:rPr>
        <w:t>and the Greater Nottingham and Ashfield District Accessible Settlements Study</w:t>
      </w:r>
      <w:r w:rsidR="00AB6F9F" w:rsidRPr="006B5FCB">
        <w:rPr>
          <w:rFonts w:eastAsia="Arial" w:cs="Arial"/>
          <w:color w:val="auto"/>
        </w:rPr>
        <w:t xml:space="preserve"> (</w:t>
      </w:r>
      <w:r w:rsidR="00E73FF6" w:rsidRPr="006B5FCB">
        <w:rPr>
          <w:rFonts w:eastAsia="Arial" w:cs="Arial"/>
          <w:color w:val="auto"/>
        </w:rPr>
        <w:t>2010</w:t>
      </w:r>
      <w:r w:rsidR="000A58C8" w:rsidRPr="006B5FCB">
        <w:rPr>
          <w:rFonts w:eastAsia="Arial" w:cs="Arial"/>
          <w:color w:val="auto"/>
        </w:rPr>
        <w:t>).</w:t>
      </w:r>
      <w:r w:rsidRPr="006B5FCB">
        <w:rPr>
          <w:rFonts w:eastAsia="Arial" w:cs="Arial"/>
          <w:color w:val="auto"/>
        </w:rPr>
        <w:t xml:space="preserve"> The existence of the hierarchy will help to guide new development to appropriately sized centres across the </w:t>
      </w:r>
      <w:proofErr w:type="gramStart"/>
      <w:r w:rsidRPr="006B5FCB">
        <w:rPr>
          <w:rFonts w:eastAsia="Arial" w:cs="Arial"/>
          <w:color w:val="auto"/>
        </w:rPr>
        <w:t>District</w:t>
      </w:r>
      <w:proofErr w:type="gramEnd"/>
      <w:r w:rsidRPr="006B5FCB">
        <w:rPr>
          <w:rFonts w:eastAsia="Arial" w:cs="Arial"/>
          <w:color w:val="auto"/>
        </w:rPr>
        <w:t xml:space="preserve"> and ensure that future growth is adequately balanced across Ashfield.</w:t>
      </w:r>
    </w:p>
    <w:p w14:paraId="2126BC6A" w14:textId="77777777" w:rsidR="006971C4" w:rsidRPr="003C7E62" w:rsidRDefault="006971C4" w:rsidP="00F11936">
      <w:pPr>
        <w:pStyle w:val="ListParagraph"/>
        <w:spacing w:after="0" w:line="240" w:lineRule="auto"/>
        <w:rPr>
          <w:rFonts w:ascii="Arial" w:eastAsia="Arial" w:hAnsi="Arial" w:cs="Arial"/>
          <w:color w:val="auto"/>
        </w:rPr>
      </w:pPr>
    </w:p>
    <w:p w14:paraId="3A8AB645" w14:textId="77777777" w:rsidR="003A519C" w:rsidRPr="00BF07B5" w:rsidRDefault="003A519C" w:rsidP="00BF07B5">
      <w:bookmarkStart w:id="113" w:name="_Toc145511564"/>
      <w:bookmarkStart w:id="114" w:name="_Hlk146191380"/>
    </w:p>
    <w:p w14:paraId="054909C8" w14:textId="0764A140" w:rsidR="005F229B" w:rsidRPr="009D5737" w:rsidRDefault="000A144B" w:rsidP="009D5737">
      <w:pPr>
        <w:pStyle w:val="Heading2"/>
        <w:jc w:val="left"/>
        <w:rPr>
          <w:sz w:val="28"/>
          <w:szCs w:val="28"/>
        </w:rPr>
      </w:pPr>
      <w:r w:rsidRPr="009D5737">
        <w:rPr>
          <w:sz w:val="28"/>
          <w:szCs w:val="28"/>
        </w:rPr>
        <w:t xml:space="preserve">Strategic Policy </w:t>
      </w:r>
      <w:r w:rsidR="005F229B" w:rsidRPr="009D5737">
        <w:rPr>
          <w:sz w:val="28"/>
          <w:szCs w:val="28"/>
        </w:rPr>
        <w:t>S1</w:t>
      </w:r>
      <w:r w:rsidR="005908AA" w:rsidRPr="009D5737">
        <w:rPr>
          <w:sz w:val="28"/>
          <w:szCs w:val="28"/>
        </w:rPr>
        <w:t>2</w:t>
      </w:r>
      <w:r w:rsidR="007E1CA9" w:rsidRPr="009D5737">
        <w:rPr>
          <w:sz w:val="28"/>
          <w:szCs w:val="28"/>
        </w:rPr>
        <w:t>:</w:t>
      </w:r>
      <w:r w:rsidR="005F229B" w:rsidRPr="009D5737">
        <w:rPr>
          <w:sz w:val="28"/>
          <w:szCs w:val="28"/>
        </w:rPr>
        <w:t xml:space="preserve"> </w:t>
      </w:r>
      <w:r w:rsidR="005F1B0D" w:rsidRPr="009D5737">
        <w:rPr>
          <w:sz w:val="28"/>
          <w:szCs w:val="28"/>
        </w:rPr>
        <w:t xml:space="preserve">Tackling Health Inequalities and Facilitating </w:t>
      </w:r>
      <w:bookmarkEnd w:id="108"/>
      <w:r w:rsidR="005F1B0D" w:rsidRPr="009D5737">
        <w:rPr>
          <w:sz w:val="28"/>
          <w:szCs w:val="28"/>
        </w:rPr>
        <w:t>Healthier Lifestyles</w:t>
      </w:r>
      <w:bookmarkEnd w:id="113"/>
      <w:r w:rsidR="005F1B0D" w:rsidRPr="009D5737">
        <w:rPr>
          <w:sz w:val="28"/>
          <w:szCs w:val="28"/>
        </w:rPr>
        <w:t xml:space="preserve"> </w:t>
      </w:r>
    </w:p>
    <w:bookmarkEnd w:id="114"/>
    <w:p w14:paraId="2C4E5B34" w14:textId="39FA2EE2" w:rsidR="005F229B" w:rsidRPr="003C7E62" w:rsidRDefault="005F229B" w:rsidP="005F229B">
      <w:pPr>
        <w:keepNext w:val="0"/>
        <w:spacing w:before="0"/>
        <w:rPr>
          <w:rFonts w:cs="Arial"/>
          <w:b/>
          <w:bCs/>
          <w:color w:val="auto"/>
          <w:sz w:val="28"/>
          <w:szCs w:val="28"/>
          <w:lang w:eastAsia="en-US"/>
        </w:rPr>
      </w:pPr>
    </w:p>
    <w:tbl>
      <w:tblPr>
        <w:tblStyle w:val="ReportTable1"/>
        <w:tblW w:w="9634" w:type="dxa"/>
        <w:tblLook w:val="04A0" w:firstRow="1" w:lastRow="0" w:firstColumn="1" w:lastColumn="0" w:noHBand="0" w:noVBand="1"/>
      </w:tblPr>
      <w:tblGrid>
        <w:gridCol w:w="1555"/>
        <w:gridCol w:w="1066"/>
        <w:gridCol w:w="7013"/>
      </w:tblGrid>
      <w:tr w:rsidR="000A144B" w:rsidRPr="003C7E62" w14:paraId="6DC6CC09" w14:textId="77777777" w:rsidTr="005334C0">
        <w:tc>
          <w:tcPr>
            <w:tcW w:w="9634" w:type="dxa"/>
            <w:gridSpan w:val="3"/>
          </w:tcPr>
          <w:p w14:paraId="14E509B6" w14:textId="77777777" w:rsidR="00433E30" w:rsidRDefault="00433E30" w:rsidP="00FF3EAD">
            <w:pPr>
              <w:keepNext w:val="0"/>
              <w:spacing w:before="0"/>
              <w:rPr>
                <w:rFonts w:cs="Arial"/>
                <w:b/>
                <w:bCs/>
                <w:color w:val="auto"/>
                <w:szCs w:val="24"/>
                <w:lang w:eastAsia="en-US"/>
              </w:rPr>
            </w:pPr>
            <w:bookmarkStart w:id="115" w:name="_Hlk78264695"/>
          </w:p>
          <w:p w14:paraId="21D53BEA" w14:textId="7A36B23F" w:rsidR="000A144B" w:rsidRDefault="000A144B" w:rsidP="00FF3EAD">
            <w:pPr>
              <w:keepNext w:val="0"/>
              <w:spacing w:before="0"/>
              <w:rPr>
                <w:rFonts w:cs="Arial"/>
                <w:b/>
                <w:bCs/>
                <w:color w:val="auto"/>
                <w:szCs w:val="24"/>
                <w:lang w:eastAsia="en-US"/>
              </w:rPr>
            </w:pPr>
            <w:r w:rsidRPr="003C7E62">
              <w:rPr>
                <w:rFonts w:cs="Arial"/>
                <w:b/>
                <w:bCs/>
                <w:color w:val="auto"/>
                <w:szCs w:val="24"/>
                <w:lang w:eastAsia="en-US"/>
              </w:rPr>
              <w:t>Strategic Policy S</w:t>
            </w:r>
            <w:r w:rsidR="005908AA" w:rsidRPr="00C474FF">
              <w:rPr>
                <w:rFonts w:cs="Arial"/>
                <w:b/>
                <w:bCs/>
                <w:szCs w:val="24"/>
                <w:lang w:eastAsia="en-US"/>
              </w:rPr>
              <w:t>12</w:t>
            </w:r>
            <w:r w:rsidRPr="00C474FF">
              <w:rPr>
                <w:rFonts w:cs="Arial"/>
                <w:b/>
                <w:bCs/>
                <w:szCs w:val="24"/>
                <w:lang w:eastAsia="en-US"/>
              </w:rPr>
              <w:t xml:space="preserve"> </w:t>
            </w:r>
            <w:r w:rsidR="005F1B0D" w:rsidRPr="005F1B0D">
              <w:rPr>
                <w:rFonts w:cs="Arial"/>
                <w:b/>
                <w:bCs/>
                <w:color w:val="auto"/>
                <w:szCs w:val="24"/>
                <w:lang w:eastAsia="en-US"/>
              </w:rPr>
              <w:t xml:space="preserve">Tackling Health Inequalities and Facilitating Healthier Lifestyles </w:t>
            </w:r>
          </w:p>
          <w:p w14:paraId="68DFD3A2" w14:textId="3D3127EB" w:rsidR="00433E30" w:rsidRPr="003C7E62" w:rsidRDefault="00433E30" w:rsidP="00FF3EAD">
            <w:pPr>
              <w:keepNext w:val="0"/>
              <w:spacing w:before="0"/>
              <w:rPr>
                <w:rFonts w:cs="Arial"/>
                <w:b/>
                <w:bCs/>
                <w:color w:val="auto"/>
                <w:szCs w:val="24"/>
                <w:lang w:eastAsia="en-US"/>
              </w:rPr>
            </w:pPr>
          </w:p>
        </w:tc>
      </w:tr>
      <w:tr w:rsidR="008E6B40" w:rsidRPr="003C7E62" w14:paraId="70240A04" w14:textId="77777777" w:rsidTr="005334C0">
        <w:tc>
          <w:tcPr>
            <w:tcW w:w="2621" w:type="dxa"/>
            <w:gridSpan w:val="2"/>
          </w:tcPr>
          <w:p w14:paraId="40B2BDAB" w14:textId="77777777" w:rsidR="008E6B40" w:rsidRPr="003C7E62" w:rsidRDefault="008E6B40" w:rsidP="00FF3EAD">
            <w:pPr>
              <w:keepNext w:val="0"/>
              <w:tabs>
                <w:tab w:val="left" w:pos="680"/>
              </w:tabs>
              <w:spacing w:before="40" w:after="40"/>
              <w:rPr>
                <w:rFonts w:eastAsia="Arial" w:cs="Arial"/>
                <w:b/>
                <w:color w:val="auto"/>
              </w:rPr>
            </w:pPr>
            <w:r w:rsidRPr="003C7E62">
              <w:rPr>
                <w:rFonts w:eastAsia="Arial" w:cs="Arial"/>
                <w:b/>
                <w:color w:val="auto"/>
              </w:rPr>
              <w:t>Strategic Objectives</w:t>
            </w:r>
          </w:p>
        </w:tc>
        <w:tc>
          <w:tcPr>
            <w:tcW w:w="7013" w:type="dxa"/>
          </w:tcPr>
          <w:p w14:paraId="24230FDB" w14:textId="77777777" w:rsidR="008E6B40" w:rsidRPr="003C7E62" w:rsidRDefault="008E6B40" w:rsidP="00FF3EAD">
            <w:pPr>
              <w:keepNext w:val="0"/>
              <w:tabs>
                <w:tab w:val="left" w:pos="680"/>
              </w:tabs>
              <w:spacing w:before="40" w:after="40"/>
              <w:rPr>
                <w:rFonts w:eastAsia="Arial" w:cs="Arial"/>
                <w:b/>
                <w:color w:val="auto"/>
              </w:rPr>
            </w:pPr>
            <w:r w:rsidRPr="003C7E62">
              <w:rPr>
                <w:rFonts w:eastAsia="Arial" w:cs="Arial"/>
                <w:b/>
                <w:color w:val="auto"/>
              </w:rPr>
              <w:t>SO1, SO2, SO4, SO5, SO6, SO7, SO8, SO9, SO10, SO12, SO13, SO14.</w:t>
            </w:r>
          </w:p>
        </w:tc>
      </w:tr>
      <w:tr w:rsidR="008E6B40" w:rsidRPr="003C7E62" w14:paraId="7F2FD12A" w14:textId="77777777" w:rsidTr="005334C0">
        <w:tc>
          <w:tcPr>
            <w:tcW w:w="9634" w:type="dxa"/>
            <w:gridSpan w:val="3"/>
            <w:shd w:val="clear" w:color="auto" w:fill="DBDBDB"/>
          </w:tcPr>
          <w:p w14:paraId="31A123E8" w14:textId="77777777" w:rsidR="008E6B40" w:rsidRPr="003C7E62" w:rsidRDefault="008E6B40" w:rsidP="00FF3EAD">
            <w:pPr>
              <w:keepNext w:val="0"/>
              <w:tabs>
                <w:tab w:val="left" w:pos="680"/>
                <w:tab w:val="left" w:pos="1133"/>
                <w:tab w:val="left" w:pos="2267"/>
              </w:tabs>
              <w:spacing w:before="0"/>
              <w:ind w:left="360" w:right="284"/>
              <w:rPr>
                <w:rFonts w:eastAsia="Arial" w:cs="Arial"/>
                <w:bCs/>
                <w:color w:val="auto"/>
                <w:szCs w:val="24"/>
              </w:rPr>
            </w:pPr>
          </w:p>
          <w:p w14:paraId="0DEB36DA" w14:textId="494942FE" w:rsidR="008E6B40" w:rsidRPr="003C7E62" w:rsidRDefault="008E6B40" w:rsidP="00FF3EAD">
            <w:pPr>
              <w:keepNext w:val="0"/>
              <w:numPr>
                <w:ilvl w:val="0"/>
                <w:numId w:val="30"/>
              </w:numPr>
              <w:spacing w:before="0"/>
              <w:ind w:left="357"/>
              <w:rPr>
                <w:rFonts w:eastAsia="Arial" w:cs="Arial"/>
                <w:bCs/>
                <w:color w:val="auto"/>
                <w:szCs w:val="24"/>
              </w:rPr>
            </w:pPr>
            <w:r w:rsidRPr="003C7E62">
              <w:rPr>
                <w:rFonts w:eastAsia="Arial" w:cs="Arial"/>
                <w:bCs/>
                <w:color w:val="auto"/>
              </w:rPr>
              <w:t>The Council will be supportive of programmes and strategies,</w:t>
            </w:r>
            <w:r w:rsidR="00B861B0">
              <w:rPr>
                <w:rFonts w:eastAsia="Arial" w:cs="Arial"/>
                <w:bCs/>
              </w:rPr>
              <w:t xml:space="preserve"> </w:t>
            </w:r>
            <w:r w:rsidR="00B861B0" w:rsidRPr="00F53521">
              <w:rPr>
                <w:rFonts w:eastAsia="Arial" w:cs="Arial"/>
                <w:bCs/>
                <w:color w:val="2F5496" w:themeColor="accent1" w:themeShade="BF"/>
              </w:rPr>
              <w:t>which include but are not limited to relevant partnership strategies such as the ‘Ashfield Health and Wellbeing Partnership Strategy Be Healthy, Be Happy’ and the Council’s Corporate Plan,</w:t>
            </w:r>
            <w:r w:rsidR="00B861B0">
              <w:rPr>
                <w:rFonts w:eastAsia="Arial" w:cs="Arial"/>
                <w:b/>
              </w:rPr>
              <w:t xml:space="preserve"> </w:t>
            </w:r>
            <w:r w:rsidRPr="003C7E62">
              <w:rPr>
                <w:rFonts w:eastAsia="Arial" w:cs="Arial"/>
                <w:bCs/>
                <w:color w:val="auto"/>
              </w:rPr>
              <w:t xml:space="preserve">which aim to promote sustainable communities, reduce health inequalities and facilitate healthier lifestyles in Ashfield. </w:t>
            </w:r>
          </w:p>
          <w:p w14:paraId="13A40C2F" w14:textId="77777777" w:rsidR="008E6B40" w:rsidRPr="003C7E62" w:rsidRDefault="008E6B40" w:rsidP="00FF3EAD">
            <w:pPr>
              <w:keepNext w:val="0"/>
              <w:spacing w:before="0"/>
              <w:ind w:left="357"/>
              <w:rPr>
                <w:rFonts w:eastAsia="Arial" w:cs="Arial"/>
                <w:bCs/>
                <w:color w:val="auto"/>
              </w:rPr>
            </w:pPr>
          </w:p>
          <w:p w14:paraId="17742963" w14:textId="453B795D" w:rsidR="008E6B40" w:rsidRPr="00C474FF" w:rsidRDefault="008E6B40" w:rsidP="00FF3EAD">
            <w:pPr>
              <w:keepNext w:val="0"/>
              <w:numPr>
                <w:ilvl w:val="0"/>
                <w:numId w:val="30"/>
              </w:numPr>
              <w:spacing w:before="0"/>
              <w:rPr>
                <w:rFonts w:eastAsia="Arial" w:cs="Arial"/>
                <w:bCs/>
                <w:szCs w:val="24"/>
              </w:rPr>
            </w:pPr>
            <w:r w:rsidRPr="003C7E62">
              <w:rPr>
                <w:rFonts w:eastAsia="Arial" w:cs="Arial"/>
                <w:bCs/>
                <w:color w:val="auto"/>
              </w:rPr>
              <w:t xml:space="preserve">Development proposals should be designed to contribute to and improve healthy communities and wellbeing in Ashfield, thereby reducing health </w:t>
            </w:r>
            <w:r w:rsidRPr="00C474FF">
              <w:rPr>
                <w:rFonts w:eastAsia="Arial" w:cs="Arial"/>
                <w:bCs/>
              </w:rPr>
              <w:t xml:space="preserve">inequalities. This can be achieved in </w:t>
            </w:r>
            <w:proofErr w:type="gramStart"/>
            <w:r w:rsidRPr="00C474FF">
              <w:rPr>
                <w:rFonts w:eastAsia="Arial" w:cs="Arial"/>
                <w:bCs/>
              </w:rPr>
              <w:t>a number of</w:t>
            </w:r>
            <w:proofErr w:type="gramEnd"/>
            <w:r w:rsidRPr="00C474FF">
              <w:rPr>
                <w:rFonts w:eastAsia="Arial" w:cs="Arial"/>
                <w:bCs/>
              </w:rPr>
              <w:t xml:space="preserve"> ways dependent on the nature of development including:</w:t>
            </w:r>
            <w:r w:rsidR="00D96988" w:rsidRPr="00C474FF">
              <w:rPr>
                <w:rFonts w:eastAsia="Arial" w:cs="Arial"/>
                <w:bCs/>
              </w:rPr>
              <w:t xml:space="preserve"> </w:t>
            </w:r>
          </w:p>
          <w:p w14:paraId="5E648B49" w14:textId="77777777" w:rsidR="008E6B40" w:rsidRPr="00C474FF" w:rsidRDefault="008E6B40" w:rsidP="00FF3EAD">
            <w:pPr>
              <w:keepNext w:val="0"/>
              <w:spacing w:before="0"/>
              <w:ind w:left="720"/>
              <w:contextualSpacing/>
              <w:rPr>
                <w:rFonts w:eastAsia="Arial" w:cs="Arial"/>
                <w:bCs/>
                <w:szCs w:val="24"/>
              </w:rPr>
            </w:pPr>
          </w:p>
          <w:p w14:paraId="524064EE" w14:textId="7A635356" w:rsidR="008E6B40" w:rsidRPr="00C474FF" w:rsidRDefault="008E6B40" w:rsidP="00FF3EAD">
            <w:pPr>
              <w:keepNext w:val="0"/>
              <w:numPr>
                <w:ilvl w:val="0"/>
                <w:numId w:val="29"/>
              </w:numPr>
              <w:tabs>
                <w:tab w:val="left" w:pos="851"/>
                <w:tab w:val="left" w:pos="1133"/>
                <w:tab w:val="left" w:pos="2267"/>
              </w:tabs>
              <w:spacing w:before="0"/>
              <w:ind w:right="284"/>
              <w:rPr>
                <w:rFonts w:eastAsia="Arial" w:cs="Arial"/>
                <w:bCs/>
              </w:rPr>
            </w:pPr>
            <w:r w:rsidRPr="00C474FF">
              <w:rPr>
                <w:rFonts w:eastAsia="Arial" w:cs="Arial"/>
                <w:bCs/>
              </w:rPr>
              <w:t>Ensuring sufficient and a suitable mix of housing</w:t>
            </w:r>
            <w:r w:rsidR="00D93F11" w:rsidRPr="00C474FF">
              <w:rPr>
                <w:rFonts w:eastAsia="Arial" w:cs="Arial"/>
                <w:bCs/>
              </w:rPr>
              <w:t>, including meeting the needs of older and disabled people.</w:t>
            </w:r>
          </w:p>
          <w:p w14:paraId="0EF598DA" w14:textId="77777777" w:rsidR="00C716F6" w:rsidRPr="00C474FF" w:rsidRDefault="00C716F6" w:rsidP="00FF3EAD">
            <w:pPr>
              <w:keepNext w:val="0"/>
              <w:tabs>
                <w:tab w:val="left" w:pos="851"/>
                <w:tab w:val="left" w:pos="1133"/>
                <w:tab w:val="left" w:pos="2267"/>
              </w:tabs>
              <w:spacing w:before="0"/>
              <w:ind w:left="720" w:right="284"/>
              <w:rPr>
                <w:rFonts w:eastAsia="Arial" w:cs="Arial"/>
                <w:bCs/>
              </w:rPr>
            </w:pPr>
          </w:p>
          <w:p w14:paraId="0B6CF081" w14:textId="5AA0AF5B" w:rsidR="008E6B40" w:rsidRPr="00C474FF" w:rsidRDefault="008E6B40" w:rsidP="00FF3EAD">
            <w:pPr>
              <w:keepNext w:val="0"/>
              <w:numPr>
                <w:ilvl w:val="0"/>
                <w:numId w:val="29"/>
              </w:numPr>
              <w:tabs>
                <w:tab w:val="left" w:pos="851"/>
                <w:tab w:val="left" w:pos="1133"/>
                <w:tab w:val="left" w:pos="2267"/>
              </w:tabs>
              <w:spacing w:before="0"/>
              <w:ind w:left="714" w:right="284" w:hanging="357"/>
              <w:rPr>
                <w:rFonts w:eastAsia="Arial" w:cs="Arial"/>
                <w:bCs/>
              </w:rPr>
            </w:pPr>
            <w:r w:rsidRPr="00C474FF">
              <w:rPr>
                <w:rFonts w:eastAsia="Arial" w:cs="Arial"/>
                <w:bCs/>
              </w:rPr>
              <w:t>Promoting job opportunities</w:t>
            </w:r>
            <w:r w:rsidR="00EC4D30" w:rsidRPr="00C474FF">
              <w:rPr>
                <w:rFonts w:eastAsia="Arial" w:cs="Arial"/>
                <w:bCs/>
              </w:rPr>
              <w:t>.</w:t>
            </w:r>
          </w:p>
          <w:p w14:paraId="26540CED" w14:textId="77777777" w:rsidR="00C716F6" w:rsidRPr="00C474FF" w:rsidRDefault="00C716F6" w:rsidP="00FF3EAD">
            <w:pPr>
              <w:keepNext w:val="0"/>
              <w:tabs>
                <w:tab w:val="left" w:pos="851"/>
                <w:tab w:val="left" w:pos="1133"/>
                <w:tab w:val="left" w:pos="2267"/>
              </w:tabs>
              <w:spacing w:before="0"/>
              <w:ind w:right="284"/>
              <w:rPr>
                <w:rFonts w:eastAsia="Arial" w:cs="Arial"/>
                <w:bCs/>
              </w:rPr>
            </w:pPr>
          </w:p>
          <w:p w14:paraId="6D5349DF" w14:textId="3BE643FD" w:rsidR="008E6B40" w:rsidRPr="00C474FF" w:rsidRDefault="008E6B40" w:rsidP="00FF3EAD">
            <w:pPr>
              <w:keepNext w:val="0"/>
              <w:numPr>
                <w:ilvl w:val="0"/>
                <w:numId w:val="29"/>
              </w:numPr>
              <w:tabs>
                <w:tab w:val="left" w:pos="851"/>
                <w:tab w:val="left" w:pos="1133"/>
                <w:tab w:val="left" w:pos="2267"/>
              </w:tabs>
              <w:spacing w:before="0"/>
              <w:ind w:left="714" w:right="284" w:hanging="357"/>
              <w:rPr>
                <w:rFonts w:eastAsia="Arial" w:cs="Arial"/>
                <w:bCs/>
              </w:rPr>
            </w:pPr>
            <w:r w:rsidRPr="00C474FF">
              <w:rPr>
                <w:rFonts w:eastAsia="Arial" w:cs="Arial"/>
                <w:bCs/>
              </w:rPr>
              <w:t>Promoting healthy neighbourhoods and facilitating active and healthy lifestyles</w:t>
            </w:r>
            <w:r w:rsidR="00EC4D30" w:rsidRPr="00C474FF">
              <w:rPr>
                <w:rFonts w:eastAsia="Arial" w:cs="Arial"/>
                <w:bCs/>
              </w:rPr>
              <w:t>.</w:t>
            </w:r>
          </w:p>
          <w:p w14:paraId="6C4B5E5D" w14:textId="77777777" w:rsidR="00C716F6" w:rsidRPr="00C474FF" w:rsidRDefault="00C716F6" w:rsidP="00FF3EAD">
            <w:pPr>
              <w:keepNext w:val="0"/>
              <w:tabs>
                <w:tab w:val="left" w:pos="851"/>
                <w:tab w:val="left" w:pos="1133"/>
                <w:tab w:val="left" w:pos="2267"/>
              </w:tabs>
              <w:spacing w:before="0"/>
              <w:ind w:right="284"/>
              <w:rPr>
                <w:rFonts w:eastAsia="Arial" w:cs="Arial"/>
                <w:bCs/>
              </w:rPr>
            </w:pPr>
          </w:p>
          <w:p w14:paraId="441E2EA5" w14:textId="068C6EEE" w:rsidR="00C716F6" w:rsidRPr="00C474FF" w:rsidRDefault="008E6B40" w:rsidP="00FF3EAD">
            <w:pPr>
              <w:keepNext w:val="0"/>
              <w:numPr>
                <w:ilvl w:val="0"/>
                <w:numId w:val="29"/>
              </w:numPr>
              <w:tabs>
                <w:tab w:val="left" w:pos="851"/>
                <w:tab w:val="left" w:pos="1133"/>
                <w:tab w:val="left" w:pos="2267"/>
              </w:tabs>
              <w:spacing w:before="0"/>
              <w:ind w:left="714" w:right="284" w:hanging="357"/>
              <w:contextualSpacing/>
              <w:rPr>
                <w:rFonts w:eastAsia="Arial" w:cs="Arial"/>
                <w:bCs/>
              </w:rPr>
            </w:pPr>
            <w:bookmarkStart w:id="116" w:name="_Hlk75775065"/>
            <w:r w:rsidRPr="00C474FF">
              <w:rPr>
                <w:rFonts w:eastAsia="Arial" w:cs="Arial"/>
                <w:bCs/>
              </w:rPr>
              <w:t xml:space="preserve">Protect the amenity of residents </w:t>
            </w:r>
            <w:proofErr w:type="gramStart"/>
            <w:r w:rsidRPr="00C474FF">
              <w:rPr>
                <w:rFonts w:eastAsia="Arial" w:cs="Arial"/>
                <w:bCs/>
              </w:rPr>
              <w:t>with regard to</w:t>
            </w:r>
            <w:proofErr w:type="gramEnd"/>
            <w:r w:rsidRPr="00C474FF">
              <w:rPr>
                <w:rFonts w:eastAsia="Arial" w:cs="Arial"/>
                <w:bCs/>
              </w:rPr>
              <w:t xml:space="preserve"> noise, smell, light pollution, ground instability, ground and water contamination, vibration and air quality</w:t>
            </w:r>
            <w:r w:rsidR="00EC4D30" w:rsidRPr="00C474FF">
              <w:rPr>
                <w:rFonts w:eastAsia="Arial" w:cs="Arial"/>
                <w:bCs/>
              </w:rPr>
              <w:t>.</w:t>
            </w:r>
          </w:p>
          <w:p w14:paraId="35BEDA15" w14:textId="77777777" w:rsidR="00C716F6" w:rsidRPr="00C474FF" w:rsidRDefault="00C716F6" w:rsidP="00FF3EAD">
            <w:pPr>
              <w:keepNext w:val="0"/>
              <w:tabs>
                <w:tab w:val="left" w:pos="851"/>
                <w:tab w:val="left" w:pos="1133"/>
                <w:tab w:val="left" w:pos="2267"/>
              </w:tabs>
              <w:spacing w:before="0"/>
              <w:ind w:right="284"/>
              <w:contextualSpacing/>
              <w:rPr>
                <w:rFonts w:eastAsia="Arial" w:cs="Arial"/>
                <w:bCs/>
              </w:rPr>
            </w:pPr>
          </w:p>
          <w:bookmarkEnd w:id="116"/>
          <w:p w14:paraId="2509CE99" w14:textId="0DD7E68D" w:rsidR="008E6B40" w:rsidRPr="00C474FF" w:rsidRDefault="008E6B40" w:rsidP="00FF3EAD">
            <w:pPr>
              <w:keepNext w:val="0"/>
              <w:numPr>
                <w:ilvl w:val="0"/>
                <w:numId w:val="29"/>
              </w:numPr>
              <w:tabs>
                <w:tab w:val="left" w:pos="851"/>
                <w:tab w:val="left" w:pos="1133"/>
                <w:tab w:val="left" w:pos="2267"/>
              </w:tabs>
              <w:spacing w:before="0"/>
              <w:ind w:left="714" w:right="284" w:hanging="357"/>
              <w:contextualSpacing/>
              <w:rPr>
                <w:rFonts w:eastAsia="Arial" w:cs="Arial"/>
                <w:bCs/>
              </w:rPr>
            </w:pPr>
            <w:r w:rsidRPr="00C474FF">
              <w:rPr>
                <w:rFonts w:eastAsia="Arial" w:cs="Arial"/>
                <w:bCs/>
              </w:rPr>
              <w:lastRenderedPageBreak/>
              <w:t>Providing good access for all to health and social care facilities</w:t>
            </w:r>
            <w:r w:rsidR="00EC4D30" w:rsidRPr="00C474FF">
              <w:rPr>
                <w:rFonts w:eastAsia="Arial" w:cs="Arial"/>
                <w:bCs/>
              </w:rPr>
              <w:t>.</w:t>
            </w:r>
            <w:r w:rsidRPr="00C474FF">
              <w:rPr>
                <w:rFonts w:eastAsia="Arial" w:cs="Arial"/>
                <w:bCs/>
              </w:rPr>
              <w:t xml:space="preserve"> </w:t>
            </w:r>
          </w:p>
          <w:p w14:paraId="1A322B0B" w14:textId="77777777" w:rsidR="00C716F6" w:rsidRPr="00C474FF" w:rsidRDefault="00C716F6" w:rsidP="00FF3EAD">
            <w:pPr>
              <w:keepNext w:val="0"/>
              <w:tabs>
                <w:tab w:val="left" w:pos="851"/>
                <w:tab w:val="left" w:pos="1133"/>
                <w:tab w:val="left" w:pos="2267"/>
              </w:tabs>
              <w:spacing w:before="0"/>
              <w:ind w:right="284"/>
              <w:contextualSpacing/>
              <w:rPr>
                <w:rFonts w:eastAsia="Arial" w:cs="Arial"/>
                <w:bCs/>
              </w:rPr>
            </w:pPr>
          </w:p>
          <w:p w14:paraId="04479CC0" w14:textId="5AB0EDE3" w:rsidR="008E6B40" w:rsidRPr="00C474FF" w:rsidRDefault="008E6B40" w:rsidP="00FF3EAD">
            <w:pPr>
              <w:keepNext w:val="0"/>
              <w:numPr>
                <w:ilvl w:val="0"/>
                <w:numId w:val="29"/>
              </w:numPr>
              <w:tabs>
                <w:tab w:val="left" w:pos="851"/>
                <w:tab w:val="left" w:pos="1133"/>
                <w:tab w:val="left" w:pos="2267"/>
              </w:tabs>
              <w:spacing w:before="0"/>
              <w:ind w:left="714" w:right="284" w:hanging="357"/>
              <w:rPr>
                <w:rFonts w:eastAsia="Arial" w:cs="Arial"/>
                <w:bCs/>
              </w:rPr>
            </w:pPr>
            <w:r w:rsidRPr="00C474FF">
              <w:rPr>
                <w:rFonts w:eastAsia="Arial" w:cs="Arial"/>
                <w:bCs/>
              </w:rPr>
              <w:t xml:space="preserve">Promoting access to green spaces, </w:t>
            </w:r>
            <w:r w:rsidR="00DE7EAF" w:rsidRPr="00C474FF">
              <w:rPr>
                <w:rFonts w:eastAsia="Arial" w:cs="Arial"/>
                <w:bCs/>
              </w:rPr>
              <w:t xml:space="preserve">the countryside, </w:t>
            </w:r>
            <w:r w:rsidRPr="00C474FF">
              <w:rPr>
                <w:rFonts w:eastAsia="Arial" w:cs="Arial"/>
                <w:bCs/>
              </w:rPr>
              <w:t>sports facilities, play and recreation opportunities</w:t>
            </w:r>
            <w:r w:rsidR="00EC4D30" w:rsidRPr="00C474FF">
              <w:rPr>
                <w:rFonts w:eastAsia="Arial" w:cs="Arial"/>
                <w:bCs/>
              </w:rPr>
              <w:t>.</w:t>
            </w:r>
          </w:p>
          <w:p w14:paraId="2DB22EC9" w14:textId="77777777" w:rsidR="00C716F6" w:rsidRPr="003C7E62" w:rsidRDefault="00C716F6" w:rsidP="00FF3EAD">
            <w:pPr>
              <w:keepNext w:val="0"/>
              <w:tabs>
                <w:tab w:val="left" w:pos="851"/>
                <w:tab w:val="left" w:pos="1133"/>
                <w:tab w:val="left" w:pos="2267"/>
              </w:tabs>
              <w:spacing w:before="0"/>
              <w:ind w:left="357" w:right="284"/>
              <w:rPr>
                <w:rFonts w:eastAsia="Arial" w:cs="Arial"/>
                <w:bCs/>
                <w:color w:val="auto"/>
              </w:rPr>
            </w:pPr>
          </w:p>
          <w:p w14:paraId="4A552B12" w14:textId="1718BB75" w:rsidR="008E6B40" w:rsidRPr="003C7E62" w:rsidRDefault="008E6B40" w:rsidP="00FF3EAD">
            <w:pPr>
              <w:keepNext w:val="0"/>
              <w:numPr>
                <w:ilvl w:val="0"/>
                <w:numId w:val="29"/>
              </w:numPr>
              <w:tabs>
                <w:tab w:val="left" w:pos="851"/>
                <w:tab w:val="left" w:pos="1133"/>
                <w:tab w:val="left" w:pos="2267"/>
              </w:tabs>
              <w:spacing w:before="0"/>
              <w:ind w:left="714" w:right="284" w:hanging="357"/>
              <w:rPr>
                <w:rFonts w:eastAsia="Arial" w:cs="Arial"/>
                <w:bCs/>
                <w:color w:val="auto"/>
              </w:rPr>
            </w:pPr>
            <w:r w:rsidRPr="003C7E62">
              <w:rPr>
                <w:rFonts w:eastAsia="Arial" w:cs="Arial"/>
                <w:bCs/>
                <w:color w:val="auto"/>
              </w:rPr>
              <w:t>Promoting allotments and gardens for exercise, recreation and for healthy locally produced food</w:t>
            </w:r>
            <w:r w:rsidR="00EC4D30">
              <w:rPr>
                <w:rFonts w:eastAsia="Arial" w:cs="Arial"/>
                <w:bCs/>
                <w:color w:val="auto"/>
              </w:rPr>
              <w:t>.</w:t>
            </w:r>
          </w:p>
          <w:p w14:paraId="5F1EB4C7" w14:textId="77777777" w:rsidR="00C716F6" w:rsidRPr="003C7E62" w:rsidRDefault="00C716F6" w:rsidP="00FF3EAD">
            <w:pPr>
              <w:keepNext w:val="0"/>
              <w:tabs>
                <w:tab w:val="left" w:pos="851"/>
                <w:tab w:val="left" w:pos="1133"/>
                <w:tab w:val="left" w:pos="2267"/>
              </w:tabs>
              <w:spacing w:before="0"/>
              <w:ind w:right="284"/>
              <w:rPr>
                <w:rFonts w:eastAsia="Arial" w:cs="Arial"/>
                <w:bCs/>
                <w:color w:val="auto"/>
              </w:rPr>
            </w:pPr>
          </w:p>
          <w:p w14:paraId="406229A8" w14:textId="5F6EC28E" w:rsidR="008E6B40" w:rsidRPr="003C7E62" w:rsidRDefault="008E6B40" w:rsidP="00FF3EAD">
            <w:pPr>
              <w:keepNext w:val="0"/>
              <w:numPr>
                <w:ilvl w:val="0"/>
                <w:numId w:val="29"/>
              </w:numPr>
              <w:tabs>
                <w:tab w:val="left" w:pos="851"/>
                <w:tab w:val="left" w:pos="1133"/>
                <w:tab w:val="left" w:pos="2267"/>
              </w:tabs>
              <w:spacing w:before="0"/>
              <w:ind w:right="284"/>
              <w:rPr>
                <w:rFonts w:eastAsia="Arial" w:cs="Arial"/>
                <w:bCs/>
                <w:color w:val="auto"/>
              </w:rPr>
            </w:pPr>
            <w:r w:rsidRPr="003C7E62">
              <w:rPr>
                <w:rFonts w:eastAsia="Arial" w:cs="Arial"/>
                <w:bCs/>
                <w:color w:val="auto"/>
              </w:rPr>
              <w:t>Supporting the provision of community facilities</w:t>
            </w:r>
            <w:r w:rsidR="00EC4D30">
              <w:rPr>
                <w:rFonts w:eastAsia="Arial" w:cs="Arial"/>
                <w:bCs/>
                <w:color w:val="auto"/>
              </w:rPr>
              <w:t>.</w:t>
            </w:r>
          </w:p>
          <w:p w14:paraId="393F6264" w14:textId="77777777" w:rsidR="00C716F6" w:rsidRPr="003C7E62" w:rsidRDefault="00C716F6" w:rsidP="00FF3EAD">
            <w:pPr>
              <w:keepNext w:val="0"/>
              <w:tabs>
                <w:tab w:val="left" w:pos="851"/>
                <w:tab w:val="left" w:pos="1133"/>
                <w:tab w:val="left" w:pos="2267"/>
              </w:tabs>
              <w:spacing w:before="0"/>
              <w:ind w:right="284"/>
              <w:rPr>
                <w:rFonts w:eastAsia="Arial" w:cs="Arial"/>
                <w:bCs/>
                <w:color w:val="auto"/>
              </w:rPr>
            </w:pPr>
          </w:p>
          <w:p w14:paraId="10E4DCE3" w14:textId="7BA75317" w:rsidR="008E6B40" w:rsidRPr="003C7E62" w:rsidRDefault="008E6B40" w:rsidP="00FF3EAD">
            <w:pPr>
              <w:keepNext w:val="0"/>
              <w:numPr>
                <w:ilvl w:val="0"/>
                <w:numId w:val="29"/>
              </w:numPr>
              <w:tabs>
                <w:tab w:val="left" w:pos="851"/>
                <w:tab w:val="left" w:pos="1133"/>
                <w:tab w:val="left" w:pos="2267"/>
              </w:tabs>
              <w:spacing w:before="0"/>
              <w:ind w:right="284"/>
              <w:rPr>
                <w:rFonts w:eastAsia="Arial" w:cs="Arial"/>
                <w:bCs/>
                <w:color w:val="auto"/>
              </w:rPr>
            </w:pPr>
            <w:r w:rsidRPr="003C7E62">
              <w:rPr>
                <w:rFonts w:eastAsia="Arial" w:cs="Arial"/>
                <w:bCs/>
                <w:color w:val="auto"/>
              </w:rPr>
              <w:t>Measures to close the gap in educational attainment in Ashfield</w:t>
            </w:r>
            <w:r w:rsidR="00EC4D30">
              <w:rPr>
                <w:rFonts w:eastAsia="Arial" w:cs="Arial"/>
                <w:bCs/>
                <w:color w:val="auto"/>
              </w:rPr>
              <w:t>.</w:t>
            </w:r>
          </w:p>
          <w:p w14:paraId="29EB9E44" w14:textId="77777777" w:rsidR="00C716F6" w:rsidRPr="003C7E62" w:rsidRDefault="00C716F6" w:rsidP="00FF3EAD">
            <w:pPr>
              <w:keepNext w:val="0"/>
              <w:tabs>
                <w:tab w:val="left" w:pos="851"/>
                <w:tab w:val="left" w:pos="1133"/>
                <w:tab w:val="left" w:pos="2267"/>
              </w:tabs>
              <w:spacing w:before="0"/>
              <w:ind w:right="284"/>
              <w:rPr>
                <w:rFonts w:eastAsia="Arial" w:cs="Arial"/>
                <w:bCs/>
                <w:color w:val="auto"/>
              </w:rPr>
            </w:pPr>
          </w:p>
          <w:p w14:paraId="36FAB58D" w14:textId="6B5BA3F4" w:rsidR="008E6B40" w:rsidRPr="003C7E62" w:rsidRDefault="008E6B40" w:rsidP="00FF3EAD">
            <w:pPr>
              <w:keepNext w:val="0"/>
              <w:numPr>
                <w:ilvl w:val="0"/>
                <w:numId w:val="29"/>
              </w:numPr>
              <w:tabs>
                <w:tab w:val="left" w:pos="851"/>
                <w:tab w:val="left" w:pos="1133"/>
                <w:tab w:val="left" w:pos="2267"/>
              </w:tabs>
              <w:spacing w:before="0"/>
              <w:ind w:right="284"/>
              <w:rPr>
                <w:rFonts w:eastAsia="Arial" w:cs="Arial"/>
                <w:bCs/>
                <w:color w:val="auto"/>
              </w:rPr>
            </w:pPr>
            <w:r w:rsidRPr="003C7E62">
              <w:rPr>
                <w:rFonts w:eastAsia="Arial" w:cs="Arial"/>
                <w:bCs/>
                <w:color w:val="auto"/>
              </w:rPr>
              <w:t>Improved community safety</w:t>
            </w:r>
            <w:r w:rsidR="00EC4D30">
              <w:rPr>
                <w:rFonts w:eastAsia="Arial" w:cs="Arial"/>
                <w:bCs/>
                <w:color w:val="auto"/>
              </w:rPr>
              <w:t>.</w:t>
            </w:r>
            <w:r w:rsidRPr="003C7E62">
              <w:rPr>
                <w:rFonts w:eastAsia="Arial" w:cs="Arial"/>
                <w:bCs/>
                <w:color w:val="auto"/>
              </w:rPr>
              <w:t xml:space="preserve"> </w:t>
            </w:r>
          </w:p>
          <w:p w14:paraId="7A79672B" w14:textId="77777777" w:rsidR="00C716F6" w:rsidRPr="003C7E62" w:rsidRDefault="00C716F6" w:rsidP="00FF3EAD">
            <w:pPr>
              <w:keepNext w:val="0"/>
              <w:tabs>
                <w:tab w:val="left" w:pos="851"/>
                <w:tab w:val="left" w:pos="1133"/>
                <w:tab w:val="left" w:pos="2267"/>
              </w:tabs>
              <w:spacing w:before="0"/>
              <w:ind w:right="284"/>
              <w:rPr>
                <w:rFonts w:eastAsia="Arial" w:cs="Arial"/>
                <w:bCs/>
                <w:color w:val="auto"/>
              </w:rPr>
            </w:pPr>
          </w:p>
          <w:p w14:paraId="1D0C8109" w14:textId="77777777" w:rsidR="008E6B40" w:rsidRPr="001012CC" w:rsidRDefault="008E6B40" w:rsidP="00FF3EAD">
            <w:pPr>
              <w:keepNext w:val="0"/>
              <w:numPr>
                <w:ilvl w:val="0"/>
                <w:numId w:val="29"/>
              </w:numPr>
              <w:tabs>
                <w:tab w:val="left" w:pos="680"/>
                <w:tab w:val="left" w:pos="851"/>
                <w:tab w:val="left" w:pos="1133"/>
                <w:tab w:val="left" w:pos="2267"/>
              </w:tabs>
              <w:spacing w:before="0"/>
              <w:ind w:right="284"/>
              <w:rPr>
                <w:rFonts w:eastAsia="Arial" w:cs="Arial"/>
                <w:bCs/>
                <w:color w:val="0070C0"/>
              </w:rPr>
            </w:pPr>
            <w:r w:rsidRPr="003C7E62">
              <w:rPr>
                <w:rFonts w:eastAsia="Arial" w:cs="Arial"/>
                <w:bCs/>
                <w:color w:val="auto"/>
              </w:rPr>
              <w:t>Supporting the provision of infrastructure to meet health and wellbeing needs.</w:t>
            </w:r>
          </w:p>
          <w:p w14:paraId="2BD756F5" w14:textId="730EBEE3" w:rsidR="001012CC" w:rsidRPr="003C7E62" w:rsidRDefault="001012CC" w:rsidP="001012CC">
            <w:pPr>
              <w:keepNext w:val="0"/>
              <w:tabs>
                <w:tab w:val="left" w:pos="680"/>
                <w:tab w:val="left" w:pos="851"/>
                <w:tab w:val="left" w:pos="1133"/>
                <w:tab w:val="left" w:pos="2267"/>
              </w:tabs>
              <w:spacing w:before="0"/>
              <w:ind w:right="284"/>
              <w:rPr>
                <w:rFonts w:eastAsia="Arial" w:cs="Arial"/>
                <w:bCs/>
                <w:color w:val="0070C0"/>
              </w:rPr>
            </w:pPr>
          </w:p>
        </w:tc>
      </w:tr>
      <w:bookmarkEnd w:id="115"/>
      <w:tr w:rsidR="00C474FF" w:rsidRPr="00C474FF" w14:paraId="73E9D7A5" w14:textId="77777777" w:rsidTr="005334C0">
        <w:tc>
          <w:tcPr>
            <w:tcW w:w="1555" w:type="dxa"/>
            <w:shd w:val="clear" w:color="auto" w:fill="FFFFFF" w:themeFill="background1"/>
          </w:tcPr>
          <w:p w14:paraId="68782221" w14:textId="77777777" w:rsidR="008E6B40" w:rsidRPr="00C474FF" w:rsidRDefault="008E6B40" w:rsidP="00386A0E">
            <w:pPr>
              <w:keepNext w:val="0"/>
              <w:tabs>
                <w:tab w:val="left" w:pos="680"/>
                <w:tab w:val="left" w:pos="1133"/>
                <w:tab w:val="left" w:pos="2267"/>
              </w:tabs>
              <w:spacing w:before="0"/>
              <w:ind w:right="284"/>
              <w:rPr>
                <w:rFonts w:eastAsia="Arial" w:cs="Arial"/>
                <w:bCs/>
                <w:szCs w:val="24"/>
              </w:rPr>
            </w:pPr>
            <w:r w:rsidRPr="00C474FF">
              <w:rPr>
                <w:rFonts w:eastAsia="Arial" w:cs="Arial"/>
                <w:bCs/>
                <w:sz w:val="20"/>
              </w:rPr>
              <w:lastRenderedPageBreak/>
              <w:t>Evidence base</w:t>
            </w:r>
          </w:p>
        </w:tc>
        <w:tc>
          <w:tcPr>
            <w:tcW w:w="8079" w:type="dxa"/>
            <w:gridSpan w:val="2"/>
            <w:shd w:val="clear" w:color="auto" w:fill="FFFFFF" w:themeFill="background1"/>
          </w:tcPr>
          <w:p w14:paraId="40D09BA2" w14:textId="7B453A74" w:rsidR="00C716F6" w:rsidRPr="00C474FF" w:rsidRDefault="00C716F6" w:rsidP="00FF3EAD">
            <w:pPr>
              <w:keepNext w:val="0"/>
              <w:numPr>
                <w:ilvl w:val="0"/>
                <w:numId w:val="31"/>
              </w:numPr>
              <w:spacing w:before="0" w:after="160" w:line="252" w:lineRule="auto"/>
              <w:contextualSpacing/>
              <w:rPr>
                <w:rFonts w:eastAsia="Calibri" w:cs="Arial"/>
                <w:bCs/>
                <w:sz w:val="20"/>
                <w:lang w:eastAsia="en-US"/>
              </w:rPr>
            </w:pPr>
            <w:r w:rsidRPr="00C474FF">
              <w:rPr>
                <w:rFonts w:eastAsia="Arial" w:cs="Arial"/>
                <w:bCs/>
                <w:sz w:val="20"/>
              </w:rPr>
              <w:t>Sustainability Appraisal</w:t>
            </w:r>
            <w:r w:rsidR="00E0659F" w:rsidRPr="00C474FF">
              <w:rPr>
                <w:rFonts w:eastAsia="Arial" w:cs="Arial"/>
                <w:bCs/>
                <w:sz w:val="20"/>
              </w:rPr>
              <w:t>, 202</w:t>
            </w:r>
            <w:r w:rsidR="00B80DEC" w:rsidRPr="00C474FF">
              <w:rPr>
                <w:rFonts w:eastAsia="Arial" w:cs="Arial"/>
                <w:bCs/>
                <w:sz w:val="20"/>
              </w:rPr>
              <w:t>3</w:t>
            </w:r>
            <w:r w:rsidR="00E0659F" w:rsidRPr="00C474FF">
              <w:rPr>
                <w:rFonts w:eastAsia="Arial" w:cs="Arial"/>
                <w:bCs/>
                <w:sz w:val="20"/>
              </w:rPr>
              <w:t>.</w:t>
            </w:r>
            <w:r w:rsidR="00B80DEC" w:rsidRPr="00C474FF">
              <w:t xml:space="preserve"> </w:t>
            </w:r>
            <w:r w:rsidR="00B80DEC" w:rsidRPr="00C474FF">
              <w:rPr>
                <w:rFonts w:eastAsia="Arial" w:cs="Arial"/>
                <w:bCs/>
                <w:sz w:val="20"/>
              </w:rPr>
              <w:t>WSP UK Limited</w:t>
            </w:r>
            <w:r w:rsidR="00E0659F" w:rsidRPr="00C474FF">
              <w:rPr>
                <w:rFonts w:eastAsia="Arial" w:cs="Arial"/>
                <w:bCs/>
                <w:sz w:val="20"/>
              </w:rPr>
              <w:t>.</w:t>
            </w:r>
          </w:p>
          <w:p w14:paraId="63C23F27" w14:textId="0342E3E4" w:rsidR="008E6B40" w:rsidRPr="00C474FF" w:rsidRDefault="008E6B40" w:rsidP="00FF3EAD">
            <w:pPr>
              <w:keepNext w:val="0"/>
              <w:numPr>
                <w:ilvl w:val="0"/>
                <w:numId w:val="31"/>
              </w:numPr>
              <w:spacing w:before="0" w:after="160" w:line="252" w:lineRule="auto"/>
              <w:contextualSpacing/>
              <w:rPr>
                <w:rFonts w:eastAsia="Calibri" w:cs="Arial"/>
                <w:bCs/>
                <w:sz w:val="20"/>
                <w:lang w:eastAsia="en-US"/>
              </w:rPr>
            </w:pPr>
            <w:r w:rsidRPr="00C474FF">
              <w:rPr>
                <w:rFonts w:eastAsia="Calibri" w:cs="Arial"/>
                <w:bCs/>
                <w:sz w:val="20"/>
                <w:lang w:eastAsia="en-US"/>
              </w:rPr>
              <w:t>Ashfield Local Authority Health Profile 2019 - Public Health England</w:t>
            </w:r>
            <w:r w:rsidR="00E0659F" w:rsidRPr="00C474FF">
              <w:rPr>
                <w:rFonts w:eastAsia="Calibri" w:cs="Arial"/>
                <w:bCs/>
                <w:sz w:val="20"/>
                <w:lang w:eastAsia="en-US"/>
              </w:rPr>
              <w:t>.</w:t>
            </w:r>
          </w:p>
          <w:p w14:paraId="382D5D9F" w14:textId="5D241072" w:rsidR="00ED500C" w:rsidRPr="00C474FF" w:rsidRDefault="00ED500C" w:rsidP="00FF3EAD">
            <w:pPr>
              <w:keepNext w:val="0"/>
              <w:numPr>
                <w:ilvl w:val="0"/>
                <w:numId w:val="31"/>
              </w:numPr>
              <w:spacing w:before="0" w:after="160" w:line="252" w:lineRule="auto"/>
              <w:contextualSpacing/>
              <w:rPr>
                <w:rFonts w:eastAsia="Calibri" w:cs="Arial"/>
                <w:bCs/>
                <w:sz w:val="20"/>
                <w:lang w:eastAsia="en-US"/>
              </w:rPr>
            </w:pPr>
            <w:bookmarkStart w:id="117" w:name="_Hlk79163247"/>
            <w:r w:rsidRPr="00C474FF">
              <w:rPr>
                <w:rFonts w:eastAsia="Calibri" w:cs="Arial"/>
                <w:bCs/>
                <w:sz w:val="20"/>
                <w:lang w:eastAsia="en-US"/>
              </w:rPr>
              <w:t>Ashfield Health and Wellbeing Partnership Strategy Be Healthy, Be Happy, 2021 – 2025 Ashfield Health and Wellbeing Partnership.</w:t>
            </w:r>
          </w:p>
          <w:p w14:paraId="2DFD9BFA" w14:textId="5B50F72F" w:rsidR="008E6B40" w:rsidRPr="00C474FF" w:rsidRDefault="008E6B40" w:rsidP="00FF3EAD">
            <w:pPr>
              <w:keepNext w:val="0"/>
              <w:numPr>
                <w:ilvl w:val="0"/>
                <w:numId w:val="31"/>
              </w:numPr>
              <w:spacing w:before="0" w:after="160" w:line="252" w:lineRule="auto"/>
              <w:contextualSpacing/>
              <w:rPr>
                <w:rFonts w:eastAsia="Calibri" w:cs="Arial"/>
                <w:bCs/>
                <w:sz w:val="20"/>
                <w:lang w:eastAsia="en-US"/>
              </w:rPr>
            </w:pPr>
            <w:bookmarkStart w:id="118" w:name="_Hlk75842560"/>
            <w:bookmarkEnd w:id="117"/>
            <w:r w:rsidRPr="00C474FF">
              <w:rPr>
                <w:rFonts w:eastAsia="Calibri" w:cs="Arial"/>
                <w:bCs/>
                <w:sz w:val="20"/>
                <w:lang w:eastAsia="en-US"/>
              </w:rPr>
              <w:t>Nottinghamshire Health and Wellbeing Board Joint Health and Wellbeing Strategy 20</w:t>
            </w:r>
            <w:r w:rsidR="00B80DEC" w:rsidRPr="00C474FF">
              <w:rPr>
                <w:rFonts w:eastAsia="Calibri" w:cs="Arial"/>
                <w:bCs/>
                <w:sz w:val="20"/>
                <w:lang w:eastAsia="en-US"/>
              </w:rPr>
              <w:t>22</w:t>
            </w:r>
            <w:r w:rsidRPr="00C474FF">
              <w:rPr>
                <w:rFonts w:eastAsia="Calibri" w:cs="Arial"/>
                <w:bCs/>
                <w:sz w:val="20"/>
                <w:lang w:eastAsia="en-US"/>
              </w:rPr>
              <w:t xml:space="preserve"> – 202</w:t>
            </w:r>
            <w:r w:rsidR="00B80DEC" w:rsidRPr="00C474FF">
              <w:rPr>
                <w:rFonts w:eastAsia="Calibri" w:cs="Arial"/>
                <w:bCs/>
                <w:sz w:val="20"/>
                <w:lang w:eastAsia="en-US"/>
              </w:rPr>
              <w:t>6</w:t>
            </w:r>
            <w:r w:rsidR="00E0659F" w:rsidRPr="00C474FF">
              <w:rPr>
                <w:rFonts w:eastAsia="Calibri" w:cs="Arial"/>
                <w:bCs/>
                <w:sz w:val="20"/>
                <w:lang w:eastAsia="en-US"/>
              </w:rPr>
              <w:t xml:space="preserve">.  </w:t>
            </w:r>
            <w:r w:rsidRPr="00C474FF">
              <w:rPr>
                <w:rFonts w:eastAsia="Calibri" w:cs="Arial"/>
                <w:bCs/>
                <w:sz w:val="20"/>
                <w:lang w:eastAsia="en-US"/>
              </w:rPr>
              <w:t>Nottinghamshire County Council/ Nottinghamshire Health &amp; Wellbeing Board</w:t>
            </w:r>
            <w:r w:rsidR="00E0659F" w:rsidRPr="00C474FF">
              <w:rPr>
                <w:rFonts w:eastAsia="Calibri" w:cs="Arial"/>
                <w:bCs/>
                <w:sz w:val="20"/>
                <w:lang w:eastAsia="en-US"/>
              </w:rPr>
              <w:t>.</w:t>
            </w:r>
            <w:r w:rsidRPr="00C474FF">
              <w:rPr>
                <w:rFonts w:eastAsia="Calibri" w:cs="Arial"/>
                <w:bCs/>
                <w:sz w:val="20"/>
                <w:lang w:eastAsia="en-US"/>
              </w:rPr>
              <w:t xml:space="preserve"> </w:t>
            </w:r>
          </w:p>
          <w:bookmarkEnd w:id="118"/>
          <w:p w14:paraId="231A9BBC" w14:textId="2056A0DD" w:rsidR="008E6B40" w:rsidRPr="00C474FF" w:rsidRDefault="008E6B40" w:rsidP="00FF3EAD">
            <w:pPr>
              <w:keepNext w:val="0"/>
              <w:numPr>
                <w:ilvl w:val="0"/>
                <w:numId w:val="31"/>
              </w:numPr>
              <w:spacing w:before="0" w:after="160" w:line="252" w:lineRule="auto"/>
              <w:contextualSpacing/>
              <w:rPr>
                <w:rFonts w:eastAsia="Arial" w:cs="Arial"/>
                <w:bCs/>
                <w:sz w:val="20"/>
              </w:rPr>
            </w:pPr>
            <w:r w:rsidRPr="00C474FF">
              <w:rPr>
                <w:rFonts w:eastAsia="Calibri" w:cs="Arial"/>
                <w:bCs/>
                <w:sz w:val="20"/>
                <w:lang w:eastAsia="en-US"/>
              </w:rPr>
              <w:t xml:space="preserve">Marmot Review 'Fair society healthy lives' </w:t>
            </w:r>
            <w:r w:rsidR="00E0659F" w:rsidRPr="00C474FF">
              <w:rPr>
                <w:rFonts w:eastAsia="Calibri" w:cs="Arial"/>
                <w:bCs/>
                <w:sz w:val="20"/>
                <w:lang w:eastAsia="en-US"/>
              </w:rPr>
              <w:t xml:space="preserve">2010.  </w:t>
            </w:r>
            <w:r w:rsidRPr="00C474FF">
              <w:rPr>
                <w:rFonts w:eastAsia="Calibri" w:cs="Arial"/>
                <w:bCs/>
                <w:sz w:val="20"/>
                <w:lang w:eastAsia="en-US"/>
              </w:rPr>
              <w:t>UCL/Marmot</w:t>
            </w:r>
            <w:r w:rsidR="00E0659F" w:rsidRPr="00C474FF">
              <w:rPr>
                <w:rFonts w:eastAsia="Calibri" w:cs="Arial"/>
                <w:bCs/>
                <w:sz w:val="20"/>
                <w:lang w:eastAsia="en-US"/>
              </w:rPr>
              <w:t>.</w:t>
            </w:r>
          </w:p>
          <w:p w14:paraId="1ECE3275" w14:textId="1188EA0A" w:rsidR="0000339F" w:rsidRPr="00C474FF" w:rsidRDefault="0000339F" w:rsidP="00FF3EAD">
            <w:pPr>
              <w:keepNext w:val="0"/>
              <w:numPr>
                <w:ilvl w:val="0"/>
                <w:numId w:val="31"/>
              </w:numPr>
              <w:spacing w:before="0" w:after="160" w:line="252" w:lineRule="auto"/>
              <w:contextualSpacing/>
              <w:rPr>
                <w:rFonts w:eastAsia="Arial" w:cs="Arial"/>
                <w:bCs/>
                <w:sz w:val="20"/>
              </w:rPr>
            </w:pPr>
            <w:r w:rsidRPr="00C474FF">
              <w:rPr>
                <w:rFonts w:eastAsia="Arial" w:cs="Arial"/>
                <w:bCs/>
                <w:sz w:val="20"/>
              </w:rPr>
              <w:t>Active Design 2015 Sport England.</w:t>
            </w:r>
          </w:p>
          <w:p w14:paraId="1590A3F4" w14:textId="5E9B1733" w:rsidR="0000339F" w:rsidRPr="00C474FF" w:rsidRDefault="0000339F" w:rsidP="00FF3EAD">
            <w:pPr>
              <w:keepNext w:val="0"/>
              <w:numPr>
                <w:ilvl w:val="0"/>
                <w:numId w:val="31"/>
              </w:numPr>
              <w:spacing w:before="0" w:after="160" w:line="252" w:lineRule="auto"/>
              <w:contextualSpacing/>
              <w:rPr>
                <w:rFonts w:eastAsia="Arial" w:cs="Arial"/>
                <w:bCs/>
                <w:sz w:val="20"/>
              </w:rPr>
            </w:pPr>
            <w:r w:rsidRPr="00C474FF">
              <w:rPr>
                <w:rFonts w:eastAsia="Arial" w:cs="Arial"/>
                <w:bCs/>
                <w:sz w:val="20"/>
              </w:rPr>
              <w:t>Handbook Designing for physical activity 2021, Sports England.</w:t>
            </w:r>
          </w:p>
          <w:p w14:paraId="7ED5EE58" w14:textId="79BDEA00" w:rsidR="00EF2146" w:rsidRPr="00C474FF" w:rsidRDefault="00EF2146" w:rsidP="00FF3EAD">
            <w:pPr>
              <w:keepNext w:val="0"/>
              <w:numPr>
                <w:ilvl w:val="0"/>
                <w:numId w:val="31"/>
              </w:numPr>
              <w:spacing w:before="0" w:after="160" w:line="252" w:lineRule="auto"/>
              <w:contextualSpacing/>
              <w:rPr>
                <w:rFonts w:eastAsia="Arial" w:cs="Arial"/>
                <w:bCs/>
                <w:sz w:val="20"/>
              </w:rPr>
            </w:pPr>
            <w:r w:rsidRPr="00C474FF">
              <w:rPr>
                <w:rFonts w:eastAsia="Arial" w:cs="Arial"/>
                <w:bCs/>
                <w:sz w:val="20"/>
              </w:rPr>
              <w:t>Wellbeing benefits from natural environments rich in wildlife, 2015. A literature review for The Wildlife Trusts: By the University of Essex.</w:t>
            </w:r>
          </w:p>
          <w:p w14:paraId="6F037D46" w14:textId="6EBE4CAE" w:rsidR="00B84C2F" w:rsidRPr="00C474FF" w:rsidRDefault="00B84C2F" w:rsidP="00FF3EAD">
            <w:pPr>
              <w:keepNext w:val="0"/>
              <w:numPr>
                <w:ilvl w:val="0"/>
                <w:numId w:val="31"/>
              </w:numPr>
              <w:spacing w:before="0" w:after="160" w:line="252" w:lineRule="auto"/>
              <w:contextualSpacing/>
              <w:rPr>
                <w:rFonts w:eastAsia="Arial" w:cs="Arial"/>
                <w:bCs/>
                <w:sz w:val="20"/>
              </w:rPr>
            </w:pPr>
            <w:r w:rsidRPr="00C474FF">
              <w:rPr>
                <w:rFonts w:eastAsia="Arial" w:cs="Arial"/>
                <w:bCs/>
                <w:sz w:val="20"/>
              </w:rPr>
              <w:t>Build Back Fairness in Greater Manchester: Health Equality and Dignified Lives, June 2021.  Institute of Health Equity</w:t>
            </w:r>
            <w:r w:rsidR="00E0659F" w:rsidRPr="00C474FF">
              <w:rPr>
                <w:rFonts w:eastAsia="Arial" w:cs="Arial"/>
                <w:bCs/>
                <w:sz w:val="20"/>
              </w:rPr>
              <w:t>.</w:t>
            </w:r>
          </w:p>
        </w:tc>
      </w:tr>
      <w:tr w:rsidR="00C474FF" w:rsidRPr="00C474FF" w14:paraId="197D3691" w14:textId="77777777" w:rsidTr="005334C0">
        <w:tc>
          <w:tcPr>
            <w:tcW w:w="1555" w:type="dxa"/>
            <w:shd w:val="clear" w:color="auto" w:fill="FFFFFF" w:themeFill="background1"/>
          </w:tcPr>
          <w:p w14:paraId="6D02C076" w14:textId="72B4EE43" w:rsidR="008E6B40" w:rsidRPr="00C474FF" w:rsidRDefault="008E6B40" w:rsidP="00386A0E">
            <w:pPr>
              <w:keepNext w:val="0"/>
              <w:tabs>
                <w:tab w:val="left" w:pos="680"/>
                <w:tab w:val="left" w:pos="1133"/>
                <w:tab w:val="left" w:pos="2267"/>
              </w:tabs>
              <w:spacing w:before="0"/>
              <w:ind w:right="284"/>
              <w:contextualSpacing/>
              <w:rPr>
                <w:rFonts w:eastAsia="Arial" w:cs="Arial"/>
                <w:bCs/>
                <w:szCs w:val="24"/>
              </w:rPr>
            </w:pPr>
            <w:r w:rsidRPr="00C474FF">
              <w:rPr>
                <w:rFonts w:eastAsia="Arial" w:cs="Arial"/>
                <w:bCs/>
                <w:sz w:val="20"/>
              </w:rPr>
              <w:t>National Planning Policy</w:t>
            </w:r>
            <w:r w:rsidR="00B8736C" w:rsidRPr="00C474FF">
              <w:rPr>
                <w:rFonts w:eastAsia="Arial" w:cs="Arial"/>
                <w:bCs/>
                <w:sz w:val="20"/>
              </w:rPr>
              <w:t xml:space="preserve"> and</w:t>
            </w:r>
            <w:r w:rsidRPr="00C474FF">
              <w:rPr>
                <w:rFonts w:eastAsia="Arial" w:cs="Arial"/>
                <w:bCs/>
                <w:sz w:val="20"/>
              </w:rPr>
              <w:t xml:space="preserve"> Guidance</w:t>
            </w:r>
          </w:p>
        </w:tc>
        <w:tc>
          <w:tcPr>
            <w:tcW w:w="8079" w:type="dxa"/>
            <w:gridSpan w:val="2"/>
            <w:shd w:val="clear" w:color="auto" w:fill="FFFFFF" w:themeFill="background1"/>
          </w:tcPr>
          <w:p w14:paraId="601DEE0C" w14:textId="2B612A87" w:rsidR="008E6B40" w:rsidRPr="00C474FF" w:rsidRDefault="00C716F6" w:rsidP="00FF3EAD">
            <w:pPr>
              <w:keepNext w:val="0"/>
              <w:numPr>
                <w:ilvl w:val="0"/>
                <w:numId w:val="13"/>
              </w:numPr>
              <w:spacing w:before="0" w:after="160" w:line="252" w:lineRule="auto"/>
              <w:contextualSpacing/>
              <w:rPr>
                <w:rFonts w:cs="Arial"/>
                <w:bCs/>
                <w:sz w:val="20"/>
                <w:lang w:eastAsia="en-US"/>
              </w:rPr>
            </w:pPr>
            <w:r w:rsidRPr="00C474FF">
              <w:rPr>
                <w:rFonts w:eastAsia="Arial" w:cs="Arial"/>
                <w:bCs/>
                <w:sz w:val="20"/>
              </w:rPr>
              <w:t xml:space="preserve">NPPF </w:t>
            </w:r>
            <w:r w:rsidR="00E0659F" w:rsidRPr="00C474FF">
              <w:rPr>
                <w:rFonts w:eastAsia="Arial" w:cs="Arial"/>
                <w:bCs/>
                <w:sz w:val="20"/>
              </w:rPr>
              <w:t>20</w:t>
            </w:r>
            <w:r w:rsidR="00AE71BE" w:rsidRPr="00C474FF">
              <w:rPr>
                <w:rFonts w:eastAsia="Arial" w:cs="Arial"/>
                <w:bCs/>
                <w:sz w:val="20"/>
              </w:rPr>
              <w:t>2</w:t>
            </w:r>
            <w:r w:rsidR="00616B41" w:rsidRPr="00C474FF">
              <w:rPr>
                <w:rFonts w:eastAsia="Arial" w:cs="Arial"/>
                <w:bCs/>
                <w:sz w:val="20"/>
              </w:rPr>
              <w:t>3</w:t>
            </w:r>
            <w:r w:rsidR="00E0659F" w:rsidRPr="00C474FF">
              <w:rPr>
                <w:rFonts w:eastAsia="Arial" w:cs="Arial"/>
                <w:bCs/>
                <w:sz w:val="20"/>
              </w:rPr>
              <w:t xml:space="preserve">, </w:t>
            </w:r>
            <w:r w:rsidR="008E6B40" w:rsidRPr="00C474FF">
              <w:rPr>
                <w:rFonts w:eastAsia="Arial" w:cs="Arial"/>
                <w:bCs/>
                <w:sz w:val="20"/>
              </w:rPr>
              <w:t>Part 2</w:t>
            </w:r>
            <w:r w:rsidR="00E0659F" w:rsidRPr="00C474FF">
              <w:rPr>
                <w:rFonts w:eastAsia="Arial" w:cs="Arial"/>
                <w:bCs/>
                <w:sz w:val="20"/>
              </w:rPr>
              <w:t>:</w:t>
            </w:r>
            <w:r w:rsidR="008E6B40" w:rsidRPr="00C474FF">
              <w:rPr>
                <w:rFonts w:eastAsia="Arial" w:cs="Arial"/>
                <w:bCs/>
                <w:sz w:val="20"/>
              </w:rPr>
              <w:t xml:space="preserve"> Achieving sustainable development</w:t>
            </w:r>
            <w:r w:rsidR="00E0659F" w:rsidRPr="00C474FF">
              <w:rPr>
                <w:rFonts w:eastAsia="Arial" w:cs="Arial"/>
                <w:bCs/>
                <w:sz w:val="20"/>
              </w:rPr>
              <w:t>.</w:t>
            </w:r>
          </w:p>
          <w:p w14:paraId="77421F1E" w14:textId="7E4C26BB" w:rsidR="008E6B40" w:rsidRPr="00C474FF" w:rsidRDefault="00C716F6" w:rsidP="00FF3EAD">
            <w:pPr>
              <w:keepNext w:val="0"/>
              <w:numPr>
                <w:ilvl w:val="0"/>
                <w:numId w:val="13"/>
              </w:numPr>
              <w:spacing w:before="0" w:after="160" w:line="252" w:lineRule="auto"/>
              <w:contextualSpacing/>
              <w:rPr>
                <w:rFonts w:cs="Arial"/>
                <w:bCs/>
                <w:sz w:val="20"/>
                <w:lang w:eastAsia="en-US"/>
              </w:rPr>
            </w:pPr>
            <w:r w:rsidRPr="00C474FF">
              <w:rPr>
                <w:rFonts w:cs="Arial"/>
                <w:bCs/>
                <w:sz w:val="20"/>
                <w:lang w:eastAsia="en-US"/>
              </w:rPr>
              <w:t>NPPF</w:t>
            </w:r>
            <w:r w:rsidR="00E0659F" w:rsidRPr="00C474FF">
              <w:rPr>
                <w:rFonts w:cs="Arial"/>
                <w:bCs/>
                <w:sz w:val="20"/>
                <w:lang w:eastAsia="en-US"/>
              </w:rPr>
              <w:t xml:space="preserve"> 20</w:t>
            </w:r>
            <w:r w:rsidR="00AE71BE" w:rsidRPr="00C474FF">
              <w:rPr>
                <w:rFonts w:cs="Arial"/>
                <w:bCs/>
                <w:sz w:val="20"/>
                <w:lang w:eastAsia="en-US"/>
              </w:rPr>
              <w:t>2</w:t>
            </w:r>
            <w:r w:rsidR="00616B41" w:rsidRPr="00C474FF">
              <w:rPr>
                <w:rFonts w:cs="Arial"/>
                <w:bCs/>
                <w:sz w:val="20"/>
                <w:lang w:eastAsia="en-US"/>
              </w:rPr>
              <w:t>3</w:t>
            </w:r>
            <w:r w:rsidR="00E0659F" w:rsidRPr="00C474FF">
              <w:rPr>
                <w:rFonts w:cs="Arial"/>
                <w:bCs/>
                <w:sz w:val="20"/>
                <w:lang w:eastAsia="en-US"/>
              </w:rPr>
              <w:t xml:space="preserve">, </w:t>
            </w:r>
            <w:r w:rsidR="008E6B40" w:rsidRPr="00C474FF">
              <w:rPr>
                <w:rFonts w:cs="Arial"/>
                <w:bCs/>
                <w:sz w:val="20"/>
                <w:lang w:eastAsia="en-US"/>
              </w:rPr>
              <w:t>Part 8</w:t>
            </w:r>
            <w:r w:rsidR="00E0659F" w:rsidRPr="00C474FF">
              <w:rPr>
                <w:rFonts w:cs="Arial"/>
                <w:bCs/>
                <w:sz w:val="20"/>
                <w:lang w:eastAsia="en-US"/>
              </w:rPr>
              <w:t>:</w:t>
            </w:r>
            <w:r w:rsidR="008E6B40" w:rsidRPr="00C474FF">
              <w:rPr>
                <w:rFonts w:cs="Arial"/>
                <w:bCs/>
                <w:sz w:val="20"/>
                <w:lang w:eastAsia="en-US"/>
              </w:rPr>
              <w:t xml:space="preserve"> Promoting healthy and safe communities</w:t>
            </w:r>
            <w:r w:rsidR="00E0659F" w:rsidRPr="00C474FF">
              <w:rPr>
                <w:rFonts w:cs="Arial"/>
                <w:bCs/>
                <w:sz w:val="20"/>
                <w:lang w:eastAsia="en-US"/>
              </w:rPr>
              <w:t>.</w:t>
            </w:r>
          </w:p>
          <w:p w14:paraId="3EB0BD28" w14:textId="4A1A06E1" w:rsidR="008E6B40" w:rsidRPr="00C474FF" w:rsidRDefault="00C716F6" w:rsidP="00FF3EAD">
            <w:pPr>
              <w:keepNext w:val="0"/>
              <w:numPr>
                <w:ilvl w:val="0"/>
                <w:numId w:val="13"/>
              </w:numPr>
              <w:spacing w:before="0" w:after="160" w:line="252" w:lineRule="auto"/>
              <w:contextualSpacing/>
              <w:rPr>
                <w:rFonts w:cs="Arial"/>
                <w:bCs/>
                <w:sz w:val="20"/>
                <w:lang w:eastAsia="en-US"/>
              </w:rPr>
            </w:pPr>
            <w:r w:rsidRPr="00C474FF">
              <w:rPr>
                <w:rFonts w:cs="Arial"/>
                <w:bCs/>
                <w:sz w:val="20"/>
                <w:lang w:eastAsia="en-US"/>
              </w:rPr>
              <w:t xml:space="preserve">NPPF </w:t>
            </w:r>
            <w:r w:rsidR="00E0659F" w:rsidRPr="00C474FF">
              <w:rPr>
                <w:rFonts w:cs="Arial"/>
                <w:bCs/>
                <w:sz w:val="20"/>
                <w:lang w:eastAsia="en-US"/>
              </w:rPr>
              <w:t>20</w:t>
            </w:r>
            <w:r w:rsidR="00AE71BE" w:rsidRPr="00C474FF">
              <w:rPr>
                <w:rFonts w:cs="Arial"/>
                <w:bCs/>
                <w:sz w:val="20"/>
                <w:lang w:eastAsia="en-US"/>
              </w:rPr>
              <w:t>2</w:t>
            </w:r>
            <w:r w:rsidR="00616B41" w:rsidRPr="00C474FF">
              <w:rPr>
                <w:rFonts w:cs="Arial"/>
                <w:bCs/>
                <w:sz w:val="20"/>
                <w:lang w:eastAsia="en-US"/>
              </w:rPr>
              <w:t>3</w:t>
            </w:r>
            <w:r w:rsidR="00AE71BE" w:rsidRPr="00C474FF">
              <w:rPr>
                <w:rFonts w:cs="Arial"/>
                <w:bCs/>
                <w:sz w:val="20"/>
                <w:lang w:eastAsia="en-US"/>
              </w:rPr>
              <w:t>,</w:t>
            </w:r>
            <w:r w:rsidR="00E0659F" w:rsidRPr="00C474FF">
              <w:rPr>
                <w:rFonts w:cs="Arial"/>
                <w:bCs/>
                <w:sz w:val="20"/>
                <w:lang w:eastAsia="en-US"/>
              </w:rPr>
              <w:t xml:space="preserve"> </w:t>
            </w:r>
            <w:r w:rsidR="008E6B40" w:rsidRPr="00C474FF">
              <w:rPr>
                <w:rFonts w:cs="Arial"/>
                <w:bCs/>
                <w:sz w:val="20"/>
                <w:lang w:eastAsia="en-US"/>
              </w:rPr>
              <w:t>Part 12</w:t>
            </w:r>
            <w:r w:rsidR="00E0659F" w:rsidRPr="00C474FF">
              <w:rPr>
                <w:rFonts w:cs="Arial"/>
                <w:bCs/>
                <w:sz w:val="20"/>
                <w:lang w:eastAsia="en-US"/>
              </w:rPr>
              <w:t>:</w:t>
            </w:r>
            <w:r w:rsidR="008E6B40" w:rsidRPr="00C474FF">
              <w:rPr>
                <w:rFonts w:cs="Arial"/>
                <w:bCs/>
                <w:sz w:val="20"/>
                <w:lang w:eastAsia="en-US"/>
              </w:rPr>
              <w:t xml:space="preserve"> Achieving well designed places</w:t>
            </w:r>
            <w:r w:rsidR="00E0659F" w:rsidRPr="00C474FF">
              <w:rPr>
                <w:rFonts w:cs="Arial"/>
                <w:bCs/>
                <w:sz w:val="20"/>
                <w:lang w:eastAsia="en-US"/>
              </w:rPr>
              <w:t>.</w:t>
            </w:r>
          </w:p>
          <w:p w14:paraId="732BB85F" w14:textId="799FD8A0" w:rsidR="008E6B40" w:rsidRPr="00C474FF" w:rsidRDefault="008E6B40" w:rsidP="00FF3EAD">
            <w:pPr>
              <w:keepNext w:val="0"/>
              <w:numPr>
                <w:ilvl w:val="0"/>
                <w:numId w:val="13"/>
              </w:numPr>
              <w:spacing w:before="0" w:after="160" w:line="252" w:lineRule="auto"/>
              <w:contextualSpacing/>
              <w:rPr>
                <w:rFonts w:cs="Arial"/>
                <w:bCs/>
                <w:sz w:val="20"/>
                <w:lang w:eastAsia="en-US"/>
              </w:rPr>
            </w:pPr>
            <w:bookmarkStart w:id="119" w:name="_Hlk139635283"/>
            <w:r w:rsidRPr="00C474FF">
              <w:rPr>
                <w:rFonts w:eastAsia="Calibri" w:cs="Arial"/>
                <w:bCs/>
                <w:sz w:val="20"/>
                <w:lang w:eastAsia="en-US"/>
              </w:rPr>
              <w:t>Planning Practice Guidance</w:t>
            </w:r>
            <w:r w:rsidR="00E0659F" w:rsidRPr="00C474FF">
              <w:rPr>
                <w:rFonts w:eastAsia="Calibri" w:cs="Arial"/>
                <w:bCs/>
                <w:sz w:val="20"/>
                <w:lang w:eastAsia="en-US"/>
              </w:rPr>
              <w:t>:</w:t>
            </w:r>
            <w:r w:rsidRPr="00C474FF">
              <w:rPr>
                <w:rFonts w:eastAsia="Calibri" w:cs="Arial"/>
                <w:bCs/>
                <w:sz w:val="20"/>
                <w:lang w:eastAsia="en-US"/>
              </w:rPr>
              <w:t xml:space="preserve"> Healthy and safe communities</w:t>
            </w:r>
            <w:r w:rsidR="00E0659F" w:rsidRPr="00C474FF">
              <w:rPr>
                <w:rFonts w:eastAsia="Calibri" w:cs="Arial"/>
                <w:bCs/>
                <w:sz w:val="20"/>
                <w:lang w:eastAsia="en-US"/>
              </w:rPr>
              <w:t xml:space="preserve"> as </w:t>
            </w:r>
            <w:r w:rsidR="009D1815" w:rsidRPr="00C474FF">
              <w:rPr>
                <w:rFonts w:eastAsia="Calibri" w:cs="Arial"/>
                <w:bCs/>
                <w:sz w:val="20"/>
                <w:lang w:eastAsia="en-US"/>
              </w:rPr>
              <w:t>of</w:t>
            </w:r>
            <w:r w:rsidR="00E0659F" w:rsidRPr="00C474FF">
              <w:rPr>
                <w:rFonts w:eastAsia="Calibri" w:cs="Arial"/>
                <w:bCs/>
                <w:sz w:val="20"/>
                <w:lang w:eastAsia="en-US"/>
              </w:rPr>
              <w:t xml:space="preserve"> August 202</w:t>
            </w:r>
            <w:r w:rsidR="00B80DEC" w:rsidRPr="00C474FF">
              <w:rPr>
                <w:rFonts w:eastAsia="Calibri" w:cs="Arial"/>
                <w:bCs/>
                <w:sz w:val="20"/>
                <w:lang w:eastAsia="en-US"/>
              </w:rPr>
              <w:t>2.</w:t>
            </w:r>
          </w:p>
          <w:p w14:paraId="7AD005D8" w14:textId="495C4D02" w:rsidR="008E6B40" w:rsidRPr="00C474FF" w:rsidRDefault="008E6B40" w:rsidP="00FF3EAD">
            <w:pPr>
              <w:keepNext w:val="0"/>
              <w:numPr>
                <w:ilvl w:val="0"/>
                <w:numId w:val="13"/>
              </w:numPr>
              <w:spacing w:before="0" w:after="160" w:line="252" w:lineRule="auto"/>
              <w:contextualSpacing/>
              <w:rPr>
                <w:rFonts w:cs="Arial"/>
                <w:bCs/>
                <w:sz w:val="20"/>
                <w:lang w:eastAsia="en-US"/>
              </w:rPr>
            </w:pPr>
            <w:r w:rsidRPr="00C474FF">
              <w:rPr>
                <w:rFonts w:cs="Arial"/>
                <w:bCs/>
                <w:sz w:val="20"/>
                <w:lang w:eastAsia="en-US"/>
              </w:rPr>
              <w:t>Planning Practice Guidance</w:t>
            </w:r>
            <w:r w:rsidR="00E0659F" w:rsidRPr="00C474FF">
              <w:rPr>
                <w:rFonts w:cs="Arial"/>
                <w:bCs/>
                <w:sz w:val="20"/>
                <w:lang w:eastAsia="en-US"/>
              </w:rPr>
              <w:t>:</w:t>
            </w:r>
            <w:r w:rsidRPr="00C474FF">
              <w:rPr>
                <w:rFonts w:cs="Arial"/>
                <w:bCs/>
                <w:sz w:val="20"/>
                <w:lang w:eastAsia="en-US"/>
              </w:rPr>
              <w:t xml:space="preserve"> Open space, sports and recreation facilities, public rights of way and local green space</w:t>
            </w:r>
            <w:r w:rsidR="00E0659F" w:rsidRPr="00C474FF">
              <w:rPr>
                <w:rFonts w:cs="Arial"/>
                <w:bCs/>
                <w:sz w:val="20"/>
                <w:lang w:eastAsia="en-US"/>
              </w:rPr>
              <w:t xml:space="preserve"> as </w:t>
            </w:r>
            <w:proofErr w:type="gramStart"/>
            <w:r w:rsidR="00E0659F" w:rsidRPr="00C474FF">
              <w:rPr>
                <w:rFonts w:cs="Arial"/>
                <w:bCs/>
                <w:sz w:val="20"/>
                <w:lang w:eastAsia="en-US"/>
              </w:rPr>
              <w:t>at</w:t>
            </w:r>
            <w:proofErr w:type="gramEnd"/>
            <w:r w:rsidR="00E0659F" w:rsidRPr="00C474FF">
              <w:rPr>
                <w:rFonts w:cs="Arial"/>
                <w:bCs/>
                <w:sz w:val="20"/>
                <w:lang w:eastAsia="en-US"/>
              </w:rPr>
              <w:t xml:space="preserve"> </w:t>
            </w:r>
            <w:r w:rsidR="00B80DEC" w:rsidRPr="00C474FF">
              <w:rPr>
                <w:rFonts w:cs="Arial"/>
                <w:bCs/>
                <w:sz w:val="20"/>
                <w:lang w:eastAsia="en-US"/>
              </w:rPr>
              <w:t>March 2014.</w:t>
            </w:r>
            <w:bookmarkEnd w:id="119"/>
          </w:p>
        </w:tc>
      </w:tr>
    </w:tbl>
    <w:p w14:paraId="73A31F55" w14:textId="77777777" w:rsidR="008E6B40" w:rsidRPr="00C474FF" w:rsidRDefault="008E6B40" w:rsidP="006E2655">
      <w:pPr>
        <w:keepNext w:val="0"/>
        <w:tabs>
          <w:tab w:val="left" w:pos="680"/>
          <w:tab w:val="left" w:pos="1133"/>
          <w:tab w:val="left" w:pos="2267"/>
        </w:tabs>
        <w:spacing w:before="0"/>
        <w:ind w:left="283" w:right="284"/>
        <w:rPr>
          <w:rFonts w:eastAsia="Arial" w:cs="Arial"/>
          <w:b/>
          <w:szCs w:val="24"/>
        </w:rPr>
      </w:pPr>
    </w:p>
    <w:p w14:paraId="2838BA7A" w14:textId="5DEAE1D4" w:rsidR="006A10D4" w:rsidRPr="003C7E62" w:rsidRDefault="008E6B40" w:rsidP="00874A98">
      <w:pPr>
        <w:keepNext w:val="0"/>
        <w:numPr>
          <w:ilvl w:val="1"/>
          <w:numId w:val="103"/>
        </w:numPr>
        <w:spacing w:before="0"/>
        <w:ind w:left="851" w:hanging="851"/>
        <w:rPr>
          <w:rFonts w:cs="Arial"/>
          <w:color w:val="auto"/>
          <w:szCs w:val="24"/>
          <w:lang w:eastAsia="en-US"/>
        </w:rPr>
      </w:pPr>
      <w:bookmarkStart w:id="120" w:name="_Hlk75361377"/>
      <w:r w:rsidRPr="003C7E62">
        <w:rPr>
          <w:rFonts w:eastAsia="Calibri" w:cs="Arial"/>
          <w:color w:val="auto"/>
          <w:szCs w:val="22"/>
          <w:lang w:eastAsia="en-US"/>
        </w:rPr>
        <w:t xml:space="preserve">Health and wellbeing issues are complex and are cross cutting throughout the Local Plan and Planning is just one of many influencing factors on health and wellbeing.  The </w:t>
      </w:r>
      <w:r w:rsidR="00215F98">
        <w:rPr>
          <w:rFonts w:eastAsia="Calibri" w:cs="Arial"/>
          <w:color w:val="auto"/>
          <w:szCs w:val="22"/>
          <w:lang w:eastAsia="en-US"/>
        </w:rPr>
        <w:t>P</w:t>
      </w:r>
      <w:r w:rsidRPr="003C7E62">
        <w:rPr>
          <w:rFonts w:eastAsia="Calibri" w:cs="Arial"/>
          <w:color w:val="auto"/>
          <w:szCs w:val="22"/>
          <w:lang w:eastAsia="en-US"/>
        </w:rPr>
        <w:t xml:space="preserve">olicy looks to reduce health inequalities, which can be defined as differences in health status or in the distribution of health determinants between different population groups. For example, differences in mobility between elderly people and younger populations or differences in mortality rates between people from different social classes. </w:t>
      </w:r>
      <w:bookmarkEnd w:id="120"/>
      <w:r w:rsidR="00544C2E" w:rsidRPr="003C7E62">
        <w:rPr>
          <w:rFonts w:eastAsia="Calibri" w:cs="Arial"/>
          <w:color w:val="auto"/>
          <w:szCs w:val="22"/>
          <w:lang w:eastAsia="en-US"/>
        </w:rPr>
        <w:t>Health inequality relate</w:t>
      </w:r>
      <w:r w:rsidR="006A10D4" w:rsidRPr="003C7E62">
        <w:rPr>
          <w:rFonts w:eastAsia="Calibri" w:cs="Arial"/>
          <w:color w:val="auto"/>
          <w:szCs w:val="22"/>
          <w:lang w:eastAsia="en-US"/>
        </w:rPr>
        <w:t>s</w:t>
      </w:r>
      <w:r w:rsidR="00544C2E" w:rsidRPr="003C7E62">
        <w:rPr>
          <w:rFonts w:eastAsia="Calibri" w:cs="Arial"/>
          <w:color w:val="auto"/>
          <w:szCs w:val="22"/>
          <w:lang w:eastAsia="en-US"/>
        </w:rPr>
        <w:t xml:space="preserve"> to </w:t>
      </w:r>
      <w:proofErr w:type="gramStart"/>
      <w:r w:rsidR="00544C2E" w:rsidRPr="003C7E62">
        <w:rPr>
          <w:rFonts w:eastAsia="Calibri" w:cs="Arial"/>
          <w:color w:val="auto"/>
          <w:szCs w:val="22"/>
          <w:lang w:eastAsia="en-US"/>
        </w:rPr>
        <w:t>a number of</w:t>
      </w:r>
      <w:proofErr w:type="gramEnd"/>
      <w:r w:rsidR="00544C2E" w:rsidRPr="003C7E62">
        <w:rPr>
          <w:rFonts w:eastAsia="Calibri" w:cs="Arial"/>
          <w:color w:val="auto"/>
          <w:szCs w:val="22"/>
          <w:lang w:eastAsia="en-US"/>
        </w:rPr>
        <w:t xml:space="preserve"> factors such as poor housing, poor education and/or unemployment.  </w:t>
      </w:r>
      <w:bookmarkStart w:id="121" w:name="_Hlk75967089"/>
      <w:r w:rsidR="00544C2E" w:rsidRPr="003C7E62">
        <w:rPr>
          <w:rFonts w:eastAsia="Calibri" w:cs="Arial"/>
          <w:color w:val="auto"/>
          <w:szCs w:val="22"/>
          <w:lang w:eastAsia="en-US"/>
        </w:rPr>
        <w:t xml:space="preserve">The Build back Fairer in Greater Manchester Health Equality and Dignified Lives Report 2021 </w:t>
      </w:r>
      <w:proofErr w:type="gramStart"/>
      <w:r w:rsidR="00544C2E" w:rsidRPr="003C7E62">
        <w:rPr>
          <w:rFonts w:eastAsia="Calibri" w:cs="Arial"/>
          <w:color w:val="auto"/>
          <w:szCs w:val="22"/>
          <w:lang w:eastAsia="en-US"/>
        </w:rPr>
        <w:t>sets</w:t>
      </w:r>
      <w:proofErr w:type="gramEnd"/>
      <w:r w:rsidR="00544C2E" w:rsidRPr="003C7E62">
        <w:rPr>
          <w:rFonts w:eastAsia="Calibri" w:cs="Arial"/>
          <w:color w:val="auto"/>
          <w:szCs w:val="22"/>
          <w:lang w:eastAsia="en-US"/>
        </w:rPr>
        <w:t xml:space="preserve"> out </w:t>
      </w:r>
      <w:proofErr w:type="gramStart"/>
      <w:r w:rsidR="00544C2E" w:rsidRPr="003C7E62">
        <w:rPr>
          <w:rFonts w:eastAsia="Calibri" w:cs="Arial"/>
          <w:color w:val="auto"/>
          <w:szCs w:val="22"/>
          <w:lang w:eastAsia="en-US"/>
        </w:rPr>
        <w:t>a number of</w:t>
      </w:r>
      <w:proofErr w:type="gramEnd"/>
      <w:r w:rsidR="00544C2E" w:rsidRPr="003C7E62">
        <w:rPr>
          <w:rFonts w:eastAsia="Calibri" w:cs="Arial"/>
          <w:color w:val="auto"/>
          <w:szCs w:val="22"/>
          <w:lang w:eastAsia="en-US"/>
        </w:rPr>
        <w:t xml:space="preserve"> measures to tackle health inequalities which would be equally applicable to other areas.  This includes that a strong economy can mean high average incomes and good living standards, conditions which contribute to people’s health and wellbeing.  </w:t>
      </w:r>
      <w:bookmarkEnd w:id="121"/>
    </w:p>
    <w:p w14:paraId="7905DB41" w14:textId="5C55641F" w:rsidR="008E6B40" w:rsidRPr="005D0346" w:rsidRDefault="005334C0" w:rsidP="00874A98">
      <w:pPr>
        <w:keepNext w:val="0"/>
        <w:numPr>
          <w:ilvl w:val="1"/>
          <w:numId w:val="103"/>
        </w:numPr>
        <w:spacing w:before="0"/>
        <w:ind w:left="851" w:hanging="851"/>
        <w:rPr>
          <w:rFonts w:cs="Arial"/>
          <w:color w:val="auto"/>
          <w:szCs w:val="24"/>
          <w:lang w:eastAsia="en-US"/>
        </w:rPr>
      </w:pPr>
      <w:r>
        <w:rPr>
          <w:rFonts w:eastAsia="Arial" w:cs="Arial"/>
          <w:color w:val="auto"/>
        </w:rPr>
        <w:lastRenderedPageBreak/>
        <w:t>N</w:t>
      </w:r>
      <w:r w:rsidR="008E6B40" w:rsidRPr="003C7E62">
        <w:rPr>
          <w:rFonts w:eastAsia="Arial" w:cs="Arial"/>
          <w:color w:val="auto"/>
        </w:rPr>
        <w:t>ational Planning Practice Guidance</w:t>
      </w:r>
      <w:r w:rsidR="008E6B40" w:rsidRPr="003C7E62">
        <w:rPr>
          <w:rFonts w:eastAsia="Arial" w:cs="Arial"/>
          <w:color w:val="auto"/>
          <w:vertAlign w:val="superscript"/>
        </w:rPr>
        <w:footnoteReference w:id="72"/>
      </w:r>
      <w:r w:rsidR="008E6B40" w:rsidRPr="003C7E62">
        <w:rPr>
          <w:rFonts w:eastAsia="Arial" w:cs="Arial"/>
          <w:color w:val="auto"/>
        </w:rPr>
        <w:t xml:space="preserve"> highlights the importance of planning in relation to health and wellbeing and working with Health and Wellbeing Boards, </w:t>
      </w:r>
      <w:r w:rsidR="00EC4D30" w:rsidRPr="00C474FF">
        <w:rPr>
          <w:rFonts w:eastAsia="Arial" w:cs="Arial"/>
        </w:rPr>
        <w:t>The Integrated Care Board</w:t>
      </w:r>
      <w:r w:rsidR="008E6B40" w:rsidRPr="00C474FF">
        <w:rPr>
          <w:rFonts w:eastAsia="Arial" w:cs="Arial"/>
          <w:vertAlign w:val="superscript"/>
        </w:rPr>
        <w:footnoteReference w:id="73"/>
      </w:r>
      <w:r w:rsidR="008E6B40" w:rsidRPr="00C474FF">
        <w:rPr>
          <w:rFonts w:eastAsia="Arial" w:cs="Arial"/>
        </w:rPr>
        <w:t xml:space="preserve"> </w:t>
      </w:r>
      <w:r w:rsidR="008E6B40" w:rsidRPr="003C7E62">
        <w:rPr>
          <w:rFonts w:eastAsia="Arial" w:cs="Arial"/>
          <w:color w:val="auto"/>
        </w:rPr>
        <w:t>and other bodies within the NHS.  Nottinghamshire Health and Wellbeing Strategy</w:t>
      </w:r>
      <w:r w:rsidR="008E6B40" w:rsidRPr="003C7E62">
        <w:rPr>
          <w:rFonts w:eastAsia="Arial" w:cs="Arial"/>
          <w:color w:val="auto"/>
          <w:vertAlign w:val="superscript"/>
        </w:rPr>
        <w:footnoteReference w:id="74"/>
      </w:r>
      <w:r w:rsidR="008E6B40" w:rsidRPr="003C7E62">
        <w:rPr>
          <w:rFonts w:eastAsia="Arial" w:cs="Arial"/>
          <w:color w:val="auto"/>
        </w:rPr>
        <w:t xml:space="preserve"> and its delivery plans sets out actions to tackle </w:t>
      </w:r>
      <w:proofErr w:type="gramStart"/>
      <w:r w:rsidR="008E6B40" w:rsidRPr="003C7E62">
        <w:rPr>
          <w:rFonts w:eastAsia="Arial" w:cs="Arial"/>
          <w:color w:val="auto"/>
        </w:rPr>
        <w:t>a number of</w:t>
      </w:r>
      <w:proofErr w:type="gramEnd"/>
      <w:r w:rsidR="008E6B40" w:rsidRPr="003C7E62">
        <w:rPr>
          <w:rFonts w:eastAsia="Arial" w:cs="Arial"/>
          <w:color w:val="auto"/>
        </w:rPr>
        <w:t xml:space="preserve"> priorities in relation to health and wellbeing in Nottinghamshire. The policies within the Local Plan will make an important contribution to improving health and wellbeing for the communities of Ashfield.</w:t>
      </w:r>
    </w:p>
    <w:p w14:paraId="0EBB9882" w14:textId="77777777" w:rsidR="005D0346" w:rsidRPr="003C7E62" w:rsidRDefault="005D0346" w:rsidP="005D0346">
      <w:pPr>
        <w:keepNext w:val="0"/>
        <w:spacing w:before="0"/>
        <w:rPr>
          <w:rFonts w:cs="Arial"/>
          <w:color w:val="auto"/>
          <w:szCs w:val="24"/>
          <w:lang w:eastAsia="en-US"/>
        </w:rPr>
      </w:pPr>
    </w:p>
    <w:p w14:paraId="1691ABE0" w14:textId="77777777" w:rsidR="008E6B40" w:rsidRPr="003C7E62" w:rsidRDefault="008E6B40" w:rsidP="00874A98">
      <w:pPr>
        <w:keepNext w:val="0"/>
        <w:numPr>
          <w:ilvl w:val="1"/>
          <w:numId w:val="103"/>
        </w:numPr>
        <w:spacing w:before="0"/>
        <w:ind w:left="851" w:hanging="851"/>
        <w:rPr>
          <w:rFonts w:cs="Arial"/>
          <w:color w:val="auto"/>
          <w:szCs w:val="24"/>
          <w:lang w:eastAsia="en-US"/>
        </w:rPr>
      </w:pPr>
      <w:r w:rsidRPr="003C7E62">
        <w:rPr>
          <w:rFonts w:eastAsia="Arial" w:cs="Arial"/>
          <w:color w:val="auto"/>
        </w:rPr>
        <w:t xml:space="preserve">Working with its partners, the Council will seek to meet the health and wellbeing needs of our residents by addressing the key determinants of health including deprivation, physical environment and encouraging active lifestyles. In land use terms the way that places are planned and designed has a significant influence over whether communities </w:t>
      </w:r>
      <w:proofErr w:type="gramStart"/>
      <w:r w:rsidRPr="003C7E62">
        <w:rPr>
          <w:rFonts w:eastAsia="Arial" w:cs="Arial"/>
          <w:color w:val="auto"/>
        </w:rPr>
        <w:t>are able to</w:t>
      </w:r>
      <w:proofErr w:type="gramEnd"/>
      <w:r w:rsidRPr="003C7E62">
        <w:rPr>
          <w:rFonts w:eastAsia="Arial" w:cs="Arial"/>
          <w:color w:val="auto"/>
        </w:rPr>
        <w:t xml:space="preserve"> live healthy lives. Local plan policies support health and wellbeing by utilising public health evidence to inform policies and to ensure that new development proposals support improvements to the health/wellbeing of the population. </w:t>
      </w:r>
    </w:p>
    <w:p w14:paraId="6D7B7109" w14:textId="77777777" w:rsidR="008E6B40" w:rsidRPr="003C7E62" w:rsidRDefault="008E6B40" w:rsidP="00F11936">
      <w:pPr>
        <w:pStyle w:val="ListParagraph"/>
        <w:spacing w:after="0" w:line="240" w:lineRule="auto"/>
        <w:rPr>
          <w:rFonts w:ascii="Arial" w:eastAsia="Arial" w:hAnsi="Arial" w:cs="Arial"/>
          <w:bCs/>
          <w:color w:val="auto"/>
        </w:rPr>
      </w:pPr>
      <w:bookmarkStart w:id="122" w:name="_Hlk96080456"/>
    </w:p>
    <w:p w14:paraId="4C80478E" w14:textId="4A94CF73" w:rsidR="000A144B" w:rsidRPr="003C7E62" w:rsidRDefault="008E6B40" w:rsidP="00874A98">
      <w:pPr>
        <w:keepNext w:val="0"/>
        <w:numPr>
          <w:ilvl w:val="1"/>
          <w:numId w:val="103"/>
        </w:numPr>
        <w:spacing w:before="0"/>
        <w:ind w:left="709" w:hanging="709"/>
        <w:rPr>
          <w:rFonts w:cs="Arial"/>
          <w:color w:val="auto"/>
          <w:szCs w:val="24"/>
          <w:lang w:eastAsia="en-US"/>
        </w:rPr>
      </w:pPr>
      <w:r w:rsidRPr="003C7E62">
        <w:rPr>
          <w:rFonts w:eastAsia="Arial" w:cs="Arial"/>
          <w:bCs/>
          <w:color w:val="auto"/>
        </w:rPr>
        <w:t>Development has an important role in providing the necessary infrastructure to encourage physical exercise and health, including accessible open space</w:t>
      </w:r>
      <w:r w:rsidRPr="00C474FF">
        <w:rPr>
          <w:rFonts w:eastAsia="Arial" w:cs="Arial"/>
          <w:bCs/>
        </w:rPr>
        <w:t xml:space="preserve">, </w:t>
      </w:r>
      <w:r w:rsidR="00EF2146" w:rsidRPr="00C474FF">
        <w:rPr>
          <w:rFonts w:eastAsia="Arial" w:cs="Arial"/>
          <w:bCs/>
        </w:rPr>
        <w:t xml:space="preserve">access to nature, </w:t>
      </w:r>
      <w:r w:rsidRPr="00C474FF">
        <w:rPr>
          <w:rFonts w:eastAsia="Arial" w:cs="Arial"/>
          <w:bCs/>
        </w:rPr>
        <w:t xml:space="preserve">vegetation and landscaping, sport and recreation facilities, cultural </w:t>
      </w:r>
      <w:r w:rsidRPr="003C7E62">
        <w:rPr>
          <w:rFonts w:eastAsia="Arial" w:cs="Arial"/>
          <w:bCs/>
          <w:color w:val="auto"/>
        </w:rPr>
        <w:t>facilities and safe, well promoted, walking and cycling routes.</w:t>
      </w:r>
      <w:bookmarkStart w:id="123" w:name="_Hlk76640834"/>
    </w:p>
    <w:bookmarkEnd w:id="122"/>
    <w:p w14:paraId="45FBFE3A" w14:textId="1067DFDB" w:rsidR="000A144B" w:rsidRPr="003C7E62" w:rsidRDefault="000A144B" w:rsidP="00F11936">
      <w:pPr>
        <w:keepNext w:val="0"/>
        <w:spacing w:before="0"/>
        <w:ind w:left="709"/>
        <w:rPr>
          <w:rFonts w:eastAsia="Arial" w:cs="Arial"/>
          <w:bCs/>
          <w:color w:val="auto"/>
        </w:rPr>
      </w:pPr>
    </w:p>
    <w:p w14:paraId="6E32C953" w14:textId="77777777" w:rsidR="000A144B" w:rsidRPr="003C7E62" w:rsidRDefault="000A144B" w:rsidP="00F11936">
      <w:pPr>
        <w:keepNext w:val="0"/>
        <w:spacing w:before="0"/>
        <w:rPr>
          <w:rFonts w:cs="Arial"/>
          <w:b/>
          <w:bCs/>
          <w:color w:val="auto"/>
          <w:sz w:val="28"/>
          <w:szCs w:val="28"/>
          <w:lang w:eastAsia="en-US"/>
        </w:rPr>
      </w:pPr>
    </w:p>
    <w:p w14:paraId="2D625D3B" w14:textId="77777777" w:rsidR="000A144B" w:rsidRPr="003C7E62" w:rsidRDefault="000A144B" w:rsidP="00F11936">
      <w:pPr>
        <w:keepNext w:val="0"/>
        <w:spacing w:before="0"/>
        <w:rPr>
          <w:rFonts w:cs="Arial"/>
          <w:b/>
          <w:bCs/>
          <w:color w:val="auto"/>
          <w:szCs w:val="24"/>
          <w:lang w:eastAsia="en-US"/>
        </w:rPr>
      </w:pPr>
      <w:r w:rsidRPr="003C7E62">
        <w:rPr>
          <w:rFonts w:cs="Arial"/>
          <w:b/>
          <w:bCs/>
          <w:color w:val="auto"/>
          <w:szCs w:val="24"/>
          <w:lang w:eastAsia="en-US"/>
        </w:rPr>
        <w:br w:type="page"/>
      </w:r>
    </w:p>
    <w:p w14:paraId="319F5F73" w14:textId="6A4B1B1F" w:rsidR="000A144B" w:rsidRPr="009D5737" w:rsidRDefault="000A144B" w:rsidP="009D5737">
      <w:pPr>
        <w:pStyle w:val="Heading2"/>
        <w:jc w:val="left"/>
        <w:rPr>
          <w:sz w:val="28"/>
          <w:szCs w:val="28"/>
        </w:rPr>
      </w:pPr>
      <w:bookmarkStart w:id="124" w:name="_Toc145511565"/>
      <w:bookmarkStart w:id="125" w:name="_Hlk146191447"/>
      <w:r w:rsidRPr="009D5737">
        <w:rPr>
          <w:sz w:val="28"/>
          <w:szCs w:val="28"/>
        </w:rPr>
        <w:lastRenderedPageBreak/>
        <w:t>Strategic Policy S1</w:t>
      </w:r>
      <w:r w:rsidR="005908AA" w:rsidRPr="009D5737">
        <w:rPr>
          <w:sz w:val="28"/>
          <w:szCs w:val="28"/>
        </w:rPr>
        <w:t>3</w:t>
      </w:r>
      <w:r w:rsidR="007E1CA9" w:rsidRPr="009D5737">
        <w:rPr>
          <w:sz w:val="28"/>
          <w:szCs w:val="28"/>
        </w:rPr>
        <w:t>:</w:t>
      </w:r>
      <w:r w:rsidRPr="009D5737">
        <w:rPr>
          <w:sz w:val="28"/>
          <w:szCs w:val="28"/>
        </w:rPr>
        <w:t xml:space="preserve"> </w:t>
      </w:r>
      <w:r w:rsidR="005F1B0D" w:rsidRPr="009D5737">
        <w:rPr>
          <w:sz w:val="28"/>
          <w:szCs w:val="28"/>
        </w:rPr>
        <w:t>Protecting and Enhancing Our</w:t>
      </w:r>
      <w:r w:rsidR="00C333F6" w:rsidRPr="009D5737">
        <w:rPr>
          <w:color w:val="2F5496" w:themeColor="accent1" w:themeShade="BF"/>
          <w:sz w:val="28"/>
          <w:szCs w:val="28"/>
        </w:rPr>
        <w:t xml:space="preserve"> </w:t>
      </w:r>
      <w:r w:rsidRPr="009D5737">
        <w:rPr>
          <w:sz w:val="28"/>
          <w:szCs w:val="28"/>
        </w:rPr>
        <w:t xml:space="preserve">Green </w:t>
      </w:r>
      <w:r w:rsidR="00F449C8" w:rsidRPr="00F449C8">
        <w:rPr>
          <w:color w:val="2E74B5" w:themeColor="accent5" w:themeShade="BF"/>
          <w:sz w:val="28"/>
          <w:szCs w:val="28"/>
        </w:rPr>
        <w:t xml:space="preserve">and Blue </w:t>
      </w:r>
      <w:r w:rsidRPr="009D5737">
        <w:rPr>
          <w:sz w:val="28"/>
          <w:szCs w:val="28"/>
        </w:rPr>
        <w:t>Infrastructure and the Natural Environment</w:t>
      </w:r>
      <w:bookmarkEnd w:id="124"/>
      <w:r w:rsidRPr="009D5737">
        <w:rPr>
          <w:sz w:val="28"/>
          <w:szCs w:val="28"/>
        </w:rPr>
        <w:t xml:space="preserve"> </w:t>
      </w:r>
    </w:p>
    <w:p w14:paraId="4A1D8F66" w14:textId="77777777" w:rsidR="000A144B" w:rsidRPr="003C7E62" w:rsidRDefault="000A144B" w:rsidP="000A144B">
      <w:pPr>
        <w:jc w:val="both"/>
        <w:rPr>
          <w:rFonts w:cs="Arial"/>
        </w:rPr>
      </w:pPr>
      <w:bookmarkStart w:id="126" w:name="_Hlk125032024"/>
      <w:bookmarkEnd w:id="125"/>
    </w:p>
    <w:tbl>
      <w:tblPr>
        <w:tblStyle w:val="ReportTable1"/>
        <w:tblW w:w="9634" w:type="dxa"/>
        <w:tblLook w:val="04A0" w:firstRow="1" w:lastRow="0" w:firstColumn="1" w:lastColumn="0" w:noHBand="0" w:noVBand="1"/>
      </w:tblPr>
      <w:tblGrid>
        <w:gridCol w:w="1555"/>
        <w:gridCol w:w="1059"/>
        <w:gridCol w:w="7020"/>
      </w:tblGrid>
      <w:tr w:rsidR="000A144B" w:rsidRPr="003C7E62" w14:paraId="58CB2660" w14:textId="77777777" w:rsidTr="005334C0">
        <w:tc>
          <w:tcPr>
            <w:tcW w:w="9634" w:type="dxa"/>
            <w:gridSpan w:val="3"/>
          </w:tcPr>
          <w:p w14:paraId="66BA29D8" w14:textId="77777777" w:rsidR="00F20A31" w:rsidRPr="00D810CA" w:rsidRDefault="00F20A31" w:rsidP="00523DED">
            <w:pPr>
              <w:keepNext w:val="0"/>
              <w:spacing w:before="0"/>
              <w:jc w:val="both"/>
              <w:rPr>
                <w:rFonts w:cs="Arial"/>
                <w:b/>
                <w:bCs/>
                <w:szCs w:val="24"/>
                <w:lang w:eastAsia="en-US"/>
              </w:rPr>
            </w:pPr>
            <w:bookmarkStart w:id="127" w:name="_Hlk78264731"/>
          </w:p>
          <w:p w14:paraId="025D0BAB" w14:textId="559C097A" w:rsidR="000A144B" w:rsidRPr="00D810CA" w:rsidRDefault="000A144B" w:rsidP="00523DED">
            <w:pPr>
              <w:keepNext w:val="0"/>
              <w:spacing w:before="0"/>
              <w:jc w:val="both"/>
              <w:rPr>
                <w:rFonts w:cs="Arial"/>
                <w:b/>
                <w:bCs/>
                <w:szCs w:val="24"/>
                <w:lang w:eastAsia="en-US"/>
              </w:rPr>
            </w:pPr>
            <w:r w:rsidRPr="00D810CA">
              <w:rPr>
                <w:rFonts w:cs="Arial"/>
                <w:b/>
                <w:bCs/>
                <w:szCs w:val="24"/>
                <w:lang w:eastAsia="en-US"/>
              </w:rPr>
              <w:t>Strategic Policy S</w:t>
            </w:r>
            <w:r w:rsidR="005908AA" w:rsidRPr="00D810CA">
              <w:rPr>
                <w:rFonts w:cs="Arial"/>
                <w:b/>
                <w:bCs/>
                <w:szCs w:val="24"/>
                <w:lang w:eastAsia="en-US"/>
              </w:rPr>
              <w:t xml:space="preserve">13 </w:t>
            </w:r>
            <w:r w:rsidR="005F1B0D" w:rsidRPr="00D810CA">
              <w:rPr>
                <w:rFonts w:cs="Arial"/>
                <w:b/>
                <w:bCs/>
                <w:szCs w:val="24"/>
                <w:lang w:eastAsia="en-US"/>
              </w:rPr>
              <w:t>Protecting and Enhancing Our</w:t>
            </w:r>
            <w:r w:rsidR="00C333F6" w:rsidRPr="00D810CA">
              <w:rPr>
                <w:rFonts w:cs="Arial"/>
                <w:b/>
                <w:bCs/>
                <w:szCs w:val="24"/>
                <w:lang w:eastAsia="en-US"/>
              </w:rPr>
              <w:t xml:space="preserve"> </w:t>
            </w:r>
            <w:r w:rsidRPr="00D810CA">
              <w:rPr>
                <w:rFonts w:cs="Arial"/>
                <w:b/>
                <w:bCs/>
                <w:szCs w:val="24"/>
                <w:lang w:eastAsia="en-US"/>
              </w:rPr>
              <w:t>Green</w:t>
            </w:r>
            <w:r w:rsidR="00F449C8">
              <w:rPr>
                <w:rFonts w:cs="Arial"/>
                <w:b/>
                <w:bCs/>
                <w:szCs w:val="24"/>
                <w:lang w:eastAsia="en-US"/>
              </w:rPr>
              <w:t xml:space="preserve"> </w:t>
            </w:r>
            <w:r w:rsidR="00F449C8">
              <w:rPr>
                <w:rFonts w:cs="Arial"/>
                <w:b/>
                <w:bCs/>
                <w:color w:val="2E74B5" w:themeColor="accent5" w:themeShade="BF"/>
                <w:szCs w:val="24"/>
                <w:lang w:eastAsia="en-US"/>
              </w:rPr>
              <w:t>and Blue</w:t>
            </w:r>
            <w:r w:rsidRPr="00D810CA">
              <w:rPr>
                <w:rFonts w:cs="Arial"/>
                <w:b/>
                <w:bCs/>
                <w:szCs w:val="24"/>
                <w:lang w:eastAsia="en-US"/>
              </w:rPr>
              <w:t xml:space="preserve"> Infrastructure and the Natural Environment </w:t>
            </w:r>
          </w:p>
          <w:p w14:paraId="6B1326FA" w14:textId="29C84072" w:rsidR="00F20A31" w:rsidRPr="00D810CA" w:rsidRDefault="00F20A31" w:rsidP="00523DED">
            <w:pPr>
              <w:keepNext w:val="0"/>
              <w:spacing w:before="0"/>
              <w:jc w:val="both"/>
              <w:rPr>
                <w:rFonts w:cs="Arial"/>
                <w:b/>
                <w:bCs/>
                <w:szCs w:val="24"/>
                <w:lang w:eastAsia="en-US"/>
              </w:rPr>
            </w:pPr>
          </w:p>
        </w:tc>
      </w:tr>
      <w:tr w:rsidR="000A144B" w:rsidRPr="003C7E62" w14:paraId="23A4F592" w14:textId="77777777" w:rsidTr="005334C0">
        <w:tc>
          <w:tcPr>
            <w:tcW w:w="2614" w:type="dxa"/>
            <w:gridSpan w:val="2"/>
          </w:tcPr>
          <w:p w14:paraId="048C1DE6" w14:textId="77777777" w:rsidR="000A144B" w:rsidRPr="003C7E62" w:rsidRDefault="000A144B" w:rsidP="00523DED">
            <w:pPr>
              <w:tabs>
                <w:tab w:val="left" w:pos="680"/>
              </w:tabs>
              <w:spacing w:before="40" w:after="40"/>
              <w:jc w:val="both"/>
              <w:rPr>
                <w:rFonts w:eastAsia="Arial" w:cs="Arial"/>
                <w:b/>
              </w:rPr>
            </w:pPr>
            <w:r w:rsidRPr="003C7E62">
              <w:rPr>
                <w:rFonts w:eastAsia="Arial" w:cs="Arial"/>
                <w:b/>
              </w:rPr>
              <w:t>Strategic Objectives</w:t>
            </w:r>
          </w:p>
        </w:tc>
        <w:tc>
          <w:tcPr>
            <w:tcW w:w="7020" w:type="dxa"/>
          </w:tcPr>
          <w:p w14:paraId="0E63BF0C" w14:textId="77777777" w:rsidR="000A144B" w:rsidRPr="00D810CA" w:rsidRDefault="000A144B" w:rsidP="00523DED">
            <w:pPr>
              <w:tabs>
                <w:tab w:val="left" w:pos="680"/>
              </w:tabs>
              <w:spacing w:before="40" w:after="40"/>
              <w:jc w:val="both"/>
              <w:rPr>
                <w:rFonts w:eastAsia="Arial" w:cs="Arial"/>
                <w:b/>
              </w:rPr>
            </w:pPr>
            <w:r w:rsidRPr="00D810CA">
              <w:rPr>
                <w:rFonts w:eastAsia="Arial" w:cs="Arial"/>
                <w:b/>
              </w:rPr>
              <w:t>SO1, SO2, SO11, SO13, SO14.</w:t>
            </w:r>
          </w:p>
        </w:tc>
      </w:tr>
      <w:tr w:rsidR="000A144B" w:rsidRPr="00A2590B" w14:paraId="6FCA6225" w14:textId="77777777" w:rsidTr="005334C0">
        <w:tc>
          <w:tcPr>
            <w:tcW w:w="9634" w:type="dxa"/>
            <w:gridSpan w:val="3"/>
            <w:shd w:val="clear" w:color="auto" w:fill="DBDBDB"/>
          </w:tcPr>
          <w:p w14:paraId="0A6D9D16" w14:textId="77777777" w:rsidR="000A144B" w:rsidRPr="00D810CA" w:rsidRDefault="000A144B" w:rsidP="006E2655">
            <w:pPr>
              <w:tabs>
                <w:tab w:val="left" w:pos="680"/>
                <w:tab w:val="left" w:pos="1133"/>
                <w:tab w:val="left" w:pos="2267"/>
              </w:tabs>
              <w:spacing w:before="0"/>
              <w:ind w:left="240" w:right="284"/>
              <w:rPr>
                <w:rFonts w:eastAsia="Arial" w:cs="Arial"/>
                <w:b/>
                <w:szCs w:val="24"/>
              </w:rPr>
            </w:pPr>
          </w:p>
          <w:p w14:paraId="2A300D91" w14:textId="042C039A" w:rsidR="000A144B" w:rsidRPr="00A2590B" w:rsidRDefault="000A144B" w:rsidP="00874A98">
            <w:pPr>
              <w:keepNext w:val="0"/>
              <w:numPr>
                <w:ilvl w:val="0"/>
                <w:numId w:val="63"/>
              </w:numPr>
              <w:spacing w:before="0"/>
              <w:ind w:left="480"/>
              <w:contextualSpacing/>
              <w:rPr>
                <w:rFonts w:eastAsia="Arial" w:cs="Arial"/>
              </w:rPr>
            </w:pPr>
            <w:bookmarkStart w:id="128" w:name="_Hlk140046542"/>
            <w:r w:rsidRPr="00A2590B">
              <w:rPr>
                <w:rFonts w:eastAsia="Arial" w:cs="Arial"/>
              </w:rPr>
              <w:t>The natural environment, including green and blue infrastructure corridors and assets</w:t>
            </w:r>
            <w:r w:rsidR="00C333F6" w:rsidRPr="00A2590B">
              <w:rPr>
                <w:rFonts w:eastAsia="Arial" w:cs="Arial"/>
              </w:rPr>
              <w:t xml:space="preserve"> </w:t>
            </w:r>
            <w:r w:rsidRPr="00A2590B">
              <w:rPr>
                <w:rFonts w:eastAsia="Arial" w:cs="Arial"/>
              </w:rPr>
              <w:t xml:space="preserve">will be protected, conserved and enhanced, </w:t>
            </w:r>
            <w:proofErr w:type="gramStart"/>
            <w:r w:rsidRPr="00A2590B">
              <w:rPr>
                <w:rFonts w:eastAsia="Arial" w:cs="Arial"/>
              </w:rPr>
              <w:t>in order to</w:t>
            </w:r>
            <w:proofErr w:type="gramEnd"/>
            <w:r w:rsidRPr="00A2590B">
              <w:rPr>
                <w:rFonts w:eastAsia="Arial" w:cs="Arial"/>
              </w:rPr>
              <w:t xml:space="preserve"> maintain the integrity of the </w:t>
            </w:r>
            <w:proofErr w:type="gramStart"/>
            <w:r w:rsidRPr="00A2590B">
              <w:rPr>
                <w:rFonts w:eastAsia="Arial" w:cs="Arial"/>
              </w:rPr>
              <w:t>District’s</w:t>
            </w:r>
            <w:proofErr w:type="gramEnd"/>
            <w:r w:rsidRPr="00A2590B">
              <w:rPr>
                <w:rFonts w:eastAsia="Arial" w:cs="Arial"/>
              </w:rPr>
              <w:t xml:space="preserve"> overall Green</w:t>
            </w:r>
            <w:r w:rsidR="00F449C8" w:rsidRPr="00A2590B">
              <w:rPr>
                <w:rFonts w:eastAsia="Arial" w:cs="Arial"/>
              </w:rPr>
              <w:t xml:space="preserve"> </w:t>
            </w:r>
            <w:r w:rsidR="00F449C8" w:rsidRPr="00F53521">
              <w:rPr>
                <w:rFonts w:eastAsia="Arial" w:cs="Arial"/>
                <w:color w:val="2F5496" w:themeColor="accent1" w:themeShade="BF"/>
              </w:rPr>
              <w:t>and Blue</w:t>
            </w:r>
            <w:r w:rsidRPr="00F53521">
              <w:rPr>
                <w:rFonts w:eastAsia="Arial" w:cs="Arial"/>
                <w:color w:val="2F5496" w:themeColor="accent1" w:themeShade="BF"/>
              </w:rPr>
              <w:t xml:space="preserve"> </w:t>
            </w:r>
            <w:r w:rsidRPr="00A2590B">
              <w:rPr>
                <w:rFonts w:eastAsia="Arial" w:cs="Arial"/>
              </w:rPr>
              <w:t xml:space="preserve">Infrastructure network, and help preserve the </w:t>
            </w:r>
            <w:r w:rsidR="00C333F6" w:rsidRPr="00A2590B">
              <w:rPr>
                <w:rFonts w:eastAsia="Arial" w:cs="Arial"/>
              </w:rPr>
              <w:t xml:space="preserve">landscape </w:t>
            </w:r>
            <w:r w:rsidRPr="00A2590B">
              <w:rPr>
                <w:rFonts w:eastAsia="Arial" w:cs="Arial"/>
              </w:rPr>
              <w:t xml:space="preserve">character of the </w:t>
            </w:r>
            <w:proofErr w:type="gramStart"/>
            <w:r w:rsidRPr="00A2590B">
              <w:rPr>
                <w:rFonts w:eastAsia="Arial" w:cs="Arial"/>
              </w:rPr>
              <w:t>District</w:t>
            </w:r>
            <w:proofErr w:type="gramEnd"/>
            <w:r w:rsidRPr="00A2590B">
              <w:rPr>
                <w:rFonts w:eastAsia="Arial" w:cs="Arial"/>
              </w:rPr>
              <w:t xml:space="preserve"> and </w:t>
            </w:r>
            <w:r w:rsidR="00484CD2" w:rsidRPr="00A2590B">
              <w:rPr>
                <w:rFonts w:eastAsia="Arial" w:cs="Arial"/>
              </w:rPr>
              <w:t xml:space="preserve">its </w:t>
            </w:r>
            <w:r w:rsidRPr="00A2590B">
              <w:rPr>
                <w:rFonts w:eastAsia="Arial" w:cs="Arial"/>
              </w:rPr>
              <w:t>biodiversity</w:t>
            </w:r>
            <w:r w:rsidR="00484CD2" w:rsidRPr="00A2590B">
              <w:rPr>
                <w:rFonts w:eastAsia="Arial" w:cs="Arial"/>
              </w:rPr>
              <w:t>.</w:t>
            </w:r>
            <w:r w:rsidRPr="00A2590B">
              <w:rPr>
                <w:rFonts w:eastAsia="Arial" w:cs="Arial"/>
              </w:rPr>
              <w:t xml:space="preserve"> </w:t>
            </w:r>
          </w:p>
          <w:bookmarkEnd w:id="128"/>
          <w:p w14:paraId="10852C7A" w14:textId="77777777" w:rsidR="000A144B" w:rsidRPr="00A2590B" w:rsidRDefault="000A144B" w:rsidP="006E2655">
            <w:pPr>
              <w:tabs>
                <w:tab w:val="left" w:pos="680"/>
                <w:tab w:val="left" w:pos="1133"/>
                <w:tab w:val="left" w:pos="2267"/>
              </w:tabs>
              <w:spacing w:before="0"/>
              <w:ind w:left="480" w:right="284"/>
              <w:rPr>
                <w:rFonts w:eastAsia="Arial" w:cs="Arial"/>
                <w:szCs w:val="24"/>
              </w:rPr>
            </w:pPr>
          </w:p>
          <w:p w14:paraId="6007EBA8" w14:textId="77777777" w:rsidR="000A144B" w:rsidRPr="00A2590B" w:rsidRDefault="000A144B" w:rsidP="00874A98">
            <w:pPr>
              <w:keepNext w:val="0"/>
              <w:numPr>
                <w:ilvl w:val="0"/>
                <w:numId w:val="63"/>
              </w:numPr>
              <w:tabs>
                <w:tab w:val="left" w:pos="680"/>
                <w:tab w:val="left" w:pos="1133"/>
                <w:tab w:val="left" w:pos="2267"/>
              </w:tabs>
              <w:spacing w:before="0"/>
              <w:ind w:left="480" w:right="284"/>
              <w:contextualSpacing/>
              <w:rPr>
                <w:rFonts w:eastAsia="Arial" w:cs="Arial"/>
                <w:szCs w:val="24"/>
              </w:rPr>
            </w:pPr>
            <w:r w:rsidRPr="00A2590B">
              <w:rPr>
                <w:rFonts w:eastAsia="Arial" w:cs="Arial"/>
                <w:szCs w:val="24"/>
              </w:rPr>
              <w:t>The biodiversity of Ashfield will be maintained and enhanced by:</w:t>
            </w:r>
          </w:p>
          <w:p w14:paraId="2AE873BC" w14:textId="77777777" w:rsidR="000A144B" w:rsidRPr="00A2590B" w:rsidRDefault="000A144B" w:rsidP="006E2655">
            <w:pPr>
              <w:tabs>
                <w:tab w:val="left" w:pos="680"/>
                <w:tab w:val="left" w:pos="1133"/>
                <w:tab w:val="left" w:pos="2267"/>
              </w:tabs>
              <w:spacing w:before="0"/>
              <w:ind w:left="480" w:right="284"/>
              <w:rPr>
                <w:rFonts w:eastAsia="Arial" w:cs="Arial"/>
                <w:szCs w:val="24"/>
              </w:rPr>
            </w:pPr>
          </w:p>
          <w:p w14:paraId="32ACB5C2" w14:textId="458A5464" w:rsidR="000A144B" w:rsidRPr="00A2590B" w:rsidRDefault="000A144B" w:rsidP="00874A98">
            <w:pPr>
              <w:keepNext w:val="0"/>
              <w:numPr>
                <w:ilvl w:val="0"/>
                <w:numId w:val="64"/>
              </w:numPr>
              <w:tabs>
                <w:tab w:val="left" w:pos="680"/>
                <w:tab w:val="left" w:pos="1133"/>
                <w:tab w:val="left" w:pos="2267"/>
              </w:tabs>
              <w:spacing w:before="0"/>
              <w:ind w:left="905" w:right="313"/>
              <w:contextualSpacing/>
              <w:rPr>
                <w:rFonts w:eastAsia="Arial" w:cs="Arial"/>
                <w:szCs w:val="24"/>
              </w:rPr>
            </w:pPr>
            <w:r w:rsidRPr="00A2590B">
              <w:rPr>
                <w:rFonts w:eastAsia="Arial" w:cs="Arial"/>
                <w:szCs w:val="24"/>
              </w:rPr>
              <w:t xml:space="preserve">protecting, connecting and enhancing important habitats, </w:t>
            </w:r>
            <w:r w:rsidR="00BC77F4" w:rsidRPr="00A2590B">
              <w:rPr>
                <w:rFonts w:eastAsia="Arial" w:cs="Arial"/>
                <w:szCs w:val="24"/>
              </w:rPr>
              <w:t xml:space="preserve">informed by </w:t>
            </w:r>
            <w:r w:rsidRPr="00A2590B">
              <w:rPr>
                <w:rFonts w:eastAsia="Arial" w:cs="Arial"/>
                <w:szCs w:val="24"/>
              </w:rPr>
              <w:t>the District’s Biodiversity Opportunity Maps</w:t>
            </w:r>
            <w:r w:rsidR="007C3324" w:rsidRPr="00A2590B">
              <w:rPr>
                <w:rFonts w:eastAsia="Arial" w:cs="Arial"/>
                <w:szCs w:val="24"/>
              </w:rPr>
              <w:t xml:space="preserve"> </w:t>
            </w:r>
            <w:r w:rsidR="007C3324" w:rsidRPr="00F53521">
              <w:rPr>
                <w:rFonts w:eastAsia="Arial" w:cs="Arial"/>
                <w:color w:val="005FAE"/>
                <w:szCs w:val="24"/>
              </w:rPr>
              <w:t>and the</w:t>
            </w:r>
            <w:r w:rsidR="00BA0285" w:rsidRPr="00F53521">
              <w:rPr>
                <w:rFonts w:eastAsia="Arial" w:cs="Arial"/>
                <w:color w:val="005FAE"/>
                <w:szCs w:val="24"/>
              </w:rPr>
              <w:t xml:space="preserve"> Local Nature Recovery Strategy for Nottinghamshire and Nottingham</w:t>
            </w:r>
            <w:r w:rsidRPr="00A2590B">
              <w:rPr>
                <w:rFonts w:eastAsia="Arial" w:cs="Arial"/>
                <w:szCs w:val="24"/>
              </w:rPr>
              <w:t>; and</w:t>
            </w:r>
          </w:p>
          <w:p w14:paraId="26C5B1BD" w14:textId="77777777" w:rsidR="000A144B" w:rsidRPr="00A2590B" w:rsidRDefault="000A144B" w:rsidP="006E2655">
            <w:pPr>
              <w:tabs>
                <w:tab w:val="left" w:pos="2267"/>
              </w:tabs>
              <w:spacing w:before="0"/>
              <w:ind w:left="905" w:right="284"/>
              <w:contextualSpacing/>
              <w:rPr>
                <w:rFonts w:eastAsia="Arial" w:cs="Arial"/>
                <w:szCs w:val="24"/>
              </w:rPr>
            </w:pPr>
          </w:p>
          <w:p w14:paraId="09406679" w14:textId="74555420" w:rsidR="000A144B" w:rsidRPr="00A2590B" w:rsidRDefault="000A144B" w:rsidP="00874A98">
            <w:pPr>
              <w:keepNext w:val="0"/>
              <w:numPr>
                <w:ilvl w:val="0"/>
                <w:numId w:val="64"/>
              </w:numPr>
              <w:spacing w:before="0"/>
              <w:ind w:left="905" w:right="284"/>
              <w:contextualSpacing/>
              <w:rPr>
                <w:rFonts w:eastAsia="Arial" w:cs="Arial"/>
                <w:szCs w:val="24"/>
              </w:rPr>
            </w:pPr>
            <w:r w:rsidRPr="00A2590B">
              <w:rPr>
                <w:rFonts w:eastAsia="Arial" w:cs="Arial"/>
                <w:szCs w:val="24"/>
              </w:rPr>
              <w:t xml:space="preserve">promoting native tree planting, </w:t>
            </w:r>
            <w:r w:rsidR="00BC77F4" w:rsidRPr="00A2590B">
              <w:rPr>
                <w:rFonts w:eastAsia="Arial" w:cs="Arial"/>
                <w:szCs w:val="24"/>
              </w:rPr>
              <w:t xml:space="preserve">street trees and </w:t>
            </w:r>
            <w:r w:rsidRPr="00A2590B">
              <w:rPr>
                <w:rFonts w:eastAsia="Arial" w:cs="Arial"/>
                <w:szCs w:val="24"/>
              </w:rPr>
              <w:t xml:space="preserve">well targeted woodland creation </w:t>
            </w:r>
            <w:r w:rsidR="00BC77F4" w:rsidRPr="00A2590B">
              <w:rPr>
                <w:rFonts w:eastAsia="Arial" w:cs="Arial"/>
                <w:szCs w:val="24"/>
              </w:rPr>
              <w:t xml:space="preserve">on appropriate sites, </w:t>
            </w:r>
            <w:r w:rsidRPr="00A2590B">
              <w:rPr>
                <w:rFonts w:eastAsia="Arial" w:cs="Arial"/>
                <w:szCs w:val="24"/>
              </w:rPr>
              <w:t xml:space="preserve">and encouraging retention </w:t>
            </w:r>
            <w:r w:rsidR="00BC77F4" w:rsidRPr="00A2590B">
              <w:rPr>
                <w:rFonts w:eastAsia="Arial" w:cs="Arial"/>
                <w:szCs w:val="24"/>
              </w:rPr>
              <w:t xml:space="preserve">and sensitive management </w:t>
            </w:r>
            <w:r w:rsidRPr="00A2590B">
              <w:rPr>
                <w:rFonts w:eastAsia="Arial" w:cs="Arial"/>
                <w:szCs w:val="24"/>
              </w:rPr>
              <w:t>of trees, with a view to enhancing biodiversity.</w:t>
            </w:r>
          </w:p>
          <w:p w14:paraId="06A7D606" w14:textId="77777777" w:rsidR="000A144B" w:rsidRPr="00A2590B" w:rsidRDefault="000A144B" w:rsidP="00523DED">
            <w:pPr>
              <w:tabs>
                <w:tab w:val="left" w:pos="680"/>
                <w:tab w:val="left" w:pos="1133"/>
                <w:tab w:val="left" w:pos="2267"/>
              </w:tabs>
              <w:ind w:right="284"/>
              <w:jc w:val="both"/>
              <w:rPr>
                <w:rFonts w:eastAsia="Arial" w:cs="Arial"/>
                <w:b/>
                <w:szCs w:val="24"/>
              </w:rPr>
            </w:pPr>
          </w:p>
        </w:tc>
      </w:tr>
      <w:bookmarkEnd w:id="127"/>
      <w:tr w:rsidR="000A144B" w:rsidRPr="00A2590B" w14:paraId="213DAFCC" w14:textId="77777777" w:rsidTr="005334C0">
        <w:tc>
          <w:tcPr>
            <w:tcW w:w="1555" w:type="dxa"/>
            <w:shd w:val="clear" w:color="auto" w:fill="FFFFFF" w:themeFill="background1"/>
          </w:tcPr>
          <w:p w14:paraId="42240799" w14:textId="77777777" w:rsidR="000A144B" w:rsidRPr="00A2590B" w:rsidRDefault="000A144B" w:rsidP="00F20A31">
            <w:pPr>
              <w:tabs>
                <w:tab w:val="left" w:pos="680"/>
                <w:tab w:val="left" w:pos="1133"/>
                <w:tab w:val="left" w:pos="2267"/>
              </w:tabs>
              <w:ind w:right="284"/>
              <w:rPr>
                <w:rFonts w:eastAsia="Arial" w:cs="Arial"/>
                <w:bCs/>
                <w:szCs w:val="24"/>
              </w:rPr>
            </w:pPr>
            <w:r w:rsidRPr="00A2590B">
              <w:rPr>
                <w:rFonts w:eastAsia="Arial" w:cs="Arial"/>
                <w:bCs/>
                <w:sz w:val="20"/>
              </w:rPr>
              <w:t>Evidence base</w:t>
            </w:r>
          </w:p>
        </w:tc>
        <w:tc>
          <w:tcPr>
            <w:tcW w:w="8079" w:type="dxa"/>
            <w:gridSpan w:val="2"/>
            <w:shd w:val="clear" w:color="auto" w:fill="FFFFFF" w:themeFill="background1"/>
          </w:tcPr>
          <w:p w14:paraId="06D5CE04" w14:textId="4FEB5E6E" w:rsidR="000A144B" w:rsidRPr="00A2590B" w:rsidRDefault="000A144B" w:rsidP="00874A98">
            <w:pPr>
              <w:keepNext w:val="0"/>
              <w:numPr>
                <w:ilvl w:val="0"/>
                <w:numId w:val="61"/>
              </w:numPr>
              <w:spacing w:before="0"/>
              <w:contextualSpacing/>
              <w:rPr>
                <w:rFonts w:cs="Arial"/>
                <w:sz w:val="20"/>
              </w:rPr>
            </w:pPr>
            <w:r w:rsidRPr="00A2590B">
              <w:rPr>
                <w:rFonts w:cs="Arial"/>
                <w:sz w:val="20"/>
              </w:rPr>
              <w:t>Sustainability Appraisal, 202</w:t>
            </w:r>
            <w:r w:rsidR="00B80DEC" w:rsidRPr="00A2590B">
              <w:rPr>
                <w:rFonts w:cs="Arial"/>
                <w:sz w:val="20"/>
              </w:rPr>
              <w:t>3</w:t>
            </w:r>
            <w:r w:rsidRPr="00A2590B">
              <w:rPr>
                <w:rFonts w:cs="Arial"/>
                <w:sz w:val="20"/>
              </w:rPr>
              <w:t xml:space="preserve">. </w:t>
            </w:r>
            <w:r w:rsidR="00B80DEC" w:rsidRPr="00A2590B">
              <w:rPr>
                <w:rFonts w:cs="Arial"/>
                <w:sz w:val="20"/>
              </w:rPr>
              <w:t>WSP UK Limited.</w:t>
            </w:r>
          </w:p>
          <w:p w14:paraId="534D1272" w14:textId="77777777" w:rsidR="000A144B" w:rsidRPr="00A2590B" w:rsidRDefault="000A144B" w:rsidP="00874A98">
            <w:pPr>
              <w:keepNext w:val="0"/>
              <w:numPr>
                <w:ilvl w:val="0"/>
                <w:numId w:val="61"/>
              </w:numPr>
              <w:spacing w:before="0"/>
              <w:contextualSpacing/>
              <w:rPr>
                <w:rFonts w:cs="Arial"/>
                <w:sz w:val="20"/>
              </w:rPr>
            </w:pPr>
            <w:r w:rsidRPr="00A2590B">
              <w:rPr>
                <w:rFonts w:cs="Arial"/>
                <w:sz w:val="20"/>
              </w:rPr>
              <w:t>Ashfield Biodiversity Opportunity Mapping Project 2016.</w:t>
            </w:r>
            <w:r w:rsidRPr="00A2590B">
              <w:rPr>
                <w:rFonts w:cs="Arial"/>
              </w:rPr>
              <w:t xml:space="preserve"> </w:t>
            </w:r>
            <w:r w:rsidRPr="00A2590B">
              <w:rPr>
                <w:rFonts w:cs="Arial"/>
                <w:sz w:val="20"/>
              </w:rPr>
              <w:t>Notts BAG.</w:t>
            </w:r>
          </w:p>
          <w:p w14:paraId="4EC97295" w14:textId="751F8DC0" w:rsidR="000A144B" w:rsidRPr="00A2590B" w:rsidRDefault="000A144B" w:rsidP="00874A98">
            <w:pPr>
              <w:keepNext w:val="0"/>
              <w:numPr>
                <w:ilvl w:val="0"/>
                <w:numId w:val="61"/>
              </w:numPr>
              <w:spacing w:before="0"/>
              <w:contextualSpacing/>
              <w:rPr>
                <w:rFonts w:cs="Arial"/>
                <w:sz w:val="20"/>
              </w:rPr>
            </w:pPr>
            <w:r w:rsidRPr="00A2590B">
              <w:rPr>
                <w:rFonts w:cs="Arial"/>
                <w:sz w:val="20"/>
              </w:rPr>
              <w:t xml:space="preserve">Ashfield Green </w:t>
            </w:r>
            <w:r w:rsidR="00BF7431" w:rsidRPr="00A2590B">
              <w:rPr>
                <w:rFonts w:cs="Arial"/>
                <w:sz w:val="20"/>
              </w:rPr>
              <w:t xml:space="preserve">&amp; Blue </w:t>
            </w:r>
            <w:r w:rsidRPr="00A2590B">
              <w:rPr>
                <w:rFonts w:cs="Arial"/>
                <w:sz w:val="20"/>
              </w:rPr>
              <w:t xml:space="preserve">Infrastructure and Biodiversity </w:t>
            </w:r>
            <w:r w:rsidR="00BF7431" w:rsidRPr="00A2590B">
              <w:rPr>
                <w:rFonts w:cs="Arial"/>
                <w:sz w:val="20"/>
              </w:rPr>
              <w:t>Strategy</w:t>
            </w:r>
            <w:r w:rsidR="00D810CA" w:rsidRPr="00A2590B">
              <w:rPr>
                <w:rFonts w:cs="Arial"/>
                <w:sz w:val="20"/>
              </w:rPr>
              <w:t>.</w:t>
            </w:r>
            <w:r w:rsidRPr="00A2590B">
              <w:rPr>
                <w:rFonts w:cs="Arial"/>
                <w:sz w:val="20"/>
              </w:rPr>
              <w:t xml:space="preserve"> Ashfield District Council</w:t>
            </w:r>
            <w:r w:rsidR="00BF7431" w:rsidRPr="00A2590B">
              <w:rPr>
                <w:rFonts w:cs="Arial"/>
                <w:sz w:val="20"/>
              </w:rPr>
              <w:t>, 2022-2032</w:t>
            </w:r>
            <w:r w:rsidRPr="00A2590B">
              <w:rPr>
                <w:rFonts w:cs="Arial"/>
                <w:sz w:val="20"/>
              </w:rPr>
              <w:t>.</w:t>
            </w:r>
          </w:p>
        </w:tc>
      </w:tr>
      <w:tr w:rsidR="000A144B" w:rsidRPr="00A2590B" w14:paraId="1092E1DA" w14:textId="77777777" w:rsidTr="005334C0">
        <w:tc>
          <w:tcPr>
            <w:tcW w:w="1555" w:type="dxa"/>
            <w:shd w:val="clear" w:color="auto" w:fill="FFFFFF" w:themeFill="background1"/>
          </w:tcPr>
          <w:p w14:paraId="568DEDA4" w14:textId="77777777" w:rsidR="000A144B" w:rsidRPr="00A2590B" w:rsidRDefault="000A144B" w:rsidP="00F20A31">
            <w:pPr>
              <w:contextualSpacing/>
              <w:rPr>
                <w:rFonts w:eastAsia="Arial" w:cs="Arial"/>
                <w:bCs/>
                <w:szCs w:val="24"/>
              </w:rPr>
            </w:pPr>
            <w:r w:rsidRPr="00A2590B">
              <w:rPr>
                <w:rFonts w:eastAsia="Arial" w:cs="Arial"/>
                <w:bCs/>
                <w:sz w:val="20"/>
              </w:rPr>
              <w:t>National Planning Policy and Guidance</w:t>
            </w:r>
          </w:p>
        </w:tc>
        <w:tc>
          <w:tcPr>
            <w:tcW w:w="8079" w:type="dxa"/>
            <w:gridSpan w:val="2"/>
            <w:shd w:val="clear" w:color="auto" w:fill="FFFFFF" w:themeFill="background1"/>
          </w:tcPr>
          <w:p w14:paraId="1DE27FD3" w14:textId="1972659F" w:rsidR="000A144B" w:rsidRPr="00A2590B" w:rsidRDefault="000A144B" w:rsidP="00874A98">
            <w:pPr>
              <w:keepNext w:val="0"/>
              <w:numPr>
                <w:ilvl w:val="0"/>
                <w:numId w:val="62"/>
              </w:numPr>
              <w:spacing w:before="0"/>
              <w:ind w:left="328"/>
              <w:contextualSpacing/>
              <w:rPr>
                <w:rFonts w:cs="Arial"/>
                <w:sz w:val="20"/>
              </w:rPr>
            </w:pPr>
            <w:r w:rsidRPr="00A2590B">
              <w:rPr>
                <w:rFonts w:cs="Arial"/>
                <w:sz w:val="20"/>
              </w:rPr>
              <w:t>NPPF 202</w:t>
            </w:r>
            <w:r w:rsidR="00616B41" w:rsidRPr="00A2590B">
              <w:rPr>
                <w:rFonts w:cs="Arial"/>
                <w:sz w:val="20"/>
              </w:rPr>
              <w:t>3</w:t>
            </w:r>
            <w:r w:rsidRPr="00A2590B">
              <w:rPr>
                <w:rFonts w:cs="Arial"/>
                <w:sz w:val="20"/>
              </w:rPr>
              <w:t>, Part 2: Achieving sustainable development</w:t>
            </w:r>
          </w:p>
          <w:p w14:paraId="154E93ED" w14:textId="2EB3033B" w:rsidR="000A144B" w:rsidRPr="00A2590B" w:rsidRDefault="000A144B" w:rsidP="00874A98">
            <w:pPr>
              <w:keepNext w:val="0"/>
              <w:numPr>
                <w:ilvl w:val="0"/>
                <w:numId w:val="62"/>
              </w:numPr>
              <w:spacing w:before="0"/>
              <w:ind w:left="328"/>
              <w:contextualSpacing/>
              <w:rPr>
                <w:rFonts w:cs="Arial"/>
                <w:sz w:val="20"/>
              </w:rPr>
            </w:pPr>
            <w:r w:rsidRPr="00A2590B">
              <w:rPr>
                <w:rFonts w:cs="Arial"/>
                <w:sz w:val="20"/>
              </w:rPr>
              <w:t>NPPF 202</w:t>
            </w:r>
            <w:r w:rsidR="00616B41" w:rsidRPr="00A2590B">
              <w:rPr>
                <w:rFonts w:cs="Arial"/>
                <w:sz w:val="20"/>
              </w:rPr>
              <w:t>3</w:t>
            </w:r>
            <w:r w:rsidRPr="00A2590B">
              <w:rPr>
                <w:rFonts w:cs="Arial"/>
                <w:sz w:val="20"/>
              </w:rPr>
              <w:t>, Part 15: Conserving and enhancing the natural environment</w:t>
            </w:r>
          </w:p>
          <w:p w14:paraId="7B089DAC" w14:textId="595846A2" w:rsidR="000A144B" w:rsidRPr="00A2590B" w:rsidRDefault="000A144B" w:rsidP="00874A98">
            <w:pPr>
              <w:keepNext w:val="0"/>
              <w:numPr>
                <w:ilvl w:val="0"/>
                <w:numId w:val="62"/>
              </w:numPr>
              <w:spacing w:before="0"/>
              <w:ind w:left="328"/>
              <w:contextualSpacing/>
              <w:rPr>
                <w:rFonts w:cs="Arial"/>
                <w:sz w:val="22"/>
              </w:rPr>
            </w:pPr>
            <w:r w:rsidRPr="00A2590B">
              <w:rPr>
                <w:rFonts w:cs="Arial"/>
                <w:sz w:val="20"/>
              </w:rPr>
              <w:t xml:space="preserve">Planning Practice Guidance: Open space, sports and recreational facilities, public rights of ways and local green space as </w:t>
            </w:r>
            <w:r w:rsidR="009D1815" w:rsidRPr="00A2590B">
              <w:rPr>
                <w:rFonts w:cs="Arial"/>
                <w:sz w:val="20"/>
              </w:rPr>
              <w:t>of</w:t>
            </w:r>
            <w:r w:rsidRPr="00A2590B">
              <w:rPr>
                <w:rFonts w:cs="Arial"/>
                <w:sz w:val="20"/>
              </w:rPr>
              <w:t xml:space="preserve"> </w:t>
            </w:r>
            <w:r w:rsidR="00B80DEC" w:rsidRPr="00A2590B">
              <w:rPr>
                <w:rFonts w:cs="Arial"/>
                <w:sz w:val="20"/>
              </w:rPr>
              <w:t>March 2014</w:t>
            </w:r>
            <w:r w:rsidRPr="00A2590B">
              <w:rPr>
                <w:rFonts w:cs="Arial"/>
                <w:sz w:val="20"/>
              </w:rPr>
              <w:t>.</w:t>
            </w:r>
          </w:p>
          <w:p w14:paraId="028DAF83" w14:textId="1BAF700F" w:rsidR="00F93C25" w:rsidRPr="00A2590B" w:rsidRDefault="00F93C25" w:rsidP="00874A98">
            <w:pPr>
              <w:keepNext w:val="0"/>
              <w:numPr>
                <w:ilvl w:val="0"/>
                <w:numId w:val="62"/>
              </w:numPr>
              <w:spacing w:before="0"/>
              <w:ind w:left="328"/>
              <w:contextualSpacing/>
              <w:rPr>
                <w:rFonts w:cs="Arial"/>
                <w:sz w:val="20"/>
              </w:rPr>
            </w:pPr>
            <w:r w:rsidRPr="00A2590B">
              <w:rPr>
                <w:rFonts w:cs="Arial"/>
                <w:sz w:val="20"/>
              </w:rPr>
              <w:t>Natural England’s Green Infrastructure Framework – Principles and Standards for England 2022</w:t>
            </w:r>
          </w:p>
        </w:tc>
      </w:tr>
    </w:tbl>
    <w:p w14:paraId="6DEF1095" w14:textId="77777777" w:rsidR="000A144B" w:rsidRPr="00A2590B" w:rsidRDefault="000A144B" w:rsidP="00F11936">
      <w:pPr>
        <w:keepNext w:val="0"/>
        <w:spacing w:before="0"/>
        <w:rPr>
          <w:rFonts w:cs="Arial"/>
          <w:b/>
          <w:bCs/>
          <w:color w:val="auto"/>
          <w:sz w:val="28"/>
          <w:szCs w:val="28"/>
          <w:lang w:eastAsia="en-US"/>
        </w:rPr>
      </w:pPr>
    </w:p>
    <w:bookmarkEnd w:id="126"/>
    <w:p w14:paraId="73DDE7B7" w14:textId="2792E218" w:rsidR="000A144B" w:rsidRPr="003C7E62" w:rsidRDefault="00386A0E" w:rsidP="00874A98">
      <w:pPr>
        <w:keepNext w:val="0"/>
        <w:numPr>
          <w:ilvl w:val="1"/>
          <w:numId w:val="103"/>
        </w:numPr>
        <w:spacing w:before="0"/>
        <w:ind w:left="709" w:hanging="709"/>
        <w:rPr>
          <w:rFonts w:cs="Arial"/>
          <w:color w:val="auto"/>
          <w:szCs w:val="24"/>
          <w:lang w:eastAsia="en-US"/>
        </w:rPr>
      </w:pPr>
      <w:r w:rsidRPr="00A2590B">
        <w:rPr>
          <w:rFonts w:eastAsia="Arial" w:cs="Arial"/>
          <w:color w:val="auto"/>
        </w:rPr>
        <w:t xml:space="preserve">It is acknowledged that green </w:t>
      </w:r>
      <w:r w:rsidR="00F449C8" w:rsidRPr="00A2590B">
        <w:rPr>
          <w:rFonts w:eastAsia="Arial" w:cs="Arial"/>
          <w:color w:val="2E74B5" w:themeColor="accent5" w:themeShade="BF"/>
        </w:rPr>
        <w:t xml:space="preserve">and blue </w:t>
      </w:r>
      <w:r w:rsidRPr="00A2590B">
        <w:rPr>
          <w:rFonts w:eastAsia="Arial" w:cs="Arial"/>
          <w:color w:val="auto"/>
        </w:rPr>
        <w:t xml:space="preserve">infrastructure and the natural environment is a key element of delivering sustainable development and it is of great importance for </w:t>
      </w:r>
      <w:r w:rsidRPr="00A2590B">
        <w:rPr>
          <w:rFonts w:cs="Arial"/>
          <w:color w:val="auto"/>
          <w:szCs w:val="24"/>
        </w:rPr>
        <w:t xml:space="preserve">biodiversity, geo-diversity, </w:t>
      </w:r>
      <w:r w:rsidRPr="00A2590B">
        <w:rPr>
          <w:rFonts w:eastAsia="Arial" w:cs="Arial"/>
          <w:color w:val="auto"/>
        </w:rPr>
        <w:t>education, culture</w:t>
      </w:r>
      <w:r w:rsidRPr="003C7E62">
        <w:rPr>
          <w:rFonts w:eastAsia="Arial" w:cs="Arial"/>
          <w:color w:val="auto"/>
        </w:rPr>
        <w:t>, leisure, tourism and the wider economy.</w:t>
      </w:r>
    </w:p>
    <w:p w14:paraId="1D16F82C" w14:textId="77777777" w:rsidR="000A144B" w:rsidRPr="003C7E62" w:rsidRDefault="000A144B" w:rsidP="00F11936">
      <w:pPr>
        <w:keepNext w:val="0"/>
        <w:spacing w:before="0"/>
        <w:ind w:left="709"/>
        <w:rPr>
          <w:rFonts w:cs="Arial"/>
          <w:color w:val="auto"/>
          <w:szCs w:val="24"/>
          <w:lang w:eastAsia="en-US"/>
        </w:rPr>
      </w:pPr>
    </w:p>
    <w:p w14:paraId="59B71CCD" w14:textId="59313F9C" w:rsidR="000A144B" w:rsidRPr="00D810CA" w:rsidRDefault="00386A0E" w:rsidP="00874A98">
      <w:pPr>
        <w:keepNext w:val="0"/>
        <w:numPr>
          <w:ilvl w:val="1"/>
          <w:numId w:val="103"/>
        </w:numPr>
        <w:spacing w:before="0"/>
        <w:ind w:left="709" w:hanging="709"/>
        <w:rPr>
          <w:rFonts w:cs="Arial"/>
          <w:szCs w:val="24"/>
          <w:lang w:eastAsia="en-US"/>
        </w:rPr>
      </w:pPr>
      <w:r w:rsidRPr="003C7E62">
        <w:rPr>
          <w:rFonts w:eastAsia="Arial" w:cs="Arial"/>
          <w:color w:val="auto"/>
        </w:rPr>
        <w:t xml:space="preserve">The </w:t>
      </w:r>
      <w:proofErr w:type="gramStart"/>
      <w:r w:rsidRPr="003C7E62">
        <w:rPr>
          <w:rFonts w:eastAsia="Arial" w:cs="Arial"/>
          <w:color w:val="auto"/>
        </w:rPr>
        <w:t>District</w:t>
      </w:r>
      <w:proofErr w:type="gramEnd"/>
      <w:r w:rsidRPr="003C7E62">
        <w:rPr>
          <w:rFonts w:eastAsia="Arial" w:cs="Arial"/>
          <w:color w:val="auto"/>
        </w:rPr>
        <w:t xml:space="preserve"> contains a range of green</w:t>
      </w:r>
      <w:r w:rsidR="001B4DEF">
        <w:rPr>
          <w:rFonts w:eastAsia="Arial" w:cs="Arial"/>
          <w:color w:val="auto"/>
        </w:rPr>
        <w:t xml:space="preserve"> </w:t>
      </w:r>
      <w:r w:rsidR="001B4DEF" w:rsidRPr="00D810CA">
        <w:rPr>
          <w:rFonts w:eastAsia="Arial" w:cs="Arial"/>
        </w:rPr>
        <w:t xml:space="preserve">and blue </w:t>
      </w:r>
      <w:r w:rsidRPr="00D810CA">
        <w:rPr>
          <w:rFonts w:eastAsia="Arial" w:cs="Arial"/>
        </w:rPr>
        <w:t xml:space="preserve">infrastructure, natural and wildlife assets of national, regional and local significance, this includes but is not limited </w:t>
      </w:r>
      <w:r w:rsidR="009D1815" w:rsidRPr="00D810CA">
        <w:rPr>
          <w:rFonts w:eastAsia="Arial" w:cs="Arial"/>
        </w:rPr>
        <w:t>to</w:t>
      </w:r>
      <w:r w:rsidRPr="00D810CA">
        <w:rPr>
          <w:rFonts w:eastAsia="Arial" w:cs="Arial"/>
        </w:rPr>
        <w:t xml:space="preserve"> parks, open spaces, playing fields, woodlands, allotments, cemeteries, private gardens, green roofs and walls, agricultural land, country parks, wasteland and river/canal corridors</w:t>
      </w:r>
      <w:r w:rsidR="001B4DEF" w:rsidRPr="00D810CA">
        <w:rPr>
          <w:rFonts w:eastAsia="Arial" w:cs="Arial"/>
        </w:rPr>
        <w:t>.</w:t>
      </w:r>
      <w:r w:rsidRPr="00D810CA">
        <w:rPr>
          <w:rFonts w:eastAsia="Arial" w:cs="Arial"/>
        </w:rPr>
        <w:t xml:space="preserve">  The Council will seek to protect, conserve and enhance these assets </w:t>
      </w:r>
      <w:proofErr w:type="gramStart"/>
      <w:r w:rsidRPr="00D810CA">
        <w:rPr>
          <w:rFonts w:eastAsia="Arial" w:cs="Arial"/>
        </w:rPr>
        <w:t>in order to</w:t>
      </w:r>
      <w:proofErr w:type="gramEnd"/>
      <w:r w:rsidRPr="00D810CA">
        <w:rPr>
          <w:rFonts w:eastAsia="Arial" w:cs="Arial"/>
        </w:rPr>
        <w:t xml:space="preserve"> help preserve the </w:t>
      </w:r>
      <w:r w:rsidR="001B4DEF" w:rsidRPr="00D810CA">
        <w:rPr>
          <w:rFonts w:eastAsia="Arial" w:cs="Arial"/>
        </w:rPr>
        <w:t xml:space="preserve">landscape </w:t>
      </w:r>
      <w:r w:rsidRPr="00D810CA">
        <w:rPr>
          <w:rFonts w:eastAsia="Arial" w:cs="Arial"/>
        </w:rPr>
        <w:t xml:space="preserve">character of the </w:t>
      </w:r>
      <w:proofErr w:type="gramStart"/>
      <w:r w:rsidRPr="00D810CA">
        <w:rPr>
          <w:rFonts w:eastAsia="Arial" w:cs="Arial"/>
        </w:rPr>
        <w:t>District</w:t>
      </w:r>
      <w:proofErr w:type="gramEnd"/>
      <w:r w:rsidRPr="00D810CA">
        <w:rPr>
          <w:rFonts w:eastAsia="Arial" w:cs="Arial"/>
        </w:rPr>
        <w:t xml:space="preserve"> and </w:t>
      </w:r>
      <w:proofErr w:type="gramStart"/>
      <w:r w:rsidR="001B4DEF" w:rsidRPr="00D810CA">
        <w:rPr>
          <w:rFonts w:eastAsia="Arial" w:cs="Arial"/>
        </w:rPr>
        <w:t>it's</w:t>
      </w:r>
      <w:proofErr w:type="gramEnd"/>
      <w:r w:rsidR="001B4DEF" w:rsidRPr="00D810CA">
        <w:rPr>
          <w:rFonts w:eastAsia="Arial" w:cs="Arial"/>
        </w:rPr>
        <w:t xml:space="preserve"> </w:t>
      </w:r>
      <w:r w:rsidRPr="00D810CA">
        <w:rPr>
          <w:rFonts w:eastAsia="Arial" w:cs="Arial"/>
        </w:rPr>
        <w:t>biodiversity</w:t>
      </w:r>
      <w:r w:rsidR="000A144B" w:rsidRPr="00D810CA">
        <w:rPr>
          <w:rFonts w:eastAsia="Arial" w:cs="Arial"/>
        </w:rPr>
        <w:t>.</w:t>
      </w:r>
    </w:p>
    <w:p w14:paraId="28D05A1D" w14:textId="77777777" w:rsidR="000A144B" w:rsidRPr="003C7E62" w:rsidRDefault="000A144B" w:rsidP="00F11936">
      <w:pPr>
        <w:keepNext w:val="0"/>
        <w:spacing w:before="0"/>
        <w:ind w:left="709"/>
        <w:rPr>
          <w:rFonts w:cs="Arial"/>
          <w:color w:val="auto"/>
          <w:szCs w:val="24"/>
          <w:lang w:eastAsia="en-US"/>
        </w:rPr>
      </w:pPr>
    </w:p>
    <w:p w14:paraId="081F8F1D" w14:textId="3F3DE1ED" w:rsidR="000A144B" w:rsidRPr="00D810CA" w:rsidRDefault="00386A0E" w:rsidP="00874A98">
      <w:pPr>
        <w:keepNext w:val="0"/>
        <w:numPr>
          <w:ilvl w:val="1"/>
          <w:numId w:val="103"/>
        </w:numPr>
        <w:spacing w:before="0"/>
        <w:ind w:left="709" w:hanging="709"/>
        <w:rPr>
          <w:rFonts w:cs="Arial"/>
          <w:szCs w:val="24"/>
          <w:lang w:eastAsia="en-US"/>
        </w:rPr>
      </w:pPr>
      <w:r w:rsidRPr="003C7E62">
        <w:rPr>
          <w:rFonts w:eastAsia="Arial" w:cs="Arial"/>
        </w:rPr>
        <w:lastRenderedPageBreak/>
        <w:t xml:space="preserve">The Council has produced a </w:t>
      </w:r>
      <w:r w:rsidRPr="003238A8">
        <w:rPr>
          <w:rFonts w:eastAsia="Arial" w:cs="Arial"/>
          <w:strike/>
        </w:rPr>
        <w:t>Green Infrastructure and Biodiversity Technical Paper</w:t>
      </w:r>
      <w:r w:rsidRPr="003C7E62">
        <w:rPr>
          <w:rFonts w:eastAsia="Arial" w:cs="Arial"/>
        </w:rPr>
        <w:t xml:space="preserve"> </w:t>
      </w:r>
      <w:r w:rsidR="003238A8" w:rsidRPr="00A2590B">
        <w:rPr>
          <w:rFonts w:eastAsia="Arial" w:cs="Arial"/>
          <w:color w:val="0070C0"/>
        </w:rPr>
        <w:t xml:space="preserve">Green &amp; Blue Infrastructure and Biodiversity Strategy 2022 – 2032 </w:t>
      </w:r>
      <w:r w:rsidRPr="00A2590B">
        <w:rPr>
          <w:rFonts w:eastAsia="Arial" w:cs="Arial"/>
        </w:rPr>
        <w:t xml:space="preserve">for the </w:t>
      </w:r>
      <w:proofErr w:type="gramStart"/>
      <w:r w:rsidRPr="00A2590B">
        <w:rPr>
          <w:rFonts w:eastAsia="Arial" w:cs="Arial"/>
        </w:rPr>
        <w:t>District</w:t>
      </w:r>
      <w:proofErr w:type="gramEnd"/>
      <w:r w:rsidRPr="00A2590B">
        <w:rPr>
          <w:rFonts w:eastAsia="Arial" w:cs="Arial"/>
        </w:rPr>
        <w:t>. The document examines the connectivity of green</w:t>
      </w:r>
      <w:r w:rsidR="001B4DEF" w:rsidRPr="00A2590B">
        <w:rPr>
          <w:rFonts w:eastAsia="Arial" w:cs="Arial"/>
        </w:rPr>
        <w:t xml:space="preserve"> and blue</w:t>
      </w:r>
      <w:r w:rsidRPr="00A2590B">
        <w:rPr>
          <w:rFonts w:eastAsia="Arial" w:cs="Arial"/>
        </w:rPr>
        <w:t xml:space="preserve"> infrastructure and identifies key strategic and local corridors and assets. Strategic corridors connect key green</w:t>
      </w:r>
      <w:r w:rsidR="00D95880" w:rsidRPr="00A2590B">
        <w:rPr>
          <w:rFonts w:eastAsia="Arial" w:cs="Arial"/>
        </w:rPr>
        <w:t xml:space="preserve"> </w:t>
      </w:r>
      <w:r w:rsidR="00D95880" w:rsidRPr="00A2590B">
        <w:rPr>
          <w:rFonts w:eastAsia="Arial" w:cs="Arial"/>
          <w:color w:val="0070C0"/>
        </w:rPr>
        <w:t>and blue</w:t>
      </w:r>
      <w:r w:rsidRPr="00A2590B">
        <w:rPr>
          <w:rFonts w:eastAsia="Arial" w:cs="Arial"/>
        </w:rPr>
        <w:t xml:space="preserve"> infrastructure resources and/or run between settlements and across district boundar</w:t>
      </w:r>
      <w:r w:rsidRPr="00D810CA">
        <w:rPr>
          <w:rFonts w:eastAsia="Arial" w:cs="Arial"/>
        </w:rPr>
        <w:t>ies. Local corridors connect smaller green spaces and/or link neighbourhoods to the strategic network.</w:t>
      </w:r>
    </w:p>
    <w:p w14:paraId="58FBC9C2" w14:textId="551E5B5B" w:rsidR="000A144B" w:rsidRPr="00D810CA" w:rsidRDefault="000A144B" w:rsidP="00F11936">
      <w:pPr>
        <w:keepNext w:val="0"/>
        <w:spacing w:before="0"/>
        <w:ind w:left="709"/>
        <w:rPr>
          <w:rFonts w:cs="Arial"/>
          <w:szCs w:val="24"/>
          <w:lang w:eastAsia="en-US"/>
        </w:rPr>
      </w:pPr>
    </w:p>
    <w:p w14:paraId="6E66B1A9" w14:textId="74BAA072" w:rsidR="000A144B" w:rsidRPr="00F2268B" w:rsidRDefault="00386A0E" w:rsidP="00874A98">
      <w:pPr>
        <w:keepNext w:val="0"/>
        <w:numPr>
          <w:ilvl w:val="1"/>
          <w:numId w:val="103"/>
        </w:numPr>
        <w:spacing w:before="0"/>
        <w:ind w:left="709" w:hanging="709"/>
        <w:rPr>
          <w:rFonts w:cs="Arial"/>
          <w:szCs w:val="24"/>
          <w:lang w:eastAsia="en-US"/>
        </w:rPr>
      </w:pPr>
      <w:r w:rsidRPr="00D810CA">
        <w:rPr>
          <w:rFonts w:eastAsia="Arial" w:cs="Arial"/>
        </w:rPr>
        <w:t>The Council has also supported the production of the Ashfield Biodiversity Opportunity Mapping Project</w:t>
      </w:r>
      <w:r w:rsidR="001B3418" w:rsidRPr="00D810CA">
        <w:rPr>
          <w:rStyle w:val="FootnoteReference"/>
          <w:rFonts w:eastAsia="Arial" w:cs="Arial"/>
        </w:rPr>
        <w:footnoteReference w:id="75"/>
      </w:r>
      <w:r w:rsidRPr="00D810CA">
        <w:rPr>
          <w:rFonts w:eastAsia="Arial" w:cs="Arial"/>
        </w:rPr>
        <w:t xml:space="preserve"> (BOM).  The project has created a GIS-map showing broad proposals for biodiversity opportunity areas across Ashfield, representing areas in which resources should be targeted to maintain, restore, buffer, link and expand wildlife habitats at a landscape scale.  </w:t>
      </w:r>
    </w:p>
    <w:p w14:paraId="3BF9E09B" w14:textId="77777777" w:rsidR="00F2268B" w:rsidRDefault="00F2268B" w:rsidP="00F2268B">
      <w:pPr>
        <w:keepNext w:val="0"/>
        <w:spacing w:before="0"/>
        <w:rPr>
          <w:rFonts w:cs="Arial"/>
          <w:szCs w:val="24"/>
          <w:lang w:eastAsia="en-US"/>
        </w:rPr>
      </w:pPr>
    </w:p>
    <w:p w14:paraId="0A0B2598" w14:textId="731518F9" w:rsidR="00F2268B" w:rsidRPr="00F2268B" w:rsidRDefault="00F2268B" w:rsidP="00F2268B">
      <w:pPr>
        <w:keepNext w:val="0"/>
        <w:spacing w:before="0"/>
        <w:ind w:left="720"/>
        <w:rPr>
          <w:rFonts w:cs="Arial"/>
          <w:color w:val="0070C0"/>
          <w:szCs w:val="24"/>
          <w:lang w:eastAsia="en-US"/>
        </w:rPr>
      </w:pPr>
      <w:r w:rsidRPr="00F2268B">
        <w:rPr>
          <w:rFonts w:cs="Arial"/>
          <w:color w:val="0070C0"/>
          <w:shd w:val="clear" w:color="auto" w:fill="FFFFFF"/>
        </w:rPr>
        <w:t>Introduced by the Environment Act 2021, the Local Nature Recovery Strategy (LNRS) for Nottingham and Nottinghamshire is designed to enhance and restore biodiversity across the geographical county, including the seven districts (including Ashfield) and Nottingham City. As one of 48 LNRSs across England, the Nottinghamshire and Nottingham LNRS forms part of the UK Government’s Nature Recovery Network, which seeks to address biodiversity loss, climate change, and public health and well-being on a national scale.</w:t>
      </w:r>
    </w:p>
    <w:p w14:paraId="36AA1F97" w14:textId="77777777" w:rsidR="000A144B" w:rsidRPr="00D810CA" w:rsidRDefault="000A144B" w:rsidP="00F11936">
      <w:pPr>
        <w:keepNext w:val="0"/>
        <w:spacing w:before="0"/>
        <w:ind w:left="709"/>
        <w:rPr>
          <w:rFonts w:cs="Arial"/>
          <w:szCs w:val="24"/>
          <w:lang w:eastAsia="en-US"/>
        </w:rPr>
      </w:pPr>
    </w:p>
    <w:p w14:paraId="397AB036" w14:textId="380224A7" w:rsidR="000A144B" w:rsidRPr="003C7E62" w:rsidRDefault="00386A0E" w:rsidP="00874A98">
      <w:pPr>
        <w:keepNext w:val="0"/>
        <w:numPr>
          <w:ilvl w:val="1"/>
          <w:numId w:val="103"/>
        </w:numPr>
        <w:spacing w:before="0"/>
        <w:ind w:left="709" w:hanging="709"/>
        <w:rPr>
          <w:rFonts w:cs="Arial"/>
          <w:color w:val="auto"/>
          <w:szCs w:val="24"/>
          <w:lang w:eastAsia="en-US"/>
        </w:rPr>
      </w:pPr>
      <w:r w:rsidRPr="00D810CA">
        <w:rPr>
          <w:rFonts w:eastAsia="Arial" w:cs="Arial"/>
        </w:rPr>
        <w:t>New development can place additional demands on a range of green</w:t>
      </w:r>
      <w:r w:rsidR="001B4DEF" w:rsidRPr="00D810CA">
        <w:rPr>
          <w:rFonts w:eastAsia="Arial" w:cs="Arial"/>
        </w:rPr>
        <w:t xml:space="preserve"> and blue </w:t>
      </w:r>
      <w:r w:rsidRPr="00D810CA">
        <w:rPr>
          <w:rFonts w:eastAsia="Arial" w:cs="Arial"/>
        </w:rPr>
        <w:t xml:space="preserve">infrastructure and natural assets. As such, development will be required to </w:t>
      </w:r>
      <w:r w:rsidR="001B4DEF" w:rsidRPr="00D810CA">
        <w:rPr>
          <w:rFonts w:eastAsia="Arial" w:cs="Arial"/>
        </w:rPr>
        <w:t xml:space="preserve">protect and enhance </w:t>
      </w:r>
      <w:r w:rsidRPr="00D810CA">
        <w:rPr>
          <w:rFonts w:eastAsia="Arial" w:cs="Arial"/>
        </w:rPr>
        <w:t>the overall green</w:t>
      </w:r>
      <w:r w:rsidR="00AF213C" w:rsidRPr="00AF213C">
        <w:rPr>
          <w:rFonts w:eastAsia="Arial" w:cs="Arial"/>
          <w:color w:val="2E74B5" w:themeColor="accent5" w:themeShade="BF"/>
        </w:rPr>
        <w:t xml:space="preserve"> </w:t>
      </w:r>
      <w:r w:rsidR="00AF213C" w:rsidRPr="00F449C8">
        <w:rPr>
          <w:rFonts w:eastAsia="Arial" w:cs="Arial"/>
          <w:color w:val="2E74B5" w:themeColor="accent5" w:themeShade="BF"/>
        </w:rPr>
        <w:t>and blue</w:t>
      </w:r>
      <w:r w:rsidRPr="00D810CA">
        <w:rPr>
          <w:rFonts w:eastAsia="Arial" w:cs="Arial"/>
        </w:rPr>
        <w:t xml:space="preserve"> infrastructure network, meet the Council’s adopted standards for green space provision, and provide further green</w:t>
      </w:r>
      <w:r w:rsidR="00AF213C" w:rsidRPr="00AF213C">
        <w:rPr>
          <w:rFonts w:eastAsia="Arial" w:cs="Arial"/>
          <w:color w:val="2E74B5" w:themeColor="accent5" w:themeShade="BF"/>
        </w:rPr>
        <w:t xml:space="preserve"> </w:t>
      </w:r>
      <w:r w:rsidR="00AF213C" w:rsidRPr="00F449C8">
        <w:rPr>
          <w:rFonts w:eastAsia="Arial" w:cs="Arial"/>
          <w:color w:val="2E74B5" w:themeColor="accent5" w:themeShade="BF"/>
        </w:rPr>
        <w:t>and blue</w:t>
      </w:r>
      <w:r w:rsidRPr="00D810CA">
        <w:rPr>
          <w:rFonts w:eastAsia="Arial" w:cs="Arial"/>
        </w:rPr>
        <w:t xml:space="preserve"> infrastructure assets, where possible and appropriate, suitable for the </w:t>
      </w:r>
      <w:r w:rsidRPr="003C7E62">
        <w:rPr>
          <w:rFonts w:eastAsia="Arial" w:cs="Arial"/>
          <w:color w:val="auto"/>
        </w:rPr>
        <w:t xml:space="preserve">site as detailed by </w:t>
      </w:r>
      <w:r w:rsidRPr="003B0537">
        <w:rPr>
          <w:rFonts w:eastAsia="Arial" w:cs="Arial"/>
          <w:color w:val="auto"/>
        </w:rPr>
        <w:t>Policy EV4</w:t>
      </w:r>
      <w:r w:rsidRPr="003C7E62">
        <w:rPr>
          <w:rFonts w:eastAsia="Arial" w:cs="Arial"/>
          <w:color w:val="auto"/>
        </w:rPr>
        <w:t xml:space="preserve">.  </w:t>
      </w:r>
    </w:p>
    <w:p w14:paraId="10995024" w14:textId="77777777" w:rsidR="000A144B" w:rsidRPr="003C7E62" w:rsidRDefault="000A144B" w:rsidP="00F11936">
      <w:pPr>
        <w:keepNext w:val="0"/>
        <w:spacing w:before="0"/>
        <w:ind w:left="709"/>
        <w:rPr>
          <w:rFonts w:cs="Arial"/>
          <w:color w:val="auto"/>
          <w:szCs w:val="24"/>
          <w:lang w:eastAsia="en-US"/>
        </w:rPr>
      </w:pPr>
    </w:p>
    <w:p w14:paraId="5C41A820" w14:textId="3B368189" w:rsidR="00557459" w:rsidRPr="00116286" w:rsidRDefault="00386A0E" w:rsidP="00874A98">
      <w:pPr>
        <w:keepNext w:val="0"/>
        <w:numPr>
          <w:ilvl w:val="1"/>
          <w:numId w:val="103"/>
        </w:numPr>
        <w:spacing w:before="0"/>
        <w:ind w:left="709" w:hanging="709"/>
        <w:rPr>
          <w:rFonts w:cs="Arial"/>
          <w:color w:val="0070C0"/>
          <w:szCs w:val="24"/>
          <w:lang w:eastAsia="en-US"/>
        </w:rPr>
      </w:pPr>
      <w:r w:rsidRPr="003C7E62">
        <w:rPr>
          <w:rFonts w:eastAsia="Arial" w:cs="Arial"/>
        </w:rPr>
        <w:t xml:space="preserve">Development proposals should particularly seek to contribute towards the </w:t>
      </w:r>
      <w:r w:rsidRPr="003C7E62">
        <w:rPr>
          <w:rFonts w:cs="Arial"/>
          <w:szCs w:val="24"/>
        </w:rPr>
        <w:t xml:space="preserve">protection and preservation of </w:t>
      </w:r>
      <w:r w:rsidR="001B4DEF">
        <w:rPr>
          <w:rFonts w:cs="Arial"/>
          <w:szCs w:val="24"/>
        </w:rPr>
        <w:t>P</w:t>
      </w:r>
      <w:r w:rsidRPr="003C7E62">
        <w:rPr>
          <w:rFonts w:cs="Arial"/>
          <w:szCs w:val="24"/>
        </w:rPr>
        <w:t xml:space="preserve">riority </w:t>
      </w:r>
      <w:r w:rsidR="001B4DEF">
        <w:rPr>
          <w:rFonts w:cs="Arial"/>
          <w:szCs w:val="24"/>
        </w:rPr>
        <w:t>H</w:t>
      </w:r>
      <w:r w:rsidRPr="003C7E62">
        <w:rPr>
          <w:rFonts w:cs="Arial"/>
          <w:szCs w:val="24"/>
        </w:rPr>
        <w:t xml:space="preserve">abitats and </w:t>
      </w:r>
      <w:r w:rsidR="001B4DEF">
        <w:rPr>
          <w:rFonts w:cs="Arial"/>
          <w:szCs w:val="24"/>
        </w:rPr>
        <w:t>S</w:t>
      </w:r>
      <w:r w:rsidRPr="003C7E62">
        <w:rPr>
          <w:rFonts w:cs="Arial"/>
          <w:szCs w:val="24"/>
        </w:rPr>
        <w:t>pecies listed in Section 41 of the Natural Environment and Rural Communities Act 2006, and the</w:t>
      </w:r>
      <w:r w:rsidRPr="003C7E62">
        <w:rPr>
          <w:rFonts w:eastAsia="Arial" w:cs="Arial"/>
        </w:rPr>
        <w:t xml:space="preserve"> objectives for priority habitats and species identified in the Nottinghamshire Biodiversity Action Plan (BAP)</w:t>
      </w:r>
      <w:r w:rsidRPr="003C7E62">
        <w:rPr>
          <w:rFonts w:eastAsia="Arial" w:cs="Arial"/>
          <w:vertAlign w:val="superscript"/>
        </w:rPr>
        <w:footnoteReference w:id="76"/>
      </w:r>
      <w:r w:rsidRPr="003C7E62">
        <w:rPr>
          <w:rFonts w:eastAsia="Arial" w:cs="Arial"/>
        </w:rPr>
        <w:t xml:space="preserve">.  Proposals should also seek the protection, enhancement and linking of areas identified in the Ashfield </w:t>
      </w:r>
      <w:r w:rsidRPr="003238A8">
        <w:rPr>
          <w:rFonts w:eastAsia="Arial" w:cs="Arial"/>
          <w:strike/>
        </w:rPr>
        <w:t>Green Infrastructure and Biodiversity Technical Pape</w:t>
      </w:r>
      <w:r w:rsidRPr="003C7E62">
        <w:rPr>
          <w:rFonts w:eastAsia="Arial" w:cs="Arial"/>
        </w:rPr>
        <w:t xml:space="preserve">r </w:t>
      </w:r>
      <w:r w:rsidR="003238A8" w:rsidRPr="00A2590B">
        <w:rPr>
          <w:rFonts w:eastAsia="Arial" w:cs="Arial"/>
          <w:color w:val="0070C0"/>
        </w:rPr>
        <w:t xml:space="preserve">Green &amp; Blue Infrastructure and Biodiversity Strategy 2022 – 2032, </w:t>
      </w:r>
      <w:r w:rsidRPr="00A2590B">
        <w:rPr>
          <w:rFonts w:eastAsia="Arial" w:cs="Arial"/>
          <w:strike/>
        </w:rPr>
        <w:t>and</w:t>
      </w:r>
      <w:r w:rsidRPr="00A2590B">
        <w:rPr>
          <w:rFonts w:eastAsia="Arial" w:cs="Arial"/>
        </w:rPr>
        <w:t xml:space="preserve"> the</w:t>
      </w:r>
      <w:r w:rsidRPr="003C7E62">
        <w:rPr>
          <w:rFonts w:eastAsia="Arial" w:cs="Arial"/>
        </w:rPr>
        <w:t xml:space="preserve"> Ashfield Biodiversity Opportunity Mapping Project (BOM)</w:t>
      </w:r>
      <w:r w:rsidR="00A93D67">
        <w:rPr>
          <w:rFonts w:eastAsia="Arial" w:cs="Arial"/>
        </w:rPr>
        <w:t xml:space="preserve"> </w:t>
      </w:r>
      <w:r w:rsidR="00A93D67" w:rsidRPr="00116286">
        <w:rPr>
          <w:rFonts w:eastAsia="Arial" w:cs="Arial"/>
          <w:color w:val="0070C0"/>
        </w:rPr>
        <w:t>and the Local Nature Recovery Strategy for Nottinghamshire and Nottingham</w:t>
      </w:r>
      <w:r w:rsidRPr="00116286">
        <w:rPr>
          <w:rFonts w:eastAsia="Arial" w:cs="Arial"/>
          <w:color w:val="0070C0"/>
        </w:rPr>
        <w:t xml:space="preserve">. </w:t>
      </w:r>
      <w:bookmarkStart w:id="129" w:name="_Hlk76641951"/>
      <w:bookmarkEnd w:id="123"/>
    </w:p>
    <w:p w14:paraId="5074F613" w14:textId="50D9DAF6" w:rsidR="00557459" w:rsidRPr="003C7E62" w:rsidRDefault="00557459" w:rsidP="00F11936">
      <w:pPr>
        <w:keepNext w:val="0"/>
        <w:spacing w:before="0"/>
        <w:ind w:left="709"/>
        <w:rPr>
          <w:rFonts w:eastAsia="Arial" w:cs="Arial"/>
        </w:rPr>
      </w:pPr>
    </w:p>
    <w:p w14:paraId="59FC0E4C" w14:textId="77777777" w:rsidR="00557459" w:rsidRPr="003C7E62" w:rsidRDefault="00557459" w:rsidP="006E2655">
      <w:pPr>
        <w:keepNext w:val="0"/>
        <w:spacing w:before="0"/>
        <w:rPr>
          <w:rFonts w:cs="Arial"/>
          <w:color w:val="auto"/>
          <w:szCs w:val="24"/>
          <w:lang w:eastAsia="en-US"/>
        </w:rPr>
      </w:pPr>
      <w:r w:rsidRPr="003C7E62">
        <w:rPr>
          <w:rFonts w:cs="Arial"/>
          <w:color w:val="auto"/>
          <w:szCs w:val="24"/>
          <w:lang w:eastAsia="en-US"/>
        </w:rPr>
        <w:br w:type="page"/>
      </w:r>
    </w:p>
    <w:p w14:paraId="35BD57DF" w14:textId="2188BD8F" w:rsidR="00557459" w:rsidRPr="009D5737" w:rsidRDefault="00557459" w:rsidP="009D5737">
      <w:pPr>
        <w:pStyle w:val="Heading2"/>
        <w:jc w:val="left"/>
        <w:rPr>
          <w:sz w:val="28"/>
          <w:szCs w:val="28"/>
        </w:rPr>
      </w:pPr>
      <w:bookmarkStart w:id="130" w:name="_Toc145511566"/>
      <w:bookmarkStart w:id="131" w:name="_Hlk146191488"/>
      <w:r w:rsidRPr="009D5737">
        <w:rPr>
          <w:sz w:val="28"/>
          <w:szCs w:val="28"/>
        </w:rPr>
        <w:lastRenderedPageBreak/>
        <w:t>Strategic Policy S1</w:t>
      </w:r>
      <w:r w:rsidR="005908AA" w:rsidRPr="009D5737">
        <w:rPr>
          <w:sz w:val="28"/>
          <w:szCs w:val="28"/>
        </w:rPr>
        <w:t>4</w:t>
      </w:r>
      <w:r w:rsidR="007E1CA9" w:rsidRPr="009D5737">
        <w:rPr>
          <w:sz w:val="28"/>
          <w:szCs w:val="28"/>
        </w:rPr>
        <w:t>:</w:t>
      </w:r>
      <w:r w:rsidRPr="009D5737">
        <w:rPr>
          <w:sz w:val="28"/>
          <w:szCs w:val="28"/>
        </w:rPr>
        <w:t xml:space="preserve"> </w:t>
      </w:r>
      <w:r w:rsidR="005F1B0D" w:rsidRPr="009D5737">
        <w:rPr>
          <w:sz w:val="28"/>
          <w:szCs w:val="28"/>
        </w:rPr>
        <w:t xml:space="preserve">Conserving and Enhancing Our </w:t>
      </w:r>
      <w:r w:rsidRPr="009D5737">
        <w:rPr>
          <w:sz w:val="28"/>
          <w:szCs w:val="28"/>
        </w:rPr>
        <w:t>Historic Environment</w:t>
      </w:r>
      <w:bookmarkEnd w:id="130"/>
    </w:p>
    <w:bookmarkEnd w:id="131"/>
    <w:p w14:paraId="7E72A9D6" w14:textId="77777777" w:rsidR="00FA27F7" w:rsidRPr="00F20A31" w:rsidRDefault="00FA27F7" w:rsidP="00557459">
      <w:pPr>
        <w:keepNext w:val="0"/>
        <w:spacing w:before="0"/>
        <w:rPr>
          <w:rFonts w:cs="Arial"/>
          <w:b/>
          <w:bCs/>
          <w:color w:val="auto"/>
          <w:sz w:val="28"/>
          <w:szCs w:val="28"/>
          <w:lang w:eastAsia="en-US"/>
        </w:rPr>
      </w:pPr>
    </w:p>
    <w:tbl>
      <w:tblPr>
        <w:tblStyle w:val="TableGrid16"/>
        <w:tblW w:w="0" w:type="auto"/>
        <w:tblLook w:val="04A0" w:firstRow="1" w:lastRow="0" w:firstColumn="1" w:lastColumn="0" w:noHBand="0" w:noVBand="1"/>
      </w:tblPr>
      <w:tblGrid>
        <w:gridCol w:w="2245"/>
        <w:gridCol w:w="7374"/>
      </w:tblGrid>
      <w:tr w:rsidR="00FA27F7" w:rsidRPr="00FA27F7" w14:paraId="10567E0E" w14:textId="77777777" w:rsidTr="007C6CA4">
        <w:tc>
          <w:tcPr>
            <w:tcW w:w="9742" w:type="dxa"/>
            <w:gridSpan w:val="2"/>
            <w:tcBorders>
              <w:top w:val="single" w:sz="8" w:space="0" w:color="auto"/>
              <w:left w:val="single" w:sz="8" w:space="0" w:color="auto"/>
              <w:bottom w:val="single" w:sz="8" w:space="0" w:color="auto"/>
              <w:right w:val="single" w:sz="8" w:space="0" w:color="auto"/>
            </w:tcBorders>
          </w:tcPr>
          <w:p w14:paraId="62F5A3CB" w14:textId="77777777" w:rsidR="00FA27F7" w:rsidRPr="00D810CA" w:rsidRDefault="00FA27F7" w:rsidP="00FF3EAD">
            <w:pPr>
              <w:keepNext w:val="0"/>
              <w:spacing w:before="0"/>
              <w:jc w:val="left"/>
              <w:rPr>
                <w:b/>
                <w:bCs/>
              </w:rPr>
            </w:pPr>
            <w:bookmarkStart w:id="132" w:name="_Hlk143163328"/>
          </w:p>
          <w:p w14:paraId="3268E213" w14:textId="30027D39" w:rsidR="00FA27F7" w:rsidRPr="00D810CA" w:rsidRDefault="00FA27F7" w:rsidP="00FF3EAD">
            <w:pPr>
              <w:keepNext w:val="0"/>
              <w:spacing w:before="0"/>
              <w:jc w:val="left"/>
              <w:rPr>
                <w:b/>
                <w:bCs/>
              </w:rPr>
            </w:pPr>
            <w:r w:rsidRPr="00D810CA">
              <w:rPr>
                <w:b/>
                <w:bCs/>
              </w:rPr>
              <w:t>Strategic Policy S</w:t>
            </w:r>
            <w:r w:rsidR="005908AA" w:rsidRPr="00D810CA">
              <w:rPr>
                <w:b/>
                <w:bCs/>
              </w:rPr>
              <w:t xml:space="preserve">14 </w:t>
            </w:r>
            <w:r w:rsidR="005F1B0D" w:rsidRPr="00D810CA">
              <w:rPr>
                <w:b/>
                <w:bCs/>
              </w:rPr>
              <w:t xml:space="preserve">Conserving and Enhancing Our </w:t>
            </w:r>
            <w:r w:rsidRPr="00D810CA">
              <w:rPr>
                <w:b/>
                <w:bCs/>
              </w:rPr>
              <w:t>Historic Environment</w:t>
            </w:r>
          </w:p>
          <w:p w14:paraId="09F4D330" w14:textId="0FEA8123" w:rsidR="00FA27F7" w:rsidRPr="00D810CA" w:rsidRDefault="00FA27F7" w:rsidP="00FF3EAD">
            <w:pPr>
              <w:keepNext w:val="0"/>
              <w:spacing w:before="0"/>
              <w:jc w:val="left"/>
              <w:rPr>
                <w:b/>
                <w:bCs/>
              </w:rPr>
            </w:pPr>
          </w:p>
        </w:tc>
      </w:tr>
      <w:tr w:rsidR="00FA27F7" w:rsidRPr="00FA27F7" w14:paraId="2CE4D1A9" w14:textId="77777777" w:rsidTr="007C6CA4">
        <w:tc>
          <w:tcPr>
            <w:tcW w:w="2263" w:type="dxa"/>
            <w:tcBorders>
              <w:top w:val="single" w:sz="8" w:space="0" w:color="auto"/>
              <w:left w:val="single" w:sz="8" w:space="0" w:color="auto"/>
              <w:bottom w:val="single" w:sz="8" w:space="0" w:color="auto"/>
              <w:right w:val="single" w:sz="8" w:space="0" w:color="auto"/>
            </w:tcBorders>
          </w:tcPr>
          <w:p w14:paraId="612E999A" w14:textId="77777777" w:rsidR="00FA27F7" w:rsidRPr="00FA27F7" w:rsidRDefault="00FA27F7" w:rsidP="00FF3EAD">
            <w:pPr>
              <w:keepNext w:val="0"/>
              <w:spacing w:before="0"/>
              <w:jc w:val="left"/>
              <w:rPr>
                <w:color w:val="auto"/>
              </w:rPr>
            </w:pPr>
            <w:r w:rsidRPr="00FA27F7">
              <w:rPr>
                <w:color w:val="auto"/>
              </w:rPr>
              <w:t>Strategic Objectives</w:t>
            </w:r>
          </w:p>
        </w:tc>
        <w:tc>
          <w:tcPr>
            <w:tcW w:w="7479" w:type="dxa"/>
            <w:tcBorders>
              <w:top w:val="single" w:sz="8" w:space="0" w:color="auto"/>
              <w:left w:val="single" w:sz="8" w:space="0" w:color="auto"/>
              <w:bottom w:val="single" w:sz="8" w:space="0" w:color="auto"/>
              <w:right w:val="single" w:sz="8" w:space="0" w:color="auto"/>
            </w:tcBorders>
          </w:tcPr>
          <w:p w14:paraId="53C7A3D4" w14:textId="77777777" w:rsidR="00FA27F7" w:rsidRPr="00D810CA" w:rsidRDefault="00FA27F7" w:rsidP="00FF3EAD">
            <w:pPr>
              <w:keepNext w:val="0"/>
              <w:spacing w:before="0"/>
              <w:jc w:val="left"/>
            </w:pPr>
            <w:r w:rsidRPr="00D810CA">
              <w:t>SO1, SO7, SO8, SO14.</w:t>
            </w:r>
          </w:p>
        </w:tc>
      </w:tr>
      <w:tr w:rsidR="00FA27F7" w:rsidRPr="00FA27F7" w14:paraId="16E2E6D4" w14:textId="77777777" w:rsidTr="00FA27F7">
        <w:tc>
          <w:tcPr>
            <w:tcW w:w="9742" w:type="dxa"/>
            <w:gridSpan w:val="2"/>
            <w:tcBorders>
              <w:top w:val="single" w:sz="8" w:space="0" w:color="auto"/>
              <w:left w:val="single" w:sz="8" w:space="0" w:color="auto"/>
              <w:bottom w:val="single" w:sz="8" w:space="0" w:color="auto"/>
              <w:right w:val="single" w:sz="8" w:space="0" w:color="auto"/>
            </w:tcBorders>
            <w:shd w:val="clear" w:color="auto" w:fill="D9D9D9"/>
          </w:tcPr>
          <w:p w14:paraId="614C0B79" w14:textId="77777777" w:rsidR="00FA27F7" w:rsidRPr="00D810CA" w:rsidRDefault="00FA27F7" w:rsidP="00FF3EAD">
            <w:pPr>
              <w:keepNext w:val="0"/>
              <w:spacing w:before="0"/>
              <w:jc w:val="left"/>
            </w:pPr>
          </w:p>
          <w:p w14:paraId="3D60FAF2" w14:textId="32926DFE" w:rsidR="00FA27F7" w:rsidRPr="00D810CA" w:rsidRDefault="00FA27F7" w:rsidP="00FF3EAD">
            <w:pPr>
              <w:keepNext w:val="0"/>
              <w:spacing w:before="0"/>
              <w:jc w:val="left"/>
            </w:pPr>
            <w:r w:rsidRPr="00D810CA">
              <w:t xml:space="preserve">The Council will ensure that </w:t>
            </w:r>
            <w:r w:rsidR="00381691" w:rsidRPr="00D810CA">
              <w:t xml:space="preserve">all </w:t>
            </w:r>
            <w:r w:rsidRPr="00D810CA">
              <w:t xml:space="preserve">heritage assets within the </w:t>
            </w:r>
            <w:proofErr w:type="gramStart"/>
            <w:r w:rsidRPr="00D810CA">
              <w:t>District</w:t>
            </w:r>
            <w:proofErr w:type="gramEnd"/>
            <w:r w:rsidRPr="00D810CA">
              <w:t xml:space="preserve"> are </w:t>
            </w:r>
            <w:bookmarkStart w:id="133" w:name="_Hlk143163546"/>
            <w:r w:rsidRPr="00D810CA">
              <w:t>conserved and enhanced</w:t>
            </w:r>
            <w:r w:rsidR="000E688D" w:rsidRPr="00D810CA">
              <w:t>,</w:t>
            </w:r>
            <w:r w:rsidRPr="00D810CA">
              <w:t xml:space="preserve"> </w:t>
            </w:r>
            <w:r w:rsidR="000E688D" w:rsidRPr="00D810CA">
              <w:t xml:space="preserve">in a manner appropriate to their significance, </w:t>
            </w:r>
            <w:r w:rsidRPr="00D810CA">
              <w:t xml:space="preserve">to ensure the continued protection and enjoyment of the historic environment.  </w:t>
            </w:r>
            <w:bookmarkEnd w:id="133"/>
            <w:r w:rsidRPr="00D810CA">
              <w:t xml:space="preserve">This includes </w:t>
            </w:r>
            <w:r w:rsidR="000E688D" w:rsidRPr="00D810CA">
              <w:t xml:space="preserve">designated and non-designated </w:t>
            </w:r>
            <w:r w:rsidRPr="00D810CA">
              <w:t>heritage assets, archaeological sites and historic landscapes, and their setting in accordance with legislation and national policy.</w:t>
            </w:r>
          </w:p>
          <w:p w14:paraId="4C87F586" w14:textId="77777777" w:rsidR="00FA27F7" w:rsidRPr="00D810CA" w:rsidRDefault="00FA27F7" w:rsidP="00FF3EAD">
            <w:pPr>
              <w:keepNext w:val="0"/>
              <w:spacing w:before="0"/>
              <w:jc w:val="left"/>
            </w:pPr>
          </w:p>
        </w:tc>
      </w:tr>
      <w:bookmarkEnd w:id="132"/>
      <w:tr w:rsidR="00FA27F7" w:rsidRPr="00FA27F7" w14:paraId="63F68135" w14:textId="77777777" w:rsidTr="00FA27F7">
        <w:tc>
          <w:tcPr>
            <w:tcW w:w="2263" w:type="dxa"/>
            <w:tcBorders>
              <w:top w:val="single" w:sz="8" w:space="0" w:color="auto"/>
              <w:left w:val="single" w:sz="8" w:space="0" w:color="auto"/>
              <w:bottom w:val="single" w:sz="8" w:space="0" w:color="auto"/>
              <w:right w:val="single" w:sz="8" w:space="0" w:color="auto"/>
            </w:tcBorders>
            <w:shd w:val="clear" w:color="auto" w:fill="D9D9D9"/>
          </w:tcPr>
          <w:p w14:paraId="19BE21FE" w14:textId="77777777" w:rsidR="00FA27F7" w:rsidRPr="00FA27F7" w:rsidRDefault="00FA27F7" w:rsidP="000032A9">
            <w:pPr>
              <w:keepNext w:val="0"/>
              <w:spacing w:before="0"/>
              <w:jc w:val="left"/>
              <w:rPr>
                <w:color w:val="auto"/>
                <w:sz w:val="20"/>
                <w:szCs w:val="20"/>
              </w:rPr>
            </w:pPr>
            <w:r w:rsidRPr="00FA27F7">
              <w:rPr>
                <w:color w:val="auto"/>
                <w:sz w:val="20"/>
                <w:szCs w:val="20"/>
              </w:rPr>
              <w:t>Evidence Base</w:t>
            </w:r>
          </w:p>
        </w:tc>
        <w:tc>
          <w:tcPr>
            <w:tcW w:w="7479" w:type="dxa"/>
            <w:tcBorders>
              <w:top w:val="single" w:sz="8" w:space="0" w:color="auto"/>
              <w:left w:val="single" w:sz="8" w:space="0" w:color="auto"/>
              <w:bottom w:val="single" w:sz="8" w:space="0" w:color="auto"/>
              <w:right w:val="single" w:sz="8" w:space="0" w:color="auto"/>
            </w:tcBorders>
            <w:shd w:val="clear" w:color="auto" w:fill="D9D9D9"/>
          </w:tcPr>
          <w:p w14:paraId="2E2AD1FC" w14:textId="00CF7882" w:rsidR="00FA27F7" w:rsidRPr="00D810CA" w:rsidRDefault="00FA27F7" w:rsidP="00874A98">
            <w:pPr>
              <w:keepNext w:val="0"/>
              <w:numPr>
                <w:ilvl w:val="0"/>
                <w:numId w:val="282"/>
              </w:numPr>
              <w:spacing w:before="0"/>
              <w:contextualSpacing/>
              <w:jc w:val="left"/>
              <w:rPr>
                <w:sz w:val="20"/>
                <w:szCs w:val="20"/>
              </w:rPr>
            </w:pPr>
            <w:r w:rsidRPr="00D810CA">
              <w:rPr>
                <w:sz w:val="20"/>
                <w:szCs w:val="20"/>
              </w:rPr>
              <w:t>Sustainability Appraisal, 202</w:t>
            </w:r>
            <w:r w:rsidR="00B80DEC" w:rsidRPr="00D810CA">
              <w:rPr>
                <w:sz w:val="20"/>
                <w:szCs w:val="20"/>
              </w:rPr>
              <w:t>3</w:t>
            </w:r>
            <w:r w:rsidRPr="00D810CA">
              <w:rPr>
                <w:sz w:val="20"/>
                <w:szCs w:val="20"/>
              </w:rPr>
              <w:t xml:space="preserve">. </w:t>
            </w:r>
            <w:r w:rsidR="00B80DEC" w:rsidRPr="00D810CA">
              <w:rPr>
                <w:sz w:val="20"/>
                <w:szCs w:val="20"/>
              </w:rPr>
              <w:t>WSP UK Limited</w:t>
            </w:r>
            <w:r w:rsidRPr="00D810CA">
              <w:rPr>
                <w:sz w:val="20"/>
                <w:szCs w:val="20"/>
              </w:rPr>
              <w:t>.</w:t>
            </w:r>
          </w:p>
          <w:p w14:paraId="3BC679AD"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Ashfield Criteria for Local Heritage Asset Designation 2013.  Ashfield District Council.</w:t>
            </w:r>
          </w:p>
          <w:p w14:paraId="4836C67A"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Listed Buildings at Risk Register, Historic England.</w:t>
            </w:r>
          </w:p>
          <w:p w14:paraId="78690DFC"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Hardwick Hall Setting Study. 2016, ATKINS (for National Trust).</w:t>
            </w:r>
          </w:p>
          <w:p w14:paraId="714A6A50"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Greater Nottinghamshire Landscape Character Assessment 2009. TEP (for Nottinghamshire County Council &amp; Greater Nottingham Authorities).</w:t>
            </w:r>
          </w:p>
          <w:p w14:paraId="4EDD834F"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Annesley Conservation Area. Adopted 1999, Ashfield District Council.</w:t>
            </w:r>
          </w:p>
          <w:p w14:paraId="23035E78"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 xml:space="preserve">Lower </w:t>
            </w:r>
            <w:proofErr w:type="spellStart"/>
            <w:r w:rsidRPr="00D810CA">
              <w:rPr>
                <w:sz w:val="20"/>
                <w:szCs w:val="20"/>
              </w:rPr>
              <w:t>Bagthorpe</w:t>
            </w:r>
            <w:proofErr w:type="spellEnd"/>
            <w:r w:rsidRPr="00D810CA">
              <w:rPr>
                <w:sz w:val="20"/>
                <w:szCs w:val="20"/>
              </w:rPr>
              <w:t xml:space="preserve"> Conservation Area. Adopted 1975, amended 2007, Ashfield District Council.</w:t>
            </w:r>
          </w:p>
          <w:p w14:paraId="534BE33B"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Kirkby Cross Conservation Area. Adopted 1975, amended 2004, Ashfield District Council.</w:t>
            </w:r>
          </w:p>
          <w:p w14:paraId="21592CC5"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Sutton in Ashfield Church and Market Place Conservation Area. Adopted 2015, Ashfield District Council.</w:t>
            </w:r>
          </w:p>
          <w:p w14:paraId="75174F57"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Teversal Conservation Area. Adopted 1970, amended 2012, Ashfield District Council.</w:t>
            </w:r>
          </w:p>
          <w:p w14:paraId="1A4BAB47" w14:textId="77777777" w:rsidR="00FA27F7" w:rsidRPr="00D810CA" w:rsidRDefault="00FA27F7" w:rsidP="00874A98">
            <w:pPr>
              <w:keepNext w:val="0"/>
              <w:numPr>
                <w:ilvl w:val="0"/>
                <w:numId w:val="282"/>
              </w:numPr>
              <w:spacing w:before="0"/>
              <w:contextualSpacing/>
              <w:jc w:val="left"/>
              <w:rPr>
                <w:sz w:val="20"/>
                <w:szCs w:val="20"/>
              </w:rPr>
            </w:pPr>
            <w:r w:rsidRPr="00D810CA">
              <w:rPr>
                <w:sz w:val="20"/>
                <w:szCs w:val="20"/>
              </w:rPr>
              <w:t>Hucknall Town Centre Conservation Area. Adopted 2019, Ashfield District Council.</w:t>
            </w:r>
          </w:p>
        </w:tc>
      </w:tr>
      <w:tr w:rsidR="00FA27F7" w:rsidRPr="00FA27F7" w14:paraId="1D0CBF86" w14:textId="77777777" w:rsidTr="00FA27F7">
        <w:tc>
          <w:tcPr>
            <w:tcW w:w="2263" w:type="dxa"/>
            <w:tcBorders>
              <w:top w:val="single" w:sz="8" w:space="0" w:color="auto"/>
              <w:left w:val="single" w:sz="8" w:space="0" w:color="auto"/>
              <w:bottom w:val="single" w:sz="8" w:space="0" w:color="auto"/>
              <w:right w:val="single" w:sz="8" w:space="0" w:color="auto"/>
            </w:tcBorders>
            <w:shd w:val="clear" w:color="auto" w:fill="D9D9D9"/>
          </w:tcPr>
          <w:p w14:paraId="02C7B3DC" w14:textId="77777777" w:rsidR="00FA27F7" w:rsidRPr="00FA27F7" w:rsidRDefault="00FA27F7" w:rsidP="000032A9">
            <w:pPr>
              <w:keepNext w:val="0"/>
              <w:spacing w:before="0"/>
              <w:jc w:val="left"/>
              <w:rPr>
                <w:color w:val="auto"/>
                <w:sz w:val="20"/>
                <w:szCs w:val="20"/>
              </w:rPr>
            </w:pPr>
            <w:r w:rsidRPr="00FA27F7">
              <w:rPr>
                <w:color w:val="auto"/>
                <w:sz w:val="20"/>
                <w:szCs w:val="20"/>
              </w:rPr>
              <w:t>National Planning Policy and Guidance</w:t>
            </w:r>
          </w:p>
        </w:tc>
        <w:tc>
          <w:tcPr>
            <w:tcW w:w="7479" w:type="dxa"/>
            <w:tcBorders>
              <w:top w:val="single" w:sz="8" w:space="0" w:color="auto"/>
              <w:left w:val="single" w:sz="8" w:space="0" w:color="auto"/>
              <w:bottom w:val="single" w:sz="8" w:space="0" w:color="auto"/>
              <w:right w:val="single" w:sz="8" w:space="0" w:color="auto"/>
            </w:tcBorders>
            <w:shd w:val="clear" w:color="auto" w:fill="D9D9D9"/>
          </w:tcPr>
          <w:p w14:paraId="424BBE16" w14:textId="57182EF7" w:rsidR="00FA27F7" w:rsidRPr="00FA27F7" w:rsidRDefault="00FA27F7" w:rsidP="00874A98">
            <w:pPr>
              <w:keepNext w:val="0"/>
              <w:numPr>
                <w:ilvl w:val="0"/>
                <w:numId w:val="283"/>
              </w:numPr>
              <w:spacing w:before="0"/>
              <w:contextualSpacing/>
              <w:jc w:val="left"/>
              <w:rPr>
                <w:color w:val="auto"/>
                <w:sz w:val="20"/>
                <w:szCs w:val="20"/>
              </w:rPr>
            </w:pPr>
            <w:r w:rsidRPr="00FA27F7">
              <w:rPr>
                <w:color w:val="auto"/>
                <w:sz w:val="20"/>
                <w:szCs w:val="20"/>
              </w:rPr>
              <w:t>NPPF 202</w:t>
            </w:r>
            <w:r w:rsidR="00616B41">
              <w:rPr>
                <w:color w:val="auto"/>
                <w:sz w:val="20"/>
                <w:szCs w:val="20"/>
              </w:rPr>
              <w:t>3</w:t>
            </w:r>
            <w:r w:rsidRPr="00FA27F7">
              <w:rPr>
                <w:color w:val="auto"/>
                <w:sz w:val="20"/>
                <w:szCs w:val="20"/>
              </w:rPr>
              <w:t>, Part 2: Achieving sustainable development.</w:t>
            </w:r>
          </w:p>
          <w:p w14:paraId="6EC8308D" w14:textId="6FBE2831" w:rsidR="00FA27F7" w:rsidRPr="00FA27F7" w:rsidRDefault="00FA27F7" w:rsidP="00874A98">
            <w:pPr>
              <w:keepNext w:val="0"/>
              <w:numPr>
                <w:ilvl w:val="0"/>
                <w:numId w:val="283"/>
              </w:numPr>
              <w:spacing w:before="0"/>
              <w:contextualSpacing/>
              <w:jc w:val="left"/>
              <w:rPr>
                <w:color w:val="auto"/>
                <w:sz w:val="20"/>
                <w:szCs w:val="20"/>
              </w:rPr>
            </w:pPr>
            <w:r w:rsidRPr="00FA27F7">
              <w:rPr>
                <w:color w:val="auto"/>
                <w:sz w:val="20"/>
                <w:szCs w:val="20"/>
              </w:rPr>
              <w:t>NPPF 202</w:t>
            </w:r>
            <w:r w:rsidR="00616B41">
              <w:rPr>
                <w:color w:val="auto"/>
                <w:sz w:val="20"/>
                <w:szCs w:val="20"/>
              </w:rPr>
              <w:t>3</w:t>
            </w:r>
            <w:r w:rsidRPr="00FA27F7">
              <w:rPr>
                <w:color w:val="auto"/>
                <w:sz w:val="20"/>
                <w:szCs w:val="20"/>
              </w:rPr>
              <w:t>, Part 16: Conserving and enhancing the historic environment.</w:t>
            </w:r>
          </w:p>
          <w:p w14:paraId="10FB8AE9" w14:textId="757E46DE" w:rsidR="00FA27F7" w:rsidRPr="00FA27F7" w:rsidRDefault="00FA27F7" w:rsidP="00874A98">
            <w:pPr>
              <w:keepNext w:val="0"/>
              <w:numPr>
                <w:ilvl w:val="0"/>
                <w:numId w:val="283"/>
              </w:numPr>
              <w:spacing w:before="0"/>
              <w:contextualSpacing/>
              <w:jc w:val="left"/>
              <w:rPr>
                <w:color w:val="auto"/>
                <w:sz w:val="20"/>
                <w:szCs w:val="20"/>
              </w:rPr>
            </w:pPr>
            <w:bookmarkStart w:id="134" w:name="_Hlk139635471"/>
            <w:r w:rsidRPr="00FA27F7">
              <w:rPr>
                <w:color w:val="auto"/>
                <w:sz w:val="20"/>
                <w:szCs w:val="20"/>
              </w:rPr>
              <w:t xml:space="preserve">Planning Practice Guidance: Historic Environment as of </w:t>
            </w:r>
            <w:r w:rsidR="00B80DEC" w:rsidRPr="00D810CA">
              <w:rPr>
                <w:sz w:val="20"/>
                <w:szCs w:val="20"/>
              </w:rPr>
              <w:t>July 2019</w:t>
            </w:r>
            <w:r w:rsidRPr="00D810CA">
              <w:rPr>
                <w:sz w:val="20"/>
                <w:szCs w:val="20"/>
              </w:rPr>
              <w:t>.</w:t>
            </w:r>
            <w:bookmarkEnd w:id="134"/>
          </w:p>
        </w:tc>
      </w:tr>
    </w:tbl>
    <w:p w14:paraId="589151CD" w14:textId="77777777" w:rsidR="00557459" w:rsidRPr="003C7E62" w:rsidRDefault="00557459" w:rsidP="00FA27F7">
      <w:pPr>
        <w:keepNext w:val="0"/>
        <w:spacing w:before="0"/>
        <w:rPr>
          <w:rFonts w:cs="Arial"/>
          <w:color w:val="auto"/>
          <w:szCs w:val="24"/>
          <w:lang w:eastAsia="en-US"/>
        </w:rPr>
      </w:pPr>
    </w:p>
    <w:p w14:paraId="6C9D44DE" w14:textId="77777777" w:rsidR="00557459" w:rsidRPr="003C7E62" w:rsidRDefault="00557459" w:rsidP="006E2655">
      <w:pPr>
        <w:keepNext w:val="0"/>
        <w:spacing w:before="0"/>
        <w:ind w:left="709"/>
        <w:rPr>
          <w:rFonts w:cs="Arial"/>
          <w:color w:val="auto"/>
          <w:szCs w:val="24"/>
          <w:lang w:eastAsia="en-US"/>
        </w:rPr>
      </w:pPr>
    </w:p>
    <w:p w14:paraId="6E12457A" w14:textId="631351BA" w:rsidR="00557459" w:rsidRPr="0065452C" w:rsidRDefault="00386A0E" w:rsidP="00874A98">
      <w:pPr>
        <w:keepNext w:val="0"/>
        <w:numPr>
          <w:ilvl w:val="1"/>
          <w:numId w:val="338"/>
        </w:numPr>
        <w:spacing w:before="0"/>
        <w:ind w:left="709" w:hanging="709"/>
        <w:rPr>
          <w:rFonts w:cs="Arial"/>
          <w:color w:val="auto"/>
          <w:szCs w:val="24"/>
          <w:lang w:eastAsia="en-US"/>
        </w:rPr>
      </w:pPr>
      <w:r w:rsidRPr="0065452C">
        <w:rPr>
          <w:rFonts w:cs="Arial"/>
          <w:color w:val="auto"/>
          <w:szCs w:val="24"/>
        </w:rPr>
        <w:t xml:space="preserve">The historic environment </w:t>
      </w:r>
      <w:r w:rsidR="0065452C" w:rsidRPr="00D810CA">
        <w:rPr>
          <w:rFonts w:eastAsia="Arial" w:cs="Arial"/>
        </w:rPr>
        <w:t xml:space="preserve">is of great importance for education, culture, leisure, tourism and the wider economy.  It </w:t>
      </w:r>
      <w:r w:rsidRPr="0065452C">
        <w:rPr>
          <w:rFonts w:cs="Arial"/>
          <w:color w:val="auto"/>
          <w:szCs w:val="24"/>
        </w:rPr>
        <w:t xml:space="preserve">has tremendous visual appeal, provides inspiration and enjoyment and helps reinforce a sense of local identity. However, this environment can be fragile and once gone it cannot be replaced. Careful management is necessary to ensure its importance is recognised and that it can contribute to the success and growth of the </w:t>
      </w:r>
      <w:proofErr w:type="gramStart"/>
      <w:r w:rsidRPr="0065452C">
        <w:rPr>
          <w:rFonts w:cs="Arial"/>
          <w:color w:val="auto"/>
          <w:szCs w:val="24"/>
        </w:rPr>
        <w:t>District</w:t>
      </w:r>
      <w:proofErr w:type="gramEnd"/>
      <w:r w:rsidRPr="0065452C">
        <w:rPr>
          <w:rFonts w:cs="Arial"/>
          <w:color w:val="auto"/>
          <w:szCs w:val="24"/>
        </w:rPr>
        <w:t xml:space="preserve">. </w:t>
      </w:r>
    </w:p>
    <w:p w14:paraId="6E9D4CB1" w14:textId="77777777" w:rsidR="008C72B3" w:rsidRPr="003C7E62" w:rsidRDefault="008C72B3" w:rsidP="008C72B3">
      <w:pPr>
        <w:keepNext w:val="0"/>
        <w:spacing w:before="0"/>
        <w:rPr>
          <w:rFonts w:cs="Arial"/>
          <w:color w:val="auto"/>
          <w:szCs w:val="24"/>
          <w:lang w:eastAsia="en-US"/>
        </w:rPr>
      </w:pPr>
    </w:p>
    <w:p w14:paraId="5891AD14" w14:textId="0C157491" w:rsidR="00557459" w:rsidRPr="003C7E62" w:rsidRDefault="00386A0E" w:rsidP="00874A98">
      <w:pPr>
        <w:keepNext w:val="0"/>
        <w:numPr>
          <w:ilvl w:val="1"/>
          <w:numId w:val="338"/>
        </w:numPr>
        <w:spacing w:before="0"/>
        <w:ind w:left="709" w:hanging="709"/>
        <w:rPr>
          <w:rFonts w:cs="Arial"/>
          <w:color w:val="auto"/>
          <w:szCs w:val="24"/>
          <w:lang w:eastAsia="en-US"/>
        </w:rPr>
      </w:pPr>
      <w:r w:rsidRPr="003C7E62">
        <w:rPr>
          <w:rFonts w:cs="Arial"/>
          <w:color w:val="auto"/>
        </w:rPr>
        <w:t xml:space="preserve">Heritage assets are buildings, monuments, sites, places, areas or landscapes of historic, archaeological, architectural or artistic interest, whether designated or not, that have a degree of significance. </w:t>
      </w:r>
      <w:bookmarkStart w:id="135" w:name="_Hlk122514279"/>
      <w:r w:rsidRPr="003C7E62">
        <w:rPr>
          <w:rFonts w:cs="Arial"/>
          <w:color w:val="auto"/>
        </w:rPr>
        <w:t xml:space="preserve">The term ‘significance’ can be defined as “the value of a heritage asset to this and future generations because of its heritage </w:t>
      </w:r>
      <w:r w:rsidRPr="003C7E62">
        <w:rPr>
          <w:rFonts w:cs="Arial"/>
          <w:color w:val="auto"/>
        </w:rPr>
        <w:lastRenderedPageBreak/>
        <w:t>interest”</w:t>
      </w:r>
      <w:r w:rsidRPr="003C7E62">
        <w:rPr>
          <w:rFonts w:cs="Arial"/>
          <w:color w:val="auto"/>
          <w:vertAlign w:val="superscript"/>
        </w:rPr>
        <w:footnoteReference w:id="77"/>
      </w:r>
      <w:r w:rsidRPr="003C7E62">
        <w:rPr>
          <w:rFonts w:cs="Arial"/>
          <w:color w:val="auto"/>
        </w:rPr>
        <w:t>.</w:t>
      </w:r>
      <w:bookmarkEnd w:id="135"/>
      <w:r w:rsidRPr="003C7E62">
        <w:rPr>
          <w:rFonts w:cs="Arial"/>
          <w:color w:val="auto"/>
        </w:rPr>
        <w:t xml:space="preserve"> In measuring the significance of an </w:t>
      </w:r>
      <w:r w:rsidR="009D1815" w:rsidRPr="003C7E62">
        <w:rPr>
          <w:rFonts w:cs="Arial"/>
          <w:color w:val="auto"/>
        </w:rPr>
        <w:t>asset,</w:t>
      </w:r>
      <w:r w:rsidRPr="003C7E62">
        <w:rPr>
          <w:rFonts w:cs="Arial"/>
          <w:color w:val="auto"/>
        </w:rPr>
        <w:t xml:space="preserve"> </w:t>
      </w:r>
      <w:proofErr w:type="gramStart"/>
      <w:r w:rsidRPr="003C7E62">
        <w:rPr>
          <w:rFonts w:cs="Arial"/>
          <w:color w:val="auto"/>
        </w:rPr>
        <w:t>a number of</w:t>
      </w:r>
      <w:proofErr w:type="gramEnd"/>
      <w:r w:rsidRPr="003C7E62">
        <w:rPr>
          <w:rFonts w:cs="Arial"/>
          <w:color w:val="auto"/>
        </w:rPr>
        <w:t xml:space="preserve"> factors are assessed, including, but not restricted to, an asset’s rarity, representativeness, association, integrity, evidential value, historical value, aesthetic value, and communal value. </w:t>
      </w:r>
    </w:p>
    <w:p w14:paraId="770B05FB" w14:textId="77777777" w:rsidR="00557459" w:rsidRPr="003C7E62" w:rsidRDefault="00557459" w:rsidP="006E2655">
      <w:pPr>
        <w:keepNext w:val="0"/>
        <w:spacing w:before="0"/>
        <w:ind w:left="709"/>
        <w:rPr>
          <w:rFonts w:cs="Arial"/>
          <w:color w:val="auto"/>
          <w:szCs w:val="24"/>
          <w:lang w:eastAsia="en-US"/>
        </w:rPr>
      </w:pPr>
    </w:p>
    <w:p w14:paraId="59DC99C5" w14:textId="56BCE519" w:rsidR="00557459" w:rsidRPr="003C7E62" w:rsidRDefault="00386A0E" w:rsidP="00874A98">
      <w:pPr>
        <w:keepNext w:val="0"/>
        <w:numPr>
          <w:ilvl w:val="1"/>
          <w:numId w:val="338"/>
        </w:numPr>
        <w:spacing w:before="0"/>
        <w:ind w:left="709" w:hanging="709"/>
        <w:rPr>
          <w:rFonts w:cs="Arial"/>
          <w:color w:val="auto"/>
          <w:szCs w:val="24"/>
          <w:lang w:eastAsia="en-US"/>
        </w:rPr>
      </w:pPr>
      <w:r w:rsidRPr="003C7E62">
        <w:rPr>
          <w:rFonts w:eastAsia="Arial" w:cs="Arial"/>
          <w:color w:val="auto"/>
        </w:rPr>
        <w:t xml:space="preserve">Heritage assets include </w:t>
      </w:r>
      <w:r w:rsidR="003238A8">
        <w:rPr>
          <w:rFonts w:eastAsia="Arial" w:cs="Arial"/>
          <w:color w:val="auto"/>
        </w:rPr>
        <w:t>L</w:t>
      </w:r>
      <w:r w:rsidRPr="003C7E62">
        <w:rPr>
          <w:rFonts w:eastAsia="Arial" w:cs="Arial"/>
          <w:color w:val="auto"/>
        </w:rPr>
        <w:t xml:space="preserve">isted </w:t>
      </w:r>
      <w:r w:rsidR="003238A8">
        <w:rPr>
          <w:rFonts w:eastAsia="Arial" w:cs="Arial"/>
          <w:color w:val="auto"/>
        </w:rPr>
        <w:t>B</w:t>
      </w:r>
      <w:r w:rsidRPr="003C7E62">
        <w:rPr>
          <w:rFonts w:eastAsia="Arial" w:cs="Arial"/>
          <w:color w:val="auto"/>
        </w:rPr>
        <w:t xml:space="preserve">uildings, </w:t>
      </w:r>
      <w:r w:rsidR="003238A8">
        <w:rPr>
          <w:rFonts w:eastAsia="Arial" w:cs="Arial"/>
          <w:color w:val="auto"/>
        </w:rPr>
        <w:t>C</w:t>
      </w:r>
      <w:r w:rsidRPr="003C7E62">
        <w:rPr>
          <w:rFonts w:eastAsia="Arial" w:cs="Arial"/>
          <w:color w:val="auto"/>
        </w:rPr>
        <w:t xml:space="preserve">onservation </w:t>
      </w:r>
      <w:r w:rsidR="003238A8">
        <w:rPr>
          <w:rFonts w:eastAsia="Arial" w:cs="Arial"/>
          <w:color w:val="auto"/>
        </w:rPr>
        <w:t>A</w:t>
      </w:r>
      <w:r w:rsidRPr="003C7E62">
        <w:rPr>
          <w:rFonts w:eastAsia="Arial" w:cs="Arial"/>
          <w:color w:val="auto"/>
        </w:rPr>
        <w:t xml:space="preserve">reas, </w:t>
      </w:r>
      <w:r w:rsidR="003238A8">
        <w:rPr>
          <w:rFonts w:eastAsia="Arial" w:cs="Arial"/>
          <w:color w:val="auto"/>
        </w:rPr>
        <w:t>W</w:t>
      </w:r>
      <w:r w:rsidRPr="003C7E62">
        <w:rPr>
          <w:rFonts w:eastAsia="Arial" w:cs="Arial"/>
          <w:color w:val="auto"/>
        </w:rPr>
        <w:t xml:space="preserve">orld </w:t>
      </w:r>
      <w:r w:rsidR="003238A8">
        <w:rPr>
          <w:rFonts w:eastAsia="Arial" w:cs="Arial"/>
          <w:color w:val="auto"/>
        </w:rPr>
        <w:t>H</w:t>
      </w:r>
      <w:r w:rsidRPr="003C7E62">
        <w:rPr>
          <w:rFonts w:eastAsia="Arial" w:cs="Arial"/>
          <w:color w:val="auto"/>
        </w:rPr>
        <w:t xml:space="preserve">eritage </w:t>
      </w:r>
      <w:r w:rsidR="003238A8">
        <w:rPr>
          <w:rFonts w:eastAsia="Arial" w:cs="Arial"/>
          <w:color w:val="auto"/>
        </w:rPr>
        <w:t>S</w:t>
      </w:r>
      <w:r w:rsidRPr="003C7E62">
        <w:rPr>
          <w:rFonts w:eastAsia="Arial" w:cs="Arial"/>
          <w:color w:val="auto"/>
        </w:rPr>
        <w:t xml:space="preserve">ites, </w:t>
      </w:r>
      <w:r w:rsidRPr="003238A8">
        <w:rPr>
          <w:rFonts w:eastAsia="Arial" w:cs="Arial"/>
          <w:strike/>
          <w:color w:val="auto"/>
        </w:rPr>
        <w:t>historic</w:t>
      </w:r>
      <w:r w:rsidRPr="003C7E62">
        <w:rPr>
          <w:rFonts w:eastAsia="Arial" w:cs="Arial"/>
          <w:color w:val="auto"/>
        </w:rPr>
        <w:t xml:space="preserve"> </w:t>
      </w:r>
      <w:r w:rsidR="003238A8" w:rsidRPr="00A2590B">
        <w:rPr>
          <w:rFonts w:eastAsia="Arial" w:cs="Arial"/>
          <w:color w:val="0070C0"/>
        </w:rPr>
        <w:t>Registered</w:t>
      </w:r>
      <w:r w:rsidR="003238A8" w:rsidRPr="00A2590B">
        <w:rPr>
          <w:rFonts w:eastAsia="Arial" w:cs="Arial"/>
          <w:color w:val="auto"/>
        </w:rPr>
        <w:t xml:space="preserve"> P</w:t>
      </w:r>
      <w:r w:rsidRPr="003C7E62">
        <w:rPr>
          <w:rFonts w:eastAsia="Arial" w:cs="Arial"/>
          <w:color w:val="auto"/>
        </w:rPr>
        <w:t xml:space="preserve">arks and </w:t>
      </w:r>
      <w:r w:rsidR="003238A8">
        <w:rPr>
          <w:rFonts w:eastAsia="Arial" w:cs="Arial"/>
          <w:color w:val="auto"/>
        </w:rPr>
        <w:t>G</w:t>
      </w:r>
      <w:r w:rsidRPr="003C7E62">
        <w:rPr>
          <w:rFonts w:eastAsia="Arial" w:cs="Arial"/>
          <w:color w:val="auto"/>
        </w:rPr>
        <w:t xml:space="preserve">ardens and </w:t>
      </w:r>
      <w:r w:rsidR="003238A8">
        <w:rPr>
          <w:rFonts w:eastAsia="Arial" w:cs="Arial"/>
          <w:color w:val="auto"/>
        </w:rPr>
        <w:t>S</w:t>
      </w:r>
      <w:r w:rsidRPr="003C7E62">
        <w:rPr>
          <w:rFonts w:eastAsia="Arial" w:cs="Arial"/>
          <w:color w:val="auto"/>
        </w:rPr>
        <w:t xml:space="preserve">cheduled </w:t>
      </w:r>
      <w:r w:rsidR="003238A8">
        <w:rPr>
          <w:rFonts w:eastAsia="Arial" w:cs="Arial"/>
          <w:color w:val="auto"/>
        </w:rPr>
        <w:t>M</w:t>
      </w:r>
      <w:r w:rsidRPr="003C7E62">
        <w:rPr>
          <w:rFonts w:eastAsia="Arial" w:cs="Arial"/>
          <w:color w:val="auto"/>
        </w:rPr>
        <w:t xml:space="preserve">onuments. The definition also covers non-designated assets including buildings of local interest, areas of archaeological interest, unregistered parks and gardens and landscape features as defined in the Nottinghamshire Landscape Character Assessment. </w:t>
      </w:r>
    </w:p>
    <w:p w14:paraId="56D7FF09" w14:textId="77777777" w:rsidR="00557459" w:rsidRPr="003C7E62" w:rsidRDefault="00557459" w:rsidP="006E2655">
      <w:pPr>
        <w:keepNext w:val="0"/>
        <w:spacing w:before="0"/>
        <w:ind w:left="709"/>
        <w:rPr>
          <w:rFonts w:cs="Arial"/>
          <w:color w:val="auto"/>
          <w:szCs w:val="24"/>
          <w:lang w:eastAsia="en-US"/>
        </w:rPr>
      </w:pPr>
    </w:p>
    <w:p w14:paraId="6F6AC372" w14:textId="6489BEBB" w:rsidR="00557459" w:rsidRPr="003C7E62" w:rsidRDefault="00386A0E" w:rsidP="00874A98">
      <w:pPr>
        <w:keepNext w:val="0"/>
        <w:numPr>
          <w:ilvl w:val="1"/>
          <w:numId w:val="338"/>
        </w:numPr>
        <w:spacing w:before="0"/>
        <w:ind w:left="709" w:hanging="709"/>
        <w:rPr>
          <w:rFonts w:cs="Arial"/>
          <w:color w:val="auto"/>
          <w:szCs w:val="24"/>
          <w:lang w:eastAsia="en-US"/>
        </w:rPr>
      </w:pPr>
      <w:r w:rsidRPr="003C7E62">
        <w:rPr>
          <w:rFonts w:cs="Arial"/>
          <w:bCs/>
          <w:color w:val="auto"/>
          <w:szCs w:val="24"/>
        </w:rPr>
        <w:t xml:space="preserve">The Council will work with partners, stakeholders and developers through a variety of approaches to sustain and enhance the significance of heritage assets </w:t>
      </w:r>
      <w:r w:rsidR="00557459" w:rsidRPr="003C7E62">
        <w:rPr>
          <w:rFonts w:cs="Arial"/>
          <w:bCs/>
          <w:color w:val="auto"/>
          <w:szCs w:val="24"/>
        </w:rPr>
        <w:t>includ</w:t>
      </w:r>
      <w:r w:rsidR="00FE4057">
        <w:rPr>
          <w:rFonts w:cs="Arial"/>
          <w:bCs/>
          <w:color w:val="auto"/>
          <w:szCs w:val="24"/>
        </w:rPr>
        <w:t>ing:</w:t>
      </w:r>
      <w:bookmarkEnd w:id="129"/>
    </w:p>
    <w:p w14:paraId="75DFE1F7" w14:textId="757C952B" w:rsidR="00557459" w:rsidRPr="003C7E62" w:rsidRDefault="00557459" w:rsidP="006E2655">
      <w:pPr>
        <w:keepNext w:val="0"/>
        <w:spacing w:before="0"/>
        <w:ind w:left="709"/>
        <w:rPr>
          <w:rFonts w:cs="Arial"/>
          <w:bCs/>
          <w:color w:val="auto"/>
          <w:szCs w:val="24"/>
        </w:rPr>
      </w:pPr>
    </w:p>
    <w:p w14:paraId="2DD3FC89" w14:textId="77777777" w:rsidR="00557459" w:rsidRPr="003C7E62" w:rsidRDefault="00557459" w:rsidP="0079686C">
      <w:pPr>
        <w:keepNext w:val="0"/>
        <w:numPr>
          <w:ilvl w:val="0"/>
          <w:numId w:val="65"/>
        </w:numPr>
        <w:spacing w:before="0"/>
        <w:ind w:left="1080" w:hanging="371"/>
        <w:contextualSpacing/>
        <w:jc w:val="both"/>
        <w:rPr>
          <w:rFonts w:cs="Arial"/>
          <w:bCs/>
          <w:color w:val="auto"/>
          <w:szCs w:val="24"/>
        </w:rPr>
      </w:pPr>
      <w:r w:rsidRPr="003C7E62">
        <w:rPr>
          <w:rFonts w:cs="Arial"/>
          <w:bCs/>
          <w:color w:val="auto"/>
          <w:szCs w:val="24"/>
        </w:rPr>
        <w:t>Designating new and reviewing existing conservation area appraisals and producing and implementing related management plans;</w:t>
      </w:r>
    </w:p>
    <w:p w14:paraId="388BDFD3" w14:textId="77777777" w:rsidR="00557459" w:rsidRPr="003C7E62" w:rsidRDefault="00557459" w:rsidP="006E2655">
      <w:pPr>
        <w:tabs>
          <w:tab w:val="left" w:pos="851"/>
        </w:tabs>
        <w:spacing w:before="0"/>
        <w:ind w:left="1080"/>
        <w:contextualSpacing/>
        <w:jc w:val="both"/>
        <w:rPr>
          <w:rFonts w:cs="Arial"/>
          <w:bCs/>
          <w:color w:val="auto"/>
          <w:szCs w:val="24"/>
        </w:rPr>
      </w:pPr>
    </w:p>
    <w:p w14:paraId="69166323" w14:textId="58E79C8D" w:rsidR="00557459" w:rsidRPr="00D810CA" w:rsidRDefault="00557459" w:rsidP="00874A98">
      <w:pPr>
        <w:keepNext w:val="0"/>
        <w:numPr>
          <w:ilvl w:val="0"/>
          <w:numId w:val="65"/>
        </w:numPr>
        <w:spacing w:before="0"/>
        <w:ind w:left="1080"/>
        <w:contextualSpacing/>
        <w:jc w:val="both"/>
        <w:textAlignment w:val="baseline"/>
        <w:rPr>
          <w:rFonts w:cs="Arial"/>
          <w:bCs/>
          <w:szCs w:val="24"/>
        </w:rPr>
      </w:pPr>
      <w:r w:rsidRPr="003C7E62">
        <w:rPr>
          <w:rFonts w:cs="Arial"/>
          <w:bCs/>
          <w:color w:val="auto"/>
          <w:szCs w:val="24"/>
        </w:rPr>
        <w:t>W</w:t>
      </w:r>
      <w:r w:rsidRPr="003C7E62">
        <w:rPr>
          <w:rFonts w:cs="Arial"/>
          <w:color w:val="auto"/>
          <w:szCs w:val="24"/>
        </w:rPr>
        <w:t>orking with owners, Historic England and Nottinghamshire County Council to bring heritage</w:t>
      </w:r>
      <w:r w:rsidR="0065452C">
        <w:rPr>
          <w:rFonts w:cs="Arial"/>
          <w:color w:val="auto"/>
          <w:szCs w:val="24"/>
        </w:rPr>
        <w:t xml:space="preserve"> </w:t>
      </w:r>
      <w:r w:rsidR="0065452C" w:rsidRPr="00D810CA">
        <w:rPr>
          <w:rFonts w:cs="Arial"/>
          <w:szCs w:val="24"/>
        </w:rPr>
        <w:t>assets</w:t>
      </w:r>
      <w:r w:rsidRPr="00D810CA">
        <w:rPr>
          <w:rFonts w:cs="Arial"/>
          <w:szCs w:val="24"/>
        </w:rPr>
        <w:t xml:space="preserve"> identified at risk or vulnerable to risk, back into use;</w:t>
      </w:r>
    </w:p>
    <w:p w14:paraId="1AE62C7B" w14:textId="77777777" w:rsidR="00557459" w:rsidRPr="00D810CA" w:rsidRDefault="00557459" w:rsidP="006E2655">
      <w:pPr>
        <w:spacing w:before="0"/>
        <w:contextualSpacing/>
        <w:jc w:val="both"/>
        <w:rPr>
          <w:rFonts w:cs="Arial"/>
          <w:bCs/>
          <w:szCs w:val="24"/>
        </w:rPr>
      </w:pPr>
    </w:p>
    <w:p w14:paraId="0B451A57" w14:textId="050A977F" w:rsidR="00557459" w:rsidRPr="003C7E62" w:rsidRDefault="00557459" w:rsidP="00874A98">
      <w:pPr>
        <w:keepNext w:val="0"/>
        <w:numPr>
          <w:ilvl w:val="0"/>
          <w:numId w:val="65"/>
        </w:numPr>
        <w:spacing w:before="0"/>
        <w:ind w:left="1080"/>
        <w:jc w:val="both"/>
        <w:textAlignment w:val="baseline"/>
        <w:rPr>
          <w:rFonts w:cs="Arial"/>
          <w:b/>
          <w:color w:val="auto"/>
          <w:szCs w:val="24"/>
        </w:rPr>
      </w:pPr>
      <w:r w:rsidRPr="00D810CA">
        <w:rPr>
          <w:rFonts w:cs="Arial"/>
          <w:bCs/>
          <w:szCs w:val="24"/>
          <w:bdr w:val="none" w:sz="0" w:space="0" w:color="auto" w:frame="1"/>
        </w:rPr>
        <w:t>Facilitating and supporting the identification and review of heritage assets of local historic, architectural and</w:t>
      </w:r>
      <w:r w:rsidR="0065452C" w:rsidRPr="00D810CA">
        <w:rPr>
          <w:rFonts w:cs="Arial"/>
          <w:bCs/>
          <w:szCs w:val="24"/>
          <w:bdr w:val="none" w:sz="0" w:space="0" w:color="auto" w:frame="1"/>
        </w:rPr>
        <w:t>/or</w:t>
      </w:r>
      <w:r w:rsidRPr="00D810CA">
        <w:rPr>
          <w:rFonts w:cs="Arial"/>
          <w:bCs/>
          <w:szCs w:val="24"/>
          <w:bdr w:val="none" w:sz="0" w:space="0" w:color="auto" w:frame="1"/>
        </w:rPr>
        <w:t xml:space="preserve"> </w:t>
      </w:r>
      <w:r w:rsidRPr="003C7E62">
        <w:rPr>
          <w:rFonts w:cs="Arial"/>
          <w:bCs/>
          <w:color w:val="auto"/>
          <w:szCs w:val="24"/>
          <w:bdr w:val="none" w:sz="0" w:space="0" w:color="auto" w:frame="1"/>
        </w:rPr>
        <w:t>archaeological significance in accordance with the Council's agreed procedures</w:t>
      </w:r>
      <w:r w:rsidRPr="003C7E62">
        <w:rPr>
          <w:rFonts w:cs="Arial"/>
          <w:bCs/>
          <w:color w:val="auto"/>
          <w:szCs w:val="24"/>
          <w:bdr w:val="none" w:sz="0" w:space="0" w:color="auto" w:frame="1"/>
          <w:vertAlign w:val="superscript"/>
        </w:rPr>
        <w:footnoteReference w:id="78"/>
      </w:r>
      <w:r w:rsidRPr="003C7E62">
        <w:rPr>
          <w:rFonts w:cs="Arial"/>
          <w:bCs/>
          <w:color w:val="auto"/>
          <w:szCs w:val="24"/>
          <w:bdr w:val="none" w:sz="0" w:space="0" w:color="auto" w:frame="1"/>
        </w:rPr>
        <w:t>;</w:t>
      </w:r>
    </w:p>
    <w:p w14:paraId="75104329" w14:textId="77777777" w:rsidR="00557459" w:rsidRPr="003C7E62" w:rsidRDefault="00557459" w:rsidP="006E2655">
      <w:pPr>
        <w:spacing w:before="0"/>
        <w:ind w:left="360"/>
        <w:contextualSpacing/>
        <w:jc w:val="both"/>
        <w:rPr>
          <w:rFonts w:cs="Arial"/>
          <w:bCs/>
          <w:color w:val="auto"/>
          <w:szCs w:val="24"/>
          <w:bdr w:val="none" w:sz="0" w:space="0" w:color="auto" w:frame="1"/>
        </w:rPr>
      </w:pPr>
    </w:p>
    <w:p w14:paraId="0BED67A5" w14:textId="77777777" w:rsidR="00557459" w:rsidRPr="003C7E62" w:rsidRDefault="00557459" w:rsidP="00874A98">
      <w:pPr>
        <w:keepNext w:val="0"/>
        <w:numPr>
          <w:ilvl w:val="0"/>
          <w:numId w:val="65"/>
        </w:numPr>
        <w:spacing w:before="0"/>
        <w:ind w:left="1080"/>
        <w:jc w:val="both"/>
        <w:textAlignment w:val="baseline"/>
        <w:rPr>
          <w:rFonts w:cs="Arial"/>
          <w:bCs/>
          <w:color w:val="auto"/>
          <w:szCs w:val="24"/>
        </w:rPr>
      </w:pPr>
      <w:r w:rsidRPr="003C7E62">
        <w:rPr>
          <w:rFonts w:cs="Arial"/>
          <w:bCs/>
          <w:color w:val="auto"/>
          <w:szCs w:val="24"/>
          <w:bdr w:val="none" w:sz="0" w:space="0" w:color="auto" w:frame="1"/>
        </w:rPr>
        <w:t xml:space="preserve">Supporting appropriate interpretation and promotion of the heritage assets throughout the </w:t>
      </w:r>
      <w:proofErr w:type="gramStart"/>
      <w:r w:rsidRPr="003C7E62">
        <w:rPr>
          <w:rFonts w:cs="Arial"/>
          <w:bCs/>
          <w:color w:val="auto"/>
          <w:szCs w:val="24"/>
          <w:bdr w:val="none" w:sz="0" w:space="0" w:color="auto" w:frame="1"/>
        </w:rPr>
        <w:t>District</w:t>
      </w:r>
      <w:proofErr w:type="gramEnd"/>
      <w:r w:rsidRPr="003C7E62">
        <w:rPr>
          <w:rFonts w:cs="Arial"/>
          <w:bCs/>
          <w:color w:val="auto"/>
          <w:szCs w:val="24"/>
          <w:bdr w:val="none" w:sz="0" w:space="0" w:color="auto" w:frame="1"/>
        </w:rPr>
        <w:t xml:space="preserve">. </w:t>
      </w:r>
    </w:p>
    <w:p w14:paraId="2DADE036" w14:textId="77777777" w:rsidR="00557459" w:rsidRPr="003C7E62" w:rsidRDefault="00557459" w:rsidP="006E2655">
      <w:pPr>
        <w:keepNext w:val="0"/>
        <w:spacing w:before="0"/>
        <w:rPr>
          <w:rFonts w:cs="Arial"/>
          <w:color w:val="auto"/>
          <w:szCs w:val="24"/>
          <w:lang w:eastAsia="en-US"/>
        </w:rPr>
      </w:pPr>
      <w:r w:rsidRPr="003C7E62">
        <w:rPr>
          <w:rFonts w:cs="Arial"/>
          <w:color w:val="auto"/>
          <w:szCs w:val="24"/>
          <w:lang w:eastAsia="en-US"/>
        </w:rPr>
        <w:br w:type="page"/>
      </w:r>
    </w:p>
    <w:p w14:paraId="520BE555" w14:textId="15DCDB4A" w:rsidR="000E507A" w:rsidRPr="009D5737" w:rsidRDefault="000E507A" w:rsidP="009D5737">
      <w:pPr>
        <w:pStyle w:val="Heading2"/>
        <w:jc w:val="left"/>
        <w:rPr>
          <w:sz w:val="28"/>
          <w:szCs w:val="28"/>
        </w:rPr>
      </w:pPr>
      <w:bookmarkStart w:id="136" w:name="_Toc145511567"/>
      <w:bookmarkStart w:id="137" w:name="_Hlk146191571"/>
      <w:r w:rsidRPr="009D5737">
        <w:rPr>
          <w:sz w:val="28"/>
          <w:szCs w:val="28"/>
        </w:rPr>
        <w:lastRenderedPageBreak/>
        <w:t>Strategic Policy S1</w:t>
      </w:r>
      <w:r w:rsidR="005908AA" w:rsidRPr="009D5737">
        <w:rPr>
          <w:sz w:val="28"/>
          <w:szCs w:val="28"/>
        </w:rPr>
        <w:t>5</w:t>
      </w:r>
      <w:r w:rsidR="007E1CA9" w:rsidRPr="009D5737">
        <w:rPr>
          <w:sz w:val="28"/>
          <w:szCs w:val="28"/>
        </w:rPr>
        <w:t>:</w:t>
      </w:r>
      <w:r w:rsidRPr="009D5737">
        <w:rPr>
          <w:sz w:val="28"/>
          <w:szCs w:val="28"/>
        </w:rPr>
        <w:t xml:space="preserve"> </w:t>
      </w:r>
      <w:r w:rsidR="005F1B0D" w:rsidRPr="009D5737">
        <w:rPr>
          <w:sz w:val="28"/>
          <w:szCs w:val="28"/>
        </w:rPr>
        <w:t>Safeguarding Mineral Resources</w:t>
      </w:r>
      <w:bookmarkEnd w:id="136"/>
    </w:p>
    <w:bookmarkEnd w:id="137"/>
    <w:p w14:paraId="41DA5606" w14:textId="77777777" w:rsidR="000E507A" w:rsidRPr="003C7E62" w:rsidRDefault="000E507A" w:rsidP="00557459">
      <w:pPr>
        <w:keepNext w:val="0"/>
        <w:spacing w:before="0"/>
        <w:rPr>
          <w:rFonts w:cs="Arial"/>
          <w:color w:val="auto"/>
          <w:szCs w:val="24"/>
          <w:lang w:eastAsia="en-US"/>
        </w:rPr>
      </w:pPr>
    </w:p>
    <w:tbl>
      <w:tblPr>
        <w:tblStyle w:val="ReportTable1"/>
        <w:tblW w:w="9634" w:type="dxa"/>
        <w:tblLook w:val="04A0" w:firstRow="1" w:lastRow="0" w:firstColumn="1" w:lastColumn="0" w:noHBand="0" w:noVBand="1"/>
      </w:tblPr>
      <w:tblGrid>
        <w:gridCol w:w="1555"/>
        <w:gridCol w:w="1062"/>
        <w:gridCol w:w="7017"/>
      </w:tblGrid>
      <w:tr w:rsidR="00557459" w:rsidRPr="003C7E62" w14:paraId="46D7A2C8" w14:textId="77777777" w:rsidTr="005334C0">
        <w:tc>
          <w:tcPr>
            <w:tcW w:w="9634" w:type="dxa"/>
            <w:gridSpan w:val="3"/>
          </w:tcPr>
          <w:p w14:paraId="74F0759F" w14:textId="77777777" w:rsidR="00FA27F7" w:rsidRPr="00D810CA" w:rsidRDefault="00FA27F7" w:rsidP="00523DED">
            <w:pPr>
              <w:keepNext w:val="0"/>
              <w:spacing w:before="0"/>
              <w:rPr>
                <w:rFonts w:cs="Arial"/>
                <w:b/>
                <w:bCs/>
                <w:szCs w:val="24"/>
                <w:lang w:eastAsia="en-US"/>
              </w:rPr>
            </w:pPr>
            <w:bookmarkStart w:id="138" w:name="_Hlk78264780"/>
          </w:p>
          <w:p w14:paraId="272BD2D4" w14:textId="08E2B5E7" w:rsidR="00FA27F7" w:rsidRPr="00D810CA" w:rsidRDefault="00557459" w:rsidP="005F1B0D">
            <w:pPr>
              <w:keepNext w:val="0"/>
              <w:spacing w:before="0"/>
              <w:rPr>
                <w:rFonts w:cs="Arial"/>
                <w:b/>
                <w:bCs/>
                <w:szCs w:val="24"/>
                <w:lang w:eastAsia="en-US"/>
              </w:rPr>
            </w:pPr>
            <w:r w:rsidRPr="00D810CA">
              <w:rPr>
                <w:rFonts w:cs="Arial"/>
                <w:b/>
                <w:bCs/>
                <w:szCs w:val="24"/>
                <w:lang w:eastAsia="en-US"/>
              </w:rPr>
              <w:t>Strategic Policy S</w:t>
            </w:r>
            <w:r w:rsidR="005908AA" w:rsidRPr="00D810CA">
              <w:rPr>
                <w:rFonts w:cs="Arial"/>
                <w:b/>
                <w:bCs/>
                <w:szCs w:val="24"/>
                <w:lang w:eastAsia="en-US"/>
              </w:rPr>
              <w:t>1</w:t>
            </w:r>
            <w:r w:rsidR="00EF0E94" w:rsidRPr="00D810CA">
              <w:rPr>
                <w:rFonts w:cs="Arial"/>
                <w:b/>
                <w:bCs/>
                <w:szCs w:val="24"/>
                <w:lang w:eastAsia="en-US"/>
              </w:rPr>
              <w:t>5</w:t>
            </w:r>
            <w:r w:rsidR="00D810CA">
              <w:rPr>
                <w:rFonts w:cs="Arial"/>
                <w:b/>
                <w:bCs/>
                <w:szCs w:val="24"/>
                <w:lang w:eastAsia="en-US"/>
              </w:rPr>
              <w:t>:</w:t>
            </w:r>
            <w:r w:rsidRPr="00D810CA">
              <w:rPr>
                <w:rFonts w:cs="Arial"/>
                <w:b/>
                <w:bCs/>
                <w:szCs w:val="24"/>
                <w:lang w:eastAsia="en-US"/>
              </w:rPr>
              <w:t xml:space="preserve"> </w:t>
            </w:r>
            <w:r w:rsidR="005F1B0D" w:rsidRPr="00D810CA">
              <w:rPr>
                <w:rFonts w:cs="Arial"/>
                <w:b/>
                <w:bCs/>
                <w:szCs w:val="24"/>
                <w:lang w:eastAsia="en-US"/>
              </w:rPr>
              <w:t xml:space="preserve">Safeguarding Mineral Resources </w:t>
            </w:r>
          </w:p>
          <w:p w14:paraId="678A7C83" w14:textId="40841BD0" w:rsidR="005F1B0D" w:rsidRPr="00D810CA" w:rsidRDefault="005F1B0D" w:rsidP="005F1B0D">
            <w:pPr>
              <w:keepNext w:val="0"/>
              <w:spacing w:before="0"/>
              <w:rPr>
                <w:rFonts w:cs="Arial"/>
                <w:b/>
                <w:bCs/>
                <w:szCs w:val="24"/>
                <w:lang w:eastAsia="en-US"/>
              </w:rPr>
            </w:pPr>
          </w:p>
        </w:tc>
      </w:tr>
      <w:tr w:rsidR="00557459" w:rsidRPr="003C7E62" w14:paraId="541A2731" w14:textId="77777777" w:rsidTr="005334C0">
        <w:tc>
          <w:tcPr>
            <w:tcW w:w="2617" w:type="dxa"/>
            <w:gridSpan w:val="2"/>
          </w:tcPr>
          <w:p w14:paraId="598CA06E" w14:textId="77777777" w:rsidR="00557459" w:rsidRPr="00FA27F7" w:rsidRDefault="00557459" w:rsidP="00523DED">
            <w:pPr>
              <w:keepNext w:val="0"/>
              <w:tabs>
                <w:tab w:val="left" w:pos="680"/>
              </w:tabs>
              <w:spacing w:before="40" w:after="40"/>
              <w:rPr>
                <w:rFonts w:eastAsia="Arial" w:cs="Arial"/>
                <w:bCs/>
                <w:color w:val="auto"/>
              </w:rPr>
            </w:pPr>
            <w:r w:rsidRPr="00FA27F7">
              <w:rPr>
                <w:rFonts w:eastAsia="Arial" w:cs="Arial"/>
                <w:bCs/>
                <w:color w:val="auto"/>
              </w:rPr>
              <w:t>Strategic Objectives</w:t>
            </w:r>
          </w:p>
        </w:tc>
        <w:tc>
          <w:tcPr>
            <w:tcW w:w="7017" w:type="dxa"/>
          </w:tcPr>
          <w:p w14:paraId="02F38AA2" w14:textId="77777777" w:rsidR="00557459" w:rsidRPr="00D810CA" w:rsidRDefault="00557459" w:rsidP="00523DED">
            <w:pPr>
              <w:keepNext w:val="0"/>
              <w:tabs>
                <w:tab w:val="left" w:pos="680"/>
              </w:tabs>
              <w:spacing w:before="40" w:after="40"/>
              <w:rPr>
                <w:rFonts w:eastAsia="Arial" w:cs="Arial"/>
                <w:bCs/>
              </w:rPr>
            </w:pPr>
            <w:r w:rsidRPr="00D810CA">
              <w:rPr>
                <w:rFonts w:eastAsia="Arial" w:cs="Arial"/>
                <w:bCs/>
              </w:rPr>
              <w:t>SO13, SO14.</w:t>
            </w:r>
          </w:p>
        </w:tc>
      </w:tr>
      <w:tr w:rsidR="00557459" w:rsidRPr="003C7E62" w14:paraId="5F163436" w14:textId="77777777" w:rsidTr="005334C0">
        <w:tc>
          <w:tcPr>
            <w:tcW w:w="9634" w:type="dxa"/>
            <w:gridSpan w:val="3"/>
            <w:shd w:val="clear" w:color="auto" w:fill="DBDBDB"/>
          </w:tcPr>
          <w:p w14:paraId="0A5E6171" w14:textId="77777777" w:rsidR="00557459" w:rsidRPr="00D810CA" w:rsidRDefault="00557459" w:rsidP="006E2655">
            <w:pPr>
              <w:keepNext w:val="0"/>
              <w:spacing w:before="0"/>
              <w:rPr>
                <w:rFonts w:cs="Arial"/>
                <w:b/>
                <w:szCs w:val="24"/>
              </w:rPr>
            </w:pPr>
          </w:p>
          <w:p w14:paraId="61CCDFF9" w14:textId="7DF9E707" w:rsidR="00557459" w:rsidRPr="00D810CA" w:rsidRDefault="00557459" w:rsidP="006E2655">
            <w:pPr>
              <w:keepNext w:val="0"/>
              <w:spacing w:before="0"/>
              <w:rPr>
                <w:rFonts w:cs="Arial"/>
                <w:bCs/>
                <w:szCs w:val="24"/>
              </w:rPr>
            </w:pPr>
            <w:r w:rsidRPr="00D810CA">
              <w:rPr>
                <w:rFonts w:cs="Arial"/>
                <w:bCs/>
                <w:szCs w:val="24"/>
              </w:rPr>
              <w:t>In Minerals Safeguarded Areas, the Minerals Planning Authority will be consulted on non-exempt development proposal. Planning permission in Minerals Safeguarded Areas will not be granted for non-exempt development unless the requirements set out in the minerals safeguarding policies of the Minerals Local Plan have been met.</w:t>
            </w:r>
          </w:p>
          <w:p w14:paraId="0BB94EF1" w14:textId="77777777" w:rsidR="00557459" w:rsidRPr="00D810CA" w:rsidRDefault="00557459" w:rsidP="00523DED">
            <w:pPr>
              <w:keepNext w:val="0"/>
              <w:tabs>
                <w:tab w:val="left" w:pos="680"/>
                <w:tab w:val="left" w:pos="1133"/>
                <w:tab w:val="left" w:pos="2267"/>
              </w:tabs>
              <w:spacing w:before="0"/>
              <w:ind w:right="284"/>
              <w:rPr>
                <w:rFonts w:eastAsia="Arial" w:cs="Arial"/>
                <w:b/>
              </w:rPr>
            </w:pPr>
          </w:p>
        </w:tc>
      </w:tr>
      <w:bookmarkEnd w:id="138"/>
      <w:tr w:rsidR="00557459" w:rsidRPr="003C7E62" w14:paraId="43559A80" w14:textId="77777777" w:rsidTr="005334C0">
        <w:tc>
          <w:tcPr>
            <w:tcW w:w="1555" w:type="dxa"/>
            <w:shd w:val="clear" w:color="auto" w:fill="FFFFFF" w:themeFill="background1"/>
          </w:tcPr>
          <w:p w14:paraId="71DDF273" w14:textId="77777777" w:rsidR="00557459" w:rsidRPr="001347BB" w:rsidRDefault="00557459" w:rsidP="000032A9">
            <w:pPr>
              <w:keepNext w:val="0"/>
              <w:tabs>
                <w:tab w:val="left" w:pos="680"/>
                <w:tab w:val="left" w:pos="1133"/>
                <w:tab w:val="left" w:pos="2267"/>
              </w:tabs>
              <w:spacing w:before="0"/>
              <w:ind w:right="284"/>
              <w:rPr>
                <w:rFonts w:eastAsia="Arial" w:cs="Arial"/>
                <w:bCs/>
                <w:szCs w:val="24"/>
              </w:rPr>
            </w:pPr>
            <w:r w:rsidRPr="001347BB">
              <w:rPr>
                <w:rFonts w:eastAsia="Arial" w:cs="Arial"/>
                <w:bCs/>
                <w:sz w:val="20"/>
              </w:rPr>
              <w:t>Evidence base</w:t>
            </w:r>
          </w:p>
        </w:tc>
        <w:tc>
          <w:tcPr>
            <w:tcW w:w="8079" w:type="dxa"/>
            <w:gridSpan w:val="2"/>
            <w:shd w:val="clear" w:color="auto" w:fill="FFFFFF" w:themeFill="background1"/>
          </w:tcPr>
          <w:p w14:paraId="6AAB2920" w14:textId="77777777" w:rsidR="00557459" w:rsidRPr="00D810CA" w:rsidRDefault="00557459" w:rsidP="000032A9">
            <w:pPr>
              <w:keepNext w:val="0"/>
              <w:numPr>
                <w:ilvl w:val="0"/>
                <w:numId w:val="32"/>
              </w:numPr>
              <w:tabs>
                <w:tab w:val="left" w:pos="680"/>
                <w:tab w:val="left" w:pos="1133"/>
                <w:tab w:val="left" w:pos="2267"/>
              </w:tabs>
              <w:spacing w:before="0" w:after="160" w:line="252" w:lineRule="auto"/>
              <w:ind w:right="284"/>
              <w:contextualSpacing/>
              <w:rPr>
                <w:rFonts w:eastAsia="Arial" w:cs="Arial"/>
                <w:bCs/>
                <w:sz w:val="20"/>
              </w:rPr>
            </w:pPr>
            <w:r w:rsidRPr="00D810CA">
              <w:rPr>
                <w:rFonts w:eastAsia="Arial" w:cs="Arial"/>
                <w:bCs/>
                <w:sz w:val="20"/>
              </w:rPr>
              <w:t>The Nottinghamshire Minerals Local Plan</w:t>
            </w:r>
            <w:r w:rsidRPr="00D810CA" w:rsidDel="00FC4A70">
              <w:rPr>
                <w:rFonts w:eastAsia="Arial" w:cs="Arial"/>
                <w:bCs/>
                <w:sz w:val="20"/>
              </w:rPr>
              <w:t xml:space="preserve"> </w:t>
            </w:r>
            <w:r w:rsidRPr="00D810CA">
              <w:rPr>
                <w:rFonts w:eastAsia="Arial" w:cs="Arial"/>
                <w:bCs/>
                <w:sz w:val="20"/>
              </w:rPr>
              <w:t>2021.  Nottinghamshire County Council.</w:t>
            </w:r>
          </w:p>
        </w:tc>
      </w:tr>
      <w:tr w:rsidR="00557459" w:rsidRPr="003C7E62" w14:paraId="40B443D1" w14:textId="77777777" w:rsidTr="005334C0">
        <w:tc>
          <w:tcPr>
            <w:tcW w:w="1555" w:type="dxa"/>
            <w:shd w:val="clear" w:color="auto" w:fill="FFFFFF" w:themeFill="background1"/>
          </w:tcPr>
          <w:p w14:paraId="4614ED3A" w14:textId="77777777" w:rsidR="00557459" w:rsidRPr="001347BB" w:rsidRDefault="00557459" w:rsidP="000032A9">
            <w:pPr>
              <w:keepNext w:val="0"/>
              <w:spacing w:before="0"/>
              <w:contextualSpacing/>
              <w:rPr>
                <w:rFonts w:eastAsia="Arial" w:cs="Arial"/>
                <w:bCs/>
                <w:szCs w:val="24"/>
              </w:rPr>
            </w:pPr>
            <w:r w:rsidRPr="001347BB">
              <w:rPr>
                <w:rFonts w:eastAsia="Arial" w:cs="Arial"/>
                <w:bCs/>
                <w:sz w:val="20"/>
              </w:rPr>
              <w:t>National Planning Policy and Guidance</w:t>
            </w:r>
          </w:p>
        </w:tc>
        <w:tc>
          <w:tcPr>
            <w:tcW w:w="8079" w:type="dxa"/>
            <w:gridSpan w:val="2"/>
            <w:shd w:val="clear" w:color="auto" w:fill="FFFFFF" w:themeFill="background1"/>
          </w:tcPr>
          <w:p w14:paraId="2BDDA3E9" w14:textId="77777777" w:rsidR="00557459" w:rsidRPr="00D810CA" w:rsidRDefault="00557459" w:rsidP="000032A9">
            <w:pPr>
              <w:keepNext w:val="0"/>
              <w:numPr>
                <w:ilvl w:val="0"/>
                <w:numId w:val="32"/>
              </w:numPr>
              <w:spacing w:before="0" w:after="160" w:line="252" w:lineRule="auto"/>
              <w:contextualSpacing/>
              <w:rPr>
                <w:rFonts w:cs="Arial"/>
                <w:sz w:val="20"/>
                <w:lang w:eastAsia="en-US"/>
              </w:rPr>
            </w:pPr>
            <w:r w:rsidRPr="00D810CA">
              <w:rPr>
                <w:rFonts w:eastAsia="Calibri" w:cs="Arial"/>
                <w:sz w:val="20"/>
                <w:lang w:eastAsia="en-US"/>
              </w:rPr>
              <w:t>NPPF 2021, Part 17: Facilitating the sustainable use of minerals</w:t>
            </w:r>
          </w:p>
          <w:p w14:paraId="70E5F350" w14:textId="3AD9CC15" w:rsidR="00557459" w:rsidRPr="00D810CA" w:rsidRDefault="00557459" w:rsidP="000032A9">
            <w:pPr>
              <w:keepNext w:val="0"/>
              <w:numPr>
                <w:ilvl w:val="0"/>
                <w:numId w:val="32"/>
              </w:numPr>
              <w:spacing w:before="0" w:after="160" w:line="252" w:lineRule="auto"/>
              <w:contextualSpacing/>
              <w:rPr>
                <w:rFonts w:cs="Arial"/>
                <w:sz w:val="20"/>
                <w:lang w:eastAsia="en-US"/>
              </w:rPr>
            </w:pPr>
            <w:r w:rsidRPr="00D810CA">
              <w:rPr>
                <w:rFonts w:cs="Arial"/>
                <w:sz w:val="20"/>
                <w:lang w:eastAsia="en-US"/>
              </w:rPr>
              <w:t xml:space="preserve">Planning Practice Guidance: Minerals as </w:t>
            </w:r>
            <w:r w:rsidR="009D1815" w:rsidRPr="00D810CA">
              <w:rPr>
                <w:rFonts w:cs="Arial"/>
                <w:sz w:val="20"/>
                <w:lang w:eastAsia="en-US"/>
              </w:rPr>
              <w:t>of</w:t>
            </w:r>
            <w:r w:rsidRPr="00D810CA">
              <w:rPr>
                <w:rFonts w:cs="Arial"/>
                <w:sz w:val="20"/>
                <w:lang w:eastAsia="en-US"/>
              </w:rPr>
              <w:t xml:space="preserve"> </w:t>
            </w:r>
            <w:r w:rsidR="00B80DEC" w:rsidRPr="00D810CA">
              <w:rPr>
                <w:rFonts w:cs="Arial"/>
                <w:sz w:val="20"/>
                <w:lang w:eastAsia="en-US"/>
              </w:rPr>
              <w:t>October 2014</w:t>
            </w:r>
            <w:r w:rsidRPr="00D810CA">
              <w:rPr>
                <w:rFonts w:cs="Arial"/>
                <w:sz w:val="20"/>
                <w:lang w:eastAsia="en-US"/>
              </w:rPr>
              <w:t>.</w:t>
            </w:r>
          </w:p>
        </w:tc>
      </w:tr>
    </w:tbl>
    <w:p w14:paraId="5E9A7739" w14:textId="77777777" w:rsidR="00557459" w:rsidRPr="003C7E62" w:rsidRDefault="00557459" w:rsidP="00557459">
      <w:pPr>
        <w:keepNext w:val="0"/>
        <w:tabs>
          <w:tab w:val="left" w:pos="680"/>
          <w:tab w:val="left" w:pos="1133"/>
          <w:tab w:val="left" w:pos="2267"/>
        </w:tabs>
        <w:spacing w:before="0"/>
        <w:ind w:left="283" w:right="284"/>
        <w:rPr>
          <w:rFonts w:eastAsia="Arial" w:cs="Arial"/>
          <w:b/>
          <w:color w:val="auto"/>
          <w:szCs w:val="24"/>
        </w:rPr>
      </w:pPr>
    </w:p>
    <w:p w14:paraId="2E5D5E6A" w14:textId="4F290A20" w:rsidR="00557459" w:rsidRPr="003C7E62" w:rsidRDefault="00557459" w:rsidP="00F11936">
      <w:pPr>
        <w:spacing w:before="0"/>
        <w:rPr>
          <w:rFonts w:cs="Arial"/>
          <w:color w:val="auto"/>
          <w:szCs w:val="24"/>
        </w:rPr>
      </w:pPr>
    </w:p>
    <w:p w14:paraId="35C20794" w14:textId="4FD23ADD" w:rsidR="00557459" w:rsidRPr="003C7E62" w:rsidRDefault="00557459" w:rsidP="00874A98">
      <w:pPr>
        <w:pStyle w:val="ListParagraph"/>
        <w:numPr>
          <w:ilvl w:val="1"/>
          <w:numId w:val="338"/>
        </w:numPr>
        <w:spacing w:after="0" w:line="240" w:lineRule="auto"/>
        <w:ind w:left="851" w:hanging="851"/>
        <w:rPr>
          <w:rFonts w:ascii="Arial" w:hAnsi="Arial" w:cs="Arial"/>
          <w:color w:val="auto"/>
          <w:szCs w:val="24"/>
        </w:rPr>
      </w:pPr>
      <w:r w:rsidRPr="003C7E62">
        <w:rPr>
          <w:rFonts w:ascii="Arial" w:eastAsia="Arial" w:hAnsi="Arial" w:cs="Arial"/>
          <w:color w:val="auto"/>
        </w:rPr>
        <w:t xml:space="preserve">Nottinghamshire is a two-tier area for local government and under the Town and Country Planning legislation Nottinghamshire County Council is the Minerals Planning Authority.  The </w:t>
      </w:r>
      <w:r w:rsidRPr="003C7E62">
        <w:rPr>
          <w:rFonts w:ascii="Arial" w:eastAsia="Calibri" w:hAnsi="Arial" w:cs="Arial"/>
          <w:color w:val="auto"/>
          <w:szCs w:val="24"/>
        </w:rPr>
        <w:t xml:space="preserve">County Council adopted The Nottinghamshire Minerals Local Plan in March </w:t>
      </w:r>
      <w:proofErr w:type="gramStart"/>
      <w:r w:rsidRPr="003C7E62">
        <w:rPr>
          <w:rFonts w:ascii="Arial" w:eastAsia="Calibri" w:hAnsi="Arial" w:cs="Arial"/>
          <w:color w:val="auto"/>
          <w:szCs w:val="24"/>
        </w:rPr>
        <w:t>2021</w:t>
      </w:r>
      <w:proofErr w:type="gramEnd"/>
      <w:r w:rsidRPr="003C7E62">
        <w:rPr>
          <w:rFonts w:ascii="Arial" w:eastAsia="Calibri" w:hAnsi="Arial" w:cs="Arial"/>
          <w:color w:val="auto"/>
          <w:szCs w:val="24"/>
        </w:rPr>
        <w:t xml:space="preserve"> and the Minerals Local Plan forms the land use planning strategy for mineral development within the County up to 2036.   </w:t>
      </w:r>
    </w:p>
    <w:p w14:paraId="672AF792" w14:textId="77777777" w:rsidR="00557459" w:rsidRPr="003C7E62" w:rsidRDefault="00557459" w:rsidP="00F11936">
      <w:pPr>
        <w:pStyle w:val="ListParagraph"/>
        <w:spacing w:after="0" w:line="240" w:lineRule="auto"/>
        <w:ind w:left="460"/>
        <w:rPr>
          <w:rFonts w:ascii="Arial" w:hAnsi="Arial" w:cs="Arial"/>
          <w:color w:val="auto"/>
          <w:szCs w:val="24"/>
        </w:rPr>
      </w:pPr>
    </w:p>
    <w:p w14:paraId="1B32A683" w14:textId="4EFBCE7E" w:rsidR="003052A9" w:rsidRPr="003C7E62" w:rsidRDefault="003178B5" w:rsidP="00874A98">
      <w:pPr>
        <w:pStyle w:val="ListParagraph"/>
        <w:numPr>
          <w:ilvl w:val="1"/>
          <w:numId w:val="338"/>
        </w:numPr>
        <w:spacing w:after="0" w:line="240" w:lineRule="auto"/>
        <w:ind w:left="851" w:hanging="851"/>
        <w:rPr>
          <w:rFonts w:ascii="Arial" w:hAnsi="Arial" w:cs="Arial"/>
          <w:color w:val="auto"/>
          <w:szCs w:val="24"/>
        </w:rPr>
      </w:pPr>
      <w:r w:rsidRPr="003C7E62">
        <w:rPr>
          <w:rFonts w:ascii="Arial" w:eastAsia="Calibri" w:hAnsi="Arial" w:cs="Arial"/>
          <w:color w:val="auto"/>
          <w:szCs w:val="24"/>
        </w:rPr>
        <w:t>The Minerals Local Plan recognises important mineral resources with Mineral Safeguarding Areas identify the mineral resources which are worthy of safeguarding and the Minerals Consultation Area identify the areas within Nottinghamshire where the District and Borough authorities are required to consult the Mineral Planning Authority over non-minerals development.</w:t>
      </w:r>
    </w:p>
    <w:p w14:paraId="5E1479F2" w14:textId="77777777" w:rsidR="003052A9" w:rsidRPr="003C7E62" w:rsidRDefault="003052A9" w:rsidP="00F11936">
      <w:pPr>
        <w:pStyle w:val="ListParagraph"/>
        <w:spacing w:after="0" w:line="240" w:lineRule="auto"/>
        <w:ind w:left="851"/>
        <w:rPr>
          <w:rFonts w:ascii="Arial" w:hAnsi="Arial" w:cs="Arial"/>
          <w:color w:val="auto"/>
          <w:szCs w:val="24"/>
        </w:rPr>
      </w:pPr>
    </w:p>
    <w:p w14:paraId="5A3A067E" w14:textId="565E30F5" w:rsidR="003052A9" w:rsidRPr="003C7E62" w:rsidRDefault="003178B5" w:rsidP="00874A98">
      <w:pPr>
        <w:pStyle w:val="ListParagraph"/>
        <w:numPr>
          <w:ilvl w:val="1"/>
          <w:numId w:val="338"/>
        </w:numPr>
        <w:spacing w:after="0" w:line="240" w:lineRule="auto"/>
        <w:ind w:left="851" w:hanging="851"/>
        <w:rPr>
          <w:rFonts w:ascii="Arial" w:hAnsi="Arial" w:cs="Arial"/>
          <w:color w:val="auto"/>
          <w:szCs w:val="24"/>
        </w:rPr>
      </w:pPr>
      <w:r w:rsidRPr="003C7E62">
        <w:rPr>
          <w:rFonts w:ascii="Arial" w:eastAsia="Calibri" w:hAnsi="Arial" w:cs="Arial"/>
          <w:color w:val="auto"/>
          <w:szCs w:val="24"/>
        </w:rPr>
        <w:t>Whilst the responsibility for dealing with minerals in Ashfield lies with Nottinghamshire County Council, Strategic Policy 1</w:t>
      </w:r>
      <w:r w:rsidR="00775B82">
        <w:rPr>
          <w:rFonts w:ascii="Arial" w:eastAsia="Calibri" w:hAnsi="Arial" w:cs="Arial"/>
          <w:color w:val="auto"/>
          <w:szCs w:val="24"/>
        </w:rPr>
        <w:t>5</w:t>
      </w:r>
      <w:r w:rsidRPr="003C7E62">
        <w:rPr>
          <w:rFonts w:ascii="Arial" w:eastAsia="Calibri" w:hAnsi="Arial" w:cs="Arial"/>
          <w:color w:val="auto"/>
          <w:szCs w:val="24"/>
        </w:rPr>
        <w:t xml:space="preserve"> looks to ensure minerals resources of local and national importance are not sterilised by non-mineral development and it ensure that the presence of an important mineral resource is taken into consideration during the decision-making process.</w:t>
      </w:r>
    </w:p>
    <w:p w14:paraId="7F17FA65" w14:textId="77777777" w:rsidR="003052A9" w:rsidRPr="003C7E62" w:rsidRDefault="003052A9" w:rsidP="00F11936">
      <w:pPr>
        <w:pStyle w:val="ListParagraph"/>
        <w:spacing w:after="0" w:line="240" w:lineRule="auto"/>
        <w:rPr>
          <w:rFonts w:ascii="Arial" w:eastAsia="Calibri" w:hAnsi="Arial" w:cs="Arial"/>
          <w:color w:val="auto"/>
          <w:szCs w:val="24"/>
        </w:rPr>
      </w:pPr>
    </w:p>
    <w:p w14:paraId="756C9288" w14:textId="3CF339EA" w:rsidR="003178B5" w:rsidRPr="003C7E62" w:rsidRDefault="003178B5" w:rsidP="00874A98">
      <w:pPr>
        <w:pStyle w:val="ListParagraph"/>
        <w:numPr>
          <w:ilvl w:val="1"/>
          <w:numId w:val="338"/>
        </w:numPr>
        <w:spacing w:after="0" w:line="240" w:lineRule="auto"/>
        <w:ind w:left="851" w:hanging="851"/>
        <w:rPr>
          <w:rFonts w:ascii="Arial" w:hAnsi="Arial" w:cs="Arial"/>
          <w:color w:val="auto"/>
          <w:szCs w:val="24"/>
        </w:rPr>
      </w:pPr>
      <w:r w:rsidRPr="003C7E62">
        <w:rPr>
          <w:rFonts w:ascii="Arial" w:eastAsia="Calibri" w:hAnsi="Arial" w:cs="Arial"/>
          <w:color w:val="auto"/>
          <w:szCs w:val="24"/>
        </w:rPr>
        <w:t xml:space="preserve">Further information is available from Nottinghamshire County Council as the authority responsible for the Minerals Local Plan. </w:t>
      </w:r>
    </w:p>
    <w:p w14:paraId="0B38BB30" w14:textId="77777777" w:rsidR="003052A9" w:rsidRPr="003C7E62" w:rsidRDefault="003052A9" w:rsidP="00F11936">
      <w:pPr>
        <w:pStyle w:val="ListParagraph"/>
        <w:spacing w:after="0" w:line="240" w:lineRule="auto"/>
        <w:rPr>
          <w:rFonts w:ascii="Arial" w:hAnsi="Arial" w:cs="Arial"/>
          <w:color w:val="auto"/>
          <w:szCs w:val="24"/>
        </w:rPr>
      </w:pPr>
    </w:p>
    <w:p w14:paraId="72447A5D" w14:textId="77777777" w:rsidR="00145805" w:rsidRDefault="00145805" w:rsidP="00D210FC">
      <w:pPr>
        <w:keepNext w:val="0"/>
        <w:autoSpaceDE w:val="0"/>
        <w:autoSpaceDN w:val="0"/>
        <w:adjustRightInd w:val="0"/>
        <w:spacing w:before="0"/>
        <w:rPr>
          <w:rFonts w:cs="Arial"/>
          <w:b/>
          <w:bCs/>
          <w:sz w:val="36"/>
          <w:szCs w:val="36"/>
        </w:rPr>
        <w:sectPr w:rsidR="00145805" w:rsidSect="00A73757">
          <w:headerReference w:type="default" r:id="rId48"/>
          <w:pgSz w:w="11906" w:h="16838" w:code="9"/>
          <w:pgMar w:top="1258" w:right="1133" w:bottom="1079" w:left="1134" w:header="709" w:footer="709" w:gutter="0"/>
          <w:cols w:space="708"/>
          <w:docGrid w:linePitch="360"/>
        </w:sectPr>
      </w:pPr>
    </w:p>
    <w:p w14:paraId="211A57A5" w14:textId="015394B1" w:rsidR="008D78DC" w:rsidRPr="003C7E62" w:rsidRDefault="00DA4833" w:rsidP="00CF07B9">
      <w:pPr>
        <w:pStyle w:val="Heading1"/>
      </w:pPr>
      <w:bookmarkStart w:id="139" w:name="_Toc145511568"/>
      <w:r w:rsidRPr="003C7E62">
        <w:lastRenderedPageBreak/>
        <w:t>Chapter</w:t>
      </w:r>
      <w:r w:rsidR="008D78DC" w:rsidRPr="003C7E62">
        <w:t xml:space="preserve"> </w:t>
      </w:r>
      <w:r w:rsidRPr="003C7E62">
        <w:t>4</w:t>
      </w:r>
      <w:bookmarkEnd w:id="139"/>
      <w:r w:rsidRPr="003C7E62">
        <w:t xml:space="preserve"> </w:t>
      </w:r>
    </w:p>
    <w:p w14:paraId="62CC1480" w14:textId="77777777" w:rsidR="008D78DC" w:rsidRPr="003C7E62" w:rsidRDefault="008D78DC" w:rsidP="00D210FC">
      <w:pPr>
        <w:keepNext w:val="0"/>
        <w:autoSpaceDE w:val="0"/>
        <w:autoSpaceDN w:val="0"/>
        <w:adjustRightInd w:val="0"/>
        <w:spacing w:before="0"/>
        <w:rPr>
          <w:rFonts w:cs="Arial"/>
          <w:b/>
          <w:bCs/>
          <w:sz w:val="36"/>
          <w:szCs w:val="36"/>
        </w:rPr>
      </w:pPr>
    </w:p>
    <w:p w14:paraId="7ACF898F" w14:textId="23C7160C" w:rsidR="00084ABA" w:rsidRPr="006977E7" w:rsidRDefault="005F1B0D" w:rsidP="00CF07B9">
      <w:pPr>
        <w:pStyle w:val="Heading1"/>
      </w:pPr>
      <w:bookmarkStart w:id="140" w:name="_Toc145511569"/>
      <w:bookmarkStart w:id="141" w:name="_Hlk146194270"/>
      <w:r w:rsidRPr="005F1B0D">
        <w:t>Meeting the challenge of climate change and adapt</w:t>
      </w:r>
      <w:r w:rsidR="009D694C">
        <w:t>ing</w:t>
      </w:r>
      <w:r w:rsidRPr="005F1B0D">
        <w:t xml:space="preserve"> to its effects</w:t>
      </w:r>
      <w:bookmarkEnd w:id="140"/>
    </w:p>
    <w:p w14:paraId="2056CE4F" w14:textId="77777777" w:rsidR="008526EA" w:rsidRPr="003C7E62" w:rsidRDefault="008526EA" w:rsidP="008526EA">
      <w:pPr>
        <w:keepNext w:val="0"/>
        <w:spacing w:before="0"/>
        <w:ind w:left="527"/>
        <w:rPr>
          <w:rFonts w:cs="Arial"/>
          <w:b/>
          <w:bCs/>
          <w:color w:val="auto"/>
          <w:szCs w:val="24"/>
          <w:lang w:eastAsia="en-US"/>
        </w:rPr>
      </w:pPr>
      <w:bookmarkStart w:id="142" w:name="_Hlk75501329"/>
      <w:bookmarkEnd w:id="141"/>
    </w:p>
    <w:p w14:paraId="711B0A6E" w14:textId="36A4B7E9" w:rsidR="00EA0392" w:rsidRPr="00995322" w:rsidRDefault="00E54C76" w:rsidP="00995322">
      <w:pPr>
        <w:pStyle w:val="Heading2"/>
        <w:jc w:val="left"/>
        <w:rPr>
          <w:rFonts w:eastAsia="Arial"/>
          <w:sz w:val="28"/>
          <w:szCs w:val="28"/>
        </w:rPr>
      </w:pPr>
      <w:bookmarkStart w:id="143" w:name="_Toc145511570"/>
      <w:bookmarkStart w:id="144" w:name="_Hlk140503041"/>
      <w:bookmarkStart w:id="145" w:name="_Hlk77759903"/>
      <w:r w:rsidRPr="00995322">
        <w:rPr>
          <w:rFonts w:eastAsia="Arial"/>
          <w:sz w:val="28"/>
          <w:szCs w:val="28"/>
        </w:rPr>
        <w:t>Policy CC1:  Zero</w:t>
      </w:r>
      <w:r w:rsidR="009E6F00" w:rsidRPr="00995322">
        <w:rPr>
          <w:rFonts w:eastAsia="Arial"/>
          <w:sz w:val="28"/>
          <w:szCs w:val="28"/>
        </w:rPr>
        <w:t>/</w:t>
      </w:r>
      <w:r w:rsidRPr="00995322">
        <w:rPr>
          <w:rFonts w:eastAsia="Arial"/>
          <w:sz w:val="28"/>
          <w:szCs w:val="28"/>
        </w:rPr>
        <w:t>Low Carbon Developments and Decentralised, Renewable</w:t>
      </w:r>
      <w:r w:rsidR="009E6F00" w:rsidRPr="00995322">
        <w:rPr>
          <w:rFonts w:eastAsia="Arial"/>
          <w:sz w:val="28"/>
          <w:szCs w:val="28"/>
        </w:rPr>
        <w:t>,</w:t>
      </w:r>
      <w:r w:rsidRPr="00995322">
        <w:rPr>
          <w:rFonts w:eastAsia="Arial"/>
          <w:sz w:val="28"/>
          <w:szCs w:val="28"/>
        </w:rPr>
        <w:t xml:space="preserve"> Low Carbon Energy Generation</w:t>
      </w:r>
      <w:bookmarkEnd w:id="143"/>
    </w:p>
    <w:p w14:paraId="21B02B96" w14:textId="77777777" w:rsidR="00E54C76" w:rsidRPr="003C7E62" w:rsidRDefault="00E54C76" w:rsidP="00EA0392">
      <w:pPr>
        <w:keepNext w:val="0"/>
        <w:spacing w:before="0"/>
        <w:rPr>
          <w:rFonts w:eastAsia="Arial" w:cs="Arial"/>
          <w:color w:val="auto"/>
        </w:rPr>
      </w:pPr>
    </w:p>
    <w:tbl>
      <w:tblPr>
        <w:tblStyle w:val="ReportTable1"/>
        <w:tblW w:w="9634" w:type="dxa"/>
        <w:tblLook w:val="04A0" w:firstRow="1" w:lastRow="0" w:firstColumn="1" w:lastColumn="0" w:noHBand="0" w:noVBand="1"/>
      </w:tblPr>
      <w:tblGrid>
        <w:gridCol w:w="2405"/>
        <w:gridCol w:w="255"/>
        <w:gridCol w:w="6974"/>
      </w:tblGrid>
      <w:tr w:rsidR="00EA0392" w:rsidRPr="003C7E62" w14:paraId="0B83F469" w14:textId="77777777" w:rsidTr="005334C0">
        <w:tc>
          <w:tcPr>
            <w:tcW w:w="9634" w:type="dxa"/>
            <w:gridSpan w:val="3"/>
          </w:tcPr>
          <w:p w14:paraId="356C018B" w14:textId="77777777" w:rsidR="00EA0392" w:rsidRPr="003C7E62" w:rsidRDefault="00EA0392" w:rsidP="004575AD">
            <w:pPr>
              <w:keepNext w:val="0"/>
              <w:tabs>
                <w:tab w:val="left" w:pos="680"/>
              </w:tabs>
              <w:spacing w:after="120"/>
              <w:rPr>
                <w:rFonts w:eastAsia="Arial" w:cs="Arial"/>
                <w:color w:val="auto"/>
              </w:rPr>
            </w:pPr>
            <w:r w:rsidRPr="003C7E62">
              <w:rPr>
                <w:rFonts w:eastAsia="Arial" w:cs="Arial"/>
                <w:b/>
                <w:color w:val="auto"/>
              </w:rPr>
              <w:t>Policy CC1:  Zero and Low Carbon Developments and Decentralised, Renewable and Low Carbon Energy Generation</w:t>
            </w:r>
          </w:p>
        </w:tc>
      </w:tr>
      <w:tr w:rsidR="00EA0392" w:rsidRPr="003C7E62" w14:paraId="2746C63C" w14:textId="77777777" w:rsidTr="005334C0">
        <w:tc>
          <w:tcPr>
            <w:tcW w:w="2660" w:type="dxa"/>
            <w:gridSpan w:val="2"/>
          </w:tcPr>
          <w:p w14:paraId="60441B7C" w14:textId="77777777" w:rsidR="00EA0392" w:rsidRPr="00FC2A72" w:rsidRDefault="00EA0392" w:rsidP="004575AD">
            <w:pPr>
              <w:keepNext w:val="0"/>
              <w:tabs>
                <w:tab w:val="left" w:pos="680"/>
              </w:tabs>
              <w:spacing w:before="40" w:after="40"/>
              <w:rPr>
                <w:rFonts w:eastAsia="Arial" w:cs="Arial"/>
                <w:bCs/>
                <w:color w:val="auto"/>
              </w:rPr>
            </w:pPr>
            <w:r w:rsidRPr="00FC2A72">
              <w:rPr>
                <w:rFonts w:eastAsia="Arial" w:cs="Arial"/>
                <w:bCs/>
                <w:color w:val="auto"/>
              </w:rPr>
              <w:t>Strategic Objectives</w:t>
            </w:r>
          </w:p>
        </w:tc>
        <w:tc>
          <w:tcPr>
            <w:tcW w:w="6974" w:type="dxa"/>
          </w:tcPr>
          <w:p w14:paraId="2FDF5EDB" w14:textId="77777777" w:rsidR="00EA0392" w:rsidRPr="00FC2A72" w:rsidRDefault="00EA0392" w:rsidP="004575AD">
            <w:pPr>
              <w:keepNext w:val="0"/>
              <w:tabs>
                <w:tab w:val="left" w:pos="680"/>
              </w:tabs>
              <w:spacing w:before="40" w:after="40"/>
              <w:rPr>
                <w:rFonts w:eastAsia="Arial" w:cs="Arial"/>
                <w:bCs/>
                <w:color w:val="auto"/>
              </w:rPr>
            </w:pPr>
            <w:r w:rsidRPr="00FC2A72">
              <w:rPr>
                <w:rFonts w:eastAsia="Arial" w:cs="Arial"/>
                <w:bCs/>
                <w:color w:val="auto"/>
              </w:rPr>
              <w:t>SO1, SO2, SO3, SO4, SO11, SO12, SO13, SO14.</w:t>
            </w:r>
          </w:p>
        </w:tc>
      </w:tr>
      <w:tr w:rsidR="00EA0392" w:rsidRPr="003C7E62" w14:paraId="01F51BFA" w14:textId="77777777" w:rsidTr="005334C0">
        <w:tc>
          <w:tcPr>
            <w:tcW w:w="9634" w:type="dxa"/>
            <w:gridSpan w:val="3"/>
            <w:shd w:val="clear" w:color="auto" w:fill="DEEAF6"/>
          </w:tcPr>
          <w:p w14:paraId="2AF40D84" w14:textId="77777777" w:rsidR="005334C0" w:rsidRDefault="005334C0" w:rsidP="004575AD">
            <w:pPr>
              <w:keepNext w:val="0"/>
              <w:tabs>
                <w:tab w:val="left" w:pos="680"/>
                <w:tab w:val="left" w:pos="1133"/>
                <w:tab w:val="left" w:pos="2267"/>
              </w:tabs>
              <w:spacing w:before="0" w:after="120"/>
              <w:ind w:right="284"/>
              <w:rPr>
                <w:rFonts w:eastAsia="Arial" w:cs="Arial"/>
                <w:bCs/>
              </w:rPr>
            </w:pPr>
          </w:p>
          <w:p w14:paraId="612FBAFF" w14:textId="01A82730" w:rsidR="00EA0392" w:rsidRPr="00EC189E" w:rsidRDefault="00EA0392" w:rsidP="004575AD">
            <w:pPr>
              <w:keepNext w:val="0"/>
              <w:tabs>
                <w:tab w:val="left" w:pos="680"/>
                <w:tab w:val="left" w:pos="1133"/>
                <w:tab w:val="left" w:pos="2267"/>
              </w:tabs>
              <w:spacing w:before="0" w:after="120"/>
              <w:ind w:right="284"/>
              <w:rPr>
                <w:rFonts w:eastAsia="Arial" w:cs="Arial"/>
                <w:b/>
              </w:rPr>
            </w:pPr>
            <w:r w:rsidRPr="00EC189E">
              <w:rPr>
                <w:rFonts w:eastAsia="Arial" w:cs="Arial"/>
                <w:b/>
              </w:rPr>
              <w:t>Zero and Low Carbon Development</w:t>
            </w:r>
          </w:p>
          <w:p w14:paraId="7F25A23F" w14:textId="292F53E9" w:rsidR="00EA0392" w:rsidRPr="000339D2" w:rsidRDefault="00EA0392" w:rsidP="00874A98">
            <w:pPr>
              <w:keepNext w:val="0"/>
              <w:numPr>
                <w:ilvl w:val="0"/>
                <w:numId w:val="106"/>
              </w:numPr>
              <w:spacing w:before="0" w:after="160" w:line="252" w:lineRule="auto"/>
              <w:contextualSpacing/>
              <w:rPr>
                <w:rFonts w:eastAsia="Arial" w:cs="Arial"/>
                <w:bCs/>
              </w:rPr>
            </w:pPr>
            <w:r w:rsidRPr="000339D2">
              <w:rPr>
                <w:rFonts w:eastAsia="Arial" w:cs="Arial"/>
                <w:bCs/>
              </w:rPr>
              <w:t>Proposals for carbon neutral development are strongly supported.  All development proposals will be expected to mitigate against and adapt to climate change, to comply with the national target to bring greenhouse gas emissions to net zero by 2050 and contribute to any local targets for reducing carbon emissions and energy use unless it can be demonstrated that compliance with the policy is not viable or feasible</w:t>
            </w:r>
            <w:r w:rsidR="008A6027">
              <w:rPr>
                <w:rFonts w:eastAsia="Arial" w:cs="Arial"/>
                <w:bCs/>
              </w:rPr>
              <w:t xml:space="preserve"> </w:t>
            </w:r>
            <w:r w:rsidR="008A6027" w:rsidRPr="00D810CA">
              <w:rPr>
                <w:rFonts w:eastAsia="Arial" w:cs="Arial"/>
                <w:bCs/>
              </w:rPr>
              <w:t>or there are significant adverse effects in relation to other policy requirements</w:t>
            </w:r>
            <w:r w:rsidRPr="00D810CA">
              <w:rPr>
                <w:rFonts w:eastAsia="Arial" w:cs="Arial"/>
                <w:bCs/>
              </w:rPr>
              <w:t xml:space="preserve">.  Development </w:t>
            </w:r>
            <w:r w:rsidRPr="000339D2">
              <w:rPr>
                <w:rFonts w:eastAsia="Arial" w:cs="Arial"/>
                <w:bCs/>
              </w:rPr>
              <w:t>proposals should:</w:t>
            </w:r>
          </w:p>
          <w:p w14:paraId="61CE5461" w14:textId="77777777" w:rsidR="00EA0392" w:rsidRPr="000339D2" w:rsidRDefault="00EA0392" w:rsidP="00725FBA">
            <w:pPr>
              <w:keepNext w:val="0"/>
              <w:tabs>
                <w:tab w:val="left" w:pos="680"/>
                <w:tab w:val="left" w:pos="1133"/>
                <w:tab w:val="left" w:pos="2267"/>
              </w:tabs>
              <w:spacing w:before="0"/>
              <w:ind w:left="360" w:right="284"/>
              <w:rPr>
                <w:rFonts w:eastAsia="Arial" w:cs="Arial"/>
                <w:bCs/>
              </w:rPr>
            </w:pPr>
          </w:p>
          <w:p w14:paraId="4387F311" w14:textId="77777777" w:rsidR="00EA0392" w:rsidRPr="000339D2" w:rsidRDefault="00EA0392" w:rsidP="00874A98">
            <w:pPr>
              <w:keepNext w:val="0"/>
              <w:numPr>
                <w:ilvl w:val="0"/>
                <w:numId w:val="117"/>
              </w:numPr>
              <w:spacing w:before="0" w:after="160" w:line="252" w:lineRule="auto"/>
              <w:ind w:right="284"/>
              <w:contextualSpacing/>
              <w:rPr>
                <w:rFonts w:eastAsia="Arial" w:cs="Arial"/>
                <w:bCs/>
                <w:lang w:eastAsia="en-US"/>
              </w:rPr>
            </w:pPr>
            <w:r w:rsidRPr="000339D2">
              <w:rPr>
                <w:rFonts w:eastAsia="Arial" w:cs="Arial"/>
                <w:bCs/>
                <w:lang w:eastAsia="en-US"/>
              </w:rPr>
              <w:t>Maximise opportunities to reducing demand by taking account of landform, location, layout, building orientation, design, massing and landscaping.  This includes:</w:t>
            </w:r>
          </w:p>
          <w:p w14:paraId="5184A73F" w14:textId="77777777" w:rsidR="00EA0392" w:rsidRPr="000339D2" w:rsidRDefault="00EA0392" w:rsidP="00725FBA">
            <w:pPr>
              <w:keepNext w:val="0"/>
              <w:spacing w:before="0"/>
              <w:ind w:left="720" w:right="284"/>
              <w:contextualSpacing/>
              <w:rPr>
                <w:rFonts w:eastAsia="Arial" w:cs="Arial"/>
                <w:bCs/>
                <w:lang w:eastAsia="en-US"/>
              </w:rPr>
            </w:pPr>
          </w:p>
          <w:p w14:paraId="6910EE15" w14:textId="77777777" w:rsidR="00EA0392" w:rsidRPr="000339D2" w:rsidRDefault="00EA0392" w:rsidP="00874A98">
            <w:pPr>
              <w:keepNext w:val="0"/>
              <w:numPr>
                <w:ilvl w:val="0"/>
                <w:numId w:val="116"/>
              </w:numPr>
              <w:spacing w:before="0" w:after="160" w:line="252" w:lineRule="auto"/>
              <w:ind w:right="284"/>
              <w:contextualSpacing/>
              <w:rPr>
                <w:rFonts w:eastAsia="Arial" w:cs="Arial"/>
                <w:bCs/>
                <w:lang w:eastAsia="en-US"/>
              </w:rPr>
            </w:pPr>
            <w:r w:rsidRPr="000339D2">
              <w:rPr>
                <w:rFonts w:eastAsia="Arial" w:cs="Arial"/>
                <w:bCs/>
                <w:lang w:eastAsia="en-US"/>
              </w:rPr>
              <w:t>Opportunities for both natural heating and ventilation through the orientation and location of buildings;</w:t>
            </w:r>
          </w:p>
          <w:p w14:paraId="498A7F6F" w14:textId="28E28631" w:rsidR="00EA0392" w:rsidRPr="000339D2" w:rsidRDefault="00EA0392" w:rsidP="00874A98">
            <w:pPr>
              <w:keepNext w:val="0"/>
              <w:numPr>
                <w:ilvl w:val="0"/>
                <w:numId w:val="116"/>
              </w:numPr>
              <w:spacing w:before="0" w:after="160" w:line="252" w:lineRule="auto"/>
              <w:ind w:right="284"/>
              <w:contextualSpacing/>
              <w:rPr>
                <w:rFonts w:eastAsia="Arial" w:cs="Arial"/>
                <w:bCs/>
                <w:lang w:eastAsia="en-US"/>
              </w:rPr>
            </w:pPr>
            <w:r w:rsidRPr="000339D2">
              <w:rPr>
                <w:rFonts w:eastAsia="Arial" w:cs="Arial"/>
                <w:bCs/>
                <w:lang w:eastAsia="en-US"/>
              </w:rPr>
              <w:t>Incorporating blue and green infrastructure, trees and other planting, to provide opportunities for cooling, shading of amenity areas, connect habitats, using native plants that are carefully selected so they can be managed and sustained to meet the predicted changed climatic conditions;</w:t>
            </w:r>
          </w:p>
          <w:p w14:paraId="61479D10" w14:textId="77777777" w:rsidR="00EA0392" w:rsidRPr="000339D2" w:rsidRDefault="00EA0392" w:rsidP="00874A98">
            <w:pPr>
              <w:keepNext w:val="0"/>
              <w:numPr>
                <w:ilvl w:val="0"/>
                <w:numId w:val="116"/>
              </w:numPr>
              <w:spacing w:before="0" w:after="160" w:line="252" w:lineRule="auto"/>
              <w:ind w:right="284"/>
              <w:contextualSpacing/>
              <w:rPr>
                <w:rFonts w:eastAsia="Arial" w:cs="Arial"/>
                <w:bCs/>
                <w:lang w:eastAsia="en-US"/>
              </w:rPr>
            </w:pPr>
            <w:r w:rsidRPr="000339D2">
              <w:rPr>
                <w:rFonts w:eastAsia="Arial" w:cs="Arial"/>
                <w:bCs/>
                <w:lang w:eastAsia="en-US"/>
              </w:rPr>
              <w:t>Incorporating water efficiency measures and include appropriate sustainable drainage systems (</w:t>
            </w:r>
            <w:proofErr w:type="spellStart"/>
            <w:r w:rsidRPr="000339D2">
              <w:rPr>
                <w:rFonts w:eastAsia="Arial" w:cs="Arial"/>
                <w:bCs/>
                <w:lang w:eastAsia="en-US"/>
              </w:rPr>
              <w:t>SuDS</w:t>
            </w:r>
            <w:proofErr w:type="spellEnd"/>
            <w:r w:rsidRPr="000339D2">
              <w:rPr>
                <w:rFonts w:eastAsia="Arial" w:cs="Arial"/>
                <w:bCs/>
                <w:lang w:eastAsia="en-US"/>
              </w:rPr>
              <w:t xml:space="preserve">) to minimise and manage surface water runoff and its impacts; </w:t>
            </w:r>
          </w:p>
          <w:p w14:paraId="1361638E" w14:textId="21294C3C" w:rsidR="00EA0392" w:rsidRPr="000339D2" w:rsidRDefault="00EA0392" w:rsidP="00874A98">
            <w:pPr>
              <w:keepNext w:val="0"/>
              <w:numPr>
                <w:ilvl w:val="0"/>
                <w:numId w:val="116"/>
              </w:numPr>
              <w:spacing w:before="0" w:after="160" w:line="252" w:lineRule="auto"/>
              <w:ind w:right="284"/>
              <w:contextualSpacing/>
              <w:rPr>
                <w:rFonts w:eastAsia="Arial" w:cs="Arial"/>
                <w:bCs/>
                <w:szCs w:val="24"/>
                <w:lang w:eastAsia="en-US"/>
              </w:rPr>
            </w:pPr>
            <w:r w:rsidRPr="000339D2">
              <w:rPr>
                <w:rFonts w:eastAsia="Calibri" w:cs="Arial"/>
                <w:bCs/>
                <w:szCs w:val="24"/>
                <w:lang w:eastAsia="en-US"/>
              </w:rPr>
              <w:t xml:space="preserve">Optimise energy efficiency measures including, where </w:t>
            </w:r>
            <w:proofErr w:type="gramStart"/>
            <w:r w:rsidRPr="000339D2">
              <w:rPr>
                <w:rFonts w:eastAsia="Calibri" w:cs="Arial"/>
                <w:bCs/>
                <w:szCs w:val="24"/>
                <w:lang w:eastAsia="en-US"/>
              </w:rPr>
              <w:t>feasible,  the</w:t>
            </w:r>
            <w:proofErr w:type="gramEnd"/>
            <w:r w:rsidRPr="000339D2">
              <w:rPr>
                <w:rFonts w:eastAsia="Calibri" w:cs="Arial"/>
                <w:bCs/>
                <w:szCs w:val="24"/>
                <w:lang w:eastAsia="en-US"/>
              </w:rPr>
              <w:t xml:space="preserve"> use of decentralised renewable and low carbon energy;</w:t>
            </w:r>
            <w:r w:rsidR="00D30208">
              <w:rPr>
                <w:rFonts w:eastAsia="Calibri" w:cs="Arial"/>
                <w:bCs/>
                <w:szCs w:val="24"/>
                <w:lang w:eastAsia="en-US"/>
              </w:rPr>
              <w:t xml:space="preserve"> and</w:t>
            </w:r>
          </w:p>
          <w:p w14:paraId="1A34F1EA" w14:textId="77777777" w:rsidR="00EA0392" w:rsidRPr="000339D2" w:rsidRDefault="00EA0392" w:rsidP="00874A98">
            <w:pPr>
              <w:keepNext w:val="0"/>
              <w:numPr>
                <w:ilvl w:val="0"/>
                <w:numId w:val="116"/>
              </w:numPr>
              <w:spacing w:before="0" w:after="160" w:line="259" w:lineRule="auto"/>
              <w:contextualSpacing/>
              <w:rPr>
                <w:rFonts w:eastAsia="Arial" w:cs="Arial"/>
                <w:bCs/>
                <w:szCs w:val="24"/>
                <w:lang w:eastAsia="en-US"/>
              </w:rPr>
            </w:pPr>
            <w:r w:rsidRPr="000339D2">
              <w:rPr>
                <w:rFonts w:eastAsia="Arial" w:cs="Arial"/>
                <w:bCs/>
                <w:szCs w:val="24"/>
                <w:lang w:eastAsia="en-US"/>
              </w:rPr>
              <w:t xml:space="preserve">Include other measures including incorporating vehicle charging facilities, and the potential for communal heating systems. </w:t>
            </w:r>
          </w:p>
          <w:p w14:paraId="7C3161BD" w14:textId="77777777" w:rsidR="00EA0392" w:rsidRPr="000339D2" w:rsidRDefault="00EA0392" w:rsidP="00725FBA">
            <w:pPr>
              <w:keepNext w:val="0"/>
              <w:spacing w:before="0"/>
              <w:ind w:left="720" w:right="284"/>
              <w:contextualSpacing/>
              <w:rPr>
                <w:rFonts w:eastAsia="Arial" w:cs="Arial"/>
                <w:bCs/>
                <w:lang w:eastAsia="en-US"/>
              </w:rPr>
            </w:pPr>
          </w:p>
          <w:p w14:paraId="0D7F97A9" w14:textId="32D7589D" w:rsidR="00EA0392" w:rsidRDefault="00D810CA" w:rsidP="00874A98">
            <w:pPr>
              <w:keepNext w:val="0"/>
              <w:numPr>
                <w:ilvl w:val="0"/>
                <w:numId w:val="117"/>
              </w:numPr>
              <w:spacing w:before="0" w:after="160" w:line="252" w:lineRule="auto"/>
              <w:ind w:right="284"/>
              <w:contextualSpacing/>
              <w:rPr>
                <w:rFonts w:eastAsia="Arial" w:cs="Arial"/>
                <w:bCs/>
                <w:lang w:eastAsia="en-US"/>
              </w:rPr>
            </w:pPr>
            <w:r>
              <w:rPr>
                <w:rFonts w:eastAsia="Arial" w:cs="Arial"/>
                <w:bCs/>
                <w:lang w:eastAsia="en-US"/>
              </w:rPr>
              <w:t>B</w:t>
            </w:r>
            <w:r w:rsidR="00EA0392" w:rsidRPr="000339D2">
              <w:rPr>
                <w:rFonts w:eastAsia="Arial" w:cs="Arial"/>
                <w:bCs/>
                <w:lang w:eastAsia="en-US"/>
              </w:rPr>
              <w:t>e designed to minimise the generation of waste and energy consumption in the design, construction, use and life of buildings and promote sustainable approaches to waste management, including the reuse and recycling of construction waste.</w:t>
            </w:r>
          </w:p>
          <w:p w14:paraId="50E85D8D" w14:textId="77777777" w:rsidR="00F82198" w:rsidRPr="000339D2" w:rsidRDefault="00F82198" w:rsidP="00F82198">
            <w:pPr>
              <w:keepNext w:val="0"/>
              <w:spacing w:before="0" w:after="160" w:line="252" w:lineRule="auto"/>
              <w:ind w:left="720" w:right="284"/>
              <w:contextualSpacing/>
              <w:rPr>
                <w:rFonts w:eastAsia="Arial" w:cs="Arial"/>
                <w:bCs/>
                <w:lang w:eastAsia="en-US"/>
              </w:rPr>
            </w:pPr>
          </w:p>
          <w:p w14:paraId="0FB38EE5" w14:textId="403DC4DF" w:rsidR="00EA0392" w:rsidRPr="00D810CA" w:rsidRDefault="00D30208" w:rsidP="00874A98">
            <w:pPr>
              <w:keepNext w:val="0"/>
              <w:numPr>
                <w:ilvl w:val="0"/>
                <w:numId w:val="117"/>
              </w:numPr>
              <w:spacing w:before="0" w:after="160" w:line="252" w:lineRule="auto"/>
              <w:contextualSpacing/>
              <w:rPr>
                <w:rFonts w:eastAsia="Arial" w:cs="Arial"/>
                <w:bCs/>
                <w:lang w:eastAsia="en-US"/>
              </w:rPr>
            </w:pPr>
            <w:r>
              <w:rPr>
                <w:rFonts w:eastAsia="Arial" w:cs="Arial"/>
                <w:bCs/>
                <w:lang w:eastAsia="en-US"/>
              </w:rPr>
              <w:lastRenderedPageBreak/>
              <w:t>E</w:t>
            </w:r>
            <w:r w:rsidR="00EA0392" w:rsidRPr="00F82198">
              <w:rPr>
                <w:rFonts w:eastAsia="Arial" w:cs="Arial"/>
                <w:bCs/>
                <w:lang w:eastAsia="en-US"/>
              </w:rPr>
              <w:t xml:space="preserve">nable occupants to minimise their need to travel and, where travel is </w:t>
            </w:r>
            <w:r w:rsidR="00EA0392" w:rsidRPr="00D810CA">
              <w:rPr>
                <w:rFonts w:eastAsia="Arial" w:cs="Arial"/>
                <w:bCs/>
                <w:lang w:eastAsia="en-US"/>
              </w:rPr>
              <w:t>necessary, to maximise opportunities for sustainable modes of travel.</w:t>
            </w:r>
          </w:p>
          <w:p w14:paraId="767DB20B" w14:textId="77777777" w:rsidR="00EA0392" w:rsidRPr="00D810CA" w:rsidRDefault="00EA0392" w:rsidP="00725FBA">
            <w:pPr>
              <w:keepNext w:val="0"/>
              <w:spacing w:before="0"/>
              <w:rPr>
                <w:rFonts w:eastAsia="Arial" w:cs="Arial"/>
                <w:bCs/>
              </w:rPr>
            </w:pPr>
          </w:p>
          <w:p w14:paraId="7711D982" w14:textId="4F9F7B01" w:rsidR="00D30208" w:rsidRPr="00D810CA" w:rsidRDefault="00D30208" w:rsidP="00874A98">
            <w:pPr>
              <w:keepNext w:val="0"/>
              <w:numPr>
                <w:ilvl w:val="0"/>
                <w:numId w:val="117"/>
              </w:numPr>
              <w:tabs>
                <w:tab w:val="left" w:pos="680"/>
                <w:tab w:val="left" w:pos="1133"/>
                <w:tab w:val="left" w:pos="2267"/>
              </w:tabs>
              <w:spacing w:before="0"/>
              <w:ind w:right="284"/>
              <w:contextualSpacing/>
              <w:rPr>
                <w:rFonts w:eastAsia="Arial" w:cs="Arial"/>
                <w:bCs/>
                <w:lang w:eastAsia="en-US"/>
              </w:rPr>
            </w:pPr>
            <w:r w:rsidRPr="00D810CA">
              <w:rPr>
                <w:rFonts w:eastAsia="Arial" w:cs="Arial"/>
                <w:bCs/>
                <w:lang w:eastAsia="en-US"/>
              </w:rPr>
              <w:t>Minimising greenhouse gas emissions.</w:t>
            </w:r>
          </w:p>
          <w:p w14:paraId="25C3FA2D" w14:textId="77777777" w:rsidR="00D30208" w:rsidRPr="00D810CA" w:rsidRDefault="00D30208" w:rsidP="00D30208">
            <w:pPr>
              <w:keepNext w:val="0"/>
              <w:tabs>
                <w:tab w:val="left" w:pos="680"/>
                <w:tab w:val="left" w:pos="1133"/>
                <w:tab w:val="left" w:pos="2267"/>
              </w:tabs>
              <w:spacing w:before="0"/>
              <w:ind w:right="284"/>
              <w:contextualSpacing/>
              <w:rPr>
                <w:rFonts w:eastAsia="Arial" w:cs="Arial"/>
                <w:bCs/>
                <w:lang w:eastAsia="en-US"/>
              </w:rPr>
            </w:pPr>
          </w:p>
          <w:p w14:paraId="4F243B71" w14:textId="7D573F95" w:rsidR="00EA0392" w:rsidRPr="00D810CA" w:rsidRDefault="00EA0392" w:rsidP="00874A98">
            <w:pPr>
              <w:keepNext w:val="0"/>
              <w:numPr>
                <w:ilvl w:val="0"/>
                <w:numId w:val="117"/>
              </w:numPr>
              <w:tabs>
                <w:tab w:val="left" w:pos="680"/>
                <w:tab w:val="left" w:pos="1133"/>
                <w:tab w:val="left" w:pos="2267"/>
              </w:tabs>
              <w:spacing w:before="0"/>
              <w:ind w:right="284"/>
              <w:contextualSpacing/>
              <w:rPr>
                <w:rFonts w:eastAsia="Arial" w:cs="Arial"/>
                <w:bCs/>
                <w:lang w:eastAsia="en-US"/>
              </w:rPr>
            </w:pPr>
            <w:r w:rsidRPr="00D810CA">
              <w:rPr>
                <w:rFonts w:eastAsia="Arial" w:cs="Arial"/>
                <w:bCs/>
                <w:lang w:eastAsia="en-US"/>
              </w:rPr>
              <w:t>Provide for carbon offsetting, incorporating multi-functional green</w:t>
            </w:r>
            <w:r w:rsidR="00AF213C" w:rsidRPr="00F53521">
              <w:rPr>
                <w:rFonts w:eastAsia="Arial" w:cs="Arial"/>
                <w:color w:val="2F5496" w:themeColor="accent1" w:themeShade="BF"/>
              </w:rPr>
              <w:t xml:space="preserve"> and blue</w:t>
            </w:r>
            <w:r w:rsidRPr="00D810CA">
              <w:rPr>
                <w:rFonts w:eastAsia="Arial" w:cs="Arial"/>
                <w:bCs/>
                <w:lang w:eastAsia="en-US"/>
              </w:rPr>
              <w:t xml:space="preserve"> infrastructure and habitats, which can provide carbon storage including multi-functional woodland or grassland. </w:t>
            </w:r>
          </w:p>
          <w:p w14:paraId="0C9FD60F" w14:textId="77777777" w:rsidR="00A20D05" w:rsidRPr="00D810CA" w:rsidRDefault="00A20D05" w:rsidP="00A20D05">
            <w:pPr>
              <w:pStyle w:val="ListParagraph"/>
              <w:spacing w:after="0" w:line="240" w:lineRule="auto"/>
              <w:rPr>
                <w:rFonts w:eastAsia="Arial" w:cs="Arial"/>
                <w:bCs/>
              </w:rPr>
            </w:pPr>
          </w:p>
          <w:p w14:paraId="580B2D0C" w14:textId="52E59BA9" w:rsidR="00A20D05" w:rsidRPr="00D810CA" w:rsidRDefault="00A20D05" w:rsidP="00874A98">
            <w:pPr>
              <w:keepNext w:val="0"/>
              <w:numPr>
                <w:ilvl w:val="0"/>
                <w:numId w:val="117"/>
              </w:numPr>
              <w:tabs>
                <w:tab w:val="left" w:pos="680"/>
                <w:tab w:val="left" w:pos="1133"/>
                <w:tab w:val="left" w:pos="2267"/>
              </w:tabs>
              <w:spacing w:before="0"/>
              <w:ind w:right="284"/>
              <w:contextualSpacing/>
              <w:rPr>
                <w:rFonts w:eastAsia="Arial" w:cs="Arial"/>
                <w:bCs/>
                <w:lang w:eastAsia="en-US"/>
              </w:rPr>
            </w:pPr>
            <w:bookmarkStart w:id="146" w:name="_Hlk79772737"/>
            <w:r w:rsidRPr="00D810CA">
              <w:rPr>
                <w:rFonts w:eastAsia="Arial" w:cs="Arial"/>
                <w:bCs/>
                <w:lang w:eastAsia="en-US"/>
              </w:rPr>
              <w:t xml:space="preserve">Maximise the opportunities that potentially arise from the use of renewable heat from </w:t>
            </w:r>
            <w:proofErr w:type="gramStart"/>
            <w:r w:rsidRPr="00D810CA">
              <w:rPr>
                <w:rFonts w:eastAsia="Arial" w:cs="Arial"/>
                <w:bCs/>
                <w:lang w:eastAsia="en-US"/>
              </w:rPr>
              <w:t>mine</w:t>
            </w:r>
            <w:proofErr w:type="gramEnd"/>
            <w:r w:rsidRPr="00D810CA">
              <w:rPr>
                <w:rFonts w:eastAsia="Arial" w:cs="Arial"/>
                <w:bCs/>
                <w:lang w:eastAsia="en-US"/>
              </w:rPr>
              <w:t xml:space="preserve"> water</w:t>
            </w:r>
            <w:r w:rsidR="00404E8A" w:rsidRPr="00D810CA">
              <w:rPr>
                <w:rFonts w:eastAsia="Arial" w:cs="Arial"/>
                <w:bCs/>
                <w:lang w:eastAsia="en-US"/>
              </w:rPr>
              <w:t>.</w:t>
            </w:r>
            <w:r w:rsidRPr="00D810CA">
              <w:rPr>
                <w:rFonts w:eastAsia="Arial" w:cs="Arial"/>
                <w:bCs/>
                <w:lang w:eastAsia="en-US"/>
              </w:rPr>
              <w:cr/>
            </w:r>
          </w:p>
          <w:bookmarkEnd w:id="146"/>
          <w:p w14:paraId="4B6F57F2" w14:textId="3925A52C" w:rsidR="00EA0392" w:rsidRPr="00D810CA" w:rsidRDefault="00EA0392" w:rsidP="00874A98">
            <w:pPr>
              <w:keepNext w:val="0"/>
              <w:numPr>
                <w:ilvl w:val="0"/>
                <w:numId w:val="106"/>
              </w:numPr>
              <w:tabs>
                <w:tab w:val="left" w:pos="680"/>
                <w:tab w:val="left" w:pos="1133"/>
                <w:tab w:val="left" w:pos="2267"/>
              </w:tabs>
              <w:spacing w:before="0" w:after="160" w:line="252" w:lineRule="auto"/>
              <w:ind w:right="284"/>
              <w:jc w:val="both"/>
              <w:rPr>
                <w:rFonts w:eastAsia="Arial" w:cs="Arial"/>
                <w:bCs/>
              </w:rPr>
            </w:pPr>
            <w:r w:rsidRPr="00D810CA">
              <w:rPr>
                <w:rFonts w:eastAsia="Arial" w:cs="Arial"/>
                <w:bCs/>
                <w:lang w:eastAsia="en-US"/>
              </w:rPr>
              <w:t xml:space="preserve">The Council will support non-residential development of 1,000 </w:t>
            </w:r>
            <w:r w:rsidR="009D1815" w:rsidRPr="00D810CA">
              <w:rPr>
                <w:rFonts w:eastAsia="Arial" w:cs="Arial"/>
                <w:bCs/>
                <w:lang w:eastAsia="en-US"/>
              </w:rPr>
              <w:t>sq.</w:t>
            </w:r>
            <w:r w:rsidRPr="00D810CA">
              <w:rPr>
                <w:rFonts w:eastAsia="Arial" w:cs="Arial"/>
                <w:bCs/>
                <w:lang w:eastAsia="en-US"/>
              </w:rPr>
              <w:t xml:space="preserve"> m or more that incorporates sustainable construction design, materials and methods to achieve BREEAM standard ‘excellent’</w:t>
            </w:r>
            <w:r w:rsidR="008A6027" w:rsidRPr="00D810CA">
              <w:rPr>
                <w:rFonts w:eastAsia="Arial" w:cs="Arial"/>
                <w:bCs/>
                <w:lang w:eastAsia="en-US"/>
              </w:rPr>
              <w:t xml:space="preserve"> or equivalent, provided this is both feasible and viable and there are not</w:t>
            </w:r>
            <w:r w:rsidR="008A6027" w:rsidRPr="00D810CA">
              <w:t xml:space="preserve"> </w:t>
            </w:r>
            <w:r w:rsidR="008A6027" w:rsidRPr="00D810CA">
              <w:rPr>
                <w:rFonts w:eastAsia="Arial" w:cs="Arial"/>
                <w:bCs/>
                <w:lang w:eastAsia="en-US"/>
              </w:rPr>
              <w:t xml:space="preserve">significant adverse effects in relation to other policy requirements. </w:t>
            </w:r>
          </w:p>
          <w:p w14:paraId="098DB037" w14:textId="77777777" w:rsidR="00EA0392" w:rsidRPr="000339D2" w:rsidRDefault="00EA0392" w:rsidP="004575AD">
            <w:pPr>
              <w:keepNext w:val="0"/>
              <w:spacing w:before="0"/>
              <w:rPr>
                <w:rFonts w:eastAsia="Arial" w:cs="Arial"/>
                <w:bCs/>
              </w:rPr>
            </w:pPr>
          </w:p>
          <w:p w14:paraId="1BADE488" w14:textId="77777777" w:rsidR="00EA0392" w:rsidRPr="00EC189E" w:rsidRDefault="00EA0392" w:rsidP="004575AD">
            <w:pPr>
              <w:keepNext w:val="0"/>
              <w:spacing w:before="0"/>
              <w:rPr>
                <w:rFonts w:eastAsia="Arial" w:cs="Arial"/>
                <w:b/>
              </w:rPr>
            </w:pPr>
            <w:r w:rsidRPr="00EC189E">
              <w:rPr>
                <w:rFonts w:eastAsia="Calibri" w:cs="Arial"/>
                <w:b/>
                <w:szCs w:val="24"/>
                <w:lang w:eastAsia="en-US"/>
              </w:rPr>
              <w:t xml:space="preserve">Proposals for </w:t>
            </w:r>
            <w:r w:rsidRPr="00EC189E">
              <w:rPr>
                <w:rFonts w:eastAsia="Calibri" w:cs="Arial"/>
                <w:b/>
                <w:strike/>
                <w:szCs w:val="24"/>
                <w:lang w:eastAsia="en-US"/>
              </w:rPr>
              <w:t>non-wind</w:t>
            </w:r>
            <w:r w:rsidRPr="00EC189E">
              <w:rPr>
                <w:rFonts w:eastAsia="Calibri" w:cs="Arial"/>
                <w:b/>
                <w:szCs w:val="24"/>
                <w:lang w:eastAsia="en-US"/>
              </w:rPr>
              <w:t xml:space="preserve"> </w:t>
            </w:r>
            <w:r w:rsidRPr="00EC189E">
              <w:rPr>
                <w:rFonts w:eastAsia="Arial" w:cs="Arial"/>
                <w:b/>
              </w:rPr>
              <w:t>Decentralised, Renewable and Low Carbon Energy Generation</w:t>
            </w:r>
          </w:p>
          <w:p w14:paraId="7924F1DF" w14:textId="77777777" w:rsidR="00EA0392" w:rsidRPr="000339D2" w:rsidRDefault="00EA0392" w:rsidP="004575AD">
            <w:pPr>
              <w:keepNext w:val="0"/>
              <w:spacing w:before="0"/>
              <w:rPr>
                <w:rFonts w:eastAsia="Arial" w:cs="Arial"/>
                <w:bCs/>
              </w:rPr>
            </w:pPr>
          </w:p>
          <w:p w14:paraId="7AD0D9DC" w14:textId="090D8825" w:rsidR="00EA0392" w:rsidRPr="000339D2" w:rsidRDefault="00EA0392" w:rsidP="00874A98">
            <w:pPr>
              <w:keepNext w:val="0"/>
              <w:numPr>
                <w:ilvl w:val="0"/>
                <w:numId w:val="106"/>
              </w:numPr>
              <w:tabs>
                <w:tab w:val="left" w:pos="680"/>
                <w:tab w:val="left" w:pos="1133"/>
                <w:tab w:val="left" w:pos="2267"/>
              </w:tabs>
              <w:spacing w:before="0" w:after="160" w:line="252" w:lineRule="auto"/>
              <w:ind w:right="284"/>
              <w:jc w:val="both"/>
              <w:rPr>
                <w:rFonts w:eastAsia="Arial" w:cs="Arial"/>
                <w:bCs/>
              </w:rPr>
            </w:pPr>
            <w:bookmarkStart w:id="147" w:name="_Hlk78466635"/>
            <w:r w:rsidRPr="000339D2">
              <w:rPr>
                <w:rFonts w:eastAsia="Arial" w:cs="Arial"/>
                <w:bCs/>
              </w:rPr>
              <w:t>The development of stand-alone renewable energy schemes</w:t>
            </w:r>
            <w:r w:rsidR="00725FBA" w:rsidRPr="000339D2">
              <w:rPr>
                <w:rFonts w:eastAsia="Arial" w:cs="Arial"/>
                <w:bCs/>
                <w:vertAlign w:val="superscript"/>
              </w:rPr>
              <w:t>1</w:t>
            </w:r>
            <w:r w:rsidRPr="000339D2">
              <w:rPr>
                <w:rFonts w:eastAsia="Arial" w:cs="Arial"/>
                <w:bCs/>
              </w:rPr>
              <w:t xml:space="preserve"> will be supported in appropriate locations, including biomass power generation, combined heat and power, and micro generation systems and where individually, or cumulatively, there are no significant adverse effects in relation to other policy requirements.  Proposals should demonstrate how they:</w:t>
            </w:r>
          </w:p>
          <w:p w14:paraId="3942D90A" w14:textId="710D71CC" w:rsidR="00EA0392" w:rsidRPr="000339D2" w:rsidRDefault="00EA0392" w:rsidP="00874A98">
            <w:pPr>
              <w:keepNext w:val="0"/>
              <w:numPr>
                <w:ilvl w:val="0"/>
                <w:numId w:val="118"/>
              </w:numPr>
              <w:spacing w:before="0" w:after="160" w:line="252" w:lineRule="auto"/>
              <w:contextualSpacing/>
              <w:rPr>
                <w:rFonts w:eastAsia="Arial" w:cs="Arial"/>
                <w:bCs/>
                <w:lang w:eastAsia="en-US"/>
              </w:rPr>
            </w:pPr>
            <w:r w:rsidRPr="000339D2">
              <w:rPr>
                <w:rFonts w:eastAsia="Arial" w:cs="Arial"/>
                <w:bCs/>
                <w:lang w:eastAsia="en-US"/>
              </w:rPr>
              <w:t>Connect to the existing national grid infrastructure, unless it can be demonstrated that energy generation would be used on-site to meet the needs of a specific end user;</w:t>
            </w:r>
            <w:r w:rsidR="00A0047B" w:rsidRPr="000339D2">
              <w:rPr>
                <w:rFonts w:eastAsia="Arial" w:cs="Arial"/>
                <w:bCs/>
                <w:lang w:eastAsia="en-US"/>
              </w:rPr>
              <w:t xml:space="preserve"> and </w:t>
            </w:r>
          </w:p>
          <w:p w14:paraId="548D21E2" w14:textId="77777777" w:rsidR="00EA0392" w:rsidRPr="000339D2" w:rsidRDefault="00EA0392" w:rsidP="00725FBA">
            <w:pPr>
              <w:keepNext w:val="0"/>
              <w:spacing w:before="0"/>
              <w:ind w:left="720"/>
              <w:contextualSpacing/>
              <w:rPr>
                <w:rFonts w:eastAsia="Arial" w:cs="Arial"/>
                <w:bCs/>
                <w:lang w:eastAsia="en-US"/>
              </w:rPr>
            </w:pPr>
          </w:p>
          <w:p w14:paraId="4559BF5B" w14:textId="77777777" w:rsidR="00EA0392" w:rsidRPr="000339D2" w:rsidRDefault="00EA0392" w:rsidP="00874A98">
            <w:pPr>
              <w:keepNext w:val="0"/>
              <w:numPr>
                <w:ilvl w:val="0"/>
                <w:numId w:val="118"/>
              </w:numPr>
              <w:spacing w:before="0" w:after="160" w:line="252" w:lineRule="auto"/>
              <w:contextualSpacing/>
              <w:rPr>
                <w:rFonts w:eastAsia="Arial" w:cs="Arial"/>
                <w:bCs/>
                <w:lang w:eastAsia="en-US"/>
              </w:rPr>
            </w:pPr>
            <w:r w:rsidRPr="000339D2">
              <w:rPr>
                <w:rFonts w:eastAsia="Arial" w:cs="Arial"/>
                <w:bCs/>
                <w:lang w:eastAsia="en-US"/>
              </w:rPr>
              <w:t>Provide for the removal of the infrastructure and reinstatement of the site, should the facilities cease to be operational;</w:t>
            </w:r>
          </w:p>
          <w:bookmarkEnd w:id="147"/>
          <w:p w14:paraId="1F0EE140" w14:textId="7C764FFF" w:rsidR="00EA0392" w:rsidRPr="000339D2" w:rsidRDefault="00EA0392" w:rsidP="004575AD">
            <w:pPr>
              <w:keepNext w:val="0"/>
              <w:spacing w:before="0"/>
              <w:rPr>
                <w:rFonts w:eastAsia="Arial" w:cs="Arial"/>
                <w:b/>
              </w:rPr>
            </w:pPr>
          </w:p>
          <w:p w14:paraId="1E52EEBF" w14:textId="77777777" w:rsidR="00EA0392" w:rsidRPr="00EC189E" w:rsidRDefault="00EA0392" w:rsidP="004575AD">
            <w:pPr>
              <w:keepNext w:val="0"/>
              <w:spacing w:before="0"/>
              <w:rPr>
                <w:rFonts w:eastAsia="Arial" w:cs="Arial"/>
                <w:b/>
                <w:bCs/>
              </w:rPr>
            </w:pPr>
            <w:r w:rsidRPr="00EC189E">
              <w:rPr>
                <w:rFonts w:eastAsia="Arial" w:cs="Arial"/>
                <w:b/>
                <w:bCs/>
              </w:rPr>
              <w:t xml:space="preserve">Energy Storage </w:t>
            </w:r>
          </w:p>
          <w:p w14:paraId="6E9DC843" w14:textId="77777777" w:rsidR="00EA0392" w:rsidRPr="000339D2" w:rsidRDefault="00EA0392" w:rsidP="004575AD">
            <w:pPr>
              <w:keepNext w:val="0"/>
              <w:spacing w:before="0"/>
              <w:rPr>
                <w:rFonts w:eastAsia="Arial" w:cs="Arial"/>
                <w:bCs/>
              </w:rPr>
            </w:pPr>
          </w:p>
          <w:p w14:paraId="53EC96A1" w14:textId="227C5E02" w:rsidR="00EA0392" w:rsidRPr="000339D2" w:rsidRDefault="00EA0392" w:rsidP="00874A98">
            <w:pPr>
              <w:keepNext w:val="0"/>
              <w:numPr>
                <w:ilvl w:val="0"/>
                <w:numId w:val="106"/>
              </w:numPr>
              <w:spacing w:before="0" w:after="160" w:line="252" w:lineRule="auto"/>
              <w:contextualSpacing/>
              <w:jc w:val="both"/>
              <w:rPr>
                <w:rFonts w:eastAsia="Arial" w:cs="Arial"/>
                <w:bCs/>
              </w:rPr>
            </w:pPr>
            <w:r w:rsidRPr="000339D2">
              <w:rPr>
                <w:rFonts w:eastAsia="Arial" w:cs="Arial"/>
                <w:bCs/>
              </w:rPr>
              <w:t>Proposals for energy storage units will be supported where they assist with balancing of the electricity grid, support renewable and low carbon energy and where:</w:t>
            </w:r>
          </w:p>
          <w:p w14:paraId="365B7807" w14:textId="77777777" w:rsidR="00EA0392" w:rsidRPr="000339D2" w:rsidRDefault="00EA0392" w:rsidP="00874A98">
            <w:pPr>
              <w:keepNext w:val="0"/>
              <w:numPr>
                <w:ilvl w:val="0"/>
                <w:numId w:val="120"/>
              </w:numPr>
              <w:spacing w:before="0" w:after="160" w:line="252" w:lineRule="auto"/>
              <w:contextualSpacing/>
              <w:jc w:val="both"/>
              <w:rPr>
                <w:rFonts w:eastAsia="Arial" w:cs="Arial"/>
                <w:bCs/>
              </w:rPr>
            </w:pPr>
            <w:r w:rsidRPr="000339D2">
              <w:rPr>
                <w:rFonts w:eastAsia="Arial" w:cs="Arial"/>
                <w:bCs/>
              </w:rPr>
              <w:t>they are located on previously developed areas and/or in industrial areas, and</w:t>
            </w:r>
          </w:p>
          <w:p w14:paraId="6E1880B4" w14:textId="4759EC70" w:rsidR="00EA0392" w:rsidRPr="000339D2" w:rsidRDefault="00EA0392" w:rsidP="00874A98">
            <w:pPr>
              <w:keepNext w:val="0"/>
              <w:numPr>
                <w:ilvl w:val="0"/>
                <w:numId w:val="120"/>
              </w:numPr>
              <w:spacing w:before="0" w:after="160" w:line="252" w:lineRule="auto"/>
              <w:contextualSpacing/>
              <w:jc w:val="both"/>
              <w:rPr>
                <w:rFonts w:eastAsia="Arial" w:cs="Arial"/>
                <w:bCs/>
              </w:rPr>
            </w:pPr>
            <w:r w:rsidRPr="000339D2">
              <w:rPr>
                <w:rFonts w:eastAsia="Arial" w:cs="Arial"/>
                <w:bCs/>
              </w:rPr>
              <w:t>individually, or cumulatively, there are no significant adverse effects in relation to other polic</w:t>
            </w:r>
            <w:r w:rsidR="00A0047B" w:rsidRPr="000339D2">
              <w:rPr>
                <w:rFonts w:eastAsia="Arial" w:cs="Arial"/>
                <w:bCs/>
              </w:rPr>
              <w:t>y</w:t>
            </w:r>
            <w:r w:rsidRPr="000339D2">
              <w:rPr>
                <w:rFonts w:eastAsia="Arial" w:cs="Arial"/>
                <w:bCs/>
              </w:rPr>
              <w:t xml:space="preserve"> requirements.</w:t>
            </w:r>
          </w:p>
          <w:p w14:paraId="3D0E6344" w14:textId="77777777" w:rsidR="00EA0392" w:rsidRPr="000339D2" w:rsidRDefault="00EA0392" w:rsidP="004575AD">
            <w:pPr>
              <w:keepNext w:val="0"/>
              <w:tabs>
                <w:tab w:val="left" w:pos="680"/>
                <w:tab w:val="left" w:pos="1133"/>
                <w:tab w:val="left" w:pos="2267"/>
              </w:tabs>
              <w:spacing w:before="0"/>
              <w:ind w:right="284"/>
              <w:rPr>
                <w:rFonts w:eastAsia="Arial" w:cs="Arial"/>
                <w:b/>
              </w:rPr>
            </w:pPr>
          </w:p>
          <w:p w14:paraId="5C16A095" w14:textId="77777777" w:rsidR="00EA0392" w:rsidRPr="00B74241" w:rsidRDefault="00725FBA" w:rsidP="00725FBA">
            <w:pPr>
              <w:keepNext w:val="0"/>
              <w:tabs>
                <w:tab w:val="left" w:pos="680"/>
                <w:tab w:val="left" w:pos="1133"/>
                <w:tab w:val="left" w:pos="2267"/>
              </w:tabs>
              <w:spacing w:before="0"/>
              <w:ind w:right="284"/>
              <w:rPr>
                <w:rFonts w:eastAsia="Arial" w:cs="Arial"/>
                <w:strike/>
                <w:sz w:val="20"/>
              </w:rPr>
            </w:pPr>
            <w:r w:rsidRPr="00B74241">
              <w:rPr>
                <w:rFonts w:eastAsia="Arial" w:cs="Arial"/>
                <w:strike/>
                <w:sz w:val="20"/>
              </w:rPr>
              <w:t>Note</w:t>
            </w:r>
          </w:p>
          <w:p w14:paraId="66231F5A" w14:textId="710F35CD" w:rsidR="00725FBA" w:rsidRPr="00B74241" w:rsidRDefault="00725FBA" w:rsidP="00725FBA">
            <w:pPr>
              <w:keepNext w:val="0"/>
              <w:tabs>
                <w:tab w:val="left" w:pos="680"/>
                <w:tab w:val="left" w:pos="1133"/>
                <w:tab w:val="left" w:pos="2267"/>
              </w:tabs>
              <w:spacing w:before="0"/>
              <w:ind w:right="284"/>
              <w:rPr>
                <w:rFonts w:eastAsia="Arial" w:cs="Arial"/>
                <w:strike/>
                <w:sz w:val="20"/>
              </w:rPr>
            </w:pPr>
            <w:r w:rsidRPr="00B74241">
              <w:rPr>
                <w:rFonts w:eastAsia="Arial" w:cs="Arial"/>
                <w:strike/>
                <w:sz w:val="20"/>
              </w:rPr>
              <w:t xml:space="preserve">1 </w:t>
            </w:r>
            <w:proofErr w:type="gramStart"/>
            <w:r w:rsidRPr="00B74241">
              <w:rPr>
                <w:rFonts w:eastAsia="Arial" w:cs="Arial"/>
                <w:strike/>
                <w:sz w:val="20"/>
              </w:rPr>
              <w:t>–</w:t>
            </w:r>
            <w:r w:rsidR="004575AD" w:rsidRPr="00B74241">
              <w:rPr>
                <w:rFonts w:eastAsia="Arial" w:cs="Arial"/>
                <w:strike/>
                <w:sz w:val="20"/>
              </w:rPr>
              <w:t xml:space="preserve">  </w:t>
            </w:r>
            <w:r w:rsidRPr="00B74241">
              <w:rPr>
                <w:rFonts w:eastAsia="Arial" w:cs="Arial"/>
                <w:strike/>
                <w:sz w:val="20"/>
              </w:rPr>
              <w:t>Under</w:t>
            </w:r>
            <w:proofErr w:type="gramEnd"/>
            <w:r w:rsidRPr="00B74241">
              <w:rPr>
                <w:rFonts w:eastAsia="Arial" w:cs="Arial"/>
                <w:strike/>
                <w:sz w:val="20"/>
              </w:rPr>
              <w:t xml:space="preserve"> national planning policy, the Council cannot include provision for wind energy unless:</w:t>
            </w:r>
          </w:p>
          <w:p w14:paraId="1E0AAECD" w14:textId="77777777" w:rsidR="000339D2" w:rsidRPr="00B74241" w:rsidRDefault="00725FBA" w:rsidP="00874A98">
            <w:pPr>
              <w:pStyle w:val="ListParagraph"/>
              <w:numPr>
                <w:ilvl w:val="0"/>
                <w:numId w:val="122"/>
              </w:numPr>
              <w:tabs>
                <w:tab w:val="left" w:pos="680"/>
                <w:tab w:val="left" w:pos="1133"/>
                <w:tab w:val="left" w:pos="2267"/>
              </w:tabs>
              <w:spacing w:after="0" w:line="240" w:lineRule="auto"/>
              <w:ind w:right="284"/>
              <w:rPr>
                <w:rFonts w:ascii="Arial" w:eastAsia="Arial" w:hAnsi="Arial" w:cs="Arial"/>
                <w:strike/>
                <w:sz w:val="20"/>
                <w:szCs w:val="20"/>
              </w:rPr>
            </w:pPr>
            <w:r w:rsidRPr="00B74241">
              <w:rPr>
                <w:rFonts w:ascii="Arial" w:eastAsia="Arial" w:hAnsi="Arial" w:cs="Arial"/>
                <w:strike/>
                <w:sz w:val="20"/>
                <w:szCs w:val="20"/>
              </w:rPr>
              <w:t>the proposal is in an area that has been identified as suitable for wind energy development in an adopted development plan (</w:t>
            </w:r>
            <w:proofErr w:type="spellStart"/>
            <w:r w:rsidRPr="00B74241">
              <w:rPr>
                <w:rFonts w:ascii="Arial" w:eastAsia="Arial" w:hAnsi="Arial" w:cs="Arial"/>
                <w:strike/>
                <w:sz w:val="20"/>
                <w:szCs w:val="20"/>
              </w:rPr>
              <w:t>i.e</w:t>
            </w:r>
            <w:proofErr w:type="spellEnd"/>
            <w:r w:rsidRPr="00B74241">
              <w:rPr>
                <w:rFonts w:ascii="Arial" w:eastAsia="Arial" w:hAnsi="Arial" w:cs="Arial"/>
                <w:strike/>
                <w:sz w:val="20"/>
                <w:szCs w:val="20"/>
              </w:rPr>
              <w:t xml:space="preserve"> the local plan or a neighbourhood plan), and </w:t>
            </w:r>
            <w:r w:rsidRPr="00B74241">
              <w:rPr>
                <w:rFonts w:ascii="Arial" w:eastAsia="Arial" w:hAnsi="Arial" w:cs="Arial"/>
                <w:strike/>
                <w:sz w:val="20"/>
              </w:rPr>
              <w:t>following consultation, it can be demonstrated that the planning impacts identified by affected local communities have been fully addressed and therefore the proposal has their backing.</w:t>
            </w:r>
          </w:p>
          <w:p w14:paraId="57235808" w14:textId="0098D854" w:rsidR="005D0346" w:rsidRPr="00D1744B" w:rsidRDefault="005D0346" w:rsidP="005D0346">
            <w:pPr>
              <w:pStyle w:val="ListParagraph"/>
              <w:tabs>
                <w:tab w:val="left" w:pos="680"/>
                <w:tab w:val="left" w:pos="1133"/>
                <w:tab w:val="left" w:pos="2267"/>
              </w:tabs>
              <w:spacing w:after="0" w:line="240" w:lineRule="auto"/>
              <w:ind w:left="360" w:right="284"/>
              <w:rPr>
                <w:rFonts w:ascii="Arial" w:eastAsia="Arial" w:hAnsi="Arial" w:cs="Arial"/>
                <w:sz w:val="20"/>
                <w:szCs w:val="20"/>
              </w:rPr>
            </w:pPr>
          </w:p>
        </w:tc>
      </w:tr>
      <w:bookmarkEnd w:id="144"/>
      <w:tr w:rsidR="00EA0392" w:rsidRPr="003C7E62" w14:paraId="6DDE2E84" w14:textId="77777777" w:rsidTr="005334C0">
        <w:tc>
          <w:tcPr>
            <w:tcW w:w="2405" w:type="dxa"/>
          </w:tcPr>
          <w:p w14:paraId="333EFCF8" w14:textId="77777777" w:rsidR="00EA0392" w:rsidRPr="003C7E62" w:rsidRDefault="00EA0392" w:rsidP="000032A9">
            <w:pPr>
              <w:keepNext w:val="0"/>
              <w:tabs>
                <w:tab w:val="left" w:pos="680"/>
                <w:tab w:val="left" w:pos="1133"/>
                <w:tab w:val="left" w:pos="2267"/>
              </w:tabs>
              <w:spacing w:before="0"/>
              <w:ind w:right="284"/>
              <w:rPr>
                <w:rFonts w:eastAsia="Arial" w:cs="Arial"/>
                <w:b/>
                <w:color w:val="0070C0"/>
                <w:szCs w:val="24"/>
              </w:rPr>
            </w:pPr>
            <w:r w:rsidRPr="003C7E62">
              <w:rPr>
                <w:rFonts w:eastAsia="Arial" w:cs="Arial"/>
                <w:bCs/>
                <w:color w:val="auto"/>
                <w:sz w:val="22"/>
                <w:szCs w:val="22"/>
                <w:lang w:eastAsia="en-US"/>
              </w:rPr>
              <w:lastRenderedPageBreak/>
              <w:t>Evidence base</w:t>
            </w:r>
          </w:p>
        </w:tc>
        <w:tc>
          <w:tcPr>
            <w:tcW w:w="7229" w:type="dxa"/>
            <w:gridSpan w:val="2"/>
          </w:tcPr>
          <w:p w14:paraId="127B83F3" w14:textId="635BBC8B" w:rsidR="00EA0392" w:rsidRPr="00D810CA" w:rsidRDefault="00EA0392" w:rsidP="000032A9">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szCs w:val="22"/>
                <w:lang w:eastAsia="en-US"/>
              </w:rPr>
            </w:pPr>
            <w:r w:rsidRPr="003C7E62">
              <w:rPr>
                <w:rFonts w:eastAsia="Arial" w:cs="Arial"/>
                <w:bCs/>
                <w:color w:val="auto"/>
                <w:sz w:val="20"/>
                <w:szCs w:val="22"/>
                <w:lang w:eastAsia="en-US"/>
              </w:rPr>
              <w:t xml:space="preserve">Sustainability Appraisal, </w:t>
            </w:r>
            <w:r w:rsidRPr="00D810CA">
              <w:rPr>
                <w:rFonts w:eastAsia="Arial" w:cs="Arial"/>
                <w:bCs/>
                <w:sz w:val="20"/>
                <w:szCs w:val="22"/>
                <w:lang w:eastAsia="en-US"/>
              </w:rPr>
              <w:t>202</w:t>
            </w:r>
            <w:r w:rsidR="00D022BB" w:rsidRPr="00D810CA">
              <w:rPr>
                <w:rFonts w:eastAsia="Arial" w:cs="Arial"/>
                <w:bCs/>
                <w:sz w:val="20"/>
                <w:szCs w:val="22"/>
                <w:lang w:eastAsia="en-US"/>
              </w:rPr>
              <w:t>3</w:t>
            </w:r>
            <w:r w:rsidRPr="00D810CA">
              <w:rPr>
                <w:rFonts w:eastAsia="Arial" w:cs="Arial"/>
                <w:bCs/>
                <w:sz w:val="20"/>
                <w:szCs w:val="22"/>
                <w:lang w:eastAsia="en-US"/>
              </w:rPr>
              <w:t>.</w:t>
            </w:r>
            <w:r w:rsidR="00D022BB" w:rsidRPr="00D810CA">
              <w:t xml:space="preserve"> </w:t>
            </w:r>
            <w:r w:rsidR="00D022BB" w:rsidRPr="00D810CA">
              <w:rPr>
                <w:rFonts w:eastAsia="Arial" w:cs="Arial"/>
                <w:bCs/>
                <w:sz w:val="20"/>
                <w:szCs w:val="22"/>
                <w:lang w:eastAsia="en-US"/>
              </w:rPr>
              <w:t>WSP UK Limited</w:t>
            </w:r>
            <w:r w:rsidRPr="00D810CA">
              <w:rPr>
                <w:rFonts w:eastAsia="Arial" w:cs="Arial"/>
                <w:bCs/>
                <w:sz w:val="20"/>
                <w:szCs w:val="22"/>
                <w:lang w:eastAsia="en-US"/>
              </w:rPr>
              <w:t xml:space="preserve">. </w:t>
            </w:r>
          </w:p>
          <w:p w14:paraId="2781C131" w14:textId="77777777" w:rsidR="00EA0392" w:rsidRPr="00D810CA" w:rsidRDefault="00EA0392" w:rsidP="000032A9">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szCs w:val="22"/>
                <w:lang w:eastAsia="en-US"/>
              </w:rPr>
            </w:pPr>
            <w:r w:rsidRPr="00D810CA">
              <w:rPr>
                <w:rFonts w:eastAsia="Calibri" w:cs="Arial"/>
                <w:sz w:val="20"/>
                <w:lang w:eastAsia="en-US"/>
              </w:rPr>
              <w:t xml:space="preserve">Towards a Sustainable Energy Policy for Nottinghamshire 2009 - Nottinghamshire Sustainable Energy Planning Partnership (NSEPP) Nottinghamshire: Operational Renewal and Low Carbon Energy Schemes 2009 - Nottinghamshire Sustainable Energy Planning Partnership (NSEPP). </w:t>
            </w:r>
          </w:p>
          <w:p w14:paraId="37DD4C51" w14:textId="17AE2471" w:rsidR="00EA0392" w:rsidRPr="00D810CA" w:rsidRDefault="00EA0392" w:rsidP="000032A9">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szCs w:val="22"/>
                <w:lang w:eastAsia="en-US"/>
              </w:rPr>
            </w:pPr>
            <w:r w:rsidRPr="00D810CA">
              <w:rPr>
                <w:rFonts w:eastAsia="Calibri" w:cs="Arial"/>
                <w:sz w:val="20"/>
                <w:lang w:eastAsia="en-US"/>
              </w:rPr>
              <w:t>Towards a Sustainable Energy Policy for Nottinghamshire, Report of Consultation2009 - Nottinghamshire Sustainable Energy Planning Partnership (NSEPP).</w:t>
            </w:r>
          </w:p>
          <w:p w14:paraId="3FC59F42" w14:textId="77777777" w:rsidR="00EA0392" w:rsidRPr="00D810CA" w:rsidRDefault="00EA0392" w:rsidP="000032A9">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szCs w:val="22"/>
                <w:lang w:eastAsia="en-US"/>
              </w:rPr>
            </w:pPr>
            <w:r w:rsidRPr="00D810CA">
              <w:rPr>
                <w:rFonts w:eastAsia="Calibri" w:cs="Arial"/>
                <w:sz w:val="20"/>
                <w:lang w:eastAsia="en-US"/>
              </w:rPr>
              <w:t>Low Carbon Energy Opportunities and Heat Mapping for Local Planning Areas Across the East Midlands 2011 - Final Report - Land Use Consultants, Centre for Sustainable Energy and SQW.</w:t>
            </w:r>
          </w:p>
          <w:p w14:paraId="11B71C93" w14:textId="6D33DE1B" w:rsidR="00D022BB" w:rsidRPr="00D810CA" w:rsidRDefault="00D022BB" w:rsidP="000032A9">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szCs w:val="22"/>
                <w:lang w:eastAsia="en-US"/>
              </w:rPr>
            </w:pPr>
            <w:r w:rsidRPr="00D810CA">
              <w:rPr>
                <w:rFonts w:eastAsia="Arial" w:cs="Arial"/>
                <w:bCs/>
                <w:sz w:val="20"/>
                <w:szCs w:val="22"/>
                <w:lang w:eastAsia="en-US"/>
              </w:rPr>
              <w:t>Planning Guidance Climate Change, 2022. Ashfield District Council.</w:t>
            </w:r>
          </w:p>
          <w:p w14:paraId="1B7B8D08" w14:textId="0879EC1B" w:rsidR="00EA0392" w:rsidRPr="00D022BB" w:rsidRDefault="00D022BB" w:rsidP="000032A9">
            <w:pPr>
              <w:keepNext w:val="0"/>
              <w:numPr>
                <w:ilvl w:val="0"/>
                <w:numId w:val="13"/>
              </w:numPr>
              <w:tabs>
                <w:tab w:val="left" w:pos="680"/>
                <w:tab w:val="left" w:pos="1133"/>
                <w:tab w:val="left" w:pos="2267"/>
              </w:tabs>
              <w:spacing w:before="0" w:after="160" w:line="252" w:lineRule="auto"/>
              <w:ind w:right="284"/>
              <w:contextualSpacing/>
              <w:rPr>
                <w:rFonts w:eastAsia="Arial" w:cs="Arial"/>
                <w:bCs/>
                <w:color w:val="0070C0"/>
                <w:sz w:val="20"/>
                <w:szCs w:val="22"/>
                <w:lang w:eastAsia="en-US"/>
              </w:rPr>
            </w:pPr>
            <w:r w:rsidRPr="00D810CA">
              <w:rPr>
                <w:rFonts w:eastAsia="Arial" w:cs="Arial"/>
                <w:bCs/>
                <w:sz w:val="20"/>
              </w:rPr>
              <w:t>Ashfield Climate Change Strategy 2021 to 2026. Ashfield District Council.</w:t>
            </w:r>
          </w:p>
        </w:tc>
      </w:tr>
      <w:tr w:rsidR="00EA0392" w:rsidRPr="003C7E62" w14:paraId="55E0121C" w14:textId="77777777" w:rsidTr="005334C0">
        <w:tc>
          <w:tcPr>
            <w:tcW w:w="2405" w:type="dxa"/>
          </w:tcPr>
          <w:p w14:paraId="7FAB6A25" w14:textId="77777777" w:rsidR="00EA0392" w:rsidRPr="003C7E62" w:rsidRDefault="00EA0392" w:rsidP="000032A9">
            <w:pPr>
              <w:keepNext w:val="0"/>
              <w:tabs>
                <w:tab w:val="left" w:pos="680"/>
                <w:tab w:val="left" w:pos="1133"/>
                <w:tab w:val="left" w:pos="2267"/>
              </w:tabs>
              <w:spacing w:before="0"/>
              <w:ind w:right="284"/>
              <w:rPr>
                <w:rFonts w:eastAsia="Arial" w:cs="Arial"/>
                <w:b/>
                <w:color w:val="auto"/>
                <w:szCs w:val="24"/>
              </w:rPr>
            </w:pPr>
            <w:r w:rsidRPr="003C7E62">
              <w:rPr>
                <w:rFonts w:eastAsia="Arial" w:cs="Arial"/>
                <w:bCs/>
                <w:color w:val="auto"/>
                <w:sz w:val="22"/>
                <w:szCs w:val="22"/>
                <w:lang w:eastAsia="en-US"/>
              </w:rPr>
              <w:t>National Planning Policy and Guidance</w:t>
            </w:r>
          </w:p>
        </w:tc>
        <w:tc>
          <w:tcPr>
            <w:tcW w:w="7229" w:type="dxa"/>
            <w:gridSpan w:val="2"/>
          </w:tcPr>
          <w:p w14:paraId="6E1418BB" w14:textId="4AAD60A5" w:rsidR="00EA0392" w:rsidRPr="003C7E62" w:rsidRDefault="00EA0392" w:rsidP="00874A98">
            <w:pPr>
              <w:keepNext w:val="0"/>
              <w:numPr>
                <w:ilvl w:val="0"/>
                <w:numId w:val="119"/>
              </w:numPr>
              <w:tabs>
                <w:tab w:val="left" w:pos="680"/>
                <w:tab w:val="left" w:pos="1133"/>
                <w:tab w:val="left" w:pos="2267"/>
              </w:tabs>
              <w:spacing w:before="0" w:after="160" w:line="252" w:lineRule="auto"/>
              <w:ind w:right="284"/>
              <w:contextualSpacing/>
              <w:rPr>
                <w:rFonts w:eastAsia="Arial" w:cs="Arial"/>
                <w:bCs/>
                <w:color w:val="auto"/>
                <w:sz w:val="20"/>
                <w:lang w:eastAsia="en-US"/>
              </w:rPr>
            </w:pPr>
            <w:r w:rsidRPr="003C7E62">
              <w:rPr>
                <w:rFonts w:eastAsia="Arial" w:cs="Arial"/>
                <w:bCs/>
                <w:color w:val="auto"/>
                <w:sz w:val="20"/>
                <w:lang w:eastAsia="en-US"/>
              </w:rPr>
              <w:t>NPPF 202</w:t>
            </w:r>
            <w:r w:rsidR="005E6FE4">
              <w:rPr>
                <w:rFonts w:eastAsia="Arial" w:cs="Arial"/>
                <w:bCs/>
                <w:color w:val="auto"/>
                <w:sz w:val="20"/>
                <w:lang w:eastAsia="en-US"/>
              </w:rPr>
              <w:t>3</w:t>
            </w:r>
            <w:r w:rsidRPr="003C7E62">
              <w:rPr>
                <w:rFonts w:eastAsia="Arial" w:cs="Arial"/>
                <w:bCs/>
                <w:color w:val="auto"/>
                <w:sz w:val="20"/>
                <w:lang w:eastAsia="en-US"/>
              </w:rPr>
              <w:t>, Part 2: Achieving sustainable development.</w:t>
            </w:r>
          </w:p>
          <w:p w14:paraId="1405B18D" w14:textId="4C590033" w:rsidR="00EA0392" w:rsidRPr="003C7E62" w:rsidRDefault="00EA0392" w:rsidP="00874A98">
            <w:pPr>
              <w:keepNext w:val="0"/>
              <w:numPr>
                <w:ilvl w:val="0"/>
                <w:numId w:val="119"/>
              </w:numPr>
              <w:spacing w:before="0" w:after="160" w:line="252" w:lineRule="auto"/>
              <w:contextualSpacing/>
              <w:rPr>
                <w:rFonts w:eastAsia="Arial" w:cs="Arial"/>
                <w:bCs/>
                <w:color w:val="auto"/>
                <w:sz w:val="20"/>
              </w:rPr>
            </w:pPr>
            <w:r w:rsidRPr="003C7E62">
              <w:rPr>
                <w:rFonts w:eastAsia="Arial" w:cs="Arial"/>
                <w:bCs/>
                <w:color w:val="auto"/>
                <w:sz w:val="20"/>
              </w:rPr>
              <w:t>NPPF 202</w:t>
            </w:r>
            <w:r w:rsidR="005E6FE4">
              <w:rPr>
                <w:rFonts w:eastAsia="Arial" w:cs="Arial"/>
                <w:bCs/>
                <w:color w:val="auto"/>
                <w:sz w:val="20"/>
              </w:rPr>
              <w:t>3</w:t>
            </w:r>
            <w:r w:rsidRPr="003C7E62">
              <w:rPr>
                <w:rFonts w:eastAsia="Arial" w:cs="Arial"/>
                <w:bCs/>
                <w:color w:val="auto"/>
                <w:sz w:val="20"/>
              </w:rPr>
              <w:t>,</w:t>
            </w:r>
            <w:r w:rsidRPr="003C7E62">
              <w:rPr>
                <w:rFonts w:eastAsia="Calibri" w:cs="Arial"/>
                <w:color w:val="auto"/>
                <w:szCs w:val="22"/>
                <w:lang w:eastAsia="en-US"/>
              </w:rPr>
              <w:t xml:space="preserve"> </w:t>
            </w:r>
            <w:r w:rsidRPr="003C7E62">
              <w:rPr>
                <w:rFonts w:eastAsia="Arial" w:cs="Arial"/>
                <w:bCs/>
                <w:color w:val="auto"/>
                <w:sz w:val="20"/>
              </w:rPr>
              <w:t>Part 14: Meeting the challenge of climate change, flooding and coastal change.</w:t>
            </w:r>
          </w:p>
          <w:p w14:paraId="39792C30" w14:textId="5866EF9C" w:rsidR="00EA0392" w:rsidRPr="00D810CA" w:rsidRDefault="00EA0392" w:rsidP="00874A98">
            <w:pPr>
              <w:keepNext w:val="0"/>
              <w:numPr>
                <w:ilvl w:val="0"/>
                <w:numId w:val="119"/>
              </w:numPr>
              <w:tabs>
                <w:tab w:val="left" w:pos="680"/>
                <w:tab w:val="left" w:pos="1133"/>
                <w:tab w:val="left" w:pos="2267"/>
              </w:tabs>
              <w:spacing w:before="0" w:after="160" w:line="252" w:lineRule="auto"/>
              <w:ind w:right="284"/>
              <w:contextualSpacing/>
              <w:rPr>
                <w:rFonts w:eastAsia="Arial" w:cs="Arial"/>
                <w:bCs/>
                <w:sz w:val="20"/>
                <w:lang w:eastAsia="en-US"/>
              </w:rPr>
            </w:pPr>
            <w:r w:rsidRPr="003C7E62">
              <w:rPr>
                <w:rFonts w:eastAsia="Arial" w:cs="Arial"/>
                <w:bCs/>
                <w:color w:val="auto"/>
                <w:sz w:val="20"/>
              </w:rPr>
              <w:t xml:space="preserve">Planning Practice Guidance: Climate change as </w:t>
            </w:r>
            <w:r w:rsidR="009D1815" w:rsidRPr="003C7E62">
              <w:rPr>
                <w:rFonts w:eastAsia="Arial" w:cs="Arial"/>
                <w:bCs/>
                <w:color w:val="auto"/>
                <w:sz w:val="20"/>
              </w:rPr>
              <w:t>of</w:t>
            </w:r>
            <w:r w:rsidR="00D022BB">
              <w:rPr>
                <w:rFonts w:eastAsia="Arial" w:cs="Arial"/>
                <w:bCs/>
                <w:color w:val="auto"/>
                <w:sz w:val="20"/>
              </w:rPr>
              <w:t xml:space="preserve"> </w:t>
            </w:r>
            <w:r w:rsidR="00D022BB" w:rsidRPr="00D810CA">
              <w:rPr>
                <w:rFonts w:eastAsia="Arial" w:cs="Arial"/>
                <w:bCs/>
                <w:sz w:val="20"/>
              </w:rPr>
              <w:t>March 2019</w:t>
            </w:r>
            <w:r w:rsidRPr="00D810CA">
              <w:rPr>
                <w:rFonts w:eastAsia="Arial" w:cs="Arial"/>
                <w:bCs/>
                <w:sz w:val="20"/>
              </w:rPr>
              <w:t>.</w:t>
            </w:r>
          </w:p>
          <w:p w14:paraId="73495813" w14:textId="0DD25E62" w:rsidR="00EA0392" w:rsidRPr="00D810CA" w:rsidRDefault="00EA0392" w:rsidP="00874A98">
            <w:pPr>
              <w:keepNext w:val="0"/>
              <w:numPr>
                <w:ilvl w:val="0"/>
                <w:numId w:val="119"/>
              </w:numPr>
              <w:tabs>
                <w:tab w:val="left" w:pos="680"/>
                <w:tab w:val="left" w:pos="1133"/>
                <w:tab w:val="left" w:pos="2267"/>
              </w:tabs>
              <w:spacing w:before="0" w:after="160" w:line="252" w:lineRule="auto"/>
              <w:ind w:right="284"/>
              <w:contextualSpacing/>
              <w:rPr>
                <w:rFonts w:eastAsia="Arial" w:cs="Arial"/>
                <w:bCs/>
                <w:sz w:val="20"/>
                <w:lang w:eastAsia="en-US"/>
              </w:rPr>
            </w:pPr>
            <w:r w:rsidRPr="00D810CA">
              <w:rPr>
                <w:rFonts w:eastAsia="Arial" w:cs="Arial"/>
                <w:bCs/>
                <w:sz w:val="20"/>
                <w:lang w:eastAsia="en-US"/>
              </w:rPr>
              <w:t xml:space="preserve">Planning Practice Guidance: Renewable and low carbon energy as </w:t>
            </w:r>
            <w:r w:rsidR="009D1815" w:rsidRPr="00D810CA">
              <w:rPr>
                <w:rFonts w:eastAsia="Arial" w:cs="Arial"/>
                <w:bCs/>
                <w:sz w:val="20"/>
                <w:lang w:eastAsia="en-US"/>
              </w:rPr>
              <w:t>of</w:t>
            </w:r>
            <w:r w:rsidRPr="00D810CA">
              <w:rPr>
                <w:rFonts w:eastAsia="Arial" w:cs="Arial"/>
                <w:bCs/>
                <w:sz w:val="20"/>
                <w:lang w:eastAsia="en-US"/>
              </w:rPr>
              <w:t xml:space="preserve"> </w:t>
            </w:r>
            <w:r w:rsidR="00D022BB" w:rsidRPr="00D810CA">
              <w:rPr>
                <w:rFonts w:eastAsia="Arial" w:cs="Arial"/>
                <w:bCs/>
                <w:sz w:val="20"/>
                <w:lang w:eastAsia="en-US"/>
              </w:rPr>
              <w:t>June 2015</w:t>
            </w:r>
            <w:r w:rsidRPr="00D810CA">
              <w:rPr>
                <w:rFonts w:eastAsia="Arial" w:cs="Arial"/>
                <w:bCs/>
                <w:sz w:val="20"/>
                <w:lang w:eastAsia="en-US"/>
              </w:rPr>
              <w:t>.</w:t>
            </w:r>
          </w:p>
          <w:p w14:paraId="78A10F97" w14:textId="50770D3B" w:rsidR="00442F74" w:rsidRPr="003C7E62" w:rsidRDefault="00442F74" w:rsidP="00874A98">
            <w:pPr>
              <w:keepNext w:val="0"/>
              <w:numPr>
                <w:ilvl w:val="0"/>
                <w:numId w:val="119"/>
              </w:numPr>
              <w:tabs>
                <w:tab w:val="left" w:pos="680"/>
                <w:tab w:val="left" w:pos="1133"/>
                <w:tab w:val="left" w:pos="2267"/>
              </w:tabs>
              <w:spacing w:before="0" w:after="160" w:line="252" w:lineRule="auto"/>
              <w:ind w:right="284"/>
              <w:contextualSpacing/>
              <w:rPr>
                <w:rFonts w:eastAsia="Arial" w:cs="Arial"/>
                <w:bCs/>
                <w:color w:val="auto"/>
                <w:sz w:val="20"/>
                <w:lang w:eastAsia="en-US"/>
              </w:rPr>
            </w:pPr>
            <w:r w:rsidRPr="00D810CA">
              <w:rPr>
                <w:rFonts w:cs="Arial"/>
                <w:sz w:val="20"/>
              </w:rPr>
              <w:t>Natural England’s Green Infrastructure Framework – Principles and Standards for England 2022</w:t>
            </w:r>
            <w:r w:rsidR="00B80DEC" w:rsidRPr="00D810CA">
              <w:rPr>
                <w:rFonts w:cs="Arial"/>
                <w:sz w:val="20"/>
              </w:rPr>
              <w:t>.</w:t>
            </w:r>
          </w:p>
        </w:tc>
      </w:tr>
    </w:tbl>
    <w:p w14:paraId="10239890" w14:textId="77777777" w:rsidR="00EA0392" w:rsidRPr="000339D2" w:rsidRDefault="00EA0392" w:rsidP="00EA0392">
      <w:pPr>
        <w:keepNext w:val="0"/>
        <w:autoSpaceDE w:val="0"/>
        <w:autoSpaceDN w:val="0"/>
        <w:adjustRightInd w:val="0"/>
        <w:spacing w:before="0"/>
        <w:rPr>
          <w:rFonts w:eastAsia="Arial" w:cs="Arial"/>
          <w:b/>
        </w:rPr>
      </w:pPr>
    </w:p>
    <w:p w14:paraId="40A07E5D" w14:textId="77777777" w:rsidR="00EA0392" w:rsidRPr="000339D2" w:rsidRDefault="00EA0392" w:rsidP="00EA0392">
      <w:pPr>
        <w:keepNext w:val="0"/>
        <w:autoSpaceDE w:val="0"/>
        <w:autoSpaceDN w:val="0"/>
        <w:adjustRightInd w:val="0"/>
        <w:spacing w:before="0" w:after="120"/>
        <w:rPr>
          <w:rFonts w:eastAsia="Arial" w:cs="Arial"/>
          <w:b/>
          <w:szCs w:val="24"/>
        </w:rPr>
      </w:pPr>
    </w:p>
    <w:p w14:paraId="681C9C82" w14:textId="77777777" w:rsidR="00EA0392" w:rsidRPr="003C7E62" w:rsidRDefault="00EA0392" w:rsidP="004575AD">
      <w:pPr>
        <w:keepNext w:val="0"/>
        <w:autoSpaceDE w:val="0"/>
        <w:autoSpaceDN w:val="0"/>
        <w:adjustRightInd w:val="0"/>
        <w:spacing w:before="0" w:after="120"/>
        <w:ind w:left="709"/>
        <w:rPr>
          <w:rFonts w:eastAsia="Arial" w:cs="Arial"/>
          <w:color w:val="auto"/>
          <w:szCs w:val="24"/>
        </w:rPr>
      </w:pPr>
      <w:r w:rsidRPr="003C7E62">
        <w:rPr>
          <w:rFonts w:eastAsia="Arial" w:cs="Arial"/>
          <w:b/>
          <w:color w:val="auto"/>
          <w:szCs w:val="24"/>
        </w:rPr>
        <w:t>Zero and Low Carbon Developments</w:t>
      </w:r>
    </w:p>
    <w:bookmarkEnd w:id="145"/>
    <w:p w14:paraId="7F31C7FC" w14:textId="2695BFEC" w:rsidR="00916E25" w:rsidRPr="003C7E62" w:rsidRDefault="00916E25" w:rsidP="00916E25">
      <w:pPr>
        <w:keepNext w:val="0"/>
        <w:numPr>
          <w:ilvl w:val="1"/>
          <w:numId w:val="3"/>
        </w:numPr>
        <w:tabs>
          <w:tab w:val="clear" w:pos="525"/>
        </w:tabs>
        <w:spacing w:before="0"/>
        <w:ind w:left="709" w:hanging="709"/>
        <w:rPr>
          <w:rFonts w:cs="Arial"/>
          <w:color w:val="auto"/>
          <w:szCs w:val="24"/>
          <w:lang w:eastAsia="en-US"/>
        </w:rPr>
      </w:pPr>
      <w:r w:rsidRPr="003C7E62">
        <w:rPr>
          <w:rFonts w:cs="Arial"/>
          <w:color w:val="auto"/>
          <w:szCs w:val="24"/>
          <w:lang w:eastAsia="en-US"/>
        </w:rPr>
        <w:t>There are six main greenhouse gases (GHGs) as set out in the Kyoto protocol:</w:t>
      </w:r>
    </w:p>
    <w:p w14:paraId="395B6AC0" w14:textId="7A66B94A" w:rsidR="00916E25" w:rsidRPr="003C7E62" w:rsidRDefault="00916E25" w:rsidP="00916E25">
      <w:pPr>
        <w:keepNext w:val="0"/>
        <w:spacing w:before="0"/>
        <w:ind w:left="709"/>
        <w:rPr>
          <w:rFonts w:cs="Arial"/>
          <w:color w:val="auto"/>
          <w:szCs w:val="24"/>
          <w:lang w:eastAsia="en-US"/>
        </w:rPr>
      </w:pPr>
      <w:r w:rsidRPr="003C7E62">
        <w:rPr>
          <w:rFonts w:cs="Arial"/>
          <w:color w:val="auto"/>
          <w:szCs w:val="24"/>
          <w:lang w:eastAsia="en-US"/>
        </w:rPr>
        <w:t>Carbon Dioxide, Methane, Nitrous Oxide, Hydrofluorocarbons, Perfluorocarbons, and Sulphur Hexafluoride.  GHGs emissions are converted into CO</w:t>
      </w:r>
      <w:r w:rsidRPr="003C7E62">
        <w:rPr>
          <w:rFonts w:cs="Arial"/>
          <w:color w:val="auto"/>
          <w:szCs w:val="24"/>
          <w:vertAlign w:val="subscript"/>
          <w:lang w:eastAsia="en-US"/>
        </w:rPr>
        <w:t>2</w:t>
      </w:r>
      <w:r w:rsidRPr="003C7E62">
        <w:rPr>
          <w:rFonts w:cs="Arial"/>
          <w:color w:val="auto"/>
          <w:szCs w:val="24"/>
          <w:lang w:eastAsia="en-US"/>
        </w:rPr>
        <w:t xml:space="preserve"> and referred to as ‘Carbon Emissions’.</w:t>
      </w:r>
    </w:p>
    <w:p w14:paraId="404F4D46" w14:textId="77777777" w:rsidR="00916E25" w:rsidRPr="003C7E62" w:rsidRDefault="00916E25" w:rsidP="00916E25">
      <w:pPr>
        <w:keepNext w:val="0"/>
        <w:spacing w:before="0"/>
        <w:ind w:left="709"/>
        <w:rPr>
          <w:rFonts w:cs="Arial"/>
          <w:color w:val="auto"/>
          <w:szCs w:val="24"/>
          <w:lang w:eastAsia="en-US"/>
        </w:rPr>
      </w:pPr>
    </w:p>
    <w:p w14:paraId="69637707" w14:textId="1718C24A" w:rsidR="009645A1" w:rsidRPr="003C7E62" w:rsidRDefault="00DE2722" w:rsidP="009645A1">
      <w:pPr>
        <w:keepNext w:val="0"/>
        <w:numPr>
          <w:ilvl w:val="1"/>
          <w:numId w:val="3"/>
        </w:numPr>
        <w:tabs>
          <w:tab w:val="clear" w:pos="525"/>
        </w:tabs>
        <w:spacing w:before="0"/>
        <w:ind w:left="709" w:hanging="709"/>
        <w:rPr>
          <w:rFonts w:cs="Arial"/>
          <w:color w:val="auto"/>
          <w:szCs w:val="24"/>
          <w:lang w:eastAsia="en-US"/>
        </w:rPr>
      </w:pPr>
      <w:r w:rsidRPr="003C7E62">
        <w:rPr>
          <w:rFonts w:eastAsia="Calibri" w:cs="Arial"/>
          <w:color w:val="auto"/>
          <w:szCs w:val="24"/>
          <w:lang w:eastAsia="en-US"/>
        </w:rPr>
        <w:t xml:space="preserve">It is widely acknowledged that climate change is occurring across the planet, and one of the primary causes of this relates to the amount of carbon dioxide being released into the atmosphere. </w:t>
      </w:r>
      <w:bookmarkStart w:id="148" w:name="_Hlk77760830"/>
      <w:r w:rsidRPr="003C7E62">
        <w:rPr>
          <w:rFonts w:eastAsia="Calibri" w:cs="Arial"/>
          <w:color w:val="auto"/>
          <w:szCs w:val="24"/>
          <w:lang w:eastAsia="en-US"/>
        </w:rPr>
        <w:t xml:space="preserve">As a result, the Government has committed to reducing the country’s carbon dioxide emissions by 100% of 1990 levels by 2050, as set out in the Climate Change Act 2008. On the </w:t>
      </w:r>
      <w:proofErr w:type="gramStart"/>
      <w:r w:rsidRPr="003C7E62">
        <w:rPr>
          <w:rFonts w:eastAsia="Calibri" w:cs="Arial"/>
          <w:color w:val="auto"/>
          <w:szCs w:val="24"/>
          <w:lang w:eastAsia="en-US"/>
        </w:rPr>
        <w:t>4th</w:t>
      </w:r>
      <w:proofErr w:type="gramEnd"/>
      <w:r w:rsidRPr="003C7E62">
        <w:rPr>
          <w:rFonts w:eastAsia="Calibri" w:cs="Arial"/>
          <w:color w:val="auto"/>
          <w:szCs w:val="24"/>
          <w:lang w:eastAsia="en-US"/>
        </w:rPr>
        <w:t xml:space="preserve"> December 2020 the Government’s stated target was to achieve a reduction of 68% in greenhouse gas emissions from the 1990 baseline by 2030.  </w:t>
      </w:r>
      <w:bookmarkEnd w:id="148"/>
    </w:p>
    <w:p w14:paraId="79A0B758" w14:textId="77777777" w:rsidR="009645A1" w:rsidRPr="003C7E62" w:rsidRDefault="009645A1" w:rsidP="009645A1">
      <w:pPr>
        <w:keepNext w:val="0"/>
        <w:spacing w:before="0"/>
        <w:ind w:left="709"/>
        <w:rPr>
          <w:rFonts w:cs="Arial"/>
          <w:color w:val="auto"/>
          <w:szCs w:val="24"/>
          <w:lang w:eastAsia="en-US"/>
        </w:rPr>
      </w:pPr>
    </w:p>
    <w:p w14:paraId="38B39908" w14:textId="115E54F4" w:rsidR="009645A1" w:rsidRPr="003C7E62" w:rsidRDefault="00DE2722" w:rsidP="009645A1">
      <w:pPr>
        <w:keepNext w:val="0"/>
        <w:numPr>
          <w:ilvl w:val="1"/>
          <w:numId w:val="3"/>
        </w:numPr>
        <w:tabs>
          <w:tab w:val="clear" w:pos="525"/>
        </w:tabs>
        <w:spacing w:before="0"/>
        <w:ind w:left="709" w:hanging="709"/>
        <w:rPr>
          <w:rFonts w:cs="Arial"/>
          <w:color w:val="auto"/>
          <w:szCs w:val="24"/>
          <w:lang w:eastAsia="en-US"/>
        </w:rPr>
      </w:pPr>
      <w:proofErr w:type="gramStart"/>
      <w:r w:rsidRPr="003C7E62">
        <w:rPr>
          <w:rFonts w:eastAsia="Calibri" w:cs="Arial"/>
          <w:color w:val="auto"/>
          <w:szCs w:val="24"/>
          <w:lang w:eastAsia="en-US"/>
        </w:rPr>
        <w:t>In order to</w:t>
      </w:r>
      <w:proofErr w:type="gramEnd"/>
      <w:r w:rsidRPr="003C7E62">
        <w:rPr>
          <w:rFonts w:eastAsia="Calibri" w:cs="Arial"/>
          <w:color w:val="auto"/>
          <w:szCs w:val="24"/>
          <w:lang w:eastAsia="en-US"/>
        </w:rPr>
        <w:t xml:space="preserve"> help achieve this target, the Government has implemented </w:t>
      </w:r>
      <w:proofErr w:type="gramStart"/>
      <w:r w:rsidRPr="003C7E62">
        <w:rPr>
          <w:rFonts w:eastAsia="Calibri" w:cs="Arial"/>
          <w:color w:val="auto"/>
          <w:szCs w:val="24"/>
          <w:lang w:eastAsia="en-US"/>
        </w:rPr>
        <w:t>a number of</w:t>
      </w:r>
      <w:proofErr w:type="gramEnd"/>
      <w:r w:rsidRPr="003C7E62">
        <w:rPr>
          <w:rFonts w:eastAsia="Calibri" w:cs="Arial"/>
          <w:color w:val="auto"/>
          <w:szCs w:val="24"/>
          <w:lang w:eastAsia="en-US"/>
        </w:rPr>
        <w:t xml:space="preserve"> initiatives and regulations aimed at the development industry and property owners to enhance the energy efficiency / carbon emissions of new and existing properties. </w:t>
      </w:r>
      <w:bookmarkStart w:id="149" w:name="_Hlk77760870"/>
      <w:r w:rsidRPr="003C7E62">
        <w:rPr>
          <w:rFonts w:eastAsia="Calibri" w:cs="Arial"/>
          <w:color w:val="auto"/>
          <w:szCs w:val="24"/>
          <w:lang w:eastAsia="en-US"/>
        </w:rPr>
        <w:t>The Government has announced that by 2025, the Future Homes Standard will deliver homes that are zero-carbon ready to be delivered through the Building Regulations.</w:t>
      </w:r>
      <w:bookmarkEnd w:id="149"/>
    </w:p>
    <w:p w14:paraId="5D0289D7" w14:textId="77777777" w:rsidR="009645A1" w:rsidRPr="003C7E62" w:rsidRDefault="009645A1" w:rsidP="009645A1">
      <w:pPr>
        <w:pStyle w:val="ListParagraph"/>
        <w:spacing w:after="0" w:line="240" w:lineRule="auto"/>
        <w:rPr>
          <w:rFonts w:ascii="Arial" w:eastAsia="Calibri" w:hAnsi="Arial" w:cs="Arial"/>
          <w:color w:val="auto"/>
          <w:szCs w:val="24"/>
        </w:rPr>
      </w:pPr>
    </w:p>
    <w:p w14:paraId="51775CBF" w14:textId="514E315F" w:rsidR="009645A1" w:rsidRPr="003C7E62" w:rsidRDefault="00DE2722" w:rsidP="009645A1">
      <w:pPr>
        <w:keepNext w:val="0"/>
        <w:numPr>
          <w:ilvl w:val="1"/>
          <w:numId w:val="3"/>
        </w:numPr>
        <w:tabs>
          <w:tab w:val="clear" w:pos="525"/>
        </w:tabs>
        <w:spacing w:before="0"/>
        <w:ind w:left="709" w:hanging="709"/>
        <w:rPr>
          <w:rFonts w:cs="Arial"/>
          <w:color w:val="auto"/>
          <w:szCs w:val="24"/>
          <w:lang w:eastAsia="en-US"/>
        </w:rPr>
      </w:pPr>
      <w:r w:rsidRPr="003C7E62">
        <w:rPr>
          <w:rFonts w:eastAsia="Calibri" w:cs="Arial"/>
          <w:color w:val="auto"/>
          <w:szCs w:val="24"/>
          <w:lang w:eastAsia="en-US"/>
        </w:rPr>
        <w:t xml:space="preserve">Creating low and zero carbon developments </w:t>
      </w:r>
      <w:r w:rsidR="00725FBA" w:rsidRPr="003C7E62">
        <w:rPr>
          <w:rFonts w:eastAsia="Calibri" w:cs="Arial"/>
          <w:color w:val="auto"/>
          <w:szCs w:val="24"/>
          <w:lang w:eastAsia="en-US"/>
        </w:rPr>
        <w:t>has</w:t>
      </w:r>
      <w:r w:rsidRPr="003C7E62">
        <w:rPr>
          <w:rFonts w:eastAsia="Calibri" w:cs="Arial"/>
          <w:color w:val="auto"/>
          <w:szCs w:val="24"/>
          <w:lang w:eastAsia="en-US"/>
        </w:rPr>
        <w:t xml:space="preserve"> a key role in helping to achieve these carbon reduction commitments and the Council is committed to ensuring all new developments are as low carbon as possible. The Council acknowledges that Building Regulations should be the primary means of introducing and enforcing </w:t>
      </w:r>
      <w:r w:rsidRPr="003C7E62">
        <w:rPr>
          <w:rFonts w:eastAsia="Calibri" w:cs="Arial"/>
          <w:color w:val="auto"/>
          <w:szCs w:val="24"/>
          <w:lang w:eastAsia="en-US"/>
        </w:rPr>
        <w:lastRenderedPageBreak/>
        <w:t xml:space="preserve">carbon reductions, but considers development </w:t>
      </w:r>
      <w:r w:rsidRPr="003C7E62">
        <w:rPr>
          <w:rFonts w:cs="Arial"/>
          <w:color w:val="auto"/>
        </w:rPr>
        <w:t>should</w:t>
      </w:r>
      <w:r w:rsidR="00725FBA" w:rsidRPr="003C7E62">
        <w:rPr>
          <w:rFonts w:cs="Arial"/>
          <w:color w:val="auto"/>
        </w:rPr>
        <w:t>,</w:t>
      </w:r>
      <w:r w:rsidRPr="003C7E62">
        <w:rPr>
          <w:rFonts w:cs="Arial"/>
          <w:color w:val="auto"/>
        </w:rPr>
        <w:t xml:space="preserve"> </w:t>
      </w:r>
      <w:r w:rsidR="00725FBA" w:rsidRPr="003C7E62">
        <w:rPr>
          <w:rFonts w:cs="Arial"/>
          <w:color w:val="auto"/>
        </w:rPr>
        <w:t xml:space="preserve">wherever possible, </w:t>
      </w:r>
      <w:r w:rsidRPr="003C7E62">
        <w:rPr>
          <w:rFonts w:cs="Arial"/>
          <w:color w:val="auto"/>
        </w:rPr>
        <w:t>apply carbon and energy reduction</w:t>
      </w:r>
      <w:r w:rsidRPr="003C7E62">
        <w:rPr>
          <w:rFonts w:eastAsia="Calibri" w:cs="Arial"/>
          <w:color w:val="auto"/>
          <w:szCs w:val="24"/>
          <w:lang w:eastAsia="en-US"/>
        </w:rPr>
        <w:t xml:space="preserve"> measure</w:t>
      </w:r>
      <w:r w:rsidR="007A3B9F">
        <w:rPr>
          <w:rFonts w:eastAsia="Calibri" w:cs="Arial"/>
          <w:color w:val="auto"/>
          <w:szCs w:val="24"/>
          <w:lang w:eastAsia="en-US"/>
        </w:rPr>
        <w:t>s</w:t>
      </w:r>
      <w:r w:rsidRPr="003C7E62">
        <w:rPr>
          <w:rFonts w:eastAsia="Calibri" w:cs="Arial"/>
          <w:color w:val="auto"/>
          <w:szCs w:val="24"/>
          <w:lang w:eastAsia="en-US"/>
        </w:rPr>
        <w:t xml:space="preserve"> beyond the Building Regulations. </w:t>
      </w:r>
      <w:r w:rsidR="00725FBA" w:rsidRPr="003C7E62">
        <w:rPr>
          <w:rFonts w:eastAsia="Calibri" w:cs="Arial"/>
          <w:color w:val="auto"/>
          <w:szCs w:val="24"/>
          <w:lang w:eastAsia="en-US"/>
        </w:rPr>
        <w:t>L</w:t>
      </w:r>
      <w:r w:rsidRPr="003C7E62">
        <w:rPr>
          <w:rFonts w:eastAsia="Calibri" w:cs="Arial"/>
          <w:color w:val="auto"/>
          <w:szCs w:val="24"/>
          <w:lang w:eastAsia="en-US"/>
        </w:rPr>
        <w:t xml:space="preserve">ow carbon developments will not only have environmental benefits but will lead </w:t>
      </w:r>
      <w:r w:rsidR="007A3B9F">
        <w:rPr>
          <w:rFonts w:eastAsia="Calibri" w:cs="Arial"/>
          <w:color w:val="auto"/>
          <w:szCs w:val="24"/>
          <w:lang w:eastAsia="en-US"/>
        </w:rPr>
        <w:t xml:space="preserve">to </w:t>
      </w:r>
      <w:r w:rsidRPr="003C7E62">
        <w:rPr>
          <w:rFonts w:eastAsia="Calibri" w:cs="Arial"/>
          <w:color w:val="auto"/>
          <w:szCs w:val="24"/>
          <w:lang w:eastAsia="en-US"/>
        </w:rPr>
        <w:t xml:space="preserve">longer term financial savings for the owners/occupants via lower energy requirements. </w:t>
      </w:r>
    </w:p>
    <w:p w14:paraId="6B2DF363" w14:textId="77777777" w:rsidR="009645A1" w:rsidRPr="003C7E62" w:rsidRDefault="009645A1" w:rsidP="009645A1">
      <w:pPr>
        <w:pStyle w:val="ListParagraph"/>
        <w:spacing w:after="0" w:line="240" w:lineRule="auto"/>
        <w:rPr>
          <w:rFonts w:ascii="Arial" w:eastAsia="Calibri" w:hAnsi="Arial" w:cs="Arial"/>
          <w:color w:val="auto"/>
          <w:szCs w:val="24"/>
        </w:rPr>
      </w:pPr>
    </w:p>
    <w:p w14:paraId="6D2DD77A" w14:textId="00C7090E" w:rsidR="003F182E" w:rsidRPr="008A6027" w:rsidRDefault="00DE2722" w:rsidP="008A6027">
      <w:pPr>
        <w:keepNext w:val="0"/>
        <w:numPr>
          <w:ilvl w:val="1"/>
          <w:numId w:val="3"/>
        </w:numPr>
        <w:tabs>
          <w:tab w:val="clear" w:pos="525"/>
        </w:tabs>
        <w:spacing w:before="0"/>
        <w:ind w:left="709" w:hanging="709"/>
        <w:rPr>
          <w:rFonts w:cs="Arial"/>
          <w:color w:val="0070C0"/>
          <w:szCs w:val="24"/>
          <w:lang w:eastAsia="en-US"/>
        </w:rPr>
      </w:pPr>
      <w:r w:rsidRPr="003C7E62">
        <w:rPr>
          <w:rFonts w:eastAsia="Calibri" w:cs="Arial"/>
          <w:color w:val="auto"/>
          <w:szCs w:val="24"/>
          <w:lang w:eastAsia="en-US"/>
        </w:rPr>
        <w:t xml:space="preserve">In designing their schemes, the Council will expect designers to appropriately utilise the assets of a particular site such as landform, orientation and landscape features, coupled with a development layout that utilises building orientation, massing and landscaping to help </w:t>
      </w:r>
      <w:r w:rsidRPr="00D810CA">
        <w:rPr>
          <w:rFonts w:eastAsia="Calibri" w:cs="Arial"/>
          <w:szCs w:val="24"/>
          <w:lang w:eastAsia="en-US"/>
        </w:rPr>
        <w:t xml:space="preserve">reduce energy consumption, utilise solar gain and resilience to temperature increases. </w:t>
      </w:r>
      <w:r w:rsidR="008A6027" w:rsidRPr="00D810CA">
        <w:rPr>
          <w:rFonts w:eastAsia="Calibri" w:cs="Arial"/>
          <w:szCs w:val="24"/>
          <w:lang w:eastAsia="en-US"/>
        </w:rPr>
        <w:t>Designers will be expected to address sites in a holistic way, without reference to notional factors such as land ownerships within the site, to ensure that climate factors are considered across the site and development is configured accordingly.</w:t>
      </w:r>
      <w:r w:rsidR="008A6027" w:rsidRPr="00D810CA">
        <w:rPr>
          <w:rFonts w:cs="Arial"/>
          <w:szCs w:val="24"/>
          <w:lang w:eastAsia="en-US"/>
        </w:rPr>
        <w:t xml:space="preserve"> </w:t>
      </w:r>
      <w:r w:rsidRPr="00D810CA">
        <w:rPr>
          <w:rFonts w:eastAsia="Calibri" w:cs="Arial"/>
          <w:szCs w:val="24"/>
          <w:lang w:eastAsia="en-US"/>
        </w:rPr>
        <w:t xml:space="preserve">Consideration </w:t>
      </w:r>
      <w:r w:rsidRPr="008A6027">
        <w:rPr>
          <w:rFonts w:eastAsia="Calibri" w:cs="Arial"/>
          <w:color w:val="auto"/>
          <w:szCs w:val="24"/>
          <w:lang w:eastAsia="en-US"/>
        </w:rPr>
        <w:t xml:space="preserve">should also be given to a development’s ability to retrofit renewable and decentralised energy technologies. It is important that buildings are designed and laid out in a way that enables occupants to install such technologies in the future. In seeking to achieve low and zero carbon buildings, the Council will support the use of innovative materials and building designs where it can demonstrate that they actively contribute to achieving the desired carbon reductions. </w:t>
      </w:r>
      <w:bookmarkStart w:id="150" w:name="_Hlk77760933"/>
    </w:p>
    <w:p w14:paraId="12B05CC8" w14:textId="77777777" w:rsidR="003F182E" w:rsidRDefault="003F182E" w:rsidP="003F182E">
      <w:pPr>
        <w:pStyle w:val="ListParagraph"/>
        <w:spacing w:after="0" w:line="240" w:lineRule="auto"/>
        <w:rPr>
          <w:rFonts w:cs="Arial"/>
          <w:color w:val="auto"/>
          <w:szCs w:val="24"/>
        </w:rPr>
      </w:pPr>
    </w:p>
    <w:p w14:paraId="3AEA0502" w14:textId="6D38CCCA" w:rsidR="00A20D05" w:rsidRPr="003F182E" w:rsidRDefault="003F182E" w:rsidP="003F182E">
      <w:pPr>
        <w:keepNext w:val="0"/>
        <w:numPr>
          <w:ilvl w:val="1"/>
          <w:numId w:val="3"/>
        </w:numPr>
        <w:tabs>
          <w:tab w:val="clear" w:pos="525"/>
        </w:tabs>
        <w:spacing w:before="0"/>
        <w:ind w:left="709" w:hanging="709"/>
        <w:rPr>
          <w:rFonts w:cs="Arial"/>
          <w:color w:val="auto"/>
          <w:szCs w:val="24"/>
          <w:lang w:eastAsia="en-US"/>
        </w:rPr>
      </w:pPr>
      <w:bookmarkStart w:id="151" w:name="_Hlk79774822"/>
      <w:r w:rsidRPr="003F182E">
        <w:rPr>
          <w:rFonts w:cs="Arial"/>
          <w:color w:val="auto"/>
          <w:szCs w:val="24"/>
          <w:lang w:eastAsia="en-US"/>
        </w:rPr>
        <w:t>Ashfield mining heritage provides opportunities for the utilisation of mine water as a heat source.  Mine water is typically at a temperature around 12 and 20°C, with little to no seasonal variation. Therefore, it is a potential source of low carbon heating or cooling for heat networks using wate</w:t>
      </w:r>
      <w:r w:rsidR="009904E0">
        <w:rPr>
          <w:rFonts w:cs="Arial"/>
          <w:color w:val="auto"/>
          <w:szCs w:val="24"/>
          <w:lang w:eastAsia="en-US"/>
        </w:rPr>
        <w:t>r</w:t>
      </w:r>
      <w:r w:rsidRPr="003F182E">
        <w:rPr>
          <w:rFonts w:cs="Arial"/>
          <w:color w:val="auto"/>
          <w:szCs w:val="24"/>
          <w:lang w:eastAsia="en-US"/>
        </w:rPr>
        <w:t xml:space="preserve"> source heat pumps. The Council will work with the Coal Authority and developers to maximise the potential for renewable heat from mine water. </w:t>
      </w:r>
    </w:p>
    <w:p w14:paraId="3A19CCB7" w14:textId="77777777" w:rsidR="009645A1" w:rsidRPr="003C7E62" w:rsidRDefault="009645A1" w:rsidP="009645A1">
      <w:pPr>
        <w:pStyle w:val="ListParagraph"/>
        <w:spacing w:after="0" w:line="240" w:lineRule="auto"/>
        <w:rPr>
          <w:rFonts w:ascii="Arial" w:eastAsia="Calibri" w:hAnsi="Arial" w:cs="Arial"/>
          <w:color w:val="auto"/>
          <w:szCs w:val="24"/>
        </w:rPr>
      </w:pPr>
    </w:p>
    <w:bookmarkEnd w:id="151"/>
    <w:p w14:paraId="570B18FA" w14:textId="7079B400" w:rsidR="009645A1" w:rsidRPr="003C7E62" w:rsidRDefault="00DE2722" w:rsidP="009645A1">
      <w:pPr>
        <w:keepNext w:val="0"/>
        <w:numPr>
          <w:ilvl w:val="1"/>
          <w:numId w:val="3"/>
        </w:numPr>
        <w:tabs>
          <w:tab w:val="clear" w:pos="525"/>
        </w:tabs>
        <w:spacing w:before="0"/>
        <w:ind w:left="709" w:hanging="709"/>
        <w:rPr>
          <w:rFonts w:cs="Arial"/>
          <w:color w:val="auto"/>
          <w:szCs w:val="24"/>
          <w:lang w:eastAsia="en-US"/>
        </w:rPr>
      </w:pPr>
      <w:r w:rsidRPr="003C7E62">
        <w:rPr>
          <w:rFonts w:eastAsia="Calibri" w:cs="Arial"/>
          <w:color w:val="auto"/>
          <w:szCs w:val="24"/>
          <w:lang w:eastAsia="en-US"/>
        </w:rPr>
        <w:t xml:space="preserve">Adaption for climate change will require lifestyle and behavioural change.  The Policy requires development to encourage sustainable lifestyles.  For example, layout should minimise the use of the private car and prioritise safe and attractive routes that benefits pedestrians and cyclists.  Street design, which, is pedestrian, and cycle friendly as opposed to just routes for vehicles to pass through. The Government has announced the phasing out of petrol and diesel cars by 2030 with the likelihood that electric vehicles would become the norm over the </w:t>
      </w:r>
      <w:r w:rsidR="00EA4F09">
        <w:rPr>
          <w:rFonts w:eastAsia="Calibri" w:cs="Arial"/>
          <w:color w:val="auto"/>
          <w:szCs w:val="24"/>
          <w:lang w:eastAsia="en-US"/>
        </w:rPr>
        <w:t>P</w:t>
      </w:r>
      <w:r w:rsidRPr="003C7E62">
        <w:rPr>
          <w:rFonts w:eastAsia="Calibri" w:cs="Arial"/>
          <w:color w:val="auto"/>
          <w:szCs w:val="24"/>
          <w:lang w:eastAsia="en-US"/>
        </w:rPr>
        <w:t xml:space="preserve">lan period.  This places an emphasis on electric vehicle charging points in new homes.     </w:t>
      </w:r>
      <w:bookmarkEnd w:id="150"/>
    </w:p>
    <w:p w14:paraId="5FCA0D27" w14:textId="77777777" w:rsidR="009645A1" w:rsidRPr="003C7E62" w:rsidRDefault="009645A1" w:rsidP="009645A1">
      <w:pPr>
        <w:pStyle w:val="ListParagraph"/>
        <w:spacing w:after="0" w:line="240" w:lineRule="auto"/>
        <w:rPr>
          <w:rFonts w:ascii="Arial" w:eastAsia="Calibri" w:hAnsi="Arial" w:cs="Arial"/>
          <w:color w:val="auto"/>
          <w:szCs w:val="24"/>
        </w:rPr>
      </w:pPr>
    </w:p>
    <w:p w14:paraId="5914C6C2" w14:textId="77777777" w:rsidR="009645A1" w:rsidRPr="003C7E62" w:rsidRDefault="00DE2722" w:rsidP="009645A1">
      <w:pPr>
        <w:keepNext w:val="0"/>
        <w:numPr>
          <w:ilvl w:val="1"/>
          <w:numId w:val="3"/>
        </w:numPr>
        <w:tabs>
          <w:tab w:val="clear" w:pos="525"/>
        </w:tabs>
        <w:spacing w:before="0"/>
        <w:ind w:left="709" w:hanging="709"/>
        <w:rPr>
          <w:rFonts w:cs="Arial"/>
          <w:color w:val="auto"/>
          <w:szCs w:val="24"/>
          <w:lang w:eastAsia="en-US"/>
        </w:rPr>
      </w:pPr>
      <w:r w:rsidRPr="003C7E62">
        <w:rPr>
          <w:rFonts w:eastAsia="Calibri" w:cs="Arial"/>
          <w:color w:val="auto"/>
          <w:szCs w:val="24"/>
          <w:lang w:eastAsia="en-US"/>
        </w:rPr>
        <w:t xml:space="preserve">The Council fully supports developments that actively pursue the creation of highly efficient, zero carbon developments via recognised standards such </w:t>
      </w:r>
      <w:proofErr w:type="spellStart"/>
      <w:r w:rsidRPr="003C7E62">
        <w:rPr>
          <w:rFonts w:eastAsia="Calibri" w:cs="Arial"/>
          <w:color w:val="auto"/>
          <w:szCs w:val="24"/>
          <w:lang w:eastAsia="en-US"/>
        </w:rPr>
        <w:t>PassivHaus</w:t>
      </w:r>
      <w:proofErr w:type="spellEnd"/>
      <w:r w:rsidRPr="003C7E62">
        <w:rPr>
          <w:rFonts w:eastAsia="Calibri" w:cs="Arial"/>
          <w:color w:val="auto"/>
          <w:szCs w:val="24"/>
          <w:lang w:eastAsia="en-US"/>
        </w:rPr>
        <w:t xml:space="preserve"> and BREEAM Excellent or Outstanding. Developments that strive to achieve such sustainable design excellence will be acknowledged by the Council, with a presumption in favour of development.</w:t>
      </w:r>
    </w:p>
    <w:p w14:paraId="7E0A56CA" w14:textId="77777777" w:rsidR="009645A1" w:rsidRPr="0079686C" w:rsidRDefault="009645A1" w:rsidP="009645A1">
      <w:pPr>
        <w:keepNext w:val="0"/>
        <w:tabs>
          <w:tab w:val="left" w:pos="680"/>
        </w:tabs>
        <w:spacing w:before="0"/>
        <w:ind w:left="680"/>
        <w:rPr>
          <w:rFonts w:eastAsia="Arial" w:cs="Arial"/>
          <w:b/>
          <w:color w:val="auto"/>
          <w:szCs w:val="24"/>
        </w:rPr>
      </w:pPr>
    </w:p>
    <w:p w14:paraId="42F44C9A" w14:textId="77777777" w:rsidR="005334C0" w:rsidRDefault="005334C0">
      <w:pPr>
        <w:keepNext w:val="0"/>
        <w:spacing w:before="0"/>
        <w:rPr>
          <w:rFonts w:eastAsia="Arial" w:cs="Arial"/>
          <w:b/>
          <w:color w:val="auto"/>
          <w:szCs w:val="24"/>
        </w:rPr>
      </w:pPr>
      <w:r>
        <w:rPr>
          <w:rFonts w:eastAsia="Arial" w:cs="Arial"/>
          <w:b/>
          <w:color w:val="auto"/>
          <w:szCs w:val="24"/>
        </w:rPr>
        <w:br w:type="page"/>
      </w:r>
    </w:p>
    <w:p w14:paraId="022CE35B" w14:textId="6AEDE197" w:rsidR="009645A1" w:rsidRDefault="009645A1" w:rsidP="005D0346">
      <w:pPr>
        <w:keepNext w:val="0"/>
        <w:tabs>
          <w:tab w:val="left" w:pos="680"/>
        </w:tabs>
        <w:spacing w:before="0"/>
        <w:ind w:left="680"/>
        <w:rPr>
          <w:rFonts w:eastAsia="Arial" w:cs="Arial"/>
          <w:b/>
          <w:color w:val="auto"/>
          <w:szCs w:val="24"/>
        </w:rPr>
      </w:pPr>
      <w:r w:rsidRPr="003C7E62">
        <w:rPr>
          <w:rFonts w:eastAsia="Arial" w:cs="Arial"/>
          <w:b/>
          <w:color w:val="auto"/>
          <w:szCs w:val="24"/>
        </w:rPr>
        <w:lastRenderedPageBreak/>
        <w:t>Decentralised, Renewable and Low Carbon Energy Generation</w:t>
      </w:r>
    </w:p>
    <w:p w14:paraId="5B680441" w14:textId="77777777" w:rsidR="005334C0" w:rsidRDefault="005334C0" w:rsidP="005D0346">
      <w:pPr>
        <w:keepNext w:val="0"/>
        <w:tabs>
          <w:tab w:val="left" w:pos="680"/>
        </w:tabs>
        <w:spacing w:before="0"/>
        <w:ind w:left="680"/>
        <w:rPr>
          <w:rFonts w:eastAsia="Arial" w:cs="Arial"/>
          <w:b/>
          <w:color w:val="auto"/>
          <w:szCs w:val="24"/>
        </w:rPr>
      </w:pPr>
    </w:p>
    <w:p w14:paraId="04C0F11D" w14:textId="07FB5FB6" w:rsidR="009645A1" w:rsidRPr="003C7E62" w:rsidRDefault="00DE2722" w:rsidP="005D0346">
      <w:pPr>
        <w:keepNext w:val="0"/>
        <w:numPr>
          <w:ilvl w:val="1"/>
          <w:numId w:val="3"/>
        </w:numPr>
        <w:tabs>
          <w:tab w:val="clear" w:pos="525"/>
        </w:tabs>
        <w:spacing w:before="0"/>
        <w:ind w:left="709" w:hanging="709"/>
        <w:rPr>
          <w:rFonts w:cs="Arial"/>
          <w:color w:val="auto"/>
          <w:szCs w:val="24"/>
          <w:lang w:eastAsia="en-US"/>
        </w:rPr>
      </w:pPr>
      <w:r w:rsidRPr="003C7E62">
        <w:rPr>
          <w:rFonts w:eastAsia="Arial" w:cs="Arial"/>
          <w:color w:val="auto"/>
          <w:szCs w:val="24"/>
        </w:rPr>
        <w:t xml:space="preserve">It is widely acknowledged that tackling the challenges posed by climate change will necessitate a radical increase in the proportion of energy generated from renewable sources. </w:t>
      </w:r>
      <w:r w:rsidRPr="003C7E62">
        <w:rPr>
          <w:rFonts w:eastAsia="Calibri" w:cs="Arial"/>
          <w:color w:val="auto"/>
          <w:szCs w:val="24"/>
          <w:lang w:eastAsia="en-US"/>
        </w:rPr>
        <w:t>Whilst the country’s carbon reduction commitments are one driver of this change, the increasing cost of centralised and fossil fuel derived energy is also influencing the growth in decentralised, renewable and low carbon energy sourcing for commercial and domestic users.</w:t>
      </w:r>
      <w:r w:rsidR="009645A1" w:rsidRPr="003C7E62">
        <w:rPr>
          <w:rFonts w:eastAsia="Calibri" w:cs="Arial"/>
          <w:color w:val="auto"/>
          <w:szCs w:val="24"/>
          <w:lang w:eastAsia="en-US"/>
        </w:rPr>
        <w:t xml:space="preserve">  </w:t>
      </w:r>
    </w:p>
    <w:p w14:paraId="78EE9410" w14:textId="77777777" w:rsidR="009645A1" w:rsidRPr="003C7E62" w:rsidRDefault="009645A1" w:rsidP="009645A1">
      <w:pPr>
        <w:pStyle w:val="ListParagraph"/>
        <w:spacing w:after="0" w:line="240" w:lineRule="auto"/>
        <w:rPr>
          <w:rFonts w:ascii="Arial" w:eastAsia="Calibri" w:hAnsi="Arial" w:cs="Arial"/>
          <w:color w:val="auto"/>
          <w:szCs w:val="24"/>
        </w:rPr>
      </w:pPr>
    </w:p>
    <w:p w14:paraId="2214B700" w14:textId="0DD0BC82" w:rsidR="009645A1" w:rsidRPr="003C7E62" w:rsidRDefault="00DE2722" w:rsidP="009645A1">
      <w:pPr>
        <w:keepNext w:val="0"/>
        <w:numPr>
          <w:ilvl w:val="1"/>
          <w:numId w:val="3"/>
        </w:numPr>
        <w:tabs>
          <w:tab w:val="clear" w:pos="525"/>
        </w:tabs>
        <w:spacing w:before="0"/>
        <w:ind w:left="709" w:hanging="709"/>
        <w:rPr>
          <w:rFonts w:cs="Arial"/>
          <w:color w:val="auto"/>
          <w:szCs w:val="24"/>
          <w:lang w:eastAsia="en-US"/>
        </w:rPr>
      </w:pPr>
      <w:r w:rsidRPr="003C7E62">
        <w:rPr>
          <w:rFonts w:eastAsia="Calibri" w:cs="Arial"/>
          <w:color w:val="auto"/>
          <w:szCs w:val="24"/>
          <w:lang w:eastAsia="en-US"/>
        </w:rPr>
        <w:t xml:space="preserve">The Council actively encourages the development of viable technologies and infrastructure across the </w:t>
      </w:r>
      <w:proofErr w:type="gramStart"/>
      <w:r w:rsidRPr="003C7E62">
        <w:rPr>
          <w:rFonts w:eastAsia="Calibri" w:cs="Arial"/>
          <w:color w:val="auto"/>
          <w:szCs w:val="24"/>
          <w:lang w:eastAsia="en-US"/>
        </w:rPr>
        <w:t>District</w:t>
      </w:r>
      <w:proofErr w:type="gramEnd"/>
      <w:r w:rsidRPr="003C7E62">
        <w:rPr>
          <w:rFonts w:eastAsia="Calibri" w:cs="Arial"/>
          <w:color w:val="auto"/>
          <w:szCs w:val="24"/>
          <w:lang w:eastAsia="en-US"/>
        </w:rPr>
        <w:t xml:space="preserve">. However, this </w:t>
      </w:r>
      <w:proofErr w:type="gramStart"/>
      <w:r w:rsidRPr="003C7E62">
        <w:rPr>
          <w:rFonts w:eastAsia="Calibri" w:cs="Arial"/>
          <w:color w:val="auto"/>
          <w:szCs w:val="24"/>
          <w:lang w:eastAsia="en-US"/>
        </w:rPr>
        <w:t>has to</w:t>
      </w:r>
      <w:proofErr w:type="gramEnd"/>
      <w:r w:rsidRPr="003C7E62">
        <w:rPr>
          <w:rFonts w:eastAsia="Calibri" w:cs="Arial"/>
          <w:color w:val="auto"/>
          <w:szCs w:val="24"/>
          <w:lang w:eastAsia="en-US"/>
        </w:rPr>
        <w:t xml:space="preserve"> be seen in the context of the potential impact on the following: </w:t>
      </w:r>
    </w:p>
    <w:p w14:paraId="1BDC8FFC" w14:textId="62F14126" w:rsidR="009645A1" w:rsidRPr="003C7E62" w:rsidRDefault="009645A1" w:rsidP="009645A1">
      <w:pPr>
        <w:keepNext w:val="0"/>
        <w:spacing w:before="0"/>
        <w:rPr>
          <w:rFonts w:cs="Arial"/>
          <w:color w:val="auto"/>
          <w:szCs w:val="24"/>
          <w:lang w:eastAsia="en-US"/>
        </w:rPr>
      </w:pPr>
    </w:p>
    <w:p w14:paraId="7FA4B450" w14:textId="77777777" w:rsidR="009645A1" w:rsidRPr="003C7E62" w:rsidRDefault="009645A1" w:rsidP="00874A98">
      <w:pPr>
        <w:keepNext w:val="0"/>
        <w:numPr>
          <w:ilvl w:val="0"/>
          <w:numId w:val="110"/>
        </w:numPr>
        <w:autoSpaceDE w:val="0"/>
        <w:autoSpaceDN w:val="0"/>
        <w:adjustRightInd w:val="0"/>
        <w:spacing w:before="0" w:after="160" w:line="252" w:lineRule="auto"/>
        <w:ind w:left="1069"/>
        <w:contextualSpacing/>
        <w:jc w:val="both"/>
        <w:rPr>
          <w:rFonts w:eastAsia="Calibri" w:cs="Arial"/>
          <w:color w:val="auto"/>
          <w:szCs w:val="24"/>
          <w:lang w:eastAsia="en-US"/>
        </w:rPr>
      </w:pPr>
      <w:r w:rsidRPr="003C7E62">
        <w:rPr>
          <w:rFonts w:eastAsia="Calibri" w:cs="Arial"/>
          <w:color w:val="auto"/>
          <w:szCs w:val="24"/>
          <w:lang w:eastAsia="en-US"/>
        </w:rPr>
        <w:t xml:space="preserve">Residential amenity (including noise, </w:t>
      </w:r>
      <w:r w:rsidRPr="003C7E62">
        <w:rPr>
          <w:rFonts w:cs="Arial"/>
          <w:color w:val="auto"/>
          <w:szCs w:val="24"/>
          <w:lang w:eastAsia="en-US"/>
        </w:rPr>
        <w:t>low-frequency noise,</w:t>
      </w:r>
      <w:r w:rsidRPr="003C7E62">
        <w:rPr>
          <w:rFonts w:eastAsia="Calibri" w:cs="Arial"/>
          <w:color w:val="auto"/>
          <w:szCs w:val="24"/>
          <w:lang w:eastAsia="en-US"/>
        </w:rPr>
        <w:t xml:space="preserve"> fumes, odour, shadow flicker, reflected light, traffic and broadcast interference);</w:t>
      </w:r>
    </w:p>
    <w:p w14:paraId="6CA660F6" w14:textId="77777777" w:rsidR="009645A1" w:rsidRPr="003C7E62" w:rsidRDefault="009645A1" w:rsidP="00874A98">
      <w:pPr>
        <w:keepNext w:val="0"/>
        <w:numPr>
          <w:ilvl w:val="0"/>
          <w:numId w:val="110"/>
        </w:numPr>
        <w:autoSpaceDE w:val="0"/>
        <w:autoSpaceDN w:val="0"/>
        <w:adjustRightInd w:val="0"/>
        <w:spacing w:before="0" w:after="160" w:line="252" w:lineRule="auto"/>
        <w:ind w:left="1069"/>
        <w:contextualSpacing/>
        <w:jc w:val="both"/>
        <w:rPr>
          <w:rFonts w:eastAsia="Calibri" w:cs="Arial"/>
          <w:color w:val="auto"/>
          <w:szCs w:val="24"/>
          <w:lang w:eastAsia="en-US"/>
        </w:rPr>
      </w:pPr>
      <w:r w:rsidRPr="003C7E62">
        <w:rPr>
          <w:rFonts w:eastAsia="Calibri" w:cs="Arial"/>
          <w:color w:val="auto"/>
          <w:szCs w:val="24"/>
          <w:lang w:eastAsia="en-US"/>
        </w:rPr>
        <w:t>Highway, Aviation, Defence, radar or power line safety;</w:t>
      </w:r>
    </w:p>
    <w:p w14:paraId="45E2BFF8" w14:textId="046702E8" w:rsidR="009645A1" w:rsidRPr="003C7E62" w:rsidRDefault="009645A1" w:rsidP="00874A98">
      <w:pPr>
        <w:keepNext w:val="0"/>
        <w:numPr>
          <w:ilvl w:val="0"/>
          <w:numId w:val="110"/>
        </w:numPr>
        <w:autoSpaceDE w:val="0"/>
        <w:autoSpaceDN w:val="0"/>
        <w:adjustRightInd w:val="0"/>
        <w:spacing w:before="0" w:after="160" w:line="252" w:lineRule="auto"/>
        <w:ind w:left="1069"/>
        <w:contextualSpacing/>
        <w:jc w:val="both"/>
        <w:rPr>
          <w:rFonts w:eastAsia="Calibri" w:cs="Arial"/>
          <w:color w:val="auto"/>
          <w:szCs w:val="24"/>
          <w:lang w:eastAsia="en-US"/>
        </w:rPr>
      </w:pPr>
      <w:r w:rsidRPr="003C7E62">
        <w:rPr>
          <w:rFonts w:eastAsia="Calibri" w:cs="Arial"/>
          <w:color w:val="auto"/>
          <w:szCs w:val="24"/>
          <w:lang w:eastAsia="en-US"/>
        </w:rPr>
        <w:t>Existing building</w:t>
      </w:r>
      <w:r w:rsidR="0070040B">
        <w:rPr>
          <w:rFonts w:eastAsia="Calibri" w:cs="Arial"/>
          <w:color w:val="auto"/>
          <w:szCs w:val="24"/>
          <w:lang w:eastAsia="en-US"/>
        </w:rPr>
        <w:t>s</w:t>
      </w:r>
      <w:r w:rsidRPr="003C7E62">
        <w:rPr>
          <w:rFonts w:eastAsia="Calibri" w:cs="Arial"/>
          <w:color w:val="auto"/>
          <w:szCs w:val="24"/>
          <w:lang w:eastAsia="en-US"/>
        </w:rPr>
        <w:t xml:space="preserve"> in relation to fall over distance of wind turbines;</w:t>
      </w:r>
    </w:p>
    <w:p w14:paraId="26EB57A6" w14:textId="77777777" w:rsidR="009645A1" w:rsidRPr="003C7E62" w:rsidRDefault="009645A1" w:rsidP="00874A98">
      <w:pPr>
        <w:keepNext w:val="0"/>
        <w:numPr>
          <w:ilvl w:val="0"/>
          <w:numId w:val="110"/>
        </w:numPr>
        <w:autoSpaceDE w:val="0"/>
        <w:autoSpaceDN w:val="0"/>
        <w:adjustRightInd w:val="0"/>
        <w:spacing w:before="0" w:after="160" w:line="252" w:lineRule="auto"/>
        <w:ind w:left="1069"/>
        <w:contextualSpacing/>
        <w:jc w:val="both"/>
        <w:rPr>
          <w:rFonts w:eastAsia="Calibri" w:cs="Arial"/>
          <w:color w:val="auto"/>
          <w:szCs w:val="24"/>
          <w:lang w:eastAsia="en-US"/>
        </w:rPr>
      </w:pPr>
      <w:r w:rsidRPr="003C7E62">
        <w:rPr>
          <w:rFonts w:eastAsia="Calibri" w:cs="Arial"/>
          <w:color w:val="auto"/>
          <w:szCs w:val="24"/>
          <w:lang w:eastAsia="en-US"/>
        </w:rPr>
        <w:t>The surrounding landscape, townscape and heritage assets;</w:t>
      </w:r>
    </w:p>
    <w:p w14:paraId="2D8E4AE1" w14:textId="77777777" w:rsidR="009645A1" w:rsidRPr="003C7E62" w:rsidRDefault="009645A1" w:rsidP="00874A98">
      <w:pPr>
        <w:keepNext w:val="0"/>
        <w:numPr>
          <w:ilvl w:val="0"/>
          <w:numId w:val="110"/>
        </w:numPr>
        <w:autoSpaceDE w:val="0"/>
        <w:autoSpaceDN w:val="0"/>
        <w:adjustRightInd w:val="0"/>
        <w:spacing w:before="0" w:after="160" w:line="252" w:lineRule="auto"/>
        <w:ind w:left="1069"/>
        <w:contextualSpacing/>
        <w:jc w:val="both"/>
        <w:rPr>
          <w:rFonts w:eastAsia="Calibri" w:cs="Arial"/>
          <w:color w:val="auto"/>
          <w:szCs w:val="24"/>
          <w:lang w:eastAsia="en-US"/>
        </w:rPr>
      </w:pPr>
      <w:r w:rsidRPr="003C7E62">
        <w:rPr>
          <w:rFonts w:eastAsia="Calibri" w:cs="Arial"/>
          <w:color w:val="auto"/>
          <w:szCs w:val="24"/>
          <w:lang w:eastAsia="en-US"/>
        </w:rPr>
        <w:t>Designated nature conservation or biodiversity considerations;</w:t>
      </w:r>
    </w:p>
    <w:p w14:paraId="46DB6FD5" w14:textId="77777777" w:rsidR="009645A1" w:rsidRPr="0079686C" w:rsidRDefault="009645A1" w:rsidP="00874A98">
      <w:pPr>
        <w:keepNext w:val="0"/>
        <w:numPr>
          <w:ilvl w:val="0"/>
          <w:numId w:val="110"/>
        </w:numPr>
        <w:autoSpaceDE w:val="0"/>
        <w:autoSpaceDN w:val="0"/>
        <w:adjustRightInd w:val="0"/>
        <w:spacing w:before="0" w:after="160" w:line="252" w:lineRule="auto"/>
        <w:ind w:left="1069"/>
        <w:contextualSpacing/>
        <w:jc w:val="both"/>
        <w:rPr>
          <w:rFonts w:eastAsia="Calibri" w:cs="Arial"/>
          <w:color w:val="auto"/>
          <w:szCs w:val="24"/>
          <w:lang w:eastAsia="en-US"/>
        </w:rPr>
      </w:pPr>
      <w:r w:rsidRPr="003C7E62">
        <w:rPr>
          <w:rFonts w:eastAsia="Calibri" w:cs="Arial"/>
          <w:color w:val="auto"/>
          <w:szCs w:val="24"/>
          <w:lang w:eastAsia="en-US"/>
        </w:rPr>
        <w:t xml:space="preserve">Species protected under national and international law, including those that occur </w:t>
      </w:r>
      <w:r w:rsidRPr="0079686C">
        <w:rPr>
          <w:rFonts w:eastAsia="Calibri" w:cs="Arial"/>
          <w:color w:val="auto"/>
          <w:szCs w:val="24"/>
          <w:lang w:eastAsia="en-US"/>
        </w:rPr>
        <w:t>outside protected areas.</w:t>
      </w:r>
    </w:p>
    <w:p w14:paraId="6B5E0CE7" w14:textId="77777777" w:rsidR="009645A1" w:rsidRPr="0079686C" w:rsidRDefault="009645A1" w:rsidP="009645A1">
      <w:pPr>
        <w:keepNext w:val="0"/>
        <w:autoSpaceDE w:val="0"/>
        <w:autoSpaceDN w:val="0"/>
        <w:adjustRightInd w:val="0"/>
        <w:spacing w:before="0"/>
        <w:ind w:left="513"/>
        <w:contextualSpacing/>
        <w:rPr>
          <w:rFonts w:eastAsia="Calibri" w:cs="Arial"/>
          <w:color w:val="auto"/>
          <w:szCs w:val="24"/>
          <w:lang w:eastAsia="en-US"/>
        </w:rPr>
      </w:pPr>
    </w:p>
    <w:p w14:paraId="1221E18C" w14:textId="170416B9" w:rsidR="009645A1" w:rsidRPr="003C7E62" w:rsidRDefault="009645A1" w:rsidP="00B212D3">
      <w:pPr>
        <w:keepNext w:val="0"/>
        <w:numPr>
          <w:ilvl w:val="1"/>
          <w:numId w:val="3"/>
        </w:numPr>
        <w:tabs>
          <w:tab w:val="clear" w:pos="525"/>
        </w:tabs>
        <w:spacing w:before="0"/>
        <w:ind w:left="709" w:hanging="709"/>
        <w:rPr>
          <w:rFonts w:eastAsia="Calibri" w:cs="Arial"/>
          <w:color w:val="auto"/>
          <w:szCs w:val="24"/>
          <w:lang w:eastAsia="en-US"/>
        </w:rPr>
      </w:pPr>
      <w:r w:rsidRPr="0079686C">
        <w:rPr>
          <w:rFonts w:eastAsia="Calibri" w:cs="Arial"/>
          <w:color w:val="auto"/>
          <w:szCs w:val="24"/>
          <w:lang w:eastAsia="en-US"/>
        </w:rPr>
        <w:t xml:space="preserve">The </w:t>
      </w:r>
      <w:r w:rsidRPr="003C7E62">
        <w:rPr>
          <w:rFonts w:eastAsia="Calibri" w:cs="Arial"/>
          <w:color w:val="auto"/>
          <w:szCs w:val="24"/>
          <w:lang w:eastAsia="en-US"/>
        </w:rPr>
        <w:t>Council will seek to ensure such issues are satisfactorily assessed and where appropriate, addressed via effective mitigation measures. As part of this process the Council will require development proposals to undertake appropriate pre-application consultation with relevant bodies and agencies. They should also submit appropriate assessments and studies to support the assessment of the proposal. This should include an Environmental Statement that details the environmental impacts of the proposal and the total amount of energy that is expected to be generated. The statement must also provide details of site restoration following infrastructure installation and/or the end of its lifecycle, addressing issues such as the removal of redundant buildings, plant and access roads, where appropriate. Details of the post-use restoration are likely to be conditioned as part of the application.</w:t>
      </w:r>
    </w:p>
    <w:p w14:paraId="0FBD3CA4" w14:textId="77777777" w:rsidR="009645A1" w:rsidRPr="003C7E62" w:rsidRDefault="009645A1" w:rsidP="009645A1">
      <w:pPr>
        <w:pStyle w:val="ListParagraph"/>
        <w:spacing w:after="0" w:line="240" w:lineRule="auto"/>
        <w:rPr>
          <w:rFonts w:ascii="Arial" w:eastAsia="Calibri" w:hAnsi="Arial" w:cs="Arial"/>
          <w:color w:val="auto"/>
          <w:szCs w:val="24"/>
        </w:rPr>
      </w:pPr>
    </w:p>
    <w:p w14:paraId="601E688F" w14:textId="77777777" w:rsidR="009645A1" w:rsidRPr="003C7E62" w:rsidRDefault="00DE2722" w:rsidP="009645A1">
      <w:pPr>
        <w:keepNext w:val="0"/>
        <w:numPr>
          <w:ilvl w:val="1"/>
          <w:numId w:val="3"/>
        </w:numPr>
        <w:tabs>
          <w:tab w:val="clear" w:pos="525"/>
        </w:tabs>
        <w:spacing w:before="0"/>
        <w:ind w:left="709" w:hanging="709"/>
        <w:rPr>
          <w:rFonts w:cs="Arial"/>
          <w:color w:val="auto"/>
          <w:szCs w:val="24"/>
          <w:lang w:eastAsia="en-US"/>
        </w:rPr>
      </w:pPr>
      <w:r w:rsidRPr="003C7E62">
        <w:rPr>
          <w:rFonts w:eastAsia="Calibri" w:cs="Arial"/>
          <w:color w:val="auto"/>
          <w:szCs w:val="24"/>
          <w:lang w:eastAsia="en-US"/>
        </w:rPr>
        <w:t xml:space="preserve">Design must be a key consideration when creating development proposals. Whilst the Council acknowledges there may be design limitations on certain technologies and infrastructure, the Council will encourage developers to utilise new technologies and innovative solutions to achieve the highest quality design achievable. In helping to address potential impacts on landscape, residential amenity, heritage and townscape the design of the proposal will be an important consideration. </w:t>
      </w:r>
    </w:p>
    <w:p w14:paraId="1177170C" w14:textId="77777777" w:rsidR="009645A1" w:rsidRDefault="009645A1" w:rsidP="009645A1">
      <w:pPr>
        <w:keepNext w:val="0"/>
        <w:spacing w:before="0"/>
        <w:ind w:left="709"/>
        <w:rPr>
          <w:rFonts w:eastAsia="Calibri" w:cs="Arial"/>
          <w:color w:val="auto"/>
          <w:szCs w:val="24"/>
          <w:lang w:eastAsia="en-US"/>
        </w:rPr>
      </w:pPr>
    </w:p>
    <w:p w14:paraId="74379484" w14:textId="77777777" w:rsidR="005D0346" w:rsidRDefault="005D0346" w:rsidP="005D0346">
      <w:pPr>
        <w:keepNext w:val="0"/>
        <w:autoSpaceDE w:val="0"/>
        <w:autoSpaceDN w:val="0"/>
        <w:adjustRightInd w:val="0"/>
        <w:spacing w:before="0"/>
        <w:ind w:left="709"/>
        <w:rPr>
          <w:rFonts w:eastAsia="Arial" w:cs="Arial"/>
          <w:b/>
          <w:color w:val="auto"/>
        </w:rPr>
      </w:pPr>
    </w:p>
    <w:p w14:paraId="585631CC" w14:textId="77777777" w:rsidR="005334C0" w:rsidRDefault="005334C0">
      <w:pPr>
        <w:keepNext w:val="0"/>
        <w:spacing w:before="0"/>
        <w:rPr>
          <w:rFonts w:eastAsia="Arial" w:cs="Arial"/>
          <w:b/>
          <w:color w:val="auto"/>
        </w:rPr>
      </w:pPr>
      <w:r>
        <w:rPr>
          <w:rFonts w:eastAsia="Arial" w:cs="Arial"/>
          <w:b/>
          <w:color w:val="auto"/>
        </w:rPr>
        <w:br w:type="page"/>
      </w:r>
    </w:p>
    <w:p w14:paraId="79DBC766" w14:textId="2FC29EE3" w:rsidR="005334C0" w:rsidRDefault="009645A1" w:rsidP="005334C0">
      <w:pPr>
        <w:keepNext w:val="0"/>
        <w:autoSpaceDE w:val="0"/>
        <w:autoSpaceDN w:val="0"/>
        <w:adjustRightInd w:val="0"/>
        <w:spacing w:before="0"/>
        <w:ind w:firstLine="709"/>
        <w:rPr>
          <w:rFonts w:eastAsia="Arial" w:cs="Arial"/>
          <w:b/>
          <w:color w:val="auto"/>
        </w:rPr>
      </w:pPr>
      <w:r w:rsidRPr="003C7E62">
        <w:rPr>
          <w:rFonts w:eastAsia="Arial" w:cs="Arial"/>
          <w:b/>
          <w:color w:val="auto"/>
        </w:rPr>
        <w:lastRenderedPageBreak/>
        <w:t>Low Carbon Energy Opportunities in Ashfield</w:t>
      </w:r>
    </w:p>
    <w:p w14:paraId="783F991E" w14:textId="77777777" w:rsidR="005334C0" w:rsidRDefault="005334C0" w:rsidP="005334C0">
      <w:pPr>
        <w:keepNext w:val="0"/>
        <w:autoSpaceDE w:val="0"/>
        <w:autoSpaceDN w:val="0"/>
        <w:adjustRightInd w:val="0"/>
        <w:spacing w:before="0"/>
        <w:rPr>
          <w:rFonts w:eastAsia="Arial" w:cs="Arial"/>
          <w:b/>
          <w:color w:val="auto"/>
        </w:rPr>
      </w:pPr>
    </w:p>
    <w:p w14:paraId="210E7C87" w14:textId="57B29A71" w:rsidR="009645A1" w:rsidRPr="003C7E62" w:rsidRDefault="00DE2722" w:rsidP="005334C0">
      <w:pPr>
        <w:keepNext w:val="0"/>
        <w:numPr>
          <w:ilvl w:val="1"/>
          <w:numId w:val="3"/>
        </w:numPr>
        <w:tabs>
          <w:tab w:val="clear" w:pos="525"/>
        </w:tabs>
        <w:spacing w:before="0"/>
        <w:ind w:left="709" w:hanging="709"/>
        <w:rPr>
          <w:rFonts w:cs="Arial"/>
          <w:color w:val="auto"/>
          <w:szCs w:val="24"/>
          <w:lang w:eastAsia="en-US"/>
        </w:rPr>
      </w:pPr>
      <w:r w:rsidRPr="003C7E62">
        <w:rPr>
          <w:rFonts w:eastAsia="Arial" w:cs="Arial"/>
          <w:color w:val="auto"/>
        </w:rPr>
        <w:t>A ‘Low Carbon Energy Opportunities and Heat Mapping for Local Planning Areas Across the East Midlands’ Study</w:t>
      </w:r>
      <w:r w:rsidRPr="003C7E62">
        <w:rPr>
          <w:rFonts w:eastAsia="Arial" w:cs="Arial"/>
          <w:color w:val="auto"/>
          <w:vertAlign w:val="superscript"/>
        </w:rPr>
        <w:footnoteReference w:id="79"/>
      </w:r>
      <w:r w:rsidRPr="003C7E62">
        <w:rPr>
          <w:rFonts w:eastAsia="Arial" w:cs="Arial"/>
          <w:color w:val="auto"/>
        </w:rPr>
        <w:t xml:space="preserve"> was undertaken by Land Use Consultants, Centre for Sustainable Energy and SQW on behalf of East Midlands Councils in 2011. The study sets out an evidence base of the technical potential for renewable and low carbon energy technologies within the East Midlands. </w:t>
      </w:r>
    </w:p>
    <w:p w14:paraId="04988382" w14:textId="77777777" w:rsidR="009645A1" w:rsidRPr="003C7E62" w:rsidRDefault="009645A1" w:rsidP="009645A1">
      <w:pPr>
        <w:keepNext w:val="0"/>
        <w:spacing w:before="0"/>
        <w:ind w:left="709"/>
        <w:rPr>
          <w:rFonts w:cs="Arial"/>
          <w:color w:val="auto"/>
          <w:szCs w:val="24"/>
          <w:lang w:eastAsia="en-US"/>
        </w:rPr>
      </w:pPr>
    </w:p>
    <w:p w14:paraId="1661ECFD" w14:textId="20932BF3" w:rsidR="0070040B" w:rsidRPr="00D810CA" w:rsidRDefault="00DE2722" w:rsidP="00404E8A">
      <w:pPr>
        <w:keepNext w:val="0"/>
        <w:numPr>
          <w:ilvl w:val="1"/>
          <w:numId w:val="3"/>
        </w:numPr>
        <w:tabs>
          <w:tab w:val="clear" w:pos="525"/>
        </w:tabs>
        <w:spacing w:before="0"/>
        <w:ind w:left="709" w:hanging="709"/>
        <w:rPr>
          <w:rFonts w:cs="Arial"/>
          <w:szCs w:val="24"/>
          <w:lang w:eastAsia="en-US"/>
        </w:rPr>
      </w:pPr>
      <w:r w:rsidRPr="003F182E">
        <w:rPr>
          <w:rFonts w:cs="Arial"/>
          <w:color w:val="auto"/>
          <w:szCs w:val="24"/>
        </w:rPr>
        <w:t>The</w:t>
      </w:r>
      <w:r w:rsidRPr="003F182E">
        <w:rPr>
          <w:rFonts w:eastAsia="Arial" w:cs="Arial"/>
          <w:color w:val="auto"/>
        </w:rPr>
        <w:t xml:space="preserve"> results of the study indicate that Ashfield has potential for microgeneration; heat pumps, solar thermal and solar photo </w:t>
      </w:r>
      <w:proofErr w:type="spellStart"/>
      <w:r w:rsidRPr="003F182E">
        <w:rPr>
          <w:rFonts w:eastAsia="Arial" w:cs="Arial"/>
          <w:color w:val="auto"/>
        </w:rPr>
        <w:t>voltaics</w:t>
      </w:r>
      <w:proofErr w:type="spellEnd"/>
      <w:r w:rsidRPr="003F182E">
        <w:rPr>
          <w:rFonts w:eastAsia="Arial" w:cs="Arial"/>
          <w:color w:val="auto"/>
        </w:rPr>
        <w:t xml:space="preserve"> and these uses are particularly encouraged. The study also highlighted that, whilst Ashfield District has good average wind speeds, the potential for commercial scale wind energy developments is limited by constraints relating to the presence of existing infrastructure, properties and bird sensitivity issues.</w:t>
      </w:r>
      <w:r w:rsidR="00F91FB8">
        <w:rPr>
          <w:rFonts w:eastAsia="Arial" w:cs="Arial"/>
          <w:color w:val="auto"/>
        </w:rPr>
        <w:t xml:space="preserve"> </w:t>
      </w:r>
      <w:r w:rsidR="00F91FB8" w:rsidRPr="00D810CA">
        <w:rPr>
          <w:rFonts w:eastAsia="Arial" w:cs="Arial"/>
        </w:rPr>
        <w:t>Appendix 4 identifies wind energy opportunities within Ashfield.</w:t>
      </w:r>
    </w:p>
    <w:p w14:paraId="024DF96C" w14:textId="77777777" w:rsidR="003F182E" w:rsidRDefault="003F182E" w:rsidP="003F182E">
      <w:pPr>
        <w:pStyle w:val="ListParagraph"/>
        <w:rPr>
          <w:rFonts w:cs="Arial"/>
          <w:color w:val="auto"/>
          <w:szCs w:val="24"/>
        </w:rPr>
      </w:pPr>
    </w:p>
    <w:p w14:paraId="62F5947A" w14:textId="77777777" w:rsidR="003F182E" w:rsidRPr="003F182E" w:rsidRDefault="003F182E" w:rsidP="003F182E">
      <w:pPr>
        <w:keepNext w:val="0"/>
        <w:spacing w:before="0"/>
        <w:ind w:left="525"/>
        <w:rPr>
          <w:rFonts w:cs="Arial"/>
          <w:color w:val="auto"/>
          <w:szCs w:val="24"/>
          <w:lang w:eastAsia="en-US"/>
        </w:rPr>
      </w:pPr>
    </w:p>
    <w:p w14:paraId="5D1F499C" w14:textId="79ED755D" w:rsidR="00364693" w:rsidRPr="00995322" w:rsidRDefault="006977E7" w:rsidP="00995322">
      <w:pPr>
        <w:pStyle w:val="Heading2"/>
        <w:jc w:val="left"/>
        <w:rPr>
          <w:rFonts w:eastAsia="Arial"/>
          <w:sz w:val="28"/>
          <w:szCs w:val="28"/>
        </w:rPr>
      </w:pPr>
      <w:bookmarkStart w:id="152" w:name="_Toc145511571"/>
      <w:r w:rsidRPr="00995322">
        <w:rPr>
          <w:rFonts w:eastAsia="Arial"/>
          <w:sz w:val="28"/>
          <w:szCs w:val="28"/>
        </w:rPr>
        <w:t xml:space="preserve">Policy </w:t>
      </w:r>
      <w:r w:rsidR="00364693" w:rsidRPr="00995322">
        <w:rPr>
          <w:rFonts w:eastAsia="Arial"/>
          <w:sz w:val="28"/>
          <w:szCs w:val="28"/>
        </w:rPr>
        <w:t>CC2: Water Resource Management</w:t>
      </w:r>
      <w:bookmarkEnd w:id="152"/>
    </w:p>
    <w:p w14:paraId="07CD7A13" w14:textId="77777777" w:rsidR="00364693" w:rsidRPr="003C7E62" w:rsidRDefault="00364693" w:rsidP="004575AD">
      <w:pPr>
        <w:keepNext w:val="0"/>
        <w:spacing w:before="0"/>
        <w:rPr>
          <w:rFonts w:eastAsia="Arial" w:cs="Arial"/>
          <w:color w:val="auto"/>
        </w:rPr>
      </w:pPr>
    </w:p>
    <w:tbl>
      <w:tblPr>
        <w:tblStyle w:val="ReportTable1"/>
        <w:tblW w:w="9634" w:type="dxa"/>
        <w:tblLook w:val="04A0" w:firstRow="1" w:lastRow="0" w:firstColumn="1" w:lastColumn="0" w:noHBand="0" w:noVBand="1"/>
      </w:tblPr>
      <w:tblGrid>
        <w:gridCol w:w="1766"/>
        <w:gridCol w:w="894"/>
        <w:gridCol w:w="6974"/>
      </w:tblGrid>
      <w:tr w:rsidR="00364693" w:rsidRPr="003C7E62" w14:paraId="28DCC43D" w14:textId="77777777" w:rsidTr="005334C0">
        <w:trPr>
          <w:trHeight w:val="421"/>
        </w:trPr>
        <w:tc>
          <w:tcPr>
            <w:tcW w:w="9634" w:type="dxa"/>
            <w:gridSpan w:val="3"/>
          </w:tcPr>
          <w:p w14:paraId="15779D5D" w14:textId="77777777" w:rsidR="00364693" w:rsidRPr="003C7E62" w:rsidRDefault="00364693" w:rsidP="004575AD">
            <w:pPr>
              <w:keepNext w:val="0"/>
              <w:spacing w:after="120"/>
              <w:rPr>
                <w:rFonts w:eastAsia="Arial" w:cs="Arial"/>
                <w:b/>
                <w:color w:val="0070C0"/>
              </w:rPr>
            </w:pPr>
            <w:r w:rsidRPr="003C7E62">
              <w:rPr>
                <w:rFonts w:eastAsia="Arial" w:cs="Arial"/>
                <w:b/>
                <w:color w:val="auto"/>
              </w:rPr>
              <w:t xml:space="preserve">Policy CC2:  </w:t>
            </w:r>
            <w:r w:rsidRPr="0070040B">
              <w:rPr>
                <w:rFonts w:eastAsia="Arial" w:cs="Arial"/>
                <w:b/>
                <w:color w:val="auto"/>
              </w:rPr>
              <w:t>Water Resource Management</w:t>
            </w:r>
          </w:p>
        </w:tc>
      </w:tr>
      <w:tr w:rsidR="00364693" w:rsidRPr="003C7E62" w14:paraId="47AE31CB" w14:textId="77777777" w:rsidTr="005334C0">
        <w:tc>
          <w:tcPr>
            <w:tcW w:w="2660" w:type="dxa"/>
            <w:gridSpan w:val="2"/>
          </w:tcPr>
          <w:p w14:paraId="38612EA1" w14:textId="77777777" w:rsidR="00364693" w:rsidRPr="00FC2A72" w:rsidRDefault="00364693" w:rsidP="004575AD">
            <w:pPr>
              <w:keepNext w:val="0"/>
              <w:tabs>
                <w:tab w:val="left" w:pos="680"/>
              </w:tabs>
              <w:spacing w:before="40" w:after="40"/>
              <w:rPr>
                <w:rFonts w:eastAsia="Arial" w:cs="Arial"/>
                <w:bCs/>
                <w:color w:val="auto"/>
              </w:rPr>
            </w:pPr>
            <w:r w:rsidRPr="00FC2A72">
              <w:rPr>
                <w:rFonts w:eastAsia="Arial" w:cs="Arial"/>
                <w:bCs/>
                <w:color w:val="auto"/>
              </w:rPr>
              <w:t>Strategic Objectives</w:t>
            </w:r>
          </w:p>
        </w:tc>
        <w:tc>
          <w:tcPr>
            <w:tcW w:w="6974" w:type="dxa"/>
          </w:tcPr>
          <w:p w14:paraId="0346A17F" w14:textId="77777777" w:rsidR="00364693" w:rsidRPr="00FC2A72" w:rsidRDefault="00364693" w:rsidP="004575AD">
            <w:pPr>
              <w:keepNext w:val="0"/>
              <w:tabs>
                <w:tab w:val="left" w:pos="680"/>
              </w:tabs>
              <w:spacing w:before="40" w:after="40"/>
              <w:rPr>
                <w:rFonts w:eastAsia="Arial" w:cs="Arial"/>
                <w:bCs/>
                <w:color w:val="auto"/>
              </w:rPr>
            </w:pPr>
            <w:r w:rsidRPr="00FC2A72">
              <w:rPr>
                <w:rFonts w:eastAsia="Arial" w:cs="Arial"/>
                <w:bCs/>
                <w:color w:val="auto"/>
              </w:rPr>
              <w:t>SO1, SO4, SO11, SO13, SO14.</w:t>
            </w:r>
          </w:p>
        </w:tc>
      </w:tr>
      <w:tr w:rsidR="00364693" w:rsidRPr="003C7E62" w14:paraId="7FE418A5" w14:textId="77777777" w:rsidTr="005334C0">
        <w:tc>
          <w:tcPr>
            <w:tcW w:w="9634" w:type="dxa"/>
            <w:gridSpan w:val="3"/>
            <w:shd w:val="clear" w:color="auto" w:fill="DEEAF6"/>
          </w:tcPr>
          <w:p w14:paraId="00B91C7B" w14:textId="77777777" w:rsidR="00364693" w:rsidRPr="003C7E62" w:rsidRDefault="00364693" w:rsidP="004575AD">
            <w:pPr>
              <w:keepNext w:val="0"/>
              <w:tabs>
                <w:tab w:val="left" w:pos="680"/>
                <w:tab w:val="left" w:pos="1133"/>
                <w:tab w:val="left" w:pos="2267"/>
              </w:tabs>
              <w:spacing w:before="0"/>
              <w:ind w:right="284"/>
              <w:rPr>
                <w:rFonts w:eastAsia="Arial" w:cs="Arial"/>
                <w:b/>
                <w:color w:val="auto"/>
                <w:szCs w:val="24"/>
              </w:rPr>
            </w:pPr>
          </w:p>
          <w:p w14:paraId="58865C18" w14:textId="59483C74" w:rsidR="00364693" w:rsidRPr="00D810CA" w:rsidRDefault="00364693" w:rsidP="00874A98">
            <w:pPr>
              <w:keepNext w:val="0"/>
              <w:numPr>
                <w:ilvl w:val="0"/>
                <w:numId w:val="107"/>
              </w:numPr>
              <w:tabs>
                <w:tab w:val="left" w:pos="680"/>
                <w:tab w:val="left" w:pos="1133"/>
                <w:tab w:val="left" w:pos="2267"/>
              </w:tabs>
              <w:spacing w:before="0"/>
              <w:ind w:right="284"/>
              <w:rPr>
                <w:rFonts w:eastAsia="Arial" w:cs="Arial"/>
                <w:bCs/>
                <w:szCs w:val="24"/>
              </w:rPr>
            </w:pPr>
            <w:r w:rsidRPr="003C7E62">
              <w:rPr>
                <w:rFonts w:cs="Arial"/>
                <w:bCs/>
                <w:color w:val="auto"/>
                <w:szCs w:val="24"/>
              </w:rPr>
              <w:t xml:space="preserve">Development proposals </w:t>
            </w:r>
            <w:r w:rsidRPr="00D810CA">
              <w:rPr>
                <w:rFonts w:cs="Arial"/>
                <w:bCs/>
                <w:szCs w:val="24"/>
              </w:rPr>
              <w:t>must demonstrate that there is an adequate supply of water, appropriate sewerage and surface water infrastructure and</w:t>
            </w:r>
            <w:r w:rsidR="00400B3D" w:rsidRPr="00D810CA">
              <w:rPr>
                <w:rFonts w:eastAsia="Arial" w:cs="Arial"/>
                <w:bCs/>
                <w:szCs w:val="24"/>
              </w:rPr>
              <w:t xml:space="preserve"> sewage treatment capacity to ensure that the development does not contribute to a deterioration in water quality to the receiving catchment for the lifetime of the development.</w:t>
            </w:r>
          </w:p>
          <w:p w14:paraId="1F2A9DB1" w14:textId="77777777" w:rsidR="004575AD" w:rsidRPr="003C7E62" w:rsidRDefault="004575AD" w:rsidP="004575AD">
            <w:pPr>
              <w:keepNext w:val="0"/>
              <w:tabs>
                <w:tab w:val="left" w:pos="680"/>
                <w:tab w:val="left" w:pos="1133"/>
                <w:tab w:val="left" w:pos="2267"/>
              </w:tabs>
              <w:spacing w:before="0"/>
              <w:ind w:left="360" w:right="284"/>
              <w:rPr>
                <w:rFonts w:eastAsia="Arial" w:cs="Arial"/>
                <w:bCs/>
                <w:color w:val="auto"/>
                <w:szCs w:val="24"/>
              </w:rPr>
            </w:pPr>
          </w:p>
          <w:p w14:paraId="3BBC2B31" w14:textId="2DE527F9" w:rsidR="00364693" w:rsidRPr="003C7E62" w:rsidRDefault="00364693" w:rsidP="00874A98">
            <w:pPr>
              <w:keepNext w:val="0"/>
              <w:numPr>
                <w:ilvl w:val="0"/>
                <w:numId w:val="107"/>
              </w:numPr>
              <w:tabs>
                <w:tab w:val="left" w:pos="680"/>
                <w:tab w:val="left" w:pos="1133"/>
                <w:tab w:val="left" w:pos="2267"/>
              </w:tabs>
              <w:spacing w:before="0"/>
              <w:ind w:right="284"/>
              <w:contextualSpacing/>
              <w:rPr>
                <w:rFonts w:eastAsia="Arial" w:cs="Arial"/>
                <w:bCs/>
                <w:color w:val="auto"/>
                <w:szCs w:val="24"/>
              </w:rPr>
            </w:pPr>
            <w:r w:rsidRPr="003C7E62">
              <w:rPr>
                <w:rFonts w:eastAsia="Arial" w:cs="Arial"/>
                <w:bCs/>
                <w:color w:val="auto"/>
                <w:szCs w:val="24"/>
              </w:rPr>
              <w:t>In relation to water quality:</w:t>
            </w:r>
          </w:p>
          <w:p w14:paraId="3CD1DC54" w14:textId="77777777" w:rsidR="00DE2722" w:rsidRPr="003C7E62" w:rsidRDefault="00DE2722" w:rsidP="004575AD">
            <w:pPr>
              <w:keepNext w:val="0"/>
              <w:tabs>
                <w:tab w:val="left" w:pos="680"/>
                <w:tab w:val="left" w:pos="1133"/>
                <w:tab w:val="left" w:pos="2267"/>
              </w:tabs>
              <w:spacing w:before="0"/>
              <w:ind w:right="284"/>
              <w:rPr>
                <w:rFonts w:eastAsia="Arial" w:cs="Arial"/>
                <w:bCs/>
                <w:color w:val="auto"/>
                <w:szCs w:val="24"/>
              </w:rPr>
            </w:pPr>
          </w:p>
          <w:p w14:paraId="2452BD7D" w14:textId="4B85FAF0" w:rsidR="007C37BE" w:rsidRPr="00D810CA" w:rsidRDefault="00364693" w:rsidP="00874A98">
            <w:pPr>
              <w:keepNext w:val="0"/>
              <w:numPr>
                <w:ilvl w:val="0"/>
                <w:numId w:val="112"/>
              </w:numPr>
              <w:spacing w:before="0"/>
              <w:contextualSpacing/>
              <w:rPr>
                <w:rFonts w:eastAsia="Arial" w:cs="Arial"/>
                <w:bCs/>
                <w:szCs w:val="24"/>
                <w:lang w:eastAsia="en-US"/>
              </w:rPr>
            </w:pPr>
            <w:r w:rsidRPr="003C7E62">
              <w:rPr>
                <w:rFonts w:eastAsia="Arial" w:cs="Arial"/>
                <w:bCs/>
                <w:color w:val="auto"/>
                <w:szCs w:val="24"/>
                <w:lang w:eastAsia="en-US"/>
              </w:rPr>
              <w:t xml:space="preserve">Development should have regard to the actions and objectives of the Humber River Basin Management Plans and the Water Framework Directive in protecting and improving </w:t>
            </w:r>
            <w:r w:rsidRPr="00D810CA">
              <w:rPr>
                <w:rFonts w:eastAsia="Arial" w:cs="Arial"/>
                <w:bCs/>
                <w:szCs w:val="24"/>
                <w:lang w:eastAsia="en-US"/>
              </w:rPr>
              <w:t xml:space="preserve">the quality of water bodies and ecological systems in and adjacent to the </w:t>
            </w:r>
            <w:proofErr w:type="gramStart"/>
            <w:r w:rsidRPr="00D810CA">
              <w:rPr>
                <w:rFonts w:eastAsia="Arial" w:cs="Arial"/>
                <w:bCs/>
                <w:szCs w:val="24"/>
                <w:lang w:eastAsia="en-US"/>
              </w:rPr>
              <w:t>District</w:t>
            </w:r>
            <w:proofErr w:type="gramEnd"/>
            <w:r w:rsidRPr="00D810CA">
              <w:rPr>
                <w:rFonts w:eastAsia="Arial" w:cs="Arial"/>
                <w:bCs/>
                <w:szCs w:val="24"/>
                <w:lang w:eastAsia="en-US"/>
              </w:rPr>
              <w:t>.</w:t>
            </w:r>
            <w:r w:rsidR="00EA4F09" w:rsidRPr="00D810CA">
              <w:rPr>
                <w:rFonts w:eastAsia="Arial" w:cs="Arial"/>
                <w:bCs/>
                <w:szCs w:val="24"/>
                <w:lang w:eastAsia="en-US"/>
              </w:rPr>
              <w:t xml:space="preserve"> </w:t>
            </w:r>
            <w:r w:rsidR="00ED58B9" w:rsidRPr="00D810CA">
              <w:rPr>
                <w:rFonts w:eastAsia="Arial" w:cs="Arial"/>
                <w:bCs/>
                <w:szCs w:val="24"/>
                <w:lang w:eastAsia="en-US"/>
              </w:rPr>
              <w:t>Where feasible</w:t>
            </w:r>
            <w:r w:rsidR="00830B51" w:rsidRPr="00D810CA">
              <w:rPr>
                <w:rFonts w:eastAsia="Arial" w:cs="Arial"/>
                <w:bCs/>
                <w:szCs w:val="24"/>
                <w:lang w:eastAsia="en-US"/>
              </w:rPr>
              <w:t>,</w:t>
            </w:r>
            <w:r w:rsidR="00ED58B9" w:rsidRPr="00D810CA">
              <w:rPr>
                <w:rFonts w:eastAsia="Arial" w:cs="Arial"/>
                <w:bCs/>
                <w:szCs w:val="24"/>
                <w:lang w:eastAsia="en-US"/>
              </w:rPr>
              <w:t xml:space="preserve"> </w:t>
            </w:r>
            <w:proofErr w:type="gramStart"/>
            <w:r w:rsidR="007C37BE" w:rsidRPr="00D810CA">
              <w:rPr>
                <w:rFonts w:eastAsia="Arial" w:cs="Arial"/>
                <w:bCs/>
                <w:szCs w:val="24"/>
                <w:lang w:eastAsia="en-US"/>
              </w:rPr>
              <w:t>nature based</w:t>
            </w:r>
            <w:proofErr w:type="gramEnd"/>
            <w:r w:rsidR="007C37BE" w:rsidRPr="00D810CA">
              <w:rPr>
                <w:rFonts w:eastAsia="Arial" w:cs="Arial"/>
                <w:bCs/>
                <w:szCs w:val="24"/>
                <w:lang w:eastAsia="en-US"/>
              </w:rPr>
              <w:t xml:space="preserve"> solutions</w:t>
            </w:r>
            <w:r w:rsidR="00ED58B9" w:rsidRPr="00D810CA">
              <w:rPr>
                <w:rFonts w:eastAsia="Arial" w:cs="Arial"/>
                <w:bCs/>
                <w:szCs w:val="24"/>
                <w:lang w:eastAsia="en-US"/>
              </w:rPr>
              <w:t xml:space="preserve"> should be utilised</w:t>
            </w:r>
            <w:r w:rsidR="007C37BE" w:rsidRPr="00D810CA">
              <w:rPr>
                <w:rFonts w:eastAsia="Arial" w:cs="Arial"/>
                <w:bCs/>
                <w:szCs w:val="24"/>
                <w:lang w:eastAsia="en-US"/>
              </w:rPr>
              <w:t>.</w:t>
            </w:r>
          </w:p>
          <w:p w14:paraId="0EDEF896" w14:textId="77777777" w:rsidR="00364693" w:rsidRPr="003C7E62" w:rsidRDefault="00364693" w:rsidP="004575AD">
            <w:pPr>
              <w:keepNext w:val="0"/>
              <w:spacing w:before="0"/>
              <w:ind w:left="720"/>
              <w:contextualSpacing/>
              <w:rPr>
                <w:rFonts w:eastAsia="Arial" w:cs="Arial"/>
                <w:bCs/>
                <w:color w:val="auto"/>
                <w:szCs w:val="24"/>
                <w:lang w:eastAsia="en-US"/>
              </w:rPr>
            </w:pPr>
          </w:p>
          <w:p w14:paraId="1AF34E70" w14:textId="2880FF8F" w:rsidR="00364693" w:rsidRPr="003C7E62" w:rsidRDefault="00364693" w:rsidP="00874A98">
            <w:pPr>
              <w:keepNext w:val="0"/>
              <w:numPr>
                <w:ilvl w:val="0"/>
                <w:numId w:val="112"/>
              </w:numPr>
              <w:spacing w:before="0" w:after="160"/>
              <w:contextualSpacing/>
              <w:rPr>
                <w:rFonts w:eastAsia="Arial" w:cs="Arial"/>
                <w:bCs/>
                <w:color w:val="auto"/>
                <w:szCs w:val="24"/>
                <w:lang w:eastAsia="en-US"/>
              </w:rPr>
            </w:pPr>
            <w:r w:rsidRPr="003C7E62">
              <w:rPr>
                <w:rFonts w:eastAsia="Arial" w:cs="Arial"/>
                <w:bCs/>
                <w:color w:val="auto"/>
                <w:szCs w:val="24"/>
                <w:lang w:eastAsia="en-US"/>
              </w:rPr>
              <w:t xml:space="preserve">Development </w:t>
            </w:r>
            <w:proofErr w:type="gramStart"/>
            <w:r w:rsidRPr="003C7E62">
              <w:rPr>
                <w:rFonts w:eastAsia="Arial" w:cs="Arial"/>
                <w:bCs/>
                <w:color w:val="auto"/>
                <w:szCs w:val="24"/>
                <w:lang w:eastAsia="en-US"/>
              </w:rPr>
              <w:t>will be not be</w:t>
            </w:r>
            <w:proofErr w:type="gramEnd"/>
            <w:r w:rsidRPr="003C7E62">
              <w:rPr>
                <w:rFonts w:eastAsia="Arial" w:cs="Arial"/>
                <w:bCs/>
                <w:color w:val="auto"/>
                <w:szCs w:val="24"/>
                <w:lang w:eastAsia="en-US"/>
              </w:rPr>
              <w:t xml:space="preserve"> permitted where it:</w:t>
            </w:r>
          </w:p>
          <w:p w14:paraId="0314DE28" w14:textId="77777777" w:rsidR="00364693" w:rsidRPr="003C7E62" w:rsidRDefault="00364693" w:rsidP="004575AD">
            <w:pPr>
              <w:keepNext w:val="0"/>
              <w:spacing w:before="0"/>
              <w:ind w:left="720"/>
              <w:contextualSpacing/>
              <w:rPr>
                <w:rFonts w:eastAsia="Arial" w:cs="Arial"/>
                <w:bCs/>
                <w:color w:val="auto"/>
                <w:szCs w:val="24"/>
                <w:lang w:eastAsia="en-US"/>
              </w:rPr>
            </w:pPr>
          </w:p>
          <w:p w14:paraId="529B523D" w14:textId="00A6D7EF" w:rsidR="00364693" w:rsidRPr="003C7E62" w:rsidRDefault="00364693" w:rsidP="00874A98">
            <w:pPr>
              <w:keepNext w:val="0"/>
              <w:numPr>
                <w:ilvl w:val="0"/>
                <w:numId w:val="114"/>
              </w:numPr>
              <w:spacing w:before="0" w:after="160"/>
              <w:contextualSpacing/>
              <w:rPr>
                <w:rFonts w:eastAsia="Arial" w:cs="Arial"/>
                <w:bCs/>
                <w:color w:val="auto"/>
                <w:szCs w:val="24"/>
                <w:lang w:eastAsia="en-US"/>
              </w:rPr>
            </w:pPr>
            <w:r w:rsidRPr="003C7E62">
              <w:rPr>
                <w:rFonts w:eastAsia="Arial" w:cs="Arial"/>
                <w:bCs/>
                <w:color w:val="auto"/>
                <w:szCs w:val="24"/>
                <w:lang w:eastAsia="en-US"/>
              </w:rPr>
              <w:t>Ha</w:t>
            </w:r>
            <w:r w:rsidR="004575AD" w:rsidRPr="003C7E62">
              <w:rPr>
                <w:rFonts w:eastAsia="Arial" w:cs="Arial"/>
                <w:bCs/>
                <w:color w:val="auto"/>
                <w:szCs w:val="24"/>
                <w:lang w:eastAsia="en-US"/>
              </w:rPr>
              <w:t>s</w:t>
            </w:r>
            <w:r w:rsidRPr="003C7E62">
              <w:rPr>
                <w:rFonts w:eastAsia="Arial" w:cs="Arial"/>
                <w:bCs/>
                <w:color w:val="auto"/>
                <w:szCs w:val="24"/>
                <w:lang w:eastAsia="en-US"/>
              </w:rPr>
              <w:t xml:space="preserve"> a negative impact on water quality, either directly through pollution of surface or groundwater or indirectly through overloading of the sewerage system and Wastewater Treatment Works.</w:t>
            </w:r>
            <w:r w:rsidRPr="003C7E62">
              <w:rPr>
                <w:rFonts w:cs="Arial"/>
                <w:bCs/>
                <w:color w:val="auto"/>
                <w:szCs w:val="24"/>
                <w:lang w:eastAsia="en-US"/>
              </w:rPr>
              <w:t xml:space="preserve">  </w:t>
            </w:r>
          </w:p>
          <w:p w14:paraId="2BAEC05C" w14:textId="77777777" w:rsidR="00364693" w:rsidRPr="003C7E62" w:rsidRDefault="00364693" w:rsidP="004575AD">
            <w:pPr>
              <w:keepNext w:val="0"/>
              <w:spacing w:before="0"/>
              <w:ind w:left="1080"/>
              <w:contextualSpacing/>
              <w:rPr>
                <w:rFonts w:eastAsia="Arial" w:cs="Arial"/>
                <w:bCs/>
                <w:color w:val="auto"/>
                <w:szCs w:val="24"/>
                <w:lang w:eastAsia="en-US"/>
              </w:rPr>
            </w:pPr>
          </w:p>
          <w:p w14:paraId="6A165DDD" w14:textId="2C0071F5" w:rsidR="00364693" w:rsidRPr="003C7E62" w:rsidRDefault="00364693" w:rsidP="00874A98">
            <w:pPr>
              <w:keepNext w:val="0"/>
              <w:numPr>
                <w:ilvl w:val="0"/>
                <w:numId w:val="114"/>
              </w:numPr>
              <w:spacing w:before="0" w:after="160"/>
              <w:contextualSpacing/>
              <w:rPr>
                <w:rFonts w:eastAsia="Arial" w:cs="Arial"/>
                <w:bCs/>
                <w:color w:val="auto"/>
                <w:szCs w:val="24"/>
                <w:lang w:eastAsia="en-US"/>
              </w:rPr>
            </w:pPr>
            <w:r w:rsidRPr="003C7E62">
              <w:rPr>
                <w:rFonts w:cs="Arial"/>
                <w:bCs/>
                <w:color w:val="auto"/>
                <w:szCs w:val="24"/>
                <w:lang w:eastAsia="en-US"/>
              </w:rPr>
              <w:lastRenderedPageBreak/>
              <w:t>P</w:t>
            </w:r>
            <w:r w:rsidRPr="003C7E62">
              <w:rPr>
                <w:rFonts w:eastAsia="Arial" w:cs="Arial"/>
                <w:bCs/>
                <w:color w:val="auto"/>
                <w:szCs w:val="24"/>
                <w:lang w:eastAsia="en-US"/>
              </w:rPr>
              <w:t>oses a significant risk to the quality of the groundwater in the principal aquifers or in groundwater source protection zones.</w:t>
            </w:r>
          </w:p>
          <w:p w14:paraId="771BDC52" w14:textId="77777777" w:rsidR="00364693" w:rsidRPr="003C7E62" w:rsidRDefault="00364693" w:rsidP="004575AD">
            <w:pPr>
              <w:keepNext w:val="0"/>
              <w:spacing w:before="0"/>
              <w:ind w:left="720"/>
              <w:contextualSpacing/>
              <w:rPr>
                <w:rFonts w:eastAsia="Arial" w:cs="Arial"/>
                <w:bCs/>
                <w:color w:val="auto"/>
                <w:szCs w:val="24"/>
                <w:lang w:eastAsia="en-US"/>
              </w:rPr>
            </w:pPr>
          </w:p>
          <w:p w14:paraId="02E02B5B" w14:textId="16F5AE0B" w:rsidR="00364693" w:rsidRPr="003C7E62" w:rsidRDefault="00364693" w:rsidP="00874A98">
            <w:pPr>
              <w:keepNext w:val="0"/>
              <w:numPr>
                <w:ilvl w:val="0"/>
                <w:numId w:val="114"/>
              </w:numPr>
              <w:spacing w:before="0" w:after="160"/>
              <w:contextualSpacing/>
              <w:rPr>
                <w:rFonts w:eastAsia="Arial" w:cs="Arial"/>
                <w:bCs/>
                <w:color w:val="auto"/>
                <w:szCs w:val="24"/>
                <w:lang w:eastAsia="en-US"/>
              </w:rPr>
            </w:pPr>
            <w:r w:rsidRPr="003C7E62">
              <w:rPr>
                <w:rFonts w:eastAsia="Arial" w:cs="Arial"/>
                <w:bCs/>
                <w:color w:val="auto"/>
                <w:szCs w:val="24"/>
                <w:lang w:eastAsia="en-US"/>
              </w:rPr>
              <w:t>Fail</w:t>
            </w:r>
            <w:r w:rsidR="004575AD" w:rsidRPr="003C7E62">
              <w:rPr>
                <w:rFonts w:eastAsia="Arial" w:cs="Arial"/>
                <w:bCs/>
                <w:color w:val="auto"/>
                <w:szCs w:val="24"/>
                <w:lang w:eastAsia="en-US"/>
              </w:rPr>
              <w:t>s</w:t>
            </w:r>
            <w:r w:rsidRPr="003C7E62">
              <w:rPr>
                <w:rFonts w:eastAsia="Arial" w:cs="Arial"/>
                <w:bCs/>
                <w:color w:val="auto"/>
                <w:szCs w:val="24"/>
                <w:lang w:eastAsia="en-US"/>
              </w:rPr>
              <w:t xml:space="preserve"> to minimise the impact on the natural water environment. The Council will seek opportunities to restore and enhance all watercourses, to improve water quality and to extend the connectivity and biological complexity of watercourses and their wider environment.</w:t>
            </w:r>
          </w:p>
          <w:p w14:paraId="6CEBF562" w14:textId="77777777" w:rsidR="00364693" w:rsidRPr="003C7E62" w:rsidRDefault="00364693" w:rsidP="004575AD">
            <w:pPr>
              <w:keepNext w:val="0"/>
              <w:spacing w:before="0"/>
              <w:ind w:left="720" w:right="284"/>
              <w:contextualSpacing/>
              <w:rPr>
                <w:rFonts w:eastAsia="Arial" w:cs="Arial"/>
                <w:bCs/>
                <w:color w:val="auto"/>
                <w:szCs w:val="24"/>
                <w:lang w:eastAsia="en-US"/>
              </w:rPr>
            </w:pPr>
          </w:p>
          <w:p w14:paraId="33319AB4" w14:textId="589EB33D" w:rsidR="00364693" w:rsidRPr="003C7E62" w:rsidRDefault="00364693" w:rsidP="00874A98">
            <w:pPr>
              <w:keepNext w:val="0"/>
              <w:numPr>
                <w:ilvl w:val="0"/>
                <w:numId w:val="113"/>
              </w:numPr>
              <w:spacing w:before="0" w:after="160"/>
              <w:ind w:right="284"/>
              <w:contextualSpacing/>
              <w:rPr>
                <w:rFonts w:eastAsia="Arial" w:cs="Arial"/>
                <w:bCs/>
                <w:color w:val="auto"/>
                <w:szCs w:val="24"/>
                <w:lang w:eastAsia="en-US"/>
              </w:rPr>
            </w:pPr>
            <w:r w:rsidRPr="003C7E62">
              <w:rPr>
                <w:rFonts w:eastAsia="Arial" w:cs="Arial"/>
                <w:bCs/>
                <w:color w:val="auto"/>
                <w:szCs w:val="24"/>
                <w:lang w:eastAsia="en-US"/>
              </w:rPr>
              <w:t>Ha</w:t>
            </w:r>
            <w:r w:rsidR="004575AD" w:rsidRPr="003C7E62">
              <w:rPr>
                <w:rFonts w:eastAsia="Arial" w:cs="Arial"/>
                <w:bCs/>
                <w:color w:val="auto"/>
                <w:szCs w:val="24"/>
                <w:lang w:eastAsia="en-US"/>
              </w:rPr>
              <w:t>s</w:t>
            </w:r>
            <w:r w:rsidRPr="003C7E62">
              <w:rPr>
                <w:rFonts w:eastAsia="Arial" w:cs="Arial"/>
                <w:bCs/>
                <w:color w:val="auto"/>
                <w:szCs w:val="24"/>
                <w:lang w:eastAsia="en-US"/>
              </w:rPr>
              <w:t xml:space="preserve"> an adverse effect on the natural watercourse profile.</w:t>
            </w:r>
          </w:p>
          <w:p w14:paraId="1108BDBD" w14:textId="77777777" w:rsidR="00364693" w:rsidRPr="003C7E62" w:rsidRDefault="00364693" w:rsidP="004575AD">
            <w:pPr>
              <w:keepNext w:val="0"/>
              <w:spacing w:before="0"/>
              <w:ind w:left="1080" w:right="284"/>
              <w:contextualSpacing/>
              <w:rPr>
                <w:rFonts w:eastAsia="Arial" w:cs="Arial"/>
                <w:bCs/>
                <w:color w:val="auto"/>
                <w:szCs w:val="24"/>
                <w:lang w:eastAsia="en-US"/>
              </w:rPr>
            </w:pPr>
          </w:p>
          <w:p w14:paraId="1763C70A" w14:textId="52979B61" w:rsidR="00364693" w:rsidRPr="003C7E62" w:rsidRDefault="004575AD" w:rsidP="00874A98">
            <w:pPr>
              <w:keepNext w:val="0"/>
              <w:numPr>
                <w:ilvl w:val="0"/>
                <w:numId w:val="113"/>
              </w:numPr>
              <w:spacing w:before="0" w:after="160"/>
              <w:ind w:right="284"/>
              <w:contextualSpacing/>
              <w:rPr>
                <w:rFonts w:eastAsia="Arial" w:cs="Arial"/>
                <w:bCs/>
                <w:color w:val="auto"/>
                <w:szCs w:val="24"/>
                <w:lang w:eastAsia="en-US"/>
              </w:rPr>
            </w:pPr>
            <w:r w:rsidRPr="003C7E62">
              <w:rPr>
                <w:rFonts w:eastAsia="Arial" w:cs="Arial"/>
                <w:bCs/>
                <w:color w:val="auto"/>
                <w:szCs w:val="24"/>
                <w:lang w:eastAsia="en-US"/>
              </w:rPr>
              <w:t>Is n</w:t>
            </w:r>
            <w:r w:rsidR="00364693" w:rsidRPr="003C7E62">
              <w:rPr>
                <w:rFonts w:eastAsia="Arial" w:cs="Arial"/>
                <w:bCs/>
                <w:color w:val="auto"/>
                <w:szCs w:val="24"/>
                <w:lang w:eastAsia="en-US"/>
              </w:rPr>
              <w:t>ot set back by an appropriate distance from a watercourse to allow access for riparian owners and to enhance habitat and ecological benefits.</w:t>
            </w:r>
          </w:p>
          <w:p w14:paraId="69D79A21" w14:textId="77777777" w:rsidR="00364693" w:rsidRPr="003C7E62" w:rsidRDefault="00364693" w:rsidP="004575AD">
            <w:pPr>
              <w:keepNext w:val="0"/>
              <w:spacing w:before="0"/>
              <w:ind w:left="720"/>
              <w:contextualSpacing/>
              <w:rPr>
                <w:rFonts w:eastAsia="Arial" w:cs="Arial"/>
                <w:bCs/>
                <w:color w:val="auto"/>
                <w:szCs w:val="24"/>
                <w:lang w:eastAsia="en-US"/>
              </w:rPr>
            </w:pPr>
          </w:p>
          <w:p w14:paraId="5479BDFB" w14:textId="77777777" w:rsidR="00364693" w:rsidRPr="003C7E62" w:rsidRDefault="00364693" w:rsidP="00874A98">
            <w:pPr>
              <w:keepNext w:val="0"/>
              <w:numPr>
                <w:ilvl w:val="0"/>
                <w:numId w:val="112"/>
              </w:numPr>
              <w:spacing w:before="0" w:after="160"/>
              <w:ind w:right="284"/>
              <w:contextualSpacing/>
              <w:rPr>
                <w:rFonts w:eastAsia="Arial" w:cs="Arial"/>
                <w:bCs/>
                <w:color w:val="auto"/>
                <w:szCs w:val="24"/>
                <w:lang w:eastAsia="en-US"/>
              </w:rPr>
            </w:pPr>
            <w:r w:rsidRPr="003C7E62">
              <w:rPr>
                <w:rFonts w:eastAsia="Arial" w:cs="Arial"/>
                <w:bCs/>
                <w:color w:val="auto"/>
                <w:szCs w:val="24"/>
                <w:lang w:eastAsia="en-US"/>
              </w:rPr>
              <w:t xml:space="preserve">Development located in the proximity or upstream of water related environmentally significant sites will be required to demonstrate that it will not have an adverse effect on the sites. </w:t>
            </w:r>
          </w:p>
          <w:p w14:paraId="5D7A2B8F" w14:textId="77777777" w:rsidR="00364693" w:rsidRPr="003C7E62" w:rsidRDefault="00364693" w:rsidP="004575AD">
            <w:pPr>
              <w:keepNext w:val="0"/>
              <w:spacing w:before="0"/>
              <w:ind w:left="360" w:right="284"/>
              <w:rPr>
                <w:rFonts w:eastAsia="Arial" w:cs="Arial"/>
                <w:bCs/>
                <w:color w:val="auto"/>
                <w:szCs w:val="24"/>
              </w:rPr>
            </w:pPr>
          </w:p>
          <w:p w14:paraId="3D31D2BF" w14:textId="7FC03306" w:rsidR="00DE2722" w:rsidRPr="00D810CA" w:rsidRDefault="00400B3D" w:rsidP="00874A98">
            <w:pPr>
              <w:keepNext w:val="0"/>
              <w:numPr>
                <w:ilvl w:val="0"/>
                <w:numId w:val="112"/>
              </w:numPr>
              <w:spacing w:before="0" w:after="160"/>
              <w:ind w:right="284"/>
              <w:contextualSpacing/>
              <w:rPr>
                <w:rFonts w:eastAsia="Arial" w:cs="Arial"/>
                <w:bCs/>
                <w:szCs w:val="24"/>
                <w:lang w:eastAsia="en-US"/>
              </w:rPr>
            </w:pPr>
            <w:r w:rsidRPr="00D810CA">
              <w:t>A Construction Phase Management Plan should ensure that management of surface water during the construction phase mimics pre-construction conditions and does not increase the risk of flooding off site.</w:t>
            </w:r>
          </w:p>
          <w:p w14:paraId="14E60F72" w14:textId="77777777" w:rsidR="00400B3D" w:rsidRPr="00400B3D" w:rsidRDefault="00400B3D" w:rsidP="00400B3D">
            <w:pPr>
              <w:keepNext w:val="0"/>
              <w:spacing w:before="0" w:after="160"/>
              <w:ind w:right="284"/>
              <w:contextualSpacing/>
              <w:rPr>
                <w:rFonts w:eastAsia="Arial" w:cs="Arial"/>
                <w:bCs/>
                <w:color w:val="auto"/>
                <w:szCs w:val="24"/>
                <w:lang w:eastAsia="en-US"/>
              </w:rPr>
            </w:pPr>
          </w:p>
          <w:p w14:paraId="3B6ECAF2" w14:textId="0FAC6207" w:rsidR="00DE2722" w:rsidRPr="003C7E62" w:rsidRDefault="004575AD" w:rsidP="00874A98">
            <w:pPr>
              <w:keepNext w:val="0"/>
              <w:numPr>
                <w:ilvl w:val="0"/>
                <w:numId w:val="107"/>
              </w:numPr>
              <w:tabs>
                <w:tab w:val="left" w:pos="680"/>
                <w:tab w:val="left" w:pos="1133"/>
                <w:tab w:val="left" w:pos="2267"/>
              </w:tabs>
              <w:spacing w:before="0" w:after="120"/>
              <w:ind w:right="284"/>
              <w:contextualSpacing/>
              <w:rPr>
                <w:rFonts w:eastAsia="Arial" w:cs="Arial"/>
                <w:bCs/>
                <w:color w:val="auto"/>
                <w:szCs w:val="24"/>
              </w:rPr>
            </w:pPr>
            <w:r w:rsidRPr="003C7E62">
              <w:rPr>
                <w:rFonts w:eastAsia="Arial" w:cs="Arial"/>
                <w:bCs/>
                <w:color w:val="auto"/>
              </w:rPr>
              <w:t xml:space="preserve">In relation to </w:t>
            </w:r>
            <w:r w:rsidR="00DE2722" w:rsidRPr="003C7E62">
              <w:rPr>
                <w:rFonts w:eastAsia="Arial" w:cs="Arial"/>
                <w:bCs/>
                <w:color w:val="auto"/>
              </w:rPr>
              <w:t>Water Efficiency</w:t>
            </w:r>
            <w:r w:rsidRPr="003C7E62">
              <w:rPr>
                <w:rFonts w:eastAsia="Arial" w:cs="Arial"/>
                <w:bCs/>
                <w:color w:val="auto"/>
              </w:rPr>
              <w:t>:</w:t>
            </w:r>
          </w:p>
          <w:p w14:paraId="246C6C6C" w14:textId="77777777" w:rsidR="00364693" w:rsidRPr="003C7E62" w:rsidRDefault="00364693" w:rsidP="004575AD">
            <w:pPr>
              <w:keepNext w:val="0"/>
              <w:tabs>
                <w:tab w:val="left" w:pos="680"/>
                <w:tab w:val="left" w:pos="1133"/>
                <w:tab w:val="left" w:pos="2267"/>
              </w:tabs>
              <w:spacing w:before="0"/>
              <w:ind w:left="360" w:right="284"/>
              <w:rPr>
                <w:rFonts w:eastAsia="Arial" w:cs="Arial"/>
                <w:bCs/>
                <w:color w:val="auto"/>
              </w:rPr>
            </w:pPr>
          </w:p>
          <w:p w14:paraId="6E884226" w14:textId="77777777" w:rsidR="00364693" w:rsidRPr="003C7E62" w:rsidRDefault="00364693" w:rsidP="00874A98">
            <w:pPr>
              <w:keepNext w:val="0"/>
              <w:numPr>
                <w:ilvl w:val="0"/>
                <w:numId w:val="115"/>
              </w:numPr>
              <w:spacing w:before="0" w:after="160"/>
              <w:ind w:right="284"/>
              <w:contextualSpacing/>
              <w:rPr>
                <w:rFonts w:eastAsia="Arial" w:cs="Arial"/>
                <w:bCs/>
                <w:color w:val="auto"/>
                <w:lang w:eastAsia="en-US"/>
              </w:rPr>
            </w:pPr>
            <w:r w:rsidRPr="003C7E62">
              <w:rPr>
                <w:rFonts w:eastAsia="Arial" w:cs="Arial"/>
                <w:bCs/>
                <w:color w:val="auto"/>
                <w:lang w:eastAsia="en-US"/>
              </w:rPr>
              <w:t xml:space="preserve">Residential development proposals will implement water efficiency measures to minimise water consumption, to achieve a requirement of not exceeding 110 litres per person per day. </w:t>
            </w:r>
          </w:p>
          <w:p w14:paraId="7C5EA09D" w14:textId="77777777" w:rsidR="00364693" w:rsidRPr="003C7E62" w:rsidRDefault="00364693" w:rsidP="004575AD">
            <w:pPr>
              <w:keepNext w:val="0"/>
              <w:spacing w:before="0"/>
              <w:ind w:left="720" w:right="284"/>
              <w:contextualSpacing/>
              <w:rPr>
                <w:rFonts w:eastAsia="Arial" w:cs="Arial"/>
                <w:bCs/>
                <w:color w:val="auto"/>
                <w:lang w:eastAsia="en-US"/>
              </w:rPr>
            </w:pPr>
          </w:p>
          <w:p w14:paraId="5544AE21" w14:textId="77777777" w:rsidR="00364693" w:rsidRPr="003C7E62" w:rsidRDefault="00364693" w:rsidP="00874A98">
            <w:pPr>
              <w:keepNext w:val="0"/>
              <w:numPr>
                <w:ilvl w:val="0"/>
                <w:numId w:val="115"/>
              </w:numPr>
              <w:spacing w:before="0" w:after="160"/>
              <w:ind w:right="284"/>
              <w:contextualSpacing/>
              <w:rPr>
                <w:rFonts w:eastAsia="Arial" w:cs="Arial"/>
                <w:bCs/>
                <w:color w:val="auto"/>
                <w:lang w:eastAsia="en-US"/>
              </w:rPr>
            </w:pPr>
            <w:r w:rsidRPr="003C7E62">
              <w:rPr>
                <w:rFonts w:eastAsia="Arial" w:cs="Arial"/>
                <w:bCs/>
                <w:color w:val="auto"/>
                <w:lang w:eastAsia="en-US"/>
              </w:rPr>
              <w:t>Business/ Commercial development should seek to be water efficient, which can be demonstrated through the British Research Establishment Environmental Assessment Methodology (BREEAM) standards.</w:t>
            </w:r>
          </w:p>
          <w:p w14:paraId="46D91502" w14:textId="77777777" w:rsidR="00364693" w:rsidRPr="003C7E62" w:rsidRDefault="00364693" w:rsidP="004575AD">
            <w:pPr>
              <w:keepNext w:val="0"/>
              <w:spacing w:before="0"/>
              <w:ind w:left="720" w:right="284"/>
              <w:contextualSpacing/>
              <w:rPr>
                <w:rFonts w:eastAsia="Arial" w:cs="Arial"/>
                <w:bCs/>
                <w:color w:val="auto"/>
                <w:lang w:eastAsia="en-US"/>
              </w:rPr>
            </w:pPr>
          </w:p>
          <w:p w14:paraId="41118C62" w14:textId="77777777" w:rsidR="00364693" w:rsidRPr="00D810CA" w:rsidRDefault="00364693" w:rsidP="00874A98">
            <w:pPr>
              <w:keepNext w:val="0"/>
              <w:numPr>
                <w:ilvl w:val="0"/>
                <w:numId w:val="115"/>
              </w:numPr>
              <w:spacing w:before="0" w:after="160"/>
              <w:ind w:right="284"/>
              <w:contextualSpacing/>
              <w:rPr>
                <w:rFonts w:eastAsia="Arial" w:cs="Arial"/>
                <w:color w:val="auto"/>
                <w:sz w:val="22"/>
                <w:szCs w:val="22"/>
              </w:rPr>
            </w:pPr>
            <w:r w:rsidRPr="003C7E62">
              <w:rPr>
                <w:rFonts w:eastAsia="Arial" w:cs="Arial"/>
                <w:bCs/>
                <w:color w:val="auto"/>
                <w:szCs w:val="24"/>
                <w:lang w:eastAsia="en-US"/>
              </w:rPr>
              <w:t>New development that incorporates water efficient features and equipment will be supported and encouraged.  Rainwater should be harvested and retained for re-use on site as ‘grey water’.</w:t>
            </w:r>
          </w:p>
          <w:p w14:paraId="74266455" w14:textId="45C1DF76" w:rsidR="00D810CA" w:rsidRPr="003C7E62" w:rsidRDefault="00D810CA" w:rsidP="00D810CA">
            <w:pPr>
              <w:keepNext w:val="0"/>
              <w:spacing w:before="0" w:after="160"/>
              <w:ind w:right="284"/>
              <w:contextualSpacing/>
              <w:rPr>
                <w:rFonts w:eastAsia="Arial" w:cs="Arial"/>
                <w:color w:val="auto"/>
                <w:sz w:val="22"/>
                <w:szCs w:val="22"/>
              </w:rPr>
            </w:pPr>
          </w:p>
        </w:tc>
      </w:tr>
      <w:tr w:rsidR="00364693" w:rsidRPr="003C7E62" w14:paraId="0CA44283" w14:textId="77777777" w:rsidTr="005334C0">
        <w:tc>
          <w:tcPr>
            <w:tcW w:w="1766" w:type="dxa"/>
          </w:tcPr>
          <w:p w14:paraId="6C92773D" w14:textId="77777777" w:rsidR="00364693" w:rsidRPr="003C7E62" w:rsidRDefault="00364693" w:rsidP="000032A9">
            <w:pPr>
              <w:keepNext w:val="0"/>
              <w:tabs>
                <w:tab w:val="left" w:pos="680"/>
                <w:tab w:val="left" w:pos="1133"/>
                <w:tab w:val="left" w:pos="2267"/>
              </w:tabs>
              <w:spacing w:before="0"/>
              <w:ind w:right="284"/>
              <w:jc w:val="both"/>
              <w:rPr>
                <w:rFonts w:eastAsia="Arial" w:cs="Arial"/>
                <w:b/>
                <w:color w:val="0070C0"/>
                <w:szCs w:val="24"/>
              </w:rPr>
            </w:pPr>
            <w:r w:rsidRPr="003C7E62">
              <w:rPr>
                <w:rFonts w:eastAsia="Arial" w:cs="Arial"/>
                <w:bCs/>
                <w:color w:val="auto"/>
                <w:sz w:val="22"/>
                <w:szCs w:val="22"/>
                <w:lang w:eastAsia="en-US"/>
              </w:rPr>
              <w:lastRenderedPageBreak/>
              <w:t>Evidence base</w:t>
            </w:r>
          </w:p>
        </w:tc>
        <w:tc>
          <w:tcPr>
            <w:tcW w:w="7868" w:type="dxa"/>
            <w:gridSpan w:val="2"/>
          </w:tcPr>
          <w:p w14:paraId="49F53E65" w14:textId="0ED5535E" w:rsidR="00364693" w:rsidRPr="00D810CA" w:rsidRDefault="00364693" w:rsidP="00FF3EAD">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szCs w:val="22"/>
                <w:lang w:eastAsia="en-US"/>
              </w:rPr>
            </w:pPr>
            <w:r w:rsidRPr="003C7E62">
              <w:rPr>
                <w:rFonts w:eastAsia="Arial" w:cs="Arial"/>
                <w:bCs/>
                <w:color w:val="auto"/>
                <w:sz w:val="20"/>
                <w:szCs w:val="22"/>
                <w:lang w:eastAsia="en-US"/>
              </w:rPr>
              <w:t xml:space="preserve">Sustainability Appraisal, </w:t>
            </w:r>
            <w:r w:rsidRPr="00D810CA">
              <w:rPr>
                <w:rFonts w:eastAsia="Arial" w:cs="Arial"/>
                <w:bCs/>
                <w:sz w:val="20"/>
                <w:szCs w:val="22"/>
                <w:lang w:eastAsia="en-US"/>
              </w:rPr>
              <w:t>202</w:t>
            </w:r>
            <w:r w:rsidR="00B80DEC" w:rsidRPr="00D810CA">
              <w:rPr>
                <w:rFonts w:eastAsia="Arial" w:cs="Arial"/>
                <w:bCs/>
                <w:sz w:val="20"/>
                <w:szCs w:val="22"/>
                <w:lang w:eastAsia="en-US"/>
              </w:rPr>
              <w:t>3</w:t>
            </w:r>
            <w:r w:rsidRPr="00D810CA">
              <w:rPr>
                <w:rFonts w:eastAsia="Arial" w:cs="Arial"/>
                <w:bCs/>
                <w:sz w:val="20"/>
                <w:szCs w:val="22"/>
                <w:lang w:eastAsia="en-US"/>
              </w:rPr>
              <w:t xml:space="preserve">. </w:t>
            </w:r>
            <w:r w:rsidR="00B80DEC" w:rsidRPr="00D810CA">
              <w:rPr>
                <w:rFonts w:eastAsia="Arial" w:cs="Arial"/>
                <w:bCs/>
                <w:sz w:val="20"/>
                <w:szCs w:val="22"/>
                <w:lang w:eastAsia="en-US"/>
              </w:rPr>
              <w:t>WSP UK Limited</w:t>
            </w:r>
            <w:r w:rsidRPr="00D810CA">
              <w:rPr>
                <w:rFonts w:eastAsia="Arial" w:cs="Arial"/>
                <w:bCs/>
                <w:sz w:val="20"/>
                <w:szCs w:val="22"/>
                <w:lang w:eastAsia="en-US"/>
              </w:rPr>
              <w:t xml:space="preserve">. </w:t>
            </w:r>
          </w:p>
          <w:p w14:paraId="60677D6F" w14:textId="43FDF397" w:rsidR="00364693" w:rsidRPr="00D810CA" w:rsidRDefault="00364693" w:rsidP="00FF3EAD">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rPr>
            </w:pPr>
            <w:r w:rsidRPr="00D810CA">
              <w:rPr>
                <w:rFonts w:eastAsia="Arial" w:cs="Arial"/>
                <w:bCs/>
                <w:sz w:val="20"/>
                <w:szCs w:val="22"/>
                <w:lang w:eastAsia="en-US"/>
              </w:rPr>
              <w:t>Humber River Basin Management Plan.  Environment Agency</w:t>
            </w:r>
            <w:r w:rsidR="0008379F" w:rsidRPr="00D810CA">
              <w:rPr>
                <w:rFonts w:eastAsia="Arial" w:cs="Arial"/>
                <w:bCs/>
                <w:sz w:val="20"/>
                <w:szCs w:val="22"/>
                <w:lang w:eastAsia="en-US"/>
              </w:rPr>
              <w:t>.</w:t>
            </w:r>
          </w:p>
          <w:p w14:paraId="1D7E603A" w14:textId="072767F9" w:rsidR="0008379F" w:rsidRPr="00D810CA" w:rsidRDefault="0008379F" w:rsidP="00FF3EAD">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rPr>
            </w:pPr>
            <w:r w:rsidRPr="00D810CA">
              <w:rPr>
                <w:rFonts w:eastAsia="Arial" w:cs="Arial"/>
                <w:bCs/>
                <w:sz w:val="20"/>
              </w:rPr>
              <w:t>Humber river basin district river management plan: updated 2022 Environment Agency.</w:t>
            </w:r>
          </w:p>
          <w:p w14:paraId="4963C8D8" w14:textId="28364F76" w:rsidR="0008379F" w:rsidRPr="00D810CA" w:rsidRDefault="0008379F" w:rsidP="00FF3EAD">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rPr>
            </w:pPr>
            <w:r w:rsidRPr="00D810CA">
              <w:rPr>
                <w:rFonts w:eastAsia="Arial" w:cs="Arial"/>
                <w:bCs/>
                <w:sz w:val="20"/>
              </w:rPr>
              <w:t>Drought Plan 2022-2027 Severn Trent Water.</w:t>
            </w:r>
          </w:p>
          <w:p w14:paraId="5E0F8237" w14:textId="614DF1AC" w:rsidR="00F11A72" w:rsidRPr="00D810CA" w:rsidRDefault="00F11A72" w:rsidP="00FF3EAD">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rPr>
            </w:pPr>
            <w:r w:rsidRPr="00D810CA">
              <w:rPr>
                <w:rFonts w:eastAsia="Arial" w:cs="Arial"/>
                <w:bCs/>
                <w:sz w:val="20"/>
              </w:rPr>
              <w:t>Water stressed areas – final classification 2021 Environmental Agency.</w:t>
            </w:r>
          </w:p>
          <w:p w14:paraId="7D43F5DE" w14:textId="649BD5BE" w:rsidR="00364693" w:rsidRPr="00D810CA" w:rsidRDefault="00364693" w:rsidP="00FF3EAD">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rPr>
            </w:pPr>
            <w:r w:rsidRPr="00D810CA">
              <w:rPr>
                <w:rFonts w:eastAsia="Arial" w:cs="Arial"/>
                <w:bCs/>
                <w:sz w:val="20"/>
                <w:szCs w:val="22"/>
                <w:lang w:eastAsia="en-US"/>
              </w:rPr>
              <w:t xml:space="preserve">Greater Nottingham and Ashfield Outline Water Cycle Study 2010 - </w:t>
            </w:r>
            <w:proofErr w:type="spellStart"/>
            <w:r w:rsidRPr="00D810CA">
              <w:rPr>
                <w:rFonts w:eastAsia="Arial" w:cs="Arial"/>
                <w:bCs/>
                <w:sz w:val="20"/>
                <w:szCs w:val="22"/>
                <w:lang w:eastAsia="en-US"/>
              </w:rPr>
              <w:t>Entec</w:t>
            </w:r>
            <w:proofErr w:type="spellEnd"/>
            <w:r w:rsidRPr="00D810CA">
              <w:rPr>
                <w:rFonts w:eastAsia="Arial" w:cs="Arial"/>
                <w:bCs/>
                <w:sz w:val="20"/>
                <w:szCs w:val="22"/>
                <w:lang w:eastAsia="en-US"/>
              </w:rPr>
              <w:t xml:space="preserve"> Ltd.</w:t>
            </w:r>
          </w:p>
          <w:p w14:paraId="333C5117" w14:textId="77777777" w:rsidR="00364693" w:rsidRPr="00D810CA" w:rsidRDefault="00364693" w:rsidP="00FF3EAD">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rPr>
            </w:pPr>
            <w:r w:rsidRPr="00D810CA">
              <w:rPr>
                <w:rFonts w:eastAsia="Arial" w:cs="Arial"/>
                <w:bCs/>
                <w:sz w:val="20"/>
              </w:rPr>
              <w:t>Ashfield Biodiversity Opportunity Mapping Project 2016. Notts BAG.</w:t>
            </w:r>
            <w:r w:rsidRPr="00D810CA">
              <w:rPr>
                <w:rFonts w:eastAsia="Calibri" w:cs="Arial"/>
                <w:szCs w:val="22"/>
                <w:lang w:eastAsia="en-US"/>
              </w:rPr>
              <w:t xml:space="preserve"> </w:t>
            </w:r>
            <w:r w:rsidRPr="00D810CA">
              <w:rPr>
                <w:rFonts w:eastAsia="Arial" w:cs="Arial"/>
                <w:bCs/>
                <w:sz w:val="20"/>
              </w:rPr>
              <w:t xml:space="preserve">Ashfield District </w:t>
            </w:r>
            <w:proofErr w:type="gramStart"/>
            <w:r w:rsidRPr="00D810CA">
              <w:rPr>
                <w:rFonts w:eastAsia="Arial" w:cs="Arial"/>
                <w:bCs/>
                <w:sz w:val="20"/>
              </w:rPr>
              <w:t>Council .</w:t>
            </w:r>
            <w:proofErr w:type="gramEnd"/>
          </w:p>
          <w:p w14:paraId="2FFFDB0F" w14:textId="14E4F48A" w:rsidR="00364693" w:rsidRPr="00D810CA" w:rsidRDefault="00364693" w:rsidP="00FF3EAD">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rPr>
            </w:pPr>
            <w:r w:rsidRPr="00D810CA">
              <w:rPr>
                <w:rFonts w:eastAsia="Arial" w:cs="Arial"/>
                <w:bCs/>
                <w:sz w:val="20"/>
              </w:rPr>
              <w:t>Strategic Flood Risk Assessment Level 1, 20</w:t>
            </w:r>
            <w:r w:rsidR="00B80DEC" w:rsidRPr="00D810CA">
              <w:rPr>
                <w:rFonts w:eastAsia="Arial" w:cs="Arial"/>
                <w:bCs/>
                <w:sz w:val="20"/>
              </w:rPr>
              <w:t>23</w:t>
            </w:r>
            <w:r w:rsidRPr="00D810CA">
              <w:rPr>
                <w:rFonts w:eastAsia="Arial" w:cs="Arial"/>
                <w:bCs/>
                <w:sz w:val="20"/>
              </w:rPr>
              <w:t xml:space="preserve"> - Ashfield District Council </w:t>
            </w:r>
          </w:p>
          <w:p w14:paraId="1D3B4CCC" w14:textId="77777777" w:rsidR="00AC3244" w:rsidRPr="00AC3244" w:rsidRDefault="00AC3244" w:rsidP="00AC3244">
            <w:pPr>
              <w:keepNext w:val="0"/>
              <w:numPr>
                <w:ilvl w:val="0"/>
                <w:numId w:val="13"/>
              </w:numPr>
              <w:tabs>
                <w:tab w:val="left" w:pos="680"/>
                <w:tab w:val="left" w:pos="1133"/>
                <w:tab w:val="left" w:pos="2267"/>
              </w:tabs>
              <w:spacing w:before="0" w:after="160" w:line="252" w:lineRule="auto"/>
              <w:ind w:right="284"/>
              <w:contextualSpacing/>
              <w:rPr>
                <w:rFonts w:eastAsia="Arial" w:cs="Arial"/>
                <w:bCs/>
                <w:color w:val="auto"/>
                <w:sz w:val="20"/>
              </w:rPr>
            </w:pPr>
            <w:r w:rsidRPr="00AC3244">
              <w:rPr>
                <w:rFonts w:eastAsia="Arial" w:cs="Arial"/>
                <w:bCs/>
                <w:color w:val="auto"/>
                <w:sz w:val="20"/>
              </w:rPr>
              <w:t>Working with nature. Chief Scientist’s Group Report July 2022.  Environment Agency</w:t>
            </w:r>
          </w:p>
          <w:p w14:paraId="2BFFBA8B" w14:textId="06FDE20A" w:rsidR="00F11A72" w:rsidRPr="00F11A72" w:rsidRDefault="00AC3244" w:rsidP="00AC3244">
            <w:pPr>
              <w:keepNext w:val="0"/>
              <w:numPr>
                <w:ilvl w:val="0"/>
                <w:numId w:val="13"/>
              </w:numPr>
              <w:tabs>
                <w:tab w:val="left" w:pos="680"/>
                <w:tab w:val="left" w:pos="1133"/>
                <w:tab w:val="left" w:pos="2267"/>
              </w:tabs>
              <w:spacing w:before="0" w:after="160" w:line="252" w:lineRule="auto"/>
              <w:ind w:right="284"/>
              <w:contextualSpacing/>
              <w:rPr>
                <w:rFonts w:eastAsia="Arial" w:cs="Arial"/>
                <w:bCs/>
                <w:color w:val="auto"/>
                <w:sz w:val="20"/>
              </w:rPr>
            </w:pPr>
            <w:r w:rsidRPr="00AC3244">
              <w:rPr>
                <w:rFonts w:cs="Arial"/>
                <w:color w:val="auto"/>
                <w:sz w:val="20"/>
              </w:rPr>
              <w:t>Environment Agency Water Stressed Areas – final classification 2021, 1</w:t>
            </w:r>
            <w:r w:rsidRPr="00AC3244">
              <w:rPr>
                <w:rFonts w:cs="Arial"/>
                <w:color w:val="auto"/>
                <w:sz w:val="20"/>
                <w:vertAlign w:val="superscript"/>
              </w:rPr>
              <w:t>st</w:t>
            </w:r>
            <w:r w:rsidRPr="00AC3244">
              <w:rPr>
                <w:rFonts w:cs="Arial"/>
                <w:color w:val="auto"/>
                <w:sz w:val="20"/>
              </w:rPr>
              <w:t xml:space="preserve"> July 2021</w:t>
            </w:r>
          </w:p>
        </w:tc>
      </w:tr>
      <w:tr w:rsidR="00364693" w:rsidRPr="003C7E62" w14:paraId="050A9562" w14:textId="77777777" w:rsidTr="005334C0">
        <w:tc>
          <w:tcPr>
            <w:tcW w:w="1766" w:type="dxa"/>
          </w:tcPr>
          <w:p w14:paraId="1498512B" w14:textId="77777777" w:rsidR="00364693" w:rsidRPr="003C7E62" w:rsidRDefault="00364693" w:rsidP="000032A9">
            <w:pPr>
              <w:keepNext w:val="0"/>
              <w:spacing w:before="0"/>
              <w:jc w:val="both"/>
              <w:rPr>
                <w:rFonts w:cs="Arial"/>
                <w:color w:val="auto"/>
                <w:sz w:val="22"/>
              </w:rPr>
            </w:pPr>
            <w:r w:rsidRPr="003C7E62">
              <w:rPr>
                <w:rFonts w:eastAsia="Arial" w:cs="Arial"/>
                <w:bCs/>
                <w:color w:val="auto"/>
                <w:sz w:val="22"/>
                <w:szCs w:val="22"/>
                <w:lang w:eastAsia="en-US"/>
              </w:rPr>
              <w:lastRenderedPageBreak/>
              <w:t>National Planning Policy and Guidance</w:t>
            </w:r>
          </w:p>
        </w:tc>
        <w:tc>
          <w:tcPr>
            <w:tcW w:w="7868" w:type="dxa"/>
            <w:gridSpan w:val="2"/>
          </w:tcPr>
          <w:p w14:paraId="326E8D3A" w14:textId="0E50CB21" w:rsidR="00364693" w:rsidRPr="003C7E62" w:rsidRDefault="00364693" w:rsidP="00874A98">
            <w:pPr>
              <w:keepNext w:val="0"/>
              <w:numPr>
                <w:ilvl w:val="0"/>
                <w:numId w:val="119"/>
              </w:numPr>
              <w:tabs>
                <w:tab w:val="left" w:pos="680"/>
                <w:tab w:val="left" w:pos="1133"/>
                <w:tab w:val="left" w:pos="2267"/>
              </w:tabs>
              <w:spacing w:before="0" w:after="160" w:line="252" w:lineRule="auto"/>
              <w:ind w:right="284"/>
              <w:contextualSpacing/>
              <w:rPr>
                <w:rFonts w:eastAsia="Arial" w:cs="Arial"/>
                <w:bCs/>
                <w:color w:val="auto"/>
                <w:sz w:val="20"/>
                <w:lang w:eastAsia="en-US"/>
              </w:rPr>
            </w:pPr>
            <w:r w:rsidRPr="003C7E62">
              <w:rPr>
                <w:rFonts w:eastAsia="Arial" w:cs="Arial"/>
                <w:bCs/>
                <w:color w:val="auto"/>
                <w:sz w:val="20"/>
                <w:lang w:eastAsia="en-US"/>
              </w:rPr>
              <w:t>NPPF 202</w:t>
            </w:r>
            <w:r w:rsidR="004173E0">
              <w:rPr>
                <w:rFonts w:eastAsia="Arial" w:cs="Arial"/>
                <w:bCs/>
                <w:color w:val="auto"/>
                <w:sz w:val="20"/>
                <w:lang w:eastAsia="en-US"/>
              </w:rPr>
              <w:t>3</w:t>
            </w:r>
            <w:r w:rsidRPr="003C7E62">
              <w:rPr>
                <w:rFonts w:eastAsia="Arial" w:cs="Arial"/>
                <w:bCs/>
                <w:color w:val="auto"/>
                <w:sz w:val="20"/>
                <w:lang w:eastAsia="en-US"/>
              </w:rPr>
              <w:t>, Part 2: Achieving sustainable development.</w:t>
            </w:r>
          </w:p>
          <w:p w14:paraId="562CC329" w14:textId="68FA87E4" w:rsidR="00364693" w:rsidRPr="00D810CA" w:rsidRDefault="00364693" w:rsidP="00874A98">
            <w:pPr>
              <w:keepNext w:val="0"/>
              <w:numPr>
                <w:ilvl w:val="0"/>
                <w:numId w:val="119"/>
              </w:numPr>
              <w:spacing w:before="0" w:after="160" w:line="252" w:lineRule="auto"/>
              <w:contextualSpacing/>
              <w:rPr>
                <w:rFonts w:eastAsia="Arial" w:cs="Arial"/>
                <w:bCs/>
                <w:sz w:val="20"/>
              </w:rPr>
            </w:pPr>
            <w:r w:rsidRPr="003C7E62">
              <w:rPr>
                <w:rFonts w:eastAsia="Arial" w:cs="Arial"/>
                <w:bCs/>
                <w:color w:val="auto"/>
                <w:sz w:val="20"/>
              </w:rPr>
              <w:t>NPPF 202</w:t>
            </w:r>
            <w:r w:rsidR="004173E0">
              <w:rPr>
                <w:rFonts w:eastAsia="Arial" w:cs="Arial"/>
                <w:bCs/>
                <w:color w:val="auto"/>
                <w:sz w:val="20"/>
              </w:rPr>
              <w:t>3</w:t>
            </w:r>
            <w:r w:rsidRPr="003C7E62">
              <w:rPr>
                <w:rFonts w:eastAsia="Arial" w:cs="Arial"/>
                <w:bCs/>
                <w:color w:val="auto"/>
                <w:sz w:val="20"/>
              </w:rPr>
              <w:t>,</w:t>
            </w:r>
            <w:r w:rsidRPr="003C7E62">
              <w:rPr>
                <w:rFonts w:eastAsia="Calibri" w:cs="Arial"/>
                <w:color w:val="auto"/>
                <w:szCs w:val="22"/>
                <w:lang w:eastAsia="en-US"/>
              </w:rPr>
              <w:t xml:space="preserve"> </w:t>
            </w:r>
            <w:r w:rsidRPr="003C7E62">
              <w:rPr>
                <w:rFonts w:eastAsia="Arial" w:cs="Arial"/>
                <w:bCs/>
                <w:color w:val="auto"/>
                <w:sz w:val="20"/>
              </w:rPr>
              <w:t xml:space="preserve">Part 14: Meeting the challenge of climate change, flooding and coastal </w:t>
            </w:r>
            <w:r w:rsidRPr="00D810CA">
              <w:rPr>
                <w:rFonts w:eastAsia="Arial" w:cs="Arial"/>
                <w:bCs/>
                <w:sz w:val="20"/>
              </w:rPr>
              <w:t>change.</w:t>
            </w:r>
          </w:p>
          <w:p w14:paraId="0E47D49D" w14:textId="125437BC" w:rsidR="00364693" w:rsidRPr="00D810CA" w:rsidRDefault="00364693" w:rsidP="00874A98">
            <w:pPr>
              <w:keepNext w:val="0"/>
              <w:numPr>
                <w:ilvl w:val="0"/>
                <w:numId w:val="119"/>
              </w:numPr>
              <w:spacing w:before="0" w:after="160" w:line="252" w:lineRule="auto"/>
              <w:contextualSpacing/>
              <w:rPr>
                <w:rFonts w:eastAsia="Arial" w:cs="Arial"/>
                <w:bCs/>
                <w:sz w:val="20"/>
              </w:rPr>
            </w:pPr>
            <w:r w:rsidRPr="00D810CA">
              <w:rPr>
                <w:rFonts w:eastAsia="Arial" w:cs="Arial"/>
                <w:bCs/>
                <w:sz w:val="20"/>
              </w:rPr>
              <w:t>NPPF 202</w:t>
            </w:r>
            <w:r w:rsidR="004173E0" w:rsidRPr="00D810CA">
              <w:rPr>
                <w:rFonts w:eastAsia="Arial" w:cs="Arial"/>
                <w:bCs/>
                <w:sz w:val="20"/>
              </w:rPr>
              <w:t>3</w:t>
            </w:r>
            <w:r w:rsidRPr="00D810CA">
              <w:rPr>
                <w:rFonts w:eastAsia="Arial" w:cs="Arial"/>
                <w:bCs/>
                <w:sz w:val="20"/>
              </w:rPr>
              <w:t xml:space="preserve"> Part 15: Conserving and enhancing the natural environment.</w:t>
            </w:r>
          </w:p>
          <w:p w14:paraId="74B440E8" w14:textId="5CCCC3B5" w:rsidR="00364693" w:rsidRPr="00D810CA" w:rsidRDefault="00364693" w:rsidP="00874A98">
            <w:pPr>
              <w:keepNext w:val="0"/>
              <w:numPr>
                <w:ilvl w:val="0"/>
                <w:numId w:val="119"/>
              </w:numPr>
              <w:spacing w:before="0" w:after="160" w:line="252" w:lineRule="auto"/>
              <w:contextualSpacing/>
              <w:rPr>
                <w:rFonts w:eastAsia="Arial" w:cs="Arial"/>
                <w:bCs/>
                <w:sz w:val="20"/>
              </w:rPr>
            </w:pPr>
            <w:bookmarkStart w:id="153" w:name="_Hlk139635023"/>
            <w:r w:rsidRPr="00D810CA">
              <w:rPr>
                <w:rFonts w:eastAsia="Arial" w:cs="Arial"/>
                <w:bCs/>
                <w:sz w:val="20"/>
              </w:rPr>
              <w:t xml:space="preserve">Planning Practice Guidance: Water supply, wastewater and water quality as </w:t>
            </w:r>
            <w:r w:rsidR="009D1815" w:rsidRPr="00D810CA">
              <w:rPr>
                <w:rFonts w:eastAsia="Arial" w:cs="Arial"/>
                <w:bCs/>
                <w:sz w:val="20"/>
              </w:rPr>
              <w:t>of</w:t>
            </w:r>
            <w:r w:rsidRPr="00D810CA">
              <w:rPr>
                <w:rFonts w:eastAsia="Arial" w:cs="Arial"/>
                <w:bCs/>
                <w:sz w:val="20"/>
              </w:rPr>
              <w:t xml:space="preserve"> </w:t>
            </w:r>
            <w:r w:rsidR="00B80DEC" w:rsidRPr="00D810CA">
              <w:rPr>
                <w:rFonts w:eastAsia="Arial" w:cs="Arial"/>
                <w:bCs/>
                <w:sz w:val="20"/>
              </w:rPr>
              <w:t>July 2019</w:t>
            </w:r>
            <w:r w:rsidRPr="00D810CA">
              <w:rPr>
                <w:rFonts w:eastAsia="Arial" w:cs="Arial"/>
                <w:bCs/>
                <w:sz w:val="20"/>
              </w:rPr>
              <w:t>.</w:t>
            </w:r>
          </w:p>
          <w:p w14:paraId="12F93C61" w14:textId="77777777" w:rsidR="00364693" w:rsidRPr="00D810CA" w:rsidRDefault="00364693" w:rsidP="00874A98">
            <w:pPr>
              <w:keepNext w:val="0"/>
              <w:numPr>
                <w:ilvl w:val="0"/>
                <w:numId w:val="119"/>
              </w:numPr>
              <w:spacing w:before="0" w:after="160" w:line="252" w:lineRule="auto"/>
              <w:contextualSpacing/>
              <w:rPr>
                <w:rFonts w:eastAsia="Arial" w:cs="Arial"/>
                <w:bCs/>
                <w:sz w:val="20"/>
              </w:rPr>
            </w:pPr>
            <w:r w:rsidRPr="00D810CA">
              <w:rPr>
                <w:rFonts w:eastAsia="Arial" w:cs="Arial"/>
                <w:bCs/>
                <w:sz w:val="20"/>
              </w:rPr>
              <w:t xml:space="preserve">Planning Practice Guidance: Natural environment as </w:t>
            </w:r>
            <w:r w:rsidR="009D1815" w:rsidRPr="00D810CA">
              <w:rPr>
                <w:rFonts w:eastAsia="Arial" w:cs="Arial"/>
                <w:bCs/>
                <w:sz w:val="20"/>
              </w:rPr>
              <w:t>of</w:t>
            </w:r>
            <w:r w:rsidRPr="00D810CA">
              <w:rPr>
                <w:rFonts w:eastAsia="Arial" w:cs="Arial"/>
                <w:bCs/>
                <w:sz w:val="20"/>
              </w:rPr>
              <w:t xml:space="preserve"> </w:t>
            </w:r>
            <w:r w:rsidR="00B80DEC" w:rsidRPr="00D810CA">
              <w:rPr>
                <w:rFonts w:eastAsia="Arial" w:cs="Arial"/>
                <w:bCs/>
                <w:sz w:val="20"/>
              </w:rPr>
              <w:t>July 2019</w:t>
            </w:r>
            <w:r w:rsidRPr="00D810CA">
              <w:rPr>
                <w:rFonts w:eastAsia="Arial" w:cs="Arial"/>
                <w:bCs/>
                <w:sz w:val="20"/>
              </w:rPr>
              <w:t>.</w:t>
            </w:r>
            <w:bookmarkEnd w:id="153"/>
          </w:p>
          <w:p w14:paraId="422AF520" w14:textId="09BEF190" w:rsidR="00F11A72" w:rsidRPr="003C7E62" w:rsidRDefault="00AC3244" w:rsidP="00874A98">
            <w:pPr>
              <w:keepNext w:val="0"/>
              <w:numPr>
                <w:ilvl w:val="0"/>
                <w:numId w:val="119"/>
              </w:numPr>
              <w:spacing w:before="0" w:after="160" w:line="252" w:lineRule="auto"/>
              <w:contextualSpacing/>
              <w:rPr>
                <w:rFonts w:eastAsia="Arial" w:cs="Arial"/>
                <w:bCs/>
                <w:color w:val="auto"/>
                <w:sz w:val="20"/>
              </w:rPr>
            </w:pPr>
            <w:r w:rsidRPr="00AC3244">
              <w:rPr>
                <w:rFonts w:cs="Arial"/>
                <w:color w:val="auto"/>
                <w:sz w:val="20"/>
              </w:rPr>
              <w:t>Ministerial Statement Secretary of State for the Department for Environment, Food and Rural Affairs Reducing demand for water (Statement UIN HCWS140). July 2021.</w:t>
            </w:r>
          </w:p>
        </w:tc>
      </w:tr>
    </w:tbl>
    <w:p w14:paraId="02119265" w14:textId="77777777" w:rsidR="00364693" w:rsidRPr="000339D2" w:rsidRDefault="00364693" w:rsidP="00364693">
      <w:pPr>
        <w:keepNext w:val="0"/>
        <w:spacing w:before="0"/>
        <w:rPr>
          <w:rFonts w:eastAsia="Arial" w:cs="Arial"/>
          <w:b/>
        </w:rPr>
      </w:pPr>
    </w:p>
    <w:p w14:paraId="2D77A5C4" w14:textId="7CE877C9" w:rsidR="00364693" w:rsidRPr="003C7E62" w:rsidRDefault="009645A1" w:rsidP="00364693">
      <w:pPr>
        <w:keepNext w:val="0"/>
        <w:numPr>
          <w:ilvl w:val="1"/>
          <w:numId w:val="3"/>
        </w:numPr>
        <w:tabs>
          <w:tab w:val="clear" w:pos="525"/>
        </w:tabs>
        <w:spacing w:before="0"/>
        <w:ind w:left="709" w:hanging="709"/>
        <w:rPr>
          <w:rFonts w:cs="Arial"/>
          <w:color w:val="auto"/>
          <w:szCs w:val="24"/>
          <w:lang w:eastAsia="en-US"/>
        </w:rPr>
      </w:pPr>
      <w:r w:rsidRPr="003C7E62">
        <w:rPr>
          <w:rFonts w:eastAsia="Arial" w:cs="Arial"/>
          <w:color w:val="auto"/>
          <w:spacing w:val="-1"/>
          <w:szCs w:val="24"/>
        </w:rPr>
        <w:t xml:space="preserve">The policy covers both water quality and water </w:t>
      </w:r>
      <w:r w:rsidR="00744A8A" w:rsidRPr="003C7E62">
        <w:rPr>
          <w:rFonts w:eastAsia="Arial" w:cs="Arial"/>
          <w:color w:val="auto"/>
          <w:spacing w:val="-1"/>
          <w:szCs w:val="24"/>
        </w:rPr>
        <w:t>efficiency</w:t>
      </w:r>
      <w:r w:rsidRPr="003C7E62">
        <w:rPr>
          <w:rFonts w:eastAsia="Arial" w:cs="Arial"/>
          <w:color w:val="auto"/>
          <w:spacing w:val="-1"/>
          <w:szCs w:val="24"/>
        </w:rPr>
        <w:t xml:space="preserve">.  It </w:t>
      </w:r>
      <w:r w:rsidR="00364693" w:rsidRPr="003C7E62">
        <w:rPr>
          <w:rFonts w:eastAsia="Arial" w:cs="Arial"/>
          <w:color w:val="auto"/>
          <w:spacing w:val="-1"/>
          <w:szCs w:val="24"/>
        </w:rPr>
        <w:t xml:space="preserve">reflects </w:t>
      </w:r>
      <w:r w:rsidRPr="003C7E62">
        <w:rPr>
          <w:rFonts w:eastAsia="Arial" w:cs="Arial"/>
          <w:color w:val="auto"/>
          <w:spacing w:val="-1"/>
          <w:szCs w:val="24"/>
        </w:rPr>
        <w:t>the guidance for polic</w:t>
      </w:r>
      <w:r w:rsidR="00D34CFA">
        <w:rPr>
          <w:rFonts w:eastAsia="Arial" w:cs="Arial"/>
          <w:color w:val="auto"/>
          <w:spacing w:val="-1"/>
          <w:szCs w:val="24"/>
        </w:rPr>
        <w:t>y</w:t>
      </w:r>
      <w:r w:rsidRPr="003C7E62">
        <w:rPr>
          <w:rFonts w:eastAsia="Arial" w:cs="Arial"/>
          <w:color w:val="auto"/>
          <w:spacing w:val="-1"/>
          <w:szCs w:val="24"/>
        </w:rPr>
        <w:t xml:space="preserve"> aspects set out </w:t>
      </w:r>
      <w:r w:rsidR="00D34CFA">
        <w:rPr>
          <w:rFonts w:eastAsia="Arial" w:cs="Arial"/>
          <w:color w:val="auto"/>
          <w:spacing w:val="-1"/>
          <w:szCs w:val="24"/>
        </w:rPr>
        <w:t xml:space="preserve">in the </w:t>
      </w:r>
      <w:r w:rsidRPr="003C7E62">
        <w:rPr>
          <w:rFonts w:eastAsia="Arial" w:cs="Arial"/>
          <w:color w:val="auto"/>
          <w:spacing w:val="-1"/>
          <w:szCs w:val="24"/>
        </w:rPr>
        <w:t xml:space="preserve">National Planning Policy Guidance </w:t>
      </w:r>
      <w:r w:rsidR="00215F98">
        <w:rPr>
          <w:rFonts w:eastAsia="Arial" w:cs="Arial"/>
          <w:color w:val="auto"/>
          <w:spacing w:val="-1"/>
          <w:szCs w:val="24"/>
        </w:rPr>
        <w:t>W</w:t>
      </w:r>
      <w:r w:rsidRPr="003C7E62">
        <w:rPr>
          <w:rFonts w:eastAsia="Arial" w:cs="Arial"/>
          <w:color w:val="auto"/>
          <w:spacing w:val="-1"/>
          <w:szCs w:val="24"/>
        </w:rPr>
        <w:t xml:space="preserve">ater </w:t>
      </w:r>
      <w:r w:rsidR="00215F98">
        <w:rPr>
          <w:rFonts w:eastAsia="Arial" w:cs="Arial"/>
          <w:color w:val="auto"/>
          <w:spacing w:val="-1"/>
          <w:szCs w:val="24"/>
        </w:rPr>
        <w:t>S</w:t>
      </w:r>
      <w:r w:rsidRPr="003C7E62">
        <w:rPr>
          <w:rFonts w:eastAsia="Arial" w:cs="Arial"/>
          <w:color w:val="auto"/>
          <w:spacing w:val="-1"/>
          <w:szCs w:val="24"/>
        </w:rPr>
        <w:t xml:space="preserve">upply, </w:t>
      </w:r>
      <w:r w:rsidR="00215F98">
        <w:rPr>
          <w:rFonts w:eastAsia="Arial" w:cs="Arial"/>
          <w:color w:val="auto"/>
          <w:spacing w:val="-1"/>
          <w:szCs w:val="24"/>
        </w:rPr>
        <w:t>W</w:t>
      </w:r>
      <w:r w:rsidRPr="003C7E62">
        <w:rPr>
          <w:rFonts w:eastAsia="Arial" w:cs="Arial"/>
          <w:color w:val="auto"/>
          <w:spacing w:val="-1"/>
          <w:szCs w:val="24"/>
        </w:rPr>
        <w:t xml:space="preserve">astewater and </w:t>
      </w:r>
      <w:r w:rsidR="00215F98">
        <w:rPr>
          <w:rFonts w:eastAsia="Arial" w:cs="Arial"/>
          <w:color w:val="auto"/>
          <w:spacing w:val="-1"/>
          <w:szCs w:val="24"/>
        </w:rPr>
        <w:t>W</w:t>
      </w:r>
      <w:r w:rsidRPr="003C7E62">
        <w:rPr>
          <w:rFonts w:eastAsia="Arial" w:cs="Arial"/>
          <w:color w:val="auto"/>
          <w:spacing w:val="-1"/>
          <w:szCs w:val="24"/>
        </w:rPr>
        <w:t xml:space="preserve">ater </w:t>
      </w:r>
      <w:r w:rsidR="00215F98">
        <w:rPr>
          <w:rFonts w:eastAsia="Arial" w:cs="Arial"/>
          <w:color w:val="auto"/>
          <w:spacing w:val="-1"/>
          <w:szCs w:val="24"/>
        </w:rPr>
        <w:t>Q</w:t>
      </w:r>
      <w:r w:rsidRPr="003C7E62">
        <w:rPr>
          <w:rFonts w:eastAsia="Arial" w:cs="Arial"/>
          <w:color w:val="auto"/>
          <w:spacing w:val="-1"/>
          <w:szCs w:val="24"/>
        </w:rPr>
        <w:t xml:space="preserve">uality.  </w:t>
      </w:r>
    </w:p>
    <w:p w14:paraId="5E2CF5BB" w14:textId="7DDBEC3C" w:rsidR="00364693" w:rsidRPr="003C7E62" w:rsidRDefault="00364693" w:rsidP="00364693">
      <w:pPr>
        <w:keepNext w:val="0"/>
        <w:spacing w:before="0"/>
        <w:ind w:left="709"/>
        <w:rPr>
          <w:rFonts w:eastAsia="Arial" w:cs="Arial"/>
          <w:color w:val="auto"/>
          <w:spacing w:val="-1"/>
          <w:szCs w:val="24"/>
        </w:rPr>
      </w:pPr>
    </w:p>
    <w:p w14:paraId="10A13C1E" w14:textId="77777777" w:rsidR="00364693" w:rsidRDefault="00364693" w:rsidP="00364693">
      <w:pPr>
        <w:keepNext w:val="0"/>
        <w:tabs>
          <w:tab w:val="left" w:pos="680"/>
        </w:tabs>
        <w:spacing w:before="0"/>
        <w:ind w:left="680"/>
        <w:rPr>
          <w:rFonts w:eastAsia="Arial" w:cs="Arial"/>
          <w:b/>
          <w:color w:val="auto"/>
          <w:spacing w:val="-1"/>
        </w:rPr>
      </w:pPr>
      <w:r w:rsidRPr="003C7E62">
        <w:rPr>
          <w:rFonts w:eastAsia="Arial" w:cs="Arial"/>
          <w:b/>
          <w:color w:val="auto"/>
          <w:spacing w:val="-1"/>
        </w:rPr>
        <w:t>Water Quality</w:t>
      </w:r>
    </w:p>
    <w:p w14:paraId="088BB70B" w14:textId="77777777" w:rsidR="005334C0" w:rsidRDefault="005334C0" w:rsidP="00364693">
      <w:pPr>
        <w:keepNext w:val="0"/>
        <w:tabs>
          <w:tab w:val="left" w:pos="680"/>
        </w:tabs>
        <w:spacing w:before="0"/>
        <w:ind w:left="680"/>
        <w:rPr>
          <w:rFonts w:eastAsia="Arial" w:cs="Arial"/>
          <w:b/>
          <w:color w:val="auto"/>
          <w:spacing w:val="-1"/>
        </w:rPr>
      </w:pPr>
    </w:p>
    <w:p w14:paraId="08DCEFE3" w14:textId="1EEB9A87" w:rsidR="00364693" w:rsidRPr="003C7E62" w:rsidRDefault="00DE2722" w:rsidP="00364693">
      <w:pPr>
        <w:keepNext w:val="0"/>
        <w:numPr>
          <w:ilvl w:val="1"/>
          <w:numId w:val="3"/>
        </w:numPr>
        <w:tabs>
          <w:tab w:val="clear" w:pos="525"/>
        </w:tabs>
        <w:spacing w:before="0"/>
        <w:ind w:left="709" w:hanging="709"/>
        <w:rPr>
          <w:rFonts w:cs="Arial"/>
          <w:color w:val="auto"/>
          <w:szCs w:val="24"/>
          <w:lang w:eastAsia="en-US"/>
        </w:rPr>
      </w:pPr>
      <w:r w:rsidRPr="003C7E62">
        <w:rPr>
          <w:rFonts w:eastAsia="Arial" w:cs="Arial"/>
          <w:color w:val="auto"/>
          <w:spacing w:val="-1"/>
          <w:szCs w:val="24"/>
        </w:rPr>
        <w:t xml:space="preserve">The quality and quantity of surface and ground water is vitally important to a wide range of uses and users including domestic, industrial and agricultural. It is also of great importance to general amenity, as a source of drinking water, </w:t>
      </w:r>
      <w:proofErr w:type="gramStart"/>
      <w:r w:rsidRPr="003C7E62">
        <w:rPr>
          <w:rFonts w:eastAsia="Arial" w:cs="Arial"/>
          <w:color w:val="auto"/>
          <w:spacing w:val="-1"/>
          <w:szCs w:val="24"/>
        </w:rPr>
        <w:t>water based</w:t>
      </w:r>
      <w:proofErr w:type="gramEnd"/>
      <w:r w:rsidRPr="003C7E62">
        <w:rPr>
          <w:rFonts w:eastAsia="Arial" w:cs="Arial"/>
          <w:color w:val="auto"/>
          <w:spacing w:val="-1"/>
          <w:szCs w:val="24"/>
        </w:rPr>
        <w:t xml:space="preserve"> recreation, fisheries and nature conservation. Ground water resources </w:t>
      </w:r>
      <w:proofErr w:type="gramStart"/>
      <w:r w:rsidRPr="003C7E62">
        <w:rPr>
          <w:rFonts w:eastAsia="Arial" w:cs="Arial"/>
          <w:color w:val="auto"/>
          <w:spacing w:val="-1"/>
          <w:szCs w:val="24"/>
        </w:rPr>
        <w:t>in particular are</w:t>
      </w:r>
      <w:proofErr w:type="gramEnd"/>
      <w:r w:rsidRPr="003C7E62">
        <w:rPr>
          <w:rFonts w:eastAsia="Arial" w:cs="Arial"/>
          <w:color w:val="auto"/>
          <w:spacing w:val="-1"/>
          <w:szCs w:val="24"/>
        </w:rPr>
        <w:t xml:space="preserve"> susceptible to a wide range of threats from land use policies and once contaminated it is difficult, if not impossible, to rehabilitate them. </w:t>
      </w:r>
    </w:p>
    <w:p w14:paraId="4F93F652" w14:textId="77777777" w:rsidR="00364693" w:rsidRPr="003C7E62" w:rsidRDefault="00364693" w:rsidP="00364693">
      <w:pPr>
        <w:keepNext w:val="0"/>
        <w:spacing w:before="0"/>
        <w:ind w:left="709"/>
        <w:rPr>
          <w:rFonts w:cs="Arial"/>
          <w:color w:val="auto"/>
          <w:szCs w:val="24"/>
          <w:lang w:eastAsia="en-US"/>
        </w:rPr>
      </w:pPr>
    </w:p>
    <w:p w14:paraId="3EE96AB6" w14:textId="77777777" w:rsidR="00F11A72" w:rsidRDefault="00DE2722" w:rsidP="00F11A72">
      <w:pPr>
        <w:keepNext w:val="0"/>
        <w:numPr>
          <w:ilvl w:val="1"/>
          <w:numId w:val="3"/>
        </w:numPr>
        <w:tabs>
          <w:tab w:val="clear" w:pos="525"/>
        </w:tabs>
        <w:spacing w:before="0"/>
        <w:ind w:left="709" w:hanging="709"/>
        <w:rPr>
          <w:rFonts w:cs="Arial"/>
          <w:color w:val="auto"/>
          <w:szCs w:val="24"/>
          <w:lang w:eastAsia="en-US"/>
        </w:rPr>
      </w:pPr>
      <w:r w:rsidRPr="003C7E62">
        <w:rPr>
          <w:rFonts w:eastAsia="Arial" w:cs="Arial"/>
          <w:color w:val="auto"/>
          <w:spacing w:val="-1"/>
          <w:szCs w:val="24"/>
        </w:rPr>
        <w:t>The Council, in conjunction with the Environment Agency, will seek to resist development that threatens water quality and quantity, and will encourage initiatives that result in an improvement of water quality and the capacity of surface waters to support wildlife. The</w:t>
      </w:r>
      <w:r w:rsidR="00744A8A" w:rsidRPr="003C7E62">
        <w:rPr>
          <w:rFonts w:eastAsia="Arial" w:cs="Arial"/>
          <w:color w:val="auto"/>
          <w:spacing w:val="-1"/>
          <w:szCs w:val="24"/>
        </w:rPr>
        <w:t xml:space="preserve"> </w:t>
      </w:r>
      <w:r w:rsidRPr="003C7E62">
        <w:rPr>
          <w:rFonts w:eastAsia="Arial" w:cs="Arial"/>
          <w:color w:val="auto"/>
          <w:spacing w:val="-1"/>
          <w:szCs w:val="24"/>
        </w:rPr>
        <w:t xml:space="preserve">Water Framework Directive has the primary objectives of achieving good ecological status in water </w:t>
      </w:r>
      <w:r w:rsidR="009D1815" w:rsidRPr="003C7E62">
        <w:rPr>
          <w:rFonts w:eastAsia="Arial" w:cs="Arial"/>
          <w:color w:val="auto"/>
          <w:spacing w:val="-1"/>
          <w:szCs w:val="24"/>
        </w:rPr>
        <w:t>bodies and</w:t>
      </w:r>
      <w:r w:rsidRPr="003C7E62">
        <w:rPr>
          <w:rFonts w:eastAsia="Arial" w:cs="Arial"/>
          <w:color w:val="auto"/>
          <w:spacing w:val="-1"/>
          <w:szCs w:val="24"/>
        </w:rPr>
        <w:t xml:space="preserve"> providing protection for drinking water sources and protected sites. </w:t>
      </w:r>
      <w:bookmarkStart w:id="154" w:name="_Hlk77763479"/>
      <w:r w:rsidRPr="003C7E62">
        <w:rPr>
          <w:rFonts w:eastAsia="Arial" w:cs="Arial"/>
          <w:color w:val="auto"/>
          <w:spacing w:val="-1"/>
          <w:szCs w:val="24"/>
        </w:rPr>
        <w:t>The Government’s 25 Year Plan</w:t>
      </w:r>
      <w:r w:rsidRPr="003C7E62">
        <w:rPr>
          <w:rFonts w:eastAsia="Arial" w:cs="Arial"/>
          <w:color w:val="auto"/>
          <w:spacing w:val="-1"/>
          <w:szCs w:val="24"/>
          <w:vertAlign w:val="superscript"/>
        </w:rPr>
        <w:footnoteReference w:id="80"/>
      </w:r>
      <w:r w:rsidRPr="003C7E62">
        <w:rPr>
          <w:rFonts w:eastAsia="Arial" w:cs="Arial"/>
          <w:color w:val="auto"/>
          <w:spacing w:val="-1"/>
          <w:szCs w:val="24"/>
        </w:rPr>
        <w:t xml:space="preserve"> sets a framework of strategic goals which includes a requirement for “Clean and plentiful water” with at least three quarters of our waters to be close to their natural state as soon as is practicable”</w:t>
      </w:r>
      <w:bookmarkEnd w:id="154"/>
    </w:p>
    <w:p w14:paraId="1BAF9FA3" w14:textId="77777777" w:rsidR="00F11A72" w:rsidRDefault="00F11A72" w:rsidP="00F11A72">
      <w:pPr>
        <w:pStyle w:val="ListParagraph"/>
        <w:spacing w:after="0" w:line="240" w:lineRule="auto"/>
        <w:rPr>
          <w:rFonts w:cs="Arial"/>
          <w:color w:val="0070C0"/>
          <w:szCs w:val="24"/>
        </w:rPr>
      </w:pPr>
    </w:p>
    <w:p w14:paraId="648D0FF6" w14:textId="48C0E875" w:rsidR="00F11A72" w:rsidRPr="00D810CA" w:rsidRDefault="00F11A72" w:rsidP="00F11A72">
      <w:pPr>
        <w:keepNext w:val="0"/>
        <w:numPr>
          <w:ilvl w:val="1"/>
          <w:numId w:val="3"/>
        </w:numPr>
        <w:tabs>
          <w:tab w:val="clear" w:pos="525"/>
        </w:tabs>
        <w:spacing w:before="0"/>
        <w:ind w:left="709" w:hanging="709"/>
        <w:rPr>
          <w:rFonts w:cs="Arial"/>
          <w:szCs w:val="24"/>
          <w:lang w:eastAsia="en-US"/>
        </w:rPr>
      </w:pPr>
      <w:r w:rsidRPr="00D810CA">
        <w:rPr>
          <w:rFonts w:cs="Arial"/>
          <w:szCs w:val="24"/>
          <w:lang w:eastAsia="en-US"/>
        </w:rPr>
        <w:t xml:space="preserve">There is an emphasis on </w:t>
      </w:r>
      <w:proofErr w:type="gramStart"/>
      <w:r w:rsidRPr="00D810CA">
        <w:rPr>
          <w:rFonts w:cs="Arial"/>
          <w:szCs w:val="24"/>
          <w:lang w:eastAsia="en-US"/>
        </w:rPr>
        <w:t>nature based</w:t>
      </w:r>
      <w:proofErr w:type="gramEnd"/>
      <w:r w:rsidRPr="00D810CA">
        <w:rPr>
          <w:rFonts w:cs="Arial"/>
          <w:szCs w:val="24"/>
          <w:lang w:eastAsia="en-US"/>
        </w:rPr>
        <w:t xml:space="preserve"> solutions. </w:t>
      </w:r>
      <w:r w:rsidR="002B4FE0" w:rsidRPr="00D810CA">
        <w:rPr>
          <w:rFonts w:cs="Arial"/>
          <w:szCs w:val="24"/>
          <w:lang w:eastAsia="en-US"/>
        </w:rPr>
        <w:t>In t</w:t>
      </w:r>
      <w:r w:rsidRPr="00D810CA">
        <w:rPr>
          <w:rFonts w:cs="Arial"/>
          <w:szCs w:val="24"/>
          <w:lang w:eastAsia="en-US"/>
        </w:rPr>
        <w:t xml:space="preserve">he evidence from Working with </w:t>
      </w:r>
      <w:r w:rsidR="002B4FE0" w:rsidRPr="00D810CA">
        <w:rPr>
          <w:rFonts w:cs="Arial"/>
          <w:szCs w:val="24"/>
          <w:lang w:eastAsia="en-US"/>
        </w:rPr>
        <w:t>N</w:t>
      </w:r>
      <w:r w:rsidRPr="00D810CA">
        <w:rPr>
          <w:rFonts w:cs="Arial"/>
          <w:szCs w:val="24"/>
          <w:lang w:eastAsia="en-US"/>
        </w:rPr>
        <w:t xml:space="preserve">ature, </w:t>
      </w:r>
      <w:r w:rsidR="002B4FE0" w:rsidRPr="00D810CA">
        <w:rPr>
          <w:rFonts w:cs="Arial"/>
          <w:szCs w:val="24"/>
          <w:lang w:eastAsia="en-US"/>
        </w:rPr>
        <w:t>(</w:t>
      </w:r>
      <w:r w:rsidRPr="00D810CA">
        <w:rPr>
          <w:rFonts w:cs="Arial"/>
          <w:szCs w:val="24"/>
          <w:lang w:eastAsia="en-US"/>
        </w:rPr>
        <w:t>Chief Scientist’s Group Report July 2022</w:t>
      </w:r>
      <w:r w:rsidR="002B4FE0" w:rsidRPr="00D810CA">
        <w:rPr>
          <w:rFonts w:cs="Arial"/>
          <w:szCs w:val="24"/>
          <w:lang w:eastAsia="en-US"/>
        </w:rPr>
        <w:t>) the</w:t>
      </w:r>
      <w:r w:rsidRPr="00D810CA">
        <w:rPr>
          <w:rFonts w:cs="Arial"/>
          <w:szCs w:val="24"/>
          <w:lang w:eastAsia="en-US"/>
        </w:rPr>
        <w:t xml:space="preserve"> Environment Agency identifie</w:t>
      </w:r>
      <w:r w:rsidR="002B4FE0" w:rsidRPr="00D810CA">
        <w:rPr>
          <w:rFonts w:cs="Arial"/>
          <w:szCs w:val="24"/>
          <w:lang w:eastAsia="en-US"/>
        </w:rPr>
        <w:t>d</w:t>
      </w:r>
      <w:r w:rsidRPr="00D810CA">
        <w:rPr>
          <w:rFonts w:cs="Arial"/>
          <w:szCs w:val="24"/>
          <w:lang w:eastAsia="en-US"/>
        </w:rPr>
        <w:t xml:space="preserve"> that this approach has benefits to biodiversity, the economy, health and wellbeing and climate change.  While it will not be feasible for all situations there are multiple benefits for nature and people in apply such an approach.</w:t>
      </w:r>
    </w:p>
    <w:p w14:paraId="4CBB693D" w14:textId="77777777" w:rsidR="00744A8A" w:rsidRPr="00D810CA" w:rsidRDefault="00744A8A" w:rsidP="00744A8A">
      <w:pPr>
        <w:pStyle w:val="ListParagraph"/>
        <w:spacing w:after="0" w:line="240" w:lineRule="auto"/>
        <w:rPr>
          <w:rFonts w:ascii="Arial" w:eastAsia="Arial" w:hAnsi="Arial" w:cs="Arial"/>
          <w:spacing w:val="-1"/>
          <w:szCs w:val="24"/>
        </w:rPr>
      </w:pPr>
    </w:p>
    <w:p w14:paraId="0B2C4651" w14:textId="324CD61A" w:rsidR="00744A8A" w:rsidRPr="00D810CA" w:rsidRDefault="00744A8A" w:rsidP="00744A8A">
      <w:pPr>
        <w:keepNext w:val="0"/>
        <w:numPr>
          <w:ilvl w:val="1"/>
          <w:numId w:val="3"/>
        </w:numPr>
        <w:tabs>
          <w:tab w:val="clear" w:pos="525"/>
        </w:tabs>
        <w:spacing w:before="0"/>
        <w:ind w:left="709" w:hanging="709"/>
        <w:rPr>
          <w:rFonts w:cs="Arial"/>
          <w:szCs w:val="24"/>
          <w:lang w:eastAsia="en-US"/>
        </w:rPr>
      </w:pPr>
      <w:r w:rsidRPr="00D810CA">
        <w:rPr>
          <w:rFonts w:eastAsia="Arial" w:cs="Arial"/>
          <w:spacing w:val="-1"/>
          <w:szCs w:val="24"/>
        </w:rPr>
        <w:t>T</w:t>
      </w:r>
      <w:r w:rsidR="00DE2722" w:rsidRPr="00D810CA">
        <w:rPr>
          <w:rFonts w:eastAsia="Arial" w:cs="Arial"/>
          <w:spacing w:val="-1"/>
          <w:szCs w:val="24"/>
        </w:rPr>
        <w:t>he Environment Agency's Humber River Basin Management Plan 2015</w:t>
      </w:r>
      <w:r w:rsidRPr="00D810CA">
        <w:rPr>
          <w:rFonts w:eastAsia="Arial" w:cs="Arial"/>
          <w:spacing w:val="-1"/>
          <w:szCs w:val="24"/>
        </w:rPr>
        <w:t xml:space="preserve"> </w:t>
      </w:r>
      <w:r w:rsidR="00DE2722" w:rsidRPr="00D810CA">
        <w:rPr>
          <w:rFonts w:cs="Arial"/>
          <w:szCs w:val="24"/>
        </w:rPr>
        <w:t>sets out the main issues for the water environment, and actions needed to be taken. The following catchments relate to Ashfield:</w:t>
      </w:r>
    </w:p>
    <w:p w14:paraId="08EA1AC2" w14:textId="77777777" w:rsidR="004575AD" w:rsidRPr="00D810CA" w:rsidRDefault="004575AD" w:rsidP="004575AD">
      <w:pPr>
        <w:keepNext w:val="0"/>
        <w:spacing w:before="0"/>
        <w:rPr>
          <w:rFonts w:cs="Arial"/>
          <w:szCs w:val="24"/>
          <w:lang w:eastAsia="en-US"/>
        </w:rPr>
      </w:pPr>
    </w:p>
    <w:p w14:paraId="34601A11" w14:textId="77777777" w:rsidR="00744A8A" w:rsidRPr="00D810CA" w:rsidRDefault="00744A8A" w:rsidP="00874A98">
      <w:pPr>
        <w:keepNext w:val="0"/>
        <w:numPr>
          <w:ilvl w:val="0"/>
          <w:numId w:val="111"/>
        </w:numPr>
        <w:autoSpaceDE w:val="0"/>
        <w:autoSpaceDN w:val="0"/>
        <w:adjustRightInd w:val="0"/>
        <w:spacing w:before="0"/>
        <w:ind w:left="993" w:hanging="284"/>
        <w:jc w:val="both"/>
        <w:rPr>
          <w:rFonts w:cs="Arial"/>
          <w:szCs w:val="24"/>
        </w:rPr>
      </w:pPr>
      <w:r w:rsidRPr="00D810CA">
        <w:rPr>
          <w:rFonts w:cs="Arial"/>
          <w:bCs/>
          <w:szCs w:val="24"/>
        </w:rPr>
        <w:t xml:space="preserve">The Idle and Torne Catchment (Sutton in Ashfield, Stanton Hill, Skegby, </w:t>
      </w:r>
      <w:proofErr w:type="gramStart"/>
      <w:r w:rsidRPr="00D810CA">
        <w:rPr>
          <w:rFonts w:cs="Arial"/>
          <w:bCs/>
          <w:szCs w:val="24"/>
        </w:rPr>
        <w:t>north east</w:t>
      </w:r>
      <w:proofErr w:type="gramEnd"/>
      <w:r w:rsidRPr="00D810CA">
        <w:rPr>
          <w:rFonts w:cs="Arial"/>
          <w:bCs/>
          <w:szCs w:val="24"/>
        </w:rPr>
        <w:t xml:space="preserve"> of Kirkby-in-Ashfield);</w:t>
      </w:r>
    </w:p>
    <w:p w14:paraId="72C17D27" w14:textId="77F2B79D" w:rsidR="00744A8A" w:rsidRPr="00D810CA" w:rsidRDefault="00744A8A" w:rsidP="00874A98">
      <w:pPr>
        <w:keepNext w:val="0"/>
        <w:numPr>
          <w:ilvl w:val="0"/>
          <w:numId w:val="111"/>
        </w:numPr>
        <w:autoSpaceDE w:val="0"/>
        <w:autoSpaceDN w:val="0"/>
        <w:adjustRightInd w:val="0"/>
        <w:spacing w:before="0"/>
        <w:ind w:left="993" w:hanging="284"/>
        <w:jc w:val="both"/>
        <w:rPr>
          <w:rFonts w:cs="Arial"/>
          <w:szCs w:val="24"/>
        </w:rPr>
      </w:pPr>
      <w:r w:rsidRPr="00D810CA">
        <w:rPr>
          <w:rFonts w:cs="Arial"/>
          <w:bCs/>
          <w:szCs w:val="24"/>
        </w:rPr>
        <w:lastRenderedPageBreak/>
        <w:t xml:space="preserve">The Lower Trent and Erewash Catchment (south &amp; east of Kirkby-in-Ashfield, </w:t>
      </w:r>
      <w:proofErr w:type="spellStart"/>
      <w:r w:rsidRPr="00D810CA">
        <w:rPr>
          <w:rFonts w:cs="Arial"/>
          <w:bCs/>
          <w:szCs w:val="24"/>
        </w:rPr>
        <w:t>Selston</w:t>
      </w:r>
      <w:proofErr w:type="spellEnd"/>
      <w:r w:rsidRPr="00D810CA">
        <w:rPr>
          <w:rFonts w:cs="Arial"/>
          <w:bCs/>
          <w:szCs w:val="24"/>
        </w:rPr>
        <w:t xml:space="preserve">, Underwood, </w:t>
      </w:r>
      <w:proofErr w:type="spellStart"/>
      <w:r w:rsidRPr="00D810CA">
        <w:rPr>
          <w:rFonts w:cs="Arial"/>
          <w:bCs/>
          <w:szCs w:val="24"/>
        </w:rPr>
        <w:t>Jacksdale</w:t>
      </w:r>
      <w:proofErr w:type="spellEnd"/>
      <w:r w:rsidRPr="00D810CA">
        <w:rPr>
          <w:rFonts w:cs="Arial"/>
          <w:bCs/>
          <w:szCs w:val="24"/>
        </w:rPr>
        <w:t>, New Annesley, Annesley Woodhouse, Hucknall);</w:t>
      </w:r>
    </w:p>
    <w:p w14:paraId="1CBD9B70" w14:textId="73AC23CA" w:rsidR="00744A8A" w:rsidRPr="00D810CA" w:rsidRDefault="00744A8A" w:rsidP="00874A98">
      <w:pPr>
        <w:keepNext w:val="0"/>
        <w:numPr>
          <w:ilvl w:val="0"/>
          <w:numId w:val="111"/>
        </w:numPr>
        <w:autoSpaceDE w:val="0"/>
        <w:autoSpaceDN w:val="0"/>
        <w:adjustRightInd w:val="0"/>
        <w:spacing w:before="0"/>
        <w:ind w:left="993" w:hanging="284"/>
        <w:jc w:val="both"/>
        <w:rPr>
          <w:rFonts w:cs="Arial"/>
          <w:szCs w:val="24"/>
        </w:rPr>
      </w:pPr>
      <w:r w:rsidRPr="00D810CA">
        <w:rPr>
          <w:rFonts w:eastAsia="Calibri" w:cs="Arial"/>
          <w:bCs/>
          <w:szCs w:val="24"/>
          <w:lang w:eastAsia="en-US"/>
        </w:rPr>
        <w:t xml:space="preserve">Don and the Rother Catchment (covers a small area to the north of the </w:t>
      </w:r>
      <w:proofErr w:type="gramStart"/>
      <w:r w:rsidRPr="00D810CA">
        <w:rPr>
          <w:rFonts w:eastAsia="Calibri" w:cs="Arial"/>
          <w:bCs/>
          <w:szCs w:val="24"/>
          <w:lang w:eastAsia="en-US"/>
        </w:rPr>
        <w:t>District</w:t>
      </w:r>
      <w:proofErr w:type="gramEnd"/>
      <w:r w:rsidRPr="00D810CA">
        <w:rPr>
          <w:rFonts w:eastAsia="Calibri" w:cs="Arial"/>
          <w:bCs/>
          <w:szCs w:val="24"/>
          <w:lang w:eastAsia="en-US"/>
        </w:rPr>
        <w:t xml:space="preserve">); </w:t>
      </w:r>
    </w:p>
    <w:p w14:paraId="6EAE6A48" w14:textId="1BB612C9" w:rsidR="00744A8A" w:rsidRPr="00D810CA" w:rsidRDefault="00744A8A" w:rsidP="00874A98">
      <w:pPr>
        <w:keepNext w:val="0"/>
        <w:numPr>
          <w:ilvl w:val="0"/>
          <w:numId w:val="111"/>
        </w:numPr>
        <w:autoSpaceDE w:val="0"/>
        <w:autoSpaceDN w:val="0"/>
        <w:adjustRightInd w:val="0"/>
        <w:spacing w:before="0"/>
        <w:ind w:left="993" w:hanging="284"/>
        <w:jc w:val="both"/>
        <w:rPr>
          <w:rFonts w:cs="Arial"/>
          <w:szCs w:val="24"/>
        </w:rPr>
      </w:pPr>
      <w:r w:rsidRPr="00D810CA">
        <w:rPr>
          <w:rFonts w:eastAsia="Calibri" w:cs="Arial"/>
          <w:bCs/>
          <w:szCs w:val="24"/>
          <w:lang w:eastAsia="en-US"/>
        </w:rPr>
        <w:t>The Derbyshire Derwent Catchment (Huthwaite).</w:t>
      </w:r>
    </w:p>
    <w:p w14:paraId="32FB6304" w14:textId="77777777" w:rsidR="00744A8A" w:rsidRPr="00D810CA" w:rsidRDefault="00744A8A" w:rsidP="00744A8A">
      <w:pPr>
        <w:keepNext w:val="0"/>
        <w:autoSpaceDE w:val="0"/>
        <w:autoSpaceDN w:val="0"/>
        <w:adjustRightInd w:val="0"/>
        <w:spacing w:before="0"/>
        <w:ind w:left="993"/>
        <w:jc w:val="both"/>
        <w:rPr>
          <w:rFonts w:cs="Arial"/>
          <w:szCs w:val="24"/>
        </w:rPr>
      </w:pPr>
    </w:p>
    <w:p w14:paraId="7495EC48" w14:textId="4A3CF97A" w:rsidR="00ED58B9" w:rsidRPr="00D810CA" w:rsidRDefault="002429E0" w:rsidP="00ED58B9">
      <w:pPr>
        <w:keepNext w:val="0"/>
        <w:spacing w:before="0"/>
        <w:ind w:left="709"/>
        <w:rPr>
          <w:rFonts w:cs="Arial"/>
          <w:szCs w:val="24"/>
          <w:lang w:eastAsia="en-US"/>
        </w:rPr>
      </w:pPr>
      <w:r w:rsidRPr="00D810CA">
        <w:rPr>
          <w:rFonts w:cs="Arial"/>
          <w:szCs w:val="24"/>
          <w:lang w:eastAsia="en-US"/>
        </w:rPr>
        <w:t xml:space="preserve">The Humber </w:t>
      </w:r>
      <w:r w:rsidR="002B4FE0" w:rsidRPr="00D810CA">
        <w:rPr>
          <w:rFonts w:cs="Arial"/>
          <w:szCs w:val="24"/>
          <w:lang w:eastAsia="en-US"/>
        </w:rPr>
        <w:t>R</w:t>
      </w:r>
      <w:r w:rsidRPr="00D810CA">
        <w:rPr>
          <w:rFonts w:cs="Arial"/>
          <w:szCs w:val="24"/>
          <w:lang w:eastAsia="en-US"/>
        </w:rPr>
        <w:t xml:space="preserve">iver </w:t>
      </w:r>
      <w:r w:rsidR="002B4FE0" w:rsidRPr="00D810CA">
        <w:rPr>
          <w:rFonts w:cs="Arial"/>
          <w:szCs w:val="24"/>
          <w:lang w:eastAsia="en-US"/>
        </w:rPr>
        <w:t>B</w:t>
      </w:r>
      <w:r w:rsidRPr="00D810CA">
        <w:rPr>
          <w:rFonts w:cs="Arial"/>
          <w:szCs w:val="24"/>
          <w:lang w:eastAsia="en-US"/>
        </w:rPr>
        <w:t xml:space="preserve">asin </w:t>
      </w:r>
      <w:r w:rsidR="002B4FE0" w:rsidRPr="00D810CA">
        <w:rPr>
          <w:rFonts w:cs="Arial"/>
          <w:szCs w:val="24"/>
          <w:lang w:eastAsia="en-US"/>
        </w:rPr>
        <w:t>D</w:t>
      </w:r>
      <w:r w:rsidRPr="00D810CA">
        <w:rPr>
          <w:rFonts w:cs="Arial"/>
          <w:szCs w:val="24"/>
          <w:lang w:eastAsia="en-US"/>
        </w:rPr>
        <w:t xml:space="preserve">istrict </w:t>
      </w:r>
      <w:r w:rsidR="002B4FE0" w:rsidRPr="00D810CA">
        <w:rPr>
          <w:rFonts w:cs="Arial"/>
          <w:szCs w:val="24"/>
          <w:lang w:eastAsia="en-US"/>
        </w:rPr>
        <w:t>R</w:t>
      </w:r>
      <w:r w:rsidRPr="00D810CA">
        <w:rPr>
          <w:rFonts w:cs="Arial"/>
          <w:szCs w:val="24"/>
          <w:lang w:eastAsia="en-US"/>
        </w:rPr>
        <w:t xml:space="preserve">iver </w:t>
      </w:r>
      <w:r w:rsidR="002B4FE0" w:rsidRPr="00D810CA">
        <w:rPr>
          <w:rFonts w:cs="Arial"/>
          <w:szCs w:val="24"/>
          <w:lang w:eastAsia="en-US"/>
        </w:rPr>
        <w:t>M</w:t>
      </w:r>
      <w:r w:rsidRPr="00D810CA">
        <w:rPr>
          <w:rFonts w:cs="Arial"/>
          <w:szCs w:val="24"/>
          <w:lang w:eastAsia="en-US"/>
        </w:rPr>
        <w:t xml:space="preserve">anagement </w:t>
      </w:r>
      <w:r w:rsidR="002B4FE0" w:rsidRPr="00D810CA">
        <w:rPr>
          <w:rFonts w:cs="Arial"/>
          <w:szCs w:val="24"/>
          <w:lang w:eastAsia="en-US"/>
        </w:rPr>
        <w:t>P</w:t>
      </w:r>
      <w:r w:rsidRPr="00D810CA">
        <w:rPr>
          <w:rFonts w:cs="Arial"/>
          <w:szCs w:val="24"/>
          <w:lang w:eastAsia="en-US"/>
        </w:rPr>
        <w:t>lan was updated in 2022. It highlights that climate change will impact on water flows within watercourses with drier summers</w:t>
      </w:r>
      <w:r w:rsidR="002B4FE0" w:rsidRPr="00D810CA">
        <w:rPr>
          <w:rFonts w:cs="Arial"/>
          <w:szCs w:val="24"/>
          <w:lang w:eastAsia="en-US"/>
        </w:rPr>
        <w:t>.  D</w:t>
      </w:r>
      <w:r w:rsidRPr="00D810CA">
        <w:rPr>
          <w:rFonts w:cs="Arial"/>
          <w:szCs w:val="24"/>
          <w:lang w:eastAsia="en-US"/>
        </w:rPr>
        <w:t xml:space="preserve">rier summers </w:t>
      </w:r>
      <w:r w:rsidR="002B4FE0" w:rsidRPr="00D810CA">
        <w:rPr>
          <w:rFonts w:cs="Arial"/>
          <w:szCs w:val="24"/>
          <w:lang w:eastAsia="en-US"/>
        </w:rPr>
        <w:t xml:space="preserve">will also </w:t>
      </w:r>
      <w:r w:rsidR="00CA1F11" w:rsidRPr="00D810CA">
        <w:rPr>
          <w:rFonts w:cs="Arial"/>
          <w:szCs w:val="24"/>
          <w:lang w:eastAsia="en-US"/>
        </w:rPr>
        <w:t>put</w:t>
      </w:r>
      <w:r w:rsidRPr="00D810CA">
        <w:rPr>
          <w:rFonts w:cs="Arial"/>
          <w:szCs w:val="24"/>
          <w:lang w:eastAsia="en-US"/>
        </w:rPr>
        <w:t xml:space="preserve"> increasing pressure on competing demands for water resources.</w:t>
      </w:r>
    </w:p>
    <w:p w14:paraId="62AED973" w14:textId="77777777" w:rsidR="002429E0" w:rsidRPr="00D810CA" w:rsidRDefault="002429E0" w:rsidP="00ED58B9">
      <w:pPr>
        <w:keepNext w:val="0"/>
        <w:spacing w:before="0"/>
        <w:ind w:left="709"/>
        <w:rPr>
          <w:rFonts w:cs="Arial"/>
          <w:szCs w:val="24"/>
          <w:lang w:eastAsia="en-US"/>
        </w:rPr>
      </w:pPr>
    </w:p>
    <w:p w14:paraId="1044ED7B" w14:textId="1DFF4958" w:rsidR="00744A8A" w:rsidRPr="00D810CA" w:rsidRDefault="00DE2722" w:rsidP="00744A8A">
      <w:pPr>
        <w:keepNext w:val="0"/>
        <w:numPr>
          <w:ilvl w:val="1"/>
          <w:numId w:val="3"/>
        </w:numPr>
        <w:tabs>
          <w:tab w:val="clear" w:pos="525"/>
        </w:tabs>
        <w:spacing w:before="0"/>
        <w:ind w:left="709" w:hanging="709"/>
        <w:rPr>
          <w:rFonts w:cs="Arial"/>
          <w:szCs w:val="24"/>
          <w:lang w:eastAsia="en-US"/>
        </w:rPr>
      </w:pPr>
      <w:r w:rsidRPr="00D810CA">
        <w:rPr>
          <w:rFonts w:eastAsia="Arial" w:cs="Arial"/>
          <w:spacing w:val="-1"/>
          <w:szCs w:val="24"/>
        </w:rPr>
        <w:t>Much of Ashfield is located on principal aquifer namely the Lower Magnesian Limestone and Triassic Sherwood Sandstone where groundwater is sensitive to pollution. Principal aquifers are geological strata that exhibit high permeability and usually provide a high level of water storage. These aquifers have strategic significance for water resources, often supporting large abstractions for the public water supply. They are also of major importance, supporting river base flow.</w:t>
      </w:r>
      <w:r w:rsidR="00744A8A" w:rsidRPr="00D810CA">
        <w:rPr>
          <w:rFonts w:cs="Arial"/>
        </w:rPr>
        <w:t xml:space="preserve"> </w:t>
      </w:r>
    </w:p>
    <w:p w14:paraId="11237E75" w14:textId="77777777" w:rsidR="00744A8A" w:rsidRPr="00D810CA" w:rsidRDefault="00744A8A" w:rsidP="00744A8A">
      <w:pPr>
        <w:keepNext w:val="0"/>
        <w:spacing w:before="0"/>
        <w:ind w:left="709"/>
        <w:rPr>
          <w:rFonts w:cs="Arial"/>
          <w:szCs w:val="24"/>
          <w:lang w:eastAsia="en-US"/>
        </w:rPr>
      </w:pPr>
    </w:p>
    <w:p w14:paraId="6C336ED5" w14:textId="3D23CC05" w:rsidR="00744A8A" w:rsidRPr="00D810CA" w:rsidRDefault="00DE2722" w:rsidP="00744A8A">
      <w:pPr>
        <w:keepNext w:val="0"/>
        <w:numPr>
          <w:ilvl w:val="1"/>
          <w:numId w:val="3"/>
        </w:numPr>
        <w:tabs>
          <w:tab w:val="clear" w:pos="525"/>
        </w:tabs>
        <w:spacing w:before="0"/>
        <w:ind w:left="709" w:hanging="709"/>
        <w:rPr>
          <w:rFonts w:cs="Arial"/>
          <w:szCs w:val="24"/>
          <w:lang w:eastAsia="en-US"/>
        </w:rPr>
      </w:pPr>
      <w:r w:rsidRPr="00D810CA">
        <w:rPr>
          <w:rFonts w:eastAsia="Arial" w:cs="Arial"/>
          <w:spacing w:val="-1"/>
          <w:szCs w:val="24"/>
        </w:rPr>
        <w:t>It is important that standards of design, materials specification and of on-site construction practices respect the vulnerability of these aquifers as well as all watercourses, and environmentally sensitive areas. During and post construction</w:t>
      </w:r>
      <w:r w:rsidR="00744A8A" w:rsidRPr="00D810CA">
        <w:rPr>
          <w:rFonts w:eastAsia="Arial" w:cs="Arial"/>
          <w:spacing w:val="-1"/>
          <w:szCs w:val="24"/>
        </w:rPr>
        <w:t>,</w:t>
      </w:r>
      <w:r w:rsidRPr="00D810CA">
        <w:rPr>
          <w:rFonts w:eastAsia="Arial" w:cs="Arial"/>
          <w:spacing w:val="-1"/>
          <w:szCs w:val="24"/>
        </w:rPr>
        <w:t xml:space="preserve"> it is possible that contamination could be mobilised and find its way into the aquifer. The Council will need to be satisfied that any risk has been properly </w:t>
      </w:r>
      <w:proofErr w:type="gramStart"/>
      <w:r w:rsidRPr="00D810CA">
        <w:rPr>
          <w:rFonts w:eastAsia="Arial" w:cs="Arial"/>
          <w:spacing w:val="-1"/>
          <w:szCs w:val="24"/>
        </w:rPr>
        <w:t>assessed</w:t>
      </w:r>
      <w:proofErr w:type="gramEnd"/>
      <w:r w:rsidRPr="00D810CA">
        <w:rPr>
          <w:rFonts w:eastAsia="Arial" w:cs="Arial"/>
          <w:spacing w:val="-1"/>
          <w:szCs w:val="24"/>
        </w:rPr>
        <w:t xml:space="preserve"> and viable remediation is in place. Once groundwater is polluted the resource may be lost for many years and the protection of these resources from potentially polluting development will be strictly enforced.</w:t>
      </w:r>
      <w:r w:rsidR="00400B3D" w:rsidRPr="00D810CA">
        <w:t xml:space="preserve"> A</w:t>
      </w:r>
      <w:r w:rsidR="00400B3D" w:rsidRPr="00D810CA">
        <w:rPr>
          <w:rFonts w:eastAsia="Arial" w:cs="Arial"/>
          <w:spacing w:val="-1"/>
          <w:szCs w:val="24"/>
        </w:rPr>
        <w:t xml:space="preserve"> management plan for a construction site should ensure contaminated surface water is prevented from leaving the site by overland flow, through highway drainage or the public surface water sewer system </w:t>
      </w:r>
      <w:proofErr w:type="gramStart"/>
      <w:r w:rsidR="00400B3D" w:rsidRPr="00D810CA">
        <w:rPr>
          <w:rFonts w:eastAsia="Arial" w:cs="Arial"/>
          <w:spacing w:val="-1"/>
          <w:szCs w:val="24"/>
        </w:rPr>
        <w:t>so as to</w:t>
      </w:r>
      <w:proofErr w:type="gramEnd"/>
      <w:r w:rsidR="00400B3D" w:rsidRPr="00D810CA">
        <w:rPr>
          <w:rFonts w:eastAsia="Arial" w:cs="Arial"/>
          <w:spacing w:val="-1"/>
          <w:szCs w:val="24"/>
        </w:rPr>
        <w:t xml:space="preserve"> discharge into a watercourse.</w:t>
      </w:r>
    </w:p>
    <w:p w14:paraId="0C2FD8DB" w14:textId="77777777" w:rsidR="00744A8A" w:rsidRPr="003C7E62" w:rsidRDefault="00744A8A" w:rsidP="00744A8A">
      <w:pPr>
        <w:pStyle w:val="ListParagraph"/>
        <w:spacing w:after="0" w:line="240" w:lineRule="auto"/>
        <w:rPr>
          <w:rFonts w:ascii="Arial" w:eastAsia="Arial" w:hAnsi="Arial" w:cs="Arial"/>
          <w:color w:val="auto"/>
          <w:spacing w:val="-1"/>
          <w:szCs w:val="24"/>
        </w:rPr>
      </w:pPr>
    </w:p>
    <w:p w14:paraId="40CD3452" w14:textId="29D229AE" w:rsidR="00744A8A" w:rsidRPr="00D810CA" w:rsidRDefault="00DE2722" w:rsidP="00744A8A">
      <w:pPr>
        <w:keepNext w:val="0"/>
        <w:numPr>
          <w:ilvl w:val="1"/>
          <w:numId w:val="3"/>
        </w:numPr>
        <w:tabs>
          <w:tab w:val="clear" w:pos="525"/>
        </w:tabs>
        <w:spacing w:before="0"/>
        <w:ind w:left="709" w:hanging="709"/>
        <w:rPr>
          <w:rFonts w:cs="Arial"/>
          <w:szCs w:val="24"/>
          <w:lang w:eastAsia="en-US"/>
        </w:rPr>
      </w:pPr>
      <w:r w:rsidRPr="003C7E62">
        <w:rPr>
          <w:rFonts w:eastAsia="Arial" w:cs="Arial"/>
          <w:color w:val="auto"/>
          <w:spacing w:val="-1"/>
          <w:szCs w:val="24"/>
        </w:rPr>
        <w:t xml:space="preserve">The ‘no deterioration’ policy of the Water Framework Directive requires that current environmental conditions are maintained or improved. This necessary may require phasing new development so that water and wastewater infrastructure is in place when and where needed. The impact on designated sites of importance for biodiversity should be considered to </w:t>
      </w:r>
      <w:r w:rsidRPr="00D810CA">
        <w:rPr>
          <w:rFonts w:eastAsia="Arial" w:cs="Arial"/>
          <w:spacing w:val="-1"/>
          <w:szCs w:val="24"/>
        </w:rPr>
        <w:t>ensure the required infrastructure is in place before any environmental effects occur.</w:t>
      </w:r>
      <w:r w:rsidR="001804D4" w:rsidRPr="00D810CA">
        <w:rPr>
          <w:rFonts w:eastAsia="Arial" w:cs="Arial"/>
          <w:spacing w:val="-1"/>
          <w:szCs w:val="24"/>
        </w:rPr>
        <w:t xml:space="preserve">  Where appropriate</w:t>
      </w:r>
      <w:r w:rsidR="00400B3D" w:rsidRPr="00D810CA">
        <w:rPr>
          <w:rFonts w:eastAsia="Arial" w:cs="Arial"/>
          <w:spacing w:val="-1"/>
          <w:szCs w:val="24"/>
        </w:rPr>
        <w:t>,</w:t>
      </w:r>
      <w:r w:rsidR="001804D4" w:rsidRPr="00D810CA">
        <w:rPr>
          <w:rFonts w:eastAsia="Arial" w:cs="Arial"/>
          <w:spacing w:val="-1"/>
          <w:szCs w:val="24"/>
        </w:rPr>
        <w:t xml:space="preserve"> for large development sites will be required to do </w:t>
      </w:r>
      <w:r w:rsidR="00CA1F11" w:rsidRPr="00D810CA">
        <w:rPr>
          <w:rFonts w:eastAsia="Arial" w:cs="Arial"/>
          <w:spacing w:val="-1"/>
          <w:szCs w:val="24"/>
        </w:rPr>
        <w:t>predevelopment</w:t>
      </w:r>
      <w:r w:rsidR="001804D4" w:rsidRPr="00D810CA">
        <w:rPr>
          <w:rFonts w:eastAsia="Arial" w:cs="Arial"/>
          <w:spacing w:val="-1"/>
          <w:szCs w:val="24"/>
        </w:rPr>
        <w:t>, during development and post development monitoring to demonstrate that there has been no impact on water quality and flows.</w:t>
      </w:r>
    </w:p>
    <w:p w14:paraId="1B5D00E3" w14:textId="77777777" w:rsidR="00744A8A" w:rsidRPr="00D810CA" w:rsidRDefault="00744A8A" w:rsidP="00744A8A">
      <w:pPr>
        <w:pStyle w:val="ListParagraph"/>
        <w:spacing w:after="0" w:line="240" w:lineRule="auto"/>
        <w:rPr>
          <w:rFonts w:ascii="Arial" w:eastAsia="Arial" w:hAnsi="Arial" w:cs="Arial"/>
          <w:spacing w:val="-1"/>
          <w:szCs w:val="24"/>
        </w:rPr>
      </w:pPr>
    </w:p>
    <w:p w14:paraId="3A8D5265" w14:textId="2EC4A512" w:rsidR="00744A8A" w:rsidRPr="003C7E62" w:rsidRDefault="00DE2722" w:rsidP="00744A8A">
      <w:pPr>
        <w:keepNext w:val="0"/>
        <w:numPr>
          <w:ilvl w:val="1"/>
          <w:numId w:val="3"/>
        </w:numPr>
        <w:tabs>
          <w:tab w:val="clear" w:pos="525"/>
        </w:tabs>
        <w:autoSpaceDE w:val="0"/>
        <w:autoSpaceDN w:val="0"/>
        <w:adjustRightInd w:val="0"/>
        <w:spacing w:before="0"/>
        <w:ind w:left="709" w:hanging="709"/>
        <w:rPr>
          <w:rFonts w:eastAsia="Arial" w:cs="Arial"/>
          <w:color w:val="auto"/>
          <w:spacing w:val="-1"/>
          <w:szCs w:val="24"/>
        </w:rPr>
      </w:pPr>
      <w:r w:rsidRPr="00D810CA">
        <w:rPr>
          <w:rFonts w:eastAsia="Arial" w:cs="Arial"/>
          <w:spacing w:val="-1"/>
          <w:szCs w:val="24"/>
        </w:rPr>
        <w:t xml:space="preserve">A watercourse should follow its natural profile and meandering reflecting the character of the surrounding landscape.  Therefore, the emphasis is upon retain this aspect and avoiding engineering solutions that straighten or culvert the watercourse. </w:t>
      </w:r>
      <w:r w:rsidR="00400B3D" w:rsidRPr="00D810CA">
        <w:rPr>
          <w:rFonts w:eastAsia="Arial" w:cs="Arial"/>
          <w:spacing w:val="-1"/>
          <w:szCs w:val="24"/>
        </w:rPr>
        <w:t>Any proposed modifications to an ordinary watercourse must be presented to the Lead Local Flood Authority for consideration. It should be noted that the L</w:t>
      </w:r>
      <w:r w:rsidR="009C30E1" w:rsidRPr="00D810CA">
        <w:rPr>
          <w:rFonts w:eastAsia="Arial" w:cs="Arial"/>
          <w:spacing w:val="-1"/>
          <w:szCs w:val="24"/>
        </w:rPr>
        <w:t xml:space="preserve">ead </w:t>
      </w:r>
      <w:r w:rsidR="00400B3D" w:rsidRPr="00D810CA">
        <w:rPr>
          <w:rFonts w:eastAsia="Arial" w:cs="Arial"/>
          <w:spacing w:val="-1"/>
          <w:szCs w:val="24"/>
        </w:rPr>
        <w:t>L</w:t>
      </w:r>
      <w:r w:rsidR="009C30E1" w:rsidRPr="00D810CA">
        <w:rPr>
          <w:rFonts w:eastAsia="Arial" w:cs="Arial"/>
          <w:spacing w:val="-1"/>
          <w:szCs w:val="24"/>
        </w:rPr>
        <w:t xml:space="preserve">ocal </w:t>
      </w:r>
      <w:r w:rsidR="00400B3D" w:rsidRPr="00D810CA">
        <w:rPr>
          <w:rFonts w:eastAsia="Arial" w:cs="Arial"/>
          <w:spacing w:val="-1"/>
          <w:szCs w:val="24"/>
        </w:rPr>
        <w:t>F</w:t>
      </w:r>
      <w:r w:rsidR="009C30E1" w:rsidRPr="00D810CA">
        <w:rPr>
          <w:rFonts w:eastAsia="Arial" w:cs="Arial"/>
          <w:spacing w:val="-1"/>
          <w:szCs w:val="24"/>
        </w:rPr>
        <w:t xml:space="preserve">lood </w:t>
      </w:r>
      <w:r w:rsidR="00400B3D" w:rsidRPr="00D810CA">
        <w:rPr>
          <w:rFonts w:eastAsia="Arial" w:cs="Arial"/>
          <w:spacing w:val="-1"/>
          <w:szCs w:val="24"/>
        </w:rPr>
        <w:t>A</w:t>
      </w:r>
      <w:r w:rsidR="009C30E1" w:rsidRPr="00D810CA">
        <w:rPr>
          <w:rFonts w:eastAsia="Arial" w:cs="Arial"/>
          <w:spacing w:val="-1"/>
          <w:szCs w:val="24"/>
        </w:rPr>
        <w:t>uthority</w:t>
      </w:r>
      <w:r w:rsidR="00400B3D" w:rsidRPr="00D810CA">
        <w:rPr>
          <w:rFonts w:eastAsia="Arial" w:cs="Arial"/>
          <w:spacing w:val="-1"/>
          <w:szCs w:val="24"/>
        </w:rPr>
        <w:t xml:space="preserve"> do not support the culverting of watercourses nor any changes that restrict the flow of water.</w:t>
      </w:r>
      <w:r w:rsidRPr="00D810CA">
        <w:rPr>
          <w:rFonts w:eastAsia="Arial" w:cs="Arial"/>
          <w:spacing w:val="-1"/>
          <w:szCs w:val="24"/>
        </w:rPr>
        <w:t xml:space="preserve"> Buffer zones should be provided adjacent to rivers, streams and ponds </w:t>
      </w:r>
      <w:proofErr w:type="gramStart"/>
      <w:r w:rsidRPr="00D810CA">
        <w:rPr>
          <w:rFonts w:eastAsia="Arial" w:cs="Arial"/>
          <w:spacing w:val="-1"/>
          <w:szCs w:val="24"/>
        </w:rPr>
        <w:t>in order to</w:t>
      </w:r>
      <w:proofErr w:type="gramEnd"/>
      <w:r w:rsidRPr="00D810CA">
        <w:rPr>
          <w:rFonts w:eastAsia="Arial" w:cs="Arial"/>
          <w:spacing w:val="-1"/>
          <w:szCs w:val="24"/>
        </w:rPr>
        <w:t xml:space="preserve"> protect and, where necessary</w:t>
      </w:r>
      <w:r w:rsidRPr="003C7E62">
        <w:rPr>
          <w:rFonts w:eastAsia="Arial" w:cs="Arial"/>
          <w:color w:val="auto"/>
          <w:spacing w:val="-1"/>
          <w:szCs w:val="24"/>
        </w:rPr>
        <w:t xml:space="preserve">, enhance biodiversity, </w:t>
      </w:r>
      <w:proofErr w:type="gramStart"/>
      <w:r w:rsidRPr="003C7E62">
        <w:rPr>
          <w:rFonts w:eastAsia="Arial" w:cs="Arial"/>
          <w:color w:val="auto"/>
          <w:spacing w:val="-1"/>
          <w:szCs w:val="24"/>
        </w:rPr>
        <w:t>in particular</w:t>
      </w:r>
      <w:proofErr w:type="gramEnd"/>
      <w:r w:rsidRPr="003C7E62">
        <w:rPr>
          <w:rFonts w:eastAsia="Arial" w:cs="Arial"/>
          <w:color w:val="auto"/>
          <w:spacing w:val="-1"/>
          <w:szCs w:val="24"/>
        </w:rPr>
        <w:t xml:space="preserve"> the value of the adjacent terrestrial habitat. These zones provide valuable </w:t>
      </w:r>
      <w:r w:rsidRPr="003C7E62">
        <w:rPr>
          <w:rFonts w:eastAsia="Arial" w:cs="Arial"/>
          <w:color w:val="auto"/>
          <w:spacing w:val="-1"/>
          <w:szCs w:val="24"/>
        </w:rPr>
        <w:lastRenderedPageBreak/>
        <w:t>habitats and help support improved habitat connectivity.    Under the Environment Agency’s Midlands Land Drainage Bylaws for ‘main rivers’ this buffer area is 8 metres measured horizontally from the foot of any bank of the river on the landward side or, where there is no such bank, within 8 metres measured horizontally from the top edge of the batter enclosing the river.</w:t>
      </w:r>
      <w:r w:rsidRPr="003C7E62">
        <w:rPr>
          <w:rFonts w:cs="Arial"/>
          <w:color w:val="auto"/>
        </w:rPr>
        <w:t xml:space="preserve"> </w:t>
      </w:r>
    </w:p>
    <w:p w14:paraId="5A9EBC30" w14:textId="77777777" w:rsidR="00744A8A" w:rsidRPr="00AE365C" w:rsidRDefault="00744A8A" w:rsidP="00744A8A">
      <w:pPr>
        <w:pStyle w:val="ListParagraph"/>
        <w:spacing w:after="0" w:line="240" w:lineRule="auto"/>
        <w:rPr>
          <w:rFonts w:ascii="Arial" w:eastAsia="Arial" w:hAnsi="Arial" w:cs="Arial"/>
          <w:color w:val="auto"/>
          <w:spacing w:val="-1"/>
          <w:szCs w:val="24"/>
        </w:rPr>
      </w:pPr>
    </w:p>
    <w:p w14:paraId="49CBC8A2" w14:textId="7823AE0B" w:rsidR="00AE365C" w:rsidRPr="00D810CA" w:rsidRDefault="00DE2722" w:rsidP="0040385F">
      <w:pPr>
        <w:keepNext w:val="0"/>
        <w:numPr>
          <w:ilvl w:val="1"/>
          <w:numId w:val="3"/>
        </w:numPr>
        <w:tabs>
          <w:tab w:val="clear" w:pos="525"/>
        </w:tabs>
        <w:autoSpaceDE w:val="0"/>
        <w:autoSpaceDN w:val="0"/>
        <w:adjustRightInd w:val="0"/>
        <w:spacing w:before="0"/>
        <w:ind w:left="680" w:hanging="709"/>
        <w:rPr>
          <w:rFonts w:eastAsia="Arial" w:cs="Arial"/>
        </w:rPr>
      </w:pPr>
      <w:r w:rsidRPr="00AE365C">
        <w:rPr>
          <w:rFonts w:eastAsia="Arial" w:cs="Arial"/>
          <w:color w:val="auto"/>
          <w:spacing w:val="-1"/>
          <w:szCs w:val="24"/>
        </w:rPr>
        <w:t xml:space="preserve">Development should </w:t>
      </w:r>
      <w:r w:rsidR="00AE365C" w:rsidRPr="00AE365C">
        <w:rPr>
          <w:rFonts w:eastAsia="Arial" w:cs="Arial"/>
          <w:color w:val="auto"/>
          <w:spacing w:val="-1"/>
          <w:szCs w:val="24"/>
        </w:rPr>
        <w:t xml:space="preserve">not adversely affect </w:t>
      </w:r>
      <w:r w:rsidR="00AE365C" w:rsidRPr="00D810CA">
        <w:rPr>
          <w:rFonts w:eastAsia="Arial" w:cs="Arial"/>
          <w:spacing w:val="-1"/>
          <w:szCs w:val="24"/>
        </w:rPr>
        <w:t>the</w:t>
      </w:r>
      <w:r w:rsidR="00400B3D" w:rsidRPr="00D810CA">
        <w:rPr>
          <w:rFonts w:eastAsia="Arial" w:cs="Arial"/>
          <w:spacing w:val="-1"/>
          <w:szCs w:val="24"/>
        </w:rPr>
        <w:t xml:space="preserve"> </w:t>
      </w:r>
      <w:proofErr w:type="gramStart"/>
      <w:r w:rsidR="00400B3D" w:rsidRPr="00D810CA">
        <w:rPr>
          <w:rFonts w:eastAsia="Arial" w:cs="Arial"/>
          <w:spacing w:val="-1"/>
          <w:szCs w:val="24"/>
        </w:rPr>
        <w:t>cross sectional</w:t>
      </w:r>
      <w:proofErr w:type="gramEnd"/>
      <w:r w:rsidR="00AE365C" w:rsidRPr="00D810CA">
        <w:rPr>
          <w:rFonts w:eastAsia="Arial" w:cs="Arial"/>
          <w:spacing w:val="-1"/>
          <w:szCs w:val="24"/>
        </w:rPr>
        <w:t xml:space="preserve"> profile of natural watercourses and should </w:t>
      </w:r>
      <w:r w:rsidRPr="00D810CA">
        <w:rPr>
          <w:rFonts w:eastAsia="Arial" w:cs="Arial"/>
          <w:spacing w:val="-1"/>
          <w:szCs w:val="24"/>
        </w:rPr>
        <w:t xml:space="preserve">take the opportunity to improve the water environment.    Wherever possible, culverts should be </w:t>
      </w:r>
      <w:proofErr w:type="gramStart"/>
      <w:r w:rsidRPr="00D810CA">
        <w:rPr>
          <w:rFonts w:eastAsia="Arial" w:cs="Arial"/>
          <w:spacing w:val="-1"/>
          <w:szCs w:val="24"/>
        </w:rPr>
        <w:t>opened up</w:t>
      </w:r>
      <w:proofErr w:type="gramEnd"/>
      <w:r w:rsidRPr="00D810CA">
        <w:rPr>
          <w:rFonts w:eastAsia="Arial" w:cs="Arial"/>
          <w:spacing w:val="-1"/>
          <w:szCs w:val="24"/>
        </w:rPr>
        <w:t>.   It will not generally be acceptable for development to result in the loss of open water features through draining, culverting or enclosure by other means.</w:t>
      </w:r>
      <w:r w:rsidR="00AE365C" w:rsidRPr="00D810CA">
        <w:rPr>
          <w:rFonts w:eastAsia="Arial" w:cs="Arial"/>
          <w:spacing w:val="-1"/>
          <w:szCs w:val="24"/>
        </w:rPr>
        <w:t xml:space="preserve">  Land should be provided </w:t>
      </w:r>
      <w:r w:rsidR="00AE365C" w:rsidRPr="00D810CA">
        <w:rPr>
          <w:rFonts w:eastAsia="Arial" w:cs="Arial"/>
        </w:rPr>
        <w:t xml:space="preserve">adjacent to the top of both banks of any watercourse for maintenance purposes which should be appropriately landscaped for open space and biodiversity benefits </w:t>
      </w:r>
    </w:p>
    <w:p w14:paraId="1753B13B" w14:textId="00C2F463" w:rsidR="00AE365C" w:rsidRPr="00D810CA" w:rsidRDefault="00AE365C" w:rsidP="004575AD">
      <w:pPr>
        <w:keepNext w:val="0"/>
        <w:tabs>
          <w:tab w:val="left" w:pos="680"/>
        </w:tabs>
        <w:spacing w:before="0"/>
        <w:ind w:left="680"/>
        <w:rPr>
          <w:rFonts w:eastAsia="Arial" w:cs="Arial"/>
        </w:rPr>
      </w:pPr>
    </w:p>
    <w:p w14:paraId="3DB84CB5" w14:textId="1A3D075D" w:rsidR="00744A8A" w:rsidRDefault="00744A8A" w:rsidP="004575AD">
      <w:pPr>
        <w:keepNext w:val="0"/>
        <w:tabs>
          <w:tab w:val="left" w:pos="680"/>
        </w:tabs>
        <w:spacing w:before="0"/>
        <w:ind w:left="709"/>
        <w:rPr>
          <w:rFonts w:eastAsia="Arial" w:cs="Arial"/>
          <w:b/>
        </w:rPr>
      </w:pPr>
      <w:r w:rsidRPr="00D810CA">
        <w:rPr>
          <w:rFonts w:eastAsia="Arial" w:cs="Arial"/>
          <w:b/>
        </w:rPr>
        <w:t xml:space="preserve">Water </w:t>
      </w:r>
      <w:r w:rsidR="005D0346">
        <w:rPr>
          <w:rFonts w:eastAsia="Arial" w:cs="Arial"/>
          <w:b/>
        </w:rPr>
        <w:t>E</w:t>
      </w:r>
      <w:r w:rsidRPr="00D810CA">
        <w:rPr>
          <w:rFonts w:eastAsia="Arial" w:cs="Arial"/>
          <w:b/>
        </w:rPr>
        <w:t>fficiency</w:t>
      </w:r>
    </w:p>
    <w:p w14:paraId="735F0E63" w14:textId="77777777" w:rsidR="005334C0" w:rsidRDefault="005334C0" w:rsidP="004575AD">
      <w:pPr>
        <w:keepNext w:val="0"/>
        <w:tabs>
          <w:tab w:val="left" w:pos="680"/>
        </w:tabs>
        <w:spacing w:before="0"/>
        <w:ind w:left="709"/>
        <w:rPr>
          <w:rFonts w:eastAsia="Arial" w:cs="Arial"/>
          <w:b/>
        </w:rPr>
      </w:pPr>
    </w:p>
    <w:p w14:paraId="2FB6257D" w14:textId="77777777" w:rsidR="0099236E" w:rsidRPr="0099236E" w:rsidRDefault="00DE2722" w:rsidP="00A44712">
      <w:pPr>
        <w:keepNext w:val="0"/>
        <w:numPr>
          <w:ilvl w:val="1"/>
          <w:numId w:val="3"/>
        </w:numPr>
        <w:tabs>
          <w:tab w:val="clear" w:pos="525"/>
        </w:tabs>
        <w:autoSpaceDE w:val="0"/>
        <w:autoSpaceDN w:val="0"/>
        <w:adjustRightInd w:val="0"/>
        <w:spacing w:before="0"/>
        <w:ind w:left="709" w:hanging="709"/>
        <w:rPr>
          <w:rFonts w:eastAsia="Arial" w:cs="Arial"/>
          <w:color w:val="auto"/>
          <w:spacing w:val="-1"/>
          <w:szCs w:val="24"/>
        </w:rPr>
      </w:pPr>
      <w:r w:rsidRPr="00D810CA">
        <w:rPr>
          <w:rFonts w:cs="Arial"/>
          <w:szCs w:val="24"/>
        </w:rPr>
        <w:t>The N</w:t>
      </w:r>
      <w:r w:rsidR="00215F98" w:rsidRPr="00D810CA">
        <w:rPr>
          <w:rFonts w:cs="Arial"/>
          <w:szCs w:val="24"/>
        </w:rPr>
        <w:t>PPF</w:t>
      </w:r>
      <w:r w:rsidRPr="00D810CA">
        <w:rPr>
          <w:rFonts w:cs="Arial"/>
          <w:szCs w:val="24"/>
        </w:rPr>
        <w:t xml:space="preserve"> requires local planning authorities to adopt proactive strategies to adapt to climate change that take full account of water supply and demand considerations. </w:t>
      </w:r>
    </w:p>
    <w:p w14:paraId="2DB17190" w14:textId="77777777" w:rsidR="0099236E" w:rsidRPr="0099236E" w:rsidRDefault="0099236E" w:rsidP="0099236E">
      <w:pPr>
        <w:keepNext w:val="0"/>
        <w:autoSpaceDE w:val="0"/>
        <w:autoSpaceDN w:val="0"/>
        <w:adjustRightInd w:val="0"/>
        <w:spacing w:before="0"/>
        <w:ind w:left="709"/>
        <w:rPr>
          <w:rFonts w:eastAsia="Arial" w:cs="Arial"/>
          <w:color w:val="auto"/>
          <w:spacing w:val="-1"/>
          <w:szCs w:val="24"/>
        </w:rPr>
      </w:pPr>
    </w:p>
    <w:p w14:paraId="4967E284" w14:textId="06B486D5" w:rsidR="00877B1A" w:rsidRDefault="00DE2722" w:rsidP="00A44712">
      <w:pPr>
        <w:keepNext w:val="0"/>
        <w:numPr>
          <w:ilvl w:val="1"/>
          <w:numId w:val="3"/>
        </w:numPr>
        <w:tabs>
          <w:tab w:val="clear" w:pos="525"/>
        </w:tabs>
        <w:autoSpaceDE w:val="0"/>
        <w:autoSpaceDN w:val="0"/>
        <w:adjustRightInd w:val="0"/>
        <w:spacing w:before="0"/>
        <w:ind w:left="709" w:hanging="709"/>
        <w:rPr>
          <w:rFonts w:eastAsia="Arial" w:cs="Arial"/>
          <w:color w:val="auto"/>
        </w:rPr>
      </w:pPr>
      <w:r w:rsidRPr="0099236E">
        <w:rPr>
          <w:rFonts w:cs="Arial"/>
          <w:szCs w:val="24"/>
        </w:rPr>
        <w:t xml:space="preserve">National </w:t>
      </w:r>
      <w:r w:rsidR="002B4FE0" w:rsidRPr="0099236E">
        <w:rPr>
          <w:rFonts w:cs="Arial"/>
          <w:szCs w:val="24"/>
        </w:rPr>
        <w:t>p</w:t>
      </w:r>
      <w:r w:rsidR="009D694C" w:rsidRPr="0099236E">
        <w:rPr>
          <w:rFonts w:cs="Arial"/>
          <w:szCs w:val="24"/>
        </w:rPr>
        <w:t>olicy</w:t>
      </w:r>
      <w:r w:rsidRPr="0099236E">
        <w:rPr>
          <w:rFonts w:cs="Arial"/>
          <w:szCs w:val="24"/>
        </w:rPr>
        <w:t xml:space="preserve"> identifies that where there is a clear local need, </w:t>
      </w:r>
      <w:hyperlink r:id="rId49" w:history="1">
        <w:r w:rsidRPr="0099236E">
          <w:rPr>
            <w:rFonts w:cs="Arial"/>
            <w:szCs w:val="24"/>
          </w:rPr>
          <w:t xml:space="preserve">Local Plan </w:t>
        </w:r>
      </w:hyperlink>
      <w:r w:rsidRPr="0099236E">
        <w:rPr>
          <w:rFonts w:cs="Arial"/>
          <w:szCs w:val="24"/>
        </w:rPr>
        <w:t>policies can requir</w:t>
      </w:r>
      <w:r w:rsidR="00877B1A" w:rsidRPr="0099236E">
        <w:rPr>
          <w:rFonts w:cs="Arial"/>
          <w:szCs w:val="24"/>
        </w:rPr>
        <w:t>e</w:t>
      </w:r>
      <w:r w:rsidRPr="0099236E">
        <w:rPr>
          <w:rFonts w:cs="Arial"/>
          <w:szCs w:val="24"/>
        </w:rPr>
        <w:t xml:space="preserve"> new dwellings to meet the</w:t>
      </w:r>
      <w:r w:rsidR="00877B1A" w:rsidRPr="0099236E">
        <w:rPr>
          <w:rFonts w:cs="Arial"/>
          <w:szCs w:val="24"/>
        </w:rPr>
        <w:t xml:space="preserve"> </w:t>
      </w:r>
      <w:r w:rsidRPr="0099236E">
        <w:rPr>
          <w:rFonts w:cs="Arial"/>
          <w:szCs w:val="24"/>
        </w:rPr>
        <w:t>Building Regulations</w:t>
      </w:r>
      <w:r w:rsidR="009D694C" w:rsidRPr="0099236E">
        <w:rPr>
          <w:rFonts w:cs="Arial"/>
          <w:szCs w:val="24"/>
        </w:rPr>
        <w:t>: ‘Housing o</w:t>
      </w:r>
      <w:r w:rsidRPr="0099236E">
        <w:rPr>
          <w:rFonts w:cs="Arial"/>
          <w:szCs w:val="24"/>
        </w:rPr>
        <w:t>ptional</w:t>
      </w:r>
      <w:r w:rsidR="009D694C" w:rsidRPr="0099236E">
        <w:rPr>
          <w:rFonts w:cs="Arial"/>
          <w:szCs w:val="24"/>
        </w:rPr>
        <w:t xml:space="preserve"> technical standards’</w:t>
      </w:r>
      <w:r w:rsidRPr="0099236E">
        <w:rPr>
          <w:rFonts w:cs="Arial"/>
          <w:szCs w:val="24"/>
        </w:rPr>
        <w:t xml:space="preserve"> requirement of a maximum of 110 litres</w:t>
      </w:r>
      <w:r w:rsidR="009D694C" w:rsidRPr="0099236E">
        <w:rPr>
          <w:rFonts w:cs="Arial"/>
          <w:szCs w:val="24"/>
        </w:rPr>
        <w:t xml:space="preserve"> per </w:t>
      </w:r>
      <w:r w:rsidRPr="0099236E">
        <w:rPr>
          <w:rFonts w:cs="Arial"/>
          <w:szCs w:val="24"/>
        </w:rPr>
        <w:t>person</w:t>
      </w:r>
      <w:r w:rsidR="009D694C" w:rsidRPr="0099236E">
        <w:rPr>
          <w:rFonts w:cs="Arial"/>
          <w:szCs w:val="24"/>
        </w:rPr>
        <w:t xml:space="preserve"> per </w:t>
      </w:r>
      <w:r w:rsidRPr="0099236E">
        <w:rPr>
          <w:rFonts w:cs="Arial"/>
          <w:szCs w:val="24"/>
        </w:rPr>
        <w:t>day.</w:t>
      </w:r>
      <w:r w:rsidR="004A1C8F" w:rsidRPr="0099236E">
        <w:rPr>
          <w:rFonts w:eastAsia="Arial" w:cs="Arial"/>
          <w:spacing w:val="-1"/>
          <w:szCs w:val="24"/>
        </w:rPr>
        <w:t xml:space="preserve"> </w:t>
      </w:r>
      <w:r w:rsidR="002429E0" w:rsidRPr="0099236E">
        <w:rPr>
          <w:rFonts w:eastAsia="Arial" w:cs="Arial"/>
        </w:rPr>
        <w:t>The Environment Agency in Water stressed areas – final classification 2021, 1</w:t>
      </w:r>
      <w:r w:rsidR="002429E0" w:rsidRPr="0099236E">
        <w:rPr>
          <w:rFonts w:eastAsia="Arial" w:cs="Arial"/>
          <w:vertAlign w:val="superscript"/>
        </w:rPr>
        <w:t>st</w:t>
      </w:r>
      <w:r w:rsidR="002429E0" w:rsidRPr="0099236E">
        <w:rPr>
          <w:rFonts w:eastAsia="Arial" w:cs="Arial"/>
        </w:rPr>
        <w:t xml:space="preserve"> July 2021</w:t>
      </w:r>
      <w:r w:rsidR="002B4FE0" w:rsidRPr="00D810CA">
        <w:rPr>
          <w:rStyle w:val="FootnoteReference"/>
          <w:rFonts w:eastAsia="Arial" w:cs="Arial"/>
        </w:rPr>
        <w:footnoteReference w:id="81"/>
      </w:r>
      <w:r w:rsidR="002B4FE0" w:rsidRPr="0099236E">
        <w:rPr>
          <w:rFonts w:eastAsia="Arial" w:cs="Arial"/>
        </w:rPr>
        <w:t>,</w:t>
      </w:r>
      <w:r w:rsidR="004A1C8F" w:rsidRPr="0099236E">
        <w:rPr>
          <w:rFonts w:eastAsia="Arial" w:cs="Arial"/>
        </w:rPr>
        <w:t xml:space="preserve"> identified that t</w:t>
      </w:r>
      <w:r w:rsidR="002429E0" w:rsidRPr="0099236E">
        <w:rPr>
          <w:rFonts w:eastAsia="Arial" w:cs="Arial"/>
        </w:rPr>
        <w:t xml:space="preserve">he Severn Trent Water </w:t>
      </w:r>
      <w:r w:rsidR="009D694C" w:rsidRPr="0099236E">
        <w:rPr>
          <w:rFonts w:eastAsia="Arial" w:cs="Arial"/>
        </w:rPr>
        <w:t xml:space="preserve">area </w:t>
      </w:r>
      <w:r w:rsidR="0099236E" w:rsidRPr="0099236E">
        <w:rPr>
          <w:rFonts w:eastAsia="Arial" w:cs="Arial"/>
        </w:rPr>
        <w:t>(</w:t>
      </w:r>
      <w:r w:rsidR="002429E0" w:rsidRPr="0099236E">
        <w:rPr>
          <w:rFonts w:eastAsia="Arial" w:cs="Arial"/>
        </w:rPr>
        <w:t>excluding Chester zone</w:t>
      </w:r>
      <w:r w:rsidR="0099236E" w:rsidRPr="0099236E">
        <w:rPr>
          <w:rFonts w:eastAsia="Arial" w:cs="Arial"/>
        </w:rPr>
        <w:t>)</w:t>
      </w:r>
      <w:r w:rsidR="002429E0" w:rsidRPr="0099236E">
        <w:rPr>
          <w:rFonts w:eastAsia="Arial" w:cs="Arial"/>
        </w:rPr>
        <w:t xml:space="preserve"> was classed as seriously water stressed for metering purposes. </w:t>
      </w:r>
      <w:r w:rsidR="004A1C8F" w:rsidRPr="0099236E">
        <w:rPr>
          <w:rFonts w:eastAsia="Arial" w:cs="Arial"/>
        </w:rPr>
        <w:t xml:space="preserve">It identifies that local authorities can use the water stress determination to inform whether they can require the tighter standard of 110 litres per head per day in new developments. Using the latest evidence, the Environment Agency has published its recommendation that additional areas in the South, East and the Midlands should be designated as in serious water stress.” This aspect was initially identified in The </w:t>
      </w:r>
      <w:proofErr w:type="spellStart"/>
      <w:r w:rsidRPr="0099236E">
        <w:rPr>
          <w:rFonts w:eastAsia="Arial" w:cs="Arial"/>
        </w:rPr>
        <w:t>Watercycle</w:t>
      </w:r>
      <w:proofErr w:type="spellEnd"/>
      <w:r w:rsidRPr="0099236E">
        <w:rPr>
          <w:rFonts w:eastAsia="Arial" w:cs="Arial"/>
        </w:rPr>
        <w:t xml:space="preserve"> Study for Greater Nottingham and Ashfield</w:t>
      </w:r>
      <w:r w:rsidRPr="00D810CA">
        <w:rPr>
          <w:rFonts w:eastAsia="Arial" w:cs="Arial"/>
          <w:vertAlign w:val="superscript"/>
        </w:rPr>
        <w:footnoteReference w:id="82"/>
      </w:r>
      <w:r w:rsidRPr="0099236E">
        <w:rPr>
          <w:rFonts w:eastAsia="Arial" w:cs="Arial"/>
        </w:rPr>
        <w:t xml:space="preserve"> </w:t>
      </w:r>
      <w:r w:rsidR="004A1C8F" w:rsidRPr="0099236E">
        <w:rPr>
          <w:rFonts w:eastAsia="Arial" w:cs="Arial"/>
        </w:rPr>
        <w:t xml:space="preserve">which </w:t>
      </w:r>
      <w:r w:rsidRPr="0099236E">
        <w:rPr>
          <w:rFonts w:eastAsia="Arial" w:cs="Arial"/>
        </w:rPr>
        <w:t xml:space="preserve">indicates that the water resource </w:t>
      </w:r>
      <w:r w:rsidRPr="0099236E">
        <w:rPr>
          <w:rFonts w:eastAsia="Arial" w:cs="Arial"/>
          <w:color w:val="auto"/>
        </w:rPr>
        <w:t xml:space="preserve">situation in the East Midlands is significantly constrained with little opportunity to develop new water resource schemes. </w:t>
      </w:r>
    </w:p>
    <w:p w14:paraId="4C14CDBB" w14:textId="77777777" w:rsidR="0099236E" w:rsidRPr="0099236E" w:rsidRDefault="0099236E" w:rsidP="0099236E">
      <w:pPr>
        <w:keepNext w:val="0"/>
        <w:autoSpaceDE w:val="0"/>
        <w:autoSpaceDN w:val="0"/>
        <w:adjustRightInd w:val="0"/>
        <w:spacing w:before="0"/>
        <w:rPr>
          <w:rFonts w:eastAsia="Arial" w:cs="Arial"/>
          <w:color w:val="auto"/>
        </w:rPr>
      </w:pPr>
    </w:p>
    <w:p w14:paraId="7A58F9A4" w14:textId="77777777" w:rsidR="00877B1A" w:rsidRPr="003C7E62" w:rsidRDefault="00DE2722" w:rsidP="00877B1A">
      <w:pPr>
        <w:keepNext w:val="0"/>
        <w:numPr>
          <w:ilvl w:val="1"/>
          <w:numId w:val="3"/>
        </w:numPr>
        <w:tabs>
          <w:tab w:val="clear" w:pos="525"/>
        </w:tabs>
        <w:autoSpaceDE w:val="0"/>
        <w:autoSpaceDN w:val="0"/>
        <w:adjustRightInd w:val="0"/>
        <w:spacing w:before="0"/>
        <w:ind w:left="709" w:hanging="709"/>
        <w:rPr>
          <w:rFonts w:eastAsia="Arial" w:cs="Arial"/>
          <w:color w:val="auto"/>
          <w:spacing w:val="-1"/>
          <w:szCs w:val="24"/>
        </w:rPr>
      </w:pPr>
      <w:r w:rsidRPr="003C7E62">
        <w:rPr>
          <w:rFonts w:eastAsia="Arial" w:cs="Arial"/>
          <w:color w:val="auto"/>
          <w:szCs w:val="22"/>
        </w:rPr>
        <w:t xml:space="preserve">For commercial buildings, BREEAM (BRE Environmental Assessment Method) is widely accepted </w:t>
      </w:r>
      <w:proofErr w:type="gramStart"/>
      <w:r w:rsidRPr="003C7E62">
        <w:rPr>
          <w:rFonts w:eastAsia="Arial" w:cs="Arial"/>
          <w:color w:val="auto"/>
          <w:szCs w:val="22"/>
        </w:rPr>
        <w:t>as a means to</w:t>
      </w:r>
      <w:proofErr w:type="gramEnd"/>
      <w:r w:rsidRPr="003C7E62">
        <w:rPr>
          <w:rFonts w:eastAsia="Arial" w:cs="Arial"/>
          <w:color w:val="auto"/>
          <w:szCs w:val="22"/>
        </w:rPr>
        <w:t xml:space="preserve"> establish environmental sustainability for systems within buildings. Water usage is one of the areas that BREEAM assesses, with extra credits given when water saving equipment is installed. This could include reducing water consumption </w:t>
      </w:r>
      <w:proofErr w:type="gramStart"/>
      <w:r w:rsidRPr="003C7E62">
        <w:rPr>
          <w:rFonts w:eastAsia="Arial" w:cs="Arial"/>
          <w:color w:val="auto"/>
          <w:szCs w:val="22"/>
        </w:rPr>
        <w:t>through the use of</w:t>
      </w:r>
      <w:proofErr w:type="gramEnd"/>
      <w:r w:rsidRPr="003C7E62">
        <w:rPr>
          <w:rFonts w:eastAsia="Arial" w:cs="Arial"/>
          <w:color w:val="auto"/>
          <w:szCs w:val="22"/>
        </w:rPr>
        <w:t xml:space="preserve"> meters, leak detection, water efficient appliances, or other appropriate measures.</w:t>
      </w:r>
    </w:p>
    <w:p w14:paraId="426DFED1" w14:textId="77777777" w:rsidR="00877B1A" w:rsidRPr="003C7E62" w:rsidRDefault="00877B1A" w:rsidP="00877B1A">
      <w:pPr>
        <w:pStyle w:val="ListParagraph"/>
        <w:spacing w:after="0" w:line="240" w:lineRule="auto"/>
        <w:rPr>
          <w:rFonts w:ascii="Arial" w:eastAsia="Arial" w:hAnsi="Arial" w:cs="Arial"/>
          <w:color w:val="auto"/>
        </w:rPr>
      </w:pPr>
    </w:p>
    <w:p w14:paraId="66A8EFF3" w14:textId="77777777" w:rsidR="00877B1A" w:rsidRPr="003C7E62" w:rsidRDefault="00DE2722" w:rsidP="00877B1A">
      <w:pPr>
        <w:keepNext w:val="0"/>
        <w:numPr>
          <w:ilvl w:val="1"/>
          <w:numId w:val="3"/>
        </w:numPr>
        <w:tabs>
          <w:tab w:val="clear" w:pos="525"/>
        </w:tabs>
        <w:autoSpaceDE w:val="0"/>
        <w:autoSpaceDN w:val="0"/>
        <w:adjustRightInd w:val="0"/>
        <w:spacing w:before="0"/>
        <w:ind w:left="709" w:hanging="709"/>
        <w:rPr>
          <w:rFonts w:eastAsia="Arial" w:cs="Arial"/>
          <w:color w:val="auto"/>
          <w:spacing w:val="-1"/>
          <w:szCs w:val="24"/>
        </w:rPr>
      </w:pPr>
      <w:r w:rsidRPr="003C7E62">
        <w:rPr>
          <w:rFonts w:eastAsia="Arial" w:cs="Arial"/>
          <w:color w:val="auto"/>
        </w:rPr>
        <w:t xml:space="preserve">Water conservation measures are also important in terms of water demand.  The Policy incorporates a degree of flexibility on the exact methods to be utilised, which could include water butts, water saving devices, rainwater harvesting or greywater recycling. </w:t>
      </w:r>
      <w:r w:rsidRPr="003C7E62">
        <w:rPr>
          <w:rFonts w:eastAsia="Arial" w:cs="Arial"/>
          <w:color w:val="auto"/>
          <w:spacing w:val="-1"/>
        </w:rPr>
        <w:t xml:space="preserve">Garden water can be particularly important as garden hoses can use 280 </w:t>
      </w:r>
      <w:r w:rsidRPr="003C7E62">
        <w:rPr>
          <w:rFonts w:eastAsia="Arial" w:cs="Arial"/>
          <w:color w:val="auto"/>
          <w:spacing w:val="-1"/>
        </w:rPr>
        <w:lastRenderedPageBreak/>
        <w:t xml:space="preserve">litres of water in 30 minutes. Using rainwater or </w:t>
      </w:r>
      <w:proofErr w:type="gramStart"/>
      <w:r w:rsidRPr="003C7E62">
        <w:rPr>
          <w:rFonts w:eastAsia="Arial" w:cs="Arial"/>
          <w:color w:val="auto"/>
          <w:spacing w:val="-1"/>
        </w:rPr>
        <w:t>grey-water</w:t>
      </w:r>
      <w:proofErr w:type="gramEnd"/>
      <w:r w:rsidRPr="003C7E62">
        <w:rPr>
          <w:rFonts w:eastAsia="Arial" w:cs="Arial"/>
          <w:color w:val="auto"/>
          <w:spacing w:val="-1"/>
        </w:rPr>
        <w:t xml:space="preserve"> for gardening can result in substantial savings with a relatively low impact in terms of carbon load. In certain parts of the </w:t>
      </w:r>
      <w:proofErr w:type="gramStart"/>
      <w:r w:rsidRPr="003C7E62">
        <w:rPr>
          <w:rFonts w:eastAsia="Arial" w:cs="Arial"/>
          <w:color w:val="auto"/>
          <w:spacing w:val="-1"/>
        </w:rPr>
        <w:t>District</w:t>
      </w:r>
      <w:proofErr w:type="gramEnd"/>
      <w:r w:rsidRPr="003C7E62">
        <w:rPr>
          <w:rFonts w:eastAsia="Arial" w:cs="Arial"/>
          <w:color w:val="auto"/>
          <w:spacing w:val="-1"/>
        </w:rPr>
        <w:t>, water conservation needs to be balanced against issues of low flows within local rivers and streams.</w:t>
      </w:r>
    </w:p>
    <w:p w14:paraId="7A0A3349" w14:textId="77777777" w:rsidR="00877B1A" w:rsidRPr="003C7E62" w:rsidRDefault="00877B1A" w:rsidP="00877B1A">
      <w:pPr>
        <w:pStyle w:val="ListParagraph"/>
        <w:spacing w:after="0" w:line="240" w:lineRule="auto"/>
        <w:rPr>
          <w:rFonts w:ascii="Arial" w:eastAsia="Arial" w:hAnsi="Arial" w:cs="Arial"/>
          <w:color w:val="auto"/>
          <w:spacing w:val="-1"/>
        </w:rPr>
      </w:pPr>
    </w:p>
    <w:p w14:paraId="713CEA98" w14:textId="77777777" w:rsidR="00877B1A" w:rsidRPr="003C7E62" w:rsidRDefault="00DE2722" w:rsidP="004575AD">
      <w:pPr>
        <w:keepNext w:val="0"/>
        <w:numPr>
          <w:ilvl w:val="1"/>
          <w:numId w:val="3"/>
        </w:numPr>
        <w:tabs>
          <w:tab w:val="clear" w:pos="525"/>
        </w:tabs>
        <w:autoSpaceDE w:val="0"/>
        <w:autoSpaceDN w:val="0"/>
        <w:adjustRightInd w:val="0"/>
        <w:spacing w:before="0"/>
        <w:ind w:left="709" w:hanging="709"/>
        <w:rPr>
          <w:rFonts w:eastAsia="Arial" w:cs="Arial"/>
          <w:color w:val="auto"/>
          <w:spacing w:val="-1"/>
          <w:szCs w:val="24"/>
        </w:rPr>
      </w:pPr>
      <w:r w:rsidRPr="003C7E62">
        <w:rPr>
          <w:rFonts w:eastAsia="Arial" w:cs="Arial"/>
          <w:color w:val="auto"/>
          <w:spacing w:val="-1"/>
        </w:rPr>
        <w:t xml:space="preserve">It is recognised that developments </w:t>
      </w:r>
      <w:proofErr w:type="gramStart"/>
      <w:r w:rsidRPr="003C7E62">
        <w:rPr>
          <w:rFonts w:eastAsia="Arial" w:cs="Arial"/>
          <w:color w:val="auto"/>
          <w:spacing w:val="-1"/>
        </w:rPr>
        <w:t>have to</w:t>
      </w:r>
      <w:proofErr w:type="gramEnd"/>
      <w:r w:rsidRPr="003C7E62">
        <w:rPr>
          <w:rFonts w:eastAsia="Arial" w:cs="Arial"/>
          <w:color w:val="auto"/>
          <w:spacing w:val="-1"/>
        </w:rPr>
        <w:t xml:space="preserve"> be economically viable and ecologically sustainable. The Council will work with developers to introduce water efficiency and conservation measure whilst not undermining the viability of development. The implication is that requirements can change over time with both national and local water efficiency requirements and the state of the local market for development. </w:t>
      </w:r>
    </w:p>
    <w:p w14:paraId="599B2C3B" w14:textId="77777777" w:rsidR="004575AD" w:rsidRPr="00364726" w:rsidRDefault="004575AD" w:rsidP="00364726">
      <w:pPr>
        <w:rPr>
          <w:rFonts w:eastAsia="Arial"/>
        </w:rPr>
      </w:pPr>
      <w:bookmarkStart w:id="155" w:name="_Toc500408751"/>
    </w:p>
    <w:p w14:paraId="4C6DC6A0" w14:textId="77777777" w:rsidR="004575AD" w:rsidRPr="00364726" w:rsidRDefault="004575AD" w:rsidP="00364726">
      <w:pPr>
        <w:rPr>
          <w:rFonts w:eastAsia="Arial"/>
        </w:rPr>
      </w:pPr>
    </w:p>
    <w:p w14:paraId="5E262FEF" w14:textId="0FAB1A26" w:rsidR="00877B1A" w:rsidRPr="00995322" w:rsidRDefault="006977E7" w:rsidP="00995322">
      <w:pPr>
        <w:pStyle w:val="Heading2"/>
        <w:jc w:val="left"/>
        <w:rPr>
          <w:rFonts w:eastAsia="Arial"/>
          <w:sz w:val="28"/>
          <w:szCs w:val="28"/>
        </w:rPr>
      </w:pPr>
      <w:bookmarkStart w:id="156" w:name="_Toc145511572"/>
      <w:r w:rsidRPr="00995322">
        <w:rPr>
          <w:rFonts w:eastAsia="Arial"/>
          <w:sz w:val="28"/>
          <w:szCs w:val="28"/>
        </w:rPr>
        <w:t xml:space="preserve">Policy </w:t>
      </w:r>
      <w:r w:rsidR="00877B1A" w:rsidRPr="00995322">
        <w:rPr>
          <w:rFonts w:eastAsia="Arial"/>
          <w:sz w:val="28"/>
          <w:szCs w:val="28"/>
        </w:rPr>
        <w:t>CC3: Flood Risk and Sustainable Drainage Systems (</w:t>
      </w:r>
      <w:proofErr w:type="spellStart"/>
      <w:r w:rsidR="00877B1A" w:rsidRPr="00995322">
        <w:rPr>
          <w:rFonts w:eastAsia="Arial"/>
          <w:sz w:val="28"/>
          <w:szCs w:val="28"/>
        </w:rPr>
        <w:t>SuDs</w:t>
      </w:r>
      <w:proofErr w:type="spellEnd"/>
      <w:r w:rsidR="00877B1A" w:rsidRPr="00995322">
        <w:rPr>
          <w:rFonts w:eastAsia="Arial"/>
          <w:sz w:val="28"/>
          <w:szCs w:val="28"/>
        </w:rPr>
        <w:t>)</w:t>
      </w:r>
      <w:bookmarkEnd w:id="155"/>
      <w:bookmarkEnd w:id="156"/>
    </w:p>
    <w:p w14:paraId="7A09D93C" w14:textId="77777777" w:rsidR="00877B1A" w:rsidRPr="00FC2A72" w:rsidRDefault="00877B1A" w:rsidP="004575AD">
      <w:pPr>
        <w:keepNext w:val="0"/>
        <w:spacing w:before="0"/>
        <w:rPr>
          <w:rFonts w:eastAsia="Arial" w:cs="Arial"/>
          <w:color w:val="auto"/>
        </w:rPr>
      </w:pPr>
    </w:p>
    <w:p w14:paraId="318F3144" w14:textId="77777777" w:rsidR="00877B1A" w:rsidRPr="003C7E62" w:rsidRDefault="00877B1A" w:rsidP="004575AD">
      <w:pPr>
        <w:keepNext w:val="0"/>
        <w:spacing w:before="0"/>
        <w:rPr>
          <w:rFonts w:eastAsia="Arial" w:cs="Arial"/>
          <w:color w:val="auto"/>
        </w:rPr>
      </w:pPr>
    </w:p>
    <w:tbl>
      <w:tblPr>
        <w:tblStyle w:val="ReportTable1"/>
        <w:tblW w:w="9634" w:type="dxa"/>
        <w:tblLook w:val="04A0" w:firstRow="1" w:lastRow="0" w:firstColumn="1" w:lastColumn="0" w:noHBand="0" w:noVBand="1"/>
      </w:tblPr>
      <w:tblGrid>
        <w:gridCol w:w="1838"/>
        <w:gridCol w:w="822"/>
        <w:gridCol w:w="6974"/>
      </w:tblGrid>
      <w:tr w:rsidR="00877B1A" w:rsidRPr="003C7E62" w14:paraId="0B99F810" w14:textId="77777777" w:rsidTr="005334C0">
        <w:trPr>
          <w:trHeight w:val="421"/>
        </w:trPr>
        <w:tc>
          <w:tcPr>
            <w:tcW w:w="9634" w:type="dxa"/>
            <w:gridSpan w:val="3"/>
          </w:tcPr>
          <w:p w14:paraId="5D61CA47" w14:textId="77777777" w:rsidR="00877B1A" w:rsidRPr="003C7E62" w:rsidRDefault="00877B1A" w:rsidP="004575AD">
            <w:pPr>
              <w:keepNext w:val="0"/>
              <w:tabs>
                <w:tab w:val="left" w:pos="680"/>
                <w:tab w:val="left" w:pos="1133"/>
                <w:tab w:val="left" w:pos="2267"/>
              </w:tabs>
              <w:spacing w:after="120" w:line="300" w:lineRule="exact"/>
              <w:ind w:right="283"/>
              <w:rPr>
                <w:rFonts w:eastAsia="Arial" w:cs="Arial"/>
                <w:b/>
                <w:color w:val="auto"/>
                <w:spacing w:val="-1"/>
              </w:rPr>
            </w:pPr>
            <w:r w:rsidRPr="00FC2A72">
              <w:rPr>
                <w:rFonts w:eastAsia="Arial" w:cs="Arial"/>
                <w:b/>
                <w:color w:val="auto"/>
                <w:spacing w:val="-1"/>
              </w:rPr>
              <w:t xml:space="preserve">Policy CC3: Flood Risk and </w:t>
            </w:r>
            <w:proofErr w:type="spellStart"/>
            <w:r w:rsidRPr="00FC2A72">
              <w:rPr>
                <w:rFonts w:eastAsia="Arial" w:cs="Arial"/>
                <w:b/>
                <w:color w:val="auto"/>
                <w:spacing w:val="-1"/>
              </w:rPr>
              <w:t>SuDS</w:t>
            </w:r>
            <w:proofErr w:type="spellEnd"/>
          </w:p>
        </w:tc>
      </w:tr>
      <w:tr w:rsidR="00877B1A" w:rsidRPr="003C7E62" w14:paraId="64994BDD" w14:textId="77777777" w:rsidTr="005334C0">
        <w:tc>
          <w:tcPr>
            <w:tcW w:w="2660" w:type="dxa"/>
            <w:gridSpan w:val="2"/>
          </w:tcPr>
          <w:p w14:paraId="2CCE315D" w14:textId="77777777" w:rsidR="00877B1A" w:rsidRPr="00FC2A72" w:rsidRDefault="00877B1A" w:rsidP="004575AD">
            <w:pPr>
              <w:keepNext w:val="0"/>
              <w:tabs>
                <w:tab w:val="left" w:pos="680"/>
              </w:tabs>
              <w:spacing w:before="40" w:after="40"/>
              <w:rPr>
                <w:rFonts w:eastAsia="Arial" w:cs="Arial"/>
                <w:bCs/>
                <w:color w:val="auto"/>
              </w:rPr>
            </w:pPr>
            <w:r w:rsidRPr="00FC2A72">
              <w:rPr>
                <w:rFonts w:eastAsia="Arial" w:cs="Arial"/>
                <w:bCs/>
                <w:color w:val="auto"/>
              </w:rPr>
              <w:t>Strategic Objectives</w:t>
            </w:r>
          </w:p>
        </w:tc>
        <w:tc>
          <w:tcPr>
            <w:tcW w:w="6974" w:type="dxa"/>
          </w:tcPr>
          <w:p w14:paraId="7D48956C" w14:textId="77777777" w:rsidR="00877B1A" w:rsidRPr="00FC2A72" w:rsidRDefault="00877B1A" w:rsidP="004575AD">
            <w:pPr>
              <w:keepNext w:val="0"/>
              <w:tabs>
                <w:tab w:val="left" w:pos="680"/>
              </w:tabs>
              <w:spacing w:before="40" w:after="40"/>
              <w:rPr>
                <w:rFonts w:eastAsia="Arial" w:cs="Arial"/>
                <w:bCs/>
                <w:color w:val="auto"/>
              </w:rPr>
            </w:pPr>
            <w:r w:rsidRPr="00FC2A72">
              <w:rPr>
                <w:rFonts w:eastAsia="Arial" w:cs="Arial"/>
                <w:bCs/>
                <w:color w:val="auto"/>
              </w:rPr>
              <w:t xml:space="preserve">SO4, SO11, SO13, SO14. </w:t>
            </w:r>
          </w:p>
        </w:tc>
      </w:tr>
      <w:tr w:rsidR="00877B1A" w:rsidRPr="003C7E62" w14:paraId="6DA53742" w14:textId="77777777" w:rsidTr="005334C0">
        <w:tc>
          <w:tcPr>
            <w:tcW w:w="9634" w:type="dxa"/>
            <w:gridSpan w:val="3"/>
            <w:shd w:val="clear" w:color="auto" w:fill="DEEAF6"/>
          </w:tcPr>
          <w:p w14:paraId="68005265" w14:textId="77777777" w:rsidR="00877B1A" w:rsidRPr="000339D2" w:rsidRDefault="00877B1A" w:rsidP="004575AD">
            <w:pPr>
              <w:keepNext w:val="0"/>
              <w:tabs>
                <w:tab w:val="left" w:pos="680"/>
                <w:tab w:val="left" w:pos="1133"/>
                <w:tab w:val="left" w:pos="2267"/>
              </w:tabs>
              <w:spacing w:before="0"/>
              <w:ind w:left="360" w:right="284"/>
              <w:rPr>
                <w:rFonts w:eastAsia="Arial" w:cs="Arial"/>
                <w:bCs/>
                <w:strike/>
                <w:color w:val="auto"/>
              </w:rPr>
            </w:pPr>
          </w:p>
          <w:p w14:paraId="6F65E938" w14:textId="77777777" w:rsidR="00877B1A" w:rsidRPr="000339D2" w:rsidRDefault="00877B1A" w:rsidP="00874A98">
            <w:pPr>
              <w:keepNext w:val="0"/>
              <w:numPr>
                <w:ilvl w:val="0"/>
                <w:numId w:val="108"/>
              </w:numPr>
              <w:tabs>
                <w:tab w:val="left" w:pos="680"/>
                <w:tab w:val="left" w:pos="1133"/>
                <w:tab w:val="left" w:pos="2267"/>
              </w:tabs>
              <w:spacing w:before="0"/>
              <w:ind w:right="284"/>
              <w:rPr>
                <w:rFonts w:eastAsia="Arial" w:cs="Arial"/>
                <w:bCs/>
                <w:strike/>
                <w:color w:val="auto"/>
              </w:rPr>
            </w:pPr>
            <w:r w:rsidRPr="000339D2">
              <w:rPr>
                <w:rFonts w:eastAsia="Arial" w:cs="Arial"/>
                <w:bCs/>
                <w:color w:val="auto"/>
              </w:rPr>
              <w:t>The Council will follow a sequential approach to flood risk management with the aim of locating development on land with the lowest risk of flooding.</w:t>
            </w:r>
          </w:p>
          <w:p w14:paraId="33B10534" w14:textId="77777777" w:rsidR="00877B1A" w:rsidRPr="000339D2" w:rsidRDefault="00877B1A" w:rsidP="004575AD">
            <w:pPr>
              <w:keepNext w:val="0"/>
              <w:tabs>
                <w:tab w:val="left" w:pos="680"/>
                <w:tab w:val="left" w:pos="1133"/>
                <w:tab w:val="left" w:pos="2267"/>
              </w:tabs>
              <w:spacing w:before="0"/>
              <w:ind w:left="360" w:right="284"/>
              <w:rPr>
                <w:rFonts w:eastAsia="Arial" w:cs="Arial"/>
                <w:bCs/>
                <w:color w:val="auto"/>
              </w:rPr>
            </w:pPr>
          </w:p>
          <w:p w14:paraId="2921591C" w14:textId="7DBD16AB" w:rsidR="00877B1A" w:rsidRPr="000339D2" w:rsidRDefault="00877B1A" w:rsidP="00874A98">
            <w:pPr>
              <w:keepNext w:val="0"/>
              <w:numPr>
                <w:ilvl w:val="0"/>
                <w:numId w:val="108"/>
              </w:numPr>
              <w:tabs>
                <w:tab w:val="left" w:pos="680"/>
                <w:tab w:val="left" w:pos="1133"/>
                <w:tab w:val="left" w:pos="2267"/>
              </w:tabs>
              <w:spacing w:before="0"/>
              <w:ind w:right="284"/>
              <w:rPr>
                <w:rFonts w:eastAsia="Arial" w:cs="Arial"/>
                <w:bCs/>
                <w:strike/>
                <w:color w:val="auto"/>
              </w:rPr>
            </w:pPr>
            <w:r w:rsidRPr="000339D2">
              <w:rPr>
                <w:rFonts w:cs="Arial"/>
                <w:bCs/>
                <w:color w:val="auto"/>
                <w:szCs w:val="24"/>
              </w:rPr>
              <w:t xml:space="preserve">All development proposals will be required to consider the effect of the proposed development, including access and egress, on flood risk from all </w:t>
            </w:r>
            <w:r w:rsidRPr="0036716A">
              <w:rPr>
                <w:rFonts w:cs="Arial"/>
                <w:bCs/>
                <w:szCs w:val="24"/>
              </w:rPr>
              <w:t xml:space="preserve">sources, </w:t>
            </w:r>
            <w:r w:rsidR="001461E0" w:rsidRPr="0036716A">
              <w:rPr>
                <w:rFonts w:cs="Arial"/>
                <w:bCs/>
                <w:szCs w:val="24"/>
              </w:rPr>
              <w:t xml:space="preserve">ensuring on-site and off-site flood risk is not increased and where feasible is reduced, </w:t>
            </w:r>
            <w:r w:rsidRPr="0036716A">
              <w:rPr>
                <w:rFonts w:cs="Arial"/>
                <w:bCs/>
                <w:szCs w:val="24"/>
              </w:rPr>
              <w:t xml:space="preserve">commensurate </w:t>
            </w:r>
            <w:r w:rsidRPr="000339D2">
              <w:rPr>
                <w:rFonts w:cs="Arial"/>
                <w:bCs/>
                <w:color w:val="auto"/>
                <w:szCs w:val="24"/>
              </w:rPr>
              <w:t>with the scale and impact of the development.  Where appropriate</w:t>
            </w:r>
            <w:r w:rsidRPr="000339D2">
              <w:rPr>
                <w:rFonts w:cs="Arial"/>
                <w:bCs/>
                <w:color w:val="auto"/>
                <w:sz w:val="28"/>
                <w:szCs w:val="24"/>
                <w:vertAlign w:val="superscript"/>
              </w:rPr>
              <w:footnoteReference w:id="83"/>
            </w:r>
            <w:r w:rsidRPr="000339D2">
              <w:rPr>
                <w:rFonts w:cs="Arial"/>
                <w:bCs/>
                <w:color w:val="auto"/>
                <w:szCs w:val="24"/>
              </w:rPr>
              <w:t xml:space="preserve"> t</w:t>
            </w:r>
            <w:r w:rsidRPr="000339D2">
              <w:rPr>
                <w:rFonts w:eastAsia="Arial" w:cs="Arial"/>
                <w:bCs/>
                <w:color w:val="auto"/>
              </w:rPr>
              <w:t xml:space="preserve">his should be demonstrated through a Flood Risk Assessment (FRA) which demonstrates how flood risk will be managed now and over the development’s lifetime, taking climate change into account, and </w:t>
            </w:r>
            <w:proofErr w:type="gramStart"/>
            <w:r w:rsidRPr="000339D2">
              <w:rPr>
                <w:rFonts w:eastAsia="Arial" w:cs="Arial"/>
                <w:bCs/>
                <w:color w:val="auto"/>
              </w:rPr>
              <w:t>with regard to</w:t>
            </w:r>
            <w:proofErr w:type="gramEnd"/>
            <w:r w:rsidRPr="000339D2">
              <w:rPr>
                <w:rFonts w:eastAsia="Arial" w:cs="Arial"/>
                <w:bCs/>
                <w:color w:val="auto"/>
              </w:rPr>
              <w:t xml:space="preserve"> the vulnerability of its users.</w:t>
            </w:r>
          </w:p>
          <w:p w14:paraId="290FF2DF" w14:textId="77777777" w:rsidR="00877B1A" w:rsidRPr="000339D2" w:rsidRDefault="00877B1A" w:rsidP="004575AD">
            <w:pPr>
              <w:keepNext w:val="0"/>
              <w:tabs>
                <w:tab w:val="left" w:pos="680"/>
                <w:tab w:val="left" w:pos="1133"/>
                <w:tab w:val="left" w:pos="2267"/>
              </w:tabs>
              <w:spacing w:before="0"/>
              <w:ind w:right="284"/>
              <w:rPr>
                <w:rFonts w:eastAsia="Arial" w:cs="Arial"/>
                <w:bCs/>
                <w:strike/>
                <w:color w:val="auto"/>
              </w:rPr>
            </w:pPr>
          </w:p>
          <w:p w14:paraId="683C0CB5" w14:textId="40DF7AFB" w:rsidR="00877B1A" w:rsidRPr="000339D2" w:rsidRDefault="00877B1A" w:rsidP="00874A98">
            <w:pPr>
              <w:keepNext w:val="0"/>
              <w:numPr>
                <w:ilvl w:val="0"/>
                <w:numId w:val="108"/>
              </w:numPr>
              <w:tabs>
                <w:tab w:val="left" w:pos="680"/>
                <w:tab w:val="left" w:pos="1133"/>
                <w:tab w:val="left" w:pos="2267"/>
              </w:tabs>
              <w:spacing w:before="0"/>
              <w:ind w:right="284"/>
              <w:rPr>
                <w:rFonts w:eastAsia="Arial" w:cs="Arial"/>
                <w:bCs/>
                <w:color w:val="auto"/>
                <w:szCs w:val="24"/>
              </w:rPr>
            </w:pPr>
            <w:r w:rsidRPr="000339D2">
              <w:rPr>
                <w:rFonts w:cs="Arial"/>
                <w:bCs/>
                <w:color w:val="auto"/>
                <w:szCs w:val="24"/>
              </w:rPr>
              <w:t>Development will not be permitted unless:</w:t>
            </w:r>
          </w:p>
          <w:p w14:paraId="62C0597D" w14:textId="77777777" w:rsidR="00877B1A" w:rsidRPr="000339D2" w:rsidRDefault="00877B1A" w:rsidP="004575AD">
            <w:pPr>
              <w:keepNext w:val="0"/>
              <w:tabs>
                <w:tab w:val="left" w:pos="680"/>
                <w:tab w:val="left" w:pos="1133"/>
                <w:tab w:val="left" w:pos="2267"/>
              </w:tabs>
              <w:spacing w:before="0"/>
              <w:ind w:left="360" w:right="284"/>
              <w:rPr>
                <w:rFonts w:eastAsia="Arial" w:cs="Arial"/>
                <w:bCs/>
                <w:color w:val="auto"/>
                <w:spacing w:val="-1"/>
                <w:szCs w:val="24"/>
              </w:rPr>
            </w:pPr>
          </w:p>
          <w:p w14:paraId="0835F32B" w14:textId="4F5E410B" w:rsidR="00877B1A" w:rsidRPr="000339D2" w:rsidRDefault="00877B1A" w:rsidP="00874A98">
            <w:pPr>
              <w:keepNext w:val="0"/>
              <w:numPr>
                <w:ilvl w:val="0"/>
                <w:numId w:val="109"/>
              </w:numPr>
              <w:shd w:val="clear" w:color="auto" w:fill="DEEAF6"/>
              <w:spacing w:before="0"/>
              <w:rPr>
                <w:rFonts w:cs="Arial"/>
                <w:bCs/>
                <w:color w:val="auto"/>
                <w:szCs w:val="24"/>
              </w:rPr>
            </w:pPr>
            <w:r w:rsidRPr="000339D2">
              <w:rPr>
                <w:rFonts w:cs="Arial"/>
                <w:bCs/>
                <w:color w:val="auto"/>
                <w:szCs w:val="24"/>
              </w:rPr>
              <w:t>In the functional floodplain (Flood Zone 3b), it is water compatible or essential infrastructure</w:t>
            </w:r>
            <w:r w:rsidR="002B4FE0">
              <w:rPr>
                <w:rFonts w:cs="Arial"/>
                <w:bCs/>
                <w:color w:val="auto"/>
                <w:szCs w:val="24"/>
              </w:rPr>
              <w:t>;</w:t>
            </w:r>
          </w:p>
          <w:p w14:paraId="18BE7B89" w14:textId="77777777" w:rsidR="00877B1A" w:rsidRPr="000339D2" w:rsidRDefault="00877B1A" w:rsidP="004575AD">
            <w:pPr>
              <w:keepNext w:val="0"/>
              <w:shd w:val="clear" w:color="auto" w:fill="DEEAF6"/>
              <w:spacing w:before="0"/>
              <w:ind w:left="720"/>
              <w:rPr>
                <w:rFonts w:cs="Arial"/>
                <w:bCs/>
                <w:color w:val="auto"/>
                <w:szCs w:val="24"/>
              </w:rPr>
            </w:pPr>
          </w:p>
          <w:p w14:paraId="397616FB" w14:textId="3E119034" w:rsidR="00877B1A" w:rsidRPr="0036716A" w:rsidRDefault="00877B1A" w:rsidP="00874A98">
            <w:pPr>
              <w:keepNext w:val="0"/>
              <w:numPr>
                <w:ilvl w:val="0"/>
                <w:numId w:val="109"/>
              </w:numPr>
              <w:shd w:val="clear" w:color="auto" w:fill="DEEAF6"/>
              <w:spacing w:before="0"/>
              <w:rPr>
                <w:rFonts w:cs="Arial"/>
                <w:bCs/>
                <w:szCs w:val="24"/>
              </w:rPr>
            </w:pPr>
            <w:r w:rsidRPr="000339D2">
              <w:rPr>
                <w:rFonts w:cs="Arial"/>
                <w:bCs/>
                <w:color w:val="auto"/>
                <w:szCs w:val="24"/>
              </w:rPr>
              <w:t>In Flood Zones 2 or 3, the Sequential Test, and, if necessary, the Exceptions Test is satisfied as required by national policy</w:t>
            </w:r>
            <w:r w:rsidR="00581522" w:rsidRPr="000339D2">
              <w:rPr>
                <w:rFonts w:cs="Arial"/>
                <w:bCs/>
                <w:color w:val="auto"/>
                <w:szCs w:val="24"/>
              </w:rPr>
              <w:t xml:space="preserve">. The Sequential Test </w:t>
            </w:r>
            <w:r w:rsidR="006C32FE" w:rsidRPr="0036716A">
              <w:rPr>
                <w:rFonts w:cs="Arial"/>
                <w:bCs/>
                <w:szCs w:val="24"/>
              </w:rPr>
              <w:t>for</w:t>
            </w:r>
            <w:r w:rsidR="00581522" w:rsidRPr="0036716A">
              <w:rPr>
                <w:rFonts w:cs="Arial"/>
                <w:bCs/>
                <w:szCs w:val="24"/>
              </w:rPr>
              <w:t xml:space="preserve"> flooding will be applied district wide unless a smaller area of search could be justified to deliver local needs identified in other Local Plan policies</w:t>
            </w:r>
            <w:r w:rsidR="002B4FE0" w:rsidRPr="0036716A">
              <w:rPr>
                <w:rFonts w:cs="Arial"/>
                <w:bCs/>
                <w:szCs w:val="24"/>
              </w:rPr>
              <w:t>; and</w:t>
            </w:r>
          </w:p>
          <w:p w14:paraId="56C30B34" w14:textId="77777777" w:rsidR="00581522" w:rsidRPr="0036716A" w:rsidRDefault="00581522" w:rsidP="00581522">
            <w:pPr>
              <w:keepNext w:val="0"/>
              <w:shd w:val="clear" w:color="auto" w:fill="DEEAF6"/>
              <w:spacing w:before="0"/>
              <w:rPr>
                <w:rFonts w:cs="Arial"/>
                <w:bCs/>
                <w:szCs w:val="24"/>
              </w:rPr>
            </w:pPr>
          </w:p>
          <w:p w14:paraId="025C69DD" w14:textId="39B7FA20" w:rsidR="00877B1A" w:rsidRPr="0036716A" w:rsidRDefault="002B4FE0" w:rsidP="00874A98">
            <w:pPr>
              <w:keepNext w:val="0"/>
              <w:numPr>
                <w:ilvl w:val="0"/>
                <w:numId w:val="109"/>
              </w:numPr>
              <w:shd w:val="clear" w:color="auto" w:fill="DEEAF6"/>
              <w:spacing w:before="0"/>
              <w:rPr>
                <w:rFonts w:cs="Arial"/>
                <w:bCs/>
                <w:szCs w:val="24"/>
              </w:rPr>
            </w:pPr>
            <w:r w:rsidRPr="0036716A">
              <w:rPr>
                <w:rFonts w:cs="Arial"/>
                <w:bCs/>
                <w:szCs w:val="24"/>
              </w:rPr>
              <w:t>I</w:t>
            </w:r>
            <w:r w:rsidR="00581522" w:rsidRPr="0036716A">
              <w:rPr>
                <w:rFonts w:cs="Arial"/>
                <w:bCs/>
                <w:szCs w:val="24"/>
              </w:rPr>
              <w:t>t</w:t>
            </w:r>
            <w:r w:rsidR="00877B1A" w:rsidRPr="0036716A">
              <w:rPr>
                <w:rFonts w:cs="Arial"/>
                <w:bCs/>
                <w:szCs w:val="24"/>
              </w:rPr>
              <w:t xml:space="preserve"> can be demonstrated through a Flood Risk Assessment that the development, including access/egress, will be safe, without increasing flood risk elsewhere</w:t>
            </w:r>
            <w:r w:rsidR="009C30E1" w:rsidRPr="0036716A">
              <w:t xml:space="preserve"> </w:t>
            </w:r>
            <w:r w:rsidR="009C30E1" w:rsidRPr="0036716A">
              <w:rPr>
                <w:rFonts w:cs="Arial"/>
                <w:bCs/>
                <w:szCs w:val="24"/>
              </w:rPr>
              <w:t>or putting the development itself at risk of flooding</w:t>
            </w:r>
            <w:r w:rsidRPr="0036716A">
              <w:rPr>
                <w:rFonts w:cs="Arial"/>
                <w:bCs/>
                <w:szCs w:val="24"/>
              </w:rPr>
              <w:t>.</w:t>
            </w:r>
          </w:p>
          <w:p w14:paraId="29217507" w14:textId="77777777" w:rsidR="00581522" w:rsidRPr="0036716A" w:rsidRDefault="00581522" w:rsidP="004575AD">
            <w:pPr>
              <w:keepNext w:val="0"/>
              <w:shd w:val="clear" w:color="auto" w:fill="DEEAF6"/>
              <w:spacing w:before="0"/>
              <w:rPr>
                <w:rFonts w:cs="Arial"/>
                <w:bCs/>
                <w:szCs w:val="24"/>
              </w:rPr>
            </w:pPr>
          </w:p>
          <w:p w14:paraId="27B479F5" w14:textId="516953C5" w:rsidR="009C30E1" w:rsidRPr="0036716A" w:rsidRDefault="009C30E1" w:rsidP="00874A98">
            <w:pPr>
              <w:keepNext w:val="0"/>
              <w:numPr>
                <w:ilvl w:val="0"/>
                <w:numId w:val="108"/>
              </w:numPr>
              <w:tabs>
                <w:tab w:val="left" w:pos="680"/>
                <w:tab w:val="left" w:pos="1133"/>
                <w:tab w:val="left" w:pos="2267"/>
              </w:tabs>
              <w:spacing w:before="0"/>
              <w:ind w:right="284"/>
              <w:rPr>
                <w:rFonts w:eastAsia="Arial" w:cs="Arial"/>
                <w:bCs/>
                <w:szCs w:val="24"/>
              </w:rPr>
            </w:pPr>
            <w:r w:rsidRPr="0036716A">
              <w:rPr>
                <w:rFonts w:cs="Arial"/>
                <w:bCs/>
                <w:szCs w:val="24"/>
              </w:rPr>
              <w:t xml:space="preserve">For surface water, </w:t>
            </w:r>
            <w:r w:rsidR="00F82198" w:rsidRPr="0036716A">
              <w:rPr>
                <w:rFonts w:cs="Arial"/>
                <w:bCs/>
                <w:szCs w:val="24"/>
              </w:rPr>
              <w:t xml:space="preserve">greenfield </w:t>
            </w:r>
            <w:r w:rsidRPr="0036716A">
              <w:rPr>
                <w:rFonts w:cs="Arial"/>
                <w:bCs/>
                <w:szCs w:val="24"/>
              </w:rPr>
              <w:t>development will not be permitted unless the management of surface water from the site mimics pre-construction conditions as close as is practically possible in terms of volume, velocity and receiving catchment. Run off from all developments</w:t>
            </w:r>
            <w:r w:rsidR="00F82198" w:rsidRPr="0036716A">
              <w:rPr>
                <w:rFonts w:cs="Arial"/>
                <w:bCs/>
                <w:szCs w:val="24"/>
              </w:rPr>
              <w:t>,</w:t>
            </w:r>
            <w:r w:rsidRPr="0036716A">
              <w:rPr>
                <w:rFonts w:cs="Arial"/>
                <w:bCs/>
                <w:szCs w:val="24"/>
              </w:rPr>
              <w:t xml:space="preserve"> </w:t>
            </w:r>
            <w:r w:rsidR="00F82198" w:rsidRPr="0036716A">
              <w:rPr>
                <w:rFonts w:cs="Arial"/>
                <w:bCs/>
                <w:szCs w:val="24"/>
              </w:rPr>
              <w:t xml:space="preserve">including brownfield sites, </w:t>
            </w:r>
            <w:r w:rsidRPr="0036716A">
              <w:rPr>
                <w:rFonts w:cs="Arial"/>
                <w:bCs/>
                <w:szCs w:val="24"/>
              </w:rPr>
              <w:t xml:space="preserve">must be restricted to </w:t>
            </w:r>
            <w:proofErr w:type="spellStart"/>
            <w:r w:rsidRPr="0036716A">
              <w:rPr>
                <w:rFonts w:cs="Arial"/>
                <w:bCs/>
                <w:szCs w:val="24"/>
              </w:rPr>
              <w:t>Qbar</w:t>
            </w:r>
            <w:proofErr w:type="spellEnd"/>
            <w:r w:rsidRPr="0036716A">
              <w:rPr>
                <w:rFonts w:cs="Arial"/>
                <w:bCs/>
                <w:szCs w:val="24"/>
              </w:rPr>
              <w:t xml:space="preserve"> rates with no </w:t>
            </w:r>
            <w:r w:rsidR="00CA1F11" w:rsidRPr="0036716A">
              <w:rPr>
                <w:rFonts w:cs="Arial"/>
                <w:bCs/>
                <w:szCs w:val="24"/>
              </w:rPr>
              <w:t>on-site</w:t>
            </w:r>
            <w:r w:rsidRPr="0036716A">
              <w:rPr>
                <w:rFonts w:cs="Arial"/>
                <w:bCs/>
                <w:szCs w:val="24"/>
              </w:rPr>
              <w:t xml:space="preserve"> flooding predicted for the 100 yr plus 40% critical storm event</w:t>
            </w:r>
            <w:r w:rsidR="004307D1" w:rsidRPr="0036716A">
              <w:rPr>
                <w:rFonts w:cs="Arial"/>
                <w:bCs/>
                <w:szCs w:val="24"/>
              </w:rPr>
              <w:t xml:space="preserve"> (subject to any future amendments)</w:t>
            </w:r>
            <w:r w:rsidRPr="0036716A">
              <w:rPr>
                <w:rFonts w:cs="Arial"/>
                <w:bCs/>
                <w:szCs w:val="24"/>
              </w:rPr>
              <w:t>. The Council will use the Lead Local Flood Authority as a statutory consultee for all surface water proposals</w:t>
            </w:r>
            <w:r w:rsidR="004307D1" w:rsidRPr="0036716A">
              <w:rPr>
                <w:rFonts w:cs="Arial"/>
                <w:bCs/>
                <w:szCs w:val="24"/>
              </w:rPr>
              <w:t xml:space="preserve">.  </w:t>
            </w:r>
          </w:p>
          <w:p w14:paraId="6F838D07" w14:textId="77777777" w:rsidR="00581522" w:rsidRPr="0036716A" w:rsidRDefault="00581522" w:rsidP="00581522">
            <w:pPr>
              <w:keepNext w:val="0"/>
              <w:tabs>
                <w:tab w:val="left" w:pos="680"/>
                <w:tab w:val="left" w:pos="1133"/>
                <w:tab w:val="left" w:pos="2267"/>
              </w:tabs>
              <w:spacing w:before="0"/>
              <w:ind w:left="360" w:right="284"/>
              <w:rPr>
                <w:rFonts w:eastAsia="Arial" w:cs="Arial"/>
                <w:bCs/>
                <w:szCs w:val="24"/>
              </w:rPr>
            </w:pPr>
          </w:p>
          <w:p w14:paraId="6B808CEF" w14:textId="77777777" w:rsidR="00877B1A" w:rsidRPr="0036716A" w:rsidRDefault="00877B1A" w:rsidP="00874A98">
            <w:pPr>
              <w:keepNext w:val="0"/>
              <w:numPr>
                <w:ilvl w:val="0"/>
                <w:numId w:val="108"/>
              </w:numPr>
              <w:tabs>
                <w:tab w:val="left" w:pos="680"/>
                <w:tab w:val="left" w:pos="1133"/>
                <w:tab w:val="left" w:pos="2267"/>
              </w:tabs>
              <w:spacing w:before="0"/>
              <w:ind w:right="284"/>
              <w:rPr>
                <w:rFonts w:eastAsia="Arial" w:cs="Arial"/>
                <w:bCs/>
                <w:szCs w:val="24"/>
              </w:rPr>
            </w:pPr>
            <w:r w:rsidRPr="0036716A">
              <w:rPr>
                <w:rFonts w:cs="Arial"/>
                <w:bCs/>
                <w:szCs w:val="24"/>
              </w:rPr>
              <w:t>Development will not be permitted unless:</w:t>
            </w:r>
          </w:p>
          <w:p w14:paraId="3DABAB87" w14:textId="77777777" w:rsidR="00877B1A" w:rsidRPr="0036716A" w:rsidRDefault="00877B1A" w:rsidP="004A5D83">
            <w:pPr>
              <w:keepNext w:val="0"/>
              <w:shd w:val="clear" w:color="auto" w:fill="DEEAF6" w:themeFill="accent5" w:themeFillTint="33"/>
              <w:spacing w:before="0"/>
              <w:ind w:left="720"/>
              <w:rPr>
                <w:rFonts w:cs="Arial"/>
                <w:bCs/>
                <w:szCs w:val="24"/>
              </w:rPr>
            </w:pPr>
          </w:p>
          <w:p w14:paraId="36064DA1" w14:textId="5CF8FC90" w:rsidR="008A6027" w:rsidRPr="002B4FE0" w:rsidRDefault="00877B1A" w:rsidP="00874A98">
            <w:pPr>
              <w:keepNext w:val="0"/>
              <w:numPr>
                <w:ilvl w:val="0"/>
                <w:numId w:val="121"/>
              </w:numPr>
              <w:shd w:val="clear" w:color="auto" w:fill="DEEAF6" w:themeFill="accent5" w:themeFillTint="33"/>
              <w:spacing w:before="0"/>
              <w:contextualSpacing/>
              <w:rPr>
                <w:rFonts w:cs="Arial"/>
                <w:bCs/>
                <w:color w:val="auto"/>
                <w:szCs w:val="24"/>
              </w:rPr>
            </w:pPr>
            <w:r w:rsidRPr="0036716A">
              <w:rPr>
                <w:rFonts w:cs="Arial"/>
                <w:bCs/>
                <w:szCs w:val="24"/>
              </w:rPr>
              <w:t>It incorporates Sustainable Drainage Systems (</w:t>
            </w:r>
            <w:proofErr w:type="spellStart"/>
            <w:r w:rsidRPr="0036716A">
              <w:rPr>
                <w:rFonts w:cs="Arial"/>
                <w:bCs/>
                <w:szCs w:val="24"/>
              </w:rPr>
              <w:t>SuDS</w:t>
            </w:r>
            <w:proofErr w:type="spellEnd"/>
            <w:r w:rsidRPr="0036716A">
              <w:rPr>
                <w:rFonts w:cs="Arial"/>
                <w:bCs/>
                <w:szCs w:val="24"/>
              </w:rPr>
              <w:t xml:space="preserve">) to manage surface water drainage, in accordance with national </w:t>
            </w:r>
            <w:r w:rsidR="004307D1" w:rsidRPr="0036716A">
              <w:rPr>
                <w:rFonts w:cs="Arial"/>
                <w:bCs/>
                <w:szCs w:val="24"/>
              </w:rPr>
              <w:t xml:space="preserve">standards, </w:t>
            </w:r>
            <w:r w:rsidRPr="0036716A">
              <w:rPr>
                <w:rFonts w:cs="Arial"/>
                <w:bCs/>
                <w:szCs w:val="24"/>
              </w:rPr>
              <w:t xml:space="preserve">any local </w:t>
            </w:r>
            <w:proofErr w:type="spellStart"/>
            <w:r w:rsidRPr="0036716A">
              <w:rPr>
                <w:rFonts w:cs="Arial"/>
                <w:bCs/>
                <w:szCs w:val="24"/>
              </w:rPr>
              <w:t>SuDS</w:t>
            </w:r>
            <w:proofErr w:type="spellEnd"/>
            <w:r w:rsidRPr="0036716A">
              <w:rPr>
                <w:rFonts w:cs="Arial"/>
                <w:bCs/>
                <w:szCs w:val="24"/>
              </w:rPr>
              <w:t xml:space="preserve"> standards, </w:t>
            </w:r>
            <w:r w:rsidR="004307D1" w:rsidRPr="0036716A">
              <w:rPr>
                <w:rFonts w:cs="Arial"/>
                <w:bCs/>
                <w:szCs w:val="24"/>
              </w:rPr>
              <w:t xml:space="preserve">and follows the guidance and principles contained within </w:t>
            </w:r>
            <w:proofErr w:type="gramStart"/>
            <w:r w:rsidR="003B77B6">
              <w:rPr>
                <w:rFonts w:cs="Arial"/>
                <w:bCs/>
                <w:szCs w:val="24"/>
              </w:rPr>
              <w:t>T</w:t>
            </w:r>
            <w:r w:rsidR="003B77B6" w:rsidRPr="0036716A">
              <w:rPr>
                <w:rFonts w:cs="Arial"/>
                <w:bCs/>
                <w:szCs w:val="24"/>
              </w:rPr>
              <w:t>he</w:t>
            </w:r>
            <w:proofErr w:type="gramEnd"/>
            <w:r w:rsidR="004307D1" w:rsidRPr="0036716A">
              <w:rPr>
                <w:rFonts w:cs="Arial"/>
                <w:bCs/>
                <w:szCs w:val="24"/>
              </w:rPr>
              <w:t xml:space="preserve"> (</w:t>
            </w:r>
            <w:proofErr w:type="spellStart"/>
            <w:r w:rsidR="004307D1" w:rsidRPr="0036716A">
              <w:rPr>
                <w:rFonts w:cs="Arial"/>
                <w:bCs/>
                <w:szCs w:val="24"/>
              </w:rPr>
              <w:t>ciria</w:t>
            </w:r>
            <w:proofErr w:type="spellEnd"/>
            <w:r w:rsidR="004307D1" w:rsidRPr="0036716A">
              <w:rPr>
                <w:rFonts w:cs="Arial"/>
                <w:bCs/>
                <w:szCs w:val="24"/>
              </w:rPr>
              <w:t xml:space="preserve">) </w:t>
            </w:r>
            <w:proofErr w:type="spellStart"/>
            <w:r w:rsidR="004307D1" w:rsidRPr="0036716A">
              <w:rPr>
                <w:rFonts w:cs="Arial"/>
                <w:bCs/>
                <w:szCs w:val="24"/>
              </w:rPr>
              <w:t>SuDS</w:t>
            </w:r>
            <w:proofErr w:type="spellEnd"/>
            <w:r w:rsidR="004307D1" w:rsidRPr="0036716A">
              <w:rPr>
                <w:rFonts w:cs="Arial"/>
                <w:bCs/>
                <w:szCs w:val="24"/>
              </w:rPr>
              <w:t xml:space="preserve"> Manual </w:t>
            </w:r>
            <w:r w:rsidRPr="0036716A">
              <w:rPr>
                <w:rFonts w:cs="Arial"/>
                <w:bCs/>
                <w:szCs w:val="24"/>
              </w:rPr>
              <w:t xml:space="preserve">unless it is proven that </w:t>
            </w:r>
            <w:proofErr w:type="spellStart"/>
            <w:r w:rsidRPr="0036716A">
              <w:rPr>
                <w:rFonts w:cs="Arial"/>
                <w:bCs/>
                <w:szCs w:val="24"/>
              </w:rPr>
              <w:t>SuDS</w:t>
            </w:r>
            <w:proofErr w:type="spellEnd"/>
            <w:r w:rsidRPr="0036716A">
              <w:rPr>
                <w:rFonts w:cs="Arial"/>
                <w:bCs/>
                <w:szCs w:val="24"/>
              </w:rPr>
              <w:t xml:space="preserve"> are not appropriate in a specific </w:t>
            </w:r>
            <w:r w:rsidRPr="004A5D83">
              <w:rPr>
                <w:rFonts w:cs="Arial"/>
                <w:bCs/>
                <w:color w:val="auto"/>
                <w:szCs w:val="24"/>
              </w:rPr>
              <w:t>location</w:t>
            </w:r>
            <w:r w:rsidR="006C32FE">
              <w:rPr>
                <w:rFonts w:cs="Arial"/>
                <w:bCs/>
                <w:color w:val="auto"/>
                <w:szCs w:val="24"/>
              </w:rPr>
              <w:t>;</w:t>
            </w:r>
            <w:r w:rsidRPr="004A5D83">
              <w:rPr>
                <w:rFonts w:cs="Arial"/>
                <w:bCs/>
                <w:color w:val="auto"/>
                <w:szCs w:val="24"/>
              </w:rPr>
              <w:t xml:space="preserve">  </w:t>
            </w:r>
          </w:p>
          <w:p w14:paraId="16AAE254" w14:textId="77777777" w:rsidR="00856135" w:rsidRPr="002B4FE0" w:rsidRDefault="00856135" w:rsidP="00856135">
            <w:pPr>
              <w:keepNext w:val="0"/>
              <w:shd w:val="clear" w:color="auto" w:fill="DEEAF6" w:themeFill="accent5" w:themeFillTint="33"/>
              <w:spacing w:before="0"/>
              <w:ind w:left="720"/>
              <w:contextualSpacing/>
              <w:rPr>
                <w:rFonts w:cs="Arial"/>
                <w:bCs/>
                <w:color w:val="auto"/>
                <w:szCs w:val="24"/>
              </w:rPr>
            </w:pPr>
          </w:p>
          <w:p w14:paraId="2A7EB52F" w14:textId="5EC7D320" w:rsidR="002B4FE0" w:rsidRPr="002B4FE0" w:rsidRDefault="00877B1A" w:rsidP="00874A98">
            <w:pPr>
              <w:pStyle w:val="ListParagraph"/>
              <w:numPr>
                <w:ilvl w:val="0"/>
                <w:numId w:val="121"/>
              </w:numPr>
              <w:shd w:val="clear" w:color="auto" w:fill="DEEAF6" w:themeFill="accent5" w:themeFillTint="33"/>
              <w:rPr>
                <w:rFonts w:ascii="Arial" w:hAnsi="Arial" w:cs="Arial"/>
                <w:bCs/>
                <w:color w:val="auto"/>
              </w:rPr>
            </w:pPr>
            <w:r w:rsidRPr="002B4FE0">
              <w:rPr>
                <w:rFonts w:ascii="Arial" w:hAnsi="Arial" w:cs="Arial"/>
                <w:bCs/>
                <w:color w:val="auto"/>
                <w:szCs w:val="24"/>
              </w:rPr>
              <w:t>I</w:t>
            </w:r>
            <w:r w:rsidRPr="002B4FE0">
              <w:rPr>
                <w:rFonts w:ascii="Arial" w:hAnsi="Arial" w:cs="Arial"/>
                <w:bCs/>
                <w:color w:val="auto"/>
              </w:rPr>
              <w:t xml:space="preserve">t is satisfactorily demonstrated how the </w:t>
            </w:r>
            <w:r w:rsidR="00CA1F11" w:rsidRPr="002B4FE0">
              <w:rPr>
                <w:rFonts w:ascii="Arial" w:hAnsi="Arial" w:cs="Arial"/>
                <w:bCs/>
                <w:color w:val="auto"/>
              </w:rPr>
              <w:t>long-term</w:t>
            </w:r>
            <w:r w:rsidRPr="002B4FE0">
              <w:rPr>
                <w:rFonts w:ascii="Arial" w:hAnsi="Arial" w:cs="Arial"/>
                <w:bCs/>
                <w:color w:val="auto"/>
              </w:rPr>
              <w:t xml:space="preserve"> maintenance of the </w:t>
            </w:r>
            <w:proofErr w:type="spellStart"/>
            <w:r w:rsidRPr="002B4FE0">
              <w:rPr>
                <w:rFonts w:ascii="Arial" w:hAnsi="Arial" w:cs="Arial"/>
                <w:bCs/>
                <w:color w:val="auto"/>
              </w:rPr>
              <w:t>SuDS</w:t>
            </w:r>
            <w:proofErr w:type="spellEnd"/>
            <w:r w:rsidRPr="002B4FE0">
              <w:rPr>
                <w:rFonts w:ascii="Arial" w:hAnsi="Arial" w:cs="Arial"/>
                <w:bCs/>
                <w:color w:val="auto"/>
              </w:rPr>
              <w:t xml:space="preserve"> scheme will be secured</w:t>
            </w:r>
            <w:r w:rsidR="006C32FE" w:rsidRPr="002B4FE0">
              <w:rPr>
                <w:rFonts w:ascii="Arial" w:hAnsi="Arial" w:cs="Arial"/>
                <w:bCs/>
                <w:color w:val="auto"/>
              </w:rPr>
              <w:t>; and</w:t>
            </w:r>
          </w:p>
          <w:p w14:paraId="05DC3035" w14:textId="77777777" w:rsidR="002B4FE0" w:rsidRPr="002B4FE0" w:rsidRDefault="002B4FE0" w:rsidP="002B4FE0">
            <w:pPr>
              <w:pStyle w:val="ListParagraph"/>
              <w:rPr>
                <w:rFonts w:ascii="Arial" w:hAnsi="Arial" w:cs="Arial"/>
                <w:bCs/>
                <w:color w:val="auto"/>
              </w:rPr>
            </w:pPr>
          </w:p>
          <w:p w14:paraId="254EB982" w14:textId="24A6B51C" w:rsidR="00877B1A" w:rsidRPr="002B4FE0" w:rsidRDefault="00877B1A" w:rsidP="00874A98">
            <w:pPr>
              <w:pStyle w:val="ListParagraph"/>
              <w:numPr>
                <w:ilvl w:val="0"/>
                <w:numId w:val="121"/>
              </w:numPr>
              <w:shd w:val="clear" w:color="auto" w:fill="DEEAF6" w:themeFill="accent5" w:themeFillTint="33"/>
              <w:rPr>
                <w:rFonts w:ascii="Arial" w:hAnsi="Arial" w:cs="Arial"/>
                <w:bCs/>
                <w:color w:val="auto"/>
                <w:szCs w:val="24"/>
              </w:rPr>
            </w:pPr>
            <w:r w:rsidRPr="002B4FE0">
              <w:rPr>
                <w:rFonts w:ascii="Arial" w:hAnsi="Arial" w:cs="Arial"/>
                <w:bCs/>
                <w:color w:val="auto"/>
              </w:rPr>
              <w:t xml:space="preserve">Where technical appropriate and viable, hard engineering solutions </w:t>
            </w:r>
            <w:proofErr w:type="gramStart"/>
            <w:r w:rsidRPr="002B4FE0">
              <w:rPr>
                <w:rFonts w:ascii="Arial" w:hAnsi="Arial" w:cs="Arial"/>
                <w:bCs/>
                <w:color w:val="auto"/>
              </w:rPr>
              <w:t>are  avoided</w:t>
            </w:r>
            <w:proofErr w:type="gramEnd"/>
            <w:r w:rsidRPr="002B4FE0">
              <w:rPr>
                <w:rFonts w:ascii="Arial" w:hAnsi="Arial" w:cs="Arial"/>
                <w:bCs/>
                <w:color w:val="auto"/>
              </w:rPr>
              <w:t xml:space="preserve"> with </w:t>
            </w:r>
            <w:proofErr w:type="spellStart"/>
            <w:r w:rsidRPr="002B4FE0">
              <w:rPr>
                <w:rFonts w:ascii="Arial" w:hAnsi="Arial" w:cs="Arial"/>
                <w:bCs/>
                <w:color w:val="auto"/>
              </w:rPr>
              <w:t>SuDS</w:t>
            </w:r>
            <w:proofErr w:type="spellEnd"/>
            <w:r w:rsidRPr="002B4FE0">
              <w:rPr>
                <w:rFonts w:ascii="Arial" w:hAnsi="Arial" w:cs="Arial"/>
                <w:bCs/>
                <w:color w:val="auto"/>
              </w:rPr>
              <w:t xml:space="preserve"> being incorporated into the green/blue infrastructure network.</w:t>
            </w:r>
          </w:p>
          <w:p w14:paraId="31077469" w14:textId="77777777" w:rsidR="00877B1A" w:rsidRPr="000339D2" w:rsidRDefault="00877B1A" w:rsidP="00874A98">
            <w:pPr>
              <w:keepNext w:val="0"/>
              <w:numPr>
                <w:ilvl w:val="0"/>
                <w:numId w:val="108"/>
              </w:numPr>
              <w:tabs>
                <w:tab w:val="left" w:pos="680"/>
                <w:tab w:val="left" w:pos="1133"/>
                <w:tab w:val="left" w:pos="2267"/>
              </w:tabs>
              <w:spacing w:before="0"/>
              <w:ind w:right="284"/>
              <w:rPr>
                <w:rFonts w:eastAsia="Arial" w:cs="Arial"/>
                <w:bCs/>
                <w:color w:val="auto"/>
                <w:szCs w:val="24"/>
              </w:rPr>
            </w:pPr>
            <w:r w:rsidRPr="000339D2">
              <w:rPr>
                <w:rFonts w:eastAsia="Arial" w:cs="Arial"/>
                <w:bCs/>
                <w:color w:val="auto"/>
                <w:szCs w:val="24"/>
              </w:rPr>
              <w:t>The Council will take opportunities to remove problems from the drainage network and increase the capacity of the floodplain, wherever this can be achieved safely, in connection with new development.</w:t>
            </w:r>
          </w:p>
          <w:p w14:paraId="64355906" w14:textId="36AC61CE" w:rsidR="008424C7" w:rsidRPr="000339D2" w:rsidRDefault="008424C7" w:rsidP="004575AD">
            <w:pPr>
              <w:keepNext w:val="0"/>
              <w:tabs>
                <w:tab w:val="left" w:pos="680"/>
                <w:tab w:val="left" w:pos="1133"/>
                <w:tab w:val="left" w:pos="2267"/>
              </w:tabs>
              <w:spacing w:before="0"/>
              <w:ind w:right="284"/>
              <w:rPr>
                <w:rFonts w:eastAsia="Arial" w:cs="Arial"/>
                <w:bCs/>
                <w:color w:val="auto"/>
                <w:spacing w:val="-1"/>
                <w:szCs w:val="24"/>
              </w:rPr>
            </w:pPr>
          </w:p>
        </w:tc>
      </w:tr>
      <w:tr w:rsidR="00877B1A" w:rsidRPr="003C7E62" w14:paraId="6E193C3F" w14:textId="77777777" w:rsidTr="005334C0">
        <w:tc>
          <w:tcPr>
            <w:tcW w:w="1838" w:type="dxa"/>
          </w:tcPr>
          <w:p w14:paraId="7645D762" w14:textId="77777777" w:rsidR="00877B1A" w:rsidRPr="003C7E62" w:rsidRDefault="00877B1A" w:rsidP="000032A9">
            <w:pPr>
              <w:keepNext w:val="0"/>
              <w:spacing w:before="0"/>
              <w:rPr>
                <w:rFonts w:cs="Arial"/>
                <w:color w:val="auto"/>
                <w:sz w:val="22"/>
                <w:szCs w:val="22"/>
              </w:rPr>
            </w:pPr>
            <w:r w:rsidRPr="003C7E62">
              <w:rPr>
                <w:rFonts w:eastAsia="Arial" w:cs="Arial"/>
                <w:bCs/>
                <w:color w:val="auto"/>
                <w:sz w:val="22"/>
                <w:szCs w:val="22"/>
                <w:lang w:eastAsia="en-US"/>
              </w:rPr>
              <w:lastRenderedPageBreak/>
              <w:t>Evidence base</w:t>
            </w:r>
          </w:p>
        </w:tc>
        <w:tc>
          <w:tcPr>
            <w:tcW w:w="7796" w:type="dxa"/>
            <w:gridSpan w:val="2"/>
          </w:tcPr>
          <w:p w14:paraId="7064C6E8" w14:textId="3E1B7E0D" w:rsidR="00877B1A" w:rsidRPr="0036716A" w:rsidRDefault="00877B1A" w:rsidP="000032A9">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szCs w:val="22"/>
                <w:lang w:eastAsia="en-US"/>
              </w:rPr>
            </w:pPr>
            <w:r w:rsidRPr="0036716A">
              <w:rPr>
                <w:rFonts w:eastAsia="Arial" w:cs="Arial"/>
                <w:bCs/>
                <w:sz w:val="20"/>
                <w:szCs w:val="22"/>
                <w:lang w:eastAsia="en-US"/>
              </w:rPr>
              <w:t xml:space="preserve">Sustainability Appraisal, </w:t>
            </w:r>
            <w:r w:rsidR="00A86E75" w:rsidRPr="0036716A">
              <w:rPr>
                <w:rFonts w:eastAsia="Arial" w:cs="Arial"/>
                <w:bCs/>
                <w:sz w:val="20"/>
                <w:szCs w:val="22"/>
                <w:lang w:eastAsia="en-US"/>
              </w:rPr>
              <w:t>2023 WSP UK Limited</w:t>
            </w:r>
            <w:r w:rsidRPr="0036716A">
              <w:rPr>
                <w:rFonts w:eastAsia="Arial" w:cs="Arial"/>
                <w:bCs/>
                <w:sz w:val="20"/>
                <w:szCs w:val="22"/>
                <w:lang w:eastAsia="en-US"/>
              </w:rPr>
              <w:t xml:space="preserve">. </w:t>
            </w:r>
          </w:p>
          <w:p w14:paraId="652F994E" w14:textId="40AD4C63" w:rsidR="00877B1A" w:rsidRPr="0036716A" w:rsidRDefault="00877B1A" w:rsidP="000032A9">
            <w:pPr>
              <w:keepNext w:val="0"/>
              <w:numPr>
                <w:ilvl w:val="0"/>
                <w:numId w:val="13"/>
              </w:numPr>
              <w:tabs>
                <w:tab w:val="left" w:pos="680"/>
                <w:tab w:val="left" w:pos="1133"/>
                <w:tab w:val="left" w:pos="2267"/>
              </w:tabs>
              <w:spacing w:before="0" w:after="160" w:line="252" w:lineRule="auto"/>
              <w:ind w:right="284"/>
              <w:contextualSpacing/>
              <w:rPr>
                <w:rFonts w:eastAsia="Arial" w:cs="Arial"/>
                <w:bCs/>
                <w:sz w:val="20"/>
                <w:szCs w:val="22"/>
                <w:lang w:eastAsia="en-US"/>
              </w:rPr>
            </w:pPr>
            <w:r w:rsidRPr="0036716A">
              <w:rPr>
                <w:rFonts w:eastAsia="Arial" w:cs="Arial"/>
                <w:bCs/>
                <w:sz w:val="20"/>
              </w:rPr>
              <w:t>Strategic Flood Risk Assessment Level 1, 20</w:t>
            </w:r>
            <w:r w:rsidR="000E778B">
              <w:rPr>
                <w:rFonts w:eastAsia="Arial" w:cs="Arial"/>
                <w:bCs/>
                <w:sz w:val="20"/>
              </w:rPr>
              <w:t>23</w:t>
            </w:r>
            <w:r w:rsidRPr="0036716A">
              <w:rPr>
                <w:rFonts w:eastAsia="Arial" w:cs="Arial"/>
                <w:bCs/>
                <w:sz w:val="20"/>
              </w:rPr>
              <w:t xml:space="preserve">.  Ashfield District Council. </w:t>
            </w:r>
          </w:p>
        </w:tc>
      </w:tr>
      <w:tr w:rsidR="00877B1A" w:rsidRPr="003C7E62" w14:paraId="30F3A4F7" w14:textId="77777777" w:rsidTr="005334C0">
        <w:tc>
          <w:tcPr>
            <w:tcW w:w="1838" w:type="dxa"/>
          </w:tcPr>
          <w:p w14:paraId="592920D7" w14:textId="77777777" w:rsidR="00877B1A" w:rsidRPr="003C7E62" w:rsidRDefault="00877B1A" w:rsidP="000032A9">
            <w:pPr>
              <w:keepNext w:val="0"/>
              <w:spacing w:before="0"/>
              <w:rPr>
                <w:rFonts w:cs="Arial"/>
                <w:color w:val="auto"/>
                <w:sz w:val="22"/>
                <w:szCs w:val="22"/>
              </w:rPr>
            </w:pPr>
            <w:r w:rsidRPr="003C7E62">
              <w:rPr>
                <w:rFonts w:eastAsia="Arial" w:cs="Arial"/>
                <w:bCs/>
                <w:color w:val="auto"/>
                <w:sz w:val="22"/>
                <w:szCs w:val="22"/>
                <w:lang w:eastAsia="en-US"/>
              </w:rPr>
              <w:t>National Planning Policy and Guidance</w:t>
            </w:r>
          </w:p>
        </w:tc>
        <w:tc>
          <w:tcPr>
            <w:tcW w:w="7796" w:type="dxa"/>
            <w:gridSpan w:val="2"/>
          </w:tcPr>
          <w:p w14:paraId="19DDBDF0" w14:textId="24A6A64B" w:rsidR="00877B1A" w:rsidRPr="0036716A" w:rsidRDefault="00877B1A" w:rsidP="00874A98">
            <w:pPr>
              <w:keepNext w:val="0"/>
              <w:numPr>
                <w:ilvl w:val="0"/>
                <w:numId w:val="119"/>
              </w:numPr>
              <w:tabs>
                <w:tab w:val="left" w:pos="680"/>
                <w:tab w:val="left" w:pos="1133"/>
                <w:tab w:val="left" w:pos="2267"/>
              </w:tabs>
              <w:spacing w:before="0" w:after="160" w:line="252" w:lineRule="auto"/>
              <w:ind w:right="284"/>
              <w:contextualSpacing/>
              <w:rPr>
                <w:rFonts w:eastAsia="Arial" w:cs="Arial"/>
                <w:bCs/>
                <w:sz w:val="20"/>
                <w:lang w:eastAsia="en-US"/>
              </w:rPr>
            </w:pPr>
            <w:r w:rsidRPr="0036716A">
              <w:rPr>
                <w:rFonts w:eastAsia="Arial" w:cs="Arial"/>
                <w:bCs/>
                <w:sz w:val="20"/>
                <w:lang w:eastAsia="en-US"/>
              </w:rPr>
              <w:t>NPPF 20</w:t>
            </w:r>
            <w:r w:rsidR="00581522" w:rsidRPr="0036716A">
              <w:rPr>
                <w:rFonts w:eastAsia="Arial" w:cs="Arial"/>
                <w:bCs/>
                <w:sz w:val="20"/>
                <w:lang w:eastAsia="en-US"/>
              </w:rPr>
              <w:t>2</w:t>
            </w:r>
            <w:r w:rsidR="004173E0" w:rsidRPr="0036716A">
              <w:rPr>
                <w:rFonts w:eastAsia="Arial" w:cs="Arial"/>
                <w:bCs/>
                <w:sz w:val="20"/>
                <w:lang w:eastAsia="en-US"/>
              </w:rPr>
              <w:t>3</w:t>
            </w:r>
            <w:r w:rsidRPr="0036716A">
              <w:rPr>
                <w:rFonts w:eastAsia="Arial" w:cs="Arial"/>
                <w:bCs/>
                <w:sz w:val="20"/>
                <w:lang w:eastAsia="en-US"/>
              </w:rPr>
              <w:t>, Part 2: Achieving sustainable development.</w:t>
            </w:r>
          </w:p>
          <w:p w14:paraId="6ACC4DE4" w14:textId="2B56C011" w:rsidR="00877B1A" w:rsidRPr="0036716A" w:rsidRDefault="00877B1A" w:rsidP="00874A98">
            <w:pPr>
              <w:keepNext w:val="0"/>
              <w:numPr>
                <w:ilvl w:val="0"/>
                <w:numId w:val="119"/>
              </w:numPr>
              <w:spacing w:before="0" w:after="160" w:line="252" w:lineRule="auto"/>
              <w:contextualSpacing/>
              <w:rPr>
                <w:rFonts w:eastAsia="Arial" w:cs="Arial"/>
                <w:bCs/>
                <w:sz w:val="20"/>
              </w:rPr>
            </w:pPr>
            <w:r w:rsidRPr="0036716A">
              <w:rPr>
                <w:rFonts w:eastAsia="Arial" w:cs="Arial"/>
                <w:bCs/>
                <w:sz w:val="20"/>
              </w:rPr>
              <w:t>NPPF 20</w:t>
            </w:r>
            <w:r w:rsidR="00581522" w:rsidRPr="0036716A">
              <w:rPr>
                <w:rFonts w:eastAsia="Arial" w:cs="Arial"/>
                <w:bCs/>
                <w:sz w:val="20"/>
              </w:rPr>
              <w:t>2</w:t>
            </w:r>
            <w:r w:rsidR="004173E0" w:rsidRPr="0036716A">
              <w:rPr>
                <w:rFonts w:eastAsia="Arial" w:cs="Arial"/>
                <w:bCs/>
                <w:sz w:val="20"/>
              </w:rPr>
              <w:t>3</w:t>
            </w:r>
            <w:r w:rsidRPr="0036716A">
              <w:rPr>
                <w:rFonts w:eastAsia="Arial" w:cs="Arial"/>
                <w:bCs/>
                <w:sz w:val="20"/>
              </w:rPr>
              <w:t>,</w:t>
            </w:r>
            <w:r w:rsidRPr="0036716A">
              <w:rPr>
                <w:rFonts w:eastAsia="Calibri" w:cs="Arial"/>
                <w:szCs w:val="22"/>
                <w:lang w:eastAsia="en-US"/>
              </w:rPr>
              <w:t xml:space="preserve"> </w:t>
            </w:r>
            <w:r w:rsidRPr="0036716A">
              <w:rPr>
                <w:rFonts w:eastAsia="Arial" w:cs="Arial"/>
                <w:bCs/>
                <w:sz w:val="20"/>
              </w:rPr>
              <w:t>Part 14: Meeting the challenge of climate change, flooding and coastal change.</w:t>
            </w:r>
          </w:p>
          <w:p w14:paraId="3AD51C63" w14:textId="0BC8B794" w:rsidR="00877B1A" w:rsidRPr="0036716A" w:rsidRDefault="00877B1A" w:rsidP="00874A98">
            <w:pPr>
              <w:keepNext w:val="0"/>
              <w:numPr>
                <w:ilvl w:val="0"/>
                <w:numId w:val="119"/>
              </w:numPr>
              <w:spacing w:before="0" w:after="160" w:line="252" w:lineRule="auto"/>
              <w:contextualSpacing/>
              <w:rPr>
                <w:rFonts w:eastAsia="Arial" w:cs="Arial"/>
                <w:bCs/>
                <w:sz w:val="20"/>
              </w:rPr>
            </w:pPr>
            <w:r w:rsidRPr="0036716A">
              <w:rPr>
                <w:rFonts w:eastAsia="Arial" w:cs="Arial"/>
                <w:bCs/>
                <w:sz w:val="20"/>
              </w:rPr>
              <w:t>NPPF 20</w:t>
            </w:r>
            <w:r w:rsidR="00581522" w:rsidRPr="0036716A">
              <w:rPr>
                <w:rFonts w:eastAsia="Arial" w:cs="Arial"/>
                <w:bCs/>
                <w:sz w:val="20"/>
              </w:rPr>
              <w:t>2</w:t>
            </w:r>
            <w:r w:rsidR="004173E0" w:rsidRPr="0036716A">
              <w:rPr>
                <w:rFonts w:eastAsia="Arial" w:cs="Arial"/>
                <w:bCs/>
                <w:sz w:val="20"/>
              </w:rPr>
              <w:t>3</w:t>
            </w:r>
            <w:r w:rsidR="00581522" w:rsidRPr="0036716A">
              <w:rPr>
                <w:rFonts w:eastAsia="Arial" w:cs="Arial"/>
                <w:bCs/>
                <w:sz w:val="20"/>
              </w:rPr>
              <w:t>,</w:t>
            </w:r>
            <w:r w:rsidRPr="0036716A">
              <w:rPr>
                <w:rFonts w:eastAsia="Arial" w:cs="Arial"/>
                <w:bCs/>
                <w:sz w:val="20"/>
              </w:rPr>
              <w:t xml:space="preserve"> Part 15: Conserving and enhancing the natural environment.</w:t>
            </w:r>
          </w:p>
          <w:p w14:paraId="1CAEE5D9" w14:textId="416B7429" w:rsidR="00877B1A" w:rsidRPr="0036716A" w:rsidRDefault="00877B1A" w:rsidP="00874A98">
            <w:pPr>
              <w:keepNext w:val="0"/>
              <w:numPr>
                <w:ilvl w:val="0"/>
                <w:numId w:val="119"/>
              </w:numPr>
              <w:spacing w:before="0" w:after="160" w:line="252" w:lineRule="auto"/>
              <w:contextualSpacing/>
              <w:rPr>
                <w:rFonts w:eastAsia="Arial" w:cs="Arial"/>
                <w:bCs/>
                <w:sz w:val="20"/>
              </w:rPr>
            </w:pPr>
            <w:r w:rsidRPr="0036716A">
              <w:rPr>
                <w:rFonts w:eastAsia="Arial" w:cs="Arial"/>
                <w:bCs/>
                <w:sz w:val="20"/>
              </w:rPr>
              <w:t xml:space="preserve">Planning Practice Guidance: Flood risk and coastal change as </w:t>
            </w:r>
            <w:r w:rsidR="009D1815" w:rsidRPr="0036716A">
              <w:rPr>
                <w:rFonts w:eastAsia="Arial" w:cs="Arial"/>
                <w:bCs/>
                <w:sz w:val="20"/>
              </w:rPr>
              <w:t>of</w:t>
            </w:r>
            <w:r w:rsidRPr="0036716A">
              <w:rPr>
                <w:rFonts w:eastAsia="Arial" w:cs="Arial"/>
                <w:bCs/>
                <w:sz w:val="20"/>
              </w:rPr>
              <w:t xml:space="preserve"> August 202</w:t>
            </w:r>
            <w:r w:rsidR="00B80DEC" w:rsidRPr="0036716A">
              <w:rPr>
                <w:rFonts w:eastAsia="Arial" w:cs="Arial"/>
                <w:bCs/>
                <w:sz w:val="20"/>
              </w:rPr>
              <w:t>2</w:t>
            </w:r>
            <w:r w:rsidRPr="0036716A">
              <w:rPr>
                <w:rFonts w:eastAsia="Arial" w:cs="Arial"/>
                <w:bCs/>
                <w:sz w:val="20"/>
              </w:rPr>
              <w:t>.</w:t>
            </w:r>
          </w:p>
          <w:p w14:paraId="7CB46E2D" w14:textId="4DCF1C9F" w:rsidR="00877B1A" w:rsidRPr="0036716A" w:rsidRDefault="00877B1A" w:rsidP="00874A98">
            <w:pPr>
              <w:keepNext w:val="0"/>
              <w:numPr>
                <w:ilvl w:val="0"/>
                <w:numId w:val="119"/>
              </w:numPr>
              <w:spacing w:before="0" w:after="160" w:line="252" w:lineRule="auto"/>
              <w:contextualSpacing/>
              <w:rPr>
                <w:rFonts w:eastAsia="Arial" w:cs="Arial"/>
                <w:bCs/>
                <w:sz w:val="20"/>
              </w:rPr>
            </w:pPr>
            <w:r w:rsidRPr="0036716A">
              <w:rPr>
                <w:rFonts w:eastAsia="Arial" w:cs="Arial"/>
                <w:bCs/>
                <w:sz w:val="20"/>
              </w:rPr>
              <w:t xml:space="preserve">Planning Practice Guidance: Natural environment as </w:t>
            </w:r>
            <w:r w:rsidR="009D1815" w:rsidRPr="0036716A">
              <w:rPr>
                <w:rFonts w:eastAsia="Arial" w:cs="Arial"/>
                <w:bCs/>
                <w:sz w:val="20"/>
              </w:rPr>
              <w:t>of</w:t>
            </w:r>
            <w:r w:rsidRPr="0036716A">
              <w:rPr>
                <w:rFonts w:eastAsia="Arial" w:cs="Arial"/>
                <w:bCs/>
                <w:sz w:val="20"/>
              </w:rPr>
              <w:t xml:space="preserve"> </w:t>
            </w:r>
            <w:r w:rsidR="00B80DEC" w:rsidRPr="0036716A">
              <w:rPr>
                <w:rFonts w:eastAsia="Arial" w:cs="Arial"/>
                <w:bCs/>
                <w:sz w:val="20"/>
              </w:rPr>
              <w:t>July 2019</w:t>
            </w:r>
            <w:r w:rsidRPr="0036716A">
              <w:rPr>
                <w:rFonts w:eastAsia="Arial" w:cs="Arial"/>
                <w:bCs/>
                <w:sz w:val="20"/>
              </w:rPr>
              <w:t>.</w:t>
            </w:r>
          </w:p>
        </w:tc>
      </w:tr>
    </w:tbl>
    <w:p w14:paraId="2C42001E" w14:textId="1C09A280" w:rsidR="00877B1A" w:rsidRPr="0036716A" w:rsidRDefault="00DE2722" w:rsidP="00DE2722">
      <w:pPr>
        <w:keepNext w:val="0"/>
        <w:numPr>
          <w:ilvl w:val="1"/>
          <w:numId w:val="3"/>
        </w:numPr>
        <w:tabs>
          <w:tab w:val="clear" w:pos="525"/>
        </w:tabs>
        <w:autoSpaceDE w:val="0"/>
        <w:autoSpaceDN w:val="0"/>
        <w:adjustRightInd w:val="0"/>
        <w:spacing w:before="0"/>
        <w:ind w:left="709" w:hanging="709"/>
        <w:rPr>
          <w:rFonts w:eastAsia="Arial" w:cs="Arial"/>
          <w:spacing w:val="-1"/>
          <w:szCs w:val="24"/>
        </w:rPr>
      </w:pPr>
      <w:r w:rsidRPr="003C7E62">
        <w:rPr>
          <w:rFonts w:cs="Arial"/>
          <w:color w:val="auto"/>
        </w:rPr>
        <w:t xml:space="preserve">The Council will work in partnership with the appropriate agencies (the Environment Agency, Nottinghamshire County Council as Lead Local Flood Authority, Severn Trent Water and the Canal and River Trust), developers and landowners to </w:t>
      </w:r>
      <w:r w:rsidR="007078B2" w:rsidRPr="0036716A">
        <w:rPr>
          <w:rFonts w:cs="Arial"/>
        </w:rPr>
        <w:t xml:space="preserve">reduce </w:t>
      </w:r>
      <w:r w:rsidRPr="0036716A">
        <w:rPr>
          <w:rFonts w:cs="Arial"/>
        </w:rPr>
        <w:t>the risk from flooding</w:t>
      </w:r>
      <w:r w:rsidR="007078B2" w:rsidRPr="0036716A">
        <w:t xml:space="preserve"> </w:t>
      </w:r>
      <w:r w:rsidR="007078B2" w:rsidRPr="0036716A">
        <w:rPr>
          <w:rFonts w:cs="Arial"/>
        </w:rPr>
        <w:t>and ensure developments are neither at risk of flooding nor do they increase the risk of flooding to the surrounding area</w:t>
      </w:r>
      <w:r w:rsidR="0036716A">
        <w:rPr>
          <w:rFonts w:cs="Arial"/>
        </w:rPr>
        <w:t>.</w:t>
      </w:r>
    </w:p>
    <w:p w14:paraId="7D3E3D7E" w14:textId="77777777" w:rsidR="00877B1A" w:rsidRPr="0036716A" w:rsidRDefault="00877B1A" w:rsidP="00877B1A">
      <w:pPr>
        <w:keepNext w:val="0"/>
        <w:autoSpaceDE w:val="0"/>
        <w:autoSpaceDN w:val="0"/>
        <w:adjustRightInd w:val="0"/>
        <w:spacing w:before="0"/>
        <w:ind w:left="709"/>
        <w:rPr>
          <w:rFonts w:eastAsia="Arial" w:cs="Arial"/>
          <w:spacing w:val="-1"/>
          <w:szCs w:val="24"/>
        </w:rPr>
      </w:pPr>
    </w:p>
    <w:p w14:paraId="18152E97" w14:textId="3715518D" w:rsidR="00877B1A" w:rsidRPr="0036716A" w:rsidRDefault="00877B1A" w:rsidP="00877B1A">
      <w:pPr>
        <w:keepNext w:val="0"/>
        <w:numPr>
          <w:ilvl w:val="1"/>
          <w:numId w:val="3"/>
        </w:numPr>
        <w:tabs>
          <w:tab w:val="clear" w:pos="525"/>
        </w:tabs>
        <w:autoSpaceDE w:val="0"/>
        <w:autoSpaceDN w:val="0"/>
        <w:adjustRightInd w:val="0"/>
        <w:spacing w:before="0"/>
        <w:ind w:left="709" w:hanging="709"/>
        <w:rPr>
          <w:rFonts w:eastAsia="Arial" w:cs="Arial"/>
          <w:spacing w:val="-1"/>
          <w:szCs w:val="24"/>
        </w:rPr>
      </w:pPr>
      <w:r w:rsidRPr="0036716A">
        <w:rPr>
          <w:rFonts w:cs="Arial"/>
        </w:rPr>
        <w:t>Flooding has a devastating impact on residents, business and provision of services.  Consequently, t</w:t>
      </w:r>
      <w:r w:rsidR="00DE2722" w:rsidRPr="0036716A">
        <w:rPr>
          <w:rFonts w:cs="Arial"/>
        </w:rPr>
        <w:t>he</w:t>
      </w:r>
      <w:r w:rsidR="00215F98" w:rsidRPr="0036716A">
        <w:rPr>
          <w:rFonts w:cs="Arial"/>
        </w:rPr>
        <w:t xml:space="preserve"> P</w:t>
      </w:r>
      <w:r w:rsidR="00DE2722" w:rsidRPr="0036716A">
        <w:rPr>
          <w:rFonts w:cs="Arial"/>
        </w:rPr>
        <w:t xml:space="preserve">olicy aims to minimise vulnerability and provide resilience </w:t>
      </w:r>
      <w:r w:rsidRPr="0036716A">
        <w:rPr>
          <w:rFonts w:cs="Arial"/>
        </w:rPr>
        <w:t xml:space="preserve">in relation to flooding and the </w:t>
      </w:r>
      <w:r w:rsidR="00DE2722" w:rsidRPr="0036716A">
        <w:rPr>
          <w:rFonts w:cs="Arial"/>
        </w:rPr>
        <w:t xml:space="preserve">impacts arising from climate change. Inappropriate </w:t>
      </w:r>
      <w:r w:rsidR="00DE2722" w:rsidRPr="0036716A">
        <w:rPr>
          <w:rFonts w:cs="Arial"/>
        </w:rPr>
        <w:lastRenderedPageBreak/>
        <w:t xml:space="preserve">development in areas at risk of flooding </w:t>
      </w:r>
      <w:r w:rsidRPr="0036716A">
        <w:rPr>
          <w:rFonts w:cs="Arial"/>
        </w:rPr>
        <w:t xml:space="preserve">will </w:t>
      </w:r>
      <w:r w:rsidR="00C06FBD" w:rsidRPr="0036716A">
        <w:rPr>
          <w:rFonts w:cs="Arial"/>
        </w:rPr>
        <w:t>not be permitted unless the applicant can show how the current risk of flooding will be mitigated to ensure the development is not at risk of flooding nor increases the risk of flooding to the surrounding area.</w:t>
      </w:r>
      <w:r w:rsidR="00DE2722" w:rsidRPr="0036716A">
        <w:rPr>
          <w:rFonts w:cs="Arial"/>
        </w:rPr>
        <w:t xml:space="preserve"> The Council has placed an emphasis on </w:t>
      </w:r>
      <w:r w:rsidRPr="0036716A">
        <w:rPr>
          <w:rFonts w:cs="Arial"/>
        </w:rPr>
        <w:t>a</w:t>
      </w:r>
      <w:r w:rsidR="00DE2722" w:rsidRPr="0036716A">
        <w:rPr>
          <w:rFonts w:cs="Arial"/>
        </w:rPr>
        <w:t xml:space="preserve"> sequential approach to site selection and development within the Plan</w:t>
      </w:r>
      <w:r w:rsidRPr="0036716A">
        <w:rPr>
          <w:rFonts w:cs="Arial"/>
        </w:rPr>
        <w:t xml:space="preserve"> to minimise flood risk.</w:t>
      </w:r>
    </w:p>
    <w:p w14:paraId="73C41E78" w14:textId="77777777" w:rsidR="00C06FBD" w:rsidRPr="0036716A" w:rsidRDefault="00C06FBD" w:rsidP="00C06FBD">
      <w:pPr>
        <w:keepNext w:val="0"/>
        <w:autoSpaceDE w:val="0"/>
        <w:autoSpaceDN w:val="0"/>
        <w:adjustRightInd w:val="0"/>
        <w:spacing w:before="0"/>
        <w:rPr>
          <w:rFonts w:eastAsia="Arial" w:cs="Arial"/>
          <w:spacing w:val="-1"/>
          <w:szCs w:val="24"/>
        </w:rPr>
      </w:pPr>
    </w:p>
    <w:p w14:paraId="65C47507" w14:textId="5414063F" w:rsidR="00F5643E" w:rsidRPr="0036716A" w:rsidRDefault="00F5643E" w:rsidP="00F5643E">
      <w:pPr>
        <w:keepNext w:val="0"/>
        <w:numPr>
          <w:ilvl w:val="1"/>
          <w:numId w:val="3"/>
        </w:numPr>
        <w:tabs>
          <w:tab w:val="clear" w:pos="525"/>
        </w:tabs>
        <w:autoSpaceDE w:val="0"/>
        <w:autoSpaceDN w:val="0"/>
        <w:adjustRightInd w:val="0"/>
        <w:spacing w:before="0"/>
        <w:ind w:left="709" w:hanging="709"/>
        <w:rPr>
          <w:rFonts w:eastAsia="Arial" w:cs="Arial"/>
          <w:spacing w:val="-1"/>
          <w:szCs w:val="24"/>
        </w:rPr>
      </w:pPr>
      <w:r w:rsidRPr="0036716A">
        <w:rPr>
          <w:rFonts w:eastAsia="Arial" w:cs="Arial"/>
        </w:rPr>
        <w:t xml:space="preserve">While much of Ashfield </w:t>
      </w:r>
      <w:proofErr w:type="gramStart"/>
      <w:r w:rsidRPr="0036716A">
        <w:rPr>
          <w:rFonts w:eastAsia="Arial" w:cs="Arial"/>
        </w:rPr>
        <w:t>is located in</w:t>
      </w:r>
      <w:proofErr w:type="gramEnd"/>
      <w:r w:rsidRPr="0036716A">
        <w:rPr>
          <w:rFonts w:eastAsia="Arial" w:cs="Arial"/>
        </w:rPr>
        <w:t xml:space="preserve"> Flood Zone 1, there are areas at risk of flooding from watercourses.  P</w:t>
      </w:r>
      <w:r w:rsidR="00DE2722" w:rsidRPr="0036716A">
        <w:rPr>
          <w:rFonts w:eastAsia="Arial" w:cs="Arial"/>
        </w:rPr>
        <w:t xml:space="preserve">roperties in parts of Hucknall are at risk of flooding from the Baker Lane Brook and some properties in </w:t>
      </w:r>
      <w:proofErr w:type="spellStart"/>
      <w:r w:rsidR="00DE2722" w:rsidRPr="0036716A">
        <w:rPr>
          <w:rFonts w:eastAsia="Arial" w:cs="Arial"/>
        </w:rPr>
        <w:t>Jacksdale</w:t>
      </w:r>
      <w:proofErr w:type="spellEnd"/>
      <w:r w:rsidR="00DE2722" w:rsidRPr="0036716A">
        <w:rPr>
          <w:rFonts w:eastAsia="Arial" w:cs="Arial"/>
        </w:rPr>
        <w:t xml:space="preserve"> are at risk from </w:t>
      </w:r>
      <w:r w:rsidR="00DE2722" w:rsidRPr="003C7E62">
        <w:rPr>
          <w:rFonts w:eastAsia="Arial" w:cs="Arial"/>
          <w:color w:val="auto"/>
        </w:rPr>
        <w:t xml:space="preserve">flooding from the River Erewash and the </w:t>
      </w:r>
      <w:proofErr w:type="spellStart"/>
      <w:r w:rsidR="00DE2722" w:rsidRPr="003C7E62">
        <w:rPr>
          <w:rFonts w:eastAsia="Arial" w:cs="Arial"/>
          <w:color w:val="auto"/>
        </w:rPr>
        <w:t>Bagthorpe</w:t>
      </w:r>
      <w:proofErr w:type="spellEnd"/>
      <w:r w:rsidR="00DE2722" w:rsidRPr="003C7E62">
        <w:rPr>
          <w:rFonts w:eastAsia="Arial" w:cs="Arial"/>
          <w:color w:val="auto"/>
        </w:rPr>
        <w:t xml:space="preserve"> Brook. Additional water run-off from development in Hucknall into the River Leen and its tributary streams has significant implications for flooding downstream in the City of Nottingham; reflected in the need to keep run-off in Hucknall to greenfield rates or lower if possible. Similarly, additional water into the River Erewash has the potential to flood parts of Pinxton and other areas outside the </w:t>
      </w:r>
      <w:proofErr w:type="gramStart"/>
      <w:r w:rsidR="00DE2722" w:rsidRPr="003C7E62">
        <w:rPr>
          <w:rFonts w:eastAsia="Arial" w:cs="Arial"/>
          <w:color w:val="auto"/>
        </w:rPr>
        <w:t>District</w:t>
      </w:r>
      <w:bookmarkStart w:id="157" w:name="_Hlk77777598"/>
      <w:proofErr w:type="gramEnd"/>
      <w:r w:rsidR="00877B1A" w:rsidRPr="003C7E62">
        <w:rPr>
          <w:rFonts w:eastAsia="Arial" w:cs="Arial"/>
          <w:color w:val="auto"/>
        </w:rPr>
        <w:t>.</w:t>
      </w:r>
      <w:r>
        <w:rPr>
          <w:rFonts w:eastAsia="Arial" w:cs="Arial"/>
          <w:color w:val="auto"/>
        </w:rPr>
        <w:t xml:space="preserve">  </w:t>
      </w:r>
      <w:r w:rsidRPr="0036716A">
        <w:rPr>
          <w:rFonts w:eastAsia="Arial" w:cs="Arial"/>
        </w:rPr>
        <w:t xml:space="preserve">The </w:t>
      </w:r>
      <w:bookmarkStart w:id="158" w:name="_Hlk120010920"/>
      <w:r w:rsidRPr="0036716A">
        <w:rPr>
          <w:rFonts w:eastAsia="Arial" w:cs="Arial"/>
        </w:rPr>
        <w:t xml:space="preserve">Nottinghamshire Local Flood Risk Management Strategy 2021-27 </w:t>
      </w:r>
      <w:bookmarkEnd w:id="158"/>
      <w:r w:rsidRPr="0036716A">
        <w:rPr>
          <w:rFonts w:eastAsia="Arial" w:cs="Arial"/>
        </w:rPr>
        <w:t xml:space="preserve">identifies that approximately 3,783 residential, and commercial properties together with critical infrastructure is at a high or medium risk of flooding in Ashfield. The </w:t>
      </w:r>
      <w:r w:rsidR="00CA1F11" w:rsidRPr="0036716A">
        <w:rPr>
          <w:rFonts w:eastAsia="Arial" w:cs="Arial"/>
        </w:rPr>
        <w:t>Council’s approach</w:t>
      </w:r>
      <w:r w:rsidRPr="0036716A">
        <w:rPr>
          <w:rFonts w:eastAsia="Arial" w:cs="Arial"/>
        </w:rPr>
        <w:t xml:space="preserve"> seeks to ensure that no development is put at risk of </w:t>
      </w:r>
      <w:proofErr w:type="gramStart"/>
      <w:r w:rsidRPr="0036716A">
        <w:rPr>
          <w:rFonts w:eastAsia="Arial" w:cs="Arial"/>
        </w:rPr>
        <w:t>flooding</w:t>
      </w:r>
      <w:proofErr w:type="gramEnd"/>
      <w:r w:rsidRPr="0036716A">
        <w:rPr>
          <w:rFonts w:eastAsia="Arial" w:cs="Arial"/>
        </w:rPr>
        <w:t xml:space="preserve"> nor does it increase the risk of flooding to the surrounding area. It also promotes the use of SUDS and blue / green infrastructure throughout development to ensure a sustainable approach to the management of water and flood risk</w:t>
      </w:r>
    </w:p>
    <w:p w14:paraId="7EA5A6F9" w14:textId="77777777" w:rsidR="00F5643E" w:rsidRPr="0036716A" w:rsidRDefault="00F5643E" w:rsidP="00F5643E">
      <w:pPr>
        <w:rPr>
          <w:rFonts w:eastAsia="Arial" w:cs="Arial"/>
        </w:rPr>
      </w:pPr>
    </w:p>
    <w:p w14:paraId="474F7365" w14:textId="14EA0BEE" w:rsidR="00877B1A" w:rsidRPr="0036716A" w:rsidRDefault="00DE2722" w:rsidP="00581522">
      <w:pPr>
        <w:keepNext w:val="0"/>
        <w:numPr>
          <w:ilvl w:val="1"/>
          <w:numId w:val="3"/>
        </w:numPr>
        <w:tabs>
          <w:tab w:val="clear" w:pos="525"/>
        </w:tabs>
        <w:autoSpaceDE w:val="0"/>
        <w:autoSpaceDN w:val="0"/>
        <w:adjustRightInd w:val="0"/>
        <w:spacing w:before="0"/>
        <w:ind w:left="709" w:hanging="709"/>
        <w:rPr>
          <w:rFonts w:eastAsia="Arial" w:cs="Arial"/>
          <w:spacing w:val="-1"/>
          <w:szCs w:val="24"/>
        </w:rPr>
      </w:pPr>
      <w:r w:rsidRPr="0036716A">
        <w:rPr>
          <w:rFonts w:eastAsia="Arial" w:cs="Arial"/>
        </w:rPr>
        <w:t xml:space="preserve">In Sutton-in-Ashfield there is a problem of low flows in watercourses, and the advice from the Environment Agency is, where possible, to utilise infiltration to increase ground water levels.  In relation to the Cauldwell Brook, water quality and habitat is important due to the presence of the white-clawed crayfish.  </w:t>
      </w:r>
      <w:bookmarkEnd w:id="157"/>
    </w:p>
    <w:p w14:paraId="159D289F" w14:textId="77777777" w:rsidR="00877B1A" w:rsidRPr="0036716A" w:rsidRDefault="00877B1A" w:rsidP="00877B1A">
      <w:pPr>
        <w:keepNext w:val="0"/>
        <w:autoSpaceDE w:val="0"/>
        <w:autoSpaceDN w:val="0"/>
        <w:adjustRightInd w:val="0"/>
        <w:spacing w:before="0"/>
        <w:rPr>
          <w:rFonts w:eastAsia="Arial" w:cs="Arial"/>
          <w:spacing w:val="-1"/>
          <w:szCs w:val="24"/>
        </w:rPr>
      </w:pPr>
    </w:p>
    <w:p w14:paraId="26063F3B" w14:textId="6FF77253" w:rsidR="008424C7" w:rsidRPr="0036716A" w:rsidRDefault="00DE2722" w:rsidP="00010C3D">
      <w:pPr>
        <w:keepNext w:val="0"/>
        <w:numPr>
          <w:ilvl w:val="1"/>
          <w:numId w:val="3"/>
        </w:numPr>
        <w:tabs>
          <w:tab w:val="clear" w:pos="525"/>
        </w:tabs>
        <w:autoSpaceDE w:val="0"/>
        <w:autoSpaceDN w:val="0"/>
        <w:adjustRightInd w:val="0"/>
        <w:spacing w:before="0"/>
        <w:ind w:left="709" w:hanging="709"/>
        <w:rPr>
          <w:rFonts w:eastAsia="Arial" w:cs="Arial"/>
          <w:spacing w:val="-1"/>
          <w:szCs w:val="24"/>
        </w:rPr>
      </w:pPr>
      <w:r w:rsidRPr="0036716A">
        <w:rPr>
          <w:rFonts w:eastAsia="Arial" w:cs="Arial"/>
        </w:rPr>
        <w:t xml:space="preserve">Flood risk </w:t>
      </w:r>
      <w:r w:rsidR="003E3494" w:rsidRPr="0036716A">
        <w:rPr>
          <w:rFonts w:eastAsia="Arial" w:cs="Arial"/>
        </w:rPr>
        <w:t xml:space="preserve">can be </w:t>
      </w:r>
      <w:r w:rsidRPr="0036716A">
        <w:rPr>
          <w:rFonts w:eastAsia="Arial" w:cs="Arial"/>
        </w:rPr>
        <w:t>increased by an urbanised environment</w:t>
      </w:r>
      <w:r w:rsidR="003E3494" w:rsidRPr="0036716A">
        <w:t xml:space="preserve"> </w:t>
      </w:r>
      <w:r w:rsidR="003E3494" w:rsidRPr="0036716A">
        <w:rPr>
          <w:rFonts w:eastAsia="Arial" w:cs="Arial"/>
        </w:rPr>
        <w:t xml:space="preserve">if not designed carefully. </w:t>
      </w:r>
      <w:r w:rsidRPr="0036716A">
        <w:rPr>
          <w:rFonts w:eastAsia="Arial" w:cs="Arial"/>
        </w:rPr>
        <w:t xml:space="preserve"> </w:t>
      </w:r>
      <w:r w:rsidR="003E3494" w:rsidRPr="0036716A">
        <w:rPr>
          <w:rFonts w:eastAsia="Arial" w:cs="Arial"/>
        </w:rPr>
        <w:t>I</w:t>
      </w:r>
      <w:r w:rsidRPr="0036716A">
        <w:rPr>
          <w:rFonts w:eastAsia="Arial" w:cs="Arial"/>
        </w:rPr>
        <w:t>mpervious soils, potential infrastructure failure, groundwater located near the surface and steep gradients often associated with old soil heaps</w:t>
      </w:r>
      <w:r w:rsidR="003E3494" w:rsidRPr="0036716A">
        <w:t xml:space="preserve"> </w:t>
      </w:r>
      <w:r w:rsidR="003E3494" w:rsidRPr="0036716A">
        <w:rPr>
          <w:rFonts w:eastAsia="Arial" w:cs="Arial"/>
        </w:rPr>
        <w:t>can all contribute to an increase in risk</w:t>
      </w:r>
      <w:r w:rsidRPr="0036716A">
        <w:rPr>
          <w:rFonts w:eastAsia="Arial" w:cs="Arial"/>
        </w:rPr>
        <w:t xml:space="preserve">. </w:t>
      </w:r>
      <w:r w:rsidR="00581522" w:rsidRPr="0036716A">
        <w:rPr>
          <w:rFonts w:eastAsia="Arial" w:cs="Arial"/>
        </w:rPr>
        <w:t xml:space="preserve">Where appropriate, evidence should be sought from local sources regarding past flooding and the location of springs. </w:t>
      </w:r>
      <w:r w:rsidR="00581522" w:rsidRPr="0036716A">
        <w:rPr>
          <w:rFonts w:eastAsia="Arial" w:cs="Arial"/>
          <w:spacing w:val="-1"/>
        </w:rPr>
        <w:t xml:space="preserve"> </w:t>
      </w:r>
      <w:r w:rsidRPr="0036716A">
        <w:rPr>
          <w:rFonts w:eastAsia="Arial" w:cs="Arial"/>
        </w:rPr>
        <w:t xml:space="preserve">The impact of climate change and topography is anticipated to result in an increasing risk from surface water flooding in the </w:t>
      </w:r>
      <w:proofErr w:type="gramStart"/>
      <w:r w:rsidRPr="0036716A">
        <w:rPr>
          <w:rFonts w:eastAsia="Arial" w:cs="Arial"/>
        </w:rPr>
        <w:t>District</w:t>
      </w:r>
      <w:proofErr w:type="gramEnd"/>
      <w:r w:rsidRPr="0036716A">
        <w:rPr>
          <w:rFonts w:eastAsia="Arial" w:cs="Arial"/>
        </w:rPr>
        <w:t xml:space="preserve">.  </w:t>
      </w:r>
    </w:p>
    <w:p w14:paraId="2DC0A344" w14:textId="77777777" w:rsidR="003E3494" w:rsidRPr="0036716A" w:rsidRDefault="003E3494" w:rsidP="003E3494">
      <w:pPr>
        <w:keepNext w:val="0"/>
        <w:autoSpaceDE w:val="0"/>
        <w:autoSpaceDN w:val="0"/>
        <w:adjustRightInd w:val="0"/>
        <w:spacing w:before="0"/>
        <w:rPr>
          <w:rFonts w:eastAsia="Arial" w:cs="Arial"/>
          <w:spacing w:val="-1"/>
          <w:szCs w:val="24"/>
        </w:rPr>
      </w:pPr>
    </w:p>
    <w:p w14:paraId="19B85A0E" w14:textId="0E8EF8F5" w:rsidR="00010C3D" w:rsidRPr="0036716A" w:rsidRDefault="00010C3D" w:rsidP="00010C3D">
      <w:pPr>
        <w:keepNext w:val="0"/>
        <w:numPr>
          <w:ilvl w:val="1"/>
          <w:numId w:val="3"/>
        </w:numPr>
        <w:tabs>
          <w:tab w:val="clear" w:pos="525"/>
        </w:tabs>
        <w:autoSpaceDE w:val="0"/>
        <w:autoSpaceDN w:val="0"/>
        <w:adjustRightInd w:val="0"/>
        <w:spacing w:before="0"/>
        <w:ind w:left="709" w:hanging="709"/>
        <w:rPr>
          <w:rFonts w:eastAsia="Arial" w:cs="Arial"/>
          <w:spacing w:val="-1"/>
          <w:szCs w:val="24"/>
        </w:rPr>
      </w:pPr>
      <w:r w:rsidRPr="0036716A">
        <w:rPr>
          <w:rFonts w:eastAsia="Arial" w:cs="Arial"/>
          <w:spacing w:val="-1"/>
          <w:szCs w:val="24"/>
        </w:rPr>
        <w:t xml:space="preserve">The following should be reflected in designing appropriate systems: </w:t>
      </w:r>
    </w:p>
    <w:p w14:paraId="1DF1778B" w14:textId="77777777" w:rsidR="00B27085" w:rsidRPr="0036716A" w:rsidRDefault="00B27085" w:rsidP="00B27085">
      <w:pPr>
        <w:keepNext w:val="0"/>
        <w:autoSpaceDE w:val="0"/>
        <w:autoSpaceDN w:val="0"/>
        <w:adjustRightInd w:val="0"/>
        <w:spacing w:before="0"/>
        <w:rPr>
          <w:rFonts w:eastAsia="Arial" w:cs="Arial"/>
          <w:spacing w:val="-1"/>
          <w:szCs w:val="24"/>
        </w:rPr>
      </w:pPr>
    </w:p>
    <w:p w14:paraId="001E5A3C" w14:textId="1CF5F0BB" w:rsidR="00010C3D" w:rsidRPr="0036716A" w:rsidRDefault="00010C3D" w:rsidP="00874A98">
      <w:pPr>
        <w:pStyle w:val="ListParagraph"/>
        <w:numPr>
          <w:ilvl w:val="0"/>
          <w:numId w:val="322"/>
        </w:numPr>
        <w:ind w:left="1134"/>
        <w:rPr>
          <w:rFonts w:ascii="Arial" w:eastAsia="Arial" w:hAnsi="Arial" w:cs="Arial"/>
        </w:rPr>
      </w:pPr>
      <w:r w:rsidRPr="0036716A">
        <w:rPr>
          <w:rFonts w:ascii="Arial" w:eastAsia="Arial" w:hAnsi="Arial" w:cs="Arial"/>
        </w:rPr>
        <w:t>Use of sustainable drainage systems (</w:t>
      </w:r>
      <w:proofErr w:type="spellStart"/>
      <w:r w:rsidRPr="0036716A">
        <w:rPr>
          <w:rFonts w:ascii="Arial" w:eastAsia="Arial" w:hAnsi="Arial" w:cs="Arial"/>
        </w:rPr>
        <w:t>SuDS</w:t>
      </w:r>
      <w:proofErr w:type="spellEnd"/>
      <w:r w:rsidRPr="0036716A">
        <w:rPr>
          <w:rFonts w:ascii="Arial" w:eastAsia="Arial" w:hAnsi="Arial" w:cs="Arial"/>
        </w:rPr>
        <w:t>).</w:t>
      </w:r>
    </w:p>
    <w:p w14:paraId="2220F33A" w14:textId="77777777" w:rsidR="00B27085" w:rsidRPr="0036716A" w:rsidRDefault="00B27085" w:rsidP="00E60404">
      <w:pPr>
        <w:pStyle w:val="ListParagraph"/>
        <w:ind w:left="1134"/>
        <w:rPr>
          <w:rFonts w:ascii="Arial" w:eastAsia="Arial" w:hAnsi="Arial" w:cs="Arial"/>
          <w:sz w:val="16"/>
          <w:szCs w:val="16"/>
        </w:rPr>
      </w:pPr>
    </w:p>
    <w:p w14:paraId="16E69BBA" w14:textId="6B2E01CF" w:rsidR="00010C3D" w:rsidRPr="0036716A" w:rsidRDefault="00010C3D" w:rsidP="00874A98">
      <w:pPr>
        <w:pStyle w:val="ListParagraph"/>
        <w:numPr>
          <w:ilvl w:val="0"/>
          <w:numId w:val="322"/>
        </w:numPr>
        <w:ind w:left="1134"/>
        <w:rPr>
          <w:rFonts w:ascii="Arial" w:eastAsia="Arial" w:hAnsi="Arial" w:cs="Arial"/>
        </w:rPr>
      </w:pPr>
      <w:r w:rsidRPr="0036716A">
        <w:rPr>
          <w:rFonts w:ascii="Arial" w:eastAsia="Arial" w:hAnsi="Arial" w:cs="Arial"/>
        </w:rPr>
        <w:t>Implement the principles of the Drainage H</w:t>
      </w:r>
      <w:bookmarkStart w:id="159" w:name="_Hlk120011282"/>
      <w:r w:rsidRPr="0036716A">
        <w:rPr>
          <w:rFonts w:ascii="Arial" w:eastAsia="Arial" w:hAnsi="Arial" w:cs="Arial"/>
        </w:rPr>
        <w:t>ierarchy</w:t>
      </w:r>
      <w:bookmarkEnd w:id="159"/>
      <w:r w:rsidRPr="0036716A">
        <w:rPr>
          <w:rFonts w:ascii="Arial" w:eastAsia="Arial" w:hAnsi="Arial" w:cs="Arial"/>
        </w:rPr>
        <w:t>:</w:t>
      </w:r>
    </w:p>
    <w:p w14:paraId="27F0FA53" w14:textId="77777777" w:rsidR="00010C3D" w:rsidRPr="0036716A" w:rsidRDefault="00010C3D" w:rsidP="00E60404">
      <w:pPr>
        <w:pStyle w:val="ListParagraph"/>
        <w:ind w:left="1134"/>
        <w:rPr>
          <w:rFonts w:ascii="Arial" w:eastAsia="Arial" w:hAnsi="Arial" w:cs="Arial"/>
        </w:rPr>
      </w:pPr>
      <w:r w:rsidRPr="0036716A">
        <w:rPr>
          <w:rFonts w:ascii="Arial" w:eastAsia="Arial" w:hAnsi="Arial" w:cs="Arial"/>
        </w:rPr>
        <w:t xml:space="preserve">1. into the ground (infiltration); </w:t>
      </w:r>
    </w:p>
    <w:p w14:paraId="62C00E21" w14:textId="77777777" w:rsidR="00010C3D" w:rsidRPr="0036716A" w:rsidRDefault="00010C3D" w:rsidP="00E60404">
      <w:pPr>
        <w:pStyle w:val="ListParagraph"/>
        <w:ind w:left="1134"/>
        <w:rPr>
          <w:rFonts w:ascii="Arial" w:eastAsia="Arial" w:hAnsi="Arial" w:cs="Arial"/>
        </w:rPr>
      </w:pPr>
      <w:r w:rsidRPr="0036716A">
        <w:rPr>
          <w:rFonts w:ascii="Arial" w:eastAsia="Arial" w:hAnsi="Arial" w:cs="Arial"/>
        </w:rPr>
        <w:t xml:space="preserve">2. to a surface water body; </w:t>
      </w:r>
    </w:p>
    <w:p w14:paraId="7CEAE8DE" w14:textId="77777777" w:rsidR="00010C3D" w:rsidRPr="0036716A" w:rsidRDefault="00010C3D" w:rsidP="00E60404">
      <w:pPr>
        <w:pStyle w:val="ListParagraph"/>
        <w:ind w:left="1134"/>
        <w:rPr>
          <w:rFonts w:ascii="Arial" w:eastAsia="Arial" w:hAnsi="Arial" w:cs="Arial"/>
        </w:rPr>
      </w:pPr>
      <w:r w:rsidRPr="0036716A">
        <w:rPr>
          <w:rFonts w:ascii="Arial" w:eastAsia="Arial" w:hAnsi="Arial" w:cs="Arial"/>
        </w:rPr>
        <w:t xml:space="preserve">3. to a surface water sewer, highway drain, or another drainage system; </w:t>
      </w:r>
    </w:p>
    <w:p w14:paraId="5AF48788" w14:textId="77777777" w:rsidR="00010C3D" w:rsidRPr="0036716A" w:rsidRDefault="00010C3D" w:rsidP="00E60404">
      <w:pPr>
        <w:pStyle w:val="ListParagraph"/>
        <w:ind w:left="1134"/>
        <w:rPr>
          <w:rFonts w:ascii="Arial" w:eastAsia="Arial" w:hAnsi="Arial" w:cs="Arial"/>
        </w:rPr>
      </w:pPr>
      <w:r w:rsidRPr="0036716A">
        <w:rPr>
          <w:rFonts w:ascii="Arial" w:eastAsia="Arial" w:hAnsi="Arial" w:cs="Arial"/>
        </w:rPr>
        <w:t>4. to a combined sewer.</w:t>
      </w:r>
    </w:p>
    <w:p w14:paraId="70A3976E" w14:textId="47B40E7A" w:rsidR="00010C3D" w:rsidRPr="0036716A" w:rsidRDefault="00010C3D" w:rsidP="00E60404">
      <w:pPr>
        <w:pStyle w:val="ListParagraph"/>
        <w:ind w:left="1134"/>
        <w:rPr>
          <w:rFonts w:ascii="Arial" w:eastAsia="Arial" w:hAnsi="Arial" w:cs="Arial"/>
        </w:rPr>
      </w:pPr>
      <w:r w:rsidRPr="0036716A">
        <w:rPr>
          <w:rFonts w:ascii="Arial" w:eastAsia="Arial" w:hAnsi="Arial" w:cs="Arial"/>
        </w:rPr>
        <w:t>Generally, the aim should be to discharge surface run off as high up the following hierarchy of drainage options as reasonably practicable.</w:t>
      </w:r>
    </w:p>
    <w:p w14:paraId="619C46FE" w14:textId="77777777" w:rsidR="00010C3D" w:rsidRPr="0036716A" w:rsidRDefault="00010C3D" w:rsidP="00E60404">
      <w:pPr>
        <w:pStyle w:val="ListParagraph"/>
        <w:ind w:left="1134"/>
        <w:rPr>
          <w:rFonts w:ascii="Arial" w:eastAsia="Arial" w:hAnsi="Arial" w:cs="Arial"/>
          <w:sz w:val="16"/>
          <w:szCs w:val="16"/>
        </w:rPr>
      </w:pPr>
    </w:p>
    <w:p w14:paraId="2FCBDAD6" w14:textId="651FC1DF" w:rsidR="00010C3D" w:rsidRPr="0079686C" w:rsidRDefault="00010C3D" w:rsidP="00874A98">
      <w:pPr>
        <w:pStyle w:val="ListParagraph"/>
        <w:numPr>
          <w:ilvl w:val="0"/>
          <w:numId w:val="322"/>
        </w:numPr>
        <w:ind w:left="1134"/>
        <w:rPr>
          <w:rFonts w:ascii="Arial" w:eastAsia="Arial" w:hAnsi="Arial" w:cs="Arial"/>
          <w:color w:val="auto"/>
        </w:rPr>
      </w:pPr>
      <w:r w:rsidRPr="0036716A">
        <w:rPr>
          <w:rFonts w:ascii="Arial" w:eastAsia="Arial" w:hAnsi="Arial" w:cs="Arial"/>
        </w:rPr>
        <w:t xml:space="preserve">Incorporate water efficient </w:t>
      </w:r>
      <w:r w:rsidRPr="0079686C">
        <w:rPr>
          <w:rFonts w:ascii="Arial" w:eastAsia="Arial" w:hAnsi="Arial" w:cs="Arial"/>
          <w:color w:val="auto"/>
        </w:rPr>
        <w:t>design and technology.</w:t>
      </w:r>
    </w:p>
    <w:p w14:paraId="0E5D84FF" w14:textId="77777777" w:rsidR="00B27085" w:rsidRPr="0079686C" w:rsidRDefault="00B27085" w:rsidP="00E60404">
      <w:pPr>
        <w:pStyle w:val="ListParagraph"/>
        <w:ind w:left="1134"/>
        <w:rPr>
          <w:rFonts w:ascii="Arial" w:eastAsia="Arial" w:hAnsi="Arial" w:cs="Arial"/>
          <w:color w:val="auto"/>
          <w:sz w:val="16"/>
          <w:szCs w:val="16"/>
        </w:rPr>
      </w:pPr>
    </w:p>
    <w:p w14:paraId="58B47A45" w14:textId="4F77F6CC" w:rsidR="008424C7" w:rsidRPr="0079686C" w:rsidRDefault="00010C3D" w:rsidP="00874A98">
      <w:pPr>
        <w:pStyle w:val="ListParagraph"/>
        <w:numPr>
          <w:ilvl w:val="0"/>
          <w:numId w:val="322"/>
        </w:numPr>
        <w:ind w:left="1134"/>
        <w:rPr>
          <w:rFonts w:ascii="Arial" w:eastAsia="Arial" w:hAnsi="Arial" w:cs="Arial"/>
          <w:color w:val="auto"/>
        </w:rPr>
      </w:pPr>
      <w:r w:rsidRPr="0079686C">
        <w:rPr>
          <w:rFonts w:ascii="Arial" w:eastAsia="Arial" w:hAnsi="Arial" w:cs="Arial"/>
          <w:color w:val="auto"/>
        </w:rPr>
        <w:t>Protection of Drainage features.</w:t>
      </w:r>
    </w:p>
    <w:p w14:paraId="584251F4" w14:textId="77777777" w:rsidR="00010C3D" w:rsidRPr="0079686C" w:rsidRDefault="00010C3D" w:rsidP="00010C3D">
      <w:pPr>
        <w:keepNext w:val="0"/>
        <w:tabs>
          <w:tab w:val="left" w:pos="680"/>
        </w:tabs>
        <w:spacing w:before="0"/>
        <w:ind w:left="709"/>
        <w:rPr>
          <w:rFonts w:eastAsia="Arial" w:cs="Arial"/>
          <w:b/>
          <w:color w:val="auto"/>
        </w:rPr>
      </w:pPr>
    </w:p>
    <w:p w14:paraId="01763DC0" w14:textId="542CDDB5" w:rsidR="008424C7" w:rsidRDefault="008424C7" w:rsidP="00010C3D">
      <w:pPr>
        <w:keepNext w:val="0"/>
        <w:tabs>
          <w:tab w:val="left" w:pos="680"/>
        </w:tabs>
        <w:spacing w:before="0"/>
        <w:ind w:left="709"/>
        <w:rPr>
          <w:rFonts w:eastAsia="Arial" w:cs="Arial"/>
          <w:b/>
          <w:color w:val="auto"/>
        </w:rPr>
      </w:pPr>
      <w:r w:rsidRPr="003C7E62">
        <w:rPr>
          <w:rFonts w:eastAsia="Arial" w:cs="Arial"/>
          <w:b/>
          <w:color w:val="auto"/>
        </w:rPr>
        <w:t>Sequential and Exception Tests</w:t>
      </w:r>
    </w:p>
    <w:p w14:paraId="4BD54B51" w14:textId="77777777" w:rsidR="005334C0" w:rsidRDefault="005334C0" w:rsidP="00010C3D">
      <w:pPr>
        <w:keepNext w:val="0"/>
        <w:tabs>
          <w:tab w:val="left" w:pos="680"/>
        </w:tabs>
        <w:spacing w:before="0"/>
        <w:ind w:left="709"/>
        <w:rPr>
          <w:rFonts w:eastAsia="Arial" w:cs="Arial"/>
          <w:b/>
          <w:color w:val="auto"/>
        </w:rPr>
      </w:pPr>
    </w:p>
    <w:p w14:paraId="42EEBBEB" w14:textId="78C9AC4F" w:rsidR="00581522" w:rsidRPr="003C7E62" w:rsidRDefault="00DE2722" w:rsidP="008008F0">
      <w:pPr>
        <w:keepNext w:val="0"/>
        <w:numPr>
          <w:ilvl w:val="1"/>
          <w:numId w:val="3"/>
        </w:numPr>
        <w:tabs>
          <w:tab w:val="clear" w:pos="525"/>
        </w:tabs>
        <w:autoSpaceDE w:val="0"/>
        <w:autoSpaceDN w:val="0"/>
        <w:adjustRightInd w:val="0"/>
        <w:spacing w:before="0"/>
        <w:ind w:left="709" w:hanging="709"/>
        <w:rPr>
          <w:rFonts w:eastAsia="Arial" w:cs="Arial"/>
          <w:color w:val="auto"/>
          <w:spacing w:val="-1"/>
        </w:rPr>
      </w:pPr>
      <w:r w:rsidRPr="003C7E62">
        <w:rPr>
          <w:rFonts w:eastAsia="Arial" w:cs="Arial"/>
          <w:color w:val="auto"/>
        </w:rPr>
        <w:t>The aim of the Sequential Test is to steer new development to areas with the lowest probability of flooding. Development should not be permitted if there are reasonably available sites appropriate for the proposed development in areas with a lower probability of flooding. Given the level of flood risk in Ashfield</w:t>
      </w:r>
      <w:r w:rsidR="00581522" w:rsidRPr="003C7E62">
        <w:rPr>
          <w:rFonts w:eastAsia="Arial" w:cs="Arial"/>
          <w:color w:val="auto"/>
        </w:rPr>
        <w:t>,</w:t>
      </w:r>
      <w:r w:rsidRPr="003C7E62">
        <w:rPr>
          <w:rFonts w:eastAsia="Arial" w:cs="Arial"/>
          <w:color w:val="auto"/>
        </w:rPr>
        <w:t xml:space="preserve"> it is </w:t>
      </w:r>
      <w:r w:rsidR="009D1815" w:rsidRPr="003C7E62">
        <w:rPr>
          <w:rFonts w:eastAsia="Arial" w:cs="Arial"/>
          <w:color w:val="auto"/>
        </w:rPr>
        <w:t>considered</w:t>
      </w:r>
      <w:r w:rsidRPr="003C7E62">
        <w:rPr>
          <w:rFonts w:eastAsia="Arial" w:cs="Arial"/>
          <w:color w:val="auto"/>
        </w:rPr>
        <w:t xml:space="preserve"> appropriate that the sequential test for flooding should be applied district wide unless it can be demonstrated by the developer why a smaller area of search could be justified to deliver local needs.  If, following application of the sequential test, it is neither possible nor consistent with wider sustainability objectives for the development to </w:t>
      </w:r>
      <w:proofErr w:type="gramStart"/>
      <w:r w:rsidRPr="003C7E62">
        <w:rPr>
          <w:rFonts w:eastAsia="Arial" w:cs="Arial"/>
          <w:color w:val="auto"/>
        </w:rPr>
        <w:t>be located in</w:t>
      </w:r>
      <w:proofErr w:type="gramEnd"/>
      <w:r w:rsidRPr="003C7E62">
        <w:rPr>
          <w:rFonts w:eastAsia="Arial" w:cs="Arial"/>
          <w:color w:val="auto"/>
        </w:rPr>
        <w:t xml:space="preserve"> zones with a lower probability of flooding, the Exception Test will be applied.</w:t>
      </w:r>
    </w:p>
    <w:p w14:paraId="72CCEF8D" w14:textId="77777777" w:rsidR="00581522" w:rsidRPr="003C7E62" w:rsidRDefault="00581522" w:rsidP="008008F0">
      <w:pPr>
        <w:keepNext w:val="0"/>
        <w:autoSpaceDE w:val="0"/>
        <w:autoSpaceDN w:val="0"/>
        <w:adjustRightInd w:val="0"/>
        <w:spacing w:before="0"/>
        <w:ind w:left="709"/>
        <w:rPr>
          <w:rFonts w:eastAsia="Arial" w:cs="Arial"/>
          <w:color w:val="auto"/>
          <w:spacing w:val="-1"/>
        </w:rPr>
      </w:pPr>
    </w:p>
    <w:p w14:paraId="6ACF25B6" w14:textId="77777777" w:rsidR="008008F0" w:rsidRPr="003C7E62" w:rsidRDefault="00DE2722" w:rsidP="008008F0">
      <w:pPr>
        <w:keepNext w:val="0"/>
        <w:numPr>
          <w:ilvl w:val="1"/>
          <w:numId w:val="3"/>
        </w:numPr>
        <w:tabs>
          <w:tab w:val="clear" w:pos="525"/>
        </w:tabs>
        <w:autoSpaceDE w:val="0"/>
        <w:autoSpaceDN w:val="0"/>
        <w:adjustRightInd w:val="0"/>
        <w:spacing w:before="0"/>
        <w:ind w:left="709" w:hanging="709"/>
        <w:rPr>
          <w:rFonts w:eastAsia="Arial" w:cs="Arial"/>
          <w:color w:val="auto"/>
        </w:rPr>
      </w:pPr>
      <w:r w:rsidRPr="003C7E62">
        <w:rPr>
          <w:rFonts w:eastAsia="Arial" w:cs="Arial"/>
          <w:color w:val="auto"/>
        </w:rPr>
        <w:t xml:space="preserve">National </w:t>
      </w:r>
      <w:r w:rsidR="00581522" w:rsidRPr="003C7E62">
        <w:rPr>
          <w:rFonts w:eastAsia="Arial" w:cs="Arial"/>
          <w:color w:val="auto"/>
        </w:rPr>
        <w:t xml:space="preserve">policy and guidance </w:t>
      </w:r>
      <w:r w:rsidRPr="003C7E62">
        <w:rPr>
          <w:rFonts w:eastAsia="Arial" w:cs="Arial"/>
          <w:color w:val="auto"/>
        </w:rPr>
        <w:t>set out tables and further information on the application of the respective tests. The Tests will not apply to minor development, but there may be individual circumstances, such as regeneration projects, where the Sequential Test may not be applied but the Exception Test is applicable.</w:t>
      </w:r>
      <w:r w:rsidR="00581522" w:rsidRPr="003C7E62">
        <w:rPr>
          <w:rFonts w:eastAsia="Arial" w:cs="Arial"/>
          <w:color w:val="auto"/>
          <w:spacing w:val="-1"/>
        </w:rPr>
        <w:t xml:space="preserve">   </w:t>
      </w:r>
      <w:r w:rsidRPr="003C7E62">
        <w:rPr>
          <w:rFonts w:eastAsia="Arial" w:cs="Arial"/>
          <w:color w:val="auto"/>
        </w:rPr>
        <w:t xml:space="preserve">It is essential that the potential impact of climate change is </w:t>
      </w:r>
      <w:proofErr w:type="gramStart"/>
      <w:r w:rsidRPr="003C7E62">
        <w:rPr>
          <w:rFonts w:eastAsia="Arial" w:cs="Arial"/>
          <w:color w:val="auto"/>
        </w:rPr>
        <w:t>taken into account</w:t>
      </w:r>
      <w:proofErr w:type="gramEnd"/>
      <w:r w:rsidRPr="003C7E62">
        <w:rPr>
          <w:rFonts w:eastAsia="Arial" w:cs="Arial"/>
          <w:color w:val="auto"/>
        </w:rPr>
        <w:t xml:space="preserve"> over the lifetime of the development. Climate change requirements will be considered against the provisions in the National Guidance. </w:t>
      </w:r>
      <w:bookmarkStart w:id="160" w:name="_Hlk77777653"/>
    </w:p>
    <w:p w14:paraId="27E6A02B" w14:textId="77777777" w:rsidR="008008F0" w:rsidRPr="003C7E62" w:rsidRDefault="008008F0" w:rsidP="008008F0">
      <w:pPr>
        <w:pStyle w:val="ListParagraph"/>
        <w:spacing w:after="0" w:line="240" w:lineRule="auto"/>
        <w:rPr>
          <w:rFonts w:ascii="Arial" w:eastAsia="Calibri" w:hAnsi="Arial" w:cs="Arial"/>
          <w:color w:val="auto"/>
        </w:rPr>
      </w:pPr>
    </w:p>
    <w:p w14:paraId="37355216" w14:textId="76601158" w:rsidR="008008F0" w:rsidRPr="0079686C" w:rsidRDefault="00DE2722" w:rsidP="008008F0">
      <w:pPr>
        <w:keepNext w:val="0"/>
        <w:numPr>
          <w:ilvl w:val="1"/>
          <w:numId w:val="3"/>
        </w:numPr>
        <w:tabs>
          <w:tab w:val="clear" w:pos="525"/>
        </w:tabs>
        <w:autoSpaceDE w:val="0"/>
        <w:autoSpaceDN w:val="0"/>
        <w:adjustRightInd w:val="0"/>
        <w:spacing w:before="0"/>
        <w:ind w:left="709" w:hanging="709"/>
        <w:rPr>
          <w:rFonts w:eastAsia="Arial" w:cs="Arial"/>
          <w:color w:val="auto"/>
        </w:rPr>
      </w:pPr>
      <w:r w:rsidRPr="003C7E62">
        <w:rPr>
          <w:rFonts w:eastAsia="Calibri" w:cs="Arial"/>
          <w:color w:val="auto"/>
          <w:szCs w:val="22"/>
          <w:lang w:eastAsia="en-US"/>
        </w:rPr>
        <w:t xml:space="preserve">There may be circumstances where the development is in Flood </w:t>
      </w:r>
      <w:proofErr w:type="gramStart"/>
      <w:r w:rsidRPr="003C7E62">
        <w:rPr>
          <w:rFonts w:eastAsia="Calibri" w:cs="Arial"/>
          <w:color w:val="auto"/>
          <w:szCs w:val="22"/>
          <w:lang w:eastAsia="en-US"/>
        </w:rPr>
        <w:t>Zone1</w:t>
      </w:r>
      <w:proofErr w:type="gramEnd"/>
      <w:r w:rsidRPr="003C7E62">
        <w:rPr>
          <w:rFonts w:eastAsia="Calibri" w:cs="Arial"/>
          <w:color w:val="auto"/>
          <w:szCs w:val="22"/>
          <w:lang w:eastAsia="en-US"/>
        </w:rPr>
        <w:t xml:space="preserve"> but the only or main access is through Flood Zone 2 or 3.  </w:t>
      </w:r>
      <w:r w:rsidRPr="003C7E62">
        <w:rPr>
          <w:rFonts w:eastAsia="Arial" w:cs="Arial"/>
          <w:color w:val="auto"/>
        </w:rPr>
        <w:t xml:space="preserve">In these circumstances it will be necessary to demonstrate that safe access and egress to and from the </w:t>
      </w:r>
      <w:r w:rsidRPr="0079686C">
        <w:rPr>
          <w:rFonts w:eastAsia="Arial" w:cs="Arial"/>
          <w:color w:val="auto"/>
        </w:rPr>
        <w:t>development can be achieved, include access and egress by emergency vehicles.</w:t>
      </w:r>
      <w:bookmarkEnd w:id="160"/>
    </w:p>
    <w:p w14:paraId="5362B393" w14:textId="77777777" w:rsidR="008008F0" w:rsidRPr="0079686C" w:rsidRDefault="008008F0" w:rsidP="008008F0">
      <w:pPr>
        <w:pStyle w:val="ListParagraph"/>
        <w:tabs>
          <w:tab w:val="left" w:pos="680"/>
        </w:tabs>
        <w:spacing w:after="170"/>
        <w:ind w:left="525"/>
        <w:rPr>
          <w:rFonts w:ascii="Arial" w:eastAsia="Arial" w:hAnsi="Arial" w:cs="Arial"/>
          <w:b/>
          <w:color w:val="auto"/>
        </w:rPr>
      </w:pPr>
    </w:p>
    <w:p w14:paraId="77DC6814" w14:textId="2648D6BC" w:rsidR="008008F0" w:rsidRPr="0079686C" w:rsidRDefault="008008F0" w:rsidP="008008F0">
      <w:pPr>
        <w:pStyle w:val="ListParagraph"/>
        <w:tabs>
          <w:tab w:val="left" w:pos="680"/>
        </w:tabs>
        <w:spacing w:after="0" w:line="240" w:lineRule="auto"/>
        <w:ind w:left="709"/>
        <w:rPr>
          <w:rFonts w:ascii="Arial" w:eastAsia="Arial" w:hAnsi="Arial" w:cs="Arial"/>
          <w:b/>
          <w:color w:val="auto"/>
        </w:rPr>
      </w:pPr>
      <w:r w:rsidRPr="0079686C">
        <w:rPr>
          <w:rFonts w:ascii="Arial" w:eastAsia="Arial" w:hAnsi="Arial" w:cs="Arial"/>
          <w:b/>
          <w:color w:val="auto"/>
        </w:rPr>
        <w:t>Flood Risk Assessments</w:t>
      </w:r>
    </w:p>
    <w:p w14:paraId="21F43E57" w14:textId="77777777" w:rsidR="005334C0" w:rsidRPr="0079686C" w:rsidRDefault="005334C0" w:rsidP="008008F0">
      <w:pPr>
        <w:pStyle w:val="ListParagraph"/>
        <w:tabs>
          <w:tab w:val="left" w:pos="680"/>
        </w:tabs>
        <w:spacing w:after="0" w:line="240" w:lineRule="auto"/>
        <w:ind w:left="709"/>
        <w:rPr>
          <w:rFonts w:ascii="Arial" w:eastAsia="Arial" w:hAnsi="Arial" w:cs="Arial"/>
          <w:b/>
          <w:color w:val="auto"/>
        </w:rPr>
      </w:pPr>
    </w:p>
    <w:p w14:paraId="139AF1DB" w14:textId="17E5DC38" w:rsidR="008008F0" w:rsidRPr="003C7E62" w:rsidRDefault="008008F0" w:rsidP="008008F0">
      <w:pPr>
        <w:keepNext w:val="0"/>
        <w:numPr>
          <w:ilvl w:val="1"/>
          <w:numId w:val="3"/>
        </w:numPr>
        <w:tabs>
          <w:tab w:val="clear" w:pos="525"/>
        </w:tabs>
        <w:autoSpaceDE w:val="0"/>
        <w:autoSpaceDN w:val="0"/>
        <w:adjustRightInd w:val="0"/>
        <w:spacing w:before="0"/>
        <w:ind w:left="709" w:hanging="709"/>
        <w:rPr>
          <w:rFonts w:eastAsia="Arial" w:cs="Arial"/>
          <w:color w:val="auto"/>
        </w:rPr>
      </w:pPr>
      <w:r w:rsidRPr="003C7E62">
        <w:rPr>
          <w:rFonts w:eastAsia="Arial" w:cs="Arial"/>
          <w:color w:val="auto"/>
        </w:rPr>
        <w:t>Any Flood Risk Assessment should have regard to a number of requirements including: flood hazards from all sources, the probability of flooding including allowances for climate change, flood risk management measures, including how SUDS will be incorporated into the design, ensuing the development is safe from flooding during its lifetime, safe access and egress, off site impacts, residual risks, opportunities to reduce flood risk and, where appropriate, include a drainage assessment in accordance with the SUDS Manual or any updates or amendment.</w:t>
      </w:r>
    </w:p>
    <w:p w14:paraId="2EC659B8" w14:textId="77777777" w:rsidR="008008F0" w:rsidRPr="003C7E62" w:rsidRDefault="008008F0" w:rsidP="008008F0">
      <w:pPr>
        <w:keepNext w:val="0"/>
        <w:tabs>
          <w:tab w:val="left" w:pos="680"/>
        </w:tabs>
        <w:spacing w:before="0"/>
        <w:ind w:left="680"/>
        <w:rPr>
          <w:rFonts w:eastAsia="Arial" w:cs="Arial"/>
          <w:b/>
          <w:color w:val="auto"/>
        </w:rPr>
      </w:pPr>
    </w:p>
    <w:p w14:paraId="0B690D1B" w14:textId="683E0803" w:rsidR="008008F0" w:rsidRDefault="008008F0" w:rsidP="008008F0">
      <w:pPr>
        <w:keepNext w:val="0"/>
        <w:tabs>
          <w:tab w:val="left" w:pos="680"/>
        </w:tabs>
        <w:spacing w:before="0"/>
        <w:ind w:left="680"/>
        <w:rPr>
          <w:rFonts w:eastAsia="Arial" w:cs="Arial"/>
          <w:b/>
          <w:color w:val="auto"/>
        </w:rPr>
      </w:pPr>
      <w:r w:rsidRPr="003C7E62">
        <w:rPr>
          <w:rFonts w:eastAsia="Arial" w:cs="Arial"/>
          <w:b/>
          <w:color w:val="auto"/>
        </w:rPr>
        <w:t>Sustainable Drainage Systems (SUDS)</w:t>
      </w:r>
    </w:p>
    <w:p w14:paraId="05D96213" w14:textId="77777777" w:rsidR="005334C0" w:rsidRDefault="005334C0" w:rsidP="008008F0">
      <w:pPr>
        <w:keepNext w:val="0"/>
        <w:tabs>
          <w:tab w:val="left" w:pos="680"/>
        </w:tabs>
        <w:spacing w:before="0"/>
        <w:ind w:left="680"/>
        <w:rPr>
          <w:rFonts w:eastAsia="Arial" w:cs="Arial"/>
          <w:b/>
          <w:color w:val="auto"/>
        </w:rPr>
      </w:pPr>
    </w:p>
    <w:p w14:paraId="1449A98A" w14:textId="68F9DF8F" w:rsidR="008008F0" w:rsidRPr="003C7E62" w:rsidRDefault="00DE2722" w:rsidP="008008F0">
      <w:pPr>
        <w:keepNext w:val="0"/>
        <w:numPr>
          <w:ilvl w:val="1"/>
          <w:numId w:val="3"/>
        </w:numPr>
        <w:tabs>
          <w:tab w:val="clear" w:pos="525"/>
        </w:tabs>
        <w:autoSpaceDE w:val="0"/>
        <w:autoSpaceDN w:val="0"/>
        <w:adjustRightInd w:val="0"/>
        <w:spacing w:before="0"/>
        <w:ind w:left="709" w:hanging="709"/>
        <w:rPr>
          <w:rFonts w:eastAsia="Arial" w:cs="Arial"/>
          <w:color w:val="auto"/>
        </w:rPr>
      </w:pPr>
      <w:r w:rsidRPr="003C7E62">
        <w:rPr>
          <w:rFonts w:eastAsia="Arial" w:cs="Arial"/>
          <w:color w:val="auto"/>
        </w:rPr>
        <w:t>SUDS is a non-traditional, environmentally friendly method of dealing with surface water run-off by providing a drainage system that:</w:t>
      </w:r>
    </w:p>
    <w:p w14:paraId="55025547" w14:textId="558E66F3" w:rsidR="008008F0" w:rsidRPr="003C7E62" w:rsidRDefault="008008F0" w:rsidP="008008F0">
      <w:pPr>
        <w:keepNext w:val="0"/>
        <w:autoSpaceDE w:val="0"/>
        <w:autoSpaceDN w:val="0"/>
        <w:adjustRightInd w:val="0"/>
        <w:spacing w:before="0"/>
        <w:ind w:left="709"/>
        <w:rPr>
          <w:rFonts w:eastAsia="Arial" w:cs="Arial"/>
          <w:color w:val="auto"/>
        </w:rPr>
      </w:pPr>
    </w:p>
    <w:p w14:paraId="7B9C0791" w14:textId="77777777" w:rsidR="008008F0" w:rsidRPr="003C7E62" w:rsidRDefault="008008F0" w:rsidP="00874A98">
      <w:pPr>
        <w:pStyle w:val="ListParagraph"/>
        <w:numPr>
          <w:ilvl w:val="0"/>
          <w:numId w:val="123"/>
        </w:numPr>
        <w:autoSpaceDE w:val="0"/>
        <w:autoSpaceDN w:val="0"/>
        <w:adjustRightInd w:val="0"/>
        <w:spacing w:after="0" w:line="240" w:lineRule="auto"/>
        <w:rPr>
          <w:rFonts w:ascii="Arial" w:eastAsia="Arial" w:hAnsi="Arial" w:cs="Arial"/>
          <w:color w:val="auto"/>
        </w:rPr>
      </w:pPr>
      <w:r w:rsidRPr="003C7E62">
        <w:rPr>
          <w:rFonts w:ascii="Arial" w:eastAsia="Arial" w:hAnsi="Arial" w:cs="Arial"/>
          <w:color w:val="auto"/>
        </w:rPr>
        <w:t>manages surface water run-off as close to the source as possible;</w:t>
      </w:r>
    </w:p>
    <w:p w14:paraId="346ABA28" w14:textId="77777777" w:rsidR="008008F0" w:rsidRPr="003C7E62" w:rsidRDefault="008008F0" w:rsidP="00874A98">
      <w:pPr>
        <w:pStyle w:val="ListParagraph"/>
        <w:numPr>
          <w:ilvl w:val="0"/>
          <w:numId w:val="123"/>
        </w:numPr>
        <w:autoSpaceDE w:val="0"/>
        <w:autoSpaceDN w:val="0"/>
        <w:adjustRightInd w:val="0"/>
        <w:spacing w:after="0" w:line="240" w:lineRule="auto"/>
        <w:rPr>
          <w:rFonts w:ascii="Arial" w:eastAsia="Arial" w:hAnsi="Arial" w:cs="Arial"/>
          <w:color w:val="auto"/>
        </w:rPr>
      </w:pPr>
      <w:r w:rsidRPr="003C7E62">
        <w:rPr>
          <w:rFonts w:ascii="Arial" w:eastAsia="Arial" w:hAnsi="Arial" w:cs="Arial"/>
          <w:color w:val="auto"/>
        </w:rPr>
        <w:lastRenderedPageBreak/>
        <w:t>mimics natural drainage;</w:t>
      </w:r>
    </w:p>
    <w:p w14:paraId="1AB5021D" w14:textId="08E0D57C" w:rsidR="008008F0" w:rsidRPr="003C7E62" w:rsidRDefault="008008F0" w:rsidP="00874A98">
      <w:pPr>
        <w:pStyle w:val="ListParagraph"/>
        <w:numPr>
          <w:ilvl w:val="0"/>
          <w:numId w:val="123"/>
        </w:numPr>
        <w:autoSpaceDE w:val="0"/>
        <w:autoSpaceDN w:val="0"/>
        <w:adjustRightInd w:val="0"/>
        <w:spacing w:after="0" w:line="240" w:lineRule="auto"/>
        <w:rPr>
          <w:rFonts w:ascii="Arial" w:eastAsia="Arial" w:hAnsi="Arial" w:cs="Arial"/>
          <w:color w:val="auto"/>
        </w:rPr>
      </w:pPr>
      <w:r w:rsidRPr="003C7E62">
        <w:rPr>
          <w:rFonts w:ascii="Arial" w:eastAsia="Arial" w:hAnsi="Arial" w:cs="Arial"/>
          <w:color w:val="auto"/>
        </w:rPr>
        <w:t>minimises pollution and flood risk resulting from new development.</w:t>
      </w:r>
    </w:p>
    <w:p w14:paraId="41806B46" w14:textId="77777777" w:rsidR="008008F0" w:rsidRPr="003C7E62" w:rsidRDefault="008008F0" w:rsidP="008008F0">
      <w:pPr>
        <w:keepNext w:val="0"/>
        <w:autoSpaceDE w:val="0"/>
        <w:autoSpaceDN w:val="0"/>
        <w:adjustRightInd w:val="0"/>
        <w:spacing w:before="0"/>
        <w:ind w:left="709"/>
        <w:rPr>
          <w:rFonts w:eastAsia="Arial" w:cs="Arial"/>
          <w:color w:val="auto"/>
        </w:rPr>
      </w:pPr>
    </w:p>
    <w:p w14:paraId="05CF7CDE" w14:textId="0FA441F2" w:rsidR="00010C3D" w:rsidRPr="00E60404" w:rsidRDefault="00DE2722" w:rsidP="00E60404">
      <w:pPr>
        <w:keepNext w:val="0"/>
        <w:numPr>
          <w:ilvl w:val="1"/>
          <w:numId w:val="3"/>
        </w:numPr>
        <w:tabs>
          <w:tab w:val="clear" w:pos="525"/>
        </w:tabs>
        <w:autoSpaceDE w:val="0"/>
        <w:autoSpaceDN w:val="0"/>
        <w:adjustRightInd w:val="0"/>
        <w:spacing w:before="0"/>
        <w:ind w:left="709" w:hanging="709"/>
        <w:rPr>
          <w:rFonts w:eastAsia="Arial" w:cs="Arial"/>
          <w:color w:val="auto"/>
        </w:rPr>
      </w:pPr>
      <w:r w:rsidRPr="003C7E62">
        <w:rPr>
          <w:rFonts w:eastAsia="Arial" w:cs="Arial"/>
          <w:color w:val="auto"/>
        </w:rPr>
        <w:t xml:space="preserve">SUDS includes </w:t>
      </w:r>
      <w:proofErr w:type="gramStart"/>
      <w:r w:rsidRPr="003C7E62">
        <w:rPr>
          <w:rFonts w:eastAsia="Arial" w:cs="Arial"/>
          <w:color w:val="auto"/>
        </w:rPr>
        <w:t>taking into account</w:t>
      </w:r>
      <w:proofErr w:type="gramEnd"/>
      <w:r w:rsidRPr="003C7E62">
        <w:rPr>
          <w:rFonts w:eastAsia="Arial" w:cs="Arial"/>
          <w:color w:val="auto"/>
        </w:rPr>
        <w:t xml:space="preserve"> long term environmental and social aspects in decision making about drainage systems; thereby increasing the value of properties affected and encouraging people to use external space. SUDS schemes bring multiple benefits by reducing flood risk, improving water quality, providing amenity areas, improving and providing habitats and creating attractive places.</w:t>
      </w:r>
    </w:p>
    <w:p w14:paraId="08CA6284" w14:textId="77777777" w:rsidR="008008F0" w:rsidRPr="003C7E62" w:rsidRDefault="008008F0" w:rsidP="008008F0">
      <w:pPr>
        <w:keepNext w:val="0"/>
        <w:autoSpaceDE w:val="0"/>
        <w:autoSpaceDN w:val="0"/>
        <w:adjustRightInd w:val="0"/>
        <w:spacing w:before="0"/>
        <w:ind w:left="709"/>
        <w:rPr>
          <w:rFonts w:eastAsia="Arial" w:cs="Arial"/>
          <w:color w:val="auto"/>
        </w:rPr>
      </w:pPr>
    </w:p>
    <w:p w14:paraId="0E008099" w14:textId="2BEECC73" w:rsidR="00F30460" w:rsidRPr="00F30460" w:rsidRDefault="00DE2722" w:rsidP="00F30460">
      <w:pPr>
        <w:keepNext w:val="0"/>
        <w:numPr>
          <w:ilvl w:val="1"/>
          <w:numId w:val="3"/>
        </w:numPr>
        <w:tabs>
          <w:tab w:val="clear" w:pos="525"/>
        </w:tabs>
        <w:autoSpaceDE w:val="0"/>
        <w:autoSpaceDN w:val="0"/>
        <w:adjustRightInd w:val="0"/>
        <w:spacing w:before="0"/>
        <w:ind w:left="709" w:hanging="709"/>
        <w:rPr>
          <w:rFonts w:eastAsia="Arial" w:cs="Arial"/>
          <w:color w:val="auto"/>
        </w:rPr>
      </w:pPr>
      <w:r w:rsidRPr="003C7E62">
        <w:rPr>
          <w:rFonts w:eastAsia="Arial" w:cs="Arial"/>
          <w:color w:val="auto"/>
        </w:rPr>
        <w:t>The SUDS approach is presented in The SUDS Manual which includes methodologies for both outline and detailed drainage assessments for the site.  Ideally, water should be dealt with at the individual property where it falls (source control) and appropriate measures can include green roofs, permeable surfaces and rainwater harvesting. Run-off from larger areas such as part of a housing estate, major roads or business parks may be dealt with by swales and detention basins.</w:t>
      </w:r>
    </w:p>
    <w:p w14:paraId="0095B417" w14:textId="77777777" w:rsidR="008008F0" w:rsidRPr="003C7E62" w:rsidRDefault="008008F0" w:rsidP="008008F0">
      <w:pPr>
        <w:pStyle w:val="ListParagraph"/>
        <w:tabs>
          <w:tab w:val="left" w:pos="680"/>
        </w:tabs>
        <w:spacing w:after="0" w:line="240" w:lineRule="auto"/>
        <w:ind w:left="525"/>
        <w:rPr>
          <w:rFonts w:ascii="Arial" w:eastAsia="Arial" w:hAnsi="Arial" w:cs="Arial"/>
          <w:b/>
          <w:color w:val="538135"/>
        </w:rPr>
      </w:pPr>
    </w:p>
    <w:p w14:paraId="23F3BCBA" w14:textId="32018D47" w:rsidR="008008F0" w:rsidRDefault="008008F0" w:rsidP="008008F0">
      <w:pPr>
        <w:pStyle w:val="ListParagraph"/>
        <w:tabs>
          <w:tab w:val="left" w:pos="680"/>
        </w:tabs>
        <w:spacing w:after="0" w:line="240" w:lineRule="auto"/>
        <w:ind w:left="680"/>
        <w:rPr>
          <w:rFonts w:ascii="Arial" w:eastAsia="Arial" w:hAnsi="Arial" w:cs="Arial"/>
          <w:b/>
          <w:color w:val="auto"/>
        </w:rPr>
      </w:pPr>
      <w:r w:rsidRPr="003C7E62">
        <w:rPr>
          <w:rFonts w:ascii="Arial" w:eastAsia="Arial" w:hAnsi="Arial" w:cs="Arial"/>
          <w:b/>
          <w:color w:val="auto"/>
        </w:rPr>
        <w:t>Agriculture</w:t>
      </w:r>
    </w:p>
    <w:p w14:paraId="7301185B" w14:textId="77777777" w:rsidR="005334C0" w:rsidRDefault="005334C0" w:rsidP="008008F0">
      <w:pPr>
        <w:pStyle w:val="ListParagraph"/>
        <w:tabs>
          <w:tab w:val="left" w:pos="680"/>
        </w:tabs>
        <w:spacing w:after="0" w:line="240" w:lineRule="auto"/>
        <w:ind w:left="680"/>
        <w:rPr>
          <w:rFonts w:ascii="Arial" w:eastAsia="Arial" w:hAnsi="Arial" w:cs="Arial"/>
          <w:b/>
          <w:color w:val="auto"/>
        </w:rPr>
      </w:pPr>
    </w:p>
    <w:p w14:paraId="1A3C8903" w14:textId="29C18F04" w:rsidR="00FC2A72" w:rsidRPr="004A5D83" w:rsidRDefault="00DE2722" w:rsidP="00054236">
      <w:pPr>
        <w:keepNext w:val="0"/>
        <w:numPr>
          <w:ilvl w:val="1"/>
          <w:numId w:val="3"/>
        </w:numPr>
        <w:tabs>
          <w:tab w:val="clear" w:pos="525"/>
        </w:tabs>
        <w:autoSpaceDE w:val="0"/>
        <w:autoSpaceDN w:val="0"/>
        <w:adjustRightInd w:val="0"/>
        <w:spacing w:before="0"/>
        <w:ind w:left="709" w:hanging="709"/>
        <w:rPr>
          <w:rFonts w:cs="Arial"/>
          <w:b/>
          <w:bCs/>
          <w:szCs w:val="24"/>
        </w:rPr>
      </w:pPr>
      <w:r w:rsidRPr="004A5D83">
        <w:rPr>
          <w:rFonts w:eastAsia="Arial" w:cs="Arial"/>
          <w:color w:val="auto"/>
          <w:szCs w:val="24"/>
        </w:rPr>
        <w:t xml:space="preserve">Agricultural practices can have substantial impacts on the ability of land to store water, regulate and balance river flows and remove pollutants. However, agriculture practice is largely outside the planning system and flooding issues in relation to agriculture are dependent on other legislative control measures </w:t>
      </w:r>
      <w:r w:rsidR="004A5D83" w:rsidRPr="004A5D83">
        <w:rPr>
          <w:rFonts w:eastAsia="Arial" w:cs="Arial"/>
          <w:color w:val="auto"/>
          <w:szCs w:val="24"/>
        </w:rPr>
        <w:t>and other policy actions</w:t>
      </w:r>
      <w:r w:rsidRPr="004A5D83">
        <w:rPr>
          <w:rFonts w:eastAsia="Arial" w:cs="Arial"/>
          <w:color w:val="auto"/>
          <w:szCs w:val="24"/>
        </w:rPr>
        <w:t xml:space="preserve">. </w:t>
      </w:r>
    </w:p>
    <w:p w14:paraId="2AF7A7EC" w14:textId="77777777" w:rsidR="00023DC3" w:rsidRDefault="00023DC3" w:rsidP="00D210FC">
      <w:pPr>
        <w:keepNext w:val="0"/>
        <w:autoSpaceDE w:val="0"/>
        <w:autoSpaceDN w:val="0"/>
        <w:adjustRightInd w:val="0"/>
        <w:spacing w:before="0"/>
        <w:rPr>
          <w:rFonts w:cs="Arial"/>
          <w:b/>
          <w:bCs/>
          <w:szCs w:val="24"/>
        </w:rPr>
        <w:sectPr w:rsidR="00023DC3" w:rsidSect="00A73757">
          <w:headerReference w:type="default" r:id="rId50"/>
          <w:pgSz w:w="11906" w:h="16838" w:code="9"/>
          <w:pgMar w:top="1258" w:right="1133" w:bottom="1079" w:left="1134" w:header="709" w:footer="709" w:gutter="0"/>
          <w:cols w:space="708"/>
          <w:docGrid w:linePitch="360"/>
        </w:sectPr>
      </w:pPr>
    </w:p>
    <w:p w14:paraId="24EAF746" w14:textId="4CD84827" w:rsidR="00DA4833" w:rsidRPr="003C7E62" w:rsidRDefault="00DA4833" w:rsidP="00CF07B9">
      <w:pPr>
        <w:pStyle w:val="Heading1"/>
      </w:pPr>
      <w:bookmarkStart w:id="161" w:name="_Toc145511573"/>
      <w:bookmarkEnd w:id="142"/>
      <w:r w:rsidRPr="003C7E62">
        <w:lastRenderedPageBreak/>
        <w:t>Chapter 5</w:t>
      </w:r>
      <w:bookmarkEnd w:id="161"/>
    </w:p>
    <w:p w14:paraId="651CF412" w14:textId="77777777" w:rsidR="00DA4833" w:rsidRPr="003C7E62" w:rsidRDefault="00DA4833" w:rsidP="008008F0">
      <w:pPr>
        <w:keepNext w:val="0"/>
        <w:spacing w:before="0"/>
        <w:rPr>
          <w:rFonts w:cs="Arial"/>
          <w:b/>
          <w:color w:val="auto"/>
          <w:sz w:val="36"/>
          <w:szCs w:val="36"/>
        </w:rPr>
      </w:pPr>
    </w:p>
    <w:p w14:paraId="777FEE0F" w14:textId="3AA253A2" w:rsidR="00084ABA" w:rsidRPr="00FC2A72" w:rsidRDefault="005F1B0D" w:rsidP="00CF07B9">
      <w:pPr>
        <w:pStyle w:val="Heading1"/>
      </w:pPr>
      <w:bookmarkStart w:id="162" w:name="_Toc145511574"/>
      <w:bookmarkStart w:id="163" w:name="_Hlk146197859"/>
      <w:r w:rsidRPr="005F1B0D">
        <w:t>Protecting and enhancing Ashfield’s character through its natural environment and heritage</w:t>
      </w:r>
      <w:bookmarkEnd w:id="162"/>
    </w:p>
    <w:bookmarkEnd w:id="163"/>
    <w:p w14:paraId="565DB611" w14:textId="641E90FA" w:rsidR="00DA4833" w:rsidRPr="00FC2A72" w:rsidRDefault="00DA4833" w:rsidP="008008F0">
      <w:pPr>
        <w:keepNext w:val="0"/>
        <w:autoSpaceDE w:val="0"/>
        <w:autoSpaceDN w:val="0"/>
        <w:adjustRightInd w:val="0"/>
        <w:spacing w:before="0"/>
        <w:rPr>
          <w:rFonts w:cs="Arial"/>
          <w:b/>
          <w:bCs/>
          <w:color w:val="auto"/>
          <w:szCs w:val="24"/>
        </w:rPr>
      </w:pPr>
    </w:p>
    <w:p w14:paraId="09633186" w14:textId="5606F2BB" w:rsidR="008C6D89" w:rsidRPr="00995322" w:rsidRDefault="006977E7" w:rsidP="00995322">
      <w:pPr>
        <w:pStyle w:val="Heading2"/>
        <w:jc w:val="left"/>
        <w:rPr>
          <w:rFonts w:eastAsia="Arial"/>
          <w:sz w:val="28"/>
          <w:szCs w:val="28"/>
        </w:rPr>
      </w:pPr>
      <w:bookmarkStart w:id="164" w:name="_Toc145511575"/>
      <w:bookmarkStart w:id="165" w:name="_Hlk75501443"/>
      <w:r w:rsidRPr="00995322">
        <w:rPr>
          <w:sz w:val="28"/>
          <w:szCs w:val="28"/>
        </w:rPr>
        <w:t xml:space="preserve">Policy </w:t>
      </w:r>
      <w:r w:rsidR="008C6D89" w:rsidRPr="00995322">
        <w:rPr>
          <w:sz w:val="28"/>
          <w:szCs w:val="28"/>
        </w:rPr>
        <w:t xml:space="preserve">EV1: </w:t>
      </w:r>
      <w:r w:rsidR="008C6D89" w:rsidRPr="00995322">
        <w:rPr>
          <w:rFonts w:eastAsia="Arial"/>
          <w:sz w:val="28"/>
          <w:szCs w:val="28"/>
        </w:rPr>
        <w:t>Green Belt</w:t>
      </w:r>
      <w:bookmarkEnd w:id="164"/>
    </w:p>
    <w:p w14:paraId="5F88191B" w14:textId="77777777" w:rsidR="008526EA" w:rsidRPr="003C7E62" w:rsidRDefault="008526EA" w:rsidP="008008F0">
      <w:pPr>
        <w:keepNext w:val="0"/>
        <w:spacing w:before="0"/>
        <w:ind w:left="527"/>
        <w:rPr>
          <w:rFonts w:cs="Arial"/>
          <w:b/>
          <w:bCs/>
          <w:color w:val="auto"/>
          <w:szCs w:val="24"/>
          <w:lang w:eastAsia="en-US"/>
        </w:rPr>
      </w:pPr>
    </w:p>
    <w:p w14:paraId="543CB630" w14:textId="207E1A4A" w:rsidR="008C6D89" w:rsidRPr="007955CB" w:rsidRDefault="008C6D89" w:rsidP="008008F0">
      <w:pPr>
        <w:keepNext w:val="0"/>
        <w:numPr>
          <w:ilvl w:val="1"/>
          <w:numId w:val="5"/>
        </w:numPr>
        <w:tabs>
          <w:tab w:val="clear" w:pos="525"/>
        </w:tabs>
        <w:spacing w:before="0"/>
        <w:ind w:left="709" w:hanging="709"/>
        <w:rPr>
          <w:rFonts w:cs="Arial"/>
          <w:color w:val="auto"/>
          <w:szCs w:val="24"/>
          <w:lang w:eastAsia="en-US"/>
        </w:rPr>
      </w:pPr>
      <w:r w:rsidRPr="008C6D89">
        <w:rPr>
          <w:rFonts w:cs="Arial"/>
          <w:color w:val="auto"/>
          <w:lang w:eastAsia="en-US"/>
        </w:rPr>
        <w:t>This</w:t>
      </w:r>
      <w:r w:rsidR="00715236" w:rsidRPr="00715236">
        <w:rPr>
          <w:rFonts w:cs="Arial"/>
          <w:color w:val="0070C0"/>
          <w:lang w:eastAsia="en-US"/>
        </w:rPr>
        <w:t xml:space="preserve"> </w:t>
      </w:r>
      <w:r w:rsidRPr="008C6D89">
        <w:rPr>
          <w:rFonts w:cs="Arial"/>
          <w:color w:val="auto"/>
          <w:lang w:eastAsia="en-US"/>
        </w:rPr>
        <w:t xml:space="preserve">policy aims to protect the Green Belt from inappropriate development, except in very special circumstances.  The essential characteristic of Green Belts are their openness and their permanence.  The </w:t>
      </w:r>
      <w:r w:rsidR="00215F98">
        <w:rPr>
          <w:rFonts w:cs="Arial"/>
          <w:color w:val="auto"/>
          <w:lang w:eastAsia="en-US"/>
        </w:rPr>
        <w:t>P</w:t>
      </w:r>
      <w:r w:rsidRPr="008C6D89">
        <w:rPr>
          <w:rFonts w:cs="Arial"/>
          <w:color w:val="auto"/>
          <w:lang w:eastAsia="en-US"/>
        </w:rPr>
        <w:t xml:space="preserve">olicy is a restatement of national advice, included in the Local Plan for completeness. </w:t>
      </w:r>
    </w:p>
    <w:p w14:paraId="4E9B7BC5" w14:textId="3DE81500" w:rsidR="007955CB" w:rsidRDefault="007955CB" w:rsidP="007955CB">
      <w:pPr>
        <w:keepNext w:val="0"/>
        <w:spacing w:before="0"/>
        <w:ind w:left="709"/>
        <w:rPr>
          <w:rFonts w:cs="Arial"/>
          <w:color w:val="auto"/>
          <w:lang w:eastAsia="en-US"/>
        </w:rPr>
      </w:pPr>
    </w:p>
    <w:tbl>
      <w:tblPr>
        <w:tblStyle w:val="TableGrid6"/>
        <w:tblW w:w="0" w:type="auto"/>
        <w:tblLook w:val="04A0" w:firstRow="1" w:lastRow="0" w:firstColumn="1" w:lastColumn="0" w:noHBand="0" w:noVBand="1"/>
      </w:tblPr>
      <w:tblGrid>
        <w:gridCol w:w="2246"/>
        <w:gridCol w:w="296"/>
        <w:gridCol w:w="7077"/>
      </w:tblGrid>
      <w:tr w:rsidR="007955CB" w:rsidRPr="007955CB" w14:paraId="2D9CAB0E" w14:textId="77777777" w:rsidTr="00C01E11">
        <w:tc>
          <w:tcPr>
            <w:tcW w:w="9619" w:type="dxa"/>
            <w:gridSpan w:val="3"/>
            <w:tcBorders>
              <w:top w:val="single" w:sz="8" w:space="0" w:color="auto"/>
              <w:left w:val="single" w:sz="8" w:space="0" w:color="auto"/>
              <w:bottom w:val="single" w:sz="8" w:space="0" w:color="auto"/>
              <w:right w:val="single" w:sz="8" w:space="0" w:color="auto"/>
            </w:tcBorders>
          </w:tcPr>
          <w:p w14:paraId="745DBE0F" w14:textId="77777777" w:rsidR="00FC2A72" w:rsidRDefault="00FC2A72" w:rsidP="007955CB">
            <w:pPr>
              <w:keepNext w:val="0"/>
              <w:spacing w:before="0"/>
              <w:contextualSpacing/>
              <w:jc w:val="left"/>
              <w:rPr>
                <w:b/>
                <w:bCs/>
                <w:color w:val="auto"/>
              </w:rPr>
            </w:pPr>
          </w:p>
          <w:p w14:paraId="4DCA0228" w14:textId="184100F7" w:rsidR="007955CB" w:rsidRDefault="007955CB" w:rsidP="007955CB">
            <w:pPr>
              <w:keepNext w:val="0"/>
              <w:spacing w:before="0"/>
              <w:contextualSpacing/>
              <w:jc w:val="left"/>
              <w:rPr>
                <w:b/>
                <w:bCs/>
                <w:color w:val="auto"/>
              </w:rPr>
            </w:pPr>
            <w:r w:rsidRPr="00FC2A72">
              <w:rPr>
                <w:b/>
                <w:bCs/>
                <w:color w:val="auto"/>
              </w:rPr>
              <w:t>Policy EV1:  Green Belt</w:t>
            </w:r>
          </w:p>
          <w:p w14:paraId="10DDF214" w14:textId="44FA34D7" w:rsidR="00FC2A72" w:rsidRPr="00FC2A72" w:rsidRDefault="00FC2A72" w:rsidP="007955CB">
            <w:pPr>
              <w:keepNext w:val="0"/>
              <w:spacing w:before="0"/>
              <w:contextualSpacing/>
              <w:jc w:val="left"/>
              <w:rPr>
                <w:b/>
                <w:bCs/>
                <w:color w:val="auto"/>
              </w:rPr>
            </w:pPr>
          </w:p>
        </w:tc>
      </w:tr>
      <w:tr w:rsidR="007955CB" w:rsidRPr="007955CB" w14:paraId="233A920B" w14:textId="77777777" w:rsidTr="00E60404">
        <w:tc>
          <w:tcPr>
            <w:tcW w:w="2542" w:type="dxa"/>
            <w:gridSpan w:val="2"/>
            <w:tcBorders>
              <w:top w:val="single" w:sz="8" w:space="0" w:color="auto"/>
              <w:left w:val="single" w:sz="8" w:space="0" w:color="auto"/>
              <w:bottom w:val="single" w:sz="8" w:space="0" w:color="auto"/>
              <w:right w:val="single" w:sz="8" w:space="0" w:color="auto"/>
            </w:tcBorders>
          </w:tcPr>
          <w:p w14:paraId="6E5AFDFE" w14:textId="57FBEC7A" w:rsidR="007955CB" w:rsidRPr="007955CB" w:rsidRDefault="00D55F3C" w:rsidP="007955CB">
            <w:pPr>
              <w:keepNext w:val="0"/>
              <w:spacing w:before="0"/>
              <w:contextualSpacing/>
              <w:jc w:val="left"/>
              <w:rPr>
                <w:color w:val="auto"/>
              </w:rPr>
            </w:pPr>
            <w:r>
              <w:rPr>
                <w:color w:val="auto"/>
              </w:rPr>
              <w:t>S</w:t>
            </w:r>
            <w:r w:rsidRPr="007955CB">
              <w:rPr>
                <w:color w:val="auto"/>
              </w:rPr>
              <w:t>trategic</w:t>
            </w:r>
            <w:r w:rsidR="007955CB" w:rsidRPr="007955CB">
              <w:rPr>
                <w:color w:val="auto"/>
              </w:rPr>
              <w:t xml:space="preserve"> Objectives</w:t>
            </w:r>
          </w:p>
        </w:tc>
        <w:tc>
          <w:tcPr>
            <w:tcW w:w="7077" w:type="dxa"/>
            <w:tcBorders>
              <w:top w:val="single" w:sz="8" w:space="0" w:color="auto"/>
              <w:left w:val="single" w:sz="8" w:space="0" w:color="auto"/>
              <w:bottom w:val="single" w:sz="8" w:space="0" w:color="auto"/>
              <w:right w:val="single" w:sz="8" w:space="0" w:color="auto"/>
            </w:tcBorders>
          </w:tcPr>
          <w:p w14:paraId="3D606068" w14:textId="77777777" w:rsidR="007955CB" w:rsidRDefault="007955CB" w:rsidP="007955CB">
            <w:pPr>
              <w:keepNext w:val="0"/>
              <w:spacing w:before="0"/>
              <w:contextualSpacing/>
              <w:jc w:val="left"/>
              <w:rPr>
                <w:color w:val="auto"/>
              </w:rPr>
            </w:pPr>
            <w:r w:rsidRPr="007955CB">
              <w:rPr>
                <w:color w:val="auto"/>
              </w:rPr>
              <w:t>SO1, SO2, SO3, SO5, SO6, SO12, SO13, SO14.</w:t>
            </w:r>
          </w:p>
          <w:p w14:paraId="33CEE52C" w14:textId="77777777" w:rsidR="001012CC" w:rsidRPr="007955CB" w:rsidRDefault="001012CC" w:rsidP="007955CB">
            <w:pPr>
              <w:keepNext w:val="0"/>
              <w:spacing w:before="0"/>
              <w:contextualSpacing/>
              <w:jc w:val="left"/>
              <w:rPr>
                <w:color w:val="auto"/>
              </w:rPr>
            </w:pPr>
          </w:p>
        </w:tc>
      </w:tr>
      <w:tr w:rsidR="007955CB" w:rsidRPr="007955CB" w14:paraId="64585EBA" w14:textId="77777777" w:rsidTr="00C01E11">
        <w:tc>
          <w:tcPr>
            <w:tcW w:w="9619" w:type="dxa"/>
            <w:gridSpan w:val="3"/>
            <w:tcBorders>
              <w:top w:val="single" w:sz="8" w:space="0" w:color="auto"/>
              <w:left w:val="single" w:sz="8" w:space="0" w:color="auto"/>
              <w:bottom w:val="single" w:sz="8" w:space="0" w:color="auto"/>
              <w:right w:val="single" w:sz="8" w:space="0" w:color="auto"/>
            </w:tcBorders>
            <w:shd w:val="clear" w:color="auto" w:fill="E2EFD9"/>
          </w:tcPr>
          <w:p w14:paraId="1901674C" w14:textId="77777777" w:rsidR="007955CB" w:rsidRPr="007955CB" w:rsidRDefault="007955CB" w:rsidP="007955CB">
            <w:pPr>
              <w:keepNext w:val="0"/>
              <w:spacing w:before="0"/>
              <w:contextualSpacing/>
              <w:jc w:val="left"/>
              <w:rPr>
                <w:color w:val="auto"/>
              </w:rPr>
            </w:pPr>
          </w:p>
          <w:p w14:paraId="65E48408" w14:textId="77777777" w:rsidR="007955CB" w:rsidRPr="007955CB" w:rsidRDefault="007955CB" w:rsidP="00874A98">
            <w:pPr>
              <w:keepNext w:val="0"/>
              <w:numPr>
                <w:ilvl w:val="0"/>
                <w:numId w:val="223"/>
              </w:numPr>
              <w:spacing w:before="0"/>
              <w:contextualSpacing/>
              <w:jc w:val="left"/>
              <w:rPr>
                <w:color w:val="auto"/>
              </w:rPr>
            </w:pPr>
            <w:r w:rsidRPr="007955CB">
              <w:rPr>
                <w:color w:val="auto"/>
              </w:rPr>
              <w:t>In the Green Belt, as defined on the Policies Map, permission for any inappropriate development which is, by definition, harmful to the Green Belt, should not be approved except in very special circumstances. Very special circumstances will not exist unless the potential harm to the Green Belt by reason of inappropriateness, and any other harm resulting from the proposal, is clearly outweighed by other considerations.</w:t>
            </w:r>
          </w:p>
          <w:p w14:paraId="0AAA144E" w14:textId="77777777" w:rsidR="007955CB" w:rsidRPr="007955CB" w:rsidRDefault="007955CB" w:rsidP="007955CB">
            <w:pPr>
              <w:keepNext w:val="0"/>
              <w:spacing w:before="0"/>
              <w:ind w:left="360"/>
              <w:contextualSpacing/>
              <w:jc w:val="left"/>
              <w:rPr>
                <w:color w:val="auto"/>
              </w:rPr>
            </w:pPr>
          </w:p>
          <w:p w14:paraId="39D9AF4E" w14:textId="77777777" w:rsidR="007955CB" w:rsidRPr="007955CB" w:rsidRDefault="007955CB" w:rsidP="00874A98">
            <w:pPr>
              <w:keepNext w:val="0"/>
              <w:numPr>
                <w:ilvl w:val="0"/>
                <w:numId w:val="223"/>
              </w:numPr>
              <w:spacing w:before="0"/>
              <w:contextualSpacing/>
              <w:jc w:val="left"/>
              <w:rPr>
                <w:color w:val="auto"/>
              </w:rPr>
            </w:pPr>
            <w:r w:rsidRPr="007955CB">
              <w:rPr>
                <w:color w:val="auto"/>
              </w:rPr>
              <w:t xml:space="preserve">The Council will regard the construction of new buildings as inappropriate in the Green Belt, other than: </w:t>
            </w:r>
          </w:p>
          <w:p w14:paraId="6F271B4D" w14:textId="77777777" w:rsidR="007955CB" w:rsidRPr="007955CB" w:rsidRDefault="007955CB" w:rsidP="007955CB">
            <w:pPr>
              <w:keepNext w:val="0"/>
              <w:spacing w:before="0"/>
              <w:rPr>
                <w:color w:val="auto"/>
              </w:rPr>
            </w:pPr>
          </w:p>
          <w:p w14:paraId="4A4F3C41" w14:textId="77777777" w:rsidR="007955CB" w:rsidRPr="00DF2EBC" w:rsidRDefault="007955CB" w:rsidP="007955CB">
            <w:pPr>
              <w:keepNext w:val="0"/>
              <w:spacing w:before="0"/>
              <w:ind w:left="360"/>
              <w:rPr>
                <w:b/>
                <w:bCs/>
                <w:color w:val="auto"/>
              </w:rPr>
            </w:pPr>
            <w:r w:rsidRPr="00DF2EBC">
              <w:rPr>
                <w:b/>
                <w:bCs/>
                <w:color w:val="auto"/>
              </w:rPr>
              <w:t xml:space="preserve">New Buildings &amp; Facilities </w:t>
            </w:r>
          </w:p>
          <w:p w14:paraId="5CC75703" w14:textId="77777777" w:rsidR="007955CB" w:rsidRDefault="007955CB" w:rsidP="00874A98">
            <w:pPr>
              <w:keepNext w:val="0"/>
              <w:numPr>
                <w:ilvl w:val="0"/>
                <w:numId w:val="224"/>
              </w:numPr>
              <w:spacing w:before="0"/>
              <w:contextualSpacing/>
              <w:rPr>
                <w:color w:val="auto"/>
              </w:rPr>
            </w:pPr>
            <w:r w:rsidRPr="007955CB">
              <w:rPr>
                <w:color w:val="auto"/>
              </w:rPr>
              <w:t xml:space="preserve">The construction of new buildings for agriculture and forestry. </w:t>
            </w:r>
          </w:p>
          <w:p w14:paraId="3E412D46" w14:textId="77777777" w:rsidR="00E60404" w:rsidRPr="007955CB" w:rsidRDefault="00E60404" w:rsidP="00E60404">
            <w:pPr>
              <w:keepNext w:val="0"/>
              <w:spacing w:before="0"/>
              <w:ind w:left="720"/>
              <w:contextualSpacing/>
              <w:rPr>
                <w:color w:val="auto"/>
              </w:rPr>
            </w:pPr>
          </w:p>
          <w:p w14:paraId="66620047" w14:textId="77777777" w:rsidR="007955CB" w:rsidRPr="007955CB" w:rsidRDefault="007955CB" w:rsidP="00874A98">
            <w:pPr>
              <w:keepNext w:val="0"/>
              <w:numPr>
                <w:ilvl w:val="0"/>
                <w:numId w:val="224"/>
              </w:numPr>
              <w:spacing w:before="0"/>
              <w:contextualSpacing/>
              <w:rPr>
                <w:color w:val="auto"/>
              </w:rPr>
            </w:pPr>
            <w:r w:rsidRPr="007955CB">
              <w:rPr>
                <w:color w:val="auto"/>
              </w:rPr>
              <w:t xml:space="preserve">The provision of appropriate facilities (in connection with the existing use of land or a change of use) for outdoor sport, outdoor recreation, cemeteries and burial grounds and allotments, </w:t>
            </w:r>
            <w:proofErr w:type="gramStart"/>
            <w:r w:rsidRPr="007955CB">
              <w:rPr>
                <w:color w:val="auto"/>
              </w:rPr>
              <w:t>as long as</w:t>
            </w:r>
            <w:proofErr w:type="gramEnd"/>
            <w:r w:rsidRPr="007955CB">
              <w:rPr>
                <w:color w:val="auto"/>
              </w:rPr>
              <w:t xml:space="preserve"> the facilities preserves the openness of the Green Belt and does not conflict with the purposes of including land within it.</w:t>
            </w:r>
          </w:p>
          <w:p w14:paraId="58B19D1A" w14:textId="77777777" w:rsidR="007955CB" w:rsidRPr="007955CB" w:rsidRDefault="007955CB" w:rsidP="007955CB">
            <w:pPr>
              <w:keepNext w:val="0"/>
              <w:spacing w:before="0"/>
              <w:ind w:left="360"/>
              <w:rPr>
                <w:color w:val="auto"/>
              </w:rPr>
            </w:pPr>
          </w:p>
          <w:p w14:paraId="30E4CB35" w14:textId="77777777" w:rsidR="007955CB" w:rsidRPr="00DF2EBC" w:rsidRDefault="007955CB" w:rsidP="007955CB">
            <w:pPr>
              <w:keepNext w:val="0"/>
              <w:spacing w:before="0"/>
              <w:ind w:left="360"/>
              <w:rPr>
                <w:b/>
                <w:bCs/>
                <w:color w:val="auto"/>
              </w:rPr>
            </w:pPr>
            <w:r w:rsidRPr="00DF2EBC">
              <w:rPr>
                <w:b/>
                <w:bCs/>
                <w:color w:val="auto"/>
              </w:rPr>
              <w:t xml:space="preserve">Extension or Alteration </w:t>
            </w:r>
          </w:p>
          <w:p w14:paraId="54548526" w14:textId="77777777" w:rsidR="007955CB" w:rsidRPr="007955CB" w:rsidRDefault="007955CB" w:rsidP="00874A98">
            <w:pPr>
              <w:keepNext w:val="0"/>
              <w:numPr>
                <w:ilvl w:val="0"/>
                <w:numId w:val="224"/>
              </w:numPr>
              <w:spacing w:before="0"/>
              <w:contextualSpacing/>
              <w:rPr>
                <w:color w:val="auto"/>
              </w:rPr>
            </w:pPr>
            <w:r w:rsidRPr="007955CB">
              <w:rPr>
                <w:color w:val="auto"/>
              </w:rPr>
              <w:t>The extension or alteration of a building within the Green Belt, where the proposal does not result in disproportionate additions over and above the size of the original building.</w:t>
            </w:r>
          </w:p>
          <w:p w14:paraId="4984D4ED" w14:textId="77777777" w:rsidR="007955CB" w:rsidRPr="007955CB" w:rsidRDefault="007955CB" w:rsidP="007955CB">
            <w:pPr>
              <w:keepNext w:val="0"/>
              <w:spacing w:before="0"/>
              <w:ind w:left="720"/>
              <w:contextualSpacing/>
              <w:rPr>
                <w:color w:val="auto"/>
              </w:rPr>
            </w:pPr>
          </w:p>
          <w:p w14:paraId="07E964F0" w14:textId="340DB64D" w:rsidR="007955CB" w:rsidRPr="00DF2EBC" w:rsidRDefault="007955CB" w:rsidP="005334C0">
            <w:pPr>
              <w:keepNext w:val="0"/>
              <w:spacing w:before="0"/>
              <w:ind w:firstLine="313"/>
              <w:contextualSpacing/>
              <w:rPr>
                <w:b/>
                <w:bCs/>
                <w:color w:val="auto"/>
              </w:rPr>
            </w:pPr>
            <w:r w:rsidRPr="00DF2EBC">
              <w:rPr>
                <w:b/>
                <w:bCs/>
                <w:color w:val="auto"/>
              </w:rPr>
              <w:t>Replacement of an Existing Building</w:t>
            </w:r>
          </w:p>
          <w:p w14:paraId="1FD200B0" w14:textId="77777777" w:rsidR="007955CB" w:rsidRPr="007955CB" w:rsidRDefault="007955CB" w:rsidP="00874A98">
            <w:pPr>
              <w:keepNext w:val="0"/>
              <w:numPr>
                <w:ilvl w:val="0"/>
                <w:numId w:val="224"/>
              </w:numPr>
              <w:spacing w:before="0"/>
              <w:contextualSpacing/>
              <w:rPr>
                <w:color w:val="auto"/>
              </w:rPr>
            </w:pPr>
            <w:r w:rsidRPr="007955CB">
              <w:rPr>
                <w:color w:val="auto"/>
              </w:rPr>
              <w:t>The replacement of a building within the Green Belt, where the proposed new building is in the same use and is not materially larger than the building it is replacing.</w:t>
            </w:r>
          </w:p>
          <w:p w14:paraId="56712DF0" w14:textId="77777777" w:rsidR="007955CB" w:rsidRPr="007955CB" w:rsidRDefault="007955CB" w:rsidP="007955CB">
            <w:pPr>
              <w:keepNext w:val="0"/>
              <w:spacing w:before="0"/>
              <w:ind w:left="720"/>
              <w:contextualSpacing/>
              <w:rPr>
                <w:color w:val="auto"/>
              </w:rPr>
            </w:pPr>
          </w:p>
          <w:p w14:paraId="4EFC2D66" w14:textId="66EF5169" w:rsidR="007955CB" w:rsidRPr="00DF2EBC" w:rsidRDefault="007955CB" w:rsidP="005334C0">
            <w:pPr>
              <w:keepNext w:val="0"/>
              <w:spacing w:before="0"/>
              <w:ind w:firstLine="313"/>
              <w:contextualSpacing/>
              <w:rPr>
                <w:b/>
                <w:bCs/>
                <w:color w:val="auto"/>
              </w:rPr>
            </w:pPr>
            <w:r w:rsidRPr="00DF2EBC">
              <w:rPr>
                <w:b/>
                <w:bCs/>
                <w:color w:val="auto"/>
              </w:rPr>
              <w:t>Infill in Villages</w:t>
            </w:r>
          </w:p>
          <w:p w14:paraId="3B667A65" w14:textId="77777777" w:rsidR="007955CB" w:rsidRPr="007955CB" w:rsidRDefault="007955CB" w:rsidP="00874A98">
            <w:pPr>
              <w:keepNext w:val="0"/>
              <w:numPr>
                <w:ilvl w:val="0"/>
                <w:numId w:val="224"/>
              </w:numPr>
              <w:spacing w:before="0"/>
              <w:contextualSpacing/>
              <w:rPr>
                <w:color w:val="auto"/>
              </w:rPr>
            </w:pPr>
            <w:r w:rsidRPr="007955CB">
              <w:rPr>
                <w:color w:val="auto"/>
              </w:rPr>
              <w:lastRenderedPageBreak/>
              <w:t>Limited infilling in villages, and limited affordable housing for community needs under policies set out in the Local Plan.</w:t>
            </w:r>
          </w:p>
          <w:p w14:paraId="65725473" w14:textId="77777777" w:rsidR="007955CB" w:rsidRPr="007955CB" w:rsidRDefault="007955CB" w:rsidP="007955CB">
            <w:pPr>
              <w:keepNext w:val="0"/>
              <w:spacing w:before="0"/>
              <w:ind w:left="720"/>
              <w:contextualSpacing/>
              <w:rPr>
                <w:color w:val="auto"/>
              </w:rPr>
            </w:pPr>
          </w:p>
          <w:p w14:paraId="6E1E9EDC" w14:textId="25A2D3C0" w:rsidR="007955CB" w:rsidRPr="00DF2EBC" w:rsidRDefault="007955CB" w:rsidP="005334C0">
            <w:pPr>
              <w:keepNext w:val="0"/>
              <w:spacing w:before="0"/>
              <w:ind w:firstLine="313"/>
              <w:contextualSpacing/>
              <w:rPr>
                <w:b/>
                <w:bCs/>
                <w:color w:val="auto"/>
              </w:rPr>
            </w:pPr>
            <w:r w:rsidRPr="00DF2EBC">
              <w:rPr>
                <w:b/>
                <w:bCs/>
                <w:color w:val="auto"/>
              </w:rPr>
              <w:t xml:space="preserve">Infill, partial or complete redevelopment </w:t>
            </w:r>
          </w:p>
          <w:p w14:paraId="3D67C447" w14:textId="77777777" w:rsidR="007955CB" w:rsidRPr="007955CB" w:rsidRDefault="007955CB" w:rsidP="00874A98">
            <w:pPr>
              <w:keepNext w:val="0"/>
              <w:numPr>
                <w:ilvl w:val="0"/>
                <w:numId w:val="224"/>
              </w:numPr>
              <w:spacing w:before="0"/>
              <w:contextualSpacing/>
              <w:rPr>
                <w:color w:val="auto"/>
              </w:rPr>
            </w:pPr>
            <w:r w:rsidRPr="007955CB">
              <w:rPr>
                <w:color w:val="auto"/>
              </w:rPr>
              <w:t>The limited infilling or the partial or complete redevelopment of previously developed (brownfield) sites whether redundant or in continuing use (excluding temporary buildings), where the proposal would:</w:t>
            </w:r>
          </w:p>
          <w:p w14:paraId="50E199E1" w14:textId="77777777" w:rsidR="007955CB" w:rsidRPr="007955CB" w:rsidRDefault="007955CB" w:rsidP="007955CB">
            <w:pPr>
              <w:keepNext w:val="0"/>
              <w:spacing w:before="0"/>
              <w:ind w:left="720"/>
              <w:contextualSpacing/>
              <w:rPr>
                <w:color w:val="auto"/>
              </w:rPr>
            </w:pPr>
          </w:p>
          <w:p w14:paraId="79D92E84" w14:textId="77777777" w:rsidR="007955CB" w:rsidRPr="007955CB" w:rsidRDefault="007955CB" w:rsidP="00874A98">
            <w:pPr>
              <w:keepNext w:val="0"/>
              <w:numPr>
                <w:ilvl w:val="0"/>
                <w:numId w:val="225"/>
              </w:numPr>
              <w:spacing w:before="0"/>
              <w:contextualSpacing/>
              <w:rPr>
                <w:color w:val="auto"/>
              </w:rPr>
            </w:pPr>
            <w:r w:rsidRPr="007955CB">
              <w:rPr>
                <w:color w:val="auto"/>
              </w:rPr>
              <w:t>not have a greater impact on the openness of the Green Belt than the existing development; or</w:t>
            </w:r>
          </w:p>
          <w:p w14:paraId="1BDA7FBB" w14:textId="77777777" w:rsidR="007955CB" w:rsidRPr="007955CB" w:rsidRDefault="007955CB" w:rsidP="00874A98">
            <w:pPr>
              <w:keepNext w:val="0"/>
              <w:numPr>
                <w:ilvl w:val="0"/>
                <w:numId w:val="225"/>
              </w:numPr>
              <w:spacing w:before="0"/>
              <w:contextualSpacing/>
              <w:rPr>
                <w:color w:val="auto"/>
              </w:rPr>
            </w:pPr>
            <w:r w:rsidRPr="007955CB">
              <w:rPr>
                <w:color w:val="auto"/>
              </w:rPr>
              <w:t>not cause substantial harm to the openness of the Green Belt, where the development would re-use previously developed land and contribute to meeting an identified affordable need within the area.</w:t>
            </w:r>
          </w:p>
          <w:p w14:paraId="2862F37D" w14:textId="77777777" w:rsidR="007955CB" w:rsidRPr="007955CB" w:rsidRDefault="007955CB" w:rsidP="007955CB">
            <w:pPr>
              <w:keepNext w:val="0"/>
              <w:spacing w:before="0"/>
              <w:ind w:left="1080"/>
              <w:contextualSpacing/>
              <w:rPr>
                <w:color w:val="auto"/>
              </w:rPr>
            </w:pPr>
          </w:p>
          <w:p w14:paraId="7723D1FB" w14:textId="77777777" w:rsidR="007955CB" w:rsidRPr="007955CB" w:rsidRDefault="007955CB" w:rsidP="00874A98">
            <w:pPr>
              <w:keepNext w:val="0"/>
              <w:numPr>
                <w:ilvl w:val="0"/>
                <w:numId w:val="223"/>
              </w:numPr>
              <w:spacing w:before="0"/>
              <w:contextualSpacing/>
              <w:jc w:val="left"/>
              <w:rPr>
                <w:color w:val="auto"/>
              </w:rPr>
            </w:pPr>
            <w:r w:rsidRPr="007955CB">
              <w:rPr>
                <w:color w:val="auto"/>
              </w:rPr>
              <w:t>Certain other forms of development are also not inappropriate in Green Belt provided they preserve the openness of the Green Belt and do not conflict with the purpose of including land in Green Belt. These are:</w:t>
            </w:r>
          </w:p>
          <w:p w14:paraId="343B86A4" w14:textId="77777777" w:rsidR="007955CB" w:rsidRPr="007955CB" w:rsidRDefault="007955CB" w:rsidP="00874A98">
            <w:pPr>
              <w:keepNext w:val="0"/>
              <w:numPr>
                <w:ilvl w:val="0"/>
                <w:numId w:val="226"/>
              </w:numPr>
              <w:spacing w:before="0"/>
              <w:ind w:left="1156" w:hanging="425"/>
              <w:contextualSpacing/>
              <w:jc w:val="left"/>
              <w:rPr>
                <w:color w:val="auto"/>
              </w:rPr>
            </w:pPr>
            <w:r w:rsidRPr="007955CB">
              <w:rPr>
                <w:color w:val="auto"/>
              </w:rPr>
              <w:t>mineral extraction;</w:t>
            </w:r>
          </w:p>
          <w:p w14:paraId="6AA9102D" w14:textId="77777777" w:rsidR="007955CB" w:rsidRPr="007955CB" w:rsidRDefault="007955CB" w:rsidP="00874A98">
            <w:pPr>
              <w:keepNext w:val="0"/>
              <w:numPr>
                <w:ilvl w:val="0"/>
                <w:numId w:val="226"/>
              </w:numPr>
              <w:spacing w:before="0"/>
              <w:ind w:left="1156" w:hanging="425"/>
              <w:contextualSpacing/>
              <w:jc w:val="left"/>
              <w:rPr>
                <w:color w:val="auto"/>
              </w:rPr>
            </w:pPr>
            <w:r w:rsidRPr="007955CB">
              <w:rPr>
                <w:color w:val="auto"/>
              </w:rPr>
              <w:t>engineering operations;</w:t>
            </w:r>
          </w:p>
          <w:p w14:paraId="72DE7CF0" w14:textId="77777777" w:rsidR="007955CB" w:rsidRPr="007955CB" w:rsidRDefault="007955CB" w:rsidP="00874A98">
            <w:pPr>
              <w:keepNext w:val="0"/>
              <w:numPr>
                <w:ilvl w:val="0"/>
                <w:numId w:val="226"/>
              </w:numPr>
              <w:spacing w:before="0"/>
              <w:ind w:left="1156" w:hanging="425"/>
              <w:contextualSpacing/>
              <w:jc w:val="left"/>
              <w:rPr>
                <w:color w:val="auto"/>
              </w:rPr>
            </w:pPr>
            <w:r w:rsidRPr="007955CB">
              <w:rPr>
                <w:color w:val="auto"/>
              </w:rPr>
              <w:t>local transport infrastructure which can demonstrate a requirement for a Green Belt location;</w:t>
            </w:r>
          </w:p>
          <w:p w14:paraId="5C6C0749" w14:textId="77777777" w:rsidR="007955CB" w:rsidRPr="007955CB" w:rsidRDefault="007955CB" w:rsidP="00874A98">
            <w:pPr>
              <w:keepNext w:val="0"/>
              <w:numPr>
                <w:ilvl w:val="0"/>
                <w:numId w:val="226"/>
              </w:numPr>
              <w:spacing w:before="0"/>
              <w:ind w:left="1156" w:hanging="425"/>
              <w:contextualSpacing/>
              <w:jc w:val="left"/>
              <w:rPr>
                <w:color w:val="auto"/>
              </w:rPr>
            </w:pPr>
            <w:r w:rsidRPr="007955CB">
              <w:rPr>
                <w:color w:val="auto"/>
              </w:rPr>
              <w:t>the re-use of buildings provided that the buildings are of permanent and substantial construction; and</w:t>
            </w:r>
          </w:p>
          <w:p w14:paraId="37605E5A" w14:textId="77777777" w:rsidR="007955CB" w:rsidRPr="007955CB" w:rsidRDefault="007955CB" w:rsidP="00874A98">
            <w:pPr>
              <w:keepNext w:val="0"/>
              <w:numPr>
                <w:ilvl w:val="0"/>
                <w:numId w:val="226"/>
              </w:numPr>
              <w:spacing w:before="0"/>
              <w:ind w:left="1156" w:hanging="425"/>
              <w:contextualSpacing/>
              <w:jc w:val="left"/>
              <w:rPr>
                <w:color w:val="auto"/>
              </w:rPr>
            </w:pPr>
            <w:r w:rsidRPr="007955CB">
              <w:rPr>
                <w:color w:val="auto"/>
              </w:rPr>
              <w:t xml:space="preserve">material changes in the use of land (such as changes of use for outdoor sport or recreation, or for cemeteries and burial grounds); and </w:t>
            </w:r>
          </w:p>
          <w:p w14:paraId="07106C94" w14:textId="77777777" w:rsidR="007955CB" w:rsidRPr="007955CB" w:rsidRDefault="007955CB" w:rsidP="00874A98">
            <w:pPr>
              <w:keepNext w:val="0"/>
              <w:numPr>
                <w:ilvl w:val="0"/>
                <w:numId w:val="226"/>
              </w:numPr>
              <w:spacing w:before="0"/>
              <w:ind w:left="1156" w:hanging="425"/>
              <w:contextualSpacing/>
              <w:jc w:val="left"/>
              <w:rPr>
                <w:color w:val="auto"/>
              </w:rPr>
            </w:pPr>
            <w:r w:rsidRPr="007955CB">
              <w:rPr>
                <w:color w:val="auto"/>
              </w:rPr>
              <w:t>development brought forward under a Community Right to Build Order or Neighbourhood Development Order.</w:t>
            </w:r>
          </w:p>
          <w:p w14:paraId="1C2220FE" w14:textId="77777777" w:rsidR="007955CB" w:rsidRPr="007955CB" w:rsidRDefault="007955CB" w:rsidP="007955CB">
            <w:pPr>
              <w:keepNext w:val="0"/>
              <w:spacing w:before="0"/>
              <w:contextualSpacing/>
              <w:jc w:val="left"/>
              <w:rPr>
                <w:color w:val="auto"/>
              </w:rPr>
            </w:pPr>
          </w:p>
        </w:tc>
      </w:tr>
      <w:tr w:rsidR="007955CB" w:rsidRPr="007955CB" w14:paraId="56DE5A4F" w14:textId="77777777" w:rsidTr="00C01E11">
        <w:tc>
          <w:tcPr>
            <w:tcW w:w="2246" w:type="dxa"/>
            <w:tcBorders>
              <w:top w:val="single" w:sz="8" w:space="0" w:color="auto"/>
              <w:left w:val="single" w:sz="8" w:space="0" w:color="auto"/>
              <w:bottom w:val="single" w:sz="8" w:space="0" w:color="auto"/>
              <w:right w:val="single" w:sz="8" w:space="0" w:color="auto"/>
            </w:tcBorders>
          </w:tcPr>
          <w:p w14:paraId="2D36F717" w14:textId="710CEF82" w:rsidR="007955CB" w:rsidRPr="007955CB" w:rsidRDefault="00B73BD4" w:rsidP="000032A9">
            <w:pPr>
              <w:keepNext w:val="0"/>
              <w:spacing w:before="0"/>
              <w:contextualSpacing/>
              <w:rPr>
                <w:color w:val="auto"/>
              </w:rPr>
            </w:pPr>
            <w:r>
              <w:rPr>
                <w:bCs/>
                <w:color w:val="auto"/>
                <w:sz w:val="20"/>
              </w:rPr>
              <w:lastRenderedPageBreak/>
              <w:t>Evidence base</w:t>
            </w:r>
          </w:p>
        </w:tc>
        <w:tc>
          <w:tcPr>
            <w:tcW w:w="7373" w:type="dxa"/>
            <w:gridSpan w:val="2"/>
            <w:tcBorders>
              <w:top w:val="single" w:sz="8" w:space="0" w:color="auto"/>
              <w:left w:val="single" w:sz="8" w:space="0" w:color="auto"/>
              <w:bottom w:val="single" w:sz="8" w:space="0" w:color="auto"/>
              <w:right w:val="single" w:sz="8" w:space="0" w:color="auto"/>
            </w:tcBorders>
          </w:tcPr>
          <w:p w14:paraId="65D27BA5" w14:textId="3FFCA6D9" w:rsidR="007955CB" w:rsidRPr="0036716A" w:rsidRDefault="007955CB" w:rsidP="00FF3EAD">
            <w:pPr>
              <w:keepNext w:val="0"/>
              <w:numPr>
                <w:ilvl w:val="0"/>
                <w:numId w:val="13"/>
              </w:numPr>
              <w:tabs>
                <w:tab w:val="left" w:pos="680"/>
                <w:tab w:val="left" w:pos="1133"/>
                <w:tab w:val="left" w:pos="2267"/>
              </w:tabs>
              <w:spacing w:before="0"/>
              <w:ind w:right="284"/>
              <w:contextualSpacing/>
              <w:jc w:val="left"/>
              <w:rPr>
                <w:bCs/>
                <w:sz w:val="20"/>
                <w:szCs w:val="20"/>
              </w:rPr>
            </w:pPr>
            <w:r w:rsidRPr="0036716A">
              <w:rPr>
                <w:bCs/>
                <w:sz w:val="20"/>
                <w:szCs w:val="20"/>
              </w:rPr>
              <w:t>Sustainability Appraisal 202</w:t>
            </w:r>
            <w:r w:rsidR="00B80DEC" w:rsidRPr="0036716A">
              <w:rPr>
                <w:bCs/>
                <w:sz w:val="20"/>
                <w:szCs w:val="20"/>
              </w:rPr>
              <w:t>3.</w:t>
            </w:r>
            <w:r w:rsidRPr="0036716A">
              <w:rPr>
                <w:bCs/>
                <w:sz w:val="20"/>
                <w:szCs w:val="20"/>
              </w:rPr>
              <w:t xml:space="preserve"> </w:t>
            </w:r>
            <w:r w:rsidR="00B80DEC" w:rsidRPr="0036716A">
              <w:rPr>
                <w:bCs/>
                <w:sz w:val="20"/>
                <w:szCs w:val="20"/>
              </w:rPr>
              <w:t>WSP UK Limited.</w:t>
            </w:r>
          </w:p>
        </w:tc>
      </w:tr>
      <w:tr w:rsidR="007955CB" w:rsidRPr="007955CB" w14:paraId="7B88B8C8" w14:textId="77777777" w:rsidTr="00C01E11">
        <w:tc>
          <w:tcPr>
            <w:tcW w:w="2246" w:type="dxa"/>
            <w:tcBorders>
              <w:top w:val="single" w:sz="8" w:space="0" w:color="auto"/>
              <w:left w:val="single" w:sz="8" w:space="0" w:color="auto"/>
              <w:bottom w:val="single" w:sz="8" w:space="0" w:color="auto"/>
              <w:right w:val="single" w:sz="8" w:space="0" w:color="auto"/>
            </w:tcBorders>
          </w:tcPr>
          <w:p w14:paraId="2B3B5BB9" w14:textId="77777777" w:rsidR="007955CB" w:rsidRPr="007955CB" w:rsidRDefault="007955CB" w:rsidP="00E60404">
            <w:pPr>
              <w:keepNext w:val="0"/>
              <w:spacing w:before="0"/>
              <w:contextualSpacing/>
              <w:jc w:val="left"/>
              <w:rPr>
                <w:color w:val="auto"/>
              </w:rPr>
            </w:pPr>
            <w:r w:rsidRPr="007955CB">
              <w:rPr>
                <w:bCs/>
                <w:color w:val="auto"/>
                <w:sz w:val="20"/>
              </w:rPr>
              <w:t>National Planning Policy and Guidance</w:t>
            </w:r>
          </w:p>
        </w:tc>
        <w:tc>
          <w:tcPr>
            <w:tcW w:w="7373" w:type="dxa"/>
            <w:gridSpan w:val="2"/>
            <w:tcBorders>
              <w:top w:val="single" w:sz="8" w:space="0" w:color="auto"/>
              <w:left w:val="single" w:sz="8" w:space="0" w:color="auto"/>
              <w:bottom w:val="single" w:sz="8" w:space="0" w:color="auto"/>
              <w:right w:val="single" w:sz="8" w:space="0" w:color="auto"/>
            </w:tcBorders>
          </w:tcPr>
          <w:p w14:paraId="1F3A8593" w14:textId="1B1FDC1D" w:rsidR="007955CB" w:rsidRPr="0036716A" w:rsidRDefault="007955CB" w:rsidP="00874A98">
            <w:pPr>
              <w:keepNext w:val="0"/>
              <w:numPr>
                <w:ilvl w:val="0"/>
                <w:numId w:val="60"/>
              </w:numPr>
              <w:spacing w:before="0"/>
              <w:contextualSpacing/>
              <w:jc w:val="left"/>
              <w:rPr>
                <w:sz w:val="20"/>
                <w:szCs w:val="20"/>
              </w:rPr>
            </w:pPr>
            <w:r w:rsidRPr="0036716A">
              <w:rPr>
                <w:bCs/>
                <w:sz w:val="20"/>
                <w:szCs w:val="20"/>
              </w:rPr>
              <w:t>NPPF 202</w:t>
            </w:r>
            <w:r w:rsidR="004173E0" w:rsidRPr="0036716A">
              <w:rPr>
                <w:bCs/>
                <w:sz w:val="20"/>
                <w:szCs w:val="20"/>
              </w:rPr>
              <w:t>3</w:t>
            </w:r>
            <w:r w:rsidRPr="0036716A">
              <w:rPr>
                <w:bCs/>
                <w:sz w:val="20"/>
                <w:szCs w:val="20"/>
              </w:rPr>
              <w:t>, Part 2: Achieving sustainable development.</w:t>
            </w:r>
          </w:p>
          <w:p w14:paraId="3712F925" w14:textId="70843995" w:rsidR="0059798D" w:rsidRPr="0036716A" w:rsidRDefault="007955CB" w:rsidP="00874A98">
            <w:pPr>
              <w:keepNext w:val="0"/>
              <w:numPr>
                <w:ilvl w:val="0"/>
                <w:numId w:val="60"/>
              </w:numPr>
              <w:spacing w:before="0"/>
              <w:contextualSpacing/>
              <w:jc w:val="left"/>
              <w:rPr>
                <w:sz w:val="20"/>
                <w:szCs w:val="20"/>
              </w:rPr>
            </w:pPr>
            <w:r w:rsidRPr="0036716A">
              <w:rPr>
                <w:sz w:val="20"/>
                <w:szCs w:val="20"/>
              </w:rPr>
              <w:t>NPPF 202</w:t>
            </w:r>
            <w:r w:rsidR="004173E0" w:rsidRPr="0036716A">
              <w:rPr>
                <w:sz w:val="20"/>
                <w:szCs w:val="20"/>
              </w:rPr>
              <w:t>3</w:t>
            </w:r>
            <w:r w:rsidRPr="0036716A">
              <w:rPr>
                <w:sz w:val="20"/>
                <w:szCs w:val="20"/>
              </w:rPr>
              <w:t>, Part 13: Protecting Green Belt land</w:t>
            </w:r>
            <w:r w:rsidR="00A86E75" w:rsidRPr="0036716A">
              <w:rPr>
                <w:sz w:val="20"/>
                <w:szCs w:val="20"/>
              </w:rPr>
              <w:t>.</w:t>
            </w:r>
          </w:p>
          <w:p w14:paraId="16EF75D9" w14:textId="6BC86519" w:rsidR="007955CB" w:rsidRPr="0036716A" w:rsidRDefault="007955CB" w:rsidP="00874A98">
            <w:pPr>
              <w:keepNext w:val="0"/>
              <w:numPr>
                <w:ilvl w:val="0"/>
                <w:numId w:val="60"/>
              </w:numPr>
              <w:spacing w:before="0"/>
              <w:contextualSpacing/>
              <w:jc w:val="left"/>
              <w:rPr>
                <w:sz w:val="20"/>
                <w:szCs w:val="20"/>
              </w:rPr>
            </w:pPr>
            <w:r w:rsidRPr="0036716A">
              <w:rPr>
                <w:sz w:val="20"/>
                <w:szCs w:val="20"/>
              </w:rPr>
              <w:t xml:space="preserve">Planning Practice Guidance: Green Belt as </w:t>
            </w:r>
            <w:r w:rsidR="009D1815" w:rsidRPr="0036716A">
              <w:rPr>
                <w:sz w:val="20"/>
                <w:szCs w:val="20"/>
              </w:rPr>
              <w:t>of</w:t>
            </w:r>
            <w:r w:rsidRPr="0036716A">
              <w:rPr>
                <w:sz w:val="20"/>
                <w:szCs w:val="20"/>
              </w:rPr>
              <w:t xml:space="preserve"> </w:t>
            </w:r>
            <w:r w:rsidR="00B80DEC" w:rsidRPr="0036716A">
              <w:rPr>
                <w:sz w:val="20"/>
                <w:szCs w:val="20"/>
              </w:rPr>
              <w:t>July 2019</w:t>
            </w:r>
            <w:r w:rsidRPr="0036716A">
              <w:rPr>
                <w:sz w:val="20"/>
                <w:szCs w:val="20"/>
              </w:rPr>
              <w:t>.</w:t>
            </w:r>
          </w:p>
        </w:tc>
      </w:tr>
    </w:tbl>
    <w:p w14:paraId="4725BE47" w14:textId="6DD1A5C0" w:rsidR="007955CB" w:rsidRPr="005334C0" w:rsidRDefault="007955CB" w:rsidP="007955CB">
      <w:pPr>
        <w:keepNext w:val="0"/>
        <w:spacing w:before="0"/>
        <w:contextualSpacing/>
        <w:rPr>
          <w:rFonts w:cs="Arial"/>
          <w:color w:val="auto"/>
          <w:szCs w:val="24"/>
          <w:lang w:eastAsia="en-US"/>
        </w:rPr>
      </w:pPr>
    </w:p>
    <w:p w14:paraId="2A225E7C" w14:textId="7D78139C" w:rsidR="008008F0" w:rsidRPr="007955CB" w:rsidRDefault="008008F0" w:rsidP="007955CB">
      <w:pPr>
        <w:keepNext w:val="0"/>
        <w:spacing w:before="0"/>
        <w:rPr>
          <w:rFonts w:cs="Arial"/>
          <w:color w:val="auto"/>
          <w:szCs w:val="24"/>
          <w:lang w:eastAsia="en-US"/>
        </w:rPr>
      </w:pPr>
    </w:p>
    <w:p w14:paraId="569396AA" w14:textId="57A8929E"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Consistent with national policy, the construction of new buildings is inappropriate in the Green Belt (as defined on the Policies Map); exceptions to this are set out at Policy EV1 and paragraph 14</w:t>
      </w:r>
      <w:r w:rsidR="008A5E51">
        <w:rPr>
          <w:rFonts w:cs="Arial"/>
          <w:color w:val="auto"/>
          <w:szCs w:val="24"/>
          <w:lang w:eastAsia="en-US"/>
        </w:rPr>
        <w:t>9</w:t>
      </w:r>
      <w:r w:rsidRPr="00B84B5F">
        <w:rPr>
          <w:rFonts w:cs="Arial"/>
          <w:color w:val="auto"/>
          <w:szCs w:val="24"/>
          <w:lang w:eastAsia="en-US"/>
        </w:rPr>
        <w:t xml:space="preserve"> of the NPPF. Certain other forms of development are also not inappropriate provided they preserve the openness of the Green Belt and do not conflict with the purposes of including land in the Green Belt; these are set out at paragraph 1</w:t>
      </w:r>
      <w:r w:rsidR="008A5E51">
        <w:rPr>
          <w:rFonts w:cs="Arial"/>
          <w:color w:val="auto"/>
          <w:szCs w:val="24"/>
          <w:lang w:eastAsia="en-US"/>
        </w:rPr>
        <w:t>50</w:t>
      </w:r>
      <w:r w:rsidRPr="00B84B5F">
        <w:rPr>
          <w:rFonts w:cs="Arial"/>
          <w:color w:val="auto"/>
          <w:szCs w:val="24"/>
          <w:lang w:eastAsia="en-US"/>
        </w:rPr>
        <w:t xml:space="preserve"> of the NPPF.</w:t>
      </w:r>
    </w:p>
    <w:p w14:paraId="7707CFF2" w14:textId="77777777" w:rsidR="00B84B5F" w:rsidRPr="00B84B5F" w:rsidRDefault="00B84B5F" w:rsidP="00B84B5F">
      <w:pPr>
        <w:keepNext w:val="0"/>
        <w:spacing w:before="0"/>
        <w:ind w:left="709" w:hanging="709"/>
        <w:rPr>
          <w:rFonts w:cs="Arial"/>
          <w:color w:val="auto"/>
          <w:szCs w:val="24"/>
          <w:lang w:eastAsia="en-US"/>
        </w:rPr>
      </w:pPr>
    </w:p>
    <w:p w14:paraId="01C16F1A" w14:textId="0CFF346A"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Although the </w:t>
      </w:r>
      <w:r w:rsidR="00215F98">
        <w:rPr>
          <w:rFonts w:cs="Arial"/>
          <w:color w:val="auto"/>
          <w:szCs w:val="24"/>
          <w:lang w:eastAsia="en-US"/>
        </w:rPr>
        <w:t>p</w:t>
      </w:r>
      <w:r w:rsidRPr="00B84B5F">
        <w:rPr>
          <w:rFonts w:cs="Arial"/>
          <w:color w:val="auto"/>
          <w:szCs w:val="24"/>
          <w:lang w:eastAsia="en-US"/>
        </w:rPr>
        <w:t>olicy criteria may be seen as a restatement of national advice, they are contained within Policy EV1 for completeness and to aid the user who wishes to see and fully understand the Council’s approach to proposed development in the Green Belt.</w:t>
      </w:r>
    </w:p>
    <w:p w14:paraId="74CFF968" w14:textId="77777777" w:rsidR="00B84B5F" w:rsidRPr="00B84B5F" w:rsidRDefault="00B84B5F" w:rsidP="00B84B5F">
      <w:pPr>
        <w:keepNext w:val="0"/>
        <w:spacing w:before="0"/>
        <w:ind w:left="709" w:hanging="709"/>
        <w:rPr>
          <w:rFonts w:cs="Arial"/>
          <w:color w:val="auto"/>
          <w:szCs w:val="24"/>
          <w:lang w:eastAsia="en-US"/>
        </w:rPr>
      </w:pPr>
    </w:p>
    <w:p w14:paraId="699FF721" w14:textId="1A8260B9"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The implication of national policy on the Green Belt is that the Council, in considering a planning application for development in the Green Belt, must give </w:t>
      </w:r>
      <w:r w:rsidRPr="00B84B5F">
        <w:rPr>
          <w:rFonts w:cs="Arial"/>
          <w:color w:val="auto"/>
          <w:szCs w:val="24"/>
          <w:lang w:eastAsia="en-US"/>
        </w:rPr>
        <w:lastRenderedPageBreak/>
        <w:t xml:space="preserve">“substantial weight” to “any harm to the Green Belt”. However, establishing the status of a proposed development – inappropriate or appropriate – remains only the first step. Thereafter, the application </w:t>
      </w:r>
      <w:proofErr w:type="gramStart"/>
      <w:r w:rsidRPr="00B84B5F">
        <w:rPr>
          <w:rFonts w:cs="Arial"/>
          <w:color w:val="auto"/>
          <w:szCs w:val="24"/>
          <w:lang w:eastAsia="en-US"/>
        </w:rPr>
        <w:t>has to</w:t>
      </w:r>
      <w:proofErr w:type="gramEnd"/>
      <w:r w:rsidRPr="00B84B5F">
        <w:rPr>
          <w:rFonts w:cs="Arial"/>
          <w:color w:val="auto"/>
          <w:szCs w:val="24"/>
          <w:lang w:eastAsia="en-US"/>
        </w:rPr>
        <w:t xml:space="preserve"> be considered against other policies in the Local Plan, in particular Policy EV1</w:t>
      </w:r>
      <w:r w:rsidR="00215F98">
        <w:rPr>
          <w:rFonts w:cs="Arial"/>
          <w:color w:val="auto"/>
          <w:szCs w:val="24"/>
          <w:lang w:eastAsia="en-US"/>
        </w:rPr>
        <w:t>0</w:t>
      </w:r>
      <w:r w:rsidRPr="00B84B5F">
        <w:rPr>
          <w:rFonts w:cs="Arial"/>
          <w:color w:val="auto"/>
          <w:szCs w:val="24"/>
          <w:lang w:eastAsia="en-US"/>
        </w:rPr>
        <w:t xml:space="preserve">: ‘Protection and Enhancement of Landscape Character’, as well as national planning policy.  </w:t>
      </w:r>
    </w:p>
    <w:p w14:paraId="38D89092" w14:textId="77777777" w:rsidR="00B84B5F" w:rsidRPr="00B84B5F" w:rsidRDefault="00B84B5F" w:rsidP="00B84B5F">
      <w:pPr>
        <w:keepNext w:val="0"/>
        <w:spacing w:before="0"/>
        <w:ind w:left="709" w:hanging="709"/>
        <w:rPr>
          <w:rFonts w:cs="Arial"/>
          <w:color w:val="auto"/>
          <w:szCs w:val="24"/>
          <w:lang w:eastAsia="en-US"/>
        </w:rPr>
      </w:pPr>
    </w:p>
    <w:p w14:paraId="672EF3DF" w14:textId="77777777" w:rsidR="00B84B5F" w:rsidRDefault="00B84B5F" w:rsidP="00B84B5F">
      <w:pPr>
        <w:keepNext w:val="0"/>
        <w:spacing w:before="0"/>
        <w:ind w:left="709"/>
        <w:rPr>
          <w:rFonts w:cs="Arial"/>
          <w:b/>
          <w:bCs/>
          <w:color w:val="auto"/>
          <w:szCs w:val="24"/>
          <w:lang w:eastAsia="en-US"/>
        </w:rPr>
      </w:pPr>
      <w:r w:rsidRPr="00B84B5F">
        <w:rPr>
          <w:rFonts w:cs="Arial"/>
          <w:b/>
          <w:bCs/>
          <w:color w:val="auto"/>
          <w:szCs w:val="24"/>
          <w:lang w:eastAsia="en-US"/>
        </w:rPr>
        <w:t>New Buildings and Facilities</w:t>
      </w:r>
    </w:p>
    <w:p w14:paraId="0F4EB31E"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EV1:2a) Many agricultural and forestry buildings are covered by The Town and Country Planning (General Permitted Development) Order 1995 and are permitted development. Where new buildings require planning permission, they should be restricted to cases where they are demonstrably essential and where the need for the proposed location has been established. </w:t>
      </w:r>
    </w:p>
    <w:p w14:paraId="593A3819" w14:textId="77777777" w:rsidR="00B84B5F" w:rsidRPr="00B84B5F" w:rsidRDefault="00B84B5F" w:rsidP="00B84B5F">
      <w:pPr>
        <w:keepNext w:val="0"/>
        <w:spacing w:before="0"/>
        <w:ind w:left="709" w:hanging="709"/>
        <w:rPr>
          <w:rFonts w:cs="Arial"/>
          <w:color w:val="auto"/>
          <w:szCs w:val="24"/>
          <w:lang w:eastAsia="en-US"/>
        </w:rPr>
      </w:pPr>
    </w:p>
    <w:p w14:paraId="29870BBF"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Where possible agricultural and forestry buildings should normally form part of a group, rather than stand in isolation and should relate to existing buildings in size and materials.</w:t>
      </w:r>
    </w:p>
    <w:p w14:paraId="3CDA711C" w14:textId="77777777" w:rsidR="00B84B5F" w:rsidRPr="00B84B5F" w:rsidRDefault="00B84B5F" w:rsidP="00B84B5F">
      <w:pPr>
        <w:keepNext w:val="0"/>
        <w:spacing w:before="0"/>
        <w:ind w:left="709" w:hanging="709"/>
        <w:rPr>
          <w:rFonts w:cs="Arial"/>
          <w:color w:val="auto"/>
          <w:szCs w:val="24"/>
          <w:lang w:eastAsia="en-US"/>
        </w:rPr>
      </w:pPr>
    </w:p>
    <w:p w14:paraId="23320708" w14:textId="60F90E6E"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EV1:2b)</w:t>
      </w:r>
      <w:r w:rsidR="008A5E51">
        <w:rPr>
          <w:rFonts w:cs="Arial"/>
          <w:color w:val="auto"/>
          <w:szCs w:val="24"/>
          <w:lang w:eastAsia="en-US"/>
        </w:rPr>
        <w:t xml:space="preserve"> N</w:t>
      </w:r>
      <w:r w:rsidRPr="00B84B5F">
        <w:rPr>
          <w:rFonts w:cs="Arial"/>
          <w:color w:val="auto"/>
          <w:szCs w:val="24"/>
          <w:lang w:eastAsia="en-US"/>
        </w:rPr>
        <w:t>ew building</w:t>
      </w:r>
      <w:r w:rsidR="00B44F05">
        <w:rPr>
          <w:rFonts w:cs="Arial"/>
          <w:color w:val="auto"/>
          <w:szCs w:val="24"/>
          <w:lang w:eastAsia="en-US"/>
        </w:rPr>
        <w:t>s</w:t>
      </w:r>
      <w:r w:rsidRPr="00B84B5F">
        <w:rPr>
          <w:rFonts w:cs="Arial"/>
          <w:color w:val="auto"/>
          <w:szCs w:val="24"/>
          <w:lang w:eastAsia="en-US"/>
        </w:rPr>
        <w:t xml:space="preserve"> and facilities that do not fall within agricultural or forestry uses, will only be considered if </w:t>
      </w:r>
      <w:r w:rsidR="00B44F05">
        <w:rPr>
          <w:rFonts w:cs="Arial"/>
          <w:color w:val="auto"/>
          <w:szCs w:val="24"/>
          <w:lang w:eastAsia="en-US"/>
        </w:rPr>
        <w:t xml:space="preserve">it can be </w:t>
      </w:r>
      <w:r w:rsidRPr="00B84B5F">
        <w:rPr>
          <w:rFonts w:cs="Arial"/>
          <w:color w:val="auto"/>
          <w:szCs w:val="24"/>
          <w:lang w:eastAsia="en-US"/>
        </w:rPr>
        <w:t>demonstrate</w:t>
      </w:r>
      <w:r w:rsidR="00B44F05">
        <w:rPr>
          <w:rFonts w:cs="Arial"/>
          <w:color w:val="auto"/>
          <w:szCs w:val="24"/>
          <w:lang w:eastAsia="en-US"/>
        </w:rPr>
        <w:t>d</w:t>
      </w:r>
      <w:r w:rsidRPr="00B84B5F">
        <w:rPr>
          <w:rFonts w:cs="Arial"/>
          <w:color w:val="auto"/>
          <w:szCs w:val="24"/>
          <w:lang w:eastAsia="en-US"/>
        </w:rPr>
        <w:t xml:space="preserve"> that the proposal is to be used in connection with the existing use of land or a change of use for outdoor sport, outdoor recreation, cemetery, burial ground or allotment uses. Any proposals that cannot demonstrate this or fall within another use, must successfully demonstrate the very special circumstances for justifying the development, as required by national planning policy.  </w:t>
      </w:r>
    </w:p>
    <w:p w14:paraId="514478CD" w14:textId="77777777" w:rsidR="00B84B5F" w:rsidRPr="00B84B5F" w:rsidRDefault="00B84B5F" w:rsidP="00B84B5F">
      <w:pPr>
        <w:keepNext w:val="0"/>
        <w:spacing w:before="0"/>
        <w:ind w:left="709" w:hanging="709"/>
        <w:rPr>
          <w:rFonts w:cs="Arial"/>
          <w:color w:val="auto"/>
          <w:szCs w:val="24"/>
          <w:lang w:eastAsia="en-US"/>
        </w:rPr>
      </w:pPr>
    </w:p>
    <w:p w14:paraId="4ADB2178" w14:textId="77777777" w:rsidR="00B84B5F" w:rsidRDefault="00B84B5F" w:rsidP="00B84B5F">
      <w:pPr>
        <w:keepNext w:val="0"/>
        <w:spacing w:before="0"/>
        <w:ind w:left="709"/>
        <w:rPr>
          <w:rFonts w:cs="Arial"/>
          <w:b/>
          <w:bCs/>
          <w:color w:val="auto"/>
          <w:szCs w:val="24"/>
          <w:lang w:eastAsia="en-US"/>
        </w:rPr>
      </w:pPr>
      <w:r w:rsidRPr="00B84B5F">
        <w:rPr>
          <w:rFonts w:cs="Arial"/>
          <w:b/>
          <w:bCs/>
          <w:color w:val="auto"/>
          <w:szCs w:val="24"/>
          <w:lang w:eastAsia="en-US"/>
        </w:rPr>
        <w:t>Extensions and Alterations</w:t>
      </w:r>
    </w:p>
    <w:p w14:paraId="539FDFFE" w14:textId="463CEBD3"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EV1:2c) The NPPF indicates that the extension or alteration of a building is not inappropriate in the Green Belt provided that the proposal does not result in disproportionate additions over and above the size of the original building.  </w:t>
      </w:r>
    </w:p>
    <w:p w14:paraId="37610697" w14:textId="77777777" w:rsidR="00B84B5F" w:rsidRPr="00B84B5F" w:rsidRDefault="00B84B5F" w:rsidP="00B84B5F">
      <w:pPr>
        <w:keepNext w:val="0"/>
        <w:spacing w:before="0"/>
        <w:ind w:left="709" w:hanging="709"/>
        <w:rPr>
          <w:rFonts w:cs="Arial"/>
          <w:color w:val="auto"/>
          <w:szCs w:val="24"/>
          <w:lang w:eastAsia="en-US"/>
        </w:rPr>
      </w:pPr>
    </w:p>
    <w:p w14:paraId="2046973D" w14:textId="4945117C"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The phrase 'disproportionate additions' cannot be clearly defined, as much will depend upon the individual circumstances of the site and what type of addition is proposed. In determining </w:t>
      </w:r>
      <w:r w:rsidR="009D1815" w:rsidRPr="00B84B5F">
        <w:rPr>
          <w:rFonts w:cs="Arial"/>
          <w:color w:val="auto"/>
          <w:szCs w:val="24"/>
          <w:lang w:eastAsia="en-US"/>
        </w:rPr>
        <w:t>applications,</w:t>
      </w:r>
      <w:r w:rsidRPr="00B84B5F">
        <w:rPr>
          <w:rFonts w:cs="Arial"/>
          <w:color w:val="auto"/>
          <w:szCs w:val="24"/>
          <w:lang w:eastAsia="en-US"/>
        </w:rPr>
        <w:t xml:space="preserve"> the Council will </w:t>
      </w:r>
      <w:proofErr w:type="gramStart"/>
      <w:r w:rsidRPr="00B84B5F">
        <w:rPr>
          <w:rFonts w:cs="Arial"/>
          <w:color w:val="auto"/>
          <w:szCs w:val="24"/>
          <w:lang w:eastAsia="en-US"/>
        </w:rPr>
        <w:t>take into account</w:t>
      </w:r>
      <w:proofErr w:type="gramEnd"/>
      <w:r w:rsidRPr="00B84B5F">
        <w:rPr>
          <w:rFonts w:cs="Arial"/>
          <w:color w:val="auto"/>
          <w:szCs w:val="24"/>
          <w:lang w:eastAsia="en-US"/>
        </w:rPr>
        <w:t xml:space="preserve"> factors such as the size of the original building, the scale, form, and prominence of the extension or alteration, and the impact of the proposal on the openness of the Green Belt. Proposals must not result in a </w:t>
      </w:r>
      <w:r w:rsidR="009D1815" w:rsidRPr="00B84B5F">
        <w:rPr>
          <w:rFonts w:cs="Arial"/>
          <w:color w:val="auto"/>
          <w:szCs w:val="24"/>
          <w:lang w:eastAsia="en-US"/>
        </w:rPr>
        <w:t>large, bulky or intrusive building</w:t>
      </w:r>
      <w:r w:rsidRPr="00B84B5F">
        <w:rPr>
          <w:rFonts w:cs="Arial"/>
          <w:color w:val="auto"/>
          <w:szCs w:val="24"/>
          <w:lang w:eastAsia="en-US"/>
        </w:rPr>
        <w:t xml:space="preserve"> which would adversely impact on the openness of the Green Belt. Typically, an extension or alteration below an increase of 30% volume of the original building would not be considered disproportionate, provided the above factors are met. </w:t>
      </w:r>
    </w:p>
    <w:p w14:paraId="4F24C478" w14:textId="77777777" w:rsidR="00B84B5F" w:rsidRPr="00B84B5F" w:rsidRDefault="00B84B5F" w:rsidP="00B84B5F">
      <w:pPr>
        <w:keepNext w:val="0"/>
        <w:spacing w:before="0"/>
        <w:ind w:left="709" w:hanging="709"/>
        <w:rPr>
          <w:rFonts w:cs="Arial"/>
          <w:color w:val="auto"/>
          <w:szCs w:val="24"/>
          <w:lang w:eastAsia="en-US"/>
        </w:rPr>
      </w:pPr>
    </w:p>
    <w:p w14:paraId="50920A1B" w14:textId="0E51EDCB" w:rsid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There will inevitably be cases where ‘very special circumstances’ may be present which may be </w:t>
      </w:r>
      <w:proofErr w:type="gramStart"/>
      <w:r w:rsidRPr="00B84B5F">
        <w:rPr>
          <w:rFonts w:cs="Arial"/>
          <w:color w:val="auto"/>
          <w:szCs w:val="24"/>
          <w:lang w:eastAsia="en-US"/>
        </w:rPr>
        <w:t>taken into account</w:t>
      </w:r>
      <w:proofErr w:type="gramEnd"/>
      <w:r w:rsidRPr="00B84B5F">
        <w:rPr>
          <w:rFonts w:cs="Arial"/>
          <w:color w:val="auto"/>
          <w:szCs w:val="24"/>
          <w:lang w:eastAsia="en-US"/>
        </w:rPr>
        <w:t xml:space="preserve"> in considering applications. Such circumstances</w:t>
      </w:r>
      <w:r>
        <w:rPr>
          <w:rFonts w:cs="Arial"/>
          <w:color w:val="auto"/>
          <w:szCs w:val="24"/>
          <w:lang w:eastAsia="en-US"/>
        </w:rPr>
        <w:t xml:space="preserve"> </w:t>
      </w:r>
      <w:r w:rsidRPr="00B84B5F">
        <w:rPr>
          <w:rFonts w:cs="Arial"/>
          <w:color w:val="auto"/>
          <w:szCs w:val="24"/>
          <w:lang w:eastAsia="en-US"/>
        </w:rPr>
        <w:t>include:</w:t>
      </w:r>
    </w:p>
    <w:p w14:paraId="23E7442F" w14:textId="77777777" w:rsidR="00E54C76" w:rsidRPr="00B84B5F" w:rsidRDefault="00E54C76" w:rsidP="00E54C76">
      <w:pPr>
        <w:keepNext w:val="0"/>
        <w:spacing w:before="0"/>
        <w:ind w:left="709" w:hanging="709"/>
        <w:rPr>
          <w:rFonts w:cs="Arial"/>
          <w:color w:val="auto"/>
          <w:szCs w:val="24"/>
          <w:lang w:eastAsia="en-US"/>
        </w:rPr>
      </w:pPr>
    </w:p>
    <w:p w14:paraId="7A2F8787" w14:textId="77777777" w:rsidR="00E54C76" w:rsidRPr="00B84B5F" w:rsidRDefault="00E54C76" w:rsidP="00874A98">
      <w:pPr>
        <w:pStyle w:val="ListParagraph"/>
        <w:numPr>
          <w:ilvl w:val="0"/>
          <w:numId w:val="215"/>
        </w:numPr>
        <w:ind w:left="1276" w:hanging="283"/>
        <w:rPr>
          <w:rFonts w:ascii="Arial" w:hAnsi="Arial" w:cs="Arial"/>
          <w:color w:val="auto"/>
          <w:szCs w:val="24"/>
        </w:rPr>
      </w:pPr>
      <w:r w:rsidRPr="00B84B5F">
        <w:rPr>
          <w:rFonts w:ascii="Arial" w:hAnsi="Arial" w:cs="Arial"/>
          <w:color w:val="auto"/>
          <w:szCs w:val="24"/>
        </w:rPr>
        <w:t>the size of the dwelling - a typical 30% extension to a very small dwelling could be extremely small and not result in an extension of any practical value</w:t>
      </w:r>
      <w:r>
        <w:rPr>
          <w:rFonts w:ascii="Arial" w:hAnsi="Arial" w:cs="Arial"/>
          <w:color w:val="auto"/>
          <w:szCs w:val="24"/>
        </w:rPr>
        <w:t>;</w:t>
      </w:r>
      <w:r w:rsidRPr="00B84B5F">
        <w:rPr>
          <w:rFonts w:ascii="Arial" w:hAnsi="Arial" w:cs="Arial"/>
          <w:color w:val="auto"/>
          <w:szCs w:val="24"/>
        </w:rPr>
        <w:t xml:space="preserve"> </w:t>
      </w:r>
    </w:p>
    <w:p w14:paraId="0C6F38B0" w14:textId="77777777" w:rsidR="00E54C76" w:rsidRPr="00B84B5F" w:rsidRDefault="00E54C76" w:rsidP="00874A98">
      <w:pPr>
        <w:pStyle w:val="ListParagraph"/>
        <w:numPr>
          <w:ilvl w:val="0"/>
          <w:numId w:val="215"/>
        </w:numPr>
        <w:ind w:left="1276" w:hanging="283"/>
        <w:rPr>
          <w:rFonts w:ascii="Arial" w:hAnsi="Arial" w:cs="Arial"/>
          <w:color w:val="auto"/>
          <w:szCs w:val="24"/>
        </w:rPr>
      </w:pPr>
      <w:r w:rsidRPr="00B84B5F">
        <w:rPr>
          <w:rFonts w:ascii="Arial" w:hAnsi="Arial" w:cs="Arial"/>
          <w:color w:val="auto"/>
          <w:szCs w:val="24"/>
        </w:rPr>
        <w:t>the extent to which the extension is justified in bringing a small dwelling up to modern standards of floorspace and accommodation</w:t>
      </w:r>
      <w:r>
        <w:rPr>
          <w:rFonts w:ascii="Arial" w:hAnsi="Arial" w:cs="Arial"/>
          <w:color w:val="auto"/>
          <w:szCs w:val="24"/>
        </w:rPr>
        <w:t>;</w:t>
      </w:r>
    </w:p>
    <w:p w14:paraId="21DE681E" w14:textId="77777777" w:rsidR="00E54C76" w:rsidRPr="00B84B5F" w:rsidRDefault="00E54C76" w:rsidP="00874A98">
      <w:pPr>
        <w:pStyle w:val="ListParagraph"/>
        <w:numPr>
          <w:ilvl w:val="0"/>
          <w:numId w:val="215"/>
        </w:numPr>
        <w:ind w:left="1276" w:hanging="283"/>
        <w:rPr>
          <w:rFonts w:ascii="Arial" w:hAnsi="Arial" w:cs="Arial"/>
          <w:color w:val="auto"/>
          <w:szCs w:val="24"/>
        </w:rPr>
      </w:pPr>
      <w:r w:rsidRPr="00B84B5F">
        <w:rPr>
          <w:rFonts w:ascii="Arial" w:hAnsi="Arial" w:cs="Arial"/>
          <w:color w:val="auto"/>
          <w:szCs w:val="24"/>
        </w:rPr>
        <w:lastRenderedPageBreak/>
        <w:t>the design and relationship of the building to the type, scale and character of adjoining development</w:t>
      </w:r>
      <w:r>
        <w:rPr>
          <w:rFonts w:ascii="Arial" w:hAnsi="Arial" w:cs="Arial"/>
          <w:color w:val="auto"/>
          <w:szCs w:val="24"/>
        </w:rPr>
        <w:t>;</w:t>
      </w:r>
      <w:r w:rsidRPr="00B84B5F">
        <w:rPr>
          <w:rFonts w:ascii="Arial" w:hAnsi="Arial" w:cs="Arial"/>
          <w:color w:val="auto"/>
          <w:szCs w:val="24"/>
        </w:rPr>
        <w:t xml:space="preserve"> </w:t>
      </w:r>
    </w:p>
    <w:p w14:paraId="6C4D18DE" w14:textId="77777777" w:rsidR="00E54C76" w:rsidRPr="00B84B5F" w:rsidRDefault="00E54C76" w:rsidP="00874A98">
      <w:pPr>
        <w:pStyle w:val="ListParagraph"/>
        <w:numPr>
          <w:ilvl w:val="0"/>
          <w:numId w:val="215"/>
        </w:numPr>
        <w:ind w:left="1276" w:hanging="283"/>
        <w:rPr>
          <w:rFonts w:ascii="Arial" w:hAnsi="Arial" w:cs="Arial"/>
          <w:color w:val="auto"/>
          <w:szCs w:val="24"/>
        </w:rPr>
      </w:pPr>
      <w:r w:rsidRPr="00B84B5F">
        <w:rPr>
          <w:rFonts w:ascii="Arial" w:hAnsi="Arial" w:cs="Arial"/>
          <w:color w:val="auto"/>
          <w:szCs w:val="24"/>
        </w:rPr>
        <w:t>whether any buildings are to be demolished as part of the development, the volume of which can be offset against the proposed extension.</w:t>
      </w:r>
    </w:p>
    <w:p w14:paraId="2C2D9906" w14:textId="60972079" w:rsidR="00B84B5F" w:rsidRPr="00E54C76" w:rsidRDefault="00B84B5F" w:rsidP="00E54C76">
      <w:pPr>
        <w:keepNext w:val="0"/>
        <w:numPr>
          <w:ilvl w:val="1"/>
          <w:numId w:val="5"/>
        </w:numPr>
        <w:tabs>
          <w:tab w:val="clear" w:pos="525"/>
        </w:tabs>
        <w:spacing w:before="0"/>
        <w:ind w:left="709" w:hanging="709"/>
        <w:rPr>
          <w:rFonts w:cs="Arial"/>
          <w:color w:val="auto"/>
          <w:szCs w:val="24"/>
          <w:lang w:eastAsia="en-US"/>
        </w:rPr>
      </w:pPr>
      <w:r w:rsidRPr="00E54C76">
        <w:rPr>
          <w:rFonts w:cs="Arial"/>
          <w:color w:val="auto"/>
          <w:szCs w:val="24"/>
          <w:lang w:eastAsia="en-US"/>
        </w:rPr>
        <w:t xml:space="preserve">Extensions or alterations to small dwellings in the Green Belt should not result in the provision of large houses of suburban appearance, out of character with their rural setting and reducing the supply of smaller rural houses. </w:t>
      </w:r>
      <w:proofErr w:type="gramStart"/>
      <w:r w:rsidRPr="00E54C76">
        <w:rPr>
          <w:rFonts w:cs="Arial"/>
          <w:color w:val="auto"/>
          <w:szCs w:val="24"/>
          <w:lang w:eastAsia="en-US"/>
        </w:rPr>
        <w:t>In order to</w:t>
      </w:r>
      <w:proofErr w:type="gramEnd"/>
      <w:r w:rsidRPr="00E54C76">
        <w:rPr>
          <w:rFonts w:cs="Arial"/>
          <w:color w:val="auto"/>
          <w:szCs w:val="24"/>
          <w:lang w:eastAsia="en-US"/>
        </w:rPr>
        <w:t xml:space="preserve"> minimise impact, the proposed development will need to respect the design of the existing property, adjoining properties and the setting of the building. Advice on appropriate design principles for residential extensions is contained in the Ashfield Design Supplementary Planning Guidance</w:t>
      </w:r>
      <w:r w:rsidR="0010170C">
        <w:rPr>
          <w:rStyle w:val="FootnoteReference"/>
          <w:rFonts w:cs="Arial"/>
          <w:color w:val="auto"/>
          <w:szCs w:val="24"/>
          <w:lang w:eastAsia="en-US"/>
        </w:rPr>
        <w:footnoteReference w:id="84"/>
      </w:r>
      <w:r w:rsidRPr="00E54C76">
        <w:rPr>
          <w:rFonts w:cs="Arial"/>
          <w:color w:val="auto"/>
          <w:szCs w:val="24"/>
          <w:lang w:eastAsia="en-US"/>
        </w:rPr>
        <w:t>.</w:t>
      </w:r>
    </w:p>
    <w:p w14:paraId="6C5446C8" w14:textId="77777777" w:rsidR="00B84B5F" w:rsidRPr="00B84B5F" w:rsidRDefault="00B84B5F" w:rsidP="00B84B5F">
      <w:pPr>
        <w:keepNext w:val="0"/>
        <w:spacing w:before="0"/>
        <w:ind w:left="709" w:hanging="709"/>
        <w:rPr>
          <w:rFonts w:cs="Arial"/>
          <w:color w:val="auto"/>
          <w:szCs w:val="24"/>
          <w:lang w:eastAsia="en-US"/>
        </w:rPr>
      </w:pPr>
    </w:p>
    <w:p w14:paraId="782C4B0F"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Regard will be given to previous extensions on the site, either allowed through Permitted Development Rights or through planning approvals. The original character of a building can be lost if the property is extended in an unsympathetic way through the addition of numerous extensions. The Council will </w:t>
      </w:r>
      <w:proofErr w:type="gramStart"/>
      <w:r w:rsidRPr="00B84B5F">
        <w:rPr>
          <w:rFonts w:cs="Arial"/>
          <w:color w:val="auto"/>
          <w:szCs w:val="24"/>
          <w:lang w:eastAsia="en-US"/>
        </w:rPr>
        <w:t>take into account</w:t>
      </w:r>
      <w:proofErr w:type="gramEnd"/>
      <w:r w:rsidRPr="00B84B5F">
        <w:rPr>
          <w:rFonts w:cs="Arial"/>
          <w:color w:val="auto"/>
          <w:szCs w:val="24"/>
          <w:lang w:eastAsia="en-US"/>
        </w:rPr>
        <w:t xml:space="preserve"> the original proportions of the building, prior to extensions being added. In some circumstances, it may be more appropriate to provide one new extension as a replacement for several existing extensions, especially where these are in poor condition or do not reflect the original character of the building. All applications will need to consider the impact of the cumulative extensions on the original building.</w:t>
      </w:r>
    </w:p>
    <w:p w14:paraId="56486793" w14:textId="77777777" w:rsidR="00B84B5F" w:rsidRPr="00B84B5F" w:rsidRDefault="00B84B5F" w:rsidP="00B84B5F">
      <w:pPr>
        <w:keepNext w:val="0"/>
        <w:spacing w:before="0"/>
        <w:ind w:left="709" w:hanging="709"/>
        <w:rPr>
          <w:rFonts w:cs="Arial"/>
          <w:color w:val="auto"/>
          <w:szCs w:val="24"/>
          <w:lang w:eastAsia="en-US"/>
        </w:rPr>
      </w:pPr>
    </w:p>
    <w:p w14:paraId="32BA4640"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The design of any development should be sympathetic to the existing building, the plot size upon which the building it sited, the area adjacent to the site and its wider setting. Proposed changes, either individually or cumulatively should not over dominate the existing building. </w:t>
      </w:r>
    </w:p>
    <w:p w14:paraId="2F25C28B" w14:textId="77777777" w:rsidR="00B84B5F" w:rsidRPr="00B84B5F" w:rsidRDefault="00B84B5F" w:rsidP="00B84B5F">
      <w:pPr>
        <w:keepNext w:val="0"/>
        <w:spacing w:before="0"/>
        <w:ind w:left="709" w:hanging="709"/>
        <w:rPr>
          <w:rFonts w:cs="Arial"/>
          <w:color w:val="auto"/>
          <w:szCs w:val="24"/>
          <w:lang w:eastAsia="en-US"/>
        </w:rPr>
      </w:pPr>
    </w:p>
    <w:p w14:paraId="56A5184D"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The total floor area of the original dwelling will include any garage or domestic outbuilding within the curtilage of the dwelling that is used ancillary to the main dwelling and that was erected as part of the original development and </w:t>
      </w:r>
      <w:proofErr w:type="gramStart"/>
      <w:r w:rsidRPr="00B84B5F">
        <w:rPr>
          <w:rFonts w:cs="Arial"/>
          <w:color w:val="auto"/>
          <w:szCs w:val="24"/>
          <w:lang w:eastAsia="en-US"/>
        </w:rPr>
        <w:t>still remains</w:t>
      </w:r>
      <w:proofErr w:type="gramEnd"/>
      <w:r w:rsidRPr="00B84B5F">
        <w:rPr>
          <w:rFonts w:cs="Arial"/>
          <w:color w:val="auto"/>
          <w:szCs w:val="24"/>
          <w:lang w:eastAsia="en-US"/>
        </w:rPr>
        <w:t xml:space="preserve"> intact on site. Outbuildings added </w:t>
      </w:r>
      <w:proofErr w:type="gramStart"/>
      <w:r w:rsidRPr="00B84B5F">
        <w:rPr>
          <w:rFonts w:cs="Arial"/>
          <w:color w:val="auto"/>
          <w:szCs w:val="24"/>
          <w:lang w:eastAsia="en-US"/>
        </w:rPr>
        <w:t>at a later date</w:t>
      </w:r>
      <w:proofErr w:type="gramEnd"/>
      <w:r w:rsidRPr="00B84B5F">
        <w:rPr>
          <w:rFonts w:cs="Arial"/>
          <w:color w:val="auto"/>
          <w:szCs w:val="24"/>
          <w:lang w:eastAsia="en-US"/>
        </w:rPr>
        <w:t>, regardless of whether planning permission was required, will not be included as part of the original dwelling.</w:t>
      </w:r>
    </w:p>
    <w:p w14:paraId="16A21898" w14:textId="77777777" w:rsidR="00B84B5F" w:rsidRPr="00B84B5F" w:rsidRDefault="00B84B5F" w:rsidP="00B84B5F">
      <w:pPr>
        <w:keepNext w:val="0"/>
        <w:spacing w:before="0"/>
        <w:ind w:left="709" w:hanging="709"/>
        <w:rPr>
          <w:rFonts w:cs="Arial"/>
          <w:color w:val="auto"/>
          <w:szCs w:val="24"/>
          <w:lang w:eastAsia="en-US"/>
        </w:rPr>
      </w:pPr>
    </w:p>
    <w:p w14:paraId="639631CB" w14:textId="27D22A0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Planning application proposals for ancillary residential buildings such as garages and other outbuildings that do not constitute permitted development under Schedule 2 Part 1 Class E of The Town and Country Planning (General Permitted Development Order) or any superseding legislation, shall be treated as an extension.</w:t>
      </w:r>
    </w:p>
    <w:p w14:paraId="140129E4" w14:textId="77777777" w:rsidR="00B84B5F" w:rsidRPr="00B84B5F" w:rsidRDefault="00B84B5F" w:rsidP="00B84B5F">
      <w:pPr>
        <w:keepNext w:val="0"/>
        <w:spacing w:before="0"/>
        <w:ind w:left="709" w:hanging="709"/>
        <w:rPr>
          <w:rFonts w:cs="Arial"/>
          <w:color w:val="auto"/>
          <w:szCs w:val="24"/>
          <w:lang w:eastAsia="en-US"/>
        </w:rPr>
      </w:pPr>
    </w:p>
    <w:p w14:paraId="6EEFAA24" w14:textId="77777777" w:rsid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Where ancillary domestic buildings are required in the Green Belt, they should be clearly subservient to their associated residential dwelling in terms of their function, design and scale </w:t>
      </w:r>
      <w:proofErr w:type="gramStart"/>
      <w:r w:rsidRPr="00B84B5F">
        <w:rPr>
          <w:rFonts w:cs="Arial"/>
          <w:color w:val="auto"/>
          <w:szCs w:val="24"/>
          <w:lang w:eastAsia="en-US"/>
        </w:rPr>
        <w:t>in order to</w:t>
      </w:r>
      <w:proofErr w:type="gramEnd"/>
      <w:r w:rsidRPr="00B84B5F">
        <w:rPr>
          <w:rFonts w:cs="Arial"/>
          <w:color w:val="auto"/>
          <w:szCs w:val="24"/>
          <w:lang w:eastAsia="en-US"/>
        </w:rPr>
        <w:t xml:space="preserve"> safeguard the appearance and character of the countryside and to ensure the impact on the openness of the Green Belt is minimised. In granting planning permission for ancillary domestic buildings in the </w:t>
      </w:r>
      <w:r w:rsidRPr="00B84B5F">
        <w:rPr>
          <w:rFonts w:cs="Arial"/>
          <w:color w:val="auto"/>
          <w:szCs w:val="24"/>
          <w:lang w:eastAsia="en-US"/>
        </w:rPr>
        <w:lastRenderedPageBreak/>
        <w:t>Green Belt, the Council may impose conditions preventing their conversion to residential accommodation without planning permission.</w:t>
      </w:r>
    </w:p>
    <w:p w14:paraId="0BB0CDF2" w14:textId="2300C0C2" w:rsidR="00B84B5F" w:rsidRPr="00B84B5F" w:rsidRDefault="00B84B5F" w:rsidP="00B84B5F">
      <w:pPr>
        <w:keepNext w:val="0"/>
        <w:spacing w:before="0"/>
        <w:ind w:left="709" w:hanging="709"/>
        <w:rPr>
          <w:rFonts w:cs="Arial"/>
          <w:color w:val="auto"/>
          <w:szCs w:val="24"/>
          <w:lang w:eastAsia="en-US"/>
        </w:rPr>
      </w:pPr>
      <w:r w:rsidRPr="00B84B5F">
        <w:rPr>
          <w:rFonts w:cs="Arial"/>
          <w:color w:val="auto"/>
          <w:szCs w:val="24"/>
          <w:lang w:eastAsia="en-US"/>
        </w:rPr>
        <w:t xml:space="preserve"> </w:t>
      </w:r>
    </w:p>
    <w:p w14:paraId="6C0F3796" w14:textId="4D6B2895"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The Council will </w:t>
      </w:r>
      <w:proofErr w:type="gramStart"/>
      <w:r w:rsidRPr="00B84B5F">
        <w:rPr>
          <w:rFonts w:cs="Arial"/>
          <w:color w:val="auto"/>
          <w:szCs w:val="24"/>
          <w:lang w:eastAsia="en-US"/>
        </w:rPr>
        <w:t>give consideration to</w:t>
      </w:r>
      <w:proofErr w:type="gramEnd"/>
      <w:r w:rsidRPr="00B84B5F">
        <w:rPr>
          <w:rFonts w:cs="Arial"/>
          <w:color w:val="auto"/>
          <w:szCs w:val="24"/>
          <w:lang w:eastAsia="en-US"/>
        </w:rPr>
        <w:t xml:space="preserve"> the removal of permitted development rights when assessing proposals to extend a dwelling in the Green Belt. </w:t>
      </w:r>
    </w:p>
    <w:p w14:paraId="1ED478EB" w14:textId="77777777" w:rsidR="00B84B5F" w:rsidRPr="00B84B5F" w:rsidRDefault="00B84B5F" w:rsidP="00B84B5F">
      <w:pPr>
        <w:keepNext w:val="0"/>
        <w:spacing w:before="0"/>
        <w:ind w:left="709" w:hanging="709"/>
        <w:rPr>
          <w:rFonts w:cs="Arial"/>
          <w:color w:val="auto"/>
          <w:szCs w:val="24"/>
          <w:lang w:eastAsia="en-US"/>
        </w:rPr>
      </w:pPr>
    </w:p>
    <w:p w14:paraId="582F99EC" w14:textId="77777777" w:rsidR="00B84B5F" w:rsidRDefault="00B84B5F" w:rsidP="00B84B5F">
      <w:pPr>
        <w:keepNext w:val="0"/>
        <w:spacing w:before="0"/>
        <w:ind w:left="709"/>
        <w:rPr>
          <w:rFonts w:cs="Arial"/>
          <w:b/>
          <w:bCs/>
          <w:color w:val="auto"/>
          <w:szCs w:val="24"/>
          <w:lang w:eastAsia="en-US"/>
        </w:rPr>
      </w:pPr>
      <w:r w:rsidRPr="00B84B5F">
        <w:rPr>
          <w:rFonts w:cs="Arial"/>
          <w:b/>
          <w:bCs/>
          <w:color w:val="auto"/>
          <w:szCs w:val="24"/>
          <w:lang w:eastAsia="en-US"/>
        </w:rPr>
        <w:t>Replacement of Existing Buildings</w:t>
      </w:r>
    </w:p>
    <w:p w14:paraId="3530E8AC"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EV1:2d) The replacement of existing buildings need not be inappropriate providing that the new building is in the same use, is not materially larger than the original building it replaces, and where it can be demonstrated that the existing building is not of architectural or historic merit. Replacement buildings should be sited on or close to the position of the building it is replacing, except where an alternative siting within the curtilage demonstrably improves the openness of the Green Belt. Proposals for significantly different siting will only be supported where they result in a substantial visual improvement to the immediate setting. It is essential that such replacement buildings make a clear improvement to the surrounding area and the impact of generated traffic. This policy is not intended to formalise or give permanency to buildings of a clearly temporary nature. </w:t>
      </w:r>
    </w:p>
    <w:p w14:paraId="305AE494" w14:textId="77777777" w:rsidR="00B84B5F" w:rsidRPr="00B84B5F" w:rsidRDefault="00B84B5F" w:rsidP="00B84B5F">
      <w:pPr>
        <w:keepNext w:val="0"/>
        <w:spacing w:before="0"/>
        <w:ind w:left="709" w:hanging="709"/>
        <w:rPr>
          <w:rFonts w:cs="Arial"/>
          <w:color w:val="auto"/>
          <w:szCs w:val="24"/>
          <w:lang w:eastAsia="en-US"/>
        </w:rPr>
      </w:pPr>
    </w:p>
    <w:p w14:paraId="29FFD04B"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Where an existing building is derelict or is structurally unsound, permission will not be granted for its replacement unless this has resulted from accidental damage, for example by fire, or subsidence, and in the case of replacement for residential purposes, where it can be demonstrated that the residential use has not been abandoned. </w:t>
      </w:r>
    </w:p>
    <w:p w14:paraId="08F5F316" w14:textId="77777777" w:rsidR="00B84B5F" w:rsidRPr="00B84B5F" w:rsidRDefault="00B84B5F" w:rsidP="00B84B5F">
      <w:pPr>
        <w:keepNext w:val="0"/>
        <w:spacing w:before="0"/>
        <w:ind w:left="709" w:hanging="709"/>
        <w:rPr>
          <w:rFonts w:cs="Arial"/>
          <w:color w:val="auto"/>
          <w:szCs w:val="24"/>
          <w:lang w:eastAsia="en-US"/>
        </w:rPr>
      </w:pPr>
    </w:p>
    <w:p w14:paraId="5E7B4F02" w14:textId="77777777" w:rsidR="00B84B5F" w:rsidRDefault="00B84B5F" w:rsidP="00B84B5F">
      <w:pPr>
        <w:keepNext w:val="0"/>
        <w:spacing w:before="0"/>
        <w:ind w:left="709"/>
        <w:rPr>
          <w:rFonts w:cs="Arial"/>
          <w:b/>
          <w:bCs/>
          <w:color w:val="auto"/>
          <w:szCs w:val="24"/>
          <w:lang w:eastAsia="en-US"/>
        </w:rPr>
      </w:pPr>
      <w:r w:rsidRPr="00B84B5F">
        <w:rPr>
          <w:rFonts w:cs="Arial"/>
          <w:b/>
          <w:bCs/>
          <w:color w:val="auto"/>
          <w:szCs w:val="24"/>
          <w:lang w:eastAsia="en-US"/>
        </w:rPr>
        <w:t>Infill in Villages</w:t>
      </w:r>
    </w:p>
    <w:p w14:paraId="3B92EC86"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EV1:2e) The NPPF states that limited infilling in villages is not inappropriate development in the Green Belt, provided it preserves the openness of the Green Belt. The only villages ‘washed over’ by Green Belt is </w:t>
      </w:r>
      <w:proofErr w:type="spellStart"/>
      <w:r w:rsidRPr="00B84B5F">
        <w:rPr>
          <w:rFonts w:cs="Arial"/>
          <w:color w:val="auto"/>
          <w:szCs w:val="24"/>
          <w:lang w:eastAsia="en-US"/>
        </w:rPr>
        <w:t>Bagthorpe</w:t>
      </w:r>
      <w:proofErr w:type="spellEnd"/>
      <w:r w:rsidRPr="00B84B5F">
        <w:rPr>
          <w:rFonts w:cs="Arial"/>
          <w:color w:val="auto"/>
          <w:szCs w:val="24"/>
          <w:lang w:eastAsia="en-US"/>
        </w:rPr>
        <w:t xml:space="preserve"> (including Lower </w:t>
      </w:r>
      <w:proofErr w:type="spellStart"/>
      <w:r w:rsidRPr="00B84B5F">
        <w:rPr>
          <w:rFonts w:cs="Arial"/>
          <w:color w:val="auto"/>
          <w:szCs w:val="24"/>
          <w:lang w:eastAsia="en-US"/>
        </w:rPr>
        <w:t>Bagthorpe</w:t>
      </w:r>
      <w:proofErr w:type="spellEnd"/>
      <w:r w:rsidRPr="00B84B5F">
        <w:rPr>
          <w:rFonts w:cs="Arial"/>
          <w:color w:val="auto"/>
          <w:szCs w:val="24"/>
          <w:lang w:eastAsia="en-US"/>
        </w:rPr>
        <w:t xml:space="preserve"> and New </w:t>
      </w:r>
      <w:proofErr w:type="spellStart"/>
      <w:r w:rsidRPr="00B84B5F">
        <w:rPr>
          <w:rFonts w:cs="Arial"/>
          <w:color w:val="auto"/>
          <w:szCs w:val="24"/>
          <w:lang w:eastAsia="en-US"/>
        </w:rPr>
        <w:t>Bagthorpe</w:t>
      </w:r>
      <w:proofErr w:type="spellEnd"/>
      <w:r w:rsidRPr="00B84B5F">
        <w:rPr>
          <w:rFonts w:cs="Arial"/>
          <w:color w:val="auto"/>
          <w:szCs w:val="24"/>
          <w:lang w:eastAsia="en-US"/>
        </w:rPr>
        <w:t>). Other smaller hamlets and outlying isolated settlements or extensions of other settlements within the Green Belt are not regarded as villages for the purpose of Policy EV1.</w:t>
      </w:r>
    </w:p>
    <w:p w14:paraId="0E88A0A2" w14:textId="77777777" w:rsidR="00B84B5F" w:rsidRPr="00B84B5F" w:rsidRDefault="00B84B5F" w:rsidP="00B84B5F">
      <w:pPr>
        <w:keepNext w:val="0"/>
        <w:spacing w:before="0"/>
        <w:ind w:left="709" w:hanging="709"/>
        <w:rPr>
          <w:rFonts w:cs="Arial"/>
          <w:color w:val="auto"/>
          <w:szCs w:val="24"/>
          <w:lang w:eastAsia="en-US"/>
        </w:rPr>
      </w:pPr>
    </w:p>
    <w:p w14:paraId="2A871310" w14:textId="57A2E2D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The Council defines limited infill development as the completion of an otherwise substantially </w:t>
      </w:r>
      <w:r w:rsidR="002D7FE1" w:rsidRPr="00B84B5F">
        <w:rPr>
          <w:rFonts w:cs="Arial"/>
          <w:color w:val="auto"/>
          <w:szCs w:val="24"/>
          <w:lang w:eastAsia="en-US"/>
        </w:rPr>
        <w:t>built-up</w:t>
      </w:r>
      <w:r w:rsidRPr="00B84B5F">
        <w:rPr>
          <w:rFonts w:cs="Arial"/>
          <w:color w:val="auto"/>
          <w:szCs w:val="24"/>
          <w:lang w:eastAsia="en-US"/>
        </w:rPr>
        <w:t xml:space="preserve"> frontage by the filling of a small gap normally capable of taking one or two dwellings only. A substantial </w:t>
      </w:r>
      <w:r w:rsidR="002D7FE1" w:rsidRPr="00B84B5F">
        <w:rPr>
          <w:rFonts w:cs="Arial"/>
          <w:color w:val="auto"/>
          <w:szCs w:val="24"/>
          <w:lang w:eastAsia="en-US"/>
        </w:rPr>
        <w:t>built-up</w:t>
      </w:r>
      <w:r w:rsidRPr="00B84B5F">
        <w:rPr>
          <w:rFonts w:cs="Arial"/>
          <w:color w:val="auto"/>
          <w:szCs w:val="24"/>
          <w:lang w:eastAsia="en-US"/>
        </w:rPr>
        <w:t xml:space="preserve"> frontage is defined as an otherwise continuous and largely uninterrupted built frontage of several dwellings visible within the street scene.</w:t>
      </w:r>
    </w:p>
    <w:p w14:paraId="1AF306BC" w14:textId="77777777" w:rsidR="00B84B5F" w:rsidRPr="00B84B5F" w:rsidRDefault="00B84B5F" w:rsidP="00B84B5F">
      <w:pPr>
        <w:keepNext w:val="0"/>
        <w:spacing w:before="0"/>
        <w:ind w:left="709" w:hanging="709"/>
        <w:rPr>
          <w:rFonts w:cs="Arial"/>
          <w:color w:val="auto"/>
          <w:szCs w:val="24"/>
          <w:lang w:eastAsia="en-US"/>
        </w:rPr>
      </w:pPr>
    </w:p>
    <w:p w14:paraId="78561D6E"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 xml:space="preserve">Not all small gaps are appropriate for infilling. Part of the character of </w:t>
      </w:r>
      <w:proofErr w:type="spellStart"/>
      <w:r w:rsidRPr="00B84B5F">
        <w:rPr>
          <w:rFonts w:cs="Arial"/>
          <w:color w:val="auto"/>
          <w:szCs w:val="24"/>
          <w:lang w:eastAsia="en-US"/>
        </w:rPr>
        <w:t>Bagthorpe</w:t>
      </w:r>
      <w:proofErr w:type="spellEnd"/>
      <w:r w:rsidRPr="00B84B5F">
        <w:rPr>
          <w:rFonts w:cs="Arial"/>
          <w:color w:val="auto"/>
          <w:szCs w:val="24"/>
          <w:lang w:eastAsia="en-US"/>
        </w:rPr>
        <w:t xml:space="preserve"> is made up of gardens, paddocks and other breaks between buildings, which is reflected in the Conservation Area designation of large parts of the village. Infill development may also not be desirable if it would consolidate groups of houses which are isolated from the main body of the village, or if it would consolidate a ribbon of development extending into the open countryside. </w:t>
      </w:r>
    </w:p>
    <w:p w14:paraId="1AB3FB93" w14:textId="77777777" w:rsidR="00B84B5F" w:rsidRPr="00B84B5F" w:rsidRDefault="00B84B5F" w:rsidP="00B84B5F">
      <w:pPr>
        <w:keepNext w:val="0"/>
        <w:spacing w:before="0"/>
        <w:ind w:left="709" w:hanging="709"/>
        <w:rPr>
          <w:rFonts w:cs="Arial"/>
          <w:color w:val="auto"/>
          <w:szCs w:val="24"/>
          <w:lang w:eastAsia="en-US"/>
        </w:rPr>
      </w:pPr>
    </w:p>
    <w:p w14:paraId="05C6FE90" w14:textId="77777777" w:rsidR="00B84B5F" w:rsidRPr="00B84B5F" w:rsidRDefault="00B84B5F" w:rsidP="00B84B5F">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lastRenderedPageBreak/>
        <w:t>The above principles may also apply to infill for commercial, industrial, recreational or tourism purposes providing this would be in keeping with the character of the village and would not adversely affect residential amenity.</w:t>
      </w:r>
    </w:p>
    <w:p w14:paraId="3E208AB7" w14:textId="77777777" w:rsidR="00B84B5F" w:rsidRPr="00B84B5F" w:rsidRDefault="00B84B5F" w:rsidP="00B84B5F">
      <w:pPr>
        <w:keepNext w:val="0"/>
        <w:spacing w:before="0"/>
        <w:ind w:left="709" w:hanging="709"/>
        <w:rPr>
          <w:rFonts w:cs="Arial"/>
          <w:color w:val="auto"/>
          <w:szCs w:val="24"/>
          <w:lang w:eastAsia="en-US"/>
        </w:rPr>
      </w:pPr>
    </w:p>
    <w:p w14:paraId="0176755C" w14:textId="77777777" w:rsidR="00B84B5F" w:rsidRDefault="00B84B5F" w:rsidP="00B84B5F">
      <w:pPr>
        <w:keepNext w:val="0"/>
        <w:spacing w:before="0"/>
        <w:ind w:left="709"/>
        <w:rPr>
          <w:rFonts w:cs="Arial"/>
          <w:b/>
          <w:bCs/>
          <w:color w:val="auto"/>
          <w:szCs w:val="24"/>
          <w:lang w:eastAsia="en-US"/>
        </w:rPr>
      </w:pPr>
      <w:r w:rsidRPr="00B84B5F">
        <w:rPr>
          <w:rFonts w:cs="Arial"/>
          <w:b/>
          <w:bCs/>
          <w:color w:val="auto"/>
          <w:szCs w:val="24"/>
          <w:lang w:eastAsia="en-US"/>
        </w:rPr>
        <w:t xml:space="preserve">Infill, partial or complete redevelopment </w:t>
      </w:r>
    </w:p>
    <w:p w14:paraId="088A6D07" w14:textId="7324A48C" w:rsidR="008A5E51" w:rsidRDefault="00B84B5F" w:rsidP="008A5E51">
      <w:pPr>
        <w:keepNext w:val="0"/>
        <w:numPr>
          <w:ilvl w:val="1"/>
          <w:numId w:val="5"/>
        </w:numPr>
        <w:tabs>
          <w:tab w:val="clear" w:pos="525"/>
        </w:tabs>
        <w:spacing w:before="0"/>
        <w:ind w:left="709" w:hanging="709"/>
        <w:rPr>
          <w:rFonts w:cs="Arial"/>
          <w:color w:val="auto"/>
          <w:szCs w:val="24"/>
          <w:lang w:eastAsia="en-US"/>
        </w:rPr>
      </w:pPr>
      <w:r w:rsidRPr="00B84B5F">
        <w:rPr>
          <w:rFonts w:cs="Arial"/>
          <w:color w:val="auto"/>
          <w:szCs w:val="24"/>
          <w:lang w:eastAsia="en-US"/>
        </w:rPr>
        <w:t>EV1:2f) The NPPF states that limited infilling or the partial or complete redevelopment of previously developed sites, whether redundant or in continuing use, is not inappropriate development in the Green Belt, provided it would not have a greater impact on the openness of the Green Belt than the existing development and the purpose of including land within it than the existing development; or not cause substantial harm to the openness of the Green Belt, where the development would re-use previously developed land and contribute to meeting an identified affordable need within the area.</w:t>
      </w:r>
    </w:p>
    <w:p w14:paraId="5FC98F36" w14:textId="707EA046" w:rsidR="008A5E51" w:rsidRDefault="008A5E51" w:rsidP="008A5E51">
      <w:pPr>
        <w:keepNext w:val="0"/>
        <w:spacing w:before="0"/>
        <w:rPr>
          <w:rFonts w:cs="Arial"/>
          <w:color w:val="auto"/>
          <w:szCs w:val="24"/>
          <w:lang w:eastAsia="en-US"/>
        </w:rPr>
      </w:pPr>
    </w:p>
    <w:p w14:paraId="44D79038" w14:textId="2214D636" w:rsidR="008A5E51" w:rsidRDefault="008A5E51" w:rsidP="008A5E51">
      <w:pPr>
        <w:keepNext w:val="0"/>
        <w:spacing w:before="0"/>
        <w:rPr>
          <w:rFonts w:cs="Arial"/>
          <w:color w:val="auto"/>
          <w:szCs w:val="24"/>
          <w:lang w:eastAsia="en-US"/>
        </w:rPr>
      </w:pPr>
    </w:p>
    <w:p w14:paraId="312C84FB" w14:textId="77777777" w:rsidR="0079686C" w:rsidRDefault="0079686C" w:rsidP="008A5E51">
      <w:pPr>
        <w:keepNext w:val="0"/>
        <w:spacing w:before="0"/>
        <w:rPr>
          <w:rFonts w:cs="Arial"/>
          <w:color w:val="auto"/>
          <w:szCs w:val="24"/>
          <w:lang w:eastAsia="en-US"/>
        </w:rPr>
      </w:pPr>
    </w:p>
    <w:p w14:paraId="54B7D7A5" w14:textId="5172601A" w:rsidR="00B32851" w:rsidRPr="00995322" w:rsidRDefault="006977E7" w:rsidP="00995322">
      <w:pPr>
        <w:pStyle w:val="Heading2"/>
        <w:jc w:val="left"/>
        <w:rPr>
          <w:rFonts w:eastAsia="Arial"/>
          <w:sz w:val="28"/>
          <w:szCs w:val="28"/>
        </w:rPr>
      </w:pPr>
      <w:bookmarkStart w:id="166" w:name="_Toc145511576"/>
      <w:r w:rsidRPr="00995322">
        <w:rPr>
          <w:sz w:val="28"/>
          <w:szCs w:val="28"/>
        </w:rPr>
        <w:t xml:space="preserve">Policy </w:t>
      </w:r>
      <w:r w:rsidR="00B32851" w:rsidRPr="00995322">
        <w:rPr>
          <w:sz w:val="28"/>
          <w:szCs w:val="28"/>
        </w:rPr>
        <w:t>EV</w:t>
      </w:r>
      <w:r w:rsidR="00091F56" w:rsidRPr="00995322">
        <w:rPr>
          <w:sz w:val="28"/>
          <w:szCs w:val="28"/>
        </w:rPr>
        <w:t>2</w:t>
      </w:r>
      <w:r w:rsidR="00B32851" w:rsidRPr="00995322">
        <w:rPr>
          <w:sz w:val="28"/>
          <w:szCs w:val="28"/>
        </w:rPr>
        <w:t>: Countryside</w:t>
      </w:r>
      <w:bookmarkEnd w:id="166"/>
    </w:p>
    <w:p w14:paraId="505434CA" w14:textId="77777777" w:rsidR="00B32851" w:rsidRPr="00B20356" w:rsidRDefault="00B32851" w:rsidP="00B32851">
      <w:pPr>
        <w:rPr>
          <w:rFonts w:eastAsia="Arial" w:cs="Arial"/>
        </w:rPr>
      </w:pPr>
    </w:p>
    <w:tbl>
      <w:tblPr>
        <w:tblStyle w:val="ReportTable1"/>
        <w:tblW w:w="9634" w:type="dxa"/>
        <w:tblLook w:val="04A0" w:firstRow="1" w:lastRow="0" w:firstColumn="1" w:lastColumn="0" w:noHBand="0" w:noVBand="1"/>
      </w:tblPr>
      <w:tblGrid>
        <w:gridCol w:w="2405"/>
        <w:gridCol w:w="255"/>
        <w:gridCol w:w="6974"/>
      </w:tblGrid>
      <w:tr w:rsidR="00B32851" w:rsidRPr="00B20356" w14:paraId="68BDB4AC" w14:textId="77777777" w:rsidTr="00817916">
        <w:trPr>
          <w:trHeight w:val="421"/>
        </w:trPr>
        <w:tc>
          <w:tcPr>
            <w:tcW w:w="9634" w:type="dxa"/>
            <w:gridSpan w:val="3"/>
          </w:tcPr>
          <w:p w14:paraId="6F644D3F" w14:textId="77777777" w:rsidR="00FC2A72" w:rsidRDefault="00FC2A72" w:rsidP="00FC2A72">
            <w:pPr>
              <w:autoSpaceDE w:val="0"/>
              <w:autoSpaceDN w:val="0"/>
              <w:adjustRightInd w:val="0"/>
              <w:spacing w:before="0"/>
              <w:rPr>
                <w:rFonts w:cs="Arial"/>
                <w:b/>
                <w:szCs w:val="24"/>
              </w:rPr>
            </w:pPr>
          </w:p>
          <w:p w14:paraId="1A7BCA0A" w14:textId="1A02903E" w:rsidR="00B32851" w:rsidRDefault="00B32851" w:rsidP="00FC2A72">
            <w:pPr>
              <w:autoSpaceDE w:val="0"/>
              <w:autoSpaceDN w:val="0"/>
              <w:adjustRightInd w:val="0"/>
              <w:spacing w:before="0"/>
              <w:rPr>
                <w:rFonts w:eastAsia="Arial" w:cs="Arial"/>
                <w:b/>
                <w:color w:val="auto"/>
                <w:spacing w:val="-1"/>
              </w:rPr>
            </w:pPr>
            <w:r w:rsidRPr="00B20356">
              <w:rPr>
                <w:rFonts w:cs="Arial"/>
                <w:b/>
                <w:szCs w:val="24"/>
              </w:rPr>
              <w:t xml:space="preserve">Policy </w:t>
            </w:r>
            <w:r w:rsidRPr="00B20356">
              <w:rPr>
                <w:rFonts w:eastAsia="Arial" w:cs="Arial"/>
                <w:b/>
                <w:spacing w:val="-1"/>
              </w:rPr>
              <w:t>EV2</w:t>
            </w:r>
            <w:r w:rsidRPr="001B0F28">
              <w:rPr>
                <w:rFonts w:eastAsia="Arial" w:cs="Arial"/>
                <w:b/>
                <w:color w:val="auto"/>
                <w:spacing w:val="-1"/>
              </w:rPr>
              <w:t>: Countryside</w:t>
            </w:r>
          </w:p>
          <w:p w14:paraId="497A0279" w14:textId="17AE72EE" w:rsidR="00FC2A72" w:rsidRPr="00B20356" w:rsidRDefault="00FC2A72" w:rsidP="00FC2A72">
            <w:pPr>
              <w:autoSpaceDE w:val="0"/>
              <w:autoSpaceDN w:val="0"/>
              <w:adjustRightInd w:val="0"/>
              <w:spacing w:before="0"/>
              <w:rPr>
                <w:rFonts w:cs="Arial"/>
                <w:szCs w:val="24"/>
              </w:rPr>
            </w:pPr>
          </w:p>
        </w:tc>
      </w:tr>
      <w:tr w:rsidR="00B32851" w:rsidRPr="00B20356" w14:paraId="4D94758B" w14:textId="77777777" w:rsidTr="00817916">
        <w:tc>
          <w:tcPr>
            <w:tcW w:w="2660" w:type="dxa"/>
            <w:gridSpan w:val="2"/>
          </w:tcPr>
          <w:p w14:paraId="50C906B8" w14:textId="77777777" w:rsidR="00B32851" w:rsidRPr="00FC2A72" w:rsidRDefault="00B32851" w:rsidP="00F476A9">
            <w:pPr>
              <w:tabs>
                <w:tab w:val="left" w:pos="680"/>
              </w:tabs>
              <w:spacing w:before="40" w:after="40"/>
              <w:rPr>
                <w:rFonts w:eastAsia="Arial"/>
                <w:bCs/>
              </w:rPr>
            </w:pPr>
            <w:r w:rsidRPr="00FC2A72">
              <w:rPr>
                <w:rFonts w:eastAsia="Arial"/>
                <w:bCs/>
              </w:rPr>
              <w:t>Strategic Objectives</w:t>
            </w:r>
          </w:p>
        </w:tc>
        <w:tc>
          <w:tcPr>
            <w:tcW w:w="6974" w:type="dxa"/>
          </w:tcPr>
          <w:p w14:paraId="4B13B1AF" w14:textId="77777777" w:rsidR="00B32851" w:rsidRPr="00FC2A72" w:rsidRDefault="00B32851" w:rsidP="00F476A9">
            <w:pPr>
              <w:tabs>
                <w:tab w:val="left" w:pos="680"/>
              </w:tabs>
              <w:spacing w:before="40" w:after="40"/>
              <w:rPr>
                <w:rFonts w:eastAsia="Arial"/>
                <w:bCs/>
              </w:rPr>
            </w:pPr>
            <w:r w:rsidRPr="00FC2A72">
              <w:rPr>
                <w:rFonts w:eastAsia="Arial"/>
                <w:bCs/>
              </w:rPr>
              <w:t>SO1, SO2, SO3, SO5, SO6, SO12, SO13, SO14.</w:t>
            </w:r>
          </w:p>
        </w:tc>
      </w:tr>
      <w:tr w:rsidR="00B32851" w:rsidRPr="00B20356" w14:paraId="4910A197" w14:textId="77777777" w:rsidTr="00817916">
        <w:tc>
          <w:tcPr>
            <w:tcW w:w="9634" w:type="dxa"/>
            <w:gridSpan w:val="3"/>
            <w:shd w:val="clear" w:color="auto" w:fill="E2EFD9"/>
          </w:tcPr>
          <w:p w14:paraId="536E2FB5" w14:textId="190DC1AA" w:rsidR="00B32851" w:rsidRPr="00B32851" w:rsidRDefault="00B32851" w:rsidP="00874A98">
            <w:pPr>
              <w:keepNext w:val="0"/>
              <w:numPr>
                <w:ilvl w:val="0"/>
                <w:numId w:val="216"/>
              </w:numPr>
              <w:tabs>
                <w:tab w:val="left" w:pos="680"/>
                <w:tab w:val="left" w:pos="1133"/>
                <w:tab w:val="left" w:pos="2267"/>
              </w:tabs>
              <w:ind w:left="357" w:right="284" w:hanging="357"/>
              <w:rPr>
                <w:rFonts w:eastAsia="Arial"/>
                <w:bCs/>
              </w:rPr>
            </w:pPr>
            <w:r w:rsidRPr="00B32851">
              <w:rPr>
                <w:rFonts w:eastAsia="Arial"/>
                <w:bCs/>
              </w:rPr>
              <w:t>Where proposed development falls within Green Belt, Policy EV1 criteria will take precedent over the countryside criteria as set out below.</w:t>
            </w:r>
          </w:p>
          <w:p w14:paraId="45292744" w14:textId="1FD17F72" w:rsidR="00B32851" w:rsidRPr="00B32851" w:rsidRDefault="00B32851" w:rsidP="00874A98">
            <w:pPr>
              <w:keepNext w:val="0"/>
              <w:numPr>
                <w:ilvl w:val="0"/>
                <w:numId w:val="216"/>
              </w:numPr>
              <w:tabs>
                <w:tab w:val="left" w:pos="680"/>
                <w:tab w:val="left" w:pos="1133"/>
                <w:tab w:val="left" w:pos="2267"/>
              </w:tabs>
              <w:ind w:left="357" w:right="284" w:hanging="357"/>
              <w:rPr>
                <w:rFonts w:eastAsia="Arial"/>
                <w:bCs/>
              </w:rPr>
            </w:pPr>
            <w:r w:rsidRPr="00B32851">
              <w:rPr>
                <w:rFonts w:eastAsia="Arial"/>
                <w:bCs/>
                <w:spacing w:val="-1"/>
              </w:rPr>
              <w:t>In the countryside</w:t>
            </w:r>
            <w:r w:rsidR="00B707D6" w:rsidRPr="00E56F9C">
              <w:rPr>
                <w:color w:val="006AB9"/>
              </w:rPr>
              <w:t>, as defined on the Policies Map,</w:t>
            </w:r>
            <w:r w:rsidR="00B707D6" w:rsidRPr="00E56F9C">
              <w:rPr>
                <w:rFonts w:eastAsia="Arial"/>
                <w:bCs/>
                <w:color w:val="006AB9"/>
                <w:spacing w:val="-1"/>
              </w:rPr>
              <w:t xml:space="preserve"> </w:t>
            </w:r>
            <w:r w:rsidRPr="00B32851">
              <w:rPr>
                <w:rFonts w:eastAsia="Arial"/>
                <w:bCs/>
                <w:spacing w:val="-1"/>
              </w:rPr>
              <w:t xml:space="preserve">permission will only be given for appropriate development that is </w:t>
            </w:r>
            <w:r w:rsidR="009421C3">
              <w:rPr>
                <w:rFonts w:eastAsia="Arial"/>
                <w:bCs/>
                <w:spacing w:val="-1"/>
              </w:rPr>
              <w:t>su</w:t>
            </w:r>
            <w:r w:rsidR="0046498A">
              <w:rPr>
                <w:rFonts w:eastAsia="Arial"/>
                <w:bCs/>
                <w:spacing w:val="-1"/>
              </w:rPr>
              <w:t>itably</w:t>
            </w:r>
            <w:r w:rsidR="009421C3">
              <w:rPr>
                <w:rFonts w:eastAsia="Arial"/>
                <w:bCs/>
                <w:spacing w:val="-1"/>
              </w:rPr>
              <w:t xml:space="preserve"> </w:t>
            </w:r>
            <w:r w:rsidRPr="00B32851">
              <w:rPr>
                <w:rFonts w:eastAsia="Arial"/>
                <w:bCs/>
                <w:spacing w:val="-1"/>
              </w:rPr>
              <w:t>located and designed so as not to adversely</w:t>
            </w:r>
            <w:r w:rsidR="0046498A">
              <w:rPr>
                <w:rFonts w:eastAsia="Arial"/>
                <w:bCs/>
                <w:spacing w:val="-1"/>
              </w:rPr>
              <w:t xml:space="preserve"> affect</w:t>
            </w:r>
            <w:r w:rsidRPr="00B32851">
              <w:rPr>
                <w:rFonts w:eastAsia="Arial"/>
                <w:bCs/>
                <w:spacing w:val="-1"/>
              </w:rPr>
              <w:t xml:space="preserve"> the character </w:t>
            </w:r>
            <w:r w:rsidR="009421C3">
              <w:rPr>
                <w:rFonts w:eastAsia="Arial"/>
                <w:bCs/>
                <w:spacing w:val="-1"/>
              </w:rPr>
              <w:t xml:space="preserve">and appearance </w:t>
            </w:r>
            <w:r w:rsidRPr="00B32851">
              <w:rPr>
                <w:rFonts w:eastAsia="Arial"/>
                <w:bCs/>
                <w:spacing w:val="-1"/>
              </w:rPr>
              <w:t xml:space="preserve">of the countryside.  </w:t>
            </w:r>
          </w:p>
          <w:p w14:paraId="56D446D9" w14:textId="77777777" w:rsidR="00B32851" w:rsidRPr="00B32851" w:rsidRDefault="00B32851" w:rsidP="00F476A9">
            <w:pPr>
              <w:tabs>
                <w:tab w:val="left" w:pos="680"/>
                <w:tab w:val="left" w:pos="1133"/>
                <w:tab w:val="left" w:pos="2267"/>
              </w:tabs>
              <w:ind w:left="357" w:right="284"/>
              <w:rPr>
                <w:rFonts w:eastAsia="Arial"/>
                <w:bCs/>
              </w:rPr>
            </w:pPr>
            <w:r w:rsidRPr="00B32851">
              <w:rPr>
                <w:rFonts w:eastAsia="Arial"/>
                <w:bCs/>
                <w:spacing w:val="-1"/>
              </w:rPr>
              <w:t>Appropriate development comprises:</w:t>
            </w:r>
          </w:p>
          <w:p w14:paraId="5938C2C1" w14:textId="77777777" w:rsidR="00B32851" w:rsidRPr="001B0F28" w:rsidRDefault="00B32851" w:rsidP="00D45CE9">
            <w:pPr>
              <w:spacing w:after="120"/>
              <w:ind w:left="306"/>
              <w:contextualSpacing/>
              <w:rPr>
                <w:rFonts w:eastAsia="Arial" w:cs="Arial"/>
                <w:bCs/>
                <w:i/>
                <w:color w:val="auto"/>
                <w:spacing w:val="-1"/>
                <w:szCs w:val="24"/>
              </w:rPr>
            </w:pPr>
            <w:r w:rsidRPr="001B0F28">
              <w:rPr>
                <w:rFonts w:eastAsia="Arial" w:cs="Arial"/>
                <w:bCs/>
                <w:i/>
                <w:color w:val="auto"/>
                <w:spacing w:val="-1"/>
                <w:szCs w:val="24"/>
              </w:rPr>
              <w:t>Rural Uses</w:t>
            </w:r>
          </w:p>
          <w:p w14:paraId="71943E27" w14:textId="77777777" w:rsidR="00B32851" w:rsidRPr="00B32851" w:rsidRDefault="00B32851" w:rsidP="00874A98">
            <w:pPr>
              <w:keepNext w:val="0"/>
              <w:numPr>
                <w:ilvl w:val="0"/>
                <w:numId w:val="218"/>
              </w:numPr>
              <w:tabs>
                <w:tab w:val="left" w:pos="1133"/>
                <w:tab w:val="left" w:pos="2267"/>
              </w:tabs>
              <w:spacing w:before="0"/>
              <w:ind w:right="284"/>
              <w:rPr>
                <w:rFonts w:eastAsia="Arial"/>
                <w:bCs/>
              </w:rPr>
            </w:pPr>
            <w:r w:rsidRPr="00B32851">
              <w:rPr>
                <w:rFonts w:eastAsia="Arial"/>
                <w:bCs/>
                <w:spacing w:val="-1"/>
              </w:rPr>
              <w:t>Rural uses including agriculture (including farm diversification), forestry, engineering operations, mineral extraction and waste disposal to reclaim mineral workings, cemeteries, outdoor sport and recreation and tourism;</w:t>
            </w:r>
          </w:p>
          <w:p w14:paraId="1AE3FA3A" w14:textId="77777777" w:rsidR="00B32851" w:rsidRPr="001B0F28" w:rsidRDefault="00B32851" w:rsidP="00F476A9">
            <w:pPr>
              <w:tabs>
                <w:tab w:val="left" w:pos="1133"/>
                <w:tab w:val="left" w:pos="2267"/>
              </w:tabs>
              <w:ind w:left="284" w:right="284"/>
              <w:rPr>
                <w:rFonts w:eastAsia="Arial"/>
                <w:bCs/>
                <w:i/>
                <w:color w:val="auto"/>
                <w:spacing w:val="-1"/>
              </w:rPr>
            </w:pPr>
            <w:r w:rsidRPr="001B0F28">
              <w:rPr>
                <w:rFonts w:eastAsia="Arial"/>
                <w:bCs/>
                <w:i/>
                <w:color w:val="auto"/>
                <w:spacing w:val="-1"/>
              </w:rPr>
              <w:t>Business Uses</w:t>
            </w:r>
          </w:p>
          <w:p w14:paraId="161053D4" w14:textId="77777777" w:rsidR="00B32851" w:rsidRPr="00B32851" w:rsidRDefault="00B32851" w:rsidP="00874A98">
            <w:pPr>
              <w:keepNext w:val="0"/>
              <w:numPr>
                <w:ilvl w:val="0"/>
                <w:numId w:val="218"/>
              </w:numPr>
              <w:tabs>
                <w:tab w:val="left" w:pos="1133"/>
                <w:tab w:val="left" w:pos="2267"/>
              </w:tabs>
              <w:spacing w:before="0"/>
              <w:ind w:right="284"/>
              <w:rPr>
                <w:rFonts w:eastAsia="Arial"/>
                <w:bCs/>
              </w:rPr>
            </w:pPr>
            <w:r w:rsidRPr="00B32851">
              <w:rPr>
                <w:rFonts w:eastAsia="Arial"/>
                <w:bCs/>
                <w:spacing w:val="-1"/>
              </w:rPr>
              <w:t>Business uses where it can be demonstrated that:</w:t>
            </w:r>
          </w:p>
          <w:p w14:paraId="0B6CB48D" w14:textId="77777777" w:rsidR="00B32851" w:rsidRPr="00B32851" w:rsidRDefault="00B32851" w:rsidP="00874A98">
            <w:pPr>
              <w:keepNext w:val="0"/>
              <w:numPr>
                <w:ilvl w:val="0"/>
                <w:numId w:val="217"/>
              </w:numPr>
              <w:tabs>
                <w:tab w:val="left" w:pos="680"/>
              </w:tabs>
              <w:spacing w:before="0" w:after="170"/>
              <w:rPr>
                <w:rFonts w:eastAsia="Arial"/>
                <w:bCs/>
                <w:spacing w:val="-1"/>
              </w:rPr>
            </w:pPr>
            <w:r w:rsidRPr="00B32851">
              <w:rPr>
                <w:rFonts w:eastAsia="Arial"/>
                <w:bCs/>
                <w:spacing w:val="-1"/>
              </w:rPr>
              <w:t>there is a need for a particular rural location; and</w:t>
            </w:r>
          </w:p>
          <w:p w14:paraId="6457321A" w14:textId="77777777" w:rsidR="00B32851" w:rsidRPr="00B32851" w:rsidRDefault="00B32851" w:rsidP="00874A98">
            <w:pPr>
              <w:keepNext w:val="0"/>
              <w:numPr>
                <w:ilvl w:val="0"/>
                <w:numId w:val="217"/>
              </w:numPr>
              <w:tabs>
                <w:tab w:val="left" w:pos="680"/>
              </w:tabs>
              <w:spacing w:before="0" w:after="170"/>
              <w:rPr>
                <w:rFonts w:eastAsia="Arial"/>
                <w:bCs/>
                <w:spacing w:val="-1"/>
              </w:rPr>
            </w:pPr>
            <w:r w:rsidRPr="00B32851">
              <w:rPr>
                <w:rFonts w:eastAsia="Arial"/>
                <w:bCs/>
                <w:spacing w:val="-1"/>
              </w:rPr>
              <w:t xml:space="preserve">there is a contribution to providing or sustaining rural employment to meet local needs. </w:t>
            </w:r>
          </w:p>
          <w:p w14:paraId="002A0816" w14:textId="77777777" w:rsidR="00B32851" w:rsidRPr="00B32851" w:rsidRDefault="00B32851" w:rsidP="00F476A9">
            <w:pPr>
              <w:tabs>
                <w:tab w:val="left" w:pos="426"/>
                <w:tab w:val="left" w:pos="680"/>
              </w:tabs>
              <w:spacing w:after="120"/>
              <w:rPr>
                <w:rFonts w:eastAsia="Arial"/>
                <w:bCs/>
                <w:i/>
                <w:color w:val="538135"/>
                <w:spacing w:val="-1"/>
              </w:rPr>
            </w:pPr>
            <w:r w:rsidRPr="00B32851">
              <w:rPr>
                <w:rFonts w:eastAsia="Arial"/>
                <w:bCs/>
                <w:i/>
                <w:spacing w:val="-1"/>
              </w:rPr>
              <w:tab/>
            </w:r>
            <w:r w:rsidRPr="001B0F28">
              <w:rPr>
                <w:rFonts w:eastAsia="Arial"/>
                <w:bCs/>
                <w:i/>
                <w:color w:val="auto"/>
                <w:spacing w:val="-1"/>
              </w:rPr>
              <w:t>New Buildings</w:t>
            </w:r>
          </w:p>
          <w:p w14:paraId="6784D209" w14:textId="64C81900" w:rsidR="00B32851" w:rsidRPr="00B32851" w:rsidRDefault="00817916" w:rsidP="00874A98">
            <w:pPr>
              <w:keepNext w:val="0"/>
              <w:numPr>
                <w:ilvl w:val="0"/>
                <w:numId w:val="218"/>
              </w:numPr>
              <w:tabs>
                <w:tab w:val="left" w:pos="1133"/>
                <w:tab w:val="left" w:pos="2267"/>
              </w:tabs>
              <w:spacing w:before="0"/>
              <w:ind w:right="284"/>
              <w:rPr>
                <w:rFonts w:eastAsia="Arial"/>
                <w:bCs/>
              </w:rPr>
            </w:pPr>
            <w:r w:rsidRPr="00B32851">
              <w:rPr>
                <w:rFonts w:eastAsia="Arial"/>
                <w:bCs/>
                <w:spacing w:val="-1"/>
              </w:rPr>
              <w:t>Well-designed</w:t>
            </w:r>
            <w:r w:rsidR="00B32851" w:rsidRPr="00B32851">
              <w:rPr>
                <w:rFonts w:eastAsia="Arial"/>
                <w:bCs/>
                <w:spacing w:val="-1"/>
              </w:rPr>
              <w:t xml:space="preserve"> new buildings which are essential for uses appropriate to the Countryside, and the need for the proposed location has been established;</w:t>
            </w:r>
          </w:p>
          <w:p w14:paraId="13EFA3C1" w14:textId="77777777" w:rsidR="00B32851" w:rsidRPr="001B0F28" w:rsidRDefault="00B32851" w:rsidP="00F476A9">
            <w:pPr>
              <w:tabs>
                <w:tab w:val="left" w:pos="1133"/>
                <w:tab w:val="left" w:pos="2267"/>
              </w:tabs>
              <w:spacing w:after="120"/>
              <w:ind w:left="454" w:right="284"/>
              <w:rPr>
                <w:rFonts w:eastAsia="Arial"/>
                <w:bCs/>
                <w:i/>
                <w:color w:val="auto"/>
              </w:rPr>
            </w:pPr>
            <w:r w:rsidRPr="001B0F28">
              <w:rPr>
                <w:rFonts w:eastAsia="Arial"/>
                <w:bCs/>
                <w:i/>
                <w:color w:val="auto"/>
                <w:spacing w:val="-1"/>
              </w:rPr>
              <w:t>Utilities and Infrastructure</w:t>
            </w:r>
          </w:p>
          <w:p w14:paraId="6B69CE32" w14:textId="77777777" w:rsidR="00B32851" w:rsidRPr="001B0F28" w:rsidRDefault="00B32851" w:rsidP="00874A98">
            <w:pPr>
              <w:keepNext w:val="0"/>
              <w:numPr>
                <w:ilvl w:val="0"/>
                <w:numId w:val="218"/>
              </w:numPr>
              <w:tabs>
                <w:tab w:val="left" w:pos="1133"/>
                <w:tab w:val="left" w:pos="2267"/>
              </w:tabs>
              <w:spacing w:before="0"/>
              <w:ind w:right="284"/>
              <w:rPr>
                <w:rFonts w:eastAsia="Arial"/>
                <w:bCs/>
                <w:color w:val="auto"/>
              </w:rPr>
            </w:pPr>
            <w:r w:rsidRPr="001B0F28">
              <w:rPr>
                <w:rFonts w:eastAsia="Arial"/>
                <w:bCs/>
                <w:color w:val="auto"/>
                <w:spacing w:val="-1"/>
              </w:rPr>
              <w:t>Utility installations and local transport infrastructure which can demonstrate a requirement for a rural location;</w:t>
            </w:r>
          </w:p>
          <w:p w14:paraId="1E3630D5" w14:textId="77777777" w:rsidR="00B32851" w:rsidRPr="001B0F28" w:rsidRDefault="00B32851" w:rsidP="00F476A9">
            <w:pPr>
              <w:tabs>
                <w:tab w:val="left" w:pos="1133"/>
                <w:tab w:val="left" w:pos="2267"/>
              </w:tabs>
              <w:spacing w:after="120"/>
              <w:ind w:left="426" w:right="284"/>
              <w:rPr>
                <w:rFonts w:eastAsia="Arial"/>
                <w:bCs/>
                <w:i/>
                <w:color w:val="auto"/>
              </w:rPr>
            </w:pPr>
            <w:r w:rsidRPr="001B0F28">
              <w:rPr>
                <w:rFonts w:eastAsia="Arial"/>
                <w:bCs/>
                <w:i/>
                <w:color w:val="auto"/>
              </w:rPr>
              <w:lastRenderedPageBreak/>
              <w:t>Extension and Alteration</w:t>
            </w:r>
          </w:p>
          <w:p w14:paraId="1FFC0D95" w14:textId="77777777" w:rsidR="00B32851" w:rsidRPr="001B0F28" w:rsidRDefault="00B32851" w:rsidP="00874A98">
            <w:pPr>
              <w:keepNext w:val="0"/>
              <w:numPr>
                <w:ilvl w:val="0"/>
                <w:numId w:val="218"/>
              </w:numPr>
              <w:tabs>
                <w:tab w:val="left" w:pos="1133"/>
                <w:tab w:val="left" w:pos="2267"/>
              </w:tabs>
              <w:spacing w:before="0"/>
              <w:ind w:right="284"/>
              <w:rPr>
                <w:rFonts w:eastAsia="Arial"/>
                <w:bCs/>
                <w:strike/>
                <w:color w:val="auto"/>
              </w:rPr>
            </w:pPr>
            <w:r w:rsidRPr="001B0F28">
              <w:rPr>
                <w:rFonts w:eastAsia="Arial"/>
                <w:bCs/>
                <w:color w:val="auto"/>
                <w:spacing w:val="-1"/>
              </w:rPr>
              <w:t>Limited extensions or alterations of existing buildings where the resultant scale, form, and general design is in keeping with the host building, and its surroundings;</w:t>
            </w:r>
          </w:p>
          <w:p w14:paraId="136BDDAF" w14:textId="77777777" w:rsidR="00B32851" w:rsidRPr="001B0F28" w:rsidRDefault="00B32851" w:rsidP="00F476A9">
            <w:pPr>
              <w:tabs>
                <w:tab w:val="left" w:pos="1133"/>
                <w:tab w:val="left" w:pos="2267"/>
              </w:tabs>
              <w:spacing w:after="120"/>
              <w:ind w:left="426" w:right="284"/>
              <w:rPr>
                <w:rFonts w:eastAsia="Arial"/>
                <w:bCs/>
                <w:i/>
                <w:color w:val="auto"/>
              </w:rPr>
            </w:pPr>
            <w:r w:rsidRPr="001B0F28">
              <w:rPr>
                <w:rFonts w:eastAsia="Arial"/>
                <w:bCs/>
                <w:i/>
                <w:color w:val="auto"/>
              </w:rPr>
              <w:t>Replacement of Existing Buildings</w:t>
            </w:r>
          </w:p>
          <w:p w14:paraId="2C244A6F" w14:textId="77777777" w:rsidR="00B32851" w:rsidRPr="001B0F28" w:rsidRDefault="00B32851" w:rsidP="00874A98">
            <w:pPr>
              <w:keepNext w:val="0"/>
              <w:numPr>
                <w:ilvl w:val="0"/>
                <w:numId w:val="218"/>
              </w:numPr>
              <w:tabs>
                <w:tab w:val="left" w:pos="1133"/>
                <w:tab w:val="left" w:pos="2267"/>
              </w:tabs>
              <w:spacing w:before="0"/>
              <w:ind w:right="284"/>
              <w:rPr>
                <w:rFonts w:eastAsia="Arial"/>
                <w:bCs/>
                <w:color w:val="auto"/>
              </w:rPr>
            </w:pPr>
            <w:r w:rsidRPr="001B0F28">
              <w:rPr>
                <w:rFonts w:eastAsia="Arial"/>
                <w:bCs/>
                <w:color w:val="auto"/>
                <w:spacing w:val="-1"/>
              </w:rPr>
              <w:t>Replacement of existing buildings provided that the new building is in the same or an appropriate rural use, is not materially larger than the one it replaces, and can be demonstrated that the existing building is not of architectural or historic merit;</w:t>
            </w:r>
          </w:p>
          <w:p w14:paraId="79AE1857" w14:textId="77777777" w:rsidR="00B32851" w:rsidRPr="001B0F28" w:rsidRDefault="00B32851" w:rsidP="00F476A9">
            <w:pPr>
              <w:tabs>
                <w:tab w:val="left" w:pos="1133"/>
                <w:tab w:val="left" w:pos="2267"/>
              </w:tabs>
              <w:spacing w:after="120"/>
              <w:ind w:left="426" w:right="284"/>
              <w:rPr>
                <w:rFonts w:eastAsia="Arial"/>
                <w:bCs/>
                <w:i/>
                <w:color w:val="auto"/>
              </w:rPr>
            </w:pPr>
            <w:r w:rsidRPr="001B0F28">
              <w:rPr>
                <w:rFonts w:eastAsia="Arial"/>
                <w:bCs/>
                <w:i/>
                <w:color w:val="auto"/>
              </w:rPr>
              <w:t>Infill Development</w:t>
            </w:r>
          </w:p>
          <w:p w14:paraId="26E8A902" w14:textId="47B468A4" w:rsidR="00B32851" w:rsidRPr="001B0F28" w:rsidRDefault="00B32851" w:rsidP="00874A98">
            <w:pPr>
              <w:keepNext w:val="0"/>
              <w:numPr>
                <w:ilvl w:val="0"/>
                <w:numId w:val="218"/>
              </w:numPr>
              <w:tabs>
                <w:tab w:val="left" w:pos="1133"/>
                <w:tab w:val="left" w:pos="2267"/>
              </w:tabs>
              <w:spacing w:before="0" w:after="120"/>
              <w:ind w:right="284"/>
              <w:rPr>
                <w:rFonts w:eastAsia="Arial"/>
                <w:bCs/>
                <w:i/>
                <w:color w:val="auto"/>
              </w:rPr>
            </w:pPr>
            <w:r w:rsidRPr="001B0F28">
              <w:rPr>
                <w:rFonts w:eastAsia="Arial"/>
                <w:bCs/>
                <w:color w:val="auto"/>
                <w:spacing w:val="-1"/>
              </w:rPr>
              <w:t xml:space="preserve">Limited infill development which is sustainably located and does not have an adverse effect on the scale and character </w:t>
            </w:r>
            <w:r w:rsidR="008C39C9">
              <w:rPr>
                <w:rFonts w:eastAsia="Arial"/>
                <w:bCs/>
                <w:color w:val="auto"/>
                <w:spacing w:val="-1"/>
              </w:rPr>
              <w:t xml:space="preserve">and appearance </w:t>
            </w:r>
            <w:r w:rsidRPr="001B0F28">
              <w:rPr>
                <w:rFonts w:eastAsia="Arial"/>
                <w:bCs/>
                <w:color w:val="auto"/>
                <w:spacing w:val="-1"/>
              </w:rPr>
              <w:t>of the area.</w:t>
            </w:r>
          </w:p>
          <w:p w14:paraId="46A87EAE" w14:textId="77777777" w:rsidR="00B32851" w:rsidRPr="00B32851" w:rsidRDefault="00B32851" w:rsidP="00F476A9">
            <w:pPr>
              <w:tabs>
                <w:tab w:val="left" w:pos="1133"/>
                <w:tab w:val="left" w:pos="2267"/>
              </w:tabs>
              <w:spacing w:after="120"/>
              <w:ind w:right="284"/>
              <w:rPr>
                <w:rFonts w:eastAsia="Arial"/>
                <w:bCs/>
                <w:i/>
                <w:color w:val="538135"/>
              </w:rPr>
            </w:pPr>
          </w:p>
        </w:tc>
      </w:tr>
      <w:tr w:rsidR="000A1A0B" w:rsidRPr="00B20356" w14:paraId="601275EA" w14:textId="77777777" w:rsidTr="00817916">
        <w:tc>
          <w:tcPr>
            <w:tcW w:w="2405" w:type="dxa"/>
          </w:tcPr>
          <w:p w14:paraId="7EA4E39B" w14:textId="3065481F" w:rsidR="000A1A0B" w:rsidRPr="00B32851" w:rsidRDefault="000A1A0B" w:rsidP="000032A9">
            <w:pPr>
              <w:tabs>
                <w:tab w:val="left" w:pos="680"/>
                <w:tab w:val="left" w:pos="1133"/>
                <w:tab w:val="left" w:pos="2267"/>
              </w:tabs>
              <w:ind w:right="284"/>
              <w:rPr>
                <w:rFonts w:eastAsia="Arial"/>
                <w:bCs/>
                <w:color w:val="538135"/>
                <w:szCs w:val="24"/>
              </w:rPr>
            </w:pPr>
            <w:r w:rsidRPr="003C7E62">
              <w:rPr>
                <w:rFonts w:eastAsia="Arial" w:cs="Arial"/>
                <w:bCs/>
                <w:sz w:val="20"/>
              </w:rPr>
              <w:lastRenderedPageBreak/>
              <w:t>Evidence base</w:t>
            </w:r>
          </w:p>
        </w:tc>
        <w:tc>
          <w:tcPr>
            <w:tcW w:w="7229" w:type="dxa"/>
            <w:gridSpan w:val="2"/>
          </w:tcPr>
          <w:p w14:paraId="044FE083" w14:textId="6A9A6B6E" w:rsidR="000A1A0B" w:rsidRPr="0036716A" w:rsidRDefault="000A1A0B" w:rsidP="00874A98">
            <w:pPr>
              <w:keepNext w:val="0"/>
              <w:numPr>
                <w:ilvl w:val="0"/>
                <w:numId w:val="61"/>
              </w:numPr>
              <w:spacing w:before="0"/>
              <w:contextualSpacing/>
              <w:rPr>
                <w:rFonts w:cs="Arial"/>
                <w:sz w:val="20"/>
              </w:rPr>
            </w:pPr>
            <w:r w:rsidRPr="0036716A">
              <w:rPr>
                <w:rFonts w:cs="Arial"/>
                <w:sz w:val="20"/>
              </w:rPr>
              <w:t>Sustainability Appraisal, 202</w:t>
            </w:r>
            <w:r w:rsidR="00A86E75" w:rsidRPr="0036716A">
              <w:rPr>
                <w:rFonts w:cs="Arial"/>
                <w:sz w:val="20"/>
              </w:rPr>
              <w:t>3</w:t>
            </w:r>
            <w:r w:rsidRPr="0036716A">
              <w:rPr>
                <w:rFonts w:cs="Arial"/>
                <w:sz w:val="20"/>
              </w:rPr>
              <w:t xml:space="preserve">. </w:t>
            </w:r>
            <w:r w:rsidR="00A86E75" w:rsidRPr="0036716A">
              <w:rPr>
                <w:rFonts w:cs="Arial"/>
                <w:sz w:val="20"/>
              </w:rPr>
              <w:t>WSP UK Limited</w:t>
            </w:r>
            <w:r w:rsidRPr="0036716A">
              <w:rPr>
                <w:rFonts w:cs="Arial"/>
                <w:sz w:val="20"/>
              </w:rPr>
              <w:t>.</w:t>
            </w:r>
          </w:p>
          <w:p w14:paraId="653C0337" w14:textId="77777777" w:rsidR="000A1A0B" w:rsidRPr="0036716A" w:rsidRDefault="000A1A0B" w:rsidP="00874A98">
            <w:pPr>
              <w:keepNext w:val="0"/>
              <w:numPr>
                <w:ilvl w:val="0"/>
                <w:numId w:val="61"/>
              </w:numPr>
              <w:spacing w:before="0"/>
              <w:contextualSpacing/>
              <w:rPr>
                <w:rFonts w:cs="Arial"/>
                <w:sz w:val="20"/>
              </w:rPr>
            </w:pPr>
            <w:r w:rsidRPr="0036716A">
              <w:rPr>
                <w:rFonts w:cs="Arial"/>
                <w:sz w:val="20"/>
              </w:rPr>
              <w:t>Ashfield Biodiversity Opportunity Mapping Project 2016.</w:t>
            </w:r>
            <w:r w:rsidRPr="0036716A">
              <w:rPr>
                <w:rFonts w:cs="Arial"/>
              </w:rPr>
              <w:t xml:space="preserve"> </w:t>
            </w:r>
            <w:r w:rsidRPr="0036716A">
              <w:rPr>
                <w:rFonts w:cs="Arial"/>
                <w:sz w:val="20"/>
              </w:rPr>
              <w:t>Notts BAG.</w:t>
            </w:r>
          </w:p>
          <w:p w14:paraId="16BCB257" w14:textId="4CC8234C" w:rsidR="0036716A" w:rsidRPr="0036716A" w:rsidRDefault="0036716A" w:rsidP="00874A98">
            <w:pPr>
              <w:keepNext w:val="0"/>
              <w:numPr>
                <w:ilvl w:val="0"/>
                <w:numId w:val="61"/>
              </w:numPr>
              <w:spacing w:before="0"/>
              <w:contextualSpacing/>
              <w:rPr>
                <w:rFonts w:cs="Arial"/>
                <w:sz w:val="20"/>
              </w:rPr>
            </w:pPr>
            <w:r w:rsidRPr="0036716A">
              <w:rPr>
                <w:rFonts w:cs="Arial"/>
                <w:sz w:val="20"/>
              </w:rPr>
              <w:t>Ashfield Green &amp; Blue Infrastructure and Biodiversity Strategy. Ashfield District Council, 2022-2032.</w:t>
            </w:r>
          </w:p>
        </w:tc>
      </w:tr>
      <w:tr w:rsidR="000A1A0B" w:rsidRPr="00B20356" w14:paraId="1666AF29" w14:textId="77777777" w:rsidTr="00817916">
        <w:tc>
          <w:tcPr>
            <w:tcW w:w="2405" w:type="dxa"/>
          </w:tcPr>
          <w:p w14:paraId="3F4288B2" w14:textId="3A165510" w:rsidR="000A1A0B" w:rsidRPr="00B32851" w:rsidRDefault="000A1A0B" w:rsidP="000032A9">
            <w:pPr>
              <w:tabs>
                <w:tab w:val="left" w:pos="680"/>
                <w:tab w:val="left" w:pos="1133"/>
                <w:tab w:val="left" w:pos="2267"/>
              </w:tabs>
              <w:ind w:right="284"/>
              <w:rPr>
                <w:rFonts w:eastAsia="Arial"/>
                <w:bCs/>
                <w:sz w:val="22"/>
              </w:rPr>
            </w:pPr>
            <w:r w:rsidRPr="003C7E62">
              <w:rPr>
                <w:rFonts w:eastAsia="Arial" w:cs="Arial"/>
                <w:bCs/>
                <w:sz w:val="20"/>
              </w:rPr>
              <w:t>National Planning Policy and Guidance</w:t>
            </w:r>
          </w:p>
        </w:tc>
        <w:tc>
          <w:tcPr>
            <w:tcW w:w="7229" w:type="dxa"/>
            <w:gridSpan w:val="2"/>
          </w:tcPr>
          <w:p w14:paraId="25DFE74E" w14:textId="30F9A2E3" w:rsidR="000A1A0B" w:rsidRPr="0036716A" w:rsidRDefault="000A1A0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2: Achieving sustainable development.</w:t>
            </w:r>
          </w:p>
          <w:p w14:paraId="0254EF28" w14:textId="0DCA443A" w:rsidR="000A1A0B" w:rsidRPr="0036716A" w:rsidRDefault="000A1A0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3: Plan-making.</w:t>
            </w:r>
          </w:p>
          <w:p w14:paraId="376FB528" w14:textId="057FE4FB" w:rsidR="000A1A0B" w:rsidRPr="0036716A" w:rsidRDefault="000A1A0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5: Delivering a sufficient supply of homes.</w:t>
            </w:r>
          </w:p>
          <w:p w14:paraId="1DC4E482" w14:textId="4BC387CF" w:rsidR="000A1A0B" w:rsidRPr="0036716A" w:rsidRDefault="000A1A0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6: Building a strong, competitive economy</w:t>
            </w:r>
          </w:p>
          <w:p w14:paraId="4D0ACDD2" w14:textId="0EA143CA" w:rsidR="000A1A0B" w:rsidRPr="0036716A" w:rsidRDefault="000A1A0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8: Promoting healthy and safe communities.</w:t>
            </w:r>
          </w:p>
          <w:p w14:paraId="34A72B9C" w14:textId="633E3620" w:rsidR="000A1A0B" w:rsidRPr="0036716A" w:rsidRDefault="000A1A0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15: Conserving and enhancing the natural environment.</w:t>
            </w:r>
          </w:p>
          <w:p w14:paraId="32B336F8" w14:textId="64C7DECD" w:rsidR="000A1A0B" w:rsidRPr="0036716A" w:rsidRDefault="000A1A0B" w:rsidP="00874A98">
            <w:pPr>
              <w:keepNext w:val="0"/>
              <w:numPr>
                <w:ilvl w:val="0"/>
                <w:numId w:val="62"/>
              </w:numPr>
              <w:spacing w:before="0"/>
              <w:ind w:left="328"/>
              <w:contextualSpacing/>
              <w:rPr>
                <w:rFonts w:cs="Arial"/>
                <w:sz w:val="20"/>
              </w:rPr>
            </w:pPr>
            <w:r w:rsidRPr="0036716A">
              <w:rPr>
                <w:rFonts w:cs="Arial"/>
                <w:sz w:val="20"/>
              </w:rPr>
              <w:t xml:space="preserve">Planning Practice Guidance: Open space, sports and recreational facilities, public rights of ways and local green space as of </w:t>
            </w:r>
            <w:r w:rsidR="00A86E75" w:rsidRPr="0036716A">
              <w:rPr>
                <w:rFonts w:cs="Arial"/>
                <w:sz w:val="20"/>
              </w:rPr>
              <w:t>March 2014.</w:t>
            </w:r>
          </w:p>
          <w:p w14:paraId="7682E3B6" w14:textId="4FFF9A64" w:rsidR="000A1A0B" w:rsidRPr="0036716A" w:rsidRDefault="000A1A0B" w:rsidP="00874A98">
            <w:pPr>
              <w:keepNext w:val="0"/>
              <w:numPr>
                <w:ilvl w:val="0"/>
                <w:numId w:val="62"/>
              </w:numPr>
              <w:spacing w:before="0"/>
              <w:ind w:left="328"/>
              <w:contextualSpacing/>
              <w:rPr>
                <w:rFonts w:cs="Arial"/>
                <w:sz w:val="20"/>
              </w:rPr>
            </w:pPr>
            <w:r w:rsidRPr="0036716A">
              <w:rPr>
                <w:rFonts w:cs="Arial"/>
                <w:sz w:val="20"/>
              </w:rPr>
              <w:t xml:space="preserve">Planning Practice Guidance: Natural environment as of </w:t>
            </w:r>
            <w:r w:rsidR="00A86E75" w:rsidRPr="0036716A">
              <w:rPr>
                <w:rFonts w:cs="Arial"/>
                <w:sz w:val="20"/>
              </w:rPr>
              <w:t>July 2019.</w:t>
            </w:r>
          </w:p>
        </w:tc>
      </w:tr>
    </w:tbl>
    <w:p w14:paraId="43E995CD" w14:textId="77777777" w:rsidR="008A5E51" w:rsidRDefault="008A5E51" w:rsidP="008A5E51">
      <w:pPr>
        <w:keepNext w:val="0"/>
        <w:spacing w:before="0"/>
        <w:ind w:left="709"/>
        <w:rPr>
          <w:rFonts w:cs="Arial"/>
          <w:color w:val="auto"/>
          <w:szCs w:val="24"/>
          <w:lang w:eastAsia="en-US"/>
        </w:rPr>
      </w:pPr>
    </w:p>
    <w:p w14:paraId="6BBE8DAF" w14:textId="3F90916F" w:rsidR="008A5E51" w:rsidRPr="008A5E51" w:rsidRDefault="008A5E51" w:rsidP="00B32851">
      <w:pPr>
        <w:keepNext w:val="0"/>
        <w:spacing w:before="0"/>
        <w:rPr>
          <w:rFonts w:cs="Arial"/>
          <w:color w:val="auto"/>
          <w:szCs w:val="24"/>
          <w:lang w:eastAsia="en-US"/>
        </w:rPr>
      </w:pPr>
    </w:p>
    <w:p w14:paraId="359A11FF" w14:textId="5AE71946" w:rsidR="00B32851" w:rsidRDefault="0086693C"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Pr>
          <w:rFonts w:eastAsia="Arial" w:cs="Arial"/>
          <w:spacing w:val="-1"/>
        </w:rPr>
        <w:t xml:space="preserve">Policy S1: </w:t>
      </w:r>
      <w:r w:rsidR="00475D1B" w:rsidRPr="0036716A">
        <w:t xml:space="preserve">Spatial Strategy to Deliver the Vision </w:t>
      </w:r>
      <w:r w:rsidR="00B32851" w:rsidRPr="0036716A">
        <w:rPr>
          <w:rFonts w:eastAsia="Arial" w:cs="Arial"/>
          <w:spacing w:val="-1"/>
        </w:rPr>
        <w:t xml:space="preserve">limits </w:t>
      </w:r>
      <w:r w:rsidR="00B32851" w:rsidRPr="00B20356">
        <w:rPr>
          <w:rFonts w:eastAsia="Arial" w:cs="Arial"/>
          <w:spacing w:val="-1"/>
        </w:rPr>
        <w:t xml:space="preserve">development outside the existing built-up areas or specific allocated sites to that which has an essential need to </w:t>
      </w:r>
      <w:proofErr w:type="gramStart"/>
      <w:r w:rsidR="00B32851" w:rsidRPr="00B20356">
        <w:rPr>
          <w:rFonts w:eastAsia="Arial" w:cs="Arial"/>
          <w:spacing w:val="-1"/>
        </w:rPr>
        <w:t>be located in</w:t>
      </w:r>
      <w:proofErr w:type="gramEnd"/>
      <w:r w:rsidR="00B32851" w:rsidRPr="00B20356">
        <w:rPr>
          <w:rFonts w:eastAsia="Arial" w:cs="Arial"/>
          <w:spacing w:val="-1"/>
        </w:rPr>
        <w:t xml:space="preserve"> the countryside.  The purpose of this policy is to protect the countryside from inappropriate development.</w:t>
      </w:r>
    </w:p>
    <w:p w14:paraId="27FFA603" w14:textId="77777777" w:rsidR="00D45CE9" w:rsidRDefault="00D45CE9" w:rsidP="00335B79">
      <w:pPr>
        <w:keepNext w:val="0"/>
        <w:autoSpaceDE w:val="0"/>
        <w:autoSpaceDN w:val="0"/>
        <w:adjustRightInd w:val="0"/>
        <w:spacing w:before="0"/>
        <w:ind w:left="851" w:hanging="851"/>
        <w:rPr>
          <w:rFonts w:eastAsia="Arial" w:cs="Arial"/>
          <w:spacing w:val="-1"/>
        </w:rPr>
      </w:pPr>
    </w:p>
    <w:p w14:paraId="23045D6E" w14:textId="7F85D9C9"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Policy EV2 shows the types of development which are appropriate in the Countryside areas not designated as Green Belt. It supports the intention to locate most new residential and employment development within urban areas.  Further, it responds to national government planning advice which supports sustainable economic growth, farm diversification and tourism and leisure developments that benefit rural businesses, communities and visitors and which respect the character of the countryside. </w:t>
      </w:r>
    </w:p>
    <w:p w14:paraId="79811222"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67A1A600" w14:textId="449B45E9"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The Council will ensure that the character of the Countryside is protected and, where possible, enhanced. Any proposed development will need to be considered against other policies in the Local Plan, in particular Policy EV1</w:t>
      </w:r>
      <w:r w:rsidR="001B6A1E">
        <w:rPr>
          <w:rFonts w:eastAsia="Arial" w:cs="Arial"/>
          <w:spacing w:val="-1"/>
        </w:rPr>
        <w:t>0</w:t>
      </w:r>
      <w:r w:rsidRPr="00D45CE9">
        <w:rPr>
          <w:rFonts w:eastAsia="Arial" w:cs="Arial"/>
          <w:spacing w:val="-1"/>
        </w:rPr>
        <w:t>: ‘Protection and Enhancement of Landscape Character’, as well as national planning policy.</w:t>
      </w:r>
    </w:p>
    <w:p w14:paraId="3F6A2D62"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675BEB35" w14:textId="77777777" w:rsidR="00D45CE9" w:rsidRDefault="00D45CE9" w:rsidP="00335B79">
      <w:pPr>
        <w:keepNext w:val="0"/>
        <w:autoSpaceDE w:val="0"/>
        <w:autoSpaceDN w:val="0"/>
        <w:adjustRightInd w:val="0"/>
        <w:spacing w:before="0"/>
        <w:ind w:left="851"/>
        <w:rPr>
          <w:rFonts w:eastAsia="Arial" w:cs="Arial"/>
          <w:b/>
          <w:bCs/>
          <w:spacing w:val="-1"/>
        </w:rPr>
      </w:pPr>
      <w:r w:rsidRPr="00D45CE9">
        <w:rPr>
          <w:rFonts w:eastAsia="Arial" w:cs="Arial"/>
          <w:b/>
          <w:bCs/>
          <w:spacing w:val="-1"/>
        </w:rPr>
        <w:lastRenderedPageBreak/>
        <w:t>Rural Uses</w:t>
      </w:r>
    </w:p>
    <w:p w14:paraId="4C5B2B97"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0E37F7">
        <w:rPr>
          <w:rFonts w:eastAsia="Arial" w:cs="Arial"/>
          <w:b/>
          <w:bCs/>
          <w:spacing w:val="-1"/>
        </w:rPr>
        <w:t>EV2:1a)</w:t>
      </w:r>
      <w:r w:rsidRPr="00D45CE9">
        <w:rPr>
          <w:rFonts w:eastAsia="Arial" w:cs="Arial"/>
          <w:spacing w:val="-1"/>
        </w:rPr>
        <w:t xml:space="preserve"> Appropriate uses must preserve the character of the Countryside, with those uses considered appropriate, designed to minimise the impact the development may have on its surroundings. </w:t>
      </w:r>
    </w:p>
    <w:p w14:paraId="60A429CD"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14E49789" w14:textId="53872734"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The Council recognises that diversification into non-agricultural activities is vital to the continuing viability of many farm enterprises. The Council will be supportive of well-conceived schemes for business purposes that contribute towards sustainable development objectives and help sustain the agricultural </w:t>
      </w:r>
      <w:r w:rsidR="009D1815" w:rsidRPr="00D45CE9">
        <w:rPr>
          <w:rFonts w:eastAsia="Arial" w:cs="Arial"/>
          <w:spacing w:val="-1"/>
        </w:rPr>
        <w:t>enterprise and</w:t>
      </w:r>
      <w:r w:rsidRPr="00D45CE9">
        <w:rPr>
          <w:rFonts w:eastAsia="Arial" w:cs="Arial"/>
          <w:spacing w:val="-1"/>
        </w:rPr>
        <w:t xml:space="preserve"> are consistent in their scale with their rural location. </w:t>
      </w:r>
      <w:r w:rsidR="00F86477" w:rsidRPr="00F86477">
        <w:rPr>
          <w:rFonts w:eastAsia="Arial" w:cs="Arial"/>
          <w:spacing w:val="-1"/>
        </w:rPr>
        <w:t>Policy EM4: Rural Development</w:t>
      </w:r>
      <w:r w:rsidRPr="00D45CE9">
        <w:rPr>
          <w:rFonts w:eastAsia="Arial" w:cs="Arial"/>
          <w:spacing w:val="-1"/>
        </w:rPr>
        <w:t>, provides further details on this matter.</w:t>
      </w:r>
    </w:p>
    <w:p w14:paraId="20961220"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384227AC" w14:textId="4E4AD163"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Certain recreational uses, such as country parks, golf courses and playing fields, need extensive areas of land, but generally preserve the openness of the Countryside. Such uses would be appropriate on suitable sites within the Countryside subject to considerations relating to loss of the best and most versatile agricultural land (see </w:t>
      </w:r>
      <w:r w:rsidR="004E709C">
        <w:rPr>
          <w:rFonts w:eastAsia="Arial" w:cs="Arial"/>
          <w:spacing w:val="-1"/>
        </w:rPr>
        <w:t>P</w:t>
      </w:r>
      <w:r w:rsidRPr="00D45CE9">
        <w:rPr>
          <w:rFonts w:eastAsia="Arial" w:cs="Arial"/>
          <w:spacing w:val="-1"/>
        </w:rPr>
        <w:t xml:space="preserve">olicy </w:t>
      </w:r>
      <w:r w:rsidRPr="00F86477">
        <w:rPr>
          <w:rFonts w:eastAsia="Arial" w:cs="Arial"/>
          <w:spacing w:val="-1"/>
        </w:rPr>
        <w:t>EV</w:t>
      </w:r>
      <w:r w:rsidR="004E709C">
        <w:rPr>
          <w:rFonts w:eastAsia="Arial" w:cs="Arial"/>
          <w:spacing w:val="-1"/>
        </w:rPr>
        <w:t>8</w:t>
      </w:r>
      <w:r w:rsidRPr="00F86477">
        <w:rPr>
          <w:rFonts w:eastAsia="Arial" w:cs="Arial"/>
          <w:spacing w:val="-1"/>
        </w:rPr>
        <w:t>)</w:t>
      </w:r>
      <w:r w:rsidRPr="00D45CE9">
        <w:rPr>
          <w:rFonts w:eastAsia="Arial" w:cs="Arial"/>
          <w:spacing w:val="-1"/>
        </w:rPr>
        <w:t xml:space="preserve">. Certain tourism uses, can also be appropriate </w:t>
      </w:r>
      <w:proofErr w:type="gramStart"/>
      <w:r w:rsidRPr="00D45CE9">
        <w:rPr>
          <w:rFonts w:eastAsia="Arial" w:cs="Arial"/>
          <w:spacing w:val="-1"/>
        </w:rPr>
        <w:t>provided that</w:t>
      </w:r>
      <w:proofErr w:type="gramEnd"/>
      <w:r w:rsidRPr="00D45CE9">
        <w:rPr>
          <w:rFonts w:eastAsia="Arial" w:cs="Arial"/>
          <w:spacing w:val="-1"/>
        </w:rPr>
        <w:t xml:space="preserve"> they are designed and located in a way which complements and does not adversely affect the character of the Countryside.</w:t>
      </w:r>
    </w:p>
    <w:p w14:paraId="5CF8C75A"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4F04A7AE"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Cemeteries are acceptable in the Countryside, being large space users that are substantially open in character. Other appropriate development may include that for public utilities, such as the extension or construction of electricity transmission lines and pylons, railway installations, pumping stations and water reclamation works, which may need to </w:t>
      </w:r>
      <w:proofErr w:type="gramStart"/>
      <w:r w:rsidRPr="00D45CE9">
        <w:rPr>
          <w:rFonts w:eastAsia="Arial" w:cs="Arial"/>
          <w:spacing w:val="-1"/>
        </w:rPr>
        <w:t>be located in</w:t>
      </w:r>
      <w:proofErr w:type="gramEnd"/>
      <w:r w:rsidRPr="00D45CE9">
        <w:rPr>
          <w:rFonts w:eastAsia="Arial" w:cs="Arial"/>
          <w:spacing w:val="-1"/>
        </w:rPr>
        <w:t xml:space="preserve"> the Countryside.</w:t>
      </w:r>
    </w:p>
    <w:p w14:paraId="00A18BD7"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507E7179"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Waste disposal operations may take place in rural locations </w:t>
      </w:r>
      <w:proofErr w:type="gramStart"/>
      <w:r w:rsidRPr="00D45CE9">
        <w:rPr>
          <w:rFonts w:eastAsia="Arial" w:cs="Arial"/>
          <w:spacing w:val="-1"/>
        </w:rPr>
        <w:t>as a means to</w:t>
      </w:r>
      <w:proofErr w:type="gramEnd"/>
      <w:r w:rsidRPr="00D45CE9">
        <w:rPr>
          <w:rFonts w:eastAsia="Arial" w:cs="Arial"/>
          <w:spacing w:val="-1"/>
        </w:rPr>
        <w:t xml:space="preserve"> use former mineral workings as voids for landfill, although this will be a matter for consideration by the Waste Authority, Nottinghamshire County Council. The responsibility for determining planning applications for waste disposal rests with the County Council and the District Council being a consultee on any relevant waste planning application</w:t>
      </w:r>
    </w:p>
    <w:p w14:paraId="1DD41BE8"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6D3F5644" w14:textId="77777777" w:rsidR="00D45CE9" w:rsidRDefault="00D45CE9" w:rsidP="00335B79">
      <w:pPr>
        <w:keepNext w:val="0"/>
        <w:autoSpaceDE w:val="0"/>
        <w:autoSpaceDN w:val="0"/>
        <w:adjustRightInd w:val="0"/>
        <w:spacing w:before="0"/>
        <w:ind w:left="851"/>
        <w:rPr>
          <w:rFonts w:eastAsia="Arial" w:cs="Arial"/>
          <w:b/>
          <w:bCs/>
          <w:spacing w:val="-1"/>
        </w:rPr>
      </w:pPr>
      <w:r w:rsidRPr="00D45CE9">
        <w:rPr>
          <w:rFonts w:eastAsia="Arial" w:cs="Arial"/>
          <w:b/>
          <w:bCs/>
          <w:spacing w:val="-1"/>
        </w:rPr>
        <w:t>Business Uses</w:t>
      </w:r>
    </w:p>
    <w:p w14:paraId="31DD5761" w14:textId="2DD25E5F"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0E37F7">
        <w:rPr>
          <w:rFonts w:eastAsia="Arial" w:cs="Arial"/>
          <w:b/>
          <w:bCs/>
          <w:spacing w:val="-1"/>
        </w:rPr>
        <w:t>EV2:1b)</w:t>
      </w:r>
      <w:r w:rsidRPr="00D45CE9">
        <w:rPr>
          <w:rFonts w:eastAsia="Arial" w:cs="Arial"/>
          <w:spacing w:val="-1"/>
        </w:rPr>
        <w:t xml:space="preserve"> National planning policy indicates that economic growth should be supported in rural areas </w:t>
      </w:r>
      <w:proofErr w:type="gramStart"/>
      <w:r w:rsidRPr="00D45CE9">
        <w:rPr>
          <w:rFonts w:eastAsia="Arial" w:cs="Arial"/>
          <w:spacing w:val="-1"/>
        </w:rPr>
        <w:t>in order to</w:t>
      </w:r>
      <w:proofErr w:type="gramEnd"/>
      <w:r w:rsidRPr="00D45CE9">
        <w:rPr>
          <w:rFonts w:eastAsia="Arial" w:cs="Arial"/>
          <w:spacing w:val="-1"/>
        </w:rPr>
        <w:t xml:space="preserve"> create jobs and prosperity by taking a positive approach to sustainable new development. Whilst this approach would be restricted in the Green Belt, within the Countryside, support will be given to encourage the sustainable growth and expansion of </w:t>
      </w:r>
      <w:proofErr w:type="gramStart"/>
      <w:r w:rsidRPr="00D45CE9">
        <w:rPr>
          <w:rFonts w:eastAsia="Arial" w:cs="Arial"/>
          <w:spacing w:val="-1"/>
        </w:rPr>
        <w:t>small scale</w:t>
      </w:r>
      <w:proofErr w:type="gramEnd"/>
      <w:r w:rsidRPr="00D45CE9">
        <w:rPr>
          <w:rFonts w:eastAsia="Arial" w:cs="Arial"/>
          <w:spacing w:val="-1"/>
        </w:rPr>
        <w:t xml:space="preserve"> businesses and enterprises. </w:t>
      </w:r>
      <w:r w:rsidR="00F86477" w:rsidRPr="00F86477">
        <w:rPr>
          <w:rFonts w:eastAsia="Arial" w:cs="Arial"/>
          <w:spacing w:val="-1"/>
        </w:rPr>
        <w:t>Policy EM4: Rural Development</w:t>
      </w:r>
      <w:r w:rsidR="00F86477">
        <w:rPr>
          <w:rFonts w:eastAsia="Arial" w:cs="Arial"/>
          <w:spacing w:val="-1"/>
        </w:rPr>
        <w:t xml:space="preserve"> </w:t>
      </w:r>
      <w:r w:rsidRPr="00D45CE9">
        <w:rPr>
          <w:rFonts w:eastAsia="Arial" w:cs="Arial"/>
          <w:spacing w:val="-1"/>
        </w:rPr>
        <w:t xml:space="preserve">provides further details on this matter. </w:t>
      </w:r>
    </w:p>
    <w:p w14:paraId="136DF4A4"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7C4EE73B"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Other than for small scale proposals, new businesses should investigate the availability of existing sites, and new build development in the countryside will only be supported where no alternative sites are available or there is a justification specific to the </w:t>
      </w:r>
      <w:proofErr w:type="gramStart"/>
      <w:r w:rsidRPr="00D45CE9">
        <w:rPr>
          <w:rFonts w:eastAsia="Arial" w:cs="Arial"/>
          <w:spacing w:val="-1"/>
        </w:rPr>
        <w:t>particular proposal</w:t>
      </w:r>
      <w:proofErr w:type="gramEnd"/>
      <w:r w:rsidRPr="00D45CE9">
        <w:rPr>
          <w:rFonts w:eastAsia="Arial" w:cs="Arial"/>
          <w:spacing w:val="-1"/>
        </w:rPr>
        <w:t xml:space="preserve">. </w:t>
      </w:r>
    </w:p>
    <w:p w14:paraId="7A09B05A"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60BF5884"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lastRenderedPageBreak/>
        <w:t>Expansion of viable business and recreational uses will be supported subject to site specific assessment. It should be recognised that the expansion of any given site is likely to be limited at some point by its impacts on the Countryside.</w:t>
      </w:r>
    </w:p>
    <w:p w14:paraId="27B3A87B"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32533912"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Small rural businesses have traditionally supported each other and the rural economy through providing products and services and consequently employment closely related to their location. In recognising the contribution that such businesses make to achieving sustainable development through delivering the aims of the Spatial Strategy, the Council will support the expansion of existing businesses and establishment of appropriate new business. </w:t>
      </w:r>
    </w:p>
    <w:p w14:paraId="3DC13ED5"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39943C4F"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Proposals to expand viable businesses will be supported where they can demonstrate an ongoing contribution to sustaining rural employment. This policy is not intended to allow the unlimited expansion of existing businesses. The visual or operational impacts may at some point outweigh the benefits of expansion. </w:t>
      </w:r>
    </w:p>
    <w:p w14:paraId="06DA6EC1"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04D7A39B"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Proposals for new businesses should be able to demonstrate both a need for a particular rural location and a contribution to sustaining rural employment.  In the interests of minimising visual impact, new buildings should be restrained to the minimum necessary to sustain the business.</w:t>
      </w:r>
    </w:p>
    <w:p w14:paraId="5FAC1B57"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68A1D4FC" w14:textId="77777777" w:rsidR="00D45CE9" w:rsidRDefault="00D45CE9" w:rsidP="00335B79">
      <w:pPr>
        <w:keepNext w:val="0"/>
        <w:autoSpaceDE w:val="0"/>
        <w:autoSpaceDN w:val="0"/>
        <w:adjustRightInd w:val="0"/>
        <w:spacing w:before="0"/>
        <w:ind w:left="851"/>
        <w:rPr>
          <w:rFonts w:eastAsia="Arial" w:cs="Arial"/>
          <w:b/>
          <w:bCs/>
          <w:spacing w:val="-1"/>
        </w:rPr>
      </w:pPr>
      <w:r w:rsidRPr="00D45CE9">
        <w:rPr>
          <w:rFonts w:eastAsia="Arial" w:cs="Arial"/>
          <w:b/>
          <w:bCs/>
          <w:spacing w:val="-1"/>
        </w:rPr>
        <w:t>New Buildings</w:t>
      </w:r>
    </w:p>
    <w:p w14:paraId="2374B578"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0E37F7">
        <w:rPr>
          <w:rFonts w:eastAsia="Arial" w:cs="Arial"/>
          <w:b/>
          <w:bCs/>
          <w:spacing w:val="-1"/>
        </w:rPr>
        <w:t>EV2:1c)</w:t>
      </w:r>
      <w:r w:rsidRPr="00D45CE9">
        <w:rPr>
          <w:rFonts w:eastAsia="Arial" w:cs="Arial"/>
          <w:spacing w:val="-1"/>
        </w:rPr>
        <w:t xml:space="preserve"> New buildings will be restricted in the Countryside to cases where it is essential for an appropriate Countryside use and the need for the proposed location has been established. Any new building should be at a scale which is appropriate to the nature of the site and its setting. </w:t>
      </w:r>
    </w:p>
    <w:p w14:paraId="4F6281FA"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1121354E" w14:textId="36E6E02E"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Unless there is an overriding need, residential dwellings are usually best sited within existing towns or villages. One of the few circumstances in which an isolated new dwelling in a rural area may be justified is when accommodation is essential to enable a full-time agriculture, or forestry worker to live at, or in the immediate vicinity of their place of work (NPPF, paragraph </w:t>
      </w:r>
      <w:r w:rsidR="000E37F7">
        <w:rPr>
          <w:rFonts w:eastAsia="Arial" w:cs="Arial"/>
          <w:spacing w:val="-1"/>
        </w:rPr>
        <w:t>80</w:t>
      </w:r>
      <w:r w:rsidRPr="00D45CE9">
        <w:rPr>
          <w:rFonts w:eastAsia="Arial" w:cs="Arial"/>
          <w:spacing w:val="-1"/>
        </w:rPr>
        <w:t xml:space="preserve">). Whether this is essential in any </w:t>
      </w:r>
      <w:proofErr w:type="gramStart"/>
      <w:r w:rsidRPr="00D45CE9">
        <w:rPr>
          <w:rFonts w:eastAsia="Arial" w:cs="Arial"/>
          <w:spacing w:val="-1"/>
        </w:rPr>
        <w:t>particular case</w:t>
      </w:r>
      <w:proofErr w:type="gramEnd"/>
      <w:r w:rsidRPr="00D45CE9">
        <w:rPr>
          <w:rFonts w:eastAsia="Arial" w:cs="Arial"/>
          <w:spacing w:val="-1"/>
        </w:rPr>
        <w:t xml:space="preserve"> will depend on the needs of the enterprise concerned and not on the personal preference or circumstances of any of the individuals involved.  For any new dwelling, a functional test will be necessary to establish whether it is essential (rather than merely desirable) for the proper functioning of the enterprise for one or more workers to be readily available at most times to deal with animals or agricultural processes which require essential care at short notice or to deal quickly with emergencies that could otherwise cause serious loss of crops or products. The Council will also require the application of a financial test to show that the agricultural enterprise is financially sound. It may be necessary to provide business accounts or financial projections in support of an application to a basic level to assist a financial appraisal. All proposals will be considered against advice contained in Appendix 5 of this Plan.  </w:t>
      </w:r>
    </w:p>
    <w:p w14:paraId="650C1743" w14:textId="77777777" w:rsidR="00F86477" w:rsidRDefault="00F86477" w:rsidP="00335B79">
      <w:pPr>
        <w:keepNext w:val="0"/>
        <w:autoSpaceDE w:val="0"/>
        <w:autoSpaceDN w:val="0"/>
        <w:adjustRightInd w:val="0"/>
        <w:spacing w:before="0"/>
        <w:ind w:left="851" w:hanging="851"/>
        <w:rPr>
          <w:rFonts w:eastAsia="Arial" w:cs="Arial"/>
          <w:b/>
          <w:bCs/>
          <w:spacing w:val="-1"/>
        </w:rPr>
      </w:pPr>
    </w:p>
    <w:p w14:paraId="15BC5C6A" w14:textId="7A7B3E25" w:rsidR="00D45CE9" w:rsidRDefault="00D45CE9" w:rsidP="00335B79">
      <w:pPr>
        <w:keepNext w:val="0"/>
        <w:autoSpaceDE w:val="0"/>
        <w:autoSpaceDN w:val="0"/>
        <w:adjustRightInd w:val="0"/>
        <w:spacing w:before="0"/>
        <w:ind w:left="851"/>
        <w:rPr>
          <w:rFonts w:eastAsia="Arial" w:cs="Arial"/>
          <w:b/>
          <w:bCs/>
          <w:spacing w:val="-1"/>
        </w:rPr>
      </w:pPr>
      <w:r w:rsidRPr="00D45CE9">
        <w:rPr>
          <w:rFonts w:eastAsia="Arial" w:cs="Arial"/>
          <w:b/>
          <w:bCs/>
          <w:spacing w:val="-1"/>
        </w:rPr>
        <w:t>Utilities and Infrastructure</w:t>
      </w:r>
    </w:p>
    <w:p w14:paraId="76321C95"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0E37F7">
        <w:rPr>
          <w:rFonts w:eastAsia="Arial" w:cs="Arial"/>
          <w:b/>
          <w:bCs/>
          <w:spacing w:val="-1"/>
        </w:rPr>
        <w:t>EV2:1d)</w:t>
      </w:r>
      <w:r w:rsidRPr="00D45CE9">
        <w:rPr>
          <w:rFonts w:eastAsia="Arial" w:cs="Arial"/>
          <w:spacing w:val="-1"/>
        </w:rPr>
        <w:t xml:space="preserve"> Utility installations and local transport infrastructure, such as electricity transmission lines or railway installations which can demonstrate a requirement for </w:t>
      </w:r>
      <w:r w:rsidRPr="00D45CE9">
        <w:rPr>
          <w:rFonts w:eastAsia="Arial" w:cs="Arial"/>
          <w:spacing w:val="-1"/>
        </w:rPr>
        <w:lastRenderedPageBreak/>
        <w:t xml:space="preserve">a rural location will generally be supported by the Council. It is important to ensure that these installations are sensitively located </w:t>
      </w:r>
      <w:proofErr w:type="gramStart"/>
      <w:r w:rsidRPr="00D45CE9">
        <w:rPr>
          <w:rFonts w:eastAsia="Arial" w:cs="Arial"/>
          <w:spacing w:val="-1"/>
        </w:rPr>
        <w:t>in order to</w:t>
      </w:r>
      <w:proofErr w:type="gramEnd"/>
      <w:r w:rsidRPr="00D45CE9">
        <w:rPr>
          <w:rFonts w:eastAsia="Arial" w:cs="Arial"/>
          <w:spacing w:val="-1"/>
        </w:rPr>
        <w:t xml:space="preserve"> minimise the adverse impact on the landscape or neighbouring properties.  Careful siting, design and landscaping will normally be required, particularly in sensitive locations. </w:t>
      </w:r>
    </w:p>
    <w:p w14:paraId="7B7F644E"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6137FEFE" w14:textId="7F660684" w:rsidR="00D45CE9" w:rsidRDefault="00335B79" w:rsidP="00335B79">
      <w:pPr>
        <w:keepNext w:val="0"/>
        <w:autoSpaceDE w:val="0"/>
        <w:autoSpaceDN w:val="0"/>
        <w:adjustRightInd w:val="0"/>
        <w:spacing w:before="0"/>
        <w:ind w:left="851" w:hanging="131"/>
        <w:rPr>
          <w:rFonts w:eastAsia="Arial" w:cs="Arial"/>
          <w:b/>
          <w:bCs/>
          <w:spacing w:val="-1"/>
        </w:rPr>
      </w:pPr>
      <w:r>
        <w:rPr>
          <w:rFonts w:eastAsia="Arial" w:cs="Arial"/>
          <w:b/>
          <w:bCs/>
          <w:spacing w:val="-1"/>
        </w:rPr>
        <w:t xml:space="preserve">  </w:t>
      </w:r>
      <w:r w:rsidR="00D45CE9" w:rsidRPr="00D45CE9">
        <w:rPr>
          <w:rFonts w:eastAsia="Arial" w:cs="Arial"/>
          <w:b/>
          <w:bCs/>
          <w:spacing w:val="-1"/>
        </w:rPr>
        <w:t>Extension or Alteration of Existing Buildings</w:t>
      </w:r>
    </w:p>
    <w:p w14:paraId="3C3E3D73"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0E37F7">
        <w:rPr>
          <w:rFonts w:eastAsia="Arial" w:cs="Arial"/>
          <w:b/>
          <w:bCs/>
          <w:spacing w:val="-1"/>
        </w:rPr>
        <w:t>EV2:1e)</w:t>
      </w:r>
      <w:r w:rsidRPr="00D45CE9">
        <w:rPr>
          <w:rFonts w:eastAsia="Arial" w:cs="Arial"/>
          <w:spacing w:val="-1"/>
        </w:rPr>
        <w:t xml:space="preserve"> Extension or alteration of a building is not inappropriate in the Countryside, where the resultant scale, form and general design is in keeping with the host building and its surroundings. </w:t>
      </w:r>
    </w:p>
    <w:p w14:paraId="3AC84330"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2FC65D2F"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Extensions or alterations to small dwellings in the Countryside should not result in the provision of large houses of suburban appearance, out of character with their rural setting and reducing the supply of smaller rural houses. </w:t>
      </w:r>
      <w:proofErr w:type="gramStart"/>
      <w:r w:rsidRPr="00D45CE9">
        <w:rPr>
          <w:rFonts w:eastAsia="Arial" w:cs="Arial"/>
          <w:spacing w:val="-1"/>
        </w:rPr>
        <w:t>In order to</w:t>
      </w:r>
      <w:proofErr w:type="gramEnd"/>
      <w:r w:rsidRPr="00D45CE9">
        <w:rPr>
          <w:rFonts w:eastAsia="Arial" w:cs="Arial"/>
          <w:spacing w:val="-1"/>
        </w:rPr>
        <w:t xml:space="preserve"> minimise impact, the proposed development will need to respect the design of the existing property, adjoining properties and the setting of the building.  Advice on appropriate design principles for residential extensions is contained in the Ashfield Design Supplementary Planning Guidance.</w:t>
      </w:r>
    </w:p>
    <w:p w14:paraId="67F19842"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3A6B010E" w14:textId="34FAA7FB"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In determining </w:t>
      </w:r>
      <w:r w:rsidR="009D1815" w:rsidRPr="00D45CE9">
        <w:rPr>
          <w:rFonts w:eastAsia="Arial" w:cs="Arial"/>
          <w:spacing w:val="-1"/>
        </w:rPr>
        <w:t>applications,</w:t>
      </w:r>
      <w:r w:rsidRPr="00D45CE9">
        <w:rPr>
          <w:rFonts w:eastAsia="Arial" w:cs="Arial"/>
          <w:spacing w:val="-1"/>
        </w:rPr>
        <w:t xml:space="preserve"> the Council will also </w:t>
      </w:r>
      <w:proofErr w:type="gramStart"/>
      <w:r w:rsidRPr="00D45CE9">
        <w:rPr>
          <w:rFonts w:eastAsia="Arial" w:cs="Arial"/>
          <w:spacing w:val="-1"/>
        </w:rPr>
        <w:t>take into account</w:t>
      </w:r>
      <w:proofErr w:type="gramEnd"/>
      <w:r w:rsidRPr="00D45CE9">
        <w:rPr>
          <w:rFonts w:eastAsia="Arial" w:cs="Arial"/>
          <w:spacing w:val="-1"/>
        </w:rPr>
        <w:t xml:space="preserve"> factors such as the size of the original </w:t>
      </w:r>
      <w:r w:rsidR="009D1815" w:rsidRPr="00D45CE9">
        <w:rPr>
          <w:rFonts w:eastAsia="Arial" w:cs="Arial"/>
          <w:spacing w:val="-1"/>
        </w:rPr>
        <w:t>building,</w:t>
      </w:r>
      <w:r w:rsidRPr="00D45CE9">
        <w:rPr>
          <w:rFonts w:eastAsia="Arial" w:cs="Arial"/>
          <w:spacing w:val="-1"/>
        </w:rPr>
        <w:t xml:space="preserve"> the scale, form, bulk and prominence of an extension or alteration, and the impact of the proposal on the character of the Countryside. Proposals must not result in a </w:t>
      </w:r>
      <w:r w:rsidR="009D1815" w:rsidRPr="00D45CE9">
        <w:rPr>
          <w:rFonts w:eastAsia="Arial" w:cs="Arial"/>
          <w:spacing w:val="-1"/>
        </w:rPr>
        <w:t>large, bulky or intrusive building</w:t>
      </w:r>
      <w:r w:rsidRPr="00D45CE9">
        <w:rPr>
          <w:rFonts w:eastAsia="Arial" w:cs="Arial"/>
          <w:spacing w:val="-1"/>
        </w:rPr>
        <w:t xml:space="preserve"> which would adversely impact on the character of the Countryside. </w:t>
      </w:r>
    </w:p>
    <w:p w14:paraId="36145133"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447BE692"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Regard will be given to previous extensions on the site, either allowed through Permitted Development Rights or through planning approvals. The original character of a building can be lost if the property is extended in an unsympathetic way through the addition of numerous extensions. The Council will </w:t>
      </w:r>
      <w:proofErr w:type="gramStart"/>
      <w:r w:rsidRPr="00D45CE9">
        <w:rPr>
          <w:rFonts w:eastAsia="Arial" w:cs="Arial"/>
          <w:spacing w:val="-1"/>
        </w:rPr>
        <w:t>take into account</w:t>
      </w:r>
      <w:proofErr w:type="gramEnd"/>
      <w:r w:rsidRPr="00D45CE9">
        <w:rPr>
          <w:rFonts w:eastAsia="Arial" w:cs="Arial"/>
          <w:spacing w:val="-1"/>
        </w:rPr>
        <w:t xml:space="preserve"> the original proportions of the building, prior to extensions being added. In some circumstances, it may be more appropriate to provide one new extension as a replacement for several existing extensions, especially where these are in poor condition or do not reflect the original character of the building. All applications will need to consider the impact of the cumulative extensions on the original building.</w:t>
      </w:r>
    </w:p>
    <w:p w14:paraId="60494F18"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776C46AC"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The design of any development should be sympathetic to the existing building, the plot size upon which the building it sited, the area adjacent to the site and its wider setting. Proposed changes, either individually or cumulatively should not over dominate the existing building.</w:t>
      </w:r>
    </w:p>
    <w:p w14:paraId="0FE03776"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27BC70D3"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In the case of extensions to a dwelling, “original” means the dwelling as existing on 1st July 1948, even if the original dwelling has since been replaced. If no dwelling existed on that date, then “original” means the dwelling as first built after 1st July 1948. Extensions will only be allowed under the policy where the dwelling proposed to be extended remains intact on site. </w:t>
      </w:r>
    </w:p>
    <w:p w14:paraId="03412905"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75CF5A89"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The total floor area of the original dwelling will include any garage or domestic outbuilding within the curtilage of the dwelling that is used ancillary to the main dwelling and that was erected as part of the original development and </w:t>
      </w:r>
      <w:proofErr w:type="gramStart"/>
      <w:r w:rsidRPr="00D45CE9">
        <w:rPr>
          <w:rFonts w:eastAsia="Arial" w:cs="Arial"/>
          <w:spacing w:val="-1"/>
        </w:rPr>
        <w:t>still remains</w:t>
      </w:r>
      <w:proofErr w:type="gramEnd"/>
      <w:r w:rsidRPr="00D45CE9">
        <w:rPr>
          <w:rFonts w:eastAsia="Arial" w:cs="Arial"/>
          <w:spacing w:val="-1"/>
        </w:rPr>
        <w:t xml:space="preserve"> </w:t>
      </w:r>
      <w:r w:rsidRPr="00D45CE9">
        <w:rPr>
          <w:rFonts w:eastAsia="Arial" w:cs="Arial"/>
          <w:spacing w:val="-1"/>
        </w:rPr>
        <w:lastRenderedPageBreak/>
        <w:t xml:space="preserve">intact on site. Outbuildings added </w:t>
      </w:r>
      <w:proofErr w:type="gramStart"/>
      <w:r w:rsidRPr="00D45CE9">
        <w:rPr>
          <w:rFonts w:eastAsia="Arial" w:cs="Arial"/>
          <w:spacing w:val="-1"/>
        </w:rPr>
        <w:t>at a later date</w:t>
      </w:r>
      <w:proofErr w:type="gramEnd"/>
      <w:r w:rsidRPr="00D45CE9">
        <w:rPr>
          <w:rFonts w:eastAsia="Arial" w:cs="Arial"/>
          <w:spacing w:val="-1"/>
        </w:rPr>
        <w:t>, regardless of whether planning permission was required, will not be included as part of the original dwelling.</w:t>
      </w:r>
    </w:p>
    <w:p w14:paraId="2ED1430B"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2D05BE8F"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Planning application proposals for outbuildings that do not constitute permitted development under Town &amp; Country Planning Schedule 2 Part 1 Class E of the Town and Country Planning (General Permitted Development Order) or any superseding legislation, shall be treated as an extension.</w:t>
      </w:r>
    </w:p>
    <w:p w14:paraId="506C4B51"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65923452"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The Council will </w:t>
      </w:r>
      <w:proofErr w:type="gramStart"/>
      <w:r w:rsidRPr="00D45CE9">
        <w:rPr>
          <w:rFonts w:eastAsia="Arial" w:cs="Arial"/>
          <w:spacing w:val="-1"/>
        </w:rPr>
        <w:t>give consideration to</w:t>
      </w:r>
      <w:proofErr w:type="gramEnd"/>
      <w:r w:rsidRPr="00D45CE9">
        <w:rPr>
          <w:rFonts w:eastAsia="Arial" w:cs="Arial"/>
          <w:spacing w:val="-1"/>
        </w:rPr>
        <w:t xml:space="preserve"> the removal of permitted development rights when assessing proposals to extend a dwelling in the Countryside.</w:t>
      </w:r>
    </w:p>
    <w:p w14:paraId="34EE1C16"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2DB839DB" w14:textId="26093BBB" w:rsidR="00D45CE9" w:rsidRDefault="00335B79" w:rsidP="00335B79">
      <w:pPr>
        <w:keepNext w:val="0"/>
        <w:autoSpaceDE w:val="0"/>
        <w:autoSpaceDN w:val="0"/>
        <w:adjustRightInd w:val="0"/>
        <w:spacing w:before="0"/>
        <w:ind w:left="851" w:hanging="131"/>
        <w:rPr>
          <w:rFonts w:eastAsia="Arial" w:cs="Arial"/>
          <w:b/>
          <w:bCs/>
          <w:spacing w:val="-1"/>
        </w:rPr>
      </w:pPr>
      <w:r>
        <w:rPr>
          <w:rFonts w:eastAsia="Arial" w:cs="Arial"/>
          <w:b/>
          <w:bCs/>
          <w:spacing w:val="-1"/>
        </w:rPr>
        <w:t xml:space="preserve">  </w:t>
      </w:r>
      <w:r w:rsidR="00D45CE9" w:rsidRPr="00D45CE9">
        <w:rPr>
          <w:rFonts w:eastAsia="Arial" w:cs="Arial"/>
          <w:b/>
          <w:bCs/>
          <w:spacing w:val="-1"/>
        </w:rPr>
        <w:t>Replacement of Existing Buildings</w:t>
      </w:r>
    </w:p>
    <w:p w14:paraId="0F905370"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0E37F7">
        <w:rPr>
          <w:rFonts w:eastAsia="Arial" w:cs="Arial"/>
          <w:b/>
          <w:bCs/>
          <w:spacing w:val="-1"/>
        </w:rPr>
        <w:t>EV2:1f)</w:t>
      </w:r>
      <w:r w:rsidRPr="00D45CE9">
        <w:rPr>
          <w:rFonts w:eastAsia="Arial" w:cs="Arial"/>
          <w:spacing w:val="-1"/>
        </w:rPr>
        <w:t xml:space="preserve"> The replacement of existing buildings need not be inappropriate providing that the new building is not materially larger than the original building it replaces, and where it can be demonstrated that the existing building is not of architectural or historic merit. Proposals for significantly different siting will only be supported where they result in a substantial visual improvement to the immediate setting. It is essential that such replacement buildings make a clear improvement to the surrounding area and the impact of generated traffic. This policy is not intended to formalise or give permanency to buildings of a clearly temporary nature. </w:t>
      </w:r>
    </w:p>
    <w:p w14:paraId="2EDDB11A"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09DFFBE1" w14:textId="77777777"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Where an existing building is derelict or is structurally unsound, permission will not be granted for its replacement unless this has resulted from accidental damage, for example by fire, or subsidence, and in the case of replacement for residential purposes, it can be demonstrated that the residential use has not been abandoned.</w:t>
      </w:r>
    </w:p>
    <w:p w14:paraId="70CE9A83"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410A8123" w14:textId="39231F2F" w:rsidR="00D45CE9" w:rsidRDefault="00335B79" w:rsidP="00335B79">
      <w:pPr>
        <w:keepNext w:val="0"/>
        <w:autoSpaceDE w:val="0"/>
        <w:autoSpaceDN w:val="0"/>
        <w:adjustRightInd w:val="0"/>
        <w:spacing w:before="0"/>
        <w:ind w:left="851" w:hanging="131"/>
        <w:rPr>
          <w:rFonts w:eastAsia="Arial" w:cs="Arial"/>
          <w:b/>
          <w:bCs/>
          <w:spacing w:val="-1"/>
        </w:rPr>
      </w:pPr>
      <w:r>
        <w:rPr>
          <w:rFonts w:eastAsia="Arial" w:cs="Arial"/>
          <w:b/>
          <w:bCs/>
          <w:spacing w:val="-1"/>
        </w:rPr>
        <w:t xml:space="preserve">  </w:t>
      </w:r>
      <w:r w:rsidR="00D45CE9" w:rsidRPr="000E37F7">
        <w:rPr>
          <w:rFonts w:eastAsia="Arial" w:cs="Arial"/>
          <w:b/>
          <w:bCs/>
          <w:spacing w:val="-1"/>
        </w:rPr>
        <w:t>Infill</w:t>
      </w:r>
      <w:r w:rsidR="008C39C9">
        <w:rPr>
          <w:rFonts w:eastAsia="Arial" w:cs="Arial"/>
          <w:b/>
          <w:bCs/>
          <w:spacing w:val="-1"/>
        </w:rPr>
        <w:t xml:space="preserve"> </w:t>
      </w:r>
      <w:r w:rsidR="00D45CE9" w:rsidRPr="000E37F7">
        <w:rPr>
          <w:rFonts w:eastAsia="Arial" w:cs="Arial"/>
          <w:b/>
          <w:bCs/>
          <w:spacing w:val="-1"/>
        </w:rPr>
        <w:t>Development</w:t>
      </w:r>
    </w:p>
    <w:p w14:paraId="4B08E4C5" w14:textId="19611EE4"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0E37F7">
        <w:rPr>
          <w:rFonts w:eastAsia="Arial" w:cs="Arial"/>
          <w:b/>
          <w:bCs/>
          <w:spacing w:val="-1"/>
        </w:rPr>
        <w:t>EV2:1g)</w:t>
      </w:r>
      <w:r w:rsidRPr="00D45CE9">
        <w:rPr>
          <w:rFonts w:eastAsia="Arial" w:cs="Arial"/>
          <w:spacing w:val="-1"/>
        </w:rPr>
        <w:t xml:space="preserve"> Limited </w:t>
      </w:r>
      <w:r w:rsidRPr="00F86477">
        <w:rPr>
          <w:rFonts w:eastAsia="Arial" w:cs="Arial"/>
          <w:color w:val="auto"/>
          <w:spacing w:val="-1"/>
        </w:rPr>
        <w:t xml:space="preserve">infill </w:t>
      </w:r>
      <w:r w:rsidR="00323052">
        <w:rPr>
          <w:rFonts w:eastAsia="Arial" w:cs="Arial"/>
          <w:color w:val="auto"/>
          <w:spacing w:val="-1"/>
        </w:rPr>
        <w:t xml:space="preserve">for </w:t>
      </w:r>
      <w:r w:rsidR="00D42DBF" w:rsidRPr="00F86477">
        <w:rPr>
          <w:rFonts w:eastAsia="Arial" w:cs="Arial"/>
          <w:color w:val="auto"/>
          <w:spacing w:val="-1"/>
        </w:rPr>
        <w:t xml:space="preserve">residential </w:t>
      </w:r>
      <w:r w:rsidRPr="00F86477">
        <w:rPr>
          <w:rFonts w:eastAsia="Arial" w:cs="Arial"/>
          <w:color w:val="auto"/>
          <w:spacing w:val="-1"/>
        </w:rPr>
        <w:t xml:space="preserve">development </w:t>
      </w:r>
      <w:r w:rsidRPr="00D45CE9">
        <w:rPr>
          <w:rFonts w:eastAsia="Arial" w:cs="Arial"/>
          <w:spacing w:val="-1"/>
        </w:rPr>
        <w:t xml:space="preserve">may be acceptable in the Countryside, provided it preserves the character of the Countryside and is sustainably located. Regard should be made to the scale and character </w:t>
      </w:r>
      <w:r w:rsidR="008C39C9">
        <w:rPr>
          <w:rFonts w:eastAsia="Arial" w:cs="Arial"/>
          <w:spacing w:val="-1"/>
        </w:rPr>
        <w:t xml:space="preserve">and appearance </w:t>
      </w:r>
      <w:r w:rsidRPr="00D45CE9">
        <w:rPr>
          <w:rFonts w:eastAsia="Arial" w:cs="Arial"/>
          <w:spacing w:val="-1"/>
        </w:rPr>
        <w:t>of the area when assessing development.</w:t>
      </w:r>
    </w:p>
    <w:p w14:paraId="2F3D373A"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5A7C87DB" w14:textId="399D527C" w:rsidR="00D45CE9" w:rsidRPr="008C39C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8C39C9">
        <w:rPr>
          <w:rFonts w:eastAsia="Arial" w:cs="Arial"/>
          <w:spacing w:val="-1"/>
        </w:rPr>
        <w:t xml:space="preserve">In determining whether a site is sustainably located regard should be had to the services and facilities within the area and </w:t>
      </w:r>
      <w:proofErr w:type="gramStart"/>
      <w:r w:rsidRPr="008C39C9">
        <w:rPr>
          <w:rFonts w:eastAsia="Arial" w:cs="Arial"/>
          <w:spacing w:val="-1"/>
        </w:rPr>
        <w:t>whether or not</w:t>
      </w:r>
      <w:proofErr w:type="gramEnd"/>
      <w:r w:rsidRPr="008C39C9">
        <w:rPr>
          <w:rFonts w:eastAsia="Arial" w:cs="Arial"/>
          <w:spacing w:val="-1"/>
        </w:rPr>
        <w:t xml:space="preserve"> these are accessible</w:t>
      </w:r>
      <w:r w:rsidR="009421C3" w:rsidRPr="008C39C9">
        <w:rPr>
          <w:rFonts w:eastAsia="Arial" w:cs="Arial"/>
          <w:spacing w:val="-1"/>
        </w:rPr>
        <w:t xml:space="preserve"> in relation to walking, cycling and public transport</w:t>
      </w:r>
      <w:r w:rsidRPr="008C39C9">
        <w:rPr>
          <w:rFonts w:eastAsia="Arial" w:cs="Arial"/>
          <w:spacing w:val="-1"/>
        </w:rPr>
        <w:t xml:space="preserve">.  If it determined that it will be necessary to travel, by private motor vehicle, </w:t>
      </w:r>
      <w:proofErr w:type="gramStart"/>
      <w:r w:rsidRPr="008C39C9">
        <w:rPr>
          <w:rFonts w:eastAsia="Arial" w:cs="Arial"/>
          <w:spacing w:val="-1"/>
        </w:rPr>
        <w:t>further</w:t>
      </w:r>
      <w:proofErr w:type="gramEnd"/>
      <w:r w:rsidRPr="008C39C9">
        <w:rPr>
          <w:rFonts w:eastAsia="Arial" w:cs="Arial"/>
          <w:spacing w:val="-1"/>
        </w:rPr>
        <w:t xml:space="preserve"> afield to access a greater level of service provision to meet day-to-day needs, it is likely that the site is not in a sustainable location.  </w:t>
      </w:r>
    </w:p>
    <w:p w14:paraId="7674C9F3" w14:textId="77777777" w:rsidR="00D45CE9" w:rsidRPr="000E37F7" w:rsidRDefault="00D45CE9" w:rsidP="00335B79">
      <w:pPr>
        <w:keepNext w:val="0"/>
        <w:autoSpaceDE w:val="0"/>
        <w:autoSpaceDN w:val="0"/>
        <w:adjustRightInd w:val="0"/>
        <w:spacing w:before="0"/>
        <w:ind w:left="851" w:hanging="851"/>
        <w:rPr>
          <w:rFonts w:eastAsia="Arial" w:cs="Arial"/>
          <w:spacing w:val="-1"/>
          <w:highlight w:val="yellow"/>
        </w:rPr>
      </w:pPr>
    </w:p>
    <w:p w14:paraId="797476F8" w14:textId="3F826DFC" w:rsidR="00D45CE9" w:rsidRP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 xml:space="preserve">The Council defines limited infill development as the completion of an otherwise substantially </w:t>
      </w:r>
      <w:r w:rsidR="004D4AC9" w:rsidRPr="00D45CE9">
        <w:rPr>
          <w:rFonts w:eastAsia="Arial" w:cs="Arial"/>
          <w:spacing w:val="-1"/>
        </w:rPr>
        <w:t>built-up</w:t>
      </w:r>
      <w:r w:rsidRPr="00D45CE9">
        <w:rPr>
          <w:rFonts w:eastAsia="Arial" w:cs="Arial"/>
          <w:spacing w:val="-1"/>
        </w:rPr>
        <w:t xml:space="preserve"> frontage by the filling of a small gap normally capable of taking one or two dwellings only. A substantial </w:t>
      </w:r>
      <w:r w:rsidR="004D4AC9" w:rsidRPr="00D45CE9">
        <w:rPr>
          <w:rFonts w:eastAsia="Arial" w:cs="Arial"/>
          <w:spacing w:val="-1"/>
        </w:rPr>
        <w:t>built-up</w:t>
      </w:r>
      <w:r w:rsidRPr="00D45CE9">
        <w:rPr>
          <w:rFonts w:eastAsia="Arial" w:cs="Arial"/>
          <w:spacing w:val="-1"/>
        </w:rPr>
        <w:t xml:space="preserve"> frontage is defined as an otherwise continuous and largely uninterrupted built frontage of several dwellings visible within the street scene.</w:t>
      </w:r>
    </w:p>
    <w:p w14:paraId="04050680"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4FD72076" w14:textId="422AFD97" w:rsidR="00D45CE9" w:rsidRPr="00D7662D"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7662D">
        <w:rPr>
          <w:rFonts w:eastAsia="Arial" w:cs="Arial"/>
          <w:spacing w:val="-1"/>
        </w:rPr>
        <w:t xml:space="preserve">Not all small gaps are appropriate for infilling, for example where it would result in new development in an unsustainable location. Any proposal for infill development </w:t>
      </w:r>
      <w:r w:rsidRPr="00D7662D">
        <w:rPr>
          <w:rFonts w:eastAsia="Arial" w:cs="Arial"/>
          <w:spacing w:val="-1"/>
        </w:rPr>
        <w:lastRenderedPageBreak/>
        <w:t xml:space="preserve">will need to have </w:t>
      </w:r>
      <w:proofErr w:type="gramStart"/>
      <w:r w:rsidRPr="00D7662D">
        <w:rPr>
          <w:rFonts w:eastAsia="Arial" w:cs="Arial"/>
          <w:spacing w:val="-1"/>
        </w:rPr>
        <w:t>particular regard</w:t>
      </w:r>
      <w:proofErr w:type="gramEnd"/>
      <w:r w:rsidRPr="00D7662D">
        <w:rPr>
          <w:rFonts w:eastAsia="Arial" w:cs="Arial"/>
          <w:spacing w:val="-1"/>
        </w:rPr>
        <w:t xml:space="preserve"> to Policy S</w:t>
      </w:r>
      <w:r w:rsidR="001B6A1E" w:rsidRPr="00D7662D">
        <w:rPr>
          <w:rFonts w:eastAsia="Arial" w:cs="Arial"/>
          <w:spacing w:val="-1"/>
        </w:rPr>
        <w:t>2</w:t>
      </w:r>
      <w:r w:rsidRPr="00D7662D">
        <w:rPr>
          <w:rFonts w:eastAsia="Arial" w:cs="Arial"/>
          <w:spacing w:val="-1"/>
        </w:rPr>
        <w:t xml:space="preserve">: </w:t>
      </w:r>
      <w:r w:rsidR="001B6A1E" w:rsidRPr="00D7662D">
        <w:rPr>
          <w:rFonts w:eastAsia="Arial" w:cs="Arial"/>
          <w:spacing w:val="-1"/>
        </w:rPr>
        <w:t xml:space="preserve">Achieving </w:t>
      </w:r>
      <w:r w:rsidRPr="00D7662D">
        <w:rPr>
          <w:rFonts w:eastAsia="Arial" w:cs="Arial"/>
          <w:spacing w:val="-1"/>
        </w:rPr>
        <w:t>Sustainable Development and Policy SD</w:t>
      </w:r>
      <w:r w:rsidR="004E709C" w:rsidRPr="00D7662D">
        <w:rPr>
          <w:rFonts w:eastAsia="Arial" w:cs="Arial"/>
          <w:spacing w:val="-1"/>
        </w:rPr>
        <w:t>2</w:t>
      </w:r>
      <w:r w:rsidRPr="00D7662D">
        <w:rPr>
          <w:rFonts w:eastAsia="Arial" w:cs="Arial"/>
          <w:spacing w:val="-1"/>
        </w:rPr>
        <w:t xml:space="preserve">: Good Design Considerations for Development. </w:t>
      </w:r>
    </w:p>
    <w:p w14:paraId="0B051F0B" w14:textId="77777777" w:rsidR="00D45CE9" w:rsidRPr="00D45CE9" w:rsidRDefault="00D45CE9" w:rsidP="00335B79">
      <w:pPr>
        <w:keepNext w:val="0"/>
        <w:autoSpaceDE w:val="0"/>
        <w:autoSpaceDN w:val="0"/>
        <w:adjustRightInd w:val="0"/>
        <w:spacing w:before="0"/>
        <w:ind w:left="851" w:hanging="851"/>
        <w:rPr>
          <w:rFonts w:eastAsia="Arial" w:cs="Arial"/>
          <w:spacing w:val="-1"/>
        </w:rPr>
      </w:pPr>
    </w:p>
    <w:p w14:paraId="5E84AA1B" w14:textId="2D81A8E3" w:rsidR="00D45CE9" w:rsidRDefault="00D45CE9" w:rsidP="00335B79">
      <w:pPr>
        <w:keepNext w:val="0"/>
        <w:numPr>
          <w:ilvl w:val="1"/>
          <w:numId w:val="5"/>
        </w:numPr>
        <w:tabs>
          <w:tab w:val="clear" w:pos="525"/>
        </w:tabs>
        <w:autoSpaceDE w:val="0"/>
        <w:autoSpaceDN w:val="0"/>
        <w:adjustRightInd w:val="0"/>
        <w:spacing w:before="0"/>
        <w:ind w:left="851" w:hanging="851"/>
        <w:rPr>
          <w:rFonts w:eastAsia="Arial" w:cs="Arial"/>
          <w:spacing w:val="-1"/>
        </w:rPr>
      </w:pPr>
      <w:r w:rsidRPr="00D45CE9">
        <w:rPr>
          <w:rFonts w:eastAsia="Arial" w:cs="Arial"/>
          <w:spacing w:val="-1"/>
        </w:rPr>
        <w:t>The above principles may also apply to other purposes providing this would be in keeping with the character of the area and would not adversely affect residential amenity.</w:t>
      </w:r>
    </w:p>
    <w:p w14:paraId="3C582AF7" w14:textId="56C5BFC2" w:rsidR="000E37F7" w:rsidRDefault="000E37F7" w:rsidP="00263F59">
      <w:pPr>
        <w:pStyle w:val="ListParagraph"/>
        <w:spacing w:after="0" w:line="240" w:lineRule="auto"/>
        <w:rPr>
          <w:rFonts w:ascii="Arial" w:eastAsia="Arial" w:hAnsi="Arial" w:cs="Arial"/>
          <w:spacing w:val="-1"/>
        </w:rPr>
      </w:pPr>
    </w:p>
    <w:p w14:paraId="7B5A4B1E" w14:textId="5200AF57" w:rsidR="00263F59" w:rsidRDefault="00263F59" w:rsidP="00263F59">
      <w:pPr>
        <w:pStyle w:val="ListParagraph"/>
        <w:spacing w:after="0" w:line="240" w:lineRule="auto"/>
        <w:rPr>
          <w:rFonts w:ascii="Arial" w:eastAsia="Arial" w:hAnsi="Arial" w:cs="Arial"/>
          <w:spacing w:val="-1"/>
        </w:rPr>
      </w:pPr>
    </w:p>
    <w:p w14:paraId="7F5376BE" w14:textId="77777777" w:rsidR="00263F59" w:rsidRPr="00263F59" w:rsidRDefault="00263F59" w:rsidP="00263F59">
      <w:pPr>
        <w:pStyle w:val="ListParagraph"/>
        <w:spacing w:after="0" w:line="240" w:lineRule="auto"/>
        <w:rPr>
          <w:rFonts w:ascii="Arial" w:eastAsia="Arial" w:hAnsi="Arial" w:cs="Arial"/>
          <w:spacing w:val="-1"/>
        </w:rPr>
      </w:pPr>
    </w:p>
    <w:p w14:paraId="57FD7763" w14:textId="299EF832" w:rsidR="006A60BB" w:rsidRPr="00995322" w:rsidRDefault="006977E7" w:rsidP="00995322">
      <w:pPr>
        <w:pStyle w:val="Heading2"/>
        <w:jc w:val="left"/>
        <w:rPr>
          <w:rFonts w:eastAsia="Arial"/>
          <w:sz w:val="28"/>
          <w:szCs w:val="28"/>
        </w:rPr>
      </w:pPr>
      <w:bookmarkStart w:id="167" w:name="_Toc145511577"/>
      <w:r w:rsidRPr="00995322">
        <w:rPr>
          <w:rFonts w:eastAsia="Arial"/>
          <w:sz w:val="28"/>
          <w:szCs w:val="28"/>
        </w:rPr>
        <w:t xml:space="preserve">Policy </w:t>
      </w:r>
      <w:r w:rsidR="006A60BB" w:rsidRPr="00995322">
        <w:rPr>
          <w:rFonts w:eastAsia="Arial"/>
          <w:sz w:val="28"/>
          <w:szCs w:val="28"/>
        </w:rPr>
        <w:t>EV3: Re-use of Buildings in the Green Belt and Countryside</w:t>
      </w:r>
      <w:bookmarkEnd w:id="167"/>
      <w:r w:rsidR="006A60BB" w:rsidRPr="00995322">
        <w:rPr>
          <w:rFonts w:eastAsia="Arial"/>
          <w:sz w:val="28"/>
          <w:szCs w:val="28"/>
        </w:rPr>
        <w:t xml:space="preserve"> </w:t>
      </w:r>
    </w:p>
    <w:p w14:paraId="6238E939" w14:textId="77777777" w:rsidR="000E37F7" w:rsidRPr="001B0F28" w:rsidRDefault="000E37F7" w:rsidP="00263F59">
      <w:pPr>
        <w:keepNext w:val="0"/>
        <w:autoSpaceDE w:val="0"/>
        <w:autoSpaceDN w:val="0"/>
        <w:adjustRightInd w:val="0"/>
        <w:spacing w:before="0"/>
        <w:ind w:left="525"/>
        <w:rPr>
          <w:rFonts w:eastAsia="Arial" w:cs="Arial"/>
          <w:b/>
          <w:bCs/>
          <w:color w:val="auto"/>
          <w:spacing w:val="-1"/>
          <w:sz w:val="28"/>
          <w:szCs w:val="28"/>
        </w:rPr>
      </w:pPr>
    </w:p>
    <w:p w14:paraId="5A023A22" w14:textId="13B8D4B4" w:rsidR="00B84B5F" w:rsidRPr="006A60BB" w:rsidRDefault="006A60BB" w:rsidP="00335B79">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6A60BB">
        <w:rPr>
          <w:rFonts w:cs="Arial"/>
          <w:szCs w:val="24"/>
        </w:rPr>
        <w:t>This policy supports the re-use of appropriately located and suitably constructed buildings in the Green Belt and countryside where this would meet sustainable development objectives</w:t>
      </w:r>
      <w:r>
        <w:rPr>
          <w:rFonts w:cs="Arial"/>
          <w:szCs w:val="24"/>
        </w:rPr>
        <w:t>.</w:t>
      </w:r>
    </w:p>
    <w:p w14:paraId="34C4AD92" w14:textId="7D96505E" w:rsidR="006A60BB" w:rsidRDefault="006A60BB" w:rsidP="00335B79">
      <w:pPr>
        <w:keepNext w:val="0"/>
        <w:tabs>
          <w:tab w:val="num" w:pos="851"/>
        </w:tabs>
        <w:autoSpaceDE w:val="0"/>
        <w:autoSpaceDN w:val="0"/>
        <w:adjustRightInd w:val="0"/>
        <w:spacing w:before="0"/>
        <w:ind w:left="851" w:hanging="851"/>
        <w:rPr>
          <w:rFonts w:cs="Arial"/>
          <w:szCs w:val="24"/>
        </w:rPr>
      </w:pPr>
    </w:p>
    <w:tbl>
      <w:tblPr>
        <w:tblStyle w:val="ReportTable1"/>
        <w:tblW w:w="9634" w:type="dxa"/>
        <w:tblLook w:val="04A0" w:firstRow="1" w:lastRow="0" w:firstColumn="1" w:lastColumn="0" w:noHBand="0" w:noVBand="1"/>
      </w:tblPr>
      <w:tblGrid>
        <w:gridCol w:w="2263"/>
        <w:gridCol w:w="397"/>
        <w:gridCol w:w="6974"/>
      </w:tblGrid>
      <w:tr w:rsidR="006A60BB" w:rsidRPr="00B20356" w14:paraId="7F0BE060" w14:textId="77777777" w:rsidTr="001770A9">
        <w:trPr>
          <w:trHeight w:val="421"/>
        </w:trPr>
        <w:tc>
          <w:tcPr>
            <w:tcW w:w="9634" w:type="dxa"/>
            <w:gridSpan w:val="3"/>
          </w:tcPr>
          <w:p w14:paraId="50D3A6CB" w14:textId="77777777" w:rsidR="007C6CA4" w:rsidRDefault="007C6CA4" w:rsidP="007C6CA4">
            <w:pPr>
              <w:tabs>
                <w:tab w:val="left" w:pos="680"/>
              </w:tabs>
              <w:spacing w:before="0"/>
              <w:rPr>
                <w:rFonts w:eastAsia="Arial"/>
                <w:b/>
                <w:spacing w:val="-1"/>
              </w:rPr>
            </w:pPr>
          </w:p>
          <w:p w14:paraId="3632FA88" w14:textId="77777777" w:rsidR="006A60BB" w:rsidRDefault="006A60BB" w:rsidP="007C6CA4">
            <w:pPr>
              <w:tabs>
                <w:tab w:val="left" w:pos="680"/>
              </w:tabs>
              <w:spacing w:before="0"/>
              <w:rPr>
                <w:rFonts w:eastAsia="Arial"/>
                <w:b/>
                <w:color w:val="auto"/>
                <w:spacing w:val="-1"/>
              </w:rPr>
            </w:pPr>
            <w:r w:rsidRPr="00B20356">
              <w:rPr>
                <w:rFonts w:eastAsia="Arial"/>
                <w:b/>
                <w:spacing w:val="-1"/>
              </w:rPr>
              <w:t xml:space="preserve">Policy EV3: </w:t>
            </w:r>
            <w:r w:rsidRPr="001B0F28">
              <w:rPr>
                <w:rFonts w:eastAsia="Arial"/>
                <w:b/>
                <w:color w:val="auto"/>
                <w:spacing w:val="-1"/>
              </w:rPr>
              <w:t>Re-use of Buildings in the Green Belt and Countryside</w:t>
            </w:r>
          </w:p>
          <w:p w14:paraId="3168081C" w14:textId="707AE869" w:rsidR="007C6CA4" w:rsidRPr="00B20356" w:rsidRDefault="007C6CA4" w:rsidP="007C6CA4">
            <w:pPr>
              <w:tabs>
                <w:tab w:val="left" w:pos="680"/>
              </w:tabs>
              <w:spacing w:before="0"/>
              <w:rPr>
                <w:rFonts w:eastAsia="Arial"/>
                <w:b/>
                <w:spacing w:val="-1"/>
              </w:rPr>
            </w:pPr>
          </w:p>
        </w:tc>
      </w:tr>
      <w:tr w:rsidR="006A60BB" w:rsidRPr="00B20356" w14:paraId="0A6A428A" w14:textId="77777777" w:rsidTr="001770A9">
        <w:tc>
          <w:tcPr>
            <w:tcW w:w="2660" w:type="dxa"/>
            <w:gridSpan w:val="2"/>
          </w:tcPr>
          <w:p w14:paraId="05ABCAA6" w14:textId="77777777" w:rsidR="006A60BB" w:rsidRPr="00B20356" w:rsidRDefault="006A60BB" w:rsidP="00F476A9">
            <w:pPr>
              <w:tabs>
                <w:tab w:val="left" w:pos="680"/>
              </w:tabs>
              <w:rPr>
                <w:rFonts w:eastAsia="Arial"/>
                <w:b/>
              </w:rPr>
            </w:pPr>
            <w:r w:rsidRPr="00B20356">
              <w:rPr>
                <w:rFonts w:eastAsia="Arial"/>
                <w:b/>
              </w:rPr>
              <w:t>Strategic Objectives</w:t>
            </w:r>
          </w:p>
        </w:tc>
        <w:tc>
          <w:tcPr>
            <w:tcW w:w="6974" w:type="dxa"/>
          </w:tcPr>
          <w:p w14:paraId="2A89FAE1" w14:textId="77777777" w:rsidR="006A60BB" w:rsidRPr="00B20356" w:rsidRDefault="006A60BB" w:rsidP="00F476A9">
            <w:pPr>
              <w:tabs>
                <w:tab w:val="left" w:pos="680"/>
              </w:tabs>
              <w:spacing w:before="40" w:after="40"/>
              <w:rPr>
                <w:rFonts w:eastAsia="Arial"/>
                <w:b/>
              </w:rPr>
            </w:pPr>
            <w:r w:rsidRPr="00B20356">
              <w:rPr>
                <w:rFonts w:eastAsia="Arial"/>
                <w:b/>
              </w:rPr>
              <w:t>SO1, SO3, SO5, SO6, SO11, SO12, SO13.</w:t>
            </w:r>
          </w:p>
        </w:tc>
      </w:tr>
      <w:tr w:rsidR="006A60BB" w:rsidRPr="00B20356" w14:paraId="2C3996E0" w14:textId="77777777" w:rsidTr="001770A9">
        <w:tc>
          <w:tcPr>
            <w:tcW w:w="9634" w:type="dxa"/>
            <w:gridSpan w:val="3"/>
            <w:shd w:val="clear" w:color="auto" w:fill="E2EFD9"/>
          </w:tcPr>
          <w:p w14:paraId="29874F79" w14:textId="77777777" w:rsidR="006A60BB" w:rsidRPr="006A60BB" w:rsidRDefault="006A60BB" w:rsidP="00874A98">
            <w:pPr>
              <w:keepNext w:val="0"/>
              <w:numPr>
                <w:ilvl w:val="0"/>
                <w:numId w:val="219"/>
              </w:numPr>
              <w:tabs>
                <w:tab w:val="left" w:pos="680"/>
                <w:tab w:val="left" w:pos="1133"/>
                <w:tab w:val="left" w:pos="2267"/>
              </w:tabs>
              <w:ind w:left="357" w:right="284" w:hanging="357"/>
              <w:rPr>
                <w:rFonts w:eastAsia="Arial"/>
                <w:bCs/>
                <w:szCs w:val="24"/>
              </w:rPr>
            </w:pPr>
            <w:r w:rsidRPr="006A60BB">
              <w:rPr>
                <w:rFonts w:eastAsia="Arial"/>
                <w:bCs/>
              </w:rPr>
              <w:t>The re-use of buildings in the Green Belt and countryside will be supported where:</w:t>
            </w:r>
          </w:p>
          <w:p w14:paraId="4700964B" w14:textId="77777777" w:rsidR="006A60BB" w:rsidRPr="006A60BB" w:rsidRDefault="006A60BB" w:rsidP="00F476A9">
            <w:pPr>
              <w:tabs>
                <w:tab w:val="left" w:pos="680"/>
                <w:tab w:val="left" w:pos="1133"/>
                <w:tab w:val="left" w:pos="2267"/>
              </w:tabs>
              <w:ind w:left="360" w:right="284"/>
              <w:rPr>
                <w:rFonts w:eastAsia="Arial"/>
                <w:bCs/>
                <w:sz w:val="16"/>
                <w:szCs w:val="16"/>
              </w:rPr>
            </w:pPr>
          </w:p>
          <w:p w14:paraId="7C92A411" w14:textId="71314B25" w:rsidR="006A60BB" w:rsidRPr="0036716A" w:rsidRDefault="006A60BB" w:rsidP="00874A98">
            <w:pPr>
              <w:keepNext w:val="0"/>
              <w:numPr>
                <w:ilvl w:val="0"/>
                <w:numId w:val="220"/>
              </w:numPr>
              <w:tabs>
                <w:tab w:val="left" w:pos="680"/>
                <w:tab w:val="left" w:pos="1133"/>
                <w:tab w:val="left" w:pos="2267"/>
              </w:tabs>
              <w:spacing w:before="0"/>
              <w:ind w:right="284"/>
              <w:rPr>
                <w:rFonts w:eastAsia="Arial"/>
                <w:bCs/>
              </w:rPr>
            </w:pPr>
            <w:r w:rsidRPr="006A60BB">
              <w:rPr>
                <w:rFonts w:eastAsia="Arial"/>
                <w:bCs/>
              </w:rPr>
              <w:t xml:space="preserve">The buildings are </w:t>
            </w:r>
            <w:r w:rsidRPr="0036716A">
              <w:rPr>
                <w:rFonts w:eastAsia="Arial"/>
                <w:bCs/>
              </w:rPr>
              <w:t>in keeping with its surroundings by reason of their form, bulk and general design</w:t>
            </w:r>
            <w:r w:rsidR="00C1169B" w:rsidRPr="0036716A">
              <w:rPr>
                <w:rFonts w:eastAsia="Arial"/>
                <w:bCs/>
              </w:rPr>
              <w:t xml:space="preserve">; </w:t>
            </w:r>
          </w:p>
          <w:p w14:paraId="20AD24CD" w14:textId="77777777" w:rsidR="006A60BB" w:rsidRPr="0036716A" w:rsidRDefault="006A60BB" w:rsidP="00F476A9">
            <w:pPr>
              <w:tabs>
                <w:tab w:val="left" w:pos="680"/>
                <w:tab w:val="left" w:pos="1133"/>
                <w:tab w:val="left" w:pos="2267"/>
              </w:tabs>
              <w:ind w:left="720" w:right="284"/>
              <w:rPr>
                <w:rFonts w:eastAsia="Arial"/>
                <w:bCs/>
              </w:rPr>
            </w:pPr>
          </w:p>
          <w:p w14:paraId="2D69936E" w14:textId="7C7D0284" w:rsidR="006A60BB" w:rsidRPr="0036716A" w:rsidRDefault="006A60BB" w:rsidP="00874A98">
            <w:pPr>
              <w:keepNext w:val="0"/>
              <w:numPr>
                <w:ilvl w:val="0"/>
                <w:numId w:val="220"/>
              </w:numPr>
              <w:tabs>
                <w:tab w:val="left" w:pos="680"/>
                <w:tab w:val="left" w:pos="1133"/>
                <w:tab w:val="left" w:pos="2267"/>
              </w:tabs>
              <w:spacing w:before="0"/>
              <w:ind w:right="284"/>
              <w:rPr>
                <w:rFonts w:eastAsia="Arial"/>
                <w:bCs/>
              </w:rPr>
            </w:pPr>
            <w:r w:rsidRPr="0036716A">
              <w:rPr>
                <w:rFonts w:eastAsia="Arial"/>
                <w:bCs/>
              </w:rPr>
              <w:t>The buildings are of a permanent and substantial construction, are structurally sound* and are capable of re-use without major alterations, adaptations or reconstruction, other than limited extension</w:t>
            </w:r>
            <w:r w:rsidR="00C1169B" w:rsidRPr="0036716A">
              <w:rPr>
                <w:rFonts w:eastAsia="Arial"/>
                <w:bCs/>
              </w:rPr>
              <w:t xml:space="preserve">; </w:t>
            </w:r>
          </w:p>
          <w:p w14:paraId="4649BD53" w14:textId="77777777" w:rsidR="006A60BB" w:rsidRPr="0036716A" w:rsidRDefault="006A60BB" w:rsidP="00F476A9">
            <w:pPr>
              <w:tabs>
                <w:tab w:val="left" w:pos="680"/>
                <w:tab w:val="left" w:pos="1133"/>
                <w:tab w:val="left" w:pos="2267"/>
              </w:tabs>
              <w:ind w:right="284"/>
              <w:rPr>
                <w:rFonts w:eastAsia="Arial"/>
                <w:bCs/>
              </w:rPr>
            </w:pPr>
          </w:p>
          <w:p w14:paraId="15F0F53E" w14:textId="6B8B07ED" w:rsidR="006A60BB" w:rsidRPr="0036716A" w:rsidRDefault="006A60BB" w:rsidP="00874A98">
            <w:pPr>
              <w:keepNext w:val="0"/>
              <w:numPr>
                <w:ilvl w:val="0"/>
                <w:numId w:val="220"/>
              </w:numPr>
              <w:tabs>
                <w:tab w:val="left" w:pos="680"/>
                <w:tab w:val="left" w:pos="1133"/>
                <w:tab w:val="left" w:pos="2267"/>
              </w:tabs>
              <w:spacing w:before="0"/>
              <w:ind w:right="284"/>
              <w:rPr>
                <w:rFonts w:eastAsia="Arial"/>
                <w:bCs/>
              </w:rPr>
            </w:pPr>
            <w:r w:rsidRPr="0036716A">
              <w:rPr>
                <w:rFonts w:eastAsia="Arial"/>
                <w:bCs/>
              </w:rPr>
              <w:t>The conversion works would not be detrimental to the character of the building itself</w:t>
            </w:r>
            <w:r w:rsidR="00C1169B" w:rsidRPr="0036716A">
              <w:rPr>
                <w:rFonts w:eastAsia="Arial"/>
                <w:bCs/>
              </w:rPr>
              <w:t xml:space="preserve">; </w:t>
            </w:r>
          </w:p>
          <w:p w14:paraId="57FD0810" w14:textId="77777777" w:rsidR="006A60BB" w:rsidRPr="0036716A" w:rsidRDefault="006A60BB" w:rsidP="00F476A9">
            <w:pPr>
              <w:tabs>
                <w:tab w:val="left" w:pos="680"/>
                <w:tab w:val="left" w:pos="1133"/>
                <w:tab w:val="left" w:pos="2267"/>
              </w:tabs>
              <w:ind w:right="284"/>
              <w:rPr>
                <w:rFonts w:eastAsia="Arial"/>
                <w:bCs/>
              </w:rPr>
            </w:pPr>
          </w:p>
          <w:p w14:paraId="042E40E4" w14:textId="69069D10" w:rsidR="00C1169B" w:rsidRPr="0036716A" w:rsidRDefault="006A60BB" w:rsidP="00874A98">
            <w:pPr>
              <w:keepNext w:val="0"/>
              <w:numPr>
                <w:ilvl w:val="0"/>
                <w:numId w:val="220"/>
              </w:numPr>
              <w:tabs>
                <w:tab w:val="left" w:pos="680"/>
                <w:tab w:val="left" w:pos="1133"/>
                <w:tab w:val="left" w:pos="2267"/>
              </w:tabs>
              <w:spacing w:before="0"/>
              <w:ind w:right="284"/>
              <w:rPr>
                <w:rFonts w:eastAsia="Arial"/>
                <w:bCs/>
              </w:rPr>
            </w:pPr>
            <w:r w:rsidRPr="0036716A">
              <w:rPr>
                <w:rFonts w:eastAsia="Arial"/>
                <w:bCs/>
              </w:rPr>
              <w:t>There is no materially greater impact than the present use on the openness and character of the Green Belt and Countryside.  Within the Green Belt such proposals must not conflict with the purposes of including land in it</w:t>
            </w:r>
            <w:r w:rsidR="00C1169B" w:rsidRPr="0036716A">
              <w:rPr>
                <w:rFonts w:eastAsia="Arial"/>
                <w:bCs/>
              </w:rPr>
              <w:t xml:space="preserve">; </w:t>
            </w:r>
          </w:p>
          <w:p w14:paraId="1403D0A6" w14:textId="77777777" w:rsidR="006A60BB" w:rsidRPr="0036716A" w:rsidRDefault="006A60BB" w:rsidP="00F476A9">
            <w:pPr>
              <w:tabs>
                <w:tab w:val="left" w:pos="680"/>
                <w:tab w:val="left" w:pos="1133"/>
                <w:tab w:val="left" w:pos="2267"/>
              </w:tabs>
              <w:ind w:right="284"/>
              <w:rPr>
                <w:rFonts w:eastAsia="Arial"/>
                <w:bCs/>
              </w:rPr>
            </w:pPr>
          </w:p>
          <w:p w14:paraId="71681F22" w14:textId="5D309D20" w:rsidR="006A60BB" w:rsidRPr="0036716A" w:rsidRDefault="006A60BB" w:rsidP="00874A98">
            <w:pPr>
              <w:keepNext w:val="0"/>
              <w:numPr>
                <w:ilvl w:val="0"/>
                <w:numId w:val="220"/>
              </w:numPr>
              <w:tabs>
                <w:tab w:val="left" w:pos="680"/>
                <w:tab w:val="left" w:pos="1133"/>
                <w:tab w:val="left" w:pos="2267"/>
              </w:tabs>
              <w:spacing w:before="0"/>
              <w:ind w:right="284"/>
              <w:rPr>
                <w:rFonts w:eastAsia="Arial"/>
                <w:bCs/>
              </w:rPr>
            </w:pPr>
            <w:r w:rsidRPr="0036716A">
              <w:rPr>
                <w:rFonts w:eastAsia="Arial"/>
                <w:bCs/>
              </w:rPr>
              <w:t>The proposed use would not result in an unacceptable proliferation of new farm buildings elsewhere on the site, or inappropriate outside storage of any materials, machinery and/or vehicles</w:t>
            </w:r>
            <w:r w:rsidR="00C1169B" w:rsidRPr="0036716A">
              <w:rPr>
                <w:rFonts w:eastAsia="Arial"/>
                <w:bCs/>
              </w:rPr>
              <w:t xml:space="preserve">; </w:t>
            </w:r>
          </w:p>
          <w:p w14:paraId="427F4959" w14:textId="77777777" w:rsidR="006A60BB" w:rsidRPr="0036716A" w:rsidRDefault="006A60BB" w:rsidP="00F476A9">
            <w:pPr>
              <w:tabs>
                <w:tab w:val="left" w:pos="680"/>
                <w:tab w:val="left" w:pos="1133"/>
                <w:tab w:val="left" w:pos="2267"/>
              </w:tabs>
              <w:ind w:right="284"/>
              <w:rPr>
                <w:rFonts w:eastAsia="Arial"/>
                <w:bCs/>
              </w:rPr>
            </w:pPr>
          </w:p>
          <w:p w14:paraId="282DA7B0" w14:textId="56EF3271" w:rsidR="006A60BB" w:rsidRPr="0036716A" w:rsidRDefault="006A60BB" w:rsidP="00874A98">
            <w:pPr>
              <w:keepNext w:val="0"/>
              <w:numPr>
                <w:ilvl w:val="0"/>
                <w:numId w:val="220"/>
              </w:numPr>
              <w:tabs>
                <w:tab w:val="left" w:pos="680"/>
                <w:tab w:val="left" w:pos="1133"/>
                <w:tab w:val="left" w:pos="2267"/>
              </w:tabs>
              <w:spacing w:before="0"/>
              <w:ind w:right="284"/>
              <w:rPr>
                <w:rFonts w:eastAsia="Arial"/>
                <w:bCs/>
              </w:rPr>
            </w:pPr>
            <w:r w:rsidRPr="0036716A">
              <w:rPr>
                <w:rFonts w:eastAsia="Arial"/>
                <w:bCs/>
              </w:rPr>
              <w:t xml:space="preserve">The proposed re-use is not a building which has been built for agricultural </w:t>
            </w:r>
            <w:r w:rsidRPr="006A60BB">
              <w:rPr>
                <w:rFonts w:eastAsia="Arial"/>
                <w:bCs/>
              </w:rPr>
              <w:t>or equine use within the last 10 years</w:t>
            </w:r>
            <w:r w:rsidR="00C1169B" w:rsidRPr="0036716A">
              <w:rPr>
                <w:rFonts w:eastAsia="Arial"/>
                <w:bCs/>
              </w:rPr>
              <w:t>; and</w:t>
            </w:r>
            <w:r w:rsidRPr="0036716A">
              <w:rPr>
                <w:rFonts w:eastAsia="Arial"/>
                <w:bCs/>
              </w:rPr>
              <w:t xml:space="preserve"> </w:t>
            </w:r>
          </w:p>
          <w:p w14:paraId="7A86C1EE" w14:textId="77777777" w:rsidR="006A60BB" w:rsidRPr="006A60BB" w:rsidRDefault="006A60BB" w:rsidP="00F476A9">
            <w:pPr>
              <w:tabs>
                <w:tab w:val="left" w:pos="680"/>
                <w:tab w:val="left" w:pos="1133"/>
                <w:tab w:val="left" w:pos="2267"/>
              </w:tabs>
              <w:ind w:right="284"/>
              <w:rPr>
                <w:rFonts w:eastAsia="Arial"/>
                <w:bCs/>
              </w:rPr>
            </w:pPr>
          </w:p>
          <w:p w14:paraId="1ECAD41B" w14:textId="77777777" w:rsidR="006A60BB" w:rsidRPr="006A60BB" w:rsidRDefault="006A60BB" w:rsidP="00874A98">
            <w:pPr>
              <w:keepNext w:val="0"/>
              <w:numPr>
                <w:ilvl w:val="0"/>
                <w:numId w:val="220"/>
              </w:numPr>
              <w:tabs>
                <w:tab w:val="left" w:pos="680"/>
                <w:tab w:val="left" w:pos="1133"/>
                <w:tab w:val="left" w:pos="2267"/>
              </w:tabs>
              <w:spacing w:before="0"/>
              <w:ind w:right="284"/>
              <w:rPr>
                <w:rFonts w:eastAsia="Arial"/>
                <w:bCs/>
              </w:rPr>
            </w:pPr>
            <w:r w:rsidRPr="006A60BB">
              <w:rPr>
                <w:rFonts w:eastAsia="Arial"/>
                <w:bCs/>
              </w:rPr>
              <w:t>In the case of a building of historic or architectural value, the proposed scheme will preserve and enhance the building.</w:t>
            </w:r>
          </w:p>
          <w:p w14:paraId="6637C109" w14:textId="77777777" w:rsidR="006A60BB" w:rsidRPr="006A60BB" w:rsidRDefault="006A60BB" w:rsidP="00F476A9">
            <w:pPr>
              <w:tabs>
                <w:tab w:val="left" w:pos="680"/>
                <w:tab w:val="left" w:pos="1133"/>
                <w:tab w:val="left" w:pos="2267"/>
              </w:tabs>
              <w:ind w:left="360" w:right="284"/>
              <w:rPr>
                <w:rFonts w:eastAsia="Arial"/>
                <w:bCs/>
                <w:szCs w:val="24"/>
              </w:rPr>
            </w:pPr>
          </w:p>
          <w:p w14:paraId="03F55D13" w14:textId="77777777" w:rsidR="006A60BB" w:rsidRPr="006A60BB" w:rsidRDefault="006A60BB" w:rsidP="00874A98">
            <w:pPr>
              <w:keepNext w:val="0"/>
              <w:numPr>
                <w:ilvl w:val="0"/>
                <w:numId w:val="219"/>
              </w:numPr>
              <w:tabs>
                <w:tab w:val="left" w:pos="680"/>
                <w:tab w:val="left" w:pos="1133"/>
                <w:tab w:val="left" w:pos="2267"/>
              </w:tabs>
              <w:spacing w:before="0"/>
              <w:ind w:right="284"/>
              <w:rPr>
                <w:rFonts w:eastAsia="Arial"/>
                <w:bCs/>
                <w:szCs w:val="24"/>
              </w:rPr>
            </w:pPr>
            <w:r w:rsidRPr="006A60BB">
              <w:rPr>
                <w:rFonts w:eastAsia="Arial"/>
                <w:bCs/>
              </w:rPr>
              <w:t xml:space="preserve">Where the re-use of buildings in the Green Belt and Countryside is for employment uses, the business should be of a scale and type that is appropriate and consistent with the specific location, providing jobs and/or services to the local community. </w:t>
            </w:r>
          </w:p>
          <w:p w14:paraId="77005D78" w14:textId="77777777" w:rsidR="006A60BB" w:rsidRPr="006A60BB" w:rsidRDefault="006A60BB" w:rsidP="00F476A9">
            <w:pPr>
              <w:ind w:left="720"/>
              <w:contextualSpacing/>
              <w:rPr>
                <w:rFonts w:eastAsia="Arial" w:cs="Arial"/>
                <w:bCs/>
                <w:szCs w:val="24"/>
              </w:rPr>
            </w:pPr>
          </w:p>
          <w:p w14:paraId="640EADF1" w14:textId="77777777" w:rsidR="006A60BB" w:rsidRPr="006A60BB" w:rsidRDefault="006A60BB" w:rsidP="00874A98">
            <w:pPr>
              <w:keepNext w:val="0"/>
              <w:numPr>
                <w:ilvl w:val="0"/>
                <w:numId w:val="219"/>
              </w:numPr>
              <w:tabs>
                <w:tab w:val="left" w:pos="680"/>
                <w:tab w:val="left" w:pos="1133"/>
                <w:tab w:val="left" w:pos="2267"/>
              </w:tabs>
              <w:spacing w:before="0"/>
              <w:ind w:right="284"/>
              <w:rPr>
                <w:rFonts w:eastAsia="Arial"/>
                <w:bCs/>
                <w:szCs w:val="24"/>
              </w:rPr>
            </w:pPr>
            <w:r w:rsidRPr="006A60BB">
              <w:rPr>
                <w:rFonts w:eastAsia="Arial"/>
                <w:bCs/>
              </w:rPr>
              <w:t xml:space="preserve">Where the re-use or adaptation of buildings in the Green Belt and Countryside is for residential purposes, this should not result in the creation of an isolated home.  Where a re-use or adaptation for residential purposes is appropriate, the creation of a residential curtilage should not adversely affect the openness, character, or visual amenity of the area.  </w:t>
            </w:r>
          </w:p>
          <w:p w14:paraId="2233DF61" w14:textId="77777777" w:rsidR="006A60BB" w:rsidRPr="006A60BB" w:rsidRDefault="006A60BB" w:rsidP="00F476A9">
            <w:pPr>
              <w:ind w:left="720"/>
              <w:contextualSpacing/>
              <w:rPr>
                <w:rFonts w:eastAsia="Arial" w:cs="Arial"/>
                <w:bCs/>
                <w:szCs w:val="24"/>
              </w:rPr>
            </w:pPr>
          </w:p>
          <w:p w14:paraId="3B0D4423" w14:textId="77777777" w:rsidR="006A60BB" w:rsidRPr="006A60BB" w:rsidRDefault="006A60BB" w:rsidP="00874A98">
            <w:pPr>
              <w:keepNext w:val="0"/>
              <w:numPr>
                <w:ilvl w:val="0"/>
                <w:numId w:val="219"/>
              </w:numPr>
              <w:tabs>
                <w:tab w:val="left" w:pos="680"/>
                <w:tab w:val="left" w:pos="1133"/>
                <w:tab w:val="left" w:pos="2267"/>
              </w:tabs>
              <w:spacing w:before="0"/>
              <w:ind w:right="284"/>
              <w:rPr>
                <w:rFonts w:eastAsia="Arial"/>
                <w:bCs/>
                <w:szCs w:val="24"/>
              </w:rPr>
            </w:pPr>
            <w:r w:rsidRPr="006A60BB">
              <w:rPr>
                <w:rFonts w:eastAsia="Arial"/>
                <w:bCs/>
              </w:rPr>
              <w:t>Proposals that support employment, recreational and tourism uses will be treated favourably by the Council.</w:t>
            </w:r>
          </w:p>
          <w:p w14:paraId="06FBB987" w14:textId="77777777" w:rsidR="006A60BB" w:rsidRPr="006A60BB" w:rsidRDefault="006A60BB" w:rsidP="00F476A9">
            <w:pPr>
              <w:ind w:left="720"/>
              <w:contextualSpacing/>
              <w:rPr>
                <w:rFonts w:eastAsia="Arial" w:cs="Arial"/>
                <w:bCs/>
                <w:color w:val="A91A37"/>
                <w:szCs w:val="24"/>
              </w:rPr>
            </w:pPr>
          </w:p>
          <w:p w14:paraId="0209161C" w14:textId="77777777" w:rsidR="006A60BB" w:rsidRPr="00B20356" w:rsidRDefault="006A60BB" w:rsidP="00F476A9">
            <w:pPr>
              <w:tabs>
                <w:tab w:val="left" w:pos="680"/>
              </w:tabs>
              <w:rPr>
                <w:rFonts w:eastAsia="Arial"/>
              </w:rPr>
            </w:pPr>
            <w:r w:rsidRPr="00B20356">
              <w:rPr>
                <w:rFonts w:eastAsia="Calibri" w:cs="Arial"/>
                <w:bCs/>
                <w:i/>
                <w:iCs/>
                <w:szCs w:val="24"/>
              </w:rPr>
              <w:t>*Applications should normally be accompanied by a structural survey and a Conversion Method Statement, effectively demonstrating that the building is capable of re-use without significant major alteration, adaptations or reconstruction.</w:t>
            </w:r>
          </w:p>
          <w:p w14:paraId="31A1EE24" w14:textId="77777777" w:rsidR="006A60BB" w:rsidRPr="00B20356" w:rsidRDefault="006A60BB" w:rsidP="00F476A9">
            <w:pPr>
              <w:autoSpaceDE w:val="0"/>
              <w:autoSpaceDN w:val="0"/>
              <w:adjustRightInd w:val="0"/>
              <w:rPr>
                <w:rFonts w:eastAsia="Arial" w:cs="Arial"/>
                <w:color w:val="538135"/>
              </w:rPr>
            </w:pPr>
          </w:p>
        </w:tc>
      </w:tr>
      <w:tr w:rsidR="00B243DB" w:rsidRPr="00B20356" w14:paraId="5D12965D" w14:textId="77777777" w:rsidTr="001770A9">
        <w:tc>
          <w:tcPr>
            <w:tcW w:w="2263" w:type="dxa"/>
          </w:tcPr>
          <w:p w14:paraId="7E3DB750" w14:textId="41161AB9" w:rsidR="00B243DB" w:rsidRPr="00B20356" w:rsidRDefault="00B243DB" w:rsidP="000032A9">
            <w:pPr>
              <w:tabs>
                <w:tab w:val="left" w:pos="680"/>
                <w:tab w:val="left" w:pos="1133"/>
                <w:tab w:val="left" w:pos="2267"/>
              </w:tabs>
              <w:ind w:right="284"/>
              <w:jc w:val="both"/>
              <w:rPr>
                <w:rFonts w:eastAsia="Arial"/>
                <w:b/>
                <w:color w:val="538135"/>
                <w:szCs w:val="24"/>
              </w:rPr>
            </w:pPr>
            <w:r w:rsidRPr="003C7E62">
              <w:rPr>
                <w:rFonts w:eastAsia="Arial" w:cs="Arial"/>
                <w:bCs/>
                <w:sz w:val="20"/>
              </w:rPr>
              <w:lastRenderedPageBreak/>
              <w:t>Evidence base</w:t>
            </w:r>
          </w:p>
        </w:tc>
        <w:tc>
          <w:tcPr>
            <w:tcW w:w="7371" w:type="dxa"/>
            <w:gridSpan w:val="2"/>
          </w:tcPr>
          <w:p w14:paraId="20AE62D7" w14:textId="4CAE2A4A" w:rsidR="00B243DB" w:rsidRPr="0036716A" w:rsidRDefault="00B243DB" w:rsidP="00874A98">
            <w:pPr>
              <w:keepNext w:val="0"/>
              <w:numPr>
                <w:ilvl w:val="0"/>
                <w:numId w:val="61"/>
              </w:numPr>
              <w:spacing w:before="0"/>
              <w:contextualSpacing/>
              <w:jc w:val="both"/>
              <w:rPr>
                <w:rFonts w:cs="Arial"/>
                <w:sz w:val="20"/>
              </w:rPr>
            </w:pPr>
            <w:r w:rsidRPr="0036716A">
              <w:rPr>
                <w:rFonts w:cs="Arial"/>
                <w:sz w:val="20"/>
              </w:rPr>
              <w:t>Sustainability Appraisal, 202</w:t>
            </w:r>
            <w:r w:rsidR="00A86E75" w:rsidRPr="0036716A">
              <w:rPr>
                <w:rFonts w:cs="Arial"/>
                <w:sz w:val="20"/>
              </w:rPr>
              <w:t>3</w:t>
            </w:r>
            <w:r w:rsidRPr="0036716A">
              <w:rPr>
                <w:rFonts w:cs="Arial"/>
                <w:sz w:val="20"/>
              </w:rPr>
              <w:t xml:space="preserve">. </w:t>
            </w:r>
            <w:r w:rsidR="00A86E75" w:rsidRPr="0036716A">
              <w:rPr>
                <w:rFonts w:cs="Arial"/>
                <w:sz w:val="20"/>
              </w:rPr>
              <w:t>WSP UK Limited</w:t>
            </w:r>
            <w:r w:rsidRPr="0036716A">
              <w:rPr>
                <w:rFonts w:cs="Arial"/>
                <w:sz w:val="20"/>
              </w:rPr>
              <w:t>.</w:t>
            </w:r>
          </w:p>
        </w:tc>
      </w:tr>
      <w:tr w:rsidR="00B243DB" w:rsidRPr="00B20356" w14:paraId="187B6CEF" w14:textId="77777777" w:rsidTr="001770A9">
        <w:tc>
          <w:tcPr>
            <w:tcW w:w="2263" w:type="dxa"/>
          </w:tcPr>
          <w:p w14:paraId="2D1F59D5" w14:textId="3C3A86CA" w:rsidR="00B243DB" w:rsidRPr="00B20356" w:rsidRDefault="00B243DB" w:rsidP="008E0CDC">
            <w:pPr>
              <w:tabs>
                <w:tab w:val="left" w:pos="680"/>
                <w:tab w:val="left" w:pos="1133"/>
                <w:tab w:val="left" w:pos="2267"/>
              </w:tabs>
              <w:ind w:right="284"/>
              <w:rPr>
                <w:rFonts w:eastAsia="Arial"/>
                <w:b/>
                <w:sz w:val="22"/>
              </w:rPr>
            </w:pPr>
            <w:r w:rsidRPr="003C7E62">
              <w:rPr>
                <w:rFonts w:eastAsia="Arial" w:cs="Arial"/>
                <w:bCs/>
                <w:sz w:val="20"/>
              </w:rPr>
              <w:t>National Planning Policy and Guidance</w:t>
            </w:r>
          </w:p>
        </w:tc>
        <w:tc>
          <w:tcPr>
            <w:tcW w:w="7371" w:type="dxa"/>
            <w:gridSpan w:val="2"/>
          </w:tcPr>
          <w:p w14:paraId="2C51D0F8" w14:textId="36485509" w:rsidR="00B243DB" w:rsidRPr="0036716A" w:rsidRDefault="00B243D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2: Achieving sustainable development.</w:t>
            </w:r>
          </w:p>
          <w:p w14:paraId="59CA8EE9" w14:textId="7B9684FF" w:rsidR="00B243DB" w:rsidRPr="0036716A" w:rsidRDefault="00B243D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3: Plan-making.</w:t>
            </w:r>
          </w:p>
          <w:p w14:paraId="4AD97229" w14:textId="394564AF" w:rsidR="00B243DB" w:rsidRPr="0036716A" w:rsidRDefault="00B243D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5: Delivering a sufficient supply of homes.</w:t>
            </w:r>
          </w:p>
          <w:p w14:paraId="12FD6FDB" w14:textId="12424CC3" w:rsidR="00B243DB" w:rsidRPr="0036716A" w:rsidRDefault="00B243D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6: Building a strong, competitive economy.</w:t>
            </w:r>
          </w:p>
          <w:p w14:paraId="1FB8D9AF" w14:textId="300F2B62" w:rsidR="00B243DB" w:rsidRPr="0036716A" w:rsidRDefault="00B243D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8: Promoting healthy and safe communities.</w:t>
            </w:r>
          </w:p>
          <w:p w14:paraId="1183E019" w14:textId="09EC18F7" w:rsidR="00B243DB" w:rsidRPr="0036716A" w:rsidRDefault="00B243DB" w:rsidP="00874A98">
            <w:pPr>
              <w:keepNext w:val="0"/>
              <w:numPr>
                <w:ilvl w:val="0"/>
                <w:numId w:val="62"/>
              </w:numPr>
              <w:spacing w:before="0"/>
              <w:ind w:left="328"/>
              <w:contextualSpacing/>
              <w:rPr>
                <w:rFonts w:cs="Arial"/>
                <w:sz w:val="20"/>
              </w:rPr>
            </w:pPr>
            <w:r w:rsidRPr="0036716A">
              <w:rPr>
                <w:rFonts w:cs="Arial"/>
                <w:sz w:val="20"/>
              </w:rPr>
              <w:t>NPPF 202</w:t>
            </w:r>
            <w:r w:rsidR="004173E0" w:rsidRPr="0036716A">
              <w:rPr>
                <w:rFonts w:cs="Arial"/>
                <w:sz w:val="20"/>
              </w:rPr>
              <w:t>3</w:t>
            </w:r>
            <w:r w:rsidRPr="0036716A">
              <w:rPr>
                <w:rFonts w:cs="Arial"/>
                <w:sz w:val="20"/>
              </w:rPr>
              <w:t>, Part 15: Conserving and enhancing the natural environment.</w:t>
            </w:r>
          </w:p>
          <w:p w14:paraId="24B52ABB" w14:textId="3F0A8B7C" w:rsidR="00B243DB" w:rsidRPr="0036716A" w:rsidRDefault="00B243DB" w:rsidP="00874A98">
            <w:pPr>
              <w:keepNext w:val="0"/>
              <w:numPr>
                <w:ilvl w:val="0"/>
                <w:numId w:val="62"/>
              </w:numPr>
              <w:spacing w:before="0"/>
              <w:ind w:left="328"/>
              <w:contextualSpacing/>
              <w:rPr>
                <w:rFonts w:cs="Arial"/>
                <w:sz w:val="20"/>
              </w:rPr>
            </w:pPr>
            <w:r w:rsidRPr="0036716A">
              <w:rPr>
                <w:rFonts w:cs="Arial"/>
                <w:sz w:val="20"/>
              </w:rPr>
              <w:t>Planning Practice Guidance: Open space, sports and recreational facilities, public rights of ways and local green space as of</w:t>
            </w:r>
            <w:r w:rsidR="00A86E75" w:rsidRPr="0036716A">
              <w:rPr>
                <w:rFonts w:cs="Arial"/>
                <w:sz w:val="20"/>
              </w:rPr>
              <w:t xml:space="preserve"> March 2014</w:t>
            </w:r>
            <w:r w:rsidRPr="0036716A">
              <w:rPr>
                <w:rFonts w:cs="Arial"/>
                <w:sz w:val="20"/>
              </w:rPr>
              <w:t>.</w:t>
            </w:r>
          </w:p>
          <w:p w14:paraId="26C6175F" w14:textId="4BC4F3C9" w:rsidR="00B243DB" w:rsidRPr="0036716A" w:rsidRDefault="00B243DB" w:rsidP="00874A98">
            <w:pPr>
              <w:keepNext w:val="0"/>
              <w:numPr>
                <w:ilvl w:val="0"/>
                <w:numId w:val="62"/>
              </w:numPr>
              <w:spacing w:before="0"/>
              <w:ind w:left="328"/>
              <w:contextualSpacing/>
              <w:rPr>
                <w:rFonts w:cs="Arial"/>
                <w:sz w:val="20"/>
              </w:rPr>
            </w:pPr>
            <w:r w:rsidRPr="0036716A">
              <w:rPr>
                <w:rFonts w:cs="Arial"/>
                <w:sz w:val="20"/>
              </w:rPr>
              <w:t xml:space="preserve">Planning Practice Guidance: Natural environment as of </w:t>
            </w:r>
            <w:r w:rsidR="00A86E75" w:rsidRPr="0036716A">
              <w:rPr>
                <w:rFonts w:cs="Arial"/>
                <w:sz w:val="20"/>
              </w:rPr>
              <w:t>July 2019</w:t>
            </w:r>
            <w:r w:rsidRPr="0036716A">
              <w:rPr>
                <w:rFonts w:cs="Arial"/>
                <w:sz w:val="20"/>
              </w:rPr>
              <w:t>.</w:t>
            </w:r>
          </w:p>
        </w:tc>
      </w:tr>
    </w:tbl>
    <w:p w14:paraId="0A9613D9" w14:textId="77777777" w:rsidR="006A60BB" w:rsidRDefault="006A60BB" w:rsidP="006A60BB">
      <w:pPr>
        <w:keepNext w:val="0"/>
        <w:autoSpaceDE w:val="0"/>
        <w:autoSpaceDN w:val="0"/>
        <w:adjustRightInd w:val="0"/>
        <w:spacing w:before="0"/>
        <w:ind w:left="525"/>
        <w:rPr>
          <w:rFonts w:cs="Arial"/>
          <w:szCs w:val="24"/>
        </w:rPr>
      </w:pPr>
    </w:p>
    <w:p w14:paraId="3CB48A02" w14:textId="1FA9D755"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The Council will support the reuse of appropriately located and suitably constructed buildings in the Green Belt and countryside where this would meet sustainable development objectives. Preference will be given for the re-use of buildings for local business and commercial uses, as opposed to residential use, and this will be a material consideration in determining applications.</w:t>
      </w:r>
    </w:p>
    <w:p w14:paraId="751F4E42"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4D0A2A85" w14:textId="77777777"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Considerable change has occurred in rural areas and in the methods and type of agricultural production. The reuse of rural buildings may help to reduce demands for new buildings in the countryside, encourage new enterprises and provide new jobs. The above policy includes detailed criteria to ensure that the proposal does not cause significant harm to the openness, character and appearance of the surrounding Green Belt or countryside.</w:t>
      </w:r>
    </w:p>
    <w:p w14:paraId="1A0E0390"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26AB7D96" w14:textId="77777777"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 xml:space="preserve">Development in the Green Belt and countryside is strictly controlled by Policies EV1 and EV2. Where it is appropriate in principle and involves the reuse of existing buildings it is important to ensure that the resultant form, bulk and general design of the building is in keeping with the surroundings and that the overall character and quality of the building is retained.  </w:t>
      </w:r>
    </w:p>
    <w:p w14:paraId="1BFDA7E7"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6D1F1C89" w14:textId="6A66ADCC"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Buildings which are not of permanent and substantial construction; are not structural</w:t>
      </w:r>
      <w:r w:rsidR="00C62752">
        <w:rPr>
          <w:rFonts w:eastAsia="Arial" w:cs="Arial"/>
          <w:spacing w:val="-1"/>
        </w:rPr>
        <w:t>ly</w:t>
      </w:r>
      <w:r w:rsidRPr="006A60BB">
        <w:rPr>
          <w:rFonts w:eastAsia="Arial" w:cs="Arial"/>
          <w:spacing w:val="-1"/>
        </w:rPr>
        <w:t xml:space="preserve"> sound and are not capable of re-use without major alteration, adaptations or reconstruction, are considered unsuitable. Additionally, buildings should be physically capable of providing adequate accommodation without the need for significant extensions which would adversely affect the character of the building or its locality.   </w:t>
      </w:r>
    </w:p>
    <w:p w14:paraId="5D96A8E2"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77D9BC57" w14:textId="77777777"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 xml:space="preserve">The conversion of buildings in rural areas to uses not originally intended in their design can result in visual intrusion and/or increased traffic and activity, resulting in a significant adverse impact on the Countryside. The Council will seek to ensure that any proposal is appropriate both for the building itself and for the area in which it is located. Proposed new uses should not have a materially greater impact on the openness and character of the Green Belt or Countryside, than the present use.  </w:t>
      </w:r>
    </w:p>
    <w:p w14:paraId="771B586D"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6F1C537E" w14:textId="77777777"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 xml:space="preserve">The re-use of agricultural buildings can result in the need for new farm buildings elsewhere on the farm or inappropriate outside storage of materials, machinery and/or vehicles. In certain areas new farm buildings and outside storage can adversely affect the local and wider landscape and it may be appropriate to control their proliferation by using planning conditions or negotiating a planning obligation. </w:t>
      </w:r>
    </w:p>
    <w:p w14:paraId="2CBBF964"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425B4B78" w14:textId="77777777"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proofErr w:type="gramStart"/>
      <w:r w:rsidRPr="006A60BB">
        <w:rPr>
          <w:rFonts w:eastAsia="Arial" w:cs="Arial"/>
          <w:spacing w:val="-1"/>
        </w:rPr>
        <w:t>In order to</w:t>
      </w:r>
      <w:proofErr w:type="gramEnd"/>
      <w:r w:rsidRPr="006A60BB">
        <w:rPr>
          <w:rFonts w:eastAsia="Arial" w:cs="Arial"/>
          <w:spacing w:val="-1"/>
        </w:rPr>
        <w:t xml:space="preserve"> discourage abuse of the planning process, the Council will not consider favourably applications for the change of use of agricultural buildings to non-agricultural purposes, within ten years of their completion.</w:t>
      </w:r>
    </w:p>
    <w:p w14:paraId="436B01C7"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7B2FF832" w14:textId="33EDA250"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Listed buildings and buildings of architectural or historic interest will require special consideration, as detailed in Policy EV</w:t>
      </w:r>
      <w:r w:rsidR="004E709C">
        <w:rPr>
          <w:rFonts w:eastAsia="Arial" w:cs="Arial"/>
          <w:spacing w:val="-1"/>
        </w:rPr>
        <w:t>9</w:t>
      </w:r>
      <w:r w:rsidRPr="006A60BB">
        <w:rPr>
          <w:rFonts w:eastAsia="Arial" w:cs="Arial"/>
          <w:spacing w:val="-1"/>
        </w:rPr>
        <w:t xml:space="preserve">. All proposals to reuse such buildings must be designed to protect their value or significance. This would usually involve minimal internal or external alterations.  </w:t>
      </w:r>
    </w:p>
    <w:p w14:paraId="7A518C3F"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257E5748" w14:textId="77777777"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 xml:space="preserve">Unused and underused buildings, especially those of traditional design and construction, provide habitats for some protected species, notably barn owls and some species of bats. This possibility should be considered during the preparation of schemes of conversion and provision made to retain and protect any nest or roost site which may be identified. This is a statutory requirement under the Wildlife and Countryside Act 1981. </w:t>
      </w:r>
    </w:p>
    <w:p w14:paraId="7AE72B83"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117D2FF0" w14:textId="77777777"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 xml:space="preserve">In cases where the reuse of a building is for employment uses, the business should be of a scale and type that is appropriate and consistent with the location. Careful consideration will need to be made regarding the need for external storage, hardstanding, car parking and boundary treatments, to ensure that they do not have an adverse effect on the surroundings. </w:t>
      </w:r>
    </w:p>
    <w:p w14:paraId="0AA4BAAB"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6C99F99A" w14:textId="7C4C0536" w:rsidR="006A60BB" w:rsidRPr="006A60BB"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 xml:space="preserve">Where the re-use of a building within the Green Belt and </w:t>
      </w:r>
      <w:r>
        <w:rPr>
          <w:rFonts w:eastAsia="Arial" w:cs="Arial"/>
          <w:spacing w:val="-1"/>
        </w:rPr>
        <w:t>c</w:t>
      </w:r>
      <w:r w:rsidRPr="006A60BB">
        <w:rPr>
          <w:rFonts w:eastAsia="Arial" w:cs="Arial"/>
          <w:spacing w:val="-1"/>
        </w:rPr>
        <w:t xml:space="preserve">ountryside for residential purposes would result in the creation of a new isolated home, the Council will need to be satisfied that there are special circumstances such as those set out in paragraph </w:t>
      </w:r>
      <w:r>
        <w:rPr>
          <w:rFonts w:eastAsia="Arial" w:cs="Arial"/>
          <w:spacing w:val="-1"/>
        </w:rPr>
        <w:t>80</w:t>
      </w:r>
      <w:r w:rsidRPr="006A60BB">
        <w:rPr>
          <w:rFonts w:eastAsia="Arial" w:cs="Arial"/>
          <w:spacing w:val="-1"/>
        </w:rPr>
        <w:t xml:space="preserve"> of the NPPF. Where special circumstances exist, the buildings should be physically capable of providing adequate accommodation without the </w:t>
      </w:r>
      <w:r w:rsidRPr="006A60BB">
        <w:rPr>
          <w:rFonts w:eastAsia="Arial" w:cs="Arial"/>
          <w:spacing w:val="-1"/>
        </w:rPr>
        <w:lastRenderedPageBreak/>
        <w:t xml:space="preserve">need for disproportionate additions over and above the size of the original building, which would adversely affect the character of the building or its locality. The provision of a garden area to serve a converted building can also have an adverse impact on the local environment due to its position, extent, boundary treatment and the erection of additional buildings such as garages, sheds and greenhouses.  </w:t>
      </w:r>
    </w:p>
    <w:p w14:paraId="6A096DB9" w14:textId="77777777" w:rsidR="006A60BB" w:rsidRPr="006A60BB" w:rsidRDefault="006A60BB" w:rsidP="00E54162">
      <w:pPr>
        <w:keepNext w:val="0"/>
        <w:autoSpaceDE w:val="0"/>
        <w:autoSpaceDN w:val="0"/>
        <w:adjustRightInd w:val="0"/>
        <w:spacing w:before="0"/>
        <w:ind w:left="851" w:hanging="851"/>
        <w:rPr>
          <w:rFonts w:eastAsia="Arial" w:cs="Arial"/>
          <w:spacing w:val="-1"/>
        </w:rPr>
      </w:pPr>
    </w:p>
    <w:p w14:paraId="06C337E3" w14:textId="0B70DB30" w:rsidR="006A60BB" w:rsidRPr="00263F59" w:rsidRDefault="006A60BB"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6A60BB">
        <w:rPr>
          <w:rFonts w:eastAsia="Arial" w:cs="Arial"/>
          <w:spacing w:val="-1"/>
        </w:rPr>
        <w:t>Where permission is granted for the residential re-use of buildings in the Green Belt, the Council may consider applying conditions which restrict permitted development rights.</w:t>
      </w:r>
    </w:p>
    <w:p w14:paraId="15FFFB88" w14:textId="1BE54F11" w:rsidR="006A60BB" w:rsidRPr="00263F59" w:rsidRDefault="006A60BB" w:rsidP="006A60BB">
      <w:pPr>
        <w:pStyle w:val="ListParagraph"/>
        <w:rPr>
          <w:rFonts w:ascii="Arial" w:eastAsia="Arial" w:hAnsi="Arial" w:cs="Arial"/>
          <w:color w:val="auto"/>
          <w:spacing w:val="-1"/>
        </w:rPr>
      </w:pPr>
    </w:p>
    <w:p w14:paraId="4716FDF7" w14:textId="45614C43" w:rsidR="00F86477" w:rsidRPr="00263F59" w:rsidRDefault="00F86477" w:rsidP="00263F59">
      <w:pPr>
        <w:pStyle w:val="ListParagraph"/>
        <w:spacing w:after="0"/>
        <w:rPr>
          <w:rFonts w:ascii="Arial" w:eastAsia="Arial" w:hAnsi="Arial" w:cs="Arial"/>
          <w:color w:val="auto"/>
          <w:spacing w:val="-1"/>
        </w:rPr>
      </w:pPr>
    </w:p>
    <w:p w14:paraId="40B7899F" w14:textId="77777777" w:rsidR="00263F59" w:rsidRPr="00263F59" w:rsidRDefault="00263F59" w:rsidP="00263F59">
      <w:pPr>
        <w:pStyle w:val="ListParagraph"/>
        <w:spacing w:after="0"/>
        <w:rPr>
          <w:rFonts w:ascii="Arial" w:eastAsia="Arial" w:hAnsi="Arial" w:cs="Arial"/>
          <w:color w:val="auto"/>
          <w:spacing w:val="-1"/>
        </w:rPr>
      </w:pPr>
    </w:p>
    <w:p w14:paraId="04797EBE" w14:textId="0148A333" w:rsidR="003809B3" w:rsidRPr="00995322" w:rsidRDefault="006977E7" w:rsidP="00995322">
      <w:pPr>
        <w:pStyle w:val="Heading2"/>
        <w:jc w:val="left"/>
        <w:rPr>
          <w:rFonts w:eastAsia="Arial"/>
          <w:sz w:val="28"/>
          <w:szCs w:val="28"/>
        </w:rPr>
      </w:pPr>
      <w:bookmarkStart w:id="168" w:name="_Toc145511578"/>
      <w:r w:rsidRPr="00995322">
        <w:rPr>
          <w:rFonts w:eastAsia="Arial"/>
          <w:sz w:val="28"/>
          <w:szCs w:val="28"/>
        </w:rPr>
        <w:t xml:space="preserve">Policy </w:t>
      </w:r>
      <w:r w:rsidR="003809B3" w:rsidRPr="00995322">
        <w:rPr>
          <w:rFonts w:eastAsia="Arial"/>
          <w:sz w:val="28"/>
          <w:szCs w:val="28"/>
        </w:rPr>
        <w:t xml:space="preserve">EV4: Green </w:t>
      </w:r>
      <w:r w:rsidR="00252D26">
        <w:rPr>
          <w:rFonts w:eastAsia="Arial"/>
          <w:color w:val="2E74B5" w:themeColor="accent5" w:themeShade="BF"/>
          <w:sz w:val="28"/>
          <w:szCs w:val="28"/>
        </w:rPr>
        <w:t xml:space="preserve">and Blue </w:t>
      </w:r>
      <w:r w:rsidR="003809B3" w:rsidRPr="00995322">
        <w:rPr>
          <w:rFonts w:eastAsia="Arial"/>
          <w:sz w:val="28"/>
          <w:szCs w:val="28"/>
        </w:rPr>
        <w:t>Infrastructure, Biodiversity and Geodiversity</w:t>
      </w:r>
      <w:bookmarkEnd w:id="168"/>
    </w:p>
    <w:p w14:paraId="3F297010" w14:textId="139D4F02" w:rsidR="003809B3" w:rsidRPr="00364726" w:rsidRDefault="003809B3" w:rsidP="00364726">
      <w:pPr>
        <w:rPr>
          <w:rFonts w:eastAsia="Arial"/>
        </w:rPr>
      </w:pPr>
    </w:p>
    <w:p w14:paraId="03956994" w14:textId="5440F52E" w:rsidR="006A60BB" w:rsidRPr="006157E6" w:rsidRDefault="00482B51" w:rsidP="00E54162">
      <w:pPr>
        <w:keepNext w:val="0"/>
        <w:numPr>
          <w:ilvl w:val="1"/>
          <w:numId w:val="5"/>
        </w:numPr>
        <w:tabs>
          <w:tab w:val="clear" w:pos="525"/>
        </w:tabs>
        <w:autoSpaceDE w:val="0"/>
        <w:autoSpaceDN w:val="0"/>
        <w:adjustRightInd w:val="0"/>
        <w:spacing w:before="0"/>
        <w:ind w:left="851" w:hanging="851"/>
        <w:rPr>
          <w:rFonts w:eastAsia="Arial" w:cs="Arial"/>
          <w:spacing w:val="-1"/>
        </w:rPr>
      </w:pPr>
      <w:r w:rsidRPr="00B20356">
        <w:rPr>
          <w:rFonts w:cs="Arial"/>
          <w:szCs w:val="24"/>
        </w:rPr>
        <w:t xml:space="preserve">This policy will deliver, conserve and enhance Green </w:t>
      </w:r>
      <w:bookmarkStart w:id="169" w:name="_Hlk210807476"/>
      <w:r w:rsidR="00252D26" w:rsidRPr="00252D26">
        <w:rPr>
          <w:rFonts w:cs="Arial"/>
          <w:color w:val="2E74B5" w:themeColor="accent5" w:themeShade="BF"/>
          <w:szCs w:val="24"/>
        </w:rPr>
        <w:t xml:space="preserve">and blue </w:t>
      </w:r>
      <w:bookmarkEnd w:id="169"/>
      <w:r w:rsidRPr="00B20356">
        <w:rPr>
          <w:rFonts w:cs="Arial"/>
          <w:szCs w:val="24"/>
        </w:rPr>
        <w:t>Infrastructure.  It will also protect and enhance biodiversity</w:t>
      </w:r>
      <w:r w:rsidR="00F92702">
        <w:rPr>
          <w:rFonts w:cs="Arial"/>
          <w:szCs w:val="24"/>
        </w:rPr>
        <w:t xml:space="preserve"> </w:t>
      </w:r>
      <w:r w:rsidR="00F92702" w:rsidRPr="0036716A">
        <w:rPr>
          <w:rFonts w:cs="Arial"/>
          <w:szCs w:val="24"/>
        </w:rPr>
        <w:t>and geodiversity</w:t>
      </w:r>
      <w:r w:rsidRPr="0036716A">
        <w:rPr>
          <w:rFonts w:cs="Arial"/>
          <w:szCs w:val="24"/>
        </w:rPr>
        <w:t xml:space="preserve">, through </w:t>
      </w:r>
      <w:r w:rsidRPr="00B20356">
        <w:rPr>
          <w:rFonts w:cs="Arial"/>
          <w:szCs w:val="24"/>
        </w:rPr>
        <w:t>the protection of Sites of Special Scientific Interest, Local Nature Reserves, Local Wildlife Sites and sites supporting Priority Habitats and Priority Species.</w:t>
      </w:r>
    </w:p>
    <w:p w14:paraId="3005E9B7" w14:textId="6DE3DBE2" w:rsidR="006157E6" w:rsidRDefault="006157E6" w:rsidP="00E54162">
      <w:pPr>
        <w:keepNext w:val="0"/>
        <w:autoSpaceDE w:val="0"/>
        <w:autoSpaceDN w:val="0"/>
        <w:adjustRightInd w:val="0"/>
        <w:spacing w:before="0"/>
        <w:ind w:left="851" w:hanging="851"/>
        <w:rPr>
          <w:rFonts w:cs="Arial"/>
          <w:szCs w:val="24"/>
        </w:rPr>
      </w:pPr>
    </w:p>
    <w:tbl>
      <w:tblPr>
        <w:tblStyle w:val="TableGrid7"/>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43"/>
        <w:gridCol w:w="7375"/>
      </w:tblGrid>
      <w:tr w:rsidR="006157E6" w:rsidRPr="006157E6" w14:paraId="2E63B1B6" w14:textId="77777777" w:rsidTr="006157E6">
        <w:tc>
          <w:tcPr>
            <w:tcW w:w="9618" w:type="dxa"/>
            <w:gridSpan w:val="2"/>
          </w:tcPr>
          <w:p w14:paraId="4F8FED38" w14:textId="77777777" w:rsidR="007C6CA4" w:rsidRDefault="007C6CA4" w:rsidP="006157E6">
            <w:pPr>
              <w:keepNext w:val="0"/>
              <w:spacing w:before="0"/>
              <w:rPr>
                <w:b/>
                <w:bCs/>
                <w:color w:val="auto"/>
              </w:rPr>
            </w:pPr>
          </w:p>
          <w:p w14:paraId="03438847" w14:textId="6CDFEDDA" w:rsidR="006157E6" w:rsidRDefault="006157E6" w:rsidP="006157E6">
            <w:pPr>
              <w:keepNext w:val="0"/>
              <w:spacing w:before="0"/>
              <w:rPr>
                <w:b/>
                <w:bCs/>
                <w:color w:val="auto"/>
              </w:rPr>
            </w:pPr>
            <w:bookmarkStart w:id="170" w:name="_Hlk117505005"/>
            <w:r w:rsidRPr="006157E6">
              <w:rPr>
                <w:b/>
                <w:bCs/>
                <w:color w:val="auto"/>
              </w:rPr>
              <w:t>Policy EV4: Green</w:t>
            </w:r>
            <w:r w:rsidR="00D95880">
              <w:rPr>
                <w:b/>
                <w:bCs/>
                <w:color w:val="auto"/>
              </w:rPr>
              <w:t xml:space="preserve"> </w:t>
            </w:r>
            <w:r w:rsidR="00D95880">
              <w:rPr>
                <w:b/>
                <w:bCs/>
                <w:color w:val="0070C0"/>
              </w:rPr>
              <w:t>and Blue</w:t>
            </w:r>
            <w:r w:rsidRPr="006157E6">
              <w:rPr>
                <w:b/>
                <w:bCs/>
                <w:color w:val="auto"/>
              </w:rPr>
              <w:t xml:space="preserve"> Infrastructure, Biodiversity and Geodiversity</w:t>
            </w:r>
          </w:p>
          <w:bookmarkEnd w:id="170"/>
          <w:p w14:paraId="1A3CED2E" w14:textId="7DD5845B" w:rsidR="007C6CA4" w:rsidRPr="006157E6" w:rsidRDefault="007C6CA4" w:rsidP="006157E6">
            <w:pPr>
              <w:keepNext w:val="0"/>
              <w:spacing w:before="0"/>
              <w:rPr>
                <w:b/>
                <w:bCs/>
                <w:color w:val="auto"/>
              </w:rPr>
            </w:pPr>
          </w:p>
        </w:tc>
      </w:tr>
      <w:tr w:rsidR="006157E6" w:rsidRPr="006157E6" w14:paraId="023362F6" w14:textId="77777777" w:rsidTr="006157E6">
        <w:tc>
          <w:tcPr>
            <w:tcW w:w="2243" w:type="dxa"/>
          </w:tcPr>
          <w:p w14:paraId="41A56F34" w14:textId="7485D17A" w:rsidR="006157E6" w:rsidRPr="006157E6" w:rsidRDefault="006157E6" w:rsidP="006157E6">
            <w:pPr>
              <w:keepNext w:val="0"/>
              <w:spacing w:before="0"/>
              <w:rPr>
                <w:color w:val="auto"/>
              </w:rPr>
            </w:pPr>
            <w:r w:rsidRPr="006157E6">
              <w:rPr>
                <w:color w:val="auto"/>
              </w:rPr>
              <w:t>Strategic</w:t>
            </w:r>
            <w:r w:rsidR="00E60404">
              <w:rPr>
                <w:color w:val="auto"/>
              </w:rPr>
              <w:t xml:space="preserve"> Objectives</w:t>
            </w:r>
          </w:p>
        </w:tc>
        <w:tc>
          <w:tcPr>
            <w:tcW w:w="7375" w:type="dxa"/>
          </w:tcPr>
          <w:p w14:paraId="02A800CD" w14:textId="28342BEC" w:rsidR="006157E6" w:rsidRPr="006157E6" w:rsidRDefault="006157E6" w:rsidP="006157E6">
            <w:pPr>
              <w:keepNext w:val="0"/>
              <w:spacing w:before="0"/>
              <w:rPr>
                <w:color w:val="auto"/>
              </w:rPr>
            </w:pPr>
            <w:r w:rsidRPr="006157E6">
              <w:rPr>
                <w:color w:val="auto"/>
              </w:rPr>
              <w:t>SO1, SO4, SO11, SO13, SO14.</w:t>
            </w:r>
          </w:p>
        </w:tc>
      </w:tr>
      <w:tr w:rsidR="006157E6" w:rsidRPr="006157E6" w14:paraId="7CA1F895" w14:textId="77777777" w:rsidTr="006157E6">
        <w:tc>
          <w:tcPr>
            <w:tcW w:w="9618" w:type="dxa"/>
            <w:gridSpan w:val="2"/>
            <w:shd w:val="clear" w:color="auto" w:fill="E2EFD9"/>
          </w:tcPr>
          <w:p w14:paraId="08682A79" w14:textId="77777777" w:rsidR="006157E6" w:rsidRPr="006157E6" w:rsidRDefault="006157E6" w:rsidP="007C6CA4">
            <w:pPr>
              <w:keepNext w:val="0"/>
              <w:spacing w:before="0"/>
              <w:jc w:val="left"/>
              <w:rPr>
                <w:color w:val="auto"/>
              </w:rPr>
            </w:pPr>
          </w:p>
          <w:p w14:paraId="1F3229CA" w14:textId="46EE5E17" w:rsidR="006157E6" w:rsidRPr="000E7F65" w:rsidRDefault="006157E6" w:rsidP="001770A9">
            <w:pPr>
              <w:keepNext w:val="0"/>
              <w:spacing w:before="0"/>
              <w:ind w:firstLine="313"/>
              <w:jc w:val="left"/>
              <w:rPr>
                <w:b/>
                <w:bCs/>
                <w:color w:val="auto"/>
              </w:rPr>
            </w:pPr>
            <w:r w:rsidRPr="000E7F65">
              <w:rPr>
                <w:b/>
                <w:bCs/>
                <w:color w:val="auto"/>
              </w:rPr>
              <w:t xml:space="preserve">Green </w:t>
            </w:r>
            <w:r w:rsidR="00252D26" w:rsidRPr="00F53521">
              <w:rPr>
                <w:rFonts w:cs="Arial"/>
                <w:b/>
                <w:bCs/>
                <w:color w:val="2F5496" w:themeColor="accent1" w:themeShade="BF"/>
                <w:szCs w:val="24"/>
              </w:rPr>
              <w:t>and blue</w:t>
            </w:r>
            <w:r w:rsidR="00252D26" w:rsidRPr="00F53521">
              <w:rPr>
                <w:rFonts w:cs="Arial"/>
                <w:color w:val="2F5496" w:themeColor="accent1" w:themeShade="BF"/>
                <w:szCs w:val="24"/>
              </w:rPr>
              <w:t xml:space="preserve"> </w:t>
            </w:r>
            <w:r w:rsidRPr="000E7F65">
              <w:rPr>
                <w:b/>
                <w:bCs/>
                <w:color w:val="auto"/>
              </w:rPr>
              <w:t>Infrastructure</w:t>
            </w:r>
          </w:p>
          <w:p w14:paraId="6279E152" w14:textId="309DC9A0" w:rsidR="006157E6" w:rsidRPr="006157E6" w:rsidRDefault="006157E6" w:rsidP="00874A98">
            <w:pPr>
              <w:keepNext w:val="0"/>
              <w:numPr>
                <w:ilvl w:val="0"/>
                <w:numId w:val="240"/>
              </w:numPr>
              <w:spacing w:before="0"/>
              <w:contextualSpacing/>
              <w:jc w:val="left"/>
              <w:rPr>
                <w:color w:val="auto"/>
              </w:rPr>
            </w:pPr>
            <w:bookmarkStart w:id="171" w:name="_Hlk142392954"/>
            <w:r w:rsidRPr="006157E6">
              <w:rPr>
                <w:color w:val="auto"/>
              </w:rPr>
              <w:t xml:space="preserve">The delivery, conservation and enhancement of Green </w:t>
            </w:r>
            <w:r w:rsidR="00252D26" w:rsidRPr="00F53521">
              <w:rPr>
                <w:rFonts w:cs="Arial"/>
                <w:color w:val="2F5496" w:themeColor="accent1" w:themeShade="BF"/>
                <w:szCs w:val="24"/>
              </w:rPr>
              <w:t xml:space="preserve">and blue </w:t>
            </w:r>
            <w:r w:rsidRPr="006157E6">
              <w:rPr>
                <w:color w:val="auto"/>
              </w:rPr>
              <w:t xml:space="preserve">Infrastructure will be achieved through the establishment of a network of green </w:t>
            </w:r>
            <w:r w:rsidR="00252D26" w:rsidRPr="00F53521">
              <w:rPr>
                <w:rFonts w:cs="Arial"/>
                <w:color w:val="2F5496" w:themeColor="accent1" w:themeShade="BF"/>
                <w:szCs w:val="24"/>
              </w:rPr>
              <w:t xml:space="preserve">and blue </w:t>
            </w:r>
            <w:r w:rsidRPr="006157E6">
              <w:rPr>
                <w:color w:val="auto"/>
              </w:rPr>
              <w:t>corridors and assets, having regard to the Council’s Green</w:t>
            </w:r>
            <w:r w:rsidR="00BF7431">
              <w:rPr>
                <w:color w:val="auto"/>
              </w:rPr>
              <w:t xml:space="preserve"> </w:t>
            </w:r>
            <w:r w:rsidR="00BF7431" w:rsidRPr="0036716A">
              <w:t>and Blue</w:t>
            </w:r>
            <w:r w:rsidRPr="0036716A">
              <w:t xml:space="preserve"> Infrastructure and Biodiversity </w:t>
            </w:r>
            <w:r w:rsidR="00BF7431" w:rsidRPr="0036716A">
              <w:t>Strategy</w:t>
            </w:r>
            <w:bookmarkEnd w:id="171"/>
            <w:r w:rsidR="0036716A" w:rsidRPr="0036716A">
              <w:t>.</w:t>
            </w:r>
            <w:r w:rsidRPr="0036716A">
              <w:t xml:space="preserve"> This </w:t>
            </w:r>
            <w:r w:rsidRPr="006157E6">
              <w:rPr>
                <w:color w:val="auto"/>
              </w:rPr>
              <w:t>approach requires that:</w:t>
            </w:r>
          </w:p>
          <w:p w14:paraId="78C60497" w14:textId="77777777" w:rsidR="006157E6" w:rsidRPr="006157E6" w:rsidRDefault="006157E6" w:rsidP="007C6CA4">
            <w:pPr>
              <w:keepNext w:val="0"/>
              <w:spacing w:before="0"/>
              <w:ind w:left="360"/>
              <w:contextualSpacing/>
              <w:jc w:val="left"/>
              <w:rPr>
                <w:color w:val="auto"/>
              </w:rPr>
            </w:pPr>
          </w:p>
          <w:p w14:paraId="5FAB1415" w14:textId="7F32BC64" w:rsidR="006157E6" w:rsidRPr="006157E6" w:rsidRDefault="006157E6" w:rsidP="00874A98">
            <w:pPr>
              <w:keepNext w:val="0"/>
              <w:numPr>
                <w:ilvl w:val="0"/>
                <w:numId w:val="241"/>
              </w:numPr>
              <w:spacing w:before="0"/>
              <w:contextualSpacing/>
              <w:jc w:val="left"/>
              <w:rPr>
                <w:color w:val="auto"/>
              </w:rPr>
            </w:pPr>
            <w:r w:rsidRPr="006157E6">
              <w:rPr>
                <w:color w:val="auto"/>
              </w:rPr>
              <w:t>Existing Green</w:t>
            </w:r>
            <w:r w:rsidR="00252D26" w:rsidRPr="00F53521">
              <w:rPr>
                <w:rFonts w:cs="Arial"/>
                <w:color w:val="2F5496" w:themeColor="accent1" w:themeShade="BF"/>
                <w:szCs w:val="24"/>
              </w:rPr>
              <w:t xml:space="preserve"> and blue</w:t>
            </w:r>
            <w:r w:rsidRPr="006157E6">
              <w:rPr>
                <w:color w:val="auto"/>
              </w:rPr>
              <w:t xml:space="preserve"> Infrastructure corridors and assets are protected and enhanced to maintain the integrity of the overall Green</w:t>
            </w:r>
            <w:r w:rsidR="00252D26" w:rsidRPr="00F53521">
              <w:rPr>
                <w:rFonts w:cs="Arial"/>
                <w:color w:val="2F5496" w:themeColor="accent1" w:themeShade="BF"/>
                <w:szCs w:val="24"/>
              </w:rPr>
              <w:t xml:space="preserve"> and blue</w:t>
            </w:r>
            <w:r w:rsidRPr="006157E6">
              <w:rPr>
                <w:color w:val="auto"/>
              </w:rPr>
              <w:t xml:space="preserve"> Infrastructure network. Priority for the creation of new or enhanced strategic Green </w:t>
            </w:r>
            <w:r w:rsidR="00252D26" w:rsidRPr="00F53521">
              <w:rPr>
                <w:rFonts w:cs="Arial"/>
                <w:color w:val="2F5496" w:themeColor="accent1" w:themeShade="BF"/>
                <w:szCs w:val="24"/>
              </w:rPr>
              <w:t xml:space="preserve">and blue </w:t>
            </w:r>
            <w:r w:rsidRPr="006157E6">
              <w:rPr>
                <w:color w:val="auto"/>
              </w:rPr>
              <w:t>Infrastructure will be given to strategic and local links;</w:t>
            </w:r>
          </w:p>
          <w:p w14:paraId="412E53F4" w14:textId="77777777" w:rsidR="006157E6" w:rsidRPr="006157E6" w:rsidRDefault="006157E6" w:rsidP="007C6CA4">
            <w:pPr>
              <w:keepNext w:val="0"/>
              <w:spacing w:before="0"/>
              <w:ind w:left="720"/>
              <w:contextualSpacing/>
              <w:jc w:val="left"/>
              <w:rPr>
                <w:color w:val="auto"/>
              </w:rPr>
            </w:pPr>
          </w:p>
          <w:p w14:paraId="295787D1" w14:textId="65A693E1" w:rsidR="006157E6" w:rsidRPr="006157E6" w:rsidRDefault="006157E6" w:rsidP="00874A98">
            <w:pPr>
              <w:keepNext w:val="0"/>
              <w:numPr>
                <w:ilvl w:val="0"/>
                <w:numId w:val="241"/>
              </w:numPr>
              <w:spacing w:before="0"/>
              <w:contextualSpacing/>
              <w:jc w:val="left"/>
              <w:rPr>
                <w:color w:val="auto"/>
              </w:rPr>
            </w:pPr>
            <w:r w:rsidRPr="006157E6">
              <w:rPr>
                <w:color w:val="auto"/>
              </w:rPr>
              <w:t>Alternative scheme designs, including locations that minimise the impact on Green</w:t>
            </w:r>
            <w:r w:rsidR="00252D26" w:rsidRPr="00F53521">
              <w:rPr>
                <w:rFonts w:cs="Arial"/>
                <w:color w:val="2F5496" w:themeColor="accent1" w:themeShade="BF"/>
                <w:szCs w:val="24"/>
              </w:rPr>
              <w:t xml:space="preserve"> and blue</w:t>
            </w:r>
            <w:r w:rsidRPr="006157E6">
              <w:rPr>
                <w:color w:val="auto"/>
              </w:rPr>
              <w:t xml:space="preserve"> Infrastructure networks, should be considered before the use of mitigation (either on or off-site, as appropriate). Where new development has an adverse impact on Green </w:t>
            </w:r>
            <w:r w:rsidR="00252D26" w:rsidRPr="00F53521">
              <w:rPr>
                <w:rFonts w:cs="Arial"/>
                <w:color w:val="2F5496" w:themeColor="accent1" w:themeShade="BF"/>
                <w:szCs w:val="24"/>
              </w:rPr>
              <w:t xml:space="preserve">and blue </w:t>
            </w:r>
            <w:r w:rsidRPr="006157E6">
              <w:rPr>
                <w:color w:val="auto"/>
              </w:rPr>
              <w:t>Infrastructure (where no alternative is available), the need and benefit of the development will be weighed against the harm caused;</w:t>
            </w:r>
          </w:p>
          <w:p w14:paraId="1E021E0A" w14:textId="77777777" w:rsidR="006157E6" w:rsidRPr="006157E6" w:rsidRDefault="006157E6" w:rsidP="007C6CA4">
            <w:pPr>
              <w:keepNext w:val="0"/>
              <w:spacing w:before="0"/>
              <w:ind w:left="720"/>
              <w:contextualSpacing/>
              <w:jc w:val="left"/>
              <w:rPr>
                <w:color w:val="auto"/>
              </w:rPr>
            </w:pPr>
          </w:p>
          <w:p w14:paraId="5247398D" w14:textId="428415F3" w:rsidR="006157E6" w:rsidRPr="007C76CF" w:rsidRDefault="006157E6" w:rsidP="00874A98">
            <w:pPr>
              <w:keepNext w:val="0"/>
              <w:numPr>
                <w:ilvl w:val="0"/>
                <w:numId w:val="241"/>
              </w:numPr>
              <w:spacing w:before="0"/>
              <w:contextualSpacing/>
              <w:jc w:val="left"/>
              <w:rPr>
                <w:color w:val="auto"/>
              </w:rPr>
            </w:pPr>
            <w:r w:rsidRPr="006157E6">
              <w:rPr>
                <w:color w:val="auto"/>
              </w:rPr>
              <w:t xml:space="preserve">Linkages between Green </w:t>
            </w:r>
            <w:r w:rsidR="00252D26" w:rsidRPr="00F53521">
              <w:rPr>
                <w:rFonts w:cs="Arial"/>
                <w:color w:val="2F5496" w:themeColor="accent1" w:themeShade="BF"/>
                <w:szCs w:val="24"/>
              </w:rPr>
              <w:t xml:space="preserve">and blue </w:t>
            </w:r>
            <w:r w:rsidRPr="006157E6">
              <w:rPr>
                <w:color w:val="auto"/>
              </w:rPr>
              <w:t xml:space="preserve">Infrastructure assets will be preserved, enhanced or created to improve public access and biodiversity value; </w:t>
            </w:r>
            <w:r w:rsidRPr="007C76CF">
              <w:rPr>
                <w:color w:val="auto"/>
              </w:rPr>
              <w:t>and</w:t>
            </w:r>
          </w:p>
          <w:p w14:paraId="1177C0D9" w14:textId="77777777" w:rsidR="006157E6" w:rsidRPr="006157E6" w:rsidRDefault="006157E6" w:rsidP="007C6CA4">
            <w:pPr>
              <w:keepNext w:val="0"/>
              <w:spacing w:before="0"/>
              <w:ind w:left="720"/>
              <w:contextualSpacing/>
              <w:jc w:val="left"/>
              <w:rPr>
                <w:color w:val="auto"/>
              </w:rPr>
            </w:pPr>
          </w:p>
          <w:p w14:paraId="3A2E0A84" w14:textId="77777777" w:rsidR="006157E6" w:rsidRPr="006157E6" w:rsidRDefault="006157E6" w:rsidP="00874A98">
            <w:pPr>
              <w:keepNext w:val="0"/>
              <w:numPr>
                <w:ilvl w:val="0"/>
                <w:numId w:val="241"/>
              </w:numPr>
              <w:spacing w:before="0"/>
              <w:contextualSpacing/>
              <w:jc w:val="left"/>
              <w:rPr>
                <w:color w:val="auto"/>
              </w:rPr>
            </w:pPr>
            <w:r w:rsidRPr="006157E6">
              <w:rPr>
                <w:color w:val="auto"/>
              </w:rPr>
              <w:lastRenderedPageBreak/>
              <w:t xml:space="preserve">New or enhanced corridors and assets should be multi-functional, where appropriate. Proposals should demonstrate which functions will be delivered through the creation or enhancement of assets.  </w:t>
            </w:r>
          </w:p>
          <w:p w14:paraId="135640F3" w14:textId="77777777" w:rsidR="006157E6" w:rsidRPr="006157E6" w:rsidRDefault="006157E6" w:rsidP="007C6CA4">
            <w:pPr>
              <w:keepNext w:val="0"/>
              <w:spacing w:before="0"/>
              <w:ind w:left="360"/>
              <w:contextualSpacing/>
              <w:jc w:val="left"/>
              <w:rPr>
                <w:color w:val="auto"/>
              </w:rPr>
            </w:pPr>
          </w:p>
          <w:p w14:paraId="6F065954" w14:textId="77777777" w:rsidR="006157E6" w:rsidRPr="000E7F65" w:rsidRDefault="006157E6" w:rsidP="007C6CA4">
            <w:pPr>
              <w:keepNext w:val="0"/>
              <w:spacing w:before="0"/>
              <w:ind w:left="360"/>
              <w:contextualSpacing/>
              <w:jc w:val="left"/>
              <w:rPr>
                <w:b/>
                <w:bCs/>
                <w:color w:val="auto"/>
              </w:rPr>
            </w:pPr>
            <w:r w:rsidRPr="000E7F65">
              <w:rPr>
                <w:b/>
                <w:bCs/>
                <w:color w:val="auto"/>
              </w:rPr>
              <w:t xml:space="preserve">Biodiversity </w:t>
            </w:r>
            <w:r w:rsidRPr="005F01A3">
              <w:rPr>
                <w:b/>
                <w:bCs/>
                <w:color w:val="auto"/>
              </w:rPr>
              <w:t>and Geodiversity</w:t>
            </w:r>
          </w:p>
          <w:p w14:paraId="40A658F5" w14:textId="19F00F39" w:rsidR="00C1301A" w:rsidRPr="002D3B1B" w:rsidRDefault="00C1301A" w:rsidP="00874A98">
            <w:pPr>
              <w:keepNext w:val="0"/>
              <w:numPr>
                <w:ilvl w:val="0"/>
                <w:numId w:val="240"/>
              </w:numPr>
              <w:spacing w:before="0"/>
              <w:contextualSpacing/>
              <w:jc w:val="left"/>
              <w:rPr>
                <w:color w:val="auto"/>
              </w:rPr>
            </w:pPr>
            <w:r w:rsidRPr="002D3B1B">
              <w:rPr>
                <w:color w:val="auto"/>
              </w:rPr>
              <w:t>All proposals for development, other than those exempted through national legislation, will be required to demonstrate and deliver a minimum of 10% biodiversity net gain,</w:t>
            </w:r>
            <w:r w:rsidR="00625A85" w:rsidRPr="002D3B1B">
              <w:rPr>
                <w:color w:val="auto"/>
              </w:rPr>
              <w:t xml:space="preserve"> </w:t>
            </w:r>
            <w:r w:rsidRPr="002D3B1B">
              <w:rPr>
                <w:color w:val="auto"/>
              </w:rPr>
              <w:t xml:space="preserve">calculated using the </w:t>
            </w:r>
            <w:r w:rsidRPr="00EC189E">
              <w:rPr>
                <w:strike/>
                <w:color w:val="auto"/>
              </w:rPr>
              <w:t>latest Natural England</w:t>
            </w:r>
            <w:r w:rsidRPr="002D3B1B">
              <w:rPr>
                <w:color w:val="auto"/>
              </w:rPr>
              <w:t xml:space="preserve"> </w:t>
            </w:r>
            <w:r w:rsidR="00EC189E" w:rsidRPr="00E56F9C">
              <w:rPr>
                <w:color w:val="006AB9"/>
              </w:rPr>
              <w:t xml:space="preserve">Statutory </w:t>
            </w:r>
            <w:r w:rsidR="00EC189E">
              <w:rPr>
                <w:color w:val="auto"/>
              </w:rPr>
              <w:t>B</w:t>
            </w:r>
            <w:r w:rsidRPr="002D3B1B">
              <w:rPr>
                <w:color w:val="auto"/>
              </w:rPr>
              <w:t xml:space="preserve">iodiversity </w:t>
            </w:r>
            <w:r w:rsidR="00EC189E">
              <w:rPr>
                <w:color w:val="auto"/>
              </w:rPr>
              <w:t>M</w:t>
            </w:r>
            <w:r w:rsidRPr="002D3B1B">
              <w:rPr>
                <w:color w:val="auto"/>
              </w:rPr>
              <w:t>etric (or an alternative metric set out in legislation), and taking consideration of any national or local guidance on what values should be used.</w:t>
            </w:r>
          </w:p>
          <w:p w14:paraId="5C71C0DE" w14:textId="77777777" w:rsidR="00C1301A" w:rsidRPr="002D3B1B" w:rsidRDefault="00C1301A" w:rsidP="00C1301A">
            <w:pPr>
              <w:keepNext w:val="0"/>
              <w:spacing w:before="0"/>
              <w:ind w:left="360"/>
              <w:contextualSpacing/>
              <w:jc w:val="left"/>
              <w:rPr>
                <w:color w:val="auto"/>
              </w:rPr>
            </w:pPr>
          </w:p>
          <w:p w14:paraId="619DEE6A" w14:textId="7CBF13AF" w:rsidR="006157E6" w:rsidRPr="002D3B1B" w:rsidRDefault="00C1301A" w:rsidP="00874A98">
            <w:pPr>
              <w:keepNext w:val="0"/>
              <w:numPr>
                <w:ilvl w:val="0"/>
                <w:numId w:val="240"/>
              </w:numPr>
              <w:spacing w:before="0"/>
              <w:contextualSpacing/>
              <w:jc w:val="left"/>
              <w:rPr>
                <w:color w:val="auto"/>
              </w:rPr>
            </w:pPr>
            <w:r w:rsidRPr="002D3B1B">
              <w:rPr>
                <w:color w:val="auto"/>
              </w:rPr>
              <w:t>All development proposals s</w:t>
            </w:r>
            <w:r w:rsidR="00625A85" w:rsidRPr="002D3B1B">
              <w:rPr>
                <w:color w:val="auto"/>
              </w:rPr>
              <w:t xml:space="preserve">hould avoid </w:t>
            </w:r>
            <w:r w:rsidR="006157E6" w:rsidRPr="002D3B1B">
              <w:rPr>
                <w:color w:val="auto"/>
              </w:rPr>
              <w:t>and minimise fragmentation of habitats</w:t>
            </w:r>
            <w:r w:rsidR="00903178" w:rsidRPr="002D3B1B">
              <w:rPr>
                <w:color w:val="auto"/>
              </w:rPr>
              <w:t xml:space="preserve">, and </w:t>
            </w:r>
            <w:r w:rsidR="006157E6" w:rsidRPr="002D3B1B">
              <w:rPr>
                <w:color w:val="auto"/>
              </w:rPr>
              <w:t>facilitate opportunities for the preservation, creation, restoration, enhancement and connection of priority habitats, having regard for habitats identified in the District’s Biodiversity Opportunity Maps</w:t>
            </w:r>
            <w:r w:rsidR="00FA642D">
              <w:rPr>
                <w:color w:val="auto"/>
              </w:rPr>
              <w:t xml:space="preserve"> and</w:t>
            </w:r>
            <w:r w:rsidR="006157E6" w:rsidRPr="002D3B1B">
              <w:rPr>
                <w:color w:val="auto"/>
              </w:rPr>
              <w:t xml:space="preserve"> for the recovery of priority species</w:t>
            </w:r>
            <w:r w:rsidR="008B36CB" w:rsidRPr="002D3B1B">
              <w:rPr>
                <w:color w:val="auto"/>
              </w:rPr>
              <w:t xml:space="preserve"> and habitats</w:t>
            </w:r>
            <w:r w:rsidR="006157E6" w:rsidRPr="002D3B1B">
              <w:rPr>
                <w:color w:val="auto"/>
              </w:rPr>
              <w:t>.</w:t>
            </w:r>
          </w:p>
          <w:p w14:paraId="178FD37A" w14:textId="77777777" w:rsidR="008B36CB" w:rsidRDefault="008B36CB" w:rsidP="008B36CB">
            <w:pPr>
              <w:keepNext w:val="0"/>
              <w:spacing w:before="0"/>
              <w:ind w:left="360"/>
              <w:contextualSpacing/>
              <w:jc w:val="left"/>
              <w:rPr>
                <w:b/>
                <w:bCs/>
                <w:color w:val="auto"/>
              </w:rPr>
            </w:pPr>
          </w:p>
          <w:p w14:paraId="0A0B3C48" w14:textId="77777777" w:rsidR="006157E6" w:rsidRPr="006157E6" w:rsidRDefault="006157E6" w:rsidP="00874A98">
            <w:pPr>
              <w:keepNext w:val="0"/>
              <w:numPr>
                <w:ilvl w:val="0"/>
                <w:numId w:val="240"/>
              </w:numPr>
              <w:spacing w:before="0"/>
              <w:contextualSpacing/>
              <w:jc w:val="left"/>
              <w:rPr>
                <w:color w:val="auto"/>
              </w:rPr>
            </w:pPr>
            <w:r w:rsidRPr="006157E6">
              <w:rPr>
                <w:color w:val="auto"/>
              </w:rPr>
              <w:t>In considering development proposals affecting biodiversity and geodiversity the following will apply:</w:t>
            </w:r>
          </w:p>
          <w:p w14:paraId="6C144762" w14:textId="77777777" w:rsidR="006157E6" w:rsidRPr="006157E6" w:rsidRDefault="006157E6" w:rsidP="007C6CA4">
            <w:pPr>
              <w:keepNext w:val="0"/>
              <w:spacing w:before="0"/>
              <w:ind w:left="720"/>
              <w:contextualSpacing/>
              <w:jc w:val="left"/>
              <w:rPr>
                <w:color w:val="auto"/>
              </w:rPr>
            </w:pPr>
          </w:p>
          <w:p w14:paraId="61037865" w14:textId="77777777" w:rsidR="006157E6" w:rsidRPr="006157E6" w:rsidRDefault="006157E6" w:rsidP="00874A98">
            <w:pPr>
              <w:keepNext w:val="0"/>
              <w:numPr>
                <w:ilvl w:val="0"/>
                <w:numId w:val="242"/>
              </w:numPr>
              <w:spacing w:before="0"/>
              <w:contextualSpacing/>
              <w:jc w:val="left"/>
              <w:rPr>
                <w:color w:val="auto"/>
              </w:rPr>
            </w:pPr>
            <w:r w:rsidRPr="006157E6">
              <w:rPr>
                <w:color w:val="auto"/>
              </w:rPr>
              <w:t xml:space="preserve">Development proposals likely to have an adverse effect on, Sites of Special Scientific Interest will not normally be permitted. An exception will only be made where the </w:t>
            </w:r>
            <w:proofErr w:type="gramStart"/>
            <w:r w:rsidRPr="006157E6">
              <w:rPr>
                <w:color w:val="auto"/>
              </w:rPr>
              <w:t>benefits</w:t>
            </w:r>
            <w:proofErr w:type="gramEnd"/>
            <w:r w:rsidRPr="006157E6">
              <w:rPr>
                <w:color w:val="auto"/>
              </w:rPr>
              <w:t xml:space="preserve"> of the development clearly outweighs the nature conservation value of the site and the broader impact on the national network of Sites of Special Scientific Interest;</w:t>
            </w:r>
          </w:p>
          <w:p w14:paraId="5D2EAAB5" w14:textId="77777777" w:rsidR="006157E6" w:rsidRPr="006157E6" w:rsidRDefault="006157E6" w:rsidP="007C6CA4">
            <w:pPr>
              <w:keepNext w:val="0"/>
              <w:spacing w:before="0"/>
              <w:ind w:left="720"/>
              <w:contextualSpacing/>
              <w:jc w:val="left"/>
              <w:rPr>
                <w:color w:val="auto"/>
              </w:rPr>
            </w:pPr>
          </w:p>
          <w:p w14:paraId="6257D0CC" w14:textId="1F58D193" w:rsidR="006157E6" w:rsidRPr="006157E6" w:rsidRDefault="006157E6" w:rsidP="00874A98">
            <w:pPr>
              <w:keepNext w:val="0"/>
              <w:numPr>
                <w:ilvl w:val="0"/>
                <w:numId w:val="242"/>
              </w:numPr>
              <w:spacing w:before="0"/>
              <w:contextualSpacing/>
              <w:jc w:val="left"/>
              <w:rPr>
                <w:color w:val="auto"/>
              </w:rPr>
            </w:pPr>
            <w:r w:rsidRPr="00985BCC">
              <w:t>Development proposals on, or affecting, Local Wildlife Sites</w:t>
            </w:r>
            <w:r w:rsidR="00F92702" w:rsidRPr="00985BCC">
              <w:t xml:space="preserve"> (LWSs)</w:t>
            </w:r>
            <w:r w:rsidRPr="00985BCC">
              <w:t xml:space="preserve">, </w:t>
            </w:r>
            <w:r w:rsidR="003C5064" w:rsidRPr="00985BCC">
              <w:t xml:space="preserve">Local </w:t>
            </w:r>
            <w:r w:rsidR="00F92702" w:rsidRPr="00985BCC">
              <w:t>Geological Sites (</w:t>
            </w:r>
            <w:r w:rsidR="003C5064" w:rsidRPr="00985BCC">
              <w:t>LGS</w:t>
            </w:r>
            <w:r w:rsidR="004E3652">
              <w:t>s</w:t>
            </w:r>
            <w:r w:rsidR="00F92702" w:rsidRPr="00985BCC">
              <w:t xml:space="preserve">), </w:t>
            </w:r>
            <w:r w:rsidRPr="00985BCC">
              <w:t>sites supporting priority habitats, or sites supporting protected or priority species</w:t>
            </w:r>
            <w:r w:rsidRPr="006157E6">
              <w:rPr>
                <w:color w:val="auto"/>
              </w:rPr>
              <w:t>, will not normally be permitted. Development may be permitted where it is clearly demonstrated that the need for the development outweighs the adverse impact on the nature conservation value of the site;</w:t>
            </w:r>
          </w:p>
          <w:p w14:paraId="5DF2034A" w14:textId="77777777" w:rsidR="006157E6" w:rsidRPr="006157E6" w:rsidRDefault="006157E6" w:rsidP="007C6CA4">
            <w:pPr>
              <w:keepNext w:val="0"/>
              <w:spacing w:before="0"/>
              <w:ind w:left="720"/>
              <w:contextualSpacing/>
              <w:jc w:val="left"/>
              <w:rPr>
                <w:color w:val="auto"/>
              </w:rPr>
            </w:pPr>
          </w:p>
          <w:p w14:paraId="28751E47" w14:textId="6E4A2B33" w:rsidR="006157E6" w:rsidRDefault="006157E6" w:rsidP="00874A98">
            <w:pPr>
              <w:keepNext w:val="0"/>
              <w:numPr>
                <w:ilvl w:val="0"/>
                <w:numId w:val="242"/>
              </w:numPr>
              <w:spacing w:before="0"/>
              <w:contextualSpacing/>
              <w:jc w:val="left"/>
              <w:rPr>
                <w:color w:val="auto"/>
              </w:rPr>
            </w:pPr>
            <w:r w:rsidRPr="00985BCC">
              <w:t>Development proposals on, or affecting, national</w:t>
            </w:r>
            <w:r w:rsidR="003940FC" w:rsidRPr="00985BCC">
              <w:t>ly</w:t>
            </w:r>
            <w:r w:rsidRPr="00985BCC">
              <w:t xml:space="preserve"> and locally designated sites</w:t>
            </w:r>
            <w:r w:rsidR="001B0A51" w:rsidRPr="00985BCC">
              <w:t xml:space="preserve">, habitats of Principle </w:t>
            </w:r>
            <w:r w:rsidR="003940FC" w:rsidRPr="00985BCC">
              <w:t>I</w:t>
            </w:r>
            <w:r w:rsidR="001B0A51" w:rsidRPr="00985BCC">
              <w:t>mportance, and priority,</w:t>
            </w:r>
            <w:r w:rsidRPr="00985BCC">
              <w:t xml:space="preserve"> protected </w:t>
            </w:r>
            <w:r w:rsidR="001B0A51" w:rsidRPr="00985BCC">
              <w:t xml:space="preserve">or notable </w:t>
            </w:r>
            <w:r w:rsidRPr="00985BCC">
              <w:t xml:space="preserve">species shall be supported by an </w:t>
            </w:r>
            <w:proofErr w:type="gramStart"/>
            <w:r w:rsidRPr="00985BCC">
              <w:t>up to date</w:t>
            </w:r>
            <w:proofErr w:type="gramEnd"/>
            <w:r w:rsidRPr="00985BCC">
              <w:t xml:space="preserve"> ecological </w:t>
            </w:r>
            <w:r w:rsidR="001B0A51" w:rsidRPr="00985BCC">
              <w:t xml:space="preserve">impact </w:t>
            </w:r>
            <w:r w:rsidRPr="00985BCC">
              <w:t>assessment</w:t>
            </w:r>
            <w:r w:rsidR="001B0A51" w:rsidRPr="00985BCC">
              <w:t xml:space="preserve">. </w:t>
            </w:r>
            <w:r w:rsidRPr="00985BCC">
              <w:t xml:space="preserve"> </w:t>
            </w:r>
            <w:r w:rsidR="001B0A51" w:rsidRPr="00985BCC">
              <w:t>A</w:t>
            </w:r>
            <w:r w:rsidRPr="00985BCC">
              <w:t xml:space="preserve">ny significant harmful ecological impacts </w:t>
            </w:r>
            <w:r w:rsidR="001B0A51" w:rsidRPr="00985BCC">
              <w:t xml:space="preserve">identified will be </w:t>
            </w:r>
            <w:r w:rsidRPr="00985BCC">
              <w:t xml:space="preserve">avoided through </w:t>
            </w:r>
            <w:r w:rsidRPr="006157E6">
              <w:rPr>
                <w:color w:val="auto"/>
              </w:rPr>
              <w:t>the design layout and detailing of development, with mitigation, and as a last resort, compensation (including off-site measures), provided where they cannot be avoided</w:t>
            </w:r>
            <w:r w:rsidR="00F3555B">
              <w:rPr>
                <w:color w:val="auto"/>
              </w:rPr>
              <w:t>;</w:t>
            </w:r>
          </w:p>
          <w:p w14:paraId="7F135EE8" w14:textId="77777777" w:rsidR="003940FC" w:rsidRDefault="003940FC" w:rsidP="003940FC">
            <w:pPr>
              <w:keepNext w:val="0"/>
              <w:spacing w:before="0"/>
              <w:contextualSpacing/>
              <w:jc w:val="left"/>
              <w:rPr>
                <w:color w:val="auto"/>
              </w:rPr>
            </w:pPr>
          </w:p>
          <w:p w14:paraId="2BE63E7B" w14:textId="14A1C8D4" w:rsidR="000E7F65" w:rsidRPr="000662E0" w:rsidRDefault="006157E6" w:rsidP="00874A98">
            <w:pPr>
              <w:keepNext w:val="0"/>
              <w:numPr>
                <w:ilvl w:val="0"/>
                <w:numId w:val="242"/>
              </w:numPr>
              <w:spacing w:before="0"/>
              <w:contextualSpacing/>
              <w:jc w:val="left"/>
              <w:rPr>
                <w:rFonts w:cs="Arial"/>
                <w:color w:val="auto"/>
                <w:szCs w:val="24"/>
              </w:rPr>
            </w:pPr>
            <w:bookmarkStart w:id="172" w:name="_Hlk79402018"/>
            <w:r w:rsidRPr="000662E0">
              <w:rPr>
                <w:color w:val="auto"/>
              </w:rPr>
              <w:t>Development proposals</w:t>
            </w:r>
            <w:r w:rsidR="006D2FF5" w:rsidRPr="000662E0">
              <w:rPr>
                <w:color w:val="auto"/>
              </w:rPr>
              <w:t>,</w:t>
            </w:r>
            <w:r w:rsidRPr="000662E0">
              <w:rPr>
                <w:color w:val="auto"/>
              </w:rPr>
              <w:t xml:space="preserve"> </w:t>
            </w:r>
            <w:r w:rsidR="000A617B" w:rsidRPr="000662E0">
              <w:rPr>
                <w:color w:val="auto"/>
              </w:rPr>
              <w:t xml:space="preserve">except for </w:t>
            </w:r>
            <w:r w:rsidR="00FA693F" w:rsidRPr="000662E0">
              <w:rPr>
                <w:color w:val="auto"/>
              </w:rPr>
              <w:t xml:space="preserve">limited </w:t>
            </w:r>
            <w:r w:rsidR="000A617B" w:rsidRPr="000662E0">
              <w:rPr>
                <w:color w:val="auto"/>
              </w:rPr>
              <w:t xml:space="preserve">exemptions, will </w:t>
            </w:r>
            <w:r w:rsidRPr="000662E0">
              <w:rPr>
                <w:color w:val="auto"/>
              </w:rPr>
              <w:t xml:space="preserve">undertake </w:t>
            </w:r>
            <w:r w:rsidRPr="000E7F65">
              <w:rPr>
                <w:color w:val="auto"/>
              </w:rPr>
              <w:t xml:space="preserve">a biodiversity assessment, using the most up-to-date </w:t>
            </w:r>
            <w:r w:rsidR="002F2DAC" w:rsidRPr="00AA13E2">
              <w:rPr>
                <w:color w:val="auto"/>
              </w:rPr>
              <w:t>D</w:t>
            </w:r>
            <w:r w:rsidR="00FA693F">
              <w:rPr>
                <w:color w:val="auto"/>
              </w:rPr>
              <w:t>EFRA</w:t>
            </w:r>
            <w:r w:rsidR="002F2DAC" w:rsidRPr="00AA13E2">
              <w:rPr>
                <w:color w:val="auto"/>
              </w:rPr>
              <w:t xml:space="preserve"> </w:t>
            </w:r>
            <w:r w:rsidRPr="00AA13E2">
              <w:rPr>
                <w:color w:val="auto"/>
              </w:rPr>
              <w:t>Biodiversity Matri</w:t>
            </w:r>
            <w:r w:rsidR="000662E0">
              <w:rPr>
                <w:color w:val="auto"/>
              </w:rPr>
              <w:t>x</w:t>
            </w:r>
            <w:r w:rsidRPr="00AA13E2">
              <w:rPr>
                <w:color w:val="auto"/>
              </w:rPr>
              <w:t xml:space="preserve">. </w:t>
            </w:r>
            <w:r w:rsidR="000E7F65" w:rsidRPr="00AA13E2">
              <w:rPr>
                <w:color w:val="auto"/>
              </w:rPr>
              <w:t xml:space="preserve">A minimum </w:t>
            </w:r>
            <w:r w:rsidR="000A617B" w:rsidRPr="000662E0">
              <w:rPr>
                <w:color w:val="auto"/>
              </w:rPr>
              <w:t xml:space="preserve">biodiversity </w:t>
            </w:r>
            <w:r w:rsidR="000E7F65" w:rsidRPr="000662E0">
              <w:rPr>
                <w:color w:val="auto"/>
              </w:rPr>
              <w:t>net gain</w:t>
            </w:r>
            <w:r w:rsidR="000A617B" w:rsidRPr="000662E0">
              <w:rPr>
                <w:color w:val="auto"/>
              </w:rPr>
              <w:t xml:space="preserve"> (BNG)</w:t>
            </w:r>
            <w:r w:rsidR="000E7F65" w:rsidRPr="000662E0">
              <w:rPr>
                <w:color w:val="auto"/>
              </w:rPr>
              <w:t xml:space="preserve"> of 10% </w:t>
            </w:r>
            <w:r w:rsidR="008B36CB" w:rsidRPr="000662E0">
              <w:rPr>
                <w:color w:val="auto"/>
              </w:rPr>
              <w:t xml:space="preserve">is mandatory. Biodiversity should be delivered on site in the first instance via habitat creation/enhancement, or by using off-site gains where necessary. As a last resort, biodiversity credits may be purchased where sufficient gains cannot be achieved on or off-site. Offsetting sites will need to </w:t>
            </w:r>
            <w:proofErr w:type="gramStart"/>
            <w:r w:rsidR="000A617B" w:rsidRPr="000662E0">
              <w:rPr>
                <w:color w:val="auto"/>
              </w:rPr>
              <w:t>be located in</w:t>
            </w:r>
            <w:proofErr w:type="gramEnd"/>
            <w:r w:rsidR="000A617B" w:rsidRPr="000662E0">
              <w:rPr>
                <w:color w:val="auto"/>
              </w:rPr>
              <w:t xml:space="preserve"> accordance with priority areas identified through the Nottinghamshire Biodiversity Opportunity Map (BOM) and the Local Nature Recovery Strategy </w:t>
            </w:r>
            <w:r w:rsidR="00AB717E" w:rsidRPr="00E56F9C">
              <w:rPr>
                <w:rFonts w:eastAsia="Arial" w:cs="Arial"/>
                <w:color w:val="006AB9"/>
                <w:szCs w:val="24"/>
              </w:rPr>
              <w:t>for Nottinghamshire and Nottingham</w:t>
            </w:r>
            <w:r w:rsidR="00AB717E" w:rsidRPr="000662E0">
              <w:rPr>
                <w:color w:val="auto"/>
              </w:rPr>
              <w:t xml:space="preserve"> </w:t>
            </w:r>
            <w:r w:rsidR="000A617B" w:rsidRPr="000662E0">
              <w:rPr>
                <w:color w:val="auto"/>
              </w:rPr>
              <w:t>(LNRS)</w:t>
            </w:r>
            <w:r w:rsidR="00AB717E">
              <w:rPr>
                <w:color w:val="auto"/>
              </w:rPr>
              <w:t>.</w:t>
            </w:r>
            <w:r w:rsidR="000A617B" w:rsidRPr="000662E0">
              <w:rPr>
                <w:color w:val="auto"/>
              </w:rPr>
              <w:t xml:space="preserve"> </w:t>
            </w:r>
            <w:r w:rsidR="000A617B" w:rsidRPr="00AB717E">
              <w:rPr>
                <w:strike/>
                <w:color w:val="auto"/>
              </w:rPr>
              <w:t>process.</w:t>
            </w:r>
            <w:r w:rsidR="000A617B" w:rsidRPr="000662E0">
              <w:rPr>
                <w:color w:val="auto"/>
              </w:rPr>
              <w:t xml:space="preserve"> </w:t>
            </w:r>
            <w:r w:rsidR="008B36CB" w:rsidRPr="000662E0">
              <w:rPr>
                <w:color w:val="auto"/>
              </w:rPr>
              <w:t xml:space="preserve">Land used to deliver BNG off-site will need to be secured for a minimum of 30 years </w:t>
            </w:r>
            <w:r w:rsidR="008B36CB" w:rsidRPr="000662E0">
              <w:rPr>
                <w:color w:val="auto"/>
              </w:rPr>
              <w:lastRenderedPageBreak/>
              <w:t xml:space="preserve">and will be in addition to any requirements for mitigating impacts on habitats or species.  </w:t>
            </w:r>
          </w:p>
          <w:bookmarkEnd w:id="172"/>
          <w:p w14:paraId="1C5AA21E" w14:textId="1CD1728B" w:rsidR="006157E6" w:rsidRDefault="006157E6" w:rsidP="007C6CA4">
            <w:pPr>
              <w:keepNext w:val="0"/>
              <w:spacing w:before="0"/>
              <w:ind w:left="360"/>
              <w:contextualSpacing/>
              <w:jc w:val="left"/>
              <w:rPr>
                <w:color w:val="auto"/>
              </w:rPr>
            </w:pPr>
          </w:p>
          <w:p w14:paraId="07DA3871" w14:textId="309D0454" w:rsidR="006157E6" w:rsidRPr="002D3B1B" w:rsidRDefault="00FA693F" w:rsidP="00874A98">
            <w:pPr>
              <w:keepNext w:val="0"/>
              <w:numPr>
                <w:ilvl w:val="0"/>
                <w:numId w:val="240"/>
              </w:numPr>
              <w:spacing w:before="0"/>
              <w:contextualSpacing/>
              <w:jc w:val="left"/>
              <w:rPr>
                <w:strike/>
                <w:color w:val="auto"/>
              </w:rPr>
            </w:pPr>
            <w:r w:rsidRPr="002D3B1B">
              <w:rPr>
                <w:color w:val="auto"/>
              </w:rPr>
              <w:t>All development within 400m of the Sherwood Forest possible potential Special Protection Area (</w:t>
            </w:r>
            <w:proofErr w:type="spellStart"/>
            <w:r w:rsidRPr="002D3B1B">
              <w:rPr>
                <w:color w:val="auto"/>
              </w:rPr>
              <w:t>ppSPA</w:t>
            </w:r>
            <w:proofErr w:type="spellEnd"/>
            <w:r w:rsidRPr="002D3B1B">
              <w:rPr>
                <w:color w:val="auto"/>
              </w:rPr>
              <w:t xml:space="preserve">) should be avoided. Exceptional circumstances where development may be permitted, would require development to demonstrate appropriate mitigation is secured to avoid or mitigate any adverse impact upon the integrity of the </w:t>
            </w:r>
            <w:proofErr w:type="spellStart"/>
            <w:r w:rsidRPr="002D3B1B">
              <w:rPr>
                <w:color w:val="auto"/>
              </w:rPr>
              <w:t>ppSPA</w:t>
            </w:r>
            <w:proofErr w:type="spellEnd"/>
            <w:r w:rsidRPr="002D3B1B">
              <w:rPr>
                <w:color w:val="auto"/>
              </w:rPr>
              <w:t xml:space="preserve">.  </w:t>
            </w:r>
          </w:p>
          <w:p w14:paraId="65FB5D1B" w14:textId="77777777" w:rsidR="006157E6" w:rsidRPr="006157E6" w:rsidRDefault="006157E6" w:rsidP="007C6CA4">
            <w:pPr>
              <w:keepNext w:val="0"/>
              <w:spacing w:before="0"/>
              <w:jc w:val="left"/>
              <w:rPr>
                <w:color w:val="auto"/>
              </w:rPr>
            </w:pPr>
          </w:p>
          <w:p w14:paraId="72CD8A3D" w14:textId="4623DB3C" w:rsidR="006157E6" w:rsidRDefault="006157E6" w:rsidP="007C6CA4">
            <w:pPr>
              <w:keepNext w:val="0"/>
              <w:spacing w:before="0"/>
              <w:jc w:val="left"/>
              <w:rPr>
                <w:color w:val="auto"/>
              </w:rPr>
            </w:pPr>
            <w:r w:rsidRPr="006157E6">
              <w:rPr>
                <w:color w:val="auto"/>
              </w:rPr>
              <w:t>Designated sites including Sites of Special Scientific Interest (SSSI) and Local Nature Reserves (LNR) are listed in Appendix 6 and are identified on the Policies Map. Local Wildlife Sites (LWS</w:t>
            </w:r>
            <w:r w:rsidRPr="00985BCC">
              <w:t xml:space="preserve">) </w:t>
            </w:r>
            <w:r w:rsidR="00F92702" w:rsidRPr="00985BCC">
              <w:t xml:space="preserve">and </w:t>
            </w:r>
            <w:r w:rsidR="003C5064" w:rsidRPr="00985BCC">
              <w:t xml:space="preserve">Local </w:t>
            </w:r>
            <w:r w:rsidR="00F92702" w:rsidRPr="00985BCC">
              <w:t>Geological Sites (</w:t>
            </w:r>
            <w:r w:rsidR="003C5064" w:rsidRPr="00985BCC">
              <w:t>LGS</w:t>
            </w:r>
            <w:r w:rsidR="00F92702" w:rsidRPr="00985BCC">
              <w:t>)</w:t>
            </w:r>
            <w:r w:rsidR="000B0235" w:rsidRPr="00985BCC">
              <w:t xml:space="preserve"> </w:t>
            </w:r>
            <w:r w:rsidRPr="00985BCC">
              <w:t xml:space="preserve">are listed in Appendix 6 and are identified on the map for information purposes. This </w:t>
            </w:r>
            <w:r w:rsidRPr="006157E6">
              <w:rPr>
                <w:color w:val="auto"/>
              </w:rPr>
              <w:t xml:space="preserve">Policy will also apply to any new sites identified after the Local Plan is </w:t>
            </w:r>
            <w:r w:rsidR="009D1815" w:rsidRPr="006157E6">
              <w:rPr>
                <w:color w:val="auto"/>
              </w:rPr>
              <w:t>adopted but</w:t>
            </w:r>
            <w:r w:rsidRPr="006157E6">
              <w:rPr>
                <w:color w:val="auto"/>
              </w:rPr>
              <w:t xml:space="preserve"> will not be illustrated on the Policies Map.</w:t>
            </w:r>
          </w:p>
          <w:p w14:paraId="772FB790" w14:textId="10825397" w:rsidR="00770FDC" w:rsidRPr="006157E6" w:rsidRDefault="00770FDC" w:rsidP="007C6CA4">
            <w:pPr>
              <w:keepNext w:val="0"/>
              <w:spacing w:before="0"/>
              <w:jc w:val="left"/>
              <w:rPr>
                <w:color w:val="auto"/>
              </w:rPr>
            </w:pPr>
          </w:p>
        </w:tc>
      </w:tr>
      <w:tr w:rsidR="006157E6" w:rsidRPr="006157E6" w14:paraId="775B8759" w14:textId="77777777" w:rsidTr="006157E6">
        <w:tc>
          <w:tcPr>
            <w:tcW w:w="2243" w:type="dxa"/>
          </w:tcPr>
          <w:p w14:paraId="6CCA7445" w14:textId="77777777" w:rsidR="006157E6" w:rsidRPr="006157E6" w:rsidRDefault="006157E6" w:rsidP="000032A9">
            <w:pPr>
              <w:keepNext w:val="0"/>
              <w:spacing w:before="0"/>
              <w:jc w:val="left"/>
              <w:rPr>
                <w:color w:val="auto"/>
                <w:sz w:val="20"/>
                <w:szCs w:val="20"/>
              </w:rPr>
            </w:pPr>
            <w:r w:rsidRPr="006157E6">
              <w:rPr>
                <w:color w:val="auto"/>
                <w:sz w:val="20"/>
                <w:szCs w:val="20"/>
              </w:rPr>
              <w:lastRenderedPageBreak/>
              <w:t>Evidence base</w:t>
            </w:r>
          </w:p>
        </w:tc>
        <w:tc>
          <w:tcPr>
            <w:tcW w:w="7375" w:type="dxa"/>
          </w:tcPr>
          <w:p w14:paraId="585414F8" w14:textId="2326F16B" w:rsidR="006157E6" w:rsidRPr="00985BCC" w:rsidRDefault="00CF726D" w:rsidP="00874A98">
            <w:pPr>
              <w:keepNext w:val="0"/>
              <w:numPr>
                <w:ilvl w:val="0"/>
                <w:numId w:val="238"/>
              </w:numPr>
              <w:spacing w:before="0"/>
              <w:contextualSpacing/>
              <w:jc w:val="left"/>
              <w:rPr>
                <w:sz w:val="20"/>
                <w:szCs w:val="20"/>
              </w:rPr>
            </w:pPr>
            <w:r w:rsidRPr="00985BCC">
              <w:rPr>
                <w:sz w:val="20"/>
                <w:szCs w:val="20"/>
              </w:rPr>
              <w:t xml:space="preserve">Ashfield </w:t>
            </w:r>
            <w:r w:rsidR="006157E6" w:rsidRPr="00985BCC">
              <w:rPr>
                <w:sz w:val="20"/>
                <w:szCs w:val="20"/>
              </w:rPr>
              <w:t xml:space="preserve">Sustainability Appraisal, </w:t>
            </w:r>
            <w:r w:rsidR="00A86E75" w:rsidRPr="00985BCC">
              <w:rPr>
                <w:sz w:val="20"/>
                <w:szCs w:val="20"/>
              </w:rPr>
              <w:t>2</w:t>
            </w:r>
            <w:r w:rsidR="006157E6" w:rsidRPr="00985BCC">
              <w:rPr>
                <w:sz w:val="20"/>
                <w:szCs w:val="20"/>
              </w:rPr>
              <w:t>02</w:t>
            </w:r>
            <w:r w:rsidR="00A86E75" w:rsidRPr="00985BCC">
              <w:rPr>
                <w:sz w:val="20"/>
                <w:szCs w:val="20"/>
              </w:rPr>
              <w:t>3</w:t>
            </w:r>
            <w:r w:rsidR="006157E6" w:rsidRPr="00985BCC">
              <w:rPr>
                <w:sz w:val="20"/>
                <w:szCs w:val="20"/>
              </w:rPr>
              <w:t xml:space="preserve">.  </w:t>
            </w:r>
            <w:r w:rsidR="00A86E75" w:rsidRPr="00985BCC">
              <w:rPr>
                <w:sz w:val="20"/>
                <w:szCs w:val="20"/>
              </w:rPr>
              <w:t>WSP UK Limited.</w:t>
            </w:r>
          </w:p>
          <w:p w14:paraId="2CB54084" w14:textId="77777777" w:rsidR="006157E6" w:rsidRPr="00985BCC" w:rsidRDefault="006157E6" w:rsidP="00874A98">
            <w:pPr>
              <w:keepNext w:val="0"/>
              <w:numPr>
                <w:ilvl w:val="0"/>
                <w:numId w:val="238"/>
              </w:numPr>
              <w:spacing w:before="0"/>
              <w:contextualSpacing/>
              <w:jc w:val="left"/>
              <w:rPr>
                <w:sz w:val="20"/>
                <w:szCs w:val="20"/>
              </w:rPr>
            </w:pPr>
            <w:r w:rsidRPr="00985BCC">
              <w:rPr>
                <w:sz w:val="20"/>
                <w:szCs w:val="20"/>
              </w:rPr>
              <w:t>Ashfield Biodiversity Opportunity Mapping Project 2016. Notts BAG.</w:t>
            </w:r>
          </w:p>
          <w:p w14:paraId="6483A7A3" w14:textId="7FCBD67C" w:rsidR="00BF7431" w:rsidRPr="00985BCC" w:rsidRDefault="00BF7431" w:rsidP="00874A98">
            <w:pPr>
              <w:keepNext w:val="0"/>
              <w:numPr>
                <w:ilvl w:val="0"/>
                <w:numId w:val="238"/>
              </w:numPr>
              <w:spacing w:before="0"/>
              <w:contextualSpacing/>
              <w:jc w:val="left"/>
              <w:rPr>
                <w:sz w:val="20"/>
                <w:szCs w:val="20"/>
              </w:rPr>
            </w:pPr>
            <w:r w:rsidRPr="00985BCC">
              <w:rPr>
                <w:rFonts w:cs="Arial"/>
                <w:sz w:val="20"/>
              </w:rPr>
              <w:t xml:space="preserve">Ashfield Green &amp; Blue Infrastructure and Biodiversity </w:t>
            </w:r>
            <w:r w:rsidR="00E60404" w:rsidRPr="00985BCC">
              <w:rPr>
                <w:rFonts w:cs="Arial"/>
                <w:sz w:val="20"/>
              </w:rPr>
              <w:t>Strategy</w:t>
            </w:r>
            <w:r w:rsidR="005C1DB7">
              <w:rPr>
                <w:rFonts w:cs="Arial"/>
                <w:sz w:val="20"/>
              </w:rPr>
              <w:t>, 2022 - 2032</w:t>
            </w:r>
            <w:r w:rsidR="00E60404" w:rsidRPr="00985BCC">
              <w:rPr>
                <w:rFonts w:cs="Arial"/>
                <w:sz w:val="20"/>
              </w:rPr>
              <w:t>.</w:t>
            </w:r>
            <w:r w:rsidRPr="00985BCC">
              <w:rPr>
                <w:rFonts w:cs="Arial"/>
                <w:sz w:val="20"/>
              </w:rPr>
              <w:t xml:space="preserve"> Ashfield District Council</w:t>
            </w:r>
            <w:r w:rsidR="005C1DB7">
              <w:rPr>
                <w:rFonts w:cs="Arial"/>
                <w:sz w:val="20"/>
              </w:rPr>
              <w:t>.</w:t>
            </w:r>
          </w:p>
          <w:p w14:paraId="6EAC6CDF" w14:textId="77777777" w:rsidR="0046089F" w:rsidRDefault="0046089F" w:rsidP="00874A98">
            <w:pPr>
              <w:keepNext w:val="0"/>
              <w:numPr>
                <w:ilvl w:val="0"/>
                <w:numId w:val="238"/>
              </w:numPr>
              <w:spacing w:before="0"/>
              <w:contextualSpacing/>
              <w:jc w:val="left"/>
              <w:rPr>
                <w:sz w:val="20"/>
                <w:szCs w:val="20"/>
              </w:rPr>
            </w:pPr>
            <w:r w:rsidRPr="00985BCC">
              <w:rPr>
                <w:sz w:val="20"/>
                <w:szCs w:val="20"/>
              </w:rPr>
              <w:t xml:space="preserve">A Biodiversity Net Gain Framework for Nottinghamshire and Nottingham, 2023. BNG Working Group for Nottinghamshire and Nottingham. </w:t>
            </w:r>
          </w:p>
          <w:p w14:paraId="29B38859" w14:textId="77777777" w:rsidR="005C1DB7" w:rsidRDefault="005C1DB7" w:rsidP="00874A98">
            <w:pPr>
              <w:keepNext w:val="0"/>
              <w:numPr>
                <w:ilvl w:val="0"/>
                <w:numId w:val="238"/>
              </w:numPr>
              <w:spacing w:before="0"/>
              <w:contextualSpacing/>
              <w:jc w:val="left"/>
              <w:rPr>
                <w:sz w:val="20"/>
                <w:szCs w:val="20"/>
              </w:rPr>
            </w:pPr>
            <w:r>
              <w:rPr>
                <w:sz w:val="20"/>
                <w:szCs w:val="20"/>
              </w:rPr>
              <w:t>Ashfield Habitat Regulations Assessment, 2023. Lepus Consulting.</w:t>
            </w:r>
          </w:p>
          <w:p w14:paraId="4078DA4D" w14:textId="23045804" w:rsidR="005C1DB7" w:rsidRPr="00985BCC" w:rsidRDefault="005C1DB7" w:rsidP="00874A98">
            <w:pPr>
              <w:keepNext w:val="0"/>
              <w:numPr>
                <w:ilvl w:val="0"/>
                <w:numId w:val="238"/>
              </w:numPr>
              <w:spacing w:before="0"/>
              <w:contextualSpacing/>
              <w:jc w:val="left"/>
              <w:rPr>
                <w:sz w:val="20"/>
                <w:szCs w:val="20"/>
              </w:rPr>
            </w:pPr>
            <w:r>
              <w:rPr>
                <w:sz w:val="20"/>
                <w:szCs w:val="20"/>
              </w:rPr>
              <w:t xml:space="preserve">Ashfield Developer Guide to Biodiversity and Nature Conservation, 2022. Ashfield District Council. </w:t>
            </w:r>
          </w:p>
        </w:tc>
      </w:tr>
      <w:tr w:rsidR="006157E6" w:rsidRPr="006157E6" w14:paraId="0E8C8311" w14:textId="77777777" w:rsidTr="006157E6">
        <w:tc>
          <w:tcPr>
            <w:tcW w:w="2243" w:type="dxa"/>
          </w:tcPr>
          <w:p w14:paraId="0D645733" w14:textId="77777777" w:rsidR="006157E6" w:rsidRPr="006157E6" w:rsidRDefault="006157E6" w:rsidP="000032A9">
            <w:pPr>
              <w:keepNext w:val="0"/>
              <w:spacing w:before="0"/>
              <w:jc w:val="left"/>
              <w:rPr>
                <w:color w:val="auto"/>
                <w:sz w:val="20"/>
                <w:szCs w:val="20"/>
              </w:rPr>
            </w:pPr>
            <w:r w:rsidRPr="006157E6">
              <w:rPr>
                <w:color w:val="auto"/>
                <w:sz w:val="20"/>
                <w:szCs w:val="20"/>
              </w:rPr>
              <w:t xml:space="preserve">National Planning Policy &amp; Guidance </w:t>
            </w:r>
          </w:p>
        </w:tc>
        <w:tc>
          <w:tcPr>
            <w:tcW w:w="7375" w:type="dxa"/>
          </w:tcPr>
          <w:p w14:paraId="5D71E85D" w14:textId="5DB8722C" w:rsidR="006157E6" w:rsidRPr="00985BCC" w:rsidRDefault="006157E6" w:rsidP="00874A98">
            <w:pPr>
              <w:keepNext w:val="0"/>
              <w:numPr>
                <w:ilvl w:val="0"/>
                <w:numId w:val="239"/>
              </w:numPr>
              <w:spacing w:before="0"/>
              <w:contextualSpacing/>
              <w:jc w:val="left"/>
              <w:rPr>
                <w:sz w:val="20"/>
                <w:szCs w:val="20"/>
              </w:rPr>
            </w:pPr>
            <w:r w:rsidRPr="00985BCC">
              <w:rPr>
                <w:sz w:val="20"/>
                <w:szCs w:val="20"/>
              </w:rPr>
              <w:t>NPPF 202</w:t>
            </w:r>
            <w:r w:rsidR="004173E0" w:rsidRPr="00985BCC">
              <w:rPr>
                <w:sz w:val="20"/>
                <w:szCs w:val="20"/>
              </w:rPr>
              <w:t>3</w:t>
            </w:r>
            <w:r w:rsidRPr="00985BCC">
              <w:rPr>
                <w:sz w:val="20"/>
                <w:szCs w:val="20"/>
              </w:rPr>
              <w:t>, Part 2: Achieving sustainable development</w:t>
            </w:r>
          </w:p>
          <w:p w14:paraId="75EC1165" w14:textId="2902E584" w:rsidR="006157E6" w:rsidRPr="00985BCC" w:rsidRDefault="006157E6" w:rsidP="00874A98">
            <w:pPr>
              <w:keepNext w:val="0"/>
              <w:numPr>
                <w:ilvl w:val="0"/>
                <w:numId w:val="239"/>
              </w:numPr>
              <w:spacing w:before="0"/>
              <w:contextualSpacing/>
              <w:jc w:val="left"/>
              <w:rPr>
                <w:sz w:val="20"/>
                <w:szCs w:val="20"/>
              </w:rPr>
            </w:pPr>
            <w:r w:rsidRPr="00985BCC">
              <w:rPr>
                <w:sz w:val="20"/>
                <w:szCs w:val="20"/>
              </w:rPr>
              <w:t>NPPF 202</w:t>
            </w:r>
            <w:r w:rsidR="004173E0" w:rsidRPr="00985BCC">
              <w:rPr>
                <w:sz w:val="20"/>
                <w:szCs w:val="20"/>
              </w:rPr>
              <w:t>3</w:t>
            </w:r>
            <w:r w:rsidRPr="00985BCC">
              <w:rPr>
                <w:sz w:val="20"/>
                <w:szCs w:val="20"/>
              </w:rPr>
              <w:t>, Part 15: Conserving and enhancing the natural environment</w:t>
            </w:r>
          </w:p>
          <w:p w14:paraId="7C64592E" w14:textId="3189E7D4" w:rsidR="006157E6" w:rsidRPr="00985BCC" w:rsidRDefault="006157E6" w:rsidP="00874A98">
            <w:pPr>
              <w:keepNext w:val="0"/>
              <w:numPr>
                <w:ilvl w:val="0"/>
                <w:numId w:val="239"/>
              </w:numPr>
              <w:spacing w:before="0"/>
              <w:contextualSpacing/>
              <w:jc w:val="left"/>
              <w:rPr>
                <w:sz w:val="20"/>
                <w:szCs w:val="20"/>
              </w:rPr>
            </w:pPr>
            <w:r w:rsidRPr="00985BCC">
              <w:rPr>
                <w:sz w:val="20"/>
                <w:szCs w:val="20"/>
              </w:rPr>
              <w:t xml:space="preserve">Planning Practice Guidance: Open space, sports and recreational facilities, public rights of ways and local green space as of </w:t>
            </w:r>
            <w:r w:rsidR="00A86E75" w:rsidRPr="00985BCC">
              <w:rPr>
                <w:sz w:val="20"/>
                <w:szCs w:val="20"/>
              </w:rPr>
              <w:t>March 2014</w:t>
            </w:r>
            <w:r w:rsidRPr="00985BCC">
              <w:rPr>
                <w:sz w:val="20"/>
                <w:szCs w:val="20"/>
              </w:rPr>
              <w:t>.</w:t>
            </w:r>
          </w:p>
          <w:p w14:paraId="79F33DE1" w14:textId="451AD810" w:rsidR="006157E6" w:rsidRPr="00985BCC" w:rsidRDefault="006157E6" w:rsidP="00874A98">
            <w:pPr>
              <w:keepNext w:val="0"/>
              <w:numPr>
                <w:ilvl w:val="0"/>
                <w:numId w:val="239"/>
              </w:numPr>
              <w:spacing w:before="0"/>
              <w:contextualSpacing/>
              <w:jc w:val="left"/>
              <w:rPr>
                <w:sz w:val="20"/>
                <w:szCs w:val="20"/>
              </w:rPr>
            </w:pPr>
            <w:r w:rsidRPr="00985BCC">
              <w:rPr>
                <w:sz w:val="20"/>
                <w:szCs w:val="20"/>
              </w:rPr>
              <w:t xml:space="preserve">Planning Practice Guidance: Natural environment as of </w:t>
            </w:r>
            <w:r w:rsidR="00A86E75" w:rsidRPr="00985BCC">
              <w:rPr>
                <w:sz w:val="20"/>
                <w:szCs w:val="20"/>
              </w:rPr>
              <w:t>July 2019.</w:t>
            </w:r>
          </w:p>
          <w:p w14:paraId="30BE45E7" w14:textId="0399E032" w:rsidR="0049758C" w:rsidRPr="00985BCC" w:rsidRDefault="0049758C" w:rsidP="00874A98">
            <w:pPr>
              <w:keepNext w:val="0"/>
              <w:numPr>
                <w:ilvl w:val="0"/>
                <w:numId w:val="239"/>
              </w:numPr>
              <w:spacing w:before="0"/>
              <w:contextualSpacing/>
              <w:jc w:val="left"/>
              <w:rPr>
                <w:sz w:val="20"/>
                <w:szCs w:val="20"/>
              </w:rPr>
            </w:pPr>
            <w:r w:rsidRPr="00985BCC">
              <w:rPr>
                <w:rFonts w:cs="Arial"/>
                <w:sz w:val="20"/>
              </w:rPr>
              <w:t>Natural England’s Green Infrastructure Framework – Principles and Standards for England 2022</w:t>
            </w:r>
          </w:p>
        </w:tc>
      </w:tr>
    </w:tbl>
    <w:p w14:paraId="5977551A" w14:textId="77777777" w:rsidR="006157E6" w:rsidRPr="006157E6" w:rsidRDefault="006157E6" w:rsidP="006157E6">
      <w:pPr>
        <w:keepNext w:val="0"/>
        <w:autoSpaceDE w:val="0"/>
        <w:autoSpaceDN w:val="0"/>
        <w:adjustRightInd w:val="0"/>
        <w:spacing w:before="0"/>
        <w:ind w:left="525"/>
        <w:rPr>
          <w:rFonts w:eastAsia="Arial" w:cs="Arial"/>
          <w:spacing w:val="-1"/>
        </w:rPr>
      </w:pPr>
    </w:p>
    <w:p w14:paraId="1AB5483E" w14:textId="34362238" w:rsidR="00DA17F4" w:rsidRPr="000F6F8D" w:rsidRDefault="00DA17F4" w:rsidP="000F6F8D">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6157E6">
        <w:rPr>
          <w:rFonts w:eastAsia="Arial" w:cs="Arial"/>
          <w:spacing w:val="-1"/>
        </w:rPr>
        <w:t xml:space="preserve">Planning applications should </w:t>
      </w:r>
      <w:r w:rsidR="000F6F8D" w:rsidRPr="006157E6">
        <w:rPr>
          <w:rFonts w:eastAsia="Arial" w:cs="Arial"/>
          <w:spacing w:val="-1"/>
        </w:rPr>
        <w:t>consider</w:t>
      </w:r>
      <w:r w:rsidRPr="006157E6">
        <w:rPr>
          <w:rFonts w:eastAsia="Arial" w:cs="Arial"/>
          <w:spacing w:val="-1"/>
        </w:rPr>
        <w:t xml:space="preserve"> at an early stage, the </w:t>
      </w:r>
      <w:r w:rsidR="00F25E41">
        <w:rPr>
          <w:rFonts w:eastAsia="Arial" w:cs="Arial"/>
          <w:spacing w:val="-1"/>
        </w:rPr>
        <w:t xml:space="preserve">Local Plan </w:t>
      </w:r>
      <w:r w:rsidRPr="006157E6">
        <w:rPr>
          <w:rFonts w:eastAsia="Arial" w:cs="Arial"/>
          <w:spacing w:val="-1"/>
        </w:rPr>
        <w:t>evidence base for green</w:t>
      </w:r>
      <w:r w:rsidR="00252D26" w:rsidRPr="00252D26">
        <w:rPr>
          <w:rFonts w:cs="Arial"/>
          <w:color w:val="2E74B5" w:themeColor="accent5" w:themeShade="BF"/>
          <w:szCs w:val="24"/>
        </w:rPr>
        <w:t xml:space="preserve"> and blue</w:t>
      </w:r>
      <w:r w:rsidRPr="006157E6">
        <w:rPr>
          <w:rFonts w:eastAsia="Arial" w:cs="Arial"/>
          <w:spacing w:val="-1"/>
        </w:rPr>
        <w:t xml:space="preserve"> infrastructure and biodiversity</w:t>
      </w:r>
      <w:r w:rsidR="000F6F8D">
        <w:rPr>
          <w:rFonts w:eastAsia="Arial" w:cs="Arial"/>
          <w:spacing w:val="-1"/>
        </w:rPr>
        <w:t xml:space="preserve">, as well as </w:t>
      </w:r>
      <w:r w:rsidR="000F6F8D" w:rsidRPr="006157E6">
        <w:rPr>
          <w:rFonts w:eastAsia="Arial" w:cs="Arial"/>
          <w:spacing w:val="-1"/>
        </w:rPr>
        <w:t xml:space="preserve">other relevant </w:t>
      </w:r>
      <w:r w:rsidR="00F25E41">
        <w:rPr>
          <w:rFonts w:eastAsia="Arial" w:cs="Arial"/>
          <w:spacing w:val="-1"/>
        </w:rPr>
        <w:t>information</w:t>
      </w:r>
      <w:r w:rsidR="000F6F8D">
        <w:rPr>
          <w:rFonts w:eastAsia="Arial" w:cs="Arial"/>
          <w:spacing w:val="-1"/>
        </w:rPr>
        <w:t xml:space="preserve"> and </w:t>
      </w:r>
      <w:r w:rsidR="000F6F8D" w:rsidRPr="006157E6">
        <w:rPr>
          <w:rFonts w:eastAsia="Arial" w:cs="Arial"/>
          <w:spacing w:val="-1"/>
        </w:rPr>
        <w:t>maps provided by the Environment Agency and Natural England.</w:t>
      </w:r>
      <w:r w:rsidR="000F6F8D">
        <w:rPr>
          <w:rFonts w:eastAsia="Arial" w:cs="Arial"/>
          <w:spacing w:val="-1"/>
        </w:rPr>
        <w:t xml:space="preserve">  Of particular importance is the Council’s Developer Guide to Biodiversity and Nature Conservation</w:t>
      </w:r>
      <w:r w:rsidR="00F25E41">
        <w:rPr>
          <w:rStyle w:val="FootnoteReference"/>
          <w:rFonts w:eastAsia="Arial" w:cs="Arial"/>
          <w:spacing w:val="-1"/>
        </w:rPr>
        <w:footnoteReference w:id="85"/>
      </w:r>
      <w:r w:rsidR="000F6F8D">
        <w:rPr>
          <w:rFonts w:eastAsia="Arial" w:cs="Arial"/>
          <w:spacing w:val="-1"/>
        </w:rPr>
        <w:t xml:space="preserve"> 2022, which explains how the Council will aim to secure proportionate and appropriate biodiversity net gain in the determination of planning </w:t>
      </w:r>
      <w:r w:rsidR="00F25E41">
        <w:rPr>
          <w:rFonts w:eastAsia="Arial" w:cs="Arial"/>
          <w:spacing w:val="-1"/>
        </w:rPr>
        <w:t>applications and</w:t>
      </w:r>
      <w:r w:rsidR="000F6F8D">
        <w:rPr>
          <w:rFonts w:eastAsia="Arial" w:cs="Arial"/>
          <w:spacing w:val="-1"/>
        </w:rPr>
        <w:t xml:space="preserve"> provides guidance on how to plan for biodiversity and nature conservation.  </w:t>
      </w:r>
    </w:p>
    <w:p w14:paraId="37A129E5"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2EE30C65" w14:textId="575F5409" w:rsidR="00F25E41" w:rsidRDefault="00F25E41" w:rsidP="00F25E41">
      <w:pPr>
        <w:keepNext w:val="0"/>
        <w:tabs>
          <w:tab w:val="num" w:pos="851"/>
        </w:tabs>
        <w:autoSpaceDE w:val="0"/>
        <w:autoSpaceDN w:val="0"/>
        <w:adjustRightInd w:val="0"/>
        <w:spacing w:before="0"/>
        <w:ind w:left="851"/>
        <w:rPr>
          <w:rFonts w:eastAsia="Arial" w:cs="Arial"/>
          <w:b/>
          <w:bCs/>
          <w:spacing w:val="-1"/>
        </w:rPr>
      </w:pPr>
    </w:p>
    <w:p w14:paraId="3CD118F3" w14:textId="081478F2" w:rsidR="00DA17F4" w:rsidRDefault="00F25E41" w:rsidP="0090254E">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DA17F4" w:rsidRPr="00DA17F4">
        <w:rPr>
          <w:rFonts w:eastAsia="Arial" w:cs="Arial"/>
          <w:b/>
          <w:bCs/>
          <w:spacing w:val="-1"/>
        </w:rPr>
        <w:t xml:space="preserve">Green </w:t>
      </w:r>
      <w:r w:rsidR="00252D26" w:rsidRPr="00252D26">
        <w:rPr>
          <w:rFonts w:cs="Arial"/>
          <w:color w:val="2E74B5" w:themeColor="accent5" w:themeShade="BF"/>
          <w:szCs w:val="24"/>
        </w:rPr>
        <w:t xml:space="preserve">and </w:t>
      </w:r>
      <w:r w:rsidR="00AF213C">
        <w:rPr>
          <w:rFonts w:cs="Arial"/>
          <w:color w:val="2E74B5" w:themeColor="accent5" w:themeShade="BF"/>
          <w:szCs w:val="24"/>
        </w:rPr>
        <w:t>B</w:t>
      </w:r>
      <w:r w:rsidR="00252D26" w:rsidRPr="00252D26">
        <w:rPr>
          <w:rFonts w:cs="Arial"/>
          <w:color w:val="2E74B5" w:themeColor="accent5" w:themeShade="BF"/>
          <w:szCs w:val="24"/>
        </w:rPr>
        <w:t xml:space="preserve">lue </w:t>
      </w:r>
      <w:r w:rsidR="00DA17F4" w:rsidRPr="00DA17F4">
        <w:rPr>
          <w:rFonts w:eastAsia="Arial" w:cs="Arial"/>
          <w:b/>
          <w:bCs/>
          <w:spacing w:val="-1"/>
        </w:rPr>
        <w:t>Infrastructure</w:t>
      </w:r>
    </w:p>
    <w:p w14:paraId="3CB6E530" w14:textId="5FBC012B" w:rsidR="00DA17F4" w:rsidRPr="00DA17F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Green</w:t>
      </w:r>
      <w:r w:rsidR="00252D26" w:rsidRPr="00252D26">
        <w:rPr>
          <w:rFonts w:cs="Arial"/>
          <w:color w:val="2E74B5" w:themeColor="accent5" w:themeShade="BF"/>
          <w:szCs w:val="24"/>
        </w:rPr>
        <w:t xml:space="preserve"> and blue</w:t>
      </w:r>
      <w:r w:rsidRPr="00DA17F4">
        <w:rPr>
          <w:rFonts w:eastAsia="Arial" w:cs="Arial"/>
          <w:spacing w:val="-1"/>
        </w:rPr>
        <w:t xml:space="preserve"> Infrastructure comprises networks of multi-functional green space, including green stepping stones, which sit within and contribute to, the type of high quality natural and built environment required to deliver sustainable communities. In </w:t>
      </w:r>
      <w:r w:rsidRPr="00DA17F4">
        <w:rPr>
          <w:rFonts w:eastAsia="Arial" w:cs="Arial"/>
          <w:spacing w:val="-1"/>
        </w:rPr>
        <w:lastRenderedPageBreak/>
        <w:t xml:space="preserve">the context of the </w:t>
      </w:r>
      <w:r w:rsidR="009D1815" w:rsidRPr="00DA17F4">
        <w:rPr>
          <w:rFonts w:eastAsia="Arial" w:cs="Arial"/>
          <w:spacing w:val="-1"/>
        </w:rPr>
        <w:t>Policy,</w:t>
      </w:r>
      <w:r w:rsidRPr="00DA17F4">
        <w:rPr>
          <w:rFonts w:eastAsia="Arial" w:cs="Arial"/>
          <w:spacing w:val="-1"/>
        </w:rPr>
        <w:t xml:space="preserve"> it includes what is sometimes referred to as blue infrastructure; that is, the river and water environment. Development should seek to create, through new and improved green </w:t>
      </w:r>
      <w:r w:rsidR="00252D26" w:rsidRPr="00252D26">
        <w:rPr>
          <w:rFonts w:cs="Arial"/>
          <w:color w:val="2E74B5" w:themeColor="accent5" w:themeShade="BF"/>
          <w:szCs w:val="24"/>
        </w:rPr>
        <w:t xml:space="preserve">and blue </w:t>
      </w:r>
      <w:r w:rsidRPr="00DA17F4">
        <w:rPr>
          <w:rFonts w:eastAsia="Arial" w:cs="Arial"/>
          <w:spacing w:val="-1"/>
        </w:rPr>
        <w:t xml:space="preserve">infrastructure, opportunities to improve flood risk management and to deliver multiple environmental benefits to assist in meeting the aims and objectives of the England Biodiversity Strategy and Water Framework Directive (WFD). </w:t>
      </w:r>
    </w:p>
    <w:p w14:paraId="4F834425"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79DA13E2" w14:textId="057E471C" w:rsidR="00DA17F4" w:rsidRPr="002E765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With climate change and the use of Sustainable Drainage Systems, water will need to be taken increasingly into account within the wider green</w:t>
      </w:r>
      <w:r w:rsidR="00252D26" w:rsidRPr="00252D26">
        <w:rPr>
          <w:rFonts w:cs="Arial"/>
          <w:color w:val="2E74B5" w:themeColor="accent5" w:themeShade="BF"/>
          <w:szCs w:val="24"/>
        </w:rPr>
        <w:t xml:space="preserve"> and blue</w:t>
      </w:r>
      <w:r w:rsidRPr="00DA17F4">
        <w:rPr>
          <w:rFonts w:eastAsia="Arial" w:cs="Arial"/>
          <w:spacing w:val="-1"/>
        </w:rPr>
        <w:t xml:space="preserve"> infrastructure environment. Well</w:t>
      </w:r>
      <w:r w:rsidR="00E010E5">
        <w:rPr>
          <w:rFonts w:eastAsia="Arial" w:cs="Arial"/>
          <w:spacing w:val="-1"/>
        </w:rPr>
        <w:t>-</w:t>
      </w:r>
      <w:r w:rsidRPr="00DA17F4">
        <w:rPr>
          <w:rFonts w:eastAsia="Arial" w:cs="Arial"/>
          <w:spacing w:val="-1"/>
        </w:rPr>
        <w:t xml:space="preserve">designed development </w:t>
      </w:r>
      <w:r w:rsidRPr="002E7654">
        <w:rPr>
          <w:rFonts w:eastAsia="Arial" w:cs="Arial"/>
          <w:spacing w:val="-1"/>
        </w:rPr>
        <w:t xml:space="preserve">which takes water into account can potentially result in multiple benefits including </w:t>
      </w:r>
      <w:r w:rsidR="003940FC" w:rsidRPr="002E7654">
        <w:rPr>
          <w:rFonts w:eastAsia="Arial" w:cs="Arial"/>
          <w:spacing w:val="-1"/>
        </w:rPr>
        <w:t xml:space="preserve">increasing biodiversity and reducing flood risk. </w:t>
      </w:r>
    </w:p>
    <w:p w14:paraId="3E39BA24"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47A6C66D" w14:textId="057F9130" w:rsidR="00DA17F4" w:rsidRPr="00DA17F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 xml:space="preserve">Delivering, protecting and enhancing these Green </w:t>
      </w:r>
      <w:r w:rsidR="00AF213C" w:rsidRPr="00F449C8">
        <w:rPr>
          <w:rFonts w:eastAsia="Arial" w:cs="Arial"/>
          <w:color w:val="2E74B5" w:themeColor="accent5" w:themeShade="BF"/>
        </w:rPr>
        <w:t xml:space="preserve">and blue </w:t>
      </w:r>
      <w:r w:rsidRPr="00DA17F4">
        <w:rPr>
          <w:rFonts w:eastAsia="Arial" w:cs="Arial"/>
          <w:spacing w:val="-1"/>
        </w:rPr>
        <w:t xml:space="preserve">Infrastructure networks requires the creation of new assets to link with river corridors, woodlands, nature reserves, urban green spaces, historic sites and other existing assets.  Green </w:t>
      </w:r>
      <w:r w:rsidR="00AF213C" w:rsidRPr="00F449C8">
        <w:rPr>
          <w:rFonts w:eastAsia="Arial" w:cs="Arial"/>
          <w:color w:val="2E74B5" w:themeColor="accent5" w:themeShade="BF"/>
        </w:rPr>
        <w:t xml:space="preserve">and blue </w:t>
      </w:r>
      <w:r w:rsidRPr="00DA17F4">
        <w:rPr>
          <w:rFonts w:eastAsia="Arial" w:cs="Arial"/>
          <w:spacing w:val="-1"/>
        </w:rPr>
        <w:t xml:space="preserve">Infrastructure planning involves the identification of strategic networks of existing and proposed green </w:t>
      </w:r>
      <w:r w:rsidR="00AF213C" w:rsidRPr="00F449C8">
        <w:rPr>
          <w:rFonts w:eastAsia="Arial" w:cs="Arial"/>
          <w:color w:val="2E74B5" w:themeColor="accent5" w:themeShade="BF"/>
        </w:rPr>
        <w:t xml:space="preserve">and blue </w:t>
      </w:r>
      <w:r w:rsidRPr="00DA17F4">
        <w:rPr>
          <w:rFonts w:eastAsia="Arial" w:cs="Arial"/>
          <w:spacing w:val="-1"/>
        </w:rPr>
        <w:t xml:space="preserve">spaces or corridors, to provide benefit to both communities and wildlife. Through the management, enhancement and extension of these networks, multi-functional benefits can be realised for local communities, businesses, visitors and the environment. In some </w:t>
      </w:r>
      <w:r w:rsidR="009D1815" w:rsidRPr="00DA17F4">
        <w:rPr>
          <w:rFonts w:eastAsia="Arial" w:cs="Arial"/>
          <w:spacing w:val="-1"/>
        </w:rPr>
        <w:t>cases,</w:t>
      </w:r>
      <w:r w:rsidRPr="00DA17F4">
        <w:rPr>
          <w:rFonts w:eastAsia="Arial" w:cs="Arial"/>
          <w:spacing w:val="-1"/>
        </w:rPr>
        <w:t xml:space="preserve"> there may be a greater value for assets being </w:t>
      </w:r>
      <w:proofErr w:type="spellStart"/>
      <w:r w:rsidRPr="00DA17F4">
        <w:rPr>
          <w:rFonts w:eastAsia="Arial" w:cs="Arial"/>
          <w:spacing w:val="-1"/>
        </w:rPr>
        <w:t>uni</w:t>
      </w:r>
      <w:proofErr w:type="spellEnd"/>
      <w:r w:rsidRPr="00DA17F4">
        <w:rPr>
          <w:rFonts w:eastAsia="Arial" w:cs="Arial"/>
          <w:spacing w:val="-1"/>
        </w:rPr>
        <w:t>-functional, such as where the highest priority is to protect and conserve sensitive species and habitats that might be damaged by recreational disturbance.</w:t>
      </w:r>
    </w:p>
    <w:p w14:paraId="64172B26"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67DF2BB1" w14:textId="5681678A" w:rsidR="00DA17F4" w:rsidRPr="00DA17F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 xml:space="preserve">The local approach to Green </w:t>
      </w:r>
      <w:r w:rsidR="00AF213C" w:rsidRPr="00F449C8">
        <w:rPr>
          <w:rFonts w:eastAsia="Arial" w:cs="Arial"/>
          <w:color w:val="2E74B5" w:themeColor="accent5" w:themeShade="BF"/>
        </w:rPr>
        <w:t xml:space="preserve">and blue </w:t>
      </w:r>
      <w:r w:rsidRPr="00DA17F4">
        <w:rPr>
          <w:rFonts w:eastAsia="Arial" w:cs="Arial"/>
          <w:spacing w:val="-1"/>
        </w:rPr>
        <w:t xml:space="preserve">Infrastructure and Biodiversity is set out in the Council’s Green </w:t>
      </w:r>
      <w:r w:rsidR="003940FC" w:rsidRPr="002E7654">
        <w:rPr>
          <w:rFonts w:eastAsia="Arial" w:cs="Arial"/>
          <w:spacing w:val="-1"/>
        </w:rPr>
        <w:t xml:space="preserve">and Blue </w:t>
      </w:r>
      <w:r w:rsidRPr="002E7654">
        <w:rPr>
          <w:rFonts w:eastAsia="Arial" w:cs="Arial"/>
          <w:spacing w:val="-1"/>
        </w:rPr>
        <w:t xml:space="preserve">Infrastructure and Biodiversity </w:t>
      </w:r>
      <w:r w:rsidR="003940FC" w:rsidRPr="002E7654">
        <w:rPr>
          <w:rFonts w:eastAsia="Arial" w:cs="Arial"/>
          <w:spacing w:val="-1"/>
        </w:rPr>
        <w:t>Strategy</w:t>
      </w:r>
      <w:r w:rsidR="00903178">
        <w:rPr>
          <w:rFonts w:eastAsia="Arial" w:cs="Arial"/>
          <w:color w:val="4472C4" w:themeColor="accent1"/>
          <w:spacing w:val="-1"/>
        </w:rPr>
        <w:t>.</w:t>
      </w:r>
      <w:r w:rsidRPr="00DA17F4">
        <w:rPr>
          <w:rFonts w:eastAsia="Arial" w:cs="Arial"/>
          <w:spacing w:val="-1"/>
        </w:rPr>
        <w:t xml:space="preserve"> This examines the connectivity of green</w:t>
      </w:r>
      <w:r w:rsidR="00AF213C" w:rsidRPr="00AF213C">
        <w:rPr>
          <w:rFonts w:eastAsia="Arial" w:cs="Arial"/>
          <w:color w:val="2E74B5" w:themeColor="accent5" w:themeShade="BF"/>
        </w:rPr>
        <w:t xml:space="preserve"> </w:t>
      </w:r>
      <w:r w:rsidR="00AF213C" w:rsidRPr="00F449C8">
        <w:rPr>
          <w:rFonts w:eastAsia="Arial" w:cs="Arial"/>
          <w:color w:val="2E74B5" w:themeColor="accent5" w:themeShade="BF"/>
        </w:rPr>
        <w:t>and blue</w:t>
      </w:r>
      <w:r w:rsidRPr="00DA17F4">
        <w:rPr>
          <w:rFonts w:eastAsia="Arial" w:cs="Arial"/>
          <w:spacing w:val="-1"/>
        </w:rPr>
        <w:t xml:space="preserve"> spaces at a local level and identifies green</w:t>
      </w:r>
      <w:r w:rsidR="00AF213C" w:rsidRPr="00AF213C">
        <w:rPr>
          <w:rFonts w:eastAsia="Arial" w:cs="Arial"/>
          <w:color w:val="2E74B5" w:themeColor="accent5" w:themeShade="BF"/>
        </w:rPr>
        <w:t xml:space="preserve"> </w:t>
      </w:r>
      <w:r w:rsidR="00AF213C" w:rsidRPr="00F449C8">
        <w:rPr>
          <w:rFonts w:eastAsia="Arial" w:cs="Arial"/>
          <w:color w:val="2E74B5" w:themeColor="accent5" w:themeShade="BF"/>
        </w:rPr>
        <w:t>and blue</w:t>
      </w:r>
      <w:r w:rsidRPr="00DA17F4">
        <w:rPr>
          <w:rFonts w:eastAsia="Arial" w:cs="Arial"/>
          <w:spacing w:val="-1"/>
        </w:rPr>
        <w:t xml:space="preserve"> infrastructure network opportunities and ensures that the </w:t>
      </w:r>
      <w:r w:rsidR="00AF213C">
        <w:rPr>
          <w:rFonts w:eastAsia="Arial" w:cs="Arial"/>
          <w:spacing w:val="-1"/>
        </w:rPr>
        <w:t>g</w:t>
      </w:r>
      <w:r w:rsidRPr="00DA17F4">
        <w:rPr>
          <w:rFonts w:eastAsia="Arial" w:cs="Arial"/>
          <w:spacing w:val="-1"/>
        </w:rPr>
        <w:t xml:space="preserve">reen </w:t>
      </w:r>
      <w:r w:rsidR="00AF213C" w:rsidRPr="00F449C8">
        <w:rPr>
          <w:rFonts w:eastAsia="Arial" w:cs="Arial"/>
          <w:color w:val="2E74B5" w:themeColor="accent5" w:themeShade="BF"/>
        </w:rPr>
        <w:t xml:space="preserve">and blue </w:t>
      </w:r>
      <w:r w:rsidR="00AF213C">
        <w:rPr>
          <w:rFonts w:eastAsia="Arial" w:cs="Arial"/>
          <w:color w:val="2E74B5" w:themeColor="accent5" w:themeShade="BF"/>
        </w:rPr>
        <w:t>i</w:t>
      </w:r>
      <w:r w:rsidRPr="00DA17F4">
        <w:rPr>
          <w:rFonts w:eastAsia="Arial" w:cs="Arial"/>
          <w:spacing w:val="-1"/>
        </w:rPr>
        <w:t>nfrastructure network is protected and enhanced.</w:t>
      </w:r>
    </w:p>
    <w:p w14:paraId="779C0BCD"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387DA3E5" w14:textId="6C499907" w:rsidR="00DA17F4" w:rsidRPr="00125B10" w:rsidRDefault="00DA17F4">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125B10">
        <w:rPr>
          <w:rFonts w:eastAsia="Arial" w:cs="Arial"/>
          <w:spacing w:val="-1"/>
        </w:rPr>
        <w:t>New residential development will place additional demands on current Green</w:t>
      </w:r>
      <w:r w:rsidR="00AF213C" w:rsidRPr="00125B10">
        <w:rPr>
          <w:rFonts w:eastAsia="Arial" w:cs="Arial"/>
          <w:color w:val="2E74B5" w:themeColor="accent5" w:themeShade="BF"/>
        </w:rPr>
        <w:t xml:space="preserve"> and blue</w:t>
      </w:r>
      <w:r w:rsidRPr="00125B10">
        <w:rPr>
          <w:rFonts w:eastAsia="Arial" w:cs="Arial"/>
          <w:spacing w:val="-1"/>
        </w:rPr>
        <w:t xml:space="preserve"> Infrastructure assets and generate demands for new assets. In some </w:t>
      </w:r>
      <w:r w:rsidR="009D1815" w:rsidRPr="00125B10">
        <w:rPr>
          <w:rFonts w:eastAsia="Arial" w:cs="Arial"/>
          <w:spacing w:val="-1"/>
        </w:rPr>
        <w:t>cases,</w:t>
      </w:r>
      <w:r w:rsidRPr="00125B10">
        <w:rPr>
          <w:rFonts w:eastAsia="Arial" w:cs="Arial"/>
          <w:spacing w:val="-1"/>
        </w:rPr>
        <w:t xml:space="preserve"> new residential development may impact directly on Green</w:t>
      </w:r>
      <w:r w:rsidR="00AF213C" w:rsidRPr="00125B10">
        <w:rPr>
          <w:rFonts w:eastAsia="Arial" w:cs="Arial"/>
          <w:color w:val="2E74B5" w:themeColor="accent5" w:themeShade="BF"/>
        </w:rPr>
        <w:t xml:space="preserve"> and blue</w:t>
      </w:r>
      <w:r w:rsidR="00125B10" w:rsidRPr="00125B10">
        <w:rPr>
          <w:rFonts w:eastAsia="Arial" w:cs="Arial"/>
          <w:color w:val="2E74B5" w:themeColor="accent5" w:themeShade="BF"/>
        </w:rPr>
        <w:t xml:space="preserve"> </w:t>
      </w:r>
      <w:r w:rsidRPr="00125B10">
        <w:rPr>
          <w:rFonts w:eastAsia="Arial" w:cs="Arial"/>
          <w:spacing w:val="-1"/>
        </w:rPr>
        <w:t xml:space="preserve">Infrastructure corridors and assets. When considering a proposal for development, the need for development and the benefits it will bring to the area should be weighed against any negative impacts. This could include looking at whether the assets are surplus to requirements, whether the development will only impact on a small area of a major asset or corridor, or if a wider need exists for the development and there is no better location for it.  </w:t>
      </w:r>
    </w:p>
    <w:p w14:paraId="47055BBD"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339D2971" w14:textId="167D399B" w:rsidR="00DA17F4" w:rsidRPr="00DA17F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 xml:space="preserve">If the </w:t>
      </w:r>
      <w:proofErr w:type="gramStart"/>
      <w:r w:rsidRPr="00DA17F4">
        <w:rPr>
          <w:rFonts w:eastAsia="Arial" w:cs="Arial"/>
          <w:spacing w:val="-1"/>
        </w:rPr>
        <w:t>benefits</w:t>
      </w:r>
      <w:proofErr w:type="gramEnd"/>
      <w:r w:rsidRPr="00DA17F4">
        <w:rPr>
          <w:rFonts w:eastAsia="Arial" w:cs="Arial"/>
          <w:spacing w:val="-1"/>
        </w:rPr>
        <w:t xml:space="preserve"> of proposed development outweighs adverse impacts, designs that minimise negative impacts will be sought. The form and nature of proposed mitigation, whether on or off-site, will depend on the context of the site and will be determined on a case-by-case basis, with reference to the Council’s </w:t>
      </w:r>
      <w:r w:rsidRPr="00C526A0">
        <w:rPr>
          <w:rFonts w:eastAsia="Arial" w:cs="Arial"/>
          <w:strike/>
          <w:spacing w:val="-1"/>
        </w:rPr>
        <w:t>Green Infrastructure and Biodiversity Technical Paper</w:t>
      </w:r>
      <w:r w:rsidRPr="00DA17F4">
        <w:rPr>
          <w:rFonts w:eastAsia="Arial" w:cs="Arial"/>
          <w:spacing w:val="-1"/>
        </w:rPr>
        <w:t xml:space="preserve"> </w:t>
      </w:r>
      <w:r w:rsidR="00C526A0" w:rsidRPr="00193309">
        <w:rPr>
          <w:rFonts w:eastAsia="Arial" w:cs="Arial"/>
          <w:color w:val="0070C0"/>
          <w:spacing w:val="-1"/>
        </w:rPr>
        <w:t>G</w:t>
      </w:r>
      <w:r w:rsidR="00CA4AAD" w:rsidRPr="00193309">
        <w:rPr>
          <w:rFonts w:eastAsia="Arial" w:cs="Arial"/>
          <w:color w:val="0070C0"/>
          <w:spacing w:val="-1"/>
        </w:rPr>
        <w:t>r</w:t>
      </w:r>
      <w:r w:rsidR="00C526A0" w:rsidRPr="00193309">
        <w:rPr>
          <w:rFonts w:eastAsia="Arial" w:cs="Arial"/>
          <w:color w:val="0070C0"/>
          <w:spacing w:val="-1"/>
        </w:rPr>
        <w:t>een &amp; Blue Infrastructure and Biodiversity Strategy 2023 – 2032</w:t>
      </w:r>
      <w:r w:rsidR="00C526A0" w:rsidRPr="00193309">
        <w:rPr>
          <w:rFonts w:eastAsia="Arial" w:cs="Arial"/>
          <w:color w:val="00B0F0"/>
          <w:spacing w:val="-1"/>
        </w:rPr>
        <w:t xml:space="preserve"> </w:t>
      </w:r>
      <w:r w:rsidRPr="00193309">
        <w:rPr>
          <w:rFonts w:eastAsia="Arial" w:cs="Arial"/>
          <w:spacing w:val="-1"/>
        </w:rPr>
        <w:t>and the Public Open</w:t>
      </w:r>
      <w:r w:rsidRPr="00DA17F4">
        <w:rPr>
          <w:rFonts w:eastAsia="Arial" w:cs="Arial"/>
          <w:spacing w:val="-1"/>
        </w:rPr>
        <w:t xml:space="preserve"> Space Strategy. This will </w:t>
      </w:r>
      <w:r w:rsidRPr="00DA17F4">
        <w:rPr>
          <w:rFonts w:eastAsia="Arial" w:cs="Arial"/>
          <w:spacing w:val="-1"/>
        </w:rPr>
        <w:lastRenderedPageBreak/>
        <w:t xml:space="preserve">ensure that new provision relates well to the overall </w:t>
      </w:r>
      <w:r w:rsidR="00AF213C">
        <w:rPr>
          <w:rFonts w:eastAsia="Arial" w:cs="Arial"/>
          <w:spacing w:val="-1"/>
        </w:rPr>
        <w:t>g</w:t>
      </w:r>
      <w:r w:rsidRPr="00DA17F4">
        <w:rPr>
          <w:rFonts w:eastAsia="Arial" w:cs="Arial"/>
          <w:spacing w:val="-1"/>
        </w:rPr>
        <w:t xml:space="preserve">reen </w:t>
      </w:r>
      <w:r w:rsidR="00AF213C" w:rsidRPr="00F449C8">
        <w:rPr>
          <w:rFonts w:eastAsia="Arial" w:cs="Arial"/>
          <w:color w:val="2E74B5" w:themeColor="accent5" w:themeShade="BF"/>
        </w:rPr>
        <w:t xml:space="preserve">and blue </w:t>
      </w:r>
      <w:r w:rsidR="00AF213C">
        <w:rPr>
          <w:rFonts w:eastAsia="Arial" w:cs="Arial"/>
          <w:spacing w:val="-1"/>
        </w:rPr>
        <w:t>in</w:t>
      </w:r>
      <w:r w:rsidRPr="00DA17F4">
        <w:rPr>
          <w:rFonts w:eastAsia="Arial" w:cs="Arial"/>
          <w:spacing w:val="-1"/>
        </w:rPr>
        <w:t xml:space="preserve">frastructure network, meets the locally adopted standards, and is suitable for the site. </w:t>
      </w:r>
    </w:p>
    <w:p w14:paraId="056C14BA"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1E63E43C" w14:textId="734971C7" w:rsidR="00DA17F4" w:rsidRDefault="0090254E" w:rsidP="0090254E">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DA17F4" w:rsidRPr="00DA17F4">
        <w:rPr>
          <w:rFonts w:eastAsia="Arial" w:cs="Arial"/>
          <w:b/>
          <w:bCs/>
          <w:spacing w:val="-1"/>
        </w:rPr>
        <w:t xml:space="preserve">Biodiversity </w:t>
      </w:r>
    </w:p>
    <w:p w14:paraId="7937A244" w14:textId="77777777" w:rsidR="00DA17F4" w:rsidRPr="00DA17F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 xml:space="preserve">Ashfield is recognised as one of the most biodiverse areas in Nottinghamshire, due largely to its varied geological context of Magnesian Limestone, Triassic Sandstone (to the east) and coal measures (to the west). It is an area heavily scarred by the industrial development of recent centuries, which has both damaged and fragmented habitats, while also creating new opportunities for wildlife in the form of disturbed and restored sites. </w:t>
      </w:r>
    </w:p>
    <w:p w14:paraId="66590E0D"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017CF29A" w14:textId="2FEA32E7" w:rsidR="00DA17F4" w:rsidRPr="00DA17F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 xml:space="preserve">The </w:t>
      </w:r>
      <w:proofErr w:type="gramStart"/>
      <w:r w:rsidRPr="00DA17F4">
        <w:rPr>
          <w:rFonts w:eastAsia="Arial" w:cs="Arial"/>
          <w:spacing w:val="-1"/>
        </w:rPr>
        <w:t>District</w:t>
      </w:r>
      <w:proofErr w:type="gramEnd"/>
      <w:r w:rsidRPr="00DA17F4">
        <w:rPr>
          <w:rFonts w:eastAsia="Arial" w:cs="Arial"/>
          <w:spacing w:val="-1"/>
        </w:rPr>
        <w:t xml:space="preserve"> supports a broad range of habitats, including heathland, ancient woodland </w:t>
      </w:r>
      <w:proofErr w:type="spellStart"/>
      <w:r w:rsidRPr="00DA17F4">
        <w:rPr>
          <w:rFonts w:eastAsia="Arial" w:cs="Arial"/>
          <w:spacing w:val="-1"/>
        </w:rPr>
        <w:t>dumbles</w:t>
      </w:r>
      <w:proofErr w:type="spellEnd"/>
      <w:r w:rsidRPr="00DA17F4">
        <w:rPr>
          <w:rFonts w:eastAsia="Arial" w:cs="Arial"/>
          <w:spacing w:val="-1"/>
        </w:rPr>
        <w:t xml:space="preserve">, calcareous grasslands (often on post-industrial sites) and fields rich in </w:t>
      </w:r>
      <w:r w:rsidR="009D1815" w:rsidRPr="00DA17F4">
        <w:rPr>
          <w:rFonts w:eastAsia="Arial" w:cs="Arial"/>
          <w:spacing w:val="-1"/>
        </w:rPr>
        <w:t>wildflowers</w:t>
      </w:r>
      <w:r w:rsidRPr="00DA17F4">
        <w:rPr>
          <w:rFonts w:eastAsia="Arial" w:cs="Arial"/>
          <w:spacing w:val="-1"/>
        </w:rPr>
        <w:t xml:space="preserve">. The east is characterised by small fields and streams, while the west and south contains large blocks of tree planting. The rivers and streams within the </w:t>
      </w:r>
      <w:proofErr w:type="gramStart"/>
      <w:r w:rsidRPr="00DA17F4">
        <w:rPr>
          <w:rFonts w:eastAsia="Arial" w:cs="Arial"/>
          <w:spacing w:val="-1"/>
        </w:rPr>
        <w:t>District</w:t>
      </w:r>
      <w:proofErr w:type="gramEnd"/>
      <w:r w:rsidRPr="00DA17F4">
        <w:rPr>
          <w:rFonts w:eastAsia="Arial" w:cs="Arial"/>
          <w:spacing w:val="-1"/>
        </w:rPr>
        <w:t xml:space="preserve"> provide habitat for significant populations of water vole and native crayfish. </w:t>
      </w:r>
    </w:p>
    <w:p w14:paraId="3173A44F"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3C73448A" w14:textId="4578AC02" w:rsidR="00DA17F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2B3F94">
        <w:rPr>
          <w:rFonts w:eastAsia="Arial" w:cs="Arial"/>
          <w:spacing w:val="-1"/>
        </w:rPr>
        <w:t>In Nottinghamshire, m</w:t>
      </w:r>
      <w:r w:rsidR="007556D5">
        <w:rPr>
          <w:rFonts w:eastAsia="Arial" w:cs="Arial"/>
          <w:spacing w:val="-1"/>
        </w:rPr>
        <w:t>any</w:t>
      </w:r>
      <w:r w:rsidRPr="002B3F94">
        <w:rPr>
          <w:rFonts w:eastAsia="Arial" w:cs="Arial"/>
          <w:spacing w:val="-1"/>
        </w:rPr>
        <w:t xml:space="preserve"> species have been lost during the last century, with many more species and habitats at risk. These losses can have severe repercussions for complex and often fragile ecosystems and key threats have been the intensification of agriculture and the pressures for built development. In</w:t>
      </w:r>
      <w:r w:rsidRPr="00DA17F4">
        <w:rPr>
          <w:rFonts w:eastAsia="Arial" w:cs="Arial"/>
          <w:spacing w:val="-1"/>
        </w:rPr>
        <w:t xml:space="preserve"> addition, climate change poses a significant </w:t>
      </w:r>
      <w:proofErr w:type="gramStart"/>
      <w:r w:rsidRPr="00DA17F4">
        <w:rPr>
          <w:rFonts w:eastAsia="Arial" w:cs="Arial"/>
          <w:spacing w:val="-1"/>
        </w:rPr>
        <w:t>threat</w:t>
      </w:r>
      <w:proofErr w:type="gramEnd"/>
      <w:r w:rsidRPr="00DA17F4">
        <w:rPr>
          <w:rFonts w:eastAsia="Arial" w:cs="Arial"/>
          <w:spacing w:val="-1"/>
        </w:rPr>
        <w:t xml:space="preserve"> and some species and habitats may be at risk of dying out unless they can keep pace with the impact of a changing climate, while others may suffer from increased competition for water resources. Avoiding fragmentation of habitats is likely to be significant in enabling wildlife to adapt to climate change. </w:t>
      </w:r>
    </w:p>
    <w:p w14:paraId="5090CD50" w14:textId="77777777" w:rsidR="00FA693F" w:rsidRPr="00FA693F" w:rsidRDefault="00FA693F" w:rsidP="00FA693F">
      <w:pPr>
        <w:keepNext w:val="0"/>
        <w:autoSpaceDE w:val="0"/>
        <w:autoSpaceDN w:val="0"/>
        <w:adjustRightInd w:val="0"/>
        <w:spacing w:before="0"/>
        <w:ind w:left="851"/>
        <w:rPr>
          <w:rFonts w:eastAsia="Arial" w:cs="Arial"/>
          <w:color w:val="4472C4" w:themeColor="accent1"/>
          <w:spacing w:val="-1"/>
        </w:rPr>
      </w:pPr>
    </w:p>
    <w:p w14:paraId="51FEBBCD" w14:textId="35272D91" w:rsidR="00DA17F4" w:rsidRDefault="0090254E" w:rsidP="0090254E">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DA17F4" w:rsidRPr="00DA17F4">
        <w:rPr>
          <w:rFonts w:eastAsia="Arial" w:cs="Arial"/>
          <w:b/>
          <w:bCs/>
          <w:spacing w:val="-1"/>
        </w:rPr>
        <w:t>Sites of Special Scientific Interest</w:t>
      </w:r>
    </w:p>
    <w:p w14:paraId="34778C2D" w14:textId="32175807" w:rsidR="00DA17F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 xml:space="preserve">Ashfield has nine Sites of Special Scientific Interest (SSSI), representing some of the County’s richest habitats and covering 92 hectares. These are spread across the area, and based on varied geology of limestone, coal measures and sandstone. SSSIs are protected by specific legislation which includes a requirement for positive management. </w:t>
      </w:r>
    </w:p>
    <w:p w14:paraId="4498D7DD" w14:textId="369E1287" w:rsidR="000B0235" w:rsidRDefault="000B0235" w:rsidP="000B0235">
      <w:pPr>
        <w:keepNext w:val="0"/>
        <w:autoSpaceDE w:val="0"/>
        <w:autoSpaceDN w:val="0"/>
        <w:adjustRightInd w:val="0"/>
        <w:spacing w:before="0"/>
        <w:rPr>
          <w:rFonts w:eastAsia="Arial" w:cs="Arial"/>
          <w:spacing w:val="-1"/>
        </w:rPr>
      </w:pPr>
    </w:p>
    <w:p w14:paraId="7EB26965" w14:textId="213E3146" w:rsidR="000B0235" w:rsidRDefault="000B0235" w:rsidP="000B0235">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Pr="00DA17F4">
        <w:rPr>
          <w:rFonts w:eastAsia="Arial" w:cs="Arial"/>
          <w:b/>
          <w:bCs/>
          <w:spacing w:val="-1"/>
        </w:rPr>
        <w:t>Local Nature Reserves</w:t>
      </w:r>
    </w:p>
    <w:p w14:paraId="1D824859" w14:textId="77777777" w:rsidR="000B0235" w:rsidRPr="00DA17F4" w:rsidRDefault="000B0235" w:rsidP="000B0235">
      <w:pPr>
        <w:keepNext w:val="0"/>
        <w:numPr>
          <w:ilvl w:val="1"/>
          <w:numId w:val="5"/>
        </w:numPr>
        <w:tabs>
          <w:tab w:val="clear" w:pos="525"/>
        </w:tabs>
        <w:autoSpaceDE w:val="0"/>
        <w:autoSpaceDN w:val="0"/>
        <w:adjustRightInd w:val="0"/>
        <w:spacing w:before="0"/>
        <w:ind w:left="851" w:hanging="851"/>
        <w:rPr>
          <w:rFonts w:eastAsia="Arial" w:cs="Arial"/>
          <w:spacing w:val="-1"/>
        </w:rPr>
      </w:pPr>
      <w:r w:rsidRPr="00DA17F4">
        <w:rPr>
          <w:rFonts w:eastAsia="Arial" w:cs="Arial"/>
          <w:spacing w:val="-1"/>
        </w:rPr>
        <w:t xml:space="preserve">Local Nature Reserves (LNR) are sites mainly under the control of the local authority, designated in consultation with Natural England to encourage public access and enjoyment of the natural environment. Ashfield currently contains four LNRs as well as one on the boundary with Nottingham City.  </w:t>
      </w:r>
    </w:p>
    <w:p w14:paraId="69398554" w14:textId="77777777" w:rsidR="000B0235" w:rsidRPr="00DA17F4" w:rsidRDefault="000B0235" w:rsidP="000B0235">
      <w:pPr>
        <w:keepNext w:val="0"/>
        <w:autoSpaceDE w:val="0"/>
        <w:autoSpaceDN w:val="0"/>
        <w:adjustRightInd w:val="0"/>
        <w:spacing w:before="0"/>
        <w:rPr>
          <w:rFonts w:eastAsia="Arial" w:cs="Arial"/>
          <w:spacing w:val="-1"/>
        </w:rPr>
      </w:pPr>
    </w:p>
    <w:p w14:paraId="42B31ED5" w14:textId="1F8E678C" w:rsidR="00DA17F4" w:rsidRDefault="0090254E" w:rsidP="0090254E">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DA17F4" w:rsidRPr="00DA17F4">
        <w:rPr>
          <w:rFonts w:eastAsia="Arial" w:cs="Arial"/>
          <w:b/>
          <w:bCs/>
          <w:spacing w:val="-1"/>
        </w:rPr>
        <w:t>Local Wildlife Sites</w:t>
      </w:r>
    </w:p>
    <w:p w14:paraId="737A938C" w14:textId="331564F9" w:rsidR="005D0346" w:rsidRDefault="00DA17F4" w:rsidP="005D0346">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 xml:space="preserve">The protection and enhancement of locally designated wildlife areas such as ‘Local Wildlife Sites’ (LWS), is vital. They represent sites that are of at least County-wide </w:t>
      </w:r>
      <w:proofErr w:type="gramStart"/>
      <w:r w:rsidRPr="00DA17F4">
        <w:rPr>
          <w:rFonts w:eastAsia="Arial" w:cs="Arial"/>
          <w:spacing w:val="-1"/>
        </w:rPr>
        <w:t>importance, and</w:t>
      </w:r>
      <w:proofErr w:type="gramEnd"/>
      <w:r w:rsidRPr="00DA17F4">
        <w:rPr>
          <w:rFonts w:eastAsia="Arial" w:cs="Arial"/>
          <w:spacing w:val="-1"/>
        </w:rPr>
        <w:t xml:space="preserve"> form a crucial framework of ‘stepping stones’ for the migration and dispersal of species. </w:t>
      </w:r>
      <w:r w:rsidRPr="000E7F65">
        <w:rPr>
          <w:rFonts w:eastAsia="Arial" w:cs="Arial"/>
          <w:spacing w:val="-1"/>
        </w:rPr>
        <w:t>In 20</w:t>
      </w:r>
      <w:r w:rsidR="000E7F65" w:rsidRPr="000E7F65">
        <w:rPr>
          <w:rFonts w:eastAsia="Arial" w:cs="Arial"/>
          <w:spacing w:val="-1"/>
        </w:rPr>
        <w:t>21</w:t>
      </w:r>
      <w:r w:rsidRPr="000E7F65">
        <w:rPr>
          <w:rFonts w:eastAsia="Arial" w:cs="Arial"/>
          <w:spacing w:val="-1"/>
        </w:rPr>
        <w:t xml:space="preserve">, Ashfield was recorded as having </w:t>
      </w:r>
      <w:r w:rsidR="000E7F65" w:rsidRPr="000E7F65">
        <w:rPr>
          <w:rFonts w:eastAsia="Arial" w:cs="Arial"/>
          <w:spacing w:val="-1"/>
        </w:rPr>
        <w:t xml:space="preserve">217 </w:t>
      </w:r>
      <w:r w:rsidRPr="000E7F65">
        <w:rPr>
          <w:rFonts w:eastAsia="Arial" w:cs="Arial"/>
          <w:spacing w:val="-1"/>
        </w:rPr>
        <w:t>LWS</w:t>
      </w:r>
      <w:r w:rsidR="004E3652">
        <w:rPr>
          <w:rFonts w:eastAsia="Arial" w:cs="Arial"/>
          <w:spacing w:val="-1"/>
        </w:rPr>
        <w:t>s</w:t>
      </w:r>
      <w:r w:rsidRPr="000E7F65">
        <w:rPr>
          <w:rFonts w:eastAsia="Arial" w:cs="Arial"/>
          <w:spacing w:val="-1"/>
        </w:rPr>
        <w:t xml:space="preserve"> although</w:t>
      </w:r>
      <w:r w:rsidRPr="00DA17F4">
        <w:rPr>
          <w:rFonts w:eastAsia="Arial" w:cs="Arial"/>
          <w:spacing w:val="-1"/>
        </w:rPr>
        <w:t xml:space="preserve"> the number varies as new sites meeting the agreed criteria are identified while others are known to have deteriorated and may be removed. These sites are on </w:t>
      </w:r>
      <w:r w:rsidRPr="00DA17F4">
        <w:rPr>
          <w:rFonts w:eastAsia="Arial" w:cs="Arial"/>
          <w:spacing w:val="-1"/>
        </w:rPr>
        <w:lastRenderedPageBreak/>
        <w:t>both public and private land and are identified and surveyed by the local Biological and Geological Records Centre, based on criteria set by the Nottinghamshire LWS panel, and are subject to regular review.</w:t>
      </w:r>
    </w:p>
    <w:p w14:paraId="557CB371" w14:textId="77777777" w:rsidR="005D0346" w:rsidRDefault="005D0346" w:rsidP="005D0346">
      <w:pPr>
        <w:keepNext w:val="0"/>
        <w:autoSpaceDE w:val="0"/>
        <w:autoSpaceDN w:val="0"/>
        <w:adjustRightInd w:val="0"/>
        <w:spacing w:before="0"/>
        <w:ind w:left="851"/>
        <w:rPr>
          <w:rFonts w:eastAsia="Arial" w:cs="Arial"/>
          <w:spacing w:val="-1"/>
        </w:rPr>
      </w:pPr>
    </w:p>
    <w:p w14:paraId="1E8EFAAE" w14:textId="384DE4FF" w:rsidR="005D0346" w:rsidRDefault="005D0346" w:rsidP="005D0346">
      <w:pPr>
        <w:keepNext w:val="0"/>
        <w:autoSpaceDE w:val="0"/>
        <w:autoSpaceDN w:val="0"/>
        <w:adjustRightInd w:val="0"/>
        <w:spacing w:before="0"/>
        <w:ind w:left="851"/>
        <w:rPr>
          <w:rFonts w:eastAsia="Arial" w:cs="Arial"/>
          <w:b/>
          <w:bCs/>
          <w:spacing w:val="-1"/>
        </w:rPr>
      </w:pPr>
      <w:r>
        <w:rPr>
          <w:rFonts w:eastAsia="Arial" w:cs="Arial"/>
          <w:b/>
          <w:bCs/>
          <w:spacing w:val="-1"/>
        </w:rPr>
        <w:t>Geodiversity</w:t>
      </w:r>
    </w:p>
    <w:p w14:paraId="7964ADB3" w14:textId="22B3D79E" w:rsidR="002A6911" w:rsidRPr="005D0346" w:rsidRDefault="005D0346" w:rsidP="00A44712">
      <w:pPr>
        <w:keepNext w:val="0"/>
        <w:numPr>
          <w:ilvl w:val="1"/>
          <w:numId w:val="5"/>
        </w:numPr>
        <w:tabs>
          <w:tab w:val="clear" w:pos="525"/>
          <w:tab w:val="num" w:pos="851"/>
        </w:tabs>
        <w:autoSpaceDE w:val="0"/>
        <w:autoSpaceDN w:val="0"/>
        <w:adjustRightInd w:val="0"/>
        <w:spacing w:before="0"/>
        <w:ind w:left="851" w:hanging="851"/>
        <w:rPr>
          <w:rFonts w:eastAsia="Arial" w:cs="Arial"/>
          <w:b/>
          <w:bCs/>
          <w:color w:val="4472C4" w:themeColor="accent1"/>
          <w:spacing w:val="-1"/>
        </w:rPr>
      </w:pPr>
      <w:r w:rsidRPr="005D0346">
        <w:rPr>
          <w:rFonts w:eastAsia="Arial" w:cs="Arial"/>
          <w:spacing w:val="-1"/>
        </w:rPr>
        <w:t>Geodiversit</w:t>
      </w:r>
      <w:r w:rsidR="005F01A3" w:rsidRPr="002E7654">
        <w:t>y is the term used to describe the variety of ancient rock, fossils, minerals, earth structures, sediments, soils and more recent landforms (depositional and erosional features) that create the foundations of physical landscapes and habitats. The recognition, management, and conservation of significant sites is important as it contributes to understanding and maintaining the natural environment, to scientific research and to teaching an understanding of the earth, as well as to leisure activities and the enhancement of green spaces. The industrial heritage of the area and building construction are closely linked to the geological resources of the area, particularly coal, clay, ironstone, sandstone and roofing flags. It is essential that geo</w:t>
      </w:r>
      <w:r w:rsidR="009B507C" w:rsidRPr="002E7654">
        <w:t>-</w:t>
      </w:r>
      <w:r w:rsidR="005F01A3" w:rsidRPr="002E7654">
        <w:t xml:space="preserve">conservation factors are </w:t>
      </w:r>
      <w:proofErr w:type="gramStart"/>
      <w:r w:rsidR="005F01A3" w:rsidRPr="002E7654">
        <w:t>taken into account</w:t>
      </w:r>
      <w:proofErr w:type="gramEnd"/>
      <w:r w:rsidR="005F01A3" w:rsidRPr="002E7654">
        <w:t xml:space="preserve"> in the planning process, the opportunities for educational, scientific and recreational advance are appreciated and realised and that significant features of geological interest are conserved.</w:t>
      </w:r>
    </w:p>
    <w:p w14:paraId="27D7A3D7" w14:textId="77777777" w:rsidR="002A6911" w:rsidRPr="00DA17F4" w:rsidRDefault="002A6911" w:rsidP="0090254E">
      <w:pPr>
        <w:keepNext w:val="0"/>
        <w:tabs>
          <w:tab w:val="num" w:pos="851"/>
        </w:tabs>
        <w:autoSpaceDE w:val="0"/>
        <w:autoSpaceDN w:val="0"/>
        <w:adjustRightInd w:val="0"/>
        <w:spacing w:before="0"/>
        <w:ind w:left="851" w:hanging="851"/>
        <w:rPr>
          <w:rFonts w:eastAsia="Arial" w:cs="Arial"/>
          <w:spacing w:val="-1"/>
        </w:rPr>
      </w:pPr>
    </w:p>
    <w:p w14:paraId="33BCC06C" w14:textId="4E27B3E9" w:rsidR="00DA17F4" w:rsidRPr="002E7654" w:rsidRDefault="0090254E" w:rsidP="000B0235">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270F75" w:rsidRPr="002E7654">
        <w:rPr>
          <w:rFonts w:eastAsia="Arial" w:cs="Arial"/>
          <w:b/>
          <w:bCs/>
          <w:spacing w:val="-1"/>
        </w:rPr>
        <w:t xml:space="preserve">Local </w:t>
      </w:r>
      <w:r w:rsidR="00DA17F4" w:rsidRPr="002E7654">
        <w:rPr>
          <w:rFonts w:eastAsia="Arial" w:cs="Arial"/>
          <w:b/>
          <w:bCs/>
          <w:spacing w:val="-1"/>
        </w:rPr>
        <w:t>Geological Sites</w:t>
      </w:r>
    </w:p>
    <w:p w14:paraId="6B2EC9AC" w14:textId="72E34D8E" w:rsidR="00DA17F4" w:rsidRPr="002E7654" w:rsidRDefault="00270F75"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2E7654">
        <w:rPr>
          <w:rFonts w:eastAsia="Arial" w:cs="Arial"/>
          <w:spacing w:val="-1"/>
        </w:rPr>
        <w:t xml:space="preserve">Local </w:t>
      </w:r>
      <w:r w:rsidR="00DA17F4" w:rsidRPr="002E7654">
        <w:rPr>
          <w:rFonts w:eastAsia="Arial" w:cs="Arial"/>
          <w:spacing w:val="-1"/>
        </w:rPr>
        <w:t>Geological Sites (</w:t>
      </w:r>
      <w:r w:rsidRPr="002E7654">
        <w:rPr>
          <w:rFonts w:eastAsia="Arial" w:cs="Arial"/>
          <w:spacing w:val="-1"/>
        </w:rPr>
        <w:t>LGS</w:t>
      </w:r>
      <w:r w:rsidR="004E3652">
        <w:rPr>
          <w:rFonts w:eastAsia="Arial" w:cs="Arial"/>
          <w:spacing w:val="-1"/>
        </w:rPr>
        <w:t>s</w:t>
      </w:r>
      <w:r w:rsidR="00DA17F4" w:rsidRPr="002E7654">
        <w:rPr>
          <w:rFonts w:eastAsia="Arial" w:cs="Arial"/>
          <w:spacing w:val="-1"/>
        </w:rPr>
        <w:t xml:space="preserve">) are part of a national system to raise the profile and offer some protection to sites that contain important examples of the local geology. </w:t>
      </w:r>
      <w:r w:rsidRPr="002E7654">
        <w:rPr>
          <w:rFonts w:eastAsia="Arial" w:cs="Arial"/>
          <w:spacing w:val="-1"/>
        </w:rPr>
        <w:t xml:space="preserve">At the time of writing, </w:t>
      </w:r>
      <w:r w:rsidR="00DA17F4" w:rsidRPr="002E7654">
        <w:rPr>
          <w:rFonts w:eastAsia="Arial" w:cs="Arial"/>
          <w:spacing w:val="-1"/>
        </w:rPr>
        <w:t xml:space="preserve">Ashfield has </w:t>
      </w:r>
      <w:r w:rsidR="00351C44" w:rsidRPr="002E7654">
        <w:rPr>
          <w:rFonts w:eastAsia="Arial" w:cs="Arial"/>
          <w:spacing w:val="-1"/>
        </w:rPr>
        <w:t xml:space="preserve">4 </w:t>
      </w:r>
      <w:r w:rsidR="00DA17F4" w:rsidRPr="002E7654">
        <w:rPr>
          <w:rFonts w:eastAsia="Arial" w:cs="Arial"/>
          <w:spacing w:val="-1"/>
        </w:rPr>
        <w:t xml:space="preserve">of the 133 recognised </w:t>
      </w:r>
      <w:r w:rsidRPr="002E7654">
        <w:rPr>
          <w:rFonts w:eastAsia="Arial" w:cs="Arial"/>
          <w:spacing w:val="-1"/>
        </w:rPr>
        <w:t>LGS</w:t>
      </w:r>
      <w:r w:rsidR="00C032D2">
        <w:rPr>
          <w:rFonts w:eastAsia="Arial" w:cs="Arial"/>
          <w:spacing w:val="-1"/>
        </w:rPr>
        <w:t>s</w:t>
      </w:r>
      <w:r w:rsidR="00DA17F4" w:rsidRPr="002E7654">
        <w:rPr>
          <w:rFonts w:eastAsia="Arial" w:cs="Arial"/>
          <w:spacing w:val="-1"/>
        </w:rPr>
        <w:t xml:space="preserve"> in Nottinghamshire, </w:t>
      </w:r>
      <w:r w:rsidR="00351C44" w:rsidRPr="002E7654">
        <w:rPr>
          <w:rFonts w:eastAsia="Arial" w:cs="Arial"/>
          <w:spacing w:val="-1"/>
        </w:rPr>
        <w:t xml:space="preserve">3 of </w:t>
      </w:r>
      <w:r w:rsidR="00DA17F4" w:rsidRPr="002E7654">
        <w:rPr>
          <w:rFonts w:eastAsia="Arial" w:cs="Arial"/>
          <w:spacing w:val="-1"/>
        </w:rPr>
        <w:t xml:space="preserve">which are </w:t>
      </w:r>
      <w:r w:rsidR="00351C44" w:rsidRPr="002E7654">
        <w:rPr>
          <w:rFonts w:eastAsia="Arial" w:cs="Arial"/>
          <w:spacing w:val="-1"/>
        </w:rPr>
        <w:t xml:space="preserve">also </w:t>
      </w:r>
      <w:r w:rsidR="00DA17F4" w:rsidRPr="002E7654">
        <w:rPr>
          <w:rFonts w:eastAsia="Arial" w:cs="Arial"/>
          <w:spacing w:val="-1"/>
        </w:rPr>
        <w:t>currently designated as LWS</w:t>
      </w:r>
      <w:r w:rsidR="00C032D2">
        <w:rPr>
          <w:rFonts w:eastAsia="Arial" w:cs="Arial"/>
          <w:spacing w:val="-1"/>
        </w:rPr>
        <w:t>s</w:t>
      </w:r>
      <w:r w:rsidR="00DA17F4" w:rsidRPr="002E7654">
        <w:rPr>
          <w:rFonts w:eastAsia="Arial" w:cs="Arial"/>
          <w:spacing w:val="-1"/>
        </w:rPr>
        <w:t>.</w:t>
      </w:r>
    </w:p>
    <w:p w14:paraId="7CFBAE89" w14:textId="77777777" w:rsidR="00DA17F4" w:rsidRPr="002E7654" w:rsidRDefault="00DA17F4" w:rsidP="0090254E">
      <w:pPr>
        <w:keepNext w:val="0"/>
        <w:tabs>
          <w:tab w:val="num" w:pos="851"/>
        </w:tabs>
        <w:autoSpaceDE w:val="0"/>
        <w:autoSpaceDN w:val="0"/>
        <w:adjustRightInd w:val="0"/>
        <w:spacing w:before="0"/>
        <w:ind w:left="851" w:hanging="851"/>
        <w:rPr>
          <w:rFonts w:eastAsia="Arial" w:cs="Arial"/>
          <w:spacing w:val="-1"/>
        </w:rPr>
      </w:pPr>
    </w:p>
    <w:p w14:paraId="5E63C311" w14:textId="36E98BFF" w:rsidR="00DA17F4" w:rsidRPr="002E7654" w:rsidRDefault="0090254E" w:rsidP="0090254E">
      <w:pPr>
        <w:keepNext w:val="0"/>
        <w:tabs>
          <w:tab w:val="num" w:pos="851"/>
        </w:tabs>
        <w:autoSpaceDE w:val="0"/>
        <w:autoSpaceDN w:val="0"/>
        <w:adjustRightInd w:val="0"/>
        <w:spacing w:before="0"/>
        <w:ind w:left="851" w:hanging="851"/>
        <w:rPr>
          <w:rFonts w:eastAsia="Arial" w:cs="Arial"/>
          <w:b/>
          <w:bCs/>
          <w:spacing w:val="-1"/>
        </w:rPr>
      </w:pPr>
      <w:r w:rsidRPr="002E7654">
        <w:rPr>
          <w:rFonts w:eastAsia="Arial" w:cs="Arial"/>
          <w:b/>
          <w:bCs/>
          <w:spacing w:val="-1"/>
        </w:rPr>
        <w:tab/>
      </w:r>
      <w:r w:rsidR="00DA17F4" w:rsidRPr="002E7654">
        <w:rPr>
          <w:rFonts w:eastAsia="Arial" w:cs="Arial"/>
          <w:b/>
          <w:bCs/>
          <w:spacing w:val="-1"/>
        </w:rPr>
        <w:t>Development Proposals</w:t>
      </w:r>
    </w:p>
    <w:p w14:paraId="3136C33E" w14:textId="490BCD33" w:rsidR="00217DCF"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2E7654">
        <w:rPr>
          <w:rFonts w:eastAsia="Arial" w:cs="Arial"/>
          <w:spacing w:val="-1"/>
        </w:rPr>
        <w:t xml:space="preserve">All development proposals </w:t>
      </w:r>
      <w:r w:rsidR="00770FDC" w:rsidRPr="002E7654">
        <w:rPr>
          <w:rFonts w:eastAsia="Arial" w:cs="Arial"/>
          <w:spacing w:val="-1"/>
        </w:rPr>
        <w:t xml:space="preserve">need to protect and enhance </w:t>
      </w:r>
      <w:r w:rsidRPr="002E7654">
        <w:rPr>
          <w:rFonts w:eastAsia="Arial" w:cs="Arial"/>
          <w:spacing w:val="-1"/>
        </w:rPr>
        <w:t xml:space="preserve">biodiversity and </w:t>
      </w:r>
      <w:r w:rsidR="00770FDC" w:rsidRPr="002E7654">
        <w:rPr>
          <w:rFonts w:eastAsia="Arial" w:cs="Arial"/>
          <w:spacing w:val="-1"/>
        </w:rPr>
        <w:t xml:space="preserve">geodiversity </w:t>
      </w:r>
      <w:r w:rsidRPr="002E7654">
        <w:rPr>
          <w:rFonts w:eastAsia="Arial" w:cs="Arial"/>
          <w:spacing w:val="-1"/>
        </w:rPr>
        <w:t xml:space="preserve">from the outset and seek to protect features such as trees, hedgerows, ponds and woodland. Planning applications </w:t>
      </w:r>
      <w:r w:rsidRPr="00DA17F4">
        <w:rPr>
          <w:rFonts w:eastAsia="Arial" w:cs="Arial"/>
          <w:spacing w:val="-1"/>
        </w:rPr>
        <w:t xml:space="preserve">should identify how these features will be managed in the long term. </w:t>
      </w:r>
    </w:p>
    <w:p w14:paraId="7D04F85F" w14:textId="76B1D045" w:rsidR="00217DCF" w:rsidRDefault="00217DCF" w:rsidP="00217DCF">
      <w:pPr>
        <w:keepNext w:val="0"/>
        <w:autoSpaceDE w:val="0"/>
        <w:autoSpaceDN w:val="0"/>
        <w:adjustRightInd w:val="0"/>
        <w:spacing w:before="0"/>
        <w:rPr>
          <w:rFonts w:eastAsia="Arial" w:cs="Arial"/>
          <w:spacing w:val="-1"/>
        </w:rPr>
      </w:pPr>
    </w:p>
    <w:p w14:paraId="29513125" w14:textId="02DD70F6" w:rsidR="00DA17F4" w:rsidRPr="00DA17F4"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 xml:space="preserve">Buildings should be designed to include roosting or nesting sites, where appropriate, and include landscaping within sites and along boundaries which can provide feeding and nesting opportunities as well as acting as habitat corridors aiding the passage of wildlife between sites. Developments can enhance biodiversity by incorporate bat, </w:t>
      </w:r>
      <w:r w:rsidR="00F473CE" w:rsidRPr="002E7654">
        <w:rPr>
          <w:rFonts w:eastAsia="Arial" w:cs="Arial"/>
          <w:spacing w:val="-1"/>
        </w:rPr>
        <w:t>bee</w:t>
      </w:r>
      <w:r w:rsidR="00F473CE">
        <w:rPr>
          <w:rFonts w:eastAsia="Arial" w:cs="Arial"/>
          <w:spacing w:val="-1"/>
        </w:rPr>
        <w:t xml:space="preserve"> </w:t>
      </w:r>
      <w:r w:rsidRPr="00DA17F4">
        <w:rPr>
          <w:rFonts w:eastAsia="Arial" w:cs="Arial"/>
          <w:spacing w:val="-1"/>
        </w:rPr>
        <w:t xml:space="preserve">or bird nest bricks </w:t>
      </w:r>
      <w:r w:rsidR="009D1815" w:rsidRPr="00DA17F4">
        <w:rPr>
          <w:rFonts w:eastAsia="Arial" w:cs="Arial"/>
          <w:spacing w:val="-1"/>
        </w:rPr>
        <w:t>into</w:t>
      </w:r>
      <w:r w:rsidRPr="00DA17F4">
        <w:rPr>
          <w:rFonts w:eastAsia="Arial" w:cs="Arial"/>
          <w:spacing w:val="-1"/>
        </w:rPr>
        <w:t xml:space="preserve"> their design. These are cheap, easy to maintain </w:t>
      </w:r>
      <w:proofErr w:type="gramStart"/>
      <w:r w:rsidRPr="00DA17F4">
        <w:rPr>
          <w:rFonts w:eastAsia="Arial" w:cs="Arial"/>
          <w:spacing w:val="-1"/>
        </w:rPr>
        <w:t>and</w:t>
      </w:r>
      <w:proofErr w:type="gramEnd"/>
      <w:r w:rsidRPr="00DA17F4">
        <w:rPr>
          <w:rFonts w:eastAsia="Arial" w:cs="Arial"/>
          <w:spacing w:val="-1"/>
        </w:rPr>
        <w:t xml:space="preserve"> effective way of encouraging wildlife to use new buildings. Good design for biodiversity can help bring wildlife into urban areas and be of benefit for quality of life, health and wellbeing as well as contribute to achieving Biodiversity Action Plan (BAP) targets. Planting and landscape designs, where possible, should predominately consist of native plants, grown from seeds of local provenance.</w:t>
      </w:r>
    </w:p>
    <w:p w14:paraId="2AD71B5B" w14:textId="77777777" w:rsidR="00DA17F4" w:rsidRPr="00DA17F4" w:rsidRDefault="00DA17F4" w:rsidP="0090254E">
      <w:pPr>
        <w:keepNext w:val="0"/>
        <w:tabs>
          <w:tab w:val="num" w:pos="851"/>
        </w:tabs>
        <w:autoSpaceDE w:val="0"/>
        <w:autoSpaceDN w:val="0"/>
        <w:adjustRightInd w:val="0"/>
        <w:spacing w:before="0"/>
        <w:ind w:left="851" w:hanging="851"/>
        <w:rPr>
          <w:rFonts w:eastAsia="Arial" w:cs="Arial"/>
          <w:spacing w:val="-1"/>
        </w:rPr>
      </w:pPr>
    </w:p>
    <w:p w14:paraId="19412D68" w14:textId="7170E3E5" w:rsidR="00DA17F4" w:rsidRPr="00BD666B" w:rsidRDefault="00DA17F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DA17F4">
        <w:rPr>
          <w:rFonts w:eastAsia="Arial" w:cs="Arial"/>
          <w:spacing w:val="-1"/>
        </w:rPr>
        <w:t xml:space="preserve">Development proposals should particularly seek to contribute towards the protection and preservation of priority habitats and species listed in Section 41 of the Natural Environment and Rural Communities Act 2006, and the objectives for priority habitats and species identified in the Nottinghamshire Biodiversity Action Plan (BAP).  Proposals should also seek the protection, enhancement and linking </w:t>
      </w:r>
      <w:r w:rsidRPr="00DA17F4">
        <w:rPr>
          <w:rFonts w:eastAsia="Arial" w:cs="Arial"/>
          <w:spacing w:val="-1"/>
        </w:rPr>
        <w:lastRenderedPageBreak/>
        <w:t xml:space="preserve">of areas identified in the Ashfield </w:t>
      </w:r>
      <w:r w:rsidRPr="002E7654">
        <w:rPr>
          <w:rFonts w:eastAsia="Arial" w:cs="Arial"/>
          <w:spacing w:val="-1"/>
        </w:rPr>
        <w:t>Green</w:t>
      </w:r>
      <w:r w:rsidR="005E06B1" w:rsidRPr="002E7654">
        <w:rPr>
          <w:rFonts w:eastAsia="Arial" w:cs="Arial"/>
          <w:spacing w:val="-1"/>
        </w:rPr>
        <w:t xml:space="preserve"> and Blue</w:t>
      </w:r>
      <w:r w:rsidRPr="002E7654">
        <w:rPr>
          <w:rFonts w:eastAsia="Arial" w:cs="Arial"/>
          <w:spacing w:val="-1"/>
        </w:rPr>
        <w:t xml:space="preserve"> Infrastructure and Biodiversity </w:t>
      </w:r>
      <w:r w:rsidR="005E06B1" w:rsidRPr="002E7654">
        <w:rPr>
          <w:rFonts w:eastAsia="Arial" w:cs="Arial"/>
          <w:spacing w:val="-1"/>
        </w:rPr>
        <w:t>Strategy</w:t>
      </w:r>
      <w:r w:rsidR="00AB717E">
        <w:rPr>
          <w:rFonts w:eastAsia="Arial" w:cs="Arial"/>
          <w:spacing w:val="-1"/>
        </w:rPr>
        <w:t>,</w:t>
      </w:r>
      <w:r w:rsidR="005E06B1" w:rsidRPr="002E7654">
        <w:rPr>
          <w:rFonts w:eastAsia="Arial" w:cs="Arial"/>
          <w:spacing w:val="-1"/>
        </w:rPr>
        <w:t xml:space="preserve"> </w:t>
      </w:r>
      <w:r w:rsidRPr="002E7654">
        <w:rPr>
          <w:rFonts w:eastAsia="Arial" w:cs="Arial"/>
          <w:spacing w:val="-1"/>
        </w:rPr>
        <w:t>the Ashfield Biodiversity Opportunity Mapping Project (BOM)</w:t>
      </w:r>
      <w:r w:rsidR="00770FDC" w:rsidRPr="002E7654">
        <w:rPr>
          <w:rFonts w:eastAsia="Arial" w:cs="Arial"/>
          <w:spacing w:val="-1"/>
        </w:rPr>
        <w:t xml:space="preserve">, the Local </w:t>
      </w:r>
      <w:r w:rsidR="005E06B1" w:rsidRPr="002E7654">
        <w:rPr>
          <w:rFonts w:eastAsia="Arial" w:cs="Arial"/>
          <w:spacing w:val="-1"/>
        </w:rPr>
        <w:t>N</w:t>
      </w:r>
      <w:r w:rsidR="00770FDC" w:rsidRPr="002E7654">
        <w:rPr>
          <w:rFonts w:eastAsia="Arial" w:cs="Arial"/>
          <w:spacing w:val="-1"/>
        </w:rPr>
        <w:t xml:space="preserve">ature Recovery Networks and </w:t>
      </w:r>
      <w:r w:rsidR="00CE1E63" w:rsidRPr="002E7654">
        <w:rPr>
          <w:rFonts w:eastAsia="Arial" w:cs="Arial"/>
          <w:spacing w:val="-1"/>
        </w:rPr>
        <w:t>Local N</w:t>
      </w:r>
      <w:r w:rsidR="00770FDC" w:rsidRPr="002E7654">
        <w:rPr>
          <w:rFonts w:eastAsia="Arial" w:cs="Arial"/>
          <w:spacing w:val="-1"/>
        </w:rPr>
        <w:t>ature Recovery</w:t>
      </w:r>
      <w:r w:rsidR="00AB717E">
        <w:rPr>
          <w:rFonts w:eastAsia="Arial" w:cs="Arial"/>
          <w:spacing w:val="-1"/>
        </w:rPr>
        <w:t xml:space="preserve"> </w:t>
      </w:r>
      <w:r w:rsidR="00AB717E" w:rsidRPr="00BD666B">
        <w:rPr>
          <w:rFonts w:eastAsia="Arial" w:cs="Arial"/>
          <w:color w:val="0070C0"/>
          <w:spacing w:val="-1"/>
        </w:rPr>
        <w:t>Strategy for Nottinghamshire and Nottingham.</w:t>
      </w:r>
      <w:r w:rsidR="00770FDC" w:rsidRPr="00BD666B">
        <w:rPr>
          <w:rFonts w:eastAsia="Arial" w:cs="Arial"/>
          <w:spacing w:val="-1"/>
        </w:rPr>
        <w:t xml:space="preserve"> </w:t>
      </w:r>
      <w:r w:rsidR="00770FDC" w:rsidRPr="00BD666B">
        <w:rPr>
          <w:rFonts w:eastAsia="Arial" w:cs="Arial"/>
          <w:strike/>
          <w:spacing w:val="-1"/>
        </w:rPr>
        <w:t>St</w:t>
      </w:r>
      <w:r w:rsidR="00CE1E63" w:rsidRPr="00BD666B">
        <w:rPr>
          <w:rFonts w:eastAsia="Arial" w:cs="Arial"/>
          <w:strike/>
          <w:spacing w:val="-1"/>
        </w:rPr>
        <w:t>rategies</w:t>
      </w:r>
      <w:r w:rsidRPr="00BD666B">
        <w:rPr>
          <w:rFonts w:eastAsia="Arial" w:cs="Arial"/>
          <w:spacing w:val="-1"/>
        </w:rPr>
        <w:t>. Proposals that could affect a site of value for biodiversity or geological conservation must be accompanied by sufficient information to assess the effects of development on protected sites, species, biodiversity or geology, together with any proposed prevention, mitigation or compensation measures.</w:t>
      </w:r>
    </w:p>
    <w:p w14:paraId="74779CDC" w14:textId="77777777" w:rsidR="00DA17F4" w:rsidRPr="00BD666B" w:rsidRDefault="00DA17F4" w:rsidP="0090254E">
      <w:pPr>
        <w:keepNext w:val="0"/>
        <w:tabs>
          <w:tab w:val="num" w:pos="851"/>
        </w:tabs>
        <w:autoSpaceDE w:val="0"/>
        <w:autoSpaceDN w:val="0"/>
        <w:adjustRightInd w:val="0"/>
        <w:spacing w:before="0"/>
        <w:ind w:left="851" w:hanging="851"/>
        <w:rPr>
          <w:rFonts w:eastAsia="Arial" w:cs="Arial"/>
          <w:spacing w:val="-1"/>
        </w:rPr>
      </w:pPr>
    </w:p>
    <w:p w14:paraId="72F24E33" w14:textId="77777777" w:rsidR="000662E0" w:rsidRPr="00BD666B" w:rsidRDefault="00DA17F4" w:rsidP="000662E0">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BD666B">
        <w:rPr>
          <w:rFonts w:eastAsia="Arial" w:cs="Arial"/>
          <w:spacing w:val="-1"/>
        </w:rPr>
        <w:t>It should be noted that knowledge of valuable sites and their condition is constantly changing and decisions will be based on the most up to date information available. The Nottinghamshire Biological and Geological Records Centre can provide general data for development sites, where appropriate and further information may also be available from the Nottinghamshire Wildlife Trust and any local nature groups.</w:t>
      </w:r>
      <w:bookmarkStart w:id="173" w:name="_Hlk79073146"/>
      <w:bookmarkStart w:id="174" w:name="_Hlk79410573"/>
    </w:p>
    <w:p w14:paraId="51FA7E98" w14:textId="77777777" w:rsidR="000662E0" w:rsidRPr="00BD666B" w:rsidRDefault="000662E0" w:rsidP="000662E0">
      <w:pPr>
        <w:pStyle w:val="ListParagraph"/>
        <w:tabs>
          <w:tab w:val="num" w:pos="851"/>
        </w:tabs>
        <w:autoSpaceDE w:val="0"/>
        <w:autoSpaceDN w:val="0"/>
        <w:adjustRightInd w:val="0"/>
        <w:spacing w:after="0" w:line="240" w:lineRule="auto"/>
        <w:ind w:left="851" w:hanging="851"/>
        <w:rPr>
          <w:rFonts w:ascii="Arial" w:eastAsia="Arial" w:hAnsi="Arial" w:cs="Arial"/>
          <w:b/>
          <w:bCs/>
          <w:spacing w:val="-1"/>
        </w:rPr>
      </w:pPr>
    </w:p>
    <w:p w14:paraId="0EBF8303" w14:textId="0FCC7CC7" w:rsidR="000662E0" w:rsidRPr="00BD666B" w:rsidRDefault="000662E0" w:rsidP="000662E0">
      <w:pPr>
        <w:pStyle w:val="ListParagraph"/>
        <w:tabs>
          <w:tab w:val="num" w:pos="851"/>
        </w:tabs>
        <w:autoSpaceDE w:val="0"/>
        <w:autoSpaceDN w:val="0"/>
        <w:adjustRightInd w:val="0"/>
        <w:spacing w:after="0" w:line="240" w:lineRule="auto"/>
        <w:ind w:left="851" w:hanging="851"/>
        <w:rPr>
          <w:rFonts w:ascii="Arial" w:eastAsia="Arial" w:hAnsi="Arial" w:cs="Arial"/>
          <w:b/>
          <w:bCs/>
          <w:spacing w:val="-1"/>
        </w:rPr>
      </w:pPr>
      <w:r w:rsidRPr="00BD666B">
        <w:rPr>
          <w:rFonts w:ascii="Arial" w:eastAsia="Arial" w:hAnsi="Arial" w:cs="Arial"/>
          <w:b/>
          <w:bCs/>
          <w:spacing w:val="-1"/>
        </w:rPr>
        <w:tab/>
        <w:t>Biodiversity Net Gain</w:t>
      </w:r>
    </w:p>
    <w:p w14:paraId="517856C1" w14:textId="74CA7B75" w:rsidR="003F7348" w:rsidRPr="00BD666B" w:rsidRDefault="004D073F" w:rsidP="00517692">
      <w:pPr>
        <w:keepNext w:val="0"/>
        <w:numPr>
          <w:ilvl w:val="1"/>
          <w:numId w:val="5"/>
        </w:numPr>
        <w:tabs>
          <w:tab w:val="clear" w:pos="525"/>
          <w:tab w:val="num" w:pos="851"/>
        </w:tabs>
        <w:autoSpaceDE w:val="0"/>
        <w:autoSpaceDN w:val="0"/>
        <w:adjustRightInd w:val="0"/>
        <w:spacing w:before="0"/>
        <w:ind w:left="851" w:hanging="851"/>
        <w:rPr>
          <w:rFonts w:eastAsia="Arial" w:cs="Arial"/>
          <w:color w:val="0070C0"/>
          <w:spacing w:val="-1"/>
        </w:rPr>
      </w:pPr>
      <w:r w:rsidRPr="00BD666B">
        <w:rPr>
          <w:rFonts w:eastAsia="Arial" w:cs="Arial"/>
          <w:color w:val="auto"/>
          <w:spacing w:val="-1"/>
        </w:rPr>
        <w:t xml:space="preserve">The Environment Act (the Act) sets out the Government’s intention to improve air and water quality, protect wildlife, increase recycling and reduce plastic waste. A key part of the Act is to mandate </w:t>
      </w:r>
      <w:r w:rsidR="00693816" w:rsidRPr="00BD666B">
        <w:rPr>
          <w:rFonts w:eastAsia="Arial" w:cs="Arial"/>
          <w:color w:val="auto"/>
          <w:spacing w:val="-1"/>
        </w:rPr>
        <w:t>b</w:t>
      </w:r>
      <w:r w:rsidRPr="00BD666B">
        <w:rPr>
          <w:rFonts w:eastAsia="Arial" w:cs="Arial"/>
          <w:color w:val="auto"/>
          <w:spacing w:val="-1"/>
        </w:rPr>
        <w:t xml:space="preserve">iodiversity </w:t>
      </w:r>
      <w:r w:rsidR="00693816" w:rsidRPr="00BD666B">
        <w:rPr>
          <w:rFonts w:eastAsia="Arial" w:cs="Arial"/>
          <w:color w:val="auto"/>
          <w:spacing w:val="-1"/>
        </w:rPr>
        <w:t>n</w:t>
      </w:r>
      <w:r w:rsidRPr="00BD666B">
        <w:rPr>
          <w:rFonts w:eastAsia="Arial" w:cs="Arial"/>
          <w:color w:val="auto"/>
          <w:spacing w:val="-1"/>
        </w:rPr>
        <w:t xml:space="preserve">et </w:t>
      </w:r>
      <w:r w:rsidR="00693816" w:rsidRPr="00BD666B">
        <w:rPr>
          <w:rFonts w:eastAsia="Arial" w:cs="Arial"/>
          <w:color w:val="auto"/>
          <w:spacing w:val="-1"/>
        </w:rPr>
        <w:t>g</w:t>
      </w:r>
      <w:r w:rsidRPr="00BD666B">
        <w:rPr>
          <w:rFonts w:eastAsia="Arial" w:cs="Arial"/>
          <w:color w:val="auto"/>
          <w:spacing w:val="-1"/>
        </w:rPr>
        <w:t>ain</w:t>
      </w:r>
      <w:r w:rsidR="00693816" w:rsidRPr="00BD666B">
        <w:rPr>
          <w:rFonts w:eastAsia="Arial" w:cs="Arial"/>
          <w:color w:val="auto"/>
          <w:spacing w:val="-1"/>
        </w:rPr>
        <w:t xml:space="preserve"> (BNG)</w:t>
      </w:r>
      <w:r w:rsidRPr="00BD666B">
        <w:rPr>
          <w:rFonts w:eastAsia="Arial" w:cs="Arial"/>
          <w:color w:val="auto"/>
          <w:spacing w:val="-1"/>
        </w:rPr>
        <w:t xml:space="preserve"> by amending the Town &amp; Country Planning Act (TCPA). </w:t>
      </w:r>
      <w:r w:rsidRPr="00BD666B">
        <w:rPr>
          <w:rFonts w:eastAsia="Arial" w:cs="Arial"/>
          <w:strike/>
          <w:color w:val="auto"/>
          <w:spacing w:val="-1"/>
        </w:rPr>
        <w:t>It is likely to become law in the form of BNG statutory instruments and regulations in 2023</w:t>
      </w:r>
      <w:r w:rsidRPr="00BD666B">
        <w:rPr>
          <w:rFonts w:eastAsia="Arial" w:cs="Arial"/>
          <w:color w:val="0070C0"/>
          <w:spacing w:val="-1"/>
        </w:rPr>
        <w:t xml:space="preserve">. </w:t>
      </w:r>
      <w:r w:rsidR="00517692" w:rsidRPr="00BD666B">
        <w:rPr>
          <w:rFonts w:eastAsia="Arial" w:cs="Arial"/>
          <w:color w:val="0070C0"/>
          <w:spacing w:val="-1"/>
        </w:rPr>
        <w:t>The mandatory requirement for major developments came into place on 12 February 2024, and the 2 April 2024 for minor sites.</w:t>
      </w:r>
    </w:p>
    <w:p w14:paraId="258FB993" w14:textId="77777777" w:rsidR="003F7348" w:rsidRPr="00BD666B" w:rsidRDefault="003F7348" w:rsidP="003F7348">
      <w:pPr>
        <w:keepNext w:val="0"/>
        <w:autoSpaceDE w:val="0"/>
        <w:autoSpaceDN w:val="0"/>
        <w:adjustRightInd w:val="0"/>
        <w:spacing w:before="0"/>
        <w:ind w:left="851"/>
        <w:rPr>
          <w:rFonts w:eastAsia="Arial" w:cs="Arial"/>
          <w:spacing w:val="-1"/>
        </w:rPr>
      </w:pPr>
    </w:p>
    <w:p w14:paraId="10B3B676" w14:textId="77777777" w:rsidR="003F7348" w:rsidRPr="00BD666B" w:rsidRDefault="004D073F" w:rsidP="00A44712">
      <w:pPr>
        <w:keepNext w:val="0"/>
        <w:numPr>
          <w:ilvl w:val="1"/>
          <w:numId w:val="5"/>
        </w:numPr>
        <w:tabs>
          <w:tab w:val="clear" w:pos="525"/>
          <w:tab w:val="num" w:pos="851"/>
        </w:tabs>
        <w:autoSpaceDE w:val="0"/>
        <w:autoSpaceDN w:val="0"/>
        <w:adjustRightInd w:val="0"/>
        <w:spacing w:before="0"/>
        <w:ind w:left="851" w:hanging="851"/>
        <w:rPr>
          <w:rFonts w:eastAsia="Arial" w:cs="Arial"/>
          <w:color w:val="auto"/>
          <w:spacing w:val="-1"/>
        </w:rPr>
      </w:pPr>
      <w:r w:rsidRPr="00BD666B">
        <w:rPr>
          <w:rFonts w:eastAsia="Arial" w:cs="Arial"/>
          <w:color w:val="auto"/>
          <w:spacing w:val="-1"/>
        </w:rPr>
        <w:t>The Act sets out how the</w:t>
      </w:r>
      <w:r w:rsidRPr="003F7348">
        <w:rPr>
          <w:rFonts w:eastAsia="Arial" w:cs="Arial"/>
          <w:color w:val="auto"/>
          <w:spacing w:val="-1"/>
        </w:rPr>
        <w:t xml:space="preserve"> government plans to protect and improve the natural environment in the UK. It introduces a mandatory requirement for a minimum of 10% biodiversity net gain in the planning system, to “ensure that new developments enhance biodiversity and create new green spaces for local </w:t>
      </w:r>
      <w:r w:rsidRPr="00BD666B">
        <w:rPr>
          <w:rFonts w:eastAsia="Arial" w:cs="Arial"/>
          <w:color w:val="auto"/>
          <w:spacing w:val="-1"/>
        </w:rPr>
        <w:t xml:space="preserve">communities to enjoy”. </w:t>
      </w:r>
    </w:p>
    <w:p w14:paraId="0BBF934C" w14:textId="77777777" w:rsidR="003F7348" w:rsidRPr="00BD666B" w:rsidRDefault="003F7348" w:rsidP="003F7348">
      <w:pPr>
        <w:keepNext w:val="0"/>
        <w:autoSpaceDE w:val="0"/>
        <w:autoSpaceDN w:val="0"/>
        <w:adjustRightInd w:val="0"/>
        <w:spacing w:before="0"/>
        <w:ind w:left="851"/>
        <w:rPr>
          <w:rFonts w:eastAsia="Arial" w:cs="Arial"/>
          <w:color w:val="auto"/>
          <w:spacing w:val="-1"/>
        </w:rPr>
      </w:pPr>
    </w:p>
    <w:p w14:paraId="73FCC7AD" w14:textId="3D884D8A" w:rsidR="004D073F" w:rsidRPr="00BD666B" w:rsidRDefault="004D073F" w:rsidP="00A44712">
      <w:pPr>
        <w:keepNext w:val="0"/>
        <w:numPr>
          <w:ilvl w:val="1"/>
          <w:numId w:val="5"/>
        </w:numPr>
        <w:tabs>
          <w:tab w:val="clear" w:pos="525"/>
          <w:tab w:val="num" w:pos="851"/>
        </w:tabs>
        <w:autoSpaceDE w:val="0"/>
        <w:autoSpaceDN w:val="0"/>
        <w:adjustRightInd w:val="0"/>
        <w:spacing w:before="0"/>
        <w:ind w:left="851" w:hanging="851"/>
        <w:rPr>
          <w:rFonts w:eastAsia="Arial" w:cs="Arial"/>
          <w:color w:val="auto"/>
          <w:spacing w:val="-1"/>
        </w:rPr>
      </w:pPr>
      <w:r w:rsidRPr="00BD666B">
        <w:rPr>
          <w:rFonts w:eastAsia="Arial" w:cs="Arial"/>
          <w:color w:val="auto"/>
          <w:spacing w:val="-1"/>
        </w:rPr>
        <w:t xml:space="preserve">The Act </w:t>
      </w:r>
      <w:r w:rsidR="002E7654" w:rsidRPr="00BD666B">
        <w:rPr>
          <w:rFonts w:eastAsia="Arial" w:cs="Arial"/>
          <w:color w:val="auto"/>
          <w:spacing w:val="-1"/>
        </w:rPr>
        <w:t xml:space="preserve">also </w:t>
      </w:r>
      <w:r w:rsidRPr="00BD666B">
        <w:rPr>
          <w:rFonts w:eastAsia="Arial" w:cs="Arial"/>
          <w:color w:val="auto"/>
          <w:spacing w:val="-1"/>
        </w:rPr>
        <w:t>introduces the concept of a national Nature Recovery Network (NRN) and the development of Local Nature Recovery Strategies (LNRS) across England.</w:t>
      </w:r>
      <w:r w:rsidR="00F159AC" w:rsidRPr="00BD666B">
        <w:rPr>
          <w:rFonts w:eastAsia="Arial" w:cs="Arial"/>
          <w:color w:val="auto"/>
          <w:spacing w:val="-1"/>
        </w:rPr>
        <w:t xml:space="preserve">  </w:t>
      </w:r>
      <w:r w:rsidR="00F159AC" w:rsidRPr="00BD666B">
        <w:rPr>
          <w:rFonts w:eastAsia="Arial" w:cs="Arial"/>
          <w:color w:val="0070C0"/>
          <w:spacing w:val="-1"/>
        </w:rPr>
        <w:t xml:space="preserve">The Local Nature Recovery Strategy for Nottinghamshire and Nottingham </w:t>
      </w:r>
      <w:proofErr w:type="gramStart"/>
      <w:r w:rsidR="00F159AC" w:rsidRPr="00BD666B">
        <w:rPr>
          <w:rFonts w:eastAsia="Arial" w:cs="Arial"/>
          <w:color w:val="0070C0"/>
          <w:spacing w:val="-1"/>
        </w:rPr>
        <w:t>was</w:t>
      </w:r>
      <w:proofErr w:type="gramEnd"/>
      <w:r w:rsidR="00F159AC" w:rsidRPr="00BD666B">
        <w:rPr>
          <w:rFonts w:eastAsia="Arial" w:cs="Arial"/>
          <w:color w:val="0070C0"/>
          <w:spacing w:val="-1"/>
        </w:rPr>
        <w:t xml:space="preserve"> published on the </w:t>
      </w:r>
      <w:proofErr w:type="gramStart"/>
      <w:r w:rsidR="00F159AC" w:rsidRPr="00BD666B">
        <w:rPr>
          <w:rFonts w:eastAsia="Arial" w:cs="Arial"/>
          <w:color w:val="0070C0"/>
          <w:spacing w:val="-1"/>
        </w:rPr>
        <w:t>10</w:t>
      </w:r>
      <w:r w:rsidR="00F159AC" w:rsidRPr="00BD666B">
        <w:rPr>
          <w:rFonts w:eastAsia="Arial" w:cs="Arial"/>
          <w:color w:val="0070C0"/>
          <w:spacing w:val="-1"/>
          <w:vertAlign w:val="superscript"/>
        </w:rPr>
        <w:t>th</w:t>
      </w:r>
      <w:proofErr w:type="gramEnd"/>
      <w:r w:rsidR="00F159AC" w:rsidRPr="00BD666B">
        <w:rPr>
          <w:rFonts w:eastAsia="Arial" w:cs="Arial"/>
          <w:color w:val="0070C0"/>
          <w:spacing w:val="-1"/>
        </w:rPr>
        <w:t xml:space="preserve"> November 2025.</w:t>
      </w:r>
    </w:p>
    <w:p w14:paraId="5D126B85" w14:textId="77777777" w:rsidR="00E84DEC" w:rsidRPr="000662E0" w:rsidRDefault="00E84DEC" w:rsidP="0090254E">
      <w:pPr>
        <w:keepNext w:val="0"/>
        <w:tabs>
          <w:tab w:val="num" w:pos="851"/>
        </w:tabs>
        <w:autoSpaceDE w:val="0"/>
        <w:autoSpaceDN w:val="0"/>
        <w:adjustRightInd w:val="0"/>
        <w:spacing w:before="0"/>
        <w:ind w:left="851" w:hanging="851"/>
        <w:rPr>
          <w:rFonts w:eastAsia="Arial" w:cs="Arial"/>
          <w:color w:val="auto"/>
          <w:spacing w:val="-1"/>
        </w:rPr>
      </w:pPr>
    </w:p>
    <w:p w14:paraId="26B3A6DC" w14:textId="112DF9CF" w:rsidR="00E84DEC" w:rsidRPr="00AA13E2" w:rsidRDefault="00E84DEC" w:rsidP="0090254E">
      <w:pPr>
        <w:keepNext w:val="0"/>
        <w:numPr>
          <w:ilvl w:val="1"/>
          <w:numId w:val="5"/>
        </w:numPr>
        <w:tabs>
          <w:tab w:val="clear" w:pos="525"/>
          <w:tab w:val="num" w:pos="851"/>
        </w:tabs>
        <w:autoSpaceDE w:val="0"/>
        <w:autoSpaceDN w:val="0"/>
        <w:adjustRightInd w:val="0"/>
        <w:spacing w:before="0"/>
        <w:ind w:left="851" w:hanging="851"/>
        <w:rPr>
          <w:rFonts w:eastAsia="Arial" w:cs="Arial"/>
          <w:color w:val="auto"/>
          <w:spacing w:val="-1"/>
        </w:rPr>
      </w:pPr>
      <w:r w:rsidRPr="003733F2">
        <w:rPr>
          <w:rFonts w:eastAsia="Arial" w:cs="Arial"/>
          <w:color w:val="auto"/>
          <w:spacing w:val="-1"/>
        </w:rPr>
        <w:t xml:space="preserve">It can be challenging to establish new habitats, and this will be </w:t>
      </w:r>
      <w:proofErr w:type="gramStart"/>
      <w:r w:rsidRPr="003733F2">
        <w:rPr>
          <w:rFonts w:eastAsia="Arial" w:cs="Arial"/>
          <w:color w:val="auto"/>
          <w:spacing w:val="-1"/>
        </w:rPr>
        <w:t>taken into account</w:t>
      </w:r>
      <w:proofErr w:type="gramEnd"/>
      <w:r w:rsidRPr="003733F2">
        <w:rPr>
          <w:rFonts w:eastAsia="Arial" w:cs="Arial"/>
          <w:color w:val="auto"/>
          <w:spacing w:val="-1"/>
        </w:rPr>
        <w:t xml:space="preserve"> when assessing the appropriateness of proposed mitigation measures. It is essential that the most important and irreplaceable habitats in the district, such as ancient woodland, are protected, so mitigation rather than retention will not be appropriate in </w:t>
      </w:r>
      <w:r w:rsidRPr="00AA13E2">
        <w:rPr>
          <w:rFonts w:eastAsia="Arial" w:cs="Arial"/>
          <w:color w:val="auto"/>
          <w:spacing w:val="-1"/>
        </w:rPr>
        <w:t xml:space="preserve">some circumstances. It will also be important to ensure that invasive species such as Japanese </w:t>
      </w:r>
      <w:r w:rsidR="005E06B1">
        <w:rPr>
          <w:rFonts w:eastAsia="Arial" w:cs="Arial"/>
          <w:color w:val="auto"/>
          <w:spacing w:val="-1"/>
        </w:rPr>
        <w:t>k</w:t>
      </w:r>
      <w:r w:rsidRPr="00AA13E2">
        <w:rPr>
          <w:rFonts w:eastAsia="Arial" w:cs="Arial"/>
          <w:color w:val="auto"/>
          <w:spacing w:val="-1"/>
        </w:rPr>
        <w:t>notweed are controlled.</w:t>
      </w:r>
    </w:p>
    <w:p w14:paraId="5514FBB8" w14:textId="77777777" w:rsidR="00E84DEC" w:rsidRPr="00AA13E2" w:rsidRDefault="00E84DEC" w:rsidP="0090254E">
      <w:pPr>
        <w:keepNext w:val="0"/>
        <w:tabs>
          <w:tab w:val="num" w:pos="851"/>
        </w:tabs>
        <w:autoSpaceDE w:val="0"/>
        <w:autoSpaceDN w:val="0"/>
        <w:adjustRightInd w:val="0"/>
        <w:spacing w:before="0"/>
        <w:ind w:left="851" w:hanging="851"/>
        <w:rPr>
          <w:rFonts w:eastAsia="Arial" w:cs="Arial"/>
          <w:color w:val="auto"/>
          <w:spacing w:val="-1"/>
        </w:rPr>
      </w:pPr>
    </w:p>
    <w:p w14:paraId="36938E5C" w14:textId="68EB7B03" w:rsidR="005E06B1" w:rsidRPr="002E7654" w:rsidRDefault="00E84DEC" w:rsidP="005E06B1">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A13E2">
        <w:rPr>
          <w:rFonts w:eastAsia="Arial" w:cs="Arial"/>
          <w:color w:val="auto"/>
          <w:spacing w:val="-1"/>
        </w:rPr>
        <w:t>It will be important not just to protect the biodiversity resources that already exist, but also to support restoration schemes and secure further enhancements in the area’s nature conservation value where possible. This reflects the overall strategic importance of this area both within Nottinghamshire and as part of a wider ecological network.</w:t>
      </w:r>
      <w:r w:rsidR="00FA7BBF" w:rsidRPr="00AA13E2">
        <w:rPr>
          <w:rFonts w:eastAsia="Arial" w:cs="Arial"/>
          <w:color w:val="auto"/>
          <w:spacing w:val="-1"/>
        </w:rPr>
        <w:t xml:space="preserve">  </w:t>
      </w:r>
      <w:r w:rsidR="005E0BF5" w:rsidRPr="005E0BF5">
        <w:rPr>
          <w:rFonts w:eastAsia="Arial" w:cs="Arial"/>
          <w:color w:val="auto"/>
          <w:spacing w:val="-1"/>
        </w:rPr>
        <w:t xml:space="preserve">In consultation with the Council and other relevant bodies, the </w:t>
      </w:r>
      <w:r w:rsidR="005E0BF5" w:rsidRPr="005E0BF5">
        <w:rPr>
          <w:rFonts w:eastAsia="Arial" w:cs="Arial"/>
          <w:color w:val="auto"/>
          <w:spacing w:val="-1"/>
        </w:rPr>
        <w:lastRenderedPageBreak/>
        <w:t xml:space="preserve">applicant will be required to demonstrate how they are </w:t>
      </w:r>
      <w:r w:rsidR="005E0BF5" w:rsidRPr="00985BCC">
        <w:rPr>
          <w:rFonts w:eastAsia="Arial" w:cs="Arial"/>
          <w:spacing w:val="-1"/>
        </w:rPr>
        <w:t xml:space="preserve">achieving </w:t>
      </w:r>
      <w:r w:rsidR="00973651" w:rsidRPr="00985BCC">
        <w:rPr>
          <w:rFonts w:eastAsia="Arial" w:cs="Arial"/>
          <w:spacing w:val="-1"/>
        </w:rPr>
        <w:t xml:space="preserve">biodiversity </w:t>
      </w:r>
      <w:r w:rsidR="005E0BF5" w:rsidRPr="005E0BF5">
        <w:rPr>
          <w:rFonts w:eastAsia="Arial" w:cs="Arial"/>
          <w:color w:val="auto"/>
          <w:spacing w:val="-1"/>
        </w:rPr>
        <w:t>net gain in a measurable way.</w:t>
      </w:r>
      <w:r w:rsidR="005E06B1">
        <w:rPr>
          <w:rFonts w:eastAsia="Arial" w:cs="Arial"/>
          <w:color w:val="auto"/>
          <w:spacing w:val="-1"/>
        </w:rPr>
        <w:t xml:space="preserve">  </w:t>
      </w:r>
      <w:r w:rsidR="005E06B1" w:rsidRPr="002E7654">
        <w:rPr>
          <w:rFonts w:eastAsia="Arial" w:cs="Arial"/>
          <w:spacing w:val="-1"/>
        </w:rPr>
        <w:t xml:space="preserve">A biodiversity metric calculation will be required for all major developments from </w:t>
      </w:r>
      <w:r w:rsidR="002E7654" w:rsidRPr="002E7654">
        <w:rPr>
          <w:rFonts w:eastAsia="Arial" w:cs="Arial"/>
          <w:spacing w:val="-1"/>
        </w:rPr>
        <w:t>January</w:t>
      </w:r>
      <w:r w:rsidR="005E06B1" w:rsidRPr="002E7654">
        <w:rPr>
          <w:rFonts w:eastAsia="Arial" w:cs="Arial"/>
          <w:spacing w:val="-1"/>
        </w:rPr>
        <w:t xml:space="preserve"> 202</w:t>
      </w:r>
      <w:r w:rsidR="002E7654" w:rsidRPr="002E7654">
        <w:rPr>
          <w:rFonts w:eastAsia="Arial" w:cs="Arial"/>
          <w:spacing w:val="-1"/>
        </w:rPr>
        <w:t>4</w:t>
      </w:r>
      <w:r w:rsidR="005E06B1" w:rsidRPr="002E7654">
        <w:rPr>
          <w:rFonts w:eastAsia="Arial" w:cs="Arial"/>
          <w:spacing w:val="-1"/>
        </w:rPr>
        <w:t xml:space="preserve"> comprising:</w:t>
      </w:r>
    </w:p>
    <w:p w14:paraId="17FA06C6" w14:textId="77777777" w:rsidR="005E06B1" w:rsidRPr="002E7654" w:rsidRDefault="005E06B1" w:rsidP="005E06B1">
      <w:pPr>
        <w:keepNext w:val="0"/>
        <w:autoSpaceDE w:val="0"/>
        <w:autoSpaceDN w:val="0"/>
        <w:adjustRightInd w:val="0"/>
        <w:spacing w:before="0"/>
        <w:rPr>
          <w:rFonts w:eastAsia="Arial" w:cs="Arial"/>
          <w:spacing w:val="-1"/>
        </w:rPr>
      </w:pPr>
    </w:p>
    <w:p w14:paraId="55C92807" w14:textId="7A063515" w:rsidR="005E06B1" w:rsidRPr="002E7654" w:rsidRDefault="005E06B1" w:rsidP="005E06B1">
      <w:pPr>
        <w:keepNext w:val="0"/>
        <w:autoSpaceDE w:val="0"/>
        <w:autoSpaceDN w:val="0"/>
        <w:adjustRightInd w:val="0"/>
        <w:spacing w:before="0"/>
        <w:ind w:left="2160" w:hanging="720"/>
        <w:rPr>
          <w:rFonts w:eastAsia="Arial" w:cs="Arial"/>
          <w:spacing w:val="-1"/>
        </w:rPr>
      </w:pPr>
      <w:r w:rsidRPr="002E7654">
        <w:rPr>
          <w:rFonts w:eastAsia="Arial" w:cs="Arial"/>
          <w:spacing w:val="-1"/>
        </w:rPr>
        <w:t xml:space="preserve">a) </w:t>
      </w:r>
      <w:r w:rsidRPr="002E7654">
        <w:rPr>
          <w:rFonts w:eastAsia="Arial" w:cs="Arial"/>
          <w:spacing w:val="-1"/>
        </w:rPr>
        <w:tab/>
        <w:t>erection of 10 or more dwellings or housing development on a site of 0.5 ha or more.</w:t>
      </w:r>
    </w:p>
    <w:p w14:paraId="21116EC2" w14:textId="5B2F543F" w:rsidR="005E06B1" w:rsidRPr="002E7654" w:rsidRDefault="005E06B1" w:rsidP="005E06B1">
      <w:pPr>
        <w:keepNext w:val="0"/>
        <w:autoSpaceDE w:val="0"/>
        <w:autoSpaceDN w:val="0"/>
        <w:adjustRightInd w:val="0"/>
        <w:spacing w:before="0"/>
        <w:ind w:left="2160" w:hanging="720"/>
        <w:rPr>
          <w:rFonts w:eastAsia="Arial" w:cs="Arial"/>
          <w:spacing w:val="-1"/>
        </w:rPr>
      </w:pPr>
      <w:r w:rsidRPr="002E7654">
        <w:rPr>
          <w:rFonts w:eastAsia="Arial" w:cs="Arial"/>
          <w:spacing w:val="-1"/>
        </w:rPr>
        <w:t>b)</w:t>
      </w:r>
      <w:r w:rsidRPr="002E7654">
        <w:rPr>
          <w:rFonts w:eastAsia="Arial" w:cs="Arial"/>
          <w:spacing w:val="-1"/>
        </w:rPr>
        <w:tab/>
        <w:t>erection of a building or buildings where the floor space to be created is 1,000m</w:t>
      </w:r>
      <w:r w:rsidRPr="002E7654">
        <w:rPr>
          <w:rFonts w:eastAsia="Arial" w:cs="Arial"/>
          <w:spacing w:val="-1"/>
          <w:vertAlign w:val="superscript"/>
        </w:rPr>
        <w:t>2</w:t>
      </w:r>
      <w:r w:rsidRPr="002E7654">
        <w:rPr>
          <w:rFonts w:eastAsia="Arial" w:cs="Arial"/>
          <w:spacing w:val="-1"/>
        </w:rPr>
        <w:t xml:space="preserve"> or more.</w:t>
      </w:r>
    </w:p>
    <w:p w14:paraId="34D2D6A1" w14:textId="3367ED4F" w:rsidR="005E06B1" w:rsidRPr="002E7654" w:rsidRDefault="005E06B1" w:rsidP="005E06B1">
      <w:pPr>
        <w:keepNext w:val="0"/>
        <w:autoSpaceDE w:val="0"/>
        <w:autoSpaceDN w:val="0"/>
        <w:adjustRightInd w:val="0"/>
        <w:spacing w:before="0"/>
        <w:ind w:left="720" w:firstLine="720"/>
        <w:rPr>
          <w:rFonts w:eastAsia="Arial" w:cs="Arial"/>
          <w:spacing w:val="-1"/>
        </w:rPr>
      </w:pPr>
      <w:r w:rsidRPr="002E7654">
        <w:rPr>
          <w:rFonts w:eastAsia="Arial" w:cs="Arial"/>
          <w:spacing w:val="-1"/>
        </w:rPr>
        <w:t xml:space="preserve">c) </w:t>
      </w:r>
      <w:r w:rsidRPr="002E7654">
        <w:rPr>
          <w:rFonts w:eastAsia="Arial" w:cs="Arial"/>
          <w:spacing w:val="-1"/>
        </w:rPr>
        <w:tab/>
        <w:t>development on a site of 1 ha or more.</w:t>
      </w:r>
    </w:p>
    <w:p w14:paraId="0A93588A" w14:textId="1DC8D178" w:rsidR="005E0BF5" w:rsidRPr="002E7654" w:rsidRDefault="005E06B1" w:rsidP="005E06B1">
      <w:pPr>
        <w:keepNext w:val="0"/>
        <w:autoSpaceDE w:val="0"/>
        <w:autoSpaceDN w:val="0"/>
        <w:adjustRightInd w:val="0"/>
        <w:spacing w:before="0"/>
        <w:ind w:left="851" w:firstLine="589"/>
        <w:rPr>
          <w:rFonts w:eastAsia="Arial" w:cs="Arial"/>
          <w:spacing w:val="-1"/>
        </w:rPr>
      </w:pPr>
      <w:r w:rsidRPr="002E7654">
        <w:rPr>
          <w:rFonts w:eastAsia="Arial" w:cs="Arial"/>
          <w:spacing w:val="-1"/>
        </w:rPr>
        <w:t xml:space="preserve">d) </w:t>
      </w:r>
      <w:r w:rsidRPr="002E7654">
        <w:rPr>
          <w:rFonts w:eastAsia="Arial" w:cs="Arial"/>
          <w:spacing w:val="-1"/>
        </w:rPr>
        <w:tab/>
        <w:t xml:space="preserve">minerals or waste development.        </w:t>
      </w:r>
    </w:p>
    <w:p w14:paraId="0B0D7E93" w14:textId="77777777" w:rsidR="00E84DEC" w:rsidRPr="00AA13E2" w:rsidRDefault="00E84DEC" w:rsidP="0090254E">
      <w:pPr>
        <w:keepNext w:val="0"/>
        <w:tabs>
          <w:tab w:val="num" w:pos="851"/>
        </w:tabs>
        <w:autoSpaceDE w:val="0"/>
        <w:autoSpaceDN w:val="0"/>
        <w:adjustRightInd w:val="0"/>
        <w:spacing w:before="0"/>
        <w:ind w:left="851" w:hanging="851"/>
        <w:rPr>
          <w:rFonts w:eastAsia="Arial" w:cs="Arial"/>
          <w:color w:val="auto"/>
          <w:spacing w:val="-1"/>
        </w:rPr>
      </w:pPr>
    </w:p>
    <w:bookmarkEnd w:id="173"/>
    <w:p w14:paraId="3C8F54C5" w14:textId="205AFC05" w:rsidR="00E87DB4" w:rsidRPr="002E7654" w:rsidRDefault="006B271E" w:rsidP="00973651">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2E7654">
        <w:rPr>
          <w:rFonts w:eastAsia="Arial" w:cs="Arial"/>
          <w:spacing w:val="-1"/>
        </w:rPr>
        <w:t xml:space="preserve">Where an </w:t>
      </w:r>
      <w:r w:rsidR="00E87DB4" w:rsidRPr="002E7654">
        <w:rPr>
          <w:rFonts w:eastAsia="Arial" w:cs="Arial"/>
          <w:spacing w:val="-1"/>
        </w:rPr>
        <w:t>Ecological Impact Assessment (</w:t>
      </w:r>
      <w:proofErr w:type="spellStart"/>
      <w:r w:rsidR="00E87DB4" w:rsidRPr="002E7654">
        <w:rPr>
          <w:rFonts w:eastAsia="Arial" w:cs="Arial"/>
          <w:spacing w:val="-1"/>
        </w:rPr>
        <w:t>EcIA</w:t>
      </w:r>
      <w:proofErr w:type="spellEnd"/>
      <w:r w:rsidR="00E87DB4" w:rsidRPr="002E7654">
        <w:rPr>
          <w:rFonts w:eastAsia="Arial" w:cs="Arial"/>
          <w:spacing w:val="-1"/>
        </w:rPr>
        <w:t>)</w:t>
      </w:r>
      <w:r w:rsidRPr="002E7654">
        <w:rPr>
          <w:rFonts w:eastAsia="Arial" w:cs="Arial"/>
          <w:spacing w:val="-1"/>
        </w:rPr>
        <w:t xml:space="preserve">, Written Statement or Preliminary Ecological Appraisal is required </w:t>
      </w:r>
      <w:r w:rsidR="00C6440F" w:rsidRPr="002E7654">
        <w:rPr>
          <w:rFonts w:eastAsia="Arial" w:cs="Arial"/>
          <w:spacing w:val="-1"/>
        </w:rPr>
        <w:t xml:space="preserve">there should be </w:t>
      </w:r>
      <w:r w:rsidR="00E87DB4" w:rsidRPr="002E7654">
        <w:rPr>
          <w:rFonts w:eastAsia="Arial" w:cs="Arial"/>
          <w:spacing w:val="-1"/>
        </w:rPr>
        <w:t>a specific section titled “Net gain for biodiversity”</w:t>
      </w:r>
      <w:r w:rsidR="00C6440F" w:rsidRPr="002E7654">
        <w:rPr>
          <w:rFonts w:eastAsia="Arial" w:cs="Arial"/>
          <w:spacing w:val="-1"/>
        </w:rPr>
        <w:t xml:space="preserve"> which </w:t>
      </w:r>
      <w:r w:rsidR="00E87DB4" w:rsidRPr="002E7654">
        <w:rPr>
          <w:rFonts w:eastAsia="Arial" w:cs="Arial"/>
          <w:spacing w:val="-1"/>
        </w:rPr>
        <w:t>clearly show</w:t>
      </w:r>
      <w:r w:rsidR="00C6440F" w:rsidRPr="002E7654">
        <w:rPr>
          <w:rFonts w:eastAsia="Arial" w:cs="Arial"/>
          <w:spacing w:val="-1"/>
        </w:rPr>
        <w:t>s</w:t>
      </w:r>
      <w:r w:rsidR="00E87DB4" w:rsidRPr="002E7654">
        <w:rPr>
          <w:rFonts w:eastAsia="Arial" w:cs="Arial"/>
          <w:spacing w:val="-1"/>
        </w:rPr>
        <w:t xml:space="preserve"> how the site has been assessed using the </w:t>
      </w:r>
      <w:r w:rsidR="00E87DB4" w:rsidRPr="00517692">
        <w:rPr>
          <w:rFonts w:eastAsia="Arial" w:cs="Arial"/>
          <w:strike/>
          <w:spacing w:val="-1"/>
        </w:rPr>
        <w:t>Defra</w:t>
      </w:r>
      <w:r w:rsidR="00E87DB4" w:rsidRPr="002E7654">
        <w:rPr>
          <w:rFonts w:eastAsia="Arial" w:cs="Arial"/>
          <w:spacing w:val="-1"/>
        </w:rPr>
        <w:t xml:space="preserve"> </w:t>
      </w:r>
      <w:r w:rsidR="00517692" w:rsidRPr="00BD666B">
        <w:rPr>
          <w:rFonts w:eastAsia="Arial" w:cs="Arial"/>
          <w:color w:val="0070C0"/>
          <w:spacing w:val="-1"/>
        </w:rPr>
        <w:t xml:space="preserve">Statutory </w:t>
      </w:r>
      <w:r w:rsidR="00E87DB4" w:rsidRPr="00BD666B">
        <w:rPr>
          <w:rFonts w:eastAsia="Arial" w:cs="Arial"/>
          <w:spacing w:val="-1"/>
        </w:rPr>
        <w:t>Bio</w:t>
      </w:r>
      <w:r w:rsidR="00E87DB4" w:rsidRPr="002E7654">
        <w:rPr>
          <w:rFonts w:eastAsia="Arial" w:cs="Arial"/>
          <w:spacing w:val="-1"/>
        </w:rPr>
        <w:t>diversity Metric</w:t>
      </w:r>
      <w:r w:rsidR="00973651" w:rsidRPr="002E7654">
        <w:rPr>
          <w:rFonts w:eastAsia="Arial" w:cs="Arial"/>
          <w:spacing w:val="-1"/>
        </w:rPr>
        <w:t xml:space="preserve"> or Small Sites Metric</w:t>
      </w:r>
      <w:r w:rsidR="00E87DB4" w:rsidRPr="002E7654">
        <w:rPr>
          <w:rFonts w:eastAsia="Arial" w:cs="Arial"/>
          <w:spacing w:val="-1"/>
        </w:rPr>
        <w:t xml:space="preserve">. This will demonstrate the baseline value of the site (before development) and the post-development value – where it is suspected that the baseline value of the site has been affected negatively prior to assessment the </w:t>
      </w:r>
      <w:r w:rsidR="00C6440F" w:rsidRPr="002E7654">
        <w:rPr>
          <w:rFonts w:eastAsia="Arial" w:cs="Arial"/>
          <w:spacing w:val="-1"/>
        </w:rPr>
        <w:t>Council</w:t>
      </w:r>
      <w:r w:rsidR="00E87DB4" w:rsidRPr="002E7654">
        <w:rPr>
          <w:rFonts w:eastAsia="Arial" w:cs="Arial"/>
          <w:spacing w:val="-1"/>
        </w:rPr>
        <w:t xml:space="preserve"> will require an assessment of the site based on the condition before such an occurrence (this may need to be based on previous aerial photos and/or historic information) and if there is any doubt of the Distinctiveness or Condition it will be assumed that the highest likely value will apply.              </w:t>
      </w:r>
    </w:p>
    <w:p w14:paraId="61B3E61A" w14:textId="77777777" w:rsidR="00E87DB4" w:rsidRPr="002E7654" w:rsidRDefault="00E87DB4" w:rsidP="0090254E">
      <w:pPr>
        <w:keepNext w:val="0"/>
        <w:tabs>
          <w:tab w:val="num" w:pos="851"/>
        </w:tabs>
        <w:autoSpaceDE w:val="0"/>
        <w:autoSpaceDN w:val="0"/>
        <w:adjustRightInd w:val="0"/>
        <w:spacing w:before="0"/>
        <w:ind w:left="851" w:hanging="851"/>
        <w:rPr>
          <w:rFonts w:eastAsia="Arial" w:cs="Arial"/>
          <w:spacing w:val="-1"/>
        </w:rPr>
      </w:pPr>
    </w:p>
    <w:p w14:paraId="604E6E9D" w14:textId="23306643" w:rsidR="00075861" w:rsidRPr="002E7654" w:rsidRDefault="00E87DB4" w:rsidP="0090254E">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2E7654">
        <w:rPr>
          <w:rFonts w:eastAsia="Arial" w:cs="Arial"/>
          <w:spacing w:val="-1"/>
        </w:rPr>
        <w:t xml:space="preserve">The objective should always be to deliver </w:t>
      </w:r>
      <w:r w:rsidR="00CE1E63" w:rsidRPr="002E7654">
        <w:rPr>
          <w:rFonts w:eastAsia="Arial" w:cs="Arial"/>
          <w:spacing w:val="-1"/>
        </w:rPr>
        <w:t xml:space="preserve">a </w:t>
      </w:r>
      <w:r w:rsidR="00D90FD5" w:rsidRPr="002E7654">
        <w:rPr>
          <w:rFonts w:eastAsia="Arial" w:cs="Arial"/>
          <w:spacing w:val="-1"/>
        </w:rPr>
        <w:t>minimum</w:t>
      </w:r>
      <w:r w:rsidR="00CE1E63" w:rsidRPr="002E7654">
        <w:rPr>
          <w:rFonts w:eastAsia="Arial" w:cs="Arial"/>
          <w:spacing w:val="-1"/>
        </w:rPr>
        <w:t xml:space="preserve"> of</w:t>
      </w:r>
      <w:r w:rsidR="00D90FD5" w:rsidRPr="002E7654">
        <w:rPr>
          <w:rFonts w:eastAsia="Arial" w:cs="Arial"/>
          <w:spacing w:val="-1"/>
        </w:rPr>
        <w:t xml:space="preserve"> </w:t>
      </w:r>
      <w:r w:rsidRPr="002E7654">
        <w:rPr>
          <w:rFonts w:eastAsia="Arial" w:cs="Arial"/>
          <w:spacing w:val="-1"/>
        </w:rPr>
        <w:t xml:space="preserve">10% </w:t>
      </w:r>
      <w:r w:rsidR="00CE1E63" w:rsidRPr="002E7654">
        <w:rPr>
          <w:rFonts w:eastAsia="Arial" w:cs="Arial"/>
          <w:spacing w:val="-1"/>
        </w:rPr>
        <w:t>n</w:t>
      </w:r>
      <w:r w:rsidRPr="002E7654">
        <w:rPr>
          <w:rFonts w:eastAsia="Arial" w:cs="Arial"/>
          <w:spacing w:val="-1"/>
        </w:rPr>
        <w:t>et gain for biodiversity on-site</w:t>
      </w:r>
      <w:r w:rsidR="00075861" w:rsidRPr="002E7654">
        <w:rPr>
          <w:rFonts w:eastAsia="Arial" w:cs="Arial"/>
          <w:spacing w:val="-1"/>
        </w:rPr>
        <w:t xml:space="preserve">, </w:t>
      </w:r>
      <w:r w:rsidRPr="002E7654">
        <w:rPr>
          <w:rFonts w:eastAsia="Arial" w:cs="Arial"/>
          <w:spacing w:val="-1"/>
        </w:rPr>
        <w:t xml:space="preserve">and </w:t>
      </w:r>
      <w:r w:rsidR="00075861" w:rsidRPr="002E7654">
        <w:rPr>
          <w:rFonts w:eastAsia="Arial" w:cs="Arial"/>
          <w:spacing w:val="-1"/>
        </w:rPr>
        <w:t xml:space="preserve">wherever possible, the Council will </w:t>
      </w:r>
      <w:r w:rsidR="00D62C17" w:rsidRPr="002E7654">
        <w:rPr>
          <w:rFonts w:eastAsia="Arial" w:cs="Arial"/>
          <w:spacing w:val="-1"/>
        </w:rPr>
        <w:t xml:space="preserve">endeavour to </w:t>
      </w:r>
      <w:r w:rsidR="00075861" w:rsidRPr="002E7654">
        <w:rPr>
          <w:rFonts w:eastAsia="Arial" w:cs="Arial"/>
          <w:spacing w:val="-1"/>
        </w:rPr>
        <w:t xml:space="preserve">pursue a higher target, subject to </w:t>
      </w:r>
      <w:r w:rsidR="00D62C17" w:rsidRPr="002E7654">
        <w:rPr>
          <w:rFonts w:eastAsia="Arial" w:cs="Arial"/>
          <w:spacing w:val="-1"/>
        </w:rPr>
        <w:t xml:space="preserve">local </w:t>
      </w:r>
      <w:r w:rsidR="00075861" w:rsidRPr="002E7654">
        <w:rPr>
          <w:rFonts w:eastAsia="Arial" w:cs="Arial"/>
          <w:spacing w:val="-1"/>
        </w:rPr>
        <w:t>evidence and plan-based or site-based viability assessments.  Promoters are encouraged to work through land equalisation measures, where appropriate, to ensure that the Biodiversity Net Gain can be achieved in the most efficient and appropriate way in the context of the entire allocation area.</w:t>
      </w:r>
    </w:p>
    <w:p w14:paraId="40DC0DF9" w14:textId="39C1F12F" w:rsidR="00075861" w:rsidRPr="00075861" w:rsidRDefault="00075861" w:rsidP="00075861">
      <w:pPr>
        <w:keepNext w:val="0"/>
        <w:autoSpaceDE w:val="0"/>
        <w:autoSpaceDN w:val="0"/>
        <w:adjustRightInd w:val="0"/>
        <w:spacing w:before="0"/>
        <w:rPr>
          <w:rFonts w:eastAsia="Arial" w:cs="Arial"/>
          <w:color w:val="auto"/>
          <w:spacing w:val="-1"/>
        </w:rPr>
      </w:pPr>
      <w:r>
        <w:rPr>
          <w:rFonts w:eastAsia="Arial" w:cs="Arial"/>
          <w:color w:val="4472C4" w:themeColor="accent1"/>
          <w:spacing w:val="-1"/>
        </w:rPr>
        <w:t xml:space="preserve"> </w:t>
      </w:r>
    </w:p>
    <w:p w14:paraId="0DCD33EF" w14:textId="2CA05A66" w:rsidR="00E87DB4" w:rsidRPr="0079686C" w:rsidRDefault="00C95E17" w:rsidP="0090254E">
      <w:pPr>
        <w:keepNext w:val="0"/>
        <w:numPr>
          <w:ilvl w:val="1"/>
          <w:numId w:val="5"/>
        </w:numPr>
        <w:tabs>
          <w:tab w:val="clear" w:pos="525"/>
          <w:tab w:val="num" w:pos="851"/>
        </w:tabs>
        <w:autoSpaceDE w:val="0"/>
        <w:autoSpaceDN w:val="0"/>
        <w:adjustRightInd w:val="0"/>
        <w:spacing w:before="0"/>
        <w:ind w:left="851" w:hanging="851"/>
        <w:rPr>
          <w:rFonts w:eastAsia="Arial" w:cs="Arial"/>
          <w:color w:val="auto"/>
          <w:spacing w:val="-1"/>
        </w:rPr>
      </w:pPr>
      <w:r>
        <w:rPr>
          <w:rFonts w:eastAsia="Arial" w:cs="Arial"/>
          <w:color w:val="auto"/>
          <w:spacing w:val="-1"/>
        </w:rPr>
        <w:t>I</w:t>
      </w:r>
      <w:r w:rsidR="00E87DB4" w:rsidRPr="00AA13E2">
        <w:rPr>
          <w:rFonts w:eastAsia="Arial" w:cs="Arial"/>
          <w:color w:val="auto"/>
          <w:spacing w:val="-1"/>
        </w:rPr>
        <w:t xml:space="preserve">t will be essential to </w:t>
      </w:r>
      <w:r w:rsidR="00E87DB4" w:rsidRPr="002E7654">
        <w:rPr>
          <w:rFonts w:eastAsia="Arial" w:cs="Arial"/>
          <w:spacing w:val="-1"/>
        </w:rPr>
        <w:t xml:space="preserve">appoint </w:t>
      </w:r>
      <w:r w:rsidR="00CE1E63" w:rsidRPr="002E7654">
        <w:rPr>
          <w:rFonts w:eastAsia="Arial" w:cs="Arial"/>
          <w:spacing w:val="-1"/>
        </w:rPr>
        <w:t>a suitably qualified Ecologist</w:t>
      </w:r>
      <w:r w:rsidR="00C96B5E" w:rsidRPr="002E7654">
        <w:rPr>
          <w:rFonts w:eastAsia="Arial" w:cs="Arial"/>
          <w:spacing w:val="-1"/>
        </w:rPr>
        <w:t xml:space="preserve"> </w:t>
      </w:r>
      <w:r w:rsidR="00C96B5E" w:rsidRPr="002E7654">
        <w:rPr>
          <w:rStyle w:val="FootnoteReference"/>
          <w:rFonts w:eastAsia="Arial" w:cs="Arial"/>
          <w:spacing w:val="-1"/>
        </w:rPr>
        <w:footnoteReference w:id="86"/>
      </w:r>
      <w:r w:rsidR="00CE1E63" w:rsidRPr="002E7654">
        <w:rPr>
          <w:rFonts w:eastAsia="Arial" w:cs="Arial"/>
          <w:spacing w:val="-1"/>
        </w:rPr>
        <w:t xml:space="preserve"> </w:t>
      </w:r>
      <w:r w:rsidR="00E87DB4" w:rsidRPr="002E7654">
        <w:rPr>
          <w:rFonts w:eastAsia="Arial" w:cs="Arial"/>
          <w:spacing w:val="-1"/>
        </w:rPr>
        <w:t xml:space="preserve">at the earliest stage to be involved in the iterative </w:t>
      </w:r>
      <w:r w:rsidR="00C6440F" w:rsidRPr="002E7654">
        <w:rPr>
          <w:rFonts w:eastAsia="Arial" w:cs="Arial"/>
          <w:spacing w:val="-1"/>
        </w:rPr>
        <w:t>d</w:t>
      </w:r>
      <w:r w:rsidR="00E87DB4" w:rsidRPr="002E7654">
        <w:rPr>
          <w:rFonts w:eastAsia="Arial" w:cs="Arial"/>
          <w:spacing w:val="-1"/>
        </w:rPr>
        <w:t xml:space="preserve">esign stage of the layout, the </w:t>
      </w:r>
      <w:r w:rsidR="00CE1E63" w:rsidRPr="002E7654">
        <w:rPr>
          <w:rFonts w:eastAsia="Arial" w:cs="Arial"/>
          <w:spacing w:val="-1"/>
        </w:rPr>
        <w:t xml:space="preserve">Ecologist </w:t>
      </w:r>
      <w:r w:rsidR="00E87DB4" w:rsidRPr="002E7654">
        <w:rPr>
          <w:rFonts w:eastAsia="Arial" w:cs="Arial"/>
          <w:spacing w:val="-1"/>
        </w:rPr>
        <w:t xml:space="preserve">should work closely with the Landscape Architect and Urban Designers to consider which options of the layout lead to the best possible outcome for achieving Net gain for biodiversity on-site. This type of information should be included in the Design </w:t>
      </w:r>
      <w:r w:rsidR="00C6440F" w:rsidRPr="00AA13E2">
        <w:rPr>
          <w:rFonts w:eastAsia="Arial" w:cs="Arial"/>
          <w:color w:val="auto"/>
          <w:spacing w:val="-1"/>
        </w:rPr>
        <w:t>and</w:t>
      </w:r>
      <w:r w:rsidR="00E87DB4" w:rsidRPr="00AA13E2">
        <w:rPr>
          <w:rFonts w:eastAsia="Arial" w:cs="Arial"/>
          <w:color w:val="auto"/>
          <w:spacing w:val="-1"/>
        </w:rPr>
        <w:t xml:space="preserve"> Access Statement (if appropriate) whereby different Options of layout are shown with their corresponding different Biodiversity Unit impacts – together with an explanation why one option has been chosen over another where the layout </w:t>
      </w:r>
      <w:r w:rsidR="00E87DB4" w:rsidRPr="0079686C">
        <w:rPr>
          <w:rFonts w:eastAsia="Arial" w:cs="Arial"/>
          <w:color w:val="auto"/>
          <w:spacing w:val="-1"/>
        </w:rPr>
        <w:t xml:space="preserve">resulting in the lowest impact on biodiversity has not been taken forward to the proposed layout stage. </w:t>
      </w:r>
    </w:p>
    <w:p w14:paraId="144E17E4" w14:textId="77777777" w:rsidR="00E87DB4" w:rsidRPr="0079686C" w:rsidRDefault="00E87DB4" w:rsidP="0090254E">
      <w:pPr>
        <w:keepNext w:val="0"/>
        <w:tabs>
          <w:tab w:val="num" w:pos="851"/>
        </w:tabs>
        <w:autoSpaceDE w:val="0"/>
        <w:autoSpaceDN w:val="0"/>
        <w:adjustRightInd w:val="0"/>
        <w:spacing w:before="0"/>
        <w:ind w:left="851" w:hanging="851"/>
        <w:rPr>
          <w:rFonts w:eastAsia="Arial" w:cs="Arial"/>
          <w:color w:val="auto"/>
          <w:spacing w:val="-1"/>
        </w:rPr>
      </w:pPr>
    </w:p>
    <w:p w14:paraId="6CE1741C" w14:textId="5A20E202" w:rsidR="002A6911" w:rsidRDefault="00E87DB4" w:rsidP="00D726D5">
      <w:pPr>
        <w:keepNext w:val="0"/>
        <w:numPr>
          <w:ilvl w:val="1"/>
          <w:numId w:val="5"/>
        </w:numPr>
        <w:tabs>
          <w:tab w:val="clear" w:pos="525"/>
          <w:tab w:val="num" w:pos="851"/>
        </w:tabs>
        <w:autoSpaceDE w:val="0"/>
        <w:autoSpaceDN w:val="0"/>
        <w:adjustRightInd w:val="0"/>
        <w:spacing w:before="0"/>
        <w:ind w:left="851" w:hanging="851"/>
        <w:rPr>
          <w:rFonts w:eastAsia="Arial" w:cs="Arial"/>
          <w:color w:val="auto"/>
          <w:spacing w:val="-1"/>
        </w:rPr>
      </w:pPr>
      <w:r w:rsidRPr="0079686C">
        <w:rPr>
          <w:rFonts w:eastAsia="Arial" w:cs="Arial"/>
          <w:color w:val="auto"/>
          <w:spacing w:val="-1"/>
        </w:rPr>
        <w:t xml:space="preserve">Evidence is required in the </w:t>
      </w:r>
      <w:proofErr w:type="spellStart"/>
      <w:r w:rsidRPr="0079686C">
        <w:rPr>
          <w:rFonts w:eastAsia="Arial" w:cs="Arial"/>
          <w:color w:val="auto"/>
          <w:spacing w:val="-1"/>
        </w:rPr>
        <w:t>EcIA</w:t>
      </w:r>
      <w:proofErr w:type="spellEnd"/>
      <w:r w:rsidRPr="0079686C">
        <w:rPr>
          <w:rFonts w:eastAsia="Arial" w:cs="Arial"/>
          <w:color w:val="auto"/>
          <w:spacing w:val="-1"/>
        </w:rPr>
        <w:t xml:space="preserve"> to demonstrate the Ecological Consultant has been involved in the initial </w:t>
      </w:r>
      <w:r w:rsidR="00C6440F" w:rsidRPr="0079686C">
        <w:rPr>
          <w:rFonts w:eastAsia="Arial" w:cs="Arial"/>
          <w:color w:val="auto"/>
          <w:spacing w:val="-1"/>
        </w:rPr>
        <w:t>d</w:t>
      </w:r>
      <w:r w:rsidRPr="0079686C">
        <w:rPr>
          <w:rFonts w:eastAsia="Arial" w:cs="Arial"/>
          <w:color w:val="auto"/>
          <w:spacing w:val="-1"/>
        </w:rPr>
        <w:t xml:space="preserve">esign of the layout in a meaningful way to help achieve a Net gain for biodiversity. </w:t>
      </w:r>
      <w:r w:rsidR="0090254E" w:rsidRPr="0079686C">
        <w:rPr>
          <w:rFonts w:eastAsia="Arial" w:cs="Arial"/>
          <w:color w:val="auto"/>
          <w:spacing w:val="-1"/>
        </w:rPr>
        <w:t xml:space="preserve"> </w:t>
      </w:r>
      <w:r w:rsidR="00A90ACD" w:rsidRPr="0079686C">
        <w:rPr>
          <w:rFonts w:eastAsia="Arial" w:cs="Arial"/>
          <w:color w:val="auto"/>
          <w:spacing w:val="-1"/>
        </w:rPr>
        <w:t>As set out in paragraph 180 of the NPPF, t</w:t>
      </w:r>
      <w:r w:rsidRPr="0079686C">
        <w:rPr>
          <w:rFonts w:eastAsia="Arial" w:cs="Arial"/>
          <w:color w:val="auto"/>
          <w:spacing w:val="-1"/>
        </w:rPr>
        <w:t xml:space="preserve">his should include reference to the Mitigation Hierarchy of </w:t>
      </w:r>
      <w:r w:rsidR="00C6440F" w:rsidRPr="0079686C">
        <w:rPr>
          <w:rFonts w:eastAsia="Arial" w:cs="Arial"/>
          <w:color w:val="auto"/>
          <w:spacing w:val="-1"/>
        </w:rPr>
        <w:t>a</w:t>
      </w:r>
      <w:r w:rsidRPr="0079686C">
        <w:rPr>
          <w:rFonts w:eastAsia="Arial" w:cs="Arial"/>
          <w:color w:val="auto"/>
          <w:spacing w:val="-1"/>
        </w:rPr>
        <w:t xml:space="preserve">voiding damage to sensitive </w:t>
      </w:r>
      <w:r w:rsidRPr="0079686C">
        <w:rPr>
          <w:rFonts w:eastAsia="Arial" w:cs="Arial"/>
          <w:color w:val="auto"/>
          <w:spacing w:val="-1"/>
        </w:rPr>
        <w:lastRenderedPageBreak/>
        <w:t xml:space="preserve">ecological features, Minimising impacts on such sensitive ecological features, and where these first two steps cannot be achieved (with an explanation to justify why not) finally consider what level of </w:t>
      </w:r>
      <w:r w:rsidR="00C6440F" w:rsidRPr="0079686C">
        <w:rPr>
          <w:rFonts w:eastAsia="Arial" w:cs="Arial"/>
          <w:color w:val="auto"/>
          <w:spacing w:val="-1"/>
        </w:rPr>
        <w:t>c</w:t>
      </w:r>
      <w:r w:rsidRPr="0079686C">
        <w:rPr>
          <w:rFonts w:eastAsia="Arial" w:cs="Arial"/>
          <w:color w:val="auto"/>
          <w:spacing w:val="-1"/>
        </w:rPr>
        <w:t>ompensation will be required either on-site or off-site (or both)</w:t>
      </w:r>
      <w:r w:rsidR="00FA7D5B" w:rsidRPr="0079686C">
        <w:rPr>
          <w:rFonts w:eastAsia="Arial" w:cs="Arial"/>
          <w:color w:val="auto"/>
          <w:spacing w:val="-1"/>
        </w:rPr>
        <w:t xml:space="preserve">, </w:t>
      </w:r>
      <w:r w:rsidR="00A90ACD" w:rsidRPr="0079686C">
        <w:rPr>
          <w:rFonts w:eastAsia="Arial" w:cs="Arial"/>
          <w:color w:val="auto"/>
          <w:spacing w:val="-1"/>
        </w:rPr>
        <w:t xml:space="preserve">this could take the form of a </w:t>
      </w:r>
      <w:r w:rsidR="00A90ACD" w:rsidRPr="00377997">
        <w:rPr>
          <w:rFonts w:eastAsia="Arial" w:cs="Arial"/>
          <w:color w:val="auto"/>
          <w:spacing w:val="-1"/>
        </w:rPr>
        <w:t>Section 106 Agreement</w:t>
      </w:r>
      <w:r w:rsidR="007556D5">
        <w:rPr>
          <w:rFonts w:eastAsia="Arial" w:cs="Arial"/>
          <w:color w:val="auto"/>
          <w:spacing w:val="-1"/>
        </w:rPr>
        <w:t xml:space="preserve"> or conservation covenant.</w:t>
      </w:r>
    </w:p>
    <w:p w14:paraId="43CE1A68" w14:textId="77777777" w:rsidR="007556D5" w:rsidRPr="0079686C" w:rsidRDefault="007556D5" w:rsidP="007556D5">
      <w:pPr>
        <w:keepNext w:val="0"/>
        <w:autoSpaceDE w:val="0"/>
        <w:autoSpaceDN w:val="0"/>
        <w:adjustRightInd w:val="0"/>
        <w:spacing w:before="0"/>
        <w:rPr>
          <w:rFonts w:eastAsia="Arial" w:cs="Arial"/>
          <w:color w:val="auto"/>
          <w:spacing w:val="-1"/>
        </w:rPr>
      </w:pPr>
    </w:p>
    <w:p w14:paraId="4D3592AC" w14:textId="66D6D525" w:rsidR="002A6911" w:rsidRPr="0079686C" w:rsidRDefault="00AA13E2" w:rsidP="002A6911">
      <w:pPr>
        <w:keepNext w:val="0"/>
        <w:tabs>
          <w:tab w:val="num" w:pos="851"/>
        </w:tabs>
        <w:autoSpaceDE w:val="0"/>
        <w:autoSpaceDN w:val="0"/>
        <w:adjustRightInd w:val="0"/>
        <w:spacing w:before="0"/>
        <w:ind w:left="851" w:hanging="851"/>
        <w:rPr>
          <w:rFonts w:eastAsia="Arial" w:cs="Arial"/>
          <w:b/>
          <w:bCs/>
          <w:color w:val="auto"/>
          <w:spacing w:val="-1"/>
        </w:rPr>
      </w:pPr>
      <w:r w:rsidRPr="0079686C">
        <w:rPr>
          <w:rFonts w:eastAsia="Arial" w:cs="Arial"/>
          <w:color w:val="auto"/>
          <w:spacing w:val="-1"/>
        </w:rPr>
        <w:t xml:space="preserve"> </w:t>
      </w:r>
      <w:bookmarkEnd w:id="174"/>
      <w:r w:rsidR="00903178" w:rsidRPr="0079686C">
        <w:rPr>
          <w:rFonts w:eastAsia="Arial" w:cs="Arial"/>
          <w:color w:val="auto"/>
          <w:spacing w:val="-1"/>
        </w:rPr>
        <w:tab/>
      </w:r>
      <w:r w:rsidR="002A6911" w:rsidRPr="0079686C">
        <w:rPr>
          <w:rFonts w:eastAsia="Arial" w:cs="Arial"/>
          <w:b/>
          <w:bCs/>
          <w:color w:val="auto"/>
          <w:spacing w:val="-1"/>
        </w:rPr>
        <w:t>Possible Potential Special Protection Area (</w:t>
      </w:r>
      <w:proofErr w:type="spellStart"/>
      <w:r w:rsidR="002A6911" w:rsidRPr="0079686C">
        <w:rPr>
          <w:rFonts w:eastAsia="Arial" w:cs="Arial"/>
          <w:b/>
          <w:bCs/>
          <w:color w:val="auto"/>
          <w:spacing w:val="-1"/>
        </w:rPr>
        <w:t>ppSPA</w:t>
      </w:r>
      <w:proofErr w:type="spellEnd"/>
      <w:r w:rsidR="002A6911" w:rsidRPr="0079686C">
        <w:rPr>
          <w:rFonts w:eastAsia="Arial" w:cs="Arial"/>
          <w:b/>
          <w:bCs/>
          <w:color w:val="auto"/>
          <w:spacing w:val="-1"/>
        </w:rPr>
        <w:t>)</w:t>
      </w:r>
    </w:p>
    <w:p w14:paraId="1B48B80A" w14:textId="63CB870D" w:rsidR="002A6911" w:rsidRPr="00DA17F4" w:rsidRDefault="002A6911" w:rsidP="00903178">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79686C">
        <w:rPr>
          <w:rFonts w:eastAsia="Arial" w:cs="Arial"/>
          <w:color w:val="auto"/>
          <w:spacing w:val="-1"/>
        </w:rPr>
        <w:t xml:space="preserve">The UK government </w:t>
      </w:r>
      <w:r w:rsidRPr="00DA17F4">
        <w:rPr>
          <w:rFonts w:eastAsia="Arial" w:cs="Arial"/>
          <w:spacing w:val="-1"/>
        </w:rPr>
        <w:t xml:space="preserve">is required to identify how it can contribute to the conservation of </w:t>
      </w:r>
      <w:proofErr w:type="gramStart"/>
      <w:r w:rsidRPr="00DA17F4">
        <w:rPr>
          <w:rFonts w:eastAsia="Arial" w:cs="Arial"/>
          <w:spacing w:val="-1"/>
        </w:rPr>
        <w:t>particular bird</w:t>
      </w:r>
      <w:proofErr w:type="gramEnd"/>
      <w:r w:rsidRPr="00DA17F4">
        <w:rPr>
          <w:rFonts w:eastAsia="Arial" w:cs="Arial"/>
          <w:spacing w:val="-1"/>
        </w:rPr>
        <w:t xml:space="preserve"> species across their natural range in Europe through the protection of suitable sites. In doing this exercise it has identified that the populations of nightjar and woodlark in Sherwood may warrant such protection. A final decision has not been </w:t>
      </w:r>
      <w:proofErr w:type="gramStart"/>
      <w:r w:rsidRPr="00DA17F4">
        <w:rPr>
          <w:rFonts w:eastAsia="Arial" w:cs="Arial"/>
          <w:spacing w:val="-1"/>
        </w:rPr>
        <w:t>made</w:t>
      </w:r>
      <w:proofErr w:type="gramEnd"/>
      <w:r w:rsidRPr="00DA17F4">
        <w:rPr>
          <w:rFonts w:eastAsia="Arial" w:cs="Arial"/>
          <w:spacing w:val="-1"/>
        </w:rPr>
        <w:t xml:space="preserve"> and it remains under consideration as part of a UK-wide SPA Review Programme being led by the Joint Nature Conservation Committee. The Council will utilise Natural England’s Advice Note to Local Planning Authorities</w:t>
      </w:r>
      <w:r w:rsidR="007556D5">
        <w:rPr>
          <w:rStyle w:val="FootnoteReference"/>
          <w:rFonts w:eastAsia="Arial" w:cs="Arial"/>
          <w:spacing w:val="-1"/>
        </w:rPr>
        <w:footnoteReference w:id="87"/>
      </w:r>
      <w:r w:rsidRPr="00DA17F4">
        <w:rPr>
          <w:rFonts w:eastAsia="Arial" w:cs="Arial"/>
          <w:spacing w:val="-1"/>
        </w:rPr>
        <w:t xml:space="preserve"> regarding the consideration of likely effects on the breeding population of nightjar and woodlark in the Sherwood Forest region as the basis of its approach to planning applications potentially impact on the possible potential Special Protection Area (</w:t>
      </w:r>
      <w:proofErr w:type="spellStart"/>
      <w:r w:rsidRPr="00DA17F4">
        <w:rPr>
          <w:rFonts w:eastAsia="Arial" w:cs="Arial"/>
          <w:spacing w:val="-1"/>
        </w:rPr>
        <w:t>ppSPA</w:t>
      </w:r>
      <w:proofErr w:type="spellEnd"/>
      <w:r w:rsidRPr="00DA17F4">
        <w:rPr>
          <w:rFonts w:eastAsia="Arial" w:cs="Arial"/>
          <w:spacing w:val="-1"/>
        </w:rPr>
        <w:t>).</w:t>
      </w:r>
    </w:p>
    <w:p w14:paraId="4FC90C28" w14:textId="77777777" w:rsidR="002A6911" w:rsidRPr="00DA17F4" w:rsidRDefault="002A6911" w:rsidP="002A6911">
      <w:pPr>
        <w:keepNext w:val="0"/>
        <w:tabs>
          <w:tab w:val="num" w:pos="851"/>
        </w:tabs>
        <w:autoSpaceDE w:val="0"/>
        <w:autoSpaceDN w:val="0"/>
        <w:adjustRightInd w:val="0"/>
        <w:spacing w:before="0"/>
        <w:ind w:left="851" w:hanging="851"/>
        <w:rPr>
          <w:rFonts w:eastAsia="Arial" w:cs="Arial"/>
          <w:spacing w:val="-1"/>
        </w:rPr>
      </w:pPr>
    </w:p>
    <w:p w14:paraId="2921A100" w14:textId="5BA67F0E" w:rsidR="00EA346C" w:rsidRDefault="00EA346C" w:rsidP="00EA346C">
      <w:pPr>
        <w:keepNext w:val="0"/>
        <w:autoSpaceDE w:val="0"/>
        <w:autoSpaceDN w:val="0"/>
        <w:adjustRightInd w:val="0"/>
        <w:spacing w:before="0"/>
        <w:rPr>
          <w:rFonts w:eastAsia="Arial" w:cs="Arial"/>
          <w:color w:val="auto"/>
          <w:spacing w:val="-1"/>
        </w:rPr>
      </w:pPr>
    </w:p>
    <w:p w14:paraId="6FC12413" w14:textId="77777777" w:rsidR="00263F59" w:rsidRPr="00263F59" w:rsidRDefault="00263F59" w:rsidP="003B5B6A">
      <w:pPr>
        <w:keepNext w:val="0"/>
        <w:autoSpaceDE w:val="0"/>
        <w:autoSpaceDN w:val="0"/>
        <w:adjustRightInd w:val="0"/>
        <w:spacing w:before="0"/>
        <w:rPr>
          <w:rFonts w:eastAsia="Arial" w:cs="Arial"/>
          <w:color w:val="auto"/>
          <w:spacing w:val="-1"/>
        </w:rPr>
      </w:pPr>
    </w:p>
    <w:p w14:paraId="0654C63D" w14:textId="77777777" w:rsidR="00B02ACB" w:rsidRDefault="00B02ACB" w:rsidP="00995322">
      <w:pPr>
        <w:pStyle w:val="Heading2"/>
        <w:jc w:val="left"/>
        <w:rPr>
          <w:rFonts w:eastAsia="Arial"/>
          <w:sz w:val="28"/>
          <w:szCs w:val="28"/>
        </w:rPr>
      </w:pPr>
      <w:bookmarkStart w:id="175" w:name="_Toc500408757"/>
      <w:bookmarkStart w:id="176" w:name="_Toc145511579"/>
    </w:p>
    <w:p w14:paraId="68F0F86A" w14:textId="04B09BC7" w:rsidR="003B5B6A" w:rsidRPr="00995322" w:rsidRDefault="006977E7" w:rsidP="00995322">
      <w:pPr>
        <w:pStyle w:val="Heading2"/>
        <w:jc w:val="left"/>
        <w:rPr>
          <w:rFonts w:eastAsia="Arial"/>
          <w:sz w:val="28"/>
          <w:szCs w:val="28"/>
        </w:rPr>
      </w:pPr>
      <w:r w:rsidRPr="00995322">
        <w:rPr>
          <w:rFonts w:eastAsia="Arial"/>
          <w:sz w:val="28"/>
          <w:szCs w:val="28"/>
        </w:rPr>
        <w:t xml:space="preserve">Policy </w:t>
      </w:r>
      <w:r w:rsidR="003B5B6A" w:rsidRPr="00995322">
        <w:rPr>
          <w:rFonts w:eastAsia="Arial"/>
          <w:sz w:val="28"/>
          <w:szCs w:val="28"/>
        </w:rPr>
        <w:t>EV5: Protection of Green Spaces and Recreation Facilities</w:t>
      </w:r>
      <w:bookmarkEnd w:id="175"/>
      <w:bookmarkEnd w:id="176"/>
    </w:p>
    <w:p w14:paraId="32308E3C" w14:textId="77777777" w:rsidR="003B5B6A" w:rsidRDefault="003B5B6A" w:rsidP="003B5B6A">
      <w:pPr>
        <w:keepNext w:val="0"/>
        <w:autoSpaceDE w:val="0"/>
        <w:autoSpaceDN w:val="0"/>
        <w:adjustRightInd w:val="0"/>
        <w:spacing w:before="0"/>
        <w:rPr>
          <w:rFonts w:eastAsia="Arial" w:cs="Arial"/>
          <w:spacing w:val="-1"/>
        </w:rPr>
      </w:pPr>
    </w:p>
    <w:p w14:paraId="51E304A7" w14:textId="58C6C782" w:rsidR="003F22C3" w:rsidRDefault="003F22C3" w:rsidP="0059751A">
      <w:pPr>
        <w:pStyle w:val="ListParagraph"/>
        <w:numPr>
          <w:ilvl w:val="1"/>
          <w:numId w:val="5"/>
        </w:numPr>
        <w:tabs>
          <w:tab w:val="clear" w:pos="525"/>
        </w:tabs>
        <w:ind w:left="851" w:hanging="851"/>
        <w:rPr>
          <w:rFonts w:ascii="Arial" w:eastAsia="Arial" w:hAnsi="Arial" w:cs="Arial"/>
          <w:spacing w:val="-1"/>
          <w:szCs w:val="20"/>
          <w:lang w:eastAsia="en-GB"/>
        </w:rPr>
      </w:pPr>
      <w:r w:rsidRPr="003F22C3">
        <w:rPr>
          <w:rFonts w:ascii="Arial" w:eastAsia="Arial" w:hAnsi="Arial" w:cs="Arial"/>
          <w:spacing w:val="-1"/>
          <w:szCs w:val="20"/>
          <w:lang w:eastAsia="en-GB"/>
        </w:rPr>
        <w:t>This policy aims to protect green spaces</w:t>
      </w:r>
      <w:r w:rsidR="00D31C32" w:rsidRPr="002C51B9">
        <w:rPr>
          <w:rFonts w:ascii="Arial" w:eastAsia="Arial" w:hAnsi="Arial" w:cs="Arial"/>
          <w:color w:val="0070C0"/>
          <w:spacing w:val="-1"/>
          <w:szCs w:val="20"/>
          <w:lang w:eastAsia="en-GB"/>
        </w:rPr>
        <w:t>, sport</w:t>
      </w:r>
      <w:r w:rsidRPr="002C51B9">
        <w:rPr>
          <w:rFonts w:ascii="Arial" w:eastAsia="Arial" w:hAnsi="Arial" w:cs="Arial"/>
          <w:color w:val="0070C0"/>
          <w:spacing w:val="-1"/>
          <w:szCs w:val="20"/>
          <w:lang w:eastAsia="en-GB"/>
        </w:rPr>
        <w:t xml:space="preserve"> </w:t>
      </w:r>
      <w:r w:rsidRPr="003F22C3">
        <w:rPr>
          <w:rFonts w:ascii="Arial" w:eastAsia="Arial" w:hAnsi="Arial" w:cs="Arial"/>
          <w:spacing w:val="-1"/>
          <w:szCs w:val="20"/>
          <w:lang w:eastAsia="en-GB"/>
        </w:rPr>
        <w:t>and recreational facilities</w:t>
      </w:r>
      <w:r w:rsidR="002C51B9">
        <w:rPr>
          <w:rFonts w:ascii="Arial" w:eastAsia="Arial" w:hAnsi="Arial" w:cs="Arial"/>
          <w:color w:val="0070C0"/>
          <w:spacing w:val="-1"/>
          <w:szCs w:val="20"/>
          <w:lang w:eastAsia="en-GB"/>
        </w:rPr>
        <w:t>, including playing fields,</w:t>
      </w:r>
      <w:r w:rsidRPr="003F22C3">
        <w:rPr>
          <w:rFonts w:ascii="Arial" w:eastAsia="Arial" w:hAnsi="Arial" w:cs="Arial"/>
          <w:spacing w:val="-1"/>
          <w:szCs w:val="20"/>
          <w:lang w:eastAsia="en-GB"/>
        </w:rPr>
        <w:t xml:space="preserve"> and sets out the criteria against which the loss or partial loss would be considered.  </w:t>
      </w:r>
    </w:p>
    <w:tbl>
      <w:tblPr>
        <w:tblStyle w:val="TableGrid8"/>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664"/>
        <w:gridCol w:w="6955"/>
      </w:tblGrid>
      <w:tr w:rsidR="00B42C71" w:rsidRPr="00B42C71" w14:paraId="45A356B8" w14:textId="77777777" w:rsidTr="007C6CA4">
        <w:tc>
          <w:tcPr>
            <w:tcW w:w="9628" w:type="dxa"/>
            <w:gridSpan w:val="2"/>
          </w:tcPr>
          <w:p w14:paraId="1B8D012B" w14:textId="77777777" w:rsidR="007C6CA4" w:rsidRDefault="007C6CA4" w:rsidP="00FF3EAD">
            <w:pPr>
              <w:keepNext w:val="0"/>
              <w:spacing w:before="0"/>
              <w:jc w:val="left"/>
              <w:rPr>
                <w:b/>
                <w:bCs/>
                <w:color w:val="auto"/>
              </w:rPr>
            </w:pPr>
          </w:p>
          <w:p w14:paraId="37CA3A6B" w14:textId="642FDF0E" w:rsidR="00B42C71" w:rsidRDefault="00B42C71" w:rsidP="00FF3EAD">
            <w:pPr>
              <w:keepNext w:val="0"/>
              <w:spacing w:before="0"/>
              <w:jc w:val="left"/>
              <w:rPr>
                <w:b/>
                <w:bCs/>
                <w:color w:val="auto"/>
              </w:rPr>
            </w:pPr>
            <w:r w:rsidRPr="00B42C71">
              <w:rPr>
                <w:b/>
                <w:bCs/>
                <w:color w:val="auto"/>
              </w:rPr>
              <w:t>Policy EV5: Protection of Green Spaces and Recreation Facilities</w:t>
            </w:r>
          </w:p>
          <w:p w14:paraId="790811E4" w14:textId="2233C99C" w:rsidR="007C6CA4" w:rsidRPr="00B42C71" w:rsidRDefault="007C6CA4" w:rsidP="00FF3EAD">
            <w:pPr>
              <w:keepNext w:val="0"/>
              <w:spacing w:before="0"/>
              <w:jc w:val="left"/>
              <w:rPr>
                <w:b/>
                <w:bCs/>
                <w:color w:val="auto"/>
              </w:rPr>
            </w:pPr>
          </w:p>
        </w:tc>
      </w:tr>
      <w:tr w:rsidR="00B42C71" w:rsidRPr="00B42C71" w14:paraId="7B27ED26" w14:textId="77777777" w:rsidTr="007C6CA4">
        <w:tc>
          <w:tcPr>
            <w:tcW w:w="2666" w:type="dxa"/>
          </w:tcPr>
          <w:p w14:paraId="2642AEE1" w14:textId="77777777" w:rsidR="00B42C71" w:rsidRPr="00B42C71" w:rsidRDefault="00B42C71" w:rsidP="00FF3EAD">
            <w:pPr>
              <w:keepNext w:val="0"/>
              <w:spacing w:before="0"/>
              <w:jc w:val="left"/>
              <w:rPr>
                <w:color w:val="auto"/>
              </w:rPr>
            </w:pPr>
            <w:r w:rsidRPr="00B42C71">
              <w:rPr>
                <w:color w:val="auto"/>
              </w:rPr>
              <w:t>Strategic Objectives</w:t>
            </w:r>
          </w:p>
        </w:tc>
        <w:tc>
          <w:tcPr>
            <w:tcW w:w="6962" w:type="dxa"/>
          </w:tcPr>
          <w:p w14:paraId="673BC600" w14:textId="77777777" w:rsidR="00B42C71" w:rsidRPr="00B42C71" w:rsidRDefault="00B42C71" w:rsidP="00FF3EAD">
            <w:pPr>
              <w:keepNext w:val="0"/>
              <w:spacing w:before="0"/>
              <w:jc w:val="left"/>
              <w:rPr>
                <w:color w:val="auto"/>
              </w:rPr>
            </w:pPr>
            <w:r w:rsidRPr="00B42C71">
              <w:rPr>
                <w:color w:val="auto"/>
              </w:rPr>
              <w:t>SO1, SO2, SO4, SO5, SO14.</w:t>
            </w:r>
          </w:p>
        </w:tc>
      </w:tr>
      <w:tr w:rsidR="00B42C71" w:rsidRPr="00B42C71" w14:paraId="079466AC" w14:textId="77777777" w:rsidTr="007C6CA4">
        <w:tc>
          <w:tcPr>
            <w:tcW w:w="9628" w:type="dxa"/>
            <w:gridSpan w:val="2"/>
            <w:shd w:val="clear" w:color="auto" w:fill="E2EFD9"/>
          </w:tcPr>
          <w:p w14:paraId="45C1D45F" w14:textId="77777777" w:rsidR="00B42C71" w:rsidRPr="00B42C71" w:rsidRDefault="00B42C71" w:rsidP="00FF3EAD">
            <w:pPr>
              <w:keepNext w:val="0"/>
              <w:spacing w:before="0"/>
              <w:jc w:val="left"/>
              <w:rPr>
                <w:color w:val="auto"/>
              </w:rPr>
            </w:pPr>
          </w:p>
          <w:p w14:paraId="37FD2D3C" w14:textId="6C231803" w:rsidR="00B42C71" w:rsidRPr="00B42C71" w:rsidRDefault="00B42C71" w:rsidP="00874A98">
            <w:pPr>
              <w:keepNext w:val="0"/>
              <w:numPr>
                <w:ilvl w:val="0"/>
                <w:numId w:val="245"/>
              </w:numPr>
              <w:spacing w:before="0"/>
              <w:contextualSpacing/>
              <w:jc w:val="left"/>
              <w:rPr>
                <w:color w:val="auto"/>
              </w:rPr>
            </w:pPr>
            <w:r w:rsidRPr="00B42C71">
              <w:rPr>
                <w:color w:val="auto"/>
              </w:rPr>
              <w:t>Green spaces</w:t>
            </w:r>
            <w:r w:rsidR="00A7066F" w:rsidRPr="00E56F9C">
              <w:rPr>
                <w:color w:val="006AB9"/>
              </w:rPr>
              <w:t>, sports</w:t>
            </w:r>
            <w:r w:rsidRPr="00B42C71">
              <w:rPr>
                <w:color w:val="auto"/>
              </w:rPr>
              <w:t xml:space="preserve"> and recreation facilities</w:t>
            </w:r>
            <w:r w:rsidR="00A7066F" w:rsidRPr="00E56F9C">
              <w:rPr>
                <w:color w:val="006AB9"/>
              </w:rPr>
              <w:t>, including playing fields</w:t>
            </w:r>
            <w:r w:rsidR="0029431A" w:rsidRPr="00E56F9C">
              <w:rPr>
                <w:color w:val="006AB9"/>
              </w:rPr>
              <w:t>,</w:t>
            </w:r>
            <w:r w:rsidRPr="00E56F9C">
              <w:rPr>
                <w:color w:val="006AB9"/>
              </w:rPr>
              <w:t xml:space="preserve"> </w:t>
            </w:r>
            <w:r w:rsidRPr="00B42C71">
              <w:rPr>
                <w:color w:val="auto"/>
              </w:rPr>
              <w:t xml:space="preserve">will be protected by restricting development to appropriate recreation uses or recreation facilities that are of a scale appropriate with the size of the space. </w:t>
            </w:r>
          </w:p>
          <w:p w14:paraId="06BD1FC8" w14:textId="77777777" w:rsidR="00B42C71" w:rsidRPr="00B42C71" w:rsidRDefault="00B42C71" w:rsidP="00FF3EAD">
            <w:pPr>
              <w:keepNext w:val="0"/>
              <w:spacing w:before="0"/>
              <w:ind w:left="360"/>
              <w:contextualSpacing/>
              <w:jc w:val="left"/>
              <w:rPr>
                <w:color w:val="auto"/>
              </w:rPr>
            </w:pPr>
          </w:p>
          <w:p w14:paraId="2078EBFD" w14:textId="3AD245D2" w:rsidR="00B42C71" w:rsidRPr="00B42C71" w:rsidRDefault="00B42C71" w:rsidP="00874A98">
            <w:pPr>
              <w:keepNext w:val="0"/>
              <w:numPr>
                <w:ilvl w:val="0"/>
                <w:numId w:val="245"/>
              </w:numPr>
              <w:spacing w:before="0"/>
              <w:contextualSpacing/>
              <w:jc w:val="left"/>
              <w:rPr>
                <w:color w:val="auto"/>
              </w:rPr>
            </w:pPr>
            <w:r w:rsidRPr="00B42C71">
              <w:rPr>
                <w:color w:val="auto"/>
              </w:rPr>
              <w:t>The Council will resist the loss or fragmentation of green space and recreation facilities identified on the Policies Map and listed in Appendix 7.</w:t>
            </w:r>
          </w:p>
          <w:p w14:paraId="5A020274" w14:textId="77777777" w:rsidR="00B42C71" w:rsidRPr="00B42C71" w:rsidRDefault="00B42C71" w:rsidP="00FF3EAD">
            <w:pPr>
              <w:keepNext w:val="0"/>
              <w:spacing w:before="0"/>
              <w:ind w:left="720"/>
              <w:contextualSpacing/>
              <w:jc w:val="left"/>
              <w:rPr>
                <w:color w:val="auto"/>
              </w:rPr>
            </w:pPr>
          </w:p>
          <w:p w14:paraId="1A25092A" w14:textId="77777777" w:rsidR="00B42C71" w:rsidRPr="00B42C71" w:rsidRDefault="00B42C71" w:rsidP="00874A98">
            <w:pPr>
              <w:keepNext w:val="0"/>
              <w:numPr>
                <w:ilvl w:val="0"/>
                <w:numId w:val="245"/>
              </w:numPr>
              <w:spacing w:before="0"/>
              <w:contextualSpacing/>
              <w:jc w:val="left"/>
              <w:rPr>
                <w:color w:val="auto"/>
              </w:rPr>
            </w:pPr>
            <w:r w:rsidRPr="00B42C71">
              <w:rPr>
                <w:color w:val="auto"/>
              </w:rPr>
              <w:t>The Council will resist the loss or fragmentation of green space not identified on the Policies Map, which meet one of the following criteria:</w:t>
            </w:r>
          </w:p>
          <w:p w14:paraId="19DD4EC0" w14:textId="77777777" w:rsidR="00B42C71" w:rsidRPr="00B42C71" w:rsidRDefault="00B42C71" w:rsidP="00FF3EAD">
            <w:pPr>
              <w:keepNext w:val="0"/>
              <w:spacing w:before="0"/>
              <w:jc w:val="left"/>
              <w:rPr>
                <w:color w:val="auto"/>
              </w:rPr>
            </w:pPr>
          </w:p>
          <w:p w14:paraId="5A22E1F5" w14:textId="77777777" w:rsidR="00B42C71" w:rsidRPr="00B42C71" w:rsidRDefault="00B42C71" w:rsidP="00874A98">
            <w:pPr>
              <w:keepNext w:val="0"/>
              <w:numPr>
                <w:ilvl w:val="0"/>
                <w:numId w:val="246"/>
              </w:numPr>
              <w:spacing w:before="0"/>
              <w:contextualSpacing/>
              <w:jc w:val="left"/>
              <w:rPr>
                <w:color w:val="auto"/>
              </w:rPr>
            </w:pPr>
            <w:r w:rsidRPr="00B42C71">
              <w:rPr>
                <w:color w:val="auto"/>
              </w:rPr>
              <w:lastRenderedPageBreak/>
              <w:t xml:space="preserve">Contribute to the distinctive form, character and setting of a settlement; </w:t>
            </w:r>
          </w:p>
          <w:p w14:paraId="0743556A" w14:textId="77777777" w:rsidR="00B42C71" w:rsidRPr="00B42C71" w:rsidRDefault="00B42C71" w:rsidP="00874A98">
            <w:pPr>
              <w:keepNext w:val="0"/>
              <w:numPr>
                <w:ilvl w:val="0"/>
                <w:numId w:val="246"/>
              </w:numPr>
              <w:spacing w:before="0"/>
              <w:contextualSpacing/>
              <w:jc w:val="left"/>
              <w:rPr>
                <w:color w:val="auto"/>
              </w:rPr>
            </w:pPr>
            <w:r w:rsidRPr="00B42C71">
              <w:rPr>
                <w:color w:val="auto"/>
              </w:rPr>
              <w:t>Contribute to the visual quality of the locality;</w:t>
            </w:r>
          </w:p>
          <w:p w14:paraId="3D307C14" w14:textId="77777777" w:rsidR="00B42C71" w:rsidRPr="00B42C71" w:rsidRDefault="00B42C71" w:rsidP="00874A98">
            <w:pPr>
              <w:keepNext w:val="0"/>
              <w:numPr>
                <w:ilvl w:val="0"/>
                <w:numId w:val="246"/>
              </w:numPr>
              <w:spacing w:before="0"/>
              <w:contextualSpacing/>
              <w:jc w:val="left"/>
              <w:rPr>
                <w:color w:val="auto"/>
              </w:rPr>
            </w:pPr>
            <w:r w:rsidRPr="00B42C71">
              <w:rPr>
                <w:color w:val="auto"/>
              </w:rPr>
              <w:t xml:space="preserve">Create a focal point within the </w:t>
            </w:r>
            <w:proofErr w:type="gramStart"/>
            <w:r w:rsidRPr="00B42C71">
              <w:rPr>
                <w:color w:val="auto"/>
              </w:rPr>
              <w:t>built up</w:t>
            </w:r>
            <w:proofErr w:type="gramEnd"/>
            <w:r w:rsidRPr="00B42C71">
              <w:rPr>
                <w:color w:val="auto"/>
              </w:rPr>
              <w:t xml:space="preserve"> area;</w:t>
            </w:r>
          </w:p>
          <w:p w14:paraId="0814EA6E" w14:textId="77777777" w:rsidR="00B42C71" w:rsidRPr="00B42C71" w:rsidRDefault="00B42C71" w:rsidP="00874A98">
            <w:pPr>
              <w:keepNext w:val="0"/>
              <w:numPr>
                <w:ilvl w:val="0"/>
                <w:numId w:val="246"/>
              </w:numPr>
              <w:spacing w:before="0"/>
              <w:contextualSpacing/>
              <w:jc w:val="left"/>
              <w:rPr>
                <w:color w:val="auto"/>
              </w:rPr>
            </w:pPr>
            <w:r w:rsidRPr="00B42C71">
              <w:rPr>
                <w:color w:val="auto"/>
              </w:rPr>
              <w:t>Provide the setting for heritage assets;</w:t>
            </w:r>
          </w:p>
          <w:p w14:paraId="2572254D" w14:textId="77777777" w:rsidR="00B42C71" w:rsidRPr="00B42C71" w:rsidRDefault="00B42C71" w:rsidP="00874A98">
            <w:pPr>
              <w:keepNext w:val="0"/>
              <w:numPr>
                <w:ilvl w:val="0"/>
                <w:numId w:val="246"/>
              </w:numPr>
              <w:spacing w:before="0"/>
              <w:contextualSpacing/>
              <w:jc w:val="left"/>
              <w:rPr>
                <w:color w:val="auto"/>
              </w:rPr>
            </w:pPr>
            <w:r w:rsidRPr="00B42C71">
              <w:rPr>
                <w:color w:val="auto"/>
              </w:rPr>
              <w:t>Form part of an area of value for wildlife, sport or recreation, including areas forming part of a 'green corridor'; or</w:t>
            </w:r>
          </w:p>
          <w:p w14:paraId="270DBC50" w14:textId="77777777" w:rsidR="00B42C71" w:rsidRPr="00B42C71" w:rsidRDefault="00B42C71" w:rsidP="00874A98">
            <w:pPr>
              <w:keepNext w:val="0"/>
              <w:numPr>
                <w:ilvl w:val="0"/>
                <w:numId w:val="246"/>
              </w:numPr>
              <w:spacing w:before="0"/>
              <w:contextualSpacing/>
              <w:jc w:val="left"/>
              <w:rPr>
                <w:color w:val="auto"/>
              </w:rPr>
            </w:pPr>
            <w:r w:rsidRPr="00B42C71">
              <w:rPr>
                <w:color w:val="auto"/>
              </w:rPr>
              <w:t>Form the only accessible green space (as identified within the Public Open Space Strategy) for some residents.</w:t>
            </w:r>
          </w:p>
          <w:p w14:paraId="54FE0B86" w14:textId="77777777" w:rsidR="00B42C71" w:rsidRPr="00B42C71" w:rsidRDefault="00B42C71" w:rsidP="00FF3EAD">
            <w:pPr>
              <w:keepNext w:val="0"/>
              <w:spacing w:before="0"/>
              <w:jc w:val="left"/>
              <w:rPr>
                <w:color w:val="auto"/>
              </w:rPr>
            </w:pPr>
          </w:p>
          <w:p w14:paraId="310CF1F1" w14:textId="5E23EAC1" w:rsidR="00B42C71" w:rsidRPr="00B42C71" w:rsidRDefault="00B42C71" w:rsidP="00874A98">
            <w:pPr>
              <w:keepNext w:val="0"/>
              <w:numPr>
                <w:ilvl w:val="0"/>
                <w:numId w:val="245"/>
              </w:numPr>
              <w:spacing w:before="0"/>
              <w:contextualSpacing/>
              <w:jc w:val="left"/>
              <w:rPr>
                <w:color w:val="auto"/>
              </w:rPr>
            </w:pPr>
            <w:r w:rsidRPr="00B42C71">
              <w:rPr>
                <w:color w:val="auto"/>
              </w:rPr>
              <w:t>Development that would lead to the loss or partial loss of a green space</w:t>
            </w:r>
            <w:r w:rsidR="0029431A" w:rsidRPr="00E56F9C">
              <w:rPr>
                <w:color w:val="006AB9"/>
              </w:rPr>
              <w:t>, sports</w:t>
            </w:r>
            <w:r w:rsidRPr="00B42C71">
              <w:rPr>
                <w:color w:val="auto"/>
              </w:rPr>
              <w:t xml:space="preserve"> or recreation facility</w:t>
            </w:r>
            <w:r w:rsidR="0029431A" w:rsidRPr="00E56F9C">
              <w:rPr>
                <w:color w:val="006AB9"/>
              </w:rPr>
              <w:t>, including playing fields</w:t>
            </w:r>
            <w:r w:rsidRPr="00B42C71">
              <w:rPr>
                <w:color w:val="auto"/>
              </w:rPr>
              <w:t xml:space="preserve"> will </w:t>
            </w:r>
            <w:r w:rsidR="00ED2B01" w:rsidRPr="00E56F9C">
              <w:rPr>
                <w:color w:val="006AB9"/>
              </w:rPr>
              <w:t xml:space="preserve">only </w:t>
            </w:r>
            <w:r w:rsidRPr="00B42C71">
              <w:rPr>
                <w:color w:val="auto"/>
              </w:rPr>
              <w:t>be permitted where it meets one of the following criteria:</w:t>
            </w:r>
          </w:p>
          <w:p w14:paraId="58AA715B" w14:textId="77777777" w:rsidR="00B42C71" w:rsidRPr="00B42C71" w:rsidRDefault="00B42C71" w:rsidP="00FF3EAD">
            <w:pPr>
              <w:keepNext w:val="0"/>
              <w:spacing w:before="0"/>
              <w:jc w:val="left"/>
              <w:rPr>
                <w:color w:val="auto"/>
              </w:rPr>
            </w:pPr>
          </w:p>
          <w:p w14:paraId="1DCBA2DA" w14:textId="3D50AFD6" w:rsidR="00B42C71" w:rsidRPr="00B42C71" w:rsidRDefault="00B42C71" w:rsidP="00874A98">
            <w:pPr>
              <w:keepNext w:val="0"/>
              <w:numPr>
                <w:ilvl w:val="0"/>
                <w:numId w:val="247"/>
              </w:numPr>
              <w:spacing w:before="0"/>
              <w:contextualSpacing/>
              <w:jc w:val="left"/>
              <w:rPr>
                <w:color w:val="auto"/>
              </w:rPr>
            </w:pPr>
            <w:r w:rsidRPr="00B42C71">
              <w:rPr>
                <w:color w:val="auto"/>
              </w:rPr>
              <w:t>An assessment has been undertaken which clearly shows the green space</w:t>
            </w:r>
            <w:r w:rsidR="00ED2B01" w:rsidRPr="00E56F9C">
              <w:rPr>
                <w:color w:val="006AB9"/>
              </w:rPr>
              <w:t>, sports</w:t>
            </w:r>
            <w:r w:rsidRPr="00B42C71">
              <w:rPr>
                <w:color w:val="auto"/>
              </w:rPr>
              <w:t xml:space="preserve"> or recreational facility</w:t>
            </w:r>
            <w:r w:rsidR="00AB3DAE" w:rsidRPr="00E56F9C">
              <w:rPr>
                <w:color w:val="006AB9"/>
              </w:rPr>
              <w:t>, including playing fields</w:t>
            </w:r>
            <w:r w:rsidR="005C71E9" w:rsidRPr="00E56F9C">
              <w:rPr>
                <w:color w:val="006AB9"/>
              </w:rPr>
              <w:t>,</w:t>
            </w:r>
            <w:r w:rsidRPr="00AB3DAE">
              <w:rPr>
                <w:color w:val="auto"/>
              </w:rPr>
              <w:t xml:space="preserve"> </w:t>
            </w:r>
            <w:r w:rsidRPr="00B42C71">
              <w:rPr>
                <w:color w:val="auto"/>
              </w:rPr>
              <w:t>to be surplus to requirement;</w:t>
            </w:r>
            <w:r w:rsidR="00483AC7">
              <w:rPr>
                <w:color w:val="auto"/>
              </w:rPr>
              <w:t xml:space="preserve"> </w:t>
            </w:r>
            <w:r w:rsidR="00483AC7" w:rsidRPr="00E56F9C">
              <w:rPr>
                <w:color w:val="006AB9"/>
              </w:rPr>
              <w:t>or</w:t>
            </w:r>
          </w:p>
          <w:p w14:paraId="2833432A" w14:textId="67CB8538" w:rsidR="00B42C71" w:rsidRPr="00E56F9C" w:rsidRDefault="00B42C71" w:rsidP="00874A98">
            <w:pPr>
              <w:keepNext w:val="0"/>
              <w:numPr>
                <w:ilvl w:val="0"/>
                <w:numId w:val="247"/>
              </w:numPr>
              <w:spacing w:before="0"/>
              <w:contextualSpacing/>
              <w:jc w:val="left"/>
              <w:rPr>
                <w:color w:val="006AB9"/>
              </w:rPr>
            </w:pPr>
            <w:r w:rsidRPr="00B42C71">
              <w:rPr>
                <w:color w:val="auto"/>
              </w:rPr>
              <w:t>It is ancillary to the recreation use, or it would assist in the retention and enhancement of the recreational use of the site</w:t>
            </w:r>
            <w:r w:rsidR="00483AC7" w:rsidRPr="00E56F9C">
              <w:rPr>
                <w:color w:val="006AB9"/>
              </w:rPr>
              <w:t>, providing that for playing fields it would not affect the quantity or quality of playing pitches or otherwise adversely affect their use; or</w:t>
            </w:r>
          </w:p>
          <w:p w14:paraId="51A45E0D" w14:textId="1F0B95FA" w:rsidR="00B42C71" w:rsidRPr="00B42C71" w:rsidRDefault="00B42C71" w:rsidP="00874A98">
            <w:pPr>
              <w:keepNext w:val="0"/>
              <w:numPr>
                <w:ilvl w:val="0"/>
                <w:numId w:val="247"/>
              </w:numPr>
              <w:spacing w:before="0"/>
              <w:contextualSpacing/>
              <w:jc w:val="left"/>
              <w:rPr>
                <w:color w:val="auto"/>
              </w:rPr>
            </w:pPr>
            <w:r w:rsidRPr="007529E0">
              <w:rPr>
                <w:strike/>
                <w:color w:val="auto"/>
              </w:rPr>
              <w:t>Adequate</w:t>
            </w:r>
            <w:r w:rsidRPr="00B42C71">
              <w:rPr>
                <w:color w:val="auto"/>
              </w:rPr>
              <w:t xml:space="preserve"> </w:t>
            </w:r>
            <w:r w:rsidR="007529E0" w:rsidRPr="00E56F9C">
              <w:rPr>
                <w:color w:val="006AB9"/>
              </w:rPr>
              <w:t>Equivalent or better</w:t>
            </w:r>
            <w:r w:rsidR="0004780C" w:rsidRPr="00E56F9C">
              <w:rPr>
                <w:color w:val="006AB9"/>
              </w:rPr>
              <w:t xml:space="preserve"> </w:t>
            </w:r>
            <w:r w:rsidRPr="00B42C71">
              <w:rPr>
                <w:color w:val="auto"/>
              </w:rPr>
              <w:t>replacement provision of new green space</w:t>
            </w:r>
            <w:r w:rsidR="00971DAF" w:rsidRPr="00E56F9C">
              <w:rPr>
                <w:color w:val="006AB9"/>
              </w:rPr>
              <w:t>,</w:t>
            </w:r>
            <w:r w:rsidR="00971DAF" w:rsidRPr="00457FAE">
              <w:rPr>
                <w:b/>
                <w:bCs/>
                <w:u w:val="single"/>
              </w:rPr>
              <w:t xml:space="preserve"> </w:t>
            </w:r>
            <w:r w:rsidR="00971DAF" w:rsidRPr="00E56F9C">
              <w:rPr>
                <w:color w:val="006AB9"/>
              </w:rPr>
              <w:t xml:space="preserve">sports or recreational facility, including playing fields, </w:t>
            </w:r>
            <w:r w:rsidRPr="00B42C71">
              <w:rPr>
                <w:color w:val="auto"/>
              </w:rPr>
              <w:t xml:space="preserve">is provided </w:t>
            </w:r>
            <w:r w:rsidRPr="00971DAF">
              <w:rPr>
                <w:strike/>
                <w:color w:val="auto"/>
              </w:rPr>
              <w:t>in the locality</w:t>
            </w:r>
            <w:r w:rsidR="00971DAF">
              <w:rPr>
                <w:color w:val="auto"/>
              </w:rPr>
              <w:t xml:space="preserve"> </w:t>
            </w:r>
            <w:r w:rsidR="00600E27" w:rsidRPr="00E56F9C">
              <w:rPr>
                <w:color w:val="006AB9"/>
              </w:rPr>
              <w:t>in terms of quantity and quality in a suitable location; or</w:t>
            </w:r>
          </w:p>
          <w:p w14:paraId="29B8F09D" w14:textId="39287794" w:rsidR="00B42C71" w:rsidRDefault="00B42C71" w:rsidP="00874A98">
            <w:pPr>
              <w:keepNext w:val="0"/>
              <w:numPr>
                <w:ilvl w:val="0"/>
                <w:numId w:val="247"/>
              </w:numPr>
              <w:spacing w:before="0"/>
              <w:contextualSpacing/>
              <w:jc w:val="left"/>
              <w:rPr>
                <w:strike/>
                <w:color w:val="auto"/>
              </w:rPr>
            </w:pPr>
            <w:r w:rsidRPr="00C45633">
              <w:rPr>
                <w:strike/>
                <w:color w:val="auto"/>
              </w:rPr>
              <w:t>It is proposed to make significant improvements to the overall quality of the recreation provision in the locality</w:t>
            </w:r>
            <w:r w:rsidR="00E36A67" w:rsidRPr="00C45633">
              <w:rPr>
                <w:strike/>
                <w:color w:val="auto"/>
              </w:rPr>
              <w:t>.</w:t>
            </w:r>
          </w:p>
          <w:p w14:paraId="7BE4271F" w14:textId="6E352912" w:rsidR="000E0A5F" w:rsidRPr="00E56F9C" w:rsidRDefault="000E0A5F" w:rsidP="000E0A5F">
            <w:pPr>
              <w:keepNext w:val="0"/>
              <w:spacing w:before="0"/>
              <w:ind w:left="731" w:hanging="425"/>
              <w:contextualSpacing/>
              <w:jc w:val="left"/>
              <w:rPr>
                <w:strike/>
                <w:color w:val="006AB9"/>
              </w:rPr>
            </w:pPr>
            <w:r w:rsidRPr="00E56F9C">
              <w:rPr>
                <w:color w:val="006AB9"/>
              </w:rPr>
              <w:t xml:space="preserve">d.  </w:t>
            </w:r>
            <w:r w:rsidR="00887DD7" w:rsidRPr="00E56F9C">
              <w:rPr>
                <w:color w:val="006AB9"/>
              </w:rPr>
              <w:t xml:space="preserve"> </w:t>
            </w:r>
            <w:r w:rsidRPr="00E56F9C">
              <w:rPr>
                <w:color w:val="006AB9"/>
              </w:rPr>
              <w:t xml:space="preserve">It is for alternative sports and recreational provision, the benefits of which clearly outweigh the loss of the current or former use. </w:t>
            </w:r>
            <w:r w:rsidRPr="00E56F9C">
              <w:rPr>
                <w:color w:val="006AB9"/>
              </w:rPr>
              <w:br/>
            </w:r>
          </w:p>
          <w:p w14:paraId="68932415" w14:textId="20F5BC4A" w:rsidR="00E36A67" w:rsidRPr="00E56F9C" w:rsidRDefault="00E36A67" w:rsidP="00874A98">
            <w:pPr>
              <w:pStyle w:val="ListParagraph"/>
              <w:numPr>
                <w:ilvl w:val="0"/>
                <w:numId w:val="245"/>
              </w:numPr>
              <w:rPr>
                <w:rFonts w:ascii="Arial" w:hAnsi="Arial" w:cs="Arial"/>
                <w:color w:val="006AB9"/>
                <w:szCs w:val="24"/>
              </w:rPr>
            </w:pPr>
            <w:r w:rsidRPr="00E36A67">
              <w:rPr>
                <w:rFonts w:ascii="Arial" w:hAnsi="Arial" w:cs="Arial"/>
                <w:color w:val="auto"/>
                <w:szCs w:val="24"/>
              </w:rPr>
              <w:t xml:space="preserve">Development of flood </w:t>
            </w:r>
            <w:r w:rsidRPr="00A044CF">
              <w:rPr>
                <w:rFonts w:ascii="Arial" w:hAnsi="Arial" w:cs="Arial"/>
                <w:strike/>
                <w:color w:val="auto"/>
                <w:szCs w:val="24"/>
              </w:rPr>
              <w:t>resilience</w:t>
            </w:r>
            <w:r w:rsidRPr="00E36A67">
              <w:rPr>
                <w:rFonts w:ascii="Arial" w:hAnsi="Arial" w:cs="Arial"/>
                <w:color w:val="auto"/>
                <w:szCs w:val="24"/>
              </w:rPr>
              <w:t xml:space="preserve"> </w:t>
            </w:r>
            <w:r w:rsidR="00302C2D" w:rsidRPr="00E56F9C">
              <w:rPr>
                <w:rFonts w:ascii="Arial" w:hAnsi="Arial" w:cs="Arial"/>
                <w:color w:val="006AB9"/>
                <w:szCs w:val="24"/>
              </w:rPr>
              <w:t>alleviation</w:t>
            </w:r>
            <w:r w:rsidR="00A044CF">
              <w:rPr>
                <w:rFonts w:ascii="Arial" w:hAnsi="Arial" w:cs="Arial"/>
                <w:color w:val="auto"/>
                <w:szCs w:val="24"/>
              </w:rPr>
              <w:t xml:space="preserve"> </w:t>
            </w:r>
            <w:r w:rsidRPr="00E36A67">
              <w:rPr>
                <w:rFonts w:ascii="Arial" w:hAnsi="Arial" w:cs="Arial"/>
                <w:color w:val="auto"/>
                <w:szCs w:val="24"/>
              </w:rPr>
              <w:t xml:space="preserve">schemes within local green spaces will be supported provided the schemes do not adversely impact the primary function of the green </w:t>
            </w:r>
            <w:r w:rsidRPr="009702A2">
              <w:rPr>
                <w:rFonts w:ascii="Arial" w:hAnsi="Arial" w:cs="Arial"/>
                <w:color w:val="auto"/>
                <w:szCs w:val="24"/>
              </w:rPr>
              <w:t>space</w:t>
            </w:r>
            <w:r w:rsidRPr="00E56F9C">
              <w:rPr>
                <w:rFonts w:ascii="Arial" w:hAnsi="Arial" w:cs="Arial"/>
                <w:color w:val="006AB9"/>
                <w:szCs w:val="24"/>
              </w:rPr>
              <w:t>.</w:t>
            </w:r>
            <w:r w:rsidR="00F249BF" w:rsidRPr="00E56F9C">
              <w:rPr>
                <w:rFonts w:ascii="Arial" w:hAnsi="Arial" w:cs="Arial"/>
                <w:color w:val="006AB9"/>
              </w:rPr>
              <w:t xml:space="preserve"> For a flood alleviation scheme affecting sports or recreational facilities, including playing fields, these should be assessed against criteria 4 of this policy</w:t>
            </w:r>
          </w:p>
          <w:p w14:paraId="7B3A5323" w14:textId="63F0177F" w:rsidR="00E60404" w:rsidRPr="00B42C71" w:rsidRDefault="00B42C71" w:rsidP="00226DDB">
            <w:pPr>
              <w:keepNext w:val="0"/>
              <w:spacing w:before="0"/>
              <w:jc w:val="left"/>
              <w:rPr>
                <w:color w:val="auto"/>
              </w:rPr>
            </w:pPr>
            <w:r w:rsidRPr="00B42C71">
              <w:rPr>
                <w:color w:val="auto"/>
              </w:rPr>
              <w:t xml:space="preserve">Sites may be subject to review and regard will be had to any update in the Council’s Public Open Space Strategy and Playing Pitch Strategy. Any new green </w:t>
            </w:r>
            <w:r w:rsidRPr="002E7654">
              <w:t>spaces</w:t>
            </w:r>
            <w:r w:rsidR="00813E0F" w:rsidRPr="00E56F9C">
              <w:rPr>
                <w:color w:val="006AB9"/>
              </w:rPr>
              <w:t>, sports</w:t>
            </w:r>
            <w:r w:rsidR="003C4AE1" w:rsidRPr="002E7654">
              <w:t xml:space="preserve"> or recreational facilities</w:t>
            </w:r>
            <w:r w:rsidR="00B51EEB" w:rsidRPr="00E56F9C">
              <w:rPr>
                <w:color w:val="006AB9"/>
              </w:rPr>
              <w:t>, including playing fields</w:t>
            </w:r>
            <w:r w:rsidRPr="002E7654">
              <w:t xml:space="preserve"> developed after the Local Plan is adopted will be protected under </w:t>
            </w:r>
            <w:r w:rsidRPr="00B42C71">
              <w:rPr>
                <w:color w:val="auto"/>
              </w:rPr>
              <w:t>this Policy.</w:t>
            </w:r>
          </w:p>
        </w:tc>
      </w:tr>
      <w:tr w:rsidR="00B42C71" w:rsidRPr="00B42C71" w14:paraId="4A727063" w14:textId="77777777" w:rsidTr="007C6CA4">
        <w:tc>
          <w:tcPr>
            <w:tcW w:w="2666" w:type="dxa"/>
          </w:tcPr>
          <w:p w14:paraId="633378D3" w14:textId="77777777" w:rsidR="00B42C71" w:rsidRPr="00B42C71" w:rsidRDefault="00B42C71" w:rsidP="000032A9">
            <w:pPr>
              <w:keepNext w:val="0"/>
              <w:spacing w:before="0"/>
              <w:jc w:val="left"/>
              <w:rPr>
                <w:color w:val="auto"/>
                <w:sz w:val="20"/>
                <w:szCs w:val="20"/>
              </w:rPr>
            </w:pPr>
            <w:r w:rsidRPr="00B42C71">
              <w:rPr>
                <w:color w:val="auto"/>
                <w:sz w:val="20"/>
                <w:szCs w:val="20"/>
              </w:rPr>
              <w:lastRenderedPageBreak/>
              <w:t>Evidence Base</w:t>
            </w:r>
          </w:p>
        </w:tc>
        <w:tc>
          <w:tcPr>
            <w:tcW w:w="6962" w:type="dxa"/>
          </w:tcPr>
          <w:p w14:paraId="7FA55D1B" w14:textId="5BC25748" w:rsidR="00B42C71" w:rsidRPr="002E7654" w:rsidRDefault="00B42C71" w:rsidP="00874A98">
            <w:pPr>
              <w:keepNext w:val="0"/>
              <w:numPr>
                <w:ilvl w:val="0"/>
                <w:numId w:val="243"/>
              </w:numPr>
              <w:spacing w:before="0"/>
              <w:contextualSpacing/>
              <w:jc w:val="left"/>
              <w:rPr>
                <w:sz w:val="20"/>
                <w:szCs w:val="20"/>
              </w:rPr>
            </w:pPr>
            <w:r w:rsidRPr="00B42C71">
              <w:rPr>
                <w:color w:val="auto"/>
                <w:sz w:val="20"/>
                <w:szCs w:val="20"/>
              </w:rPr>
              <w:t xml:space="preserve">Sustainability Appraisal, </w:t>
            </w:r>
            <w:r w:rsidRPr="002E7654">
              <w:rPr>
                <w:sz w:val="20"/>
                <w:szCs w:val="20"/>
              </w:rPr>
              <w:t>202</w:t>
            </w:r>
            <w:r w:rsidR="00A86E75" w:rsidRPr="002E7654">
              <w:rPr>
                <w:sz w:val="20"/>
                <w:szCs w:val="20"/>
              </w:rPr>
              <w:t>3</w:t>
            </w:r>
            <w:r w:rsidRPr="002E7654">
              <w:rPr>
                <w:sz w:val="20"/>
                <w:szCs w:val="20"/>
              </w:rPr>
              <w:t xml:space="preserve">. </w:t>
            </w:r>
            <w:r w:rsidR="00A86E75" w:rsidRPr="002E7654">
              <w:rPr>
                <w:sz w:val="20"/>
                <w:szCs w:val="20"/>
              </w:rPr>
              <w:t>WSP UK Limited.</w:t>
            </w:r>
          </w:p>
          <w:p w14:paraId="4C75B5DD" w14:textId="1E76B8F2" w:rsidR="00B42C71" w:rsidRPr="00E60404" w:rsidRDefault="00B42C71" w:rsidP="00874A98">
            <w:pPr>
              <w:keepNext w:val="0"/>
              <w:numPr>
                <w:ilvl w:val="0"/>
                <w:numId w:val="243"/>
              </w:numPr>
              <w:spacing w:before="0"/>
              <w:contextualSpacing/>
              <w:jc w:val="left"/>
              <w:rPr>
                <w:color w:val="auto"/>
                <w:sz w:val="20"/>
                <w:szCs w:val="20"/>
              </w:rPr>
            </w:pPr>
            <w:r w:rsidRPr="00B42C71">
              <w:rPr>
                <w:color w:val="auto"/>
                <w:sz w:val="20"/>
                <w:szCs w:val="20"/>
              </w:rPr>
              <w:t>Ashfield Biodiversity Opportunity Mapping Project 2016. Notts BAG.</w:t>
            </w:r>
          </w:p>
          <w:p w14:paraId="29ED4657" w14:textId="72BB389E" w:rsidR="002E7654" w:rsidRPr="002E7654" w:rsidRDefault="002E7654" w:rsidP="00874A98">
            <w:pPr>
              <w:pStyle w:val="ListParagraph"/>
              <w:numPr>
                <w:ilvl w:val="0"/>
                <w:numId w:val="243"/>
              </w:numPr>
              <w:jc w:val="left"/>
              <w:rPr>
                <w:color w:val="auto"/>
                <w:sz w:val="20"/>
                <w:szCs w:val="20"/>
              </w:rPr>
            </w:pPr>
            <w:r w:rsidRPr="002E7654">
              <w:rPr>
                <w:rFonts w:ascii="Arial" w:hAnsi="Arial"/>
                <w:color w:val="auto"/>
                <w:sz w:val="20"/>
                <w:szCs w:val="20"/>
                <w:lang w:eastAsia="en-GB"/>
              </w:rPr>
              <w:t>Ashfield Green &amp; Blue Infrastructure and Biodiversity Strategy. Ashfield District Council, 2022-2032.</w:t>
            </w:r>
          </w:p>
          <w:p w14:paraId="27F05826" w14:textId="0949E3F7" w:rsidR="003C4AE1" w:rsidRPr="002E7654" w:rsidRDefault="003C4AE1" w:rsidP="00874A98">
            <w:pPr>
              <w:pStyle w:val="ListParagraph"/>
              <w:numPr>
                <w:ilvl w:val="0"/>
                <w:numId w:val="243"/>
              </w:numPr>
              <w:jc w:val="left"/>
              <w:rPr>
                <w:rFonts w:ascii="Arial" w:hAnsi="Arial" w:cs="Arial"/>
                <w:color w:val="auto"/>
                <w:sz w:val="20"/>
                <w:szCs w:val="20"/>
              </w:rPr>
            </w:pPr>
            <w:r w:rsidRPr="002E7654">
              <w:rPr>
                <w:rFonts w:ascii="Arial" w:hAnsi="Arial" w:cs="Arial"/>
                <w:sz w:val="20"/>
                <w:szCs w:val="20"/>
              </w:rPr>
              <w:t xml:space="preserve">Ashfield Playing Pitch Strategy, </w:t>
            </w:r>
            <w:r w:rsidR="002E7654" w:rsidRPr="002E7654">
              <w:rPr>
                <w:rFonts w:ascii="Arial" w:hAnsi="Arial" w:cs="Arial"/>
                <w:sz w:val="20"/>
                <w:szCs w:val="20"/>
              </w:rPr>
              <w:t>2023</w:t>
            </w:r>
            <w:r w:rsidRPr="002E7654">
              <w:rPr>
                <w:rFonts w:ascii="Arial" w:hAnsi="Arial" w:cs="Arial"/>
                <w:sz w:val="20"/>
                <w:szCs w:val="20"/>
              </w:rPr>
              <w:t>.</w:t>
            </w:r>
          </w:p>
        </w:tc>
      </w:tr>
      <w:tr w:rsidR="00B42C71" w:rsidRPr="00B42C71" w14:paraId="4CDC0BAA" w14:textId="77777777" w:rsidTr="007C6CA4">
        <w:tc>
          <w:tcPr>
            <w:tcW w:w="2666" w:type="dxa"/>
          </w:tcPr>
          <w:p w14:paraId="234E63DA" w14:textId="77777777" w:rsidR="00B42C71" w:rsidRPr="00B42C71" w:rsidRDefault="00B42C71" w:rsidP="000032A9">
            <w:pPr>
              <w:keepNext w:val="0"/>
              <w:spacing w:before="0"/>
              <w:jc w:val="left"/>
              <w:rPr>
                <w:color w:val="auto"/>
                <w:sz w:val="20"/>
                <w:szCs w:val="20"/>
              </w:rPr>
            </w:pPr>
            <w:r w:rsidRPr="00B42C71">
              <w:rPr>
                <w:color w:val="auto"/>
                <w:sz w:val="20"/>
                <w:szCs w:val="20"/>
              </w:rPr>
              <w:t>National Planning Policy and Guidance</w:t>
            </w:r>
          </w:p>
        </w:tc>
        <w:tc>
          <w:tcPr>
            <w:tcW w:w="6962" w:type="dxa"/>
          </w:tcPr>
          <w:p w14:paraId="11596C87" w14:textId="7F17695B" w:rsidR="00B42C71" w:rsidRPr="00B42C71" w:rsidRDefault="00B42C71" w:rsidP="00874A98">
            <w:pPr>
              <w:keepNext w:val="0"/>
              <w:numPr>
                <w:ilvl w:val="0"/>
                <w:numId w:val="244"/>
              </w:numPr>
              <w:spacing w:before="0"/>
              <w:contextualSpacing/>
              <w:jc w:val="left"/>
              <w:rPr>
                <w:color w:val="auto"/>
                <w:sz w:val="20"/>
                <w:szCs w:val="20"/>
              </w:rPr>
            </w:pPr>
            <w:r w:rsidRPr="00B42C71">
              <w:rPr>
                <w:color w:val="auto"/>
                <w:sz w:val="20"/>
                <w:szCs w:val="20"/>
              </w:rPr>
              <w:t>NPPF 202</w:t>
            </w:r>
            <w:r w:rsidR="004173E0">
              <w:rPr>
                <w:color w:val="auto"/>
                <w:sz w:val="20"/>
                <w:szCs w:val="20"/>
              </w:rPr>
              <w:t>3</w:t>
            </w:r>
            <w:r w:rsidRPr="00B42C71">
              <w:rPr>
                <w:color w:val="auto"/>
                <w:sz w:val="20"/>
                <w:szCs w:val="20"/>
              </w:rPr>
              <w:t>, Part 2: Achieving sustainable development</w:t>
            </w:r>
          </w:p>
          <w:p w14:paraId="2EA531B7" w14:textId="4E921E78" w:rsidR="00B42C71" w:rsidRPr="00B42C71" w:rsidRDefault="00B42C71" w:rsidP="00874A98">
            <w:pPr>
              <w:keepNext w:val="0"/>
              <w:numPr>
                <w:ilvl w:val="0"/>
                <w:numId w:val="244"/>
              </w:numPr>
              <w:spacing w:before="0"/>
              <w:contextualSpacing/>
              <w:jc w:val="left"/>
              <w:rPr>
                <w:color w:val="auto"/>
                <w:sz w:val="20"/>
                <w:szCs w:val="20"/>
              </w:rPr>
            </w:pPr>
            <w:r w:rsidRPr="00B42C71">
              <w:rPr>
                <w:color w:val="auto"/>
                <w:sz w:val="20"/>
                <w:szCs w:val="20"/>
              </w:rPr>
              <w:t>NPPF 202</w:t>
            </w:r>
            <w:r w:rsidR="004173E0">
              <w:rPr>
                <w:color w:val="auto"/>
                <w:sz w:val="20"/>
                <w:szCs w:val="20"/>
              </w:rPr>
              <w:t>3</w:t>
            </w:r>
            <w:r w:rsidRPr="00B42C71">
              <w:rPr>
                <w:color w:val="auto"/>
                <w:sz w:val="20"/>
                <w:szCs w:val="20"/>
              </w:rPr>
              <w:t>, Part 15: Conserving and enhancing the natural environment</w:t>
            </w:r>
          </w:p>
          <w:p w14:paraId="1270F593" w14:textId="428384E1" w:rsidR="00B42C71" w:rsidRPr="002E7654" w:rsidRDefault="00B42C71" w:rsidP="00874A98">
            <w:pPr>
              <w:keepNext w:val="0"/>
              <w:numPr>
                <w:ilvl w:val="0"/>
                <w:numId w:val="244"/>
              </w:numPr>
              <w:spacing w:before="0"/>
              <w:contextualSpacing/>
              <w:jc w:val="left"/>
              <w:rPr>
                <w:sz w:val="20"/>
                <w:szCs w:val="20"/>
              </w:rPr>
            </w:pPr>
            <w:r w:rsidRPr="00B42C71">
              <w:rPr>
                <w:color w:val="auto"/>
                <w:sz w:val="20"/>
                <w:szCs w:val="20"/>
              </w:rPr>
              <w:t xml:space="preserve">Planning Practice Guidance: Open space, sports and recreational facilities, public rights of ways and local green space </w:t>
            </w:r>
            <w:r w:rsidRPr="002E7654">
              <w:rPr>
                <w:sz w:val="20"/>
                <w:szCs w:val="20"/>
              </w:rPr>
              <w:t xml:space="preserve">as of </w:t>
            </w:r>
            <w:r w:rsidR="00A86E75" w:rsidRPr="002E7654">
              <w:rPr>
                <w:sz w:val="20"/>
                <w:szCs w:val="20"/>
              </w:rPr>
              <w:t>March 2014</w:t>
            </w:r>
            <w:r w:rsidRPr="002E7654">
              <w:rPr>
                <w:sz w:val="20"/>
                <w:szCs w:val="20"/>
              </w:rPr>
              <w:t>.</w:t>
            </w:r>
          </w:p>
          <w:p w14:paraId="1289D5CE" w14:textId="77EEA049" w:rsidR="00B42C71" w:rsidRPr="00B42C71" w:rsidRDefault="00B42C71" w:rsidP="00874A98">
            <w:pPr>
              <w:keepNext w:val="0"/>
              <w:numPr>
                <w:ilvl w:val="0"/>
                <w:numId w:val="244"/>
              </w:numPr>
              <w:spacing w:before="0"/>
              <w:contextualSpacing/>
              <w:jc w:val="left"/>
              <w:rPr>
                <w:color w:val="auto"/>
                <w:sz w:val="20"/>
                <w:szCs w:val="20"/>
              </w:rPr>
            </w:pPr>
            <w:r w:rsidRPr="002E7654">
              <w:rPr>
                <w:sz w:val="20"/>
                <w:szCs w:val="20"/>
              </w:rPr>
              <w:t xml:space="preserve">Planning Practice Guidance: Natural environment as of </w:t>
            </w:r>
            <w:r w:rsidR="00A86E75" w:rsidRPr="002E7654">
              <w:rPr>
                <w:sz w:val="20"/>
                <w:szCs w:val="20"/>
              </w:rPr>
              <w:t>July 2019.</w:t>
            </w:r>
          </w:p>
        </w:tc>
      </w:tr>
    </w:tbl>
    <w:p w14:paraId="3C3145BC" w14:textId="77777777" w:rsidR="00B42C71" w:rsidRDefault="00B42C71" w:rsidP="006157E6">
      <w:pPr>
        <w:pStyle w:val="ListParagraph"/>
        <w:ind w:left="525"/>
        <w:rPr>
          <w:rFonts w:ascii="Arial" w:eastAsia="Arial" w:hAnsi="Arial" w:cs="Arial"/>
          <w:spacing w:val="-1"/>
          <w:szCs w:val="20"/>
          <w:lang w:eastAsia="en-GB"/>
        </w:rPr>
      </w:pPr>
    </w:p>
    <w:p w14:paraId="30917206" w14:textId="6FF88A5C" w:rsidR="003F22C3" w:rsidRPr="00B42C71" w:rsidRDefault="003F22C3" w:rsidP="0059751A">
      <w:pPr>
        <w:pStyle w:val="ListParagraph"/>
        <w:numPr>
          <w:ilvl w:val="1"/>
          <w:numId w:val="5"/>
        </w:numPr>
        <w:tabs>
          <w:tab w:val="clear" w:pos="525"/>
        </w:tabs>
        <w:spacing w:after="0" w:line="240" w:lineRule="auto"/>
        <w:ind w:left="851" w:hanging="851"/>
        <w:rPr>
          <w:rFonts w:ascii="Arial" w:eastAsia="Arial" w:hAnsi="Arial" w:cs="Arial"/>
          <w:spacing w:val="-1"/>
          <w:szCs w:val="20"/>
          <w:lang w:eastAsia="en-GB"/>
        </w:rPr>
      </w:pPr>
      <w:r w:rsidRPr="00B42C71">
        <w:rPr>
          <w:rFonts w:ascii="Arial" w:eastAsia="Arial" w:hAnsi="Arial" w:cs="Arial"/>
          <w:spacing w:val="-1"/>
        </w:rPr>
        <w:t xml:space="preserve">Green Spaces contribute towards quality of life in the district through providing opportunities for formal and informal recreation. They also contribute towards the overall green infrastructure and the range of social, economic and environmental benefits this provides. Policy EV5 will increase opportunities for pursuing a healthy lifestyle, by maintaining and enhancing recreation opportunities, while also protecting the integrity of the </w:t>
      </w:r>
      <w:r w:rsidR="00AF213C">
        <w:rPr>
          <w:rFonts w:ascii="Arial" w:eastAsia="Arial" w:hAnsi="Arial" w:cs="Arial"/>
          <w:spacing w:val="-1"/>
        </w:rPr>
        <w:t>g</w:t>
      </w:r>
      <w:r w:rsidRPr="00B42C71">
        <w:rPr>
          <w:rFonts w:ascii="Arial" w:eastAsia="Arial" w:hAnsi="Arial" w:cs="Arial"/>
          <w:spacing w:val="-1"/>
        </w:rPr>
        <w:t xml:space="preserve">reen </w:t>
      </w:r>
      <w:r w:rsidR="00AF213C" w:rsidRPr="00AF213C">
        <w:rPr>
          <w:rFonts w:ascii="Arial" w:eastAsia="Arial" w:hAnsi="Arial" w:cs="Arial"/>
          <w:color w:val="2E74B5" w:themeColor="accent5" w:themeShade="BF"/>
          <w:spacing w:val="-1"/>
        </w:rPr>
        <w:t xml:space="preserve">and blue </w:t>
      </w:r>
      <w:r w:rsidR="00AF213C">
        <w:rPr>
          <w:rFonts w:ascii="Arial" w:eastAsia="Arial" w:hAnsi="Arial" w:cs="Arial"/>
          <w:spacing w:val="-1"/>
        </w:rPr>
        <w:t>i</w:t>
      </w:r>
      <w:r w:rsidRPr="00B42C71">
        <w:rPr>
          <w:rFonts w:ascii="Arial" w:eastAsia="Arial" w:hAnsi="Arial" w:cs="Arial"/>
          <w:spacing w:val="-1"/>
        </w:rPr>
        <w:t>nfrastructure network.</w:t>
      </w:r>
    </w:p>
    <w:p w14:paraId="56D0187C" w14:textId="77777777" w:rsidR="003F22C3" w:rsidRPr="00B42C71" w:rsidRDefault="003F22C3" w:rsidP="0059751A">
      <w:pPr>
        <w:keepNext w:val="0"/>
        <w:autoSpaceDE w:val="0"/>
        <w:autoSpaceDN w:val="0"/>
        <w:adjustRightInd w:val="0"/>
        <w:spacing w:before="0"/>
        <w:ind w:left="851" w:hanging="851"/>
        <w:rPr>
          <w:rFonts w:eastAsia="Arial" w:cs="Arial"/>
          <w:spacing w:val="-1"/>
        </w:rPr>
      </w:pPr>
    </w:p>
    <w:p w14:paraId="084831C1" w14:textId="20EB2D35"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The current network of green spaces and recreation facilities within Ashfield’s towns and villages makes a significant contribution to their character and attractiveness. Green space takes many forms including town parks, formal gardens, country parks, informal woodland, restored landscapes, play areas, recreation grounds and sports facilities, school playing field, local small green spaces, green routes, reservoirs, allotments, cemeteries and church yards, undeveloped parcels of land, and semi-natural areas. Many provide important recreational and sporting facilities and whatever their size, function and accessibility they all contribute to local amenity and biodiversity. </w:t>
      </w:r>
    </w:p>
    <w:p w14:paraId="45802DAC" w14:textId="77777777" w:rsidR="006D4F49" w:rsidRDefault="006D4F49" w:rsidP="0059751A">
      <w:pPr>
        <w:keepNext w:val="0"/>
        <w:autoSpaceDE w:val="0"/>
        <w:autoSpaceDN w:val="0"/>
        <w:adjustRightInd w:val="0"/>
        <w:spacing w:before="0"/>
        <w:ind w:left="851" w:hanging="851"/>
        <w:rPr>
          <w:rFonts w:eastAsia="Arial" w:cs="Arial"/>
          <w:b/>
          <w:bCs/>
          <w:spacing w:val="-1"/>
        </w:rPr>
      </w:pPr>
    </w:p>
    <w:p w14:paraId="036FA641" w14:textId="0B0025EC" w:rsidR="003F22C3" w:rsidRPr="002E7654" w:rsidRDefault="0059751A" w:rsidP="0059751A">
      <w:pPr>
        <w:keepNext w:val="0"/>
        <w:autoSpaceDE w:val="0"/>
        <w:autoSpaceDN w:val="0"/>
        <w:adjustRightInd w:val="0"/>
        <w:spacing w:before="0"/>
        <w:ind w:left="851" w:hanging="131"/>
        <w:rPr>
          <w:rFonts w:eastAsia="Arial" w:cs="Arial"/>
          <w:b/>
          <w:bCs/>
          <w:spacing w:val="-1"/>
        </w:rPr>
      </w:pPr>
      <w:r>
        <w:rPr>
          <w:rFonts w:eastAsia="Arial" w:cs="Arial"/>
          <w:b/>
          <w:bCs/>
          <w:spacing w:val="-1"/>
        </w:rPr>
        <w:t xml:space="preserve">  </w:t>
      </w:r>
      <w:r w:rsidR="003F22C3" w:rsidRPr="003F22C3">
        <w:rPr>
          <w:rFonts w:eastAsia="Arial" w:cs="Arial"/>
          <w:b/>
          <w:bCs/>
          <w:spacing w:val="-1"/>
        </w:rPr>
        <w:t>Protection of Green Space</w:t>
      </w:r>
      <w:r w:rsidR="004E22B8">
        <w:rPr>
          <w:rFonts w:eastAsia="Arial" w:cs="Arial"/>
          <w:b/>
          <w:bCs/>
          <w:spacing w:val="-1"/>
        </w:rPr>
        <w:t xml:space="preserve"> </w:t>
      </w:r>
      <w:r w:rsidR="004E22B8" w:rsidRPr="002E7654">
        <w:rPr>
          <w:rFonts w:eastAsia="Arial" w:cs="Arial"/>
          <w:b/>
          <w:bCs/>
          <w:spacing w:val="-1"/>
        </w:rPr>
        <w:t>and Recreational Facilities</w:t>
      </w:r>
    </w:p>
    <w:p w14:paraId="6D49C36F" w14:textId="20CF4E7D" w:rsidR="003F22C3" w:rsidRPr="00294863" w:rsidRDefault="003F22C3" w:rsidP="0059751A">
      <w:pPr>
        <w:keepNext w:val="0"/>
        <w:numPr>
          <w:ilvl w:val="1"/>
          <w:numId w:val="5"/>
        </w:numPr>
        <w:autoSpaceDE w:val="0"/>
        <w:autoSpaceDN w:val="0"/>
        <w:adjustRightInd w:val="0"/>
        <w:spacing w:before="0"/>
        <w:ind w:left="851" w:hanging="851"/>
        <w:rPr>
          <w:rFonts w:eastAsia="Arial" w:cs="Arial"/>
          <w:strike/>
          <w:spacing w:val="-1"/>
        </w:rPr>
      </w:pPr>
      <w:r w:rsidRPr="003F22C3">
        <w:rPr>
          <w:rFonts w:eastAsia="Arial" w:cs="Arial"/>
          <w:spacing w:val="-1"/>
        </w:rPr>
        <w:t xml:space="preserve">It is important to prevent the loss of green space where this would harm the character of a settlement or the visual quality of the locality. </w:t>
      </w:r>
      <w:r w:rsidR="00294863" w:rsidRPr="00294863">
        <w:rPr>
          <w:color w:val="0070C0"/>
        </w:rPr>
        <w:t>Proposals which result in the loss, or partial loss, of sports or recreational land or buildings, including playing field, would be assessed against part 4 of the policy</w:t>
      </w:r>
      <w:r w:rsidR="00294863" w:rsidRPr="00294863">
        <w:rPr>
          <w:b/>
          <w:bCs/>
        </w:rPr>
        <w:t xml:space="preserve">. </w:t>
      </w:r>
      <w:r w:rsidRPr="00294863">
        <w:rPr>
          <w:rFonts w:eastAsia="Arial" w:cs="Arial"/>
          <w:strike/>
          <w:spacing w:val="-1"/>
        </w:rPr>
        <w:t>Sites are shown on the Policies Map and listed in Appendix 7.</w:t>
      </w:r>
    </w:p>
    <w:p w14:paraId="41DB5F87" w14:textId="77777777" w:rsidR="003F22C3" w:rsidRPr="003F22C3" w:rsidRDefault="003F22C3" w:rsidP="0059751A">
      <w:pPr>
        <w:keepNext w:val="0"/>
        <w:autoSpaceDE w:val="0"/>
        <w:autoSpaceDN w:val="0"/>
        <w:adjustRightInd w:val="0"/>
        <w:spacing w:before="0"/>
        <w:ind w:left="851" w:hanging="851"/>
        <w:rPr>
          <w:rFonts w:eastAsia="Arial" w:cs="Arial"/>
          <w:spacing w:val="-1"/>
        </w:rPr>
      </w:pPr>
    </w:p>
    <w:p w14:paraId="17EC8E98" w14:textId="1B287740"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Ashfield’s Public Open Space Strategy and Playing Pitch Strategy provides evidence on the existing green space network and its recreational values. </w:t>
      </w:r>
      <w:r w:rsidRPr="00087D5C">
        <w:rPr>
          <w:rFonts w:eastAsia="Arial" w:cs="Arial"/>
          <w:strike/>
          <w:spacing w:val="-1"/>
        </w:rPr>
        <w:t>It</w:t>
      </w:r>
      <w:r w:rsidRPr="003F22C3">
        <w:rPr>
          <w:rFonts w:eastAsia="Arial" w:cs="Arial"/>
          <w:spacing w:val="-1"/>
        </w:rPr>
        <w:t xml:space="preserve"> </w:t>
      </w:r>
      <w:r w:rsidR="00087D5C">
        <w:rPr>
          <w:rFonts w:eastAsia="Arial" w:cs="Arial"/>
          <w:color w:val="0070C0"/>
          <w:spacing w:val="-1"/>
        </w:rPr>
        <w:t xml:space="preserve">They </w:t>
      </w:r>
      <w:r w:rsidRPr="003F22C3">
        <w:rPr>
          <w:rFonts w:eastAsia="Arial" w:cs="Arial"/>
          <w:spacing w:val="-1"/>
        </w:rPr>
        <w:t xml:space="preserve">provide a basis for improving the quality and potential uses of </w:t>
      </w:r>
      <w:r w:rsidRPr="001B1166">
        <w:rPr>
          <w:rFonts w:eastAsia="Arial" w:cs="Arial"/>
          <w:strike/>
          <w:spacing w:val="-1"/>
        </w:rPr>
        <w:t>green spaces</w:t>
      </w:r>
      <w:r w:rsidRPr="003F22C3">
        <w:rPr>
          <w:rFonts w:eastAsia="Arial" w:cs="Arial"/>
          <w:spacing w:val="-1"/>
        </w:rPr>
        <w:t xml:space="preserve"> </w:t>
      </w:r>
      <w:r w:rsidR="001B1166">
        <w:rPr>
          <w:rFonts w:eastAsia="Arial" w:cs="Arial"/>
          <w:color w:val="0070C0"/>
          <w:spacing w:val="-1"/>
        </w:rPr>
        <w:t xml:space="preserve">facilities </w:t>
      </w:r>
      <w:r w:rsidRPr="003F22C3">
        <w:rPr>
          <w:rFonts w:eastAsia="Arial" w:cs="Arial"/>
          <w:spacing w:val="-1"/>
        </w:rPr>
        <w:t xml:space="preserve">to cater for increasing future demand arising from growth and the changing needs of the community. The </w:t>
      </w:r>
      <w:r w:rsidRPr="009D1DF2">
        <w:rPr>
          <w:rFonts w:eastAsia="Arial" w:cs="Arial"/>
          <w:strike/>
          <w:spacing w:val="-1"/>
        </w:rPr>
        <w:t>Strategies</w:t>
      </w:r>
      <w:r w:rsidRPr="003F22C3">
        <w:rPr>
          <w:rFonts w:eastAsia="Arial" w:cs="Arial"/>
          <w:spacing w:val="-1"/>
        </w:rPr>
        <w:t xml:space="preserve"> </w:t>
      </w:r>
      <w:r w:rsidR="009D1DF2" w:rsidRPr="009D1DF2">
        <w:rPr>
          <w:color w:val="0070C0"/>
        </w:rPr>
        <w:t xml:space="preserve">Public Open Space Strategy </w:t>
      </w:r>
      <w:r w:rsidRPr="003F22C3">
        <w:rPr>
          <w:rFonts w:eastAsia="Arial" w:cs="Arial"/>
          <w:spacing w:val="-1"/>
        </w:rPr>
        <w:t>set</w:t>
      </w:r>
      <w:r w:rsidR="00C65526">
        <w:rPr>
          <w:rFonts w:eastAsia="Arial" w:cs="Arial"/>
          <w:color w:val="0070C0"/>
          <w:spacing w:val="-1"/>
        </w:rPr>
        <w:t>s</w:t>
      </w:r>
      <w:r w:rsidRPr="003F22C3">
        <w:rPr>
          <w:rFonts w:eastAsia="Arial" w:cs="Arial"/>
          <w:spacing w:val="-1"/>
        </w:rPr>
        <w:t xml:space="preserve"> out standards for the provision of green spaces and identifies deficiencies in the</w:t>
      </w:r>
      <w:r w:rsidR="00F21571">
        <w:rPr>
          <w:rFonts w:eastAsia="Arial" w:cs="Arial"/>
          <w:color w:val="0070C0"/>
          <w:spacing w:val="-1"/>
        </w:rPr>
        <w:t>ir</w:t>
      </w:r>
      <w:r w:rsidRPr="003F22C3">
        <w:rPr>
          <w:rFonts w:eastAsia="Arial" w:cs="Arial"/>
          <w:spacing w:val="-1"/>
        </w:rPr>
        <w:t xml:space="preserve"> quantity, quality or accessibility of green spaces.</w:t>
      </w:r>
      <w:r w:rsidR="003F7348">
        <w:rPr>
          <w:rFonts w:eastAsia="Arial" w:cs="Arial"/>
          <w:spacing w:val="-1"/>
        </w:rPr>
        <w:t xml:space="preserve"> </w:t>
      </w:r>
      <w:r w:rsidR="009830CB" w:rsidRPr="009830CB">
        <w:rPr>
          <w:color w:val="0070C0"/>
        </w:rPr>
        <w:t xml:space="preserve">The Playing Pitch Strategy provides an assessment of the need for playing pitches and the need for improvements to provision. </w:t>
      </w:r>
      <w:r w:rsidR="003F7348">
        <w:rPr>
          <w:rFonts w:eastAsia="Arial" w:cs="Arial"/>
          <w:spacing w:val="-1"/>
        </w:rPr>
        <w:t xml:space="preserve"> </w:t>
      </w:r>
      <w:r w:rsidRPr="003F22C3">
        <w:rPr>
          <w:rFonts w:eastAsia="Arial" w:cs="Arial"/>
          <w:spacing w:val="-1"/>
        </w:rPr>
        <w:t xml:space="preserve">Prospective developers will be expected to make appropriate provision to address deficiencies in green spaces, </w:t>
      </w:r>
      <w:r w:rsidR="000C0462" w:rsidRPr="00710512">
        <w:rPr>
          <w:color w:val="0070C0"/>
        </w:rPr>
        <w:t>sports and recreational facilities to meet</w:t>
      </w:r>
      <w:r w:rsidR="000C0462">
        <w:rPr>
          <w:color w:val="000000"/>
        </w:rPr>
        <w:t xml:space="preserve"> </w:t>
      </w:r>
      <w:r w:rsidRPr="000C0462">
        <w:rPr>
          <w:rFonts w:eastAsia="Arial" w:cs="Arial"/>
          <w:strike/>
          <w:spacing w:val="-1"/>
        </w:rPr>
        <w:t>and for</w:t>
      </w:r>
      <w:r w:rsidRPr="003F22C3">
        <w:rPr>
          <w:rFonts w:eastAsia="Arial" w:cs="Arial"/>
          <w:spacing w:val="-1"/>
        </w:rPr>
        <w:t xml:space="preserve"> the needs arising from their development, in accordance with these standards</w:t>
      </w:r>
      <w:r w:rsidR="00710512">
        <w:rPr>
          <w:rFonts w:eastAsia="Arial" w:cs="Arial"/>
          <w:color w:val="0070C0"/>
          <w:spacing w:val="-1"/>
        </w:rPr>
        <w:t>/strategies</w:t>
      </w:r>
      <w:r w:rsidRPr="003F22C3">
        <w:rPr>
          <w:rFonts w:eastAsia="Arial" w:cs="Arial"/>
          <w:spacing w:val="-1"/>
        </w:rPr>
        <w:t xml:space="preserve"> or subsequent review of standards.</w:t>
      </w:r>
    </w:p>
    <w:p w14:paraId="69271ACF" w14:textId="77777777" w:rsidR="003F22C3" w:rsidRPr="003F22C3" w:rsidRDefault="003F22C3" w:rsidP="0059751A">
      <w:pPr>
        <w:keepNext w:val="0"/>
        <w:autoSpaceDE w:val="0"/>
        <w:autoSpaceDN w:val="0"/>
        <w:adjustRightInd w:val="0"/>
        <w:spacing w:before="0"/>
        <w:ind w:left="851" w:hanging="851"/>
        <w:rPr>
          <w:rFonts w:eastAsia="Arial" w:cs="Arial"/>
          <w:spacing w:val="-1"/>
        </w:rPr>
      </w:pPr>
    </w:p>
    <w:p w14:paraId="1C3C5CE1" w14:textId="605B7A65"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Outside the Main Urban Areas, </w:t>
      </w:r>
      <w:r w:rsidR="007556D5">
        <w:rPr>
          <w:rFonts w:eastAsia="Arial" w:cs="Arial"/>
          <w:spacing w:val="-1"/>
        </w:rPr>
        <w:t xml:space="preserve">Strategic Employment Areas, </w:t>
      </w:r>
      <w:r w:rsidRPr="003F22C3">
        <w:rPr>
          <w:rFonts w:eastAsia="Arial" w:cs="Arial"/>
          <w:spacing w:val="-1"/>
        </w:rPr>
        <w:t xml:space="preserve">Named </w:t>
      </w:r>
      <w:r w:rsidR="007556D5">
        <w:rPr>
          <w:rFonts w:eastAsia="Arial" w:cs="Arial"/>
          <w:spacing w:val="-1"/>
        </w:rPr>
        <w:t>Settlements and Blenheim Industrial Estate</w:t>
      </w:r>
      <w:r w:rsidRPr="003F22C3">
        <w:rPr>
          <w:rFonts w:eastAsia="Arial" w:cs="Arial"/>
          <w:spacing w:val="-1"/>
        </w:rPr>
        <w:t xml:space="preserve">, development proposals affecting green spaces or recreational facilities should initially comply with Policy EV1 - Green Belt and Policy EV2 – Countryside. These policies identify the limited types of development which may be appropriate in the rural parts of the </w:t>
      </w:r>
      <w:proofErr w:type="gramStart"/>
      <w:r w:rsidRPr="003F22C3">
        <w:rPr>
          <w:rFonts w:eastAsia="Arial" w:cs="Arial"/>
          <w:spacing w:val="-1"/>
        </w:rPr>
        <w:t>District</w:t>
      </w:r>
      <w:proofErr w:type="gramEnd"/>
      <w:r w:rsidRPr="003F22C3">
        <w:rPr>
          <w:rFonts w:eastAsia="Arial" w:cs="Arial"/>
          <w:spacing w:val="-1"/>
        </w:rPr>
        <w:t xml:space="preserve">. </w:t>
      </w:r>
    </w:p>
    <w:p w14:paraId="52C3E9DF" w14:textId="77777777" w:rsidR="003F22C3" w:rsidRPr="003F22C3" w:rsidRDefault="003F22C3" w:rsidP="0059751A">
      <w:pPr>
        <w:keepNext w:val="0"/>
        <w:autoSpaceDE w:val="0"/>
        <w:autoSpaceDN w:val="0"/>
        <w:adjustRightInd w:val="0"/>
        <w:spacing w:before="0"/>
        <w:ind w:left="851" w:hanging="851"/>
        <w:rPr>
          <w:rFonts w:eastAsia="Arial" w:cs="Arial"/>
          <w:spacing w:val="-1"/>
        </w:rPr>
      </w:pPr>
    </w:p>
    <w:p w14:paraId="40EFEA73" w14:textId="77777777"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Proposals which are ancillary to the recreation use of the </w:t>
      </w:r>
      <w:proofErr w:type="gramStart"/>
      <w:r w:rsidRPr="003F22C3">
        <w:rPr>
          <w:rFonts w:eastAsia="Arial" w:cs="Arial"/>
          <w:spacing w:val="-1"/>
        </w:rPr>
        <w:t>site</w:t>
      </w:r>
      <w:proofErr w:type="gramEnd"/>
      <w:r w:rsidRPr="003F22C3">
        <w:rPr>
          <w:rFonts w:eastAsia="Arial" w:cs="Arial"/>
          <w:spacing w:val="-1"/>
        </w:rPr>
        <w:t xml:space="preserve"> and which add to its recreation value such as football changing rooms or a cricket pavilion may be acceptable if they are sited to minimise effects on the open character of the area. On private green </w:t>
      </w:r>
      <w:proofErr w:type="gramStart"/>
      <w:r w:rsidRPr="003F22C3">
        <w:rPr>
          <w:rFonts w:eastAsia="Arial" w:cs="Arial"/>
          <w:spacing w:val="-1"/>
        </w:rPr>
        <w:t>spaces in particular, it</w:t>
      </w:r>
      <w:proofErr w:type="gramEnd"/>
      <w:r w:rsidRPr="003F22C3">
        <w:rPr>
          <w:rFonts w:eastAsia="Arial" w:cs="Arial"/>
          <w:spacing w:val="-1"/>
        </w:rPr>
        <w:t xml:space="preserve"> may be appropriate to allow limited </w:t>
      </w:r>
      <w:r w:rsidRPr="003F22C3">
        <w:rPr>
          <w:rFonts w:eastAsia="Arial" w:cs="Arial"/>
          <w:spacing w:val="-1"/>
        </w:rPr>
        <w:lastRenderedPageBreak/>
        <w:t xml:space="preserve">development on a small part of the site where this would result in retention of </w:t>
      </w:r>
      <w:proofErr w:type="gramStart"/>
      <w:r w:rsidRPr="003F22C3">
        <w:rPr>
          <w:rFonts w:eastAsia="Arial" w:cs="Arial"/>
          <w:spacing w:val="-1"/>
        </w:rPr>
        <w:t>the majority of</w:t>
      </w:r>
      <w:proofErr w:type="gramEnd"/>
      <w:r w:rsidRPr="003F22C3">
        <w:rPr>
          <w:rFonts w:eastAsia="Arial" w:cs="Arial"/>
          <w:spacing w:val="-1"/>
        </w:rPr>
        <w:t xml:space="preserve"> the green space including upgrading of the facility and improved public use of the site.</w:t>
      </w:r>
    </w:p>
    <w:p w14:paraId="4F0220D5" w14:textId="77777777" w:rsidR="003F22C3" w:rsidRPr="003F22C3" w:rsidRDefault="003F22C3" w:rsidP="0059751A">
      <w:pPr>
        <w:keepNext w:val="0"/>
        <w:autoSpaceDE w:val="0"/>
        <w:autoSpaceDN w:val="0"/>
        <w:adjustRightInd w:val="0"/>
        <w:spacing w:before="0"/>
        <w:ind w:left="851" w:hanging="851"/>
        <w:rPr>
          <w:rFonts w:eastAsia="Arial" w:cs="Arial"/>
          <w:spacing w:val="-1"/>
        </w:rPr>
      </w:pPr>
    </w:p>
    <w:p w14:paraId="1FB26A2A" w14:textId="77777777" w:rsidR="003F22C3" w:rsidRPr="003F22C3" w:rsidRDefault="003F22C3" w:rsidP="0059751A">
      <w:pPr>
        <w:keepNext w:val="0"/>
        <w:autoSpaceDE w:val="0"/>
        <w:autoSpaceDN w:val="0"/>
        <w:adjustRightInd w:val="0"/>
        <w:spacing w:before="0"/>
        <w:ind w:left="851"/>
        <w:rPr>
          <w:rFonts w:eastAsia="Arial" w:cs="Arial"/>
          <w:b/>
          <w:bCs/>
          <w:spacing w:val="-1"/>
        </w:rPr>
      </w:pPr>
      <w:r w:rsidRPr="003F22C3">
        <w:rPr>
          <w:rFonts w:eastAsia="Arial" w:cs="Arial"/>
          <w:b/>
          <w:bCs/>
          <w:spacing w:val="-1"/>
        </w:rPr>
        <w:t>Protection of Other Green Space</w:t>
      </w:r>
    </w:p>
    <w:p w14:paraId="1A9F9E7C" w14:textId="77777777"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In addition to the protection of accessible green space and recreational facilities, area EV5/206 to the south of Hucknall </w:t>
      </w:r>
      <w:proofErr w:type="gramStart"/>
      <w:r w:rsidRPr="003F22C3">
        <w:rPr>
          <w:rFonts w:eastAsia="Arial" w:cs="Arial"/>
          <w:spacing w:val="-1"/>
        </w:rPr>
        <w:t>is considered to be</w:t>
      </w:r>
      <w:proofErr w:type="gramEnd"/>
      <w:r w:rsidRPr="003F22C3">
        <w:rPr>
          <w:rFonts w:eastAsia="Arial" w:cs="Arial"/>
          <w:spacing w:val="-1"/>
        </w:rPr>
        <w:t xml:space="preserve"> an important area of green space. The area is important for several reasons including its effectiveness as a buffer between the existing development and the Hucknall Bypass (A611), and for its visual amenity within the built-up area.  </w:t>
      </w:r>
    </w:p>
    <w:p w14:paraId="788FAAA0" w14:textId="77777777" w:rsidR="003F22C3" w:rsidRPr="003F22C3" w:rsidRDefault="003F22C3" w:rsidP="0059751A">
      <w:pPr>
        <w:keepNext w:val="0"/>
        <w:autoSpaceDE w:val="0"/>
        <w:autoSpaceDN w:val="0"/>
        <w:adjustRightInd w:val="0"/>
        <w:spacing w:before="0"/>
        <w:ind w:left="851" w:hanging="851"/>
        <w:rPr>
          <w:rFonts w:eastAsia="Arial" w:cs="Arial"/>
          <w:spacing w:val="-1"/>
        </w:rPr>
      </w:pPr>
    </w:p>
    <w:p w14:paraId="3A91A314" w14:textId="77777777"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The Council will resist the loss or fragmentation of other Green Spaces not identified on the Policies Map where it would harm the character of a settlement or the visual quality of the locality.  This approach accords with the Council’s Public Open Space Strategy aims and objectives, which state that adequate protection of other smaller, valuable green spaces should be introduced through the Local Plan process.</w:t>
      </w:r>
    </w:p>
    <w:p w14:paraId="0029FFED" w14:textId="77777777" w:rsidR="003F22C3" w:rsidRPr="003F22C3" w:rsidRDefault="003F22C3" w:rsidP="0059751A">
      <w:pPr>
        <w:keepNext w:val="0"/>
        <w:autoSpaceDE w:val="0"/>
        <w:autoSpaceDN w:val="0"/>
        <w:adjustRightInd w:val="0"/>
        <w:spacing w:before="0"/>
        <w:ind w:left="851" w:hanging="851"/>
        <w:rPr>
          <w:rFonts w:eastAsia="Arial" w:cs="Arial"/>
          <w:spacing w:val="-1"/>
        </w:rPr>
      </w:pPr>
    </w:p>
    <w:p w14:paraId="664BC96A" w14:textId="77777777" w:rsidR="003F22C3" w:rsidRPr="003F22C3" w:rsidRDefault="003F22C3" w:rsidP="0059751A">
      <w:pPr>
        <w:keepNext w:val="0"/>
        <w:autoSpaceDE w:val="0"/>
        <w:autoSpaceDN w:val="0"/>
        <w:adjustRightInd w:val="0"/>
        <w:spacing w:before="0"/>
        <w:ind w:left="851"/>
        <w:rPr>
          <w:rFonts w:eastAsia="Arial" w:cs="Arial"/>
          <w:b/>
          <w:bCs/>
          <w:spacing w:val="-1"/>
        </w:rPr>
      </w:pPr>
      <w:r w:rsidRPr="003F22C3">
        <w:rPr>
          <w:rFonts w:eastAsia="Arial" w:cs="Arial"/>
          <w:b/>
          <w:bCs/>
          <w:spacing w:val="-1"/>
        </w:rPr>
        <w:t>Exceptions</w:t>
      </w:r>
    </w:p>
    <w:p w14:paraId="047AC8B2" w14:textId="77777777"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Existing green spaces and recreational facilities, including playing fields, should not be built on unless an assessment has been undertaken which clearly shows that the green space is surplus to requirement.  </w:t>
      </w:r>
    </w:p>
    <w:p w14:paraId="757206B7" w14:textId="77777777" w:rsidR="003F22C3" w:rsidRPr="003F22C3" w:rsidRDefault="003F22C3" w:rsidP="0059751A">
      <w:pPr>
        <w:keepNext w:val="0"/>
        <w:autoSpaceDE w:val="0"/>
        <w:autoSpaceDN w:val="0"/>
        <w:adjustRightInd w:val="0"/>
        <w:spacing w:before="0"/>
        <w:ind w:left="851" w:hanging="851"/>
        <w:rPr>
          <w:rFonts w:eastAsia="Arial" w:cs="Arial"/>
          <w:spacing w:val="-1"/>
        </w:rPr>
      </w:pPr>
    </w:p>
    <w:p w14:paraId="32788135" w14:textId="77777777"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In some circumstances the loss of an area may be acceptable where a replacement facility is provided in the immediate locality serving the same local resident population. This may include, for instance, cases where a site is required to enable the comprehensive development of an area. Where replacement formal sports facilities such as football pitches are to be provided these should be available for use prior to loss of the ground or pitch to be replaced. This will be negotiated and secured through a Section 106 Planning Agreement. </w:t>
      </w:r>
    </w:p>
    <w:p w14:paraId="5401A94A" w14:textId="77777777" w:rsidR="003F22C3" w:rsidRPr="003F22C3" w:rsidRDefault="003F22C3" w:rsidP="0059751A">
      <w:pPr>
        <w:keepNext w:val="0"/>
        <w:autoSpaceDE w:val="0"/>
        <w:autoSpaceDN w:val="0"/>
        <w:adjustRightInd w:val="0"/>
        <w:spacing w:before="0"/>
        <w:ind w:left="851" w:hanging="851"/>
        <w:rPr>
          <w:rFonts w:eastAsia="Arial" w:cs="Arial"/>
          <w:spacing w:val="-1"/>
        </w:rPr>
      </w:pPr>
    </w:p>
    <w:p w14:paraId="5EC87052" w14:textId="77777777"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Exceptionally, the loss of green space may also be acceptable where it is proposed to make a significant improvement in the type, quality and general availability of green space in the locality. This may include the loss of an area with restricted public access, or an area with no formal play provision and the subsequent improvement of an existing nearby area through the provision of formal sports facilities that are much needed in the locality and where </w:t>
      </w:r>
      <w:proofErr w:type="gramStart"/>
      <w:r w:rsidRPr="003F22C3">
        <w:rPr>
          <w:rFonts w:eastAsia="Arial" w:cs="Arial"/>
          <w:spacing w:val="-1"/>
        </w:rPr>
        <w:t>general public</w:t>
      </w:r>
      <w:proofErr w:type="gramEnd"/>
      <w:r w:rsidRPr="003F22C3">
        <w:rPr>
          <w:rFonts w:eastAsia="Arial" w:cs="Arial"/>
          <w:spacing w:val="-1"/>
        </w:rPr>
        <w:t xml:space="preserve"> access will be allowed. The loss of an existing area and subsequent provision of an off-site replacement or improvement of facilities will need to be negotiated with the Local Planning Authority and will be secured by a planning condition or developer contribution as appropriate.</w:t>
      </w:r>
    </w:p>
    <w:p w14:paraId="4A89DDF8" w14:textId="77777777" w:rsidR="003F22C3" w:rsidRPr="003F22C3" w:rsidRDefault="003F22C3" w:rsidP="0059751A">
      <w:pPr>
        <w:keepNext w:val="0"/>
        <w:autoSpaceDE w:val="0"/>
        <w:autoSpaceDN w:val="0"/>
        <w:adjustRightInd w:val="0"/>
        <w:spacing w:before="0"/>
        <w:ind w:left="851" w:hanging="851"/>
        <w:rPr>
          <w:rFonts w:eastAsia="Arial" w:cs="Arial"/>
          <w:spacing w:val="-1"/>
        </w:rPr>
      </w:pPr>
    </w:p>
    <w:p w14:paraId="26154751" w14:textId="5BB4C4CB"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The Council will resist the loss or fragmentation of green space and recreation facilities identified on the Policies Map and listed in Appendix 7; and other green space not identified on the Policies Map which contribute to the distinctive form, character and setting of a settlement or an area. This approach accords with the Council’s Public Open Space Strategy aims and objectives, which state that </w:t>
      </w:r>
      <w:r w:rsidRPr="003F22C3">
        <w:rPr>
          <w:rFonts w:eastAsia="Arial" w:cs="Arial"/>
          <w:spacing w:val="-1"/>
        </w:rPr>
        <w:lastRenderedPageBreak/>
        <w:t>adequate protection of smaller, valuable green spaces should be introduced through the Local Plan process.</w:t>
      </w:r>
    </w:p>
    <w:p w14:paraId="390A61BA" w14:textId="3551DA88" w:rsidR="003F22C3" w:rsidRPr="00B33D71" w:rsidRDefault="003F22C3" w:rsidP="002E7654">
      <w:pPr>
        <w:keepNext w:val="0"/>
        <w:autoSpaceDE w:val="0"/>
        <w:autoSpaceDN w:val="0"/>
        <w:adjustRightInd w:val="0"/>
        <w:spacing w:before="0"/>
        <w:rPr>
          <w:rFonts w:eastAsia="Arial" w:cs="Arial"/>
          <w:strike/>
          <w:spacing w:val="-1"/>
        </w:rPr>
      </w:pPr>
    </w:p>
    <w:p w14:paraId="55ED2E25" w14:textId="489B1D0E" w:rsidR="003F22C3" w:rsidRPr="003F22C3" w:rsidRDefault="003F22C3" w:rsidP="0059751A">
      <w:pPr>
        <w:keepNext w:val="0"/>
        <w:numPr>
          <w:ilvl w:val="1"/>
          <w:numId w:val="5"/>
        </w:numPr>
        <w:autoSpaceDE w:val="0"/>
        <w:autoSpaceDN w:val="0"/>
        <w:adjustRightInd w:val="0"/>
        <w:spacing w:before="0"/>
        <w:ind w:left="851" w:hanging="851"/>
        <w:rPr>
          <w:rFonts w:eastAsia="Arial" w:cs="Arial"/>
          <w:spacing w:val="-1"/>
        </w:rPr>
      </w:pPr>
      <w:r w:rsidRPr="003F22C3">
        <w:rPr>
          <w:rFonts w:eastAsia="Arial" w:cs="Arial"/>
          <w:spacing w:val="-1"/>
        </w:rPr>
        <w:t xml:space="preserve">Where the educational use of </w:t>
      </w:r>
      <w:r w:rsidR="00B33D71" w:rsidRPr="002E7654">
        <w:rPr>
          <w:rFonts w:eastAsia="Arial" w:cs="Arial"/>
          <w:spacing w:val="-1"/>
        </w:rPr>
        <w:t>a</w:t>
      </w:r>
      <w:r w:rsidR="00B33D71">
        <w:rPr>
          <w:rFonts w:eastAsia="Arial" w:cs="Arial"/>
          <w:color w:val="4472C4" w:themeColor="accent1"/>
          <w:spacing w:val="-1"/>
        </w:rPr>
        <w:t xml:space="preserve"> </w:t>
      </w:r>
      <w:r w:rsidRPr="003F22C3">
        <w:rPr>
          <w:rFonts w:eastAsia="Arial" w:cs="Arial"/>
          <w:spacing w:val="-1"/>
        </w:rPr>
        <w:t>site ceases, proposals for the development of its playing fields will only be considered favourably where it can be demonstrated to meet the criteria set out in Policy EV5.</w:t>
      </w:r>
    </w:p>
    <w:p w14:paraId="431DB000" w14:textId="61650AEE" w:rsidR="003B5B6A" w:rsidRDefault="003B5B6A" w:rsidP="0059751A">
      <w:pPr>
        <w:keepNext w:val="0"/>
        <w:autoSpaceDE w:val="0"/>
        <w:autoSpaceDN w:val="0"/>
        <w:adjustRightInd w:val="0"/>
        <w:spacing w:before="0"/>
        <w:ind w:left="851" w:hanging="851"/>
        <w:rPr>
          <w:rFonts w:eastAsia="Arial" w:cs="Arial"/>
          <w:spacing w:val="-1"/>
        </w:rPr>
      </w:pPr>
    </w:p>
    <w:p w14:paraId="61D1063D" w14:textId="77777777" w:rsidR="00E36A67" w:rsidRPr="00E36A67" w:rsidRDefault="00E36A67" w:rsidP="00E36A67">
      <w:pPr>
        <w:pStyle w:val="ListParagraph"/>
        <w:spacing w:after="0" w:line="240" w:lineRule="auto"/>
        <w:ind w:left="851"/>
        <w:rPr>
          <w:rFonts w:ascii="Arial" w:eastAsia="Arial" w:hAnsi="Arial" w:cs="Arial"/>
          <w:b/>
          <w:bCs/>
          <w:color w:val="auto"/>
          <w:spacing w:val="-1"/>
        </w:rPr>
      </w:pPr>
      <w:r w:rsidRPr="00E36A67">
        <w:rPr>
          <w:rFonts w:ascii="Arial" w:eastAsia="Arial" w:hAnsi="Arial" w:cs="Arial"/>
          <w:b/>
          <w:bCs/>
          <w:color w:val="auto"/>
          <w:spacing w:val="-1"/>
        </w:rPr>
        <w:t>Flood Resilience Scheme within Green Spaces</w:t>
      </w:r>
    </w:p>
    <w:p w14:paraId="2AE9464D" w14:textId="77777777" w:rsidR="00E36A67" w:rsidRPr="00E36A67" w:rsidRDefault="00E36A67" w:rsidP="00E36A67">
      <w:pPr>
        <w:keepNext w:val="0"/>
        <w:numPr>
          <w:ilvl w:val="1"/>
          <w:numId w:val="5"/>
        </w:numPr>
        <w:autoSpaceDE w:val="0"/>
        <w:autoSpaceDN w:val="0"/>
        <w:adjustRightInd w:val="0"/>
        <w:spacing w:before="0"/>
        <w:ind w:left="851" w:hanging="851"/>
        <w:rPr>
          <w:rFonts w:eastAsia="Arial" w:cs="Arial"/>
          <w:color w:val="auto"/>
          <w:spacing w:val="-1"/>
          <w:szCs w:val="24"/>
        </w:rPr>
      </w:pPr>
      <w:r w:rsidRPr="00E36A67">
        <w:rPr>
          <w:color w:val="auto"/>
          <w:szCs w:val="24"/>
        </w:rPr>
        <w:t>Green spaces can provide suitable locations for schemes such as flood alleviation schemes to be delivered without adversely impacting on the primary function of the green space. If the correct scheme is chosen, the flood alleviation schemes can result in additional benefits to the local green space through biodiversity and amenity benefits.</w:t>
      </w:r>
    </w:p>
    <w:p w14:paraId="64C5844D" w14:textId="30736682" w:rsidR="007556D5" w:rsidRDefault="007556D5">
      <w:pPr>
        <w:keepNext w:val="0"/>
        <w:spacing w:before="0"/>
        <w:rPr>
          <w:rFonts w:eastAsia="Arial" w:cs="Arial"/>
          <w:spacing w:val="-1"/>
        </w:rPr>
      </w:pPr>
      <w:r>
        <w:rPr>
          <w:rFonts w:eastAsia="Arial" w:cs="Arial"/>
          <w:spacing w:val="-1"/>
        </w:rPr>
        <w:br w:type="page"/>
      </w:r>
    </w:p>
    <w:p w14:paraId="6EC01A62" w14:textId="77A8F628" w:rsidR="00A75D60" w:rsidRPr="00995322" w:rsidRDefault="006977E7" w:rsidP="00995322">
      <w:pPr>
        <w:pStyle w:val="Heading2"/>
        <w:jc w:val="left"/>
        <w:rPr>
          <w:rFonts w:eastAsia="Arial"/>
          <w:sz w:val="28"/>
          <w:szCs w:val="28"/>
        </w:rPr>
      </w:pPr>
      <w:bookmarkStart w:id="177" w:name="_Toc500408758"/>
      <w:bookmarkStart w:id="178" w:name="_Toc145511580"/>
      <w:r w:rsidRPr="00995322">
        <w:rPr>
          <w:rFonts w:eastAsia="Arial"/>
          <w:spacing w:val="-1"/>
          <w:sz w:val="28"/>
          <w:szCs w:val="28"/>
        </w:rPr>
        <w:lastRenderedPageBreak/>
        <w:t xml:space="preserve">Policy </w:t>
      </w:r>
      <w:r w:rsidR="00A75D60" w:rsidRPr="00995322">
        <w:rPr>
          <w:rFonts w:eastAsia="Arial"/>
          <w:spacing w:val="-1"/>
          <w:sz w:val="28"/>
          <w:szCs w:val="28"/>
        </w:rPr>
        <w:t xml:space="preserve">EV6: </w:t>
      </w:r>
      <w:r w:rsidR="00A75D60" w:rsidRPr="00995322">
        <w:rPr>
          <w:rFonts w:eastAsia="Arial"/>
          <w:sz w:val="28"/>
          <w:szCs w:val="28"/>
        </w:rPr>
        <w:t>Trees, Woodland and Hedgerows</w:t>
      </w:r>
      <w:bookmarkEnd w:id="177"/>
      <w:bookmarkEnd w:id="178"/>
    </w:p>
    <w:p w14:paraId="4F74AF42" w14:textId="77777777" w:rsidR="00716B08" w:rsidRDefault="00716B08" w:rsidP="0059751A">
      <w:pPr>
        <w:keepNext w:val="0"/>
        <w:autoSpaceDE w:val="0"/>
        <w:autoSpaceDN w:val="0"/>
        <w:adjustRightInd w:val="0"/>
        <w:spacing w:before="0"/>
        <w:ind w:left="851" w:hanging="851"/>
        <w:rPr>
          <w:rFonts w:eastAsia="Arial" w:cs="Arial"/>
          <w:spacing w:val="-1"/>
        </w:rPr>
      </w:pPr>
    </w:p>
    <w:p w14:paraId="4E0A4B06" w14:textId="57DD120C" w:rsidR="003B5B6A" w:rsidRDefault="00A75D60" w:rsidP="0059751A">
      <w:pPr>
        <w:keepNext w:val="0"/>
        <w:numPr>
          <w:ilvl w:val="1"/>
          <w:numId w:val="5"/>
        </w:numPr>
        <w:autoSpaceDE w:val="0"/>
        <w:autoSpaceDN w:val="0"/>
        <w:adjustRightInd w:val="0"/>
        <w:spacing w:before="0"/>
        <w:ind w:left="851" w:hanging="851"/>
        <w:rPr>
          <w:rFonts w:eastAsia="Arial" w:cs="Arial"/>
          <w:spacing w:val="-1"/>
        </w:rPr>
      </w:pPr>
      <w:r w:rsidRPr="00A75D60">
        <w:rPr>
          <w:rFonts w:eastAsia="Arial" w:cs="Arial"/>
          <w:spacing w:val="-1"/>
        </w:rPr>
        <w:t>This policy is intended to protect the natural environment, including biodiversity, by minimising the loss of trees, woodlands and hedgerows where development is proposed.</w:t>
      </w:r>
    </w:p>
    <w:p w14:paraId="1DBC5267" w14:textId="77777777" w:rsidR="00263F59" w:rsidRPr="00B42C71" w:rsidRDefault="00263F59" w:rsidP="00B42C71">
      <w:pPr>
        <w:keepNext w:val="0"/>
        <w:spacing w:before="0" w:after="160" w:line="252" w:lineRule="auto"/>
        <w:jc w:val="both"/>
        <w:rPr>
          <w:rFonts w:eastAsia="Calibri"/>
          <w:color w:val="auto"/>
          <w:szCs w:val="22"/>
        </w:rPr>
      </w:pPr>
      <w:bookmarkStart w:id="179" w:name="_Hlk108693146"/>
    </w:p>
    <w:tbl>
      <w:tblPr>
        <w:tblStyle w:val="TableGrid9"/>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385"/>
        <w:gridCol w:w="7234"/>
      </w:tblGrid>
      <w:tr w:rsidR="00B42C71" w:rsidRPr="00B42C71" w14:paraId="7FF2C4F4" w14:textId="77777777" w:rsidTr="007C6CA4">
        <w:tc>
          <w:tcPr>
            <w:tcW w:w="9742" w:type="dxa"/>
            <w:gridSpan w:val="2"/>
          </w:tcPr>
          <w:p w14:paraId="616D237E" w14:textId="77777777" w:rsidR="007C6CA4" w:rsidRDefault="007C6CA4" w:rsidP="00FF3EAD">
            <w:pPr>
              <w:keepNext w:val="0"/>
              <w:spacing w:before="0"/>
              <w:jc w:val="left"/>
              <w:rPr>
                <w:b/>
                <w:bCs/>
                <w:color w:val="auto"/>
              </w:rPr>
            </w:pPr>
          </w:p>
          <w:p w14:paraId="1492935A" w14:textId="562B97D8" w:rsidR="00B42C71" w:rsidRDefault="00B42C71" w:rsidP="00FF3EAD">
            <w:pPr>
              <w:keepNext w:val="0"/>
              <w:spacing w:before="0"/>
              <w:jc w:val="left"/>
              <w:rPr>
                <w:b/>
                <w:bCs/>
                <w:color w:val="auto"/>
              </w:rPr>
            </w:pPr>
            <w:r w:rsidRPr="00B42C71">
              <w:rPr>
                <w:b/>
                <w:bCs/>
                <w:color w:val="auto"/>
              </w:rPr>
              <w:t>Policy EV6: Trees, Woodland and Hedgerows</w:t>
            </w:r>
          </w:p>
          <w:p w14:paraId="1865441D" w14:textId="24B6D192" w:rsidR="007C6CA4" w:rsidRPr="00B42C71" w:rsidRDefault="007C6CA4" w:rsidP="00FF3EAD">
            <w:pPr>
              <w:keepNext w:val="0"/>
              <w:spacing w:before="0"/>
              <w:jc w:val="left"/>
              <w:rPr>
                <w:b/>
                <w:bCs/>
                <w:color w:val="auto"/>
              </w:rPr>
            </w:pPr>
          </w:p>
        </w:tc>
      </w:tr>
      <w:tr w:rsidR="00B42C71" w:rsidRPr="00B42C71" w14:paraId="3C13010B" w14:textId="77777777" w:rsidTr="007C6CA4">
        <w:tc>
          <w:tcPr>
            <w:tcW w:w="2405" w:type="dxa"/>
          </w:tcPr>
          <w:p w14:paraId="1F7ABC3A" w14:textId="77777777" w:rsidR="00B42C71" w:rsidRPr="00B42C71" w:rsidRDefault="00B42C71" w:rsidP="00FF3EAD">
            <w:pPr>
              <w:keepNext w:val="0"/>
              <w:spacing w:before="0"/>
              <w:jc w:val="left"/>
              <w:rPr>
                <w:color w:val="auto"/>
              </w:rPr>
            </w:pPr>
            <w:r w:rsidRPr="00B42C71">
              <w:rPr>
                <w:color w:val="auto"/>
              </w:rPr>
              <w:t>Strategic Objectives</w:t>
            </w:r>
          </w:p>
        </w:tc>
        <w:tc>
          <w:tcPr>
            <w:tcW w:w="7337" w:type="dxa"/>
          </w:tcPr>
          <w:p w14:paraId="4293D303" w14:textId="77777777" w:rsidR="00B42C71" w:rsidRPr="00B42C71" w:rsidRDefault="00B42C71" w:rsidP="00FF3EAD">
            <w:pPr>
              <w:keepNext w:val="0"/>
              <w:spacing w:before="0"/>
              <w:jc w:val="left"/>
              <w:rPr>
                <w:color w:val="auto"/>
              </w:rPr>
            </w:pPr>
            <w:r w:rsidRPr="00B42C71">
              <w:rPr>
                <w:color w:val="auto"/>
              </w:rPr>
              <w:t>SO1, SO4, SO5, SO11, SO13, SO14.</w:t>
            </w:r>
          </w:p>
        </w:tc>
      </w:tr>
      <w:tr w:rsidR="00B42C71" w:rsidRPr="00B42C71" w14:paraId="24615D41" w14:textId="77777777" w:rsidTr="007C6CA4">
        <w:tc>
          <w:tcPr>
            <w:tcW w:w="9742" w:type="dxa"/>
            <w:gridSpan w:val="2"/>
            <w:shd w:val="clear" w:color="auto" w:fill="E2EFD9"/>
          </w:tcPr>
          <w:p w14:paraId="401BCC80" w14:textId="77777777" w:rsidR="00B42C71" w:rsidRPr="00B42C71" w:rsidRDefault="00B42C71" w:rsidP="00FF3EAD">
            <w:pPr>
              <w:keepNext w:val="0"/>
              <w:spacing w:before="0"/>
              <w:jc w:val="left"/>
              <w:rPr>
                <w:color w:val="auto"/>
              </w:rPr>
            </w:pPr>
          </w:p>
          <w:p w14:paraId="4772C2BC" w14:textId="482292BB" w:rsidR="00B42C71" w:rsidRDefault="00B42C71" w:rsidP="00874A98">
            <w:pPr>
              <w:keepNext w:val="0"/>
              <w:numPr>
                <w:ilvl w:val="0"/>
                <w:numId w:val="250"/>
              </w:numPr>
              <w:spacing w:before="0"/>
              <w:contextualSpacing/>
              <w:jc w:val="left"/>
              <w:rPr>
                <w:color w:val="auto"/>
              </w:rPr>
            </w:pPr>
            <w:r w:rsidRPr="002E7654">
              <w:rPr>
                <w:color w:val="auto"/>
              </w:rPr>
              <w:t>New development shall make provision for tree retention and planting within the application site, particularly on the street frontage</w:t>
            </w:r>
            <w:r w:rsidR="008852C8" w:rsidRPr="002E7654">
              <w:rPr>
                <w:color w:val="auto"/>
              </w:rPr>
              <w:t>s</w:t>
            </w:r>
            <w:r w:rsidRPr="002E7654">
              <w:rPr>
                <w:color w:val="auto"/>
              </w:rPr>
              <w:t xml:space="preserve">, or off-site in appropriate situations, to improve the level of tree coverage within the </w:t>
            </w:r>
            <w:proofErr w:type="gramStart"/>
            <w:r w:rsidRPr="002E7654">
              <w:rPr>
                <w:color w:val="auto"/>
              </w:rPr>
              <w:t>District</w:t>
            </w:r>
            <w:proofErr w:type="gramEnd"/>
            <w:r w:rsidRPr="002E7654">
              <w:rPr>
                <w:color w:val="auto"/>
              </w:rPr>
              <w:t xml:space="preserve">. </w:t>
            </w:r>
          </w:p>
          <w:p w14:paraId="23A424BB" w14:textId="77777777" w:rsidR="002E7654" w:rsidRPr="002E7654" w:rsidRDefault="002E7654" w:rsidP="002E7654">
            <w:pPr>
              <w:keepNext w:val="0"/>
              <w:spacing w:before="0"/>
              <w:ind w:left="360"/>
              <w:contextualSpacing/>
              <w:jc w:val="left"/>
              <w:rPr>
                <w:color w:val="auto"/>
              </w:rPr>
            </w:pPr>
          </w:p>
          <w:p w14:paraId="18A56F94" w14:textId="77777777" w:rsidR="00B42C71" w:rsidRPr="00B42C71" w:rsidRDefault="00B42C71" w:rsidP="00874A98">
            <w:pPr>
              <w:keepNext w:val="0"/>
              <w:numPr>
                <w:ilvl w:val="0"/>
                <w:numId w:val="250"/>
              </w:numPr>
              <w:spacing w:before="0"/>
              <w:contextualSpacing/>
              <w:jc w:val="left"/>
              <w:rPr>
                <w:color w:val="auto"/>
              </w:rPr>
            </w:pPr>
            <w:r w:rsidRPr="00B42C71">
              <w:rPr>
                <w:color w:val="auto"/>
              </w:rPr>
              <w:t>Development proposals will not be permitted where they would:</w:t>
            </w:r>
          </w:p>
          <w:p w14:paraId="1DB64CF8" w14:textId="77777777" w:rsidR="00B42C71" w:rsidRPr="00B42C71" w:rsidRDefault="00B42C71" w:rsidP="00FF3EAD">
            <w:pPr>
              <w:keepNext w:val="0"/>
              <w:spacing w:before="0"/>
              <w:ind w:left="720"/>
              <w:contextualSpacing/>
              <w:jc w:val="left"/>
              <w:rPr>
                <w:color w:val="auto"/>
              </w:rPr>
            </w:pPr>
          </w:p>
          <w:p w14:paraId="75B39584" w14:textId="542281F4" w:rsidR="00B42C71" w:rsidRPr="00985BCC" w:rsidRDefault="00B42C71" w:rsidP="00874A98">
            <w:pPr>
              <w:keepNext w:val="0"/>
              <w:numPr>
                <w:ilvl w:val="0"/>
                <w:numId w:val="251"/>
              </w:numPr>
              <w:spacing w:before="0"/>
              <w:contextualSpacing/>
              <w:jc w:val="left"/>
              <w:rPr>
                <w:strike/>
              </w:rPr>
            </w:pPr>
            <w:r w:rsidRPr="00985BCC">
              <w:t xml:space="preserve">Result in the loss </w:t>
            </w:r>
            <w:r w:rsidR="00182A46" w:rsidRPr="00985BCC">
              <w:t xml:space="preserve">or deterioration </w:t>
            </w:r>
            <w:r w:rsidRPr="00985BCC">
              <w:t>of Ancient Woodland</w:t>
            </w:r>
            <w:r w:rsidR="00182A46" w:rsidRPr="00985BCC">
              <w:t xml:space="preserve"> and ancient</w:t>
            </w:r>
            <w:r w:rsidR="00F3137E" w:rsidRPr="00985BCC">
              <w:t xml:space="preserve">, </w:t>
            </w:r>
            <w:r w:rsidRPr="00985BCC">
              <w:t>aged or veteran</w:t>
            </w:r>
            <w:r w:rsidR="00182A46" w:rsidRPr="00985BCC">
              <w:t xml:space="preserve"> trees</w:t>
            </w:r>
            <w:r w:rsidRPr="00985BCC">
              <w:t xml:space="preserve">, </w:t>
            </w:r>
            <w:r w:rsidR="00182A46" w:rsidRPr="00985BCC">
              <w:t xml:space="preserve">unless there are wholly exceptional circumstances and a suitable compensation strategy exists; </w:t>
            </w:r>
          </w:p>
          <w:p w14:paraId="057BD77A" w14:textId="77777777" w:rsidR="00B42C71" w:rsidRPr="00985BCC" w:rsidRDefault="00B42C71" w:rsidP="00FF3EAD">
            <w:pPr>
              <w:keepNext w:val="0"/>
              <w:spacing w:before="0"/>
              <w:ind w:left="720"/>
              <w:contextualSpacing/>
              <w:jc w:val="left"/>
            </w:pPr>
          </w:p>
          <w:p w14:paraId="2FA48392" w14:textId="533BFDA7" w:rsidR="00B42C71" w:rsidRPr="00985BCC" w:rsidRDefault="00B42C71" w:rsidP="00874A98">
            <w:pPr>
              <w:keepNext w:val="0"/>
              <w:numPr>
                <w:ilvl w:val="0"/>
                <w:numId w:val="251"/>
              </w:numPr>
              <w:spacing w:before="0"/>
              <w:contextualSpacing/>
              <w:jc w:val="left"/>
            </w:pPr>
            <w:r w:rsidRPr="00985BCC">
              <w:t>Give rise to a threat to the continued wellbeing of trees</w:t>
            </w:r>
            <w:r w:rsidR="00B25A3A" w:rsidRPr="00985BCC">
              <w:t xml:space="preserve"> or</w:t>
            </w:r>
            <w:r w:rsidRPr="00985BCC">
              <w:t xml:space="preserve"> woodland</w:t>
            </w:r>
            <w:r w:rsidR="00B25A3A" w:rsidRPr="00985BCC">
              <w:t xml:space="preserve"> which are subject to a Tree Preservation Order, in a Conservation Area,</w:t>
            </w:r>
            <w:r w:rsidRPr="00985BCC">
              <w:t xml:space="preserve"> or</w:t>
            </w:r>
            <w:r w:rsidR="00B25A3A" w:rsidRPr="00985BCC">
              <w:t xml:space="preserve"> are</w:t>
            </w:r>
            <w:r w:rsidRPr="00985BCC">
              <w:t xml:space="preserve"> </w:t>
            </w:r>
            <w:r w:rsidR="00AD2C99" w:rsidRPr="00985BCC">
              <w:t xml:space="preserve">trees or </w:t>
            </w:r>
            <w:r w:rsidRPr="00985BCC">
              <w:t>hedgerows of visual, historic or nature conservation value; or</w:t>
            </w:r>
            <w:r w:rsidR="00B25A3A" w:rsidRPr="00985BCC">
              <w:t xml:space="preserve"> where development is </w:t>
            </w:r>
            <w:r w:rsidRPr="00985BCC">
              <w:t>within the canopy or root zone of trees considered worthy of retention, unless:</w:t>
            </w:r>
          </w:p>
          <w:p w14:paraId="55584537" w14:textId="77777777" w:rsidR="00B42C71" w:rsidRPr="00985BCC" w:rsidRDefault="00B42C71" w:rsidP="00FF3EAD">
            <w:pPr>
              <w:keepNext w:val="0"/>
              <w:spacing w:before="0"/>
              <w:ind w:left="360"/>
              <w:contextualSpacing/>
              <w:jc w:val="left"/>
            </w:pPr>
          </w:p>
          <w:p w14:paraId="36642C44" w14:textId="46FAC02D" w:rsidR="00B42C71" w:rsidRPr="00985BCC" w:rsidRDefault="00B42C71" w:rsidP="00874A98">
            <w:pPr>
              <w:keepNext w:val="0"/>
              <w:numPr>
                <w:ilvl w:val="0"/>
                <w:numId w:val="252"/>
              </w:numPr>
              <w:spacing w:before="0"/>
              <w:contextualSpacing/>
              <w:jc w:val="left"/>
              <w:rPr>
                <w:strike/>
              </w:rPr>
            </w:pPr>
            <w:r w:rsidRPr="00985BCC">
              <w:t xml:space="preserve">there are sound </w:t>
            </w:r>
            <w:r w:rsidR="009D1815" w:rsidRPr="00985BCC">
              <w:t>arboriculture</w:t>
            </w:r>
            <w:r w:rsidRPr="00985BCC">
              <w:t xml:space="preserve"> reasons </w:t>
            </w:r>
            <w:r w:rsidR="00F33901" w:rsidRPr="00985BCC">
              <w:t>for the removal of trees or hedgerows; or</w:t>
            </w:r>
          </w:p>
          <w:p w14:paraId="587DE3AC" w14:textId="77777777" w:rsidR="00541C83" w:rsidRPr="00985BCC" w:rsidRDefault="00541C83" w:rsidP="00541C83">
            <w:pPr>
              <w:keepNext w:val="0"/>
              <w:spacing w:before="0"/>
              <w:ind w:left="1080"/>
              <w:contextualSpacing/>
              <w:jc w:val="left"/>
            </w:pPr>
          </w:p>
          <w:p w14:paraId="759505BD" w14:textId="69EF0CD6" w:rsidR="00F3137E" w:rsidRPr="00985BCC" w:rsidRDefault="00B42C71" w:rsidP="00874A98">
            <w:pPr>
              <w:keepNext w:val="0"/>
              <w:numPr>
                <w:ilvl w:val="0"/>
                <w:numId w:val="252"/>
              </w:numPr>
              <w:spacing w:before="0"/>
              <w:contextualSpacing/>
              <w:jc w:val="left"/>
            </w:pPr>
            <w:r w:rsidRPr="00985BCC">
              <w:t>the work would enable development to take place that would bring sufficient benefits that clearly outweigh the loss of the trees, woodland or hedges concerned</w:t>
            </w:r>
            <w:r w:rsidR="007C76CF" w:rsidRPr="00985BCC">
              <w:t>;</w:t>
            </w:r>
            <w:r w:rsidRPr="00985BCC">
              <w:t xml:space="preserve"> </w:t>
            </w:r>
            <w:r w:rsidR="00F33901" w:rsidRPr="00985BCC">
              <w:t>and</w:t>
            </w:r>
          </w:p>
          <w:p w14:paraId="5D9BBC0D" w14:textId="77777777" w:rsidR="00F3137E" w:rsidRPr="00985BCC" w:rsidRDefault="00F3137E" w:rsidP="00F3137E">
            <w:pPr>
              <w:keepNext w:val="0"/>
              <w:spacing w:before="0"/>
              <w:contextualSpacing/>
              <w:jc w:val="left"/>
            </w:pPr>
          </w:p>
          <w:p w14:paraId="3C030C03" w14:textId="508CA150" w:rsidR="00B42C71" w:rsidRPr="00985BCC" w:rsidRDefault="00F3137E" w:rsidP="00874A98">
            <w:pPr>
              <w:keepNext w:val="0"/>
              <w:numPr>
                <w:ilvl w:val="0"/>
                <w:numId w:val="252"/>
              </w:numPr>
              <w:spacing w:before="0"/>
              <w:contextualSpacing/>
              <w:jc w:val="left"/>
            </w:pPr>
            <w:r w:rsidRPr="00985BCC">
              <w:t xml:space="preserve">appropriate replacement hedgerows are provided for on site, or if </w:t>
            </w:r>
            <w:proofErr w:type="gramStart"/>
            <w:r w:rsidRPr="00985BCC">
              <w:t>necessary</w:t>
            </w:r>
            <w:proofErr w:type="gramEnd"/>
            <w:r w:rsidRPr="00985BCC">
              <w:t xml:space="preserve"> off site, </w:t>
            </w:r>
            <w:r w:rsidR="00B42C71" w:rsidRPr="00985BCC">
              <w:t>and</w:t>
            </w:r>
          </w:p>
          <w:p w14:paraId="7E46A630" w14:textId="77777777" w:rsidR="00541C83" w:rsidRPr="00985BCC" w:rsidRDefault="00541C83" w:rsidP="00541C83">
            <w:pPr>
              <w:keepNext w:val="0"/>
              <w:spacing w:before="0"/>
              <w:contextualSpacing/>
              <w:jc w:val="left"/>
            </w:pPr>
          </w:p>
          <w:p w14:paraId="2F41E242" w14:textId="78C8581C" w:rsidR="001E0B6B" w:rsidRPr="00985BCC" w:rsidRDefault="00016592" w:rsidP="00874A98">
            <w:pPr>
              <w:keepNext w:val="0"/>
              <w:numPr>
                <w:ilvl w:val="0"/>
                <w:numId w:val="252"/>
              </w:numPr>
              <w:spacing w:before="0"/>
              <w:contextualSpacing/>
              <w:jc w:val="left"/>
            </w:pPr>
            <w:bookmarkStart w:id="180" w:name="_Hlk108694416"/>
            <w:r w:rsidRPr="00985BCC">
              <w:t>appropriate</w:t>
            </w:r>
            <w:r w:rsidR="00B42C71" w:rsidRPr="00985BCC">
              <w:t xml:space="preserve"> replacement trees are provided for on site</w:t>
            </w:r>
            <w:r w:rsidR="001F1206" w:rsidRPr="00985BCC">
              <w:t>,</w:t>
            </w:r>
            <w:r w:rsidR="00B42C71" w:rsidRPr="00985BCC">
              <w:t xml:space="preserve"> or if </w:t>
            </w:r>
            <w:proofErr w:type="gramStart"/>
            <w:r w:rsidR="00B42C71" w:rsidRPr="00985BCC">
              <w:t>necessary</w:t>
            </w:r>
            <w:proofErr w:type="gramEnd"/>
            <w:r w:rsidR="00B42C71" w:rsidRPr="00985BCC">
              <w:t xml:space="preserve"> off site</w:t>
            </w:r>
            <w:r w:rsidR="000F69D8" w:rsidRPr="00985BCC">
              <w:t>,</w:t>
            </w:r>
            <w:r w:rsidR="00B42C71" w:rsidRPr="00985BCC">
              <w:t xml:space="preserve"> at a minimum ratio of 2 new trees for every 1 lost</w:t>
            </w:r>
            <w:r w:rsidR="001F1206" w:rsidRPr="00985BCC">
              <w:t xml:space="preserve">. </w:t>
            </w:r>
            <w:r w:rsidR="000F69D8" w:rsidRPr="00985BCC">
              <w:t xml:space="preserve">Replacement trees should be of </w:t>
            </w:r>
            <w:r w:rsidR="00F3137E" w:rsidRPr="00985BCC">
              <w:t xml:space="preserve">a sufficient size and quality and have adequate space to grow to maturity. Where mature trees are lost, this includes a requirement for replacement trees of at least </w:t>
            </w:r>
            <w:r w:rsidR="000F69D8" w:rsidRPr="00985BCC">
              <w:t>heavy standard</w:t>
            </w:r>
            <w:r w:rsidR="00F3137E" w:rsidRPr="00985BCC">
              <w:t xml:space="preserve">. </w:t>
            </w:r>
            <w:r w:rsidR="00F53D97" w:rsidRPr="00985BCC">
              <w:t>M</w:t>
            </w:r>
            <w:r w:rsidR="001E0B6B" w:rsidRPr="00985BCC">
              <w:t>easures must be in place to ensure that these new trees are adequately maintained over the lifetime of the development</w:t>
            </w:r>
            <w:r w:rsidR="00F3137E" w:rsidRPr="00985BCC">
              <w:t xml:space="preserve"> to ensure success establishment</w:t>
            </w:r>
            <w:r w:rsidR="001E0B6B" w:rsidRPr="00985BCC">
              <w:t>.</w:t>
            </w:r>
          </w:p>
          <w:bookmarkEnd w:id="180"/>
          <w:p w14:paraId="16F034A0" w14:textId="77777777" w:rsidR="001E0B6B" w:rsidRDefault="001E0B6B" w:rsidP="001E0B6B">
            <w:pPr>
              <w:keepNext w:val="0"/>
              <w:spacing w:before="0"/>
              <w:contextualSpacing/>
              <w:jc w:val="left"/>
            </w:pPr>
          </w:p>
          <w:p w14:paraId="53804DBE" w14:textId="77777777" w:rsidR="000540B6" w:rsidRDefault="000540B6" w:rsidP="001E0B6B">
            <w:pPr>
              <w:keepNext w:val="0"/>
              <w:spacing w:before="0"/>
              <w:contextualSpacing/>
              <w:jc w:val="left"/>
            </w:pPr>
          </w:p>
          <w:p w14:paraId="2D831500" w14:textId="77777777" w:rsidR="000540B6" w:rsidRPr="00985BCC" w:rsidRDefault="000540B6" w:rsidP="001E0B6B">
            <w:pPr>
              <w:keepNext w:val="0"/>
              <w:spacing w:before="0"/>
              <w:contextualSpacing/>
              <w:jc w:val="left"/>
            </w:pPr>
          </w:p>
          <w:p w14:paraId="38ACD31E" w14:textId="77777777" w:rsidR="00B42C71" w:rsidRPr="00B42C71" w:rsidRDefault="00B42C71" w:rsidP="00874A98">
            <w:pPr>
              <w:keepNext w:val="0"/>
              <w:numPr>
                <w:ilvl w:val="0"/>
                <w:numId w:val="250"/>
              </w:numPr>
              <w:spacing w:before="0"/>
              <w:contextualSpacing/>
              <w:jc w:val="left"/>
              <w:rPr>
                <w:color w:val="auto"/>
              </w:rPr>
            </w:pPr>
            <w:r w:rsidRPr="00B42C71">
              <w:rPr>
                <w:color w:val="auto"/>
              </w:rPr>
              <w:lastRenderedPageBreak/>
              <w:t xml:space="preserve">To ensure existing trees and hedgerows are appropriately protected during the construction process, the Council will require development proposals to submit details of the tree protection measures to be utilised on site during the construction process. </w:t>
            </w:r>
          </w:p>
          <w:p w14:paraId="592BFD1D" w14:textId="77777777" w:rsidR="00B42C71" w:rsidRPr="00B42C71" w:rsidRDefault="00B42C71" w:rsidP="00FF3EAD">
            <w:pPr>
              <w:keepNext w:val="0"/>
              <w:spacing w:before="0"/>
              <w:ind w:left="360"/>
              <w:contextualSpacing/>
              <w:jc w:val="left"/>
              <w:rPr>
                <w:color w:val="auto"/>
              </w:rPr>
            </w:pPr>
          </w:p>
          <w:p w14:paraId="079A2BDD" w14:textId="13A83108" w:rsidR="00B42C71" w:rsidRPr="0043650B" w:rsidRDefault="00B42C71" w:rsidP="00874A98">
            <w:pPr>
              <w:keepNext w:val="0"/>
              <w:numPr>
                <w:ilvl w:val="0"/>
                <w:numId w:val="250"/>
              </w:numPr>
              <w:spacing w:before="0"/>
              <w:contextualSpacing/>
              <w:jc w:val="left"/>
              <w:rPr>
                <w:color w:val="auto"/>
              </w:rPr>
            </w:pPr>
            <w:r w:rsidRPr="0043650B">
              <w:rPr>
                <w:color w:val="auto"/>
              </w:rPr>
              <w:t>Where the benefits of the development clearly outweigh the harm resulting from the loss of trees, woodlands or hedgerows</w:t>
            </w:r>
            <w:r w:rsidR="0043650B" w:rsidRPr="0043650B">
              <w:rPr>
                <w:color w:val="auto"/>
              </w:rPr>
              <w:t>,</w:t>
            </w:r>
            <w:r w:rsidRPr="0043650B">
              <w:rPr>
                <w:color w:val="auto"/>
              </w:rPr>
              <w:t xml:space="preserve"> provision should be made for appropriate mitigation measures, reinstatement of features and/or compensatory planting, landscaping and habitat creation to ensure no net loss of valued features. Replacement planting should use native species and complement the landscape character of the area.</w:t>
            </w:r>
          </w:p>
          <w:p w14:paraId="40916718" w14:textId="77777777" w:rsidR="00B42C71" w:rsidRPr="00B42C71" w:rsidRDefault="00B42C71" w:rsidP="00FF3EAD">
            <w:pPr>
              <w:keepNext w:val="0"/>
              <w:spacing w:before="0"/>
              <w:jc w:val="left"/>
              <w:rPr>
                <w:color w:val="auto"/>
              </w:rPr>
            </w:pPr>
          </w:p>
          <w:p w14:paraId="252CEB32" w14:textId="77777777" w:rsidR="00B42C71" w:rsidRPr="00B42C71" w:rsidRDefault="00B42C71" w:rsidP="00FF3EAD">
            <w:pPr>
              <w:keepNext w:val="0"/>
              <w:spacing w:before="0"/>
              <w:jc w:val="left"/>
              <w:rPr>
                <w:color w:val="auto"/>
              </w:rPr>
            </w:pPr>
            <w:r w:rsidRPr="00B42C71">
              <w:rPr>
                <w:color w:val="auto"/>
              </w:rPr>
              <w:t>Existing Ancient Woodland sites are listed in Appendix 8 and shown on the Policies Map. Any new sites identified after the Local Plan is adopted will be protected by this Policy.</w:t>
            </w:r>
          </w:p>
          <w:p w14:paraId="4747B115" w14:textId="77777777" w:rsidR="00B42C71" w:rsidRPr="00B42C71" w:rsidRDefault="00B42C71" w:rsidP="00FF3EAD">
            <w:pPr>
              <w:keepNext w:val="0"/>
              <w:spacing w:before="0"/>
              <w:jc w:val="left"/>
              <w:rPr>
                <w:color w:val="auto"/>
              </w:rPr>
            </w:pPr>
          </w:p>
        </w:tc>
      </w:tr>
      <w:bookmarkEnd w:id="179"/>
      <w:tr w:rsidR="00B42C71" w:rsidRPr="00B42C71" w14:paraId="53F52290" w14:textId="77777777" w:rsidTr="007C6CA4">
        <w:tc>
          <w:tcPr>
            <w:tcW w:w="2405" w:type="dxa"/>
          </w:tcPr>
          <w:p w14:paraId="46434C4C" w14:textId="77777777" w:rsidR="00B42C71" w:rsidRPr="00B42C71" w:rsidRDefault="00B42C71" w:rsidP="00FF3EAD">
            <w:pPr>
              <w:keepNext w:val="0"/>
              <w:spacing w:before="0"/>
              <w:jc w:val="left"/>
              <w:rPr>
                <w:color w:val="auto"/>
                <w:sz w:val="20"/>
                <w:szCs w:val="20"/>
              </w:rPr>
            </w:pPr>
            <w:r w:rsidRPr="00B42C71">
              <w:rPr>
                <w:color w:val="auto"/>
                <w:sz w:val="20"/>
                <w:szCs w:val="20"/>
              </w:rPr>
              <w:lastRenderedPageBreak/>
              <w:t>Evidence Base</w:t>
            </w:r>
          </w:p>
        </w:tc>
        <w:tc>
          <w:tcPr>
            <w:tcW w:w="7337" w:type="dxa"/>
          </w:tcPr>
          <w:p w14:paraId="197FA75E" w14:textId="22F6C550" w:rsidR="00B42C71" w:rsidRPr="002E7654" w:rsidRDefault="00B42C71" w:rsidP="00874A98">
            <w:pPr>
              <w:keepNext w:val="0"/>
              <w:numPr>
                <w:ilvl w:val="0"/>
                <w:numId w:val="248"/>
              </w:numPr>
              <w:spacing w:before="0"/>
              <w:contextualSpacing/>
              <w:jc w:val="left"/>
              <w:rPr>
                <w:sz w:val="20"/>
                <w:szCs w:val="20"/>
              </w:rPr>
            </w:pPr>
            <w:r w:rsidRPr="002E7654">
              <w:rPr>
                <w:sz w:val="20"/>
                <w:szCs w:val="20"/>
              </w:rPr>
              <w:t>Sustainability Appraisal, 202</w:t>
            </w:r>
            <w:r w:rsidR="00A86E75" w:rsidRPr="002E7654">
              <w:rPr>
                <w:sz w:val="20"/>
                <w:szCs w:val="20"/>
              </w:rPr>
              <w:t>3</w:t>
            </w:r>
            <w:r w:rsidRPr="002E7654">
              <w:rPr>
                <w:sz w:val="20"/>
                <w:szCs w:val="20"/>
              </w:rPr>
              <w:t xml:space="preserve">. </w:t>
            </w:r>
            <w:r w:rsidR="00A86E75" w:rsidRPr="002E7654">
              <w:rPr>
                <w:sz w:val="20"/>
                <w:szCs w:val="20"/>
              </w:rPr>
              <w:t>WSP UK Limited</w:t>
            </w:r>
            <w:r w:rsidRPr="002E7654">
              <w:rPr>
                <w:sz w:val="20"/>
                <w:szCs w:val="20"/>
              </w:rPr>
              <w:t>.</w:t>
            </w:r>
          </w:p>
          <w:p w14:paraId="51447752" w14:textId="77777777" w:rsidR="00B42C71" w:rsidRPr="002E7654" w:rsidRDefault="00B42C71" w:rsidP="00874A98">
            <w:pPr>
              <w:keepNext w:val="0"/>
              <w:numPr>
                <w:ilvl w:val="0"/>
                <w:numId w:val="248"/>
              </w:numPr>
              <w:spacing w:before="0"/>
              <w:contextualSpacing/>
              <w:jc w:val="left"/>
              <w:rPr>
                <w:sz w:val="20"/>
                <w:szCs w:val="20"/>
              </w:rPr>
            </w:pPr>
            <w:r w:rsidRPr="002E7654">
              <w:rPr>
                <w:sz w:val="20"/>
                <w:szCs w:val="20"/>
              </w:rPr>
              <w:t>Ashfield Biodiversity Opportunity Mapping Project 2016. Notts BAG.</w:t>
            </w:r>
          </w:p>
          <w:p w14:paraId="4AA26B24" w14:textId="7D382005" w:rsidR="00B42C71" w:rsidRPr="002E7654" w:rsidRDefault="002E7654" w:rsidP="00874A98">
            <w:pPr>
              <w:keepNext w:val="0"/>
              <w:numPr>
                <w:ilvl w:val="0"/>
                <w:numId w:val="248"/>
              </w:numPr>
              <w:spacing w:before="0"/>
              <w:contextualSpacing/>
              <w:jc w:val="left"/>
              <w:rPr>
                <w:color w:val="auto"/>
                <w:sz w:val="20"/>
                <w:szCs w:val="20"/>
              </w:rPr>
            </w:pPr>
            <w:r w:rsidRPr="003C7E62">
              <w:rPr>
                <w:rFonts w:cs="Arial"/>
                <w:sz w:val="20"/>
              </w:rPr>
              <w:t xml:space="preserve">Ashfield Green </w:t>
            </w:r>
            <w:r w:rsidRPr="002E7654">
              <w:rPr>
                <w:rFonts w:cs="Arial"/>
                <w:sz w:val="20"/>
              </w:rPr>
              <w:t>&amp; Blue Infrastructure and Biodiversity Strategy</w:t>
            </w:r>
            <w:r>
              <w:rPr>
                <w:rFonts w:cs="Arial"/>
                <w:sz w:val="20"/>
              </w:rPr>
              <w:t>.</w:t>
            </w:r>
            <w:r w:rsidRPr="002E7654">
              <w:rPr>
                <w:rFonts w:cs="Arial"/>
                <w:sz w:val="20"/>
              </w:rPr>
              <w:t xml:space="preserve"> Ashfield District Council, 2022-2032.</w:t>
            </w:r>
          </w:p>
        </w:tc>
      </w:tr>
      <w:tr w:rsidR="00B42C71" w:rsidRPr="00B42C71" w14:paraId="28817DB8" w14:textId="77777777" w:rsidTr="007C6CA4">
        <w:tc>
          <w:tcPr>
            <w:tcW w:w="2405" w:type="dxa"/>
          </w:tcPr>
          <w:p w14:paraId="7E3BCA05" w14:textId="77777777" w:rsidR="00B42C71" w:rsidRPr="00B42C71" w:rsidRDefault="00B42C71" w:rsidP="00FF3EAD">
            <w:pPr>
              <w:keepNext w:val="0"/>
              <w:spacing w:before="0"/>
              <w:jc w:val="left"/>
              <w:rPr>
                <w:color w:val="auto"/>
                <w:sz w:val="20"/>
                <w:szCs w:val="20"/>
              </w:rPr>
            </w:pPr>
            <w:r w:rsidRPr="00B42C71">
              <w:rPr>
                <w:color w:val="auto"/>
                <w:sz w:val="20"/>
                <w:szCs w:val="20"/>
              </w:rPr>
              <w:t>National Planning Policy and Guidance</w:t>
            </w:r>
          </w:p>
        </w:tc>
        <w:tc>
          <w:tcPr>
            <w:tcW w:w="7337" w:type="dxa"/>
          </w:tcPr>
          <w:p w14:paraId="56C22E9B" w14:textId="7C49FD6F" w:rsidR="00B42C71" w:rsidRPr="002E7654" w:rsidRDefault="00B42C71" w:rsidP="00874A98">
            <w:pPr>
              <w:keepNext w:val="0"/>
              <w:numPr>
                <w:ilvl w:val="0"/>
                <w:numId w:val="249"/>
              </w:numPr>
              <w:spacing w:before="0"/>
              <w:contextualSpacing/>
              <w:jc w:val="left"/>
              <w:rPr>
                <w:sz w:val="20"/>
                <w:szCs w:val="20"/>
              </w:rPr>
            </w:pPr>
            <w:r w:rsidRPr="002E7654">
              <w:rPr>
                <w:sz w:val="20"/>
                <w:szCs w:val="20"/>
              </w:rPr>
              <w:t>NPPF 202</w:t>
            </w:r>
            <w:r w:rsidR="004173E0" w:rsidRPr="002E7654">
              <w:rPr>
                <w:sz w:val="20"/>
                <w:szCs w:val="20"/>
              </w:rPr>
              <w:t>3</w:t>
            </w:r>
            <w:r w:rsidRPr="002E7654">
              <w:rPr>
                <w:sz w:val="20"/>
                <w:szCs w:val="20"/>
              </w:rPr>
              <w:t>, Part 2: Achieving sustainable development.</w:t>
            </w:r>
          </w:p>
          <w:p w14:paraId="7282D5D5" w14:textId="5031157D" w:rsidR="00B42C71" w:rsidRPr="002E7654" w:rsidRDefault="00B42C71" w:rsidP="00874A98">
            <w:pPr>
              <w:keepNext w:val="0"/>
              <w:numPr>
                <w:ilvl w:val="0"/>
                <w:numId w:val="249"/>
              </w:numPr>
              <w:spacing w:before="0"/>
              <w:contextualSpacing/>
              <w:jc w:val="left"/>
              <w:rPr>
                <w:sz w:val="20"/>
                <w:szCs w:val="20"/>
              </w:rPr>
            </w:pPr>
            <w:r w:rsidRPr="002E7654">
              <w:rPr>
                <w:sz w:val="20"/>
                <w:szCs w:val="20"/>
              </w:rPr>
              <w:t>NPPF 202</w:t>
            </w:r>
            <w:r w:rsidR="004173E0" w:rsidRPr="002E7654">
              <w:rPr>
                <w:sz w:val="20"/>
                <w:szCs w:val="20"/>
              </w:rPr>
              <w:t>3</w:t>
            </w:r>
            <w:r w:rsidRPr="002E7654">
              <w:rPr>
                <w:sz w:val="20"/>
                <w:szCs w:val="20"/>
              </w:rPr>
              <w:t>, Part 15: Conserving and enhancing the natural environment.</w:t>
            </w:r>
          </w:p>
          <w:p w14:paraId="2052514E" w14:textId="5ADD77DF" w:rsidR="00B42C71" w:rsidRPr="002E7654" w:rsidRDefault="00B42C71" w:rsidP="00874A98">
            <w:pPr>
              <w:keepNext w:val="0"/>
              <w:numPr>
                <w:ilvl w:val="0"/>
                <w:numId w:val="249"/>
              </w:numPr>
              <w:spacing w:before="0"/>
              <w:contextualSpacing/>
              <w:jc w:val="left"/>
              <w:rPr>
                <w:sz w:val="20"/>
                <w:szCs w:val="20"/>
              </w:rPr>
            </w:pPr>
            <w:r w:rsidRPr="002E7654">
              <w:rPr>
                <w:sz w:val="20"/>
                <w:szCs w:val="20"/>
              </w:rPr>
              <w:t xml:space="preserve">Planning Practice Guidance: Open space, sports and recreational facilities, public rights of ways and local green space as of </w:t>
            </w:r>
            <w:r w:rsidR="00B40389" w:rsidRPr="002E7654">
              <w:rPr>
                <w:sz w:val="20"/>
                <w:szCs w:val="20"/>
              </w:rPr>
              <w:t>March 2014</w:t>
            </w:r>
            <w:r w:rsidRPr="002E7654">
              <w:rPr>
                <w:sz w:val="20"/>
                <w:szCs w:val="20"/>
              </w:rPr>
              <w:t>.</w:t>
            </w:r>
          </w:p>
          <w:p w14:paraId="1105D9CE" w14:textId="5D76A49A" w:rsidR="00B42C71" w:rsidRPr="002E7654" w:rsidRDefault="00B42C71" w:rsidP="00874A98">
            <w:pPr>
              <w:keepNext w:val="0"/>
              <w:numPr>
                <w:ilvl w:val="0"/>
                <w:numId w:val="249"/>
              </w:numPr>
              <w:spacing w:before="0"/>
              <w:contextualSpacing/>
              <w:jc w:val="left"/>
              <w:rPr>
                <w:sz w:val="20"/>
                <w:szCs w:val="20"/>
              </w:rPr>
            </w:pPr>
            <w:r w:rsidRPr="002E7654">
              <w:rPr>
                <w:sz w:val="20"/>
                <w:szCs w:val="20"/>
              </w:rPr>
              <w:t xml:space="preserve">Planning Practice Guidance: Natural environment as of </w:t>
            </w:r>
            <w:r w:rsidR="00B40389" w:rsidRPr="002E7654">
              <w:rPr>
                <w:sz w:val="20"/>
                <w:szCs w:val="20"/>
              </w:rPr>
              <w:t>July 2019.</w:t>
            </w:r>
          </w:p>
        </w:tc>
      </w:tr>
    </w:tbl>
    <w:p w14:paraId="48E91B7F" w14:textId="31D0B0AD" w:rsidR="00B42C71" w:rsidRDefault="00B42C71" w:rsidP="00B42C71">
      <w:pPr>
        <w:keepNext w:val="0"/>
        <w:autoSpaceDE w:val="0"/>
        <w:autoSpaceDN w:val="0"/>
        <w:adjustRightInd w:val="0"/>
        <w:spacing w:before="0"/>
        <w:ind w:left="525"/>
        <w:rPr>
          <w:rFonts w:eastAsia="Arial" w:cs="Arial"/>
          <w:spacing w:val="-1"/>
        </w:rPr>
      </w:pPr>
    </w:p>
    <w:p w14:paraId="2E16B903" w14:textId="77777777" w:rsidR="00B42C71" w:rsidRDefault="00B42C71" w:rsidP="00B42C71">
      <w:pPr>
        <w:keepNext w:val="0"/>
        <w:autoSpaceDE w:val="0"/>
        <w:autoSpaceDN w:val="0"/>
        <w:adjustRightInd w:val="0"/>
        <w:spacing w:before="0"/>
        <w:ind w:left="525"/>
        <w:rPr>
          <w:rFonts w:eastAsia="Arial" w:cs="Arial"/>
          <w:spacing w:val="-1"/>
        </w:rPr>
      </w:pPr>
    </w:p>
    <w:p w14:paraId="5E4F899C" w14:textId="43CE3B47" w:rsidR="00A75D60" w:rsidRPr="00B42C71" w:rsidRDefault="00F23168" w:rsidP="00676383">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B42C71">
        <w:rPr>
          <w:rFonts w:eastAsia="Arial" w:cs="Arial"/>
          <w:spacing w:val="-1"/>
        </w:rPr>
        <w:t>Trees, woodland and hedgerows are important to the quality of Ashfield’s environment</w:t>
      </w:r>
      <w:r w:rsidR="009549D3" w:rsidRPr="00B42C71">
        <w:rPr>
          <w:rFonts w:eastAsia="Arial" w:cs="Arial"/>
          <w:spacing w:val="-1"/>
        </w:rPr>
        <w:t>,</w:t>
      </w:r>
      <w:r w:rsidRPr="00B42C71">
        <w:rPr>
          <w:rFonts w:eastAsia="Arial" w:cs="Arial"/>
          <w:spacing w:val="-1"/>
        </w:rPr>
        <w:t xml:space="preserve"> facilitating health and wellbeing. They also have </w:t>
      </w:r>
      <w:r w:rsidR="00A75D60" w:rsidRPr="00B42C71">
        <w:rPr>
          <w:rFonts w:eastAsia="Arial" w:cs="Arial"/>
          <w:spacing w:val="-1"/>
        </w:rPr>
        <w:t xml:space="preserve">multiple wildlife benefits in providing habitat, habitat links and foraging areas for numerous flora and fauna. The protection of these both in the public and private realm, within development proposals, will be sought </w:t>
      </w:r>
      <w:proofErr w:type="gramStart"/>
      <w:r w:rsidR="00A75D60" w:rsidRPr="00B42C71">
        <w:rPr>
          <w:rFonts w:eastAsia="Arial" w:cs="Arial"/>
          <w:spacing w:val="-1"/>
        </w:rPr>
        <w:t>in order to</w:t>
      </w:r>
      <w:proofErr w:type="gramEnd"/>
      <w:r w:rsidR="00A75D60" w:rsidRPr="00B42C71">
        <w:rPr>
          <w:rFonts w:eastAsia="Arial" w:cs="Arial"/>
          <w:spacing w:val="-1"/>
        </w:rPr>
        <w:t xml:space="preserve"> meet the Council’s duties </w:t>
      </w:r>
      <w:r w:rsidR="005072C5" w:rsidRPr="00B42C71">
        <w:rPr>
          <w:rFonts w:eastAsia="Arial" w:cs="Arial"/>
          <w:spacing w:val="-1"/>
        </w:rPr>
        <w:t>in relation to</w:t>
      </w:r>
      <w:r w:rsidR="00A75D60" w:rsidRPr="00B42C71">
        <w:rPr>
          <w:rFonts w:eastAsia="Arial" w:cs="Arial"/>
          <w:spacing w:val="-1"/>
        </w:rPr>
        <w:t xml:space="preserve"> biodiversity. New development should seek to ensure that new landscaping is primarily of wildlife friendly species and adds to the linking of green areas across the </w:t>
      </w:r>
      <w:proofErr w:type="gramStart"/>
      <w:r w:rsidR="00A75D60" w:rsidRPr="00B42C71">
        <w:rPr>
          <w:rFonts w:eastAsia="Arial" w:cs="Arial"/>
          <w:spacing w:val="-1"/>
        </w:rPr>
        <w:t>District</w:t>
      </w:r>
      <w:proofErr w:type="gramEnd"/>
      <w:r w:rsidR="00A75D60" w:rsidRPr="00B42C71">
        <w:rPr>
          <w:rFonts w:eastAsia="Arial" w:cs="Arial"/>
          <w:spacing w:val="-1"/>
        </w:rPr>
        <w:t xml:space="preserve">. </w:t>
      </w:r>
    </w:p>
    <w:p w14:paraId="2C5F1CBC" w14:textId="77777777" w:rsidR="00A75D60" w:rsidRPr="00A75D60" w:rsidRDefault="00A75D60" w:rsidP="00676383">
      <w:pPr>
        <w:keepNext w:val="0"/>
        <w:tabs>
          <w:tab w:val="num" w:pos="851"/>
        </w:tabs>
        <w:autoSpaceDE w:val="0"/>
        <w:autoSpaceDN w:val="0"/>
        <w:adjustRightInd w:val="0"/>
        <w:spacing w:before="0"/>
        <w:ind w:left="851" w:hanging="851"/>
        <w:rPr>
          <w:rFonts w:eastAsia="Arial" w:cs="Arial"/>
          <w:spacing w:val="-1"/>
        </w:rPr>
      </w:pPr>
    </w:p>
    <w:p w14:paraId="57DE23D3" w14:textId="2445C7EB" w:rsidR="00A75D60" w:rsidRPr="00A75D60" w:rsidRDefault="00A75D60" w:rsidP="00676383">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Development proposals will be expected to avoid harm to existing trees</w:t>
      </w:r>
      <w:r w:rsidR="00F23168">
        <w:rPr>
          <w:rFonts w:eastAsia="Arial" w:cs="Arial"/>
          <w:spacing w:val="-1"/>
        </w:rPr>
        <w:t xml:space="preserve">, </w:t>
      </w:r>
      <w:r>
        <w:rPr>
          <w:rFonts w:eastAsia="Arial" w:cs="Arial"/>
          <w:spacing w:val="-1"/>
        </w:rPr>
        <w:t>wo</w:t>
      </w:r>
      <w:r w:rsidRPr="00A75D60">
        <w:rPr>
          <w:rFonts w:eastAsia="Arial" w:cs="Arial"/>
          <w:spacing w:val="-1"/>
        </w:rPr>
        <w:t>odland</w:t>
      </w:r>
      <w:r w:rsidR="00F23168">
        <w:rPr>
          <w:rFonts w:eastAsia="Arial" w:cs="Arial"/>
          <w:spacing w:val="-1"/>
        </w:rPr>
        <w:t xml:space="preserve"> and hedgerows</w:t>
      </w:r>
      <w:r w:rsidRPr="00A75D60">
        <w:rPr>
          <w:rFonts w:eastAsia="Arial" w:cs="Arial"/>
          <w:spacing w:val="-1"/>
        </w:rPr>
        <w:t xml:space="preserve">, and incorporate them within a landscape scheme, except where their long-term survival would be compromised by their age or physical condition or there are exceptional and overriding benefits in accepting their loss. </w:t>
      </w:r>
    </w:p>
    <w:p w14:paraId="00113318" w14:textId="77777777" w:rsidR="00A75D60" w:rsidRPr="00A75D60" w:rsidRDefault="00A75D60" w:rsidP="00676383">
      <w:pPr>
        <w:keepNext w:val="0"/>
        <w:tabs>
          <w:tab w:val="num" w:pos="851"/>
        </w:tabs>
        <w:autoSpaceDE w:val="0"/>
        <w:autoSpaceDN w:val="0"/>
        <w:adjustRightInd w:val="0"/>
        <w:spacing w:before="0"/>
        <w:ind w:left="851" w:hanging="851"/>
        <w:rPr>
          <w:rFonts w:eastAsia="Arial" w:cs="Arial"/>
          <w:spacing w:val="-1"/>
        </w:rPr>
      </w:pPr>
    </w:p>
    <w:p w14:paraId="2EE1C03D" w14:textId="2E1D3078" w:rsidR="00A75D60" w:rsidRPr="00A75D60" w:rsidRDefault="00A75D60" w:rsidP="00676383">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 xml:space="preserve">The retention of existing trees, woodlands and hedgerows can assist in integrating new development into the local environment by providing some mature, established elements within landscaping schemes. Mitigation, replacement or compensatory measures will be required when this cannot be achieved, to ensure that there is no net loss of environmental value </w:t>
      </w:r>
      <w:proofErr w:type="gramStart"/>
      <w:r w:rsidRPr="00A75D60">
        <w:rPr>
          <w:rFonts w:eastAsia="Arial" w:cs="Arial"/>
          <w:spacing w:val="-1"/>
        </w:rPr>
        <w:t>as a result of</w:t>
      </w:r>
      <w:proofErr w:type="gramEnd"/>
      <w:r w:rsidRPr="00A75D60">
        <w:rPr>
          <w:rFonts w:eastAsia="Arial" w:cs="Arial"/>
          <w:spacing w:val="-1"/>
        </w:rPr>
        <w:t xml:space="preserve"> development; these should be secured by condition or through S106 Agreement. Policy SD</w:t>
      </w:r>
      <w:r w:rsidR="004E709C">
        <w:rPr>
          <w:rFonts w:eastAsia="Arial" w:cs="Arial"/>
          <w:spacing w:val="-1"/>
        </w:rPr>
        <w:t>2</w:t>
      </w:r>
      <w:r w:rsidRPr="00A75D60">
        <w:rPr>
          <w:rFonts w:eastAsia="Arial" w:cs="Arial"/>
          <w:spacing w:val="-1"/>
        </w:rPr>
        <w:t xml:space="preserve">: Good Design Considerations for Development, provides details on the provision of new planting within development sites. </w:t>
      </w:r>
    </w:p>
    <w:p w14:paraId="2598B78F" w14:textId="77777777" w:rsidR="00A75D60" w:rsidRPr="00A75D60" w:rsidRDefault="00A75D60" w:rsidP="00676383">
      <w:pPr>
        <w:keepNext w:val="0"/>
        <w:tabs>
          <w:tab w:val="num" w:pos="851"/>
        </w:tabs>
        <w:autoSpaceDE w:val="0"/>
        <w:autoSpaceDN w:val="0"/>
        <w:adjustRightInd w:val="0"/>
        <w:spacing w:before="0"/>
        <w:ind w:left="851" w:hanging="851"/>
        <w:rPr>
          <w:rFonts w:eastAsia="Arial" w:cs="Arial"/>
          <w:spacing w:val="-1"/>
        </w:rPr>
      </w:pPr>
    </w:p>
    <w:p w14:paraId="6EC6B06E" w14:textId="77777777" w:rsidR="00A75D60" w:rsidRPr="00A75D60" w:rsidRDefault="00A75D60" w:rsidP="00676383">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To comply with Policy EV6 and to provide an informed basis for decisions, it is essential that development proposals commission a detailed tree and hedgerow survey. These should be submitted before validation of a planning application. This applies to all sites on which trees and hedgerows are growing and those proposals that will affect neighbouring trees and hedgerows. A pre-development survey should be carried out by a competent arboriculturist and record information on trees and hedgerows on a site independently of and before any specific layout or design is produced.</w:t>
      </w:r>
    </w:p>
    <w:p w14:paraId="576B50BD" w14:textId="77777777" w:rsidR="00A75D60" w:rsidRPr="00A75D60" w:rsidRDefault="00A75D60" w:rsidP="00676383">
      <w:pPr>
        <w:keepNext w:val="0"/>
        <w:tabs>
          <w:tab w:val="num" w:pos="851"/>
        </w:tabs>
        <w:autoSpaceDE w:val="0"/>
        <w:autoSpaceDN w:val="0"/>
        <w:adjustRightInd w:val="0"/>
        <w:spacing w:before="0"/>
        <w:ind w:left="851" w:hanging="851"/>
        <w:rPr>
          <w:rFonts w:eastAsia="Arial" w:cs="Arial"/>
          <w:spacing w:val="-1"/>
        </w:rPr>
      </w:pPr>
    </w:p>
    <w:p w14:paraId="4B054856" w14:textId="72816F14" w:rsidR="00A75D60" w:rsidRPr="00F23168" w:rsidRDefault="00676383" w:rsidP="00676383">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A75D60" w:rsidRPr="00F23168">
        <w:rPr>
          <w:rFonts w:eastAsia="Arial" w:cs="Arial"/>
          <w:b/>
          <w:bCs/>
          <w:spacing w:val="-1"/>
        </w:rPr>
        <w:t>Trees and Woodland</w:t>
      </w:r>
    </w:p>
    <w:p w14:paraId="0D750969" w14:textId="0A8026A9" w:rsidR="00F23168" w:rsidRPr="00F23168" w:rsidRDefault="00A75D60" w:rsidP="006D051B">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 xml:space="preserve">Whilst Ashfield has some important woodlands and areas with substantial numbers of trees, other areas lack tree cover. It is therefore vital to ensure that important trees and woodlands are </w:t>
      </w:r>
      <w:proofErr w:type="gramStart"/>
      <w:r w:rsidRPr="00A75D60">
        <w:rPr>
          <w:rFonts w:eastAsia="Arial" w:cs="Arial"/>
          <w:spacing w:val="-1"/>
        </w:rPr>
        <w:t>protected</w:t>
      </w:r>
      <w:proofErr w:type="gramEnd"/>
      <w:r w:rsidRPr="00A75D60">
        <w:rPr>
          <w:rFonts w:eastAsia="Arial" w:cs="Arial"/>
          <w:spacing w:val="-1"/>
        </w:rPr>
        <w:t xml:space="preserve"> and canopy cover extended in areas lacking cover, including in conjunction with new development. </w:t>
      </w:r>
    </w:p>
    <w:p w14:paraId="4E7EE20B" w14:textId="5DF6B60B" w:rsidR="00F23168" w:rsidRDefault="00F23168" w:rsidP="006D051B">
      <w:pPr>
        <w:keepNext w:val="0"/>
        <w:tabs>
          <w:tab w:val="num" w:pos="851"/>
        </w:tabs>
        <w:autoSpaceDE w:val="0"/>
        <w:autoSpaceDN w:val="0"/>
        <w:adjustRightInd w:val="0"/>
        <w:spacing w:before="0"/>
        <w:ind w:left="851" w:hanging="851"/>
        <w:rPr>
          <w:rFonts w:eastAsia="Arial" w:cs="Arial"/>
          <w:spacing w:val="-1"/>
        </w:rPr>
      </w:pPr>
    </w:p>
    <w:p w14:paraId="4B24EA23" w14:textId="77777777" w:rsidR="00A75D60" w:rsidRPr="00A75D60" w:rsidRDefault="00A75D60" w:rsidP="006D051B">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Trees can add great beauty and a sense of place and character to our District’s landscape. They enhance the structure and layout of our towns and villages, and many provide important landmarks. They offer a variety of form, texture, colour, shape and seasonal change; they also complement the built environment by providing screening, perspective, focal points, privacy and seclusion, and they define and separate open spaces. Trees are often greatly valued by the local community and visitors.</w:t>
      </w:r>
    </w:p>
    <w:p w14:paraId="62371F7F" w14:textId="77777777" w:rsidR="00A75D60" w:rsidRPr="00A75D60" w:rsidRDefault="00A75D60" w:rsidP="00676383">
      <w:pPr>
        <w:keepNext w:val="0"/>
        <w:tabs>
          <w:tab w:val="num" w:pos="851"/>
        </w:tabs>
        <w:autoSpaceDE w:val="0"/>
        <w:autoSpaceDN w:val="0"/>
        <w:adjustRightInd w:val="0"/>
        <w:spacing w:before="0"/>
        <w:ind w:left="851" w:hanging="851"/>
        <w:rPr>
          <w:rFonts w:eastAsia="Arial" w:cs="Arial"/>
          <w:spacing w:val="-1"/>
        </w:rPr>
      </w:pPr>
    </w:p>
    <w:p w14:paraId="3C7F8595" w14:textId="664BBA00" w:rsidR="00F3137E" w:rsidRPr="00945102" w:rsidRDefault="00A75D60" w:rsidP="00676383">
      <w:pPr>
        <w:keepNext w:val="0"/>
        <w:numPr>
          <w:ilvl w:val="1"/>
          <w:numId w:val="5"/>
        </w:numPr>
        <w:tabs>
          <w:tab w:val="clear" w:pos="525"/>
          <w:tab w:val="num" w:pos="851"/>
        </w:tabs>
        <w:autoSpaceDE w:val="0"/>
        <w:autoSpaceDN w:val="0"/>
        <w:adjustRightInd w:val="0"/>
        <w:spacing w:before="0"/>
        <w:ind w:left="851" w:hanging="851"/>
        <w:rPr>
          <w:rFonts w:eastAsia="Arial" w:cs="Arial"/>
          <w:color w:val="2F5496" w:themeColor="accent1" w:themeShade="BF"/>
          <w:spacing w:val="-1"/>
        </w:rPr>
      </w:pPr>
      <w:r w:rsidRPr="00A75D60">
        <w:rPr>
          <w:rFonts w:eastAsia="Arial" w:cs="Arial"/>
          <w:spacing w:val="-1"/>
        </w:rPr>
        <w:t xml:space="preserve">Trees can also make a positive contribution towards reducing the effects of future climate change by dissipating the impact of heavy rainfall, reducing urban temperatures and providing shade and protection against the detrimental effects of sunlight. New development should seek to incorporate strategically sited </w:t>
      </w:r>
      <w:r w:rsidR="00945102">
        <w:rPr>
          <w:rFonts w:eastAsia="Arial" w:cs="Arial"/>
          <w:spacing w:val="-1"/>
        </w:rPr>
        <w:t xml:space="preserve">large canopy species </w:t>
      </w:r>
      <w:r w:rsidRPr="00A75D60">
        <w:rPr>
          <w:rFonts w:eastAsia="Arial" w:cs="Arial"/>
          <w:spacing w:val="-1"/>
        </w:rPr>
        <w:t xml:space="preserve">trees that will provide shade and cooling to developments, particularly to street frontages, large hard landscaped areas and other areas of public realm. </w:t>
      </w:r>
    </w:p>
    <w:p w14:paraId="11D0669D" w14:textId="77777777" w:rsidR="00F33901" w:rsidRDefault="00F33901" w:rsidP="00F33901">
      <w:pPr>
        <w:pStyle w:val="ListParagraph"/>
        <w:rPr>
          <w:rFonts w:eastAsia="Arial" w:cs="Arial"/>
          <w:spacing w:val="-1"/>
        </w:rPr>
      </w:pPr>
    </w:p>
    <w:p w14:paraId="1FBC31D4" w14:textId="7B870808" w:rsidR="00F33901" w:rsidRDefault="00F33901" w:rsidP="00E60404">
      <w:pPr>
        <w:pStyle w:val="ListParagraph"/>
        <w:numPr>
          <w:ilvl w:val="1"/>
          <w:numId w:val="5"/>
        </w:numPr>
        <w:tabs>
          <w:tab w:val="clear" w:pos="525"/>
          <w:tab w:val="num" w:pos="851"/>
        </w:tabs>
        <w:spacing w:after="0" w:line="240" w:lineRule="auto"/>
        <w:ind w:left="851" w:hanging="851"/>
        <w:rPr>
          <w:rFonts w:ascii="Arial" w:eastAsia="Arial" w:hAnsi="Arial" w:cs="Arial"/>
          <w:spacing w:val="-1"/>
          <w:szCs w:val="20"/>
          <w:lang w:eastAsia="en-GB"/>
        </w:rPr>
      </w:pPr>
      <w:r w:rsidRPr="00F33901">
        <w:rPr>
          <w:rFonts w:ascii="Arial" w:eastAsia="Arial" w:hAnsi="Arial" w:cs="Arial"/>
          <w:spacing w:val="-1"/>
          <w:szCs w:val="20"/>
          <w:lang w:eastAsia="en-GB"/>
        </w:rPr>
        <w:t xml:space="preserve">Residential gardens provide a key space for trees to deliver biodiversity and climate change adaption. Garden trees should be in addition to and not instead of street or other public realm trees. All residential developments are encouraged to have suitable garden trees, especially within larger gardens. All rear garden trees are advised to be </w:t>
      </w:r>
      <w:r w:rsidR="007556D5">
        <w:rPr>
          <w:rFonts w:ascii="Arial" w:eastAsia="Arial" w:hAnsi="Arial" w:cs="Arial"/>
          <w:spacing w:val="-1"/>
          <w:szCs w:val="20"/>
          <w:lang w:eastAsia="en-GB"/>
        </w:rPr>
        <w:t xml:space="preserve">a minimum of </w:t>
      </w:r>
      <w:r w:rsidRPr="00F33901">
        <w:rPr>
          <w:rFonts w:ascii="Arial" w:eastAsia="Arial" w:hAnsi="Arial" w:cs="Arial"/>
          <w:spacing w:val="-1"/>
          <w:szCs w:val="20"/>
          <w:lang w:eastAsia="en-GB"/>
        </w:rPr>
        <w:t>2m high, containerised and planted within the planting season.</w:t>
      </w:r>
    </w:p>
    <w:p w14:paraId="455192E8" w14:textId="77777777" w:rsidR="00F33901" w:rsidRPr="00F33901" w:rsidRDefault="00F33901" w:rsidP="00E60404">
      <w:pPr>
        <w:pStyle w:val="ListParagraph"/>
        <w:spacing w:after="0" w:line="240" w:lineRule="auto"/>
        <w:rPr>
          <w:rFonts w:ascii="Arial" w:eastAsia="Arial" w:hAnsi="Arial" w:cs="Arial"/>
          <w:spacing w:val="-1"/>
          <w:szCs w:val="20"/>
          <w:lang w:eastAsia="en-GB"/>
        </w:rPr>
      </w:pPr>
    </w:p>
    <w:p w14:paraId="206D1FE2" w14:textId="51CC3D1B" w:rsidR="00F33901" w:rsidRPr="002E7654" w:rsidRDefault="00F33901" w:rsidP="00E60404">
      <w:pPr>
        <w:pStyle w:val="ListParagraph"/>
        <w:numPr>
          <w:ilvl w:val="1"/>
          <w:numId w:val="5"/>
        </w:numPr>
        <w:tabs>
          <w:tab w:val="clear" w:pos="525"/>
        </w:tabs>
        <w:spacing w:after="0" w:line="240" w:lineRule="auto"/>
        <w:ind w:left="851" w:hanging="851"/>
        <w:rPr>
          <w:rFonts w:ascii="Arial" w:eastAsia="Arial" w:hAnsi="Arial" w:cs="Arial"/>
          <w:spacing w:val="-1"/>
          <w:szCs w:val="20"/>
          <w:lang w:eastAsia="en-GB"/>
        </w:rPr>
      </w:pPr>
      <w:r w:rsidRPr="002E7654">
        <w:rPr>
          <w:rFonts w:ascii="Arial" w:eastAsia="Arial" w:hAnsi="Arial" w:cs="Arial"/>
          <w:spacing w:val="-1"/>
          <w:szCs w:val="20"/>
          <w:lang w:eastAsia="en-GB"/>
        </w:rPr>
        <w:t xml:space="preserve">Tree removal and site clearance prior to the planning process can have significant consequences to the ability to deliver sustainable development. Pre-emptive felling is strongly discouraged. If the Council considers that pre-emptive tree, woodland, or hedgerow removal has occurred, the Council will seek </w:t>
      </w:r>
      <w:r w:rsidR="00393687">
        <w:rPr>
          <w:rFonts w:ascii="Arial" w:eastAsia="Arial" w:hAnsi="Arial" w:cs="Arial"/>
          <w:spacing w:val="-1"/>
          <w:szCs w:val="20"/>
          <w:lang w:eastAsia="en-GB"/>
        </w:rPr>
        <w:t xml:space="preserve">suitable </w:t>
      </w:r>
      <w:r w:rsidRPr="002E7654">
        <w:rPr>
          <w:rFonts w:ascii="Arial" w:eastAsia="Arial" w:hAnsi="Arial" w:cs="Arial"/>
          <w:spacing w:val="-1"/>
          <w:szCs w:val="20"/>
          <w:lang w:eastAsia="en-GB"/>
        </w:rPr>
        <w:t xml:space="preserve">replacement planting as part of any planning process. </w:t>
      </w:r>
    </w:p>
    <w:p w14:paraId="156CF5C6" w14:textId="77777777" w:rsidR="00F33901" w:rsidRPr="002E7654" w:rsidRDefault="00F33901" w:rsidP="008C35A7">
      <w:pPr>
        <w:pStyle w:val="ListParagraph"/>
        <w:ind w:left="851" w:hanging="851"/>
        <w:rPr>
          <w:rFonts w:ascii="Arial" w:eastAsia="Arial" w:hAnsi="Arial" w:cs="Arial"/>
          <w:spacing w:val="-1"/>
          <w:szCs w:val="20"/>
          <w:lang w:eastAsia="en-GB"/>
        </w:rPr>
      </w:pPr>
    </w:p>
    <w:p w14:paraId="1BB336FF" w14:textId="3AC6E6BA" w:rsidR="00F33901" w:rsidRPr="002E7654" w:rsidRDefault="00F33901" w:rsidP="006D051B">
      <w:pPr>
        <w:pStyle w:val="ListParagraph"/>
        <w:numPr>
          <w:ilvl w:val="1"/>
          <w:numId w:val="5"/>
        </w:numPr>
        <w:tabs>
          <w:tab w:val="clear" w:pos="525"/>
        </w:tabs>
        <w:spacing w:after="0" w:line="240" w:lineRule="auto"/>
        <w:ind w:left="851" w:hanging="851"/>
        <w:rPr>
          <w:rFonts w:ascii="Arial" w:eastAsia="Arial" w:hAnsi="Arial" w:cs="Arial"/>
          <w:spacing w:val="-1"/>
          <w:szCs w:val="20"/>
          <w:lang w:eastAsia="en-GB"/>
        </w:rPr>
      </w:pPr>
      <w:r w:rsidRPr="002E7654">
        <w:rPr>
          <w:rFonts w:ascii="Arial" w:eastAsia="Arial" w:hAnsi="Arial" w:cs="Arial"/>
          <w:spacing w:val="-1"/>
          <w:szCs w:val="20"/>
          <w:lang w:eastAsia="en-GB"/>
        </w:rPr>
        <w:t xml:space="preserve">Development proposals must demonstrate protection measures are in place prior to any work on site, and opportunities for the restoration, enhancement or planting of trees, woodland and hedgerows identified and incorporated.  Applications shall </w:t>
      </w:r>
      <w:r w:rsidRPr="002E7654">
        <w:rPr>
          <w:rFonts w:ascii="Arial" w:eastAsia="Arial" w:hAnsi="Arial" w:cs="Arial"/>
          <w:spacing w:val="-1"/>
          <w:szCs w:val="20"/>
          <w:lang w:eastAsia="en-GB"/>
        </w:rPr>
        <w:lastRenderedPageBreak/>
        <w:t xml:space="preserve">identify their position, canopy spread, and provision made for their protection during construction and long-term retention. </w:t>
      </w:r>
      <w:r w:rsidR="005E06B1" w:rsidRPr="002E7654">
        <w:rPr>
          <w:rFonts w:ascii="Arial" w:eastAsia="Arial" w:hAnsi="Arial" w:cs="Arial"/>
          <w:spacing w:val="-1"/>
        </w:rPr>
        <w:t xml:space="preserve">An ecologist should be employed prior to any vegetation removal to assess any potential impacts on protected species including bats and nesting birds. </w:t>
      </w:r>
      <w:r w:rsidRPr="002E7654">
        <w:rPr>
          <w:rFonts w:ascii="Arial" w:eastAsia="Arial" w:hAnsi="Arial" w:cs="Arial"/>
          <w:spacing w:val="-1"/>
          <w:szCs w:val="20"/>
          <w:lang w:eastAsia="en-GB"/>
        </w:rPr>
        <w:t>The applicant (</w:t>
      </w:r>
      <w:proofErr w:type="gramStart"/>
      <w:r w:rsidRPr="002E7654">
        <w:rPr>
          <w:rFonts w:ascii="Arial" w:eastAsia="Arial" w:hAnsi="Arial" w:cs="Arial"/>
          <w:spacing w:val="-1"/>
          <w:szCs w:val="20"/>
          <w:lang w:eastAsia="en-GB"/>
        </w:rPr>
        <w:t>with the exception of</w:t>
      </w:r>
      <w:proofErr w:type="gramEnd"/>
      <w:r w:rsidRPr="002E7654">
        <w:rPr>
          <w:rFonts w:ascii="Arial" w:eastAsia="Arial" w:hAnsi="Arial" w:cs="Arial"/>
          <w:spacing w:val="-1"/>
          <w:szCs w:val="20"/>
          <w:lang w:eastAsia="en-GB"/>
        </w:rPr>
        <w:t xml:space="preserve"> householder applications) will be expected to comply with the procedures and recommendations laid out the current British Standard regarding trees in relation to construction.</w:t>
      </w:r>
    </w:p>
    <w:p w14:paraId="2DD3EB71" w14:textId="77777777" w:rsidR="00945102" w:rsidRPr="002E7654" w:rsidRDefault="00945102" w:rsidP="00945102">
      <w:pPr>
        <w:pStyle w:val="ListParagraph"/>
        <w:rPr>
          <w:rFonts w:ascii="Arial" w:eastAsia="Arial" w:hAnsi="Arial" w:cs="Arial"/>
          <w:spacing w:val="-1"/>
          <w:szCs w:val="20"/>
          <w:lang w:eastAsia="en-GB"/>
        </w:rPr>
      </w:pPr>
    </w:p>
    <w:p w14:paraId="7416E81F" w14:textId="3A70769F" w:rsidR="00945102" w:rsidRPr="002E7654" w:rsidRDefault="00945102" w:rsidP="00E60404">
      <w:pPr>
        <w:pStyle w:val="ListParagraph"/>
        <w:numPr>
          <w:ilvl w:val="1"/>
          <w:numId w:val="5"/>
        </w:numPr>
        <w:tabs>
          <w:tab w:val="clear" w:pos="525"/>
        </w:tabs>
        <w:spacing w:after="0" w:line="240" w:lineRule="auto"/>
        <w:ind w:left="851" w:hanging="851"/>
        <w:rPr>
          <w:rFonts w:ascii="Arial" w:eastAsia="Arial" w:hAnsi="Arial" w:cs="Arial"/>
          <w:spacing w:val="-1"/>
          <w:szCs w:val="20"/>
          <w:lang w:eastAsia="en-GB"/>
        </w:rPr>
      </w:pPr>
      <w:r w:rsidRPr="002E7654">
        <w:rPr>
          <w:rFonts w:ascii="Arial" w:eastAsia="Arial" w:hAnsi="Arial" w:cs="Arial"/>
          <w:spacing w:val="-1"/>
          <w:szCs w:val="20"/>
          <w:lang w:eastAsia="en-GB"/>
        </w:rPr>
        <w:t>Where there are overriding reasons for the removal of trees, appropriate replacement trees must be provided for on site, or if necessary off site, at a minimum ratio of 2 new trees for every 1 lost in order to maintain and enhance the character and appearance of the area, to provide for biodiversity, to contribute to measures to support green</w:t>
      </w:r>
      <w:r w:rsidR="00AF213C">
        <w:rPr>
          <w:rFonts w:ascii="Arial" w:eastAsia="Arial" w:hAnsi="Arial" w:cs="Arial"/>
          <w:spacing w:val="-1"/>
          <w:szCs w:val="20"/>
          <w:lang w:eastAsia="en-GB"/>
        </w:rPr>
        <w:t xml:space="preserve"> </w:t>
      </w:r>
      <w:r w:rsidRPr="002E7654">
        <w:rPr>
          <w:rFonts w:ascii="Arial" w:eastAsia="Arial" w:hAnsi="Arial" w:cs="Arial"/>
          <w:spacing w:val="-1"/>
          <w:szCs w:val="20"/>
          <w:lang w:eastAsia="en-GB"/>
        </w:rPr>
        <w:t xml:space="preserve">infrastructure, reduce carbon and to adapt to climate change.  Replacement trees should be of at least heavy standard, locally native and longer-lived tree species.  Measures must be in place to ensure that these new trees are appropriately maintained and managed over the lifetime of the development. A 10-year Management Plan will be required to ensure a successful establishment period.  </w:t>
      </w:r>
    </w:p>
    <w:p w14:paraId="03346B1E" w14:textId="77777777" w:rsidR="00F3137E" w:rsidRDefault="00F3137E" w:rsidP="006D051B">
      <w:pPr>
        <w:pStyle w:val="ListParagraph"/>
        <w:spacing w:after="0" w:line="240" w:lineRule="auto"/>
        <w:rPr>
          <w:rFonts w:eastAsia="Arial" w:cs="Arial"/>
          <w:spacing w:val="-1"/>
        </w:rPr>
      </w:pPr>
    </w:p>
    <w:p w14:paraId="6B5C88EB" w14:textId="1EFE0F9C" w:rsidR="00F3137E" w:rsidRDefault="00A75D60" w:rsidP="006D051B">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Off-site tree provision will be appropriate in some cases where it has been demonstrated that acceptable development cannot provide an appropriate level of mitigation planting (where trees are to be removed) and/or new planting within the site. Tree stock should either be UK grown or sourced from a domestic nursery that retains its trees for a minimum of one year (a full growing season) within the UK before sale to ensure plant health and non-infection by foreign pests or disease.</w:t>
      </w:r>
    </w:p>
    <w:p w14:paraId="5050DA65" w14:textId="77777777" w:rsidR="002415F6" w:rsidRPr="00F3137E" w:rsidRDefault="002415F6" w:rsidP="006D051B">
      <w:pPr>
        <w:keepNext w:val="0"/>
        <w:autoSpaceDE w:val="0"/>
        <w:autoSpaceDN w:val="0"/>
        <w:adjustRightInd w:val="0"/>
        <w:spacing w:before="0"/>
        <w:ind w:left="851"/>
        <w:rPr>
          <w:rFonts w:eastAsia="Arial" w:cs="Arial"/>
          <w:color w:val="2F5496" w:themeColor="accent1" w:themeShade="BF"/>
          <w:spacing w:val="-1"/>
        </w:rPr>
      </w:pPr>
    </w:p>
    <w:p w14:paraId="32B65DD5" w14:textId="1C815AD0" w:rsidR="00A75D60" w:rsidRDefault="00A75D60" w:rsidP="006D051B">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 xml:space="preserve">Where specific trees or groups of trees within a development site are of </w:t>
      </w:r>
      <w:proofErr w:type="gramStart"/>
      <w:r w:rsidRPr="00A75D60">
        <w:rPr>
          <w:rFonts w:eastAsia="Arial" w:cs="Arial"/>
          <w:spacing w:val="-1"/>
        </w:rPr>
        <w:t>particular value</w:t>
      </w:r>
      <w:proofErr w:type="gramEnd"/>
      <w:r w:rsidRPr="00A75D60">
        <w:rPr>
          <w:rFonts w:eastAsia="Arial" w:cs="Arial"/>
          <w:spacing w:val="-1"/>
        </w:rPr>
        <w:t xml:space="preserve"> (such that their removal would have a significant impact upon the local environment and its enjoyment by the public), and are potentially under threat, the Council will make Tree Preservation Orders to protect them. Where trees are covered by Tree Preservation Orders, the policy is intended to safeguard them from damage or destruction unless there are overriding reasons for their removal.</w:t>
      </w:r>
    </w:p>
    <w:p w14:paraId="268F7332" w14:textId="77777777" w:rsidR="00CD2C7D" w:rsidRDefault="00CD2C7D" w:rsidP="007B66A3">
      <w:pPr>
        <w:keepNext w:val="0"/>
        <w:tabs>
          <w:tab w:val="num" w:pos="851"/>
        </w:tabs>
        <w:autoSpaceDE w:val="0"/>
        <w:autoSpaceDN w:val="0"/>
        <w:adjustRightInd w:val="0"/>
        <w:spacing w:before="0"/>
        <w:ind w:left="851" w:hanging="851"/>
        <w:rPr>
          <w:rFonts w:eastAsia="Arial" w:cs="Arial"/>
          <w:b/>
          <w:bCs/>
          <w:spacing w:val="-1"/>
        </w:rPr>
      </w:pPr>
    </w:p>
    <w:p w14:paraId="73DCA41F" w14:textId="6948BD34" w:rsidR="007B66A3" w:rsidRPr="002E7654" w:rsidRDefault="00676383" w:rsidP="007B66A3">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A75D60" w:rsidRPr="009549D3">
        <w:rPr>
          <w:rFonts w:eastAsia="Arial" w:cs="Arial"/>
          <w:b/>
          <w:bCs/>
          <w:spacing w:val="-1"/>
        </w:rPr>
        <w:t>Ancient Woodland</w:t>
      </w:r>
      <w:r w:rsidR="007B66A3">
        <w:rPr>
          <w:rFonts w:eastAsia="Arial" w:cs="Arial"/>
          <w:b/>
          <w:bCs/>
          <w:spacing w:val="-1"/>
        </w:rPr>
        <w:t xml:space="preserve"> </w:t>
      </w:r>
      <w:r w:rsidR="007B66A3" w:rsidRPr="002E7654">
        <w:rPr>
          <w:rFonts w:eastAsia="Arial" w:cs="Arial"/>
          <w:b/>
          <w:bCs/>
          <w:spacing w:val="-1"/>
        </w:rPr>
        <w:t xml:space="preserve">and Ancient or Veteran Trees </w:t>
      </w:r>
    </w:p>
    <w:p w14:paraId="72913664" w14:textId="7FFF49BD" w:rsidR="007B66A3" w:rsidRPr="002E7654" w:rsidRDefault="007B66A3" w:rsidP="007B66A3">
      <w:pPr>
        <w:keepNext w:val="0"/>
        <w:numPr>
          <w:ilvl w:val="1"/>
          <w:numId w:val="5"/>
        </w:numPr>
        <w:tabs>
          <w:tab w:val="num" w:pos="851"/>
        </w:tabs>
        <w:autoSpaceDE w:val="0"/>
        <w:autoSpaceDN w:val="0"/>
        <w:adjustRightInd w:val="0"/>
        <w:spacing w:before="0"/>
        <w:ind w:left="851" w:hanging="851"/>
        <w:rPr>
          <w:rFonts w:eastAsia="Arial" w:cs="Arial"/>
          <w:spacing w:val="-1"/>
        </w:rPr>
      </w:pPr>
      <w:r w:rsidRPr="002E7654">
        <w:rPr>
          <w:rFonts w:eastAsia="Arial" w:cs="Arial"/>
          <w:spacing w:val="-1"/>
        </w:rPr>
        <w:t>Policy</w:t>
      </w:r>
      <w:r w:rsidR="00F33901" w:rsidRPr="002E7654">
        <w:rPr>
          <w:rFonts w:eastAsia="Arial" w:cs="Arial"/>
          <w:spacing w:val="-1"/>
        </w:rPr>
        <w:t xml:space="preserve"> EV6 </w:t>
      </w:r>
      <w:r w:rsidRPr="002E7654">
        <w:rPr>
          <w:rFonts w:eastAsia="Arial" w:cs="Arial"/>
          <w:spacing w:val="-1"/>
        </w:rPr>
        <w:t xml:space="preserve">sets out protection for ancient or veteran trees.  Under the Policy it </w:t>
      </w:r>
      <w:proofErr w:type="gramStart"/>
      <w:r w:rsidRPr="002E7654">
        <w:rPr>
          <w:rFonts w:eastAsia="Arial" w:cs="Arial"/>
          <w:spacing w:val="-1"/>
        </w:rPr>
        <w:t>has to</w:t>
      </w:r>
      <w:proofErr w:type="gramEnd"/>
      <w:r w:rsidRPr="002E7654">
        <w:rPr>
          <w:rFonts w:eastAsia="Arial" w:cs="Arial"/>
          <w:spacing w:val="-1"/>
        </w:rPr>
        <w:t xml:space="preserve"> be determined that there are wholly exceptional reasons for the loss of an ancient or veteran tree.  Only if it is determined there are wholly exceptional reasons should consideration be given to whether there is a suitable compensation strategy. </w:t>
      </w:r>
    </w:p>
    <w:p w14:paraId="75077C2E" w14:textId="47E0815B" w:rsidR="00A75D60" w:rsidRPr="009549D3" w:rsidRDefault="00A75D60" w:rsidP="00676383">
      <w:pPr>
        <w:keepNext w:val="0"/>
        <w:tabs>
          <w:tab w:val="num" w:pos="851"/>
        </w:tabs>
        <w:autoSpaceDE w:val="0"/>
        <w:autoSpaceDN w:val="0"/>
        <w:adjustRightInd w:val="0"/>
        <w:spacing w:before="0"/>
        <w:ind w:left="851" w:hanging="851"/>
        <w:rPr>
          <w:rFonts w:eastAsia="Arial" w:cs="Arial"/>
          <w:b/>
          <w:bCs/>
          <w:spacing w:val="-1"/>
        </w:rPr>
      </w:pPr>
    </w:p>
    <w:p w14:paraId="3B33DA83" w14:textId="3CC8A238" w:rsidR="00A75D60" w:rsidRPr="00A75D60" w:rsidRDefault="00A75D60" w:rsidP="00676383">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 xml:space="preserve">An ancient woodland is an area which has had continuous cover of native trees and plants since at least 1600 A.D., neither having </w:t>
      </w:r>
      <w:r w:rsidR="009D1815" w:rsidRPr="00A75D60">
        <w:rPr>
          <w:rFonts w:eastAsia="Arial" w:cs="Arial"/>
          <w:spacing w:val="-1"/>
        </w:rPr>
        <w:t>been</w:t>
      </w:r>
      <w:r w:rsidRPr="00A75D60">
        <w:rPr>
          <w:rFonts w:eastAsia="Arial" w:cs="Arial"/>
          <w:spacing w:val="-1"/>
        </w:rPr>
        <w:t xml:space="preserve"> cleared nor extensively replanted since then. The date is adopted as marking the time when forestry began to be widely adopted and when evidence in map form began to become available. Ancient woodlands </w:t>
      </w:r>
      <w:proofErr w:type="gramStart"/>
      <w:r w:rsidRPr="00A75D60">
        <w:rPr>
          <w:rFonts w:eastAsia="Arial" w:cs="Arial"/>
          <w:spacing w:val="-1"/>
        </w:rPr>
        <w:t>in particular are</w:t>
      </w:r>
      <w:proofErr w:type="gramEnd"/>
      <w:r w:rsidRPr="00A75D60">
        <w:rPr>
          <w:rFonts w:eastAsia="Arial" w:cs="Arial"/>
          <w:spacing w:val="-1"/>
        </w:rPr>
        <w:t xml:space="preserve"> exceptionally rich in </w:t>
      </w:r>
      <w:proofErr w:type="gramStart"/>
      <w:r w:rsidRPr="00A75D60">
        <w:rPr>
          <w:rFonts w:eastAsia="Arial" w:cs="Arial"/>
          <w:spacing w:val="-1"/>
        </w:rPr>
        <w:t>wildlife, and</w:t>
      </w:r>
      <w:proofErr w:type="gramEnd"/>
      <w:r w:rsidRPr="00A75D60">
        <w:rPr>
          <w:rFonts w:eastAsia="Arial" w:cs="Arial"/>
          <w:spacing w:val="-1"/>
        </w:rPr>
        <w:t xml:space="preserve"> often contain important archaeological and heritage features relating to their past management. Planning Practice Guidance identifies that both Ancient Semi-Natural Woodland (ASNW) as well as Plantations on Ancient Woodland Sites (PAWS) are ancient woodland. Both types should be treated equally in terms of the protection afforded </w:t>
      </w:r>
      <w:r w:rsidRPr="00A75D60">
        <w:rPr>
          <w:rFonts w:eastAsia="Arial" w:cs="Arial"/>
          <w:spacing w:val="-1"/>
        </w:rPr>
        <w:lastRenderedPageBreak/>
        <w:t>to ancient woodland in the N</w:t>
      </w:r>
      <w:r w:rsidR="004E709C">
        <w:rPr>
          <w:rFonts w:eastAsia="Arial" w:cs="Arial"/>
          <w:spacing w:val="-1"/>
        </w:rPr>
        <w:t>PPF</w:t>
      </w:r>
      <w:r w:rsidRPr="00A75D60">
        <w:rPr>
          <w:rFonts w:eastAsia="Arial" w:cs="Arial"/>
          <w:spacing w:val="-1"/>
        </w:rPr>
        <w:t xml:space="preserve">. Eleven Ancient Woodland sites have been identified by Natural England within Ashfield (see Appendix 8).  </w:t>
      </w:r>
    </w:p>
    <w:p w14:paraId="5CCA8756" w14:textId="77777777" w:rsidR="00263F59" w:rsidRDefault="00263F59" w:rsidP="00A75D60">
      <w:pPr>
        <w:keepNext w:val="0"/>
        <w:autoSpaceDE w:val="0"/>
        <w:autoSpaceDN w:val="0"/>
        <w:adjustRightInd w:val="0"/>
        <w:spacing w:before="0"/>
        <w:ind w:left="525"/>
        <w:rPr>
          <w:rFonts w:eastAsia="Arial" w:cs="Arial"/>
          <w:b/>
          <w:bCs/>
          <w:spacing w:val="-1"/>
        </w:rPr>
      </w:pPr>
    </w:p>
    <w:p w14:paraId="2ED1C94B" w14:textId="2ABEE46A" w:rsidR="00A75D60" w:rsidRPr="00A75D60" w:rsidRDefault="00676383" w:rsidP="00676383">
      <w:pPr>
        <w:keepNext w:val="0"/>
        <w:autoSpaceDE w:val="0"/>
        <w:autoSpaceDN w:val="0"/>
        <w:adjustRightInd w:val="0"/>
        <w:spacing w:before="0"/>
        <w:ind w:left="851" w:hanging="131"/>
        <w:rPr>
          <w:rFonts w:eastAsia="Arial" w:cs="Arial"/>
          <w:b/>
          <w:bCs/>
          <w:spacing w:val="-1"/>
        </w:rPr>
      </w:pPr>
      <w:r>
        <w:rPr>
          <w:rFonts w:eastAsia="Arial" w:cs="Arial"/>
          <w:b/>
          <w:bCs/>
          <w:spacing w:val="-1"/>
        </w:rPr>
        <w:t xml:space="preserve">  </w:t>
      </w:r>
      <w:r w:rsidR="00A75D60" w:rsidRPr="00A75D60">
        <w:rPr>
          <w:rFonts w:eastAsia="Arial" w:cs="Arial"/>
          <w:b/>
          <w:bCs/>
          <w:spacing w:val="-1"/>
        </w:rPr>
        <w:t>Hedgerows</w:t>
      </w:r>
    </w:p>
    <w:p w14:paraId="4124138B" w14:textId="77777777" w:rsidR="00A75D60" w:rsidRPr="00A75D60" w:rsidRDefault="00A75D60" w:rsidP="00676383">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 xml:space="preserve">Hedgerows are the most traditional types of field boundaries in many areas and make an important contribution to the landscape of the </w:t>
      </w:r>
      <w:proofErr w:type="gramStart"/>
      <w:r w:rsidRPr="00A75D60">
        <w:rPr>
          <w:rFonts w:eastAsia="Arial" w:cs="Arial"/>
          <w:spacing w:val="-1"/>
        </w:rPr>
        <w:t>District</w:t>
      </w:r>
      <w:proofErr w:type="gramEnd"/>
      <w:r w:rsidRPr="00A75D60">
        <w:rPr>
          <w:rFonts w:eastAsia="Arial" w:cs="Arial"/>
          <w:spacing w:val="-1"/>
        </w:rPr>
        <w:t xml:space="preserve">. They are often of considerable historic and wildlife interest and, particularly in the case of older hedgerows, often contain a great diversity of plant and wildlife species. The loss of hedgerows from the countryside landscape is a continuing cause for concern. </w:t>
      </w:r>
    </w:p>
    <w:p w14:paraId="200E9869" w14:textId="77777777" w:rsidR="00A75D60" w:rsidRPr="00A75D60" w:rsidRDefault="00A75D60" w:rsidP="00A75D60">
      <w:pPr>
        <w:keepNext w:val="0"/>
        <w:autoSpaceDE w:val="0"/>
        <w:autoSpaceDN w:val="0"/>
        <w:adjustRightInd w:val="0"/>
        <w:spacing w:before="0"/>
        <w:ind w:left="525"/>
        <w:rPr>
          <w:rFonts w:eastAsia="Arial" w:cs="Arial"/>
          <w:spacing w:val="-1"/>
        </w:rPr>
      </w:pPr>
    </w:p>
    <w:p w14:paraId="6AF9B09C" w14:textId="4EB37F78" w:rsidR="00A75D60" w:rsidRPr="00A75D60" w:rsidRDefault="00A75D60" w:rsidP="00676383">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 xml:space="preserve">On the </w:t>
      </w:r>
      <w:proofErr w:type="gramStart"/>
      <w:r w:rsidRPr="00A75D60">
        <w:rPr>
          <w:rFonts w:eastAsia="Arial" w:cs="Arial"/>
          <w:spacing w:val="-1"/>
        </w:rPr>
        <w:t>1st</w:t>
      </w:r>
      <w:proofErr w:type="gramEnd"/>
      <w:r w:rsidRPr="00A75D60">
        <w:rPr>
          <w:rFonts w:eastAsia="Arial" w:cs="Arial"/>
          <w:spacing w:val="-1"/>
        </w:rPr>
        <w:t xml:space="preserve"> June 1997 the Hedgerows Regulations</w:t>
      </w:r>
      <w:r w:rsidR="000540B6">
        <w:rPr>
          <w:rStyle w:val="FootnoteReference"/>
          <w:rFonts w:eastAsia="Arial" w:cs="Arial"/>
          <w:spacing w:val="-1"/>
        </w:rPr>
        <w:footnoteReference w:id="88"/>
      </w:r>
      <w:r w:rsidRPr="00A75D60">
        <w:rPr>
          <w:rFonts w:eastAsia="Arial" w:cs="Arial"/>
          <w:spacing w:val="-1"/>
        </w:rPr>
        <w:t xml:space="preserve"> came into force under Section 97 of the Environment Act, 1995. They introduced new arrangements for local planning authorities to protect "important" hedgerows in the Countryside, by controlling their removal through a system of notification. </w:t>
      </w:r>
    </w:p>
    <w:p w14:paraId="07F940EB" w14:textId="77777777" w:rsidR="00A75D60" w:rsidRPr="00A75D60" w:rsidRDefault="00A75D60" w:rsidP="00676383">
      <w:pPr>
        <w:keepNext w:val="0"/>
        <w:tabs>
          <w:tab w:val="num" w:pos="851"/>
        </w:tabs>
        <w:autoSpaceDE w:val="0"/>
        <w:autoSpaceDN w:val="0"/>
        <w:adjustRightInd w:val="0"/>
        <w:spacing w:before="0"/>
        <w:ind w:left="851" w:hanging="851"/>
        <w:rPr>
          <w:rFonts w:eastAsia="Arial" w:cs="Arial"/>
          <w:spacing w:val="-1"/>
        </w:rPr>
      </w:pPr>
    </w:p>
    <w:p w14:paraId="420B927B" w14:textId="36232D27" w:rsidR="00263F59" w:rsidRPr="006D4F49" w:rsidRDefault="00A75D60" w:rsidP="006D4F49">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A75D60">
        <w:rPr>
          <w:rFonts w:eastAsia="Arial" w:cs="Arial"/>
          <w:spacing w:val="-1"/>
        </w:rPr>
        <w:t>Th</w:t>
      </w:r>
      <w:r w:rsidR="000540B6">
        <w:rPr>
          <w:rFonts w:eastAsia="Arial" w:cs="Arial"/>
          <w:spacing w:val="-1"/>
        </w:rPr>
        <w:t xml:space="preserve">e </w:t>
      </w:r>
      <w:r w:rsidRPr="00A75D60">
        <w:rPr>
          <w:rFonts w:eastAsia="Arial" w:cs="Arial"/>
          <w:spacing w:val="-1"/>
        </w:rPr>
        <w:t xml:space="preserve">Hedgerows Regulations set out criteria that must be used by the local planning authority in determining which hedgerows are "important". The criteria relate to the value of hedgerows from an archaeological, historical, landscape and wildlife perspective. There is a strong presumption that "important" hedgerows and other hedgerows, will be protected and wherever possible incorporated into open space and landscaping proposals for new development. </w:t>
      </w:r>
    </w:p>
    <w:p w14:paraId="0740560C" w14:textId="77777777" w:rsidR="00263F59" w:rsidRDefault="00263F59" w:rsidP="00263F59">
      <w:pPr>
        <w:pStyle w:val="ListParagraph"/>
        <w:spacing w:after="0" w:line="240" w:lineRule="auto"/>
        <w:rPr>
          <w:rFonts w:ascii="Arial" w:eastAsia="Arial" w:hAnsi="Arial" w:cs="Arial"/>
          <w:spacing w:val="-1"/>
        </w:rPr>
      </w:pPr>
    </w:p>
    <w:p w14:paraId="0B631AAF" w14:textId="77777777" w:rsidR="000540B6" w:rsidRPr="00263F59" w:rsidRDefault="000540B6" w:rsidP="00263F59">
      <w:pPr>
        <w:pStyle w:val="ListParagraph"/>
        <w:spacing w:after="0" w:line="240" w:lineRule="auto"/>
        <w:rPr>
          <w:rFonts w:ascii="Arial" w:eastAsia="Arial" w:hAnsi="Arial" w:cs="Arial"/>
          <w:spacing w:val="-1"/>
        </w:rPr>
      </w:pPr>
    </w:p>
    <w:p w14:paraId="7E2D39C5" w14:textId="170D164B" w:rsidR="009549D3" w:rsidRPr="00995322" w:rsidRDefault="006977E7" w:rsidP="00995322">
      <w:pPr>
        <w:pStyle w:val="Heading2"/>
        <w:jc w:val="left"/>
        <w:rPr>
          <w:rFonts w:eastAsia="Arial"/>
          <w:sz w:val="28"/>
          <w:szCs w:val="28"/>
        </w:rPr>
      </w:pPr>
      <w:bookmarkStart w:id="181" w:name="_Toc500408759"/>
      <w:bookmarkStart w:id="182" w:name="_Toc145511581"/>
      <w:r w:rsidRPr="00995322">
        <w:rPr>
          <w:rFonts w:eastAsia="Arial"/>
          <w:sz w:val="28"/>
          <w:szCs w:val="28"/>
        </w:rPr>
        <w:t xml:space="preserve">Policy </w:t>
      </w:r>
      <w:r w:rsidR="009549D3" w:rsidRPr="00995322">
        <w:rPr>
          <w:rFonts w:eastAsia="Arial"/>
          <w:sz w:val="28"/>
          <w:szCs w:val="28"/>
        </w:rPr>
        <w:t>EV7: Provision and Protection of Allotments</w:t>
      </w:r>
      <w:bookmarkEnd w:id="181"/>
      <w:bookmarkEnd w:id="182"/>
      <w:r w:rsidR="009549D3" w:rsidRPr="00995322">
        <w:rPr>
          <w:rFonts w:eastAsia="Arial"/>
          <w:sz w:val="28"/>
          <w:szCs w:val="28"/>
        </w:rPr>
        <w:t xml:space="preserve"> </w:t>
      </w:r>
    </w:p>
    <w:p w14:paraId="280E2A23" w14:textId="77777777" w:rsidR="009549D3" w:rsidRPr="00B20356" w:rsidRDefault="009549D3" w:rsidP="00263F59">
      <w:pPr>
        <w:spacing w:before="0"/>
        <w:rPr>
          <w:rFonts w:eastAsia="Arial" w:cs="Arial"/>
        </w:rPr>
      </w:pPr>
    </w:p>
    <w:p w14:paraId="5FD22046" w14:textId="76C1B158" w:rsidR="00A75D60" w:rsidRDefault="009549D3" w:rsidP="00676383">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9549D3">
        <w:rPr>
          <w:rFonts w:eastAsia="Arial" w:cs="Arial"/>
          <w:spacing w:val="-1"/>
        </w:rPr>
        <w:t xml:space="preserve">This policy aims to protect existing allotments and provide new allotments </w:t>
      </w:r>
      <w:proofErr w:type="gramStart"/>
      <w:r w:rsidRPr="009549D3">
        <w:rPr>
          <w:rFonts w:eastAsia="Arial" w:cs="Arial"/>
          <w:spacing w:val="-1"/>
        </w:rPr>
        <w:t>in order to</w:t>
      </w:r>
      <w:proofErr w:type="gramEnd"/>
      <w:r w:rsidRPr="009549D3">
        <w:rPr>
          <w:rFonts w:eastAsia="Arial" w:cs="Arial"/>
          <w:spacing w:val="-1"/>
        </w:rPr>
        <w:t xml:space="preserve"> meet a locally identified need.</w:t>
      </w:r>
    </w:p>
    <w:p w14:paraId="7D838B51" w14:textId="77777777" w:rsidR="007C6CA4" w:rsidRPr="007C6CA4" w:rsidRDefault="007C6CA4" w:rsidP="007C6CA4">
      <w:pPr>
        <w:keepNext w:val="0"/>
        <w:spacing w:before="0" w:after="160" w:line="252" w:lineRule="auto"/>
        <w:jc w:val="both"/>
        <w:rPr>
          <w:rFonts w:eastAsia="Calibri"/>
          <w:color w:val="auto"/>
          <w:szCs w:val="22"/>
        </w:rPr>
      </w:pPr>
    </w:p>
    <w:tbl>
      <w:tblPr>
        <w:tblStyle w:val="TableGrid17"/>
        <w:tblW w:w="0" w:type="auto"/>
        <w:tblLook w:val="04A0" w:firstRow="1" w:lastRow="0" w:firstColumn="1" w:lastColumn="0" w:noHBand="0" w:noVBand="1"/>
      </w:tblPr>
      <w:tblGrid>
        <w:gridCol w:w="2385"/>
        <w:gridCol w:w="7234"/>
      </w:tblGrid>
      <w:tr w:rsidR="007C6CA4" w:rsidRPr="007C6CA4" w14:paraId="0E7F3F4E" w14:textId="77777777" w:rsidTr="007C6CA4">
        <w:tc>
          <w:tcPr>
            <w:tcW w:w="9732" w:type="dxa"/>
            <w:gridSpan w:val="2"/>
            <w:tcBorders>
              <w:top w:val="single" w:sz="8" w:space="0" w:color="auto"/>
              <w:left w:val="single" w:sz="8" w:space="0" w:color="auto"/>
              <w:bottom w:val="single" w:sz="8" w:space="0" w:color="auto"/>
              <w:right w:val="single" w:sz="8" w:space="0" w:color="auto"/>
            </w:tcBorders>
          </w:tcPr>
          <w:p w14:paraId="45C3F4C7" w14:textId="77777777" w:rsidR="00232EC9" w:rsidRDefault="00232EC9" w:rsidP="00FF3EAD">
            <w:pPr>
              <w:keepNext w:val="0"/>
              <w:spacing w:before="0"/>
              <w:jc w:val="left"/>
              <w:rPr>
                <w:b/>
                <w:bCs/>
                <w:color w:val="auto"/>
              </w:rPr>
            </w:pPr>
          </w:p>
          <w:p w14:paraId="4DCE11E0" w14:textId="77777777" w:rsidR="007C6CA4" w:rsidRDefault="007C6CA4" w:rsidP="00FF3EAD">
            <w:pPr>
              <w:keepNext w:val="0"/>
              <w:spacing w:before="0"/>
              <w:jc w:val="left"/>
              <w:rPr>
                <w:b/>
                <w:bCs/>
                <w:color w:val="auto"/>
              </w:rPr>
            </w:pPr>
            <w:r w:rsidRPr="007C6CA4">
              <w:rPr>
                <w:b/>
                <w:bCs/>
                <w:color w:val="auto"/>
              </w:rPr>
              <w:t>Policy EV7: Provision and Protection of Allotments</w:t>
            </w:r>
          </w:p>
          <w:p w14:paraId="3A84AA1F" w14:textId="099254DB" w:rsidR="00232EC9" w:rsidRPr="007C6CA4" w:rsidRDefault="00232EC9" w:rsidP="00FF3EAD">
            <w:pPr>
              <w:keepNext w:val="0"/>
              <w:spacing w:before="0"/>
              <w:jc w:val="left"/>
              <w:rPr>
                <w:b/>
                <w:bCs/>
                <w:color w:val="auto"/>
              </w:rPr>
            </w:pPr>
          </w:p>
        </w:tc>
      </w:tr>
      <w:tr w:rsidR="007C6CA4" w:rsidRPr="007C6CA4" w14:paraId="1ACC4C3F" w14:textId="77777777" w:rsidTr="007C6CA4">
        <w:tc>
          <w:tcPr>
            <w:tcW w:w="2403" w:type="dxa"/>
            <w:tcBorders>
              <w:left w:val="single" w:sz="8" w:space="0" w:color="auto"/>
              <w:right w:val="single" w:sz="8" w:space="0" w:color="auto"/>
            </w:tcBorders>
          </w:tcPr>
          <w:p w14:paraId="42AC5739" w14:textId="77777777" w:rsidR="007C6CA4" w:rsidRPr="007C6CA4" w:rsidRDefault="007C6CA4" w:rsidP="00FF3EAD">
            <w:pPr>
              <w:keepNext w:val="0"/>
              <w:spacing w:before="0"/>
              <w:jc w:val="left"/>
              <w:rPr>
                <w:color w:val="auto"/>
              </w:rPr>
            </w:pPr>
            <w:r w:rsidRPr="007C6CA4">
              <w:rPr>
                <w:color w:val="auto"/>
              </w:rPr>
              <w:t>Strategic Objectives</w:t>
            </w:r>
          </w:p>
        </w:tc>
        <w:tc>
          <w:tcPr>
            <w:tcW w:w="7329" w:type="dxa"/>
            <w:tcBorders>
              <w:top w:val="single" w:sz="8" w:space="0" w:color="auto"/>
              <w:left w:val="single" w:sz="8" w:space="0" w:color="auto"/>
              <w:bottom w:val="single" w:sz="8" w:space="0" w:color="auto"/>
              <w:right w:val="single" w:sz="8" w:space="0" w:color="auto"/>
            </w:tcBorders>
          </w:tcPr>
          <w:p w14:paraId="689AEEE9" w14:textId="77777777" w:rsidR="007C6CA4" w:rsidRPr="007C6CA4" w:rsidRDefault="007C6CA4" w:rsidP="00FF3EAD">
            <w:pPr>
              <w:keepNext w:val="0"/>
              <w:spacing w:before="0"/>
              <w:jc w:val="left"/>
              <w:rPr>
                <w:color w:val="auto"/>
              </w:rPr>
            </w:pPr>
            <w:r w:rsidRPr="007C6CA4">
              <w:rPr>
                <w:color w:val="auto"/>
              </w:rPr>
              <w:t>SO1, SO2, SO3, SO4, SO5, SO14.</w:t>
            </w:r>
          </w:p>
        </w:tc>
      </w:tr>
      <w:tr w:rsidR="007C6CA4" w:rsidRPr="007C6CA4" w14:paraId="396BC94C" w14:textId="77777777" w:rsidTr="007C6CA4">
        <w:tc>
          <w:tcPr>
            <w:tcW w:w="9732" w:type="dxa"/>
            <w:gridSpan w:val="2"/>
            <w:tcBorders>
              <w:top w:val="single" w:sz="8" w:space="0" w:color="auto"/>
              <w:left w:val="single" w:sz="8" w:space="0" w:color="auto"/>
              <w:bottom w:val="single" w:sz="8" w:space="0" w:color="auto"/>
              <w:right w:val="single" w:sz="8" w:space="0" w:color="auto"/>
            </w:tcBorders>
            <w:shd w:val="clear" w:color="auto" w:fill="E2EFD9"/>
          </w:tcPr>
          <w:p w14:paraId="2A95BA12" w14:textId="77777777" w:rsidR="007C6CA4" w:rsidRPr="007C6CA4" w:rsidRDefault="007C6CA4" w:rsidP="00FF3EAD">
            <w:pPr>
              <w:keepNext w:val="0"/>
              <w:spacing w:before="0"/>
              <w:jc w:val="left"/>
              <w:rPr>
                <w:color w:val="auto"/>
              </w:rPr>
            </w:pPr>
          </w:p>
          <w:p w14:paraId="4D100C52" w14:textId="0AC7845C" w:rsidR="007C6CA4" w:rsidRPr="007C6CA4" w:rsidRDefault="007C6CA4" w:rsidP="00874A98">
            <w:pPr>
              <w:keepNext w:val="0"/>
              <w:numPr>
                <w:ilvl w:val="0"/>
                <w:numId w:val="284"/>
              </w:numPr>
              <w:spacing w:before="0"/>
              <w:contextualSpacing/>
              <w:jc w:val="left"/>
              <w:rPr>
                <w:color w:val="auto"/>
              </w:rPr>
            </w:pPr>
            <w:r w:rsidRPr="007C6CA4">
              <w:rPr>
                <w:color w:val="auto"/>
              </w:rPr>
              <w:t xml:space="preserve">The Council will support the provision of new allotments </w:t>
            </w:r>
            <w:proofErr w:type="gramStart"/>
            <w:r w:rsidRPr="007C6CA4">
              <w:rPr>
                <w:color w:val="auto"/>
              </w:rPr>
              <w:t>in order to</w:t>
            </w:r>
            <w:proofErr w:type="gramEnd"/>
            <w:r w:rsidRPr="007C6CA4">
              <w:rPr>
                <w:color w:val="auto"/>
              </w:rPr>
              <w:t xml:space="preserve"> meet a locally identified demand. Where residential development results in an additional demand for allotments in a locality, new provision could form part of the on-site open space requirement, or a planning contribution may be required towards either improving existing allotments or providing new allotments elsewhere, as set out under Policy H</w:t>
            </w:r>
            <w:r w:rsidR="004E709C">
              <w:rPr>
                <w:color w:val="auto"/>
              </w:rPr>
              <w:t>5</w:t>
            </w:r>
            <w:r w:rsidRPr="007C6CA4">
              <w:rPr>
                <w:color w:val="auto"/>
              </w:rPr>
              <w:t>.</w:t>
            </w:r>
          </w:p>
          <w:p w14:paraId="7BB58013" w14:textId="77777777" w:rsidR="007C6CA4" w:rsidRPr="007C6CA4" w:rsidRDefault="007C6CA4" w:rsidP="00FF3EAD">
            <w:pPr>
              <w:keepNext w:val="0"/>
              <w:spacing w:before="0"/>
              <w:ind w:left="360"/>
              <w:contextualSpacing/>
              <w:jc w:val="left"/>
              <w:rPr>
                <w:color w:val="auto"/>
              </w:rPr>
            </w:pPr>
          </w:p>
          <w:p w14:paraId="7CFF5461" w14:textId="77777777" w:rsidR="007C6CA4" w:rsidRPr="007C6CA4" w:rsidRDefault="007C6CA4" w:rsidP="00874A98">
            <w:pPr>
              <w:keepNext w:val="0"/>
              <w:numPr>
                <w:ilvl w:val="0"/>
                <w:numId w:val="284"/>
              </w:numPr>
              <w:spacing w:before="0"/>
              <w:contextualSpacing/>
              <w:jc w:val="left"/>
              <w:rPr>
                <w:color w:val="auto"/>
              </w:rPr>
            </w:pPr>
            <w:r w:rsidRPr="007C6CA4">
              <w:rPr>
                <w:color w:val="auto"/>
              </w:rPr>
              <w:t>Development on allotment land for alternative uses will only be permitted where:</w:t>
            </w:r>
          </w:p>
          <w:p w14:paraId="6A551AA0" w14:textId="77777777" w:rsidR="007C6CA4" w:rsidRPr="007C6CA4" w:rsidRDefault="007C6CA4" w:rsidP="00FF3EAD">
            <w:pPr>
              <w:keepNext w:val="0"/>
              <w:spacing w:before="0"/>
              <w:jc w:val="left"/>
              <w:rPr>
                <w:color w:val="auto"/>
              </w:rPr>
            </w:pPr>
          </w:p>
          <w:p w14:paraId="5DEB6309" w14:textId="77777777" w:rsidR="007C6CA4" w:rsidRPr="007C6CA4" w:rsidRDefault="007C6CA4" w:rsidP="00874A98">
            <w:pPr>
              <w:keepNext w:val="0"/>
              <w:numPr>
                <w:ilvl w:val="0"/>
                <w:numId w:val="285"/>
              </w:numPr>
              <w:spacing w:before="0"/>
              <w:contextualSpacing/>
              <w:jc w:val="left"/>
              <w:rPr>
                <w:color w:val="auto"/>
              </w:rPr>
            </w:pPr>
            <w:r w:rsidRPr="007C6CA4">
              <w:rPr>
                <w:color w:val="auto"/>
              </w:rPr>
              <w:lastRenderedPageBreak/>
              <w:t>it can be demonstrated that the allotments are no longer required through a lack of demand, the green space is surplus to requirements in the locality and the benefits from the proposed development outweigh the impacts on biodiversity, or</w:t>
            </w:r>
          </w:p>
          <w:p w14:paraId="2A43343A" w14:textId="77777777" w:rsidR="007C6CA4" w:rsidRPr="007C6CA4" w:rsidRDefault="007C6CA4" w:rsidP="00FF3EAD">
            <w:pPr>
              <w:keepNext w:val="0"/>
              <w:spacing w:before="0"/>
              <w:ind w:left="720"/>
              <w:contextualSpacing/>
              <w:jc w:val="left"/>
              <w:rPr>
                <w:color w:val="auto"/>
              </w:rPr>
            </w:pPr>
          </w:p>
          <w:p w14:paraId="6F375462" w14:textId="77777777" w:rsidR="007C6CA4" w:rsidRPr="007C6CA4" w:rsidRDefault="007C6CA4" w:rsidP="00874A98">
            <w:pPr>
              <w:keepNext w:val="0"/>
              <w:numPr>
                <w:ilvl w:val="0"/>
                <w:numId w:val="285"/>
              </w:numPr>
              <w:spacing w:before="0"/>
              <w:contextualSpacing/>
              <w:jc w:val="left"/>
              <w:rPr>
                <w:color w:val="auto"/>
              </w:rPr>
            </w:pPr>
            <w:r w:rsidRPr="007C6CA4">
              <w:rPr>
                <w:color w:val="auto"/>
              </w:rPr>
              <w:t>there are overriding sustainability benefits from the proposed development and appropriate alternative provision of allotments will be made in the locality.</w:t>
            </w:r>
          </w:p>
          <w:p w14:paraId="38AD2019" w14:textId="77777777" w:rsidR="007C6CA4" w:rsidRPr="007C6CA4" w:rsidRDefault="007C6CA4" w:rsidP="00FF3EAD">
            <w:pPr>
              <w:keepNext w:val="0"/>
              <w:spacing w:before="0"/>
              <w:jc w:val="left"/>
              <w:rPr>
                <w:color w:val="auto"/>
              </w:rPr>
            </w:pPr>
          </w:p>
          <w:p w14:paraId="64B53985" w14:textId="77777777" w:rsidR="007C6CA4" w:rsidRPr="007C6CA4" w:rsidRDefault="007C6CA4" w:rsidP="00FF3EAD">
            <w:pPr>
              <w:keepNext w:val="0"/>
              <w:spacing w:before="0"/>
              <w:jc w:val="left"/>
              <w:rPr>
                <w:color w:val="auto"/>
              </w:rPr>
            </w:pPr>
            <w:r w:rsidRPr="007C6CA4">
              <w:rPr>
                <w:color w:val="auto"/>
              </w:rPr>
              <w:t xml:space="preserve">Protected allotments are listed </w:t>
            </w:r>
            <w:r w:rsidRPr="006D4F49">
              <w:rPr>
                <w:color w:val="auto"/>
              </w:rPr>
              <w:t>in Appendix 9</w:t>
            </w:r>
            <w:r w:rsidRPr="007C6CA4">
              <w:rPr>
                <w:color w:val="auto"/>
              </w:rPr>
              <w:t xml:space="preserve"> and identified on the Policies Map. Any new allotments developed after the Local Plan is adopted will be protected under this Policy.</w:t>
            </w:r>
          </w:p>
          <w:p w14:paraId="176C8660" w14:textId="77777777" w:rsidR="007C6CA4" w:rsidRPr="007C6CA4" w:rsidRDefault="007C6CA4" w:rsidP="00FF3EAD">
            <w:pPr>
              <w:keepNext w:val="0"/>
              <w:spacing w:before="0"/>
              <w:jc w:val="left"/>
              <w:rPr>
                <w:color w:val="auto"/>
              </w:rPr>
            </w:pPr>
          </w:p>
        </w:tc>
      </w:tr>
      <w:tr w:rsidR="007C6CA4" w:rsidRPr="007C6CA4" w14:paraId="12227E0B" w14:textId="77777777" w:rsidTr="007C6CA4">
        <w:tc>
          <w:tcPr>
            <w:tcW w:w="2403" w:type="dxa"/>
            <w:tcBorders>
              <w:top w:val="single" w:sz="8" w:space="0" w:color="auto"/>
              <w:left w:val="single" w:sz="8" w:space="0" w:color="auto"/>
              <w:bottom w:val="single" w:sz="8" w:space="0" w:color="auto"/>
              <w:right w:val="single" w:sz="8" w:space="0" w:color="auto"/>
            </w:tcBorders>
          </w:tcPr>
          <w:p w14:paraId="771639D4" w14:textId="77777777" w:rsidR="007C6CA4" w:rsidRPr="007C6CA4" w:rsidRDefault="007C6CA4" w:rsidP="000032A9">
            <w:pPr>
              <w:keepNext w:val="0"/>
              <w:spacing w:before="0"/>
              <w:jc w:val="left"/>
              <w:rPr>
                <w:color w:val="auto"/>
                <w:sz w:val="20"/>
                <w:szCs w:val="20"/>
              </w:rPr>
            </w:pPr>
            <w:r w:rsidRPr="007C6CA4">
              <w:rPr>
                <w:color w:val="auto"/>
                <w:sz w:val="20"/>
                <w:szCs w:val="20"/>
              </w:rPr>
              <w:lastRenderedPageBreak/>
              <w:t>Evidence base</w:t>
            </w:r>
          </w:p>
        </w:tc>
        <w:tc>
          <w:tcPr>
            <w:tcW w:w="7329" w:type="dxa"/>
            <w:tcBorders>
              <w:top w:val="single" w:sz="8" w:space="0" w:color="auto"/>
              <w:left w:val="single" w:sz="8" w:space="0" w:color="auto"/>
              <w:bottom w:val="single" w:sz="8" w:space="0" w:color="auto"/>
              <w:right w:val="single" w:sz="8" w:space="0" w:color="auto"/>
            </w:tcBorders>
          </w:tcPr>
          <w:p w14:paraId="0E890ED2" w14:textId="6E78F1DE" w:rsidR="007C6CA4" w:rsidRPr="002E7654" w:rsidRDefault="007C6CA4" w:rsidP="00874A98">
            <w:pPr>
              <w:keepNext w:val="0"/>
              <w:numPr>
                <w:ilvl w:val="0"/>
                <w:numId w:val="286"/>
              </w:numPr>
              <w:spacing w:before="0"/>
              <w:contextualSpacing/>
              <w:jc w:val="left"/>
              <w:rPr>
                <w:sz w:val="20"/>
                <w:szCs w:val="20"/>
              </w:rPr>
            </w:pPr>
            <w:r w:rsidRPr="002E7654">
              <w:rPr>
                <w:sz w:val="20"/>
                <w:szCs w:val="20"/>
              </w:rPr>
              <w:t>Sustainability Appraisal, 202</w:t>
            </w:r>
            <w:r w:rsidR="00B40389" w:rsidRPr="002E7654">
              <w:rPr>
                <w:sz w:val="20"/>
                <w:szCs w:val="20"/>
              </w:rPr>
              <w:t>3</w:t>
            </w:r>
            <w:r w:rsidRPr="002E7654">
              <w:rPr>
                <w:sz w:val="20"/>
                <w:szCs w:val="20"/>
              </w:rPr>
              <w:t xml:space="preserve">.  </w:t>
            </w:r>
            <w:r w:rsidR="00B40389" w:rsidRPr="002E7654">
              <w:rPr>
                <w:sz w:val="20"/>
                <w:szCs w:val="20"/>
              </w:rPr>
              <w:t>WSP UK Limited</w:t>
            </w:r>
            <w:r w:rsidRPr="002E7654">
              <w:rPr>
                <w:sz w:val="20"/>
                <w:szCs w:val="20"/>
              </w:rPr>
              <w:t>.</w:t>
            </w:r>
          </w:p>
          <w:p w14:paraId="3B0A3866" w14:textId="1251B1E2" w:rsidR="007C6CA4" w:rsidRPr="002E7654" w:rsidRDefault="002E7654" w:rsidP="00874A98">
            <w:pPr>
              <w:keepNext w:val="0"/>
              <w:numPr>
                <w:ilvl w:val="0"/>
                <w:numId w:val="286"/>
              </w:numPr>
              <w:spacing w:before="0"/>
              <w:contextualSpacing/>
              <w:jc w:val="left"/>
              <w:rPr>
                <w:sz w:val="20"/>
                <w:szCs w:val="20"/>
              </w:rPr>
            </w:pPr>
            <w:r w:rsidRPr="002E7654">
              <w:rPr>
                <w:rFonts w:cs="Arial"/>
                <w:sz w:val="20"/>
              </w:rPr>
              <w:t>Ashfield Green &amp; Blue Infrastructure and Biodiversity Strategy. Ashfield District Council, 2022-2032</w:t>
            </w:r>
            <w:r w:rsidR="007C6CA4" w:rsidRPr="002E7654">
              <w:rPr>
                <w:sz w:val="20"/>
                <w:szCs w:val="20"/>
              </w:rPr>
              <w:t>.</w:t>
            </w:r>
          </w:p>
        </w:tc>
      </w:tr>
      <w:tr w:rsidR="007C6CA4" w:rsidRPr="007C6CA4" w14:paraId="06F4E115" w14:textId="77777777" w:rsidTr="007C6CA4">
        <w:tc>
          <w:tcPr>
            <w:tcW w:w="2403" w:type="dxa"/>
            <w:tcBorders>
              <w:top w:val="single" w:sz="8" w:space="0" w:color="auto"/>
              <w:left w:val="single" w:sz="8" w:space="0" w:color="auto"/>
              <w:bottom w:val="single" w:sz="8" w:space="0" w:color="auto"/>
              <w:right w:val="single" w:sz="8" w:space="0" w:color="auto"/>
            </w:tcBorders>
          </w:tcPr>
          <w:p w14:paraId="504A2F6E" w14:textId="77777777" w:rsidR="007C6CA4" w:rsidRPr="007C6CA4" w:rsidRDefault="007C6CA4" w:rsidP="000032A9">
            <w:pPr>
              <w:keepNext w:val="0"/>
              <w:spacing w:before="0"/>
              <w:jc w:val="left"/>
              <w:rPr>
                <w:color w:val="auto"/>
                <w:sz w:val="20"/>
                <w:szCs w:val="20"/>
              </w:rPr>
            </w:pPr>
            <w:r w:rsidRPr="007C6CA4">
              <w:rPr>
                <w:color w:val="auto"/>
                <w:sz w:val="20"/>
                <w:szCs w:val="20"/>
              </w:rPr>
              <w:t>National Planning Policy and Guidance</w:t>
            </w:r>
          </w:p>
        </w:tc>
        <w:tc>
          <w:tcPr>
            <w:tcW w:w="7329" w:type="dxa"/>
            <w:tcBorders>
              <w:top w:val="single" w:sz="8" w:space="0" w:color="auto"/>
              <w:left w:val="single" w:sz="8" w:space="0" w:color="auto"/>
              <w:bottom w:val="single" w:sz="8" w:space="0" w:color="auto"/>
              <w:right w:val="single" w:sz="8" w:space="0" w:color="auto"/>
            </w:tcBorders>
          </w:tcPr>
          <w:p w14:paraId="490A7B15" w14:textId="01E93BBF" w:rsidR="007C6CA4" w:rsidRPr="002E7654" w:rsidRDefault="007C6CA4" w:rsidP="00874A98">
            <w:pPr>
              <w:keepNext w:val="0"/>
              <w:numPr>
                <w:ilvl w:val="0"/>
                <w:numId w:val="287"/>
              </w:numPr>
              <w:spacing w:before="0"/>
              <w:contextualSpacing/>
              <w:jc w:val="left"/>
              <w:rPr>
                <w:sz w:val="20"/>
                <w:szCs w:val="20"/>
              </w:rPr>
            </w:pPr>
            <w:r w:rsidRPr="002E7654">
              <w:rPr>
                <w:sz w:val="20"/>
                <w:szCs w:val="20"/>
              </w:rPr>
              <w:t>NPPF 202</w:t>
            </w:r>
            <w:r w:rsidR="004173E0" w:rsidRPr="002E7654">
              <w:rPr>
                <w:sz w:val="20"/>
                <w:szCs w:val="20"/>
              </w:rPr>
              <w:t>3</w:t>
            </w:r>
            <w:r w:rsidRPr="002E7654">
              <w:rPr>
                <w:sz w:val="20"/>
                <w:szCs w:val="20"/>
              </w:rPr>
              <w:t>, Part 2: Achieving sustainable development.</w:t>
            </w:r>
          </w:p>
          <w:p w14:paraId="3220B297" w14:textId="52ABDA35" w:rsidR="007C6CA4" w:rsidRPr="002E7654" w:rsidRDefault="007C6CA4" w:rsidP="00874A98">
            <w:pPr>
              <w:keepNext w:val="0"/>
              <w:numPr>
                <w:ilvl w:val="0"/>
                <w:numId w:val="287"/>
              </w:numPr>
              <w:spacing w:before="0"/>
              <w:contextualSpacing/>
              <w:jc w:val="left"/>
              <w:rPr>
                <w:sz w:val="20"/>
                <w:szCs w:val="20"/>
              </w:rPr>
            </w:pPr>
            <w:r w:rsidRPr="002E7654">
              <w:rPr>
                <w:sz w:val="20"/>
                <w:szCs w:val="20"/>
              </w:rPr>
              <w:t>NPPF 202</w:t>
            </w:r>
            <w:r w:rsidR="004173E0" w:rsidRPr="002E7654">
              <w:rPr>
                <w:sz w:val="20"/>
                <w:szCs w:val="20"/>
              </w:rPr>
              <w:t>3</w:t>
            </w:r>
            <w:r w:rsidRPr="002E7654">
              <w:rPr>
                <w:sz w:val="20"/>
                <w:szCs w:val="20"/>
              </w:rPr>
              <w:t>, Part 15: Conserving and enhancing the natural environment.</w:t>
            </w:r>
          </w:p>
          <w:p w14:paraId="2B701C27" w14:textId="5E9DBE2A" w:rsidR="007C6CA4" w:rsidRPr="002E7654" w:rsidRDefault="007C6CA4" w:rsidP="00874A98">
            <w:pPr>
              <w:keepNext w:val="0"/>
              <w:numPr>
                <w:ilvl w:val="0"/>
                <w:numId w:val="287"/>
              </w:numPr>
              <w:spacing w:before="0"/>
              <w:contextualSpacing/>
              <w:jc w:val="left"/>
              <w:rPr>
                <w:sz w:val="20"/>
                <w:szCs w:val="20"/>
              </w:rPr>
            </w:pPr>
            <w:r w:rsidRPr="002E7654">
              <w:rPr>
                <w:sz w:val="20"/>
                <w:szCs w:val="20"/>
              </w:rPr>
              <w:t xml:space="preserve">Planning Practice Guidance: Open space, sports and recreational facilities, public rights of ways and local green space as of </w:t>
            </w:r>
            <w:r w:rsidR="00B40389" w:rsidRPr="002E7654">
              <w:rPr>
                <w:sz w:val="20"/>
                <w:szCs w:val="20"/>
              </w:rPr>
              <w:t>March 2014</w:t>
            </w:r>
            <w:r w:rsidRPr="002E7654">
              <w:rPr>
                <w:sz w:val="20"/>
                <w:szCs w:val="20"/>
              </w:rPr>
              <w:t>.</w:t>
            </w:r>
          </w:p>
        </w:tc>
      </w:tr>
    </w:tbl>
    <w:p w14:paraId="7FD3DAF3" w14:textId="16AEF827" w:rsidR="007C6CA4" w:rsidRDefault="007C6CA4" w:rsidP="007C6CA4">
      <w:pPr>
        <w:keepNext w:val="0"/>
        <w:autoSpaceDE w:val="0"/>
        <w:autoSpaceDN w:val="0"/>
        <w:adjustRightInd w:val="0"/>
        <w:spacing w:before="0"/>
        <w:rPr>
          <w:rFonts w:eastAsia="Arial" w:cs="Arial"/>
          <w:spacing w:val="-1"/>
        </w:rPr>
      </w:pPr>
    </w:p>
    <w:p w14:paraId="44DADF1C" w14:textId="2A656E35" w:rsidR="007C6CA4" w:rsidRPr="007C6CA4" w:rsidRDefault="00676383" w:rsidP="007C6CA4">
      <w:pPr>
        <w:keepNext w:val="0"/>
        <w:autoSpaceDE w:val="0"/>
        <w:autoSpaceDN w:val="0"/>
        <w:adjustRightInd w:val="0"/>
        <w:spacing w:before="0"/>
        <w:ind w:left="720"/>
        <w:rPr>
          <w:rFonts w:eastAsia="Arial" w:cs="Arial"/>
          <w:b/>
          <w:bCs/>
          <w:spacing w:val="-1"/>
        </w:rPr>
      </w:pPr>
      <w:r>
        <w:rPr>
          <w:rFonts w:eastAsia="Arial" w:cs="Arial"/>
          <w:b/>
          <w:bCs/>
          <w:spacing w:val="-1"/>
        </w:rPr>
        <w:t xml:space="preserve">  </w:t>
      </w:r>
      <w:r w:rsidR="007C6CA4" w:rsidRPr="007C6CA4">
        <w:rPr>
          <w:rFonts w:eastAsia="Arial" w:cs="Arial"/>
          <w:b/>
          <w:bCs/>
          <w:spacing w:val="-1"/>
        </w:rPr>
        <w:t>Allotment provision</w:t>
      </w:r>
    </w:p>
    <w:p w14:paraId="6EC98AA6" w14:textId="4E8C84DF" w:rsidR="009549D3" w:rsidRPr="007C6CA4" w:rsidRDefault="009549D3"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7C6CA4">
        <w:rPr>
          <w:rFonts w:eastAsia="Arial" w:cs="Arial"/>
          <w:spacing w:val="-1"/>
        </w:rPr>
        <w:t xml:space="preserve">Allotments are an important component of open space and offer a diverse range of benefits for people, communities and the environment. An allotment provides opportunities for people to grow their own </w:t>
      </w:r>
      <w:r w:rsidR="009D1815" w:rsidRPr="007C6CA4">
        <w:rPr>
          <w:rFonts w:eastAsia="Arial" w:cs="Arial"/>
          <w:spacing w:val="-1"/>
        </w:rPr>
        <w:t>produce and</w:t>
      </w:r>
      <w:r w:rsidRPr="007C6CA4">
        <w:rPr>
          <w:rFonts w:eastAsia="Arial" w:cs="Arial"/>
          <w:spacing w:val="-1"/>
        </w:rPr>
        <w:t xml:space="preserve"> enjoy a healthier lifestyle and diet. It also offers the opportunity for community </w:t>
      </w:r>
      <w:proofErr w:type="gramStart"/>
      <w:r w:rsidRPr="007C6CA4">
        <w:rPr>
          <w:rFonts w:eastAsia="Arial" w:cs="Arial"/>
          <w:spacing w:val="-1"/>
        </w:rPr>
        <w:t>interaction,</w:t>
      </w:r>
      <w:proofErr w:type="gramEnd"/>
      <w:r w:rsidRPr="007C6CA4">
        <w:rPr>
          <w:rFonts w:eastAsia="Arial" w:cs="Arial"/>
          <w:spacing w:val="-1"/>
        </w:rPr>
        <w:t xml:space="preserve"> they are socially inclusive and provides environmental benefits through green space and wildlife habitats.    </w:t>
      </w:r>
    </w:p>
    <w:p w14:paraId="44D8F35F" w14:textId="77777777" w:rsidR="009549D3" w:rsidRPr="009549D3" w:rsidRDefault="009549D3" w:rsidP="00C66622">
      <w:pPr>
        <w:keepNext w:val="0"/>
        <w:tabs>
          <w:tab w:val="num" w:pos="851"/>
        </w:tabs>
        <w:autoSpaceDE w:val="0"/>
        <w:autoSpaceDN w:val="0"/>
        <w:adjustRightInd w:val="0"/>
        <w:spacing w:before="0"/>
        <w:ind w:left="851" w:hanging="851"/>
        <w:rPr>
          <w:rFonts w:eastAsia="Arial" w:cs="Arial"/>
          <w:spacing w:val="-1"/>
        </w:rPr>
      </w:pPr>
    </w:p>
    <w:p w14:paraId="51FD6119" w14:textId="417BFB11" w:rsidR="009549D3" w:rsidRPr="009549D3" w:rsidRDefault="000540B6"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Pr>
          <w:rFonts w:eastAsia="Arial" w:cs="Arial"/>
          <w:spacing w:val="-1"/>
        </w:rPr>
        <w:t xml:space="preserve">With </w:t>
      </w:r>
      <w:r w:rsidR="009549D3" w:rsidRPr="009549D3">
        <w:rPr>
          <w:rFonts w:eastAsia="Arial" w:cs="Arial"/>
          <w:spacing w:val="-1"/>
        </w:rPr>
        <w:t>the District’s population is set to grow over the next fifteen years</w:t>
      </w:r>
      <w:r>
        <w:rPr>
          <w:rFonts w:eastAsia="Arial" w:cs="Arial"/>
          <w:spacing w:val="-1"/>
        </w:rPr>
        <w:t xml:space="preserve">, </w:t>
      </w:r>
      <w:r w:rsidR="009549D3" w:rsidRPr="009549D3">
        <w:rPr>
          <w:rFonts w:eastAsia="Arial" w:cs="Arial"/>
          <w:spacing w:val="-1"/>
        </w:rPr>
        <w:t>it is vital to ensure sufficient allotment gardens are available for the increasing population. Where appropriate, new residential development should facilitate opportunities for local food growing and for major residential development this may include the provisions of new or expanded allotments.</w:t>
      </w:r>
    </w:p>
    <w:p w14:paraId="0082D0E8" w14:textId="77777777" w:rsidR="009549D3" w:rsidRPr="009549D3" w:rsidRDefault="009549D3" w:rsidP="00C66622">
      <w:pPr>
        <w:keepNext w:val="0"/>
        <w:tabs>
          <w:tab w:val="num" w:pos="851"/>
        </w:tabs>
        <w:autoSpaceDE w:val="0"/>
        <w:autoSpaceDN w:val="0"/>
        <w:adjustRightInd w:val="0"/>
        <w:spacing w:before="0"/>
        <w:ind w:left="851" w:hanging="851"/>
        <w:rPr>
          <w:rFonts w:eastAsia="Arial" w:cs="Arial"/>
          <w:spacing w:val="-1"/>
        </w:rPr>
      </w:pPr>
    </w:p>
    <w:p w14:paraId="3594F912" w14:textId="4406EE5E" w:rsidR="009549D3" w:rsidRPr="009549D3" w:rsidRDefault="009549D3"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9549D3">
        <w:rPr>
          <w:rFonts w:eastAsia="Arial" w:cs="Arial"/>
          <w:spacing w:val="-1"/>
        </w:rPr>
        <w:t xml:space="preserve">The requirements for allotments as part of any major residential development proposals will be assessed in relation to local provision and the potential demand created by the residential development. </w:t>
      </w:r>
      <w:bookmarkStart w:id="183" w:name="_Hlk79067474"/>
      <w:r w:rsidRPr="009549D3">
        <w:rPr>
          <w:rFonts w:eastAsia="Arial" w:cs="Arial"/>
          <w:spacing w:val="-1"/>
        </w:rPr>
        <w:t xml:space="preserve">Information on demand is </w:t>
      </w:r>
      <w:r w:rsidRPr="007B2BCE">
        <w:rPr>
          <w:rFonts w:eastAsia="Arial" w:cs="Arial"/>
          <w:spacing w:val="-1"/>
        </w:rPr>
        <w:t>set out in the Council’s Allotment Survey Technical Paper</w:t>
      </w:r>
      <w:bookmarkEnd w:id="183"/>
      <w:r w:rsidRPr="007B2BCE">
        <w:rPr>
          <w:rFonts w:eastAsia="Arial" w:cs="Arial"/>
          <w:spacing w:val="-1"/>
        </w:rPr>
        <w:t>.</w:t>
      </w:r>
      <w:r w:rsidRPr="009549D3">
        <w:rPr>
          <w:rFonts w:eastAsia="Arial" w:cs="Arial"/>
          <w:spacing w:val="-1"/>
        </w:rPr>
        <w:t xml:space="preserve"> The National Society of Allotments and Leisure Gardens recommend a standard plot size of 250 sq. metres and 20 allotments per 1,000 households (i.e. 1 </w:t>
      </w:r>
      <w:r w:rsidR="009D1815" w:rsidRPr="009549D3">
        <w:rPr>
          <w:rFonts w:eastAsia="Arial" w:cs="Arial"/>
          <w:spacing w:val="-1"/>
        </w:rPr>
        <w:t>allotment</w:t>
      </w:r>
      <w:r w:rsidRPr="009549D3">
        <w:rPr>
          <w:rFonts w:eastAsia="Arial" w:cs="Arial"/>
          <w:spacing w:val="-1"/>
        </w:rPr>
        <w:t xml:space="preserve"> per 50 households). Based on an average household size of 2.2 this equates to 20 allotments per 2,200 people. This will be utilised as a basis to agree any required provision of allotments.</w:t>
      </w:r>
    </w:p>
    <w:p w14:paraId="2F240880" w14:textId="77777777" w:rsidR="009549D3" w:rsidRPr="009549D3" w:rsidRDefault="009549D3" w:rsidP="00C66622">
      <w:pPr>
        <w:keepNext w:val="0"/>
        <w:tabs>
          <w:tab w:val="num" w:pos="851"/>
        </w:tabs>
        <w:autoSpaceDE w:val="0"/>
        <w:autoSpaceDN w:val="0"/>
        <w:adjustRightInd w:val="0"/>
        <w:spacing w:before="0"/>
        <w:ind w:left="851" w:hanging="851"/>
        <w:rPr>
          <w:rFonts w:eastAsia="Arial" w:cs="Arial"/>
          <w:spacing w:val="-1"/>
        </w:rPr>
      </w:pPr>
    </w:p>
    <w:p w14:paraId="1466D717" w14:textId="31361D5A" w:rsidR="009549D3" w:rsidRPr="009549D3" w:rsidRDefault="009549D3"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9549D3">
        <w:rPr>
          <w:rFonts w:eastAsia="Arial" w:cs="Arial"/>
          <w:spacing w:val="-1"/>
        </w:rPr>
        <w:t xml:space="preserve">Allotment sites are an important component of green space </w:t>
      </w:r>
      <w:r w:rsidR="009D1815" w:rsidRPr="009549D3">
        <w:rPr>
          <w:rFonts w:eastAsia="Arial" w:cs="Arial"/>
          <w:spacing w:val="-1"/>
        </w:rPr>
        <w:t>provision and</w:t>
      </w:r>
      <w:r w:rsidRPr="009549D3">
        <w:rPr>
          <w:rFonts w:eastAsia="Arial" w:cs="Arial"/>
          <w:spacing w:val="-1"/>
        </w:rPr>
        <w:t xml:space="preserve"> can have benefits for biodiversity. The N</w:t>
      </w:r>
      <w:r w:rsidR="004E709C">
        <w:rPr>
          <w:rFonts w:eastAsia="Arial" w:cs="Arial"/>
          <w:spacing w:val="-1"/>
        </w:rPr>
        <w:t>PPF</w:t>
      </w:r>
      <w:r w:rsidRPr="009549D3">
        <w:rPr>
          <w:rFonts w:eastAsia="Arial" w:cs="Arial"/>
          <w:spacing w:val="-1"/>
        </w:rPr>
        <w:t xml:space="preserve"> stresses the important contribution that open space makes towards the health and wellbeing of local communities. It identifies that open space should not be built on except in specific circumstances. This is reflected in the </w:t>
      </w:r>
      <w:r w:rsidR="004E709C">
        <w:rPr>
          <w:rFonts w:eastAsia="Arial" w:cs="Arial"/>
          <w:spacing w:val="-1"/>
        </w:rPr>
        <w:t>p</w:t>
      </w:r>
      <w:r w:rsidRPr="009549D3">
        <w:rPr>
          <w:rFonts w:eastAsia="Arial" w:cs="Arial"/>
          <w:spacing w:val="-1"/>
        </w:rPr>
        <w:t xml:space="preserve">olicy, which stresses that the loss of allotment land will only be permitted where it can be clearly demonstrated that there is no longer a demand for </w:t>
      </w:r>
      <w:r w:rsidRPr="009549D3">
        <w:rPr>
          <w:rFonts w:eastAsia="Arial" w:cs="Arial"/>
          <w:spacing w:val="-1"/>
        </w:rPr>
        <w:lastRenderedPageBreak/>
        <w:t>allotments in the locality and it does not have a detrimental impact on the provision of green space or biodiversity in the locality.</w:t>
      </w:r>
    </w:p>
    <w:p w14:paraId="485656DC" w14:textId="77777777" w:rsidR="009549D3" w:rsidRPr="009549D3" w:rsidRDefault="009549D3" w:rsidP="00C66622">
      <w:pPr>
        <w:keepNext w:val="0"/>
        <w:tabs>
          <w:tab w:val="num" w:pos="851"/>
        </w:tabs>
        <w:autoSpaceDE w:val="0"/>
        <w:autoSpaceDN w:val="0"/>
        <w:adjustRightInd w:val="0"/>
        <w:spacing w:before="0"/>
        <w:ind w:left="851" w:hanging="851"/>
        <w:rPr>
          <w:rFonts w:eastAsia="Arial" w:cs="Arial"/>
          <w:spacing w:val="-1"/>
        </w:rPr>
      </w:pPr>
    </w:p>
    <w:p w14:paraId="334F1708" w14:textId="1EE90545" w:rsidR="009549D3" w:rsidRPr="009549D3" w:rsidRDefault="009549D3"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9549D3">
        <w:rPr>
          <w:rFonts w:eastAsia="Arial" w:cs="Arial"/>
          <w:spacing w:val="-1"/>
        </w:rPr>
        <w:t>In exceptional circumstances, the development of an allotment site may be permitted, even where there is a demand for the allotments, provided it can be demonstrated that there are overriding sustainability benefits from the proposed development. Under these circumstances, the developer will be required to provide an alternative suitable site for allotments to serve the local community. In this context, an alternative site must be of a similar amount of land with similar or improved facilities (such as a water supply) the soils are of a similar or improved fertility, the site is readily accessible by foot, bicycle and car to the residential area the existing allotment site serves and, where appropriate, provides adequate parking within or adjacent to the site.</w:t>
      </w:r>
    </w:p>
    <w:p w14:paraId="7C3350F7" w14:textId="77777777" w:rsidR="009549D3" w:rsidRPr="009549D3" w:rsidRDefault="009549D3" w:rsidP="009549D3">
      <w:pPr>
        <w:keepNext w:val="0"/>
        <w:autoSpaceDE w:val="0"/>
        <w:autoSpaceDN w:val="0"/>
        <w:adjustRightInd w:val="0"/>
        <w:spacing w:before="0"/>
        <w:ind w:left="525"/>
        <w:rPr>
          <w:rFonts w:eastAsia="Arial" w:cs="Arial"/>
          <w:spacing w:val="-1"/>
        </w:rPr>
      </w:pPr>
    </w:p>
    <w:p w14:paraId="57B6035F" w14:textId="56D7C5D8" w:rsidR="009549D3" w:rsidRPr="009549D3" w:rsidRDefault="00676383" w:rsidP="00676383">
      <w:pPr>
        <w:keepNext w:val="0"/>
        <w:autoSpaceDE w:val="0"/>
        <w:autoSpaceDN w:val="0"/>
        <w:adjustRightInd w:val="0"/>
        <w:spacing w:before="0"/>
        <w:ind w:left="525" w:firstLine="195"/>
        <w:rPr>
          <w:rFonts w:eastAsia="Arial" w:cs="Arial"/>
          <w:b/>
          <w:bCs/>
          <w:spacing w:val="-1"/>
        </w:rPr>
      </w:pPr>
      <w:r>
        <w:rPr>
          <w:rFonts w:eastAsia="Arial" w:cs="Arial"/>
          <w:b/>
          <w:bCs/>
          <w:spacing w:val="-1"/>
        </w:rPr>
        <w:t xml:space="preserve">  </w:t>
      </w:r>
      <w:r w:rsidR="009549D3" w:rsidRPr="009549D3">
        <w:rPr>
          <w:rFonts w:eastAsia="Arial" w:cs="Arial"/>
          <w:b/>
          <w:bCs/>
          <w:spacing w:val="-1"/>
        </w:rPr>
        <w:t>Private allotments</w:t>
      </w:r>
    </w:p>
    <w:p w14:paraId="1B14C952" w14:textId="32E7F1A2" w:rsidR="006D4F49" w:rsidRPr="006D4F49" w:rsidRDefault="009549D3" w:rsidP="006D4F49">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9549D3">
        <w:rPr>
          <w:rFonts w:eastAsia="Arial" w:cs="Arial"/>
          <w:spacing w:val="-1"/>
        </w:rPr>
        <w:t>The Parliament Select Committee Reports on the provision of allotments have identified that there can be problems with blight on some private allotments. The actual loss of a site is only the final step in a complex and often lengthy process. Prior to the change of use, there will often have been many months or years of uncertainty about the future of the site. Constant rumours and repeated planning applications for development of a site impact upon the morale of the allotment holders and, ultimately, increase the number of untended plots. The approach of non-maintenance and running down of allotments will not provide evidence of a lack of demand for allotments in the locality.</w:t>
      </w:r>
    </w:p>
    <w:p w14:paraId="757BC68A" w14:textId="64602C82" w:rsidR="00263F59" w:rsidRDefault="00263F59" w:rsidP="00263F59">
      <w:pPr>
        <w:keepNext w:val="0"/>
        <w:autoSpaceDE w:val="0"/>
        <w:autoSpaceDN w:val="0"/>
        <w:adjustRightInd w:val="0"/>
        <w:spacing w:before="0"/>
        <w:ind w:left="525"/>
        <w:rPr>
          <w:rFonts w:eastAsia="Arial" w:cs="Arial"/>
          <w:spacing w:val="-1"/>
        </w:rPr>
      </w:pPr>
    </w:p>
    <w:p w14:paraId="58985EED" w14:textId="7403536F" w:rsidR="000540B6" w:rsidRDefault="000540B6">
      <w:pPr>
        <w:keepNext w:val="0"/>
        <w:spacing w:before="0"/>
        <w:rPr>
          <w:rFonts w:eastAsia="Arial" w:cs="Arial"/>
          <w:spacing w:val="-1"/>
        </w:rPr>
      </w:pPr>
      <w:r>
        <w:rPr>
          <w:rFonts w:eastAsia="Arial" w:cs="Arial"/>
          <w:spacing w:val="-1"/>
        </w:rPr>
        <w:br w:type="page"/>
      </w:r>
    </w:p>
    <w:p w14:paraId="4046DDC0" w14:textId="023B24ED" w:rsidR="00CA1587" w:rsidRPr="00995322" w:rsidRDefault="006977E7" w:rsidP="00995322">
      <w:pPr>
        <w:pStyle w:val="Heading2"/>
        <w:jc w:val="left"/>
        <w:rPr>
          <w:rFonts w:eastAsia="Arial"/>
          <w:sz w:val="28"/>
          <w:szCs w:val="28"/>
        </w:rPr>
      </w:pPr>
      <w:bookmarkStart w:id="184" w:name="_Toc500408761"/>
      <w:bookmarkStart w:id="185" w:name="_Toc145511582"/>
      <w:r w:rsidRPr="00995322">
        <w:rPr>
          <w:rFonts w:eastAsia="Arial"/>
          <w:sz w:val="28"/>
          <w:szCs w:val="28"/>
        </w:rPr>
        <w:lastRenderedPageBreak/>
        <w:t xml:space="preserve">Policy </w:t>
      </w:r>
      <w:r w:rsidR="00CA1587" w:rsidRPr="00995322">
        <w:rPr>
          <w:rFonts w:eastAsia="Arial"/>
          <w:sz w:val="28"/>
          <w:szCs w:val="28"/>
        </w:rPr>
        <w:t>EV8: Agricultural Land Quality</w:t>
      </w:r>
      <w:bookmarkEnd w:id="184"/>
      <w:bookmarkEnd w:id="185"/>
    </w:p>
    <w:p w14:paraId="591DE7F9" w14:textId="77777777" w:rsidR="009549D3" w:rsidRDefault="009549D3" w:rsidP="00263F59">
      <w:pPr>
        <w:keepNext w:val="0"/>
        <w:autoSpaceDE w:val="0"/>
        <w:autoSpaceDN w:val="0"/>
        <w:adjustRightInd w:val="0"/>
        <w:spacing w:before="0"/>
        <w:ind w:left="525"/>
        <w:rPr>
          <w:rFonts w:eastAsia="Arial" w:cs="Arial"/>
          <w:spacing w:val="-1"/>
        </w:rPr>
      </w:pPr>
    </w:p>
    <w:p w14:paraId="4EB84C49" w14:textId="5DE87562" w:rsidR="009549D3"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This policy is intended to protect the best and most versatile agricultural land – Grade 1, 2 and 3a (There is no Grade 1 </w:t>
      </w:r>
      <w:r w:rsidR="004F11C2">
        <w:rPr>
          <w:rFonts w:eastAsia="Arial" w:cs="Arial"/>
          <w:spacing w:val="-1"/>
        </w:rPr>
        <w:t xml:space="preserve">agricultural </w:t>
      </w:r>
      <w:r w:rsidRPr="00CA1587">
        <w:rPr>
          <w:rFonts w:eastAsia="Arial" w:cs="Arial"/>
          <w:spacing w:val="-1"/>
        </w:rPr>
        <w:t>land in Ashfield).</w:t>
      </w:r>
    </w:p>
    <w:p w14:paraId="3E8FBB17" w14:textId="77777777" w:rsidR="00CA1587" w:rsidRPr="00B20356" w:rsidRDefault="00CA1587" w:rsidP="00CA1587">
      <w:pPr>
        <w:rPr>
          <w:rFonts w:eastAsia="Arial" w:cs="Arial"/>
        </w:rPr>
      </w:pPr>
    </w:p>
    <w:tbl>
      <w:tblPr>
        <w:tblStyle w:val="ReportTable1"/>
        <w:tblW w:w="0" w:type="auto"/>
        <w:tblLook w:val="04A0" w:firstRow="1" w:lastRow="0" w:firstColumn="1" w:lastColumn="0" w:noHBand="0" w:noVBand="1"/>
      </w:tblPr>
      <w:tblGrid>
        <w:gridCol w:w="2660"/>
        <w:gridCol w:w="170"/>
        <w:gridCol w:w="6663"/>
      </w:tblGrid>
      <w:tr w:rsidR="00CA1587" w:rsidRPr="00B20356" w14:paraId="1A59540C" w14:textId="77777777" w:rsidTr="001770A9">
        <w:trPr>
          <w:trHeight w:val="421"/>
        </w:trPr>
        <w:tc>
          <w:tcPr>
            <w:tcW w:w="9493" w:type="dxa"/>
            <w:gridSpan w:val="3"/>
          </w:tcPr>
          <w:p w14:paraId="35EBADF7" w14:textId="77777777" w:rsidR="007C6CA4" w:rsidRDefault="007C6CA4" w:rsidP="007C6CA4">
            <w:pPr>
              <w:tabs>
                <w:tab w:val="left" w:pos="680"/>
              </w:tabs>
              <w:spacing w:before="0"/>
              <w:rPr>
                <w:rFonts w:eastAsia="Arial"/>
                <w:b/>
                <w:color w:val="auto"/>
                <w:spacing w:val="-1"/>
              </w:rPr>
            </w:pPr>
          </w:p>
          <w:p w14:paraId="4993C0E5" w14:textId="0905932C" w:rsidR="00CA1587" w:rsidRDefault="00CA1587" w:rsidP="007C6CA4">
            <w:pPr>
              <w:tabs>
                <w:tab w:val="left" w:pos="680"/>
              </w:tabs>
              <w:spacing w:before="0"/>
              <w:rPr>
                <w:rFonts w:eastAsia="Arial"/>
                <w:b/>
                <w:color w:val="auto"/>
                <w:spacing w:val="-1"/>
              </w:rPr>
            </w:pPr>
            <w:r w:rsidRPr="007C6CA4">
              <w:rPr>
                <w:rFonts w:eastAsia="Arial"/>
                <w:b/>
                <w:color w:val="auto"/>
                <w:spacing w:val="-1"/>
              </w:rPr>
              <w:t>Policy EV8: Agricultural Land Quality</w:t>
            </w:r>
          </w:p>
          <w:p w14:paraId="2B092EE8" w14:textId="3D0A2755" w:rsidR="007C6CA4" w:rsidRPr="00B20356" w:rsidRDefault="007C6CA4" w:rsidP="007C6CA4">
            <w:pPr>
              <w:tabs>
                <w:tab w:val="left" w:pos="680"/>
              </w:tabs>
              <w:spacing w:before="0"/>
              <w:rPr>
                <w:rFonts w:eastAsia="Arial"/>
                <w:b/>
                <w:spacing w:val="-1"/>
              </w:rPr>
            </w:pPr>
          </w:p>
        </w:tc>
      </w:tr>
      <w:tr w:rsidR="00CA1587" w:rsidRPr="00B20356" w14:paraId="69E4C800" w14:textId="77777777" w:rsidTr="001770A9">
        <w:tc>
          <w:tcPr>
            <w:tcW w:w="2660" w:type="dxa"/>
          </w:tcPr>
          <w:p w14:paraId="6FFA1B0F" w14:textId="77777777" w:rsidR="00CA1587" w:rsidRPr="007C6CA4" w:rsidRDefault="00CA1587" w:rsidP="0046498A">
            <w:pPr>
              <w:tabs>
                <w:tab w:val="left" w:pos="680"/>
              </w:tabs>
              <w:rPr>
                <w:rFonts w:eastAsia="Arial"/>
                <w:bCs/>
              </w:rPr>
            </w:pPr>
            <w:r w:rsidRPr="007C6CA4">
              <w:rPr>
                <w:rFonts w:eastAsia="Arial"/>
                <w:bCs/>
              </w:rPr>
              <w:t>Strategic Objectives</w:t>
            </w:r>
          </w:p>
        </w:tc>
        <w:tc>
          <w:tcPr>
            <w:tcW w:w="6833" w:type="dxa"/>
            <w:gridSpan w:val="2"/>
          </w:tcPr>
          <w:p w14:paraId="68ED1252" w14:textId="77777777" w:rsidR="00CA1587" w:rsidRPr="007C6CA4" w:rsidRDefault="00CA1587" w:rsidP="0046498A">
            <w:pPr>
              <w:tabs>
                <w:tab w:val="left" w:pos="680"/>
              </w:tabs>
              <w:spacing w:before="40" w:after="40"/>
              <w:rPr>
                <w:rFonts w:eastAsia="Arial"/>
                <w:bCs/>
              </w:rPr>
            </w:pPr>
            <w:r w:rsidRPr="007C6CA4">
              <w:rPr>
                <w:rFonts w:eastAsia="Arial"/>
                <w:bCs/>
              </w:rPr>
              <w:t>SO1, SO13, SO14.</w:t>
            </w:r>
          </w:p>
        </w:tc>
      </w:tr>
      <w:tr w:rsidR="00CA1587" w:rsidRPr="00B20356" w14:paraId="4FA9F806" w14:textId="77777777" w:rsidTr="001770A9">
        <w:tc>
          <w:tcPr>
            <w:tcW w:w="9493" w:type="dxa"/>
            <w:gridSpan w:val="3"/>
            <w:shd w:val="clear" w:color="auto" w:fill="E2EFD9"/>
          </w:tcPr>
          <w:p w14:paraId="1F8156CD" w14:textId="1276988C" w:rsidR="00CA1587" w:rsidRPr="00CA1587" w:rsidRDefault="00CA1587" w:rsidP="0046498A">
            <w:pPr>
              <w:tabs>
                <w:tab w:val="left" w:pos="680"/>
                <w:tab w:val="left" w:pos="1133"/>
                <w:tab w:val="left" w:pos="2267"/>
              </w:tabs>
              <w:ind w:right="284"/>
              <w:rPr>
                <w:rFonts w:eastAsia="Arial"/>
                <w:bCs/>
              </w:rPr>
            </w:pPr>
            <w:r w:rsidRPr="00CA1587">
              <w:rPr>
                <w:rFonts w:eastAsia="Arial"/>
                <w:bCs/>
                <w:iCs/>
                <w:szCs w:val="24"/>
              </w:rPr>
              <w:t>A</w:t>
            </w:r>
            <w:r w:rsidRPr="00CA1587">
              <w:rPr>
                <w:rFonts w:eastAsia="Arial" w:cs="Arial"/>
                <w:bCs/>
                <w:iCs/>
                <w:szCs w:val="24"/>
              </w:rPr>
              <w:t>gricultural land of grades 1, 2 and 3a of the</w:t>
            </w:r>
            <w:r w:rsidRPr="00CA1587">
              <w:rPr>
                <w:rFonts w:eastAsia="Arial"/>
                <w:bCs/>
                <w:iCs/>
                <w:szCs w:val="24"/>
              </w:rPr>
              <w:t xml:space="preserve"> </w:t>
            </w:r>
            <w:r w:rsidRPr="00CA1587">
              <w:rPr>
                <w:rFonts w:eastAsia="Arial" w:cs="Arial"/>
                <w:bCs/>
                <w:iCs/>
                <w:szCs w:val="24"/>
              </w:rPr>
              <w:t>Department for Environment, Food and Rural Affairs (DEFRA) Agricultural</w:t>
            </w:r>
            <w:r w:rsidRPr="00CA1587">
              <w:rPr>
                <w:rFonts w:eastAsia="Arial"/>
                <w:bCs/>
                <w:iCs/>
                <w:szCs w:val="24"/>
              </w:rPr>
              <w:t xml:space="preserve"> </w:t>
            </w:r>
            <w:r w:rsidRPr="00CA1587">
              <w:rPr>
                <w:rFonts w:eastAsia="Arial" w:cs="Arial"/>
                <w:bCs/>
                <w:iCs/>
                <w:szCs w:val="24"/>
              </w:rPr>
              <w:t xml:space="preserve">Land Classification is the best and most versatile agricultural </w:t>
            </w:r>
            <w:r w:rsidR="009D1815" w:rsidRPr="00CA1587">
              <w:rPr>
                <w:rFonts w:eastAsia="Arial" w:cs="Arial"/>
                <w:bCs/>
                <w:iCs/>
                <w:szCs w:val="24"/>
              </w:rPr>
              <w:t>land and</w:t>
            </w:r>
            <w:r w:rsidRPr="00CA1587">
              <w:rPr>
                <w:rFonts w:eastAsia="Arial" w:cs="Arial"/>
                <w:bCs/>
                <w:iCs/>
                <w:szCs w:val="24"/>
              </w:rPr>
              <w:t xml:space="preserve"> should be</w:t>
            </w:r>
            <w:r w:rsidRPr="00CA1587">
              <w:rPr>
                <w:rFonts w:eastAsia="Arial"/>
                <w:bCs/>
                <w:iCs/>
                <w:szCs w:val="24"/>
              </w:rPr>
              <w:t xml:space="preserve"> </w:t>
            </w:r>
            <w:r w:rsidRPr="00CA1587">
              <w:rPr>
                <w:rFonts w:eastAsia="Arial" w:cs="Arial"/>
                <w:bCs/>
                <w:iCs/>
                <w:szCs w:val="24"/>
              </w:rPr>
              <w:t>conserved as a finite resource for the future.</w:t>
            </w:r>
            <w:r w:rsidRPr="00CA1587">
              <w:rPr>
                <w:rFonts w:eastAsia="Arial"/>
                <w:bCs/>
                <w:szCs w:val="24"/>
              </w:rPr>
              <w:t xml:space="preserve"> </w:t>
            </w:r>
            <w:r w:rsidRPr="00CA1587">
              <w:rPr>
                <w:rFonts w:eastAsia="Arial"/>
                <w:bCs/>
              </w:rPr>
              <w:t>Development on the best and most versatile agricultural land will only be permitted if it can be demonstrated that there is an overriding sustainability benefit from the development and there are no realistic opportunities for accommodating the development elsewhere.</w:t>
            </w:r>
          </w:p>
          <w:p w14:paraId="3FEBAF1E" w14:textId="77777777" w:rsidR="00CA1587" w:rsidRPr="00B20356" w:rsidRDefault="00CA1587" w:rsidP="0046498A">
            <w:pPr>
              <w:tabs>
                <w:tab w:val="left" w:pos="680"/>
                <w:tab w:val="left" w:pos="1133"/>
                <w:tab w:val="left" w:pos="2267"/>
              </w:tabs>
              <w:ind w:right="284"/>
              <w:rPr>
                <w:rFonts w:eastAsia="Arial"/>
                <w:color w:val="538135"/>
                <w:szCs w:val="24"/>
              </w:rPr>
            </w:pPr>
          </w:p>
        </w:tc>
      </w:tr>
      <w:tr w:rsidR="000A1A0B" w:rsidRPr="00B20356" w14:paraId="7FC2DBA1" w14:textId="77777777" w:rsidTr="001770A9">
        <w:tc>
          <w:tcPr>
            <w:tcW w:w="2830" w:type="dxa"/>
            <w:gridSpan w:val="2"/>
          </w:tcPr>
          <w:p w14:paraId="6A54DF8B" w14:textId="679E1816" w:rsidR="000A1A0B" w:rsidRPr="00F86477" w:rsidRDefault="000A1A0B" w:rsidP="000032A9">
            <w:pPr>
              <w:tabs>
                <w:tab w:val="left" w:pos="680"/>
                <w:tab w:val="left" w:pos="1133"/>
                <w:tab w:val="left" w:pos="2267"/>
              </w:tabs>
              <w:ind w:right="284"/>
              <w:rPr>
                <w:rFonts w:eastAsia="Arial"/>
                <w:b/>
                <w:color w:val="538135"/>
                <w:szCs w:val="24"/>
              </w:rPr>
            </w:pPr>
            <w:r w:rsidRPr="00F86477">
              <w:rPr>
                <w:rFonts w:eastAsia="Arial" w:cs="Arial"/>
                <w:bCs/>
                <w:sz w:val="20"/>
              </w:rPr>
              <w:t>Evidence base</w:t>
            </w:r>
          </w:p>
        </w:tc>
        <w:tc>
          <w:tcPr>
            <w:tcW w:w="6663" w:type="dxa"/>
          </w:tcPr>
          <w:p w14:paraId="5510C783" w14:textId="52205343" w:rsidR="000A1A0B" w:rsidRPr="00F86477" w:rsidRDefault="000A1A0B" w:rsidP="00874A98">
            <w:pPr>
              <w:keepNext w:val="0"/>
              <w:numPr>
                <w:ilvl w:val="0"/>
                <w:numId w:val="61"/>
              </w:numPr>
              <w:spacing w:before="0"/>
              <w:contextualSpacing/>
              <w:rPr>
                <w:rFonts w:cs="Arial"/>
                <w:sz w:val="20"/>
              </w:rPr>
            </w:pPr>
            <w:r w:rsidRPr="00F86477">
              <w:rPr>
                <w:rFonts w:cs="Arial"/>
                <w:sz w:val="20"/>
              </w:rPr>
              <w:t>Sustainability Appraisal</w:t>
            </w:r>
            <w:r w:rsidRPr="002E7654">
              <w:rPr>
                <w:rFonts w:cs="Arial"/>
                <w:sz w:val="20"/>
              </w:rPr>
              <w:t>, 202</w:t>
            </w:r>
            <w:r w:rsidR="00B40389" w:rsidRPr="002E7654">
              <w:rPr>
                <w:rFonts w:cs="Arial"/>
                <w:sz w:val="20"/>
              </w:rPr>
              <w:t>3</w:t>
            </w:r>
            <w:r w:rsidRPr="002E7654">
              <w:rPr>
                <w:rFonts w:cs="Arial"/>
                <w:sz w:val="20"/>
              </w:rPr>
              <w:t>.</w:t>
            </w:r>
            <w:r w:rsidR="00B40389" w:rsidRPr="002E7654">
              <w:rPr>
                <w:rFonts w:cs="Arial"/>
                <w:sz w:val="20"/>
              </w:rPr>
              <w:t xml:space="preserve"> WSP UK Limited</w:t>
            </w:r>
            <w:r w:rsidRPr="002E7654">
              <w:rPr>
                <w:rFonts w:cs="Arial"/>
                <w:sz w:val="20"/>
              </w:rPr>
              <w:t>.</w:t>
            </w:r>
          </w:p>
        </w:tc>
      </w:tr>
      <w:tr w:rsidR="000A1A0B" w:rsidRPr="00B20356" w14:paraId="5A0A9513" w14:textId="77777777" w:rsidTr="001770A9">
        <w:tc>
          <w:tcPr>
            <w:tcW w:w="2830" w:type="dxa"/>
            <w:gridSpan w:val="2"/>
          </w:tcPr>
          <w:p w14:paraId="7170B708" w14:textId="5A61F532" w:rsidR="000A1A0B" w:rsidRPr="00F86477" w:rsidRDefault="000A1A0B" w:rsidP="000032A9">
            <w:pPr>
              <w:tabs>
                <w:tab w:val="left" w:pos="680"/>
                <w:tab w:val="left" w:pos="1133"/>
                <w:tab w:val="left" w:pos="2267"/>
              </w:tabs>
              <w:ind w:right="284"/>
              <w:rPr>
                <w:rFonts w:eastAsia="Arial"/>
                <w:b/>
                <w:sz w:val="22"/>
              </w:rPr>
            </w:pPr>
            <w:r w:rsidRPr="00F86477">
              <w:rPr>
                <w:rFonts w:eastAsia="Arial" w:cs="Arial"/>
                <w:bCs/>
                <w:sz w:val="20"/>
              </w:rPr>
              <w:t>National Planning Policy and Guidance</w:t>
            </w:r>
          </w:p>
        </w:tc>
        <w:tc>
          <w:tcPr>
            <w:tcW w:w="6663" w:type="dxa"/>
          </w:tcPr>
          <w:p w14:paraId="7B0855B4" w14:textId="76B1929D" w:rsidR="000A1A0B" w:rsidRPr="00F86477" w:rsidRDefault="000A1A0B" w:rsidP="00874A98">
            <w:pPr>
              <w:keepNext w:val="0"/>
              <w:numPr>
                <w:ilvl w:val="0"/>
                <w:numId w:val="62"/>
              </w:numPr>
              <w:spacing w:before="0"/>
              <w:ind w:left="328"/>
              <w:contextualSpacing/>
              <w:rPr>
                <w:rFonts w:cs="Arial"/>
                <w:sz w:val="20"/>
              </w:rPr>
            </w:pPr>
            <w:r w:rsidRPr="00F86477">
              <w:rPr>
                <w:rFonts w:cs="Arial"/>
                <w:sz w:val="20"/>
              </w:rPr>
              <w:t>NPPF 202</w:t>
            </w:r>
            <w:r w:rsidR="004173E0">
              <w:rPr>
                <w:rFonts w:cs="Arial"/>
                <w:sz w:val="20"/>
              </w:rPr>
              <w:t>3</w:t>
            </w:r>
            <w:r w:rsidRPr="00F86477">
              <w:rPr>
                <w:rFonts w:cs="Arial"/>
                <w:sz w:val="20"/>
              </w:rPr>
              <w:t>, Part 2: Achieving sustainable development.</w:t>
            </w:r>
          </w:p>
          <w:p w14:paraId="0C2A9E61" w14:textId="17D4CE5D" w:rsidR="000A1A0B" w:rsidRPr="00F86477" w:rsidRDefault="000A1A0B" w:rsidP="00874A98">
            <w:pPr>
              <w:keepNext w:val="0"/>
              <w:numPr>
                <w:ilvl w:val="0"/>
                <w:numId w:val="62"/>
              </w:numPr>
              <w:spacing w:before="0"/>
              <w:ind w:left="328"/>
              <w:contextualSpacing/>
              <w:rPr>
                <w:rFonts w:cs="Arial"/>
                <w:sz w:val="20"/>
              </w:rPr>
            </w:pPr>
            <w:r w:rsidRPr="00F86477">
              <w:rPr>
                <w:rFonts w:cs="Arial"/>
                <w:sz w:val="20"/>
              </w:rPr>
              <w:t>NPPF 202</w:t>
            </w:r>
            <w:r w:rsidR="004173E0">
              <w:rPr>
                <w:rFonts w:cs="Arial"/>
                <w:sz w:val="20"/>
              </w:rPr>
              <w:t>3</w:t>
            </w:r>
            <w:r w:rsidRPr="00F86477">
              <w:rPr>
                <w:rFonts w:cs="Arial"/>
                <w:sz w:val="20"/>
              </w:rPr>
              <w:t>, Part 15: Conserving and enhancing the natural environment.</w:t>
            </w:r>
          </w:p>
        </w:tc>
      </w:tr>
    </w:tbl>
    <w:p w14:paraId="0CBD9793" w14:textId="77777777" w:rsidR="00CA1587" w:rsidRDefault="00CA1587" w:rsidP="006D4F49">
      <w:pPr>
        <w:keepNext w:val="0"/>
        <w:autoSpaceDE w:val="0"/>
        <w:autoSpaceDN w:val="0"/>
        <w:adjustRightInd w:val="0"/>
        <w:spacing w:before="0"/>
        <w:rPr>
          <w:rFonts w:eastAsia="Arial" w:cs="Arial"/>
          <w:spacing w:val="-1"/>
        </w:rPr>
      </w:pPr>
    </w:p>
    <w:p w14:paraId="56E9AA0A" w14:textId="3E0466EB" w:rsidR="00CA1587" w:rsidRPr="00CA1587" w:rsidRDefault="00CA1587" w:rsidP="00C66622">
      <w:pPr>
        <w:keepNext w:val="0"/>
        <w:numPr>
          <w:ilvl w:val="1"/>
          <w:numId w:val="5"/>
        </w:numPr>
        <w:tabs>
          <w:tab w:val="clear" w:pos="525"/>
        </w:tabs>
        <w:autoSpaceDE w:val="0"/>
        <w:autoSpaceDN w:val="0"/>
        <w:adjustRightInd w:val="0"/>
        <w:spacing w:before="0"/>
        <w:ind w:left="851" w:hanging="851"/>
        <w:rPr>
          <w:rFonts w:eastAsia="Arial" w:cs="Arial"/>
          <w:spacing w:val="-1"/>
        </w:rPr>
      </w:pPr>
      <w:r w:rsidRPr="00CA1587">
        <w:rPr>
          <w:rFonts w:eastAsia="Arial" w:cs="Arial"/>
          <w:spacing w:val="-1"/>
        </w:rPr>
        <w:t xml:space="preserve">The global demand for food production is likely to increase in future years and in this context high quality agricultural land is an important resource. Once developed, returning land to viable agriculture is rarely feasible. Consequently, it is important to protect the best and most versatile agricultural land and minimise its loss to development to safeguard this resource for future generations. </w:t>
      </w:r>
    </w:p>
    <w:p w14:paraId="5D2D2DFA" w14:textId="77777777" w:rsidR="00CA1587" w:rsidRPr="00CA1587" w:rsidRDefault="00CA1587" w:rsidP="00C66622">
      <w:pPr>
        <w:keepNext w:val="0"/>
        <w:autoSpaceDE w:val="0"/>
        <w:autoSpaceDN w:val="0"/>
        <w:adjustRightInd w:val="0"/>
        <w:spacing w:before="0"/>
        <w:ind w:left="851" w:hanging="851"/>
        <w:rPr>
          <w:rFonts w:eastAsia="Arial" w:cs="Arial"/>
          <w:spacing w:val="-1"/>
        </w:rPr>
      </w:pPr>
    </w:p>
    <w:p w14:paraId="2949C2B0" w14:textId="698AB3AC" w:rsidR="00CA1587" w:rsidRPr="00CA1587" w:rsidRDefault="00CA1587" w:rsidP="00C66622">
      <w:pPr>
        <w:keepNext w:val="0"/>
        <w:numPr>
          <w:ilvl w:val="1"/>
          <w:numId w:val="5"/>
        </w:numPr>
        <w:tabs>
          <w:tab w:val="clear" w:pos="525"/>
        </w:tabs>
        <w:autoSpaceDE w:val="0"/>
        <w:autoSpaceDN w:val="0"/>
        <w:adjustRightInd w:val="0"/>
        <w:spacing w:before="0"/>
        <w:ind w:left="851" w:hanging="851"/>
        <w:rPr>
          <w:rFonts w:eastAsia="Arial" w:cs="Arial"/>
          <w:spacing w:val="-1"/>
        </w:rPr>
      </w:pPr>
      <w:r w:rsidRPr="00CA1587">
        <w:rPr>
          <w:rFonts w:eastAsia="Arial" w:cs="Arial"/>
          <w:spacing w:val="-1"/>
        </w:rPr>
        <w:t xml:space="preserve">The Agricultural Land Classification system assigns five grades (Grade 3 being subdivided) dependent on climate, site and soil characteristics. The best and most versatile land is classified as Grades 1, 2 and 3a. There is no identified Grade 1 land in Ashfield. Grade 2 land and Grade 3 land is located around Hucknall, to the south and east of Annesley Woodhouse, to the west of Kirkby-in-Ashfield and Sutton-in-Ashfield and to the north of Sutton-in-Ashfield. The location of the </w:t>
      </w:r>
      <w:r w:rsidR="007B2BCE" w:rsidRPr="00CA1587">
        <w:rPr>
          <w:rFonts w:eastAsia="Arial" w:cs="Arial"/>
          <w:spacing w:val="-1"/>
        </w:rPr>
        <w:t>better-quality</w:t>
      </w:r>
      <w:r w:rsidRPr="00CA1587">
        <w:rPr>
          <w:rFonts w:eastAsia="Arial" w:cs="Arial"/>
          <w:spacing w:val="-1"/>
        </w:rPr>
        <w:t xml:space="preserve"> land on the urban fringe means that there may be a requirement for land to be used for other purposes and these issues should form part of the determination of sustainable development through the Local Plan. Land outside these allocations should remain as an important agricultural resource. </w:t>
      </w:r>
    </w:p>
    <w:p w14:paraId="0DBE9EE0" w14:textId="77777777" w:rsidR="00CA1587" w:rsidRPr="00CA1587" w:rsidRDefault="00CA1587" w:rsidP="00C66622">
      <w:pPr>
        <w:keepNext w:val="0"/>
        <w:autoSpaceDE w:val="0"/>
        <w:autoSpaceDN w:val="0"/>
        <w:adjustRightInd w:val="0"/>
        <w:spacing w:before="0"/>
        <w:ind w:left="851" w:hanging="851"/>
        <w:rPr>
          <w:rFonts w:eastAsia="Arial" w:cs="Arial"/>
          <w:spacing w:val="-1"/>
        </w:rPr>
      </w:pPr>
    </w:p>
    <w:p w14:paraId="64E1AF0B" w14:textId="17F7BE18" w:rsidR="00CA1587" w:rsidRPr="00CA1587" w:rsidRDefault="00CA1587" w:rsidP="00C66622">
      <w:pPr>
        <w:keepNext w:val="0"/>
        <w:numPr>
          <w:ilvl w:val="1"/>
          <w:numId w:val="5"/>
        </w:numPr>
        <w:tabs>
          <w:tab w:val="clear" w:pos="525"/>
        </w:tabs>
        <w:autoSpaceDE w:val="0"/>
        <w:autoSpaceDN w:val="0"/>
        <w:adjustRightInd w:val="0"/>
        <w:spacing w:before="0"/>
        <w:ind w:left="851" w:hanging="851"/>
        <w:rPr>
          <w:rFonts w:eastAsia="Arial" w:cs="Arial"/>
          <w:spacing w:val="-1"/>
        </w:rPr>
      </w:pPr>
      <w:r w:rsidRPr="00CA1587">
        <w:rPr>
          <w:rFonts w:eastAsia="Arial" w:cs="Arial"/>
          <w:spacing w:val="-1"/>
        </w:rPr>
        <w:t xml:space="preserve">Land in grades 1, 2 and 3a should only be developed if there is an overriding need for the development and either previously developed land </w:t>
      </w:r>
      <w:r w:rsidR="001C4CFD">
        <w:rPr>
          <w:rFonts w:eastAsia="Arial" w:cs="Arial"/>
          <w:spacing w:val="-1"/>
        </w:rPr>
        <w:t xml:space="preserve">(brownfield) </w:t>
      </w:r>
      <w:r w:rsidRPr="00CA1587">
        <w:rPr>
          <w:rFonts w:eastAsia="Arial" w:cs="Arial"/>
          <w:spacing w:val="-1"/>
        </w:rPr>
        <w:t>or land in lower agricultural grades is unavailable</w:t>
      </w:r>
      <w:r w:rsidR="001C4CFD">
        <w:rPr>
          <w:rFonts w:eastAsia="Arial" w:cs="Arial"/>
          <w:spacing w:val="-1"/>
        </w:rPr>
        <w:t>,</w:t>
      </w:r>
      <w:r w:rsidRPr="00CA1587">
        <w:rPr>
          <w:rFonts w:eastAsia="Arial" w:cs="Arial"/>
          <w:spacing w:val="-1"/>
        </w:rPr>
        <w:t xml:space="preserve"> or </w:t>
      </w:r>
      <w:r w:rsidR="001C4CFD">
        <w:rPr>
          <w:rFonts w:eastAsia="Arial" w:cs="Arial"/>
          <w:spacing w:val="-1"/>
        </w:rPr>
        <w:t xml:space="preserve">if </w:t>
      </w:r>
      <w:r w:rsidRPr="00CA1587">
        <w:rPr>
          <w:rFonts w:eastAsia="Arial" w:cs="Arial"/>
          <w:spacing w:val="-1"/>
        </w:rPr>
        <w:t>available lower grade land has environmental value recognised by a landscape, wildlife, historic or archaeological designation which outweighs the agricultural considerations. If land in grades 1, 2 or 3a does need to be developed, and there is a choice between sites of different grades, development should be directed to land of the lowest grade.</w:t>
      </w:r>
    </w:p>
    <w:p w14:paraId="0B2E562E" w14:textId="3D2EC71A" w:rsidR="00CA1587" w:rsidRPr="006D4F49" w:rsidRDefault="00CA1587" w:rsidP="00011A21">
      <w:pPr>
        <w:keepNext w:val="0"/>
        <w:numPr>
          <w:ilvl w:val="1"/>
          <w:numId w:val="5"/>
        </w:numPr>
        <w:tabs>
          <w:tab w:val="clear" w:pos="525"/>
        </w:tabs>
        <w:autoSpaceDE w:val="0"/>
        <w:autoSpaceDN w:val="0"/>
        <w:adjustRightInd w:val="0"/>
        <w:spacing w:before="0"/>
        <w:ind w:left="851" w:hanging="851"/>
        <w:rPr>
          <w:rFonts w:eastAsia="Arial" w:cs="Arial"/>
          <w:spacing w:val="-1"/>
        </w:rPr>
      </w:pPr>
      <w:r w:rsidRPr="006D4F49">
        <w:rPr>
          <w:rFonts w:eastAsia="Arial" w:cs="Arial"/>
          <w:spacing w:val="-1"/>
        </w:rPr>
        <w:lastRenderedPageBreak/>
        <w:t>Agricultural Land Classification maps are typically only available at 1:250 000 scale and do not identify the subdivision of Grade 3 land. Under these circumstances, before planning applications are considered on land within the best and most versatile land, the applicant will need to undertake survey work to identify the Agricultural Land Classification. Field surveys are usually time consuming and should be initiated well in advance of the intended date of any planning application</w:t>
      </w:r>
      <w:r w:rsidR="006D4F49" w:rsidRPr="006D4F49">
        <w:rPr>
          <w:rFonts w:eastAsia="Arial" w:cs="Arial"/>
          <w:spacing w:val="-1"/>
        </w:rPr>
        <w:t>.</w:t>
      </w:r>
    </w:p>
    <w:p w14:paraId="7A6B17FA" w14:textId="77777777" w:rsidR="00263F59" w:rsidRDefault="00263F59" w:rsidP="00CA1587">
      <w:pPr>
        <w:keepNext w:val="0"/>
        <w:autoSpaceDE w:val="0"/>
        <w:autoSpaceDN w:val="0"/>
        <w:adjustRightInd w:val="0"/>
        <w:spacing w:before="0"/>
        <w:rPr>
          <w:rFonts w:eastAsia="Arial" w:cs="Arial"/>
          <w:spacing w:val="-1"/>
        </w:rPr>
      </w:pPr>
    </w:p>
    <w:p w14:paraId="13A781CD" w14:textId="77777777" w:rsidR="002E7654" w:rsidRPr="00BF07B5" w:rsidRDefault="002E7654" w:rsidP="00BF07B5">
      <w:pPr>
        <w:rPr>
          <w:rFonts w:eastAsia="Arial"/>
        </w:rPr>
      </w:pPr>
      <w:bookmarkStart w:id="186" w:name="_Toc500408762"/>
      <w:bookmarkStart w:id="187" w:name="_Toc145511583"/>
    </w:p>
    <w:p w14:paraId="3F0C2009" w14:textId="3746012A" w:rsidR="00CA1587" w:rsidRPr="00995322" w:rsidRDefault="006977E7" w:rsidP="00995322">
      <w:pPr>
        <w:pStyle w:val="Heading2"/>
        <w:jc w:val="left"/>
        <w:rPr>
          <w:rFonts w:eastAsia="Arial"/>
          <w:sz w:val="28"/>
          <w:szCs w:val="28"/>
        </w:rPr>
      </w:pPr>
      <w:r w:rsidRPr="00995322">
        <w:rPr>
          <w:rFonts w:eastAsia="Arial"/>
          <w:sz w:val="28"/>
          <w:szCs w:val="28"/>
        </w:rPr>
        <w:t xml:space="preserve">Policy </w:t>
      </w:r>
      <w:r w:rsidR="00CA1587" w:rsidRPr="00995322">
        <w:rPr>
          <w:rFonts w:eastAsia="Arial"/>
          <w:sz w:val="28"/>
          <w:szCs w:val="28"/>
        </w:rPr>
        <w:t>EV9: The Historic Environment</w:t>
      </w:r>
      <w:bookmarkEnd w:id="186"/>
      <w:bookmarkEnd w:id="187"/>
    </w:p>
    <w:p w14:paraId="37295B2E" w14:textId="77777777" w:rsidR="00CA1587" w:rsidRDefault="00CA1587" w:rsidP="00263F59">
      <w:pPr>
        <w:keepNext w:val="0"/>
        <w:autoSpaceDE w:val="0"/>
        <w:autoSpaceDN w:val="0"/>
        <w:adjustRightInd w:val="0"/>
        <w:spacing w:before="0"/>
        <w:rPr>
          <w:rFonts w:eastAsia="Arial" w:cs="Arial"/>
          <w:spacing w:val="-1"/>
        </w:rPr>
      </w:pPr>
    </w:p>
    <w:p w14:paraId="58E008FB" w14:textId="7618B651" w:rsid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BB72C9">
        <w:rPr>
          <w:rFonts w:eastAsia="Arial" w:cs="Arial"/>
          <w:spacing w:val="-1"/>
        </w:rPr>
        <w:t xml:space="preserve">This policy aims to conserve and enhance </w:t>
      </w:r>
      <w:r w:rsidR="00C03C9B" w:rsidRPr="002E7654">
        <w:rPr>
          <w:rFonts w:eastAsia="Arial" w:cs="Arial"/>
          <w:spacing w:val="-1"/>
        </w:rPr>
        <w:t>all heritage assets</w:t>
      </w:r>
      <w:r w:rsidR="00C03C9B" w:rsidRPr="002E7654">
        <w:t xml:space="preserve"> within the </w:t>
      </w:r>
      <w:proofErr w:type="gramStart"/>
      <w:r w:rsidR="00C03C9B" w:rsidRPr="002E7654">
        <w:t>District</w:t>
      </w:r>
      <w:proofErr w:type="gramEnd"/>
      <w:r w:rsidR="00C03C9B" w:rsidRPr="002E7654">
        <w:t xml:space="preserve"> </w:t>
      </w:r>
      <w:r w:rsidR="000E688D" w:rsidRPr="002E7654">
        <w:t>in a manner appropriate to their significance</w:t>
      </w:r>
      <w:r w:rsidR="00C03C9B" w:rsidRPr="002E7654">
        <w:t>. Heritage assets</w:t>
      </w:r>
      <w:r w:rsidR="000E688D" w:rsidRPr="002E7654">
        <w:t>,</w:t>
      </w:r>
      <w:r w:rsidRPr="002E7654">
        <w:rPr>
          <w:rFonts w:eastAsia="Arial" w:cs="Arial"/>
          <w:spacing w:val="-1"/>
        </w:rPr>
        <w:t xml:space="preserve"> includ</w:t>
      </w:r>
      <w:r w:rsidR="00C03C9B" w:rsidRPr="002E7654">
        <w:rPr>
          <w:rFonts w:eastAsia="Arial" w:cs="Arial"/>
          <w:spacing w:val="-1"/>
        </w:rPr>
        <w:t>e</w:t>
      </w:r>
      <w:r w:rsidRPr="002E7654">
        <w:rPr>
          <w:rFonts w:eastAsia="Arial" w:cs="Arial"/>
          <w:spacing w:val="-1"/>
        </w:rPr>
        <w:t xml:space="preserve"> Listed Buildings, Conservations Areas, Scheduled Monuments, </w:t>
      </w:r>
      <w:r w:rsidR="00450F6B" w:rsidRPr="00DF7B60">
        <w:rPr>
          <w:rFonts w:eastAsia="Arial" w:cs="Arial"/>
          <w:color w:val="0070C0"/>
          <w:spacing w:val="-1"/>
        </w:rPr>
        <w:t>Registered</w:t>
      </w:r>
      <w:r w:rsidR="00450F6B">
        <w:rPr>
          <w:rFonts w:eastAsia="Arial" w:cs="Arial"/>
          <w:color w:val="0070C0"/>
          <w:spacing w:val="-1"/>
        </w:rPr>
        <w:t xml:space="preserve"> </w:t>
      </w:r>
      <w:r w:rsidRPr="00450F6B">
        <w:rPr>
          <w:rFonts w:eastAsia="Arial" w:cs="Arial"/>
          <w:strike/>
          <w:spacing w:val="-1"/>
        </w:rPr>
        <w:t>Historic</w:t>
      </w:r>
      <w:r w:rsidRPr="00450F6B">
        <w:rPr>
          <w:rFonts w:eastAsia="Arial" w:cs="Arial"/>
          <w:spacing w:val="-1"/>
        </w:rPr>
        <w:t xml:space="preserve"> </w:t>
      </w:r>
      <w:r w:rsidRPr="002E7654">
        <w:rPr>
          <w:rFonts w:eastAsia="Arial" w:cs="Arial"/>
          <w:spacing w:val="-1"/>
        </w:rPr>
        <w:t xml:space="preserve">Parks and Gardens, Areas of Archaeological Interest and </w:t>
      </w:r>
      <w:r w:rsidR="00C03C9B" w:rsidRPr="002E7654">
        <w:rPr>
          <w:rFonts w:eastAsia="Arial" w:cs="Arial"/>
          <w:spacing w:val="-1"/>
        </w:rPr>
        <w:t>Non</w:t>
      </w:r>
      <w:r w:rsidR="00985BCC">
        <w:rPr>
          <w:rFonts w:eastAsia="Arial" w:cs="Arial"/>
          <w:spacing w:val="-1"/>
        </w:rPr>
        <w:t>-</w:t>
      </w:r>
      <w:r w:rsidR="00C03C9B" w:rsidRPr="002E7654">
        <w:rPr>
          <w:rFonts w:eastAsia="Arial" w:cs="Arial"/>
          <w:spacing w:val="-1"/>
        </w:rPr>
        <w:t>Designated</w:t>
      </w:r>
      <w:r w:rsidR="0048486B" w:rsidRPr="002E7654">
        <w:rPr>
          <w:rFonts w:eastAsia="Arial" w:cs="Arial"/>
          <w:spacing w:val="-1"/>
        </w:rPr>
        <w:t xml:space="preserve"> </w:t>
      </w:r>
      <w:r w:rsidRPr="002E7654">
        <w:rPr>
          <w:rFonts w:eastAsia="Arial" w:cs="Arial"/>
          <w:spacing w:val="-1"/>
        </w:rPr>
        <w:t xml:space="preserve">Heritage </w:t>
      </w:r>
      <w:r w:rsidRPr="00BB72C9">
        <w:rPr>
          <w:rFonts w:eastAsia="Arial" w:cs="Arial"/>
          <w:spacing w:val="-1"/>
        </w:rPr>
        <w:t>Assets.</w:t>
      </w:r>
      <w:r w:rsidR="000E688D">
        <w:rPr>
          <w:rFonts w:eastAsia="Arial" w:cs="Arial"/>
          <w:spacing w:val="-1"/>
        </w:rPr>
        <w:t xml:space="preserve">  </w:t>
      </w:r>
    </w:p>
    <w:p w14:paraId="1E5B7E9C" w14:textId="0651CCA7" w:rsidR="00B42C71" w:rsidRDefault="00B42C71" w:rsidP="00B42C71">
      <w:pPr>
        <w:keepNext w:val="0"/>
        <w:autoSpaceDE w:val="0"/>
        <w:autoSpaceDN w:val="0"/>
        <w:adjustRightInd w:val="0"/>
        <w:spacing w:before="0"/>
        <w:ind w:left="525"/>
        <w:rPr>
          <w:rFonts w:eastAsia="Arial" w:cs="Arial"/>
          <w:spacing w:val="-1"/>
        </w:rPr>
      </w:pPr>
      <w:bookmarkStart w:id="188" w:name="_Hlk143163587"/>
    </w:p>
    <w:bookmarkEnd w:id="188"/>
    <w:tbl>
      <w:tblPr>
        <w:tblStyle w:val="ReportTable1"/>
        <w:tblW w:w="0" w:type="auto"/>
        <w:tblLook w:val="04A0" w:firstRow="1" w:lastRow="0" w:firstColumn="1" w:lastColumn="0" w:noHBand="0" w:noVBand="1"/>
      </w:tblPr>
      <w:tblGrid>
        <w:gridCol w:w="2400"/>
        <w:gridCol w:w="7219"/>
      </w:tblGrid>
      <w:tr w:rsidR="00B42C71" w:rsidRPr="00B42C71" w14:paraId="0CF291B8" w14:textId="77777777" w:rsidTr="000339D2">
        <w:tc>
          <w:tcPr>
            <w:tcW w:w="9619" w:type="dxa"/>
            <w:gridSpan w:val="2"/>
          </w:tcPr>
          <w:p w14:paraId="6FA57039" w14:textId="77777777" w:rsidR="00DA5747" w:rsidRDefault="00B42C71" w:rsidP="00B42C71">
            <w:pPr>
              <w:keepNext w:val="0"/>
              <w:spacing w:before="0"/>
              <w:rPr>
                <w:color w:val="auto"/>
              </w:rPr>
            </w:pPr>
            <w:r w:rsidRPr="00B42C71">
              <w:rPr>
                <w:color w:val="auto"/>
              </w:rPr>
              <w:br w:type="page"/>
            </w:r>
          </w:p>
          <w:p w14:paraId="4175F25C" w14:textId="64DF9008" w:rsidR="00B42C71" w:rsidRDefault="00B42C71" w:rsidP="00B42C71">
            <w:pPr>
              <w:keepNext w:val="0"/>
              <w:spacing w:before="0"/>
              <w:rPr>
                <w:b/>
                <w:bCs/>
                <w:color w:val="auto"/>
              </w:rPr>
            </w:pPr>
            <w:r w:rsidRPr="00B42C71">
              <w:rPr>
                <w:b/>
                <w:bCs/>
                <w:color w:val="auto"/>
              </w:rPr>
              <w:t>Policy EV9: The Historic Environment</w:t>
            </w:r>
          </w:p>
          <w:p w14:paraId="716D6618" w14:textId="368FB094" w:rsidR="00DA5747" w:rsidRPr="00B42C71" w:rsidRDefault="00DA5747" w:rsidP="00B42C71">
            <w:pPr>
              <w:keepNext w:val="0"/>
              <w:spacing w:before="0"/>
              <w:rPr>
                <w:b/>
                <w:bCs/>
                <w:color w:val="auto"/>
              </w:rPr>
            </w:pPr>
          </w:p>
        </w:tc>
      </w:tr>
      <w:tr w:rsidR="00B42C71" w:rsidRPr="00B42C71" w14:paraId="287A34D4" w14:textId="77777777" w:rsidTr="000339D2">
        <w:tc>
          <w:tcPr>
            <w:tcW w:w="2400" w:type="dxa"/>
          </w:tcPr>
          <w:p w14:paraId="50CD0201" w14:textId="77777777" w:rsidR="00B42C71" w:rsidRPr="00B42C71" w:rsidRDefault="00B42C71" w:rsidP="00B42C71">
            <w:pPr>
              <w:keepNext w:val="0"/>
              <w:spacing w:before="0"/>
              <w:rPr>
                <w:color w:val="auto"/>
              </w:rPr>
            </w:pPr>
            <w:r w:rsidRPr="00B42C71">
              <w:rPr>
                <w:color w:val="auto"/>
              </w:rPr>
              <w:t>Strategic Objectives</w:t>
            </w:r>
          </w:p>
        </w:tc>
        <w:tc>
          <w:tcPr>
            <w:tcW w:w="7219" w:type="dxa"/>
          </w:tcPr>
          <w:p w14:paraId="63D2C91C" w14:textId="77777777" w:rsidR="00B42C71" w:rsidRPr="00B42C71" w:rsidRDefault="00B42C71" w:rsidP="00B42C71">
            <w:pPr>
              <w:keepNext w:val="0"/>
              <w:spacing w:before="0"/>
              <w:rPr>
                <w:color w:val="auto"/>
              </w:rPr>
            </w:pPr>
            <w:r w:rsidRPr="00B42C71">
              <w:rPr>
                <w:color w:val="auto"/>
              </w:rPr>
              <w:t xml:space="preserve">SO1, SO3, SO7, SO8, SO11, SO13, SO14. </w:t>
            </w:r>
          </w:p>
        </w:tc>
      </w:tr>
      <w:tr w:rsidR="00B42C71" w:rsidRPr="00B42C71" w14:paraId="33734CE0" w14:textId="77777777" w:rsidTr="000339D2">
        <w:tc>
          <w:tcPr>
            <w:tcW w:w="9619" w:type="dxa"/>
            <w:gridSpan w:val="2"/>
            <w:shd w:val="clear" w:color="auto" w:fill="E2EFD9"/>
          </w:tcPr>
          <w:p w14:paraId="734973F1" w14:textId="77777777" w:rsidR="00B42C71" w:rsidRPr="00B42C71" w:rsidRDefault="00B42C71" w:rsidP="00B42C71">
            <w:pPr>
              <w:keepNext w:val="0"/>
              <w:spacing w:before="0"/>
              <w:rPr>
                <w:color w:val="auto"/>
              </w:rPr>
            </w:pPr>
          </w:p>
          <w:p w14:paraId="63F1D6F7" w14:textId="77777777" w:rsidR="00B42C71" w:rsidRPr="00C66622" w:rsidRDefault="00B42C71" w:rsidP="00B42C71">
            <w:pPr>
              <w:keepNext w:val="0"/>
              <w:spacing w:before="0"/>
              <w:rPr>
                <w:b/>
                <w:bCs/>
                <w:color w:val="auto"/>
              </w:rPr>
            </w:pPr>
            <w:r w:rsidRPr="00C66622">
              <w:rPr>
                <w:b/>
                <w:bCs/>
                <w:color w:val="auto"/>
              </w:rPr>
              <w:t>All Heritage Assets</w:t>
            </w:r>
          </w:p>
          <w:p w14:paraId="0F7AFF69" w14:textId="28F0FBA2" w:rsidR="00D0115A" w:rsidRPr="00D0115A" w:rsidRDefault="00D0115A" w:rsidP="00900F1C">
            <w:pPr>
              <w:ind w:left="306" w:hanging="425"/>
              <w:rPr>
                <w:color w:val="0070C0"/>
              </w:rPr>
            </w:pPr>
            <w:r w:rsidRPr="00E56F9C">
              <w:rPr>
                <w:color w:val="006AB9"/>
              </w:rPr>
              <w:t xml:space="preserve"> </w:t>
            </w:r>
            <w:r w:rsidR="00900F1C" w:rsidRPr="00E56F9C">
              <w:rPr>
                <w:color w:val="006AB9"/>
              </w:rPr>
              <w:t xml:space="preserve">     1. </w:t>
            </w:r>
            <w:r w:rsidRPr="00900F1C">
              <w:rPr>
                <w:color w:val="auto"/>
              </w:rPr>
              <w:t xml:space="preserve">Proposals that effect heritage assets will be supported where the proposals conserves or enhances </w:t>
            </w:r>
            <w:r w:rsidR="00900F1C" w:rsidRPr="00E56F9C">
              <w:rPr>
                <w:color w:val="006AB9"/>
              </w:rPr>
              <w:t xml:space="preserve">the significance of </w:t>
            </w:r>
            <w:r w:rsidRPr="00900F1C">
              <w:rPr>
                <w:color w:val="auto"/>
              </w:rPr>
              <w:t xml:space="preserve">the heritage asset. Proposal that </w:t>
            </w:r>
            <w:proofErr w:type="gramStart"/>
            <w:r w:rsidRPr="00900F1C">
              <w:rPr>
                <w:color w:val="auto"/>
              </w:rPr>
              <w:t>harm</w:t>
            </w:r>
            <w:proofErr w:type="gramEnd"/>
            <w:r w:rsidRPr="00900F1C">
              <w:rPr>
                <w:color w:val="auto"/>
              </w:rPr>
              <w:t xml:space="preserve"> the significance of a heritage asset will only be supported where it is demonstrated that the harm is justified and the public benefits clearly outweigh the harm. </w:t>
            </w:r>
          </w:p>
          <w:p w14:paraId="66B38DCF" w14:textId="77777777" w:rsidR="00D0115A" w:rsidRPr="00B42C71" w:rsidRDefault="00D0115A" w:rsidP="00B42C71">
            <w:pPr>
              <w:keepNext w:val="0"/>
              <w:spacing w:before="0"/>
              <w:rPr>
                <w:color w:val="auto"/>
              </w:rPr>
            </w:pPr>
          </w:p>
          <w:p w14:paraId="13096967" w14:textId="1DB47E9F" w:rsidR="00B42C71" w:rsidRPr="00B42C71" w:rsidRDefault="00D0115A" w:rsidP="00874A98">
            <w:pPr>
              <w:keepNext w:val="0"/>
              <w:numPr>
                <w:ilvl w:val="0"/>
                <w:numId w:val="255"/>
              </w:numPr>
              <w:spacing w:before="0"/>
              <w:contextualSpacing/>
              <w:rPr>
                <w:color w:val="auto"/>
              </w:rPr>
            </w:pPr>
            <w:r w:rsidRPr="00E56F9C">
              <w:rPr>
                <w:color w:val="006AB9"/>
              </w:rPr>
              <w:t>2.</w:t>
            </w:r>
            <w:r>
              <w:rPr>
                <w:color w:val="auto"/>
              </w:rPr>
              <w:t xml:space="preserve"> </w:t>
            </w:r>
            <w:r w:rsidR="00B42C71" w:rsidRPr="00B42C71">
              <w:rPr>
                <w:color w:val="auto"/>
              </w:rPr>
              <w:t>A proposal must have regard to its impact on the historic environment and will be expected to be in line with advice and guidance contained within conservation area appraisals, characterisation studies and other relevant guidance.  A proposal will be considered acceptable where it will conserve and, where appropriate, enhance</w:t>
            </w:r>
            <w:r w:rsidR="00C526A0">
              <w:rPr>
                <w:color w:val="auto"/>
              </w:rPr>
              <w:t xml:space="preserve"> </w:t>
            </w:r>
            <w:r w:rsidR="00C526A0" w:rsidRPr="007B1EAF">
              <w:rPr>
                <w:color w:val="auto"/>
              </w:rPr>
              <w:t xml:space="preserve">the </w:t>
            </w:r>
            <w:r w:rsidR="00C526A0" w:rsidRPr="00E56F9C">
              <w:rPr>
                <w:color w:val="006AB9"/>
              </w:rPr>
              <w:t xml:space="preserve">significance of the heritage asset, including their setting. </w:t>
            </w:r>
            <w:r w:rsidR="00B42C71" w:rsidRPr="00C526A0">
              <w:rPr>
                <w:strike/>
                <w:color w:val="auto"/>
              </w:rPr>
              <w:t>historic environment, including designated and non-designated heritage assets and their setting.</w:t>
            </w:r>
            <w:r w:rsidR="00B42C71" w:rsidRPr="00B42C71">
              <w:rPr>
                <w:color w:val="auto"/>
              </w:rPr>
              <w:t xml:space="preserve"> </w:t>
            </w:r>
          </w:p>
          <w:p w14:paraId="6B1D3FF3" w14:textId="77777777" w:rsidR="00B42C71" w:rsidRPr="00B42C71" w:rsidRDefault="00B42C71" w:rsidP="00B42C71">
            <w:pPr>
              <w:keepNext w:val="0"/>
              <w:spacing w:before="0"/>
              <w:ind w:left="360"/>
              <w:contextualSpacing/>
              <w:rPr>
                <w:color w:val="auto"/>
              </w:rPr>
            </w:pPr>
          </w:p>
          <w:p w14:paraId="5C2B3B92" w14:textId="25990866" w:rsidR="00B42C71" w:rsidRPr="00B42C71" w:rsidRDefault="00D0115A" w:rsidP="00874A98">
            <w:pPr>
              <w:keepNext w:val="0"/>
              <w:numPr>
                <w:ilvl w:val="0"/>
                <w:numId w:val="255"/>
              </w:numPr>
              <w:spacing w:before="0"/>
              <w:contextualSpacing/>
              <w:rPr>
                <w:color w:val="auto"/>
              </w:rPr>
            </w:pPr>
            <w:r w:rsidRPr="00E56F9C">
              <w:rPr>
                <w:color w:val="006AB9"/>
              </w:rPr>
              <w:t>3.</w:t>
            </w:r>
            <w:r>
              <w:rPr>
                <w:color w:val="auto"/>
              </w:rPr>
              <w:t xml:space="preserve"> </w:t>
            </w:r>
            <w:r w:rsidR="00B42C71" w:rsidRPr="00B42C71">
              <w:rPr>
                <w:color w:val="auto"/>
              </w:rPr>
              <w:t>Proposals that affect designated and non-designated heritage assets should be accompanied by a Heritage Statement</w:t>
            </w:r>
            <w:r w:rsidR="00C526A0" w:rsidRPr="00E56F9C">
              <w:rPr>
                <w:color w:val="006AB9"/>
              </w:rPr>
              <w:t>, and where necessary an archaeological evaluation (following a desk-based assessment)</w:t>
            </w:r>
            <w:r w:rsidR="00C526A0" w:rsidRPr="00F53521">
              <w:rPr>
                <w:color w:val="006AB9"/>
              </w:rPr>
              <w:t>,</w:t>
            </w:r>
            <w:r w:rsidR="00B42C71" w:rsidRPr="00B42C71">
              <w:rPr>
                <w:color w:val="auto"/>
              </w:rPr>
              <w:t xml:space="preserve"> that provides a proportionate assessment of the significance of the heritage asset, and where appropriate its setting, and an assessment of the impact of the proposal on the significance. </w:t>
            </w:r>
          </w:p>
          <w:p w14:paraId="01993845" w14:textId="77777777" w:rsidR="00B42C71" w:rsidRPr="00B42C71" w:rsidRDefault="00B42C71" w:rsidP="00B42C71">
            <w:pPr>
              <w:keepNext w:val="0"/>
              <w:spacing w:before="0"/>
              <w:ind w:left="720"/>
              <w:contextualSpacing/>
              <w:rPr>
                <w:color w:val="auto"/>
              </w:rPr>
            </w:pPr>
          </w:p>
          <w:p w14:paraId="6E105594" w14:textId="2202ABC2" w:rsidR="00B42C71" w:rsidRDefault="00D0115A" w:rsidP="00874A98">
            <w:pPr>
              <w:keepNext w:val="0"/>
              <w:numPr>
                <w:ilvl w:val="0"/>
                <w:numId w:val="255"/>
              </w:numPr>
              <w:spacing w:before="0"/>
              <w:contextualSpacing/>
            </w:pPr>
            <w:r w:rsidRPr="00E56F9C">
              <w:rPr>
                <w:color w:val="006AB9"/>
              </w:rPr>
              <w:t>4.</w:t>
            </w:r>
            <w:r>
              <w:rPr>
                <w:color w:val="auto"/>
              </w:rPr>
              <w:t xml:space="preserve"> </w:t>
            </w:r>
            <w:r w:rsidR="00B42C71" w:rsidRPr="005673FD">
              <w:rPr>
                <w:color w:val="auto"/>
              </w:rPr>
              <w:t>Proposals that conserve or enhance the significance of designated and non-</w:t>
            </w:r>
            <w:r w:rsidR="00B42C71" w:rsidRPr="00985BCC">
              <w:t xml:space="preserve">designated heritage assets and their settings, </w:t>
            </w:r>
            <w:r w:rsidR="007B089E" w:rsidRPr="00E56F9C">
              <w:rPr>
                <w:rFonts w:cs="Arial"/>
                <w:color w:val="006AB9"/>
                <w:szCs w:val="24"/>
              </w:rPr>
              <w:t xml:space="preserve">and respect local character and distinctiveness, </w:t>
            </w:r>
            <w:r w:rsidR="00B42C71" w:rsidRPr="00985BCC">
              <w:t>through appropriate scale, siting, high quality design and materials will be supported.</w:t>
            </w:r>
          </w:p>
          <w:p w14:paraId="27373AE4" w14:textId="77777777" w:rsidR="004B7C65" w:rsidRDefault="004B7C65" w:rsidP="004B7C65">
            <w:pPr>
              <w:pStyle w:val="ListParagraph"/>
            </w:pPr>
          </w:p>
          <w:p w14:paraId="6ADFCFE4" w14:textId="7E6B7763" w:rsidR="004B7C65" w:rsidRPr="00E56F9C" w:rsidRDefault="004B7C65" w:rsidP="005512C6">
            <w:pPr>
              <w:keepNext w:val="0"/>
              <w:spacing w:before="0"/>
              <w:ind w:left="360"/>
              <w:contextualSpacing/>
              <w:rPr>
                <w:color w:val="006AB9"/>
                <w:szCs w:val="24"/>
              </w:rPr>
            </w:pPr>
            <w:r w:rsidRPr="00E56F9C">
              <w:rPr>
                <w:color w:val="006AB9"/>
                <w:szCs w:val="24"/>
              </w:rPr>
              <w:lastRenderedPageBreak/>
              <w:t xml:space="preserve">5. </w:t>
            </w:r>
            <w:r w:rsidRPr="00E56F9C">
              <w:rPr>
                <w:rFonts w:cs="Arial"/>
                <w:color w:val="006AB9"/>
                <w:szCs w:val="24"/>
              </w:rPr>
              <w:t xml:space="preserve">‘Proposals where there is evidence of deliberate neglect of, or damage to, a heritage asset, the deteriorated state of the heritage asset will not be </w:t>
            </w:r>
            <w:proofErr w:type="gramStart"/>
            <w:r w:rsidRPr="00E56F9C">
              <w:rPr>
                <w:rFonts w:cs="Arial"/>
                <w:color w:val="006AB9"/>
                <w:szCs w:val="24"/>
              </w:rPr>
              <w:t>taken into account</w:t>
            </w:r>
            <w:proofErr w:type="gramEnd"/>
            <w:r w:rsidRPr="00E56F9C">
              <w:rPr>
                <w:rFonts w:cs="Arial"/>
                <w:color w:val="006AB9"/>
                <w:szCs w:val="24"/>
              </w:rPr>
              <w:t xml:space="preserve"> in any decision</w:t>
            </w:r>
            <w:r w:rsidR="00410C02" w:rsidRPr="00E56F9C">
              <w:rPr>
                <w:rFonts w:cs="Arial"/>
                <w:color w:val="006AB9"/>
                <w:szCs w:val="24"/>
              </w:rPr>
              <w:t>.</w:t>
            </w:r>
          </w:p>
          <w:p w14:paraId="03AFF68C" w14:textId="77777777" w:rsidR="00B42C71" w:rsidRPr="00985BCC" w:rsidRDefault="00B42C71" w:rsidP="00B42C71">
            <w:pPr>
              <w:keepNext w:val="0"/>
              <w:spacing w:before="0"/>
              <w:ind w:left="720"/>
              <w:contextualSpacing/>
            </w:pPr>
          </w:p>
          <w:p w14:paraId="1092078B" w14:textId="6A73B970" w:rsidR="00B42C71" w:rsidRPr="00D74C15" w:rsidRDefault="00B42C71" w:rsidP="00874A98">
            <w:pPr>
              <w:keepNext w:val="0"/>
              <w:numPr>
                <w:ilvl w:val="0"/>
                <w:numId w:val="255"/>
              </w:numPr>
              <w:spacing w:before="0"/>
              <w:contextualSpacing/>
              <w:rPr>
                <w:u w:val="single"/>
              </w:rPr>
            </w:pPr>
            <w:r w:rsidRPr="00D74C15">
              <w:rPr>
                <w:u w:val="single"/>
              </w:rPr>
              <w:t xml:space="preserve">Proposals </w:t>
            </w:r>
            <w:r w:rsidR="00E81E3D" w:rsidRPr="00D74C15">
              <w:rPr>
                <w:u w:val="single"/>
              </w:rPr>
              <w:t xml:space="preserve">that effect heritage assets </w:t>
            </w:r>
            <w:r w:rsidRPr="00D74C15">
              <w:rPr>
                <w:u w:val="single"/>
              </w:rPr>
              <w:t>will be supported where the</w:t>
            </w:r>
            <w:r w:rsidR="00E81E3D" w:rsidRPr="00D74C15">
              <w:rPr>
                <w:u w:val="single"/>
              </w:rPr>
              <w:t xml:space="preserve"> proposals</w:t>
            </w:r>
            <w:r w:rsidRPr="00D74C15">
              <w:rPr>
                <w:u w:val="single"/>
              </w:rPr>
              <w:t xml:space="preserve"> conserves or enhances the heritage asset. </w:t>
            </w:r>
            <w:r w:rsidR="00E81E3D" w:rsidRPr="00D74C15">
              <w:rPr>
                <w:u w:val="single"/>
              </w:rPr>
              <w:t xml:space="preserve">Proposal that </w:t>
            </w:r>
            <w:proofErr w:type="gramStart"/>
            <w:r w:rsidRPr="00D74C15">
              <w:rPr>
                <w:u w:val="single"/>
              </w:rPr>
              <w:t>harm</w:t>
            </w:r>
            <w:proofErr w:type="gramEnd"/>
            <w:r w:rsidRPr="00D74C15">
              <w:rPr>
                <w:u w:val="single"/>
              </w:rPr>
              <w:t xml:space="preserve"> the significance of a heritage asset will only be supported where it is demonstrated that the harm is justified </w:t>
            </w:r>
            <w:r w:rsidR="00E81E3D" w:rsidRPr="00D74C15">
              <w:rPr>
                <w:u w:val="single"/>
              </w:rPr>
              <w:t>and the public benefits clearly outweigh the harm</w:t>
            </w:r>
            <w:r w:rsidR="00E81E3D" w:rsidRPr="00D74C15">
              <w:t xml:space="preserve">. </w:t>
            </w:r>
            <w:r w:rsidR="00D74C15">
              <w:rPr>
                <w:i/>
                <w:iCs/>
              </w:rPr>
              <w:t>(moved to criteria 1)</w:t>
            </w:r>
          </w:p>
          <w:p w14:paraId="4D381931" w14:textId="77777777" w:rsidR="00B42C71" w:rsidRPr="00B42C71" w:rsidRDefault="00B42C71" w:rsidP="00B42C71">
            <w:pPr>
              <w:keepNext w:val="0"/>
              <w:spacing w:before="0"/>
              <w:ind w:left="720"/>
              <w:contextualSpacing/>
              <w:rPr>
                <w:color w:val="auto"/>
              </w:rPr>
            </w:pPr>
          </w:p>
          <w:p w14:paraId="7C2B4164" w14:textId="77777777" w:rsidR="00B42C71" w:rsidRDefault="00B42C71" w:rsidP="00B42C71">
            <w:pPr>
              <w:keepNext w:val="0"/>
              <w:spacing w:before="0"/>
              <w:ind w:left="360"/>
              <w:contextualSpacing/>
              <w:rPr>
                <w:b/>
                <w:bCs/>
                <w:color w:val="auto"/>
              </w:rPr>
            </w:pPr>
            <w:r w:rsidRPr="00BD69DD">
              <w:rPr>
                <w:b/>
                <w:bCs/>
                <w:color w:val="auto"/>
              </w:rPr>
              <w:t>Designated Heritage Assets</w:t>
            </w:r>
          </w:p>
          <w:p w14:paraId="6AD1C52D" w14:textId="5994B196" w:rsidR="00067DDB" w:rsidRPr="00170FD8" w:rsidRDefault="004B7C65" w:rsidP="006965EA">
            <w:pPr>
              <w:ind w:left="306" w:firstLine="7"/>
              <w:rPr>
                <w:b/>
                <w:bCs/>
                <w:color w:val="auto"/>
              </w:rPr>
            </w:pPr>
            <w:r w:rsidRPr="00E56F9C">
              <w:rPr>
                <w:color w:val="006AB9"/>
              </w:rPr>
              <w:t>6</w:t>
            </w:r>
            <w:r w:rsidR="00D0115A" w:rsidRPr="00E56F9C">
              <w:rPr>
                <w:color w:val="006AB9"/>
              </w:rPr>
              <w:t>.</w:t>
            </w:r>
            <w:r w:rsidR="00D0115A" w:rsidRPr="00170FD8">
              <w:rPr>
                <w:color w:val="auto"/>
              </w:rPr>
              <w:t xml:space="preserve"> </w:t>
            </w:r>
            <w:r w:rsidR="00067DDB" w:rsidRPr="00170FD8">
              <w:rPr>
                <w:color w:val="auto"/>
              </w:rPr>
              <w:t>Proposals that will result in substantial harm to or loss of the significance of a designated heritage asset and their setting will be refused unless it is demonstrated that the substantial harm or loss is necessary to achieve substantial public benefits that outweigh that harm or loss.</w:t>
            </w:r>
          </w:p>
          <w:p w14:paraId="22789C4E" w14:textId="77777777" w:rsidR="00B42C71" w:rsidRPr="00B42C71" w:rsidRDefault="00B42C71" w:rsidP="00B42C71">
            <w:pPr>
              <w:keepNext w:val="0"/>
              <w:spacing w:before="0"/>
              <w:ind w:left="720"/>
              <w:contextualSpacing/>
              <w:rPr>
                <w:color w:val="auto"/>
              </w:rPr>
            </w:pPr>
          </w:p>
          <w:p w14:paraId="0811234C" w14:textId="641785EA" w:rsidR="00B42C71" w:rsidRPr="00B42C71" w:rsidRDefault="004B7C65" w:rsidP="00874A98">
            <w:pPr>
              <w:keepNext w:val="0"/>
              <w:numPr>
                <w:ilvl w:val="0"/>
                <w:numId w:val="255"/>
              </w:numPr>
              <w:spacing w:before="0"/>
              <w:contextualSpacing/>
              <w:rPr>
                <w:color w:val="auto"/>
              </w:rPr>
            </w:pPr>
            <w:r w:rsidRPr="00E56F9C">
              <w:rPr>
                <w:color w:val="006AB9"/>
              </w:rPr>
              <w:t>7</w:t>
            </w:r>
            <w:r w:rsidR="00D0115A" w:rsidRPr="00E56F9C">
              <w:rPr>
                <w:color w:val="006AB9"/>
              </w:rPr>
              <w:t>.</w:t>
            </w:r>
            <w:r w:rsidR="00D0115A">
              <w:rPr>
                <w:color w:val="auto"/>
              </w:rPr>
              <w:t xml:space="preserve"> </w:t>
            </w:r>
            <w:r w:rsidR="00B42C71" w:rsidRPr="00B42C71">
              <w:rPr>
                <w:color w:val="auto"/>
              </w:rPr>
              <w:t>Designated Heritage Assets in Ashfield include:</w:t>
            </w:r>
          </w:p>
          <w:p w14:paraId="1483CE9D" w14:textId="77777777" w:rsidR="00B42C71" w:rsidRPr="00B42C71" w:rsidRDefault="00B42C71" w:rsidP="00B42C71">
            <w:pPr>
              <w:keepNext w:val="0"/>
              <w:spacing w:before="0"/>
              <w:ind w:left="360"/>
              <w:contextualSpacing/>
              <w:rPr>
                <w:color w:val="auto"/>
              </w:rPr>
            </w:pPr>
          </w:p>
          <w:p w14:paraId="1F9A12C3" w14:textId="77777777" w:rsidR="00B42C71" w:rsidRPr="00B42C71" w:rsidRDefault="00B42C71" w:rsidP="00874A98">
            <w:pPr>
              <w:keepNext w:val="0"/>
              <w:numPr>
                <w:ilvl w:val="0"/>
                <w:numId w:val="256"/>
              </w:numPr>
              <w:spacing w:before="0"/>
              <w:contextualSpacing/>
              <w:rPr>
                <w:color w:val="auto"/>
              </w:rPr>
            </w:pPr>
            <w:r w:rsidRPr="00B42C71">
              <w:rPr>
                <w:color w:val="auto"/>
              </w:rPr>
              <w:t>Conservation Areas;</w:t>
            </w:r>
          </w:p>
          <w:p w14:paraId="74CE7F61" w14:textId="77777777" w:rsidR="00B42C71" w:rsidRPr="00B42C71" w:rsidRDefault="00B42C71" w:rsidP="00874A98">
            <w:pPr>
              <w:keepNext w:val="0"/>
              <w:numPr>
                <w:ilvl w:val="0"/>
                <w:numId w:val="256"/>
              </w:numPr>
              <w:spacing w:before="0"/>
              <w:contextualSpacing/>
              <w:rPr>
                <w:color w:val="auto"/>
              </w:rPr>
            </w:pPr>
            <w:r w:rsidRPr="00B42C71">
              <w:rPr>
                <w:color w:val="auto"/>
              </w:rPr>
              <w:t>Listed Buildings (including attached and curtilage structures)</w:t>
            </w:r>
            <w:r w:rsidRPr="00B42C71">
              <w:rPr>
                <w:color w:val="auto"/>
                <w:vertAlign w:val="superscript"/>
              </w:rPr>
              <w:t>1</w:t>
            </w:r>
            <w:r w:rsidRPr="00B42C71">
              <w:rPr>
                <w:color w:val="auto"/>
              </w:rPr>
              <w:t>;</w:t>
            </w:r>
          </w:p>
          <w:p w14:paraId="30F9A373" w14:textId="77777777" w:rsidR="00B42C71" w:rsidRPr="00B42C71" w:rsidRDefault="00B42C71" w:rsidP="00874A98">
            <w:pPr>
              <w:keepNext w:val="0"/>
              <w:numPr>
                <w:ilvl w:val="0"/>
                <w:numId w:val="256"/>
              </w:numPr>
              <w:spacing w:before="0"/>
              <w:contextualSpacing/>
              <w:rPr>
                <w:color w:val="auto"/>
              </w:rPr>
            </w:pPr>
            <w:r w:rsidRPr="00B42C71">
              <w:rPr>
                <w:color w:val="auto"/>
              </w:rPr>
              <w:t>Scheduled Monuments;</w:t>
            </w:r>
          </w:p>
          <w:p w14:paraId="74004C50" w14:textId="77777777" w:rsidR="00B42C71" w:rsidRPr="00B42C71" w:rsidRDefault="00B42C71" w:rsidP="00874A98">
            <w:pPr>
              <w:keepNext w:val="0"/>
              <w:numPr>
                <w:ilvl w:val="0"/>
                <w:numId w:val="256"/>
              </w:numPr>
              <w:spacing w:before="0"/>
              <w:contextualSpacing/>
              <w:rPr>
                <w:color w:val="auto"/>
              </w:rPr>
            </w:pPr>
            <w:r w:rsidRPr="00B42C71">
              <w:rPr>
                <w:color w:val="auto"/>
              </w:rPr>
              <w:t>Registered Parks and Gardens.</w:t>
            </w:r>
          </w:p>
          <w:p w14:paraId="4A7C9B96" w14:textId="77777777" w:rsidR="00B42C71" w:rsidRPr="00B42C71" w:rsidRDefault="00B42C71" w:rsidP="00B42C71">
            <w:pPr>
              <w:keepNext w:val="0"/>
              <w:spacing w:before="0"/>
              <w:ind w:left="360"/>
              <w:contextualSpacing/>
              <w:rPr>
                <w:color w:val="auto"/>
              </w:rPr>
            </w:pPr>
          </w:p>
          <w:p w14:paraId="2969B384" w14:textId="4B29F544" w:rsidR="00B42C71" w:rsidRPr="00B42C71" w:rsidRDefault="004B7C65" w:rsidP="00874A98">
            <w:pPr>
              <w:keepNext w:val="0"/>
              <w:numPr>
                <w:ilvl w:val="0"/>
                <w:numId w:val="255"/>
              </w:numPr>
              <w:spacing w:before="0"/>
              <w:contextualSpacing/>
              <w:rPr>
                <w:color w:val="auto"/>
              </w:rPr>
            </w:pPr>
            <w:r w:rsidRPr="00E56F9C">
              <w:rPr>
                <w:color w:val="006AB9"/>
              </w:rPr>
              <w:t>8</w:t>
            </w:r>
            <w:r w:rsidR="00D0115A" w:rsidRPr="00E56F9C">
              <w:rPr>
                <w:color w:val="006AB9"/>
              </w:rPr>
              <w:t>.</w:t>
            </w:r>
            <w:r w:rsidR="00D0115A">
              <w:rPr>
                <w:color w:val="auto"/>
              </w:rPr>
              <w:t xml:space="preserve"> </w:t>
            </w:r>
            <w:r w:rsidR="00B42C71" w:rsidRPr="00B42C71">
              <w:rPr>
                <w:color w:val="auto"/>
              </w:rPr>
              <w:t xml:space="preserve">Proposals, including demolition, that are likely to result in substantial harm to </w:t>
            </w:r>
            <w:r w:rsidR="00B42C71" w:rsidRPr="00985BCC">
              <w:t xml:space="preserve">or </w:t>
            </w:r>
            <w:r w:rsidR="00215439" w:rsidRPr="00985BCC">
              <w:t xml:space="preserve">total </w:t>
            </w:r>
            <w:r w:rsidR="00B42C71" w:rsidRPr="00985BCC">
              <w:t>loss of Grade I, Grade II* Listed Buildings, Grade I or Grade II* Registered Parks</w:t>
            </w:r>
            <w:r w:rsidR="00B42C71" w:rsidRPr="00B42C71">
              <w:rPr>
                <w:color w:val="auto"/>
              </w:rPr>
              <w:t xml:space="preserve"> and Gardens or Scheduled Monuments and their setting, will only be permitted in wholly exceptional circumstances.</w:t>
            </w:r>
          </w:p>
          <w:p w14:paraId="5718A99E" w14:textId="77777777" w:rsidR="00B42C71" w:rsidRPr="00B42C71" w:rsidRDefault="00B42C71" w:rsidP="00B42C71">
            <w:pPr>
              <w:keepNext w:val="0"/>
              <w:spacing w:before="0"/>
              <w:ind w:left="360"/>
              <w:contextualSpacing/>
              <w:rPr>
                <w:color w:val="auto"/>
              </w:rPr>
            </w:pPr>
          </w:p>
          <w:p w14:paraId="682FE3FE" w14:textId="265BAA58" w:rsidR="00B42C71" w:rsidRPr="00985BCC" w:rsidRDefault="004B7C65" w:rsidP="00874A98">
            <w:pPr>
              <w:keepNext w:val="0"/>
              <w:numPr>
                <w:ilvl w:val="0"/>
                <w:numId w:val="255"/>
              </w:numPr>
              <w:spacing w:before="0"/>
              <w:contextualSpacing/>
            </w:pPr>
            <w:r w:rsidRPr="00E56F9C">
              <w:rPr>
                <w:color w:val="006AB9"/>
              </w:rPr>
              <w:t>9</w:t>
            </w:r>
            <w:r w:rsidR="00D0115A" w:rsidRPr="00E56F9C">
              <w:rPr>
                <w:color w:val="006AB9"/>
              </w:rPr>
              <w:t>.</w:t>
            </w:r>
            <w:r w:rsidR="00D0115A">
              <w:rPr>
                <w:color w:val="auto"/>
              </w:rPr>
              <w:t xml:space="preserve"> </w:t>
            </w:r>
            <w:r w:rsidR="00B42C71" w:rsidRPr="00B42C71">
              <w:rPr>
                <w:color w:val="auto"/>
              </w:rPr>
              <w:t xml:space="preserve">Proposals that will result in the substantial harm </w:t>
            </w:r>
            <w:r w:rsidR="00B42C71" w:rsidRPr="00985BCC">
              <w:t xml:space="preserve">to or </w:t>
            </w:r>
            <w:r w:rsidR="00215439" w:rsidRPr="00985BCC">
              <w:t xml:space="preserve">total </w:t>
            </w:r>
            <w:r w:rsidR="00B42C71" w:rsidRPr="00985BCC">
              <w:t>loss of the significance of a Grade II Listed Building, Grade II Registered Park and Garden, Conservation Areas</w:t>
            </w:r>
            <w:r w:rsidR="00F473CE" w:rsidRPr="00985BCC">
              <w:t xml:space="preserve"> and their setting</w:t>
            </w:r>
            <w:r w:rsidR="00B42C71" w:rsidRPr="00985BCC">
              <w:t xml:space="preserve">, will only be permitted in exceptional circumstances. </w:t>
            </w:r>
          </w:p>
          <w:p w14:paraId="104A8010" w14:textId="77777777" w:rsidR="00B42C71" w:rsidRPr="00985BCC" w:rsidRDefault="00B42C71" w:rsidP="00B42C71">
            <w:pPr>
              <w:keepNext w:val="0"/>
              <w:spacing w:before="0"/>
              <w:ind w:left="720"/>
              <w:contextualSpacing/>
            </w:pPr>
          </w:p>
          <w:p w14:paraId="151F91CC" w14:textId="58E8D58D" w:rsidR="00B42C71" w:rsidRPr="00067DDB" w:rsidRDefault="00B42C71" w:rsidP="00874A98">
            <w:pPr>
              <w:keepNext w:val="0"/>
              <w:numPr>
                <w:ilvl w:val="0"/>
                <w:numId w:val="255"/>
              </w:numPr>
              <w:spacing w:before="0"/>
              <w:contextualSpacing/>
              <w:rPr>
                <w:strike/>
                <w:color w:val="auto"/>
              </w:rPr>
            </w:pPr>
            <w:r w:rsidRPr="00C10C07">
              <w:rPr>
                <w:u w:val="single"/>
              </w:rPr>
              <w:t xml:space="preserve">Proposals that will result in substantial harm to or loss of the significance of a designated heritage asset </w:t>
            </w:r>
            <w:r w:rsidR="00F473CE" w:rsidRPr="00C10C07">
              <w:rPr>
                <w:u w:val="single"/>
              </w:rPr>
              <w:t xml:space="preserve">and their setting </w:t>
            </w:r>
            <w:r w:rsidRPr="00C10C07">
              <w:rPr>
                <w:u w:val="single"/>
              </w:rPr>
              <w:t xml:space="preserve">will be refused unless it is demonstrated that the substantial harm or loss is necessary to achieve substantial </w:t>
            </w:r>
            <w:r w:rsidRPr="00C10C07">
              <w:rPr>
                <w:color w:val="auto"/>
                <w:u w:val="single"/>
              </w:rPr>
              <w:t>public benefits that outweigh that harm or loss,</w:t>
            </w:r>
            <w:r w:rsidRPr="00067DDB">
              <w:rPr>
                <w:strike/>
                <w:color w:val="auto"/>
              </w:rPr>
              <w:t xml:space="preserve"> or all of the following apply:</w:t>
            </w:r>
            <w:r w:rsidR="00C10C07">
              <w:rPr>
                <w:color w:val="auto"/>
              </w:rPr>
              <w:t xml:space="preserve"> </w:t>
            </w:r>
            <w:r w:rsidR="00170FD8">
              <w:rPr>
                <w:i/>
                <w:iCs/>
                <w:color w:val="auto"/>
              </w:rPr>
              <w:t>(moved to criteria 6)</w:t>
            </w:r>
          </w:p>
          <w:p w14:paraId="77290A7C" w14:textId="77777777" w:rsidR="00B42C71" w:rsidRPr="00067DDB" w:rsidRDefault="00B42C71" w:rsidP="00B42C71">
            <w:pPr>
              <w:keepNext w:val="0"/>
              <w:spacing w:before="0"/>
              <w:ind w:left="720"/>
              <w:contextualSpacing/>
              <w:rPr>
                <w:strike/>
                <w:color w:val="auto"/>
              </w:rPr>
            </w:pPr>
          </w:p>
          <w:p w14:paraId="75BBB5D7" w14:textId="77777777" w:rsidR="00B42C71" w:rsidRPr="00067DDB" w:rsidRDefault="00B42C71" w:rsidP="00874A98">
            <w:pPr>
              <w:keepNext w:val="0"/>
              <w:numPr>
                <w:ilvl w:val="0"/>
                <w:numId w:val="257"/>
              </w:numPr>
              <w:spacing w:before="0"/>
              <w:contextualSpacing/>
              <w:rPr>
                <w:strike/>
                <w:color w:val="auto"/>
              </w:rPr>
            </w:pPr>
            <w:r w:rsidRPr="00067DDB">
              <w:rPr>
                <w:strike/>
                <w:color w:val="auto"/>
              </w:rPr>
              <w:t xml:space="preserve">the nature of the heritage asset prevents a reasonable use of the </w:t>
            </w:r>
            <w:proofErr w:type="gramStart"/>
            <w:r w:rsidRPr="00067DDB">
              <w:rPr>
                <w:strike/>
                <w:color w:val="auto"/>
              </w:rPr>
              <w:t>site</w:t>
            </w:r>
            <w:proofErr w:type="gramEnd"/>
            <w:r w:rsidRPr="00067DDB">
              <w:rPr>
                <w:strike/>
                <w:color w:val="auto"/>
              </w:rPr>
              <w:t xml:space="preserve"> and the site cannot be developed in a less harmful way; and</w:t>
            </w:r>
          </w:p>
          <w:p w14:paraId="3D3BF929" w14:textId="77777777" w:rsidR="00B42C71" w:rsidRPr="00067DDB" w:rsidRDefault="00B42C71" w:rsidP="00874A98">
            <w:pPr>
              <w:keepNext w:val="0"/>
              <w:numPr>
                <w:ilvl w:val="0"/>
                <w:numId w:val="257"/>
              </w:numPr>
              <w:spacing w:before="0"/>
              <w:contextualSpacing/>
              <w:rPr>
                <w:strike/>
                <w:color w:val="auto"/>
              </w:rPr>
            </w:pPr>
            <w:r w:rsidRPr="00067DDB">
              <w:rPr>
                <w:strike/>
                <w:color w:val="auto"/>
              </w:rPr>
              <w:t xml:space="preserve">through marketing there is no viable use of the heritage asset, and grant funding is not available; and </w:t>
            </w:r>
          </w:p>
          <w:p w14:paraId="40D25DB4" w14:textId="77777777" w:rsidR="00B42C71" w:rsidRDefault="00B42C71" w:rsidP="00874A98">
            <w:pPr>
              <w:keepNext w:val="0"/>
              <w:numPr>
                <w:ilvl w:val="0"/>
                <w:numId w:val="257"/>
              </w:numPr>
              <w:spacing w:before="0"/>
              <w:contextualSpacing/>
              <w:rPr>
                <w:strike/>
                <w:color w:val="auto"/>
              </w:rPr>
            </w:pPr>
            <w:r w:rsidRPr="00067DDB">
              <w:rPr>
                <w:strike/>
                <w:color w:val="auto"/>
              </w:rPr>
              <w:t>the benefit of bringing the site back into use outweighs the harm or loss.</w:t>
            </w:r>
          </w:p>
          <w:p w14:paraId="6161AAFD" w14:textId="77777777" w:rsidR="00B42C71" w:rsidRPr="00B42C71" w:rsidRDefault="00B42C71" w:rsidP="00B42C71">
            <w:pPr>
              <w:keepNext w:val="0"/>
              <w:spacing w:before="0"/>
              <w:ind w:left="360"/>
              <w:contextualSpacing/>
              <w:rPr>
                <w:color w:val="auto"/>
              </w:rPr>
            </w:pPr>
          </w:p>
          <w:p w14:paraId="7AE99BA0" w14:textId="448369C6" w:rsidR="00B42C71" w:rsidRPr="00B42C71" w:rsidRDefault="00D0115A" w:rsidP="007D361A">
            <w:pPr>
              <w:keepNext w:val="0"/>
              <w:spacing w:before="0"/>
              <w:ind w:left="306" w:hanging="283"/>
              <w:contextualSpacing/>
              <w:rPr>
                <w:color w:val="auto"/>
              </w:rPr>
            </w:pPr>
            <w:r w:rsidRPr="004B7C65">
              <w:rPr>
                <w:strike/>
                <w:color w:val="auto"/>
              </w:rPr>
              <w:t>9</w:t>
            </w:r>
            <w:r>
              <w:rPr>
                <w:color w:val="auto"/>
              </w:rPr>
              <w:t xml:space="preserve">. </w:t>
            </w:r>
            <w:r w:rsidR="004B7C65" w:rsidRPr="00E56F9C">
              <w:rPr>
                <w:color w:val="006AB9"/>
              </w:rPr>
              <w:t>10.</w:t>
            </w:r>
            <w:r w:rsidR="004B7C65">
              <w:rPr>
                <w:color w:val="auto"/>
              </w:rPr>
              <w:t xml:space="preserve"> </w:t>
            </w:r>
            <w:r w:rsidR="00B42C71" w:rsidRPr="00B42C71">
              <w:rPr>
                <w:color w:val="auto"/>
              </w:rPr>
              <w:t>Proposals that result in less than substantial harm to the significance of a designated heritage asset will only be permitted where it is demonstrated that the proposal shall deliver public benefits that outweigh the harm, including securing the heritage asset’s optimum viable use.</w:t>
            </w:r>
          </w:p>
          <w:p w14:paraId="6F0442A8" w14:textId="77777777" w:rsidR="00B42C71" w:rsidRPr="00B42C71" w:rsidRDefault="00B42C71" w:rsidP="007D361A">
            <w:pPr>
              <w:keepNext w:val="0"/>
              <w:spacing w:before="0"/>
              <w:ind w:left="306"/>
              <w:contextualSpacing/>
              <w:rPr>
                <w:color w:val="auto"/>
              </w:rPr>
            </w:pPr>
          </w:p>
          <w:p w14:paraId="117E18DA" w14:textId="77777777" w:rsidR="00B42C71" w:rsidRPr="00BD69DD" w:rsidRDefault="00B42C71" w:rsidP="00B42C71">
            <w:pPr>
              <w:keepNext w:val="0"/>
              <w:spacing w:before="0"/>
              <w:ind w:left="360"/>
              <w:contextualSpacing/>
              <w:rPr>
                <w:b/>
                <w:bCs/>
                <w:color w:val="auto"/>
              </w:rPr>
            </w:pPr>
            <w:r w:rsidRPr="00BD69DD">
              <w:rPr>
                <w:b/>
                <w:bCs/>
                <w:color w:val="auto"/>
              </w:rPr>
              <w:t>Non-Designated Heritage Assets</w:t>
            </w:r>
          </w:p>
          <w:p w14:paraId="2E22AEB1" w14:textId="77777777" w:rsidR="00D0115A" w:rsidRDefault="00D0115A" w:rsidP="00D0115A">
            <w:pPr>
              <w:keepNext w:val="0"/>
              <w:spacing w:before="0"/>
              <w:contextualSpacing/>
              <w:rPr>
                <w:color w:val="auto"/>
              </w:rPr>
            </w:pPr>
          </w:p>
          <w:p w14:paraId="71D01BD8" w14:textId="409D20E9" w:rsidR="00B42C71" w:rsidRPr="00B42C71" w:rsidRDefault="00D0115A" w:rsidP="00D0115A">
            <w:pPr>
              <w:keepNext w:val="0"/>
              <w:spacing w:before="0"/>
              <w:contextualSpacing/>
              <w:rPr>
                <w:color w:val="auto"/>
              </w:rPr>
            </w:pPr>
            <w:r w:rsidRPr="004B7C65">
              <w:rPr>
                <w:strike/>
                <w:color w:val="auto"/>
              </w:rPr>
              <w:t>10.</w:t>
            </w:r>
            <w:r>
              <w:rPr>
                <w:color w:val="auto"/>
              </w:rPr>
              <w:t xml:space="preserve"> </w:t>
            </w:r>
            <w:r w:rsidR="004B7C65" w:rsidRPr="00E56F9C">
              <w:rPr>
                <w:color w:val="006AB9"/>
              </w:rPr>
              <w:t>11.</w:t>
            </w:r>
            <w:r w:rsidR="004B7C65">
              <w:rPr>
                <w:color w:val="auto"/>
              </w:rPr>
              <w:t xml:space="preserve"> </w:t>
            </w:r>
            <w:r w:rsidR="00B42C71" w:rsidRPr="00B42C71">
              <w:rPr>
                <w:color w:val="auto"/>
              </w:rPr>
              <w:t>Non-Designated Heritage Assets in Ashfield include:</w:t>
            </w:r>
          </w:p>
          <w:p w14:paraId="57C922BB" w14:textId="77777777" w:rsidR="00B42C71" w:rsidRPr="00B42C71" w:rsidRDefault="00B42C71" w:rsidP="00B42C71">
            <w:pPr>
              <w:keepNext w:val="0"/>
              <w:spacing w:before="0"/>
              <w:ind w:left="360"/>
              <w:contextualSpacing/>
              <w:rPr>
                <w:color w:val="auto"/>
              </w:rPr>
            </w:pPr>
          </w:p>
          <w:p w14:paraId="5A46441D" w14:textId="77777777" w:rsidR="00B42C71" w:rsidRPr="00B42C71" w:rsidRDefault="00B42C71" w:rsidP="00874A98">
            <w:pPr>
              <w:keepNext w:val="0"/>
              <w:numPr>
                <w:ilvl w:val="0"/>
                <w:numId w:val="258"/>
              </w:numPr>
              <w:spacing w:before="0"/>
              <w:contextualSpacing/>
              <w:rPr>
                <w:color w:val="auto"/>
              </w:rPr>
            </w:pPr>
            <w:r w:rsidRPr="00B42C71">
              <w:rPr>
                <w:color w:val="auto"/>
              </w:rPr>
              <w:t>Local Heritage Assets</w:t>
            </w:r>
            <w:r w:rsidRPr="00B42C71">
              <w:rPr>
                <w:color w:val="auto"/>
                <w:vertAlign w:val="superscript"/>
              </w:rPr>
              <w:t>2</w:t>
            </w:r>
            <w:r w:rsidRPr="00B42C71">
              <w:rPr>
                <w:color w:val="auto"/>
              </w:rPr>
              <w:t>;</w:t>
            </w:r>
          </w:p>
          <w:p w14:paraId="54AFE0C1" w14:textId="77777777" w:rsidR="00B42C71" w:rsidRPr="00B42C71" w:rsidRDefault="00B42C71" w:rsidP="00874A98">
            <w:pPr>
              <w:keepNext w:val="0"/>
              <w:numPr>
                <w:ilvl w:val="0"/>
                <w:numId w:val="258"/>
              </w:numPr>
              <w:spacing w:before="0"/>
              <w:contextualSpacing/>
              <w:rPr>
                <w:color w:val="auto"/>
              </w:rPr>
            </w:pPr>
            <w:r w:rsidRPr="00B42C71">
              <w:rPr>
                <w:color w:val="auto"/>
              </w:rPr>
              <w:t>Sites or Areas of Archaeological Interest</w:t>
            </w:r>
            <w:r w:rsidRPr="00B42C71">
              <w:rPr>
                <w:color w:val="auto"/>
                <w:vertAlign w:val="superscript"/>
              </w:rPr>
              <w:t>3</w:t>
            </w:r>
            <w:r w:rsidRPr="00B42C71">
              <w:rPr>
                <w:color w:val="auto"/>
              </w:rPr>
              <w:t>;</w:t>
            </w:r>
          </w:p>
          <w:p w14:paraId="7A4E2C3E" w14:textId="77777777" w:rsidR="00B42C71" w:rsidRPr="00B42C71" w:rsidRDefault="00B42C71" w:rsidP="00874A98">
            <w:pPr>
              <w:keepNext w:val="0"/>
              <w:numPr>
                <w:ilvl w:val="0"/>
                <w:numId w:val="258"/>
              </w:numPr>
              <w:spacing w:before="0"/>
              <w:contextualSpacing/>
              <w:rPr>
                <w:color w:val="auto"/>
              </w:rPr>
            </w:pPr>
            <w:r w:rsidRPr="00B42C71">
              <w:rPr>
                <w:color w:val="auto"/>
              </w:rPr>
              <w:t>Unregistered Parks and Gardens</w:t>
            </w:r>
            <w:r w:rsidRPr="00B42C71">
              <w:rPr>
                <w:color w:val="auto"/>
                <w:vertAlign w:val="superscript"/>
              </w:rPr>
              <w:t>3</w:t>
            </w:r>
            <w:r w:rsidRPr="00B42C71">
              <w:rPr>
                <w:color w:val="auto"/>
              </w:rPr>
              <w:t>;</w:t>
            </w:r>
          </w:p>
          <w:p w14:paraId="24044873" w14:textId="77777777" w:rsidR="00B42C71" w:rsidRPr="00B42C71" w:rsidRDefault="00B42C71" w:rsidP="00874A98">
            <w:pPr>
              <w:keepNext w:val="0"/>
              <w:numPr>
                <w:ilvl w:val="0"/>
                <w:numId w:val="258"/>
              </w:numPr>
              <w:spacing w:before="0"/>
              <w:contextualSpacing/>
              <w:rPr>
                <w:color w:val="auto"/>
              </w:rPr>
            </w:pPr>
            <w:r w:rsidRPr="00B42C71">
              <w:rPr>
                <w:color w:val="auto"/>
              </w:rPr>
              <w:t>Landscape features as defined in the Landscape Character Assessment (2009) including ancient woodlands and veteran trees, field patterns, watercourses, drainage ditches and hedgerows of visual and historic value.</w:t>
            </w:r>
          </w:p>
          <w:p w14:paraId="535C3C6B" w14:textId="77777777" w:rsidR="00B42C71" w:rsidRPr="00B42C71" w:rsidRDefault="00B42C71" w:rsidP="00B42C71">
            <w:pPr>
              <w:keepNext w:val="0"/>
              <w:spacing w:before="0"/>
              <w:ind w:left="720"/>
              <w:contextualSpacing/>
              <w:rPr>
                <w:color w:val="auto"/>
              </w:rPr>
            </w:pPr>
          </w:p>
          <w:p w14:paraId="62BD2A20" w14:textId="09878B93" w:rsidR="00C73BA0" w:rsidRPr="00985BCC" w:rsidRDefault="00D0115A" w:rsidP="00D0115A">
            <w:pPr>
              <w:keepNext w:val="0"/>
              <w:spacing w:before="0"/>
              <w:ind w:left="447" w:hanging="447"/>
              <w:contextualSpacing/>
            </w:pPr>
            <w:r w:rsidRPr="004B7C65">
              <w:rPr>
                <w:strike/>
              </w:rPr>
              <w:t>11</w:t>
            </w:r>
            <w:r>
              <w:t xml:space="preserve">. </w:t>
            </w:r>
            <w:r w:rsidR="004B7C65" w:rsidRPr="00E56F9C">
              <w:rPr>
                <w:color w:val="006AB9"/>
              </w:rPr>
              <w:t xml:space="preserve">12. </w:t>
            </w:r>
            <w:r w:rsidR="00C73BA0" w:rsidRPr="00985BCC">
              <w:t>Non-designated heritage assets of archaeological interest, which are demonstrably of equivalent significance to scheduled monuments, will be considered subject to the policies for designated heritage assets.</w:t>
            </w:r>
          </w:p>
          <w:p w14:paraId="096A09B7" w14:textId="77777777" w:rsidR="00C73BA0" w:rsidRDefault="00C73BA0" w:rsidP="00D0115A">
            <w:pPr>
              <w:keepNext w:val="0"/>
              <w:spacing w:before="0"/>
              <w:ind w:left="447" w:hanging="447"/>
              <w:contextualSpacing/>
              <w:rPr>
                <w:color w:val="auto"/>
              </w:rPr>
            </w:pPr>
          </w:p>
          <w:p w14:paraId="1486AA24" w14:textId="4AF59DA4" w:rsidR="00B42C71" w:rsidRPr="00B42C71" w:rsidRDefault="00D0115A" w:rsidP="00D0115A">
            <w:pPr>
              <w:keepNext w:val="0"/>
              <w:spacing w:before="0"/>
              <w:ind w:left="447" w:hanging="447"/>
              <w:contextualSpacing/>
              <w:rPr>
                <w:color w:val="auto"/>
              </w:rPr>
            </w:pPr>
            <w:r w:rsidRPr="004B7C65">
              <w:rPr>
                <w:strike/>
                <w:color w:val="auto"/>
              </w:rPr>
              <w:t>12</w:t>
            </w:r>
            <w:r>
              <w:rPr>
                <w:color w:val="auto"/>
              </w:rPr>
              <w:t xml:space="preserve">. </w:t>
            </w:r>
            <w:r w:rsidR="004B7C65" w:rsidRPr="00E56F9C">
              <w:rPr>
                <w:color w:val="006AB9"/>
              </w:rPr>
              <w:t xml:space="preserve">13. </w:t>
            </w:r>
            <w:r w:rsidR="0070738F" w:rsidRPr="00E56F9C">
              <w:rPr>
                <w:color w:val="006AB9"/>
              </w:rPr>
              <w:t xml:space="preserve">The retention of non-designated heritage assets is encouraged.  Where a proposal affects directly or indirectly a non-designated heritage asset, </w:t>
            </w:r>
            <w:r w:rsidR="0070738F" w:rsidRPr="0070738F">
              <w:rPr>
                <w:color w:val="auto"/>
              </w:rPr>
              <w:t>a</w:t>
            </w:r>
            <w:r w:rsidR="00B42C71" w:rsidRPr="0070738F">
              <w:rPr>
                <w:color w:val="auto"/>
              </w:rPr>
              <w:t xml:space="preserve"> </w:t>
            </w:r>
            <w:r w:rsidR="00B42C71" w:rsidRPr="00B42C71">
              <w:rPr>
                <w:color w:val="auto"/>
              </w:rPr>
              <w:t xml:space="preserve">balanced judgement shall be taken </w:t>
            </w:r>
            <w:r w:rsidR="00B42C71" w:rsidRPr="0070738F">
              <w:rPr>
                <w:strike/>
                <w:color w:val="auto"/>
              </w:rPr>
              <w:t>with proposals that affect directly or indirectly non-designated heritage assets,</w:t>
            </w:r>
            <w:r w:rsidR="00B42C71" w:rsidRPr="00B42C71">
              <w:rPr>
                <w:color w:val="auto"/>
              </w:rPr>
              <w:t xml:space="preserve"> having regard to the scale of the harm or loss and the significance of the heritage asset.</w:t>
            </w:r>
          </w:p>
          <w:p w14:paraId="0D39F5AE" w14:textId="77777777" w:rsidR="00B42C71" w:rsidRPr="00B42C71" w:rsidRDefault="00B42C71" w:rsidP="00B42C71">
            <w:pPr>
              <w:keepNext w:val="0"/>
              <w:spacing w:before="0"/>
              <w:rPr>
                <w:color w:val="auto"/>
              </w:rPr>
            </w:pPr>
          </w:p>
          <w:p w14:paraId="4E9E3A2E" w14:textId="444EBC43" w:rsidR="009C0639" w:rsidRPr="009C0639" w:rsidRDefault="00851683" w:rsidP="009C0639">
            <w:pPr>
              <w:keepNext w:val="0"/>
              <w:spacing w:before="0"/>
              <w:ind w:left="376"/>
              <w:rPr>
                <w:color w:val="auto"/>
                <w:szCs w:val="24"/>
              </w:rPr>
            </w:pPr>
            <w:r w:rsidRPr="00E56F9C">
              <w:rPr>
                <w:color w:val="006AB9"/>
                <w:szCs w:val="24"/>
              </w:rPr>
              <w:t>14</w:t>
            </w:r>
            <w:r w:rsidR="004774E8" w:rsidRPr="00E56F9C">
              <w:rPr>
                <w:color w:val="006AB9"/>
                <w:szCs w:val="24"/>
              </w:rPr>
              <w:t>.</w:t>
            </w:r>
            <w:r w:rsidR="004774E8">
              <w:rPr>
                <w:strike/>
                <w:color w:val="auto"/>
                <w:szCs w:val="24"/>
              </w:rPr>
              <w:t xml:space="preserve"> </w:t>
            </w:r>
            <w:r w:rsidR="009C0639" w:rsidRPr="009C0639">
              <w:rPr>
                <w:strike/>
                <w:color w:val="auto"/>
                <w:szCs w:val="24"/>
              </w:rPr>
              <w:t>Demolition</w:t>
            </w:r>
            <w:r w:rsidR="009C0639" w:rsidRPr="009C0639">
              <w:rPr>
                <w:color w:val="auto"/>
                <w:szCs w:val="24"/>
              </w:rPr>
              <w:t xml:space="preserve"> </w:t>
            </w:r>
            <w:r w:rsidR="009C0639" w:rsidRPr="00E56F9C">
              <w:rPr>
                <w:color w:val="006AB9"/>
                <w:szCs w:val="24"/>
              </w:rPr>
              <w:t xml:space="preserve">Substantial harm or the loss of the significance of non-designated heritage assets </w:t>
            </w:r>
            <w:r w:rsidR="009C0639" w:rsidRPr="009C0639">
              <w:rPr>
                <w:color w:val="auto"/>
                <w:szCs w:val="24"/>
              </w:rPr>
              <w:t>will</w:t>
            </w:r>
            <w:r w:rsidR="009C0639" w:rsidRPr="00E56F9C">
              <w:rPr>
                <w:color w:val="006AB9"/>
                <w:szCs w:val="24"/>
              </w:rPr>
              <w:t xml:space="preserve"> not be supported, </w:t>
            </w:r>
            <w:r w:rsidR="009C0639" w:rsidRPr="009C0639">
              <w:rPr>
                <w:strike/>
                <w:color w:val="auto"/>
                <w:szCs w:val="24"/>
              </w:rPr>
              <w:t>only be permitted where it is</w:t>
            </w:r>
            <w:r w:rsidR="009C0639" w:rsidRPr="009C0639">
              <w:rPr>
                <w:color w:val="auto"/>
                <w:szCs w:val="24"/>
              </w:rPr>
              <w:t xml:space="preserve"> </w:t>
            </w:r>
            <w:r w:rsidR="009C0639" w:rsidRPr="00E56F9C">
              <w:rPr>
                <w:color w:val="006AB9"/>
                <w:szCs w:val="24"/>
              </w:rPr>
              <w:t xml:space="preserve">unless it can be </w:t>
            </w:r>
            <w:r w:rsidR="009C0639" w:rsidRPr="009C0639">
              <w:rPr>
                <w:color w:val="auto"/>
                <w:szCs w:val="24"/>
              </w:rPr>
              <w:t>demonstrated:</w:t>
            </w:r>
          </w:p>
          <w:p w14:paraId="341FB8CA" w14:textId="77777777" w:rsidR="00B42C71" w:rsidRPr="00B42C71" w:rsidRDefault="00B42C71" w:rsidP="00B42C71">
            <w:pPr>
              <w:keepNext w:val="0"/>
              <w:spacing w:before="0"/>
              <w:ind w:left="360"/>
              <w:rPr>
                <w:color w:val="auto"/>
              </w:rPr>
            </w:pPr>
          </w:p>
          <w:p w14:paraId="4000D9C6" w14:textId="77777777" w:rsidR="00B42C71" w:rsidRPr="00B42C71" w:rsidRDefault="00B42C71" w:rsidP="00874A98">
            <w:pPr>
              <w:keepNext w:val="0"/>
              <w:numPr>
                <w:ilvl w:val="0"/>
                <w:numId w:val="259"/>
              </w:numPr>
              <w:spacing w:before="0"/>
              <w:ind w:left="720"/>
              <w:contextualSpacing/>
              <w:rPr>
                <w:color w:val="auto"/>
              </w:rPr>
            </w:pPr>
            <w:r w:rsidRPr="00B42C71">
              <w:rPr>
                <w:color w:val="auto"/>
              </w:rPr>
              <w:t>that the architectural or historical significance of the non-designated heritage asset is minimal; or</w:t>
            </w:r>
          </w:p>
          <w:p w14:paraId="7BAF6A33" w14:textId="77777777" w:rsidR="00B42C71" w:rsidRPr="00B42C71" w:rsidRDefault="00B42C71" w:rsidP="00874A98">
            <w:pPr>
              <w:keepNext w:val="0"/>
              <w:numPr>
                <w:ilvl w:val="0"/>
                <w:numId w:val="259"/>
              </w:numPr>
              <w:spacing w:before="0"/>
              <w:ind w:left="720"/>
              <w:contextualSpacing/>
              <w:rPr>
                <w:color w:val="auto"/>
              </w:rPr>
            </w:pPr>
            <w:r w:rsidRPr="00B42C71">
              <w:rPr>
                <w:color w:val="auto"/>
              </w:rPr>
              <w:t xml:space="preserve">through an </w:t>
            </w:r>
            <w:proofErr w:type="gramStart"/>
            <w:r w:rsidRPr="00B42C71">
              <w:rPr>
                <w:color w:val="auto"/>
              </w:rPr>
              <w:t>up to date</w:t>
            </w:r>
            <w:proofErr w:type="gramEnd"/>
            <w:r w:rsidRPr="00B42C71">
              <w:rPr>
                <w:color w:val="auto"/>
              </w:rPr>
              <w:t xml:space="preserve"> structural report, that the non-designated heritage asset is not capable of viable repair; or</w:t>
            </w:r>
          </w:p>
          <w:p w14:paraId="00385992" w14:textId="0D282126" w:rsidR="00620175" w:rsidRDefault="00B42C71" w:rsidP="00620175">
            <w:pPr>
              <w:keepNext w:val="0"/>
              <w:numPr>
                <w:ilvl w:val="0"/>
                <w:numId w:val="259"/>
              </w:numPr>
              <w:spacing w:before="0"/>
              <w:ind w:left="720"/>
              <w:contextualSpacing/>
              <w:rPr>
                <w:color w:val="auto"/>
              </w:rPr>
            </w:pPr>
            <w:r w:rsidRPr="00B42C71">
              <w:rPr>
                <w:color w:val="auto"/>
              </w:rPr>
              <w:t xml:space="preserve">through appropriate marketing, that the non-designated heritage asset has no viable use. </w:t>
            </w:r>
          </w:p>
          <w:p w14:paraId="6D203A12" w14:textId="77777777" w:rsidR="00620175" w:rsidRDefault="00620175" w:rsidP="00620175">
            <w:pPr>
              <w:keepNext w:val="0"/>
              <w:spacing w:before="0"/>
              <w:contextualSpacing/>
              <w:rPr>
                <w:color w:val="auto"/>
              </w:rPr>
            </w:pPr>
          </w:p>
          <w:p w14:paraId="2D73C5A6" w14:textId="77777777" w:rsidR="00620175" w:rsidRPr="00E56F9C" w:rsidRDefault="00620175" w:rsidP="00620175">
            <w:pPr>
              <w:spacing w:before="0"/>
              <w:ind w:left="306"/>
              <w:rPr>
                <w:rFonts w:cs="Arial"/>
                <w:b/>
                <w:bCs/>
                <w:color w:val="006AB9"/>
                <w:szCs w:val="24"/>
              </w:rPr>
            </w:pPr>
            <w:r w:rsidRPr="00E56F9C">
              <w:rPr>
                <w:rFonts w:cs="Arial"/>
                <w:b/>
                <w:bCs/>
                <w:color w:val="006AB9"/>
                <w:szCs w:val="24"/>
              </w:rPr>
              <w:t>Archaeology</w:t>
            </w:r>
          </w:p>
          <w:p w14:paraId="0E0A902C" w14:textId="77777777" w:rsidR="00620175" w:rsidRPr="00E56F9C" w:rsidRDefault="00620175" w:rsidP="00620175">
            <w:pPr>
              <w:spacing w:before="0"/>
              <w:ind w:left="306"/>
              <w:rPr>
                <w:rFonts w:cs="Arial"/>
                <w:b/>
                <w:bCs/>
                <w:color w:val="006AB9"/>
                <w:szCs w:val="24"/>
              </w:rPr>
            </w:pPr>
          </w:p>
          <w:p w14:paraId="4D7241DA" w14:textId="6AD66C10" w:rsidR="00620175" w:rsidRPr="00E56F9C" w:rsidRDefault="00D0115A" w:rsidP="00D0115A">
            <w:pPr>
              <w:spacing w:before="0"/>
              <w:ind w:left="447" w:hanging="425"/>
              <w:rPr>
                <w:rFonts w:cs="Arial"/>
                <w:color w:val="006AB9"/>
                <w:szCs w:val="24"/>
              </w:rPr>
            </w:pPr>
            <w:r w:rsidRPr="00E56F9C">
              <w:rPr>
                <w:rFonts w:cs="Arial"/>
                <w:color w:val="006AB9"/>
                <w:szCs w:val="24"/>
              </w:rPr>
              <w:t>1</w:t>
            </w:r>
            <w:r w:rsidR="004774E8" w:rsidRPr="00E56F9C">
              <w:rPr>
                <w:rFonts w:cs="Arial"/>
                <w:color w:val="006AB9"/>
                <w:szCs w:val="24"/>
              </w:rPr>
              <w:t>5</w:t>
            </w:r>
            <w:r w:rsidRPr="00E56F9C">
              <w:rPr>
                <w:rFonts w:cs="Arial"/>
                <w:color w:val="006AB9"/>
                <w:szCs w:val="24"/>
              </w:rPr>
              <w:t xml:space="preserve">. </w:t>
            </w:r>
            <w:r w:rsidR="00620175" w:rsidRPr="00E56F9C">
              <w:rPr>
                <w:rFonts w:cs="Arial"/>
                <w:color w:val="006AB9"/>
                <w:szCs w:val="24"/>
              </w:rPr>
              <w:t xml:space="preserve">Proposals should take account of their effect on sites and their settings with the potential for archaeological interest. Where proposals are likely to affect known important sites, sites of significant archaeological potential, or those that become known through the development process, will be required to submit an appropriate desk-based assessment and, where necessary, a field evaluation. This will then be used to inform a range of archaeological mitigation measures, if required, for preservation by record and more occasionally preservation in situ. </w:t>
            </w:r>
          </w:p>
          <w:p w14:paraId="002CA405" w14:textId="77777777" w:rsidR="00620175" w:rsidRPr="00620175" w:rsidRDefault="00620175" w:rsidP="00620175">
            <w:pPr>
              <w:keepNext w:val="0"/>
              <w:spacing w:before="0"/>
              <w:contextualSpacing/>
              <w:rPr>
                <w:color w:val="auto"/>
              </w:rPr>
            </w:pPr>
          </w:p>
          <w:p w14:paraId="734B7337" w14:textId="6BB8D957" w:rsidR="00B42C71" w:rsidRPr="00B42C71" w:rsidRDefault="00B42C71" w:rsidP="00B42C71">
            <w:pPr>
              <w:keepNext w:val="0"/>
              <w:spacing w:before="0"/>
              <w:rPr>
                <w:color w:val="auto"/>
              </w:rPr>
            </w:pPr>
            <w:r w:rsidRPr="00B42C71">
              <w:rPr>
                <w:color w:val="auto"/>
              </w:rPr>
              <w:t xml:space="preserve">Existing Conservation Areas are detailed in paragraph </w:t>
            </w:r>
            <w:r w:rsidR="0095521E">
              <w:rPr>
                <w:color w:val="auto"/>
              </w:rPr>
              <w:t>5</w:t>
            </w:r>
            <w:r w:rsidRPr="00B42C71">
              <w:rPr>
                <w:color w:val="auto"/>
              </w:rPr>
              <w:t>.1</w:t>
            </w:r>
            <w:r w:rsidR="0095521E">
              <w:rPr>
                <w:color w:val="auto"/>
              </w:rPr>
              <w:t>5</w:t>
            </w:r>
            <w:r w:rsidR="003F7348">
              <w:rPr>
                <w:color w:val="auto"/>
              </w:rPr>
              <w:t>3</w:t>
            </w:r>
            <w:r w:rsidRPr="00B42C71">
              <w:rPr>
                <w:color w:val="auto"/>
              </w:rPr>
              <w:t xml:space="preserve"> and shown on the Policies Map. Listed Buildings, Scheduled Monuments and Registered Parks and Gardens are listed in the National Heritage List for England, Scheduled Monuments are also listed in Appendix 10 and shown on the Policies Map.  Registered and Unregistered Parks and Gardens are listed below in paragraph </w:t>
            </w:r>
            <w:r w:rsidR="0095521E" w:rsidRPr="000D7A30">
              <w:rPr>
                <w:color w:val="auto"/>
              </w:rPr>
              <w:t>5.17</w:t>
            </w:r>
            <w:r w:rsidR="003F7348" w:rsidRPr="000D7A30">
              <w:rPr>
                <w:color w:val="auto"/>
              </w:rPr>
              <w:t>5</w:t>
            </w:r>
            <w:r w:rsidRPr="00B42C71">
              <w:rPr>
                <w:color w:val="auto"/>
              </w:rPr>
              <w:t xml:space="preserve"> and shown on the Policies Map.  Any new sites identified after the Local Plan is adopted will be protected under this Policy.</w:t>
            </w:r>
          </w:p>
          <w:p w14:paraId="308FFA8B" w14:textId="77777777" w:rsidR="00B42C71" w:rsidRPr="00B42C71" w:rsidRDefault="00B42C71" w:rsidP="00B42C71">
            <w:pPr>
              <w:keepNext w:val="0"/>
              <w:spacing w:before="0"/>
              <w:rPr>
                <w:color w:val="auto"/>
              </w:rPr>
            </w:pPr>
          </w:p>
          <w:p w14:paraId="1E8B8030" w14:textId="77777777" w:rsidR="00B42C71" w:rsidRPr="00B42C71" w:rsidRDefault="00B42C71" w:rsidP="00B42C71">
            <w:pPr>
              <w:keepNext w:val="0"/>
              <w:spacing w:before="0"/>
              <w:rPr>
                <w:color w:val="auto"/>
                <w:sz w:val="20"/>
              </w:rPr>
            </w:pPr>
            <w:r w:rsidRPr="00B42C71">
              <w:rPr>
                <w:color w:val="auto"/>
                <w:sz w:val="20"/>
              </w:rPr>
              <w:lastRenderedPageBreak/>
              <w:t>1 Any object or structure fixed to the principal listed building or any object or structure within its curtilage that has formed part of the land since before 1st July 1948 is also protected.</w:t>
            </w:r>
          </w:p>
          <w:p w14:paraId="68C1752C" w14:textId="6986996D" w:rsidR="00B42C71" w:rsidRPr="00B42C71" w:rsidRDefault="00B42C71" w:rsidP="00B42C71">
            <w:pPr>
              <w:keepNext w:val="0"/>
              <w:spacing w:before="0"/>
              <w:rPr>
                <w:color w:val="auto"/>
                <w:sz w:val="20"/>
              </w:rPr>
            </w:pPr>
            <w:r w:rsidRPr="00B42C71">
              <w:rPr>
                <w:color w:val="auto"/>
                <w:sz w:val="20"/>
              </w:rPr>
              <w:t>2 As identified in the Nottinghamshire Historic Environment Record (HER)</w:t>
            </w:r>
            <w:r w:rsidR="00D1054F">
              <w:rPr>
                <w:color w:val="auto"/>
                <w:sz w:val="20"/>
              </w:rPr>
              <w:t>,</w:t>
            </w:r>
            <w:r w:rsidRPr="00B42C71">
              <w:rPr>
                <w:color w:val="auto"/>
                <w:sz w:val="20"/>
              </w:rPr>
              <w:t xml:space="preserve"> or by the District Council using the guidance publication Local Heritage Assets in Ashfield: Criteria.</w:t>
            </w:r>
          </w:p>
          <w:p w14:paraId="745273D3" w14:textId="77777777" w:rsidR="00B42C71" w:rsidRDefault="00B42C71" w:rsidP="00B42C71">
            <w:pPr>
              <w:keepNext w:val="0"/>
              <w:spacing w:before="0"/>
              <w:rPr>
                <w:color w:val="auto"/>
                <w:sz w:val="20"/>
              </w:rPr>
            </w:pPr>
            <w:r w:rsidRPr="00B42C71">
              <w:rPr>
                <w:color w:val="auto"/>
                <w:sz w:val="20"/>
              </w:rPr>
              <w:t>3 As identified in the Nottinghamshire Historic Environment Record (HER).</w:t>
            </w:r>
          </w:p>
          <w:p w14:paraId="60B8FA9D" w14:textId="125F7D31" w:rsidR="00E27808" w:rsidRPr="00B42C71" w:rsidRDefault="00E27808" w:rsidP="00B42C71">
            <w:pPr>
              <w:keepNext w:val="0"/>
              <w:spacing w:before="0"/>
              <w:rPr>
                <w:color w:val="auto"/>
              </w:rPr>
            </w:pPr>
          </w:p>
        </w:tc>
      </w:tr>
      <w:tr w:rsidR="00B42C71" w:rsidRPr="00B42C71" w14:paraId="59644E35" w14:textId="77777777" w:rsidTr="000339D2">
        <w:tc>
          <w:tcPr>
            <w:tcW w:w="2400" w:type="dxa"/>
          </w:tcPr>
          <w:p w14:paraId="6959002B" w14:textId="77777777" w:rsidR="00B42C71" w:rsidRPr="00B42C71" w:rsidRDefault="00B42C71" w:rsidP="000032A9">
            <w:pPr>
              <w:keepNext w:val="0"/>
              <w:spacing w:before="0"/>
              <w:rPr>
                <w:color w:val="auto"/>
                <w:sz w:val="20"/>
              </w:rPr>
            </w:pPr>
            <w:r w:rsidRPr="00B42C71">
              <w:rPr>
                <w:color w:val="auto"/>
                <w:sz w:val="20"/>
              </w:rPr>
              <w:lastRenderedPageBreak/>
              <w:t>Evidence base</w:t>
            </w:r>
          </w:p>
        </w:tc>
        <w:tc>
          <w:tcPr>
            <w:tcW w:w="7219" w:type="dxa"/>
          </w:tcPr>
          <w:p w14:paraId="166866D0" w14:textId="69CEE8BC" w:rsidR="00B42C71" w:rsidRPr="002E7654" w:rsidRDefault="00EE551A" w:rsidP="00874A98">
            <w:pPr>
              <w:keepNext w:val="0"/>
              <w:numPr>
                <w:ilvl w:val="0"/>
                <w:numId w:val="253"/>
              </w:numPr>
              <w:spacing w:before="0"/>
              <w:contextualSpacing/>
              <w:rPr>
                <w:sz w:val="20"/>
              </w:rPr>
            </w:pPr>
            <w:r w:rsidRPr="002E7654">
              <w:rPr>
                <w:sz w:val="20"/>
              </w:rPr>
              <w:t xml:space="preserve">Ashfield </w:t>
            </w:r>
            <w:r w:rsidR="00B42C71" w:rsidRPr="002E7654">
              <w:rPr>
                <w:sz w:val="20"/>
              </w:rPr>
              <w:t>Sustainability Appraisal, 202</w:t>
            </w:r>
            <w:r w:rsidR="00B40389" w:rsidRPr="002E7654">
              <w:rPr>
                <w:sz w:val="20"/>
              </w:rPr>
              <w:t>3</w:t>
            </w:r>
            <w:r w:rsidR="00B42C71" w:rsidRPr="002E7654">
              <w:rPr>
                <w:sz w:val="20"/>
              </w:rPr>
              <w:t>.</w:t>
            </w:r>
            <w:r w:rsidR="00B40389" w:rsidRPr="002E7654">
              <w:t xml:space="preserve"> </w:t>
            </w:r>
            <w:r w:rsidR="00B40389" w:rsidRPr="002E7654">
              <w:rPr>
                <w:sz w:val="20"/>
              </w:rPr>
              <w:t xml:space="preserve">WSP UK </w:t>
            </w:r>
            <w:proofErr w:type="gramStart"/>
            <w:r w:rsidR="00B40389" w:rsidRPr="002E7654">
              <w:rPr>
                <w:sz w:val="20"/>
              </w:rPr>
              <w:t>Limited</w:t>
            </w:r>
            <w:r w:rsidR="00B42C71" w:rsidRPr="002E7654">
              <w:rPr>
                <w:sz w:val="20"/>
              </w:rPr>
              <w:t xml:space="preserve"> .</w:t>
            </w:r>
            <w:proofErr w:type="gramEnd"/>
          </w:p>
          <w:p w14:paraId="3E3CF056" w14:textId="77777777" w:rsidR="00B42C71" w:rsidRPr="00B42C71" w:rsidRDefault="00B42C71" w:rsidP="00874A98">
            <w:pPr>
              <w:keepNext w:val="0"/>
              <w:numPr>
                <w:ilvl w:val="0"/>
                <w:numId w:val="253"/>
              </w:numPr>
              <w:spacing w:before="0"/>
              <w:contextualSpacing/>
              <w:rPr>
                <w:color w:val="auto"/>
                <w:sz w:val="20"/>
              </w:rPr>
            </w:pPr>
            <w:r w:rsidRPr="002E7654">
              <w:rPr>
                <w:sz w:val="20"/>
              </w:rPr>
              <w:t>Ashfield Criteria for Local Heritage Asset Designation 2013</w:t>
            </w:r>
            <w:r w:rsidRPr="00B42C71">
              <w:rPr>
                <w:color w:val="auto"/>
                <w:sz w:val="20"/>
              </w:rPr>
              <w:t>.  Ashfield District Council.</w:t>
            </w:r>
          </w:p>
          <w:p w14:paraId="42DCE49D" w14:textId="77777777" w:rsidR="00B42C71" w:rsidRPr="00B42C71" w:rsidRDefault="00B42C71" w:rsidP="00874A98">
            <w:pPr>
              <w:keepNext w:val="0"/>
              <w:numPr>
                <w:ilvl w:val="0"/>
                <w:numId w:val="253"/>
              </w:numPr>
              <w:spacing w:before="0"/>
              <w:contextualSpacing/>
              <w:rPr>
                <w:color w:val="auto"/>
                <w:sz w:val="20"/>
              </w:rPr>
            </w:pPr>
            <w:r w:rsidRPr="00B42C71">
              <w:rPr>
                <w:color w:val="auto"/>
                <w:sz w:val="20"/>
              </w:rPr>
              <w:t>Listed Buildings at Risk Register, Historic England.</w:t>
            </w:r>
          </w:p>
          <w:p w14:paraId="2F3B3EEA" w14:textId="77777777" w:rsidR="00B42C71" w:rsidRPr="00B42C71" w:rsidRDefault="00B42C71" w:rsidP="00874A98">
            <w:pPr>
              <w:keepNext w:val="0"/>
              <w:numPr>
                <w:ilvl w:val="0"/>
                <w:numId w:val="253"/>
              </w:numPr>
              <w:spacing w:before="0"/>
              <w:contextualSpacing/>
              <w:rPr>
                <w:color w:val="auto"/>
                <w:sz w:val="20"/>
              </w:rPr>
            </w:pPr>
            <w:r w:rsidRPr="00B42C71">
              <w:rPr>
                <w:color w:val="auto"/>
                <w:sz w:val="20"/>
              </w:rPr>
              <w:t>Hardwick Hall Setting Study. 2016, ATKINS (for National Trust)</w:t>
            </w:r>
          </w:p>
          <w:p w14:paraId="0EE975B8" w14:textId="77777777" w:rsidR="00B42C71" w:rsidRPr="00B42C71" w:rsidRDefault="00B42C71" w:rsidP="00874A98">
            <w:pPr>
              <w:keepNext w:val="0"/>
              <w:numPr>
                <w:ilvl w:val="0"/>
                <w:numId w:val="253"/>
              </w:numPr>
              <w:spacing w:before="0"/>
              <w:contextualSpacing/>
              <w:rPr>
                <w:color w:val="auto"/>
                <w:sz w:val="20"/>
              </w:rPr>
            </w:pPr>
            <w:r w:rsidRPr="00B42C71">
              <w:rPr>
                <w:color w:val="auto"/>
                <w:sz w:val="20"/>
              </w:rPr>
              <w:t>Greater Nottinghamshire Landscape Character Assessment 2009. TEP (for Nottinghamshire County Council &amp; Greater Nottingham Authorities).</w:t>
            </w:r>
          </w:p>
          <w:p w14:paraId="2D55DE19" w14:textId="77777777" w:rsidR="00B42C71" w:rsidRPr="00B42C71" w:rsidRDefault="00B42C71" w:rsidP="00874A98">
            <w:pPr>
              <w:keepNext w:val="0"/>
              <w:numPr>
                <w:ilvl w:val="0"/>
                <w:numId w:val="253"/>
              </w:numPr>
              <w:spacing w:before="0"/>
              <w:contextualSpacing/>
              <w:rPr>
                <w:color w:val="auto"/>
                <w:sz w:val="20"/>
              </w:rPr>
            </w:pPr>
            <w:r w:rsidRPr="00B42C71">
              <w:rPr>
                <w:color w:val="auto"/>
                <w:sz w:val="20"/>
              </w:rPr>
              <w:t>Annesley Conservation Area. Adopted 1999, Ashfield District Council</w:t>
            </w:r>
          </w:p>
          <w:p w14:paraId="52363F25" w14:textId="77777777" w:rsidR="00B42C71" w:rsidRPr="00B42C71" w:rsidRDefault="00B42C71" w:rsidP="00874A98">
            <w:pPr>
              <w:keepNext w:val="0"/>
              <w:numPr>
                <w:ilvl w:val="0"/>
                <w:numId w:val="253"/>
              </w:numPr>
              <w:spacing w:before="0"/>
              <w:contextualSpacing/>
              <w:rPr>
                <w:color w:val="auto"/>
                <w:sz w:val="20"/>
              </w:rPr>
            </w:pPr>
            <w:r w:rsidRPr="00B42C71">
              <w:rPr>
                <w:color w:val="auto"/>
                <w:sz w:val="20"/>
              </w:rPr>
              <w:t xml:space="preserve">Lower </w:t>
            </w:r>
            <w:proofErr w:type="spellStart"/>
            <w:r w:rsidRPr="00B42C71">
              <w:rPr>
                <w:color w:val="auto"/>
                <w:sz w:val="20"/>
              </w:rPr>
              <w:t>Bagthorpe</w:t>
            </w:r>
            <w:proofErr w:type="spellEnd"/>
            <w:r w:rsidRPr="00B42C71">
              <w:rPr>
                <w:color w:val="auto"/>
                <w:sz w:val="20"/>
              </w:rPr>
              <w:t xml:space="preserve"> Conservation Area. Adopted 1975, amended 2007, Ashfield District Council</w:t>
            </w:r>
          </w:p>
          <w:p w14:paraId="06215506" w14:textId="77777777" w:rsidR="00B42C71" w:rsidRPr="00B42C71" w:rsidRDefault="00B42C71" w:rsidP="00874A98">
            <w:pPr>
              <w:keepNext w:val="0"/>
              <w:numPr>
                <w:ilvl w:val="0"/>
                <w:numId w:val="253"/>
              </w:numPr>
              <w:spacing w:before="0"/>
              <w:contextualSpacing/>
              <w:rPr>
                <w:color w:val="auto"/>
                <w:sz w:val="20"/>
              </w:rPr>
            </w:pPr>
            <w:r w:rsidRPr="00B42C71">
              <w:rPr>
                <w:color w:val="auto"/>
                <w:sz w:val="20"/>
              </w:rPr>
              <w:t>Kirkby Cross Conservation Area. Adopted 1975, amended 2004, Ashfield District Council</w:t>
            </w:r>
          </w:p>
          <w:p w14:paraId="47C76DD8" w14:textId="77777777" w:rsidR="00B42C71" w:rsidRPr="00B42C71" w:rsidRDefault="00B42C71" w:rsidP="00874A98">
            <w:pPr>
              <w:keepNext w:val="0"/>
              <w:numPr>
                <w:ilvl w:val="0"/>
                <w:numId w:val="253"/>
              </w:numPr>
              <w:spacing w:before="0"/>
              <w:contextualSpacing/>
              <w:rPr>
                <w:color w:val="auto"/>
                <w:sz w:val="20"/>
              </w:rPr>
            </w:pPr>
            <w:r w:rsidRPr="00B42C71">
              <w:rPr>
                <w:color w:val="auto"/>
                <w:sz w:val="20"/>
              </w:rPr>
              <w:t>Sutton in Ashfield Church and Market Place Conservation Area. Adopted 2015, Ashfield District Council</w:t>
            </w:r>
          </w:p>
          <w:p w14:paraId="48CDC6D1" w14:textId="77777777" w:rsidR="00B42C71" w:rsidRPr="00B42C71" w:rsidRDefault="00B42C71" w:rsidP="00874A98">
            <w:pPr>
              <w:keepNext w:val="0"/>
              <w:numPr>
                <w:ilvl w:val="0"/>
                <w:numId w:val="253"/>
              </w:numPr>
              <w:spacing w:before="0"/>
              <w:contextualSpacing/>
              <w:rPr>
                <w:color w:val="auto"/>
                <w:sz w:val="20"/>
              </w:rPr>
            </w:pPr>
            <w:r w:rsidRPr="00B42C71">
              <w:rPr>
                <w:color w:val="auto"/>
                <w:sz w:val="20"/>
              </w:rPr>
              <w:t>Teversal Conservation Area. Adopted 1970, amended 2012, Ashfield District Council</w:t>
            </w:r>
          </w:p>
          <w:p w14:paraId="75025D6F" w14:textId="77777777" w:rsidR="00B42C71" w:rsidRDefault="00B42C71" w:rsidP="00874A98">
            <w:pPr>
              <w:keepNext w:val="0"/>
              <w:numPr>
                <w:ilvl w:val="0"/>
                <w:numId w:val="253"/>
              </w:numPr>
              <w:spacing w:before="0"/>
              <w:contextualSpacing/>
              <w:rPr>
                <w:color w:val="auto"/>
                <w:sz w:val="20"/>
              </w:rPr>
            </w:pPr>
            <w:r w:rsidRPr="00B42C71">
              <w:rPr>
                <w:color w:val="auto"/>
                <w:sz w:val="20"/>
              </w:rPr>
              <w:t>Hucknall Town Centre Conservation Area. Adopted 2019, Ashfield District Council</w:t>
            </w:r>
          </w:p>
          <w:p w14:paraId="1951277B" w14:textId="76C76707" w:rsidR="008016CC" w:rsidRPr="00B42C71" w:rsidRDefault="008016CC" w:rsidP="00874A98">
            <w:pPr>
              <w:keepNext w:val="0"/>
              <w:numPr>
                <w:ilvl w:val="0"/>
                <w:numId w:val="253"/>
              </w:numPr>
              <w:spacing w:before="0"/>
              <w:contextualSpacing/>
              <w:rPr>
                <w:color w:val="auto"/>
                <w:sz w:val="20"/>
              </w:rPr>
            </w:pPr>
            <w:r w:rsidRPr="000D7A30">
              <w:rPr>
                <w:rFonts w:eastAsia="Arial" w:cs="Arial"/>
                <w:bCs/>
                <w:color w:val="0070C0"/>
                <w:sz w:val="20"/>
              </w:rPr>
              <w:t>Heritage Impact Assessment, 2023, Rocket Heritage &amp; Archaeology Ltd.</w:t>
            </w:r>
          </w:p>
        </w:tc>
      </w:tr>
      <w:tr w:rsidR="00B42C71" w:rsidRPr="00B42C71" w14:paraId="06A0726B" w14:textId="77777777" w:rsidTr="000339D2">
        <w:tc>
          <w:tcPr>
            <w:tcW w:w="2400" w:type="dxa"/>
          </w:tcPr>
          <w:p w14:paraId="78192DC1" w14:textId="77777777" w:rsidR="00B42C71" w:rsidRPr="00B42C71" w:rsidRDefault="00B42C71" w:rsidP="000032A9">
            <w:pPr>
              <w:keepNext w:val="0"/>
              <w:spacing w:before="0"/>
              <w:rPr>
                <w:color w:val="auto"/>
                <w:sz w:val="20"/>
              </w:rPr>
            </w:pPr>
            <w:r w:rsidRPr="00B42C71">
              <w:rPr>
                <w:color w:val="auto"/>
                <w:sz w:val="20"/>
              </w:rPr>
              <w:t>National Planning Policy and Guidance</w:t>
            </w:r>
          </w:p>
        </w:tc>
        <w:tc>
          <w:tcPr>
            <w:tcW w:w="7219" w:type="dxa"/>
          </w:tcPr>
          <w:p w14:paraId="78FD3188" w14:textId="6DA5DF8D" w:rsidR="00B42C71" w:rsidRPr="00B42C71" w:rsidRDefault="00B42C71" w:rsidP="00874A98">
            <w:pPr>
              <w:keepNext w:val="0"/>
              <w:numPr>
                <w:ilvl w:val="0"/>
                <w:numId w:val="254"/>
              </w:numPr>
              <w:spacing w:before="0"/>
              <w:contextualSpacing/>
              <w:rPr>
                <w:color w:val="auto"/>
                <w:sz w:val="20"/>
              </w:rPr>
            </w:pPr>
            <w:r w:rsidRPr="00B42C71">
              <w:rPr>
                <w:color w:val="auto"/>
                <w:sz w:val="20"/>
              </w:rPr>
              <w:t>NPPF 202</w:t>
            </w:r>
            <w:r w:rsidR="004173E0">
              <w:rPr>
                <w:color w:val="auto"/>
                <w:sz w:val="20"/>
              </w:rPr>
              <w:t>3</w:t>
            </w:r>
            <w:r w:rsidRPr="00B42C71">
              <w:rPr>
                <w:color w:val="auto"/>
                <w:sz w:val="20"/>
              </w:rPr>
              <w:t>, Part 2: Achieving sustainable development.</w:t>
            </w:r>
          </w:p>
          <w:p w14:paraId="24622851" w14:textId="72543D48" w:rsidR="00B42C71" w:rsidRPr="00B42C71" w:rsidRDefault="00B42C71" w:rsidP="00874A98">
            <w:pPr>
              <w:keepNext w:val="0"/>
              <w:numPr>
                <w:ilvl w:val="0"/>
                <w:numId w:val="254"/>
              </w:numPr>
              <w:spacing w:before="0"/>
              <w:contextualSpacing/>
              <w:rPr>
                <w:color w:val="auto"/>
                <w:sz w:val="20"/>
              </w:rPr>
            </w:pPr>
            <w:r w:rsidRPr="00B42C71">
              <w:rPr>
                <w:color w:val="auto"/>
                <w:sz w:val="20"/>
              </w:rPr>
              <w:t>NPPF 202</w:t>
            </w:r>
            <w:r w:rsidR="004173E0">
              <w:rPr>
                <w:color w:val="auto"/>
                <w:sz w:val="20"/>
              </w:rPr>
              <w:t>3</w:t>
            </w:r>
            <w:r w:rsidRPr="00B42C71">
              <w:rPr>
                <w:color w:val="auto"/>
                <w:sz w:val="20"/>
              </w:rPr>
              <w:t>, Part 16: Conserving and enhancing the historic environment.</w:t>
            </w:r>
          </w:p>
          <w:p w14:paraId="64B17348" w14:textId="49E0070A" w:rsidR="00B42C71" w:rsidRPr="00B42C71" w:rsidRDefault="00B42C71" w:rsidP="00874A98">
            <w:pPr>
              <w:keepNext w:val="0"/>
              <w:numPr>
                <w:ilvl w:val="0"/>
                <w:numId w:val="254"/>
              </w:numPr>
              <w:spacing w:before="0"/>
              <w:contextualSpacing/>
              <w:rPr>
                <w:color w:val="auto"/>
                <w:sz w:val="20"/>
              </w:rPr>
            </w:pPr>
            <w:r w:rsidRPr="00B42C71">
              <w:rPr>
                <w:color w:val="auto"/>
                <w:sz w:val="20"/>
              </w:rPr>
              <w:t xml:space="preserve">Planning Practice Guidance: Historic Environment as of </w:t>
            </w:r>
            <w:r w:rsidR="00B40389" w:rsidRPr="002E7654">
              <w:rPr>
                <w:sz w:val="20"/>
              </w:rPr>
              <w:t>July 2019</w:t>
            </w:r>
            <w:r w:rsidRPr="002E7654">
              <w:rPr>
                <w:sz w:val="20"/>
              </w:rPr>
              <w:t>.</w:t>
            </w:r>
          </w:p>
        </w:tc>
      </w:tr>
    </w:tbl>
    <w:p w14:paraId="35A8997D" w14:textId="77777777" w:rsidR="00B42C71" w:rsidRDefault="00B42C71" w:rsidP="00B42C71">
      <w:pPr>
        <w:keepNext w:val="0"/>
        <w:autoSpaceDE w:val="0"/>
        <w:autoSpaceDN w:val="0"/>
        <w:adjustRightInd w:val="0"/>
        <w:spacing w:before="0"/>
        <w:ind w:left="525"/>
        <w:rPr>
          <w:rFonts w:eastAsia="Arial" w:cs="Arial"/>
          <w:spacing w:val="-1"/>
        </w:rPr>
      </w:pPr>
    </w:p>
    <w:p w14:paraId="4EB2EEA9" w14:textId="62CA2248" w:rsidR="00CA1587" w:rsidRPr="002E7654"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B42C71">
        <w:rPr>
          <w:rFonts w:eastAsia="Arial" w:cs="Arial"/>
          <w:spacing w:val="-1"/>
        </w:rPr>
        <w:t>The historic environment is an important asset for Ashfield District and provides us with an understanding of both the past and the present. It is a physical record of our history and is central to our cultural heritage</w:t>
      </w:r>
      <w:r w:rsidR="00BF5CA9" w:rsidRPr="00B42C71">
        <w:rPr>
          <w:rFonts w:eastAsia="Arial" w:cs="Arial"/>
          <w:spacing w:val="-1"/>
        </w:rPr>
        <w:t xml:space="preserve"> and </w:t>
      </w:r>
      <w:r w:rsidRPr="00B42C71">
        <w:rPr>
          <w:rFonts w:eastAsia="Arial" w:cs="Arial"/>
          <w:spacing w:val="-1"/>
        </w:rPr>
        <w:t>provid</w:t>
      </w:r>
      <w:r w:rsidR="00BF5CA9" w:rsidRPr="00B42C71">
        <w:rPr>
          <w:rFonts w:eastAsia="Arial" w:cs="Arial"/>
          <w:spacing w:val="-1"/>
        </w:rPr>
        <w:t>es a</w:t>
      </w:r>
      <w:r w:rsidRPr="00B42C71">
        <w:rPr>
          <w:rFonts w:eastAsia="Arial" w:cs="Arial"/>
          <w:spacing w:val="-1"/>
        </w:rPr>
        <w:t xml:space="preserve"> sense of place. The Council is committed </w:t>
      </w:r>
      <w:r w:rsidRPr="002E7654">
        <w:rPr>
          <w:rFonts w:eastAsia="Arial" w:cs="Arial"/>
          <w:spacing w:val="-1"/>
        </w:rPr>
        <w:t xml:space="preserve">to </w:t>
      </w:r>
      <w:r w:rsidR="0028773A" w:rsidRPr="002E7654">
        <w:rPr>
          <w:rFonts w:eastAsia="Arial" w:cs="Arial"/>
          <w:spacing w:val="-1"/>
        </w:rPr>
        <w:t xml:space="preserve">the desirability to protect, conserve and where possible enhance </w:t>
      </w:r>
      <w:r w:rsidRPr="002E7654">
        <w:rPr>
          <w:rFonts w:eastAsia="Arial" w:cs="Arial"/>
          <w:spacing w:val="-1"/>
        </w:rPr>
        <w:t xml:space="preserve">the </w:t>
      </w:r>
      <w:proofErr w:type="gramStart"/>
      <w:r w:rsidRPr="002E7654">
        <w:rPr>
          <w:rFonts w:eastAsia="Arial" w:cs="Arial"/>
          <w:spacing w:val="-1"/>
        </w:rPr>
        <w:t>District’s</w:t>
      </w:r>
      <w:proofErr w:type="gramEnd"/>
      <w:r w:rsidRPr="002E7654">
        <w:rPr>
          <w:rFonts w:eastAsia="Arial" w:cs="Arial"/>
          <w:spacing w:val="-1"/>
        </w:rPr>
        <w:t xml:space="preserve"> historic environment.</w:t>
      </w:r>
    </w:p>
    <w:p w14:paraId="417ABAE9" w14:textId="77777777" w:rsidR="00CA1587" w:rsidRPr="002E7654" w:rsidRDefault="00CA1587" w:rsidP="00C66622">
      <w:pPr>
        <w:keepNext w:val="0"/>
        <w:tabs>
          <w:tab w:val="num" w:pos="851"/>
        </w:tabs>
        <w:autoSpaceDE w:val="0"/>
        <w:autoSpaceDN w:val="0"/>
        <w:adjustRightInd w:val="0"/>
        <w:spacing w:before="0"/>
        <w:ind w:left="851" w:hanging="851"/>
        <w:rPr>
          <w:rFonts w:eastAsia="Arial" w:cs="Arial"/>
          <w:spacing w:val="-1"/>
        </w:rPr>
      </w:pPr>
    </w:p>
    <w:p w14:paraId="1C615D9B" w14:textId="294D6A6F" w:rsidR="00CA1587" w:rsidRPr="002E7654"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2E7654">
        <w:rPr>
          <w:rFonts w:eastAsia="Arial" w:cs="Arial"/>
          <w:spacing w:val="-1"/>
        </w:rPr>
        <w:t xml:space="preserve">The Council has a duty to </w:t>
      </w:r>
      <w:r w:rsidR="0028773A" w:rsidRPr="002E7654">
        <w:rPr>
          <w:rFonts w:eastAsia="Arial" w:cs="Arial"/>
          <w:spacing w:val="-1"/>
          <w:szCs w:val="24"/>
        </w:rPr>
        <w:t>h</w:t>
      </w:r>
      <w:r w:rsidR="0028773A" w:rsidRPr="002E7654">
        <w:rPr>
          <w:rStyle w:val="cf01"/>
          <w:rFonts w:ascii="Arial" w:hAnsi="Arial" w:cs="Arial"/>
          <w:sz w:val="24"/>
          <w:szCs w:val="24"/>
        </w:rPr>
        <w:t xml:space="preserve">ave special regard to the desirability to preserve or </w:t>
      </w:r>
      <w:r w:rsidRPr="002E7654">
        <w:rPr>
          <w:rFonts w:eastAsia="Arial" w:cs="Arial"/>
          <w:spacing w:val="-1"/>
        </w:rPr>
        <w:t xml:space="preserve">enhance the significance, character and appearance of the </w:t>
      </w:r>
      <w:proofErr w:type="gramStart"/>
      <w:r w:rsidRPr="002E7654">
        <w:rPr>
          <w:rFonts w:eastAsia="Arial" w:cs="Arial"/>
          <w:spacing w:val="-1"/>
        </w:rPr>
        <w:t>District’s</w:t>
      </w:r>
      <w:proofErr w:type="gramEnd"/>
      <w:r w:rsidRPr="002E7654">
        <w:rPr>
          <w:rFonts w:eastAsia="Arial" w:cs="Arial"/>
          <w:spacing w:val="-1"/>
        </w:rPr>
        <w:t xml:space="preserve"> historic environment when carrying out its statutory functions and through the planning system. It is recognised that the historic environment contributes to the enjoyment of life in the </w:t>
      </w:r>
      <w:proofErr w:type="gramStart"/>
      <w:r w:rsidRPr="002E7654">
        <w:rPr>
          <w:rFonts w:eastAsia="Arial" w:cs="Arial"/>
          <w:spacing w:val="-1"/>
        </w:rPr>
        <w:t>District</w:t>
      </w:r>
      <w:proofErr w:type="gramEnd"/>
      <w:r w:rsidRPr="002E7654">
        <w:rPr>
          <w:rFonts w:eastAsia="Arial" w:cs="Arial"/>
          <w:spacing w:val="-1"/>
        </w:rPr>
        <w:t xml:space="preserve"> and provides a unique sense of identity. Policy EV</w:t>
      </w:r>
      <w:r w:rsidR="004E709C" w:rsidRPr="002E7654">
        <w:rPr>
          <w:rFonts w:eastAsia="Arial" w:cs="Arial"/>
          <w:spacing w:val="-1"/>
        </w:rPr>
        <w:t>9</w:t>
      </w:r>
      <w:r w:rsidRPr="002E7654">
        <w:rPr>
          <w:rFonts w:eastAsia="Arial" w:cs="Arial"/>
          <w:spacing w:val="-1"/>
        </w:rPr>
        <w:t xml:space="preserve"> reflects this duty in line with national planning guidance</w:t>
      </w:r>
      <w:r w:rsidR="0028773A" w:rsidRPr="002E7654">
        <w:rPr>
          <w:rFonts w:eastAsia="Arial" w:cs="Arial"/>
          <w:spacing w:val="-1"/>
        </w:rPr>
        <w:t xml:space="preserve"> and legislation</w:t>
      </w:r>
      <w:r w:rsidRPr="002E7654">
        <w:rPr>
          <w:rFonts w:eastAsia="Arial" w:cs="Arial"/>
          <w:spacing w:val="-1"/>
        </w:rPr>
        <w:t xml:space="preserve">.   </w:t>
      </w:r>
    </w:p>
    <w:p w14:paraId="5E50B86E"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59C04BD8"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The historic environment is all aspects of the environment which have resulted from the interaction between people and places through time, including all surviving physical remains of past human activity, whether visible, buried or submerged, and landscaped planting or managed flora.  Those elements of the historic environment that hold significance are called heritage assets.</w:t>
      </w:r>
    </w:p>
    <w:p w14:paraId="412A8F49"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18C7B9FD" w14:textId="754C9E9F"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Heritage assets are buildings, monuments, sites, places, areas or landscapes of historic, archaeological, architectural or artistic interest, whether designated or not, that have a degree of significance. The term ‘significance’ (for heritage policy) can be defined as “the value of a heritage asset to this and future generations because </w:t>
      </w:r>
      <w:r w:rsidRPr="00CA1587">
        <w:rPr>
          <w:rFonts w:eastAsia="Arial" w:cs="Arial"/>
          <w:spacing w:val="-1"/>
        </w:rPr>
        <w:lastRenderedPageBreak/>
        <w:t xml:space="preserve">of its heritage interest”. In measuring the significance of an </w:t>
      </w:r>
      <w:r w:rsidR="009A1B9A" w:rsidRPr="00CA1587">
        <w:rPr>
          <w:rFonts w:eastAsia="Arial" w:cs="Arial"/>
          <w:spacing w:val="-1"/>
        </w:rPr>
        <w:t>asset,</w:t>
      </w:r>
      <w:r w:rsidRPr="00CA1587">
        <w:rPr>
          <w:rFonts w:eastAsia="Arial" w:cs="Arial"/>
          <w:spacing w:val="-1"/>
        </w:rPr>
        <w:t xml:space="preserve"> </w:t>
      </w:r>
      <w:proofErr w:type="gramStart"/>
      <w:r w:rsidRPr="00CA1587">
        <w:rPr>
          <w:rFonts w:eastAsia="Arial" w:cs="Arial"/>
          <w:spacing w:val="-1"/>
        </w:rPr>
        <w:t>a number of</w:t>
      </w:r>
      <w:proofErr w:type="gramEnd"/>
      <w:r w:rsidRPr="00CA1587">
        <w:rPr>
          <w:rFonts w:eastAsia="Arial" w:cs="Arial"/>
          <w:spacing w:val="-1"/>
        </w:rPr>
        <w:t xml:space="preserve"> factors are assessed, including, but not restricted to, an asset’s rarity, representativeness, association, integrity, evidential value, historical value, aesthetic value, and communal value. Heritage assets identified after the Local Plan is adopted or </w:t>
      </w:r>
      <w:proofErr w:type="gramStart"/>
      <w:r w:rsidRPr="00CA1587">
        <w:rPr>
          <w:rFonts w:eastAsia="Arial" w:cs="Arial"/>
          <w:spacing w:val="-1"/>
        </w:rPr>
        <w:t>during the course of</w:t>
      </w:r>
      <w:proofErr w:type="gramEnd"/>
      <w:r w:rsidRPr="00CA1587">
        <w:rPr>
          <w:rFonts w:eastAsia="Arial" w:cs="Arial"/>
          <w:spacing w:val="-1"/>
        </w:rPr>
        <w:t xml:space="preserve"> a development application will be protected under Policy EV</w:t>
      </w:r>
      <w:r w:rsidR="00EF521C">
        <w:rPr>
          <w:rFonts w:eastAsia="Arial" w:cs="Arial"/>
          <w:spacing w:val="-1"/>
        </w:rPr>
        <w:t>9</w:t>
      </w:r>
      <w:r w:rsidRPr="00CA1587">
        <w:rPr>
          <w:rFonts w:eastAsia="Arial" w:cs="Arial"/>
          <w:spacing w:val="-1"/>
        </w:rPr>
        <w:t>.</w:t>
      </w:r>
    </w:p>
    <w:p w14:paraId="4136E9EA"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72B88907"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Heritage assets include listed buildings, conservation areas, world heritage sites, historic parks and gardens and scheduled monuments. The definition also covers non-designated assets including buildings of local interest, areas of archaeological interest, unregistered parks and gardens and landscape features as defined in the Nottinghamshire Landscape Character Assessment. The significance of these ‘non-designated assets’ is a material consideration in determining planning applications. </w:t>
      </w:r>
    </w:p>
    <w:p w14:paraId="68FC6472"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35A6675F" w14:textId="20753EED" w:rsidR="00CA1587" w:rsidRPr="008C275A" w:rsidRDefault="00CA1587" w:rsidP="00646236">
      <w:pPr>
        <w:keepNext w:val="0"/>
        <w:tabs>
          <w:tab w:val="num" w:pos="851"/>
        </w:tabs>
        <w:autoSpaceDE w:val="0"/>
        <w:autoSpaceDN w:val="0"/>
        <w:adjustRightInd w:val="0"/>
        <w:spacing w:before="0"/>
        <w:ind w:left="851"/>
        <w:rPr>
          <w:rFonts w:eastAsia="Arial" w:cs="Arial"/>
          <w:b/>
          <w:bCs/>
          <w:spacing w:val="-1"/>
        </w:rPr>
      </w:pPr>
      <w:r w:rsidRPr="008C275A">
        <w:rPr>
          <w:rFonts w:eastAsia="Arial" w:cs="Arial"/>
          <w:b/>
          <w:bCs/>
          <w:spacing w:val="-1"/>
        </w:rPr>
        <w:t>Conservation Areas</w:t>
      </w:r>
    </w:p>
    <w:p w14:paraId="4BD867F3"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Ashfield’s six designated Conservation Areas </w:t>
      </w:r>
      <w:proofErr w:type="gramStart"/>
      <w:r w:rsidRPr="00CA1587">
        <w:rPr>
          <w:rFonts w:eastAsia="Arial" w:cs="Arial"/>
          <w:spacing w:val="-1"/>
        </w:rPr>
        <w:t>are :</w:t>
      </w:r>
      <w:proofErr w:type="gramEnd"/>
    </w:p>
    <w:p w14:paraId="4818B735" w14:textId="55F28E14" w:rsidR="00CA1587" w:rsidRPr="008C275A" w:rsidRDefault="00CA1587" w:rsidP="00874A98">
      <w:pPr>
        <w:pStyle w:val="ListParagraph"/>
        <w:numPr>
          <w:ilvl w:val="0"/>
          <w:numId w:val="227"/>
        </w:numPr>
        <w:tabs>
          <w:tab w:val="num" w:pos="1843"/>
        </w:tabs>
        <w:autoSpaceDE w:val="0"/>
        <w:autoSpaceDN w:val="0"/>
        <w:adjustRightInd w:val="0"/>
        <w:ind w:left="2127" w:hanging="851"/>
        <w:rPr>
          <w:rFonts w:ascii="Arial" w:eastAsia="Arial" w:hAnsi="Arial" w:cs="Arial"/>
          <w:spacing w:val="-1"/>
        </w:rPr>
      </w:pPr>
      <w:r w:rsidRPr="008C275A">
        <w:rPr>
          <w:rFonts w:ascii="Arial" w:eastAsia="Arial" w:hAnsi="Arial" w:cs="Arial"/>
          <w:spacing w:val="-1"/>
        </w:rPr>
        <w:t>EV</w:t>
      </w:r>
      <w:r w:rsidR="0095521E">
        <w:rPr>
          <w:rFonts w:ascii="Arial" w:eastAsia="Arial" w:hAnsi="Arial" w:cs="Arial"/>
          <w:spacing w:val="-1"/>
        </w:rPr>
        <w:t>9</w:t>
      </w:r>
      <w:r w:rsidRPr="008C275A">
        <w:rPr>
          <w:rFonts w:ascii="Arial" w:eastAsia="Arial" w:hAnsi="Arial" w:cs="Arial"/>
          <w:spacing w:val="-1"/>
        </w:rPr>
        <w:t xml:space="preserve"> Ca - Kirkby Cross </w:t>
      </w:r>
    </w:p>
    <w:p w14:paraId="7739559A" w14:textId="0F4C860F" w:rsidR="00CA1587" w:rsidRPr="008C275A" w:rsidRDefault="00CA1587" w:rsidP="00874A98">
      <w:pPr>
        <w:pStyle w:val="ListParagraph"/>
        <w:numPr>
          <w:ilvl w:val="0"/>
          <w:numId w:val="227"/>
        </w:numPr>
        <w:tabs>
          <w:tab w:val="num" w:pos="1843"/>
        </w:tabs>
        <w:autoSpaceDE w:val="0"/>
        <w:autoSpaceDN w:val="0"/>
        <w:adjustRightInd w:val="0"/>
        <w:ind w:left="2127" w:hanging="851"/>
        <w:rPr>
          <w:rFonts w:ascii="Arial" w:eastAsia="Arial" w:hAnsi="Arial" w:cs="Arial"/>
          <w:spacing w:val="-1"/>
        </w:rPr>
      </w:pPr>
      <w:r w:rsidRPr="008C275A">
        <w:rPr>
          <w:rFonts w:ascii="Arial" w:eastAsia="Arial" w:hAnsi="Arial" w:cs="Arial"/>
          <w:spacing w:val="-1"/>
        </w:rPr>
        <w:t>EV</w:t>
      </w:r>
      <w:r w:rsidR="0095521E">
        <w:rPr>
          <w:rFonts w:ascii="Arial" w:eastAsia="Arial" w:hAnsi="Arial" w:cs="Arial"/>
          <w:spacing w:val="-1"/>
        </w:rPr>
        <w:t>9</w:t>
      </w:r>
      <w:r w:rsidRPr="008C275A">
        <w:rPr>
          <w:rFonts w:ascii="Arial" w:eastAsia="Arial" w:hAnsi="Arial" w:cs="Arial"/>
          <w:spacing w:val="-1"/>
        </w:rPr>
        <w:t xml:space="preserve"> </w:t>
      </w:r>
      <w:proofErr w:type="spellStart"/>
      <w:r w:rsidRPr="008C275A">
        <w:rPr>
          <w:rFonts w:ascii="Arial" w:eastAsia="Arial" w:hAnsi="Arial" w:cs="Arial"/>
          <w:spacing w:val="-1"/>
        </w:rPr>
        <w:t>Cb</w:t>
      </w:r>
      <w:proofErr w:type="spellEnd"/>
      <w:r w:rsidRPr="008C275A">
        <w:rPr>
          <w:rFonts w:ascii="Arial" w:eastAsia="Arial" w:hAnsi="Arial" w:cs="Arial"/>
          <w:spacing w:val="-1"/>
        </w:rPr>
        <w:t xml:space="preserve"> - Lower </w:t>
      </w:r>
      <w:proofErr w:type="spellStart"/>
      <w:r w:rsidRPr="008C275A">
        <w:rPr>
          <w:rFonts w:ascii="Arial" w:eastAsia="Arial" w:hAnsi="Arial" w:cs="Arial"/>
          <w:spacing w:val="-1"/>
        </w:rPr>
        <w:t>Bagthorpe</w:t>
      </w:r>
      <w:proofErr w:type="spellEnd"/>
      <w:r w:rsidRPr="008C275A">
        <w:rPr>
          <w:rFonts w:ascii="Arial" w:eastAsia="Arial" w:hAnsi="Arial" w:cs="Arial"/>
          <w:spacing w:val="-1"/>
        </w:rPr>
        <w:t xml:space="preserve"> </w:t>
      </w:r>
    </w:p>
    <w:p w14:paraId="6D95DD9E" w14:textId="12B890D5" w:rsidR="00CA1587" w:rsidRPr="008C275A" w:rsidRDefault="00CA1587" w:rsidP="00874A98">
      <w:pPr>
        <w:pStyle w:val="ListParagraph"/>
        <w:numPr>
          <w:ilvl w:val="0"/>
          <w:numId w:val="227"/>
        </w:numPr>
        <w:tabs>
          <w:tab w:val="num" w:pos="1843"/>
        </w:tabs>
        <w:autoSpaceDE w:val="0"/>
        <w:autoSpaceDN w:val="0"/>
        <w:adjustRightInd w:val="0"/>
        <w:ind w:left="2127" w:hanging="851"/>
        <w:rPr>
          <w:rFonts w:ascii="Arial" w:eastAsia="Arial" w:hAnsi="Arial" w:cs="Arial"/>
          <w:spacing w:val="-1"/>
        </w:rPr>
      </w:pPr>
      <w:r w:rsidRPr="008C275A">
        <w:rPr>
          <w:rFonts w:ascii="Arial" w:eastAsia="Arial" w:hAnsi="Arial" w:cs="Arial"/>
          <w:spacing w:val="-1"/>
        </w:rPr>
        <w:t>EV</w:t>
      </w:r>
      <w:r w:rsidR="0095521E">
        <w:rPr>
          <w:rFonts w:ascii="Arial" w:eastAsia="Arial" w:hAnsi="Arial" w:cs="Arial"/>
          <w:spacing w:val="-1"/>
        </w:rPr>
        <w:t>9</w:t>
      </w:r>
      <w:r w:rsidRPr="008C275A">
        <w:rPr>
          <w:rFonts w:ascii="Arial" w:eastAsia="Arial" w:hAnsi="Arial" w:cs="Arial"/>
          <w:spacing w:val="-1"/>
        </w:rPr>
        <w:t xml:space="preserve"> Cc - Teversal</w:t>
      </w:r>
    </w:p>
    <w:p w14:paraId="2963ED29" w14:textId="34D5E52A" w:rsidR="00CA1587" w:rsidRPr="008C275A" w:rsidRDefault="00CA1587" w:rsidP="00874A98">
      <w:pPr>
        <w:pStyle w:val="ListParagraph"/>
        <w:numPr>
          <w:ilvl w:val="0"/>
          <w:numId w:val="227"/>
        </w:numPr>
        <w:tabs>
          <w:tab w:val="num" w:pos="1843"/>
        </w:tabs>
        <w:autoSpaceDE w:val="0"/>
        <w:autoSpaceDN w:val="0"/>
        <w:adjustRightInd w:val="0"/>
        <w:ind w:left="2127" w:hanging="851"/>
        <w:rPr>
          <w:rFonts w:ascii="Arial" w:eastAsia="Arial" w:hAnsi="Arial" w:cs="Arial"/>
          <w:spacing w:val="-1"/>
        </w:rPr>
      </w:pPr>
      <w:r w:rsidRPr="008C275A">
        <w:rPr>
          <w:rFonts w:ascii="Arial" w:eastAsia="Arial" w:hAnsi="Arial" w:cs="Arial"/>
          <w:spacing w:val="-1"/>
        </w:rPr>
        <w:t>EV</w:t>
      </w:r>
      <w:r w:rsidR="0095521E">
        <w:rPr>
          <w:rFonts w:ascii="Arial" w:eastAsia="Arial" w:hAnsi="Arial" w:cs="Arial"/>
          <w:spacing w:val="-1"/>
        </w:rPr>
        <w:t>9</w:t>
      </w:r>
      <w:r w:rsidRPr="008C275A">
        <w:rPr>
          <w:rFonts w:ascii="Arial" w:eastAsia="Arial" w:hAnsi="Arial" w:cs="Arial"/>
          <w:spacing w:val="-1"/>
        </w:rPr>
        <w:t xml:space="preserve"> Cd - New Annesley</w:t>
      </w:r>
    </w:p>
    <w:p w14:paraId="798E13FC" w14:textId="21473B64" w:rsidR="00CA1587" w:rsidRPr="008C275A" w:rsidRDefault="00CA1587" w:rsidP="00874A98">
      <w:pPr>
        <w:pStyle w:val="ListParagraph"/>
        <w:numPr>
          <w:ilvl w:val="0"/>
          <w:numId w:val="227"/>
        </w:numPr>
        <w:tabs>
          <w:tab w:val="num" w:pos="1843"/>
        </w:tabs>
        <w:autoSpaceDE w:val="0"/>
        <w:autoSpaceDN w:val="0"/>
        <w:adjustRightInd w:val="0"/>
        <w:ind w:left="2127" w:hanging="851"/>
        <w:rPr>
          <w:rFonts w:ascii="Arial" w:eastAsia="Arial" w:hAnsi="Arial" w:cs="Arial"/>
          <w:spacing w:val="-1"/>
        </w:rPr>
      </w:pPr>
      <w:r w:rsidRPr="008C275A">
        <w:rPr>
          <w:rFonts w:ascii="Arial" w:eastAsia="Arial" w:hAnsi="Arial" w:cs="Arial"/>
          <w:spacing w:val="-1"/>
        </w:rPr>
        <w:t>EV</w:t>
      </w:r>
      <w:r w:rsidR="0095521E">
        <w:rPr>
          <w:rFonts w:ascii="Arial" w:eastAsia="Arial" w:hAnsi="Arial" w:cs="Arial"/>
          <w:spacing w:val="-1"/>
        </w:rPr>
        <w:t>9</w:t>
      </w:r>
      <w:r w:rsidRPr="008C275A">
        <w:rPr>
          <w:rFonts w:ascii="Arial" w:eastAsia="Arial" w:hAnsi="Arial" w:cs="Arial"/>
          <w:spacing w:val="-1"/>
        </w:rPr>
        <w:t xml:space="preserve"> Ce - Sutton in Ashfield Church and Market Place</w:t>
      </w:r>
    </w:p>
    <w:p w14:paraId="056E4CF4" w14:textId="71CF9858" w:rsidR="00CA1587" w:rsidRPr="002E7654" w:rsidRDefault="00CA1587" w:rsidP="00874A98">
      <w:pPr>
        <w:pStyle w:val="ListParagraph"/>
        <w:numPr>
          <w:ilvl w:val="0"/>
          <w:numId w:val="227"/>
        </w:numPr>
        <w:tabs>
          <w:tab w:val="num" w:pos="1843"/>
        </w:tabs>
        <w:autoSpaceDE w:val="0"/>
        <w:autoSpaceDN w:val="0"/>
        <w:adjustRightInd w:val="0"/>
        <w:ind w:left="2127" w:hanging="851"/>
        <w:rPr>
          <w:rFonts w:ascii="Arial" w:eastAsia="Arial" w:hAnsi="Arial" w:cs="Arial"/>
          <w:spacing w:val="-1"/>
        </w:rPr>
      </w:pPr>
      <w:r w:rsidRPr="008C275A">
        <w:rPr>
          <w:rFonts w:ascii="Arial" w:eastAsia="Arial" w:hAnsi="Arial" w:cs="Arial"/>
          <w:spacing w:val="-1"/>
        </w:rPr>
        <w:t>EV</w:t>
      </w:r>
      <w:r w:rsidR="0095521E">
        <w:rPr>
          <w:rFonts w:ascii="Arial" w:eastAsia="Arial" w:hAnsi="Arial" w:cs="Arial"/>
          <w:spacing w:val="-1"/>
        </w:rPr>
        <w:t>9</w:t>
      </w:r>
      <w:r w:rsidR="008C275A" w:rsidRPr="008C275A">
        <w:rPr>
          <w:rFonts w:ascii="Arial" w:eastAsia="Arial" w:hAnsi="Arial" w:cs="Arial"/>
          <w:spacing w:val="-1"/>
        </w:rPr>
        <w:t xml:space="preserve"> Cf</w:t>
      </w:r>
      <w:r w:rsidRPr="008C275A">
        <w:rPr>
          <w:rFonts w:ascii="Arial" w:eastAsia="Arial" w:hAnsi="Arial" w:cs="Arial"/>
          <w:spacing w:val="-1"/>
        </w:rPr>
        <w:t xml:space="preserve"> </w:t>
      </w:r>
      <w:r w:rsidR="005A1A0E">
        <w:rPr>
          <w:rFonts w:ascii="Arial" w:eastAsia="Arial" w:hAnsi="Arial" w:cs="Arial"/>
          <w:spacing w:val="-1"/>
        </w:rPr>
        <w:t>–</w:t>
      </w:r>
      <w:r w:rsidRPr="008C275A">
        <w:rPr>
          <w:rFonts w:ascii="Arial" w:eastAsia="Arial" w:hAnsi="Arial" w:cs="Arial"/>
          <w:spacing w:val="-1"/>
        </w:rPr>
        <w:t xml:space="preserve"> Hucknall</w:t>
      </w:r>
      <w:r w:rsidR="005A1A0E">
        <w:rPr>
          <w:rFonts w:ascii="Arial" w:eastAsia="Arial" w:hAnsi="Arial" w:cs="Arial"/>
          <w:spacing w:val="-1"/>
        </w:rPr>
        <w:t xml:space="preserve"> </w:t>
      </w:r>
      <w:r w:rsidR="005A1A0E" w:rsidRPr="002E7654">
        <w:rPr>
          <w:rFonts w:ascii="Arial" w:eastAsia="Arial" w:hAnsi="Arial" w:cs="Arial"/>
          <w:spacing w:val="-1"/>
        </w:rPr>
        <w:t>Town Centre</w:t>
      </w:r>
    </w:p>
    <w:p w14:paraId="738AE822" w14:textId="57AF11A5"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For each Conservation </w:t>
      </w:r>
      <w:r w:rsidRPr="00A56503">
        <w:rPr>
          <w:rFonts w:eastAsia="Arial" w:cs="Arial"/>
          <w:spacing w:val="-1"/>
        </w:rPr>
        <w:t xml:space="preserve">Area, </w:t>
      </w:r>
      <w:proofErr w:type="gramStart"/>
      <w:r w:rsidRPr="00A56503">
        <w:rPr>
          <w:rFonts w:eastAsia="Arial" w:cs="Arial"/>
          <w:spacing w:val="-1"/>
        </w:rPr>
        <w:t>with the exception of</w:t>
      </w:r>
      <w:proofErr w:type="gramEnd"/>
      <w:r w:rsidRPr="00A56503">
        <w:rPr>
          <w:rFonts w:eastAsia="Arial" w:cs="Arial"/>
          <w:spacing w:val="-1"/>
        </w:rPr>
        <w:t xml:space="preserve"> New Annesley</w:t>
      </w:r>
      <w:r w:rsidR="008C275A" w:rsidRPr="00A56503">
        <w:rPr>
          <w:rFonts w:eastAsia="Arial" w:cs="Arial"/>
          <w:spacing w:val="-1"/>
        </w:rPr>
        <w:t xml:space="preserve"> and Hucknall</w:t>
      </w:r>
      <w:r w:rsidRPr="00A56503">
        <w:rPr>
          <w:rFonts w:eastAsia="Arial" w:cs="Arial"/>
          <w:spacing w:val="-1"/>
        </w:rPr>
        <w:t>,</w:t>
      </w:r>
      <w:r w:rsidRPr="00CA1587">
        <w:rPr>
          <w:rFonts w:eastAsia="Arial" w:cs="Arial"/>
          <w:spacing w:val="-1"/>
        </w:rPr>
        <w:t xml:space="preserve"> the Council has prepared a Conservation Area Appraisal (including Management Plans) based on an analysis of the area’s particular character and requirements.  The Council will review all Conservation Area Appraisals as and when necessary.  In preparing development proposals applicants will be expected to take full account of these documents. Planning applications will be required to contain sufficient detail to allow aesthetic and environmental aspects to be fully evaluated. Where necessary, the Council will employ </w:t>
      </w:r>
      <w:r w:rsidR="00D1054F">
        <w:rPr>
          <w:rFonts w:eastAsia="Arial" w:cs="Arial"/>
          <w:spacing w:val="-1"/>
        </w:rPr>
        <w:t>‘A</w:t>
      </w:r>
      <w:r w:rsidRPr="00CA1587">
        <w:rPr>
          <w:rFonts w:eastAsia="Arial" w:cs="Arial"/>
          <w:spacing w:val="-1"/>
        </w:rPr>
        <w:t>rticle 4 directions</w:t>
      </w:r>
      <w:r w:rsidR="00D1054F">
        <w:rPr>
          <w:rFonts w:eastAsia="Arial" w:cs="Arial"/>
          <w:spacing w:val="-1"/>
        </w:rPr>
        <w:t>’</w:t>
      </w:r>
      <w:r w:rsidRPr="00CA1587">
        <w:rPr>
          <w:rFonts w:eastAsia="Arial" w:cs="Arial"/>
          <w:spacing w:val="-1"/>
        </w:rPr>
        <w:t xml:space="preserve"> where the identified character of the Conservation Area is at risk from Permitted Development.</w:t>
      </w:r>
    </w:p>
    <w:p w14:paraId="32F842BC"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 </w:t>
      </w:r>
    </w:p>
    <w:p w14:paraId="7924ECCD" w14:textId="459DA744"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A key consideration in assessing development proposals will be the effect new development would have on the character and appearance of these areas and </w:t>
      </w:r>
      <w:proofErr w:type="gramStart"/>
      <w:r w:rsidRPr="00CA1587">
        <w:rPr>
          <w:rFonts w:eastAsia="Arial" w:cs="Arial"/>
          <w:spacing w:val="-1"/>
        </w:rPr>
        <w:t>in particular whether</w:t>
      </w:r>
      <w:proofErr w:type="gramEnd"/>
      <w:r w:rsidRPr="00CA1587">
        <w:rPr>
          <w:rFonts w:eastAsia="Arial" w:cs="Arial"/>
          <w:spacing w:val="-1"/>
        </w:rPr>
        <w:t xml:space="preserve"> they </w:t>
      </w:r>
      <w:r w:rsidRPr="002E7654">
        <w:rPr>
          <w:rFonts w:eastAsia="Arial" w:cs="Arial"/>
          <w:spacing w:val="-1"/>
        </w:rPr>
        <w:t xml:space="preserve">assist in </w:t>
      </w:r>
      <w:r w:rsidR="0028773A" w:rsidRPr="002E7654">
        <w:rPr>
          <w:rFonts w:eastAsia="Arial" w:cs="Arial"/>
          <w:spacing w:val="-1"/>
        </w:rPr>
        <w:t xml:space="preserve">either </w:t>
      </w:r>
      <w:r w:rsidRPr="002E7654">
        <w:rPr>
          <w:rFonts w:eastAsia="Arial" w:cs="Arial"/>
          <w:spacing w:val="-1"/>
        </w:rPr>
        <w:t>preserving or enhancing their special character. New development should respect the character of the existing architecture in terms of scale, grouping and materials. The overall character of the area will also be an important consideration, applying to features such as walls, paving, verges, trees, street furniture</w:t>
      </w:r>
      <w:r w:rsidR="0028773A" w:rsidRPr="002E7654">
        <w:rPr>
          <w:rFonts w:eastAsia="Arial" w:cs="Arial"/>
          <w:spacing w:val="-1"/>
        </w:rPr>
        <w:t>,</w:t>
      </w:r>
      <w:r w:rsidRPr="002E7654">
        <w:rPr>
          <w:rFonts w:eastAsia="Arial" w:cs="Arial"/>
          <w:spacing w:val="-1"/>
        </w:rPr>
        <w:t xml:space="preserve"> spaces between dwellings</w:t>
      </w:r>
      <w:r w:rsidR="0028773A" w:rsidRPr="002E7654">
        <w:rPr>
          <w:rFonts w:eastAsia="Arial" w:cs="Arial"/>
          <w:spacing w:val="-1"/>
        </w:rPr>
        <w:t xml:space="preserve"> and views into or out of these areas,</w:t>
      </w:r>
      <w:r w:rsidRPr="002E7654">
        <w:rPr>
          <w:rFonts w:eastAsia="Arial" w:cs="Arial"/>
          <w:spacing w:val="-1"/>
        </w:rPr>
        <w:t xml:space="preserve"> which can be as significant as the buildings themselves.  Outline planning applications will not normally be acceptable for </w:t>
      </w:r>
      <w:r w:rsidRPr="00CA1587">
        <w:rPr>
          <w:rFonts w:eastAsia="Arial" w:cs="Arial"/>
          <w:spacing w:val="-1"/>
        </w:rPr>
        <w:t>development in Conservation Areas and proposals to lop, top or fell trees in these areas which, although not specifically comprising development, will only be acceptable with the prior approval of the Authority.</w:t>
      </w:r>
    </w:p>
    <w:p w14:paraId="189D71C1"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6B21C790"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lastRenderedPageBreak/>
        <w:t xml:space="preserve">Where a development proposal involves total or substantial demolition of a building in a conservation area, consideration will be given to the significance of the building and the contribution it makes to the significant character and appearance of the area. Generally, buildings should be retained where they make a positive contribution in this respect but there may be cases where the removal or replacement of a building would benefit the character or appearance of an area. </w:t>
      </w:r>
    </w:p>
    <w:p w14:paraId="09F1BFF9"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585EA798"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To ensure that sites do not remain undeveloped for long periods of time, conditions may be imposed on planning permissions to ensure that redevelopment occurs within specified time limits. This may require that demolition does not take place until a contract for the carrying out of redevelopment works has been made and planning permission for those works granted. </w:t>
      </w:r>
    </w:p>
    <w:p w14:paraId="42505786"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1F3A7956" w14:textId="56499F2B" w:rsidR="00CA1587" w:rsidRPr="008C275A" w:rsidRDefault="00C66622" w:rsidP="00C66622">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CA1587" w:rsidRPr="008C275A">
        <w:rPr>
          <w:rFonts w:eastAsia="Arial" w:cs="Arial"/>
          <w:b/>
          <w:bCs/>
          <w:spacing w:val="-1"/>
        </w:rPr>
        <w:t>Listed Buildings</w:t>
      </w:r>
    </w:p>
    <w:p w14:paraId="214DA0ED"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Listed Buildings are buildings that appear on the Secretary of State's 'List of Buildings of Special Architectural or Historic Interest', prepared by the Department of Culture, Media and Sport. In England the statutory body responsible for maintaining ‘the list’ is Historic England. The National Heritage List for England (NHLE) is the only official and up-to-date database of all listed and designated heritage sites.</w:t>
      </w:r>
    </w:p>
    <w:p w14:paraId="3A235EEB"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79FD2766" w14:textId="01D52756"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Listing is a process of recognition of architectural and historic interest, which includes both the exterior and interior</w:t>
      </w:r>
      <w:r w:rsidRPr="002E7654">
        <w:rPr>
          <w:rFonts w:eastAsia="Arial" w:cs="Arial"/>
          <w:spacing w:val="-1"/>
        </w:rPr>
        <w:t xml:space="preserve">, </w:t>
      </w:r>
      <w:r w:rsidR="0028773A" w:rsidRPr="002E7654">
        <w:rPr>
          <w:rFonts w:eastAsia="Arial" w:cs="Arial"/>
          <w:spacing w:val="-1"/>
        </w:rPr>
        <w:t xml:space="preserve">often </w:t>
      </w:r>
      <w:r w:rsidRPr="002E7654">
        <w:rPr>
          <w:rFonts w:eastAsia="Arial" w:cs="Arial"/>
          <w:spacing w:val="-1"/>
        </w:rPr>
        <w:t>including pre-1948 buildings within the curtilage. Listed buildings are graded to show their rel</w:t>
      </w:r>
      <w:r w:rsidRPr="00CA1587">
        <w:rPr>
          <w:rFonts w:eastAsia="Arial" w:cs="Arial"/>
          <w:spacing w:val="-1"/>
        </w:rPr>
        <w:t>ative architectural or historic interest, as follows:</w:t>
      </w:r>
    </w:p>
    <w:p w14:paraId="7FDD5F93"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6AA87D6A" w14:textId="77777777" w:rsidR="00CA1587" w:rsidRPr="008C275A" w:rsidRDefault="00CA1587" w:rsidP="00874A98">
      <w:pPr>
        <w:pStyle w:val="ListParagraph"/>
        <w:numPr>
          <w:ilvl w:val="0"/>
          <w:numId w:val="228"/>
        </w:numPr>
        <w:autoSpaceDE w:val="0"/>
        <w:autoSpaceDN w:val="0"/>
        <w:adjustRightInd w:val="0"/>
        <w:ind w:left="1134" w:hanging="284"/>
        <w:rPr>
          <w:rFonts w:ascii="Arial" w:eastAsia="Arial" w:hAnsi="Arial" w:cs="Arial"/>
          <w:spacing w:val="-1"/>
        </w:rPr>
      </w:pPr>
      <w:r w:rsidRPr="008C275A">
        <w:rPr>
          <w:rFonts w:ascii="Arial" w:eastAsia="Arial" w:hAnsi="Arial" w:cs="Arial"/>
          <w:spacing w:val="-1"/>
        </w:rPr>
        <w:t>Grade I buildings are of exceptional interest (two in Ashfield);</w:t>
      </w:r>
    </w:p>
    <w:p w14:paraId="5CE044D1" w14:textId="77777777" w:rsidR="00CA1587" w:rsidRPr="008C275A" w:rsidRDefault="00CA1587" w:rsidP="00874A98">
      <w:pPr>
        <w:pStyle w:val="ListParagraph"/>
        <w:numPr>
          <w:ilvl w:val="0"/>
          <w:numId w:val="228"/>
        </w:numPr>
        <w:autoSpaceDE w:val="0"/>
        <w:autoSpaceDN w:val="0"/>
        <w:adjustRightInd w:val="0"/>
        <w:ind w:left="1134" w:hanging="283"/>
        <w:rPr>
          <w:rFonts w:ascii="Arial" w:eastAsia="Arial" w:hAnsi="Arial" w:cs="Arial"/>
          <w:spacing w:val="-1"/>
        </w:rPr>
      </w:pPr>
      <w:r w:rsidRPr="008C275A">
        <w:rPr>
          <w:rFonts w:ascii="Arial" w:eastAsia="Arial" w:hAnsi="Arial" w:cs="Arial"/>
          <w:spacing w:val="-1"/>
        </w:rPr>
        <w:t>Grade II* buildings are particularly important buildings of more than special interest (four in Ashfield);</w:t>
      </w:r>
    </w:p>
    <w:p w14:paraId="43514ED5" w14:textId="01252960" w:rsidR="00CA1587" w:rsidRPr="008C275A" w:rsidRDefault="00CA1587" w:rsidP="00874A98">
      <w:pPr>
        <w:pStyle w:val="ListParagraph"/>
        <w:numPr>
          <w:ilvl w:val="0"/>
          <w:numId w:val="228"/>
        </w:numPr>
        <w:autoSpaceDE w:val="0"/>
        <w:autoSpaceDN w:val="0"/>
        <w:adjustRightInd w:val="0"/>
        <w:ind w:left="1134" w:hanging="283"/>
        <w:rPr>
          <w:rFonts w:ascii="Arial" w:eastAsia="Arial" w:hAnsi="Arial" w:cs="Arial"/>
          <w:spacing w:val="-1"/>
        </w:rPr>
      </w:pPr>
      <w:r w:rsidRPr="008C275A">
        <w:rPr>
          <w:rFonts w:ascii="Arial" w:eastAsia="Arial" w:hAnsi="Arial" w:cs="Arial"/>
          <w:spacing w:val="-1"/>
        </w:rPr>
        <w:t>Grade II buildings are of special interest, warranting every effort to preserve them.</w:t>
      </w:r>
    </w:p>
    <w:p w14:paraId="214A1381" w14:textId="56F10399"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Ashfield has a limited stock of statutorily listed buildings. They represent a finite asset and for that reason their loss will not be permitted unless the Council is satisfied that every possible alternative approach for restoration, conversion or re-use has been thoroughly explored. The fact that a building has become derelict will not in itself be regarded as sufficient reason to permit its demolition. In most cases, the Council will seek demonstrable proof that every possible effort has been made to secure an alternative use for a building before considering any proposals to demolish. This would normally include evidence of the offer of the unrestricted freehold of the building on the open market at a realistic price and for a reasonable period (this could be as much as five years in some circumstances, dependent upon local market conditions), proof of relevant and recent exploration of charitable use and grants with a range of heritage bodies and local organisations. </w:t>
      </w:r>
      <w:r w:rsidRPr="00A56503">
        <w:rPr>
          <w:rFonts w:eastAsia="Arial" w:cs="Arial"/>
          <w:spacing w:val="-1"/>
        </w:rPr>
        <w:t>Policy SD</w:t>
      </w:r>
      <w:r w:rsidR="00A56503" w:rsidRPr="00A56503">
        <w:rPr>
          <w:rFonts w:eastAsia="Arial" w:cs="Arial"/>
          <w:spacing w:val="-1"/>
        </w:rPr>
        <w:t>6</w:t>
      </w:r>
      <w:r w:rsidRPr="00CA1587">
        <w:rPr>
          <w:rFonts w:eastAsia="Arial" w:cs="Arial"/>
          <w:spacing w:val="-1"/>
        </w:rPr>
        <w:t xml:space="preserve">: Assessing </w:t>
      </w:r>
      <w:r w:rsidR="00EF521C">
        <w:rPr>
          <w:rFonts w:eastAsia="Arial" w:cs="Arial"/>
          <w:spacing w:val="-1"/>
        </w:rPr>
        <w:t xml:space="preserve">Development </w:t>
      </w:r>
      <w:r w:rsidRPr="00CA1587">
        <w:rPr>
          <w:rFonts w:eastAsia="Arial" w:cs="Arial"/>
          <w:spacing w:val="-1"/>
        </w:rPr>
        <w:t xml:space="preserve">Viability, </w:t>
      </w:r>
      <w:r w:rsidR="00EF521C">
        <w:rPr>
          <w:rFonts w:eastAsia="Arial" w:cs="Arial"/>
          <w:spacing w:val="-1"/>
        </w:rPr>
        <w:t xml:space="preserve">and Development Demand </w:t>
      </w:r>
      <w:r w:rsidRPr="00CA1587">
        <w:rPr>
          <w:rFonts w:eastAsia="Arial" w:cs="Arial"/>
          <w:spacing w:val="-1"/>
        </w:rPr>
        <w:t>and its supporting text, provides details on the Demand test and/or the Viability Test.</w:t>
      </w:r>
    </w:p>
    <w:p w14:paraId="31DAF256"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1D573ED0" w14:textId="687E92EC" w:rsidR="00CA1587" w:rsidRDefault="00CA1587" w:rsidP="006D4F49">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lastRenderedPageBreak/>
        <w:t>The best use for a listed building is normally that for which it was designed.  In many cases it must be accepted that the continuation of the original use is now not a practicable proposition and it will often be essential to find appropriate alternative uses to secure the future of the building. Alternative uses should respect the fabric and appearance of the building and require minimum internal and external alteration.</w:t>
      </w:r>
    </w:p>
    <w:p w14:paraId="41F28F3C" w14:textId="77777777" w:rsidR="00125B10" w:rsidRDefault="00125B10" w:rsidP="00125B10">
      <w:pPr>
        <w:keepNext w:val="0"/>
        <w:tabs>
          <w:tab w:val="num" w:pos="851"/>
        </w:tabs>
        <w:autoSpaceDE w:val="0"/>
        <w:autoSpaceDN w:val="0"/>
        <w:adjustRightInd w:val="0"/>
        <w:spacing w:before="0"/>
        <w:ind w:left="851" w:hanging="851"/>
        <w:rPr>
          <w:rFonts w:eastAsia="Arial" w:cs="Arial"/>
          <w:b/>
          <w:bCs/>
          <w:color w:val="0070C0"/>
          <w:spacing w:val="-1"/>
        </w:rPr>
      </w:pPr>
    </w:p>
    <w:p w14:paraId="7454AB16" w14:textId="3BA7DA5C" w:rsidR="00125B10" w:rsidRPr="00F53521" w:rsidRDefault="00125B10" w:rsidP="00125B10">
      <w:pPr>
        <w:keepNext w:val="0"/>
        <w:tabs>
          <w:tab w:val="num" w:pos="851"/>
        </w:tabs>
        <w:autoSpaceDE w:val="0"/>
        <w:autoSpaceDN w:val="0"/>
        <w:adjustRightInd w:val="0"/>
        <w:spacing w:before="0"/>
        <w:ind w:left="851" w:hanging="851"/>
        <w:rPr>
          <w:rFonts w:eastAsia="Arial" w:cs="Arial"/>
          <w:b/>
          <w:bCs/>
          <w:color w:val="ED0000"/>
          <w:spacing w:val="-1"/>
        </w:rPr>
      </w:pPr>
      <w:r>
        <w:rPr>
          <w:rFonts w:eastAsia="Arial" w:cs="Arial"/>
          <w:b/>
          <w:bCs/>
          <w:color w:val="0070C0"/>
          <w:spacing w:val="-1"/>
        </w:rPr>
        <w:tab/>
      </w:r>
      <w:r w:rsidRPr="00120CE4">
        <w:rPr>
          <w:rFonts w:eastAsia="Arial" w:cs="Arial"/>
          <w:b/>
          <w:bCs/>
          <w:color w:val="0070C0"/>
          <w:spacing w:val="-1"/>
        </w:rPr>
        <w:t>Scheduled Monuments</w:t>
      </w:r>
      <w:r w:rsidR="00646236" w:rsidRPr="00120CE4">
        <w:rPr>
          <w:rFonts w:eastAsia="Arial" w:cs="Arial"/>
          <w:b/>
          <w:bCs/>
          <w:color w:val="0070C0"/>
          <w:spacing w:val="-1"/>
        </w:rPr>
        <w:t xml:space="preserve"> </w:t>
      </w:r>
      <w:r w:rsidR="00194C6A" w:rsidRPr="00F53521">
        <w:rPr>
          <w:rFonts w:eastAsia="Arial" w:cs="Arial"/>
          <w:i/>
          <w:iCs/>
          <w:color w:val="ED0000"/>
          <w:spacing w:val="-1"/>
        </w:rPr>
        <w:t>(was para</w:t>
      </w:r>
      <w:r w:rsidR="00120CE4" w:rsidRPr="00F53521">
        <w:rPr>
          <w:rFonts w:eastAsia="Arial" w:cs="Arial"/>
          <w:i/>
          <w:iCs/>
          <w:color w:val="ED0000"/>
          <w:spacing w:val="-1"/>
        </w:rPr>
        <w:t xml:space="preserve">. </w:t>
      </w:r>
      <w:r w:rsidR="00194C6A" w:rsidRPr="00F53521">
        <w:rPr>
          <w:rFonts w:eastAsia="Arial" w:cs="Arial"/>
          <w:i/>
          <w:iCs/>
          <w:color w:val="ED0000"/>
          <w:spacing w:val="-1"/>
        </w:rPr>
        <w:t>5.169)</w:t>
      </w:r>
    </w:p>
    <w:p w14:paraId="4E1BE4E5" w14:textId="34221AE3" w:rsidR="00125B10" w:rsidRPr="000D7A30" w:rsidRDefault="00125B10" w:rsidP="00125B10">
      <w:pPr>
        <w:pStyle w:val="ListParagraph"/>
        <w:spacing w:after="0" w:line="240" w:lineRule="auto"/>
        <w:ind w:left="851"/>
        <w:rPr>
          <w:rFonts w:ascii="Arial" w:eastAsia="Arial" w:hAnsi="Arial" w:cs="Arial"/>
          <w:color w:val="0070C0"/>
          <w:spacing w:val="-1"/>
          <w:szCs w:val="20"/>
          <w:lang w:eastAsia="en-GB"/>
        </w:rPr>
      </w:pPr>
      <w:r w:rsidRPr="00120CE4">
        <w:rPr>
          <w:rFonts w:ascii="Arial" w:eastAsia="Arial" w:hAnsi="Arial" w:cs="Arial"/>
          <w:color w:val="0070C0"/>
          <w:spacing w:val="-1"/>
          <w:szCs w:val="20"/>
          <w:lang w:eastAsia="en-GB"/>
        </w:rPr>
        <w:t xml:space="preserve">The </w:t>
      </w:r>
      <w:proofErr w:type="gramStart"/>
      <w:r w:rsidRPr="00120CE4">
        <w:rPr>
          <w:rFonts w:ascii="Arial" w:eastAsia="Arial" w:hAnsi="Arial" w:cs="Arial"/>
          <w:color w:val="0070C0"/>
          <w:spacing w:val="-1"/>
          <w:szCs w:val="20"/>
          <w:lang w:eastAsia="en-GB"/>
        </w:rPr>
        <w:t>District</w:t>
      </w:r>
      <w:proofErr w:type="gramEnd"/>
      <w:r w:rsidRPr="00120CE4">
        <w:rPr>
          <w:rFonts w:ascii="Arial" w:eastAsia="Arial" w:hAnsi="Arial" w:cs="Arial"/>
          <w:color w:val="0070C0"/>
          <w:spacing w:val="-1"/>
          <w:szCs w:val="20"/>
          <w:lang w:eastAsia="en-GB"/>
        </w:rPr>
        <w:t xml:space="preserve"> has nine Scheduled Monuments under the Ancient Monuments and Archaeological Areas Act, 1979 (see Appendix 10). These </w:t>
      </w:r>
      <w:proofErr w:type="gramStart"/>
      <w:r w:rsidRPr="00120CE4">
        <w:rPr>
          <w:rFonts w:ascii="Arial" w:eastAsia="Arial" w:hAnsi="Arial" w:cs="Arial"/>
          <w:color w:val="0070C0"/>
          <w:spacing w:val="-1"/>
          <w:szCs w:val="20"/>
          <w:lang w:eastAsia="en-GB"/>
        </w:rPr>
        <w:t>are considered to be</w:t>
      </w:r>
      <w:proofErr w:type="gramEnd"/>
      <w:r w:rsidRPr="00120CE4">
        <w:rPr>
          <w:rFonts w:ascii="Arial" w:eastAsia="Arial" w:hAnsi="Arial" w:cs="Arial"/>
          <w:color w:val="0070C0"/>
          <w:spacing w:val="-1"/>
          <w:szCs w:val="20"/>
          <w:lang w:eastAsia="en-GB"/>
        </w:rPr>
        <w:t xml:space="preserve"> of national importance and will be protected from deterioration and demolition. Any work to a scheduled monument requires Scheduled Monument Consent, </w:t>
      </w:r>
      <w:r w:rsidRPr="000D7A30">
        <w:rPr>
          <w:rFonts w:ascii="Arial" w:eastAsia="Arial" w:hAnsi="Arial" w:cs="Arial"/>
          <w:color w:val="0070C0"/>
          <w:spacing w:val="-1"/>
          <w:szCs w:val="20"/>
          <w:lang w:eastAsia="en-GB"/>
        </w:rPr>
        <w:t>applications should be made to Historic England. Elsewhere within the District there are many sites and areas regarded as being of archaeological interest, including historic landscapes</w:t>
      </w:r>
      <w:r w:rsidR="00646236" w:rsidRPr="000D7A30">
        <w:rPr>
          <w:rFonts w:ascii="Arial" w:eastAsia="Arial" w:hAnsi="Arial" w:cs="Arial"/>
          <w:color w:val="0070C0"/>
          <w:spacing w:val="-1"/>
          <w:szCs w:val="20"/>
          <w:lang w:eastAsia="en-GB"/>
        </w:rPr>
        <w:t>.</w:t>
      </w:r>
    </w:p>
    <w:p w14:paraId="70B86144" w14:textId="77777777" w:rsidR="00646236" w:rsidRPr="000D7A30" w:rsidRDefault="00646236" w:rsidP="00125B10">
      <w:pPr>
        <w:pStyle w:val="ListParagraph"/>
        <w:spacing w:after="0" w:line="240" w:lineRule="auto"/>
        <w:ind w:left="851"/>
        <w:rPr>
          <w:rFonts w:ascii="Arial" w:eastAsia="Arial" w:hAnsi="Arial" w:cs="Arial"/>
          <w:color w:val="0070C0"/>
          <w:spacing w:val="-1"/>
          <w:szCs w:val="20"/>
          <w:lang w:eastAsia="en-GB"/>
        </w:rPr>
      </w:pPr>
    </w:p>
    <w:p w14:paraId="5A52DAC8" w14:textId="64B96795" w:rsidR="00646236" w:rsidRPr="00F53521" w:rsidRDefault="00646236" w:rsidP="00646236">
      <w:pPr>
        <w:keepNext w:val="0"/>
        <w:tabs>
          <w:tab w:val="num" w:pos="851"/>
        </w:tabs>
        <w:autoSpaceDE w:val="0"/>
        <w:autoSpaceDN w:val="0"/>
        <w:adjustRightInd w:val="0"/>
        <w:spacing w:before="0"/>
        <w:ind w:left="851" w:hanging="851"/>
        <w:rPr>
          <w:rFonts w:eastAsia="Arial" w:cs="Arial"/>
          <w:i/>
          <w:iCs/>
          <w:color w:val="ED0000"/>
          <w:spacing w:val="-1"/>
        </w:rPr>
      </w:pPr>
      <w:r w:rsidRPr="000D7A30">
        <w:rPr>
          <w:rFonts w:eastAsia="Arial" w:cs="Arial"/>
          <w:b/>
          <w:bCs/>
          <w:spacing w:val="-1"/>
        </w:rPr>
        <w:tab/>
      </w:r>
      <w:r w:rsidRPr="000D7A30">
        <w:rPr>
          <w:rFonts w:eastAsia="Arial" w:cs="Arial"/>
          <w:b/>
          <w:bCs/>
          <w:color w:val="0070C0"/>
          <w:spacing w:val="-1"/>
        </w:rPr>
        <w:t xml:space="preserve">Historic Parks and Gardens </w:t>
      </w:r>
      <w:r w:rsidR="00120CE4" w:rsidRPr="00F53521">
        <w:rPr>
          <w:rFonts w:eastAsia="Arial" w:cs="Arial"/>
          <w:color w:val="ED0000"/>
          <w:spacing w:val="-1"/>
        </w:rPr>
        <w:t>(</w:t>
      </w:r>
      <w:r w:rsidR="00120CE4" w:rsidRPr="00F53521">
        <w:rPr>
          <w:rFonts w:eastAsia="Arial" w:cs="Arial"/>
          <w:i/>
          <w:iCs/>
          <w:color w:val="ED0000"/>
          <w:spacing w:val="-1"/>
        </w:rPr>
        <w:t>was paras. 5.175 &amp;5.176)</w:t>
      </w:r>
    </w:p>
    <w:p w14:paraId="37A00805" w14:textId="77777777" w:rsidR="00646236" w:rsidRPr="000D7A30" w:rsidRDefault="00646236" w:rsidP="00646236">
      <w:pPr>
        <w:keepNext w:val="0"/>
        <w:autoSpaceDE w:val="0"/>
        <w:autoSpaceDN w:val="0"/>
        <w:adjustRightInd w:val="0"/>
        <w:spacing w:before="0"/>
        <w:ind w:left="851"/>
        <w:rPr>
          <w:rFonts w:eastAsia="Arial" w:cs="Arial"/>
          <w:color w:val="0070C0"/>
          <w:spacing w:val="-1"/>
        </w:rPr>
      </w:pPr>
      <w:r w:rsidRPr="000D7A30">
        <w:rPr>
          <w:rFonts w:eastAsia="Arial" w:cs="Arial"/>
          <w:color w:val="0070C0"/>
          <w:spacing w:val="-1"/>
        </w:rPr>
        <w:t>Registered Historic Parks and Gardens are important in historical and landscape terms and may also be of wildlife and recreational value. Ashfield has two designed landscapes on the Historic England Register of Parks and Gardens of Special Historic Interest, including:</w:t>
      </w:r>
    </w:p>
    <w:p w14:paraId="116067BC" w14:textId="77777777" w:rsidR="00646236" w:rsidRPr="000D7A30" w:rsidRDefault="00646236" w:rsidP="00646236">
      <w:pPr>
        <w:keepNext w:val="0"/>
        <w:tabs>
          <w:tab w:val="num" w:pos="851"/>
        </w:tabs>
        <w:autoSpaceDE w:val="0"/>
        <w:autoSpaceDN w:val="0"/>
        <w:adjustRightInd w:val="0"/>
        <w:spacing w:before="0"/>
        <w:ind w:left="851" w:hanging="851"/>
        <w:rPr>
          <w:rFonts w:eastAsia="Arial" w:cs="Arial"/>
          <w:color w:val="0070C0"/>
          <w:spacing w:val="-1"/>
        </w:rPr>
      </w:pPr>
    </w:p>
    <w:p w14:paraId="3A784873" w14:textId="77777777" w:rsidR="00646236" w:rsidRPr="000D7A30" w:rsidRDefault="00646236" w:rsidP="00646236">
      <w:pPr>
        <w:pStyle w:val="ListParagraph"/>
        <w:numPr>
          <w:ilvl w:val="0"/>
          <w:numId w:val="229"/>
        </w:numPr>
        <w:tabs>
          <w:tab w:val="num" w:pos="1560"/>
        </w:tabs>
        <w:autoSpaceDE w:val="0"/>
        <w:autoSpaceDN w:val="0"/>
        <w:adjustRightInd w:val="0"/>
        <w:ind w:left="1985" w:hanging="851"/>
        <w:rPr>
          <w:rFonts w:ascii="Arial" w:eastAsia="Arial" w:hAnsi="Arial" w:cs="Arial"/>
          <w:color w:val="0070C0"/>
          <w:spacing w:val="-1"/>
        </w:rPr>
      </w:pPr>
      <w:r w:rsidRPr="000D7A30">
        <w:rPr>
          <w:rFonts w:ascii="Arial" w:eastAsia="Arial" w:hAnsi="Arial" w:cs="Arial"/>
          <w:color w:val="0070C0"/>
          <w:spacing w:val="-1"/>
        </w:rPr>
        <w:t>EV9 Pa</w:t>
      </w:r>
      <w:r w:rsidRPr="000D7A30">
        <w:rPr>
          <w:rFonts w:ascii="Arial" w:eastAsia="Arial" w:hAnsi="Arial" w:cs="Arial"/>
          <w:color w:val="0070C0"/>
          <w:spacing w:val="-1"/>
        </w:rPr>
        <w:tab/>
        <w:t>Annesley Hall, Annesley - Grade II*</w:t>
      </w:r>
    </w:p>
    <w:p w14:paraId="3380439D" w14:textId="77777777" w:rsidR="00646236" w:rsidRPr="000D7A30" w:rsidRDefault="00646236" w:rsidP="00646236">
      <w:pPr>
        <w:pStyle w:val="ListParagraph"/>
        <w:numPr>
          <w:ilvl w:val="0"/>
          <w:numId w:val="229"/>
        </w:numPr>
        <w:tabs>
          <w:tab w:val="num" w:pos="1560"/>
        </w:tabs>
        <w:autoSpaceDE w:val="0"/>
        <w:autoSpaceDN w:val="0"/>
        <w:adjustRightInd w:val="0"/>
        <w:ind w:left="1985" w:hanging="851"/>
        <w:rPr>
          <w:rFonts w:ascii="Arial" w:eastAsia="Arial" w:hAnsi="Arial" w:cs="Arial"/>
          <w:color w:val="0070C0"/>
          <w:spacing w:val="-1"/>
        </w:rPr>
      </w:pPr>
      <w:r w:rsidRPr="000D7A30">
        <w:rPr>
          <w:rFonts w:ascii="Arial" w:eastAsia="Arial" w:hAnsi="Arial" w:cs="Arial"/>
          <w:color w:val="0070C0"/>
          <w:spacing w:val="-1"/>
        </w:rPr>
        <w:t xml:space="preserve">EV9 Pb </w:t>
      </w:r>
      <w:r w:rsidRPr="000D7A30">
        <w:rPr>
          <w:rFonts w:ascii="Arial" w:eastAsia="Arial" w:hAnsi="Arial" w:cs="Arial"/>
          <w:color w:val="0070C0"/>
          <w:spacing w:val="-1"/>
        </w:rPr>
        <w:tab/>
        <w:t>Hardwick Hall Grounds (that part within Ashfield) – Grade I</w:t>
      </w:r>
    </w:p>
    <w:p w14:paraId="5AAE9DB9" w14:textId="77777777" w:rsidR="00646236" w:rsidRPr="000D7A30" w:rsidRDefault="00646236" w:rsidP="00646236">
      <w:pPr>
        <w:keepNext w:val="0"/>
        <w:tabs>
          <w:tab w:val="num" w:pos="1560"/>
        </w:tabs>
        <w:autoSpaceDE w:val="0"/>
        <w:autoSpaceDN w:val="0"/>
        <w:adjustRightInd w:val="0"/>
        <w:spacing w:before="0"/>
        <w:rPr>
          <w:rFonts w:eastAsia="Arial" w:cs="Arial"/>
          <w:color w:val="0070C0"/>
          <w:spacing w:val="-1"/>
        </w:rPr>
      </w:pPr>
      <w:r w:rsidRPr="000D7A30">
        <w:rPr>
          <w:rFonts w:eastAsia="Arial" w:cs="Arial"/>
          <w:color w:val="0070C0"/>
          <w:spacing w:val="-1"/>
        </w:rPr>
        <w:t xml:space="preserve">            The </w:t>
      </w:r>
      <w:proofErr w:type="gramStart"/>
      <w:r w:rsidRPr="000D7A30">
        <w:rPr>
          <w:rFonts w:eastAsia="Arial" w:cs="Arial"/>
          <w:color w:val="0070C0"/>
          <w:spacing w:val="-1"/>
        </w:rPr>
        <w:t>District</w:t>
      </w:r>
      <w:proofErr w:type="gramEnd"/>
      <w:r w:rsidRPr="000D7A30">
        <w:rPr>
          <w:rFonts w:eastAsia="Arial" w:cs="Arial"/>
          <w:color w:val="0070C0"/>
          <w:spacing w:val="-1"/>
        </w:rPr>
        <w:t xml:space="preserve"> also has a locally designated Historic Park and Garden:</w:t>
      </w:r>
    </w:p>
    <w:p w14:paraId="77E5AB2E" w14:textId="77777777" w:rsidR="00646236" w:rsidRPr="000D7A30" w:rsidRDefault="00646236" w:rsidP="00646236">
      <w:pPr>
        <w:keepNext w:val="0"/>
        <w:tabs>
          <w:tab w:val="num" w:pos="1560"/>
        </w:tabs>
        <w:autoSpaceDE w:val="0"/>
        <w:autoSpaceDN w:val="0"/>
        <w:adjustRightInd w:val="0"/>
        <w:spacing w:before="0"/>
        <w:ind w:left="1985" w:hanging="851"/>
        <w:rPr>
          <w:rFonts w:eastAsia="Arial" w:cs="Arial"/>
          <w:color w:val="0070C0"/>
          <w:spacing w:val="-1"/>
        </w:rPr>
      </w:pPr>
    </w:p>
    <w:p w14:paraId="40E4EFE8" w14:textId="77777777" w:rsidR="00646236" w:rsidRPr="000D7A30" w:rsidRDefault="00646236" w:rsidP="00646236">
      <w:pPr>
        <w:pStyle w:val="ListParagraph"/>
        <w:numPr>
          <w:ilvl w:val="0"/>
          <w:numId w:val="230"/>
        </w:numPr>
        <w:tabs>
          <w:tab w:val="num" w:pos="1560"/>
        </w:tabs>
        <w:autoSpaceDE w:val="0"/>
        <w:autoSpaceDN w:val="0"/>
        <w:adjustRightInd w:val="0"/>
        <w:ind w:left="1985" w:hanging="851"/>
        <w:rPr>
          <w:rFonts w:ascii="Arial" w:eastAsia="Arial" w:hAnsi="Arial" w:cs="Arial"/>
          <w:color w:val="0070C0"/>
          <w:spacing w:val="-1"/>
        </w:rPr>
      </w:pPr>
      <w:r w:rsidRPr="000D7A30">
        <w:rPr>
          <w:rFonts w:ascii="Arial" w:eastAsia="Arial" w:hAnsi="Arial" w:cs="Arial"/>
          <w:color w:val="0070C0"/>
          <w:spacing w:val="-1"/>
        </w:rPr>
        <w:t xml:space="preserve">EV9 Pc </w:t>
      </w:r>
      <w:r w:rsidRPr="000D7A30">
        <w:rPr>
          <w:rFonts w:ascii="Arial" w:eastAsia="Arial" w:hAnsi="Arial" w:cs="Arial"/>
          <w:color w:val="0070C0"/>
          <w:spacing w:val="-1"/>
        </w:rPr>
        <w:tab/>
        <w:t>Skegby Hall, Skegby, Sutton in Ashfield.</w:t>
      </w:r>
    </w:p>
    <w:p w14:paraId="385F0737" w14:textId="77777777" w:rsidR="00646236" w:rsidRPr="000D7A30" w:rsidRDefault="00646236" w:rsidP="00646236">
      <w:pPr>
        <w:pStyle w:val="ListParagraph"/>
        <w:spacing w:after="0" w:line="240" w:lineRule="auto"/>
        <w:ind w:left="851"/>
        <w:rPr>
          <w:rFonts w:eastAsia="Arial" w:cs="Arial"/>
          <w:color w:val="0070C0"/>
          <w:spacing w:val="-1"/>
        </w:rPr>
      </w:pPr>
    </w:p>
    <w:p w14:paraId="612EC545" w14:textId="46FB7908" w:rsidR="00646236" w:rsidRPr="00646236" w:rsidRDefault="00646236" w:rsidP="00646236">
      <w:pPr>
        <w:pStyle w:val="ListParagraph"/>
        <w:spacing w:after="0" w:line="240" w:lineRule="auto"/>
        <w:ind w:left="851"/>
        <w:rPr>
          <w:rFonts w:ascii="Arial" w:eastAsia="Arial" w:hAnsi="Arial" w:cs="Arial"/>
          <w:color w:val="0070C0"/>
          <w:spacing w:val="-1"/>
          <w:szCs w:val="20"/>
          <w:lang w:eastAsia="en-GB"/>
        </w:rPr>
      </w:pPr>
      <w:r w:rsidRPr="000D7A30">
        <w:rPr>
          <w:rFonts w:ascii="Arial" w:eastAsia="Arial" w:hAnsi="Arial" w:cs="Arial"/>
          <w:color w:val="0070C0"/>
          <w:spacing w:val="-1"/>
        </w:rPr>
        <w:t xml:space="preserve">The significance of parks and gardens may extend beyond the defined boundary with regards to views towards or away from the park and garden or in how the park and garden is experienced, for example on approach.  Development proposals that would result in the harm or loss of a designated historic park or garden or its setting, would only be permitted by the Council if it can be appropriately demonstrated that the harm or loss is </w:t>
      </w:r>
      <w:proofErr w:type="gramStart"/>
      <w:r w:rsidRPr="000D7A30">
        <w:rPr>
          <w:rFonts w:ascii="Arial" w:eastAsia="Arial" w:hAnsi="Arial" w:cs="Arial"/>
          <w:color w:val="0070C0"/>
          <w:spacing w:val="-1"/>
        </w:rPr>
        <w:t>out-weighted</w:t>
      </w:r>
      <w:proofErr w:type="gramEnd"/>
      <w:r w:rsidRPr="000D7A30">
        <w:rPr>
          <w:rFonts w:ascii="Arial" w:eastAsia="Arial" w:hAnsi="Arial" w:cs="Arial"/>
          <w:color w:val="0070C0"/>
          <w:spacing w:val="-1"/>
        </w:rPr>
        <w:t xml:space="preserve"> by the substantial public benefit resulting from the development. Where this public benefit cannot be demonstrated, proposals must align with the requirements of national planning policy. Any development impacting on a designated historic park or garden should seek to support the long-term preservation of the park or garden and its setting through sensitive restoration, adaptation and/or re-use. </w:t>
      </w:r>
      <w:proofErr w:type="gramStart"/>
      <w:r w:rsidRPr="000D7A30">
        <w:rPr>
          <w:rFonts w:ascii="Arial" w:eastAsia="Arial" w:hAnsi="Arial" w:cs="Arial"/>
          <w:color w:val="0070C0"/>
          <w:spacing w:val="-1"/>
        </w:rPr>
        <w:t>In particular, care</w:t>
      </w:r>
      <w:proofErr w:type="gramEnd"/>
      <w:r w:rsidRPr="000D7A30">
        <w:rPr>
          <w:rFonts w:ascii="Arial" w:eastAsia="Arial" w:hAnsi="Arial" w:cs="Arial"/>
          <w:color w:val="0070C0"/>
          <w:spacing w:val="-1"/>
        </w:rPr>
        <w:t xml:space="preserve"> should be taken to avoid the loss of trees, woodland or significant views, that contribute to the asset’s significance. Any proposed loss of trees or woodland will need to be assessed against Policy EV6.</w:t>
      </w:r>
      <w:r w:rsidRPr="00646236">
        <w:rPr>
          <w:rFonts w:ascii="Arial" w:eastAsia="Arial" w:hAnsi="Arial" w:cs="Arial"/>
          <w:color w:val="0070C0"/>
          <w:spacing w:val="-1"/>
        </w:rPr>
        <w:t xml:space="preserve">  </w:t>
      </w:r>
    </w:p>
    <w:p w14:paraId="5AD745FE" w14:textId="77777777" w:rsidR="00A81691" w:rsidRPr="006D4F49" w:rsidRDefault="00A81691" w:rsidP="00A81691">
      <w:pPr>
        <w:keepNext w:val="0"/>
        <w:autoSpaceDE w:val="0"/>
        <w:autoSpaceDN w:val="0"/>
        <w:adjustRightInd w:val="0"/>
        <w:spacing w:before="0"/>
        <w:rPr>
          <w:rFonts w:eastAsia="Arial" w:cs="Arial"/>
          <w:spacing w:val="-1"/>
        </w:rPr>
      </w:pPr>
    </w:p>
    <w:p w14:paraId="37116869" w14:textId="129AC378" w:rsidR="00CA1587" w:rsidRPr="008C275A" w:rsidRDefault="00C66622" w:rsidP="00C66622">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CA1587" w:rsidRPr="008C275A">
        <w:rPr>
          <w:rFonts w:eastAsia="Arial" w:cs="Arial"/>
          <w:b/>
          <w:bCs/>
          <w:spacing w:val="-1"/>
        </w:rPr>
        <w:t>Heritage at Risk</w:t>
      </w:r>
    </w:p>
    <w:p w14:paraId="31DF5C7C" w14:textId="3336D7E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Heritage at risk includes buildings or sites that are at risk of being lost </w:t>
      </w:r>
      <w:proofErr w:type="gramStart"/>
      <w:r w:rsidRPr="00CA1587">
        <w:rPr>
          <w:rFonts w:eastAsia="Arial" w:cs="Arial"/>
          <w:spacing w:val="-1"/>
        </w:rPr>
        <w:t>as a result of</w:t>
      </w:r>
      <w:proofErr w:type="gramEnd"/>
      <w:r w:rsidRPr="00CA1587">
        <w:rPr>
          <w:rFonts w:eastAsia="Arial" w:cs="Arial"/>
          <w:spacing w:val="-1"/>
        </w:rPr>
        <w:t xml:space="preserve"> neglect, decay or inappropriate development. Heritage at risk is monitored by Historic England, Nottinghamshire County Council and Ashfield District Council. </w:t>
      </w:r>
      <w:r w:rsidRPr="00CA1587">
        <w:rPr>
          <w:rFonts w:eastAsia="Arial" w:cs="Arial"/>
          <w:spacing w:val="-1"/>
        </w:rPr>
        <w:lastRenderedPageBreak/>
        <w:t xml:space="preserve">The Council will support the repair and re-use of heritage assets at risk especially where proposals will conserve them in a manner appropriate to their significance.  </w:t>
      </w:r>
    </w:p>
    <w:p w14:paraId="60EBE0CE"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541C1DEB" w14:textId="5F743324"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Proposals for enabling development to provide for the repair of listed buildings will be considered against criteria contained in Historic England’s Policy</w:t>
      </w:r>
      <w:r w:rsidR="009159C5">
        <w:rPr>
          <w:rFonts w:eastAsia="Arial" w:cs="Arial"/>
          <w:spacing w:val="-1"/>
        </w:rPr>
        <w:t xml:space="preserve"> </w:t>
      </w:r>
      <w:r w:rsidR="009159C5" w:rsidRPr="00BA118F">
        <w:rPr>
          <w:rFonts w:eastAsia="Arial" w:cs="Arial"/>
          <w:color w:val="0070C0"/>
          <w:spacing w:val="-1"/>
        </w:rPr>
        <w:t>Document: Enabling Development and Heritage Assets 2020,</w:t>
      </w:r>
      <w:r w:rsidRPr="00BA118F">
        <w:rPr>
          <w:rFonts w:eastAsia="Arial" w:cs="Arial"/>
          <w:spacing w:val="-1"/>
        </w:rPr>
        <w:t xml:space="preserve"> </w:t>
      </w:r>
      <w:r w:rsidRPr="00BA118F">
        <w:rPr>
          <w:rFonts w:eastAsia="Arial" w:cs="Arial"/>
          <w:strike/>
          <w:spacing w:val="-1"/>
        </w:rPr>
        <w:t>Statement: Enabling Development and the Conservation of Significant Places 2008</w:t>
      </w:r>
      <w:r w:rsidRPr="00BA118F">
        <w:rPr>
          <w:rFonts w:eastAsia="Arial" w:cs="Arial"/>
          <w:spacing w:val="-1"/>
        </w:rPr>
        <w:t>, or any subsequent</w:t>
      </w:r>
      <w:r w:rsidRPr="00CA1587">
        <w:rPr>
          <w:rFonts w:eastAsia="Arial" w:cs="Arial"/>
          <w:spacing w:val="-1"/>
        </w:rPr>
        <w:t xml:space="preserve"> guidance, and all other material considerations.</w:t>
      </w:r>
    </w:p>
    <w:p w14:paraId="55B4AD77"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0F6F9A0E"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The Council will record and monitor heritage assets that are at risk and work proactively with owners and stakeholders, or </w:t>
      </w:r>
      <w:proofErr w:type="gramStart"/>
      <w:r w:rsidRPr="00CA1587">
        <w:rPr>
          <w:rFonts w:eastAsia="Arial" w:cs="Arial"/>
          <w:spacing w:val="-1"/>
        </w:rPr>
        <w:t>take action</w:t>
      </w:r>
      <w:proofErr w:type="gramEnd"/>
      <w:r w:rsidRPr="00CA1587">
        <w:rPr>
          <w:rFonts w:eastAsia="Arial" w:cs="Arial"/>
          <w:spacing w:val="-1"/>
        </w:rPr>
        <w:t xml:space="preserve"> where necessary, including the use of statutory powers, to help secure their long-term viable use.</w:t>
      </w:r>
    </w:p>
    <w:p w14:paraId="4775CD2C"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0D4CF2C5" w14:textId="1FDD949B" w:rsidR="00CA1587" w:rsidRPr="00F56B37" w:rsidRDefault="00C66622" w:rsidP="00C66622">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CA1587" w:rsidRPr="00F56B37">
        <w:rPr>
          <w:rFonts w:eastAsia="Arial" w:cs="Arial"/>
          <w:b/>
          <w:bCs/>
          <w:spacing w:val="-1"/>
        </w:rPr>
        <w:t>Non-Designated Heritage Assets</w:t>
      </w:r>
    </w:p>
    <w:p w14:paraId="5C0A249D"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Non-designated heritage assets can still be of great importance to the historic environment locally. The Council has introduced a scheme by which historic assets of local importance are identified, using local selection criteria.  This status would be a material consideration in assessing planning applications affecting such buildings or assets.</w:t>
      </w:r>
    </w:p>
    <w:p w14:paraId="0C2B8BF5"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  </w:t>
      </w:r>
    </w:p>
    <w:p w14:paraId="7DA4DF36" w14:textId="2490CAE7" w:rsidR="00CA1587" w:rsidRPr="00E81E3D"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Currently identified local heritage assets are mapped on the Council’s website, together with a </w:t>
      </w:r>
      <w:proofErr w:type="gramStart"/>
      <w:r w:rsidRPr="00CA1587">
        <w:rPr>
          <w:rFonts w:eastAsia="Arial" w:cs="Arial"/>
          <w:spacing w:val="-1"/>
        </w:rPr>
        <w:t>criteria based</w:t>
      </w:r>
      <w:proofErr w:type="gramEnd"/>
      <w:r w:rsidRPr="00CA1587">
        <w:rPr>
          <w:rFonts w:eastAsia="Arial" w:cs="Arial"/>
          <w:spacing w:val="-1"/>
        </w:rPr>
        <w:t xml:space="preserve"> document to enable the identification of future local heritage assets at any given time. The mapping system will be maintained and kept under review by the Council. The absence of any </w:t>
      </w:r>
      <w:proofErr w:type="gramStart"/>
      <w:r w:rsidRPr="00CA1587">
        <w:rPr>
          <w:rFonts w:eastAsia="Arial" w:cs="Arial"/>
          <w:spacing w:val="-1"/>
        </w:rPr>
        <w:t>particular local</w:t>
      </w:r>
      <w:proofErr w:type="gramEnd"/>
      <w:r w:rsidRPr="00CA1587">
        <w:rPr>
          <w:rFonts w:eastAsia="Arial" w:cs="Arial"/>
          <w:spacing w:val="-1"/>
        </w:rPr>
        <w:t xml:space="preserve"> heritage asset on the mapping system should not be taken to imply that it has no heritage value, simply that it has yet to be identified </w:t>
      </w:r>
      <w:r w:rsidRPr="00E81E3D">
        <w:rPr>
          <w:rFonts w:eastAsia="Arial" w:cs="Arial"/>
          <w:spacing w:val="-1"/>
        </w:rPr>
        <w:t xml:space="preserve">or it does not currently meet the selection criteria. </w:t>
      </w:r>
    </w:p>
    <w:p w14:paraId="39141713"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52C60280" w14:textId="7200EEF3" w:rsidR="00CA1587" w:rsidRPr="00CA1587" w:rsidRDefault="00CA1587" w:rsidP="002E7654">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The loss of non-designated heritage assets, including local heritage assets, would be detrimental to the appearance, character, townscape quality or heritage of the </w:t>
      </w:r>
      <w:proofErr w:type="gramStart"/>
      <w:r w:rsidRPr="00CA1587">
        <w:rPr>
          <w:rFonts w:eastAsia="Arial" w:cs="Arial"/>
          <w:spacing w:val="-1"/>
        </w:rPr>
        <w:t>District</w:t>
      </w:r>
      <w:proofErr w:type="gramEnd"/>
      <w:r w:rsidRPr="00CA1587">
        <w:rPr>
          <w:rFonts w:eastAsia="Arial" w:cs="Arial"/>
          <w:spacing w:val="-1"/>
        </w:rPr>
        <w:t>. Therefore, the Council will seek to encourage the retention, restoration and continued beneficial use of these assets wherever possible. Proposals to alter them should, for example, be architecturally compatible with the style of the original asset. Where planning permission is required</w:t>
      </w:r>
      <w:r w:rsidR="00351C44">
        <w:rPr>
          <w:rFonts w:eastAsia="Arial" w:cs="Arial"/>
          <w:spacing w:val="-1"/>
        </w:rPr>
        <w:t>,</w:t>
      </w:r>
      <w:r w:rsidRPr="00CA1587">
        <w:rPr>
          <w:rFonts w:eastAsia="Arial" w:cs="Arial"/>
          <w:spacing w:val="-1"/>
        </w:rPr>
        <w:t xml:space="preserve"> the Council will resist the loss of non-designated heritage assets, including local heritage assets</w:t>
      </w:r>
      <w:r w:rsidR="006E1045">
        <w:rPr>
          <w:rFonts w:eastAsia="Arial" w:cs="Arial"/>
          <w:spacing w:val="-1"/>
        </w:rPr>
        <w:t>.</w:t>
      </w:r>
      <w:r w:rsidRPr="00CA1587">
        <w:rPr>
          <w:rFonts w:eastAsia="Arial" w:cs="Arial"/>
          <w:spacing w:val="-1"/>
        </w:rPr>
        <w:t xml:space="preserve"> This would normally include evidence that the asset is in incapable of viable repair or evidence that the building/asset has no viable use in the medium term through appropriate marketing. </w:t>
      </w:r>
      <w:r w:rsidRPr="00A56503">
        <w:rPr>
          <w:rFonts w:eastAsia="Arial" w:cs="Arial"/>
          <w:spacing w:val="-1"/>
        </w:rPr>
        <w:t>Policy SD</w:t>
      </w:r>
      <w:r w:rsidR="00A56503" w:rsidRPr="00A56503">
        <w:rPr>
          <w:rFonts w:eastAsia="Arial" w:cs="Arial"/>
          <w:spacing w:val="-1"/>
        </w:rPr>
        <w:t>6</w:t>
      </w:r>
      <w:r w:rsidRPr="00A56503">
        <w:rPr>
          <w:rFonts w:eastAsia="Arial" w:cs="Arial"/>
          <w:spacing w:val="-1"/>
        </w:rPr>
        <w:t>:</w:t>
      </w:r>
      <w:r w:rsidRPr="00CA1587">
        <w:rPr>
          <w:rFonts w:eastAsia="Arial" w:cs="Arial"/>
          <w:spacing w:val="-1"/>
        </w:rPr>
        <w:t xml:space="preserve"> Assessing </w:t>
      </w:r>
      <w:r w:rsidR="00EF521C">
        <w:rPr>
          <w:rFonts w:eastAsia="Arial" w:cs="Arial"/>
          <w:spacing w:val="-1"/>
        </w:rPr>
        <w:t xml:space="preserve">Development </w:t>
      </w:r>
      <w:r w:rsidRPr="00CA1587">
        <w:rPr>
          <w:rFonts w:eastAsia="Arial" w:cs="Arial"/>
          <w:spacing w:val="-1"/>
        </w:rPr>
        <w:t xml:space="preserve">Viability, and </w:t>
      </w:r>
      <w:r w:rsidR="00EF521C">
        <w:rPr>
          <w:rFonts w:eastAsia="Arial" w:cs="Arial"/>
          <w:spacing w:val="-1"/>
        </w:rPr>
        <w:t xml:space="preserve">Development Demand </w:t>
      </w:r>
      <w:r w:rsidRPr="00CA1587">
        <w:rPr>
          <w:rFonts w:eastAsia="Arial" w:cs="Arial"/>
          <w:spacing w:val="-1"/>
        </w:rPr>
        <w:t>its supporting text, provides details on the Demand test and/or the Viability Test.</w:t>
      </w:r>
    </w:p>
    <w:p w14:paraId="115AD719"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64FA9174"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The setting of local heritage assets may contribute to their intrinsic qualities, and the Council will seek to protect both the character and setting of such assets.</w:t>
      </w:r>
    </w:p>
    <w:p w14:paraId="7BAAF1E5" w14:textId="77777777" w:rsid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791CAB46" w14:textId="3EC03FCA" w:rsidR="00F56B37" w:rsidRPr="00F53521" w:rsidRDefault="00F56B37" w:rsidP="00F56B37">
      <w:pPr>
        <w:keepNext w:val="0"/>
        <w:tabs>
          <w:tab w:val="num" w:pos="851"/>
        </w:tabs>
        <w:autoSpaceDE w:val="0"/>
        <w:autoSpaceDN w:val="0"/>
        <w:adjustRightInd w:val="0"/>
        <w:spacing w:before="0"/>
        <w:ind w:left="851" w:hanging="851"/>
        <w:rPr>
          <w:rFonts w:eastAsia="Arial" w:cs="Arial"/>
          <w:color w:val="ED0000"/>
          <w:spacing w:val="-1"/>
        </w:rPr>
      </w:pPr>
      <w:r>
        <w:rPr>
          <w:rFonts w:eastAsia="Arial" w:cs="Arial"/>
          <w:b/>
          <w:bCs/>
          <w:color w:val="0070C0"/>
          <w:spacing w:val="-1"/>
        </w:rPr>
        <w:tab/>
      </w:r>
      <w:r w:rsidRPr="00120CE4">
        <w:rPr>
          <w:rFonts w:eastAsia="Arial" w:cs="Arial"/>
          <w:b/>
          <w:bCs/>
          <w:color w:val="0070C0"/>
          <w:spacing w:val="-1"/>
        </w:rPr>
        <w:t xml:space="preserve">Historic Landscape Features </w:t>
      </w:r>
      <w:r w:rsidRPr="00F53521">
        <w:rPr>
          <w:rFonts w:eastAsia="Arial" w:cs="Arial"/>
          <w:i/>
          <w:iCs/>
          <w:color w:val="ED0000"/>
          <w:spacing w:val="-1"/>
        </w:rPr>
        <w:t>(was paras. 5.177 – 5.181)</w:t>
      </w:r>
    </w:p>
    <w:p w14:paraId="5BE39F2E" w14:textId="77777777" w:rsidR="00F56B37" w:rsidRPr="00120CE4" w:rsidRDefault="00F56B37" w:rsidP="00F56B37">
      <w:pPr>
        <w:keepNext w:val="0"/>
        <w:autoSpaceDE w:val="0"/>
        <w:autoSpaceDN w:val="0"/>
        <w:adjustRightInd w:val="0"/>
        <w:spacing w:before="0"/>
        <w:ind w:left="851"/>
        <w:rPr>
          <w:rFonts w:eastAsia="Arial" w:cs="Arial"/>
          <w:color w:val="0070C0"/>
          <w:spacing w:val="-1"/>
        </w:rPr>
      </w:pPr>
      <w:r w:rsidRPr="00120CE4">
        <w:rPr>
          <w:rFonts w:eastAsia="Arial" w:cs="Arial"/>
          <w:color w:val="0070C0"/>
          <w:spacing w:val="-1"/>
        </w:rPr>
        <w:t xml:space="preserve">The landscape of Ashfield today is the result of both natural and man-made actions which have taken place over many years. Activities such as settlement, farming, </w:t>
      </w:r>
      <w:r w:rsidRPr="00120CE4">
        <w:rPr>
          <w:rFonts w:eastAsia="Arial" w:cs="Arial"/>
          <w:color w:val="0070C0"/>
          <w:spacing w:val="-1"/>
        </w:rPr>
        <w:lastRenderedPageBreak/>
        <w:t xml:space="preserve">industry and recreation have all left behind physical traces that help to give individual parts of the </w:t>
      </w:r>
      <w:proofErr w:type="gramStart"/>
      <w:r w:rsidRPr="00120CE4">
        <w:rPr>
          <w:rFonts w:eastAsia="Arial" w:cs="Arial"/>
          <w:color w:val="0070C0"/>
          <w:spacing w:val="-1"/>
        </w:rPr>
        <w:t>District</w:t>
      </w:r>
      <w:proofErr w:type="gramEnd"/>
      <w:r w:rsidRPr="00120CE4">
        <w:rPr>
          <w:rFonts w:eastAsia="Arial" w:cs="Arial"/>
          <w:color w:val="0070C0"/>
          <w:spacing w:val="-1"/>
        </w:rPr>
        <w:t xml:space="preserve"> their own special character. </w:t>
      </w:r>
    </w:p>
    <w:p w14:paraId="465E8034" w14:textId="77777777" w:rsidR="00F56B37" w:rsidRPr="00120CE4" w:rsidRDefault="00F56B37" w:rsidP="00F56B37">
      <w:pPr>
        <w:keepNext w:val="0"/>
        <w:tabs>
          <w:tab w:val="num" w:pos="851"/>
        </w:tabs>
        <w:autoSpaceDE w:val="0"/>
        <w:autoSpaceDN w:val="0"/>
        <w:adjustRightInd w:val="0"/>
        <w:spacing w:before="0"/>
        <w:ind w:left="851" w:hanging="851"/>
        <w:rPr>
          <w:rFonts w:eastAsia="Arial" w:cs="Arial"/>
          <w:color w:val="0070C0"/>
          <w:spacing w:val="-1"/>
        </w:rPr>
      </w:pPr>
    </w:p>
    <w:p w14:paraId="32691239" w14:textId="77777777" w:rsidR="00F56B37" w:rsidRPr="00120CE4" w:rsidRDefault="00F56B37" w:rsidP="00F56B37">
      <w:pPr>
        <w:keepNext w:val="0"/>
        <w:autoSpaceDE w:val="0"/>
        <w:autoSpaceDN w:val="0"/>
        <w:adjustRightInd w:val="0"/>
        <w:spacing w:before="0"/>
        <w:ind w:left="851"/>
        <w:rPr>
          <w:rFonts w:eastAsia="Arial" w:cs="Arial"/>
          <w:color w:val="0070C0"/>
          <w:spacing w:val="-1"/>
        </w:rPr>
      </w:pPr>
      <w:r w:rsidRPr="00120CE4">
        <w:rPr>
          <w:rFonts w:eastAsia="Arial" w:cs="Arial"/>
          <w:color w:val="0070C0"/>
          <w:spacing w:val="-1"/>
        </w:rPr>
        <w:t xml:space="preserve">More than any other part of the historic environment, the landscape is characterised and enriched by centuries of change and modification. It is essential that any new development is of a scale and type which is appropriate and does not harm the intrinsic value of the </w:t>
      </w:r>
      <w:proofErr w:type="gramStart"/>
      <w:r w:rsidRPr="00120CE4">
        <w:rPr>
          <w:rFonts w:eastAsia="Arial" w:cs="Arial"/>
          <w:color w:val="0070C0"/>
          <w:spacing w:val="-1"/>
        </w:rPr>
        <w:t>particular landscape</w:t>
      </w:r>
      <w:proofErr w:type="gramEnd"/>
      <w:r w:rsidRPr="00120CE4">
        <w:rPr>
          <w:rFonts w:eastAsia="Arial" w:cs="Arial"/>
          <w:color w:val="0070C0"/>
          <w:spacing w:val="-1"/>
        </w:rPr>
        <w:t xml:space="preserve"> in which it is to be located. Development proposals should appreciate an area’s sensitivity, vulnerability and capacity for change in the context of specific proposals.</w:t>
      </w:r>
    </w:p>
    <w:p w14:paraId="03ECEB8E" w14:textId="77777777" w:rsidR="00F56B37" w:rsidRPr="00120CE4" w:rsidRDefault="00F56B37" w:rsidP="00F56B37">
      <w:pPr>
        <w:keepNext w:val="0"/>
        <w:tabs>
          <w:tab w:val="num" w:pos="851"/>
        </w:tabs>
        <w:autoSpaceDE w:val="0"/>
        <w:autoSpaceDN w:val="0"/>
        <w:adjustRightInd w:val="0"/>
        <w:spacing w:before="0"/>
        <w:ind w:left="851" w:hanging="851"/>
        <w:rPr>
          <w:rFonts w:eastAsia="Arial" w:cs="Arial"/>
          <w:color w:val="0070C0"/>
          <w:spacing w:val="-1"/>
        </w:rPr>
      </w:pPr>
    </w:p>
    <w:p w14:paraId="331547B5" w14:textId="77777777" w:rsidR="00F56B37" w:rsidRPr="00120CE4" w:rsidRDefault="00F56B37" w:rsidP="00F56B37">
      <w:pPr>
        <w:keepNext w:val="0"/>
        <w:autoSpaceDE w:val="0"/>
        <w:autoSpaceDN w:val="0"/>
        <w:adjustRightInd w:val="0"/>
        <w:spacing w:before="0"/>
        <w:ind w:left="851"/>
        <w:rPr>
          <w:rFonts w:eastAsia="Arial" w:cs="Arial"/>
          <w:color w:val="0070C0"/>
          <w:spacing w:val="-1"/>
        </w:rPr>
      </w:pPr>
      <w:r w:rsidRPr="00120CE4">
        <w:rPr>
          <w:rFonts w:eastAsia="Arial" w:cs="Arial"/>
          <w:color w:val="0070C0"/>
          <w:spacing w:val="-1"/>
        </w:rPr>
        <w:t xml:space="preserve">The Landscape Character Assessment for Ashfield (2009) sets out 3 landscape character areas which broadly influence the scale and form of development across the </w:t>
      </w:r>
      <w:proofErr w:type="gramStart"/>
      <w:r w:rsidRPr="00120CE4">
        <w:rPr>
          <w:rFonts w:eastAsia="Arial" w:cs="Arial"/>
          <w:color w:val="0070C0"/>
          <w:spacing w:val="-1"/>
        </w:rPr>
        <w:t>District</w:t>
      </w:r>
      <w:proofErr w:type="gramEnd"/>
      <w:r w:rsidRPr="00120CE4">
        <w:rPr>
          <w:rFonts w:eastAsia="Arial" w:cs="Arial"/>
          <w:color w:val="0070C0"/>
          <w:spacing w:val="-1"/>
        </w:rPr>
        <w:t>. Development proposals should respect the fundamental character of these and not introduce any incongruous elements. Policy EV10 – Protection and Enhancement of Landscape Character, should be assessed when determining new development proposals in the countryside. The policy seeks to protect historic landscape features including ponds, trees, hedgerows, ridge and furrow patterns, meadows and orchards as these all add value to the character of the area and help to make Ashfield’s landscape distinctive.</w:t>
      </w:r>
    </w:p>
    <w:p w14:paraId="526CA92B" w14:textId="77777777" w:rsidR="00F56B37" w:rsidRPr="00120CE4" w:rsidRDefault="00F56B37" w:rsidP="00F56B37">
      <w:pPr>
        <w:keepNext w:val="0"/>
        <w:tabs>
          <w:tab w:val="num" w:pos="851"/>
        </w:tabs>
        <w:autoSpaceDE w:val="0"/>
        <w:autoSpaceDN w:val="0"/>
        <w:adjustRightInd w:val="0"/>
        <w:spacing w:before="0"/>
        <w:ind w:left="851" w:hanging="851"/>
        <w:rPr>
          <w:rFonts w:eastAsia="Arial" w:cs="Arial"/>
          <w:color w:val="0070C0"/>
          <w:spacing w:val="-1"/>
        </w:rPr>
      </w:pPr>
    </w:p>
    <w:p w14:paraId="2DA2BC3A" w14:textId="77777777" w:rsidR="00F56B37" w:rsidRPr="00120CE4" w:rsidRDefault="00F56B37" w:rsidP="00F56B37">
      <w:pPr>
        <w:keepNext w:val="0"/>
        <w:autoSpaceDE w:val="0"/>
        <w:autoSpaceDN w:val="0"/>
        <w:adjustRightInd w:val="0"/>
        <w:spacing w:before="0"/>
        <w:ind w:left="851"/>
        <w:rPr>
          <w:rFonts w:eastAsia="Arial" w:cs="Arial"/>
          <w:color w:val="0070C0"/>
          <w:spacing w:val="-1"/>
        </w:rPr>
      </w:pPr>
      <w:r w:rsidRPr="00120CE4">
        <w:rPr>
          <w:rFonts w:eastAsia="Arial" w:cs="Arial"/>
          <w:color w:val="0070C0"/>
          <w:spacing w:val="-1"/>
        </w:rPr>
        <w:t xml:space="preserve">“Important” hedgerows are protected under the Hedgerow Regulations,1995. The Regulations set out criteria that must be used by the local planning authority in determining which hedgerows are "important". The criteria relate to the value of hedgerows from an archaeological, historical, landscape and wildlife perspective. There is a strong presumption that "important" hedgerows and other hedgerows, will be protected and wherever possible incorporated into open space and landscaping proposals for new development. </w:t>
      </w:r>
    </w:p>
    <w:p w14:paraId="571BBC3C" w14:textId="77777777" w:rsidR="00F56B37" w:rsidRPr="00120CE4" w:rsidRDefault="00F56B37" w:rsidP="00F56B37">
      <w:pPr>
        <w:keepNext w:val="0"/>
        <w:tabs>
          <w:tab w:val="num" w:pos="851"/>
        </w:tabs>
        <w:autoSpaceDE w:val="0"/>
        <w:autoSpaceDN w:val="0"/>
        <w:adjustRightInd w:val="0"/>
        <w:spacing w:before="0"/>
        <w:ind w:left="851" w:hanging="851"/>
        <w:rPr>
          <w:rFonts w:eastAsia="Arial" w:cs="Arial"/>
          <w:color w:val="0070C0"/>
          <w:spacing w:val="-1"/>
        </w:rPr>
      </w:pPr>
    </w:p>
    <w:p w14:paraId="5E11285B" w14:textId="77777777" w:rsidR="00F56B37" w:rsidRPr="00F56B37" w:rsidRDefault="00F56B37" w:rsidP="00F56B37">
      <w:pPr>
        <w:keepNext w:val="0"/>
        <w:autoSpaceDE w:val="0"/>
        <w:autoSpaceDN w:val="0"/>
        <w:adjustRightInd w:val="0"/>
        <w:spacing w:before="0"/>
        <w:ind w:left="851"/>
        <w:rPr>
          <w:rFonts w:eastAsia="Arial" w:cs="Arial"/>
          <w:color w:val="0070C0"/>
          <w:spacing w:val="-1"/>
        </w:rPr>
      </w:pPr>
      <w:r w:rsidRPr="00120CE4">
        <w:rPr>
          <w:rFonts w:eastAsia="Arial" w:cs="Arial"/>
          <w:color w:val="0070C0"/>
          <w:spacing w:val="-1"/>
        </w:rPr>
        <w:t xml:space="preserve">A qualitative judgment about the landscape affected should be informed by either a Landscape and Visual Appraisal or a Landscape and Visual Impact Assessment, as appropriate, in accordance with the most up to date guidance, </w:t>
      </w:r>
      <w:proofErr w:type="gramStart"/>
      <w:r w:rsidRPr="00120CE4">
        <w:rPr>
          <w:rFonts w:eastAsia="Arial" w:cs="Arial"/>
          <w:color w:val="0070C0"/>
          <w:spacing w:val="-1"/>
        </w:rPr>
        <w:t>taking into account</w:t>
      </w:r>
      <w:proofErr w:type="gramEnd"/>
      <w:r w:rsidRPr="00120CE4">
        <w:rPr>
          <w:rFonts w:eastAsia="Arial" w:cs="Arial"/>
          <w:color w:val="0070C0"/>
          <w:spacing w:val="-1"/>
        </w:rPr>
        <w:t xml:space="preserve"> the specific contribution that heritage and the setting of heritage assets </w:t>
      </w:r>
      <w:proofErr w:type="gramStart"/>
      <w:r w:rsidRPr="00120CE4">
        <w:rPr>
          <w:rFonts w:eastAsia="Arial" w:cs="Arial"/>
          <w:color w:val="0070C0"/>
          <w:spacing w:val="-1"/>
        </w:rPr>
        <w:t>makes</w:t>
      </w:r>
      <w:proofErr w:type="gramEnd"/>
      <w:r w:rsidRPr="00120CE4">
        <w:rPr>
          <w:rFonts w:eastAsia="Arial" w:cs="Arial"/>
          <w:color w:val="0070C0"/>
          <w:spacing w:val="-1"/>
        </w:rPr>
        <w:t xml:space="preserve"> to landscape character.</w:t>
      </w:r>
    </w:p>
    <w:p w14:paraId="34CEB5AE" w14:textId="77777777" w:rsidR="00F56B37" w:rsidRPr="00CA1587" w:rsidRDefault="00F56B37" w:rsidP="00C66622">
      <w:pPr>
        <w:keepNext w:val="0"/>
        <w:tabs>
          <w:tab w:val="num" w:pos="851"/>
        </w:tabs>
        <w:autoSpaceDE w:val="0"/>
        <w:autoSpaceDN w:val="0"/>
        <w:adjustRightInd w:val="0"/>
        <w:spacing w:before="0"/>
        <w:ind w:left="851" w:hanging="851"/>
        <w:rPr>
          <w:rFonts w:eastAsia="Arial" w:cs="Arial"/>
          <w:spacing w:val="-1"/>
        </w:rPr>
      </w:pPr>
    </w:p>
    <w:p w14:paraId="680EC777" w14:textId="2A002E0B" w:rsidR="00CA1587" w:rsidRPr="00F53521" w:rsidRDefault="00C66622" w:rsidP="00E76A24">
      <w:pPr>
        <w:keepNext w:val="0"/>
        <w:tabs>
          <w:tab w:val="num" w:pos="851"/>
        </w:tabs>
        <w:autoSpaceDE w:val="0"/>
        <w:autoSpaceDN w:val="0"/>
        <w:adjustRightInd w:val="0"/>
        <w:spacing w:before="0"/>
        <w:ind w:left="851" w:hanging="851"/>
        <w:rPr>
          <w:rFonts w:eastAsia="Arial" w:cs="Arial"/>
          <w:color w:val="ED0000"/>
          <w:spacing w:val="-1"/>
          <w:u w:val="single"/>
        </w:rPr>
      </w:pPr>
      <w:r>
        <w:rPr>
          <w:rFonts w:eastAsia="Arial" w:cs="Arial"/>
          <w:b/>
          <w:bCs/>
          <w:spacing w:val="-1"/>
        </w:rPr>
        <w:tab/>
      </w:r>
      <w:r w:rsidR="00CA1587" w:rsidRPr="007D504C">
        <w:rPr>
          <w:rFonts w:eastAsia="Arial" w:cs="Arial"/>
          <w:b/>
          <w:bCs/>
          <w:spacing w:val="-1"/>
          <w:u w:val="single"/>
        </w:rPr>
        <w:t>Scheduled Monuments</w:t>
      </w:r>
      <w:r w:rsidR="00171AF9" w:rsidRPr="0097505D">
        <w:rPr>
          <w:rFonts w:eastAsia="Arial" w:cs="Arial"/>
          <w:spacing w:val="-1"/>
        </w:rPr>
        <w:t xml:space="preserve"> </w:t>
      </w:r>
      <w:r w:rsidR="00171AF9" w:rsidRPr="00F53521">
        <w:rPr>
          <w:rFonts w:eastAsia="Arial" w:cs="Arial"/>
          <w:i/>
          <w:iCs/>
          <w:color w:val="ED0000"/>
          <w:spacing w:val="-1"/>
        </w:rPr>
        <w:t>(text moved, not deleted)</w:t>
      </w:r>
    </w:p>
    <w:p w14:paraId="2A7B8A99" w14:textId="77777777" w:rsidR="00E76A24" w:rsidRPr="007D504C" w:rsidRDefault="00B21D61" w:rsidP="002E7654">
      <w:pPr>
        <w:pStyle w:val="ListParagraph"/>
        <w:numPr>
          <w:ilvl w:val="1"/>
          <w:numId w:val="5"/>
        </w:numPr>
        <w:tabs>
          <w:tab w:val="clear" w:pos="525"/>
          <w:tab w:val="num" w:pos="851"/>
        </w:tabs>
        <w:spacing w:after="0" w:line="240" w:lineRule="auto"/>
        <w:ind w:left="851" w:hanging="851"/>
        <w:rPr>
          <w:rFonts w:ascii="Arial" w:eastAsia="Arial" w:hAnsi="Arial" w:cs="Arial"/>
          <w:spacing w:val="-1"/>
          <w:szCs w:val="20"/>
          <w:u w:val="single"/>
          <w:lang w:eastAsia="en-GB"/>
        </w:rPr>
      </w:pPr>
      <w:r w:rsidRPr="007D504C">
        <w:rPr>
          <w:rFonts w:ascii="Arial" w:eastAsia="Arial" w:hAnsi="Arial" w:cs="Arial"/>
          <w:spacing w:val="-1"/>
          <w:szCs w:val="20"/>
          <w:u w:val="single"/>
          <w:lang w:eastAsia="en-GB"/>
        </w:rPr>
        <w:t xml:space="preserve">The </w:t>
      </w:r>
      <w:proofErr w:type="gramStart"/>
      <w:r w:rsidRPr="007D504C">
        <w:rPr>
          <w:rFonts w:ascii="Arial" w:eastAsia="Arial" w:hAnsi="Arial" w:cs="Arial"/>
          <w:spacing w:val="-1"/>
          <w:szCs w:val="20"/>
          <w:u w:val="single"/>
          <w:lang w:eastAsia="en-GB"/>
        </w:rPr>
        <w:t>District</w:t>
      </w:r>
      <w:proofErr w:type="gramEnd"/>
      <w:r w:rsidRPr="007D504C">
        <w:rPr>
          <w:rFonts w:ascii="Arial" w:eastAsia="Arial" w:hAnsi="Arial" w:cs="Arial"/>
          <w:spacing w:val="-1"/>
          <w:szCs w:val="20"/>
          <w:u w:val="single"/>
          <w:lang w:eastAsia="en-GB"/>
        </w:rPr>
        <w:t xml:space="preserve"> has nine Scheduled Monuments under the Ancient Monuments and Archaeological Areas Act, 1979 (see Appendix 10). These </w:t>
      </w:r>
      <w:proofErr w:type="gramStart"/>
      <w:r w:rsidRPr="007D504C">
        <w:rPr>
          <w:rFonts w:ascii="Arial" w:eastAsia="Arial" w:hAnsi="Arial" w:cs="Arial"/>
          <w:spacing w:val="-1"/>
          <w:szCs w:val="20"/>
          <w:u w:val="single"/>
          <w:lang w:eastAsia="en-GB"/>
        </w:rPr>
        <w:t>are considered to be</w:t>
      </w:r>
      <w:proofErr w:type="gramEnd"/>
      <w:r w:rsidRPr="007D504C">
        <w:rPr>
          <w:rFonts w:ascii="Arial" w:eastAsia="Arial" w:hAnsi="Arial" w:cs="Arial"/>
          <w:spacing w:val="-1"/>
          <w:szCs w:val="20"/>
          <w:u w:val="single"/>
          <w:lang w:eastAsia="en-GB"/>
        </w:rPr>
        <w:t xml:space="preserve"> of national importance and will be protected from deterioration and demolition. Any work to a scheduled monument requires Scheduled Monument Consent, applications should be made to Historic England. Elsewhere within the District there are many sites and areas regarded as being of archaeological interest, including historic landscapes.</w:t>
      </w:r>
    </w:p>
    <w:p w14:paraId="10F9C821" w14:textId="77777777" w:rsidR="00E76A24" w:rsidRDefault="00E76A24" w:rsidP="00E76A24">
      <w:pPr>
        <w:pStyle w:val="ListParagraph"/>
        <w:ind w:left="851"/>
        <w:rPr>
          <w:rFonts w:ascii="Arial" w:eastAsia="Arial" w:hAnsi="Arial" w:cs="Arial"/>
          <w:spacing w:val="-1"/>
          <w:szCs w:val="20"/>
          <w:lang w:eastAsia="en-GB"/>
        </w:rPr>
      </w:pPr>
    </w:p>
    <w:p w14:paraId="38C212D3" w14:textId="3DD3234C" w:rsidR="00B21D61" w:rsidRPr="002E7654" w:rsidRDefault="004216DA" w:rsidP="00E76A24">
      <w:pPr>
        <w:pStyle w:val="ListParagraph"/>
        <w:spacing w:after="0" w:line="240" w:lineRule="auto"/>
        <w:ind w:left="851"/>
        <w:rPr>
          <w:rFonts w:ascii="Arial" w:eastAsia="Arial" w:hAnsi="Arial" w:cs="Arial"/>
          <w:spacing w:val="-1"/>
          <w:szCs w:val="20"/>
          <w:lang w:eastAsia="en-GB"/>
        </w:rPr>
      </w:pPr>
      <w:r w:rsidRPr="002E7654">
        <w:rPr>
          <w:rFonts w:ascii="Arial" w:eastAsia="Arial" w:hAnsi="Arial" w:cs="Arial"/>
          <w:b/>
          <w:bCs/>
          <w:spacing w:val="-1"/>
        </w:rPr>
        <w:t xml:space="preserve">Sites </w:t>
      </w:r>
      <w:r w:rsidR="00E76A24" w:rsidRPr="002E7654">
        <w:rPr>
          <w:rFonts w:ascii="Arial" w:eastAsia="Arial" w:hAnsi="Arial" w:cs="Arial"/>
          <w:b/>
          <w:bCs/>
          <w:spacing w:val="-1"/>
        </w:rPr>
        <w:t>of Archaeological Interest</w:t>
      </w:r>
      <w:r w:rsidR="00B21D61" w:rsidRPr="002E7654">
        <w:rPr>
          <w:rFonts w:ascii="Arial" w:eastAsia="Arial" w:hAnsi="Arial" w:cs="Arial"/>
          <w:spacing w:val="-1"/>
          <w:szCs w:val="20"/>
          <w:lang w:eastAsia="en-GB"/>
        </w:rPr>
        <w:t xml:space="preserve"> </w:t>
      </w:r>
    </w:p>
    <w:p w14:paraId="1A070204" w14:textId="718DCA9A" w:rsidR="00CA1587" w:rsidRPr="00BB19BB" w:rsidRDefault="00CA1587" w:rsidP="00E76A24">
      <w:pPr>
        <w:keepNext w:val="0"/>
        <w:numPr>
          <w:ilvl w:val="1"/>
          <w:numId w:val="5"/>
        </w:numPr>
        <w:tabs>
          <w:tab w:val="clear" w:pos="525"/>
          <w:tab w:val="num" w:pos="851"/>
        </w:tabs>
        <w:autoSpaceDE w:val="0"/>
        <w:autoSpaceDN w:val="0"/>
        <w:adjustRightInd w:val="0"/>
        <w:spacing w:before="0"/>
        <w:ind w:left="851" w:hanging="851"/>
        <w:rPr>
          <w:rFonts w:eastAsia="Arial" w:cs="Arial"/>
          <w:strike/>
          <w:spacing w:val="-1"/>
        </w:rPr>
      </w:pPr>
      <w:r w:rsidRPr="002E7654">
        <w:rPr>
          <w:rFonts w:eastAsia="Arial" w:cs="Arial"/>
          <w:spacing w:val="-1"/>
        </w:rPr>
        <w:t xml:space="preserve">Archaeological </w:t>
      </w:r>
      <w:r w:rsidR="004216DA" w:rsidRPr="002E7654">
        <w:rPr>
          <w:rFonts w:eastAsia="Arial" w:cs="Arial"/>
          <w:spacing w:val="-1"/>
        </w:rPr>
        <w:t xml:space="preserve">sites </w:t>
      </w:r>
      <w:r w:rsidRPr="002E7654">
        <w:rPr>
          <w:rFonts w:eastAsia="Arial" w:cs="Arial"/>
          <w:spacing w:val="-1"/>
        </w:rPr>
        <w:t xml:space="preserve">provide </w:t>
      </w:r>
      <w:r w:rsidRPr="00CA1587">
        <w:rPr>
          <w:rFonts w:eastAsia="Arial" w:cs="Arial"/>
          <w:spacing w:val="-1"/>
        </w:rPr>
        <w:t xml:space="preserve">crucial links to the past and can provide useful information about local heritage. Appropriate steps must be undertaken to identify and protect them as they are easily damaged or destroyed when development takes place. </w:t>
      </w:r>
    </w:p>
    <w:p w14:paraId="19E50881"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0284076C" w14:textId="5A0585DE"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Archaeological remains are important for their historical and educational interest and may also be important features in the landscape. The Nottinghamshire Historic Environment Records (HER) is maintained and updated by the County Council and contains details of all known sites, structures, landscapes or other areas of archaeological interest in Ashfield.  The HER should be consulted on all planning applications within or near to areas of known archaeological interest.</w:t>
      </w:r>
    </w:p>
    <w:p w14:paraId="1A0A7AC2"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1F141CAD" w14:textId="6D84ABA2"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Early consideration should be given by developers to the question of whether archaeological remains exist on a site and the implications for a proposed development. This process can involve different levels of staged assessments, specific to the site and its history. The initial stage should undertake a desk-based assessment of the </w:t>
      </w:r>
      <w:r w:rsidR="009D1815" w:rsidRPr="00CA1587">
        <w:rPr>
          <w:rFonts w:eastAsia="Arial" w:cs="Arial"/>
          <w:spacing w:val="-1"/>
        </w:rPr>
        <w:t>site but</w:t>
      </w:r>
      <w:r w:rsidRPr="00CA1587">
        <w:rPr>
          <w:rFonts w:eastAsia="Arial" w:cs="Arial"/>
          <w:spacing w:val="-1"/>
        </w:rPr>
        <w:t xml:space="preserve"> may also require (where necessary) a range of additional assessments including, but not limited to, geophysical survey, geo-archaeological modelling, field walking, test pitting, trial trenching and/or setting studies. This initial stage may need to be followed by a full archaeological evaluation of the site. The County Archaeologist should be contacted for advice on locations where remains are known or thought to exist. Advice can be given on the best means to preserve and enhance remains that have been previously identified. Archaeological Assessments should be undertaken by a suitably qualified person.</w:t>
      </w:r>
    </w:p>
    <w:p w14:paraId="619CD52A"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58AA8E90"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Where sites are of known or potential archaeological significance developers may be required to submit the results of an archaeological evaluation with any planning application. Evaluations of this kind help to define the character and extent of the archaeological </w:t>
      </w:r>
      <w:proofErr w:type="gramStart"/>
      <w:r w:rsidRPr="00CA1587">
        <w:rPr>
          <w:rFonts w:eastAsia="Arial" w:cs="Arial"/>
          <w:spacing w:val="-1"/>
        </w:rPr>
        <w:t>remains, and</w:t>
      </w:r>
      <w:proofErr w:type="gramEnd"/>
      <w:r w:rsidRPr="00CA1587">
        <w:rPr>
          <w:rFonts w:eastAsia="Arial" w:cs="Arial"/>
          <w:spacing w:val="-1"/>
        </w:rPr>
        <w:t xml:space="preserve"> thus indicate the weight which ought to be attached to their preservation. The level of importance of the site can then be assessed against the need for the proposed development. Such evaluations should be submitted to the Council at the earliest possible stage of the planning application process, to ensure an informed decision can be made. The Council will not support the postponing of appropriate evaluations via conditions or secondary detailed planning applications. If archaeological remains are discovered during development, developers should contact the Local Authority immediately for advice. </w:t>
      </w:r>
    </w:p>
    <w:p w14:paraId="222C1024"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7EB326BB" w14:textId="3FFD5251" w:rsidR="00C70502" w:rsidRPr="006D4F49" w:rsidRDefault="00BB19BB" w:rsidP="006D4F49">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2E7654">
        <w:rPr>
          <w:rFonts w:eastAsia="Arial" w:cs="Arial"/>
          <w:spacing w:val="-1"/>
        </w:rPr>
        <w:t>To protect the integrity of archaeological sites, t</w:t>
      </w:r>
      <w:r w:rsidR="00CA1587" w:rsidRPr="002E7654">
        <w:rPr>
          <w:rFonts w:eastAsia="Arial" w:cs="Arial"/>
          <w:spacing w:val="-1"/>
        </w:rPr>
        <w:t xml:space="preserve">he preservation of </w:t>
      </w:r>
      <w:r w:rsidRPr="002E7654">
        <w:rPr>
          <w:rFonts w:eastAsia="Arial" w:cs="Arial"/>
          <w:spacing w:val="-1"/>
        </w:rPr>
        <w:t xml:space="preserve">remains </w:t>
      </w:r>
      <w:r w:rsidR="00CA1587" w:rsidRPr="002E7654">
        <w:rPr>
          <w:rFonts w:eastAsia="Arial" w:cs="Arial"/>
          <w:spacing w:val="-1"/>
        </w:rPr>
        <w:t xml:space="preserve">in-situ will nearly always be preferred to "preservation by record". There are </w:t>
      </w:r>
      <w:r w:rsidR="00CA1587" w:rsidRPr="00CA1587">
        <w:rPr>
          <w:rFonts w:eastAsia="Arial" w:cs="Arial"/>
          <w:spacing w:val="-1"/>
        </w:rPr>
        <w:t xml:space="preserve">often opportunities to avoid the disturbance of remains by raising ground levels under a proposed new structure, introducing raft foundations, or by the careful siting of landscaped or open areas. This will secure their </w:t>
      </w:r>
      <w:proofErr w:type="gramStart"/>
      <w:r w:rsidR="00CA1587" w:rsidRPr="00CA1587">
        <w:rPr>
          <w:rFonts w:eastAsia="Arial" w:cs="Arial"/>
          <w:spacing w:val="-1"/>
        </w:rPr>
        <w:t>long term</w:t>
      </w:r>
      <w:proofErr w:type="gramEnd"/>
      <w:r w:rsidR="00CA1587" w:rsidRPr="00CA1587">
        <w:rPr>
          <w:rFonts w:eastAsia="Arial" w:cs="Arial"/>
          <w:spacing w:val="-1"/>
        </w:rPr>
        <w:t xml:space="preserve"> preservation even though they will remain inaccessible for the time being. Where the physical preservation of archaeological remains in-situ is not possible the Council will ensure that adequate provision is made for the survey, excavation and recording of remains, where appropriate, </w:t>
      </w:r>
      <w:proofErr w:type="gramStart"/>
      <w:r w:rsidR="00CA1587" w:rsidRPr="00CA1587">
        <w:rPr>
          <w:rFonts w:eastAsia="Arial" w:cs="Arial"/>
          <w:spacing w:val="-1"/>
        </w:rPr>
        <w:t>through the use of</w:t>
      </w:r>
      <w:proofErr w:type="gramEnd"/>
      <w:r w:rsidR="00CA1587" w:rsidRPr="00CA1587">
        <w:rPr>
          <w:rFonts w:eastAsia="Arial" w:cs="Arial"/>
          <w:spacing w:val="-1"/>
        </w:rPr>
        <w:t xml:space="preserve"> planning conditions or a planning obligation. </w:t>
      </w:r>
    </w:p>
    <w:p w14:paraId="2881E783" w14:textId="77777777" w:rsidR="00C70502" w:rsidRDefault="00C70502" w:rsidP="00C66622">
      <w:pPr>
        <w:keepNext w:val="0"/>
        <w:tabs>
          <w:tab w:val="num" w:pos="851"/>
        </w:tabs>
        <w:autoSpaceDE w:val="0"/>
        <w:autoSpaceDN w:val="0"/>
        <w:adjustRightInd w:val="0"/>
        <w:spacing w:before="0"/>
        <w:ind w:left="851" w:hanging="851"/>
        <w:rPr>
          <w:rFonts w:eastAsia="Arial" w:cs="Arial"/>
          <w:b/>
          <w:bCs/>
          <w:spacing w:val="-1"/>
        </w:rPr>
      </w:pPr>
    </w:p>
    <w:p w14:paraId="1603DF11" w14:textId="77777777" w:rsidR="00171AF9" w:rsidRPr="00F53521" w:rsidRDefault="00C70502" w:rsidP="00171AF9">
      <w:pPr>
        <w:keepNext w:val="0"/>
        <w:tabs>
          <w:tab w:val="num" w:pos="851"/>
        </w:tabs>
        <w:autoSpaceDE w:val="0"/>
        <w:autoSpaceDN w:val="0"/>
        <w:adjustRightInd w:val="0"/>
        <w:spacing w:before="0"/>
        <w:ind w:left="851" w:hanging="851"/>
        <w:rPr>
          <w:rFonts w:eastAsia="Arial" w:cs="Arial"/>
          <w:color w:val="ED0000"/>
          <w:spacing w:val="-1"/>
        </w:rPr>
      </w:pPr>
      <w:r>
        <w:rPr>
          <w:rFonts w:eastAsia="Arial" w:cs="Arial"/>
          <w:b/>
          <w:bCs/>
          <w:spacing w:val="-1"/>
        </w:rPr>
        <w:tab/>
      </w:r>
      <w:r w:rsidR="00CA1587" w:rsidRPr="0097505D">
        <w:rPr>
          <w:rFonts w:eastAsia="Arial" w:cs="Arial"/>
          <w:b/>
          <w:bCs/>
          <w:spacing w:val="-1"/>
          <w:u w:val="single"/>
        </w:rPr>
        <w:t>Historic Parks and Gardens</w:t>
      </w:r>
      <w:r w:rsidR="00171AF9" w:rsidRPr="0097505D">
        <w:rPr>
          <w:rFonts w:eastAsia="Arial" w:cs="Arial"/>
          <w:spacing w:val="-1"/>
          <w:u w:val="single"/>
        </w:rPr>
        <w:t xml:space="preserve"> </w:t>
      </w:r>
      <w:r w:rsidR="00171AF9" w:rsidRPr="00F53521">
        <w:rPr>
          <w:rFonts w:eastAsia="Arial" w:cs="Arial"/>
          <w:i/>
          <w:iCs/>
          <w:color w:val="ED0000"/>
          <w:spacing w:val="-1"/>
        </w:rPr>
        <w:t>(text moved, not deleted)</w:t>
      </w:r>
    </w:p>
    <w:p w14:paraId="20D5FE94" w14:textId="77777777" w:rsidR="00CA1587" w:rsidRPr="0097505D"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u w:val="single"/>
        </w:rPr>
      </w:pPr>
      <w:r w:rsidRPr="0097505D">
        <w:rPr>
          <w:rFonts w:eastAsia="Arial" w:cs="Arial"/>
          <w:spacing w:val="-1"/>
          <w:u w:val="single"/>
        </w:rPr>
        <w:t xml:space="preserve">Registered Historic Parks and Gardens are important in historical and landscape terms and may also be of wildlife and recreational value. Ashfield has two designed </w:t>
      </w:r>
      <w:r w:rsidRPr="0097505D">
        <w:rPr>
          <w:rFonts w:eastAsia="Arial" w:cs="Arial"/>
          <w:spacing w:val="-1"/>
          <w:u w:val="single"/>
        </w:rPr>
        <w:lastRenderedPageBreak/>
        <w:t>landscapes on the Historic England Register of Parks and Gardens of Special Historic Interest, including:</w:t>
      </w:r>
    </w:p>
    <w:p w14:paraId="6EBA38C4" w14:textId="12AC95DD" w:rsidR="00CA1587" w:rsidRPr="007808EC" w:rsidRDefault="00CA1587" w:rsidP="00874A98">
      <w:pPr>
        <w:pStyle w:val="ListParagraph"/>
        <w:numPr>
          <w:ilvl w:val="0"/>
          <w:numId w:val="229"/>
        </w:numPr>
        <w:tabs>
          <w:tab w:val="num" w:pos="1560"/>
        </w:tabs>
        <w:autoSpaceDE w:val="0"/>
        <w:autoSpaceDN w:val="0"/>
        <w:adjustRightInd w:val="0"/>
        <w:ind w:left="1985" w:hanging="851"/>
        <w:rPr>
          <w:rFonts w:ascii="Arial" w:eastAsia="Arial" w:hAnsi="Arial" w:cs="Arial"/>
          <w:spacing w:val="-1"/>
          <w:u w:val="single"/>
        </w:rPr>
      </w:pPr>
      <w:r w:rsidRPr="007808EC">
        <w:rPr>
          <w:rFonts w:ascii="Arial" w:eastAsia="Arial" w:hAnsi="Arial" w:cs="Arial"/>
          <w:spacing w:val="-1"/>
          <w:u w:val="single"/>
        </w:rPr>
        <w:t>EV</w:t>
      </w:r>
      <w:r w:rsidR="0095521E" w:rsidRPr="007808EC">
        <w:rPr>
          <w:rFonts w:ascii="Arial" w:eastAsia="Arial" w:hAnsi="Arial" w:cs="Arial"/>
          <w:spacing w:val="-1"/>
          <w:u w:val="single"/>
        </w:rPr>
        <w:t>9</w:t>
      </w:r>
      <w:r w:rsidRPr="007808EC">
        <w:rPr>
          <w:rFonts w:ascii="Arial" w:eastAsia="Arial" w:hAnsi="Arial" w:cs="Arial"/>
          <w:spacing w:val="-1"/>
          <w:u w:val="single"/>
        </w:rPr>
        <w:t xml:space="preserve"> Pa</w:t>
      </w:r>
      <w:r w:rsidRPr="007808EC">
        <w:rPr>
          <w:rFonts w:ascii="Arial" w:eastAsia="Arial" w:hAnsi="Arial" w:cs="Arial"/>
          <w:spacing w:val="-1"/>
          <w:u w:val="single"/>
        </w:rPr>
        <w:tab/>
        <w:t>Annesley Hall, Annesley - Grade II*</w:t>
      </w:r>
    </w:p>
    <w:p w14:paraId="7920A14C" w14:textId="0C0EC7B8" w:rsidR="00CA1587" w:rsidRPr="007808EC" w:rsidRDefault="00CA1587" w:rsidP="00874A98">
      <w:pPr>
        <w:pStyle w:val="ListParagraph"/>
        <w:numPr>
          <w:ilvl w:val="0"/>
          <w:numId w:val="229"/>
        </w:numPr>
        <w:tabs>
          <w:tab w:val="num" w:pos="1560"/>
        </w:tabs>
        <w:autoSpaceDE w:val="0"/>
        <w:autoSpaceDN w:val="0"/>
        <w:adjustRightInd w:val="0"/>
        <w:ind w:left="1985" w:hanging="851"/>
        <w:rPr>
          <w:rFonts w:ascii="Arial" w:eastAsia="Arial" w:hAnsi="Arial" w:cs="Arial"/>
          <w:spacing w:val="-1"/>
          <w:u w:val="single"/>
        </w:rPr>
      </w:pPr>
      <w:r w:rsidRPr="007808EC">
        <w:rPr>
          <w:rFonts w:ascii="Arial" w:eastAsia="Arial" w:hAnsi="Arial" w:cs="Arial"/>
          <w:spacing w:val="-1"/>
          <w:u w:val="single"/>
        </w:rPr>
        <w:t>EV</w:t>
      </w:r>
      <w:r w:rsidR="0095521E" w:rsidRPr="007808EC">
        <w:rPr>
          <w:rFonts w:ascii="Arial" w:eastAsia="Arial" w:hAnsi="Arial" w:cs="Arial"/>
          <w:spacing w:val="-1"/>
          <w:u w:val="single"/>
        </w:rPr>
        <w:t>9</w:t>
      </w:r>
      <w:r w:rsidRPr="007808EC">
        <w:rPr>
          <w:rFonts w:ascii="Arial" w:eastAsia="Arial" w:hAnsi="Arial" w:cs="Arial"/>
          <w:spacing w:val="-1"/>
          <w:u w:val="single"/>
        </w:rPr>
        <w:t xml:space="preserve"> Pb </w:t>
      </w:r>
      <w:r w:rsidRPr="007808EC">
        <w:rPr>
          <w:rFonts w:ascii="Arial" w:eastAsia="Arial" w:hAnsi="Arial" w:cs="Arial"/>
          <w:spacing w:val="-1"/>
          <w:u w:val="single"/>
        </w:rPr>
        <w:tab/>
        <w:t>Hardwick Hall Grounds (that part within Ashfield) – Grade I</w:t>
      </w:r>
    </w:p>
    <w:p w14:paraId="63604FDC" w14:textId="33D39B17" w:rsidR="00CA1587" w:rsidRPr="007808EC" w:rsidRDefault="00C66622" w:rsidP="00C66622">
      <w:pPr>
        <w:keepNext w:val="0"/>
        <w:tabs>
          <w:tab w:val="num" w:pos="1560"/>
        </w:tabs>
        <w:autoSpaceDE w:val="0"/>
        <w:autoSpaceDN w:val="0"/>
        <w:adjustRightInd w:val="0"/>
        <w:spacing w:before="0"/>
        <w:rPr>
          <w:rFonts w:eastAsia="Arial" w:cs="Arial"/>
          <w:spacing w:val="-1"/>
          <w:u w:val="single"/>
        </w:rPr>
      </w:pPr>
      <w:r w:rsidRPr="007808EC">
        <w:rPr>
          <w:rFonts w:eastAsia="Arial" w:cs="Arial"/>
          <w:spacing w:val="-1"/>
        </w:rPr>
        <w:t xml:space="preserve">            </w:t>
      </w:r>
      <w:r w:rsidR="00CA1587" w:rsidRPr="007808EC">
        <w:rPr>
          <w:rFonts w:eastAsia="Arial" w:cs="Arial"/>
          <w:spacing w:val="-1"/>
          <w:u w:val="single"/>
        </w:rPr>
        <w:t xml:space="preserve">The </w:t>
      </w:r>
      <w:proofErr w:type="gramStart"/>
      <w:r w:rsidR="00CA1587" w:rsidRPr="007808EC">
        <w:rPr>
          <w:rFonts w:eastAsia="Arial" w:cs="Arial"/>
          <w:spacing w:val="-1"/>
          <w:u w:val="single"/>
        </w:rPr>
        <w:t>District</w:t>
      </w:r>
      <w:proofErr w:type="gramEnd"/>
      <w:r w:rsidR="00CA1587" w:rsidRPr="007808EC">
        <w:rPr>
          <w:rFonts w:eastAsia="Arial" w:cs="Arial"/>
          <w:spacing w:val="-1"/>
          <w:u w:val="single"/>
        </w:rPr>
        <w:t xml:space="preserve"> also has a locally designated Historic Park and Garden:</w:t>
      </w:r>
    </w:p>
    <w:p w14:paraId="59C5FE83" w14:textId="59D6FAB6" w:rsidR="00CA1587" w:rsidRPr="007808EC" w:rsidRDefault="00CA1587" w:rsidP="00874A98">
      <w:pPr>
        <w:pStyle w:val="ListParagraph"/>
        <w:numPr>
          <w:ilvl w:val="0"/>
          <w:numId w:val="230"/>
        </w:numPr>
        <w:tabs>
          <w:tab w:val="num" w:pos="1560"/>
        </w:tabs>
        <w:autoSpaceDE w:val="0"/>
        <w:autoSpaceDN w:val="0"/>
        <w:adjustRightInd w:val="0"/>
        <w:ind w:left="1985" w:hanging="851"/>
        <w:rPr>
          <w:rFonts w:ascii="Arial" w:eastAsia="Arial" w:hAnsi="Arial" w:cs="Arial"/>
          <w:spacing w:val="-1"/>
          <w:u w:val="single"/>
        </w:rPr>
      </w:pPr>
      <w:r w:rsidRPr="007808EC">
        <w:rPr>
          <w:rFonts w:ascii="Arial" w:eastAsia="Arial" w:hAnsi="Arial" w:cs="Arial"/>
          <w:spacing w:val="-1"/>
          <w:u w:val="single"/>
        </w:rPr>
        <w:t>EV</w:t>
      </w:r>
      <w:r w:rsidR="0095521E" w:rsidRPr="007808EC">
        <w:rPr>
          <w:rFonts w:ascii="Arial" w:eastAsia="Arial" w:hAnsi="Arial" w:cs="Arial"/>
          <w:spacing w:val="-1"/>
          <w:u w:val="single"/>
        </w:rPr>
        <w:t>9</w:t>
      </w:r>
      <w:r w:rsidRPr="007808EC">
        <w:rPr>
          <w:rFonts w:ascii="Arial" w:eastAsia="Arial" w:hAnsi="Arial" w:cs="Arial"/>
          <w:spacing w:val="-1"/>
          <w:u w:val="single"/>
        </w:rPr>
        <w:t xml:space="preserve"> Pc </w:t>
      </w:r>
      <w:r w:rsidRPr="007808EC">
        <w:rPr>
          <w:rFonts w:ascii="Arial" w:eastAsia="Arial" w:hAnsi="Arial" w:cs="Arial"/>
          <w:spacing w:val="-1"/>
          <w:u w:val="single"/>
        </w:rPr>
        <w:tab/>
        <w:t>Skegby Hall, Skegby, Sutton in Ashfield.</w:t>
      </w:r>
    </w:p>
    <w:p w14:paraId="731536DF" w14:textId="77777777" w:rsidR="00CA1587" w:rsidRPr="007808EC"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trike/>
          <w:spacing w:val="-1"/>
        </w:rPr>
      </w:pPr>
      <w:r w:rsidRPr="007808EC">
        <w:rPr>
          <w:rFonts w:eastAsia="Arial" w:cs="Arial"/>
          <w:spacing w:val="-1"/>
          <w:u w:val="single"/>
        </w:rPr>
        <w:t xml:space="preserve">The significance of parks and gardens may extend beyond the defined boundary with regards to views towards or away from the park and garden or in how the park and garden is experienced, for example on approach.  Development proposals that would result in the harm or loss of a designated historic park or garden or its setting, would only be permitted by the Council if it can be appropriately demonstrated that the harm or loss is </w:t>
      </w:r>
      <w:proofErr w:type="gramStart"/>
      <w:r w:rsidRPr="007808EC">
        <w:rPr>
          <w:rFonts w:eastAsia="Arial" w:cs="Arial"/>
          <w:spacing w:val="-1"/>
          <w:u w:val="single"/>
        </w:rPr>
        <w:t>out-weighted</w:t>
      </w:r>
      <w:proofErr w:type="gramEnd"/>
      <w:r w:rsidRPr="007808EC">
        <w:rPr>
          <w:rFonts w:eastAsia="Arial" w:cs="Arial"/>
          <w:spacing w:val="-1"/>
          <w:u w:val="single"/>
        </w:rPr>
        <w:t xml:space="preserve"> by the substantial public benefit resulting</w:t>
      </w:r>
      <w:r w:rsidRPr="0097505D">
        <w:rPr>
          <w:rFonts w:eastAsia="Arial" w:cs="Arial"/>
          <w:spacing w:val="-1"/>
          <w:u w:val="single"/>
        </w:rPr>
        <w:t xml:space="preserve"> from the development. Where this public benefit cannot be demonstrated, proposals must align with the requirements of national planning policy. Any development impacting on a designated historic park or garden should seek to </w:t>
      </w:r>
      <w:r w:rsidRPr="007808EC">
        <w:rPr>
          <w:rFonts w:eastAsia="Arial" w:cs="Arial"/>
          <w:spacing w:val="-1"/>
          <w:u w:val="single"/>
        </w:rPr>
        <w:t xml:space="preserve">support the long-term preservation of the park or garden and its setting through sensitive restoration, adaptation and/or re-use. </w:t>
      </w:r>
      <w:proofErr w:type="gramStart"/>
      <w:r w:rsidRPr="007808EC">
        <w:rPr>
          <w:rFonts w:eastAsia="Arial" w:cs="Arial"/>
          <w:spacing w:val="-1"/>
          <w:u w:val="single"/>
        </w:rPr>
        <w:t>In particular, care</w:t>
      </w:r>
      <w:proofErr w:type="gramEnd"/>
      <w:r w:rsidRPr="007808EC">
        <w:rPr>
          <w:rFonts w:eastAsia="Arial" w:cs="Arial"/>
          <w:spacing w:val="-1"/>
          <w:u w:val="single"/>
        </w:rPr>
        <w:t xml:space="preserve"> should be taken to avoid the loss of trees, woodland or significant views, that contribute to the asset’s significance. Any proposed loss of trees or woodland will need to be assessed against Policy EV6.</w:t>
      </w:r>
      <w:r w:rsidRPr="007808EC">
        <w:rPr>
          <w:rFonts w:eastAsia="Arial" w:cs="Arial"/>
          <w:strike/>
          <w:spacing w:val="-1"/>
        </w:rPr>
        <w:t xml:space="preserve">  </w:t>
      </w:r>
    </w:p>
    <w:p w14:paraId="0FE6F31D" w14:textId="77777777" w:rsidR="00CA1587" w:rsidRPr="007808EC" w:rsidRDefault="00CA1587" w:rsidP="00C66622">
      <w:pPr>
        <w:keepNext w:val="0"/>
        <w:tabs>
          <w:tab w:val="num" w:pos="851"/>
        </w:tabs>
        <w:autoSpaceDE w:val="0"/>
        <w:autoSpaceDN w:val="0"/>
        <w:adjustRightInd w:val="0"/>
        <w:spacing w:before="0"/>
        <w:ind w:left="851" w:hanging="851"/>
        <w:rPr>
          <w:rFonts w:eastAsia="Arial" w:cs="Arial"/>
          <w:spacing w:val="-1"/>
        </w:rPr>
      </w:pPr>
    </w:p>
    <w:p w14:paraId="0B3D641C" w14:textId="77777777" w:rsidR="00171AF9" w:rsidRPr="00F53521" w:rsidRDefault="00C66622" w:rsidP="00171AF9">
      <w:pPr>
        <w:keepNext w:val="0"/>
        <w:tabs>
          <w:tab w:val="num" w:pos="851"/>
        </w:tabs>
        <w:autoSpaceDE w:val="0"/>
        <w:autoSpaceDN w:val="0"/>
        <w:adjustRightInd w:val="0"/>
        <w:spacing w:before="0"/>
        <w:ind w:left="851" w:hanging="851"/>
        <w:rPr>
          <w:rFonts w:eastAsia="Arial" w:cs="Arial"/>
          <w:color w:val="ED0000"/>
          <w:spacing w:val="-1"/>
          <w:u w:val="single"/>
        </w:rPr>
      </w:pPr>
      <w:r w:rsidRPr="007808EC">
        <w:rPr>
          <w:rFonts w:eastAsia="Arial" w:cs="Arial"/>
          <w:b/>
          <w:bCs/>
          <w:spacing w:val="-1"/>
        </w:rPr>
        <w:tab/>
      </w:r>
      <w:r w:rsidR="00CA1587" w:rsidRPr="007808EC">
        <w:rPr>
          <w:rFonts w:eastAsia="Arial" w:cs="Arial"/>
          <w:b/>
          <w:bCs/>
          <w:spacing w:val="-1"/>
          <w:u w:val="single"/>
        </w:rPr>
        <w:t>Historic Landscape Features</w:t>
      </w:r>
      <w:r w:rsidR="00171AF9" w:rsidRPr="007808EC">
        <w:rPr>
          <w:rFonts w:eastAsia="Arial" w:cs="Arial"/>
          <w:spacing w:val="-1"/>
          <w:u w:val="single"/>
        </w:rPr>
        <w:t xml:space="preserve"> </w:t>
      </w:r>
      <w:r w:rsidR="00171AF9" w:rsidRPr="00F53521">
        <w:rPr>
          <w:rFonts w:eastAsia="Arial" w:cs="Arial"/>
          <w:i/>
          <w:iCs/>
          <w:color w:val="ED0000"/>
          <w:spacing w:val="-1"/>
        </w:rPr>
        <w:t>(text moved, not deleted)</w:t>
      </w:r>
    </w:p>
    <w:p w14:paraId="43ED5E50" w14:textId="77777777" w:rsidR="00CA1587" w:rsidRPr="007808EC"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u w:val="single"/>
        </w:rPr>
      </w:pPr>
      <w:r w:rsidRPr="007808EC">
        <w:rPr>
          <w:rFonts w:eastAsia="Arial" w:cs="Arial"/>
          <w:spacing w:val="-1"/>
          <w:u w:val="single"/>
        </w:rPr>
        <w:t xml:space="preserve">The landscape of Ashfield today is the result of both natural and man-made actions which have taken place over many years. Activities such as settlement, farming, industry and recreation have all left behind physical traces that help to give individual parts of the </w:t>
      </w:r>
      <w:proofErr w:type="gramStart"/>
      <w:r w:rsidRPr="007808EC">
        <w:rPr>
          <w:rFonts w:eastAsia="Arial" w:cs="Arial"/>
          <w:spacing w:val="-1"/>
          <w:u w:val="single"/>
        </w:rPr>
        <w:t>District</w:t>
      </w:r>
      <w:proofErr w:type="gramEnd"/>
      <w:r w:rsidRPr="007808EC">
        <w:rPr>
          <w:rFonts w:eastAsia="Arial" w:cs="Arial"/>
          <w:spacing w:val="-1"/>
          <w:u w:val="single"/>
        </w:rPr>
        <w:t xml:space="preserve"> their own special character. </w:t>
      </w:r>
    </w:p>
    <w:p w14:paraId="0447F5DD" w14:textId="77777777" w:rsidR="00CA1587" w:rsidRPr="007808EC" w:rsidRDefault="00CA1587" w:rsidP="00C66622">
      <w:pPr>
        <w:keepNext w:val="0"/>
        <w:tabs>
          <w:tab w:val="num" w:pos="851"/>
        </w:tabs>
        <w:autoSpaceDE w:val="0"/>
        <w:autoSpaceDN w:val="0"/>
        <w:adjustRightInd w:val="0"/>
        <w:spacing w:before="0"/>
        <w:ind w:left="851" w:hanging="851"/>
        <w:rPr>
          <w:rFonts w:eastAsia="Arial" w:cs="Arial"/>
          <w:spacing w:val="-1"/>
          <w:u w:val="single"/>
        </w:rPr>
      </w:pPr>
    </w:p>
    <w:p w14:paraId="57AFC7BF" w14:textId="77777777" w:rsidR="00CA1587" w:rsidRPr="007808EC"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u w:val="single"/>
        </w:rPr>
      </w:pPr>
      <w:r w:rsidRPr="007808EC">
        <w:rPr>
          <w:rFonts w:eastAsia="Arial" w:cs="Arial"/>
          <w:spacing w:val="-1"/>
          <w:u w:val="single"/>
        </w:rPr>
        <w:t xml:space="preserve">More than any other part of the historic environment, the landscape is characterised and enriched by centuries of change and modification. It is essential that any new development is of a scale and type which is appropriate and does not harm the intrinsic value of the </w:t>
      </w:r>
      <w:proofErr w:type="gramStart"/>
      <w:r w:rsidRPr="007808EC">
        <w:rPr>
          <w:rFonts w:eastAsia="Arial" w:cs="Arial"/>
          <w:spacing w:val="-1"/>
          <w:u w:val="single"/>
        </w:rPr>
        <w:t>particular landscape</w:t>
      </w:r>
      <w:proofErr w:type="gramEnd"/>
      <w:r w:rsidRPr="007808EC">
        <w:rPr>
          <w:rFonts w:eastAsia="Arial" w:cs="Arial"/>
          <w:spacing w:val="-1"/>
          <w:u w:val="single"/>
        </w:rPr>
        <w:t xml:space="preserve"> in which it is to be located. Development proposals should appreciate an area’s sensitivity, vulnerability and capacity for change in the context of specific proposals.</w:t>
      </w:r>
    </w:p>
    <w:p w14:paraId="0D8EC787" w14:textId="77777777" w:rsidR="00CA1587" w:rsidRPr="007808EC" w:rsidRDefault="00CA1587" w:rsidP="00C66622">
      <w:pPr>
        <w:keepNext w:val="0"/>
        <w:tabs>
          <w:tab w:val="num" w:pos="851"/>
        </w:tabs>
        <w:autoSpaceDE w:val="0"/>
        <w:autoSpaceDN w:val="0"/>
        <w:adjustRightInd w:val="0"/>
        <w:spacing w:before="0"/>
        <w:ind w:left="851" w:hanging="851"/>
        <w:rPr>
          <w:rFonts w:eastAsia="Arial" w:cs="Arial"/>
          <w:spacing w:val="-1"/>
          <w:u w:val="single"/>
        </w:rPr>
      </w:pPr>
    </w:p>
    <w:p w14:paraId="3989310D" w14:textId="41C9FF56" w:rsidR="00CA1587" w:rsidRPr="007808EC"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u w:val="single"/>
        </w:rPr>
      </w:pPr>
      <w:r w:rsidRPr="007808EC">
        <w:rPr>
          <w:rFonts w:eastAsia="Arial" w:cs="Arial"/>
          <w:spacing w:val="-1"/>
          <w:u w:val="single"/>
        </w:rPr>
        <w:t xml:space="preserve">The Landscape Character Assessment for Ashfield (2009) sets out 3 landscape character areas which broadly influence the scale and form of development across the </w:t>
      </w:r>
      <w:proofErr w:type="gramStart"/>
      <w:r w:rsidRPr="007808EC">
        <w:rPr>
          <w:rFonts w:eastAsia="Arial" w:cs="Arial"/>
          <w:spacing w:val="-1"/>
          <w:u w:val="single"/>
        </w:rPr>
        <w:t>District</w:t>
      </w:r>
      <w:proofErr w:type="gramEnd"/>
      <w:r w:rsidRPr="007808EC">
        <w:rPr>
          <w:rFonts w:eastAsia="Arial" w:cs="Arial"/>
          <w:spacing w:val="-1"/>
          <w:u w:val="single"/>
        </w:rPr>
        <w:t>. Development proposals should respect the fundamental character of these and not introduce any incongruous elements. Policy EV1</w:t>
      </w:r>
      <w:r w:rsidR="008C275A" w:rsidRPr="007808EC">
        <w:rPr>
          <w:rFonts w:eastAsia="Arial" w:cs="Arial"/>
          <w:spacing w:val="-1"/>
          <w:u w:val="single"/>
        </w:rPr>
        <w:t>0</w:t>
      </w:r>
      <w:r w:rsidRPr="007808EC">
        <w:rPr>
          <w:rFonts w:eastAsia="Arial" w:cs="Arial"/>
          <w:spacing w:val="-1"/>
          <w:u w:val="single"/>
        </w:rPr>
        <w:t xml:space="preserve"> – Protection and Enhancement of Landscape Character, should be assessed when determining new development proposals in the countryside. The policy seeks to protect historic landscape features including ponds, trees, hedgerows, ridge and furrow patterns, meadows and orchards as these all add value to the character of the area and help to make Ashfield’s landscape distinctive.</w:t>
      </w:r>
    </w:p>
    <w:p w14:paraId="5F2BA39A" w14:textId="77777777" w:rsidR="00CA1587" w:rsidRPr="007808EC" w:rsidRDefault="00CA1587" w:rsidP="00C66622">
      <w:pPr>
        <w:keepNext w:val="0"/>
        <w:tabs>
          <w:tab w:val="num" w:pos="851"/>
        </w:tabs>
        <w:autoSpaceDE w:val="0"/>
        <w:autoSpaceDN w:val="0"/>
        <w:adjustRightInd w:val="0"/>
        <w:spacing w:before="0"/>
        <w:ind w:left="851" w:hanging="851"/>
        <w:rPr>
          <w:rFonts w:eastAsia="Arial" w:cs="Arial"/>
          <w:spacing w:val="-1"/>
          <w:u w:val="single"/>
        </w:rPr>
      </w:pPr>
    </w:p>
    <w:p w14:paraId="283029A8" w14:textId="77777777" w:rsidR="00CA1587" w:rsidRPr="007808EC"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u w:val="single"/>
        </w:rPr>
      </w:pPr>
      <w:r w:rsidRPr="007808EC">
        <w:rPr>
          <w:rFonts w:eastAsia="Arial" w:cs="Arial"/>
          <w:spacing w:val="-1"/>
          <w:u w:val="single"/>
        </w:rPr>
        <w:t>“Important” hedgerows are protected under the Hedgerow Regulations,1995. The Regulations set out criteria that must be used by the local planning authority in</w:t>
      </w:r>
      <w:r w:rsidRPr="007808EC">
        <w:rPr>
          <w:rFonts w:eastAsia="Arial" w:cs="Arial"/>
          <w:strike/>
          <w:spacing w:val="-1"/>
        </w:rPr>
        <w:t xml:space="preserve"> </w:t>
      </w:r>
      <w:r w:rsidRPr="007808EC">
        <w:rPr>
          <w:rFonts w:eastAsia="Arial" w:cs="Arial"/>
          <w:spacing w:val="-1"/>
          <w:u w:val="single"/>
        </w:rPr>
        <w:lastRenderedPageBreak/>
        <w:t xml:space="preserve">determining which hedgerows are "important". The criteria relate to the value of hedgerows from an archaeological, historical, landscape and wildlife perspective. There is a strong presumption that "important" hedgerows and other hedgerows, will be protected and wherever possible incorporated into open space and landscaping proposals for new development. </w:t>
      </w:r>
    </w:p>
    <w:p w14:paraId="5ABADC49" w14:textId="77777777" w:rsidR="00CA1587" w:rsidRPr="007808EC" w:rsidRDefault="00CA1587" w:rsidP="00C66622">
      <w:pPr>
        <w:keepNext w:val="0"/>
        <w:tabs>
          <w:tab w:val="num" w:pos="851"/>
        </w:tabs>
        <w:autoSpaceDE w:val="0"/>
        <w:autoSpaceDN w:val="0"/>
        <w:adjustRightInd w:val="0"/>
        <w:spacing w:before="0"/>
        <w:ind w:left="851" w:hanging="851"/>
        <w:rPr>
          <w:rFonts w:eastAsia="Arial" w:cs="Arial"/>
          <w:spacing w:val="-1"/>
          <w:u w:val="single"/>
        </w:rPr>
      </w:pPr>
    </w:p>
    <w:p w14:paraId="4DA1B695" w14:textId="77777777" w:rsidR="00CA1587" w:rsidRPr="007808EC"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u w:val="single"/>
        </w:rPr>
      </w:pPr>
      <w:r w:rsidRPr="007808EC">
        <w:rPr>
          <w:rFonts w:eastAsia="Arial" w:cs="Arial"/>
          <w:spacing w:val="-1"/>
          <w:u w:val="single"/>
        </w:rPr>
        <w:t xml:space="preserve">A qualitative judgment about the landscape affected should be informed by either a Landscape and Visual Appraisal or a Landscape and Visual Impact Assessment, as appropriate, in accordance with the most up to date guidance, </w:t>
      </w:r>
      <w:proofErr w:type="gramStart"/>
      <w:r w:rsidRPr="007808EC">
        <w:rPr>
          <w:rFonts w:eastAsia="Arial" w:cs="Arial"/>
          <w:spacing w:val="-1"/>
          <w:u w:val="single"/>
        </w:rPr>
        <w:t>taking into account</w:t>
      </w:r>
      <w:proofErr w:type="gramEnd"/>
      <w:r w:rsidRPr="007808EC">
        <w:rPr>
          <w:rFonts w:eastAsia="Arial" w:cs="Arial"/>
          <w:spacing w:val="-1"/>
          <w:u w:val="single"/>
        </w:rPr>
        <w:t xml:space="preserve"> the specific contribution that heritage and the setting of heritage assets </w:t>
      </w:r>
      <w:proofErr w:type="gramStart"/>
      <w:r w:rsidRPr="007808EC">
        <w:rPr>
          <w:rFonts w:eastAsia="Arial" w:cs="Arial"/>
          <w:spacing w:val="-1"/>
          <w:u w:val="single"/>
        </w:rPr>
        <w:t>makes</w:t>
      </w:r>
      <w:proofErr w:type="gramEnd"/>
      <w:r w:rsidRPr="007808EC">
        <w:rPr>
          <w:rFonts w:eastAsia="Arial" w:cs="Arial"/>
          <w:spacing w:val="-1"/>
          <w:u w:val="single"/>
        </w:rPr>
        <w:t xml:space="preserve"> to landscape character.</w:t>
      </w:r>
    </w:p>
    <w:p w14:paraId="4FE658B5"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52E5E4C8" w14:textId="5293A1B9" w:rsidR="00CA1587" w:rsidRPr="008C275A" w:rsidRDefault="00C66622" w:rsidP="00C66622">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CA1587" w:rsidRPr="008C275A">
        <w:rPr>
          <w:rFonts w:eastAsia="Arial" w:cs="Arial"/>
          <w:b/>
          <w:bCs/>
          <w:spacing w:val="-1"/>
        </w:rPr>
        <w:t>Shopfronts</w:t>
      </w:r>
    </w:p>
    <w:p w14:paraId="58869C01" w14:textId="243C9E32"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Shopfronts of architectural or historical value exist across the </w:t>
      </w:r>
      <w:proofErr w:type="gramStart"/>
      <w:r w:rsidRPr="00CA1587">
        <w:rPr>
          <w:rFonts w:eastAsia="Arial" w:cs="Arial"/>
          <w:spacing w:val="-1"/>
        </w:rPr>
        <w:t>District</w:t>
      </w:r>
      <w:proofErr w:type="gramEnd"/>
      <w:r w:rsidRPr="00CA1587">
        <w:rPr>
          <w:rFonts w:eastAsia="Arial" w:cs="Arial"/>
          <w:spacing w:val="-1"/>
        </w:rPr>
        <w:t xml:space="preserve"> in a variety of settings sometimes individually and sometimes as part of </w:t>
      </w:r>
      <w:r w:rsidR="009A1B9A">
        <w:rPr>
          <w:rFonts w:eastAsia="Arial" w:cs="Arial"/>
          <w:spacing w:val="-1"/>
        </w:rPr>
        <w:t xml:space="preserve">a </w:t>
      </w:r>
      <w:r w:rsidRPr="00CA1587">
        <w:rPr>
          <w:rFonts w:eastAsia="Arial" w:cs="Arial"/>
          <w:spacing w:val="-1"/>
        </w:rPr>
        <w:t>group. In recognition of the contribution that they make to the character of the District, the Council is keen to see them retained and incorporated into new development wherever possible. Proposal</w:t>
      </w:r>
      <w:r w:rsidR="009A1B9A">
        <w:rPr>
          <w:rFonts w:eastAsia="Arial" w:cs="Arial"/>
          <w:spacing w:val="-1"/>
        </w:rPr>
        <w:t>s</w:t>
      </w:r>
      <w:r w:rsidRPr="00CA1587">
        <w:rPr>
          <w:rFonts w:eastAsia="Arial" w:cs="Arial"/>
          <w:spacing w:val="-1"/>
        </w:rPr>
        <w:t xml:space="preserve"> for alterations to shopfront</w:t>
      </w:r>
      <w:r w:rsidR="009A1B9A">
        <w:rPr>
          <w:rFonts w:eastAsia="Arial" w:cs="Arial"/>
          <w:spacing w:val="-1"/>
        </w:rPr>
        <w:t xml:space="preserve">s </w:t>
      </w:r>
      <w:r w:rsidRPr="00CA1587">
        <w:rPr>
          <w:rFonts w:eastAsia="Arial" w:cs="Arial"/>
          <w:spacing w:val="-1"/>
        </w:rPr>
        <w:t>or for new shopfront</w:t>
      </w:r>
      <w:r w:rsidR="009A1B9A">
        <w:rPr>
          <w:rFonts w:eastAsia="Arial" w:cs="Arial"/>
          <w:spacing w:val="-1"/>
        </w:rPr>
        <w:t>s</w:t>
      </w:r>
      <w:r w:rsidRPr="00CA1587">
        <w:rPr>
          <w:rFonts w:eastAsia="Arial" w:cs="Arial"/>
          <w:spacing w:val="-1"/>
        </w:rPr>
        <w:t xml:space="preserve"> should accord with Policy SH</w:t>
      </w:r>
      <w:r w:rsidR="00EF521C">
        <w:rPr>
          <w:rFonts w:eastAsia="Arial" w:cs="Arial"/>
          <w:spacing w:val="-1"/>
        </w:rPr>
        <w:t>3 of the Town Centre and Retail</w:t>
      </w:r>
      <w:r w:rsidRPr="00CA1587">
        <w:rPr>
          <w:rFonts w:eastAsia="Arial" w:cs="Arial"/>
          <w:spacing w:val="-1"/>
        </w:rPr>
        <w:t xml:space="preserve"> Chapter of this Plan </w:t>
      </w:r>
    </w:p>
    <w:p w14:paraId="3F1BB9EA"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25B820E6" w14:textId="04B02A5A" w:rsidR="00CA1587" w:rsidRPr="008C275A" w:rsidRDefault="00C66622" w:rsidP="00C66622">
      <w:pPr>
        <w:keepNext w:val="0"/>
        <w:tabs>
          <w:tab w:val="num" w:pos="851"/>
        </w:tabs>
        <w:autoSpaceDE w:val="0"/>
        <w:autoSpaceDN w:val="0"/>
        <w:adjustRightInd w:val="0"/>
        <w:spacing w:before="0"/>
        <w:ind w:left="851" w:hanging="851"/>
        <w:rPr>
          <w:rFonts w:eastAsia="Arial" w:cs="Arial"/>
          <w:b/>
          <w:bCs/>
          <w:spacing w:val="-1"/>
        </w:rPr>
      </w:pPr>
      <w:r>
        <w:rPr>
          <w:rFonts w:eastAsia="Arial" w:cs="Arial"/>
          <w:b/>
          <w:bCs/>
          <w:spacing w:val="-1"/>
        </w:rPr>
        <w:tab/>
      </w:r>
      <w:r w:rsidR="00CA1587" w:rsidRPr="008C275A">
        <w:rPr>
          <w:rFonts w:eastAsia="Arial" w:cs="Arial"/>
          <w:b/>
          <w:bCs/>
          <w:spacing w:val="-1"/>
        </w:rPr>
        <w:t>Statements of Heritage Significance and Archaeological Evaluations</w:t>
      </w:r>
    </w:p>
    <w:p w14:paraId="23D2D7B2" w14:textId="7B4D4D8C"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 xml:space="preserve">In cases where it is necessary for an applicant to submit a Statement of Heritage Significance and/or archaeological evaluation (following a desk-based assessment), the scope and degree of detail necessary will vary according to the </w:t>
      </w:r>
      <w:proofErr w:type="gramStart"/>
      <w:r w:rsidRPr="00CA1587">
        <w:rPr>
          <w:rFonts w:eastAsia="Arial" w:cs="Arial"/>
          <w:spacing w:val="-1"/>
        </w:rPr>
        <w:t>particular circumstances</w:t>
      </w:r>
      <w:proofErr w:type="gramEnd"/>
      <w:r w:rsidRPr="00CA1587">
        <w:rPr>
          <w:rFonts w:eastAsia="Arial" w:cs="Arial"/>
          <w:spacing w:val="-1"/>
        </w:rPr>
        <w:t xml:space="preserve"> of each application. The level of detail required should be proportionate to the importance of the heritage asset, the size of the development and the level of its impact on the heritage asset.   </w:t>
      </w:r>
    </w:p>
    <w:p w14:paraId="6AA98DB8"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05AEC5AE" w14:textId="77777777" w:rsidR="00CA1587" w:rsidRPr="00CA1587" w:rsidRDefault="00CA1587" w:rsidP="00C66622">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CA1587">
        <w:rPr>
          <w:rFonts w:eastAsia="Arial" w:cs="Arial"/>
          <w:spacing w:val="-1"/>
        </w:rPr>
        <w:t>All development proposals that would affect any heritage asset will need to be accompanied by a Statement of Heritage Significance which, as a minimum, should cover the following:</w:t>
      </w:r>
    </w:p>
    <w:p w14:paraId="1CE26507" w14:textId="77777777" w:rsidR="00CA1587" w:rsidRPr="00CA1587" w:rsidRDefault="00CA1587" w:rsidP="00C66622">
      <w:pPr>
        <w:keepNext w:val="0"/>
        <w:tabs>
          <w:tab w:val="num" w:pos="851"/>
        </w:tabs>
        <w:autoSpaceDE w:val="0"/>
        <w:autoSpaceDN w:val="0"/>
        <w:adjustRightInd w:val="0"/>
        <w:spacing w:before="0"/>
        <w:ind w:left="851" w:hanging="851"/>
        <w:rPr>
          <w:rFonts w:eastAsia="Arial" w:cs="Arial"/>
          <w:spacing w:val="-1"/>
        </w:rPr>
      </w:pPr>
    </w:p>
    <w:p w14:paraId="344A7597" w14:textId="77777777" w:rsidR="00CA1587" w:rsidRPr="008C275A" w:rsidRDefault="00CA1587" w:rsidP="00874A98">
      <w:pPr>
        <w:pStyle w:val="ListParagraph"/>
        <w:numPr>
          <w:ilvl w:val="0"/>
          <w:numId w:val="230"/>
        </w:numPr>
        <w:autoSpaceDE w:val="0"/>
        <w:autoSpaceDN w:val="0"/>
        <w:adjustRightInd w:val="0"/>
        <w:spacing w:after="0" w:line="240" w:lineRule="auto"/>
        <w:ind w:left="1560" w:hanging="426"/>
        <w:rPr>
          <w:rFonts w:ascii="Arial" w:eastAsia="Arial" w:hAnsi="Arial" w:cs="Arial"/>
          <w:spacing w:val="-1"/>
        </w:rPr>
      </w:pPr>
      <w:r w:rsidRPr="008C275A">
        <w:rPr>
          <w:rFonts w:ascii="Arial" w:eastAsia="Arial" w:hAnsi="Arial" w:cs="Arial"/>
          <w:spacing w:val="-1"/>
        </w:rPr>
        <w:t xml:space="preserve">describe and assess the significance of the asset and/or its setting; </w:t>
      </w:r>
    </w:p>
    <w:p w14:paraId="278DF69A" w14:textId="77777777" w:rsidR="00CA1587" w:rsidRPr="008C275A" w:rsidRDefault="00CA1587" w:rsidP="00874A98">
      <w:pPr>
        <w:pStyle w:val="ListParagraph"/>
        <w:numPr>
          <w:ilvl w:val="0"/>
          <w:numId w:val="230"/>
        </w:numPr>
        <w:autoSpaceDE w:val="0"/>
        <w:autoSpaceDN w:val="0"/>
        <w:adjustRightInd w:val="0"/>
        <w:spacing w:after="0" w:line="240" w:lineRule="auto"/>
        <w:ind w:left="1560" w:hanging="426"/>
        <w:rPr>
          <w:rFonts w:ascii="Arial" w:eastAsia="Arial" w:hAnsi="Arial" w:cs="Arial"/>
          <w:spacing w:val="-1"/>
        </w:rPr>
      </w:pPr>
      <w:r w:rsidRPr="008C275A">
        <w:rPr>
          <w:rFonts w:ascii="Arial" w:eastAsia="Arial" w:hAnsi="Arial" w:cs="Arial"/>
          <w:spacing w:val="-1"/>
        </w:rPr>
        <w:t>identify the impact of works on the special character of the asset; and</w:t>
      </w:r>
    </w:p>
    <w:p w14:paraId="0C3A3622" w14:textId="0E6CE4A1" w:rsidR="00CA1587" w:rsidRDefault="00CA1587" w:rsidP="00874A98">
      <w:pPr>
        <w:pStyle w:val="ListParagraph"/>
        <w:numPr>
          <w:ilvl w:val="0"/>
          <w:numId w:val="230"/>
        </w:numPr>
        <w:autoSpaceDE w:val="0"/>
        <w:autoSpaceDN w:val="0"/>
        <w:adjustRightInd w:val="0"/>
        <w:spacing w:after="0" w:line="240" w:lineRule="auto"/>
        <w:ind w:left="1560" w:hanging="426"/>
        <w:rPr>
          <w:rFonts w:ascii="Arial" w:eastAsia="Arial" w:hAnsi="Arial" w:cs="Arial"/>
          <w:spacing w:val="-1"/>
        </w:rPr>
      </w:pPr>
      <w:r w:rsidRPr="008C275A">
        <w:rPr>
          <w:rFonts w:ascii="Arial" w:eastAsia="Arial" w:hAnsi="Arial" w:cs="Arial"/>
          <w:spacing w:val="-1"/>
        </w:rPr>
        <w:t>provide a clear justification for the works, especially if these would harm the asset or its setting, so that the harm can be weighed against public benefits.</w:t>
      </w:r>
    </w:p>
    <w:p w14:paraId="56D15C19" w14:textId="77777777" w:rsidR="00A9195B" w:rsidRDefault="00A9195B" w:rsidP="00A9195B">
      <w:pPr>
        <w:autoSpaceDE w:val="0"/>
        <w:autoSpaceDN w:val="0"/>
        <w:adjustRightInd w:val="0"/>
        <w:rPr>
          <w:rFonts w:eastAsia="Arial" w:cs="Arial"/>
          <w:color w:val="4472C4" w:themeColor="accent1"/>
          <w:spacing w:val="-1"/>
        </w:rPr>
      </w:pPr>
    </w:p>
    <w:p w14:paraId="0A8838CE" w14:textId="4A8B0141" w:rsidR="00A9195B" w:rsidRPr="002E7654" w:rsidRDefault="00A9195B" w:rsidP="00263F59">
      <w:pPr>
        <w:keepNext w:val="0"/>
        <w:numPr>
          <w:ilvl w:val="1"/>
          <w:numId w:val="5"/>
        </w:numPr>
        <w:tabs>
          <w:tab w:val="clear" w:pos="525"/>
          <w:tab w:val="num" w:pos="851"/>
        </w:tabs>
        <w:autoSpaceDE w:val="0"/>
        <w:autoSpaceDN w:val="0"/>
        <w:adjustRightInd w:val="0"/>
        <w:spacing w:before="0"/>
        <w:ind w:left="851" w:hanging="851"/>
        <w:rPr>
          <w:rFonts w:eastAsia="Arial" w:cs="Arial"/>
          <w:spacing w:val="-1"/>
        </w:rPr>
      </w:pPr>
      <w:r w:rsidRPr="002E7654">
        <w:rPr>
          <w:rFonts w:eastAsia="Arial" w:cs="Arial"/>
          <w:spacing w:val="-1"/>
        </w:rPr>
        <w:t>Historic England’s Good Practice Advice Note 2: Managing Significance in Decision-Taking in the Historic Environment, and Good Practice Advice Note 3: The Setting of heritage Assets, provide advice on how to undertake a Heritage Statement.</w:t>
      </w:r>
    </w:p>
    <w:p w14:paraId="336FAE5F" w14:textId="77777777" w:rsidR="00A9195B" w:rsidRPr="00A9195B" w:rsidRDefault="00A9195B" w:rsidP="00A9195B">
      <w:pPr>
        <w:keepNext w:val="0"/>
        <w:autoSpaceDE w:val="0"/>
        <w:autoSpaceDN w:val="0"/>
        <w:adjustRightInd w:val="0"/>
        <w:spacing w:before="0"/>
        <w:ind w:left="851"/>
        <w:rPr>
          <w:rFonts w:eastAsia="Arial" w:cs="Arial"/>
          <w:color w:val="4472C4" w:themeColor="accent1"/>
          <w:spacing w:val="-1"/>
        </w:rPr>
      </w:pPr>
    </w:p>
    <w:p w14:paraId="001A697D" w14:textId="10398AA3" w:rsidR="008C275A" w:rsidRPr="001770A9" w:rsidRDefault="00CA1587" w:rsidP="00263F59">
      <w:pPr>
        <w:keepNext w:val="0"/>
        <w:numPr>
          <w:ilvl w:val="1"/>
          <w:numId w:val="5"/>
        </w:numPr>
        <w:tabs>
          <w:tab w:val="clear" w:pos="525"/>
          <w:tab w:val="num" w:pos="851"/>
        </w:tabs>
        <w:autoSpaceDE w:val="0"/>
        <w:autoSpaceDN w:val="0"/>
        <w:adjustRightInd w:val="0"/>
        <w:spacing w:before="0"/>
        <w:ind w:left="851" w:hanging="851"/>
        <w:rPr>
          <w:rFonts w:eastAsia="Arial" w:cs="Arial"/>
          <w:color w:val="auto"/>
          <w:spacing w:val="-1"/>
        </w:rPr>
      </w:pPr>
      <w:r w:rsidRPr="00CA1587">
        <w:rPr>
          <w:rFonts w:eastAsia="Arial" w:cs="Arial"/>
          <w:spacing w:val="-1"/>
        </w:rPr>
        <w:t xml:space="preserve">Applicants are advised to discuss proposals with the Council prior to </w:t>
      </w:r>
      <w:proofErr w:type="gramStart"/>
      <w:r w:rsidRPr="00CA1587">
        <w:rPr>
          <w:rFonts w:eastAsia="Arial" w:cs="Arial"/>
          <w:spacing w:val="-1"/>
        </w:rPr>
        <w:t xml:space="preserve">submitting an </w:t>
      </w:r>
      <w:r w:rsidRPr="001770A9">
        <w:rPr>
          <w:rFonts w:eastAsia="Arial" w:cs="Arial"/>
          <w:color w:val="auto"/>
          <w:spacing w:val="-1"/>
        </w:rPr>
        <w:t>application</w:t>
      </w:r>
      <w:proofErr w:type="gramEnd"/>
      <w:r w:rsidRPr="001770A9">
        <w:rPr>
          <w:rFonts w:eastAsia="Arial" w:cs="Arial"/>
          <w:color w:val="auto"/>
          <w:spacing w:val="-1"/>
        </w:rPr>
        <w:t xml:space="preserve">. </w:t>
      </w:r>
    </w:p>
    <w:p w14:paraId="563EE346" w14:textId="77777777" w:rsidR="00E475F9" w:rsidRDefault="00E475F9" w:rsidP="00995322">
      <w:pPr>
        <w:pStyle w:val="Heading2"/>
        <w:jc w:val="left"/>
        <w:rPr>
          <w:rFonts w:eastAsia="Arial"/>
          <w:sz w:val="28"/>
          <w:szCs w:val="28"/>
        </w:rPr>
      </w:pPr>
      <w:bookmarkStart w:id="189" w:name="_Toc145511584"/>
    </w:p>
    <w:p w14:paraId="07D25C4F" w14:textId="77777777" w:rsidR="00AC3C1D" w:rsidRPr="00AC3C1D" w:rsidRDefault="00AC3C1D" w:rsidP="00AC3C1D">
      <w:pPr>
        <w:rPr>
          <w:lang w:eastAsia="en-US"/>
        </w:rPr>
      </w:pPr>
    </w:p>
    <w:p w14:paraId="480A33ED" w14:textId="7BE33395" w:rsidR="00CA1587" w:rsidRPr="00995322" w:rsidRDefault="006977E7" w:rsidP="00995322">
      <w:pPr>
        <w:pStyle w:val="Heading2"/>
        <w:jc w:val="left"/>
        <w:rPr>
          <w:rFonts w:eastAsia="Arial"/>
          <w:sz w:val="28"/>
          <w:szCs w:val="28"/>
        </w:rPr>
      </w:pPr>
      <w:r w:rsidRPr="00995322">
        <w:rPr>
          <w:rFonts w:eastAsia="Arial"/>
          <w:sz w:val="28"/>
          <w:szCs w:val="28"/>
        </w:rPr>
        <w:t xml:space="preserve">Policy </w:t>
      </w:r>
      <w:r w:rsidR="00CA1587" w:rsidRPr="00995322">
        <w:rPr>
          <w:rFonts w:eastAsia="Arial"/>
          <w:sz w:val="28"/>
          <w:szCs w:val="28"/>
        </w:rPr>
        <w:t>EV10: Protection and Enhancement of Landscape Character</w:t>
      </w:r>
      <w:bookmarkEnd w:id="189"/>
      <w:r w:rsidR="00CA1587" w:rsidRPr="00995322">
        <w:rPr>
          <w:rFonts w:eastAsia="Arial"/>
          <w:sz w:val="28"/>
          <w:szCs w:val="28"/>
        </w:rPr>
        <w:t xml:space="preserve"> </w:t>
      </w:r>
    </w:p>
    <w:p w14:paraId="4A76EB3B" w14:textId="77777777" w:rsidR="00CA1587" w:rsidRPr="00CA1587" w:rsidRDefault="00CA1587" w:rsidP="00263F59">
      <w:pPr>
        <w:keepNext w:val="0"/>
        <w:autoSpaceDE w:val="0"/>
        <w:autoSpaceDN w:val="0"/>
        <w:adjustRightInd w:val="0"/>
        <w:spacing w:before="0"/>
        <w:ind w:left="525"/>
        <w:rPr>
          <w:rFonts w:eastAsia="Arial" w:cs="Arial"/>
          <w:spacing w:val="-1"/>
        </w:rPr>
      </w:pPr>
    </w:p>
    <w:p w14:paraId="7D340310" w14:textId="6B2CBD99" w:rsidR="00933AEA" w:rsidRDefault="00CA1587" w:rsidP="00A44712">
      <w:pPr>
        <w:keepNext w:val="0"/>
        <w:numPr>
          <w:ilvl w:val="1"/>
          <w:numId w:val="5"/>
        </w:numPr>
        <w:tabs>
          <w:tab w:val="clear" w:pos="525"/>
        </w:tabs>
        <w:autoSpaceDE w:val="0"/>
        <w:autoSpaceDN w:val="0"/>
        <w:adjustRightInd w:val="0"/>
        <w:spacing w:before="0"/>
        <w:ind w:left="851" w:hanging="851"/>
        <w:rPr>
          <w:rFonts w:eastAsia="Arial" w:cs="Arial"/>
          <w:spacing w:val="-1"/>
        </w:rPr>
      </w:pPr>
      <w:r w:rsidRPr="000540B6">
        <w:rPr>
          <w:rFonts w:eastAsia="Arial" w:cs="Arial"/>
          <w:spacing w:val="-1"/>
        </w:rPr>
        <w:t>This policy is intended to conserve and enhance the district’s unique landscape character and is informed by the Landscape Character Assessment for Ashfield – its role is to ensure that change does not undermine the characteristics or features of value within a landscape.</w:t>
      </w:r>
    </w:p>
    <w:p w14:paraId="7D37C3E1" w14:textId="77777777" w:rsidR="000540B6" w:rsidRPr="000540B6" w:rsidRDefault="000540B6" w:rsidP="000540B6">
      <w:pPr>
        <w:keepNext w:val="0"/>
        <w:autoSpaceDE w:val="0"/>
        <w:autoSpaceDN w:val="0"/>
        <w:adjustRightInd w:val="0"/>
        <w:spacing w:before="0"/>
        <w:ind w:left="851"/>
        <w:rPr>
          <w:rFonts w:eastAsia="Arial" w:cs="Arial"/>
          <w:spacing w:val="-1"/>
        </w:rPr>
      </w:pPr>
    </w:p>
    <w:tbl>
      <w:tblPr>
        <w:tblStyle w:val="TableGrid11"/>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400"/>
        <w:gridCol w:w="7219"/>
      </w:tblGrid>
      <w:tr w:rsidR="0089485A" w:rsidRPr="0089485A" w14:paraId="79E10D01" w14:textId="77777777" w:rsidTr="00C66622">
        <w:tc>
          <w:tcPr>
            <w:tcW w:w="9619" w:type="dxa"/>
            <w:gridSpan w:val="2"/>
          </w:tcPr>
          <w:p w14:paraId="317249A2" w14:textId="77777777" w:rsidR="00DA5747" w:rsidRDefault="00DA5747" w:rsidP="00FF3EAD">
            <w:pPr>
              <w:keepNext w:val="0"/>
              <w:spacing w:before="0"/>
              <w:jc w:val="left"/>
              <w:rPr>
                <w:b/>
                <w:bCs/>
                <w:color w:val="auto"/>
              </w:rPr>
            </w:pPr>
          </w:p>
          <w:p w14:paraId="2937929E" w14:textId="54007AC2" w:rsidR="0089485A" w:rsidRDefault="0089485A" w:rsidP="00FF3EAD">
            <w:pPr>
              <w:keepNext w:val="0"/>
              <w:spacing w:before="0"/>
              <w:jc w:val="left"/>
              <w:rPr>
                <w:b/>
                <w:bCs/>
                <w:color w:val="auto"/>
              </w:rPr>
            </w:pPr>
            <w:r w:rsidRPr="0089485A">
              <w:rPr>
                <w:b/>
                <w:bCs/>
                <w:color w:val="auto"/>
              </w:rPr>
              <w:t>Policy EV10: Protection and Enhancement of Landscape Character</w:t>
            </w:r>
          </w:p>
          <w:p w14:paraId="0C678189" w14:textId="2002DF27" w:rsidR="00DA5747" w:rsidRPr="0089485A" w:rsidRDefault="00DA5747" w:rsidP="00FF3EAD">
            <w:pPr>
              <w:keepNext w:val="0"/>
              <w:spacing w:before="0"/>
              <w:jc w:val="left"/>
              <w:rPr>
                <w:b/>
                <w:bCs/>
                <w:color w:val="auto"/>
              </w:rPr>
            </w:pPr>
          </w:p>
        </w:tc>
      </w:tr>
      <w:tr w:rsidR="0089485A" w:rsidRPr="0089485A" w14:paraId="13B9EE6B" w14:textId="77777777" w:rsidTr="00C66622">
        <w:tc>
          <w:tcPr>
            <w:tcW w:w="2400" w:type="dxa"/>
          </w:tcPr>
          <w:p w14:paraId="49BCCDF5" w14:textId="77777777" w:rsidR="0089485A" w:rsidRPr="0089485A" w:rsidRDefault="0089485A" w:rsidP="00FF3EAD">
            <w:pPr>
              <w:keepNext w:val="0"/>
              <w:spacing w:before="0"/>
              <w:jc w:val="left"/>
              <w:rPr>
                <w:color w:val="auto"/>
              </w:rPr>
            </w:pPr>
            <w:r w:rsidRPr="0089485A">
              <w:rPr>
                <w:color w:val="auto"/>
              </w:rPr>
              <w:t>Strategic Objectives</w:t>
            </w:r>
          </w:p>
        </w:tc>
        <w:tc>
          <w:tcPr>
            <w:tcW w:w="7219" w:type="dxa"/>
          </w:tcPr>
          <w:p w14:paraId="6B360DBD" w14:textId="77777777" w:rsidR="0089485A" w:rsidRPr="0089485A" w:rsidRDefault="0089485A" w:rsidP="00FF3EAD">
            <w:pPr>
              <w:keepNext w:val="0"/>
              <w:spacing w:before="0"/>
              <w:jc w:val="left"/>
              <w:rPr>
                <w:color w:val="auto"/>
              </w:rPr>
            </w:pPr>
            <w:r w:rsidRPr="0089485A">
              <w:rPr>
                <w:color w:val="auto"/>
              </w:rPr>
              <w:t xml:space="preserve">SO1, SO4, SO5, SO11, SO13, SO14. </w:t>
            </w:r>
          </w:p>
        </w:tc>
      </w:tr>
      <w:tr w:rsidR="0089485A" w:rsidRPr="0089485A" w14:paraId="5F95F5EF" w14:textId="77777777" w:rsidTr="00C66622">
        <w:tc>
          <w:tcPr>
            <w:tcW w:w="9619" w:type="dxa"/>
            <w:gridSpan w:val="2"/>
            <w:shd w:val="clear" w:color="auto" w:fill="E2EFD9"/>
          </w:tcPr>
          <w:p w14:paraId="5EFC41EE" w14:textId="77777777" w:rsidR="0089485A" w:rsidRPr="0089485A" w:rsidRDefault="0089485A" w:rsidP="00FF3EAD">
            <w:pPr>
              <w:keepNext w:val="0"/>
              <w:spacing w:before="0"/>
              <w:jc w:val="left"/>
              <w:rPr>
                <w:color w:val="auto"/>
              </w:rPr>
            </w:pPr>
          </w:p>
          <w:p w14:paraId="0E7A371C" w14:textId="77777777" w:rsidR="0089485A" w:rsidRPr="0089485A" w:rsidRDefault="0089485A" w:rsidP="00874A98">
            <w:pPr>
              <w:keepNext w:val="0"/>
              <w:numPr>
                <w:ilvl w:val="0"/>
                <w:numId w:val="260"/>
              </w:numPr>
              <w:spacing w:before="0"/>
              <w:contextualSpacing/>
              <w:jc w:val="left"/>
              <w:rPr>
                <w:color w:val="auto"/>
              </w:rPr>
            </w:pPr>
            <w:r w:rsidRPr="0089485A">
              <w:rPr>
                <w:color w:val="auto"/>
              </w:rPr>
              <w:t>Proposals for development outside the Main Urban Areas and Named Settlements should recognise the intrinsic character and beauty of the countryside, and be informed by and sympathetic to, the distinctive landscape character areas identified in the Landscape Character Assessment for Ashfield.</w:t>
            </w:r>
          </w:p>
          <w:p w14:paraId="01A0D304" w14:textId="77777777" w:rsidR="0089485A" w:rsidRPr="0089485A" w:rsidRDefault="0089485A" w:rsidP="00FF3EAD">
            <w:pPr>
              <w:keepNext w:val="0"/>
              <w:spacing w:before="0"/>
              <w:ind w:left="360"/>
              <w:contextualSpacing/>
              <w:jc w:val="left"/>
              <w:rPr>
                <w:color w:val="auto"/>
              </w:rPr>
            </w:pPr>
          </w:p>
          <w:p w14:paraId="11CBE984" w14:textId="77777777" w:rsidR="0089485A" w:rsidRPr="0089485A" w:rsidRDefault="0089485A" w:rsidP="00874A98">
            <w:pPr>
              <w:keepNext w:val="0"/>
              <w:numPr>
                <w:ilvl w:val="0"/>
                <w:numId w:val="260"/>
              </w:numPr>
              <w:spacing w:before="0"/>
              <w:contextualSpacing/>
              <w:jc w:val="left"/>
              <w:rPr>
                <w:color w:val="auto"/>
              </w:rPr>
            </w:pPr>
            <w:r w:rsidRPr="0089485A">
              <w:rPr>
                <w:color w:val="auto"/>
              </w:rPr>
              <w:t>Where necessary, development proposals should demonstrate that their location, scale, design and materials will protect, conserve and where possible, enhance:</w:t>
            </w:r>
          </w:p>
          <w:p w14:paraId="56CA351C" w14:textId="77777777" w:rsidR="0089485A" w:rsidRPr="0089485A" w:rsidRDefault="0089485A" w:rsidP="00FF3EAD">
            <w:pPr>
              <w:keepNext w:val="0"/>
              <w:spacing w:before="0"/>
              <w:jc w:val="left"/>
              <w:rPr>
                <w:color w:val="auto"/>
              </w:rPr>
            </w:pPr>
          </w:p>
          <w:p w14:paraId="26645571" w14:textId="77777777" w:rsidR="0089485A" w:rsidRPr="0089485A" w:rsidRDefault="0089485A" w:rsidP="00874A98">
            <w:pPr>
              <w:keepNext w:val="0"/>
              <w:numPr>
                <w:ilvl w:val="0"/>
                <w:numId w:val="261"/>
              </w:numPr>
              <w:spacing w:before="0"/>
              <w:contextualSpacing/>
              <w:jc w:val="left"/>
              <w:rPr>
                <w:color w:val="auto"/>
              </w:rPr>
            </w:pPr>
            <w:r w:rsidRPr="0089485A">
              <w:rPr>
                <w:color w:val="auto"/>
              </w:rPr>
              <w:t>The special qualities and local distinctiveness of the area (including its historical, geological, biodiversity and cultural character);</w:t>
            </w:r>
          </w:p>
          <w:p w14:paraId="722E9F2C" w14:textId="77777777" w:rsidR="0089485A" w:rsidRPr="0089485A" w:rsidRDefault="0089485A" w:rsidP="00874A98">
            <w:pPr>
              <w:keepNext w:val="0"/>
              <w:numPr>
                <w:ilvl w:val="0"/>
                <w:numId w:val="261"/>
              </w:numPr>
              <w:spacing w:before="0"/>
              <w:contextualSpacing/>
              <w:jc w:val="left"/>
              <w:rPr>
                <w:color w:val="auto"/>
              </w:rPr>
            </w:pPr>
            <w:r w:rsidRPr="0089485A">
              <w:rPr>
                <w:color w:val="auto"/>
              </w:rPr>
              <w:t>Local character through appropriate design and management;</w:t>
            </w:r>
          </w:p>
          <w:p w14:paraId="019D53FF" w14:textId="77777777" w:rsidR="0089485A" w:rsidRPr="0089485A" w:rsidRDefault="0089485A" w:rsidP="00874A98">
            <w:pPr>
              <w:keepNext w:val="0"/>
              <w:numPr>
                <w:ilvl w:val="0"/>
                <w:numId w:val="261"/>
              </w:numPr>
              <w:spacing w:before="0"/>
              <w:contextualSpacing/>
              <w:jc w:val="left"/>
              <w:rPr>
                <w:color w:val="auto"/>
              </w:rPr>
            </w:pPr>
            <w:r w:rsidRPr="0089485A">
              <w:rPr>
                <w:color w:val="auto"/>
              </w:rPr>
              <w:t>Gaps between settlements, and their landscape setting;</w:t>
            </w:r>
          </w:p>
          <w:p w14:paraId="0BAC1E9A" w14:textId="78936A0D" w:rsidR="0089485A" w:rsidRPr="00DE7B60" w:rsidRDefault="0089485A" w:rsidP="00874A98">
            <w:pPr>
              <w:keepNext w:val="0"/>
              <w:numPr>
                <w:ilvl w:val="0"/>
                <w:numId w:val="261"/>
              </w:numPr>
              <w:spacing w:before="0"/>
              <w:contextualSpacing/>
              <w:jc w:val="left"/>
              <w:rPr>
                <w:color w:val="auto"/>
              </w:rPr>
            </w:pPr>
            <w:r w:rsidRPr="0089485A">
              <w:rPr>
                <w:color w:val="auto"/>
              </w:rPr>
              <w:t xml:space="preserve">The pattern of distinctive landscape </w:t>
            </w:r>
            <w:r w:rsidR="007C70B0" w:rsidRPr="00E56F9C">
              <w:rPr>
                <w:color w:val="006AB9"/>
              </w:rPr>
              <w:t xml:space="preserve">and heritage </w:t>
            </w:r>
            <w:r w:rsidRPr="00DE7B60">
              <w:rPr>
                <w:color w:val="auto"/>
              </w:rPr>
              <w:t>features, such as watercourses, woodland, trees and field boundaries, and their function as ecological corridors for wildlife;</w:t>
            </w:r>
          </w:p>
          <w:p w14:paraId="651EBFED" w14:textId="77777777" w:rsidR="0089485A" w:rsidRPr="00DE7B60" w:rsidRDefault="0089485A" w:rsidP="00874A98">
            <w:pPr>
              <w:keepNext w:val="0"/>
              <w:numPr>
                <w:ilvl w:val="0"/>
                <w:numId w:val="261"/>
              </w:numPr>
              <w:spacing w:before="0"/>
              <w:contextualSpacing/>
              <w:jc w:val="left"/>
              <w:rPr>
                <w:color w:val="auto"/>
              </w:rPr>
            </w:pPr>
            <w:r w:rsidRPr="00DE7B60">
              <w:rPr>
                <w:color w:val="auto"/>
              </w:rPr>
              <w:t>Visually sensitive skylines, ridgelines, hillsides, valley sides and geological features;</w:t>
            </w:r>
          </w:p>
          <w:p w14:paraId="67B5E576" w14:textId="77777777" w:rsidR="0089485A" w:rsidRPr="00DE7B60" w:rsidRDefault="0089485A" w:rsidP="00874A98">
            <w:pPr>
              <w:keepNext w:val="0"/>
              <w:numPr>
                <w:ilvl w:val="0"/>
                <w:numId w:val="261"/>
              </w:numPr>
              <w:spacing w:before="0"/>
              <w:contextualSpacing/>
              <w:jc w:val="left"/>
              <w:rPr>
                <w:color w:val="auto"/>
              </w:rPr>
            </w:pPr>
            <w:r w:rsidRPr="00DE7B60">
              <w:rPr>
                <w:color w:val="auto"/>
              </w:rPr>
              <w:t>Important views; and</w:t>
            </w:r>
          </w:p>
          <w:p w14:paraId="4830D9DA" w14:textId="3DC07F4E" w:rsidR="0089485A" w:rsidRPr="0089485A" w:rsidRDefault="0089485A" w:rsidP="00874A98">
            <w:pPr>
              <w:keepNext w:val="0"/>
              <w:numPr>
                <w:ilvl w:val="0"/>
                <w:numId w:val="261"/>
              </w:numPr>
              <w:spacing w:before="0"/>
              <w:contextualSpacing/>
              <w:jc w:val="left"/>
              <w:rPr>
                <w:color w:val="auto"/>
              </w:rPr>
            </w:pPr>
            <w:r w:rsidRPr="00DE7B60">
              <w:rPr>
                <w:color w:val="auto"/>
              </w:rPr>
              <w:t xml:space="preserve">The setting of, and views to and from, Listed Buildings, Scheduled Monuments, Conservation Areas and </w:t>
            </w:r>
            <w:r w:rsidR="007C70B0" w:rsidRPr="00E56F9C">
              <w:rPr>
                <w:color w:val="006AB9"/>
              </w:rPr>
              <w:t xml:space="preserve">Registered </w:t>
            </w:r>
            <w:r w:rsidRPr="007C70B0">
              <w:rPr>
                <w:strike/>
                <w:color w:val="auto"/>
              </w:rPr>
              <w:t>Historic</w:t>
            </w:r>
            <w:r w:rsidRPr="0089485A">
              <w:rPr>
                <w:color w:val="auto"/>
              </w:rPr>
              <w:t xml:space="preserve"> Parks and Gardens.</w:t>
            </w:r>
          </w:p>
          <w:p w14:paraId="15224EF3" w14:textId="77777777" w:rsidR="0089485A" w:rsidRPr="0089485A" w:rsidRDefault="0089485A" w:rsidP="00FF3EAD">
            <w:pPr>
              <w:keepNext w:val="0"/>
              <w:spacing w:before="0"/>
              <w:jc w:val="left"/>
              <w:rPr>
                <w:color w:val="auto"/>
              </w:rPr>
            </w:pPr>
          </w:p>
          <w:p w14:paraId="603B7014" w14:textId="77777777" w:rsidR="0089485A" w:rsidRPr="0089485A" w:rsidRDefault="0089485A" w:rsidP="00874A98">
            <w:pPr>
              <w:keepNext w:val="0"/>
              <w:numPr>
                <w:ilvl w:val="0"/>
                <w:numId w:val="260"/>
              </w:numPr>
              <w:spacing w:before="0"/>
              <w:contextualSpacing/>
              <w:jc w:val="left"/>
              <w:rPr>
                <w:color w:val="auto"/>
              </w:rPr>
            </w:pPr>
            <w:r w:rsidRPr="0089485A">
              <w:rPr>
                <w:color w:val="auto"/>
              </w:rPr>
              <w:t>Proposals that have an adverse effect will not be permitted unless the public benefits of the development clearly outweigh any adverse impacts, and it can be demonstrated that they cannot be located on alternative sites that would cause less harm.</w:t>
            </w:r>
          </w:p>
          <w:p w14:paraId="6347AB1F" w14:textId="77777777" w:rsidR="0089485A" w:rsidRPr="0089485A" w:rsidRDefault="0089485A" w:rsidP="00FF3EAD">
            <w:pPr>
              <w:keepNext w:val="0"/>
              <w:spacing w:before="0"/>
              <w:ind w:left="360"/>
              <w:contextualSpacing/>
              <w:jc w:val="left"/>
              <w:rPr>
                <w:color w:val="auto"/>
              </w:rPr>
            </w:pPr>
          </w:p>
          <w:p w14:paraId="4F7CA7C4" w14:textId="77777777" w:rsidR="0089485A" w:rsidRPr="0089485A" w:rsidRDefault="0089485A" w:rsidP="00874A98">
            <w:pPr>
              <w:keepNext w:val="0"/>
              <w:numPr>
                <w:ilvl w:val="0"/>
                <w:numId w:val="260"/>
              </w:numPr>
              <w:spacing w:before="0"/>
              <w:contextualSpacing/>
              <w:jc w:val="left"/>
              <w:rPr>
                <w:color w:val="auto"/>
              </w:rPr>
            </w:pPr>
            <w:r w:rsidRPr="0089485A">
              <w:rPr>
                <w:color w:val="auto"/>
              </w:rPr>
              <w:t xml:space="preserve">Development deemed acceptable in accordance with the above criteria will be supported in the countryside </w:t>
            </w:r>
            <w:proofErr w:type="gramStart"/>
            <w:r w:rsidRPr="0089485A">
              <w:rPr>
                <w:color w:val="auto"/>
              </w:rPr>
              <w:t>provided that</w:t>
            </w:r>
            <w:proofErr w:type="gramEnd"/>
            <w:r w:rsidRPr="0089485A">
              <w:rPr>
                <w:color w:val="auto"/>
              </w:rPr>
              <w:t xml:space="preserve"> it enhances landscape character and provides:</w:t>
            </w:r>
          </w:p>
          <w:p w14:paraId="7C3CEC6E" w14:textId="77777777" w:rsidR="0089485A" w:rsidRPr="0089485A" w:rsidRDefault="0089485A" w:rsidP="00FF3EAD">
            <w:pPr>
              <w:keepNext w:val="0"/>
              <w:spacing w:before="0"/>
              <w:jc w:val="left"/>
              <w:rPr>
                <w:color w:val="auto"/>
              </w:rPr>
            </w:pPr>
          </w:p>
          <w:p w14:paraId="48473D2F" w14:textId="77777777" w:rsidR="0089485A" w:rsidRPr="0089485A" w:rsidRDefault="0089485A" w:rsidP="00874A98">
            <w:pPr>
              <w:keepNext w:val="0"/>
              <w:numPr>
                <w:ilvl w:val="0"/>
                <w:numId w:val="262"/>
              </w:numPr>
              <w:spacing w:before="0"/>
              <w:contextualSpacing/>
              <w:jc w:val="left"/>
              <w:rPr>
                <w:color w:val="auto"/>
              </w:rPr>
            </w:pPr>
            <w:r w:rsidRPr="0089485A">
              <w:rPr>
                <w:color w:val="auto"/>
              </w:rPr>
              <w:t>Suitable mitigation to restore any damaged landscape and features in poor condition; and</w:t>
            </w:r>
          </w:p>
          <w:p w14:paraId="70030C69" w14:textId="77777777" w:rsidR="0089485A" w:rsidRPr="0089485A" w:rsidRDefault="0089485A" w:rsidP="00874A98">
            <w:pPr>
              <w:keepNext w:val="0"/>
              <w:numPr>
                <w:ilvl w:val="0"/>
                <w:numId w:val="262"/>
              </w:numPr>
              <w:spacing w:before="0"/>
              <w:contextualSpacing/>
              <w:jc w:val="left"/>
              <w:rPr>
                <w:color w:val="auto"/>
              </w:rPr>
            </w:pPr>
            <w:r w:rsidRPr="0089485A">
              <w:rPr>
                <w:color w:val="auto"/>
              </w:rPr>
              <w:lastRenderedPageBreak/>
              <w:t>Mitigation proportionate in scale to the proposed development and/or suitable off-site enhancements.</w:t>
            </w:r>
          </w:p>
          <w:p w14:paraId="40001E44" w14:textId="77777777" w:rsidR="0089485A" w:rsidRPr="0089485A" w:rsidRDefault="0089485A" w:rsidP="00FF3EAD">
            <w:pPr>
              <w:keepNext w:val="0"/>
              <w:spacing w:before="0"/>
              <w:jc w:val="left"/>
              <w:rPr>
                <w:color w:val="auto"/>
              </w:rPr>
            </w:pPr>
          </w:p>
        </w:tc>
      </w:tr>
      <w:tr w:rsidR="0089485A" w:rsidRPr="0089485A" w14:paraId="2EF580F1" w14:textId="77777777" w:rsidTr="00C66622">
        <w:tc>
          <w:tcPr>
            <w:tcW w:w="2400" w:type="dxa"/>
          </w:tcPr>
          <w:p w14:paraId="1708CCDC" w14:textId="77777777" w:rsidR="0089485A" w:rsidRPr="0089485A" w:rsidRDefault="0089485A" w:rsidP="000032A9">
            <w:pPr>
              <w:keepNext w:val="0"/>
              <w:spacing w:before="0"/>
              <w:jc w:val="left"/>
              <w:rPr>
                <w:color w:val="auto"/>
              </w:rPr>
            </w:pPr>
            <w:r w:rsidRPr="0089485A">
              <w:rPr>
                <w:color w:val="auto"/>
                <w:sz w:val="20"/>
                <w:szCs w:val="20"/>
              </w:rPr>
              <w:lastRenderedPageBreak/>
              <w:t>Evidence Base</w:t>
            </w:r>
          </w:p>
        </w:tc>
        <w:tc>
          <w:tcPr>
            <w:tcW w:w="7219" w:type="dxa"/>
          </w:tcPr>
          <w:p w14:paraId="0C0F14EB" w14:textId="769273C2" w:rsidR="0089485A" w:rsidRPr="002E7654" w:rsidRDefault="0089485A" w:rsidP="00874A98">
            <w:pPr>
              <w:keepNext w:val="0"/>
              <w:numPr>
                <w:ilvl w:val="0"/>
                <w:numId w:val="248"/>
              </w:numPr>
              <w:spacing w:before="0"/>
              <w:contextualSpacing/>
              <w:jc w:val="left"/>
              <w:rPr>
                <w:sz w:val="20"/>
                <w:szCs w:val="20"/>
              </w:rPr>
            </w:pPr>
            <w:r w:rsidRPr="002E7654">
              <w:rPr>
                <w:sz w:val="20"/>
                <w:szCs w:val="20"/>
              </w:rPr>
              <w:t>Sustainability Appraisal, 202</w:t>
            </w:r>
            <w:r w:rsidR="00B40389" w:rsidRPr="002E7654">
              <w:rPr>
                <w:sz w:val="20"/>
                <w:szCs w:val="20"/>
              </w:rPr>
              <w:t>3</w:t>
            </w:r>
            <w:r w:rsidRPr="002E7654">
              <w:rPr>
                <w:sz w:val="20"/>
                <w:szCs w:val="20"/>
              </w:rPr>
              <w:t>.</w:t>
            </w:r>
            <w:r w:rsidR="00B40389" w:rsidRPr="002E7654">
              <w:t xml:space="preserve"> </w:t>
            </w:r>
            <w:r w:rsidR="00B40389" w:rsidRPr="002E7654">
              <w:rPr>
                <w:sz w:val="20"/>
                <w:szCs w:val="20"/>
              </w:rPr>
              <w:t>WSP UK Limited</w:t>
            </w:r>
            <w:r w:rsidRPr="002E7654">
              <w:rPr>
                <w:sz w:val="20"/>
                <w:szCs w:val="20"/>
              </w:rPr>
              <w:t>.</w:t>
            </w:r>
          </w:p>
          <w:p w14:paraId="39A22FBF" w14:textId="77777777" w:rsidR="0089485A" w:rsidRPr="002E7654" w:rsidRDefault="0089485A" w:rsidP="00874A98">
            <w:pPr>
              <w:keepNext w:val="0"/>
              <w:numPr>
                <w:ilvl w:val="0"/>
                <w:numId w:val="248"/>
              </w:numPr>
              <w:spacing w:before="0"/>
              <w:contextualSpacing/>
              <w:jc w:val="left"/>
              <w:rPr>
                <w:sz w:val="20"/>
                <w:szCs w:val="20"/>
              </w:rPr>
            </w:pPr>
            <w:r w:rsidRPr="002E7654">
              <w:rPr>
                <w:sz w:val="20"/>
                <w:szCs w:val="20"/>
              </w:rPr>
              <w:t>Ashfield Biodiversity Opportunity Mapping Project 2016. Notts BAG.</w:t>
            </w:r>
          </w:p>
          <w:p w14:paraId="1E0E8AF4" w14:textId="1A3C6C79" w:rsidR="0089485A" w:rsidRPr="002E7654" w:rsidRDefault="002E7654" w:rsidP="00874A98">
            <w:pPr>
              <w:keepNext w:val="0"/>
              <w:numPr>
                <w:ilvl w:val="0"/>
                <w:numId w:val="248"/>
              </w:numPr>
              <w:spacing w:before="0"/>
              <w:contextualSpacing/>
              <w:jc w:val="left"/>
              <w:rPr>
                <w:sz w:val="20"/>
                <w:szCs w:val="20"/>
              </w:rPr>
            </w:pPr>
            <w:r w:rsidRPr="002E7654">
              <w:rPr>
                <w:rFonts w:cs="Arial"/>
                <w:sz w:val="20"/>
              </w:rPr>
              <w:t>Ashfield Green &amp; Blue Infrastructure and Biodiversity Strategy. Ashfield District Council, 2022-2032</w:t>
            </w:r>
          </w:p>
        </w:tc>
      </w:tr>
      <w:tr w:rsidR="0089485A" w:rsidRPr="0089485A" w14:paraId="395D1879" w14:textId="77777777" w:rsidTr="00C66622">
        <w:tc>
          <w:tcPr>
            <w:tcW w:w="2400" w:type="dxa"/>
          </w:tcPr>
          <w:p w14:paraId="1B607046" w14:textId="77777777" w:rsidR="0089485A" w:rsidRPr="0089485A" w:rsidRDefault="0089485A" w:rsidP="000032A9">
            <w:pPr>
              <w:keepNext w:val="0"/>
              <w:spacing w:before="0"/>
              <w:jc w:val="left"/>
              <w:rPr>
                <w:color w:val="auto"/>
              </w:rPr>
            </w:pPr>
            <w:r w:rsidRPr="0089485A">
              <w:rPr>
                <w:color w:val="auto"/>
                <w:sz w:val="20"/>
                <w:szCs w:val="20"/>
              </w:rPr>
              <w:t>National Planning Policy and Guidance</w:t>
            </w:r>
          </w:p>
        </w:tc>
        <w:tc>
          <w:tcPr>
            <w:tcW w:w="7219" w:type="dxa"/>
          </w:tcPr>
          <w:p w14:paraId="5DBFF549" w14:textId="6E89B48C" w:rsidR="0089485A" w:rsidRPr="002E7654" w:rsidRDefault="0089485A" w:rsidP="00874A98">
            <w:pPr>
              <w:keepNext w:val="0"/>
              <w:numPr>
                <w:ilvl w:val="0"/>
                <w:numId w:val="249"/>
              </w:numPr>
              <w:spacing w:before="0"/>
              <w:contextualSpacing/>
              <w:jc w:val="left"/>
              <w:rPr>
                <w:sz w:val="20"/>
                <w:szCs w:val="20"/>
              </w:rPr>
            </w:pPr>
            <w:r w:rsidRPr="002E7654">
              <w:rPr>
                <w:sz w:val="20"/>
                <w:szCs w:val="20"/>
              </w:rPr>
              <w:t>NPPF 202</w:t>
            </w:r>
            <w:r w:rsidR="004173E0" w:rsidRPr="002E7654">
              <w:rPr>
                <w:sz w:val="20"/>
                <w:szCs w:val="20"/>
              </w:rPr>
              <w:t>3</w:t>
            </w:r>
            <w:r w:rsidRPr="002E7654">
              <w:rPr>
                <w:sz w:val="20"/>
                <w:szCs w:val="20"/>
              </w:rPr>
              <w:t>, Part 2: Achieving sustainable development.</w:t>
            </w:r>
          </w:p>
          <w:p w14:paraId="2831D2C7" w14:textId="4277D174" w:rsidR="0089485A" w:rsidRPr="002E7654" w:rsidRDefault="0089485A" w:rsidP="00874A98">
            <w:pPr>
              <w:keepNext w:val="0"/>
              <w:numPr>
                <w:ilvl w:val="0"/>
                <w:numId w:val="249"/>
              </w:numPr>
              <w:spacing w:before="0"/>
              <w:contextualSpacing/>
              <w:jc w:val="left"/>
              <w:rPr>
                <w:sz w:val="20"/>
                <w:szCs w:val="20"/>
              </w:rPr>
            </w:pPr>
            <w:r w:rsidRPr="002E7654">
              <w:rPr>
                <w:sz w:val="20"/>
                <w:szCs w:val="20"/>
              </w:rPr>
              <w:t>NPPF 202</w:t>
            </w:r>
            <w:r w:rsidR="004173E0" w:rsidRPr="002E7654">
              <w:rPr>
                <w:sz w:val="20"/>
                <w:szCs w:val="20"/>
              </w:rPr>
              <w:t>3</w:t>
            </w:r>
            <w:r w:rsidRPr="002E7654">
              <w:rPr>
                <w:sz w:val="20"/>
                <w:szCs w:val="20"/>
              </w:rPr>
              <w:t>, Part 15: Conserving and enhancing the natural environment.</w:t>
            </w:r>
          </w:p>
          <w:p w14:paraId="1A6FED4B" w14:textId="52FF2BAA" w:rsidR="0089485A" w:rsidRPr="002E7654" w:rsidRDefault="0089485A" w:rsidP="00874A98">
            <w:pPr>
              <w:keepNext w:val="0"/>
              <w:numPr>
                <w:ilvl w:val="0"/>
                <w:numId w:val="249"/>
              </w:numPr>
              <w:spacing w:before="0"/>
              <w:contextualSpacing/>
              <w:jc w:val="left"/>
              <w:rPr>
                <w:sz w:val="20"/>
                <w:szCs w:val="20"/>
              </w:rPr>
            </w:pPr>
            <w:r w:rsidRPr="002E7654">
              <w:rPr>
                <w:sz w:val="20"/>
                <w:szCs w:val="20"/>
              </w:rPr>
              <w:t xml:space="preserve">Planning Practice Guidance: Open space, sports and recreational facilities, public rights of ways and local green space as of </w:t>
            </w:r>
            <w:r w:rsidR="00B40389" w:rsidRPr="002E7654">
              <w:rPr>
                <w:sz w:val="20"/>
                <w:szCs w:val="20"/>
              </w:rPr>
              <w:t>March 2014</w:t>
            </w:r>
            <w:r w:rsidRPr="002E7654">
              <w:rPr>
                <w:sz w:val="20"/>
                <w:szCs w:val="20"/>
              </w:rPr>
              <w:t>.</w:t>
            </w:r>
          </w:p>
          <w:p w14:paraId="52EF1748" w14:textId="666DCC78" w:rsidR="0089485A" w:rsidRPr="002E7654" w:rsidRDefault="0089485A" w:rsidP="00874A98">
            <w:pPr>
              <w:keepNext w:val="0"/>
              <w:numPr>
                <w:ilvl w:val="0"/>
                <w:numId w:val="249"/>
              </w:numPr>
              <w:spacing w:before="0"/>
              <w:contextualSpacing/>
              <w:jc w:val="left"/>
              <w:rPr>
                <w:sz w:val="20"/>
                <w:szCs w:val="20"/>
              </w:rPr>
            </w:pPr>
            <w:r w:rsidRPr="002E7654">
              <w:rPr>
                <w:sz w:val="20"/>
                <w:szCs w:val="20"/>
              </w:rPr>
              <w:t xml:space="preserve">Planning Practice Guidance: Natural environment as of </w:t>
            </w:r>
            <w:r w:rsidR="00B40389" w:rsidRPr="002E7654">
              <w:rPr>
                <w:sz w:val="20"/>
                <w:szCs w:val="20"/>
              </w:rPr>
              <w:t>July 2019.</w:t>
            </w:r>
          </w:p>
        </w:tc>
      </w:tr>
    </w:tbl>
    <w:p w14:paraId="5CDC3045" w14:textId="087F8793" w:rsidR="0089485A" w:rsidRDefault="0089485A" w:rsidP="0089485A">
      <w:pPr>
        <w:keepNext w:val="0"/>
        <w:autoSpaceDE w:val="0"/>
        <w:autoSpaceDN w:val="0"/>
        <w:adjustRightInd w:val="0"/>
        <w:spacing w:before="0"/>
        <w:rPr>
          <w:rFonts w:eastAsia="Arial" w:cs="Arial"/>
          <w:spacing w:val="-1"/>
        </w:rPr>
      </w:pPr>
    </w:p>
    <w:p w14:paraId="5902B867" w14:textId="188EB3F5" w:rsidR="00BA645B" w:rsidRPr="0089485A" w:rsidRDefault="00BA645B" w:rsidP="00C66622">
      <w:pPr>
        <w:keepNext w:val="0"/>
        <w:numPr>
          <w:ilvl w:val="1"/>
          <w:numId w:val="5"/>
        </w:numPr>
        <w:tabs>
          <w:tab w:val="clear" w:pos="525"/>
        </w:tabs>
        <w:autoSpaceDE w:val="0"/>
        <w:autoSpaceDN w:val="0"/>
        <w:adjustRightInd w:val="0"/>
        <w:spacing w:before="0"/>
        <w:ind w:left="851" w:hanging="851"/>
        <w:rPr>
          <w:rFonts w:eastAsia="Arial" w:cs="Arial"/>
          <w:spacing w:val="-1"/>
        </w:rPr>
      </w:pPr>
      <w:r w:rsidRPr="0089485A">
        <w:rPr>
          <w:rFonts w:eastAsia="Arial" w:cs="Arial"/>
          <w:spacing w:val="-1"/>
        </w:rPr>
        <w:t>People value the countryside and its landscape for many different reasons, not all of them relat</w:t>
      </w:r>
      <w:r w:rsidR="00A048F9" w:rsidRPr="0089485A">
        <w:rPr>
          <w:rFonts w:eastAsia="Arial" w:cs="Arial"/>
          <w:spacing w:val="-1"/>
        </w:rPr>
        <w:t>e</w:t>
      </w:r>
      <w:r w:rsidRPr="0089485A">
        <w:rPr>
          <w:rFonts w:eastAsia="Arial" w:cs="Arial"/>
          <w:spacing w:val="-1"/>
        </w:rPr>
        <w:t xml:space="preserve"> to traditional concepts of aesthetics and beauty. It can provide habitats for wildlife and evidence of how people have lived on the land and harnessed its resources.  </w:t>
      </w:r>
    </w:p>
    <w:p w14:paraId="58692FF1" w14:textId="77777777" w:rsidR="00BA645B" w:rsidRPr="00BA645B" w:rsidRDefault="00BA645B" w:rsidP="00C66622">
      <w:pPr>
        <w:keepNext w:val="0"/>
        <w:autoSpaceDE w:val="0"/>
        <w:autoSpaceDN w:val="0"/>
        <w:adjustRightInd w:val="0"/>
        <w:spacing w:before="0"/>
        <w:ind w:left="851" w:hanging="851"/>
        <w:rPr>
          <w:rFonts w:eastAsia="Arial" w:cs="Arial"/>
          <w:spacing w:val="-1"/>
        </w:rPr>
      </w:pPr>
    </w:p>
    <w:p w14:paraId="5661194D" w14:textId="08AE4204" w:rsidR="00BA645B" w:rsidRPr="00BA645B" w:rsidRDefault="00BA645B" w:rsidP="00C66622">
      <w:pPr>
        <w:keepNext w:val="0"/>
        <w:numPr>
          <w:ilvl w:val="1"/>
          <w:numId w:val="5"/>
        </w:numPr>
        <w:tabs>
          <w:tab w:val="clear" w:pos="525"/>
        </w:tabs>
        <w:autoSpaceDE w:val="0"/>
        <w:autoSpaceDN w:val="0"/>
        <w:adjustRightInd w:val="0"/>
        <w:spacing w:before="0"/>
        <w:ind w:left="851" w:hanging="851"/>
        <w:rPr>
          <w:rFonts w:eastAsia="Arial" w:cs="Arial"/>
          <w:spacing w:val="-1"/>
        </w:rPr>
      </w:pPr>
      <w:r w:rsidRPr="00BA645B">
        <w:rPr>
          <w:rFonts w:eastAsia="Arial" w:cs="Arial"/>
          <w:spacing w:val="-1"/>
        </w:rPr>
        <w:t>Landscape has a social and community value, as an important part of people’s day-to-day lives. It also has an economic value, providing the context for economic activity and often being a central factor in attracting business and tourism. National Planning Guidance states that valued landscapes should be protected and enhanced</w:t>
      </w:r>
      <w:r w:rsidR="00A048F9">
        <w:rPr>
          <w:rFonts w:eastAsia="Arial" w:cs="Arial"/>
          <w:spacing w:val="-1"/>
        </w:rPr>
        <w:t xml:space="preserve"> </w:t>
      </w:r>
      <w:r w:rsidRPr="00BA645B">
        <w:rPr>
          <w:rFonts w:eastAsia="Arial" w:cs="Arial"/>
          <w:spacing w:val="-1"/>
        </w:rPr>
        <w:t xml:space="preserve">and requires Local Plans to include </w:t>
      </w:r>
      <w:r w:rsidR="00A048F9" w:rsidRPr="00BA645B">
        <w:rPr>
          <w:rFonts w:eastAsia="Arial" w:cs="Arial"/>
          <w:spacing w:val="-1"/>
        </w:rPr>
        <w:t>criteria-based</w:t>
      </w:r>
      <w:r w:rsidRPr="00BA645B">
        <w:rPr>
          <w:rFonts w:eastAsia="Arial" w:cs="Arial"/>
          <w:spacing w:val="-1"/>
        </w:rPr>
        <w:t xml:space="preserve"> policies against which proposals for any development on or affecting landscape areas will be judged.  </w:t>
      </w:r>
    </w:p>
    <w:p w14:paraId="66147643" w14:textId="77777777" w:rsidR="00BA645B" w:rsidRPr="00BA645B" w:rsidRDefault="00BA645B" w:rsidP="00C66622">
      <w:pPr>
        <w:keepNext w:val="0"/>
        <w:autoSpaceDE w:val="0"/>
        <w:autoSpaceDN w:val="0"/>
        <w:adjustRightInd w:val="0"/>
        <w:spacing w:before="0"/>
        <w:ind w:left="851" w:hanging="851"/>
        <w:rPr>
          <w:rFonts w:eastAsia="Arial" w:cs="Arial"/>
          <w:spacing w:val="-1"/>
        </w:rPr>
      </w:pPr>
    </w:p>
    <w:p w14:paraId="3A09D9A2" w14:textId="2150B730" w:rsidR="00BA645B" w:rsidRPr="00BA645B" w:rsidRDefault="00BA645B" w:rsidP="00C66622">
      <w:pPr>
        <w:keepNext w:val="0"/>
        <w:numPr>
          <w:ilvl w:val="1"/>
          <w:numId w:val="5"/>
        </w:numPr>
        <w:tabs>
          <w:tab w:val="clear" w:pos="525"/>
        </w:tabs>
        <w:autoSpaceDE w:val="0"/>
        <w:autoSpaceDN w:val="0"/>
        <w:adjustRightInd w:val="0"/>
        <w:spacing w:before="0"/>
        <w:ind w:left="851" w:hanging="851"/>
        <w:rPr>
          <w:rFonts w:eastAsia="Arial" w:cs="Arial"/>
          <w:spacing w:val="-1"/>
        </w:rPr>
      </w:pPr>
      <w:r w:rsidRPr="00BA645B">
        <w:rPr>
          <w:rFonts w:eastAsia="Arial" w:cs="Arial"/>
          <w:spacing w:val="-1"/>
        </w:rPr>
        <w:t xml:space="preserve">The Council, in partnership with five neighbouring Local Authorities, carried out a Landscape Character Assessment in 2009 to evaluate and record the landscape quality of the Greater Nottingham area. The study covers the whole of Ashfield, excluding urban areas. The Assessment is an important </w:t>
      </w:r>
      <w:r w:rsidR="00A048F9" w:rsidRPr="00BA645B">
        <w:rPr>
          <w:rFonts w:eastAsia="Arial" w:cs="Arial"/>
          <w:spacing w:val="-1"/>
        </w:rPr>
        <w:t>decision-making</w:t>
      </w:r>
      <w:r w:rsidRPr="00BA645B">
        <w:rPr>
          <w:rFonts w:eastAsia="Arial" w:cs="Arial"/>
          <w:spacing w:val="-1"/>
        </w:rPr>
        <w:t xml:space="preserve"> tool, which systematically classifies the landscape into distinctive areas based on the interaction between topography, geology, land use, vegetation pattern and human influence. Its role is to ensure that future change does not undermine the characteristics or features of value within a landscape. Landscape Character Assessment is an approach that makes a significant contribution to the sustainable objectives of environmental protection; prudent use of natural resources; and maintaining and enhancing the quality of life for present and future generations. </w:t>
      </w:r>
    </w:p>
    <w:p w14:paraId="26EEE7E8" w14:textId="77777777" w:rsidR="00BA645B" w:rsidRPr="00BA645B" w:rsidRDefault="00BA645B" w:rsidP="00C66622">
      <w:pPr>
        <w:keepNext w:val="0"/>
        <w:autoSpaceDE w:val="0"/>
        <w:autoSpaceDN w:val="0"/>
        <w:adjustRightInd w:val="0"/>
        <w:spacing w:before="0"/>
        <w:ind w:left="851" w:hanging="851"/>
        <w:rPr>
          <w:rFonts w:eastAsia="Arial" w:cs="Arial"/>
          <w:spacing w:val="-1"/>
        </w:rPr>
      </w:pPr>
    </w:p>
    <w:p w14:paraId="364370C5" w14:textId="77777777" w:rsidR="00BA645B" w:rsidRPr="00BA645B" w:rsidRDefault="00BA645B" w:rsidP="00C66622">
      <w:pPr>
        <w:keepNext w:val="0"/>
        <w:numPr>
          <w:ilvl w:val="1"/>
          <w:numId w:val="5"/>
        </w:numPr>
        <w:tabs>
          <w:tab w:val="clear" w:pos="525"/>
        </w:tabs>
        <w:autoSpaceDE w:val="0"/>
        <w:autoSpaceDN w:val="0"/>
        <w:adjustRightInd w:val="0"/>
        <w:spacing w:before="0"/>
        <w:ind w:left="851" w:hanging="851"/>
        <w:rPr>
          <w:rFonts w:eastAsia="Arial" w:cs="Arial"/>
          <w:spacing w:val="-1"/>
        </w:rPr>
      </w:pPr>
      <w:r w:rsidRPr="00BA645B">
        <w:rPr>
          <w:rFonts w:eastAsia="Arial" w:cs="Arial"/>
          <w:spacing w:val="-1"/>
        </w:rPr>
        <w:t xml:space="preserve">The results of the assessment have identified three landscape types in Ashfield: Magnesium Limestone Ridge, Nottinghamshire Coalfields and Sherwood. Each of these areas has been further sub-divided into component landscape character areas know as Draft Policy Zones (DPZ). Each DPZ identifies and lists the key features which make it special and provides a judgement on the condition of the landscape and its strength of character.  When considering new development these will enable judgments to be made regarding what landscape actions are required to conserve, enhance, restore or create distinctiveness within each DPZ. </w:t>
      </w:r>
    </w:p>
    <w:p w14:paraId="544A05F7" w14:textId="77777777" w:rsidR="00BA645B" w:rsidRPr="00BA645B" w:rsidRDefault="00BA645B" w:rsidP="00C66622">
      <w:pPr>
        <w:keepNext w:val="0"/>
        <w:autoSpaceDE w:val="0"/>
        <w:autoSpaceDN w:val="0"/>
        <w:adjustRightInd w:val="0"/>
        <w:spacing w:before="0"/>
        <w:ind w:left="851" w:hanging="851"/>
        <w:rPr>
          <w:rFonts w:eastAsia="Arial" w:cs="Arial"/>
          <w:spacing w:val="-1"/>
        </w:rPr>
      </w:pPr>
    </w:p>
    <w:p w14:paraId="253A795D" w14:textId="77777777" w:rsidR="00CE204F" w:rsidRDefault="00BA645B" w:rsidP="00CE204F">
      <w:pPr>
        <w:keepNext w:val="0"/>
        <w:numPr>
          <w:ilvl w:val="1"/>
          <w:numId w:val="5"/>
        </w:numPr>
        <w:tabs>
          <w:tab w:val="clear" w:pos="525"/>
        </w:tabs>
        <w:autoSpaceDE w:val="0"/>
        <w:autoSpaceDN w:val="0"/>
        <w:adjustRightInd w:val="0"/>
        <w:spacing w:before="0"/>
        <w:ind w:left="851" w:hanging="851"/>
        <w:rPr>
          <w:rFonts w:eastAsia="Arial" w:cs="Arial"/>
          <w:spacing w:val="-1"/>
        </w:rPr>
      </w:pPr>
      <w:r w:rsidRPr="00BA645B">
        <w:rPr>
          <w:rFonts w:eastAsia="Arial" w:cs="Arial"/>
          <w:spacing w:val="-1"/>
        </w:rPr>
        <w:t xml:space="preserve">Policy EV1: Green Belt, and Policy EV2: Countryside, explains the limited types of development which may be appropriate in the rural parts of the </w:t>
      </w:r>
      <w:proofErr w:type="gramStart"/>
      <w:r w:rsidRPr="00BA645B">
        <w:rPr>
          <w:rFonts w:eastAsia="Arial" w:cs="Arial"/>
          <w:spacing w:val="-1"/>
        </w:rPr>
        <w:t>District</w:t>
      </w:r>
      <w:proofErr w:type="gramEnd"/>
      <w:r w:rsidRPr="00BA645B">
        <w:rPr>
          <w:rFonts w:eastAsia="Arial" w:cs="Arial"/>
          <w:spacing w:val="-1"/>
        </w:rPr>
        <w:t>. Under Policy EV1</w:t>
      </w:r>
      <w:r>
        <w:rPr>
          <w:rFonts w:eastAsia="Arial" w:cs="Arial"/>
          <w:spacing w:val="-1"/>
        </w:rPr>
        <w:t>0</w:t>
      </w:r>
      <w:r w:rsidRPr="00BA645B">
        <w:rPr>
          <w:rFonts w:eastAsia="Arial" w:cs="Arial"/>
          <w:spacing w:val="-1"/>
        </w:rPr>
        <w:t xml:space="preserve">, should a proposal be acceptable in principle based upon Policies EV1 </w:t>
      </w:r>
      <w:r w:rsidRPr="00BA645B">
        <w:rPr>
          <w:rFonts w:eastAsia="Arial" w:cs="Arial"/>
          <w:spacing w:val="-1"/>
        </w:rPr>
        <w:lastRenderedPageBreak/>
        <w:t xml:space="preserve">and EV2, the actual form of the development will need to have regard to the </w:t>
      </w:r>
      <w:proofErr w:type="gramStart"/>
      <w:r w:rsidRPr="00BA645B">
        <w:rPr>
          <w:rFonts w:eastAsia="Arial" w:cs="Arial"/>
          <w:spacing w:val="-1"/>
        </w:rPr>
        <w:t>particular landscape</w:t>
      </w:r>
      <w:proofErr w:type="gramEnd"/>
      <w:r w:rsidRPr="00BA645B">
        <w:rPr>
          <w:rFonts w:eastAsia="Arial" w:cs="Arial"/>
          <w:spacing w:val="-1"/>
        </w:rPr>
        <w:t xml:space="preserve"> characteristics of importance to that locality, as identified in the Landscape Character Assessment.  </w:t>
      </w:r>
    </w:p>
    <w:p w14:paraId="7A1BC7C0" w14:textId="77777777" w:rsidR="00DD4CAE" w:rsidRPr="00DD4CAE" w:rsidRDefault="00DD4CAE" w:rsidP="008A7472">
      <w:pPr>
        <w:keepNext w:val="0"/>
        <w:autoSpaceDE w:val="0"/>
        <w:autoSpaceDN w:val="0"/>
        <w:adjustRightInd w:val="0"/>
        <w:spacing w:before="0"/>
        <w:ind w:left="851"/>
        <w:rPr>
          <w:rFonts w:eastAsia="Arial" w:cs="Arial"/>
          <w:spacing w:val="-1"/>
        </w:rPr>
      </w:pPr>
    </w:p>
    <w:p w14:paraId="4B1AB96B" w14:textId="6B92CEFE" w:rsidR="00CF5720" w:rsidRPr="00CE204F" w:rsidRDefault="00CE204F" w:rsidP="002C7E16">
      <w:pPr>
        <w:keepNext w:val="0"/>
        <w:numPr>
          <w:ilvl w:val="1"/>
          <w:numId w:val="5"/>
        </w:numPr>
        <w:tabs>
          <w:tab w:val="clear" w:pos="525"/>
        </w:tabs>
        <w:autoSpaceDE w:val="0"/>
        <w:autoSpaceDN w:val="0"/>
        <w:adjustRightInd w:val="0"/>
        <w:spacing w:before="0"/>
        <w:ind w:left="851" w:hanging="851"/>
        <w:rPr>
          <w:rFonts w:eastAsia="Arial" w:cs="Arial"/>
          <w:spacing w:val="-1"/>
        </w:rPr>
      </w:pPr>
      <w:r w:rsidRPr="00CE204F">
        <w:rPr>
          <w:spacing w:val="-1"/>
        </w:rPr>
        <w:t>A Landscape Visual Impact Assessment (LVIA) may be required to assess the effects on the landscape and visual resources that may result from a development proposal.  In an LVIA the assessor is required to identify the degree or level of change that is significant in accordance with the requirements of Environmental Impact Assessment Regulations 2017, as well as type, nature, duration, and geographic extent of the effect.  The scope and viewpoints for the LVIA should be agreed with the Council prior to the commencement of work.</w:t>
      </w:r>
    </w:p>
    <w:p w14:paraId="11593402" w14:textId="77777777" w:rsidR="00CE204F" w:rsidRPr="00CE204F" w:rsidRDefault="00CE204F" w:rsidP="00CE204F">
      <w:pPr>
        <w:keepNext w:val="0"/>
        <w:autoSpaceDE w:val="0"/>
        <w:autoSpaceDN w:val="0"/>
        <w:adjustRightInd w:val="0"/>
        <w:spacing w:before="0"/>
        <w:rPr>
          <w:rFonts w:eastAsia="Arial" w:cs="Arial"/>
          <w:spacing w:val="-1"/>
        </w:rPr>
      </w:pPr>
    </w:p>
    <w:p w14:paraId="7788E1E6" w14:textId="77777777" w:rsidR="001770A9" w:rsidRDefault="00BA645B" w:rsidP="00C66622">
      <w:pPr>
        <w:keepNext w:val="0"/>
        <w:numPr>
          <w:ilvl w:val="1"/>
          <w:numId w:val="5"/>
        </w:numPr>
        <w:tabs>
          <w:tab w:val="clear" w:pos="525"/>
        </w:tabs>
        <w:autoSpaceDE w:val="0"/>
        <w:autoSpaceDN w:val="0"/>
        <w:adjustRightInd w:val="0"/>
        <w:spacing w:before="0"/>
        <w:ind w:left="851" w:hanging="851"/>
        <w:rPr>
          <w:rFonts w:eastAsia="Arial" w:cs="Arial"/>
          <w:spacing w:val="-1"/>
        </w:rPr>
      </w:pPr>
      <w:r w:rsidRPr="00BA645B">
        <w:rPr>
          <w:rFonts w:eastAsia="Arial" w:cs="Arial"/>
          <w:spacing w:val="-1"/>
        </w:rPr>
        <w:t>On all new developments the Council will require the provision of suitable mitigation measures to restore any damaged landscape and features in poor condition as identified in the Landscape Character Assessment’s ‘landscape actions’ for each character area.</w:t>
      </w:r>
    </w:p>
    <w:p w14:paraId="594F20FA" w14:textId="77777777" w:rsidR="001770A9" w:rsidRDefault="001770A9" w:rsidP="001770A9">
      <w:pPr>
        <w:pStyle w:val="ListParagraph"/>
        <w:rPr>
          <w:rFonts w:eastAsia="Arial" w:cs="Arial"/>
          <w:spacing w:val="-1"/>
        </w:rPr>
      </w:pPr>
    </w:p>
    <w:p w14:paraId="7CD2A875" w14:textId="77777777" w:rsidR="00023DC3" w:rsidRDefault="00023DC3" w:rsidP="00CF07B9">
      <w:pPr>
        <w:pStyle w:val="Heading1"/>
        <w:sectPr w:rsidR="00023DC3" w:rsidSect="00A73757">
          <w:headerReference w:type="default" r:id="rId51"/>
          <w:pgSz w:w="11906" w:h="16838" w:code="9"/>
          <w:pgMar w:top="1258" w:right="1133" w:bottom="1079" w:left="1134" w:header="709" w:footer="709" w:gutter="0"/>
          <w:cols w:space="708"/>
          <w:docGrid w:linePitch="360"/>
        </w:sectPr>
      </w:pPr>
      <w:bookmarkStart w:id="190" w:name="_Toc145511585"/>
      <w:bookmarkEnd w:id="165"/>
    </w:p>
    <w:p w14:paraId="4F284ECF" w14:textId="24A1CBC7" w:rsidR="00DA4833" w:rsidRPr="00364726" w:rsidRDefault="00DA4833" w:rsidP="00CF07B9">
      <w:pPr>
        <w:pStyle w:val="Heading1"/>
      </w:pPr>
      <w:r w:rsidRPr="00364726">
        <w:lastRenderedPageBreak/>
        <w:t>Chapter 6</w:t>
      </w:r>
      <w:bookmarkEnd w:id="190"/>
    </w:p>
    <w:p w14:paraId="58643290" w14:textId="77777777" w:rsidR="00DA4833" w:rsidRPr="002F7EC6" w:rsidRDefault="00DA4833" w:rsidP="008008F0">
      <w:pPr>
        <w:keepNext w:val="0"/>
        <w:spacing w:before="0"/>
        <w:rPr>
          <w:rFonts w:cs="Arial"/>
          <w:b/>
          <w:color w:val="auto"/>
          <w:sz w:val="36"/>
          <w:szCs w:val="36"/>
        </w:rPr>
      </w:pPr>
    </w:p>
    <w:p w14:paraId="3C75209E" w14:textId="006F315E" w:rsidR="00523DED" w:rsidRPr="002F7EC6" w:rsidRDefault="005F1B0D" w:rsidP="00CF07B9">
      <w:pPr>
        <w:pStyle w:val="Heading1"/>
      </w:pPr>
      <w:bookmarkStart w:id="191" w:name="_Toc145511586"/>
      <w:bookmarkStart w:id="192" w:name="_Hlk146198076"/>
      <w:r w:rsidRPr="005F1B0D">
        <w:t>Meeting local housing needs and aspirations</w:t>
      </w:r>
      <w:bookmarkEnd w:id="191"/>
    </w:p>
    <w:bookmarkEnd w:id="192"/>
    <w:p w14:paraId="23C8C00F" w14:textId="6BEC42C1" w:rsidR="00DA4833" w:rsidRPr="003C7E62" w:rsidRDefault="00DA4833" w:rsidP="008008F0">
      <w:pPr>
        <w:keepNext w:val="0"/>
        <w:autoSpaceDE w:val="0"/>
        <w:autoSpaceDN w:val="0"/>
        <w:adjustRightInd w:val="0"/>
        <w:spacing w:before="0"/>
        <w:rPr>
          <w:rFonts w:cs="Arial"/>
          <w:b/>
          <w:bCs/>
          <w:szCs w:val="24"/>
        </w:rPr>
      </w:pPr>
    </w:p>
    <w:p w14:paraId="17B298E7" w14:textId="77777777" w:rsidR="003C7E62" w:rsidRPr="00DA5747" w:rsidRDefault="003C7E62" w:rsidP="002B1D29">
      <w:pPr>
        <w:rPr>
          <w:rFonts w:eastAsia="Arial" w:cs="Arial"/>
          <w:b/>
          <w:bCs/>
          <w:color w:val="auto"/>
          <w:kern w:val="32"/>
          <w:szCs w:val="32"/>
        </w:rPr>
      </w:pPr>
      <w:r w:rsidRPr="00DA5747">
        <w:rPr>
          <w:rFonts w:eastAsia="Arial" w:cs="Arial"/>
          <w:b/>
          <w:bCs/>
          <w:color w:val="auto"/>
          <w:kern w:val="32"/>
          <w:szCs w:val="32"/>
        </w:rPr>
        <w:t>Introduction</w:t>
      </w:r>
    </w:p>
    <w:p w14:paraId="39A091B6" w14:textId="77777777" w:rsidR="003C7E62" w:rsidRPr="003C7E62" w:rsidRDefault="003C7E62" w:rsidP="003C7E62">
      <w:pPr>
        <w:rPr>
          <w:rFonts w:eastAsia="Arial" w:cs="Arial"/>
          <w:color w:val="C45911"/>
        </w:rPr>
      </w:pPr>
    </w:p>
    <w:p w14:paraId="6002CB02" w14:textId="77777777" w:rsidR="003C7E62" w:rsidRPr="003C7E62" w:rsidRDefault="003C7E62" w:rsidP="00874A98">
      <w:pPr>
        <w:pStyle w:val="ListParagraph"/>
        <w:numPr>
          <w:ilvl w:val="1"/>
          <w:numId w:val="92"/>
        </w:numPr>
        <w:autoSpaceDE w:val="0"/>
        <w:autoSpaceDN w:val="0"/>
        <w:adjustRightInd w:val="0"/>
        <w:spacing w:after="0" w:line="240" w:lineRule="auto"/>
        <w:ind w:left="851" w:hanging="851"/>
        <w:rPr>
          <w:rFonts w:ascii="Arial" w:hAnsi="Arial" w:cs="Arial"/>
        </w:rPr>
      </w:pPr>
      <w:r w:rsidRPr="003C7E62">
        <w:rPr>
          <w:rFonts w:ascii="Arial" w:hAnsi="Arial" w:cs="Arial"/>
        </w:rPr>
        <w:t xml:space="preserve">The Government, through the NPPF, emphasises the importance of providing a supply of housing required to meet the needs of present and future generations </w:t>
      </w:r>
      <w:proofErr w:type="gramStart"/>
      <w:r w:rsidRPr="003C7E62">
        <w:rPr>
          <w:rFonts w:ascii="Arial" w:hAnsi="Arial" w:cs="Arial"/>
        </w:rPr>
        <w:t>as a means to</w:t>
      </w:r>
      <w:proofErr w:type="gramEnd"/>
      <w:r w:rsidRPr="003C7E62">
        <w:rPr>
          <w:rFonts w:ascii="Arial" w:hAnsi="Arial" w:cs="Arial"/>
        </w:rPr>
        <w:t xml:space="preserve"> support strong, vibrant and healthy communities. Broadly, the plan process for managing housing delivery falls into two parts:</w:t>
      </w:r>
    </w:p>
    <w:p w14:paraId="6632E809" w14:textId="77777777" w:rsidR="003C7E62" w:rsidRPr="003C7E62" w:rsidRDefault="003C7E62" w:rsidP="003C7E62">
      <w:pPr>
        <w:autoSpaceDE w:val="0"/>
        <w:autoSpaceDN w:val="0"/>
        <w:adjustRightInd w:val="0"/>
        <w:ind w:left="794"/>
        <w:rPr>
          <w:rFonts w:cs="Arial"/>
        </w:rPr>
      </w:pPr>
    </w:p>
    <w:p w14:paraId="49FC9914" w14:textId="77777777" w:rsidR="003C7E62" w:rsidRDefault="003C7E62" w:rsidP="00874A98">
      <w:pPr>
        <w:pStyle w:val="ListParagraph"/>
        <w:numPr>
          <w:ilvl w:val="0"/>
          <w:numId w:val="125"/>
        </w:numPr>
        <w:autoSpaceDE w:val="0"/>
        <w:autoSpaceDN w:val="0"/>
        <w:adjustRightInd w:val="0"/>
        <w:spacing w:after="0" w:line="240" w:lineRule="auto"/>
        <w:ind w:hanging="229"/>
        <w:rPr>
          <w:rFonts w:ascii="Arial" w:hAnsi="Arial" w:cs="Arial"/>
        </w:rPr>
      </w:pPr>
      <w:r w:rsidRPr="003C7E62">
        <w:rPr>
          <w:rFonts w:ascii="Arial" w:hAnsi="Arial" w:cs="Arial"/>
        </w:rPr>
        <w:t>Setting out housing requirements – ensuring that the Local Plan meets the identified housing need (both market and affordable housing); and</w:t>
      </w:r>
    </w:p>
    <w:p w14:paraId="0E2F2B19" w14:textId="77777777" w:rsidR="00BA29ED" w:rsidRPr="003C7E62" w:rsidRDefault="00BA29ED" w:rsidP="00BA29ED">
      <w:pPr>
        <w:pStyle w:val="ListParagraph"/>
        <w:autoSpaceDE w:val="0"/>
        <w:autoSpaceDN w:val="0"/>
        <w:adjustRightInd w:val="0"/>
        <w:spacing w:after="0" w:line="240" w:lineRule="auto"/>
        <w:ind w:left="1080"/>
        <w:rPr>
          <w:rFonts w:ascii="Arial" w:hAnsi="Arial" w:cs="Arial"/>
        </w:rPr>
      </w:pPr>
    </w:p>
    <w:p w14:paraId="7A897F1C" w14:textId="7153943C" w:rsidR="003C7E62" w:rsidRPr="006E25C7" w:rsidRDefault="003C7E62" w:rsidP="00874A98">
      <w:pPr>
        <w:pStyle w:val="ListParagraph"/>
        <w:numPr>
          <w:ilvl w:val="0"/>
          <w:numId w:val="125"/>
        </w:numPr>
        <w:autoSpaceDE w:val="0"/>
        <w:autoSpaceDN w:val="0"/>
        <w:adjustRightInd w:val="0"/>
        <w:spacing w:after="0" w:line="240" w:lineRule="auto"/>
        <w:ind w:hanging="229"/>
        <w:rPr>
          <w:rFonts w:ascii="Arial" w:hAnsi="Arial" w:cs="Arial"/>
          <w:color w:val="auto"/>
        </w:rPr>
      </w:pPr>
      <w:r w:rsidRPr="003C7E62">
        <w:rPr>
          <w:rFonts w:ascii="Arial" w:hAnsi="Arial" w:cs="Arial"/>
        </w:rPr>
        <w:t xml:space="preserve">Allocation of housing land – Identifying a supply of specific achievable (i.e. deliverable or developable) housing sites for the entire Plan period </w:t>
      </w:r>
      <w:r w:rsidR="002B1D29" w:rsidRPr="006E25C7">
        <w:rPr>
          <w:rFonts w:ascii="Arial" w:hAnsi="Arial" w:cs="Arial"/>
          <w:color w:val="auto"/>
        </w:rPr>
        <w:t>(2023 t</w:t>
      </w:r>
      <w:r w:rsidR="00851435" w:rsidRPr="006E25C7">
        <w:rPr>
          <w:rFonts w:ascii="Arial" w:hAnsi="Arial" w:cs="Arial"/>
          <w:color w:val="auto"/>
        </w:rPr>
        <w:t>o</w:t>
      </w:r>
      <w:r w:rsidR="002B1D29" w:rsidRPr="006E25C7">
        <w:rPr>
          <w:rFonts w:ascii="Arial" w:hAnsi="Arial" w:cs="Arial"/>
          <w:color w:val="auto"/>
        </w:rPr>
        <w:t xml:space="preserve"> 2040).</w:t>
      </w:r>
    </w:p>
    <w:p w14:paraId="07DE5621" w14:textId="77777777" w:rsidR="003C7E62" w:rsidRPr="003C7E62" w:rsidRDefault="003C7E62" w:rsidP="003C7E62">
      <w:pPr>
        <w:pStyle w:val="ListParagraph"/>
        <w:autoSpaceDE w:val="0"/>
        <w:autoSpaceDN w:val="0"/>
        <w:adjustRightInd w:val="0"/>
        <w:spacing w:after="0" w:line="240" w:lineRule="auto"/>
        <w:ind w:left="1080"/>
        <w:rPr>
          <w:rFonts w:ascii="Arial" w:hAnsi="Arial" w:cs="Arial"/>
        </w:rPr>
      </w:pPr>
    </w:p>
    <w:p w14:paraId="779AD453" w14:textId="77777777" w:rsidR="003C7E62" w:rsidRPr="003C7E62" w:rsidRDefault="003C7E62" w:rsidP="00874A98">
      <w:pPr>
        <w:pStyle w:val="ListParagraph"/>
        <w:numPr>
          <w:ilvl w:val="1"/>
          <w:numId w:val="92"/>
        </w:numPr>
        <w:autoSpaceDE w:val="0"/>
        <w:autoSpaceDN w:val="0"/>
        <w:adjustRightInd w:val="0"/>
        <w:spacing w:after="0" w:line="240" w:lineRule="auto"/>
        <w:ind w:left="851" w:hanging="851"/>
        <w:rPr>
          <w:rFonts w:ascii="Arial" w:hAnsi="Arial" w:cs="Arial"/>
        </w:rPr>
      </w:pPr>
      <w:r w:rsidRPr="003C7E62">
        <w:rPr>
          <w:rFonts w:ascii="Arial" w:hAnsi="Arial" w:cs="Arial"/>
        </w:rPr>
        <w:t xml:space="preserve">It also requires that the Council plans to deliver a mix of housing to meet the needs of current and future generations based on demographic trends and the special needs of specific parts of the community. In doing so, development should offer a wide choice of </w:t>
      </w:r>
      <w:proofErr w:type="gramStart"/>
      <w:r w:rsidRPr="003C7E62">
        <w:rPr>
          <w:rFonts w:ascii="Arial" w:hAnsi="Arial" w:cs="Arial"/>
        </w:rPr>
        <w:t>high quality</w:t>
      </w:r>
      <w:proofErr w:type="gramEnd"/>
      <w:r w:rsidRPr="003C7E62">
        <w:rPr>
          <w:rFonts w:ascii="Arial" w:hAnsi="Arial" w:cs="Arial"/>
        </w:rPr>
        <w:t xml:space="preserve"> homes whilst broadening opportunities for home ownership, and creating sustainable, inclusive and mixed communities.</w:t>
      </w:r>
    </w:p>
    <w:p w14:paraId="09D07808" w14:textId="77777777" w:rsidR="003C7E62" w:rsidRPr="003C7E62" w:rsidRDefault="003C7E62" w:rsidP="003C7E62">
      <w:pPr>
        <w:autoSpaceDE w:val="0"/>
        <w:autoSpaceDN w:val="0"/>
        <w:adjustRightInd w:val="0"/>
        <w:ind w:left="794"/>
        <w:rPr>
          <w:rFonts w:cs="Arial"/>
        </w:rPr>
      </w:pPr>
    </w:p>
    <w:p w14:paraId="22C65BF8" w14:textId="1F7EDBFD" w:rsidR="003C7E62" w:rsidRPr="00B94708" w:rsidRDefault="003C7E62" w:rsidP="00874A98">
      <w:pPr>
        <w:pStyle w:val="ListParagraph"/>
        <w:numPr>
          <w:ilvl w:val="1"/>
          <w:numId w:val="92"/>
        </w:numPr>
        <w:autoSpaceDE w:val="0"/>
        <w:autoSpaceDN w:val="0"/>
        <w:adjustRightInd w:val="0"/>
        <w:spacing w:after="0" w:line="240" w:lineRule="auto"/>
        <w:ind w:left="851" w:hanging="851"/>
        <w:rPr>
          <w:rFonts w:cs="Arial"/>
        </w:rPr>
      </w:pPr>
      <w:r w:rsidRPr="00B94708">
        <w:rPr>
          <w:rFonts w:ascii="Arial" w:hAnsi="Arial" w:cs="Arial"/>
        </w:rPr>
        <w:t xml:space="preserve">Strategic </w:t>
      </w:r>
      <w:r w:rsidR="00EF521C" w:rsidRPr="00B94708">
        <w:rPr>
          <w:rFonts w:ascii="Arial" w:hAnsi="Arial" w:cs="Arial"/>
        </w:rPr>
        <w:t>P</w:t>
      </w:r>
      <w:r w:rsidRPr="00B94708">
        <w:rPr>
          <w:rFonts w:ascii="Arial" w:hAnsi="Arial" w:cs="Arial"/>
        </w:rPr>
        <w:t>olicy S</w:t>
      </w:r>
      <w:r w:rsidR="00B906EC">
        <w:rPr>
          <w:rFonts w:ascii="Arial" w:hAnsi="Arial" w:cs="Arial"/>
        </w:rPr>
        <w:t>7</w:t>
      </w:r>
      <w:r w:rsidRPr="00B94708">
        <w:rPr>
          <w:rFonts w:ascii="Arial" w:hAnsi="Arial" w:cs="Arial"/>
        </w:rPr>
        <w:t xml:space="preserve"> sets out the overarching housing requirements for the </w:t>
      </w:r>
      <w:proofErr w:type="gramStart"/>
      <w:r w:rsidRPr="00B94708">
        <w:rPr>
          <w:rFonts w:ascii="Arial" w:hAnsi="Arial" w:cs="Arial"/>
        </w:rPr>
        <w:t>District</w:t>
      </w:r>
      <w:proofErr w:type="gramEnd"/>
      <w:r w:rsidRPr="00B94708">
        <w:rPr>
          <w:rFonts w:ascii="Arial" w:hAnsi="Arial" w:cs="Arial"/>
        </w:rPr>
        <w:t xml:space="preserve">. This section identifies and allocates </w:t>
      </w:r>
      <w:proofErr w:type="gramStart"/>
      <w:r w:rsidRPr="00B94708">
        <w:rPr>
          <w:rFonts w:ascii="Arial" w:hAnsi="Arial" w:cs="Arial"/>
        </w:rPr>
        <w:t>a number of</w:t>
      </w:r>
      <w:proofErr w:type="gramEnd"/>
      <w:r w:rsidRPr="00B94708">
        <w:rPr>
          <w:rFonts w:ascii="Arial" w:hAnsi="Arial" w:cs="Arial"/>
        </w:rPr>
        <w:t xml:space="preserve"> housing sites that will be developed to ensure that the housing target of </w:t>
      </w:r>
      <w:r w:rsidR="00060199" w:rsidRPr="00B94708">
        <w:rPr>
          <w:rFonts w:ascii="Arial" w:hAnsi="Arial" w:cs="Arial"/>
          <w:color w:val="auto"/>
        </w:rPr>
        <w:t>7,582</w:t>
      </w:r>
      <w:r w:rsidRPr="00B94708">
        <w:rPr>
          <w:rFonts w:ascii="Arial" w:hAnsi="Arial" w:cs="Arial"/>
          <w:color w:val="auto"/>
        </w:rPr>
        <w:t xml:space="preserve"> h</w:t>
      </w:r>
      <w:r w:rsidRPr="00B94708">
        <w:rPr>
          <w:rFonts w:ascii="Arial" w:hAnsi="Arial" w:cs="Arial"/>
        </w:rPr>
        <w:t xml:space="preserve">omes is met during the plan period. </w:t>
      </w:r>
    </w:p>
    <w:p w14:paraId="1A74B784" w14:textId="77777777" w:rsidR="00B94708" w:rsidRPr="00B94708" w:rsidRDefault="00B94708" w:rsidP="00B94708">
      <w:pPr>
        <w:autoSpaceDE w:val="0"/>
        <w:autoSpaceDN w:val="0"/>
        <w:adjustRightInd w:val="0"/>
        <w:rPr>
          <w:rFonts w:cs="Arial"/>
        </w:rPr>
      </w:pPr>
    </w:p>
    <w:p w14:paraId="2EC2F350" w14:textId="3661E0DA" w:rsidR="003C7E62" w:rsidRPr="003C7E62" w:rsidRDefault="003C7E62" w:rsidP="00874A98">
      <w:pPr>
        <w:pStyle w:val="ListParagraph"/>
        <w:numPr>
          <w:ilvl w:val="1"/>
          <w:numId w:val="92"/>
        </w:numPr>
        <w:autoSpaceDE w:val="0"/>
        <w:autoSpaceDN w:val="0"/>
        <w:adjustRightInd w:val="0"/>
        <w:spacing w:after="0" w:line="240" w:lineRule="auto"/>
        <w:ind w:left="851" w:hanging="851"/>
        <w:rPr>
          <w:rFonts w:ascii="Arial" w:hAnsi="Arial" w:cs="Arial"/>
        </w:rPr>
      </w:pPr>
      <w:r w:rsidRPr="003C7E62">
        <w:rPr>
          <w:rFonts w:ascii="Arial" w:hAnsi="Arial" w:cs="Arial"/>
        </w:rPr>
        <w:t xml:space="preserve">This section also sets out </w:t>
      </w:r>
      <w:r w:rsidR="003E5B17" w:rsidRPr="003C7E62">
        <w:rPr>
          <w:rFonts w:ascii="Arial" w:eastAsia="Arial" w:hAnsi="Arial" w:cs="Arial"/>
          <w:szCs w:val="20"/>
          <w:lang w:eastAsia="en-GB"/>
        </w:rPr>
        <w:t>Development Management</w:t>
      </w:r>
      <w:r w:rsidR="003E5B17" w:rsidRPr="003C7E62">
        <w:rPr>
          <w:rFonts w:ascii="Arial" w:hAnsi="Arial" w:cs="Arial"/>
        </w:rPr>
        <w:t xml:space="preserve"> </w:t>
      </w:r>
      <w:r w:rsidRPr="003C7E62">
        <w:rPr>
          <w:rFonts w:ascii="Arial" w:hAnsi="Arial" w:cs="Arial"/>
        </w:rPr>
        <w:t xml:space="preserve">policies to guide </w:t>
      </w:r>
      <w:r w:rsidRPr="003C7E62">
        <w:rPr>
          <w:rFonts w:ascii="Arial" w:eastAsia="Arial" w:hAnsi="Arial" w:cs="Arial"/>
          <w:szCs w:val="20"/>
          <w:lang w:eastAsia="en-GB"/>
        </w:rPr>
        <w:t>decision making in respect of housing, including</w:t>
      </w:r>
      <w:r w:rsidRPr="003C7E62">
        <w:rPr>
          <w:rFonts w:ascii="Arial" w:hAnsi="Arial" w:cs="Arial"/>
        </w:rPr>
        <w:t xml:space="preserve"> the type of homes that should be built, the provision of open space in new developments, and a policy related to the provision of accommodation for gypsies and travellers, and travelling </w:t>
      </w:r>
      <w:proofErr w:type="spellStart"/>
      <w:r w:rsidRPr="003C7E62">
        <w:rPr>
          <w:rFonts w:ascii="Arial" w:hAnsi="Arial" w:cs="Arial"/>
        </w:rPr>
        <w:t>showpeople</w:t>
      </w:r>
      <w:proofErr w:type="spellEnd"/>
      <w:r w:rsidRPr="003C7E62">
        <w:rPr>
          <w:rFonts w:ascii="Arial" w:hAnsi="Arial" w:cs="Arial"/>
        </w:rPr>
        <w:t xml:space="preserve">. </w:t>
      </w:r>
    </w:p>
    <w:p w14:paraId="5B280D33" w14:textId="29836EE1" w:rsidR="00263F59" w:rsidRDefault="00263F59" w:rsidP="00263F59">
      <w:pPr>
        <w:spacing w:before="0"/>
        <w:rPr>
          <w:rFonts w:eastAsia="Arial"/>
        </w:rPr>
      </w:pPr>
    </w:p>
    <w:p w14:paraId="5869CAAA" w14:textId="77777777" w:rsidR="00263F59" w:rsidRPr="00263F59" w:rsidRDefault="00263F59" w:rsidP="00263F59">
      <w:pPr>
        <w:spacing w:before="0"/>
        <w:rPr>
          <w:rFonts w:eastAsia="Arial"/>
        </w:rPr>
      </w:pPr>
    </w:p>
    <w:p w14:paraId="26690646" w14:textId="77777777" w:rsidR="001770A9" w:rsidRDefault="001770A9">
      <w:pPr>
        <w:keepNext w:val="0"/>
        <w:spacing w:before="0"/>
        <w:rPr>
          <w:rStyle w:val="Heading10"/>
          <w:rFonts w:cs="Arial"/>
          <w:bCs/>
          <w:iCs/>
          <w:color w:val="auto"/>
          <w:sz w:val="28"/>
          <w:szCs w:val="28"/>
          <w:lang w:eastAsia="en-US"/>
        </w:rPr>
      </w:pPr>
      <w:bookmarkStart w:id="193" w:name="_Toc145511587"/>
      <w:bookmarkStart w:id="194" w:name="_Hlk79140229"/>
      <w:r>
        <w:rPr>
          <w:rStyle w:val="Heading10"/>
          <w:b w:val="0"/>
          <w:color w:val="auto"/>
          <w:sz w:val="28"/>
        </w:rPr>
        <w:br w:type="page"/>
      </w:r>
    </w:p>
    <w:p w14:paraId="15374FAB" w14:textId="6F79957E" w:rsidR="003C7E62" w:rsidRPr="00995322" w:rsidRDefault="003C7E62" w:rsidP="00995322">
      <w:pPr>
        <w:pStyle w:val="Heading2"/>
        <w:jc w:val="left"/>
        <w:rPr>
          <w:rStyle w:val="Heading10"/>
          <w:b/>
          <w:bCs/>
          <w:color w:val="auto"/>
          <w:sz w:val="28"/>
          <w:szCs w:val="28"/>
        </w:rPr>
      </w:pPr>
      <w:r w:rsidRPr="00995322">
        <w:rPr>
          <w:rStyle w:val="Heading10"/>
          <w:b/>
          <w:color w:val="auto"/>
          <w:sz w:val="28"/>
          <w:szCs w:val="28"/>
        </w:rPr>
        <w:lastRenderedPageBreak/>
        <w:t xml:space="preserve">Policy H1: </w:t>
      </w:r>
      <w:bookmarkStart w:id="195" w:name="_Hlk142997969"/>
      <w:r w:rsidRPr="00995322">
        <w:rPr>
          <w:rFonts w:eastAsia="Arial"/>
          <w:sz w:val="28"/>
          <w:szCs w:val="28"/>
        </w:rPr>
        <w:t xml:space="preserve">Housing </w:t>
      </w:r>
      <w:r w:rsidR="003E2B7C" w:rsidRPr="00995322">
        <w:rPr>
          <w:rFonts w:eastAsia="Arial"/>
          <w:sz w:val="28"/>
          <w:szCs w:val="28"/>
        </w:rPr>
        <w:t xml:space="preserve">Site </w:t>
      </w:r>
      <w:r w:rsidRPr="00995322">
        <w:rPr>
          <w:rFonts w:eastAsia="Arial"/>
          <w:sz w:val="28"/>
          <w:szCs w:val="28"/>
        </w:rPr>
        <w:t>Allocations</w:t>
      </w:r>
      <w:bookmarkEnd w:id="193"/>
      <w:r w:rsidRPr="00995322">
        <w:rPr>
          <w:rFonts w:eastAsia="Arial"/>
          <w:sz w:val="28"/>
          <w:szCs w:val="28"/>
        </w:rPr>
        <w:t xml:space="preserve"> </w:t>
      </w:r>
    </w:p>
    <w:p w14:paraId="05F81CB4" w14:textId="77777777" w:rsidR="003C7E62" w:rsidRPr="003C7E62" w:rsidRDefault="003C7E62" w:rsidP="00AA1FAA">
      <w:pPr>
        <w:pStyle w:val="Heading2"/>
        <w:jc w:val="left"/>
        <w:rPr>
          <w:rFonts w:eastAsia="Arial" w:cs="Arial"/>
        </w:rPr>
      </w:pPr>
    </w:p>
    <w:p w14:paraId="5773D13D" w14:textId="6C6F9DB6" w:rsidR="003C7E62" w:rsidRPr="002D2782" w:rsidRDefault="003C7E62" w:rsidP="00874A98">
      <w:pPr>
        <w:pStyle w:val="ListParagraph"/>
        <w:numPr>
          <w:ilvl w:val="1"/>
          <w:numId w:val="92"/>
        </w:numPr>
        <w:autoSpaceDE w:val="0"/>
        <w:autoSpaceDN w:val="0"/>
        <w:adjustRightInd w:val="0"/>
        <w:spacing w:after="0" w:line="240" w:lineRule="auto"/>
        <w:ind w:left="851" w:hanging="851"/>
        <w:rPr>
          <w:rFonts w:ascii="Arial" w:eastAsia="Arial" w:hAnsi="Arial" w:cs="Arial"/>
          <w:strike/>
          <w:spacing w:val="-1"/>
          <w:szCs w:val="24"/>
        </w:rPr>
      </w:pPr>
      <w:bookmarkStart w:id="196" w:name="_Hlk81376252"/>
      <w:bookmarkEnd w:id="195"/>
      <w:r w:rsidRPr="003C7E62">
        <w:rPr>
          <w:rStyle w:val="Normal1"/>
          <w:rFonts w:cs="Arial"/>
          <w:szCs w:val="24"/>
        </w:rPr>
        <w:t xml:space="preserve">Policy H1 </w:t>
      </w:r>
      <w:r w:rsidRPr="003C7E62">
        <w:rPr>
          <w:rFonts w:ascii="Arial" w:eastAsia="Arial" w:hAnsi="Arial" w:cs="Arial"/>
          <w:szCs w:val="24"/>
        </w:rPr>
        <w:t>allocates large housing sites (</w:t>
      </w:r>
      <w:r w:rsidRPr="003C7E62">
        <w:rPr>
          <w:rFonts w:ascii="Arial" w:eastAsia="Arial" w:hAnsi="Arial" w:cs="Arial"/>
          <w:szCs w:val="24"/>
          <w:shd w:val="clear" w:color="auto" w:fill="FFFFFF"/>
        </w:rPr>
        <w:t>those</w:t>
      </w:r>
      <w:r w:rsidRPr="003C7E62">
        <w:rPr>
          <w:rFonts w:ascii="Arial" w:eastAsia="Arial" w:hAnsi="Arial" w:cs="Arial"/>
          <w:szCs w:val="24"/>
        </w:rPr>
        <w:t xml:space="preserve"> capable of accommodating ten or more dwellings) which will contribute towards providing the assessed housing need identified in Strategic Policy </w:t>
      </w:r>
      <w:r w:rsidRPr="00545D27">
        <w:rPr>
          <w:rFonts w:ascii="Arial" w:eastAsia="Arial" w:hAnsi="Arial" w:cs="Arial"/>
          <w:szCs w:val="24"/>
        </w:rPr>
        <w:t>S</w:t>
      </w:r>
      <w:r w:rsidR="00B906EC">
        <w:rPr>
          <w:rFonts w:ascii="Arial" w:eastAsia="Arial" w:hAnsi="Arial" w:cs="Arial"/>
          <w:szCs w:val="24"/>
        </w:rPr>
        <w:t>7</w:t>
      </w:r>
      <w:bookmarkEnd w:id="196"/>
      <w:r w:rsidRPr="003C7E62">
        <w:rPr>
          <w:rFonts w:ascii="Arial" w:eastAsia="Arial" w:hAnsi="Arial" w:cs="Arial"/>
          <w:szCs w:val="24"/>
        </w:rPr>
        <w:t xml:space="preserve">. </w:t>
      </w:r>
    </w:p>
    <w:p w14:paraId="418382D2" w14:textId="77777777" w:rsidR="002D2782" w:rsidRPr="002D2782" w:rsidRDefault="002D2782" w:rsidP="002D2782">
      <w:pPr>
        <w:pStyle w:val="ListParagraph"/>
        <w:autoSpaceDE w:val="0"/>
        <w:autoSpaceDN w:val="0"/>
        <w:adjustRightInd w:val="0"/>
        <w:spacing w:after="0" w:line="240" w:lineRule="auto"/>
        <w:ind w:left="851"/>
        <w:rPr>
          <w:rFonts w:ascii="Arial" w:eastAsia="Arial" w:hAnsi="Arial" w:cs="Arial"/>
          <w:strike/>
          <w:spacing w:val="-1"/>
          <w:szCs w:val="24"/>
        </w:rPr>
      </w:pPr>
    </w:p>
    <w:p w14:paraId="0B2B3F3D" w14:textId="7646F86F" w:rsidR="002D2782" w:rsidRPr="00520712" w:rsidRDefault="002D2782" w:rsidP="00874A98">
      <w:pPr>
        <w:pStyle w:val="ListParagraph"/>
        <w:numPr>
          <w:ilvl w:val="1"/>
          <w:numId w:val="92"/>
        </w:numPr>
        <w:ind w:left="851" w:hanging="851"/>
        <w:rPr>
          <w:rFonts w:ascii="Arial" w:eastAsia="Arial" w:hAnsi="Arial" w:cs="Arial"/>
          <w:color w:val="0070C0"/>
          <w:spacing w:val="-1"/>
          <w:szCs w:val="24"/>
        </w:rPr>
      </w:pPr>
      <w:r w:rsidRPr="001012CC">
        <w:rPr>
          <w:rFonts w:ascii="Arial" w:eastAsia="Arial" w:hAnsi="Arial" w:cs="Arial"/>
          <w:color w:val="auto"/>
          <w:spacing w:val="-1"/>
          <w:szCs w:val="24"/>
        </w:rPr>
        <w:t xml:space="preserve">Where appropriate, concise </w:t>
      </w:r>
      <w:r w:rsidR="00B87CB2" w:rsidRPr="001012CC">
        <w:rPr>
          <w:rFonts w:ascii="Arial" w:eastAsia="Arial" w:hAnsi="Arial" w:cs="Arial"/>
          <w:color w:val="auto"/>
          <w:spacing w:val="-1"/>
          <w:szCs w:val="24"/>
        </w:rPr>
        <w:t>Masterplans</w:t>
      </w:r>
      <w:r w:rsidRPr="001012CC">
        <w:rPr>
          <w:rFonts w:ascii="Arial" w:eastAsia="Arial" w:hAnsi="Arial" w:cs="Arial"/>
          <w:color w:val="auto"/>
          <w:spacing w:val="-1"/>
          <w:szCs w:val="24"/>
        </w:rPr>
        <w:t xml:space="preserve"> </w:t>
      </w:r>
      <w:r w:rsidR="00DB3B75" w:rsidRPr="00DB3B75">
        <w:rPr>
          <w:rFonts w:ascii="Arial" w:eastAsia="Arial" w:hAnsi="Arial" w:cs="Arial"/>
          <w:color w:val="0070C0"/>
          <w:spacing w:val="-1"/>
          <w:szCs w:val="24"/>
        </w:rPr>
        <w:t xml:space="preserve">have been prepared </w:t>
      </w:r>
      <w:r w:rsidRPr="00DB3B75">
        <w:rPr>
          <w:rFonts w:ascii="Arial" w:eastAsia="Arial" w:hAnsi="Arial" w:cs="Arial"/>
          <w:strike/>
          <w:color w:val="auto"/>
          <w:spacing w:val="-1"/>
          <w:szCs w:val="24"/>
        </w:rPr>
        <w:t>will be available</w:t>
      </w:r>
      <w:r w:rsidRPr="001012CC">
        <w:rPr>
          <w:rFonts w:ascii="Arial" w:eastAsia="Arial" w:hAnsi="Arial" w:cs="Arial"/>
          <w:color w:val="auto"/>
          <w:spacing w:val="-1"/>
          <w:szCs w:val="24"/>
        </w:rPr>
        <w:t xml:space="preserve"> for </w:t>
      </w:r>
      <w:r w:rsidR="00DB3B75">
        <w:rPr>
          <w:rFonts w:ascii="Arial" w:eastAsia="Arial" w:hAnsi="Arial" w:cs="Arial"/>
          <w:color w:val="0070C0"/>
          <w:spacing w:val="-1"/>
          <w:szCs w:val="24"/>
        </w:rPr>
        <w:t xml:space="preserve">the </w:t>
      </w:r>
      <w:r w:rsidRPr="001012CC">
        <w:rPr>
          <w:rFonts w:ascii="Arial" w:eastAsia="Arial" w:hAnsi="Arial" w:cs="Arial"/>
          <w:color w:val="auto"/>
          <w:spacing w:val="-1"/>
          <w:szCs w:val="24"/>
        </w:rPr>
        <w:t>larger housing allocations which currently do not have the benefit of planning permission. The</w:t>
      </w:r>
      <w:r w:rsidR="00DB3B75">
        <w:rPr>
          <w:rFonts w:ascii="Arial" w:eastAsia="Arial" w:hAnsi="Arial" w:cs="Arial"/>
          <w:color w:val="auto"/>
          <w:spacing w:val="-1"/>
          <w:szCs w:val="24"/>
        </w:rPr>
        <w:t xml:space="preserve"> </w:t>
      </w:r>
      <w:r w:rsidR="00DB3B75">
        <w:rPr>
          <w:rFonts w:ascii="Arial" w:eastAsia="Arial" w:hAnsi="Arial" w:cs="Arial"/>
          <w:color w:val="0070C0"/>
          <w:spacing w:val="-1"/>
          <w:szCs w:val="24"/>
        </w:rPr>
        <w:t xml:space="preserve">Masterplans </w:t>
      </w:r>
      <w:r w:rsidRPr="00DB3B75">
        <w:rPr>
          <w:rFonts w:ascii="Arial" w:eastAsia="Arial" w:hAnsi="Arial" w:cs="Arial"/>
          <w:strike/>
          <w:color w:val="auto"/>
          <w:spacing w:val="-1"/>
          <w:szCs w:val="24"/>
        </w:rPr>
        <w:t>will</w:t>
      </w:r>
      <w:r w:rsidRPr="001012CC">
        <w:rPr>
          <w:rFonts w:ascii="Arial" w:eastAsia="Arial" w:hAnsi="Arial" w:cs="Arial"/>
          <w:color w:val="auto"/>
          <w:spacing w:val="-1"/>
          <w:szCs w:val="24"/>
        </w:rPr>
        <w:t xml:space="preserve"> set out essential requirements expected by the Council and provide more detailed advice and guidance specific to that site.</w:t>
      </w:r>
      <w:r w:rsidR="00520712">
        <w:rPr>
          <w:rFonts w:ascii="Arial" w:eastAsia="Arial" w:hAnsi="Arial" w:cs="Arial"/>
          <w:color w:val="auto"/>
          <w:spacing w:val="-1"/>
          <w:szCs w:val="24"/>
        </w:rPr>
        <w:t xml:space="preserve"> </w:t>
      </w:r>
      <w:r w:rsidR="00520712" w:rsidRPr="00520712">
        <w:rPr>
          <w:rFonts w:ascii="Arial" w:eastAsia="Arial" w:hAnsi="Arial" w:cs="Arial"/>
          <w:color w:val="0070C0"/>
          <w:spacing w:val="-1"/>
          <w:szCs w:val="24"/>
        </w:rPr>
        <w:t>The Masterplans are listed in Appendix 11.</w:t>
      </w:r>
    </w:p>
    <w:p w14:paraId="47F0F0D0" w14:textId="23B85D39" w:rsidR="00DA5747" w:rsidRDefault="00DA5747" w:rsidP="00DA5747">
      <w:pPr>
        <w:pStyle w:val="ListParagraph"/>
        <w:autoSpaceDE w:val="0"/>
        <w:autoSpaceDN w:val="0"/>
        <w:adjustRightInd w:val="0"/>
        <w:spacing w:after="0" w:line="240" w:lineRule="auto"/>
        <w:ind w:left="851"/>
        <w:rPr>
          <w:rFonts w:ascii="Arial" w:eastAsia="Arial" w:hAnsi="Arial" w:cs="Arial"/>
          <w:spacing w:val="-1"/>
          <w:szCs w:val="24"/>
        </w:rPr>
      </w:pPr>
    </w:p>
    <w:tbl>
      <w:tblPr>
        <w:tblStyle w:val="ReportTable1"/>
        <w:tblW w:w="0" w:type="auto"/>
        <w:tblLook w:val="04A0" w:firstRow="1" w:lastRow="0" w:firstColumn="1" w:lastColumn="0" w:noHBand="0" w:noVBand="1"/>
      </w:tblPr>
      <w:tblGrid>
        <w:gridCol w:w="2858"/>
        <w:gridCol w:w="446"/>
        <w:gridCol w:w="6325"/>
      </w:tblGrid>
      <w:tr w:rsidR="003C7E62" w:rsidRPr="003736C4" w14:paraId="536CA8F8" w14:textId="77777777" w:rsidTr="000339D2">
        <w:tc>
          <w:tcPr>
            <w:tcW w:w="9488" w:type="dxa"/>
            <w:gridSpan w:val="3"/>
          </w:tcPr>
          <w:p w14:paraId="112F0201" w14:textId="77777777" w:rsidR="003C7E62" w:rsidRPr="004D5B4D" w:rsidRDefault="003C7E62" w:rsidP="008B5F49">
            <w:pPr>
              <w:pStyle w:val="Heading"/>
              <w:spacing w:before="120" w:after="120"/>
              <w:rPr>
                <w:rStyle w:val="Heading10"/>
                <w:rFonts w:cs="Arial"/>
                <w:b/>
                <w:color w:val="000000" w:themeColor="text1"/>
              </w:rPr>
            </w:pPr>
            <w:bookmarkStart w:id="197" w:name="_Hlk81376449"/>
            <w:bookmarkStart w:id="198" w:name="_Hlk115097390"/>
            <w:r w:rsidRPr="004D5B4D">
              <w:rPr>
                <w:rStyle w:val="Heading10"/>
                <w:rFonts w:cs="Arial"/>
                <w:b/>
                <w:color w:val="000000" w:themeColor="text1"/>
              </w:rPr>
              <w:t>Policy H1:  Housing Allocations</w:t>
            </w:r>
          </w:p>
        </w:tc>
      </w:tr>
      <w:tr w:rsidR="003C7E62" w:rsidRPr="003736C4" w14:paraId="5B116FFA" w14:textId="77777777" w:rsidTr="000339D2">
        <w:tc>
          <w:tcPr>
            <w:tcW w:w="2660" w:type="dxa"/>
            <w:gridSpan w:val="2"/>
          </w:tcPr>
          <w:p w14:paraId="0A9B0C50" w14:textId="77777777" w:rsidR="003C7E62" w:rsidRPr="004D5B4D" w:rsidRDefault="003C7E62" w:rsidP="008B5F49">
            <w:pPr>
              <w:pStyle w:val="Heading"/>
              <w:spacing w:before="40" w:after="40"/>
              <w:rPr>
                <w:rStyle w:val="Heading10"/>
                <w:rFonts w:cs="Arial"/>
                <w:bCs/>
                <w:color w:val="000000" w:themeColor="text1"/>
              </w:rPr>
            </w:pPr>
            <w:r w:rsidRPr="004D5B4D">
              <w:rPr>
                <w:rStyle w:val="Heading10"/>
                <w:rFonts w:cs="Arial"/>
                <w:bCs/>
                <w:color w:val="000000" w:themeColor="text1"/>
              </w:rPr>
              <w:t>Strategic Objectives</w:t>
            </w:r>
          </w:p>
        </w:tc>
        <w:tc>
          <w:tcPr>
            <w:tcW w:w="6828" w:type="dxa"/>
          </w:tcPr>
          <w:p w14:paraId="793400D9" w14:textId="42D77B6C" w:rsidR="003C7E62" w:rsidRPr="004D5B4D" w:rsidRDefault="003C7E62" w:rsidP="008B5F49">
            <w:pPr>
              <w:pStyle w:val="Heading"/>
              <w:spacing w:before="40" w:after="40"/>
              <w:rPr>
                <w:rStyle w:val="Heading10"/>
                <w:rFonts w:cs="Arial"/>
                <w:bCs/>
                <w:color w:val="000000" w:themeColor="text1"/>
              </w:rPr>
            </w:pPr>
            <w:r w:rsidRPr="004D5B4D">
              <w:rPr>
                <w:rStyle w:val="Heading10"/>
                <w:rFonts w:cs="Arial"/>
                <w:bCs/>
                <w:color w:val="000000" w:themeColor="text1"/>
              </w:rPr>
              <w:t>SO3, SO5, SO11, SO12, SO13</w:t>
            </w:r>
          </w:p>
        </w:tc>
      </w:tr>
      <w:tr w:rsidR="003C7E62" w:rsidRPr="003736C4" w14:paraId="3B54BC38" w14:textId="77777777" w:rsidTr="006E25C7">
        <w:trPr>
          <w:trHeight w:val="1190"/>
        </w:trPr>
        <w:tc>
          <w:tcPr>
            <w:tcW w:w="9488" w:type="dxa"/>
            <w:gridSpan w:val="3"/>
            <w:shd w:val="clear" w:color="auto" w:fill="FFCC99"/>
          </w:tcPr>
          <w:p w14:paraId="4701C06F" w14:textId="77777777" w:rsidR="003C7E62" w:rsidRPr="003736C4" w:rsidRDefault="003C7E62" w:rsidP="008B5F49">
            <w:pPr>
              <w:pStyle w:val="Policy"/>
              <w:spacing w:after="0" w:line="240" w:lineRule="auto"/>
              <w:ind w:left="0" w:right="284"/>
              <w:rPr>
                <w:rStyle w:val="Normal1"/>
                <w:rFonts w:cs="Arial"/>
                <w:b/>
                <w:highlight w:val="yellow"/>
              </w:rPr>
            </w:pPr>
          </w:p>
          <w:p w14:paraId="29402A68" w14:textId="77777777" w:rsidR="003C7E62" w:rsidRPr="004D5B4D" w:rsidRDefault="003C7E62" w:rsidP="00BF07B5">
            <w:pPr>
              <w:pStyle w:val="Policy"/>
              <w:spacing w:after="0" w:line="240" w:lineRule="auto"/>
              <w:ind w:left="306" w:right="284"/>
              <w:rPr>
                <w:rStyle w:val="Normal1"/>
                <w:rFonts w:cs="Arial"/>
                <w:bCs/>
              </w:rPr>
            </w:pPr>
            <w:r w:rsidRPr="004D5B4D">
              <w:rPr>
                <w:rStyle w:val="Normal1"/>
                <w:rFonts w:cs="Arial"/>
                <w:bCs/>
              </w:rPr>
              <w:t>Residential development will be permitted on the sites listed below as shown on the Policies Map, subject to detailed planning consent where it has not already been granted, or where it has lapsed.</w:t>
            </w:r>
          </w:p>
          <w:p w14:paraId="1DA7A795" w14:textId="77777777" w:rsidR="003C7E62" w:rsidRPr="004D5B4D" w:rsidRDefault="003C7E62" w:rsidP="00BF07B5">
            <w:pPr>
              <w:pStyle w:val="Policy"/>
              <w:spacing w:after="0" w:line="240" w:lineRule="auto"/>
              <w:ind w:left="306" w:right="284"/>
              <w:rPr>
                <w:rStyle w:val="Normal1"/>
                <w:rFonts w:cs="Arial"/>
                <w:bCs/>
              </w:rPr>
            </w:pPr>
          </w:p>
          <w:p w14:paraId="43D4C3C3" w14:textId="77777777" w:rsidR="003C7E62" w:rsidRPr="004D5B4D" w:rsidRDefault="003C7E62" w:rsidP="001770A9">
            <w:pPr>
              <w:pStyle w:val="Policy"/>
              <w:spacing w:after="0" w:line="240" w:lineRule="auto"/>
              <w:ind w:left="447" w:right="284" w:hanging="134"/>
              <w:rPr>
                <w:rStyle w:val="Normal1"/>
                <w:rFonts w:cs="Arial"/>
                <w:bCs/>
                <w:u w:val="single"/>
              </w:rPr>
            </w:pPr>
            <w:r w:rsidRPr="004D5B4D">
              <w:rPr>
                <w:rStyle w:val="Normal1"/>
                <w:rFonts w:cs="Arial"/>
                <w:bCs/>
                <w:u w:val="single"/>
              </w:rPr>
              <w:t>Hucknall Area</w:t>
            </w:r>
          </w:p>
          <w:p w14:paraId="1FA1338E" w14:textId="77777777" w:rsidR="003C7E62" w:rsidRPr="003736C4" w:rsidRDefault="003C7E62" w:rsidP="008B5F49">
            <w:pPr>
              <w:pStyle w:val="Policy"/>
              <w:spacing w:after="0" w:line="240" w:lineRule="auto"/>
              <w:ind w:left="0" w:right="284"/>
              <w:rPr>
                <w:rStyle w:val="Normal1"/>
                <w:rFonts w:cs="Arial"/>
                <w:b/>
                <w:highlight w:val="yellow"/>
              </w:rPr>
            </w:pPr>
          </w:p>
          <w:tbl>
            <w:tblPr>
              <w:tblW w:w="8700" w:type="dxa"/>
              <w:jc w:val="center"/>
              <w:tblLook w:val="04A0" w:firstRow="1" w:lastRow="0" w:firstColumn="1" w:lastColumn="0" w:noHBand="0" w:noVBand="1"/>
            </w:tblPr>
            <w:tblGrid>
              <w:gridCol w:w="779"/>
              <w:gridCol w:w="3557"/>
              <w:gridCol w:w="1460"/>
              <w:gridCol w:w="1600"/>
              <w:gridCol w:w="1304"/>
            </w:tblGrid>
            <w:tr w:rsidR="006E25C7" w:rsidRPr="004D5B4D" w14:paraId="4773D4C3" w14:textId="77777777" w:rsidTr="00642E60">
              <w:trPr>
                <w:trHeight w:val="840"/>
                <w:jc w:val="center"/>
              </w:trPr>
              <w:tc>
                <w:tcPr>
                  <w:tcW w:w="760" w:type="dxa"/>
                  <w:tcBorders>
                    <w:top w:val="single" w:sz="4" w:space="0" w:color="auto"/>
                    <w:left w:val="single" w:sz="4" w:space="0" w:color="auto"/>
                    <w:bottom w:val="single" w:sz="4" w:space="0" w:color="auto"/>
                    <w:right w:val="single" w:sz="4" w:space="0" w:color="auto"/>
                  </w:tcBorders>
                  <w:shd w:val="clear" w:color="000000" w:fill="D9D9D9"/>
                  <w:hideMark/>
                </w:tcPr>
                <w:p w14:paraId="1D79C16D"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Site Ref.</w:t>
                  </w:r>
                </w:p>
              </w:tc>
              <w:tc>
                <w:tcPr>
                  <w:tcW w:w="3660" w:type="dxa"/>
                  <w:tcBorders>
                    <w:top w:val="single" w:sz="4" w:space="0" w:color="auto"/>
                    <w:left w:val="nil"/>
                    <w:bottom w:val="single" w:sz="4" w:space="0" w:color="auto"/>
                    <w:right w:val="single" w:sz="4" w:space="0" w:color="auto"/>
                  </w:tcBorders>
                  <w:shd w:val="clear" w:color="000000" w:fill="D9D9D9"/>
                  <w:hideMark/>
                </w:tcPr>
                <w:p w14:paraId="62FE2A6B"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4BAE3113"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749D7673"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Planning Permission*</w:t>
                  </w:r>
                </w:p>
              </w:tc>
              <w:tc>
                <w:tcPr>
                  <w:tcW w:w="1220" w:type="dxa"/>
                  <w:tcBorders>
                    <w:top w:val="single" w:sz="4" w:space="0" w:color="auto"/>
                    <w:left w:val="nil"/>
                    <w:bottom w:val="single" w:sz="4" w:space="0" w:color="auto"/>
                    <w:right w:val="single" w:sz="4" w:space="0" w:color="auto"/>
                  </w:tcBorders>
                  <w:shd w:val="clear" w:color="000000" w:fill="D9D9D9"/>
                  <w:hideMark/>
                </w:tcPr>
                <w:p w14:paraId="57D5FDBB"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Potential Yield (Dwellings)</w:t>
                  </w:r>
                </w:p>
              </w:tc>
            </w:tr>
            <w:tr w:rsidR="006E25C7" w:rsidRPr="004D5B4D" w14:paraId="3ED1C17A"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41B610E9"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H1Ha</w:t>
                  </w:r>
                </w:p>
              </w:tc>
              <w:tc>
                <w:tcPr>
                  <w:tcW w:w="3660" w:type="dxa"/>
                  <w:tcBorders>
                    <w:top w:val="nil"/>
                    <w:left w:val="nil"/>
                    <w:bottom w:val="single" w:sz="4" w:space="0" w:color="auto"/>
                    <w:right w:val="single" w:sz="4" w:space="0" w:color="auto"/>
                  </w:tcBorders>
                  <w:hideMark/>
                </w:tcPr>
                <w:p w14:paraId="00B38CD8"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Seven Stars PH, West Street / Ogle Street, Hucknall</w:t>
                  </w:r>
                </w:p>
              </w:tc>
              <w:tc>
                <w:tcPr>
                  <w:tcW w:w="1460" w:type="dxa"/>
                  <w:tcBorders>
                    <w:top w:val="nil"/>
                    <w:left w:val="nil"/>
                    <w:bottom w:val="single" w:sz="4" w:space="0" w:color="auto"/>
                    <w:right w:val="single" w:sz="4" w:space="0" w:color="auto"/>
                  </w:tcBorders>
                  <w:noWrap/>
                  <w:hideMark/>
                </w:tcPr>
                <w:p w14:paraId="032EF7EA"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3BE97D63"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077C18D8"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28</w:t>
                  </w:r>
                </w:p>
              </w:tc>
            </w:tr>
            <w:tr w:rsidR="006E25C7" w:rsidRPr="004D5B4D" w14:paraId="30F58F6D"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0FF84934"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H1Hb</w:t>
                  </w:r>
                </w:p>
              </w:tc>
              <w:tc>
                <w:tcPr>
                  <w:tcW w:w="3660" w:type="dxa"/>
                  <w:tcBorders>
                    <w:top w:val="nil"/>
                    <w:left w:val="nil"/>
                    <w:bottom w:val="single" w:sz="4" w:space="0" w:color="auto"/>
                    <w:right w:val="single" w:sz="4" w:space="0" w:color="auto"/>
                  </w:tcBorders>
                  <w:hideMark/>
                </w:tcPr>
                <w:p w14:paraId="431D083D" w14:textId="77777777" w:rsidR="00642E60" w:rsidRPr="004D5B4D" w:rsidRDefault="00642E60" w:rsidP="00642E60">
                  <w:pPr>
                    <w:keepNext w:val="0"/>
                    <w:spacing w:before="0"/>
                    <w:rPr>
                      <w:rFonts w:cs="Arial"/>
                      <w:strike/>
                      <w:color w:val="auto"/>
                      <w:sz w:val="22"/>
                      <w:szCs w:val="22"/>
                    </w:rPr>
                  </w:pPr>
                  <w:proofErr w:type="spellStart"/>
                  <w:r w:rsidRPr="004D5B4D">
                    <w:rPr>
                      <w:rFonts w:cs="Arial"/>
                      <w:strike/>
                      <w:color w:val="auto"/>
                      <w:sz w:val="22"/>
                      <w:szCs w:val="22"/>
                    </w:rPr>
                    <w:t>Linby</w:t>
                  </w:r>
                  <w:proofErr w:type="spellEnd"/>
                  <w:r w:rsidRPr="004D5B4D">
                    <w:rPr>
                      <w:rFonts w:cs="Arial"/>
                      <w:strike/>
                      <w:color w:val="auto"/>
                      <w:sz w:val="22"/>
                      <w:szCs w:val="22"/>
                    </w:rPr>
                    <w:t xml:space="preserve"> Boarding Kennels, East of Church Lane, Hucknall</w:t>
                  </w:r>
                </w:p>
              </w:tc>
              <w:tc>
                <w:tcPr>
                  <w:tcW w:w="1460" w:type="dxa"/>
                  <w:tcBorders>
                    <w:top w:val="nil"/>
                    <w:left w:val="nil"/>
                    <w:bottom w:val="single" w:sz="4" w:space="0" w:color="auto"/>
                    <w:right w:val="single" w:sz="4" w:space="0" w:color="auto"/>
                  </w:tcBorders>
                  <w:noWrap/>
                  <w:hideMark/>
                </w:tcPr>
                <w:p w14:paraId="4BD1D66A"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G/B</w:t>
                  </w:r>
                </w:p>
              </w:tc>
              <w:tc>
                <w:tcPr>
                  <w:tcW w:w="1600" w:type="dxa"/>
                  <w:tcBorders>
                    <w:top w:val="nil"/>
                    <w:left w:val="nil"/>
                    <w:bottom w:val="single" w:sz="4" w:space="0" w:color="auto"/>
                    <w:right w:val="single" w:sz="4" w:space="0" w:color="auto"/>
                  </w:tcBorders>
                  <w:noWrap/>
                  <w:hideMark/>
                </w:tcPr>
                <w:p w14:paraId="4C1B7A92"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Part</w:t>
                  </w:r>
                </w:p>
              </w:tc>
              <w:tc>
                <w:tcPr>
                  <w:tcW w:w="1220" w:type="dxa"/>
                  <w:tcBorders>
                    <w:top w:val="nil"/>
                    <w:left w:val="nil"/>
                    <w:bottom w:val="single" w:sz="4" w:space="0" w:color="auto"/>
                    <w:right w:val="single" w:sz="4" w:space="0" w:color="auto"/>
                  </w:tcBorders>
                  <w:noWrap/>
                  <w:hideMark/>
                </w:tcPr>
                <w:p w14:paraId="553A199D"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43</w:t>
                  </w:r>
                </w:p>
              </w:tc>
            </w:tr>
            <w:tr w:rsidR="006E25C7" w:rsidRPr="004D5B4D" w14:paraId="13957FCB"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578C17F2"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H1Hc</w:t>
                  </w:r>
                </w:p>
              </w:tc>
              <w:tc>
                <w:tcPr>
                  <w:tcW w:w="3660" w:type="dxa"/>
                  <w:tcBorders>
                    <w:top w:val="nil"/>
                    <w:left w:val="nil"/>
                    <w:bottom w:val="single" w:sz="4" w:space="0" w:color="auto"/>
                    <w:right w:val="single" w:sz="4" w:space="0" w:color="auto"/>
                  </w:tcBorders>
                  <w:hideMark/>
                </w:tcPr>
                <w:p w14:paraId="347F8677"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Land north of A611 / South of Broomhill Farm, Hucknall</w:t>
                  </w:r>
                </w:p>
              </w:tc>
              <w:tc>
                <w:tcPr>
                  <w:tcW w:w="1460" w:type="dxa"/>
                  <w:tcBorders>
                    <w:top w:val="nil"/>
                    <w:left w:val="nil"/>
                    <w:bottom w:val="single" w:sz="4" w:space="0" w:color="auto"/>
                    <w:right w:val="single" w:sz="4" w:space="0" w:color="auto"/>
                  </w:tcBorders>
                  <w:noWrap/>
                  <w:hideMark/>
                </w:tcPr>
                <w:p w14:paraId="1B565E1F"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5B658B66"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61A1B479" w14:textId="08540695" w:rsidR="00642E60" w:rsidRPr="004D5B4D" w:rsidRDefault="00582E38" w:rsidP="00642E60">
                  <w:pPr>
                    <w:keepNext w:val="0"/>
                    <w:spacing w:before="0"/>
                    <w:jc w:val="right"/>
                    <w:rPr>
                      <w:rFonts w:cs="Arial"/>
                      <w:strike/>
                      <w:color w:val="auto"/>
                      <w:sz w:val="22"/>
                      <w:szCs w:val="22"/>
                    </w:rPr>
                  </w:pPr>
                  <w:r w:rsidRPr="004D5B4D">
                    <w:rPr>
                      <w:rFonts w:cs="Arial"/>
                      <w:strike/>
                      <w:color w:val="auto"/>
                      <w:sz w:val="22"/>
                      <w:szCs w:val="22"/>
                    </w:rPr>
                    <w:t>499</w:t>
                  </w:r>
                </w:p>
              </w:tc>
            </w:tr>
            <w:tr w:rsidR="006E25C7" w:rsidRPr="004D5B4D" w14:paraId="13DD64DD"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69544F8F"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H1Hd</w:t>
                  </w:r>
                </w:p>
              </w:tc>
              <w:tc>
                <w:tcPr>
                  <w:tcW w:w="3660" w:type="dxa"/>
                  <w:tcBorders>
                    <w:top w:val="nil"/>
                    <w:left w:val="nil"/>
                    <w:bottom w:val="single" w:sz="4" w:space="0" w:color="auto"/>
                    <w:right w:val="single" w:sz="4" w:space="0" w:color="auto"/>
                  </w:tcBorders>
                  <w:hideMark/>
                </w:tcPr>
                <w:p w14:paraId="627CFF5B"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 xml:space="preserve">Land adjoining Stubbing Wood Farm, </w:t>
                  </w:r>
                  <w:proofErr w:type="spellStart"/>
                  <w:r w:rsidRPr="004D5B4D">
                    <w:rPr>
                      <w:rFonts w:cs="Arial"/>
                      <w:strike/>
                      <w:color w:val="auto"/>
                      <w:sz w:val="22"/>
                      <w:szCs w:val="22"/>
                    </w:rPr>
                    <w:t>Watnall</w:t>
                  </w:r>
                  <w:proofErr w:type="spellEnd"/>
                  <w:r w:rsidRPr="004D5B4D">
                    <w:rPr>
                      <w:rFonts w:cs="Arial"/>
                      <w:strike/>
                      <w:color w:val="auto"/>
                      <w:sz w:val="22"/>
                      <w:szCs w:val="22"/>
                    </w:rPr>
                    <w:t xml:space="preserve"> Road, Hucknall</w:t>
                  </w:r>
                </w:p>
              </w:tc>
              <w:tc>
                <w:tcPr>
                  <w:tcW w:w="1460" w:type="dxa"/>
                  <w:tcBorders>
                    <w:top w:val="nil"/>
                    <w:left w:val="nil"/>
                    <w:bottom w:val="single" w:sz="4" w:space="0" w:color="auto"/>
                    <w:right w:val="single" w:sz="4" w:space="0" w:color="auto"/>
                  </w:tcBorders>
                  <w:noWrap/>
                  <w:hideMark/>
                </w:tcPr>
                <w:p w14:paraId="705D412A"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4499D2CE"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5C390E10"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198</w:t>
                  </w:r>
                </w:p>
              </w:tc>
            </w:tr>
            <w:tr w:rsidR="006E25C7" w:rsidRPr="004D5B4D" w14:paraId="0D85DECE"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2F733F17"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H1He</w:t>
                  </w:r>
                </w:p>
              </w:tc>
              <w:tc>
                <w:tcPr>
                  <w:tcW w:w="3660" w:type="dxa"/>
                  <w:tcBorders>
                    <w:top w:val="nil"/>
                    <w:left w:val="nil"/>
                    <w:bottom w:val="single" w:sz="4" w:space="0" w:color="auto"/>
                    <w:right w:val="single" w:sz="4" w:space="0" w:color="auto"/>
                  </w:tcBorders>
                  <w:hideMark/>
                </w:tcPr>
                <w:p w14:paraId="73480FCC"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 xml:space="preserve">Phase 5b, land at Rolls Royce, </w:t>
                  </w:r>
                  <w:proofErr w:type="spellStart"/>
                  <w:r w:rsidRPr="004D5B4D">
                    <w:rPr>
                      <w:rFonts w:cs="Arial"/>
                      <w:strike/>
                      <w:color w:val="auto"/>
                      <w:sz w:val="22"/>
                      <w:szCs w:val="22"/>
                    </w:rPr>
                    <w:t>Watnall</w:t>
                  </w:r>
                  <w:proofErr w:type="spellEnd"/>
                  <w:r w:rsidRPr="004D5B4D">
                    <w:rPr>
                      <w:rFonts w:cs="Arial"/>
                      <w:strike/>
                      <w:color w:val="auto"/>
                      <w:sz w:val="22"/>
                      <w:szCs w:val="22"/>
                    </w:rPr>
                    <w:t xml:space="preserve"> Road, Hucknall</w:t>
                  </w:r>
                </w:p>
              </w:tc>
              <w:tc>
                <w:tcPr>
                  <w:tcW w:w="1460" w:type="dxa"/>
                  <w:tcBorders>
                    <w:top w:val="nil"/>
                    <w:left w:val="nil"/>
                    <w:bottom w:val="single" w:sz="4" w:space="0" w:color="auto"/>
                    <w:right w:val="single" w:sz="4" w:space="0" w:color="auto"/>
                  </w:tcBorders>
                  <w:noWrap/>
                  <w:hideMark/>
                </w:tcPr>
                <w:p w14:paraId="2E92F906"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57683505"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53C6D27D" w14:textId="1AD67230"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1</w:t>
                  </w:r>
                  <w:r w:rsidR="00AF04D2" w:rsidRPr="004D5B4D">
                    <w:rPr>
                      <w:rFonts w:cs="Arial"/>
                      <w:strike/>
                      <w:color w:val="auto"/>
                      <w:sz w:val="22"/>
                      <w:szCs w:val="22"/>
                    </w:rPr>
                    <w:t>50</w:t>
                  </w:r>
                </w:p>
              </w:tc>
            </w:tr>
            <w:tr w:rsidR="006E25C7" w:rsidRPr="004D5B4D" w14:paraId="5D0D5491"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63C12CB2"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H1Hf</w:t>
                  </w:r>
                </w:p>
              </w:tc>
              <w:tc>
                <w:tcPr>
                  <w:tcW w:w="3660" w:type="dxa"/>
                  <w:tcBorders>
                    <w:top w:val="nil"/>
                    <w:left w:val="nil"/>
                    <w:bottom w:val="single" w:sz="4" w:space="0" w:color="auto"/>
                    <w:right w:val="single" w:sz="4" w:space="0" w:color="auto"/>
                  </w:tcBorders>
                  <w:hideMark/>
                </w:tcPr>
                <w:p w14:paraId="04DC9AC9"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 xml:space="preserve">Phase 9, land at Rolls Royce, </w:t>
                  </w:r>
                  <w:proofErr w:type="spellStart"/>
                  <w:r w:rsidRPr="004D5B4D">
                    <w:rPr>
                      <w:rFonts w:cs="Arial"/>
                      <w:strike/>
                      <w:color w:val="auto"/>
                      <w:sz w:val="22"/>
                      <w:szCs w:val="22"/>
                    </w:rPr>
                    <w:t>Watnall</w:t>
                  </w:r>
                  <w:proofErr w:type="spellEnd"/>
                  <w:r w:rsidRPr="004D5B4D">
                    <w:rPr>
                      <w:rFonts w:cs="Arial"/>
                      <w:strike/>
                      <w:color w:val="auto"/>
                      <w:sz w:val="22"/>
                      <w:szCs w:val="22"/>
                    </w:rPr>
                    <w:t xml:space="preserve"> Road, Hucknall</w:t>
                  </w:r>
                </w:p>
              </w:tc>
              <w:tc>
                <w:tcPr>
                  <w:tcW w:w="1460" w:type="dxa"/>
                  <w:tcBorders>
                    <w:top w:val="nil"/>
                    <w:left w:val="nil"/>
                    <w:bottom w:val="single" w:sz="4" w:space="0" w:color="auto"/>
                    <w:right w:val="single" w:sz="4" w:space="0" w:color="auto"/>
                  </w:tcBorders>
                  <w:noWrap/>
                  <w:hideMark/>
                </w:tcPr>
                <w:p w14:paraId="1E2AB6A3"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67AD45BB"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7D5911D0" w14:textId="42EDE40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1</w:t>
                  </w:r>
                  <w:r w:rsidR="00AF04D2" w:rsidRPr="004D5B4D">
                    <w:rPr>
                      <w:rFonts w:cs="Arial"/>
                      <w:strike/>
                      <w:color w:val="auto"/>
                      <w:sz w:val="22"/>
                      <w:szCs w:val="22"/>
                    </w:rPr>
                    <w:t>01</w:t>
                  </w:r>
                </w:p>
              </w:tc>
            </w:tr>
            <w:tr w:rsidR="006E25C7" w:rsidRPr="004D5B4D" w14:paraId="43F02DA5"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63723031"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H1Hg</w:t>
                  </w:r>
                </w:p>
              </w:tc>
              <w:tc>
                <w:tcPr>
                  <w:tcW w:w="3660" w:type="dxa"/>
                  <w:tcBorders>
                    <w:top w:val="nil"/>
                    <w:left w:val="nil"/>
                    <w:bottom w:val="single" w:sz="4" w:space="0" w:color="auto"/>
                    <w:right w:val="single" w:sz="4" w:space="0" w:color="auto"/>
                  </w:tcBorders>
                  <w:hideMark/>
                </w:tcPr>
                <w:p w14:paraId="2EAFA8C2"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 xml:space="preserve">Hucknall Town football Club, </w:t>
                  </w:r>
                  <w:proofErr w:type="spellStart"/>
                  <w:r w:rsidRPr="004D5B4D">
                    <w:rPr>
                      <w:rFonts w:cs="Arial"/>
                      <w:strike/>
                      <w:color w:val="auto"/>
                      <w:sz w:val="22"/>
                      <w:szCs w:val="22"/>
                    </w:rPr>
                    <w:t>Watnall</w:t>
                  </w:r>
                  <w:proofErr w:type="spellEnd"/>
                  <w:r w:rsidRPr="004D5B4D">
                    <w:rPr>
                      <w:rFonts w:cs="Arial"/>
                      <w:strike/>
                      <w:color w:val="auto"/>
                      <w:sz w:val="22"/>
                      <w:szCs w:val="22"/>
                    </w:rPr>
                    <w:t xml:space="preserve"> Road</w:t>
                  </w:r>
                </w:p>
              </w:tc>
              <w:tc>
                <w:tcPr>
                  <w:tcW w:w="1460" w:type="dxa"/>
                  <w:tcBorders>
                    <w:top w:val="nil"/>
                    <w:left w:val="nil"/>
                    <w:bottom w:val="single" w:sz="4" w:space="0" w:color="auto"/>
                    <w:right w:val="single" w:sz="4" w:space="0" w:color="auto"/>
                  </w:tcBorders>
                  <w:noWrap/>
                  <w:hideMark/>
                </w:tcPr>
                <w:p w14:paraId="23E9F5F7"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618DD640"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19614712"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82</w:t>
                  </w:r>
                </w:p>
              </w:tc>
            </w:tr>
            <w:tr w:rsidR="006E25C7" w:rsidRPr="004D5B4D" w14:paraId="7A894AAF"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7013DDF1"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H1Hl</w:t>
                  </w:r>
                </w:p>
              </w:tc>
              <w:tc>
                <w:tcPr>
                  <w:tcW w:w="3660" w:type="dxa"/>
                  <w:tcBorders>
                    <w:top w:val="nil"/>
                    <w:left w:val="nil"/>
                    <w:bottom w:val="single" w:sz="4" w:space="0" w:color="auto"/>
                    <w:right w:val="single" w:sz="4" w:space="0" w:color="auto"/>
                  </w:tcBorders>
                  <w:hideMark/>
                </w:tcPr>
                <w:p w14:paraId="45365FEF"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Land at, Shepherd Street (Rolls Royce site)</w:t>
                  </w:r>
                </w:p>
              </w:tc>
              <w:tc>
                <w:tcPr>
                  <w:tcW w:w="1460" w:type="dxa"/>
                  <w:tcBorders>
                    <w:top w:val="nil"/>
                    <w:left w:val="nil"/>
                    <w:bottom w:val="single" w:sz="4" w:space="0" w:color="auto"/>
                    <w:right w:val="single" w:sz="4" w:space="0" w:color="auto"/>
                  </w:tcBorders>
                  <w:noWrap/>
                  <w:hideMark/>
                </w:tcPr>
                <w:p w14:paraId="520B378E"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135F135D"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417682EB"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42</w:t>
                  </w:r>
                </w:p>
              </w:tc>
            </w:tr>
            <w:tr w:rsidR="006E25C7" w:rsidRPr="004D5B4D" w14:paraId="6E359791" w14:textId="77777777" w:rsidTr="00642E60">
              <w:trPr>
                <w:trHeight w:val="370"/>
                <w:jc w:val="center"/>
              </w:trPr>
              <w:tc>
                <w:tcPr>
                  <w:tcW w:w="760" w:type="dxa"/>
                  <w:tcBorders>
                    <w:top w:val="nil"/>
                    <w:left w:val="single" w:sz="4" w:space="0" w:color="auto"/>
                    <w:bottom w:val="single" w:sz="4" w:space="0" w:color="auto"/>
                    <w:right w:val="single" w:sz="4" w:space="0" w:color="auto"/>
                  </w:tcBorders>
                  <w:noWrap/>
                  <w:hideMark/>
                </w:tcPr>
                <w:p w14:paraId="00030933"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H1Hn</w:t>
                  </w:r>
                </w:p>
              </w:tc>
              <w:tc>
                <w:tcPr>
                  <w:tcW w:w="3660" w:type="dxa"/>
                  <w:tcBorders>
                    <w:top w:val="nil"/>
                    <w:left w:val="nil"/>
                    <w:bottom w:val="single" w:sz="4" w:space="0" w:color="auto"/>
                    <w:right w:val="single" w:sz="4" w:space="0" w:color="auto"/>
                  </w:tcBorders>
                  <w:hideMark/>
                </w:tcPr>
                <w:p w14:paraId="0F84931E"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(Phase 2) Land at, Broomhill Farm</w:t>
                  </w:r>
                </w:p>
              </w:tc>
              <w:tc>
                <w:tcPr>
                  <w:tcW w:w="1460" w:type="dxa"/>
                  <w:tcBorders>
                    <w:top w:val="nil"/>
                    <w:left w:val="nil"/>
                    <w:bottom w:val="single" w:sz="4" w:space="0" w:color="auto"/>
                    <w:right w:val="single" w:sz="4" w:space="0" w:color="auto"/>
                  </w:tcBorders>
                  <w:noWrap/>
                  <w:hideMark/>
                </w:tcPr>
                <w:p w14:paraId="6C0C921B"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394E03EB"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00F91209"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168</w:t>
                  </w:r>
                </w:p>
              </w:tc>
            </w:tr>
            <w:tr w:rsidR="006E25C7" w:rsidRPr="003736C4" w14:paraId="4C0B98CA" w14:textId="77777777" w:rsidTr="00642E60">
              <w:trPr>
                <w:trHeight w:val="417"/>
                <w:jc w:val="center"/>
              </w:trPr>
              <w:tc>
                <w:tcPr>
                  <w:tcW w:w="760" w:type="dxa"/>
                  <w:tcBorders>
                    <w:top w:val="nil"/>
                    <w:left w:val="single" w:sz="4" w:space="0" w:color="auto"/>
                    <w:bottom w:val="single" w:sz="4" w:space="0" w:color="auto"/>
                    <w:right w:val="single" w:sz="4" w:space="0" w:color="auto"/>
                  </w:tcBorders>
                  <w:noWrap/>
                  <w:hideMark/>
                </w:tcPr>
                <w:p w14:paraId="19048DA4"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 </w:t>
                  </w:r>
                </w:p>
              </w:tc>
              <w:tc>
                <w:tcPr>
                  <w:tcW w:w="3660" w:type="dxa"/>
                  <w:tcBorders>
                    <w:top w:val="nil"/>
                    <w:left w:val="nil"/>
                    <w:bottom w:val="single" w:sz="4" w:space="0" w:color="auto"/>
                    <w:right w:val="single" w:sz="4" w:space="0" w:color="auto"/>
                  </w:tcBorders>
                  <w:hideMark/>
                </w:tcPr>
                <w:p w14:paraId="5EBA8440"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 </w:t>
                  </w:r>
                </w:p>
              </w:tc>
              <w:tc>
                <w:tcPr>
                  <w:tcW w:w="1460" w:type="dxa"/>
                  <w:tcBorders>
                    <w:top w:val="nil"/>
                    <w:left w:val="nil"/>
                    <w:bottom w:val="single" w:sz="4" w:space="0" w:color="auto"/>
                    <w:right w:val="single" w:sz="4" w:space="0" w:color="auto"/>
                  </w:tcBorders>
                  <w:noWrap/>
                  <w:hideMark/>
                </w:tcPr>
                <w:p w14:paraId="34706384"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 </w:t>
                  </w:r>
                </w:p>
              </w:tc>
              <w:tc>
                <w:tcPr>
                  <w:tcW w:w="1600" w:type="dxa"/>
                  <w:tcBorders>
                    <w:top w:val="nil"/>
                    <w:left w:val="nil"/>
                    <w:bottom w:val="single" w:sz="4" w:space="0" w:color="auto"/>
                    <w:right w:val="single" w:sz="4" w:space="0" w:color="auto"/>
                  </w:tcBorders>
                  <w:noWrap/>
                  <w:hideMark/>
                </w:tcPr>
                <w:p w14:paraId="56A697BE"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 </w:t>
                  </w:r>
                </w:p>
              </w:tc>
              <w:tc>
                <w:tcPr>
                  <w:tcW w:w="1220" w:type="dxa"/>
                  <w:tcBorders>
                    <w:top w:val="nil"/>
                    <w:left w:val="nil"/>
                    <w:bottom w:val="single" w:sz="4" w:space="0" w:color="auto"/>
                    <w:right w:val="single" w:sz="4" w:space="0" w:color="auto"/>
                  </w:tcBorders>
                  <w:noWrap/>
                  <w:hideMark/>
                </w:tcPr>
                <w:p w14:paraId="5018373A" w14:textId="36D566E7" w:rsidR="00642E60" w:rsidRPr="004D5B4D" w:rsidRDefault="00642E60" w:rsidP="00642E60">
                  <w:pPr>
                    <w:keepNext w:val="0"/>
                    <w:spacing w:before="0"/>
                    <w:jc w:val="right"/>
                    <w:rPr>
                      <w:rFonts w:cs="Arial"/>
                      <w:b/>
                      <w:bCs/>
                      <w:strike/>
                      <w:color w:val="auto"/>
                      <w:sz w:val="22"/>
                      <w:szCs w:val="22"/>
                    </w:rPr>
                  </w:pPr>
                  <w:r w:rsidRPr="004D5B4D">
                    <w:rPr>
                      <w:rFonts w:cs="Arial"/>
                      <w:b/>
                      <w:bCs/>
                      <w:strike/>
                      <w:color w:val="auto"/>
                      <w:sz w:val="22"/>
                      <w:szCs w:val="22"/>
                    </w:rPr>
                    <w:t>13</w:t>
                  </w:r>
                  <w:r w:rsidR="00AF04D2" w:rsidRPr="004D5B4D">
                    <w:rPr>
                      <w:rFonts w:cs="Arial"/>
                      <w:b/>
                      <w:bCs/>
                      <w:strike/>
                      <w:color w:val="auto"/>
                      <w:sz w:val="22"/>
                      <w:szCs w:val="22"/>
                    </w:rPr>
                    <w:t>1</w:t>
                  </w:r>
                  <w:r w:rsidR="00582E38" w:rsidRPr="004D5B4D">
                    <w:rPr>
                      <w:rFonts w:cs="Arial"/>
                      <w:b/>
                      <w:bCs/>
                      <w:strike/>
                      <w:color w:val="auto"/>
                      <w:sz w:val="22"/>
                      <w:szCs w:val="22"/>
                    </w:rPr>
                    <w:t>1</w:t>
                  </w:r>
                </w:p>
              </w:tc>
            </w:tr>
          </w:tbl>
          <w:p w14:paraId="06439FF6" w14:textId="77777777" w:rsidR="003C7E62" w:rsidRDefault="003C7E62" w:rsidP="008B5F49">
            <w:pPr>
              <w:pStyle w:val="Policy"/>
              <w:spacing w:after="0" w:line="240" w:lineRule="auto"/>
              <w:ind w:left="447" w:right="284"/>
              <w:rPr>
                <w:rStyle w:val="Normal1"/>
                <w:rFonts w:cs="Arial"/>
                <w:bCs/>
                <w:highlight w:val="yellow"/>
                <w:u w:val="single"/>
              </w:rPr>
            </w:pPr>
          </w:p>
          <w:p w14:paraId="074CAB21" w14:textId="77777777" w:rsidR="004D5B4D" w:rsidRDefault="004D5B4D" w:rsidP="008B5F49">
            <w:pPr>
              <w:pStyle w:val="Policy"/>
              <w:spacing w:after="0" w:line="240" w:lineRule="auto"/>
              <w:ind w:left="447" w:right="284"/>
              <w:rPr>
                <w:rStyle w:val="Normal1"/>
                <w:rFonts w:cs="Arial"/>
                <w:bCs/>
                <w:highlight w:val="yellow"/>
                <w:u w:val="single"/>
              </w:rPr>
            </w:pPr>
          </w:p>
          <w:p w14:paraId="03CE8A18" w14:textId="77777777" w:rsidR="004D5B4D" w:rsidRDefault="004D5B4D" w:rsidP="008B5F49">
            <w:pPr>
              <w:pStyle w:val="Policy"/>
              <w:spacing w:after="0" w:line="240" w:lineRule="auto"/>
              <w:ind w:left="447" w:right="284"/>
              <w:rPr>
                <w:rStyle w:val="Normal1"/>
                <w:rFonts w:cs="Arial"/>
                <w:bCs/>
                <w:highlight w:val="yellow"/>
                <w:u w:val="single"/>
              </w:rPr>
            </w:pPr>
          </w:p>
          <w:p w14:paraId="4A3A6700" w14:textId="77777777" w:rsidR="004D5B4D" w:rsidRDefault="004D5B4D" w:rsidP="008B5F49">
            <w:pPr>
              <w:pStyle w:val="Policy"/>
              <w:spacing w:after="0" w:line="240" w:lineRule="auto"/>
              <w:ind w:left="447" w:right="284"/>
              <w:rPr>
                <w:rStyle w:val="Normal1"/>
                <w:rFonts w:cs="Arial"/>
                <w:bCs/>
                <w:highlight w:val="yellow"/>
                <w:u w:val="single"/>
              </w:rPr>
            </w:pPr>
          </w:p>
          <w:tbl>
            <w:tblPr>
              <w:tblW w:w="9098" w:type="dxa"/>
              <w:tblLook w:val="04A0" w:firstRow="1" w:lastRow="0" w:firstColumn="1" w:lastColumn="0" w:noHBand="0" w:noVBand="1"/>
            </w:tblPr>
            <w:tblGrid>
              <w:gridCol w:w="960"/>
              <w:gridCol w:w="2219"/>
              <w:gridCol w:w="1293"/>
              <w:gridCol w:w="1400"/>
              <w:gridCol w:w="1580"/>
              <w:gridCol w:w="1646"/>
            </w:tblGrid>
            <w:tr w:rsidR="004D5B4D" w:rsidRPr="004D5B4D" w14:paraId="1BB3BF47" w14:textId="77777777" w:rsidTr="004D5B4D">
              <w:trPr>
                <w:trHeight w:val="1400"/>
              </w:trPr>
              <w:tc>
                <w:tcPr>
                  <w:tcW w:w="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80A5EA7" w14:textId="77777777" w:rsidR="004D5B4D" w:rsidRPr="00E56F9C" w:rsidRDefault="004D5B4D" w:rsidP="004D5B4D">
                  <w:pPr>
                    <w:keepNext w:val="0"/>
                    <w:spacing w:before="0"/>
                    <w:jc w:val="both"/>
                    <w:rPr>
                      <w:rFonts w:cs="Arial"/>
                      <w:color w:val="005EAC"/>
                      <w:sz w:val="22"/>
                      <w:szCs w:val="22"/>
                    </w:rPr>
                  </w:pPr>
                  <w:r w:rsidRPr="00E56F9C">
                    <w:rPr>
                      <w:rFonts w:cs="Arial"/>
                      <w:color w:val="005EAC"/>
                      <w:sz w:val="22"/>
                      <w:szCs w:val="22"/>
                    </w:rPr>
                    <w:t>Site Ref.</w:t>
                  </w:r>
                </w:p>
              </w:tc>
              <w:tc>
                <w:tcPr>
                  <w:tcW w:w="2219" w:type="dxa"/>
                  <w:tcBorders>
                    <w:top w:val="single" w:sz="4" w:space="0" w:color="auto"/>
                    <w:left w:val="nil"/>
                    <w:bottom w:val="single" w:sz="4" w:space="0" w:color="auto"/>
                    <w:right w:val="single" w:sz="4" w:space="0" w:color="auto"/>
                  </w:tcBorders>
                  <w:shd w:val="clear" w:color="000000" w:fill="D9D9D9"/>
                  <w:vAlign w:val="center"/>
                  <w:hideMark/>
                </w:tcPr>
                <w:p w14:paraId="30DDFE91" w14:textId="77777777" w:rsidR="004D5B4D" w:rsidRPr="00E56F9C" w:rsidRDefault="004D5B4D" w:rsidP="004D5B4D">
                  <w:pPr>
                    <w:keepNext w:val="0"/>
                    <w:spacing w:before="0"/>
                    <w:jc w:val="both"/>
                    <w:rPr>
                      <w:rFonts w:cs="Arial"/>
                      <w:color w:val="005EAC"/>
                      <w:sz w:val="22"/>
                      <w:szCs w:val="22"/>
                    </w:rPr>
                  </w:pPr>
                  <w:r w:rsidRPr="00E56F9C">
                    <w:rPr>
                      <w:rFonts w:cs="Arial"/>
                      <w:color w:val="005EAC"/>
                      <w:sz w:val="22"/>
                      <w:szCs w:val="22"/>
                    </w:rPr>
                    <w:t>Site Name</w:t>
                  </w:r>
                </w:p>
              </w:tc>
              <w:tc>
                <w:tcPr>
                  <w:tcW w:w="1293" w:type="dxa"/>
                  <w:tcBorders>
                    <w:top w:val="single" w:sz="4" w:space="0" w:color="auto"/>
                    <w:left w:val="nil"/>
                    <w:bottom w:val="single" w:sz="4" w:space="0" w:color="auto"/>
                    <w:right w:val="single" w:sz="4" w:space="0" w:color="auto"/>
                  </w:tcBorders>
                  <w:shd w:val="clear" w:color="000000" w:fill="D9D9D9"/>
                  <w:vAlign w:val="center"/>
                  <w:hideMark/>
                </w:tcPr>
                <w:p w14:paraId="4F7BC89B" w14:textId="77777777" w:rsidR="004D5B4D" w:rsidRPr="00E56F9C" w:rsidRDefault="004D5B4D" w:rsidP="004D5B4D">
                  <w:pPr>
                    <w:keepNext w:val="0"/>
                    <w:spacing w:before="0"/>
                    <w:jc w:val="both"/>
                    <w:rPr>
                      <w:rFonts w:cs="Arial"/>
                      <w:color w:val="005EAC"/>
                      <w:sz w:val="22"/>
                      <w:szCs w:val="22"/>
                    </w:rPr>
                  </w:pPr>
                  <w:r w:rsidRPr="00E56F9C">
                    <w:rPr>
                      <w:rFonts w:cs="Arial"/>
                      <w:color w:val="005EAC"/>
                      <w:sz w:val="22"/>
                      <w:szCs w:val="22"/>
                    </w:rPr>
                    <w:t>Greenfield/ Brownfield</w:t>
                  </w:r>
                </w:p>
              </w:tc>
              <w:tc>
                <w:tcPr>
                  <w:tcW w:w="1400" w:type="dxa"/>
                  <w:tcBorders>
                    <w:top w:val="single" w:sz="4" w:space="0" w:color="auto"/>
                    <w:left w:val="nil"/>
                    <w:bottom w:val="single" w:sz="4" w:space="0" w:color="auto"/>
                    <w:right w:val="single" w:sz="4" w:space="0" w:color="auto"/>
                  </w:tcBorders>
                  <w:shd w:val="clear" w:color="000000" w:fill="D9D9D9"/>
                  <w:vAlign w:val="center"/>
                  <w:hideMark/>
                </w:tcPr>
                <w:p w14:paraId="5ACBCA88" w14:textId="77777777" w:rsidR="004D5B4D" w:rsidRPr="00E56F9C" w:rsidRDefault="004D5B4D" w:rsidP="004D5B4D">
                  <w:pPr>
                    <w:keepNext w:val="0"/>
                    <w:spacing w:before="0"/>
                    <w:jc w:val="both"/>
                    <w:rPr>
                      <w:rFonts w:cs="Arial"/>
                      <w:color w:val="005EAC"/>
                      <w:sz w:val="22"/>
                      <w:szCs w:val="22"/>
                    </w:rPr>
                  </w:pPr>
                  <w:r w:rsidRPr="00E56F9C">
                    <w:rPr>
                      <w:rFonts w:cs="Arial"/>
                      <w:color w:val="005EAC"/>
                      <w:sz w:val="22"/>
                      <w:szCs w:val="22"/>
                    </w:rPr>
                    <w:t>Planning Permission*</w:t>
                  </w:r>
                </w:p>
              </w:tc>
              <w:tc>
                <w:tcPr>
                  <w:tcW w:w="1580" w:type="dxa"/>
                  <w:tcBorders>
                    <w:top w:val="single" w:sz="4" w:space="0" w:color="auto"/>
                    <w:left w:val="nil"/>
                    <w:bottom w:val="single" w:sz="4" w:space="0" w:color="auto"/>
                    <w:right w:val="single" w:sz="4" w:space="0" w:color="auto"/>
                  </w:tcBorders>
                  <w:shd w:val="clear" w:color="000000" w:fill="D9D9D9"/>
                  <w:vAlign w:val="center"/>
                  <w:hideMark/>
                </w:tcPr>
                <w:p w14:paraId="5725B6A5" w14:textId="77777777" w:rsidR="004D5B4D" w:rsidRPr="00E56F9C" w:rsidRDefault="004D5B4D" w:rsidP="004D5B4D">
                  <w:pPr>
                    <w:keepNext w:val="0"/>
                    <w:spacing w:before="0"/>
                    <w:jc w:val="center"/>
                    <w:rPr>
                      <w:rFonts w:cs="Arial"/>
                      <w:color w:val="005EAC"/>
                      <w:sz w:val="22"/>
                      <w:szCs w:val="22"/>
                    </w:rPr>
                  </w:pPr>
                  <w:r w:rsidRPr="00E56F9C">
                    <w:rPr>
                      <w:rFonts w:cs="Arial"/>
                      <w:b/>
                      <w:bCs/>
                      <w:color w:val="005EAC"/>
                      <w:sz w:val="22"/>
                      <w:szCs w:val="22"/>
                    </w:rPr>
                    <w:t>Total</w:t>
                  </w:r>
                  <w:r w:rsidRPr="00E56F9C">
                    <w:rPr>
                      <w:rFonts w:cs="Arial"/>
                      <w:color w:val="005EAC"/>
                      <w:sz w:val="22"/>
                      <w:szCs w:val="22"/>
                    </w:rPr>
                    <w:t xml:space="preserve"> Potential Yield </w:t>
                  </w:r>
                  <w:r w:rsidRPr="00E56F9C">
                    <w:rPr>
                      <w:rFonts w:cs="Arial"/>
                      <w:b/>
                      <w:bCs/>
                      <w:color w:val="005EAC"/>
                      <w:sz w:val="22"/>
                      <w:szCs w:val="22"/>
                    </w:rPr>
                    <w:t>2023-2040</w:t>
                  </w:r>
                  <w:r w:rsidRPr="00E56F9C">
                    <w:rPr>
                      <w:rFonts w:cs="Arial"/>
                      <w:color w:val="005EAC"/>
                      <w:sz w:val="22"/>
                      <w:szCs w:val="22"/>
                    </w:rPr>
                    <w:t xml:space="preserve"> (Dwellings)</w:t>
                  </w:r>
                </w:p>
              </w:tc>
              <w:tc>
                <w:tcPr>
                  <w:tcW w:w="1646" w:type="dxa"/>
                  <w:tcBorders>
                    <w:top w:val="single" w:sz="4" w:space="0" w:color="auto"/>
                    <w:left w:val="nil"/>
                    <w:bottom w:val="single" w:sz="4" w:space="0" w:color="auto"/>
                    <w:right w:val="single" w:sz="4" w:space="0" w:color="auto"/>
                  </w:tcBorders>
                  <w:shd w:val="clear" w:color="000000" w:fill="D9D9D9"/>
                  <w:vAlign w:val="center"/>
                  <w:hideMark/>
                </w:tcPr>
                <w:p w14:paraId="5CDCBFB7" w14:textId="77777777" w:rsidR="004D5B4D" w:rsidRPr="00E56F9C" w:rsidRDefault="004D5B4D" w:rsidP="004D5B4D">
                  <w:pPr>
                    <w:keepNext w:val="0"/>
                    <w:spacing w:before="0"/>
                    <w:jc w:val="center"/>
                    <w:rPr>
                      <w:rFonts w:cs="Arial"/>
                      <w:b/>
                      <w:bCs/>
                      <w:color w:val="005EAC"/>
                      <w:sz w:val="22"/>
                      <w:szCs w:val="22"/>
                    </w:rPr>
                  </w:pPr>
                  <w:r w:rsidRPr="00E56F9C">
                    <w:rPr>
                      <w:rFonts w:cs="Arial"/>
                      <w:b/>
                      <w:bCs/>
                      <w:color w:val="005EAC"/>
                      <w:sz w:val="22"/>
                      <w:szCs w:val="22"/>
                    </w:rPr>
                    <w:t xml:space="preserve">Progress </w:t>
                  </w:r>
                  <w:proofErr w:type="gramStart"/>
                  <w:r w:rsidRPr="00E56F9C">
                    <w:rPr>
                      <w:rFonts w:cs="Arial"/>
                      <w:b/>
                      <w:bCs/>
                      <w:color w:val="005EAC"/>
                      <w:sz w:val="22"/>
                      <w:szCs w:val="22"/>
                    </w:rPr>
                    <w:t>at</w:t>
                  </w:r>
                  <w:proofErr w:type="gramEnd"/>
                  <w:r w:rsidRPr="00E56F9C">
                    <w:rPr>
                      <w:rFonts w:cs="Arial"/>
                      <w:b/>
                      <w:bCs/>
                      <w:color w:val="005EAC"/>
                      <w:sz w:val="22"/>
                      <w:szCs w:val="22"/>
                    </w:rPr>
                    <w:t xml:space="preserve"> April 2025 (Not Started/ Under Construction/ Completed</w:t>
                  </w:r>
                </w:p>
              </w:tc>
            </w:tr>
            <w:tr w:rsidR="004D5B4D" w:rsidRPr="004D5B4D" w14:paraId="44DE499A"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59BDBA91"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H1Ha</w:t>
                  </w:r>
                </w:p>
              </w:tc>
              <w:tc>
                <w:tcPr>
                  <w:tcW w:w="2219" w:type="dxa"/>
                  <w:tcBorders>
                    <w:top w:val="nil"/>
                    <w:left w:val="nil"/>
                    <w:bottom w:val="single" w:sz="4" w:space="0" w:color="auto"/>
                    <w:right w:val="single" w:sz="4" w:space="0" w:color="auto"/>
                  </w:tcBorders>
                  <w:vAlign w:val="center"/>
                  <w:hideMark/>
                </w:tcPr>
                <w:p w14:paraId="5EAB3A38"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Seven Stars PH, West Street / Ogle Street, Hucknall</w:t>
                  </w:r>
                </w:p>
              </w:tc>
              <w:tc>
                <w:tcPr>
                  <w:tcW w:w="1293" w:type="dxa"/>
                  <w:tcBorders>
                    <w:top w:val="nil"/>
                    <w:left w:val="nil"/>
                    <w:bottom w:val="single" w:sz="4" w:space="0" w:color="auto"/>
                    <w:right w:val="single" w:sz="4" w:space="0" w:color="auto"/>
                  </w:tcBorders>
                  <w:noWrap/>
                  <w:vAlign w:val="center"/>
                  <w:hideMark/>
                </w:tcPr>
                <w:p w14:paraId="69E5659C"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207807C3"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37CE8182"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28</w:t>
                  </w:r>
                </w:p>
              </w:tc>
              <w:tc>
                <w:tcPr>
                  <w:tcW w:w="1646" w:type="dxa"/>
                  <w:tcBorders>
                    <w:top w:val="nil"/>
                    <w:left w:val="nil"/>
                    <w:bottom w:val="single" w:sz="4" w:space="0" w:color="auto"/>
                    <w:right w:val="single" w:sz="4" w:space="0" w:color="auto"/>
                  </w:tcBorders>
                  <w:noWrap/>
                  <w:vAlign w:val="center"/>
                  <w:hideMark/>
                </w:tcPr>
                <w:p w14:paraId="084B1E83"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3E5EF04A"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1EBA73C3"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H1Hb</w:t>
                  </w:r>
                </w:p>
              </w:tc>
              <w:tc>
                <w:tcPr>
                  <w:tcW w:w="2219" w:type="dxa"/>
                  <w:tcBorders>
                    <w:top w:val="nil"/>
                    <w:left w:val="nil"/>
                    <w:bottom w:val="single" w:sz="4" w:space="0" w:color="auto"/>
                    <w:right w:val="single" w:sz="4" w:space="0" w:color="auto"/>
                  </w:tcBorders>
                  <w:vAlign w:val="center"/>
                  <w:hideMark/>
                </w:tcPr>
                <w:p w14:paraId="71F7B902" w14:textId="77777777" w:rsidR="004D5B4D" w:rsidRPr="005F5AF9" w:rsidRDefault="004D5B4D" w:rsidP="004D5B4D">
                  <w:pPr>
                    <w:keepNext w:val="0"/>
                    <w:spacing w:before="0"/>
                    <w:rPr>
                      <w:rFonts w:cs="Arial"/>
                      <w:color w:val="005CA9"/>
                      <w:sz w:val="22"/>
                      <w:szCs w:val="22"/>
                    </w:rPr>
                  </w:pPr>
                  <w:proofErr w:type="spellStart"/>
                  <w:r w:rsidRPr="005F5AF9">
                    <w:rPr>
                      <w:rFonts w:cs="Arial"/>
                      <w:color w:val="005CA9"/>
                      <w:sz w:val="22"/>
                      <w:szCs w:val="22"/>
                    </w:rPr>
                    <w:t>Linby</w:t>
                  </w:r>
                  <w:proofErr w:type="spellEnd"/>
                  <w:r w:rsidRPr="005F5AF9">
                    <w:rPr>
                      <w:rFonts w:cs="Arial"/>
                      <w:color w:val="005CA9"/>
                      <w:sz w:val="22"/>
                      <w:szCs w:val="22"/>
                    </w:rPr>
                    <w:t xml:space="preserve"> Boarding Kennels, East of Church Lane, Hucknall</w:t>
                  </w:r>
                </w:p>
              </w:tc>
              <w:tc>
                <w:tcPr>
                  <w:tcW w:w="1293" w:type="dxa"/>
                  <w:tcBorders>
                    <w:top w:val="nil"/>
                    <w:left w:val="nil"/>
                    <w:bottom w:val="single" w:sz="4" w:space="0" w:color="auto"/>
                    <w:right w:val="single" w:sz="4" w:space="0" w:color="auto"/>
                  </w:tcBorders>
                  <w:noWrap/>
                  <w:vAlign w:val="center"/>
                  <w:hideMark/>
                </w:tcPr>
                <w:p w14:paraId="47817245"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G/B</w:t>
                  </w:r>
                </w:p>
              </w:tc>
              <w:tc>
                <w:tcPr>
                  <w:tcW w:w="1400" w:type="dxa"/>
                  <w:tcBorders>
                    <w:top w:val="nil"/>
                    <w:left w:val="nil"/>
                    <w:bottom w:val="single" w:sz="4" w:space="0" w:color="auto"/>
                    <w:right w:val="single" w:sz="4" w:space="0" w:color="auto"/>
                  </w:tcBorders>
                  <w:vAlign w:val="center"/>
                  <w:hideMark/>
                </w:tcPr>
                <w:p w14:paraId="4C099450"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Part (9 dwellings)</w:t>
                  </w:r>
                </w:p>
              </w:tc>
              <w:tc>
                <w:tcPr>
                  <w:tcW w:w="1580" w:type="dxa"/>
                  <w:tcBorders>
                    <w:top w:val="nil"/>
                    <w:left w:val="nil"/>
                    <w:bottom w:val="single" w:sz="4" w:space="0" w:color="auto"/>
                    <w:right w:val="single" w:sz="4" w:space="0" w:color="auto"/>
                  </w:tcBorders>
                  <w:noWrap/>
                  <w:vAlign w:val="center"/>
                  <w:hideMark/>
                </w:tcPr>
                <w:p w14:paraId="268B9356" w14:textId="77777777" w:rsidR="004D5B4D" w:rsidRPr="005F5AF9" w:rsidRDefault="004D5B4D" w:rsidP="004D5B4D">
                  <w:pPr>
                    <w:keepNext w:val="0"/>
                    <w:spacing w:before="0"/>
                    <w:jc w:val="right"/>
                    <w:rPr>
                      <w:rFonts w:cs="Arial"/>
                      <w:color w:val="005CA9"/>
                      <w:sz w:val="22"/>
                      <w:szCs w:val="22"/>
                    </w:rPr>
                  </w:pPr>
                  <w:r w:rsidRPr="005F5AF9">
                    <w:rPr>
                      <w:rFonts w:cs="Arial"/>
                      <w:strike/>
                      <w:color w:val="005CA9"/>
                      <w:sz w:val="22"/>
                      <w:szCs w:val="22"/>
                    </w:rPr>
                    <w:t>43</w:t>
                  </w:r>
                  <w:r w:rsidRPr="005F5AF9">
                    <w:rPr>
                      <w:rFonts w:cs="Arial"/>
                      <w:color w:val="005CA9"/>
                      <w:sz w:val="22"/>
                      <w:szCs w:val="22"/>
                    </w:rPr>
                    <w:t xml:space="preserve"> </w:t>
                  </w:r>
                  <w:r w:rsidRPr="005F5AF9">
                    <w:rPr>
                      <w:rFonts w:cs="Arial"/>
                      <w:b/>
                      <w:bCs/>
                      <w:color w:val="005CA9"/>
                      <w:sz w:val="22"/>
                      <w:szCs w:val="22"/>
                    </w:rPr>
                    <w:t>34</w:t>
                  </w:r>
                </w:p>
              </w:tc>
              <w:tc>
                <w:tcPr>
                  <w:tcW w:w="1646" w:type="dxa"/>
                  <w:tcBorders>
                    <w:top w:val="nil"/>
                    <w:left w:val="nil"/>
                    <w:bottom w:val="single" w:sz="4" w:space="0" w:color="auto"/>
                    <w:right w:val="single" w:sz="4" w:space="0" w:color="auto"/>
                  </w:tcBorders>
                  <w:noWrap/>
                  <w:vAlign w:val="center"/>
                  <w:hideMark/>
                </w:tcPr>
                <w:p w14:paraId="53A00EA7"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02B7739B"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5B3515A2"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H1Hc</w:t>
                  </w:r>
                </w:p>
              </w:tc>
              <w:tc>
                <w:tcPr>
                  <w:tcW w:w="2219" w:type="dxa"/>
                  <w:tcBorders>
                    <w:top w:val="nil"/>
                    <w:left w:val="nil"/>
                    <w:bottom w:val="single" w:sz="4" w:space="0" w:color="auto"/>
                    <w:right w:val="single" w:sz="4" w:space="0" w:color="auto"/>
                  </w:tcBorders>
                  <w:vAlign w:val="center"/>
                  <w:hideMark/>
                </w:tcPr>
                <w:p w14:paraId="1E8BBE05" w14:textId="38D2E3F1" w:rsidR="004D5B4D" w:rsidRPr="005F5AF9" w:rsidRDefault="004D5B4D" w:rsidP="004D5B4D">
                  <w:pPr>
                    <w:keepNext w:val="0"/>
                    <w:spacing w:before="0"/>
                    <w:rPr>
                      <w:rFonts w:cs="Arial"/>
                      <w:color w:val="005CA9"/>
                      <w:sz w:val="22"/>
                      <w:szCs w:val="22"/>
                    </w:rPr>
                  </w:pPr>
                  <w:r w:rsidRPr="005F5AF9">
                    <w:rPr>
                      <w:rFonts w:cs="Arial"/>
                      <w:color w:val="005CA9"/>
                      <w:sz w:val="22"/>
                      <w:szCs w:val="22"/>
                    </w:rPr>
                    <w:t>Land north of A611/ South of Broomhill Farm, Hucknall</w:t>
                  </w:r>
                </w:p>
              </w:tc>
              <w:tc>
                <w:tcPr>
                  <w:tcW w:w="1293" w:type="dxa"/>
                  <w:tcBorders>
                    <w:top w:val="nil"/>
                    <w:left w:val="nil"/>
                    <w:bottom w:val="single" w:sz="4" w:space="0" w:color="auto"/>
                    <w:right w:val="single" w:sz="4" w:space="0" w:color="auto"/>
                  </w:tcBorders>
                  <w:noWrap/>
                  <w:vAlign w:val="center"/>
                  <w:hideMark/>
                </w:tcPr>
                <w:p w14:paraId="72059B4F"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5C240934"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6D81F21F"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499</w:t>
                  </w:r>
                </w:p>
              </w:tc>
              <w:tc>
                <w:tcPr>
                  <w:tcW w:w="1646" w:type="dxa"/>
                  <w:tcBorders>
                    <w:top w:val="nil"/>
                    <w:left w:val="nil"/>
                    <w:bottom w:val="single" w:sz="4" w:space="0" w:color="auto"/>
                    <w:right w:val="single" w:sz="4" w:space="0" w:color="auto"/>
                  </w:tcBorders>
                  <w:noWrap/>
                  <w:vAlign w:val="center"/>
                  <w:hideMark/>
                </w:tcPr>
                <w:p w14:paraId="2D326E1F"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7CC8925B"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52DABAB4"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H1Hd</w:t>
                  </w:r>
                </w:p>
              </w:tc>
              <w:tc>
                <w:tcPr>
                  <w:tcW w:w="2219" w:type="dxa"/>
                  <w:tcBorders>
                    <w:top w:val="nil"/>
                    <w:left w:val="nil"/>
                    <w:bottom w:val="single" w:sz="4" w:space="0" w:color="auto"/>
                    <w:right w:val="single" w:sz="4" w:space="0" w:color="auto"/>
                  </w:tcBorders>
                  <w:vAlign w:val="center"/>
                  <w:hideMark/>
                </w:tcPr>
                <w:p w14:paraId="2C396A7A"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 xml:space="preserve">Land adjoining Stubbing Wood Farm, </w:t>
                  </w:r>
                  <w:proofErr w:type="spellStart"/>
                  <w:r w:rsidRPr="005F5AF9">
                    <w:rPr>
                      <w:rFonts w:cs="Arial"/>
                      <w:color w:val="005CA9"/>
                      <w:sz w:val="22"/>
                      <w:szCs w:val="22"/>
                    </w:rPr>
                    <w:t>Watnall</w:t>
                  </w:r>
                  <w:proofErr w:type="spellEnd"/>
                  <w:r w:rsidRPr="005F5AF9">
                    <w:rPr>
                      <w:rFonts w:cs="Arial"/>
                      <w:color w:val="005CA9"/>
                      <w:sz w:val="22"/>
                      <w:szCs w:val="22"/>
                    </w:rPr>
                    <w:t xml:space="preserve"> Road, Hucknall</w:t>
                  </w:r>
                </w:p>
              </w:tc>
              <w:tc>
                <w:tcPr>
                  <w:tcW w:w="1293" w:type="dxa"/>
                  <w:tcBorders>
                    <w:top w:val="nil"/>
                    <w:left w:val="nil"/>
                    <w:bottom w:val="single" w:sz="4" w:space="0" w:color="auto"/>
                    <w:right w:val="single" w:sz="4" w:space="0" w:color="auto"/>
                  </w:tcBorders>
                  <w:noWrap/>
                  <w:vAlign w:val="center"/>
                  <w:hideMark/>
                </w:tcPr>
                <w:p w14:paraId="31B6A80F"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475A03D7"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63523861"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198</w:t>
                  </w:r>
                </w:p>
              </w:tc>
              <w:tc>
                <w:tcPr>
                  <w:tcW w:w="1646" w:type="dxa"/>
                  <w:tcBorders>
                    <w:top w:val="nil"/>
                    <w:left w:val="nil"/>
                    <w:bottom w:val="single" w:sz="4" w:space="0" w:color="auto"/>
                    <w:right w:val="single" w:sz="4" w:space="0" w:color="auto"/>
                  </w:tcBorders>
                  <w:noWrap/>
                  <w:vAlign w:val="center"/>
                  <w:hideMark/>
                </w:tcPr>
                <w:p w14:paraId="6449C2F1"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3B1D1297"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35A3A219"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H1He</w:t>
                  </w:r>
                </w:p>
              </w:tc>
              <w:tc>
                <w:tcPr>
                  <w:tcW w:w="2219" w:type="dxa"/>
                  <w:tcBorders>
                    <w:top w:val="nil"/>
                    <w:left w:val="nil"/>
                    <w:bottom w:val="single" w:sz="4" w:space="0" w:color="auto"/>
                    <w:right w:val="single" w:sz="4" w:space="0" w:color="auto"/>
                  </w:tcBorders>
                  <w:vAlign w:val="center"/>
                  <w:hideMark/>
                </w:tcPr>
                <w:p w14:paraId="618E686E"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 xml:space="preserve">Phase 5b, land at Rolls Royce, </w:t>
                  </w:r>
                  <w:proofErr w:type="spellStart"/>
                  <w:r w:rsidRPr="005F5AF9">
                    <w:rPr>
                      <w:rFonts w:cs="Arial"/>
                      <w:color w:val="005CA9"/>
                      <w:sz w:val="22"/>
                      <w:szCs w:val="22"/>
                    </w:rPr>
                    <w:t>Watnall</w:t>
                  </w:r>
                  <w:proofErr w:type="spellEnd"/>
                  <w:r w:rsidRPr="005F5AF9">
                    <w:rPr>
                      <w:rFonts w:cs="Arial"/>
                      <w:color w:val="005CA9"/>
                      <w:sz w:val="22"/>
                      <w:szCs w:val="22"/>
                    </w:rPr>
                    <w:t xml:space="preserve"> Road, Hucknall</w:t>
                  </w:r>
                </w:p>
              </w:tc>
              <w:tc>
                <w:tcPr>
                  <w:tcW w:w="1293" w:type="dxa"/>
                  <w:tcBorders>
                    <w:top w:val="nil"/>
                    <w:left w:val="nil"/>
                    <w:bottom w:val="single" w:sz="4" w:space="0" w:color="auto"/>
                    <w:right w:val="single" w:sz="4" w:space="0" w:color="auto"/>
                  </w:tcBorders>
                  <w:noWrap/>
                  <w:vAlign w:val="center"/>
                  <w:hideMark/>
                </w:tcPr>
                <w:p w14:paraId="2F492B83"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25171B7B"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0285FDD4"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150</w:t>
                  </w:r>
                </w:p>
              </w:tc>
              <w:tc>
                <w:tcPr>
                  <w:tcW w:w="1646" w:type="dxa"/>
                  <w:tcBorders>
                    <w:top w:val="nil"/>
                    <w:left w:val="nil"/>
                    <w:bottom w:val="single" w:sz="4" w:space="0" w:color="auto"/>
                    <w:right w:val="single" w:sz="4" w:space="0" w:color="auto"/>
                  </w:tcBorders>
                  <w:noWrap/>
                  <w:vAlign w:val="center"/>
                  <w:hideMark/>
                </w:tcPr>
                <w:p w14:paraId="69674DB5"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UC</w:t>
                  </w:r>
                </w:p>
              </w:tc>
            </w:tr>
            <w:tr w:rsidR="004D5B4D" w:rsidRPr="004D5B4D" w14:paraId="017B435A"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655F02AB"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H1Hf</w:t>
                  </w:r>
                </w:p>
              </w:tc>
              <w:tc>
                <w:tcPr>
                  <w:tcW w:w="2219" w:type="dxa"/>
                  <w:tcBorders>
                    <w:top w:val="nil"/>
                    <w:left w:val="nil"/>
                    <w:bottom w:val="single" w:sz="4" w:space="0" w:color="auto"/>
                    <w:right w:val="single" w:sz="4" w:space="0" w:color="auto"/>
                  </w:tcBorders>
                  <w:vAlign w:val="center"/>
                  <w:hideMark/>
                </w:tcPr>
                <w:p w14:paraId="08F655D5"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 xml:space="preserve">Phase 9, land at Rolls Royce, </w:t>
                  </w:r>
                  <w:proofErr w:type="spellStart"/>
                  <w:r w:rsidRPr="005F5AF9">
                    <w:rPr>
                      <w:rFonts w:cs="Arial"/>
                      <w:color w:val="005CA9"/>
                      <w:sz w:val="22"/>
                      <w:szCs w:val="22"/>
                    </w:rPr>
                    <w:t>Watnall</w:t>
                  </w:r>
                  <w:proofErr w:type="spellEnd"/>
                  <w:r w:rsidRPr="005F5AF9">
                    <w:rPr>
                      <w:rFonts w:cs="Arial"/>
                      <w:color w:val="005CA9"/>
                      <w:sz w:val="22"/>
                      <w:szCs w:val="22"/>
                    </w:rPr>
                    <w:t xml:space="preserve"> Road, Hucknall</w:t>
                  </w:r>
                </w:p>
              </w:tc>
              <w:tc>
                <w:tcPr>
                  <w:tcW w:w="1293" w:type="dxa"/>
                  <w:tcBorders>
                    <w:top w:val="nil"/>
                    <w:left w:val="nil"/>
                    <w:bottom w:val="single" w:sz="4" w:space="0" w:color="auto"/>
                    <w:right w:val="single" w:sz="4" w:space="0" w:color="auto"/>
                  </w:tcBorders>
                  <w:noWrap/>
                  <w:vAlign w:val="center"/>
                  <w:hideMark/>
                </w:tcPr>
                <w:p w14:paraId="6D477B95"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6A5CED9A"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0A140B22"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101</w:t>
                  </w:r>
                </w:p>
              </w:tc>
              <w:tc>
                <w:tcPr>
                  <w:tcW w:w="1646" w:type="dxa"/>
                  <w:tcBorders>
                    <w:top w:val="nil"/>
                    <w:left w:val="nil"/>
                    <w:bottom w:val="single" w:sz="4" w:space="0" w:color="auto"/>
                    <w:right w:val="single" w:sz="4" w:space="0" w:color="auto"/>
                  </w:tcBorders>
                  <w:noWrap/>
                  <w:vAlign w:val="center"/>
                  <w:hideMark/>
                </w:tcPr>
                <w:p w14:paraId="3DFBD731"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UC</w:t>
                  </w:r>
                </w:p>
              </w:tc>
            </w:tr>
            <w:tr w:rsidR="004D5B4D" w:rsidRPr="004D5B4D" w14:paraId="351170AF"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70D39149"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H1Hg</w:t>
                  </w:r>
                </w:p>
              </w:tc>
              <w:tc>
                <w:tcPr>
                  <w:tcW w:w="2219" w:type="dxa"/>
                  <w:tcBorders>
                    <w:top w:val="nil"/>
                    <w:left w:val="nil"/>
                    <w:bottom w:val="single" w:sz="4" w:space="0" w:color="auto"/>
                    <w:right w:val="single" w:sz="4" w:space="0" w:color="auto"/>
                  </w:tcBorders>
                  <w:vAlign w:val="center"/>
                  <w:hideMark/>
                </w:tcPr>
                <w:p w14:paraId="7F798332"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 xml:space="preserve">Hucknall Town football Club, </w:t>
                  </w:r>
                  <w:proofErr w:type="spellStart"/>
                  <w:r w:rsidRPr="005F5AF9">
                    <w:rPr>
                      <w:rFonts w:cs="Arial"/>
                      <w:color w:val="005CA9"/>
                      <w:sz w:val="22"/>
                      <w:szCs w:val="22"/>
                    </w:rPr>
                    <w:t>Watnall</w:t>
                  </w:r>
                  <w:proofErr w:type="spellEnd"/>
                  <w:r w:rsidRPr="005F5AF9">
                    <w:rPr>
                      <w:rFonts w:cs="Arial"/>
                      <w:color w:val="005CA9"/>
                      <w:sz w:val="22"/>
                      <w:szCs w:val="22"/>
                    </w:rPr>
                    <w:t xml:space="preserve"> Road</w:t>
                  </w:r>
                </w:p>
              </w:tc>
              <w:tc>
                <w:tcPr>
                  <w:tcW w:w="1293" w:type="dxa"/>
                  <w:tcBorders>
                    <w:top w:val="nil"/>
                    <w:left w:val="nil"/>
                    <w:bottom w:val="single" w:sz="4" w:space="0" w:color="auto"/>
                    <w:right w:val="single" w:sz="4" w:space="0" w:color="auto"/>
                  </w:tcBorders>
                  <w:noWrap/>
                  <w:vAlign w:val="center"/>
                  <w:hideMark/>
                </w:tcPr>
                <w:p w14:paraId="73AB0D45"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042916DE"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375EED6F" w14:textId="77777777" w:rsidR="004D5B4D" w:rsidRPr="005F5AF9" w:rsidRDefault="004D5B4D" w:rsidP="004D5B4D">
                  <w:pPr>
                    <w:keepNext w:val="0"/>
                    <w:spacing w:before="0"/>
                    <w:jc w:val="right"/>
                    <w:rPr>
                      <w:rFonts w:cs="Arial"/>
                      <w:color w:val="005CA9"/>
                      <w:sz w:val="22"/>
                      <w:szCs w:val="22"/>
                    </w:rPr>
                  </w:pPr>
                  <w:r w:rsidRPr="005F5AF9">
                    <w:rPr>
                      <w:rFonts w:cs="Arial"/>
                      <w:strike/>
                      <w:color w:val="005CA9"/>
                      <w:sz w:val="22"/>
                      <w:szCs w:val="22"/>
                    </w:rPr>
                    <w:t>82</w:t>
                  </w:r>
                  <w:r w:rsidRPr="005F5AF9">
                    <w:rPr>
                      <w:rFonts w:cs="Arial"/>
                      <w:color w:val="005CA9"/>
                      <w:sz w:val="22"/>
                      <w:szCs w:val="22"/>
                    </w:rPr>
                    <w:t xml:space="preserve"> </w:t>
                  </w:r>
                  <w:r w:rsidRPr="005F5AF9">
                    <w:rPr>
                      <w:rFonts w:cs="Arial"/>
                      <w:b/>
                      <w:bCs/>
                      <w:color w:val="005CA9"/>
                      <w:sz w:val="22"/>
                      <w:szCs w:val="22"/>
                    </w:rPr>
                    <w:t>83</w:t>
                  </w:r>
                </w:p>
              </w:tc>
              <w:tc>
                <w:tcPr>
                  <w:tcW w:w="1646" w:type="dxa"/>
                  <w:tcBorders>
                    <w:top w:val="nil"/>
                    <w:left w:val="nil"/>
                    <w:bottom w:val="single" w:sz="4" w:space="0" w:color="auto"/>
                    <w:right w:val="single" w:sz="4" w:space="0" w:color="auto"/>
                  </w:tcBorders>
                  <w:noWrap/>
                  <w:vAlign w:val="center"/>
                  <w:hideMark/>
                </w:tcPr>
                <w:p w14:paraId="4FC78A4C"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UC</w:t>
                  </w:r>
                </w:p>
              </w:tc>
            </w:tr>
            <w:tr w:rsidR="004D5B4D" w:rsidRPr="004D5B4D" w14:paraId="0894864F"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791CB2B3"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H1Hl</w:t>
                  </w:r>
                </w:p>
              </w:tc>
              <w:tc>
                <w:tcPr>
                  <w:tcW w:w="2219" w:type="dxa"/>
                  <w:tcBorders>
                    <w:top w:val="nil"/>
                    <w:left w:val="nil"/>
                    <w:bottom w:val="single" w:sz="4" w:space="0" w:color="auto"/>
                    <w:right w:val="single" w:sz="4" w:space="0" w:color="auto"/>
                  </w:tcBorders>
                  <w:vAlign w:val="center"/>
                  <w:hideMark/>
                </w:tcPr>
                <w:p w14:paraId="5D008805"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Land at, Shepherd Street (Rolls Royce site)</w:t>
                  </w:r>
                </w:p>
              </w:tc>
              <w:tc>
                <w:tcPr>
                  <w:tcW w:w="1293" w:type="dxa"/>
                  <w:tcBorders>
                    <w:top w:val="nil"/>
                    <w:left w:val="nil"/>
                    <w:bottom w:val="single" w:sz="4" w:space="0" w:color="auto"/>
                    <w:right w:val="single" w:sz="4" w:space="0" w:color="auto"/>
                  </w:tcBorders>
                  <w:noWrap/>
                  <w:vAlign w:val="center"/>
                  <w:hideMark/>
                </w:tcPr>
                <w:p w14:paraId="786EFF8E"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554EDF53"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4DDA4CFE" w14:textId="77777777" w:rsidR="004D5B4D" w:rsidRPr="005F5AF9" w:rsidRDefault="004D5B4D" w:rsidP="004D5B4D">
                  <w:pPr>
                    <w:keepNext w:val="0"/>
                    <w:spacing w:before="0"/>
                    <w:jc w:val="right"/>
                    <w:rPr>
                      <w:rFonts w:cs="Arial"/>
                      <w:color w:val="005CA9"/>
                      <w:sz w:val="22"/>
                      <w:szCs w:val="22"/>
                    </w:rPr>
                  </w:pPr>
                  <w:r w:rsidRPr="005F5AF9">
                    <w:rPr>
                      <w:rFonts w:cs="Arial"/>
                      <w:strike/>
                      <w:color w:val="005CA9"/>
                      <w:sz w:val="22"/>
                      <w:szCs w:val="22"/>
                    </w:rPr>
                    <w:t>42</w:t>
                  </w:r>
                  <w:r w:rsidRPr="005F5AF9">
                    <w:rPr>
                      <w:rFonts w:cs="Arial"/>
                      <w:color w:val="005CA9"/>
                      <w:sz w:val="22"/>
                      <w:szCs w:val="22"/>
                    </w:rPr>
                    <w:t xml:space="preserve"> </w:t>
                  </w:r>
                  <w:r w:rsidRPr="005F5AF9">
                    <w:rPr>
                      <w:rFonts w:cs="Arial"/>
                      <w:b/>
                      <w:bCs/>
                      <w:color w:val="005CA9"/>
                      <w:sz w:val="22"/>
                      <w:szCs w:val="22"/>
                    </w:rPr>
                    <w:t>48</w:t>
                  </w:r>
                </w:p>
              </w:tc>
              <w:tc>
                <w:tcPr>
                  <w:tcW w:w="1646" w:type="dxa"/>
                  <w:tcBorders>
                    <w:top w:val="nil"/>
                    <w:left w:val="nil"/>
                    <w:bottom w:val="single" w:sz="4" w:space="0" w:color="auto"/>
                    <w:right w:val="single" w:sz="4" w:space="0" w:color="auto"/>
                  </w:tcBorders>
                  <w:noWrap/>
                  <w:vAlign w:val="center"/>
                  <w:hideMark/>
                </w:tcPr>
                <w:p w14:paraId="4AC87DF2"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COMP</w:t>
                  </w:r>
                </w:p>
              </w:tc>
            </w:tr>
            <w:tr w:rsidR="004D5B4D" w:rsidRPr="004D5B4D" w14:paraId="716F5D1A" w14:textId="77777777" w:rsidTr="004D5B4D">
              <w:trPr>
                <w:trHeight w:val="560"/>
              </w:trPr>
              <w:tc>
                <w:tcPr>
                  <w:tcW w:w="960" w:type="dxa"/>
                  <w:tcBorders>
                    <w:top w:val="nil"/>
                    <w:left w:val="single" w:sz="4" w:space="0" w:color="auto"/>
                    <w:bottom w:val="nil"/>
                    <w:right w:val="single" w:sz="4" w:space="0" w:color="auto"/>
                  </w:tcBorders>
                  <w:noWrap/>
                  <w:vAlign w:val="center"/>
                  <w:hideMark/>
                </w:tcPr>
                <w:p w14:paraId="44F12C90"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H1Hn</w:t>
                  </w:r>
                </w:p>
              </w:tc>
              <w:tc>
                <w:tcPr>
                  <w:tcW w:w="2219" w:type="dxa"/>
                  <w:tcBorders>
                    <w:top w:val="nil"/>
                    <w:left w:val="nil"/>
                    <w:bottom w:val="nil"/>
                    <w:right w:val="single" w:sz="4" w:space="0" w:color="auto"/>
                  </w:tcBorders>
                  <w:vAlign w:val="center"/>
                  <w:hideMark/>
                </w:tcPr>
                <w:p w14:paraId="73475C10"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(Phase 2) Land at, Broomhill Farm</w:t>
                  </w:r>
                </w:p>
              </w:tc>
              <w:tc>
                <w:tcPr>
                  <w:tcW w:w="1293" w:type="dxa"/>
                  <w:tcBorders>
                    <w:top w:val="nil"/>
                    <w:left w:val="nil"/>
                    <w:bottom w:val="nil"/>
                    <w:right w:val="single" w:sz="4" w:space="0" w:color="auto"/>
                  </w:tcBorders>
                  <w:noWrap/>
                  <w:vAlign w:val="center"/>
                  <w:hideMark/>
                </w:tcPr>
                <w:p w14:paraId="13A3C428"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nil"/>
                    <w:right w:val="single" w:sz="4" w:space="0" w:color="auto"/>
                  </w:tcBorders>
                  <w:noWrap/>
                  <w:vAlign w:val="center"/>
                  <w:hideMark/>
                </w:tcPr>
                <w:p w14:paraId="0CA8ED34"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47A09FFC"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168</w:t>
                  </w:r>
                </w:p>
              </w:tc>
              <w:tc>
                <w:tcPr>
                  <w:tcW w:w="1646" w:type="dxa"/>
                  <w:tcBorders>
                    <w:top w:val="nil"/>
                    <w:left w:val="nil"/>
                    <w:bottom w:val="single" w:sz="4" w:space="0" w:color="auto"/>
                    <w:right w:val="single" w:sz="4" w:space="0" w:color="auto"/>
                  </w:tcBorders>
                  <w:noWrap/>
                  <w:vAlign w:val="center"/>
                  <w:hideMark/>
                </w:tcPr>
                <w:p w14:paraId="782653F2"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UC</w:t>
                  </w:r>
                </w:p>
              </w:tc>
            </w:tr>
            <w:tr w:rsidR="004D5B4D" w:rsidRPr="004D5B4D" w14:paraId="5B152B27" w14:textId="77777777" w:rsidTr="004D5B4D">
              <w:trPr>
                <w:trHeight w:val="435"/>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5853A7C1" w14:textId="77777777" w:rsidR="004D5B4D" w:rsidRPr="004D5B4D" w:rsidRDefault="004D5B4D" w:rsidP="004D5B4D">
                  <w:pPr>
                    <w:keepNext w:val="0"/>
                    <w:spacing w:before="0"/>
                    <w:jc w:val="both"/>
                    <w:rPr>
                      <w:rFonts w:cs="Arial"/>
                      <w:color w:val="0070C0"/>
                      <w:sz w:val="22"/>
                      <w:szCs w:val="22"/>
                    </w:rPr>
                  </w:pPr>
                  <w:r w:rsidRPr="004D5B4D">
                    <w:rPr>
                      <w:rFonts w:cs="Arial"/>
                      <w:color w:val="0070C0"/>
                      <w:sz w:val="22"/>
                      <w:szCs w:val="22"/>
                    </w:rPr>
                    <w:t> </w:t>
                  </w:r>
                </w:p>
              </w:tc>
              <w:tc>
                <w:tcPr>
                  <w:tcW w:w="2219" w:type="dxa"/>
                  <w:tcBorders>
                    <w:top w:val="single" w:sz="4" w:space="0" w:color="auto"/>
                    <w:left w:val="nil"/>
                    <w:bottom w:val="single" w:sz="4" w:space="0" w:color="auto"/>
                    <w:right w:val="single" w:sz="4" w:space="0" w:color="auto"/>
                  </w:tcBorders>
                  <w:vAlign w:val="center"/>
                  <w:hideMark/>
                </w:tcPr>
                <w:p w14:paraId="1C5773F4" w14:textId="77777777" w:rsidR="004D5B4D" w:rsidRPr="004D5B4D" w:rsidRDefault="004D5B4D" w:rsidP="004D5B4D">
                  <w:pPr>
                    <w:keepNext w:val="0"/>
                    <w:spacing w:before="0"/>
                    <w:jc w:val="both"/>
                    <w:rPr>
                      <w:rFonts w:cs="Arial"/>
                      <w:color w:val="0070C0"/>
                      <w:sz w:val="22"/>
                      <w:szCs w:val="22"/>
                    </w:rPr>
                  </w:pPr>
                  <w:r w:rsidRPr="004D5B4D">
                    <w:rPr>
                      <w:rFonts w:cs="Arial"/>
                      <w:color w:val="0070C0"/>
                      <w:sz w:val="22"/>
                      <w:szCs w:val="22"/>
                    </w:rPr>
                    <w:t> </w:t>
                  </w:r>
                </w:p>
              </w:tc>
              <w:tc>
                <w:tcPr>
                  <w:tcW w:w="1293" w:type="dxa"/>
                  <w:tcBorders>
                    <w:top w:val="single" w:sz="4" w:space="0" w:color="auto"/>
                    <w:left w:val="nil"/>
                    <w:bottom w:val="single" w:sz="4" w:space="0" w:color="auto"/>
                    <w:right w:val="single" w:sz="4" w:space="0" w:color="auto"/>
                  </w:tcBorders>
                  <w:noWrap/>
                  <w:vAlign w:val="center"/>
                  <w:hideMark/>
                </w:tcPr>
                <w:p w14:paraId="62080D23" w14:textId="77777777" w:rsidR="004D5B4D" w:rsidRPr="004D5B4D" w:rsidRDefault="004D5B4D" w:rsidP="004D5B4D">
                  <w:pPr>
                    <w:keepNext w:val="0"/>
                    <w:spacing w:before="0"/>
                    <w:jc w:val="both"/>
                    <w:rPr>
                      <w:rFonts w:cs="Arial"/>
                      <w:color w:val="0070C0"/>
                      <w:sz w:val="22"/>
                      <w:szCs w:val="22"/>
                    </w:rPr>
                  </w:pPr>
                  <w:r w:rsidRPr="004D5B4D">
                    <w:rPr>
                      <w:rFonts w:cs="Arial"/>
                      <w:color w:val="0070C0"/>
                      <w:sz w:val="22"/>
                      <w:szCs w:val="22"/>
                    </w:rPr>
                    <w:t> </w:t>
                  </w:r>
                </w:p>
              </w:tc>
              <w:tc>
                <w:tcPr>
                  <w:tcW w:w="1400" w:type="dxa"/>
                  <w:tcBorders>
                    <w:top w:val="single" w:sz="4" w:space="0" w:color="auto"/>
                    <w:left w:val="nil"/>
                    <w:bottom w:val="single" w:sz="4" w:space="0" w:color="auto"/>
                    <w:right w:val="single" w:sz="4" w:space="0" w:color="auto"/>
                  </w:tcBorders>
                  <w:noWrap/>
                  <w:vAlign w:val="center"/>
                  <w:hideMark/>
                </w:tcPr>
                <w:p w14:paraId="69ECEC14" w14:textId="77777777" w:rsidR="004D5B4D" w:rsidRPr="004D5B4D" w:rsidRDefault="004D5B4D" w:rsidP="004D5B4D">
                  <w:pPr>
                    <w:keepNext w:val="0"/>
                    <w:spacing w:before="0"/>
                    <w:jc w:val="center"/>
                    <w:rPr>
                      <w:rFonts w:cs="Arial"/>
                      <w:color w:val="0070C0"/>
                      <w:sz w:val="22"/>
                      <w:szCs w:val="22"/>
                    </w:rPr>
                  </w:pPr>
                  <w:r w:rsidRPr="004D5B4D">
                    <w:rPr>
                      <w:rFonts w:cs="Arial"/>
                      <w:color w:val="0070C0"/>
                      <w:sz w:val="22"/>
                      <w:szCs w:val="22"/>
                    </w:rPr>
                    <w:t> </w:t>
                  </w:r>
                </w:p>
              </w:tc>
              <w:tc>
                <w:tcPr>
                  <w:tcW w:w="1580" w:type="dxa"/>
                  <w:tcBorders>
                    <w:top w:val="nil"/>
                    <w:left w:val="nil"/>
                    <w:bottom w:val="single" w:sz="4" w:space="0" w:color="auto"/>
                    <w:right w:val="single" w:sz="4" w:space="0" w:color="auto"/>
                  </w:tcBorders>
                  <w:noWrap/>
                  <w:vAlign w:val="bottom"/>
                  <w:hideMark/>
                </w:tcPr>
                <w:p w14:paraId="4129987A" w14:textId="77777777" w:rsidR="004D5B4D" w:rsidRPr="005F5AF9" w:rsidRDefault="004D5B4D" w:rsidP="004D5B4D">
                  <w:pPr>
                    <w:keepNext w:val="0"/>
                    <w:spacing w:before="0"/>
                    <w:jc w:val="right"/>
                    <w:rPr>
                      <w:rFonts w:cs="Arial"/>
                      <w:b/>
                      <w:bCs/>
                      <w:color w:val="005CA9"/>
                      <w:sz w:val="22"/>
                      <w:szCs w:val="22"/>
                    </w:rPr>
                  </w:pPr>
                  <w:r w:rsidRPr="005F5AF9">
                    <w:rPr>
                      <w:rFonts w:cs="Arial"/>
                      <w:b/>
                      <w:bCs/>
                      <w:color w:val="005CA9"/>
                      <w:sz w:val="22"/>
                      <w:szCs w:val="22"/>
                    </w:rPr>
                    <w:t>1309</w:t>
                  </w:r>
                </w:p>
              </w:tc>
              <w:tc>
                <w:tcPr>
                  <w:tcW w:w="1646" w:type="dxa"/>
                  <w:tcBorders>
                    <w:top w:val="nil"/>
                    <w:left w:val="nil"/>
                    <w:bottom w:val="single" w:sz="4" w:space="0" w:color="auto"/>
                    <w:right w:val="single" w:sz="4" w:space="0" w:color="auto"/>
                  </w:tcBorders>
                  <w:noWrap/>
                  <w:vAlign w:val="bottom"/>
                  <w:hideMark/>
                </w:tcPr>
                <w:p w14:paraId="73CB58A8" w14:textId="77777777" w:rsidR="004D5B4D" w:rsidRPr="004D5B4D" w:rsidRDefault="004D5B4D" w:rsidP="004D5B4D">
                  <w:pPr>
                    <w:keepNext w:val="0"/>
                    <w:spacing w:before="0"/>
                    <w:jc w:val="center"/>
                    <w:rPr>
                      <w:rFonts w:cs="Arial"/>
                      <w:b/>
                      <w:bCs/>
                      <w:color w:val="0070C0"/>
                      <w:sz w:val="20"/>
                    </w:rPr>
                  </w:pPr>
                  <w:r w:rsidRPr="004D5B4D">
                    <w:rPr>
                      <w:rFonts w:cs="Arial"/>
                      <w:b/>
                      <w:bCs/>
                      <w:color w:val="0070C0"/>
                      <w:sz w:val="20"/>
                    </w:rPr>
                    <w:t> </w:t>
                  </w:r>
                </w:p>
              </w:tc>
            </w:tr>
          </w:tbl>
          <w:p w14:paraId="15B1A0C1" w14:textId="77777777" w:rsidR="004D5B4D" w:rsidRDefault="004D5B4D" w:rsidP="008B5F49">
            <w:pPr>
              <w:pStyle w:val="Policy"/>
              <w:spacing w:after="0" w:line="240" w:lineRule="auto"/>
              <w:ind w:left="447" w:right="284"/>
              <w:rPr>
                <w:rStyle w:val="Normal1"/>
                <w:rFonts w:cs="Arial"/>
                <w:bCs/>
                <w:highlight w:val="yellow"/>
                <w:u w:val="single"/>
              </w:rPr>
            </w:pPr>
          </w:p>
          <w:p w14:paraId="35165723" w14:textId="77777777" w:rsidR="004D5B4D" w:rsidRPr="003736C4" w:rsidRDefault="004D5B4D" w:rsidP="008B5F49">
            <w:pPr>
              <w:pStyle w:val="Policy"/>
              <w:spacing w:after="0" w:line="240" w:lineRule="auto"/>
              <w:ind w:left="447" w:right="284"/>
              <w:rPr>
                <w:rStyle w:val="Normal1"/>
                <w:rFonts w:cs="Arial"/>
                <w:bCs/>
                <w:highlight w:val="yellow"/>
                <w:u w:val="single"/>
              </w:rPr>
            </w:pPr>
          </w:p>
          <w:tbl>
            <w:tblPr>
              <w:tblW w:w="8651" w:type="dxa"/>
              <w:tblInd w:w="308" w:type="dxa"/>
              <w:tblLook w:val="04A0" w:firstRow="1" w:lastRow="0" w:firstColumn="1" w:lastColumn="0" w:noHBand="0" w:noVBand="1"/>
            </w:tblPr>
            <w:tblGrid>
              <w:gridCol w:w="779"/>
              <w:gridCol w:w="3478"/>
              <w:gridCol w:w="1559"/>
              <w:gridCol w:w="1494"/>
              <w:gridCol w:w="1341"/>
            </w:tblGrid>
            <w:tr w:rsidR="006E25C7" w:rsidRPr="004D5B4D" w14:paraId="46ECD6A5" w14:textId="77777777" w:rsidTr="006E25C7">
              <w:trPr>
                <w:trHeight w:val="840"/>
              </w:trPr>
              <w:tc>
                <w:tcPr>
                  <w:tcW w:w="779" w:type="dxa"/>
                  <w:tcBorders>
                    <w:top w:val="single" w:sz="4" w:space="0" w:color="auto"/>
                    <w:left w:val="single" w:sz="4" w:space="0" w:color="auto"/>
                    <w:bottom w:val="single" w:sz="4" w:space="0" w:color="auto"/>
                    <w:right w:val="single" w:sz="4" w:space="0" w:color="auto"/>
                  </w:tcBorders>
                  <w:shd w:val="clear" w:color="000000" w:fill="D9D9D9"/>
                  <w:hideMark/>
                </w:tcPr>
                <w:p w14:paraId="3AFBC5B8" w14:textId="77777777" w:rsidR="00AF04D2" w:rsidRPr="004D5B4D" w:rsidRDefault="00AF04D2" w:rsidP="00AF04D2">
                  <w:pPr>
                    <w:keepNext w:val="0"/>
                    <w:spacing w:before="0"/>
                    <w:rPr>
                      <w:rFonts w:cs="Arial"/>
                      <w:strike/>
                      <w:color w:val="auto"/>
                      <w:sz w:val="22"/>
                      <w:szCs w:val="22"/>
                    </w:rPr>
                  </w:pPr>
                  <w:r w:rsidRPr="004D5B4D">
                    <w:rPr>
                      <w:rFonts w:cs="Arial"/>
                      <w:strike/>
                      <w:color w:val="auto"/>
                      <w:sz w:val="22"/>
                      <w:szCs w:val="22"/>
                    </w:rPr>
                    <w:t>Site Ref.</w:t>
                  </w:r>
                </w:p>
              </w:tc>
              <w:tc>
                <w:tcPr>
                  <w:tcW w:w="3478" w:type="dxa"/>
                  <w:tcBorders>
                    <w:top w:val="single" w:sz="4" w:space="0" w:color="auto"/>
                    <w:left w:val="nil"/>
                    <w:bottom w:val="single" w:sz="4" w:space="0" w:color="auto"/>
                    <w:right w:val="single" w:sz="4" w:space="0" w:color="auto"/>
                  </w:tcBorders>
                  <w:shd w:val="clear" w:color="000000" w:fill="D9D9D9"/>
                  <w:hideMark/>
                </w:tcPr>
                <w:p w14:paraId="67DCE960" w14:textId="77777777" w:rsidR="00AF04D2" w:rsidRPr="004D5B4D" w:rsidRDefault="00AF04D2" w:rsidP="00AF04D2">
                  <w:pPr>
                    <w:keepNext w:val="0"/>
                    <w:spacing w:before="0"/>
                    <w:rPr>
                      <w:rFonts w:cs="Arial"/>
                      <w:strike/>
                      <w:color w:val="auto"/>
                      <w:sz w:val="22"/>
                      <w:szCs w:val="22"/>
                    </w:rPr>
                  </w:pPr>
                  <w:r w:rsidRPr="004D5B4D">
                    <w:rPr>
                      <w:rFonts w:cs="Arial"/>
                      <w:strike/>
                      <w:color w:val="auto"/>
                      <w:sz w:val="22"/>
                      <w:szCs w:val="22"/>
                    </w:rPr>
                    <w:t>Site Name</w:t>
                  </w:r>
                </w:p>
              </w:tc>
              <w:tc>
                <w:tcPr>
                  <w:tcW w:w="1559" w:type="dxa"/>
                  <w:tcBorders>
                    <w:top w:val="single" w:sz="4" w:space="0" w:color="auto"/>
                    <w:left w:val="nil"/>
                    <w:bottom w:val="single" w:sz="4" w:space="0" w:color="auto"/>
                    <w:right w:val="single" w:sz="4" w:space="0" w:color="auto"/>
                  </w:tcBorders>
                  <w:shd w:val="clear" w:color="000000" w:fill="D9D9D9"/>
                  <w:hideMark/>
                </w:tcPr>
                <w:p w14:paraId="20F1F74C" w14:textId="77777777" w:rsidR="00AF04D2" w:rsidRPr="004D5B4D" w:rsidRDefault="00AF04D2" w:rsidP="00AF04D2">
                  <w:pPr>
                    <w:keepNext w:val="0"/>
                    <w:spacing w:before="0"/>
                    <w:jc w:val="center"/>
                    <w:rPr>
                      <w:rFonts w:cs="Arial"/>
                      <w:strike/>
                      <w:color w:val="auto"/>
                      <w:sz w:val="22"/>
                      <w:szCs w:val="22"/>
                    </w:rPr>
                  </w:pPr>
                  <w:r w:rsidRPr="004D5B4D">
                    <w:rPr>
                      <w:rFonts w:cs="Arial"/>
                      <w:strike/>
                      <w:color w:val="auto"/>
                      <w:sz w:val="22"/>
                      <w:szCs w:val="22"/>
                    </w:rPr>
                    <w:t>Greenfield/ Brownfield</w:t>
                  </w:r>
                </w:p>
              </w:tc>
              <w:tc>
                <w:tcPr>
                  <w:tcW w:w="1494" w:type="dxa"/>
                  <w:tcBorders>
                    <w:top w:val="single" w:sz="4" w:space="0" w:color="auto"/>
                    <w:left w:val="nil"/>
                    <w:bottom w:val="single" w:sz="4" w:space="0" w:color="auto"/>
                    <w:right w:val="single" w:sz="4" w:space="0" w:color="auto"/>
                  </w:tcBorders>
                  <w:shd w:val="clear" w:color="000000" w:fill="D9D9D9"/>
                  <w:hideMark/>
                </w:tcPr>
                <w:p w14:paraId="7DA8D5E7" w14:textId="77777777" w:rsidR="00AF04D2" w:rsidRPr="004D5B4D" w:rsidRDefault="00AF04D2" w:rsidP="00AF04D2">
                  <w:pPr>
                    <w:keepNext w:val="0"/>
                    <w:spacing w:before="0"/>
                    <w:jc w:val="center"/>
                    <w:rPr>
                      <w:rFonts w:cs="Arial"/>
                      <w:strike/>
                      <w:color w:val="auto"/>
                      <w:sz w:val="22"/>
                      <w:szCs w:val="22"/>
                    </w:rPr>
                  </w:pPr>
                  <w:r w:rsidRPr="004D5B4D">
                    <w:rPr>
                      <w:rFonts w:cs="Arial"/>
                      <w:strike/>
                      <w:color w:val="auto"/>
                      <w:sz w:val="22"/>
                      <w:szCs w:val="22"/>
                    </w:rPr>
                    <w:t>Planning Permission*</w:t>
                  </w:r>
                </w:p>
              </w:tc>
              <w:tc>
                <w:tcPr>
                  <w:tcW w:w="1341" w:type="dxa"/>
                  <w:tcBorders>
                    <w:top w:val="single" w:sz="4" w:space="0" w:color="auto"/>
                    <w:left w:val="nil"/>
                    <w:bottom w:val="single" w:sz="4" w:space="0" w:color="auto"/>
                    <w:right w:val="single" w:sz="4" w:space="0" w:color="auto"/>
                  </w:tcBorders>
                  <w:shd w:val="clear" w:color="000000" w:fill="D9D9D9"/>
                  <w:hideMark/>
                </w:tcPr>
                <w:p w14:paraId="51230111" w14:textId="77777777" w:rsidR="00AF04D2" w:rsidRPr="004D5B4D" w:rsidRDefault="00AF04D2" w:rsidP="00AF04D2">
                  <w:pPr>
                    <w:keepNext w:val="0"/>
                    <w:spacing w:before="0"/>
                    <w:rPr>
                      <w:rFonts w:cs="Arial"/>
                      <w:strike/>
                      <w:color w:val="auto"/>
                      <w:sz w:val="22"/>
                      <w:szCs w:val="22"/>
                    </w:rPr>
                  </w:pPr>
                  <w:r w:rsidRPr="004D5B4D">
                    <w:rPr>
                      <w:rFonts w:cs="Arial"/>
                      <w:strike/>
                      <w:color w:val="auto"/>
                      <w:sz w:val="22"/>
                      <w:szCs w:val="22"/>
                    </w:rPr>
                    <w:t>Potential Yield (bedrooms)</w:t>
                  </w:r>
                </w:p>
              </w:tc>
            </w:tr>
            <w:tr w:rsidR="006E25C7" w:rsidRPr="004D5B4D" w14:paraId="3C660FC8" w14:textId="77777777" w:rsidTr="006E25C7">
              <w:trPr>
                <w:trHeight w:val="560"/>
              </w:trPr>
              <w:tc>
                <w:tcPr>
                  <w:tcW w:w="779" w:type="dxa"/>
                  <w:tcBorders>
                    <w:top w:val="nil"/>
                    <w:left w:val="single" w:sz="4" w:space="0" w:color="auto"/>
                    <w:bottom w:val="single" w:sz="4" w:space="0" w:color="auto"/>
                    <w:right w:val="single" w:sz="4" w:space="0" w:color="auto"/>
                  </w:tcBorders>
                  <w:noWrap/>
                  <w:hideMark/>
                </w:tcPr>
                <w:p w14:paraId="21DBCC7B" w14:textId="77777777" w:rsidR="00AF04D2" w:rsidRPr="004D5B4D" w:rsidRDefault="00AF04D2" w:rsidP="00AF04D2">
                  <w:pPr>
                    <w:keepNext w:val="0"/>
                    <w:spacing w:before="0"/>
                    <w:rPr>
                      <w:rFonts w:cs="Arial"/>
                      <w:strike/>
                      <w:color w:val="auto"/>
                      <w:sz w:val="22"/>
                      <w:szCs w:val="22"/>
                    </w:rPr>
                  </w:pPr>
                  <w:r w:rsidRPr="004D5B4D">
                    <w:rPr>
                      <w:rFonts w:cs="Arial"/>
                      <w:strike/>
                      <w:color w:val="auto"/>
                      <w:sz w:val="22"/>
                      <w:szCs w:val="22"/>
                    </w:rPr>
                    <w:t>H1Ca</w:t>
                  </w:r>
                </w:p>
              </w:tc>
              <w:tc>
                <w:tcPr>
                  <w:tcW w:w="3478" w:type="dxa"/>
                  <w:tcBorders>
                    <w:top w:val="nil"/>
                    <w:left w:val="nil"/>
                    <w:bottom w:val="single" w:sz="4" w:space="0" w:color="auto"/>
                    <w:right w:val="single" w:sz="4" w:space="0" w:color="auto"/>
                  </w:tcBorders>
                  <w:hideMark/>
                </w:tcPr>
                <w:p w14:paraId="08404941" w14:textId="77777777" w:rsidR="00AF04D2" w:rsidRPr="004D5B4D" w:rsidRDefault="00AF04D2" w:rsidP="00AF04D2">
                  <w:pPr>
                    <w:keepNext w:val="0"/>
                    <w:spacing w:before="0"/>
                    <w:rPr>
                      <w:rFonts w:cs="Arial"/>
                      <w:strike/>
                      <w:color w:val="auto"/>
                      <w:sz w:val="22"/>
                      <w:szCs w:val="22"/>
                    </w:rPr>
                  </w:pPr>
                  <w:r w:rsidRPr="004D5B4D">
                    <w:rPr>
                      <w:rFonts w:cs="Arial"/>
                      <w:strike/>
                      <w:color w:val="auto"/>
                      <w:sz w:val="22"/>
                      <w:szCs w:val="22"/>
                    </w:rPr>
                    <w:t xml:space="preserve">Former Hucknall Police Station, </w:t>
                  </w:r>
                  <w:proofErr w:type="spellStart"/>
                  <w:r w:rsidRPr="004D5B4D">
                    <w:rPr>
                      <w:rFonts w:cs="Arial"/>
                      <w:strike/>
                      <w:color w:val="auto"/>
                      <w:sz w:val="22"/>
                      <w:szCs w:val="22"/>
                    </w:rPr>
                    <w:t>Watnall</w:t>
                  </w:r>
                  <w:proofErr w:type="spellEnd"/>
                  <w:r w:rsidRPr="004D5B4D">
                    <w:rPr>
                      <w:rFonts w:cs="Arial"/>
                      <w:strike/>
                      <w:color w:val="auto"/>
                      <w:sz w:val="22"/>
                      <w:szCs w:val="22"/>
                    </w:rPr>
                    <w:t xml:space="preserve"> Road, Hucknall</w:t>
                  </w:r>
                </w:p>
              </w:tc>
              <w:tc>
                <w:tcPr>
                  <w:tcW w:w="1559" w:type="dxa"/>
                  <w:tcBorders>
                    <w:top w:val="nil"/>
                    <w:left w:val="nil"/>
                    <w:bottom w:val="single" w:sz="4" w:space="0" w:color="auto"/>
                    <w:right w:val="single" w:sz="4" w:space="0" w:color="auto"/>
                  </w:tcBorders>
                  <w:noWrap/>
                  <w:hideMark/>
                </w:tcPr>
                <w:p w14:paraId="2546E96E" w14:textId="77777777" w:rsidR="00AF04D2" w:rsidRPr="004D5B4D" w:rsidRDefault="00AF04D2" w:rsidP="00AF04D2">
                  <w:pPr>
                    <w:keepNext w:val="0"/>
                    <w:spacing w:before="0"/>
                    <w:jc w:val="center"/>
                    <w:rPr>
                      <w:rFonts w:cs="Arial"/>
                      <w:strike/>
                      <w:color w:val="auto"/>
                      <w:sz w:val="22"/>
                      <w:szCs w:val="22"/>
                    </w:rPr>
                  </w:pPr>
                  <w:r w:rsidRPr="004D5B4D">
                    <w:rPr>
                      <w:rFonts w:cs="Arial"/>
                      <w:strike/>
                      <w:color w:val="auto"/>
                      <w:sz w:val="22"/>
                      <w:szCs w:val="22"/>
                    </w:rPr>
                    <w:t>B</w:t>
                  </w:r>
                </w:p>
              </w:tc>
              <w:tc>
                <w:tcPr>
                  <w:tcW w:w="1494" w:type="dxa"/>
                  <w:tcBorders>
                    <w:top w:val="nil"/>
                    <w:left w:val="nil"/>
                    <w:bottom w:val="single" w:sz="4" w:space="0" w:color="auto"/>
                    <w:right w:val="single" w:sz="4" w:space="0" w:color="auto"/>
                  </w:tcBorders>
                  <w:noWrap/>
                  <w:hideMark/>
                </w:tcPr>
                <w:p w14:paraId="2C75D7E3" w14:textId="77777777" w:rsidR="00AF04D2" w:rsidRPr="004D5B4D" w:rsidRDefault="00AF04D2" w:rsidP="00AF04D2">
                  <w:pPr>
                    <w:keepNext w:val="0"/>
                    <w:spacing w:before="0"/>
                    <w:jc w:val="center"/>
                    <w:rPr>
                      <w:rFonts w:cs="Arial"/>
                      <w:strike/>
                      <w:color w:val="auto"/>
                      <w:sz w:val="22"/>
                      <w:szCs w:val="22"/>
                    </w:rPr>
                  </w:pPr>
                  <w:r w:rsidRPr="004D5B4D">
                    <w:rPr>
                      <w:rFonts w:cs="Arial"/>
                      <w:strike/>
                      <w:color w:val="auto"/>
                      <w:sz w:val="22"/>
                      <w:szCs w:val="22"/>
                    </w:rPr>
                    <w:t>Yes</w:t>
                  </w:r>
                </w:p>
              </w:tc>
              <w:tc>
                <w:tcPr>
                  <w:tcW w:w="1341" w:type="dxa"/>
                  <w:tcBorders>
                    <w:top w:val="nil"/>
                    <w:left w:val="nil"/>
                    <w:bottom w:val="single" w:sz="4" w:space="0" w:color="auto"/>
                    <w:right w:val="single" w:sz="4" w:space="0" w:color="auto"/>
                  </w:tcBorders>
                  <w:noWrap/>
                  <w:hideMark/>
                </w:tcPr>
                <w:p w14:paraId="3FE7D869" w14:textId="77777777" w:rsidR="00AF04D2" w:rsidRPr="004D5B4D" w:rsidRDefault="00AF04D2" w:rsidP="00AF04D2">
                  <w:pPr>
                    <w:keepNext w:val="0"/>
                    <w:spacing w:before="0"/>
                    <w:jc w:val="right"/>
                    <w:rPr>
                      <w:rFonts w:cs="Arial"/>
                      <w:strike/>
                      <w:color w:val="auto"/>
                      <w:sz w:val="22"/>
                      <w:szCs w:val="22"/>
                    </w:rPr>
                  </w:pPr>
                  <w:r w:rsidRPr="004D5B4D">
                    <w:rPr>
                      <w:rFonts w:cs="Arial"/>
                      <w:strike/>
                      <w:color w:val="auto"/>
                      <w:sz w:val="22"/>
                      <w:szCs w:val="22"/>
                    </w:rPr>
                    <w:t>73</w:t>
                  </w:r>
                </w:p>
              </w:tc>
            </w:tr>
          </w:tbl>
          <w:p w14:paraId="6B5C5DE2" w14:textId="77777777" w:rsidR="003C7E62" w:rsidRPr="003736C4" w:rsidRDefault="003C7E62" w:rsidP="008B5F49">
            <w:pPr>
              <w:pStyle w:val="Policy"/>
              <w:spacing w:after="0" w:line="240" w:lineRule="auto"/>
              <w:ind w:left="0" w:right="284" w:firstLine="447"/>
              <w:rPr>
                <w:rStyle w:val="Normal1"/>
                <w:rFonts w:cs="Arial"/>
                <w:bCs/>
                <w:highlight w:val="yellow"/>
                <w:u w:val="single"/>
              </w:rPr>
            </w:pPr>
          </w:p>
          <w:tbl>
            <w:tblPr>
              <w:tblW w:w="9017" w:type="dxa"/>
              <w:tblLook w:val="04A0" w:firstRow="1" w:lastRow="0" w:firstColumn="1" w:lastColumn="0" w:noHBand="0" w:noVBand="1"/>
            </w:tblPr>
            <w:tblGrid>
              <w:gridCol w:w="960"/>
              <w:gridCol w:w="1759"/>
              <w:gridCol w:w="1418"/>
              <w:gridCol w:w="1400"/>
              <w:gridCol w:w="1580"/>
              <w:gridCol w:w="1900"/>
            </w:tblGrid>
            <w:tr w:rsidR="004D5B4D" w:rsidRPr="004D5B4D" w14:paraId="08A6924A" w14:textId="77777777" w:rsidTr="004D5B4D">
              <w:trPr>
                <w:trHeight w:val="1400"/>
              </w:trPr>
              <w:tc>
                <w:tcPr>
                  <w:tcW w:w="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5A8BCF6" w14:textId="77777777" w:rsidR="004D5B4D" w:rsidRPr="00E56F9C" w:rsidRDefault="004D5B4D" w:rsidP="004D5B4D">
                  <w:pPr>
                    <w:keepNext w:val="0"/>
                    <w:spacing w:before="0"/>
                    <w:jc w:val="both"/>
                    <w:rPr>
                      <w:rFonts w:cs="Arial"/>
                      <w:color w:val="005EAC"/>
                      <w:sz w:val="22"/>
                      <w:szCs w:val="22"/>
                    </w:rPr>
                  </w:pPr>
                  <w:r w:rsidRPr="00E56F9C">
                    <w:rPr>
                      <w:rFonts w:cs="Arial"/>
                      <w:color w:val="005EAC"/>
                      <w:sz w:val="22"/>
                      <w:szCs w:val="22"/>
                    </w:rPr>
                    <w:lastRenderedPageBreak/>
                    <w:t>Site Ref.</w:t>
                  </w:r>
                </w:p>
              </w:tc>
              <w:tc>
                <w:tcPr>
                  <w:tcW w:w="1759" w:type="dxa"/>
                  <w:tcBorders>
                    <w:top w:val="single" w:sz="4" w:space="0" w:color="auto"/>
                    <w:left w:val="nil"/>
                    <w:bottom w:val="single" w:sz="4" w:space="0" w:color="auto"/>
                    <w:right w:val="single" w:sz="4" w:space="0" w:color="auto"/>
                  </w:tcBorders>
                  <w:shd w:val="clear" w:color="000000" w:fill="D9D9D9"/>
                  <w:vAlign w:val="center"/>
                  <w:hideMark/>
                </w:tcPr>
                <w:p w14:paraId="45660E12" w14:textId="77777777" w:rsidR="004D5B4D" w:rsidRPr="00E56F9C" w:rsidRDefault="004D5B4D" w:rsidP="004D5B4D">
                  <w:pPr>
                    <w:keepNext w:val="0"/>
                    <w:spacing w:before="0"/>
                    <w:jc w:val="both"/>
                    <w:rPr>
                      <w:rFonts w:cs="Arial"/>
                      <w:color w:val="005EAC"/>
                      <w:sz w:val="22"/>
                      <w:szCs w:val="22"/>
                    </w:rPr>
                  </w:pPr>
                  <w:r w:rsidRPr="00E56F9C">
                    <w:rPr>
                      <w:rFonts w:cs="Arial"/>
                      <w:color w:val="005EAC"/>
                      <w:sz w:val="22"/>
                      <w:szCs w:val="22"/>
                    </w:rPr>
                    <w:t>Site Name</w:t>
                  </w:r>
                </w:p>
              </w:tc>
              <w:tc>
                <w:tcPr>
                  <w:tcW w:w="1418" w:type="dxa"/>
                  <w:tcBorders>
                    <w:top w:val="single" w:sz="4" w:space="0" w:color="auto"/>
                    <w:left w:val="nil"/>
                    <w:bottom w:val="single" w:sz="4" w:space="0" w:color="auto"/>
                    <w:right w:val="single" w:sz="4" w:space="0" w:color="auto"/>
                  </w:tcBorders>
                  <w:shd w:val="clear" w:color="000000" w:fill="D9D9D9"/>
                  <w:vAlign w:val="center"/>
                  <w:hideMark/>
                </w:tcPr>
                <w:p w14:paraId="7736A72C" w14:textId="77777777" w:rsidR="004D5B4D" w:rsidRPr="00E56F9C" w:rsidRDefault="004D5B4D" w:rsidP="004D5B4D">
                  <w:pPr>
                    <w:keepNext w:val="0"/>
                    <w:spacing w:before="0"/>
                    <w:jc w:val="center"/>
                    <w:rPr>
                      <w:rFonts w:cs="Arial"/>
                      <w:color w:val="005EAC"/>
                      <w:sz w:val="22"/>
                      <w:szCs w:val="22"/>
                    </w:rPr>
                  </w:pPr>
                  <w:r w:rsidRPr="00E56F9C">
                    <w:rPr>
                      <w:rFonts w:cs="Arial"/>
                      <w:color w:val="005EAC"/>
                      <w:sz w:val="22"/>
                      <w:szCs w:val="22"/>
                    </w:rPr>
                    <w:t>Greenfield/ Brownfield</w:t>
                  </w:r>
                </w:p>
              </w:tc>
              <w:tc>
                <w:tcPr>
                  <w:tcW w:w="1400" w:type="dxa"/>
                  <w:tcBorders>
                    <w:top w:val="single" w:sz="4" w:space="0" w:color="auto"/>
                    <w:left w:val="nil"/>
                    <w:bottom w:val="single" w:sz="4" w:space="0" w:color="auto"/>
                    <w:right w:val="single" w:sz="4" w:space="0" w:color="auto"/>
                  </w:tcBorders>
                  <w:shd w:val="clear" w:color="000000" w:fill="D9D9D9"/>
                  <w:vAlign w:val="center"/>
                  <w:hideMark/>
                </w:tcPr>
                <w:p w14:paraId="06B82CA3" w14:textId="77777777" w:rsidR="004D5B4D" w:rsidRPr="00E56F9C" w:rsidRDefault="004D5B4D" w:rsidP="004D5B4D">
                  <w:pPr>
                    <w:keepNext w:val="0"/>
                    <w:spacing w:before="0"/>
                    <w:jc w:val="center"/>
                    <w:rPr>
                      <w:rFonts w:cs="Arial"/>
                      <w:color w:val="005EAC"/>
                      <w:sz w:val="22"/>
                      <w:szCs w:val="22"/>
                    </w:rPr>
                  </w:pPr>
                  <w:r w:rsidRPr="00E56F9C">
                    <w:rPr>
                      <w:rFonts w:cs="Arial"/>
                      <w:color w:val="005EAC"/>
                      <w:sz w:val="22"/>
                      <w:szCs w:val="22"/>
                    </w:rPr>
                    <w:t>Planning Permission*</w:t>
                  </w:r>
                </w:p>
              </w:tc>
              <w:tc>
                <w:tcPr>
                  <w:tcW w:w="1580" w:type="dxa"/>
                  <w:tcBorders>
                    <w:top w:val="single" w:sz="4" w:space="0" w:color="auto"/>
                    <w:left w:val="nil"/>
                    <w:bottom w:val="single" w:sz="4" w:space="0" w:color="auto"/>
                    <w:right w:val="single" w:sz="4" w:space="0" w:color="auto"/>
                  </w:tcBorders>
                  <w:shd w:val="clear" w:color="000000" w:fill="D9D9D9"/>
                  <w:vAlign w:val="center"/>
                  <w:hideMark/>
                </w:tcPr>
                <w:p w14:paraId="6295212F" w14:textId="77777777" w:rsidR="004D5B4D" w:rsidRPr="00E56F9C" w:rsidRDefault="004D5B4D" w:rsidP="004D5B4D">
                  <w:pPr>
                    <w:keepNext w:val="0"/>
                    <w:spacing w:before="0"/>
                    <w:jc w:val="center"/>
                    <w:rPr>
                      <w:rFonts w:cs="Arial"/>
                      <w:color w:val="005EAC"/>
                      <w:sz w:val="22"/>
                      <w:szCs w:val="22"/>
                    </w:rPr>
                  </w:pPr>
                  <w:r w:rsidRPr="00E56F9C">
                    <w:rPr>
                      <w:rFonts w:cs="Arial"/>
                      <w:b/>
                      <w:bCs/>
                      <w:color w:val="005EAC"/>
                      <w:sz w:val="22"/>
                      <w:szCs w:val="22"/>
                    </w:rPr>
                    <w:t>Total</w:t>
                  </w:r>
                  <w:r w:rsidRPr="00E56F9C">
                    <w:rPr>
                      <w:rFonts w:cs="Arial"/>
                      <w:color w:val="005EAC"/>
                      <w:sz w:val="22"/>
                      <w:szCs w:val="22"/>
                    </w:rPr>
                    <w:t xml:space="preserve"> Potential Yield </w:t>
                  </w:r>
                  <w:r w:rsidRPr="00E56F9C">
                    <w:rPr>
                      <w:rFonts w:cs="Arial"/>
                      <w:b/>
                      <w:bCs/>
                      <w:color w:val="005EAC"/>
                      <w:sz w:val="22"/>
                      <w:szCs w:val="22"/>
                    </w:rPr>
                    <w:t>2023-2040</w:t>
                  </w:r>
                  <w:r w:rsidRPr="00E56F9C">
                    <w:rPr>
                      <w:rFonts w:cs="Arial"/>
                      <w:color w:val="005EAC"/>
                      <w:sz w:val="22"/>
                      <w:szCs w:val="22"/>
                    </w:rPr>
                    <w:t xml:space="preserve"> </w:t>
                  </w:r>
                  <w:r w:rsidRPr="00E56F9C">
                    <w:rPr>
                      <w:rFonts w:cs="Arial"/>
                      <w:b/>
                      <w:bCs/>
                      <w:color w:val="005EAC"/>
                      <w:sz w:val="22"/>
                      <w:szCs w:val="22"/>
                    </w:rPr>
                    <w:t>(</w:t>
                  </w:r>
                  <w:proofErr w:type="gramStart"/>
                  <w:r w:rsidRPr="00E56F9C">
                    <w:rPr>
                      <w:rFonts w:cs="Arial"/>
                      <w:b/>
                      <w:bCs/>
                      <w:color w:val="005EAC"/>
                      <w:sz w:val="22"/>
                      <w:szCs w:val="22"/>
                    </w:rPr>
                    <w:t>Dwellings)</w:t>
                  </w:r>
                  <w:r w:rsidRPr="00E56F9C">
                    <w:rPr>
                      <w:rFonts w:cs="Arial"/>
                      <w:color w:val="005EAC"/>
                      <w:sz w:val="22"/>
                      <w:szCs w:val="22"/>
                    </w:rPr>
                    <w:t xml:space="preserve">  </w:t>
                  </w:r>
                  <w:r w:rsidRPr="00E56F9C">
                    <w:rPr>
                      <w:rFonts w:cs="Arial"/>
                      <w:strike/>
                      <w:color w:val="005EAC"/>
                      <w:sz w:val="22"/>
                      <w:szCs w:val="22"/>
                    </w:rPr>
                    <w:t>(</w:t>
                  </w:r>
                  <w:proofErr w:type="gramEnd"/>
                  <w:r w:rsidRPr="00E56F9C">
                    <w:rPr>
                      <w:rFonts w:cs="Arial"/>
                      <w:strike/>
                      <w:color w:val="005EAC"/>
                      <w:sz w:val="22"/>
                      <w:szCs w:val="22"/>
                    </w:rPr>
                    <w:t>bedrooms)</w:t>
                  </w:r>
                </w:p>
              </w:tc>
              <w:tc>
                <w:tcPr>
                  <w:tcW w:w="1900" w:type="dxa"/>
                  <w:tcBorders>
                    <w:top w:val="single" w:sz="4" w:space="0" w:color="auto"/>
                    <w:left w:val="nil"/>
                    <w:bottom w:val="single" w:sz="4" w:space="0" w:color="auto"/>
                    <w:right w:val="single" w:sz="4" w:space="0" w:color="auto"/>
                  </w:tcBorders>
                  <w:shd w:val="clear" w:color="000000" w:fill="D9D9D9"/>
                  <w:vAlign w:val="center"/>
                  <w:hideMark/>
                </w:tcPr>
                <w:p w14:paraId="0E26FC37" w14:textId="77777777" w:rsidR="004D5B4D" w:rsidRPr="00E56F9C" w:rsidRDefault="004D5B4D" w:rsidP="004D5B4D">
                  <w:pPr>
                    <w:keepNext w:val="0"/>
                    <w:spacing w:before="0"/>
                    <w:jc w:val="center"/>
                    <w:rPr>
                      <w:rFonts w:cs="Arial"/>
                      <w:b/>
                      <w:bCs/>
                      <w:color w:val="005EAC"/>
                      <w:sz w:val="22"/>
                      <w:szCs w:val="22"/>
                    </w:rPr>
                  </w:pPr>
                  <w:r w:rsidRPr="00E56F9C">
                    <w:rPr>
                      <w:rFonts w:cs="Arial"/>
                      <w:b/>
                      <w:bCs/>
                      <w:color w:val="005EAC"/>
                      <w:sz w:val="22"/>
                      <w:szCs w:val="22"/>
                    </w:rPr>
                    <w:t xml:space="preserve">Progress </w:t>
                  </w:r>
                  <w:proofErr w:type="gramStart"/>
                  <w:r w:rsidRPr="00E56F9C">
                    <w:rPr>
                      <w:rFonts w:cs="Arial"/>
                      <w:b/>
                      <w:bCs/>
                      <w:color w:val="005EAC"/>
                      <w:sz w:val="22"/>
                      <w:szCs w:val="22"/>
                    </w:rPr>
                    <w:t>at</w:t>
                  </w:r>
                  <w:proofErr w:type="gramEnd"/>
                  <w:r w:rsidRPr="00E56F9C">
                    <w:rPr>
                      <w:rFonts w:cs="Arial"/>
                      <w:b/>
                      <w:bCs/>
                      <w:color w:val="005EAC"/>
                      <w:sz w:val="22"/>
                      <w:szCs w:val="22"/>
                    </w:rPr>
                    <w:t xml:space="preserve"> April 2025 (Not Started/ Under Construction/ Completed</w:t>
                  </w:r>
                </w:p>
              </w:tc>
            </w:tr>
            <w:tr w:rsidR="004D5B4D" w:rsidRPr="004D5B4D" w14:paraId="717632FE"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7946DF38"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H1Ca</w:t>
                  </w:r>
                </w:p>
              </w:tc>
              <w:tc>
                <w:tcPr>
                  <w:tcW w:w="1759" w:type="dxa"/>
                  <w:tcBorders>
                    <w:top w:val="nil"/>
                    <w:left w:val="nil"/>
                    <w:bottom w:val="single" w:sz="4" w:space="0" w:color="auto"/>
                    <w:right w:val="single" w:sz="4" w:space="0" w:color="auto"/>
                  </w:tcBorders>
                  <w:vAlign w:val="center"/>
                  <w:hideMark/>
                </w:tcPr>
                <w:p w14:paraId="2EEE6C58"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 xml:space="preserve">Former Hucknall Police Station, </w:t>
                  </w:r>
                  <w:proofErr w:type="spellStart"/>
                  <w:r w:rsidRPr="005F5AF9">
                    <w:rPr>
                      <w:rFonts w:cs="Arial"/>
                      <w:color w:val="005CA9"/>
                      <w:sz w:val="22"/>
                      <w:szCs w:val="22"/>
                    </w:rPr>
                    <w:t>Watnall</w:t>
                  </w:r>
                  <w:proofErr w:type="spellEnd"/>
                  <w:r w:rsidRPr="005F5AF9">
                    <w:rPr>
                      <w:rFonts w:cs="Arial"/>
                      <w:color w:val="005CA9"/>
                      <w:sz w:val="22"/>
                      <w:szCs w:val="22"/>
                    </w:rPr>
                    <w:t xml:space="preserve"> Road, Hucknall</w:t>
                  </w:r>
                </w:p>
              </w:tc>
              <w:tc>
                <w:tcPr>
                  <w:tcW w:w="1418" w:type="dxa"/>
                  <w:tcBorders>
                    <w:top w:val="nil"/>
                    <w:left w:val="nil"/>
                    <w:bottom w:val="single" w:sz="4" w:space="0" w:color="auto"/>
                    <w:right w:val="single" w:sz="4" w:space="0" w:color="auto"/>
                  </w:tcBorders>
                  <w:noWrap/>
                  <w:vAlign w:val="center"/>
                  <w:hideMark/>
                </w:tcPr>
                <w:p w14:paraId="0BBF2F55"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40878EAB"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2B791834"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73</w:t>
                  </w:r>
                </w:p>
              </w:tc>
              <w:tc>
                <w:tcPr>
                  <w:tcW w:w="1900" w:type="dxa"/>
                  <w:tcBorders>
                    <w:top w:val="nil"/>
                    <w:left w:val="nil"/>
                    <w:bottom w:val="single" w:sz="4" w:space="0" w:color="auto"/>
                    <w:right w:val="single" w:sz="4" w:space="0" w:color="auto"/>
                  </w:tcBorders>
                  <w:noWrap/>
                  <w:vAlign w:val="center"/>
                  <w:hideMark/>
                </w:tcPr>
                <w:p w14:paraId="5FA253D0"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UC</w:t>
                  </w:r>
                </w:p>
              </w:tc>
            </w:tr>
          </w:tbl>
          <w:p w14:paraId="2342E8B4" w14:textId="77777777" w:rsidR="00BF07B5" w:rsidRDefault="00BF07B5" w:rsidP="008B5F49">
            <w:pPr>
              <w:pStyle w:val="Policy"/>
              <w:spacing w:after="0" w:line="240" w:lineRule="auto"/>
              <w:ind w:left="0" w:right="284" w:firstLine="447"/>
              <w:rPr>
                <w:rStyle w:val="Normal1"/>
                <w:rFonts w:cs="Arial"/>
                <w:bCs/>
                <w:highlight w:val="yellow"/>
                <w:u w:val="single"/>
              </w:rPr>
            </w:pPr>
          </w:p>
          <w:p w14:paraId="65437070" w14:textId="77777777" w:rsidR="004D5B4D" w:rsidRDefault="004D5B4D" w:rsidP="008B5F49">
            <w:pPr>
              <w:pStyle w:val="Policy"/>
              <w:spacing w:after="0" w:line="240" w:lineRule="auto"/>
              <w:ind w:left="0" w:right="284" w:firstLine="447"/>
              <w:rPr>
                <w:rStyle w:val="Normal1"/>
                <w:rFonts w:cs="Arial"/>
                <w:bCs/>
                <w:highlight w:val="yellow"/>
                <w:u w:val="single"/>
              </w:rPr>
            </w:pPr>
          </w:p>
          <w:p w14:paraId="39513729" w14:textId="77777777" w:rsidR="004D5B4D" w:rsidRPr="003736C4" w:rsidRDefault="004D5B4D" w:rsidP="008B5F49">
            <w:pPr>
              <w:pStyle w:val="Policy"/>
              <w:spacing w:after="0" w:line="240" w:lineRule="auto"/>
              <w:ind w:left="0" w:right="284" w:firstLine="447"/>
              <w:rPr>
                <w:rStyle w:val="Normal1"/>
                <w:rFonts w:cs="Arial"/>
                <w:bCs/>
                <w:highlight w:val="yellow"/>
                <w:u w:val="single"/>
              </w:rPr>
            </w:pPr>
          </w:p>
          <w:p w14:paraId="480B4D09" w14:textId="5F4FCEFD" w:rsidR="003C7E62" w:rsidRPr="004D5B4D" w:rsidRDefault="003C7E62" w:rsidP="001770A9">
            <w:pPr>
              <w:pStyle w:val="Policy"/>
              <w:spacing w:after="0" w:line="240" w:lineRule="auto"/>
              <w:ind w:left="0" w:right="284" w:firstLine="313"/>
              <w:rPr>
                <w:rStyle w:val="Normal1"/>
                <w:rFonts w:cs="Arial"/>
                <w:bCs/>
                <w:u w:val="single"/>
              </w:rPr>
            </w:pPr>
            <w:r w:rsidRPr="004D5B4D">
              <w:rPr>
                <w:rStyle w:val="Normal1"/>
                <w:rFonts w:cs="Arial"/>
                <w:bCs/>
                <w:u w:val="single"/>
              </w:rPr>
              <w:t>Kirkby Area</w:t>
            </w:r>
          </w:p>
          <w:p w14:paraId="4EAE4F33" w14:textId="77777777" w:rsidR="008048E1" w:rsidRPr="004D5B4D" w:rsidRDefault="008048E1" w:rsidP="008B5F49">
            <w:pPr>
              <w:pStyle w:val="Policy"/>
              <w:spacing w:after="0" w:line="240" w:lineRule="auto"/>
              <w:ind w:left="447" w:right="284"/>
              <w:rPr>
                <w:rStyle w:val="Normal1"/>
                <w:rFonts w:cs="Arial"/>
                <w:bCs/>
                <w:u w:val="single"/>
              </w:rPr>
            </w:pPr>
          </w:p>
          <w:tbl>
            <w:tblPr>
              <w:tblW w:w="8700" w:type="dxa"/>
              <w:jc w:val="center"/>
              <w:tblLook w:val="04A0" w:firstRow="1" w:lastRow="0" w:firstColumn="1" w:lastColumn="0" w:noHBand="0" w:noVBand="1"/>
            </w:tblPr>
            <w:tblGrid>
              <w:gridCol w:w="767"/>
              <w:gridCol w:w="3569"/>
              <w:gridCol w:w="1460"/>
              <w:gridCol w:w="1600"/>
              <w:gridCol w:w="1304"/>
            </w:tblGrid>
            <w:tr w:rsidR="006E25C7" w:rsidRPr="004D5B4D" w14:paraId="2404AA57" w14:textId="77777777" w:rsidTr="00642E60">
              <w:trPr>
                <w:trHeight w:val="840"/>
                <w:jc w:val="center"/>
              </w:trPr>
              <w:tc>
                <w:tcPr>
                  <w:tcW w:w="760" w:type="dxa"/>
                  <w:tcBorders>
                    <w:top w:val="single" w:sz="4" w:space="0" w:color="auto"/>
                    <w:left w:val="single" w:sz="4" w:space="0" w:color="auto"/>
                    <w:bottom w:val="single" w:sz="4" w:space="0" w:color="auto"/>
                    <w:right w:val="single" w:sz="4" w:space="0" w:color="auto"/>
                  </w:tcBorders>
                  <w:shd w:val="clear" w:color="000000" w:fill="D9D9D9"/>
                  <w:hideMark/>
                </w:tcPr>
                <w:p w14:paraId="07CC51A4"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Site Ref.</w:t>
                  </w:r>
                </w:p>
              </w:tc>
              <w:tc>
                <w:tcPr>
                  <w:tcW w:w="3660" w:type="dxa"/>
                  <w:tcBorders>
                    <w:top w:val="single" w:sz="4" w:space="0" w:color="auto"/>
                    <w:left w:val="nil"/>
                    <w:bottom w:val="single" w:sz="4" w:space="0" w:color="auto"/>
                    <w:right w:val="single" w:sz="4" w:space="0" w:color="auto"/>
                  </w:tcBorders>
                  <w:shd w:val="clear" w:color="000000" w:fill="D9D9D9"/>
                  <w:hideMark/>
                </w:tcPr>
                <w:p w14:paraId="4464A67E"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6454062A"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067D63A9"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Planning Permission*</w:t>
                  </w:r>
                </w:p>
              </w:tc>
              <w:tc>
                <w:tcPr>
                  <w:tcW w:w="1220" w:type="dxa"/>
                  <w:tcBorders>
                    <w:top w:val="single" w:sz="4" w:space="0" w:color="auto"/>
                    <w:left w:val="nil"/>
                    <w:bottom w:val="single" w:sz="4" w:space="0" w:color="auto"/>
                    <w:right w:val="single" w:sz="4" w:space="0" w:color="auto"/>
                  </w:tcBorders>
                  <w:shd w:val="clear" w:color="000000" w:fill="D9D9D9"/>
                  <w:hideMark/>
                </w:tcPr>
                <w:p w14:paraId="1364FB2D"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Potential Yield (Dwellings)</w:t>
                  </w:r>
                </w:p>
              </w:tc>
            </w:tr>
            <w:tr w:rsidR="006E25C7" w:rsidRPr="004D5B4D" w14:paraId="33DC808B"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62079FE6"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H1Ka</w:t>
                  </w:r>
                </w:p>
              </w:tc>
              <w:tc>
                <w:tcPr>
                  <w:tcW w:w="3660" w:type="dxa"/>
                  <w:tcBorders>
                    <w:top w:val="nil"/>
                    <w:left w:val="nil"/>
                    <w:bottom w:val="single" w:sz="4" w:space="0" w:color="auto"/>
                    <w:right w:val="single" w:sz="4" w:space="0" w:color="auto"/>
                  </w:tcBorders>
                  <w:hideMark/>
                </w:tcPr>
                <w:p w14:paraId="598E21A8"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Beacon Farm, Derby Road, Kirkby-In Ashfield</w:t>
                  </w:r>
                </w:p>
              </w:tc>
              <w:tc>
                <w:tcPr>
                  <w:tcW w:w="1460" w:type="dxa"/>
                  <w:tcBorders>
                    <w:top w:val="nil"/>
                    <w:left w:val="nil"/>
                    <w:bottom w:val="single" w:sz="4" w:space="0" w:color="auto"/>
                    <w:right w:val="single" w:sz="4" w:space="0" w:color="auto"/>
                  </w:tcBorders>
                  <w:noWrap/>
                  <w:hideMark/>
                </w:tcPr>
                <w:p w14:paraId="3CAE0179"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G/B</w:t>
                  </w:r>
                </w:p>
              </w:tc>
              <w:tc>
                <w:tcPr>
                  <w:tcW w:w="1600" w:type="dxa"/>
                  <w:tcBorders>
                    <w:top w:val="nil"/>
                    <w:left w:val="nil"/>
                    <w:bottom w:val="single" w:sz="4" w:space="0" w:color="auto"/>
                    <w:right w:val="single" w:sz="4" w:space="0" w:color="auto"/>
                  </w:tcBorders>
                  <w:noWrap/>
                  <w:hideMark/>
                </w:tcPr>
                <w:p w14:paraId="7A7B57D2"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68E4FD76"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41</w:t>
                  </w:r>
                </w:p>
              </w:tc>
            </w:tr>
            <w:tr w:rsidR="006E25C7" w:rsidRPr="004D5B4D" w14:paraId="365FA549"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2D3C24D2"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H1Kb</w:t>
                  </w:r>
                </w:p>
              </w:tc>
              <w:tc>
                <w:tcPr>
                  <w:tcW w:w="3660" w:type="dxa"/>
                  <w:tcBorders>
                    <w:top w:val="nil"/>
                    <w:left w:val="nil"/>
                    <w:bottom w:val="single" w:sz="4" w:space="0" w:color="auto"/>
                    <w:right w:val="single" w:sz="4" w:space="0" w:color="auto"/>
                  </w:tcBorders>
                  <w:hideMark/>
                </w:tcPr>
                <w:p w14:paraId="775D5B56"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Land off Millers Way, Kirkby-In Ashfield</w:t>
                  </w:r>
                </w:p>
              </w:tc>
              <w:tc>
                <w:tcPr>
                  <w:tcW w:w="1460" w:type="dxa"/>
                  <w:tcBorders>
                    <w:top w:val="nil"/>
                    <w:left w:val="nil"/>
                    <w:bottom w:val="single" w:sz="4" w:space="0" w:color="auto"/>
                    <w:right w:val="single" w:sz="4" w:space="0" w:color="auto"/>
                  </w:tcBorders>
                  <w:noWrap/>
                  <w:hideMark/>
                </w:tcPr>
                <w:p w14:paraId="5385E448"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529389AD"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0115A4CB"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54</w:t>
                  </w:r>
                </w:p>
              </w:tc>
            </w:tr>
            <w:tr w:rsidR="006E25C7" w:rsidRPr="004D5B4D" w14:paraId="4E73F39D"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0E54BB70"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H1Kc</w:t>
                  </w:r>
                </w:p>
              </w:tc>
              <w:tc>
                <w:tcPr>
                  <w:tcW w:w="3660" w:type="dxa"/>
                  <w:tcBorders>
                    <w:top w:val="nil"/>
                    <w:left w:val="nil"/>
                    <w:bottom w:val="single" w:sz="4" w:space="0" w:color="auto"/>
                    <w:right w:val="single" w:sz="4" w:space="0" w:color="auto"/>
                  </w:tcBorders>
                  <w:hideMark/>
                </w:tcPr>
                <w:p w14:paraId="63A7756D"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Land at Doles Lane, Kirkby-In Ashfield</w:t>
                  </w:r>
                </w:p>
              </w:tc>
              <w:tc>
                <w:tcPr>
                  <w:tcW w:w="1460" w:type="dxa"/>
                  <w:tcBorders>
                    <w:top w:val="nil"/>
                    <w:left w:val="nil"/>
                    <w:bottom w:val="single" w:sz="4" w:space="0" w:color="auto"/>
                    <w:right w:val="single" w:sz="4" w:space="0" w:color="auto"/>
                  </w:tcBorders>
                  <w:noWrap/>
                  <w:hideMark/>
                </w:tcPr>
                <w:p w14:paraId="2A50CA37"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786A5DDE"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23A00F34"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54</w:t>
                  </w:r>
                </w:p>
              </w:tc>
            </w:tr>
            <w:tr w:rsidR="006E25C7" w:rsidRPr="004D5B4D" w14:paraId="43867F0F" w14:textId="77777777" w:rsidTr="00642E60">
              <w:trPr>
                <w:trHeight w:val="280"/>
                <w:jc w:val="center"/>
              </w:trPr>
              <w:tc>
                <w:tcPr>
                  <w:tcW w:w="760" w:type="dxa"/>
                  <w:tcBorders>
                    <w:top w:val="nil"/>
                    <w:left w:val="single" w:sz="4" w:space="0" w:color="auto"/>
                    <w:bottom w:val="single" w:sz="4" w:space="0" w:color="auto"/>
                    <w:right w:val="single" w:sz="4" w:space="0" w:color="auto"/>
                  </w:tcBorders>
                  <w:noWrap/>
                  <w:hideMark/>
                </w:tcPr>
                <w:p w14:paraId="5155B0F1"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H1Kd</w:t>
                  </w:r>
                </w:p>
              </w:tc>
              <w:tc>
                <w:tcPr>
                  <w:tcW w:w="3660" w:type="dxa"/>
                  <w:tcBorders>
                    <w:top w:val="nil"/>
                    <w:left w:val="nil"/>
                    <w:bottom w:val="single" w:sz="4" w:space="0" w:color="auto"/>
                    <w:right w:val="single" w:sz="4" w:space="0" w:color="auto"/>
                  </w:tcBorders>
                  <w:hideMark/>
                </w:tcPr>
                <w:p w14:paraId="5F71DE66"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 xml:space="preserve">Off </w:t>
                  </w:r>
                  <w:proofErr w:type="spellStart"/>
                  <w:r w:rsidRPr="004D5B4D">
                    <w:rPr>
                      <w:rFonts w:cs="Arial"/>
                      <w:strike/>
                      <w:color w:val="auto"/>
                      <w:sz w:val="22"/>
                      <w:szCs w:val="22"/>
                    </w:rPr>
                    <w:t>Walesby</w:t>
                  </w:r>
                  <w:proofErr w:type="spellEnd"/>
                  <w:r w:rsidRPr="004D5B4D">
                    <w:rPr>
                      <w:rFonts w:cs="Arial"/>
                      <w:strike/>
                      <w:color w:val="auto"/>
                      <w:sz w:val="22"/>
                      <w:szCs w:val="22"/>
                    </w:rPr>
                    <w:t xml:space="preserve"> Drive</w:t>
                  </w:r>
                </w:p>
              </w:tc>
              <w:tc>
                <w:tcPr>
                  <w:tcW w:w="1460" w:type="dxa"/>
                  <w:tcBorders>
                    <w:top w:val="nil"/>
                    <w:left w:val="nil"/>
                    <w:bottom w:val="single" w:sz="4" w:space="0" w:color="auto"/>
                    <w:right w:val="single" w:sz="4" w:space="0" w:color="auto"/>
                  </w:tcBorders>
                  <w:noWrap/>
                  <w:hideMark/>
                </w:tcPr>
                <w:p w14:paraId="2E6DC885"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44B26B83" w14:textId="295830C4" w:rsidR="00642E60" w:rsidRPr="004D5B4D" w:rsidRDefault="00C02B74"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0BD3483A"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196</w:t>
                  </w:r>
                </w:p>
              </w:tc>
            </w:tr>
            <w:tr w:rsidR="006E25C7" w:rsidRPr="004D5B4D" w14:paraId="204D661E"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19C53FD0"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H1Ke</w:t>
                  </w:r>
                </w:p>
              </w:tc>
              <w:tc>
                <w:tcPr>
                  <w:tcW w:w="3660" w:type="dxa"/>
                  <w:tcBorders>
                    <w:top w:val="nil"/>
                    <w:left w:val="nil"/>
                    <w:bottom w:val="single" w:sz="4" w:space="0" w:color="auto"/>
                    <w:right w:val="single" w:sz="4" w:space="0" w:color="auto"/>
                  </w:tcBorders>
                  <w:hideMark/>
                </w:tcPr>
                <w:p w14:paraId="3F2DCE7A"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Land off Diamond Avenue, Kirkby-In-Ashfield</w:t>
                  </w:r>
                </w:p>
              </w:tc>
              <w:tc>
                <w:tcPr>
                  <w:tcW w:w="1460" w:type="dxa"/>
                  <w:tcBorders>
                    <w:top w:val="nil"/>
                    <w:left w:val="nil"/>
                    <w:bottom w:val="single" w:sz="4" w:space="0" w:color="auto"/>
                    <w:right w:val="single" w:sz="4" w:space="0" w:color="auto"/>
                  </w:tcBorders>
                  <w:noWrap/>
                  <w:hideMark/>
                </w:tcPr>
                <w:p w14:paraId="5B56F5D6"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3221F294"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5B63D774"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63</w:t>
                  </w:r>
                </w:p>
              </w:tc>
            </w:tr>
            <w:tr w:rsidR="006E25C7" w:rsidRPr="004D5B4D" w14:paraId="7CD5F5D3" w14:textId="77777777" w:rsidTr="00642E60">
              <w:trPr>
                <w:trHeight w:val="280"/>
                <w:jc w:val="center"/>
              </w:trPr>
              <w:tc>
                <w:tcPr>
                  <w:tcW w:w="760" w:type="dxa"/>
                  <w:tcBorders>
                    <w:top w:val="nil"/>
                    <w:left w:val="single" w:sz="4" w:space="0" w:color="auto"/>
                    <w:bottom w:val="single" w:sz="4" w:space="0" w:color="auto"/>
                    <w:right w:val="single" w:sz="4" w:space="0" w:color="auto"/>
                  </w:tcBorders>
                  <w:noWrap/>
                  <w:hideMark/>
                </w:tcPr>
                <w:p w14:paraId="545352BB"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H1Kf</w:t>
                  </w:r>
                </w:p>
              </w:tc>
              <w:tc>
                <w:tcPr>
                  <w:tcW w:w="3660" w:type="dxa"/>
                  <w:tcBorders>
                    <w:top w:val="nil"/>
                    <w:left w:val="nil"/>
                    <w:bottom w:val="single" w:sz="4" w:space="0" w:color="auto"/>
                    <w:right w:val="single" w:sz="4" w:space="0" w:color="auto"/>
                  </w:tcBorders>
                  <w:hideMark/>
                </w:tcPr>
                <w:p w14:paraId="1B99B4DD"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Warwick Close, Kirkby-In-Ashfield</w:t>
                  </w:r>
                </w:p>
              </w:tc>
              <w:tc>
                <w:tcPr>
                  <w:tcW w:w="1460" w:type="dxa"/>
                  <w:tcBorders>
                    <w:top w:val="nil"/>
                    <w:left w:val="nil"/>
                    <w:bottom w:val="single" w:sz="4" w:space="0" w:color="auto"/>
                    <w:right w:val="single" w:sz="4" w:space="0" w:color="auto"/>
                  </w:tcBorders>
                  <w:noWrap/>
                  <w:hideMark/>
                </w:tcPr>
                <w:p w14:paraId="72BC4F75"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3D413F27"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0B209A8E"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34</w:t>
                  </w:r>
                </w:p>
              </w:tc>
            </w:tr>
            <w:tr w:rsidR="006E25C7" w:rsidRPr="004D5B4D" w14:paraId="5DC0D83F" w14:textId="77777777" w:rsidTr="00642E60">
              <w:trPr>
                <w:trHeight w:val="560"/>
                <w:jc w:val="center"/>
              </w:trPr>
              <w:tc>
                <w:tcPr>
                  <w:tcW w:w="760" w:type="dxa"/>
                  <w:tcBorders>
                    <w:top w:val="nil"/>
                    <w:left w:val="single" w:sz="4" w:space="0" w:color="auto"/>
                    <w:bottom w:val="single" w:sz="4" w:space="0" w:color="auto"/>
                    <w:right w:val="single" w:sz="4" w:space="0" w:color="auto"/>
                  </w:tcBorders>
                  <w:noWrap/>
                  <w:hideMark/>
                </w:tcPr>
                <w:p w14:paraId="3744A15B"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H1Kg</w:t>
                  </w:r>
                </w:p>
              </w:tc>
              <w:tc>
                <w:tcPr>
                  <w:tcW w:w="3660" w:type="dxa"/>
                  <w:tcBorders>
                    <w:top w:val="nil"/>
                    <w:left w:val="nil"/>
                    <w:bottom w:val="single" w:sz="4" w:space="0" w:color="auto"/>
                    <w:right w:val="single" w:sz="4" w:space="0" w:color="auto"/>
                  </w:tcBorders>
                  <w:hideMark/>
                </w:tcPr>
                <w:p w14:paraId="5EEEE3B8"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Land behind 126 Skegby Road, Kirkby-In-Ashfield</w:t>
                  </w:r>
                </w:p>
              </w:tc>
              <w:tc>
                <w:tcPr>
                  <w:tcW w:w="1460" w:type="dxa"/>
                  <w:tcBorders>
                    <w:top w:val="nil"/>
                    <w:left w:val="nil"/>
                    <w:bottom w:val="single" w:sz="4" w:space="0" w:color="auto"/>
                    <w:right w:val="single" w:sz="4" w:space="0" w:color="auto"/>
                  </w:tcBorders>
                  <w:noWrap/>
                  <w:hideMark/>
                </w:tcPr>
                <w:p w14:paraId="0DA2E483"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3D2520D3"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54691113"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15</w:t>
                  </w:r>
                </w:p>
              </w:tc>
            </w:tr>
            <w:tr w:rsidR="006E25C7" w:rsidRPr="004D5B4D" w14:paraId="1B0E325B" w14:textId="77777777" w:rsidTr="00642E60">
              <w:trPr>
                <w:trHeight w:val="280"/>
                <w:jc w:val="center"/>
              </w:trPr>
              <w:tc>
                <w:tcPr>
                  <w:tcW w:w="760" w:type="dxa"/>
                  <w:tcBorders>
                    <w:top w:val="nil"/>
                    <w:left w:val="single" w:sz="4" w:space="0" w:color="auto"/>
                    <w:bottom w:val="single" w:sz="4" w:space="0" w:color="auto"/>
                    <w:right w:val="single" w:sz="4" w:space="0" w:color="auto"/>
                  </w:tcBorders>
                  <w:noWrap/>
                  <w:hideMark/>
                </w:tcPr>
                <w:p w14:paraId="4A34DAA1"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H1Kh</w:t>
                  </w:r>
                </w:p>
              </w:tc>
              <w:tc>
                <w:tcPr>
                  <w:tcW w:w="3660" w:type="dxa"/>
                  <w:tcBorders>
                    <w:top w:val="nil"/>
                    <w:left w:val="nil"/>
                    <w:bottom w:val="single" w:sz="4" w:space="0" w:color="auto"/>
                    <w:right w:val="single" w:sz="4" w:space="0" w:color="auto"/>
                  </w:tcBorders>
                  <w:hideMark/>
                </w:tcPr>
                <w:p w14:paraId="68B421FC"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Land Off Hucknall Road, Newstead</w:t>
                  </w:r>
                </w:p>
              </w:tc>
              <w:tc>
                <w:tcPr>
                  <w:tcW w:w="1460" w:type="dxa"/>
                  <w:tcBorders>
                    <w:top w:val="nil"/>
                    <w:left w:val="nil"/>
                    <w:bottom w:val="single" w:sz="4" w:space="0" w:color="auto"/>
                    <w:right w:val="single" w:sz="4" w:space="0" w:color="auto"/>
                  </w:tcBorders>
                  <w:noWrap/>
                  <w:hideMark/>
                </w:tcPr>
                <w:p w14:paraId="6188B608"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54BC49EA"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566C7D42" w14:textId="77777777" w:rsidR="00642E60" w:rsidRPr="004D5B4D" w:rsidRDefault="00642E60" w:rsidP="00642E60">
                  <w:pPr>
                    <w:keepNext w:val="0"/>
                    <w:spacing w:before="0"/>
                    <w:jc w:val="right"/>
                    <w:rPr>
                      <w:rFonts w:cs="Arial"/>
                      <w:strike/>
                      <w:color w:val="auto"/>
                      <w:sz w:val="22"/>
                      <w:szCs w:val="22"/>
                    </w:rPr>
                  </w:pPr>
                  <w:r w:rsidRPr="004D5B4D">
                    <w:rPr>
                      <w:rFonts w:cs="Arial"/>
                      <w:strike/>
                      <w:color w:val="auto"/>
                      <w:sz w:val="22"/>
                      <w:szCs w:val="22"/>
                    </w:rPr>
                    <w:t>47</w:t>
                  </w:r>
                </w:p>
              </w:tc>
            </w:tr>
            <w:tr w:rsidR="006E25C7" w:rsidRPr="004D5B4D" w14:paraId="0C1DD22D" w14:textId="77777777" w:rsidTr="00642E60">
              <w:trPr>
                <w:trHeight w:val="410"/>
                <w:jc w:val="center"/>
              </w:trPr>
              <w:tc>
                <w:tcPr>
                  <w:tcW w:w="760" w:type="dxa"/>
                  <w:tcBorders>
                    <w:top w:val="nil"/>
                    <w:left w:val="single" w:sz="4" w:space="0" w:color="auto"/>
                    <w:bottom w:val="single" w:sz="4" w:space="0" w:color="auto"/>
                    <w:right w:val="single" w:sz="4" w:space="0" w:color="auto"/>
                  </w:tcBorders>
                  <w:noWrap/>
                </w:tcPr>
                <w:p w14:paraId="0273B429" w14:textId="34A9C236" w:rsidR="0051086F" w:rsidRPr="004D5B4D" w:rsidRDefault="0051086F" w:rsidP="00642E60">
                  <w:pPr>
                    <w:keepNext w:val="0"/>
                    <w:spacing w:before="0"/>
                    <w:rPr>
                      <w:rFonts w:cs="Arial"/>
                      <w:strike/>
                      <w:color w:val="auto"/>
                      <w:sz w:val="22"/>
                      <w:szCs w:val="22"/>
                    </w:rPr>
                  </w:pPr>
                  <w:r w:rsidRPr="004D5B4D">
                    <w:rPr>
                      <w:rFonts w:cs="Arial"/>
                      <w:strike/>
                      <w:color w:val="auto"/>
                      <w:sz w:val="22"/>
                      <w:szCs w:val="22"/>
                    </w:rPr>
                    <w:t>H1Kk</w:t>
                  </w:r>
                </w:p>
              </w:tc>
              <w:tc>
                <w:tcPr>
                  <w:tcW w:w="3660" w:type="dxa"/>
                  <w:tcBorders>
                    <w:top w:val="nil"/>
                    <w:left w:val="nil"/>
                    <w:bottom w:val="single" w:sz="4" w:space="0" w:color="auto"/>
                    <w:right w:val="single" w:sz="4" w:space="0" w:color="auto"/>
                  </w:tcBorders>
                </w:tcPr>
                <w:p w14:paraId="2BD34464" w14:textId="3FA69836" w:rsidR="0051086F" w:rsidRPr="004D5B4D" w:rsidRDefault="0051086F" w:rsidP="00642E60">
                  <w:pPr>
                    <w:keepNext w:val="0"/>
                    <w:spacing w:before="0"/>
                    <w:rPr>
                      <w:rFonts w:cs="Arial"/>
                      <w:strike/>
                      <w:color w:val="auto"/>
                      <w:sz w:val="22"/>
                      <w:szCs w:val="22"/>
                    </w:rPr>
                  </w:pPr>
                  <w:r w:rsidRPr="004D5B4D">
                    <w:rPr>
                      <w:rFonts w:cs="Arial"/>
                      <w:strike/>
                      <w:color w:val="auto"/>
                      <w:sz w:val="22"/>
                      <w:szCs w:val="22"/>
                    </w:rPr>
                    <w:t>Land off Laburnum Avenue, Kirkby</w:t>
                  </w:r>
                </w:p>
              </w:tc>
              <w:tc>
                <w:tcPr>
                  <w:tcW w:w="1460" w:type="dxa"/>
                  <w:tcBorders>
                    <w:top w:val="nil"/>
                    <w:left w:val="nil"/>
                    <w:bottom w:val="single" w:sz="4" w:space="0" w:color="auto"/>
                    <w:right w:val="single" w:sz="4" w:space="0" w:color="auto"/>
                  </w:tcBorders>
                  <w:noWrap/>
                </w:tcPr>
                <w:p w14:paraId="62F36C59" w14:textId="752A1393" w:rsidR="0051086F" w:rsidRPr="004D5B4D" w:rsidRDefault="0051086F" w:rsidP="00642E60">
                  <w:pPr>
                    <w:keepNext w:val="0"/>
                    <w:spacing w:before="0"/>
                    <w:jc w:val="center"/>
                    <w:rPr>
                      <w:rFonts w:cs="Arial"/>
                      <w:strike/>
                      <w:color w:val="auto"/>
                      <w:sz w:val="22"/>
                      <w:szCs w:val="22"/>
                    </w:rPr>
                  </w:pPr>
                  <w:r w:rsidRPr="004D5B4D">
                    <w:rPr>
                      <w:rFonts w:cs="Arial"/>
                      <w:strike/>
                      <w:color w:val="auto"/>
                      <w:sz w:val="22"/>
                      <w:szCs w:val="22"/>
                    </w:rPr>
                    <w:t>G</w:t>
                  </w:r>
                </w:p>
              </w:tc>
              <w:tc>
                <w:tcPr>
                  <w:tcW w:w="1600" w:type="dxa"/>
                  <w:tcBorders>
                    <w:top w:val="nil"/>
                    <w:left w:val="nil"/>
                    <w:bottom w:val="single" w:sz="4" w:space="0" w:color="auto"/>
                    <w:right w:val="single" w:sz="4" w:space="0" w:color="auto"/>
                  </w:tcBorders>
                  <w:noWrap/>
                </w:tcPr>
                <w:p w14:paraId="2F906FC5" w14:textId="6384B2D0" w:rsidR="0051086F" w:rsidRPr="004D5B4D" w:rsidRDefault="0051086F" w:rsidP="00642E60">
                  <w:pPr>
                    <w:keepNext w:val="0"/>
                    <w:spacing w:before="0"/>
                    <w:jc w:val="center"/>
                    <w:rPr>
                      <w:rFonts w:cs="Arial"/>
                      <w:strike/>
                      <w:color w:val="auto"/>
                      <w:sz w:val="22"/>
                      <w:szCs w:val="22"/>
                    </w:rPr>
                  </w:pPr>
                  <w:r w:rsidRPr="004D5B4D">
                    <w:rPr>
                      <w:rFonts w:cs="Arial"/>
                      <w:strike/>
                      <w:color w:val="auto"/>
                      <w:sz w:val="22"/>
                      <w:szCs w:val="22"/>
                    </w:rPr>
                    <w:t>No</w:t>
                  </w:r>
                </w:p>
              </w:tc>
              <w:tc>
                <w:tcPr>
                  <w:tcW w:w="1220" w:type="dxa"/>
                  <w:tcBorders>
                    <w:top w:val="nil"/>
                    <w:left w:val="nil"/>
                    <w:bottom w:val="single" w:sz="4" w:space="0" w:color="auto"/>
                    <w:right w:val="single" w:sz="4" w:space="0" w:color="auto"/>
                  </w:tcBorders>
                  <w:noWrap/>
                  <w:vAlign w:val="center"/>
                </w:tcPr>
                <w:p w14:paraId="531C9F73" w14:textId="6CA56640" w:rsidR="0051086F" w:rsidRPr="004D5B4D" w:rsidRDefault="0051086F" w:rsidP="00642E60">
                  <w:pPr>
                    <w:keepNext w:val="0"/>
                    <w:spacing w:before="0"/>
                    <w:jc w:val="right"/>
                    <w:rPr>
                      <w:rFonts w:cs="Arial"/>
                      <w:b/>
                      <w:bCs/>
                      <w:strike/>
                      <w:color w:val="auto"/>
                      <w:sz w:val="22"/>
                      <w:szCs w:val="22"/>
                    </w:rPr>
                  </w:pPr>
                  <w:r w:rsidRPr="004D5B4D">
                    <w:rPr>
                      <w:rFonts w:cs="Arial"/>
                      <w:b/>
                      <w:bCs/>
                      <w:strike/>
                      <w:color w:val="auto"/>
                      <w:sz w:val="22"/>
                      <w:szCs w:val="22"/>
                    </w:rPr>
                    <w:t>38</w:t>
                  </w:r>
                </w:p>
              </w:tc>
            </w:tr>
            <w:tr w:rsidR="006E25C7" w:rsidRPr="004D5B4D" w14:paraId="10CF3A72" w14:textId="77777777" w:rsidTr="00642E60">
              <w:trPr>
                <w:trHeight w:val="410"/>
                <w:jc w:val="center"/>
              </w:trPr>
              <w:tc>
                <w:tcPr>
                  <w:tcW w:w="760" w:type="dxa"/>
                  <w:tcBorders>
                    <w:top w:val="nil"/>
                    <w:left w:val="single" w:sz="4" w:space="0" w:color="auto"/>
                    <w:bottom w:val="single" w:sz="4" w:space="0" w:color="auto"/>
                    <w:right w:val="single" w:sz="4" w:space="0" w:color="auto"/>
                  </w:tcBorders>
                  <w:noWrap/>
                  <w:hideMark/>
                </w:tcPr>
                <w:p w14:paraId="0AAE9DAF"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 </w:t>
                  </w:r>
                </w:p>
              </w:tc>
              <w:tc>
                <w:tcPr>
                  <w:tcW w:w="3660" w:type="dxa"/>
                  <w:tcBorders>
                    <w:top w:val="nil"/>
                    <w:left w:val="nil"/>
                    <w:bottom w:val="single" w:sz="4" w:space="0" w:color="auto"/>
                    <w:right w:val="single" w:sz="4" w:space="0" w:color="auto"/>
                  </w:tcBorders>
                  <w:hideMark/>
                </w:tcPr>
                <w:p w14:paraId="67E40722" w14:textId="77777777" w:rsidR="00642E60" w:rsidRPr="004D5B4D" w:rsidRDefault="00642E60" w:rsidP="00642E60">
                  <w:pPr>
                    <w:keepNext w:val="0"/>
                    <w:spacing w:before="0"/>
                    <w:rPr>
                      <w:rFonts w:cs="Arial"/>
                      <w:strike/>
                      <w:color w:val="auto"/>
                      <w:sz w:val="22"/>
                      <w:szCs w:val="22"/>
                    </w:rPr>
                  </w:pPr>
                  <w:r w:rsidRPr="004D5B4D">
                    <w:rPr>
                      <w:rFonts w:cs="Arial"/>
                      <w:strike/>
                      <w:color w:val="auto"/>
                      <w:sz w:val="22"/>
                      <w:szCs w:val="22"/>
                    </w:rPr>
                    <w:t> </w:t>
                  </w:r>
                </w:p>
              </w:tc>
              <w:tc>
                <w:tcPr>
                  <w:tcW w:w="1460" w:type="dxa"/>
                  <w:tcBorders>
                    <w:top w:val="nil"/>
                    <w:left w:val="nil"/>
                    <w:bottom w:val="single" w:sz="4" w:space="0" w:color="auto"/>
                    <w:right w:val="single" w:sz="4" w:space="0" w:color="auto"/>
                  </w:tcBorders>
                  <w:noWrap/>
                  <w:hideMark/>
                </w:tcPr>
                <w:p w14:paraId="31F284E9"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 </w:t>
                  </w:r>
                </w:p>
              </w:tc>
              <w:tc>
                <w:tcPr>
                  <w:tcW w:w="1600" w:type="dxa"/>
                  <w:tcBorders>
                    <w:top w:val="nil"/>
                    <w:left w:val="nil"/>
                    <w:bottom w:val="single" w:sz="4" w:space="0" w:color="auto"/>
                    <w:right w:val="single" w:sz="4" w:space="0" w:color="auto"/>
                  </w:tcBorders>
                  <w:noWrap/>
                  <w:hideMark/>
                </w:tcPr>
                <w:p w14:paraId="3FE1A527" w14:textId="77777777" w:rsidR="00642E60" w:rsidRPr="004D5B4D" w:rsidRDefault="00642E60" w:rsidP="00642E60">
                  <w:pPr>
                    <w:keepNext w:val="0"/>
                    <w:spacing w:before="0"/>
                    <w:jc w:val="center"/>
                    <w:rPr>
                      <w:rFonts w:cs="Arial"/>
                      <w:strike/>
                      <w:color w:val="auto"/>
                      <w:sz w:val="22"/>
                      <w:szCs w:val="22"/>
                    </w:rPr>
                  </w:pPr>
                  <w:r w:rsidRPr="004D5B4D">
                    <w:rPr>
                      <w:rFonts w:cs="Arial"/>
                      <w:strike/>
                      <w:color w:val="auto"/>
                      <w:sz w:val="22"/>
                      <w:szCs w:val="22"/>
                    </w:rPr>
                    <w:t> </w:t>
                  </w:r>
                </w:p>
              </w:tc>
              <w:tc>
                <w:tcPr>
                  <w:tcW w:w="1220" w:type="dxa"/>
                  <w:tcBorders>
                    <w:top w:val="nil"/>
                    <w:left w:val="nil"/>
                    <w:bottom w:val="single" w:sz="4" w:space="0" w:color="auto"/>
                    <w:right w:val="single" w:sz="4" w:space="0" w:color="auto"/>
                  </w:tcBorders>
                  <w:noWrap/>
                  <w:vAlign w:val="center"/>
                  <w:hideMark/>
                </w:tcPr>
                <w:p w14:paraId="4E89A016" w14:textId="62FCAC71" w:rsidR="00642E60" w:rsidRPr="004D5B4D" w:rsidRDefault="00642E60" w:rsidP="00642E60">
                  <w:pPr>
                    <w:keepNext w:val="0"/>
                    <w:spacing w:before="0"/>
                    <w:jc w:val="right"/>
                    <w:rPr>
                      <w:rFonts w:cs="Arial"/>
                      <w:b/>
                      <w:bCs/>
                      <w:strike/>
                      <w:color w:val="auto"/>
                      <w:sz w:val="22"/>
                      <w:szCs w:val="22"/>
                    </w:rPr>
                  </w:pPr>
                  <w:r w:rsidRPr="004D5B4D">
                    <w:rPr>
                      <w:rFonts w:cs="Arial"/>
                      <w:b/>
                      <w:bCs/>
                      <w:strike/>
                      <w:color w:val="auto"/>
                      <w:sz w:val="22"/>
                      <w:szCs w:val="22"/>
                    </w:rPr>
                    <w:t>5</w:t>
                  </w:r>
                  <w:r w:rsidR="0051086F" w:rsidRPr="004D5B4D">
                    <w:rPr>
                      <w:rFonts w:cs="Arial"/>
                      <w:b/>
                      <w:bCs/>
                      <w:strike/>
                      <w:color w:val="auto"/>
                      <w:sz w:val="22"/>
                      <w:szCs w:val="22"/>
                    </w:rPr>
                    <w:t>42</w:t>
                  </w:r>
                </w:p>
              </w:tc>
            </w:tr>
          </w:tbl>
          <w:p w14:paraId="49565B36" w14:textId="77777777" w:rsidR="008048E1" w:rsidRPr="003736C4" w:rsidRDefault="008048E1" w:rsidP="008B5F49">
            <w:pPr>
              <w:pStyle w:val="Policy"/>
              <w:spacing w:after="0" w:line="240" w:lineRule="auto"/>
              <w:ind w:left="447" w:right="284"/>
              <w:rPr>
                <w:rStyle w:val="Normal1"/>
                <w:bCs/>
                <w:highlight w:val="yellow"/>
                <w:u w:val="single"/>
              </w:rPr>
            </w:pPr>
          </w:p>
          <w:p w14:paraId="656044B0" w14:textId="77777777" w:rsidR="0015118D" w:rsidRDefault="0015118D" w:rsidP="008B5F49">
            <w:pPr>
              <w:pStyle w:val="Policy"/>
              <w:spacing w:after="0" w:line="240" w:lineRule="auto"/>
              <w:ind w:left="447" w:right="284"/>
              <w:rPr>
                <w:rStyle w:val="Normal1"/>
                <w:bCs/>
                <w:highlight w:val="yellow"/>
                <w:u w:val="single"/>
              </w:rPr>
            </w:pPr>
          </w:p>
          <w:tbl>
            <w:tblPr>
              <w:tblW w:w="9205" w:type="dxa"/>
              <w:tblLook w:val="04A0" w:firstRow="1" w:lastRow="0" w:firstColumn="1" w:lastColumn="0" w:noHBand="0" w:noVBand="1"/>
            </w:tblPr>
            <w:tblGrid>
              <w:gridCol w:w="960"/>
              <w:gridCol w:w="2326"/>
              <w:gridCol w:w="1293"/>
              <w:gridCol w:w="1400"/>
              <w:gridCol w:w="1580"/>
              <w:gridCol w:w="1646"/>
            </w:tblGrid>
            <w:tr w:rsidR="004D5B4D" w:rsidRPr="004D5B4D" w14:paraId="583C9503" w14:textId="77777777" w:rsidTr="004D5B4D">
              <w:trPr>
                <w:trHeight w:val="1400"/>
              </w:trPr>
              <w:tc>
                <w:tcPr>
                  <w:tcW w:w="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D397BAA" w14:textId="77777777" w:rsidR="004D5B4D" w:rsidRPr="00E56F9C" w:rsidRDefault="004D5B4D" w:rsidP="004D5B4D">
                  <w:pPr>
                    <w:keepNext w:val="0"/>
                    <w:spacing w:before="0"/>
                    <w:jc w:val="both"/>
                    <w:rPr>
                      <w:rFonts w:cs="Arial"/>
                      <w:color w:val="005EAC"/>
                      <w:sz w:val="22"/>
                      <w:szCs w:val="22"/>
                    </w:rPr>
                  </w:pPr>
                  <w:r w:rsidRPr="00E56F9C">
                    <w:rPr>
                      <w:rFonts w:cs="Arial"/>
                      <w:color w:val="005EAC"/>
                      <w:sz w:val="22"/>
                      <w:szCs w:val="22"/>
                    </w:rPr>
                    <w:t>Site Ref.</w:t>
                  </w:r>
                </w:p>
              </w:tc>
              <w:tc>
                <w:tcPr>
                  <w:tcW w:w="2326" w:type="dxa"/>
                  <w:tcBorders>
                    <w:top w:val="single" w:sz="4" w:space="0" w:color="auto"/>
                    <w:left w:val="nil"/>
                    <w:bottom w:val="single" w:sz="4" w:space="0" w:color="auto"/>
                    <w:right w:val="single" w:sz="4" w:space="0" w:color="auto"/>
                  </w:tcBorders>
                  <w:shd w:val="clear" w:color="000000" w:fill="D9D9D9"/>
                  <w:vAlign w:val="center"/>
                  <w:hideMark/>
                </w:tcPr>
                <w:p w14:paraId="214A19D4" w14:textId="77777777" w:rsidR="004D5B4D" w:rsidRPr="00E56F9C" w:rsidRDefault="004D5B4D" w:rsidP="004D5B4D">
                  <w:pPr>
                    <w:keepNext w:val="0"/>
                    <w:spacing w:before="0"/>
                    <w:jc w:val="both"/>
                    <w:rPr>
                      <w:rFonts w:cs="Arial"/>
                      <w:color w:val="005EAC"/>
                      <w:sz w:val="22"/>
                      <w:szCs w:val="22"/>
                    </w:rPr>
                  </w:pPr>
                  <w:r w:rsidRPr="00E56F9C">
                    <w:rPr>
                      <w:rFonts w:cs="Arial"/>
                      <w:color w:val="005EAC"/>
                      <w:sz w:val="22"/>
                      <w:szCs w:val="22"/>
                    </w:rPr>
                    <w:t>Site Name</w:t>
                  </w:r>
                </w:p>
              </w:tc>
              <w:tc>
                <w:tcPr>
                  <w:tcW w:w="1293" w:type="dxa"/>
                  <w:tcBorders>
                    <w:top w:val="single" w:sz="4" w:space="0" w:color="auto"/>
                    <w:left w:val="nil"/>
                    <w:bottom w:val="single" w:sz="4" w:space="0" w:color="auto"/>
                    <w:right w:val="single" w:sz="4" w:space="0" w:color="auto"/>
                  </w:tcBorders>
                  <w:shd w:val="clear" w:color="000000" w:fill="D9D9D9"/>
                  <w:vAlign w:val="center"/>
                  <w:hideMark/>
                </w:tcPr>
                <w:p w14:paraId="32CD913D" w14:textId="77777777" w:rsidR="004D5B4D" w:rsidRPr="00E56F9C" w:rsidRDefault="004D5B4D" w:rsidP="004D5B4D">
                  <w:pPr>
                    <w:keepNext w:val="0"/>
                    <w:spacing w:before="0"/>
                    <w:jc w:val="center"/>
                    <w:rPr>
                      <w:rFonts w:cs="Arial"/>
                      <w:color w:val="005EAC"/>
                      <w:sz w:val="22"/>
                      <w:szCs w:val="22"/>
                    </w:rPr>
                  </w:pPr>
                  <w:r w:rsidRPr="00E56F9C">
                    <w:rPr>
                      <w:rFonts w:cs="Arial"/>
                      <w:color w:val="005EAC"/>
                      <w:sz w:val="22"/>
                      <w:szCs w:val="22"/>
                    </w:rPr>
                    <w:t>Greenfield/ Brownfield</w:t>
                  </w:r>
                </w:p>
              </w:tc>
              <w:tc>
                <w:tcPr>
                  <w:tcW w:w="1400" w:type="dxa"/>
                  <w:tcBorders>
                    <w:top w:val="single" w:sz="4" w:space="0" w:color="auto"/>
                    <w:left w:val="nil"/>
                    <w:bottom w:val="single" w:sz="4" w:space="0" w:color="auto"/>
                    <w:right w:val="single" w:sz="4" w:space="0" w:color="auto"/>
                  </w:tcBorders>
                  <w:shd w:val="clear" w:color="000000" w:fill="D9D9D9"/>
                  <w:vAlign w:val="center"/>
                  <w:hideMark/>
                </w:tcPr>
                <w:p w14:paraId="1349A5FB" w14:textId="77777777" w:rsidR="004D5B4D" w:rsidRPr="00E56F9C" w:rsidRDefault="004D5B4D" w:rsidP="004D5B4D">
                  <w:pPr>
                    <w:keepNext w:val="0"/>
                    <w:spacing w:before="0"/>
                    <w:jc w:val="center"/>
                    <w:rPr>
                      <w:rFonts w:cs="Arial"/>
                      <w:color w:val="005EAC"/>
                      <w:sz w:val="22"/>
                      <w:szCs w:val="22"/>
                    </w:rPr>
                  </w:pPr>
                  <w:r w:rsidRPr="00E56F9C">
                    <w:rPr>
                      <w:rFonts w:cs="Arial"/>
                      <w:color w:val="005EAC"/>
                      <w:sz w:val="22"/>
                      <w:szCs w:val="22"/>
                    </w:rPr>
                    <w:t>Planning Permission*</w:t>
                  </w:r>
                </w:p>
              </w:tc>
              <w:tc>
                <w:tcPr>
                  <w:tcW w:w="1580" w:type="dxa"/>
                  <w:tcBorders>
                    <w:top w:val="single" w:sz="4" w:space="0" w:color="auto"/>
                    <w:left w:val="nil"/>
                    <w:bottom w:val="single" w:sz="4" w:space="0" w:color="auto"/>
                    <w:right w:val="single" w:sz="4" w:space="0" w:color="auto"/>
                  </w:tcBorders>
                  <w:shd w:val="clear" w:color="000000" w:fill="D9D9D9"/>
                  <w:vAlign w:val="center"/>
                  <w:hideMark/>
                </w:tcPr>
                <w:p w14:paraId="0B715957" w14:textId="77777777" w:rsidR="004D5B4D" w:rsidRPr="00E56F9C" w:rsidRDefault="004D5B4D" w:rsidP="004D5B4D">
                  <w:pPr>
                    <w:keepNext w:val="0"/>
                    <w:spacing w:before="0"/>
                    <w:jc w:val="center"/>
                    <w:rPr>
                      <w:rFonts w:cs="Arial"/>
                      <w:color w:val="005EAC"/>
                      <w:sz w:val="22"/>
                      <w:szCs w:val="22"/>
                    </w:rPr>
                  </w:pPr>
                  <w:r w:rsidRPr="00E56F9C">
                    <w:rPr>
                      <w:rFonts w:cs="Arial"/>
                      <w:b/>
                      <w:bCs/>
                      <w:color w:val="005EAC"/>
                      <w:sz w:val="22"/>
                      <w:szCs w:val="22"/>
                    </w:rPr>
                    <w:t>Total</w:t>
                  </w:r>
                  <w:r w:rsidRPr="00E56F9C">
                    <w:rPr>
                      <w:rFonts w:cs="Arial"/>
                      <w:color w:val="005EAC"/>
                      <w:sz w:val="22"/>
                      <w:szCs w:val="22"/>
                    </w:rPr>
                    <w:t xml:space="preserve"> Potential Yield </w:t>
                  </w:r>
                  <w:r w:rsidRPr="00E56F9C">
                    <w:rPr>
                      <w:rFonts w:cs="Arial"/>
                      <w:b/>
                      <w:bCs/>
                      <w:color w:val="005EAC"/>
                      <w:sz w:val="22"/>
                      <w:szCs w:val="22"/>
                    </w:rPr>
                    <w:t>2023-2040</w:t>
                  </w:r>
                  <w:r w:rsidRPr="00E56F9C">
                    <w:rPr>
                      <w:rFonts w:cs="Arial"/>
                      <w:color w:val="005EAC"/>
                      <w:sz w:val="22"/>
                      <w:szCs w:val="22"/>
                    </w:rPr>
                    <w:t xml:space="preserve"> (Dwellings)</w:t>
                  </w:r>
                </w:p>
              </w:tc>
              <w:tc>
                <w:tcPr>
                  <w:tcW w:w="1646" w:type="dxa"/>
                  <w:tcBorders>
                    <w:top w:val="single" w:sz="4" w:space="0" w:color="auto"/>
                    <w:left w:val="nil"/>
                    <w:bottom w:val="single" w:sz="4" w:space="0" w:color="auto"/>
                    <w:right w:val="single" w:sz="4" w:space="0" w:color="auto"/>
                  </w:tcBorders>
                  <w:shd w:val="clear" w:color="000000" w:fill="D9D9D9"/>
                  <w:vAlign w:val="center"/>
                  <w:hideMark/>
                </w:tcPr>
                <w:p w14:paraId="167D1934" w14:textId="77777777" w:rsidR="004D5B4D" w:rsidRPr="00E56F9C" w:rsidRDefault="004D5B4D" w:rsidP="004D5B4D">
                  <w:pPr>
                    <w:keepNext w:val="0"/>
                    <w:spacing w:before="0"/>
                    <w:jc w:val="center"/>
                    <w:rPr>
                      <w:rFonts w:cs="Arial"/>
                      <w:b/>
                      <w:bCs/>
                      <w:color w:val="005EAC"/>
                      <w:sz w:val="22"/>
                      <w:szCs w:val="22"/>
                    </w:rPr>
                  </w:pPr>
                  <w:r w:rsidRPr="00E56F9C">
                    <w:rPr>
                      <w:rFonts w:cs="Arial"/>
                      <w:b/>
                      <w:bCs/>
                      <w:color w:val="005EAC"/>
                      <w:sz w:val="22"/>
                      <w:szCs w:val="22"/>
                    </w:rPr>
                    <w:t xml:space="preserve">Progress </w:t>
                  </w:r>
                  <w:proofErr w:type="gramStart"/>
                  <w:r w:rsidRPr="00E56F9C">
                    <w:rPr>
                      <w:rFonts w:cs="Arial"/>
                      <w:b/>
                      <w:bCs/>
                      <w:color w:val="005EAC"/>
                      <w:sz w:val="22"/>
                      <w:szCs w:val="22"/>
                    </w:rPr>
                    <w:t>at</w:t>
                  </w:r>
                  <w:proofErr w:type="gramEnd"/>
                  <w:r w:rsidRPr="00E56F9C">
                    <w:rPr>
                      <w:rFonts w:cs="Arial"/>
                      <w:b/>
                      <w:bCs/>
                      <w:color w:val="005EAC"/>
                      <w:sz w:val="22"/>
                      <w:szCs w:val="22"/>
                    </w:rPr>
                    <w:t xml:space="preserve"> April 2025 (Not Started/ Under Construction/ Completed</w:t>
                  </w:r>
                </w:p>
              </w:tc>
            </w:tr>
            <w:tr w:rsidR="004D5B4D" w:rsidRPr="004D5B4D" w14:paraId="78BB226C"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272D8BFA"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H1Ka</w:t>
                  </w:r>
                </w:p>
              </w:tc>
              <w:tc>
                <w:tcPr>
                  <w:tcW w:w="2326" w:type="dxa"/>
                  <w:tcBorders>
                    <w:top w:val="nil"/>
                    <w:left w:val="nil"/>
                    <w:bottom w:val="single" w:sz="4" w:space="0" w:color="auto"/>
                    <w:right w:val="single" w:sz="4" w:space="0" w:color="auto"/>
                  </w:tcBorders>
                  <w:vAlign w:val="center"/>
                  <w:hideMark/>
                </w:tcPr>
                <w:p w14:paraId="195FC147"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Beacon Farm, Derby Road, Kirkby-In Ashfield</w:t>
                  </w:r>
                </w:p>
              </w:tc>
              <w:tc>
                <w:tcPr>
                  <w:tcW w:w="1293" w:type="dxa"/>
                  <w:tcBorders>
                    <w:top w:val="nil"/>
                    <w:left w:val="nil"/>
                    <w:bottom w:val="single" w:sz="4" w:space="0" w:color="auto"/>
                    <w:right w:val="single" w:sz="4" w:space="0" w:color="auto"/>
                  </w:tcBorders>
                  <w:noWrap/>
                  <w:vAlign w:val="center"/>
                  <w:hideMark/>
                </w:tcPr>
                <w:p w14:paraId="098670E7"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G/B</w:t>
                  </w:r>
                </w:p>
              </w:tc>
              <w:tc>
                <w:tcPr>
                  <w:tcW w:w="1400" w:type="dxa"/>
                  <w:tcBorders>
                    <w:top w:val="nil"/>
                    <w:left w:val="nil"/>
                    <w:bottom w:val="single" w:sz="4" w:space="0" w:color="auto"/>
                    <w:right w:val="single" w:sz="4" w:space="0" w:color="auto"/>
                  </w:tcBorders>
                  <w:noWrap/>
                  <w:vAlign w:val="center"/>
                  <w:hideMark/>
                </w:tcPr>
                <w:p w14:paraId="05A5F290"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4A572AF8"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41</w:t>
                  </w:r>
                </w:p>
              </w:tc>
              <w:tc>
                <w:tcPr>
                  <w:tcW w:w="1646" w:type="dxa"/>
                  <w:tcBorders>
                    <w:top w:val="nil"/>
                    <w:left w:val="nil"/>
                    <w:bottom w:val="single" w:sz="4" w:space="0" w:color="auto"/>
                    <w:right w:val="single" w:sz="4" w:space="0" w:color="auto"/>
                  </w:tcBorders>
                  <w:noWrap/>
                  <w:vAlign w:val="center"/>
                  <w:hideMark/>
                </w:tcPr>
                <w:p w14:paraId="0D184FD4"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3EB42807"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3E248218"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H1Kb</w:t>
                  </w:r>
                </w:p>
              </w:tc>
              <w:tc>
                <w:tcPr>
                  <w:tcW w:w="2326" w:type="dxa"/>
                  <w:tcBorders>
                    <w:top w:val="nil"/>
                    <w:left w:val="nil"/>
                    <w:bottom w:val="single" w:sz="4" w:space="0" w:color="auto"/>
                    <w:right w:val="single" w:sz="4" w:space="0" w:color="auto"/>
                  </w:tcBorders>
                  <w:vAlign w:val="center"/>
                  <w:hideMark/>
                </w:tcPr>
                <w:p w14:paraId="199FAC1C"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Land off Millers Way, Kirkby-In Ashfield</w:t>
                  </w:r>
                </w:p>
              </w:tc>
              <w:tc>
                <w:tcPr>
                  <w:tcW w:w="1293" w:type="dxa"/>
                  <w:tcBorders>
                    <w:top w:val="nil"/>
                    <w:left w:val="nil"/>
                    <w:bottom w:val="single" w:sz="4" w:space="0" w:color="auto"/>
                    <w:right w:val="single" w:sz="4" w:space="0" w:color="auto"/>
                  </w:tcBorders>
                  <w:noWrap/>
                  <w:vAlign w:val="center"/>
                  <w:hideMark/>
                </w:tcPr>
                <w:p w14:paraId="1D9A7C66"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4AA320CF"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6F2E712D"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54</w:t>
                  </w:r>
                </w:p>
              </w:tc>
              <w:tc>
                <w:tcPr>
                  <w:tcW w:w="1646" w:type="dxa"/>
                  <w:tcBorders>
                    <w:top w:val="nil"/>
                    <w:left w:val="nil"/>
                    <w:bottom w:val="single" w:sz="4" w:space="0" w:color="auto"/>
                    <w:right w:val="single" w:sz="4" w:space="0" w:color="auto"/>
                  </w:tcBorders>
                  <w:noWrap/>
                  <w:vAlign w:val="center"/>
                  <w:hideMark/>
                </w:tcPr>
                <w:p w14:paraId="63B8AC3A"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COMP</w:t>
                  </w:r>
                </w:p>
              </w:tc>
            </w:tr>
            <w:tr w:rsidR="004D5B4D" w:rsidRPr="004D5B4D" w14:paraId="6B67359A"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20707128"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lastRenderedPageBreak/>
                    <w:t>H1Kc</w:t>
                  </w:r>
                </w:p>
              </w:tc>
              <w:tc>
                <w:tcPr>
                  <w:tcW w:w="2326" w:type="dxa"/>
                  <w:tcBorders>
                    <w:top w:val="nil"/>
                    <w:left w:val="nil"/>
                    <w:bottom w:val="single" w:sz="4" w:space="0" w:color="auto"/>
                    <w:right w:val="single" w:sz="4" w:space="0" w:color="auto"/>
                  </w:tcBorders>
                  <w:vAlign w:val="center"/>
                  <w:hideMark/>
                </w:tcPr>
                <w:p w14:paraId="14B1D27E"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Land at Doles Lane, Kirkby-In Ashfield</w:t>
                  </w:r>
                </w:p>
              </w:tc>
              <w:tc>
                <w:tcPr>
                  <w:tcW w:w="1293" w:type="dxa"/>
                  <w:tcBorders>
                    <w:top w:val="nil"/>
                    <w:left w:val="nil"/>
                    <w:bottom w:val="single" w:sz="4" w:space="0" w:color="auto"/>
                    <w:right w:val="single" w:sz="4" w:space="0" w:color="auto"/>
                  </w:tcBorders>
                  <w:noWrap/>
                  <w:vAlign w:val="center"/>
                  <w:hideMark/>
                </w:tcPr>
                <w:p w14:paraId="04E4DFC7"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5B698B04"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7B06FB5B"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54</w:t>
                  </w:r>
                </w:p>
              </w:tc>
              <w:tc>
                <w:tcPr>
                  <w:tcW w:w="1646" w:type="dxa"/>
                  <w:tcBorders>
                    <w:top w:val="nil"/>
                    <w:left w:val="nil"/>
                    <w:bottom w:val="single" w:sz="4" w:space="0" w:color="auto"/>
                    <w:right w:val="single" w:sz="4" w:space="0" w:color="auto"/>
                  </w:tcBorders>
                  <w:noWrap/>
                  <w:vAlign w:val="center"/>
                  <w:hideMark/>
                </w:tcPr>
                <w:p w14:paraId="55E5C945"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0A38DAEE" w14:textId="77777777" w:rsidTr="004D5B4D">
              <w:trPr>
                <w:trHeight w:val="280"/>
              </w:trPr>
              <w:tc>
                <w:tcPr>
                  <w:tcW w:w="960" w:type="dxa"/>
                  <w:tcBorders>
                    <w:top w:val="nil"/>
                    <w:left w:val="single" w:sz="4" w:space="0" w:color="auto"/>
                    <w:bottom w:val="single" w:sz="4" w:space="0" w:color="auto"/>
                    <w:right w:val="single" w:sz="4" w:space="0" w:color="auto"/>
                  </w:tcBorders>
                  <w:noWrap/>
                  <w:vAlign w:val="center"/>
                  <w:hideMark/>
                </w:tcPr>
                <w:p w14:paraId="71805778"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H1Kd</w:t>
                  </w:r>
                </w:p>
              </w:tc>
              <w:tc>
                <w:tcPr>
                  <w:tcW w:w="2326" w:type="dxa"/>
                  <w:tcBorders>
                    <w:top w:val="nil"/>
                    <w:left w:val="nil"/>
                    <w:bottom w:val="single" w:sz="4" w:space="0" w:color="auto"/>
                    <w:right w:val="single" w:sz="4" w:space="0" w:color="auto"/>
                  </w:tcBorders>
                  <w:vAlign w:val="center"/>
                  <w:hideMark/>
                </w:tcPr>
                <w:p w14:paraId="63A8809E"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 xml:space="preserve">Off </w:t>
                  </w:r>
                  <w:proofErr w:type="spellStart"/>
                  <w:r w:rsidRPr="005F5AF9">
                    <w:rPr>
                      <w:rFonts w:cs="Arial"/>
                      <w:color w:val="005CA9"/>
                      <w:sz w:val="22"/>
                      <w:szCs w:val="22"/>
                    </w:rPr>
                    <w:t>Walesby</w:t>
                  </w:r>
                  <w:proofErr w:type="spellEnd"/>
                  <w:r w:rsidRPr="005F5AF9">
                    <w:rPr>
                      <w:rFonts w:cs="Arial"/>
                      <w:color w:val="005CA9"/>
                      <w:sz w:val="22"/>
                      <w:szCs w:val="22"/>
                    </w:rPr>
                    <w:t xml:space="preserve"> Drive</w:t>
                  </w:r>
                </w:p>
              </w:tc>
              <w:tc>
                <w:tcPr>
                  <w:tcW w:w="1293" w:type="dxa"/>
                  <w:tcBorders>
                    <w:top w:val="nil"/>
                    <w:left w:val="nil"/>
                    <w:bottom w:val="single" w:sz="4" w:space="0" w:color="auto"/>
                    <w:right w:val="single" w:sz="4" w:space="0" w:color="auto"/>
                  </w:tcBorders>
                  <w:noWrap/>
                  <w:vAlign w:val="center"/>
                  <w:hideMark/>
                </w:tcPr>
                <w:p w14:paraId="525B0823"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0953FF49" w14:textId="77777777" w:rsidR="004D5B4D" w:rsidRPr="005F5AF9" w:rsidRDefault="004D5B4D" w:rsidP="004D5B4D">
                  <w:pPr>
                    <w:keepNext w:val="0"/>
                    <w:spacing w:before="0"/>
                    <w:jc w:val="center"/>
                    <w:rPr>
                      <w:rFonts w:cs="Arial"/>
                      <w:b/>
                      <w:bCs/>
                      <w:color w:val="005CA9"/>
                      <w:sz w:val="22"/>
                      <w:szCs w:val="22"/>
                    </w:rPr>
                  </w:pPr>
                  <w:proofErr w:type="gramStart"/>
                  <w:r w:rsidRPr="005F5AF9">
                    <w:rPr>
                      <w:rFonts w:cs="Arial"/>
                      <w:strike/>
                      <w:color w:val="005CA9"/>
                      <w:sz w:val="22"/>
                      <w:szCs w:val="22"/>
                    </w:rPr>
                    <w:t>No</w:t>
                  </w:r>
                  <w:r w:rsidRPr="005F5AF9">
                    <w:rPr>
                      <w:rFonts w:cs="Arial"/>
                      <w:b/>
                      <w:bCs/>
                      <w:color w:val="005CA9"/>
                      <w:sz w:val="22"/>
                      <w:szCs w:val="22"/>
                    </w:rPr>
                    <w:t xml:space="preserve">  Yes</w:t>
                  </w:r>
                  <w:proofErr w:type="gramEnd"/>
                </w:p>
              </w:tc>
              <w:tc>
                <w:tcPr>
                  <w:tcW w:w="1580" w:type="dxa"/>
                  <w:tcBorders>
                    <w:top w:val="nil"/>
                    <w:left w:val="nil"/>
                    <w:bottom w:val="single" w:sz="4" w:space="0" w:color="auto"/>
                    <w:right w:val="single" w:sz="4" w:space="0" w:color="auto"/>
                  </w:tcBorders>
                  <w:noWrap/>
                  <w:vAlign w:val="center"/>
                  <w:hideMark/>
                </w:tcPr>
                <w:p w14:paraId="76753B74"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196</w:t>
                  </w:r>
                </w:p>
              </w:tc>
              <w:tc>
                <w:tcPr>
                  <w:tcW w:w="1646" w:type="dxa"/>
                  <w:tcBorders>
                    <w:top w:val="nil"/>
                    <w:left w:val="nil"/>
                    <w:bottom w:val="single" w:sz="4" w:space="0" w:color="auto"/>
                    <w:right w:val="single" w:sz="4" w:space="0" w:color="auto"/>
                  </w:tcBorders>
                  <w:noWrap/>
                  <w:vAlign w:val="center"/>
                  <w:hideMark/>
                </w:tcPr>
                <w:p w14:paraId="0A76CA3A"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UC</w:t>
                  </w:r>
                </w:p>
              </w:tc>
            </w:tr>
            <w:tr w:rsidR="004D5B4D" w:rsidRPr="004D5B4D" w14:paraId="2885660D"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4233975B"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H1Ke</w:t>
                  </w:r>
                </w:p>
              </w:tc>
              <w:tc>
                <w:tcPr>
                  <w:tcW w:w="2326" w:type="dxa"/>
                  <w:tcBorders>
                    <w:top w:val="nil"/>
                    <w:left w:val="nil"/>
                    <w:bottom w:val="single" w:sz="4" w:space="0" w:color="auto"/>
                    <w:right w:val="single" w:sz="4" w:space="0" w:color="auto"/>
                  </w:tcBorders>
                  <w:vAlign w:val="center"/>
                  <w:hideMark/>
                </w:tcPr>
                <w:p w14:paraId="50424F0E"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Land off Diamond Avenue, Kirkby-In-Ashfield</w:t>
                  </w:r>
                </w:p>
              </w:tc>
              <w:tc>
                <w:tcPr>
                  <w:tcW w:w="1293" w:type="dxa"/>
                  <w:tcBorders>
                    <w:top w:val="nil"/>
                    <w:left w:val="nil"/>
                    <w:bottom w:val="single" w:sz="4" w:space="0" w:color="auto"/>
                    <w:right w:val="single" w:sz="4" w:space="0" w:color="auto"/>
                  </w:tcBorders>
                  <w:noWrap/>
                  <w:vAlign w:val="center"/>
                  <w:hideMark/>
                </w:tcPr>
                <w:p w14:paraId="1ADFB37D"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12F58F5D"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7189AB2A"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63</w:t>
                  </w:r>
                </w:p>
              </w:tc>
              <w:tc>
                <w:tcPr>
                  <w:tcW w:w="1646" w:type="dxa"/>
                  <w:tcBorders>
                    <w:top w:val="nil"/>
                    <w:left w:val="nil"/>
                    <w:bottom w:val="single" w:sz="4" w:space="0" w:color="auto"/>
                    <w:right w:val="single" w:sz="4" w:space="0" w:color="auto"/>
                  </w:tcBorders>
                  <w:noWrap/>
                  <w:vAlign w:val="center"/>
                  <w:hideMark/>
                </w:tcPr>
                <w:p w14:paraId="497855EE"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414100F4"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20A8CB5A"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H1Kf</w:t>
                  </w:r>
                </w:p>
              </w:tc>
              <w:tc>
                <w:tcPr>
                  <w:tcW w:w="2326" w:type="dxa"/>
                  <w:tcBorders>
                    <w:top w:val="nil"/>
                    <w:left w:val="nil"/>
                    <w:bottom w:val="single" w:sz="4" w:space="0" w:color="auto"/>
                    <w:right w:val="single" w:sz="4" w:space="0" w:color="auto"/>
                  </w:tcBorders>
                  <w:vAlign w:val="center"/>
                  <w:hideMark/>
                </w:tcPr>
                <w:p w14:paraId="068E123E"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Warwick Close, Kirkby-In-Ashfield</w:t>
                  </w:r>
                </w:p>
              </w:tc>
              <w:tc>
                <w:tcPr>
                  <w:tcW w:w="1293" w:type="dxa"/>
                  <w:tcBorders>
                    <w:top w:val="nil"/>
                    <w:left w:val="nil"/>
                    <w:bottom w:val="single" w:sz="4" w:space="0" w:color="auto"/>
                    <w:right w:val="single" w:sz="4" w:space="0" w:color="auto"/>
                  </w:tcBorders>
                  <w:noWrap/>
                  <w:vAlign w:val="center"/>
                  <w:hideMark/>
                </w:tcPr>
                <w:p w14:paraId="135E8022"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2B666741"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1293E65B"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34</w:t>
                  </w:r>
                </w:p>
              </w:tc>
              <w:tc>
                <w:tcPr>
                  <w:tcW w:w="1646" w:type="dxa"/>
                  <w:tcBorders>
                    <w:top w:val="nil"/>
                    <w:left w:val="nil"/>
                    <w:bottom w:val="single" w:sz="4" w:space="0" w:color="auto"/>
                    <w:right w:val="single" w:sz="4" w:space="0" w:color="auto"/>
                  </w:tcBorders>
                  <w:noWrap/>
                  <w:vAlign w:val="center"/>
                  <w:hideMark/>
                </w:tcPr>
                <w:p w14:paraId="4EF8FE4F"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COMP</w:t>
                  </w:r>
                </w:p>
              </w:tc>
            </w:tr>
            <w:tr w:rsidR="004D5B4D" w:rsidRPr="004D5B4D" w14:paraId="60DBE109"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75CE6BD3"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H1Kg</w:t>
                  </w:r>
                </w:p>
              </w:tc>
              <w:tc>
                <w:tcPr>
                  <w:tcW w:w="2326" w:type="dxa"/>
                  <w:tcBorders>
                    <w:top w:val="nil"/>
                    <w:left w:val="nil"/>
                    <w:bottom w:val="single" w:sz="4" w:space="0" w:color="auto"/>
                    <w:right w:val="single" w:sz="4" w:space="0" w:color="auto"/>
                  </w:tcBorders>
                  <w:vAlign w:val="center"/>
                  <w:hideMark/>
                </w:tcPr>
                <w:p w14:paraId="0B0B8008"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Land behind 126 Skegby Road, Kirkby-In-Ashfield</w:t>
                  </w:r>
                </w:p>
              </w:tc>
              <w:tc>
                <w:tcPr>
                  <w:tcW w:w="1293" w:type="dxa"/>
                  <w:tcBorders>
                    <w:top w:val="nil"/>
                    <w:left w:val="nil"/>
                    <w:bottom w:val="single" w:sz="4" w:space="0" w:color="auto"/>
                    <w:right w:val="single" w:sz="4" w:space="0" w:color="auto"/>
                  </w:tcBorders>
                  <w:noWrap/>
                  <w:vAlign w:val="center"/>
                  <w:hideMark/>
                </w:tcPr>
                <w:p w14:paraId="533B687B"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29240BA7"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66DFDEC1"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15</w:t>
                  </w:r>
                </w:p>
              </w:tc>
              <w:tc>
                <w:tcPr>
                  <w:tcW w:w="1646" w:type="dxa"/>
                  <w:tcBorders>
                    <w:top w:val="nil"/>
                    <w:left w:val="nil"/>
                    <w:bottom w:val="single" w:sz="4" w:space="0" w:color="auto"/>
                    <w:right w:val="single" w:sz="4" w:space="0" w:color="auto"/>
                  </w:tcBorders>
                  <w:noWrap/>
                  <w:vAlign w:val="center"/>
                  <w:hideMark/>
                </w:tcPr>
                <w:p w14:paraId="35719131"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244481EB"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6E55071C"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H1Kh</w:t>
                  </w:r>
                </w:p>
              </w:tc>
              <w:tc>
                <w:tcPr>
                  <w:tcW w:w="2326" w:type="dxa"/>
                  <w:tcBorders>
                    <w:top w:val="nil"/>
                    <w:left w:val="nil"/>
                    <w:bottom w:val="single" w:sz="4" w:space="0" w:color="auto"/>
                    <w:right w:val="single" w:sz="4" w:space="0" w:color="auto"/>
                  </w:tcBorders>
                  <w:vAlign w:val="center"/>
                  <w:hideMark/>
                </w:tcPr>
                <w:p w14:paraId="4EFEAC24"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Land Off Hucknall Road, Newstead</w:t>
                  </w:r>
                </w:p>
              </w:tc>
              <w:tc>
                <w:tcPr>
                  <w:tcW w:w="1293" w:type="dxa"/>
                  <w:tcBorders>
                    <w:top w:val="nil"/>
                    <w:left w:val="nil"/>
                    <w:bottom w:val="single" w:sz="4" w:space="0" w:color="auto"/>
                    <w:right w:val="single" w:sz="4" w:space="0" w:color="auto"/>
                  </w:tcBorders>
                  <w:noWrap/>
                  <w:vAlign w:val="center"/>
                  <w:hideMark/>
                </w:tcPr>
                <w:p w14:paraId="1B1EBB5F"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0506DA45"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72F049BA"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47</w:t>
                  </w:r>
                </w:p>
              </w:tc>
              <w:tc>
                <w:tcPr>
                  <w:tcW w:w="1646" w:type="dxa"/>
                  <w:tcBorders>
                    <w:top w:val="nil"/>
                    <w:left w:val="nil"/>
                    <w:bottom w:val="single" w:sz="4" w:space="0" w:color="auto"/>
                    <w:right w:val="single" w:sz="4" w:space="0" w:color="auto"/>
                  </w:tcBorders>
                  <w:noWrap/>
                  <w:vAlign w:val="center"/>
                  <w:hideMark/>
                </w:tcPr>
                <w:p w14:paraId="07495B69"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2A77114F"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7338E5BE" w14:textId="77777777" w:rsidR="004D5B4D" w:rsidRPr="005F5AF9" w:rsidRDefault="004D5B4D" w:rsidP="004D5B4D">
                  <w:pPr>
                    <w:keepNext w:val="0"/>
                    <w:spacing w:before="0"/>
                    <w:jc w:val="both"/>
                    <w:rPr>
                      <w:rFonts w:cs="Arial"/>
                      <w:color w:val="005CA9"/>
                      <w:sz w:val="22"/>
                      <w:szCs w:val="22"/>
                    </w:rPr>
                  </w:pPr>
                  <w:r w:rsidRPr="005F5AF9">
                    <w:rPr>
                      <w:rFonts w:cs="Arial"/>
                      <w:color w:val="005CA9"/>
                      <w:sz w:val="22"/>
                      <w:szCs w:val="22"/>
                    </w:rPr>
                    <w:t>H1Kk</w:t>
                  </w:r>
                </w:p>
              </w:tc>
              <w:tc>
                <w:tcPr>
                  <w:tcW w:w="2326" w:type="dxa"/>
                  <w:tcBorders>
                    <w:top w:val="nil"/>
                    <w:left w:val="nil"/>
                    <w:bottom w:val="single" w:sz="4" w:space="0" w:color="auto"/>
                    <w:right w:val="single" w:sz="4" w:space="0" w:color="auto"/>
                  </w:tcBorders>
                  <w:vAlign w:val="center"/>
                  <w:hideMark/>
                </w:tcPr>
                <w:p w14:paraId="68D28DE7" w14:textId="77777777" w:rsidR="004D5B4D" w:rsidRPr="005F5AF9" w:rsidRDefault="004D5B4D" w:rsidP="004D5B4D">
                  <w:pPr>
                    <w:keepNext w:val="0"/>
                    <w:spacing w:before="0"/>
                    <w:rPr>
                      <w:rFonts w:cs="Arial"/>
                      <w:color w:val="005CA9"/>
                      <w:sz w:val="22"/>
                      <w:szCs w:val="22"/>
                    </w:rPr>
                  </w:pPr>
                  <w:r w:rsidRPr="005F5AF9">
                    <w:rPr>
                      <w:rFonts w:cs="Arial"/>
                      <w:color w:val="005CA9"/>
                      <w:sz w:val="22"/>
                      <w:szCs w:val="22"/>
                    </w:rPr>
                    <w:t>Land off Laburnum Avenue, Kirkby</w:t>
                  </w:r>
                </w:p>
              </w:tc>
              <w:tc>
                <w:tcPr>
                  <w:tcW w:w="1293" w:type="dxa"/>
                  <w:tcBorders>
                    <w:top w:val="nil"/>
                    <w:left w:val="nil"/>
                    <w:bottom w:val="single" w:sz="4" w:space="0" w:color="auto"/>
                    <w:right w:val="single" w:sz="4" w:space="0" w:color="auto"/>
                  </w:tcBorders>
                  <w:noWrap/>
                  <w:vAlign w:val="center"/>
                  <w:hideMark/>
                </w:tcPr>
                <w:p w14:paraId="709AB5B3" w14:textId="77777777" w:rsidR="004D5B4D" w:rsidRPr="005F5AF9" w:rsidRDefault="004D5B4D" w:rsidP="004D5B4D">
                  <w:pPr>
                    <w:keepNext w:val="0"/>
                    <w:spacing w:before="0"/>
                    <w:jc w:val="center"/>
                    <w:rPr>
                      <w:rFonts w:cs="Arial"/>
                      <w:color w:val="005CA9"/>
                      <w:sz w:val="22"/>
                      <w:szCs w:val="22"/>
                    </w:rPr>
                  </w:pPr>
                  <w:r w:rsidRPr="005F5AF9">
                    <w:rPr>
                      <w:rFonts w:cs="Arial"/>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7A398B9C" w14:textId="77777777" w:rsidR="004D5B4D" w:rsidRPr="005F5AF9" w:rsidRDefault="004D5B4D" w:rsidP="004D5B4D">
                  <w:pPr>
                    <w:keepNext w:val="0"/>
                    <w:spacing w:before="0"/>
                    <w:jc w:val="center"/>
                    <w:rPr>
                      <w:rFonts w:cs="Arial"/>
                      <w:b/>
                      <w:bCs/>
                      <w:color w:val="005CA9"/>
                      <w:sz w:val="22"/>
                      <w:szCs w:val="22"/>
                    </w:rPr>
                  </w:pPr>
                  <w:proofErr w:type="gramStart"/>
                  <w:r w:rsidRPr="005F5AF9">
                    <w:rPr>
                      <w:rFonts w:cs="Arial"/>
                      <w:strike/>
                      <w:color w:val="005CA9"/>
                      <w:sz w:val="22"/>
                      <w:szCs w:val="22"/>
                    </w:rPr>
                    <w:t>No</w:t>
                  </w:r>
                  <w:r w:rsidRPr="005F5AF9">
                    <w:rPr>
                      <w:rFonts w:cs="Arial"/>
                      <w:b/>
                      <w:bCs/>
                      <w:color w:val="005CA9"/>
                      <w:sz w:val="22"/>
                      <w:szCs w:val="22"/>
                    </w:rPr>
                    <w:t xml:space="preserve">  Yes</w:t>
                  </w:r>
                  <w:proofErr w:type="gramEnd"/>
                </w:p>
              </w:tc>
              <w:tc>
                <w:tcPr>
                  <w:tcW w:w="1580" w:type="dxa"/>
                  <w:tcBorders>
                    <w:top w:val="nil"/>
                    <w:left w:val="nil"/>
                    <w:bottom w:val="single" w:sz="4" w:space="0" w:color="auto"/>
                    <w:right w:val="single" w:sz="4" w:space="0" w:color="auto"/>
                  </w:tcBorders>
                  <w:noWrap/>
                  <w:vAlign w:val="center"/>
                  <w:hideMark/>
                </w:tcPr>
                <w:p w14:paraId="0CADDBFB" w14:textId="77777777" w:rsidR="004D5B4D" w:rsidRPr="005F5AF9" w:rsidRDefault="004D5B4D" w:rsidP="004D5B4D">
                  <w:pPr>
                    <w:keepNext w:val="0"/>
                    <w:spacing w:before="0"/>
                    <w:jc w:val="right"/>
                    <w:rPr>
                      <w:rFonts w:cs="Arial"/>
                      <w:color w:val="005CA9"/>
                      <w:sz w:val="22"/>
                      <w:szCs w:val="22"/>
                    </w:rPr>
                  </w:pPr>
                  <w:r w:rsidRPr="005F5AF9">
                    <w:rPr>
                      <w:rFonts w:cs="Arial"/>
                      <w:color w:val="005CA9"/>
                      <w:sz w:val="22"/>
                      <w:szCs w:val="22"/>
                    </w:rPr>
                    <w:t>38</w:t>
                  </w:r>
                </w:p>
              </w:tc>
              <w:tc>
                <w:tcPr>
                  <w:tcW w:w="1646" w:type="dxa"/>
                  <w:tcBorders>
                    <w:top w:val="nil"/>
                    <w:left w:val="nil"/>
                    <w:bottom w:val="single" w:sz="4" w:space="0" w:color="auto"/>
                    <w:right w:val="single" w:sz="4" w:space="0" w:color="auto"/>
                  </w:tcBorders>
                  <w:noWrap/>
                  <w:vAlign w:val="center"/>
                  <w:hideMark/>
                </w:tcPr>
                <w:p w14:paraId="04DCECDA"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UC</w:t>
                  </w:r>
                </w:p>
              </w:tc>
            </w:tr>
            <w:tr w:rsidR="004D5B4D" w:rsidRPr="004D5B4D" w14:paraId="52490220" w14:textId="77777777" w:rsidTr="004D5B4D">
              <w:trPr>
                <w:trHeight w:val="280"/>
              </w:trPr>
              <w:tc>
                <w:tcPr>
                  <w:tcW w:w="960" w:type="dxa"/>
                  <w:tcBorders>
                    <w:top w:val="nil"/>
                    <w:left w:val="single" w:sz="4" w:space="0" w:color="auto"/>
                    <w:bottom w:val="single" w:sz="4" w:space="0" w:color="auto"/>
                    <w:right w:val="single" w:sz="4" w:space="0" w:color="auto"/>
                  </w:tcBorders>
                  <w:noWrap/>
                  <w:vAlign w:val="center"/>
                  <w:hideMark/>
                </w:tcPr>
                <w:p w14:paraId="34DFBA53" w14:textId="77777777" w:rsidR="004D5B4D" w:rsidRPr="005F5AF9" w:rsidRDefault="004D5B4D" w:rsidP="004D5B4D">
                  <w:pPr>
                    <w:keepNext w:val="0"/>
                    <w:spacing w:before="0"/>
                    <w:jc w:val="both"/>
                    <w:rPr>
                      <w:rFonts w:cs="Arial"/>
                      <w:b/>
                      <w:bCs/>
                      <w:color w:val="005CA9"/>
                      <w:sz w:val="22"/>
                      <w:szCs w:val="22"/>
                    </w:rPr>
                  </w:pPr>
                  <w:r w:rsidRPr="005F5AF9">
                    <w:rPr>
                      <w:rFonts w:cs="Arial"/>
                      <w:b/>
                      <w:bCs/>
                      <w:color w:val="005CA9"/>
                      <w:sz w:val="22"/>
                      <w:szCs w:val="22"/>
                    </w:rPr>
                    <w:t>H1Kl</w:t>
                  </w:r>
                </w:p>
              </w:tc>
              <w:tc>
                <w:tcPr>
                  <w:tcW w:w="2326" w:type="dxa"/>
                  <w:tcBorders>
                    <w:top w:val="nil"/>
                    <w:left w:val="nil"/>
                    <w:bottom w:val="single" w:sz="4" w:space="0" w:color="auto"/>
                    <w:right w:val="single" w:sz="4" w:space="0" w:color="auto"/>
                  </w:tcBorders>
                  <w:vAlign w:val="center"/>
                  <w:hideMark/>
                </w:tcPr>
                <w:p w14:paraId="05FBC597" w14:textId="77777777" w:rsidR="004D5B4D" w:rsidRPr="005F5AF9" w:rsidRDefault="004D5B4D" w:rsidP="004D5B4D">
                  <w:pPr>
                    <w:keepNext w:val="0"/>
                    <w:spacing w:before="0"/>
                    <w:rPr>
                      <w:rFonts w:cs="Arial"/>
                      <w:b/>
                      <w:bCs/>
                      <w:color w:val="005CA9"/>
                      <w:sz w:val="22"/>
                      <w:szCs w:val="22"/>
                    </w:rPr>
                  </w:pPr>
                  <w:r w:rsidRPr="005F5AF9">
                    <w:rPr>
                      <w:rFonts w:cs="Arial"/>
                      <w:b/>
                      <w:bCs/>
                      <w:color w:val="005CA9"/>
                      <w:sz w:val="22"/>
                      <w:szCs w:val="22"/>
                    </w:rPr>
                    <w:t>Central Avenue, Kirkby</w:t>
                  </w:r>
                </w:p>
              </w:tc>
              <w:tc>
                <w:tcPr>
                  <w:tcW w:w="1293" w:type="dxa"/>
                  <w:tcBorders>
                    <w:top w:val="nil"/>
                    <w:left w:val="nil"/>
                    <w:bottom w:val="single" w:sz="4" w:space="0" w:color="auto"/>
                    <w:right w:val="single" w:sz="4" w:space="0" w:color="auto"/>
                  </w:tcBorders>
                  <w:noWrap/>
                  <w:vAlign w:val="center"/>
                  <w:hideMark/>
                </w:tcPr>
                <w:p w14:paraId="26D7F79E"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46431FFF"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182F4AF0" w14:textId="77777777" w:rsidR="004D5B4D" w:rsidRPr="005F5AF9" w:rsidRDefault="004D5B4D" w:rsidP="004D5B4D">
                  <w:pPr>
                    <w:keepNext w:val="0"/>
                    <w:spacing w:before="0"/>
                    <w:jc w:val="right"/>
                    <w:rPr>
                      <w:rFonts w:cs="Arial"/>
                      <w:b/>
                      <w:bCs/>
                      <w:color w:val="005CA9"/>
                      <w:sz w:val="22"/>
                      <w:szCs w:val="22"/>
                    </w:rPr>
                  </w:pPr>
                  <w:r w:rsidRPr="005F5AF9">
                    <w:rPr>
                      <w:rFonts w:cs="Arial"/>
                      <w:b/>
                      <w:bCs/>
                      <w:color w:val="005CA9"/>
                      <w:sz w:val="22"/>
                      <w:szCs w:val="22"/>
                    </w:rPr>
                    <w:t>16</w:t>
                  </w:r>
                </w:p>
              </w:tc>
              <w:tc>
                <w:tcPr>
                  <w:tcW w:w="1646" w:type="dxa"/>
                  <w:tcBorders>
                    <w:top w:val="nil"/>
                    <w:left w:val="nil"/>
                    <w:bottom w:val="single" w:sz="4" w:space="0" w:color="auto"/>
                    <w:right w:val="single" w:sz="4" w:space="0" w:color="auto"/>
                  </w:tcBorders>
                  <w:noWrap/>
                  <w:vAlign w:val="center"/>
                  <w:hideMark/>
                </w:tcPr>
                <w:p w14:paraId="695A8FBC"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UC</w:t>
                  </w:r>
                </w:p>
              </w:tc>
            </w:tr>
            <w:tr w:rsidR="004D5B4D" w:rsidRPr="004D5B4D" w14:paraId="68EDE2F0" w14:textId="77777777" w:rsidTr="004D5B4D">
              <w:trPr>
                <w:trHeight w:val="280"/>
              </w:trPr>
              <w:tc>
                <w:tcPr>
                  <w:tcW w:w="960" w:type="dxa"/>
                  <w:tcBorders>
                    <w:top w:val="nil"/>
                    <w:left w:val="single" w:sz="4" w:space="0" w:color="auto"/>
                    <w:bottom w:val="single" w:sz="4" w:space="0" w:color="auto"/>
                    <w:right w:val="single" w:sz="4" w:space="0" w:color="auto"/>
                  </w:tcBorders>
                  <w:noWrap/>
                  <w:vAlign w:val="center"/>
                  <w:hideMark/>
                </w:tcPr>
                <w:p w14:paraId="55E375DE" w14:textId="77777777" w:rsidR="004D5B4D" w:rsidRPr="005F5AF9" w:rsidRDefault="004D5B4D" w:rsidP="004D5B4D">
                  <w:pPr>
                    <w:keepNext w:val="0"/>
                    <w:spacing w:before="0"/>
                    <w:jc w:val="both"/>
                    <w:rPr>
                      <w:rFonts w:cs="Arial"/>
                      <w:b/>
                      <w:bCs/>
                      <w:color w:val="005CA9"/>
                      <w:sz w:val="22"/>
                      <w:szCs w:val="22"/>
                    </w:rPr>
                  </w:pPr>
                  <w:r w:rsidRPr="005F5AF9">
                    <w:rPr>
                      <w:rFonts w:cs="Arial"/>
                      <w:b/>
                      <w:bCs/>
                      <w:color w:val="005CA9"/>
                      <w:sz w:val="22"/>
                      <w:szCs w:val="22"/>
                    </w:rPr>
                    <w:t>H1Km</w:t>
                  </w:r>
                </w:p>
              </w:tc>
              <w:tc>
                <w:tcPr>
                  <w:tcW w:w="2326" w:type="dxa"/>
                  <w:tcBorders>
                    <w:top w:val="nil"/>
                    <w:left w:val="nil"/>
                    <w:bottom w:val="single" w:sz="4" w:space="0" w:color="auto"/>
                    <w:right w:val="single" w:sz="4" w:space="0" w:color="auto"/>
                  </w:tcBorders>
                  <w:vAlign w:val="center"/>
                  <w:hideMark/>
                </w:tcPr>
                <w:p w14:paraId="122DA33D" w14:textId="77777777" w:rsidR="004D5B4D" w:rsidRPr="005F5AF9" w:rsidRDefault="004D5B4D" w:rsidP="004D5B4D">
                  <w:pPr>
                    <w:keepNext w:val="0"/>
                    <w:spacing w:before="0"/>
                    <w:rPr>
                      <w:rFonts w:cs="Arial"/>
                      <w:b/>
                      <w:bCs/>
                      <w:color w:val="005CA9"/>
                      <w:sz w:val="22"/>
                      <w:szCs w:val="22"/>
                    </w:rPr>
                  </w:pPr>
                  <w:r w:rsidRPr="005F5AF9">
                    <w:rPr>
                      <w:rFonts w:cs="Arial"/>
                      <w:b/>
                      <w:bCs/>
                      <w:color w:val="005CA9"/>
                      <w:sz w:val="22"/>
                      <w:szCs w:val="22"/>
                    </w:rPr>
                    <w:t>Abbey Road, Kirkby</w:t>
                  </w:r>
                </w:p>
              </w:tc>
              <w:tc>
                <w:tcPr>
                  <w:tcW w:w="1293" w:type="dxa"/>
                  <w:tcBorders>
                    <w:top w:val="nil"/>
                    <w:left w:val="nil"/>
                    <w:bottom w:val="single" w:sz="4" w:space="0" w:color="auto"/>
                    <w:right w:val="single" w:sz="4" w:space="0" w:color="auto"/>
                  </w:tcBorders>
                  <w:noWrap/>
                  <w:vAlign w:val="center"/>
                  <w:hideMark/>
                </w:tcPr>
                <w:p w14:paraId="7BDC099D"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G</w:t>
                  </w:r>
                </w:p>
              </w:tc>
              <w:tc>
                <w:tcPr>
                  <w:tcW w:w="1400" w:type="dxa"/>
                  <w:tcBorders>
                    <w:top w:val="nil"/>
                    <w:left w:val="nil"/>
                    <w:bottom w:val="single" w:sz="4" w:space="0" w:color="auto"/>
                    <w:right w:val="single" w:sz="4" w:space="0" w:color="auto"/>
                  </w:tcBorders>
                  <w:noWrap/>
                  <w:vAlign w:val="center"/>
                  <w:hideMark/>
                </w:tcPr>
                <w:p w14:paraId="4369BD8D"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4A99AB41" w14:textId="77777777" w:rsidR="004D5B4D" w:rsidRPr="005F5AF9" w:rsidRDefault="004D5B4D" w:rsidP="004D5B4D">
                  <w:pPr>
                    <w:keepNext w:val="0"/>
                    <w:spacing w:before="0"/>
                    <w:jc w:val="right"/>
                    <w:rPr>
                      <w:rFonts w:cs="Arial"/>
                      <w:b/>
                      <w:bCs/>
                      <w:color w:val="005CA9"/>
                      <w:sz w:val="22"/>
                      <w:szCs w:val="22"/>
                    </w:rPr>
                  </w:pPr>
                  <w:r w:rsidRPr="005F5AF9">
                    <w:rPr>
                      <w:rFonts w:cs="Arial"/>
                      <w:b/>
                      <w:bCs/>
                      <w:color w:val="005CA9"/>
                      <w:sz w:val="22"/>
                      <w:szCs w:val="22"/>
                    </w:rPr>
                    <w:t>38</w:t>
                  </w:r>
                </w:p>
              </w:tc>
              <w:tc>
                <w:tcPr>
                  <w:tcW w:w="1646" w:type="dxa"/>
                  <w:tcBorders>
                    <w:top w:val="nil"/>
                    <w:left w:val="nil"/>
                    <w:bottom w:val="single" w:sz="4" w:space="0" w:color="auto"/>
                    <w:right w:val="single" w:sz="4" w:space="0" w:color="auto"/>
                  </w:tcBorders>
                  <w:noWrap/>
                  <w:vAlign w:val="center"/>
                  <w:hideMark/>
                </w:tcPr>
                <w:p w14:paraId="044BBF13"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5DF2E7E3" w14:textId="77777777" w:rsidTr="004D5B4D">
              <w:trPr>
                <w:trHeight w:val="280"/>
              </w:trPr>
              <w:tc>
                <w:tcPr>
                  <w:tcW w:w="960" w:type="dxa"/>
                  <w:tcBorders>
                    <w:top w:val="nil"/>
                    <w:left w:val="single" w:sz="4" w:space="0" w:color="auto"/>
                    <w:bottom w:val="single" w:sz="4" w:space="0" w:color="auto"/>
                    <w:right w:val="single" w:sz="4" w:space="0" w:color="auto"/>
                  </w:tcBorders>
                  <w:noWrap/>
                  <w:vAlign w:val="center"/>
                  <w:hideMark/>
                </w:tcPr>
                <w:p w14:paraId="09280362" w14:textId="77777777" w:rsidR="004D5B4D" w:rsidRPr="005F5AF9" w:rsidRDefault="004D5B4D" w:rsidP="004D5B4D">
                  <w:pPr>
                    <w:keepNext w:val="0"/>
                    <w:spacing w:before="0"/>
                    <w:jc w:val="both"/>
                    <w:rPr>
                      <w:rFonts w:cs="Arial"/>
                      <w:b/>
                      <w:bCs/>
                      <w:color w:val="005CA9"/>
                      <w:sz w:val="22"/>
                      <w:szCs w:val="22"/>
                    </w:rPr>
                  </w:pPr>
                  <w:r w:rsidRPr="005F5AF9">
                    <w:rPr>
                      <w:rFonts w:cs="Arial"/>
                      <w:b/>
                      <w:bCs/>
                      <w:color w:val="005CA9"/>
                      <w:sz w:val="22"/>
                      <w:szCs w:val="22"/>
                    </w:rPr>
                    <w:t>H1Kn</w:t>
                  </w:r>
                </w:p>
              </w:tc>
              <w:tc>
                <w:tcPr>
                  <w:tcW w:w="2326" w:type="dxa"/>
                  <w:tcBorders>
                    <w:top w:val="nil"/>
                    <w:left w:val="nil"/>
                    <w:bottom w:val="single" w:sz="4" w:space="0" w:color="auto"/>
                    <w:right w:val="single" w:sz="4" w:space="0" w:color="auto"/>
                  </w:tcBorders>
                  <w:vAlign w:val="center"/>
                  <w:hideMark/>
                </w:tcPr>
                <w:p w14:paraId="5F16732F" w14:textId="77777777" w:rsidR="004D5B4D" w:rsidRPr="005F5AF9" w:rsidRDefault="004D5B4D" w:rsidP="004D5B4D">
                  <w:pPr>
                    <w:keepNext w:val="0"/>
                    <w:spacing w:before="0"/>
                    <w:rPr>
                      <w:rFonts w:cs="Arial"/>
                      <w:b/>
                      <w:bCs/>
                      <w:color w:val="005CA9"/>
                      <w:sz w:val="22"/>
                      <w:szCs w:val="22"/>
                    </w:rPr>
                  </w:pPr>
                  <w:r w:rsidRPr="005F5AF9">
                    <w:rPr>
                      <w:rFonts w:cs="Arial"/>
                      <w:b/>
                      <w:bCs/>
                      <w:color w:val="005CA9"/>
                      <w:sz w:val="22"/>
                      <w:szCs w:val="22"/>
                    </w:rPr>
                    <w:t>Southwell Lane, Kirkby</w:t>
                  </w:r>
                </w:p>
              </w:tc>
              <w:tc>
                <w:tcPr>
                  <w:tcW w:w="1293" w:type="dxa"/>
                  <w:tcBorders>
                    <w:top w:val="nil"/>
                    <w:left w:val="nil"/>
                    <w:bottom w:val="single" w:sz="4" w:space="0" w:color="auto"/>
                    <w:right w:val="single" w:sz="4" w:space="0" w:color="auto"/>
                  </w:tcBorders>
                  <w:noWrap/>
                  <w:vAlign w:val="center"/>
                  <w:hideMark/>
                </w:tcPr>
                <w:p w14:paraId="7B4DAED5"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6E391CA2"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200C6B6A" w14:textId="77777777" w:rsidR="004D5B4D" w:rsidRPr="005F5AF9" w:rsidRDefault="004D5B4D" w:rsidP="004D5B4D">
                  <w:pPr>
                    <w:keepNext w:val="0"/>
                    <w:spacing w:before="0"/>
                    <w:jc w:val="right"/>
                    <w:rPr>
                      <w:rFonts w:cs="Arial"/>
                      <w:b/>
                      <w:bCs/>
                      <w:color w:val="005CA9"/>
                      <w:sz w:val="22"/>
                      <w:szCs w:val="22"/>
                    </w:rPr>
                  </w:pPr>
                  <w:r w:rsidRPr="005F5AF9">
                    <w:rPr>
                      <w:rFonts w:cs="Arial"/>
                      <w:b/>
                      <w:bCs/>
                      <w:color w:val="005CA9"/>
                      <w:sz w:val="22"/>
                      <w:szCs w:val="22"/>
                    </w:rPr>
                    <w:t>60</w:t>
                  </w:r>
                </w:p>
              </w:tc>
              <w:tc>
                <w:tcPr>
                  <w:tcW w:w="1646" w:type="dxa"/>
                  <w:tcBorders>
                    <w:top w:val="nil"/>
                    <w:left w:val="nil"/>
                    <w:bottom w:val="single" w:sz="4" w:space="0" w:color="auto"/>
                    <w:right w:val="single" w:sz="4" w:space="0" w:color="auto"/>
                  </w:tcBorders>
                  <w:noWrap/>
                  <w:vAlign w:val="center"/>
                  <w:hideMark/>
                </w:tcPr>
                <w:p w14:paraId="17817F07"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61663FD1"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4AB6E015" w14:textId="77777777" w:rsidR="004D5B4D" w:rsidRPr="005F5AF9" w:rsidRDefault="004D5B4D" w:rsidP="004D5B4D">
                  <w:pPr>
                    <w:keepNext w:val="0"/>
                    <w:spacing w:before="0"/>
                    <w:jc w:val="both"/>
                    <w:rPr>
                      <w:rFonts w:cs="Arial"/>
                      <w:b/>
                      <w:bCs/>
                      <w:color w:val="005CA9"/>
                      <w:sz w:val="22"/>
                      <w:szCs w:val="22"/>
                    </w:rPr>
                  </w:pPr>
                  <w:r w:rsidRPr="005F5AF9">
                    <w:rPr>
                      <w:rFonts w:cs="Arial"/>
                      <w:b/>
                      <w:bCs/>
                      <w:color w:val="005CA9"/>
                      <w:sz w:val="22"/>
                      <w:szCs w:val="22"/>
                    </w:rPr>
                    <w:t>H1Ko</w:t>
                  </w:r>
                </w:p>
              </w:tc>
              <w:tc>
                <w:tcPr>
                  <w:tcW w:w="2326" w:type="dxa"/>
                  <w:tcBorders>
                    <w:top w:val="nil"/>
                    <w:left w:val="nil"/>
                    <w:bottom w:val="single" w:sz="4" w:space="0" w:color="auto"/>
                    <w:right w:val="single" w:sz="4" w:space="0" w:color="auto"/>
                  </w:tcBorders>
                  <w:vAlign w:val="center"/>
                  <w:hideMark/>
                </w:tcPr>
                <w:p w14:paraId="64BF5FB1" w14:textId="77777777" w:rsidR="004D5B4D" w:rsidRPr="005F5AF9" w:rsidRDefault="004D5B4D" w:rsidP="004D5B4D">
                  <w:pPr>
                    <w:keepNext w:val="0"/>
                    <w:spacing w:before="0"/>
                    <w:rPr>
                      <w:rFonts w:cs="Arial"/>
                      <w:b/>
                      <w:bCs/>
                      <w:color w:val="005CA9"/>
                      <w:sz w:val="22"/>
                      <w:szCs w:val="22"/>
                    </w:rPr>
                  </w:pPr>
                  <w:r w:rsidRPr="005F5AF9">
                    <w:rPr>
                      <w:rFonts w:cs="Arial"/>
                      <w:b/>
                      <w:bCs/>
                      <w:color w:val="005CA9"/>
                      <w:sz w:val="22"/>
                      <w:szCs w:val="22"/>
                    </w:rPr>
                    <w:t>Former Kirkland's care home, Fairhaven, Kirkby</w:t>
                  </w:r>
                </w:p>
              </w:tc>
              <w:tc>
                <w:tcPr>
                  <w:tcW w:w="1293" w:type="dxa"/>
                  <w:tcBorders>
                    <w:top w:val="nil"/>
                    <w:left w:val="nil"/>
                    <w:bottom w:val="single" w:sz="4" w:space="0" w:color="auto"/>
                    <w:right w:val="single" w:sz="4" w:space="0" w:color="auto"/>
                  </w:tcBorders>
                  <w:noWrap/>
                  <w:vAlign w:val="center"/>
                  <w:hideMark/>
                </w:tcPr>
                <w:p w14:paraId="1CC6EFE1"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16ED57C4"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2A4CC98E" w14:textId="77777777" w:rsidR="004D5B4D" w:rsidRPr="005F5AF9" w:rsidRDefault="004D5B4D" w:rsidP="004D5B4D">
                  <w:pPr>
                    <w:keepNext w:val="0"/>
                    <w:spacing w:before="0"/>
                    <w:jc w:val="right"/>
                    <w:rPr>
                      <w:rFonts w:cs="Arial"/>
                      <w:b/>
                      <w:bCs/>
                      <w:color w:val="005CA9"/>
                      <w:sz w:val="22"/>
                      <w:szCs w:val="22"/>
                    </w:rPr>
                  </w:pPr>
                  <w:r w:rsidRPr="005F5AF9">
                    <w:rPr>
                      <w:rFonts w:cs="Arial"/>
                      <w:b/>
                      <w:bCs/>
                      <w:color w:val="005CA9"/>
                      <w:sz w:val="22"/>
                      <w:szCs w:val="22"/>
                    </w:rPr>
                    <w:t>20</w:t>
                  </w:r>
                </w:p>
              </w:tc>
              <w:tc>
                <w:tcPr>
                  <w:tcW w:w="1646" w:type="dxa"/>
                  <w:tcBorders>
                    <w:top w:val="nil"/>
                    <w:left w:val="nil"/>
                    <w:bottom w:val="single" w:sz="4" w:space="0" w:color="auto"/>
                    <w:right w:val="single" w:sz="4" w:space="0" w:color="auto"/>
                  </w:tcBorders>
                  <w:noWrap/>
                  <w:vAlign w:val="center"/>
                  <w:hideMark/>
                </w:tcPr>
                <w:p w14:paraId="5EDD0DC6"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5722DCC3" w14:textId="77777777" w:rsidTr="004D5B4D">
              <w:trPr>
                <w:trHeight w:val="280"/>
              </w:trPr>
              <w:tc>
                <w:tcPr>
                  <w:tcW w:w="960" w:type="dxa"/>
                  <w:tcBorders>
                    <w:top w:val="nil"/>
                    <w:left w:val="single" w:sz="4" w:space="0" w:color="auto"/>
                    <w:bottom w:val="single" w:sz="4" w:space="0" w:color="auto"/>
                    <w:right w:val="single" w:sz="4" w:space="0" w:color="auto"/>
                  </w:tcBorders>
                  <w:noWrap/>
                  <w:vAlign w:val="center"/>
                  <w:hideMark/>
                </w:tcPr>
                <w:p w14:paraId="2AAB1B6E" w14:textId="77777777" w:rsidR="004D5B4D" w:rsidRPr="005F5AF9" w:rsidRDefault="004D5B4D" w:rsidP="004D5B4D">
                  <w:pPr>
                    <w:keepNext w:val="0"/>
                    <w:spacing w:before="0"/>
                    <w:jc w:val="both"/>
                    <w:rPr>
                      <w:rFonts w:cs="Arial"/>
                      <w:b/>
                      <w:bCs/>
                      <w:color w:val="005CA9"/>
                      <w:sz w:val="22"/>
                      <w:szCs w:val="22"/>
                    </w:rPr>
                  </w:pPr>
                  <w:r w:rsidRPr="005F5AF9">
                    <w:rPr>
                      <w:rFonts w:cs="Arial"/>
                      <w:b/>
                      <w:bCs/>
                      <w:color w:val="005CA9"/>
                      <w:sz w:val="22"/>
                      <w:szCs w:val="22"/>
                    </w:rPr>
                    <w:t>H1Kp</w:t>
                  </w:r>
                </w:p>
              </w:tc>
              <w:tc>
                <w:tcPr>
                  <w:tcW w:w="2326" w:type="dxa"/>
                  <w:tcBorders>
                    <w:top w:val="nil"/>
                    <w:left w:val="nil"/>
                    <w:bottom w:val="single" w:sz="4" w:space="0" w:color="auto"/>
                    <w:right w:val="single" w:sz="4" w:space="0" w:color="auto"/>
                  </w:tcBorders>
                  <w:vAlign w:val="center"/>
                  <w:hideMark/>
                </w:tcPr>
                <w:p w14:paraId="01481106" w14:textId="77777777" w:rsidR="004D5B4D" w:rsidRPr="005F5AF9" w:rsidRDefault="004D5B4D" w:rsidP="004D5B4D">
                  <w:pPr>
                    <w:keepNext w:val="0"/>
                    <w:spacing w:before="0"/>
                    <w:rPr>
                      <w:rFonts w:cs="Arial"/>
                      <w:b/>
                      <w:bCs/>
                      <w:color w:val="005CA9"/>
                      <w:sz w:val="22"/>
                      <w:szCs w:val="22"/>
                    </w:rPr>
                  </w:pPr>
                  <w:r w:rsidRPr="005F5AF9">
                    <w:rPr>
                      <w:rFonts w:cs="Arial"/>
                      <w:b/>
                      <w:bCs/>
                      <w:color w:val="005CA9"/>
                      <w:sz w:val="22"/>
                      <w:szCs w:val="22"/>
                    </w:rPr>
                    <w:t>Pond Hole, Kirkby</w:t>
                  </w:r>
                </w:p>
              </w:tc>
              <w:tc>
                <w:tcPr>
                  <w:tcW w:w="1293" w:type="dxa"/>
                  <w:tcBorders>
                    <w:top w:val="nil"/>
                    <w:left w:val="nil"/>
                    <w:bottom w:val="single" w:sz="4" w:space="0" w:color="auto"/>
                    <w:right w:val="single" w:sz="4" w:space="0" w:color="auto"/>
                  </w:tcBorders>
                  <w:noWrap/>
                  <w:vAlign w:val="center"/>
                  <w:hideMark/>
                </w:tcPr>
                <w:p w14:paraId="44C1C049"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57FA97B2"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439A718A" w14:textId="77777777" w:rsidR="004D5B4D" w:rsidRPr="005F5AF9" w:rsidRDefault="004D5B4D" w:rsidP="004D5B4D">
                  <w:pPr>
                    <w:keepNext w:val="0"/>
                    <w:spacing w:before="0"/>
                    <w:jc w:val="right"/>
                    <w:rPr>
                      <w:rFonts w:cs="Arial"/>
                      <w:b/>
                      <w:bCs/>
                      <w:color w:val="005CA9"/>
                      <w:sz w:val="22"/>
                      <w:szCs w:val="22"/>
                    </w:rPr>
                  </w:pPr>
                  <w:r w:rsidRPr="005F5AF9">
                    <w:rPr>
                      <w:rFonts w:cs="Arial"/>
                      <w:b/>
                      <w:bCs/>
                      <w:color w:val="005CA9"/>
                      <w:sz w:val="22"/>
                      <w:szCs w:val="22"/>
                    </w:rPr>
                    <w:t>54</w:t>
                  </w:r>
                </w:p>
              </w:tc>
              <w:tc>
                <w:tcPr>
                  <w:tcW w:w="1646" w:type="dxa"/>
                  <w:tcBorders>
                    <w:top w:val="nil"/>
                    <w:left w:val="nil"/>
                    <w:bottom w:val="single" w:sz="4" w:space="0" w:color="auto"/>
                    <w:right w:val="single" w:sz="4" w:space="0" w:color="auto"/>
                  </w:tcBorders>
                  <w:noWrap/>
                  <w:vAlign w:val="center"/>
                  <w:hideMark/>
                </w:tcPr>
                <w:p w14:paraId="170287DD"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237E4A35" w14:textId="77777777" w:rsidTr="004D5B4D">
              <w:trPr>
                <w:trHeight w:val="560"/>
              </w:trPr>
              <w:tc>
                <w:tcPr>
                  <w:tcW w:w="960" w:type="dxa"/>
                  <w:tcBorders>
                    <w:top w:val="nil"/>
                    <w:left w:val="single" w:sz="4" w:space="0" w:color="auto"/>
                    <w:bottom w:val="single" w:sz="4" w:space="0" w:color="auto"/>
                    <w:right w:val="single" w:sz="4" w:space="0" w:color="auto"/>
                  </w:tcBorders>
                  <w:noWrap/>
                  <w:vAlign w:val="center"/>
                  <w:hideMark/>
                </w:tcPr>
                <w:p w14:paraId="6F7BF682" w14:textId="77777777" w:rsidR="004D5B4D" w:rsidRPr="005F5AF9" w:rsidRDefault="004D5B4D" w:rsidP="004D5B4D">
                  <w:pPr>
                    <w:keepNext w:val="0"/>
                    <w:spacing w:before="0"/>
                    <w:jc w:val="both"/>
                    <w:rPr>
                      <w:rFonts w:cs="Arial"/>
                      <w:b/>
                      <w:bCs/>
                      <w:color w:val="005CA9"/>
                      <w:sz w:val="22"/>
                      <w:szCs w:val="22"/>
                    </w:rPr>
                  </w:pPr>
                  <w:r w:rsidRPr="005F5AF9">
                    <w:rPr>
                      <w:rFonts w:cs="Arial"/>
                      <w:b/>
                      <w:bCs/>
                      <w:color w:val="005CA9"/>
                      <w:sz w:val="22"/>
                      <w:szCs w:val="22"/>
                    </w:rPr>
                    <w:t>H1Kq</w:t>
                  </w:r>
                </w:p>
              </w:tc>
              <w:tc>
                <w:tcPr>
                  <w:tcW w:w="2326" w:type="dxa"/>
                  <w:tcBorders>
                    <w:top w:val="nil"/>
                    <w:left w:val="nil"/>
                    <w:bottom w:val="single" w:sz="4" w:space="0" w:color="auto"/>
                    <w:right w:val="single" w:sz="4" w:space="0" w:color="auto"/>
                  </w:tcBorders>
                  <w:vAlign w:val="center"/>
                  <w:hideMark/>
                </w:tcPr>
                <w:p w14:paraId="01ACD8FC" w14:textId="77777777" w:rsidR="004D5B4D" w:rsidRPr="005F5AF9" w:rsidRDefault="004D5B4D" w:rsidP="004D5B4D">
                  <w:pPr>
                    <w:keepNext w:val="0"/>
                    <w:spacing w:before="0"/>
                    <w:rPr>
                      <w:rFonts w:cs="Arial"/>
                      <w:b/>
                      <w:bCs/>
                      <w:color w:val="005CA9"/>
                      <w:sz w:val="22"/>
                      <w:szCs w:val="22"/>
                    </w:rPr>
                  </w:pPr>
                  <w:r w:rsidRPr="005F5AF9">
                    <w:rPr>
                      <w:rFonts w:cs="Arial"/>
                      <w:b/>
                      <w:bCs/>
                      <w:color w:val="005CA9"/>
                      <w:sz w:val="22"/>
                      <w:szCs w:val="22"/>
                    </w:rPr>
                    <w:t>Former Wyvern Club site, Lane End, Kirkby</w:t>
                  </w:r>
                </w:p>
              </w:tc>
              <w:tc>
                <w:tcPr>
                  <w:tcW w:w="1293" w:type="dxa"/>
                  <w:tcBorders>
                    <w:top w:val="nil"/>
                    <w:left w:val="nil"/>
                    <w:bottom w:val="single" w:sz="4" w:space="0" w:color="auto"/>
                    <w:right w:val="single" w:sz="4" w:space="0" w:color="auto"/>
                  </w:tcBorders>
                  <w:noWrap/>
                  <w:vAlign w:val="center"/>
                  <w:hideMark/>
                </w:tcPr>
                <w:p w14:paraId="5F0CE37B"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0C7FDEC6"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20920A6E" w14:textId="77777777" w:rsidR="004D5B4D" w:rsidRPr="005F5AF9" w:rsidRDefault="004D5B4D" w:rsidP="004D5B4D">
                  <w:pPr>
                    <w:keepNext w:val="0"/>
                    <w:spacing w:before="0"/>
                    <w:jc w:val="right"/>
                    <w:rPr>
                      <w:rFonts w:cs="Arial"/>
                      <w:b/>
                      <w:bCs/>
                      <w:color w:val="005CA9"/>
                      <w:sz w:val="22"/>
                      <w:szCs w:val="22"/>
                    </w:rPr>
                  </w:pPr>
                  <w:r w:rsidRPr="005F5AF9">
                    <w:rPr>
                      <w:rFonts w:cs="Arial"/>
                      <w:b/>
                      <w:bCs/>
                      <w:color w:val="005CA9"/>
                      <w:sz w:val="22"/>
                      <w:szCs w:val="22"/>
                    </w:rPr>
                    <w:t>12</w:t>
                  </w:r>
                </w:p>
              </w:tc>
              <w:tc>
                <w:tcPr>
                  <w:tcW w:w="1646" w:type="dxa"/>
                  <w:tcBorders>
                    <w:top w:val="nil"/>
                    <w:left w:val="nil"/>
                    <w:bottom w:val="single" w:sz="4" w:space="0" w:color="auto"/>
                    <w:right w:val="single" w:sz="4" w:space="0" w:color="auto"/>
                  </w:tcBorders>
                  <w:noWrap/>
                  <w:vAlign w:val="center"/>
                  <w:hideMark/>
                </w:tcPr>
                <w:p w14:paraId="1DA6CFCA"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UC</w:t>
                  </w:r>
                </w:p>
              </w:tc>
            </w:tr>
            <w:tr w:rsidR="004D5B4D" w:rsidRPr="004D5B4D" w14:paraId="1C9F3C50" w14:textId="77777777" w:rsidTr="004D5B4D">
              <w:trPr>
                <w:trHeight w:val="280"/>
              </w:trPr>
              <w:tc>
                <w:tcPr>
                  <w:tcW w:w="960" w:type="dxa"/>
                  <w:tcBorders>
                    <w:top w:val="nil"/>
                    <w:left w:val="single" w:sz="4" w:space="0" w:color="auto"/>
                    <w:bottom w:val="single" w:sz="4" w:space="0" w:color="auto"/>
                    <w:right w:val="single" w:sz="4" w:space="0" w:color="auto"/>
                  </w:tcBorders>
                  <w:noWrap/>
                  <w:vAlign w:val="center"/>
                  <w:hideMark/>
                </w:tcPr>
                <w:p w14:paraId="3EF19438" w14:textId="77777777" w:rsidR="004D5B4D" w:rsidRPr="005F5AF9" w:rsidRDefault="004D5B4D" w:rsidP="004D5B4D">
                  <w:pPr>
                    <w:keepNext w:val="0"/>
                    <w:spacing w:before="0"/>
                    <w:jc w:val="both"/>
                    <w:rPr>
                      <w:rFonts w:cs="Arial"/>
                      <w:b/>
                      <w:bCs/>
                      <w:color w:val="005CA9"/>
                      <w:sz w:val="22"/>
                      <w:szCs w:val="22"/>
                    </w:rPr>
                  </w:pPr>
                  <w:r w:rsidRPr="005F5AF9">
                    <w:rPr>
                      <w:rFonts w:cs="Arial"/>
                      <w:b/>
                      <w:bCs/>
                      <w:color w:val="005CA9"/>
                      <w:sz w:val="22"/>
                      <w:szCs w:val="22"/>
                    </w:rPr>
                    <w:t>H1Kr</w:t>
                  </w:r>
                </w:p>
              </w:tc>
              <w:tc>
                <w:tcPr>
                  <w:tcW w:w="2326" w:type="dxa"/>
                  <w:tcBorders>
                    <w:top w:val="nil"/>
                    <w:left w:val="nil"/>
                    <w:bottom w:val="single" w:sz="4" w:space="0" w:color="auto"/>
                    <w:right w:val="single" w:sz="4" w:space="0" w:color="auto"/>
                  </w:tcBorders>
                  <w:vAlign w:val="center"/>
                  <w:hideMark/>
                </w:tcPr>
                <w:p w14:paraId="54CFEE53" w14:textId="77777777" w:rsidR="004D5B4D" w:rsidRPr="005F5AF9" w:rsidRDefault="004D5B4D" w:rsidP="004D5B4D">
                  <w:pPr>
                    <w:keepNext w:val="0"/>
                    <w:spacing w:before="0"/>
                    <w:rPr>
                      <w:rFonts w:cs="Arial"/>
                      <w:b/>
                      <w:bCs/>
                      <w:color w:val="005CA9"/>
                      <w:sz w:val="22"/>
                      <w:szCs w:val="22"/>
                    </w:rPr>
                  </w:pPr>
                  <w:r w:rsidRPr="005F5AF9">
                    <w:rPr>
                      <w:rFonts w:cs="Arial"/>
                      <w:b/>
                      <w:bCs/>
                      <w:color w:val="005CA9"/>
                      <w:sz w:val="22"/>
                      <w:szCs w:val="22"/>
                    </w:rPr>
                    <w:t>Ellis Street, Kirkby</w:t>
                  </w:r>
                </w:p>
              </w:tc>
              <w:tc>
                <w:tcPr>
                  <w:tcW w:w="1293" w:type="dxa"/>
                  <w:tcBorders>
                    <w:top w:val="nil"/>
                    <w:left w:val="nil"/>
                    <w:bottom w:val="single" w:sz="4" w:space="0" w:color="auto"/>
                    <w:right w:val="single" w:sz="4" w:space="0" w:color="auto"/>
                  </w:tcBorders>
                  <w:noWrap/>
                  <w:vAlign w:val="center"/>
                  <w:hideMark/>
                </w:tcPr>
                <w:p w14:paraId="47F6D904"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B</w:t>
                  </w:r>
                </w:p>
              </w:tc>
              <w:tc>
                <w:tcPr>
                  <w:tcW w:w="1400" w:type="dxa"/>
                  <w:tcBorders>
                    <w:top w:val="nil"/>
                    <w:left w:val="nil"/>
                    <w:bottom w:val="single" w:sz="4" w:space="0" w:color="auto"/>
                    <w:right w:val="single" w:sz="4" w:space="0" w:color="auto"/>
                  </w:tcBorders>
                  <w:noWrap/>
                  <w:vAlign w:val="center"/>
                  <w:hideMark/>
                </w:tcPr>
                <w:p w14:paraId="63F059C0"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16AFF8CA" w14:textId="77777777" w:rsidR="004D5B4D" w:rsidRPr="005F5AF9" w:rsidRDefault="004D5B4D" w:rsidP="004D5B4D">
                  <w:pPr>
                    <w:keepNext w:val="0"/>
                    <w:spacing w:before="0"/>
                    <w:jc w:val="right"/>
                    <w:rPr>
                      <w:rFonts w:cs="Arial"/>
                      <w:b/>
                      <w:bCs/>
                      <w:color w:val="005CA9"/>
                      <w:sz w:val="22"/>
                      <w:szCs w:val="22"/>
                    </w:rPr>
                  </w:pPr>
                  <w:r w:rsidRPr="005F5AF9">
                    <w:rPr>
                      <w:rFonts w:cs="Arial"/>
                      <w:b/>
                      <w:bCs/>
                      <w:color w:val="005CA9"/>
                      <w:sz w:val="22"/>
                      <w:szCs w:val="22"/>
                    </w:rPr>
                    <w:t>24</w:t>
                  </w:r>
                </w:p>
              </w:tc>
              <w:tc>
                <w:tcPr>
                  <w:tcW w:w="1646" w:type="dxa"/>
                  <w:tcBorders>
                    <w:top w:val="nil"/>
                    <w:left w:val="nil"/>
                    <w:bottom w:val="single" w:sz="4" w:space="0" w:color="auto"/>
                    <w:right w:val="single" w:sz="4" w:space="0" w:color="auto"/>
                  </w:tcBorders>
                  <w:noWrap/>
                  <w:vAlign w:val="center"/>
                  <w:hideMark/>
                </w:tcPr>
                <w:p w14:paraId="77E80F48" w14:textId="77777777" w:rsidR="004D5B4D" w:rsidRPr="005F5AF9" w:rsidRDefault="004D5B4D" w:rsidP="004D5B4D">
                  <w:pPr>
                    <w:keepNext w:val="0"/>
                    <w:spacing w:before="0"/>
                    <w:jc w:val="center"/>
                    <w:rPr>
                      <w:rFonts w:cs="Arial"/>
                      <w:b/>
                      <w:bCs/>
                      <w:color w:val="005CA9"/>
                      <w:sz w:val="22"/>
                      <w:szCs w:val="22"/>
                    </w:rPr>
                  </w:pPr>
                  <w:r w:rsidRPr="005F5AF9">
                    <w:rPr>
                      <w:rFonts w:cs="Arial"/>
                      <w:b/>
                      <w:bCs/>
                      <w:color w:val="005CA9"/>
                      <w:sz w:val="22"/>
                      <w:szCs w:val="22"/>
                    </w:rPr>
                    <w:t>NS</w:t>
                  </w:r>
                </w:p>
              </w:tc>
            </w:tr>
            <w:tr w:rsidR="004D5B4D" w:rsidRPr="004D5B4D" w14:paraId="12BB9F6E" w14:textId="77777777" w:rsidTr="004D5B4D">
              <w:trPr>
                <w:trHeight w:val="280"/>
              </w:trPr>
              <w:tc>
                <w:tcPr>
                  <w:tcW w:w="960" w:type="dxa"/>
                  <w:tcBorders>
                    <w:top w:val="nil"/>
                    <w:left w:val="single" w:sz="4" w:space="0" w:color="auto"/>
                    <w:bottom w:val="single" w:sz="4" w:space="0" w:color="auto"/>
                    <w:right w:val="single" w:sz="4" w:space="0" w:color="auto"/>
                  </w:tcBorders>
                  <w:noWrap/>
                  <w:vAlign w:val="center"/>
                  <w:hideMark/>
                </w:tcPr>
                <w:p w14:paraId="23D985FB" w14:textId="77777777" w:rsidR="004D5B4D" w:rsidRPr="004D5B4D" w:rsidRDefault="004D5B4D" w:rsidP="004D5B4D">
                  <w:pPr>
                    <w:keepNext w:val="0"/>
                    <w:spacing w:before="0"/>
                    <w:jc w:val="both"/>
                    <w:rPr>
                      <w:rFonts w:cs="Arial"/>
                      <w:color w:val="0070C0"/>
                      <w:sz w:val="22"/>
                      <w:szCs w:val="22"/>
                    </w:rPr>
                  </w:pPr>
                  <w:r w:rsidRPr="004D5B4D">
                    <w:rPr>
                      <w:rFonts w:cs="Arial"/>
                      <w:color w:val="0070C0"/>
                      <w:sz w:val="22"/>
                      <w:szCs w:val="22"/>
                    </w:rPr>
                    <w:t> </w:t>
                  </w:r>
                </w:p>
              </w:tc>
              <w:tc>
                <w:tcPr>
                  <w:tcW w:w="2326" w:type="dxa"/>
                  <w:tcBorders>
                    <w:top w:val="nil"/>
                    <w:left w:val="nil"/>
                    <w:bottom w:val="single" w:sz="4" w:space="0" w:color="auto"/>
                    <w:right w:val="single" w:sz="4" w:space="0" w:color="auto"/>
                  </w:tcBorders>
                  <w:vAlign w:val="center"/>
                  <w:hideMark/>
                </w:tcPr>
                <w:p w14:paraId="6AF5BB82" w14:textId="77777777" w:rsidR="004D5B4D" w:rsidRPr="004D5B4D" w:rsidRDefault="004D5B4D" w:rsidP="004D5B4D">
                  <w:pPr>
                    <w:keepNext w:val="0"/>
                    <w:spacing w:before="0"/>
                    <w:jc w:val="both"/>
                    <w:rPr>
                      <w:rFonts w:cs="Arial"/>
                      <w:color w:val="0070C0"/>
                      <w:sz w:val="22"/>
                      <w:szCs w:val="22"/>
                    </w:rPr>
                  </w:pPr>
                  <w:r w:rsidRPr="004D5B4D">
                    <w:rPr>
                      <w:rFonts w:cs="Arial"/>
                      <w:color w:val="0070C0"/>
                      <w:sz w:val="22"/>
                      <w:szCs w:val="22"/>
                    </w:rPr>
                    <w:t> </w:t>
                  </w:r>
                </w:p>
              </w:tc>
              <w:tc>
                <w:tcPr>
                  <w:tcW w:w="1293" w:type="dxa"/>
                  <w:tcBorders>
                    <w:top w:val="nil"/>
                    <w:left w:val="nil"/>
                    <w:bottom w:val="single" w:sz="4" w:space="0" w:color="auto"/>
                    <w:right w:val="single" w:sz="4" w:space="0" w:color="auto"/>
                  </w:tcBorders>
                  <w:noWrap/>
                  <w:vAlign w:val="center"/>
                  <w:hideMark/>
                </w:tcPr>
                <w:p w14:paraId="70275572" w14:textId="77777777" w:rsidR="004D5B4D" w:rsidRPr="004D5B4D" w:rsidRDefault="004D5B4D" w:rsidP="004D5B4D">
                  <w:pPr>
                    <w:keepNext w:val="0"/>
                    <w:spacing w:before="0"/>
                    <w:jc w:val="center"/>
                    <w:rPr>
                      <w:rFonts w:cs="Arial"/>
                      <w:color w:val="0070C0"/>
                      <w:sz w:val="22"/>
                      <w:szCs w:val="22"/>
                    </w:rPr>
                  </w:pPr>
                  <w:r w:rsidRPr="004D5B4D">
                    <w:rPr>
                      <w:rFonts w:cs="Arial"/>
                      <w:color w:val="0070C0"/>
                      <w:sz w:val="22"/>
                      <w:szCs w:val="22"/>
                    </w:rPr>
                    <w:t> </w:t>
                  </w:r>
                </w:p>
              </w:tc>
              <w:tc>
                <w:tcPr>
                  <w:tcW w:w="1400" w:type="dxa"/>
                  <w:tcBorders>
                    <w:top w:val="nil"/>
                    <w:left w:val="nil"/>
                    <w:bottom w:val="single" w:sz="4" w:space="0" w:color="auto"/>
                    <w:right w:val="single" w:sz="4" w:space="0" w:color="auto"/>
                  </w:tcBorders>
                  <w:noWrap/>
                  <w:vAlign w:val="center"/>
                  <w:hideMark/>
                </w:tcPr>
                <w:p w14:paraId="3005F3EC" w14:textId="77777777" w:rsidR="004D5B4D" w:rsidRPr="004D5B4D" w:rsidRDefault="004D5B4D" w:rsidP="004D5B4D">
                  <w:pPr>
                    <w:keepNext w:val="0"/>
                    <w:spacing w:before="0"/>
                    <w:jc w:val="center"/>
                    <w:rPr>
                      <w:rFonts w:cs="Arial"/>
                      <w:color w:val="0070C0"/>
                      <w:sz w:val="22"/>
                      <w:szCs w:val="22"/>
                    </w:rPr>
                  </w:pPr>
                  <w:r w:rsidRPr="004D5B4D">
                    <w:rPr>
                      <w:rFonts w:cs="Arial"/>
                      <w:color w:val="0070C0"/>
                      <w:sz w:val="22"/>
                      <w:szCs w:val="22"/>
                    </w:rPr>
                    <w:t> </w:t>
                  </w:r>
                </w:p>
              </w:tc>
              <w:tc>
                <w:tcPr>
                  <w:tcW w:w="1580" w:type="dxa"/>
                  <w:tcBorders>
                    <w:top w:val="nil"/>
                    <w:left w:val="nil"/>
                    <w:bottom w:val="single" w:sz="4" w:space="0" w:color="auto"/>
                    <w:right w:val="single" w:sz="4" w:space="0" w:color="auto"/>
                  </w:tcBorders>
                  <w:noWrap/>
                  <w:vAlign w:val="center"/>
                  <w:hideMark/>
                </w:tcPr>
                <w:p w14:paraId="6F6B61CC" w14:textId="77777777" w:rsidR="004D5B4D" w:rsidRPr="005F5AF9" w:rsidRDefault="004D5B4D" w:rsidP="004D5B4D">
                  <w:pPr>
                    <w:keepNext w:val="0"/>
                    <w:spacing w:before="0"/>
                    <w:jc w:val="right"/>
                    <w:rPr>
                      <w:rFonts w:cs="Arial"/>
                      <w:b/>
                      <w:bCs/>
                      <w:color w:val="005CA9"/>
                      <w:sz w:val="22"/>
                      <w:szCs w:val="22"/>
                    </w:rPr>
                  </w:pPr>
                  <w:r w:rsidRPr="005F5AF9">
                    <w:rPr>
                      <w:rFonts w:cs="Arial"/>
                      <w:b/>
                      <w:bCs/>
                      <w:color w:val="005CA9"/>
                      <w:sz w:val="22"/>
                      <w:szCs w:val="22"/>
                    </w:rPr>
                    <w:t>766</w:t>
                  </w:r>
                </w:p>
              </w:tc>
              <w:tc>
                <w:tcPr>
                  <w:tcW w:w="1646" w:type="dxa"/>
                  <w:tcBorders>
                    <w:top w:val="nil"/>
                    <w:left w:val="nil"/>
                    <w:bottom w:val="single" w:sz="4" w:space="0" w:color="auto"/>
                    <w:right w:val="single" w:sz="4" w:space="0" w:color="auto"/>
                  </w:tcBorders>
                  <w:noWrap/>
                  <w:vAlign w:val="center"/>
                  <w:hideMark/>
                </w:tcPr>
                <w:p w14:paraId="0593D0BD" w14:textId="77777777" w:rsidR="004D5B4D" w:rsidRPr="004D5B4D" w:rsidRDefault="004D5B4D" w:rsidP="004D5B4D">
                  <w:pPr>
                    <w:keepNext w:val="0"/>
                    <w:spacing w:before="0"/>
                    <w:jc w:val="center"/>
                    <w:rPr>
                      <w:rFonts w:cs="Arial"/>
                      <w:b/>
                      <w:bCs/>
                      <w:color w:val="0070C0"/>
                      <w:sz w:val="22"/>
                      <w:szCs w:val="22"/>
                    </w:rPr>
                  </w:pPr>
                  <w:r w:rsidRPr="004D5B4D">
                    <w:rPr>
                      <w:rFonts w:cs="Arial"/>
                      <w:b/>
                      <w:bCs/>
                      <w:color w:val="0070C0"/>
                      <w:sz w:val="22"/>
                      <w:szCs w:val="22"/>
                    </w:rPr>
                    <w:t> </w:t>
                  </w:r>
                </w:p>
              </w:tc>
            </w:tr>
          </w:tbl>
          <w:p w14:paraId="4A9DE355" w14:textId="77777777" w:rsidR="004D5B4D" w:rsidRDefault="004D5B4D" w:rsidP="008B5F49">
            <w:pPr>
              <w:pStyle w:val="Policy"/>
              <w:spacing w:after="0" w:line="240" w:lineRule="auto"/>
              <w:ind w:left="447" w:right="284"/>
              <w:rPr>
                <w:rStyle w:val="Normal1"/>
                <w:bCs/>
                <w:highlight w:val="yellow"/>
                <w:u w:val="single"/>
              </w:rPr>
            </w:pPr>
          </w:p>
          <w:p w14:paraId="467398EB" w14:textId="77777777" w:rsidR="004D5B4D" w:rsidRPr="00B90DBE" w:rsidRDefault="004D5B4D" w:rsidP="008B5F49">
            <w:pPr>
              <w:pStyle w:val="Policy"/>
              <w:spacing w:after="0" w:line="240" w:lineRule="auto"/>
              <w:ind w:left="447" w:right="284"/>
              <w:rPr>
                <w:rStyle w:val="Normal1"/>
                <w:bCs/>
                <w:u w:val="single"/>
              </w:rPr>
            </w:pPr>
          </w:p>
          <w:p w14:paraId="7CD7DA95" w14:textId="0FC0754A" w:rsidR="003C7E62" w:rsidRPr="00B90DBE" w:rsidRDefault="003C7E62" w:rsidP="008B5F49">
            <w:pPr>
              <w:pStyle w:val="Policy"/>
              <w:spacing w:after="0" w:line="240" w:lineRule="auto"/>
              <w:ind w:left="447" w:right="284"/>
              <w:rPr>
                <w:rStyle w:val="Normal1"/>
                <w:rFonts w:cs="Arial"/>
                <w:bCs/>
                <w:u w:val="single"/>
              </w:rPr>
            </w:pPr>
            <w:r w:rsidRPr="00B90DBE">
              <w:rPr>
                <w:rStyle w:val="Normal1"/>
                <w:rFonts w:cs="Arial"/>
                <w:bCs/>
                <w:u w:val="single"/>
              </w:rPr>
              <w:t>Sutton Area</w:t>
            </w:r>
          </w:p>
          <w:p w14:paraId="436E4105" w14:textId="77777777" w:rsidR="00642E60" w:rsidRPr="003736C4" w:rsidRDefault="00642E60" w:rsidP="008B5F49">
            <w:pPr>
              <w:pStyle w:val="Policy"/>
              <w:spacing w:after="0" w:line="240" w:lineRule="auto"/>
              <w:ind w:left="306" w:right="284" w:firstLine="141"/>
              <w:rPr>
                <w:rStyle w:val="Normal1"/>
                <w:bCs/>
                <w:highlight w:val="yellow"/>
                <w:u w:val="single"/>
              </w:rPr>
            </w:pPr>
          </w:p>
          <w:tbl>
            <w:tblPr>
              <w:tblW w:w="8700" w:type="dxa"/>
              <w:jc w:val="center"/>
              <w:tblLook w:val="04A0" w:firstRow="1" w:lastRow="0" w:firstColumn="1" w:lastColumn="0" w:noHBand="0" w:noVBand="1"/>
            </w:tblPr>
            <w:tblGrid>
              <w:gridCol w:w="889"/>
              <w:gridCol w:w="3447"/>
              <w:gridCol w:w="1460"/>
              <w:gridCol w:w="1600"/>
              <w:gridCol w:w="1304"/>
            </w:tblGrid>
            <w:tr w:rsidR="006E25C7" w:rsidRPr="00B90DBE" w14:paraId="487E3F8E" w14:textId="77777777" w:rsidTr="00BA5209">
              <w:trPr>
                <w:trHeight w:val="840"/>
                <w:jc w:val="center"/>
              </w:trPr>
              <w:tc>
                <w:tcPr>
                  <w:tcW w:w="760" w:type="dxa"/>
                  <w:tcBorders>
                    <w:top w:val="single" w:sz="4" w:space="0" w:color="auto"/>
                    <w:left w:val="single" w:sz="4" w:space="0" w:color="auto"/>
                    <w:bottom w:val="single" w:sz="4" w:space="0" w:color="auto"/>
                    <w:right w:val="single" w:sz="4" w:space="0" w:color="auto"/>
                  </w:tcBorders>
                  <w:shd w:val="clear" w:color="000000" w:fill="D9D9D9"/>
                  <w:hideMark/>
                </w:tcPr>
                <w:p w14:paraId="622480AD"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Site Ref.</w:t>
                  </w:r>
                </w:p>
              </w:tc>
              <w:tc>
                <w:tcPr>
                  <w:tcW w:w="3660" w:type="dxa"/>
                  <w:tcBorders>
                    <w:top w:val="single" w:sz="4" w:space="0" w:color="auto"/>
                    <w:left w:val="nil"/>
                    <w:bottom w:val="single" w:sz="4" w:space="0" w:color="auto"/>
                    <w:right w:val="single" w:sz="4" w:space="0" w:color="auto"/>
                  </w:tcBorders>
                  <w:shd w:val="clear" w:color="000000" w:fill="D9D9D9"/>
                  <w:hideMark/>
                </w:tcPr>
                <w:p w14:paraId="2D6963C3"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3F24ED6E"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06B57AA4"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Planning Permission*</w:t>
                  </w:r>
                </w:p>
              </w:tc>
              <w:tc>
                <w:tcPr>
                  <w:tcW w:w="1220" w:type="dxa"/>
                  <w:tcBorders>
                    <w:top w:val="single" w:sz="4" w:space="0" w:color="auto"/>
                    <w:left w:val="nil"/>
                    <w:bottom w:val="single" w:sz="4" w:space="0" w:color="auto"/>
                    <w:right w:val="single" w:sz="4" w:space="0" w:color="auto"/>
                  </w:tcBorders>
                  <w:shd w:val="clear" w:color="000000" w:fill="D9D9D9"/>
                  <w:hideMark/>
                </w:tcPr>
                <w:p w14:paraId="7B2EABB5"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Potential Yield (Dwellings)</w:t>
                  </w:r>
                </w:p>
              </w:tc>
            </w:tr>
            <w:tr w:rsidR="006E25C7" w:rsidRPr="00B90DBE" w14:paraId="65A38250"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2E590DB8"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H1Sa</w:t>
                  </w:r>
                </w:p>
              </w:tc>
              <w:tc>
                <w:tcPr>
                  <w:tcW w:w="3660" w:type="dxa"/>
                  <w:tcBorders>
                    <w:top w:val="nil"/>
                    <w:left w:val="nil"/>
                    <w:bottom w:val="single" w:sz="4" w:space="0" w:color="auto"/>
                    <w:right w:val="single" w:sz="4" w:space="0" w:color="auto"/>
                  </w:tcBorders>
                  <w:hideMark/>
                </w:tcPr>
                <w:p w14:paraId="29700B3C"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Rear 211 Alfreton Road</w:t>
                  </w:r>
                </w:p>
              </w:tc>
              <w:tc>
                <w:tcPr>
                  <w:tcW w:w="1460" w:type="dxa"/>
                  <w:tcBorders>
                    <w:top w:val="nil"/>
                    <w:left w:val="nil"/>
                    <w:bottom w:val="single" w:sz="4" w:space="0" w:color="auto"/>
                    <w:right w:val="single" w:sz="4" w:space="0" w:color="auto"/>
                  </w:tcBorders>
                  <w:noWrap/>
                  <w:hideMark/>
                </w:tcPr>
                <w:p w14:paraId="4A6BC9E6"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242D52E0"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79D11870"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110</w:t>
                  </w:r>
                </w:p>
              </w:tc>
            </w:tr>
            <w:tr w:rsidR="006E25C7" w:rsidRPr="00B90DBE" w14:paraId="4B4EA742" w14:textId="77777777" w:rsidTr="00BA5209">
              <w:trPr>
                <w:trHeight w:val="840"/>
                <w:jc w:val="center"/>
              </w:trPr>
              <w:tc>
                <w:tcPr>
                  <w:tcW w:w="760" w:type="dxa"/>
                  <w:tcBorders>
                    <w:top w:val="nil"/>
                    <w:left w:val="single" w:sz="4" w:space="0" w:color="auto"/>
                    <w:bottom w:val="single" w:sz="4" w:space="0" w:color="auto"/>
                    <w:right w:val="single" w:sz="4" w:space="0" w:color="auto"/>
                  </w:tcBorders>
                  <w:noWrap/>
                  <w:hideMark/>
                </w:tcPr>
                <w:p w14:paraId="4CCB1A31"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H1Sb</w:t>
                  </w:r>
                </w:p>
              </w:tc>
              <w:tc>
                <w:tcPr>
                  <w:tcW w:w="3660" w:type="dxa"/>
                  <w:tcBorders>
                    <w:top w:val="nil"/>
                    <w:left w:val="nil"/>
                    <w:bottom w:val="single" w:sz="4" w:space="0" w:color="auto"/>
                    <w:right w:val="single" w:sz="4" w:space="0" w:color="auto"/>
                  </w:tcBorders>
                  <w:hideMark/>
                </w:tcPr>
                <w:p w14:paraId="26B8AF8E"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South of Vision West Nottinghamshire College, Cauldwell Road, Sutton-In-Ashfield</w:t>
                  </w:r>
                </w:p>
              </w:tc>
              <w:tc>
                <w:tcPr>
                  <w:tcW w:w="1460" w:type="dxa"/>
                  <w:tcBorders>
                    <w:top w:val="nil"/>
                    <w:left w:val="nil"/>
                    <w:bottom w:val="single" w:sz="4" w:space="0" w:color="auto"/>
                    <w:right w:val="single" w:sz="4" w:space="0" w:color="auto"/>
                  </w:tcBorders>
                  <w:noWrap/>
                  <w:hideMark/>
                </w:tcPr>
                <w:p w14:paraId="1633A7B1"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56B4E141"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74325E0A"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208</w:t>
                  </w:r>
                </w:p>
              </w:tc>
            </w:tr>
            <w:tr w:rsidR="006E25C7" w:rsidRPr="00B90DBE" w14:paraId="50C3E2F7"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2373721C"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H1Sc</w:t>
                  </w:r>
                </w:p>
              </w:tc>
              <w:tc>
                <w:tcPr>
                  <w:tcW w:w="3660" w:type="dxa"/>
                  <w:tcBorders>
                    <w:top w:val="nil"/>
                    <w:left w:val="nil"/>
                    <w:bottom w:val="single" w:sz="4" w:space="0" w:color="auto"/>
                    <w:right w:val="single" w:sz="4" w:space="0" w:color="auto"/>
                  </w:tcBorders>
                  <w:hideMark/>
                </w:tcPr>
                <w:p w14:paraId="1EED5B90"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West of Fisher Close, Skegby</w:t>
                  </w:r>
                </w:p>
              </w:tc>
              <w:tc>
                <w:tcPr>
                  <w:tcW w:w="1460" w:type="dxa"/>
                  <w:tcBorders>
                    <w:top w:val="nil"/>
                    <w:left w:val="nil"/>
                    <w:bottom w:val="single" w:sz="4" w:space="0" w:color="auto"/>
                    <w:right w:val="single" w:sz="4" w:space="0" w:color="auto"/>
                  </w:tcBorders>
                  <w:noWrap/>
                  <w:hideMark/>
                </w:tcPr>
                <w:p w14:paraId="12DE706B"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7A8B68D2"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51414A15"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84</w:t>
                  </w:r>
                </w:p>
              </w:tc>
            </w:tr>
            <w:tr w:rsidR="006E25C7" w:rsidRPr="00B90DBE" w14:paraId="171C900E"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05E707AF"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H1Sd</w:t>
                  </w:r>
                </w:p>
              </w:tc>
              <w:tc>
                <w:tcPr>
                  <w:tcW w:w="3660" w:type="dxa"/>
                  <w:tcBorders>
                    <w:top w:val="nil"/>
                    <w:left w:val="nil"/>
                    <w:bottom w:val="single" w:sz="4" w:space="0" w:color="auto"/>
                    <w:right w:val="single" w:sz="4" w:space="0" w:color="auto"/>
                  </w:tcBorders>
                  <w:hideMark/>
                </w:tcPr>
                <w:p w14:paraId="0B1E71E9" w14:textId="4E462A25" w:rsidR="00BA5209" w:rsidRPr="00B90DBE" w:rsidRDefault="00BA5209" w:rsidP="00BA5209">
                  <w:pPr>
                    <w:keepNext w:val="0"/>
                    <w:spacing w:before="0"/>
                    <w:rPr>
                      <w:rFonts w:cs="Arial"/>
                      <w:strike/>
                      <w:color w:val="auto"/>
                      <w:sz w:val="22"/>
                      <w:szCs w:val="22"/>
                    </w:rPr>
                  </w:pPr>
                  <w:proofErr w:type="spellStart"/>
                  <w:r w:rsidRPr="00B90DBE">
                    <w:rPr>
                      <w:rFonts w:cs="Arial"/>
                      <w:strike/>
                      <w:color w:val="auto"/>
                      <w:sz w:val="22"/>
                      <w:szCs w:val="22"/>
                    </w:rPr>
                    <w:t>Adj</w:t>
                  </w:r>
                  <w:proofErr w:type="spellEnd"/>
                  <w:r w:rsidRPr="00B90DBE">
                    <w:rPr>
                      <w:rFonts w:cs="Arial"/>
                      <w:strike/>
                      <w:color w:val="auto"/>
                      <w:sz w:val="22"/>
                      <w:szCs w:val="22"/>
                    </w:rPr>
                    <w:t xml:space="preserve"> Oakham Business Park, off Hamilton Road</w:t>
                  </w:r>
                  <w:r w:rsidR="00304995" w:rsidRPr="00B90DBE">
                    <w:rPr>
                      <w:rFonts w:cs="Arial"/>
                      <w:strike/>
                      <w:color w:val="auto"/>
                      <w:sz w:val="22"/>
                      <w:szCs w:val="22"/>
                    </w:rPr>
                    <w:t xml:space="preserve"> </w:t>
                  </w:r>
                </w:p>
              </w:tc>
              <w:tc>
                <w:tcPr>
                  <w:tcW w:w="1460" w:type="dxa"/>
                  <w:tcBorders>
                    <w:top w:val="nil"/>
                    <w:left w:val="nil"/>
                    <w:bottom w:val="single" w:sz="4" w:space="0" w:color="auto"/>
                    <w:right w:val="single" w:sz="4" w:space="0" w:color="auto"/>
                  </w:tcBorders>
                  <w:noWrap/>
                  <w:hideMark/>
                </w:tcPr>
                <w:p w14:paraId="2A04A700"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0F877D0D"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5BD50B3A"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225</w:t>
                  </w:r>
                </w:p>
              </w:tc>
            </w:tr>
            <w:tr w:rsidR="006E25C7" w:rsidRPr="00B90DBE" w14:paraId="5C5C5CAA"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3DCF36B6"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H1Se</w:t>
                  </w:r>
                </w:p>
              </w:tc>
              <w:tc>
                <w:tcPr>
                  <w:tcW w:w="3660" w:type="dxa"/>
                  <w:tcBorders>
                    <w:top w:val="nil"/>
                    <w:left w:val="nil"/>
                    <w:bottom w:val="single" w:sz="4" w:space="0" w:color="auto"/>
                    <w:right w:val="single" w:sz="4" w:space="0" w:color="auto"/>
                  </w:tcBorders>
                  <w:hideMark/>
                </w:tcPr>
                <w:p w14:paraId="5172C4D9" w14:textId="77777777" w:rsidR="00BA5209" w:rsidRPr="00B90DBE" w:rsidRDefault="00BA5209" w:rsidP="00BA5209">
                  <w:pPr>
                    <w:keepNext w:val="0"/>
                    <w:spacing w:before="0"/>
                    <w:rPr>
                      <w:rFonts w:cs="Arial"/>
                      <w:strike/>
                      <w:color w:val="auto"/>
                      <w:sz w:val="22"/>
                      <w:szCs w:val="22"/>
                    </w:rPr>
                  </w:pPr>
                  <w:proofErr w:type="spellStart"/>
                  <w:r w:rsidRPr="00B90DBE">
                    <w:rPr>
                      <w:rFonts w:cs="Arial"/>
                      <w:strike/>
                      <w:color w:val="auto"/>
                      <w:sz w:val="22"/>
                      <w:szCs w:val="22"/>
                    </w:rPr>
                    <w:t>Priestic</w:t>
                  </w:r>
                  <w:proofErr w:type="spellEnd"/>
                  <w:r w:rsidRPr="00B90DBE">
                    <w:rPr>
                      <w:rFonts w:cs="Arial"/>
                      <w:strike/>
                      <w:color w:val="auto"/>
                      <w:sz w:val="22"/>
                      <w:szCs w:val="22"/>
                    </w:rPr>
                    <w:t xml:space="preserve"> Road</w:t>
                  </w:r>
                </w:p>
              </w:tc>
              <w:tc>
                <w:tcPr>
                  <w:tcW w:w="1460" w:type="dxa"/>
                  <w:tcBorders>
                    <w:top w:val="nil"/>
                    <w:left w:val="nil"/>
                    <w:bottom w:val="single" w:sz="4" w:space="0" w:color="auto"/>
                    <w:right w:val="single" w:sz="4" w:space="0" w:color="auto"/>
                  </w:tcBorders>
                  <w:noWrap/>
                  <w:hideMark/>
                </w:tcPr>
                <w:p w14:paraId="3AF6A5C7"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2342A12E"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4E2E2C0A"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19</w:t>
                  </w:r>
                </w:p>
              </w:tc>
            </w:tr>
            <w:tr w:rsidR="006E25C7" w:rsidRPr="00B90DBE" w14:paraId="35613843"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5E5BC836"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H1Sf</w:t>
                  </w:r>
                </w:p>
              </w:tc>
              <w:tc>
                <w:tcPr>
                  <w:tcW w:w="3660" w:type="dxa"/>
                  <w:tcBorders>
                    <w:top w:val="nil"/>
                    <w:left w:val="nil"/>
                    <w:bottom w:val="single" w:sz="4" w:space="0" w:color="auto"/>
                    <w:right w:val="single" w:sz="4" w:space="0" w:color="auto"/>
                  </w:tcBorders>
                  <w:hideMark/>
                </w:tcPr>
                <w:p w14:paraId="021CB363"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Rear 23 Beck Lane, Skegby</w:t>
                  </w:r>
                </w:p>
              </w:tc>
              <w:tc>
                <w:tcPr>
                  <w:tcW w:w="1460" w:type="dxa"/>
                  <w:tcBorders>
                    <w:top w:val="nil"/>
                    <w:left w:val="nil"/>
                    <w:bottom w:val="single" w:sz="4" w:space="0" w:color="auto"/>
                    <w:right w:val="single" w:sz="4" w:space="0" w:color="auto"/>
                  </w:tcBorders>
                  <w:noWrap/>
                  <w:hideMark/>
                </w:tcPr>
                <w:p w14:paraId="221A826E"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6E0A88E8"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2533200C"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23</w:t>
                  </w:r>
                </w:p>
              </w:tc>
            </w:tr>
            <w:tr w:rsidR="006E25C7" w:rsidRPr="00B90DBE" w14:paraId="1E1406B4"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6DB83C40"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H1Sg</w:t>
                  </w:r>
                </w:p>
              </w:tc>
              <w:tc>
                <w:tcPr>
                  <w:tcW w:w="3660" w:type="dxa"/>
                  <w:tcBorders>
                    <w:top w:val="nil"/>
                    <w:left w:val="nil"/>
                    <w:bottom w:val="single" w:sz="4" w:space="0" w:color="auto"/>
                    <w:right w:val="single" w:sz="4" w:space="0" w:color="auto"/>
                  </w:tcBorders>
                  <w:hideMark/>
                </w:tcPr>
                <w:p w14:paraId="4FEC6241"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Former Miner's Welfare Sports Ground, Stanton Hill</w:t>
                  </w:r>
                </w:p>
              </w:tc>
              <w:tc>
                <w:tcPr>
                  <w:tcW w:w="1460" w:type="dxa"/>
                  <w:tcBorders>
                    <w:top w:val="nil"/>
                    <w:left w:val="nil"/>
                    <w:bottom w:val="single" w:sz="4" w:space="0" w:color="auto"/>
                    <w:right w:val="single" w:sz="4" w:space="0" w:color="auto"/>
                  </w:tcBorders>
                  <w:noWrap/>
                  <w:hideMark/>
                </w:tcPr>
                <w:p w14:paraId="3A822CF5"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2F038893"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359B3383"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85</w:t>
                  </w:r>
                </w:p>
              </w:tc>
            </w:tr>
            <w:tr w:rsidR="006E25C7" w:rsidRPr="00B90DBE" w14:paraId="189D96F0"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0151E044"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H1Sh</w:t>
                  </w:r>
                </w:p>
              </w:tc>
              <w:tc>
                <w:tcPr>
                  <w:tcW w:w="3660" w:type="dxa"/>
                  <w:tcBorders>
                    <w:top w:val="nil"/>
                    <w:left w:val="nil"/>
                    <w:bottom w:val="single" w:sz="4" w:space="0" w:color="auto"/>
                    <w:right w:val="single" w:sz="4" w:space="0" w:color="auto"/>
                  </w:tcBorders>
                  <w:hideMark/>
                </w:tcPr>
                <w:p w14:paraId="3D153F02"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Pasture Farm, Alfreton Road</w:t>
                  </w:r>
                </w:p>
              </w:tc>
              <w:tc>
                <w:tcPr>
                  <w:tcW w:w="1460" w:type="dxa"/>
                  <w:tcBorders>
                    <w:top w:val="nil"/>
                    <w:left w:val="nil"/>
                    <w:bottom w:val="single" w:sz="4" w:space="0" w:color="auto"/>
                    <w:right w:val="single" w:sz="4" w:space="0" w:color="auto"/>
                  </w:tcBorders>
                  <w:noWrap/>
                  <w:hideMark/>
                </w:tcPr>
                <w:p w14:paraId="731F134E"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0A348C01"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1CEBAECC"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34</w:t>
                  </w:r>
                </w:p>
              </w:tc>
            </w:tr>
            <w:tr w:rsidR="006E25C7" w:rsidRPr="00B90DBE" w14:paraId="47C0526B"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70B42BF5"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lastRenderedPageBreak/>
                    <w:t>H1Si</w:t>
                  </w:r>
                </w:p>
              </w:tc>
              <w:tc>
                <w:tcPr>
                  <w:tcW w:w="3660" w:type="dxa"/>
                  <w:tcBorders>
                    <w:top w:val="nil"/>
                    <w:left w:val="nil"/>
                    <w:bottom w:val="single" w:sz="4" w:space="0" w:color="auto"/>
                    <w:right w:val="single" w:sz="4" w:space="0" w:color="auto"/>
                  </w:tcBorders>
                  <w:hideMark/>
                </w:tcPr>
                <w:p w14:paraId="4B074DBD"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Rear Kingsmill Hospital</w:t>
                  </w:r>
                </w:p>
              </w:tc>
              <w:tc>
                <w:tcPr>
                  <w:tcW w:w="1460" w:type="dxa"/>
                  <w:tcBorders>
                    <w:top w:val="nil"/>
                    <w:left w:val="nil"/>
                    <w:bottom w:val="single" w:sz="4" w:space="0" w:color="auto"/>
                    <w:right w:val="single" w:sz="4" w:space="0" w:color="auto"/>
                  </w:tcBorders>
                  <w:noWrap/>
                  <w:hideMark/>
                </w:tcPr>
                <w:p w14:paraId="723E2FB0"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56B85F95"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7A37BFA7"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264</w:t>
                  </w:r>
                </w:p>
              </w:tc>
            </w:tr>
            <w:tr w:rsidR="006E25C7" w:rsidRPr="00B90DBE" w14:paraId="4CEB247E"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3826AA50"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H1Sj</w:t>
                  </w:r>
                </w:p>
              </w:tc>
              <w:tc>
                <w:tcPr>
                  <w:tcW w:w="3660" w:type="dxa"/>
                  <w:tcBorders>
                    <w:top w:val="nil"/>
                    <w:left w:val="nil"/>
                    <w:bottom w:val="single" w:sz="4" w:space="0" w:color="auto"/>
                    <w:right w:val="single" w:sz="4" w:space="0" w:color="auto"/>
                  </w:tcBorders>
                  <w:hideMark/>
                </w:tcPr>
                <w:p w14:paraId="3E6097EE"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Clegg Hill Drive, Huthwaite</w:t>
                  </w:r>
                </w:p>
              </w:tc>
              <w:tc>
                <w:tcPr>
                  <w:tcW w:w="1460" w:type="dxa"/>
                  <w:tcBorders>
                    <w:top w:val="nil"/>
                    <w:left w:val="nil"/>
                    <w:bottom w:val="single" w:sz="4" w:space="0" w:color="auto"/>
                    <w:right w:val="single" w:sz="4" w:space="0" w:color="auto"/>
                  </w:tcBorders>
                  <w:noWrap/>
                  <w:hideMark/>
                </w:tcPr>
                <w:p w14:paraId="1AB14946"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1E54C4AB"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35099D7A"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104</w:t>
                  </w:r>
                </w:p>
              </w:tc>
            </w:tr>
            <w:tr w:rsidR="006E25C7" w:rsidRPr="00B90DBE" w14:paraId="0FF1C182"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73E3C113"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H1Sk</w:t>
                  </w:r>
                </w:p>
              </w:tc>
              <w:tc>
                <w:tcPr>
                  <w:tcW w:w="3660" w:type="dxa"/>
                  <w:tcBorders>
                    <w:top w:val="nil"/>
                    <w:left w:val="nil"/>
                    <w:bottom w:val="single" w:sz="4" w:space="0" w:color="auto"/>
                    <w:right w:val="single" w:sz="4" w:space="0" w:color="auto"/>
                  </w:tcBorders>
                  <w:hideMark/>
                </w:tcPr>
                <w:p w14:paraId="0372E4CD"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Sunnyside Farm, Blackwell Road, Huthwaite</w:t>
                  </w:r>
                </w:p>
              </w:tc>
              <w:tc>
                <w:tcPr>
                  <w:tcW w:w="1460" w:type="dxa"/>
                  <w:tcBorders>
                    <w:top w:val="nil"/>
                    <w:left w:val="nil"/>
                    <w:bottom w:val="single" w:sz="4" w:space="0" w:color="auto"/>
                    <w:right w:val="single" w:sz="4" w:space="0" w:color="auto"/>
                  </w:tcBorders>
                  <w:noWrap/>
                  <w:hideMark/>
                </w:tcPr>
                <w:p w14:paraId="69C0395A"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0E652A55"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5A15C34A"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283</w:t>
                  </w:r>
                </w:p>
              </w:tc>
            </w:tr>
            <w:tr w:rsidR="006E25C7" w:rsidRPr="00B90DBE" w14:paraId="74188C90"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4899409D"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H1Sl</w:t>
                  </w:r>
                </w:p>
              </w:tc>
              <w:tc>
                <w:tcPr>
                  <w:tcW w:w="3660" w:type="dxa"/>
                  <w:tcBorders>
                    <w:top w:val="nil"/>
                    <w:left w:val="nil"/>
                    <w:bottom w:val="single" w:sz="4" w:space="0" w:color="auto"/>
                    <w:right w:val="single" w:sz="4" w:space="0" w:color="auto"/>
                  </w:tcBorders>
                  <w:hideMark/>
                </w:tcPr>
                <w:p w14:paraId="3A509D34"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 xml:space="preserve">North of </w:t>
                  </w:r>
                  <w:proofErr w:type="spellStart"/>
                  <w:r w:rsidRPr="00B90DBE">
                    <w:rPr>
                      <w:rFonts w:cs="Arial"/>
                      <w:strike/>
                      <w:color w:val="auto"/>
                      <w:sz w:val="22"/>
                      <w:szCs w:val="22"/>
                    </w:rPr>
                    <w:t>Fackley</w:t>
                  </w:r>
                  <w:proofErr w:type="spellEnd"/>
                  <w:r w:rsidRPr="00B90DBE">
                    <w:rPr>
                      <w:rFonts w:cs="Arial"/>
                      <w:strike/>
                      <w:color w:val="auto"/>
                      <w:sz w:val="22"/>
                      <w:szCs w:val="22"/>
                    </w:rPr>
                    <w:t xml:space="preserve"> Road, Teversal</w:t>
                  </w:r>
                </w:p>
              </w:tc>
              <w:tc>
                <w:tcPr>
                  <w:tcW w:w="1460" w:type="dxa"/>
                  <w:tcBorders>
                    <w:top w:val="nil"/>
                    <w:left w:val="nil"/>
                    <w:bottom w:val="single" w:sz="4" w:space="0" w:color="auto"/>
                    <w:right w:val="single" w:sz="4" w:space="0" w:color="auto"/>
                  </w:tcBorders>
                  <w:noWrap/>
                  <w:hideMark/>
                </w:tcPr>
                <w:p w14:paraId="41ABA962"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718DF81B"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6E740609"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124</w:t>
                  </w:r>
                </w:p>
              </w:tc>
            </w:tr>
            <w:tr w:rsidR="006E25C7" w:rsidRPr="00B90DBE" w14:paraId="41FE081E"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6CD575E8"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H1Sm</w:t>
                  </w:r>
                </w:p>
              </w:tc>
              <w:tc>
                <w:tcPr>
                  <w:tcW w:w="3660" w:type="dxa"/>
                  <w:tcBorders>
                    <w:top w:val="nil"/>
                    <w:left w:val="nil"/>
                    <w:bottom w:val="single" w:sz="4" w:space="0" w:color="auto"/>
                    <w:right w:val="single" w:sz="4" w:space="0" w:color="auto"/>
                  </w:tcBorders>
                  <w:hideMark/>
                </w:tcPr>
                <w:p w14:paraId="54194063"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Land adjacent 88 High Hazels Drive</w:t>
                  </w:r>
                </w:p>
              </w:tc>
              <w:tc>
                <w:tcPr>
                  <w:tcW w:w="1460" w:type="dxa"/>
                  <w:tcBorders>
                    <w:top w:val="nil"/>
                    <w:left w:val="nil"/>
                    <w:bottom w:val="single" w:sz="4" w:space="0" w:color="auto"/>
                    <w:right w:val="single" w:sz="4" w:space="0" w:color="auto"/>
                  </w:tcBorders>
                  <w:noWrap/>
                  <w:hideMark/>
                </w:tcPr>
                <w:p w14:paraId="67C80096"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7ECB6689"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5C299320"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11</w:t>
                  </w:r>
                </w:p>
              </w:tc>
            </w:tr>
            <w:tr w:rsidR="006E25C7" w:rsidRPr="00B90DBE" w14:paraId="72E266E8"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498A4A67"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H1Sn</w:t>
                  </w:r>
                </w:p>
              </w:tc>
              <w:tc>
                <w:tcPr>
                  <w:tcW w:w="3660" w:type="dxa"/>
                  <w:tcBorders>
                    <w:top w:val="nil"/>
                    <w:left w:val="nil"/>
                    <w:bottom w:val="single" w:sz="4" w:space="0" w:color="auto"/>
                    <w:right w:val="single" w:sz="4" w:space="0" w:color="auto"/>
                  </w:tcBorders>
                  <w:hideMark/>
                </w:tcPr>
                <w:p w14:paraId="595533A6" w14:textId="77777777" w:rsidR="00BA5209" w:rsidRPr="00B90DBE" w:rsidRDefault="00BA5209" w:rsidP="00BA5209">
                  <w:pPr>
                    <w:keepNext w:val="0"/>
                    <w:spacing w:before="0"/>
                    <w:rPr>
                      <w:rFonts w:cs="Arial"/>
                      <w:strike/>
                      <w:color w:val="auto"/>
                      <w:sz w:val="22"/>
                      <w:szCs w:val="22"/>
                    </w:rPr>
                  </w:pPr>
                  <w:proofErr w:type="spellStart"/>
                  <w:r w:rsidRPr="00B90DBE">
                    <w:rPr>
                      <w:rFonts w:cs="Arial"/>
                      <w:strike/>
                      <w:color w:val="auto"/>
                      <w:sz w:val="22"/>
                      <w:szCs w:val="22"/>
                    </w:rPr>
                    <w:t>Adj</w:t>
                  </w:r>
                  <w:proofErr w:type="spellEnd"/>
                  <w:r w:rsidRPr="00B90DBE">
                    <w:rPr>
                      <w:rFonts w:cs="Arial"/>
                      <w:strike/>
                      <w:color w:val="auto"/>
                      <w:sz w:val="22"/>
                      <w:szCs w:val="22"/>
                    </w:rPr>
                    <w:t xml:space="preserve"> Molyneux Farm, </w:t>
                  </w:r>
                  <w:proofErr w:type="spellStart"/>
                  <w:r w:rsidRPr="00B90DBE">
                    <w:rPr>
                      <w:rFonts w:cs="Arial"/>
                      <w:strike/>
                      <w:color w:val="auto"/>
                      <w:sz w:val="22"/>
                      <w:szCs w:val="22"/>
                    </w:rPr>
                    <w:t>Fackley</w:t>
                  </w:r>
                  <w:proofErr w:type="spellEnd"/>
                  <w:r w:rsidRPr="00B90DBE">
                    <w:rPr>
                      <w:rFonts w:cs="Arial"/>
                      <w:strike/>
                      <w:color w:val="auto"/>
                      <w:sz w:val="22"/>
                      <w:szCs w:val="22"/>
                    </w:rPr>
                    <w:t xml:space="preserve"> Road, Teversal</w:t>
                  </w:r>
                </w:p>
              </w:tc>
              <w:tc>
                <w:tcPr>
                  <w:tcW w:w="1460" w:type="dxa"/>
                  <w:tcBorders>
                    <w:top w:val="nil"/>
                    <w:left w:val="nil"/>
                    <w:bottom w:val="single" w:sz="4" w:space="0" w:color="auto"/>
                    <w:right w:val="single" w:sz="4" w:space="0" w:color="auto"/>
                  </w:tcBorders>
                  <w:noWrap/>
                  <w:hideMark/>
                </w:tcPr>
                <w:p w14:paraId="34AB462A"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29AF9173"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4F6BBA99"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14</w:t>
                  </w:r>
                </w:p>
              </w:tc>
            </w:tr>
            <w:tr w:rsidR="006E25C7" w:rsidRPr="00B90DBE" w14:paraId="7048E037"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7292BEA0"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H1So</w:t>
                  </w:r>
                </w:p>
              </w:tc>
              <w:tc>
                <w:tcPr>
                  <w:tcW w:w="3660" w:type="dxa"/>
                  <w:tcBorders>
                    <w:top w:val="nil"/>
                    <w:left w:val="nil"/>
                    <w:bottom w:val="single" w:sz="4" w:space="0" w:color="auto"/>
                    <w:right w:val="single" w:sz="4" w:space="0" w:color="auto"/>
                  </w:tcBorders>
                  <w:hideMark/>
                </w:tcPr>
                <w:p w14:paraId="02A7F325"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 xml:space="preserve">Off </w:t>
                  </w:r>
                  <w:proofErr w:type="spellStart"/>
                  <w:r w:rsidRPr="00B90DBE">
                    <w:rPr>
                      <w:rFonts w:cs="Arial"/>
                      <w:strike/>
                      <w:color w:val="auto"/>
                      <w:sz w:val="22"/>
                      <w:szCs w:val="22"/>
                    </w:rPr>
                    <w:t>Fackley</w:t>
                  </w:r>
                  <w:proofErr w:type="spellEnd"/>
                  <w:r w:rsidRPr="00B90DBE">
                    <w:rPr>
                      <w:rFonts w:cs="Arial"/>
                      <w:strike/>
                      <w:color w:val="auto"/>
                      <w:sz w:val="22"/>
                      <w:szCs w:val="22"/>
                    </w:rPr>
                    <w:t xml:space="preserve"> Road, Teversal</w:t>
                  </w:r>
                </w:p>
              </w:tc>
              <w:tc>
                <w:tcPr>
                  <w:tcW w:w="1460" w:type="dxa"/>
                  <w:tcBorders>
                    <w:top w:val="nil"/>
                    <w:left w:val="nil"/>
                    <w:bottom w:val="single" w:sz="4" w:space="0" w:color="auto"/>
                    <w:right w:val="single" w:sz="4" w:space="0" w:color="auto"/>
                  </w:tcBorders>
                  <w:noWrap/>
                  <w:hideMark/>
                </w:tcPr>
                <w:p w14:paraId="00277F07"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0640E5F2"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02C23A72"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12</w:t>
                  </w:r>
                </w:p>
              </w:tc>
            </w:tr>
            <w:tr w:rsidR="006E25C7" w:rsidRPr="00B90DBE" w14:paraId="48108E3A"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36CEA14E"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H1Sq</w:t>
                  </w:r>
                </w:p>
              </w:tc>
              <w:tc>
                <w:tcPr>
                  <w:tcW w:w="3660" w:type="dxa"/>
                  <w:tcBorders>
                    <w:top w:val="nil"/>
                    <w:left w:val="nil"/>
                    <w:bottom w:val="single" w:sz="4" w:space="0" w:color="auto"/>
                    <w:right w:val="single" w:sz="4" w:space="0" w:color="auto"/>
                  </w:tcBorders>
                  <w:hideMark/>
                </w:tcPr>
                <w:p w14:paraId="300F006F"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Hardwick Lane Recreation Ground</w:t>
                  </w:r>
                </w:p>
              </w:tc>
              <w:tc>
                <w:tcPr>
                  <w:tcW w:w="1460" w:type="dxa"/>
                  <w:tcBorders>
                    <w:top w:val="nil"/>
                    <w:left w:val="nil"/>
                    <w:bottom w:val="single" w:sz="4" w:space="0" w:color="auto"/>
                    <w:right w:val="single" w:sz="4" w:space="0" w:color="auto"/>
                  </w:tcBorders>
                  <w:noWrap/>
                  <w:hideMark/>
                </w:tcPr>
                <w:p w14:paraId="4A9066A9"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20BF2E0C"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6156553A"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40</w:t>
                  </w:r>
                </w:p>
              </w:tc>
            </w:tr>
            <w:tr w:rsidR="006E25C7" w:rsidRPr="00B90DBE" w14:paraId="7C47A8BD"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3E2D2016"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H1Sr</w:t>
                  </w:r>
                </w:p>
              </w:tc>
              <w:tc>
                <w:tcPr>
                  <w:tcW w:w="3660" w:type="dxa"/>
                  <w:tcBorders>
                    <w:top w:val="nil"/>
                    <w:left w:val="nil"/>
                    <w:bottom w:val="single" w:sz="4" w:space="0" w:color="auto"/>
                    <w:right w:val="single" w:sz="4" w:space="0" w:color="auto"/>
                  </w:tcBorders>
                  <w:hideMark/>
                </w:tcPr>
                <w:p w14:paraId="6434BDBD"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Land off Clare Road</w:t>
                  </w:r>
                </w:p>
              </w:tc>
              <w:tc>
                <w:tcPr>
                  <w:tcW w:w="1460" w:type="dxa"/>
                  <w:tcBorders>
                    <w:top w:val="nil"/>
                    <w:left w:val="nil"/>
                    <w:bottom w:val="single" w:sz="4" w:space="0" w:color="auto"/>
                    <w:right w:val="single" w:sz="4" w:space="0" w:color="auto"/>
                  </w:tcBorders>
                  <w:noWrap/>
                  <w:hideMark/>
                </w:tcPr>
                <w:p w14:paraId="565FDC04"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368875EC"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2C20AADD"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69</w:t>
                  </w:r>
                </w:p>
              </w:tc>
            </w:tr>
            <w:tr w:rsidR="006E25C7" w:rsidRPr="00B90DBE" w14:paraId="27AE940F"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64214D4C"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H1Ss</w:t>
                  </w:r>
                </w:p>
              </w:tc>
              <w:tc>
                <w:tcPr>
                  <w:tcW w:w="3660" w:type="dxa"/>
                  <w:tcBorders>
                    <w:top w:val="nil"/>
                    <w:left w:val="nil"/>
                    <w:bottom w:val="single" w:sz="4" w:space="0" w:color="auto"/>
                    <w:right w:val="single" w:sz="4" w:space="0" w:color="auto"/>
                  </w:tcBorders>
                  <w:hideMark/>
                </w:tcPr>
                <w:p w14:paraId="6C9F5983" w14:textId="7227ADC5"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 xml:space="preserve">Land </w:t>
                  </w:r>
                  <w:r w:rsidR="00B02175" w:rsidRPr="00B90DBE">
                    <w:rPr>
                      <w:rFonts w:cs="Arial"/>
                      <w:strike/>
                      <w:color w:val="auto"/>
                      <w:sz w:val="22"/>
                      <w:szCs w:val="22"/>
                    </w:rPr>
                    <w:t>E</w:t>
                  </w:r>
                  <w:r w:rsidR="00B02175" w:rsidRPr="00B90DBE">
                    <w:rPr>
                      <w:strike/>
                      <w:sz w:val="22"/>
                      <w:szCs w:val="22"/>
                    </w:rPr>
                    <w:t>ast</w:t>
                  </w:r>
                  <w:r w:rsidRPr="00B90DBE">
                    <w:rPr>
                      <w:rFonts w:cs="Arial"/>
                      <w:strike/>
                      <w:color w:val="auto"/>
                      <w:sz w:val="22"/>
                      <w:szCs w:val="22"/>
                    </w:rPr>
                    <w:t xml:space="preserve"> of A6075 Beck Lane, Skegby </w:t>
                  </w:r>
                </w:p>
              </w:tc>
              <w:tc>
                <w:tcPr>
                  <w:tcW w:w="1460" w:type="dxa"/>
                  <w:tcBorders>
                    <w:top w:val="nil"/>
                    <w:left w:val="nil"/>
                    <w:bottom w:val="single" w:sz="4" w:space="0" w:color="auto"/>
                    <w:right w:val="single" w:sz="4" w:space="0" w:color="auto"/>
                  </w:tcBorders>
                  <w:noWrap/>
                  <w:hideMark/>
                </w:tcPr>
                <w:p w14:paraId="3839EEED"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218FC926"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2424827C"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212</w:t>
                  </w:r>
                </w:p>
              </w:tc>
            </w:tr>
            <w:tr w:rsidR="006E25C7" w:rsidRPr="00B90DBE" w14:paraId="71CC9BC0"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6F72C216"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H1St</w:t>
                  </w:r>
                </w:p>
              </w:tc>
              <w:tc>
                <w:tcPr>
                  <w:tcW w:w="3660" w:type="dxa"/>
                  <w:tcBorders>
                    <w:top w:val="nil"/>
                    <w:left w:val="nil"/>
                    <w:bottom w:val="single" w:sz="4" w:space="0" w:color="auto"/>
                    <w:right w:val="single" w:sz="4" w:space="0" w:color="auto"/>
                  </w:tcBorders>
                  <w:hideMark/>
                </w:tcPr>
                <w:p w14:paraId="208CC081"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Land off Blackwell Road/Main Street, Huthwaite</w:t>
                  </w:r>
                </w:p>
              </w:tc>
              <w:tc>
                <w:tcPr>
                  <w:tcW w:w="1460" w:type="dxa"/>
                  <w:tcBorders>
                    <w:top w:val="nil"/>
                    <w:left w:val="nil"/>
                    <w:bottom w:val="single" w:sz="4" w:space="0" w:color="auto"/>
                    <w:right w:val="single" w:sz="4" w:space="0" w:color="auto"/>
                  </w:tcBorders>
                  <w:noWrap/>
                  <w:hideMark/>
                </w:tcPr>
                <w:p w14:paraId="52C1C7BD"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6F18844F"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1A98C50F"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99</w:t>
                  </w:r>
                </w:p>
              </w:tc>
            </w:tr>
            <w:tr w:rsidR="006E25C7" w:rsidRPr="00B90DBE" w14:paraId="3DE42B82"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518003A5"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H1Su</w:t>
                  </w:r>
                </w:p>
              </w:tc>
              <w:tc>
                <w:tcPr>
                  <w:tcW w:w="3660" w:type="dxa"/>
                  <w:tcBorders>
                    <w:top w:val="nil"/>
                    <w:left w:val="nil"/>
                    <w:bottom w:val="single" w:sz="4" w:space="0" w:color="auto"/>
                    <w:right w:val="single" w:sz="4" w:space="0" w:color="auto"/>
                  </w:tcBorders>
                  <w:hideMark/>
                </w:tcPr>
                <w:p w14:paraId="3718A430"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Rear 113 to 139 Beck Lane, Skegby</w:t>
                  </w:r>
                </w:p>
              </w:tc>
              <w:tc>
                <w:tcPr>
                  <w:tcW w:w="1460" w:type="dxa"/>
                  <w:tcBorders>
                    <w:top w:val="nil"/>
                    <w:left w:val="nil"/>
                    <w:bottom w:val="single" w:sz="4" w:space="0" w:color="auto"/>
                    <w:right w:val="single" w:sz="4" w:space="0" w:color="auto"/>
                  </w:tcBorders>
                  <w:noWrap/>
                  <w:hideMark/>
                </w:tcPr>
                <w:p w14:paraId="475F97B5"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394BE587"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2FB13FAA"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100</w:t>
                  </w:r>
                </w:p>
              </w:tc>
            </w:tr>
            <w:tr w:rsidR="006E25C7" w:rsidRPr="00B90DBE" w14:paraId="4842E688"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7565F064"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H1Sw</w:t>
                  </w:r>
                </w:p>
              </w:tc>
              <w:tc>
                <w:tcPr>
                  <w:tcW w:w="3660" w:type="dxa"/>
                  <w:tcBorders>
                    <w:top w:val="nil"/>
                    <w:left w:val="nil"/>
                    <w:bottom w:val="single" w:sz="4" w:space="0" w:color="auto"/>
                    <w:right w:val="single" w:sz="4" w:space="0" w:color="auto"/>
                  </w:tcBorders>
                  <w:hideMark/>
                </w:tcPr>
                <w:p w14:paraId="62C4282F"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 xml:space="preserve">Off </w:t>
                  </w:r>
                  <w:proofErr w:type="spellStart"/>
                  <w:r w:rsidRPr="00B90DBE">
                    <w:rPr>
                      <w:rFonts w:cs="Arial"/>
                      <w:strike/>
                      <w:color w:val="auto"/>
                      <w:sz w:val="22"/>
                      <w:szCs w:val="22"/>
                    </w:rPr>
                    <w:t>Gillcroft</w:t>
                  </w:r>
                  <w:proofErr w:type="spellEnd"/>
                  <w:r w:rsidRPr="00B90DBE">
                    <w:rPr>
                      <w:rFonts w:cs="Arial"/>
                      <w:strike/>
                      <w:color w:val="auto"/>
                      <w:sz w:val="22"/>
                      <w:szCs w:val="22"/>
                    </w:rPr>
                    <w:t xml:space="preserve"> Street/St Andrews Street &amp; Vere Avenue, Skegby</w:t>
                  </w:r>
                </w:p>
              </w:tc>
              <w:tc>
                <w:tcPr>
                  <w:tcW w:w="1460" w:type="dxa"/>
                  <w:tcBorders>
                    <w:top w:val="nil"/>
                    <w:left w:val="nil"/>
                    <w:bottom w:val="single" w:sz="4" w:space="0" w:color="auto"/>
                    <w:right w:val="single" w:sz="4" w:space="0" w:color="auto"/>
                  </w:tcBorders>
                  <w:noWrap/>
                  <w:hideMark/>
                </w:tcPr>
                <w:p w14:paraId="1A4676A8"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1C42CDDF"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49E09863"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206</w:t>
                  </w:r>
                </w:p>
              </w:tc>
            </w:tr>
            <w:tr w:rsidR="006E25C7" w:rsidRPr="00B90DBE" w14:paraId="00585FBF"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4992BDB5"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H1Sx</w:t>
                  </w:r>
                </w:p>
              </w:tc>
              <w:tc>
                <w:tcPr>
                  <w:tcW w:w="3660" w:type="dxa"/>
                  <w:tcBorders>
                    <w:top w:val="nil"/>
                    <w:left w:val="nil"/>
                    <w:bottom w:val="single" w:sz="4" w:space="0" w:color="auto"/>
                    <w:right w:val="single" w:sz="4" w:space="0" w:color="auto"/>
                  </w:tcBorders>
                  <w:hideMark/>
                </w:tcPr>
                <w:p w14:paraId="1D849B7A"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rear 249, 251 Alfreton Road</w:t>
                  </w:r>
                </w:p>
              </w:tc>
              <w:tc>
                <w:tcPr>
                  <w:tcW w:w="1460" w:type="dxa"/>
                  <w:tcBorders>
                    <w:top w:val="nil"/>
                    <w:left w:val="nil"/>
                    <w:bottom w:val="single" w:sz="4" w:space="0" w:color="auto"/>
                    <w:right w:val="single" w:sz="4" w:space="0" w:color="auto"/>
                  </w:tcBorders>
                  <w:noWrap/>
                  <w:hideMark/>
                </w:tcPr>
                <w:p w14:paraId="034D5F2E"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4A49229B"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72C1654E"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43</w:t>
                  </w:r>
                </w:p>
              </w:tc>
            </w:tr>
            <w:tr w:rsidR="006E25C7" w:rsidRPr="00B90DBE" w14:paraId="4E5D7EBE"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595DBFFB"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H1Sy</w:t>
                  </w:r>
                </w:p>
              </w:tc>
              <w:tc>
                <w:tcPr>
                  <w:tcW w:w="3660" w:type="dxa"/>
                  <w:tcBorders>
                    <w:top w:val="nil"/>
                    <w:left w:val="nil"/>
                    <w:bottom w:val="single" w:sz="4" w:space="0" w:color="auto"/>
                    <w:right w:val="single" w:sz="4" w:space="0" w:color="auto"/>
                  </w:tcBorders>
                  <w:hideMark/>
                </w:tcPr>
                <w:p w14:paraId="7C9AF6B8"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off Brand Lane, Stanton Hill</w:t>
                  </w:r>
                </w:p>
              </w:tc>
              <w:tc>
                <w:tcPr>
                  <w:tcW w:w="1460" w:type="dxa"/>
                  <w:tcBorders>
                    <w:top w:val="nil"/>
                    <w:left w:val="nil"/>
                    <w:bottom w:val="single" w:sz="4" w:space="0" w:color="auto"/>
                    <w:right w:val="single" w:sz="4" w:space="0" w:color="auto"/>
                  </w:tcBorders>
                  <w:noWrap/>
                  <w:hideMark/>
                </w:tcPr>
                <w:p w14:paraId="5FF7E6B4"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445A7CF4"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5E787641"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71</w:t>
                  </w:r>
                </w:p>
              </w:tc>
            </w:tr>
            <w:tr w:rsidR="006E25C7" w:rsidRPr="00B90DBE" w14:paraId="58FF23EE"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73D424C6"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H1Sz</w:t>
                  </w:r>
                </w:p>
              </w:tc>
              <w:tc>
                <w:tcPr>
                  <w:tcW w:w="3660" w:type="dxa"/>
                  <w:tcBorders>
                    <w:top w:val="nil"/>
                    <w:left w:val="nil"/>
                    <w:bottom w:val="single" w:sz="4" w:space="0" w:color="auto"/>
                    <w:right w:val="single" w:sz="4" w:space="0" w:color="auto"/>
                  </w:tcBorders>
                  <w:hideMark/>
                </w:tcPr>
                <w:p w14:paraId="2C93B365"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Junction of Outram Street/Park Street</w:t>
                  </w:r>
                </w:p>
              </w:tc>
              <w:tc>
                <w:tcPr>
                  <w:tcW w:w="1460" w:type="dxa"/>
                  <w:tcBorders>
                    <w:top w:val="nil"/>
                    <w:left w:val="nil"/>
                    <w:bottom w:val="single" w:sz="4" w:space="0" w:color="auto"/>
                    <w:right w:val="single" w:sz="4" w:space="0" w:color="auto"/>
                  </w:tcBorders>
                  <w:noWrap/>
                  <w:hideMark/>
                </w:tcPr>
                <w:p w14:paraId="39560016"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334E1007"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54C9B3AF"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24</w:t>
                  </w:r>
                </w:p>
              </w:tc>
            </w:tr>
            <w:tr w:rsidR="006E25C7" w:rsidRPr="00B90DBE" w14:paraId="62901036"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4F1235C1"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H1Saa</w:t>
                  </w:r>
                </w:p>
              </w:tc>
              <w:tc>
                <w:tcPr>
                  <w:tcW w:w="3660" w:type="dxa"/>
                  <w:tcBorders>
                    <w:top w:val="nil"/>
                    <w:left w:val="nil"/>
                    <w:bottom w:val="single" w:sz="4" w:space="0" w:color="auto"/>
                    <w:right w:val="single" w:sz="4" w:space="0" w:color="auto"/>
                  </w:tcBorders>
                  <w:hideMark/>
                </w:tcPr>
                <w:p w14:paraId="08A51438"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Land at, Beck Lane, Skegby</w:t>
                  </w:r>
                </w:p>
              </w:tc>
              <w:tc>
                <w:tcPr>
                  <w:tcW w:w="1460" w:type="dxa"/>
                  <w:tcBorders>
                    <w:top w:val="nil"/>
                    <w:left w:val="nil"/>
                    <w:bottom w:val="single" w:sz="4" w:space="0" w:color="auto"/>
                    <w:right w:val="single" w:sz="4" w:space="0" w:color="auto"/>
                  </w:tcBorders>
                  <w:noWrap/>
                  <w:hideMark/>
                </w:tcPr>
                <w:p w14:paraId="4005596C"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28445D1A"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61B47241"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322</w:t>
                  </w:r>
                </w:p>
              </w:tc>
            </w:tr>
            <w:tr w:rsidR="006E25C7" w:rsidRPr="00B90DBE" w14:paraId="354D4B01"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4BCAD756"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H1Sac</w:t>
                  </w:r>
                </w:p>
              </w:tc>
              <w:tc>
                <w:tcPr>
                  <w:tcW w:w="3660" w:type="dxa"/>
                  <w:tcBorders>
                    <w:top w:val="nil"/>
                    <w:left w:val="nil"/>
                    <w:bottom w:val="single" w:sz="4" w:space="0" w:color="auto"/>
                    <w:right w:val="single" w:sz="4" w:space="0" w:color="auto"/>
                  </w:tcBorders>
                  <w:hideMark/>
                </w:tcPr>
                <w:p w14:paraId="3FB3D16A"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 xml:space="preserve">The Quarry, 57, </w:t>
                  </w:r>
                  <w:proofErr w:type="spellStart"/>
                  <w:r w:rsidRPr="00B90DBE">
                    <w:rPr>
                      <w:rFonts w:cs="Arial"/>
                      <w:strike/>
                      <w:color w:val="auto"/>
                      <w:sz w:val="22"/>
                      <w:szCs w:val="22"/>
                    </w:rPr>
                    <w:t>Stoneyford</w:t>
                  </w:r>
                  <w:proofErr w:type="spellEnd"/>
                  <w:r w:rsidRPr="00B90DBE">
                    <w:rPr>
                      <w:rFonts w:cs="Arial"/>
                      <w:strike/>
                      <w:color w:val="auto"/>
                      <w:sz w:val="22"/>
                      <w:szCs w:val="22"/>
                    </w:rPr>
                    <w:t xml:space="preserve"> Road</w:t>
                  </w:r>
                </w:p>
              </w:tc>
              <w:tc>
                <w:tcPr>
                  <w:tcW w:w="1460" w:type="dxa"/>
                  <w:tcBorders>
                    <w:top w:val="nil"/>
                    <w:left w:val="nil"/>
                    <w:bottom w:val="single" w:sz="4" w:space="0" w:color="auto"/>
                    <w:right w:val="single" w:sz="4" w:space="0" w:color="auto"/>
                  </w:tcBorders>
                  <w:noWrap/>
                  <w:hideMark/>
                </w:tcPr>
                <w:p w14:paraId="70759ACF"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6AC0E617"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0547F9F8"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47</w:t>
                  </w:r>
                </w:p>
              </w:tc>
            </w:tr>
            <w:tr w:rsidR="006E25C7" w:rsidRPr="00B90DBE" w14:paraId="6220E8FA"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714329C5"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H1Sad</w:t>
                  </w:r>
                </w:p>
              </w:tc>
              <w:tc>
                <w:tcPr>
                  <w:tcW w:w="3660" w:type="dxa"/>
                  <w:tcBorders>
                    <w:top w:val="nil"/>
                    <w:left w:val="nil"/>
                    <w:bottom w:val="single" w:sz="4" w:space="0" w:color="auto"/>
                    <w:right w:val="single" w:sz="4" w:space="0" w:color="auto"/>
                  </w:tcBorders>
                  <w:hideMark/>
                </w:tcPr>
                <w:p w14:paraId="38A6648D"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The Pattern House, Crossley Avenue, Huthwaite</w:t>
                  </w:r>
                </w:p>
              </w:tc>
              <w:tc>
                <w:tcPr>
                  <w:tcW w:w="1460" w:type="dxa"/>
                  <w:tcBorders>
                    <w:top w:val="nil"/>
                    <w:left w:val="nil"/>
                    <w:bottom w:val="single" w:sz="4" w:space="0" w:color="auto"/>
                    <w:right w:val="single" w:sz="4" w:space="0" w:color="auto"/>
                  </w:tcBorders>
                  <w:noWrap/>
                  <w:hideMark/>
                </w:tcPr>
                <w:p w14:paraId="626C43F8"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6E787D9F"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1F78389F"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23</w:t>
                  </w:r>
                </w:p>
              </w:tc>
            </w:tr>
            <w:tr w:rsidR="006E25C7" w:rsidRPr="00B90DBE" w14:paraId="0DA7D928"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2396A806"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H1Sae</w:t>
                  </w:r>
                </w:p>
              </w:tc>
              <w:tc>
                <w:tcPr>
                  <w:tcW w:w="3660" w:type="dxa"/>
                  <w:tcBorders>
                    <w:top w:val="nil"/>
                    <w:left w:val="nil"/>
                    <w:bottom w:val="single" w:sz="4" w:space="0" w:color="auto"/>
                    <w:right w:val="single" w:sz="4" w:space="0" w:color="auto"/>
                  </w:tcBorders>
                  <w:hideMark/>
                </w:tcPr>
                <w:p w14:paraId="65B8A28D"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Ashland Road West</w:t>
                  </w:r>
                </w:p>
              </w:tc>
              <w:tc>
                <w:tcPr>
                  <w:tcW w:w="1460" w:type="dxa"/>
                  <w:tcBorders>
                    <w:top w:val="nil"/>
                    <w:left w:val="nil"/>
                    <w:bottom w:val="single" w:sz="4" w:space="0" w:color="auto"/>
                    <w:right w:val="single" w:sz="4" w:space="0" w:color="auto"/>
                  </w:tcBorders>
                  <w:noWrap/>
                  <w:hideMark/>
                </w:tcPr>
                <w:p w14:paraId="7740FA26"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12C97879"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561F6663"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300</w:t>
                  </w:r>
                </w:p>
              </w:tc>
            </w:tr>
            <w:tr w:rsidR="006E25C7" w:rsidRPr="00B90DBE" w14:paraId="12A649E4"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7B428A4D"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H1Saf</w:t>
                  </w:r>
                </w:p>
              </w:tc>
              <w:tc>
                <w:tcPr>
                  <w:tcW w:w="3660" w:type="dxa"/>
                  <w:tcBorders>
                    <w:top w:val="nil"/>
                    <w:left w:val="nil"/>
                    <w:bottom w:val="single" w:sz="4" w:space="0" w:color="auto"/>
                    <w:right w:val="single" w:sz="4" w:space="0" w:color="auto"/>
                  </w:tcBorders>
                  <w:hideMark/>
                </w:tcPr>
                <w:p w14:paraId="42C0A3B5"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North of Midland Road</w:t>
                  </w:r>
                </w:p>
              </w:tc>
              <w:tc>
                <w:tcPr>
                  <w:tcW w:w="1460" w:type="dxa"/>
                  <w:tcBorders>
                    <w:top w:val="nil"/>
                    <w:left w:val="nil"/>
                    <w:bottom w:val="single" w:sz="4" w:space="0" w:color="auto"/>
                    <w:right w:val="single" w:sz="4" w:space="0" w:color="auto"/>
                  </w:tcBorders>
                  <w:noWrap/>
                  <w:hideMark/>
                </w:tcPr>
                <w:p w14:paraId="73553AC8"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27BCF74E"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Yes</w:t>
                  </w:r>
                </w:p>
              </w:tc>
              <w:tc>
                <w:tcPr>
                  <w:tcW w:w="1220" w:type="dxa"/>
                  <w:tcBorders>
                    <w:top w:val="nil"/>
                    <w:left w:val="nil"/>
                    <w:bottom w:val="single" w:sz="4" w:space="0" w:color="auto"/>
                    <w:right w:val="single" w:sz="4" w:space="0" w:color="auto"/>
                  </w:tcBorders>
                  <w:noWrap/>
                  <w:hideMark/>
                </w:tcPr>
                <w:p w14:paraId="17682D80"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20</w:t>
                  </w:r>
                </w:p>
              </w:tc>
            </w:tr>
            <w:tr w:rsidR="006E25C7" w:rsidRPr="00B90DBE" w14:paraId="17030924"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106D60C2"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H1Sag</w:t>
                  </w:r>
                </w:p>
              </w:tc>
              <w:tc>
                <w:tcPr>
                  <w:tcW w:w="3660" w:type="dxa"/>
                  <w:tcBorders>
                    <w:top w:val="nil"/>
                    <w:left w:val="nil"/>
                    <w:bottom w:val="single" w:sz="4" w:space="0" w:color="auto"/>
                    <w:right w:val="single" w:sz="4" w:space="0" w:color="auto"/>
                  </w:tcBorders>
                  <w:hideMark/>
                </w:tcPr>
                <w:p w14:paraId="4F25BD67"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Quantum clothing Site, North Street, Huthwaite</w:t>
                  </w:r>
                </w:p>
              </w:tc>
              <w:tc>
                <w:tcPr>
                  <w:tcW w:w="1460" w:type="dxa"/>
                  <w:tcBorders>
                    <w:top w:val="nil"/>
                    <w:left w:val="nil"/>
                    <w:bottom w:val="single" w:sz="4" w:space="0" w:color="auto"/>
                    <w:right w:val="single" w:sz="4" w:space="0" w:color="auto"/>
                  </w:tcBorders>
                  <w:noWrap/>
                  <w:hideMark/>
                </w:tcPr>
                <w:p w14:paraId="75E00AD5"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2F0C753B"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0BFA28FC"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71</w:t>
                  </w:r>
                </w:p>
              </w:tc>
            </w:tr>
            <w:tr w:rsidR="006E25C7" w:rsidRPr="00B90DBE" w14:paraId="086224B0"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6A826964"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H1Sah</w:t>
                  </w:r>
                </w:p>
              </w:tc>
              <w:tc>
                <w:tcPr>
                  <w:tcW w:w="3660" w:type="dxa"/>
                  <w:tcBorders>
                    <w:top w:val="nil"/>
                    <w:left w:val="nil"/>
                    <w:bottom w:val="nil"/>
                    <w:right w:val="nil"/>
                  </w:tcBorders>
                  <w:hideMark/>
                </w:tcPr>
                <w:p w14:paraId="28120DD3"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 xml:space="preserve">Land adjacent 208 Mansfield Road, Sutton in Ashfield </w:t>
                  </w:r>
                </w:p>
              </w:tc>
              <w:tc>
                <w:tcPr>
                  <w:tcW w:w="1460" w:type="dxa"/>
                  <w:tcBorders>
                    <w:top w:val="nil"/>
                    <w:left w:val="single" w:sz="4" w:space="0" w:color="auto"/>
                    <w:bottom w:val="single" w:sz="4" w:space="0" w:color="auto"/>
                    <w:right w:val="single" w:sz="4" w:space="0" w:color="auto"/>
                  </w:tcBorders>
                  <w:noWrap/>
                  <w:hideMark/>
                </w:tcPr>
                <w:p w14:paraId="57A93217"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B</w:t>
                  </w:r>
                </w:p>
              </w:tc>
              <w:tc>
                <w:tcPr>
                  <w:tcW w:w="1600" w:type="dxa"/>
                  <w:tcBorders>
                    <w:top w:val="nil"/>
                    <w:left w:val="nil"/>
                    <w:bottom w:val="single" w:sz="4" w:space="0" w:color="auto"/>
                    <w:right w:val="single" w:sz="4" w:space="0" w:color="auto"/>
                  </w:tcBorders>
                  <w:noWrap/>
                  <w:hideMark/>
                </w:tcPr>
                <w:p w14:paraId="10F37F6A"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686BBDED" w14:textId="77777777" w:rsidR="00BA5209" w:rsidRPr="00B90DBE" w:rsidRDefault="00BA5209" w:rsidP="00BA5209">
                  <w:pPr>
                    <w:keepNext w:val="0"/>
                    <w:spacing w:before="0"/>
                    <w:jc w:val="right"/>
                    <w:rPr>
                      <w:rFonts w:cs="Arial"/>
                      <w:strike/>
                      <w:color w:val="auto"/>
                      <w:sz w:val="22"/>
                      <w:szCs w:val="22"/>
                    </w:rPr>
                  </w:pPr>
                  <w:r w:rsidRPr="00B90DBE">
                    <w:rPr>
                      <w:rFonts w:cs="Arial"/>
                      <w:strike/>
                      <w:color w:val="auto"/>
                      <w:sz w:val="22"/>
                      <w:szCs w:val="22"/>
                    </w:rPr>
                    <w:t>36</w:t>
                  </w:r>
                </w:p>
              </w:tc>
            </w:tr>
            <w:tr w:rsidR="006E25C7" w:rsidRPr="00B90DBE" w14:paraId="5CE6B300" w14:textId="77777777" w:rsidTr="001770A9">
              <w:trPr>
                <w:trHeight w:val="453"/>
                <w:jc w:val="center"/>
              </w:trPr>
              <w:tc>
                <w:tcPr>
                  <w:tcW w:w="760" w:type="dxa"/>
                  <w:tcBorders>
                    <w:top w:val="nil"/>
                    <w:left w:val="single" w:sz="4" w:space="0" w:color="auto"/>
                    <w:bottom w:val="single" w:sz="4" w:space="0" w:color="auto"/>
                    <w:right w:val="single" w:sz="4" w:space="0" w:color="auto"/>
                  </w:tcBorders>
                  <w:noWrap/>
                  <w:hideMark/>
                </w:tcPr>
                <w:p w14:paraId="38262385"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 </w:t>
                  </w:r>
                </w:p>
              </w:tc>
              <w:tc>
                <w:tcPr>
                  <w:tcW w:w="3660" w:type="dxa"/>
                  <w:tcBorders>
                    <w:top w:val="single" w:sz="4" w:space="0" w:color="auto"/>
                    <w:left w:val="nil"/>
                    <w:bottom w:val="single" w:sz="4" w:space="0" w:color="auto"/>
                    <w:right w:val="single" w:sz="4" w:space="0" w:color="auto"/>
                  </w:tcBorders>
                  <w:hideMark/>
                </w:tcPr>
                <w:p w14:paraId="2A2D65E8" w14:textId="77777777" w:rsidR="00BA5209" w:rsidRPr="00B90DBE" w:rsidRDefault="00BA5209" w:rsidP="00BA5209">
                  <w:pPr>
                    <w:keepNext w:val="0"/>
                    <w:spacing w:before="0"/>
                    <w:rPr>
                      <w:rFonts w:cs="Arial"/>
                      <w:strike/>
                      <w:color w:val="auto"/>
                      <w:sz w:val="22"/>
                      <w:szCs w:val="22"/>
                    </w:rPr>
                  </w:pPr>
                  <w:r w:rsidRPr="00B90DBE">
                    <w:rPr>
                      <w:rFonts w:cs="Arial"/>
                      <w:strike/>
                      <w:color w:val="auto"/>
                      <w:sz w:val="22"/>
                      <w:szCs w:val="22"/>
                    </w:rPr>
                    <w:t> </w:t>
                  </w:r>
                </w:p>
              </w:tc>
              <w:tc>
                <w:tcPr>
                  <w:tcW w:w="1460" w:type="dxa"/>
                  <w:tcBorders>
                    <w:top w:val="nil"/>
                    <w:left w:val="nil"/>
                    <w:bottom w:val="single" w:sz="4" w:space="0" w:color="auto"/>
                    <w:right w:val="single" w:sz="4" w:space="0" w:color="auto"/>
                  </w:tcBorders>
                  <w:noWrap/>
                  <w:hideMark/>
                </w:tcPr>
                <w:p w14:paraId="2AAB3ECA"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 </w:t>
                  </w:r>
                </w:p>
              </w:tc>
              <w:tc>
                <w:tcPr>
                  <w:tcW w:w="1600" w:type="dxa"/>
                  <w:tcBorders>
                    <w:top w:val="nil"/>
                    <w:left w:val="nil"/>
                    <w:bottom w:val="single" w:sz="4" w:space="0" w:color="auto"/>
                    <w:right w:val="single" w:sz="4" w:space="0" w:color="auto"/>
                  </w:tcBorders>
                  <w:noWrap/>
                  <w:hideMark/>
                </w:tcPr>
                <w:p w14:paraId="06948621" w14:textId="77777777" w:rsidR="00BA5209" w:rsidRPr="00B90DBE" w:rsidRDefault="00BA5209" w:rsidP="00BA5209">
                  <w:pPr>
                    <w:keepNext w:val="0"/>
                    <w:spacing w:before="0"/>
                    <w:jc w:val="center"/>
                    <w:rPr>
                      <w:rFonts w:cs="Arial"/>
                      <w:strike/>
                      <w:color w:val="auto"/>
                      <w:sz w:val="22"/>
                      <w:szCs w:val="22"/>
                    </w:rPr>
                  </w:pPr>
                  <w:r w:rsidRPr="00B90DBE">
                    <w:rPr>
                      <w:rFonts w:cs="Arial"/>
                      <w:strike/>
                      <w:color w:val="auto"/>
                      <w:sz w:val="22"/>
                      <w:szCs w:val="22"/>
                    </w:rPr>
                    <w:t> </w:t>
                  </w:r>
                </w:p>
              </w:tc>
              <w:tc>
                <w:tcPr>
                  <w:tcW w:w="1220" w:type="dxa"/>
                  <w:tcBorders>
                    <w:top w:val="nil"/>
                    <w:left w:val="nil"/>
                    <w:bottom w:val="single" w:sz="4" w:space="0" w:color="auto"/>
                    <w:right w:val="single" w:sz="4" w:space="0" w:color="auto"/>
                  </w:tcBorders>
                  <w:noWrap/>
                  <w:hideMark/>
                </w:tcPr>
                <w:p w14:paraId="0AEA630D" w14:textId="77777777" w:rsidR="00BA5209" w:rsidRPr="00B90DBE" w:rsidRDefault="00BA5209" w:rsidP="00BA5209">
                  <w:pPr>
                    <w:keepNext w:val="0"/>
                    <w:spacing w:before="0"/>
                    <w:jc w:val="right"/>
                    <w:rPr>
                      <w:rFonts w:cs="Arial"/>
                      <w:b/>
                      <w:bCs/>
                      <w:strike/>
                      <w:color w:val="auto"/>
                      <w:sz w:val="22"/>
                      <w:szCs w:val="22"/>
                    </w:rPr>
                  </w:pPr>
                  <w:r w:rsidRPr="00B90DBE">
                    <w:rPr>
                      <w:rFonts w:cs="Arial"/>
                      <w:b/>
                      <w:bCs/>
                      <w:strike/>
                      <w:color w:val="auto"/>
                      <w:sz w:val="22"/>
                      <w:szCs w:val="22"/>
                    </w:rPr>
                    <w:t>3283</w:t>
                  </w:r>
                </w:p>
              </w:tc>
            </w:tr>
          </w:tbl>
          <w:p w14:paraId="49A864B9" w14:textId="77777777" w:rsidR="00642E60" w:rsidRPr="003736C4" w:rsidRDefault="00642E60" w:rsidP="008B5F49">
            <w:pPr>
              <w:pStyle w:val="Policy"/>
              <w:spacing w:after="0" w:line="240" w:lineRule="auto"/>
              <w:ind w:left="306" w:right="284" w:firstLine="141"/>
              <w:rPr>
                <w:rStyle w:val="Normal1"/>
                <w:rFonts w:cs="Arial"/>
                <w:bCs/>
                <w:highlight w:val="yellow"/>
                <w:u w:val="single"/>
              </w:rPr>
            </w:pPr>
          </w:p>
          <w:p w14:paraId="60531056" w14:textId="77777777" w:rsidR="001770A9" w:rsidRPr="003736C4" w:rsidRDefault="001770A9" w:rsidP="008B5F49">
            <w:pPr>
              <w:pStyle w:val="Policy"/>
              <w:spacing w:after="0" w:line="240" w:lineRule="auto"/>
              <w:ind w:left="306" w:right="284" w:firstLine="141"/>
              <w:rPr>
                <w:rStyle w:val="Normal1"/>
                <w:rFonts w:cs="Arial"/>
                <w:bCs/>
                <w:highlight w:val="yellow"/>
                <w:u w:val="single"/>
              </w:rPr>
            </w:pPr>
          </w:p>
          <w:tbl>
            <w:tblPr>
              <w:tblW w:w="9449" w:type="dxa"/>
              <w:tblLook w:val="04A0" w:firstRow="1" w:lastRow="0" w:firstColumn="1" w:lastColumn="0" w:noHBand="0" w:noVBand="1"/>
            </w:tblPr>
            <w:tblGrid>
              <w:gridCol w:w="962"/>
              <w:gridCol w:w="2324"/>
              <w:gridCol w:w="1293"/>
              <w:gridCol w:w="1390"/>
              <w:gridCol w:w="1580"/>
              <w:gridCol w:w="1900"/>
            </w:tblGrid>
            <w:tr w:rsidR="00B90DBE" w:rsidRPr="00B90DBE" w14:paraId="38840F94" w14:textId="77777777" w:rsidTr="00B90DBE">
              <w:trPr>
                <w:trHeight w:val="1400"/>
              </w:trPr>
              <w:tc>
                <w:tcPr>
                  <w:tcW w:w="96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3853682" w14:textId="77777777" w:rsidR="00B90DBE" w:rsidRPr="00E56F9C" w:rsidRDefault="00B90DBE" w:rsidP="00B90DBE">
                  <w:pPr>
                    <w:keepNext w:val="0"/>
                    <w:spacing w:before="0"/>
                    <w:jc w:val="both"/>
                    <w:rPr>
                      <w:rFonts w:cs="Arial"/>
                      <w:color w:val="005EAC"/>
                      <w:sz w:val="22"/>
                      <w:szCs w:val="22"/>
                    </w:rPr>
                  </w:pPr>
                  <w:r w:rsidRPr="00E56F9C">
                    <w:rPr>
                      <w:rFonts w:cs="Arial"/>
                      <w:color w:val="005EAC"/>
                      <w:sz w:val="22"/>
                      <w:szCs w:val="22"/>
                    </w:rPr>
                    <w:t>Site Ref.</w:t>
                  </w:r>
                </w:p>
              </w:tc>
              <w:tc>
                <w:tcPr>
                  <w:tcW w:w="2324" w:type="dxa"/>
                  <w:tcBorders>
                    <w:top w:val="single" w:sz="4" w:space="0" w:color="auto"/>
                    <w:left w:val="nil"/>
                    <w:bottom w:val="single" w:sz="4" w:space="0" w:color="auto"/>
                    <w:right w:val="single" w:sz="4" w:space="0" w:color="auto"/>
                  </w:tcBorders>
                  <w:shd w:val="clear" w:color="000000" w:fill="D9D9D9"/>
                  <w:vAlign w:val="center"/>
                  <w:hideMark/>
                </w:tcPr>
                <w:p w14:paraId="1888E32F" w14:textId="77777777" w:rsidR="00B90DBE" w:rsidRPr="00E56F9C" w:rsidRDefault="00B90DBE" w:rsidP="00B90DBE">
                  <w:pPr>
                    <w:keepNext w:val="0"/>
                    <w:spacing w:before="0"/>
                    <w:jc w:val="both"/>
                    <w:rPr>
                      <w:rFonts w:cs="Arial"/>
                      <w:color w:val="005EAC"/>
                      <w:sz w:val="22"/>
                      <w:szCs w:val="22"/>
                    </w:rPr>
                  </w:pPr>
                  <w:r w:rsidRPr="00E56F9C">
                    <w:rPr>
                      <w:rFonts w:cs="Arial"/>
                      <w:color w:val="005EAC"/>
                      <w:sz w:val="22"/>
                      <w:szCs w:val="22"/>
                    </w:rPr>
                    <w:t>Site Name</w:t>
                  </w:r>
                </w:p>
              </w:tc>
              <w:tc>
                <w:tcPr>
                  <w:tcW w:w="1293" w:type="dxa"/>
                  <w:tcBorders>
                    <w:top w:val="single" w:sz="4" w:space="0" w:color="auto"/>
                    <w:left w:val="nil"/>
                    <w:bottom w:val="single" w:sz="4" w:space="0" w:color="auto"/>
                    <w:right w:val="single" w:sz="4" w:space="0" w:color="auto"/>
                  </w:tcBorders>
                  <w:shd w:val="clear" w:color="000000" w:fill="D9D9D9"/>
                  <w:vAlign w:val="center"/>
                  <w:hideMark/>
                </w:tcPr>
                <w:p w14:paraId="56804043" w14:textId="77777777" w:rsidR="00B90DBE" w:rsidRPr="00E56F9C" w:rsidRDefault="00B90DBE" w:rsidP="00B90DBE">
                  <w:pPr>
                    <w:keepNext w:val="0"/>
                    <w:spacing w:before="0"/>
                    <w:jc w:val="center"/>
                    <w:rPr>
                      <w:rFonts w:cs="Arial"/>
                      <w:color w:val="005EAC"/>
                      <w:sz w:val="22"/>
                      <w:szCs w:val="22"/>
                    </w:rPr>
                  </w:pPr>
                  <w:r w:rsidRPr="00E56F9C">
                    <w:rPr>
                      <w:rFonts w:cs="Arial"/>
                      <w:color w:val="005EAC"/>
                      <w:sz w:val="22"/>
                      <w:szCs w:val="22"/>
                    </w:rPr>
                    <w:t>Greenfield/ Brownfield</w:t>
                  </w:r>
                </w:p>
              </w:tc>
              <w:tc>
                <w:tcPr>
                  <w:tcW w:w="1390" w:type="dxa"/>
                  <w:tcBorders>
                    <w:top w:val="single" w:sz="4" w:space="0" w:color="auto"/>
                    <w:left w:val="nil"/>
                    <w:bottom w:val="single" w:sz="4" w:space="0" w:color="auto"/>
                    <w:right w:val="single" w:sz="4" w:space="0" w:color="auto"/>
                  </w:tcBorders>
                  <w:shd w:val="clear" w:color="000000" w:fill="D9D9D9"/>
                  <w:vAlign w:val="center"/>
                  <w:hideMark/>
                </w:tcPr>
                <w:p w14:paraId="112E4167" w14:textId="77777777" w:rsidR="00B90DBE" w:rsidRPr="00E56F9C" w:rsidRDefault="00B90DBE" w:rsidP="00B90DBE">
                  <w:pPr>
                    <w:keepNext w:val="0"/>
                    <w:spacing w:before="0"/>
                    <w:jc w:val="center"/>
                    <w:rPr>
                      <w:rFonts w:cs="Arial"/>
                      <w:color w:val="005EAC"/>
                      <w:sz w:val="22"/>
                      <w:szCs w:val="22"/>
                    </w:rPr>
                  </w:pPr>
                  <w:r w:rsidRPr="00E56F9C">
                    <w:rPr>
                      <w:rFonts w:cs="Arial"/>
                      <w:color w:val="005EAC"/>
                      <w:sz w:val="22"/>
                      <w:szCs w:val="22"/>
                    </w:rPr>
                    <w:t>Planning Permission*</w:t>
                  </w:r>
                </w:p>
              </w:tc>
              <w:tc>
                <w:tcPr>
                  <w:tcW w:w="1580" w:type="dxa"/>
                  <w:tcBorders>
                    <w:top w:val="single" w:sz="4" w:space="0" w:color="auto"/>
                    <w:left w:val="nil"/>
                    <w:bottom w:val="single" w:sz="4" w:space="0" w:color="auto"/>
                    <w:right w:val="single" w:sz="4" w:space="0" w:color="auto"/>
                  </w:tcBorders>
                  <w:shd w:val="clear" w:color="000000" w:fill="D9D9D9"/>
                  <w:vAlign w:val="center"/>
                  <w:hideMark/>
                </w:tcPr>
                <w:p w14:paraId="368FD7F2" w14:textId="77777777" w:rsidR="00B90DBE" w:rsidRPr="00E56F9C" w:rsidRDefault="00B90DBE" w:rsidP="00B90DBE">
                  <w:pPr>
                    <w:keepNext w:val="0"/>
                    <w:spacing w:before="0"/>
                    <w:jc w:val="center"/>
                    <w:rPr>
                      <w:rFonts w:cs="Arial"/>
                      <w:color w:val="005EAC"/>
                      <w:sz w:val="22"/>
                      <w:szCs w:val="22"/>
                    </w:rPr>
                  </w:pPr>
                  <w:r w:rsidRPr="00E56F9C">
                    <w:rPr>
                      <w:rFonts w:cs="Arial"/>
                      <w:b/>
                      <w:bCs/>
                      <w:color w:val="005EAC"/>
                      <w:sz w:val="22"/>
                      <w:szCs w:val="22"/>
                    </w:rPr>
                    <w:t>Total</w:t>
                  </w:r>
                  <w:r w:rsidRPr="00E56F9C">
                    <w:rPr>
                      <w:rFonts w:cs="Arial"/>
                      <w:color w:val="005EAC"/>
                      <w:sz w:val="22"/>
                      <w:szCs w:val="22"/>
                    </w:rPr>
                    <w:t xml:space="preserve"> Potential Yield </w:t>
                  </w:r>
                  <w:r w:rsidRPr="00E56F9C">
                    <w:rPr>
                      <w:rFonts w:cs="Arial"/>
                      <w:b/>
                      <w:bCs/>
                      <w:color w:val="005EAC"/>
                      <w:sz w:val="22"/>
                      <w:szCs w:val="22"/>
                    </w:rPr>
                    <w:t>2023-2040</w:t>
                  </w:r>
                  <w:r w:rsidRPr="00E56F9C">
                    <w:rPr>
                      <w:rFonts w:cs="Arial"/>
                      <w:color w:val="005EAC"/>
                      <w:sz w:val="22"/>
                      <w:szCs w:val="22"/>
                    </w:rPr>
                    <w:t xml:space="preserve"> (Dwellings)</w:t>
                  </w:r>
                </w:p>
              </w:tc>
              <w:tc>
                <w:tcPr>
                  <w:tcW w:w="1900" w:type="dxa"/>
                  <w:tcBorders>
                    <w:top w:val="single" w:sz="4" w:space="0" w:color="auto"/>
                    <w:left w:val="nil"/>
                    <w:bottom w:val="single" w:sz="4" w:space="0" w:color="auto"/>
                    <w:right w:val="single" w:sz="4" w:space="0" w:color="auto"/>
                  </w:tcBorders>
                  <w:shd w:val="clear" w:color="000000" w:fill="D9D9D9"/>
                  <w:vAlign w:val="center"/>
                  <w:hideMark/>
                </w:tcPr>
                <w:p w14:paraId="475C3C59" w14:textId="77777777" w:rsidR="00B90DBE" w:rsidRPr="00E56F9C" w:rsidRDefault="00B90DBE" w:rsidP="00B90DBE">
                  <w:pPr>
                    <w:keepNext w:val="0"/>
                    <w:spacing w:before="0"/>
                    <w:jc w:val="center"/>
                    <w:rPr>
                      <w:rFonts w:cs="Arial"/>
                      <w:b/>
                      <w:bCs/>
                      <w:color w:val="005EAC"/>
                      <w:sz w:val="22"/>
                      <w:szCs w:val="22"/>
                    </w:rPr>
                  </w:pPr>
                  <w:r w:rsidRPr="00E56F9C">
                    <w:rPr>
                      <w:rFonts w:cs="Arial"/>
                      <w:b/>
                      <w:bCs/>
                      <w:color w:val="005EAC"/>
                      <w:sz w:val="22"/>
                      <w:szCs w:val="22"/>
                    </w:rPr>
                    <w:t xml:space="preserve">Progress </w:t>
                  </w:r>
                  <w:proofErr w:type="gramStart"/>
                  <w:r w:rsidRPr="00E56F9C">
                    <w:rPr>
                      <w:rFonts w:cs="Arial"/>
                      <w:b/>
                      <w:bCs/>
                      <w:color w:val="005EAC"/>
                      <w:sz w:val="22"/>
                      <w:szCs w:val="22"/>
                    </w:rPr>
                    <w:t>at</w:t>
                  </w:r>
                  <w:proofErr w:type="gramEnd"/>
                  <w:r w:rsidRPr="00E56F9C">
                    <w:rPr>
                      <w:rFonts w:cs="Arial"/>
                      <w:b/>
                      <w:bCs/>
                      <w:color w:val="005EAC"/>
                      <w:sz w:val="22"/>
                      <w:szCs w:val="22"/>
                    </w:rPr>
                    <w:t xml:space="preserve"> April 2025 (Not Started/ Under Construction/ Completed</w:t>
                  </w:r>
                </w:p>
              </w:tc>
            </w:tr>
            <w:tr w:rsidR="00B90DBE" w:rsidRPr="00B90DBE" w14:paraId="4A716419"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3D567429"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H1Sa</w:t>
                  </w:r>
                </w:p>
              </w:tc>
              <w:tc>
                <w:tcPr>
                  <w:tcW w:w="2324" w:type="dxa"/>
                  <w:tcBorders>
                    <w:top w:val="nil"/>
                    <w:left w:val="nil"/>
                    <w:bottom w:val="single" w:sz="4" w:space="0" w:color="auto"/>
                    <w:right w:val="single" w:sz="4" w:space="0" w:color="auto"/>
                  </w:tcBorders>
                  <w:vAlign w:val="center"/>
                  <w:hideMark/>
                </w:tcPr>
                <w:p w14:paraId="38B3291A"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Rear 211 Alfreton Road</w:t>
                  </w:r>
                </w:p>
              </w:tc>
              <w:tc>
                <w:tcPr>
                  <w:tcW w:w="1293" w:type="dxa"/>
                  <w:tcBorders>
                    <w:top w:val="nil"/>
                    <w:left w:val="nil"/>
                    <w:bottom w:val="single" w:sz="4" w:space="0" w:color="auto"/>
                    <w:right w:val="single" w:sz="4" w:space="0" w:color="auto"/>
                  </w:tcBorders>
                  <w:noWrap/>
                  <w:vAlign w:val="center"/>
                  <w:hideMark/>
                </w:tcPr>
                <w:p w14:paraId="4C3CACFA"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4EC4C730"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6E1A6A81"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110</w:t>
                  </w:r>
                </w:p>
              </w:tc>
              <w:tc>
                <w:tcPr>
                  <w:tcW w:w="1900" w:type="dxa"/>
                  <w:tcBorders>
                    <w:top w:val="nil"/>
                    <w:left w:val="nil"/>
                    <w:bottom w:val="single" w:sz="4" w:space="0" w:color="auto"/>
                    <w:right w:val="single" w:sz="4" w:space="0" w:color="auto"/>
                  </w:tcBorders>
                  <w:noWrap/>
                  <w:vAlign w:val="center"/>
                  <w:hideMark/>
                </w:tcPr>
                <w:p w14:paraId="0674D08D"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25F41D13" w14:textId="77777777" w:rsidTr="00B90DBE">
              <w:trPr>
                <w:trHeight w:val="1120"/>
              </w:trPr>
              <w:tc>
                <w:tcPr>
                  <w:tcW w:w="962" w:type="dxa"/>
                  <w:tcBorders>
                    <w:top w:val="nil"/>
                    <w:left w:val="single" w:sz="4" w:space="0" w:color="auto"/>
                    <w:bottom w:val="single" w:sz="4" w:space="0" w:color="auto"/>
                    <w:right w:val="single" w:sz="4" w:space="0" w:color="auto"/>
                  </w:tcBorders>
                  <w:noWrap/>
                  <w:vAlign w:val="center"/>
                  <w:hideMark/>
                </w:tcPr>
                <w:p w14:paraId="7B19F9BB"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lastRenderedPageBreak/>
                    <w:t>H1Sb</w:t>
                  </w:r>
                </w:p>
              </w:tc>
              <w:tc>
                <w:tcPr>
                  <w:tcW w:w="2324" w:type="dxa"/>
                  <w:tcBorders>
                    <w:top w:val="nil"/>
                    <w:left w:val="nil"/>
                    <w:bottom w:val="single" w:sz="4" w:space="0" w:color="auto"/>
                    <w:right w:val="single" w:sz="4" w:space="0" w:color="auto"/>
                  </w:tcBorders>
                  <w:vAlign w:val="center"/>
                  <w:hideMark/>
                </w:tcPr>
                <w:p w14:paraId="2E8E754B"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South of Vision West Nottinghamshire College, Cauldwell Road, Sutton-In-Ashfield</w:t>
                  </w:r>
                </w:p>
              </w:tc>
              <w:tc>
                <w:tcPr>
                  <w:tcW w:w="1293" w:type="dxa"/>
                  <w:tcBorders>
                    <w:top w:val="nil"/>
                    <w:left w:val="nil"/>
                    <w:bottom w:val="single" w:sz="4" w:space="0" w:color="auto"/>
                    <w:right w:val="single" w:sz="4" w:space="0" w:color="auto"/>
                  </w:tcBorders>
                  <w:noWrap/>
                  <w:vAlign w:val="center"/>
                  <w:hideMark/>
                </w:tcPr>
                <w:p w14:paraId="2A36898D"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0947AEC2" w14:textId="77777777" w:rsidR="00B90DBE" w:rsidRPr="005F5AF9" w:rsidRDefault="00B90DBE" w:rsidP="00B90DBE">
                  <w:pPr>
                    <w:keepNext w:val="0"/>
                    <w:spacing w:before="0"/>
                    <w:jc w:val="center"/>
                    <w:rPr>
                      <w:rFonts w:cs="Arial"/>
                      <w:b/>
                      <w:bCs/>
                      <w:color w:val="005CA9"/>
                      <w:sz w:val="22"/>
                      <w:szCs w:val="22"/>
                    </w:rPr>
                  </w:pPr>
                  <w:r w:rsidRPr="005F5AF9">
                    <w:rPr>
                      <w:rFonts w:cs="Arial"/>
                      <w:strike/>
                      <w:color w:val="005CA9"/>
                      <w:sz w:val="22"/>
                      <w:szCs w:val="22"/>
                    </w:rPr>
                    <w:t>No</w:t>
                  </w:r>
                  <w:r w:rsidRPr="005F5AF9">
                    <w:rPr>
                      <w:rFonts w:cs="Arial"/>
                      <w:color w:val="005CA9"/>
                      <w:sz w:val="22"/>
                      <w:szCs w:val="22"/>
                    </w:rPr>
                    <w:t xml:space="preserve"> </w:t>
                  </w:r>
                  <w:proofErr w:type="spellStart"/>
                  <w:r w:rsidRPr="005F5AF9">
                    <w:rPr>
                      <w:rFonts w:cs="Arial"/>
                      <w:b/>
                      <w:bCs/>
                      <w:color w:val="005CA9"/>
                      <w:sz w:val="22"/>
                      <w:szCs w:val="22"/>
                    </w:rPr>
                    <w:t>No</w:t>
                  </w:r>
                  <w:proofErr w:type="spellEnd"/>
                  <w:r w:rsidRPr="005F5AF9">
                    <w:rPr>
                      <w:rFonts w:cs="Arial"/>
                      <w:b/>
                      <w:bCs/>
                      <w:color w:val="005CA9"/>
                      <w:sz w:val="22"/>
                      <w:szCs w:val="22"/>
                    </w:rPr>
                    <w:t>^</w:t>
                  </w:r>
                </w:p>
              </w:tc>
              <w:tc>
                <w:tcPr>
                  <w:tcW w:w="1580" w:type="dxa"/>
                  <w:tcBorders>
                    <w:top w:val="nil"/>
                    <w:left w:val="nil"/>
                    <w:bottom w:val="single" w:sz="4" w:space="0" w:color="auto"/>
                    <w:right w:val="single" w:sz="4" w:space="0" w:color="auto"/>
                  </w:tcBorders>
                  <w:noWrap/>
                  <w:vAlign w:val="center"/>
                  <w:hideMark/>
                </w:tcPr>
                <w:p w14:paraId="1E07F55C"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208</w:t>
                  </w:r>
                </w:p>
              </w:tc>
              <w:tc>
                <w:tcPr>
                  <w:tcW w:w="1900" w:type="dxa"/>
                  <w:tcBorders>
                    <w:top w:val="nil"/>
                    <w:left w:val="nil"/>
                    <w:bottom w:val="single" w:sz="4" w:space="0" w:color="auto"/>
                    <w:right w:val="single" w:sz="4" w:space="0" w:color="auto"/>
                  </w:tcBorders>
                  <w:noWrap/>
                  <w:vAlign w:val="center"/>
                  <w:hideMark/>
                </w:tcPr>
                <w:p w14:paraId="325C9CB2"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67239162" w14:textId="77777777" w:rsidTr="00B90DBE">
              <w:trPr>
                <w:trHeight w:val="280"/>
              </w:trPr>
              <w:tc>
                <w:tcPr>
                  <w:tcW w:w="962" w:type="dxa"/>
                  <w:tcBorders>
                    <w:top w:val="nil"/>
                    <w:left w:val="single" w:sz="4" w:space="0" w:color="auto"/>
                    <w:bottom w:val="nil"/>
                    <w:right w:val="single" w:sz="4" w:space="0" w:color="auto"/>
                  </w:tcBorders>
                  <w:noWrap/>
                  <w:vAlign w:val="center"/>
                  <w:hideMark/>
                </w:tcPr>
                <w:p w14:paraId="210C3586"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H1Sc</w:t>
                  </w:r>
                </w:p>
              </w:tc>
              <w:tc>
                <w:tcPr>
                  <w:tcW w:w="2324" w:type="dxa"/>
                  <w:tcBorders>
                    <w:top w:val="nil"/>
                    <w:left w:val="nil"/>
                    <w:bottom w:val="nil"/>
                    <w:right w:val="single" w:sz="4" w:space="0" w:color="auto"/>
                  </w:tcBorders>
                  <w:vAlign w:val="center"/>
                  <w:hideMark/>
                </w:tcPr>
                <w:p w14:paraId="6C6E246D"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West of Fisher Close, Skegby</w:t>
                  </w:r>
                </w:p>
              </w:tc>
              <w:tc>
                <w:tcPr>
                  <w:tcW w:w="1293" w:type="dxa"/>
                  <w:tcBorders>
                    <w:top w:val="nil"/>
                    <w:left w:val="nil"/>
                    <w:bottom w:val="nil"/>
                    <w:right w:val="single" w:sz="4" w:space="0" w:color="auto"/>
                  </w:tcBorders>
                  <w:noWrap/>
                  <w:vAlign w:val="center"/>
                  <w:hideMark/>
                </w:tcPr>
                <w:p w14:paraId="58786621"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nil"/>
                    <w:right w:val="single" w:sz="4" w:space="0" w:color="auto"/>
                  </w:tcBorders>
                  <w:noWrap/>
                  <w:vAlign w:val="center"/>
                  <w:hideMark/>
                </w:tcPr>
                <w:p w14:paraId="1DF2D5A2"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nil"/>
                    <w:right w:val="single" w:sz="4" w:space="0" w:color="auto"/>
                  </w:tcBorders>
                  <w:noWrap/>
                  <w:vAlign w:val="center"/>
                  <w:hideMark/>
                </w:tcPr>
                <w:p w14:paraId="07FA72EF"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84</w:t>
                  </w:r>
                </w:p>
              </w:tc>
              <w:tc>
                <w:tcPr>
                  <w:tcW w:w="1900" w:type="dxa"/>
                  <w:tcBorders>
                    <w:top w:val="nil"/>
                    <w:left w:val="nil"/>
                    <w:bottom w:val="nil"/>
                    <w:right w:val="single" w:sz="4" w:space="0" w:color="auto"/>
                  </w:tcBorders>
                  <w:noWrap/>
                  <w:vAlign w:val="center"/>
                  <w:hideMark/>
                </w:tcPr>
                <w:p w14:paraId="2E17EE74"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7BF3B6A5" w14:textId="77777777" w:rsidTr="00B90DBE">
              <w:trPr>
                <w:trHeight w:val="560"/>
              </w:trPr>
              <w:tc>
                <w:tcPr>
                  <w:tcW w:w="962" w:type="dxa"/>
                  <w:tcBorders>
                    <w:top w:val="single" w:sz="4" w:space="0" w:color="auto"/>
                    <w:left w:val="single" w:sz="4" w:space="0" w:color="auto"/>
                    <w:bottom w:val="single" w:sz="4" w:space="0" w:color="auto"/>
                    <w:right w:val="single" w:sz="4" w:space="0" w:color="auto"/>
                  </w:tcBorders>
                  <w:noWrap/>
                  <w:vAlign w:val="center"/>
                  <w:hideMark/>
                </w:tcPr>
                <w:p w14:paraId="5A8D541C"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H1Sd</w:t>
                  </w:r>
                </w:p>
              </w:tc>
              <w:tc>
                <w:tcPr>
                  <w:tcW w:w="2324" w:type="dxa"/>
                  <w:tcBorders>
                    <w:top w:val="single" w:sz="4" w:space="0" w:color="auto"/>
                    <w:left w:val="nil"/>
                    <w:bottom w:val="single" w:sz="4" w:space="0" w:color="auto"/>
                    <w:right w:val="single" w:sz="4" w:space="0" w:color="auto"/>
                  </w:tcBorders>
                  <w:vAlign w:val="center"/>
                  <w:hideMark/>
                </w:tcPr>
                <w:p w14:paraId="7AE0AB82" w14:textId="77777777" w:rsidR="00B90DBE" w:rsidRPr="005F5AF9" w:rsidRDefault="00B90DBE" w:rsidP="00B90DBE">
                  <w:pPr>
                    <w:keepNext w:val="0"/>
                    <w:spacing w:before="0"/>
                    <w:rPr>
                      <w:rFonts w:cs="Arial"/>
                      <w:color w:val="005CA9"/>
                      <w:sz w:val="22"/>
                      <w:szCs w:val="22"/>
                    </w:rPr>
                  </w:pPr>
                  <w:proofErr w:type="spellStart"/>
                  <w:r w:rsidRPr="005F5AF9">
                    <w:rPr>
                      <w:rFonts w:cs="Arial"/>
                      <w:color w:val="005CA9"/>
                      <w:sz w:val="22"/>
                      <w:szCs w:val="22"/>
                    </w:rPr>
                    <w:t>Adj</w:t>
                  </w:r>
                  <w:proofErr w:type="spellEnd"/>
                  <w:r w:rsidRPr="005F5AF9">
                    <w:rPr>
                      <w:rFonts w:cs="Arial"/>
                      <w:color w:val="005CA9"/>
                      <w:sz w:val="22"/>
                      <w:szCs w:val="22"/>
                    </w:rPr>
                    <w:t xml:space="preserve"> Oakham Business Park, off Hamilton Road </w:t>
                  </w:r>
                </w:p>
              </w:tc>
              <w:tc>
                <w:tcPr>
                  <w:tcW w:w="1293" w:type="dxa"/>
                  <w:tcBorders>
                    <w:top w:val="single" w:sz="4" w:space="0" w:color="auto"/>
                    <w:left w:val="nil"/>
                    <w:bottom w:val="single" w:sz="4" w:space="0" w:color="auto"/>
                    <w:right w:val="single" w:sz="4" w:space="0" w:color="auto"/>
                  </w:tcBorders>
                  <w:noWrap/>
                  <w:vAlign w:val="center"/>
                  <w:hideMark/>
                </w:tcPr>
                <w:p w14:paraId="1820854D"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single" w:sz="4" w:space="0" w:color="auto"/>
                    <w:left w:val="nil"/>
                    <w:bottom w:val="single" w:sz="4" w:space="0" w:color="auto"/>
                    <w:right w:val="single" w:sz="4" w:space="0" w:color="auto"/>
                  </w:tcBorders>
                  <w:noWrap/>
                  <w:vAlign w:val="center"/>
                  <w:hideMark/>
                </w:tcPr>
                <w:p w14:paraId="32A6A42E" w14:textId="77777777" w:rsidR="00B90DBE" w:rsidRPr="005F5AF9" w:rsidRDefault="00B90DBE" w:rsidP="00B90DBE">
                  <w:pPr>
                    <w:keepNext w:val="0"/>
                    <w:spacing w:before="0"/>
                    <w:jc w:val="center"/>
                    <w:rPr>
                      <w:rFonts w:cs="Arial"/>
                      <w:b/>
                      <w:bCs/>
                      <w:color w:val="005CA9"/>
                      <w:sz w:val="22"/>
                      <w:szCs w:val="22"/>
                    </w:rPr>
                  </w:pPr>
                  <w:r w:rsidRPr="005F5AF9">
                    <w:rPr>
                      <w:rFonts w:cs="Arial"/>
                      <w:strike/>
                      <w:color w:val="005CA9"/>
                      <w:sz w:val="22"/>
                      <w:szCs w:val="22"/>
                    </w:rPr>
                    <w:t>No</w:t>
                  </w:r>
                  <w:r w:rsidRPr="005F5AF9">
                    <w:rPr>
                      <w:rFonts w:cs="Arial"/>
                      <w:color w:val="005CA9"/>
                      <w:sz w:val="22"/>
                      <w:szCs w:val="22"/>
                    </w:rPr>
                    <w:t xml:space="preserve"> </w:t>
                  </w:r>
                  <w:proofErr w:type="spellStart"/>
                  <w:r w:rsidRPr="005F5AF9">
                    <w:rPr>
                      <w:rFonts w:cs="Arial"/>
                      <w:b/>
                      <w:bCs/>
                      <w:color w:val="005CA9"/>
                      <w:sz w:val="22"/>
                      <w:szCs w:val="22"/>
                    </w:rPr>
                    <w:t>No</w:t>
                  </w:r>
                  <w:proofErr w:type="spellEnd"/>
                  <w:r w:rsidRPr="005F5AF9">
                    <w:rPr>
                      <w:rFonts w:cs="Arial"/>
                      <w:b/>
                      <w:bCs/>
                      <w:color w:val="005CA9"/>
                      <w:sz w:val="22"/>
                      <w:szCs w:val="22"/>
                    </w:rPr>
                    <w:t>^</w:t>
                  </w:r>
                </w:p>
              </w:tc>
              <w:tc>
                <w:tcPr>
                  <w:tcW w:w="1580" w:type="dxa"/>
                  <w:tcBorders>
                    <w:top w:val="single" w:sz="4" w:space="0" w:color="auto"/>
                    <w:left w:val="nil"/>
                    <w:bottom w:val="single" w:sz="4" w:space="0" w:color="auto"/>
                    <w:right w:val="single" w:sz="4" w:space="0" w:color="auto"/>
                  </w:tcBorders>
                  <w:noWrap/>
                  <w:vAlign w:val="center"/>
                  <w:hideMark/>
                </w:tcPr>
                <w:p w14:paraId="3DF53DF2" w14:textId="77777777" w:rsidR="00B90DBE" w:rsidRPr="005F5AF9" w:rsidRDefault="00B90DBE" w:rsidP="00B90DBE">
                  <w:pPr>
                    <w:keepNext w:val="0"/>
                    <w:spacing w:before="0"/>
                    <w:jc w:val="right"/>
                    <w:rPr>
                      <w:rFonts w:cs="Arial"/>
                      <w:color w:val="005CA9"/>
                      <w:sz w:val="22"/>
                      <w:szCs w:val="22"/>
                    </w:rPr>
                  </w:pPr>
                  <w:r w:rsidRPr="005F5AF9">
                    <w:rPr>
                      <w:rFonts w:cs="Arial"/>
                      <w:strike/>
                      <w:color w:val="005CA9"/>
                      <w:sz w:val="22"/>
                      <w:szCs w:val="22"/>
                    </w:rPr>
                    <w:t>225</w:t>
                  </w:r>
                  <w:r w:rsidRPr="005F5AF9">
                    <w:rPr>
                      <w:rFonts w:cs="Arial"/>
                      <w:b/>
                      <w:bCs/>
                      <w:color w:val="005CA9"/>
                      <w:sz w:val="22"/>
                      <w:szCs w:val="22"/>
                    </w:rPr>
                    <w:t xml:space="preserve"> 250</w:t>
                  </w:r>
                </w:p>
              </w:tc>
              <w:tc>
                <w:tcPr>
                  <w:tcW w:w="1900" w:type="dxa"/>
                  <w:tcBorders>
                    <w:top w:val="single" w:sz="4" w:space="0" w:color="auto"/>
                    <w:left w:val="nil"/>
                    <w:bottom w:val="single" w:sz="4" w:space="0" w:color="auto"/>
                    <w:right w:val="single" w:sz="4" w:space="0" w:color="auto"/>
                  </w:tcBorders>
                  <w:noWrap/>
                  <w:vAlign w:val="center"/>
                  <w:hideMark/>
                </w:tcPr>
                <w:p w14:paraId="04564077"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36040EB2"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4FB2D898"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H1Se</w:t>
                  </w:r>
                </w:p>
              </w:tc>
              <w:tc>
                <w:tcPr>
                  <w:tcW w:w="2324" w:type="dxa"/>
                  <w:tcBorders>
                    <w:top w:val="nil"/>
                    <w:left w:val="nil"/>
                    <w:bottom w:val="single" w:sz="4" w:space="0" w:color="auto"/>
                    <w:right w:val="single" w:sz="4" w:space="0" w:color="auto"/>
                  </w:tcBorders>
                  <w:vAlign w:val="center"/>
                  <w:hideMark/>
                </w:tcPr>
                <w:p w14:paraId="1B2C146A" w14:textId="77777777" w:rsidR="00B90DBE" w:rsidRPr="005F5AF9" w:rsidRDefault="00B90DBE" w:rsidP="00B90DBE">
                  <w:pPr>
                    <w:keepNext w:val="0"/>
                    <w:spacing w:before="0"/>
                    <w:jc w:val="both"/>
                    <w:rPr>
                      <w:rFonts w:cs="Arial"/>
                      <w:color w:val="005CA9"/>
                      <w:sz w:val="22"/>
                      <w:szCs w:val="22"/>
                    </w:rPr>
                  </w:pPr>
                  <w:proofErr w:type="spellStart"/>
                  <w:r w:rsidRPr="005F5AF9">
                    <w:rPr>
                      <w:rFonts w:cs="Arial"/>
                      <w:color w:val="005CA9"/>
                      <w:sz w:val="22"/>
                      <w:szCs w:val="22"/>
                    </w:rPr>
                    <w:t>Priestsic</w:t>
                  </w:r>
                  <w:proofErr w:type="spellEnd"/>
                  <w:r w:rsidRPr="005F5AF9">
                    <w:rPr>
                      <w:rFonts w:cs="Arial"/>
                      <w:color w:val="005CA9"/>
                      <w:sz w:val="22"/>
                      <w:szCs w:val="22"/>
                    </w:rPr>
                    <w:t xml:space="preserve"> Road, </w:t>
                  </w:r>
                  <w:r w:rsidRPr="005F5AF9">
                    <w:rPr>
                      <w:rFonts w:cs="Arial"/>
                      <w:b/>
                      <w:bCs/>
                      <w:color w:val="005CA9"/>
                      <w:sz w:val="22"/>
                      <w:szCs w:val="22"/>
                    </w:rPr>
                    <w:t>Sutton</w:t>
                  </w:r>
                </w:p>
              </w:tc>
              <w:tc>
                <w:tcPr>
                  <w:tcW w:w="1293" w:type="dxa"/>
                  <w:tcBorders>
                    <w:top w:val="nil"/>
                    <w:left w:val="nil"/>
                    <w:bottom w:val="single" w:sz="4" w:space="0" w:color="auto"/>
                    <w:right w:val="single" w:sz="4" w:space="0" w:color="auto"/>
                  </w:tcBorders>
                  <w:noWrap/>
                  <w:vAlign w:val="center"/>
                  <w:hideMark/>
                </w:tcPr>
                <w:p w14:paraId="0517EE25"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0217A76F"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607F0452"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19</w:t>
                  </w:r>
                </w:p>
              </w:tc>
              <w:tc>
                <w:tcPr>
                  <w:tcW w:w="1900" w:type="dxa"/>
                  <w:tcBorders>
                    <w:top w:val="nil"/>
                    <w:left w:val="nil"/>
                    <w:bottom w:val="single" w:sz="4" w:space="0" w:color="auto"/>
                    <w:right w:val="single" w:sz="4" w:space="0" w:color="auto"/>
                  </w:tcBorders>
                  <w:noWrap/>
                  <w:vAlign w:val="center"/>
                  <w:hideMark/>
                </w:tcPr>
                <w:p w14:paraId="03D5A413"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15515A83"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54B4996E"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H1Sf</w:t>
                  </w:r>
                </w:p>
              </w:tc>
              <w:tc>
                <w:tcPr>
                  <w:tcW w:w="2324" w:type="dxa"/>
                  <w:tcBorders>
                    <w:top w:val="nil"/>
                    <w:left w:val="nil"/>
                    <w:bottom w:val="single" w:sz="4" w:space="0" w:color="auto"/>
                    <w:right w:val="single" w:sz="4" w:space="0" w:color="auto"/>
                  </w:tcBorders>
                  <w:vAlign w:val="center"/>
                  <w:hideMark/>
                </w:tcPr>
                <w:p w14:paraId="2F6EF7D7"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Rear 23 Beck Lane, Skegby</w:t>
                  </w:r>
                </w:p>
              </w:tc>
              <w:tc>
                <w:tcPr>
                  <w:tcW w:w="1293" w:type="dxa"/>
                  <w:tcBorders>
                    <w:top w:val="nil"/>
                    <w:left w:val="nil"/>
                    <w:bottom w:val="single" w:sz="4" w:space="0" w:color="auto"/>
                    <w:right w:val="single" w:sz="4" w:space="0" w:color="auto"/>
                  </w:tcBorders>
                  <w:noWrap/>
                  <w:vAlign w:val="center"/>
                  <w:hideMark/>
                </w:tcPr>
                <w:p w14:paraId="4F26B5A4"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1B1339CF" w14:textId="77777777" w:rsidR="00B90DBE" w:rsidRPr="005F5AF9" w:rsidRDefault="00B90DBE" w:rsidP="00B90DBE">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4B9D7CE3" w14:textId="77777777" w:rsidR="00B90DBE" w:rsidRPr="005F5AF9" w:rsidRDefault="00B90DBE" w:rsidP="00B90DBE">
                  <w:pPr>
                    <w:keepNext w:val="0"/>
                    <w:spacing w:before="0"/>
                    <w:jc w:val="right"/>
                    <w:rPr>
                      <w:rFonts w:cs="Arial"/>
                      <w:color w:val="005CA9"/>
                      <w:sz w:val="22"/>
                      <w:szCs w:val="22"/>
                    </w:rPr>
                  </w:pPr>
                  <w:proofErr w:type="gramStart"/>
                  <w:r w:rsidRPr="005F5AF9">
                    <w:rPr>
                      <w:rFonts w:cs="Arial"/>
                      <w:strike/>
                      <w:color w:val="005CA9"/>
                      <w:sz w:val="22"/>
                      <w:szCs w:val="22"/>
                    </w:rPr>
                    <w:t>23</w:t>
                  </w:r>
                  <w:r w:rsidRPr="005F5AF9">
                    <w:rPr>
                      <w:rFonts w:cs="Arial"/>
                      <w:color w:val="005CA9"/>
                      <w:sz w:val="22"/>
                      <w:szCs w:val="22"/>
                    </w:rPr>
                    <w:t xml:space="preserve">  </w:t>
                  </w:r>
                  <w:r w:rsidRPr="005F5AF9">
                    <w:rPr>
                      <w:rFonts w:cs="Arial"/>
                      <w:b/>
                      <w:bCs/>
                      <w:color w:val="005CA9"/>
                      <w:sz w:val="22"/>
                      <w:szCs w:val="22"/>
                    </w:rPr>
                    <w:t>33</w:t>
                  </w:r>
                  <w:proofErr w:type="gramEnd"/>
                </w:p>
              </w:tc>
              <w:tc>
                <w:tcPr>
                  <w:tcW w:w="1900" w:type="dxa"/>
                  <w:tcBorders>
                    <w:top w:val="nil"/>
                    <w:left w:val="nil"/>
                    <w:bottom w:val="single" w:sz="4" w:space="0" w:color="auto"/>
                    <w:right w:val="single" w:sz="4" w:space="0" w:color="auto"/>
                  </w:tcBorders>
                  <w:noWrap/>
                  <w:vAlign w:val="center"/>
                  <w:hideMark/>
                </w:tcPr>
                <w:p w14:paraId="73CCDD43"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0CD76D66"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6D0A2123"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H1Sg</w:t>
                  </w:r>
                </w:p>
              </w:tc>
              <w:tc>
                <w:tcPr>
                  <w:tcW w:w="2324" w:type="dxa"/>
                  <w:tcBorders>
                    <w:top w:val="nil"/>
                    <w:left w:val="nil"/>
                    <w:bottom w:val="single" w:sz="4" w:space="0" w:color="auto"/>
                    <w:right w:val="single" w:sz="4" w:space="0" w:color="auto"/>
                  </w:tcBorders>
                  <w:vAlign w:val="center"/>
                  <w:hideMark/>
                </w:tcPr>
                <w:p w14:paraId="38A63BD8"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Former Miner's Welfare Sports Ground, Stanton Hill</w:t>
                  </w:r>
                </w:p>
              </w:tc>
              <w:tc>
                <w:tcPr>
                  <w:tcW w:w="1293" w:type="dxa"/>
                  <w:tcBorders>
                    <w:top w:val="nil"/>
                    <w:left w:val="nil"/>
                    <w:bottom w:val="single" w:sz="4" w:space="0" w:color="auto"/>
                    <w:right w:val="single" w:sz="4" w:space="0" w:color="auto"/>
                  </w:tcBorders>
                  <w:noWrap/>
                  <w:vAlign w:val="center"/>
                  <w:hideMark/>
                </w:tcPr>
                <w:p w14:paraId="5C529852"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67AA6D3C" w14:textId="77777777" w:rsidR="00B90DBE" w:rsidRPr="005F5AF9" w:rsidRDefault="00B90DBE" w:rsidP="00B90DBE">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102D82C6" w14:textId="77777777" w:rsidR="00B90DBE" w:rsidRPr="005F5AF9" w:rsidRDefault="00B90DBE" w:rsidP="00B90DBE">
                  <w:pPr>
                    <w:keepNext w:val="0"/>
                    <w:spacing w:before="0"/>
                    <w:jc w:val="right"/>
                    <w:rPr>
                      <w:rFonts w:cs="Arial"/>
                      <w:color w:val="005CA9"/>
                      <w:sz w:val="22"/>
                      <w:szCs w:val="22"/>
                    </w:rPr>
                  </w:pPr>
                  <w:r w:rsidRPr="005F5AF9">
                    <w:rPr>
                      <w:rFonts w:cs="Arial"/>
                      <w:strike/>
                      <w:color w:val="005CA9"/>
                      <w:sz w:val="22"/>
                      <w:szCs w:val="22"/>
                    </w:rPr>
                    <w:t>85</w:t>
                  </w:r>
                  <w:r w:rsidRPr="005F5AF9">
                    <w:rPr>
                      <w:rFonts w:cs="Arial"/>
                      <w:color w:val="005CA9"/>
                      <w:sz w:val="22"/>
                      <w:szCs w:val="22"/>
                    </w:rPr>
                    <w:t xml:space="preserve"> </w:t>
                  </w:r>
                  <w:r w:rsidRPr="005F5AF9">
                    <w:rPr>
                      <w:rFonts w:cs="Arial"/>
                      <w:b/>
                      <w:bCs/>
                      <w:color w:val="005CA9"/>
                      <w:sz w:val="22"/>
                      <w:szCs w:val="22"/>
                    </w:rPr>
                    <w:t>112</w:t>
                  </w:r>
                </w:p>
              </w:tc>
              <w:tc>
                <w:tcPr>
                  <w:tcW w:w="1900" w:type="dxa"/>
                  <w:tcBorders>
                    <w:top w:val="nil"/>
                    <w:left w:val="nil"/>
                    <w:bottom w:val="single" w:sz="4" w:space="0" w:color="auto"/>
                    <w:right w:val="single" w:sz="4" w:space="0" w:color="auto"/>
                  </w:tcBorders>
                  <w:noWrap/>
                  <w:vAlign w:val="center"/>
                  <w:hideMark/>
                </w:tcPr>
                <w:p w14:paraId="3CFE8F97"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113D270F"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3F8C97DB"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H1Sh</w:t>
                  </w:r>
                </w:p>
              </w:tc>
              <w:tc>
                <w:tcPr>
                  <w:tcW w:w="2324" w:type="dxa"/>
                  <w:tcBorders>
                    <w:top w:val="nil"/>
                    <w:left w:val="nil"/>
                    <w:bottom w:val="single" w:sz="4" w:space="0" w:color="auto"/>
                    <w:right w:val="single" w:sz="4" w:space="0" w:color="auto"/>
                  </w:tcBorders>
                  <w:vAlign w:val="center"/>
                  <w:hideMark/>
                </w:tcPr>
                <w:p w14:paraId="0FAA7012"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Pasture Farm, Alfreton Road</w:t>
                  </w:r>
                </w:p>
              </w:tc>
              <w:tc>
                <w:tcPr>
                  <w:tcW w:w="1293" w:type="dxa"/>
                  <w:tcBorders>
                    <w:top w:val="nil"/>
                    <w:left w:val="nil"/>
                    <w:bottom w:val="single" w:sz="4" w:space="0" w:color="auto"/>
                    <w:right w:val="single" w:sz="4" w:space="0" w:color="auto"/>
                  </w:tcBorders>
                  <w:noWrap/>
                  <w:vAlign w:val="center"/>
                  <w:hideMark/>
                </w:tcPr>
                <w:p w14:paraId="189A2F45"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6E141D8A"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14BE2F2C"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34</w:t>
                  </w:r>
                </w:p>
              </w:tc>
              <w:tc>
                <w:tcPr>
                  <w:tcW w:w="1900" w:type="dxa"/>
                  <w:tcBorders>
                    <w:top w:val="nil"/>
                    <w:left w:val="nil"/>
                    <w:bottom w:val="single" w:sz="4" w:space="0" w:color="auto"/>
                    <w:right w:val="single" w:sz="4" w:space="0" w:color="auto"/>
                  </w:tcBorders>
                  <w:noWrap/>
                  <w:vAlign w:val="center"/>
                  <w:hideMark/>
                </w:tcPr>
                <w:p w14:paraId="5F245E29"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24C2DF8A"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72102DF5"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H1Si</w:t>
                  </w:r>
                </w:p>
              </w:tc>
              <w:tc>
                <w:tcPr>
                  <w:tcW w:w="2324" w:type="dxa"/>
                  <w:tcBorders>
                    <w:top w:val="nil"/>
                    <w:left w:val="nil"/>
                    <w:bottom w:val="single" w:sz="4" w:space="0" w:color="auto"/>
                    <w:right w:val="single" w:sz="4" w:space="0" w:color="auto"/>
                  </w:tcBorders>
                  <w:vAlign w:val="center"/>
                  <w:hideMark/>
                </w:tcPr>
                <w:p w14:paraId="71C00317"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Rear Kingsmill Hospital</w:t>
                  </w:r>
                </w:p>
              </w:tc>
              <w:tc>
                <w:tcPr>
                  <w:tcW w:w="1293" w:type="dxa"/>
                  <w:tcBorders>
                    <w:top w:val="nil"/>
                    <w:left w:val="nil"/>
                    <w:bottom w:val="single" w:sz="4" w:space="0" w:color="auto"/>
                    <w:right w:val="single" w:sz="4" w:space="0" w:color="auto"/>
                  </w:tcBorders>
                  <w:noWrap/>
                  <w:vAlign w:val="center"/>
                  <w:hideMark/>
                </w:tcPr>
                <w:p w14:paraId="6E43898E"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300104B3"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321E0119"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264</w:t>
                  </w:r>
                </w:p>
              </w:tc>
              <w:tc>
                <w:tcPr>
                  <w:tcW w:w="1900" w:type="dxa"/>
                  <w:tcBorders>
                    <w:top w:val="nil"/>
                    <w:left w:val="nil"/>
                    <w:bottom w:val="single" w:sz="4" w:space="0" w:color="auto"/>
                    <w:right w:val="single" w:sz="4" w:space="0" w:color="auto"/>
                  </w:tcBorders>
                  <w:noWrap/>
                  <w:vAlign w:val="center"/>
                  <w:hideMark/>
                </w:tcPr>
                <w:p w14:paraId="441CED28"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24578794"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630679F6"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H1Sj</w:t>
                  </w:r>
                </w:p>
              </w:tc>
              <w:tc>
                <w:tcPr>
                  <w:tcW w:w="2324" w:type="dxa"/>
                  <w:tcBorders>
                    <w:top w:val="nil"/>
                    <w:left w:val="nil"/>
                    <w:bottom w:val="single" w:sz="4" w:space="0" w:color="auto"/>
                    <w:right w:val="single" w:sz="4" w:space="0" w:color="auto"/>
                  </w:tcBorders>
                  <w:vAlign w:val="center"/>
                  <w:hideMark/>
                </w:tcPr>
                <w:p w14:paraId="0A81C17D"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Clegg Hill Drive, Huthwaite</w:t>
                  </w:r>
                </w:p>
              </w:tc>
              <w:tc>
                <w:tcPr>
                  <w:tcW w:w="1293" w:type="dxa"/>
                  <w:tcBorders>
                    <w:top w:val="nil"/>
                    <w:left w:val="nil"/>
                    <w:bottom w:val="single" w:sz="4" w:space="0" w:color="auto"/>
                    <w:right w:val="single" w:sz="4" w:space="0" w:color="auto"/>
                  </w:tcBorders>
                  <w:noWrap/>
                  <w:vAlign w:val="center"/>
                  <w:hideMark/>
                </w:tcPr>
                <w:p w14:paraId="2EE89A33"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2C705C70"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6D96FA38"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104</w:t>
                  </w:r>
                </w:p>
              </w:tc>
              <w:tc>
                <w:tcPr>
                  <w:tcW w:w="1900" w:type="dxa"/>
                  <w:tcBorders>
                    <w:top w:val="nil"/>
                    <w:left w:val="nil"/>
                    <w:bottom w:val="single" w:sz="4" w:space="0" w:color="auto"/>
                    <w:right w:val="single" w:sz="4" w:space="0" w:color="auto"/>
                  </w:tcBorders>
                  <w:noWrap/>
                  <w:vAlign w:val="center"/>
                  <w:hideMark/>
                </w:tcPr>
                <w:p w14:paraId="540A25C3"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4AF58C6C"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4CF8F528"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H1Sk</w:t>
                  </w:r>
                </w:p>
              </w:tc>
              <w:tc>
                <w:tcPr>
                  <w:tcW w:w="2324" w:type="dxa"/>
                  <w:tcBorders>
                    <w:top w:val="nil"/>
                    <w:left w:val="nil"/>
                    <w:bottom w:val="single" w:sz="4" w:space="0" w:color="auto"/>
                    <w:right w:val="single" w:sz="4" w:space="0" w:color="auto"/>
                  </w:tcBorders>
                  <w:vAlign w:val="center"/>
                  <w:hideMark/>
                </w:tcPr>
                <w:p w14:paraId="05E1E8CF"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Sunnyside Farm, Blackwell Road, Huthwaite</w:t>
                  </w:r>
                </w:p>
              </w:tc>
              <w:tc>
                <w:tcPr>
                  <w:tcW w:w="1293" w:type="dxa"/>
                  <w:tcBorders>
                    <w:top w:val="nil"/>
                    <w:left w:val="nil"/>
                    <w:bottom w:val="single" w:sz="4" w:space="0" w:color="auto"/>
                    <w:right w:val="single" w:sz="4" w:space="0" w:color="auto"/>
                  </w:tcBorders>
                  <w:noWrap/>
                  <w:vAlign w:val="center"/>
                  <w:hideMark/>
                </w:tcPr>
                <w:p w14:paraId="46AD088B"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772D90F0"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2A1E3C3A" w14:textId="77777777" w:rsidR="00B90DBE" w:rsidRPr="005F5AF9" w:rsidRDefault="00B90DBE" w:rsidP="00B90DBE">
                  <w:pPr>
                    <w:keepNext w:val="0"/>
                    <w:spacing w:before="0"/>
                    <w:jc w:val="right"/>
                    <w:rPr>
                      <w:rFonts w:cs="Arial"/>
                      <w:color w:val="005CA9"/>
                      <w:sz w:val="22"/>
                      <w:szCs w:val="22"/>
                    </w:rPr>
                  </w:pPr>
                  <w:r w:rsidRPr="005F5AF9">
                    <w:rPr>
                      <w:rFonts w:cs="Arial"/>
                      <w:strike/>
                      <w:color w:val="005CA9"/>
                      <w:sz w:val="22"/>
                      <w:szCs w:val="22"/>
                    </w:rPr>
                    <w:t>283</w:t>
                  </w:r>
                  <w:r w:rsidRPr="005F5AF9">
                    <w:rPr>
                      <w:rFonts w:cs="Arial"/>
                      <w:color w:val="005CA9"/>
                      <w:sz w:val="22"/>
                      <w:szCs w:val="22"/>
                    </w:rPr>
                    <w:t xml:space="preserve"> </w:t>
                  </w:r>
                  <w:r w:rsidRPr="005F5AF9">
                    <w:rPr>
                      <w:rFonts w:cs="Arial"/>
                      <w:b/>
                      <w:bCs/>
                      <w:color w:val="005CA9"/>
                      <w:sz w:val="22"/>
                      <w:szCs w:val="22"/>
                    </w:rPr>
                    <w:t>350</w:t>
                  </w:r>
                </w:p>
              </w:tc>
              <w:tc>
                <w:tcPr>
                  <w:tcW w:w="1900" w:type="dxa"/>
                  <w:tcBorders>
                    <w:top w:val="nil"/>
                    <w:left w:val="nil"/>
                    <w:bottom w:val="single" w:sz="4" w:space="0" w:color="auto"/>
                    <w:right w:val="single" w:sz="4" w:space="0" w:color="auto"/>
                  </w:tcBorders>
                  <w:noWrap/>
                  <w:vAlign w:val="center"/>
                  <w:hideMark/>
                </w:tcPr>
                <w:p w14:paraId="64F94C6B"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47EF2D0B"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4918E61F"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H1Sl</w:t>
                  </w:r>
                </w:p>
              </w:tc>
              <w:tc>
                <w:tcPr>
                  <w:tcW w:w="2324" w:type="dxa"/>
                  <w:tcBorders>
                    <w:top w:val="nil"/>
                    <w:left w:val="nil"/>
                    <w:bottom w:val="single" w:sz="4" w:space="0" w:color="auto"/>
                    <w:right w:val="single" w:sz="4" w:space="0" w:color="auto"/>
                  </w:tcBorders>
                  <w:vAlign w:val="center"/>
                  <w:hideMark/>
                </w:tcPr>
                <w:p w14:paraId="5B4119C3"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 xml:space="preserve">North of </w:t>
                  </w:r>
                  <w:proofErr w:type="spellStart"/>
                  <w:r w:rsidRPr="005F5AF9">
                    <w:rPr>
                      <w:rFonts w:cs="Arial"/>
                      <w:color w:val="005CA9"/>
                      <w:sz w:val="22"/>
                      <w:szCs w:val="22"/>
                    </w:rPr>
                    <w:t>Fackley</w:t>
                  </w:r>
                  <w:proofErr w:type="spellEnd"/>
                  <w:r w:rsidRPr="005F5AF9">
                    <w:rPr>
                      <w:rFonts w:cs="Arial"/>
                      <w:color w:val="005CA9"/>
                      <w:sz w:val="22"/>
                      <w:szCs w:val="22"/>
                    </w:rPr>
                    <w:t xml:space="preserve"> Road, Teversal</w:t>
                  </w:r>
                </w:p>
              </w:tc>
              <w:tc>
                <w:tcPr>
                  <w:tcW w:w="1293" w:type="dxa"/>
                  <w:tcBorders>
                    <w:top w:val="nil"/>
                    <w:left w:val="nil"/>
                    <w:bottom w:val="single" w:sz="4" w:space="0" w:color="auto"/>
                    <w:right w:val="single" w:sz="4" w:space="0" w:color="auto"/>
                  </w:tcBorders>
                  <w:noWrap/>
                  <w:vAlign w:val="center"/>
                  <w:hideMark/>
                </w:tcPr>
                <w:p w14:paraId="6B863A42"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1775EFD0" w14:textId="77777777" w:rsidR="00B90DBE" w:rsidRPr="005F5AF9" w:rsidRDefault="00B90DBE" w:rsidP="00B90DBE">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227DBF87"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124</w:t>
                  </w:r>
                </w:p>
              </w:tc>
              <w:tc>
                <w:tcPr>
                  <w:tcW w:w="1900" w:type="dxa"/>
                  <w:tcBorders>
                    <w:top w:val="nil"/>
                    <w:left w:val="nil"/>
                    <w:bottom w:val="single" w:sz="4" w:space="0" w:color="auto"/>
                    <w:right w:val="single" w:sz="4" w:space="0" w:color="auto"/>
                  </w:tcBorders>
                  <w:noWrap/>
                  <w:vAlign w:val="center"/>
                  <w:hideMark/>
                </w:tcPr>
                <w:p w14:paraId="4D296407"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45ADF922"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3D9FEA4B"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H1Sm</w:t>
                  </w:r>
                </w:p>
              </w:tc>
              <w:tc>
                <w:tcPr>
                  <w:tcW w:w="2324" w:type="dxa"/>
                  <w:tcBorders>
                    <w:top w:val="nil"/>
                    <w:left w:val="nil"/>
                    <w:bottom w:val="single" w:sz="4" w:space="0" w:color="auto"/>
                    <w:right w:val="single" w:sz="4" w:space="0" w:color="auto"/>
                  </w:tcBorders>
                  <w:vAlign w:val="center"/>
                  <w:hideMark/>
                </w:tcPr>
                <w:p w14:paraId="3AEC1D48"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Land adjacent 88 High Hazels Drive</w:t>
                  </w:r>
                </w:p>
              </w:tc>
              <w:tc>
                <w:tcPr>
                  <w:tcW w:w="1293" w:type="dxa"/>
                  <w:tcBorders>
                    <w:top w:val="nil"/>
                    <w:left w:val="nil"/>
                    <w:bottom w:val="single" w:sz="4" w:space="0" w:color="auto"/>
                    <w:right w:val="single" w:sz="4" w:space="0" w:color="auto"/>
                  </w:tcBorders>
                  <w:noWrap/>
                  <w:vAlign w:val="center"/>
                  <w:hideMark/>
                </w:tcPr>
                <w:p w14:paraId="0F2C2B6D"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2C8AA707" w14:textId="77777777" w:rsidR="00B90DBE" w:rsidRPr="005F5AF9" w:rsidRDefault="00B90DBE" w:rsidP="00B90DBE">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5E367462" w14:textId="77777777" w:rsidR="00B90DBE" w:rsidRPr="005F5AF9" w:rsidRDefault="00B90DBE" w:rsidP="00B90DBE">
                  <w:pPr>
                    <w:keepNext w:val="0"/>
                    <w:spacing w:before="0"/>
                    <w:jc w:val="right"/>
                    <w:rPr>
                      <w:rFonts w:cs="Arial"/>
                      <w:color w:val="005CA9"/>
                      <w:sz w:val="22"/>
                      <w:szCs w:val="22"/>
                    </w:rPr>
                  </w:pPr>
                  <w:proofErr w:type="gramStart"/>
                  <w:r w:rsidRPr="005F5AF9">
                    <w:rPr>
                      <w:rFonts w:cs="Arial"/>
                      <w:strike/>
                      <w:color w:val="005CA9"/>
                      <w:sz w:val="22"/>
                      <w:szCs w:val="22"/>
                    </w:rPr>
                    <w:t>11</w:t>
                  </w:r>
                  <w:r w:rsidRPr="005F5AF9">
                    <w:rPr>
                      <w:rFonts w:cs="Arial"/>
                      <w:color w:val="005CA9"/>
                      <w:sz w:val="22"/>
                      <w:szCs w:val="22"/>
                    </w:rPr>
                    <w:t xml:space="preserve">  </w:t>
                  </w:r>
                  <w:r w:rsidRPr="005F5AF9">
                    <w:rPr>
                      <w:rFonts w:cs="Arial"/>
                      <w:b/>
                      <w:bCs/>
                      <w:color w:val="005CA9"/>
                      <w:sz w:val="22"/>
                      <w:szCs w:val="22"/>
                    </w:rPr>
                    <w:t>18</w:t>
                  </w:r>
                  <w:proofErr w:type="gramEnd"/>
                </w:p>
              </w:tc>
              <w:tc>
                <w:tcPr>
                  <w:tcW w:w="1900" w:type="dxa"/>
                  <w:tcBorders>
                    <w:top w:val="nil"/>
                    <w:left w:val="nil"/>
                    <w:bottom w:val="single" w:sz="4" w:space="0" w:color="auto"/>
                    <w:right w:val="single" w:sz="4" w:space="0" w:color="auto"/>
                  </w:tcBorders>
                  <w:noWrap/>
                  <w:vAlign w:val="center"/>
                  <w:hideMark/>
                </w:tcPr>
                <w:p w14:paraId="6A1BC052"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7A85658A"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3E3B640B"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H1Sn</w:t>
                  </w:r>
                </w:p>
              </w:tc>
              <w:tc>
                <w:tcPr>
                  <w:tcW w:w="2324" w:type="dxa"/>
                  <w:tcBorders>
                    <w:top w:val="nil"/>
                    <w:left w:val="nil"/>
                    <w:bottom w:val="single" w:sz="4" w:space="0" w:color="auto"/>
                    <w:right w:val="single" w:sz="4" w:space="0" w:color="auto"/>
                  </w:tcBorders>
                  <w:vAlign w:val="center"/>
                  <w:hideMark/>
                </w:tcPr>
                <w:p w14:paraId="0779D9E8" w14:textId="77777777" w:rsidR="00B90DBE" w:rsidRPr="005F5AF9" w:rsidRDefault="00B90DBE" w:rsidP="00B90DBE">
                  <w:pPr>
                    <w:keepNext w:val="0"/>
                    <w:spacing w:before="0"/>
                    <w:rPr>
                      <w:rFonts w:cs="Arial"/>
                      <w:color w:val="005CA9"/>
                      <w:sz w:val="22"/>
                      <w:szCs w:val="22"/>
                    </w:rPr>
                  </w:pPr>
                  <w:proofErr w:type="spellStart"/>
                  <w:r w:rsidRPr="005F5AF9">
                    <w:rPr>
                      <w:rFonts w:cs="Arial"/>
                      <w:color w:val="005CA9"/>
                      <w:sz w:val="22"/>
                      <w:szCs w:val="22"/>
                    </w:rPr>
                    <w:t>Adj</w:t>
                  </w:r>
                  <w:proofErr w:type="spellEnd"/>
                  <w:r w:rsidRPr="005F5AF9">
                    <w:rPr>
                      <w:rFonts w:cs="Arial"/>
                      <w:color w:val="005CA9"/>
                      <w:sz w:val="22"/>
                      <w:szCs w:val="22"/>
                    </w:rPr>
                    <w:t xml:space="preserve"> Molyneux Farm, </w:t>
                  </w:r>
                  <w:proofErr w:type="spellStart"/>
                  <w:r w:rsidRPr="005F5AF9">
                    <w:rPr>
                      <w:rFonts w:cs="Arial"/>
                      <w:color w:val="005CA9"/>
                      <w:sz w:val="22"/>
                      <w:szCs w:val="22"/>
                    </w:rPr>
                    <w:t>Fackley</w:t>
                  </w:r>
                  <w:proofErr w:type="spellEnd"/>
                  <w:r w:rsidRPr="005F5AF9">
                    <w:rPr>
                      <w:rFonts w:cs="Arial"/>
                      <w:color w:val="005CA9"/>
                      <w:sz w:val="22"/>
                      <w:szCs w:val="22"/>
                    </w:rPr>
                    <w:t xml:space="preserve"> Road, Teversal</w:t>
                  </w:r>
                </w:p>
              </w:tc>
              <w:tc>
                <w:tcPr>
                  <w:tcW w:w="1293" w:type="dxa"/>
                  <w:tcBorders>
                    <w:top w:val="nil"/>
                    <w:left w:val="nil"/>
                    <w:bottom w:val="single" w:sz="4" w:space="0" w:color="auto"/>
                    <w:right w:val="single" w:sz="4" w:space="0" w:color="auto"/>
                  </w:tcBorders>
                  <w:noWrap/>
                  <w:vAlign w:val="center"/>
                  <w:hideMark/>
                </w:tcPr>
                <w:p w14:paraId="68A95FF0"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44D25F0A"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5594EF34"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14</w:t>
                  </w:r>
                </w:p>
              </w:tc>
              <w:tc>
                <w:tcPr>
                  <w:tcW w:w="1900" w:type="dxa"/>
                  <w:tcBorders>
                    <w:top w:val="nil"/>
                    <w:left w:val="nil"/>
                    <w:bottom w:val="single" w:sz="4" w:space="0" w:color="auto"/>
                    <w:right w:val="single" w:sz="4" w:space="0" w:color="auto"/>
                  </w:tcBorders>
                  <w:noWrap/>
                  <w:vAlign w:val="center"/>
                  <w:hideMark/>
                </w:tcPr>
                <w:p w14:paraId="4DA97F4C"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69EA81D1"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6A9564A7"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H1So</w:t>
                  </w:r>
                </w:p>
              </w:tc>
              <w:tc>
                <w:tcPr>
                  <w:tcW w:w="2324" w:type="dxa"/>
                  <w:tcBorders>
                    <w:top w:val="nil"/>
                    <w:left w:val="nil"/>
                    <w:bottom w:val="single" w:sz="4" w:space="0" w:color="auto"/>
                    <w:right w:val="single" w:sz="4" w:space="0" w:color="auto"/>
                  </w:tcBorders>
                  <w:vAlign w:val="center"/>
                  <w:hideMark/>
                </w:tcPr>
                <w:p w14:paraId="00434EE3"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 xml:space="preserve">Off </w:t>
                  </w:r>
                  <w:proofErr w:type="spellStart"/>
                  <w:r w:rsidRPr="005F5AF9">
                    <w:rPr>
                      <w:rFonts w:cs="Arial"/>
                      <w:color w:val="005CA9"/>
                      <w:sz w:val="22"/>
                      <w:szCs w:val="22"/>
                    </w:rPr>
                    <w:t>Fackley</w:t>
                  </w:r>
                  <w:proofErr w:type="spellEnd"/>
                  <w:r w:rsidRPr="005F5AF9">
                    <w:rPr>
                      <w:rFonts w:cs="Arial"/>
                      <w:color w:val="005CA9"/>
                      <w:sz w:val="22"/>
                      <w:szCs w:val="22"/>
                    </w:rPr>
                    <w:t xml:space="preserve"> Road, Teversal</w:t>
                  </w:r>
                </w:p>
              </w:tc>
              <w:tc>
                <w:tcPr>
                  <w:tcW w:w="1293" w:type="dxa"/>
                  <w:tcBorders>
                    <w:top w:val="nil"/>
                    <w:left w:val="nil"/>
                    <w:bottom w:val="single" w:sz="4" w:space="0" w:color="auto"/>
                    <w:right w:val="single" w:sz="4" w:space="0" w:color="auto"/>
                  </w:tcBorders>
                  <w:noWrap/>
                  <w:vAlign w:val="center"/>
                  <w:hideMark/>
                </w:tcPr>
                <w:p w14:paraId="31360360"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002C5A77"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409727E6"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12</w:t>
                  </w:r>
                </w:p>
              </w:tc>
              <w:tc>
                <w:tcPr>
                  <w:tcW w:w="1900" w:type="dxa"/>
                  <w:tcBorders>
                    <w:top w:val="nil"/>
                    <w:left w:val="nil"/>
                    <w:bottom w:val="single" w:sz="4" w:space="0" w:color="auto"/>
                    <w:right w:val="single" w:sz="4" w:space="0" w:color="auto"/>
                  </w:tcBorders>
                  <w:noWrap/>
                  <w:vAlign w:val="center"/>
                  <w:hideMark/>
                </w:tcPr>
                <w:p w14:paraId="01E283E4"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533AE93D"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64830D69"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H1Sq</w:t>
                  </w:r>
                </w:p>
              </w:tc>
              <w:tc>
                <w:tcPr>
                  <w:tcW w:w="2324" w:type="dxa"/>
                  <w:tcBorders>
                    <w:top w:val="nil"/>
                    <w:left w:val="nil"/>
                    <w:bottom w:val="single" w:sz="4" w:space="0" w:color="auto"/>
                    <w:right w:val="single" w:sz="4" w:space="0" w:color="auto"/>
                  </w:tcBorders>
                  <w:vAlign w:val="center"/>
                  <w:hideMark/>
                </w:tcPr>
                <w:p w14:paraId="12A667DD"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Hardwick Lane Recreation Ground</w:t>
                  </w:r>
                </w:p>
              </w:tc>
              <w:tc>
                <w:tcPr>
                  <w:tcW w:w="1293" w:type="dxa"/>
                  <w:tcBorders>
                    <w:top w:val="nil"/>
                    <w:left w:val="nil"/>
                    <w:bottom w:val="single" w:sz="4" w:space="0" w:color="auto"/>
                    <w:right w:val="single" w:sz="4" w:space="0" w:color="auto"/>
                  </w:tcBorders>
                  <w:noWrap/>
                  <w:vAlign w:val="center"/>
                  <w:hideMark/>
                </w:tcPr>
                <w:p w14:paraId="14EB4049"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200DF070" w14:textId="77777777" w:rsidR="00B90DBE" w:rsidRPr="005F5AF9" w:rsidRDefault="00B90DBE" w:rsidP="00B90DBE">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51CDA9D7"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40</w:t>
                  </w:r>
                </w:p>
              </w:tc>
              <w:tc>
                <w:tcPr>
                  <w:tcW w:w="1900" w:type="dxa"/>
                  <w:tcBorders>
                    <w:top w:val="nil"/>
                    <w:left w:val="nil"/>
                    <w:bottom w:val="single" w:sz="4" w:space="0" w:color="auto"/>
                    <w:right w:val="single" w:sz="4" w:space="0" w:color="auto"/>
                  </w:tcBorders>
                  <w:noWrap/>
                  <w:vAlign w:val="center"/>
                  <w:hideMark/>
                </w:tcPr>
                <w:p w14:paraId="59F97CF0"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45749272"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1612B223"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H1Sr</w:t>
                  </w:r>
                </w:p>
              </w:tc>
              <w:tc>
                <w:tcPr>
                  <w:tcW w:w="2324" w:type="dxa"/>
                  <w:tcBorders>
                    <w:top w:val="nil"/>
                    <w:left w:val="nil"/>
                    <w:bottom w:val="single" w:sz="4" w:space="0" w:color="auto"/>
                    <w:right w:val="single" w:sz="4" w:space="0" w:color="auto"/>
                  </w:tcBorders>
                  <w:vAlign w:val="center"/>
                  <w:hideMark/>
                </w:tcPr>
                <w:p w14:paraId="6648AE8C"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Land off Clare Road</w:t>
                  </w:r>
                </w:p>
              </w:tc>
              <w:tc>
                <w:tcPr>
                  <w:tcW w:w="1293" w:type="dxa"/>
                  <w:tcBorders>
                    <w:top w:val="nil"/>
                    <w:left w:val="nil"/>
                    <w:bottom w:val="single" w:sz="4" w:space="0" w:color="auto"/>
                    <w:right w:val="single" w:sz="4" w:space="0" w:color="auto"/>
                  </w:tcBorders>
                  <w:noWrap/>
                  <w:vAlign w:val="center"/>
                  <w:hideMark/>
                </w:tcPr>
                <w:p w14:paraId="0D5D15CB"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4719B38F"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400A523C"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69</w:t>
                  </w:r>
                </w:p>
              </w:tc>
              <w:tc>
                <w:tcPr>
                  <w:tcW w:w="1900" w:type="dxa"/>
                  <w:tcBorders>
                    <w:top w:val="nil"/>
                    <w:left w:val="nil"/>
                    <w:bottom w:val="single" w:sz="4" w:space="0" w:color="auto"/>
                    <w:right w:val="single" w:sz="4" w:space="0" w:color="auto"/>
                  </w:tcBorders>
                  <w:noWrap/>
                  <w:vAlign w:val="center"/>
                  <w:hideMark/>
                </w:tcPr>
                <w:p w14:paraId="6701A71B"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779B7B2D"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2422FEE0"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H1Ss</w:t>
                  </w:r>
                </w:p>
              </w:tc>
              <w:tc>
                <w:tcPr>
                  <w:tcW w:w="2324" w:type="dxa"/>
                  <w:tcBorders>
                    <w:top w:val="nil"/>
                    <w:left w:val="nil"/>
                    <w:bottom w:val="single" w:sz="4" w:space="0" w:color="auto"/>
                    <w:right w:val="single" w:sz="4" w:space="0" w:color="auto"/>
                  </w:tcBorders>
                  <w:vAlign w:val="center"/>
                  <w:hideMark/>
                </w:tcPr>
                <w:p w14:paraId="6D989A95"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 xml:space="preserve">Land East of A6075 Beck Lane, Skegby </w:t>
                  </w:r>
                </w:p>
              </w:tc>
              <w:tc>
                <w:tcPr>
                  <w:tcW w:w="1293" w:type="dxa"/>
                  <w:tcBorders>
                    <w:top w:val="nil"/>
                    <w:left w:val="nil"/>
                    <w:bottom w:val="single" w:sz="4" w:space="0" w:color="auto"/>
                    <w:right w:val="single" w:sz="4" w:space="0" w:color="auto"/>
                  </w:tcBorders>
                  <w:noWrap/>
                  <w:vAlign w:val="center"/>
                  <w:hideMark/>
                </w:tcPr>
                <w:p w14:paraId="126F43B6"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51856114" w14:textId="77777777" w:rsidR="00B90DBE" w:rsidRPr="005F5AF9" w:rsidRDefault="00B90DBE" w:rsidP="00B90DBE">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04EA0C71" w14:textId="77777777" w:rsidR="00B90DBE" w:rsidRPr="005F5AF9" w:rsidRDefault="00B90DBE" w:rsidP="00B90DBE">
                  <w:pPr>
                    <w:keepNext w:val="0"/>
                    <w:spacing w:before="0"/>
                    <w:jc w:val="right"/>
                    <w:rPr>
                      <w:rFonts w:cs="Arial"/>
                      <w:color w:val="005CA9"/>
                      <w:sz w:val="22"/>
                      <w:szCs w:val="22"/>
                    </w:rPr>
                  </w:pPr>
                  <w:proofErr w:type="gramStart"/>
                  <w:r w:rsidRPr="005F5AF9">
                    <w:rPr>
                      <w:rFonts w:cs="Arial"/>
                      <w:strike/>
                      <w:color w:val="005CA9"/>
                      <w:sz w:val="22"/>
                      <w:szCs w:val="22"/>
                    </w:rPr>
                    <w:t>212</w:t>
                  </w:r>
                  <w:r w:rsidRPr="005F5AF9">
                    <w:rPr>
                      <w:rFonts w:cs="Arial"/>
                      <w:color w:val="005CA9"/>
                      <w:sz w:val="22"/>
                      <w:szCs w:val="22"/>
                    </w:rPr>
                    <w:t xml:space="preserve">  </w:t>
                  </w:r>
                  <w:r w:rsidRPr="005F5AF9">
                    <w:rPr>
                      <w:rFonts w:cs="Arial"/>
                      <w:b/>
                      <w:bCs/>
                      <w:color w:val="005CA9"/>
                      <w:sz w:val="22"/>
                      <w:szCs w:val="22"/>
                    </w:rPr>
                    <w:t>230</w:t>
                  </w:r>
                  <w:proofErr w:type="gramEnd"/>
                </w:p>
              </w:tc>
              <w:tc>
                <w:tcPr>
                  <w:tcW w:w="1900" w:type="dxa"/>
                  <w:tcBorders>
                    <w:top w:val="nil"/>
                    <w:left w:val="nil"/>
                    <w:bottom w:val="single" w:sz="4" w:space="0" w:color="auto"/>
                    <w:right w:val="single" w:sz="4" w:space="0" w:color="auto"/>
                  </w:tcBorders>
                  <w:noWrap/>
                  <w:vAlign w:val="center"/>
                  <w:hideMark/>
                </w:tcPr>
                <w:p w14:paraId="21EC0C2A"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52986170"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22D157F9"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H1St</w:t>
                  </w:r>
                </w:p>
              </w:tc>
              <w:tc>
                <w:tcPr>
                  <w:tcW w:w="2324" w:type="dxa"/>
                  <w:tcBorders>
                    <w:top w:val="nil"/>
                    <w:left w:val="nil"/>
                    <w:bottom w:val="single" w:sz="4" w:space="0" w:color="auto"/>
                    <w:right w:val="single" w:sz="4" w:space="0" w:color="auto"/>
                  </w:tcBorders>
                  <w:vAlign w:val="center"/>
                  <w:hideMark/>
                </w:tcPr>
                <w:p w14:paraId="5428B137"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Land off Blackwell Road/Main Street, Huthwaite</w:t>
                  </w:r>
                </w:p>
              </w:tc>
              <w:tc>
                <w:tcPr>
                  <w:tcW w:w="1293" w:type="dxa"/>
                  <w:tcBorders>
                    <w:top w:val="nil"/>
                    <w:left w:val="nil"/>
                    <w:bottom w:val="single" w:sz="4" w:space="0" w:color="auto"/>
                    <w:right w:val="single" w:sz="4" w:space="0" w:color="auto"/>
                  </w:tcBorders>
                  <w:noWrap/>
                  <w:vAlign w:val="center"/>
                  <w:hideMark/>
                </w:tcPr>
                <w:p w14:paraId="382368F1"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417DB6D9" w14:textId="77777777" w:rsidR="00B90DBE" w:rsidRPr="005F5AF9" w:rsidRDefault="00B90DBE" w:rsidP="00B90DBE">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Part</w:t>
                  </w:r>
                </w:p>
              </w:tc>
              <w:tc>
                <w:tcPr>
                  <w:tcW w:w="1580" w:type="dxa"/>
                  <w:tcBorders>
                    <w:top w:val="nil"/>
                    <w:left w:val="nil"/>
                    <w:bottom w:val="single" w:sz="4" w:space="0" w:color="auto"/>
                    <w:right w:val="single" w:sz="4" w:space="0" w:color="auto"/>
                  </w:tcBorders>
                  <w:noWrap/>
                  <w:vAlign w:val="center"/>
                  <w:hideMark/>
                </w:tcPr>
                <w:p w14:paraId="0EDC7FBF" w14:textId="77777777" w:rsidR="00B90DBE" w:rsidRPr="005F5AF9" w:rsidRDefault="00B90DBE" w:rsidP="00B90DBE">
                  <w:pPr>
                    <w:keepNext w:val="0"/>
                    <w:spacing w:before="0"/>
                    <w:jc w:val="right"/>
                    <w:rPr>
                      <w:rFonts w:cs="Arial"/>
                      <w:color w:val="005CA9"/>
                      <w:sz w:val="22"/>
                      <w:szCs w:val="22"/>
                    </w:rPr>
                  </w:pPr>
                  <w:proofErr w:type="gramStart"/>
                  <w:r w:rsidRPr="005F5AF9">
                    <w:rPr>
                      <w:rFonts w:cs="Arial"/>
                      <w:strike/>
                      <w:color w:val="005CA9"/>
                      <w:sz w:val="22"/>
                      <w:szCs w:val="22"/>
                    </w:rPr>
                    <w:t>99</w:t>
                  </w:r>
                  <w:r w:rsidRPr="005F5AF9">
                    <w:rPr>
                      <w:rFonts w:cs="Arial"/>
                      <w:color w:val="005CA9"/>
                      <w:sz w:val="22"/>
                      <w:szCs w:val="22"/>
                    </w:rPr>
                    <w:t xml:space="preserve">  </w:t>
                  </w:r>
                  <w:r w:rsidRPr="005F5AF9">
                    <w:rPr>
                      <w:rFonts w:cs="Arial"/>
                      <w:b/>
                      <w:bCs/>
                      <w:color w:val="005CA9"/>
                      <w:sz w:val="22"/>
                      <w:szCs w:val="22"/>
                    </w:rPr>
                    <w:t>90</w:t>
                  </w:r>
                  <w:proofErr w:type="gramEnd"/>
                </w:p>
              </w:tc>
              <w:tc>
                <w:tcPr>
                  <w:tcW w:w="1900" w:type="dxa"/>
                  <w:tcBorders>
                    <w:top w:val="nil"/>
                    <w:left w:val="nil"/>
                    <w:bottom w:val="single" w:sz="4" w:space="0" w:color="auto"/>
                    <w:right w:val="single" w:sz="4" w:space="0" w:color="auto"/>
                  </w:tcBorders>
                  <w:noWrap/>
                  <w:vAlign w:val="center"/>
                  <w:hideMark/>
                </w:tcPr>
                <w:p w14:paraId="3C1D7EDB"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40651427"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3ADEE346"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H1Su</w:t>
                  </w:r>
                </w:p>
              </w:tc>
              <w:tc>
                <w:tcPr>
                  <w:tcW w:w="2324" w:type="dxa"/>
                  <w:tcBorders>
                    <w:top w:val="nil"/>
                    <w:left w:val="nil"/>
                    <w:bottom w:val="single" w:sz="4" w:space="0" w:color="auto"/>
                    <w:right w:val="single" w:sz="4" w:space="0" w:color="auto"/>
                  </w:tcBorders>
                  <w:vAlign w:val="center"/>
                  <w:hideMark/>
                </w:tcPr>
                <w:p w14:paraId="13C1C940"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Rear 113 to 139 Beck Lane, Skegby</w:t>
                  </w:r>
                </w:p>
              </w:tc>
              <w:tc>
                <w:tcPr>
                  <w:tcW w:w="1293" w:type="dxa"/>
                  <w:tcBorders>
                    <w:top w:val="nil"/>
                    <w:left w:val="nil"/>
                    <w:bottom w:val="single" w:sz="4" w:space="0" w:color="auto"/>
                    <w:right w:val="single" w:sz="4" w:space="0" w:color="auto"/>
                  </w:tcBorders>
                  <w:noWrap/>
                  <w:vAlign w:val="center"/>
                  <w:hideMark/>
                </w:tcPr>
                <w:p w14:paraId="0C526768"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5055BB60" w14:textId="77777777" w:rsidR="00B90DBE" w:rsidRPr="005F5AF9" w:rsidRDefault="00B90DBE" w:rsidP="00B90DBE">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Part</w:t>
                  </w:r>
                </w:p>
              </w:tc>
              <w:tc>
                <w:tcPr>
                  <w:tcW w:w="1580" w:type="dxa"/>
                  <w:tcBorders>
                    <w:top w:val="nil"/>
                    <w:left w:val="nil"/>
                    <w:bottom w:val="single" w:sz="4" w:space="0" w:color="auto"/>
                    <w:right w:val="single" w:sz="4" w:space="0" w:color="auto"/>
                  </w:tcBorders>
                  <w:noWrap/>
                  <w:vAlign w:val="center"/>
                  <w:hideMark/>
                </w:tcPr>
                <w:p w14:paraId="04022D5E" w14:textId="77777777" w:rsidR="00B90DBE" w:rsidRPr="005F5AF9" w:rsidRDefault="00B90DBE" w:rsidP="00B90DBE">
                  <w:pPr>
                    <w:keepNext w:val="0"/>
                    <w:spacing w:before="0"/>
                    <w:jc w:val="right"/>
                    <w:rPr>
                      <w:rFonts w:cs="Arial"/>
                      <w:color w:val="005CA9"/>
                      <w:sz w:val="22"/>
                      <w:szCs w:val="22"/>
                    </w:rPr>
                  </w:pPr>
                  <w:proofErr w:type="gramStart"/>
                  <w:r w:rsidRPr="005F5AF9">
                    <w:rPr>
                      <w:rFonts w:cs="Arial"/>
                      <w:strike/>
                      <w:color w:val="005CA9"/>
                      <w:sz w:val="22"/>
                      <w:szCs w:val="22"/>
                    </w:rPr>
                    <w:t>100</w:t>
                  </w:r>
                  <w:r w:rsidRPr="005F5AF9">
                    <w:rPr>
                      <w:rFonts w:cs="Arial"/>
                      <w:color w:val="005CA9"/>
                      <w:sz w:val="22"/>
                      <w:szCs w:val="22"/>
                    </w:rPr>
                    <w:t xml:space="preserve">  </w:t>
                  </w:r>
                  <w:r w:rsidRPr="005F5AF9">
                    <w:rPr>
                      <w:rFonts w:cs="Arial"/>
                      <w:b/>
                      <w:bCs/>
                      <w:color w:val="005CA9"/>
                      <w:sz w:val="22"/>
                      <w:szCs w:val="22"/>
                    </w:rPr>
                    <w:t>91</w:t>
                  </w:r>
                  <w:proofErr w:type="gramEnd"/>
                </w:p>
              </w:tc>
              <w:tc>
                <w:tcPr>
                  <w:tcW w:w="1900" w:type="dxa"/>
                  <w:tcBorders>
                    <w:top w:val="nil"/>
                    <w:left w:val="nil"/>
                    <w:bottom w:val="single" w:sz="4" w:space="0" w:color="auto"/>
                    <w:right w:val="single" w:sz="4" w:space="0" w:color="auto"/>
                  </w:tcBorders>
                  <w:noWrap/>
                  <w:vAlign w:val="center"/>
                  <w:hideMark/>
                </w:tcPr>
                <w:p w14:paraId="62931A4E"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63C1B675"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00C2F2A4"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H1Sw</w:t>
                  </w:r>
                </w:p>
              </w:tc>
              <w:tc>
                <w:tcPr>
                  <w:tcW w:w="2324" w:type="dxa"/>
                  <w:tcBorders>
                    <w:top w:val="nil"/>
                    <w:left w:val="nil"/>
                    <w:bottom w:val="single" w:sz="4" w:space="0" w:color="auto"/>
                    <w:right w:val="single" w:sz="4" w:space="0" w:color="auto"/>
                  </w:tcBorders>
                  <w:vAlign w:val="center"/>
                  <w:hideMark/>
                </w:tcPr>
                <w:p w14:paraId="51E32238"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 xml:space="preserve">Off </w:t>
                  </w:r>
                  <w:proofErr w:type="spellStart"/>
                  <w:r w:rsidRPr="005F5AF9">
                    <w:rPr>
                      <w:rFonts w:cs="Arial"/>
                      <w:color w:val="005CA9"/>
                      <w:sz w:val="22"/>
                      <w:szCs w:val="22"/>
                    </w:rPr>
                    <w:t>Gillcroft</w:t>
                  </w:r>
                  <w:proofErr w:type="spellEnd"/>
                  <w:r w:rsidRPr="005F5AF9">
                    <w:rPr>
                      <w:rFonts w:cs="Arial"/>
                      <w:color w:val="005CA9"/>
                      <w:sz w:val="22"/>
                      <w:szCs w:val="22"/>
                    </w:rPr>
                    <w:t xml:space="preserve"> Street/St Andrews Street &amp; Vere Avenue, Skegby</w:t>
                  </w:r>
                </w:p>
              </w:tc>
              <w:tc>
                <w:tcPr>
                  <w:tcW w:w="1293" w:type="dxa"/>
                  <w:tcBorders>
                    <w:top w:val="nil"/>
                    <w:left w:val="nil"/>
                    <w:bottom w:val="single" w:sz="4" w:space="0" w:color="auto"/>
                    <w:right w:val="single" w:sz="4" w:space="0" w:color="auto"/>
                  </w:tcBorders>
                  <w:noWrap/>
                  <w:vAlign w:val="center"/>
                  <w:hideMark/>
                </w:tcPr>
                <w:p w14:paraId="11A4915E"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71698BFA"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792BE4F0"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206</w:t>
                  </w:r>
                </w:p>
              </w:tc>
              <w:tc>
                <w:tcPr>
                  <w:tcW w:w="1900" w:type="dxa"/>
                  <w:tcBorders>
                    <w:top w:val="nil"/>
                    <w:left w:val="nil"/>
                    <w:bottom w:val="single" w:sz="4" w:space="0" w:color="auto"/>
                    <w:right w:val="single" w:sz="4" w:space="0" w:color="auto"/>
                  </w:tcBorders>
                  <w:noWrap/>
                  <w:vAlign w:val="center"/>
                  <w:hideMark/>
                </w:tcPr>
                <w:p w14:paraId="23FAB36A"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531592EF"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19819540"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H1Sx</w:t>
                  </w:r>
                </w:p>
              </w:tc>
              <w:tc>
                <w:tcPr>
                  <w:tcW w:w="2324" w:type="dxa"/>
                  <w:tcBorders>
                    <w:top w:val="nil"/>
                    <w:left w:val="nil"/>
                    <w:bottom w:val="single" w:sz="4" w:space="0" w:color="auto"/>
                    <w:right w:val="single" w:sz="4" w:space="0" w:color="auto"/>
                  </w:tcBorders>
                  <w:vAlign w:val="center"/>
                  <w:hideMark/>
                </w:tcPr>
                <w:p w14:paraId="1B477D90"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rear 249, 251 Alfreton Road</w:t>
                  </w:r>
                </w:p>
              </w:tc>
              <w:tc>
                <w:tcPr>
                  <w:tcW w:w="1293" w:type="dxa"/>
                  <w:tcBorders>
                    <w:top w:val="nil"/>
                    <w:left w:val="nil"/>
                    <w:bottom w:val="single" w:sz="4" w:space="0" w:color="auto"/>
                    <w:right w:val="single" w:sz="4" w:space="0" w:color="auto"/>
                  </w:tcBorders>
                  <w:noWrap/>
                  <w:vAlign w:val="center"/>
                  <w:hideMark/>
                </w:tcPr>
                <w:p w14:paraId="20A8B177"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02ACE5E5"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3DFC367E"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43</w:t>
                  </w:r>
                </w:p>
              </w:tc>
              <w:tc>
                <w:tcPr>
                  <w:tcW w:w="1900" w:type="dxa"/>
                  <w:tcBorders>
                    <w:top w:val="nil"/>
                    <w:left w:val="nil"/>
                    <w:bottom w:val="single" w:sz="4" w:space="0" w:color="auto"/>
                    <w:right w:val="single" w:sz="4" w:space="0" w:color="auto"/>
                  </w:tcBorders>
                  <w:noWrap/>
                  <w:vAlign w:val="center"/>
                  <w:hideMark/>
                </w:tcPr>
                <w:p w14:paraId="0FC35160"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COMP</w:t>
                  </w:r>
                </w:p>
              </w:tc>
            </w:tr>
            <w:tr w:rsidR="00B90DBE" w:rsidRPr="00B90DBE" w14:paraId="689A1150"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7DB2CA77"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lastRenderedPageBreak/>
                    <w:t>H1Sy</w:t>
                  </w:r>
                </w:p>
              </w:tc>
              <w:tc>
                <w:tcPr>
                  <w:tcW w:w="2324" w:type="dxa"/>
                  <w:tcBorders>
                    <w:top w:val="nil"/>
                    <w:left w:val="nil"/>
                    <w:bottom w:val="single" w:sz="4" w:space="0" w:color="auto"/>
                    <w:right w:val="single" w:sz="4" w:space="0" w:color="auto"/>
                  </w:tcBorders>
                  <w:vAlign w:val="center"/>
                  <w:hideMark/>
                </w:tcPr>
                <w:p w14:paraId="4F0E29CC"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off Brand Lane, Stanton Hill</w:t>
                  </w:r>
                </w:p>
              </w:tc>
              <w:tc>
                <w:tcPr>
                  <w:tcW w:w="1293" w:type="dxa"/>
                  <w:tcBorders>
                    <w:top w:val="nil"/>
                    <w:left w:val="nil"/>
                    <w:bottom w:val="single" w:sz="4" w:space="0" w:color="auto"/>
                    <w:right w:val="single" w:sz="4" w:space="0" w:color="auto"/>
                  </w:tcBorders>
                  <w:noWrap/>
                  <w:vAlign w:val="center"/>
                  <w:hideMark/>
                </w:tcPr>
                <w:p w14:paraId="6D66469B"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07AF9DCD"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77456DC1" w14:textId="77777777" w:rsidR="00B90DBE" w:rsidRPr="005F5AF9" w:rsidRDefault="00B90DBE" w:rsidP="00B90DBE">
                  <w:pPr>
                    <w:keepNext w:val="0"/>
                    <w:spacing w:before="0"/>
                    <w:jc w:val="right"/>
                    <w:rPr>
                      <w:rFonts w:cs="Arial"/>
                      <w:color w:val="005CA9"/>
                      <w:sz w:val="22"/>
                      <w:szCs w:val="22"/>
                    </w:rPr>
                  </w:pPr>
                  <w:proofErr w:type="gramStart"/>
                  <w:r w:rsidRPr="005F5AF9">
                    <w:rPr>
                      <w:rFonts w:cs="Arial"/>
                      <w:strike/>
                      <w:color w:val="005CA9"/>
                      <w:sz w:val="22"/>
                      <w:szCs w:val="22"/>
                    </w:rPr>
                    <w:t>71</w:t>
                  </w:r>
                  <w:r w:rsidRPr="005F5AF9">
                    <w:rPr>
                      <w:rFonts w:cs="Arial"/>
                      <w:color w:val="005CA9"/>
                      <w:sz w:val="22"/>
                      <w:szCs w:val="22"/>
                    </w:rPr>
                    <w:t xml:space="preserve">  </w:t>
                  </w:r>
                  <w:r w:rsidRPr="005F5AF9">
                    <w:rPr>
                      <w:rFonts w:cs="Arial"/>
                      <w:b/>
                      <w:bCs/>
                      <w:color w:val="005CA9"/>
                      <w:sz w:val="22"/>
                      <w:szCs w:val="22"/>
                    </w:rPr>
                    <w:t>70</w:t>
                  </w:r>
                  <w:proofErr w:type="gramEnd"/>
                </w:p>
              </w:tc>
              <w:tc>
                <w:tcPr>
                  <w:tcW w:w="1900" w:type="dxa"/>
                  <w:tcBorders>
                    <w:top w:val="nil"/>
                    <w:left w:val="nil"/>
                    <w:bottom w:val="single" w:sz="4" w:space="0" w:color="auto"/>
                    <w:right w:val="single" w:sz="4" w:space="0" w:color="auto"/>
                  </w:tcBorders>
                  <w:noWrap/>
                  <w:vAlign w:val="center"/>
                  <w:hideMark/>
                </w:tcPr>
                <w:p w14:paraId="3D906C5D"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2A7D3AE8"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7997089E"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H1Sz</w:t>
                  </w:r>
                </w:p>
              </w:tc>
              <w:tc>
                <w:tcPr>
                  <w:tcW w:w="2324" w:type="dxa"/>
                  <w:tcBorders>
                    <w:top w:val="nil"/>
                    <w:left w:val="nil"/>
                    <w:bottom w:val="single" w:sz="4" w:space="0" w:color="auto"/>
                    <w:right w:val="single" w:sz="4" w:space="0" w:color="auto"/>
                  </w:tcBorders>
                  <w:vAlign w:val="center"/>
                  <w:hideMark/>
                </w:tcPr>
                <w:p w14:paraId="32329E72"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Junction of Outram Street/Park Street</w:t>
                  </w:r>
                </w:p>
              </w:tc>
              <w:tc>
                <w:tcPr>
                  <w:tcW w:w="1293" w:type="dxa"/>
                  <w:tcBorders>
                    <w:top w:val="nil"/>
                    <w:left w:val="nil"/>
                    <w:bottom w:val="single" w:sz="4" w:space="0" w:color="auto"/>
                    <w:right w:val="single" w:sz="4" w:space="0" w:color="auto"/>
                  </w:tcBorders>
                  <w:noWrap/>
                  <w:vAlign w:val="center"/>
                  <w:hideMark/>
                </w:tcPr>
                <w:p w14:paraId="5AF5376E"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B</w:t>
                  </w:r>
                </w:p>
              </w:tc>
              <w:tc>
                <w:tcPr>
                  <w:tcW w:w="1390" w:type="dxa"/>
                  <w:tcBorders>
                    <w:top w:val="nil"/>
                    <w:left w:val="nil"/>
                    <w:bottom w:val="single" w:sz="4" w:space="0" w:color="auto"/>
                    <w:right w:val="single" w:sz="4" w:space="0" w:color="auto"/>
                  </w:tcBorders>
                  <w:noWrap/>
                  <w:vAlign w:val="center"/>
                  <w:hideMark/>
                </w:tcPr>
                <w:p w14:paraId="0C5C63C3" w14:textId="77777777" w:rsidR="00B90DBE" w:rsidRPr="005F5AF9" w:rsidRDefault="00B90DBE" w:rsidP="00B90DBE">
                  <w:pPr>
                    <w:keepNext w:val="0"/>
                    <w:spacing w:before="0"/>
                    <w:jc w:val="center"/>
                    <w:rPr>
                      <w:rFonts w:cs="Arial"/>
                      <w:color w:val="005CA9"/>
                      <w:sz w:val="22"/>
                      <w:szCs w:val="22"/>
                    </w:rPr>
                  </w:pPr>
                  <w:proofErr w:type="gramStart"/>
                  <w:r w:rsidRPr="005F5AF9">
                    <w:rPr>
                      <w:rFonts w:cs="Arial"/>
                      <w:strike/>
                      <w:color w:val="005CA9"/>
                      <w:sz w:val="22"/>
                      <w:szCs w:val="22"/>
                    </w:rPr>
                    <w:t>Yes</w:t>
                  </w:r>
                  <w:r w:rsidRPr="005F5AF9">
                    <w:rPr>
                      <w:rFonts w:cs="Arial"/>
                      <w:color w:val="005CA9"/>
                      <w:sz w:val="22"/>
                      <w:szCs w:val="22"/>
                    </w:rPr>
                    <w:t xml:space="preserve">  </w:t>
                  </w:r>
                  <w:r w:rsidRPr="005F5AF9">
                    <w:rPr>
                      <w:rFonts w:cs="Arial"/>
                      <w:b/>
                      <w:bCs/>
                      <w:color w:val="005CA9"/>
                      <w:sz w:val="22"/>
                      <w:szCs w:val="22"/>
                    </w:rPr>
                    <w:t>No</w:t>
                  </w:r>
                  <w:proofErr w:type="gramEnd"/>
                </w:p>
              </w:tc>
              <w:tc>
                <w:tcPr>
                  <w:tcW w:w="1580" w:type="dxa"/>
                  <w:tcBorders>
                    <w:top w:val="nil"/>
                    <w:left w:val="nil"/>
                    <w:bottom w:val="single" w:sz="4" w:space="0" w:color="auto"/>
                    <w:right w:val="single" w:sz="4" w:space="0" w:color="auto"/>
                  </w:tcBorders>
                  <w:noWrap/>
                  <w:vAlign w:val="center"/>
                  <w:hideMark/>
                </w:tcPr>
                <w:p w14:paraId="4F6BD96D"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24</w:t>
                  </w:r>
                </w:p>
              </w:tc>
              <w:tc>
                <w:tcPr>
                  <w:tcW w:w="1900" w:type="dxa"/>
                  <w:tcBorders>
                    <w:top w:val="nil"/>
                    <w:left w:val="nil"/>
                    <w:bottom w:val="single" w:sz="4" w:space="0" w:color="auto"/>
                    <w:right w:val="single" w:sz="4" w:space="0" w:color="auto"/>
                  </w:tcBorders>
                  <w:noWrap/>
                  <w:vAlign w:val="center"/>
                  <w:hideMark/>
                </w:tcPr>
                <w:p w14:paraId="7780FD2A"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4CBEBCA0"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2149997E"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H1Saa</w:t>
                  </w:r>
                </w:p>
              </w:tc>
              <w:tc>
                <w:tcPr>
                  <w:tcW w:w="2324" w:type="dxa"/>
                  <w:tcBorders>
                    <w:top w:val="nil"/>
                    <w:left w:val="nil"/>
                    <w:bottom w:val="single" w:sz="4" w:space="0" w:color="auto"/>
                    <w:right w:val="single" w:sz="4" w:space="0" w:color="auto"/>
                  </w:tcBorders>
                  <w:vAlign w:val="center"/>
                  <w:hideMark/>
                </w:tcPr>
                <w:p w14:paraId="1F924DFE"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Land at, Beck Lane, Skegby</w:t>
                  </w:r>
                </w:p>
              </w:tc>
              <w:tc>
                <w:tcPr>
                  <w:tcW w:w="1293" w:type="dxa"/>
                  <w:tcBorders>
                    <w:top w:val="nil"/>
                    <w:left w:val="nil"/>
                    <w:bottom w:val="single" w:sz="4" w:space="0" w:color="auto"/>
                    <w:right w:val="single" w:sz="4" w:space="0" w:color="auto"/>
                  </w:tcBorders>
                  <w:noWrap/>
                  <w:vAlign w:val="center"/>
                  <w:hideMark/>
                </w:tcPr>
                <w:p w14:paraId="4AC6CD3C"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47BC46F8"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1CFB7F92"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322</w:t>
                  </w:r>
                </w:p>
              </w:tc>
              <w:tc>
                <w:tcPr>
                  <w:tcW w:w="1900" w:type="dxa"/>
                  <w:tcBorders>
                    <w:top w:val="nil"/>
                    <w:left w:val="nil"/>
                    <w:bottom w:val="single" w:sz="4" w:space="0" w:color="auto"/>
                    <w:right w:val="single" w:sz="4" w:space="0" w:color="auto"/>
                  </w:tcBorders>
                  <w:noWrap/>
                  <w:vAlign w:val="center"/>
                  <w:hideMark/>
                </w:tcPr>
                <w:p w14:paraId="7759D7F5"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296ADD00"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4C57323F"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H1Sac</w:t>
                  </w:r>
                </w:p>
              </w:tc>
              <w:tc>
                <w:tcPr>
                  <w:tcW w:w="2324" w:type="dxa"/>
                  <w:tcBorders>
                    <w:top w:val="nil"/>
                    <w:left w:val="nil"/>
                    <w:bottom w:val="single" w:sz="4" w:space="0" w:color="auto"/>
                    <w:right w:val="single" w:sz="4" w:space="0" w:color="auto"/>
                  </w:tcBorders>
                  <w:vAlign w:val="center"/>
                  <w:hideMark/>
                </w:tcPr>
                <w:p w14:paraId="482F78D9"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 xml:space="preserve">The Quarry, 57, </w:t>
                  </w:r>
                  <w:proofErr w:type="spellStart"/>
                  <w:r w:rsidRPr="005F5AF9">
                    <w:rPr>
                      <w:rFonts w:cs="Arial"/>
                      <w:color w:val="005CA9"/>
                      <w:sz w:val="22"/>
                      <w:szCs w:val="22"/>
                    </w:rPr>
                    <w:t>Stoneyford</w:t>
                  </w:r>
                  <w:proofErr w:type="spellEnd"/>
                  <w:r w:rsidRPr="005F5AF9">
                    <w:rPr>
                      <w:rFonts w:cs="Arial"/>
                      <w:color w:val="005CA9"/>
                      <w:sz w:val="22"/>
                      <w:szCs w:val="22"/>
                    </w:rPr>
                    <w:t xml:space="preserve"> Road</w:t>
                  </w:r>
                </w:p>
              </w:tc>
              <w:tc>
                <w:tcPr>
                  <w:tcW w:w="1293" w:type="dxa"/>
                  <w:tcBorders>
                    <w:top w:val="nil"/>
                    <w:left w:val="nil"/>
                    <w:bottom w:val="single" w:sz="4" w:space="0" w:color="auto"/>
                    <w:right w:val="single" w:sz="4" w:space="0" w:color="auto"/>
                  </w:tcBorders>
                  <w:noWrap/>
                  <w:vAlign w:val="center"/>
                  <w:hideMark/>
                </w:tcPr>
                <w:p w14:paraId="603BEE21"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762B44E5"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74FF0E62"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47</w:t>
                  </w:r>
                </w:p>
              </w:tc>
              <w:tc>
                <w:tcPr>
                  <w:tcW w:w="1900" w:type="dxa"/>
                  <w:tcBorders>
                    <w:top w:val="nil"/>
                    <w:left w:val="nil"/>
                    <w:bottom w:val="single" w:sz="4" w:space="0" w:color="auto"/>
                    <w:right w:val="single" w:sz="4" w:space="0" w:color="auto"/>
                  </w:tcBorders>
                  <w:noWrap/>
                  <w:vAlign w:val="center"/>
                  <w:hideMark/>
                </w:tcPr>
                <w:p w14:paraId="77D7B5EA"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2B781B11"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03AD20BF"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H1Sad</w:t>
                  </w:r>
                </w:p>
              </w:tc>
              <w:tc>
                <w:tcPr>
                  <w:tcW w:w="2324" w:type="dxa"/>
                  <w:tcBorders>
                    <w:top w:val="nil"/>
                    <w:left w:val="nil"/>
                    <w:bottom w:val="single" w:sz="4" w:space="0" w:color="auto"/>
                    <w:right w:val="single" w:sz="4" w:space="0" w:color="auto"/>
                  </w:tcBorders>
                  <w:vAlign w:val="center"/>
                  <w:hideMark/>
                </w:tcPr>
                <w:p w14:paraId="23CDE767"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The Pattern House, Crossley Avenue, Huthwaite</w:t>
                  </w:r>
                </w:p>
              </w:tc>
              <w:tc>
                <w:tcPr>
                  <w:tcW w:w="1293" w:type="dxa"/>
                  <w:tcBorders>
                    <w:top w:val="nil"/>
                    <w:left w:val="nil"/>
                    <w:bottom w:val="single" w:sz="4" w:space="0" w:color="auto"/>
                    <w:right w:val="single" w:sz="4" w:space="0" w:color="auto"/>
                  </w:tcBorders>
                  <w:noWrap/>
                  <w:vAlign w:val="center"/>
                  <w:hideMark/>
                </w:tcPr>
                <w:p w14:paraId="2D330DBF"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B</w:t>
                  </w:r>
                </w:p>
              </w:tc>
              <w:tc>
                <w:tcPr>
                  <w:tcW w:w="1390" w:type="dxa"/>
                  <w:tcBorders>
                    <w:top w:val="nil"/>
                    <w:left w:val="nil"/>
                    <w:bottom w:val="single" w:sz="4" w:space="0" w:color="auto"/>
                    <w:right w:val="single" w:sz="4" w:space="0" w:color="auto"/>
                  </w:tcBorders>
                  <w:noWrap/>
                  <w:vAlign w:val="center"/>
                  <w:hideMark/>
                </w:tcPr>
                <w:p w14:paraId="1AA31C20" w14:textId="77777777" w:rsidR="00B90DBE" w:rsidRPr="005F5AF9" w:rsidRDefault="00B90DBE" w:rsidP="00B90DBE">
                  <w:pPr>
                    <w:keepNext w:val="0"/>
                    <w:spacing w:before="0"/>
                    <w:jc w:val="center"/>
                    <w:rPr>
                      <w:rFonts w:cs="Arial"/>
                      <w:color w:val="005CA9"/>
                      <w:sz w:val="22"/>
                      <w:szCs w:val="22"/>
                    </w:rPr>
                  </w:pPr>
                  <w:proofErr w:type="gramStart"/>
                  <w:r w:rsidRPr="005F5AF9">
                    <w:rPr>
                      <w:rFonts w:cs="Arial"/>
                      <w:strike/>
                      <w:color w:val="005CA9"/>
                      <w:sz w:val="22"/>
                      <w:szCs w:val="22"/>
                    </w:rPr>
                    <w:t>Yes</w:t>
                  </w:r>
                  <w:r w:rsidRPr="005F5AF9">
                    <w:rPr>
                      <w:rFonts w:cs="Arial"/>
                      <w:color w:val="005CA9"/>
                      <w:sz w:val="22"/>
                      <w:szCs w:val="22"/>
                    </w:rPr>
                    <w:t xml:space="preserve">  </w:t>
                  </w:r>
                  <w:r w:rsidRPr="005F5AF9">
                    <w:rPr>
                      <w:rFonts w:cs="Arial"/>
                      <w:b/>
                      <w:bCs/>
                      <w:color w:val="005CA9"/>
                      <w:sz w:val="22"/>
                      <w:szCs w:val="22"/>
                    </w:rPr>
                    <w:t>No</w:t>
                  </w:r>
                  <w:proofErr w:type="gramEnd"/>
                </w:p>
              </w:tc>
              <w:tc>
                <w:tcPr>
                  <w:tcW w:w="1580" w:type="dxa"/>
                  <w:tcBorders>
                    <w:top w:val="nil"/>
                    <w:left w:val="nil"/>
                    <w:bottom w:val="single" w:sz="4" w:space="0" w:color="auto"/>
                    <w:right w:val="single" w:sz="4" w:space="0" w:color="auto"/>
                  </w:tcBorders>
                  <w:noWrap/>
                  <w:vAlign w:val="bottom"/>
                  <w:hideMark/>
                </w:tcPr>
                <w:p w14:paraId="7E7AB2E4" w14:textId="77777777" w:rsidR="00B90DBE" w:rsidRPr="005F5AF9" w:rsidRDefault="00B90DBE" w:rsidP="00B90DBE">
                  <w:pPr>
                    <w:keepNext w:val="0"/>
                    <w:spacing w:before="0"/>
                    <w:jc w:val="right"/>
                    <w:rPr>
                      <w:rFonts w:cs="Arial"/>
                      <w:color w:val="005CA9"/>
                      <w:sz w:val="20"/>
                    </w:rPr>
                  </w:pPr>
                  <w:r w:rsidRPr="005F5AF9">
                    <w:rPr>
                      <w:rFonts w:cs="Arial"/>
                      <w:color w:val="005CA9"/>
                      <w:sz w:val="20"/>
                    </w:rPr>
                    <w:t>23</w:t>
                  </w:r>
                </w:p>
              </w:tc>
              <w:tc>
                <w:tcPr>
                  <w:tcW w:w="1900" w:type="dxa"/>
                  <w:tcBorders>
                    <w:top w:val="nil"/>
                    <w:left w:val="nil"/>
                    <w:bottom w:val="single" w:sz="4" w:space="0" w:color="auto"/>
                    <w:right w:val="single" w:sz="4" w:space="0" w:color="auto"/>
                  </w:tcBorders>
                  <w:noWrap/>
                  <w:vAlign w:val="bottom"/>
                  <w:hideMark/>
                </w:tcPr>
                <w:p w14:paraId="442DC8AB" w14:textId="77777777" w:rsidR="00B90DBE" w:rsidRPr="005F5AF9" w:rsidRDefault="00B90DBE" w:rsidP="00B90DBE">
                  <w:pPr>
                    <w:keepNext w:val="0"/>
                    <w:spacing w:before="0"/>
                    <w:jc w:val="center"/>
                    <w:rPr>
                      <w:rFonts w:cs="Arial"/>
                      <w:b/>
                      <w:bCs/>
                      <w:color w:val="005CA9"/>
                      <w:sz w:val="20"/>
                    </w:rPr>
                  </w:pPr>
                  <w:r w:rsidRPr="005F5AF9">
                    <w:rPr>
                      <w:rFonts w:cs="Arial"/>
                      <w:b/>
                      <w:bCs/>
                      <w:color w:val="005CA9"/>
                      <w:sz w:val="20"/>
                    </w:rPr>
                    <w:t>NS</w:t>
                  </w:r>
                </w:p>
              </w:tc>
            </w:tr>
            <w:tr w:rsidR="00B90DBE" w:rsidRPr="00B90DBE" w14:paraId="64A3BBA8"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39B337F0"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H1Sae</w:t>
                  </w:r>
                </w:p>
              </w:tc>
              <w:tc>
                <w:tcPr>
                  <w:tcW w:w="2324" w:type="dxa"/>
                  <w:tcBorders>
                    <w:top w:val="nil"/>
                    <w:left w:val="nil"/>
                    <w:bottom w:val="single" w:sz="4" w:space="0" w:color="auto"/>
                    <w:right w:val="single" w:sz="4" w:space="0" w:color="auto"/>
                  </w:tcBorders>
                  <w:vAlign w:val="center"/>
                  <w:hideMark/>
                </w:tcPr>
                <w:p w14:paraId="2B75C715"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Ashland Road West</w:t>
                  </w:r>
                </w:p>
              </w:tc>
              <w:tc>
                <w:tcPr>
                  <w:tcW w:w="1293" w:type="dxa"/>
                  <w:tcBorders>
                    <w:top w:val="nil"/>
                    <w:left w:val="nil"/>
                    <w:bottom w:val="single" w:sz="4" w:space="0" w:color="auto"/>
                    <w:right w:val="single" w:sz="4" w:space="0" w:color="auto"/>
                  </w:tcBorders>
                  <w:noWrap/>
                  <w:vAlign w:val="center"/>
                  <w:hideMark/>
                </w:tcPr>
                <w:p w14:paraId="606342C0"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5B049C96"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5AF8025A"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300</w:t>
                  </w:r>
                </w:p>
              </w:tc>
              <w:tc>
                <w:tcPr>
                  <w:tcW w:w="1900" w:type="dxa"/>
                  <w:tcBorders>
                    <w:top w:val="nil"/>
                    <w:left w:val="nil"/>
                    <w:bottom w:val="single" w:sz="4" w:space="0" w:color="auto"/>
                    <w:right w:val="single" w:sz="4" w:space="0" w:color="auto"/>
                  </w:tcBorders>
                  <w:noWrap/>
                  <w:vAlign w:val="center"/>
                  <w:hideMark/>
                </w:tcPr>
                <w:p w14:paraId="777F2B0E"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5F43159F"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78631ABB"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H1Saf</w:t>
                  </w:r>
                </w:p>
              </w:tc>
              <w:tc>
                <w:tcPr>
                  <w:tcW w:w="2324" w:type="dxa"/>
                  <w:tcBorders>
                    <w:top w:val="nil"/>
                    <w:left w:val="nil"/>
                    <w:bottom w:val="single" w:sz="4" w:space="0" w:color="auto"/>
                    <w:right w:val="single" w:sz="4" w:space="0" w:color="auto"/>
                  </w:tcBorders>
                  <w:vAlign w:val="center"/>
                  <w:hideMark/>
                </w:tcPr>
                <w:p w14:paraId="0D057E0F"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North of Midland Road</w:t>
                  </w:r>
                </w:p>
              </w:tc>
              <w:tc>
                <w:tcPr>
                  <w:tcW w:w="1293" w:type="dxa"/>
                  <w:tcBorders>
                    <w:top w:val="nil"/>
                    <w:left w:val="nil"/>
                    <w:bottom w:val="single" w:sz="4" w:space="0" w:color="auto"/>
                    <w:right w:val="single" w:sz="4" w:space="0" w:color="auto"/>
                  </w:tcBorders>
                  <w:noWrap/>
                  <w:vAlign w:val="center"/>
                  <w:hideMark/>
                </w:tcPr>
                <w:p w14:paraId="26C1BE52"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71AF2475"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67168015"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20</w:t>
                  </w:r>
                </w:p>
              </w:tc>
              <w:tc>
                <w:tcPr>
                  <w:tcW w:w="1900" w:type="dxa"/>
                  <w:tcBorders>
                    <w:top w:val="nil"/>
                    <w:left w:val="nil"/>
                    <w:bottom w:val="single" w:sz="4" w:space="0" w:color="auto"/>
                    <w:right w:val="single" w:sz="4" w:space="0" w:color="auto"/>
                  </w:tcBorders>
                  <w:noWrap/>
                  <w:vAlign w:val="center"/>
                  <w:hideMark/>
                </w:tcPr>
                <w:p w14:paraId="653C8EE7"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COMP</w:t>
                  </w:r>
                </w:p>
              </w:tc>
            </w:tr>
            <w:tr w:rsidR="00B90DBE" w:rsidRPr="00B90DBE" w14:paraId="1B696973"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2BA16F92"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H1Sag</w:t>
                  </w:r>
                </w:p>
              </w:tc>
              <w:tc>
                <w:tcPr>
                  <w:tcW w:w="2324" w:type="dxa"/>
                  <w:tcBorders>
                    <w:top w:val="nil"/>
                    <w:left w:val="nil"/>
                    <w:bottom w:val="single" w:sz="4" w:space="0" w:color="auto"/>
                    <w:right w:val="single" w:sz="4" w:space="0" w:color="auto"/>
                  </w:tcBorders>
                  <w:vAlign w:val="center"/>
                  <w:hideMark/>
                </w:tcPr>
                <w:p w14:paraId="6B4202B6"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Quantum clothing Site, North Street, Huthwaite</w:t>
                  </w:r>
                </w:p>
              </w:tc>
              <w:tc>
                <w:tcPr>
                  <w:tcW w:w="1293" w:type="dxa"/>
                  <w:tcBorders>
                    <w:top w:val="nil"/>
                    <w:left w:val="nil"/>
                    <w:bottom w:val="single" w:sz="4" w:space="0" w:color="auto"/>
                    <w:right w:val="single" w:sz="4" w:space="0" w:color="auto"/>
                  </w:tcBorders>
                  <w:noWrap/>
                  <w:vAlign w:val="center"/>
                  <w:hideMark/>
                </w:tcPr>
                <w:p w14:paraId="5E6EF5AE"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B</w:t>
                  </w:r>
                </w:p>
              </w:tc>
              <w:tc>
                <w:tcPr>
                  <w:tcW w:w="1390" w:type="dxa"/>
                  <w:tcBorders>
                    <w:top w:val="nil"/>
                    <w:left w:val="nil"/>
                    <w:bottom w:val="single" w:sz="4" w:space="0" w:color="auto"/>
                    <w:right w:val="single" w:sz="4" w:space="0" w:color="auto"/>
                  </w:tcBorders>
                  <w:noWrap/>
                  <w:vAlign w:val="center"/>
                  <w:hideMark/>
                </w:tcPr>
                <w:p w14:paraId="61D3EDE6" w14:textId="77777777" w:rsidR="00B90DBE" w:rsidRPr="005F5AF9" w:rsidRDefault="00B90DBE" w:rsidP="00B90DBE">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1A5A7AA8" w14:textId="77777777" w:rsidR="00B90DBE" w:rsidRPr="005F5AF9" w:rsidRDefault="00B90DBE" w:rsidP="00B90DBE">
                  <w:pPr>
                    <w:keepNext w:val="0"/>
                    <w:spacing w:before="0"/>
                    <w:jc w:val="right"/>
                    <w:rPr>
                      <w:rFonts w:cs="Arial"/>
                      <w:color w:val="005CA9"/>
                      <w:sz w:val="22"/>
                      <w:szCs w:val="22"/>
                    </w:rPr>
                  </w:pPr>
                  <w:proofErr w:type="gramStart"/>
                  <w:r w:rsidRPr="005F5AF9">
                    <w:rPr>
                      <w:rFonts w:cs="Arial"/>
                      <w:strike/>
                      <w:color w:val="005CA9"/>
                      <w:sz w:val="22"/>
                      <w:szCs w:val="22"/>
                    </w:rPr>
                    <w:t>71</w:t>
                  </w:r>
                  <w:r w:rsidRPr="005F5AF9">
                    <w:rPr>
                      <w:rFonts w:cs="Arial"/>
                      <w:color w:val="005CA9"/>
                      <w:sz w:val="22"/>
                      <w:szCs w:val="22"/>
                    </w:rPr>
                    <w:t xml:space="preserve">  </w:t>
                  </w:r>
                  <w:r w:rsidRPr="005F5AF9">
                    <w:rPr>
                      <w:rFonts w:cs="Arial"/>
                      <w:b/>
                      <w:bCs/>
                      <w:color w:val="005CA9"/>
                      <w:sz w:val="22"/>
                      <w:szCs w:val="22"/>
                    </w:rPr>
                    <w:t>61</w:t>
                  </w:r>
                  <w:proofErr w:type="gramEnd"/>
                </w:p>
              </w:tc>
              <w:tc>
                <w:tcPr>
                  <w:tcW w:w="1900" w:type="dxa"/>
                  <w:tcBorders>
                    <w:top w:val="nil"/>
                    <w:left w:val="nil"/>
                    <w:bottom w:val="single" w:sz="4" w:space="0" w:color="auto"/>
                    <w:right w:val="single" w:sz="4" w:space="0" w:color="auto"/>
                  </w:tcBorders>
                  <w:noWrap/>
                  <w:vAlign w:val="center"/>
                  <w:hideMark/>
                </w:tcPr>
                <w:p w14:paraId="1C203A4D"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586466F0" w14:textId="77777777" w:rsidTr="00B90DBE">
              <w:trPr>
                <w:trHeight w:val="560"/>
              </w:trPr>
              <w:tc>
                <w:tcPr>
                  <w:tcW w:w="962" w:type="dxa"/>
                  <w:tcBorders>
                    <w:top w:val="nil"/>
                    <w:left w:val="single" w:sz="4" w:space="0" w:color="auto"/>
                    <w:bottom w:val="single" w:sz="4" w:space="0" w:color="auto"/>
                    <w:right w:val="single" w:sz="4" w:space="0" w:color="auto"/>
                  </w:tcBorders>
                  <w:noWrap/>
                  <w:vAlign w:val="center"/>
                  <w:hideMark/>
                </w:tcPr>
                <w:p w14:paraId="35FF3393" w14:textId="77777777" w:rsidR="00B90DBE" w:rsidRPr="005F5AF9" w:rsidRDefault="00B90DBE" w:rsidP="00B90DBE">
                  <w:pPr>
                    <w:keepNext w:val="0"/>
                    <w:spacing w:before="0"/>
                    <w:jc w:val="both"/>
                    <w:rPr>
                      <w:rFonts w:cs="Arial"/>
                      <w:color w:val="005CA9"/>
                      <w:sz w:val="22"/>
                      <w:szCs w:val="22"/>
                    </w:rPr>
                  </w:pPr>
                  <w:r w:rsidRPr="005F5AF9">
                    <w:rPr>
                      <w:rFonts w:cs="Arial"/>
                      <w:color w:val="005CA9"/>
                      <w:sz w:val="22"/>
                      <w:szCs w:val="22"/>
                    </w:rPr>
                    <w:t>H1Sah</w:t>
                  </w:r>
                </w:p>
              </w:tc>
              <w:tc>
                <w:tcPr>
                  <w:tcW w:w="2324" w:type="dxa"/>
                  <w:tcBorders>
                    <w:top w:val="nil"/>
                    <w:left w:val="nil"/>
                    <w:bottom w:val="single" w:sz="4" w:space="0" w:color="auto"/>
                    <w:right w:val="single" w:sz="4" w:space="0" w:color="auto"/>
                  </w:tcBorders>
                  <w:vAlign w:val="center"/>
                  <w:hideMark/>
                </w:tcPr>
                <w:p w14:paraId="1A6A5D3B" w14:textId="77777777" w:rsidR="00B90DBE" w:rsidRPr="005F5AF9" w:rsidRDefault="00B90DBE" w:rsidP="00B90DBE">
                  <w:pPr>
                    <w:keepNext w:val="0"/>
                    <w:spacing w:before="0"/>
                    <w:rPr>
                      <w:rFonts w:cs="Arial"/>
                      <w:color w:val="005CA9"/>
                      <w:sz w:val="22"/>
                      <w:szCs w:val="22"/>
                    </w:rPr>
                  </w:pPr>
                  <w:r w:rsidRPr="005F5AF9">
                    <w:rPr>
                      <w:rFonts w:cs="Arial"/>
                      <w:color w:val="005CA9"/>
                      <w:sz w:val="22"/>
                      <w:szCs w:val="22"/>
                    </w:rPr>
                    <w:t>Land adjacent 208 Mansfield Road</w:t>
                  </w:r>
                </w:p>
              </w:tc>
              <w:tc>
                <w:tcPr>
                  <w:tcW w:w="1293" w:type="dxa"/>
                  <w:tcBorders>
                    <w:top w:val="nil"/>
                    <w:left w:val="nil"/>
                    <w:bottom w:val="single" w:sz="4" w:space="0" w:color="auto"/>
                    <w:right w:val="single" w:sz="4" w:space="0" w:color="auto"/>
                  </w:tcBorders>
                  <w:noWrap/>
                  <w:vAlign w:val="center"/>
                  <w:hideMark/>
                </w:tcPr>
                <w:p w14:paraId="7D875734"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B</w:t>
                  </w:r>
                </w:p>
              </w:tc>
              <w:tc>
                <w:tcPr>
                  <w:tcW w:w="1390" w:type="dxa"/>
                  <w:tcBorders>
                    <w:top w:val="nil"/>
                    <w:left w:val="nil"/>
                    <w:bottom w:val="single" w:sz="4" w:space="0" w:color="auto"/>
                    <w:right w:val="single" w:sz="4" w:space="0" w:color="auto"/>
                  </w:tcBorders>
                  <w:noWrap/>
                  <w:vAlign w:val="center"/>
                  <w:hideMark/>
                </w:tcPr>
                <w:p w14:paraId="4C295DA0" w14:textId="77777777" w:rsidR="00B90DBE" w:rsidRPr="005F5AF9" w:rsidRDefault="00B90DBE" w:rsidP="00B90DBE">
                  <w:pPr>
                    <w:keepNext w:val="0"/>
                    <w:spacing w:before="0"/>
                    <w:jc w:val="center"/>
                    <w:rPr>
                      <w:rFonts w:cs="Arial"/>
                      <w:color w:val="005CA9"/>
                      <w:sz w:val="22"/>
                      <w:szCs w:val="22"/>
                    </w:rPr>
                  </w:pPr>
                  <w:r w:rsidRPr="005F5AF9">
                    <w:rPr>
                      <w:rFonts w:cs="Arial"/>
                      <w:color w:val="005CA9"/>
                      <w:sz w:val="22"/>
                      <w:szCs w:val="22"/>
                    </w:rPr>
                    <w:t>No</w:t>
                  </w:r>
                </w:p>
              </w:tc>
              <w:tc>
                <w:tcPr>
                  <w:tcW w:w="1580" w:type="dxa"/>
                  <w:tcBorders>
                    <w:top w:val="nil"/>
                    <w:left w:val="nil"/>
                    <w:bottom w:val="single" w:sz="4" w:space="0" w:color="auto"/>
                    <w:right w:val="single" w:sz="4" w:space="0" w:color="auto"/>
                  </w:tcBorders>
                  <w:noWrap/>
                  <w:vAlign w:val="center"/>
                  <w:hideMark/>
                </w:tcPr>
                <w:p w14:paraId="69F9A727" w14:textId="77777777" w:rsidR="00B90DBE" w:rsidRPr="005F5AF9" w:rsidRDefault="00B90DBE" w:rsidP="00B90DBE">
                  <w:pPr>
                    <w:keepNext w:val="0"/>
                    <w:spacing w:before="0"/>
                    <w:jc w:val="right"/>
                    <w:rPr>
                      <w:rFonts w:cs="Arial"/>
                      <w:color w:val="005CA9"/>
                      <w:sz w:val="22"/>
                      <w:szCs w:val="22"/>
                    </w:rPr>
                  </w:pPr>
                  <w:r w:rsidRPr="005F5AF9">
                    <w:rPr>
                      <w:rFonts w:cs="Arial"/>
                      <w:color w:val="005CA9"/>
                      <w:sz w:val="22"/>
                      <w:szCs w:val="22"/>
                    </w:rPr>
                    <w:t>36</w:t>
                  </w:r>
                </w:p>
              </w:tc>
              <w:tc>
                <w:tcPr>
                  <w:tcW w:w="1900" w:type="dxa"/>
                  <w:tcBorders>
                    <w:top w:val="nil"/>
                    <w:left w:val="nil"/>
                    <w:bottom w:val="single" w:sz="4" w:space="0" w:color="auto"/>
                    <w:right w:val="single" w:sz="4" w:space="0" w:color="auto"/>
                  </w:tcBorders>
                  <w:noWrap/>
                  <w:vAlign w:val="center"/>
                  <w:hideMark/>
                </w:tcPr>
                <w:p w14:paraId="298E6FD1"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25D44204" w14:textId="77777777" w:rsidTr="00B90DBE">
              <w:trPr>
                <w:trHeight w:val="280"/>
              </w:trPr>
              <w:tc>
                <w:tcPr>
                  <w:tcW w:w="962" w:type="dxa"/>
                  <w:tcBorders>
                    <w:top w:val="nil"/>
                    <w:left w:val="single" w:sz="4" w:space="0" w:color="auto"/>
                    <w:bottom w:val="single" w:sz="4" w:space="0" w:color="auto"/>
                    <w:right w:val="single" w:sz="4" w:space="0" w:color="auto"/>
                  </w:tcBorders>
                  <w:noWrap/>
                  <w:vAlign w:val="center"/>
                  <w:hideMark/>
                </w:tcPr>
                <w:p w14:paraId="1ECDE001" w14:textId="77777777" w:rsidR="00B90DBE" w:rsidRPr="005F5AF9" w:rsidRDefault="00B90DBE" w:rsidP="00B90DBE">
                  <w:pPr>
                    <w:keepNext w:val="0"/>
                    <w:spacing w:before="0"/>
                    <w:jc w:val="both"/>
                    <w:rPr>
                      <w:rFonts w:cs="Arial"/>
                      <w:b/>
                      <w:bCs/>
                      <w:color w:val="005CA9"/>
                      <w:sz w:val="22"/>
                      <w:szCs w:val="22"/>
                    </w:rPr>
                  </w:pPr>
                  <w:r w:rsidRPr="005F5AF9">
                    <w:rPr>
                      <w:rFonts w:cs="Arial"/>
                      <w:b/>
                      <w:bCs/>
                      <w:color w:val="005CA9"/>
                      <w:sz w:val="22"/>
                      <w:szCs w:val="22"/>
                    </w:rPr>
                    <w:t>H1Sai</w:t>
                  </w:r>
                </w:p>
              </w:tc>
              <w:tc>
                <w:tcPr>
                  <w:tcW w:w="2324" w:type="dxa"/>
                  <w:tcBorders>
                    <w:top w:val="nil"/>
                    <w:left w:val="nil"/>
                    <w:bottom w:val="single" w:sz="4" w:space="0" w:color="auto"/>
                    <w:right w:val="single" w:sz="4" w:space="0" w:color="auto"/>
                  </w:tcBorders>
                  <w:vAlign w:val="center"/>
                  <w:hideMark/>
                </w:tcPr>
                <w:p w14:paraId="5B173F88" w14:textId="77777777" w:rsidR="00B90DBE" w:rsidRPr="005F5AF9" w:rsidRDefault="00B90DBE" w:rsidP="00B90DBE">
                  <w:pPr>
                    <w:keepNext w:val="0"/>
                    <w:spacing w:before="0"/>
                    <w:jc w:val="both"/>
                    <w:rPr>
                      <w:rFonts w:cs="Arial"/>
                      <w:b/>
                      <w:bCs/>
                      <w:color w:val="005CA9"/>
                      <w:sz w:val="22"/>
                      <w:szCs w:val="22"/>
                    </w:rPr>
                  </w:pPr>
                  <w:proofErr w:type="spellStart"/>
                  <w:r w:rsidRPr="005F5AF9">
                    <w:rPr>
                      <w:rFonts w:cs="Arial"/>
                      <w:b/>
                      <w:bCs/>
                      <w:color w:val="005CA9"/>
                      <w:sz w:val="22"/>
                      <w:szCs w:val="22"/>
                    </w:rPr>
                    <w:t>Pendean</w:t>
                  </w:r>
                  <w:proofErr w:type="spellEnd"/>
                  <w:r w:rsidRPr="005F5AF9">
                    <w:rPr>
                      <w:rFonts w:cs="Arial"/>
                      <w:b/>
                      <w:bCs/>
                      <w:color w:val="005CA9"/>
                      <w:sz w:val="22"/>
                      <w:szCs w:val="22"/>
                    </w:rPr>
                    <w:t xml:space="preserve"> Way</w:t>
                  </w:r>
                </w:p>
              </w:tc>
              <w:tc>
                <w:tcPr>
                  <w:tcW w:w="1293" w:type="dxa"/>
                  <w:tcBorders>
                    <w:top w:val="nil"/>
                    <w:left w:val="nil"/>
                    <w:bottom w:val="single" w:sz="4" w:space="0" w:color="auto"/>
                    <w:right w:val="single" w:sz="4" w:space="0" w:color="auto"/>
                  </w:tcBorders>
                  <w:noWrap/>
                  <w:vAlign w:val="center"/>
                  <w:hideMark/>
                </w:tcPr>
                <w:p w14:paraId="25ED34F3"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18152160"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vAlign w:val="center"/>
                  <w:hideMark/>
                </w:tcPr>
                <w:p w14:paraId="7DAE2435" w14:textId="77777777" w:rsidR="00B90DBE" w:rsidRPr="005F5AF9" w:rsidRDefault="00B90DBE" w:rsidP="00B90DBE">
                  <w:pPr>
                    <w:keepNext w:val="0"/>
                    <w:spacing w:before="0"/>
                    <w:jc w:val="right"/>
                    <w:rPr>
                      <w:rFonts w:cs="Arial"/>
                      <w:b/>
                      <w:bCs/>
                      <w:color w:val="005CA9"/>
                      <w:sz w:val="22"/>
                      <w:szCs w:val="22"/>
                    </w:rPr>
                  </w:pPr>
                  <w:r w:rsidRPr="005F5AF9">
                    <w:rPr>
                      <w:rFonts w:cs="Arial"/>
                      <w:b/>
                      <w:bCs/>
                      <w:color w:val="005CA9"/>
                      <w:sz w:val="22"/>
                      <w:szCs w:val="22"/>
                    </w:rPr>
                    <w:t>12</w:t>
                  </w:r>
                </w:p>
              </w:tc>
              <w:tc>
                <w:tcPr>
                  <w:tcW w:w="1900" w:type="dxa"/>
                  <w:tcBorders>
                    <w:top w:val="nil"/>
                    <w:left w:val="nil"/>
                    <w:bottom w:val="single" w:sz="4" w:space="0" w:color="auto"/>
                    <w:right w:val="single" w:sz="4" w:space="0" w:color="auto"/>
                  </w:tcBorders>
                  <w:noWrap/>
                  <w:vAlign w:val="center"/>
                  <w:hideMark/>
                </w:tcPr>
                <w:p w14:paraId="1CAFF845"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UC</w:t>
                  </w:r>
                </w:p>
              </w:tc>
            </w:tr>
            <w:tr w:rsidR="00B90DBE" w:rsidRPr="00B90DBE" w14:paraId="19379B84" w14:textId="77777777" w:rsidTr="00B90DBE">
              <w:trPr>
                <w:trHeight w:val="630"/>
              </w:trPr>
              <w:tc>
                <w:tcPr>
                  <w:tcW w:w="962" w:type="dxa"/>
                  <w:tcBorders>
                    <w:top w:val="nil"/>
                    <w:left w:val="single" w:sz="4" w:space="0" w:color="auto"/>
                    <w:bottom w:val="single" w:sz="4" w:space="0" w:color="auto"/>
                    <w:right w:val="single" w:sz="4" w:space="0" w:color="auto"/>
                  </w:tcBorders>
                  <w:noWrap/>
                  <w:hideMark/>
                </w:tcPr>
                <w:p w14:paraId="5AF549DA" w14:textId="77777777" w:rsidR="00B90DBE" w:rsidRPr="005F5AF9" w:rsidRDefault="00B90DBE" w:rsidP="00B90DBE">
                  <w:pPr>
                    <w:keepNext w:val="0"/>
                    <w:spacing w:before="0"/>
                    <w:jc w:val="both"/>
                    <w:rPr>
                      <w:rFonts w:cs="Arial"/>
                      <w:b/>
                      <w:bCs/>
                      <w:color w:val="005CA9"/>
                      <w:sz w:val="22"/>
                      <w:szCs w:val="22"/>
                    </w:rPr>
                  </w:pPr>
                  <w:r w:rsidRPr="005F5AF9">
                    <w:rPr>
                      <w:rFonts w:cs="Arial"/>
                      <w:b/>
                      <w:bCs/>
                      <w:color w:val="005CA9"/>
                      <w:sz w:val="22"/>
                      <w:szCs w:val="22"/>
                    </w:rPr>
                    <w:t>H1Saj</w:t>
                  </w:r>
                </w:p>
              </w:tc>
              <w:tc>
                <w:tcPr>
                  <w:tcW w:w="2324" w:type="dxa"/>
                  <w:tcBorders>
                    <w:top w:val="nil"/>
                    <w:left w:val="nil"/>
                    <w:bottom w:val="single" w:sz="4" w:space="0" w:color="auto"/>
                    <w:right w:val="single" w:sz="4" w:space="0" w:color="auto"/>
                  </w:tcBorders>
                  <w:hideMark/>
                </w:tcPr>
                <w:p w14:paraId="0F1F0518" w14:textId="77777777" w:rsidR="00B90DBE" w:rsidRPr="005F5AF9" w:rsidRDefault="00B90DBE" w:rsidP="00B90DBE">
                  <w:pPr>
                    <w:keepNext w:val="0"/>
                    <w:spacing w:before="0"/>
                    <w:rPr>
                      <w:rFonts w:cs="Arial"/>
                      <w:b/>
                      <w:bCs/>
                      <w:color w:val="005CA9"/>
                      <w:sz w:val="22"/>
                      <w:szCs w:val="22"/>
                    </w:rPr>
                  </w:pPr>
                  <w:r w:rsidRPr="005F5AF9">
                    <w:rPr>
                      <w:rFonts w:cs="Arial"/>
                      <w:b/>
                      <w:bCs/>
                      <w:color w:val="005CA9"/>
                      <w:sz w:val="22"/>
                      <w:szCs w:val="22"/>
                    </w:rPr>
                    <w:t>Land Between Redcliffe Street &amp; Leyton Avenue, Sutton</w:t>
                  </w:r>
                </w:p>
              </w:tc>
              <w:tc>
                <w:tcPr>
                  <w:tcW w:w="1293" w:type="dxa"/>
                  <w:tcBorders>
                    <w:top w:val="nil"/>
                    <w:left w:val="nil"/>
                    <w:bottom w:val="single" w:sz="4" w:space="0" w:color="auto"/>
                    <w:right w:val="single" w:sz="4" w:space="0" w:color="auto"/>
                  </w:tcBorders>
                  <w:noWrap/>
                  <w:hideMark/>
                </w:tcPr>
                <w:p w14:paraId="3413157A"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B</w:t>
                  </w:r>
                </w:p>
              </w:tc>
              <w:tc>
                <w:tcPr>
                  <w:tcW w:w="1390" w:type="dxa"/>
                  <w:tcBorders>
                    <w:top w:val="nil"/>
                    <w:left w:val="nil"/>
                    <w:bottom w:val="single" w:sz="4" w:space="0" w:color="auto"/>
                    <w:right w:val="single" w:sz="4" w:space="0" w:color="auto"/>
                  </w:tcBorders>
                  <w:noWrap/>
                  <w:vAlign w:val="center"/>
                  <w:hideMark/>
                </w:tcPr>
                <w:p w14:paraId="5B2BC628"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hideMark/>
                </w:tcPr>
                <w:p w14:paraId="395DC865" w14:textId="77777777" w:rsidR="00B90DBE" w:rsidRPr="005F5AF9" w:rsidRDefault="00B90DBE" w:rsidP="00B90DBE">
                  <w:pPr>
                    <w:keepNext w:val="0"/>
                    <w:spacing w:before="0"/>
                    <w:jc w:val="right"/>
                    <w:rPr>
                      <w:rFonts w:cs="Arial"/>
                      <w:b/>
                      <w:bCs/>
                      <w:color w:val="005CA9"/>
                      <w:sz w:val="22"/>
                      <w:szCs w:val="22"/>
                    </w:rPr>
                  </w:pPr>
                  <w:r w:rsidRPr="005F5AF9">
                    <w:rPr>
                      <w:rFonts w:cs="Arial"/>
                      <w:b/>
                      <w:bCs/>
                      <w:color w:val="005CA9"/>
                      <w:sz w:val="22"/>
                      <w:szCs w:val="22"/>
                    </w:rPr>
                    <w:t>18</w:t>
                  </w:r>
                </w:p>
              </w:tc>
              <w:tc>
                <w:tcPr>
                  <w:tcW w:w="1900" w:type="dxa"/>
                  <w:tcBorders>
                    <w:top w:val="nil"/>
                    <w:left w:val="nil"/>
                    <w:bottom w:val="single" w:sz="4" w:space="0" w:color="auto"/>
                    <w:right w:val="single" w:sz="4" w:space="0" w:color="auto"/>
                  </w:tcBorders>
                  <w:noWrap/>
                  <w:hideMark/>
                </w:tcPr>
                <w:p w14:paraId="5DDD98B1"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1B3429E7" w14:textId="77777777" w:rsidTr="00B90DBE">
              <w:trPr>
                <w:trHeight w:val="280"/>
              </w:trPr>
              <w:tc>
                <w:tcPr>
                  <w:tcW w:w="962" w:type="dxa"/>
                  <w:tcBorders>
                    <w:top w:val="nil"/>
                    <w:left w:val="single" w:sz="4" w:space="0" w:color="auto"/>
                    <w:bottom w:val="single" w:sz="4" w:space="0" w:color="auto"/>
                    <w:right w:val="single" w:sz="4" w:space="0" w:color="auto"/>
                  </w:tcBorders>
                  <w:noWrap/>
                  <w:hideMark/>
                </w:tcPr>
                <w:p w14:paraId="0555C8EF" w14:textId="77777777" w:rsidR="00B90DBE" w:rsidRPr="005F5AF9" w:rsidRDefault="00B90DBE" w:rsidP="00B90DBE">
                  <w:pPr>
                    <w:keepNext w:val="0"/>
                    <w:spacing w:before="0"/>
                    <w:jc w:val="both"/>
                    <w:rPr>
                      <w:rFonts w:cs="Arial"/>
                      <w:b/>
                      <w:bCs/>
                      <w:color w:val="005CA9"/>
                      <w:sz w:val="22"/>
                      <w:szCs w:val="22"/>
                    </w:rPr>
                  </w:pPr>
                  <w:r w:rsidRPr="005F5AF9">
                    <w:rPr>
                      <w:rFonts w:cs="Arial"/>
                      <w:b/>
                      <w:bCs/>
                      <w:color w:val="005CA9"/>
                      <w:sz w:val="22"/>
                      <w:szCs w:val="22"/>
                    </w:rPr>
                    <w:t>H1Sak</w:t>
                  </w:r>
                </w:p>
              </w:tc>
              <w:tc>
                <w:tcPr>
                  <w:tcW w:w="2324" w:type="dxa"/>
                  <w:tcBorders>
                    <w:top w:val="nil"/>
                    <w:left w:val="nil"/>
                    <w:bottom w:val="single" w:sz="4" w:space="0" w:color="auto"/>
                    <w:right w:val="single" w:sz="4" w:space="0" w:color="auto"/>
                  </w:tcBorders>
                  <w:hideMark/>
                </w:tcPr>
                <w:p w14:paraId="470A3238" w14:textId="77777777" w:rsidR="00B90DBE" w:rsidRPr="005F5AF9" w:rsidRDefault="00B90DBE" w:rsidP="00B90DBE">
                  <w:pPr>
                    <w:keepNext w:val="0"/>
                    <w:spacing w:before="0"/>
                    <w:rPr>
                      <w:rFonts w:cs="Arial"/>
                      <w:b/>
                      <w:bCs/>
                      <w:color w:val="005CA9"/>
                      <w:sz w:val="22"/>
                      <w:szCs w:val="22"/>
                    </w:rPr>
                  </w:pPr>
                  <w:r w:rsidRPr="005F5AF9">
                    <w:rPr>
                      <w:rFonts w:cs="Arial"/>
                      <w:b/>
                      <w:bCs/>
                      <w:color w:val="005CA9"/>
                      <w:sz w:val="22"/>
                      <w:szCs w:val="22"/>
                    </w:rPr>
                    <w:t>Rookery Lane, Sutton</w:t>
                  </w:r>
                </w:p>
              </w:tc>
              <w:tc>
                <w:tcPr>
                  <w:tcW w:w="1293" w:type="dxa"/>
                  <w:tcBorders>
                    <w:top w:val="nil"/>
                    <w:left w:val="nil"/>
                    <w:bottom w:val="single" w:sz="4" w:space="0" w:color="auto"/>
                    <w:right w:val="single" w:sz="4" w:space="0" w:color="auto"/>
                  </w:tcBorders>
                  <w:noWrap/>
                  <w:hideMark/>
                </w:tcPr>
                <w:p w14:paraId="6D356D6D"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35B3DBB2"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hideMark/>
                </w:tcPr>
                <w:p w14:paraId="5000011F" w14:textId="77777777" w:rsidR="00B90DBE" w:rsidRPr="005F5AF9" w:rsidRDefault="00B90DBE" w:rsidP="00B90DBE">
                  <w:pPr>
                    <w:keepNext w:val="0"/>
                    <w:spacing w:before="0"/>
                    <w:jc w:val="right"/>
                    <w:rPr>
                      <w:rFonts w:cs="Arial"/>
                      <w:b/>
                      <w:bCs/>
                      <w:color w:val="005CA9"/>
                      <w:sz w:val="22"/>
                      <w:szCs w:val="22"/>
                    </w:rPr>
                  </w:pPr>
                  <w:r w:rsidRPr="005F5AF9">
                    <w:rPr>
                      <w:rFonts w:cs="Arial"/>
                      <w:b/>
                      <w:bCs/>
                      <w:color w:val="005CA9"/>
                      <w:sz w:val="22"/>
                      <w:szCs w:val="22"/>
                    </w:rPr>
                    <w:t>78</w:t>
                  </w:r>
                </w:p>
              </w:tc>
              <w:tc>
                <w:tcPr>
                  <w:tcW w:w="1900" w:type="dxa"/>
                  <w:tcBorders>
                    <w:top w:val="nil"/>
                    <w:left w:val="nil"/>
                    <w:bottom w:val="single" w:sz="4" w:space="0" w:color="auto"/>
                    <w:right w:val="single" w:sz="4" w:space="0" w:color="auto"/>
                  </w:tcBorders>
                  <w:noWrap/>
                  <w:hideMark/>
                </w:tcPr>
                <w:p w14:paraId="2B37EAB7"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6C8E35A5" w14:textId="77777777" w:rsidTr="00B90DBE">
              <w:trPr>
                <w:trHeight w:val="280"/>
              </w:trPr>
              <w:tc>
                <w:tcPr>
                  <w:tcW w:w="962" w:type="dxa"/>
                  <w:tcBorders>
                    <w:top w:val="nil"/>
                    <w:left w:val="single" w:sz="4" w:space="0" w:color="auto"/>
                    <w:bottom w:val="single" w:sz="4" w:space="0" w:color="auto"/>
                    <w:right w:val="single" w:sz="4" w:space="0" w:color="auto"/>
                  </w:tcBorders>
                  <w:noWrap/>
                  <w:hideMark/>
                </w:tcPr>
                <w:p w14:paraId="3B3837F8" w14:textId="77777777" w:rsidR="00B90DBE" w:rsidRPr="005F5AF9" w:rsidRDefault="00B90DBE" w:rsidP="00B90DBE">
                  <w:pPr>
                    <w:keepNext w:val="0"/>
                    <w:spacing w:before="0"/>
                    <w:jc w:val="both"/>
                    <w:rPr>
                      <w:rFonts w:cs="Arial"/>
                      <w:b/>
                      <w:bCs/>
                      <w:color w:val="005CA9"/>
                      <w:sz w:val="22"/>
                      <w:szCs w:val="22"/>
                    </w:rPr>
                  </w:pPr>
                  <w:r w:rsidRPr="005F5AF9">
                    <w:rPr>
                      <w:rFonts w:cs="Arial"/>
                      <w:b/>
                      <w:bCs/>
                      <w:color w:val="005CA9"/>
                      <w:sz w:val="22"/>
                      <w:szCs w:val="22"/>
                    </w:rPr>
                    <w:t>H1Sal</w:t>
                  </w:r>
                </w:p>
              </w:tc>
              <w:tc>
                <w:tcPr>
                  <w:tcW w:w="2324" w:type="dxa"/>
                  <w:tcBorders>
                    <w:top w:val="nil"/>
                    <w:left w:val="nil"/>
                    <w:bottom w:val="single" w:sz="4" w:space="0" w:color="auto"/>
                    <w:right w:val="single" w:sz="4" w:space="0" w:color="auto"/>
                  </w:tcBorders>
                  <w:hideMark/>
                </w:tcPr>
                <w:p w14:paraId="76C7EFA5" w14:textId="77777777" w:rsidR="00B90DBE" w:rsidRPr="005F5AF9" w:rsidRDefault="00B90DBE" w:rsidP="00B90DBE">
                  <w:pPr>
                    <w:keepNext w:val="0"/>
                    <w:spacing w:before="0"/>
                    <w:rPr>
                      <w:rFonts w:cs="Arial"/>
                      <w:b/>
                      <w:bCs/>
                      <w:color w:val="005CA9"/>
                      <w:sz w:val="22"/>
                      <w:szCs w:val="22"/>
                    </w:rPr>
                  </w:pPr>
                  <w:r w:rsidRPr="005F5AF9">
                    <w:rPr>
                      <w:rFonts w:cs="Arial"/>
                      <w:b/>
                      <w:bCs/>
                      <w:color w:val="005CA9"/>
                      <w:sz w:val="22"/>
                      <w:szCs w:val="22"/>
                    </w:rPr>
                    <w:t>Newark Road/</w:t>
                  </w:r>
                  <w:proofErr w:type="spellStart"/>
                  <w:r w:rsidRPr="005F5AF9">
                    <w:rPr>
                      <w:rFonts w:cs="Arial"/>
                      <w:b/>
                      <w:bCs/>
                      <w:color w:val="005CA9"/>
                      <w:sz w:val="22"/>
                      <w:szCs w:val="22"/>
                    </w:rPr>
                    <w:t>Coxmoor</w:t>
                  </w:r>
                  <w:proofErr w:type="spellEnd"/>
                  <w:r w:rsidRPr="005F5AF9">
                    <w:rPr>
                      <w:rFonts w:cs="Arial"/>
                      <w:b/>
                      <w:bCs/>
                      <w:color w:val="005CA9"/>
                      <w:sz w:val="22"/>
                      <w:szCs w:val="22"/>
                    </w:rPr>
                    <w:t xml:space="preserve"> Road</w:t>
                  </w:r>
                </w:p>
              </w:tc>
              <w:tc>
                <w:tcPr>
                  <w:tcW w:w="1293" w:type="dxa"/>
                  <w:tcBorders>
                    <w:top w:val="nil"/>
                    <w:left w:val="nil"/>
                    <w:bottom w:val="single" w:sz="4" w:space="0" w:color="auto"/>
                    <w:right w:val="single" w:sz="4" w:space="0" w:color="auto"/>
                  </w:tcBorders>
                  <w:noWrap/>
                  <w:hideMark/>
                </w:tcPr>
                <w:p w14:paraId="6F4182E0"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G</w:t>
                  </w:r>
                </w:p>
              </w:tc>
              <w:tc>
                <w:tcPr>
                  <w:tcW w:w="1390" w:type="dxa"/>
                  <w:tcBorders>
                    <w:top w:val="nil"/>
                    <w:left w:val="nil"/>
                    <w:bottom w:val="single" w:sz="4" w:space="0" w:color="auto"/>
                    <w:right w:val="single" w:sz="4" w:space="0" w:color="auto"/>
                  </w:tcBorders>
                  <w:noWrap/>
                  <w:hideMark/>
                </w:tcPr>
                <w:p w14:paraId="3F46C7FB"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Yes</w:t>
                  </w:r>
                </w:p>
              </w:tc>
              <w:tc>
                <w:tcPr>
                  <w:tcW w:w="1580" w:type="dxa"/>
                  <w:tcBorders>
                    <w:top w:val="nil"/>
                    <w:left w:val="nil"/>
                    <w:bottom w:val="single" w:sz="4" w:space="0" w:color="auto"/>
                    <w:right w:val="single" w:sz="4" w:space="0" w:color="auto"/>
                  </w:tcBorders>
                  <w:noWrap/>
                  <w:hideMark/>
                </w:tcPr>
                <w:p w14:paraId="1972C4B9" w14:textId="77777777" w:rsidR="00B90DBE" w:rsidRPr="005F5AF9" w:rsidRDefault="00B90DBE" w:rsidP="00B90DBE">
                  <w:pPr>
                    <w:keepNext w:val="0"/>
                    <w:spacing w:before="0"/>
                    <w:jc w:val="right"/>
                    <w:rPr>
                      <w:rFonts w:cs="Arial"/>
                      <w:b/>
                      <w:bCs/>
                      <w:color w:val="005CA9"/>
                      <w:sz w:val="22"/>
                      <w:szCs w:val="22"/>
                    </w:rPr>
                  </w:pPr>
                  <w:r w:rsidRPr="005F5AF9">
                    <w:rPr>
                      <w:rFonts w:cs="Arial"/>
                      <w:b/>
                      <w:bCs/>
                      <w:color w:val="005CA9"/>
                      <w:sz w:val="22"/>
                      <w:szCs w:val="22"/>
                    </w:rPr>
                    <w:t>300</w:t>
                  </w:r>
                </w:p>
              </w:tc>
              <w:tc>
                <w:tcPr>
                  <w:tcW w:w="1900" w:type="dxa"/>
                  <w:tcBorders>
                    <w:top w:val="nil"/>
                    <w:left w:val="nil"/>
                    <w:bottom w:val="single" w:sz="4" w:space="0" w:color="auto"/>
                    <w:right w:val="single" w:sz="4" w:space="0" w:color="auto"/>
                  </w:tcBorders>
                  <w:noWrap/>
                  <w:hideMark/>
                </w:tcPr>
                <w:p w14:paraId="62F1AD32"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7A0562B8" w14:textId="77777777" w:rsidTr="00B90DBE">
              <w:trPr>
                <w:trHeight w:val="280"/>
              </w:trPr>
              <w:tc>
                <w:tcPr>
                  <w:tcW w:w="962" w:type="dxa"/>
                  <w:tcBorders>
                    <w:top w:val="nil"/>
                    <w:left w:val="single" w:sz="4" w:space="0" w:color="auto"/>
                    <w:bottom w:val="single" w:sz="4" w:space="0" w:color="auto"/>
                    <w:right w:val="single" w:sz="4" w:space="0" w:color="auto"/>
                  </w:tcBorders>
                  <w:noWrap/>
                  <w:hideMark/>
                </w:tcPr>
                <w:p w14:paraId="26ACFD05" w14:textId="77777777" w:rsidR="00B90DBE" w:rsidRPr="005F5AF9" w:rsidRDefault="00B90DBE" w:rsidP="00B90DBE">
                  <w:pPr>
                    <w:keepNext w:val="0"/>
                    <w:spacing w:before="0"/>
                    <w:jc w:val="both"/>
                    <w:rPr>
                      <w:rFonts w:cs="Arial"/>
                      <w:b/>
                      <w:bCs/>
                      <w:color w:val="005CA9"/>
                      <w:sz w:val="22"/>
                      <w:szCs w:val="22"/>
                    </w:rPr>
                  </w:pPr>
                  <w:r w:rsidRPr="005F5AF9">
                    <w:rPr>
                      <w:rFonts w:cs="Arial"/>
                      <w:b/>
                      <w:bCs/>
                      <w:color w:val="005CA9"/>
                      <w:sz w:val="22"/>
                      <w:szCs w:val="22"/>
                    </w:rPr>
                    <w:t>H1Sam</w:t>
                  </w:r>
                </w:p>
              </w:tc>
              <w:tc>
                <w:tcPr>
                  <w:tcW w:w="2324" w:type="dxa"/>
                  <w:tcBorders>
                    <w:top w:val="nil"/>
                    <w:left w:val="nil"/>
                    <w:bottom w:val="single" w:sz="4" w:space="0" w:color="auto"/>
                    <w:right w:val="single" w:sz="4" w:space="0" w:color="auto"/>
                  </w:tcBorders>
                  <w:hideMark/>
                </w:tcPr>
                <w:p w14:paraId="557368E1" w14:textId="77777777" w:rsidR="00B90DBE" w:rsidRPr="005F5AF9" w:rsidRDefault="00B90DBE" w:rsidP="00B90DBE">
                  <w:pPr>
                    <w:keepNext w:val="0"/>
                    <w:spacing w:before="0"/>
                    <w:rPr>
                      <w:rFonts w:cs="Arial"/>
                      <w:b/>
                      <w:bCs/>
                      <w:color w:val="005CA9"/>
                      <w:sz w:val="22"/>
                      <w:szCs w:val="22"/>
                    </w:rPr>
                  </w:pPr>
                  <w:r w:rsidRPr="005F5AF9">
                    <w:rPr>
                      <w:rFonts w:cs="Arial"/>
                      <w:b/>
                      <w:bCs/>
                      <w:color w:val="005CA9"/>
                      <w:sz w:val="22"/>
                      <w:szCs w:val="22"/>
                    </w:rPr>
                    <w:t>Beck Lane South, Skegby</w:t>
                  </w:r>
                </w:p>
              </w:tc>
              <w:tc>
                <w:tcPr>
                  <w:tcW w:w="1293" w:type="dxa"/>
                  <w:tcBorders>
                    <w:top w:val="nil"/>
                    <w:left w:val="nil"/>
                    <w:bottom w:val="single" w:sz="4" w:space="0" w:color="auto"/>
                    <w:right w:val="single" w:sz="4" w:space="0" w:color="auto"/>
                  </w:tcBorders>
                  <w:noWrap/>
                  <w:hideMark/>
                </w:tcPr>
                <w:p w14:paraId="478B6531"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G</w:t>
                  </w:r>
                </w:p>
              </w:tc>
              <w:tc>
                <w:tcPr>
                  <w:tcW w:w="1390" w:type="dxa"/>
                  <w:tcBorders>
                    <w:top w:val="nil"/>
                    <w:left w:val="nil"/>
                    <w:bottom w:val="single" w:sz="4" w:space="0" w:color="auto"/>
                    <w:right w:val="single" w:sz="4" w:space="0" w:color="auto"/>
                  </w:tcBorders>
                  <w:noWrap/>
                  <w:hideMark/>
                </w:tcPr>
                <w:p w14:paraId="49B5E064"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No</w:t>
                  </w:r>
                </w:p>
              </w:tc>
              <w:tc>
                <w:tcPr>
                  <w:tcW w:w="1580" w:type="dxa"/>
                  <w:tcBorders>
                    <w:top w:val="nil"/>
                    <w:left w:val="nil"/>
                    <w:bottom w:val="single" w:sz="4" w:space="0" w:color="auto"/>
                    <w:right w:val="single" w:sz="4" w:space="0" w:color="auto"/>
                  </w:tcBorders>
                  <w:noWrap/>
                  <w:hideMark/>
                </w:tcPr>
                <w:p w14:paraId="616E4321" w14:textId="77777777" w:rsidR="00B90DBE" w:rsidRPr="005F5AF9" w:rsidRDefault="00B90DBE" w:rsidP="00B90DBE">
                  <w:pPr>
                    <w:keepNext w:val="0"/>
                    <w:spacing w:before="0"/>
                    <w:jc w:val="right"/>
                    <w:rPr>
                      <w:rFonts w:cs="Arial"/>
                      <w:b/>
                      <w:bCs/>
                      <w:color w:val="005CA9"/>
                      <w:sz w:val="22"/>
                      <w:szCs w:val="22"/>
                    </w:rPr>
                  </w:pPr>
                  <w:r w:rsidRPr="005F5AF9">
                    <w:rPr>
                      <w:rFonts w:cs="Arial"/>
                      <w:b/>
                      <w:bCs/>
                      <w:color w:val="005CA9"/>
                      <w:sz w:val="22"/>
                      <w:szCs w:val="22"/>
                    </w:rPr>
                    <w:t>106</w:t>
                  </w:r>
                </w:p>
              </w:tc>
              <w:tc>
                <w:tcPr>
                  <w:tcW w:w="1900" w:type="dxa"/>
                  <w:tcBorders>
                    <w:top w:val="nil"/>
                    <w:left w:val="nil"/>
                    <w:bottom w:val="single" w:sz="4" w:space="0" w:color="auto"/>
                    <w:right w:val="single" w:sz="4" w:space="0" w:color="auto"/>
                  </w:tcBorders>
                  <w:noWrap/>
                  <w:hideMark/>
                </w:tcPr>
                <w:p w14:paraId="5E122AEB"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3C20C0D3" w14:textId="77777777" w:rsidTr="00B90DBE">
              <w:trPr>
                <w:trHeight w:val="560"/>
              </w:trPr>
              <w:tc>
                <w:tcPr>
                  <w:tcW w:w="962" w:type="dxa"/>
                  <w:tcBorders>
                    <w:top w:val="nil"/>
                    <w:left w:val="single" w:sz="4" w:space="0" w:color="auto"/>
                    <w:bottom w:val="single" w:sz="4" w:space="0" w:color="auto"/>
                    <w:right w:val="single" w:sz="4" w:space="0" w:color="auto"/>
                  </w:tcBorders>
                  <w:noWrap/>
                  <w:hideMark/>
                </w:tcPr>
                <w:p w14:paraId="3BA91585" w14:textId="77777777" w:rsidR="00B90DBE" w:rsidRPr="005F5AF9" w:rsidRDefault="00B90DBE" w:rsidP="00B90DBE">
                  <w:pPr>
                    <w:keepNext w:val="0"/>
                    <w:spacing w:before="0"/>
                    <w:jc w:val="both"/>
                    <w:rPr>
                      <w:rFonts w:cs="Arial"/>
                      <w:b/>
                      <w:bCs/>
                      <w:color w:val="005CA9"/>
                      <w:sz w:val="22"/>
                      <w:szCs w:val="22"/>
                    </w:rPr>
                  </w:pPr>
                  <w:r w:rsidRPr="005F5AF9">
                    <w:rPr>
                      <w:rFonts w:cs="Arial"/>
                      <w:b/>
                      <w:bCs/>
                      <w:color w:val="005CA9"/>
                      <w:sz w:val="22"/>
                      <w:szCs w:val="22"/>
                    </w:rPr>
                    <w:t>H1San</w:t>
                  </w:r>
                </w:p>
              </w:tc>
              <w:tc>
                <w:tcPr>
                  <w:tcW w:w="2324" w:type="dxa"/>
                  <w:tcBorders>
                    <w:top w:val="nil"/>
                    <w:left w:val="nil"/>
                    <w:bottom w:val="single" w:sz="4" w:space="0" w:color="auto"/>
                    <w:right w:val="single" w:sz="4" w:space="0" w:color="auto"/>
                  </w:tcBorders>
                  <w:hideMark/>
                </w:tcPr>
                <w:p w14:paraId="60AB5FB6" w14:textId="77777777" w:rsidR="00B90DBE" w:rsidRPr="005F5AF9" w:rsidRDefault="00B90DBE" w:rsidP="00B90DBE">
                  <w:pPr>
                    <w:keepNext w:val="0"/>
                    <w:spacing w:before="0"/>
                    <w:rPr>
                      <w:rFonts w:cs="Arial"/>
                      <w:b/>
                      <w:bCs/>
                      <w:color w:val="005CA9"/>
                      <w:sz w:val="22"/>
                      <w:szCs w:val="22"/>
                    </w:rPr>
                  </w:pPr>
                  <w:r w:rsidRPr="005F5AF9">
                    <w:rPr>
                      <w:rFonts w:cs="Arial"/>
                      <w:b/>
                      <w:bCs/>
                      <w:color w:val="005CA9"/>
                      <w:sz w:val="22"/>
                      <w:szCs w:val="22"/>
                    </w:rPr>
                    <w:t xml:space="preserve">Radford's Farm, </w:t>
                  </w:r>
                  <w:proofErr w:type="spellStart"/>
                  <w:r w:rsidRPr="005F5AF9">
                    <w:rPr>
                      <w:rFonts w:cs="Arial"/>
                      <w:b/>
                      <w:bCs/>
                      <w:color w:val="005CA9"/>
                      <w:sz w:val="22"/>
                      <w:szCs w:val="22"/>
                    </w:rPr>
                    <w:t>Dawgates</w:t>
                  </w:r>
                  <w:proofErr w:type="spellEnd"/>
                  <w:r w:rsidRPr="005F5AF9">
                    <w:rPr>
                      <w:rFonts w:cs="Arial"/>
                      <w:b/>
                      <w:bCs/>
                      <w:color w:val="005CA9"/>
                      <w:sz w:val="22"/>
                      <w:szCs w:val="22"/>
                    </w:rPr>
                    <w:t xml:space="preserve"> Lane, Skegby</w:t>
                  </w:r>
                </w:p>
              </w:tc>
              <w:tc>
                <w:tcPr>
                  <w:tcW w:w="1293" w:type="dxa"/>
                  <w:tcBorders>
                    <w:top w:val="nil"/>
                    <w:left w:val="nil"/>
                    <w:bottom w:val="single" w:sz="4" w:space="0" w:color="auto"/>
                    <w:right w:val="single" w:sz="4" w:space="0" w:color="auto"/>
                  </w:tcBorders>
                  <w:noWrap/>
                  <w:hideMark/>
                </w:tcPr>
                <w:p w14:paraId="2983C580"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G</w:t>
                  </w:r>
                </w:p>
              </w:tc>
              <w:tc>
                <w:tcPr>
                  <w:tcW w:w="1390" w:type="dxa"/>
                  <w:tcBorders>
                    <w:top w:val="nil"/>
                    <w:left w:val="nil"/>
                    <w:bottom w:val="single" w:sz="4" w:space="0" w:color="auto"/>
                    <w:right w:val="single" w:sz="4" w:space="0" w:color="auto"/>
                  </w:tcBorders>
                  <w:noWrap/>
                  <w:hideMark/>
                </w:tcPr>
                <w:p w14:paraId="3F3C870F"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No^</w:t>
                  </w:r>
                </w:p>
              </w:tc>
              <w:tc>
                <w:tcPr>
                  <w:tcW w:w="1580" w:type="dxa"/>
                  <w:tcBorders>
                    <w:top w:val="nil"/>
                    <w:left w:val="nil"/>
                    <w:bottom w:val="single" w:sz="4" w:space="0" w:color="auto"/>
                    <w:right w:val="single" w:sz="4" w:space="0" w:color="auto"/>
                  </w:tcBorders>
                  <w:noWrap/>
                  <w:hideMark/>
                </w:tcPr>
                <w:p w14:paraId="10160FD6" w14:textId="77777777" w:rsidR="00B90DBE" w:rsidRPr="005F5AF9" w:rsidRDefault="00B90DBE" w:rsidP="00B90DBE">
                  <w:pPr>
                    <w:keepNext w:val="0"/>
                    <w:spacing w:before="0"/>
                    <w:jc w:val="right"/>
                    <w:rPr>
                      <w:rFonts w:cs="Arial"/>
                      <w:b/>
                      <w:bCs/>
                      <w:color w:val="005CA9"/>
                      <w:sz w:val="22"/>
                      <w:szCs w:val="22"/>
                    </w:rPr>
                  </w:pPr>
                  <w:r w:rsidRPr="005F5AF9">
                    <w:rPr>
                      <w:rFonts w:cs="Arial"/>
                      <w:b/>
                      <w:bCs/>
                      <w:color w:val="005CA9"/>
                      <w:sz w:val="22"/>
                      <w:szCs w:val="22"/>
                    </w:rPr>
                    <w:t>90</w:t>
                  </w:r>
                </w:p>
              </w:tc>
              <w:tc>
                <w:tcPr>
                  <w:tcW w:w="1900" w:type="dxa"/>
                  <w:tcBorders>
                    <w:top w:val="nil"/>
                    <w:left w:val="nil"/>
                    <w:bottom w:val="single" w:sz="4" w:space="0" w:color="auto"/>
                    <w:right w:val="single" w:sz="4" w:space="0" w:color="auto"/>
                  </w:tcBorders>
                  <w:noWrap/>
                  <w:hideMark/>
                </w:tcPr>
                <w:p w14:paraId="396A3FDD" w14:textId="77777777" w:rsidR="00B90DBE" w:rsidRPr="005F5AF9" w:rsidRDefault="00B90DBE" w:rsidP="00B90DBE">
                  <w:pPr>
                    <w:keepNext w:val="0"/>
                    <w:spacing w:before="0"/>
                    <w:jc w:val="center"/>
                    <w:rPr>
                      <w:rFonts w:cs="Arial"/>
                      <w:b/>
                      <w:bCs/>
                      <w:color w:val="005CA9"/>
                      <w:sz w:val="22"/>
                      <w:szCs w:val="22"/>
                    </w:rPr>
                  </w:pPr>
                  <w:r w:rsidRPr="005F5AF9">
                    <w:rPr>
                      <w:rFonts w:cs="Arial"/>
                      <w:b/>
                      <w:bCs/>
                      <w:color w:val="005CA9"/>
                      <w:sz w:val="22"/>
                      <w:szCs w:val="22"/>
                    </w:rPr>
                    <w:t>NS</w:t>
                  </w:r>
                </w:p>
              </w:tc>
            </w:tr>
            <w:tr w:rsidR="00B90DBE" w:rsidRPr="00B90DBE" w14:paraId="31C2EF2C" w14:textId="77777777" w:rsidTr="00B90DBE">
              <w:trPr>
                <w:trHeight w:val="310"/>
              </w:trPr>
              <w:tc>
                <w:tcPr>
                  <w:tcW w:w="962" w:type="dxa"/>
                  <w:tcBorders>
                    <w:top w:val="nil"/>
                    <w:left w:val="single" w:sz="4" w:space="0" w:color="auto"/>
                    <w:bottom w:val="single" w:sz="4" w:space="0" w:color="auto"/>
                    <w:right w:val="single" w:sz="4" w:space="0" w:color="auto"/>
                  </w:tcBorders>
                  <w:noWrap/>
                  <w:hideMark/>
                </w:tcPr>
                <w:p w14:paraId="4F9239B1" w14:textId="77777777" w:rsidR="00B90DBE" w:rsidRPr="00B90DBE" w:rsidRDefault="00B90DBE" w:rsidP="00B90DBE">
                  <w:pPr>
                    <w:keepNext w:val="0"/>
                    <w:spacing w:before="0"/>
                    <w:rPr>
                      <w:rFonts w:ascii="Aptos" w:hAnsi="Aptos" w:cs="Arial"/>
                      <w:color w:val="0070C0"/>
                      <w:sz w:val="22"/>
                      <w:szCs w:val="22"/>
                    </w:rPr>
                  </w:pPr>
                  <w:r w:rsidRPr="00B90DBE">
                    <w:rPr>
                      <w:rFonts w:ascii="Aptos" w:hAnsi="Aptos" w:cs="Arial"/>
                      <w:color w:val="0070C0"/>
                      <w:sz w:val="22"/>
                      <w:szCs w:val="22"/>
                    </w:rPr>
                    <w:t> </w:t>
                  </w:r>
                </w:p>
              </w:tc>
              <w:tc>
                <w:tcPr>
                  <w:tcW w:w="2324" w:type="dxa"/>
                  <w:tcBorders>
                    <w:top w:val="nil"/>
                    <w:left w:val="nil"/>
                    <w:bottom w:val="single" w:sz="4" w:space="0" w:color="auto"/>
                    <w:right w:val="single" w:sz="4" w:space="0" w:color="auto"/>
                  </w:tcBorders>
                  <w:hideMark/>
                </w:tcPr>
                <w:p w14:paraId="37BC0960" w14:textId="77777777" w:rsidR="00B90DBE" w:rsidRPr="00B90DBE" w:rsidRDefault="00B90DBE" w:rsidP="00B90DBE">
                  <w:pPr>
                    <w:keepNext w:val="0"/>
                    <w:spacing w:before="0"/>
                    <w:rPr>
                      <w:rFonts w:ascii="Aptos" w:hAnsi="Aptos" w:cs="Arial"/>
                      <w:color w:val="0070C0"/>
                      <w:sz w:val="22"/>
                      <w:szCs w:val="22"/>
                    </w:rPr>
                  </w:pPr>
                  <w:r w:rsidRPr="00B90DBE">
                    <w:rPr>
                      <w:rFonts w:ascii="Aptos" w:hAnsi="Aptos" w:cs="Arial"/>
                      <w:color w:val="0070C0"/>
                      <w:sz w:val="22"/>
                      <w:szCs w:val="22"/>
                    </w:rPr>
                    <w:t> </w:t>
                  </w:r>
                </w:p>
              </w:tc>
              <w:tc>
                <w:tcPr>
                  <w:tcW w:w="1293" w:type="dxa"/>
                  <w:tcBorders>
                    <w:top w:val="nil"/>
                    <w:left w:val="nil"/>
                    <w:bottom w:val="single" w:sz="4" w:space="0" w:color="auto"/>
                    <w:right w:val="single" w:sz="4" w:space="0" w:color="auto"/>
                  </w:tcBorders>
                  <w:noWrap/>
                  <w:vAlign w:val="center"/>
                  <w:hideMark/>
                </w:tcPr>
                <w:p w14:paraId="43C08C0E" w14:textId="77777777" w:rsidR="00B90DBE" w:rsidRPr="00B90DBE" w:rsidRDefault="00B90DBE" w:rsidP="00B90DBE">
                  <w:pPr>
                    <w:keepNext w:val="0"/>
                    <w:spacing w:before="0"/>
                    <w:jc w:val="both"/>
                    <w:rPr>
                      <w:rFonts w:cs="Arial"/>
                      <w:color w:val="0070C0"/>
                      <w:sz w:val="22"/>
                      <w:szCs w:val="22"/>
                    </w:rPr>
                  </w:pPr>
                  <w:r w:rsidRPr="00B90DBE">
                    <w:rPr>
                      <w:rFonts w:cs="Arial"/>
                      <w:color w:val="0070C0"/>
                      <w:sz w:val="22"/>
                      <w:szCs w:val="22"/>
                    </w:rPr>
                    <w:t> </w:t>
                  </w:r>
                </w:p>
              </w:tc>
              <w:tc>
                <w:tcPr>
                  <w:tcW w:w="1390" w:type="dxa"/>
                  <w:tcBorders>
                    <w:top w:val="nil"/>
                    <w:left w:val="nil"/>
                    <w:bottom w:val="single" w:sz="4" w:space="0" w:color="auto"/>
                    <w:right w:val="single" w:sz="4" w:space="0" w:color="auto"/>
                  </w:tcBorders>
                  <w:noWrap/>
                  <w:vAlign w:val="center"/>
                  <w:hideMark/>
                </w:tcPr>
                <w:p w14:paraId="4CC9C94E" w14:textId="77777777" w:rsidR="00B90DBE" w:rsidRPr="00B90DBE" w:rsidRDefault="00B90DBE" w:rsidP="00B90DBE">
                  <w:pPr>
                    <w:keepNext w:val="0"/>
                    <w:spacing w:before="0"/>
                    <w:jc w:val="center"/>
                    <w:rPr>
                      <w:rFonts w:cs="Arial"/>
                      <w:color w:val="0070C0"/>
                      <w:sz w:val="22"/>
                      <w:szCs w:val="22"/>
                    </w:rPr>
                  </w:pPr>
                  <w:r w:rsidRPr="00B90DBE">
                    <w:rPr>
                      <w:rFonts w:cs="Arial"/>
                      <w:color w:val="0070C0"/>
                      <w:sz w:val="22"/>
                      <w:szCs w:val="22"/>
                    </w:rPr>
                    <w:t> </w:t>
                  </w:r>
                </w:p>
              </w:tc>
              <w:tc>
                <w:tcPr>
                  <w:tcW w:w="1580" w:type="dxa"/>
                  <w:tcBorders>
                    <w:top w:val="nil"/>
                    <w:left w:val="nil"/>
                    <w:bottom w:val="single" w:sz="4" w:space="0" w:color="auto"/>
                    <w:right w:val="single" w:sz="4" w:space="0" w:color="auto"/>
                  </w:tcBorders>
                  <w:noWrap/>
                  <w:vAlign w:val="center"/>
                  <w:hideMark/>
                </w:tcPr>
                <w:p w14:paraId="743C9577" w14:textId="77777777" w:rsidR="00B90DBE" w:rsidRPr="005F5AF9" w:rsidRDefault="00B90DBE" w:rsidP="00B90DBE">
                  <w:pPr>
                    <w:keepNext w:val="0"/>
                    <w:spacing w:before="0"/>
                    <w:jc w:val="right"/>
                    <w:rPr>
                      <w:rFonts w:cs="Arial"/>
                      <w:b/>
                      <w:bCs/>
                      <w:color w:val="005CA9"/>
                      <w:sz w:val="22"/>
                      <w:szCs w:val="22"/>
                    </w:rPr>
                  </w:pPr>
                  <w:r w:rsidRPr="005F5AF9">
                    <w:rPr>
                      <w:rFonts w:cs="Arial"/>
                      <w:b/>
                      <w:bCs/>
                      <w:color w:val="005CA9"/>
                      <w:sz w:val="22"/>
                      <w:szCs w:val="22"/>
                    </w:rPr>
                    <w:t>4012</w:t>
                  </w:r>
                </w:p>
              </w:tc>
              <w:tc>
                <w:tcPr>
                  <w:tcW w:w="1900" w:type="dxa"/>
                  <w:tcBorders>
                    <w:top w:val="nil"/>
                    <w:left w:val="nil"/>
                    <w:bottom w:val="single" w:sz="4" w:space="0" w:color="auto"/>
                    <w:right w:val="single" w:sz="4" w:space="0" w:color="auto"/>
                  </w:tcBorders>
                  <w:noWrap/>
                  <w:vAlign w:val="center"/>
                  <w:hideMark/>
                </w:tcPr>
                <w:p w14:paraId="533EF828" w14:textId="77777777" w:rsidR="00B90DBE" w:rsidRPr="00B90DBE" w:rsidRDefault="00B90DBE" w:rsidP="00B90DBE">
                  <w:pPr>
                    <w:keepNext w:val="0"/>
                    <w:spacing w:before="0"/>
                    <w:jc w:val="center"/>
                    <w:rPr>
                      <w:rFonts w:cs="Arial"/>
                      <w:b/>
                      <w:bCs/>
                      <w:color w:val="0070C0"/>
                      <w:sz w:val="22"/>
                      <w:szCs w:val="22"/>
                    </w:rPr>
                  </w:pPr>
                  <w:r w:rsidRPr="00B90DBE">
                    <w:rPr>
                      <w:rFonts w:cs="Arial"/>
                      <w:b/>
                      <w:bCs/>
                      <w:color w:val="0070C0"/>
                      <w:sz w:val="22"/>
                      <w:szCs w:val="22"/>
                    </w:rPr>
                    <w:t> </w:t>
                  </w:r>
                </w:p>
              </w:tc>
            </w:tr>
          </w:tbl>
          <w:p w14:paraId="2AAA22DA" w14:textId="77777777" w:rsidR="001770A9" w:rsidRPr="003736C4" w:rsidRDefault="001770A9" w:rsidP="008B5F49">
            <w:pPr>
              <w:pStyle w:val="Policy"/>
              <w:spacing w:after="0" w:line="240" w:lineRule="auto"/>
              <w:ind w:left="306" w:right="284" w:firstLine="141"/>
              <w:rPr>
                <w:rStyle w:val="Normal1"/>
                <w:rFonts w:cs="Arial"/>
                <w:bCs/>
                <w:highlight w:val="yellow"/>
                <w:u w:val="single"/>
              </w:rPr>
            </w:pPr>
          </w:p>
          <w:p w14:paraId="33FBB9D7" w14:textId="77777777" w:rsidR="001770A9" w:rsidRPr="003736C4" w:rsidRDefault="001770A9" w:rsidP="008B5F49">
            <w:pPr>
              <w:pStyle w:val="Policy"/>
              <w:spacing w:after="0" w:line="240" w:lineRule="auto"/>
              <w:ind w:left="306" w:right="284" w:firstLine="141"/>
              <w:rPr>
                <w:rStyle w:val="Normal1"/>
                <w:rFonts w:cs="Arial"/>
                <w:bCs/>
                <w:highlight w:val="yellow"/>
                <w:u w:val="single"/>
              </w:rPr>
            </w:pPr>
          </w:p>
          <w:p w14:paraId="2CD43D6E" w14:textId="52EC0BAF" w:rsidR="003C7E62" w:rsidRPr="00FF5D55" w:rsidRDefault="003C7E62" w:rsidP="008B5F49">
            <w:pPr>
              <w:pStyle w:val="Policy"/>
              <w:spacing w:after="0" w:line="240" w:lineRule="auto"/>
              <w:ind w:left="306" w:right="284" w:firstLine="141"/>
              <w:rPr>
                <w:rStyle w:val="Normal1"/>
                <w:rFonts w:cs="Arial"/>
                <w:bCs/>
                <w:u w:val="single"/>
              </w:rPr>
            </w:pPr>
            <w:proofErr w:type="spellStart"/>
            <w:r w:rsidRPr="00FF5D55">
              <w:rPr>
                <w:rStyle w:val="Normal1"/>
                <w:rFonts w:cs="Arial"/>
                <w:bCs/>
                <w:u w:val="single"/>
              </w:rPr>
              <w:t>Selston</w:t>
            </w:r>
            <w:proofErr w:type="spellEnd"/>
            <w:r w:rsidRPr="00FF5D55">
              <w:rPr>
                <w:rStyle w:val="Normal1"/>
                <w:rFonts w:cs="Arial"/>
                <w:bCs/>
                <w:u w:val="single"/>
              </w:rPr>
              <w:t xml:space="preserve"> </w:t>
            </w:r>
            <w:proofErr w:type="spellStart"/>
            <w:r w:rsidR="003B0537" w:rsidRPr="00FF5D55">
              <w:rPr>
                <w:rStyle w:val="Normal1"/>
                <w:rFonts w:cs="Arial"/>
                <w:bCs/>
                <w:u w:val="single"/>
              </w:rPr>
              <w:t>J</w:t>
            </w:r>
            <w:r w:rsidR="003B0537" w:rsidRPr="00FF5D55">
              <w:rPr>
                <w:rStyle w:val="Normal1"/>
                <w:bCs/>
                <w:u w:val="single"/>
              </w:rPr>
              <w:t>acksdale</w:t>
            </w:r>
            <w:proofErr w:type="spellEnd"/>
            <w:r w:rsidR="003B0537" w:rsidRPr="00FF5D55">
              <w:rPr>
                <w:rStyle w:val="Normal1"/>
                <w:bCs/>
                <w:u w:val="single"/>
              </w:rPr>
              <w:t xml:space="preserve"> and Underwood </w:t>
            </w:r>
            <w:r w:rsidRPr="00FF5D55">
              <w:rPr>
                <w:rStyle w:val="Normal1"/>
                <w:rFonts w:cs="Arial"/>
                <w:bCs/>
                <w:u w:val="single"/>
              </w:rPr>
              <w:t>Area</w:t>
            </w:r>
          </w:p>
          <w:p w14:paraId="5838EE3C" w14:textId="77777777" w:rsidR="00BA5209" w:rsidRPr="003736C4" w:rsidRDefault="00BA5209" w:rsidP="008B5F49">
            <w:pPr>
              <w:pStyle w:val="Policy"/>
              <w:spacing w:after="0" w:line="240" w:lineRule="auto"/>
              <w:ind w:left="0" w:right="284"/>
              <w:rPr>
                <w:rStyle w:val="Heading10"/>
                <w:rFonts w:cs="Arial"/>
                <w:color w:val="auto"/>
                <w:highlight w:val="yellow"/>
              </w:rPr>
            </w:pPr>
          </w:p>
          <w:tbl>
            <w:tblPr>
              <w:tblW w:w="8700" w:type="dxa"/>
              <w:jc w:val="center"/>
              <w:tblLook w:val="04A0" w:firstRow="1" w:lastRow="0" w:firstColumn="1" w:lastColumn="0" w:noHBand="0" w:noVBand="1"/>
            </w:tblPr>
            <w:tblGrid>
              <w:gridCol w:w="767"/>
              <w:gridCol w:w="3569"/>
              <w:gridCol w:w="1460"/>
              <w:gridCol w:w="1600"/>
              <w:gridCol w:w="1304"/>
            </w:tblGrid>
            <w:tr w:rsidR="006E25C7" w:rsidRPr="00C44B0C" w14:paraId="34E384EE" w14:textId="77777777" w:rsidTr="00BA5209">
              <w:trPr>
                <w:trHeight w:val="840"/>
                <w:jc w:val="center"/>
              </w:trPr>
              <w:tc>
                <w:tcPr>
                  <w:tcW w:w="760" w:type="dxa"/>
                  <w:tcBorders>
                    <w:top w:val="single" w:sz="4" w:space="0" w:color="auto"/>
                    <w:left w:val="single" w:sz="4" w:space="0" w:color="auto"/>
                    <w:bottom w:val="single" w:sz="4" w:space="0" w:color="auto"/>
                    <w:right w:val="single" w:sz="4" w:space="0" w:color="auto"/>
                  </w:tcBorders>
                  <w:shd w:val="clear" w:color="000000" w:fill="D9D9D9"/>
                  <w:hideMark/>
                </w:tcPr>
                <w:p w14:paraId="32C4B534"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Site Ref.</w:t>
                  </w:r>
                </w:p>
              </w:tc>
              <w:tc>
                <w:tcPr>
                  <w:tcW w:w="3660" w:type="dxa"/>
                  <w:tcBorders>
                    <w:top w:val="single" w:sz="4" w:space="0" w:color="auto"/>
                    <w:left w:val="nil"/>
                    <w:bottom w:val="single" w:sz="4" w:space="0" w:color="auto"/>
                    <w:right w:val="single" w:sz="4" w:space="0" w:color="auto"/>
                  </w:tcBorders>
                  <w:shd w:val="clear" w:color="000000" w:fill="D9D9D9"/>
                  <w:hideMark/>
                </w:tcPr>
                <w:p w14:paraId="3F686368"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Site Name</w:t>
                  </w:r>
                </w:p>
              </w:tc>
              <w:tc>
                <w:tcPr>
                  <w:tcW w:w="1460" w:type="dxa"/>
                  <w:tcBorders>
                    <w:top w:val="single" w:sz="4" w:space="0" w:color="auto"/>
                    <w:left w:val="nil"/>
                    <w:bottom w:val="single" w:sz="4" w:space="0" w:color="auto"/>
                    <w:right w:val="single" w:sz="4" w:space="0" w:color="auto"/>
                  </w:tcBorders>
                  <w:shd w:val="clear" w:color="000000" w:fill="D9D9D9"/>
                  <w:hideMark/>
                </w:tcPr>
                <w:p w14:paraId="22BA6C9E"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Greenfield/ Brownfield</w:t>
                  </w:r>
                </w:p>
              </w:tc>
              <w:tc>
                <w:tcPr>
                  <w:tcW w:w="1600" w:type="dxa"/>
                  <w:tcBorders>
                    <w:top w:val="single" w:sz="4" w:space="0" w:color="auto"/>
                    <w:left w:val="nil"/>
                    <w:bottom w:val="single" w:sz="4" w:space="0" w:color="auto"/>
                    <w:right w:val="single" w:sz="4" w:space="0" w:color="auto"/>
                  </w:tcBorders>
                  <w:shd w:val="clear" w:color="000000" w:fill="D9D9D9"/>
                  <w:hideMark/>
                </w:tcPr>
                <w:p w14:paraId="64E5A916"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Planning Permission*</w:t>
                  </w:r>
                </w:p>
              </w:tc>
              <w:tc>
                <w:tcPr>
                  <w:tcW w:w="1220" w:type="dxa"/>
                  <w:tcBorders>
                    <w:top w:val="single" w:sz="4" w:space="0" w:color="auto"/>
                    <w:left w:val="nil"/>
                    <w:bottom w:val="single" w:sz="4" w:space="0" w:color="auto"/>
                    <w:right w:val="single" w:sz="4" w:space="0" w:color="auto"/>
                  </w:tcBorders>
                  <w:shd w:val="clear" w:color="000000" w:fill="D9D9D9"/>
                  <w:hideMark/>
                </w:tcPr>
                <w:p w14:paraId="599499F7"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Potential Yield (Dwellings)</w:t>
                  </w:r>
                </w:p>
              </w:tc>
            </w:tr>
            <w:tr w:rsidR="006E25C7" w:rsidRPr="00C44B0C" w14:paraId="4BD5BE6B"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176F5D07"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H1Va</w:t>
                  </w:r>
                </w:p>
              </w:tc>
              <w:tc>
                <w:tcPr>
                  <w:tcW w:w="3660" w:type="dxa"/>
                  <w:tcBorders>
                    <w:top w:val="nil"/>
                    <w:left w:val="nil"/>
                    <w:bottom w:val="single" w:sz="4" w:space="0" w:color="auto"/>
                    <w:right w:val="single" w:sz="4" w:space="0" w:color="auto"/>
                  </w:tcBorders>
                  <w:hideMark/>
                </w:tcPr>
                <w:p w14:paraId="2650A2B9"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 xml:space="preserve">Land at </w:t>
                  </w:r>
                  <w:proofErr w:type="spellStart"/>
                  <w:r w:rsidRPr="00C44B0C">
                    <w:rPr>
                      <w:rFonts w:cs="Arial"/>
                      <w:strike/>
                      <w:color w:val="auto"/>
                      <w:sz w:val="22"/>
                      <w:szCs w:val="22"/>
                    </w:rPr>
                    <w:t>Plainspot</w:t>
                  </w:r>
                  <w:proofErr w:type="spellEnd"/>
                  <w:r w:rsidRPr="00C44B0C">
                    <w:rPr>
                      <w:rFonts w:cs="Arial"/>
                      <w:strike/>
                      <w:color w:val="auto"/>
                      <w:sz w:val="22"/>
                      <w:szCs w:val="22"/>
                    </w:rPr>
                    <w:t xml:space="preserve"> Farm, New Brinsley, Underwood</w:t>
                  </w:r>
                </w:p>
              </w:tc>
              <w:tc>
                <w:tcPr>
                  <w:tcW w:w="1460" w:type="dxa"/>
                  <w:tcBorders>
                    <w:top w:val="nil"/>
                    <w:left w:val="nil"/>
                    <w:bottom w:val="single" w:sz="4" w:space="0" w:color="auto"/>
                    <w:right w:val="single" w:sz="4" w:space="0" w:color="auto"/>
                  </w:tcBorders>
                  <w:noWrap/>
                  <w:hideMark/>
                </w:tcPr>
                <w:p w14:paraId="7E7F4A20"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744BB34B"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172A4640" w14:textId="77777777" w:rsidR="00BA5209" w:rsidRPr="00C44B0C" w:rsidRDefault="00BA5209" w:rsidP="00BA5209">
                  <w:pPr>
                    <w:keepNext w:val="0"/>
                    <w:spacing w:before="0"/>
                    <w:jc w:val="right"/>
                    <w:rPr>
                      <w:rFonts w:cs="Arial"/>
                      <w:strike/>
                      <w:color w:val="auto"/>
                      <w:sz w:val="22"/>
                      <w:szCs w:val="22"/>
                    </w:rPr>
                  </w:pPr>
                  <w:r w:rsidRPr="00C44B0C">
                    <w:rPr>
                      <w:rFonts w:cs="Arial"/>
                      <w:strike/>
                      <w:color w:val="auto"/>
                      <w:sz w:val="22"/>
                      <w:szCs w:val="22"/>
                    </w:rPr>
                    <w:t>42</w:t>
                  </w:r>
                </w:p>
              </w:tc>
            </w:tr>
            <w:tr w:rsidR="006E25C7" w:rsidRPr="00C44B0C" w14:paraId="74943E25"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61F6FF69"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H1Vb</w:t>
                  </w:r>
                </w:p>
              </w:tc>
              <w:tc>
                <w:tcPr>
                  <w:tcW w:w="3660" w:type="dxa"/>
                  <w:tcBorders>
                    <w:top w:val="nil"/>
                    <w:left w:val="nil"/>
                    <w:bottom w:val="single" w:sz="4" w:space="0" w:color="auto"/>
                    <w:right w:val="single" w:sz="4" w:space="0" w:color="auto"/>
                  </w:tcBorders>
                  <w:hideMark/>
                </w:tcPr>
                <w:p w14:paraId="5BB1589A"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 xml:space="preserve">Off </w:t>
                  </w:r>
                  <w:proofErr w:type="spellStart"/>
                  <w:r w:rsidRPr="00C44B0C">
                    <w:rPr>
                      <w:rFonts w:cs="Arial"/>
                      <w:strike/>
                      <w:color w:val="auto"/>
                      <w:sz w:val="22"/>
                      <w:szCs w:val="22"/>
                    </w:rPr>
                    <w:t>Westdale</w:t>
                  </w:r>
                  <w:proofErr w:type="spellEnd"/>
                  <w:r w:rsidRPr="00C44B0C">
                    <w:rPr>
                      <w:rFonts w:cs="Arial"/>
                      <w:strike/>
                      <w:color w:val="auto"/>
                      <w:sz w:val="22"/>
                      <w:szCs w:val="22"/>
                    </w:rPr>
                    <w:t xml:space="preserve"> Road, </w:t>
                  </w:r>
                  <w:proofErr w:type="spellStart"/>
                  <w:r w:rsidRPr="00C44B0C">
                    <w:rPr>
                      <w:rFonts w:cs="Arial"/>
                      <w:strike/>
                      <w:color w:val="auto"/>
                      <w:sz w:val="22"/>
                      <w:szCs w:val="22"/>
                    </w:rPr>
                    <w:t>Jacksdale</w:t>
                  </w:r>
                  <w:proofErr w:type="spellEnd"/>
                </w:p>
              </w:tc>
              <w:tc>
                <w:tcPr>
                  <w:tcW w:w="1460" w:type="dxa"/>
                  <w:tcBorders>
                    <w:top w:val="nil"/>
                    <w:left w:val="nil"/>
                    <w:bottom w:val="single" w:sz="4" w:space="0" w:color="auto"/>
                    <w:right w:val="single" w:sz="4" w:space="0" w:color="auto"/>
                  </w:tcBorders>
                  <w:noWrap/>
                  <w:hideMark/>
                </w:tcPr>
                <w:p w14:paraId="3DA0F6A5"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6322E497"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4CA86E17" w14:textId="77777777" w:rsidR="00BA5209" w:rsidRPr="00C44B0C" w:rsidRDefault="00BA5209" w:rsidP="00BA5209">
                  <w:pPr>
                    <w:keepNext w:val="0"/>
                    <w:spacing w:before="0"/>
                    <w:jc w:val="right"/>
                    <w:rPr>
                      <w:rFonts w:cs="Arial"/>
                      <w:strike/>
                      <w:color w:val="auto"/>
                      <w:sz w:val="22"/>
                      <w:szCs w:val="22"/>
                    </w:rPr>
                  </w:pPr>
                  <w:r w:rsidRPr="00C44B0C">
                    <w:rPr>
                      <w:rFonts w:cs="Arial"/>
                      <w:strike/>
                      <w:color w:val="auto"/>
                      <w:sz w:val="22"/>
                      <w:szCs w:val="22"/>
                    </w:rPr>
                    <w:t>49</w:t>
                  </w:r>
                </w:p>
              </w:tc>
            </w:tr>
            <w:tr w:rsidR="006E25C7" w:rsidRPr="00C44B0C" w14:paraId="3B4250E2"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762110D1"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H1Vc</w:t>
                  </w:r>
                </w:p>
              </w:tc>
              <w:tc>
                <w:tcPr>
                  <w:tcW w:w="3660" w:type="dxa"/>
                  <w:tcBorders>
                    <w:top w:val="nil"/>
                    <w:left w:val="nil"/>
                    <w:bottom w:val="single" w:sz="4" w:space="0" w:color="auto"/>
                    <w:right w:val="single" w:sz="4" w:space="0" w:color="auto"/>
                  </w:tcBorders>
                  <w:hideMark/>
                </w:tcPr>
                <w:p w14:paraId="6D8F1A09"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 xml:space="preserve">Land adj. Bull &amp; Butcher PH, </w:t>
                  </w:r>
                  <w:proofErr w:type="spellStart"/>
                  <w:r w:rsidRPr="00C44B0C">
                    <w:rPr>
                      <w:rFonts w:cs="Arial"/>
                      <w:strike/>
                      <w:color w:val="auto"/>
                      <w:sz w:val="22"/>
                      <w:szCs w:val="22"/>
                    </w:rPr>
                    <w:t>Selston</w:t>
                  </w:r>
                  <w:proofErr w:type="spellEnd"/>
                </w:p>
              </w:tc>
              <w:tc>
                <w:tcPr>
                  <w:tcW w:w="1460" w:type="dxa"/>
                  <w:tcBorders>
                    <w:top w:val="nil"/>
                    <w:left w:val="nil"/>
                    <w:bottom w:val="single" w:sz="4" w:space="0" w:color="auto"/>
                    <w:right w:val="single" w:sz="4" w:space="0" w:color="auto"/>
                  </w:tcBorders>
                  <w:noWrap/>
                  <w:hideMark/>
                </w:tcPr>
                <w:p w14:paraId="25E6ABB4"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1D55E98A"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03ED221C" w14:textId="77777777" w:rsidR="00BA5209" w:rsidRPr="00C44B0C" w:rsidRDefault="00BA5209" w:rsidP="00BA5209">
                  <w:pPr>
                    <w:keepNext w:val="0"/>
                    <w:spacing w:before="0"/>
                    <w:jc w:val="right"/>
                    <w:rPr>
                      <w:rFonts w:cs="Arial"/>
                      <w:strike/>
                      <w:color w:val="auto"/>
                      <w:sz w:val="22"/>
                      <w:szCs w:val="22"/>
                    </w:rPr>
                  </w:pPr>
                  <w:r w:rsidRPr="00C44B0C">
                    <w:rPr>
                      <w:rFonts w:cs="Arial"/>
                      <w:strike/>
                      <w:color w:val="auto"/>
                      <w:sz w:val="22"/>
                      <w:szCs w:val="22"/>
                    </w:rPr>
                    <w:t>149</w:t>
                  </w:r>
                </w:p>
              </w:tc>
            </w:tr>
            <w:tr w:rsidR="006E25C7" w:rsidRPr="00C44B0C" w14:paraId="3A36D300"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7A25B73A"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H1Vd</w:t>
                  </w:r>
                </w:p>
              </w:tc>
              <w:tc>
                <w:tcPr>
                  <w:tcW w:w="3660" w:type="dxa"/>
                  <w:tcBorders>
                    <w:top w:val="nil"/>
                    <w:left w:val="nil"/>
                    <w:bottom w:val="single" w:sz="4" w:space="0" w:color="auto"/>
                    <w:right w:val="single" w:sz="4" w:space="0" w:color="auto"/>
                  </w:tcBorders>
                  <w:hideMark/>
                </w:tcPr>
                <w:p w14:paraId="13F33711" w14:textId="77777777" w:rsidR="00BA5209" w:rsidRPr="00C44B0C" w:rsidRDefault="00BA5209" w:rsidP="00BA5209">
                  <w:pPr>
                    <w:keepNext w:val="0"/>
                    <w:spacing w:before="0"/>
                    <w:rPr>
                      <w:rFonts w:cs="Arial"/>
                      <w:strike/>
                      <w:color w:val="auto"/>
                      <w:sz w:val="22"/>
                      <w:szCs w:val="22"/>
                    </w:rPr>
                  </w:pPr>
                  <w:proofErr w:type="spellStart"/>
                  <w:r w:rsidRPr="00C44B0C">
                    <w:rPr>
                      <w:rFonts w:cs="Arial"/>
                      <w:strike/>
                      <w:color w:val="auto"/>
                      <w:sz w:val="22"/>
                      <w:szCs w:val="22"/>
                    </w:rPr>
                    <w:t>Adj</w:t>
                  </w:r>
                  <w:proofErr w:type="spellEnd"/>
                  <w:r w:rsidRPr="00C44B0C">
                    <w:rPr>
                      <w:rFonts w:cs="Arial"/>
                      <w:strike/>
                      <w:color w:val="auto"/>
                      <w:sz w:val="22"/>
                      <w:szCs w:val="22"/>
                    </w:rPr>
                    <w:t xml:space="preserve"> 149 Stoney Lane, </w:t>
                  </w:r>
                  <w:proofErr w:type="spellStart"/>
                  <w:r w:rsidRPr="00C44B0C">
                    <w:rPr>
                      <w:rFonts w:cs="Arial"/>
                      <w:strike/>
                      <w:color w:val="auto"/>
                      <w:sz w:val="22"/>
                      <w:szCs w:val="22"/>
                    </w:rPr>
                    <w:t>Selston</w:t>
                  </w:r>
                  <w:proofErr w:type="spellEnd"/>
                </w:p>
              </w:tc>
              <w:tc>
                <w:tcPr>
                  <w:tcW w:w="1460" w:type="dxa"/>
                  <w:tcBorders>
                    <w:top w:val="nil"/>
                    <w:left w:val="nil"/>
                    <w:bottom w:val="single" w:sz="4" w:space="0" w:color="auto"/>
                    <w:right w:val="single" w:sz="4" w:space="0" w:color="auto"/>
                  </w:tcBorders>
                  <w:noWrap/>
                  <w:hideMark/>
                </w:tcPr>
                <w:p w14:paraId="7494388D"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G/B</w:t>
                  </w:r>
                </w:p>
              </w:tc>
              <w:tc>
                <w:tcPr>
                  <w:tcW w:w="1600" w:type="dxa"/>
                  <w:tcBorders>
                    <w:top w:val="nil"/>
                    <w:left w:val="nil"/>
                    <w:bottom w:val="single" w:sz="4" w:space="0" w:color="auto"/>
                    <w:right w:val="single" w:sz="4" w:space="0" w:color="auto"/>
                  </w:tcBorders>
                  <w:noWrap/>
                  <w:hideMark/>
                </w:tcPr>
                <w:p w14:paraId="754A6DF5"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43695035" w14:textId="77777777" w:rsidR="00BA5209" w:rsidRPr="00C44B0C" w:rsidRDefault="00BA5209" w:rsidP="00BA5209">
                  <w:pPr>
                    <w:keepNext w:val="0"/>
                    <w:spacing w:before="0"/>
                    <w:jc w:val="right"/>
                    <w:rPr>
                      <w:rFonts w:cs="Arial"/>
                      <w:strike/>
                      <w:color w:val="auto"/>
                      <w:sz w:val="22"/>
                      <w:szCs w:val="22"/>
                    </w:rPr>
                  </w:pPr>
                  <w:r w:rsidRPr="00C44B0C">
                    <w:rPr>
                      <w:rFonts w:cs="Arial"/>
                      <w:strike/>
                      <w:color w:val="auto"/>
                      <w:sz w:val="22"/>
                      <w:szCs w:val="22"/>
                    </w:rPr>
                    <w:t>6</w:t>
                  </w:r>
                </w:p>
              </w:tc>
            </w:tr>
            <w:tr w:rsidR="006E25C7" w:rsidRPr="00C44B0C" w14:paraId="73E8DCE8"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6449875B"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lastRenderedPageBreak/>
                    <w:t>H1Ve</w:t>
                  </w:r>
                </w:p>
              </w:tc>
              <w:tc>
                <w:tcPr>
                  <w:tcW w:w="3660" w:type="dxa"/>
                  <w:tcBorders>
                    <w:top w:val="nil"/>
                    <w:left w:val="nil"/>
                    <w:bottom w:val="single" w:sz="4" w:space="0" w:color="auto"/>
                    <w:right w:val="single" w:sz="4" w:space="0" w:color="auto"/>
                  </w:tcBorders>
                  <w:hideMark/>
                </w:tcPr>
                <w:p w14:paraId="73DA9E86"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 xml:space="preserve">Land off Park Lane/ </w:t>
                  </w:r>
                  <w:proofErr w:type="gramStart"/>
                  <w:r w:rsidRPr="00C44B0C">
                    <w:rPr>
                      <w:rFonts w:cs="Arial"/>
                      <w:strike/>
                      <w:color w:val="auto"/>
                      <w:sz w:val="22"/>
                      <w:szCs w:val="22"/>
                    </w:rPr>
                    <w:t>South West</w:t>
                  </w:r>
                  <w:proofErr w:type="gramEnd"/>
                  <w:r w:rsidRPr="00C44B0C">
                    <w:rPr>
                      <w:rFonts w:cs="Arial"/>
                      <w:strike/>
                      <w:color w:val="auto"/>
                      <w:sz w:val="22"/>
                      <w:szCs w:val="22"/>
                    </w:rPr>
                    <w:t xml:space="preserve"> M1, </w:t>
                  </w:r>
                  <w:proofErr w:type="spellStart"/>
                  <w:r w:rsidRPr="00C44B0C">
                    <w:rPr>
                      <w:rFonts w:cs="Arial"/>
                      <w:strike/>
                      <w:color w:val="auto"/>
                      <w:sz w:val="22"/>
                      <w:szCs w:val="22"/>
                    </w:rPr>
                    <w:t>Selston</w:t>
                  </w:r>
                  <w:proofErr w:type="spellEnd"/>
                </w:p>
              </w:tc>
              <w:tc>
                <w:tcPr>
                  <w:tcW w:w="1460" w:type="dxa"/>
                  <w:tcBorders>
                    <w:top w:val="nil"/>
                    <w:left w:val="nil"/>
                    <w:bottom w:val="single" w:sz="4" w:space="0" w:color="auto"/>
                    <w:right w:val="single" w:sz="4" w:space="0" w:color="auto"/>
                  </w:tcBorders>
                  <w:noWrap/>
                  <w:hideMark/>
                </w:tcPr>
                <w:p w14:paraId="25006D2C"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1C68F971"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02363055" w14:textId="77777777" w:rsidR="00BA5209" w:rsidRPr="00C44B0C" w:rsidRDefault="00BA5209" w:rsidP="00BA5209">
                  <w:pPr>
                    <w:keepNext w:val="0"/>
                    <w:spacing w:before="0"/>
                    <w:jc w:val="right"/>
                    <w:rPr>
                      <w:rFonts w:cs="Arial"/>
                      <w:strike/>
                      <w:color w:val="auto"/>
                      <w:sz w:val="22"/>
                      <w:szCs w:val="22"/>
                    </w:rPr>
                  </w:pPr>
                  <w:r w:rsidRPr="00C44B0C">
                    <w:rPr>
                      <w:rFonts w:cs="Arial"/>
                      <w:strike/>
                      <w:color w:val="auto"/>
                      <w:sz w:val="22"/>
                      <w:szCs w:val="22"/>
                    </w:rPr>
                    <w:t>169</w:t>
                  </w:r>
                </w:p>
              </w:tc>
            </w:tr>
            <w:tr w:rsidR="006E25C7" w:rsidRPr="00C44B0C" w14:paraId="22EA77AE" w14:textId="77777777" w:rsidTr="00B94708">
              <w:trPr>
                <w:trHeight w:val="560"/>
                <w:jc w:val="center"/>
              </w:trPr>
              <w:tc>
                <w:tcPr>
                  <w:tcW w:w="760" w:type="dxa"/>
                  <w:tcBorders>
                    <w:top w:val="nil"/>
                    <w:left w:val="single" w:sz="4" w:space="0" w:color="auto"/>
                    <w:bottom w:val="single" w:sz="4" w:space="0" w:color="auto"/>
                    <w:right w:val="single" w:sz="4" w:space="0" w:color="auto"/>
                  </w:tcBorders>
                  <w:noWrap/>
                  <w:hideMark/>
                </w:tcPr>
                <w:p w14:paraId="476F9AAF"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H1Vg</w:t>
                  </w:r>
                </w:p>
              </w:tc>
              <w:tc>
                <w:tcPr>
                  <w:tcW w:w="3660" w:type="dxa"/>
                  <w:tcBorders>
                    <w:top w:val="nil"/>
                    <w:left w:val="nil"/>
                    <w:bottom w:val="single" w:sz="4" w:space="0" w:color="auto"/>
                    <w:right w:val="single" w:sz="4" w:space="0" w:color="auto"/>
                  </w:tcBorders>
                  <w:hideMark/>
                </w:tcPr>
                <w:p w14:paraId="1F8DF36F"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Land North of Larch Close, Underwood</w:t>
                  </w:r>
                </w:p>
              </w:tc>
              <w:tc>
                <w:tcPr>
                  <w:tcW w:w="1460" w:type="dxa"/>
                  <w:tcBorders>
                    <w:top w:val="nil"/>
                    <w:left w:val="nil"/>
                    <w:bottom w:val="single" w:sz="4" w:space="0" w:color="auto"/>
                    <w:right w:val="single" w:sz="4" w:space="0" w:color="auto"/>
                  </w:tcBorders>
                  <w:noWrap/>
                  <w:hideMark/>
                </w:tcPr>
                <w:p w14:paraId="23C0A438"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G/B</w:t>
                  </w:r>
                </w:p>
              </w:tc>
              <w:tc>
                <w:tcPr>
                  <w:tcW w:w="1600" w:type="dxa"/>
                  <w:tcBorders>
                    <w:top w:val="nil"/>
                    <w:left w:val="nil"/>
                    <w:bottom w:val="single" w:sz="4" w:space="0" w:color="auto"/>
                    <w:right w:val="single" w:sz="4" w:space="0" w:color="auto"/>
                  </w:tcBorders>
                  <w:noWrap/>
                  <w:hideMark/>
                </w:tcPr>
                <w:p w14:paraId="3068C958"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3F00F602" w14:textId="77777777" w:rsidR="00BA5209" w:rsidRPr="00C44B0C" w:rsidRDefault="00BA5209" w:rsidP="00BA5209">
                  <w:pPr>
                    <w:keepNext w:val="0"/>
                    <w:spacing w:before="0"/>
                    <w:jc w:val="right"/>
                    <w:rPr>
                      <w:rFonts w:cs="Arial"/>
                      <w:strike/>
                      <w:color w:val="auto"/>
                      <w:sz w:val="22"/>
                      <w:szCs w:val="22"/>
                    </w:rPr>
                  </w:pPr>
                  <w:r w:rsidRPr="00C44B0C">
                    <w:rPr>
                      <w:rFonts w:cs="Arial"/>
                      <w:strike/>
                      <w:color w:val="auto"/>
                      <w:sz w:val="22"/>
                      <w:szCs w:val="22"/>
                    </w:rPr>
                    <w:t>52</w:t>
                  </w:r>
                </w:p>
              </w:tc>
            </w:tr>
            <w:tr w:rsidR="006E25C7" w:rsidRPr="00C44B0C" w14:paraId="59D3AFFD" w14:textId="77777777" w:rsidTr="00BA5209">
              <w:trPr>
                <w:trHeight w:val="560"/>
                <w:jc w:val="center"/>
              </w:trPr>
              <w:tc>
                <w:tcPr>
                  <w:tcW w:w="760" w:type="dxa"/>
                  <w:tcBorders>
                    <w:top w:val="nil"/>
                    <w:left w:val="single" w:sz="4" w:space="0" w:color="auto"/>
                    <w:bottom w:val="single" w:sz="4" w:space="0" w:color="auto"/>
                    <w:right w:val="single" w:sz="4" w:space="0" w:color="auto"/>
                  </w:tcBorders>
                  <w:noWrap/>
                  <w:hideMark/>
                </w:tcPr>
                <w:p w14:paraId="17FE1698"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H1Vh</w:t>
                  </w:r>
                </w:p>
              </w:tc>
              <w:tc>
                <w:tcPr>
                  <w:tcW w:w="3660" w:type="dxa"/>
                  <w:tcBorders>
                    <w:top w:val="nil"/>
                    <w:left w:val="nil"/>
                    <w:bottom w:val="single" w:sz="4" w:space="0" w:color="auto"/>
                    <w:right w:val="single" w:sz="4" w:space="0" w:color="auto"/>
                  </w:tcBorders>
                  <w:hideMark/>
                </w:tcPr>
                <w:p w14:paraId="09B58A88"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Rear of 64-82 Church Lane, Underwood</w:t>
                  </w:r>
                </w:p>
              </w:tc>
              <w:tc>
                <w:tcPr>
                  <w:tcW w:w="1460" w:type="dxa"/>
                  <w:tcBorders>
                    <w:top w:val="nil"/>
                    <w:left w:val="nil"/>
                    <w:bottom w:val="single" w:sz="4" w:space="0" w:color="auto"/>
                    <w:right w:val="single" w:sz="4" w:space="0" w:color="auto"/>
                  </w:tcBorders>
                  <w:noWrap/>
                  <w:hideMark/>
                </w:tcPr>
                <w:p w14:paraId="1490378F"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7BB02C9B"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30AC3756" w14:textId="77777777" w:rsidR="00BA5209" w:rsidRPr="00C44B0C" w:rsidRDefault="00BA5209" w:rsidP="00BA5209">
                  <w:pPr>
                    <w:keepNext w:val="0"/>
                    <w:spacing w:before="0"/>
                    <w:jc w:val="right"/>
                    <w:rPr>
                      <w:rFonts w:cs="Arial"/>
                      <w:strike/>
                      <w:color w:val="auto"/>
                      <w:sz w:val="22"/>
                      <w:szCs w:val="22"/>
                    </w:rPr>
                  </w:pPr>
                  <w:r w:rsidRPr="00C44B0C">
                    <w:rPr>
                      <w:rFonts w:cs="Arial"/>
                      <w:strike/>
                      <w:color w:val="auto"/>
                      <w:sz w:val="22"/>
                      <w:szCs w:val="22"/>
                    </w:rPr>
                    <w:t>10</w:t>
                  </w:r>
                </w:p>
              </w:tc>
            </w:tr>
            <w:tr w:rsidR="006E25C7" w:rsidRPr="00C44B0C" w14:paraId="6939019D"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29135D45"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H1Vi</w:t>
                  </w:r>
                </w:p>
              </w:tc>
              <w:tc>
                <w:tcPr>
                  <w:tcW w:w="3660" w:type="dxa"/>
                  <w:tcBorders>
                    <w:top w:val="nil"/>
                    <w:left w:val="nil"/>
                    <w:bottom w:val="single" w:sz="4" w:space="0" w:color="auto"/>
                    <w:right w:val="single" w:sz="4" w:space="0" w:color="auto"/>
                  </w:tcBorders>
                  <w:hideMark/>
                </w:tcPr>
                <w:p w14:paraId="66EDEA2B" w14:textId="0E16BCE4" w:rsidR="00BA5209" w:rsidRPr="00C44B0C" w:rsidRDefault="00BA5209" w:rsidP="00BA5209">
                  <w:pPr>
                    <w:keepNext w:val="0"/>
                    <w:spacing w:before="0"/>
                    <w:rPr>
                      <w:rFonts w:cs="Arial"/>
                      <w:strike/>
                      <w:color w:val="auto"/>
                      <w:sz w:val="22"/>
                      <w:szCs w:val="22"/>
                    </w:rPr>
                  </w:pPr>
                  <w:proofErr w:type="spellStart"/>
                  <w:r w:rsidRPr="00C44B0C">
                    <w:rPr>
                      <w:rFonts w:cs="Arial"/>
                      <w:strike/>
                      <w:color w:val="auto"/>
                      <w:sz w:val="22"/>
                      <w:szCs w:val="22"/>
                    </w:rPr>
                    <w:t>Westdale</w:t>
                  </w:r>
                  <w:proofErr w:type="spellEnd"/>
                  <w:r w:rsidRPr="00C44B0C">
                    <w:rPr>
                      <w:rFonts w:cs="Arial"/>
                      <w:strike/>
                      <w:color w:val="auto"/>
                      <w:sz w:val="22"/>
                      <w:szCs w:val="22"/>
                    </w:rPr>
                    <w:t xml:space="preserve"> Road</w:t>
                  </w:r>
                  <w:r w:rsidR="00D61EA6" w:rsidRPr="00C44B0C">
                    <w:rPr>
                      <w:rFonts w:cs="Arial"/>
                      <w:strike/>
                      <w:color w:val="auto"/>
                      <w:sz w:val="22"/>
                      <w:szCs w:val="22"/>
                    </w:rPr>
                    <w:t>/Rutland Road</w:t>
                  </w:r>
                  <w:r w:rsidRPr="00C44B0C">
                    <w:rPr>
                      <w:rFonts w:cs="Arial"/>
                      <w:strike/>
                      <w:color w:val="auto"/>
                      <w:sz w:val="22"/>
                      <w:szCs w:val="22"/>
                    </w:rPr>
                    <w:t xml:space="preserve">, </w:t>
                  </w:r>
                  <w:proofErr w:type="spellStart"/>
                  <w:r w:rsidRPr="00C44B0C">
                    <w:rPr>
                      <w:rFonts w:cs="Arial"/>
                      <w:strike/>
                      <w:color w:val="auto"/>
                      <w:sz w:val="22"/>
                      <w:szCs w:val="22"/>
                    </w:rPr>
                    <w:t>Jacksdale</w:t>
                  </w:r>
                  <w:proofErr w:type="spellEnd"/>
                </w:p>
              </w:tc>
              <w:tc>
                <w:tcPr>
                  <w:tcW w:w="1460" w:type="dxa"/>
                  <w:tcBorders>
                    <w:top w:val="nil"/>
                    <w:left w:val="nil"/>
                    <w:bottom w:val="single" w:sz="4" w:space="0" w:color="auto"/>
                    <w:right w:val="single" w:sz="4" w:space="0" w:color="auto"/>
                  </w:tcBorders>
                  <w:noWrap/>
                  <w:hideMark/>
                </w:tcPr>
                <w:p w14:paraId="503D661C"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G</w:t>
                  </w:r>
                </w:p>
              </w:tc>
              <w:tc>
                <w:tcPr>
                  <w:tcW w:w="1600" w:type="dxa"/>
                  <w:tcBorders>
                    <w:top w:val="nil"/>
                    <w:left w:val="nil"/>
                    <w:bottom w:val="single" w:sz="4" w:space="0" w:color="auto"/>
                    <w:right w:val="single" w:sz="4" w:space="0" w:color="auto"/>
                  </w:tcBorders>
                  <w:noWrap/>
                  <w:hideMark/>
                </w:tcPr>
                <w:p w14:paraId="5E832EFD"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No</w:t>
                  </w:r>
                </w:p>
              </w:tc>
              <w:tc>
                <w:tcPr>
                  <w:tcW w:w="1220" w:type="dxa"/>
                  <w:tcBorders>
                    <w:top w:val="nil"/>
                    <w:left w:val="nil"/>
                    <w:bottom w:val="single" w:sz="4" w:space="0" w:color="auto"/>
                    <w:right w:val="single" w:sz="4" w:space="0" w:color="auto"/>
                  </w:tcBorders>
                  <w:noWrap/>
                  <w:hideMark/>
                </w:tcPr>
                <w:p w14:paraId="69AE928C" w14:textId="77777777" w:rsidR="00BA5209" w:rsidRPr="00C44B0C" w:rsidRDefault="00BA5209" w:rsidP="00BA5209">
                  <w:pPr>
                    <w:keepNext w:val="0"/>
                    <w:spacing w:before="0"/>
                    <w:jc w:val="right"/>
                    <w:rPr>
                      <w:rFonts w:cs="Arial"/>
                      <w:strike/>
                      <w:color w:val="auto"/>
                      <w:sz w:val="22"/>
                      <w:szCs w:val="22"/>
                    </w:rPr>
                  </w:pPr>
                  <w:r w:rsidRPr="00C44B0C">
                    <w:rPr>
                      <w:rFonts w:cs="Arial"/>
                      <w:strike/>
                      <w:color w:val="auto"/>
                      <w:sz w:val="22"/>
                      <w:szCs w:val="22"/>
                    </w:rPr>
                    <w:t>22</w:t>
                  </w:r>
                </w:p>
              </w:tc>
            </w:tr>
            <w:tr w:rsidR="0018227C" w:rsidRPr="00C44B0C" w14:paraId="383F6D78"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tcPr>
                <w:p w14:paraId="509305B0" w14:textId="718D30D1" w:rsidR="0018227C" w:rsidRPr="00C44B0C" w:rsidRDefault="0018227C" w:rsidP="00BA5209">
                  <w:pPr>
                    <w:keepNext w:val="0"/>
                    <w:spacing w:before="0"/>
                    <w:rPr>
                      <w:rFonts w:cs="Arial"/>
                      <w:strike/>
                      <w:color w:val="auto"/>
                      <w:sz w:val="22"/>
                      <w:szCs w:val="22"/>
                    </w:rPr>
                  </w:pPr>
                  <w:r w:rsidRPr="00C44B0C">
                    <w:rPr>
                      <w:rFonts w:cs="Arial"/>
                      <w:strike/>
                      <w:color w:val="auto"/>
                      <w:sz w:val="22"/>
                      <w:szCs w:val="22"/>
                    </w:rPr>
                    <w:t>H1Vj</w:t>
                  </w:r>
                </w:p>
              </w:tc>
              <w:tc>
                <w:tcPr>
                  <w:tcW w:w="3660" w:type="dxa"/>
                  <w:tcBorders>
                    <w:top w:val="nil"/>
                    <w:left w:val="nil"/>
                    <w:bottom w:val="single" w:sz="4" w:space="0" w:color="auto"/>
                    <w:right w:val="single" w:sz="4" w:space="0" w:color="auto"/>
                  </w:tcBorders>
                </w:tcPr>
                <w:p w14:paraId="334E1053" w14:textId="5C109933" w:rsidR="0018227C" w:rsidRPr="00C44B0C" w:rsidRDefault="0018227C" w:rsidP="00BA5209">
                  <w:pPr>
                    <w:keepNext w:val="0"/>
                    <w:spacing w:before="0"/>
                    <w:rPr>
                      <w:rFonts w:cs="Arial"/>
                      <w:strike/>
                      <w:color w:val="auto"/>
                      <w:sz w:val="22"/>
                      <w:szCs w:val="22"/>
                    </w:rPr>
                  </w:pPr>
                  <w:r w:rsidRPr="00C44B0C">
                    <w:rPr>
                      <w:rFonts w:cs="Arial"/>
                      <w:strike/>
                      <w:color w:val="auto"/>
                      <w:sz w:val="22"/>
                      <w:szCs w:val="22"/>
                    </w:rPr>
                    <w:t xml:space="preserve">Land off Main Road, </w:t>
                  </w:r>
                  <w:proofErr w:type="spellStart"/>
                  <w:r w:rsidRPr="00C44B0C">
                    <w:rPr>
                      <w:rFonts w:cs="Arial"/>
                      <w:strike/>
                      <w:color w:val="auto"/>
                      <w:sz w:val="22"/>
                      <w:szCs w:val="22"/>
                    </w:rPr>
                    <w:t>Jacksdale</w:t>
                  </w:r>
                  <w:proofErr w:type="spellEnd"/>
                </w:p>
              </w:tc>
              <w:tc>
                <w:tcPr>
                  <w:tcW w:w="1460" w:type="dxa"/>
                  <w:tcBorders>
                    <w:top w:val="nil"/>
                    <w:left w:val="nil"/>
                    <w:bottom w:val="single" w:sz="4" w:space="0" w:color="auto"/>
                    <w:right w:val="single" w:sz="4" w:space="0" w:color="auto"/>
                  </w:tcBorders>
                  <w:noWrap/>
                </w:tcPr>
                <w:p w14:paraId="54D4FC65" w14:textId="03D21791" w:rsidR="0018227C" w:rsidRPr="00C44B0C" w:rsidRDefault="0018227C" w:rsidP="00BA5209">
                  <w:pPr>
                    <w:keepNext w:val="0"/>
                    <w:spacing w:before="0"/>
                    <w:jc w:val="center"/>
                    <w:rPr>
                      <w:rFonts w:cs="Arial"/>
                      <w:strike/>
                      <w:color w:val="auto"/>
                      <w:sz w:val="22"/>
                      <w:szCs w:val="22"/>
                    </w:rPr>
                  </w:pPr>
                  <w:r w:rsidRPr="00C44B0C">
                    <w:rPr>
                      <w:rFonts w:cs="Arial"/>
                      <w:strike/>
                      <w:color w:val="auto"/>
                      <w:sz w:val="22"/>
                      <w:szCs w:val="22"/>
                    </w:rPr>
                    <w:t>G</w:t>
                  </w:r>
                </w:p>
              </w:tc>
              <w:tc>
                <w:tcPr>
                  <w:tcW w:w="1600" w:type="dxa"/>
                  <w:tcBorders>
                    <w:top w:val="nil"/>
                    <w:left w:val="nil"/>
                    <w:bottom w:val="single" w:sz="4" w:space="0" w:color="auto"/>
                    <w:right w:val="single" w:sz="4" w:space="0" w:color="auto"/>
                  </w:tcBorders>
                  <w:noWrap/>
                </w:tcPr>
                <w:p w14:paraId="09E38A08" w14:textId="569B518E" w:rsidR="0018227C" w:rsidRPr="00C44B0C" w:rsidRDefault="0018227C" w:rsidP="00BA5209">
                  <w:pPr>
                    <w:keepNext w:val="0"/>
                    <w:spacing w:before="0"/>
                    <w:jc w:val="center"/>
                    <w:rPr>
                      <w:rFonts w:cs="Arial"/>
                      <w:strike/>
                      <w:color w:val="auto"/>
                      <w:sz w:val="22"/>
                      <w:szCs w:val="22"/>
                    </w:rPr>
                  </w:pPr>
                  <w:r w:rsidRPr="00C44B0C">
                    <w:rPr>
                      <w:rFonts w:cs="Arial"/>
                      <w:strike/>
                      <w:color w:val="auto"/>
                      <w:sz w:val="22"/>
                      <w:szCs w:val="22"/>
                    </w:rPr>
                    <w:t>No</w:t>
                  </w:r>
                </w:p>
              </w:tc>
              <w:tc>
                <w:tcPr>
                  <w:tcW w:w="1220" w:type="dxa"/>
                  <w:tcBorders>
                    <w:top w:val="nil"/>
                    <w:left w:val="nil"/>
                    <w:bottom w:val="single" w:sz="4" w:space="0" w:color="auto"/>
                    <w:right w:val="single" w:sz="4" w:space="0" w:color="auto"/>
                  </w:tcBorders>
                  <w:noWrap/>
                </w:tcPr>
                <w:p w14:paraId="7933187D" w14:textId="22900D1B" w:rsidR="0018227C" w:rsidRPr="00C44B0C" w:rsidRDefault="0018227C" w:rsidP="00BA5209">
                  <w:pPr>
                    <w:keepNext w:val="0"/>
                    <w:spacing w:before="0"/>
                    <w:jc w:val="right"/>
                    <w:rPr>
                      <w:rFonts w:cs="Arial"/>
                      <w:strike/>
                      <w:color w:val="auto"/>
                      <w:sz w:val="22"/>
                      <w:szCs w:val="22"/>
                    </w:rPr>
                  </w:pPr>
                  <w:r w:rsidRPr="00C44B0C">
                    <w:rPr>
                      <w:rFonts w:cs="Arial"/>
                      <w:strike/>
                      <w:color w:val="auto"/>
                      <w:sz w:val="22"/>
                      <w:szCs w:val="22"/>
                    </w:rPr>
                    <w:t>81</w:t>
                  </w:r>
                </w:p>
              </w:tc>
            </w:tr>
            <w:tr w:rsidR="006E25C7" w:rsidRPr="00C44B0C" w14:paraId="0A16FFB5" w14:textId="77777777" w:rsidTr="00BA5209">
              <w:trPr>
                <w:trHeight w:val="280"/>
                <w:jc w:val="center"/>
              </w:trPr>
              <w:tc>
                <w:tcPr>
                  <w:tcW w:w="760" w:type="dxa"/>
                  <w:tcBorders>
                    <w:top w:val="nil"/>
                    <w:left w:val="single" w:sz="4" w:space="0" w:color="auto"/>
                    <w:bottom w:val="single" w:sz="4" w:space="0" w:color="auto"/>
                    <w:right w:val="single" w:sz="4" w:space="0" w:color="auto"/>
                  </w:tcBorders>
                  <w:noWrap/>
                  <w:hideMark/>
                </w:tcPr>
                <w:p w14:paraId="4AFFCE6F"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 </w:t>
                  </w:r>
                </w:p>
              </w:tc>
              <w:tc>
                <w:tcPr>
                  <w:tcW w:w="3660" w:type="dxa"/>
                  <w:tcBorders>
                    <w:top w:val="nil"/>
                    <w:left w:val="nil"/>
                    <w:bottom w:val="single" w:sz="4" w:space="0" w:color="auto"/>
                    <w:right w:val="single" w:sz="4" w:space="0" w:color="auto"/>
                  </w:tcBorders>
                  <w:hideMark/>
                </w:tcPr>
                <w:p w14:paraId="529F4F77" w14:textId="77777777" w:rsidR="00BA5209" w:rsidRPr="00C44B0C" w:rsidRDefault="00BA5209" w:rsidP="00BA5209">
                  <w:pPr>
                    <w:keepNext w:val="0"/>
                    <w:spacing w:before="0"/>
                    <w:rPr>
                      <w:rFonts w:cs="Arial"/>
                      <w:strike/>
                      <w:color w:val="auto"/>
                      <w:sz w:val="22"/>
                      <w:szCs w:val="22"/>
                    </w:rPr>
                  </w:pPr>
                  <w:r w:rsidRPr="00C44B0C">
                    <w:rPr>
                      <w:rFonts w:cs="Arial"/>
                      <w:strike/>
                      <w:color w:val="auto"/>
                      <w:sz w:val="22"/>
                      <w:szCs w:val="22"/>
                    </w:rPr>
                    <w:t> </w:t>
                  </w:r>
                </w:p>
              </w:tc>
              <w:tc>
                <w:tcPr>
                  <w:tcW w:w="1460" w:type="dxa"/>
                  <w:tcBorders>
                    <w:top w:val="nil"/>
                    <w:left w:val="nil"/>
                    <w:bottom w:val="single" w:sz="4" w:space="0" w:color="auto"/>
                    <w:right w:val="single" w:sz="4" w:space="0" w:color="auto"/>
                  </w:tcBorders>
                  <w:noWrap/>
                  <w:hideMark/>
                </w:tcPr>
                <w:p w14:paraId="44B86B96"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 </w:t>
                  </w:r>
                </w:p>
              </w:tc>
              <w:tc>
                <w:tcPr>
                  <w:tcW w:w="1600" w:type="dxa"/>
                  <w:tcBorders>
                    <w:top w:val="nil"/>
                    <w:left w:val="nil"/>
                    <w:bottom w:val="single" w:sz="4" w:space="0" w:color="auto"/>
                    <w:right w:val="single" w:sz="4" w:space="0" w:color="auto"/>
                  </w:tcBorders>
                  <w:noWrap/>
                  <w:hideMark/>
                </w:tcPr>
                <w:p w14:paraId="72042DC9" w14:textId="77777777" w:rsidR="00BA5209" w:rsidRPr="00C44B0C" w:rsidRDefault="00BA5209" w:rsidP="00BA5209">
                  <w:pPr>
                    <w:keepNext w:val="0"/>
                    <w:spacing w:before="0"/>
                    <w:jc w:val="center"/>
                    <w:rPr>
                      <w:rFonts w:cs="Arial"/>
                      <w:strike/>
                      <w:color w:val="auto"/>
                      <w:sz w:val="22"/>
                      <w:szCs w:val="22"/>
                    </w:rPr>
                  </w:pPr>
                  <w:r w:rsidRPr="00C44B0C">
                    <w:rPr>
                      <w:rFonts w:cs="Arial"/>
                      <w:strike/>
                      <w:color w:val="auto"/>
                      <w:sz w:val="22"/>
                      <w:szCs w:val="22"/>
                    </w:rPr>
                    <w:t> </w:t>
                  </w:r>
                </w:p>
              </w:tc>
              <w:tc>
                <w:tcPr>
                  <w:tcW w:w="1220" w:type="dxa"/>
                  <w:tcBorders>
                    <w:top w:val="nil"/>
                    <w:left w:val="nil"/>
                    <w:bottom w:val="single" w:sz="4" w:space="0" w:color="auto"/>
                    <w:right w:val="single" w:sz="4" w:space="0" w:color="auto"/>
                  </w:tcBorders>
                  <w:noWrap/>
                  <w:hideMark/>
                </w:tcPr>
                <w:p w14:paraId="255D5F1F" w14:textId="47B86A87" w:rsidR="00BA5209" w:rsidRPr="00C44B0C" w:rsidRDefault="0018227C" w:rsidP="00BA5209">
                  <w:pPr>
                    <w:keepNext w:val="0"/>
                    <w:spacing w:before="0"/>
                    <w:jc w:val="right"/>
                    <w:rPr>
                      <w:rFonts w:cs="Arial"/>
                      <w:b/>
                      <w:bCs/>
                      <w:strike/>
                      <w:color w:val="auto"/>
                      <w:sz w:val="22"/>
                      <w:szCs w:val="22"/>
                    </w:rPr>
                  </w:pPr>
                  <w:r w:rsidRPr="00C44B0C">
                    <w:rPr>
                      <w:rFonts w:cs="Arial"/>
                      <w:b/>
                      <w:bCs/>
                      <w:strike/>
                      <w:color w:val="auto"/>
                      <w:sz w:val="22"/>
                      <w:szCs w:val="22"/>
                    </w:rPr>
                    <w:t>580</w:t>
                  </w:r>
                </w:p>
              </w:tc>
            </w:tr>
          </w:tbl>
          <w:p w14:paraId="0DA0E0D0" w14:textId="77777777" w:rsidR="00BA5209" w:rsidRDefault="00BA5209" w:rsidP="008B5F49">
            <w:pPr>
              <w:pStyle w:val="Policy"/>
              <w:spacing w:after="0" w:line="240" w:lineRule="auto"/>
              <w:ind w:left="0" w:right="284"/>
              <w:rPr>
                <w:rStyle w:val="Heading10"/>
                <w:rFonts w:cs="Arial"/>
                <w:color w:val="auto"/>
                <w:highlight w:val="yellow"/>
              </w:rPr>
            </w:pPr>
          </w:p>
          <w:tbl>
            <w:tblPr>
              <w:tblW w:w="9097" w:type="dxa"/>
              <w:tblLook w:val="04A0" w:firstRow="1" w:lastRow="0" w:firstColumn="1" w:lastColumn="0" w:noHBand="0" w:noVBand="1"/>
            </w:tblPr>
            <w:tblGrid>
              <w:gridCol w:w="960"/>
              <w:gridCol w:w="2308"/>
              <w:gridCol w:w="1293"/>
              <w:gridCol w:w="1390"/>
              <w:gridCol w:w="1500"/>
              <w:gridCol w:w="1646"/>
            </w:tblGrid>
            <w:tr w:rsidR="002B08F4" w:rsidRPr="002B08F4" w14:paraId="195ED391" w14:textId="77777777" w:rsidTr="002B08F4">
              <w:trPr>
                <w:trHeight w:val="1500"/>
              </w:trPr>
              <w:tc>
                <w:tcPr>
                  <w:tcW w:w="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A5F396A" w14:textId="77777777" w:rsidR="002B08F4" w:rsidRPr="00E56F9C" w:rsidRDefault="002B08F4" w:rsidP="002B08F4">
                  <w:pPr>
                    <w:keepNext w:val="0"/>
                    <w:spacing w:before="0"/>
                    <w:jc w:val="both"/>
                    <w:rPr>
                      <w:rFonts w:cs="Arial"/>
                      <w:color w:val="005EAC"/>
                      <w:sz w:val="22"/>
                      <w:szCs w:val="22"/>
                    </w:rPr>
                  </w:pPr>
                  <w:r w:rsidRPr="00E56F9C">
                    <w:rPr>
                      <w:rFonts w:cs="Arial"/>
                      <w:color w:val="005EAC"/>
                      <w:sz w:val="22"/>
                      <w:szCs w:val="22"/>
                    </w:rPr>
                    <w:t>Site Ref.</w:t>
                  </w:r>
                </w:p>
              </w:tc>
              <w:tc>
                <w:tcPr>
                  <w:tcW w:w="2467" w:type="dxa"/>
                  <w:tcBorders>
                    <w:top w:val="single" w:sz="4" w:space="0" w:color="auto"/>
                    <w:left w:val="nil"/>
                    <w:bottom w:val="single" w:sz="4" w:space="0" w:color="auto"/>
                    <w:right w:val="single" w:sz="4" w:space="0" w:color="auto"/>
                  </w:tcBorders>
                  <w:shd w:val="clear" w:color="000000" w:fill="D9D9D9"/>
                  <w:vAlign w:val="center"/>
                  <w:hideMark/>
                </w:tcPr>
                <w:p w14:paraId="422A61E9" w14:textId="77777777" w:rsidR="002B08F4" w:rsidRPr="00E56F9C" w:rsidRDefault="002B08F4" w:rsidP="002B08F4">
                  <w:pPr>
                    <w:keepNext w:val="0"/>
                    <w:spacing w:before="0"/>
                    <w:jc w:val="both"/>
                    <w:rPr>
                      <w:rFonts w:cs="Arial"/>
                      <w:color w:val="005EAC"/>
                      <w:sz w:val="22"/>
                      <w:szCs w:val="22"/>
                    </w:rPr>
                  </w:pPr>
                  <w:r w:rsidRPr="00E56F9C">
                    <w:rPr>
                      <w:rFonts w:cs="Arial"/>
                      <w:color w:val="005EAC"/>
                      <w:sz w:val="22"/>
                      <w:szCs w:val="22"/>
                    </w:rPr>
                    <w:t>Site Name</w:t>
                  </w:r>
                </w:p>
              </w:tc>
              <w:tc>
                <w:tcPr>
                  <w:tcW w:w="1293" w:type="dxa"/>
                  <w:tcBorders>
                    <w:top w:val="single" w:sz="4" w:space="0" w:color="auto"/>
                    <w:left w:val="nil"/>
                    <w:bottom w:val="single" w:sz="4" w:space="0" w:color="auto"/>
                    <w:right w:val="single" w:sz="4" w:space="0" w:color="auto"/>
                  </w:tcBorders>
                  <w:shd w:val="clear" w:color="000000" w:fill="D9D9D9"/>
                  <w:vAlign w:val="center"/>
                  <w:hideMark/>
                </w:tcPr>
                <w:p w14:paraId="6EFB0FA4" w14:textId="77777777" w:rsidR="002B08F4" w:rsidRPr="00E56F9C" w:rsidRDefault="002B08F4" w:rsidP="002B08F4">
                  <w:pPr>
                    <w:keepNext w:val="0"/>
                    <w:spacing w:before="0"/>
                    <w:jc w:val="center"/>
                    <w:rPr>
                      <w:rFonts w:cs="Arial"/>
                      <w:color w:val="005EAC"/>
                      <w:sz w:val="22"/>
                      <w:szCs w:val="22"/>
                    </w:rPr>
                  </w:pPr>
                  <w:r w:rsidRPr="00E56F9C">
                    <w:rPr>
                      <w:rFonts w:cs="Arial"/>
                      <w:color w:val="005EAC"/>
                      <w:sz w:val="22"/>
                      <w:szCs w:val="22"/>
                    </w:rPr>
                    <w:t>Greenfield/ Brownfield</w:t>
                  </w:r>
                </w:p>
              </w:tc>
              <w:tc>
                <w:tcPr>
                  <w:tcW w:w="1390" w:type="dxa"/>
                  <w:tcBorders>
                    <w:top w:val="single" w:sz="4" w:space="0" w:color="auto"/>
                    <w:left w:val="nil"/>
                    <w:bottom w:val="single" w:sz="4" w:space="0" w:color="auto"/>
                    <w:right w:val="single" w:sz="4" w:space="0" w:color="auto"/>
                  </w:tcBorders>
                  <w:shd w:val="clear" w:color="000000" w:fill="D9D9D9"/>
                  <w:vAlign w:val="center"/>
                  <w:hideMark/>
                </w:tcPr>
                <w:p w14:paraId="30940B47" w14:textId="77777777" w:rsidR="002B08F4" w:rsidRPr="00E56F9C" w:rsidRDefault="002B08F4" w:rsidP="002B08F4">
                  <w:pPr>
                    <w:keepNext w:val="0"/>
                    <w:spacing w:before="0"/>
                    <w:jc w:val="center"/>
                    <w:rPr>
                      <w:rFonts w:cs="Arial"/>
                      <w:color w:val="005EAC"/>
                      <w:sz w:val="22"/>
                      <w:szCs w:val="22"/>
                    </w:rPr>
                  </w:pPr>
                  <w:r w:rsidRPr="00E56F9C">
                    <w:rPr>
                      <w:rFonts w:cs="Arial"/>
                      <w:color w:val="005EAC"/>
                      <w:sz w:val="22"/>
                      <w:szCs w:val="22"/>
                    </w:rPr>
                    <w:t>Planning Permission*</w:t>
                  </w:r>
                </w:p>
              </w:tc>
              <w:tc>
                <w:tcPr>
                  <w:tcW w:w="1500" w:type="dxa"/>
                  <w:tcBorders>
                    <w:top w:val="single" w:sz="4" w:space="0" w:color="auto"/>
                    <w:left w:val="nil"/>
                    <w:bottom w:val="single" w:sz="4" w:space="0" w:color="auto"/>
                    <w:right w:val="single" w:sz="4" w:space="0" w:color="auto"/>
                  </w:tcBorders>
                  <w:shd w:val="clear" w:color="000000" w:fill="D9D9D9"/>
                  <w:vAlign w:val="center"/>
                  <w:hideMark/>
                </w:tcPr>
                <w:p w14:paraId="3A8170A5" w14:textId="77777777" w:rsidR="002B08F4" w:rsidRPr="00E56F9C" w:rsidRDefault="002B08F4" w:rsidP="002B08F4">
                  <w:pPr>
                    <w:keepNext w:val="0"/>
                    <w:spacing w:before="0"/>
                    <w:jc w:val="center"/>
                    <w:rPr>
                      <w:rFonts w:cs="Arial"/>
                      <w:color w:val="005EAC"/>
                      <w:sz w:val="22"/>
                      <w:szCs w:val="22"/>
                    </w:rPr>
                  </w:pPr>
                  <w:r w:rsidRPr="00E56F9C">
                    <w:rPr>
                      <w:rFonts w:cs="Arial"/>
                      <w:b/>
                      <w:bCs/>
                      <w:color w:val="005EAC"/>
                      <w:sz w:val="22"/>
                      <w:szCs w:val="22"/>
                    </w:rPr>
                    <w:t>Total</w:t>
                  </w:r>
                  <w:r w:rsidRPr="00E56F9C">
                    <w:rPr>
                      <w:rFonts w:cs="Arial"/>
                      <w:color w:val="005EAC"/>
                      <w:sz w:val="22"/>
                      <w:szCs w:val="22"/>
                    </w:rPr>
                    <w:t xml:space="preserve"> Potential Yield </w:t>
                  </w:r>
                  <w:r w:rsidRPr="00E56F9C">
                    <w:rPr>
                      <w:rFonts w:cs="Arial"/>
                      <w:b/>
                      <w:bCs/>
                      <w:color w:val="005EAC"/>
                      <w:sz w:val="22"/>
                      <w:szCs w:val="22"/>
                    </w:rPr>
                    <w:t>2023-2040</w:t>
                  </w:r>
                  <w:r w:rsidRPr="00E56F9C">
                    <w:rPr>
                      <w:rFonts w:cs="Arial"/>
                      <w:color w:val="005EAC"/>
                      <w:sz w:val="22"/>
                      <w:szCs w:val="22"/>
                    </w:rPr>
                    <w:t xml:space="preserve"> (Dwellings)</w:t>
                  </w:r>
                </w:p>
              </w:tc>
              <w:tc>
                <w:tcPr>
                  <w:tcW w:w="1487" w:type="dxa"/>
                  <w:tcBorders>
                    <w:top w:val="single" w:sz="4" w:space="0" w:color="auto"/>
                    <w:left w:val="nil"/>
                    <w:bottom w:val="single" w:sz="4" w:space="0" w:color="auto"/>
                    <w:right w:val="single" w:sz="4" w:space="0" w:color="auto"/>
                  </w:tcBorders>
                  <w:shd w:val="clear" w:color="000000" w:fill="D9D9D9"/>
                  <w:vAlign w:val="center"/>
                  <w:hideMark/>
                </w:tcPr>
                <w:p w14:paraId="12CB3938" w14:textId="77777777" w:rsidR="002B08F4" w:rsidRPr="00E56F9C" w:rsidRDefault="002B08F4" w:rsidP="002B08F4">
                  <w:pPr>
                    <w:keepNext w:val="0"/>
                    <w:spacing w:before="0"/>
                    <w:jc w:val="center"/>
                    <w:rPr>
                      <w:rFonts w:cs="Arial"/>
                      <w:b/>
                      <w:bCs/>
                      <w:color w:val="005EAC"/>
                      <w:sz w:val="22"/>
                      <w:szCs w:val="22"/>
                    </w:rPr>
                  </w:pPr>
                  <w:r w:rsidRPr="00E56F9C">
                    <w:rPr>
                      <w:rFonts w:cs="Arial"/>
                      <w:b/>
                      <w:bCs/>
                      <w:color w:val="005EAC"/>
                      <w:sz w:val="22"/>
                      <w:szCs w:val="22"/>
                    </w:rPr>
                    <w:t xml:space="preserve">Progress </w:t>
                  </w:r>
                  <w:proofErr w:type="gramStart"/>
                  <w:r w:rsidRPr="00E56F9C">
                    <w:rPr>
                      <w:rFonts w:cs="Arial"/>
                      <w:b/>
                      <w:bCs/>
                      <w:color w:val="005EAC"/>
                      <w:sz w:val="22"/>
                      <w:szCs w:val="22"/>
                    </w:rPr>
                    <w:t>at</w:t>
                  </w:r>
                  <w:proofErr w:type="gramEnd"/>
                  <w:r w:rsidRPr="00E56F9C">
                    <w:rPr>
                      <w:rFonts w:cs="Arial"/>
                      <w:b/>
                      <w:bCs/>
                      <w:color w:val="005EAC"/>
                      <w:sz w:val="22"/>
                      <w:szCs w:val="22"/>
                    </w:rPr>
                    <w:t xml:space="preserve"> April 2025 (Not Started/ Under Construction/ Completed</w:t>
                  </w:r>
                </w:p>
              </w:tc>
            </w:tr>
            <w:tr w:rsidR="002B08F4" w:rsidRPr="002B08F4" w14:paraId="25074B1F" w14:textId="77777777" w:rsidTr="002B08F4">
              <w:trPr>
                <w:trHeight w:val="570"/>
              </w:trPr>
              <w:tc>
                <w:tcPr>
                  <w:tcW w:w="960" w:type="dxa"/>
                  <w:tcBorders>
                    <w:top w:val="nil"/>
                    <w:left w:val="single" w:sz="4" w:space="0" w:color="auto"/>
                    <w:bottom w:val="single" w:sz="4" w:space="0" w:color="auto"/>
                    <w:right w:val="single" w:sz="4" w:space="0" w:color="auto"/>
                  </w:tcBorders>
                  <w:noWrap/>
                  <w:vAlign w:val="center"/>
                  <w:hideMark/>
                </w:tcPr>
                <w:p w14:paraId="65E71A52" w14:textId="77777777" w:rsidR="002B08F4" w:rsidRPr="005F5AF9" w:rsidRDefault="002B08F4" w:rsidP="002B08F4">
                  <w:pPr>
                    <w:keepNext w:val="0"/>
                    <w:spacing w:before="0"/>
                    <w:jc w:val="both"/>
                    <w:rPr>
                      <w:rFonts w:cs="Arial"/>
                      <w:color w:val="005CA9"/>
                      <w:sz w:val="22"/>
                      <w:szCs w:val="22"/>
                    </w:rPr>
                  </w:pPr>
                  <w:r w:rsidRPr="005F5AF9">
                    <w:rPr>
                      <w:rFonts w:cs="Arial"/>
                      <w:color w:val="005CA9"/>
                      <w:sz w:val="22"/>
                      <w:szCs w:val="22"/>
                    </w:rPr>
                    <w:t>H1Va</w:t>
                  </w:r>
                </w:p>
              </w:tc>
              <w:tc>
                <w:tcPr>
                  <w:tcW w:w="2467" w:type="dxa"/>
                  <w:tcBorders>
                    <w:top w:val="nil"/>
                    <w:left w:val="nil"/>
                    <w:bottom w:val="single" w:sz="4" w:space="0" w:color="auto"/>
                    <w:right w:val="single" w:sz="4" w:space="0" w:color="auto"/>
                  </w:tcBorders>
                  <w:vAlign w:val="center"/>
                  <w:hideMark/>
                </w:tcPr>
                <w:p w14:paraId="6DE9A1EA" w14:textId="77777777" w:rsidR="002B08F4" w:rsidRPr="005F5AF9" w:rsidRDefault="002B08F4" w:rsidP="002B08F4">
                  <w:pPr>
                    <w:keepNext w:val="0"/>
                    <w:spacing w:before="0"/>
                    <w:rPr>
                      <w:rFonts w:cs="Arial"/>
                      <w:color w:val="005CA9"/>
                      <w:sz w:val="22"/>
                      <w:szCs w:val="22"/>
                    </w:rPr>
                  </w:pPr>
                  <w:r w:rsidRPr="005F5AF9">
                    <w:rPr>
                      <w:rFonts w:cs="Arial"/>
                      <w:color w:val="005CA9"/>
                      <w:sz w:val="22"/>
                      <w:szCs w:val="22"/>
                    </w:rPr>
                    <w:t xml:space="preserve">Land at </w:t>
                  </w:r>
                  <w:proofErr w:type="spellStart"/>
                  <w:r w:rsidRPr="005F5AF9">
                    <w:rPr>
                      <w:rFonts w:cs="Arial"/>
                      <w:color w:val="005CA9"/>
                      <w:sz w:val="22"/>
                      <w:szCs w:val="22"/>
                    </w:rPr>
                    <w:t>Plainspot</w:t>
                  </w:r>
                  <w:proofErr w:type="spellEnd"/>
                  <w:r w:rsidRPr="005F5AF9">
                    <w:rPr>
                      <w:rFonts w:cs="Arial"/>
                      <w:color w:val="005CA9"/>
                      <w:sz w:val="22"/>
                      <w:szCs w:val="22"/>
                    </w:rPr>
                    <w:t xml:space="preserve"> Farm, New Brinsley, Underwood</w:t>
                  </w:r>
                </w:p>
              </w:tc>
              <w:tc>
                <w:tcPr>
                  <w:tcW w:w="1293" w:type="dxa"/>
                  <w:tcBorders>
                    <w:top w:val="nil"/>
                    <w:left w:val="nil"/>
                    <w:bottom w:val="single" w:sz="4" w:space="0" w:color="auto"/>
                    <w:right w:val="single" w:sz="4" w:space="0" w:color="auto"/>
                  </w:tcBorders>
                  <w:noWrap/>
                  <w:vAlign w:val="center"/>
                  <w:hideMark/>
                </w:tcPr>
                <w:p w14:paraId="36F57DF4"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02EDBB82"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No</w:t>
                  </w:r>
                </w:p>
              </w:tc>
              <w:tc>
                <w:tcPr>
                  <w:tcW w:w="1500" w:type="dxa"/>
                  <w:tcBorders>
                    <w:top w:val="nil"/>
                    <w:left w:val="nil"/>
                    <w:bottom w:val="single" w:sz="4" w:space="0" w:color="auto"/>
                    <w:right w:val="single" w:sz="4" w:space="0" w:color="auto"/>
                  </w:tcBorders>
                  <w:noWrap/>
                  <w:vAlign w:val="center"/>
                  <w:hideMark/>
                </w:tcPr>
                <w:p w14:paraId="753F10BD" w14:textId="77777777" w:rsidR="002B08F4" w:rsidRPr="005F5AF9" w:rsidRDefault="002B08F4" w:rsidP="002B08F4">
                  <w:pPr>
                    <w:keepNext w:val="0"/>
                    <w:spacing w:before="0"/>
                    <w:jc w:val="right"/>
                    <w:rPr>
                      <w:rFonts w:cs="Arial"/>
                      <w:color w:val="005CA9"/>
                      <w:sz w:val="22"/>
                      <w:szCs w:val="22"/>
                    </w:rPr>
                  </w:pPr>
                  <w:r w:rsidRPr="005F5AF9">
                    <w:rPr>
                      <w:rFonts w:cs="Arial"/>
                      <w:color w:val="005CA9"/>
                      <w:sz w:val="22"/>
                      <w:szCs w:val="22"/>
                    </w:rPr>
                    <w:t>42</w:t>
                  </w:r>
                </w:p>
              </w:tc>
              <w:tc>
                <w:tcPr>
                  <w:tcW w:w="1487" w:type="dxa"/>
                  <w:tcBorders>
                    <w:top w:val="nil"/>
                    <w:left w:val="nil"/>
                    <w:bottom w:val="single" w:sz="4" w:space="0" w:color="auto"/>
                    <w:right w:val="single" w:sz="4" w:space="0" w:color="auto"/>
                  </w:tcBorders>
                  <w:noWrap/>
                  <w:vAlign w:val="center"/>
                  <w:hideMark/>
                </w:tcPr>
                <w:p w14:paraId="0F720A71" w14:textId="77777777" w:rsidR="002B08F4" w:rsidRPr="005F5AF9" w:rsidRDefault="002B08F4" w:rsidP="002B08F4">
                  <w:pPr>
                    <w:keepNext w:val="0"/>
                    <w:spacing w:before="0"/>
                    <w:jc w:val="center"/>
                    <w:rPr>
                      <w:rFonts w:cs="Arial"/>
                      <w:b/>
                      <w:bCs/>
                      <w:color w:val="005CA9"/>
                      <w:sz w:val="22"/>
                      <w:szCs w:val="22"/>
                    </w:rPr>
                  </w:pPr>
                  <w:r w:rsidRPr="005F5AF9">
                    <w:rPr>
                      <w:rFonts w:cs="Arial"/>
                      <w:b/>
                      <w:bCs/>
                      <w:color w:val="005CA9"/>
                      <w:sz w:val="22"/>
                      <w:szCs w:val="22"/>
                    </w:rPr>
                    <w:t>NS</w:t>
                  </w:r>
                </w:p>
              </w:tc>
            </w:tr>
            <w:tr w:rsidR="002B08F4" w:rsidRPr="002B08F4" w14:paraId="5191E6B6" w14:textId="77777777" w:rsidTr="002B08F4">
              <w:trPr>
                <w:trHeight w:val="570"/>
              </w:trPr>
              <w:tc>
                <w:tcPr>
                  <w:tcW w:w="960" w:type="dxa"/>
                  <w:tcBorders>
                    <w:top w:val="nil"/>
                    <w:left w:val="single" w:sz="4" w:space="0" w:color="auto"/>
                    <w:bottom w:val="single" w:sz="4" w:space="0" w:color="auto"/>
                    <w:right w:val="single" w:sz="4" w:space="0" w:color="auto"/>
                  </w:tcBorders>
                  <w:noWrap/>
                  <w:vAlign w:val="center"/>
                  <w:hideMark/>
                </w:tcPr>
                <w:p w14:paraId="23D9B556" w14:textId="77777777" w:rsidR="002B08F4" w:rsidRPr="005F5AF9" w:rsidRDefault="002B08F4" w:rsidP="002B08F4">
                  <w:pPr>
                    <w:keepNext w:val="0"/>
                    <w:spacing w:before="0"/>
                    <w:jc w:val="both"/>
                    <w:rPr>
                      <w:rFonts w:cs="Arial"/>
                      <w:color w:val="005CA9"/>
                      <w:sz w:val="22"/>
                      <w:szCs w:val="22"/>
                    </w:rPr>
                  </w:pPr>
                  <w:r w:rsidRPr="005F5AF9">
                    <w:rPr>
                      <w:rFonts w:cs="Arial"/>
                      <w:color w:val="005CA9"/>
                      <w:sz w:val="22"/>
                      <w:szCs w:val="22"/>
                    </w:rPr>
                    <w:t>H1Vb</w:t>
                  </w:r>
                </w:p>
              </w:tc>
              <w:tc>
                <w:tcPr>
                  <w:tcW w:w="2467" w:type="dxa"/>
                  <w:tcBorders>
                    <w:top w:val="nil"/>
                    <w:left w:val="nil"/>
                    <w:bottom w:val="single" w:sz="4" w:space="0" w:color="auto"/>
                    <w:right w:val="single" w:sz="4" w:space="0" w:color="auto"/>
                  </w:tcBorders>
                  <w:vAlign w:val="center"/>
                  <w:hideMark/>
                </w:tcPr>
                <w:p w14:paraId="720E6C3F" w14:textId="77777777" w:rsidR="002B08F4" w:rsidRPr="005F5AF9" w:rsidRDefault="002B08F4" w:rsidP="002B08F4">
                  <w:pPr>
                    <w:keepNext w:val="0"/>
                    <w:spacing w:before="0"/>
                    <w:rPr>
                      <w:rFonts w:cs="Arial"/>
                      <w:color w:val="005CA9"/>
                      <w:sz w:val="22"/>
                      <w:szCs w:val="22"/>
                    </w:rPr>
                  </w:pPr>
                  <w:r w:rsidRPr="005F5AF9">
                    <w:rPr>
                      <w:rFonts w:cs="Arial"/>
                      <w:color w:val="005CA9"/>
                      <w:sz w:val="22"/>
                      <w:szCs w:val="22"/>
                    </w:rPr>
                    <w:t xml:space="preserve">Off </w:t>
                  </w:r>
                  <w:proofErr w:type="spellStart"/>
                  <w:r w:rsidRPr="005F5AF9">
                    <w:rPr>
                      <w:rFonts w:cs="Arial"/>
                      <w:color w:val="005CA9"/>
                      <w:sz w:val="22"/>
                      <w:szCs w:val="22"/>
                    </w:rPr>
                    <w:t>Westdale</w:t>
                  </w:r>
                  <w:proofErr w:type="spellEnd"/>
                  <w:r w:rsidRPr="005F5AF9">
                    <w:rPr>
                      <w:rFonts w:cs="Arial"/>
                      <w:color w:val="005CA9"/>
                      <w:sz w:val="22"/>
                      <w:szCs w:val="22"/>
                    </w:rPr>
                    <w:t xml:space="preserve"> Road, </w:t>
                  </w:r>
                  <w:proofErr w:type="spellStart"/>
                  <w:r w:rsidRPr="005F5AF9">
                    <w:rPr>
                      <w:rFonts w:cs="Arial"/>
                      <w:color w:val="005CA9"/>
                      <w:sz w:val="22"/>
                      <w:szCs w:val="22"/>
                    </w:rPr>
                    <w:t>Jacksdale</w:t>
                  </w:r>
                  <w:proofErr w:type="spellEnd"/>
                </w:p>
              </w:tc>
              <w:tc>
                <w:tcPr>
                  <w:tcW w:w="1293" w:type="dxa"/>
                  <w:tcBorders>
                    <w:top w:val="nil"/>
                    <w:left w:val="nil"/>
                    <w:bottom w:val="single" w:sz="4" w:space="0" w:color="auto"/>
                    <w:right w:val="single" w:sz="4" w:space="0" w:color="auto"/>
                  </w:tcBorders>
                  <w:noWrap/>
                  <w:vAlign w:val="center"/>
                  <w:hideMark/>
                </w:tcPr>
                <w:p w14:paraId="2E5B9C15"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0B7F9A63"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No</w:t>
                  </w:r>
                </w:p>
              </w:tc>
              <w:tc>
                <w:tcPr>
                  <w:tcW w:w="1500" w:type="dxa"/>
                  <w:tcBorders>
                    <w:top w:val="nil"/>
                    <w:left w:val="nil"/>
                    <w:bottom w:val="single" w:sz="4" w:space="0" w:color="auto"/>
                    <w:right w:val="single" w:sz="4" w:space="0" w:color="auto"/>
                  </w:tcBorders>
                  <w:noWrap/>
                  <w:vAlign w:val="center"/>
                  <w:hideMark/>
                </w:tcPr>
                <w:p w14:paraId="395289C1" w14:textId="77777777" w:rsidR="002B08F4" w:rsidRPr="005F5AF9" w:rsidRDefault="002B08F4" w:rsidP="002B08F4">
                  <w:pPr>
                    <w:keepNext w:val="0"/>
                    <w:spacing w:before="0"/>
                    <w:jc w:val="right"/>
                    <w:rPr>
                      <w:rFonts w:cs="Arial"/>
                      <w:color w:val="005CA9"/>
                      <w:sz w:val="22"/>
                      <w:szCs w:val="22"/>
                    </w:rPr>
                  </w:pPr>
                  <w:proofErr w:type="gramStart"/>
                  <w:r w:rsidRPr="005F5AF9">
                    <w:rPr>
                      <w:rFonts w:cs="Arial"/>
                      <w:strike/>
                      <w:color w:val="005CA9"/>
                      <w:sz w:val="22"/>
                      <w:szCs w:val="22"/>
                    </w:rPr>
                    <w:t>49</w:t>
                  </w:r>
                  <w:r w:rsidRPr="005F5AF9">
                    <w:rPr>
                      <w:rFonts w:cs="Arial"/>
                      <w:color w:val="005CA9"/>
                      <w:sz w:val="22"/>
                      <w:szCs w:val="22"/>
                    </w:rPr>
                    <w:t xml:space="preserve">  </w:t>
                  </w:r>
                  <w:r w:rsidRPr="005F5AF9">
                    <w:rPr>
                      <w:rFonts w:cs="Arial"/>
                      <w:b/>
                      <w:bCs/>
                      <w:color w:val="005CA9"/>
                      <w:sz w:val="22"/>
                      <w:szCs w:val="22"/>
                    </w:rPr>
                    <w:t>64</w:t>
                  </w:r>
                  <w:proofErr w:type="gramEnd"/>
                </w:p>
              </w:tc>
              <w:tc>
                <w:tcPr>
                  <w:tcW w:w="1487" w:type="dxa"/>
                  <w:tcBorders>
                    <w:top w:val="nil"/>
                    <w:left w:val="nil"/>
                    <w:bottom w:val="single" w:sz="4" w:space="0" w:color="auto"/>
                    <w:right w:val="single" w:sz="4" w:space="0" w:color="auto"/>
                  </w:tcBorders>
                  <w:noWrap/>
                  <w:vAlign w:val="center"/>
                  <w:hideMark/>
                </w:tcPr>
                <w:p w14:paraId="2E7B7706" w14:textId="77777777" w:rsidR="002B08F4" w:rsidRPr="005F5AF9" w:rsidRDefault="002B08F4" w:rsidP="002B08F4">
                  <w:pPr>
                    <w:keepNext w:val="0"/>
                    <w:spacing w:before="0"/>
                    <w:jc w:val="center"/>
                    <w:rPr>
                      <w:rFonts w:cs="Arial"/>
                      <w:b/>
                      <w:bCs/>
                      <w:color w:val="005CA9"/>
                      <w:sz w:val="22"/>
                      <w:szCs w:val="22"/>
                    </w:rPr>
                  </w:pPr>
                  <w:r w:rsidRPr="005F5AF9">
                    <w:rPr>
                      <w:rFonts w:cs="Arial"/>
                      <w:b/>
                      <w:bCs/>
                      <w:color w:val="005CA9"/>
                      <w:sz w:val="22"/>
                      <w:szCs w:val="22"/>
                    </w:rPr>
                    <w:t>NS</w:t>
                  </w:r>
                </w:p>
              </w:tc>
            </w:tr>
            <w:tr w:rsidR="002B08F4" w:rsidRPr="002B08F4" w14:paraId="714841A7" w14:textId="77777777" w:rsidTr="002B08F4">
              <w:trPr>
                <w:trHeight w:val="570"/>
              </w:trPr>
              <w:tc>
                <w:tcPr>
                  <w:tcW w:w="960" w:type="dxa"/>
                  <w:tcBorders>
                    <w:top w:val="nil"/>
                    <w:left w:val="single" w:sz="4" w:space="0" w:color="auto"/>
                    <w:bottom w:val="single" w:sz="4" w:space="0" w:color="auto"/>
                    <w:right w:val="single" w:sz="4" w:space="0" w:color="auto"/>
                  </w:tcBorders>
                  <w:noWrap/>
                  <w:vAlign w:val="center"/>
                  <w:hideMark/>
                </w:tcPr>
                <w:p w14:paraId="654CC389" w14:textId="77777777" w:rsidR="002B08F4" w:rsidRPr="005F5AF9" w:rsidRDefault="002B08F4" w:rsidP="002B08F4">
                  <w:pPr>
                    <w:keepNext w:val="0"/>
                    <w:spacing w:before="0"/>
                    <w:jc w:val="both"/>
                    <w:rPr>
                      <w:rFonts w:cs="Arial"/>
                      <w:color w:val="005CA9"/>
                      <w:sz w:val="22"/>
                      <w:szCs w:val="22"/>
                    </w:rPr>
                  </w:pPr>
                  <w:r w:rsidRPr="005F5AF9">
                    <w:rPr>
                      <w:rFonts w:cs="Arial"/>
                      <w:color w:val="005CA9"/>
                      <w:sz w:val="22"/>
                      <w:szCs w:val="22"/>
                    </w:rPr>
                    <w:t>H1Vc</w:t>
                  </w:r>
                </w:p>
              </w:tc>
              <w:tc>
                <w:tcPr>
                  <w:tcW w:w="2467" w:type="dxa"/>
                  <w:tcBorders>
                    <w:top w:val="nil"/>
                    <w:left w:val="nil"/>
                    <w:bottom w:val="single" w:sz="4" w:space="0" w:color="auto"/>
                    <w:right w:val="single" w:sz="4" w:space="0" w:color="auto"/>
                  </w:tcBorders>
                  <w:vAlign w:val="center"/>
                  <w:hideMark/>
                </w:tcPr>
                <w:p w14:paraId="4CF63C6E" w14:textId="77777777" w:rsidR="002B08F4" w:rsidRPr="005F5AF9" w:rsidRDefault="002B08F4" w:rsidP="002B08F4">
                  <w:pPr>
                    <w:keepNext w:val="0"/>
                    <w:spacing w:before="0"/>
                    <w:rPr>
                      <w:rFonts w:cs="Arial"/>
                      <w:color w:val="005CA9"/>
                      <w:sz w:val="22"/>
                      <w:szCs w:val="22"/>
                    </w:rPr>
                  </w:pPr>
                  <w:r w:rsidRPr="005F5AF9">
                    <w:rPr>
                      <w:rFonts w:cs="Arial"/>
                      <w:color w:val="005CA9"/>
                      <w:sz w:val="22"/>
                      <w:szCs w:val="22"/>
                    </w:rPr>
                    <w:t xml:space="preserve">Land adj. Bull &amp; Butcher PH, </w:t>
                  </w:r>
                  <w:proofErr w:type="spellStart"/>
                  <w:r w:rsidRPr="005F5AF9">
                    <w:rPr>
                      <w:rFonts w:cs="Arial"/>
                      <w:color w:val="005CA9"/>
                      <w:sz w:val="22"/>
                      <w:szCs w:val="22"/>
                    </w:rPr>
                    <w:t>Selston</w:t>
                  </w:r>
                  <w:proofErr w:type="spellEnd"/>
                </w:p>
              </w:tc>
              <w:tc>
                <w:tcPr>
                  <w:tcW w:w="1293" w:type="dxa"/>
                  <w:tcBorders>
                    <w:top w:val="nil"/>
                    <w:left w:val="nil"/>
                    <w:bottom w:val="single" w:sz="4" w:space="0" w:color="auto"/>
                    <w:right w:val="single" w:sz="4" w:space="0" w:color="auto"/>
                  </w:tcBorders>
                  <w:noWrap/>
                  <w:vAlign w:val="center"/>
                  <w:hideMark/>
                </w:tcPr>
                <w:p w14:paraId="1D7923C0"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4B5D43C8" w14:textId="77777777" w:rsidR="002B08F4" w:rsidRPr="005F5AF9" w:rsidRDefault="002B08F4" w:rsidP="002B08F4">
                  <w:pPr>
                    <w:keepNext w:val="0"/>
                    <w:spacing w:before="0"/>
                    <w:jc w:val="center"/>
                    <w:rPr>
                      <w:rFonts w:cs="Arial"/>
                      <w:b/>
                      <w:bCs/>
                      <w:color w:val="005CA9"/>
                      <w:sz w:val="22"/>
                      <w:szCs w:val="22"/>
                    </w:rPr>
                  </w:pPr>
                  <w:r w:rsidRPr="005F5AF9">
                    <w:rPr>
                      <w:rFonts w:cs="Arial"/>
                      <w:strike/>
                      <w:color w:val="005CA9"/>
                      <w:sz w:val="22"/>
                      <w:szCs w:val="22"/>
                    </w:rPr>
                    <w:t>No</w:t>
                  </w:r>
                  <w:r w:rsidRPr="005F5AF9">
                    <w:rPr>
                      <w:rFonts w:cs="Arial"/>
                      <w:color w:val="005CA9"/>
                      <w:sz w:val="22"/>
                      <w:szCs w:val="22"/>
                    </w:rPr>
                    <w:t xml:space="preserve"> </w:t>
                  </w:r>
                  <w:proofErr w:type="spellStart"/>
                  <w:r w:rsidRPr="005F5AF9">
                    <w:rPr>
                      <w:rFonts w:cs="Arial"/>
                      <w:b/>
                      <w:bCs/>
                      <w:color w:val="005CA9"/>
                      <w:sz w:val="22"/>
                      <w:szCs w:val="22"/>
                    </w:rPr>
                    <w:t>No</w:t>
                  </w:r>
                  <w:proofErr w:type="spellEnd"/>
                  <w:r w:rsidRPr="005F5AF9">
                    <w:rPr>
                      <w:rFonts w:cs="Arial"/>
                      <w:b/>
                      <w:bCs/>
                      <w:color w:val="005CA9"/>
                      <w:sz w:val="22"/>
                      <w:szCs w:val="22"/>
                    </w:rPr>
                    <w:t>^</w:t>
                  </w:r>
                </w:p>
              </w:tc>
              <w:tc>
                <w:tcPr>
                  <w:tcW w:w="1500" w:type="dxa"/>
                  <w:tcBorders>
                    <w:top w:val="nil"/>
                    <w:left w:val="nil"/>
                    <w:bottom w:val="single" w:sz="4" w:space="0" w:color="auto"/>
                    <w:right w:val="single" w:sz="4" w:space="0" w:color="auto"/>
                  </w:tcBorders>
                  <w:noWrap/>
                  <w:vAlign w:val="center"/>
                  <w:hideMark/>
                </w:tcPr>
                <w:p w14:paraId="53FE30FD" w14:textId="77777777" w:rsidR="002B08F4" w:rsidRPr="005F5AF9" w:rsidRDefault="002B08F4" w:rsidP="002B08F4">
                  <w:pPr>
                    <w:keepNext w:val="0"/>
                    <w:spacing w:before="0"/>
                    <w:jc w:val="right"/>
                    <w:rPr>
                      <w:rFonts w:cs="Arial"/>
                      <w:color w:val="005CA9"/>
                      <w:sz w:val="22"/>
                      <w:szCs w:val="22"/>
                    </w:rPr>
                  </w:pPr>
                  <w:r w:rsidRPr="005F5AF9">
                    <w:rPr>
                      <w:rFonts w:cs="Arial"/>
                      <w:color w:val="005CA9"/>
                      <w:sz w:val="22"/>
                      <w:szCs w:val="22"/>
                    </w:rPr>
                    <w:t>149</w:t>
                  </w:r>
                </w:p>
              </w:tc>
              <w:tc>
                <w:tcPr>
                  <w:tcW w:w="1487" w:type="dxa"/>
                  <w:tcBorders>
                    <w:top w:val="nil"/>
                    <w:left w:val="nil"/>
                    <w:bottom w:val="single" w:sz="4" w:space="0" w:color="auto"/>
                    <w:right w:val="single" w:sz="4" w:space="0" w:color="auto"/>
                  </w:tcBorders>
                  <w:noWrap/>
                  <w:vAlign w:val="center"/>
                  <w:hideMark/>
                </w:tcPr>
                <w:p w14:paraId="59AA31E0" w14:textId="77777777" w:rsidR="002B08F4" w:rsidRPr="005F5AF9" w:rsidRDefault="002B08F4" w:rsidP="002B08F4">
                  <w:pPr>
                    <w:keepNext w:val="0"/>
                    <w:spacing w:before="0"/>
                    <w:jc w:val="center"/>
                    <w:rPr>
                      <w:rFonts w:cs="Arial"/>
                      <w:b/>
                      <w:bCs/>
                      <w:color w:val="005CA9"/>
                      <w:sz w:val="22"/>
                      <w:szCs w:val="22"/>
                    </w:rPr>
                  </w:pPr>
                  <w:r w:rsidRPr="005F5AF9">
                    <w:rPr>
                      <w:rFonts w:cs="Arial"/>
                      <w:b/>
                      <w:bCs/>
                      <w:color w:val="005CA9"/>
                      <w:sz w:val="22"/>
                      <w:szCs w:val="22"/>
                    </w:rPr>
                    <w:t>NS</w:t>
                  </w:r>
                </w:p>
              </w:tc>
            </w:tr>
            <w:tr w:rsidR="002B08F4" w:rsidRPr="002B08F4" w14:paraId="52C582CF" w14:textId="77777777" w:rsidTr="002B08F4">
              <w:trPr>
                <w:trHeight w:val="570"/>
              </w:trPr>
              <w:tc>
                <w:tcPr>
                  <w:tcW w:w="960" w:type="dxa"/>
                  <w:tcBorders>
                    <w:top w:val="nil"/>
                    <w:left w:val="single" w:sz="4" w:space="0" w:color="auto"/>
                    <w:bottom w:val="single" w:sz="4" w:space="0" w:color="auto"/>
                    <w:right w:val="single" w:sz="4" w:space="0" w:color="auto"/>
                  </w:tcBorders>
                  <w:noWrap/>
                  <w:vAlign w:val="center"/>
                  <w:hideMark/>
                </w:tcPr>
                <w:p w14:paraId="7C0B975B" w14:textId="77777777" w:rsidR="002B08F4" w:rsidRPr="005F5AF9" w:rsidRDefault="002B08F4" w:rsidP="002B08F4">
                  <w:pPr>
                    <w:keepNext w:val="0"/>
                    <w:spacing w:before="0"/>
                    <w:jc w:val="both"/>
                    <w:rPr>
                      <w:rFonts w:cs="Arial"/>
                      <w:color w:val="005CA9"/>
                      <w:sz w:val="22"/>
                      <w:szCs w:val="22"/>
                    </w:rPr>
                  </w:pPr>
                  <w:r w:rsidRPr="005F5AF9">
                    <w:rPr>
                      <w:rFonts w:cs="Arial"/>
                      <w:strike/>
                      <w:color w:val="005CA9"/>
                      <w:sz w:val="22"/>
                      <w:szCs w:val="22"/>
                    </w:rPr>
                    <w:t>H1Vd</w:t>
                  </w:r>
                </w:p>
              </w:tc>
              <w:tc>
                <w:tcPr>
                  <w:tcW w:w="2467" w:type="dxa"/>
                  <w:tcBorders>
                    <w:top w:val="nil"/>
                    <w:left w:val="nil"/>
                    <w:bottom w:val="single" w:sz="4" w:space="0" w:color="auto"/>
                    <w:right w:val="single" w:sz="4" w:space="0" w:color="auto"/>
                  </w:tcBorders>
                  <w:vAlign w:val="center"/>
                  <w:hideMark/>
                </w:tcPr>
                <w:p w14:paraId="63BA6947" w14:textId="77777777" w:rsidR="002B08F4" w:rsidRPr="005F5AF9" w:rsidRDefault="002B08F4" w:rsidP="002B08F4">
                  <w:pPr>
                    <w:keepNext w:val="0"/>
                    <w:spacing w:before="0"/>
                    <w:rPr>
                      <w:rFonts w:cs="Arial"/>
                      <w:color w:val="005CA9"/>
                      <w:sz w:val="22"/>
                      <w:szCs w:val="22"/>
                    </w:rPr>
                  </w:pPr>
                  <w:proofErr w:type="spellStart"/>
                  <w:r w:rsidRPr="005F5AF9">
                    <w:rPr>
                      <w:rFonts w:cs="Arial"/>
                      <w:strike/>
                      <w:color w:val="005CA9"/>
                      <w:sz w:val="22"/>
                      <w:szCs w:val="22"/>
                    </w:rPr>
                    <w:t>Adj</w:t>
                  </w:r>
                  <w:proofErr w:type="spellEnd"/>
                  <w:r w:rsidRPr="005F5AF9">
                    <w:rPr>
                      <w:rFonts w:cs="Arial"/>
                      <w:strike/>
                      <w:color w:val="005CA9"/>
                      <w:sz w:val="22"/>
                      <w:szCs w:val="22"/>
                    </w:rPr>
                    <w:t xml:space="preserve"> 149 Stoney Lane, </w:t>
                  </w:r>
                  <w:proofErr w:type="spellStart"/>
                  <w:r w:rsidRPr="005F5AF9">
                    <w:rPr>
                      <w:rFonts w:cs="Arial"/>
                      <w:strike/>
                      <w:color w:val="005CA9"/>
                      <w:sz w:val="22"/>
                      <w:szCs w:val="22"/>
                    </w:rPr>
                    <w:t>Selston</w:t>
                  </w:r>
                  <w:proofErr w:type="spellEnd"/>
                </w:p>
              </w:tc>
              <w:tc>
                <w:tcPr>
                  <w:tcW w:w="1293" w:type="dxa"/>
                  <w:tcBorders>
                    <w:top w:val="nil"/>
                    <w:left w:val="nil"/>
                    <w:bottom w:val="single" w:sz="4" w:space="0" w:color="auto"/>
                    <w:right w:val="single" w:sz="4" w:space="0" w:color="auto"/>
                  </w:tcBorders>
                  <w:noWrap/>
                  <w:vAlign w:val="center"/>
                  <w:hideMark/>
                </w:tcPr>
                <w:p w14:paraId="0165C64D" w14:textId="77777777" w:rsidR="002B08F4" w:rsidRPr="005F5AF9" w:rsidRDefault="002B08F4" w:rsidP="002B08F4">
                  <w:pPr>
                    <w:keepNext w:val="0"/>
                    <w:spacing w:before="0"/>
                    <w:jc w:val="center"/>
                    <w:rPr>
                      <w:rFonts w:cs="Arial"/>
                      <w:color w:val="005CA9"/>
                      <w:sz w:val="22"/>
                      <w:szCs w:val="22"/>
                    </w:rPr>
                  </w:pPr>
                  <w:r w:rsidRPr="005F5AF9">
                    <w:rPr>
                      <w:rFonts w:cs="Arial"/>
                      <w:strike/>
                      <w:color w:val="005CA9"/>
                      <w:sz w:val="22"/>
                      <w:szCs w:val="22"/>
                    </w:rPr>
                    <w:t>G/B</w:t>
                  </w:r>
                </w:p>
              </w:tc>
              <w:tc>
                <w:tcPr>
                  <w:tcW w:w="1390" w:type="dxa"/>
                  <w:tcBorders>
                    <w:top w:val="nil"/>
                    <w:left w:val="nil"/>
                    <w:bottom w:val="single" w:sz="4" w:space="0" w:color="auto"/>
                    <w:right w:val="single" w:sz="4" w:space="0" w:color="auto"/>
                  </w:tcBorders>
                  <w:noWrap/>
                  <w:vAlign w:val="center"/>
                  <w:hideMark/>
                </w:tcPr>
                <w:p w14:paraId="387534F7" w14:textId="77777777" w:rsidR="002B08F4" w:rsidRPr="005F5AF9" w:rsidRDefault="002B08F4" w:rsidP="002B08F4">
                  <w:pPr>
                    <w:keepNext w:val="0"/>
                    <w:spacing w:before="0"/>
                    <w:jc w:val="center"/>
                    <w:rPr>
                      <w:rFonts w:cs="Arial"/>
                      <w:color w:val="005CA9"/>
                      <w:sz w:val="22"/>
                      <w:szCs w:val="22"/>
                    </w:rPr>
                  </w:pPr>
                  <w:r w:rsidRPr="005F5AF9">
                    <w:rPr>
                      <w:rFonts w:cs="Arial"/>
                      <w:strike/>
                      <w:color w:val="005CA9"/>
                      <w:sz w:val="22"/>
                      <w:szCs w:val="22"/>
                    </w:rPr>
                    <w:t>No</w:t>
                  </w:r>
                </w:p>
              </w:tc>
              <w:tc>
                <w:tcPr>
                  <w:tcW w:w="1500" w:type="dxa"/>
                  <w:tcBorders>
                    <w:top w:val="nil"/>
                    <w:left w:val="nil"/>
                    <w:bottom w:val="single" w:sz="4" w:space="0" w:color="auto"/>
                    <w:right w:val="single" w:sz="4" w:space="0" w:color="auto"/>
                  </w:tcBorders>
                  <w:noWrap/>
                  <w:vAlign w:val="center"/>
                  <w:hideMark/>
                </w:tcPr>
                <w:p w14:paraId="037DBC08" w14:textId="77777777" w:rsidR="002B08F4" w:rsidRPr="005F5AF9" w:rsidRDefault="002B08F4" w:rsidP="002B08F4">
                  <w:pPr>
                    <w:keepNext w:val="0"/>
                    <w:spacing w:before="0"/>
                    <w:jc w:val="right"/>
                    <w:rPr>
                      <w:rFonts w:cs="Arial"/>
                      <w:color w:val="005CA9"/>
                      <w:sz w:val="22"/>
                      <w:szCs w:val="22"/>
                    </w:rPr>
                  </w:pPr>
                  <w:r w:rsidRPr="005F5AF9">
                    <w:rPr>
                      <w:rFonts w:cs="Arial"/>
                      <w:strike/>
                      <w:color w:val="005CA9"/>
                      <w:sz w:val="22"/>
                      <w:szCs w:val="22"/>
                    </w:rPr>
                    <w:t>6</w:t>
                  </w:r>
                </w:p>
              </w:tc>
              <w:tc>
                <w:tcPr>
                  <w:tcW w:w="1487" w:type="dxa"/>
                  <w:tcBorders>
                    <w:top w:val="nil"/>
                    <w:left w:val="nil"/>
                    <w:bottom w:val="single" w:sz="4" w:space="0" w:color="auto"/>
                    <w:right w:val="single" w:sz="4" w:space="0" w:color="auto"/>
                  </w:tcBorders>
                  <w:noWrap/>
                  <w:vAlign w:val="center"/>
                  <w:hideMark/>
                </w:tcPr>
                <w:p w14:paraId="09A324C0" w14:textId="77777777" w:rsidR="002B08F4" w:rsidRPr="002B08F4" w:rsidRDefault="002B08F4" w:rsidP="002B08F4">
                  <w:pPr>
                    <w:keepNext w:val="0"/>
                    <w:spacing w:before="0"/>
                    <w:jc w:val="center"/>
                    <w:rPr>
                      <w:rFonts w:cs="Arial"/>
                      <w:b/>
                      <w:bCs/>
                      <w:color w:val="0070C0"/>
                      <w:sz w:val="22"/>
                      <w:szCs w:val="22"/>
                    </w:rPr>
                  </w:pPr>
                  <w:r w:rsidRPr="002B08F4">
                    <w:rPr>
                      <w:rFonts w:cs="Arial"/>
                      <w:b/>
                      <w:bCs/>
                      <w:color w:val="0070C0"/>
                      <w:sz w:val="22"/>
                      <w:szCs w:val="22"/>
                    </w:rPr>
                    <w:t> </w:t>
                  </w:r>
                </w:p>
              </w:tc>
            </w:tr>
            <w:tr w:rsidR="002B08F4" w:rsidRPr="002B08F4" w14:paraId="4D787397" w14:textId="77777777" w:rsidTr="002B08F4">
              <w:trPr>
                <w:trHeight w:val="570"/>
              </w:trPr>
              <w:tc>
                <w:tcPr>
                  <w:tcW w:w="960" w:type="dxa"/>
                  <w:tcBorders>
                    <w:top w:val="nil"/>
                    <w:left w:val="single" w:sz="4" w:space="0" w:color="auto"/>
                    <w:bottom w:val="single" w:sz="4" w:space="0" w:color="auto"/>
                    <w:right w:val="single" w:sz="4" w:space="0" w:color="auto"/>
                  </w:tcBorders>
                  <w:noWrap/>
                  <w:vAlign w:val="center"/>
                  <w:hideMark/>
                </w:tcPr>
                <w:p w14:paraId="7E382DB7" w14:textId="77777777" w:rsidR="002B08F4" w:rsidRPr="005F5AF9" w:rsidRDefault="002B08F4" w:rsidP="002B08F4">
                  <w:pPr>
                    <w:keepNext w:val="0"/>
                    <w:spacing w:before="0"/>
                    <w:jc w:val="both"/>
                    <w:rPr>
                      <w:rFonts w:cs="Arial"/>
                      <w:color w:val="005CA9"/>
                      <w:sz w:val="22"/>
                      <w:szCs w:val="22"/>
                    </w:rPr>
                  </w:pPr>
                  <w:r w:rsidRPr="005F5AF9">
                    <w:rPr>
                      <w:rFonts w:cs="Arial"/>
                      <w:color w:val="005CA9"/>
                      <w:sz w:val="22"/>
                      <w:szCs w:val="22"/>
                    </w:rPr>
                    <w:t>H1Ve</w:t>
                  </w:r>
                </w:p>
              </w:tc>
              <w:tc>
                <w:tcPr>
                  <w:tcW w:w="2467" w:type="dxa"/>
                  <w:tcBorders>
                    <w:top w:val="nil"/>
                    <w:left w:val="nil"/>
                    <w:bottom w:val="single" w:sz="4" w:space="0" w:color="auto"/>
                    <w:right w:val="single" w:sz="4" w:space="0" w:color="auto"/>
                  </w:tcBorders>
                  <w:vAlign w:val="center"/>
                  <w:hideMark/>
                </w:tcPr>
                <w:p w14:paraId="4C3EC29C" w14:textId="77777777" w:rsidR="002B08F4" w:rsidRPr="005F5AF9" w:rsidRDefault="002B08F4" w:rsidP="002B08F4">
                  <w:pPr>
                    <w:keepNext w:val="0"/>
                    <w:spacing w:before="0"/>
                    <w:rPr>
                      <w:rFonts w:cs="Arial"/>
                      <w:color w:val="005CA9"/>
                      <w:sz w:val="22"/>
                      <w:szCs w:val="22"/>
                    </w:rPr>
                  </w:pPr>
                  <w:r w:rsidRPr="005F5AF9">
                    <w:rPr>
                      <w:rFonts w:cs="Arial"/>
                      <w:color w:val="005CA9"/>
                      <w:sz w:val="22"/>
                      <w:szCs w:val="22"/>
                    </w:rPr>
                    <w:t xml:space="preserve">Land off Park Lane/ South-West M1, </w:t>
                  </w:r>
                  <w:proofErr w:type="spellStart"/>
                  <w:r w:rsidRPr="005F5AF9">
                    <w:rPr>
                      <w:rFonts w:cs="Arial"/>
                      <w:color w:val="005CA9"/>
                      <w:sz w:val="22"/>
                      <w:szCs w:val="22"/>
                    </w:rPr>
                    <w:t>Selston</w:t>
                  </w:r>
                  <w:proofErr w:type="spellEnd"/>
                </w:p>
              </w:tc>
              <w:tc>
                <w:tcPr>
                  <w:tcW w:w="1293" w:type="dxa"/>
                  <w:tcBorders>
                    <w:top w:val="nil"/>
                    <w:left w:val="nil"/>
                    <w:bottom w:val="single" w:sz="4" w:space="0" w:color="auto"/>
                    <w:right w:val="single" w:sz="4" w:space="0" w:color="auto"/>
                  </w:tcBorders>
                  <w:noWrap/>
                  <w:vAlign w:val="center"/>
                  <w:hideMark/>
                </w:tcPr>
                <w:p w14:paraId="1EBCC1B3"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4A5FC080"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No</w:t>
                  </w:r>
                </w:p>
              </w:tc>
              <w:tc>
                <w:tcPr>
                  <w:tcW w:w="1500" w:type="dxa"/>
                  <w:tcBorders>
                    <w:top w:val="nil"/>
                    <w:left w:val="nil"/>
                    <w:bottom w:val="single" w:sz="4" w:space="0" w:color="auto"/>
                    <w:right w:val="single" w:sz="4" w:space="0" w:color="auto"/>
                  </w:tcBorders>
                  <w:noWrap/>
                  <w:vAlign w:val="center"/>
                  <w:hideMark/>
                </w:tcPr>
                <w:p w14:paraId="5668CB7C" w14:textId="77777777" w:rsidR="002B08F4" w:rsidRPr="005F5AF9" w:rsidRDefault="002B08F4" w:rsidP="002B08F4">
                  <w:pPr>
                    <w:keepNext w:val="0"/>
                    <w:spacing w:before="0"/>
                    <w:jc w:val="right"/>
                    <w:rPr>
                      <w:rFonts w:cs="Arial"/>
                      <w:color w:val="005CA9"/>
                      <w:sz w:val="22"/>
                      <w:szCs w:val="22"/>
                    </w:rPr>
                  </w:pPr>
                  <w:proofErr w:type="gramStart"/>
                  <w:r w:rsidRPr="005F5AF9">
                    <w:rPr>
                      <w:rFonts w:cs="Arial"/>
                      <w:strike/>
                      <w:color w:val="005CA9"/>
                      <w:sz w:val="22"/>
                      <w:szCs w:val="22"/>
                    </w:rPr>
                    <w:t>169</w:t>
                  </w:r>
                  <w:r w:rsidRPr="005F5AF9">
                    <w:rPr>
                      <w:rFonts w:cs="Arial"/>
                      <w:color w:val="005CA9"/>
                      <w:sz w:val="22"/>
                      <w:szCs w:val="22"/>
                    </w:rPr>
                    <w:t xml:space="preserve">  </w:t>
                  </w:r>
                  <w:r w:rsidRPr="005F5AF9">
                    <w:rPr>
                      <w:rFonts w:cs="Arial"/>
                      <w:b/>
                      <w:bCs/>
                      <w:color w:val="005CA9"/>
                      <w:sz w:val="22"/>
                      <w:szCs w:val="22"/>
                    </w:rPr>
                    <w:t>137</w:t>
                  </w:r>
                  <w:proofErr w:type="gramEnd"/>
                </w:p>
              </w:tc>
              <w:tc>
                <w:tcPr>
                  <w:tcW w:w="1487" w:type="dxa"/>
                  <w:tcBorders>
                    <w:top w:val="nil"/>
                    <w:left w:val="nil"/>
                    <w:bottom w:val="single" w:sz="4" w:space="0" w:color="auto"/>
                    <w:right w:val="single" w:sz="4" w:space="0" w:color="auto"/>
                  </w:tcBorders>
                  <w:noWrap/>
                  <w:vAlign w:val="center"/>
                  <w:hideMark/>
                </w:tcPr>
                <w:p w14:paraId="0D533DD9" w14:textId="77777777" w:rsidR="002B08F4" w:rsidRPr="005F5AF9" w:rsidRDefault="002B08F4" w:rsidP="002B08F4">
                  <w:pPr>
                    <w:keepNext w:val="0"/>
                    <w:spacing w:before="0"/>
                    <w:jc w:val="center"/>
                    <w:rPr>
                      <w:rFonts w:cs="Arial"/>
                      <w:b/>
                      <w:bCs/>
                      <w:color w:val="005CA9"/>
                      <w:sz w:val="22"/>
                      <w:szCs w:val="22"/>
                    </w:rPr>
                  </w:pPr>
                  <w:r w:rsidRPr="005F5AF9">
                    <w:rPr>
                      <w:rFonts w:cs="Arial"/>
                      <w:b/>
                      <w:bCs/>
                      <w:color w:val="005CA9"/>
                      <w:sz w:val="22"/>
                      <w:szCs w:val="22"/>
                    </w:rPr>
                    <w:t>NS</w:t>
                  </w:r>
                </w:p>
              </w:tc>
            </w:tr>
            <w:tr w:rsidR="002B08F4" w:rsidRPr="002B08F4" w14:paraId="228EC504" w14:textId="77777777" w:rsidTr="002B08F4">
              <w:trPr>
                <w:trHeight w:val="570"/>
              </w:trPr>
              <w:tc>
                <w:tcPr>
                  <w:tcW w:w="960" w:type="dxa"/>
                  <w:tcBorders>
                    <w:top w:val="nil"/>
                    <w:left w:val="single" w:sz="4" w:space="0" w:color="auto"/>
                    <w:bottom w:val="single" w:sz="4" w:space="0" w:color="auto"/>
                    <w:right w:val="single" w:sz="4" w:space="0" w:color="auto"/>
                  </w:tcBorders>
                  <w:noWrap/>
                  <w:vAlign w:val="center"/>
                  <w:hideMark/>
                </w:tcPr>
                <w:p w14:paraId="20F745D1" w14:textId="77777777" w:rsidR="002B08F4" w:rsidRPr="005F5AF9" w:rsidRDefault="002B08F4" w:rsidP="002B08F4">
                  <w:pPr>
                    <w:keepNext w:val="0"/>
                    <w:spacing w:before="0"/>
                    <w:jc w:val="both"/>
                    <w:rPr>
                      <w:rFonts w:cs="Arial"/>
                      <w:color w:val="005CA9"/>
                      <w:sz w:val="22"/>
                      <w:szCs w:val="22"/>
                    </w:rPr>
                  </w:pPr>
                  <w:r w:rsidRPr="005F5AF9">
                    <w:rPr>
                      <w:rFonts w:cs="Arial"/>
                      <w:color w:val="005CA9"/>
                      <w:sz w:val="22"/>
                      <w:szCs w:val="22"/>
                    </w:rPr>
                    <w:t>H1Vg</w:t>
                  </w:r>
                </w:p>
              </w:tc>
              <w:tc>
                <w:tcPr>
                  <w:tcW w:w="2467" w:type="dxa"/>
                  <w:tcBorders>
                    <w:top w:val="nil"/>
                    <w:left w:val="nil"/>
                    <w:bottom w:val="single" w:sz="4" w:space="0" w:color="auto"/>
                    <w:right w:val="single" w:sz="4" w:space="0" w:color="auto"/>
                  </w:tcBorders>
                  <w:vAlign w:val="center"/>
                  <w:hideMark/>
                </w:tcPr>
                <w:p w14:paraId="493E3439" w14:textId="77777777" w:rsidR="002B08F4" w:rsidRPr="005F5AF9" w:rsidRDefault="002B08F4" w:rsidP="002B08F4">
                  <w:pPr>
                    <w:keepNext w:val="0"/>
                    <w:spacing w:before="0"/>
                    <w:rPr>
                      <w:rFonts w:cs="Arial"/>
                      <w:color w:val="005CA9"/>
                      <w:sz w:val="22"/>
                      <w:szCs w:val="22"/>
                    </w:rPr>
                  </w:pPr>
                  <w:r w:rsidRPr="005F5AF9">
                    <w:rPr>
                      <w:rFonts w:cs="Arial"/>
                      <w:color w:val="005CA9"/>
                      <w:sz w:val="22"/>
                      <w:szCs w:val="22"/>
                    </w:rPr>
                    <w:t>Land North of Larch Close, Underwood</w:t>
                  </w:r>
                </w:p>
              </w:tc>
              <w:tc>
                <w:tcPr>
                  <w:tcW w:w="1293" w:type="dxa"/>
                  <w:tcBorders>
                    <w:top w:val="nil"/>
                    <w:left w:val="nil"/>
                    <w:bottom w:val="single" w:sz="4" w:space="0" w:color="auto"/>
                    <w:right w:val="single" w:sz="4" w:space="0" w:color="auto"/>
                  </w:tcBorders>
                  <w:noWrap/>
                  <w:vAlign w:val="center"/>
                  <w:hideMark/>
                </w:tcPr>
                <w:p w14:paraId="72664B9E"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G/B</w:t>
                  </w:r>
                </w:p>
              </w:tc>
              <w:tc>
                <w:tcPr>
                  <w:tcW w:w="1390" w:type="dxa"/>
                  <w:tcBorders>
                    <w:top w:val="nil"/>
                    <w:left w:val="nil"/>
                    <w:bottom w:val="single" w:sz="4" w:space="0" w:color="auto"/>
                    <w:right w:val="single" w:sz="4" w:space="0" w:color="auto"/>
                  </w:tcBorders>
                  <w:noWrap/>
                  <w:vAlign w:val="center"/>
                  <w:hideMark/>
                </w:tcPr>
                <w:p w14:paraId="596FCF3A"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No</w:t>
                  </w:r>
                </w:p>
              </w:tc>
              <w:tc>
                <w:tcPr>
                  <w:tcW w:w="1500" w:type="dxa"/>
                  <w:tcBorders>
                    <w:top w:val="nil"/>
                    <w:left w:val="nil"/>
                    <w:bottom w:val="single" w:sz="4" w:space="0" w:color="auto"/>
                    <w:right w:val="single" w:sz="4" w:space="0" w:color="auto"/>
                  </w:tcBorders>
                  <w:noWrap/>
                  <w:vAlign w:val="center"/>
                  <w:hideMark/>
                </w:tcPr>
                <w:p w14:paraId="316DD464" w14:textId="77777777" w:rsidR="002B08F4" w:rsidRPr="005F5AF9" w:rsidRDefault="002B08F4" w:rsidP="002B08F4">
                  <w:pPr>
                    <w:keepNext w:val="0"/>
                    <w:spacing w:before="0"/>
                    <w:jc w:val="right"/>
                    <w:rPr>
                      <w:rFonts w:cs="Arial"/>
                      <w:color w:val="005CA9"/>
                      <w:sz w:val="22"/>
                      <w:szCs w:val="22"/>
                    </w:rPr>
                  </w:pPr>
                  <w:r w:rsidRPr="005F5AF9">
                    <w:rPr>
                      <w:rFonts w:cs="Arial"/>
                      <w:color w:val="005CA9"/>
                      <w:sz w:val="22"/>
                      <w:szCs w:val="22"/>
                    </w:rPr>
                    <w:t>52</w:t>
                  </w:r>
                </w:p>
              </w:tc>
              <w:tc>
                <w:tcPr>
                  <w:tcW w:w="1487" w:type="dxa"/>
                  <w:tcBorders>
                    <w:top w:val="nil"/>
                    <w:left w:val="nil"/>
                    <w:bottom w:val="single" w:sz="4" w:space="0" w:color="auto"/>
                    <w:right w:val="single" w:sz="4" w:space="0" w:color="auto"/>
                  </w:tcBorders>
                  <w:noWrap/>
                  <w:vAlign w:val="center"/>
                  <w:hideMark/>
                </w:tcPr>
                <w:p w14:paraId="5D79BE84" w14:textId="77777777" w:rsidR="002B08F4" w:rsidRPr="005F5AF9" w:rsidRDefault="002B08F4" w:rsidP="002B08F4">
                  <w:pPr>
                    <w:keepNext w:val="0"/>
                    <w:spacing w:before="0"/>
                    <w:jc w:val="center"/>
                    <w:rPr>
                      <w:rFonts w:cs="Arial"/>
                      <w:b/>
                      <w:bCs/>
                      <w:color w:val="005CA9"/>
                      <w:sz w:val="22"/>
                      <w:szCs w:val="22"/>
                    </w:rPr>
                  </w:pPr>
                  <w:r w:rsidRPr="005F5AF9">
                    <w:rPr>
                      <w:rFonts w:cs="Arial"/>
                      <w:b/>
                      <w:bCs/>
                      <w:color w:val="005CA9"/>
                      <w:sz w:val="22"/>
                      <w:szCs w:val="22"/>
                    </w:rPr>
                    <w:t>NS</w:t>
                  </w:r>
                </w:p>
              </w:tc>
            </w:tr>
            <w:tr w:rsidR="002B08F4" w:rsidRPr="002B08F4" w14:paraId="7E65A679" w14:textId="77777777" w:rsidTr="002B08F4">
              <w:trPr>
                <w:trHeight w:val="570"/>
              </w:trPr>
              <w:tc>
                <w:tcPr>
                  <w:tcW w:w="960" w:type="dxa"/>
                  <w:tcBorders>
                    <w:top w:val="nil"/>
                    <w:left w:val="single" w:sz="4" w:space="0" w:color="auto"/>
                    <w:bottom w:val="single" w:sz="4" w:space="0" w:color="auto"/>
                    <w:right w:val="single" w:sz="4" w:space="0" w:color="auto"/>
                  </w:tcBorders>
                  <w:noWrap/>
                  <w:vAlign w:val="center"/>
                  <w:hideMark/>
                </w:tcPr>
                <w:p w14:paraId="5A28F5FB" w14:textId="77777777" w:rsidR="002B08F4" w:rsidRPr="005F5AF9" w:rsidRDefault="002B08F4" w:rsidP="002B08F4">
                  <w:pPr>
                    <w:keepNext w:val="0"/>
                    <w:spacing w:before="0"/>
                    <w:jc w:val="both"/>
                    <w:rPr>
                      <w:rFonts w:cs="Arial"/>
                      <w:color w:val="005CA9"/>
                      <w:sz w:val="22"/>
                      <w:szCs w:val="22"/>
                    </w:rPr>
                  </w:pPr>
                  <w:r w:rsidRPr="005F5AF9">
                    <w:rPr>
                      <w:rFonts w:cs="Arial"/>
                      <w:color w:val="005CA9"/>
                      <w:sz w:val="22"/>
                      <w:szCs w:val="22"/>
                    </w:rPr>
                    <w:t>H1Vh</w:t>
                  </w:r>
                </w:p>
              </w:tc>
              <w:tc>
                <w:tcPr>
                  <w:tcW w:w="2467" w:type="dxa"/>
                  <w:tcBorders>
                    <w:top w:val="nil"/>
                    <w:left w:val="nil"/>
                    <w:bottom w:val="single" w:sz="4" w:space="0" w:color="auto"/>
                    <w:right w:val="single" w:sz="4" w:space="0" w:color="auto"/>
                  </w:tcBorders>
                  <w:vAlign w:val="center"/>
                  <w:hideMark/>
                </w:tcPr>
                <w:p w14:paraId="70717B9E" w14:textId="77777777" w:rsidR="002B08F4" w:rsidRPr="005F5AF9" w:rsidRDefault="002B08F4" w:rsidP="002B08F4">
                  <w:pPr>
                    <w:keepNext w:val="0"/>
                    <w:spacing w:before="0"/>
                    <w:rPr>
                      <w:rFonts w:cs="Arial"/>
                      <w:color w:val="005CA9"/>
                      <w:sz w:val="22"/>
                      <w:szCs w:val="22"/>
                    </w:rPr>
                  </w:pPr>
                  <w:r w:rsidRPr="005F5AF9">
                    <w:rPr>
                      <w:rFonts w:cs="Arial"/>
                      <w:color w:val="005CA9"/>
                      <w:sz w:val="22"/>
                      <w:szCs w:val="22"/>
                    </w:rPr>
                    <w:t>Rear of 64-82 Church Lane, Underwood</w:t>
                  </w:r>
                </w:p>
              </w:tc>
              <w:tc>
                <w:tcPr>
                  <w:tcW w:w="1293" w:type="dxa"/>
                  <w:tcBorders>
                    <w:top w:val="nil"/>
                    <w:left w:val="nil"/>
                    <w:bottom w:val="single" w:sz="4" w:space="0" w:color="auto"/>
                    <w:right w:val="single" w:sz="4" w:space="0" w:color="auto"/>
                  </w:tcBorders>
                  <w:noWrap/>
                  <w:vAlign w:val="center"/>
                  <w:hideMark/>
                </w:tcPr>
                <w:p w14:paraId="4CA049A5"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3C36127D" w14:textId="77777777" w:rsidR="002B08F4" w:rsidRPr="005F5AF9" w:rsidRDefault="002B08F4" w:rsidP="002B08F4">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Part</w:t>
                  </w:r>
                </w:p>
              </w:tc>
              <w:tc>
                <w:tcPr>
                  <w:tcW w:w="1500" w:type="dxa"/>
                  <w:tcBorders>
                    <w:top w:val="nil"/>
                    <w:left w:val="nil"/>
                    <w:bottom w:val="single" w:sz="4" w:space="0" w:color="auto"/>
                    <w:right w:val="single" w:sz="4" w:space="0" w:color="auto"/>
                  </w:tcBorders>
                  <w:noWrap/>
                  <w:vAlign w:val="center"/>
                  <w:hideMark/>
                </w:tcPr>
                <w:p w14:paraId="01700D32" w14:textId="77777777" w:rsidR="002B08F4" w:rsidRPr="005F5AF9" w:rsidRDefault="002B08F4" w:rsidP="002B08F4">
                  <w:pPr>
                    <w:keepNext w:val="0"/>
                    <w:spacing w:before="0"/>
                    <w:jc w:val="right"/>
                    <w:rPr>
                      <w:rFonts w:cs="Arial"/>
                      <w:color w:val="005CA9"/>
                      <w:sz w:val="22"/>
                      <w:szCs w:val="22"/>
                    </w:rPr>
                  </w:pPr>
                  <w:r w:rsidRPr="005F5AF9">
                    <w:rPr>
                      <w:rFonts w:cs="Arial"/>
                      <w:color w:val="005CA9"/>
                      <w:sz w:val="22"/>
                      <w:szCs w:val="22"/>
                    </w:rPr>
                    <w:t>10</w:t>
                  </w:r>
                </w:p>
              </w:tc>
              <w:tc>
                <w:tcPr>
                  <w:tcW w:w="1487" w:type="dxa"/>
                  <w:tcBorders>
                    <w:top w:val="nil"/>
                    <w:left w:val="nil"/>
                    <w:bottom w:val="single" w:sz="4" w:space="0" w:color="auto"/>
                    <w:right w:val="single" w:sz="4" w:space="0" w:color="auto"/>
                  </w:tcBorders>
                  <w:noWrap/>
                  <w:vAlign w:val="center"/>
                  <w:hideMark/>
                </w:tcPr>
                <w:p w14:paraId="42B6EB17" w14:textId="77777777" w:rsidR="002B08F4" w:rsidRPr="005F5AF9" w:rsidRDefault="002B08F4" w:rsidP="002B08F4">
                  <w:pPr>
                    <w:keepNext w:val="0"/>
                    <w:spacing w:before="0"/>
                    <w:jc w:val="center"/>
                    <w:rPr>
                      <w:rFonts w:cs="Arial"/>
                      <w:b/>
                      <w:bCs/>
                      <w:color w:val="005CA9"/>
                      <w:sz w:val="22"/>
                      <w:szCs w:val="22"/>
                    </w:rPr>
                  </w:pPr>
                  <w:r w:rsidRPr="005F5AF9">
                    <w:rPr>
                      <w:rFonts w:cs="Arial"/>
                      <w:b/>
                      <w:bCs/>
                      <w:color w:val="005CA9"/>
                      <w:sz w:val="22"/>
                      <w:szCs w:val="22"/>
                    </w:rPr>
                    <w:t>NS</w:t>
                  </w:r>
                </w:p>
              </w:tc>
            </w:tr>
            <w:tr w:rsidR="002B08F4" w:rsidRPr="002B08F4" w14:paraId="49A6EFFC" w14:textId="77777777" w:rsidTr="002B08F4">
              <w:trPr>
                <w:trHeight w:val="570"/>
              </w:trPr>
              <w:tc>
                <w:tcPr>
                  <w:tcW w:w="960" w:type="dxa"/>
                  <w:tcBorders>
                    <w:top w:val="nil"/>
                    <w:left w:val="single" w:sz="4" w:space="0" w:color="auto"/>
                    <w:bottom w:val="single" w:sz="4" w:space="0" w:color="auto"/>
                    <w:right w:val="single" w:sz="4" w:space="0" w:color="auto"/>
                  </w:tcBorders>
                  <w:noWrap/>
                  <w:vAlign w:val="center"/>
                  <w:hideMark/>
                </w:tcPr>
                <w:p w14:paraId="1CB06273" w14:textId="77777777" w:rsidR="002B08F4" w:rsidRPr="005F5AF9" w:rsidRDefault="002B08F4" w:rsidP="002B08F4">
                  <w:pPr>
                    <w:keepNext w:val="0"/>
                    <w:spacing w:before="0"/>
                    <w:jc w:val="both"/>
                    <w:rPr>
                      <w:rFonts w:cs="Arial"/>
                      <w:color w:val="005CA9"/>
                      <w:sz w:val="22"/>
                      <w:szCs w:val="22"/>
                    </w:rPr>
                  </w:pPr>
                  <w:r w:rsidRPr="005F5AF9">
                    <w:rPr>
                      <w:rFonts w:cs="Arial"/>
                      <w:color w:val="005CA9"/>
                      <w:sz w:val="22"/>
                      <w:szCs w:val="22"/>
                    </w:rPr>
                    <w:t>H1Vi</w:t>
                  </w:r>
                </w:p>
              </w:tc>
              <w:tc>
                <w:tcPr>
                  <w:tcW w:w="2467" w:type="dxa"/>
                  <w:tcBorders>
                    <w:top w:val="nil"/>
                    <w:left w:val="nil"/>
                    <w:bottom w:val="single" w:sz="4" w:space="0" w:color="auto"/>
                    <w:right w:val="single" w:sz="4" w:space="0" w:color="auto"/>
                  </w:tcBorders>
                  <w:vAlign w:val="center"/>
                  <w:hideMark/>
                </w:tcPr>
                <w:p w14:paraId="35BD9E3C" w14:textId="77777777" w:rsidR="002B08F4" w:rsidRPr="005F5AF9" w:rsidRDefault="002B08F4" w:rsidP="002B08F4">
                  <w:pPr>
                    <w:keepNext w:val="0"/>
                    <w:spacing w:before="0"/>
                    <w:rPr>
                      <w:rFonts w:cs="Arial"/>
                      <w:color w:val="005CA9"/>
                      <w:sz w:val="22"/>
                      <w:szCs w:val="22"/>
                    </w:rPr>
                  </w:pPr>
                  <w:proofErr w:type="spellStart"/>
                  <w:r w:rsidRPr="005F5AF9">
                    <w:rPr>
                      <w:rFonts w:cs="Arial"/>
                      <w:color w:val="005CA9"/>
                      <w:sz w:val="22"/>
                      <w:szCs w:val="22"/>
                    </w:rPr>
                    <w:t>Westdale</w:t>
                  </w:r>
                  <w:proofErr w:type="spellEnd"/>
                  <w:r w:rsidRPr="005F5AF9">
                    <w:rPr>
                      <w:rFonts w:cs="Arial"/>
                      <w:color w:val="005CA9"/>
                      <w:sz w:val="22"/>
                      <w:szCs w:val="22"/>
                    </w:rPr>
                    <w:t xml:space="preserve"> Road/Rutland Road, </w:t>
                  </w:r>
                  <w:proofErr w:type="spellStart"/>
                  <w:r w:rsidRPr="005F5AF9">
                    <w:rPr>
                      <w:rFonts w:cs="Arial"/>
                      <w:color w:val="005CA9"/>
                      <w:sz w:val="22"/>
                      <w:szCs w:val="22"/>
                    </w:rPr>
                    <w:t>Jacksdale</w:t>
                  </w:r>
                  <w:proofErr w:type="spellEnd"/>
                </w:p>
              </w:tc>
              <w:tc>
                <w:tcPr>
                  <w:tcW w:w="1293" w:type="dxa"/>
                  <w:tcBorders>
                    <w:top w:val="nil"/>
                    <w:left w:val="nil"/>
                    <w:bottom w:val="single" w:sz="4" w:space="0" w:color="auto"/>
                    <w:right w:val="single" w:sz="4" w:space="0" w:color="auto"/>
                  </w:tcBorders>
                  <w:noWrap/>
                  <w:vAlign w:val="center"/>
                  <w:hideMark/>
                </w:tcPr>
                <w:p w14:paraId="466C3013"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3F7D1F4C"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No</w:t>
                  </w:r>
                </w:p>
              </w:tc>
              <w:tc>
                <w:tcPr>
                  <w:tcW w:w="1500" w:type="dxa"/>
                  <w:tcBorders>
                    <w:top w:val="nil"/>
                    <w:left w:val="nil"/>
                    <w:bottom w:val="single" w:sz="4" w:space="0" w:color="auto"/>
                    <w:right w:val="single" w:sz="4" w:space="0" w:color="auto"/>
                  </w:tcBorders>
                  <w:noWrap/>
                  <w:vAlign w:val="center"/>
                  <w:hideMark/>
                </w:tcPr>
                <w:p w14:paraId="3E266AA5" w14:textId="77777777" w:rsidR="002B08F4" w:rsidRPr="005F5AF9" w:rsidRDefault="002B08F4" w:rsidP="002B08F4">
                  <w:pPr>
                    <w:keepNext w:val="0"/>
                    <w:spacing w:before="0"/>
                    <w:jc w:val="right"/>
                    <w:rPr>
                      <w:rFonts w:cs="Arial"/>
                      <w:color w:val="005CA9"/>
                      <w:sz w:val="22"/>
                      <w:szCs w:val="22"/>
                    </w:rPr>
                  </w:pPr>
                  <w:r w:rsidRPr="005F5AF9">
                    <w:rPr>
                      <w:rFonts w:cs="Arial"/>
                      <w:color w:val="005CA9"/>
                      <w:sz w:val="22"/>
                      <w:szCs w:val="22"/>
                    </w:rPr>
                    <w:t>22</w:t>
                  </w:r>
                </w:p>
              </w:tc>
              <w:tc>
                <w:tcPr>
                  <w:tcW w:w="1487" w:type="dxa"/>
                  <w:tcBorders>
                    <w:top w:val="nil"/>
                    <w:left w:val="nil"/>
                    <w:bottom w:val="single" w:sz="4" w:space="0" w:color="auto"/>
                    <w:right w:val="single" w:sz="4" w:space="0" w:color="auto"/>
                  </w:tcBorders>
                  <w:noWrap/>
                  <w:vAlign w:val="center"/>
                  <w:hideMark/>
                </w:tcPr>
                <w:p w14:paraId="62D61315" w14:textId="77777777" w:rsidR="002B08F4" w:rsidRPr="005F5AF9" w:rsidRDefault="002B08F4" w:rsidP="002B08F4">
                  <w:pPr>
                    <w:keepNext w:val="0"/>
                    <w:spacing w:before="0"/>
                    <w:jc w:val="center"/>
                    <w:rPr>
                      <w:rFonts w:cs="Arial"/>
                      <w:b/>
                      <w:bCs/>
                      <w:color w:val="005CA9"/>
                      <w:sz w:val="22"/>
                      <w:szCs w:val="22"/>
                    </w:rPr>
                  </w:pPr>
                  <w:r w:rsidRPr="005F5AF9">
                    <w:rPr>
                      <w:rFonts w:cs="Arial"/>
                      <w:b/>
                      <w:bCs/>
                      <w:color w:val="005CA9"/>
                      <w:sz w:val="22"/>
                      <w:szCs w:val="22"/>
                    </w:rPr>
                    <w:t>NS</w:t>
                  </w:r>
                </w:p>
              </w:tc>
            </w:tr>
            <w:tr w:rsidR="002B08F4" w:rsidRPr="002B08F4" w14:paraId="1689C65B" w14:textId="77777777" w:rsidTr="002B08F4">
              <w:trPr>
                <w:trHeight w:val="570"/>
              </w:trPr>
              <w:tc>
                <w:tcPr>
                  <w:tcW w:w="960" w:type="dxa"/>
                  <w:tcBorders>
                    <w:top w:val="nil"/>
                    <w:left w:val="single" w:sz="4" w:space="0" w:color="auto"/>
                    <w:bottom w:val="single" w:sz="4" w:space="0" w:color="auto"/>
                    <w:right w:val="single" w:sz="4" w:space="0" w:color="auto"/>
                  </w:tcBorders>
                  <w:noWrap/>
                  <w:vAlign w:val="center"/>
                  <w:hideMark/>
                </w:tcPr>
                <w:p w14:paraId="24516AD8" w14:textId="77777777" w:rsidR="002B08F4" w:rsidRPr="005F5AF9" w:rsidRDefault="002B08F4" w:rsidP="002B08F4">
                  <w:pPr>
                    <w:keepNext w:val="0"/>
                    <w:spacing w:before="0"/>
                    <w:jc w:val="both"/>
                    <w:rPr>
                      <w:rFonts w:cs="Arial"/>
                      <w:color w:val="005CA9"/>
                      <w:sz w:val="22"/>
                      <w:szCs w:val="22"/>
                    </w:rPr>
                  </w:pPr>
                  <w:r w:rsidRPr="005F5AF9">
                    <w:rPr>
                      <w:rFonts w:cs="Arial"/>
                      <w:color w:val="005CA9"/>
                      <w:sz w:val="22"/>
                      <w:szCs w:val="22"/>
                    </w:rPr>
                    <w:t>H1Vj</w:t>
                  </w:r>
                </w:p>
              </w:tc>
              <w:tc>
                <w:tcPr>
                  <w:tcW w:w="2467" w:type="dxa"/>
                  <w:tcBorders>
                    <w:top w:val="nil"/>
                    <w:left w:val="nil"/>
                    <w:bottom w:val="single" w:sz="4" w:space="0" w:color="auto"/>
                    <w:right w:val="single" w:sz="4" w:space="0" w:color="auto"/>
                  </w:tcBorders>
                  <w:vAlign w:val="center"/>
                  <w:hideMark/>
                </w:tcPr>
                <w:p w14:paraId="627CA134" w14:textId="77777777" w:rsidR="002B08F4" w:rsidRPr="005F5AF9" w:rsidRDefault="002B08F4" w:rsidP="002B08F4">
                  <w:pPr>
                    <w:keepNext w:val="0"/>
                    <w:spacing w:before="0"/>
                    <w:rPr>
                      <w:rFonts w:cs="Arial"/>
                      <w:color w:val="005CA9"/>
                      <w:sz w:val="22"/>
                      <w:szCs w:val="22"/>
                    </w:rPr>
                  </w:pPr>
                  <w:r w:rsidRPr="005F5AF9">
                    <w:rPr>
                      <w:rFonts w:cs="Arial"/>
                      <w:color w:val="005CA9"/>
                      <w:sz w:val="22"/>
                      <w:szCs w:val="22"/>
                    </w:rPr>
                    <w:t xml:space="preserve">Land off Main Road, </w:t>
                  </w:r>
                  <w:proofErr w:type="spellStart"/>
                  <w:r w:rsidRPr="005F5AF9">
                    <w:rPr>
                      <w:rFonts w:cs="Arial"/>
                      <w:color w:val="005CA9"/>
                      <w:sz w:val="22"/>
                      <w:szCs w:val="22"/>
                    </w:rPr>
                    <w:t>Jacksdale</w:t>
                  </w:r>
                  <w:proofErr w:type="spellEnd"/>
                </w:p>
              </w:tc>
              <w:tc>
                <w:tcPr>
                  <w:tcW w:w="1293" w:type="dxa"/>
                  <w:tcBorders>
                    <w:top w:val="nil"/>
                    <w:left w:val="nil"/>
                    <w:bottom w:val="single" w:sz="4" w:space="0" w:color="auto"/>
                    <w:right w:val="single" w:sz="4" w:space="0" w:color="auto"/>
                  </w:tcBorders>
                  <w:noWrap/>
                  <w:vAlign w:val="center"/>
                  <w:hideMark/>
                </w:tcPr>
                <w:p w14:paraId="624145B2" w14:textId="77777777" w:rsidR="002B08F4" w:rsidRPr="005F5AF9" w:rsidRDefault="002B08F4" w:rsidP="002B08F4">
                  <w:pPr>
                    <w:keepNext w:val="0"/>
                    <w:spacing w:before="0"/>
                    <w:jc w:val="center"/>
                    <w:rPr>
                      <w:rFonts w:cs="Arial"/>
                      <w:color w:val="005CA9"/>
                      <w:sz w:val="22"/>
                      <w:szCs w:val="22"/>
                    </w:rPr>
                  </w:pPr>
                  <w:r w:rsidRPr="005F5AF9">
                    <w:rPr>
                      <w:rFonts w:cs="Arial"/>
                      <w:color w:val="005CA9"/>
                      <w:sz w:val="22"/>
                      <w:szCs w:val="22"/>
                    </w:rPr>
                    <w:t>G</w:t>
                  </w:r>
                </w:p>
              </w:tc>
              <w:tc>
                <w:tcPr>
                  <w:tcW w:w="1390" w:type="dxa"/>
                  <w:tcBorders>
                    <w:top w:val="nil"/>
                    <w:left w:val="nil"/>
                    <w:bottom w:val="single" w:sz="4" w:space="0" w:color="auto"/>
                    <w:right w:val="single" w:sz="4" w:space="0" w:color="auto"/>
                  </w:tcBorders>
                  <w:noWrap/>
                  <w:vAlign w:val="center"/>
                  <w:hideMark/>
                </w:tcPr>
                <w:p w14:paraId="7D1B9687" w14:textId="77777777" w:rsidR="002B08F4" w:rsidRPr="005F5AF9" w:rsidRDefault="002B08F4" w:rsidP="002B08F4">
                  <w:pPr>
                    <w:keepNext w:val="0"/>
                    <w:spacing w:before="0"/>
                    <w:jc w:val="center"/>
                    <w:rPr>
                      <w:rFonts w:cs="Arial"/>
                      <w:color w:val="005CA9"/>
                      <w:sz w:val="22"/>
                      <w:szCs w:val="22"/>
                    </w:rPr>
                  </w:pPr>
                  <w:r w:rsidRPr="005F5AF9">
                    <w:rPr>
                      <w:rFonts w:cs="Arial"/>
                      <w:strike/>
                      <w:color w:val="005CA9"/>
                      <w:sz w:val="22"/>
                      <w:szCs w:val="22"/>
                    </w:rPr>
                    <w:t>No</w:t>
                  </w:r>
                  <w:r w:rsidRPr="005F5AF9">
                    <w:rPr>
                      <w:rFonts w:cs="Arial"/>
                      <w:color w:val="005CA9"/>
                      <w:sz w:val="22"/>
                      <w:szCs w:val="22"/>
                    </w:rPr>
                    <w:t xml:space="preserve"> </w:t>
                  </w:r>
                  <w:r w:rsidRPr="005F5AF9">
                    <w:rPr>
                      <w:rFonts w:cs="Arial"/>
                      <w:b/>
                      <w:bCs/>
                      <w:color w:val="005CA9"/>
                      <w:sz w:val="22"/>
                      <w:szCs w:val="22"/>
                    </w:rPr>
                    <w:t>Yes</w:t>
                  </w:r>
                </w:p>
              </w:tc>
              <w:tc>
                <w:tcPr>
                  <w:tcW w:w="1500" w:type="dxa"/>
                  <w:tcBorders>
                    <w:top w:val="nil"/>
                    <w:left w:val="nil"/>
                    <w:bottom w:val="single" w:sz="4" w:space="0" w:color="auto"/>
                    <w:right w:val="single" w:sz="4" w:space="0" w:color="auto"/>
                  </w:tcBorders>
                  <w:noWrap/>
                  <w:vAlign w:val="center"/>
                  <w:hideMark/>
                </w:tcPr>
                <w:p w14:paraId="266AA338" w14:textId="77777777" w:rsidR="002B08F4" w:rsidRPr="005F5AF9" w:rsidRDefault="002B08F4" w:rsidP="002B08F4">
                  <w:pPr>
                    <w:keepNext w:val="0"/>
                    <w:spacing w:before="0"/>
                    <w:jc w:val="right"/>
                    <w:rPr>
                      <w:rFonts w:cs="Arial"/>
                      <w:color w:val="005CA9"/>
                      <w:sz w:val="22"/>
                      <w:szCs w:val="22"/>
                    </w:rPr>
                  </w:pPr>
                  <w:r w:rsidRPr="005F5AF9">
                    <w:rPr>
                      <w:rFonts w:cs="Arial"/>
                      <w:color w:val="005CA9"/>
                      <w:sz w:val="22"/>
                      <w:szCs w:val="22"/>
                    </w:rPr>
                    <w:t>81</w:t>
                  </w:r>
                </w:p>
              </w:tc>
              <w:tc>
                <w:tcPr>
                  <w:tcW w:w="1487" w:type="dxa"/>
                  <w:tcBorders>
                    <w:top w:val="nil"/>
                    <w:left w:val="nil"/>
                    <w:bottom w:val="single" w:sz="4" w:space="0" w:color="auto"/>
                    <w:right w:val="single" w:sz="4" w:space="0" w:color="auto"/>
                  </w:tcBorders>
                  <w:noWrap/>
                  <w:vAlign w:val="center"/>
                  <w:hideMark/>
                </w:tcPr>
                <w:p w14:paraId="64045DA7" w14:textId="77777777" w:rsidR="002B08F4" w:rsidRPr="005F5AF9" w:rsidRDefault="002B08F4" w:rsidP="002B08F4">
                  <w:pPr>
                    <w:keepNext w:val="0"/>
                    <w:spacing w:before="0"/>
                    <w:jc w:val="center"/>
                    <w:rPr>
                      <w:rFonts w:cs="Arial"/>
                      <w:b/>
                      <w:bCs/>
                      <w:color w:val="005CA9"/>
                      <w:sz w:val="22"/>
                      <w:szCs w:val="22"/>
                    </w:rPr>
                  </w:pPr>
                  <w:r w:rsidRPr="005F5AF9">
                    <w:rPr>
                      <w:rFonts w:cs="Arial"/>
                      <w:b/>
                      <w:bCs/>
                      <w:color w:val="005CA9"/>
                      <w:sz w:val="22"/>
                      <w:szCs w:val="22"/>
                    </w:rPr>
                    <w:t>UC</w:t>
                  </w:r>
                </w:p>
              </w:tc>
            </w:tr>
            <w:tr w:rsidR="002B08F4" w:rsidRPr="002B08F4" w14:paraId="241D598B" w14:textId="77777777" w:rsidTr="002B08F4">
              <w:trPr>
                <w:trHeight w:val="300"/>
              </w:trPr>
              <w:tc>
                <w:tcPr>
                  <w:tcW w:w="960" w:type="dxa"/>
                  <w:tcBorders>
                    <w:top w:val="nil"/>
                    <w:left w:val="single" w:sz="4" w:space="0" w:color="auto"/>
                    <w:bottom w:val="single" w:sz="4" w:space="0" w:color="auto"/>
                    <w:right w:val="single" w:sz="4" w:space="0" w:color="auto"/>
                  </w:tcBorders>
                  <w:noWrap/>
                  <w:vAlign w:val="center"/>
                  <w:hideMark/>
                </w:tcPr>
                <w:p w14:paraId="3E8B601C" w14:textId="77777777" w:rsidR="002B08F4" w:rsidRPr="002B08F4" w:rsidRDefault="002B08F4" w:rsidP="002B08F4">
                  <w:pPr>
                    <w:keepNext w:val="0"/>
                    <w:spacing w:before="0"/>
                    <w:jc w:val="both"/>
                    <w:rPr>
                      <w:rFonts w:cs="Arial"/>
                      <w:color w:val="0070C0"/>
                      <w:sz w:val="22"/>
                      <w:szCs w:val="22"/>
                    </w:rPr>
                  </w:pPr>
                  <w:r w:rsidRPr="002B08F4">
                    <w:rPr>
                      <w:rFonts w:cs="Arial"/>
                      <w:color w:val="0070C0"/>
                      <w:sz w:val="22"/>
                      <w:szCs w:val="22"/>
                    </w:rPr>
                    <w:t> </w:t>
                  </w:r>
                </w:p>
              </w:tc>
              <w:tc>
                <w:tcPr>
                  <w:tcW w:w="2467" w:type="dxa"/>
                  <w:tcBorders>
                    <w:top w:val="nil"/>
                    <w:left w:val="nil"/>
                    <w:bottom w:val="single" w:sz="4" w:space="0" w:color="auto"/>
                    <w:right w:val="single" w:sz="4" w:space="0" w:color="auto"/>
                  </w:tcBorders>
                  <w:vAlign w:val="center"/>
                  <w:hideMark/>
                </w:tcPr>
                <w:p w14:paraId="03F2DDDA" w14:textId="77777777" w:rsidR="002B08F4" w:rsidRPr="002B08F4" w:rsidRDefault="002B08F4" w:rsidP="002B08F4">
                  <w:pPr>
                    <w:keepNext w:val="0"/>
                    <w:spacing w:before="0"/>
                    <w:jc w:val="both"/>
                    <w:rPr>
                      <w:rFonts w:cs="Arial"/>
                      <w:color w:val="0070C0"/>
                      <w:sz w:val="22"/>
                      <w:szCs w:val="22"/>
                    </w:rPr>
                  </w:pPr>
                  <w:r w:rsidRPr="002B08F4">
                    <w:rPr>
                      <w:rFonts w:cs="Arial"/>
                      <w:color w:val="0070C0"/>
                      <w:sz w:val="22"/>
                      <w:szCs w:val="22"/>
                    </w:rPr>
                    <w:t> </w:t>
                  </w:r>
                </w:p>
              </w:tc>
              <w:tc>
                <w:tcPr>
                  <w:tcW w:w="1293" w:type="dxa"/>
                  <w:tcBorders>
                    <w:top w:val="nil"/>
                    <w:left w:val="nil"/>
                    <w:bottom w:val="single" w:sz="4" w:space="0" w:color="auto"/>
                    <w:right w:val="single" w:sz="4" w:space="0" w:color="auto"/>
                  </w:tcBorders>
                  <w:noWrap/>
                  <w:vAlign w:val="center"/>
                  <w:hideMark/>
                </w:tcPr>
                <w:p w14:paraId="1735B935" w14:textId="77777777" w:rsidR="002B08F4" w:rsidRPr="002B08F4" w:rsidRDefault="002B08F4" w:rsidP="002B08F4">
                  <w:pPr>
                    <w:keepNext w:val="0"/>
                    <w:spacing w:before="0"/>
                    <w:jc w:val="center"/>
                    <w:rPr>
                      <w:rFonts w:cs="Arial"/>
                      <w:color w:val="0070C0"/>
                      <w:sz w:val="22"/>
                      <w:szCs w:val="22"/>
                    </w:rPr>
                  </w:pPr>
                  <w:r w:rsidRPr="002B08F4">
                    <w:rPr>
                      <w:rFonts w:cs="Arial"/>
                      <w:color w:val="0070C0"/>
                      <w:sz w:val="22"/>
                      <w:szCs w:val="22"/>
                    </w:rPr>
                    <w:t> </w:t>
                  </w:r>
                </w:p>
              </w:tc>
              <w:tc>
                <w:tcPr>
                  <w:tcW w:w="1390" w:type="dxa"/>
                  <w:tcBorders>
                    <w:top w:val="nil"/>
                    <w:left w:val="nil"/>
                    <w:bottom w:val="single" w:sz="4" w:space="0" w:color="auto"/>
                    <w:right w:val="single" w:sz="4" w:space="0" w:color="auto"/>
                  </w:tcBorders>
                  <w:noWrap/>
                  <w:vAlign w:val="center"/>
                  <w:hideMark/>
                </w:tcPr>
                <w:p w14:paraId="030EE4E6" w14:textId="77777777" w:rsidR="002B08F4" w:rsidRPr="002B08F4" w:rsidRDefault="002B08F4" w:rsidP="002B08F4">
                  <w:pPr>
                    <w:keepNext w:val="0"/>
                    <w:spacing w:before="0"/>
                    <w:jc w:val="center"/>
                    <w:rPr>
                      <w:rFonts w:cs="Arial"/>
                      <w:color w:val="0070C0"/>
                      <w:sz w:val="22"/>
                      <w:szCs w:val="22"/>
                    </w:rPr>
                  </w:pPr>
                  <w:r w:rsidRPr="002B08F4">
                    <w:rPr>
                      <w:rFonts w:cs="Arial"/>
                      <w:color w:val="0070C0"/>
                      <w:sz w:val="22"/>
                      <w:szCs w:val="22"/>
                    </w:rPr>
                    <w:t> </w:t>
                  </w:r>
                </w:p>
              </w:tc>
              <w:tc>
                <w:tcPr>
                  <w:tcW w:w="1500" w:type="dxa"/>
                  <w:tcBorders>
                    <w:top w:val="nil"/>
                    <w:left w:val="nil"/>
                    <w:bottom w:val="single" w:sz="4" w:space="0" w:color="auto"/>
                    <w:right w:val="single" w:sz="4" w:space="0" w:color="auto"/>
                  </w:tcBorders>
                  <w:noWrap/>
                  <w:vAlign w:val="center"/>
                  <w:hideMark/>
                </w:tcPr>
                <w:p w14:paraId="6D6FF955" w14:textId="77777777" w:rsidR="002B08F4" w:rsidRPr="005F5AF9" w:rsidRDefault="002B08F4" w:rsidP="002B08F4">
                  <w:pPr>
                    <w:keepNext w:val="0"/>
                    <w:spacing w:before="0"/>
                    <w:jc w:val="right"/>
                    <w:rPr>
                      <w:rFonts w:cs="Arial"/>
                      <w:b/>
                      <w:bCs/>
                      <w:color w:val="005CA9"/>
                      <w:sz w:val="22"/>
                      <w:szCs w:val="22"/>
                    </w:rPr>
                  </w:pPr>
                  <w:r w:rsidRPr="005F5AF9">
                    <w:rPr>
                      <w:rFonts w:cs="Arial"/>
                      <w:b/>
                      <w:bCs/>
                      <w:color w:val="005CA9"/>
                      <w:sz w:val="22"/>
                      <w:szCs w:val="22"/>
                    </w:rPr>
                    <w:t>557</w:t>
                  </w:r>
                </w:p>
              </w:tc>
              <w:tc>
                <w:tcPr>
                  <w:tcW w:w="1487" w:type="dxa"/>
                  <w:tcBorders>
                    <w:top w:val="nil"/>
                    <w:left w:val="nil"/>
                    <w:bottom w:val="single" w:sz="4" w:space="0" w:color="auto"/>
                    <w:right w:val="single" w:sz="4" w:space="0" w:color="auto"/>
                  </w:tcBorders>
                  <w:noWrap/>
                  <w:vAlign w:val="center"/>
                  <w:hideMark/>
                </w:tcPr>
                <w:p w14:paraId="7BBD3168" w14:textId="77777777" w:rsidR="002B08F4" w:rsidRPr="002B08F4" w:rsidRDefault="002B08F4" w:rsidP="002B08F4">
                  <w:pPr>
                    <w:keepNext w:val="0"/>
                    <w:spacing w:before="0"/>
                    <w:jc w:val="center"/>
                    <w:rPr>
                      <w:rFonts w:cs="Arial"/>
                      <w:b/>
                      <w:bCs/>
                      <w:color w:val="0070C0"/>
                      <w:sz w:val="22"/>
                      <w:szCs w:val="22"/>
                    </w:rPr>
                  </w:pPr>
                  <w:r w:rsidRPr="002B08F4">
                    <w:rPr>
                      <w:rFonts w:cs="Arial"/>
                      <w:b/>
                      <w:bCs/>
                      <w:color w:val="0070C0"/>
                      <w:sz w:val="22"/>
                      <w:szCs w:val="22"/>
                    </w:rPr>
                    <w:t> </w:t>
                  </w:r>
                </w:p>
              </w:tc>
            </w:tr>
          </w:tbl>
          <w:p w14:paraId="3263FF76" w14:textId="77777777" w:rsidR="00C44B0C" w:rsidRDefault="00C44B0C" w:rsidP="008B5F49">
            <w:pPr>
              <w:pStyle w:val="Policy"/>
              <w:spacing w:after="0" w:line="240" w:lineRule="auto"/>
              <w:ind w:left="0" w:right="284"/>
              <w:rPr>
                <w:rStyle w:val="Heading10"/>
                <w:rFonts w:cs="Arial"/>
                <w:highlight w:val="yellow"/>
              </w:rPr>
            </w:pPr>
          </w:p>
          <w:p w14:paraId="4AA2EDD4" w14:textId="77777777" w:rsidR="00211171" w:rsidRPr="005F5AF9" w:rsidRDefault="00211171" w:rsidP="00BA6CF7">
            <w:pPr>
              <w:pStyle w:val="Policy"/>
              <w:spacing w:after="0" w:line="240" w:lineRule="auto"/>
              <w:ind w:left="596" w:right="284" w:hanging="171"/>
              <w:rPr>
                <w:rStyle w:val="Heading10"/>
                <w:rFonts w:cs="Arial"/>
                <w:bCs/>
                <w:color w:val="005CA9"/>
              </w:rPr>
            </w:pPr>
            <w:r w:rsidRPr="00CD6284">
              <w:rPr>
                <w:rStyle w:val="Heading10"/>
                <w:rFonts w:cs="Arial"/>
                <w:b w:val="0"/>
                <w:color w:val="auto"/>
              </w:rPr>
              <w:t>*</w:t>
            </w:r>
            <w:r w:rsidRPr="00CD6284">
              <w:rPr>
                <w:rStyle w:val="Heading10"/>
                <w:rFonts w:cs="Arial"/>
                <w:color w:val="auto"/>
              </w:rPr>
              <w:t xml:space="preserve"> </w:t>
            </w:r>
            <w:r w:rsidRPr="00CD6284">
              <w:rPr>
                <w:rStyle w:val="Heading10"/>
                <w:rFonts w:cs="Arial"/>
                <w:b w:val="0"/>
                <w:bCs/>
                <w:color w:val="auto"/>
              </w:rPr>
              <w:t xml:space="preserve">Sites with planning permission </w:t>
            </w:r>
            <w:proofErr w:type="gramStart"/>
            <w:r w:rsidRPr="00CD6284">
              <w:rPr>
                <w:rStyle w:val="Heading10"/>
                <w:rFonts w:cs="Arial"/>
                <w:b w:val="0"/>
                <w:bCs/>
                <w:color w:val="auto"/>
              </w:rPr>
              <w:t>at</w:t>
            </w:r>
            <w:proofErr w:type="gramEnd"/>
            <w:r w:rsidRPr="00CD6284">
              <w:rPr>
                <w:rStyle w:val="Heading10"/>
                <w:rFonts w:cs="Arial"/>
                <w:b w:val="0"/>
                <w:bCs/>
                <w:color w:val="auto"/>
              </w:rPr>
              <w:t xml:space="preserve"> 31</w:t>
            </w:r>
            <w:r w:rsidRPr="00CD6284">
              <w:rPr>
                <w:rStyle w:val="Heading10"/>
                <w:rFonts w:cs="Arial"/>
                <w:b w:val="0"/>
                <w:bCs/>
                <w:color w:val="auto"/>
                <w:vertAlign w:val="superscript"/>
              </w:rPr>
              <w:t>st</w:t>
            </w:r>
            <w:r w:rsidRPr="00CD6284">
              <w:rPr>
                <w:rStyle w:val="Heading10"/>
                <w:rFonts w:cs="Arial"/>
                <w:b w:val="0"/>
                <w:bCs/>
                <w:color w:val="auto"/>
              </w:rPr>
              <w:t xml:space="preserve"> </w:t>
            </w:r>
            <w:r w:rsidR="0051086F" w:rsidRPr="00CD6284">
              <w:rPr>
                <w:rStyle w:val="Heading10"/>
                <w:rFonts w:cs="Arial"/>
                <w:b w:val="0"/>
                <w:bCs/>
                <w:strike/>
                <w:color w:val="auto"/>
              </w:rPr>
              <w:t>August</w:t>
            </w:r>
            <w:r w:rsidR="00BA5209" w:rsidRPr="00CD6284">
              <w:rPr>
                <w:rStyle w:val="Heading10"/>
                <w:rFonts w:cs="Arial"/>
                <w:b w:val="0"/>
                <w:bCs/>
                <w:strike/>
                <w:color w:val="auto"/>
              </w:rPr>
              <w:t xml:space="preserve"> 2023</w:t>
            </w:r>
            <w:r w:rsidR="00FF5D55" w:rsidRPr="00CD6284">
              <w:rPr>
                <w:rStyle w:val="Heading10"/>
                <w:rFonts w:cs="Arial"/>
                <w:b w:val="0"/>
                <w:bCs/>
                <w:strike/>
                <w:color w:val="auto"/>
              </w:rPr>
              <w:t xml:space="preserve"> </w:t>
            </w:r>
            <w:r w:rsidR="00FF5D55" w:rsidRPr="005F5AF9">
              <w:rPr>
                <w:rStyle w:val="Heading10"/>
                <w:rFonts w:cs="Arial"/>
                <w:b w:val="0"/>
                <w:color w:val="005CA9"/>
              </w:rPr>
              <w:t>January 2026</w:t>
            </w:r>
          </w:p>
          <w:p w14:paraId="516E2AB4" w14:textId="73F8680A" w:rsidR="00CD6284" w:rsidRPr="00CD6284" w:rsidRDefault="00CD6284" w:rsidP="00BA6CF7">
            <w:pPr>
              <w:pStyle w:val="Policy"/>
              <w:spacing w:after="0" w:line="240" w:lineRule="auto"/>
              <w:ind w:left="596" w:right="284" w:hanging="171"/>
              <w:rPr>
                <w:rStyle w:val="Heading10"/>
                <w:rFonts w:cs="Arial"/>
                <w:b w:val="0"/>
                <w:color w:val="0070C0"/>
                <w:highlight w:val="yellow"/>
              </w:rPr>
            </w:pPr>
            <w:r w:rsidRPr="005F5AF9">
              <w:rPr>
                <w:rStyle w:val="Heading10"/>
                <w:rFonts w:cs="Arial"/>
                <w:b w:val="0"/>
                <w:color w:val="005CA9"/>
              </w:rPr>
              <w:t>^ Site has had a resolution to grant planning permission subject to the signing of a section 106 legal agreement in respect of developer contributions</w:t>
            </w:r>
          </w:p>
          <w:p w14:paraId="19ADCB16" w14:textId="7AC99F6F" w:rsidR="00CD6284" w:rsidRPr="00FF5D55" w:rsidRDefault="00CD6284" w:rsidP="00BA6CF7">
            <w:pPr>
              <w:pStyle w:val="Policy"/>
              <w:spacing w:after="0" w:line="240" w:lineRule="auto"/>
              <w:ind w:left="596" w:right="284" w:hanging="171"/>
              <w:rPr>
                <w:rStyle w:val="Heading10"/>
                <w:rFonts w:cs="Arial"/>
                <w:b w:val="0"/>
                <w:bCs/>
                <w:color w:val="auto"/>
                <w:highlight w:val="yellow"/>
              </w:rPr>
            </w:pPr>
          </w:p>
        </w:tc>
      </w:tr>
      <w:bookmarkEnd w:id="197"/>
      <w:tr w:rsidR="0081756B" w:rsidRPr="003736C4" w14:paraId="186ACE07" w14:textId="77777777" w:rsidTr="000339D2">
        <w:tc>
          <w:tcPr>
            <w:tcW w:w="2122" w:type="dxa"/>
          </w:tcPr>
          <w:p w14:paraId="23F6B4A0" w14:textId="77777777" w:rsidR="0081756B" w:rsidRPr="00CD6284" w:rsidRDefault="0081756B" w:rsidP="000032A9">
            <w:pPr>
              <w:pStyle w:val="Policy"/>
              <w:spacing w:after="0" w:line="240" w:lineRule="auto"/>
              <w:ind w:left="360" w:right="284" w:hanging="360"/>
              <w:rPr>
                <w:sz w:val="20"/>
              </w:rPr>
            </w:pPr>
            <w:r w:rsidRPr="00CD6284">
              <w:rPr>
                <w:rFonts w:cs="Arial"/>
                <w:bCs/>
                <w:sz w:val="20"/>
              </w:rPr>
              <w:lastRenderedPageBreak/>
              <w:t>E</w:t>
            </w:r>
            <w:r w:rsidRPr="00CD6284">
              <w:rPr>
                <w:bCs/>
                <w:sz w:val="20"/>
              </w:rPr>
              <w:t>vide</w:t>
            </w:r>
            <w:r w:rsidRPr="00CD6284">
              <w:rPr>
                <w:sz w:val="20"/>
              </w:rPr>
              <w:t>nce Base</w:t>
            </w:r>
          </w:p>
          <w:p w14:paraId="7D3715A0" w14:textId="54678F71" w:rsidR="0081756B" w:rsidRPr="00CD6284" w:rsidRDefault="0081756B" w:rsidP="000032A9">
            <w:pPr>
              <w:pStyle w:val="Policy"/>
              <w:spacing w:after="0" w:line="240" w:lineRule="auto"/>
              <w:ind w:left="0" w:right="284"/>
              <w:rPr>
                <w:rFonts w:cs="Arial"/>
                <w:sz w:val="20"/>
              </w:rPr>
            </w:pPr>
          </w:p>
        </w:tc>
        <w:tc>
          <w:tcPr>
            <w:tcW w:w="7366" w:type="dxa"/>
            <w:gridSpan w:val="2"/>
          </w:tcPr>
          <w:p w14:paraId="38662780" w14:textId="292B63DF" w:rsidR="0081756B" w:rsidRPr="00CD6284" w:rsidRDefault="0081756B" w:rsidP="00874A98">
            <w:pPr>
              <w:pStyle w:val="Policy"/>
              <w:numPr>
                <w:ilvl w:val="0"/>
                <w:numId w:val="126"/>
              </w:numPr>
              <w:tabs>
                <w:tab w:val="clear" w:pos="680"/>
                <w:tab w:val="left" w:pos="315"/>
              </w:tabs>
              <w:spacing w:after="0" w:line="240" w:lineRule="auto"/>
              <w:ind w:left="173" w:right="284" w:hanging="173"/>
              <w:rPr>
                <w:rFonts w:cs="Arial"/>
                <w:b/>
                <w:sz w:val="20"/>
              </w:rPr>
            </w:pPr>
            <w:r w:rsidRPr="00CD6284">
              <w:rPr>
                <w:rFonts w:cs="Arial"/>
                <w:bCs/>
                <w:sz w:val="20"/>
              </w:rPr>
              <w:t>S</w:t>
            </w:r>
            <w:r w:rsidRPr="00CD6284">
              <w:rPr>
                <w:sz w:val="20"/>
              </w:rPr>
              <w:t>trategic Housing and Economic Land Availability Assessment (SHELAA)</w:t>
            </w:r>
            <w:r w:rsidR="006E25C7" w:rsidRPr="00CD6284">
              <w:rPr>
                <w:sz w:val="20"/>
              </w:rPr>
              <w:t>.</w:t>
            </w:r>
            <w:r w:rsidRPr="00CD6284">
              <w:rPr>
                <w:sz w:val="20"/>
              </w:rPr>
              <w:t xml:space="preserve"> Ashfield D</w:t>
            </w:r>
            <w:r w:rsidR="006E25C7" w:rsidRPr="00CD6284">
              <w:rPr>
                <w:sz w:val="20"/>
              </w:rPr>
              <w:t xml:space="preserve">istrict </w:t>
            </w:r>
            <w:r w:rsidRPr="00CD6284">
              <w:rPr>
                <w:sz w:val="20"/>
              </w:rPr>
              <w:t>C</w:t>
            </w:r>
            <w:r w:rsidR="006E25C7" w:rsidRPr="00CD6284">
              <w:rPr>
                <w:sz w:val="20"/>
              </w:rPr>
              <w:t>ouncil</w:t>
            </w:r>
          </w:p>
          <w:p w14:paraId="45F7CB93" w14:textId="5915C343" w:rsidR="003E1FF0" w:rsidRPr="00CD6284" w:rsidRDefault="003E1FF0" w:rsidP="00874A98">
            <w:pPr>
              <w:pStyle w:val="Policy"/>
              <w:numPr>
                <w:ilvl w:val="0"/>
                <w:numId w:val="126"/>
              </w:numPr>
              <w:tabs>
                <w:tab w:val="clear" w:pos="680"/>
                <w:tab w:val="left" w:pos="315"/>
              </w:tabs>
              <w:spacing w:after="0" w:line="240" w:lineRule="auto"/>
              <w:ind w:left="173" w:right="284" w:hanging="173"/>
              <w:rPr>
                <w:rFonts w:cs="Arial"/>
                <w:b/>
                <w:sz w:val="20"/>
              </w:rPr>
            </w:pPr>
            <w:bookmarkStart w:id="199" w:name="_Hlk141349879"/>
            <w:r w:rsidRPr="00CD6284">
              <w:rPr>
                <w:sz w:val="20"/>
              </w:rPr>
              <w:t>Background Paper 1:</w:t>
            </w:r>
            <w:r w:rsidR="005A0919" w:rsidRPr="00CD6284">
              <w:t xml:space="preserve"> </w:t>
            </w:r>
            <w:r w:rsidR="005A0919" w:rsidRPr="00CD6284">
              <w:rPr>
                <w:sz w:val="20"/>
              </w:rPr>
              <w:t>Spatial Strategy and Site Section 2023</w:t>
            </w:r>
            <w:bookmarkEnd w:id="199"/>
            <w:r w:rsidR="005A0919" w:rsidRPr="00CD6284">
              <w:rPr>
                <w:sz w:val="20"/>
              </w:rPr>
              <w:t>, Ashfield District Council</w:t>
            </w:r>
          </w:p>
          <w:p w14:paraId="04C4C133" w14:textId="428A1617" w:rsidR="00B40389" w:rsidRPr="00CD6284" w:rsidRDefault="00F86477" w:rsidP="00874A98">
            <w:pPr>
              <w:pStyle w:val="Policy"/>
              <w:numPr>
                <w:ilvl w:val="0"/>
                <w:numId w:val="126"/>
              </w:numPr>
              <w:tabs>
                <w:tab w:val="clear" w:pos="680"/>
                <w:tab w:val="left" w:pos="315"/>
              </w:tabs>
              <w:spacing w:after="0" w:line="240" w:lineRule="auto"/>
              <w:ind w:left="173" w:right="284" w:hanging="173"/>
              <w:rPr>
                <w:rFonts w:cs="Arial"/>
                <w:b/>
                <w:sz w:val="20"/>
              </w:rPr>
            </w:pPr>
            <w:r w:rsidRPr="00CD6284">
              <w:rPr>
                <w:bCs/>
                <w:sz w:val="20"/>
              </w:rPr>
              <w:lastRenderedPageBreak/>
              <w:t>Backgro</w:t>
            </w:r>
            <w:r w:rsidR="0074669E" w:rsidRPr="00CD6284">
              <w:rPr>
                <w:bCs/>
                <w:sz w:val="20"/>
              </w:rPr>
              <w:t>u</w:t>
            </w:r>
            <w:r w:rsidRPr="00CD6284">
              <w:rPr>
                <w:bCs/>
                <w:sz w:val="20"/>
              </w:rPr>
              <w:t>nd</w:t>
            </w:r>
            <w:r w:rsidR="0074669E" w:rsidRPr="00CD6284">
              <w:rPr>
                <w:bCs/>
                <w:sz w:val="20"/>
              </w:rPr>
              <w:t xml:space="preserve"> </w:t>
            </w:r>
            <w:r w:rsidRPr="00CD6284">
              <w:rPr>
                <w:bCs/>
                <w:sz w:val="20"/>
              </w:rPr>
              <w:t>Paper</w:t>
            </w:r>
            <w:r w:rsidR="0074669E" w:rsidRPr="00CD6284">
              <w:rPr>
                <w:bCs/>
                <w:sz w:val="20"/>
              </w:rPr>
              <w:t xml:space="preserve"> </w:t>
            </w:r>
            <w:r w:rsidRPr="00CD6284">
              <w:rPr>
                <w:bCs/>
                <w:sz w:val="20"/>
              </w:rPr>
              <w:t>2</w:t>
            </w:r>
            <w:r w:rsidR="007075B1" w:rsidRPr="00CD6284">
              <w:rPr>
                <w:bCs/>
                <w:sz w:val="20"/>
              </w:rPr>
              <w:t>:</w:t>
            </w:r>
            <w:r w:rsidRPr="00CD6284">
              <w:rPr>
                <w:bCs/>
                <w:sz w:val="20"/>
              </w:rPr>
              <w:t xml:space="preserve"> Housing</w:t>
            </w:r>
            <w:r w:rsidR="007075B1" w:rsidRPr="00CD6284">
              <w:rPr>
                <w:bCs/>
                <w:sz w:val="20"/>
              </w:rPr>
              <w:t xml:space="preserve"> 202</w:t>
            </w:r>
            <w:r w:rsidR="00B94708" w:rsidRPr="00CD6284">
              <w:rPr>
                <w:bCs/>
                <w:sz w:val="20"/>
              </w:rPr>
              <w:t>3</w:t>
            </w:r>
            <w:r w:rsidR="007075B1" w:rsidRPr="00CD6284">
              <w:rPr>
                <w:bCs/>
                <w:sz w:val="20"/>
              </w:rPr>
              <w:t>,</w:t>
            </w:r>
            <w:r w:rsidRPr="00CD6284">
              <w:rPr>
                <w:bCs/>
                <w:sz w:val="20"/>
              </w:rPr>
              <w:t xml:space="preserve"> Ashfield District Council</w:t>
            </w:r>
            <w:r w:rsidR="007075B1" w:rsidRPr="00CD6284">
              <w:rPr>
                <w:bCs/>
                <w:sz w:val="20"/>
              </w:rPr>
              <w:t>.</w:t>
            </w:r>
          </w:p>
          <w:p w14:paraId="45458E24" w14:textId="7F193F4B" w:rsidR="008016CC" w:rsidRPr="009C4ECF" w:rsidRDefault="00B40389" w:rsidP="009C4ECF">
            <w:pPr>
              <w:pStyle w:val="Policy"/>
              <w:numPr>
                <w:ilvl w:val="0"/>
                <w:numId w:val="126"/>
              </w:numPr>
              <w:tabs>
                <w:tab w:val="clear" w:pos="680"/>
                <w:tab w:val="left" w:pos="315"/>
              </w:tabs>
              <w:spacing w:after="0" w:line="240" w:lineRule="auto"/>
              <w:ind w:left="173" w:right="284" w:hanging="173"/>
              <w:rPr>
                <w:rFonts w:cs="Arial"/>
                <w:bCs/>
                <w:color w:val="0070C0"/>
                <w:sz w:val="20"/>
              </w:rPr>
            </w:pPr>
            <w:r w:rsidRPr="00CD6284">
              <w:rPr>
                <w:rFonts w:cs="Arial"/>
                <w:bCs/>
                <w:sz w:val="20"/>
              </w:rPr>
              <w:t>Sustainability Appraisal, 2023. WSP UK Limited.</w:t>
            </w:r>
          </w:p>
        </w:tc>
      </w:tr>
      <w:tr w:rsidR="0081756B" w:rsidRPr="0026790A" w14:paraId="6DD03C6C" w14:textId="77777777" w:rsidTr="000339D2">
        <w:tc>
          <w:tcPr>
            <w:tcW w:w="2122" w:type="dxa"/>
          </w:tcPr>
          <w:p w14:paraId="522BD287" w14:textId="68AAF909" w:rsidR="0081756B" w:rsidRPr="00CD6284" w:rsidRDefault="0081756B" w:rsidP="000032A9">
            <w:pPr>
              <w:pStyle w:val="Pa31"/>
              <w:spacing w:after="0" w:line="240" w:lineRule="auto"/>
              <w:ind w:right="284"/>
              <w:rPr>
                <w:rFonts w:eastAsia="Arial" w:cs="Arial"/>
                <w:bCs/>
                <w:sz w:val="20"/>
                <w:szCs w:val="20"/>
                <w:lang w:eastAsia="en-US"/>
              </w:rPr>
            </w:pPr>
            <w:r w:rsidRPr="00CD6284">
              <w:rPr>
                <w:rFonts w:eastAsia="Arial" w:cs="Arial"/>
                <w:bCs/>
                <w:sz w:val="20"/>
                <w:szCs w:val="20"/>
                <w:lang w:eastAsia="en-US"/>
              </w:rPr>
              <w:lastRenderedPageBreak/>
              <w:t>National Planning Policy and Guidance</w:t>
            </w:r>
          </w:p>
        </w:tc>
        <w:tc>
          <w:tcPr>
            <w:tcW w:w="7366" w:type="dxa"/>
            <w:gridSpan w:val="2"/>
          </w:tcPr>
          <w:p w14:paraId="0220CD94" w14:textId="38305FB8" w:rsidR="0081756B" w:rsidRPr="00CD6284" w:rsidRDefault="0081756B" w:rsidP="00874A98">
            <w:pPr>
              <w:keepNext w:val="0"/>
              <w:numPr>
                <w:ilvl w:val="0"/>
                <w:numId w:val="119"/>
              </w:numPr>
              <w:tabs>
                <w:tab w:val="left" w:pos="680"/>
                <w:tab w:val="left" w:pos="1133"/>
                <w:tab w:val="left" w:pos="2267"/>
              </w:tabs>
              <w:spacing w:before="0" w:after="160" w:line="252" w:lineRule="auto"/>
              <w:ind w:left="173" w:right="284" w:hanging="173"/>
              <w:contextualSpacing/>
              <w:rPr>
                <w:rFonts w:eastAsia="Arial" w:cs="Arial"/>
                <w:bCs/>
                <w:sz w:val="20"/>
              </w:rPr>
            </w:pPr>
            <w:r w:rsidRPr="00CD6284">
              <w:rPr>
                <w:rFonts w:eastAsia="Arial" w:cs="Arial"/>
                <w:bCs/>
                <w:color w:val="auto"/>
                <w:sz w:val="20"/>
                <w:lang w:eastAsia="en-US"/>
              </w:rPr>
              <w:t>NPP</w:t>
            </w:r>
            <w:r w:rsidR="004173E0" w:rsidRPr="00CD6284">
              <w:rPr>
                <w:rFonts w:eastAsia="Arial" w:cs="Arial"/>
                <w:bCs/>
                <w:color w:val="auto"/>
                <w:sz w:val="20"/>
                <w:lang w:eastAsia="en-US"/>
              </w:rPr>
              <w:t>F</w:t>
            </w:r>
            <w:r w:rsidRPr="00CD6284">
              <w:rPr>
                <w:rFonts w:eastAsia="Arial" w:cs="Arial"/>
                <w:bCs/>
                <w:color w:val="auto"/>
                <w:sz w:val="20"/>
                <w:lang w:eastAsia="en-US"/>
              </w:rPr>
              <w:t xml:space="preserve"> 202</w:t>
            </w:r>
            <w:r w:rsidR="004173E0" w:rsidRPr="00CD6284">
              <w:rPr>
                <w:rFonts w:eastAsia="Arial" w:cs="Arial"/>
                <w:bCs/>
                <w:color w:val="auto"/>
                <w:sz w:val="20"/>
                <w:lang w:eastAsia="en-US"/>
              </w:rPr>
              <w:t>3</w:t>
            </w:r>
            <w:r w:rsidRPr="00CD6284">
              <w:rPr>
                <w:rFonts w:eastAsia="Arial" w:cs="Arial"/>
                <w:bCs/>
                <w:color w:val="auto"/>
                <w:sz w:val="20"/>
                <w:lang w:eastAsia="en-US"/>
              </w:rPr>
              <w:t xml:space="preserve">, Part 2: Achieving </w:t>
            </w:r>
            <w:r w:rsidRPr="00CD6284">
              <w:rPr>
                <w:rFonts w:eastAsia="Arial" w:cs="Arial"/>
                <w:bCs/>
                <w:sz w:val="20"/>
              </w:rPr>
              <w:t>s</w:t>
            </w:r>
            <w:r w:rsidRPr="00CD6284">
              <w:rPr>
                <w:rFonts w:eastAsia="Arial" w:cs="Arial"/>
                <w:bCs/>
                <w:color w:val="auto"/>
                <w:sz w:val="20"/>
                <w:lang w:eastAsia="en-US"/>
              </w:rPr>
              <w:t xml:space="preserve">ustainable </w:t>
            </w:r>
            <w:r w:rsidRPr="00CD6284">
              <w:rPr>
                <w:rFonts w:eastAsia="Arial" w:cs="Arial"/>
                <w:bCs/>
                <w:sz w:val="20"/>
              </w:rPr>
              <w:t>d</w:t>
            </w:r>
            <w:r w:rsidRPr="00CD6284">
              <w:rPr>
                <w:rFonts w:eastAsia="Arial" w:cs="Arial"/>
                <w:bCs/>
                <w:color w:val="auto"/>
                <w:sz w:val="20"/>
                <w:lang w:eastAsia="en-US"/>
              </w:rPr>
              <w:t>evelopment.</w:t>
            </w:r>
          </w:p>
          <w:p w14:paraId="3F7B4B2E" w14:textId="2C0A949F" w:rsidR="0081756B" w:rsidRPr="00CD6284" w:rsidRDefault="0081756B" w:rsidP="00874A98">
            <w:pPr>
              <w:keepNext w:val="0"/>
              <w:numPr>
                <w:ilvl w:val="0"/>
                <w:numId w:val="119"/>
              </w:numPr>
              <w:tabs>
                <w:tab w:val="left" w:pos="680"/>
                <w:tab w:val="left" w:pos="1133"/>
                <w:tab w:val="left" w:pos="2267"/>
              </w:tabs>
              <w:spacing w:before="0" w:after="160" w:line="252" w:lineRule="auto"/>
              <w:ind w:left="173" w:right="284" w:hanging="173"/>
              <w:contextualSpacing/>
              <w:rPr>
                <w:rFonts w:eastAsia="Arial" w:cs="Arial"/>
                <w:bCs/>
                <w:sz w:val="20"/>
              </w:rPr>
            </w:pPr>
            <w:r w:rsidRPr="00CD6284">
              <w:rPr>
                <w:rFonts w:eastAsia="Arial" w:cs="Arial"/>
                <w:bCs/>
                <w:color w:val="auto"/>
                <w:sz w:val="20"/>
                <w:lang w:eastAsia="en-US"/>
              </w:rPr>
              <w:t>NPPF 202</w:t>
            </w:r>
            <w:r w:rsidR="004173E0" w:rsidRPr="00CD6284">
              <w:rPr>
                <w:rFonts w:eastAsia="Arial" w:cs="Arial"/>
                <w:bCs/>
                <w:color w:val="auto"/>
                <w:sz w:val="20"/>
                <w:lang w:eastAsia="en-US"/>
              </w:rPr>
              <w:t>3</w:t>
            </w:r>
            <w:r w:rsidRPr="00CD6284">
              <w:rPr>
                <w:rFonts w:eastAsia="Arial" w:cs="Arial"/>
                <w:bCs/>
                <w:color w:val="auto"/>
                <w:sz w:val="20"/>
                <w:lang w:eastAsia="en-US"/>
              </w:rPr>
              <w:t xml:space="preserve">, Part </w:t>
            </w:r>
            <w:r w:rsidRPr="00CD6284">
              <w:rPr>
                <w:rFonts w:eastAsia="Arial" w:cs="Arial"/>
                <w:bCs/>
                <w:sz w:val="20"/>
              </w:rPr>
              <w:t>5: Delivering a sufficient supply of homes</w:t>
            </w:r>
            <w:r w:rsidR="00B40389" w:rsidRPr="00CD6284">
              <w:rPr>
                <w:rFonts w:eastAsia="Arial" w:cs="Arial"/>
                <w:bCs/>
                <w:sz w:val="20"/>
              </w:rPr>
              <w:t>.</w:t>
            </w:r>
          </w:p>
          <w:p w14:paraId="78000830" w14:textId="34E9A3E4" w:rsidR="0081756B" w:rsidRPr="00CD6284" w:rsidRDefault="0081756B" w:rsidP="00874A98">
            <w:pPr>
              <w:keepNext w:val="0"/>
              <w:numPr>
                <w:ilvl w:val="0"/>
                <w:numId w:val="119"/>
              </w:numPr>
              <w:tabs>
                <w:tab w:val="left" w:pos="680"/>
                <w:tab w:val="left" w:pos="1133"/>
                <w:tab w:val="left" w:pos="2267"/>
              </w:tabs>
              <w:spacing w:before="0" w:after="160" w:line="252" w:lineRule="auto"/>
              <w:ind w:left="173" w:right="284" w:hanging="173"/>
              <w:contextualSpacing/>
              <w:rPr>
                <w:rFonts w:eastAsia="Arial" w:cs="Arial"/>
                <w:bCs/>
                <w:sz w:val="20"/>
              </w:rPr>
            </w:pPr>
            <w:r w:rsidRPr="00CD6284">
              <w:rPr>
                <w:rFonts w:eastAsia="Arial" w:cs="Arial"/>
                <w:bCs/>
                <w:sz w:val="20"/>
              </w:rPr>
              <w:t>Planning Practice Guidance: Effective use of land</w:t>
            </w:r>
            <w:r w:rsidR="00B40389" w:rsidRPr="00CD6284">
              <w:rPr>
                <w:rFonts w:eastAsia="Arial" w:cs="Arial"/>
                <w:bCs/>
                <w:sz w:val="20"/>
              </w:rPr>
              <w:t>.</w:t>
            </w:r>
          </w:p>
          <w:p w14:paraId="34472089" w14:textId="3DC9A952" w:rsidR="0081756B" w:rsidRPr="00CD6284" w:rsidRDefault="0081756B" w:rsidP="00874A98">
            <w:pPr>
              <w:keepNext w:val="0"/>
              <w:numPr>
                <w:ilvl w:val="0"/>
                <w:numId w:val="119"/>
              </w:numPr>
              <w:tabs>
                <w:tab w:val="left" w:pos="680"/>
                <w:tab w:val="left" w:pos="1133"/>
                <w:tab w:val="left" w:pos="2267"/>
              </w:tabs>
              <w:spacing w:before="0" w:after="160" w:line="252" w:lineRule="auto"/>
              <w:ind w:left="173" w:right="284" w:hanging="173"/>
              <w:contextualSpacing/>
              <w:rPr>
                <w:rFonts w:eastAsia="Arial" w:cs="Arial"/>
                <w:bCs/>
                <w:sz w:val="20"/>
              </w:rPr>
            </w:pPr>
            <w:r w:rsidRPr="00CD6284">
              <w:rPr>
                <w:rFonts w:eastAsia="Arial" w:cs="Arial"/>
                <w:bCs/>
                <w:sz w:val="20"/>
              </w:rPr>
              <w:t xml:space="preserve">Planning Practice Guidance: </w:t>
            </w:r>
            <w:r w:rsidRPr="00CD6284">
              <w:rPr>
                <w:sz w:val="20"/>
              </w:rPr>
              <w:t>Housing and Economic Land Availability Assessment</w:t>
            </w:r>
            <w:r w:rsidR="00DA5747" w:rsidRPr="00CD6284">
              <w:rPr>
                <w:sz w:val="20"/>
              </w:rPr>
              <w:t>.</w:t>
            </w:r>
          </w:p>
          <w:p w14:paraId="76386D91" w14:textId="34DC9E5E" w:rsidR="0081756B" w:rsidRPr="00CD6284" w:rsidRDefault="0081756B" w:rsidP="00874A98">
            <w:pPr>
              <w:keepNext w:val="0"/>
              <w:numPr>
                <w:ilvl w:val="0"/>
                <w:numId w:val="119"/>
              </w:numPr>
              <w:tabs>
                <w:tab w:val="left" w:pos="680"/>
                <w:tab w:val="left" w:pos="1133"/>
                <w:tab w:val="left" w:pos="2267"/>
              </w:tabs>
              <w:spacing w:before="0" w:after="160" w:line="252" w:lineRule="auto"/>
              <w:ind w:left="173" w:right="284" w:hanging="173"/>
              <w:contextualSpacing/>
              <w:rPr>
                <w:rFonts w:cs="Arial"/>
                <w:b/>
                <w:sz w:val="20"/>
              </w:rPr>
            </w:pPr>
            <w:r w:rsidRPr="00CD6284">
              <w:rPr>
                <w:rFonts w:eastAsia="Arial" w:cs="Arial"/>
                <w:bCs/>
                <w:sz w:val="20"/>
              </w:rPr>
              <w:t xml:space="preserve">Planning Practice Guidance: </w:t>
            </w:r>
            <w:r w:rsidRPr="00CD6284">
              <w:rPr>
                <w:sz w:val="20"/>
              </w:rPr>
              <w:t>Housing supply and delivery</w:t>
            </w:r>
            <w:r w:rsidR="00DA5747" w:rsidRPr="00CD6284">
              <w:rPr>
                <w:sz w:val="20"/>
              </w:rPr>
              <w:t xml:space="preserve"> as of </w:t>
            </w:r>
            <w:r w:rsidR="00B40389" w:rsidRPr="00CD6284">
              <w:rPr>
                <w:color w:val="auto"/>
                <w:sz w:val="20"/>
              </w:rPr>
              <w:t>July 2019.</w:t>
            </w:r>
          </w:p>
        </w:tc>
      </w:tr>
      <w:bookmarkEnd w:id="198"/>
    </w:tbl>
    <w:p w14:paraId="546E98F1" w14:textId="605279CF" w:rsidR="003C7E62" w:rsidRPr="00236F84" w:rsidRDefault="003C7E62" w:rsidP="003C7E62">
      <w:pPr>
        <w:tabs>
          <w:tab w:val="left" w:pos="1134"/>
        </w:tabs>
        <w:rPr>
          <w:rFonts w:cs="Arial"/>
          <w:szCs w:val="24"/>
          <w:u w:val="single"/>
        </w:rPr>
      </w:pPr>
    </w:p>
    <w:p w14:paraId="4A61BBF5" w14:textId="0D773A49" w:rsidR="002F5056" w:rsidRPr="003C7E62" w:rsidRDefault="002F5056" w:rsidP="00874A98">
      <w:pPr>
        <w:pStyle w:val="ListParagraph"/>
        <w:numPr>
          <w:ilvl w:val="1"/>
          <w:numId w:val="92"/>
        </w:numPr>
        <w:autoSpaceDE w:val="0"/>
        <w:autoSpaceDN w:val="0"/>
        <w:adjustRightInd w:val="0"/>
        <w:spacing w:after="0" w:line="240" w:lineRule="auto"/>
        <w:ind w:left="851" w:hanging="851"/>
        <w:rPr>
          <w:rFonts w:ascii="Arial" w:hAnsi="Arial" w:cs="Arial"/>
          <w:sz w:val="22"/>
        </w:rPr>
      </w:pPr>
      <w:r w:rsidRPr="00236F84">
        <w:rPr>
          <w:rFonts w:ascii="Arial" w:hAnsi="Arial" w:cs="Arial"/>
          <w:szCs w:val="24"/>
        </w:rPr>
        <w:t>Potential housing allocations have been selected from a ‘pool’ of sites which are assessed as being ‘available’, ‘suitable’ and ‘deliverable’ in the Strategic Housing Land and Economic Availability Assessment (SHELAA). The Sustainability Appraisal (SA) has further assessed these sites. The purpose of the SA is to promote sustainable development through the efficient use of existing infrastructure, whilst protecting landscape and biodiversity assets and facilitating social and economic benefit. The SA is therefore an essential tool in the selection of deliverable sites and provides part of the evidence base for the housing site</w:t>
      </w:r>
      <w:r w:rsidRPr="003C7E62">
        <w:rPr>
          <w:rFonts w:ascii="Arial" w:hAnsi="Arial" w:cs="Arial"/>
        </w:rPr>
        <w:t xml:space="preserve"> allocations. Further details on the approach to allocating sites can be found in the Council’s </w:t>
      </w:r>
      <w:r w:rsidR="009E1A64" w:rsidRPr="00823C79">
        <w:rPr>
          <w:rFonts w:ascii="Arial" w:hAnsi="Arial" w:cs="Arial"/>
          <w:color w:val="auto"/>
        </w:rPr>
        <w:t>Background Paper 1: Spatial Strategy and Site Section 2023</w:t>
      </w:r>
      <w:r w:rsidRPr="00823C79">
        <w:rPr>
          <w:rFonts w:ascii="Arial" w:hAnsi="Arial" w:cs="Arial"/>
          <w:color w:val="auto"/>
        </w:rPr>
        <w:t>.</w:t>
      </w:r>
    </w:p>
    <w:p w14:paraId="22747D4C" w14:textId="77777777" w:rsidR="002F5056" w:rsidRPr="003C7E62" w:rsidRDefault="002F5056" w:rsidP="002F5056">
      <w:pPr>
        <w:autoSpaceDE w:val="0"/>
        <w:autoSpaceDN w:val="0"/>
        <w:adjustRightInd w:val="0"/>
        <w:ind w:left="600"/>
        <w:rPr>
          <w:rStyle w:val="Normal1"/>
          <w:rFonts w:cs="Arial"/>
          <w:spacing w:val="-1"/>
          <w:szCs w:val="24"/>
        </w:rPr>
      </w:pPr>
    </w:p>
    <w:p w14:paraId="69F79789" w14:textId="45F38A40" w:rsidR="002F5056" w:rsidRPr="003C7E62" w:rsidRDefault="002F5056" w:rsidP="00874A98">
      <w:pPr>
        <w:pStyle w:val="ListParagraph"/>
        <w:numPr>
          <w:ilvl w:val="1"/>
          <w:numId w:val="92"/>
        </w:numPr>
        <w:autoSpaceDE w:val="0"/>
        <w:autoSpaceDN w:val="0"/>
        <w:adjustRightInd w:val="0"/>
        <w:spacing w:after="0" w:line="240" w:lineRule="auto"/>
        <w:ind w:left="851" w:hanging="851"/>
        <w:rPr>
          <w:rStyle w:val="Normal1"/>
          <w:rFonts w:cs="Arial"/>
          <w:spacing w:val="-1"/>
          <w:szCs w:val="24"/>
        </w:rPr>
      </w:pPr>
      <w:r w:rsidRPr="009C4ECF">
        <w:rPr>
          <w:rStyle w:val="Normal1"/>
          <w:rFonts w:cs="Arial"/>
          <w:szCs w:val="24"/>
        </w:rPr>
        <w:t xml:space="preserve">Allocations include sites both with and without planning permission.  Where these </w:t>
      </w:r>
      <w:r w:rsidRPr="009C4ECF">
        <w:rPr>
          <w:rStyle w:val="Normal1"/>
          <w:rFonts w:cs="Arial"/>
          <w:strike/>
          <w:szCs w:val="24"/>
        </w:rPr>
        <w:t>are</w:t>
      </w:r>
      <w:r w:rsidRPr="009C4ECF">
        <w:rPr>
          <w:rStyle w:val="Normal1"/>
          <w:rFonts w:cs="Arial"/>
          <w:szCs w:val="24"/>
        </w:rPr>
        <w:t xml:space="preserve"> </w:t>
      </w:r>
      <w:r w:rsidR="00B31CC0" w:rsidRPr="009C4ECF">
        <w:rPr>
          <w:rStyle w:val="Normal1"/>
          <w:rFonts w:cs="Arial"/>
          <w:color w:val="0070C0"/>
          <w:szCs w:val="24"/>
        </w:rPr>
        <w:t xml:space="preserve">were </w:t>
      </w:r>
      <w:r w:rsidRPr="009C4ECF">
        <w:rPr>
          <w:rStyle w:val="Normal1"/>
          <w:rFonts w:cs="Arial"/>
          <w:szCs w:val="24"/>
        </w:rPr>
        <w:t>under construction</w:t>
      </w:r>
      <w:r w:rsidR="00B31CC0" w:rsidRPr="009C4ECF">
        <w:rPr>
          <w:rStyle w:val="Normal1"/>
          <w:rFonts w:cs="Arial"/>
          <w:szCs w:val="24"/>
        </w:rPr>
        <w:t xml:space="preserve"> </w:t>
      </w:r>
      <w:proofErr w:type="gramStart"/>
      <w:r w:rsidR="00B31CC0" w:rsidRPr="009C4ECF">
        <w:rPr>
          <w:rStyle w:val="Normal1"/>
          <w:rFonts w:cs="Arial"/>
          <w:szCs w:val="24"/>
        </w:rPr>
        <w:t>at</w:t>
      </w:r>
      <w:proofErr w:type="gramEnd"/>
      <w:r w:rsidR="00B31CC0" w:rsidRPr="009C4ECF">
        <w:rPr>
          <w:rStyle w:val="Normal1"/>
          <w:rFonts w:cs="Arial"/>
          <w:szCs w:val="24"/>
        </w:rPr>
        <w:t xml:space="preserve"> </w:t>
      </w:r>
      <w:r w:rsidR="00B31CC0" w:rsidRPr="009C4ECF">
        <w:rPr>
          <w:rStyle w:val="Normal1"/>
          <w:rFonts w:cs="Arial"/>
          <w:color w:val="0070C0"/>
          <w:szCs w:val="24"/>
        </w:rPr>
        <w:t>April 2023</w:t>
      </w:r>
      <w:r w:rsidRPr="009C4ECF">
        <w:rPr>
          <w:rStyle w:val="Normal1"/>
          <w:rFonts w:cs="Arial"/>
          <w:szCs w:val="24"/>
        </w:rPr>
        <w:t xml:space="preserve">, only the remaining dwellings </w:t>
      </w:r>
      <w:r w:rsidRPr="009C4ECF">
        <w:rPr>
          <w:rStyle w:val="Normal1"/>
          <w:rFonts w:cs="Arial"/>
          <w:strike/>
          <w:szCs w:val="24"/>
        </w:rPr>
        <w:t>have been</w:t>
      </w:r>
      <w:r w:rsidRPr="009C4ECF">
        <w:rPr>
          <w:rStyle w:val="Normal1"/>
          <w:rFonts w:cs="Arial"/>
          <w:szCs w:val="24"/>
        </w:rPr>
        <w:t xml:space="preserve"> </w:t>
      </w:r>
      <w:r w:rsidR="006B407B" w:rsidRPr="009C4ECF">
        <w:rPr>
          <w:rStyle w:val="Normal1"/>
          <w:rFonts w:cs="Arial"/>
          <w:color w:val="0070C0"/>
          <w:szCs w:val="24"/>
        </w:rPr>
        <w:t xml:space="preserve">are </w:t>
      </w:r>
      <w:r w:rsidRPr="009C4ECF">
        <w:rPr>
          <w:rStyle w:val="Normal1"/>
          <w:rFonts w:cs="Arial"/>
          <w:szCs w:val="24"/>
        </w:rPr>
        <w:t>identified in Policy H1</w:t>
      </w:r>
      <w:r w:rsidR="00823C79" w:rsidRPr="009C4ECF">
        <w:rPr>
          <w:rStyle w:val="Normal1"/>
          <w:rFonts w:cs="Arial"/>
          <w:szCs w:val="24"/>
        </w:rPr>
        <w:t>.</w:t>
      </w:r>
      <w:r w:rsidRPr="009C4ECF">
        <w:rPr>
          <w:rStyle w:val="Normal1"/>
          <w:rFonts w:cs="Arial"/>
          <w:szCs w:val="24"/>
        </w:rPr>
        <w:t xml:space="preserve"> Appendix 2 illustrates the anticipated delivery of housing on each</w:t>
      </w:r>
      <w:r w:rsidRPr="003C7E62">
        <w:rPr>
          <w:rStyle w:val="Normal1"/>
          <w:rFonts w:cs="Arial"/>
          <w:szCs w:val="24"/>
        </w:rPr>
        <w:t xml:space="preserve"> site over the plan period, together with a summary of small site provision.</w:t>
      </w:r>
    </w:p>
    <w:p w14:paraId="5A7D552F" w14:textId="77777777" w:rsidR="002F5056" w:rsidRPr="00263F59" w:rsidRDefault="002F5056" w:rsidP="002F5056">
      <w:pPr>
        <w:autoSpaceDE w:val="0"/>
        <w:autoSpaceDN w:val="0"/>
        <w:adjustRightInd w:val="0"/>
        <w:ind w:left="600"/>
        <w:rPr>
          <w:rFonts w:eastAsia="Arial" w:cs="Arial"/>
          <w:color w:val="auto"/>
          <w:szCs w:val="24"/>
        </w:rPr>
      </w:pPr>
    </w:p>
    <w:p w14:paraId="00A37632" w14:textId="77777777" w:rsidR="00715560" w:rsidRPr="00823C79" w:rsidRDefault="00715560" w:rsidP="00715560">
      <w:pPr>
        <w:tabs>
          <w:tab w:val="left" w:pos="1134"/>
        </w:tabs>
        <w:rPr>
          <w:rFonts w:cs="Arial"/>
          <w:b/>
          <w:bCs/>
          <w:color w:val="auto"/>
          <w:szCs w:val="24"/>
          <w:u w:val="single"/>
        </w:rPr>
      </w:pPr>
      <w:bookmarkStart w:id="200" w:name="_Hlk78286855"/>
      <w:bookmarkEnd w:id="194"/>
      <w:r w:rsidRPr="00823C79">
        <w:rPr>
          <w:rFonts w:cs="Arial"/>
          <w:b/>
          <w:bCs/>
          <w:color w:val="auto"/>
          <w:szCs w:val="24"/>
          <w:u w:val="single"/>
        </w:rPr>
        <w:t>Housing Allocations in the Hucknall Area</w:t>
      </w:r>
    </w:p>
    <w:p w14:paraId="19FA193C" w14:textId="77777777" w:rsidR="00715560" w:rsidRPr="00823C79" w:rsidRDefault="00715560" w:rsidP="00715560">
      <w:pPr>
        <w:autoSpaceDE w:val="0"/>
        <w:autoSpaceDN w:val="0"/>
        <w:adjustRightInd w:val="0"/>
        <w:rPr>
          <w:rFonts w:cs="Arial"/>
          <w:b/>
          <w:bCs/>
          <w:color w:val="auto"/>
          <w:szCs w:val="24"/>
        </w:rPr>
      </w:pPr>
    </w:p>
    <w:p w14:paraId="2AA6C7B3" w14:textId="77777777" w:rsidR="00715560" w:rsidRPr="00823C79"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bCs/>
          <w:color w:val="auto"/>
          <w:szCs w:val="24"/>
        </w:rPr>
      </w:pPr>
      <w:r w:rsidRPr="00823C79">
        <w:rPr>
          <w:rFonts w:ascii="Arial" w:hAnsi="Arial" w:cs="Arial"/>
          <w:b/>
          <w:bCs/>
          <w:color w:val="auto"/>
          <w:szCs w:val="24"/>
          <w:lang w:eastAsia="en-GB"/>
        </w:rPr>
        <w:t>Site H1Ha: Seven Stars PH, West Street /Ogle Street, Hucknall</w:t>
      </w:r>
      <w:r w:rsidRPr="00823C79">
        <w:rPr>
          <w:rFonts w:ascii="Arial" w:eastAsia="Calibri" w:hAnsi="Arial" w:cs="Arial"/>
          <w:color w:val="auto"/>
          <w:szCs w:val="24"/>
        </w:rPr>
        <w:t xml:space="preserve"> This brownfield site is located within the main urban area of Hucknall. The Public House is identified as a Local Heritage Asset and could be converted into residential accommodation. The remainder of</w:t>
      </w:r>
      <w:r w:rsidRPr="00823C79">
        <w:rPr>
          <w:rFonts w:ascii="Arial" w:eastAsia="Arial" w:hAnsi="Arial" w:cs="Arial"/>
          <w:color w:val="auto"/>
          <w:szCs w:val="24"/>
        </w:rPr>
        <w:t xml:space="preserve"> </w:t>
      </w:r>
      <w:r w:rsidRPr="00823C79">
        <w:rPr>
          <w:rFonts w:ascii="Arial" w:eastAsia="Calibri" w:hAnsi="Arial" w:cs="Arial"/>
          <w:color w:val="auto"/>
          <w:szCs w:val="24"/>
        </w:rPr>
        <w:t xml:space="preserve">the site is suitable for residential development subject to good quality design.  </w:t>
      </w:r>
      <w:r w:rsidRPr="00823C79">
        <w:rPr>
          <w:rFonts w:ascii="Arial" w:eastAsia="Arial" w:hAnsi="Arial" w:cs="Arial"/>
          <w:color w:val="auto"/>
          <w:szCs w:val="24"/>
        </w:rPr>
        <w:t xml:space="preserve">Due to previous site uses, contamination may be present and there is also evidence of some surface water flooding within the boundary of the site. </w:t>
      </w:r>
      <w:bookmarkStart w:id="201" w:name="_Hlk80191631"/>
      <w:r w:rsidRPr="00823C79">
        <w:rPr>
          <w:rFonts w:ascii="Arial" w:eastAsia="Calibri" w:hAnsi="Arial" w:cs="Arial"/>
          <w:color w:val="auto"/>
          <w:szCs w:val="24"/>
        </w:rPr>
        <w:t>The site has been identified as being available, potentially suitable, and potentially achievable in the SHELAA (Ref. HK009</w:t>
      </w:r>
      <w:bookmarkEnd w:id="201"/>
      <w:r w:rsidRPr="00823C79">
        <w:rPr>
          <w:rFonts w:ascii="Arial" w:eastAsia="Calibri" w:hAnsi="Arial" w:cs="Arial"/>
          <w:color w:val="auto"/>
          <w:szCs w:val="24"/>
        </w:rPr>
        <w:t>)</w:t>
      </w:r>
    </w:p>
    <w:p w14:paraId="5B47E625" w14:textId="77777777" w:rsidR="00715560" w:rsidRDefault="00715560" w:rsidP="00715560">
      <w:pPr>
        <w:autoSpaceDE w:val="0"/>
        <w:autoSpaceDN w:val="0"/>
        <w:adjustRightInd w:val="0"/>
        <w:rPr>
          <w:rFonts w:eastAsia="Arial" w:cs="Arial"/>
          <w:b/>
          <w:bCs/>
          <w:color w:val="4472C4" w:themeColor="accent1"/>
          <w:szCs w:val="24"/>
        </w:rPr>
      </w:pPr>
    </w:p>
    <w:tbl>
      <w:tblPr>
        <w:tblStyle w:val="ReportTable1"/>
        <w:tblW w:w="9634" w:type="dxa"/>
        <w:tblLook w:val="04A0" w:firstRow="1" w:lastRow="0" w:firstColumn="1" w:lastColumn="0" w:noHBand="0" w:noVBand="1"/>
      </w:tblPr>
      <w:tblGrid>
        <w:gridCol w:w="2635"/>
        <w:gridCol w:w="6999"/>
      </w:tblGrid>
      <w:tr w:rsidR="00E6484A" w:rsidRPr="00E23F03" w14:paraId="69E1FD6D" w14:textId="77777777" w:rsidTr="00476E4D">
        <w:tc>
          <w:tcPr>
            <w:tcW w:w="9634" w:type="dxa"/>
            <w:gridSpan w:val="2"/>
          </w:tcPr>
          <w:p w14:paraId="20AEB853" w14:textId="77777777" w:rsidR="00E6484A" w:rsidRPr="00E6484A" w:rsidRDefault="00E6484A">
            <w:pPr>
              <w:pStyle w:val="Heading"/>
              <w:spacing w:before="120" w:after="120"/>
              <w:rPr>
                <w:rStyle w:val="Heading10"/>
                <w:rFonts w:cs="Arial"/>
                <w:b/>
                <w:color w:val="0070C0"/>
                <w:szCs w:val="24"/>
              </w:rPr>
            </w:pPr>
            <w:r w:rsidRPr="00E6484A">
              <w:rPr>
                <w:rStyle w:val="Heading10"/>
                <w:rFonts w:cs="Arial"/>
                <w:b/>
                <w:color w:val="0070C0"/>
                <w:szCs w:val="24"/>
              </w:rPr>
              <w:t xml:space="preserve">Policy H1Hb: </w:t>
            </w:r>
            <w:proofErr w:type="spellStart"/>
            <w:r w:rsidRPr="00E6484A">
              <w:rPr>
                <w:rStyle w:val="Heading10"/>
                <w:rFonts w:cs="Arial"/>
                <w:b/>
                <w:color w:val="0070C0"/>
                <w:szCs w:val="24"/>
              </w:rPr>
              <w:t>Linby</w:t>
            </w:r>
            <w:proofErr w:type="spellEnd"/>
            <w:r w:rsidRPr="00E6484A">
              <w:rPr>
                <w:rStyle w:val="Heading10"/>
                <w:rFonts w:cs="Arial"/>
                <w:b/>
                <w:color w:val="0070C0"/>
                <w:szCs w:val="24"/>
              </w:rPr>
              <w:t xml:space="preserve"> Boarding Kennels, East of Church Lane, Hucknall</w:t>
            </w:r>
          </w:p>
        </w:tc>
      </w:tr>
      <w:tr w:rsidR="00E6484A" w:rsidRPr="00E23F03" w14:paraId="3507729D" w14:textId="77777777" w:rsidTr="00476E4D">
        <w:tc>
          <w:tcPr>
            <w:tcW w:w="2635" w:type="dxa"/>
          </w:tcPr>
          <w:p w14:paraId="1DC41E0F" w14:textId="77777777" w:rsidR="00E6484A" w:rsidRPr="00E23F03" w:rsidRDefault="00E6484A">
            <w:pPr>
              <w:pStyle w:val="Heading"/>
              <w:spacing w:before="40" w:after="40"/>
              <w:rPr>
                <w:rStyle w:val="Heading10"/>
                <w:rFonts w:cs="Arial"/>
                <w:bCs/>
                <w:color w:val="0070C0"/>
                <w:szCs w:val="24"/>
              </w:rPr>
            </w:pPr>
            <w:r w:rsidRPr="00E23F03">
              <w:rPr>
                <w:rStyle w:val="Heading10"/>
                <w:rFonts w:cs="Arial"/>
                <w:bCs/>
                <w:color w:val="0070C0"/>
                <w:szCs w:val="24"/>
              </w:rPr>
              <w:t>Strategic Objectives</w:t>
            </w:r>
          </w:p>
        </w:tc>
        <w:tc>
          <w:tcPr>
            <w:tcW w:w="6999" w:type="dxa"/>
          </w:tcPr>
          <w:p w14:paraId="07C1E8AA" w14:textId="77777777" w:rsidR="00E6484A" w:rsidRPr="00E23F03" w:rsidRDefault="00E6484A">
            <w:pPr>
              <w:pStyle w:val="Heading"/>
              <w:spacing w:before="40" w:after="40"/>
              <w:rPr>
                <w:rStyle w:val="Heading10"/>
                <w:rFonts w:cs="Arial"/>
                <w:bCs/>
                <w:color w:val="0070C0"/>
                <w:szCs w:val="24"/>
              </w:rPr>
            </w:pPr>
            <w:r w:rsidRPr="00E23F03">
              <w:rPr>
                <w:rStyle w:val="Heading10"/>
                <w:rFonts w:cs="Arial"/>
                <w:bCs/>
                <w:color w:val="0070C0"/>
                <w:szCs w:val="24"/>
              </w:rPr>
              <w:t>SO3, SO5, SO11, SO12, SO13</w:t>
            </w:r>
          </w:p>
        </w:tc>
      </w:tr>
      <w:tr w:rsidR="00E6484A" w:rsidRPr="00E23F03" w14:paraId="120A9E0A" w14:textId="77777777" w:rsidTr="00476E4D">
        <w:trPr>
          <w:trHeight w:val="1190"/>
        </w:trPr>
        <w:tc>
          <w:tcPr>
            <w:tcW w:w="9634" w:type="dxa"/>
            <w:gridSpan w:val="2"/>
            <w:shd w:val="clear" w:color="auto" w:fill="FFCC99"/>
          </w:tcPr>
          <w:p w14:paraId="79C4B4FE" w14:textId="77777777" w:rsidR="00E6484A" w:rsidRPr="005F5AF9" w:rsidRDefault="00E6484A">
            <w:pPr>
              <w:pStyle w:val="Policy"/>
              <w:tabs>
                <w:tab w:val="clear" w:pos="680"/>
                <w:tab w:val="left" w:pos="306"/>
              </w:tabs>
              <w:spacing w:after="0" w:line="240" w:lineRule="auto"/>
              <w:ind w:left="306" w:right="284"/>
              <w:rPr>
                <w:rStyle w:val="Heading10"/>
                <w:rFonts w:cs="Arial"/>
                <w:b w:val="0"/>
                <w:bCs/>
                <w:color w:val="005CA9"/>
                <w:szCs w:val="24"/>
              </w:rPr>
            </w:pPr>
          </w:p>
          <w:p w14:paraId="0A606AD0" w14:textId="66C76C66" w:rsidR="00E6484A" w:rsidRPr="005F5AF9" w:rsidRDefault="00E6484A">
            <w:pPr>
              <w:pStyle w:val="Policy"/>
              <w:tabs>
                <w:tab w:val="clear" w:pos="680"/>
                <w:tab w:val="left" w:pos="306"/>
              </w:tabs>
              <w:spacing w:after="0" w:line="240" w:lineRule="auto"/>
              <w:ind w:left="306" w:right="284"/>
              <w:rPr>
                <w:bCs/>
                <w:color w:val="005CA9"/>
              </w:rPr>
            </w:pPr>
            <w:r w:rsidRPr="005F5AF9">
              <w:rPr>
                <w:bCs/>
                <w:color w:val="005CA9"/>
                <w:sz w:val="24"/>
                <w:szCs w:val="24"/>
              </w:rPr>
              <w:t>Residential development to deliver approximately 43 dwellings will be permitted on site H1Hb as shown on the Policies Map, subject to detailed planning consent.  Any future development will need to include the following specific requirements, in addition to satisfying other relevant Local Plan policies as applicable:</w:t>
            </w:r>
            <w:r w:rsidRPr="005F5AF9">
              <w:rPr>
                <w:bCs/>
                <w:color w:val="005CA9"/>
              </w:rPr>
              <w:t xml:space="preserve"> </w:t>
            </w:r>
          </w:p>
          <w:p w14:paraId="691E7682" w14:textId="77777777" w:rsidR="00E6484A" w:rsidRPr="005F5AF9" w:rsidRDefault="00E6484A" w:rsidP="00B2285E">
            <w:pPr>
              <w:pStyle w:val="ListParagraph"/>
              <w:keepNext/>
              <w:numPr>
                <w:ilvl w:val="0"/>
                <w:numId w:val="345"/>
              </w:numPr>
              <w:spacing w:before="120" w:after="0" w:line="240" w:lineRule="auto"/>
              <w:rPr>
                <w:rStyle w:val="Heading10"/>
                <w:b w:val="0"/>
                <w:color w:val="005CA9"/>
                <w:szCs w:val="24"/>
              </w:rPr>
            </w:pPr>
            <w:r w:rsidRPr="005F5AF9">
              <w:rPr>
                <w:rStyle w:val="Heading10"/>
                <w:b w:val="0"/>
                <w:color w:val="005CA9"/>
                <w:szCs w:val="24"/>
              </w:rPr>
              <w:lastRenderedPageBreak/>
              <w:t>A single vehicle access off Church Lane, supported by a Transport Assessment;</w:t>
            </w:r>
          </w:p>
          <w:p w14:paraId="1398C4F9" w14:textId="77777777" w:rsidR="00E6484A" w:rsidRPr="005F5AF9" w:rsidRDefault="00E6484A" w:rsidP="00E6484A">
            <w:pPr>
              <w:pStyle w:val="Policy"/>
              <w:tabs>
                <w:tab w:val="clear" w:pos="680"/>
              </w:tabs>
              <w:spacing w:after="0" w:line="240" w:lineRule="auto"/>
              <w:ind w:left="666" w:right="284"/>
              <w:rPr>
                <w:rStyle w:val="Heading10"/>
                <w:rFonts w:cs="Arial"/>
                <w:b w:val="0"/>
                <w:color w:val="005CA9"/>
                <w:szCs w:val="24"/>
              </w:rPr>
            </w:pPr>
          </w:p>
          <w:p w14:paraId="53BC961B" w14:textId="09F192C8" w:rsidR="00E6484A" w:rsidRPr="005F5AF9" w:rsidRDefault="00E6484A" w:rsidP="00B2285E">
            <w:pPr>
              <w:pStyle w:val="Policy"/>
              <w:numPr>
                <w:ilvl w:val="0"/>
                <w:numId w:val="345"/>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 xml:space="preserve">A pedestrian/cycle route linking Church Lane to Hayden </w:t>
            </w:r>
            <w:proofErr w:type="spellStart"/>
            <w:r w:rsidRPr="005F5AF9">
              <w:rPr>
                <w:rStyle w:val="Heading10"/>
                <w:rFonts w:cs="Arial"/>
                <w:b w:val="0"/>
                <w:color w:val="005CA9"/>
                <w:szCs w:val="24"/>
              </w:rPr>
              <w:t>Lane</w:t>
            </w:r>
            <w:proofErr w:type="spellEnd"/>
            <w:r w:rsidRPr="005F5AF9">
              <w:rPr>
                <w:rStyle w:val="Heading10"/>
                <w:rFonts w:cs="Arial"/>
                <w:b w:val="0"/>
                <w:color w:val="005CA9"/>
                <w:szCs w:val="24"/>
              </w:rPr>
              <w:t>;</w:t>
            </w:r>
          </w:p>
          <w:p w14:paraId="4F068DEB" w14:textId="77777777" w:rsidR="00E6484A" w:rsidRPr="005F5AF9" w:rsidRDefault="00E6484A" w:rsidP="00E6484A">
            <w:pPr>
              <w:pStyle w:val="Policy"/>
              <w:tabs>
                <w:tab w:val="clear" w:pos="680"/>
              </w:tabs>
              <w:spacing w:after="0" w:line="240" w:lineRule="auto"/>
              <w:ind w:left="666" w:right="284"/>
              <w:rPr>
                <w:rStyle w:val="Heading10"/>
                <w:rFonts w:cs="Arial"/>
                <w:b w:val="0"/>
                <w:color w:val="005CA9"/>
                <w:szCs w:val="24"/>
              </w:rPr>
            </w:pPr>
          </w:p>
          <w:p w14:paraId="549B3A0C" w14:textId="66C92E6A" w:rsidR="00E6484A" w:rsidRPr="005F5AF9" w:rsidRDefault="00E6484A" w:rsidP="00B2285E">
            <w:pPr>
              <w:pStyle w:val="Policy"/>
              <w:numPr>
                <w:ilvl w:val="0"/>
                <w:numId w:val="345"/>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 xml:space="preserve">A significant landscape buffer to be implemented to the north and east of the site to minimise any potential harm to the significance of </w:t>
            </w:r>
            <w:proofErr w:type="spellStart"/>
            <w:r w:rsidRPr="005F5AF9">
              <w:rPr>
                <w:rStyle w:val="Heading10"/>
                <w:rFonts w:cs="Arial"/>
                <w:b w:val="0"/>
                <w:color w:val="005CA9"/>
                <w:szCs w:val="24"/>
              </w:rPr>
              <w:t>Linby</w:t>
            </w:r>
            <w:proofErr w:type="spellEnd"/>
            <w:r w:rsidRPr="005F5AF9">
              <w:rPr>
                <w:rStyle w:val="Heading10"/>
                <w:rFonts w:cs="Arial"/>
                <w:b w:val="0"/>
                <w:color w:val="005CA9"/>
                <w:szCs w:val="24"/>
              </w:rPr>
              <w:t xml:space="preserve"> Conservation Area, and to mitigate harm to the Green Belt; and</w:t>
            </w:r>
          </w:p>
          <w:p w14:paraId="620EBEA4" w14:textId="77777777" w:rsidR="00E6484A" w:rsidRPr="005F5AF9" w:rsidRDefault="00E6484A">
            <w:pPr>
              <w:pStyle w:val="Policy"/>
              <w:tabs>
                <w:tab w:val="clear" w:pos="680"/>
              </w:tabs>
              <w:spacing w:after="0" w:line="240" w:lineRule="auto"/>
              <w:ind w:left="666" w:right="284"/>
              <w:rPr>
                <w:rStyle w:val="Heading10"/>
                <w:b w:val="0"/>
                <w:color w:val="005CA9"/>
                <w:sz w:val="16"/>
                <w:szCs w:val="16"/>
              </w:rPr>
            </w:pPr>
          </w:p>
          <w:p w14:paraId="2CED9957" w14:textId="77777777" w:rsidR="00C61DF6" w:rsidRPr="005F5AF9" w:rsidRDefault="00C61DF6" w:rsidP="00C61DF6">
            <w:pPr>
              <w:keepNext w:val="0"/>
              <w:numPr>
                <w:ilvl w:val="0"/>
                <w:numId w:val="345"/>
              </w:numPr>
              <w:tabs>
                <w:tab w:val="left" w:pos="1133"/>
                <w:tab w:val="left" w:pos="2267"/>
              </w:tabs>
              <w:spacing w:before="0"/>
              <w:ind w:right="284"/>
              <w:rPr>
                <w:rFonts w:eastAsia="Arial" w:cs="Arial"/>
                <w:color w:val="005CA9"/>
                <w:szCs w:val="24"/>
              </w:rPr>
            </w:pPr>
            <w:r w:rsidRPr="005F5AF9">
              <w:rPr>
                <w:rFonts w:eastAsia="Arial" w:cs="Arial"/>
                <w:color w:val="005CA9"/>
                <w:szCs w:val="24"/>
              </w:rPr>
              <w:t>Detailed landscaping proposals to minimise the impact of the development on the openness of the Green Belt and to provide new defensible boundaries to endure for the plan period and beyond.</w:t>
            </w:r>
          </w:p>
          <w:p w14:paraId="2A156684" w14:textId="77777777" w:rsidR="00E6484A" w:rsidRPr="005F5AF9" w:rsidRDefault="00E6484A">
            <w:pPr>
              <w:pStyle w:val="Policy"/>
              <w:tabs>
                <w:tab w:val="clear" w:pos="680"/>
              </w:tabs>
              <w:spacing w:after="0" w:line="240" w:lineRule="auto"/>
              <w:ind w:left="0" w:right="284"/>
              <w:rPr>
                <w:rStyle w:val="Heading10"/>
                <w:rFonts w:cs="Arial"/>
                <w:b w:val="0"/>
                <w:bCs/>
                <w:color w:val="005CA9"/>
                <w:szCs w:val="24"/>
              </w:rPr>
            </w:pPr>
          </w:p>
        </w:tc>
      </w:tr>
    </w:tbl>
    <w:p w14:paraId="5EBE5920" w14:textId="77777777" w:rsidR="003736C4" w:rsidRPr="00715560" w:rsidRDefault="003736C4" w:rsidP="00715560">
      <w:pPr>
        <w:autoSpaceDE w:val="0"/>
        <w:autoSpaceDN w:val="0"/>
        <w:adjustRightInd w:val="0"/>
        <w:rPr>
          <w:rFonts w:eastAsia="Arial" w:cs="Arial"/>
          <w:b/>
          <w:bCs/>
          <w:color w:val="4472C4" w:themeColor="accent1"/>
          <w:szCs w:val="24"/>
        </w:rPr>
      </w:pPr>
    </w:p>
    <w:p w14:paraId="7054FFE7" w14:textId="63ED98B8" w:rsidR="00715560" w:rsidRPr="002D2782" w:rsidRDefault="00715560" w:rsidP="00874A98">
      <w:pPr>
        <w:pStyle w:val="ListParagraph"/>
        <w:numPr>
          <w:ilvl w:val="1"/>
          <w:numId w:val="92"/>
        </w:numPr>
        <w:autoSpaceDE w:val="0"/>
        <w:autoSpaceDN w:val="0"/>
        <w:adjustRightInd w:val="0"/>
        <w:spacing w:after="0" w:line="240" w:lineRule="auto"/>
        <w:ind w:left="851" w:hanging="851"/>
        <w:rPr>
          <w:rStyle w:val="Normal1"/>
          <w:rFonts w:cs="Arial"/>
          <w:iCs/>
          <w:strike/>
          <w:color w:val="auto"/>
          <w:szCs w:val="24"/>
        </w:rPr>
      </w:pPr>
      <w:r w:rsidRPr="002D2782">
        <w:rPr>
          <w:rStyle w:val="Normal1"/>
          <w:rFonts w:cs="Arial"/>
          <w:b/>
          <w:bCs/>
          <w:iCs/>
          <w:color w:val="auto"/>
          <w:szCs w:val="24"/>
        </w:rPr>
        <w:t>Site H1Hb:</w:t>
      </w:r>
      <w:r w:rsidRPr="002D2782">
        <w:rPr>
          <w:rFonts w:ascii="Arial" w:hAnsi="Arial" w:cs="Arial"/>
          <w:color w:val="auto"/>
          <w:szCs w:val="24"/>
        </w:rPr>
        <w:t xml:space="preserve"> </w:t>
      </w:r>
      <w:proofErr w:type="spellStart"/>
      <w:r w:rsidRPr="002D2782">
        <w:rPr>
          <w:rStyle w:val="Normal1"/>
          <w:rFonts w:cs="Arial"/>
          <w:b/>
          <w:bCs/>
          <w:iCs/>
          <w:color w:val="auto"/>
          <w:szCs w:val="24"/>
        </w:rPr>
        <w:t>Linby</w:t>
      </w:r>
      <w:proofErr w:type="spellEnd"/>
      <w:r w:rsidRPr="002D2782">
        <w:rPr>
          <w:rStyle w:val="Normal1"/>
          <w:rFonts w:cs="Arial"/>
          <w:b/>
          <w:bCs/>
          <w:iCs/>
          <w:color w:val="auto"/>
          <w:szCs w:val="24"/>
        </w:rPr>
        <w:t xml:space="preserve"> Boarding Kennels, East of Church Lane, Hucknall.</w:t>
      </w:r>
      <w:r w:rsidRPr="002D2782">
        <w:rPr>
          <w:rFonts w:ascii="Arial" w:hAnsi="Arial" w:cs="Arial"/>
          <w:color w:val="auto"/>
          <w:szCs w:val="24"/>
        </w:rPr>
        <w:t xml:space="preserve"> </w:t>
      </w:r>
      <w:r w:rsidR="00CD3FE0" w:rsidRPr="00CD3FE0">
        <w:rPr>
          <w:rFonts w:ascii="Arial" w:hAnsi="Arial" w:cs="Arial"/>
          <w:color w:val="0070C0"/>
          <w:szCs w:val="24"/>
        </w:rPr>
        <w:t>The Council considered that there were exceptional circumstances to release this site from the Green Belt to meet housing needs in accordance with the spatial strategy as set out at Policy S1.</w:t>
      </w:r>
      <w:r w:rsidR="00CD3FE0">
        <w:rPr>
          <w:rFonts w:ascii="Arial" w:hAnsi="Arial" w:cs="Arial"/>
          <w:color w:val="0070C0"/>
          <w:szCs w:val="24"/>
        </w:rPr>
        <w:t xml:space="preserve"> </w:t>
      </w:r>
      <w:r w:rsidRPr="002D2782">
        <w:rPr>
          <w:rFonts w:ascii="Arial" w:hAnsi="Arial" w:cs="Arial"/>
          <w:color w:val="auto"/>
          <w:szCs w:val="24"/>
        </w:rPr>
        <w:t xml:space="preserve">This mixed brownfield/greenfield site </w:t>
      </w:r>
      <w:r w:rsidRPr="002D2782">
        <w:rPr>
          <w:rFonts w:ascii="Arial" w:eastAsia="Calibri" w:hAnsi="Arial" w:cs="Arial"/>
          <w:color w:val="auto"/>
          <w:szCs w:val="24"/>
        </w:rPr>
        <w:t>has been identified as being available, potentially suitable, and achievable in the SHELAA (Ref. HK013).</w:t>
      </w:r>
      <w:r w:rsidRPr="002D2782">
        <w:rPr>
          <w:rStyle w:val="Normal1"/>
          <w:rFonts w:cs="Arial"/>
          <w:iCs/>
          <w:color w:val="auto"/>
          <w:szCs w:val="24"/>
        </w:rPr>
        <w:t xml:space="preserve"> </w:t>
      </w:r>
      <w:r w:rsidRPr="002D2782">
        <w:rPr>
          <w:rFonts w:ascii="Arial" w:hAnsi="Arial" w:cs="Arial"/>
          <w:color w:val="auto"/>
          <w:szCs w:val="24"/>
        </w:rPr>
        <w:t xml:space="preserve">The northern section has the benefit of outline planning permission for 9 dwellings at the time of writing. </w:t>
      </w:r>
      <w:r w:rsidRPr="002D2782">
        <w:rPr>
          <w:rStyle w:val="Normal1"/>
          <w:rFonts w:cs="Arial"/>
          <w:color w:val="auto"/>
          <w:szCs w:val="24"/>
        </w:rPr>
        <w:t xml:space="preserve">The site is located adjacent to the existing urban area </w:t>
      </w:r>
      <w:r w:rsidR="009D77EE" w:rsidRPr="002D2782">
        <w:rPr>
          <w:rStyle w:val="Normal1"/>
          <w:rFonts w:cs="Arial"/>
          <w:color w:val="auto"/>
          <w:szCs w:val="24"/>
        </w:rPr>
        <w:t xml:space="preserve">of Hucknall </w:t>
      </w:r>
      <w:r w:rsidRPr="009A2A06">
        <w:rPr>
          <w:rStyle w:val="Normal1"/>
          <w:rFonts w:cs="Arial"/>
          <w:strike/>
          <w:color w:val="auto"/>
          <w:szCs w:val="24"/>
        </w:rPr>
        <w:t>on land previously designated as Green Belt</w:t>
      </w:r>
      <w:r w:rsidRPr="002D2782">
        <w:rPr>
          <w:rStyle w:val="Normal1"/>
          <w:rFonts w:cs="Arial"/>
          <w:color w:val="auto"/>
          <w:szCs w:val="24"/>
        </w:rPr>
        <w:t>, and is contained by Church Lane to the west, and Hayden Lane to the east.</w:t>
      </w:r>
      <w:r w:rsidRPr="002D2782">
        <w:rPr>
          <w:rStyle w:val="Normal1"/>
          <w:rFonts w:cs="Arial"/>
          <w:iCs/>
          <w:color w:val="auto"/>
          <w:szCs w:val="24"/>
        </w:rPr>
        <w:t xml:space="preserve"> Church Lane is a narrow rural road that will require upgrading prior to development.</w:t>
      </w:r>
      <w:r w:rsidR="00694FCA" w:rsidRPr="002D2782">
        <w:rPr>
          <w:rStyle w:val="Normal1"/>
          <w:rFonts w:cs="Arial"/>
          <w:iCs/>
          <w:color w:val="auto"/>
          <w:szCs w:val="24"/>
        </w:rPr>
        <w:t xml:space="preserve">  </w:t>
      </w:r>
    </w:p>
    <w:p w14:paraId="07EA3D01" w14:textId="77777777" w:rsidR="00715560" w:rsidRPr="00823C79" w:rsidRDefault="00715560" w:rsidP="00715560">
      <w:pPr>
        <w:autoSpaceDE w:val="0"/>
        <w:autoSpaceDN w:val="0"/>
        <w:adjustRightInd w:val="0"/>
        <w:rPr>
          <w:rStyle w:val="Normal1"/>
          <w:rFonts w:cs="Arial"/>
          <w:iCs/>
          <w:color w:val="auto"/>
          <w:szCs w:val="24"/>
        </w:rPr>
      </w:pPr>
    </w:p>
    <w:p w14:paraId="6F58BE01" w14:textId="5E58731D" w:rsidR="007D2106" w:rsidRPr="00823C79" w:rsidRDefault="00715560" w:rsidP="00874A98">
      <w:pPr>
        <w:pStyle w:val="ListParagraph"/>
        <w:numPr>
          <w:ilvl w:val="1"/>
          <w:numId w:val="92"/>
        </w:numPr>
        <w:autoSpaceDE w:val="0"/>
        <w:autoSpaceDN w:val="0"/>
        <w:adjustRightInd w:val="0"/>
        <w:spacing w:after="0" w:line="240" w:lineRule="auto"/>
        <w:ind w:left="851" w:hanging="851"/>
        <w:rPr>
          <w:rStyle w:val="Normal1"/>
          <w:rFonts w:cs="Arial"/>
          <w:iCs/>
          <w:color w:val="auto"/>
          <w:szCs w:val="24"/>
        </w:rPr>
      </w:pPr>
      <w:r w:rsidRPr="00823C79">
        <w:rPr>
          <w:rStyle w:val="Normal1"/>
          <w:rFonts w:cs="Arial"/>
          <w:iCs/>
          <w:color w:val="auto"/>
          <w:szCs w:val="24"/>
        </w:rPr>
        <w:t xml:space="preserve">A Local </w:t>
      </w:r>
      <w:r w:rsidR="001F122D" w:rsidRPr="00823C79">
        <w:rPr>
          <w:rStyle w:val="Normal1"/>
          <w:rFonts w:cs="Arial"/>
          <w:iCs/>
          <w:color w:val="auto"/>
          <w:szCs w:val="24"/>
        </w:rPr>
        <w:t>W</w:t>
      </w:r>
      <w:r w:rsidRPr="00823C79">
        <w:rPr>
          <w:rStyle w:val="Normal1"/>
          <w:rFonts w:cs="Arial"/>
          <w:iCs/>
          <w:color w:val="auto"/>
          <w:szCs w:val="24"/>
        </w:rPr>
        <w:t xml:space="preserve">ildlife </w:t>
      </w:r>
      <w:r w:rsidR="001F122D" w:rsidRPr="00823C79">
        <w:rPr>
          <w:rStyle w:val="Normal1"/>
          <w:rFonts w:cs="Arial"/>
          <w:iCs/>
          <w:color w:val="auto"/>
          <w:szCs w:val="24"/>
        </w:rPr>
        <w:t>S</w:t>
      </w:r>
      <w:r w:rsidRPr="00823C79">
        <w:rPr>
          <w:rStyle w:val="Normal1"/>
          <w:rFonts w:cs="Arial"/>
          <w:iCs/>
          <w:color w:val="auto"/>
          <w:szCs w:val="24"/>
        </w:rPr>
        <w:t>ite is located adjacent to the site to the north</w:t>
      </w:r>
      <w:r w:rsidR="007D2106" w:rsidRPr="00823C79">
        <w:rPr>
          <w:rStyle w:val="Normal1"/>
          <w:rFonts w:cs="Arial"/>
          <w:iCs/>
          <w:color w:val="auto"/>
          <w:szCs w:val="24"/>
        </w:rPr>
        <w:t xml:space="preserve">, </w:t>
      </w:r>
      <w:r w:rsidRPr="00823C79">
        <w:rPr>
          <w:rStyle w:val="Normal1"/>
          <w:rFonts w:cs="Arial"/>
          <w:iCs/>
          <w:color w:val="auto"/>
          <w:szCs w:val="24"/>
        </w:rPr>
        <w:t xml:space="preserve">within Gedling </w:t>
      </w:r>
      <w:r w:rsidR="007D2106" w:rsidRPr="00823C79">
        <w:rPr>
          <w:rStyle w:val="Normal1"/>
          <w:rFonts w:cs="Arial"/>
          <w:iCs/>
          <w:color w:val="auto"/>
          <w:szCs w:val="24"/>
        </w:rPr>
        <w:t>Borough,</w:t>
      </w:r>
      <w:r w:rsidRPr="00823C79">
        <w:rPr>
          <w:rStyle w:val="Normal1"/>
          <w:rFonts w:cs="Arial"/>
          <w:iCs/>
          <w:color w:val="auto"/>
          <w:szCs w:val="24"/>
        </w:rPr>
        <w:t xml:space="preserve"> </w:t>
      </w:r>
      <w:r w:rsidR="00F54961" w:rsidRPr="00823C79">
        <w:rPr>
          <w:rStyle w:val="Normal1"/>
          <w:rFonts w:cs="Arial"/>
          <w:iCs/>
          <w:color w:val="auto"/>
          <w:szCs w:val="24"/>
        </w:rPr>
        <w:t>and</w:t>
      </w:r>
      <w:r w:rsidRPr="00823C79">
        <w:rPr>
          <w:rStyle w:val="Normal1"/>
          <w:rFonts w:cs="Arial"/>
          <w:iCs/>
          <w:color w:val="auto"/>
          <w:szCs w:val="24"/>
        </w:rPr>
        <w:t xml:space="preserve"> any potential development will need to </w:t>
      </w:r>
      <w:proofErr w:type="gramStart"/>
      <w:r w:rsidRPr="00823C79">
        <w:rPr>
          <w:rStyle w:val="Normal1"/>
          <w:rFonts w:cs="Arial"/>
          <w:iCs/>
          <w:color w:val="auto"/>
          <w:szCs w:val="24"/>
        </w:rPr>
        <w:t>take into account</w:t>
      </w:r>
      <w:proofErr w:type="gramEnd"/>
      <w:r w:rsidRPr="00823C79">
        <w:rPr>
          <w:rStyle w:val="Normal1"/>
          <w:rFonts w:cs="Arial"/>
          <w:iCs/>
          <w:color w:val="auto"/>
          <w:szCs w:val="24"/>
        </w:rPr>
        <w:t xml:space="preserve"> the scope to avoid or mitigate any impacts on biodiversity.  </w:t>
      </w:r>
      <w:r w:rsidR="007D2106" w:rsidRPr="00823C79">
        <w:rPr>
          <w:rStyle w:val="Normal1"/>
          <w:rFonts w:cs="Arial"/>
          <w:iCs/>
          <w:color w:val="auto"/>
          <w:szCs w:val="24"/>
        </w:rPr>
        <w:t xml:space="preserve">There is also a small area of high and medium risk surface water to the south-eastern part of the site which will require mitigation. </w:t>
      </w:r>
    </w:p>
    <w:p w14:paraId="3A7E12F1" w14:textId="77777777" w:rsidR="007D2106" w:rsidRPr="007D2106" w:rsidRDefault="007D2106" w:rsidP="007D2106">
      <w:pPr>
        <w:pStyle w:val="ListParagraph"/>
        <w:rPr>
          <w:rStyle w:val="Normal1"/>
          <w:rFonts w:cs="Arial"/>
          <w:iCs/>
          <w:color w:val="4472C4" w:themeColor="accent1"/>
          <w:szCs w:val="24"/>
        </w:rPr>
      </w:pPr>
    </w:p>
    <w:p w14:paraId="4C8B958A" w14:textId="7703D7D4" w:rsidR="00715560" w:rsidRPr="00E6484A" w:rsidRDefault="0086726A" w:rsidP="00874A98">
      <w:pPr>
        <w:pStyle w:val="ListParagraph"/>
        <w:numPr>
          <w:ilvl w:val="1"/>
          <w:numId w:val="92"/>
        </w:numPr>
        <w:autoSpaceDE w:val="0"/>
        <w:autoSpaceDN w:val="0"/>
        <w:adjustRightInd w:val="0"/>
        <w:spacing w:after="0" w:line="240" w:lineRule="auto"/>
        <w:ind w:left="851" w:hanging="851"/>
        <w:rPr>
          <w:rStyle w:val="Normal1"/>
          <w:b/>
          <w:bCs/>
          <w:iCs/>
          <w:color w:val="auto"/>
        </w:rPr>
      </w:pPr>
      <w:r>
        <w:rPr>
          <w:rStyle w:val="Normal1"/>
          <w:rFonts w:cs="Arial"/>
          <w:iCs/>
          <w:color w:val="auto"/>
          <w:szCs w:val="24"/>
        </w:rPr>
        <w:t>T</w:t>
      </w:r>
      <w:r w:rsidR="00715560" w:rsidRPr="00B00712">
        <w:rPr>
          <w:rStyle w:val="Normal1"/>
          <w:rFonts w:cs="Arial"/>
          <w:iCs/>
          <w:color w:val="auto"/>
          <w:szCs w:val="24"/>
        </w:rPr>
        <w:t>h</w:t>
      </w:r>
      <w:r w:rsidR="00715560" w:rsidRPr="00694FCA">
        <w:rPr>
          <w:rStyle w:val="Normal1"/>
          <w:rFonts w:cs="Arial"/>
          <w:iCs/>
          <w:color w:val="auto"/>
          <w:szCs w:val="24"/>
        </w:rPr>
        <w:t xml:space="preserve">e site adjoins </w:t>
      </w:r>
      <w:proofErr w:type="spellStart"/>
      <w:r w:rsidR="00715560" w:rsidRPr="00694FCA">
        <w:rPr>
          <w:rStyle w:val="Normal1"/>
          <w:rFonts w:cs="Arial"/>
          <w:iCs/>
          <w:color w:val="auto"/>
          <w:szCs w:val="24"/>
        </w:rPr>
        <w:t>Linby</w:t>
      </w:r>
      <w:proofErr w:type="spellEnd"/>
      <w:r w:rsidR="00715560" w:rsidRPr="00694FCA">
        <w:rPr>
          <w:rStyle w:val="Normal1"/>
          <w:rFonts w:cs="Arial"/>
          <w:iCs/>
          <w:color w:val="auto"/>
          <w:szCs w:val="24"/>
        </w:rPr>
        <w:t xml:space="preserve"> Conservation Area in Gedling Borough to the North</w:t>
      </w:r>
      <w:r w:rsidR="005372F6" w:rsidRPr="00694FCA">
        <w:rPr>
          <w:rStyle w:val="Normal1"/>
          <w:rFonts w:cs="Arial"/>
          <w:iCs/>
          <w:color w:val="auto"/>
          <w:szCs w:val="24"/>
        </w:rPr>
        <w:t xml:space="preserve"> and forms part of the visual influence area of the conservation area, which is the setting for the Grade II* </w:t>
      </w:r>
      <w:r w:rsidR="001F122D" w:rsidRPr="00694FCA">
        <w:rPr>
          <w:rStyle w:val="Normal1"/>
          <w:rFonts w:cs="Arial"/>
          <w:iCs/>
          <w:color w:val="auto"/>
          <w:szCs w:val="24"/>
        </w:rPr>
        <w:t xml:space="preserve">Listed </w:t>
      </w:r>
      <w:r w:rsidR="005372F6" w:rsidRPr="00694FCA">
        <w:rPr>
          <w:rStyle w:val="Normal1"/>
          <w:rFonts w:cs="Arial"/>
          <w:iCs/>
          <w:color w:val="auto"/>
          <w:szCs w:val="24"/>
        </w:rPr>
        <w:t>Church of St Michael</w:t>
      </w:r>
      <w:r w:rsidR="007D2106" w:rsidRPr="00694FCA">
        <w:rPr>
          <w:rStyle w:val="Normal1"/>
          <w:rFonts w:cs="Arial"/>
          <w:iCs/>
          <w:color w:val="auto"/>
          <w:szCs w:val="24"/>
        </w:rPr>
        <w:t>.</w:t>
      </w:r>
      <w:r w:rsidR="005372F6" w:rsidRPr="00694FCA">
        <w:rPr>
          <w:rStyle w:val="Normal1"/>
          <w:rFonts w:cs="Arial"/>
          <w:iCs/>
          <w:color w:val="auto"/>
          <w:szCs w:val="24"/>
        </w:rPr>
        <w:t xml:space="preserve">  Consideration will need to be given to this aspect</w:t>
      </w:r>
      <w:r w:rsidR="00D82143">
        <w:rPr>
          <w:rStyle w:val="Normal1"/>
          <w:rFonts w:cs="Arial"/>
          <w:iCs/>
          <w:color w:val="auto"/>
          <w:szCs w:val="24"/>
        </w:rPr>
        <w:t xml:space="preserve">, </w:t>
      </w:r>
      <w:r w:rsidR="00D82143" w:rsidRPr="00D82143">
        <w:rPr>
          <w:rFonts w:ascii="Arial" w:eastAsia="Arial" w:hAnsi="Arial" w:cs="Arial"/>
          <w:iCs/>
          <w:color w:val="0070C0"/>
          <w:szCs w:val="24"/>
          <w:lang w:eastAsia="en-GB"/>
        </w:rPr>
        <w:t>the recommendations identified in the 2023 Heritage Impact Assessment (HIA),</w:t>
      </w:r>
      <w:r w:rsidR="005372F6" w:rsidRPr="00D82143">
        <w:rPr>
          <w:rStyle w:val="Normal1"/>
          <w:rFonts w:cs="Arial"/>
          <w:iCs/>
          <w:color w:val="auto"/>
          <w:szCs w:val="24"/>
        </w:rPr>
        <w:t xml:space="preserve"> and the layout</w:t>
      </w:r>
      <w:r w:rsidR="005372F6" w:rsidRPr="00694FCA">
        <w:rPr>
          <w:rStyle w:val="Normal1"/>
          <w:rFonts w:cs="Arial"/>
          <w:iCs/>
          <w:color w:val="auto"/>
          <w:szCs w:val="24"/>
        </w:rPr>
        <w:t xml:space="preserve"> of the site prior to submitting a planning application.  In addition, given the </w:t>
      </w:r>
      <w:proofErr w:type="gramStart"/>
      <w:r w:rsidR="005372F6" w:rsidRPr="00694FCA">
        <w:rPr>
          <w:rStyle w:val="Normal1"/>
          <w:rFonts w:cs="Arial"/>
          <w:iCs/>
          <w:color w:val="auto"/>
          <w:szCs w:val="24"/>
        </w:rPr>
        <w:t>sites</w:t>
      </w:r>
      <w:proofErr w:type="gramEnd"/>
      <w:r w:rsidR="005372F6" w:rsidRPr="00694FCA">
        <w:rPr>
          <w:rStyle w:val="Normal1"/>
          <w:rFonts w:cs="Arial"/>
          <w:iCs/>
          <w:color w:val="auto"/>
          <w:szCs w:val="24"/>
        </w:rPr>
        <w:t xml:space="preserve"> location on the periphery of a medieval village and the </w:t>
      </w:r>
      <w:r w:rsidR="0061128F" w:rsidRPr="00694FCA">
        <w:rPr>
          <w:rStyle w:val="Normal1"/>
          <w:rFonts w:cs="Arial"/>
          <w:iCs/>
          <w:color w:val="auto"/>
          <w:szCs w:val="24"/>
        </w:rPr>
        <w:t>existence</w:t>
      </w:r>
      <w:r w:rsidR="005372F6" w:rsidRPr="00694FCA">
        <w:rPr>
          <w:rStyle w:val="Normal1"/>
          <w:rFonts w:cs="Arial"/>
          <w:iCs/>
          <w:color w:val="auto"/>
          <w:szCs w:val="24"/>
        </w:rPr>
        <w:t xml:space="preserve"> of medieval terracing to the north, the presence of medieval remains cannot be completely ruled out.  </w:t>
      </w:r>
      <w:r w:rsidR="0061128F" w:rsidRPr="00694FCA">
        <w:rPr>
          <w:rStyle w:val="Normal1"/>
          <w:rFonts w:cs="Arial"/>
          <w:iCs/>
          <w:color w:val="auto"/>
          <w:szCs w:val="24"/>
        </w:rPr>
        <w:t>Further archaeological evaluation work will be required</w:t>
      </w:r>
      <w:r w:rsidR="00D82143">
        <w:rPr>
          <w:rStyle w:val="Normal1"/>
          <w:rFonts w:cs="Arial"/>
          <w:iCs/>
          <w:color w:val="auto"/>
          <w:szCs w:val="24"/>
        </w:rPr>
        <w:t>.</w:t>
      </w:r>
      <w:r w:rsidR="0061128F" w:rsidRPr="00694FCA">
        <w:rPr>
          <w:rStyle w:val="Normal1"/>
          <w:rFonts w:cs="Arial"/>
          <w:iCs/>
          <w:color w:val="auto"/>
          <w:szCs w:val="24"/>
        </w:rPr>
        <w:t xml:space="preserve"> </w:t>
      </w:r>
      <w:r w:rsidR="0061128F" w:rsidRPr="00D82143">
        <w:rPr>
          <w:rStyle w:val="Normal1"/>
          <w:rFonts w:cs="Arial"/>
          <w:iCs/>
          <w:strike/>
          <w:color w:val="auto"/>
          <w:szCs w:val="24"/>
        </w:rPr>
        <w:t xml:space="preserve">beginning with </w:t>
      </w:r>
      <w:proofErr w:type="gramStart"/>
      <w:r w:rsidR="0061128F" w:rsidRPr="00D82143">
        <w:rPr>
          <w:rStyle w:val="Normal1"/>
          <w:rFonts w:cs="Arial"/>
          <w:iCs/>
          <w:strike/>
          <w:color w:val="auto"/>
          <w:szCs w:val="24"/>
        </w:rPr>
        <w:t>a</w:t>
      </w:r>
      <w:r w:rsidR="0061128F" w:rsidRPr="00694FCA">
        <w:rPr>
          <w:rStyle w:val="Normal1"/>
          <w:rFonts w:cs="Arial"/>
          <w:iCs/>
          <w:color w:val="auto"/>
          <w:szCs w:val="24"/>
        </w:rPr>
        <w:t xml:space="preserve"> </w:t>
      </w:r>
      <w:r w:rsidR="00D82143">
        <w:rPr>
          <w:rStyle w:val="Normal1"/>
          <w:rFonts w:cs="Arial"/>
          <w:iCs/>
          <w:color w:val="auto"/>
          <w:szCs w:val="24"/>
        </w:rPr>
        <w:t xml:space="preserve"> </w:t>
      </w:r>
      <w:r w:rsidR="00D82143" w:rsidRPr="00D82143">
        <w:rPr>
          <w:rFonts w:ascii="Arial" w:eastAsia="Arial" w:hAnsi="Arial" w:cs="Arial"/>
          <w:iCs/>
          <w:color w:val="0070C0"/>
          <w:szCs w:val="24"/>
          <w:lang w:eastAsia="en-GB"/>
        </w:rPr>
        <w:t>An</w:t>
      </w:r>
      <w:proofErr w:type="gramEnd"/>
      <w:r w:rsidR="00D82143" w:rsidRPr="00D82143">
        <w:rPr>
          <w:rFonts w:ascii="Arial" w:eastAsia="Arial" w:hAnsi="Arial" w:cs="Arial"/>
          <w:iCs/>
          <w:szCs w:val="24"/>
          <w:lang w:eastAsia="en-GB"/>
        </w:rPr>
        <w:t xml:space="preserve"> </w:t>
      </w:r>
      <w:r w:rsidR="00D82143" w:rsidRPr="00D82143">
        <w:rPr>
          <w:rFonts w:ascii="Arial" w:eastAsia="Arial" w:hAnsi="Arial" w:cs="Arial"/>
          <w:iCs/>
          <w:color w:val="0070C0"/>
          <w:szCs w:val="24"/>
          <w:lang w:eastAsia="en-GB"/>
        </w:rPr>
        <w:t>archaeological</w:t>
      </w:r>
      <w:r w:rsidR="00D82143" w:rsidRPr="001C68A2">
        <w:rPr>
          <w:rFonts w:eastAsia="Arial" w:cs="Arial"/>
          <w:iCs/>
          <w:color w:val="0070C0"/>
          <w:sz w:val="22"/>
          <w:lang w:eastAsia="en-GB"/>
        </w:rPr>
        <w:t xml:space="preserve"> </w:t>
      </w:r>
      <w:r w:rsidR="0061128F" w:rsidRPr="00694FCA">
        <w:rPr>
          <w:rStyle w:val="Normal1"/>
          <w:rFonts w:cs="Arial"/>
          <w:iCs/>
          <w:color w:val="auto"/>
          <w:szCs w:val="24"/>
        </w:rPr>
        <w:t>Desk Based Assessment (DBA)</w:t>
      </w:r>
      <w:r w:rsidR="00D82143">
        <w:rPr>
          <w:rStyle w:val="Normal1"/>
          <w:rFonts w:cs="Arial"/>
          <w:iCs/>
          <w:color w:val="auto"/>
          <w:szCs w:val="24"/>
        </w:rPr>
        <w:t xml:space="preserve"> </w:t>
      </w:r>
      <w:r w:rsidR="00D82143" w:rsidRPr="00D82143">
        <w:rPr>
          <w:rFonts w:ascii="Arial" w:eastAsia="Arial" w:hAnsi="Arial" w:cs="Arial"/>
          <w:iCs/>
          <w:color w:val="0070C0"/>
          <w:szCs w:val="24"/>
          <w:lang w:eastAsia="en-GB"/>
        </w:rPr>
        <w:t>should be submitted with any planning application,</w:t>
      </w:r>
      <w:r w:rsidR="0061128F" w:rsidRPr="00694FCA">
        <w:rPr>
          <w:rStyle w:val="Normal1"/>
          <w:rFonts w:cs="Arial"/>
          <w:iCs/>
          <w:color w:val="auto"/>
          <w:szCs w:val="24"/>
        </w:rPr>
        <w:t xml:space="preserve"> </w:t>
      </w:r>
      <w:r w:rsidR="0061128F" w:rsidRPr="00694FCA">
        <w:rPr>
          <w:rFonts w:ascii="Arial" w:hAnsi="Arial" w:cs="Arial"/>
          <w:color w:val="auto"/>
        </w:rPr>
        <w:t>to ascertain the extent and level of survival of archaeological remains within the site</w:t>
      </w:r>
      <w:r w:rsidR="0061128F" w:rsidRPr="00694FCA">
        <w:rPr>
          <w:rStyle w:val="Normal1"/>
          <w:rFonts w:cs="Arial"/>
          <w:iCs/>
          <w:color w:val="auto"/>
          <w:szCs w:val="24"/>
        </w:rPr>
        <w:t>.  Depending on the results of the DBA further archaeological investigations may be warranted, including a geophysical survey and targeted trial trenching, where necessary</w:t>
      </w:r>
      <w:r w:rsidR="00D82143">
        <w:rPr>
          <w:rStyle w:val="Normal1"/>
          <w:rFonts w:cs="Arial"/>
          <w:iCs/>
          <w:color w:val="auto"/>
          <w:szCs w:val="24"/>
        </w:rPr>
        <w:t xml:space="preserve"> </w:t>
      </w:r>
      <w:proofErr w:type="gramStart"/>
      <w:r w:rsidR="00D82143" w:rsidRPr="00D82143">
        <w:rPr>
          <w:rStyle w:val="Normal1"/>
          <w:rFonts w:cs="Arial"/>
          <w:iCs/>
          <w:color w:val="0070C0"/>
          <w:szCs w:val="24"/>
        </w:rPr>
        <w:t>to</w:t>
      </w:r>
      <w:r w:rsidR="0061128F" w:rsidRPr="00D82143">
        <w:rPr>
          <w:rStyle w:val="Normal1"/>
          <w:rFonts w:cs="Arial"/>
          <w:iCs/>
          <w:color w:val="0070C0"/>
          <w:szCs w:val="24"/>
        </w:rPr>
        <w:t xml:space="preserve"> </w:t>
      </w:r>
      <w:r w:rsidR="0061128F" w:rsidRPr="00694FCA">
        <w:rPr>
          <w:rStyle w:val="Normal1"/>
          <w:rFonts w:cs="Arial"/>
          <w:iCs/>
          <w:color w:val="auto"/>
          <w:szCs w:val="24"/>
        </w:rPr>
        <w:t xml:space="preserve"> </w:t>
      </w:r>
      <w:r w:rsidR="0061128F" w:rsidRPr="00D82143">
        <w:rPr>
          <w:rStyle w:val="Normal1"/>
          <w:rFonts w:cs="Arial"/>
          <w:iCs/>
          <w:strike/>
          <w:color w:val="auto"/>
          <w:szCs w:val="24"/>
        </w:rPr>
        <w:t>This</w:t>
      </w:r>
      <w:proofErr w:type="gramEnd"/>
      <w:r w:rsidR="0061128F" w:rsidRPr="00D82143">
        <w:rPr>
          <w:rStyle w:val="Normal1"/>
          <w:rFonts w:cs="Arial"/>
          <w:iCs/>
          <w:strike/>
          <w:color w:val="auto"/>
          <w:szCs w:val="24"/>
        </w:rPr>
        <w:t xml:space="preserve"> work will</w:t>
      </w:r>
      <w:r w:rsidR="0061128F" w:rsidRPr="00694FCA">
        <w:rPr>
          <w:rStyle w:val="Normal1"/>
          <w:rFonts w:cs="Arial"/>
          <w:iCs/>
          <w:color w:val="auto"/>
          <w:szCs w:val="24"/>
        </w:rPr>
        <w:t xml:space="preserve"> inform </w:t>
      </w:r>
      <w:r w:rsidR="001909D1" w:rsidRPr="001909D1">
        <w:rPr>
          <w:rStyle w:val="Normal1"/>
          <w:rFonts w:cs="Arial"/>
          <w:iCs/>
          <w:color w:val="0070C0"/>
          <w:szCs w:val="24"/>
        </w:rPr>
        <w:t xml:space="preserve">any </w:t>
      </w:r>
      <w:r w:rsidR="00D82143">
        <w:rPr>
          <w:rStyle w:val="Normal1"/>
          <w:rFonts w:cs="Arial"/>
          <w:iCs/>
          <w:color w:val="0070C0"/>
          <w:szCs w:val="24"/>
        </w:rPr>
        <w:t xml:space="preserve">required </w:t>
      </w:r>
      <w:r w:rsidR="0061128F" w:rsidRPr="00D82143">
        <w:rPr>
          <w:rStyle w:val="Normal1"/>
          <w:rFonts w:cs="Arial"/>
          <w:iCs/>
          <w:strike/>
          <w:color w:val="auto"/>
          <w:szCs w:val="24"/>
        </w:rPr>
        <w:t>the need for</w:t>
      </w:r>
      <w:r w:rsidR="0061128F" w:rsidRPr="00694FCA">
        <w:rPr>
          <w:rStyle w:val="Normal1"/>
          <w:rFonts w:cs="Arial"/>
          <w:iCs/>
          <w:color w:val="auto"/>
          <w:szCs w:val="24"/>
        </w:rPr>
        <w:t xml:space="preserve"> mitigation.</w:t>
      </w:r>
    </w:p>
    <w:p w14:paraId="6749C41F" w14:textId="77777777" w:rsidR="00E6484A" w:rsidRPr="00A80D1B" w:rsidRDefault="00E6484A" w:rsidP="00E6484A">
      <w:pPr>
        <w:pStyle w:val="ListParagraph"/>
        <w:autoSpaceDE w:val="0"/>
        <w:autoSpaceDN w:val="0"/>
        <w:adjustRightInd w:val="0"/>
        <w:spacing w:after="0" w:line="240" w:lineRule="auto"/>
        <w:ind w:left="851"/>
        <w:rPr>
          <w:rStyle w:val="Normal1"/>
          <w:b/>
          <w:bCs/>
          <w:iCs/>
          <w:color w:val="auto"/>
        </w:rPr>
      </w:pPr>
    </w:p>
    <w:p w14:paraId="540B19E0" w14:textId="085F00E3" w:rsidR="007D2106" w:rsidRPr="00520712" w:rsidRDefault="00A80D1B" w:rsidP="00874A98">
      <w:pPr>
        <w:pStyle w:val="ListParagraph"/>
        <w:numPr>
          <w:ilvl w:val="1"/>
          <w:numId w:val="92"/>
        </w:numPr>
        <w:autoSpaceDE w:val="0"/>
        <w:autoSpaceDN w:val="0"/>
        <w:adjustRightInd w:val="0"/>
        <w:spacing w:after="0" w:line="240" w:lineRule="auto"/>
        <w:ind w:left="851" w:hanging="851"/>
        <w:rPr>
          <w:rStyle w:val="Normal1"/>
          <w:b/>
          <w:bCs/>
          <w:iCs/>
          <w:color w:val="auto"/>
        </w:rPr>
      </w:pPr>
      <w:bookmarkStart w:id="202" w:name="_Hlk148605597"/>
      <w:r w:rsidRPr="004A218C">
        <w:rPr>
          <w:rStyle w:val="Normal1"/>
          <w:iCs/>
          <w:color w:val="auto"/>
        </w:rPr>
        <w:t xml:space="preserve">To support the Council’s Playing Pitch Strategy (2023) and the long-term future of sports provision in Hucknall, there will be a requirement for a cricket/junior football </w:t>
      </w:r>
      <w:r w:rsidRPr="004A218C">
        <w:rPr>
          <w:rStyle w:val="Normal1"/>
          <w:iCs/>
          <w:color w:val="auto"/>
        </w:rPr>
        <w:lastRenderedPageBreak/>
        <w:t xml:space="preserve">pitch to be provided on the site.  Hucknall Cricket Club which adjoins the site to the south have a good club infrastructure and facilities, however they lack the </w:t>
      </w:r>
      <w:r w:rsidR="007E68C4" w:rsidRPr="004A218C">
        <w:rPr>
          <w:rStyle w:val="Normal1"/>
          <w:iCs/>
          <w:color w:val="auto"/>
        </w:rPr>
        <w:t xml:space="preserve">pitches needed </w:t>
      </w:r>
      <w:r w:rsidRPr="004A218C">
        <w:rPr>
          <w:rStyle w:val="Normal1"/>
          <w:iCs/>
          <w:color w:val="auto"/>
        </w:rPr>
        <w:t>to ex</w:t>
      </w:r>
      <w:r w:rsidR="007E68C4" w:rsidRPr="004A218C">
        <w:rPr>
          <w:rStyle w:val="Normal1"/>
          <w:iCs/>
          <w:color w:val="auto"/>
        </w:rPr>
        <w:t>pand</w:t>
      </w:r>
      <w:r w:rsidRPr="004A218C">
        <w:rPr>
          <w:rStyle w:val="Normal1"/>
          <w:iCs/>
          <w:color w:val="auto"/>
        </w:rPr>
        <w:t xml:space="preserve"> and grow.  At the time of writing the club is using pitches </w:t>
      </w:r>
      <w:r w:rsidRPr="00520712">
        <w:rPr>
          <w:rStyle w:val="Normal1"/>
          <w:iCs/>
          <w:color w:val="auto"/>
        </w:rPr>
        <w:t xml:space="preserve">outside of the district to facilitate demand.  </w:t>
      </w:r>
    </w:p>
    <w:p w14:paraId="63E8918D" w14:textId="77777777" w:rsidR="0044521A" w:rsidRPr="00520712" w:rsidRDefault="0044521A" w:rsidP="0044521A">
      <w:pPr>
        <w:pStyle w:val="ListParagraph"/>
        <w:rPr>
          <w:rStyle w:val="Normal1"/>
          <w:b/>
          <w:bCs/>
          <w:iCs/>
          <w:color w:val="auto"/>
        </w:rPr>
      </w:pPr>
    </w:p>
    <w:p w14:paraId="7CD9F16B" w14:textId="293DFBF8" w:rsidR="0044521A" w:rsidRPr="007E5D73" w:rsidRDefault="0044521A" w:rsidP="00520712">
      <w:pPr>
        <w:pStyle w:val="ListParagraph"/>
        <w:numPr>
          <w:ilvl w:val="1"/>
          <w:numId w:val="92"/>
        </w:numPr>
        <w:ind w:left="851" w:hanging="851"/>
        <w:rPr>
          <w:rStyle w:val="Normal1"/>
          <w:rFonts w:cs="Arial"/>
          <w:strike/>
          <w:color w:val="auto"/>
          <w:spacing w:val="-1"/>
          <w:szCs w:val="24"/>
        </w:rPr>
      </w:pPr>
      <w:bookmarkStart w:id="203" w:name="_Hlk148604869"/>
      <w:r w:rsidRPr="007E5D73">
        <w:rPr>
          <w:rStyle w:val="Normal1"/>
          <w:rFonts w:cs="Arial"/>
          <w:iCs/>
          <w:strike/>
          <w:color w:val="auto"/>
          <w:szCs w:val="24"/>
        </w:rPr>
        <w:t>A c</w:t>
      </w:r>
      <w:r w:rsidRPr="007E5D73">
        <w:rPr>
          <w:rFonts w:ascii="Arial" w:eastAsia="Arial" w:hAnsi="Arial" w:cs="Arial"/>
          <w:strike/>
          <w:color w:val="auto"/>
          <w:spacing w:val="-1"/>
          <w:szCs w:val="24"/>
        </w:rPr>
        <w:t xml:space="preserve">oncise </w:t>
      </w:r>
      <w:r w:rsidR="004A218C" w:rsidRPr="007E5D73">
        <w:rPr>
          <w:rFonts w:ascii="Arial" w:eastAsia="Arial" w:hAnsi="Arial" w:cs="Arial"/>
          <w:strike/>
          <w:color w:val="auto"/>
          <w:spacing w:val="-1"/>
          <w:szCs w:val="24"/>
        </w:rPr>
        <w:t>masterplan</w:t>
      </w:r>
      <w:r w:rsidRPr="007E5D73">
        <w:rPr>
          <w:rFonts w:ascii="Arial" w:eastAsia="Arial" w:hAnsi="Arial" w:cs="Arial"/>
          <w:strike/>
          <w:color w:val="auto"/>
          <w:spacing w:val="-1"/>
          <w:szCs w:val="24"/>
        </w:rPr>
        <w:t xml:space="preserve"> will be available</w:t>
      </w:r>
      <w:r w:rsidR="006E20EE" w:rsidRPr="007E5D73">
        <w:rPr>
          <w:rFonts w:ascii="Arial" w:eastAsia="Arial" w:hAnsi="Arial" w:cs="Arial"/>
          <w:strike/>
          <w:color w:val="auto"/>
          <w:spacing w:val="-1"/>
          <w:szCs w:val="24"/>
        </w:rPr>
        <w:t xml:space="preserve"> to identify</w:t>
      </w:r>
      <w:r w:rsidRPr="007E5D73">
        <w:rPr>
          <w:rFonts w:ascii="Arial" w:eastAsia="Arial" w:hAnsi="Arial" w:cs="Arial"/>
          <w:strike/>
          <w:color w:val="auto"/>
          <w:spacing w:val="-1"/>
          <w:szCs w:val="24"/>
        </w:rPr>
        <w:t xml:space="preserve"> essential requirements expected by the </w:t>
      </w:r>
      <w:r w:rsidR="004C145C" w:rsidRPr="007E5D73">
        <w:rPr>
          <w:rFonts w:ascii="Arial" w:eastAsia="Arial" w:hAnsi="Arial" w:cs="Arial"/>
          <w:strike/>
          <w:color w:val="auto"/>
          <w:spacing w:val="-1"/>
          <w:szCs w:val="24"/>
        </w:rPr>
        <w:t>Council and</w:t>
      </w:r>
      <w:r w:rsidRPr="007E5D73">
        <w:rPr>
          <w:rFonts w:ascii="Arial" w:eastAsia="Arial" w:hAnsi="Arial" w:cs="Arial"/>
          <w:strike/>
          <w:color w:val="auto"/>
          <w:spacing w:val="-1"/>
          <w:szCs w:val="24"/>
        </w:rPr>
        <w:t xml:space="preserve"> provide</w:t>
      </w:r>
      <w:r w:rsidR="00520712" w:rsidRPr="007E5D73">
        <w:rPr>
          <w:rFonts w:ascii="Arial" w:eastAsia="Arial" w:hAnsi="Arial" w:cs="Arial"/>
          <w:strike/>
          <w:color w:val="auto"/>
          <w:spacing w:val="-1"/>
          <w:szCs w:val="24"/>
        </w:rPr>
        <w:t>s</w:t>
      </w:r>
      <w:r w:rsidRPr="007E5D73">
        <w:rPr>
          <w:rFonts w:ascii="Arial" w:eastAsia="Arial" w:hAnsi="Arial" w:cs="Arial"/>
          <w:strike/>
          <w:color w:val="auto"/>
          <w:spacing w:val="-1"/>
          <w:szCs w:val="24"/>
        </w:rPr>
        <w:t xml:space="preserve"> more detailed advice and guidance specific to the site.</w:t>
      </w:r>
      <w:bookmarkEnd w:id="203"/>
    </w:p>
    <w:bookmarkEnd w:id="202"/>
    <w:p w14:paraId="2223909E" w14:textId="77777777" w:rsidR="007E68C4" w:rsidRDefault="007E68C4" w:rsidP="007E68C4">
      <w:pPr>
        <w:autoSpaceDE w:val="0"/>
        <w:autoSpaceDN w:val="0"/>
        <w:adjustRightInd w:val="0"/>
        <w:rPr>
          <w:rStyle w:val="Normal1"/>
          <w:b/>
          <w:bCs/>
          <w:iCs/>
          <w:color w:val="auto"/>
        </w:rPr>
      </w:pPr>
    </w:p>
    <w:tbl>
      <w:tblPr>
        <w:tblStyle w:val="ReportTable1"/>
        <w:tblW w:w="9634" w:type="dxa"/>
        <w:tblLook w:val="04A0" w:firstRow="1" w:lastRow="0" w:firstColumn="1" w:lastColumn="0" w:noHBand="0" w:noVBand="1"/>
      </w:tblPr>
      <w:tblGrid>
        <w:gridCol w:w="2635"/>
        <w:gridCol w:w="6999"/>
      </w:tblGrid>
      <w:tr w:rsidR="00AC4AE7" w:rsidRPr="00E23F03" w14:paraId="29D62110" w14:textId="77777777" w:rsidTr="00476E4D">
        <w:tc>
          <w:tcPr>
            <w:tcW w:w="9634" w:type="dxa"/>
            <w:gridSpan w:val="2"/>
          </w:tcPr>
          <w:p w14:paraId="7ADDCB88" w14:textId="77777777" w:rsidR="00AC4AE7" w:rsidRPr="00AC4AE7" w:rsidRDefault="00AC4AE7">
            <w:pPr>
              <w:pStyle w:val="Heading"/>
              <w:spacing w:before="120" w:after="120"/>
              <w:rPr>
                <w:rStyle w:val="Heading10"/>
                <w:rFonts w:cs="Arial"/>
                <w:b/>
                <w:color w:val="0070C0"/>
                <w:szCs w:val="24"/>
              </w:rPr>
            </w:pPr>
            <w:r w:rsidRPr="00AC4AE7">
              <w:rPr>
                <w:rStyle w:val="Heading10"/>
                <w:rFonts w:cs="Arial"/>
                <w:b/>
                <w:color w:val="0070C0"/>
                <w:szCs w:val="24"/>
              </w:rPr>
              <w:t>Policy H1Hc: Land North of A611 / South of Broomhill Farm, Hucknall</w:t>
            </w:r>
          </w:p>
        </w:tc>
      </w:tr>
      <w:tr w:rsidR="00AC4AE7" w:rsidRPr="00E23F03" w14:paraId="73A49C4B" w14:textId="77777777" w:rsidTr="00476E4D">
        <w:tc>
          <w:tcPr>
            <w:tcW w:w="2635" w:type="dxa"/>
          </w:tcPr>
          <w:p w14:paraId="16BF2893" w14:textId="77777777" w:rsidR="00AC4AE7" w:rsidRPr="00E23F03" w:rsidRDefault="00AC4AE7">
            <w:pPr>
              <w:pStyle w:val="Heading"/>
              <w:spacing w:before="40" w:after="40"/>
              <w:rPr>
                <w:rStyle w:val="Heading10"/>
                <w:rFonts w:cs="Arial"/>
                <w:bCs/>
                <w:color w:val="0070C0"/>
                <w:szCs w:val="24"/>
              </w:rPr>
            </w:pPr>
            <w:r w:rsidRPr="00E23F03">
              <w:rPr>
                <w:rStyle w:val="Heading10"/>
                <w:rFonts w:cs="Arial"/>
                <w:bCs/>
                <w:color w:val="0070C0"/>
                <w:szCs w:val="24"/>
              </w:rPr>
              <w:t>Strategic Objectives</w:t>
            </w:r>
          </w:p>
        </w:tc>
        <w:tc>
          <w:tcPr>
            <w:tcW w:w="6999" w:type="dxa"/>
          </w:tcPr>
          <w:p w14:paraId="3E844700" w14:textId="77777777" w:rsidR="00AC4AE7" w:rsidRPr="00E23F03" w:rsidRDefault="00AC4AE7">
            <w:pPr>
              <w:pStyle w:val="Heading"/>
              <w:spacing w:before="40" w:after="40"/>
              <w:rPr>
                <w:rStyle w:val="Heading10"/>
                <w:rFonts w:cs="Arial"/>
                <w:bCs/>
                <w:color w:val="0070C0"/>
                <w:szCs w:val="24"/>
              </w:rPr>
            </w:pPr>
            <w:r w:rsidRPr="00E23F03">
              <w:rPr>
                <w:rStyle w:val="Heading10"/>
                <w:rFonts w:cs="Arial"/>
                <w:bCs/>
                <w:color w:val="0070C0"/>
                <w:szCs w:val="24"/>
              </w:rPr>
              <w:t>SO3, SO5, SO11, SO12, SO13</w:t>
            </w:r>
          </w:p>
        </w:tc>
      </w:tr>
      <w:tr w:rsidR="00AC4AE7" w:rsidRPr="00E23F03" w14:paraId="26EEA342" w14:textId="77777777" w:rsidTr="00476E4D">
        <w:trPr>
          <w:trHeight w:val="1190"/>
        </w:trPr>
        <w:tc>
          <w:tcPr>
            <w:tcW w:w="9634" w:type="dxa"/>
            <w:gridSpan w:val="2"/>
            <w:shd w:val="clear" w:color="auto" w:fill="FFCC99"/>
          </w:tcPr>
          <w:p w14:paraId="0D0CEC86" w14:textId="77777777" w:rsidR="00AC4AE7" w:rsidRPr="005F5AF9" w:rsidRDefault="00AC4AE7">
            <w:pPr>
              <w:pStyle w:val="Policy"/>
              <w:tabs>
                <w:tab w:val="clear" w:pos="680"/>
                <w:tab w:val="left" w:pos="306"/>
              </w:tabs>
              <w:spacing w:after="0" w:line="240" w:lineRule="auto"/>
              <w:ind w:left="306" w:right="284"/>
              <w:rPr>
                <w:rStyle w:val="Heading10"/>
                <w:rFonts w:cs="Arial"/>
                <w:b w:val="0"/>
                <w:bCs/>
                <w:color w:val="005CA9"/>
                <w:szCs w:val="24"/>
              </w:rPr>
            </w:pPr>
          </w:p>
          <w:p w14:paraId="43DA8D26" w14:textId="77777777" w:rsidR="00AC4AE7" w:rsidRPr="005F5AF9" w:rsidRDefault="00AC4AE7">
            <w:pPr>
              <w:pStyle w:val="Policy"/>
              <w:tabs>
                <w:tab w:val="clear" w:pos="680"/>
                <w:tab w:val="left" w:pos="306"/>
              </w:tabs>
              <w:spacing w:after="0" w:line="240" w:lineRule="auto"/>
              <w:ind w:left="306" w:right="284"/>
              <w:rPr>
                <w:bCs/>
                <w:color w:val="005CA9"/>
              </w:rPr>
            </w:pPr>
            <w:r w:rsidRPr="005F5AF9">
              <w:rPr>
                <w:bCs/>
                <w:color w:val="005CA9"/>
                <w:sz w:val="24"/>
                <w:szCs w:val="24"/>
              </w:rPr>
              <w:t>Residential development to deliver approximately 499 dwellings will be permitted on site H1Hc as shown on the Policies Map, subject to detailed planning consent. Any future development proposal should have regard to the Masterplan in Appendix 11 and will need to include the following specific requirements, in addition to satisfying other relevant Local Plan policies as applicable:</w:t>
            </w:r>
            <w:r w:rsidRPr="005F5AF9">
              <w:rPr>
                <w:bCs/>
                <w:color w:val="005CA9"/>
              </w:rPr>
              <w:t xml:space="preserve"> </w:t>
            </w:r>
          </w:p>
          <w:p w14:paraId="3265B4AF" w14:textId="77777777" w:rsidR="00AC4AE7" w:rsidRPr="005F5AF9" w:rsidRDefault="00AC4AE7">
            <w:pPr>
              <w:pStyle w:val="Policy"/>
              <w:tabs>
                <w:tab w:val="clear" w:pos="680"/>
                <w:tab w:val="left" w:pos="306"/>
              </w:tabs>
              <w:spacing w:after="0" w:line="240" w:lineRule="auto"/>
              <w:ind w:left="306" w:right="284"/>
              <w:rPr>
                <w:rStyle w:val="Heading10"/>
                <w:b w:val="0"/>
                <w:bCs/>
                <w:color w:val="005CA9"/>
                <w:szCs w:val="24"/>
              </w:rPr>
            </w:pPr>
          </w:p>
          <w:p w14:paraId="02D17B2A" w14:textId="77777777" w:rsidR="00AC4AE7" w:rsidRPr="005F5AF9" w:rsidRDefault="00AC4AE7" w:rsidP="00B2285E">
            <w:pPr>
              <w:pStyle w:val="ListParagraph"/>
              <w:keepNext/>
              <w:numPr>
                <w:ilvl w:val="0"/>
                <w:numId w:val="346"/>
              </w:numPr>
              <w:spacing w:after="0" w:line="240" w:lineRule="auto"/>
              <w:rPr>
                <w:rStyle w:val="Heading10"/>
                <w:b w:val="0"/>
                <w:color w:val="005CA9"/>
                <w:szCs w:val="24"/>
              </w:rPr>
            </w:pPr>
            <w:r w:rsidRPr="005F5AF9">
              <w:rPr>
                <w:rStyle w:val="Heading10"/>
                <w:b w:val="0"/>
                <w:color w:val="005CA9"/>
                <w:szCs w:val="24"/>
              </w:rPr>
              <w:t>Two looped vehicle access roads, with primary access</w:t>
            </w:r>
            <w:r w:rsidRPr="005F5AF9">
              <w:rPr>
                <w:rStyle w:val="Heading10"/>
                <w:b w:val="0"/>
                <w:color w:val="005CA9"/>
              </w:rPr>
              <w:t xml:space="preserve"> </w:t>
            </w:r>
            <w:r w:rsidRPr="005F5AF9">
              <w:rPr>
                <w:rStyle w:val="Heading10"/>
                <w:b w:val="0"/>
                <w:color w:val="005CA9"/>
                <w:szCs w:val="24"/>
              </w:rPr>
              <w:t>from the A611 with a</w:t>
            </w:r>
            <w:r w:rsidRPr="005F5AF9">
              <w:rPr>
                <w:rStyle w:val="Heading10"/>
                <w:b w:val="0"/>
                <w:color w:val="005CA9"/>
              </w:rPr>
              <w:t xml:space="preserve"> </w:t>
            </w:r>
            <w:r w:rsidRPr="005F5AF9">
              <w:rPr>
                <w:rStyle w:val="Heading10"/>
                <w:b w:val="0"/>
                <w:color w:val="005CA9"/>
                <w:szCs w:val="24"/>
              </w:rPr>
              <w:t>secondary</w:t>
            </w:r>
            <w:r w:rsidRPr="005F5AF9">
              <w:rPr>
                <w:rStyle w:val="Heading10"/>
                <w:b w:val="0"/>
                <w:color w:val="005CA9"/>
              </w:rPr>
              <w:t xml:space="preserve"> </w:t>
            </w:r>
            <w:r w:rsidRPr="005F5AF9">
              <w:rPr>
                <w:rStyle w:val="Heading10"/>
                <w:b w:val="0"/>
                <w:color w:val="005CA9"/>
                <w:szCs w:val="24"/>
              </w:rPr>
              <w:t>access from Nottingham Road, connected by a bus and emergency access only;</w:t>
            </w:r>
          </w:p>
          <w:p w14:paraId="452D049D" w14:textId="77777777" w:rsidR="00AC4AE7" w:rsidRPr="005F5AF9" w:rsidRDefault="00AC4AE7" w:rsidP="00AC4AE7">
            <w:pPr>
              <w:pStyle w:val="ListParagraph"/>
              <w:keepNext/>
              <w:spacing w:after="0" w:line="240" w:lineRule="auto"/>
              <w:ind w:left="666"/>
              <w:rPr>
                <w:rStyle w:val="Heading10"/>
                <w:b w:val="0"/>
                <w:color w:val="005CA9"/>
                <w:szCs w:val="24"/>
              </w:rPr>
            </w:pPr>
          </w:p>
          <w:p w14:paraId="654B3FA2" w14:textId="2CB1595D" w:rsidR="00AC4AE7" w:rsidRPr="005F5AF9" w:rsidRDefault="00AC4AE7" w:rsidP="00B2285E">
            <w:pPr>
              <w:pStyle w:val="ListParagraph"/>
              <w:keepNext/>
              <w:numPr>
                <w:ilvl w:val="0"/>
                <w:numId w:val="346"/>
              </w:numPr>
              <w:spacing w:after="0" w:line="240" w:lineRule="auto"/>
              <w:rPr>
                <w:rStyle w:val="Heading10"/>
                <w:b w:val="0"/>
                <w:color w:val="005CA9"/>
                <w:szCs w:val="24"/>
              </w:rPr>
            </w:pPr>
            <w:r w:rsidRPr="005F5AF9">
              <w:rPr>
                <w:rStyle w:val="Heading10"/>
                <w:b w:val="0"/>
                <w:color w:val="005CA9"/>
                <w:szCs w:val="24"/>
              </w:rPr>
              <w:t xml:space="preserve">A master-planned access strategy with multiple access junctions onto Victoria Way, Jackson Road, </w:t>
            </w:r>
            <w:r w:rsidR="006B407B" w:rsidRPr="005F5AF9">
              <w:rPr>
                <w:rStyle w:val="Heading10"/>
                <w:b w:val="0"/>
                <w:color w:val="005CA9"/>
                <w:szCs w:val="24"/>
              </w:rPr>
              <w:t>Farley’s</w:t>
            </w:r>
            <w:r w:rsidRPr="005F5AF9">
              <w:rPr>
                <w:rStyle w:val="Heading10"/>
                <w:b w:val="0"/>
                <w:color w:val="005CA9"/>
                <w:szCs w:val="24"/>
              </w:rPr>
              <w:t xml:space="preserve"> Lane, Hucknall Lane and the A611 to ensure that the whole site is connected to the adjacent housing allocation H1Hn; </w:t>
            </w:r>
          </w:p>
          <w:p w14:paraId="20CF0499" w14:textId="77777777" w:rsidR="00AC4AE7" w:rsidRPr="005F5AF9" w:rsidRDefault="00AC4AE7" w:rsidP="00AC4AE7">
            <w:pPr>
              <w:pStyle w:val="Policy"/>
              <w:tabs>
                <w:tab w:val="clear" w:pos="680"/>
              </w:tabs>
              <w:spacing w:after="0" w:line="240" w:lineRule="auto"/>
              <w:ind w:left="666" w:right="284"/>
              <w:rPr>
                <w:rStyle w:val="Heading10"/>
                <w:rFonts w:cs="Arial"/>
                <w:b w:val="0"/>
                <w:color w:val="005CA9"/>
                <w:szCs w:val="24"/>
              </w:rPr>
            </w:pPr>
          </w:p>
          <w:p w14:paraId="157EFAFD" w14:textId="1292B24E" w:rsidR="00AC4AE7" w:rsidRPr="005F5AF9" w:rsidRDefault="00AC4AE7" w:rsidP="00B2285E">
            <w:pPr>
              <w:pStyle w:val="Policy"/>
              <w:numPr>
                <w:ilvl w:val="0"/>
                <w:numId w:val="346"/>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A segregated enhanced pedestrian/cycle route linking Nottingham Road to the A611;</w:t>
            </w:r>
          </w:p>
          <w:p w14:paraId="57F414A2" w14:textId="77777777" w:rsidR="00AC4AE7" w:rsidRPr="005F5AF9" w:rsidRDefault="00AC4AE7" w:rsidP="00AC4AE7">
            <w:pPr>
              <w:pStyle w:val="Policy"/>
              <w:tabs>
                <w:tab w:val="clear" w:pos="680"/>
              </w:tabs>
              <w:spacing w:after="0" w:line="240" w:lineRule="auto"/>
              <w:ind w:left="666" w:right="284"/>
              <w:rPr>
                <w:rStyle w:val="Heading10"/>
                <w:rFonts w:cs="Arial"/>
                <w:b w:val="0"/>
                <w:color w:val="005CA9"/>
                <w:szCs w:val="24"/>
              </w:rPr>
            </w:pPr>
          </w:p>
          <w:p w14:paraId="23F18792" w14:textId="40F02624" w:rsidR="00AC4AE7" w:rsidRPr="005F5AF9" w:rsidRDefault="00AC4AE7" w:rsidP="00B2285E">
            <w:pPr>
              <w:pStyle w:val="Policy"/>
              <w:numPr>
                <w:ilvl w:val="0"/>
                <w:numId w:val="346"/>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The retention and enhancement of the existing right of way Hucknall FP40;</w:t>
            </w:r>
          </w:p>
          <w:p w14:paraId="03EABB8B" w14:textId="77777777" w:rsidR="00AC4AE7" w:rsidRPr="005F5AF9" w:rsidRDefault="00AC4AE7">
            <w:pPr>
              <w:pStyle w:val="Policy"/>
              <w:tabs>
                <w:tab w:val="clear" w:pos="680"/>
              </w:tabs>
              <w:spacing w:after="0" w:line="240" w:lineRule="auto"/>
              <w:ind w:left="666" w:right="284"/>
              <w:rPr>
                <w:rStyle w:val="Heading10"/>
                <w:b w:val="0"/>
                <w:color w:val="005CA9"/>
                <w:szCs w:val="24"/>
              </w:rPr>
            </w:pPr>
          </w:p>
          <w:p w14:paraId="5F296C41" w14:textId="77777777" w:rsidR="00AC4AE7" w:rsidRPr="005F5AF9" w:rsidRDefault="00AC4AE7" w:rsidP="00B2285E">
            <w:pPr>
              <w:pStyle w:val="Policy"/>
              <w:numPr>
                <w:ilvl w:val="0"/>
                <w:numId w:val="346"/>
              </w:numPr>
              <w:tabs>
                <w:tab w:val="clear" w:pos="680"/>
              </w:tabs>
              <w:spacing w:after="0" w:line="240" w:lineRule="auto"/>
              <w:ind w:right="284"/>
              <w:rPr>
                <w:rStyle w:val="Heading10"/>
                <w:b w:val="0"/>
                <w:color w:val="005CA9"/>
                <w:szCs w:val="24"/>
              </w:rPr>
            </w:pPr>
            <w:r w:rsidRPr="005F5AF9">
              <w:rPr>
                <w:rStyle w:val="Heading10"/>
                <w:b w:val="0"/>
                <w:color w:val="005CA9"/>
                <w:szCs w:val="24"/>
              </w:rPr>
              <w:t xml:space="preserve">A ground investigation survey to assess ground stability in the region of the major geological fault line to the west of the site; </w:t>
            </w:r>
          </w:p>
          <w:p w14:paraId="0460D9DD" w14:textId="77777777" w:rsidR="00AC4AE7" w:rsidRPr="005F5AF9" w:rsidRDefault="00AC4AE7" w:rsidP="00AC4AE7">
            <w:pPr>
              <w:pStyle w:val="Policy"/>
              <w:tabs>
                <w:tab w:val="clear" w:pos="680"/>
              </w:tabs>
              <w:spacing w:after="0" w:line="240" w:lineRule="auto"/>
              <w:ind w:left="666" w:right="284"/>
              <w:rPr>
                <w:rStyle w:val="Heading10"/>
                <w:b w:val="0"/>
                <w:color w:val="005CA9"/>
                <w:szCs w:val="24"/>
              </w:rPr>
            </w:pPr>
          </w:p>
          <w:p w14:paraId="31AAA504" w14:textId="71B9EA5D" w:rsidR="00AC4AE7" w:rsidRPr="005F5AF9" w:rsidRDefault="00AC4AE7" w:rsidP="00B2285E">
            <w:pPr>
              <w:pStyle w:val="Policy"/>
              <w:numPr>
                <w:ilvl w:val="0"/>
                <w:numId w:val="346"/>
              </w:numPr>
              <w:tabs>
                <w:tab w:val="clear" w:pos="680"/>
              </w:tabs>
              <w:spacing w:after="0" w:line="240" w:lineRule="auto"/>
              <w:ind w:right="284"/>
              <w:rPr>
                <w:rStyle w:val="Heading10"/>
                <w:b w:val="0"/>
                <w:color w:val="005CA9"/>
                <w:szCs w:val="24"/>
              </w:rPr>
            </w:pPr>
            <w:r w:rsidRPr="005F5AF9">
              <w:rPr>
                <w:rStyle w:val="Heading10"/>
                <w:b w:val="0"/>
                <w:color w:val="005CA9"/>
                <w:szCs w:val="24"/>
              </w:rPr>
              <w:t>An appropriate Archaeological Desk Based Assessment, and where necessary a field evaluation, to be submitted with any planning application;</w:t>
            </w:r>
          </w:p>
          <w:p w14:paraId="2A94CC73" w14:textId="77777777" w:rsidR="00AC4AE7" w:rsidRPr="005F5AF9" w:rsidRDefault="00AC4AE7" w:rsidP="00AC4AE7">
            <w:pPr>
              <w:pStyle w:val="Policy"/>
              <w:tabs>
                <w:tab w:val="clear" w:pos="680"/>
              </w:tabs>
              <w:spacing w:after="0" w:line="240" w:lineRule="auto"/>
              <w:ind w:left="666" w:right="284"/>
              <w:rPr>
                <w:color w:val="005CA9"/>
                <w:sz w:val="24"/>
                <w:szCs w:val="24"/>
              </w:rPr>
            </w:pPr>
          </w:p>
          <w:p w14:paraId="7FD45137" w14:textId="27EF8382" w:rsidR="00AC4AE7" w:rsidRPr="005F5AF9" w:rsidRDefault="00AC4AE7" w:rsidP="00B2285E">
            <w:pPr>
              <w:pStyle w:val="Policy"/>
              <w:numPr>
                <w:ilvl w:val="0"/>
                <w:numId w:val="346"/>
              </w:numPr>
              <w:tabs>
                <w:tab w:val="clear" w:pos="680"/>
              </w:tabs>
              <w:spacing w:after="0" w:line="240" w:lineRule="auto"/>
              <w:ind w:right="284"/>
              <w:rPr>
                <w:rStyle w:val="Heading10"/>
                <w:b w:val="0"/>
                <w:color w:val="005CA9"/>
                <w:szCs w:val="24"/>
              </w:rPr>
            </w:pPr>
            <w:r w:rsidRPr="005F5AF9">
              <w:rPr>
                <w:color w:val="005CA9"/>
                <w:sz w:val="24"/>
                <w:szCs w:val="24"/>
              </w:rPr>
              <w:t xml:space="preserve">An appropriate design scheme that retains existing mature trees and strengthens and protects existing boundary hedgerows by gapping up and planting additional hedgerow trees where necessary; </w:t>
            </w:r>
          </w:p>
          <w:p w14:paraId="13686B78" w14:textId="77777777" w:rsidR="00AC4AE7" w:rsidRPr="005F5AF9" w:rsidRDefault="00AC4AE7" w:rsidP="00AC4AE7">
            <w:pPr>
              <w:pStyle w:val="Policy"/>
              <w:tabs>
                <w:tab w:val="clear" w:pos="680"/>
              </w:tabs>
              <w:spacing w:after="0" w:line="240" w:lineRule="auto"/>
              <w:ind w:left="666" w:right="284"/>
              <w:rPr>
                <w:rStyle w:val="Heading10"/>
                <w:b w:val="0"/>
                <w:color w:val="005CA9"/>
                <w:szCs w:val="24"/>
              </w:rPr>
            </w:pPr>
          </w:p>
          <w:p w14:paraId="224FA08D" w14:textId="34BB6041" w:rsidR="00AC4AE7" w:rsidRPr="005F5AF9" w:rsidRDefault="00AC4AE7" w:rsidP="00B2285E">
            <w:pPr>
              <w:pStyle w:val="Policy"/>
              <w:numPr>
                <w:ilvl w:val="0"/>
                <w:numId w:val="346"/>
              </w:numPr>
              <w:tabs>
                <w:tab w:val="clear" w:pos="680"/>
              </w:tabs>
              <w:spacing w:after="0" w:line="240" w:lineRule="auto"/>
              <w:ind w:right="284"/>
              <w:rPr>
                <w:rStyle w:val="Heading10"/>
                <w:b w:val="0"/>
                <w:color w:val="005CA9"/>
                <w:szCs w:val="24"/>
              </w:rPr>
            </w:pPr>
            <w:r w:rsidRPr="005F5AF9">
              <w:rPr>
                <w:rStyle w:val="Heading10"/>
                <w:rFonts w:cs="Arial"/>
                <w:b w:val="0"/>
                <w:color w:val="005CA9"/>
                <w:szCs w:val="24"/>
              </w:rPr>
              <w:t>A significant landscape buffer to be implemented along the southwest boundary, where the site adjoins the Hucknall Bypass (A611), to mitigate harm to the Green Belt; and</w:t>
            </w:r>
          </w:p>
          <w:p w14:paraId="64A6E55C" w14:textId="77777777" w:rsidR="00AC4AE7" w:rsidRPr="005F5AF9" w:rsidRDefault="00AC4AE7" w:rsidP="00AC4AE7">
            <w:pPr>
              <w:pStyle w:val="Policy"/>
              <w:tabs>
                <w:tab w:val="clear" w:pos="680"/>
                <w:tab w:val="left" w:pos="731"/>
              </w:tabs>
              <w:spacing w:after="0" w:line="240" w:lineRule="auto"/>
              <w:ind w:left="666" w:right="284"/>
              <w:rPr>
                <w:color w:val="005CA9"/>
                <w:sz w:val="24"/>
                <w:szCs w:val="24"/>
              </w:rPr>
            </w:pPr>
          </w:p>
          <w:p w14:paraId="1973BBD3" w14:textId="2974106D" w:rsidR="00AC4AE7" w:rsidRPr="005F5AF9" w:rsidRDefault="00AC4AE7" w:rsidP="00B2285E">
            <w:pPr>
              <w:pStyle w:val="Policy"/>
              <w:numPr>
                <w:ilvl w:val="0"/>
                <w:numId w:val="346"/>
              </w:numPr>
              <w:tabs>
                <w:tab w:val="clear" w:pos="680"/>
                <w:tab w:val="left" w:pos="731"/>
              </w:tabs>
              <w:spacing w:after="0" w:line="240" w:lineRule="auto"/>
              <w:ind w:right="284"/>
              <w:rPr>
                <w:rStyle w:val="Heading10"/>
                <w:b w:val="0"/>
                <w:color w:val="005CA9"/>
                <w:szCs w:val="24"/>
              </w:rPr>
            </w:pPr>
            <w:r w:rsidRPr="005F5AF9">
              <w:rPr>
                <w:rFonts w:eastAsia="Calibri" w:cs="Arial"/>
                <w:color w:val="005CA9"/>
                <w:sz w:val="24"/>
                <w:szCs w:val="24"/>
                <w:lang w:eastAsia="en-US"/>
              </w:rPr>
              <w:lastRenderedPageBreak/>
              <w:t>L</w:t>
            </w:r>
            <w:r w:rsidRPr="005F5AF9">
              <w:rPr>
                <w:rFonts w:eastAsia="Calibri"/>
                <w:color w:val="005CA9"/>
                <w:sz w:val="24"/>
                <w:szCs w:val="24"/>
                <w:lang w:eastAsia="en-US"/>
              </w:rPr>
              <w:t>ocal Wildlife Sites (LWS)</w:t>
            </w:r>
            <w:r w:rsidRPr="005F5AF9">
              <w:rPr>
                <w:rFonts w:eastAsia="Calibri"/>
                <w:color w:val="005CA9"/>
                <w:sz w:val="24"/>
                <w:szCs w:val="24"/>
              </w:rPr>
              <w:t xml:space="preserve"> Farley’s Grassland and Farley’s Disused Railway </w:t>
            </w:r>
            <w:r w:rsidRPr="005F5AF9">
              <w:rPr>
                <w:rFonts w:eastAsia="Calibri" w:cs="Arial"/>
                <w:color w:val="005CA9"/>
                <w:sz w:val="24"/>
                <w:szCs w:val="24"/>
                <w:lang w:eastAsia="en-US"/>
              </w:rPr>
              <w:t>are</w:t>
            </w:r>
            <w:r w:rsidRPr="005F5AF9">
              <w:rPr>
                <w:rFonts w:eastAsia="Calibri"/>
                <w:color w:val="005CA9"/>
                <w:sz w:val="24"/>
                <w:szCs w:val="24"/>
                <w:lang w:eastAsia="en-US"/>
              </w:rPr>
              <w:t xml:space="preserve"> to be retained and enhanced to provide connectivity between ecological areas,</w:t>
            </w:r>
            <w:r w:rsidRPr="005F5AF9">
              <w:rPr>
                <w:rFonts w:eastAsia="Calibri"/>
                <w:color w:val="005CA9"/>
                <w:lang w:eastAsia="en-US"/>
              </w:rPr>
              <w:t xml:space="preserve"> </w:t>
            </w:r>
            <w:r w:rsidRPr="005F5AF9">
              <w:rPr>
                <w:rFonts w:eastAsia="Calibri"/>
                <w:color w:val="005CA9"/>
                <w:sz w:val="24"/>
                <w:szCs w:val="24"/>
                <w:lang w:eastAsia="en-US"/>
              </w:rPr>
              <w:t>both on and adjacent to the site; and</w:t>
            </w:r>
          </w:p>
          <w:p w14:paraId="07F95C7B" w14:textId="77777777" w:rsidR="00AC4AE7" w:rsidRPr="005F5AF9" w:rsidRDefault="00AC4AE7">
            <w:pPr>
              <w:pStyle w:val="ListParagraph"/>
              <w:ind w:left="666"/>
              <w:rPr>
                <w:rStyle w:val="Heading10"/>
                <w:b w:val="0"/>
                <w:color w:val="005CA9"/>
                <w:szCs w:val="24"/>
              </w:rPr>
            </w:pPr>
          </w:p>
          <w:p w14:paraId="045D9176" w14:textId="77777777" w:rsidR="00AC4AE7" w:rsidRPr="005F5AF9" w:rsidRDefault="00AC4AE7" w:rsidP="00B2285E">
            <w:pPr>
              <w:pStyle w:val="ListParagraph"/>
              <w:keepNext/>
              <w:numPr>
                <w:ilvl w:val="0"/>
                <w:numId w:val="346"/>
              </w:numPr>
              <w:spacing w:after="0" w:line="240" w:lineRule="auto"/>
              <w:rPr>
                <w:rStyle w:val="Heading10"/>
                <w:b w:val="0"/>
                <w:color w:val="005CA9"/>
                <w:szCs w:val="24"/>
              </w:rPr>
            </w:pPr>
            <w:r w:rsidRPr="005F5AF9">
              <w:rPr>
                <w:rStyle w:val="Heading10"/>
                <w:b w:val="0"/>
                <w:color w:val="005CA9"/>
                <w:szCs w:val="24"/>
              </w:rPr>
              <w:t>A minimum of 10% public open space, including allotments to serve the demand within the Hucknall area,</w:t>
            </w:r>
            <w:r w:rsidRPr="005F5AF9">
              <w:rPr>
                <w:rStyle w:val="Heading10"/>
                <w:b w:val="0"/>
                <w:color w:val="005CA9"/>
              </w:rPr>
              <w:t xml:space="preserve"> </w:t>
            </w:r>
            <w:r w:rsidRPr="005F5AF9">
              <w:rPr>
                <w:rStyle w:val="Heading10"/>
                <w:b w:val="0"/>
                <w:color w:val="005CA9"/>
                <w:szCs w:val="24"/>
              </w:rPr>
              <w:t xml:space="preserve">approximately 3.1ha from all phases of development. </w:t>
            </w:r>
            <w:r w:rsidRPr="005F5AF9">
              <w:rPr>
                <w:rFonts w:eastAsia="Calibri"/>
                <w:color w:val="005CA9"/>
                <w:szCs w:val="24"/>
              </w:rPr>
              <w:t xml:space="preserve"> </w:t>
            </w:r>
          </w:p>
          <w:p w14:paraId="14A206E1" w14:textId="77777777" w:rsidR="00AC4AE7" w:rsidRPr="005F5AF9" w:rsidRDefault="00AC4AE7">
            <w:pPr>
              <w:keepNext w:val="0"/>
              <w:spacing w:before="0" w:after="160" w:line="259" w:lineRule="auto"/>
              <w:rPr>
                <w:rStyle w:val="Heading10"/>
                <w:rFonts w:cs="Arial"/>
                <w:b w:val="0"/>
                <w:bCs/>
                <w:color w:val="005CA9"/>
                <w:szCs w:val="24"/>
              </w:rPr>
            </w:pPr>
          </w:p>
        </w:tc>
      </w:tr>
    </w:tbl>
    <w:p w14:paraId="4D350019" w14:textId="02E734B6" w:rsidR="003736C4" w:rsidRDefault="003736C4" w:rsidP="007E68C4">
      <w:pPr>
        <w:autoSpaceDE w:val="0"/>
        <w:autoSpaceDN w:val="0"/>
        <w:adjustRightInd w:val="0"/>
        <w:rPr>
          <w:rStyle w:val="Normal1"/>
          <w:b/>
          <w:bCs/>
          <w:iCs/>
          <w:color w:val="auto"/>
        </w:rPr>
      </w:pPr>
    </w:p>
    <w:p w14:paraId="345B06F8" w14:textId="6951F68A" w:rsidR="003420AD" w:rsidRPr="001012CC" w:rsidRDefault="00715560" w:rsidP="00874A98">
      <w:pPr>
        <w:pStyle w:val="ListParagraph"/>
        <w:numPr>
          <w:ilvl w:val="1"/>
          <w:numId w:val="92"/>
        </w:numPr>
        <w:autoSpaceDE w:val="0"/>
        <w:autoSpaceDN w:val="0"/>
        <w:adjustRightInd w:val="0"/>
        <w:spacing w:after="0" w:line="240" w:lineRule="auto"/>
        <w:ind w:left="851" w:hanging="851"/>
        <w:rPr>
          <w:rStyle w:val="Normal1"/>
          <w:rFonts w:eastAsia="Calibri" w:cs="Arial"/>
          <w:bCs/>
          <w:color w:val="auto"/>
          <w:szCs w:val="24"/>
        </w:rPr>
      </w:pPr>
      <w:bookmarkStart w:id="204" w:name="_Hlk77846563"/>
      <w:r w:rsidRPr="004A218C">
        <w:rPr>
          <w:rStyle w:val="Normal1"/>
          <w:rFonts w:cs="Arial"/>
          <w:b/>
          <w:bCs/>
          <w:iCs/>
          <w:color w:val="auto"/>
          <w:szCs w:val="24"/>
        </w:rPr>
        <w:t>Site H1Hc:</w:t>
      </w:r>
      <w:bookmarkEnd w:id="204"/>
      <w:r w:rsidRPr="004A218C">
        <w:rPr>
          <w:rStyle w:val="Normal1"/>
          <w:b/>
          <w:bCs/>
          <w:iCs/>
          <w:color w:val="auto"/>
        </w:rPr>
        <w:t xml:space="preserve"> </w:t>
      </w:r>
      <w:r w:rsidRPr="004A218C">
        <w:rPr>
          <w:rStyle w:val="Normal1"/>
          <w:b/>
          <w:bCs/>
          <w:color w:val="auto"/>
        </w:rPr>
        <w:t>Land north of A611/ South of Broomhill Farm, Hucknall.</w:t>
      </w:r>
      <w:r w:rsidRPr="004A218C">
        <w:rPr>
          <w:rStyle w:val="Normal1"/>
          <w:rFonts w:cs="Arial"/>
          <w:b/>
          <w:bCs/>
          <w:iCs/>
          <w:color w:val="auto"/>
          <w:szCs w:val="24"/>
        </w:rPr>
        <w:t xml:space="preserve"> </w:t>
      </w:r>
      <w:r w:rsidRPr="004A218C">
        <w:rPr>
          <w:rStyle w:val="Normal1"/>
          <w:rFonts w:cs="Arial"/>
          <w:iCs/>
          <w:color w:val="auto"/>
          <w:szCs w:val="24"/>
        </w:rPr>
        <w:t>This is an amalgamation of 4 parcels of land submitted individually for assessment through the SHLAA (ref. HK016</w:t>
      </w:r>
      <w:r w:rsidRPr="004A218C">
        <w:rPr>
          <w:rStyle w:val="Normal1"/>
          <w:rFonts w:cs="Arial"/>
          <w:color w:val="auto"/>
          <w:szCs w:val="24"/>
        </w:rPr>
        <w:t>, HK034, HK043, HK050). As a whole</w:t>
      </w:r>
      <w:r w:rsidR="00246975" w:rsidRPr="004A218C">
        <w:rPr>
          <w:rStyle w:val="Normal1"/>
          <w:rFonts w:cs="Arial"/>
          <w:color w:val="auto"/>
          <w:szCs w:val="24"/>
        </w:rPr>
        <w:t xml:space="preserve"> (SHELAA ref. HK051)</w:t>
      </w:r>
      <w:r w:rsidRPr="004A218C">
        <w:rPr>
          <w:rStyle w:val="Normal1"/>
          <w:rFonts w:cs="Arial"/>
          <w:color w:val="auto"/>
          <w:szCs w:val="24"/>
        </w:rPr>
        <w:t xml:space="preserve">, it has been assessed as being available, potentially suitable, and potentially achievable. The site is located adjacent to the existing urban area </w:t>
      </w:r>
      <w:r w:rsidRPr="00EC7023">
        <w:rPr>
          <w:rStyle w:val="Normal1"/>
          <w:rFonts w:cs="Arial"/>
          <w:color w:val="auto"/>
          <w:szCs w:val="24"/>
        </w:rPr>
        <w:t>on land previously designated as Green Belt.</w:t>
      </w:r>
      <w:r w:rsidRPr="004A218C">
        <w:rPr>
          <w:rStyle w:val="Normal1"/>
          <w:rFonts w:cs="Arial"/>
          <w:color w:val="auto"/>
          <w:szCs w:val="24"/>
        </w:rPr>
        <w:t xml:space="preserve"> The site is well contained by the A611 </w:t>
      </w:r>
      <w:r w:rsidRPr="001012CC">
        <w:rPr>
          <w:rStyle w:val="Normal1"/>
          <w:rFonts w:cs="Arial"/>
          <w:color w:val="auto"/>
          <w:szCs w:val="24"/>
        </w:rPr>
        <w:t xml:space="preserve">Hucknall by-pass and the estimated yield has been reduced to allow for a buffer between the road and new development. </w:t>
      </w:r>
    </w:p>
    <w:p w14:paraId="23272592" w14:textId="77777777" w:rsidR="003420AD" w:rsidRPr="001012CC" w:rsidRDefault="003420AD" w:rsidP="003420AD">
      <w:pPr>
        <w:pStyle w:val="ListParagraph"/>
        <w:rPr>
          <w:rStyle w:val="Normal1"/>
          <w:rFonts w:cs="Arial"/>
          <w:color w:val="auto"/>
          <w:szCs w:val="24"/>
        </w:rPr>
      </w:pPr>
    </w:p>
    <w:p w14:paraId="21F4A946" w14:textId="514FBAA1" w:rsidR="00715560" w:rsidRPr="001012CC"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bCs/>
          <w:strike/>
          <w:color w:val="auto"/>
          <w:szCs w:val="24"/>
        </w:rPr>
      </w:pPr>
      <w:r w:rsidRPr="001012CC">
        <w:rPr>
          <w:rStyle w:val="Normal1"/>
          <w:rFonts w:cs="Arial"/>
          <w:color w:val="auto"/>
          <w:szCs w:val="24"/>
        </w:rPr>
        <w:t>The</w:t>
      </w:r>
      <w:r w:rsidRPr="001012CC">
        <w:rPr>
          <w:rFonts w:ascii="Arial" w:hAnsi="Arial" w:cs="Arial"/>
          <w:color w:val="auto"/>
          <w:szCs w:val="24"/>
        </w:rPr>
        <w:t xml:space="preserve"> allocation is located within an SSSI Impact Risk Zone and includes a Local Wildlife Site within the site </w:t>
      </w:r>
      <w:proofErr w:type="gramStart"/>
      <w:r w:rsidRPr="001012CC">
        <w:rPr>
          <w:rFonts w:ascii="Arial" w:hAnsi="Arial" w:cs="Arial"/>
          <w:color w:val="auto"/>
          <w:szCs w:val="24"/>
        </w:rPr>
        <w:t>boundary</w:t>
      </w:r>
      <w:r w:rsidR="003420AD" w:rsidRPr="001012CC">
        <w:rPr>
          <w:rFonts w:ascii="Arial" w:hAnsi="Arial" w:cs="Arial"/>
          <w:color w:val="auto"/>
          <w:szCs w:val="24"/>
        </w:rPr>
        <w:t>,</w:t>
      </w:r>
      <w:proofErr w:type="gramEnd"/>
      <w:r w:rsidR="003420AD" w:rsidRPr="001012CC">
        <w:rPr>
          <w:rStyle w:val="Normal1"/>
          <w:rFonts w:cs="Arial"/>
          <w:iCs/>
          <w:color w:val="auto"/>
          <w:szCs w:val="24"/>
        </w:rPr>
        <w:t xml:space="preserve"> </w:t>
      </w:r>
      <w:bookmarkStart w:id="205" w:name="_Hlk148605681"/>
      <w:r w:rsidR="003420AD" w:rsidRPr="001012CC">
        <w:rPr>
          <w:rStyle w:val="Normal1"/>
          <w:rFonts w:cs="Arial"/>
          <w:iCs/>
          <w:color w:val="auto"/>
          <w:szCs w:val="24"/>
        </w:rPr>
        <w:t xml:space="preserve">any potential development will need to </w:t>
      </w:r>
      <w:proofErr w:type="gramStart"/>
      <w:r w:rsidR="003420AD" w:rsidRPr="001012CC">
        <w:rPr>
          <w:rStyle w:val="Normal1"/>
          <w:rFonts w:cs="Arial"/>
          <w:iCs/>
          <w:color w:val="auto"/>
          <w:szCs w:val="24"/>
        </w:rPr>
        <w:t>take into account</w:t>
      </w:r>
      <w:proofErr w:type="gramEnd"/>
      <w:r w:rsidR="003420AD" w:rsidRPr="001012CC">
        <w:rPr>
          <w:rStyle w:val="Normal1"/>
          <w:rFonts w:cs="Arial"/>
          <w:iCs/>
          <w:color w:val="auto"/>
          <w:szCs w:val="24"/>
        </w:rPr>
        <w:t xml:space="preserve"> the scope to avoid or mitigate any impacts on biodiversity.</w:t>
      </w:r>
      <w:r w:rsidRPr="001012CC">
        <w:rPr>
          <w:rFonts w:ascii="Arial" w:hAnsi="Arial" w:cs="Arial"/>
          <w:color w:val="auto"/>
          <w:szCs w:val="24"/>
        </w:rPr>
        <w:t xml:space="preserve"> </w:t>
      </w:r>
      <w:bookmarkEnd w:id="205"/>
      <w:r w:rsidRPr="001012CC">
        <w:rPr>
          <w:rFonts w:ascii="Arial" w:hAnsi="Arial" w:cs="Arial"/>
          <w:color w:val="auto"/>
          <w:szCs w:val="24"/>
        </w:rPr>
        <w:t xml:space="preserve">The site is within Flood Zone </w:t>
      </w:r>
      <w:proofErr w:type="gramStart"/>
      <w:r w:rsidRPr="001012CC">
        <w:rPr>
          <w:rFonts w:ascii="Arial" w:hAnsi="Arial" w:cs="Arial"/>
          <w:color w:val="auto"/>
          <w:szCs w:val="24"/>
        </w:rPr>
        <w:t>1,</w:t>
      </w:r>
      <w:proofErr w:type="gramEnd"/>
      <w:r w:rsidRPr="001012CC">
        <w:rPr>
          <w:rFonts w:ascii="Arial" w:hAnsi="Arial" w:cs="Arial"/>
          <w:color w:val="auto"/>
          <w:szCs w:val="24"/>
        </w:rPr>
        <w:t xml:space="preserve"> however, Farley Brook runs to the south and south</w:t>
      </w:r>
      <w:r w:rsidR="00F54961" w:rsidRPr="001012CC">
        <w:rPr>
          <w:rFonts w:ascii="Arial" w:hAnsi="Arial" w:cs="Arial"/>
          <w:color w:val="auto"/>
          <w:szCs w:val="24"/>
        </w:rPr>
        <w:t>-</w:t>
      </w:r>
      <w:r w:rsidRPr="001012CC">
        <w:rPr>
          <w:rFonts w:ascii="Arial" w:hAnsi="Arial" w:cs="Arial"/>
          <w:color w:val="auto"/>
          <w:szCs w:val="24"/>
        </w:rPr>
        <w:t>west of the Hucknall Bypass. Primary access to the site will be taken from the A611 with a secondary access from Nottingham Road.</w:t>
      </w:r>
      <w:r w:rsidRPr="001012CC">
        <w:rPr>
          <w:rFonts w:ascii="Arial" w:eastAsia="Calibri" w:hAnsi="Arial" w:cs="Arial"/>
          <w:color w:val="auto"/>
          <w:szCs w:val="24"/>
        </w:rPr>
        <w:t xml:space="preserve"> </w:t>
      </w:r>
      <w:bookmarkStart w:id="206" w:name="_Hlk147310370"/>
    </w:p>
    <w:p w14:paraId="414B11E1" w14:textId="77777777" w:rsidR="003420AD" w:rsidRPr="001012CC" w:rsidRDefault="003420AD" w:rsidP="003420AD">
      <w:pPr>
        <w:pStyle w:val="ListParagraph"/>
        <w:rPr>
          <w:rFonts w:ascii="Arial" w:eastAsia="Calibri" w:hAnsi="Arial" w:cs="Arial"/>
          <w:bCs/>
          <w:color w:val="auto"/>
          <w:szCs w:val="24"/>
        </w:rPr>
      </w:pPr>
    </w:p>
    <w:p w14:paraId="2909EA16" w14:textId="0A168AD8" w:rsidR="003420AD" w:rsidRPr="009C4ECF" w:rsidRDefault="003420AD" w:rsidP="00874A98">
      <w:pPr>
        <w:pStyle w:val="ListParagraph"/>
        <w:numPr>
          <w:ilvl w:val="1"/>
          <w:numId w:val="92"/>
        </w:numPr>
        <w:autoSpaceDE w:val="0"/>
        <w:autoSpaceDN w:val="0"/>
        <w:adjustRightInd w:val="0"/>
        <w:spacing w:after="0" w:line="240" w:lineRule="auto"/>
        <w:ind w:left="851" w:hanging="851"/>
        <w:rPr>
          <w:rFonts w:ascii="Arial" w:eastAsia="Calibri" w:hAnsi="Arial" w:cs="Arial"/>
          <w:bCs/>
          <w:color w:val="0070C0"/>
          <w:szCs w:val="24"/>
        </w:rPr>
      </w:pPr>
      <w:bookmarkStart w:id="207" w:name="_Hlk148605722"/>
      <w:r w:rsidRPr="009C4ECF">
        <w:rPr>
          <w:rFonts w:ascii="Arial" w:eastAsia="Calibri" w:hAnsi="Arial" w:cs="Arial"/>
          <w:bCs/>
          <w:color w:val="auto"/>
          <w:szCs w:val="24"/>
        </w:rPr>
        <w:t>There will be a requirement for the supply of allotment</w:t>
      </w:r>
      <w:r w:rsidR="001012CC" w:rsidRPr="009C4ECF">
        <w:rPr>
          <w:rFonts w:ascii="Arial" w:eastAsia="Calibri" w:hAnsi="Arial" w:cs="Arial"/>
          <w:bCs/>
          <w:color w:val="auto"/>
          <w:szCs w:val="24"/>
        </w:rPr>
        <w:t>s</w:t>
      </w:r>
      <w:r w:rsidRPr="009C4ECF">
        <w:rPr>
          <w:rFonts w:ascii="Arial" w:eastAsia="Calibri" w:hAnsi="Arial" w:cs="Arial"/>
          <w:bCs/>
          <w:color w:val="auto"/>
          <w:szCs w:val="24"/>
        </w:rPr>
        <w:t xml:space="preserve"> on the site to serve the demand for allotments within the Hucknall area. </w:t>
      </w:r>
      <w:r w:rsidR="00BB0EDE" w:rsidRPr="009C4ECF">
        <w:rPr>
          <w:rFonts w:ascii="Arial" w:eastAsia="Calibri" w:hAnsi="Arial" w:cs="Arial"/>
          <w:bCs/>
          <w:color w:val="0070C0"/>
          <w:szCs w:val="24"/>
        </w:rPr>
        <w:t>Further details can be found in the Council’s most up to date Allotment Technical Paper.</w:t>
      </w:r>
    </w:p>
    <w:p w14:paraId="64D32383" w14:textId="77777777" w:rsidR="00520712" w:rsidRPr="00BB0EDE" w:rsidRDefault="00520712" w:rsidP="00520712">
      <w:pPr>
        <w:pStyle w:val="ListParagraph"/>
        <w:rPr>
          <w:rFonts w:ascii="Arial" w:eastAsia="Calibri" w:hAnsi="Arial" w:cs="Arial"/>
          <w:bCs/>
          <w:color w:val="0070C0"/>
          <w:szCs w:val="24"/>
        </w:rPr>
      </w:pPr>
    </w:p>
    <w:p w14:paraId="08448520" w14:textId="58FEC69C" w:rsidR="0044521A" w:rsidRPr="00520712" w:rsidRDefault="006E2DFC" w:rsidP="00A44712">
      <w:pPr>
        <w:pStyle w:val="ListParagraph"/>
        <w:numPr>
          <w:ilvl w:val="1"/>
          <w:numId w:val="92"/>
        </w:numPr>
        <w:spacing w:after="0" w:line="240" w:lineRule="auto"/>
        <w:ind w:left="851" w:hanging="851"/>
        <w:rPr>
          <w:rFonts w:ascii="Arial" w:eastAsia="Calibri" w:hAnsi="Arial" w:cs="Arial"/>
          <w:bCs/>
          <w:color w:val="auto"/>
          <w:szCs w:val="24"/>
        </w:rPr>
      </w:pPr>
      <w:r w:rsidRPr="006E2DFC">
        <w:rPr>
          <w:rStyle w:val="Normal1"/>
          <w:rFonts w:cs="Arial"/>
          <w:iCs/>
          <w:color w:val="auto"/>
          <w:szCs w:val="24"/>
        </w:rPr>
        <w:t xml:space="preserve">A concise masterplan </w:t>
      </w:r>
      <w:r w:rsidRPr="006E2DFC">
        <w:rPr>
          <w:rStyle w:val="Normal1"/>
          <w:rFonts w:cs="Arial"/>
          <w:iCs/>
          <w:strike/>
          <w:color w:val="auto"/>
          <w:szCs w:val="24"/>
        </w:rPr>
        <w:t>will be available to identify</w:t>
      </w:r>
      <w:r w:rsidRPr="006E2DFC">
        <w:rPr>
          <w:rStyle w:val="Normal1"/>
          <w:rFonts w:cs="Arial"/>
          <w:iCs/>
          <w:color w:val="auto"/>
          <w:szCs w:val="24"/>
        </w:rPr>
        <w:t xml:space="preserve"> </w:t>
      </w:r>
      <w:r w:rsidRPr="006E2DFC">
        <w:rPr>
          <w:rStyle w:val="Normal1"/>
          <w:rFonts w:cs="Arial"/>
          <w:iCs/>
          <w:color w:val="0070C0"/>
          <w:szCs w:val="24"/>
        </w:rPr>
        <w:t xml:space="preserve">is included at Appendix 11 and identifies </w:t>
      </w:r>
      <w:r w:rsidRPr="006E2DFC">
        <w:rPr>
          <w:rStyle w:val="Normal1"/>
          <w:rFonts w:cs="Arial"/>
          <w:iCs/>
          <w:color w:val="auto"/>
          <w:szCs w:val="24"/>
        </w:rPr>
        <w:t xml:space="preserve">essential requirements expected by the </w:t>
      </w:r>
      <w:proofErr w:type="gramStart"/>
      <w:r w:rsidRPr="006E2DFC">
        <w:rPr>
          <w:rStyle w:val="Normal1"/>
          <w:rFonts w:cs="Arial"/>
          <w:iCs/>
          <w:color w:val="auto"/>
          <w:szCs w:val="24"/>
        </w:rPr>
        <w:t>Council, and</w:t>
      </w:r>
      <w:proofErr w:type="gramEnd"/>
      <w:r w:rsidRPr="006E2DFC">
        <w:rPr>
          <w:rStyle w:val="Normal1"/>
          <w:rFonts w:cs="Arial"/>
          <w:iCs/>
          <w:color w:val="auto"/>
          <w:szCs w:val="24"/>
        </w:rPr>
        <w:t xml:space="preserve"> provides more detailed advice and guidance specific to the site.</w:t>
      </w:r>
    </w:p>
    <w:bookmarkEnd w:id="206"/>
    <w:bookmarkEnd w:id="207"/>
    <w:p w14:paraId="58533A24" w14:textId="77777777" w:rsidR="003736C4" w:rsidRDefault="003736C4" w:rsidP="00715560">
      <w:pPr>
        <w:autoSpaceDE w:val="0"/>
        <w:autoSpaceDN w:val="0"/>
        <w:adjustRightInd w:val="0"/>
        <w:rPr>
          <w:rStyle w:val="Normal1"/>
          <w:rFonts w:cs="Arial"/>
          <w:bCs/>
          <w:iCs/>
          <w:color w:val="auto"/>
          <w:szCs w:val="24"/>
        </w:rPr>
      </w:pPr>
    </w:p>
    <w:tbl>
      <w:tblPr>
        <w:tblStyle w:val="ReportTable1"/>
        <w:tblW w:w="9634" w:type="dxa"/>
        <w:tblLook w:val="04A0" w:firstRow="1" w:lastRow="0" w:firstColumn="1" w:lastColumn="0" w:noHBand="0" w:noVBand="1"/>
      </w:tblPr>
      <w:tblGrid>
        <w:gridCol w:w="2635"/>
        <w:gridCol w:w="6999"/>
      </w:tblGrid>
      <w:tr w:rsidR="007E629E" w:rsidRPr="00E23F03" w14:paraId="7C178CAA" w14:textId="77777777" w:rsidTr="00476E4D">
        <w:tc>
          <w:tcPr>
            <w:tcW w:w="9634" w:type="dxa"/>
            <w:gridSpan w:val="2"/>
          </w:tcPr>
          <w:p w14:paraId="67BDEC1A" w14:textId="77777777" w:rsidR="007E629E" w:rsidRPr="007E629E" w:rsidRDefault="007E629E">
            <w:pPr>
              <w:pStyle w:val="Heading"/>
              <w:spacing w:before="120" w:after="120"/>
              <w:rPr>
                <w:rStyle w:val="Heading10"/>
                <w:rFonts w:cs="Arial"/>
                <w:b/>
                <w:color w:val="0070C0"/>
                <w:szCs w:val="24"/>
              </w:rPr>
            </w:pPr>
            <w:r w:rsidRPr="007E629E">
              <w:rPr>
                <w:rStyle w:val="Heading10"/>
                <w:rFonts w:cs="Arial"/>
                <w:b/>
                <w:color w:val="0070C0"/>
                <w:szCs w:val="24"/>
              </w:rPr>
              <w:t xml:space="preserve">Policy H1Hd: Land adjoining Stubbing Wood Farm, </w:t>
            </w:r>
            <w:proofErr w:type="spellStart"/>
            <w:r w:rsidRPr="007E629E">
              <w:rPr>
                <w:rStyle w:val="Heading10"/>
                <w:rFonts w:cs="Arial"/>
                <w:b/>
                <w:color w:val="0070C0"/>
                <w:szCs w:val="24"/>
              </w:rPr>
              <w:t>Watnall</w:t>
            </w:r>
            <w:proofErr w:type="spellEnd"/>
            <w:r w:rsidRPr="007E629E">
              <w:rPr>
                <w:rStyle w:val="Heading10"/>
                <w:rFonts w:cs="Arial"/>
                <w:b/>
                <w:color w:val="0070C0"/>
                <w:szCs w:val="24"/>
              </w:rPr>
              <w:t xml:space="preserve"> Road, Hucknall</w:t>
            </w:r>
          </w:p>
        </w:tc>
      </w:tr>
      <w:tr w:rsidR="007E629E" w:rsidRPr="00E23F03" w14:paraId="214D1AD0" w14:textId="77777777" w:rsidTr="00476E4D">
        <w:tc>
          <w:tcPr>
            <w:tcW w:w="2635" w:type="dxa"/>
          </w:tcPr>
          <w:p w14:paraId="2E7C5330" w14:textId="77777777" w:rsidR="007E629E" w:rsidRPr="00E23F03" w:rsidRDefault="007E629E">
            <w:pPr>
              <w:pStyle w:val="Heading"/>
              <w:spacing w:before="40" w:after="40"/>
              <w:rPr>
                <w:rStyle w:val="Heading10"/>
                <w:rFonts w:cs="Arial"/>
                <w:bCs/>
                <w:color w:val="0070C0"/>
                <w:szCs w:val="24"/>
              </w:rPr>
            </w:pPr>
            <w:r w:rsidRPr="00E23F03">
              <w:rPr>
                <w:rStyle w:val="Heading10"/>
                <w:rFonts w:cs="Arial"/>
                <w:bCs/>
                <w:color w:val="0070C0"/>
                <w:szCs w:val="24"/>
              </w:rPr>
              <w:t>Strategic Objectives</w:t>
            </w:r>
          </w:p>
        </w:tc>
        <w:tc>
          <w:tcPr>
            <w:tcW w:w="6999" w:type="dxa"/>
          </w:tcPr>
          <w:p w14:paraId="729034F9" w14:textId="77777777" w:rsidR="007E629E" w:rsidRPr="00E23F03" w:rsidRDefault="007E629E">
            <w:pPr>
              <w:pStyle w:val="Heading"/>
              <w:spacing w:before="40" w:after="40"/>
              <w:rPr>
                <w:rStyle w:val="Heading10"/>
                <w:rFonts w:cs="Arial"/>
                <w:bCs/>
                <w:color w:val="0070C0"/>
                <w:szCs w:val="24"/>
              </w:rPr>
            </w:pPr>
            <w:r w:rsidRPr="00E23F03">
              <w:rPr>
                <w:rStyle w:val="Heading10"/>
                <w:rFonts w:cs="Arial"/>
                <w:bCs/>
                <w:color w:val="0070C0"/>
                <w:szCs w:val="24"/>
              </w:rPr>
              <w:t>SO3, SO5, SO11, SO12, SO13</w:t>
            </w:r>
          </w:p>
        </w:tc>
      </w:tr>
      <w:tr w:rsidR="007E629E" w:rsidRPr="00E23F03" w14:paraId="16D03294" w14:textId="77777777" w:rsidTr="00476E4D">
        <w:trPr>
          <w:trHeight w:val="2466"/>
        </w:trPr>
        <w:tc>
          <w:tcPr>
            <w:tcW w:w="9634" w:type="dxa"/>
            <w:gridSpan w:val="2"/>
            <w:shd w:val="clear" w:color="auto" w:fill="FFCC99"/>
          </w:tcPr>
          <w:p w14:paraId="260A55D6" w14:textId="77777777" w:rsidR="007E629E" w:rsidRPr="005F5AF9" w:rsidRDefault="007E629E">
            <w:pPr>
              <w:pStyle w:val="Policy"/>
              <w:tabs>
                <w:tab w:val="clear" w:pos="680"/>
                <w:tab w:val="left" w:pos="306"/>
              </w:tabs>
              <w:spacing w:after="0" w:line="240" w:lineRule="auto"/>
              <w:ind w:left="306" w:right="284"/>
              <w:rPr>
                <w:rStyle w:val="Heading10"/>
                <w:rFonts w:cs="Arial"/>
                <w:b w:val="0"/>
                <w:bCs/>
                <w:color w:val="005CA9"/>
                <w:szCs w:val="24"/>
              </w:rPr>
            </w:pPr>
          </w:p>
          <w:p w14:paraId="758BB606" w14:textId="77777777" w:rsidR="007E629E" w:rsidRPr="005F5AF9" w:rsidRDefault="007E629E">
            <w:pPr>
              <w:pStyle w:val="Policy"/>
              <w:tabs>
                <w:tab w:val="clear" w:pos="680"/>
                <w:tab w:val="left" w:pos="306"/>
              </w:tabs>
              <w:spacing w:after="0" w:line="240" w:lineRule="auto"/>
              <w:ind w:left="306" w:right="284"/>
              <w:rPr>
                <w:bCs/>
                <w:color w:val="005CA9"/>
              </w:rPr>
            </w:pPr>
            <w:r w:rsidRPr="005F5AF9">
              <w:rPr>
                <w:bCs/>
                <w:color w:val="005CA9"/>
                <w:sz w:val="24"/>
                <w:szCs w:val="24"/>
              </w:rPr>
              <w:t>Residential development to deliver approximately 198 dwellings will be permitted on site H1Hd as shown on the Policies Map, subject to detailed planning consent. Any future development proposal should have regard to the Masterplan in Appendix 11 and will need to include the following specific requirements, in addition to satisfying other relevant Local Plan policies as applicable:</w:t>
            </w:r>
            <w:r w:rsidRPr="005F5AF9">
              <w:rPr>
                <w:bCs/>
                <w:color w:val="005CA9"/>
              </w:rPr>
              <w:t xml:space="preserve"> </w:t>
            </w:r>
          </w:p>
          <w:p w14:paraId="0BD308BB" w14:textId="77777777" w:rsidR="007E629E" w:rsidRPr="005F5AF9" w:rsidRDefault="007E629E">
            <w:pPr>
              <w:pStyle w:val="Policy"/>
              <w:tabs>
                <w:tab w:val="clear" w:pos="680"/>
                <w:tab w:val="left" w:pos="306"/>
              </w:tabs>
              <w:spacing w:after="0" w:line="240" w:lineRule="auto"/>
              <w:ind w:left="306" w:right="284"/>
              <w:rPr>
                <w:rStyle w:val="Heading10"/>
                <w:b w:val="0"/>
                <w:bCs/>
                <w:color w:val="005CA9"/>
                <w:szCs w:val="24"/>
              </w:rPr>
            </w:pPr>
          </w:p>
          <w:p w14:paraId="3A02ADD9" w14:textId="77777777" w:rsidR="007E629E" w:rsidRPr="005F5AF9" w:rsidRDefault="007E629E" w:rsidP="00B2285E">
            <w:pPr>
              <w:pStyle w:val="ListParagraph"/>
              <w:keepNext/>
              <w:numPr>
                <w:ilvl w:val="0"/>
                <w:numId w:val="347"/>
              </w:numPr>
              <w:spacing w:after="0" w:line="240" w:lineRule="auto"/>
              <w:rPr>
                <w:rStyle w:val="Heading10"/>
                <w:b w:val="0"/>
                <w:color w:val="005CA9"/>
                <w:szCs w:val="24"/>
              </w:rPr>
            </w:pPr>
            <w:r w:rsidRPr="005F5AF9">
              <w:rPr>
                <w:rStyle w:val="Heading10"/>
                <w:b w:val="0"/>
                <w:color w:val="005CA9"/>
                <w:szCs w:val="24"/>
              </w:rPr>
              <w:t xml:space="preserve">Two points of vehicle access off </w:t>
            </w:r>
            <w:proofErr w:type="spellStart"/>
            <w:r w:rsidRPr="005F5AF9">
              <w:rPr>
                <w:rStyle w:val="Heading10"/>
                <w:b w:val="0"/>
                <w:color w:val="005CA9"/>
                <w:szCs w:val="24"/>
              </w:rPr>
              <w:t>Watnall</w:t>
            </w:r>
            <w:proofErr w:type="spellEnd"/>
            <w:r w:rsidRPr="005F5AF9">
              <w:rPr>
                <w:rStyle w:val="Heading10"/>
                <w:b w:val="0"/>
                <w:color w:val="005CA9"/>
                <w:szCs w:val="24"/>
              </w:rPr>
              <w:t xml:space="preserve"> Road and Lancaster Road, supported by a Transport Assessment;</w:t>
            </w:r>
          </w:p>
          <w:p w14:paraId="5D7E3264" w14:textId="77777777" w:rsidR="007E629E" w:rsidRPr="005F5AF9" w:rsidRDefault="007E629E" w:rsidP="007E629E">
            <w:pPr>
              <w:pStyle w:val="Policy"/>
              <w:tabs>
                <w:tab w:val="clear" w:pos="680"/>
              </w:tabs>
              <w:spacing w:after="0" w:line="240" w:lineRule="auto"/>
              <w:ind w:left="720" w:right="284"/>
              <w:rPr>
                <w:rStyle w:val="Heading10"/>
                <w:rFonts w:cs="Arial"/>
                <w:b w:val="0"/>
                <w:color w:val="005CA9"/>
                <w:szCs w:val="24"/>
              </w:rPr>
            </w:pPr>
          </w:p>
          <w:p w14:paraId="4F0F772A" w14:textId="27C5774B" w:rsidR="007E629E" w:rsidRPr="005F5AF9" w:rsidRDefault="007E629E" w:rsidP="00B2285E">
            <w:pPr>
              <w:pStyle w:val="Policy"/>
              <w:numPr>
                <w:ilvl w:val="0"/>
                <w:numId w:val="347"/>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A segregated enhanced pedestrian/cycle route integral to the development;</w:t>
            </w:r>
          </w:p>
          <w:p w14:paraId="7D00A87D" w14:textId="77777777" w:rsidR="007E629E" w:rsidRPr="005F5AF9" w:rsidRDefault="007E629E" w:rsidP="007E629E">
            <w:pPr>
              <w:pStyle w:val="Policy"/>
              <w:tabs>
                <w:tab w:val="clear" w:pos="680"/>
              </w:tabs>
              <w:spacing w:after="0" w:line="240" w:lineRule="auto"/>
              <w:ind w:left="720" w:right="284"/>
              <w:rPr>
                <w:rStyle w:val="Heading10"/>
                <w:b w:val="0"/>
                <w:color w:val="005CA9"/>
                <w:szCs w:val="24"/>
              </w:rPr>
            </w:pPr>
          </w:p>
          <w:p w14:paraId="1156FBAD" w14:textId="314D4945" w:rsidR="007E629E" w:rsidRPr="005F5AF9" w:rsidRDefault="007E629E" w:rsidP="00B2285E">
            <w:pPr>
              <w:pStyle w:val="Policy"/>
              <w:numPr>
                <w:ilvl w:val="0"/>
                <w:numId w:val="347"/>
              </w:numPr>
              <w:tabs>
                <w:tab w:val="clear" w:pos="680"/>
              </w:tabs>
              <w:spacing w:after="0" w:line="240" w:lineRule="auto"/>
              <w:ind w:right="284"/>
              <w:rPr>
                <w:rStyle w:val="Heading10"/>
                <w:b w:val="0"/>
                <w:color w:val="005CA9"/>
                <w:szCs w:val="24"/>
              </w:rPr>
            </w:pPr>
            <w:r w:rsidRPr="005F5AF9">
              <w:rPr>
                <w:rStyle w:val="Heading10"/>
                <w:b w:val="0"/>
                <w:color w:val="005CA9"/>
                <w:szCs w:val="24"/>
              </w:rPr>
              <w:t xml:space="preserve">A Heritage Statement that provides a proportionate assessment of the significance of the </w:t>
            </w:r>
            <w:r w:rsidRPr="005F5AF9">
              <w:rPr>
                <w:rStyle w:val="Heading10"/>
                <w:rFonts w:cs="Arial"/>
                <w:b w:val="0"/>
                <w:color w:val="005CA9"/>
                <w:szCs w:val="24"/>
              </w:rPr>
              <w:t>Grade II Listed Building Hucknall Battle Headquarters</w:t>
            </w:r>
            <w:r w:rsidRPr="005F5AF9">
              <w:rPr>
                <w:rStyle w:val="Heading10"/>
                <w:b w:val="0"/>
                <w:color w:val="005CA9"/>
                <w:szCs w:val="24"/>
              </w:rPr>
              <w:t xml:space="preserve"> including its setting, and an assessment of the impact of the development on its significance;</w:t>
            </w:r>
          </w:p>
          <w:p w14:paraId="268B9DAE" w14:textId="77777777" w:rsidR="007E629E" w:rsidRPr="005F5AF9" w:rsidRDefault="007E629E" w:rsidP="007E629E">
            <w:pPr>
              <w:pStyle w:val="Policy"/>
              <w:tabs>
                <w:tab w:val="clear" w:pos="680"/>
              </w:tabs>
              <w:spacing w:after="0" w:line="240" w:lineRule="auto"/>
              <w:ind w:left="720" w:right="284"/>
              <w:rPr>
                <w:rStyle w:val="Heading10"/>
                <w:rFonts w:cs="Arial"/>
                <w:b w:val="0"/>
                <w:color w:val="005CA9"/>
                <w:szCs w:val="24"/>
              </w:rPr>
            </w:pPr>
          </w:p>
          <w:p w14:paraId="503BB524" w14:textId="1D4CCE1B" w:rsidR="007E629E" w:rsidRPr="005F5AF9" w:rsidRDefault="007E629E" w:rsidP="00B2285E">
            <w:pPr>
              <w:pStyle w:val="Policy"/>
              <w:numPr>
                <w:ilvl w:val="0"/>
                <w:numId w:val="347"/>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The conservation and enhancement of the Grade II Listed Hucknall Battle Headquarters, including the provision of an appropriate buffer to protect its significance, public access and appropriate interpretation;</w:t>
            </w:r>
          </w:p>
          <w:p w14:paraId="33E8FBF2" w14:textId="77777777" w:rsidR="007E629E" w:rsidRPr="005F5AF9" w:rsidRDefault="007E629E" w:rsidP="007E629E">
            <w:pPr>
              <w:pStyle w:val="Policy"/>
              <w:tabs>
                <w:tab w:val="clear" w:pos="680"/>
              </w:tabs>
              <w:spacing w:after="0" w:line="240" w:lineRule="auto"/>
              <w:ind w:left="720" w:right="284"/>
              <w:rPr>
                <w:rStyle w:val="Heading10"/>
                <w:b w:val="0"/>
                <w:color w:val="005CA9"/>
                <w:szCs w:val="24"/>
              </w:rPr>
            </w:pPr>
          </w:p>
          <w:p w14:paraId="310713DD" w14:textId="552CD4B5" w:rsidR="007E629E" w:rsidRPr="005F5AF9" w:rsidRDefault="007E629E" w:rsidP="00B2285E">
            <w:pPr>
              <w:pStyle w:val="Policy"/>
              <w:numPr>
                <w:ilvl w:val="0"/>
                <w:numId w:val="347"/>
              </w:numPr>
              <w:tabs>
                <w:tab w:val="clear" w:pos="680"/>
              </w:tabs>
              <w:spacing w:after="0" w:line="240" w:lineRule="auto"/>
              <w:ind w:right="284"/>
              <w:rPr>
                <w:rStyle w:val="Heading10"/>
                <w:b w:val="0"/>
                <w:color w:val="005CA9"/>
                <w:szCs w:val="24"/>
              </w:rPr>
            </w:pPr>
            <w:r w:rsidRPr="005F5AF9">
              <w:rPr>
                <w:rStyle w:val="Heading10"/>
                <w:b w:val="0"/>
                <w:color w:val="005CA9"/>
                <w:szCs w:val="24"/>
              </w:rPr>
              <w:t xml:space="preserve">An appropriate Archaeological Desk Based Assessment, and where necessary a field evaluation; </w:t>
            </w:r>
          </w:p>
          <w:p w14:paraId="7791E0EB" w14:textId="77777777" w:rsidR="007E629E" w:rsidRPr="005F5AF9" w:rsidRDefault="007E629E">
            <w:pPr>
              <w:pStyle w:val="Policy"/>
              <w:tabs>
                <w:tab w:val="clear" w:pos="680"/>
              </w:tabs>
              <w:spacing w:after="0" w:line="240" w:lineRule="auto"/>
              <w:ind w:left="720" w:right="284"/>
              <w:rPr>
                <w:color w:val="005CA9"/>
                <w:sz w:val="24"/>
                <w:szCs w:val="24"/>
              </w:rPr>
            </w:pPr>
          </w:p>
          <w:p w14:paraId="326E9D32" w14:textId="77777777" w:rsidR="007E629E" w:rsidRPr="005F5AF9" w:rsidRDefault="007E629E" w:rsidP="00B2285E">
            <w:pPr>
              <w:pStyle w:val="Policy"/>
              <w:numPr>
                <w:ilvl w:val="0"/>
                <w:numId w:val="347"/>
              </w:numPr>
              <w:tabs>
                <w:tab w:val="clear" w:pos="680"/>
              </w:tabs>
              <w:spacing w:after="0" w:line="240" w:lineRule="auto"/>
              <w:ind w:right="284"/>
              <w:rPr>
                <w:bCs/>
                <w:color w:val="005CA9"/>
                <w:sz w:val="24"/>
                <w:szCs w:val="24"/>
              </w:rPr>
            </w:pPr>
            <w:r w:rsidRPr="005F5AF9">
              <w:rPr>
                <w:bCs/>
                <w:color w:val="005CA9"/>
                <w:sz w:val="24"/>
                <w:szCs w:val="24"/>
              </w:rPr>
              <w:t xml:space="preserve">An appropriate design scheme that retains existing mature trees and strengthens and protects existing boundary hedgerows by gapping up and planting additional hedgerow trees where necessary; </w:t>
            </w:r>
          </w:p>
          <w:p w14:paraId="58914A86" w14:textId="77777777" w:rsidR="007E629E" w:rsidRPr="005F5AF9" w:rsidRDefault="007E629E">
            <w:pPr>
              <w:pStyle w:val="Policy"/>
              <w:tabs>
                <w:tab w:val="clear" w:pos="680"/>
              </w:tabs>
              <w:spacing w:after="0" w:line="240" w:lineRule="auto"/>
              <w:ind w:left="720" w:right="284"/>
              <w:rPr>
                <w:rStyle w:val="Normal1"/>
                <w:bCs/>
                <w:color w:val="005CA9"/>
                <w:szCs w:val="24"/>
              </w:rPr>
            </w:pPr>
          </w:p>
          <w:p w14:paraId="58E4DBD5" w14:textId="77777777" w:rsidR="007E629E" w:rsidRPr="005F5AF9" w:rsidRDefault="007E629E" w:rsidP="00B2285E">
            <w:pPr>
              <w:pStyle w:val="Policy"/>
              <w:numPr>
                <w:ilvl w:val="0"/>
                <w:numId w:val="347"/>
              </w:numPr>
              <w:tabs>
                <w:tab w:val="clear" w:pos="680"/>
              </w:tabs>
              <w:spacing w:after="0" w:line="240" w:lineRule="auto"/>
              <w:ind w:right="284"/>
              <w:rPr>
                <w:rStyle w:val="Heading10"/>
                <w:b w:val="0"/>
                <w:bCs/>
                <w:color w:val="005CA9"/>
                <w:szCs w:val="24"/>
              </w:rPr>
            </w:pPr>
            <w:r w:rsidRPr="005F5AF9">
              <w:rPr>
                <w:rStyle w:val="Normal1"/>
                <w:rFonts w:cs="Arial"/>
                <w:iCs/>
                <w:color w:val="005CA9"/>
                <w:szCs w:val="24"/>
              </w:rPr>
              <w:t xml:space="preserve">An appropriate design scheme will need to </w:t>
            </w:r>
            <w:proofErr w:type="gramStart"/>
            <w:r w:rsidRPr="005F5AF9">
              <w:rPr>
                <w:rStyle w:val="Normal1"/>
                <w:rFonts w:cs="Arial"/>
                <w:iCs/>
                <w:color w:val="005CA9"/>
                <w:szCs w:val="24"/>
              </w:rPr>
              <w:t>take into account</w:t>
            </w:r>
            <w:proofErr w:type="gramEnd"/>
            <w:r w:rsidRPr="005F5AF9">
              <w:rPr>
                <w:rStyle w:val="Normal1"/>
                <w:rFonts w:cs="Arial"/>
                <w:iCs/>
                <w:color w:val="005CA9"/>
                <w:szCs w:val="24"/>
              </w:rPr>
              <w:t xml:space="preserve"> any impacts on the adjoining </w:t>
            </w:r>
            <w:proofErr w:type="spellStart"/>
            <w:r w:rsidRPr="005F5AF9">
              <w:rPr>
                <w:rStyle w:val="Normal1"/>
                <w:rFonts w:cs="Arial"/>
                <w:iCs/>
                <w:color w:val="005CA9"/>
                <w:szCs w:val="24"/>
              </w:rPr>
              <w:t>Starth</w:t>
            </w:r>
            <w:proofErr w:type="spellEnd"/>
            <w:r w:rsidRPr="005F5AF9">
              <w:rPr>
                <w:rStyle w:val="Normal1"/>
                <w:rFonts w:cs="Arial"/>
                <w:iCs/>
                <w:color w:val="005CA9"/>
                <w:szCs w:val="24"/>
              </w:rPr>
              <w:t xml:space="preserve"> Wood Ancient Woodland and Local Wildlife Site; </w:t>
            </w:r>
          </w:p>
          <w:p w14:paraId="5ED25C75" w14:textId="77777777" w:rsidR="007E629E" w:rsidRPr="005F5AF9" w:rsidRDefault="007E629E">
            <w:pPr>
              <w:pStyle w:val="Policy"/>
              <w:tabs>
                <w:tab w:val="clear" w:pos="680"/>
              </w:tabs>
              <w:spacing w:after="0" w:line="240" w:lineRule="auto"/>
              <w:ind w:left="720" w:right="284"/>
              <w:rPr>
                <w:rStyle w:val="Heading10"/>
                <w:b w:val="0"/>
                <w:bCs/>
                <w:color w:val="005CA9"/>
                <w:szCs w:val="24"/>
              </w:rPr>
            </w:pPr>
          </w:p>
          <w:p w14:paraId="4731EBCA" w14:textId="77777777" w:rsidR="007E629E" w:rsidRPr="005F5AF9" w:rsidRDefault="007E629E" w:rsidP="00B2285E">
            <w:pPr>
              <w:pStyle w:val="Policy"/>
              <w:numPr>
                <w:ilvl w:val="0"/>
                <w:numId w:val="347"/>
              </w:numPr>
              <w:tabs>
                <w:tab w:val="clear" w:pos="680"/>
              </w:tabs>
              <w:spacing w:after="0" w:line="240" w:lineRule="auto"/>
              <w:ind w:right="284"/>
              <w:rPr>
                <w:bCs/>
                <w:color w:val="005CA9"/>
                <w:sz w:val="24"/>
                <w:szCs w:val="24"/>
              </w:rPr>
            </w:pPr>
            <w:r w:rsidRPr="005F5AF9">
              <w:rPr>
                <w:bCs/>
                <w:color w:val="005CA9"/>
                <w:sz w:val="24"/>
                <w:szCs w:val="24"/>
              </w:rPr>
              <w:t>An appropriate design scheme that c</w:t>
            </w:r>
            <w:r w:rsidRPr="005F5AF9">
              <w:rPr>
                <w:rFonts w:cs="Arial"/>
                <w:color w:val="005CA9"/>
                <w:sz w:val="24"/>
                <w:szCs w:val="24"/>
              </w:rPr>
              <w:t>reates a transition from urban to rural, using built density, height, materials and landscaping to create a more permeable edge; and</w:t>
            </w:r>
          </w:p>
          <w:p w14:paraId="612F84D0" w14:textId="77777777" w:rsidR="007E629E" w:rsidRPr="005F5AF9" w:rsidRDefault="007E629E">
            <w:pPr>
              <w:pStyle w:val="Policy"/>
              <w:tabs>
                <w:tab w:val="clear" w:pos="680"/>
              </w:tabs>
              <w:spacing w:after="0" w:line="240" w:lineRule="auto"/>
              <w:ind w:left="720" w:right="284"/>
              <w:rPr>
                <w:rStyle w:val="Heading10"/>
                <w:b w:val="0"/>
                <w:bCs/>
                <w:color w:val="005CA9"/>
                <w:szCs w:val="24"/>
              </w:rPr>
            </w:pPr>
          </w:p>
          <w:p w14:paraId="24DC6C00" w14:textId="77777777" w:rsidR="003C262A" w:rsidRPr="005F5AF9" w:rsidRDefault="003C262A" w:rsidP="003C262A">
            <w:pPr>
              <w:pStyle w:val="ListParagraph"/>
              <w:numPr>
                <w:ilvl w:val="0"/>
                <w:numId w:val="347"/>
              </w:numPr>
              <w:rPr>
                <w:rStyle w:val="Heading10"/>
                <w:rFonts w:cs="Arial"/>
                <w:b w:val="0"/>
                <w:color w:val="005CA9"/>
                <w:szCs w:val="24"/>
                <w:lang w:eastAsia="en-GB"/>
              </w:rPr>
            </w:pPr>
            <w:r w:rsidRPr="005F5AF9">
              <w:rPr>
                <w:rStyle w:val="Heading10"/>
                <w:rFonts w:cs="Arial"/>
                <w:b w:val="0"/>
                <w:color w:val="005CA9"/>
                <w:szCs w:val="24"/>
                <w:lang w:eastAsia="en-GB"/>
              </w:rPr>
              <w:t xml:space="preserve">Detailed landscaping proposals to minimise the impact of the development on the openness of the Green Belt and to provide new defensible boundaries, with </w:t>
            </w:r>
            <w:proofErr w:type="gramStart"/>
            <w:r w:rsidRPr="005F5AF9">
              <w:rPr>
                <w:rStyle w:val="Heading10"/>
                <w:rFonts w:cs="Arial"/>
                <w:b w:val="0"/>
                <w:color w:val="005CA9"/>
                <w:szCs w:val="24"/>
                <w:lang w:eastAsia="en-GB"/>
              </w:rPr>
              <w:t>particular regard</w:t>
            </w:r>
            <w:proofErr w:type="gramEnd"/>
            <w:r w:rsidRPr="005F5AF9">
              <w:rPr>
                <w:rStyle w:val="Heading10"/>
                <w:rFonts w:cs="Arial"/>
                <w:b w:val="0"/>
                <w:color w:val="005CA9"/>
                <w:szCs w:val="24"/>
                <w:lang w:eastAsia="en-GB"/>
              </w:rPr>
              <w:t xml:space="preserve"> to the northwest boundary, to endure for the plan period and beyond.</w:t>
            </w:r>
          </w:p>
          <w:p w14:paraId="2DEDCCA2" w14:textId="77777777" w:rsidR="007E629E" w:rsidRPr="005F5AF9" w:rsidRDefault="007E629E">
            <w:pPr>
              <w:pStyle w:val="Policy"/>
              <w:tabs>
                <w:tab w:val="clear" w:pos="680"/>
              </w:tabs>
              <w:spacing w:after="0" w:line="240" w:lineRule="auto"/>
              <w:ind w:left="0" w:right="284"/>
              <w:rPr>
                <w:rStyle w:val="Heading10"/>
                <w:rFonts w:cs="Arial"/>
                <w:b w:val="0"/>
                <w:bCs/>
                <w:color w:val="005CA9"/>
                <w:szCs w:val="24"/>
              </w:rPr>
            </w:pPr>
          </w:p>
        </w:tc>
      </w:tr>
    </w:tbl>
    <w:p w14:paraId="420EA99D" w14:textId="5EFB3F72" w:rsidR="00715560" w:rsidRPr="003736C4" w:rsidRDefault="00715560" w:rsidP="00715560">
      <w:pPr>
        <w:autoSpaceDE w:val="0"/>
        <w:autoSpaceDN w:val="0"/>
        <w:adjustRightInd w:val="0"/>
        <w:rPr>
          <w:rStyle w:val="Normal1"/>
          <w:rFonts w:cs="Arial"/>
          <w:b/>
          <w:iCs/>
          <w:color w:val="FF0000"/>
          <w:szCs w:val="24"/>
        </w:rPr>
      </w:pPr>
    </w:p>
    <w:p w14:paraId="6A8BBD7D" w14:textId="77777777" w:rsidR="003736C4" w:rsidRPr="0044521A" w:rsidRDefault="003736C4" w:rsidP="00715560">
      <w:pPr>
        <w:autoSpaceDE w:val="0"/>
        <w:autoSpaceDN w:val="0"/>
        <w:adjustRightInd w:val="0"/>
        <w:rPr>
          <w:rStyle w:val="Normal1"/>
          <w:rFonts w:cs="Arial"/>
          <w:bCs/>
          <w:iCs/>
          <w:color w:val="auto"/>
          <w:szCs w:val="24"/>
        </w:rPr>
      </w:pPr>
    </w:p>
    <w:p w14:paraId="109DE62A" w14:textId="1B027FA9" w:rsidR="00694FCA" w:rsidRPr="004A218C" w:rsidRDefault="00715560" w:rsidP="00874A98">
      <w:pPr>
        <w:pStyle w:val="ListParagraph"/>
        <w:numPr>
          <w:ilvl w:val="1"/>
          <w:numId w:val="92"/>
        </w:numPr>
        <w:autoSpaceDE w:val="0"/>
        <w:autoSpaceDN w:val="0"/>
        <w:adjustRightInd w:val="0"/>
        <w:spacing w:after="0" w:line="240" w:lineRule="auto"/>
        <w:ind w:left="851" w:hanging="851"/>
        <w:rPr>
          <w:rFonts w:ascii="Arial" w:eastAsia="Arial" w:hAnsi="Arial" w:cs="Arial"/>
          <w:iCs/>
          <w:strike/>
          <w:color w:val="auto"/>
          <w:szCs w:val="24"/>
        </w:rPr>
      </w:pPr>
      <w:bookmarkStart w:id="208" w:name="_Hlk148952139"/>
      <w:r w:rsidRPr="004A218C">
        <w:rPr>
          <w:rStyle w:val="Normal1"/>
          <w:rFonts w:cs="Arial"/>
          <w:b/>
          <w:bCs/>
          <w:iCs/>
          <w:color w:val="auto"/>
          <w:szCs w:val="24"/>
        </w:rPr>
        <w:t xml:space="preserve">Site H1Hd: </w:t>
      </w:r>
      <w:r w:rsidRPr="004A218C">
        <w:rPr>
          <w:rStyle w:val="Normal1"/>
          <w:b/>
          <w:bCs/>
          <w:color w:val="auto"/>
        </w:rPr>
        <w:t xml:space="preserve">Land adjoining Stubbing Wood Farm, </w:t>
      </w:r>
      <w:proofErr w:type="spellStart"/>
      <w:r w:rsidRPr="004A218C">
        <w:rPr>
          <w:rStyle w:val="Normal1"/>
          <w:b/>
          <w:bCs/>
          <w:color w:val="auto"/>
        </w:rPr>
        <w:t>Watnall</w:t>
      </w:r>
      <w:proofErr w:type="spellEnd"/>
      <w:r w:rsidRPr="004A218C">
        <w:rPr>
          <w:rStyle w:val="Normal1"/>
          <w:b/>
          <w:bCs/>
          <w:color w:val="auto"/>
        </w:rPr>
        <w:t xml:space="preserve"> Road, Hucknall.</w:t>
      </w:r>
      <w:r w:rsidRPr="004A218C">
        <w:rPr>
          <w:rStyle w:val="Normal1"/>
          <w:rFonts w:cs="Arial"/>
          <w:b/>
          <w:bCs/>
          <w:iCs/>
          <w:color w:val="auto"/>
          <w:szCs w:val="24"/>
        </w:rPr>
        <w:t xml:space="preserve"> </w:t>
      </w:r>
      <w:r w:rsidR="00ED4BED" w:rsidRPr="00ED4BED">
        <w:rPr>
          <w:rStyle w:val="Normal1"/>
          <w:rFonts w:cs="Arial"/>
          <w:iCs/>
          <w:color w:val="0070C0"/>
          <w:szCs w:val="24"/>
        </w:rPr>
        <w:t>The Council considered that there were exceptional circumstances to release this site from the Green Belt to meet housing needs in accordance with the spatial strategy as set out at Policy S1</w:t>
      </w:r>
      <w:r w:rsidR="00ED4BED">
        <w:rPr>
          <w:rStyle w:val="Normal1"/>
          <w:rFonts w:cs="Arial"/>
          <w:iCs/>
          <w:color w:val="0070C0"/>
          <w:szCs w:val="24"/>
        </w:rPr>
        <w:t xml:space="preserve">. </w:t>
      </w:r>
      <w:r w:rsidRPr="004A218C">
        <w:rPr>
          <w:rStyle w:val="Normal1"/>
          <w:rFonts w:cs="Arial"/>
          <w:iCs/>
          <w:color w:val="auto"/>
          <w:szCs w:val="24"/>
        </w:rPr>
        <w:t xml:space="preserve">This is a greenfield site which has been assessed as available, potentially suitable, and achievable in the SHELAA (ref. HK022). The site is located adjacent to the existing urban area </w:t>
      </w:r>
      <w:r w:rsidR="009D77EE" w:rsidRPr="004A218C">
        <w:rPr>
          <w:rStyle w:val="Normal1"/>
          <w:rFonts w:cs="Arial"/>
          <w:iCs/>
          <w:color w:val="auto"/>
          <w:szCs w:val="24"/>
        </w:rPr>
        <w:t xml:space="preserve">of Hucknall </w:t>
      </w:r>
      <w:r w:rsidRPr="004E19A7">
        <w:rPr>
          <w:rStyle w:val="Normal1"/>
          <w:rFonts w:cs="Arial"/>
          <w:iCs/>
          <w:strike/>
          <w:color w:val="auto"/>
          <w:szCs w:val="24"/>
        </w:rPr>
        <w:t>on land previously designated as Green Belt</w:t>
      </w:r>
      <w:r w:rsidRPr="004A218C">
        <w:rPr>
          <w:rStyle w:val="Normal1"/>
          <w:rFonts w:cs="Arial"/>
          <w:iCs/>
          <w:color w:val="auto"/>
          <w:szCs w:val="24"/>
        </w:rPr>
        <w:t xml:space="preserve"> and extends to the boundary with Broxtowe Borough in the west.  The site is well contained by </w:t>
      </w:r>
      <w:proofErr w:type="spellStart"/>
      <w:r w:rsidRPr="004A218C">
        <w:rPr>
          <w:rStyle w:val="Normal1"/>
          <w:rFonts w:cs="Arial"/>
          <w:iCs/>
          <w:color w:val="auto"/>
          <w:szCs w:val="24"/>
        </w:rPr>
        <w:t>Watnall</w:t>
      </w:r>
      <w:proofErr w:type="spellEnd"/>
      <w:r w:rsidRPr="004A218C">
        <w:rPr>
          <w:rStyle w:val="Normal1"/>
          <w:rFonts w:cs="Arial"/>
          <w:iCs/>
          <w:color w:val="auto"/>
          <w:szCs w:val="24"/>
        </w:rPr>
        <w:t xml:space="preserve"> </w:t>
      </w:r>
      <w:r w:rsidR="001F122D" w:rsidRPr="004A218C">
        <w:rPr>
          <w:rStyle w:val="Normal1"/>
          <w:rFonts w:cs="Arial"/>
          <w:iCs/>
          <w:color w:val="auto"/>
          <w:szCs w:val="24"/>
        </w:rPr>
        <w:t>R</w:t>
      </w:r>
      <w:r w:rsidRPr="004A218C">
        <w:rPr>
          <w:rStyle w:val="Normal1"/>
          <w:rFonts w:cs="Arial"/>
          <w:iCs/>
          <w:color w:val="auto"/>
          <w:szCs w:val="24"/>
        </w:rPr>
        <w:t xml:space="preserve">oad and existing residential development to the north and east, and a water course to the west. </w:t>
      </w:r>
    </w:p>
    <w:p w14:paraId="22635147" w14:textId="77777777" w:rsidR="00715560" w:rsidRPr="004A218C" w:rsidRDefault="00715560" w:rsidP="00F54961">
      <w:pPr>
        <w:pStyle w:val="ListParagraph"/>
        <w:autoSpaceDE w:val="0"/>
        <w:autoSpaceDN w:val="0"/>
        <w:adjustRightInd w:val="0"/>
        <w:spacing w:after="0" w:line="240" w:lineRule="auto"/>
        <w:ind w:left="851"/>
        <w:rPr>
          <w:rStyle w:val="Normal1"/>
          <w:rFonts w:cs="Arial"/>
          <w:b/>
          <w:bCs/>
          <w:iCs/>
          <w:color w:val="auto"/>
          <w:szCs w:val="24"/>
        </w:rPr>
      </w:pPr>
    </w:p>
    <w:p w14:paraId="5731CE75" w14:textId="304053E1" w:rsidR="00715560" w:rsidRPr="00694FCA" w:rsidRDefault="00715560" w:rsidP="00874A98">
      <w:pPr>
        <w:pStyle w:val="ListParagraph"/>
        <w:numPr>
          <w:ilvl w:val="1"/>
          <w:numId w:val="92"/>
        </w:numPr>
        <w:autoSpaceDE w:val="0"/>
        <w:autoSpaceDN w:val="0"/>
        <w:adjustRightInd w:val="0"/>
        <w:spacing w:after="0" w:line="240" w:lineRule="auto"/>
        <w:ind w:left="851" w:hanging="851"/>
        <w:rPr>
          <w:rStyle w:val="Normal1"/>
          <w:rFonts w:cs="Arial"/>
          <w:iCs/>
          <w:color w:val="auto"/>
          <w:szCs w:val="24"/>
        </w:rPr>
      </w:pPr>
      <w:r w:rsidRPr="004A218C">
        <w:rPr>
          <w:rStyle w:val="Normal1"/>
          <w:rFonts w:cs="Arial"/>
          <w:iCs/>
          <w:color w:val="auto"/>
          <w:szCs w:val="24"/>
        </w:rPr>
        <w:t>The site</w:t>
      </w:r>
      <w:r w:rsidRPr="00694FCA">
        <w:rPr>
          <w:rStyle w:val="Normal1"/>
          <w:rFonts w:cs="Arial"/>
          <w:iCs/>
          <w:color w:val="auto"/>
          <w:szCs w:val="24"/>
        </w:rPr>
        <w:t xml:space="preserve"> </w:t>
      </w:r>
      <w:r w:rsidR="00F54961" w:rsidRPr="00694FCA">
        <w:rPr>
          <w:rStyle w:val="Normal1"/>
          <w:rFonts w:cs="Arial"/>
          <w:iCs/>
          <w:color w:val="auto"/>
          <w:szCs w:val="24"/>
        </w:rPr>
        <w:t xml:space="preserve">will </w:t>
      </w:r>
      <w:r w:rsidRPr="00694FCA">
        <w:rPr>
          <w:rStyle w:val="Normal1"/>
          <w:rFonts w:cs="Arial"/>
          <w:iCs/>
          <w:color w:val="auto"/>
          <w:szCs w:val="24"/>
        </w:rPr>
        <w:t xml:space="preserve">require a master-planned access strategy with 2 points of access onto </w:t>
      </w:r>
      <w:r w:rsidRPr="00DE5E31">
        <w:rPr>
          <w:rStyle w:val="Normal1"/>
          <w:rFonts w:cs="Arial"/>
          <w:iCs/>
          <w:strike/>
          <w:color w:val="auto"/>
          <w:szCs w:val="24"/>
        </w:rPr>
        <w:t>Long Lane</w:t>
      </w:r>
      <w:r w:rsidRPr="00694FCA">
        <w:rPr>
          <w:rStyle w:val="Normal1"/>
          <w:rFonts w:cs="Arial"/>
          <w:iCs/>
          <w:color w:val="auto"/>
          <w:szCs w:val="24"/>
        </w:rPr>
        <w:t xml:space="preserve"> </w:t>
      </w:r>
      <w:proofErr w:type="spellStart"/>
      <w:r w:rsidR="00DE5E31" w:rsidRPr="001C05F6">
        <w:rPr>
          <w:rStyle w:val="Normal1"/>
          <w:rFonts w:cs="Arial"/>
          <w:iCs/>
          <w:color w:val="0070C0"/>
          <w:szCs w:val="24"/>
        </w:rPr>
        <w:t>Watnall</w:t>
      </w:r>
      <w:proofErr w:type="spellEnd"/>
      <w:r w:rsidR="00DE5E31" w:rsidRPr="001C05F6">
        <w:rPr>
          <w:rStyle w:val="Normal1"/>
          <w:rFonts w:cs="Arial"/>
          <w:iCs/>
          <w:color w:val="0070C0"/>
          <w:szCs w:val="24"/>
        </w:rPr>
        <w:t xml:space="preserve"> Road </w:t>
      </w:r>
      <w:r w:rsidRPr="001C05F6">
        <w:rPr>
          <w:rStyle w:val="Normal1"/>
          <w:rFonts w:cs="Arial"/>
          <w:iCs/>
          <w:color w:val="auto"/>
          <w:szCs w:val="24"/>
        </w:rPr>
        <w:t>and</w:t>
      </w:r>
      <w:r w:rsidRPr="00694FCA">
        <w:rPr>
          <w:rStyle w:val="Normal1"/>
          <w:rFonts w:cs="Arial"/>
          <w:iCs/>
          <w:color w:val="auto"/>
          <w:szCs w:val="24"/>
        </w:rPr>
        <w:t xml:space="preserve"> Lancaster Road. The main road corridor should be looped suitable for buses and interconnected throughout. </w:t>
      </w:r>
      <w:r w:rsidR="00A47CB1" w:rsidRPr="00694FCA">
        <w:rPr>
          <w:rStyle w:val="Normal1"/>
          <w:rFonts w:cs="Arial"/>
          <w:iCs/>
          <w:color w:val="auto"/>
          <w:szCs w:val="24"/>
        </w:rPr>
        <w:t xml:space="preserve">The southern part of the site close to </w:t>
      </w:r>
      <w:proofErr w:type="spellStart"/>
      <w:r w:rsidR="00A47CB1" w:rsidRPr="00694FCA">
        <w:rPr>
          <w:rStyle w:val="Normal1"/>
          <w:rFonts w:cs="Arial"/>
          <w:iCs/>
          <w:color w:val="auto"/>
          <w:szCs w:val="24"/>
        </w:rPr>
        <w:t>Watnall</w:t>
      </w:r>
      <w:proofErr w:type="spellEnd"/>
      <w:r w:rsidR="00A47CB1" w:rsidRPr="00694FCA">
        <w:rPr>
          <w:rStyle w:val="Normal1"/>
          <w:rFonts w:cs="Arial"/>
          <w:iCs/>
          <w:color w:val="auto"/>
          <w:szCs w:val="24"/>
        </w:rPr>
        <w:t xml:space="preserve"> Road identifies a significant area at a high risk of surface flooding. Consequently, mitigation measures will be required.  Severn Trent have </w:t>
      </w:r>
      <w:r w:rsidR="00A47CB1" w:rsidRPr="00694FCA">
        <w:rPr>
          <w:rStyle w:val="Normal1"/>
          <w:rFonts w:cs="Arial"/>
          <w:iCs/>
          <w:color w:val="auto"/>
          <w:szCs w:val="24"/>
        </w:rPr>
        <w:lastRenderedPageBreak/>
        <w:t>also identified that network improvements to the foul sewers is likely to be required.</w:t>
      </w:r>
    </w:p>
    <w:p w14:paraId="2CCA4B27" w14:textId="77777777" w:rsidR="00715560" w:rsidRPr="00694FCA" w:rsidRDefault="00715560" w:rsidP="00F54961">
      <w:pPr>
        <w:pStyle w:val="ListParagraph"/>
        <w:autoSpaceDE w:val="0"/>
        <w:autoSpaceDN w:val="0"/>
        <w:adjustRightInd w:val="0"/>
        <w:spacing w:after="0" w:line="240" w:lineRule="auto"/>
        <w:ind w:left="851"/>
        <w:rPr>
          <w:rStyle w:val="Normal1"/>
          <w:rFonts w:cs="Arial"/>
          <w:iCs/>
          <w:color w:val="auto"/>
          <w:szCs w:val="24"/>
        </w:rPr>
      </w:pPr>
    </w:p>
    <w:p w14:paraId="2EB4A04B" w14:textId="77777777" w:rsidR="001F122D" w:rsidRPr="00694FCA" w:rsidRDefault="00715560" w:rsidP="00874A98">
      <w:pPr>
        <w:pStyle w:val="ListParagraph"/>
        <w:numPr>
          <w:ilvl w:val="1"/>
          <w:numId w:val="92"/>
        </w:numPr>
        <w:autoSpaceDE w:val="0"/>
        <w:autoSpaceDN w:val="0"/>
        <w:adjustRightInd w:val="0"/>
        <w:spacing w:after="0" w:line="240" w:lineRule="auto"/>
        <w:ind w:left="851" w:hanging="851"/>
        <w:rPr>
          <w:rStyle w:val="Normal1"/>
          <w:rFonts w:cs="Arial"/>
          <w:iCs/>
          <w:color w:val="auto"/>
          <w:szCs w:val="24"/>
        </w:rPr>
      </w:pPr>
      <w:proofErr w:type="spellStart"/>
      <w:r w:rsidRPr="00694FCA">
        <w:rPr>
          <w:rStyle w:val="Normal1"/>
          <w:rFonts w:cs="Arial"/>
          <w:iCs/>
          <w:color w:val="auto"/>
          <w:szCs w:val="24"/>
        </w:rPr>
        <w:t>Starth</w:t>
      </w:r>
      <w:proofErr w:type="spellEnd"/>
      <w:r w:rsidRPr="00694FCA">
        <w:rPr>
          <w:rStyle w:val="Normal1"/>
          <w:rFonts w:cs="Arial"/>
          <w:iCs/>
          <w:color w:val="auto"/>
          <w:szCs w:val="24"/>
        </w:rPr>
        <w:t xml:space="preserve"> Wood adjacent to part of the site is identified as an ancient and semi natural woodland</w:t>
      </w:r>
      <w:r w:rsidR="00F54961" w:rsidRPr="00694FCA">
        <w:rPr>
          <w:rStyle w:val="Normal1"/>
          <w:rFonts w:cs="Arial"/>
          <w:iCs/>
          <w:color w:val="auto"/>
          <w:szCs w:val="24"/>
        </w:rPr>
        <w:t xml:space="preserve"> and i</w:t>
      </w:r>
      <w:r w:rsidRPr="00694FCA">
        <w:rPr>
          <w:rStyle w:val="Normal1"/>
          <w:rFonts w:cs="Arial"/>
          <w:iCs/>
          <w:color w:val="auto"/>
          <w:szCs w:val="24"/>
        </w:rPr>
        <w:t xml:space="preserve">t is also a Local Wildlife Site. Any potential development will need to </w:t>
      </w:r>
      <w:proofErr w:type="gramStart"/>
      <w:r w:rsidRPr="00694FCA">
        <w:rPr>
          <w:rStyle w:val="Normal1"/>
          <w:rFonts w:cs="Arial"/>
          <w:iCs/>
          <w:color w:val="auto"/>
          <w:szCs w:val="24"/>
        </w:rPr>
        <w:t>take into account</w:t>
      </w:r>
      <w:proofErr w:type="gramEnd"/>
      <w:r w:rsidRPr="00694FCA">
        <w:rPr>
          <w:rStyle w:val="Normal1"/>
          <w:rFonts w:cs="Arial"/>
          <w:iCs/>
          <w:color w:val="auto"/>
          <w:szCs w:val="24"/>
        </w:rPr>
        <w:t xml:space="preserve"> the scope to avoid or mitigate any impacts on biodiversity.   </w:t>
      </w:r>
    </w:p>
    <w:p w14:paraId="62762C5F" w14:textId="77777777" w:rsidR="001F122D" w:rsidRPr="00694FCA" w:rsidRDefault="001F122D" w:rsidP="001F122D">
      <w:pPr>
        <w:pStyle w:val="ListParagraph"/>
        <w:rPr>
          <w:rStyle w:val="Normal1"/>
          <w:rFonts w:cs="Arial"/>
          <w:iCs/>
          <w:color w:val="auto"/>
          <w:szCs w:val="24"/>
        </w:rPr>
      </w:pPr>
    </w:p>
    <w:p w14:paraId="0655DF13" w14:textId="72BDEC9D" w:rsidR="000E0D18" w:rsidRPr="0091688C" w:rsidRDefault="0058361A" w:rsidP="00C60DE1">
      <w:pPr>
        <w:pStyle w:val="ListParagraph"/>
        <w:numPr>
          <w:ilvl w:val="1"/>
          <w:numId w:val="92"/>
        </w:numPr>
        <w:autoSpaceDE w:val="0"/>
        <w:autoSpaceDN w:val="0"/>
        <w:adjustRightInd w:val="0"/>
        <w:spacing w:after="0" w:line="240" w:lineRule="auto"/>
        <w:ind w:left="851" w:hanging="851"/>
        <w:rPr>
          <w:rFonts w:ascii="Arial" w:eastAsia="Arial" w:hAnsi="Arial" w:cs="Arial"/>
          <w:b/>
          <w:bCs/>
          <w:iCs/>
          <w:color w:val="auto"/>
          <w:szCs w:val="24"/>
        </w:rPr>
      </w:pPr>
      <w:r>
        <w:rPr>
          <w:rStyle w:val="Normal1"/>
          <w:rFonts w:cs="Arial"/>
          <w:iCs/>
          <w:color w:val="auto"/>
          <w:szCs w:val="24"/>
        </w:rPr>
        <w:t>T</w:t>
      </w:r>
      <w:r w:rsidR="005D5D1D" w:rsidRPr="00694FCA">
        <w:rPr>
          <w:rStyle w:val="Normal1"/>
          <w:rFonts w:cs="Arial"/>
          <w:iCs/>
          <w:color w:val="auto"/>
          <w:szCs w:val="24"/>
        </w:rPr>
        <w:t xml:space="preserve">he </w:t>
      </w:r>
      <w:r w:rsidR="00715560" w:rsidRPr="00694FCA">
        <w:rPr>
          <w:rStyle w:val="Normal1"/>
          <w:rFonts w:cs="Arial"/>
          <w:iCs/>
          <w:color w:val="auto"/>
          <w:szCs w:val="24"/>
        </w:rPr>
        <w:t xml:space="preserve">Grade II Listed ‘Hucknall Battle </w:t>
      </w:r>
      <w:r w:rsidR="001770A9" w:rsidRPr="00694FCA">
        <w:rPr>
          <w:rStyle w:val="Normal1"/>
          <w:rFonts w:cs="Arial"/>
          <w:iCs/>
          <w:color w:val="auto"/>
          <w:szCs w:val="24"/>
        </w:rPr>
        <w:t>Headquarters</w:t>
      </w:r>
      <w:r w:rsidR="00715560" w:rsidRPr="00694FCA">
        <w:rPr>
          <w:rStyle w:val="Normal1"/>
          <w:rFonts w:cs="Arial"/>
          <w:iCs/>
          <w:color w:val="auto"/>
          <w:szCs w:val="24"/>
        </w:rPr>
        <w:t xml:space="preserve">’ to Hucknall aerodrome is located </w:t>
      </w:r>
      <w:r w:rsidR="005D5D1D" w:rsidRPr="00694FCA">
        <w:rPr>
          <w:rStyle w:val="Normal1"/>
          <w:rFonts w:cs="Arial"/>
          <w:iCs/>
          <w:color w:val="auto"/>
          <w:szCs w:val="24"/>
        </w:rPr>
        <w:t xml:space="preserve">to the northeast </w:t>
      </w:r>
      <w:r w:rsidR="00715560" w:rsidRPr="00694FCA">
        <w:rPr>
          <w:rStyle w:val="Normal1"/>
          <w:rFonts w:cs="Arial"/>
          <w:iCs/>
          <w:color w:val="auto"/>
          <w:szCs w:val="24"/>
        </w:rPr>
        <w:t>of the site</w:t>
      </w:r>
      <w:r w:rsidR="005D5D1D" w:rsidRPr="00694FCA">
        <w:rPr>
          <w:rStyle w:val="Normal1"/>
          <w:rFonts w:cs="Arial"/>
          <w:iCs/>
          <w:color w:val="auto"/>
          <w:szCs w:val="24"/>
        </w:rPr>
        <w:t xml:space="preserve">, </w:t>
      </w:r>
      <w:r w:rsidR="00CA5351" w:rsidRPr="00694FCA">
        <w:rPr>
          <w:rStyle w:val="Normal1"/>
          <w:rFonts w:cs="Arial"/>
          <w:iCs/>
          <w:color w:val="auto"/>
          <w:szCs w:val="24"/>
        </w:rPr>
        <w:t xml:space="preserve">which </w:t>
      </w:r>
      <w:r w:rsidR="005D5D1D" w:rsidRPr="00694FCA">
        <w:rPr>
          <w:rFonts w:ascii="Arial" w:hAnsi="Arial" w:cs="Arial"/>
          <w:color w:val="auto"/>
        </w:rPr>
        <w:t>comprises a below-ground command post and tunnel with a three-storey above ground observation tower.</w:t>
      </w:r>
      <w:r w:rsidR="00715560" w:rsidRPr="00694FCA">
        <w:rPr>
          <w:rStyle w:val="Normal1"/>
          <w:rFonts w:cs="Arial"/>
          <w:iCs/>
          <w:color w:val="auto"/>
          <w:szCs w:val="24"/>
        </w:rPr>
        <w:t xml:space="preserve"> </w:t>
      </w:r>
      <w:r w:rsidR="005D5D1D" w:rsidRPr="00694FCA">
        <w:rPr>
          <w:rFonts w:ascii="Arial" w:hAnsi="Arial" w:cs="Arial"/>
          <w:color w:val="auto"/>
        </w:rPr>
        <w:t xml:space="preserve">The asset sits on high ground, surrounded by residential development and farmland. The open fields to the southwest and the tower’s prominent position provide an understanding of its purpose as a lookout point. </w:t>
      </w:r>
      <w:r w:rsidR="006E3B8B" w:rsidRPr="006E3B8B">
        <w:rPr>
          <w:rFonts w:ascii="Arial" w:hAnsi="Arial" w:cs="Arial"/>
          <w:color w:val="0070C0"/>
          <w:szCs w:val="24"/>
          <w:lang w:eastAsia="en-GB"/>
        </w:rPr>
        <w:t xml:space="preserve">Development of the site should be informed by </w:t>
      </w:r>
      <w:r w:rsidR="006E3B8B" w:rsidRPr="006E3B8B">
        <w:rPr>
          <w:rFonts w:ascii="Arial" w:eastAsia="Arial" w:hAnsi="Arial" w:cs="Arial"/>
          <w:iCs/>
          <w:color w:val="0070C0"/>
          <w:szCs w:val="24"/>
          <w:lang w:eastAsia="en-GB"/>
        </w:rPr>
        <w:t>the recommendations identified in the 2023 Heritage Impact Assessment (HIA) and should</w:t>
      </w:r>
      <w:r w:rsidR="006E3B8B" w:rsidRPr="006E3B8B">
        <w:rPr>
          <w:rFonts w:ascii="Arial" w:eastAsia="Arial" w:hAnsi="Arial" w:cs="Arial"/>
          <w:iCs/>
          <w:color w:val="FF0000"/>
          <w:szCs w:val="24"/>
          <w:lang w:eastAsia="en-GB"/>
        </w:rPr>
        <w:t xml:space="preserve"> </w:t>
      </w:r>
      <w:r w:rsidR="006E3B8B" w:rsidRPr="006E3B8B">
        <w:rPr>
          <w:rFonts w:ascii="Arial" w:eastAsia="Arial" w:hAnsi="Arial" w:cs="Arial"/>
          <w:iCs/>
          <w:color w:val="0070C0"/>
          <w:szCs w:val="24"/>
          <w:lang w:eastAsia="en-GB"/>
        </w:rPr>
        <w:t>be sensitively designed</w:t>
      </w:r>
      <w:r w:rsidR="006E3B8B" w:rsidRPr="006E3B8B">
        <w:rPr>
          <w:rFonts w:ascii="Arial" w:eastAsia="Arial" w:hAnsi="Arial" w:cs="Arial"/>
          <w:iCs/>
          <w:szCs w:val="24"/>
          <w:lang w:eastAsia="en-GB"/>
        </w:rPr>
        <w:t xml:space="preserve">. </w:t>
      </w:r>
      <w:r w:rsidR="005D5D1D" w:rsidRPr="00694FCA">
        <w:rPr>
          <w:rFonts w:ascii="Arial" w:hAnsi="Arial" w:cs="Arial"/>
          <w:color w:val="auto"/>
        </w:rPr>
        <w:t xml:space="preserve">The </w:t>
      </w:r>
      <w:r w:rsidR="00CA5351" w:rsidRPr="00694FCA">
        <w:rPr>
          <w:rFonts w:ascii="Arial" w:hAnsi="Arial" w:cs="Arial"/>
          <w:color w:val="auto"/>
        </w:rPr>
        <w:t xml:space="preserve">Battle </w:t>
      </w:r>
      <w:r w:rsidR="005D5D1D" w:rsidRPr="00694FCA">
        <w:rPr>
          <w:rFonts w:ascii="Arial" w:hAnsi="Arial" w:cs="Arial"/>
          <w:color w:val="auto"/>
        </w:rPr>
        <w:t xml:space="preserve">Headquarters must be preserved </w:t>
      </w:r>
      <w:r w:rsidR="00CA5351" w:rsidRPr="00694FCA">
        <w:rPr>
          <w:rFonts w:ascii="Arial" w:hAnsi="Arial" w:cs="Arial"/>
          <w:color w:val="auto"/>
        </w:rPr>
        <w:t>in situ</w:t>
      </w:r>
      <w:r w:rsidR="005D5D1D" w:rsidRPr="00694FCA">
        <w:rPr>
          <w:rFonts w:ascii="Arial" w:hAnsi="Arial" w:cs="Arial"/>
          <w:color w:val="auto"/>
        </w:rPr>
        <w:t xml:space="preserve"> with an </w:t>
      </w:r>
      <w:r w:rsidR="009D77EE" w:rsidRPr="00694FCA">
        <w:rPr>
          <w:rFonts w:ascii="Arial" w:hAnsi="Arial" w:cs="Arial"/>
          <w:color w:val="auto"/>
        </w:rPr>
        <w:t xml:space="preserve">agreed </w:t>
      </w:r>
      <w:r w:rsidR="005D5D1D" w:rsidRPr="00694FCA">
        <w:rPr>
          <w:rFonts w:ascii="Arial" w:hAnsi="Arial" w:cs="Arial"/>
          <w:color w:val="auto"/>
        </w:rPr>
        <w:t xml:space="preserve">appropriate buffer around the tower. Investigations will also be required </w:t>
      </w:r>
      <w:r w:rsidR="009D77EE" w:rsidRPr="00694FCA">
        <w:rPr>
          <w:rFonts w:ascii="Arial" w:hAnsi="Arial" w:cs="Arial"/>
          <w:color w:val="auto"/>
        </w:rPr>
        <w:t xml:space="preserve">to </w:t>
      </w:r>
      <w:r w:rsidR="00CA5351" w:rsidRPr="00694FCA">
        <w:rPr>
          <w:rFonts w:ascii="Arial" w:hAnsi="Arial" w:cs="Arial"/>
          <w:color w:val="auto"/>
        </w:rPr>
        <w:t xml:space="preserve">understand the </w:t>
      </w:r>
      <w:r w:rsidR="005D5D1D" w:rsidRPr="00694FCA">
        <w:rPr>
          <w:rFonts w:ascii="Arial" w:hAnsi="Arial" w:cs="Arial"/>
          <w:color w:val="auto"/>
        </w:rPr>
        <w:t xml:space="preserve">extent of subterranean chambers </w:t>
      </w:r>
      <w:r w:rsidR="00CA5351" w:rsidRPr="00694FCA">
        <w:rPr>
          <w:rFonts w:ascii="Arial" w:hAnsi="Arial" w:cs="Arial"/>
          <w:color w:val="auto"/>
        </w:rPr>
        <w:t>beneath</w:t>
      </w:r>
      <w:r w:rsidR="005D5D1D" w:rsidRPr="00694FCA">
        <w:rPr>
          <w:rFonts w:ascii="Arial" w:hAnsi="Arial" w:cs="Arial"/>
          <w:color w:val="auto"/>
        </w:rPr>
        <w:t xml:space="preserve"> the tower</w:t>
      </w:r>
      <w:r w:rsidR="00CA5351" w:rsidRPr="00694FCA">
        <w:rPr>
          <w:rFonts w:ascii="Arial" w:hAnsi="Arial" w:cs="Arial"/>
          <w:color w:val="auto"/>
        </w:rPr>
        <w:t>.</w:t>
      </w:r>
      <w:r w:rsidR="000E0D18">
        <w:rPr>
          <w:rFonts w:ascii="Arial" w:hAnsi="Arial" w:cs="Arial"/>
          <w:color w:val="auto"/>
        </w:rPr>
        <w:t xml:space="preserve">  </w:t>
      </w:r>
      <w:r w:rsidR="000E0D18" w:rsidRPr="00DC7963">
        <w:rPr>
          <w:rFonts w:ascii="Arial" w:hAnsi="Arial" w:cs="Arial"/>
          <w:color w:val="0070C0"/>
          <w:szCs w:val="24"/>
          <w:lang w:eastAsia="en-GB"/>
        </w:rPr>
        <w:t>As part of any future planning application the Council will require a management plan</w:t>
      </w:r>
      <w:r w:rsidR="000E0D18" w:rsidRPr="0091688C">
        <w:rPr>
          <w:rFonts w:ascii="Arial" w:hAnsi="Arial" w:cs="Arial"/>
          <w:color w:val="0070C0"/>
          <w:szCs w:val="24"/>
          <w:lang w:eastAsia="en-GB"/>
        </w:rPr>
        <w:t xml:space="preserve"> for the heritage asset to be submitted.</w:t>
      </w:r>
    </w:p>
    <w:p w14:paraId="3424B299" w14:textId="77777777" w:rsidR="009D77EE" w:rsidRPr="00694FCA" w:rsidRDefault="009D77EE" w:rsidP="009D77EE">
      <w:pPr>
        <w:pStyle w:val="ListParagraph"/>
        <w:rPr>
          <w:rStyle w:val="Normal1"/>
          <w:rFonts w:cs="Arial"/>
          <w:iCs/>
          <w:color w:val="auto"/>
          <w:szCs w:val="24"/>
        </w:rPr>
      </w:pPr>
    </w:p>
    <w:p w14:paraId="1250247D" w14:textId="6A49AF1B" w:rsidR="002D5B3C" w:rsidRPr="006E3B8B" w:rsidRDefault="009D77EE" w:rsidP="00874A98">
      <w:pPr>
        <w:pStyle w:val="ListParagraph"/>
        <w:numPr>
          <w:ilvl w:val="1"/>
          <w:numId w:val="92"/>
        </w:numPr>
        <w:autoSpaceDE w:val="0"/>
        <w:autoSpaceDN w:val="0"/>
        <w:adjustRightInd w:val="0"/>
        <w:spacing w:after="0" w:line="240" w:lineRule="auto"/>
        <w:ind w:left="851" w:hanging="851"/>
        <w:rPr>
          <w:rStyle w:val="Normal1"/>
          <w:rFonts w:cs="Arial"/>
          <w:b/>
          <w:bCs/>
          <w:iCs/>
          <w:color w:val="auto"/>
          <w:szCs w:val="24"/>
        </w:rPr>
      </w:pPr>
      <w:r w:rsidRPr="00694FCA">
        <w:rPr>
          <w:rFonts w:ascii="Arial" w:hAnsi="Arial" w:cs="Arial"/>
          <w:color w:val="auto"/>
        </w:rPr>
        <w:t xml:space="preserve">Within the north of the site, there is a high potential for buried archaeological remains associated with the Battle Headquarters. The southern portion of the site has a low to moderate potential for buried archaeology. </w:t>
      </w:r>
      <w:r w:rsidR="0061128F" w:rsidRPr="00694FCA">
        <w:rPr>
          <w:rStyle w:val="Normal1"/>
          <w:rFonts w:cs="Arial"/>
          <w:iCs/>
          <w:color w:val="auto"/>
          <w:szCs w:val="24"/>
        </w:rPr>
        <w:t>Further archaeological evaluation work will be required</w:t>
      </w:r>
      <w:r w:rsidR="006E3B8B">
        <w:rPr>
          <w:rStyle w:val="Normal1"/>
          <w:rFonts w:cs="Arial"/>
          <w:iCs/>
          <w:color w:val="auto"/>
          <w:szCs w:val="24"/>
        </w:rPr>
        <w:t xml:space="preserve">. </w:t>
      </w:r>
      <w:r w:rsidR="006E3B8B" w:rsidRPr="00541429">
        <w:rPr>
          <w:rFonts w:ascii="Arial" w:eastAsia="Arial" w:hAnsi="Arial" w:cs="Arial"/>
          <w:iCs/>
          <w:strike/>
          <w:szCs w:val="24"/>
          <w:lang w:eastAsia="en-GB"/>
        </w:rPr>
        <w:t>beginning with a</w:t>
      </w:r>
      <w:r w:rsidR="006E3B8B" w:rsidRPr="00541429">
        <w:rPr>
          <w:rFonts w:ascii="Arial" w:eastAsia="Arial" w:hAnsi="Arial" w:cs="Arial"/>
          <w:iCs/>
          <w:szCs w:val="24"/>
          <w:lang w:eastAsia="en-GB"/>
        </w:rPr>
        <w:t xml:space="preserve"> </w:t>
      </w:r>
      <w:proofErr w:type="gramStart"/>
      <w:r w:rsidR="006E3B8B" w:rsidRPr="00541429">
        <w:rPr>
          <w:rFonts w:ascii="Arial" w:eastAsia="Arial" w:hAnsi="Arial" w:cs="Arial"/>
          <w:iCs/>
          <w:color w:val="0070C0"/>
          <w:szCs w:val="24"/>
          <w:lang w:eastAsia="en-GB"/>
        </w:rPr>
        <w:t>An</w:t>
      </w:r>
      <w:proofErr w:type="gramEnd"/>
      <w:r w:rsidR="006E3B8B" w:rsidRPr="00541429">
        <w:rPr>
          <w:rFonts w:ascii="Arial" w:eastAsia="Arial" w:hAnsi="Arial" w:cs="Arial"/>
          <w:iCs/>
          <w:szCs w:val="24"/>
          <w:lang w:eastAsia="en-GB"/>
        </w:rPr>
        <w:t xml:space="preserve"> </w:t>
      </w:r>
      <w:r w:rsidR="006E3B8B" w:rsidRPr="00541429">
        <w:rPr>
          <w:rFonts w:ascii="Arial" w:eastAsia="Arial" w:hAnsi="Arial" w:cs="Arial"/>
          <w:iCs/>
          <w:color w:val="0070C0"/>
          <w:szCs w:val="24"/>
          <w:lang w:eastAsia="en-GB"/>
        </w:rPr>
        <w:t xml:space="preserve">archaeological </w:t>
      </w:r>
      <w:r w:rsidR="006E3B8B" w:rsidRPr="00541429">
        <w:rPr>
          <w:rFonts w:ascii="Arial" w:eastAsia="Arial" w:hAnsi="Arial" w:cs="Arial"/>
          <w:iCs/>
          <w:szCs w:val="24"/>
          <w:lang w:eastAsia="en-GB"/>
        </w:rPr>
        <w:t xml:space="preserve">Desk Based Assessment (DBA) </w:t>
      </w:r>
      <w:r w:rsidR="006E3B8B" w:rsidRPr="00541429">
        <w:rPr>
          <w:rFonts w:ascii="Arial" w:eastAsia="Arial" w:hAnsi="Arial" w:cs="Arial"/>
          <w:iCs/>
          <w:color w:val="0070C0"/>
          <w:szCs w:val="24"/>
          <w:lang w:eastAsia="en-GB"/>
        </w:rPr>
        <w:t xml:space="preserve">should be submitted with any planning application </w:t>
      </w:r>
      <w:r w:rsidR="006E3B8B" w:rsidRPr="00541429">
        <w:rPr>
          <w:rFonts w:ascii="Arial" w:hAnsi="Arial" w:cs="Arial"/>
          <w:szCs w:val="24"/>
          <w:lang w:eastAsia="en-GB"/>
        </w:rPr>
        <w:t>to ascertain the extent and level of survival of archaeological remains within the site</w:t>
      </w:r>
      <w:r w:rsidR="006E3B8B" w:rsidRPr="00541429">
        <w:rPr>
          <w:rFonts w:ascii="Arial" w:eastAsia="Arial" w:hAnsi="Arial" w:cs="Arial"/>
          <w:iCs/>
          <w:szCs w:val="24"/>
          <w:lang w:eastAsia="en-GB"/>
        </w:rPr>
        <w:t xml:space="preserve">.  Depending on the results of the DBA further archaeological investigations may be warranted, including a geophysical survey and targeted trial trenching, where necessary.  </w:t>
      </w:r>
      <w:proofErr w:type="gramStart"/>
      <w:r w:rsidR="006E3B8B" w:rsidRPr="00541429">
        <w:rPr>
          <w:rFonts w:ascii="Arial" w:hAnsi="Arial" w:cs="Arial"/>
          <w:szCs w:val="24"/>
          <w:lang w:eastAsia="en-GB"/>
        </w:rPr>
        <w:t>In particular, ground-penetrating</w:t>
      </w:r>
      <w:proofErr w:type="gramEnd"/>
      <w:r w:rsidR="006E3B8B" w:rsidRPr="00541429">
        <w:rPr>
          <w:rFonts w:ascii="Arial" w:hAnsi="Arial" w:cs="Arial"/>
          <w:szCs w:val="24"/>
          <w:lang w:eastAsia="en-GB"/>
        </w:rPr>
        <w:t xml:space="preserve"> radar is recommended, along with a metal detecting survey, in the vicinity of the military infrastructure. </w:t>
      </w:r>
      <w:r w:rsidR="006E3B8B" w:rsidRPr="00541429">
        <w:rPr>
          <w:rFonts w:ascii="Arial" w:eastAsia="Arial" w:hAnsi="Arial" w:cs="Arial"/>
          <w:iCs/>
          <w:szCs w:val="24"/>
          <w:lang w:eastAsia="en-GB"/>
        </w:rPr>
        <w:t xml:space="preserve">This work will inform </w:t>
      </w:r>
      <w:r w:rsidR="006E3B8B" w:rsidRPr="00541429">
        <w:rPr>
          <w:rFonts w:ascii="Arial" w:eastAsia="Arial" w:hAnsi="Arial" w:cs="Arial"/>
          <w:iCs/>
          <w:color w:val="0070C0"/>
          <w:szCs w:val="24"/>
          <w:lang w:eastAsia="en-GB"/>
        </w:rPr>
        <w:t>a</w:t>
      </w:r>
      <w:r w:rsidR="006E3B8B" w:rsidRPr="00541429">
        <w:rPr>
          <w:rFonts w:ascii="Arial" w:eastAsia="Arial" w:hAnsi="Arial" w:cs="Arial"/>
          <w:color w:val="0070C0"/>
          <w:szCs w:val="24"/>
          <w:lang w:eastAsia="en-GB"/>
        </w:rPr>
        <w:t xml:space="preserve">ny required </w:t>
      </w:r>
      <w:r w:rsidR="006E3B8B" w:rsidRPr="00541429">
        <w:rPr>
          <w:rFonts w:ascii="Arial" w:eastAsia="Arial" w:hAnsi="Arial" w:cs="Arial"/>
          <w:iCs/>
          <w:strike/>
          <w:szCs w:val="24"/>
          <w:lang w:eastAsia="en-GB"/>
        </w:rPr>
        <w:t xml:space="preserve">the need for </w:t>
      </w:r>
      <w:r w:rsidR="006E3B8B" w:rsidRPr="00541429">
        <w:rPr>
          <w:rFonts w:ascii="Arial" w:eastAsia="Arial" w:hAnsi="Arial" w:cs="Arial"/>
          <w:iCs/>
          <w:szCs w:val="24"/>
          <w:lang w:eastAsia="en-GB"/>
        </w:rPr>
        <w:t>mitigation</w:t>
      </w:r>
      <w:r w:rsidR="00694FCA" w:rsidRPr="006E3B8B">
        <w:rPr>
          <w:rStyle w:val="Normal1"/>
          <w:rFonts w:cs="Arial"/>
          <w:iCs/>
          <w:color w:val="auto"/>
          <w:szCs w:val="24"/>
        </w:rPr>
        <w:t>.</w:t>
      </w:r>
    </w:p>
    <w:p w14:paraId="27948356" w14:textId="77777777" w:rsidR="002D5B3C" w:rsidRPr="002D5B3C" w:rsidRDefault="002D5B3C" w:rsidP="002D5B3C">
      <w:pPr>
        <w:pStyle w:val="ListParagraph"/>
        <w:rPr>
          <w:rFonts w:ascii="Arial" w:eastAsia="Calibri" w:hAnsi="Arial" w:cs="Arial"/>
          <w:szCs w:val="24"/>
        </w:rPr>
      </w:pPr>
    </w:p>
    <w:p w14:paraId="026B1E82" w14:textId="5DC18901" w:rsidR="00177166" w:rsidRPr="005D690C" w:rsidRDefault="00177166" w:rsidP="008F606E">
      <w:pPr>
        <w:pStyle w:val="ListParagraph"/>
        <w:numPr>
          <w:ilvl w:val="1"/>
          <w:numId w:val="92"/>
        </w:numPr>
        <w:autoSpaceDE w:val="0"/>
        <w:autoSpaceDN w:val="0"/>
        <w:adjustRightInd w:val="0"/>
        <w:spacing w:after="0" w:line="240" w:lineRule="auto"/>
        <w:ind w:left="851" w:hanging="851"/>
        <w:rPr>
          <w:rFonts w:ascii="Arial" w:eastAsia="Calibri" w:hAnsi="Arial" w:cs="Arial"/>
          <w:szCs w:val="24"/>
        </w:rPr>
      </w:pPr>
      <w:r w:rsidRPr="000E0D18">
        <w:rPr>
          <w:rFonts w:ascii="Arial" w:eastAsia="Calibri" w:hAnsi="Arial" w:cs="Arial"/>
          <w:szCs w:val="24"/>
        </w:rPr>
        <w:t xml:space="preserve">It is proposed that development is sited away from the Listed heritage asset which will be enhanced with greater visibility and interpretation, and new buffer planting will complement the existing green infrastructure at </w:t>
      </w:r>
      <w:proofErr w:type="spellStart"/>
      <w:r w:rsidRPr="000E0D18">
        <w:rPr>
          <w:rFonts w:ascii="Arial" w:eastAsia="Calibri" w:hAnsi="Arial" w:cs="Arial"/>
          <w:szCs w:val="24"/>
        </w:rPr>
        <w:t>Starth</w:t>
      </w:r>
      <w:proofErr w:type="spellEnd"/>
      <w:r w:rsidRPr="000E0D18">
        <w:rPr>
          <w:rFonts w:ascii="Arial" w:eastAsia="Calibri" w:hAnsi="Arial" w:cs="Arial"/>
          <w:szCs w:val="24"/>
        </w:rPr>
        <w:t xml:space="preserve"> Wood and create a green corridor. A concise masterplan </w:t>
      </w:r>
      <w:r w:rsidR="006E3B8B" w:rsidRPr="000E0D18">
        <w:rPr>
          <w:rFonts w:ascii="Arial" w:eastAsia="Calibri" w:hAnsi="Arial" w:cs="Arial"/>
          <w:color w:val="0070C0"/>
          <w:szCs w:val="24"/>
        </w:rPr>
        <w:t xml:space="preserve">has been prepared for the site </w:t>
      </w:r>
      <w:r w:rsidRPr="000E0D18">
        <w:rPr>
          <w:rFonts w:ascii="Arial" w:eastAsia="Calibri" w:hAnsi="Arial" w:cs="Arial"/>
          <w:strike/>
          <w:szCs w:val="24"/>
        </w:rPr>
        <w:t>will be available</w:t>
      </w:r>
      <w:r w:rsidRPr="000E0D18">
        <w:rPr>
          <w:rFonts w:ascii="Arial" w:eastAsia="Calibri" w:hAnsi="Arial" w:cs="Arial"/>
          <w:szCs w:val="24"/>
        </w:rPr>
        <w:t xml:space="preserve"> to identify essential requirements expected by the Council</w:t>
      </w:r>
      <w:r w:rsidR="006E3B8B" w:rsidRPr="000E0D18">
        <w:rPr>
          <w:rFonts w:ascii="Arial" w:eastAsia="Calibri" w:hAnsi="Arial" w:cs="Arial"/>
          <w:szCs w:val="24"/>
        </w:rPr>
        <w:t xml:space="preserve">.  </w:t>
      </w:r>
      <w:r w:rsidR="006E3B8B" w:rsidRPr="000E0D18">
        <w:rPr>
          <w:rFonts w:ascii="Arial" w:eastAsia="Calibri" w:hAnsi="Arial" w:cs="Arial"/>
          <w:color w:val="0070C0"/>
          <w:szCs w:val="24"/>
        </w:rPr>
        <w:t>The masterplan</w:t>
      </w:r>
      <w:r w:rsidRPr="000E0D18">
        <w:rPr>
          <w:rFonts w:ascii="Arial" w:eastAsia="Calibri" w:hAnsi="Arial" w:cs="Arial"/>
          <w:szCs w:val="24"/>
        </w:rPr>
        <w:t xml:space="preserve"> </w:t>
      </w:r>
      <w:r w:rsidRPr="000E0D18">
        <w:rPr>
          <w:rFonts w:ascii="Arial" w:eastAsia="Calibri" w:hAnsi="Arial" w:cs="Arial"/>
          <w:strike/>
          <w:szCs w:val="24"/>
        </w:rPr>
        <w:t>and</w:t>
      </w:r>
      <w:r w:rsidRPr="000E0D18">
        <w:rPr>
          <w:rFonts w:ascii="Arial" w:eastAsia="Calibri" w:hAnsi="Arial" w:cs="Arial"/>
          <w:szCs w:val="24"/>
        </w:rPr>
        <w:t xml:space="preserve"> provide</w:t>
      </w:r>
      <w:r w:rsidR="006E3B8B" w:rsidRPr="000E0D18">
        <w:rPr>
          <w:rFonts w:ascii="Arial" w:eastAsia="Calibri" w:hAnsi="Arial" w:cs="Arial"/>
          <w:color w:val="0070C0"/>
          <w:szCs w:val="24"/>
        </w:rPr>
        <w:t>s</w:t>
      </w:r>
      <w:r w:rsidRPr="000E0D18">
        <w:rPr>
          <w:rFonts w:ascii="Arial" w:eastAsia="Calibri" w:hAnsi="Arial" w:cs="Arial"/>
          <w:color w:val="0070C0"/>
          <w:szCs w:val="24"/>
        </w:rPr>
        <w:t xml:space="preserve"> </w:t>
      </w:r>
      <w:r w:rsidRPr="000E0D18">
        <w:rPr>
          <w:rFonts w:ascii="Arial" w:eastAsia="Calibri" w:hAnsi="Arial" w:cs="Arial"/>
          <w:szCs w:val="24"/>
        </w:rPr>
        <w:t>more detailed advice and guidance specific to the site</w:t>
      </w:r>
      <w:r w:rsidR="0085595A" w:rsidRPr="000E0D18">
        <w:rPr>
          <w:rFonts w:ascii="Arial" w:eastAsia="Calibri" w:hAnsi="Arial" w:cs="Arial"/>
          <w:szCs w:val="24"/>
        </w:rPr>
        <w:t xml:space="preserve">.  </w:t>
      </w:r>
      <w:r w:rsidR="0085595A" w:rsidRPr="000E0D18">
        <w:rPr>
          <w:rFonts w:ascii="Arial" w:eastAsia="Calibri" w:hAnsi="Arial" w:cs="Arial"/>
          <w:color w:val="0070C0"/>
          <w:szCs w:val="24"/>
        </w:rPr>
        <w:t>Details are provided in A</w:t>
      </w:r>
      <w:r w:rsidR="006E3B8B" w:rsidRPr="000E0D18">
        <w:rPr>
          <w:rFonts w:ascii="Arial" w:eastAsia="Calibri" w:hAnsi="Arial" w:cs="Arial"/>
          <w:color w:val="0070C0"/>
          <w:szCs w:val="24"/>
        </w:rPr>
        <w:t>ppendix 11</w:t>
      </w:r>
      <w:r w:rsidRPr="000E0D18">
        <w:rPr>
          <w:rFonts w:ascii="Arial" w:eastAsia="Calibri" w:hAnsi="Arial" w:cs="Arial"/>
          <w:szCs w:val="24"/>
        </w:rPr>
        <w:t>.</w:t>
      </w:r>
      <w:r w:rsidR="0091688C" w:rsidRPr="000E0D18">
        <w:rPr>
          <w:rFonts w:cs="Arial"/>
          <w:color w:val="0070C0"/>
          <w:sz w:val="22"/>
          <w:lang w:eastAsia="en-GB"/>
        </w:rPr>
        <w:t xml:space="preserve"> </w:t>
      </w:r>
    </w:p>
    <w:p w14:paraId="7D293482" w14:textId="77777777" w:rsidR="005D690C" w:rsidRPr="005D690C" w:rsidRDefault="005D690C" w:rsidP="005D690C">
      <w:pPr>
        <w:autoSpaceDE w:val="0"/>
        <w:autoSpaceDN w:val="0"/>
        <w:adjustRightInd w:val="0"/>
        <w:rPr>
          <w:rFonts w:eastAsia="Calibri" w:cs="Arial"/>
          <w:szCs w:val="24"/>
        </w:rPr>
      </w:pPr>
    </w:p>
    <w:p w14:paraId="421A1598" w14:textId="22523A76" w:rsidR="00715560" w:rsidRPr="00694FCA" w:rsidRDefault="00694FCA" w:rsidP="00874A98">
      <w:pPr>
        <w:pStyle w:val="ListParagraph"/>
        <w:numPr>
          <w:ilvl w:val="1"/>
          <w:numId w:val="92"/>
        </w:numPr>
        <w:autoSpaceDE w:val="0"/>
        <w:autoSpaceDN w:val="0"/>
        <w:adjustRightInd w:val="0"/>
        <w:spacing w:after="0" w:line="240" w:lineRule="auto"/>
        <w:ind w:left="851" w:hanging="851"/>
        <w:rPr>
          <w:rStyle w:val="Normal1"/>
          <w:color w:val="auto"/>
        </w:rPr>
      </w:pPr>
      <w:bookmarkStart w:id="209" w:name="_Hlk141354405"/>
      <w:bookmarkEnd w:id="208"/>
      <w:r>
        <w:rPr>
          <w:rStyle w:val="Normal1"/>
          <w:rFonts w:cs="Arial"/>
          <w:b/>
          <w:bCs/>
          <w:iCs/>
          <w:color w:val="auto"/>
          <w:szCs w:val="24"/>
        </w:rPr>
        <w:t>S</w:t>
      </w:r>
      <w:r w:rsidRPr="00694FCA">
        <w:rPr>
          <w:rStyle w:val="Normal1"/>
          <w:rFonts w:cs="Arial"/>
          <w:b/>
          <w:bCs/>
          <w:iCs/>
          <w:color w:val="auto"/>
          <w:szCs w:val="24"/>
        </w:rPr>
        <w:t>ites H1He to H1Hn</w:t>
      </w:r>
      <w:r>
        <w:rPr>
          <w:rStyle w:val="Normal1"/>
          <w:rFonts w:cs="Arial"/>
          <w:b/>
          <w:bCs/>
          <w:iCs/>
          <w:color w:val="auto"/>
          <w:szCs w:val="24"/>
        </w:rPr>
        <w:t xml:space="preserve"> (inclusive)</w:t>
      </w:r>
      <w:r w:rsidR="000C07E6">
        <w:rPr>
          <w:rStyle w:val="Normal1"/>
          <w:rFonts w:cs="Arial"/>
          <w:iCs/>
          <w:color w:val="auto"/>
          <w:szCs w:val="24"/>
        </w:rPr>
        <w:t xml:space="preserve">. </w:t>
      </w:r>
      <w:r w:rsidR="00801826" w:rsidRPr="00694FCA">
        <w:rPr>
          <w:rStyle w:val="Normal1"/>
          <w:rFonts w:cs="Arial"/>
          <w:iCs/>
          <w:color w:val="auto"/>
          <w:szCs w:val="24"/>
        </w:rPr>
        <w:t>The remaining Hucknall area housing allocations</w:t>
      </w:r>
      <w:bookmarkEnd w:id="209"/>
      <w:r>
        <w:rPr>
          <w:rStyle w:val="Normal1"/>
          <w:rFonts w:cs="Arial"/>
          <w:b/>
          <w:bCs/>
          <w:iCs/>
          <w:color w:val="auto"/>
          <w:szCs w:val="24"/>
        </w:rPr>
        <w:t xml:space="preserve"> </w:t>
      </w:r>
      <w:r w:rsidR="00715560" w:rsidRPr="00694FCA">
        <w:rPr>
          <w:rStyle w:val="Normal1"/>
          <w:rFonts w:cs="Arial"/>
          <w:iCs/>
          <w:color w:val="auto"/>
          <w:szCs w:val="24"/>
        </w:rPr>
        <w:t xml:space="preserve">all have the benefit of planning permission at the time of writing. Further details on these sites can be found in the Housing Trajectory in Appendix 2 which gives information on the type of permission, </w:t>
      </w:r>
      <w:r w:rsidR="003815D0" w:rsidRPr="00694FCA">
        <w:rPr>
          <w:rStyle w:val="Normal1"/>
          <w:rFonts w:cs="Arial"/>
          <w:iCs/>
          <w:color w:val="auto"/>
          <w:szCs w:val="24"/>
        </w:rPr>
        <w:t xml:space="preserve">planning </w:t>
      </w:r>
      <w:r w:rsidR="00715560" w:rsidRPr="00694FCA">
        <w:rPr>
          <w:rStyle w:val="Normal1"/>
          <w:rFonts w:cs="Arial"/>
          <w:iCs/>
          <w:color w:val="auto"/>
          <w:szCs w:val="24"/>
        </w:rPr>
        <w:t xml:space="preserve">application reference and estimated delivery timescales. </w:t>
      </w:r>
    </w:p>
    <w:p w14:paraId="70F27C86" w14:textId="77777777" w:rsidR="003F17DD" w:rsidRPr="00694FCA" w:rsidRDefault="003F17DD" w:rsidP="003F17DD">
      <w:pPr>
        <w:pStyle w:val="ListParagraph"/>
        <w:rPr>
          <w:rStyle w:val="Normal1"/>
          <w:color w:val="auto"/>
        </w:rPr>
      </w:pPr>
    </w:p>
    <w:p w14:paraId="19D73AAB" w14:textId="426E5148" w:rsidR="003F17DD" w:rsidRPr="00ED59A2" w:rsidRDefault="003F17DD" w:rsidP="00874A98">
      <w:pPr>
        <w:pStyle w:val="ListParagraph"/>
        <w:numPr>
          <w:ilvl w:val="1"/>
          <w:numId w:val="92"/>
        </w:numPr>
        <w:autoSpaceDE w:val="0"/>
        <w:autoSpaceDN w:val="0"/>
        <w:adjustRightInd w:val="0"/>
        <w:spacing w:after="0" w:line="240" w:lineRule="auto"/>
        <w:ind w:left="851" w:hanging="851"/>
        <w:rPr>
          <w:rStyle w:val="Normal1"/>
          <w:strike/>
          <w:color w:val="auto"/>
        </w:rPr>
      </w:pPr>
      <w:r w:rsidRPr="00A5470B">
        <w:rPr>
          <w:rStyle w:val="Normal1"/>
          <w:b/>
          <w:bCs/>
          <w:color w:val="auto"/>
        </w:rPr>
        <w:lastRenderedPageBreak/>
        <w:t>Site H1Ca</w:t>
      </w:r>
      <w:r w:rsidRPr="00A5470B">
        <w:rPr>
          <w:rStyle w:val="Normal1"/>
          <w:color w:val="auto"/>
        </w:rPr>
        <w:t xml:space="preserve"> has planning permission for</w:t>
      </w:r>
      <w:r w:rsidR="00A5470B" w:rsidRPr="00A5470B">
        <w:rPr>
          <w:rStyle w:val="Normal1"/>
          <w:color w:val="auto"/>
        </w:rPr>
        <w:t xml:space="preserve"> </w:t>
      </w:r>
      <w:r w:rsidR="00A5470B" w:rsidRPr="00A5470B">
        <w:rPr>
          <w:rStyle w:val="Normal1"/>
          <w:color w:val="0070C0"/>
        </w:rPr>
        <w:t>73 retirement apartments and is currently under construction.</w:t>
      </w:r>
      <w:r w:rsidRPr="00A5470B">
        <w:rPr>
          <w:rStyle w:val="Normal1"/>
          <w:color w:val="0070C0"/>
        </w:rPr>
        <w:t xml:space="preserve"> </w:t>
      </w:r>
      <w:r w:rsidRPr="00ED59A2">
        <w:rPr>
          <w:rStyle w:val="Normal1"/>
          <w:strike/>
          <w:color w:val="auto"/>
        </w:rPr>
        <w:t xml:space="preserve">a </w:t>
      </w:r>
      <w:proofErr w:type="gramStart"/>
      <w:r w:rsidRPr="00ED59A2">
        <w:rPr>
          <w:rStyle w:val="Normal1"/>
          <w:strike/>
          <w:color w:val="auto"/>
        </w:rPr>
        <w:t>73 bedroom</w:t>
      </w:r>
      <w:proofErr w:type="gramEnd"/>
      <w:r w:rsidRPr="00ED59A2">
        <w:rPr>
          <w:rStyle w:val="Normal1"/>
          <w:strike/>
          <w:color w:val="auto"/>
        </w:rPr>
        <w:t xml:space="preserve"> care home (C2 class).  </w:t>
      </w:r>
      <w:r w:rsidR="0052141C" w:rsidRPr="00ED59A2">
        <w:rPr>
          <w:rStyle w:val="Normal1"/>
          <w:strike/>
          <w:color w:val="auto"/>
        </w:rPr>
        <w:t>P</w:t>
      </w:r>
      <w:r w:rsidR="000F44BC" w:rsidRPr="00ED59A2">
        <w:rPr>
          <w:rStyle w:val="Normal1"/>
          <w:strike/>
          <w:color w:val="auto"/>
        </w:rPr>
        <w:t>lanning practice</w:t>
      </w:r>
      <w:r w:rsidR="0052141C" w:rsidRPr="00ED59A2">
        <w:rPr>
          <w:rStyle w:val="Normal1"/>
          <w:strike/>
          <w:color w:val="auto"/>
        </w:rPr>
        <w:t xml:space="preserve"> guidance</w:t>
      </w:r>
      <w:r w:rsidR="0052141C" w:rsidRPr="00ED59A2">
        <w:rPr>
          <w:rStyle w:val="FootnoteReference"/>
          <w:rFonts w:ascii="Arial" w:eastAsia="Arial" w:hAnsi="Arial"/>
          <w:strike/>
          <w:color w:val="auto"/>
        </w:rPr>
        <w:footnoteReference w:id="89"/>
      </w:r>
      <w:r w:rsidR="0052141C" w:rsidRPr="00ED59A2">
        <w:rPr>
          <w:rStyle w:val="Normal1"/>
          <w:strike/>
          <w:color w:val="auto"/>
        </w:rPr>
        <w:t xml:space="preserve"> is clear that residential institutions in Use Class C2 should count towards overall housing land supply.</w:t>
      </w:r>
      <w:r w:rsidR="00AC122B" w:rsidRPr="00ED59A2">
        <w:rPr>
          <w:rStyle w:val="Normal1"/>
          <w:strike/>
          <w:color w:val="auto"/>
        </w:rPr>
        <w:t xml:space="preserve"> In determining the dwelling equivalent for the purposes of the housing trajectory in Appendix 2, and the overall supply in Table </w:t>
      </w:r>
      <w:r w:rsidR="0056594F" w:rsidRPr="00ED59A2">
        <w:rPr>
          <w:rStyle w:val="Normal1"/>
          <w:strike/>
          <w:color w:val="auto"/>
        </w:rPr>
        <w:t>2</w:t>
      </w:r>
      <w:r w:rsidR="00AC122B" w:rsidRPr="00ED59A2">
        <w:rPr>
          <w:rStyle w:val="Normal1"/>
          <w:strike/>
          <w:color w:val="auto"/>
        </w:rPr>
        <w:t xml:space="preserve">, a ratio of 1 dwelling for every 1.8 bedrooms has been applied as set out in the </w:t>
      </w:r>
      <w:hyperlink r:id="rId52" w:history="1">
        <w:r w:rsidR="00AC122B" w:rsidRPr="00ED59A2">
          <w:rPr>
            <w:rStyle w:val="Hyperlink"/>
            <w:rFonts w:ascii="Arial" w:eastAsia="Arial" w:hAnsi="Arial"/>
            <w:strike/>
            <w:color w:val="auto"/>
          </w:rPr>
          <w:t>Housing Delivery Test Rule Book</w:t>
        </w:r>
      </w:hyperlink>
      <w:r w:rsidR="00AC122B" w:rsidRPr="00ED59A2">
        <w:rPr>
          <w:rStyle w:val="Normal1"/>
          <w:strike/>
          <w:color w:val="auto"/>
        </w:rPr>
        <w:t xml:space="preserve">. </w:t>
      </w:r>
    </w:p>
    <w:p w14:paraId="7279BD3D" w14:textId="77777777" w:rsidR="0039426E" w:rsidRDefault="0039426E" w:rsidP="00A47CB1">
      <w:pPr>
        <w:autoSpaceDE w:val="0"/>
        <w:autoSpaceDN w:val="0"/>
        <w:adjustRightInd w:val="0"/>
        <w:rPr>
          <w:rStyle w:val="Normal1"/>
          <w:b/>
          <w:bCs/>
          <w:iCs/>
          <w:color w:val="auto"/>
          <w:u w:val="single"/>
        </w:rPr>
      </w:pPr>
    </w:p>
    <w:p w14:paraId="1665EE28" w14:textId="4108322D" w:rsidR="00715560" w:rsidRPr="00694FCA" w:rsidRDefault="00715560" w:rsidP="00A47CB1">
      <w:pPr>
        <w:autoSpaceDE w:val="0"/>
        <w:autoSpaceDN w:val="0"/>
        <w:adjustRightInd w:val="0"/>
        <w:rPr>
          <w:rStyle w:val="Normal1"/>
          <w:b/>
          <w:bCs/>
          <w:color w:val="auto"/>
          <w:u w:val="single"/>
        </w:rPr>
      </w:pPr>
      <w:r w:rsidRPr="00276170">
        <w:rPr>
          <w:rStyle w:val="Normal1"/>
          <w:b/>
          <w:bCs/>
          <w:iCs/>
          <w:color w:val="auto"/>
          <w:u w:val="single"/>
        </w:rPr>
        <w:t xml:space="preserve">Housing Allocations </w:t>
      </w:r>
      <w:r w:rsidRPr="00694FCA">
        <w:rPr>
          <w:rStyle w:val="Normal1"/>
          <w:b/>
          <w:bCs/>
          <w:iCs/>
          <w:color w:val="auto"/>
          <w:u w:val="single"/>
        </w:rPr>
        <w:t>in the Kirkby Area</w:t>
      </w:r>
      <w:bookmarkEnd w:id="200"/>
    </w:p>
    <w:p w14:paraId="5F6E254F" w14:textId="77777777" w:rsidR="00715560" w:rsidRDefault="00715560" w:rsidP="00A47CB1">
      <w:pPr>
        <w:pStyle w:val="ListParagraph"/>
        <w:autoSpaceDE w:val="0"/>
        <w:autoSpaceDN w:val="0"/>
        <w:adjustRightInd w:val="0"/>
        <w:spacing w:after="0" w:line="240" w:lineRule="auto"/>
        <w:ind w:left="851"/>
        <w:rPr>
          <w:rStyle w:val="Normal1"/>
          <w:iCs/>
          <w:color w:val="auto"/>
        </w:rPr>
      </w:pPr>
    </w:p>
    <w:tbl>
      <w:tblPr>
        <w:tblStyle w:val="ReportTable1"/>
        <w:tblW w:w="9634" w:type="dxa"/>
        <w:tblLook w:val="04A0" w:firstRow="1" w:lastRow="0" w:firstColumn="1" w:lastColumn="0" w:noHBand="0" w:noVBand="1"/>
      </w:tblPr>
      <w:tblGrid>
        <w:gridCol w:w="2635"/>
        <w:gridCol w:w="6999"/>
      </w:tblGrid>
      <w:tr w:rsidR="0039426E" w:rsidRPr="00E23F03" w14:paraId="7CC55D4B" w14:textId="77777777" w:rsidTr="00476E4D">
        <w:tc>
          <w:tcPr>
            <w:tcW w:w="9634" w:type="dxa"/>
            <w:gridSpan w:val="2"/>
          </w:tcPr>
          <w:p w14:paraId="61650D8A" w14:textId="77777777" w:rsidR="0039426E" w:rsidRPr="000124CA" w:rsidRDefault="0039426E">
            <w:pPr>
              <w:pStyle w:val="Heading"/>
              <w:spacing w:before="120" w:after="120"/>
              <w:rPr>
                <w:rStyle w:val="Heading10"/>
                <w:rFonts w:cs="Arial"/>
                <w:b/>
                <w:bCs/>
                <w:color w:val="0070C0"/>
                <w:szCs w:val="24"/>
              </w:rPr>
            </w:pPr>
            <w:r w:rsidRPr="000124CA">
              <w:rPr>
                <w:rStyle w:val="Heading10"/>
                <w:rFonts w:cs="Arial"/>
                <w:b/>
                <w:bCs/>
                <w:color w:val="0070C0"/>
                <w:szCs w:val="24"/>
              </w:rPr>
              <w:t xml:space="preserve">Policy H1Ka: Beacon Farm, Derby Road, Kirkby </w:t>
            </w:r>
            <w:proofErr w:type="gramStart"/>
            <w:r w:rsidRPr="000124CA">
              <w:rPr>
                <w:rStyle w:val="Heading10"/>
                <w:rFonts w:cs="Arial"/>
                <w:b/>
                <w:bCs/>
                <w:color w:val="0070C0"/>
                <w:szCs w:val="24"/>
              </w:rPr>
              <w:t>In</w:t>
            </w:r>
            <w:proofErr w:type="gramEnd"/>
            <w:r w:rsidRPr="000124CA">
              <w:rPr>
                <w:rStyle w:val="Heading10"/>
                <w:rFonts w:cs="Arial"/>
                <w:b/>
                <w:bCs/>
                <w:color w:val="0070C0"/>
                <w:szCs w:val="24"/>
              </w:rPr>
              <w:t xml:space="preserve"> Ashfield</w:t>
            </w:r>
          </w:p>
        </w:tc>
      </w:tr>
      <w:tr w:rsidR="0039426E" w:rsidRPr="00E23F03" w14:paraId="78B3751B" w14:textId="77777777" w:rsidTr="00476E4D">
        <w:tc>
          <w:tcPr>
            <w:tcW w:w="2635" w:type="dxa"/>
          </w:tcPr>
          <w:p w14:paraId="3A98F13F" w14:textId="77777777" w:rsidR="0039426E" w:rsidRPr="00E23F03" w:rsidRDefault="0039426E">
            <w:pPr>
              <w:pStyle w:val="Heading"/>
              <w:spacing w:before="40" w:after="40"/>
              <w:rPr>
                <w:rStyle w:val="Heading10"/>
                <w:rFonts w:cs="Arial"/>
                <w:b/>
                <w:color w:val="0070C0"/>
                <w:szCs w:val="24"/>
              </w:rPr>
            </w:pPr>
            <w:r w:rsidRPr="00E23F03">
              <w:rPr>
                <w:rStyle w:val="Heading10"/>
                <w:rFonts w:cs="Arial"/>
                <w:color w:val="0070C0"/>
                <w:szCs w:val="24"/>
              </w:rPr>
              <w:t>Strategic Objectives</w:t>
            </w:r>
          </w:p>
        </w:tc>
        <w:tc>
          <w:tcPr>
            <w:tcW w:w="6999" w:type="dxa"/>
          </w:tcPr>
          <w:p w14:paraId="186BC00D" w14:textId="77777777" w:rsidR="0039426E" w:rsidRPr="00E23F03" w:rsidRDefault="0039426E">
            <w:pPr>
              <w:pStyle w:val="Heading"/>
              <w:spacing w:before="40" w:after="40"/>
              <w:rPr>
                <w:rStyle w:val="Heading10"/>
                <w:rFonts w:cs="Arial"/>
                <w:b/>
                <w:color w:val="0070C0"/>
                <w:szCs w:val="24"/>
              </w:rPr>
            </w:pPr>
            <w:r w:rsidRPr="00E23F03">
              <w:rPr>
                <w:rStyle w:val="Heading10"/>
                <w:rFonts w:cs="Arial"/>
                <w:color w:val="0070C0"/>
                <w:szCs w:val="24"/>
              </w:rPr>
              <w:t>SO3, SO5, SO11, SO12, SO13</w:t>
            </w:r>
          </w:p>
        </w:tc>
      </w:tr>
      <w:tr w:rsidR="0039426E" w:rsidRPr="00E23F03" w14:paraId="551F746B" w14:textId="77777777" w:rsidTr="00476E4D">
        <w:trPr>
          <w:trHeight w:val="1190"/>
        </w:trPr>
        <w:tc>
          <w:tcPr>
            <w:tcW w:w="9634" w:type="dxa"/>
            <w:gridSpan w:val="2"/>
            <w:shd w:val="clear" w:color="auto" w:fill="FFCC99"/>
          </w:tcPr>
          <w:p w14:paraId="17A08A77" w14:textId="77777777" w:rsidR="0039426E" w:rsidRPr="005F5AF9" w:rsidRDefault="0039426E">
            <w:pPr>
              <w:pStyle w:val="Policy"/>
              <w:tabs>
                <w:tab w:val="clear" w:pos="680"/>
                <w:tab w:val="left" w:pos="306"/>
              </w:tabs>
              <w:spacing w:after="0" w:line="240" w:lineRule="auto"/>
              <w:ind w:left="306" w:right="284"/>
              <w:rPr>
                <w:rStyle w:val="Heading10"/>
                <w:rFonts w:cs="Arial"/>
                <w:color w:val="005CA9"/>
                <w:szCs w:val="24"/>
              </w:rPr>
            </w:pPr>
          </w:p>
          <w:p w14:paraId="04ECC23D" w14:textId="77777777" w:rsidR="0039426E" w:rsidRPr="005F5AF9" w:rsidRDefault="0039426E">
            <w:pPr>
              <w:pStyle w:val="Policy"/>
              <w:tabs>
                <w:tab w:val="clear" w:pos="680"/>
                <w:tab w:val="left" w:pos="306"/>
              </w:tabs>
              <w:spacing w:after="0" w:line="240" w:lineRule="auto"/>
              <w:ind w:left="306" w:right="284"/>
              <w:rPr>
                <w:bCs/>
                <w:color w:val="005CA9"/>
              </w:rPr>
            </w:pPr>
            <w:r w:rsidRPr="005F5AF9">
              <w:rPr>
                <w:bCs/>
                <w:color w:val="005CA9"/>
                <w:sz w:val="24"/>
                <w:szCs w:val="24"/>
              </w:rPr>
              <w:t>Residential development to deliver approximately 41 dwellings will be permitted on site H1Ka as shown on the Policies Map, subject to detailed planning consent. Any future development proposal will need to include the following specific requirements, in addition to satisfying other relevant Local Plan policies as applicable:</w:t>
            </w:r>
            <w:r w:rsidRPr="005F5AF9">
              <w:rPr>
                <w:bCs/>
                <w:color w:val="005CA9"/>
              </w:rPr>
              <w:t xml:space="preserve"> </w:t>
            </w:r>
          </w:p>
          <w:p w14:paraId="09E44AD2" w14:textId="77777777" w:rsidR="0039426E" w:rsidRPr="005F5AF9" w:rsidRDefault="0039426E">
            <w:pPr>
              <w:pStyle w:val="ListParagraph"/>
              <w:rPr>
                <w:rStyle w:val="Heading10"/>
                <w:b w:val="0"/>
                <w:bCs/>
                <w:color w:val="005CA9"/>
                <w:sz w:val="16"/>
                <w:szCs w:val="16"/>
              </w:rPr>
            </w:pPr>
          </w:p>
          <w:p w14:paraId="161717A9" w14:textId="77777777" w:rsidR="0039426E" w:rsidRPr="005F5AF9" w:rsidRDefault="0039426E" w:rsidP="00B2285E">
            <w:pPr>
              <w:pStyle w:val="Policy"/>
              <w:numPr>
                <w:ilvl w:val="0"/>
                <w:numId w:val="348"/>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A landscape buffer to be implemented to the north and east of the site to mitigate harm to the Green Belt; and</w:t>
            </w:r>
          </w:p>
          <w:p w14:paraId="0EF358CF" w14:textId="77777777" w:rsidR="0039426E" w:rsidRPr="005F5AF9" w:rsidRDefault="0039426E">
            <w:pPr>
              <w:pStyle w:val="Policy"/>
              <w:tabs>
                <w:tab w:val="clear" w:pos="680"/>
              </w:tabs>
              <w:spacing w:after="0" w:line="240" w:lineRule="auto"/>
              <w:ind w:left="666" w:right="284"/>
              <w:rPr>
                <w:rStyle w:val="Normal1"/>
                <w:rFonts w:cs="Arial"/>
                <w:bCs/>
                <w:color w:val="005CA9"/>
                <w:szCs w:val="24"/>
              </w:rPr>
            </w:pPr>
          </w:p>
          <w:p w14:paraId="28A2A955" w14:textId="77777777" w:rsidR="0039426E" w:rsidRPr="005F5AF9" w:rsidRDefault="0039426E" w:rsidP="00B2285E">
            <w:pPr>
              <w:pStyle w:val="Policy"/>
              <w:numPr>
                <w:ilvl w:val="0"/>
                <w:numId w:val="348"/>
              </w:numPr>
              <w:tabs>
                <w:tab w:val="clear" w:pos="680"/>
              </w:tabs>
              <w:spacing w:after="0" w:line="240" w:lineRule="auto"/>
              <w:ind w:right="284"/>
              <w:rPr>
                <w:rStyle w:val="Heading10"/>
                <w:rFonts w:cs="Arial"/>
                <w:b w:val="0"/>
                <w:bCs/>
                <w:color w:val="005CA9"/>
                <w:szCs w:val="24"/>
              </w:rPr>
            </w:pPr>
            <w:r w:rsidRPr="005F5AF9">
              <w:rPr>
                <w:rStyle w:val="Normal1"/>
                <w:iCs/>
                <w:color w:val="005CA9"/>
              </w:rPr>
              <w:t>Improvements to the A611 in the form of road widening to provide a signalised dedicated right turn lane into the site.</w:t>
            </w:r>
          </w:p>
          <w:p w14:paraId="0346FB33" w14:textId="77777777" w:rsidR="0039426E" w:rsidRPr="005F5AF9" w:rsidRDefault="0039426E">
            <w:pPr>
              <w:pStyle w:val="Policy"/>
              <w:tabs>
                <w:tab w:val="clear" w:pos="680"/>
              </w:tabs>
              <w:spacing w:after="0" w:line="240" w:lineRule="auto"/>
              <w:ind w:left="0" w:right="284"/>
              <w:rPr>
                <w:rStyle w:val="Heading10"/>
                <w:rFonts w:cs="Arial"/>
                <w:color w:val="005CA9"/>
                <w:szCs w:val="24"/>
              </w:rPr>
            </w:pPr>
          </w:p>
        </w:tc>
      </w:tr>
    </w:tbl>
    <w:p w14:paraId="0225726F" w14:textId="552757ED" w:rsidR="003736C4" w:rsidRPr="003736C4" w:rsidRDefault="003736C4" w:rsidP="00A47CB1">
      <w:pPr>
        <w:pStyle w:val="ListParagraph"/>
        <w:autoSpaceDE w:val="0"/>
        <w:autoSpaceDN w:val="0"/>
        <w:adjustRightInd w:val="0"/>
        <w:spacing w:after="0" w:line="240" w:lineRule="auto"/>
        <w:ind w:left="851"/>
        <w:rPr>
          <w:rStyle w:val="Normal1"/>
          <w:b/>
          <w:bCs/>
          <w:iCs/>
          <w:color w:val="FF0000"/>
        </w:rPr>
      </w:pPr>
    </w:p>
    <w:p w14:paraId="7722D85D" w14:textId="77777777" w:rsidR="003736C4" w:rsidRPr="00694FCA" w:rsidRDefault="003736C4" w:rsidP="00A47CB1">
      <w:pPr>
        <w:pStyle w:val="ListParagraph"/>
        <w:autoSpaceDE w:val="0"/>
        <w:autoSpaceDN w:val="0"/>
        <w:adjustRightInd w:val="0"/>
        <w:spacing w:after="0" w:line="240" w:lineRule="auto"/>
        <w:ind w:left="851"/>
        <w:rPr>
          <w:rStyle w:val="Normal1"/>
          <w:iCs/>
          <w:color w:val="auto"/>
        </w:rPr>
      </w:pPr>
    </w:p>
    <w:p w14:paraId="1F9A2B0E" w14:textId="0B01F3F6" w:rsidR="00715560" w:rsidRPr="00694FCA" w:rsidRDefault="00715560" w:rsidP="00874A98">
      <w:pPr>
        <w:pStyle w:val="ListParagraph"/>
        <w:numPr>
          <w:ilvl w:val="1"/>
          <w:numId w:val="92"/>
        </w:numPr>
        <w:autoSpaceDE w:val="0"/>
        <w:autoSpaceDN w:val="0"/>
        <w:adjustRightInd w:val="0"/>
        <w:spacing w:after="0" w:line="240" w:lineRule="auto"/>
        <w:ind w:left="851" w:hanging="851"/>
        <w:rPr>
          <w:rStyle w:val="Normal1"/>
          <w:iCs/>
          <w:color w:val="auto"/>
        </w:rPr>
      </w:pPr>
      <w:r w:rsidRPr="00694FCA">
        <w:rPr>
          <w:rStyle w:val="Normal1"/>
          <w:b/>
          <w:bCs/>
          <w:iCs/>
          <w:color w:val="auto"/>
        </w:rPr>
        <w:t>H1Ka: Beacon Farm, Derby Road, Kirkby-In Ashfield</w:t>
      </w:r>
      <w:r w:rsidRPr="00694FCA">
        <w:rPr>
          <w:rStyle w:val="Normal1"/>
          <w:iCs/>
          <w:color w:val="auto"/>
        </w:rPr>
        <w:t xml:space="preserve">.  </w:t>
      </w:r>
      <w:r w:rsidR="00A47B05" w:rsidRPr="00A47B05">
        <w:rPr>
          <w:rStyle w:val="Normal1"/>
          <w:iCs/>
          <w:color w:val="0070C0"/>
        </w:rPr>
        <w:t xml:space="preserve">The Council considered that there were exceptional circumstances to release this site from the Green Belt to meet housing needs in accordance with the spatial strategy as set out at Policy S1. </w:t>
      </w:r>
      <w:r w:rsidRPr="00694FCA">
        <w:rPr>
          <w:rStyle w:val="Normal1"/>
          <w:iCs/>
          <w:color w:val="auto"/>
        </w:rPr>
        <w:t>This greenfield/</w:t>
      </w:r>
      <w:r w:rsidR="000A56D7" w:rsidRPr="00694FCA">
        <w:rPr>
          <w:rStyle w:val="Normal1"/>
          <w:iCs/>
          <w:color w:val="auto"/>
        </w:rPr>
        <w:t xml:space="preserve"> </w:t>
      </w:r>
      <w:r w:rsidRPr="00694FCA">
        <w:rPr>
          <w:rStyle w:val="Normal1"/>
          <w:iCs/>
          <w:color w:val="auto"/>
        </w:rPr>
        <w:t>brownfield site</w:t>
      </w:r>
      <w:r w:rsidR="000A56D7" w:rsidRPr="00694FCA">
        <w:rPr>
          <w:rStyle w:val="Normal1"/>
          <w:iCs/>
          <w:color w:val="auto"/>
        </w:rPr>
        <w:t xml:space="preserve"> has been assessed as available, potentially suitable and potentially achievable in the SHELAA (ref. KA002). It</w:t>
      </w:r>
      <w:r w:rsidRPr="00694FCA">
        <w:rPr>
          <w:rStyle w:val="Normal1"/>
          <w:iCs/>
          <w:color w:val="auto"/>
        </w:rPr>
        <w:t xml:space="preserve"> is </w:t>
      </w:r>
      <w:r w:rsidRPr="00694FCA">
        <w:rPr>
          <w:rStyle w:val="Normal1"/>
          <w:rFonts w:cs="Arial"/>
          <w:iCs/>
          <w:color w:val="auto"/>
          <w:szCs w:val="24"/>
        </w:rPr>
        <w:t xml:space="preserve">located adjacent to the existing urban area </w:t>
      </w:r>
      <w:r w:rsidRPr="004E0CDE">
        <w:rPr>
          <w:rStyle w:val="Normal1"/>
          <w:rFonts w:cs="Arial"/>
          <w:iCs/>
          <w:strike/>
          <w:color w:val="auto"/>
          <w:szCs w:val="24"/>
        </w:rPr>
        <w:t>on land previously designated as Green Belt</w:t>
      </w:r>
      <w:r w:rsidR="000A56D7" w:rsidRPr="00694FCA">
        <w:rPr>
          <w:rStyle w:val="Normal1"/>
          <w:rFonts w:cs="Arial"/>
          <w:iCs/>
          <w:color w:val="auto"/>
          <w:szCs w:val="24"/>
        </w:rPr>
        <w:t xml:space="preserve"> and</w:t>
      </w:r>
      <w:r w:rsidRPr="00694FCA">
        <w:rPr>
          <w:rStyle w:val="Normal1"/>
          <w:rFonts w:cs="Arial"/>
          <w:iCs/>
          <w:color w:val="auto"/>
          <w:szCs w:val="24"/>
        </w:rPr>
        <w:t xml:space="preserve"> is currently occupied by a single dwelling and several redundant poultry farm buildings, alongside</w:t>
      </w:r>
      <w:r w:rsidRPr="00694FCA">
        <w:rPr>
          <w:rStyle w:val="Normal1"/>
          <w:rFonts w:cs="Arial"/>
          <w:color w:val="auto"/>
          <w:szCs w:val="24"/>
        </w:rPr>
        <w:t xml:space="preserve"> a large, grassed area and remnants of a hard standing to the south of the site. The site is well contained by mature trees and hedgerows to the north (beyond which is the narrow one-way Balls Lane) and west (beyond which is existing residential development), with Derby Road (A611) forming the eastern boundary. The southern boundary abuts existing residential development.</w:t>
      </w:r>
    </w:p>
    <w:p w14:paraId="55EADE25" w14:textId="77777777" w:rsidR="000A56D7" w:rsidRPr="00694FCA" w:rsidRDefault="000A56D7" w:rsidP="000A56D7">
      <w:pPr>
        <w:pStyle w:val="ListParagraph"/>
        <w:autoSpaceDE w:val="0"/>
        <w:autoSpaceDN w:val="0"/>
        <w:adjustRightInd w:val="0"/>
        <w:spacing w:after="0" w:line="240" w:lineRule="auto"/>
        <w:ind w:left="851"/>
        <w:rPr>
          <w:rStyle w:val="Normal1"/>
          <w:rFonts w:cs="Arial"/>
          <w:color w:val="auto"/>
          <w:szCs w:val="24"/>
        </w:rPr>
      </w:pPr>
    </w:p>
    <w:p w14:paraId="11E76760" w14:textId="77777777" w:rsidR="000A56D7" w:rsidRPr="00694FCA" w:rsidRDefault="00715560" w:rsidP="00874A98">
      <w:pPr>
        <w:pStyle w:val="ListParagraph"/>
        <w:numPr>
          <w:ilvl w:val="1"/>
          <w:numId w:val="92"/>
        </w:numPr>
        <w:autoSpaceDE w:val="0"/>
        <w:autoSpaceDN w:val="0"/>
        <w:adjustRightInd w:val="0"/>
        <w:spacing w:after="0" w:line="240" w:lineRule="auto"/>
        <w:ind w:left="851" w:hanging="851"/>
        <w:rPr>
          <w:rStyle w:val="Normal1"/>
          <w:iCs/>
          <w:color w:val="auto"/>
        </w:rPr>
      </w:pPr>
      <w:r w:rsidRPr="00694FCA">
        <w:rPr>
          <w:rStyle w:val="Normal1"/>
          <w:iCs/>
          <w:color w:val="auto"/>
        </w:rPr>
        <w:t xml:space="preserve">There is likely </w:t>
      </w:r>
      <w:r w:rsidR="000A56D7" w:rsidRPr="00694FCA">
        <w:rPr>
          <w:rStyle w:val="Normal1"/>
          <w:iCs/>
          <w:color w:val="auto"/>
        </w:rPr>
        <w:t xml:space="preserve">to be </w:t>
      </w:r>
      <w:r w:rsidRPr="00694FCA">
        <w:rPr>
          <w:rStyle w:val="Normal1"/>
          <w:iCs/>
          <w:color w:val="auto"/>
        </w:rPr>
        <w:t xml:space="preserve">existence of some land contamination. A railway tunnel runs beneath the most southern part of the site, and a parcel of land around this area </w:t>
      </w:r>
      <w:r w:rsidRPr="00694FCA">
        <w:rPr>
          <w:rStyle w:val="Normal1"/>
          <w:iCs/>
          <w:color w:val="auto"/>
        </w:rPr>
        <w:lastRenderedPageBreak/>
        <w:t>was formerly used for railway maintenance operations. The majority of site was used as poultry farm since c.1960.</w:t>
      </w:r>
    </w:p>
    <w:p w14:paraId="78728C61" w14:textId="5ADAAB38" w:rsidR="00715560" w:rsidRPr="00694FCA" w:rsidRDefault="00715560" w:rsidP="000A56D7">
      <w:pPr>
        <w:autoSpaceDE w:val="0"/>
        <w:autoSpaceDN w:val="0"/>
        <w:adjustRightInd w:val="0"/>
        <w:rPr>
          <w:rStyle w:val="Normal1"/>
          <w:iCs/>
          <w:color w:val="auto"/>
          <w:szCs w:val="22"/>
        </w:rPr>
      </w:pPr>
      <w:r w:rsidRPr="00694FCA">
        <w:rPr>
          <w:rStyle w:val="Normal1"/>
          <w:iCs/>
          <w:color w:val="auto"/>
          <w:szCs w:val="22"/>
        </w:rPr>
        <w:t xml:space="preserve"> </w:t>
      </w:r>
    </w:p>
    <w:p w14:paraId="5D804C57" w14:textId="77777777" w:rsidR="00715560" w:rsidRPr="00694FCA" w:rsidRDefault="00715560" w:rsidP="00874A98">
      <w:pPr>
        <w:pStyle w:val="ListParagraph"/>
        <w:numPr>
          <w:ilvl w:val="1"/>
          <w:numId w:val="92"/>
        </w:numPr>
        <w:autoSpaceDE w:val="0"/>
        <w:autoSpaceDN w:val="0"/>
        <w:adjustRightInd w:val="0"/>
        <w:spacing w:after="0" w:line="240" w:lineRule="auto"/>
        <w:ind w:left="851" w:hanging="851"/>
        <w:rPr>
          <w:rStyle w:val="Normal1"/>
          <w:iCs/>
          <w:color w:val="auto"/>
        </w:rPr>
      </w:pPr>
      <w:r w:rsidRPr="00694FCA">
        <w:rPr>
          <w:rStyle w:val="Normal1"/>
          <w:iCs/>
          <w:color w:val="auto"/>
        </w:rPr>
        <w:t>Potential access will require significant highway improvements on the A611 in the form of signalised dedicated right turn lane into the site, which will require road widening into the site and reduce yield. Access is also likely to require Traffic Regulation Order (TRO) to reduce speed limit.</w:t>
      </w:r>
    </w:p>
    <w:p w14:paraId="56919559" w14:textId="77777777" w:rsidR="00D33EF1" w:rsidRPr="00D33EF1" w:rsidRDefault="00D33EF1" w:rsidP="00D33EF1">
      <w:pPr>
        <w:pStyle w:val="ListParagraph"/>
        <w:rPr>
          <w:rStyle w:val="Normal1"/>
          <w:iCs/>
          <w:color w:val="4472C4" w:themeColor="accent1"/>
        </w:rPr>
      </w:pPr>
    </w:p>
    <w:p w14:paraId="5EB4BBB2" w14:textId="5747C38D" w:rsidR="00D33EF1" w:rsidRPr="00694FCA" w:rsidRDefault="00D33EF1" w:rsidP="00874A98">
      <w:pPr>
        <w:pStyle w:val="ListParagraph"/>
        <w:numPr>
          <w:ilvl w:val="1"/>
          <w:numId w:val="92"/>
        </w:numPr>
        <w:autoSpaceDE w:val="0"/>
        <w:autoSpaceDN w:val="0"/>
        <w:adjustRightInd w:val="0"/>
        <w:spacing w:after="0" w:line="240" w:lineRule="auto"/>
        <w:ind w:left="851" w:hanging="851"/>
        <w:rPr>
          <w:rStyle w:val="Normal1"/>
          <w:iCs/>
          <w:color w:val="auto"/>
        </w:rPr>
      </w:pPr>
      <w:bookmarkStart w:id="210" w:name="_Hlk141865641"/>
      <w:r w:rsidRPr="00694FCA">
        <w:rPr>
          <w:rStyle w:val="Normal1"/>
          <w:iCs/>
          <w:color w:val="auto"/>
        </w:rPr>
        <w:t>The site lies with 400m of the Sherwood Forest possible potential Special Protection Area (</w:t>
      </w:r>
      <w:proofErr w:type="spellStart"/>
      <w:r w:rsidRPr="00694FCA">
        <w:rPr>
          <w:rStyle w:val="Normal1"/>
          <w:iCs/>
          <w:color w:val="auto"/>
        </w:rPr>
        <w:t>ppSPA</w:t>
      </w:r>
      <w:proofErr w:type="spellEnd"/>
      <w:r w:rsidRPr="00694FCA">
        <w:rPr>
          <w:rStyle w:val="Normal1"/>
          <w:iCs/>
          <w:color w:val="auto"/>
        </w:rPr>
        <w:t xml:space="preserve">).  Mitigation will be necessary to demonstrate that development can be delivered with no adverse impact on the integrity of the </w:t>
      </w:r>
      <w:proofErr w:type="spellStart"/>
      <w:r w:rsidRPr="00694FCA">
        <w:rPr>
          <w:rStyle w:val="Normal1"/>
          <w:iCs/>
          <w:color w:val="auto"/>
        </w:rPr>
        <w:t>ppSPA</w:t>
      </w:r>
      <w:proofErr w:type="spellEnd"/>
      <w:r w:rsidRPr="00694FCA">
        <w:rPr>
          <w:rStyle w:val="Normal1"/>
          <w:iCs/>
          <w:color w:val="auto"/>
        </w:rPr>
        <w:t>.  Policy EV4: Green</w:t>
      </w:r>
      <w:r w:rsidR="00D95880">
        <w:rPr>
          <w:rStyle w:val="Normal1"/>
          <w:iCs/>
          <w:color w:val="auto"/>
        </w:rPr>
        <w:t xml:space="preserve"> </w:t>
      </w:r>
      <w:r w:rsidR="00D95880">
        <w:rPr>
          <w:rStyle w:val="Normal1"/>
          <w:iCs/>
          <w:color w:val="0070C0"/>
        </w:rPr>
        <w:t>and Blue</w:t>
      </w:r>
      <w:r w:rsidRPr="00694FCA">
        <w:rPr>
          <w:rStyle w:val="Normal1"/>
          <w:iCs/>
          <w:color w:val="auto"/>
        </w:rPr>
        <w:t xml:space="preserve"> Infrastructure, Biodiversity and Geodiversity </w:t>
      </w:r>
      <w:proofErr w:type="gramStart"/>
      <w:r w:rsidRPr="00694FCA">
        <w:rPr>
          <w:rStyle w:val="Normal1"/>
          <w:iCs/>
          <w:color w:val="auto"/>
        </w:rPr>
        <w:t>provides</w:t>
      </w:r>
      <w:proofErr w:type="gramEnd"/>
      <w:r w:rsidRPr="00694FCA">
        <w:rPr>
          <w:rStyle w:val="Normal1"/>
          <w:iCs/>
          <w:color w:val="auto"/>
        </w:rPr>
        <w:t xml:space="preserve"> further</w:t>
      </w:r>
      <w:r w:rsidR="00B147B2" w:rsidRPr="00694FCA">
        <w:rPr>
          <w:rStyle w:val="Normal1"/>
          <w:iCs/>
          <w:color w:val="auto"/>
        </w:rPr>
        <w:t xml:space="preserve"> details.</w:t>
      </w:r>
      <w:r w:rsidRPr="00694FCA">
        <w:rPr>
          <w:rStyle w:val="Normal1"/>
          <w:iCs/>
          <w:color w:val="auto"/>
        </w:rPr>
        <w:t xml:space="preserve"> </w:t>
      </w:r>
    </w:p>
    <w:bookmarkEnd w:id="210"/>
    <w:p w14:paraId="1DB54CF6" w14:textId="56ACCBE9" w:rsidR="00715560" w:rsidRPr="00694FCA" w:rsidRDefault="00715560" w:rsidP="006F69C6">
      <w:pPr>
        <w:autoSpaceDE w:val="0"/>
        <w:autoSpaceDN w:val="0"/>
        <w:adjustRightInd w:val="0"/>
        <w:rPr>
          <w:rFonts w:eastAsia="Arial"/>
          <w:iCs/>
          <w:color w:val="auto"/>
          <w:szCs w:val="22"/>
        </w:rPr>
      </w:pPr>
      <w:r w:rsidRPr="00694FCA">
        <w:rPr>
          <w:rStyle w:val="Normal1"/>
          <w:iCs/>
          <w:color w:val="auto"/>
          <w:szCs w:val="22"/>
        </w:rPr>
        <w:t xml:space="preserve"> </w:t>
      </w:r>
    </w:p>
    <w:p w14:paraId="4F564C9D" w14:textId="5C345E8B" w:rsidR="00715560" w:rsidRPr="00694FCA" w:rsidRDefault="00715560" w:rsidP="00874A98">
      <w:pPr>
        <w:pStyle w:val="ListParagraph"/>
        <w:numPr>
          <w:ilvl w:val="1"/>
          <w:numId w:val="92"/>
        </w:numPr>
        <w:autoSpaceDE w:val="0"/>
        <w:autoSpaceDN w:val="0"/>
        <w:adjustRightInd w:val="0"/>
        <w:spacing w:after="0" w:line="240" w:lineRule="auto"/>
        <w:ind w:left="851" w:hanging="851"/>
        <w:rPr>
          <w:rStyle w:val="Normal1"/>
          <w:iCs/>
          <w:color w:val="auto"/>
        </w:rPr>
      </w:pPr>
      <w:r w:rsidRPr="00694FCA">
        <w:rPr>
          <w:rStyle w:val="Normal1"/>
          <w:b/>
          <w:bCs/>
          <w:iCs/>
          <w:color w:val="auto"/>
        </w:rPr>
        <w:t>H1Kc: Land at Doles Lane, Kirkby-In Ashfield</w:t>
      </w:r>
      <w:r w:rsidRPr="00694FCA">
        <w:rPr>
          <w:rStyle w:val="Normal1"/>
          <w:iCs/>
          <w:color w:val="auto"/>
        </w:rPr>
        <w:t xml:space="preserve">. This </w:t>
      </w:r>
      <w:r w:rsidR="00951D2E">
        <w:rPr>
          <w:rStyle w:val="Normal1"/>
          <w:iCs/>
          <w:color w:val="auto"/>
        </w:rPr>
        <w:t>brow</w:t>
      </w:r>
      <w:r w:rsidRPr="00694FCA">
        <w:rPr>
          <w:rStyle w:val="Normal1"/>
          <w:iCs/>
          <w:color w:val="auto"/>
        </w:rPr>
        <w:t xml:space="preserve">nfield site </w:t>
      </w:r>
      <w:r w:rsidR="004C0CAB" w:rsidRPr="00694FCA">
        <w:rPr>
          <w:rStyle w:val="Normal1"/>
          <w:iCs/>
          <w:color w:val="auto"/>
        </w:rPr>
        <w:t xml:space="preserve">has been assessed as available, potentially suitable, and potentially achievable in the SHELAA (ref. KA011). It </w:t>
      </w:r>
      <w:r w:rsidRPr="00694FCA">
        <w:rPr>
          <w:rStyle w:val="Normal1"/>
          <w:iCs/>
          <w:color w:val="auto"/>
        </w:rPr>
        <w:t xml:space="preserve">is located adjacent to the urban area of Kirkby, with residential development adjoining the eastern boundary, Kirkby bridleway 1 to the north (also </w:t>
      </w:r>
      <w:proofErr w:type="spellStart"/>
      <w:r w:rsidRPr="00694FCA">
        <w:rPr>
          <w:rStyle w:val="Normal1"/>
          <w:iCs/>
          <w:color w:val="auto"/>
        </w:rPr>
        <w:t>Mowlands</w:t>
      </w:r>
      <w:proofErr w:type="spellEnd"/>
      <w:r w:rsidRPr="00694FCA">
        <w:rPr>
          <w:rStyle w:val="Normal1"/>
          <w:iCs/>
          <w:color w:val="auto"/>
        </w:rPr>
        <w:t xml:space="preserve"> farm access), and field boundaries to the west and south.</w:t>
      </w:r>
    </w:p>
    <w:p w14:paraId="29C81EF1" w14:textId="77777777" w:rsidR="006F69C6" w:rsidRPr="004C0CAB" w:rsidRDefault="006F69C6" w:rsidP="004C0CAB">
      <w:pPr>
        <w:rPr>
          <w:rFonts w:eastAsia="Arial"/>
        </w:rPr>
      </w:pPr>
    </w:p>
    <w:p w14:paraId="1A89B638" w14:textId="347F7FBC" w:rsidR="00C02B74" w:rsidRPr="00694FCA" w:rsidRDefault="00715560" w:rsidP="00874A98">
      <w:pPr>
        <w:pStyle w:val="ListParagraph"/>
        <w:numPr>
          <w:ilvl w:val="1"/>
          <w:numId w:val="92"/>
        </w:numPr>
        <w:autoSpaceDE w:val="0"/>
        <w:autoSpaceDN w:val="0"/>
        <w:adjustRightInd w:val="0"/>
        <w:spacing w:after="0" w:line="240" w:lineRule="auto"/>
        <w:ind w:left="851" w:hanging="851"/>
        <w:rPr>
          <w:rStyle w:val="Normal1"/>
          <w:iCs/>
          <w:color w:val="auto"/>
        </w:rPr>
      </w:pPr>
      <w:r w:rsidRPr="00694FCA">
        <w:rPr>
          <w:rStyle w:val="Normal1"/>
          <w:iCs/>
          <w:color w:val="auto"/>
        </w:rPr>
        <w:t xml:space="preserve">There is likely existence of contamination on the site which was formerly the location of </w:t>
      </w:r>
      <w:proofErr w:type="spellStart"/>
      <w:r w:rsidRPr="00694FCA">
        <w:rPr>
          <w:rStyle w:val="Normal1"/>
          <w:iCs/>
          <w:color w:val="auto"/>
        </w:rPr>
        <w:t>Mowlands</w:t>
      </w:r>
      <w:proofErr w:type="spellEnd"/>
      <w:r w:rsidRPr="00694FCA">
        <w:rPr>
          <w:rStyle w:val="Normal1"/>
          <w:iCs/>
          <w:color w:val="auto"/>
        </w:rPr>
        <w:t xml:space="preserve"> County Secondary and Primary Schools. The land was extensively covered </w:t>
      </w:r>
      <w:r w:rsidR="004C0CAB" w:rsidRPr="00694FCA">
        <w:rPr>
          <w:rStyle w:val="Normal1"/>
          <w:iCs/>
          <w:color w:val="auto"/>
        </w:rPr>
        <w:t>by</w:t>
      </w:r>
      <w:r w:rsidRPr="00694FCA">
        <w:rPr>
          <w:rStyle w:val="Normal1"/>
          <w:iCs/>
          <w:color w:val="auto"/>
        </w:rPr>
        <w:t xml:space="preserve"> </w:t>
      </w:r>
      <w:proofErr w:type="gramStart"/>
      <w:r w:rsidRPr="00694FCA">
        <w:rPr>
          <w:rStyle w:val="Normal1"/>
          <w:iCs/>
          <w:color w:val="auto"/>
        </w:rPr>
        <w:t>buildings,</w:t>
      </w:r>
      <w:proofErr w:type="gramEnd"/>
      <w:r w:rsidRPr="00694FCA">
        <w:rPr>
          <w:rStyle w:val="Normal1"/>
          <w:iCs/>
          <w:color w:val="auto"/>
        </w:rPr>
        <w:t xml:space="preserve"> however reclamation work was undertaken in </w:t>
      </w:r>
      <w:proofErr w:type="gramStart"/>
      <w:r w:rsidRPr="00694FCA">
        <w:rPr>
          <w:rStyle w:val="Normal1"/>
          <w:iCs/>
          <w:color w:val="auto"/>
        </w:rPr>
        <w:t>1980</w:t>
      </w:r>
      <w:proofErr w:type="gramEnd"/>
      <w:r w:rsidRPr="00694FCA">
        <w:rPr>
          <w:rStyle w:val="Normal1"/>
          <w:iCs/>
          <w:color w:val="auto"/>
        </w:rPr>
        <w:t xml:space="preserve"> and it has since greened over. Seven Trent Water have assessed the potential impact on surface water sewer infrastructure and have identified that network improvements are likely to be required as part of any future development scheme.</w:t>
      </w:r>
      <w:bookmarkStart w:id="211" w:name="_Hlk80611935"/>
    </w:p>
    <w:p w14:paraId="189AB8ED" w14:textId="77777777" w:rsidR="009D77EE" w:rsidRPr="00694FCA" w:rsidRDefault="009D77EE" w:rsidP="009D77EE">
      <w:pPr>
        <w:pStyle w:val="ListParagraph"/>
        <w:rPr>
          <w:rStyle w:val="Normal1"/>
          <w:iCs/>
          <w:color w:val="auto"/>
        </w:rPr>
      </w:pPr>
    </w:p>
    <w:p w14:paraId="64283644" w14:textId="31AE1EF8" w:rsidR="009D77EE" w:rsidRPr="00694FCA" w:rsidRDefault="00C912AB" w:rsidP="00874A98">
      <w:pPr>
        <w:pStyle w:val="ListParagraph"/>
        <w:numPr>
          <w:ilvl w:val="1"/>
          <w:numId w:val="92"/>
        </w:numPr>
        <w:autoSpaceDE w:val="0"/>
        <w:autoSpaceDN w:val="0"/>
        <w:adjustRightInd w:val="0"/>
        <w:spacing w:after="0" w:line="240" w:lineRule="auto"/>
        <w:ind w:left="851" w:hanging="851"/>
        <w:rPr>
          <w:rStyle w:val="Normal1"/>
          <w:rFonts w:cs="Arial"/>
          <w:b/>
          <w:bCs/>
          <w:iCs/>
          <w:color w:val="auto"/>
        </w:rPr>
      </w:pPr>
      <w:r w:rsidRPr="00C912AB">
        <w:rPr>
          <w:rStyle w:val="Normal1"/>
          <w:rFonts w:cs="Arial"/>
          <w:iCs/>
          <w:color w:val="auto"/>
          <w:szCs w:val="24"/>
        </w:rPr>
        <w:t>T</w:t>
      </w:r>
      <w:r w:rsidR="009D77EE" w:rsidRPr="00C912AB">
        <w:rPr>
          <w:rStyle w:val="Normal1"/>
          <w:iCs/>
          <w:color w:val="auto"/>
        </w:rPr>
        <w:t>h</w:t>
      </w:r>
      <w:r w:rsidR="009D77EE" w:rsidRPr="00694FCA">
        <w:rPr>
          <w:rStyle w:val="Normal1"/>
          <w:iCs/>
          <w:color w:val="auto"/>
        </w:rPr>
        <w:t xml:space="preserve">e site </w:t>
      </w:r>
      <w:r w:rsidR="00D63005" w:rsidRPr="00694FCA">
        <w:rPr>
          <w:rStyle w:val="Normal1"/>
          <w:iCs/>
          <w:color w:val="auto"/>
        </w:rPr>
        <w:t xml:space="preserve">lies to the northwest of </w:t>
      </w:r>
      <w:r w:rsidR="009D77EE" w:rsidRPr="00694FCA">
        <w:rPr>
          <w:rStyle w:val="Normal1"/>
          <w:iCs/>
          <w:color w:val="auto"/>
        </w:rPr>
        <w:t xml:space="preserve">Kirkby Cross Conservation Area, Market Cross Scheduled Monument, and No 2 &amp; 6 Church Street and adjoining stable Grade II Listed Building. </w:t>
      </w:r>
      <w:r w:rsidRPr="00C912AB">
        <w:rPr>
          <w:rFonts w:ascii="Arial" w:hAnsi="Arial" w:cs="Arial"/>
          <w:color w:val="auto"/>
          <w:szCs w:val="24"/>
          <w:lang w:eastAsia="en-GB"/>
        </w:rPr>
        <w:t xml:space="preserve">Development </w:t>
      </w:r>
      <w:r w:rsidRPr="006E3B8B">
        <w:rPr>
          <w:rFonts w:ascii="Arial" w:hAnsi="Arial" w:cs="Arial"/>
          <w:color w:val="0070C0"/>
          <w:szCs w:val="24"/>
          <w:lang w:eastAsia="en-GB"/>
        </w:rPr>
        <w:t xml:space="preserve">of the site should be informed by </w:t>
      </w:r>
      <w:r w:rsidRPr="006E3B8B">
        <w:rPr>
          <w:rFonts w:ascii="Arial" w:eastAsia="Arial" w:hAnsi="Arial" w:cs="Arial"/>
          <w:iCs/>
          <w:color w:val="0070C0"/>
          <w:szCs w:val="24"/>
          <w:lang w:eastAsia="en-GB"/>
        </w:rPr>
        <w:t>the recommendations identified in the 2023 Heritage Impact Assessment (HIA) and</w:t>
      </w:r>
      <w:r>
        <w:rPr>
          <w:rFonts w:ascii="Arial" w:eastAsia="Arial" w:hAnsi="Arial" w:cs="Arial"/>
          <w:iCs/>
          <w:color w:val="0070C0"/>
          <w:szCs w:val="24"/>
          <w:lang w:eastAsia="en-GB"/>
        </w:rPr>
        <w:t xml:space="preserve"> </w:t>
      </w:r>
      <w:r w:rsidR="00960216">
        <w:rPr>
          <w:rFonts w:ascii="Arial" w:eastAsia="Arial" w:hAnsi="Arial" w:cs="Arial"/>
          <w:iCs/>
          <w:color w:val="0070C0"/>
          <w:szCs w:val="24"/>
          <w:lang w:eastAsia="en-GB"/>
        </w:rPr>
        <w:t>should</w:t>
      </w:r>
      <w:r w:rsidRPr="006E3B8B">
        <w:rPr>
          <w:rFonts w:ascii="Arial" w:eastAsia="Arial" w:hAnsi="Arial" w:cs="Arial"/>
          <w:iCs/>
          <w:color w:val="0070C0"/>
          <w:szCs w:val="24"/>
          <w:lang w:eastAsia="en-GB"/>
        </w:rPr>
        <w:t xml:space="preserve"> </w:t>
      </w:r>
      <w:r w:rsidR="00D63005" w:rsidRPr="00960216">
        <w:rPr>
          <w:rStyle w:val="Normal1"/>
          <w:iCs/>
          <w:strike/>
          <w:color w:val="auto"/>
        </w:rPr>
        <w:t>must</w:t>
      </w:r>
      <w:r w:rsidR="00D63005" w:rsidRPr="00C912AB">
        <w:rPr>
          <w:rStyle w:val="Normal1"/>
          <w:iCs/>
          <w:color w:val="auto"/>
        </w:rPr>
        <w:t xml:space="preserve"> be </w:t>
      </w:r>
      <w:r w:rsidR="009D77EE" w:rsidRPr="00694FCA">
        <w:rPr>
          <w:rStyle w:val="Normal1"/>
          <w:iCs/>
          <w:color w:val="auto"/>
        </w:rPr>
        <w:t>sensitive</w:t>
      </w:r>
      <w:r w:rsidR="00D63005" w:rsidRPr="00694FCA">
        <w:rPr>
          <w:rStyle w:val="Normal1"/>
          <w:iCs/>
          <w:color w:val="auto"/>
        </w:rPr>
        <w:t xml:space="preserve">ly </w:t>
      </w:r>
      <w:r w:rsidR="009D77EE" w:rsidRPr="00694FCA">
        <w:rPr>
          <w:rStyle w:val="Normal1"/>
          <w:iCs/>
          <w:color w:val="auto"/>
        </w:rPr>
        <w:t>design</w:t>
      </w:r>
      <w:r w:rsidR="00D63005" w:rsidRPr="00694FCA">
        <w:rPr>
          <w:rStyle w:val="Normal1"/>
          <w:iCs/>
          <w:color w:val="auto"/>
        </w:rPr>
        <w:t>ed</w:t>
      </w:r>
      <w:r w:rsidR="00960216">
        <w:rPr>
          <w:rStyle w:val="Normal1"/>
          <w:iCs/>
          <w:color w:val="auto"/>
        </w:rPr>
        <w:t xml:space="preserve">. </w:t>
      </w:r>
      <w:r w:rsidR="009D77EE" w:rsidRPr="00694FCA">
        <w:rPr>
          <w:rStyle w:val="Normal1"/>
          <w:iCs/>
          <w:color w:val="auto"/>
        </w:rPr>
        <w:t xml:space="preserve"> </w:t>
      </w:r>
      <w:r w:rsidR="009D77EE" w:rsidRPr="00960216">
        <w:rPr>
          <w:rStyle w:val="Normal1"/>
          <w:iCs/>
          <w:strike/>
          <w:color w:val="auto"/>
        </w:rPr>
        <w:t>and/or s</w:t>
      </w:r>
      <w:r w:rsidR="00960216">
        <w:rPr>
          <w:rStyle w:val="Normal1"/>
          <w:iCs/>
          <w:color w:val="auto"/>
        </w:rPr>
        <w:t xml:space="preserve"> S</w:t>
      </w:r>
      <w:r w:rsidR="009D77EE" w:rsidRPr="00694FCA">
        <w:rPr>
          <w:rStyle w:val="Normal1"/>
          <w:iCs/>
          <w:color w:val="auto"/>
        </w:rPr>
        <w:t>uitable tree screening along the southern boundary of the site</w:t>
      </w:r>
      <w:r w:rsidR="00960216">
        <w:rPr>
          <w:rStyle w:val="Normal1"/>
          <w:iCs/>
          <w:color w:val="auto"/>
        </w:rPr>
        <w:t xml:space="preserve"> </w:t>
      </w:r>
      <w:r w:rsidR="00960216">
        <w:rPr>
          <w:rStyle w:val="Normal1"/>
          <w:iCs/>
          <w:color w:val="0070C0"/>
        </w:rPr>
        <w:t xml:space="preserve">should be provided </w:t>
      </w:r>
      <w:proofErr w:type="gramStart"/>
      <w:r w:rsidR="009D77EE" w:rsidRPr="00694FCA">
        <w:rPr>
          <w:rStyle w:val="Normal1"/>
          <w:iCs/>
          <w:color w:val="auto"/>
        </w:rPr>
        <w:t>i</w:t>
      </w:r>
      <w:r w:rsidR="00D63005" w:rsidRPr="00694FCA">
        <w:rPr>
          <w:rStyle w:val="Normal1"/>
          <w:iCs/>
          <w:color w:val="auto"/>
        </w:rPr>
        <w:t>n order to</w:t>
      </w:r>
      <w:proofErr w:type="gramEnd"/>
      <w:r w:rsidR="00D63005" w:rsidRPr="00694FCA">
        <w:rPr>
          <w:rStyle w:val="Normal1"/>
          <w:iCs/>
          <w:color w:val="auto"/>
        </w:rPr>
        <w:t xml:space="preserve"> mitigate any potential </w:t>
      </w:r>
      <w:r w:rsidR="009D77EE" w:rsidRPr="00694FCA">
        <w:rPr>
          <w:rStyle w:val="Normal1"/>
          <w:iCs/>
          <w:color w:val="auto"/>
        </w:rPr>
        <w:t>harm the significance or setting of the asset</w:t>
      </w:r>
      <w:r w:rsidR="00D63005" w:rsidRPr="00694FCA">
        <w:rPr>
          <w:rStyle w:val="Normal1"/>
          <w:iCs/>
          <w:color w:val="auto"/>
        </w:rPr>
        <w:t>s</w:t>
      </w:r>
      <w:r w:rsidR="009D77EE" w:rsidRPr="00694FCA">
        <w:rPr>
          <w:rStyle w:val="Normal1"/>
          <w:iCs/>
          <w:color w:val="auto"/>
        </w:rPr>
        <w:t xml:space="preserve">.  It is also likely that buried archaeological remains could survive within the site and therefore </w:t>
      </w:r>
      <w:r w:rsidR="003A37B3" w:rsidRPr="00694FCA">
        <w:rPr>
          <w:rStyle w:val="Normal1"/>
          <w:iCs/>
          <w:color w:val="auto"/>
        </w:rPr>
        <w:t>f</w:t>
      </w:r>
      <w:r w:rsidR="003A37B3" w:rsidRPr="00694FCA">
        <w:rPr>
          <w:rStyle w:val="Normal1"/>
          <w:rFonts w:cs="Arial"/>
          <w:iCs/>
          <w:color w:val="auto"/>
          <w:szCs w:val="24"/>
        </w:rPr>
        <w:t>urther archaeological evaluation work will be required</w:t>
      </w:r>
      <w:r>
        <w:rPr>
          <w:rStyle w:val="Normal1"/>
          <w:rFonts w:cs="Arial"/>
          <w:iCs/>
          <w:color w:val="auto"/>
          <w:szCs w:val="24"/>
        </w:rPr>
        <w:t xml:space="preserve">. </w:t>
      </w:r>
      <w:r w:rsidR="003A37B3" w:rsidRPr="00694FCA">
        <w:rPr>
          <w:rStyle w:val="Normal1"/>
          <w:rFonts w:cs="Arial"/>
          <w:iCs/>
          <w:color w:val="auto"/>
          <w:szCs w:val="24"/>
        </w:rPr>
        <w:t xml:space="preserve"> </w:t>
      </w:r>
      <w:r w:rsidRPr="00541429">
        <w:rPr>
          <w:rFonts w:ascii="Arial" w:eastAsia="Arial" w:hAnsi="Arial" w:cs="Arial"/>
          <w:iCs/>
          <w:strike/>
          <w:szCs w:val="24"/>
          <w:lang w:eastAsia="en-GB"/>
        </w:rPr>
        <w:t>beginning with a</w:t>
      </w:r>
      <w:r w:rsidRPr="00541429">
        <w:rPr>
          <w:rFonts w:ascii="Arial" w:eastAsia="Arial" w:hAnsi="Arial" w:cs="Arial"/>
          <w:iCs/>
          <w:szCs w:val="24"/>
          <w:lang w:eastAsia="en-GB"/>
        </w:rPr>
        <w:t xml:space="preserve"> </w:t>
      </w:r>
      <w:proofErr w:type="gramStart"/>
      <w:r w:rsidRPr="00541429">
        <w:rPr>
          <w:rFonts w:ascii="Arial" w:eastAsia="Arial" w:hAnsi="Arial" w:cs="Arial"/>
          <w:iCs/>
          <w:color w:val="0070C0"/>
          <w:szCs w:val="24"/>
          <w:lang w:eastAsia="en-GB"/>
        </w:rPr>
        <w:t>An</w:t>
      </w:r>
      <w:proofErr w:type="gramEnd"/>
      <w:r w:rsidRPr="00541429">
        <w:rPr>
          <w:rFonts w:ascii="Arial" w:eastAsia="Arial" w:hAnsi="Arial" w:cs="Arial"/>
          <w:iCs/>
          <w:szCs w:val="24"/>
          <w:lang w:eastAsia="en-GB"/>
        </w:rPr>
        <w:t xml:space="preserve"> </w:t>
      </w:r>
      <w:r w:rsidRPr="00541429">
        <w:rPr>
          <w:rFonts w:ascii="Arial" w:eastAsia="Arial" w:hAnsi="Arial" w:cs="Arial"/>
          <w:iCs/>
          <w:color w:val="0070C0"/>
          <w:szCs w:val="24"/>
          <w:lang w:eastAsia="en-GB"/>
        </w:rPr>
        <w:t xml:space="preserve">archaeological </w:t>
      </w:r>
      <w:r w:rsidRPr="00541429">
        <w:rPr>
          <w:rFonts w:ascii="Arial" w:eastAsia="Arial" w:hAnsi="Arial" w:cs="Arial"/>
          <w:iCs/>
          <w:szCs w:val="24"/>
          <w:lang w:eastAsia="en-GB"/>
        </w:rPr>
        <w:t xml:space="preserve">Desk Based Assessment (DBA) </w:t>
      </w:r>
      <w:r w:rsidRPr="00541429">
        <w:rPr>
          <w:rFonts w:ascii="Arial" w:eastAsia="Arial" w:hAnsi="Arial" w:cs="Arial"/>
          <w:iCs/>
          <w:color w:val="0070C0"/>
          <w:szCs w:val="24"/>
          <w:lang w:eastAsia="en-GB"/>
        </w:rPr>
        <w:t>should be submitted with any planning application</w:t>
      </w:r>
      <w:r w:rsidR="003A37B3" w:rsidRPr="00694FCA">
        <w:rPr>
          <w:rStyle w:val="Normal1"/>
          <w:rFonts w:cs="Arial"/>
          <w:iCs/>
          <w:color w:val="auto"/>
          <w:szCs w:val="24"/>
        </w:rPr>
        <w:t xml:space="preserve"> </w:t>
      </w:r>
      <w:r w:rsidR="003A37B3" w:rsidRPr="00694FCA">
        <w:rPr>
          <w:rFonts w:ascii="Arial" w:hAnsi="Arial" w:cs="Arial"/>
          <w:color w:val="auto"/>
        </w:rPr>
        <w:t>to ascertain the extent and level of survival of archaeological remains within the site</w:t>
      </w:r>
      <w:r w:rsidR="003A37B3" w:rsidRPr="00694FCA">
        <w:rPr>
          <w:rStyle w:val="Normal1"/>
          <w:rFonts w:cs="Arial"/>
          <w:iCs/>
          <w:color w:val="auto"/>
          <w:szCs w:val="24"/>
        </w:rPr>
        <w:t xml:space="preserve">.  Depending on the results of the DBA further archaeological investigations may be warranted, including a geophysical survey and targeted trial trenching, where necessary. This work will inform </w:t>
      </w:r>
      <w:r w:rsidRPr="00C912AB">
        <w:rPr>
          <w:rStyle w:val="Normal1"/>
          <w:rFonts w:cs="Arial"/>
          <w:iCs/>
          <w:color w:val="0070C0"/>
          <w:szCs w:val="24"/>
        </w:rPr>
        <w:t xml:space="preserve">any required </w:t>
      </w:r>
      <w:r w:rsidR="003A37B3" w:rsidRPr="00C912AB">
        <w:rPr>
          <w:rStyle w:val="Normal1"/>
          <w:rFonts w:cs="Arial"/>
          <w:iCs/>
          <w:strike/>
          <w:color w:val="auto"/>
          <w:szCs w:val="24"/>
        </w:rPr>
        <w:t>the need for</w:t>
      </w:r>
      <w:r w:rsidR="003A37B3" w:rsidRPr="00694FCA">
        <w:rPr>
          <w:rStyle w:val="Normal1"/>
          <w:rFonts w:cs="Arial"/>
          <w:iCs/>
          <w:color w:val="auto"/>
          <w:szCs w:val="24"/>
        </w:rPr>
        <w:t xml:space="preserve"> mitigation</w:t>
      </w:r>
      <w:r w:rsidR="00054A4F">
        <w:rPr>
          <w:rStyle w:val="Normal1"/>
          <w:rFonts w:cs="Arial"/>
          <w:iCs/>
          <w:color w:val="auto"/>
          <w:szCs w:val="24"/>
        </w:rPr>
        <w:t>.</w:t>
      </w:r>
      <w:r w:rsidR="003A37B3" w:rsidRPr="00694FCA">
        <w:rPr>
          <w:rStyle w:val="Normal1"/>
          <w:rFonts w:cs="Arial"/>
          <w:iCs/>
          <w:color w:val="auto"/>
          <w:szCs w:val="24"/>
        </w:rPr>
        <w:t xml:space="preserve">   </w:t>
      </w:r>
    </w:p>
    <w:p w14:paraId="3020542B" w14:textId="77777777" w:rsidR="00C02B74" w:rsidRPr="00694FCA" w:rsidRDefault="00C02B74" w:rsidP="003A37B3">
      <w:pPr>
        <w:pStyle w:val="ListParagraph"/>
        <w:ind w:left="851" w:hanging="851"/>
        <w:rPr>
          <w:rStyle w:val="Normal1"/>
          <w:iCs/>
          <w:color w:val="auto"/>
        </w:rPr>
      </w:pPr>
    </w:p>
    <w:bookmarkEnd w:id="211"/>
    <w:p w14:paraId="531E877F" w14:textId="3A83E0A4" w:rsidR="00715560" w:rsidRPr="007708DA" w:rsidRDefault="00C02B74" w:rsidP="00874A98">
      <w:pPr>
        <w:pStyle w:val="ListParagraph"/>
        <w:numPr>
          <w:ilvl w:val="1"/>
          <w:numId w:val="92"/>
        </w:numPr>
        <w:autoSpaceDE w:val="0"/>
        <w:autoSpaceDN w:val="0"/>
        <w:adjustRightInd w:val="0"/>
        <w:spacing w:after="0" w:line="240" w:lineRule="auto"/>
        <w:ind w:left="851" w:hanging="851"/>
        <w:rPr>
          <w:rStyle w:val="Normal1"/>
          <w:iCs/>
          <w:color w:val="auto"/>
        </w:rPr>
      </w:pPr>
      <w:r w:rsidRPr="00450B33">
        <w:rPr>
          <w:rStyle w:val="Normal1"/>
          <w:b/>
          <w:bCs/>
          <w:iCs/>
          <w:color w:val="auto"/>
        </w:rPr>
        <w:t xml:space="preserve">H1Kd: Off </w:t>
      </w:r>
      <w:proofErr w:type="spellStart"/>
      <w:r w:rsidRPr="00450B33">
        <w:rPr>
          <w:rStyle w:val="Normal1"/>
          <w:b/>
          <w:bCs/>
          <w:iCs/>
          <w:color w:val="auto"/>
        </w:rPr>
        <w:t>Walesby</w:t>
      </w:r>
      <w:proofErr w:type="spellEnd"/>
      <w:r w:rsidRPr="00450B33">
        <w:rPr>
          <w:rStyle w:val="Normal1"/>
          <w:b/>
          <w:bCs/>
          <w:iCs/>
          <w:color w:val="auto"/>
        </w:rPr>
        <w:t xml:space="preserve"> Drive</w:t>
      </w:r>
      <w:r w:rsidRPr="00450B33">
        <w:rPr>
          <w:rStyle w:val="Normal1"/>
          <w:iCs/>
          <w:color w:val="auto"/>
        </w:rPr>
        <w:t xml:space="preserve"> This greenfield site has been assessed as potentially available, potentially suitable, and achievable in the SHELAA (ref. KA012). It is </w:t>
      </w:r>
      <w:r w:rsidRPr="00450B33">
        <w:rPr>
          <w:rStyle w:val="Normal1"/>
          <w:iCs/>
          <w:color w:val="auto"/>
        </w:rPr>
        <w:lastRenderedPageBreak/>
        <w:t xml:space="preserve">located adjacent to the urban area of Kirkby, with residential development adjoining the southern boundary. </w:t>
      </w:r>
      <w:r w:rsidRPr="007708DA">
        <w:rPr>
          <w:rStyle w:val="Normal1"/>
          <w:iCs/>
          <w:strike/>
          <w:color w:val="auto"/>
        </w:rPr>
        <w:t>There has been a resolution to grant detailed planning permission on this site, subject to the signing of a Section 106 legal agreement between the developer and the Council.</w:t>
      </w:r>
      <w:r w:rsidRPr="007708DA">
        <w:rPr>
          <w:rStyle w:val="Normal1"/>
          <w:iCs/>
          <w:color w:val="auto"/>
        </w:rPr>
        <w:t xml:space="preserve"> </w:t>
      </w:r>
      <w:r w:rsidR="00450B33" w:rsidRPr="007708DA">
        <w:rPr>
          <w:rStyle w:val="Normal1"/>
          <w:iCs/>
          <w:color w:val="0070C0"/>
        </w:rPr>
        <w:t>This site now has planning permission and is under construction.</w:t>
      </w:r>
    </w:p>
    <w:p w14:paraId="7C5731A9" w14:textId="77777777" w:rsidR="00C02B74" w:rsidRPr="00C02B74" w:rsidRDefault="00C02B74" w:rsidP="00C02B74">
      <w:pPr>
        <w:autoSpaceDE w:val="0"/>
        <w:autoSpaceDN w:val="0"/>
        <w:adjustRightInd w:val="0"/>
        <w:rPr>
          <w:rStyle w:val="Normal1"/>
          <w:iCs/>
          <w:color w:val="4472C4" w:themeColor="accent1"/>
        </w:rPr>
      </w:pPr>
    </w:p>
    <w:p w14:paraId="49CEEA85" w14:textId="651181B0" w:rsidR="00715560" w:rsidRPr="00694FCA" w:rsidRDefault="00715560" w:rsidP="00874A98">
      <w:pPr>
        <w:pStyle w:val="ListParagraph"/>
        <w:numPr>
          <w:ilvl w:val="1"/>
          <w:numId w:val="92"/>
        </w:numPr>
        <w:autoSpaceDE w:val="0"/>
        <w:autoSpaceDN w:val="0"/>
        <w:adjustRightInd w:val="0"/>
        <w:spacing w:after="0" w:line="240" w:lineRule="auto"/>
        <w:ind w:left="851" w:hanging="851"/>
        <w:rPr>
          <w:rFonts w:ascii="Arial" w:eastAsia="Arial" w:hAnsi="Arial" w:cs="Arial"/>
          <w:color w:val="auto"/>
          <w:szCs w:val="24"/>
        </w:rPr>
      </w:pPr>
      <w:r w:rsidRPr="00694FCA">
        <w:rPr>
          <w:rStyle w:val="Normal1"/>
          <w:b/>
          <w:bCs/>
          <w:iCs/>
          <w:color w:val="auto"/>
        </w:rPr>
        <w:t>H1Ke: Land off Diamond Avenue, Kirkby-In-Ashfield</w:t>
      </w:r>
      <w:r w:rsidRPr="00694FCA">
        <w:rPr>
          <w:rStyle w:val="Normal1"/>
          <w:iCs/>
          <w:color w:val="auto"/>
        </w:rPr>
        <w:t xml:space="preserve"> This greenfield site</w:t>
      </w:r>
      <w:r w:rsidR="004C0CAB" w:rsidRPr="00694FCA">
        <w:rPr>
          <w:color w:val="auto"/>
        </w:rPr>
        <w:t xml:space="preserve"> </w:t>
      </w:r>
      <w:r w:rsidR="004C0CAB" w:rsidRPr="00694FCA">
        <w:rPr>
          <w:rStyle w:val="Normal1"/>
          <w:iCs/>
          <w:color w:val="auto"/>
        </w:rPr>
        <w:t>it has been assessed in the SHELAA (ref. KA026) as available, potentially suitable, and achievable. It</w:t>
      </w:r>
      <w:r w:rsidRPr="00694FCA">
        <w:rPr>
          <w:rStyle w:val="Normal1"/>
          <w:iCs/>
          <w:color w:val="auto"/>
        </w:rPr>
        <w:t xml:space="preserve"> is located within the Main</w:t>
      </w:r>
      <w:r w:rsidRPr="00694FCA">
        <w:rPr>
          <w:rFonts w:ascii="Arial" w:hAnsi="Arial" w:cs="Arial"/>
          <w:color w:val="auto"/>
          <w:szCs w:val="24"/>
        </w:rPr>
        <w:t xml:space="preserve"> Urban Area of Kirkby and is surrounded by existing residential development. The site contains several trees</w:t>
      </w:r>
      <w:r w:rsidRPr="00694FCA">
        <w:rPr>
          <w:rFonts w:ascii="Arial" w:hAnsi="Arial" w:cs="Arial"/>
          <w:b/>
          <w:color w:val="auto"/>
          <w:szCs w:val="24"/>
        </w:rPr>
        <w:t xml:space="preserve"> </w:t>
      </w:r>
      <w:r w:rsidRPr="00694FCA">
        <w:rPr>
          <w:rFonts w:ascii="Arial" w:hAnsi="Arial" w:cs="Arial"/>
          <w:bCs/>
          <w:color w:val="auto"/>
          <w:szCs w:val="24"/>
        </w:rPr>
        <w:t xml:space="preserve">and would require an appropriate design scheme that protects those of retention. The site has good access to the public highway and </w:t>
      </w:r>
      <w:r w:rsidR="004C0CAB" w:rsidRPr="00694FCA">
        <w:rPr>
          <w:rFonts w:ascii="Arial" w:hAnsi="Arial" w:cs="Arial"/>
          <w:bCs/>
          <w:color w:val="auto"/>
          <w:szCs w:val="24"/>
        </w:rPr>
        <w:t>has previously benefitted from residential planning permission.</w:t>
      </w:r>
    </w:p>
    <w:p w14:paraId="28D82209" w14:textId="77777777" w:rsidR="00715560" w:rsidRPr="00694FCA" w:rsidRDefault="00715560" w:rsidP="00715560">
      <w:pPr>
        <w:rPr>
          <w:rFonts w:eastAsia="Calibri" w:cs="Arial"/>
          <w:b/>
          <w:bCs/>
          <w:color w:val="auto"/>
          <w:szCs w:val="24"/>
        </w:rPr>
      </w:pPr>
    </w:p>
    <w:p w14:paraId="5D374C82" w14:textId="77777777" w:rsidR="00EC658F" w:rsidRPr="00694FCA" w:rsidRDefault="00715560"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694FCA">
        <w:rPr>
          <w:rFonts w:ascii="Arial" w:eastAsia="Calibri" w:hAnsi="Arial" w:cs="Arial"/>
          <w:b/>
          <w:bCs/>
          <w:color w:val="auto"/>
          <w:szCs w:val="24"/>
        </w:rPr>
        <w:t>H1Kg: Land to the rear of 126 Skegby Road, Kirkby-In-Ashfield</w:t>
      </w:r>
      <w:r w:rsidRPr="00694FCA">
        <w:rPr>
          <w:rFonts w:ascii="Arial" w:hAnsi="Arial" w:cs="Arial"/>
          <w:color w:val="auto"/>
          <w:szCs w:val="24"/>
        </w:rPr>
        <w:t xml:space="preserve"> This greenfield site </w:t>
      </w:r>
      <w:r w:rsidR="00F95176" w:rsidRPr="00694FCA">
        <w:rPr>
          <w:rFonts w:ascii="Arial" w:hAnsi="Arial" w:cs="Arial"/>
          <w:color w:val="auto"/>
          <w:szCs w:val="24"/>
        </w:rPr>
        <w:t xml:space="preserve">has been assessed as available, potentially suitable, and achievable in the SHELAA (ref. KA038). It </w:t>
      </w:r>
      <w:r w:rsidRPr="00694FCA">
        <w:rPr>
          <w:rFonts w:ascii="Arial" w:hAnsi="Arial" w:cs="Arial"/>
          <w:color w:val="auto"/>
          <w:szCs w:val="24"/>
        </w:rPr>
        <w:t>is located within the Main Urban Area at Annesley and is surrounded by existing residential development to the west, south and east, with a primary school to the north. The site</w:t>
      </w:r>
      <w:r w:rsidRPr="00694FCA">
        <w:rPr>
          <w:rFonts w:ascii="Arial" w:eastAsia="Calibri" w:hAnsi="Arial" w:cs="Arial"/>
          <w:color w:val="auto"/>
          <w:szCs w:val="24"/>
        </w:rPr>
        <w:t xml:space="preserve"> will require highway infrastructure improvements related to access and visibility </w:t>
      </w:r>
      <w:r w:rsidRPr="00694FCA">
        <w:rPr>
          <w:rFonts w:ascii="Arial" w:hAnsi="Arial" w:cs="Arial"/>
          <w:color w:val="auto"/>
          <w:szCs w:val="24"/>
        </w:rPr>
        <w:t>which may be mitigated without the need for third party land. There have been incidents of surface water flooding within the site boundary</w:t>
      </w:r>
      <w:r w:rsidR="00F95176" w:rsidRPr="00694FCA">
        <w:rPr>
          <w:rFonts w:ascii="Arial" w:hAnsi="Arial" w:cs="Arial"/>
          <w:color w:val="auto"/>
          <w:szCs w:val="24"/>
        </w:rPr>
        <w:t xml:space="preserve"> which will require mitigation.</w:t>
      </w:r>
    </w:p>
    <w:p w14:paraId="092BBA92" w14:textId="77777777" w:rsidR="003B5637" w:rsidRDefault="003B5637" w:rsidP="00F11371">
      <w:pPr>
        <w:autoSpaceDE w:val="0"/>
        <w:autoSpaceDN w:val="0"/>
        <w:adjustRightInd w:val="0"/>
        <w:rPr>
          <w:rFonts w:eastAsia="Arial" w:cs="Arial"/>
          <w:b/>
          <w:bCs/>
          <w:color w:val="FF0000"/>
          <w:szCs w:val="24"/>
        </w:rPr>
      </w:pPr>
    </w:p>
    <w:p w14:paraId="52F4C18E" w14:textId="143AE374" w:rsidR="00715560" w:rsidRPr="0039426E" w:rsidRDefault="00715560" w:rsidP="0039426E">
      <w:pPr>
        <w:pStyle w:val="ListParagraph"/>
        <w:numPr>
          <w:ilvl w:val="1"/>
          <w:numId w:val="92"/>
        </w:numPr>
        <w:autoSpaceDE w:val="0"/>
        <w:autoSpaceDN w:val="0"/>
        <w:adjustRightInd w:val="0"/>
        <w:spacing w:after="0" w:line="240" w:lineRule="auto"/>
        <w:ind w:left="851" w:hanging="851"/>
        <w:rPr>
          <w:rFonts w:ascii="Arial" w:eastAsia="Calibri" w:hAnsi="Arial" w:cs="Arial"/>
          <w:color w:val="0070C0"/>
          <w:szCs w:val="24"/>
        </w:rPr>
      </w:pPr>
      <w:bookmarkStart w:id="212" w:name="_Hlk83927941"/>
      <w:r w:rsidRPr="00694FCA">
        <w:rPr>
          <w:rFonts w:ascii="Arial" w:eastAsia="Calibri" w:hAnsi="Arial" w:cs="Arial"/>
          <w:b/>
          <w:bCs/>
          <w:color w:val="auto"/>
          <w:szCs w:val="24"/>
        </w:rPr>
        <w:t>H1Kh: Land Off Hucknall Road, Newstead</w:t>
      </w:r>
      <w:r w:rsidRPr="00694FCA">
        <w:rPr>
          <w:rFonts w:ascii="Arial" w:eastAsia="Calibri" w:hAnsi="Arial" w:cs="Arial"/>
          <w:color w:val="auto"/>
          <w:szCs w:val="24"/>
        </w:rPr>
        <w:t xml:space="preserve">. </w:t>
      </w:r>
      <w:bookmarkEnd w:id="212"/>
      <w:r w:rsidR="00AD7DB8" w:rsidRPr="00AD7DB8">
        <w:rPr>
          <w:rFonts w:ascii="Arial" w:eastAsia="Calibri" w:hAnsi="Arial" w:cs="Arial"/>
          <w:color w:val="0070C0"/>
          <w:szCs w:val="24"/>
        </w:rPr>
        <w:t>The Council considered that there were exceptional circumstances to release this site from the Green Belt to meet housing needs in accordance with the spatial strategy as set out at Policy S1</w:t>
      </w:r>
      <w:r w:rsidR="00AD7DB8" w:rsidRPr="00AD7DB8">
        <w:rPr>
          <w:rFonts w:ascii="Arial" w:eastAsia="Calibri" w:hAnsi="Arial" w:cs="Arial"/>
          <w:color w:val="auto"/>
          <w:szCs w:val="24"/>
        </w:rPr>
        <w:t xml:space="preserve">. </w:t>
      </w:r>
      <w:r w:rsidRPr="00694FCA">
        <w:rPr>
          <w:rFonts w:ascii="Arial" w:eastAsia="Calibri" w:hAnsi="Arial" w:cs="Arial"/>
          <w:color w:val="auto"/>
          <w:szCs w:val="24"/>
        </w:rPr>
        <w:t>This greenfield site</w:t>
      </w:r>
      <w:r w:rsidR="00EC658F" w:rsidRPr="00694FCA">
        <w:rPr>
          <w:rFonts w:ascii="Arial" w:eastAsia="Calibri" w:hAnsi="Arial" w:cs="Arial"/>
          <w:color w:val="auto"/>
          <w:szCs w:val="24"/>
        </w:rPr>
        <w:t xml:space="preserve"> has been assessed as available, potentially suitable, and potentially achievable in the SHELAA (ref. KA046). It</w:t>
      </w:r>
      <w:r w:rsidRPr="00694FCA">
        <w:rPr>
          <w:rFonts w:ascii="Arial" w:eastAsia="Calibri" w:hAnsi="Arial" w:cs="Arial"/>
          <w:color w:val="auto"/>
          <w:szCs w:val="24"/>
        </w:rPr>
        <w:t xml:space="preserve"> is located adjacent to the existing urban area of Newstead village </w:t>
      </w:r>
      <w:r w:rsidRPr="00AE3846">
        <w:rPr>
          <w:rFonts w:ascii="Arial" w:eastAsia="Calibri" w:hAnsi="Arial" w:cs="Arial"/>
          <w:strike/>
          <w:color w:val="auto"/>
          <w:szCs w:val="24"/>
        </w:rPr>
        <w:t>on land previously designated as part of the Green Belt</w:t>
      </w:r>
      <w:r w:rsidRPr="00694FCA">
        <w:rPr>
          <w:rFonts w:ascii="Arial" w:eastAsia="Calibri" w:hAnsi="Arial" w:cs="Arial"/>
          <w:color w:val="auto"/>
          <w:szCs w:val="24"/>
        </w:rPr>
        <w:t xml:space="preserve">. It is well contained by </w:t>
      </w:r>
      <w:proofErr w:type="spellStart"/>
      <w:r w:rsidRPr="00694FCA">
        <w:rPr>
          <w:rFonts w:ascii="Arial" w:eastAsia="Calibri" w:hAnsi="Arial" w:cs="Arial"/>
          <w:color w:val="auto"/>
          <w:szCs w:val="24"/>
        </w:rPr>
        <w:t>Hazelford</w:t>
      </w:r>
      <w:proofErr w:type="spellEnd"/>
      <w:r w:rsidRPr="00694FCA">
        <w:rPr>
          <w:rFonts w:ascii="Arial" w:eastAsia="Calibri" w:hAnsi="Arial" w:cs="Arial"/>
          <w:color w:val="auto"/>
          <w:szCs w:val="24"/>
        </w:rPr>
        <w:t xml:space="preserve"> Way to the north, Hucknall Road to the west, existing residential development to the east, and a </w:t>
      </w:r>
      <w:r w:rsidR="00EC658F" w:rsidRPr="00694FCA">
        <w:rPr>
          <w:rFonts w:ascii="Arial" w:eastAsia="Calibri" w:hAnsi="Arial" w:cs="Arial"/>
          <w:color w:val="auto"/>
          <w:szCs w:val="24"/>
        </w:rPr>
        <w:t>play</w:t>
      </w:r>
      <w:r w:rsidRPr="00694FCA">
        <w:rPr>
          <w:rFonts w:ascii="Arial" w:eastAsia="Calibri" w:hAnsi="Arial" w:cs="Arial"/>
          <w:color w:val="auto"/>
          <w:szCs w:val="24"/>
        </w:rPr>
        <w:t xml:space="preserve"> area to the south.  The substantial Annesley Forest plantation to the west will provide a strong defensible long-term boundary for the green belt in this area</w:t>
      </w:r>
      <w:r w:rsidR="003608A1">
        <w:rPr>
          <w:rFonts w:ascii="Arial" w:eastAsia="Calibri" w:hAnsi="Arial" w:cs="Arial"/>
          <w:color w:val="auto"/>
          <w:szCs w:val="24"/>
        </w:rPr>
        <w:t>.</w:t>
      </w:r>
    </w:p>
    <w:p w14:paraId="5333A5AC" w14:textId="77777777" w:rsidR="00EC658F" w:rsidRPr="00694FCA" w:rsidRDefault="00EC658F" w:rsidP="00EC658F">
      <w:pPr>
        <w:pStyle w:val="ListParagraph"/>
        <w:autoSpaceDE w:val="0"/>
        <w:autoSpaceDN w:val="0"/>
        <w:adjustRightInd w:val="0"/>
        <w:spacing w:after="0" w:line="240" w:lineRule="auto"/>
        <w:ind w:left="851"/>
        <w:rPr>
          <w:rFonts w:ascii="Arial" w:eastAsia="Calibri" w:hAnsi="Arial" w:cs="Arial"/>
          <w:color w:val="auto"/>
          <w:szCs w:val="24"/>
        </w:rPr>
      </w:pPr>
    </w:p>
    <w:p w14:paraId="7D1D332A" w14:textId="6AB7C9EA" w:rsidR="00F11371" w:rsidRPr="00333BD1"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694FCA">
        <w:rPr>
          <w:rFonts w:ascii="Arial" w:eastAsia="Calibri" w:hAnsi="Arial" w:cs="Arial"/>
          <w:color w:val="auto"/>
          <w:szCs w:val="24"/>
        </w:rPr>
        <w:t xml:space="preserve">The site </w:t>
      </w:r>
      <w:r w:rsidR="00EC658F" w:rsidRPr="00694FCA">
        <w:rPr>
          <w:rFonts w:ascii="Arial" w:eastAsia="Calibri" w:hAnsi="Arial" w:cs="Arial"/>
          <w:color w:val="auto"/>
          <w:szCs w:val="24"/>
        </w:rPr>
        <w:t>has</w:t>
      </w:r>
      <w:r w:rsidRPr="00694FCA">
        <w:rPr>
          <w:rFonts w:ascii="Arial" w:eastAsia="Calibri" w:hAnsi="Arial" w:cs="Arial"/>
          <w:color w:val="auto"/>
          <w:szCs w:val="24"/>
        </w:rPr>
        <w:t xml:space="preserve"> extensive tree cover with open grassed areas, and the land slopes steeply in parts (southwards from </w:t>
      </w:r>
      <w:proofErr w:type="spellStart"/>
      <w:r w:rsidRPr="00694FCA">
        <w:rPr>
          <w:rFonts w:ascii="Arial" w:eastAsia="Calibri" w:hAnsi="Arial" w:cs="Arial"/>
          <w:color w:val="auto"/>
          <w:szCs w:val="24"/>
        </w:rPr>
        <w:t>Hazelford</w:t>
      </w:r>
      <w:proofErr w:type="spellEnd"/>
      <w:r w:rsidRPr="00694FCA">
        <w:rPr>
          <w:rFonts w:ascii="Arial" w:eastAsia="Calibri" w:hAnsi="Arial" w:cs="Arial"/>
          <w:color w:val="auto"/>
          <w:szCs w:val="24"/>
        </w:rPr>
        <w:t xml:space="preserve"> Way) and westwards from Tilford Road. It is likely that levelling may be necessary </w:t>
      </w:r>
      <w:proofErr w:type="gramStart"/>
      <w:r w:rsidRPr="00694FCA">
        <w:rPr>
          <w:rFonts w:ascii="Arial" w:eastAsia="Calibri" w:hAnsi="Arial" w:cs="Arial"/>
          <w:color w:val="auto"/>
          <w:szCs w:val="24"/>
        </w:rPr>
        <w:t>in order to</w:t>
      </w:r>
      <w:proofErr w:type="gramEnd"/>
      <w:r w:rsidRPr="00694FCA">
        <w:rPr>
          <w:rFonts w:ascii="Arial" w:eastAsia="Calibri" w:hAnsi="Arial" w:cs="Arial"/>
          <w:color w:val="auto"/>
          <w:szCs w:val="24"/>
        </w:rPr>
        <w:t xml:space="preserve"> accommodate a residential development. Part of the side was formerly used as railway sidings and there is also likely to be colliery spoil made </w:t>
      </w:r>
      <w:r w:rsidR="001A01F6" w:rsidRPr="00694FCA">
        <w:rPr>
          <w:rFonts w:ascii="Arial" w:eastAsia="Calibri" w:hAnsi="Arial" w:cs="Arial"/>
          <w:color w:val="auto"/>
          <w:szCs w:val="24"/>
        </w:rPr>
        <w:t>ground, meaning</w:t>
      </w:r>
      <w:r w:rsidRPr="00694FCA">
        <w:rPr>
          <w:rFonts w:ascii="Arial" w:eastAsia="Calibri" w:hAnsi="Arial" w:cs="Arial"/>
          <w:color w:val="auto"/>
          <w:szCs w:val="24"/>
        </w:rPr>
        <w:t xml:space="preserve"> potential for </w:t>
      </w:r>
      <w:r w:rsidRPr="00333BD1">
        <w:rPr>
          <w:rFonts w:ascii="Arial" w:eastAsia="Calibri" w:hAnsi="Arial" w:cs="Arial"/>
          <w:color w:val="auto"/>
          <w:szCs w:val="24"/>
        </w:rPr>
        <w:t>contamination at this site. As such it will be necessary to undertake investigations to identify the nature of any contamination. A subsequent risk assessment will determine what remediation is required to enable the site to be developed.</w:t>
      </w:r>
    </w:p>
    <w:p w14:paraId="0E9CAB9F" w14:textId="77777777" w:rsidR="005B3F83" w:rsidRPr="00333BD1" w:rsidRDefault="005B3F83" w:rsidP="005B3F83">
      <w:pPr>
        <w:pStyle w:val="ListParagraph"/>
        <w:rPr>
          <w:rFonts w:ascii="Arial" w:eastAsia="Calibri" w:hAnsi="Arial" w:cs="Arial"/>
          <w:color w:val="auto"/>
          <w:szCs w:val="24"/>
        </w:rPr>
      </w:pPr>
    </w:p>
    <w:p w14:paraId="321C9C15" w14:textId="65887032" w:rsidR="005B3F83" w:rsidRPr="00333BD1" w:rsidRDefault="005B3F83" w:rsidP="00BD522C">
      <w:pPr>
        <w:pStyle w:val="ListParagraph"/>
        <w:numPr>
          <w:ilvl w:val="1"/>
          <w:numId w:val="92"/>
        </w:numPr>
        <w:autoSpaceDE w:val="0"/>
        <w:autoSpaceDN w:val="0"/>
        <w:adjustRightInd w:val="0"/>
        <w:spacing w:after="0" w:line="240" w:lineRule="auto"/>
        <w:ind w:left="851" w:hanging="851"/>
        <w:rPr>
          <w:rStyle w:val="Normal1"/>
          <w:iCs/>
          <w:color w:val="auto"/>
        </w:rPr>
      </w:pPr>
      <w:r w:rsidRPr="00333BD1">
        <w:rPr>
          <w:rFonts w:ascii="Arial" w:eastAsia="Calibri" w:hAnsi="Arial" w:cs="Arial"/>
          <w:b/>
          <w:bCs/>
          <w:color w:val="auto"/>
          <w:szCs w:val="24"/>
        </w:rPr>
        <w:t>H1Kk: Land off Laburnum Avenue</w:t>
      </w:r>
      <w:r w:rsidRPr="00333BD1">
        <w:rPr>
          <w:rFonts w:ascii="Arial" w:eastAsia="Calibri" w:hAnsi="Arial" w:cs="Arial"/>
          <w:color w:val="auto"/>
          <w:szCs w:val="24"/>
        </w:rPr>
        <w:t xml:space="preserve">.  </w:t>
      </w:r>
      <w:r w:rsidRPr="00333BD1">
        <w:rPr>
          <w:rFonts w:ascii="Arial" w:eastAsia="Calibri" w:hAnsi="Arial" w:cs="Arial"/>
          <w:strike/>
          <w:color w:val="auto"/>
          <w:szCs w:val="24"/>
        </w:rPr>
        <w:t>This site has a resolution to approve Full planning permission for 38 dwellings subject to the signing of a s106 legal agreement for agreed developer contributions</w:t>
      </w:r>
      <w:r w:rsidRPr="00333BD1">
        <w:rPr>
          <w:rFonts w:ascii="Arial" w:eastAsia="Calibri" w:hAnsi="Arial" w:cs="Arial"/>
          <w:color w:val="auto"/>
          <w:szCs w:val="24"/>
        </w:rPr>
        <w:t xml:space="preserve">.  </w:t>
      </w:r>
      <w:r w:rsidR="00BD522C" w:rsidRPr="00333BD1">
        <w:rPr>
          <w:rStyle w:val="Normal1"/>
          <w:iCs/>
          <w:color w:val="0070C0"/>
        </w:rPr>
        <w:t>This site now has planning permission and is under construction.</w:t>
      </w:r>
    </w:p>
    <w:p w14:paraId="61E025F4" w14:textId="77777777" w:rsidR="005478B6" w:rsidRPr="00A7475C" w:rsidRDefault="005478B6" w:rsidP="005478B6">
      <w:pPr>
        <w:pStyle w:val="ListParagraph"/>
        <w:rPr>
          <w:rFonts w:ascii="Arial" w:eastAsia="Arial" w:hAnsi="Arial"/>
          <w:iCs/>
          <w:color w:val="auto"/>
          <w:highlight w:val="yellow"/>
        </w:rPr>
      </w:pPr>
    </w:p>
    <w:p w14:paraId="07DE69FD" w14:textId="11D6B0CE" w:rsidR="00107F27" w:rsidRPr="00BD0222" w:rsidRDefault="00107F27" w:rsidP="00333BD1">
      <w:pPr>
        <w:pStyle w:val="ListParagraph"/>
        <w:autoSpaceDE w:val="0"/>
        <w:autoSpaceDN w:val="0"/>
        <w:adjustRightInd w:val="0"/>
        <w:spacing w:after="0" w:line="240" w:lineRule="auto"/>
        <w:ind w:left="851"/>
        <w:rPr>
          <w:rFonts w:ascii="Arial" w:eastAsia="Calibri" w:hAnsi="Arial" w:cs="Arial"/>
          <w:color w:val="0070C0"/>
          <w:szCs w:val="24"/>
        </w:rPr>
      </w:pPr>
      <w:r w:rsidRPr="00BD0222">
        <w:rPr>
          <w:rFonts w:ascii="Arial" w:eastAsia="Calibri" w:hAnsi="Arial" w:cs="Arial"/>
          <w:b/>
          <w:bCs/>
          <w:color w:val="0070C0"/>
          <w:szCs w:val="24"/>
        </w:rPr>
        <w:t>H1Km: Abbey Road, Kirkby</w:t>
      </w:r>
      <w:r w:rsidRPr="00BD0222">
        <w:rPr>
          <w:rFonts w:ascii="Arial" w:eastAsia="Calibri" w:hAnsi="Arial" w:cs="Arial"/>
          <w:color w:val="0070C0"/>
          <w:szCs w:val="24"/>
        </w:rPr>
        <w:t>. This Greenfield site is located adjacent to the existing urban area of Kirkby- in-Ashfield and has been assessed as available, potentially suitable, and potentially achievable in the SHELAA (ref. KA024).</w:t>
      </w:r>
      <w:r w:rsidRPr="00BD0222">
        <w:rPr>
          <w:rFonts w:ascii="Arial" w:eastAsia="Arial" w:hAnsi="Arial" w:cs="Arial"/>
          <w:bCs/>
          <w:color w:val="0070C0"/>
        </w:rPr>
        <w:t xml:space="preserve"> The site has outline planning permission to deliver 38 homes.</w:t>
      </w:r>
    </w:p>
    <w:p w14:paraId="7A94BA84" w14:textId="77777777" w:rsidR="00107F27" w:rsidRPr="00BD0222" w:rsidRDefault="00107F27" w:rsidP="00107F27">
      <w:pPr>
        <w:autoSpaceDE w:val="0"/>
        <w:autoSpaceDN w:val="0"/>
        <w:adjustRightInd w:val="0"/>
        <w:rPr>
          <w:rFonts w:eastAsia="Calibri" w:cs="Arial"/>
          <w:color w:val="0070C0"/>
          <w:szCs w:val="24"/>
        </w:rPr>
      </w:pPr>
    </w:p>
    <w:p w14:paraId="74415A1C" w14:textId="58D68C17" w:rsidR="00107F27" w:rsidRPr="002A48D6" w:rsidRDefault="00107F27" w:rsidP="002A48D6">
      <w:pPr>
        <w:pStyle w:val="ListParagraph"/>
        <w:autoSpaceDE w:val="0"/>
        <w:autoSpaceDN w:val="0"/>
        <w:adjustRightInd w:val="0"/>
        <w:spacing w:after="0" w:line="240" w:lineRule="auto"/>
        <w:ind w:left="851"/>
        <w:rPr>
          <w:rFonts w:ascii="Arial" w:eastAsia="Calibri" w:hAnsi="Arial" w:cs="Arial"/>
          <w:color w:val="0070C0"/>
          <w:szCs w:val="24"/>
        </w:rPr>
      </w:pPr>
      <w:r w:rsidRPr="00BD0222">
        <w:rPr>
          <w:rFonts w:ascii="Arial" w:eastAsia="Calibri" w:hAnsi="Arial" w:cs="Arial"/>
          <w:b/>
          <w:bCs/>
          <w:color w:val="0070C0"/>
          <w:szCs w:val="24"/>
        </w:rPr>
        <w:t xml:space="preserve">H1Kn: Southwell Lane, Kirkby. </w:t>
      </w:r>
      <w:r w:rsidRPr="00BD0222">
        <w:rPr>
          <w:rFonts w:ascii="Arial" w:eastAsia="Calibri" w:hAnsi="Arial" w:cs="Arial"/>
          <w:color w:val="0070C0"/>
          <w:szCs w:val="24"/>
        </w:rPr>
        <w:t>This brownfield site is identified on the Brownfield Register (BFR 12) and has been assessed as available, potentially suitable, and potentially achievable in the SHELAA (ref. KA057).</w:t>
      </w:r>
      <w:r w:rsidRPr="00BD0222">
        <w:rPr>
          <w:rFonts w:ascii="Arial" w:hAnsi="Arial" w:cs="Arial"/>
          <w:szCs w:val="24"/>
        </w:rPr>
        <w:t xml:space="preserve"> </w:t>
      </w:r>
      <w:r w:rsidRPr="00BD0222">
        <w:rPr>
          <w:rFonts w:ascii="Arial" w:hAnsi="Arial" w:cs="Arial"/>
          <w:color w:val="0070C0"/>
          <w:szCs w:val="24"/>
        </w:rPr>
        <w:t>It is located within the Main Urban Area and occupies a former reclaimed employment site.</w:t>
      </w:r>
      <w:r w:rsidR="002A48D6">
        <w:rPr>
          <w:rFonts w:ascii="Arial" w:hAnsi="Arial" w:cs="Arial"/>
          <w:color w:val="0070C0"/>
          <w:szCs w:val="24"/>
        </w:rPr>
        <w:t xml:space="preserve"> </w:t>
      </w:r>
      <w:r w:rsidRPr="002A48D6">
        <w:rPr>
          <w:rFonts w:ascii="Arial" w:eastAsia="Calibri" w:hAnsi="Arial" w:cs="Arial"/>
          <w:color w:val="0070C0"/>
          <w:szCs w:val="24"/>
        </w:rPr>
        <w:t>Likely existence of contamination and possible ground stability issues will require further investigation as part of any proposed housing scheme.</w:t>
      </w:r>
      <w:r w:rsidRPr="002A48D6">
        <w:rPr>
          <w:rFonts w:ascii="Arial" w:hAnsi="Arial" w:cs="Arial"/>
        </w:rPr>
        <w:t xml:space="preserve"> </w:t>
      </w:r>
      <w:r w:rsidRPr="002A48D6">
        <w:rPr>
          <w:rFonts w:ascii="Arial" w:eastAsia="Calibri" w:hAnsi="Arial" w:cs="Arial"/>
          <w:color w:val="0070C0"/>
          <w:szCs w:val="24"/>
        </w:rPr>
        <w:t>Town Fund cycling and walking route S10 crosses the site north to south and will also need to be considered as part of any future planning application.</w:t>
      </w:r>
    </w:p>
    <w:p w14:paraId="0A2AEAAC" w14:textId="77777777" w:rsidR="00107F27" w:rsidRPr="00BD0222" w:rsidRDefault="00107F27" w:rsidP="00107F27">
      <w:pPr>
        <w:ind w:left="720"/>
        <w:contextualSpacing/>
        <w:rPr>
          <w:rFonts w:eastAsia="Calibri" w:cs="Arial"/>
          <w:color w:val="0070C0"/>
          <w:szCs w:val="24"/>
        </w:rPr>
      </w:pPr>
    </w:p>
    <w:p w14:paraId="49DF6C66" w14:textId="75C6BD0A" w:rsidR="00107F27" w:rsidRPr="00D65BD7" w:rsidRDefault="00107F27" w:rsidP="00D65BD7">
      <w:pPr>
        <w:pStyle w:val="ListParagraph"/>
        <w:autoSpaceDE w:val="0"/>
        <w:autoSpaceDN w:val="0"/>
        <w:adjustRightInd w:val="0"/>
        <w:spacing w:after="0" w:line="240" w:lineRule="auto"/>
        <w:ind w:left="851"/>
        <w:rPr>
          <w:rFonts w:ascii="Arial" w:eastAsia="Calibri" w:hAnsi="Arial" w:cs="Arial"/>
          <w:color w:val="0070C0"/>
          <w:szCs w:val="24"/>
        </w:rPr>
      </w:pPr>
      <w:r w:rsidRPr="00BD0222">
        <w:rPr>
          <w:rFonts w:ascii="Arial" w:eastAsia="Calibri" w:hAnsi="Arial" w:cs="Arial"/>
          <w:b/>
          <w:bCs/>
          <w:color w:val="0070C0"/>
          <w:szCs w:val="24"/>
        </w:rPr>
        <w:t xml:space="preserve">H1Ko: Former Kirkland's care home, Fairhaven, Kirkby. </w:t>
      </w:r>
      <w:r w:rsidRPr="00BD0222">
        <w:rPr>
          <w:rFonts w:ascii="Arial" w:eastAsia="Calibri" w:hAnsi="Arial" w:cs="Arial"/>
          <w:color w:val="0070C0"/>
          <w:szCs w:val="24"/>
        </w:rPr>
        <w:t>This vacant brownfield site has been assessed as available, potentially suitable, and potentially achievable in the SHELAA (ref. KA058).</w:t>
      </w:r>
      <w:r w:rsidRPr="00BD0222">
        <w:rPr>
          <w:rFonts w:ascii="Arial" w:hAnsi="Arial" w:cs="Arial"/>
          <w:color w:val="0070C0"/>
          <w:szCs w:val="24"/>
        </w:rPr>
        <w:t xml:space="preserve"> It is located within the Main Urban Area and occupies the site of a former nursing home now demolished.</w:t>
      </w:r>
      <w:r w:rsidR="00D65BD7">
        <w:rPr>
          <w:rFonts w:ascii="Arial" w:hAnsi="Arial" w:cs="Arial"/>
          <w:color w:val="0070C0"/>
          <w:szCs w:val="24"/>
        </w:rPr>
        <w:t xml:space="preserve"> </w:t>
      </w:r>
      <w:r w:rsidRPr="00D65BD7">
        <w:rPr>
          <w:rFonts w:ascii="Arial" w:eastAsia="Calibri" w:hAnsi="Arial" w:cs="Arial"/>
          <w:color w:val="0070C0"/>
          <w:szCs w:val="24"/>
        </w:rPr>
        <w:t xml:space="preserve">The site </w:t>
      </w:r>
      <w:proofErr w:type="gramStart"/>
      <w:r w:rsidRPr="00D65BD7">
        <w:rPr>
          <w:rFonts w:ascii="Arial" w:eastAsia="Calibri" w:hAnsi="Arial" w:cs="Arial"/>
          <w:color w:val="0070C0"/>
          <w:szCs w:val="24"/>
        </w:rPr>
        <w:t>is located in</w:t>
      </w:r>
      <w:proofErr w:type="gramEnd"/>
      <w:r w:rsidRPr="00D65BD7">
        <w:rPr>
          <w:rFonts w:ascii="Arial" w:eastAsia="Calibri" w:hAnsi="Arial" w:cs="Arial"/>
          <w:color w:val="0070C0"/>
          <w:szCs w:val="24"/>
        </w:rPr>
        <w:t xml:space="preserve"> </w:t>
      </w:r>
      <w:proofErr w:type="spellStart"/>
      <w:r w:rsidRPr="00D65BD7">
        <w:rPr>
          <w:rFonts w:ascii="Arial" w:eastAsia="Calibri" w:hAnsi="Arial" w:cs="Arial"/>
          <w:color w:val="0070C0"/>
          <w:szCs w:val="24"/>
        </w:rPr>
        <w:t>Floodzone</w:t>
      </w:r>
      <w:proofErr w:type="spellEnd"/>
      <w:r w:rsidRPr="00D65BD7">
        <w:rPr>
          <w:rFonts w:ascii="Arial" w:eastAsia="Calibri" w:hAnsi="Arial" w:cs="Arial"/>
          <w:color w:val="0070C0"/>
          <w:szCs w:val="24"/>
        </w:rPr>
        <w:t xml:space="preserve"> 1 with a low level of flood risk. There are no historic records of surface water flooding on site, however there are areas of low/medium/high risk surface water flooding on Fairhaven Road.</w:t>
      </w:r>
    </w:p>
    <w:p w14:paraId="1B4E5C59" w14:textId="77777777" w:rsidR="00107F27" w:rsidRPr="00BD0222" w:rsidRDefault="00107F27" w:rsidP="004C7A58">
      <w:pPr>
        <w:pStyle w:val="ListParagraph"/>
        <w:autoSpaceDE w:val="0"/>
        <w:autoSpaceDN w:val="0"/>
        <w:adjustRightInd w:val="0"/>
        <w:spacing w:after="0" w:line="240" w:lineRule="auto"/>
        <w:ind w:left="851"/>
        <w:rPr>
          <w:rFonts w:ascii="Arial" w:eastAsia="Calibri" w:hAnsi="Arial" w:cs="Arial"/>
          <w:color w:val="0070C0"/>
          <w:szCs w:val="24"/>
        </w:rPr>
      </w:pPr>
    </w:p>
    <w:p w14:paraId="39AB1831" w14:textId="2C7E9FCE" w:rsidR="00107F27" w:rsidRPr="00D65BD7" w:rsidRDefault="00107F27" w:rsidP="00D65BD7">
      <w:pPr>
        <w:pStyle w:val="ListParagraph"/>
        <w:autoSpaceDE w:val="0"/>
        <w:autoSpaceDN w:val="0"/>
        <w:adjustRightInd w:val="0"/>
        <w:spacing w:after="0" w:line="240" w:lineRule="auto"/>
        <w:ind w:left="851"/>
        <w:rPr>
          <w:rFonts w:ascii="Arial" w:hAnsi="Arial" w:cs="Arial"/>
          <w:color w:val="0070C0"/>
          <w:szCs w:val="24"/>
        </w:rPr>
      </w:pPr>
      <w:r w:rsidRPr="00BD0222">
        <w:rPr>
          <w:rFonts w:ascii="Arial" w:eastAsia="Calibri" w:hAnsi="Arial" w:cs="Arial"/>
          <w:b/>
          <w:bCs/>
          <w:color w:val="0070C0"/>
          <w:szCs w:val="24"/>
        </w:rPr>
        <w:t xml:space="preserve">H1Kp: Pond Hole, Kirkby. </w:t>
      </w:r>
      <w:r w:rsidRPr="00BD0222">
        <w:rPr>
          <w:rFonts w:ascii="Arial" w:eastAsia="Calibri" w:hAnsi="Arial" w:cs="Arial"/>
          <w:color w:val="0070C0"/>
          <w:szCs w:val="24"/>
        </w:rPr>
        <w:t>This vacant brownfield site has been assessed as available, potentially suitable, and potentially achievable in the SHELAA (ref. KA059).</w:t>
      </w:r>
      <w:r w:rsidRPr="00BD0222">
        <w:rPr>
          <w:rFonts w:ascii="Arial" w:hAnsi="Arial" w:cs="Arial"/>
          <w:color w:val="0070C0"/>
          <w:szCs w:val="24"/>
        </w:rPr>
        <w:t xml:space="preserve"> It is located within the main Urban area, in particular Kirkby town centre and is currently used for storage purposes.</w:t>
      </w:r>
      <w:r w:rsidR="00D65BD7">
        <w:rPr>
          <w:rFonts w:ascii="Arial" w:hAnsi="Arial" w:cs="Arial"/>
          <w:color w:val="0070C0"/>
          <w:szCs w:val="24"/>
        </w:rPr>
        <w:t xml:space="preserve"> </w:t>
      </w:r>
      <w:r w:rsidRPr="00D65BD7">
        <w:rPr>
          <w:rFonts w:ascii="Arial" w:eastAsia="Calibri" w:hAnsi="Arial" w:cs="Arial"/>
          <w:color w:val="0070C0"/>
          <w:szCs w:val="24"/>
        </w:rPr>
        <w:t>The</w:t>
      </w:r>
      <w:r w:rsidRPr="00D65BD7">
        <w:rPr>
          <w:rFonts w:ascii="Arial" w:hAnsi="Arial" w:cs="Arial"/>
          <w:color w:val="0070C0"/>
          <w:szCs w:val="24"/>
        </w:rPr>
        <w:t xml:space="preserve"> site is identified as part of Priority Project A3 in the Kirkby Town Centre Spatial Masterplan: Shaping Kirkby’s Future (2021), alongside Site H1Kr Ellis Street.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r w:rsidR="00D65BD7">
        <w:rPr>
          <w:rFonts w:ascii="Arial" w:hAnsi="Arial" w:cs="Arial"/>
          <w:color w:val="0070C0"/>
          <w:szCs w:val="24"/>
        </w:rPr>
        <w:t xml:space="preserve"> </w:t>
      </w:r>
      <w:r w:rsidRPr="00D65BD7">
        <w:rPr>
          <w:rFonts w:ascii="Arial" w:hAnsi="Arial" w:cs="Arial"/>
          <w:color w:val="0070C0"/>
          <w:szCs w:val="24"/>
        </w:rPr>
        <w:t>The site borders a former local landfill site, as such a remediation plan will be required.</w:t>
      </w:r>
    </w:p>
    <w:p w14:paraId="73CBD75B" w14:textId="77777777" w:rsidR="00107F27" w:rsidRPr="00BD0222" w:rsidRDefault="00107F27" w:rsidP="00107F27">
      <w:pPr>
        <w:rPr>
          <w:rFonts w:eastAsia="Calibri" w:cs="Arial"/>
          <w:color w:val="0070C0"/>
          <w:szCs w:val="24"/>
        </w:rPr>
      </w:pPr>
    </w:p>
    <w:p w14:paraId="05263A26" w14:textId="40C1D78C" w:rsidR="00107F27" w:rsidRPr="008D489D" w:rsidRDefault="00107F27" w:rsidP="008D489D">
      <w:pPr>
        <w:pStyle w:val="ListParagraph"/>
        <w:autoSpaceDE w:val="0"/>
        <w:autoSpaceDN w:val="0"/>
        <w:adjustRightInd w:val="0"/>
        <w:spacing w:after="0" w:line="240" w:lineRule="auto"/>
        <w:ind w:left="851"/>
        <w:rPr>
          <w:rFonts w:ascii="Arial" w:hAnsi="Arial" w:cs="Arial"/>
          <w:color w:val="0070C0"/>
        </w:rPr>
      </w:pPr>
      <w:r w:rsidRPr="00BD0222">
        <w:rPr>
          <w:rFonts w:ascii="Arial" w:eastAsia="Calibri" w:hAnsi="Arial" w:cs="Arial"/>
          <w:b/>
          <w:bCs/>
          <w:color w:val="0070C0"/>
          <w:szCs w:val="24"/>
        </w:rPr>
        <w:t>H1Kq:</w:t>
      </w:r>
      <w:r w:rsidRPr="00BD0222">
        <w:rPr>
          <w:rFonts w:ascii="Arial" w:hAnsi="Arial" w:cs="Arial"/>
        </w:rPr>
        <w:t xml:space="preserve"> </w:t>
      </w:r>
      <w:r w:rsidRPr="00BD0222">
        <w:rPr>
          <w:rFonts w:ascii="Arial" w:eastAsia="Calibri" w:hAnsi="Arial" w:cs="Arial"/>
          <w:b/>
          <w:bCs/>
          <w:color w:val="0070C0"/>
          <w:szCs w:val="24"/>
        </w:rPr>
        <w:t>Former Wyvern Club site, Lane End, Kirkby</w:t>
      </w:r>
      <w:r w:rsidRPr="00BD0222">
        <w:rPr>
          <w:rFonts w:ascii="Arial" w:eastAsia="Calibri" w:hAnsi="Arial" w:cs="Arial"/>
          <w:color w:val="0070C0"/>
          <w:szCs w:val="24"/>
        </w:rPr>
        <w:t xml:space="preserve"> This vacant brownfield site has been assessed as available, potentially suitable, and potentially achievable in the SHELAA (ref. KA060).</w:t>
      </w:r>
      <w:r w:rsidRPr="00BD0222">
        <w:rPr>
          <w:rFonts w:ascii="Arial" w:hAnsi="Arial" w:cs="Arial"/>
          <w:color w:val="0070C0"/>
          <w:szCs w:val="24"/>
        </w:rPr>
        <w:t xml:space="preserve"> It is located within Kirkby Town Centre and is identified as Medium-Term Project B1 in the Kirkby Town Centre Spatial Masterplan: Shaping Kirkby’s Future (2021). It forms part of the western ‘station’ gateway to the town centre where there is </w:t>
      </w:r>
      <w:r w:rsidRPr="00BD0222">
        <w:rPr>
          <w:rFonts w:ascii="Arial" w:hAnsi="Arial" w:cs="Arial"/>
          <w:color w:val="0070C0"/>
        </w:rPr>
        <w:t>an opportunity to redevelop and reconfigure the area to enhance</w:t>
      </w:r>
      <w:r w:rsidRPr="00BD0222">
        <w:rPr>
          <w:rFonts w:ascii="Arial" w:hAnsi="Arial" w:cs="Arial"/>
          <w:color w:val="0070C0"/>
          <w:spacing w:val="1"/>
        </w:rPr>
        <w:t xml:space="preserve"> </w:t>
      </w:r>
      <w:r w:rsidRPr="00BD0222">
        <w:rPr>
          <w:rFonts w:ascii="Arial" w:hAnsi="Arial" w:cs="Arial"/>
          <w:color w:val="0070C0"/>
        </w:rPr>
        <w:t>access to/from the station, to provide a focus to the gateway, and to develop vacant</w:t>
      </w:r>
      <w:r w:rsidRPr="00BD0222">
        <w:rPr>
          <w:rFonts w:ascii="Arial" w:hAnsi="Arial" w:cs="Arial"/>
          <w:color w:val="0070C0"/>
          <w:spacing w:val="-64"/>
        </w:rPr>
        <w:t xml:space="preserve"> </w:t>
      </w:r>
      <w:r w:rsidRPr="00BD0222">
        <w:rPr>
          <w:rFonts w:ascii="Arial" w:hAnsi="Arial" w:cs="Arial"/>
          <w:color w:val="0070C0"/>
        </w:rPr>
        <w:t>land</w:t>
      </w:r>
      <w:r w:rsidRPr="00BD0222">
        <w:rPr>
          <w:rFonts w:ascii="Arial" w:hAnsi="Arial" w:cs="Arial"/>
          <w:color w:val="0070C0"/>
          <w:spacing w:val="-2"/>
        </w:rPr>
        <w:t xml:space="preserve"> </w:t>
      </w:r>
      <w:r w:rsidRPr="00BD0222">
        <w:rPr>
          <w:rFonts w:ascii="Arial" w:hAnsi="Arial" w:cs="Arial"/>
          <w:color w:val="0070C0"/>
        </w:rPr>
        <w:t>on</w:t>
      </w:r>
      <w:r w:rsidRPr="00BD0222">
        <w:rPr>
          <w:rFonts w:ascii="Arial" w:hAnsi="Arial" w:cs="Arial"/>
          <w:color w:val="0070C0"/>
          <w:spacing w:val="1"/>
        </w:rPr>
        <w:t xml:space="preserve"> </w:t>
      </w:r>
      <w:r w:rsidRPr="00BD0222">
        <w:rPr>
          <w:rFonts w:ascii="Arial" w:hAnsi="Arial" w:cs="Arial"/>
          <w:color w:val="0070C0"/>
        </w:rPr>
        <w:t>the</w:t>
      </w:r>
      <w:r w:rsidRPr="00BD0222">
        <w:rPr>
          <w:rFonts w:ascii="Arial" w:hAnsi="Arial" w:cs="Arial"/>
          <w:color w:val="0070C0"/>
          <w:spacing w:val="-1"/>
        </w:rPr>
        <w:t xml:space="preserve"> </w:t>
      </w:r>
      <w:r w:rsidRPr="00BD0222">
        <w:rPr>
          <w:rFonts w:ascii="Arial" w:hAnsi="Arial" w:cs="Arial"/>
          <w:color w:val="0070C0"/>
        </w:rPr>
        <w:t>edge</w:t>
      </w:r>
      <w:r w:rsidRPr="00BD0222">
        <w:rPr>
          <w:rFonts w:ascii="Arial" w:hAnsi="Arial" w:cs="Arial"/>
          <w:color w:val="0070C0"/>
          <w:spacing w:val="1"/>
        </w:rPr>
        <w:t xml:space="preserve"> </w:t>
      </w:r>
      <w:r w:rsidRPr="00BD0222">
        <w:rPr>
          <w:rFonts w:ascii="Arial" w:hAnsi="Arial" w:cs="Arial"/>
          <w:color w:val="0070C0"/>
        </w:rPr>
        <w:t>of</w:t>
      </w:r>
      <w:r w:rsidRPr="00BD0222">
        <w:rPr>
          <w:rFonts w:ascii="Arial" w:hAnsi="Arial" w:cs="Arial"/>
          <w:color w:val="0070C0"/>
          <w:spacing w:val="1"/>
        </w:rPr>
        <w:t xml:space="preserve"> </w:t>
      </w:r>
      <w:r w:rsidRPr="00BD0222">
        <w:rPr>
          <w:rFonts w:ascii="Arial" w:hAnsi="Arial" w:cs="Arial"/>
          <w:color w:val="0070C0"/>
        </w:rPr>
        <w:t>the</w:t>
      </w:r>
      <w:r w:rsidRPr="00BD0222">
        <w:rPr>
          <w:rFonts w:ascii="Arial" w:hAnsi="Arial" w:cs="Arial"/>
          <w:color w:val="0070C0"/>
          <w:spacing w:val="-2"/>
        </w:rPr>
        <w:t xml:space="preserve"> </w:t>
      </w:r>
      <w:r w:rsidRPr="00BD0222">
        <w:rPr>
          <w:rFonts w:ascii="Arial" w:hAnsi="Arial" w:cs="Arial"/>
          <w:color w:val="0070C0"/>
        </w:rPr>
        <w:t>town</w:t>
      </w:r>
      <w:r w:rsidRPr="00BD0222">
        <w:rPr>
          <w:rFonts w:ascii="Arial" w:hAnsi="Arial" w:cs="Arial"/>
          <w:color w:val="0070C0"/>
          <w:spacing w:val="1"/>
        </w:rPr>
        <w:t xml:space="preserve"> </w:t>
      </w:r>
      <w:r w:rsidRPr="00BD0222">
        <w:rPr>
          <w:rFonts w:ascii="Arial" w:hAnsi="Arial" w:cs="Arial"/>
          <w:color w:val="0070C0"/>
        </w:rPr>
        <w:t>centre. This site now has full planning permission to deliver 12 apartments.</w:t>
      </w:r>
      <w:r w:rsidR="008D489D">
        <w:rPr>
          <w:rFonts w:ascii="Arial" w:hAnsi="Arial" w:cs="Arial"/>
          <w:color w:val="0070C0"/>
        </w:rPr>
        <w:t xml:space="preserve"> </w:t>
      </w:r>
      <w:r w:rsidRPr="008D489D">
        <w:rPr>
          <w:rFonts w:ascii="Arial" w:hAnsi="Arial" w:cs="Arial"/>
          <w:color w:val="0070C0"/>
          <w:szCs w:val="24"/>
        </w:rPr>
        <w:t xml:space="preserve">The site has a low level of flood risk, </w:t>
      </w:r>
      <w:proofErr w:type="gramStart"/>
      <w:r w:rsidRPr="008D489D">
        <w:rPr>
          <w:rFonts w:ascii="Arial" w:hAnsi="Arial" w:cs="Arial"/>
          <w:color w:val="0070C0"/>
          <w:szCs w:val="24"/>
        </w:rPr>
        <w:t>being located in</w:t>
      </w:r>
      <w:proofErr w:type="gramEnd"/>
      <w:r w:rsidRPr="008D489D">
        <w:rPr>
          <w:rFonts w:ascii="Arial" w:hAnsi="Arial" w:cs="Arial"/>
          <w:color w:val="0070C0"/>
          <w:szCs w:val="24"/>
        </w:rPr>
        <w:t xml:space="preserve"> Flood Zone 1. However, an area of Flood Zone 3 adjoins the south-east corner of the site.</w:t>
      </w:r>
    </w:p>
    <w:p w14:paraId="26917735" w14:textId="77777777" w:rsidR="00107F27" w:rsidRPr="00BD0222" w:rsidRDefault="00107F27" w:rsidP="00107F27">
      <w:pPr>
        <w:autoSpaceDE w:val="0"/>
        <w:autoSpaceDN w:val="0"/>
        <w:adjustRightInd w:val="0"/>
        <w:rPr>
          <w:rFonts w:cs="Arial"/>
          <w:color w:val="0070C0"/>
        </w:rPr>
      </w:pPr>
    </w:p>
    <w:p w14:paraId="1C0E0B9C" w14:textId="6D0F426B" w:rsidR="005478B6" w:rsidRPr="008D489D" w:rsidRDefault="00107F27" w:rsidP="008D489D">
      <w:pPr>
        <w:pStyle w:val="ListParagraph"/>
        <w:autoSpaceDE w:val="0"/>
        <w:autoSpaceDN w:val="0"/>
        <w:adjustRightInd w:val="0"/>
        <w:spacing w:after="0" w:line="240" w:lineRule="auto"/>
        <w:ind w:left="851"/>
        <w:rPr>
          <w:rFonts w:ascii="Arial" w:eastAsia="Calibri" w:hAnsi="Arial" w:cs="Arial"/>
          <w:szCs w:val="24"/>
        </w:rPr>
      </w:pPr>
      <w:r w:rsidRPr="00BD0222">
        <w:rPr>
          <w:rFonts w:ascii="Arial" w:eastAsia="Calibri" w:hAnsi="Arial" w:cs="Arial"/>
          <w:b/>
          <w:bCs/>
          <w:color w:val="0070C0"/>
          <w:szCs w:val="24"/>
        </w:rPr>
        <w:t>H1Kr: Ellis Street, Kirkby</w:t>
      </w:r>
      <w:r w:rsidRPr="00BD0222">
        <w:rPr>
          <w:rFonts w:ascii="Arial" w:eastAsia="Calibri" w:hAnsi="Arial" w:cs="Arial"/>
          <w:color w:val="0070C0"/>
          <w:szCs w:val="24"/>
        </w:rPr>
        <w:t xml:space="preserve"> This brownfield site has been assessed as available, potentially suitable, and potentially achievable in the SHELAA (ref. KA061).</w:t>
      </w:r>
      <w:r w:rsidRPr="00BD0222">
        <w:rPr>
          <w:rFonts w:ascii="Arial" w:hAnsi="Arial" w:cs="Arial"/>
          <w:color w:val="0070C0"/>
          <w:szCs w:val="24"/>
        </w:rPr>
        <w:t xml:space="preserve"> It is located within Kirkby town centre and is currently used as a car park, leisure and commercial units.</w:t>
      </w:r>
      <w:r w:rsidR="008D489D">
        <w:rPr>
          <w:rFonts w:ascii="Arial" w:hAnsi="Arial" w:cs="Arial"/>
          <w:color w:val="0070C0"/>
          <w:szCs w:val="24"/>
        </w:rPr>
        <w:t xml:space="preserve"> </w:t>
      </w:r>
      <w:r w:rsidRPr="008D489D">
        <w:rPr>
          <w:rFonts w:ascii="Arial" w:eastAsia="Calibri" w:hAnsi="Arial" w:cs="Arial"/>
          <w:color w:val="0070C0"/>
          <w:szCs w:val="24"/>
        </w:rPr>
        <w:t>The</w:t>
      </w:r>
      <w:r w:rsidRPr="008D489D">
        <w:rPr>
          <w:rFonts w:ascii="Arial" w:hAnsi="Arial" w:cs="Arial"/>
          <w:color w:val="0070C0"/>
          <w:szCs w:val="24"/>
        </w:rPr>
        <w:t xml:space="preserve"> site is identified as part of Priority Project A3 in the Kirkby Town Centre Spatial Masterplan: Shaping Kirkby’s Future (2021), alongside Site H1Kp Pond Hole. The Key opportunity for the entire ‘A3’ project is to redevelop for residential led mixed use to capitalise on the town centre location. This should include uses to promote an active frontage on to Ellis Street to redefine the west side of the Civic Square, for example, service, commercial, community/leisure uses appropriate to a town centre location.</w:t>
      </w:r>
      <w:r w:rsidR="008D489D">
        <w:rPr>
          <w:rFonts w:ascii="Arial" w:hAnsi="Arial" w:cs="Arial"/>
          <w:color w:val="0070C0"/>
          <w:szCs w:val="24"/>
        </w:rPr>
        <w:t xml:space="preserve"> </w:t>
      </w:r>
      <w:r w:rsidRPr="008D489D">
        <w:rPr>
          <w:rFonts w:ascii="Arial" w:hAnsi="Arial" w:cs="Arial"/>
          <w:color w:val="0070C0"/>
          <w:szCs w:val="24"/>
        </w:rPr>
        <w:t>The site borders a former local landfill site, as such a remediation plan will be required</w:t>
      </w:r>
      <w:r w:rsidR="00791571" w:rsidRPr="008D489D">
        <w:rPr>
          <w:rFonts w:ascii="Arial" w:hAnsi="Arial" w:cs="Arial"/>
          <w:color w:val="0070C0"/>
          <w:szCs w:val="24"/>
        </w:rPr>
        <w:t>.</w:t>
      </w:r>
    </w:p>
    <w:p w14:paraId="658E4893" w14:textId="77777777" w:rsidR="00F11371" w:rsidRPr="004C7A58" w:rsidRDefault="00F11371" w:rsidP="00F11371">
      <w:pPr>
        <w:pStyle w:val="ListParagraph"/>
        <w:rPr>
          <w:rFonts w:ascii="Arial" w:eastAsia="Calibri" w:hAnsi="Arial" w:cs="Arial"/>
          <w:color w:val="auto"/>
          <w:szCs w:val="24"/>
          <w:highlight w:val="yellow"/>
        </w:rPr>
      </w:pPr>
    </w:p>
    <w:p w14:paraId="7CF01DED" w14:textId="3CC24941" w:rsidR="00715560" w:rsidRPr="00BD522C" w:rsidRDefault="0044521A"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333BD1">
        <w:rPr>
          <w:rFonts w:ascii="Arial" w:eastAsia="Calibri" w:hAnsi="Arial" w:cs="Arial"/>
          <w:b/>
          <w:bCs/>
          <w:color w:val="auto"/>
        </w:rPr>
        <w:t>Sites H1Kb, H1Kd</w:t>
      </w:r>
      <w:r w:rsidR="00333BD1" w:rsidRPr="00333BD1">
        <w:rPr>
          <w:rFonts w:ascii="Arial" w:eastAsia="Calibri" w:hAnsi="Arial" w:cs="Arial"/>
          <w:b/>
          <w:bCs/>
          <w:color w:val="auto"/>
        </w:rPr>
        <w:t>,</w:t>
      </w:r>
      <w:r w:rsidRPr="00333BD1">
        <w:rPr>
          <w:rFonts w:ascii="Arial" w:eastAsia="Calibri" w:hAnsi="Arial" w:cs="Arial"/>
          <w:b/>
          <w:bCs/>
          <w:color w:val="auto"/>
        </w:rPr>
        <w:t xml:space="preserve"> </w:t>
      </w:r>
      <w:r w:rsidRPr="00333BD1">
        <w:rPr>
          <w:rFonts w:ascii="Arial" w:eastAsia="Calibri" w:hAnsi="Arial" w:cs="Arial"/>
          <w:b/>
          <w:bCs/>
          <w:strike/>
          <w:color w:val="auto"/>
        </w:rPr>
        <w:t>and</w:t>
      </w:r>
      <w:r w:rsidRPr="00333BD1">
        <w:rPr>
          <w:rFonts w:ascii="Arial" w:eastAsia="Calibri" w:hAnsi="Arial" w:cs="Arial"/>
          <w:b/>
          <w:bCs/>
          <w:color w:val="auto"/>
        </w:rPr>
        <w:t xml:space="preserve"> H1Kf</w:t>
      </w:r>
      <w:r w:rsidR="00333BD1" w:rsidRPr="00333BD1">
        <w:rPr>
          <w:rFonts w:ascii="Arial" w:eastAsia="Calibri" w:hAnsi="Arial" w:cs="Arial"/>
          <w:b/>
          <w:bCs/>
          <w:color w:val="0070C0"/>
        </w:rPr>
        <w:t>,</w:t>
      </w:r>
      <w:r w:rsidR="00791571" w:rsidRPr="00333BD1">
        <w:rPr>
          <w:rFonts w:ascii="Arial" w:eastAsia="Calibri" w:hAnsi="Arial" w:cs="Arial"/>
          <w:b/>
          <w:bCs/>
          <w:color w:val="0070C0"/>
        </w:rPr>
        <w:t xml:space="preserve"> H1Kk, H1Kl and H1</w:t>
      </w:r>
      <w:proofErr w:type="gramStart"/>
      <w:r w:rsidR="00791571" w:rsidRPr="00333BD1">
        <w:rPr>
          <w:rFonts w:ascii="Arial" w:eastAsia="Calibri" w:hAnsi="Arial" w:cs="Arial"/>
          <w:b/>
          <w:bCs/>
          <w:color w:val="0070C0"/>
        </w:rPr>
        <w:t>Km</w:t>
      </w:r>
      <w:r w:rsidRPr="00333BD1">
        <w:rPr>
          <w:rFonts w:ascii="Arial" w:eastAsia="Calibri" w:hAnsi="Arial" w:cs="Arial"/>
          <w:color w:val="auto"/>
        </w:rPr>
        <w:t xml:space="preserve">  </w:t>
      </w:r>
      <w:r w:rsidR="00F11371" w:rsidRPr="00333BD1">
        <w:rPr>
          <w:rStyle w:val="Normal1"/>
          <w:rFonts w:cs="Arial"/>
          <w:iCs/>
          <w:strike/>
          <w:color w:val="auto"/>
          <w:szCs w:val="24"/>
        </w:rPr>
        <w:t>The</w:t>
      </w:r>
      <w:proofErr w:type="gramEnd"/>
      <w:r w:rsidR="00F11371" w:rsidRPr="00333BD1">
        <w:rPr>
          <w:rStyle w:val="Normal1"/>
          <w:rFonts w:cs="Arial"/>
          <w:iCs/>
          <w:strike/>
          <w:color w:val="auto"/>
          <w:szCs w:val="24"/>
        </w:rPr>
        <w:t xml:space="preserve"> remaining</w:t>
      </w:r>
      <w:r w:rsidR="00F11371" w:rsidRPr="00333BD1">
        <w:rPr>
          <w:rStyle w:val="Normal1"/>
          <w:rFonts w:cs="Arial"/>
          <w:iCs/>
          <w:color w:val="auto"/>
          <w:szCs w:val="24"/>
        </w:rPr>
        <w:t xml:space="preserve"> </w:t>
      </w:r>
      <w:r w:rsidR="00791571" w:rsidRPr="00333BD1">
        <w:rPr>
          <w:rStyle w:val="Normal1"/>
          <w:rFonts w:cs="Arial"/>
          <w:iCs/>
          <w:color w:val="0070C0"/>
          <w:szCs w:val="24"/>
        </w:rPr>
        <w:t xml:space="preserve">These </w:t>
      </w:r>
      <w:r w:rsidR="00F11371" w:rsidRPr="00333BD1">
        <w:rPr>
          <w:rStyle w:val="Normal1"/>
          <w:rFonts w:cs="Arial"/>
          <w:iCs/>
          <w:color w:val="auto"/>
          <w:szCs w:val="24"/>
        </w:rPr>
        <w:t>Kirkby area housing allocations</w:t>
      </w:r>
      <w:r w:rsidR="00F11371" w:rsidRPr="00333BD1">
        <w:rPr>
          <w:rStyle w:val="Normal1"/>
          <w:rFonts w:cs="Arial"/>
          <w:b/>
          <w:bCs/>
          <w:iCs/>
          <w:color w:val="auto"/>
          <w:szCs w:val="24"/>
        </w:rPr>
        <w:t xml:space="preserve"> </w:t>
      </w:r>
      <w:r w:rsidR="00791571" w:rsidRPr="00333BD1">
        <w:rPr>
          <w:rStyle w:val="Normal1"/>
          <w:rFonts w:cs="Arial"/>
          <w:iCs/>
          <w:color w:val="0070C0"/>
          <w:szCs w:val="24"/>
        </w:rPr>
        <w:t>all</w:t>
      </w:r>
      <w:r w:rsidR="00791571" w:rsidRPr="00333BD1">
        <w:rPr>
          <w:rStyle w:val="Normal1"/>
          <w:rFonts w:cs="Arial"/>
          <w:b/>
          <w:bCs/>
          <w:iCs/>
          <w:color w:val="auto"/>
          <w:szCs w:val="24"/>
        </w:rPr>
        <w:t xml:space="preserve"> </w:t>
      </w:r>
      <w:r w:rsidR="00715560" w:rsidRPr="00333BD1">
        <w:rPr>
          <w:rFonts w:ascii="Arial" w:eastAsia="Calibri" w:hAnsi="Arial" w:cs="Arial"/>
          <w:color w:val="auto"/>
        </w:rPr>
        <w:t>have the benefit of planning permission at the time of writing. Further details on these</w:t>
      </w:r>
      <w:r w:rsidR="00715560" w:rsidRPr="00BD522C">
        <w:rPr>
          <w:rFonts w:ascii="Arial" w:eastAsia="Calibri" w:hAnsi="Arial" w:cs="Arial"/>
          <w:color w:val="auto"/>
        </w:rPr>
        <w:t xml:space="preserve"> sites can be found in the Housing Trajectory in Appendix 2 which gives information on the type of permission, application reference and estimated delivery timescales. </w:t>
      </w:r>
    </w:p>
    <w:p w14:paraId="22B916AB" w14:textId="77777777" w:rsidR="00715560" w:rsidRPr="00EC658F" w:rsidRDefault="00715560" w:rsidP="00715560">
      <w:pPr>
        <w:rPr>
          <w:rFonts w:eastAsia="Calibri" w:cs="Arial"/>
          <w:color w:val="4472C4" w:themeColor="accent1"/>
          <w:szCs w:val="24"/>
        </w:rPr>
      </w:pPr>
    </w:p>
    <w:p w14:paraId="31A7647B" w14:textId="77777777" w:rsidR="00715560" w:rsidRPr="00694FCA" w:rsidRDefault="00715560" w:rsidP="00715560">
      <w:pPr>
        <w:rPr>
          <w:rStyle w:val="Heading10"/>
          <w:rFonts w:cs="Arial"/>
          <w:b w:val="0"/>
          <w:bCs/>
          <w:color w:val="auto"/>
          <w:szCs w:val="24"/>
          <w:u w:val="single"/>
        </w:rPr>
      </w:pPr>
      <w:r w:rsidRPr="00694FCA">
        <w:rPr>
          <w:rStyle w:val="Heading10"/>
          <w:rFonts w:cs="Arial"/>
          <w:bCs/>
          <w:color w:val="auto"/>
          <w:szCs w:val="24"/>
          <w:u w:val="single"/>
        </w:rPr>
        <w:t xml:space="preserve">Housing Allocations in the Sutton Area </w:t>
      </w:r>
    </w:p>
    <w:p w14:paraId="59B95C77" w14:textId="77777777" w:rsidR="00715560" w:rsidRPr="00694FCA" w:rsidRDefault="00715560" w:rsidP="0027552A">
      <w:pPr>
        <w:autoSpaceDE w:val="0"/>
        <w:autoSpaceDN w:val="0"/>
        <w:adjustRightInd w:val="0"/>
        <w:rPr>
          <w:rFonts w:eastAsia="Calibri" w:cs="Arial"/>
          <w:bCs/>
          <w:color w:val="auto"/>
          <w:highlight w:val="yellow"/>
        </w:rPr>
      </w:pPr>
    </w:p>
    <w:p w14:paraId="371D21F7" w14:textId="603DD8E4" w:rsidR="00715560" w:rsidRPr="0056594F" w:rsidRDefault="00715560"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56594F">
        <w:rPr>
          <w:rFonts w:ascii="Arial" w:eastAsia="Calibri" w:hAnsi="Arial" w:cs="Arial"/>
          <w:b/>
          <w:color w:val="auto"/>
        </w:rPr>
        <w:t xml:space="preserve">Site H1Sb: South of </w:t>
      </w:r>
      <w:r w:rsidR="00C7390D" w:rsidRPr="0056594F">
        <w:rPr>
          <w:rFonts w:ascii="Arial" w:eastAsia="Calibri" w:hAnsi="Arial" w:cs="Arial"/>
          <w:b/>
          <w:color w:val="auto"/>
        </w:rPr>
        <w:t xml:space="preserve">Vision </w:t>
      </w:r>
      <w:r w:rsidRPr="0056594F">
        <w:rPr>
          <w:rFonts w:ascii="Arial" w:eastAsia="Calibri" w:hAnsi="Arial" w:cs="Arial"/>
          <w:b/>
          <w:color w:val="auto"/>
        </w:rPr>
        <w:t>West Notts College, Cauldwell Road, Mansfield</w:t>
      </w:r>
      <w:r w:rsidRPr="0056594F">
        <w:rPr>
          <w:rFonts w:ascii="Arial" w:eastAsia="Calibri" w:hAnsi="Arial" w:cs="Arial"/>
          <w:bCs/>
          <w:color w:val="auto"/>
        </w:rPr>
        <w:t>. This greenfield site</w:t>
      </w:r>
      <w:r w:rsidR="00C7390D" w:rsidRPr="0056594F">
        <w:rPr>
          <w:rFonts w:ascii="Arial" w:hAnsi="Arial" w:cs="Arial"/>
          <w:color w:val="auto"/>
          <w:szCs w:val="24"/>
        </w:rPr>
        <w:t xml:space="preserve"> </w:t>
      </w:r>
      <w:r w:rsidR="00C7390D" w:rsidRPr="0056594F">
        <w:rPr>
          <w:rFonts w:ascii="Arial" w:eastAsia="Calibri" w:hAnsi="Arial" w:cs="Arial"/>
          <w:color w:val="auto"/>
          <w:szCs w:val="24"/>
        </w:rPr>
        <w:t>has been assessed as available, potentially suitable, and achievable in the SHELAA</w:t>
      </w:r>
      <w:r w:rsidR="00C7390D" w:rsidRPr="0056594F">
        <w:rPr>
          <w:rFonts w:ascii="Arial" w:eastAsia="Calibri" w:hAnsi="Arial" w:cs="Arial"/>
          <w:b/>
          <w:bCs/>
          <w:color w:val="auto"/>
          <w:szCs w:val="24"/>
        </w:rPr>
        <w:t xml:space="preserve"> </w:t>
      </w:r>
      <w:r w:rsidR="00C7390D" w:rsidRPr="0056594F">
        <w:rPr>
          <w:rFonts w:ascii="Arial" w:hAnsi="Arial" w:cs="Arial"/>
          <w:color w:val="auto"/>
          <w:szCs w:val="24"/>
        </w:rPr>
        <w:t>(ref. S0009).</w:t>
      </w:r>
      <w:r w:rsidRPr="0056594F">
        <w:rPr>
          <w:rFonts w:ascii="Arial" w:eastAsia="Calibri" w:hAnsi="Arial" w:cs="Arial"/>
          <w:bCs/>
          <w:color w:val="auto"/>
        </w:rPr>
        <w:t xml:space="preserve"> </w:t>
      </w:r>
      <w:r w:rsidR="00C7390D" w:rsidRPr="0056594F">
        <w:rPr>
          <w:rFonts w:ascii="Arial" w:eastAsia="Calibri" w:hAnsi="Arial" w:cs="Arial"/>
          <w:bCs/>
          <w:color w:val="auto"/>
        </w:rPr>
        <w:t xml:space="preserve">It </w:t>
      </w:r>
      <w:r w:rsidRPr="0056594F">
        <w:rPr>
          <w:rFonts w:ascii="Arial" w:eastAsia="Calibri" w:hAnsi="Arial" w:cs="Arial"/>
          <w:bCs/>
          <w:color w:val="auto"/>
        </w:rPr>
        <w:t>is located adjacent to the Mansfield urban area south of West Notts College</w:t>
      </w:r>
      <w:r w:rsidR="00C7390D" w:rsidRPr="0056594F">
        <w:rPr>
          <w:rFonts w:ascii="Arial" w:eastAsia="Calibri" w:hAnsi="Arial" w:cs="Arial"/>
          <w:bCs/>
          <w:color w:val="auto"/>
        </w:rPr>
        <w:t xml:space="preserve"> and</w:t>
      </w:r>
      <w:r w:rsidRPr="0056594F">
        <w:rPr>
          <w:rFonts w:ascii="Arial" w:eastAsia="Calibri" w:hAnsi="Arial" w:cs="Arial"/>
          <w:bCs/>
          <w:color w:val="auto"/>
        </w:rPr>
        <w:t xml:space="preserve"> is well co</w:t>
      </w:r>
      <w:r w:rsidRPr="0056594F">
        <w:rPr>
          <w:rFonts w:ascii="Arial" w:hAnsi="Arial" w:cs="Arial"/>
          <w:bCs/>
          <w:color w:val="auto"/>
          <w:szCs w:val="24"/>
        </w:rPr>
        <w:t>ntained by the A617 (MARR route) to the south, Derby Road to the west, Cauldwell Road to the north and Nottingham Road to the east. Some surface water</w:t>
      </w:r>
      <w:r w:rsidRPr="0056594F">
        <w:rPr>
          <w:rFonts w:ascii="Arial" w:hAnsi="Arial" w:cs="Arial"/>
          <w:color w:val="auto"/>
          <w:szCs w:val="24"/>
        </w:rPr>
        <w:t xml:space="preserve"> flooding has been recorded on areas of the site. Appropriate on-site green space will be required to help minimise potential recreational disturbance at Thieves Wood which forms part of the Sherwood Forest possible potential Special Protection Area (</w:t>
      </w:r>
      <w:proofErr w:type="spellStart"/>
      <w:r w:rsidRPr="0056594F">
        <w:rPr>
          <w:rFonts w:ascii="Arial" w:hAnsi="Arial" w:cs="Arial"/>
          <w:color w:val="auto"/>
          <w:szCs w:val="24"/>
        </w:rPr>
        <w:t>ppSPA</w:t>
      </w:r>
      <w:proofErr w:type="spellEnd"/>
      <w:r w:rsidRPr="0056594F">
        <w:rPr>
          <w:rFonts w:ascii="Arial" w:hAnsi="Arial" w:cs="Arial"/>
          <w:color w:val="auto"/>
          <w:szCs w:val="24"/>
        </w:rPr>
        <w:t xml:space="preserve">). A small section of the sites is located within Mansfield District Council area. The yield of 208 is based on land located within Ashfield District only. </w:t>
      </w:r>
    </w:p>
    <w:p w14:paraId="73ACC74F" w14:textId="77777777" w:rsidR="00715560" w:rsidRPr="0056594F" w:rsidRDefault="00715560" w:rsidP="00715560">
      <w:pPr>
        <w:rPr>
          <w:rFonts w:cs="Arial"/>
          <w:b/>
          <w:color w:val="auto"/>
          <w:szCs w:val="24"/>
        </w:rPr>
      </w:pPr>
    </w:p>
    <w:p w14:paraId="33C73575" w14:textId="77777777" w:rsidR="003F46AD" w:rsidRDefault="00715560" w:rsidP="003F46AD">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56594F">
        <w:rPr>
          <w:rFonts w:ascii="Arial" w:eastAsia="Calibri" w:hAnsi="Arial" w:cs="Arial"/>
          <w:b/>
          <w:bCs/>
          <w:color w:val="auto"/>
          <w:szCs w:val="24"/>
        </w:rPr>
        <w:t xml:space="preserve">Site H1Sd: </w:t>
      </w:r>
      <w:proofErr w:type="spellStart"/>
      <w:r w:rsidRPr="0056594F">
        <w:rPr>
          <w:rFonts w:ascii="Arial" w:eastAsia="Calibri" w:hAnsi="Arial" w:cs="Arial"/>
          <w:b/>
          <w:bCs/>
          <w:color w:val="auto"/>
          <w:szCs w:val="24"/>
        </w:rPr>
        <w:t>Adj</w:t>
      </w:r>
      <w:proofErr w:type="spellEnd"/>
      <w:r w:rsidRPr="0056594F">
        <w:rPr>
          <w:rFonts w:ascii="Arial" w:eastAsia="Calibri" w:hAnsi="Arial" w:cs="Arial"/>
          <w:b/>
          <w:bCs/>
          <w:color w:val="auto"/>
          <w:szCs w:val="24"/>
        </w:rPr>
        <w:t xml:space="preserve"> Oakham Business Park, off Hamilton Road, Sutton-In-Ashfield. </w:t>
      </w:r>
      <w:r w:rsidRPr="0056594F">
        <w:rPr>
          <w:rFonts w:ascii="Arial" w:eastAsia="Calibri" w:hAnsi="Arial" w:cs="Arial"/>
          <w:color w:val="auto"/>
          <w:szCs w:val="24"/>
        </w:rPr>
        <w:t>This greenfield site</w:t>
      </w:r>
      <w:r w:rsidR="00725295" w:rsidRPr="0056594F">
        <w:rPr>
          <w:rFonts w:ascii="Arial" w:hAnsi="Arial" w:cs="Arial"/>
          <w:color w:val="auto"/>
        </w:rPr>
        <w:t xml:space="preserve"> </w:t>
      </w:r>
      <w:r w:rsidR="00725295" w:rsidRPr="0056594F">
        <w:rPr>
          <w:rFonts w:ascii="Arial" w:eastAsia="Calibri" w:hAnsi="Arial" w:cs="Arial"/>
          <w:color w:val="auto"/>
          <w:szCs w:val="24"/>
        </w:rPr>
        <w:t>has been asse</w:t>
      </w:r>
      <w:r w:rsidR="00725295" w:rsidRPr="00694FCA">
        <w:rPr>
          <w:rFonts w:ascii="Arial" w:eastAsia="Calibri" w:hAnsi="Arial" w:cs="Arial"/>
          <w:color w:val="auto"/>
          <w:szCs w:val="24"/>
        </w:rPr>
        <w:t xml:space="preserve">ssed as available, potentially suitable, and potentially achievable in the SHELAA (Refs SA016, SA044). It </w:t>
      </w:r>
      <w:r w:rsidRPr="00694FCA">
        <w:rPr>
          <w:rFonts w:ascii="Arial" w:eastAsia="Calibri" w:hAnsi="Arial" w:cs="Arial"/>
          <w:color w:val="auto"/>
          <w:szCs w:val="24"/>
        </w:rPr>
        <w:t>is located adjacent to the existing urban area of Mansfield</w:t>
      </w:r>
      <w:r w:rsidR="00725295" w:rsidRPr="00694FCA">
        <w:rPr>
          <w:rFonts w:ascii="Arial" w:eastAsia="Calibri" w:hAnsi="Arial" w:cs="Arial"/>
          <w:color w:val="auto"/>
          <w:szCs w:val="24"/>
        </w:rPr>
        <w:t xml:space="preserve"> and</w:t>
      </w:r>
      <w:r w:rsidRPr="00694FCA">
        <w:rPr>
          <w:rFonts w:ascii="Arial" w:eastAsia="Calibri" w:hAnsi="Arial" w:cs="Arial"/>
          <w:color w:val="auto"/>
          <w:szCs w:val="24"/>
        </w:rPr>
        <w:t xml:space="preserve"> comprises an agricultural field which includes a former railway cutting and is enclosed by employment development to north and east, a railway with Kingsmill reservoir beyond to the west, and countryside with employment development beyond to the south.</w:t>
      </w:r>
      <w:r w:rsidR="006B5518">
        <w:rPr>
          <w:rFonts w:ascii="Arial" w:eastAsia="Calibri" w:hAnsi="Arial" w:cs="Arial"/>
          <w:color w:val="auto"/>
          <w:szCs w:val="24"/>
        </w:rPr>
        <w:t xml:space="preserve"> </w:t>
      </w:r>
    </w:p>
    <w:p w14:paraId="7C5A9720" w14:textId="77777777" w:rsidR="003F46AD" w:rsidRPr="003F46AD" w:rsidRDefault="003F46AD" w:rsidP="003F46AD">
      <w:pPr>
        <w:pStyle w:val="ListParagraph"/>
        <w:rPr>
          <w:rStyle w:val="Normal1"/>
          <w:rFonts w:cs="Arial"/>
          <w:iCs/>
          <w:color w:val="00B0F0"/>
          <w:szCs w:val="24"/>
        </w:rPr>
      </w:pPr>
    </w:p>
    <w:p w14:paraId="7EB0284E" w14:textId="742A0133" w:rsidR="003F46AD" w:rsidRPr="003F46AD" w:rsidRDefault="00AF0313" w:rsidP="003F46AD">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Pr>
          <w:rStyle w:val="Normal1"/>
          <w:rFonts w:cs="Arial"/>
          <w:iCs/>
          <w:color w:val="auto"/>
          <w:szCs w:val="24"/>
        </w:rPr>
        <w:t>T</w:t>
      </w:r>
      <w:r w:rsidR="00F02EAA" w:rsidRPr="003F46AD">
        <w:rPr>
          <w:rFonts w:ascii="Arial" w:eastAsia="Calibri" w:hAnsi="Arial" w:cs="Arial"/>
          <w:color w:val="auto"/>
          <w:szCs w:val="24"/>
        </w:rPr>
        <w:t>he site is located c.240m north of Hamilton Hill Scheduled Monume</w:t>
      </w:r>
      <w:r w:rsidR="006D08C6" w:rsidRPr="003F46AD">
        <w:rPr>
          <w:rFonts w:ascii="Arial" w:eastAsia="Calibri" w:hAnsi="Arial" w:cs="Arial"/>
          <w:color w:val="auto"/>
          <w:szCs w:val="24"/>
        </w:rPr>
        <w:t>n</w:t>
      </w:r>
      <w:r w:rsidR="00F02EAA" w:rsidRPr="003F46AD">
        <w:rPr>
          <w:rFonts w:ascii="Arial" w:eastAsia="Calibri" w:hAnsi="Arial" w:cs="Arial"/>
          <w:color w:val="auto"/>
          <w:szCs w:val="24"/>
        </w:rPr>
        <w:t>t</w:t>
      </w:r>
      <w:r w:rsidR="006D08C6" w:rsidRPr="003F46AD">
        <w:rPr>
          <w:rFonts w:ascii="Arial" w:eastAsia="Calibri" w:hAnsi="Arial" w:cs="Arial"/>
          <w:color w:val="auto"/>
          <w:szCs w:val="24"/>
        </w:rPr>
        <w:t xml:space="preserve"> </w:t>
      </w:r>
      <w:r w:rsidR="00F02EAA" w:rsidRPr="003F46AD">
        <w:rPr>
          <w:rFonts w:ascii="Arial" w:eastAsia="Calibri" w:hAnsi="Arial" w:cs="Arial"/>
          <w:color w:val="auto"/>
          <w:szCs w:val="24"/>
        </w:rPr>
        <w:t>and</w:t>
      </w:r>
      <w:r w:rsidR="006D08C6" w:rsidRPr="003F46AD">
        <w:rPr>
          <w:rFonts w:ascii="Arial" w:eastAsia="Calibri" w:hAnsi="Arial" w:cs="Arial"/>
          <w:color w:val="auto"/>
          <w:szCs w:val="24"/>
        </w:rPr>
        <w:t xml:space="preserve"> </w:t>
      </w:r>
      <w:r w:rsidR="00F02EAA" w:rsidRPr="003F46AD">
        <w:rPr>
          <w:rFonts w:ascii="Arial" w:eastAsia="Calibri" w:hAnsi="Arial" w:cs="Arial"/>
          <w:color w:val="auto"/>
          <w:szCs w:val="24"/>
        </w:rPr>
        <w:t>contribut</w:t>
      </w:r>
      <w:r w:rsidR="006D08C6" w:rsidRPr="003F46AD">
        <w:rPr>
          <w:rFonts w:ascii="Arial" w:eastAsia="Calibri" w:hAnsi="Arial" w:cs="Arial"/>
          <w:color w:val="auto"/>
          <w:szCs w:val="24"/>
        </w:rPr>
        <w:t xml:space="preserve">es positively </w:t>
      </w:r>
      <w:r w:rsidR="00F02EAA" w:rsidRPr="003F46AD">
        <w:rPr>
          <w:rFonts w:ascii="Arial" w:eastAsia="Calibri" w:hAnsi="Arial" w:cs="Arial"/>
          <w:color w:val="auto"/>
          <w:szCs w:val="24"/>
        </w:rPr>
        <w:t xml:space="preserve">to the asset’s historical rural setting. </w:t>
      </w:r>
      <w:r w:rsidR="006D08C6" w:rsidRPr="003F46AD">
        <w:rPr>
          <w:rFonts w:ascii="Arial" w:eastAsia="Calibri" w:hAnsi="Arial" w:cs="Arial"/>
          <w:color w:val="auto"/>
          <w:szCs w:val="24"/>
        </w:rPr>
        <w:t xml:space="preserve"> </w:t>
      </w:r>
      <w:r w:rsidR="006D08C6" w:rsidRPr="003F46AD">
        <w:rPr>
          <w:rFonts w:ascii="Arial" w:hAnsi="Arial" w:cs="Arial"/>
          <w:color w:val="auto"/>
          <w:szCs w:val="24"/>
        </w:rPr>
        <w:t xml:space="preserve">Due to the proximity of the site to the asset and the relatively flat topography of the area, site lines are direct and careful building design needs to be undertaken to reduce any potential harm.  The most sensitive area is the western end of the site, which allows direct </w:t>
      </w:r>
      <w:r w:rsidR="006D08C6" w:rsidRPr="003F46AD">
        <w:rPr>
          <w:rFonts w:ascii="Arial" w:hAnsi="Arial" w:cs="Arial"/>
          <w:color w:val="auto"/>
          <w:szCs w:val="24"/>
        </w:rPr>
        <w:lastRenderedPageBreak/>
        <w:t xml:space="preserve">views </w:t>
      </w:r>
      <w:r w:rsidR="003F46AD" w:rsidRPr="003F46AD">
        <w:rPr>
          <w:rFonts w:ascii="Arial" w:hAnsi="Arial" w:cs="Arial"/>
          <w:color w:val="0070C0"/>
          <w:szCs w:val="24"/>
        </w:rPr>
        <w:t xml:space="preserve">across to </w:t>
      </w:r>
      <w:r w:rsidR="003F46AD" w:rsidRPr="003F46AD">
        <w:rPr>
          <w:rFonts w:ascii="Arial" w:hAnsi="Arial" w:cs="Arial"/>
          <w:strike/>
          <w:szCs w:val="24"/>
        </w:rPr>
        <w:t>of</w:t>
      </w:r>
      <w:r w:rsidR="003F46AD">
        <w:rPr>
          <w:rFonts w:ascii="Arial" w:hAnsi="Arial" w:cs="Arial"/>
          <w:color w:val="0070C0"/>
          <w:szCs w:val="24"/>
        </w:rPr>
        <w:t xml:space="preserve"> </w:t>
      </w:r>
      <w:r w:rsidR="003F46AD" w:rsidRPr="003F46AD">
        <w:rPr>
          <w:rFonts w:ascii="Arial" w:hAnsi="Arial" w:cs="Arial"/>
          <w:szCs w:val="24"/>
        </w:rPr>
        <w:t xml:space="preserve">Kings Mill Reservoir from Hamilton Hill </w:t>
      </w:r>
      <w:r w:rsidR="003F46AD" w:rsidRPr="003F46AD">
        <w:rPr>
          <w:rFonts w:ascii="Arial" w:hAnsi="Arial" w:cs="Arial"/>
          <w:color w:val="0070C0"/>
          <w:szCs w:val="24"/>
        </w:rPr>
        <w:t>and the counterpoint view back across the water to the Hill</w:t>
      </w:r>
      <w:r w:rsidR="00C07A7E">
        <w:rPr>
          <w:rFonts w:ascii="Arial" w:hAnsi="Arial" w:cs="Arial"/>
          <w:color w:val="0070C0"/>
          <w:szCs w:val="24"/>
        </w:rPr>
        <w:t xml:space="preserve"> </w:t>
      </w:r>
      <w:r w:rsidR="00C07A7E" w:rsidRPr="00C07A7E">
        <w:rPr>
          <w:rFonts w:ascii="Arial" w:hAnsi="Arial" w:cs="Arial"/>
          <w:color w:val="0070C0"/>
          <w:szCs w:val="24"/>
        </w:rPr>
        <w:t xml:space="preserve">(as shown in Figure 73 of the </w:t>
      </w:r>
      <w:r w:rsidR="00745096">
        <w:rPr>
          <w:rFonts w:ascii="Arial" w:hAnsi="Arial" w:cs="Arial"/>
          <w:color w:val="0070C0"/>
          <w:szCs w:val="24"/>
        </w:rPr>
        <w:t xml:space="preserve">2023 Heritage Impact Assessment </w:t>
      </w:r>
      <w:r w:rsidR="00791571">
        <w:rPr>
          <w:rFonts w:ascii="Arial" w:hAnsi="Arial" w:cs="Arial"/>
          <w:color w:val="0070C0"/>
          <w:szCs w:val="24"/>
        </w:rPr>
        <w:t>[</w:t>
      </w:r>
      <w:r w:rsidR="00C07A7E" w:rsidRPr="00C07A7E">
        <w:rPr>
          <w:rFonts w:ascii="Arial" w:hAnsi="Arial" w:cs="Arial"/>
          <w:color w:val="0070C0"/>
          <w:szCs w:val="24"/>
        </w:rPr>
        <w:t>HIA</w:t>
      </w:r>
      <w:r w:rsidR="00791571">
        <w:rPr>
          <w:rFonts w:ascii="Arial" w:hAnsi="Arial" w:cs="Arial"/>
          <w:color w:val="0070C0"/>
          <w:szCs w:val="24"/>
        </w:rPr>
        <w:t>]</w:t>
      </w:r>
      <w:r w:rsidR="00745096">
        <w:rPr>
          <w:rFonts w:ascii="Arial" w:hAnsi="Arial" w:cs="Arial"/>
          <w:color w:val="0070C0"/>
          <w:szCs w:val="24"/>
        </w:rPr>
        <w:t>)</w:t>
      </w:r>
      <w:r w:rsidR="003F46AD" w:rsidRPr="00C07A7E">
        <w:rPr>
          <w:rFonts w:ascii="Arial" w:hAnsi="Arial" w:cs="Arial"/>
          <w:color w:val="0070C0"/>
          <w:szCs w:val="24"/>
        </w:rPr>
        <w:t>.</w:t>
      </w:r>
      <w:r w:rsidR="00E40C6E" w:rsidRPr="00E40C6E">
        <w:rPr>
          <w:rFonts w:ascii="Arial" w:hAnsi="Arial" w:cs="Arial"/>
          <w:color w:val="0070C0"/>
          <w:szCs w:val="24"/>
        </w:rPr>
        <w:t xml:space="preserve"> </w:t>
      </w:r>
      <w:r w:rsidR="00E40C6E" w:rsidRPr="00E40C6E">
        <w:rPr>
          <w:rFonts w:ascii="Arial" w:hAnsi="Arial" w:cs="Arial"/>
          <w:strike/>
          <w:color w:val="auto"/>
          <w:szCs w:val="24"/>
        </w:rPr>
        <w:t>Any development in the area should not obstruct these views.</w:t>
      </w:r>
      <w:r w:rsidR="00E40C6E" w:rsidRPr="00E40C6E">
        <w:rPr>
          <w:rFonts w:ascii="Arial" w:hAnsi="Arial" w:cs="Arial"/>
          <w:color w:val="0070C0"/>
          <w:szCs w:val="24"/>
        </w:rPr>
        <w:t xml:space="preserve"> The Council will have regard to the findings of the HIA which indicates that views should remain unobstructed and/or undeveloped.</w:t>
      </w:r>
    </w:p>
    <w:p w14:paraId="5E310FD0" w14:textId="77777777" w:rsidR="003F46AD" w:rsidRPr="003F46AD" w:rsidRDefault="003F46AD" w:rsidP="003F46AD">
      <w:pPr>
        <w:autoSpaceDE w:val="0"/>
        <w:autoSpaceDN w:val="0"/>
        <w:adjustRightInd w:val="0"/>
        <w:rPr>
          <w:rFonts w:eastAsia="Calibri" w:cs="Arial"/>
          <w:color w:val="auto"/>
          <w:szCs w:val="24"/>
        </w:rPr>
      </w:pPr>
    </w:p>
    <w:p w14:paraId="34BF0DE3" w14:textId="340814B2" w:rsidR="00304995" w:rsidRPr="0056594F" w:rsidRDefault="006D08C6"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bookmarkStart w:id="213" w:name="_Hlk147224342"/>
      <w:r w:rsidRPr="00694FCA">
        <w:rPr>
          <w:rFonts w:ascii="Arial" w:eastAsia="Calibri" w:hAnsi="Arial" w:cs="Arial"/>
          <w:color w:val="auto"/>
          <w:szCs w:val="24"/>
        </w:rPr>
        <w:t>There is also a m</w:t>
      </w:r>
      <w:r w:rsidR="00F02EAA" w:rsidRPr="00694FCA">
        <w:rPr>
          <w:rFonts w:ascii="Arial" w:eastAsia="Calibri" w:hAnsi="Arial" w:cs="Arial"/>
          <w:color w:val="auto"/>
          <w:szCs w:val="24"/>
        </w:rPr>
        <w:t>oderate potential for archaeological remain</w:t>
      </w:r>
      <w:r w:rsidRPr="00694FCA">
        <w:rPr>
          <w:rFonts w:ascii="Arial" w:eastAsia="Calibri" w:hAnsi="Arial" w:cs="Arial"/>
          <w:color w:val="auto"/>
          <w:szCs w:val="24"/>
        </w:rPr>
        <w:t xml:space="preserve"> on the site</w:t>
      </w:r>
      <w:r w:rsidR="00F02EAA" w:rsidRPr="00694FCA">
        <w:rPr>
          <w:rFonts w:ascii="Arial" w:eastAsia="Calibri" w:hAnsi="Arial" w:cs="Arial"/>
          <w:color w:val="auto"/>
          <w:szCs w:val="24"/>
        </w:rPr>
        <w:t xml:space="preserve">. </w:t>
      </w:r>
      <w:r w:rsidR="003A37B3" w:rsidRPr="00694FCA">
        <w:rPr>
          <w:rStyle w:val="Normal1"/>
          <w:rFonts w:cs="Arial"/>
          <w:iCs/>
          <w:color w:val="auto"/>
          <w:szCs w:val="24"/>
        </w:rPr>
        <w:t xml:space="preserve">Further archaeological evaluation work will be required, beginning with a Desk Based Assessment (DBA), </w:t>
      </w:r>
      <w:r w:rsidR="003A37B3" w:rsidRPr="00694FCA">
        <w:rPr>
          <w:rFonts w:ascii="Arial" w:hAnsi="Arial" w:cs="Arial"/>
          <w:color w:val="auto"/>
        </w:rPr>
        <w:t>to ascertain the extent and level of survival of archaeological remains within the site</w:t>
      </w:r>
      <w:r w:rsidR="003A37B3" w:rsidRPr="00694FCA">
        <w:rPr>
          <w:rStyle w:val="Normal1"/>
          <w:rFonts w:cs="Arial"/>
          <w:iCs/>
          <w:color w:val="auto"/>
          <w:szCs w:val="24"/>
        </w:rPr>
        <w:t>.  Depending on the results of the DBA further archaeological investigations may be warranted, including a geophysical survey and targeted trial trenching, where necessary.  This work will inform the need for mitigation</w:t>
      </w:r>
      <w:bookmarkEnd w:id="213"/>
      <w:r w:rsidR="0056594F">
        <w:rPr>
          <w:rStyle w:val="Normal1"/>
          <w:rFonts w:cs="Arial"/>
          <w:iCs/>
          <w:color w:val="auto"/>
          <w:szCs w:val="24"/>
        </w:rPr>
        <w:t>.</w:t>
      </w:r>
    </w:p>
    <w:p w14:paraId="4E48CB59" w14:textId="77777777" w:rsidR="00304995" w:rsidRPr="00304995" w:rsidRDefault="00304995" w:rsidP="00304995">
      <w:pPr>
        <w:autoSpaceDE w:val="0"/>
        <w:autoSpaceDN w:val="0"/>
        <w:adjustRightInd w:val="0"/>
        <w:rPr>
          <w:rFonts w:eastAsia="Calibri" w:cs="Arial"/>
          <w:color w:val="4472C4" w:themeColor="accent1"/>
          <w:szCs w:val="24"/>
        </w:rPr>
      </w:pPr>
    </w:p>
    <w:p w14:paraId="2E71B1F4" w14:textId="77777777" w:rsidR="00715560" w:rsidRPr="00694FCA"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694FCA">
        <w:rPr>
          <w:rFonts w:ascii="Arial" w:eastAsia="Calibri" w:hAnsi="Arial" w:cs="Arial"/>
          <w:color w:val="auto"/>
          <w:szCs w:val="24"/>
        </w:rPr>
        <w:t>There is the likely existence of contamination and land stability issues on the site which will require investigation.</w:t>
      </w:r>
    </w:p>
    <w:p w14:paraId="45F0F02D" w14:textId="77777777" w:rsidR="00715560" w:rsidRPr="00694FCA" w:rsidRDefault="00715560" w:rsidP="00715560">
      <w:pPr>
        <w:autoSpaceDE w:val="0"/>
        <w:autoSpaceDN w:val="0"/>
        <w:adjustRightInd w:val="0"/>
        <w:rPr>
          <w:rStyle w:val="Heading10"/>
          <w:rFonts w:cs="Arial"/>
          <w:color w:val="auto"/>
          <w:szCs w:val="24"/>
        </w:rPr>
      </w:pPr>
    </w:p>
    <w:p w14:paraId="473AD30D" w14:textId="64727692" w:rsidR="00715560" w:rsidRPr="00694FCA"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bCs/>
          <w:color w:val="auto"/>
        </w:rPr>
      </w:pPr>
      <w:r w:rsidRPr="0056594F">
        <w:rPr>
          <w:rFonts w:ascii="Arial" w:eastAsia="Calibri" w:hAnsi="Arial" w:cs="Arial"/>
          <w:b/>
          <w:bCs/>
          <w:color w:val="auto"/>
        </w:rPr>
        <w:t xml:space="preserve">Site H1Se </w:t>
      </w:r>
      <w:proofErr w:type="spellStart"/>
      <w:r w:rsidRPr="0056594F">
        <w:rPr>
          <w:rFonts w:ascii="Arial" w:eastAsia="Calibri" w:hAnsi="Arial" w:cs="Arial"/>
          <w:b/>
          <w:color w:val="auto"/>
        </w:rPr>
        <w:t>Priestic</w:t>
      </w:r>
      <w:proofErr w:type="spellEnd"/>
      <w:r w:rsidRPr="0056594F">
        <w:rPr>
          <w:rFonts w:ascii="Arial" w:eastAsia="Calibri" w:hAnsi="Arial" w:cs="Arial"/>
          <w:b/>
          <w:color w:val="auto"/>
        </w:rPr>
        <w:t xml:space="preserve"> Road Road/ Northern View, Sutton</w:t>
      </w:r>
      <w:r w:rsidRPr="0056594F">
        <w:rPr>
          <w:rFonts w:ascii="Arial" w:eastAsia="Calibri" w:hAnsi="Arial" w:cs="Arial"/>
          <w:bCs/>
          <w:color w:val="auto"/>
        </w:rPr>
        <w:t>. This brownfield site is located within the main urban area of Sutton and has previously</w:t>
      </w:r>
      <w:r w:rsidRPr="00694FCA">
        <w:rPr>
          <w:rFonts w:ascii="Arial" w:eastAsia="Calibri" w:hAnsi="Arial" w:cs="Arial"/>
          <w:bCs/>
          <w:color w:val="auto"/>
        </w:rPr>
        <w:t xml:space="preserve"> had the benefit of outline planning permission. The site is a former railway cutting and licenced landfill which is surrounded by residential development. Contamination is suspected</w:t>
      </w:r>
      <w:r w:rsidR="00067782" w:rsidRPr="00694FCA">
        <w:rPr>
          <w:rFonts w:ascii="Arial" w:eastAsia="Calibri" w:hAnsi="Arial" w:cs="Arial"/>
          <w:bCs/>
          <w:color w:val="auto"/>
        </w:rPr>
        <w:t xml:space="preserve"> </w:t>
      </w:r>
      <w:proofErr w:type="gramStart"/>
      <w:r w:rsidR="00067782" w:rsidRPr="00694FCA">
        <w:rPr>
          <w:rFonts w:ascii="Arial" w:eastAsia="Calibri" w:hAnsi="Arial" w:cs="Arial"/>
          <w:bCs/>
          <w:color w:val="auto"/>
        </w:rPr>
        <w:t>as a consequence of</w:t>
      </w:r>
      <w:proofErr w:type="gramEnd"/>
      <w:r w:rsidRPr="00694FCA">
        <w:rPr>
          <w:rFonts w:ascii="Arial" w:eastAsia="Calibri" w:hAnsi="Arial" w:cs="Arial"/>
          <w:bCs/>
          <w:color w:val="auto"/>
        </w:rPr>
        <w:t xml:space="preserve"> previous uses. There is evidence of surface water flooding within the boundary of the site, particularly along the northern boundary. The site has been assessed as available, potentially suitable, and potentially achievable in the SHELAA (ref. SA017).</w:t>
      </w:r>
    </w:p>
    <w:p w14:paraId="36BF785C" w14:textId="77777777" w:rsidR="00715560" w:rsidRPr="00694FCA" w:rsidRDefault="00715560" w:rsidP="00C7390D">
      <w:pPr>
        <w:pStyle w:val="ListParagraph"/>
        <w:autoSpaceDE w:val="0"/>
        <w:autoSpaceDN w:val="0"/>
        <w:adjustRightInd w:val="0"/>
        <w:spacing w:after="0" w:line="240" w:lineRule="auto"/>
        <w:ind w:left="851"/>
        <w:rPr>
          <w:rFonts w:ascii="Arial" w:eastAsia="Calibri" w:hAnsi="Arial" w:cs="Arial"/>
          <w:bCs/>
          <w:color w:val="auto"/>
          <w:highlight w:val="yellow"/>
        </w:rPr>
      </w:pPr>
    </w:p>
    <w:p w14:paraId="1F303B84" w14:textId="4C12FF53" w:rsidR="00745B10" w:rsidRPr="007708DA" w:rsidRDefault="00715560" w:rsidP="00745B10">
      <w:pPr>
        <w:pStyle w:val="ListParagraph"/>
        <w:numPr>
          <w:ilvl w:val="1"/>
          <w:numId w:val="92"/>
        </w:numPr>
        <w:autoSpaceDE w:val="0"/>
        <w:autoSpaceDN w:val="0"/>
        <w:adjustRightInd w:val="0"/>
        <w:spacing w:after="0" w:line="240" w:lineRule="auto"/>
        <w:ind w:left="851" w:hanging="851"/>
        <w:rPr>
          <w:rFonts w:ascii="Arial" w:eastAsia="Calibri" w:hAnsi="Arial" w:cs="Arial"/>
          <w:bCs/>
          <w:color w:val="0070C0"/>
        </w:rPr>
      </w:pPr>
      <w:r w:rsidRPr="00694FCA">
        <w:rPr>
          <w:rFonts w:ascii="Arial" w:eastAsia="Calibri" w:hAnsi="Arial" w:cs="Arial"/>
          <w:b/>
          <w:color w:val="auto"/>
        </w:rPr>
        <w:t>Site H1Sf: Rear 23 Beck Lane, Skegby</w:t>
      </w:r>
      <w:r w:rsidRPr="00694FCA">
        <w:rPr>
          <w:rFonts w:ascii="Arial" w:eastAsia="Calibri" w:hAnsi="Arial" w:cs="Arial"/>
          <w:bCs/>
          <w:color w:val="auto"/>
        </w:rPr>
        <w:t xml:space="preserve">. This brownfield/greenfield site </w:t>
      </w:r>
      <w:r w:rsidR="00C7390D" w:rsidRPr="00694FCA">
        <w:rPr>
          <w:rFonts w:ascii="Arial" w:eastAsia="Calibri" w:hAnsi="Arial" w:cs="Arial"/>
          <w:bCs/>
          <w:color w:val="auto"/>
        </w:rPr>
        <w:t xml:space="preserve">has been assessed as available, potentially suitable, and achievable in the SHELAA (ref. SA022). It </w:t>
      </w:r>
      <w:r w:rsidRPr="00694FCA">
        <w:rPr>
          <w:rFonts w:ascii="Arial" w:eastAsia="Calibri" w:hAnsi="Arial" w:cs="Arial"/>
          <w:bCs/>
          <w:color w:val="auto"/>
        </w:rPr>
        <w:t>is located adjacent to the urban area of Sutton and comprises a paddock with an industrial style building. The site is contained by existing residential development in the south, Beck Lane to the east, and mature hedgerows to the west and north.</w:t>
      </w:r>
      <w:r w:rsidR="007E644A" w:rsidRPr="00694FCA">
        <w:rPr>
          <w:rFonts w:ascii="Arial" w:eastAsia="Calibri" w:hAnsi="Arial" w:cs="Arial"/>
          <w:bCs/>
          <w:color w:val="auto"/>
        </w:rPr>
        <w:t xml:space="preserve"> </w:t>
      </w:r>
      <w:r w:rsidR="00A7475C" w:rsidRPr="007708DA">
        <w:rPr>
          <w:rFonts w:ascii="Arial" w:eastAsia="Calibri" w:hAnsi="Arial" w:cs="Arial"/>
          <w:bCs/>
          <w:color w:val="0070C0"/>
        </w:rPr>
        <w:t>The site now has Full planning permission to deliver 33 homes.</w:t>
      </w:r>
    </w:p>
    <w:p w14:paraId="1867F4C6" w14:textId="77777777" w:rsidR="00745B10" w:rsidRPr="00745B10" w:rsidRDefault="00745B10" w:rsidP="00745B10">
      <w:pPr>
        <w:pStyle w:val="ListParagraph"/>
        <w:rPr>
          <w:rFonts w:eastAsia="Calibri" w:cs="Arial"/>
          <w:bCs/>
          <w:color w:val="auto"/>
        </w:rPr>
      </w:pPr>
    </w:p>
    <w:p w14:paraId="2C3BD3B9" w14:textId="3D616490" w:rsidR="00745B10" w:rsidRPr="00745B10" w:rsidRDefault="007E644A" w:rsidP="00745B10">
      <w:pPr>
        <w:pStyle w:val="ListParagraph"/>
        <w:numPr>
          <w:ilvl w:val="1"/>
          <w:numId w:val="92"/>
        </w:numPr>
        <w:autoSpaceDE w:val="0"/>
        <w:autoSpaceDN w:val="0"/>
        <w:adjustRightInd w:val="0"/>
        <w:spacing w:after="0" w:line="240" w:lineRule="auto"/>
        <w:ind w:left="851" w:hanging="851"/>
        <w:rPr>
          <w:rFonts w:ascii="Arial" w:eastAsia="Calibri" w:hAnsi="Arial" w:cs="Arial"/>
          <w:bCs/>
          <w:color w:val="auto"/>
          <w:szCs w:val="24"/>
        </w:rPr>
      </w:pPr>
      <w:proofErr w:type="spellStart"/>
      <w:r w:rsidRPr="00745B10">
        <w:rPr>
          <w:rFonts w:ascii="Arial" w:eastAsia="Calibri" w:hAnsi="Arial" w:cs="Arial"/>
          <w:bCs/>
          <w:color w:val="auto"/>
          <w:szCs w:val="24"/>
        </w:rPr>
        <w:t>Dalestorth</w:t>
      </w:r>
      <w:proofErr w:type="spellEnd"/>
      <w:r w:rsidRPr="00745B10">
        <w:rPr>
          <w:rFonts w:ascii="Arial" w:hAnsi="Arial" w:cs="Arial"/>
          <w:color w:val="auto"/>
          <w:szCs w:val="24"/>
        </w:rPr>
        <w:t xml:space="preserve"> House, a Grade II Listed Building, is located c.26m to the south-east of the site. Trees should be planted along the road boundary to help maintain a green approach to the asset and mitigate harm.  There is also a moderate potential for the survival of archaeological remains within the site. Consequently, </w:t>
      </w:r>
      <w:r w:rsidR="003A37B3" w:rsidRPr="00745B10">
        <w:rPr>
          <w:rFonts w:ascii="Arial" w:hAnsi="Arial" w:cs="Arial"/>
          <w:color w:val="auto"/>
          <w:szCs w:val="24"/>
        </w:rPr>
        <w:t>f</w:t>
      </w:r>
      <w:r w:rsidR="003A37B3" w:rsidRPr="00745B10">
        <w:rPr>
          <w:rStyle w:val="Normal1"/>
          <w:rFonts w:cs="Arial"/>
          <w:iCs/>
          <w:color w:val="auto"/>
          <w:szCs w:val="24"/>
        </w:rPr>
        <w:t>urther archaeological evaluation work will be required</w:t>
      </w:r>
      <w:r w:rsidR="00745B10" w:rsidRPr="00745B10">
        <w:rPr>
          <w:rStyle w:val="Normal1"/>
          <w:rFonts w:cs="Arial"/>
          <w:iCs/>
          <w:color w:val="auto"/>
          <w:szCs w:val="24"/>
        </w:rPr>
        <w:t xml:space="preserve">.  </w:t>
      </w:r>
      <w:r w:rsidR="00745B10" w:rsidRPr="00745B10">
        <w:rPr>
          <w:rFonts w:ascii="Arial" w:eastAsia="Arial" w:hAnsi="Arial" w:cs="Arial"/>
          <w:iCs/>
          <w:strike/>
          <w:szCs w:val="24"/>
          <w:lang w:eastAsia="en-GB"/>
        </w:rPr>
        <w:t>beginning with a</w:t>
      </w:r>
      <w:r w:rsidR="00745B10" w:rsidRPr="00745B10">
        <w:rPr>
          <w:rFonts w:ascii="Arial" w:eastAsia="Arial" w:hAnsi="Arial" w:cs="Arial"/>
          <w:iCs/>
          <w:szCs w:val="24"/>
          <w:lang w:eastAsia="en-GB"/>
        </w:rPr>
        <w:t xml:space="preserve"> </w:t>
      </w:r>
      <w:proofErr w:type="gramStart"/>
      <w:r w:rsidR="00745B10" w:rsidRPr="00745B10">
        <w:rPr>
          <w:rFonts w:ascii="Arial" w:eastAsia="Arial" w:hAnsi="Arial" w:cs="Arial"/>
          <w:iCs/>
          <w:color w:val="0070C0"/>
          <w:szCs w:val="24"/>
          <w:lang w:eastAsia="en-GB"/>
        </w:rPr>
        <w:t>An</w:t>
      </w:r>
      <w:proofErr w:type="gramEnd"/>
      <w:r w:rsidR="00745B10" w:rsidRPr="00745B10">
        <w:rPr>
          <w:rFonts w:ascii="Arial" w:eastAsia="Arial" w:hAnsi="Arial" w:cs="Arial"/>
          <w:iCs/>
          <w:szCs w:val="24"/>
          <w:lang w:eastAsia="en-GB"/>
        </w:rPr>
        <w:t xml:space="preserve"> </w:t>
      </w:r>
      <w:r w:rsidR="00745B10" w:rsidRPr="00745B10">
        <w:rPr>
          <w:rFonts w:ascii="Arial" w:eastAsia="Arial" w:hAnsi="Arial" w:cs="Arial"/>
          <w:iCs/>
          <w:color w:val="0070C0"/>
          <w:szCs w:val="24"/>
          <w:lang w:eastAsia="en-GB"/>
        </w:rPr>
        <w:t xml:space="preserve">archaeological </w:t>
      </w:r>
      <w:r w:rsidR="00745B10" w:rsidRPr="00745B10">
        <w:rPr>
          <w:rFonts w:ascii="Arial" w:eastAsia="Arial" w:hAnsi="Arial" w:cs="Arial"/>
          <w:iCs/>
          <w:szCs w:val="24"/>
          <w:lang w:eastAsia="en-GB"/>
        </w:rPr>
        <w:t xml:space="preserve">Desk Based Assessment (DBA) </w:t>
      </w:r>
      <w:r w:rsidR="00745B10" w:rsidRPr="00745B10">
        <w:rPr>
          <w:rFonts w:ascii="Arial" w:eastAsia="Arial" w:hAnsi="Arial" w:cs="Arial"/>
          <w:iCs/>
          <w:color w:val="0070C0"/>
          <w:szCs w:val="24"/>
          <w:lang w:eastAsia="en-GB"/>
        </w:rPr>
        <w:t>should be submitted with any planning application</w:t>
      </w:r>
      <w:r w:rsidR="00745B10" w:rsidRPr="00745B10">
        <w:rPr>
          <w:rFonts w:ascii="Arial" w:hAnsi="Arial" w:cs="Arial"/>
          <w:szCs w:val="24"/>
          <w:lang w:eastAsia="en-GB"/>
        </w:rPr>
        <w:t xml:space="preserve">, to ascertain the extent and level of survival of archaeological remains within the site.  Depending on the results of the DBA further archaeological investigations may be warranted, including a geophysical survey and targeted trial trenching, where necessary </w:t>
      </w:r>
      <w:r w:rsidR="00745B10" w:rsidRPr="00745B10">
        <w:rPr>
          <w:rFonts w:ascii="Arial" w:hAnsi="Arial" w:cs="Arial"/>
          <w:color w:val="0070C0"/>
          <w:szCs w:val="24"/>
          <w:lang w:eastAsia="en-GB"/>
        </w:rPr>
        <w:t xml:space="preserve">to </w:t>
      </w:r>
      <w:r w:rsidR="00745B10" w:rsidRPr="00745B10">
        <w:rPr>
          <w:rFonts w:ascii="Arial" w:hAnsi="Arial" w:cs="Arial"/>
          <w:strike/>
          <w:szCs w:val="24"/>
          <w:lang w:eastAsia="en-GB"/>
        </w:rPr>
        <w:t>This work will</w:t>
      </w:r>
      <w:r w:rsidR="00745B10" w:rsidRPr="00745B10">
        <w:rPr>
          <w:rFonts w:ascii="Arial" w:hAnsi="Arial" w:cs="Arial"/>
          <w:szCs w:val="24"/>
          <w:lang w:eastAsia="en-GB"/>
        </w:rPr>
        <w:t xml:space="preserve"> inform </w:t>
      </w:r>
      <w:r w:rsidR="00745B10" w:rsidRPr="00745B10">
        <w:rPr>
          <w:rFonts w:ascii="Arial" w:hAnsi="Arial" w:cs="Arial"/>
          <w:color w:val="0070C0"/>
          <w:szCs w:val="24"/>
          <w:lang w:eastAsia="en-GB"/>
        </w:rPr>
        <w:t xml:space="preserve">any required </w:t>
      </w:r>
      <w:r w:rsidR="00745B10" w:rsidRPr="00745B10">
        <w:rPr>
          <w:rFonts w:ascii="Arial" w:hAnsi="Arial" w:cs="Arial"/>
          <w:strike/>
          <w:szCs w:val="24"/>
          <w:lang w:eastAsia="en-GB"/>
        </w:rPr>
        <w:t>the need for</w:t>
      </w:r>
      <w:r w:rsidR="00745B10" w:rsidRPr="00745B10">
        <w:rPr>
          <w:rFonts w:ascii="Arial" w:hAnsi="Arial" w:cs="Arial"/>
          <w:szCs w:val="24"/>
          <w:lang w:eastAsia="en-GB"/>
        </w:rPr>
        <w:t xml:space="preserve"> mitigation.</w:t>
      </w:r>
    </w:p>
    <w:p w14:paraId="609C4975" w14:textId="0E3639AD" w:rsidR="003A37B3" w:rsidRPr="00745B10" w:rsidRDefault="003A37B3" w:rsidP="00745B10">
      <w:pPr>
        <w:pStyle w:val="ListParagraph"/>
        <w:autoSpaceDE w:val="0"/>
        <w:autoSpaceDN w:val="0"/>
        <w:adjustRightInd w:val="0"/>
        <w:spacing w:after="0" w:line="240" w:lineRule="auto"/>
        <w:ind w:left="851"/>
        <w:rPr>
          <w:rFonts w:ascii="Arial" w:eastAsia="Calibri" w:hAnsi="Arial" w:cs="Arial"/>
          <w:bCs/>
          <w:color w:val="auto"/>
          <w:szCs w:val="24"/>
        </w:rPr>
      </w:pPr>
    </w:p>
    <w:p w14:paraId="5AE86B54" w14:textId="5F474509" w:rsidR="00715560" w:rsidRPr="00694FCA" w:rsidRDefault="00715560" w:rsidP="00874A98">
      <w:pPr>
        <w:pStyle w:val="ListParagraph"/>
        <w:numPr>
          <w:ilvl w:val="1"/>
          <w:numId w:val="92"/>
        </w:numPr>
        <w:autoSpaceDE w:val="0"/>
        <w:autoSpaceDN w:val="0"/>
        <w:adjustRightInd w:val="0"/>
        <w:spacing w:after="0" w:line="240" w:lineRule="auto"/>
        <w:ind w:left="851" w:hanging="851"/>
        <w:rPr>
          <w:rFonts w:cs="Arial"/>
          <w:color w:val="auto"/>
          <w:szCs w:val="24"/>
        </w:rPr>
      </w:pPr>
      <w:r w:rsidRPr="00694FCA">
        <w:rPr>
          <w:rFonts w:ascii="Arial" w:eastAsia="Calibri" w:hAnsi="Arial" w:cs="Arial"/>
          <w:bCs/>
          <w:color w:val="auto"/>
        </w:rPr>
        <w:lastRenderedPageBreak/>
        <w:t xml:space="preserve">There is likely existence of contamination from a former </w:t>
      </w:r>
      <w:r w:rsidR="000B2137" w:rsidRPr="00694FCA">
        <w:rPr>
          <w:rFonts w:ascii="Arial" w:eastAsia="Calibri" w:hAnsi="Arial" w:cs="Arial"/>
          <w:bCs/>
          <w:color w:val="auto"/>
        </w:rPr>
        <w:t>horticultural</w:t>
      </w:r>
      <w:r w:rsidRPr="00694FCA">
        <w:rPr>
          <w:rFonts w:ascii="Arial" w:eastAsia="Calibri" w:hAnsi="Arial" w:cs="Arial"/>
          <w:bCs/>
          <w:color w:val="auto"/>
        </w:rPr>
        <w:t xml:space="preserve"> nursery which was historically located on the south-eastern part of site. </w:t>
      </w:r>
    </w:p>
    <w:p w14:paraId="76D0A861" w14:textId="77777777" w:rsidR="007E644A" w:rsidRPr="00694FCA" w:rsidRDefault="007E644A" w:rsidP="007E644A">
      <w:pPr>
        <w:pStyle w:val="ListParagraph"/>
        <w:autoSpaceDE w:val="0"/>
        <w:autoSpaceDN w:val="0"/>
        <w:adjustRightInd w:val="0"/>
        <w:spacing w:after="0" w:line="240" w:lineRule="auto"/>
        <w:ind w:left="851"/>
        <w:rPr>
          <w:rFonts w:cs="Arial"/>
          <w:color w:val="auto"/>
          <w:szCs w:val="24"/>
        </w:rPr>
      </w:pPr>
    </w:p>
    <w:p w14:paraId="216A5B32" w14:textId="50E6EAC0" w:rsidR="00715560" w:rsidRPr="007708DA"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bCs/>
          <w:color w:val="0070C0"/>
        </w:rPr>
      </w:pPr>
      <w:r w:rsidRPr="00694FCA">
        <w:rPr>
          <w:rFonts w:ascii="Arial" w:eastAsia="Calibri" w:hAnsi="Arial" w:cs="Arial"/>
          <w:b/>
          <w:color w:val="auto"/>
        </w:rPr>
        <w:t>Site H1Sg: Former Miner's Welfare Sports Ground, Stanton Hill, Sutton-In-Ashfield.</w:t>
      </w:r>
      <w:r w:rsidRPr="00694FCA">
        <w:rPr>
          <w:rFonts w:ascii="Arial" w:eastAsia="Calibri" w:hAnsi="Arial" w:cs="Arial"/>
          <w:bCs/>
          <w:color w:val="auto"/>
        </w:rPr>
        <w:t xml:space="preserve"> This brownfield/greenfield site </w:t>
      </w:r>
      <w:r w:rsidR="00B63B5F" w:rsidRPr="00694FCA">
        <w:rPr>
          <w:rFonts w:ascii="Arial" w:eastAsia="Calibri" w:hAnsi="Arial" w:cs="Arial"/>
          <w:bCs/>
          <w:color w:val="auto"/>
        </w:rPr>
        <w:t xml:space="preserve">has been assessed as available, potentially suitable, and achievable in the SHELAA (ref.SA023). It </w:t>
      </w:r>
      <w:r w:rsidRPr="00694FCA">
        <w:rPr>
          <w:rFonts w:ascii="Arial" w:eastAsia="Calibri" w:hAnsi="Arial" w:cs="Arial"/>
          <w:bCs/>
          <w:color w:val="auto"/>
        </w:rPr>
        <w:t>is located adjacent to the urban area of Sutton and comprises</w:t>
      </w:r>
      <w:bookmarkStart w:id="214" w:name="_Hlk80621276"/>
      <w:r w:rsidRPr="00694FCA">
        <w:rPr>
          <w:rFonts w:ascii="Arial" w:eastAsia="Calibri" w:hAnsi="Arial" w:cs="Arial"/>
          <w:bCs/>
          <w:color w:val="auto"/>
        </w:rPr>
        <w:t xml:space="preserve"> a combination of rough scrubland and a small hardstanding associated with the previous use of the site. The site is contained by a combination of existing residential development, proposed residential development (H1Sw) which has planning permission, a mature tree belt and allotments to north-west.</w:t>
      </w:r>
      <w:r w:rsidR="009E75A0">
        <w:rPr>
          <w:rFonts w:ascii="Arial" w:eastAsia="Calibri" w:hAnsi="Arial" w:cs="Arial"/>
          <w:bCs/>
          <w:color w:val="auto"/>
        </w:rPr>
        <w:t xml:space="preserve"> </w:t>
      </w:r>
      <w:r w:rsidR="009E75A0" w:rsidRPr="007708DA">
        <w:rPr>
          <w:rFonts w:ascii="Arial" w:eastAsia="Calibri" w:hAnsi="Arial" w:cs="Arial"/>
          <w:bCs/>
          <w:color w:val="0070C0"/>
        </w:rPr>
        <w:t>The site now has Full planning permission to deliver 112 homes.</w:t>
      </w:r>
    </w:p>
    <w:p w14:paraId="06EC8143" w14:textId="77777777" w:rsidR="00451E82" w:rsidRPr="00694FCA" w:rsidRDefault="00451E82" w:rsidP="00451E82">
      <w:pPr>
        <w:pStyle w:val="ListParagraph"/>
        <w:autoSpaceDE w:val="0"/>
        <w:autoSpaceDN w:val="0"/>
        <w:adjustRightInd w:val="0"/>
        <w:spacing w:after="0" w:line="240" w:lineRule="auto"/>
        <w:ind w:left="851"/>
        <w:rPr>
          <w:rFonts w:ascii="Arial" w:eastAsia="Calibri" w:hAnsi="Arial" w:cs="Arial"/>
          <w:bCs/>
          <w:color w:val="auto"/>
        </w:rPr>
      </w:pPr>
    </w:p>
    <w:p w14:paraId="0839534D" w14:textId="1A0D2FB9" w:rsidR="00715560" w:rsidRPr="00694FCA"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bCs/>
          <w:color w:val="auto"/>
        </w:rPr>
      </w:pPr>
      <w:r w:rsidRPr="00694FCA">
        <w:rPr>
          <w:rFonts w:ascii="Arial" w:eastAsia="Calibri" w:hAnsi="Arial" w:cs="Arial"/>
          <w:bCs/>
          <w:color w:val="auto"/>
        </w:rPr>
        <w:t xml:space="preserve">Stanton Hill Grasslands Local Wildlife Site </w:t>
      </w:r>
      <w:proofErr w:type="gramStart"/>
      <w:r w:rsidRPr="00694FCA">
        <w:rPr>
          <w:rFonts w:ascii="Arial" w:eastAsia="Calibri" w:hAnsi="Arial" w:cs="Arial"/>
          <w:bCs/>
          <w:color w:val="auto"/>
        </w:rPr>
        <w:t>is located in</w:t>
      </w:r>
      <w:proofErr w:type="gramEnd"/>
      <w:r w:rsidRPr="00694FCA">
        <w:rPr>
          <w:rFonts w:ascii="Arial" w:eastAsia="Calibri" w:hAnsi="Arial" w:cs="Arial"/>
          <w:bCs/>
          <w:color w:val="auto"/>
        </w:rPr>
        <w:t xml:space="preserve"> the south-east of the site and, as such, any potential development will need to </w:t>
      </w:r>
      <w:proofErr w:type="gramStart"/>
      <w:r w:rsidRPr="00694FCA">
        <w:rPr>
          <w:rFonts w:ascii="Arial" w:eastAsia="Calibri" w:hAnsi="Arial" w:cs="Arial"/>
          <w:bCs/>
          <w:color w:val="auto"/>
        </w:rPr>
        <w:t>take into account</w:t>
      </w:r>
      <w:proofErr w:type="gramEnd"/>
      <w:r w:rsidRPr="00694FCA">
        <w:rPr>
          <w:rFonts w:ascii="Arial" w:eastAsia="Calibri" w:hAnsi="Arial" w:cs="Arial"/>
          <w:bCs/>
          <w:color w:val="auto"/>
        </w:rPr>
        <w:t xml:space="preserve"> the scope to avoid or mitigate the impacts on biodiversity.</w:t>
      </w:r>
    </w:p>
    <w:bookmarkEnd w:id="214"/>
    <w:p w14:paraId="405A606A" w14:textId="77777777" w:rsidR="00715560" w:rsidRPr="00694FCA" w:rsidRDefault="00715560" w:rsidP="00451E82">
      <w:pPr>
        <w:pStyle w:val="ListParagraph"/>
        <w:autoSpaceDE w:val="0"/>
        <w:autoSpaceDN w:val="0"/>
        <w:adjustRightInd w:val="0"/>
        <w:spacing w:after="0" w:line="240" w:lineRule="auto"/>
        <w:ind w:left="851"/>
        <w:rPr>
          <w:rFonts w:ascii="Arial" w:eastAsia="Calibri" w:hAnsi="Arial" w:cs="Arial"/>
          <w:bCs/>
          <w:color w:val="auto"/>
        </w:rPr>
      </w:pPr>
    </w:p>
    <w:p w14:paraId="6631A14A" w14:textId="3CC3B157" w:rsidR="00715560" w:rsidRPr="00694FCA"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694FCA">
        <w:rPr>
          <w:rFonts w:ascii="Arial" w:eastAsia="Calibri" w:hAnsi="Arial" w:cs="Arial"/>
          <w:b/>
          <w:color w:val="auto"/>
        </w:rPr>
        <w:t>Site H1Sh: Pasture Farm, Alfreton Road, Sutton-In-Ashfield</w:t>
      </w:r>
      <w:r w:rsidRPr="00694FCA">
        <w:rPr>
          <w:rFonts w:ascii="Arial" w:eastAsia="Calibri" w:hAnsi="Arial" w:cs="Arial"/>
          <w:bCs/>
          <w:color w:val="auto"/>
        </w:rPr>
        <w:t>. This greenfield site</w:t>
      </w:r>
      <w:r w:rsidR="00F801C4" w:rsidRPr="00694FCA">
        <w:rPr>
          <w:rFonts w:eastAsia="Calibri" w:cs="Arial"/>
          <w:color w:val="auto"/>
          <w:szCs w:val="24"/>
        </w:rPr>
        <w:t xml:space="preserve"> </w:t>
      </w:r>
      <w:r w:rsidR="00F801C4" w:rsidRPr="00694FCA">
        <w:rPr>
          <w:rFonts w:ascii="Arial" w:eastAsia="Calibri" w:hAnsi="Arial" w:cs="Arial"/>
          <w:color w:val="auto"/>
          <w:szCs w:val="24"/>
        </w:rPr>
        <w:t>has been assessed as available, potentially suitable, and potentially achievable in the SHELAA</w:t>
      </w:r>
      <w:r w:rsidR="00F801C4" w:rsidRPr="00694FCA">
        <w:rPr>
          <w:rFonts w:ascii="Arial" w:eastAsia="Calibri" w:hAnsi="Arial" w:cs="Arial"/>
          <w:b/>
          <w:bCs/>
          <w:color w:val="auto"/>
          <w:szCs w:val="24"/>
        </w:rPr>
        <w:t xml:space="preserve"> </w:t>
      </w:r>
      <w:r w:rsidR="00F801C4" w:rsidRPr="00694FCA">
        <w:rPr>
          <w:rFonts w:ascii="Arial" w:eastAsia="Calibri" w:hAnsi="Arial" w:cs="Arial"/>
          <w:color w:val="auto"/>
          <w:szCs w:val="24"/>
        </w:rPr>
        <w:t>(ref.SA025). It</w:t>
      </w:r>
      <w:r w:rsidRPr="00694FCA">
        <w:rPr>
          <w:rFonts w:ascii="Arial" w:eastAsia="Calibri" w:hAnsi="Arial" w:cs="Arial"/>
          <w:bCs/>
          <w:color w:val="auto"/>
        </w:rPr>
        <w:t xml:space="preserve"> is located within the urban area of Sutton and comprises grazing land with several mature trees. The site is well contained by residential development to the north, employment land and buildings to the east, the A38 </w:t>
      </w:r>
      <w:r w:rsidR="009E75A0" w:rsidRPr="00694FCA">
        <w:rPr>
          <w:rFonts w:ascii="Arial" w:eastAsia="Calibri" w:hAnsi="Arial" w:cs="Arial"/>
          <w:bCs/>
          <w:color w:val="auto"/>
        </w:rPr>
        <w:t>dual</w:t>
      </w:r>
      <w:r w:rsidRPr="00694FCA">
        <w:rPr>
          <w:rFonts w:ascii="Arial" w:eastAsia="Calibri" w:hAnsi="Arial" w:cs="Arial"/>
          <w:bCs/>
          <w:color w:val="auto"/>
        </w:rPr>
        <w:t xml:space="preserve"> carriageway to the south, and The Snipe Public House to the west.</w:t>
      </w:r>
    </w:p>
    <w:p w14:paraId="6AA515F4" w14:textId="77777777" w:rsidR="00F801C4" w:rsidRPr="00694FCA" w:rsidRDefault="00F801C4" w:rsidP="00F801C4">
      <w:pPr>
        <w:autoSpaceDE w:val="0"/>
        <w:autoSpaceDN w:val="0"/>
        <w:adjustRightInd w:val="0"/>
        <w:rPr>
          <w:rFonts w:eastAsia="Calibri" w:cs="Arial"/>
          <w:color w:val="auto"/>
          <w:szCs w:val="24"/>
        </w:rPr>
      </w:pPr>
    </w:p>
    <w:p w14:paraId="74A857AF" w14:textId="77777777" w:rsidR="00D32197"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694FCA">
        <w:rPr>
          <w:rFonts w:ascii="Arial" w:eastAsia="Calibri" w:hAnsi="Arial" w:cs="Arial"/>
          <w:bCs/>
          <w:color w:val="auto"/>
        </w:rPr>
        <w:t>There are likely ground stability issues with approximately 60% of the site falling within a Coal</w:t>
      </w:r>
      <w:r w:rsidRPr="00694FCA">
        <w:rPr>
          <w:rFonts w:ascii="Arial" w:eastAsia="Calibri" w:hAnsi="Arial" w:cs="Arial"/>
          <w:color w:val="auto"/>
          <w:szCs w:val="24"/>
        </w:rPr>
        <w:t xml:space="preserve"> high risk area. A geological fault line is also indicated across centre of site (south-west to north-east). Possibility of land contamination associated with former farm buildings originally located in the west of the site. As such further investigation will be required prior to a scheme of development.</w:t>
      </w:r>
    </w:p>
    <w:p w14:paraId="7938DDB1" w14:textId="77777777" w:rsidR="00D32197" w:rsidRDefault="00D32197" w:rsidP="00D32197">
      <w:pPr>
        <w:pStyle w:val="ListParagraph"/>
        <w:rPr>
          <w:rFonts w:eastAsia="Calibri" w:cs="Arial"/>
          <w:b/>
          <w:bCs/>
          <w:color w:val="auto"/>
        </w:rPr>
      </w:pPr>
    </w:p>
    <w:tbl>
      <w:tblPr>
        <w:tblStyle w:val="ReportTable1"/>
        <w:tblW w:w="9634" w:type="dxa"/>
        <w:tblLook w:val="04A0" w:firstRow="1" w:lastRow="0" w:firstColumn="1" w:lastColumn="0" w:noHBand="0" w:noVBand="1"/>
      </w:tblPr>
      <w:tblGrid>
        <w:gridCol w:w="2635"/>
        <w:gridCol w:w="6999"/>
      </w:tblGrid>
      <w:tr w:rsidR="00000ED0" w:rsidRPr="00475C60" w14:paraId="5CD4D45F" w14:textId="77777777" w:rsidTr="00476E4D">
        <w:tc>
          <w:tcPr>
            <w:tcW w:w="9634" w:type="dxa"/>
            <w:gridSpan w:val="2"/>
          </w:tcPr>
          <w:p w14:paraId="25B6472A" w14:textId="77777777" w:rsidR="00000ED0" w:rsidRPr="000124CA" w:rsidRDefault="00000ED0">
            <w:pPr>
              <w:pStyle w:val="Heading"/>
              <w:spacing w:before="120" w:after="120"/>
              <w:rPr>
                <w:rStyle w:val="Heading10"/>
                <w:rFonts w:cs="Arial"/>
                <w:b/>
                <w:color w:val="0070C0"/>
                <w:szCs w:val="24"/>
              </w:rPr>
            </w:pPr>
            <w:r w:rsidRPr="000124CA">
              <w:rPr>
                <w:rStyle w:val="Heading10"/>
                <w:rFonts w:cs="Arial"/>
                <w:b/>
                <w:color w:val="0070C0"/>
                <w:szCs w:val="24"/>
              </w:rPr>
              <w:t>Policy H1S</w:t>
            </w:r>
            <w:r w:rsidRPr="000124CA">
              <w:rPr>
                <w:rStyle w:val="Heading10"/>
                <w:rFonts w:cs="Arial"/>
                <w:b/>
                <w:color w:val="0070C0"/>
              </w:rPr>
              <w:t>i</w:t>
            </w:r>
            <w:r w:rsidRPr="000124CA">
              <w:rPr>
                <w:rStyle w:val="Heading10"/>
                <w:rFonts w:cs="Arial"/>
                <w:b/>
                <w:color w:val="0070C0"/>
                <w:szCs w:val="24"/>
              </w:rPr>
              <w:t>: North of Kingsmill Hospital, Sutton-In-Ashfield</w:t>
            </w:r>
          </w:p>
        </w:tc>
      </w:tr>
      <w:tr w:rsidR="00000ED0" w:rsidRPr="00475C60" w14:paraId="4E388924" w14:textId="77777777" w:rsidTr="00476E4D">
        <w:tc>
          <w:tcPr>
            <w:tcW w:w="2635" w:type="dxa"/>
          </w:tcPr>
          <w:p w14:paraId="6BE4309A" w14:textId="77777777" w:rsidR="00000ED0" w:rsidRPr="00475C60" w:rsidRDefault="00000ED0">
            <w:pPr>
              <w:pStyle w:val="Heading"/>
              <w:spacing w:before="40" w:after="40"/>
              <w:rPr>
                <w:rStyle w:val="Heading10"/>
                <w:rFonts w:cs="Arial"/>
                <w:bCs/>
                <w:color w:val="0070C0"/>
                <w:szCs w:val="24"/>
              </w:rPr>
            </w:pPr>
            <w:r w:rsidRPr="00475C60">
              <w:rPr>
                <w:rStyle w:val="Heading10"/>
                <w:rFonts w:cs="Arial"/>
                <w:bCs/>
                <w:color w:val="0070C0"/>
                <w:szCs w:val="24"/>
              </w:rPr>
              <w:t>Strategic Objectives</w:t>
            </w:r>
          </w:p>
        </w:tc>
        <w:tc>
          <w:tcPr>
            <w:tcW w:w="6999" w:type="dxa"/>
          </w:tcPr>
          <w:p w14:paraId="2C2979F5" w14:textId="77777777" w:rsidR="00000ED0" w:rsidRPr="00475C60" w:rsidRDefault="00000ED0">
            <w:pPr>
              <w:pStyle w:val="Heading"/>
              <w:spacing w:before="40" w:after="40"/>
              <w:rPr>
                <w:rStyle w:val="Heading10"/>
                <w:rFonts w:cs="Arial"/>
                <w:bCs/>
                <w:color w:val="0070C0"/>
                <w:szCs w:val="24"/>
              </w:rPr>
            </w:pPr>
            <w:r w:rsidRPr="00475C60">
              <w:rPr>
                <w:rStyle w:val="Heading10"/>
                <w:rFonts w:cs="Arial"/>
                <w:bCs/>
                <w:color w:val="0070C0"/>
                <w:szCs w:val="24"/>
              </w:rPr>
              <w:t>SO3, SO5, SO11, SO12, SO13</w:t>
            </w:r>
          </w:p>
        </w:tc>
      </w:tr>
      <w:tr w:rsidR="00000ED0" w:rsidRPr="00475C60" w14:paraId="33AC6694" w14:textId="77777777" w:rsidTr="00476E4D">
        <w:trPr>
          <w:trHeight w:val="1190"/>
        </w:trPr>
        <w:tc>
          <w:tcPr>
            <w:tcW w:w="9634" w:type="dxa"/>
            <w:gridSpan w:val="2"/>
            <w:shd w:val="clear" w:color="auto" w:fill="FFCC99"/>
          </w:tcPr>
          <w:p w14:paraId="69F1FB73" w14:textId="77777777" w:rsidR="00000ED0" w:rsidRPr="005F5AF9" w:rsidRDefault="00000ED0">
            <w:pPr>
              <w:pStyle w:val="Policy"/>
              <w:tabs>
                <w:tab w:val="clear" w:pos="680"/>
                <w:tab w:val="left" w:pos="306"/>
              </w:tabs>
              <w:spacing w:after="0" w:line="240" w:lineRule="auto"/>
              <w:ind w:left="306" w:right="284"/>
              <w:rPr>
                <w:rStyle w:val="Heading10"/>
                <w:rFonts w:cs="Arial"/>
                <w:b w:val="0"/>
                <w:bCs/>
                <w:color w:val="005CA9"/>
                <w:szCs w:val="24"/>
              </w:rPr>
            </w:pPr>
          </w:p>
          <w:p w14:paraId="03484EA9" w14:textId="77777777" w:rsidR="00000ED0" w:rsidRPr="005F5AF9" w:rsidRDefault="00000ED0">
            <w:pPr>
              <w:pStyle w:val="Policy"/>
              <w:tabs>
                <w:tab w:val="clear" w:pos="680"/>
                <w:tab w:val="left" w:pos="306"/>
              </w:tabs>
              <w:spacing w:after="0" w:line="240" w:lineRule="auto"/>
              <w:ind w:left="306" w:right="284"/>
              <w:rPr>
                <w:bCs/>
                <w:color w:val="005CA9"/>
              </w:rPr>
            </w:pPr>
            <w:r w:rsidRPr="005F5AF9">
              <w:rPr>
                <w:bCs/>
                <w:color w:val="005CA9"/>
                <w:sz w:val="24"/>
                <w:szCs w:val="24"/>
              </w:rPr>
              <w:t>Residential development to deliver approximately 264 dwellings will be permitted on site H1Si as shown on the Policies Map, subject to detailed planning consent. Any future development proposal should have regard to the Masterplan in Appendix 11 and will need to include the following specific requirements, in addition to satisfying other relevant Local Plan policies as applicable:</w:t>
            </w:r>
            <w:r w:rsidRPr="005F5AF9">
              <w:rPr>
                <w:bCs/>
                <w:color w:val="005CA9"/>
              </w:rPr>
              <w:t xml:space="preserve"> </w:t>
            </w:r>
          </w:p>
          <w:p w14:paraId="07FE61BF" w14:textId="77777777" w:rsidR="00000ED0" w:rsidRPr="005F5AF9" w:rsidRDefault="00000ED0">
            <w:pPr>
              <w:pStyle w:val="Policy"/>
              <w:tabs>
                <w:tab w:val="clear" w:pos="680"/>
                <w:tab w:val="left" w:pos="306"/>
              </w:tabs>
              <w:spacing w:after="0" w:line="240" w:lineRule="auto"/>
              <w:ind w:left="306" w:right="284"/>
              <w:rPr>
                <w:rStyle w:val="Heading10"/>
                <w:b w:val="0"/>
                <w:bCs/>
                <w:color w:val="005CA9"/>
                <w:szCs w:val="24"/>
              </w:rPr>
            </w:pPr>
          </w:p>
          <w:p w14:paraId="44F88048" w14:textId="77777777" w:rsidR="00000ED0" w:rsidRPr="005F5AF9" w:rsidRDefault="00000ED0" w:rsidP="00476E4D">
            <w:pPr>
              <w:keepNext w:val="0"/>
              <w:numPr>
                <w:ilvl w:val="0"/>
                <w:numId w:val="349"/>
              </w:numPr>
              <w:spacing w:before="0"/>
              <w:ind w:right="284"/>
              <w:contextualSpacing/>
              <w:rPr>
                <w:rStyle w:val="Heading10"/>
                <w:b w:val="0"/>
                <w:color w:val="005CA9"/>
                <w:szCs w:val="24"/>
              </w:rPr>
            </w:pPr>
            <w:r w:rsidRPr="005F5AF9">
              <w:rPr>
                <w:rFonts w:eastAsia="Calibri" w:cs="Arial"/>
                <w:color w:val="005CA9"/>
                <w:szCs w:val="24"/>
                <w:lang w:eastAsia="en-US"/>
              </w:rPr>
              <w:t>Two inter-linked points of v</w:t>
            </w:r>
            <w:r w:rsidRPr="005F5AF9">
              <w:rPr>
                <w:rFonts w:eastAsia="Calibri"/>
                <w:color w:val="005CA9"/>
                <w:szCs w:val="24"/>
                <w:lang w:eastAsia="en-US"/>
              </w:rPr>
              <w:t>ehicle</w:t>
            </w:r>
            <w:r w:rsidRPr="005F5AF9">
              <w:rPr>
                <w:rFonts w:eastAsia="Calibri"/>
                <w:color w:val="005CA9"/>
                <w:lang w:eastAsia="en-US"/>
              </w:rPr>
              <w:t xml:space="preserve"> </w:t>
            </w:r>
            <w:r w:rsidRPr="005F5AF9">
              <w:rPr>
                <w:rFonts w:eastAsia="Calibri" w:cs="Arial"/>
                <w:color w:val="005CA9"/>
                <w:szCs w:val="24"/>
                <w:lang w:eastAsia="en-US"/>
              </w:rPr>
              <w:t>access of</w:t>
            </w:r>
            <w:r w:rsidRPr="005F5AF9">
              <w:rPr>
                <w:rFonts w:eastAsia="Calibri"/>
                <w:color w:val="005CA9"/>
                <w:szCs w:val="24"/>
                <w:lang w:eastAsia="en-US"/>
              </w:rPr>
              <w:t>f</w:t>
            </w:r>
            <w:r w:rsidRPr="005F5AF9">
              <w:rPr>
                <w:rFonts w:eastAsia="Calibri" w:cs="Arial"/>
                <w:color w:val="005CA9"/>
                <w:szCs w:val="24"/>
                <w:lang w:eastAsia="en-US"/>
              </w:rPr>
              <w:t xml:space="preserve"> Skegby Lane,</w:t>
            </w:r>
            <w:r w:rsidRPr="005F5AF9">
              <w:rPr>
                <w:rFonts w:eastAsia="Calibri" w:cs="Arial"/>
                <w:color w:val="005CA9"/>
                <w:lang w:eastAsia="en-US"/>
              </w:rPr>
              <w:t xml:space="preserve"> </w:t>
            </w:r>
            <w:r w:rsidRPr="005F5AF9">
              <w:rPr>
                <w:rFonts w:eastAsia="Calibri" w:cs="Arial"/>
                <w:color w:val="005CA9"/>
                <w:szCs w:val="24"/>
                <w:lang w:eastAsia="en-US"/>
              </w:rPr>
              <w:t>supported by a</w:t>
            </w:r>
            <w:r w:rsidRPr="005F5AF9">
              <w:rPr>
                <w:rStyle w:val="Heading10"/>
                <w:b w:val="0"/>
                <w:color w:val="005CA9"/>
                <w:szCs w:val="24"/>
              </w:rPr>
              <w:t xml:space="preserve"> Transport Assessment;</w:t>
            </w:r>
          </w:p>
          <w:p w14:paraId="0C5E14DB" w14:textId="77777777" w:rsidR="00000ED0" w:rsidRPr="005F5AF9" w:rsidRDefault="00000ED0">
            <w:pPr>
              <w:pStyle w:val="ListParagraph"/>
              <w:rPr>
                <w:rStyle w:val="Heading10"/>
                <w:b w:val="0"/>
                <w:color w:val="005CA9"/>
                <w:sz w:val="16"/>
                <w:szCs w:val="16"/>
              </w:rPr>
            </w:pPr>
          </w:p>
          <w:p w14:paraId="1052BD6C" w14:textId="77777777" w:rsidR="00000ED0" w:rsidRPr="005F5AF9" w:rsidRDefault="00000ED0" w:rsidP="00B2285E">
            <w:pPr>
              <w:pStyle w:val="ListParagraph"/>
              <w:numPr>
                <w:ilvl w:val="0"/>
                <w:numId w:val="349"/>
              </w:numPr>
              <w:spacing w:after="0" w:line="240" w:lineRule="auto"/>
              <w:ind w:right="284"/>
              <w:jc w:val="both"/>
              <w:rPr>
                <w:rStyle w:val="Heading10"/>
                <w:rFonts w:cs="Arial"/>
                <w:b w:val="0"/>
                <w:color w:val="005CA9"/>
                <w:szCs w:val="24"/>
              </w:rPr>
            </w:pPr>
            <w:r w:rsidRPr="005F5AF9">
              <w:rPr>
                <w:rStyle w:val="Heading10"/>
                <w:rFonts w:cs="Arial"/>
                <w:b w:val="0"/>
                <w:color w:val="005CA9"/>
                <w:szCs w:val="24"/>
              </w:rPr>
              <w:t>A pedestrian/cycle route linking Skegby Lane to Kings Mill Road East and Kings Mill Hospital;</w:t>
            </w:r>
          </w:p>
          <w:p w14:paraId="5139A3FC" w14:textId="77777777" w:rsidR="00000ED0" w:rsidRPr="005F5AF9" w:rsidRDefault="00000ED0">
            <w:pPr>
              <w:keepNext w:val="0"/>
              <w:spacing w:before="0"/>
              <w:ind w:left="666" w:right="284"/>
              <w:contextualSpacing/>
              <w:jc w:val="both"/>
              <w:rPr>
                <w:rStyle w:val="Heading10"/>
                <w:rFonts w:cs="Arial"/>
                <w:b w:val="0"/>
                <w:color w:val="005CA9"/>
                <w:szCs w:val="24"/>
              </w:rPr>
            </w:pPr>
          </w:p>
          <w:p w14:paraId="2B54ECE4" w14:textId="77777777" w:rsidR="00000ED0" w:rsidRPr="005F5AF9" w:rsidRDefault="00000ED0" w:rsidP="00B2285E">
            <w:pPr>
              <w:pStyle w:val="Policy"/>
              <w:numPr>
                <w:ilvl w:val="0"/>
                <w:numId w:val="349"/>
              </w:numPr>
              <w:tabs>
                <w:tab w:val="clear" w:pos="680"/>
              </w:tabs>
              <w:spacing w:after="0" w:line="240" w:lineRule="auto"/>
              <w:ind w:right="284"/>
              <w:rPr>
                <w:rStyle w:val="Heading10"/>
                <w:b w:val="0"/>
                <w:color w:val="005CA9"/>
                <w:szCs w:val="24"/>
              </w:rPr>
            </w:pPr>
            <w:r w:rsidRPr="005F5AF9">
              <w:rPr>
                <w:rStyle w:val="Heading10"/>
                <w:b w:val="0"/>
                <w:color w:val="005CA9"/>
                <w:szCs w:val="24"/>
              </w:rPr>
              <w:lastRenderedPageBreak/>
              <w:t xml:space="preserve">A Heritage Statement that provides a proportionate assessment of the significance of the Grade II Listed </w:t>
            </w:r>
            <w:proofErr w:type="spellStart"/>
            <w:r w:rsidRPr="005F5AF9">
              <w:rPr>
                <w:rStyle w:val="Heading10"/>
                <w:b w:val="0"/>
                <w:color w:val="005CA9"/>
                <w:szCs w:val="24"/>
              </w:rPr>
              <w:t>Dalestorth</w:t>
            </w:r>
            <w:proofErr w:type="spellEnd"/>
            <w:r w:rsidRPr="005F5AF9">
              <w:rPr>
                <w:rStyle w:val="Heading10"/>
                <w:b w:val="0"/>
                <w:color w:val="005CA9"/>
                <w:szCs w:val="24"/>
              </w:rPr>
              <w:t xml:space="preserve"> House including its setting, and an assessment of the impact of the development on the significance;</w:t>
            </w:r>
          </w:p>
          <w:p w14:paraId="6D3CD09F" w14:textId="77777777" w:rsidR="00000ED0" w:rsidRPr="005F5AF9" w:rsidRDefault="00000ED0" w:rsidP="00000ED0">
            <w:pPr>
              <w:pStyle w:val="Policy"/>
              <w:tabs>
                <w:tab w:val="clear" w:pos="680"/>
              </w:tabs>
              <w:spacing w:after="0" w:line="240" w:lineRule="auto"/>
              <w:ind w:left="666" w:right="284"/>
              <w:rPr>
                <w:rStyle w:val="Heading10"/>
                <w:b w:val="0"/>
                <w:color w:val="005CA9"/>
                <w:szCs w:val="24"/>
              </w:rPr>
            </w:pPr>
          </w:p>
          <w:p w14:paraId="3D0AA7DA" w14:textId="6990A5FD" w:rsidR="00000ED0" w:rsidRPr="005F5AF9" w:rsidRDefault="00000ED0" w:rsidP="00B2285E">
            <w:pPr>
              <w:pStyle w:val="Policy"/>
              <w:numPr>
                <w:ilvl w:val="0"/>
                <w:numId w:val="349"/>
              </w:numPr>
              <w:tabs>
                <w:tab w:val="clear" w:pos="680"/>
              </w:tabs>
              <w:spacing w:after="0" w:line="240" w:lineRule="auto"/>
              <w:ind w:right="284"/>
              <w:rPr>
                <w:rStyle w:val="Heading10"/>
                <w:b w:val="0"/>
                <w:color w:val="005CA9"/>
                <w:szCs w:val="24"/>
              </w:rPr>
            </w:pPr>
            <w:r w:rsidRPr="005F5AF9">
              <w:rPr>
                <w:rStyle w:val="Heading10"/>
                <w:b w:val="0"/>
                <w:color w:val="005CA9"/>
                <w:szCs w:val="24"/>
              </w:rPr>
              <w:t xml:space="preserve">An appropriate Archaeological Desk Based Assessment (DBA), and where necessary a field evaluation; </w:t>
            </w:r>
          </w:p>
          <w:p w14:paraId="763EFD84" w14:textId="77777777" w:rsidR="00000ED0" w:rsidRPr="005F5AF9" w:rsidRDefault="00000ED0" w:rsidP="00000ED0">
            <w:pPr>
              <w:pStyle w:val="Policy"/>
              <w:tabs>
                <w:tab w:val="clear" w:pos="680"/>
              </w:tabs>
              <w:spacing w:after="0" w:line="240" w:lineRule="auto"/>
              <w:ind w:left="666" w:right="284"/>
              <w:rPr>
                <w:iCs/>
                <w:color w:val="005CA9"/>
                <w:sz w:val="24"/>
              </w:rPr>
            </w:pPr>
          </w:p>
          <w:p w14:paraId="1F5CA230" w14:textId="5729B62F" w:rsidR="00000ED0" w:rsidRPr="005F5AF9" w:rsidRDefault="00000ED0" w:rsidP="00B2285E">
            <w:pPr>
              <w:pStyle w:val="Policy"/>
              <w:numPr>
                <w:ilvl w:val="0"/>
                <w:numId w:val="349"/>
              </w:numPr>
              <w:tabs>
                <w:tab w:val="clear" w:pos="680"/>
              </w:tabs>
              <w:spacing w:after="0" w:line="240" w:lineRule="auto"/>
              <w:ind w:right="284"/>
              <w:rPr>
                <w:rStyle w:val="Normal1"/>
                <w:iCs/>
                <w:color w:val="005CA9"/>
              </w:rPr>
            </w:pPr>
            <w:r w:rsidRPr="005F5AF9">
              <w:rPr>
                <w:color w:val="005CA9"/>
                <w:sz w:val="24"/>
                <w:szCs w:val="24"/>
              </w:rPr>
              <w:t>An appropriate design scheme that retains existing mature trees and strengthens and protects existing boundary hedgerows by gapping up and planting additional hedgerow trees where necessary.</w:t>
            </w:r>
            <w:r w:rsidRPr="005F5AF9">
              <w:rPr>
                <w:color w:val="005CA9"/>
              </w:rPr>
              <w:t xml:space="preserve"> </w:t>
            </w:r>
            <w:r w:rsidRPr="005F5AF9">
              <w:rPr>
                <w:rStyle w:val="Heading10"/>
                <w:b w:val="0"/>
                <w:color w:val="005CA9"/>
                <w:szCs w:val="24"/>
              </w:rPr>
              <w:t>T</w:t>
            </w:r>
            <w:r w:rsidRPr="005F5AF9">
              <w:rPr>
                <w:rStyle w:val="Normal1"/>
                <w:iCs/>
                <w:color w:val="005CA9"/>
              </w:rPr>
              <w:t xml:space="preserve">rees along the northern boundary of the site are of particular importance to provide a green buffer between the site and the Grade II Listed </w:t>
            </w:r>
            <w:proofErr w:type="spellStart"/>
            <w:r w:rsidRPr="005F5AF9">
              <w:rPr>
                <w:rStyle w:val="Normal1"/>
                <w:iCs/>
                <w:color w:val="005CA9"/>
              </w:rPr>
              <w:t>Dalestorth</w:t>
            </w:r>
            <w:proofErr w:type="spellEnd"/>
            <w:r w:rsidRPr="005F5AF9">
              <w:rPr>
                <w:rStyle w:val="Normal1"/>
                <w:iCs/>
                <w:color w:val="005CA9"/>
              </w:rPr>
              <w:t xml:space="preserve"> House; and</w:t>
            </w:r>
          </w:p>
          <w:p w14:paraId="3FC6BF10" w14:textId="77777777" w:rsidR="00000ED0" w:rsidRPr="005F5AF9" w:rsidRDefault="00000ED0">
            <w:pPr>
              <w:pStyle w:val="ListParagraph"/>
              <w:rPr>
                <w:rStyle w:val="Heading10"/>
                <w:b w:val="0"/>
                <w:color w:val="005CA9"/>
                <w:sz w:val="16"/>
                <w:szCs w:val="16"/>
              </w:rPr>
            </w:pPr>
          </w:p>
          <w:p w14:paraId="469CA86C" w14:textId="5CAABC24" w:rsidR="00000ED0" w:rsidRPr="005F5AF9" w:rsidRDefault="001C072E" w:rsidP="00B2285E">
            <w:pPr>
              <w:pStyle w:val="ListParagraph"/>
              <w:keepNext/>
              <w:numPr>
                <w:ilvl w:val="0"/>
                <w:numId w:val="349"/>
              </w:numPr>
              <w:spacing w:after="0" w:line="240" w:lineRule="auto"/>
              <w:rPr>
                <w:rStyle w:val="Heading10"/>
                <w:b w:val="0"/>
                <w:bCs/>
                <w:color w:val="005CA9"/>
                <w:szCs w:val="24"/>
              </w:rPr>
            </w:pPr>
            <w:r w:rsidRPr="005F5AF9">
              <w:rPr>
                <w:rStyle w:val="Heading10"/>
                <w:b w:val="0"/>
                <w:color w:val="005CA9"/>
                <w:szCs w:val="24"/>
              </w:rPr>
              <w:t>In accordance with Policy H5</w:t>
            </w:r>
            <w:r w:rsidR="00101C9C" w:rsidRPr="005F5AF9">
              <w:rPr>
                <w:rStyle w:val="Heading10"/>
                <w:b w:val="0"/>
                <w:color w:val="005CA9"/>
                <w:szCs w:val="24"/>
              </w:rPr>
              <w:t>, a</w:t>
            </w:r>
            <w:r w:rsidR="00000ED0" w:rsidRPr="005F5AF9">
              <w:rPr>
                <w:rStyle w:val="Heading10"/>
                <w:b w:val="0"/>
                <w:color w:val="005CA9"/>
                <w:szCs w:val="24"/>
              </w:rPr>
              <w:t xml:space="preserve"> minimum of 10% public open space for community use, approximately 1.46ha from all phases of development.</w:t>
            </w:r>
          </w:p>
          <w:p w14:paraId="02F60863" w14:textId="77777777" w:rsidR="00000ED0" w:rsidRPr="005F5AF9" w:rsidRDefault="00000ED0">
            <w:pPr>
              <w:pStyle w:val="Policy"/>
              <w:tabs>
                <w:tab w:val="clear" w:pos="680"/>
              </w:tabs>
              <w:spacing w:after="0" w:line="240" w:lineRule="auto"/>
              <w:ind w:left="0" w:right="284"/>
              <w:rPr>
                <w:rStyle w:val="Heading10"/>
                <w:rFonts w:cs="Arial"/>
                <w:b w:val="0"/>
                <w:bCs/>
                <w:color w:val="005CA9"/>
                <w:szCs w:val="24"/>
              </w:rPr>
            </w:pPr>
          </w:p>
        </w:tc>
      </w:tr>
    </w:tbl>
    <w:p w14:paraId="51415192" w14:textId="77777777" w:rsidR="00FD2E24" w:rsidRPr="00D32197" w:rsidRDefault="00FD2E24" w:rsidP="00D32197">
      <w:pPr>
        <w:pStyle w:val="ListParagraph"/>
        <w:rPr>
          <w:rFonts w:eastAsia="Calibri" w:cs="Arial"/>
          <w:b/>
          <w:bCs/>
          <w:color w:val="auto"/>
        </w:rPr>
      </w:pPr>
    </w:p>
    <w:p w14:paraId="6D302ECA" w14:textId="77777777" w:rsidR="0085595A" w:rsidRPr="0085595A" w:rsidRDefault="00715560" w:rsidP="0085595A">
      <w:pPr>
        <w:pStyle w:val="ListParagraph"/>
        <w:numPr>
          <w:ilvl w:val="1"/>
          <w:numId w:val="92"/>
        </w:numPr>
        <w:autoSpaceDE w:val="0"/>
        <w:autoSpaceDN w:val="0"/>
        <w:adjustRightInd w:val="0"/>
        <w:spacing w:after="0" w:line="240" w:lineRule="auto"/>
        <w:ind w:left="851" w:hanging="851"/>
        <w:rPr>
          <w:rFonts w:cs="Arial"/>
          <w:sz w:val="22"/>
          <w:lang w:eastAsia="en-GB"/>
        </w:rPr>
      </w:pPr>
      <w:r w:rsidRPr="0085595A">
        <w:rPr>
          <w:rFonts w:ascii="Arial" w:eastAsia="Calibri" w:hAnsi="Arial" w:cs="Arial"/>
          <w:b/>
          <w:bCs/>
          <w:color w:val="auto"/>
        </w:rPr>
        <w:t>Site H1Si: North of Kingsmill Hospital</w:t>
      </w:r>
      <w:r w:rsidRPr="0085595A">
        <w:rPr>
          <w:rFonts w:ascii="Arial" w:eastAsia="Calibri" w:hAnsi="Arial" w:cs="Arial"/>
          <w:bCs/>
          <w:color w:val="auto"/>
        </w:rPr>
        <w:t xml:space="preserve">. This greenfield site </w:t>
      </w:r>
      <w:r w:rsidR="00BA1248" w:rsidRPr="0085595A">
        <w:rPr>
          <w:rFonts w:ascii="Arial" w:eastAsia="Calibri" w:hAnsi="Arial" w:cs="Arial"/>
          <w:bCs/>
          <w:color w:val="auto"/>
        </w:rPr>
        <w:t xml:space="preserve">has been assessed as potentially deliverable in the SHELAA (ref. SA033). It </w:t>
      </w:r>
      <w:r w:rsidRPr="0085595A">
        <w:rPr>
          <w:rFonts w:ascii="Arial" w:eastAsia="Calibri" w:hAnsi="Arial" w:cs="Arial"/>
          <w:bCs/>
          <w:color w:val="auto"/>
        </w:rPr>
        <w:t xml:space="preserve">is located adjacent to the main urban area of Sutton. It is well contained by built form on three sides and is well connected to Sutton and Mansfield in terms of services and facilities, including public transport. Any development proposal for this site will need to retain an open break between Sutton and Mansfield Urban Area, which could be achieved through the incorporation of public open space. The </w:t>
      </w:r>
      <w:r w:rsidR="006F381B" w:rsidRPr="0085595A">
        <w:rPr>
          <w:rFonts w:ascii="Arial" w:eastAsia="Calibri" w:hAnsi="Arial" w:cs="Arial"/>
          <w:bCs/>
          <w:color w:val="auto"/>
        </w:rPr>
        <w:t>site</w:t>
      </w:r>
      <w:r w:rsidRPr="0085595A">
        <w:rPr>
          <w:rFonts w:ascii="Arial" w:eastAsia="Calibri" w:hAnsi="Arial" w:cs="Arial"/>
          <w:bCs/>
          <w:color w:val="auto"/>
        </w:rPr>
        <w:t xml:space="preserve"> falls within the SSSI Impact Risk Zone for Teversal Pastures. There is evidence of surface water flooding within the site boundary. </w:t>
      </w:r>
    </w:p>
    <w:p w14:paraId="6C7FE45B" w14:textId="77777777" w:rsidR="0085595A" w:rsidRPr="0085595A" w:rsidRDefault="0085595A" w:rsidP="0085595A">
      <w:pPr>
        <w:pStyle w:val="ListParagraph"/>
        <w:ind w:left="851"/>
        <w:rPr>
          <w:rFonts w:ascii="Arial" w:hAnsi="Arial"/>
          <w:color w:val="auto"/>
        </w:rPr>
      </w:pPr>
    </w:p>
    <w:p w14:paraId="143337C4" w14:textId="3810C8CE" w:rsidR="0085595A" w:rsidRPr="0085595A" w:rsidRDefault="00A72FF3" w:rsidP="0085595A">
      <w:pPr>
        <w:pStyle w:val="ListParagraph"/>
        <w:numPr>
          <w:ilvl w:val="1"/>
          <w:numId w:val="92"/>
        </w:numPr>
        <w:autoSpaceDE w:val="0"/>
        <w:autoSpaceDN w:val="0"/>
        <w:adjustRightInd w:val="0"/>
        <w:spacing w:after="0" w:line="240" w:lineRule="auto"/>
        <w:ind w:left="851" w:hanging="851"/>
        <w:rPr>
          <w:rFonts w:ascii="Arial" w:hAnsi="Arial" w:cs="Arial"/>
          <w:szCs w:val="24"/>
          <w:lang w:eastAsia="en-GB"/>
        </w:rPr>
      </w:pPr>
      <w:r w:rsidRPr="0085595A">
        <w:rPr>
          <w:rFonts w:ascii="Arial" w:hAnsi="Arial" w:cs="Arial"/>
          <w:color w:val="auto"/>
        </w:rPr>
        <w:t>T</w:t>
      </w:r>
      <w:r w:rsidR="006F381B" w:rsidRPr="0085595A">
        <w:rPr>
          <w:rFonts w:ascii="Arial" w:hAnsi="Arial" w:cs="Arial"/>
          <w:color w:val="auto"/>
        </w:rPr>
        <w:t xml:space="preserve">he site is located across the road from the Grade II Listed </w:t>
      </w:r>
      <w:proofErr w:type="spellStart"/>
      <w:r w:rsidR="006F381B" w:rsidRPr="0085595A">
        <w:rPr>
          <w:rFonts w:ascii="Arial" w:hAnsi="Arial" w:cs="Arial"/>
          <w:color w:val="auto"/>
        </w:rPr>
        <w:t>Dalestorth</w:t>
      </w:r>
      <w:proofErr w:type="spellEnd"/>
      <w:r w:rsidR="006F381B" w:rsidRPr="0085595A">
        <w:rPr>
          <w:rFonts w:ascii="Arial" w:hAnsi="Arial" w:cs="Arial"/>
          <w:color w:val="auto"/>
        </w:rPr>
        <w:t xml:space="preserve"> House, c. 55m to the south. </w:t>
      </w:r>
      <w:r w:rsidR="0085595A" w:rsidRPr="0085595A">
        <w:rPr>
          <w:rFonts w:ascii="Arial" w:hAnsi="Arial" w:cs="Arial"/>
          <w:color w:val="0070C0"/>
          <w:szCs w:val="24"/>
          <w:lang w:eastAsia="en-GB"/>
        </w:rPr>
        <w:t xml:space="preserve">Development of the site should be informed by </w:t>
      </w:r>
      <w:r w:rsidR="0085595A" w:rsidRPr="0085595A">
        <w:rPr>
          <w:rFonts w:ascii="Arial" w:eastAsia="Arial" w:hAnsi="Arial" w:cs="Arial"/>
          <w:iCs/>
          <w:color w:val="0070C0"/>
          <w:szCs w:val="24"/>
          <w:lang w:eastAsia="en-GB"/>
        </w:rPr>
        <w:t>the recommendations identified in the 2023 Heritage Impact Assessment and should</w:t>
      </w:r>
      <w:r w:rsidR="0085595A" w:rsidRPr="0085595A">
        <w:rPr>
          <w:rFonts w:ascii="Arial" w:eastAsia="Arial" w:hAnsi="Arial" w:cs="Arial"/>
          <w:iCs/>
          <w:color w:val="FF0000"/>
          <w:szCs w:val="24"/>
          <w:lang w:eastAsia="en-GB"/>
        </w:rPr>
        <w:t xml:space="preserve"> </w:t>
      </w:r>
      <w:r w:rsidR="0085595A" w:rsidRPr="0085595A">
        <w:rPr>
          <w:rFonts w:ascii="Arial" w:eastAsia="Arial" w:hAnsi="Arial" w:cs="Arial"/>
          <w:iCs/>
          <w:color w:val="0070C0"/>
          <w:szCs w:val="24"/>
          <w:lang w:eastAsia="en-GB"/>
        </w:rPr>
        <w:t>be sensitively designed.</w:t>
      </w:r>
      <w:r w:rsidR="0085595A" w:rsidRPr="0085595A">
        <w:rPr>
          <w:rFonts w:ascii="Arial" w:eastAsia="Arial" w:hAnsi="Arial" w:cs="Arial"/>
          <w:iCs/>
          <w:color w:val="FF0000"/>
          <w:szCs w:val="24"/>
          <w:lang w:eastAsia="en-GB"/>
        </w:rPr>
        <w:t xml:space="preserve"> </w:t>
      </w:r>
      <w:r w:rsidR="006F381B" w:rsidRPr="0085595A">
        <w:rPr>
          <w:rFonts w:ascii="Arial" w:hAnsi="Arial" w:cs="Arial"/>
          <w:color w:val="auto"/>
          <w:szCs w:val="24"/>
        </w:rPr>
        <w:t xml:space="preserve"> The trees to the south of Skegby Lane should be retained and supplemented where necessary </w:t>
      </w:r>
      <w:proofErr w:type="gramStart"/>
      <w:r w:rsidR="006F381B" w:rsidRPr="0085595A">
        <w:rPr>
          <w:rFonts w:ascii="Arial" w:hAnsi="Arial" w:cs="Arial"/>
          <w:color w:val="auto"/>
          <w:szCs w:val="24"/>
        </w:rPr>
        <w:t>in order to</w:t>
      </w:r>
      <w:proofErr w:type="gramEnd"/>
      <w:r w:rsidR="006F381B" w:rsidRPr="0085595A">
        <w:rPr>
          <w:rFonts w:ascii="Arial" w:hAnsi="Arial" w:cs="Arial"/>
          <w:color w:val="auto"/>
          <w:szCs w:val="24"/>
        </w:rPr>
        <w:t xml:space="preserve"> provide an important green buffer between the site and the asset.  In addition, depending on the scale of proposed development within the northern and the eastern fields, </w:t>
      </w:r>
      <w:r w:rsidR="003A37B3" w:rsidRPr="0085595A">
        <w:rPr>
          <w:rStyle w:val="Normal1"/>
          <w:rFonts w:cs="Arial"/>
          <w:iCs/>
          <w:color w:val="auto"/>
          <w:szCs w:val="24"/>
        </w:rPr>
        <w:t>further archaeological evaluation work may be required</w:t>
      </w:r>
      <w:r w:rsidR="0085595A" w:rsidRPr="0085595A">
        <w:rPr>
          <w:rStyle w:val="Normal1"/>
          <w:rFonts w:cs="Arial"/>
          <w:iCs/>
          <w:color w:val="auto"/>
          <w:szCs w:val="24"/>
        </w:rPr>
        <w:t xml:space="preserve">.  </w:t>
      </w:r>
      <w:r w:rsidR="0085595A" w:rsidRPr="0085595A">
        <w:rPr>
          <w:rFonts w:ascii="Arial" w:eastAsia="Arial" w:hAnsi="Arial" w:cs="Arial"/>
          <w:iCs/>
          <w:strike/>
          <w:szCs w:val="24"/>
          <w:lang w:eastAsia="en-GB"/>
        </w:rPr>
        <w:t>beginning with a</w:t>
      </w:r>
      <w:r w:rsidR="0085595A" w:rsidRPr="0085595A">
        <w:rPr>
          <w:rFonts w:ascii="Arial" w:eastAsia="Arial" w:hAnsi="Arial" w:cs="Arial"/>
          <w:iCs/>
          <w:szCs w:val="24"/>
          <w:lang w:eastAsia="en-GB"/>
        </w:rPr>
        <w:t xml:space="preserve"> </w:t>
      </w:r>
      <w:proofErr w:type="gramStart"/>
      <w:r w:rsidR="0085595A" w:rsidRPr="0085595A">
        <w:rPr>
          <w:rFonts w:ascii="Arial" w:eastAsia="Arial" w:hAnsi="Arial" w:cs="Arial"/>
          <w:iCs/>
          <w:color w:val="0070C0"/>
          <w:szCs w:val="24"/>
          <w:lang w:eastAsia="en-GB"/>
        </w:rPr>
        <w:t>An</w:t>
      </w:r>
      <w:proofErr w:type="gramEnd"/>
      <w:r w:rsidR="0085595A" w:rsidRPr="0085595A">
        <w:rPr>
          <w:rFonts w:ascii="Arial" w:eastAsia="Arial" w:hAnsi="Arial" w:cs="Arial"/>
          <w:iCs/>
          <w:szCs w:val="24"/>
          <w:lang w:eastAsia="en-GB"/>
        </w:rPr>
        <w:t xml:space="preserve"> </w:t>
      </w:r>
      <w:r w:rsidR="0085595A" w:rsidRPr="0085595A">
        <w:rPr>
          <w:rFonts w:ascii="Arial" w:eastAsia="Arial" w:hAnsi="Arial" w:cs="Arial"/>
          <w:iCs/>
          <w:color w:val="0070C0"/>
          <w:szCs w:val="24"/>
          <w:lang w:eastAsia="en-GB"/>
        </w:rPr>
        <w:t xml:space="preserve">archaeological </w:t>
      </w:r>
      <w:r w:rsidR="0085595A" w:rsidRPr="0085595A">
        <w:rPr>
          <w:rFonts w:ascii="Arial" w:eastAsia="Arial" w:hAnsi="Arial" w:cs="Arial"/>
          <w:iCs/>
          <w:szCs w:val="24"/>
          <w:lang w:eastAsia="en-GB"/>
        </w:rPr>
        <w:t xml:space="preserve">Desk Based Assessment (DBA) </w:t>
      </w:r>
      <w:r w:rsidR="0085595A" w:rsidRPr="0085595A">
        <w:rPr>
          <w:rFonts w:ascii="Arial" w:eastAsia="Arial" w:hAnsi="Arial" w:cs="Arial"/>
          <w:iCs/>
          <w:color w:val="0070C0"/>
          <w:szCs w:val="24"/>
          <w:lang w:eastAsia="en-GB"/>
        </w:rPr>
        <w:t>should be submitted with any planning application</w:t>
      </w:r>
      <w:r w:rsidR="0085595A" w:rsidRPr="0085595A">
        <w:rPr>
          <w:rFonts w:ascii="Arial" w:hAnsi="Arial" w:cs="Arial"/>
          <w:szCs w:val="24"/>
          <w:lang w:eastAsia="en-GB"/>
        </w:rPr>
        <w:t xml:space="preserve"> to ascertain the extent and level of survival of archaeological remains within the site.  Depending on the results of the DBA further archaeological investigations may be warranted, including a geophysical survey and targeted trial trenching, where necessary </w:t>
      </w:r>
      <w:r w:rsidR="0085595A" w:rsidRPr="0085595A">
        <w:rPr>
          <w:rFonts w:ascii="Arial" w:hAnsi="Arial" w:cs="Arial"/>
          <w:color w:val="0070C0"/>
          <w:szCs w:val="24"/>
          <w:lang w:eastAsia="en-GB"/>
        </w:rPr>
        <w:t xml:space="preserve">to </w:t>
      </w:r>
      <w:r w:rsidR="0085595A" w:rsidRPr="0085595A">
        <w:rPr>
          <w:rFonts w:ascii="Arial" w:hAnsi="Arial" w:cs="Arial"/>
          <w:strike/>
          <w:szCs w:val="24"/>
          <w:lang w:eastAsia="en-GB"/>
        </w:rPr>
        <w:t>This work</w:t>
      </w:r>
      <w:r w:rsidR="0085595A" w:rsidRPr="0085595A">
        <w:rPr>
          <w:rFonts w:ascii="Arial" w:hAnsi="Arial" w:cs="Arial"/>
          <w:szCs w:val="24"/>
          <w:lang w:eastAsia="en-GB"/>
        </w:rPr>
        <w:t xml:space="preserve"> </w:t>
      </w:r>
      <w:r w:rsidR="0085595A" w:rsidRPr="0085595A">
        <w:rPr>
          <w:rFonts w:ascii="Arial" w:hAnsi="Arial" w:cs="Arial"/>
          <w:strike/>
          <w:szCs w:val="24"/>
          <w:lang w:eastAsia="en-GB"/>
        </w:rPr>
        <w:t>will</w:t>
      </w:r>
      <w:r w:rsidR="0085595A" w:rsidRPr="0085595A">
        <w:rPr>
          <w:rFonts w:ascii="Arial" w:hAnsi="Arial" w:cs="Arial"/>
          <w:szCs w:val="24"/>
          <w:lang w:eastAsia="en-GB"/>
        </w:rPr>
        <w:t xml:space="preserve"> inform </w:t>
      </w:r>
      <w:r w:rsidR="0085595A" w:rsidRPr="0085595A">
        <w:rPr>
          <w:rFonts w:ascii="Arial" w:hAnsi="Arial" w:cs="Arial"/>
          <w:color w:val="0070C0"/>
          <w:szCs w:val="24"/>
          <w:lang w:eastAsia="en-GB"/>
        </w:rPr>
        <w:t>any required</w:t>
      </w:r>
      <w:r w:rsidR="0085595A" w:rsidRPr="0085595A">
        <w:rPr>
          <w:rFonts w:ascii="Arial" w:hAnsi="Arial" w:cs="Arial"/>
          <w:szCs w:val="24"/>
          <w:lang w:eastAsia="en-GB"/>
        </w:rPr>
        <w:t xml:space="preserve"> </w:t>
      </w:r>
      <w:r w:rsidR="0085595A" w:rsidRPr="0085595A">
        <w:rPr>
          <w:rFonts w:ascii="Arial" w:hAnsi="Arial" w:cs="Arial"/>
          <w:strike/>
          <w:szCs w:val="24"/>
          <w:lang w:eastAsia="en-GB"/>
        </w:rPr>
        <w:t>the need for</w:t>
      </w:r>
      <w:r w:rsidR="0085595A" w:rsidRPr="0085595A">
        <w:rPr>
          <w:rFonts w:ascii="Arial" w:hAnsi="Arial" w:cs="Arial"/>
          <w:szCs w:val="24"/>
          <w:lang w:eastAsia="en-GB"/>
        </w:rPr>
        <w:t xml:space="preserve"> mitigation.</w:t>
      </w:r>
    </w:p>
    <w:p w14:paraId="21D3DF6B" w14:textId="03FA6567" w:rsidR="0044521A" w:rsidRPr="0085595A" w:rsidRDefault="0044521A" w:rsidP="0085595A">
      <w:pPr>
        <w:pStyle w:val="ListParagraph"/>
        <w:autoSpaceDE w:val="0"/>
        <w:autoSpaceDN w:val="0"/>
        <w:adjustRightInd w:val="0"/>
        <w:spacing w:after="0" w:line="240" w:lineRule="auto"/>
        <w:ind w:left="851"/>
        <w:rPr>
          <w:rStyle w:val="Normal1"/>
          <w:rFonts w:eastAsia="Calibri" w:cs="Arial"/>
          <w:bCs/>
          <w:color w:val="auto"/>
          <w:szCs w:val="24"/>
        </w:rPr>
      </w:pPr>
    </w:p>
    <w:p w14:paraId="64920AD2" w14:textId="6ABEA982" w:rsidR="0085595A" w:rsidRPr="0085595A" w:rsidRDefault="0085595A" w:rsidP="0085595A">
      <w:pPr>
        <w:pStyle w:val="ListParagraph"/>
        <w:numPr>
          <w:ilvl w:val="1"/>
          <w:numId w:val="92"/>
        </w:numPr>
        <w:spacing w:after="0" w:line="240" w:lineRule="auto"/>
        <w:ind w:left="851" w:hanging="851"/>
        <w:rPr>
          <w:rFonts w:ascii="Arial" w:eastAsia="Arial" w:hAnsi="Arial" w:cs="Arial"/>
          <w:color w:val="auto"/>
          <w:spacing w:val="-1"/>
          <w:szCs w:val="24"/>
        </w:rPr>
      </w:pPr>
      <w:r w:rsidRPr="0085595A">
        <w:rPr>
          <w:rFonts w:ascii="Arial" w:hAnsi="Arial" w:cs="Arial"/>
          <w:szCs w:val="24"/>
        </w:rPr>
        <w:t xml:space="preserve">A concise masterplan </w:t>
      </w:r>
      <w:r w:rsidRPr="0085595A">
        <w:rPr>
          <w:rFonts w:ascii="Arial" w:hAnsi="Arial" w:cs="Arial"/>
          <w:strike/>
          <w:szCs w:val="24"/>
        </w:rPr>
        <w:t xml:space="preserve">will be </w:t>
      </w:r>
      <w:r w:rsidRPr="009303B2">
        <w:rPr>
          <w:rFonts w:ascii="Arial" w:hAnsi="Arial" w:cs="Arial"/>
          <w:strike/>
          <w:szCs w:val="24"/>
        </w:rPr>
        <w:t>available to identify</w:t>
      </w:r>
      <w:r w:rsidRPr="0085595A">
        <w:rPr>
          <w:rFonts w:ascii="Arial" w:hAnsi="Arial" w:cs="Arial"/>
          <w:szCs w:val="24"/>
        </w:rPr>
        <w:t xml:space="preserve"> </w:t>
      </w:r>
      <w:r w:rsidR="009303B2">
        <w:rPr>
          <w:rFonts w:ascii="Arial" w:hAnsi="Arial" w:cs="Arial"/>
          <w:color w:val="0070C0"/>
          <w:szCs w:val="24"/>
        </w:rPr>
        <w:t>is included at Appendix 11 and identifies</w:t>
      </w:r>
      <w:r w:rsidR="009303B2" w:rsidRPr="0085595A">
        <w:rPr>
          <w:rFonts w:ascii="Arial" w:hAnsi="Arial" w:cs="Arial"/>
          <w:szCs w:val="24"/>
        </w:rPr>
        <w:t xml:space="preserve"> </w:t>
      </w:r>
      <w:r w:rsidRPr="0085595A">
        <w:rPr>
          <w:rFonts w:ascii="Arial" w:hAnsi="Arial" w:cs="Arial"/>
          <w:szCs w:val="24"/>
        </w:rPr>
        <w:t>essential requirements expected by the Council</w:t>
      </w:r>
      <w:r w:rsidR="008902F0">
        <w:rPr>
          <w:rFonts w:ascii="Arial" w:hAnsi="Arial" w:cs="Arial"/>
          <w:szCs w:val="24"/>
        </w:rPr>
        <w:t xml:space="preserve"> </w:t>
      </w:r>
      <w:r w:rsidRPr="008902F0">
        <w:rPr>
          <w:rFonts w:ascii="Arial" w:hAnsi="Arial" w:cs="Arial"/>
          <w:szCs w:val="24"/>
        </w:rPr>
        <w:t xml:space="preserve">and </w:t>
      </w:r>
      <w:r w:rsidRPr="0085595A">
        <w:rPr>
          <w:rFonts w:ascii="Arial" w:hAnsi="Arial" w:cs="Arial"/>
          <w:szCs w:val="24"/>
        </w:rPr>
        <w:t>provide</w:t>
      </w:r>
      <w:r w:rsidRPr="0085595A">
        <w:rPr>
          <w:rFonts w:ascii="Arial" w:hAnsi="Arial" w:cs="Arial"/>
          <w:color w:val="0070C0"/>
          <w:szCs w:val="24"/>
        </w:rPr>
        <w:t>s</w:t>
      </w:r>
      <w:r w:rsidRPr="0085595A">
        <w:rPr>
          <w:rFonts w:ascii="Arial" w:hAnsi="Arial" w:cs="Arial"/>
          <w:szCs w:val="24"/>
        </w:rPr>
        <w:t xml:space="preserve"> more detailed advice and guidance specific to the site.</w:t>
      </w:r>
    </w:p>
    <w:p w14:paraId="6AF56E36" w14:textId="77777777" w:rsidR="0085595A" w:rsidRPr="00694FCA" w:rsidRDefault="0085595A" w:rsidP="003A37B3">
      <w:pPr>
        <w:autoSpaceDE w:val="0"/>
        <w:autoSpaceDN w:val="0"/>
        <w:adjustRightInd w:val="0"/>
        <w:rPr>
          <w:rFonts w:eastAsia="Calibri" w:cs="Arial"/>
          <w:bCs/>
          <w:color w:val="auto"/>
        </w:rPr>
      </w:pPr>
    </w:p>
    <w:p w14:paraId="41127686" w14:textId="35FBFB59" w:rsidR="00715560" w:rsidRPr="00694FCA"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bCs/>
          <w:color w:val="auto"/>
        </w:rPr>
      </w:pPr>
      <w:r w:rsidRPr="00694FCA">
        <w:rPr>
          <w:rFonts w:ascii="Arial" w:eastAsia="Calibri" w:hAnsi="Arial" w:cs="Arial"/>
          <w:b/>
          <w:color w:val="auto"/>
        </w:rPr>
        <w:t>Site H1Sj Clegg Hill Drive, Huthwaite</w:t>
      </w:r>
      <w:r w:rsidRPr="00694FCA">
        <w:rPr>
          <w:rFonts w:ascii="Arial" w:eastAsia="Calibri" w:hAnsi="Arial" w:cs="Arial"/>
          <w:bCs/>
          <w:color w:val="auto"/>
        </w:rPr>
        <w:t>. This greenfield site</w:t>
      </w:r>
      <w:r w:rsidR="00BA1248" w:rsidRPr="00694FCA">
        <w:rPr>
          <w:rFonts w:ascii="Arial" w:hAnsi="Arial" w:cs="Arial"/>
          <w:color w:val="auto"/>
        </w:rPr>
        <w:t xml:space="preserve"> </w:t>
      </w:r>
      <w:r w:rsidR="00BA1248" w:rsidRPr="00694FCA">
        <w:rPr>
          <w:rFonts w:ascii="Arial" w:eastAsia="Calibri" w:hAnsi="Arial" w:cs="Arial"/>
          <w:bCs/>
          <w:color w:val="auto"/>
        </w:rPr>
        <w:t xml:space="preserve">It </w:t>
      </w:r>
      <w:proofErr w:type="gramStart"/>
      <w:r w:rsidR="00BA1248" w:rsidRPr="00694FCA">
        <w:rPr>
          <w:rFonts w:ascii="Arial" w:eastAsia="Calibri" w:hAnsi="Arial" w:cs="Arial"/>
          <w:bCs/>
          <w:color w:val="auto"/>
        </w:rPr>
        <w:t>is considered to be</w:t>
      </w:r>
      <w:proofErr w:type="gramEnd"/>
      <w:r w:rsidR="00BA1248" w:rsidRPr="00694FCA">
        <w:rPr>
          <w:rFonts w:ascii="Arial" w:eastAsia="Calibri" w:hAnsi="Arial" w:cs="Arial"/>
          <w:bCs/>
          <w:color w:val="auto"/>
        </w:rPr>
        <w:t xml:space="preserve"> potentially deliverable in the SHELAA (ref. SA041). It </w:t>
      </w:r>
      <w:r w:rsidRPr="00694FCA">
        <w:rPr>
          <w:rFonts w:ascii="Arial" w:eastAsia="Calibri" w:hAnsi="Arial" w:cs="Arial"/>
          <w:bCs/>
          <w:color w:val="auto"/>
        </w:rPr>
        <w:t xml:space="preserve">is located adjacent to the </w:t>
      </w:r>
      <w:r w:rsidRPr="00694FCA">
        <w:rPr>
          <w:rFonts w:ascii="Arial" w:eastAsia="Calibri" w:hAnsi="Arial" w:cs="Arial"/>
          <w:bCs/>
          <w:color w:val="auto"/>
        </w:rPr>
        <w:lastRenderedPageBreak/>
        <w:t xml:space="preserve">urban area of Sutton and is well contained by existing residential development to the north, south and west, with neighbours including a shooting club and a boarding kennels. Records indicate that surface water flooding occurs within the site boundary. Level changes occur on Chesterfield Road where the access road has been proposed. The existing recreation ground off Pennine Close is of poor quality and development of this site will provide an opportunity to deliver an improved facility as part of a well-designed scheme. </w:t>
      </w:r>
    </w:p>
    <w:p w14:paraId="70638A51" w14:textId="77777777" w:rsidR="006648CD" w:rsidRDefault="006648CD" w:rsidP="006648CD">
      <w:pPr>
        <w:autoSpaceDE w:val="0"/>
        <w:autoSpaceDN w:val="0"/>
        <w:adjustRightInd w:val="0"/>
        <w:rPr>
          <w:rFonts w:eastAsia="Arial" w:cs="Arial"/>
          <w:b/>
          <w:bCs/>
          <w:color w:val="FF0000"/>
          <w:szCs w:val="24"/>
        </w:rPr>
      </w:pPr>
    </w:p>
    <w:tbl>
      <w:tblPr>
        <w:tblStyle w:val="ReportTable1"/>
        <w:tblW w:w="9493" w:type="dxa"/>
        <w:tblLook w:val="04A0" w:firstRow="1" w:lastRow="0" w:firstColumn="1" w:lastColumn="0" w:noHBand="0" w:noVBand="1"/>
      </w:tblPr>
      <w:tblGrid>
        <w:gridCol w:w="2635"/>
        <w:gridCol w:w="6858"/>
      </w:tblGrid>
      <w:tr w:rsidR="00C70C2D" w:rsidRPr="00AE1FB1" w14:paraId="6F79E4F4" w14:textId="77777777" w:rsidTr="00476E4D">
        <w:tc>
          <w:tcPr>
            <w:tcW w:w="9493" w:type="dxa"/>
            <w:gridSpan w:val="2"/>
          </w:tcPr>
          <w:p w14:paraId="5206F1DF" w14:textId="77777777" w:rsidR="00C70C2D" w:rsidRPr="000124CA" w:rsidRDefault="00C70C2D">
            <w:pPr>
              <w:pStyle w:val="Heading"/>
              <w:spacing w:before="120" w:after="120"/>
              <w:rPr>
                <w:rStyle w:val="Heading10"/>
                <w:rFonts w:cs="Arial"/>
                <w:b/>
                <w:color w:val="0070C0"/>
                <w:szCs w:val="24"/>
              </w:rPr>
            </w:pPr>
            <w:r w:rsidRPr="000124CA">
              <w:rPr>
                <w:rStyle w:val="Heading10"/>
                <w:rFonts w:cs="Arial"/>
                <w:b/>
                <w:color w:val="0070C0"/>
                <w:szCs w:val="24"/>
              </w:rPr>
              <w:t>Policy H1Sk: Sunnyside Farm, Blackwell Road, Huthwaite</w:t>
            </w:r>
          </w:p>
        </w:tc>
      </w:tr>
      <w:tr w:rsidR="00C70C2D" w:rsidRPr="00AE1FB1" w14:paraId="27356870" w14:textId="77777777" w:rsidTr="00476E4D">
        <w:tc>
          <w:tcPr>
            <w:tcW w:w="2635" w:type="dxa"/>
          </w:tcPr>
          <w:p w14:paraId="325168E4" w14:textId="77777777" w:rsidR="00C70C2D" w:rsidRPr="00AE1FB1" w:rsidRDefault="00C70C2D">
            <w:pPr>
              <w:pStyle w:val="Heading"/>
              <w:spacing w:before="40" w:after="40"/>
              <w:rPr>
                <w:rStyle w:val="Heading10"/>
                <w:rFonts w:cs="Arial"/>
                <w:bCs/>
                <w:color w:val="0070C0"/>
                <w:szCs w:val="24"/>
              </w:rPr>
            </w:pPr>
            <w:r w:rsidRPr="00AE1FB1">
              <w:rPr>
                <w:rStyle w:val="Heading10"/>
                <w:rFonts w:cs="Arial"/>
                <w:bCs/>
                <w:color w:val="0070C0"/>
                <w:szCs w:val="24"/>
              </w:rPr>
              <w:t>Strategic Objectives</w:t>
            </w:r>
          </w:p>
        </w:tc>
        <w:tc>
          <w:tcPr>
            <w:tcW w:w="6858" w:type="dxa"/>
          </w:tcPr>
          <w:p w14:paraId="7831BD3B" w14:textId="77777777" w:rsidR="00C70C2D" w:rsidRPr="00AE1FB1" w:rsidRDefault="00C70C2D">
            <w:pPr>
              <w:pStyle w:val="Heading"/>
              <w:spacing w:before="40" w:after="40"/>
              <w:rPr>
                <w:rStyle w:val="Heading10"/>
                <w:rFonts w:cs="Arial"/>
                <w:bCs/>
                <w:color w:val="0070C0"/>
                <w:szCs w:val="24"/>
              </w:rPr>
            </w:pPr>
            <w:r w:rsidRPr="00AE1FB1">
              <w:rPr>
                <w:rStyle w:val="Heading10"/>
                <w:rFonts w:cs="Arial"/>
                <w:bCs/>
                <w:color w:val="0070C0"/>
                <w:szCs w:val="24"/>
              </w:rPr>
              <w:t>SO3, SO5, SO11, SO12, SO13</w:t>
            </w:r>
          </w:p>
        </w:tc>
      </w:tr>
      <w:tr w:rsidR="00C70C2D" w:rsidRPr="00AE1FB1" w14:paraId="5E7FE86C" w14:textId="77777777" w:rsidTr="00476E4D">
        <w:trPr>
          <w:trHeight w:val="1190"/>
        </w:trPr>
        <w:tc>
          <w:tcPr>
            <w:tcW w:w="9493" w:type="dxa"/>
            <w:gridSpan w:val="2"/>
            <w:shd w:val="clear" w:color="auto" w:fill="FFCC99"/>
          </w:tcPr>
          <w:p w14:paraId="46F448A9" w14:textId="77777777" w:rsidR="00C70C2D" w:rsidRPr="005F5AF9" w:rsidRDefault="00C70C2D">
            <w:pPr>
              <w:pStyle w:val="Policy"/>
              <w:tabs>
                <w:tab w:val="clear" w:pos="680"/>
                <w:tab w:val="left" w:pos="306"/>
              </w:tabs>
              <w:spacing w:after="0" w:line="240" w:lineRule="auto"/>
              <w:ind w:left="306" w:right="284"/>
              <w:rPr>
                <w:rStyle w:val="Heading10"/>
                <w:rFonts w:cs="Arial"/>
                <w:b w:val="0"/>
                <w:bCs/>
                <w:color w:val="005CA9"/>
                <w:szCs w:val="24"/>
              </w:rPr>
            </w:pPr>
          </w:p>
          <w:p w14:paraId="2494492C" w14:textId="77777777" w:rsidR="00C70C2D" w:rsidRPr="005F5AF9" w:rsidRDefault="00C70C2D">
            <w:pPr>
              <w:pStyle w:val="Policy"/>
              <w:tabs>
                <w:tab w:val="clear" w:pos="680"/>
                <w:tab w:val="left" w:pos="306"/>
              </w:tabs>
              <w:spacing w:after="0" w:line="240" w:lineRule="auto"/>
              <w:ind w:left="306" w:right="284"/>
              <w:rPr>
                <w:bCs/>
                <w:color w:val="005CA9"/>
              </w:rPr>
            </w:pPr>
            <w:r w:rsidRPr="005F5AF9">
              <w:rPr>
                <w:bCs/>
                <w:color w:val="005CA9"/>
                <w:sz w:val="24"/>
                <w:szCs w:val="24"/>
              </w:rPr>
              <w:t>Residential development to deliver approximately 350 dwellings will be permitted on site H1Sk as shown on the Policies Map, subject to detailed planning consent. Any future development proposal should have regard to the Masterplan in Appendix 11 and will need to include the following specific requirements, in addition to satisfying other relevant Local Plan policies as applicable:</w:t>
            </w:r>
            <w:r w:rsidRPr="005F5AF9">
              <w:rPr>
                <w:bCs/>
                <w:color w:val="005CA9"/>
              </w:rPr>
              <w:t xml:space="preserve"> </w:t>
            </w:r>
          </w:p>
          <w:p w14:paraId="67C7E54A" w14:textId="77777777" w:rsidR="00C70C2D" w:rsidRPr="005F5AF9" w:rsidRDefault="00C70C2D">
            <w:pPr>
              <w:pStyle w:val="Policy"/>
              <w:tabs>
                <w:tab w:val="clear" w:pos="680"/>
                <w:tab w:val="left" w:pos="306"/>
              </w:tabs>
              <w:spacing w:after="0" w:line="240" w:lineRule="auto"/>
              <w:ind w:left="306" w:right="284"/>
              <w:rPr>
                <w:rStyle w:val="Heading10"/>
                <w:rFonts w:cs="Arial"/>
                <w:b w:val="0"/>
                <w:bCs/>
                <w:color w:val="005CA9"/>
                <w:szCs w:val="24"/>
              </w:rPr>
            </w:pPr>
          </w:p>
          <w:p w14:paraId="7AB42C95" w14:textId="77777777" w:rsidR="00C70C2D" w:rsidRPr="005F5AF9" w:rsidRDefault="00C70C2D" w:rsidP="00B2285E">
            <w:pPr>
              <w:pStyle w:val="Policy"/>
              <w:numPr>
                <w:ilvl w:val="0"/>
                <w:numId w:val="350"/>
              </w:numPr>
              <w:tabs>
                <w:tab w:val="clear" w:pos="680"/>
                <w:tab w:val="clear" w:pos="1133"/>
                <w:tab w:val="left" w:pos="306"/>
                <w:tab w:val="left" w:pos="731"/>
              </w:tabs>
              <w:spacing w:after="0" w:line="240" w:lineRule="auto"/>
              <w:ind w:right="284"/>
              <w:contextualSpacing/>
              <w:jc w:val="both"/>
              <w:rPr>
                <w:rStyle w:val="Heading10"/>
                <w:b w:val="0"/>
                <w:color w:val="005CA9"/>
                <w:szCs w:val="24"/>
              </w:rPr>
            </w:pPr>
            <w:r w:rsidRPr="005F5AF9">
              <w:rPr>
                <w:rStyle w:val="Heading10"/>
                <w:rFonts w:cs="Arial"/>
                <w:b w:val="0"/>
                <w:color w:val="005CA9"/>
                <w:szCs w:val="24"/>
              </w:rPr>
              <w:t>T</w:t>
            </w:r>
            <w:r w:rsidRPr="005F5AF9">
              <w:rPr>
                <w:rFonts w:eastAsia="Calibri" w:cs="Arial"/>
                <w:color w:val="005CA9"/>
                <w:sz w:val="24"/>
                <w:szCs w:val="24"/>
                <w:lang w:eastAsia="en-US"/>
              </w:rPr>
              <w:t>wo inter-linked points of v</w:t>
            </w:r>
            <w:r w:rsidRPr="005F5AF9">
              <w:rPr>
                <w:rFonts w:eastAsia="Calibri"/>
                <w:color w:val="005CA9"/>
                <w:sz w:val="24"/>
                <w:szCs w:val="24"/>
                <w:lang w:eastAsia="en-US"/>
              </w:rPr>
              <w:t>ehicle</w:t>
            </w:r>
            <w:r w:rsidRPr="005F5AF9">
              <w:rPr>
                <w:rFonts w:eastAsia="Calibri"/>
                <w:color w:val="005CA9"/>
                <w:lang w:eastAsia="en-US"/>
              </w:rPr>
              <w:t xml:space="preserve"> </w:t>
            </w:r>
            <w:r w:rsidRPr="005F5AF9">
              <w:rPr>
                <w:rFonts w:eastAsia="Calibri" w:cs="Arial"/>
                <w:color w:val="005CA9"/>
                <w:sz w:val="24"/>
                <w:szCs w:val="24"/>
                <w:lang w:eastAsia="en-US"/>
              </w:rPr>
              <w:t>access will be required of</w:t>
            </w:r>
            <w:r w:rsidRPr="005F5AF9">
              <w:rPr>
                <w:rFonts w:eastAsia="Calibri"/>
                <w:color w:val="005CA9"/>
                <w:sz w:val="24"/>
                <w:szCs w:val="24"/>
                <w:lang w:eastAsia="en-US"/>
              </w:rPr>
              <w:t>f</w:t>
            </w:r>
            <w:r w:rsidRPr="005F5AF9">
              <w:rPr>
                <w:rFonts w:eastAsia="Calibri" w:cs="Arial"/>
                <w:color w:val="005CA9"/>
                <w:sz w:val="24"/>
                <w:szCs w:val="24"/>
                <w:lang w:eastAsia="en-US"/>
              </w:rPr>
              <w:t xml:space="preserve"> B</w:t>
            </w:r>
            <w:r w:rsidRPr="005F5AF9">
              <w:rPr>
                <w:rFonts w:eastAsia="Calibri"/>
                <w:color w:val="005CA9"/>
                <w:sz w:val="24"/>
                <w:szCs w:val="24"/>
                <w:lang w:eastAsia="en-US"/>
              </w:rPr>
              <w:t>lackwell Road, supported by a</w:t>
            </w:r>
            <w:r w:rsidRPr="005F5AF9">
              <w:rPr>
                <w:rStyle w:val="Heading10"/>
                <w:b w:val="0"/>
                <w:color w:val="005CA9"/>
                <w:szCs w:val="24"/>
              </w:rPr>
              <w:t xml:space="preserve"> Transport Assessment;</w:t>
            </w:r>
          </w:p>
          <w:p w14:paraId="6D1F5520" w14:textId="77777777" w:rsidR="00C70C2D" w:rsidRPr="005F5AF9" w:rsidRDefault="00C70C2D">
            <w:pPr>
              <w:pStyle w:val="ListParagraph"/>
              <w:tabs>
                <w:tab w:val="left" w:pos="731"/>
              </w:tabs>
              <w:rPr>
                <w:rStyle w:val="Heading10"/>
                <w:b w:val="0"/>
                <w:color w:val="005CA9"/>
                <w:sz w:val="16"/>
                <w:szCs w:val="16"/>
              </w:rPr>
            </w:pPr>
          </w:p>
          <w:p w14:paraId="66119659" w14:textId="77777777" w:rsidR="00C70C2D" w:rsidRPr="005F5AF9" w:rsidRDefault="00C70C2D" w:rsidP="00B2285E">
            <w:pPr>
              <w:pStyle w:val="ListParagraph"/>
              <w:numPr>
                <w:ilvl w:val="0"/>
                <w:numId w:val="350"/>
              </w:numPr>
              <w:tabs>
                <w:tab w:val="left" w:pos="731"/>
              </w:tabs>
              <w:spacing w:after="0" w:line="240" w:lineRule="auto"/>
              <w:ind w:right="284"/>
              <w:rPr>
                <w:rStyle w:val="Heading10"/>
                <w:rFonts w:cs="Arial"/>
                <w:b w:val="0"/>
                <w:color w:val="005CA9"/>
                <w:szCs w:val="24"/>
              </w:rPr>
            </w:pPr>
            <w:r w:rsidRPr="005F5AF9">
              <w:rPr>
                <w:rStyle w:val="Heading10"/>
                <w:rFonts w:cs="Arial"/>
                <w:b w:val="0"/>
                <w:color w:val="005CA9"/>
                <w:szCs w:val="24"/>
              </w:rPr>
              <w:t>Pedestrian/cycle routes throughout the proposed development with connections to S</w:t>
            </w:r>
            <w:r w:rsidRPr="005F5AF9">
              <w:rPr>
                <w:rStyle w:val="Heading10"/>
                <w:b w:val="0"/>
                <w:color w:val="005CA9"/>
                <w:szCs w:val="24"/>
              </w:rPr>
              <w:t xml:space="preserve">trawberry Bank and the existing Right of Way (Sutton </w:t>
            </w:r>
            <w:proofErr w:type="gramStart"/>
            <w:r w:rsidRPr="005F5AF9">
              <w:rPr>
                <w:rStyle w:val="Heading10"/>
                <w:b w:val="0"/>
                <w:color w:val="005CA9"/>
                <w:szCs w:val="24"/>
              </w:rPr>
              <w:t>In</w:t>
            </w:r>
            <w:proofErr w:type="gramEnd"/>
            <w:r w:rsidRPr="005F5AF9">
              <w:rPr>
                <w:rStyle w:val="Heading10"/>
                <w:b w:val="0"/>
                <w:color w:val="005CA9"/>
                <w:szCs w:val="24"/>
              </w:rPr>
              <w:t xml:space="preserve"> Ashfield FP29)</w:t>
            </w:r>
            <w:r w:rsidRPr="005F5AF9">
              <w:rPr>
                <w:rStyle w:val="Heading10"/>
                <w:rFonts w:cs="Arial"/>
                <w:b w:val="0"/>
                <w:color w:val="005CA9"/>
                <w:szCs w:val="24"/>
              </w:rPr>
              <w:t>;</w:t>
            </w:r>
          </w:p>
          <w:p w14:paraId="6D1FC02B" w14:textId="77777777" w:rsidR="00C70C2D" w:rsidRPr="005F5AF9" w:rsidRDefault="00C70C2D" w:rsidP="00C70C2D">
            <w:pPr>
              <w:pStyle w:val="Policy"/>
              <w:tabs>
                <w:tab w:val="clear" w:pos="680"/>
                <w:tab w:val="left" w:pos="731"/>
              </w:tabs>
              <w:spacing w:after="0" w:line="240" w:lineRule="auto"/>
              <w:ind w:left="666" w:right="284"/>
              <w:rPr>
                <w:rStyle w:val="Heading10"/>
                <w:b w:val="0"/>
                <w:color w:val="005CA9"/>
                <w:szCs w:val="24"/>
              </w:rPr>
            </w:pPr>
          </w:p>
          <w:p w14:paraId="61F88BFF" w14:textId="55DBD24D" w:rsidR="00C70C2D" w:rsidRPr="005F5AF9" w:rsidRDefault="00C70C2D" w:rsidP="00B2285E">
            <w:pPr>
              <w:pStyle w:val="Policy"/>
              <w:numPr>
                <w:ilvl w:val="0"/>
                <w:numId w:val="350"/>
              </w:numPr>
              <w:tabs>
                <w:tab w:val="clear" w:pos="680"/>
                <w:tab w:val="left" w:pos="731"/>
              </w:tabs>
              <w:spacing w:after="0" w:line="240" w:lineRule="auto"/>
              <w:ind w:right="284"/>
              <w:rPr>
                <w:rStyle w:val="Heading10"/>
                <w:b w:val="0"/>
                <w:color w:val="005CA9"/>
                <w:szCs w:val="24"/>
              </w:rPr>
            </w:pPr>
            <w:r w:rsidRPr="005F5AF9">
              <w:rPr>
                <w:rStyle w:val="Heading10"/>
                <w:b w:val="0"/>
                <w:color w:val="005CA9"/>
                <w:szCs w:val="24"/>
              </w:rPr>
              <w:t xml:space="preserve">A ground investigation survey to assess ground stability and ground contamination; </w:t>
            </w:r>
          </w:p>
          <w:p w14:paraId="3646D165" w14:textId="77777777" w:rsidR="00C70C2D" w:rsidRPr="005F5AF9" w:rsidRDefault="00C70C2D" w:rsidP="00C70C2D">
            <w:pPr>
              <w:pStyle w:val="Policy"/>
              <w:tabs>
                <w:tab w:val="clear" w:pos="680"/>
                <w:tab w:val="left" w:pos="731"/>
              </w:tabs>
              <w:spacing w:after="0" w:line="240" w:lineRule="auto"/>
              <w:ind w:left="666" w:right="284"/>
              <w:rPr>
                <w:color w:val="005CA9"/>
                <w:sz w:val="24"/>
                <w:szCs w:val="24"/>
              </w:rPr>
            </w:pPr>
          </w:p>
          <w:p w14:paraId="349BA148" w14:textId="77E56454" w:rsidR="00C70C2D" w:rsidRPr="005F5AF9" w:rsidRDefault="00C70C2D" w:rsidP="00B2285E">
            <w:pPr>
              <w:pStyle w:val="Policy"/>
              <w:numPr>
                <w:ilvl w:val="0"/>
                <w:numId w:val="350"/>
              </w:numPr>
              <w:tabs>
                <w:tab w:val="clear" w:pos="680"/>
                <w:tab w:val="left" w:pos="731"/>
              </w:tabs>
              <w:spacing w:after="0" w:line="240" w:lineRule="auto"/>
              <w:ind w:right="284"/>
              <w:rPr>
                <w:color w:val="005CA9"/>
                <w:sz w:val="24"/>
                <w:szCs w:val="24"/>
              </w:rPr>
            </w:pPr>
            <w:r w:rsidRPr="005F5AF9">
              <w:rPr>
                <w:rFonts w:eastAsia="Calibri" w:cs="Arial"/>
                <w:color w:val="005CA9"/>
                <w:sz w:val="24"/>
                <w:szCs w:val="24"/>
                <w:lang w:eastAsia="en-US"/>
              </w:rPr>
              <w:t>L</w:t>
            </w:r>
            <w:r w:rsidRPr="005F5AF9">
              <w:rPr>
                <w:rFonts w:eastAsia="Calibri"/>
                <w:color w:val="005CA9"/>
                <w:sz w:val="24"/>
                <w:szCs w:val="24"/>
                <w:lang w:eastAsia="en-US"/>
              </w:rPr>
              <w:t>ocal Wildlife Sites (LWS)</w:t>
            </w:r>
            <w:r w:rsidRPr="005F5AF9">
              <w:rPr>
                <w:rFonts w:eastAsia="Calibri"/>
                <w:color w:val="005CA9"/>
                <w:lang w:eastAsia="en-US"/>
              </w:rPr>
              <w:t xml:space="preserve"> </w:t>
            </w:r>
            <w:r w:rsidRPr="005F5AF9">
              <w:rPr>
                <w:rFonts w:eastAsia="Calibri" w:cs="Arial"/>
                <w:color w:val="005CA9"/>
                <w:sz w:val="24"/>
                <w:szCs w:val="24"/>
                <w:lang w:eastAsia="en-US"/>
              </w:rPr>
              <w:t>Huthwaite Grassland, Strawberry Bank Meadow and Blackwell Road Grassland</w:t>
            </w:r>
            <w:r w:rsidRPr="005F5AF9">
              <w:rPr>
                <w:rFonts w:eastAsia="Calibri" w:cs="Arial"/>
                <w:color w:val="005CA9"/>
                <w:szCs w:val="24"/>
                <w:lang w:eastAsia="en-US"/>
              </w:rPr>
              <w:t xml:space="preserve"> </w:t>
            </w:r>
            <w:r w:rsidRPr="005F5AF9">
              <w:rPr>
                <w:rFonts w:eastAsia="Calibri" w:cs="Arial"/>
                <w:color w:val="005CA9"/>
                <w:sz w:val="24"/>
                <w:szCs w:val="24"/>
                <w:lang w:eastAsia="en-US"/>
              </w:rPr>
              <w:t>are</w:t>
            </w:r>
            <w:r w:rsidRPr="005F5AF9">
              <w:rPr>
                <w:rFonts w:eastAsia="Calibri"/>
                <w:color w:val="005CA9"/>
                <w:sz w:val="24"/>
                <w:szCs w:val="24"/>
                <w:lang w:eastAsia="en-US"/>
              </w:rPr>
              <w:t xml:space="preserve"> to be retained and enhanced to provide connectivity between ecological areas,</w:t>
            </w:r>
            <w:r w:rsidRPr="005F5AF9">
              <w:rPr>
                <w:rFonts w:eastAsia="Calibri"/>
                <w:color w:val="005CA9"/>
                <w:lang w:eastAsia="en-US"/>
              </w:rPr>
              <w:t xml:space="preserve"> </w:t>
            </w:r>
            <w:r w:rsidRPr="005F5AF9">
              <w:rPr>
                <w:rFonts w:eastAsia="Calibri"/>
                <w:color w:val="005CA9"/>
                <w:sz w:val="24"/>
                <w:szCs w:val="24"/>
                <w:lang w:eastAsia="en-US"/>
              </w:rPr>
              <w:t xml:space="preserve">both on and adjacent to the site; </w:t>
            </w:r>
          </w:p>
          <w:p w14:paraId="6904CACF" w14:textId="77777777" w:rsidR="00C70C2D" w:rsidRPr="005F5AF9" w:rsidRDefault="00C70C2D" w:rsidP="00C70C2D">
            <w:pPr>
              <w:pStyle w:val="Policy"/>
              <w:tabs>
                <w:tab w:val="clear" w:pos="680"/>
              </w:tabs>
              <w:spacing w:after="0" w:line="240" w:lineRule="auto"/>
              <w:ind w:left="666" w:right="284"/>
              <w:rPr>
                <w:color w:val="005CA9"/>
                <w:sz w:val="24"/>
                <w:szCs w:val="24"/>
              </w:rPr>
            </w:pPr>
          </w:p>
          <w:p w14:paraId="46323D85" w14:textId="5B01A431" w:rsidR="00C70C2D" w:rsidRPr="005F5AF9" w:rsidRDefault="00C70C2D" w:rsidP="00B2285E">
            <w:pPr>
              <w:pStyle w:val="Policy"/>
              <w:numPr>
                <w:ilvl w:val="0"/>
                <w:numId w:val="350"/>
              </w:numPr>
              <w:tabs>
                <w:tab w:val="clear" w:pos="680"/>
              </w:tabs>
              <w:spacing w:after="0" w:line="240" w:lineRule="auto"/>
              <w:ind w:right="284"/>
              <w:rPr>
                <w:rStyle w:val="Heading10"/>
                <w:b w:val="0"/>
                <w:color w:val="005CA9"/>
                <w:szCs w:val="24"/>
              </w:rPr>
            </w:pPr>
            <w:r w:rsidRPr="005F5AF9">
              <w:rPr>
                <w:color w:val="005CA9"/>
                <w:sz w:val="24"/>
                <w:szCs w:val="24"/>
              </w:rPr>
              <w:t xml:space="preserve">An appropriate design scheme that retains existing mature trees and strengthens and protects existing boundary hedgerows by gapping up and planting additional hedgerow trees where necessary; </w:t>
            </w:r>
          </w:p>
          <w:p w14:paraId="106EE206" w14:textId="77777777" w:rsidR="00C70C2D" w:rsidRPr="005F5AF9" w:rsidRDefault="00C70C2D">
            <w:pPr>
              <w:pStyle w:val="ListParagraph"/>
              <w:tabs>
                <w:tab w:val="left" w:pos="731"/>
              </w:tabs>
              <w:rPr>
                <w:rStyle w:val="Heading10"/>
                <w:b w:val="0"/>
                <w:color w:val="005CA9"/>
                <w:sz w:val="16"/>
                <w:szCs w:val="16"/>
              </w:rPr>
            </w:pPr>
          </w:p>
          <w:p w14:paraId="08E1B755" w14:textId="34BD83C5" w:rsidR="00C70C2D" w:rsidRPr="005F5AF9" w:rsidRDefault="007F0607" w:rsidP="00B2285E">
            <w:pPr>
              <w:pStyle w:val="ListParagraph"/>
              <w:keepNext/>
              <w:numPr>
                <w:ilvl w:val="0"/>
                <w:numId w:val="350"/>
              </w:numPr>
              <w:tabs>
                <w:tab w:val="left" w:pos="731"/>
              </w:tabs>
              <w:spacing w:after="0" w:line="240" w:lineRule="auto"/>
              <w:rPr>
                <w:rStyle w:val="Heading10"/>
                <w:b w:val="0"/>
                <w:color w:val="005CA9"/>
                <w:szCs w:val="24"/>
              </w:rPr>
            </w:pPr>
            <w:r w:rsidRPr="005F5AF9">
              <w:rPr>
                <w:rStyle w:val="Heading10"/>
                <w:b w:val="0"/>
                <w:color w:val="005CA9"/>
                <w:szCs w:val="24"/>
              </w:rPr>
              <w:t>In accordance with Policy H5, a</w:t>
            </w:r>
            <w:r w:rsidR="00C70C2D" w:rsidRPr="005F5AF9">
              <w:rPr>
                <w:rStyle w:val="Heading10"/>
                <w:b w:val="0"/>
                <w:color w:val="005CA9"/>
                <w:szCs w:val="24"/>
              </w:rPr>
              <w:t xml:space="preserve"> minimum of 10% public open space for community use, approximately 1.89ha from all phases of development.</w:t>
            </w:r>
          </w:p>
          <w:p w14:paraId="5642DF5D" w14:textId="77777777" w:rsidR="00C70C2D" w:rsidRPr="005F5AF9" w:rsidRDefault="00C70C2D">
            <w:pPr>
              <w:pStyle w:val="Policy"/>
              <w:tabs>
                <w:tab w:val="clear" w:pos="680"/>
              </w:tabs>
              <w:spacing w:after="0" w:line="240" w:lineRule="auto"/>
              <w:ind w:left="0" w:right="284"/>
              <w:rPr>
                <w:rStyle w:val="Heading10"/>
                <w:rFonts w:cs="Arial"/>
                <w:b w:val="0"/>
                <w:bCs/>
                <w:color w:val="005CA9"/>
                <w:szCs w:val="24"/>
              </w:rPr>
            </w:pPr>
          </w:p>
        </w:tc>
      </w:tr>
    </w:tbl>
    <w:p w14:paraId="1EE64CE4" w14:textId="77777777" w:rsidR="00BA1248" w:rsidRPr="00694FCA" w:rsidRDefault="00BA1248" w:rsidP="00BA1248">
      <w:pPr>
        <w:autoSpaceDE w:val="0"/>
        <w:autoSpaceDN w:val="0"/>
        <w:adjustRightInd w:val="0"/>
        <w:rPr>
          <w:rFonts w:eastAsia="Calibri" w:cs="Arial"/>
          <w:bCs/>
          <w:color w:val="auto"/>
        </w:rPr>
      </w:pPr>
    </w:p>
    <w:p w14:paraId="1A0B12E2" w14:textId="7CA720F2" w:rsidR="00715560" w:rsidRPr="004B4158" w:rsidRDefault="00715560" w:rsidP="00874A98">
      <w:pPr>
        <w:pStyle w:val="ListParagraph"/>
        <w:numPr>
          <w:ilvl w:val="1"/>
          <w:numId w:val="92"/>
        </w:numPr>
        <w:autoSpaceDE w:val="0"/>
        <w:autoSpaceDN w:val="0"/>
        <w:adjustRightInd w:val="0"/>
        <w:spacing w:after="0" w:line="240" w:lineRule="auto"/>
        <w:ind w:left="851" w:hanging="851"/>
        <w:rPr>
          <w:rFonts w:eastAsia="Calibri" w:cs="Arial"/>
          <w:color w:val="auto"/>
          <w:szCs w:val="24"/>
        </w:rPr>
      </w:pPr>
      <w:bookmarkStart w:id="215" w:name="_Hlk80287214"/>
      <w:r w:rsidRPr="004B4158">
        <w:rPr>
          <w:rFonts w:ascii="Arial" w:eastAsia="Calibri" w:hAnsi="Arial" w:cs="Arial"/>
          <w:b/>
          <w:bCs/>
          <w:color w:val="auto"/>
        </w:rPr>
        <w:t xml:space="preserve">Site H1Sk: </w:t>
      </w:r>
      <w:bookmarkEnd w:id="215"/>
      <w:r w:rsidRPr="004B4158">
        <w:rPr>
          <w:rFonts w:ascii="Arial" w:eastAsia="Calibri" w:hAnsi="Arial" w:cs="Arial"/>
          <w:b/>
          <w:bCs/>
          <w:color w:val="auto"/>
        </w:rPr>
        <w:t xml:space="preserve">Sunnyside Farm, Blackwell Road, Huthwaite.  </w:t>
      </w:r>
      <w:r w:rsidRPr="004B4158">
        <w:rPr>
          <w:rFonts w:ascii="Arial" w:eastAsia="Calibri" w:hAnsi="Arial" w:cs="Arial"/>
          <w:bCs/>
          <w:color w:val="auto"/>
        </w:rPr>
        <w:t>This greenfield site</w:t>
      </w:r>
      <w:r w:rsidR="00694FCA" w:rsidRPr="004B4158">
        <w:rPr>
          <w:rFonts w:ascii="Arial" w:eastAsia="Calibri" w:hAnsi="Arial" w:cs="Arial"/>
          <w:bCs/>
          <w:color w:val="auto"/>
        </w:rPr>
        <w:t xml:space="preserve">, which has been </w:t>
      </w:r>
      <w:r w:rsidR="00E84CD9" w:rsidRPr="004B4158">
        <w:rPr>
          <w:rFonts w:ascii="Arial" w:eastAsia="Calibri" w:hAnsi="Arial" w:cs="Arial"/>
          <w:color w:val="auto"/>
          <w:szCs w:val="24"/>
        </w:rPr>
        <w:t>assessed as available, potentially suitable, and potentially achievable in the SHELAA</w:t>
      </w:r>
      <w:r w:rsidR="00E84CD9" w:rsidRPr="004B4158">
        <w:rPr>
          <w:rFonts w:ascii="Arial" w:eastAsia="Calibri" w:hAnsi="Arial" w:cs="Arial"/>
          <w:b/>
          <w:bCs/>
          <w:color w:val="auto"/>
          <w:szCs w:val="24"/>
        </w:rPr>
        <w:t xml:space="preserve"> </w:t>
      </w:r>
      <w:r w:rsidR="00E84CD9" w:rsidRPr="004B4158">
        <w:rPr>
          <w:rFonts w:ascii="Arial" w:eastAsia="Calibri" w:hAnsi="Arial" w:cs="Arial"/>
          <w:color w:val="auto"/>
          <w:szCs w:val="24"/>
        </w:rPr>
        <w:t>(ref.SA057). It</w:t>
      </w:r>
      <w:r w:rsidRPr="004B4158">
        <w:rPr>
          <w:rFonts w:ascii="Arial" w:eastAsia="Calibri" w:hAnsi="Arial" w:cs="Arial"/>
          <w:bCs/>
          <w:color w:val="auto"/>
        </w:rPr>
        <w:t xml:space="preserve"> is located adjacent to the urban area of Huthwaite at two points; to the north at Strawberry Bank (residential</w:t>
      </w:r>
      <w:r w:rsidRPr="004B4158">
        <w:rPr>
          <w:rFonts w:ascii="Arial" w:eastAsia="Calibri" w:hAnsi="Arial" w:cs="Arial"/>
          <w:color w:val="auto"/>
          <w:szCs w:val="24"/>
        </w:rPr>
        <w:t xml:space="preserve"> development), and to the south at Blackwell Road (employment development).  The site slopes steeply in the north and the estimated yield from this site has been reduced to take this into account.</w:t>
      </w:r>
      <w:r w:rsidR="00E84CD9" w:rsidRPr="004B4158">
        <w:rPr>
          <w:rFonts w:ascii="Arial" w:eastAsia="Calibri" w:hAnsi="Arial" w:cs="Arial"/>
          <w:color w:val="auto"/>
          <w:szCs w:val="24"/>
        </w:rPr>
        <w:t xml:space="preserve"> </w:t>
      </w:r>
    </w:p>
    <w:p w14:paraId="57FDC51B" w14:textId="77777777" w:rsidR="004B4158" w:rsidRPr="004B4158" w:rsidRDefault="004B4158" w:rsidP="004B4158">
      <w:pPr>
        <w:autoSpaceDE w:val="0"/>
        <w:autoSpaceDN w:val="0"/>
        <w:adjustRightInd w:val="0"/>
        <w:rPr>
          <w:rFonts w:eastAsia="Calibri" w:cs="Arial"/>
          <w:color w:val="auto"/>
          <w:szCs w:val="24"/>
        </w:rPr>
      </w:pPr>
    </w:p>
    <w:p w14:paraId="35E01BBA" w14:textId="5356B38D" w:rsidR="00715560" w:rsidRPr="009E34A6"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rPr>
      </w:pPr>
      <w:r w:rsidRPr="009E34A6">
        <w:rPr>
          <w:rFonts w:ascii="Arial" w:eastAsia="Calibri" w:hAnsi="Arial" w:cs="Arial"/>
          <w:color w:val="auto"/>
        </w:rPr>
        <w:t xml:space="preserve">There is likely existence of contamination on part of the site </w:t>
      </w:r>
      <w:r w:rsidR="00E84CD9" w:rsidRPr="009E34A6">
        <w:rPr>
          <w:rFonts w:ascii="Arial" w:eastAsia="Calibri" w:hAnsi="Arial" w:cs="Arial"/>
          <w:color w:val="auto"/>
        </w:rPr>
        <w:t>from</w:t>
      </w:r>
      <w:r w:rsidRPr="009E34A6">
        <w:rPr>
          <w:rFonts w:ascii="Arial" w:eastAsia="Calibri" w:hAnsi="Arial" w:cs="Arial"/>
          <w:color w:val="auto"/>
        </w:rPr>
        <w:t xml:space="preserve"> a former Brick Yard and filled clay pits in centre of site. A former Colliery and Spoil Tip is </w:t>
      </w:r>
      <w:r w:rsidR="00E84CD9" w:rsidRPr="009E34A6">
        <w:rPr>
          <w:rFonts w:ascii="Arial" w:eastAsia="Calibri" w:hAnsi="Arial" w:cs="Arial"/>
          <w:color w:val="auto"/>
        </w:rPr>
        <w:t>also located</w:t>
      </w:r>
      <w:r w:rsidRPr="009E34A6">
        <w:rPr>
          <w:rFonts w:ascii="Arial" w:eastAsia="Calibri" w:hAnsi="Arial" w:cs="Arial"/>
          <w:color w:val="auto"/>
        </w:rPr>
        <w:t xml:space="preserve"> on the southern part of the site. Ground stability issues are likely, with geological fault lines across centre of site and northern part of site.  The southern part of the site is largely located in a Coal High Risk Area. As such, topsoil testing and geotechnical investigations will be required.</w:t>
      </w:r>
      <w:r w:rsidR="00E84CD9" w:rsidRPr="009E34A6">
        <w:rPr>
          <w:color w:val="auto"/>
        </w:rPr>
        <w:t xml:space="preserve"> </w:t>
      </w:r>
      <w:r w:rsidR="00E84CD9" w:rsidRPr="009E34A6">
        <w:rPr>
          <w:rFonts w:ascii="Arial" w:eastAsia="Calibri" w:hAnsi="Arial" w:cs="Arial"/>
          <w:color w:val="auto"/>
        </w:rPr>
        <w:t xml:space="preserve">There are also limited areas of high and low risk surface water flows which </w:t>
      </w:r>
      <w:r w:rsidR="00E84CD9" w:rsidRPr="00CE6CCF">
        <w:rPr>
          <w:rFonts w:ascii="Arial" w:eastAsia="Calibri" w:hAnsi="Arial" w:cs="Arial"/>
          <w:strike/>
          <w:color w:val="auto"/>
        </w:rPr>
        <w:t>will</w:t>
      </w:r>
      <w:r w:rsidR="00E84CD9" w:rsidRPr="009E34A6">
        <w:rPr>
          <w:rFonts w:ascii="Arial" w:eastAsia="Calibri" w:hAnsi="Arial" w:cs="Arial"/>
          <w:color w:val="auto"/>
        </w:rPr>
        <w:t xml:space="preserve"> </w:t>
      </w:r>
      <w:r w:rsidR="00CE6CCF" w:rsidRPr="00CE6CCF">
        <w:rPr>
          <w:rFonts w:ascii="Arial" w:eastAsia="Calibri" w:hAnsi="Arial" w:cs="Arial"/>
          <w:color w:val="0070C0"/>
        </w:rPr>
        <w:t>may</w:t>
      </w:r>
      <w:r w:rsidR="00CE6CCF">
        <w:rPr>
          <w:rFonts w:ascii="Arial" w:eastAsia="Calibri" w:hAnsi="Arial" w:cs="Arial"/>
          <w:color w:val="auto"/>
        </w:rPr>
        <w:t xml:space="preserve"> </w:t>
      </w:r>
      <w:r w:rsidR="00E84CD9" w:rsidRPr="009E34A6">
        <w:rPr>
          <w:rFonts w:ascii="Arial" w:eastAsia="Calibri" w:hAnsi="Arial" w:cs="Arial"/>
          <w:color w:val="auto"/>
        </w:rPr>
        <w:t>require mitigation.</w:t>
      </w:r>
    </w:p>
    <w:p w14:paraId="71948E2D" w14:textId="77777777" w:rsidR="00715560" w:rsidRPr="009E34A6" w:rsidRDefault="00715560" w:rsidP="00E84CD9">
      <w:pPr>
        <w:pStyle w:val="ListParagraph"/>
        <w:autoSpaceDE w:val="0"/>
        <w:autoSpaceDN w:val="0"/>
        <w:adjustRightInd w:val="0"/>
        <w:spacing w:after="0" w:line="240" w:lineRule="auto"/>
        <w:ind w:left="851"/>
        <w:rPr>
          <w:rFonts w:ascii="Arial" w:eastAsia="Calibri" w:hAnsi="Arial" w:cs="Arial"/>
          <w:color w:val="auto"/>
        </w:rPr>
      </w:pPr>
    </w:p>
    <w:p w14:paraId="6B1F4BDB" w14:textId="30C429D5" w:rsidR="00715560" w:rsidRPr="00037BA4" w:rsidRDefault="00715560" w:rsidP="00874A98">
      <w:pPr>
        <w:pStyle w:val="ListParagraph"/>
        <w:numPr>
          <w:ilvl w:val="1"/>
          <w:numId w:val="92"/>
        </w:numPr>
        <w:autoSpaceDE w:val="0"/>
        <w:autoSpaceDN w:val="0"/>
        <w:adjustRightInd w:val="0"/>
        <w:spacing w:after="0" w:line="240" w:lineRule="auto"/>
        <w:ind w:left="851" w:hanging="851"/>
        <w:rPr>
          <w:rStyle w:val="Heading10"/>
          <w:rFonts w:cs="Arial"/>
          <w:b w:val="0"/>
          <w:bCs/>
          <w:color w:val="auto"/>
          <w:szCs w:val="24"/>
        </w:rPr>
      </w:pPr>
      <w:r w:rsidRPr="00037BA4">
        <w:rPr>
          <w:rFonts w:ascii="Arial" w:eastAsia="Calibri" w:hAnsi="Arial" w:cs="Arial"/>
          <w:color w:val="auto"/>
        </w:rPr>
        <w:t xml:space="preserve">Right of way Sutton in Ashfield Footpath 29 crosses the site from east to west. Local Wildlife </w:t>
      </w:r>
      <w:r w:rsidR="003420AD" w:rsidRPr="00037BA4">
        <w:rPr>
          <w:rFonts w:ascii="Arial" w:eastAsia="Calibri" w:hAnsi="Arial" w:cs="Arial"/>
          <w:color w:val="auto"/>
        </w:rPr>
        <w:t>S</w:t>
      </w:r>
      <w:r w:rsidRPr="00037BA4">
        <w:rPr>
          <w:rFonts w:ascii="Arial" w:eastAsia="Calibri" w:hAnsi="Arial" w:cs="Arial"/>
          <w:color w:val="auto"/>
        </w:rPr>
        <w:t xml:space="preserve">ites, </w:t>
      </w:r>
      <w:r w:rsidR="00E84CD9" w:rsidRPr="00037BA4">
        <w:rPr>
          <w:rFonts w:ascii="Arial" w:eastAsia="Calibri" w:hAnsi="Arial" w:cs="Arial"/>
          <w:color w:val="auto"/>
        </w:rPr>
        <w:t>(</w:t>
      </w:r>
      <w:r w:rsidRPr="00037BA4">
        <w:rPr>
          <w:rFonts w:ascii="Arial" w:eastAsia="Calibri" w:hAnsi="Arial" w:cs="Arial"/>
          <w:color w:val="auto"/>
        </w:rPr>
        <w:t>Huthwaite Grassland, Strawberry Bank Meadow and Blackwell Road Grassland</w:t>
      </w:r>
      <w:r w:rsidR="00E84CD9" w:rsidRPr="00037BA4">
        <w:rPr>
          <w:rFonts w:ascii="Arial" w:eastAsia="Calibri" w:hAnsi="Arial" w:cs="Arial"/>
          <w:color w:val="auto"/>
        </w:rPr>
        <w:t>)</w:t>
      </w:r>
      <w:r w:rsidRPr="00037BA4">
        <w:rPr>
          <w:rStyle w:val="Heading10"/>
          <w:rFonts w:cs="Arial"/>
          <w:b w:val="0"/>
          <w:bCs/>
          <w:color w:val="auto"/>
          <w:szCs w:val="24"/>
        </w:rPr>
        <w:t xml:space="preserve"> are located on the site</w:t>
      </w:r>
      <w:r w:rsidR="00E84CD9" w:rsidRPr="00037BA4">
        <w:rPr>
          <w:rStyle w:val="Heading10"/>
          <w:rFonts w:cs="Arial"/>
          <w:b w:val="0"/>
          <w:bCs/>
          <w:color w:val="auto"/>
          <w:szCs w:val="24"/>
        </w:rPr>
        <w:t>, with a further 3 LWS adjacent to the site</w:t>
      </w:r>
      <w:r w:rsidRPr="00037BA4">
        <w:rPr>
          <w:rStyle w:val="Heading10"/>
          <w:rFonts w:cs="Arial"/>
          <w:b w:val="0"/>
          <w:bCs/>
          <w:color w:val="auto"/>
          <w:szCs w:val="24"/>
        </w:rPr>
        <w:t>.</w:t>
      </w:r>
      <w:r w:rsidRPr="00037BA4">
        <w:rPr>
          <w:rFonts w:ascii="Arial" w:hAnsi="Arial" w:cs="Arial"/>
          <w:b/>
          <w:bCs/>
          <w:color w:val="auto"/>
          <w:szCs w:val="24"/>
        </w:rPr>
        <w:t xml:space="preserve"> </w:t>
      </w:r>
      <w:r w:rsidRPr="00037BA4">
        <w:rPr>
          <w:rStyle w:val="Heading10"/>
          <w:rFonts w:cs="Arial"/>
          <w:b w:val="0"/>
          <w:bCs/>
          <w:color w:val="auto"/>
          <w:szCs w:val="24"/>
        </w:rPr>
        <w:t xml:space="preserve">Any potential development will need to </w:t>
      </w:r>
      <w:proofErr w:type="gramStart"/>
      <w:r w:rsidRPr="00037BA4">
        <w:rPr>
          <w:rStyle w:val="Heading10"/>
          <w:rFonts w:cs="Arial"/>
          <w:b w:val="0"/>
          <w:bCs/>
          <w:color w:val="auto"/>
          <w:szCs w:val="24"/>
        </w:rPr>
        <w:t>take into account</w:t>
      </w:r>
      <w:proofErr w:type="gramEnd"/>
      <w:r w:rsidRPr="00037BA4">
        <w:rPr>
          <w:rStyle w:val="Heading10"/>
          <w:rFonts w:cs="Arial"/>
          <w:b w:val="0"/>
          <w:bCs/>
          <w:color w:val="auto"/>
          <w:szCs w:val="24"/>
        </w:rPr>
        <w:t xml:space="preserve"> the scope to avoid or mitigate any impacts on biodiversity.</w:t>
      </w:r>
      <w:r w:rsidR="003420AD" w:rsidRPr="00037BA4">
        <w:rPr>
          <w:rStyle w:val="Heading10"/>
          <w:rFonts w:cs="Arial"/>
          <w:b w:val="0"/>
          <w:bCs/>
          <w:color w:val="auto"/>
          <w:szCs w:val="24"/>
        </w:rPr>
        <w:t xml:space="preserve">  </w:t>
      </w:r>
      <w:bookmarkStart w:id="216" w:name="_Hlk148606275"/>
      <w:r w:rsidR="00B02175" w:rsidRPr="00037BA4">
        <w:rPr>
          <w:rStyle w:val="Heading10"/>
          <w:rFonts w:cs="Arial"/>
          <w:b w:val="0"/>
          <w:bCs/>
          <w:color w:val="auto"/>
          <w:szCs w:val="24"/>
        </w:rPr>
        <w:t xml:space="preserve">Mature hedgerows and trees are an important characteristic of the site and form </w:t>
      </w:r>
      <w:proofErr w:type="gramStart"/>
      <w:r w:rsidR="00B02175" w:rsidRPr="00037BA4">
        <w:rPr>
          <w:rStyle w:val="Heading10"/>
          <w:rFonts w:cs="Arial"/>
          <w:b w:val="0"/>
          <w:bCs/>
          <w:color w:val="auto"/>
          <w:szCs w:val="24"/>
        </w:rPr>
        <w:t>a number of</w:t>
      </w:r>
      <w:proofErr w:type="gramEnd"/>
      <w:r w:rsidR="00B02175" w:rsidRPr="00037BA4">
        <w:rPr>
          <w:rStyle w:val="Heading10"/>
          <w:rFonts w:cs="Arial"/>
          <w:b w:val="0"/>
          <w:bCs/>
          <w:color w:val="auto"/>
          <w:szCs w:val="24"/>
        </w:rPr>
        <w:t xml:space="preserve"> boundaries, these should be retained wherever possible.</w:t>
      </w:r>
      <w:r w:rsidR="003420AD" w:rsidRPr="00037BA4">
        <w:rPr>
          <w:rStyle w:val="Heading10"/>
          <w:rFonts w:cs="Arial"/>
          <w:b w:val="0"/>
          <w:bCs/>
          <w:color w:val="auto"/>
          <w:szCs w:val="24"/>
        </w:rPr>
        <w:t xml:space="preserve"> </w:t>
      </w:r>
    </w:p>
    <w:p w14:paraId="243FC3D2" w14:textId="77777777" w:rsidR="00B02175" w:rsidRPr="00037BA4" w:rsidRDefault="00B02175" w:rsidP="00B02175">
      <w:pPr>
        <w:pStyle w:val="ListParagraph"/>
        <w:rPr>
          <w:rStyle w:val="Heading10"/>
          <w:rFonts w:cs="Arial"/>
          <w:b w:val="0"/>
          <w:bCs/>
          <w:color w:val="auto"/>
          <w:szCs w:val="24"/>
        </w:rPr>
      </w:pPr>
    </w:p>
    <w:p w14:paraId="7898559D" w14:textId="77777777" w:rsidR="00C00587" w:rsidRDefault="00B02175" w:rsidP="00C00587">
      <w:pPr>
        <w:pStyle w:val="ListParagraph"/>
        <w:numPr>
          <w:ilvl w:val="1"/>
          <w:numId w:val="92"/>
        </w:numPr>
        <w:autoSpaceDE w:val="0"/>
        <w:autoSpaceDN w:val="0"/>
        <w:adjustRightInd w:val="0"/>
        <w:spacing w:after="0" w:line="240" w:lineRule="auto"/>
        <w:ind w:left="851" w:hanging="851"/>
        <w:rPr>
          <w:rStyle w:val="Heading10"/>
          <w:rFonts w:cs="Arial"/>
          <w:b w:val="0"/>
          <w:bCs/>
          <w:color w:val="auto"/>
          <w:szCs w:val="24"/>
        </w:rPr>
      </w:pPr>
      <w:r w:rsidRPr="00037BA4">
        <w:rPr>
          <w:rStyle w:val="Heading10"/>
          <w:rFonts w:cs="Arial"/>
          <w:b w:val="0"/>
          <w:bCs/>
          <w:color w:val="auto"/>
          <w:szCs w:val="24"/>
        </w:rPr>
        <w:t xml:space="preserve">There is a potential for buried archaeological remains within the site, as such a Desk Based Assessment (DBA) should be carried out to ascertain the extent and level of survival of archaeological remains.  Depending on the results of the DBA further archaeological investigations may be warranted, including a geophysical survey and targeted trial trenching, where necessary.  This work will inform the </w:t>
      </w:r>
      <w:r w:rsidRPr="001012CC">
        <w:rPr>
          <w:rStyle w:val="Heading10"/>
          <w:rFonts w:cs="Arial"/>
          <w:b w:val="0"/>
          <w:bCs/>
          <w:color w:val="auto"/>
          <w:szCs w:val="24"/>
        </w:rPr>
        <w:t>need for mitigation.</w:t>
      </w:r>
      <w:bookmarkEnd w:id="216"/>
    </w:p>
    <w:p w14:paraId="07196AF0" w14:textId="77777777" w:rsidR="00C00587" w:rsidRPr="00C00587" w:rsidRDefault="00C00587" w:rsidP="00C00587">
      <w:pPr>
        <w:pStyle w:val="ListParagraph"/>
        <w:rPr>
          <w:rFonts w:ascii="Arial" w:hAnsi="Arial" w:cs="Arial"/>
          <w:szCs w:val="24"/>
        </w:rPr>
      </w:pPr>
    </w:p>
    <w:p w14:paraId="0C60EA2E" w14:textId="317135F5" w:rsidR="0085595A" w:rsidRPr="00C00587" w:rsidRDefault="00C00587" w:rsidP="00C00587">
      <w:pPr>
        <w:pStyle w:val="ListParagraph"/>
        <w:numPr>
          <w:ilvl w:val="1"/>
          <w:numId w:val="92"/>
        </w:numPr>
        <w:autoSpaceDE w:val="0"/>
        <w:autoSpaceDN w:val="0"/>
        <w:adjustRightInd w:val="0"/>
        <w:spacing w:after="0" w:line="240" w:lineRule="auto"/>
        <w:ind w:left="851" w:hanging="851"/>
        <w:rPr>
          <w:rFonts w:ascii="Arial" w:eastAsia="Arial" w:hAnsi="Arial" w:cs="Arial"/>
          <w:bCs/>
          <w:color w:val="auto"/>
          <w:szCs w:val="24"/>
        </w:rPr>
      </w:pPr>
      <w:r w:rsidRPr="00C00587">
        <w:rPr>
          <w:rFonts w:ascii="Arial" w:hAnsi="Arial" w:cs="Arial"/>
          <w:szCs w:val="24"/>
        </w:rPr>
        <w:t xml:space="preserve">A concise masterplan </w:t>
      </w:r>
      <w:r w:rsidRPr="00C00587">
        <w:rPr>
          <w:rFonts w:ascii="Arial" w:hAnsi="Arial" w:cs="Arial"/>
          <w:strike/>
          <w:szCs w:val="24"/>
        </w:rPr>
        <w:t>will be available to identify</w:t>
      </w:r>
      <w:r w:rsidRPr="00C00587">
        <w:rPr>
          <w:rFonts w:ascii="Arial" w:hAnsi="Arial" w:cs="Arial"/>
          <w:szCs w:val="24"/>
        </w:rPr>
        <w:t xml:space="preserve"> </w:t>
      </w:r>
      <w:r w:rsidRPr="00C00587">
        <w:rPr>
          <w:rFonts w:ascii="Arial" w:hAnsi="Arial" w:cs="Arial"/>
          <w:color w:val="0070C0"/>
          <w:szCs w:val="24"/>
        </w:rPr>
        <w:t xml:space="preserve">is included at Appendix 11 </w:t>
      </w:r>
      <w:r w:rsidRPr="00C00587">
        <w:rPr>
          <w:rFonts w:ascii="Arial" w:hAnsi="Arial" w:cs="Arial"/>
          <w:szCs w:val="24"/>
        </w:rPr>
        <w:t>and identifies essential requirements expected by the Council and provides more detailed advice and guidance specific to the site.</w:t>
      </w:r>
    </w:p>
    <w:p w14:paraId="390AE16E" w14:textId="77777777" w:rsidR="00C00587" w:rsidRPr="00C00587" w:rsidRDefault="00C00587" w:rsidP="00C00587">
      <w:pPr>
        <w:autoSpaceDE w:val="0"/>
        <w:autoSpaceDN w:val="0"/>
        <w:adjustRightInd w:val="0"/>
        <w:rPr>
          <w:rStyle w:val="Heading10"/>
          <w:rFonts w:cs="Arial"/>
          <w:b w:val="0"/>
          <w:bCs/>
          <w:color w:val="auto"/>
          <w:szCs w:val="24"/>
        </w:rPr>
      </w:pPr>
    </w:p>
    <w:p w14:paraId="7D68E45D" w14:textId="254B41AB" w:rsidR="00715560" w:rsidRPr="007708DA"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0070C0"/>
          <w:szCs w:val="24"/>
        </w:rPr>
      </w:pPr>
      <w:r w:rsidRPr="0056594F">
        <w:rPr>
          <w:rFonts w:ascii="Arial" w:eastAsia="Calibri" w:hAnsi="Arial" w:cs="Arial"/>
          <w:b/>
          <w:bCs/>
          <w:color w:val="auto"/>
        </w:rPr>
        <w:t xml:space="preserve">Site </w:t>
      </w:r>
      <w:r w:rsidRPr="0056594F">
        <w:rPr>
          <w:rFonts w:ascii="Arial" w:eastAsia="Calibri" w:hAnsi="Arial" w:cs="Arial"/>
          <w:b/>
          <w:color w:val="auto"/>
        </w:rPr>
        <w:t xml:space="preserve">H1Sl: North of </w:t>
      </w:r>
      <w:proofErr w:type="spellStart"/>
      <w:r w:rsidRPr="0056594F">
        <w:rPr>
          <w:rFonts w:ascii="Arial" w:eastAsia="Calibri" w:hAnsi="Arial" w:cs="Arial"/>
          <w:b/>
          <w:color w:val="auto"/>
        </w:rPr>
        <w:t>Fackley</w:t>
      </w:r>
      <w:proofErr w:type="spellEnd"/>
      <w:r w:rsidRPr="0056594F">
        <w:rPr>
          <w:rFonts w:ascii="Arial" w:eastAsia="Calibri" w:hAnsi="Arial" w:cs="Arial"/>
          <w:b/>
          <w:color w:val="auto"/>
        </w:rPr>
        <w:t xml:space="preserve"> Road, Teversal. </w:t>
      </w:r>
      <w:r w:rsidRPr="0056594F">
        <w:rPr>
          <w:rFonts w:ascii="Arial" w:eastAsia="Calibri" w:hAnsi="Arial" w:cs="Arial"/>
          <w:color w:val="auto"/>
        </w:rPr>
        <w:t>Th</w:t>
      </w:r>
      <w:r w:rsidR="00833322" w:rsidRPr="0056594F">
        <w:rPr>
          <w:rFonts w:ascii="Arial" w:eastAsia="Calibri" w:hAnsi="Arial" w:cs="Arial"/>
          <w:color w:val="auto"/>
        </w:rPr>
        <w:t>is</w:t>
      </w:r>
      <w:r w:rsidRPr="009E34A6">
        <w:rPr>
          <w:rFonts w:ascii="Arial" w:eastAsia="Calibri" w:hAnsi="Arial" w:cs="Arial"/>
          <w:color w:val="auto"/>
        </w:rPr>
        <w:t xml:space="preserve"> greenfield site</w:t>
      </w:r>
      <w:r w:rsidR="00833322" w:rsidRPr="009E34A6">
        <w:rPr>
          <w:rFonts w:ascii="Arial" w:eastAsia="Calibri" w:hAnsi="Arial" w:cs="Arial"/>
          <w:color w:val="auto"/>
        </w:rPr>
        <w:t xml:space="preserve"> has been assessed as available, potentially suitable, and potentially achievable in the SHELAA (ref.SA058). It</w:t>
      </w:r>
      <w:r w:rsidRPr="009E34A6">
        <w:rPr>
          <w:rFonts w:ascii="Arial" w:eastAsia="Calibri" w:hAnsi="Arial" w:cs="Arial"/>
          <w:color w:val="auto"/>
        </w:rPr>
        <w:t xml:space="preserve"> is located adjacent to existing residential development in the small settlement of </w:t>
      </w:r>
      <w:proofErr w:type="spellStart"/>
      <w:r w:rsidRPr="009E34A6">
        <w:rPr>
          <w:rFonts w:ascii="Arial" w:eastAsia="Calibri" w:hAnsi="Arial" w:cs="Arial"/>
          <w:color w:val="auto"/>
        </w:rPr>
        <w:t>Fackley</w:t>
      </w:r>
      <w:proofErr w:type="spellEnd"/>
      <w:r w:rsidRPr="009E34A6">
        <w:rPr>
          <w:rFonts w:ascii="Arial" w:eastAsia="Calibri" w:hAnsi="Arial" w:cs="Arial"/>
          <w:color w:val="auto"/>
        </w:rPr>
        <w:t>, being separated from the main urban area at Skegby predominantly by a livery stables and golf driving range. The southern site boundary is formed by a water course and mature tree belt, with hedgerows to the north</w:t>
      </w:r>
      <w:r w:rsidR="00833322" w:rsidRPr="009E34A6">
        <w:rPr>
          <w:rFonts w:ascii="Arial" w:eastAsia="Calibri" w:hAnsi="Arial" w:cs="Arial"/>
          <w:color w:val="auto"/>
        </w:rPr>
        <w:t>-</w:t>
      </w:r>
      <w:r w:rsidRPr="009E34A6">
        <w:rPr>
          <w:rFonts w:ascii="Arial" w:eastAsia="Calibri" w:hAnsi="Arial" w:cs="Arial"/>
          <w:color w:val="auto"/>
        </w:rPr>
        <w:t>east and north</w:t>
      </w:r>
      <w:r w:rsidR="00833322" w:rsidRPr="009E34A6">
        <w:rPr>
          <w:rFonts w:ascii="Arial" w:eastAsia="Calibri" w:hAnsi="Arial" w:cs="Arial"/>
          <w:color w:val="auto"/>
        </w:rPr>
        <w:t>-</w:t>
      </w:r>
      <w:r w:rsidRPr="009E34A6">
        <w:rPr>
          <w:rFonts w:ascii="Arial" w:eastAsia="Calibri" w:hAnsi="Arial" w:cs="Arial"/>
          <w:color w:val="auto"/>
        </w:rPr>
        <w:t>west (beyond which are sports pitches), and residential development to the south</w:t>
      </w:r>
      <w:r w:rsidR="00833322" w:rsidRPr="009E34A6">
        <w:rPr>
          <w:rFonts w:ascii="Arial" w:eastAsia="Calibri" w:hAnsi="Arial" w:cs="Arial"/>
          <w:color w:val="auto"/>
        </w:rPr>
        <w:t>-</w:t>
      </w:r>
      <w:r w:rsidRPr="009E34A6">
        <w:rPr>
          <w:rFonts w:ascii="Arial" w:eastAsia="Calibri" w:hAnsi="Arial" w:cs="Arial"/>
          <w:color w:val="auto"/>
        </w:rPr>
        <w:t>west.</w:t>
      </w:r>
      <w:r w:rsidR="00833322" w:rsidRPr="009E34A6">
        <w:rPr>
          <w:rFonts w:eastAsia="Calibri" w:cs="Arial"/>
          <w:color w:val="auto"/>
          <w:szCs w:val="24"/>
        </w:rPr>
        <w:t xml:space="preserve"> </w:t>
      </w:r>
      <w:r w:rsidR="00833322" w:rsidRPr="009E34A6">
        <w:rPr>
          <w:rFonts w:ascii="Arial" w:eastAsia="Calibri" w:hAnsi="Arial" w:cs="Arial"/>
          <w:color w:val="auto"/>
          <w:szCs w:val="24"/>
        </w:rPr>
        <w:t>There is an opportunity to provide wider community benefits in the way of improvements/redevelopment of the adjacent sports facilities.</w:t>
      </w:r>
      <w:r w:rsidR="009E75A0">
        <w:rPr>
          <w:rFonts w:ascii="Arial" w:eastAsia="Calibri" w:hAnsi="Arial" w:cs="Arial"/>
          <w:color w:val="auto"/>
          <w:szCs w:val="24"/>
        </w:rPr>
        <w:t xml:space="preserve"> </w:t>
      </w:r>
      <w:r w:rsidR="009E75A0" w:rsidRPr="007708DA">
        <w:rPr>
          <w:rFonts w:ascii="Arial" w:eastAsia="Calibri" w:hAnsi="Arial" w:cs="Arial"/>
          <w:color w:val="0070C0"/>
          <w:szCs w:val="24"/>
        </w:rPr>
        <w:t>This site now has Full planning permission to deliver 124 homes.</w:t>
      </w:r>
    </w:p>
    <w:p w14:paraId="3C0DC6FC" w14:textId="77777777" w:rsidR="00715560" w:rsidRPr="009E34A6" w:rsidRDefault="00715560" w:rsidP="00833322">
      <w:pPr>
        <w:pStyle w:val="ListParagraph"/>
        <w:autoSpaceDE w:val="0"/>
        <w:autoSpaceDN w:val="0"/>
        <w:adjustRightInd w:val="0"/>
        <w:spacing w:after="0" w:line="240" w:lineRule="auto"/>
        <w:ind w:left="851"/>
        <w:rPr>
          <w:rFonts w:ascii="Arial" w:eastAsia="Calibri" w:hAnsi="Arial" w:cs="Arial"/>
          <w:b/>
          <w:color w:val="auto"/>
        </w:rPr>
      </w:pPr>
    </w:p>
    <w:p w14:paraId="1B49A9B2" w14:textId="510DC0E3" w:rsidR="00715560" w:rsidRPr="009E34A6"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rPr>
      </w:pPr>
      <w:r w:rsidRPr="009E34A6">
        <w:rPr>
          <w:rFonts w:ascii="Arial" w:eastAsia="Calibri" w:hAnsi="Arial" w:cs="Arial"/>
          <w:color w:val="auto"/>
        </w:rPr>
        <w:t xml:space="preserve">Surface water flooding </w:t>
      </w:r>
      <w:r w:rsidR="00833322" w:rsidRPr="009E34A6">
        <w:rPr>
          <w:rFonts w:ascii="Arial" w:eastAsia="Calibri" w:hAnsi="Arial" w:cs="Arial"/>
          <w:color w:val="auto"/>
        </w:rPr>
        <w:t xml:space="preserve">has been </w:t>
      </w:r>
      <w:r w:rsidRPr="009E34A6">
        <w:rPr>
          <w:rFonts w:ascii="Arial" w:eastAsia="Calibri" w:hAnsi="Arial" w:cs="Arial"/>
          <w:color w:val="auto"/>
        </w:rPr>
        <w:t>identified on the site which will require mitigation.</w:t>
      </w:r>
      <w:r w:rsidR="00833322" w:rsidRPr="009E34A6">
        <w:rPr>
          <w:rFonts w:ascii="Arial" w:eastAsia="Calibri" w:hAnsi="Arial" w:cs="Arial"/>
          <w:color w:val="auto"/>
        </w:rPr>
        <w:t xml:space="preserve"> </w:t>
      </w:r>
      <w:r w:rsidRPr="009E34A6">
        <w:rPr>
          <w:rFonts w:ascii="Arial" w:eastAsia="Calibri" w:hAnsi="Arial" w:cs="Arial"/>
          <w:color w:val="auto"/>
        </w:rPr>
        <w:t>Right of way Sutton in Ashfield footpath 97 adjoins the north</w:t>
      </w:r>
      <w:r w:rsidR="00833322" w:rsidRPr="009E34A6">
        <w:rPr>
          <w:rFonts w:ascii="Arial" w:eastAsia="Calibri" w:hAnsi="Arial" w:cs="Arial"/>
          <w:color w:val="auto"/>
        </w:rPr>
        <w:t>-</w:t>
      </w:r>
      <w:r w:rsidRPr="009E34A6">
        <w:rPr>
          <w:rFonts w:ascii="Arial" w:eastAsia="Calibri" w:hAnsi="Arial" w:cs="Arial"/>
          <w:color w:val="auto"/>
        </w:rPr>
        <w:t xml:space="preserve">west boundary of the site running between Crompton Street and </w:t>
      </w:r>
      <w:proofErr w:type="spellStart"/>
      <w:r w:rsidRPr="009E34A6">
        <w:rPr>
          <w:rFonts w:ascii="Arial" w:eastAsia="Calibri" w:hAnsi="Arial" w:cs="Arial"/>
          <w:color w:val="auto"/>
        </w:rPr>
        <w:t>Coppywood</w:t>
      </w:r>
      <w:proofErr w:type="spellEnd"/>
      <w:r w:rsidRPr="009E34A6">
        <w:rPr>
          <w:rFonts w:ascii="Arial" w:eastAsia="Calibri" w:hAnsi="Arial" w:cs="Arial"/>
          <w:color w:val="auto"/>
        </w:rPr>
        <w:t xml:space="preserve"> Close.</w:t>
      </w:r>
      <w:r w:rsidRPr="009E34A6">
        <w:rPr>
          <w:rFonts w:eastAsia="Calibri" w:cs="Arial"/>
          <w:color w:val="auto"/>
        </w:rPr>
        <w:t xml:space="preserve">  </w:t>
      </w:r>
    </w:p>
    <w:p w14:paraId="73FFD1F3" w14:textId="77777777" w:rsidR="00715560" w:rsidRPr="009E34A6" w:rsidRDefault="00715560" w:rsidP="00833322">
      <w:pPr>
        <w:pStyle w:val="ListParagraph"/>
        <w:autoSpaceDE w:val="0"/>
        <w:autoSpaceDN w:val="0"/>
        <w:adjustRightInd w:val="0"/>
        <w:spacing w:after="0" w:line="240" w:lineRule="auto"/>
        <w:ind w:left="851"/>
        <w:rPr>
          <w:rFonts w:ascii="Arial" w:eastAsia="Calibri" w:hAnsi="Arial" w:cs="Arial"/>
          <w:color w:val="auto"/>
        </w:rPr>
      </w:pPr>
    </w:p>
    <w:p w14:paraId="2EAC0314" w14:textId="19D8248F" w:rsidR="00715560" w:rsidRPr="009E34A6"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9E34A6">
        <w:rPr>
          <w:rFonts w:ascii="Arial" w:eastAsia="Calibri" w:hAnsi="Arial" w:cs="Arial"/>
          <w:color w:val="auto"/>
        </w:rPr>
        <w:t>Site lies with the Teversal, Stanton Hill and Skegby Neighbourhood Plan area - Particular regard</w:t>
      </w:r>
      <w:r w:rsidRPr="009E34A6">
        <w:rPr>
          <w:rFonts w:ascii="Arial" w:eastAsia="Calibri" w:hAnsi="Arial" w:cs="Arial"/>
          <w:color w:val="auto"/>
          <w:szCs w:val="24"/>
        </w:rPr>
        <w:t xml:space="preserve"> should be had to Policy NP4: Protecting the Landscape Character, which identifies this area as a sensitive open gap between Teversal and Stanton Hill.  Development is required to maintain this sense of openness.</w:t>
      </w:r>
    </w:p>
    <w:p w14:paraId="292BBA8B" w14:textId="77777777" w:rsidR="00715560" w:rsidRPr="009E34A6" w:rsidRDefault="00715560" w:rsidP="00715560">
      <w:pPr>
        <w:autoSpaceDE w:val="0"/>
        <w:autoSpaceDN w:val="0"/>
        <w:adjustRightInd w:val="0"/>
        <w:rPr>
          <w:rStyle w:val="Heading10"/>
          <w:rFonts w:cs="Arial"/>
          <w:color w:val="auto"/>
          <w:szCs w:val="24"/>
        </w:rPr>
      </w:pPr>
    </w:p>
    <w:p w14:paraId="4142FB63" w14:textId="63CD63B5" w:rsidR="00715560" w:rsidRPr="007708DA" w:rsidRDefault="00715560" w:rsidP="009E75A0">
      <w:pPr>
        <w:pStyle w:val="ListParagraph"/>
        <w:numPr>
          <w:ilvl w:val="1"/>
          <w:numId w:val="92"/>
        </w:numPr>
        <w:autoSpaceDE w:val="0"/>
        <w:autoSpaceDN w:val="0"/>
        <w:adjustRightInd w:val="0"/>
        <w:spacing w:after="0" w:line="240" w:lineRule="auto"/>
        <w:ind w:left="851" w:hanging="851"/>
        <w:rPr>
          <w:rFonts w:ascii="Arial" w:eastAsia="Calibri" w:hAnsi="Arial" w:cs="Arial"/>
          <w:b/>
          <w:color w:val="auto"/>
        </w:rPr>
      </w:pPr>
      <w:r w:rsidRPr="007708DA">
        <w:rPr>
          <w:rFonts w:ascii="Arial" w:eastAsia="Calibri" w:hAnsi="Arial" w:cs="Arial"/>
          <w:b/>
          <w:color w:val="auto"/>
        </w:rPr>
        <w:t xml:space="preserve">Site H1Sm: Land adjacent 88 High Hazels Drive, Sutton-In-Ashfield. </w:t>
      </w:r>
      <w:bookmarkStart w:id="217" w:name="_Hlk80707004"/>
      <w:r w:rsidRPr="007708DA">
        <w:rPr>
          <w:rFonts w:ascii="Arial" w:eastAsia="Calibri" w:hAnsi="Arial" w:cs="Arial"/>
          <w:color w:val="auto"/>
        </w:rPr>
        <w:t xml:space="preserve">This greenfield site </w:t>
      </w:r>
      <w:r w:rsidR="00190F62" w:rsidRPr="007708DA">
        <w:rPr>
          <w:rFonts w:ascii="Arial" w:eastAsia="Calibri" w:hAnsi="Arial" w:cs="Arial"/>
          <w:color w:val="auto"/>
        </w:rPr>
        <w:t xml:space="preserve">has been assessed as available, potentially suitable, and potentially achievable in the SHELAA (ref. SA061). It </w:t>
      </w:r>
      <w:r w:rsidRPr="007708DA">
        <w:rPr>
          <w:rFonts w:ascii="Arial" w:eastAsia="Calibri" w:hAnsi="Arial" w:cs="Arial"/>
          <w:color w:val="auto"/>
        </w:rPr>
        <w:t xml:space="preserve">is located within the urban area </w:t>
      </w:r>
      <w:bookmarkEnd w:id="217"/>
      <w:r w:rsidRPr="007708DA">
        <w:rPr>
          <w:rFonts w:ascii="Arial" w:eastAsia="Calibri" w:hAnsi="Arial" w:cs="Arial"/>
          <w:color w:val="auto"/>
        </w:rPr>
        <w:t>at Huthwaite and is well contained on all sides by existing residential development. It is a relatively small parcel of overgrown scrubland and was formerly allotment gardens in use until around 1959.</w:t>
      </w:r>
      <w:r w:rsidRPr="007708DA">
        <w:rPr>
          <w:rFonts w:ascii="Arial" w:eastAsia="Calibri" w:hAnsi="Arial" w:cs="Arial"/>
          <w:b/>
          <w:color w:val="auto"/>
        </w:rPr>
        <w:t xml:space="preserve"> </w:t>
      </w:r>
      <w:r w:rsidRPr="007708DA">
        <w:rPr>
          <w:rFonts w:ascii="Arial" w:eastAsia="Calibri" w:hAnsi="Arial" w:cs="Arial"/>
          <w:color w:val="auto"/>
        </w:rPr>
        <w:t xml:space="preserve">There is potential for contamination of topsoil </w:t>
      </w:r>
      <w:proofErr w:type="gramStart"/>
      <w:r w:rsidRPr="007708DA">
        <w:rPr>
          <w:rFonts w:ascii="Arial" w:eastAsia="Calibri" w:hAnsi="Arial" w:cs="Arial"/>
          <w:color w:val="auto"/>
        </w:rPr>
        <w:t>as a result of</w:t>
      </w:r>
      <w:proofErr w:type="gramEnd"/>
      <w:r w:rsidRPr="007708DA">
        <w:rPr>
          <w:rFonts w:ascii="Arial" w:eastAsia="Calibri" w:hAnsi="Arial" w:cs="Arial"/>
          <w:color w:val="auto"/>
        </w:rPr>
        <w:t xml:space="preserve"> the site’s former use and as such this will need to be tested. </w:t>
      </w:r>
      <w:r w:rsidRPr="007708DA">
        <w:rPr>
          <w:rFonts w:ascii="Arial" w:eastAsia="Calibri" w:hAnsi="Arial" w:cs="Arial"/>
          <w:strike/>
          <w:color w:val="auto"/>
        </w:rPr>
        <w:t>The site has previously been granted outline planning permission for residential development in 2014, although this has since lapsed.</w:t>
      </w:r>
      <w:r w:rsidR="009E75A0" w:rsidRPr="007708DA">
        <w:rPr>
          <w:rFonts w:ascii="Arial" w:eastAsia="Calibri" w:hAnsi="Arial" w:cs="Arial"/>
          <w:color w:val="auto"/>
        </w:rPr>
        <w:t xml:space="preserve"> </w:t>
      </w:r>
      <w:r w:rsidR="009E75A0" w:rsidRPr="007708DA">
        <w:rPr>
          <w:rFonts w:ascii="Arial" w:eastAsia="Calibri" w:hAnsi="Arial" w:cs="Arial"/>
          <w:color w:val="0070C0"/>
          <w:szCs w:val="24"/>
        </w:rPr>
        <w:t>This site now has Full planning permission to deliver 18 homes.</w:t>
      </w:r>
    </w:p>
    <w:p w14:paraId="2C4143F1" w14:textId="77777777" w:rsidR="009E75A0" w:rsidRPr="009E75A0" w:rsidRDefault="009E75A0" w:rsidP="009E75A0">
      <w:pPr>
        <w:autoSpaceDE w:val="0"/>
        <w:autoSpaceDN w:val="0"/>
        <w:adjustRightInd w:val="0"/>
        <w:rPr>
          <w:rFonts w:eastAsia="Calibri" w:cs="Arial"/>
          <w:b/>
          <w:color w:val="auto"/>
        </w:rPr>
      </w:pPr>
    </w:p>
    <w:p w14:paraId="6A2264C8" w14:textId="516406E3" w:rsidR="000852BF" w:rsidRPr="009E34A6"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9E34A6">
        <w:rPr>
          <w:rFonts w:ascii="Arial" w:eastAsia="Calibri" w:hAnsi="Arial" w:cs="Arial"/>
          <w:b/>
          <w:color w:val="auto"/>
        </w:rPr>
        <w:t>Site</w:t>
      </w:r>
      <w:r w:rsidRPr="009E34A6">
        <w:rPr>
          <w:rStyle w:val="Heading10"/>
          <w:rFonts w:cs="Arial"/>
          <w:color w:val="auto"/>
          <w:szCs w:val="24"/>
        </w:rPr>
        <w:t xml:space="preserve"> H1Sn: </w:t>
      </w:r>
      <w:proofErr w:type="spellStart"/>
      <w:r w:rsidRPr="009E34A6">
        <w:rPr>
          <w:rStyle w:val="Heading10"/>
          <w:rFonts w:cs="Arial"/>
          <w:color w:val="auto"/>
          <w:szCs w:val="24"/>
        </w:rPr>
        <w:t>Adj</w:t>
      </w:r>
      <w:proofErr w:type="spellEnd"/>
      <w:r w:rsidRPr="009E34A6">
        <w:rPr>
          <w:rStyle w:val="Heading10"/>
          <w:rFonts w:cs="Arial"/>
          <w:color w:val="auto"/>
          <w:szCs w:val="24"/>
        </w:rPr>
        <w:t xml:space="preserve"> Molyneux Farm, </w:t>
      </w:r>
      <w:proofErr w:type="spellStart"/>
      <w:r w:rsidRPr="009E34A6">
        <w:rPr>
          <w:rStyle w:val="Heading10"/>
          <w:rFonts w:cs="Arial"/>
          <w:color w:val="auto"/>
          <w:szCs w:val="24"/>
        </w:rPr>
        <w:t>Fackley</w:t>
      </w:r>
      <w:proofErr w:type="spellEnd"/>
      <w:r w:rsidRPr="009E34A6">
        <w:rPr>
          <w:rStyle w:val="Heading10"/>
          <w:rFonts w:cs="Arial"/>
          <w:color w:val="auto"/>
          <w:szCs w:val="24"/>
        </w:rPr>
        <w:t xml:space="preserve"> Road, Teversal</w:t>
      </w:r>
      <w:bookmarkStart w:id="218" w:name="_Hlk80286824"/>
      <w:r w:rsidRPr="009E34A6">
        <w:rPr>
          <w:rStyle w:val="Heading10"/>
          <w:rFonts w:cs="Arial"/>
          <w:bCs/>
          <w:color w:val="auto"/>
          <w:szCs w:val="24"/>
        </w:rPr>
        <w:t xml:space="preserve">. </w:t>
      </w:r>
      <w:r w:rsidRPr="009E34A6">
        <w:rPr>
          <w:rFonts w:ascii="Arial" w:hAnsi="Arial" w:cs="Arial"/>
          <w:color w:val="auto"/>
          <w:szCs w:val="24"/>
        </w:rPr>
        <w:t>This</w:t>
      </w:r>
      <w:r w:rsidRPr="009E34A6">
        <w:rPr>
          <w:rFonts w:ascii="Arial" w:eastAsia="Calibri" w:hAnsi="Arial" w:cs="Arial"/>
          <w:color w:val="auto"/>
          <w:szCs w:val="24"/>
        </w:rPr>
        <w:t xml:space="preserve"> greenfield site </w:t>
      </w:r>
      <w:r w:rsidR="00E95C72" w:rsidRPr="009E34A6">
        <w:rPr>
          <w:rFonts w:ascii="Arial" w:eastAsia="Calibri" w:hAnsi="Arial" w:cs="Arial"/>
          <w:color w:val="auto"/>
          <w:szCs w:val="24"/>
        </w:rPr>
        <w:t>has been assessed as available, potentially suitable, and achievable in the SHELAA (</w:t>
      </w:r>
      <w:r w:rsidR="00E95C72" w:rsidRPr="009E34A6">
        <w:rPr>
          <w:rStyle w:val="Heading10"/>
          <w:rFonts w:cs="Arial"/>
          <w:b w:val="0"/>
          <w:bCs/>
          <w:color w:val="auto"/>
          <w:szCs w:val="24"/>
        </w:rPr>
        <w:t>ref. SA064). It</w:t>
      </w:r>
      <w:r w:rsidR="00E95C72" w:rsidRPr="009E34A6">
        <w:rPr>
          <w:rStyle w:val="Heading10"/>
          <w:rFonts w:cs="Arial"/>
          <w:color w:val="auto"/>
          <w:szCs w:val="24"/>
        </w:rPr>
        <w:t xml:space="preserve"> </w:t>
      </w:r>
      <w:r w:rsidRPr="009E34A6">
        <w:rPr>
          <w:rFonts w:ascii="Arial" w:eastAsia="Calibri" w:hAnsi="Arial" w:cs="Arial"/>
          <w:color w:val="auto"/>
          <w:szCs w:val="24"/>
        </w:rPr>
        <w:t xml:space="preserve">is located adjacent to existing residential development in the small settlement of </w:t>
      </w:r>
      <w:proofErr w:type="spellStart"/>
      <w:r w:rsidRPr="009E34A6">
        <w:rPr>
          <w:rFonts w:ascii="Arial" w:eastAsia="Calibri" w:hAnsi="Arial" w:cs="Arial"/>
          <w:color w:val="auto"/>
          <w:szCs w:val="24"/>
        </w:rPr>
        <w:t>Fackley</w:t>
      </w:r>
      <w:proofErr w:type="spellEnd"/>
      <w:r w:rsidRPr="009E34A6">
        <w:rPr>
          <w:rFonts w:ascii="Arial" w:eastAsia="Calibri" w:hAnsi="Arial" w:cs="Arial"/>
          <w:color w:val="auto"/>
          <w:szCs w:val="24"/>
        </w:rPr>
        <w:t xml:space="preserve"> and is currently used for grazing horses. The site is enclosed by hedgerows, with residential curtilages adjacent to the north and western boundaries.</w:t>
      </w:r>
      <w:r w:rsidR="00A13D7B" w:rsidRPr="009E34A6">
        <w:rPr>
          <w:rFonts w:ascii="Arial" w:eastAsia="Calibri" w:hAnsi="Arial" w:cs="Arial"/>
          <w:color w:val="auto"/>
          <w:szCs w:val="24"/>
        </w:rPr>
        <w:t xml:space="preserve"> This site should be brought forward as part of a comprehensive development with site H1So to the east, </w:t>
      </w:r>
      <w:proofErr w:type="gramStart"/>
      <w:r w:rsidR="00A13D7B" w:rsidRPr="009E34A6">
        <w:rPr>
          <w:rFonts w:ascii="Arial" w:eastAsia="Calibri" w:hAnsi="Arial" w:cs="Arial"/>
          <w:color w:val="auto"/>
          <w:szCs w:val="24"/>
        </w:rPr>
        <w:t>in order to</w:t>
      </w:r>
      <w:proofErr w:type="gramEnd"/>
      <w:r w:rsidR="00A13D7B" w:rsidRPr="009E34A6">
        <w:rPr>
          <w:rFonts w:ascii="Arial" w:eastAsia="Calibri" w:hAnsi="Arial" w:cs="Arial"/>
          <w:color w:val="auto"/>
          <w:szCs w:val="24"/>
        </w:rPr>
        <w:t xml:space="preserve"> enable an acceptable access strategy and highway design. </w:t>
      </w:r>
    </w:p>
    <w:p w14:paraId="44813FE5" w14:textId="77777777" w:rsidR="000852BF" w:rsidRPr="009E34A6" w:rsidRDefault="000852BF" w:rsidP="000852BF">
      <w:pPr>
        <w:pStyle w:val="ListParagraph"/>
        <w:rPr>
          <w:rFonts w:ascii="Arial" w:eastAsia="Calibri" w:hAnsi="Arial" w:cs="Arial"/>
          <w:color w:val="auto"/>
          <w:szCs w:val="24"/>
        </w:rPr>
      </w:pPr>
    </w:p>
    <w:p w14:paraId="7F8DD2C2" w14:textId="77777777" w:rsidR="00506E84" w:rsidRPr="009E34A6"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9E34A6">
        <w:rPr>
          <w:rFonts w:ascii="Arial" w:eastAsia="Calibri" w:hAnsi="Arial" w:cs="Arial"/>
          <w:color w:val="auto"/>
          <w:szCs w:val="24"/>
        </w:rPr>
        <w:t>There is likely colliery spoil adjacent to southwest boundary, and small watercourse shown along north-east boundary. A geological fault line is shown along north-east boundary of site.</w:t>
      </w:r>
      <w:r w:rsidR="000852BF" w:rsidRPr="009E34A6">
        <w:rPr>
          <w:rFonts w:ascii="Arial" w:eastAsia="Calibri" w:hAnsi="Arial" w:cs="Arial"/>
          <w:color w:val="auto"/>
          <w:szCs w:val="24"/>
        </w:rPr>
        <w:t xml:space="preserve"> </w:t>
      </w:r>
      <w:r w:rsidRPr="009E34A6">
        <w:rPr>
          <w:rFonts w:ascii="Arial" w:eastAsia="Calibri" w:hAnsi="Arial" w:cs="Arial"/>
          <w:color w:val="auto"/>
          <w:szCs w:val="24"/>
        </w:rPr>
        <w:t>A significant part of the site to the north</w:t>
      </w:r>
      <w:r w:rsidR="00E95C72" w:rsidRPr="009E34A6">
        <w:rPr>
          <w:rFonts w:ascii="Arial" w:eastAsia="Calibri" w:hAnsi="Arial" w:cs="Arial"/>
          <w:color w:val="auto"/>
          <w:szCs w:val="24"/>
        </w:rPr>
        <w:t>-</w:t>
      </w:r>
      <w:r w:rsidRPr="009E34A6">
        <w:rPr>
          <w:rFonts w:ascii="Arial" w:eastAsia="Calibri" w:hAnsi="Arial" w:cs="Arial"/>
          <w:color w:val="auto"/>
          <w:szCs w:val="24"/>
        </w:rPr>
        <w:t xml:space="preserve">east is subject surface water flows which will require mitigation. </w:t>
      </w:r>
    </w:p>
    <w:p w14:paraId="7EDB5C13" w14:textId="77777777" w:rsidR="00506E84" w:rsidRPr="009E34A6" w:rsidRDefault="00506E84" w:rsidP="00506E84">
      <w:pPr>
        <w:pStyle w:val="ListParagraph"/>
        <w:rPr>
          <w:rFonts w:eastAsia="Calibri" w:cs="Arial"/>
          <w:color w:val="auto"/>
          <w:szCs w:val="24"/>
        </w:rPr>
      </w:pPr>
    </w:p>
    <w:bookmarkEnd w:id="218"/>
    <w:p w14:paraId="415E77E1" w14:textId="0D1F0ED3" w:rsidR="00715560" w:rsidRPr="009E34A6" w:rsidRDefault="00715560" w:rsidP="00874A98">
      <w:pPr>
        <w:pStyle w:val="ListParagraph"/>
        <w:numPr>
          <w:ilvl w:val="1"/>
          <w:numId w:val="92"/>
        </w:numPr>
        <w:autoSpaceDE w:val="0"/>
        <w:autoSpaceDN w:val="0"/>
        <w:adjustRightInd w:val="0"/>
        <w:spacing w:after="0" w:line="240" w:lineRule="auto"/>
        <w:ind w:left="851" w:hanging="851"/>
        <w:rPr>
          <w:rFonts w:eastAsia="Calibri"/>
          <w:color w:val="auto"/>
        </w:rPr>
      </w:pPr>
      <w:r w:rsidRPr="009E34A6">
        <w:rPr>
          <w:rFonts w:ascii="Arial" w:eastAsia="Calibri" w:hAnsi="Arial" w:cs="Arial"/>
          <w:b/>
          <w:color w:val="auto"/>
        </w:rPr>
        <w:t xml:space="preserve">Site H1So: Off </w:t>
      </w:r>
      <w:proofErr w:type="spellStart"/>
      <w:r w:rsidRPr="009E34A6">
        <w:rPr>
          <w:rFonts w:ascii="Arial" w:eastAsia="Calibri" w:hAnsi="Arial" w:cs="Arial"/>
          <w:b/>
          <w:color w:val="auto"/>
        </w:rPr>
        <w:t>Fackley</w:t>
      </w:r>
      <w:proofErr w:type="spellEnd"/>
      <w:r w:rsidRPr="009E34A6">
        <w:rPr>
          <w:rFonts w:ascii="Arial" w:eastAsia="Calibri" w:hAnsi="Arial" w:cs="Arial"/>
          <w:b/>
          <w:color w:val="auto"/>
        </w:rPr>
        <w:t xml:space="preserve"> Road, Teversal</w:t>
      </w:r>
      <w:r w:rsidR="002F433C" w:rsidRPr="009E34A6">
        <w:rPr>
          <w:rFonts w:ascii="Arial" w:eastAsia="Calibri" w:hAnsi="Arial" w:cs="Arial"/>
          <w:b/>
          <w:color w:val="auto"/>
        </w:rPr>
        <w:t>.</w:t>
      </w:r>
      <w:r w:rsidRPr="009E34A6">
        <w:rPr>
          <w:rFonts w:eastAsia="Calibri"/>
          <w:b/>
          <w:color w:val="auto"/>
        </w:rPr>
        <w:t xml:space="preserve"> </w:t>
      </w:r>
      <w:r w:rsidRPr="009E34A6">
        <w:rPr>
          <w:rFonts w:ascii="Arial" w:eastAsia="Calibri" w:hAnsi="Arial" w:cs="Arial"/>
          <w:color w:val="auto"/>
          <w:szCs w:val="24"/>
        </w:rPr>
        <w:t>This greenfield site</w:t>
      </w:r>
      <w:r w:rsidR="007A55F3" w:rsidRPr="009E34A6">
        <w:rPr>
          <w:rFonts w:ascii="Arial" w:eastAsia="Calibri" w:hAnsi="Arial" w:cs="Arial"/>
          <w:color w:val="auto"/>
          <w:szCs w:val="24"/>
        </w:rPr>
        <w:t xml:space="preserve"> </w:t>
      </w:r>
      <w:proofErr w:type="gramStart"/>
      <w:r w:rsidR="007A55F3" w:rsidRPr="009E34A6">
        <w:rPr>
          <w:rFonts w:ascii="Arial" w:eastAsia="Calibri" w:hAnsi="Arial" w:cs="Arial"/>
          <w:color w:val="auto"/>
          <w:szCs w:val="24"/>
        </w:rPr>
        <w:t>The</w:t>
      </w:r>
      <w:proofErr w:type="gramEnd"/>
      <w:r w:rsidR="007A55F3" w:rsidRPr="009E34A6">
        <w:rPr>
          <w:rFonts w:ascii="Arial" w:eastAsia="Calibri" w:hAnsi="Arial" w:cs="Arial"/>
          <w:color w:val="auto"/>
          <w:szCs w:val="24"/>
        </w:rPr>
        <w:t xml:space="preserve"> site has been assessed as available, potentially suitable, and achievable in the SHELAA (ref.SA065)</w:t>
      </w:r>
      <w:r w:rsidR="007A55F3" w:rsidRPr="009E34A6">
        <w:rPr>
          <w:rFonts w:ascii="Arial" w:eastAsia="Calibri" w:hAnsi="Arial" w:cs="Arial"/>
          <w:b/>
          <w:color w:val="auto"/>
        </w:rPr>
        <w:t xml:space="preserve">. </w:t>
      </w:r>
      <w:r w:rsidR="007A55F3" w:rsidRPr="009E34A6">
        <w:rPr>
          <w:rFonts w:ascii="Arial" w:eastAsia="Calibri" w:hAnsi="Arial" w:cs="Arial"/>
          <w:color w:val="auto"/>
        </w:rPr>
        <w:t>It</w:t>
      </w:r>
      <w:r w:rsidRPr="009E34A6">
        <w:rPr>
          <w:rFonts w:ascii="Arial" w:eastAsia="Calibri" w:hAnsi="Arial" w:cs="Arial"/>
          <w:color w:val="auto"/>
          <w:szCs w:val="24"/>
        </w:rPr>
        <w:t xml:space="preserve"> is located adjacent to existing residential development in the small settlement of </w:t>
      </w:r>
      <w:proofErr w:type="spellStart"/>
      <w:r w:rsidRPr="009E34A6">
        <w:rPr>
          <w:rFonts w:ascii="Arial" w:eastAsia="Calibri" w:hAnsi="Arial" w:cs="Arial"/>
          <w:color w:val="auto"/>
          <w:szCs w:val="24"/>
        </w:rPr>
        <w:t>Fackley</w:t>
      </w:r>
      <w:proofErr w:type="spellEnd"/>
      <w:r w:rsidR="002F433C" w:rsidRPr="009E34A6">
        <w:rPr>
          <w:rFonts w:ascii="Arial" w:eastAsia="Calibri" w:hAnsi="Arial" w:cs="Arial"/>
          <w:color w:val="auto"/>
          <w:szCs w:val="24"/>
        </w:rPr>
        <w:t>,</w:t>
      </w:r>
      <w:r w:rsidRPr="009E34A6">
        <w:rPr>
          <w:rFonts w:ascii="Arial" w:eastAsia="Calibri" w:hAnsi="Arial" w:cs="Arial"/>
          <w:color w:val="auto"/>
          <w:szCs w:val="24"/>
        </w:rPr>
        <w:t xml:space="preserve"> is currently used for grazing horses</w:t>
      </w:r>
      <w:r w:rsidR="002F433C" w:rsidRPr="009E34A6">
        <w:rPr>
          <w:rFonts w:ascii="Arial" w:eastAsia="Calibri" w:hAnsi="Arial" w:cs="Arial"/>
          <w:color w:val="auto"/>
          <w:szCs w:val="24"/>
        </w:rPr>
        <w:t>, and is enclosed by hedgerows</w:t>
      </w:r>
      <w:r w:rsidRPr="009E34A6">
        <w:rPr>
          <w:rFonts w:ascii="Arial" w:eastAsia="Calibri" w:hAnsi="Arial" w:cs="Arial"/>
          <w:color w:val="auto"/>
          <w:szCs w:val="24"/>
        </w:rPr>
        <w:t>.</w:t>
      </w:r>
      <w:r w:rsidR="002F433C" w:rsidRPr="009E34A6">
        <w:rPr>
          <w:rFonts w:ascii="Arial" w:eastAsia="Calibri" w:hAnsi="Arial" w:cs="Arial"/>
          <w:color w:val="auto"/>
          <w:szCs w:val="24"/>
        </w:rPr>
        <w:t xml:space="preserve"> This site should be brought forward as part of a comprehensive development with site H1Sn to the east, </w:t>
      </w:r>
      <w:proofErr w:type="gramStart"/>
      <w:r w:rsidR="002F433C" w:rsidRPr="009E34A6">
        <w:rPr>
          <w:rFonts w:ascii="Arial" w:eastAsia="Calibri" w:hAnsi="Arial" w:cs="Arial"/>
          <w:color w:val="auto"/>
          <w:szCs w:val="24"/>
        </w:rPr>
        <w:t>in order to</w:t>
      </w:r>
      <w:proofErr w:type="gramEnd"/>
      <w:r w:rsidR="002F433C" w:rsidRPr="009E34A6">
        <w:rPr>
          <w:rFonts w:ascii="Arial" w:eastAsia="Calibri" w:hAnsi="Arial" w:cs="Arial"/>
          <w:color w:val="auto"/>
          <w:szCs w:val="24"/>
        </w:rPr>
        <w:t xml:space="preserve"> enable an acceptable access strategy and highway design. </w:t>
      </w:r>
    </w:p>
    <w:p w14:paraId="1BAE810F" w14:textId="77777777" w:rsidR="00C23F30" w:rsidRPr="009E34A6" w:rsidRDefault="00C23F30" w:rsidP="00C23F30">
      <w:pPr>
        <w:autoSpaceDE w:val="0"/>
        <w:autoSpaceDN w:val="0"/>
        <w:adjustRightInd w:val="0"/>
        <w:rPr>
          <w:rFonts w:eastAsia="Calibri" w:cs="Arial"/>
          <w:color w:val="auto"/>
          <w:szCs w:val="24"/>
        </w:rPr>
      </w:pPr>
    </w:p>
    <w:p w14:paraId="3CC0CFEE" w14:textId="6ADEC2AF" w:rsidR="00715560" w:rsidRPr="009E34A6"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9E34A6">
        <w:rPr>
          <w:rFonts w:ascii="Arial" w:eastAsia="Calibri" w:hAnsi="Arial" w:cs="Arial"/>
          <w:color w:val="auto"/>
          <w:szCs w:val="24"/>
        </w:rPr>
        <w:t>A geological fault line is shown along south-west boundary of site.</w:t>
      </w:r>
      <w:r w:rsidR="00C23F30" w:rsidRPr="009E34A6">
        <w:rPr>
          <w:rFonts w:ascii="Arial" w:eastAsia="Calibri" w:hAnsi="Arial" w:cs="Arial"/>
          <w:color w:val="auto"/>
          <w:szCs w:val="24"/>
        </w:rPr>
        <w:t xml:space="preserve"> </w:t>
      </w:r>
      <w:r w:rsidRPr="009E34A6">
        <w:rPr>
          <w:rFonts w:ascii="Arial" w:eastAsia="Calibri" w:hAnsi="Arial" w:cs="Arial"/>
          <w:color w:val="auto"/>
          <w:szCs w:val="24"/>
        </w:rPr>
        <w:t xml:space="preserve">The whole site is subject </w:t>
      </w:r>
      <w:r w:rsidR="00C23F30" w:rsidRPr="009E34A6">
        <w:rPr>
          <w:rFonts w:ascii="Arial" w:eastAsia="Calibri" w:hAnsi="Arial" w:cs="Arial"/>
          <w:color w:val="auto"/>
          <w:szCs w:val="24"/>
        </w:rPr>
        <w:t xml:space="preserve">to </w:t>
      </w:r>
      <w:r w:rsidRPr="009E34A6">
        <w:rPr>
          <w:rFonts w:ascii="Arial" w:eastAsia="Calibri" w:hAnsi="Arial" w:cs="Arial"/>
          <w:color w:val="auto"/>
          <w:szCs w:val="24"/>
        </w:rPr>
        <w:t xml:space="preserve">surface water flows which will require advice from the Lead Local Flood Authority and mitigation. </w:t>
      </w:r>
    </w:p>
    <w:p w14:paraId="7EDFB306" w14:textId="77777777" w:rsidR="00C23F30" w:rsidRPr="009E34A6" w:rsidRDefault="00C23F30" w:rsidP="00C23F30">
      <w:pPr>
        <w:autoSpaceDE w:val="0"/>
        <w:autoSpaceDN w:val="0"/>
        <w:adjustRightInd w:val="0"/>
        <w:rPr>
          <w:rFonts w:eastAsia="Calibri" w:cs="Arial"/>
          <w:color w:val="auto"/>
          <w:szCs w:val="24"/>
        </w:rPr>
      </w:pPr>
    </w:p>
    <w:p w14:paraId="0AF575EF" w14:textId="4BD873B9" w:rsidR="00ED27CF" w:rsidRPr="007708DA" w:rsidRDefault="00715560" w:rsidP="00874A98">
      <w:pPr>
        <w:pStyle w:val="ListParagraph"/>
        <w:numPr>
          <w:ilvl w:val="1"/>
          <w:numId w:val="92"/>
        </w:numPr>
        <w:autoSpaceDE w:val="0"/>
        <w:autoSpaceDN w:val="0"/>
        <w:adjustRightInd w:val="0"/>
        <w:spacing w:after="0" w:line="240" w:lineRule="auto"/>
        <w:ind w:left="851" w:hanging="851"/>
        <w:rPr>
          <w:rStyle w:val="Heading10"/>
          <w:rFonts w:cs="Arial"/>
          <w:b w:val="0"/>
          <w:bCs/>
          <w:color w:val="0070C0"/>
          <w:szCs w:val="24"/>
        </w:rPr>
      </w:pPr>
      <w:bookmarkStart w:id="219" w:name="_Hlk83829767"/>
      <w:r w:rsidRPr="009E34A6">
        <w:rPr>
          <w:rStyle w:val="Heading10"/>
          <w:rFonts w:cs="Arial"/>
          <w:color w:val="auto"/>
          <w:szCs w:val="24"/>
        </w:rPr>
        <w:t>Site H1Sq: Hardwick Lane Recreation Ground, Sutton-In-Ashfield.</w:t>
      </w:r>
      <w:r w:rsidRPr="009E34A6">
        <w:rPr>
          <w:rStyle w:val="Heading10"/>
          <w:rFonts w:cs="Arial"/>
          <w:b w:val="0"/>
          <w:bCs/>
          <w:color w:val="auto"/>
          <w:szCs w:val="24"/>
        </w:rPr>
        <w:t xml:space="preserve"> </w:t>
      </w:r>
      <w:r w:rsidRPr="009E34A6">
        <w:rPr>
          <w:rStyle w:val="Heading10"/>
          <w:rFonts w:cs="Arial"/>
          <w:b w:val="0"/>
          <w:bCs/>
          <w:color w:val="auto"/>
        </w:rPr>
        <w:t xml:space="preserve">This greenfield site </w:t>
      </w:r>
      <w:proofErr w:type="gramStart"/>
      <w:r w:rsidR="004C3552" w:rsidRPr="009E34A6">
        <w:rPr>
          <w:rStyle w:val="Heading10"/>
          <w:rFonts w:cs="Arial"/>
          <w:b w:val="0"/>
          <w:bCs/>
          <w:color w:val="auto"/>
        </w:rPr>
        <w:t>The</w:t>
      </w:r>
      <w:proofErr w:type="gramEnd"/>
      <w:r w:rsidR="004C3552" w:rsidRPr="009E34A6">
        <w:rPr>
          <w:rStyle w:val="Heading10"/>
          <w:rFonts w:cs="Arial"/>
          <w:b w:val="0"/>
          <w:bCs/>
          <w:color w:val="auto"/>
        </w:rPr>
        <w:t xml:space="preserve"> site has been assessed as </w:t>
      </w:r>
      <w:bookmarkStart w:id="220" w:name="_Hlk80621742"/>
      <w:r w:rsidR="004C3552" w:rsidRPr="009E34A6">
        <w:rPr>
          <w:rStyle w:val="Heading10"/>
          <w:rFonts w:cs="Arial"/>
          <w:b w:val="0"/>
          <w:bCs/>
          <w:color w:val="auto"/>
        </w:rPr>
        <w:t xml:space="preserve">available, potentially suitable, and achievable </w:t>
      </w:r>
      <w:bookmarkEnd w:id="220"/>
      <w:r w:rsidR="004C3552" w:rsidRPr="009E34A6">
        <w:rPr>
          <w:rStyle w:val="Heading10"/>
          <w:rFonts w:cs="Arial"/>
          <w:b w:val="0"/>
          <w:bCs/>
          <w:color w:val="auto"/>
        </w:rPr>
        <w:t>in the SHELAA (ref.SA069)</w:t>
      </w:r>
      <w:r w:rsidR="004C3552" w:rsidRPr="009E34A6">
        <w:rPr>
          <w:rStyle w:val="Heading10"/>
          <w:rFonts w:cs="Arial"/>
          <w:b w:val="0"/>
          <w:bCs/>
          <w:color w:val="auto"/>
          <w:szCs w:val="24"/>
        </w:rPr>
        <w:t xml:space="preserve">. It </w:t>
      </w:r>
      <w:r w:rsidRPr="009E34A6">
        <w:rPr>
          <w:rStyle w:val="Heading10"/>
          <w:rFonts w:cs="Arial"/>
          <w:b w:val="0"/>
          <w:bCs/>
          <w:color w:val="auto"/>
        </w:rPr>
        <w:t xml:space="preserve">is located within the urban area of </w:t>
      </w:r>
      <w:proofErr w:type="gramStart"/>
      <w:r w:rsidRPr="009E34A6">
        <w:rPr>
          <w:rStyle w:val="Heading10"/>
          <w:rFonts w:cs="Arial"/>
          <w:b w:val="0"/>
          <w:bCs/>
          <w:color w:val="auto"/>
        </w:rPr>
        <w:t>Sutton, and</w:t>
      </w:r>
      <w:proofErr w:type="gramEnd"/>
      <w:r w:rsidRPr="009E34A6">
        <w:rPr>
          <w:rStyle w:val="Heading10"/>
          <w:rFonts w:cs="Arial"/>
          <w:b w:val="0"/>
          <w:bCs/>
          <w:color w:val="auto"/>
        </w:rPr>
        <w:t xml:space="preserve"> is surrounded by existing residential development to the south and west, with retail to the east, and employment to the north. The site is currently used as a recreation ground and has good access to a wide range of services.</w:t>
      </w:r>
      <w:bookmarkEnd w:id="219"/>
      <w:r w:rsidR="004C3552" w:rsidRPr="009E34A6">
        <w:rPr>
          <w:rStyle w:val="Heading10"/>
          <w:rFonts w:cs="Arial"/>
          <w:b w:val="0"/>
          <w:bCs/>
          <w:color w:val="auto"/>
        </w:rPr>
        <w:t xml:space="preserve"> </w:t>
      </w:r>
      <w:r w:rsidRPr="009E34A6">
        <w:rPr>
          <w:rStyle w:val="Heading10"/>
          <w:rFonts w:cs="Arial"/>
          <w:b w:val="0"/>
          <w:bCs/>
          <w:color w:val="auto"/>
          <w:szCs w:val="24"/>
        </w:rPr>
        <w:t>Severn Trent have identified that network improvements to accommodate surface water is likely to be required</w:t>
      </w:r>
      <w:r w:rsidRPr="007708DA">
        <w:rPr>
          <w:rStyle w:val="Heading10"/>
          <w:rFonts w:cs="Arial"/>
          <w:b w:val="0"/>
          <w:bCs/>
          <w:color w:val="auto"/>
          <w:szCs w:val="24"/>
        </w:rPr>
        <w:t>.</w:t>
      </w:r>
      <w:r w:rsidR="009E75A0">
        <w:rPr>
          <w:rStyle w:val="Heading10"/>
          <w:rFonts w:cs="Arial"/>
          <w:b w:val="0"/>
          <w:bCs/>
          <w:color w:val="auto"/>
          <w:szCs w:val="24"/>
        </w:rPr>
        <w:t xml:space="preserve"> </w:t>
      </w:r>
      <w:r w:rsidR="009E75A0" w:rsidRPr="007708DA">
        <w:rPr>
          <w:rStyle w:val="Heading10"/>
          <w:rFonts w:cs="Arial"/>
          <w:b w:val="0"/>
          <w:bCs/>
          <w:color w:val="0070C0"/>
          <w:szCs w:val="24"/>
        </w:rPr>
        <w:t>This site now has Full planning permission to deliver 40 homes.</w:t>
      </w:r>
    </w:p>
    <w:p w14:paraId="05BA0381" w14:textId="77777777" w:rsidR="00ED27CF" w:rsidRDefault="00ED27CF" w:rsidP="00ED27CF">
      <w:pPr>
        <w:pStyle w:val="ListParagraph"/>
        <w:rPr>
          <w:rStyle w:val="Heading10"/>
          <w:rFonts w:cs="Arial"/>
          <w:color w:val="auto"/>
          <w:szCs w:val="24"/>
        </w:rPr>
      </w:pPr>
    </w:p>
    <w:tbl>
      <w:tblPr>
        <w:tblStyle w:val="ReportTable1"/>
        <w:tblW w:w="9634" w:type="dxa"/>
        <w:tblLook w:val="04A0" w:firstRow="1" w:lastRow="0" w:firstColumn="1" w:lastColumn="0" w:noHBand="0" w:noVBand="1"/>
      </w:tblPr>
      <w:tblGrid>
        <w:gridCol w:w="2635"/>
        <w:gridCol w:w="6999"/>
      </w:tblGrid>
      <w:tr w:rsidR="000124CA" w:rsidRPr="00EC0666" w14:paraId="0AB313E6" w14:textId="77777777" w:rsidTr="00476E4D">
        <w:tc>
          <w:tcPr>
            <w:tcW w:w="9634" w:type="dxa"/>
            <w:gridSpan w:val="2"/>
          </w:tcPr>
          <w:p w14:paraId="445BA418" w14:textId="77777777" w:rsidR="000124CA" w:rsidRPr="000124CA" w:rsidRDefault="000124CA">
            <w:pPr>
              <w:pStyle w:val="Heading"/>
              <w:spacing w:before="120" w:after="120"/>
              <w:rPr>
                <w:rStyle w:val="Heading10"/>
                <w:rFonts w:cs="Arial"/>
                <w:b/>
                <w:color w:val="0070C0"/>
                <w:szCs w:val="24"/>
              </w:rPr>
            </w:pPr>
            <w:r w:rsidRPr="000124CA">
              <w:rPr>
                <w:rStyle w:val="Heading10"/>
                <w:rFonts w:cs="Arial"/>
                <w:b/>
                <w:color w:val="0070C0"/>
                <w:szCs w:val="24"/>
              </w:rPr>
              <w:t>Policy H1S</w:t>
            </w:r>
            <w:r w:rsidRPr="000124CA">
              <w:rPr>
                <w:rStyle w:val="Heading10"/>
                <w:b/>
                <w:color w:val="0070C0"/>
              </w:rPr>
              <w:t>s</w:t>
            </w:r>
            <w:r w:rsidRPr="000124CA">
              <w:rPr>
                <w:rStyle w:val="Heading10"/>
                <w:rFonts w:cs="Arial"/>
                <w:b/>
                <w:color w:val="0070C0"/>
                <w:szCs w:val="24"/>
              </w:rPr>
              <w:t>:  Land East of A6075 Beck Lane, Skegby</w:t>
            </w:r>
          </w:p>
        </w:tc>
      </w:tr>
      <w:tr w:rsidR="000124CA" w:rsidRPr="00EC0666" w14:paraId="4FB8D87C" w14:textId="77777777" w:rsidTr="00476E4D">
        <w:tc>
          <w:tcPr>
            <w:tcW w:w="2635" w:type="dxa"/>
          </w:tcPr>
          <w:p w14:paraId="130F169B" w14:textId="77777777" w:rsidR="000124CA" w:rsidRPr="00EC0666" w:rsidRDefault="000124CA">
            <w:pPr>
              <w:pStyle w:val="Heading"/>
              <w:spacing w:before="40" w:after="40"/>
              <w:rPr>
                <w:rStyle w:val="Heading10"/>
                <w:rFonts w:cs="Arial"/>
                <w:bCs/>
                <w:color w:val="0070C0"/>
                <w:szCs w:val="24"/>
              </w:rPr>
            </w:pPr>
            <w:r w:rsidRPr="00EC0666">
              <w:rPr>
                <w:rStyle w:val="Heading10"/>
                <w:rFonts w:cs="Arial"/>
                <w:bCs/>
                <w:color w:val="0070C0"/>
                <w:szCs w:val="24"/>
              </w:rPr>
              <w:t>Strategic Objectives</w:t>
            </w:r>
          </w:p>
        </w:tc>
        <w:tc>
          <w:tcPr>
            <w:tcW w:w="6999" w:type="dxa"/>
          </w:tcPr>
          <w:p w14:paraId="44E2E6B0" w14:textId="77777777" w:rsidR="000124CA" w:rsidRPr="00EC0666" w:rsidRDefault="000124CA">
            <w:pPr>
              <w:pStyle w:val="Heading"/>
              <w:spacing w:before="40" w:after="40"/>
              <w:rPr>
                <w:rStyle w:val="Heading10"/>
                <w:rFonts w:cs="Arial"/>
                <w:bCs/>
                <w:color w:val="0070C0"/>
                <w:szCs w:val="24"/>
              </w:rPr>
            </w:pPr>
            <w:r w:rsidRPr="00EC0666">
              <w:rPr>
                <w:rStyle w:val="Heading10"/>
                <w:rFonts w:cs="Arial"/>
                <w:bCs/>
                <w:color w:val="0070C0"/>
                <w:szCs w:val="24"/>
              </w:rPr>
              <w:t>SO3, SO5, SO11, SO12, SO13</w:t>
            </w:r>
          </w:p>
        </w:tc>
      </w:tr>
      <w:tr w:rsidR="000124CA" w:rsidRPr="00EC0666" w14:paraId="20D0858F" w14:textId="77777777" w:rsidTr="00476E4D">
        <w:trPr>
          <w:trHeight w:val="1190"/>
        </w:trPr>
        <w:tc>
          <w:tcPr>
            <w:tcW w:w="9634" w:type="dxa"/>
            <w:gridSpan w:val="2"/>
            <w:shd w:val="clear" w:color="auto" w:fill="FFCC99"/>
          </w:tcPr>
          <w:p w14:paraId="0155F221" w14:textId="77777777" w:rsidR="000124CA" w:rsidRPr="005F5AF9" w:rsidRDefault="000124CA">
            <w:pPr>
              <w:pStyle w:val="Policy"/>
              <w:tabs>
                <w:tab w:val="clear" w:pos="680"/>
                <w:tab w:val="left" w:pos="306"/>
              </w:tabs>
              <w:spacing w:after="0" w:line="240" w:lineRule="auto"/>
              <w:ind w:left="306" w:right="284"/>
              <w:rPr>
                <w:rStyle w:val="Heading10"/>
                <w:rFonts w:cs="Arial"/>
                <w:b w:val="0"/>
                <w:bCs/>
                <w:color w:val="005CA9"/>
                <w:szCs w:val="24"/>
              </w:rPr>
            </w:pPr>
          </w:p>
          <w:p w14:paraId="593690BD" w14:textId="01C7CCA8" w:rsidR="000124CA" w:rsidRPr="005F5AF9" w:rsidRDefault="00795D14">
            <w:pPr>
              <w:pStyle w:val="Policy"/>
              <w:tabs>
                <w:tab w:val="clear" w:pos="680"/>
                <w:tab w:val="left" w:pos="306"/>
              </w:tabs>
              <w:spacing w:after="0" w:line="240" w:lineRule="auto"/>
              <w:ind w:left="306" w:right="284"/>
              <w:rPr>
                <w:bCs/>
                <w:color w:val="005CA9"/>
              </w:rPr>
            </w:pPr>
            <w:r w:rsidRPr="005F5AF9">
              <w:rPr>
                <w:bCs/>
                <w:color w:val="005CA9"/>
                <w:sz w:val="24"/>
                <w:szCs w:val="24"/>
              </w:rPr>
              <w:t>T</w:t>
            </w:r>
            <w:r w:rsidRPr="005F5AF9">
              <w:rPr>
                <w:color w:val="005CA9"/>
                <w:sz w:val="24"/>
                <w:szCs w:val="24"/>
              </w:rPr>
              <w:t xml:space="preserve">his </w:t>
            </w:r>
            <w:r w:rsidR="00A22321" w:rsidRPr="005F5AF9">
              <w:rPr>
                <w:color w:val="005CA9"/>
                <w:sz w:val="24"/>
                <w:szCs w:val="24"/>
              </w:rPr>
              <w:t>site</w:t>
            </w:r>
            <w:r w:rsidRPr="005F5AF9">
              <w:rPr>
                <w:color w:val="005CA9"/>
                <w:sz w:val="24"/>
                <w:szCs w:val="24"/>
              </w:rPr>
              <w:t xml:space="preserve"> is </w:t>
            </w:r>
            <w:r w:rsidR="00A22321" w:rsidRPr="005F5AF9">
              <w:rPr>
                <w:color w:val="005CA9"/>
                <w:sz w:val="24"/>
                <w:szCs w:val="24"/>
              </w:rPr>
              <w:t>allocated</w:t>
            </w:r>
            <w:r w:rsidR="000124CA" w:rsidRPr="005F5AF9">
              <w:rPr>
                <w:bCs/>
                <w:color w:val="005CA9"/>
                <w:sz w:val="24"/>
                <w:szCs w:val="24"/>
              </w:rPr>
              <w:t xml:space="preserve"> to deliver approximately 2</w:t>
            </w:r>
            <w:r w:rsidR="000124CA" w:rsidRPr="005F5AF9">
              <w:rPr>
                <w:color w:val="005CA9"/>
                <w:sz w:val="24"/>
                <w:szCs w:val="24"/>
              </w:rPr>
              <w:t>12</w:t>
            </w:r>
            <w:r w:rsidR="000124CA" w:rsidRPr="005F5AF9">
              <w:rPr>
                <w:bCs/>
                <w:color w:val="005CA9"/>
                <w:sz w:val="24"/>
                <w:szCs w:val="24"/>
              </w:rPr>
              <w:t xml:space="preserve"> dwellings as shown on the Policies Map. </w:t>
            </w:r>
            <w:r w:rsidR="0027362D" w:rsidRPr="005F5AF9">
              <w:rPr>
                <w:bCs/>
                <w:color w:val="005CA9"/>
                <w:sz w:val="24"/>
                <w:szCs w:val="24"/>
              </w:rPr>
              <w:t>Detailed</w:t>
            </w:r>
            <w:r w:rsidR="000124CA" w:rsidRPr="005F5AF9">
              <w:rPr>
                <w:bCs/>
                <w:color w:val="005CA9"/>
                <w:sz w:val="24"/>
                <w:szCs w:val="24"/>
              </w:rPr>
              <w:t xml:space="preserve"> proposal</w:t>
            </w:r>
            <w:r w:rsidR="0027362D" w:rsidRPr="005F5AF9">
              <w:rPr>
                <w:bCs/>
                <w:color w:val="005CA9"/>
                <w:sz w:val="24"/>
                <w:szCs w:val="24"/>
              </w:rPr>
              <w:t>s</w:t>
            </w:r>
            <w:r w:rsidR="000124CA" w:rsidRPr="005F5AF9">
              <w:rPr>
                <w:bCs/>
                <w:color w:val="005CA9"/>
                <w:sz w:val="24"/>
                <w:szCs w:val="24"/>
              </w:rPr>
              <w:t xml:space="preserve"> should have regard to the Masterplan in Appendix 11 and will need to include the following specific requirements, in addition to satisfying other relevant Local Plan policies as applicable:</w:t>
            </w:r>
            <w:r w:rsidR="000124CA" w:rsidRPr="005F5AF9">
              <w:rPr>
                <w:bCs/>
                <w:color w:val="005CA9"/>
              </w:rPr>
              <w:t xml:space="preserve"> </w:t>
            </w:r>
          </w:p>
          <w:p w14:paraId="1D5B77B5" w14:textId="77777777" w:rsidR="000124CA" w:rsidRPr="005F5AF9" w:rsidRDefault="000124CA">
            <w:pPr>
              <w:pStyle w:val="Policy"/>
              <w:tabs>
                <w:tab w:val="clear" w:pos="680"/>
                <w:tab w:val="left" w:pos="306"/>
              </w:tabs>
              <w:spacing w:after="0" w:line="240" w:lineRule="auto"/>
              <w:ind w:left="306" w:right="284"/>
              <w:rPr>
                <w:rStyle w:val="Heading10"/>
                <w:b w:val="0"/>
                <w:bCs/>
                <w:color w:val="005CA9"/>
                <w:szCs w:val="24"/>
              </w:rPr>
            </w:pPr>
          </w:p>
          <w:p w14:paraId="590C1FE9" w14:textId="77777777" w:rsidR="000124CA" w:rsidRPr="005F5AF9" w:rsidRDefault="000124CA" w:rsidP="00B2285E">
            <w:pPr>
              <w:pStyle w:val="ListParagraph"/>
              <w:keepNext/>
              <w:numPr>
                <w:ilvl w:val="1"/>
                <w:numId w:val="347"/>
              </w:numPr>
              <w:spacing w:after="0" w:line="240" w:lineRule="auto"/>
              <w:ind w:left="738"/>
              <w:rPr>
                <w:rStyle w:val="Heading10"/>
                <w:b w:val="0"/>
                <w:bCs/>
                <w:color w:val="005CA9"/>
                <w:szCs w:val="24"/>
              </w:rPr>
            </w:pPr>
            <w:r w:rsidRPr="005F5AF9">
              <w:rPr>
                <w:rStyle w:val="Heading10"/>
                <w:b w:val="0"/>
                <w:bCs/>
                <w:color w:val="005CA9"/>
                <w:szCs w:val="24"/>
              </w:rPr>
              <w:t xml:space="preserve">Two points of vehicle access </w:t>
            </w:r>
            <w:r w:rsidRPr="005F5AF9">
              <w:rPr>
                <w:rStyle w:val="Heading10"/>
                <w:b w:val="0"/>
                <w:color w:val="005CA9"/>
                <w:szCs w:val="24"/>
              </w:rPr>
              <w:t xml:space="preserve">off Beck Lane, supported by </w:t>
            </w:r>
            <w:r w:rsidRPr="005F5AF9">
              <w:rPr>
                <w:rStyle w:val="Heading10"/>
                <w:b w:val="0"/>
                <w:bCs/>
                <w:color w:val="005CA9"/>
                <w:szCs w:val="24"/>
              </w:rPr>
              <w:t>a Transport Assessment;</w:t>
            </w:r>
          </w:p>
          <w:p w14:paraId="41312096" w14:textId="77777777" w:rsidR="000124CA" w:rsidRPr="005F5AF9" w:rsidRDefault="000124CA">
            <w:pPr>
              <w:pStyle w:val="ListParagraph"/>
              <w:ind w:left="738"/>
              <w:rPr>
                <w:rStyle w:val="Heading10"/>
                <w:b w:val="0"/>
                <w:bCs/>
                <w:color w:val="005CA9"/>
                <w:szCs w:val="24"/>
              </w:rPr>
            </w:pPr>
          </w:p>
          <w:p w14:paraId="14BBE666" w14:textId="77777777" w:rsidR="000124CA" w:rsidRPr="005F5AF9" w:rsidRDefault="000124CA" w:rsidP="00B2285E">
            <w:pPr>
              <w:pStyle w:val="ListParagraph"/>
              <w:keepNext/>
              <w:numPr>
                <w:ilvl w:val="1"/>
                <w:numId w:val="347"/>
              </w:numPr>
              <w:spacing w:after="0" w:line="240" w:lineRule="auto"/>
              <w:ind w:left="738"/>
              <w:rPr>
                <w:rStyle w:val="Heading10"/>
                <w:b w:val="0"/>
                <w:bCs/>
                <w:color w:val="005CA9"/>
                <w:szCs w:val="24"/>
              </w:rPr>
            </w:pPr>
            <w:r w:rsidRPr="005F5AF9">
              <w:rPr>
                <w:rStyle w:val="Heading10"/>
                <w:rFonts w:cs="Arial"/>
                <w:b w:val="0"/>
                <w:bCs/>
                <w:color w:val="005CA9"/>
                <w:szCs w:val="24"/>
              </w:rPr>
              <w:t xml:space="preserve">Pedestrian/cycle routes throughout the proposed development with connections to Beck Lane, Abbott Road and </w:t>
            </w:r>
            <w:r w:rsidRPr="005F5AF9">
              <w:rPr>
                <w:rStyle w:val="Heading10"/>
                <w:b w:val="0"/>
                <w:bCs/>
                <w:color w:val="005CA9"/>
                <w:szCs w:val="24"/>
              </w:rPr>
              <w:t xml:space="preserve">the existing Right of Way (Sutton </w:t>
            </w:r>
            <w:proofErr w:type="gramStart"/>
            <w:r w:rsidRPr="005F5AF9">
              <w:rPr>
                <w:rStyle w:val="Heading10"/>
                <w:b w:val="0"/>
                <w:bCs/>
                <w:color w:val="005CA9"/>
                <w:szCs w:val="24"/>
              </w:rPr>
              <w:t>In</w:t>
            </w:r>
            <w:proofErr w:type="gramEnd"/>
            <w:r w:rsidRPr="005F5AF9">
              <w:rPr>
                <w:rStyle w:val="Heading10"/>
                <w:b w:val="0"/>
                <w:bCs/>
                <w:color w:val="005CA9"/>
                <w:szCs w:val="24"/>
              </w:rPr>
              <w:t xml:space="preserve"> Ashfield FP73)</w:t>
            </w:r>
            <w:r w:rsidRPr="005F5AF9">
              <w:rPr>
                <w:rStyle w:val="Heading10"/>
                <w:rFonts w:cs="Arial"/>
                <w:b w:val="0"/>
                <w:bCs/>
                <w:color w:val="005CA9"/>
                <w:szCs w:val="24"/>
              </w:rPr>
              <w:t>;</w:t>
            </w:r>
          </w:p>
          <w:p w14:paraId="07828A9C" w14:textId="77777777" w:rsidR="000124CA" w:rsidRPr="005F5AF9" w:rsidRDefault="000124CA">
            <w:pPr>
              <w:pStyle w:val="ListParagraph"/>
              <w:ind w:left="738"/>
              <w:rPr>
                <w:rStyle w:val="Heading10"/>
                <w:b w:val="0"/>
                <w:bCs/>
                <w:color w:val="005CA9"/>
                <w:szCs w:val="24"/>
              </w:rPr>
            </w:pPr>
          </w:p>
          <w:p w14:paraId="360C34F3" w14:textId="77777777" w:rsidR="000124CA" w:rsidRPr="005F5AF9" w:rsidRDefault="000124CA" w:rsidP="00B2285E">
            <w:pPr>
              <w:pStyle w:val="ListParagraph"/>
              <w:keepNext/>
              <w:numPr>
                <w:ilvl w:val="1"/>
                <w:numId w:val="347"/>
              </w:numPr>
              <w:spacing w:after="0" w:line="240" w:lineRule="auto"/>
              <w:ind w:left="738"/>
              <w:rPr>
                <w:rStyle w:val="Heading10"/>
                <w:b w:val="0"/>
                <w:bCs/>
                <w:color w:val="005CA9"/>
                <w:szCs w:val="24"/>
              </w:rPr>
            </w:pPr>
            <w:r w:rsidRPr="005F5AF9">
              <w:rPr>
                <w:rStyle w:val="Heading10"/>
                <w:b w:val="0"/>
                <w:bCs/>
                <w:color w:val="005CA9"/>
                <w:szCs w:val="24"/>
              </w:rPr>
              <w:t xml:space="preserve">A Heritage Statement that provides a proportionate assessment of the significance of the </w:t>
            </w:r>
            <w:r w:rsidRPr="005F5AF9">
              <w:rPr>
                <w:rStyle w:val="Heading10"/>
                <w:rFonts w:cs="Arial"/>
                <w:b w:val="0"/>
                <w:bCs/>
                <w:color w:val="005CA9"/>
                <w:szCs w:val="24"/>
              </w:rPr>
              <w:t xml:space="preserve">Grade II Listed </w:t>
            </w:r>
            <w:proofErr w:type="spellStart"/>
            <w:r w:rsidRPr="005F5AF9">
              <w:rPr>
                <w:rStyle w:val="Heading10"/>
                <w:rFonts w:cs="Arial"/>
                <w:b w:val="0"/>
                <w:bCs/>
                <w:color w:val="005CA9"/>
                <w:szCs w:val="24"/>
              </w:rPr>
              <w:t>Dalestorth</w:t>
            </w:r>
            <w:proofErr w:type="spellEnd"/>
            <w:r w:rsidRPr="005F5AF9">
              <w:rPr>
                <w:rStyle w:val="Heading10"/>
                <w:rFonts w:cs="Arial"/>
                <w:b w:val="0"/>
                <w:bCs/>
                <w:color w:val="005CA9"/>
                <w:szCs w:val="24"/>
              </w:rPr>
              <w:t xml:space="preserve"> House</w:t>
            </w:r>
            <w:r w:rsidRPr="005F5AF9">
              <w:rPr>
                <w:rStyle w:val="Heading10"/>
                <w:b w:val="0"/>
                <w:bCs/>
                <w:color w:val="005CA9"/>
                <w:szCs w:val="24"/>
              </w:rPr>
              <w:t xml:space="preserve"> including its setting, and an assessment of the impact of the development on its significance;</w:t>
            </w:r>
          </w:p>
          <w:p w14:paraId="0D58238D" w14:textId="77777777" w:rsidR="000124CA" w:rsidRPr="005F5AF9" w:rsidRDefault="000124CA">
            <w:pPr>
              <w:pStyle w:val="ListParagraph"/>
              <w:ind w:left="738"/>
              <w:rPr>
                <w:rStyle w:val="Heading10"/>
                <w:b w:val="0"/>
                <w:bCs/>
                <w:color w:val="005CA9"/>
                <w:szCs w:val="24"/>
              </w:rPr>
            </w:pPr>
          </w:p>
          <w:p w14:paraId="09588076" w14:textId="77777777" w:rsidR="000124CA" w:rsidRPr="005F5AF9" w:rsidRDefault="000124CA" w:rsidP="00B2285E">
            <w:pPr>
              <w:pStyle w:val="ListParagraph"/>
              <w:keepNext/>
              <w:numPr>
                <w:ilvl w:val="1"/>
                <w:numId w:val="347"/>
              </w:numPr>
              <w:spacing w:after="0" w:line="240" w:lineRule="auto"/>
              <w:ind w:left="738"/>
              <w:rPr>
                <w:rStyle w:val="Heading10"/>
                <w:b w:val="0"/>
                <w:bCs/>
                <w:color w:val="005CA9"/>
                <w:szCs w:val="24"/>
              </w:rPr>
            </w:pPr>
            <w:r w:rsidRPr="005F5AF9">
              <w:rPr>
                <w:rStyle w:val="Heading10"/>
                <w:b w:val="0"/>
                <w:bCs/>
                <w:color w:val="005CA9"/>
                <w:szCs w:val="24"/>
              </w:rPr>
              <w:t>An appropriate Archaeological Desk Based Assessment, and where necessary a field evaluation; and</w:t>
            </w:r>
          </w:p>
          <w:p w14:paraId="2344F71A" w14:textId="77777777" w:rsidR="000124CA" w:rsidRPr="005F5AF9" w:rsidRDefault="000124CA">
            <w:pPr>
              <w:pStyle w:val="ListParagraph"/>
              <w:ind w:left="738"/>
              <w:rPr>
                <w:rStyle w:val="Heading10"/>
                <w:b w:val="0"/>
                <w:bCs/>
                <w:color w:val="005CA9"/>
                <w:szCs w:val="24"/>
              </w:rPr>
            </w:pPr>
          </w:p>
          <w:p w14:paraId="27C857D2" w14:textId="77777777" w:rsidR="000124CA" w:rsidRPr="005F5AF9" w:rsidRDefault="000124CA" w:rsidP="00B2285E">
            <w:pPr>
              <w:pStyle w:val="ListParagraph"/>
              <w:keepNext/>
              <w:numPr>
                <w:ilvl w:val="1"/>
                <w:numId w:val="347"/>
              </w:numPr>
              <w:spacing w:after="0" w:line="240" w:lineRule="auto"/>
              <w:ind w:left="738"/>
              <w:rPr>
                <w:rFonts w:ascii="Arial" w:eastAsia="Arial" w:hAnsi="Arial" w:cs="Arial"/>
                <w:bCs/>
                <w:color w:val="005CA9"/>
                <w:szCs w:val="24"/>
              </w:rPr>
            </w:pPr>
            <w:r w:rsidRPr="005F5AF9">
              <w:rPr>
                <w:rFonts w:ascii="Arial" w:hAnsi="Arial" w:cs="Arial"/>
                <w:bCs/>
                <w:color w:val="005CA9"/>
                <w:szCs w:val="24"/>
              </w:rPr>
              <w:t>An appropriate design scheme that retains existing mature trees and strengthens and protects existing boundary hedgerows by gapping up and planting additional hedgerow trees where necessary.</w:t>
            </w:r>
          </w:p>
          <w:p w14:paraId="4BDDCFAE" w14:textId="77777777" w:rsidR="000124CA" w:rsidRPr="005F5AF9" w:rsidRDefault="000124CA">
            <w:pPr>
              <w:pStyle w:val="ListParagraph"/>
              <w:rPr>
                <w:rFonts w:ascii="Arial" w:eastAsia="Arial" w:hAnsi="Arial" w:cs="Arial"/>
                <w:bCs/>
                <w:color w:val="005CA9"/>
                <w:szCs w:val="24"/>
              </w:rPr>
            </w:pPr>
          </w:p>
          <w:p w14:paraId="17752F7D" w14:textId="28A66E88" w:rsidR="000124CA" w:rsidRPr="005F5AF9" w:rsidRDefault="00DA16B8" w:rsidP="00B2285E">
            <w:pPr>
              <w:pStyle w:val="ListParagraph"/>
              <w:keepNext/>
              <w:numPr>
                <w:ilvl w:val="1"/>
                <w:numId w:val="347"/>
              </w:numPr>
              <w:spacing w:after="0" w:line="240" w:lineRule="auto"/>
              <w:ind w:left="738"/>
              <w:rPr>
                <w:rFonts w:ascii="Arial" w:eastAsia="Arial" w:hAnsi="Arial" w:cs="Arial"/>
                <w:color w:val="005CA9"/>
                <w:szCs w:val="24"/>
              </w:rPr>
            </w:pPr>
            <w:r w:rsidRPr="005F5AF9">
              <w:rPr>
                <w:rFonts w:ascii="Arial" w:eastAsia="Calibri" w:hAnsi="Arial" w:cs="Arial"/>
                <w:color w:val="005CA9"/>
                <w:szCs w:val="24"/>
              </w:rPr>
              <w:t>In accordance with Policy H5, t</w:t>
            </w:r>
            <w:r w:rsidR="000124CA" w:rsidRPr="005F5AF9">
              <w:rPr>
                <w:rFonts w:ascii="Arial" w:eastAsia="Calibri" w:hAnsi="Arial" w:cs="Arial"/>
                <w:color w:val="005CA9"/>
                <w:szCs w:val="24"/>
              </w:rPr>
              <w:t>he site should accommodate a minimum of 10% recreational space for community use, approximately 1.18ha from all phases of development.</w:t>
            </w:r>
          </w:p>
          <w:p w14:paraId="05AB89C2" w14:textId="77777777" w:rsidR="000124CA" w:rsidRPr="005F5AF9" w:rsidRDefault="000124CA">
            <w:pPr>
              <w:pStyle w:val="Policy"/>
              <w:tabs>
                <w:tab w:val="clear" w:pos="680"/>
              </w:tabs>
              <w:spacing w:after="0" w:line="240" w:lineRule="auto"/>
              <w:ind w:left="0" w:right="284"/>
              <w:rPr>
                <w:rStyle w:val="Heading10"/>
                <w:rFonts w:cs="Arial"/>
                <w:b w:val="0"/>
                <w:bCs/>
                <w:color w:val="005CA9"/>
                <w:szCs w:val="24"/>
              </w:rPr>
            </w:pPr>
          </w:p>
        </w:tc>
      </w:tr>
    </w:tbl>
    <w:p w14:paraId="0B216E88" w14:textId="4F27C920" w:rsidR="00882778" w:rsidRPr="003736C4" w:rsidRDefault="00882778" w:rsidP="00882778">
      <w:pPr>
        <w:autoSpaceDE w:val="0"/>
        <w:autoSpaceDN w:val="0"/>
        <w:adjustRightInd w:val="0"/>
        <w:rPr>
          <w:rFonts w:eastAsia="Arial" w:cs="Arial"/>
          <w:b/>
          <w:bCs/>
          <w:color w:val="FF0000"/>
          <w:szCs w:val="24"/>
        </w:rPr>
      </w:pPr>
    </w:p>
    <w:p w14:paraId="5E475591" w14:textId="5D8C5E97" w:rsidR="00715560" w:rsidRPr="007708DA" w:rsidRDefault="00715560" w:rsidP="00874A98">
      <w:pPr>
        <w:pStyle w:val="ListParagraph"/>
        <w:numPr>
          <w:ilvl w:val="1"/>
          <w:numId w:val="92"/>
        </w:numPr>
        <w:autoSpaceDE w:val="0"/>
        <w:autoSpaceDN w:val="0"/>
        <w:adjustRightInd w:val="0"/>
        <w:spacing w:after="0" w:line="240" w:lineRule="auto"/>
        <w:ind w:left="851" w:hanging="851"/>
        <w:rPr>
          <w:rStyle w:val="Heading10"/>
          <w:rFonts w:cs="Arial"/>
          <w:b w:val="0"/>
          <w:bCs/>
          <w:color w:val="0070C0"/>
          <w:szCs w:val="24"/>
        </w:rPr>
      </w:pPr>
      <w:r w:rsidRPr="00ED27CF">
        <w:rPr>
          <w:rStyle w:val="Heading10"/>
          <w:rFonts w:cs="Arial"/>
          <w:color w:val="auto"/>
          <w:szCs w:val="24"/>
        </w:rPr>
        <w:t xml:space="preserve">Site H1Ss: Land </w:t>
      </w:r>
      <w:r w:rsidR="00B02175" w:rsidRPr="00ED27CF">
        <w:rPr>
          <w:rStyle w:val="Heading10"/>
          <w:rFonts w:cs="Arial"/>
          <w:color w:val="auto"/>
          <w:szCs w:val="24"/>
        </w:rPr>
        <w:t>E</w:t>
      </w:r>
      <w:r w:rsidRPr="00ED27CF">
        <w:rPr>
          <w:rStyle w:val="Heading10"/>
          <w:rFonts w:cs="Arial"/>
          <w:color w:val="auto"/>
          <w:szCs w:val="24"/>
        </w:rPr>
        <w:t>ast of A6075 Beck Lane, Skegby</w:t>
      </w:r>
      <w:r w:rsidRPr="00ED27CF">
        <w:rPr>
          <w:rStyle w:val="Heading10"/>
          <w:rFonts w:cs="Arial"/>
          <w:b w:val="0"/>
          <w:bCs/>
          <w:color w:val="auto"/>
          <w:szCs w:val="24"/>
        </w:rPr>
        <w:t xml:space="preserve">. </w:t>
      </w:r>
      <w:r w:rsidRPr="00ED27CF">
        <w:rPr>
          <w:rStyle w:val="Heading10"/>
          <w:b w:val="0"/>
          <w:bCs/>
          <w:color w:val="auto"/>
        </w:rPr>
        <w:t xml:space="preserve">This greenfield site </w:t>
      </w:r>
      <w:r w:rsidR="00EF69FE" w:rsidRPr="00ED27CF">
        <w:rPr>
          <w:rStyle w:val="Heading10"/>
          <w:b w:val="0"/>
          <w:bCs/>
          <w:color w:val="auto"/>
        </w:rPr>
        <w:t>has been assessed as available, potentially suitable, and potentially achievable in the SHELAA (ref.SA074)</w:t>
      </w:r>
      <w:r w:rsidR="00EF69FE" w:rsidRPr="00ED27CF">
        <w:rPr>
          <w:rStyle w:val="Heading10"/>
          <w:rFonts w:cs="Arial"/>
          <w:b w:val="0"/>
          <w:bCs/>
          <w:color w:val="auto"/>
          <w:szCs w:val="24"/>
        </w:rPr>
        <w:t xml:space="preserve">. It </w:t>
      </w:r>
      <w:r w:rsidRPr="00ED27CF">
        <w:rPr>
          <w:rStyle w:val="Heading10"/>
          <w:b w:val="0"/>
          <w:bCs/>
          <w:color w:val="auto"/>
        </w:rPr>
        <w:t xml:space="preserve">is located close to the existing urban area of Skegby, directly opposite </w:t>
      </w:r>
      <w:r w:rsidR="002D54C4" w:rsidRPr="00ED27CF">
        <w:rPr>
          <w:rStyle w:val="Heading10"/>
          <w:b w:val="0"/>
          <w:bCs/>
          <w:color w:val="auto"/>
        </w:rPr>
        <w:t>housing site</w:t>
      </w:r>
      <w:r w:rsidRPr="00ED27CF">
        <w:rPr>
          <w:rStyle w:val="Heading10"/>
          <w:b w:val="0"/>
          <w:bCs/>
          <w:color w:val="auto"/>
        </w:rPr>
        <w:t xml:space="preserve"> allocation H1Saa which currently has planning permission for residential development.</w:t>
      </w:r>
      <w:r w:rsidR="004B4158" w:rsidRPr="00ED27CF">
        <w:rPr>
          <w:rStyle w:val="Heading10"/>
          <w:b w:val="0"/>
          <w:bCs/>
          <w:color w:val="auto"/>
        </w:rPr>
        <w:t xml:space="preserve">  </w:t>
      </w:r>
      <w:r w:rsidR="00D62541" w:rsidRPr="007708DA">
        <w:rPr>
          <w:rStyle w:val="Heading10"/>
          <w:b w:val="0"/>
          <w:bCs/>
          <w:color w:val="0070C0"/>
        </w:rPr>
        <w:t>This site now has Outline Planning permission to deliver 230 homes.</w:t>
      </w:r>
    </w:p>
    <w:p w14:paraId="2DE96A3A" w14:textId="77777777" w:rsidR="002D54C4" w:rsidRPr="00D62541" w:rsidRDefault="002D54C4" w:rsidP="002D54C4">
      <w:pPr>
        <w:autoSpaceDE w:val="0"/>
        <w:autoSpaceDN w:val="0"/>
        <w:adjustRightInd w:val="0"/>
        <w:rPr>
          <w:rStyle w:val="Heading10"/>
          <w:b w:val="0"/>
          <w:bCs/>
          <w:color w:val="0070C0"/>
        </w:rPr>
      </w:pPr>
    </w:p>
    <w:p w14:paraId="387B804D" w14:textId="5C908D3C" w:rsidR="00715560" w:rsidRPr="009E34A6" w:rsidRDefault="002D54C4" w:rsidP="00874A98">
      <w:pPr>
        <w:pStyle w:val="ListParagraph"/>
        <w:numPr>
          <w:ilvl w:val="1"/>
          <w:numId w:val="92"/>
        </w:numPr>
        <w:autoSpaceDE w:val="0"/>
        <w:autoSpaceDN w:val="0"/>
        <w:adjustRightInd w:val="0"/>
        <w:spacing w:after="0" w:line="240" w:lineRule="auto"/>
        <w:ind w:left="851" w:hanging="851"/>
        <w:rPr>
          <w:rStyle w:val="Heading10"/>
          <w:rFonts w:cs="Arial"/>
          <w:b w:val="0"/>
          <w:bCs/>
          <w:color w:val="auto"/>
          <w:szCs w:val="24"/>
        </w:rPr>
      </w:pPr>
      <w:r w:rsidRPr="009E34A6">
        <w:rPr>
          <w:rStyle w:val="Heading10"/>
          <w:rFonts w:cs="Arial"/>
          <w:b w:val="0"/>
          <w:bCs/>
          <w:color w:val="auto"/>
          <w:szCs w:val="24"/>
        </w:rPr>
        <w:t>T</w:t>
      </w:r>
      <w:r w:rsidR="00715560" w:rsidRPr="009E34A6">
        <w:rPr>
          <w:rStyle w:val="Heading10"/>
          <w:rFonts w:cs="Arial"/>
          <w:b w:val="0"/>
          <w:bCs/>
          <w:color w:val="auto"/>
          <w:szCs w:val="24"/>
        </w:rPr>
        <w:t xml:space="preserve">he site </w:t>
      </w:r>
      <w:r w:rsidRPr="009E34A6">
        <w:rPr>
          <w:rStyle w:val="Heading10"/>
          <w:rFonts w:cs="Arial"/>
          <w:b w:val="0"/>
          <w:bCs/>
          <w:color w:val="auto"/>
          <w:szCs w:val="24"/>
        </w:rPr>
        <w:t>will require</w:t>
      </w:r>
      <w:r w:rsidR="00715560" w:rsidRPr="009E34A6">
        <w:rPr>
          <w:rStyle w:val="Heading10"/>
          <w:rFonts w:cs="Arial"/>
          <w:b w:val="0"/>
          <w:bCs/>
          <w:color w:val="auto"/>
          <w:szCs w:val="24"/>
        </w:rPr>
        <w:t xml:space="preserve"> at least 2 points of access, to assist with dispersing concentration of traffic flows. Future mitigation at key junctions along the MARR will be </w:t>
      </w:r>
      <w:proofErr w:type="gramStart"/>
      <w:r w:rsidR="00715560" w:rsidRPr="009E34A6">
        <w:rPr>
          <w:rStyle w:val="Heading10"/>
          <w:rFonts w:cs="Arial"/>
          <w:b w:val="0"/>
          <w:bCs/>
          <w:color w:val="auto"/>
          <w:szCs w:val="24"/>
        </w:rPr>
        <w:t>high cost</w:t>
      </w:r>
      <w:proofErr w:type="gramEnd"/>
      <w:r w:rsidR="00715560" w:rsidRPr="009E34A6">
        <w:rPr>
          <w:rStyle w:val="Heading10"/>
          <w:rFonts w:cs="Arial"/>
          <w:b w:val="0"/>
          <w:bCs/>
          <w:color w:val="auto"/>
          <w:szCs w:val="24"/>
        </w:rPr>
        <w:t xml:space="preserve"> engineering works and </w:t>
      </w:r>
      <w:r w:rsidRPr="009E34A6">
        <w:rPr>
          <w:rStyle w:val="Heading10"/>
          <w:rFonts w:cs="Arial"/>
          <w:b w:val="0"/>
          <w:bCs/>
          <w:color w:val="auto"/>
          <w:szCs w:val="24"/>
        </w:rPr>
        <w:t>are likely to</w:t>
      </w:r>
      <w:r w:rsidR="00715560" w:rsidRPr="009E34A6">
        <w:rPr>
          <w:rStyle w:val="Heading10"/>
          <w:rFonts w:cs="Arial"/>
          <w:b w:val="0"/>
          <w:bCs/>
          <w:color w:val="auto"/>
          <w:szCs w:val="24"/>
        </w:rPr>
        <w:t xml:space="preserve"> require acquisition of </w:t>
      </w:r>
      <w:proofErr w:type="gramStart"/>
      <w:r w:rsidR="00715560" w:rsidRPr="009E34A6">
        <w:rPr>
          <w:rStyle w:val="Heading10"/>
          <w:rFonts w:cs="Arial"/>
          <w:b w:val="0"/>
          <w:bCs/>
          <w:color w:val="auto"/>
          <w:szCs w:val="24"/>
        </w:rPr>
        <w:t>third party</w:t>
      </w:r>
      <w:proofErr w:type="gramEnd"/>
      <w:r w:rsidR="00715560" w:rsidRPr="009E34A6">
        <w:rPr>
          <w:rStyle w:val="Heading10"/>
          <w:rFonts w:cs="Arial"/>
          <w:b w:val="0"/>
          <w:bCs/>
          <w:color w:val="auto"/>
          <w:szCs w:val="24"/>
        </w:rPr>
        <w:t xml:space="preserve"> land.</w:t>
      </w:r>
    </w:p>
    <w:p w14:paraId="6BACEE4F" w14:textId="77777777" w:rsidR="00B84A30" w:rsidRPr="009E34A6" w:rsidRDefault="00B84A30" w:rsidP="00B84A30">
      <w:pPr>
        <w:autoSpaceDE w:val="0"/>
        <w:autoSpaceDN w:val="0"/>
        <w:adjustRightInd w:val="0"/>
        <w:rPr>
          <w:rStyle w:val="Heading10"/>
          <w:rFonts w:cs="Arial"/>
          <w:b w:val="0"/>
          <w:bCs/>
          <w:color w:val="auto"/>
          <w:szCs w:val="24"/>
        </w:rPr>
      </w:pPr>
    </w:p>
    <w:p w14:paraId="39A3DF37" w14:textId="00E4DA2B" w:rsidR="00715560" w:rsidRPr="009E34A6" w:rsidRDefault="00A70150" w:rsidP="00874A98">
      <w:pPr>
        <w:pStyle w:val="ListParagraph"/>
        <w:numPr>
          <w:ilvl w:val="1"/>
          <w:numId w:val="92"/>
        </w:numPr>
        <w:autoSpaceDE w:val="0"/>
        <w:autoSpaceDN w:val="0"/>
        <w:adjustRightInd w:val="0"/>
        <w:spacing w:after="0" w:line="240" w:lineRule="auto"/>
        <w:ind w:left="851" w:hanging="851"/>
        <w:rPr>
          <w:rStyle w:val="Heading10"/>
          <w:rFonts w:cs="Arial"/>
          <w:b w:val="0"/>
          <w:bCs/>
          <w:color w:val="auto"/>
          <w:szCs w:val="24"/>
        </w:rPr>
      </w:pPr>
      <w:bookmarkStart w:id="221" w:name="_Hlk148606329"/>
      <w:r w:rsidRPr="00037BA4">
        <w:rPr>
          <w:rStyle w:val="Heading10"/>
          <w:rFonts w:cs="Arial"/>
          <w:b w:val="0"/>
          <w:bCs/>
          <w:color w:val="auto"/>
          <w:szCs w:val="24"/>
        </w:rPr>
        <w:t xml:space="preserve">Right of way Sutton in Ashfield Footpath 73 crosses the site from east to west. </w:t>
      </w:r>
      <w:bookmarkEnd w:id="221"/>
      <w:r w:rsidR="00715560" w:rsidRPr="00037BA4">
        <w:rPr>
          <w:rStyle w:val="Heading10"/>
          <w:rFonts w:cs="Arial"/>
          <w:b w:val="0"/>
          <w:bCs/>
          <w:color w:val="auto"/>
          <w:szCs w:val="24"/>
        </w:rPr>
        <w:t>There is an</w:t>
      </w:r>
      <w:r w:rsidR="00715560" w:rsidRPr="009E34A6">
        <w:rPr>
          <w:rStyle w:val="Heading10"/>
          <w:rFonts w:cs="Arial"/>
          <w:b w:val="0"/>
          <w:bCs/>
          <w:color w:val="auto"/>
          <w:szCs w:val="24"/>
        </w:rPr>
        <w:t xml:space="preserve"> area of </w:t>
      </w:r>
      <w:proofErr w:type="gramStart"/>
      <w:r w:rsidR="00715560" w:rsidRPr="009E34A6">
        <w:rPr>
          <w:rStyle w:val="Heading10"/>
          <w:rFonts w:cs="Arial"/>
          <w:b w:val="0"/>
          <w:bCs/>
          <w:color w:val="auto"/>
          <w:szCs w:val="24"/>
        </w:rPr>
        <w:t>high risk</w:t>
      </w:r>
      <w:proofErr w:type="gramEnd"/>
      <w:r w:rsidR="00715560" w:rsidRPr="009E34A6">
        <w:rPr>
          <w:rStyle w:val="Heading10"/>
          <w:rFonts w:cs="Arial"/>
          <w:b w:val="0"/>
          <w:bCs/>
          <w:color w:val="auto"/>
          <w:szCs w:val="24"/>
        </w:rPr>
        <w:t xml:space="preserve"> surface water flooding over and adjacent to the access track to Ashfields Farm, and areas of surface water on other parts of the site which will require mitigation.</w:t>
      </w:r>
      <w:r w:rsidR="002D54C4" w:rsidRPr="009E34A6">
        <w:rPr>
          <w:rStyle w:val="Heading10"/>
          <w:rFonts w:cs="Arial"/>
          <w:b w:val="0"/>
          <w:bCs/>
          <w:color w:val="auto"/>
          <w:szCs w:val="24"/>
        </w:rPr>
        <w:t xml:space="preserve"> </w:t>
      </w:r>
      <w:r w:rsidR="00715560" w:rsidRPr="009E34A6">
        <w:rPr>
          <w:rStyle w:val="Heading10"/>
          <w:rFonts w:cs="Arial"/>
          <w:b w:val="0"/>
          <w:bCs/>
          <w:color w:val="auto"/>
          <w:szCs w:val="24"/>
        </w:rPr>
        <w:t>Severn Trent have</w:t>
      </w:r>
      <w:r w:rsidR="002D54C4" w:rsidRPr="009E34A6">
        <w:rPr>
          <w:rStyle w:val="Heading10"/>
          <w:rFonts w:cs="Arial"/>
          <w:b w:val="0"/>
          <w:bCs/>
          <w:color w:val="auto"/>
          <w:szCs w:val="24"/>
        </w:rPr>
        <w:t xml:space="preserve"> also</w:t>
      </w:r>
      <w:r w:rsidR="00715560" w:rsidRPr="009E34A6">
        <w:rPr>
          <w:rStyle w:val="Heading10"/>
          <w:rFonts w:cs="Arial"/>
          <w:b w:val="0"/>
          <w:bCs/>
          <w:color w:val="auto"/>
          <w:szCs w:val="24"/>
        </w:rPr>
        <w:t xml:space="preserve"> identified that network improvements to accommodate surface water is likely to be required.</w:t>
      </w:r>
    </w:p>
    <w:p w14:paraId="589EA5CA" w14:textId="77777777" w:rsidR="00CB5290" w:rsidRPr="009E34A6" w:rsidRDefault="00CB5290" w:rsidP="00CB5290">
      <w:pPr>
        <w:pStyle w:val="ListParagraph"/>
        <w:rPr>
          <w:rStyle w:val="Heading10"/>
          <w:rFonts w:cs="Arial"/>
          <w:b w:val="0"/>
          <w:bCs/>
          <w:color w:val="auto"/>
          <w:szCs w:val="24"/>
        </w:rPr>
      </w:pPr>
    </w:p>
    <w:p w14:paraId="57947732" w14:textId="3CAD20F0" w:rsidR="00715560" w:rsidRPr="001012CC" w:rsidRDefault="00B00712" w:rsidP="00874A98">
      <w:pPr>
        <w:pStyle w:val="ListParagraph"/>
        <w:numPr>
          <w:ilvl w:val="1"/>
          <w:numId w:val="92"/>
        </w:numPr>
        <w:autoSpaceDE w:val="0"/>
        <w:autoSpaceDN w:val="0"/>
        <w:adjustRightInd w:val="0"/>
        <w:spacing w:after="0" w:line="240" w:lineRule="auto"/>
        <w:ind w:left="851" w:hanging="851"/>
        <w:rPr>
          <w:rStyle w:val="Normal1"/>
          <w:rFonts w:cs="Arial"/>
          <w:bCs/>
          <w:color w:val="auto"/>
          <w:szCs w:val="24"/>
        </w:rPr>
      </w:pPr>
      <w:r w:rsidRPr="00114DE4">
        <w:rPr>
          <w:rStyle w:val="Normal1"/>
          <w:rFonts w:cs="Arial"/>
          <w:iCs/>
          <w:color w:val="0070C0"/>
          <w:szCs w:val="24"/>
        </w:rPr>
        <w:t xml:space="preserve">The 2023 Heritage Impact Assessment </w:t>
      </w:r>
      <w:r w:rsidR="0085595A">
        <w:rPr>
          <w:rStyle w:val="Normal1"/>
          <w:rFonts w:cs="Arial"/>
          <w:iCs/>
          <w:color w:val="0070C0"/>
          <w:szCs w:val="24"/>
        </w:rPr>
        <w:t>identifies</w:t>
      </w:r>
      <w:r w:rsidRPr="00114DE4">
        <w:rPr>
          <w:rStyle w:val="Normal1"/>
          <w:rFonts w:cs="Arial"/>
          <w:iCs/>
          <w:color w:val="0070C0"/>
          <w:szCs w:val="24"/>
        </w:rPr>
        <w:t xml:space="preserve"> that</w:t>
      </w:r>
      <w:r>
        <w:rPr>
          <w:rStyle w:val="Normal1"/>
          <w:rFonts w:cs="Arial"/>
          <w:iCs/>
          <w:color w:val="auto"/>
          <w:szCs w:val="24"/>
        </w:rPr>
        <w:t xml:space="preserve"> t</w:t>
      </w:r>
      <w:r w:rsidR="00CB5290" w:rsidRPr="009E34A6">
        <w:rPr>
          <w:rStyle w:val="Heading10"/>
          <w:rFonts w:cs="Arial"/>
          <w:b w:val="0"/>
          <w:bCs/>
          <w:color w:val="auto"/>
          <w:szCs w:val="24"/>
        </w:rPr>
        <w:t xml:space="preserve">here is a high potential for buried archaeological remains within the site. Consequently, </w:t>
      </w:r>
      <w:r w:rsidR="003A37B3" w:rsidRPr="009E34A6">
        <w:rPr>
          <w:rStyle w:val="Normal1"/>
          <w:rFonts w:cs="Arial"/>
          <w:iCs/>
          <w:color w:val="auto"/>
          <w:szCs w:val="24"/>
        </w:rPr>
        <w:t xml:space="preserve">further archaeological evaluation work is required, beginning with a Desk Based Assessment (DBA).  Depending on the results of the DBA further archaeological investigations may be warranted, including a geophysical survey </w:t>
      </w:r>
      <w:r w:rsidR="003A37B3" w:rsidRPr="001012CC">
        <w:rPr>
          <w:rStyle w:val="Normal1"/>
          <w:rFonts w:cs="Arial"/>
          <w:iCs/>
          <w:color w:val="auto"/>
          <w:szCs w:val="24"/>
        </w:rPr>
        <w:t>and targeted trial trenching, where necessary.  This work will inform the need for mitigation.</w:t>
      </w:r>
    </w:p>
    <w:p w14:paraId="36BEB748" w14:textId="77777777" w:rsidR="004143A2" w:rsidRPr="001012CC" w:rsidRDefault="004143A2" w:rsidP="004143A2">
      <w:pPr>
        <w:pStyle w:val="ListParagraph"/>
        <w:rPr>
          <w:rStyle w:val="Normal1"/>
          <w:rFonts w:cs="Arial"/>
          <w:bCs/>
          <w:color w:val="auto"/>
          <w:szCs w:val="24"/>
        </w:rPr>
      </w:pPr>
    </w:p>
    <w:p w14:paraId="11ED7C15" w14:textId="78D219AA" w:rsidR="00C6552B" w:rsidRPr="0035250A" w:rsidRDefault="00C6552B">
      <w:pPr>
        <w:pStyle w:val="ListParagraph"/>
        <w:numPr>
          <w:ilvl w:val="1"/>
          <w:numId w:val="92"/>
        </w:numPr>
        <w:autoSpaceDE w:val="0"/>
        <w:autoSpaceDN w:val="0"/>
        <w:adjustRightInd w:val="0"/>
        <w:spacing w:after="0" w:line="240" w:lineRule="auto"/>
        <w:ind w:left="851" w:hanging="851"/>
        <w:rPr>
          <w:rFonts w:ascii="Arial" w:eastAsia="Arial" w:hAnsi="Arial" w:cs="Arial"/>
          <w:bCs/>
          <w:color w:val="auto"/>
          <w:szCs w:val="24"/>
        </w:rPr>
      </w:pPr>
      <w:r w:rsidRPr="0035250A">
        <w:rPr>
          <w:rFonts w:ascii="Arial" w:hAnsi="Arial" w:cs="Arial"/>
          <w:szCs w:val="24"/>
        </w:rPr>
        <w:t xml:space="preserve">A concise masterplan </w:t>
      </w:r>
      <w:r w:rsidR="00804E43" w:rsidRPr="0035250A">
        <w:rPr>
          <w:rFonts w:ascii="Arial" w:hAnsi="Arial" w:cs="Arial"/>
          <w:strike/>
          <w:color w:val="auto"/>
          <w:szCs w:val="24"/>
        </w:rPr>
        <w:t>will be available to identify</w:t>
      </w:r>
      <w:r w:rsidR="00804E43" w:rsidRPr="0035250A">
        <w:rPr>
          <w:rFonts w:ascii="Arial" w:hAnsi="Arial" w:cs="Arial"/>
          <w:color w:val="auto"/>
          <w:szCs w:val="24"/>
        </w:rPr>
        <w:t xml:space="preserve"> </w:t>
      </w:r>
      <w:r w:rsidR="00804E43" w:rsidRPr="0035250A">
        <w:rPr>
          <w:rFonts w:ascii="Arial" w:hAnsi="Arial" w:cs="Arial"/>
          <w:color w:val="0070C0"/>
          <w:szCs w:val="24"/>
        </w:rPr>
        <w:t xml:space="preserve">is included at Appendix 11 and identifies </w:t>
      </w:r>
      <w:r w:rsidRPr="0035250A">
        <w:rPr>
          <w:rFonts w:ascii="Arial" w:hAnsi="Arial" w:cs="Arial"/>
          <w:szCs w:val="24"/>
        </w:rPr>
        <w:t xml:space="preserve">essential requirements expected by the </w:t>
      </w:r>
      <w:proofErr w:type="gramStart"/>
      <w:r w:rsidRPr="0035250A">
        <w:rPr>
          <w:rFonts w:ascii="Arial" w:hAnsi="Arial" w:cs="Arial"/>
          <w:szCs w:val="24"/>
        </w:rPr>
        <w:t>Council</w:t>
      </w:r>
      <w:r w:rsidR="00F70A18" w:rsidRPr="0035250A">
        <w:rPr>
          <w:rFonts w:ascii="Arial" w:hAnsi="Arial" w:cs="Arial"/>
          <w:szCs w:val="24"/>
        </w:rPr>
        <w:t xml:space="preserve">, </w:t>
      </w:r>
      <w:r w:rsidRPr="0035250A">
        <w:rPr>
          <w:rFonts w:ascii="Arial" w:hAnsi="Arial" w:cs="Arial"/>
          <w:szCs w:val="24"/>
        </w:rPr>
        <w:t>and</w:t>
      </w:r>
      <w:proofErr w:type="gramEnd"/>
      <w:r w:rsidRPr="0035250A">
        <w:rPr>
          <w:rFonts w:ascii="Arial" w:hAnsi="Arial" w:cs="Arial"/>
          <w:szCs w:val="24"/>
        </w:rPr>
        <w:t xml:space="preserve"> provide</w:t>
      </w:r>
      <w:r w:rsidRPr="0035250A">
        <w:rPr>
          <w:rFonts w:ascii="Arial" w:hAnsi="Arial" w:cs="Arial"/>
          <w:color w:val="0070C0"/>
          <w:szCs w:val="24"/>
        </w:rPr>
        <w:t>s</w:t>
      </w:r>
      <w:r w:rsidRPr="0035250A">
        <w:rPr>
          <w:rFonts w:ascii="Arial" w:hAnsi="Arial" w:cs="Arial"/>
          <w:szCs w:val="24"/>
        </w:rPr>
        <w:t xml:space="preserve"> more detailed advice and guidance specific to the site. </w:t>
      </w:r>
    </w:p>
    <w:p w14:paraId="4F63DB7D" w14:textId="77777777" w:rsidR="0035250A" w:rsidRPr="0035250A" w:rsidRDefault="0035250A" w:rsidP="0035250A">
      <w:pPr>
        <w:autoSpaceDE w:val="0"/>
        <w:autoSpaceDN w:val="0"/>
        <w:adjustRightInd w:val="0"/>
        <w:rPr>
          <w:rStyle w:val="Heading10"/>
          <w:rFonts w:cs="Arial"/>
          <w:b w:val="0"/>
          <w:bCs/>
          <w:color w:val="auto"/>
          <w:szCs w:val="24"/>
        </w:rPr>
      </w:pPr>
    </w:p>
    <w:p w14:paraId="208E2C49" w14:textId="56B3268A" w:rsidR="00715560" w:rsidRPr="007708DA" w:rsidRDefault="00715560" w:rsidP="00874A98">
      <w:pPr>
        <w:pStyle w:val="ListParagraph"/>
        <w:numPr>
          <w:ilvl w:val="1"/>
          <w:numId w:val="92"/>
        </w:numPr>
        <w:autoSpaceDE w:val="0"/>
        <w:autoSpaceDN w:val="0"/>
        <w:adjustRightInd w:val="0"/>
        <w:spacing w:after="0" w:line="240" w:lineRule="auto"/>
        <w:ind w:left="851" w:hanging="851"/>
        <w:rPr>
          <w:rFonts w:ascii="Arial" w:eastAsia="Arial" w:hAnsi="Arial" w:cs="Arial"/>
          <w:color w:val="0070C0"/>
          <w:spacing w:val="-1"/>
          <w:szCs w:val="24"/>
        </w:rPr>
      </w:pPr>
      <w:r w:rsidRPr="009E34A6">
        <w:rPr>
          <w:rStyle w:val="Heading10"/>
          <w:rFonts w:cs="Arial"/>
          <w:color w:val="auto"/>
          <w:szCs w:val="24"/>
        </w:rPr>
        <w:t>Site H1St: Land off Blackwell Road/Main Street, Huthwaite</w:t>
      </w:r>
      <w:r w:rsidRPr="009E34A6">
        <w:rPr>
          <w:rStyle w:val="Heading10"/>
          <w:rFonts w:cs="Arial"/>
          <w:b w:val="0"/>
          <w:bCs/>
          <w:color w:val="auto"/>
          <w:szCs w:val="24"/>
        </w:rPr>
        <w:t>.</w:t>
      </w:r>
      <w:r w:rsidRPr="009E34A6">
        <w:rPr>
          <w:rStyle w:val="Heading10"/>
          <w:rFonts w:cs="Arial"/>
          <w:b w:val="0"/>
          <w:bCs/>
          <w:color w:val="auto"/>
        </w:rPr>
        <w:t xml:space="preserve"> This greenfield site is located</w:t>
      </w:r>
      <w:r w:rsidRPr="009E34A6">
        <w:rPr>
          <w:rFonts w:ascii="Arial" w:eastAsia="Calibri" w:hAnsi="Arial" w:cs="Arial"/>
          <w:color w:val="auto"/>
          <w:szCs w:val="24"/>
        </w:rPr>
        <w:t xml:space="preserve"> adjacent to the urban area of Sutton and has been assessed as deliverable in the SHLAA (ref. SA082). The site is well contained by development to the north, south and east, and access to the public highway can be achieved via Blackwell Road or Main Street.</w:t>
      </w:r>
      <w:r w:rsidRPr="009E34A6">
        <w:rPr>
          <w:rFonts w:ascii="Arial" w:hAnsi="Arial" w:cs="Arial"/>
          <w:color w:val="auto"/>
          <w:szCs w:val="24"/>
        </w:rPr>
        <w:t xml:space="preserve"> </w:t>
      </w:r>
      <w:r w:rsidRPr="009E34A6">
        <w:rPr>
          <w:rFonts w:ascii="Arial" w:eastAsia="Calibri" w:hAnsi="Arial" w:cs="Arial"/>
          <w:color w:val="auto"/>
          <w:szCs w:val="24"/>
        </w:rPr>
        <w:t>Due to previous site uses</w:t>
      </w:r>
      <w:r w:rsidRPr="009E34A6">
        <w:rPr>
          <w:rFonts w:ascii="Arial" w:hAnsi="Arial" w:cs="Arial"/>
          <w:color w:val="auto"/>
          <w:szCs w:val="24"/>
        </w:rPr>
        <w:t xml:space="preserve"> (b</w:t>
      </w:r>
      <w:r w:rsidRPr="009E34A6">
        <w:rPr>
          <w:rFonts w:ascii="Arial" w:eastAsia="Calibri" w:hAnsi="Arial" w:cs="Arial"/>
          <w:color w:val="auto"/>
          <w:szCs w:val="24"/>
        </w:rPr>
        <w:t xml:space="preserve">rick yard and scrap storage areas) contamination may be present and there is also evidence of some surface water flooding within the boundary of the site. The site includes 10 Main Street, a Local Heritage Asset. </w:t>
      </w:r>
      <w:r w:rsidR="00FB24E9" w:rsidRPr="007708DA">
        <w:rPr>
          <w:rFonts w:ascii="Arial" w:eastAsia="Calibri" w:hAnsi="Arial" w:cs="Arial"/>
          <w:color w:val="0070C0"/>
          <w:szCs w:val="24"/>
        </w:rPr>
        <w:t>A small parcel of land in the south of this site has full planning permission for 9 homes.</w:t>
      </w:r>
    </w:p>
    <w:p w14:paraId="32116399" w14:textId="77777777" w:rsidR="00007935" w:rsidRPr="009E34A6" w:rsidRDefault="00007935" w:rsidP="00007935">
      <w:pPr>
        <w:autoSpaceDE w:val="0"/>
        <w:autoSpaceDN w:val="0"/>
        <w:adjustRightInd w:val="0"/>
        <w:rPr>
          <w:rFonts w:eastAsia="Arial" w:cs="Arial"/>
          <w:color w:val="auto"/>
          <w:spacing w:val="-1"/>
          <w:szCs w:val="24"/>
        </w:rPr>
      </w:pPr>
    </w:p>
    <w:p w14:paraId="3C5DEF53" w14:textId="269D72A4" w:rsidR="00007935" w:rsidRPr="007708DA" w:rsidRDefault="00715560" w:rsidP="004F360A">
      <w:pPr>
        <w:pStyle w:val="ListParagraph"/>
        <w:numPr>
          <w:ilvl w:val="1"/>
          <w:numId w:val="92"/>
        </w:numPr>
        <w:autoSpaceDE w:val="0"/>
        <w:autoSpaceDN w:val="0"/>
        <w:adjustRightInd w:val="0"/>
        <w:spacing w:after="0" w:line="240" w:lineRule="auto"/>
        <w:ind w:left="851" w:hanging="851"/>
        <w:rPr>
          <w:rStyle w:val="Heading10"/>
          <w:rFonts w:cs="Arial"/>
          <w:b w:val="0"/>
          <w:color w:val="0070C0"/>
          <w:spacing w:val="-1"/>
          <w:szCs w:val="24"/>
        </w:rPr>
      </w:pPr>
      <w:r w:rsidRPr="009E34A6">
        <w:rPr>
          <w:rStyle w:val="Heading10"/>
          <w:rFonts w:cs="Arial"/>
          <w:color w:val="auto"/>
          <w:szCs w:val="24"/>
        </w:rPr>
        <w:t xml:space="preserve">Site H1Su: </w:t>
      </w:r>
      <w:r w:rsidRPr="009E34A6">
        <w:rPr>
          <w:rStyle w:val="Heading10"/>
          <w:color w:val="auto"/>
        </w:rPr>
        <w:t>Rear 113 to 139 Beck Lane, Skegby</w:t>
      </w:r>
      <w:r w:rsidRPr="009E34A6">
        <w:rPr>
          <w:rStyle w:val="Heading10"/>
          <w:b w:val="0"/>
          <w:bCs/>
          <w:color w:val="auto"/>
        </w:rPr>
        <w:t xml:space="preserve">. This greenfield site </w:t>
      </w:r>
      <w:r w:rsidR="002B6AC7" w:rsidRPr="009E34A6">
        <w:rPr>
          <w:rStyle w:val="Heading10"/>
          <w:rFonts w:cs="Arial"/>
          <w:b w:val="0"/>
          <w:bCs/>
          <w:color w:val="auto"/>
          <w:szCs w:val="24"/>
        </w:rPr>
        <w:t xml:space="preserve">has been assessed as </w:t>
      </w:r>
      <w:r w:rsidR="00007935" w:rsidRPr="009E34A6">
        <w:rPr>
          <w:rStyle w:val="Heading10"/>
          <w:rFonts w:cs="Arial"/>
          <w:b w:val="0"/>
          <w:bCs/>
          <w:color w:val="auto"/>
          <w:szCs w:val="24"/>
        </w:rPr>
        <w:t xml:space="preserve">potentially </w:t>
      </w:r>
      <w:r w:rsidR="002B6AC7" w:rsidRPr="009E34A6">
        <w:rPr>
          <w:rStyle w:val="Heading10"/>
          <w:rFonts w:cs="Arial"/>
          <w:b w:val="0"/>
          <w:bCs/>
          <w:color w:val="auto"/>
          <w:szCs w:val="24"/>
        </w:rPr>
        <w:t xml:space="preserve">available, potentially suitable, and achievable in the SHELAA (ref.SA084). It </w:t>
      </w:r>
      <w:r w:rsidRPr="009E34A6">
        <w:rPr>
          <w:rStyle w:val="Heading10"/>
          <w:b w:val="0"/>
          <w:bCs/>
          <w:color w:val="auto"/>
        </w:rPr>
        <w:t xml:space="preserve">is located close to the existing urban area of Skegby, directly north of site allocation H1Saa which currently has planning permission for residential development. The site comprises an agricultural field, with rough grassland and scrub to the east. One building is presently on site. </w:t>
      </w:r>
      <w:r w:rsidR="00007935" w:rsidRPr="009E34A6">
        <w:rPr>
          <w:rStyle w:val="Heading10"/>
          <w:b w:val="0"/>
          <w:bCs/>
          <w:color w:val="auto"/>
        </w:rPr>
        <w:t>Right of Way Sutton in Ashfield Footpath 1 crosses the centre of the site from west to east</w:t>
      </w:r>
      <w:r w:rsidR="00007935" w:rsidRPr="007708DA">
        <w:rPr>
          <w:rStyle w:val="Heading10"/>
          <w:b w:val="0"/>
          <w:bCs/>
          <w:color w:val="auto"/>
        </w:rPr>
        <w:t>.</w:t>
      </w:r>
      <w:r w:rsidR="004F360A" w:rsidRPr="007708DA">
        <w:rPr>
          <w:rFonts w:ascii="Arial" w:eastAsia="Calibri" w:hAnsi="Arial" w:cs="Arial"/>
          <w:color w:val="0070C0"/>
          <w:szCs w:val="24"/>
        </w:rPr>
        <w:t xml:space="preserve"> A small parcel of land in the south of this site has full planning permission for 9 homes.</w:t>
      </w:r>
    </w:p>
    <w:p w14:paraId="0945AFE2" w14:textId="7AB31BB7" w:rsidR="00715560" w:rsidRPr="009E34A6" w:rsidRDefault="00715560" w:rsidP="00007935">
      <w:pPr>
        <w:pStyle w:val="ListParagraph"/>
        <w:autoSpaceDE w:val="0"/>
        <w:autoSpaceDN w:val="0"/>
        <w:adjustRightInd w:val="0"/>
        <w:spacing w:after="0" w:line="240" w:lineRule="auto"/>
        <w:ind w:left="851"/>
        <w:rPr>
          <w:rStyle w:val="Heading10"/>
          <w:b w:val="0"/>
          <w:bCs/>
          <w:color w:val="auto"/>
        </w:rPr>
      </w:pPr>
    </w:p>
    <w:p w14:paraId="312F1FE9" w14:textId="25AE2800" w:rsidR="00715560" w:rsidRPr="009E34A6" w:rsidRDefault="00715560" w:rsidP="00874A98">
      <w:pPr>
        <w:pStyle w:val="ListParagraph"/>
        <w:numPr>
          <w:ilvl w:val="1"/>
          <w:numId w:val="92"/>
        </w:numPr>
        <w:autoSpaceDE w:val="0"/>
        <w:autoSpaceDN w:val="0"/>
        <w:adjustRightInd w:val="0"/>
        <w:spacing w:after="0" w:line="240" w:lineRule="auto"/>
        <w:ind w:left="851" w:hanging="851"/>
        <w:rPr>
          <w:rStyle w:val="Heading10"/>
          <w:b w:val="0"/>
          <w:bCs/>
          <w:color w:val="auto"/>
        </w:rPr>
      </w:pPr>
      <w:r w:rsidRPr="009E34A6">
        <w:rPr>
          <w:rStyle w:val="Heading10"/>
          <w:b w:val="0"/>
          <w:bCs/>
          <w:color w:val="auto"/>
        </w:rPr>
        <w:t>There are access constraint</w:t>
      </w:r>
      <w:r w:rsidR="00716B53">
        <w:rPr>
          <w:rStyle w:val="Heading10"/>
          <w:b w:val="0"/>
          <w:bCs/>
          <w:color w:val="auto"/>
        </w:rPr>
        <w:t>s</w:t>
      </w:r>
      <w:r w:rsidRPr="009E34A6">
        <w:rPr>
          <w:rStyle w:val="Heading10"/>
          <w:b w:val="0"/>
          <w:bCs/>
          <w:color w:val="auto"/>
        </w:rPr>
        <w:t xml:space="preserve"> which will need to be resolved. Access may be possible via the adjacent site signalised junction (subject to capacity figures).  A developer would be expected to increase the connectivity of the site via cycleways/footways </w:t>
      </w:r>
      <w:proofErr w:type="gramStart"/>
      <w:r w:rsidRPr="009E34A6">
        <w:rPr>
          <w:rStyle w:val="Heading10"/>
          <w:b w:val="0"/>
          <w:bCs/>
          <w:color w:val="auto"/>
        </w:rPr>
        <w:t>and also</w:t>
      </w:r>
      <w:proofErr w:type="gramEnd"/>
      <w:r w:rsidRPr="009E34A6">
        <w:rPr>
          <w:rStyle w:val="Heading10"/>
          <w:b w:val="0"/>
          <w:bCs/>
          <w:color w:val="auto"/>
        </w:rPr>
        <w:t xml:space="preserve"> potentially dissipate a percentage of this site traffic onto the service road to the front of 113-139, providing it meets the public highway.</w:t>
      </w:r>
    </w:p>
    <w:p w14:paraId="0751C053" w14:textId="77777777" w:rsidR="00715560" w:rsidRPr="009E34A6" w:rsidRDefault="00715560" w:rsidP="00007935">
      <w:pPr>
        <w:pStyle w:val="ListParagraph"/>
        <w:autoSpaceDE w:val="0"/>
        <w:autoSpaceDN w:val="0"/>
        <w:adjustRightInd w:val="0"/>
        <w:spacing w:after="0" w:line="240" w:lineRule="auto"/>
        <w:ind w:left="851"/>
        <w:rPr>
          <w:rStyle w:val="Heading10"/>
          <w:b w:val="0"/>
          <w:bCs/>
          <w:color w:val="auto"/>
        </w:rPr>
      </w:pPr>
    </w:p>
    <w:p w14:paraId="664BD8C3" w14:textId="77777777" w:rsidR="00715560" w:rsidRPr="009E34A6" w:rsidRDefault="00715560" w:rsidP="00874A98">
      <w:pPr>
        <w:pStyle w:val="ListParagraph"/>
        <w:numPr>
          <w:ilvl w:val="1"/>
          <w:numId w:val="92"/>
        </w:numPr>
        <w:autoSpaceDE w:val="0"/>
        <w:autoSpaceDN w:val="0"/>
        <w:adjustRightInd w:val="0"/>
        <w:spacing w:after="0" w:line="240" w:lineRule="auto"/>
        <w:ind w:left="851" w:hanging="851"/>
        <w:rPr>
          <w:rStyle w:val="Heading10"/>
          <w:b w:val="0"/>
          <w:bCs/>
          <w:color w:val="auto"/>
        </w:rPr>
      </w:pPr>
      <w:r w:rsidRPr="009E34A6">
        <w:rPr>
          <w:rStyle w:val="Heading10"/>
          <w:rFonts w:cs="Arial"/>
          <w:b w:val="0"/>
          <w:bCs/>
          <w:color w:val="auto"/>
          <w:szCs w:val="24"/>
        </w:rPr>
        <w:t>Severn Trent have identified that network improvements to accommodate surface water is likely to be required.</w:t>
      </w:r>
    </w:p>
    <w:p w14:paraId="0F94DBC0" w14:textId="77777777" w:rsidR="00B84A30" w:rsidRPr="00B84A30" w:rsidRDefault="00B84A30" w:rsidP="00B84A30">
      <w:pPr>
        <w:pStyle w:val="ListParagraph"/>
        <w:rPr>
          <w:rStyle w:val="Heading10"/>
          <w:b w:val="0"/>
          <w:bCs/>
          <w:color w:val="4472C4" w:themeColor="accent1"/>
        </w:rPr>
      </w:pPr>
    </w:p>
    <w:p w14:paraId="2487FA2A" w14:textId="5C18D6F1" w:rsidR="00B84A30" w:rsidRPr="003F5C36" w:rsidRDefault="00333A85" w:rsidP="00874A98">
      <w:pPr>
        <w:pStyle w:val="ListParagraph"/>
        <w:numPr>
          <w:ilvl w:val="1"/>
          <w:numId w:val="92"/>
        </w:numPr>
        <w:ind w:left="851" w:hanging="851"/>
        <w:rPr>
          <w:rStyle w:val="Heading10"/>
          <w:b w:val="0"/>
          <w:bCs/>
          <w:color w:val="0070C0"/>
        </w:rPr>
      </w:pPr>
      <w:r w:rsidRPr="00333A85">
        <w:rPr>
          <w:rStyle w:val="Heading10"/>
          <w:color w:val="auto"/>
        </w:rPr>
        <w:t>Site H1Sag: Quantum Clothing Site, North Stre</w:t>
      </w:r>
      <w:r w:rsidR="00B02175">
        <w:rPr>
          <w:rStyle w:val="Heading10"/>
          <w:color w:val="auto"/>
        </w:rPr>
        <w:t>e</w:t>
      </w:r>
      <w:r w:rsidRPr="00333A85">
        <w:rPr>
          <w:rStyle w:val="Heading10"/>
          <w:color w:val="auto"/>
        </w:rPr>
        <w:t>t, Huthwaite.</w:t>
      </w:r>
      <w:r w:rsidRPr="00333A85">
        <w:rPr>
          <w:rStyle w:val="Heading10"/>
          <w:b w:val="0"/>
          <w:bCs/>
          <w:color w:val="auto"/>
        </w:rPr>
        <w:t xml:space="preserve"> This brownfield site has been identified through the Brownfield register (BFR14) and is located within the Main Urban Area. The former textiles factory has been demolished and </w:t>
      </w:r>
      <w:r w:rsidRPr="00E0701B">
        <w:rPr>
          <w:rStyle w:val="Heading10"/>
          <w:b w:val="0"/>
          <w:bCs/>
          <w:strike/>
          <w:color w:val="auto"/>
        </w:rPr>
        <w:t xml:space="preserve">there is a current planning application for </w:t>
      </w:r>
      <w:r w:rsidRPr="003F5C36">
        <w:rPr>
          <w:rStyle w:val="Heading10"/>
          <w:b w:val="0"/>
          <w:bCs/>
          <w:strike/>
          <w:color w:val="auto"/>
        </w:rPr>
        <w:t>residential development pending</w:t>
      </w:r>
      <w:r w:rsidRPr="003F5C36">
        <w:rPr>
          <w:rStyle w:val="Heading10"/>
          <w:b w:val="0"/>
          <w:bCs/>
          <w:color w:val="auto"/>
        </w:rPr>
        <w:t>.</w:t>
      </w:r>
      <w:r w:rsidR="00E0701B" w:rsidRPr="003F5C36">
        <w:rPr>
          <w:rStyle w:val="Heading10"/>
          <w:b w:val="0"/>
          <w:bCs/>
          <w:color w:val="auto"/>
        </w:rPr>
        <w:t xml:space="preserve"> </w:t>
      </w:r>
      <w:r w:rsidR="00E0701B" w:rsidRPr="003F5C36">
        <w:rPr>
          <w:rStyle w:val="Heading10"/>
          <w:b w:val="0"/>
          <w:bCs/>
          <w:color w:val="0070C0"/>
        </w:rPr>
        <w:t>and the site has Full planning permission to deliver 61 homes.</w:t>
      </w:r>
    </w:p>
    <w:p w14:paraId="009C504C" w14:textId="77777777" w:rsidR="00B84A30" w:rsidRPr="00333A85" w:rsidRDefault="00B84A30" w:rsidP="00B84A30">
      <w:pPr>
        <w:pStyle w:val="ListParagraph"/>
        <w:rPr>
          <w:rStyle w:val="Heading10"/>
          <w:b w:val="0"/>
          <w:bCs/>
          <w:color w:val="auto"/>
          <w:highlight w:val="yellow"/>
        </w:rPr>
      </w:pPr>
    </w:p>
    <w:p w14:paraId="7772D5B6" w14:textId="4CCAE365" w:rsidR="00D801F2" w:rsidRPr="00D801F2" w:rsidRDefault="00333A85">
      <w:pPr>
        <w:pStyle w:val="ListParagraph"/>
        <w:numPr>
          <w:ilvl w:val="1"/>
          <w:numId w:val="92"/>
        </w:numPr>
        <w:autoSpaceDE w:val="0"/>
        <w:autoSpaceDN w:val="0"/>
        <w:adjustRightInd w:val="0"/>
        <w:ind w:left="851" w:hanging="851"/>
        <w:rPr>
          <w:rStyle w:val="Heading10"/>
          <w:b w:val="0"/>
          <w:bCs/>
          <w:color w:val="auto"/>
        </w:rPr>
      </w:pPr>
      <w:r w:rsidRPr="00D801F2">
        <w:rPr>
          <w:rStyle w:val="Heading10"/>
          <w:color w:val="auto"/>
        </w:rPr>
        <w:t xml:space="preserve">Site H1Sah: Land adjacent to 208 Mansfield Road, Sutton. </w:t>
      </w:r>
      <w:r w:rsidRPr="00D801F2">
        <w:rPr>
          <w:rStyle w:val="Heading10"/>
          <w:b w:val="0"/>
          <w:bCs/>
          <w:color w:val="auto"/>
        </w:rPr>
        <w:t>This brownfield site has been identified through the Brownfield register (BFR14) and is located within the Main Urban Area. The former textiles factory has been demolished and there is a current planning application for residential development pending.</w:t>
      </w:r>
    </w:p>
    <w:p w14:paraId="3F2FF8D4" w14:textId="7B351AB8" w:rsidR="00D801F2" w:rsidRPr="001D4C46" w:rsidRDefault="00D801F2" w:rsidP="00F2342B">
      <w:pPr>
        <w:autoSpaceDE w:val="0"/>
        <w:autoSpaceDN w:val="0"/>
        <w:adjustRightInd w:val="0"/>
        <w:spacing w:after="200" w:line="276" w:lineRule="auto"/>
        <w:ind w:left="851"/>
        <w:contextualSpacing/>
        <w:rPr>
          <w:rFonts w:eastAsia="Arial"/>
          <w:bCs/>
          <w:color w:val="0070C0"/>
        </w:rPr>
      </w:pPr>
      <w:r w:rsidRPr="001D4C46">
        <w:rPr>
          <w:rFonts w:eastAsia="Arial"/>
          <w:b/>
          <w:color w:val="0070C0"/>
        </w:rPr>
        <w:t>Site H1Saj:</w:t>
      </w:r>
      <w:r w:rsidRPr="001D4C46">
        <w:t xml:space="preserve"> </w:t>
      </w:r>
      <w:r w:rsidRPr="001D4C46">
        <w:rPr>
          <w:rFonts w:eastAsia="Arial"/>
          <w:b/>
          <w:color w:val="0070C0"/>
        </w:rPr>
        <w:t xml:space="preserve">Land Between Redcliffe Street &amp; Leyton Avenue, Sutton. </w:t>
      </w:r>
      <w:r w:rsidRPr="001D4C46">
        <w:rPr>
          <w:rFonts w:eastAsia="Arial"/>
          <w:bCs/>
          <w:color w:val="0070C0"/>
        </w:rPr>
        <w:t xml:space="preserve">This brownfield site is located within the Main Urban Area. It is predominantly currently occupied by commercial buildings and is enclosed on all sides by existing residential development. </w:t>
      </w:r>
      <w:bookmarkStart w:id="222" w:name="_Hlk189668161"/>
      <w:r w:rsidRPr="001D4C46">
        <w:rPr>
          <w:rFonts w:eastAsia="Arial"/>
          <w:bCs/>
          <w:color w:val="0070C0"/>
        </w:rPr>
        <w:t xml:space="preserve">The site has </w:t>
      </w:r>
      <w:bookmarkEnd w:id="222"/>
      <w:r w:rsidRPr="001D4C46">
        <w:rPr>
          <w:rFonts w:eastAsia="Arial"/>
          <w:bCs/>
          <w:color w:val="0070C0"/>
        </w:rPr>
        <w:t>Outline planning permission to deliver 18 homes</w:t>
      </w:r>
    </w:p>
    <w:p w14:paraId="0C96BC5C" w14:textId="77777777" w:rsidR="00D801F2" w:rsidRPr="001D4C46" w:rsidRDefault="00D801F2" w:rsidP="00D801F2">
      <w:pPr>
        <w:autoSpaceDE w:val="0"/>
        <w:autoSpaceDN w:val="0"/>
        <w:adjustRightInd w:val="0"/>
        <w:spacing w:after="200" w:line="276" w:lineRule="auto"/>
        <w:contextualSpacing/>
        <w:rPr>
          <w:rFonts w:eastAsia="Arial"/>
          <w:bCs/>
          <w:color w:val="0070C0"/>
        </w:rPr>
      </w:pPr>
    </w:p>
    <w:p w14:paraId="2E69AD44" w14:textId="77777777" w:rsidR="00D801F2" w:rsidRPr="001D4C46" w:rsidRDefault="00D801F2" w:rsidP="00F2342B">
      <w:pPr>
        <w:autoSpaceDE w:val="0"/>
        <w:autoSpaceDN w:val="0"/>
        <w:adjustRightInd w:val="0"/>
        <w:spacing w:after="200" w:line="276" w:lineRule="auto"/>
        <w:ind w:left="851"/>
        <w:contextualSpacing/>
        <w:rPr>
          <w:rFonts w:eastAsia="Arial"/>
          <w:bCs/>
          <w:color w:val="0070C0"/>
        </w:rPr>
      </w:pPr>
      <w:r w:rsidRPr="001D4C46">
        <w:rPr>
          <w:rFonts w:eastAsia="Arial"/>
          <w:b/>
          <w:color w:val="0070C0"/>
        </w:rPr>
        <w:t>Site H1Sak:</w:t>
      </w:r>
      <w:r w:rsidRPr="001D4C46">
        <w:t xml:space="preserve"> </w:t>
      </w:r>
      <w:r w:rsidRPr="001D4C46">
        <w:rPr>
          <w:rFonts w:eastAsia="Arial"/>
          <w:b/>
          <w:color w:val="0070C0"/>
        </w:rPr>
        <w:t xml:space="preserve">Rookery Lane, Sutton. </w:t>
      </w:r>
      <w:r w:rsidRPr="001D4C46">
        <w:rPr>
          <w:rFonts w:eastAsia="Arial"/>
          <w:bCs/>
          <w:color w:val="0070C0"/>
        </w:rPr>
        <w:t xml:space="preserve">This greenfield site </w:t>
      </w:r>
      <w:r w:rsidRPr="001D4C46">
        <w:rPr>
          <w:rFonts w:eastAsia="Arial" w:cs="Arial"/>
          <w:bCs/>
          <w:color w:val="0070C0"/>
          <w:szCs w:val="24"/>
        </w:rPr>
        <w:t>has been assessed as available, potentially suitable, and potentially achievable in the SHELAA (ref.SA092). It is located within the Main Urban Area and will form Phase 2 of the adjacent residential development H1Sx.</w:t>
      </w:r>
      <w:r w:rsidRPr="001D4C46">
        <w:rPr>
          <w:rFonts w:eastAsia="Arial"/>
          <w:bCs/>
          <w:color w:val="0070C0"/>
        </w:rPr>
        <w:t xml:space="preserve"> The site has a resolution to grant planning permission for residential development, subject to the signing of a Section 106 legal agreement for developer contributions (V/2022/0612).</w:t>
      </w:r>
    </w:p>
    <w:p w14:paraId="2728D1C9" w14:textId="77777777" w:rsidR="00D801F2" w:rsidRPr="001D4C46" w:rsidRDefault="00D801F2" w:rsidP="00D801F2">
      <w:pPr>
        <w:ind w:left="720"/>
        <w:contextualSpacing/>
        <w:rPr>
          <w:rFonts w:eastAsia="Arial"/>
          <w:bCs/>
          <w:color w:val="0070C0"/>
        </w:rPr>
      </w:pPr>
    </w:p>
    <w:p w14:paraId="121EBFDD" w14:textId="6ED932EB" w:rsidR="00D801F2" w:rsidRPr="00131B72" w:rsidRDefault="00D801F2" w:rsidP="00131B72">
      <w:pPr>
        <w:autoSpaceDE w:val="0"/>
        <w:autoSpaceDN w:val="0"/>
        <w:adjustRightInd w:val="0"/>
        <w:spacing w:before="100" w:beforeAutospacing="1"/>
        <w:ind w:left="851"/>
        <w:contextualSpacing/>
        <w:rPr>
          <w:rFonts w:eastAsia="Arial"/>
          <w:b/>
          <w:color w:val="0070C0"/>
        </w:rPr>
      </w:pPr>
      <w:r w:rsidRPr="001D4C46">
        <w:rPr>
          <w:rFonts w:eastAsia="Arial"/>
          <w:b/>
          <w:color w:val="0070C0"/>
        </w:rPr>
        <w:t>Site H1Sam:</w:t>
      </w:r>
      <w:r w:rsidRPr="001D4C46">
        <w:t xml:space="preserve"> </w:t>
      </w:r>
      <w:r w:rsidRPr="001D4C46">
        <w:rPr>
          <w:rFonts w:eastAsia="Arial"/>
          <w:b/>
          <w:color w:val="0070C0"/>
        </w:rPr>
        <w:t>Beck Lane South, Skegby.</w:t>
      </w:r>
      <w:r w:rsidRPr="001D4C46">
        <w:rPr>
          <w:rFonts w:eastAsia="Arial"/>
          <w:bCs/>
        </w:rPr>
        <w:t xml:space="preserve"> </w:t>
      </w:r>
      <w:r w:rsidRPr="001D4C46">
        <w:rPr>
          <w:rFonts w:eastAsia="Arial"/>
          <w:bCs/>
          <w:color w:val="0070C0"/>
        </w:rPr>
        <w:t xml:space="preserve">This greenfield site </w:t>
      </w:r>
      <w:r w:rsidRPr="001D4C46">
        <w:rPr>
          <w:rFonts w:eastAsia="Arial" w:cs="Arial"/>
          <w:bCs/>
          <w:color w:val="0070C0"/>
          <w:szCs w:val="24"/>
        </w:rPr>
        <w:t xml:space="preserve">has been assessed as available, potentially suitable, and achievable in the SHELAA (ref.SA008). It </w:t>
      </w:r>
      <w:r w:rsidRPr="001D4C46">
        <w:rPr>
          <w:rFonts w:eastAsia="Arial"/>
          <w:bCs/>
          <w:color w:val="0070C0"/>
        </w:rPr>
        <w:t>is located adjacent to the existing urban area of Skegby, directly south of site allocation H1Saa which is currently being developed for new homes. The smaller site allocation H1Sf abuts this site to the south-east.</w:t>
      </w:r>
      <w:r w:rsidR="00131B72">
        <w:rPr>
          <w:rFonts w:eastAsia="Arial"/>
          <w:b/>
          <w:color w:val="0070C0"/>
        </w:rPr>
        <w:t xml:space="preserve"> </w:t>
      </w:r>
      <w:r w:rsidRPr="001D4C46">
        <w:rPr>
          <w:rFonts w:eastAsia="Arial"/>
          <w:color w:val="0070C0"/>
        </w:rPr>
        <w:t>There are access constraints which will need to be resolved.</w:t>
      </w:r>
      <w:r w:rsidRPr="001D4C46">
        <w:t xml:space="preserve"> </w:t>
      </w:r>
      <w:r w:rsidRPr="001D4C46">
        <w:rPr>
          <w:rFonts w:eastAsia="Arial"/>
          <w:bCs/>
          <w:color w:val="0070C0"/>
        </w:rPr>
        <w:t>Direct access from Beck Lane will not be supported by Nottinghamshire County Council Highways authority and opportunities should be taken to develop the land comprehensively with the adjacent site(s).</w:t>
      </w:r>
      <w:r w:rsidR="00131B72">
        <w:rPr>
          <w:rFonts w:eastAsia="Arial"/>
          <w:b/>
          <w:color w:val="0070C0"/>
        </w:rPr>
        <w:t xml:space="preserve"> </w:t>
      </w:r>
      <w:r w:rsidRPr="001D4C46">
        <w:rPr>
          <w:rFonts w:eastAsia="Arial"/>
          <w:bCs/>
          <w:color w:val="0070C0"/>
        </w:rPr>
        <w:t>Severn Trent have identified that network improvements to accommodate surface water is likely to be required.</w:t>
      </w:r>
    </w:p>
    <w:p w14:paraId="5975E528" w14:textId="77777777" w:rsidR="00383073" w:rsidRDefault="00383073" w:rsidP="00F2342B">
      <w:pPr>
        <w:autoSpaceDE w:val="0"/>
        <w:autoSpaceDN w:val="0"/>
        <w:adjustRightInd w:val="0"/>
        <w:ind w:left="851"/>
        <w:contextualSpacing/>
        <w:rPr>
          <w:rFonts w:eastAsia="Arial"/>
          <w:b/>
          <w:color w:val="0070C0"/>
        </w:rPr>
      </w:pPr>
    </w:p>
    <w:p w14:paraId="397FA609" w14:textId="67419173" w:rsidR="00D801F2" w:rsidRPr="001D4C46" w:rsidRDefault="00D801F2" w:rsidP="00F2342B">
      <w:pPr>
        <w:autoSpaceDE w:val="0"/>
        <w:autoSpaceDN w:val="0"/>
        <w:adjustRightInd w:val="0"/>
        <w:ind w:left="851"/>
        <w:contextualSpacing/>
        <w:rPr>
          <w:rFonts w:eastAsia="Arial"/>
          <w:bCs/>
          <w:color w:val="0070C0"/>
        </w:rPr>
      </w:pPr>
      <w:r w:rsidRPr="001D4C46">
        <w:rPr>
          <w:rFonts w:eastAsia="Arial"/>
          <w:b/>
          <w:color w:val="0070C0"/>
        </w:rPr>
        <w:t xml:space="preserve">Site H1San: Radford's Farm, </w:t>
      </w:r>
      <w:proofErr w:type="spellStart"/>
      <w:r w:rsidRPr="001D4C46">
        <w:rPr>
          <w:rFonts w:eastAsia="Arial"/>
          <w:b/>
          <w:color w:val="0070C0"/>
        </w:rPr>
        <w:t>Dawgates</w:t>
      </w:r>
      <w:proofErr w:type="spellEnd"/>
      <w:r w:rsidRPr="001D4C46">
        <w:rPr>
          <w:rFonts w:eastAsia="Arial"/>
          <w:b/>
          <w:color w:val="0070C0"/>
        </w:rPr>
        <w:t xml:space="preserve"> Lane, Skegby. </w:t>
      </w:r>
      <w:r w:rsidRPr="001D4C46">
        <w:rPr>
          <w:rFonts w:eastAsia="Arial"/>
          <w:color w:val="0070C0"/>
        </w:rPr>
        <w:t>This greenfield site is located north of Skegby and has a resolution to grant Outline planning permission for residential development, subject to the signing of a Section 106 legal agreement for developer contributions (V/2024/0489).</w:t>
      </w:r>
    </w:p>
    <w:p w14:paraId="06C79BEB" w14:textId="77777777" w:rsidR="00715560" w:rsidRPr="00D801F2" w:rsidRDefault="00715560" w:rsidP="00D801F2">
      <w:pPr>
        <w:autoSpaceDE w:val="0"/>
        <w:autoSpaceDN w:val="0"/>
        <w:adjustRightInd w:val="0"/>
        <w:rPr>
          <w:rStyle w:val="Heading10"/>
          <w:b w:val="0"/>
          <w:bCs/>
          <w:color w:val="4472C4" w:themeColor="accent1"/>
        </w:rPr>
      </w:pPr>
    </w:p>
    <w:p w14:paraId="4864EFA2" w14:textId="1FFBB431" w:rsidR="00715560" w:rsidRPr="00F2342B" w:rsidRDefault="00760BD2" w:rsidP="00874A98">
      <w:pPr>
        <w:pStyle w:val="ListParagraph"/>
        <w:numPr>
          <w:ilvl w:val="1"/>
          <w:numId w:val="92"/>
        </w:numPr>
        <w:autoSpaceDE w:val="0"/>
        <w:autoSpaceDN w:val="0"/>
        <w:adjustRightInd w:val="0"/>
        <w:spacing w:after="0" w:line="240" w:lineRule="auto"/>
        <w:ind w:left="851" w:hanging="851"/>
        <w:rPr>
          <w:rFonts w:eastAsia="Arial" w:cs="Arial"/>
          <w:bCs/>
          <w:iCs/>
          <w:color w:val="auto"/>
          <w:szCs w:val="24"/>
        </w:rPr>
      </w:pPr>
      <w:bookmarkStart w:id="223" w:name="_Hlk129862958"/>
      <w:r w:rsidRPr="00F2342B">
        <w:rPr>
          <w:rStyle w:val="Normal1"/>
          <w:rFonts w:cs="Arial"/>
          <w:iCs/>
          <w:color w:val="auto"/>
          <w:szCs w:val="24"/>
        </w:rPr>
        <w:t>The remaining Sutton area housing allocations</w:t>
      </w:r>
      <w:r w:rsidRPr="00F2342B">
        <w:rPr>
          <w:rStyle w:val="Heading10"/>
          <w:bCs/>
          <w:color w:val="auto"/>
        </w:rPr>
        <w:t xml:space="preserve"> </w:t>
      </w:r>
      <w:r w:rsidR="00715560" w:rsidRPr="00F2342B">
        <w:rPr>
          <w:rStyle w:val="Heading10"/>
          <w:bCs/>
          <w:color w:val="auto"/>
        </w:rPr>
        <w:t>Sites H1S</w:t>
      </w:r>
      <w:r w:rsidRPr="00F2342B">
        <w:rPr>
          <w:rStyle w:val="Heading10"/>
          <w:bCs/>
          <w:color w:val="auto"/>
        </w:rPr>
        <w:t xml:space="preserve">a, H1Sc, </w:t>
      </w:r>
      <w:r w:rsidR="004B29B4" w:rsidRPr="00F2342B">
        <w:rPr>
          <w:rStyle w:val="Heading10"/>
          <w:bCs/>
          <w:color w:val="0070C0"/>
        </w:rPr>
        <w:t>H1Sf</w:t>
      </w:r>
      <w:r w:rsidR="004B29B4" w:rsidRPr="00F2342B">
        <w:rPr>
          <w:rStyle w:val="Heading10"/>
          <w:bCs/>
          <w:color w:val="auto"/>
        </w:rPr>
        <w:t xml:space="preserve">, H1Sg, </w:t>
      </w:r>
      <w:r w:rsidR="00D801F2" w:rsidRPr="00F2342B">
        <w:rPr>
          <w:rStyle w:val="Heading10"/>
          <w:bCs/>
          <w:color w:val="0070C0"/>
        </w:rPr>
        <w:t xml:space="preserve">H1Sl, H1Sm, H1Sq, </w:t>
      </w:r>
      <w:r w:rsidRPr="00F2342B">
        <w:rPr>
          <w:rStyle w:val="Heading10"/>
          <w:bCs/>
          <w:color w:val="auto"/>
        </w:rPr>
        <w:t xml:space="preserve">H1Sr, </w:t>
      </w:r>
      <w:r w:rsidR="00D801F2" w:rsidRPr="00F2342B">
        <w:rPr>
          <w:rStyle w:val="Heading10"/>
          <w:bCs/>
          <w:color w:val="0070C0"/>
        </w:rPr>
        <w:t>H1Ss,</w:t>
      </w:r>
      <w:r w:rsidR="00D801F2" w:rsidRPr="00F2342B">
        <w:rPr>
          <w:rStyle w:val="Heading10"/>
          <w:bCs/>
          <w:color w:val="auto"/>
        </w:rPr>
        <w:t xml:space="preserve"> </w:t>
      </w:r>
      <w:r w:rsidRPr="00F2342B">
        <w:rPr>
          <w:rStyle w:val="Heading10"/>
          <w:bCs/>
          <w:strike/>
          <w:color w:val="auto"/>
        </w:rPr>
        <w:t>and</w:t>
      </w:r>
      <w:r w:rsidRPr="00F2342B">
        <w:rPr>
          <w:rStyle w:val="Heading10"/>
          <w:bCs/>
          <w:color w:val="auto"/>
        </w:rPr>
        <w:t xml:space="preserve"> H1Sw</w:t>
      </w:r>
      <w:r w:rsidR="00715560" w:rsidRPr="00F2342B">
        <w:rPr>
          <w:rStyle w:val="Heading10"/>
          <w:bCs/>
          <w:color w:val="auto"/>
        </w:rPr>
        <w:t xml:space="preserve"> to</w:t>
      </w:r>
      <w:r w:rsidR="004B29B4" w:rsidRPr="00F2342B">
        <w:rPr>
          <w:rStyle w:val="Heading10"/>
          <w:bCs/>
          <w:color w:val="auto"/>
        </w:rPr>
        <w:t xml:space="preserve"> </w:t>
      </w:r>
      <w:r w:rsidR="004B29B4" w:rsidRPr="00F2342B">
        <w:rPr>
          <w:rStyle w:val="Heading10"/>
          <w:bCs/>
          <w:color w:val="0070C0"/>
        </w:rPr>
        <w:t>H1Sag</w:t>
      </w:r>
      <w:r w:rsidR="00715560" w:rsidRPr="00F2342B">
        <w:rPr>
          <w:rStyle w:val="Heading10"/>
          <w:bCs/>
          <w:color w:val="auto"/>
        </w:rPr>
        <w:t xml:space="preserve"> </w:t>
      </w:r>
      <w:r w:rsidR="00715560" w:rsidRPr="00F2342B">
        <w:rPr>
          <w:rStyle w:val="Heading10"/>
          <w:bCs/>
          <w:strike/>
          <w:color w:val="auto"/>
        </w:rPr>
        <w:t>H1Sa</w:t>
      </w:r>
      <w:r w:rsidRPr="00F2342B">
        <w:rPr>
          <w:rStyle w:val="Heading10"/>
          <w:bCs/>
          <w:strike/>
          <w:color w:val="auto"/>
        </w:rPr>
        <w:t>f</w:t>
      </w:r>
      <w:r w:rsidR="00715560" w:rsidRPr="00F2342B">
        <w:rPr>
          <w:rStyle w:val="Heading10"/>
          <w:bCs/>
          <w:strike/>
          <w:color w:val="auto"/>
        </w:rPr>
        <w:t xml:space="preserve"> inclusive</w:t>
      </w:r>
      <w:r w:rsidR="00D801F2" w:rsidRPr="00F2342B">
        <w:rPr>
          <w:rStyle w:val="Heading10"/>
          <w:bCs/>
          <w:strike/>
          <w:color w:val="auto"/>
        </w:rPr>
        <w:t xml:space="preserve">, </w:t>
      </w:r>
      <w:r w:rsidR="00D801F2" w:rsidRPr="00F2342B">
        <w:rPr>
          <w:rStyle w:val="Heading10"/>
          <w:bCs/>
          <w:color w:val="0070C0"/>
        </w:rPr>
        <w:t>H1Sai, H1Saj,</w:t>
      </w:r>
      <w:r w:rsidR="004B29B4" w:rsidRPr="00F2342B">
        <w:rPr>
          <w:rStyle w:val="Heading10"/>
          <w:bCs/>
          <w:color w:val="0070C0"/>
        </w:rPr>
        <w:t xml:space="preserve"> H1Sak</w:t>
      </w:r>
      <w:r w:rsidR="00D801F2" w:rsidRPr="00F2342B">
        <w:rPr>
          <w:rStyle w:val="Heading10"/>
          <w:bCs/>
          <w:color w:val="0070C0"/>
        </w:rPr>
        <w:t xml:space="preserve"> H1Sal and H1Sam</w:t>
      </w:r>
      <w:r w:rsidR="00715560" w:rsidRPr="00F2342B">
        <w:rPr>
          <w:rStyle w:val="Heading10"/>
          <w:b w:val="0"/>
          <w:color w:val="auto"/>
        </w:rPr>
        <w:t xml:space="preserve"> all have the benefit of planning permission </w:t>
      </w:r>
      <w:r w:rsidR="00715560" w:rsidRPr="00693DAB">
        <w:rPr>
          <w:rStyle w:val="Heading10"/>
          <w:b w:val="0"/>
          <w:strike/>
          <w:color w:val="auto"/>
        </w:rPr>
        <w:t>at the</w:t>
      </w:r>
      <w:r w:rsidR="00715560" w:rsidRPr="00693DAB">
        <w:rPr>
          <w:rStyle w:val="Heading10"/>
          <w:bCs/>
          <w:strike/>
          <w:color w:val="auto"/>
        </w:rPr>
        <w:t xml:space="preserve"> </w:t>
      </w:r>
      <w:r w:rsidR="00715560" w:rsidRPr="00693DAB">
        <w:rPr>
          <w:rStyle w:val="Heading10"/>
          <w:b w:val="0"/>
          <w:strike/>
          <w:color w:val="auto"/>
        </w:rPr>
        <w:t>time of</w:t>
      </w:r>
      <w:r w:rsidR="00715560" w:rsidRPr="00693DAB">
        <w:rPr>
          <w:rStyle w:val="Normal1"/>
          <w:rFonts w:cs="Arial"/>
          <w:bCs/>
          <w:strike/>
          <w:color w:val="auto"/>
          <w:szCs w:val="24"/>
        </w:rPr>
        <w:t xml:space="preserve"> writing</w:t>
      </w:r>
      <w:r w:rsidR="00693DAB">
        <w:rPr>
          <w:rStyle w:val="Normal1"/>
          <w:rFonts w:cs="Arial"/>
          <w:bCs/>
          <w:strike/>
          <w:color w:val="auto"/>
          <w:szCs w:val="24"/>
        </w:rPr>
        <w:t xml:space="preserve"> </w:t>
      </w:r>
      <w:r w:rsidR="00693DAB" w:rsidRPr="00701F6B">
        <w:rPr>
          <w:rStyle w:val="Normal1"/>
          <w:rFonts w:cs="Arial"/>
          <w:bCs/>
          <w:color w:val="0070C0"/>
          <w:szCs w:val="24"/>
        </w:rPr>
        <w:t xml:space="preserve">as </w:t>
      </w:r>
      <w:proofErr w:type="gramStart"/>
      <w:r w:rsidR="00693DAB" w:rsidRPr="00701F6B">
        <w:rPr>
          <w:rStyle w:val="Normal1"/>
          <w:rFonts w:cs="Arial"/>
          <w:bCs/>
          <w:color w:val="0070C0"/>
          <w:szCs w:val="24"/>
        </w:rPr>
        <w:t>at</w:t>
      </w:r>
      <w:proofErr w:type="gramEnd"/>
      <w:r w:rsidR="00693DAB" w:rsidRPr="00701F6B">
        <w:rPr>
          <w:rStyle w:val="Normal1"/>
          <w:rFonts w:cs="Arial"/>
          <w:bCs/>
          <w:color w:val="0070C0"/>
          <w:szCs w:val="24"/>
        </w:rPr>
        <w:t xml:space="preserve"> </w:t>
      </w:r>
      <w:r w:rsidR="00701F6B" w:rsidRPr="00701F6B">
        <w:rPr>
          <w:rStyle w:val="Normal1"/>
          <w:rFonts w:cs="Arial"/>
          <w:bCs/>
          <w:color w:val="0070C0"/>
          <w:szCs w:val="24"/>
        </w:rPr>
        <w:t>October 2025</w:t>
      </w:r>
      <w:r w:rsidR="00715560" w:rsidRPr="00F2342B">
        <w:rPr>
          <w:rStyle w:val="Normal1"/>
          <w:rFonts w:cs="Arial"/>
          <w:bCs/>
          <w:color w:val="auto"/>
          <w:szCs w:val="24"/>
        </w:rPr>
        <w:t xml:space="preserve">. Further details on these sites can be found </w:t>
      </w:r>
      <w:r w:rsidR="00715560" w:rsidRPr="00F2342B">
        <w:rPr>
          <w:rStyle w:val="Normal1"/>
          <w:rFonts w:cs="Arial"/>
          <w:bCs/>
          <w:color w:val="auto"/>
          <w:szCs w:val="24"/>
        </w:rPr>
        <w:lastRenderedPageBreak/>
        <w:t xml:space="preserve">in the Housing Trajectory in Appendix 2 which gives information on the type of permission, application reference and estimated delivery timescales. </w:t>
      </w:r>
    </w:p>
    <w:bookmarkEnd w:id="223"/>
    <w:p w14:paraId="634A07C5" w14:textId="77777777" w:rsidR="00715560" w:rsidRPr="009E34A6" w:rsidRDefault="00715560" w:rsidP="00715560">
      <w:pPr>
        <w:rPr>
          <w:rFonts w:eastAsia="Calibri" w:cs="Arial"/>
          <w:b/>
          <w:color w:val="auto"/>
          <w:szCs w:val="24"/>
        </w:rPr>
      </w:pPr>
    </w:p>
    <w:p w14:paraId="27C83C66" w14:textId="77777777" w:rsidR="00715560" w:rsidRPr="009E34A6" w:rsidRDefault="00715560" w:rsidP="00715560">
      <w:pPr>
        <w:rPr>
          <w:rFonts w:eastAsia="Calibri" w:cs="Arial"/>
          <w:b/>
          <w:bCs/>
          <w:color w:val="auto"/>
          <w:szCs w:val="24"/>
          <w:u w:val="single"/>
        </w:rPr>
      </w:pPr>
      <w:proofErr w:type="spellStart"/>
      <w:r w:rsidRPr="009E34A6">
        <w:rPr>
          <w:rFonts w:eastAsia="Calibri" w:cs="Arial"/>
          <w:b/>
          <w:bCs/>
          <w:color w:val="auto"/>
          <w:szCs w:val="24"/>
          <w:u w:val="single"/>
        </w:rPr>
        <w:t>Selston</w:t>
      </w:r>
      <w:proofErr w:type="spellEnd"/>
      <w:r w:rsidRPr="009E34A6">
        <w:rPr>
          <w:rFonts w:eastAsia="Calibri" w:cs="Arial"/>
          <w:b/>
          <w:bCs/>
          <w:color w:val="auto"/>
          <w:szCs w:val="24"/>
          <w:u w:val="single"/>
        </w:rPr>
        <w:t xml:space="preserve">, </w:t>
      </w:r>
      <w:proofErr w:type="spellStart"/>
      <w:r w:rsidRPr="009E34A6">
        <w:rPr>
          <w:rFonts w:eastAsia="Calibri" w:cs="Arial"/>
          <w:b/>
          <w:bCs/>
          <w:color w:val="auto"/>
          <w:szCs w:val="24"/>
          <w:u w:val="single"/>
        </w:rPr>
        <w:t>Jacksdale</w:t>
      </w:r>
      <w:proofErr w:type="spellEnd"/>
      <w:r w:rsidRPr="009E34A6">
        <w:rPr>
          <w:rFonts w:eastAsia="Calibri" w:cs="Arial"/>
          <w:b/>
          <w:bCs/>
          <w:color w:val="auto"/>
          <w:szCs w:val="24"/>
          <w:u w:val="single"/>
        </w:rPr>
        <w:t>, Underwood Area</w:t>
      </w:r>
    </w:p>
    <w:p w14:paraId="2BF12F73" w14:textId="77777777" w:rsidR="00882778" w:rsidRDefault="00882778" w:rsidP="00882778">
      <w:pPr>
        <w:autoSpaceDE w:val="0"/>
        <w:autoSpaceDN w:val="0"/>
        <w:adjustRightInd w:val="0"/>
        <w:rPr>
          <w:rFonts w:eastAsia="Arial" w:cs="Arial"/>
          <w:b/>
          <w:bCs/>
          <w:color w:val="FF0000"/>
          <w:szCs w:val="24"/>
        </w:rPr>
      </w:pPr>
    </w:p>
    <w:tbl>
      <w:tblPr>
        <w:tblStyle w:val="ReportTable1"/>
        <w:tblW w:w="9493" w:type="dxa"/>
        <w:tblLook w:val="04A0" w:firstRow="1" w:lastRow="0" w:firstColumn="1" w:lastColumn="0" w:noHBand="0" w:noVBand="1"/>
      </w:tblPr>
      <w:tblGrid>
        <w:gridCol w:w="2635"/>
        <w:gridCol w:w="6858"/>
      </w:tblGrid>
      <w:tr w:rsidR="00B2285E" w:rsidRPr="002936E5" w14:paraId="4F6F1AA6" w14:textId="77777777" w:rsidTr="00476E4D">
        <w:tc>
          <w:tcPr>
            <w:tcW w:w="9493" w:type="dxa"/>
            <w:gridSpan w:val="2"/>
          </w:tcPr>
          <w:p w14:paraId="0C55B78C" w14:textId="77777777" w:rsidR="00B2285E" w:rsidRPr="00B2285E" w:rsidRDefault="00B2285E">
            <w:pPr>
              <w:pStyle w:val="Heading"/>
              <w:spacing w:before="120" w:after="120"/>
              <w:rPr>
                <w:rStyle w:val="Heading10"/>
                <w:rFonts w:cs="Arial"/>
                <w:b/>
                <w:bCs/>
                <w:color w:val="0070C0"/>
                <w:szCs w:val="24"/>
              </w:rPr>
            </w:pPr>
            <w:r w:rsidRPr="00B2285E">
              <w:rPr>
                <w:rStyle w:val="Heading10"/>
                <w:rFonts w:cs="Arial"/>
                <w:b/>
                <w:bCs/>
                <w:color w:val="0070C0"/>
                <w:szCs w:val="24"/>
              </w:rPr>
              <w:t xml:space="preserve">Policy H1Va: Land at </w:t>
            </w:r>
            <w:proofErr w:type="spellStart"/>
            <w:r w:rsidRPr="00B2285E">
              <w:rPr>
                <w:rStyle w:val="Heading10"/>
                <w:rFonts w:cs="Arial"/>
                <w:b/>
                <w:bCs/>
                <w:color w:val="0070C0"/>
                <w:szCs w:val="24"/>
              </w:rPr>
              <w:t>Plainspot</w:t>
            </w:r>
            <w:proofErr w:type="spellEnd"/>
            <w:r w:rsidRPr="00B2285E">
              <w:rPr>
                <w:rStyle w:val="Heading10"/>
                <w:rFonts w:cs="Arial"/>
                <w:b/>
                <w:bCs/>
                <w:color w:val="0070C0"/>
                <w:szCs w:val="24"/>
              </w:rPr>
              <w:t xml:space="preserve"> Farm, New Brinsley, Underwood</w:t>
            </w:r>
          </w:p>
        </w:tc>
      </w:tr>
      <w:tr w:rsidR="00B2285E" w:rsidRPr="002936E5" w14:paraId="4F18D29D" w14:textId="77777777" w:rsidTr="00476E4D">
        <w:tc>
          <w:tcPr>
            <w:tcW w:w="2635" w:type="dxa"/>
          </w:tcPr>
          <w:p w14:paraId="745E3342" w14:textId="77777777" w:rsidR="00B2285E" w:rsidRPr="002936E5" w:rsidRDefault="00B2285E">
            <w:pPr>
              <w:pStyle w:val="Heading"/>
              <w:spacing w:before="40" w:after="40"/>
              <w:rPr>
                <w:rStyle w:val="Heading10"/>
                <w:rFonts w:cs="Arial"/>
                <w:b/>
                <w:color w:val="0070C0"/>
                <w:szCs w:val="24"/>
              </w:rPr>
            </w:pPr>
            <w:r w:rsidRPr="002936E5">
              <w:rPr>
                <w:rStyle w:val="Heading10"/>
                <w:rFonts w:cs="Arial"/>
                <w:color w:val="0070C0"/>
                <w:szCs w:val="24"/>
              </w:rPr>
              <w:t>Strategic Objectives</w:t>
            </w:r>
          </w:p>
        </w:tc>
        <w:tc>
          <w:tcPr>
            <w:tcW w:w="6858" w:type="dxa"/>
          </w:tcPr>
          <w:p w14:paraId="5CE16CD3" w14:textId="77777777" w:rsidR="00B2285E" w:rsidRPr="002936E5" w:rsidRDefault="00B2285E">
            <w:pPr>
              <w:pStyle w:val="Heading"/>
              <w:spacing w:before="40" w:after="40"/>
              <w:rPr>
                <w:rStyle w:val="Heading10"/>
                <w:rFonts w:cs="Arial"/>
                <w:b/>
                <w:color w:val="0070C0"/>
                <w:szCs w:val="24"/>
              </w:rPr>
            </w:pPr>
            <w:r w:rsidRPr="002936E5">
              <w:rPr>
                <w:rStyle w:val="Heading10"/>
                <w:rFonts w:cs="Arial"/>
                <w:color w:val="0070C0"/>
                <w:szCs w:val="24"/>
              </w:rPr>
              <w:t>SO3, SO5, SO11, SO12, SO13</w:t>
            </w:r>
          </w:p>
        </w:tc>
      </w:tr>
      <w:tr w:rsidR="00B2285E" w:rsidRPr="002936E5" w14:paraId="0636E322" w14:textId="77777777" w:rsidTr="00476E4D">
        <w:trPr>
          <w:trHeight w:val="1190"/>
        </w:trPr>
        <w:tc>
          <w:tcPr>
            <w:tcW w:w="9493" w:type="dxa"/>
            <w:gridSpan w:val="2"/>
            <w:shd w:val="clear" w:color="auto" w:fill="FFCC99"/>
          </w:tcPr>
          <w:p w14:paraId="0654A376" w14:textId="77777777" w:rsidR="00B2285E" w:rsidRPr="005F5AF9" w:rsidRDefault="00B2285E">
            <w:pPr>
              <w:pStyle w:val="Policy"/>
              <w:tabs>
                <w:tab w:val="clear" w:pos="680"/>
                <w:tab w:val="left" w:pos="306"/>
              </w:tabs>
              <w:spacing w:after="0" w:line="240" w:lineRule="auto"/>
              <w:ind w:left="306" w:right="284"/>
              <w:rPr>
                <w:rStyle w:val="Heading10"/>
                <w:rFonts w:cs="Arial"/>
                <w:color w:val="005CA9"/>
                <w:szCs w:val="24"/>
              </w:rPr>
            </w:pPr>
          </w:p>
          <w:p w14:paraId="780F91D9" w14:textId="77777777" w:rsidR="00B2285E" w:rsidRPr="005F5AF9" w:rsidRDefault="00B2285E">
            <w:pPr>
              <w:pStyle w:val="Policy"/>
              <w:tabs>
                <w:tab w:val="clear" w:pos="680"/>
                <w:tab w:val="left" w:pos="306"/>
              </w:tabs>
              <w:spacing w:after="0" w:line="240" w:lineRule="auto"/>
              <w:ind w:left="306" w:right="284"/>
              <w:rPr>
                <w:bCs/>
                <w:color w:val="005CA9"/>
              </w:rPr>
            </w:pPr>
            <w:r w:rsidRPr="005F5AF9">
              <w:rPr>
                <w:bCs/>
                <w:color w:val="005CA9"/>
                <w:sz w:val="24"/>
                <w:szCs w:val="24"/>
              </w:rPr>
              <w:t>Residential development to deliver approximately 42 dwellings will be permitted on site H1Va as shown on the Policies Map, subject to detailed planning consent. Any future development proposal will need to include the following specific requirements, in addition to satisfying other relevant Local Plan policies as applicable:</w:t>
            </w:r>
            <w:r w:rsidRPr="005F5AF9">
              <w:rPr>
                <w:bCs/>
                <w:color w:val="005CA9"/>
              </w:rPr>
              <w:t xml:space="preserve"> </w:t>
            </w:r>
          </w:p>
          <w:p w14:paraId="0B24D311" w14:textId="77777777" w:rsidR="00B2285E" w:rsidRPr="005F5AF9" w:rsidRDefault="00B2285E" w:rsidP="00B2285E">
            <w:pPr>
              <w:pStyle w:val="Policy"/>
              <w:tabs>
                <w:tab w:val="clear" w:pos="680"/>
              </w:tabs>
              <w:spacing w:after="0" w:line="240" w:lineRule="auto"/>
              <w:ind w:left="720" w:right="284"/>
              <w:rPr>
                <w:rStyle w:val="Heading10"/>
                <w:rFonts w:cs="Arial"/>
                <w:color w:val="005CA9"/>
                <w:szCs w:val="24"/>
              </w:rPr>
            </w:pPr>
          </w:p>
          <w:p w14:paraId="2B708E0D" w14:textId="5D1BB613" w:rsidR="00B2285E" w:rsidRPr="005F5AF9" w:rsidRDefault="00B2285E" w:rsidP="00B2285E">
            <w:pPr>
              <w:pStyle w:val="Policy"/>
              <w:numPr>
                <w:ilvl w:val="0"/>
                <w:numId w:val="351"/>
              </w:numPr>
              <w:tabs>
                <w:tab w:val="clear" w:pos="680"/>
              </w:tabs>
              <w:spacing w:after="0" w:line="240" w:lineRule="auto"/>
              <w:ind w:right="284"/>
              <w:rPr>
                <w:rStyle w:val="Heading10"/>
                <w:rFonts w:cs="Arial"/>
                <w:b w:val="0"/>
                <w:bCs/>
                <w:color w:val="005CA9"/>
                <w:szCs w:val="24"/>
              </w:rPr>
            </w:pPr>
            <w:r w:rsidRPr="005F5AF9">
              <w:rPr>
                <w:rStyle w:val="Heading10"/>
                <w:rFonts w:cs="Arial"/>
                <w:b w:val="0"/>
                <w:bCs/>
                <w:color w:val="005CA9"/>
                <w:szCs w:val="24"/>
              </w:rPr>
              <w:t>A landscape buffer to be r</w:t>
            </w:r>
            <w:r w:rsidRPr="005F5AF9">
              <w:rPr>
                <w:rStyle w:val="Heading10"/>
                <w:b w:val="0"/>
                <w:bCs/>
                <w:color w:val="005CA9"/>
                <w:szCs w:val="24"/>
              </w:rPr>
              <w:t>etained and enhanced</w:t>
            </w:r>
            <w:r w:rsidRPr="005F5AF9">
              <w:rPr>
                <w:rStyle w:val="Heading10"/>
                <w:rFonts w:cs="Arial"/>
                <w:b w:val="0"/>
                <w:bCs/>
                <w:color w:val="005CA9"/>
                <w:szCs w:val="24"/>
              </w:rPr>
              <w:t xml:space="preserve"> to the north and west of the site to mitigate harm to the Green Belt.</w:t>
            </w:r>
          </w:p>
          <w:p w14:paraId="180665C9" w14:textId="77777777" w:rsidR="00B2285E" w:rsidRPr="005F5AF9" w:rsidRDefault="00B2285E">
            <w:pPr>
              <w:pStyle w:val="Policy"/>
              <w:tabs>
                <w:tab w:val="clear" w:pos="680"/>
              </w:tabs>
              <w:spacing w:after="0" w:line="240" w:lineRule="auto"/>
              <w:ind w:left="720" w:right="284"/>
              <w:rPr>
                <w:rStyle w:val="Heading10"/>
                <w:rFonts w:cs="Arial"/>
                <w:b w:val="0"/>
                <w:bCs/>
                <w:color w:val="005CA9"/>
                <w:szCs w:val="24"/>
              </w:rPr>
            </w:pPr>
          </w:p>
          <w:p w14:paraId="487B9A6C" w14:textId="77777777" w:rsidR="00B2285E" w:rsidRPr="005F5AF9" w:rsidRDefault="00B2285E" w:rsidP="00B2285E">
            <w:pPr>
              <w:pStyle w:val="Policy"/>
              <w:numPr>
                <w:ilvl w:val="0"/>
                <w:numId w:val="351"/>
              </w:numPr>
              <w:tabs>
                <w:tab w:val="clear" w:pos="680"/>
              </w:tabs>
              <w:spacing w:after="0" w:line="240" w:lineRule="auto"/>
              <w:ind w:right="284"/>
              <w:rPr>
                <w:rStyle w:val="Heading10"/>
                <w:rFonts w:cs="Arial"/>
                <w:b w:val="0"/>
                <w:bCs/>
                <w:color w:val="005CA9"/>
                <w:szCs w:val="24"/>
              </w:rPr>
            </w:pPr>
            <w:r w:rsidRPr="005F5AF9">
              <w:rPr>
                <w:bCs/>
                <w:color w:val="005CA9"/>
                <w:sz w:val="24"/>
                <w:szCs w:val="24"/>
              </w:rPr>
              <w:t>An appropriate design scheme that c</w:t>
            </w:r>
            <w:r w:rsidRPr="005F5AF9">
              <w:rPr>
                <w:rFonts w:cs="Arial"/>
                <w:color w:val="005CA9"/>
                <w:sz w:val="24"/>
                <w:szCs w:val="24"/>
              </w:rPr>
              <w:t>reates a transition from urban to rural, using built density, height, materials and landscaping to create a more permeable edge.</w:t>
            </w:r>
          </w:p>
          <w:p w14:paraId="55CF2121" w14:textId="77777777" w:rsidR="00B2285E" w:rsidRPr="005F5AF9" w:rsidRDefault="00B2285E">
            <w:pPr>
              <w:pStyle w:val="Policy"/>
              <w:tabs>
                <w:tab w:val="clear" w:pos="680"/>
              </w:tabs>
              <w:spacing w:after="0" w:line="240" w:lineRule="auto"/>
              <w:ind w:left="0" w:right="284"/>
              <w:rPr>
                <w:rStyle w:val="Heading10"/>
                <w:rFonts w:cs="Arial"/>
                <w:color w:val="005CA9"/>
                <w:szCs w:val="24"/>
              </w:rPr>
            </w:pPr>
          </w:p>
        </w:tc>
      </w:tr>
    </w:tbl>
    <w:p w14:paraId="048A2931" w14:textId="77777777" w:rsidR="00B2285E" w:rsidRDefault="00B2285E" w:rsidP="00B2285E">
      <w:pPr>
        <w:pStyle w:val="ListParagraph"/>
        <w:autoSpaceDE w:val="0"/>
        <w:autoSpaceDN w:val="0"/>
        <w:adjustRightInd w:val="0"/>
        <w:spacing w:after="0" w:line="240" w:lineRule="auto"/>
        <w:ind w:left="851"/>
        <w:rPr>
          <w:rFonts w:ascii="Arial" w:eastAsia="Calibri" w:hAnsi="Arial" w:cs="Arial"/>
          <w:b/>
          <w:bCs/>
          <w:color w:val="auto"/>
          <w:szCs w:val="24"/>
        </w:rPr>
      </w:pPr>
    </w:p>
    <w:p w14:paraId="171DD165" w14:textId="410AA0F6" w:rsidR="00715560" w:rsidRPr="009E34A6"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b/>
          <w:bCs/>
          <w:color w:val="auto"/>
          <w:szCs w:val="24"/>
        </w:rPr>
      </w:pPr>
      <w:r w:rsidRPr="009E34A6">
        <w:rPr>
          <w:rFonts w:ascii="Arial" w:eastAsia="Calibri" w:hAnsi="Arial" w:cs="Arial"/>
          <w:b/>
          <w:bCs/>
          <w:color w:val="auto"/>
          <w:szCs w:val="24"/>
        </w:rPr>
        <w:t xml:space="preserve">H1Va: Land at </w:t>
      </w:r>
      <w:proofErr w:type="spellStart"/>
      <w:r w:rsidRPr="009E34A6">
        <w:rPr>
          <w:rFonts w:ascii="Arial" w:eastAsia="Calibri" w:hAnsi="Arial" w:cs="Arial"/>
          <w:b/>
          <w:bCs/>
          <w:color w:val="auto"/>
          <w:szCs w:val="24"/>
        </w:rPr>
        <w:t>Plainspot</w:t>
      </w:r>
      <w:proofErr w:type="spellEnd"/>
      <w:r w:rsidRPr="009E34A6">
        <w:rPr>
          <w:rFonts w:ascii="Arial" w:eastAsia="Calibri" w:hAnsi="Arial" w:cs="Arial"/>
          <w:b/>
          <w:bCs/>
          <w:color w:val="auto"/>
          <w:szCs w:val="24"/>
        </w:rPr>
        <w:t xml:space="preserve"> Farm, New Brinsley, Underwood</w:t>
      </w:r>
      <w:r w:rsidRPr="009E34A6">
        <w:rPr>
          <w:rFonts w:ascii="Arial" w:eastAsia="Calibri" w:hAnsi="Arial" w:cs="Arial"/>
          <w:color w:val="auto"/>
          <w:szCs w:val="24"/>
        </w:rPr>
        <w:t xml:space="preserve">. </w:t>
      </w:r>
      <w:r w:rsidR="00D43850" w:rsidRPr="00D43850">
        <w:rPr>
          <w:rFonts w:ascii="Arial" w:eastAsia="Calibri" w:hAnsi="Arial" w:cs="Arial"/>
          <w:color w:val="0070C0"/>
          <w:szCs w:val="24"/>
        </w:rPr>
        <w:t>The Council considered that there were exceptional circumstances to release this site from the Green Belt to meet housing needs in accordance with the spatial strategy as set out at Policy S1</w:t>
      </w:r>
      <w:r w:rsidR="00D43850" w:rsidRPr="00D43850">
        <w:rPr>
          <w:rFonts w:ascii="Arial" w:eastAsia="Calibri" w:hAnsi="Arial" w:cs="Arial"/>
          <w:color w:val="auto"/>
          <w:szCs w:val="24"/>
        </w:rPr>
        <w:t xml:space="preserve">. </w:t>
      </w:r>
      <w:r w:rsidRPr="009E34A6">
        <w:rPr>
          <w:rFonts w:ascii="Arial" w:eastAsia="Calibri" w:hAnsi="Arial" w:cs="Arial"/>
          <w:color w:val="auto"/>
          <w:szCs w:val="24"/>
        </w:rPr>
        <w:t>This greenfield site</w:t>
      </w:r>
      <w:r w:rsidR="00317A1D" w:rsidRPr="009E34A6">
        <w:rPr>
          <w:rFonts w:ascii="Arial" w:eastAsia="Calibri" w:hAnsi="Arial" w:cs="Arial"/>
          <w:color w:val="auto"/>
          <w:szCs w:val="24"/>
        </w:rPr>
        <w:t xml:space="preserve"> has been assessed as available, potentially suitable, and potentially achievable in the SHELAA (ref. SJU001). It</w:t>
      </w:r>
      <w:r w:rsidRPr="009E34A6">
        <w:rPr>
          <w:rFonts w:ascii="Arial" w:eastAsia="Calibri" w:hAnsi="Arial" w:cs="Arial"/>
          <w:color w:val="auto"/>
          <w:szCs w:val="24"/>
        </w:rPr>
        <w:t xml:space="preserve"> is located adjacent to the Named Settlement of Brinsley </w:t>
      </w:r>
      <w:r w:rsidRPr="00B846E0">
        <w:rPr>
          <w:rFonts w:ascii="Arial" w:eastAsia="Calibri" w:hAnsi="Arial" w:cs="Arial"/>
          <w:strike/>
          <w:color w:val="auto"/>
          <w:szCs w:val="24"/>
        </w:rPr>
        <w:t>on land previously designated as green belt</w:t>
      </w:r>
      <w:r w:rsidRPr="009E34A6">
        <w:rPr>
          <w:rFonts w:ascii="Arial" w:eastAsia="Calibri" w:hAnsi="Arial" w:cs="Arial"/>
          <w:color w:val="auto"/>
          <w:szCs w:val="24"/>
        </w:rPr>
        <w:t>. The site abuts the district boundary with Broxtowe Borough and comprises agricultural fields.</w:t>
      </w:r>
      <w:r w:rsidR="00317A1D" w:rsidRPr="009E34A6">
        <w:rPr>
          <w:rFonts w:ascii="Arial" w:eastAsia="Calibri" w:hAnsi="Arial" w:cs="Arial"/>
          <w:b/>
          <w:bCs/>
          <w:color w:val="auto"/>
          <w:szCs w:val="24"/>
        </w:rPr>
        <w:t xml:space="preserve"> </w:t>
      </w:r>
      <w:r w:rsidRPr="009E34A6">
        <w:rPr>
          <w:rFonts w:ascii="Arial" w:eastAsia="Calibri" w:hAnsi="Arial" w:cs="Arial"/>
          <w:color w:val="auto"/>
          <w:szCs w:val="24"/>
        </w:rPr>
        <w:t xml:space="preserve">Right of way </w:t>
      </w:r>
      <w:proofErr w:type="spellStart"/>
      <w:r w:rsidRPr="009E34A6">
        <w:rPr>
          <w:rFonts w:ascii="Arial" w:eastAsia="Calibri" w:hAnsi="Arial" w:cs="Arial"/>
          <w:color w:val="auto"/>
          <w:szCs w:val="24"/>
        </w:rPr>
        <w:t>Selston</w:t>
      </w:r>
      <w:proofErr w:type="spellEnd"/>
      <w:r w:rsidRPr="009E34A6">
        <w:rPr>
          <w:rFonts w:ascii="Arial" w:eastAsia="Calibri" w:hAnsi="Arial" w:cs="Arial"/>
          <w:color w:val="auto"/>
          <w:szCs w:val="24"/>
        </w:rPr>
        <w:t xml:space="preserve"> footpath 39 is within the site and follows the south-eastern boundary.</w:t>
      </w:r>
    </w:p>
    <w:p w14:paraId="4CC5FCF1" w14:textId="77777777" w:rsidR="004C557A" w:rsidRPr="009E34A6" w:rsidRDefault="004C557A" w:rsidP="004C557A">
      <w:pPr>
        <w:pStyle w:val="ListParagraph"/>
        <w:autoSpaceDE w:val="0"/>
        <w:autoSpaceDN w:val="0"/>
        <w:adjustRightInd w:val="0"/>
        <w:spacing w:after="0" w:line="240" w:lineRule="auto"/>
        <w:ind w:left="851"/>
        <w:rPr>
          <w:rFonts w:ascii="Arial" w:eastAsia="Calibri" w:hAnsi="Arial" w:cs="Arial"/>
          <w:b/>
          <w:bCs/>
          <w:color w:val="auto"/>
          <w:szCs w:val="24"/>
        </w:rPr>
      </w:pPr>
    </w:p>
    <w:p w14:paraId="30A9C346" w14:textId="7FF58C64" w:rsidR="00715560" w:rsidRPr="009E34A6"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9E34A6">
        <w:rPr>
          <w:rFonts w:ascii="Arial" w:eastAsia="Calibri" w:hAnsi="Arial" w:cs="Arial"/>
          <w:color w:val="auto"/>
          <w:szCs w:val="24"/>
        </w:rPr>
        <w:t xml:space="preserve">Primary </w:t>
      </w:r>
      <w:r w:rsidR="00317A1D" w:rsidRPr="009E34A6">
        <w:rPr>
          <w:rFonts w:ascii="Arial" w:eastAsia="Calibri" w:hAnsi="Arial" w:cs="Arial"/>
          <w:color w:val="auto"/>
          <w:szCs w:val="24"/>
        </w:rPr>
        <w:t xml:space="preserve">vehicular </w:t>
      </w:r>
      <w:r w:rsidRPr="009E34A6">
        <w:rPr>
          <w:rFonts w:ascii="Arial" w:eastAsia="Calibri" w:hAnsi="Arial" w:cs="Arial"/>
          <w:color w:val="auto"/>
          <w:szCs w:val="24"/>
        </w:rPr>
        <w:t>access should be formed off Main St, Broxtowe with new turning facility provided for Francis St</w:t>
      </w:r>
      <w:r w:rsidR="00317A1D" w:rsidRPr="009E34A6">
        <w:rPr>
          <w:rFonts w:ascii="Arial" w:eastAsia="Calibri" w:hAnsi="Arial" w:cs="Arial"/>
          <w:color w:val="auto"/>
          <w:szCs w:val="24"/>
        </w:rPr>
        <w:t>reet</w:t>
      </w:r>
      <w:r w:rsidRPr="009E34A6">
        <w:rPr>
          <w:rFonts w:ascii="Arial" w:eastAsia="Calibri" w:hAnsi="Arial" w:cs="Arial"/>
          <w:color w:val="auto"/>
          <w:szCs w:val="24"/>
        </w:rPr>
        <w:t>.</w:t>
      </w:r>
      <w:r w:rsidR="00317A1D" w:rsidRPr="009E34A6">
        <w:rPr>
          <w:rFonts w:ascii="Arial" w:eastAsia="Calibri" w:hAnsi="Arial" w:cs="Arial"/>
          <w:color w:val="auto"/>
          <w:szCs w:val="24"/>
        </w:rPr>
        <w:t xml:space="preserve"> </w:t>
      </w:r>
      <w:r w:rsidRPr="009E34A6">
        <w:rPr>
          <w:rFonts w:ascii="Arial" w:eastAsia="Calibri" w:hAnsi="Arial" w:cs="Arial"/>
          <w:color w:val="auto"/>
          <w:szCs w:val="24"/>
        </w:rPr>
        <w:t xml:space="preserve">There are likely ground stability issues, with a potential former mine entry at the entrance off Frances Street. A small area of </w:t>
      </w:r>
      <w:proofErr w:type="gramStart"/>
      <w:r w:rsidRPr="009E34A6">
        <w:rPr>
          <w:rFonts w:ascii="Arial" w:eastAsia="Calibri" w:hAnsi="Arial" w:cs="Arial"/>
          <w:color w:val="auto"/>
          <w:szCs w:val="24"/>
        </w:rPr>
        <w:t>low risk</w:t>
      </w:r>
      <w:proofErr w:type="gramEnd"/>
      <w:r w:rsidRPr="009E34A6">
        <w:rPr>
          <w:rFonts w:ascii="Arial" w:eastAsia="Calibri" w:hAnsi="Arial" w:cs="Arial"/>
          <w:color w:val="auto"/>
          <w:szCs w:val="24"/>
        </w:rPr>
        <w:t xml:space="preserve"> surface water flooding has been identified, which will require mitigation. Severn Trent have also identified that network improvements to accommodate surface water is likely to be required.</w:t>
      </w:r>
    </w:p>
    <w:p w14:paraId="0435CDB7" w14:textId="77777777" w:rsidR="006C6E20" w:rsidRDefault="006C6E20" w:rsidP="006C6E20">
      <w:pPr>
        <w:pStyle w:val="ListParagraph"/>
        <w:rPr>
          <w:rFonts w:ascii="Arial" w:eastAsia="Calibri" w:hAnsi="Arial" w:cs="Arial"/>
          <w:color w:val="4472C4" w:themeColor="accent1"/>
          <w:szCs w:val="24"/>
        </w:rPr>
      </w:pPr>
    </w:p>
    <w:p w14:paraId="4B7C7CFA" w14:textId="16CB7F4A" w:rsidR="00715560"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56594F">
        <w:rPr>
          <w:rFonts w:ascii="Arial" w:eastAsia="Calibri" w:hAnsi="Arial" w:cs="Arial"/>
          <w:b/>
          <w:bCs/>
          <w:color w:val="auto"/>
          <w:szCs w:val="24"/>
        </w:rPr>
        <w:t xml:space="preserve">H1Vb: Off </w:t>
      </w:r>
      <w:proofErr w:type="spellStart"/>
      <w:r w:rsidRPr="0056594F">
        <w:rPr>
          <w:rFonts w:ascii="Arial" w:eastAsia="Calibri" w:hAnsi="Arial" w:cs="Arial"/>
          <w:b/>
          <w:bCs/>
          <w:color w:val="auto"/>
          <w:szCs w:val="24"/>
        </w:rPr>
        <w:t>Westdale</w:t>
      </w:r>
      <w:proofErr w:type="spellEnd"/>
      <w:r w:rsidRPr="0056594F">
        <w:rPr>
          <w:rFonts w:ascii="Arial" w:eastAsia="Calibri" w:hAnsi="Arial" w:cs="Arial"/>
          <w:b/>
          <w:bCs/>
          <w:color w:val="auto"/>
          <w:szCs w:val="24"/>
        </w:rPr>
        <w:t xml:space="preserve"> Road, </w:t>
      </w:r>
      <w:proofErr w:type="spellStart"/>
      <w:r w:rsidRPr="0056594F">
        <w:rPr>
          <w:rFonts w:ascii="Arial" w:eastAsia="Calibri" w:hAnsi="Arial" w:cs="Arial"/>
          <w:b/>
          <w:bCs/>
          <w:color w:val="auto"/>
          <w:szCs w:val="24"/>
        </w:rPr>
        <w:t>Jacksdale</w:t>
      </w:r>
      <w:proofErr w:type="spellEnd"/>
      <w:r w:rsidRPr="0056594F">
        <w:rPr>
          <w:rFonts w:ascii="Arial" w:eastAsia="Calibri" w:hAnsi="Arial" w:cs="Arial"/>
          <w:color w:val="auto"/>
          <w:szCs w:val="24"/>
        </w:rPr>
        <w:t xml:space="preserve"> This</w:t>
      </w:r>
      <w:r w:rsidRPr="009E34A6">
        <w:rPr>
          <w:rFonts w:ascii="Arial" w:eastAsia="Calibri" w:hAnsi="Arial" w:cs="Arial"/>
          <w:color w:val="auto"/>
          <w:szCs w:val="24"/>
        </w:rPr>
        <w:t xml:space="preserve"> greenfield site</w:t>
      </w:r>
      <w:r w:rsidR="00317A1D" w:rsidRPr="009E34A6">
        <w:rPr>
          <w:rFonts w:ascii="Arial" w:eastAsia="Calibri" w:hAnsi="Arial" w:cs="Arial"/>
          <w:color w:val="auto"/>
          <w:szCs w:val="24"/>
        </w:rPr>
        <w:t xml:space="preserve"> has been assessed as available, potentially suitable, and potentially achievable in the SHELAA (ref. SJU003). It</w:t>
      </w:r>
      <w:r w:rsidRPr="009E34A6">
        <w:rPr>
          <w:rFonts w:ascii="Arial" w:eastAsia="Calibri" w:hAnsi="Arial" w:cs="Arial"/>
          <w:color w:val="auto"/>
          <w:szCs w:val="24"/>
        </w:rPr>
        <w:t xml:space="preserve"> is located within the Named Settlement of </w:t>
      </w:r>
      <w:proofErr w:type="spellStart"/>
      <w:r w:rsidRPr="009E34A6">
        <w:rPr>
          <w:rFonts w:ascii="Arial" w:eastAsia="Calibri" w:hAnsi="Arial" w:cs="Arial"/>
          <w:color w:val="auto"/>
          <w:szCs w:val="24"/>
        </w:rPr>
        <w:t>Jacksdale</w:t>
      </w:r>
      <w:proofErr w:type="spellEnd"/>
      <w:r w:rsidRPr="009E34A6">
        <w:rPr>
          <w:rFonts w:ascii="Arial" w:eastAsia="Calibri" w:hAnsi="Arial" w:cs="Arial"/>
          <w:color w:val="auto"/>
          <w:szCs w:val="24"/>
        </w:rPr>
        <w:t xml:space="preserve"> and forms a logical infill.  The site is located within a residential area and has reasonable access to a range of services. Th</w:t>
      </w:r>
      <w:r w:rsidR="0021731E" w:rsidRPr="009E34A6">
        <w:rPr>
          <w:rFonts w:ascii="Arial" w:eastAsia="Calibri" w:hAnsi="Arial" w:cs="Arial"/>
          <w:color w:val="auto"/>
          <w:szCs w:val="24"/>
        </w:rPr>
        <w:t>is</w:t>
      </w:r>
      <w:r w:rsidRPr="009E34A6">
        <w:rPr>
          <w:rFonts w:ascii="Arial" w:eastAsia="Calibri" w:hAnsi="Arial" w:cs="Arial"/>
          <w:color w:val="auto"/>
          <w:szCs w:val="24"/>
        </w:rPr>
        <w:t xml:space="preserve"> is an area where potential land stability and other safety risks associated with former coal mining are likely, for example areas </w:t>
      </w:r>
      <w:r w:rsidRPr="009E34A6">
        <w:rPr>
          <w:rFonts w:ascii="Arial" w:eastAsia="Calibri" w:hAnsi="Arial" w:cs="Arial"/>
          <w:color w:val="auto"/>
          <w:szCs w:val="24"/>
        </w:rPr>
        <w:lastRenderedPageBreak/>
        <w:t>of suspected shallow coal mining, recorded mine entries and areas of former surface mining. There is evidence of some surface water flooding within the boundary of the site</w:t>
      </w:r>
      <w:r w:rsidR="0021731E" w:rsidRPr="009E34A6">
        <w:rPr>
          <w:rFonts w:ascii="Arial" w:eastAsia="Calibri" w:hAnsi="Arial" w:cs="Arial"/>
          <w:color w:val="auto"/>
          <w:szCs w:val="24"/>
        </w:rPr>
        <w:t>.</w:t>
      </w:r>
    </w:p>
    <w:p w14:paraId="6BA681CB" w14:textId="77777777" w:rsidR="005C4220" w:rsidRPr="005C4220" w:rsidRDefault="005C4220" w:rsidP="005C4220">
      <w:pPr>
        <w:autoSpaceDE w:val="0"/>
        <w:autoSpaceDN w:val="0"/>
        <w:adjustRightInd w:val="0"/>
        <w:rPr>
          <w:rFonts w:eastAsia="Calibri" w:cs="Arial"/>
          <w:color w:val="auto"/>
          <w:szCs w:val="24"/>
        </w:rPr>
      </w:pPr>
    </w:p>
    <w:tbl>
      <w:tblPr>
        <w:tblStyle w:val="ReportTable1"/>
        <w:tblW w:w="9634" w:type="dxa"/>
        <w:tblLook w:val="04A0" w:firstRow="1" w:lastRow="0" w:firstColumn="1" w:lastColumn="0" w:noHBand="0" w:noVBand="1"/>
      </w:tblPr>
      <w:tblGrid>
        <w:gridCol w:w="2635"/>
        <w:gridCol w:w="6999"/>
      </w:tblGrid>
      <w:tr w:rsidR="005C4220" w:rsidRPr="006A097C" w14:paraId="592868D9" w14:textId="77777777">
        <w:tc>
          <w:tcPr>
            <w:tcW w:w="9634" w:type="dxa"/>
            <w:gridSpan w:val="2"/>
          </w:tcPr>
          <w:p w14:paraId="140684FC" w14:textId="7EF367FB" w:rsidR="005C4220" w:rsidRPr="00B20E61" w:rsidRDefault="005C4220">
            <w:pPr>
              <w:pStyle w:val="Heading"/>
              <w:spacing w:before="120" w:after="120"/>
              <w:rPr>
                <w:rStyle w:val="Heading10"/>
                <w:rFonts w:cs="Arial"/>
                <w:b/>
                <w:bCs/>
                <w:color w:val="0070C0"/>
                <w:szCs w:val="24"/>
              </w:rPr>
            </w:pPr>
            <w:r w:rsidRPr="00B20E61">
              <w:rPr>
                <w:rStyle w:val="Heading10"/>
                <w:rFonts w:cs="Arial"/>
                <w:b/>
                <w:bCs/>
                <w:color w:val="0070C0"/>
                <w:szCs w:val="24"/>
              </w:rPr>
              <w:t xml:space="preserve">Policy </w:t>
            </w:r>
            <w:r>
              <w:rPr>
                <w:rStyle w:val="Heading10"/>
                <w:rFonts w:cs="Arial"/>
                <w:b/>
                <w:bCs/>
                <w:color w:val="0070C0"/>
                <w:szCs w:val="24"/>
              </w:rPr>
              <w:t>H1</w:t>
            </w:r>
            <w:r>
              <w:rPr>
                <w:rStyle w:val="Heading10"/>
                <w:b/>
                <w:bCs/>
                <w:color w:val="0070C0"/>
              </w:rPr>
              <w:t xml:space="preserve">Vc: </w:t>
            </w:r>
            <w:r w:rsidRPr="004858A4">
              <w:rPr>
                <w:rFonts w:eastAsia="Calibri" w:cs="Arial"/>
                <w:bCs/>
                <w:color w:val="0070C0"/>
                <w:szCs w:val="24"/>
              </w:rPr>
              <w:t xml:space="preserve">Land adj. Bull &amp; Butcher PH, </w:t>
            </w:r>
            <w:proofErr w:type="spellStart"/>
            <w:r w:rsidRPr="004858A4">
              <w:rPr>
                <w:rFonts w:eastAsia="Calibri" w:cs="Arial"/>
                <w:bCs/>
                <w:color w:val="0070C0"/>
                <w:szCs w:val="24"/>
              </w:rPr>
              <w:t>Selston</w:t>
            </w:r>
            <w:proofErr w:type="spellEnd"/>
          </w:p>
        </w:tc>
      </w:tr>
      <w:tr w:rsidR="005C4220" w:rsidRPr="006A097C" w14:paraId="45E0ECD6" w14:textId="77777777">
        <w:tc>
          <w:tcPr>
            <w:tcW w:w="2635" w:type="dxa"/>
          </w:tcPr>
          <w:p w14:paraId="7E4B3A99" w14:textId="77777777" w:rsidR="005C4220" w:rsidRPr="006A097C" w:rsidRDefault="005C4220">
            <w:pPr>
              <w:pStyle w:val="Heading"/>
              <w:spacing w:before="40" w:after="40"/>
              <w:rPr>
                <w:rStyle w:val="Heading10"/>
                <w:rFonts w:cs="Arial"/>
                <w:b/>
                <w:color w:val="0070C0"/>
                <w:szCs w:val="24"/>
              </w:rPr>
            </w:pPr>
            <w:r w:rsidRPr="006A097C">
              <w:rPr>
                <w:rStyle w:val="Heading10"/>
                <w:rFonts w:cs="Arial"/>
                <w:color w:val="0070C0"/>
                <w:szCs w:val="24"/>
              </w:rPr>
              <w:t>Strategic Objectives</w:t>
            </w:r>
          </w:p>
        </w:tc>
        <w:tc>
          <w:tcPr>
            <w:tcW w:w="6999" w:type="dxa"/>
          </w:tcPr>
          <w:p w14:paraId="271403C2" w14:textId="77777777" w:rsidR="005C4220" w:rsidRPr="006A097C" w:rsidRDefault="005C4220">
            <w:pPr>
              <w:pStyle w:val="Heading"/>
              <w:spacing w:before="40" w:after="40"/>
              <w:rPr>
                <w:rStyle w:val="Heading10"/>
                <w:rFonts w:cs="Arial"/>
                <w:b/>
                <w:color w:val="0070C0"/>
                <w:szCs w:val="24"/>
              </w:rPr>
            </w:pPr>
            <w:r w:rsidRPr="006A097C">
              <w:rPr>
                <w:rStyle w:val="Heading10"/>
                <w:rFonts w:cs="Arial"/>
                <w:color w:val="0070C0"/>
                <w:szCs w:val="24"/>
              </w:rPr>
              <w:t>SO3, SO5, SO11, SO12, SO13</w:t>
            </w:r>
          </w:p>
        </w:tc>
      </w:tr>
      <w:tr w:rsidR="005C4220" w:rsidRPr="006A097C" w14:paraId="0AFF3C38" w14:textId="77777777">
        <w:trPr>
          <w:trHeight w:val="1190"/>
        </w:trPr>
        <w:tc>
          <w:tcPr>
            <w:tcW w:w="9634" w:type="dxa"/>
            <w:gridSpan w:val="2"/>
            <w:shd w:val="clear" w:color="auto" w:fill="FFCC99"/>
          </w:tcPr>
          <w:p w14:paraId="60EAB2E5" w14:textId="77777777" w:rsidR="005C4220" w:rsidRPr="005F5AF9" w:rsidRDefault="005C4220">
            <w:pPr>
              <w:pStyle w:val="Policy"/>
              <w:tabs>
                <w:tab w:val="clear" w:pos="680"/>
                <w:tab w:val="left" w:pos="306"/>
              </w:tabs>
              <w:spacing w:after="0" w:line="240" w:lineRule="auto"/>
              <w:ind w:left="306" w:right="284"/>
              <w:rPr>
                <w:rStyle w:val="Heading10"/>
                <w:rFonts w:cs="Arial"/>
                <w:color w:val="005CA9"/>
                <w:szCs w:val="24"/>
              </w:rPr>
            </w:pPr>
          </w:p>
          <w:p w14:paraId="26DDDD46" w14:textId="5E9B93B5" w:rsidR="005C4220" w:rsidRPr="005F5AF9" w:rsidRDefault="005C4220">
            <w:pPr>
              <w:pStyle w:val="Policy"/>
              <w:tabs>
                <w:tab w:val="clear" w:pos="680"/>
                <w:tab w:val="left" w:pos="306"/>
              </w:tabs>
              <w:spacing w:after="0" w:line="240" w:lineRule="auto"/>
              <w:ind w:left="306" w:right="284"/>
              <w:rPr>
                <w:bCs/>
                <w:color w:val="005CA9"/>
              </w:rPr>
            </w:pPr>
            <w:r w:rsidRPr="005F5AF9">
              <w:rPr>
                <w:bCs/>
                <w:color w:val="005CA9"/>
                <w:sz w:val="24"/>
                <w:szCs w:val="24"/>
              </w:rPr>
              <w:t xml:space="preserve">Residential development to deliver approximately </w:t>
            </w:r>
            <w:proofErr w:type="gramStart"/>
            <w:r w:rsidR="004858A4" w:rsidRPr="005F5AF9">
              <w:rPr>
                <w:bCs/>
                <w:color w:val="005CA9"/>
                <w:sz w:val="24"/>
                <w:szCs w:val="24"/>
              </w:rPr>
              <w:t xml:space="preserve">149 </w:t>
            </w:r>
            <w:r w:rsidRPr="005F5AF9">
              <w:rPr>
                <w:bCs/>
                <w:color w:val="005CA9"/>
                <w:sz w:val="24"/>
                <w:szCs w:val="24"/>
              </w:rPr>
              <w:t xml:space="preserve"> dwellings</w:t>
            </w:r>
            <w:proofErr w:type="gramEnd"/>
            <w:r w:rsidRPr="005F5AF9">
              <w:rPr>
                <w:bCs/>
                <w:color w:val="005CA9"/>
                <w:sz w:val="24"/>
                <w:szCs w:val="24"/>
              </w:rPr>
              <w:t xml:space="preserve"> will be permitted on site H1V</w:t>
            </w:r>
            <w:r w:rsidR="004858A4" w:rsidRPr="005F5AF9">
              <w:rPr>
                <w:bCs/>
                <w:color w:val="005CA9"/>
                <w:sz w:val="24"/>
                <w:szCs w:val="24"/>
              </w:rPr>
              <w:t>c</w:t>
            </w:r>
            <w:r w:rsidRPr="005F5AF9">
              <w:rPr>
                <w:bCs/>
                <w:color w:val="005CA9"/>
                <w:sz w:val="24"/>
                <w:szCs w:val="24"/>
              </w:rPr>
              <w:t xml:space="preserve"> as shown on the Policies Map, subject to detailed planning consent. Any future development proposal will need to include the following specific requirements, in addition to satisfying other relevant Local Plan policies as applicable:</w:t>
            </w:r>
            <w:r w:rsidRPr="005F5AF9">
              <w:rPr>
                <w:bCs/>
                <w:color w:val="005CA9"/>
              </w:rPr>
              <w:t xml:space="preserve"> </w:t>
            </w:r>
          </w:p>
          <w:p w14:paraId="47531B10" w14:textId="77777777" w:rsidR="005C4220" w:rsidRPr="005F5AF9" w:rsidRDefault="005C4220" w:rsidP="004858A4">
            <w:pPr>
              <w:pStyle w:val="Policy"/>
              <w:tabs>
                <w:tab w:val="clear" w:pos="680"/>
              </w:tabs>
              <w:spacing w:after="0" w:line="240" w:lineRule="auto"/>
              <w:ind w:left="0" w:right="284"/>
              <w:rPr>
                <w:rStyle w:val="Heading10"/>
                <w:rFonts w:cs="Arial"/>
                <w:b w:val="0"/>
                <w:color w:val="005CA9"/>
                <w:szCs w:val="24"/>
              </w:rPr>
            </w:pPr>
          </w:p>
          <w:p w14:paraId="5A41FCD1" w14:textId="466FB5BD" w:rsidR="005C4220" w:rsidRPr="005F5AF9" w:rsidRDefault="005C4220">
            <w:pPr>
              <w:pStyle w:val="Policy"/>
              <w:numPr>
                <w:ilvl w:val="0"/>
                <w:numId w:val="353"/>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A landscape buffer to be r</w:t>
            </w:r>
            <w:r w:rsidRPr="005F5AF9">
              <w:rPr>
                <w:rStyle w:val="Heading10"/>
                <w:b w:val="0"/>
                <w:color w:val="005CA9"/>
                <w:szCs w:val="24"/>
              </w:rPr>
              <w:t>etained and enhanced</w:t>
            </w:r>
            <w:r w:rsidRPr="005F5AF9">
              <w:rPr>
                <w:rStyle w:val="Heading10"/>
                <w:rFonts w:cs="Arial"/>
                <w:b w:val="0"/>
                <w:color w:val="005CA9"/>
                <w:szCs w:val="24"/>
              </w:rPr>
              <w:t xml:space="preserve"> to the north</w:t>
            </w:r>
            <w:r w:rsidR="004858A4" w:rsidRPr="005F5AF9">
              <w:rPr>
                <w:rStyle w:val="Heading10"/>
                <w:rFonts w:cs="Arial"/>
                <w:b w:val="0"/>
                <w:color w:val="005CA9"/>
                <w:szCs w:val="24"/>
              </w:rPr>
              <w:t>-</w:t>
            </w:r>
            <w:r w:rsidR="004858A4" w:rsidRPr="005F5AF9">
              <w:rPr>
                <w:rStyle w:val="Heading10"/>
                <w:b w:val="0"/>
                <w:color w:val="005CA9"/>
              </w:rPr>
              <w:t>east</w:t>
            </w:r>
            <w:r w:rsidRPr="005F5AF9">
              <w:rPr>
                <w:rStyle w:val="Heading10"/>
                <w:rFonts w:cs="Arial"/>
                <w:b w:val="0"/>
                <w:color w:val="005CA9"/>
                <w:szCs w:val="24"/>
              </w:rPr>
              <w:t xml:space="preserve"> of the site to mitigate harm to the Green Belt; and</w:t>
            </w:r>
          </w:p>
          <w:p w14:paraId="308CCD1F" w14:textId="77777777" w:rsidR="005C4220" w:rsidRPr="005F5AF9" w:rsidRDefault="005C4220">
            <w:pPr>
              <w:pStyle w:val="Policy"/>
              <w:tabs>
                <w:tab w:val="clear" w:pos="680"/>
              </w:tabs>
              <w:spacing w:after="0" w:line="240" w:lineRule="auto"/>
              <w:ind w:left="720" w:right="284"/>
              <w:rPr>
                <w:rFonts w:cs="Arial"/>
                <w:color w:val="005CA9"/>
                <w:sz w:val="24"/>
                <w:szCs w:val="24"/>
              </w:rPr>
            </w:pPr>
          </w:p>
          <w:p w14:paraId="24A5E705" w14:textId="77777777" w:rsidR="005C4220" w:rsidRPr="005F5AF9" w:rsidRDefault="005C4220">
            <w:pPr>
              <w:pStyle w:val="Policy"/>
              <w:numPr>
                <w:ilvl w:val="0"/>
                <w:numId w:val="353"/>
              </w:numPr>
              <w:tabs>
                <w:tab w:val="clear" w:pos="680"/>
              </w:tabs>
              <w:spacing w:after="0" w:line="240" w:lineRule="auto"/>
              <w:ind w:right="284"/>
              <w:rPr>
                <w:rStyle w:val="Heading10"/>
                <w:rFonts w:cs="Arial"/>
                <w:b w:val="0"/>
                <w:color w:val="005CA9"/>
                <w:szCs w:val="24"/>
              </w:rPr>
            </w:pPr>
            <w:r w:rsidRPr="005F5AF9">
              <w:rPr>
                <w:color w:val="005CA9"/>
                <w:sz w:val="24"/>
                <w:szCs w:val="24"/>
              </w:rPr>
              <w:t>An appropriate design scheme that c</w:t>
            </w:r>
            <w:r w:rsidRPr="005F5AF9">
              <w:rPr>
                <w:rFonts w:cs="Arial"/>
                <w:color w:val="005CA9"/>
                <w:sz w:val="24"/>
                <w:szCs w:val="24"/>
              </w:rPr>
              <w:t>reates a transition from urban to rural, using built density, height, materials and landscaping to create a more permeable edge.</w:t>
            </w:r>
          </w:p>
          <w:p w14:paraId="0B9C6C9B" w14:textId="77777777" w:rsidR="005C4220" w:rsidRPr="005F5AF9" w:rsidRDefault="005C4220">
            <w:pPr>
              <w:pStyle w:val="Policy"/>
              <w:tabs>
                <w:tab w:val="clear" w:pos="680"/>
              </w:tabs>
              <w:spacing w:after="0" w:line="240" w:lineRule="auto"/>
              <w:ind w:left="0" w:right="284"/>
              <w:rPr>
                <w:rStyle w:val="Heading10"/>
                <w:rFonts w:cs="Arial"/>
                <w:color w:val="005CA9"/>
                <w:szCs w:val="24"/>
              </w:rPr>
            </w:pPr>
          </w:p>
        </w:tc>
      </w:tr>
    </w:tbl>
    <w:p w14:paraId="5B00916C" w14:textId="77777777" w:rsidR="00715560" w:rsidRPr="009E34A6" w:rsidRDefault="00715560" w:rsidP="0021731E">
      <w:pPr>
        <w:autoSpaceDE w:val="0"/>
        <w:autoSpaceDN w:val="0"/>
        <w:adjustRightInd w:val="0"/>
        <w:rPr>
          <w:rFonts w:eastAsia="Calibri" w:cs="Arial"/>
          <w:color w:val="auto"/>
          <w:szCs w:val="24"/>
        </w:rPr>
      </w:pPr>
    </w:p>
    <w:p w14:paraId="3FD7C97B" w14:textId="601C6EA7" w:rsidR="00715560" w:rsidRPr="007D1777"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0070C0"/>
          <w:szCs w:val="24"/>
        </w:rPr>
      </w:pPr>
      <w:r w:rsidRPr="009E34A6">
        <w:rPr>
          <w:rFonts w:ascii="Arial" w:eastAsia="Calibri" w:hAnsi="Arial" w:cs="Arial"/>
          <w:b/>
          <w:bCs/>
          <w:color w:val="auto"/>
          <w:szCs w:val="24"/>
        </w:rPr>
        <w:t xml:space="preserve">H1Vc: Land adj. Bull &amp; Butcher PH, </w:t>
      </w:r>
      <w:proofErr w:type="spellStart"/>
      <w:r w:rsidRPr="009E34A6">
        <w:rPr>
          <w:rFonts w:ascii="Arial" w:eastAsia="Calibri" w:hAnsi="Arial" w:cs="Arial"/>
          <w:b/>
          <w:bCs/>
          <w:color w:val="auto"/>
          <w:szCs w:val="24"/>
        </w:rPr>
        <w:t>Selston</w:t>
      </w:r>
      <w:proofErr w:type="spellEnd"/>
      <w:r w:rsidRPr="009E34A6">
        <w:rPr>
          <w:rFonts w:ascii="Arial" w:eastAsia="Calibri" w:hAnsi="Arial" w:cs="Arial"/>
          <w:color w:val="auto"/>
          <w:szCs w:val="24"/>
        </w:rPr>
        <w:t xml:space="preserve">. </w:t>
      </w:r>
      <w:r w:rsidR="000106BE" w:rsidRPr="00D43850">
        <w:rPr>
          <w:rFonts w:ascii="Arial" w:eastAsia="Calibri" w:hAnsi="Arial" w:cs="Arial"/>
          <w:color w:val="0070C0"/>
          <w:szCs w:val="24"/>
        </w:rPr>
        <w:t>The Council considered that there were exceptional circumstances to release this site from the Green Belt to meet housing needs in accordance with the spatial strategy as set out at Policy S1</w:t>
      </w:r>
      <w:r w:rsidR="00CD4DC3">
        <w:rPr>
          <w:rFonts w:ascii="Arial" w:eastAsia="Calibri" w:hAnsi="Arial" w:cs="Arial"/>
          <w:color w:val="0070C0"/>
          <w:szCs w:val="24"/>
        </w:rPr>
        <w:t xml:space="preserve">. </w:t>
      </w:r>
      <w:r w:rsidRPr="009E34A6">
        <w:rPr>
          <w:rFonts w:ascii="Arial" w:eastAsia="Calibri" w:hAnsi="Arial" w:cs="Arial"/>
          <w:color w:val="auto"/>
          <w:szCs w:val="24"/>
        </w:rPr>
        <w:t xml:space="preserve">This greenfield site </w:t>
      </w:r>
      <w:r w:rsidR="00805F11" w:rsidRPr="009E34A6">
        <w:rPr>
          <w:rFonts w:ascii="Arial" w:eastAsia="Calibri" w:hAnsi="Arial" w:cs="Arial"/>
          <w:color w:val="auto"/>
          <w:szCs w:val="24"/>
        </w:rPr>
        <w:t xml:space="preserve">has been assessed as potentially available, potentially suitable, and potentially achievable in the SHELAA (ref. SJU014). It </w:t>
      </w:r>
      <w:r w:rsidRPr="009E34A6">
        <w:rPr>
          <w:rFonts w:ascii="Arial" w:eastAsia="Calibri" w:hAnsi="Arial" w:cs="Arial"/>
          <w:color w:val="auto"/>
          <w:szCs w:val="24"/>
        </w:rPr>
        <w:t xml:space="preserve">is located adjacent to the existing built area of </w:t>
      </w:r>
      <w:proofErr w:type="spellStart"/>
      <w:r w:rsidRPr="009E34A6">
        <w:rPr>
          <w:rFonts w:ascii="Arial" w:eastAsia="Calibri" w:hAnsi="Arial" w:cs="Arial"/>
          <w:color w:val="auto"/>
          <w:szCs w:val="24"/>
        </w:rPr>
        <w:t>Selston</w:t>
      </w:r>
      <w:proofErr w:type="spellEnd"/>
      <w:r w:rsidRPr="009E34A6">
        <w:rPr>
          <w:rFonts w:ascii="Arial" w:eastAsia="Calibri" w:hAnsi="Arial" w:cs="Arial"/>
          <w:color w:val="auto"/>
          <w:szCs w:val="24"/>
        </w:rPr>
        <w:t xml:space="preserve"> </w:t>
      </w:r>
      <w:r w:rsidRPr="00CD4DC3">
        <w:rPr>
          <w:rFonts w:ascii="Arial" w:eastAsia="Calibri" w:hAnsi="Arial" w:cs="Arial"/>
          <w:strike/>
          <w:color w:val="auto"/>
          <w:szCs w:val="24"/>
        </w:rPr>
        <w:t>on land previously designated as Green Belt</w:t>
      </w:r>
      <w:r w:rsidRPr="009E34A6">
        <w:rPr>
          <w:rFonts w:ascii="Arial" w:eastAsia="Calibri" w:hAnsi="Arial" w:cs="Arial"/>
          <w:color w:val="auto"/>
          <w:szCs w:val="24"/>
        </w:rPr>
        <w:t xml:space="preserve">. The site is well contained by existing residential development to the west and </w:t>
      </w:r>
      <w:r w:rsidR="000F2744" w:rsidRPr="009E34A6">
        <w:rPr>
          <w:rFonts w:ascii="Arial" w:eastAsia="Calibri" w:hAnsi="Arial" w:cs="Arial"/>
          <w:color w:val="auto"/>
          <w:szCs w:val="24"/>
        </w:rPr>
        <w:t>east and</w:t>
      </w:r>
      <w:r w:rsidRPr="009E34A6">
        <w:rPr>
          <w:rFonts w:ascii="Arial" w:eastAsia="Calibri" w:hAnsi="Arial" w:cs="Arial"/>
          <w:color w:val="auto"/>
          <w:szCs w:val="24"/>
        </w:rPr>
        <w:t xml:space="preserve"> has the potential capacity to deliver a small amount of commercial development. The site is in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w:t>
      </w:r>
      <w:r w:rsidRPr="00AB6EB3">
        <w:rPr>
          <w:rFonts w:ascii="Arial" w:eastAsia="Calibri" w:hAnsi="Arial" w:cs="Arial"/>
          <w:color w:val="0070C0"/>
          <w:szCs w:val="24"/>
        </w:rPr>
        <w:t>.</w:t>
      </w:r>
      <w:r w:rsidR="00AB6EB3" w:rsidRPr="00AB6EB3">
        <w:rPr>
          <w:rFonts w:ascii="Arial" w:eastAsia="Calibri" w:hAnsi="Arial" w:cs="Arial"/>
          <w:color w:val="0070C0"/>
          <w:szCs w:val="24"/>
        </w:rPr>
        <w:t xml:space="preserve"> </w:t>
      </w:r>
      <w:r w:rsidR="00AB6EB3" w:rsidRPr="007D1777">
        <w:rPr>
          <w:rFonts w:ascii="Arial" w:eastAsia="Calibri" w:hAnsi="Arial" w:cs="Arial"/>
          <w:color w:val="0070C0"/>
          <w:szCs w:val="24"/>
        </w:rPr>
        <w:t>This site has</w:t>
      </w:r>
      <w:r w:rsidR="00B12E29">
        <w:rPr>
          <w:rFonts w:ascii="Arial" w:eastAsia="Calibri" w:hAnsi="Arial" w:cs="Arial"/>
          <w:color w:val="0070C0"/>
          <w:szCs w:val="24"/>
        </w:rPr>
        <w:t>, as of October 2015, a</w:t>
      </w:r>
      <w:r w:rsidR="00AB6EB3" w:rsidRPr="007D1777">
        <w:rPr>
          <w:rFonts w:ascii="Arial" w:eastAsia="Calibri" w:hAnsi="Arial" w:cs="Arial"/>
          <w:color w:val="0070C0"/>
          <w:szCs w:val="24"/>
        </w:rPr>
        <w:t xml:space="preserve"> resolution to grant outline permission for 149 homes, subject to the signing of a section 106 legal agreement (V/2022/0800).</w:t>
      </w:r>
    </w:p>
    <w:p w14:paraId="6796B96E" w14:textId="77777777" w:rsidR="006C6E20" w:rsidRPr="00AB6EB3" w:rsidRDefault="006C6E20" w:rsidP="006C6E20">
      <w:pPr>
        <w:pStyle w:val="ListParagraph"/>
        <w:rPr>
          <w:rFonts w:ascii="Arial" w:eastAsia="Calibri" w:hAnsi="Arial" w:cs="Arial"/>
          <w:color w:val="0070C0"/>
        </w:rPr>
      </w:pPr>
    </w:p>
    <w:p w14:paraId="0008AA7A" w14:textId="77777777" w:rsidR="00715560" w:rsidRPr="009E34A6" w:rsidRDefault="00715560" w:rsidP="00805F11">
      <w:pPr>
        <w:pStyle w:val="ListParagraph"/>
        <w:autoSpaceDE w:val="0"/>
        <w:autoSpaceDN w:val="0"/>
        <w:adjustRightInd w:val="0"/>
        <w:spacing w:after="0" w:line="240" w:lineRule="auto"/>
        <w:ind w:left="851"/>
        <w:rPr>
          <w:rFonts w:ascii="Arial" w:eastAsia="Calibri" w:hAnsi="Arial" w:cs="Arial"/>
          <w:color w:val="auto"/>
        </w:rPr>
      </w:pPr>
    </w:p>
    <w:p w14:paraId="6FBBD091" w14:textId="1347FDD5" w:rsidR="00715560" w:rsidRPr="00882778"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strike/>
          <w:color w:val="auto"/>
          <w:szCs w:val="24"/>
        </w:rPr>
      </w:pPr>
      <w:r w:rsidRPr="00882778">
        <w:rPr>
          <w:rFonts w:ascii="Arial" w:eastAsia="Calibri" w:hAnsi="Arial" w:cs="Arial"/>
          <w:b/>
          <w:bCs/>
          <w:strike/>
          <w:color w:val="auto"/>
          <w:szCs w:val="24"/>
        </w:rPr>
        <w:t xml:space="preserve">H1Vd: </w:t>
      </w:r>
      <w:proofErr w:type="spellStart"/>
      <w:r w:rsidRPr="00882778">
        <w:rPr>
          <w:rFonts w:ascii="Arial" w:eastAsia="Calibri" w:hAnsi="Arial" w:cs="Arial"/>
          <w:b/>
          <w:bCs/>
          <w:strike/>
          <w:color w:val="auto"/>
          <w:szCs w:val="24"/>
        </w:rPr>
        <w:t>Adj</w:t>
      </w:r>
      <w:proofErr w:type="spellEnd"/>
      <w:r w:rsidRPr="00882778">
        <w:rPr>
          <w:rFonts w:ascii="Arial" w:eastAsia="Calibri" w:hAnsi="Arial" w:cs="Arial"/>
          <w:b/>
          <w:bCs/>
          <w:strike/>
          <w:color w:val="auto"/>
          <w:szCs w:val="24"/>
        </w:rPr>
        <w:t xml:space="preserve"> 149 Stoney Lane, </w:t>
      </w:r>
      <w:proofErr w:type="spellStart"/>
      <w:r w:rsidRPr="00882778">
        <w:rPr>
          <w:rFonts w:ascii="Arial" w:eastAsia="Calibri" w:hAnsi="Arial" w:cs="Arial"/>
          <w:b/>
          <w:bCs/>
          <w:strike/>
          <w:color w:val="auto"/>
          <w:szCs w:val="24"/>
        </w:rPr>
        <w:t>Selston</w:t>
      </w:r>
      <w:proofErr w:type="spellEnd"/>
      <w:r w:rsidRPr="00882778">
        <w:rPr>
          <w:rFonts w:ascii="Arial" w:eastAsia="Calibri" w:hAnsi="Arial" w:cs="Arial"/>
          <w:strike/>
          <w:color w:val="auto"/>
          <w:szCs w:val="24"/>
        </w:rPr>
        <w:t>. This is a small greenfield site</w:t>
      </w:r>
      <w:r w:rsidR="004C1505" w:rsidRPr="00882778">
        <w:rPr>
          <w:rFonts w:ascii="Arial" w:eastAsia="Calibri" w:hAnsi="Arial" w:cs="Arial"/>
          <w:strike/>
          <w:color w:val="auto"/>
          <w:szCs w:val="24"/>
        </w:rPr>
        <w:t xml:space="preserve"> has been assessed as available, potentially suitable, and potentially achievable in the SHELAA (ref. SJU016). It is </w:t>
      </w:r>
      <w:r w:rsidRPr="00882778">
        <w:rPr>
          <w:rFonts w:ascii="Arial" w:eastAsia="Calibri" w:hAnsi="Arial" w:cs="Arial"/>
          <w:strike/>
          <w:color w:val="auto"/>
          <w:szCs w:val="24"/>
        </w:rPr>
        <w:t xml:space="preserve">located adjacent to the existing built area of </w:t>
      </w:r>
      <w:proofErr w:type="spellStart"/>
      <w:r w:rsidRPr="00882778">
        <w:rPr>
          <w:rFonts w:ascii="Arial" w:eastAsia="Calibri" w:hAnsi="Arial" w:cs="Arial"/>
          <w:strike/>
          <w:color w:val="auto"/>
          <w:szCs w:val="24"/>
        </w:rPr>
        <w:t>Selston</w:t>
      </w:r>
      <w:proofErr w:type="spellEnd"/>
      <w:r w:rsidRPr="00882778">
        <w:rPr>
          <w:rFonts w:ascii="Arial" w:eastAsia="Calibri" w:hAnsi="Arial" w:cs="Arial"/>
          <w:strike/>
          <w:color w:val="auto"/>
          <w:szCs w:val="24"/>
        </w:rPr>
        <w:t xml:space="preserve"> on land previously designated as Green Belt</w:t>
      </w:r>
      <w:r w:rsidR="004C1505" w:rsidRPr="00882778">
        <w:rPr>
          <w:rFonts w:ascii="Arial" w:eastAsia="Calibri" w:hAnsi="Arial" w:cs="Arial"/>
          <w:strike/>
          <w:color w:val="auto"/>
          <w:szCs w:val="24"/>
        </w:rPr>
        <w:t xml:space="preserve"> and contains several sheds and outbuildings associated with a small holding.  The site is well contained by a mature hedgerow to the west and south, by residential development to the east, and agricultural buildings to the north.</w:t>
      </w:r>
    </w:p>
    <w:p w14:paraId="27DA9A93" w14:textId="77777777" w:rsidR="003E3324" w:rsidRPr="003E3324" w:rsidRDefault="003E3324" w:rsidP="003E3324">
      <w:pPr>
        <w:pStyle w:val="ListParagraph"/>
        <w:autoSpaceDE w:val="0"/>
        <w:autoSpaceDN w:val="0"/>
        <w:adjustRightInd w:val="0"/>
        <w:spacing w:after="0" w:line="240" w:lineRule="auto"/>
        <w:ind w:left="851"/>
        <w:rPr>
          <w:rFonts w:ascii="Arial" w:eastAsia="Calibri" w:hAnsi="Arial" w:cs="Arial"/>
          <w:color w:val="4472C4" w:themeColor="accent1"/>
          <w:szCs w:val="24"/>
        </w:rPr>
      </w:pPr>
    </w:p>
    <w:p w14:paraId="4D5E1CFE" w14:textId="4E4FB615" w:rsidR="004C1505" w:rsidRDefault="003E3324" w:rsidP="00874A98">
      <w:pPr>
        <w:pStyle w:val="ListParagraph"/>
        <w:numPr>
          <w:ilvl w:val="1"/>
          <w:numId w:val="92"/>
        </w:numPr>
        <w:autoSpaceDE w:val="0"/>
        <w:autoSpaceDN w:val="0"/>
        <w:adjustRightInd w:val="0"/>
        <w:spacing w:after="0" w:line="240" w:lineRule="auto"/>
        <w:ind w:left="851" w:hanging="851"/>
        <w:rPr>
          <w:rFonts w:ascii="Arial" w:eastAsia="Arial" w:hAnsi="Arial" w:cs="Arial"/>
          <w:strike/>
          <w:color w:val="auto"/>
          <w:szCs w:val="24"/>
        </w:rPr>
      </w:pPr>
      <w:r w:rsidRPr="006C6E20">
        <w:rPr>
          <w:rFonts w:ascii="Arial" w:eastAsia="Calibri" w:hAnsi="Arial" w:cs="Arial"/>
          <w:strike/>
          <w:color w:val="auto"/>
          <w:szCs w:val="24"/>
        </w:rPr>
        <w:lastRenderedPageBreak/>
        <w:t>There is likely existence of contamination due to previous land uses and a former tramway which</w:t>
      </w:r>
      <w:r w:rsidRPr="006C6E20">
        <w:rPr>
          <w:rFonts w:ascii="Arial" w:eastAsia="Arial" w:hAnsi="Arial" w:cs="Arial"/>
          <w:strike/>
          <w:color w:val="auto"/>
          <w:szCs w:val="24"/>
        </w:rPr>
        <w:t xml:space="preserve"> ran along the north-western site boundary. There are also likely to be some ground stability issues as the site is located within a </w:t>
      </w:r>
      <w:proofErr w:type="gramStart"/>
      <w:r w:rsidRPr="006C6E20">
        <w:rPr>
          <w:rFonts w:ascii="Arial" w:eastAsia="Arial" w:hAnsi="Arial" w:cs="Arial"/>
          <w:strike/>
          <w:color w:val="auto"/>
          <w:szCs w:val="24"/>
        </w:rPr>
        <w:t>high risk</w:t>
      </w:r>
      <w:proofErr w:type="gramEnd"/>
      <w:r w:rsidRPr="006C6E20">
        <w:rPr>
          <w:rFonts w:ascii="Arial" w:eastAsia="Arial" w:hAnsi="Arial" w:cs="Arial"/>
          <w:strike/>
          <w:color w:val="auto"/>
          <w:szCs w:val="24"/>
        </w:rPr>
        <w:t xml:space="preserve"> coal area. A small area in the north of the site is subject to medium risk of surface water flooding.</w:t>
      </w:r>
    </w:p>
    <w:p w14:paraId="2E439237" w14:textId="77777777" w:rsidR="00212CBB" w:rsidRPr="00212CBB" w:rsidRDefault="00212CBB" w:rsidP="00212CBB">
      <w:pPr>
        <w:autoSpaceDE w:val="0"/>
        <w:autoSpaceDN w:val="0"/>
        <w:adjustRightInd w:val="0"/>
        <w:rPr>
          <w:rFonts w:eastAsia="Arial" w:cs="Arial"/>
          <w:strike/>
          <w:color w:val="auto"/>
          <w:szCs w:val="24"/>
        </w:rPr>
      </w:pPr>
    </w:p>
    <w:tbl>
      <w:tblPr>
        <w:tblStyle w:val="ReportTable1"/>
        <w:tblW w:w="9634" w:type="dxa"/>
        <w:tblLook w:val="04A0" w:firstRow="1" w:lastRow="0" w:firstColumn="1" w:lastColumn="0" w:noHBand="0" w:noVBand="1"/>
      </w:tblPr>
      <w:tblGrid>
        <w:gridCol w:w="2635"/>
        <w:gridCol w:w="6999"/>
      </w:tblGrid>
      <w:tr w:rsidR="00B2285E" w:rsidRPr="006A097C" w14:paraId="1E06BE3B" w14:textId="77777777" w:rsidTr="00476E4D">
        <w:tc>
          <w:tcPr>
            <w:tcW w:w="9634" w:type="dxa"/>
            <w:gridSpan w:val="2"/>
          </w:tcPr>
          <w:p w14:paraId="08AE33D2" w14:textId="77777777" w:rsidR="00B2285E" w:rsidRPr="00B2285E" w:rsidRDefault="00B2285E">
            <w:pPr>
              <w:pStyle w:val="Heading"/>
              <w:spacing w:before="120" w:after="120"/>
              <w:rPr>
                <w:rStyle w:val="Heading10"/>
                <w:rFonts w:cs="Arial"/>
                <w:b/>
                <w:bCs/>
                <w:color w:val="0070C0"/>
                <w:szCs w:val="24"/>
              </w:rPr>
            </w:pPr>
            <w:r w:rsidRPr="00B2285E">
              <w:rPr>
                <w:rStyle w:val="Heading10"/>
                <w:rFonts w:cs="Arial"/>
                <w:b/>
                <w:bCs/>
                <w:color w:val="0070C0"/>
                <w:szCs w:val="24"/>
              </w:rPr>
              <w:t xml:space="preserve">Policy H1Ve: Land off Park Lane / South-West M1, </w:t>
            </w:r>
            <w:proofErr w:type="spellStart"/>
            <w:r w:rsidRPr="00B2285E">
              <w:rPr>
                <w:rStyle w:val="Heading10"/>
                <w:rFonts w:cs="Arial"/>
                <w:b/>
                <w:bCs/>
                <w:color w:val="0070C0"/>
                <w:szCs w:val="24"/>
              </w:rPr>
              <w:t>Selston</w:t>
            </w:r>
            <w:proofErr w:type="spellEnd"/>
          </w:p>
        </w:tc>
      </w:tr>
      <w:tr w:rsidR="00B2285E" w:rsidRPr="006A097C" w14:paraId="281FC874" w14:textId="77777777" w:rsidTr="00476E4D">
        <w:tc>
          <w:tcPr>
            <w:tcW w:w="2635" w:type="dxa"/>
          </w:tcPr>
          <w:p w14:paraId="03BCA718" w14:textId="77777777" w:rsidR="00B2285E" w:rsidRPr="006A097C" w:rsidRDefault="00B2285E">
            <w:pPr>
              <w:pStyle w:val="Heading"/>
              <w:spacing w:before="40" w:after="40"/>
              <w:rPr>
                <w:rStyle w:val="Heading10"/>
                <w:rFonts w:cs="Arial"/>
                <w:b/>
                <w:color w:val="0070C0"/>
                <w:szCs w:val="24"/>
              </w:rPr>
            </w:pPr>
            <w:r w:rsidRPr="006A097C">
              <w:rPr>
                <w:rStyle w:val="Heading10"/>
                <w:rFonts w:cs="Arial"/>
                <w:color w:val="0070C0"/>
                <w:szCs w:val="24"/>
              </w:rPr>
              <w:t>Strategic Objectives</w:t>
            </w:r>
          </w:p>
        </w:tc>
        <w:tc>
          <w:tcPr>
            <w:tcW w:w="6999" w:type="dxa"/>
          </w:tcPr>
          <w:p w14:paraId="7762E608" w14:textId="77777777" w:rsidR="00B2285E" w:rsidRPr="006A097C" w:rsidRDefault="00B2285E">
            <w:pPr>
              <w:pStyle w:val="Heading"/>
              <w:spacing w:before="40" w:after="40"/>
              <w:rPr>
                <w:rStyle w:val="Heading10"/>
                <w:rFonts w:cs="Arial"/>
                <w:b/>
                <w:color w:val="0070C0"/>
                <w:szCs w:val="24"/>
              </w:rPr>
            </w:pPr>
            <w:r w:rsidRPr="006A097C">
              <w:rPr>
                <w:rStyle w:val="Heading10"/>
                <w:rFonts w:cs="Arial"/>
                <w:color w:val="0070C0"/>
                <w:szCs w:val="24"/>
              </w:rPr>
              <w:t>SO3, SO5, SO11, SO12, SO13</w:t>
            </w:r>
          </w:p>
        </w:tc>
      </w:tr>
      <w:tr w:rsidR="00B2285E" w:rsidRPr="006A097C" w14:paraId="32379B53" w14:textId="77777777" w:rsidTr="00476E4D">
        <w:trPr>
          <w:trHeight w:val="1190"/>
        </w:trPr>
        <w:tc>
          <w:tcPr>
            <w:tcW w:w="9634" w:type="dxa"/>
            <w:gridSpan w:val="2"/>
            <w:shd w:val="clear" w:color="auto" w:fill="FFCC99"/>
          </w:tcPr>
          <w:p w14:paraId="6659D43E" w14:textId="77777777" w:rsidR="00B2285E" w:rsidRPr="005F5AF9" w:rsidRDefault="00B2285E">
            <w:pPr>
              <w:pStyle w:val="Policy"/>
              <w:tabs>
                <w:tab w:val="clear" w:pos="680"/>
                <w:tab w:val="left" w:pos="306"/>
              </w:tabs>
              <w:spacing w:after="0" w:line="240" w:lineRule="auto"/>
              <w:ind w:left="306" w:right="284"/>
              <w:rPr>
                <w:rStyle w:val="Heading10"/>
                <w:rFonts w:cs="Arial"/>
                <w:color w:val="005CA9"/>
                <w:szCs w:val="24"/>
              </w:rPr>
            </w:pPr>
          </w:p>
          <w:p w14:paraId="1F304104" w14:textId="77777777" w:rsidR="00B2285E" w:rsidRPr="005F5AF9" w:rsidRDefault="00B2285E">
            <w:pPr>
              <w:pStyle w:val="Policy"/>
              <w:tabs>
                <w:tab w:val="clear" w:pos="680"/>
                <w:tab w:val="left" w:pos="306"/>
              </w:tabs>
              <w:spacing w:after="0" w:line="240" w:lineRule="auto"/>
              <w:ind w:left="306" w:right="284"/>
              <w:rPr>
                <w:bCs/>
                <w:color w:val="005CA9"/>
              </w:rPr>
            </w:pPr>
            <w:r w:rsidRPr="005F5AF9">
              <w:rPr>
                <w:bCs/>
                <w:color w:val="005CA9"/>
                <w:sz w:val="24"/>
                <w:szCs w:val="24"/>
              </w:rPr>
              <w:t>Residential development to deliver approximately 169 dwellings will be permitted on site H1Ve as shown on the Policies Map, subject to detailed planning consent. Any future development proposal will need to include the following specific requirements, in addition to satisfying other relevant Local Plan policies as applicable:</w:t>
            </w:r>
            <w:r w:rsidRPr="005F5AF9">
              <w:rPr>
                <w:bCs/>
                <w:color w:val="005CA9"/>
              </w:rPr>
              <w:t xml:space="preserve"> </w:t>
            </w:r>
          </w:p>
          <w:p w14:paraId="193AFEE9" w14:textId="77777777" w:rsidR="00B2285E" w:rsidRPr="005F5AF9" w:rsidRDefault="00B2285E">
            <w:pPr>
              <w:spacing w:before="0"/>
              <w:rPr>
                <w:rStyle w:val="Heading10"/>
                <w:b w:val="0"/>
                <w:bCs/>
                <w:color w:val="005CA9"/>
                <w:szCs w:val="24"/>
              </w:rPr>
            </w:pPr>
          </w:p>
          <w:p w14:paraId="0751FCED" w14:textId="77777777" w:rsidR="00B2285E" w:rsidRPr="005F5AF9" w:rsidRDefault="00B2285E" w:rsidP="00B2285E">
            <w:pPr>
              <w:pStyle w:val="Policy"/>
              <w:numPr>
                <w:ilvl w:val="0"/>
                <w:numId w:val="352"/>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A landscape buffer to be r</w:t>
            </w:r>
            <w:r w:rsidRPr="005F5AF9">
              <w:rPr>
                <w:rStyle w:val="Heading10"/>
                <w:b w:val="0"/>
                <w:color w:val="005CA9"/>
                <w:szCs w:val="24"/>
              </w:rPr>
              <w:t xml:space="preserve">etained and enhanced </w:t>
            </w:r>
            <w:r w:rsidRPr="005F5AF9">
              <w:rPr>
                <w:rStyle w:val="Heading10"/>
                <w:rFonts w:cs="Arial"/>
                <w:b w:val="0"/>
                <w:color w:val="005CA9"/>
                <w:szCs w:val="24"/>
              </w:rPr>
              <w:t>to the north-</w:t>
            </w:r>
            <w:r w:rsidRPr="005F5AF9">
              <w:rPr>
                <w:rStyle w:val="Heading10"/>
                <w:b w:val="0"/>
                <w:color w:val="005CA9"/>
                <w:szCs w:val="24"/>
              </w:rPr>
              <w:t>west</w:t>
            </w:r>
            <w:r w:rsidRPr="005F5AF9">
              <w:rPr>
                <w:rStyle w:val="Heading10"/>
                <w:rFonts w:cs="Arial"/>
                <w:b w:val="0"/>
                <w:color w:val="005CA9"/>
                <w:szCs w:val="24"/>
              </w:rPr>
              <w:t xml:space="preserve"> of the site to minimise mitigate harm to the Green Belt; and</w:t>
            </w:r>
          </w:p>
          <w:p w14:paraId="6F60C020" w14:textId="77777777" w:rsidR="00B2285E" w:rsidRPr="005F5AF9" w:rsidRDefault="00B2285E">
            <w:pPr>
              <w:pStyle w:val="Policy"/>
              <w:tabs>
                <w:tab w:val="clear" w:pos="680"/>
              </w:tabs>
              <w:spacing w:after="0" w:line="240" w:lineRule="auto"/>
              <w:ind w:left="720" w:right="284"/>
              <w:rPr>
                <w:rStyle w:val="Heading10"/>
                <w:rFonts w:cs="Arial"/>
                <w:b w:val="0"/>
                <w:color w:val="005CA9"/>
                <w:szCs w:val="24"/>
              </w:rPr>
            </w:pPr>
          </w:p>
          <w:p w14:paraId="6DB77605" w14:textId="77777777" w:rsidR="00B2285E" w:rsidRPr="005F5AF9" w:rsidRDefault="00B2285E" w:rsidP="00B2285E">
            <w:pPr>
              <w:pStyle w:val="ListParagraph"/>
              <w:numPr>
                <w:ilvl w:val="0"/>
                <w:numId w:val="352"/>
              </w:numPr>
              <w:spacing w:after="160" w:line="259" w:lineRule="auto"/>
              <w:contextualSpacing w:val="0"/>
              <w:rPr>
                <w:rStyle w:val="Heading10"/>
                <w:rFonts w:eastAsia="Times New Roman"/>
                <w:bCs/>
                <w:color w:val="005CA9"/>
                <w:szCs w:val="24"/>
              </w:rPr>
            </w:pPr>
            <w:r w:rsidRPr="005F5AF9">
              <w:rPr>
                <w:rFonts w:ascii="Arial" w:hAnsi="Arial" w:cs="Arial"/>
                <w:bCs/>
                <w:color w:val="005CA9"/>
                <w:szCs w:val="24"/>
              </w:rPr>
              <w:t>A Noise Impact Assessment (in relation to the M1 Motorway).</w:t>
            </w:r>
          </w:p>
        </w:tc>
      </w:tr>
    </w:tbl>
    <w:p w14:paraId="4CC03172" w14:textId="77777777" w:rsidR="006C6E20" w:rsidRPr="009E34A6" w:rsidRDefault="006C6E20" w:rsidP="003E3324">
      <w:pPr>
        <w:pStyle w:val="ListParagraph"/>
        <w:autoSpaceDE w:val="0"/>
        <w:autoSpaceDN w:val="0"/>
        <w:adjustRightInd w:val="0"/>
        <w:spacing w:after="0" w:line="240" w:lineRule="auto"/>
        <w:ind w:left="0"/>
        <w:rPr>
          <w:rFonts w:ascii="Arial" w:eastAsia="Arial" w:hAnsi="Arial" w:cs="Arial"/>
          <w:color w:val="auto"/>
          <w:szCs w:val="24"/>
        </w:rPr>
      </w:pPr>
    </w:p>
    <w:p w14:paraId="133D3527" w14:textId="5CFAA6EB" w:rsidR="00715560" w:rsidRPr="003C4302"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rPr>
      </w:pPr>
      <w:r w:rsidRPr="0056594F">
        <w:rPr>
          <w:rFonts w:ascii="Arial" w:eastAsia="Calibri" w:hAnsi="Arial" w:cs="Arial"/>
          <w:b/>
          <w:bCs/>
          <w:color w:val="auto"/>
          <w:szCs w:val="24"/>
        </w:rPr>
        <w:t>H1Ve: Land off Park Lane/ South</w:t>
      </w:r>
      <w:r w:rsidR="00212CBB">
        <w:rPr>
          <w:rFonts w:ascii="Arial" w:eastAsia="Calibri" w:hAnsi="Arial" w:cs="Arial"/>
          <w:b/>
          <w:bCs/>
          <w:color w:val="auto"/>
          <w:szCs w:val="24"/>
        </w:rPr>
        <w:t>-</w:t>
      </w:r>
      <w:r w:rsidRPr="0056594F">
        <w:rPr>
          <w:rFonts w:ascii="Arial" w:eastAsia="Calibri" w:hAnsi="Arial" w:cs="Arial"/>
          <w:b/>
          <w:bCs/>
          <w:color w:val="auto"/>
          <w:szCs w:val="24"/>
        </w:rPr>
        <w:t xml:space="preserve">West M1, </w:t>
      </w:r>
      <w:proofErr w:type="spellStart"/>
      <w:r w:rsidRPr="0056594F">
        <w:rPr>
          <w:rFonts w:ascii="Arial" w:eastAsia="Calibri" w:hAnsi="Arial" w:cs="Arial"/>
          <w:b/>
          <w:bCs/>
          <w:color w:val="auto"/>
          <w:szCs w:val="24"/>
        </w:rPr>
        <w:t>Selston</w:t>
      </w:r>
      <w:proofErr w:type="spellEnd"/>
      <w:r w:rsidRPr="0056594F">
        <w:rPr>
          <w:rFonts w:ascii="Arial" w:eastAsia="Calibri" w:hAnsi="Arial" w:cs="Arial"/>
          <w:color w:val="auto"/>
          <w:szCs w:val="24"/>
        </w:rPr>
        <w:t>.</w:t>
      </w:r>
      <w:r w:rsidRPr="0056594F">
        <w:rPr>
          <w:rFonts w:ascii="Arial" w:eastAsia="Calibri" w:hAnsi="Arial" w:cs="Arial"/>
          <w:color w:val="auto"/>
        </w:rPr>
        <w:t xml:space="preserve"> This</w:t>
      </w:r>
      <w:r w:rsidRPr="009E34A6">
        <w:rPr>
          <w:rFonts w:ascii="Arial" w:eastAsia="Calibri" w:hAnsi="Arial" w:cs="Arial"/>
          <w:color w:val="auto"/>
        </w:rPr>
        <w:t xml:space="preserve"> greenfield site </w:t>
      </w:r>
      <w:r w:rsidR="005068CB" w:rsidRPr="009E34A6">
        <w:rPr>
          <w:rFonts w:ascii="Arial" w:eastAsia="Calibri" w:hAnsi="Arial" w:cs="Arial"/>
          <w:color w:val="auto"/>
          <w:szCs w:val="24"/>
        </w:rPr>
        <w:t xml:space="preserve">has been assessed as available, potentially suitable, and potentially achievable in the SHELAA (refs. SJU018, SJU020). It </w:t>
      </w:r>
      <w:r w:rsidRPr="009E34A6">
        <w:rPr>
          <w:rFonts w:ascii="Arial" w:eastAsia="Calibri" w:hAnsi="Arial" w:cs="Arial"/>
          <w:color w:val="auto"/>
        </w:rPr>
        <w:t xml:space="preserve">is located adjacent to the existing built area of </w:t>
      </w:r>
      <w:proofErr w:type="spellStart"/>
      <w:r w:rsidRPr="004E64A8">
        <w:rPr>
          <w:rFonts w:ascii="Arial" w:eastAsia="Calibri" w:hAnsi="Arial" w:cs="Arial"/>
          <w:color w:val="auto"/>
        </w:rPr>
        <w:t>Selston</w:t>
      </w:r>
      <w:proofErr w:type="spellEnd"/>
      <w:r w:rsidRPr="004E64A8">
        <w:rPr>
          <w:rFonts w:ascii="Arial" w:eastAsia="Calibri" w:hAnsi="Arial" w:cs="Arial"/>
          <w:color w:val="auto"/>
        </w:rPr>
        <w:t xml:space="preserve"> </w:t>
      </w:r>
      <w:r w:rsidRPr="00DB5D5B">
        <w:rPr>
          <w:rFonts w:ascii="Arial" w:eastAsia="Calibri" w:hAnsi="Arial" w:cs="Arial"/>
          <w:color w:val="auto"/>
        </w:rPr>
        <w:t>on land previously designated as Green Belt.</w:t>
      </w:r>
      <w:r w:rsidRPr="004E64A8">
        <w:rPr>
          <w:rFonts w:ascii="Arial" w:eastAsia="Calibri" w:hAnsi="Arial" w:cs="Arial"/>
          <w:color w:val="auto"/>
        </w:rPr>
        <w:t xml:space="preserve"> The site is well contained by</w:t>
      </w:r>
      <w:r w:rsidRPr="003C4302">
        <w:rPr>
          <w:rFonts w:ascii="Arial" w:eastAsia="Calibri" w:hAnsi="Arial" w:cs="Arial"/>
          <w:color w:val="auto"/>
        </w:rPr>
        <w:t xml:space="preserve"> the M1 motorway to the east and existing residential development to the west.</w:t>
      </w:r>
      <w:r w:rsidRPr="003C4302">
        <w:rPr>
          <w:rFonts w:ascii="Arial" w:eastAsia="Calibri" w:hAnsi="Arial" w:cs="Arial"/>
          <w:color w:val="auto"/>
          <w:szCs w:val="24"/>
        </w:rPr>
        <w:t xml:space="preserve"> Due to the proximity of the M1 motorway a noise impact assessment will be required to inform mitigation measures for development proposals where necessary. Contamination is suspected due to previous uses. The site also lies within an SSSI Impact Risk Zone. There is evidence of some surface water flooding within the site boundary.</w:t>
      </w:r>
    </w:p>
    <w:p w14:paraId="38CE8FCF" w14:textId="77777777" w:rsidR="00715560" w:rsidRPr="003C4302" w:rsidRDefault="00715560" w:rsidP="001A2C49">
      <w:pPr>
        <w:autoSpaceDE w:val="0"/>
        <w:autoSpaceDN w:val="0"/>
        <w:adjustRightInd w:val="0"/>
        <w:rPr>
          <w:rFonts w:eastAsia="Calibri" w:cs="Arial"/>
          <w:color w:val="4472C4" w:themeColor="accent1"/>
          <w:szCs w:val="24"/>
        </w:rPr>
      </w:pPr>
    </w:p>
    <w:tbl>
      <w:tblPr>
        <w:tblStyle w:val="ReportTable1"/>
        <w:tblW w:w="9634" w:type="dxa"/>
        <w:tblLook w:val="04A0" w:firstRow="1" w:lastRow="0" w:firstColumn="1" w:lastColumn="0" w:noHBand="0" w:noVBand="1"/>
      </w:tblPr>
      <w:tblGrid>
        <w:gridCol w:w="2635"/>
        <w:gridCol w:w="6999"/>
      </w:tblGrid>
      <w:tr w:rsidR="00B20E61" w:rsidRPr="003C4302" w14:paraId="345C19D1" w14:textId="77777777" w:rsidTr="00476E4D">
        <w:tc>
          <w:tcPr>
            <w:tcW w:w="9634" w:type="dxa"/>
            <w:gridSpan w:val="2"/>
          </w:tcPr>
          <w:p w14:paraId="34D6ED58" w14:textId="77777777" w:rsidR="00B20E61" w:rsidRPr="003C4302" w:rsidRDefault="00B20E61">
            <w:pPr>
              <w:pStyle w:val="Heading"/>
              <w:spacing w:before="120" w:after="120"/>
              <w:rPr>
                <w:rStyle w:val="Heading10"/>
                <w:rFonts w:cs="Arial"/>
                <w:b/>
                <w:bCs/>
                <w:color w:val="0070C0"/>
                <w:szCs w:val="24"/>
              </w:rPr>
            </w:pPr>
            <w:r w:rsidRPr="003C4302">
              <w:rPr>
                <w:rStyle w:val="Heading10"/>
                <w:rFonts w:cs="Arial"/>
                <w:b/>
                <w:bCs/>
                <w:color w:val="0070C0"/>
                <w:szCs w:val="24"/>
              </w:rPr>
              <w:t>Policy H1Vg: Land North of Larch Close, Underwood</w:t>
            </w:r>
          </w:p>
        </w:tc>
      </w:tr>
      <w:tr w:rsidR="00B20E61" w:rsidRPr="003C4302" w14:paraId="30030950" w14:textId="77777777" w:rsidTr="00476E4D">
        <w:tc>
          <w:tcPr>
            <w:tcW w:w="2635" w:type="dxa"/>
          </w:tcPr>
          <w:p w14:paraId="4C574064" w14:textId="77777777" w:rsidR="00B20E61" w:rsidRPr="003C4302" w:rsidRDefault="00B20E61">
            <w:pPr>
              <w:pStyle w:val="Heading"/>
              <w:spacing w:before="40" w:after="40"/>
              <w:rPr>
                <w:rStyle w:val="Heading10"/>
                <w:rFonts w:cs="Arial"/>
                <w:b/>
                <w:color w:val="0070C0"/>
                <w:szCs w:val="24"/>
              </w:rPr>
            </w:pPr>
            <w:r w:rsidRPr="003C4302">
              <w:rPr>
                <w:rStyle w:val="Heading10"/>
                <w:rFonts w:cs="Arial"/>
                <w:color w:val="0070C0"/>
                <w:szCs w:val="24"/>
              </w:rPr>
              <w:t>Strategic Objectives</w:t>
            </w:r>
          </w:p>
        </w:tc>
        <w:tc>
          <w:tcPr>
            <w:tcW w:w="6999" w:type="dxa"/>
          </w:tcPr>
          <w:p w14:paraId="4A4E1185" w14:textId="77777777" w:rsidR="00B20E61" w:rsidRPr="003C4302" w:rsidRDefault="00B20E61">
            <w:pPr>
              <w:pStyle w:val="Heading"/>
              <w:spacing w:before="40" w:after="40"/>
              <w:rPr>
                <w:rStyle w:val="Heading10"/>
                <w:rFonts w:cs="Arial"/>
                <w:b/>
                <w:color w:val="0070C0"/>
                <w:szCs w:val="24"/>
              </w:rPr>
            </w:pPr>
            <w:r w:rsidRPr="003C4302">
              <w:rPr>
                <w:rStyle w:val="Heading10"/>
                <w:rFonts w:cs="Arial"/>
                <w:color w:val="0070C0"/>
                <w:szCs w:val="24"/>
              </w:rPr>
              <w:t>SO3, SO5, SO11, SO12, SO13</w:t>
            </w:r>
          </w:p>
        </w:tc>
      </w:tr>
      <w:tr w:rsidR="00B20E61" w:rsidRPr="009C4890" w14:paraId="62D2EDCB" w14:textId="77777777" w:rsidTr="00476E4D">
        <w:trPr>
          <w:trHeight w:val="1190"/>
        </w:trPr>
        <w:tc>
          <w:tcPr>
            <w:tcW w:w="9634" w:type="dxa"/>
            <w:gridSpan w:val="2"/>
            <w:shd w:val="clear" w:color="auto" w:fill="FFCC99"/>
          </w:tcPr>
          <w:p w14:paraId="7F890E69" w14:textId="77777777" w:rsidR="00B20E61" w:rsidRPr="005F5AF9" w:rsidRDefault="00B20E61">
            <w:pPr>
              <w:pStyle w:val="Policy"/>
              <w:tabs>
                <w:tab w:val="clear" w:pos="680"/>
                <w:tab w:val="left" w:pos="306"/>
              </w:tabs>
              <w:spacing w:after="0" w:line="240" w:lineRule="auto"/>
              <w:ind w:left="306" w:right="284"/>
              <w:rPr>
                <w:rStyle w:val="Heading10"/>
                <w:rFonts w:cs="Arial"/>
                <w:color w:val="005CA9"/>
                <w:szCs w:val="24"/>
              </w:rPr>
            </w:pPr>
          </w:p>
          <w:p w14:paraId="47FAD5DE" w14:textId="77777777" w:rsidR="00B20E61" w:rsidRPr="005F5AF9" w:rsidRDefault="00B20E61">
            <w:pPr>
              <w:pStyle w:val="Policy"/>
              <w:tabs>
                <w:tab w:val="clear" w:pos="680"/>
                <w:tab w:val="left" w:pos="306"/>
              </w:tabs>
              <w:spacing w:after="0" w:line="240" w:lineRule="auto"/>
              <w:ind w:left="306" w:right="284"/>
              <w:rPr>
                <w:bCs/>
                <w:color w:val="005CA9"/>
              </w:rPr>
            </w:pPr>
            <w:r w:rsidRPr="005F5AF9">
              <w:rPr>
                <w:bCs/>
                <w:color w:val="005CA9"/>
                <w:sz w:val="24"/>
                <w:szCs w:val="24"/>
              </w:rPr>
              <w:t>Residential development to deliver approximately 52 dwellings will be permitted on site H1Vg as shown on the Policies Map, subject to detailed planning consent. Any future development proposal will need to include the following specific requirements, in addition to satisfying other relevant Local Plan policies as applicable:</w:t>
            </w:r>
            <w:r w:rsidRPr="005F5AF9">
              <w:rPr>
                <w:bCs/>
                <w:color w:val="005CA9"/>
              </w:rPr>
              <w:t xml:space="preserve"> </w:t>
            </w:r>
          </w:p>
          <w:p w14:paraId="09AC46D7" w14:textId="77777777" w:rsidR="00B20E61" w:rsidRPr="005F5AF9" w:rsidRDefault="00B20E61" w:rsidP="00B20E61">
            <w:pPr>
              <w:pStyle w:val="Policy"/>
              <w:tabs>
                <w:tab w:val="clear" w:pos="680"/>
              </w:tabs>
              <w:spacing w:after="0" w:line="240" w:lineRule="auto"/>
              <w:ind w:left="720" w:right="284"/>
              <w:rPr>
                <w:rStyle w:val="Heading10"/>
                <w:rFonts w:cs="Arial"/>
                <w:b w:val="0"/>
                <w:bCs/>
                <w:color w:val="005CA9"/>
                <w:szCs w:val="24"/>
              </w:rPr>
            </w:pPr>
          </w:p>
          <w:p w14:paraId="73699A5A" w14:textId="14FEAFD5" w:rsidR="00B20E61" w:rsidRPr="005F5AF9" w:rsidRDefault="00B20E61" w:rsidP="00B20E61">
            <w:pPr>
              <w:pStyle w:val="Policy"/>
              <w:numPr>
                <w:ilvl w:val="0"/>
                <w:numId w:val="353"/>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A new link road between Mansfield Road (B600) and Alfreton Road (A608);</w:t>
            </w:r>
          </w:p>
          <w:p w14:paraId="35536CCD" w14:textId="77777777" w:rsidR="00B20E61" w:rsidRPr="005F5AF9" w:rsidRDefault="00B20E61">
            <w:pPr>
              <w:pStyle w:val="Policy"/>
              <w:tabs>
                <w:tab w:val="clear" w:pos="680"/>
              </w:tabs>
              <w:spacing w:after="0" w:line="240" w:lineRule="auto"/>
              <w:ind w:left="720" w:right="284"/>
              <w:rPr>
                <w:rStyle w:val="Heading10"/>
                <w:rFonts w:cs="Arial"/>
                <w:b w:val="0"/>
                <w:color w:val="005CA9"/>
                <w:szCs w:val="24"/>
              </w:rPr>
            </w:pPr>
          </w:p>
          <w:p w14:paraId="5C81C2EC" w14:textId="77777777" w:rsidR="00B20E61" w:rsidRPr="005F5AF9" w:rsidRDefault="00B20E61" w:rsidP="00B20E61">
            <w:pPr>
              <w:pStyle w:val="Policy"/>
              <w:numPr>
                <w:ilvl w:val="0"/>
                <w:numId w:val="353"/>
              </w:numPr>
              <w:tabs>
                <w:tab w:val="clear" w:pos="680"/>
              </w:tabs>
              <w:spacing w:after="0" w:line="240" w:lineRule="auto"/>
              <w:ind w:right="284"/>
              <w:rPr>
                <w:rStyle w:val="Heading10"/>
                <w:rFonts w:cs="Arial"/>
                <w:b w:val="0"/>
                <w:color w:val="005CA9"/>
                <w:szCs w:val="24"/>
              </w:rPr>
            </w:pPr>
            <w:r w:rsidRPr="005F5AF9">
              <w:rPr>
                <w:rStyle w:val="Heading10"/>
                <w:rFonts w:cs="Arial"/>
                <w:b w:val="0"/>
                <w:color w:val="005CA9"/>
                <w:szCs w:val="24"/>
              </w:rPr>
              <w:t>A landscape buffer to be r</w:t>
            </w:r>
            <w:r w:rsidRPr="005F5AF9">
              <w:rPr>
                <w:rStyle w:val="Heading10"/>
                <w:b w:val="0"/>
                <w:color w:val="005CA9"/>
                <w:szCs w:val="24"/>
              </w:rPr>
              <w:t>etained and enhanced</w:t>
            </w:r>
            <w:r w:rsidRPr="005F5AF9">
              <w:rPr>
                <w:rStyle w:val="Heading10"/>
                <w:rFonts w:cs="Arial"/>
                <w:b w:val="0"/>
                <w:color w:val="005CA9"/>
                <w:szCs w:val="24"/>
              </w:rPr>
              <w:t xml:space="preserve"> to the north of the site to mitigate harm to the Green Belt; and</w:t>
            </w:r>
          </w:p>
          <w:p w14:paraId="791FB864" w14:textId="77777777" w:rsidR="00B20E61" w:rsidRPr="005F5AF9" w:rsidRDefault="00B20E61">
            <w:pPr>
              <w:pStyle w:val="Policy"/>
              <w:tabs>
                <w:tab w:val="clear" w:pos="680"/>
              </w:tabs>
              <w:spacing w:after="0" w:line="240" w:lineRule="auto"/>
              <w:ind w:left="720" w:right="284"/>
              <w:rPr>
                <w:rFonts w:cs="Arial"/>
                <w:color w:val="005CA9"/>
                <w:sz w:val="24"/>
                <w:szCs w:val="24"/>
              </w:rPr>
            </w:pPr>
          </w:p>
          <w:p w14:paraId="50F1BA4E" w14:textId="77777777" w:rsidR="00B20E61" w:rsidRPr="005F5AF9" w:rsidRDefault="00B20E61" w:rsidP="00B20E61">
            <w:pPr>
              <w:pStyle w:val="Policy"/>
              <w:numPr>
                <w:ilvl w:val="0"/>
                <w:numId w:val="353"/>
              </w:numPr>
              <w:tabs>
                <w:tab w:val="clear" w:pos="680"/>
              </w:tabs>
              <w:spacing w:after="0" w:line="240" w:lineRule="auto"/>
              <w:ind w:right="284"/>
              <w:rPr>
                <w:rStyle w:val="Heading10"/>
                <w:rFonts w:cs="Arial"/>
                <w:b w:val="0"/>
                <w:color w:val="005CA9"/>
                <w:szCs w:val="24"/>
              </w:rPr>
            </w:pPr>
            <w:r w:rsidRPr="005F5AF9">
              <w:rPr>
                <w:color w:val="005CA9"/>
                <w:sz w:val="24"/>
                <w:szCs w:val="24"/>
              </w:rPr>
              <w:t>An appropriate design scheme that c</w:t>
            </w:r>
            <w:r w:rsidRPr="005F5AF9">
              <w:rPr>
                <w:rFonts w:cs="Arial"/>
                <w:color w:val="005CA9"/>
                <w:sz w:val="24"/>
                <w:szCs w:val="24"/>
              </w:rPr>
              <w:t>reates a transition from urban to rural, using built density, height, materials and landscaping to create a more permeable edge.</w:t>
            </w:r>
          </w:p>
          <w:p w14:paraId="6485246A" w14:textId="77777777" w:rsidR="00B20E61" w:rsidRPr="005F5AF9" w:rsidRDefault="00B20E61">
            <w:pPr>
              <w:pStyle w:val="Policy"/>
              <w:tabs>
                <w:tab w:val="clear" w:pos="680"/>
              </w:tabs>
              <w:spacing w:after="0" w:line="240" w:lineRule="auto"/>
              <w:ind w:left="0" w:right="284"/>
              <w:rPr>
                <w:rStyle w:val="Heading10"/>
                <w:rFonts w:cs="Arial"/>
                <w:color w:val="005CA9"/>
                <w:szCs w:val="24"/>
              </w:rPr>
            </w:pPr>
          </w:p>
        </w:tc>
      </w:tr>
    </w:tbl>
    <w:p w14:paraId="5E38A0FF" w14:textId="77777777" w:rsidR="00476E4D" w:rsidRPr="009C4890" w:rsidRDefault="00476E4D" w:rsidP="00476E4D">
      <w:pPr>
        <w:pStyle w:val="ListParagraph"/>
        <w:autoSpaceDE w:val="0"/>
        <w:autoSpaceDN w:val="0"/>
        <w:adjustRightInd w:val="0"/>
        <w:spacing w:after="0" w:line="240" w:lineRule="auto"/>
        <w:ind w:left="851"/>
        <w:rPr>
          <w:rFonts w:ascii="Arial" w:eastAsia="Calibri" w:hAnsi="Arial" w:cs="Arial"/>
          <w:color w:val="auto"/>
          <w:szCs w:val="24"/>
        </w:rPr>
      </w:pPr>
      <w:bookmarkStart w:id="224" w:name="_Hlk148607002"/>
    </w:p>
    <w:p w14:paraId="3DCB582E" w14:textId="2621E588" w:rsidR="00DA78DE" w:rsidRPr="00ED1C15" w:rsidRDefault="00715560">
      <w:pPr>
        <w:pStyle w:val="ListParagraph"/>
        <w:numPr>
          <w:ilvl w:val="1"/>
          <w:numId w:val="92"/>
        </w:numPr>
        <w:autoSpaceDE w:val="0"/>
        <w:autoSpaceDN w:val="0"/>
        <w:adjustRightInd w:val="0"/>
        <w:spacing w:after="0" w:line="240" w:lineRule="auto"/>
        <w:ind w:left="851" w:hanging="851"/>
        <w:rPr>
          <w:rFonts w:eastAsia="Calibri" w:cs="Arial"/>
          <w:color w:val="auto"/>
          <w:szCs w:val="24"/>
        </w:rPr>
      </w:pPr>
      <w:r w:rsidRPr="00ED1C15">
        <w:rPr>
          <w:rFonts w:ascii="Arial" w:eastAsia="Calibri" w:hAnsi="Arial" w:cs="Arial"/>
          <w:b/>
          <w:bCs/>
          <w:color w:val="auto"/>
          <w:szCs w:val="24"/>
        </w:rPr>
        <w:t>H1Vg: Land North of Larch Close, Underwood.</w:t>
      </w:r>
      <w:r w:rsidRPr="00ED1C15">
        <w:rPr>
          <w:rFonts w:ascii="Arial" w:eastAsia="Calibri" w:hAnsi="Arial" w:cs="Arial"/>
          <w:color w:val="auto"/>
          <w:szCs w:val="24"/>
        </w:rPr>
        <w:t xml:space="preserve"> </w:t>
      </w:r>
      <w:r w:rsidR="004E64A8" w:rsidRPr="00ED1C15">
        <w:rPr>
          <w:rFonts w:ascii="Arial" w:hAnsi="Arial" w:cs="Arial"/>
          <w:color w:val="0070C0"/>
        </w:rPr>
        <w:t xml:space="preserve">The Council considered that there were exceptional circumstances to release this site from the Green Belt to meet housing needs in accordance with the spatial strategy as set out at Policy S1. </w:t>
      </w:r>
      <w:r w:rsidRPr="00ED1C15">
        <w:rPr>
          <w:rFonts w:ascii="Arial" w:eastAsia="Calibri" w:hAnsi="Arial" w:cs="Arial"/>
          <w:color w:val="auto"/>
        </w:rPr>
        <w:t xml:space="preserve">This </w:t>
      </w:r>
      <w:r w:rsidR="004143A2" w:rsidRPr="00ED1C15">
        <w:rPr>
          <w:rFonts w:ascii="Arial" w:eastAsia="Calibri" w:hAnsi="Arial" w:cs="Arial"/>
          <w:color w:val="auto"/>
        </w:rPr>
        <w:t xml:space="preserve">is predominantly a </w:t>
      </w:r>
      <w:r w:rsidRPr="00ED1C15">
        <w:rPr>
          <w:rFonts w:ascii="Arial" w:eastAsia="Calibri" w:hAnsi="Arial" w:cs="Arial"/>
          <w:color w:val="auto"/>
        </w:rPr>
        <w:t>greenfield site</w:t>
      </w:r>
      <w:r w:rsidR="00DA78DE" w:rsidRPr="00ED1C15">
        <w:rPr>
          <w:rFonts w:ascii="Arial" w:eastAsia="Calibri" w:hAnsi="Arial" w:cs="Arial"/>
          <w:color w:val="auto"/>
          <w:szCs w:val="24"/>
        </w:rPr>
        <w:t xml:space="preserve"> has been assessed as available, potentially suitable, and achievable in the SHELAA (ref. SJU031</w:t>
      </w:r>
      <w:r w:rsidR="004143A2" w:rsidRPr="00ED1C15">
        <w:rPr>
          <w:rFonts w:ascii="Arial" w:eastAsia="Calibri" w:hAnsi="Arial" w:cs="Arial"/>
          <w:color w:val="auto"/>
          <w:szCs w:val="24"/>
        </w:rPr>
        <w:t xml:space="preserve"> &amp; SJU043</w:t>
      </w:r>
      <w:r w:rsidR="00DA78DE" w:rsidRPr="00ED1C15">
        <w:rPr>
          <w:rFonts w:ascii="Arial" w:eastAsia="Calibri" w:hAnsi="Arial" w:cs="Arial"/>
          <w:color w:val="auto"/>
          <w:szCs w:val="24"/>
        </w:rPr>
        <w:t>). It</w:t>
      </w:r>
      <w:r w:rsidRPr="00ED1C15">
        <w:rPr>
          <w:rFonts w:ascii="Arial" w:eastAsia="Calibri" w:hAnsi="Arial" w:cs="Arial"/>
          <w:color w:val="auto"/>
        </w:rPr>
        <w:t xml:space="preserve"> is located adjacent to the existing built area of Underwood </w:t>
      </w:r>
      <w:r w:rsidRPr="00ED1C15">
        <w:rPr>
          <w:rFonts w:ascii="Arial" w:eastAsia="Calibri" w:hAnsi="Arial" w:cs="Arial"/>
          <w:strike/>
          <w:color w:val="auto"/>
        </w:rPr>
        <w:t>on land previously designated as Green Belt</w:t>
      </w:r>
      <w:r w:rsidRPr="00ED1C15">
        <w:rPr>
          <w:rFonts w:ascii="Arial" w:eastAsia="Calibri" w:hAnsi="Arial" w:cs="Arial"/>
          <w:color w:val="auto"/>
        </w:rPr>
        <w:t>, and is well contained by trees/mature hedgerows, with existing residential development to the south</w:t>
      </w:r>
      <w:r w:rsidR="00DA78DE" w:rsidRPr="00ED1C15">
        <w:rPr>
          <w:rFonts w:ascii="Arial" w:eastAsia="Calibri" w:hAnsi="Arial" w:cs="Arial"/>
          <w:color w:val="auto"/>
        </w:rPr>
        <w:t>-</w:t>
      </w:r>
      <w:r w:rsidRPr="00ED1C15">
        <w:rPr>
          <w:rFonts w:ascii="Arial" w:eastAsia="Calibri" w:hAnsi="Arial" w:cs="Arial"/>
          <w:color w:val="auto"/>
        </w:rPr>
        <w:t xml:space="preserve">west. The site currently comprises stables, a </w:t>
      </w:r>
      <w:proofErr w:type="spellStart"/>
      <w:r w:rsidRPr="00ED1C15">
        <w:rPr>
          <w:rFonts w:ascii="Arial" w:eastAsia="Calibri" w:hAnsi="Arial" w:cs="Arial"/>
          <w:color w:val="auto"/>
        </w:rPr>
        <w:t>manege</w:t>
      </w:r>
      <w:proofErr w:type="spellEnd"/>
      <w:r w:rsidRPr="00ED1C15">
        <w:rPr>
          <w:rFonts w:ascii="Arial" w:eastAsia="Calibri" w:hAnsi="Arial" w:cs="Arial"/>
          <w:color w:val="auto"/>
        </w:rPr>
        <w:t>, grazing</w:t>
      </w:r>
      <w:r w:rsidR="004143A2" w:rsidRPr="00ED1C15">
        <w:rPr>
          <w:rFonts w:ascii="Arial" w:eastAsia="Calibri" w:hAnsi="Arial" w:cs="Arial"/>
          <w:color w:val="auto"/>
        </w:rPr>
        <w:t xml:space="preserve"> land, </w:t>
      </w:r>
      <w:r w:rsidRPr="00ED1C15">
        <w:rPr>
          <w:rFonts w:ascii="Arial" w:eastAsia="Calibri" w:hAnsi="Arial" w:cs="Arial"/>
          <w:color w:val="auto"/>
        </w:rPr>
        <w:t>area</w:t>
      </w:r>
      <w:r w:rsidR="004143A2" w:rsidRPr="00ED1C15">
        <w:rPr>
          <w:rFonts w:ascii="Arial" w:eastAsia="Calibri" w:hAnsi="Arial" w:cs="Arial"/>
          <w:color w:val="auto"/>
        </w:rPr>
        <w:t>s</w:t>
      </w:r>
      <w:r w:rsidRPr="00ED1C15">
        <w:rPr>
          <w:rFonts w:ascii="Arial" w:eastAsia="Calibri" w:hAnsi="Arial" w:cs="Arial"/>
          <w:color w:val="auto"/>
        </w:rPr>
        <w:t xml:space="preserve"> of heavy tree cover in the north</w:t>
      </w:r>
      <w:r w:rsidR="004143A2" w:rsidRPr="00ED1C15">
        <w:rPr>
          <w:rFonts w:ascii="Arial" w:eastAsia="Calibri" w:hAnsi="Arial" w:cs="Arial"/>
          <w:color w:val="auto"/>
        </w:rPr>
        <w:t xml:space="preserve"> and a dwelling (99 Mansfield Road)</w:t>
      </w:r>
      <w:r w:rsidRPr="00ED1C15">
        <w:rPr>
          <w:rFonts w:ascii="Arial" w:eastAsia="Calibri" w:hAnsi="Arial" w:cs="Arial"/>
          <w:color w:val="auto"/>
        </w:rPr>
        <w:t>. The estimated yield from this site has been reduced to account for retention of mature trees of significance.</w:t>
      </w:r>
      <w:r w:rsidR="00DA78DE" w:rsidRPr="00ED1C15">
        <w:rPr>
          <w:rFonts w:ascii="Arial" w:eastAsia="Calibri" w:hAnsi="Arial" w:cs="Arial"/>
          <w:color w:val="auto"/>
        </w:rPr>
        <w:t xml:space="preserve"> </w:t>
      </w:r>
    </w:p>
    <w:p w14:paraId="3E1387FB" w14:textId="77777777" w:rsidR="00AB6EB3" w:rsidRPr="00ED1C15" w:rsidRDefault="00AB6EB3" w:rsidP="00AB6EB3">
      <w:pPr>
        <w:pStyle w:val="ListParagraph"/>
        <w:autoSpaceDE w:val="0"/>
        <w:autoSpaceDN w:val="0"/>
        <w:adjustRightInd w:val="0"/>
        <w:spacing w:after="0" w:line="240" w:lineRule="auto"/>
        <w:ind w:left="851"/>
        <w:rPr>
          <w:rFonts w:eastAsia="Calibri" w:cs="Arial"/>
          <w:color w:val="auto"/>
          <w:szCs w:val="24"/>
        </w:rPr>
      </w:pPr>
    </w:p>
    <w:p w14:paraId="37D10F7B" w14:textId="5176E288" w:rsidR="00715560"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ED1C15">
        <w:rPr>
          <w:rFonts w:ascii="Arial" w:eastAsia="Calibri" w:hAnsi="Arial" w:cs="Arial"/>
          <w:color w:val="auto"/>
          <w:szCs w:val="24"/>
        </w:rPr>
        <w:t>There is li</w:t>
      </w:r>
      <w:r w:rsidRPr="0053674B">
        <w:rPr>
          <w:rFonts w:ascii="Arial" w:eastAsia="Calibri" w:hAnsi="Arial" w:cs="Arial"/>
          <w:color w:val="auto"/>
          <w:szCs w:val="24"/>
        </w:rPr>
        <w:t xml:space="preserve">kely existence of contamination from a small spoil tip which will require investigation. Problems with ground gas are known to have existed </w:t>
      </w:r>
      <w:r w:rsidR="0053674B">
        <w:rPr>
          <w:rFonts w:ascii="Arial" w:eastAsia="Calibri" w:hAnsi="Arial" w:cs="Arial"/>
          <w:color w:val="auto"/>
          <w:szCs w:val="24"/>
        </w:rPr>
        <w:t>on</w:t>
      </w:r>
      <w:r w:rsidRPr="0053674B">
        <w:rPr>
          <w:rFonts w:ascii="Arial" w:eastAsia="Calibri" w:hAnsi="Arial" w:cs="Arial"/>
          <w:color w:val="auto"/>
          <w:szCs w:val="24"/>
        </w:rPr>
        <w:t xml:space="preserve"> the site and as such the risk of any ground gas migrating onto the site will need to be investigated further.</w:t>
      </w:r>
      <w:r w:rsidR="00DA78DE" w:rsidRPr="0053674B">
        <w:rPr>
          <w:rFonts w:ascii="Arial" w:eastAsia="Calibri" w:hAnsi="Arial" w:cs="Arial"/>
          <w:color w:val="auto"/>
          <w:szCs w:val="24"/>
        </w:rPr>
        <w:t xml:space="preserve"> </w:t>
      </w:r>
      <w:r w:rsidRPr="0053674B">
        <w:rPr>
          <w:rFonts w:ascii="Arial" w:eastAsia="Calibri" w:hAnsi="Arial" w:cs="Arial"/>
          <w:color w:val="auto"/>
          <w:szCs w:val="24"/>
        </w:rPr>
        <w:t xml:space="preserve">An area of </w:t>
      </w:r>
      <w:proofErr w:type="gramStart"/>
      <w:r w:rsidRPr="0053674B">
        <w:rPr>
          <w:rFonts w:ascii="Arial" w:eastAsia="Calibri" w:hAnsi="Arial" w:cs="Arial"/>
          <w:color w:val="auto"/>
          <w:szCs w:val="24"/>
        </w:rPr>
        <w:t>low risk</w:t>
      </w:r>
      <w:proofErr w:type="gramEnd"/>
      <w:r w:rsidRPr="0053674B">
        <w:rPr>
          <w:rFonts w:ascii="Arial" w:eastAsia="Calibri" w:hAnsi="Arial" w:cs="Arial"/>
          <w:color w:val="auto"/>
          <w:szCs w:val="24"/>
        </w:rPr>
        <w:t xml:space="preserve"> surface water flooding has been identified, which will require mitigation.</w:t>
      </w:r>
    </w:p>
    <w:p w14:paraId="44E80BF7" w14:textId="77777777" w:rsidR="0053674B" w:rsidRPr="0053674B" w:rsidRDefault="0053674B" w:rsidP="0053674B">
      <w:pPr>
        <w:pStyle w:val="ListParagraph"/>
        <w:rPr>
          <w:rFonts w:ascii="Arial" w:eastAsia="Calibri" w:hAnsi="Arial" w:cs="Arial"/>
          <w:color w:val="auto"/>
          <w:szCs w:val="24"/>
        </w:rPr>
      </w:pPr>
    </w:p>
    <w:p w14:paraId="116A7339" w14:textId="717A083E" w:rsidR="0053674B" w:rsidRPr="003C4302" w:rsidRDefault="0053674B"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53674B">
        <w:rPr>
          <w:rFonts w:ascii="Arial" w:eastAsia="Arial" w:hAnsi="Arial" w:cs="Arial"/>
          <w:bCs/>
          <w:iCs/>
          <w:color w:val="auto"/>
          <w:szCs w:val="24"/>
        </w:rPr>
        <w:t xml:space="preserve">There are existing highways issues in the wider area, primarily concerning heavy goods vehicles cutting through the narrow Sandhills Road (to the south of the site) coming from further north and heading towards the M1 motorway Junction 27. This </w:t>
      </w:r>
      <w:r w:rsidRPr="003C4302">
        <w:rPr>
          <w:rFonts w:ascii="Arial" w:eastAsia="Arial" w:hAnsi="Arial" w:cs="Arial"/>
          <w:bCs/>
          <w:iCs/>
          <w:color w:val="auto"/>
          <w:szCs w:val="24"/>
        </w:rPr>
        <w:t xml:space="preserve">arises from the inability of the junction at Alfreton Road/ Mansfield Road to enable turning of large vehicles. Development of this site will need to offer the benefit of improving the highway network in this location by providing a new high category link road which will also benefit </w:t>
      </w:r>
      <w:proofErr w:type="gramStart"/>
      <w:r w:rsidRPr="003C4302">
        <w:rPr>
          <w:rFonts w:ascii="Arial" w:eastAsia="Arial" w:hAnsi="Arial" w:cs="Arial"/>
          <w:bCs/>
          <w:iCs/>
          <w:color w:val="auto"/>
          <w:szCs w:val="24"/>
        </w:rPr>
        <w:t>local residents</w:t>
      </w:r>
      <w:proofErr w:type="gramEnd"/>
      <w:r w:rsidRPr="003C4302">
        <w:rPr>
          <w:rFonts w:ascii="Arial" w:eastAsia="Arial" w:hAnsi="Arial" w:cs="Arial"/>
          <w:bCs/>
          <w:iCs/>
          <w:color w:val="auto"/>
          <w:szCs w:val="24"/>
        </w:rPr>
        <w:t>.</w:t>
      </w:r>
    </w:p>
    <w:bookmarkEnd w:id="224"/>
    <w:p w14:paraId="77238CD0" w14:textId="77777777" w:rsidR="00715560" w:rsidRPr="003C4302" w:rsidRDefault="00715560" w:rsidP="00DA78DE">
      <w:pPr>
        <w:pStyle w:val="ListParagraph"/>
        <w:autoSpaceDE w:val="0"/>
        <w:autoSpaceDN w:val="0"/>
        <w:adjustRightInd w:val="0"/>
        <w:spacing w:after="0" w:line="240" w:lineRule="auto"/>
        <w:ind w:left="851"/>
        <w:rPr>
          <w:rFonts w:ascii="Arial" w:eastAsia="Calibri" w:hAnsi="Arial" w:cs="Arial"/>
          <w:color w:val="auto"/>
          <w:szCs w:val="24"/>
        </w:rPr>
      </w:pPr>
    </w:p>
    <w:p w14:paraId="29DE03DF" w14:textId="2C98C84C" w:rsidR="00715560" w:rsidRPr="003C4302" w:rsidRDefault="00715560" w:rsidP="00AB6EB3">
      <w:pPr>
        <w:pStyle w:val="ListParagraph"/>
        <w:numPr>
          <w:ilvl w:val="1"/>
          <w:numId w:val="92"/>
        </w:numPr>
        <w:autoSpaceDE w:val="0"/>
        <w:autoSpaceDN w:val="0"/>
        <w:adjustRightInd w:val="0"/>
        <w:spacing w:after="0" w:line="240" w:lineRule="auto"/>
        <w:ind w:left="851" w:hanging="851"/>
        <w:rPr>
          <w:rFonts w:ascii="Arial" w:eastAsia="Calibri" w:hAnsi="Arial" w:cs="Arial"/>
          <w:color w:val="0070C0"/>
          <w:szCs w:val="24"/>
        </w:rPr>
      </w:pPr>
      <w:r w:rsidRPr="003C4302">
        <w:rPr>
          <w:rFonts w:ascii="Arial" w:eastAsia="Calibri" w:hAnsi="Arial" w:cs="Arial"/>
          <w:b/>
          <w:bCs/>
          <w:color w:val="auto"/>
          <w:szCs w:val="24"/>
        </w:rPr>
        <w:t>H1Vh: Rear of 64-82 Church Lane, Underwood</w:t>
      </w:r>
      <w:r w:rsidRPr="003C4302">
        <w:rPr>
          <w:rFonts w:ascii="Arial" w:eastAsia="Calibri" w:hAnsi="Arial" w:cs="Arial"/>
          <w:color w:val="auto"/>
          <w:szCs w:val="24"/>
        </w:rPr>
        <w:t>. This greenfield site</w:t>
      </w:r>
      <w:r w:rsidR="001A2C49" w:rsidRPr="003C4302">
        <w:rPr>
          <w:rFonts w:ascii="Arial" w:eastAsia="Calibri" w:hAnsi="Arial" w:cs="Arial"/>
          <w:color w:val="auto"/>
          <w:szCs w:val="24"/>
        </w:rPr>
        <w:t xml:space="preserve"> has been assessed as available, potentially suitable, and achievable in the SHELAA (ref. SJU032). It</w:t>
      </w:r>
      <w:r w:rsidRPr="003C4302">
        <w:rPr>
          <w:rFonts w:ascii="Arial" w:eastAsia="Calibri" w:hAnsi="Arial" w:cs="Arial"/>
          <w:color w:val="auto"/>
          <w:szCs w:val="24"/>
        </w:rPr>
        <w:t xml:space="preserve"> is located within the settlement of Underwood. The site contains several mature trees and there is evidence of some surface water flooding on the western boundary. The relatively low approximate site yield takes account of the potential need to accommodate trees worthy of retention.</w:t>
      </w:r>
      <w:r w:rsidR="00AB6EB3" w:rsidRPr="003C4302">
        <w:rPr>
          <w:rFonts w:ascii="Arial" w:eastAsia="Calibri" w:hAnsi="Arial" w:cs="Arial"/>
          <w:color w:val="auto"/>
          <w:szCs w:val="24"/>
        </w:rPr>
        <w:t xml:space="preserve"> </w:t>
      </w:r>
      <w:r w:rsidR="00AB6EB3" w:rsidRPr="003C4302">
        <w:rPr>
          <w:rFonts w:ascii="Arial" w:eastAsia="Calibri" w:hAnsi="Arial" w:cs="Arial"/>
          <w:color w:val="0070C0"/>
        </w:rPr>
        <w:t>Part of this site</w:t>
      </w:r>
      <w:r w:rsidR="0040335E">
        <w:rPr>
          <w:rFonts w:ascii="Arial" w:eastAsia="Calibri" w:hAnsi="Arial" w:cs="Arial"/>
          <w:color w:val="0070C0"/>
        </w:rPr>
        <w:t>, as of January 2026,</w:t>
      </w:r>
      <w:r w:rsidR="00AB6EB3" w:rsidRPr="003C4302">
        <w:rPr>
          <w:rFonts w:ascii="Arial" w:eastAsia="Calibri" w:hAnsi="Arial" w:cs="Arial"/>
          <w:color w:val="0070C0"/>
        </w:rPr>
        <w:t xml:space="preserve"> has outline planning permission for the construction of 5 custom built homes (V/2025/0513).</w:t>
      </w:r>
    </w:p>
    <w:p w14:paraId="454742AD" w14:textId="77777777" w:rsidR="00715560" w:rsidRPr="003C4302" w:rsidRDefault="00715560" w:rsidP="001A2C49">
      <w:pPr>
        <w:pStyle w:val="ListParagraph"/>
        <w:autoSpaceDE w:val="0"/>
        <w:autoSpaceDN w:val="0"/>
        <w:adjustRightInd w:val="0"/>
        <w:spacing w:after="0" w:line="240" w:lineRule="auto"/>
        <w:ind w:left="851"/>
        <w:rPr>
          <w:rFonts w:ascii="Arial" w:eastAsia="Calibri" w:hAnsi="Arial" w:cs="Arial"/>
          <w:color w:val="auto"/>
          <w:szCs w:val="24"/>
        </w:rPr>
      </w:pPr>
    </w:p>
    <w:p w14:paraId="76E6A1C6" w14:textId="645D03BA" w:rsidR="00715560" w:rsidRPr="009E34A6" w:rsidRDefault="00715560" w:rsidP="00874A98">
      <w:pPr>
        <w:pStyle w:val="ListParagraph"/>
        <w:numPr>
          <w:ilvl w:val="1"/>
          <w:numId w:val="92"/>
        </w:numPr>
        <w:autoSpaceDE w:val="0"/>
        <w:autoSpaceDN w:val="0"/>
        <w:adjustRightInd w:val="0"/>
        <w:spacing w:after="0" w:line="240" w:lineRule="auto"/>
        <w:ind w:left="851" w:hanging="851"/>
        <w:rPr>
          <w:rFonts w:ascii="Arial" w:eastAsia="Calibri" w:hAnsi="Arial" w:cs="Arial"/>
          <w:color w:val="auto"/>
          <w:szCs w:val="24"/>
        </w:rPr>
      </w:pPr>
      <w:r w:rsidRPr="003C4302">
        <w:rPr>
          <w:rFonts w:ascii="Arial" w:eastAsia="Calibri" w:hAnsi="Arial" w:cs="Arial"/>
          <w:b/>
          <w:bCs/>
          <w:color w:val="auto"/>
          <w:szCs w:val="24"/>
        </w:rPr>
        <w:t xml:space="preserve">H1Vi: </w:t>
      </w:r>
      <w:proofErr w:type="spellStart"/>
      <w:r w:rsidRPr="003C4302">
        <w:rPr>
          <w:rFonts w:ascii="Arial" w:eastAsia="Calibri" w:hAnsi="Arial" w:cs="Arial"/>
          <w:b/>
          <w:bCs/>
          <w:color w:val="auto"/>
          <w:szCs w:val="24"/>
        </w:rPr>
        <w:t>Westdale</w:t>
      </w:r>
      <w:proofErr w:type="spellEnd"/>
      <w:r w:rsidRPr="003C4302">
        <w:rPr>
          <w:rFonts w:ascii="Arial" w:eastAsia="Calibri" w:hAnsi="Arial" w:cs="Arial"/>
          <w:b/>
          <w:bCs/>
          <w:color w:val="auto"/>
          <w:szCs w:val="24"/>
        </w:rPr>
        <w:t xml:space="preserve"> Road</w:t>
      </w:r>
      <w:r w:rsidR="004C557A" w:rsidRPr="009E34A6">
        <w:rPr>
          <w:rFonts w:ascii="Arial" w:eastAsia="Calibri" w:hAnsi="Arial" w:cs="Arial"/>
          <w:b/>
          <w:bCs/>
          <w:color w:val="auto"/>
          <w:szCs w:val="24"/>
        </w:rPr>
        <w:t>/Rutland Road</w:t>
      </w:r>
      <w:r w:rsidRPr="009E34A6">
        <w:rPr>
          <w:rFonts w:ascii="Arial" w:eastAsia="Calibri" w:hAnsi="Arial" w:cs="Arial"/>
          <w:b/>
          <w:bCs/>
          <w:color w:val="auto"/>
          <w:szCs w:val="24"/>
        </w:rPr>
        <w:t xml:space="preserve">, </w:t>
      </w:r>
      <w:proofErr w:type="spellStart"/>
      <w:r w:rsidRPr="009E34A6">
        <w:rPr>
          <w:rFonts w:ascii="Arial" w:eastAsia="Calibri" w:hAnsi="Arial" w:cs="Arial"/>
          <w:b/>
          <w:bCs/>
          <w:color w:val="auto"/>
          <w:szCs w:val="24"/>
        </w:rPr>
        <w:t>Jacksdale</w:t>
      </w:r>
      <w:proofErr w:type="spellEnd"/>
      <w:r w:rsidR="00DA78DE" w:rsidRPr="009E34A6">
        <w:rPr>
          <w:rFonts w:ascii="Arial" w:eastAsia="Calibri" w:hAnsi="Arial" w:cs="Arial"/>
          <w:b/>
          <w:bCs/>
          <w:color w:val="auto"/>
          <w:szCs w:val="24"/>
        </w:rPr>
        <w:t>.</w:t>
      </w:r>
      <w:r w:rsidRPr="009E34A6">
        <w:rPr>
          <w:rFonts w:ascii="Arial" w:eastAsia="Calibri" w:hAnsi="Arial" w:cs="Arial"/>
          <w:color w:val="auto"/>
          <w:szCs w:val="24"/>
        </w:rPr>
        <w:t xml:space="preserve"> This greenfield site is located within the Named Settlement of </w:t>
      </w:r>
      <w:proofErr w:type="spellStart"/>
      <w:r w:rsidRPr="009E34A6">
        <w:rPr>
          <w:rFonts w:ascii="Arial" w:eastAsia="Calibri" w:hAnsi="Arial" w:cs="Arial"/>
          <w:color w:val="auto"/>
          <w:szCs w:val="24"/>
        </w:rPr>
        <w:t>Jacksdale</w:t>
      </w:r>
      <w:proofErr w:type="spellEnd"/>
      <w:r w:rsidRPr="009E34A6">
        <w:rPr>
          <w:rFonts w:ascii="Arial" w:eastAsia="Calibri" w:hAnsi="Arial" w:cs="Arial"/>
          <w:color w:val="auto"/>
          <w:szCs w:val="24"/>
        </w:rPr>
        <w:t xml:space="preserve"> and forms a logical infill. The site is located within a residential area and has reasonable access to a range of services. The site is an area where potential land stability and other safety risks associated with former coal mining are likely, for example areas of suspected shallow coal mining, recorded mine entries and areas of former surface mining. There is evidence of some surface water flooding within the boundary of the site. </w:t>
      </w:r>
    </w:p>
    <w:p w14:paraId="08D912BB" w14:textId="77777777" w:rsidR="00715560" w:rsidRPr="009E34A6" w:rsidRDefault="00715560" w:rsidP="001A2C49">
      <w:pPr>
        <w:pStyle w:val="ListParagraph"/>
        <w:autoSpaceDE w:val="0"/>
        <w:autoSpaceDN w:val="0"/>
        <w:adjustRightInd w:val="0"/>
        <w:spacing w:after="0" w:line="240" w:lineRule="auto"/>
        <w:ind w:left="851"/>
        <w:rPr>
          <w:rFonts w:ascii="Arial" w:eastAsia="Calibri" w:hAnsi="Arial" w:cs="Arial"/>
          <w:color w:val="auto"/>
          <w:szCs w:val="24"/>
        </w:rPr>
      </w:pPr>
    </w:p>
    <w:p w14:paraId="631BEEA6" w14:textId="77777777" w:rsidR="003A449B" w:rsidRPr="003A449B" w:rsidRDefault="00715560" w:rsidP="00A44712">
      <w:pPr>
        <w:pStyle w:val="ListParagraph"/>
        <w:numPr>
          <w:ilvl w:val="1"/>
          <w:numId w:val="92"/>
        </w:numPr>
        <w:autoSpaceDE w:val="0"/>
        <w:autoSpaceDN w:val="0"/>
        <w:adjustRightInd w:val="0"/>
        <w:spacing w:after="0" w:line="240" w:lineRule="auto"/>
        <w:ind w:left="851" w:hanging="851"/>
        <w:rPr>
          <w:rFonts w:ascii="Arial" w:eastAsia="Calibri" w:hAnsi="Arial" w:cs="Arial"/>
          <w:color w:val="4472C4" w:themeColor="accent1"/>
          <w:szCs w:val="24"/>
        </w:rPr>
      </w:pPr>
      <w:r w:rsidRPr="003A449B">
        <w:rPr>
          <w:rFonts w:ascii="Arial" w:eastAsia="Calibri" w:hAnsi="Arial" w:cs="Arial"/>
          <w:color w:val="auto"/>
          <w:szCs w:val="24"/>
        </w:rPr>
        <w:t>The site has been assessed as potentially available, potentially suitable, and potentially achievable in the SHELAA (ref. SJU035).</w:t>
      </w:r>
    </w:p>
    <w:p w14:paraId="419F5203" w14:textId="77777777" w:rsidR="003A449B" w:rsidRPr="003A449B" w:rsidRDefault="003A449B" w:rsidP="003A449B">
      <w:pPr>
        <w:pStyle w:val="ListParagraph"/>
        <w:rPr>
          <w:rFonts w:ascii="Arial" w:eastAsia="Calibri" w:hAnsi="Arial" w:cs="Arial"/>
          <w:b/>
          <w:bCs/>
          <w:color w:val="4472C4" w:themeColor="accent1"/>
          <w:szCs w:val="24"/>
        </w:rPr>
      </w:pPr>
    </w:p>
    <w:p w14:paraId="5BBD7448" w14:textId="3248BB15" w:rsidR="003A449B" w:rsidRPr="0042028E" w:rsidRDefault="003A449B" w:rsidP="00AB6EB3">
      <w:pPr>
        <w:numPr>
          <w:ilvl w:val="1"/>
          <w:numId w:val="92"/>
        </w:numPr>
        <w:autoSpaceDE w:val="0"/>
        <w:autoSpaceDN w:val="0"/>
        <w:adjustRightInd w:val="0"/>
        <w:ind w:left="851" w:hanging="851"/>
        <w:contextualSpacing/>
        <w:rPr>
          <w:rFonts w:eastAsia="Calibri" w:cs="Arial"/>
          <w:szCs w:val="24"/>
          <w:u w:val="single"/>
        </w:rPr>
      </w:pPr>
      <w:r w:rsidRPr="003A449B">
        <w:rPr>
          <w:rFonts w:eastAsia="Calibri" w:cs="Arial"/>
          <w:b/>
          <w:bCs/>
          <w:color w:val="auto"/>
          <w:szCs w:val="24"/>
        </w:rPr>
        <w:t xml:space="preserve">H1Vj: Land off Main Road, </w:t>
      </w:r>
      <w:proofErr w:type="spellStart"/>
      <w:r w:rsidRPr="003A449B">
        <w:rPr>
          <w:rFonts w:eastAsia="Calibri" w:cs="Arial"/>
          <w:b/>
          <w:bCs/>
          <w:color w:val="auto"/>
          <w:szCs w:val="24"/>
        </w:rPr>
        <w:t>Jacksdale</w:t>
      </w:r>
      <w:proofErr w:type="spellEnd"/>
      <w:r w:rsidRPr="003A449B">
        <w:rPr>
          <w:rFonts w:eastAsia="Calibri" w:cs="Arial"/>
          <w:color w:val="auto"/>
          <w:szCs w:val="24"/>
        </w:rPr>
        <w:t xml:space="preserve">.  This site has a resolution to approve Full planning permission for 81 dwellings subject to the signing of a s106 legal agreement for agreed developer contributions.  </w:t>
      </w:r>
      <w:r w:rsidR="00AD3C5E">
        <w:rPr>
          <w:rFonts w:eastAsia="Calibri" w:cs="Arial"/>
          <w:color w:val="0070C0"/>
          <w:szCs w:val="24"/>
        </w:rPr>
        <w:t>As of April 2024, t</w:t>
      </w:r>
      <w:r w:rsidR="00AB6EB3" w:rsidRPr="0042028E">
        <w:rPr>
          <w:rFonts w:eastAsia="Arial"/>
          <w:color w:val="0070C0"/>
        </w:rPr>
        <w:t>his site has</w:t>
      </w:r>
      <w:r w:rsidR="00AB6EB3" w:rsidRPr="0042028E">
        <w:rPr>
          <w:rFonts w:eastAsia="Arial"/>
          <w:b/>
          <w:color w:val="0070C0"/>
        </w:rPr>
        <w:t xml:space="preserve"> </w:t>
      </w:r>
      <w:r w:rsidR="00AB6EB3" w:rsidRPr="0042028E">
        <w:rPr>
          <w:rFonts w:eastAsia="Arial"/>
          <w:bCs/>
          <w:color w:val="0070C0"/>
        </w:rPr>
        <w:t>the benefit of Full planning permission</w:t>
      </w:r>
      <w:r w:rsidR="00AB6EB3" w:rsidRPr="0042028E">
        <w:rPr>
          <w:rFonts w:eastAsia="Arial" w:cs="Arial"/>
          <w:b/>
          <w:bCs/>
          <w:color w:val="0070C0"/>
          <w:szCs w:val="24"/>
        </w:rPr>
        <w:t>.</w:t>
      </w:r>
      <w:r w:rsidR="00AB6EB3" w:rsidRPr="0042028E">
        <w:rPr>
          <w:rFonts w:eastAsia="Arial" w:cs="Arial"/>
          <w:bCs/>
          <w:color w:val="0070C0"/>
          <w:szCs w:val="24"/>
        </w:rPr>
        <w:t xml:space="preserve"> Further details on these sites can be found in the Housing Trajectory in Appendix 2 which gives information on the type of permission, application reference and estimated delivery timescales</w:t>
      </w:r>
      <w:r w:rsidR="00AB6EB3" w:rsidRPr="0042028E">
        <w:rPr>
          <w:rFonts w:eastAsia="Arial" w:cs="Arial"/>
          <w:bCs/>
          <w:szCs w:val="24"/>
        </w:rPr>
        <w:t>.</w:t>
      </w:r>
    </w:p>
    <w:p w14:paraId="7722A1AC" w14:textId="77777777" w:rsidR="00715560" w:rsidRPr="009E34A6" w:rsidRDefault="00715560" w:rsidP="00263F59">
      <w:pPr>
        <w:pStyle w:val="ListParagraph"/>
        <w:spacing w:after="0" w:line="240" w:lineRule="auto"/>
        <w:rPr>
          <w:rFonts w:eastAsia="Arial" w:cs="Arial"/>
          <w:iCs/>
          <w:color w:val="auto"/>
          <w:szCs w:val="24"/>
        </w:rPr>
      </w:pPr>
    </w:p>
    <w:p w14:paraId="355EE249" w14:textId="0A7A001F" w:rsidR="00236F84" w:rsidRPr="0056594F" w:rsidRDefault="001A2C49" w:rsidP="00874A98">
      <w:pPr>
        <w:pStyle w:val="ListParagraph"/>
        <w:numPr>
          <w:ilvl w:val="1"/>
          <w:numId w:val="92"/>
        </w:numPr>
        <w:autoSpaceDE w:val="0"/>
        <w:autoSpaceDN w:val="0"/>
        <w:adjustRightInd w:val="0"/>
        <w:spacing w:after="0" w:line="240" w:lineRule="auto"/>
        <w:ind w:left="851" w:hanging="851"/>
        <w:rPr>
          <w:rFonts w:ascii="Arial" w:eastAsia="Arial" w:hAnsi="Arial" w:cs="Arial"/>
          <w:b/>
          <w:bCs/>
          <w:iCs/>
          <w:color w:val="auto"/>
          <w:szCs w:val="24"/>
        </w:rPr>
      </w:pPr>
      <w:r w:rsidRPr="0056594F">
        <w:rPr>
          <w:rStyle w:val="Heading10"/>
          <w:bCs/>
          <w:color w:val="auto"/>
        </w:rPr>
        <w:t xml:space="preserve">Site H1Vf Main Road Underwood </w:t>
      </w:r>
      <w:r w:rsidRPr="0056594F">
        <w:rPr>
          <w:rStyle w:val="Heading10"/>
          <w:b w:val="0"/>
          <w:color w:val="auto"/>
        </w:rPr>
        <w:t xml:space="preserve">was included as a housing site allocation in the previous version of the draft Local Plan. However, this now has the benefit of planning </w:t>
      </w:r>
      <w:r w:rsidR="00DA78DE" w:rsidRPr="0056594F">
        <w:rPr>
          <w:rStyle w:val="Heading10"/>
          <w:b w:val="0"/>
          <w:color w:val="auto"/>
        </w:rPr>
        <w:t>approval</w:t>
      </w:r>
      <w:r w:rsidRPr="0056594F">
        <w:rPr>
          <w:rStyle w:val="Heading10"/>
          <w:b w:val="0"/>
          <w:color w:val="auto"/>
        </w:rPr>
        <w:t xml:space="preserve"> for 8 dwellings and as such is included within the summarised ‘small’ sites with planning permission, summarised in </w:t>
      </w:r>
      <w:r w:rsidRPr="0056594F">
        <w:rPr>
          <w:rStyle w:val="Normal1"/>
          <w:rFonts w:cs="Arial"/>
          <w:bCs/>
          <w:color w:val="auto"/>
          <w:szCs w:val="24"/>
        </w:rPr>
        <w:t>the Housing Trajectory in Appendix 2.</w:t>
      </w:r>
      <w:r w:rsidR="00DA78DE" w:rsidRPr="0056594F">
        <w:rPr>
          <w:rStyle w:val="Normal1"/>
          <w:rFonts w:cs="Arial"/>
          <w:bCs/>
          <w:color w:val="auto"/>
          <w:szCs w:val="24"/>
        </w:rPr>
        <w:t xml:space="preserve"> </w:t>
      </w:r>
    </w:p>
    <w:p w14:paraId="7BC30D80" w14:textId="77777777" w:rsidR="00263F59" w:rsidRPr="00263F59" w:rsidRDefault="00263F59" w:rsidP="00263F59">
      <w:pPr>
        <w:pStyle w:val="ListParagraph"/>
        <w:autoSpaceDE w:val="0"/>
        <w:autoSpaceDN w:val="0"/>
        <w:adjustRightInd w:val="0"/>
        <w:spacing w:after="0" w:line="240" w:lineRule="auto"/>
        <w:ind w:left="851"/>
        <w:rPr>
          <w:rFonts w:ascii="Arial" w:eastAsia="Arial" w:hAnsi="Arial" w:cs="Arial"/>
          <w:b/>
          <w:bCs/>
          <w:iCs/>
          <w:color w:val="auto"/>
          <w:szCs w:val="24"/>
        </w:rPr>
      </w:pPr>
    </w:p>
    <w:p w14:paraId="3E8CE4EA" w14:textId="77777777" w:rsidR="004C557A" w:rsidRPr="004152F0" w:rsidRDefault="004C557A" w:rsidP="004152F0">
      <w:pPr>
        <w:rPr>
          <w:rFonts w:eastAsia="Arial"/>
        </w:rPr>
      </w:pPr>
    </w:p>
    <w:p w14:paraId="0F3591B6" w14:textId="5F64F160" w:rsidR="00036685" w:rsidRPr="00995322" w:rsidRDefault="006977E7" w:rsidP="00995322">
      <w:pPr>
        <w:pStyle w:val="Heading2"/>
        <w:jc w:val="left"/>
        <w:rPr>
          <w:rFonts w:eastAsia="Arial"/>
          <w:sz w:val="28"/>
          <w:szCs w:val="28"/>
        </w:rPr>
      </w:pPr>
      <w:bookmarkStart w:id="225" w:name="_Toc145511588"/>
      <w:r w:rsidRPr="00995322">
        <w:rPr>
          <w:rFonts w:eastAsia="Arial"/>
          <w:sz w:val="28"/>
          <w:szCs w:val="28"/>
        </w:rPr>
        <w:t xml:space="preserve">Policy </w:t>
      </w:r>
      <w:r w:rsidR="00036685" w:rsidRPr="00995322">
        <w:rPr>
          <w:rFonts w:eastAsia="Arial"/>
          <w:sz w:val="28"/>
          <w:szCs w:val="28"/>
        </w:rPr>
        <w:t xml:space="preserve">H2: Provision for Gypsies, Travellers and Travelling </w:t>
      </w:r>
      <w:proofErr w:type="spellStart"/>
      <w:r w:rsidR="00036685" w:rsidRPr="00995322">
        <w:rPr>
          <w:rFonts w:eastAsia="Arial"/>
          <w:sz w:val="28"/>
          <w:szCs w:val="28"/>
        </w:rPr>
        <w:t>Showpeople</w:t>
      </w:r>
      <w:bookmarkEnd w:id="225"/>
      <w:proofErr w:type="spellEnd"/>
    </w:p>
    <w:p w14:paraId="6844B67F" w14:textId="77777777" w:rsidR="00036685" w:rsidRPr="004152F0" w:rsidRDefault="00036685" w:rsidP="004152F0">
      <w:pPr>
        <w:rPr>
          <w:rFonts w:eastAsia="Arial"/>
        </w:rPr>
      </w:pPr>
    </w:p>
    <w:p w14:paraId="2F1A193A" w14:textId="34E9E22D" w:rsidR="00036685" w:rsidRPr="00F31667" w:rsidRDefault="00036685"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F31667">
        <w:rPr>
          <w:rFonts w:ascii="Arial" w:eastAsia="Arial" w:hAnsi="Arial" w:cs="Arial"/>
          <w:szCs w:val="24"/>
          <w:lang w:eastAsia="en-GB"/>
        </w:rPr>
        <w:t xml:space="preserve">Policy H2 </w:t>
      </w:r>
      <w:r w:rsidR="000E5311">
        <w:rPr>
          <w:rFonts w:ascii="Arial" w:eastAsia="Arial" w:hAnsi="Arial" w:cs="Arial"/>
          <w:szCs w:val="24"/>
          <w:lang w:eastAsia="en-GB"/>
        </w:rPr>
        <w:t>will be used to determine</w:t>
      </w:r>
      <w:r w:rsidRPr="00F31667">
        <w:rPr>
          <w:rFonts w:ascii="Arial" w:eastAsia="Arial" w:hAnsi="Arial" w:cs="Arial"/>
          <w:szCs w:val="24"/>
          <w:lang w:eastAsia="en-GB"/>
        </w:rPr>
        <w:t xml:space="preserve"> planning applications for traveller pitches/sites and </w:t>
      </w:r>
      <w:proofErr w:type="spellStart"/>
      <w:r w:rsidRPr="00F31667">
        <w:rPr>
          <w:rFonts w:ascii="Arial" w:eastAsia="Arial" w:hAnsi="Arial" w:cs="Arial"/>
          <w:szCs w:val="24"/>
          <w:lang w:eastAsia="en-GB"/>
        </w:rPr>
        <w:t>Showpeople’s</w:t>
      </w:r>
      <w:proofErr w:type="spellEnd"/>
      <w:r w:rsidRPr="00F31667">
        <w:rPr>
          <w:rFonts w:ascii="Arial" w:eastAsia="Arial" w:hAnsi="Arial" w:cs="Arial"/>
          <w:szCs w:val="24"/>
          <w:lang w:eastAsia="en-GB"/>
        </w:rPr>
        <w:t xml:space="preserve"> Plots/yards</w:t>
      </w:r>
      <w:r w:rsidR="000E5311">
        <w:rPr>
          <w:rFonts w:ascii="Arial" w:eastAsia="Arial" w:hAnsi="Arial" w:cs="Arial"/>
          <w:szCs w:val="24"/>
          <w:lang w:eastAsia="en-GB"/>
        </w:rPr>
        <w:t xml:space="preserve"> and </w:t>
      </w:r>
      <w:r w:rsidRPr="00F31667">
        <w:rPr>
          <w:rFonts w:ascii="Arial" w:eastAsia="Arial" w:hAnsi="Arial" w:cs="Arial"/>
          <w:szCs w:val="24"/>
          <w:lang w:eastAsia="en-GB"/>
        </w:rPr>
        <w:t>set out criteria to guide the process of future site identification.</w:t>
      </w:r>
    </w:p>
    <w:p w14:paraId="4D0A60B9" w14:textId="77777777" w:rsidR="00236F84" w:rsidRPr="00236F84" w:rsidRDefault="00236F84" w:rsidP="00236F84">
      <w:pPr>
        <w:keepNext w:val="0"/>
        <w:spacing w:before="0" w:after="160" w:line="252" w:lineRule="auto"/>
        <w:jc w:val="both"/>
        <w:rPr>
          <w:rFonts w:eastAsia="Calibri"/>
          <w:b/>
          <w:bCs/>
          <w:color w:val="auto"/>
          <w:szCs w:val="22"/>
        </w:rPr>
      </w:pPr>
    </w:p>
    <w:tbl>
      <w:tblPr>
        <w:tblStyle w:val="TableGrid12"/>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663"/>
        <w:gridCol w:w="6956"/>
      </w:tblGrid>
      <w:tr w:rsidR="00236F84" w:rsidRPr="00236F84" w14:paraId="46585160" w14:textId="77777777" w:rsidTr="00DA5747">
        <w:tc>
          <w:tcPr>
            <w:tcW w:w="9742" w:type="dxa"/>
            <w:gridSpan w:val="2"/>
          </w:tcPr>
          <w:p w14:paraId="5BF90A48" w14:textId="77777777" w:rsidR="00DA5747" w:rsidRDefault="00DA5747" w:rsidP="00DA5747">
            <w:pPr>
              <w:keepNext w:val="0"/>
              <w:tabs>
                <w:tab w:val="left" w:pos="4530"/>
              </w:tabs>
              <w:spacing w:before="0"/>
              <w:jc w:val="left"/>
              <w:rPr>
                <w:b/>
                <w:bCs/>
                <w:color w:val="auto"/>
              </w:rPr>
            </w:pPr>
          </w:p>
          <w:p w14:paraId="0155B1BD" w14:textId="77777777" w:rsidR="00DA5747" w:rsidRDefault="00236F84" w:rsidP="00DA5747">
            <w:pPr>
              <w:keepNext w:val="0"/>
              <w:tabs>
                <w:tab w:val="left" w:pos="4530"/>
              </w:tabs>
              <w:spacing w:before="0"/>
              <w:jc w:val="left"/>
              <w:rPr>
                <w:b/>
                <w:bCs/>
                <w:color w:val="auto"/>
              </w:rPr>
            </w:pPr>
            <w:r w:rsidRPr="00236F84">
              <w:rPr>
                <w:b/>
                <w:bCs/>
                <w:color w:val="auto"/>
              </w:rPr>
              <w:t xml:space="preserve">Policy H2: Provision for Gypsies, Travellers and Travelling </w:t>
            </w:r>
            <w:proofErr w:type="spellStart"/>
            <w:r w:rsidRPr="00236F84">
              <w:rPr>
                <w:b/>
                <w:bCs/>
                <w:color w:val="auto"/>
              </w:rPr>
              <w:t>Showpeople</w:t>
            </w:r>
            <w:proofErr w:type="spellEnd"/>
          </w:p>
          <w:p w14:paraId="222D7E70" w14:textId="7C0C5CEC" w:rsidR="00DA5747" w:rsidRPr="00236F84" w:rsidRDefault="00DA5747" w:rsidP="00DA5747">
            <w:pPr>
              <w:keepNext w:val="0"/>
              <w:tabs>
                <w:tab w:val="left" w:pos="4530"/>
              </w:tabs>
              <w:spacing w:before="0"/>
              <w:jc w:val="left"/>
              <w:rPr>
                <w:b/>
                <w:bCs/>
                <w:color w:val="auto"/>
              </w:rPr>
            </w:pPr>
          </w:p>
        </w:tc>
      </w:tr>
      <w:tr w:rsidR="00236F84" w:rsidRPr="00236F84" w14:paraId="47B8EF95" w14:textId="77777777" w:rsidTr="00DA5747">
        <w:tc>
          <w:tcPr>
            <w:tcW w:w="2689" w:type="dxa"/>
          </w:tcPr>
          <w:p w14:paraId="45369CAD" w14:textId="77777777" w:rsidR="00236F84" w:rsidRPr="00236F84" w:rsidRDefault="00236F84" w:rsidP="00FF3EAD">
            <w:pPr>
              <w:keepNext w:val="0"/>
              <w:spacing w:before="0" w:after="160" w:line="252" w:lineRule="auto"/>
              <w:jc w:val="left"/>
              <w:rPr>
                <w:color w:val="auto"/>
              </w:rPr>
            </w:pPr>
            <w:r w:rsidRPr="00236F84">
              <w:rPr>
                <w:color w:val="auto"/>
              </w:rPr>
              <w:t>Strategic Objectives</w:t>
            </w:r>
          </w:p>
        </w:tc>
        <w:tc>
          <w:tcPr>
            <w:tcW w:w="7053" w:type="dxa"/>
          </w:tcPr>
          <w:p w14:paraId="5B2579A7" w14:textId="77777777" w:rsidR="00236F84" w:rsidRPr="00236F84" w:rsidRDefault="00236F84" w:rsidP="00FF3EAD">
            <w:pPr>
              <w:keepNext w:val="0"/>
              <w:spacing w:before="0" w:after="160" w:line="252" w:lineRule="auto"/>
              <w:jc w:val="left"/>
              <w:rPr>
                <w:color w:val="auto"/>
              </w:rPr>
            </w:pPr>
            <w:r w:rsidRPr="00236F84">
              <w:rPr>
                <w:color w:val="auto"/>
              </w:rPr>
              <w:t xml:space="preserve">SO1, SO2, SO3, SO5, SO12, SO14. </w:t>
            </w:r>
          </w:p>
        </w:tc>
      </w:tr>
      <w:tr w:rsidR="00236F84" w:rsidRPr="00236F84" w14:paraId="792A5EC1" w14:textId="77777777" w:rsidTr="00DA5747">
        <w:tc>
          <w:tcPr>
            <w:tcW w:w="9742" w:type="dxa"/>
            <w:gridSpan w:val="2"/>
            <w:shd w:val="clear" w:color="auto" w:fill="F7CAAC"/>
          </w:tcPr>
          <w:p w14:paraId="1CCC00E5" w14:textId="77777777" w:rsidR="00236F84" w:rsidRPr="00236F84" w:rsidRDefault="00236F84" w:rsidP="00FF3EAD">
            <w:pPr>
              <w:keepNext w:val="0"/>
              <w:spacing w:before="0"/>
              <w:jc w:val="left"/>
              <w:rPr>
                <w:color w:val="auto"/>
              </w:rPr>
            </w:pPr>
          </w:p>
          <w:p w14:paraId="594B1BE5" w14:textId="77777777" w:rsidR="00236F84" w:rsidRPr="00236F84" w:rsidRDefault="00236F84" w:rsidP="00874A98">
            <w:pPr>
              <w:keepNext w:val="0"/>
              <w:numPr>
                <w:ilvl w:val="0"/>
                <w:numId w:val="265"/>
              </w:numPr>
              <w:spacing w:before="0"/>
              <w:contextualSpacing/>
              <w:jc w:val="left"/>
              <w:rPr>
                <w:color w:val="auto"/>
              </w:rPr>
            </w:pPr>
            <w:r w:rsidRPr="00236F84">
              <w:rPr>
                <w:color w:val="auto"/>
              </w:rPr>
              <w:t xml:space="preserve">When determining planning applications for Gypsy, Traveller and Travelling </w:t>
            </w:r>
            <w:proofErr w:type="spellStart"/>
            <w:r w:rsidRPr="00236F84">
              <w:rPr>
                <w:color w:val="auto"/>
              </w:rPr>
              <w:t>Showpeople</w:t>
            </w:r>
            <w:proofErr w:type="spellEnd"/>
            <w:r w:rsidRPr="00236F84">
              <w:rPr>
                <w:color w:val="auto"/>
              </w:rPr>
              <w:t xml:space="preserve"> sites, the Council will consider the following: </w:t>
            </w:r>
          </w:p>
          <w:p w14:paraId="3179FDB4" w14:textId="77777777" w:rsidR="00236F84" w:rsidRPr="00236F84" w:rsidRDefault="00236F84" w:rsidP="00FF3EAD">
            <w:pPr>
              <w:keepNext w:val="0"/>
              <w:spacing w:before="0" w:after="160" w:line="252" w:lineRule="auto"/>
              <w:ind w:left="360"/>
              <w:contextualSpacing/>
              <w:jc w:val="left"/>
              <w:rPr>
                <w:color w:val="auto"/>
              </w:rPr>
            </w:pPr>
          </w:p>
          <w:p w14:paraId="3006B03E" w14:textId="77777777" w:rsidR="00236F84" w:rsidRPr="00236F84" w:rsidRDefault="00236F84" w:rsidP="00874A98">
            <w:pPr>
              <w:keepNext w:val="0"/>
              <w:numPr>
                <w:ilvl w:val="0"/>
                <w:numId w:val="266"/>
              </w:numPr>
              <w:spacing w:before="0"/>
              <w:contextualSpacing/>
              <w:jc w:val="left"/>
              <w:rPr>
                <w:color w:val="auto"/>
              </w:rPr>
            </w:pPr>
            <w:r w:rsidRPr="00236F84">
              <w:rPr>
                <w:color w:val="auto"/>
              </w:rPr>
              <w:t xml:space="preserve">The proposed occupants must meet the definition of Gypsy, Traveller, or Travelling </w:t>
            </w:r>
            <w:proofErr w:type="spellStart"/>
            <w:r w:rsidRPr="00236F84">
              <w:rPr>
                <w:color w:val="auto"/>
              </w:rPr>
              <w:t>Showpeople</w:t>
            </w:r>
            <w:proofErr w:type="spellEnd"/>
            <w:r w:rsidRPr="00236F84">
              <w:rPr>
                <w:color w:val="auto"/>
              </w:rPr>
              <w:t xml:space="preserve"> as defined by national policy. </w:t>
            </w:r>
          </w:p>
          <w:p w14:paraId="0BA409CD" w14:textId="77777777" w:rsidR="00236F84" w:rsidRPr="00236F84" w:rsidRDefault="00236F84" w:rsidP="00874A98">
            <w:pPr>
              <w:keepNext w:val="0"/>
              <w:numPr>
                <w:ilvl w:val="0"/>
                <w:numId w:val="266"/>
              </w:numPr>
              <w:spacing w:before="0"/>
              <w:contextualSpacing/>
              <w:jc w:val="left"/>
              <w:rPr>
                <w:color w:val="auto"/>
              </w:rPr>
            </w:pPr>
            <w:r w:rsidRPr="00236F84">
              <w:rPr>
                <w:color w:val="auto"/>
              </w:rPr>
              <w:t xml:space="preserve">Development of all Traveller sites in the Green Belt </w:t>
            </w:r>
            <w:proofErr w:type="gramStart"/>
            <w:r w:rsidRPr="00236F84">
              <w:rPr>
                <w:color w:val="auto"/>
              </w:rPr>
              <w:t>are considered to be</w:t>
            </w:r>
            <w:proofErr w:type="gramEnd"/>
            <w:r w:rsidRPr="00236F84">
              <w:rPr>
                <w:color w:val="auto"/>
              </w:rPr>
              <w:t xml:space="preserve"> inappropriate development.</w:t>
            </w:r>
          </w:p>
          <w:p w14:paraId="2F18B7B1" w14:textId="77777777" w:rsidR="00236F84" w:rsidRPr="00236F84" w:rsidRDefault="00236F84" w:rsidP="00FF3EAD">
            <w:pPr>
              <w:keepNext w:val="0"/>
              <w:spacing w:before="0" w:after="160" w:line="252" w:lineRule="auto"/>
              <w:ind w:left="360"/>
              <w:contextualSpacing/>
              <w:jc w:val="left"/>
              <w:rPr>
                <w:color w:val="auto"/>
              </w:rPr>
            </w:pPr>
          </w:p>
          <w:p w14:paraId="624BE04F" w14:textId="77777777" w:rsidR="00236F84" w:rsidRPr="00236F84" w:rsidRDefault="00236F84" w:rsidP="00874A98">
            <w:pPr>
              <w:keepNext w:val="0"/>
              <w:numPr>
                <w:ilvl w:val="0"/>
                <w:numId w:val="265"/>
              </w:numPr>
              <w:spacing w:before="0"/>
              <w:contextualSpacing/>
              <w:jc w:val="left"/>
              <w:rPr>
                <w:color w:val="auto"/>
              </w:rPr>
            </w:pPr>
            <w:r w:rsidRPr="00236F84">
              <w:rPr>
                <w:color w:val="auto"/>
              </w:rPr>
              <w:t>The following criteria will be used to guide the process of future site identification, and to help inform decisions on planning applications:</w:t>
            </w:r>
          </w:p>
          <w:p w14:paraId="13E91CD4" w14:textId="77777777" w:rsidR="00236F84" w:rsidRPr="00236F84" w:rsidRDefault="00236F84" w:rsidP="00FF3EAD">
            <w:pPr>
              <w:keepNext w:val="0"/>
              <w:spacing w:before="0" w:after="160" w:line="252" w:lineRule="auto"/>
              <w:ind w:left="360"/>
              <w:contextualSpacing/>
              <w:jc w:val="left"/>
              <w:rPr>
                <w:color w:val="auto"/>
              </w:rPr>
            </w:pPr>
          </w:p>
          <w:p w14:paraId="371A414C" w14:textId="5639E4B3" w:rsidR="00236F84" w:rsidRPr="00236F84" w:rsidRDefault="00236F84" w:rsidP="00874A98">
            <w:pPr>
              <w:keepNext w:val="0"/>
              <w:numPr>
                <w:ilvl w:val="0"/>
                <w:numId w:val="267"/>
              </w:numPr>
              <w:spacing w:before="0"/>
              <w:contextualSpacing/>
              <w:jc w:val="left"/>
              <w:rPr>
                <w:color w:val="auto"/>
              </w:rPr>
            </w:pPr>
            <w:r w:rsidRPr="00236F84">
              <w:rPr>
                <w:color w:val="auto"/>
              </w:rPr>
              <w:t>Development will not lead to the loss, or adverse impact on, heritage assets, nature conservation, biodiversity sites or the best and most versatile agricultural land;</w:t>
            </w:r>
          </w:p>
          <w:p w14:paraId="0547BFA1" w14:textId="77777777" w:rsidR="00236F84" w:rsidRPr="00236F84" w:rsidRDefault="00236F84" w:rsidP="00874A98">
            <w:pPr>
              <w:keepNext w:val="0"/>
              <w:numPr>
                <w:ilvl w:val="0"/>
                <w:numId w:val="267"/>
              </w:numPr>
              <w:spacing w:before="0"/>
              <w:contextualSpacing/>
              <w:jc w:val="left"/>
              <w:rPr>
                <w:color w:val="auto"/>
              </w:rPr>
            </w:pPr>
            <w:r w:rsidRPr="00236F84">
              <w:rPr>
                <w:color w:val="auto"/>
              </w:rPr>
              <w:t>The site should be served, or be capable of being served by adequate sewerage disposal methods and mains water;</w:t>
            </w:r>
          </w:p>
          <w:p w14:paraId="2C8F2DC0" w14:textId="77777777" w:rsidR="00236F84" w:rsidRPr="00236F84" w:rsidRDefault="00236F84" w:rsidP="00874A98">
            <w:pPr>
              <w:keepNext w:val="0"/>
              <w:numPr>
                <w:ilvl w:val="0"/>
                <w:numId w:val="267"/>
              </w:numPr>
              <w:spacing w:before="0"/>
              <w:contextualSpacing/>
              <w:jc w:val="left"/>
              <w:rPr>
                <w:color w:val="auto"/>
              </w:rPr>
            </w:pPr>
            <w:r w:rsidRPr="00236F84">
              <w:rPr>
                <w:color w:val="auto"/>
              </w:rPr>
              <w:lastRenderedPageBreak/>
              <w:t>The site has safe and convenient pedestrian and vehicular access to the highway network, and adequate space for vehicle parking, turning and servicing;</w:t>
            </w:r>
          </w:p>
          <w:p w14:paraId="0BDAE350" w14:textId="77777777" w:rsidR="00236F84" w:rsidRPr="00236F84" w:rsidRDefault="00236F84" w:rsidP="00874A98">
            <w:pPr>
              <w:keepNext w:val="0"/>
              <w:numPr>
                <w:ilvl w:val="0"/>
                <w:numId w:val="267"/>
              </w:numPr>
              <w:spacing w:before="0"/>
              <w:contextualSpacing/>
              <w:jc w:val="left"/>
              <w:rPr>
                <w:color w:val="auto"/>
              </w:rPr>
            </w:pPr>
            <w:r w:rsidRPr="00236F84">
              <w:rPr>
                <w:color w:val="auto"/>
              </w:rPr>
              <w:t>The site will offer a suitable level of residential amenity to any proposed occupiers and have no adverse impact on the amenity of nearby residents or other neighbouring land uses;</w:t>
            </w:r>
          </w:p>
          <w:p w14:paraId="674F2F41" w14:textId="77777777" w:rsidR="00236F84" w:rsidRPr="00236F84" w:rsidRDefault="00236F84" w:rsidP="00874A98">
            <w:pPr>
              <w:keepNext w:val="0"/>
              <w:numPr>
                <w:ilvl w:val="0"/>
                <w:numId w:val="267"/>
              </w:numPr>
              <w:spacing w:before="0"/>
              <w:contextualSpacing/>
              <w:jc w:val="left"/>
              <w:rPr>
                <w:color w:val="auto"/>
              </w:rPr>
            </w:pPr>
            <w:r w:rsidRPr="00236F84">
              <w:rPr>
                <w:color w:val="auto"/>
              </w:rPr>
              <w:t>The site is capable of being designed to ensure that it would not have a significant adverse effect on visual amenity;</w:t>
            </w:r>
          </w:p>
          <w:p w14:paraId="63D4BD7B" w14:textId="77777777" w:rsidR="00236F84" w:rsidRPr="00236F84" w:rsidRDefault="00236F84" w:rsidP="00874A98">
            <w:pPr>
              <w:keepNext w:val="0"/>
              <w:numPr>
                <w:ilvl w:val="0"/>
                <w:numId w:val="267"/>
              </w:numPr>
              <w:spacing w:before="0"/>
              <w:contextualSpacing/>
              <w:jc w:val="left"/>
              <w:rPr>
                <w:color w:val="auto"/>
              </w:rPr>
            </w:pPr>
            <w:r w:rsidRPr="00236F84">
              <w:rPr>
                <w:color w:val="auto"/>
              </w:rPr>
              <w:t xml:space="preserve">In the case of any development proposal which raises the issue of flood risk, regard will be had to advice contained in national and local policy/guidance. Where flooding is found to be an issue, the Council will require the completion of a </w:t>
            </w:r>
            <w:proofErr w:type="gramStart"/>
            <w:r w:rsidRPr="00236F84">
              <w:rPr>
                <w:color w:val="auto"/>
              </w:rPr>
              <w:t>site specific</w:t>
            </w:r>
            <w:proofErr w:type="gramEnd"/>
            <w:r w:rsidRPr="00236F84">
              <w:rPr>
                <w:color w:val="auto"/>
              </w:rPr>
              <w:t xml:space="preserve"> Flood Risk Assessment;</w:t>
            </w:r>
          </w:p>
          <w:p w14:paraId="737614F6" w14:textId="77777777" w:rsidR="00236F84" w:rsidRPr="00236F84" w:rsidRDefault="00236F84" w:rsidP="00874A98">
            <w:pPr>
              <w:keepNext w:val="0"/>
              <w:numPr>
                <w:ilvl w:val="0"/>
                <w:numId w:val="267"/>
              </w:numPr>
              <w:spacing w:before="0"/>
              <w:contextualSpacing/>
              <w:jc w:val="left"/>
              <w:rPr>
                <w:color w:val="auto"/>
              </w:rPr>
            </w:pPr>
            <w:r w:rsidRPr="00236F84">
              <w:rPr>
                <w:color w:val="auto"/>
              </w:rPr>
              <w:t>Proposed sites in rural areas should respect the scale of, and not dominate, the nearest settled community, and avoid placing an undue pressure on the local infrastructure.</w:t>
            </w:r>
          </w:p>
          <w:p w14:paraId="140F162F" w14:textId="77777777" w:rsidR="00236F84" w:rsidRPr="00236F84" w:rsidRDefault="00236F84" w:rsidP="00874A98">
            <w:pPr>
              <w:keepNext w:val="0"/>
              <w:numPr>
                <w:ilvl w:val="0"/>
                <w:numId w:val="267"/>
              </w:numPr>
              <w:spacing w:before="0"/>
              <w:contextualSpacing/>
              <w:jc w:val="left"/>
              <w:rPr>
                <w:color w:val="auto"/>
              </w:rPr>
            </w:pPr>
            <w:r w:rsidRPr="00236F84">
              <w:rPr>
                <w:color w:val="auto"/>
              </w:rPr>
              <w:t>Proposed sites will not have an adverse impact on public rights of way.</w:t>
            </w:r>
          </w:p>
          <w:p w14:paraId="21D2C372" w14:textId="77777777" w:rsidR="00236F84" w:rsidRPr="00236F84" w:rsidRDefault="00236F84" w:rsidP="00FF3EAD">
            <w:pPr>
              <w:keepNext w:val="0"/>
              <w:spacing w:before="0" w:after="160" w:line="252" w:lineRule="auto"/>
              <w:ind w:left="360"/>
              <w:contextualSpacing/>
              <w:jc w:val="left"/>
              <w:rPr>
                <w:color w:val="auto"/>
              </w:rPr>
            </w:pPr>
          </w:p>
          <w:p w14:paraId="1B0BAC1B" w14:textId="77777777" w:rsidR="003E2B7C" w:rsidRDefault="00236F84" w:rsidP="00874A98">
            <w:pPr>
              <w:keepNext w:val="0"/>
              <w:numPr>
                <w:ilvl w:val="0"/>
                <w:numId w:val="265"/>
              </w:numPr>
              <w:spacing w:before="0"/>
              <w:contextualSpacing/>
              <w:jc w:val="left"/>
              <w:rPr>
                <w:color w:val="auto"/>
              </w:rPr>
            </w:pPr>
            <w:r w:rsidRPr="00236F84">
              <w:rPr>
                <w:color w:val="auto"/>
              </w:rPr>
              <w:t>New traveller site development in open countryside that is away from existing settlements or outside areas allocated in the plan will be very strictly limited. Any planning permission granted in the countryside will restrict the construction of permanent built structures to small amenity blocks associated with each pitch and to small buildings for appropriate associated business use.</w:t>
            </w:r>
          </w:p>
          <w:p w14:paraId="2DA0B2FF" w14:textId="532A5BAC" w:rsidR="00236F84" w:rsidRPr="00236F84" w:rsidRDefault="00236F84" w:rsidP="00FF3EAD">
            <w:pPr>
              <w:keepNext w:val="0"/>
              <w:spacing w:before="0"/>
              <w:ind w:left="360"/>
              <w:contextualSpacing/>
              <w:jc w:val="left"/>
              <w:rPr>
                <w:color w:val="auto"/>
              </w:rPr>
            </w:pPr>
            <w:r w:rsidRPr="00236F84">
              <w:rPr>
                <w:color w:val="auto"/>
              </w:rPr>
              <w:t xml:space="preserve"> </w:t>
            </w:r>
          </w:p>
          <w:p w14:paraId="1BC0519F" w14:textId="02930F99" w:rsidR="00236F84" w:rsidRDefault="00236F84" w:rsidP="00874A98">
            <w:pPr>
              <w:keepNext w:val="0"/>
              <w:numPr>
                <w:ilvl w:val="0"/>
                <w:numId w:val="265"/>
              </w:numPr>
              <w:spacing w:before="0"/>
              <w:contextualSpacing/>
              <w:jc w:val="left"/>
              <w:rPr>
                <w:color w:val="auto"/>
              </w:rPr>
            </w:pPr>
            <w:r w:rsidRPr="00236F84">
              <w:rPr>
                <w:color w:val="auto"/>
              </w:rPr>
              <w:t>Existing authorised permanent gypsy/</w:t>
            </w:r>
            <w:r w:rsidR="009D1815" w:rsidRPr="00236F84">
              <w:rPr>
                <w:color w:val="auto"/>
              </w:rPr>
              <w:t>traveller and</w:t>
            </w:r>
            <w:r w:rsidRPr="00236F84">
              <w:rPr>
                <w:color w:val="auto"/>
              </w:rPr>
              <w:t xml:space="preserve"> travelling </w:t>
            </w:r>
            <w:proofErr w:type="spellStart"/>
            <w:r w:rsidRPr="00236F84">
              <w:rPr>
                <w:color w:val="auto"/>
              </w:rPr>
              <w:t>showperson’s</w:t>
            </w:r>
            <w:proofErr w:type="spellEnd"/>
            <w:r w:rsidRPr="00236F84">
              <w:rPr>
                <w:color w:val="auto"/>
              </w:rPr>
              <w:t xml:space="preserve"> sites will be safeguarded from alternative development, unless the site is no longer required to meet any identified traveller needs, or it is demonstrated the site is no longer suitable for such a use. Any new site subsequently granted permanent planning permission for gypsy/traveller or travelling </w:t>
            </w:r>
            <w:proofErr w:type="spellStart"/>
            <w:r w:rsidRPr="00236F84">
              <w:rPr>
                <w:color w:val="auto"/>
              </w:rPr>
              <w:t>showperson’s</w:t>
            </w:r>
            <w:proofErr w:type="spellEnd"/>
            <w:r w:rsidRPr="00236F84">
              <w:rPr>
                <w:color w:val="auto"/>
              </w:rPr>
              <w:t xml:space="preserve"> accommodation will also be safeguarded in accordance with this policy.</w:t>
            </w:r>
          </w:p>
          <w:p w14:paraId="563CE502" w14:textId="746D2F66" w:rsidR="00823DBE" w:rsidRPr="00823DBE" w:rsidRDefault="00823DBE" w:rsidP="00FF3EAD">
            <w:pPr>
              <w:keepNext w:val="0"/>
              <w:spacing w:before="0"/>
              <w:ind w:left="360"/>
              <w:contextualSpacing/>
              <w:jc w:val="left"/>
              <w:rPr>
                <w:color w:val="auto"/>
              </w:rPr>
            </w:pPr>
          </w:p>
        </w:tc>
      </w:tr>
      <w:tr w:rsidR="00236F84" w:rsidRPr="00236F84" w14:paraId="409EBA48" w14:textId="77777777" w:rsidTr="00DA5747">
        <w:tc>
          <w:tcPr>
            <w:tcW w:w="2689" w:type="dxa"/>
          </w:tcPr>
          <w:p w14:paraId="69821AEE" w14:textId="77777777" w:rsidR="00236F84" w:rsidRPr="00236F84" w:rsidRDefault="00236F84" w:rsidP="000032A9">
            <w:pPr>
              <w:keepNext w:val="0"/>
              <w:spacing w:before="0" w:after="160" w:line="252" w:lineRule="auto"/>
              <w:jc w:val="left"/>
              <w:rPr>
                <w:color w:val="auto"/>
                <w:sz w:val="20"/>
                <w:szCs w:val="20"/>
              </w:rPr>
            </w:pPr>
            <w:r w:rsidRPr="00236F84">
              <w:rPr>
                <w:color w:val="auto"/>
                <w:sz w:val="20"/>
                <w:szCs w:val="20"/>
              </w:rPr>
              <w:lastRenderedPageBreak/>
              <w:t>Evidence Base</w:t>
            </w:r>
          </w:p>
        </w:tc>
        <w:tc>
          <w:tcPr>
            <w:tcW w:w="7053" w:type="dxa"/>
          </w:tcPr>
          <w:p w14:paraId="26298580" w14:textId="77777777" w:rsidR="00B40389" w:rsidRPr="009E34A6" w:rsidRDefault="00236F84" w:rsidP="00874A98">
            <w:pPr>
              <w:keepNext w:val="0"/>
              <w:numPr>
                <w:ilvl w:val="0"/>
                <w:numId w:val="263"/>
              </w:numPr>
              <w:spacing w:before="0"/>
              <w:contextualSpacing/>
              <w:jc w:val="left"/>
              <w:rPr>
                <w:bCs/>
                <w:color w:val="auto"/>
                <w:sz w:val="20"/>
                <w:szCs w:val="20"/>
              </w:rPr>
            </w:pPr>
            <w:r w:rsidRPr="009E34A6">
              <w:rPr>
                <w:bCs/>
                <w:color w:val="auto"/>
                <w:sz w:val="20"/>
                <w:szCs w:val="20"/>
              </w:rPr>
              <w:t>Greater Nottingham and Ashfield District Council Gypsy and Traveller Accommodation Assessment, 2021 - RRR Consultancy Ltd.</w:t>
            </w:r>
          </w:p>
          <w:p w14:paraId="7D910CA3" w14:textId="4C59A55C" w:rsidR="00236F84" w:rsidRPr="009E34A6" w:rsidRDefault="00B40389" w:rsidP="00874A98">
            <w:pPr>
              <w:keepNext w:val="0"/>
              <w:numPr>
                <w:ilvl w:val="0"/>
                <w:numId w:val="263"/>
              </w:numPr>
              <w:spacing w:before="0"/>
              <w:contextualSpacing/>
              <w:jc w:val="left"/>
              <w:rPr>
                <w:bCs/>
                <w:color w:val="auto"/>
                <w:sz w:val="20"/>
                <w:szCs w:val="20"/>
              </w:rPr>
            </w:pPr>
            <w:r w:rsidRPr="009E34A6">
              <w:rPr>
                <w:color w:val="auto"/>
                <w:sz w:val="20"/>
                <w:szCs w:val="20"/>
              </w:rPr>
              <w:t>Sustainability Appraisal, 2023. WSP UK Limited.</w:t>
            </w:r>
          </w:p>
        </w:tc>
      </w:tr>
      <w:tr w:rsidR="00236F84" w:rsidRPr="00236F84" w14:paraId="11995E68" w14:textId="77777777" w:rsidTr="00DA5747">
        <w:tc>
          <w:tcPr>
            <w:tcW w:w="2689" w:type="dxa"/>
          </w:tcPr>
          <w:p w14:paraId="245D39BE" w14:textId="77777777" w:rsidR="00236F84" w:rsidRPr="00236F84" w:rsidRDefault="00236F84" w:rsidP="000032A9">
            <w:pPr>
              <w:keepNext w:val="0"/>
              <w:spacing w:before="0" w:after="160" w:line="252" w:lineRule="auto"/>
              <w:jc w:val="left"/>
              <w:rPr>
                <w:color w:val="auto"/>
                <w:sz w:val="20"/>
                <w:szCs w:val="20"/>
              </w:rPr>
            </w:pPr>
            <w:r w:rsidRPr="00236F84">
              <w:rPr>
                <w:color w:val="auto"/>
                <w:sz w:val="20"/>
                <w:szCs w:val="20"/>
              </w:rPr>
              <w:t>National Planning Policy and Guidance</w:t>
            </w:r>
          </w:p>
        </w:tc>
        <w:tc>
          <w:tcPr>
            <w:tcW w:w="7053" w:type="dxa"/>
          </w:tcPr>
          <w:p w14:paraId="277D02D8" w14:textId="77777777" w:rsidR="00236F84" w:rsidRPr="009E34A6" w:rsidRDefault="00236F84" w:rsidP="00874A98">
            <w:pPr>
              <w:keepNext w:val="0"/>
              <w:numPr>
                <w:ilvl w:val="0"/>
                <w:numId w:val="264"/>
              </w:numPr>
              <w:spacing w:before="0"/>
              <w:contextualSpacing/>
              <w:jc w:val="left"/>
              <w:rPr>
                <w:color w:val="auto"/>
                <w:sz w:val="20"/>
                <w:szCs w:val="20"/>
              </w:rPr>
            </w:pPr>
            <w:r w:rsidRPr="009E34A6">
              <w:rPr>
                <w:color w:val="auto"/>
                <w:sz w:val="20"/>
                <w:szCs w:val="20"/>
              </w:rPr>
              <w:t xml:space="preserve">Planning Policy for Traveller Sites, 2015 </w:t>
            </w:r>
            <w:proofErr w:type="gramStart"/>
            <w:r w:rsidRPr="009E34A6">
              <w:rPr>
                <w:color w:val="auto"/>
                <w:sz w:val="20"/>
                <w:szCs w:val="20"/>
              </w:rPr>
              <w:t>-  DCLG</w:t>
            </w:r>
            <w:proofErr w:type="gramEnd"/>
          </w:p>
          <w:p w14:paraId="01E2E3A0" w14:textId="36416EF1" w:rsidR="00236F84" w:rsidRPr="009E34A6" w:rsidRDefault="00236F84" w:rsidP="00874A98">
            <w:pPr>
              <w:keepNext w:val="0"/>
              <w:numPr>
                <w:ilvl w:val="0"/>
                <w:numId w:val="264"/>
              </w:numPr>
              <w:spacing w:before="0"/>
              <w:contextualSpacing/>
              <w:jc w:val="left"/>
              <w:rPr>
                <w:color w:val="auto"/>
                <w:sz w:val="20"/>
                <w:szCs w:val="20"/>
              </w:rPr>
            </w:pPr>
            <w:r w:rsidRPr="009E34A6">
              <w:rPr>
                <w:color w:val="auto"/>
                <w:sz w:val="20"/>
                <w:szCs w:val="20"/>
              </w:rPr>
              <w:t>NPPF 202</w:t>
            </w:r>
            <w:r w:rsidR="004173E0" w:rsidRPr="009E34A6">
              <w:rPr>
                <w:color w:val="auto"/>
                <w:sz w:val="20"/>
                <w:szCs w:val="20"/>
              </w:rPr>
              <w:t>3</w:t>
            </w:r>
            <w:r w:rsidRPr="009E34A6">
              <w:rPr>
                <w:color w:val="auto"/>
                <w:sz w:val="20"/>
                <w:szCs w:val="20"/>
              </w:rPr>
              <w:t>, Part 2: Achieving sustainable development.</w:t>
            </w:r>
          </w:p>
          <w:p w14:paraId="78432BB7" w14:textId="37592734" w:rsidR="00236F84" w:rsidRPr="009E34A6" w:rsidRDefault="00236F84" w:rsidP="00874A98">
            <w:pPr>
              <w:keepNext w:val="0"/>
              <w:numPr>
                <w:ilvl w:val="0"/>
                <w:numId w:val="264"/>
              </w:numPr>
              <w:spacing w:before="0"/>
              <w:contextualSpacing/>
              <w:jc w:val="left"/>
              <w:rPr>
                <w:color w:val="auto"/>
                <w:sz w:val="20"/>
                <w:szCs w:val="20"/>
              </w:rPr>
            </w:pPr>
            <w:r w:rsidRPr="009E34A6">
              <w:rPr>
                <w:color w:val="auto"/>
                <w:sz w:val="20"/>
                <w:szCs w:val="20"/>
              </w:rPr>
              <w:t>NPPF 202</w:t>
            </w:r>
            <w:r w:rsidR="004173E0" w:rsidRPr="009E34A6">
              <w:rPr>
                <w:color w:val="auto"/>
                <w:sz w:val="20"/>
                <w:szCs w:val="20"/>
              </w:rPr>
              <w:t>3</w:t>
            </w:r>
            <w:r w:rsidRPr="009E34A6">
              <w:rPr>
                <w:color w:val="auto"/>
                <w:sz w:val="20"/>
                <w:szCs w:val="20"/>
              </w:rPr>
              <w:t>, Part 5: Delivering a sufficient supply of homes</w:t>
            </w:r>
          </w:p>
          <w:p w14:paraId="43F10D55" w14:textId="19717C21" w:rsidR="00236F84" w:rsidRPr="009E34A6" w:rsidRDefault="00236F84" w:rsidP="00874A98">
            <w:pPr>
              <w:keepNext w:val="0"/>
              <w:numPr>
                <w:ilvl w:val="0"/>
                <w:numId w:val="264"/>
              </w:numPr>
              <w:spacing w:before="0"/>
              <w:contextualSpacing/>
              <w:jc w:val="left"/>
              <w:rPr>
                <w:color w:val="auto"/>
                <w:sz w:val="20"/>
                <w:szCs w:val="20"/>
              </w:rPr>
            </w:pPr>
            <w:r w:rsidRPr="009E34A6">
              <w:rPr>
                <w:color w:val="auto"/>
                <w:sz w:val="20"/>
                <w:szCs w:val="20"/>
              </w:rPr>
              <w:t>Planning Practice Guidance: Housing and Economic Land Availability Assessment</w:t>
            </w:r>
            <w:r w:rsidR="00B40389" w:rsidRPr="009E34A6">
              <w:rPr>
                <w:color w:val="auto"/>
                <w:sz w:val="20"/>
                <w:szCs w:val="20"/>
              </w:rPr>
              <w:t xml:space="preserve"> as </w:t>
            </w:r>
            <w:proofErr w:type="gramStart"/>
            <w:r w:rsidR="00B40389" w:rsidRPr="009E34A6">
              <w:rPr>
                <w:color w:val="auto"/>
                <w:sz w:val="20"/>
                <w:szCs w:val="20"/>
              </w:rPr>
              <w:t>at</w:t>
            </w:r>
            <w:proofErr w:type="gramEnd"/>
            <w:r w:rsidR="00B40389" w:rsidRPr="009E34A6">
              <w:rPr>
                <w:color w:val="auto"/>
                <w:sz w:val="20"/>
                <w:szCs w:val="20"/>
              </w:rPr>
              <w:t xml:space="preserve"> July 2019.</w:t>
            </w:r>
          </w:p>
        </w:tc>
      </w:tr>
    </w:tbl>
    <w:p w14:paraId="43C77E2B" w14:textId="77777777" w:rsidR="00236F84" w:rsidRPr="00236F84" w:rsidRDefault="00236F84" w:rsidP="00236F84">
      <w:pPr>
        <w:keepNext w:val="0"/>
        <w:spacing w:before="0" w:after="160" w:line="252" w:lineRule="auto"/>
        <w:jc w:val="both"/>
        <w:rPr>
          <w:rFonts w:eastAsia="Calibri"/>
          <w:color w:val="auto"/>
          <w:szCs w:val="22"/>
        </w:rPr>
      </w:pPr>
    </w:p>
    <w:p w14:paraId="0B717F52" w14:textId="650D5D85" w:rsidR="00036685" w:rsidRPr="000115EB" w:rsidRDefault="00036685" w:rsidP="00874A98">
      <w:pPr>
        <w:pStyle w:val="ListParagraph"/>
        <w:numPr>
          <w:ilvl w:val="1"/>
          <w:numId w:val="92"/>
        </w:numPr>
        <w:autoSpaceDE w:val="0"/>
        <w:autoSpaceDN w:val="0"/>
        <w:adjustRightInd w:val="0"/>
        <w:spacing w:after="0" w:line="240" w:lineRule="auto"/>
        <w:ind w:left="851" w:hanging="851"/>
        <w:rPr>
          <w:rFonts w:ascii="Arial" w:eastAsia="Arial" w:hAnsi="Arial" w:cs="Arial"/>
          <w:spacing w:val="-1"/>
          <w:szCs w:val="20"/>
          <w:lang w:eastAsia="en-GB"/>
        </w:rPr>
      </w:pPr>
      <w:r w:rsidRPr="00F31667">
        <w:rPr>
          <w:rFonts w:ascii="Arial" w:eastAsia="Arial" w:hAnsi="Arial" w:cs="Arial"/>
          <w:b/>
          <w:szCs w:val="20"/>
          <w:lang w:eastAsia="en-GB"/>
        </w:rPr>
        <w:t>H2:2</w:t>
      </w:r>
      <w:r w:rsidRPr="00F31667">
        <w:rPr>
          <w:rFonts w:ascii="Arial" w:eastAsia="Arial" w:hAnsi="Arial" w:cs="Arial"/>
          <w:szCs w:val="20"/>
          <w:lang w:eastAsia="en-GB"/>
        </w:rPr>
        <w:t xml:space="preserve"> sets out criteria to guide broad locations for any future requirements arising from evidence adopted by the Council. T</w:t>
      </w:r>
      <w:r w:rsidRPr="00F31667">
        <w:rPr>
          <w:rFonts w:ascii="Arial" w:hAnsi="Arial" w:cs="Arial"/>
          <w:szCs w:val="24"/>
          <w:lang w:eastAsia="en-GB"/>
        </w:rPr>
        <w:t>he assessment of accommodation need</w:t>
      </w:r>
      <w:r w:rsidRPr="00F31667">
        <w:rPr>
          <w:rFonts w:ascii="Arial" w:eastAsia="Arial" w:hAnsi="Arial" w:cs="Arial"/>
          <w:szCs w:val="24"/>
          <w:vertAlign w:val="superscript"/>
          <w:lang w:eastAsia="en-GB"/>
        </w:rPr>
        <w:footnoteReference w:id="90"/>
      </w:r>
      <w:r w:rsidRPr="00F31667">
        <w:rPr>
          <w:rFonts w:ascii="Arial" w:hAnsi="Arial" w:cs="Arial"/>
          <w:szCs w:val="24"/>
          <w:lang w:eastAsia="en-GB"/>
        </w:rPr>
        <w:t xml:space="preserve"> will be subject to regular monitoring and update, with a review every five years. Where necessary t</w:t>
      </w:r>
      <w:r w:rsidRPr="00F31667">
        <w:rPr>
          <w:rFonts w:ascii="Arial" w:eastAsia="Arial" w:hAnsi="Arial" w:cs="Arial"/>
          <w:szCs w:val="20"/>
          <w:lang w:eastAsia="en-GB"/>
        </w:rPr>
        <w:t xml:space="preserve">he Council will seek to secure any future allocations based on this information through a review of the Local Plan or a Gypsy and Traveller DPD. The </w:t>
      </w:r>
      <w:r w:rsidRPr="00F31667">
        <w:rPr>
          <w:rFonts w:ascii="Arial" w:eastAsia="Arial" w:hAnsi="Arial" w:cs="Arial"/>
          <w:spacing w:val="-1"/>
          <w:szCs w:val="20"/>
          <w:lang w:eastAsia="en-GB"/>
        </w:rPr>
        <w:t>policy</w:t>
      </w:r>
      <w:r w:rsidRPr="00F31667">
        <w:rPr>
          <w:rFonts w:ascii="Arial" w:eastAsia="Arial" w:hAnsi="Arial" w:cs="Arial"/>
          <w:szCs w:val="20"/>
          <w:lang w:eastAsia="en-GB"/>
        </w:rPr>
        <w:t xml:space="preserve"> facilitates provision of Gypsy and Traveller sites in accordance with sustainable development principles and criteria set out in H2:2 will also guide </w:t>
      </w:r>
      <w:r w:rsidRPr="00F31667">
        <w:rPr>
          <w:rFonts w:ascii="Arial" w:eastAsia="Arial" w:hAnsi="Arial" w:cs="Arial"/>
          <w:szCs w:val="20"/>
          <w:lang w:eastAsia="en-GB"/>
        </w:rPr>
        <w:lastRenderedPageBreak/>
        <w:t>decision making on planning applications. These criteria are not intended to be an exhaustive list and are cross-cutting with other policies in this document.</w:t>
      </w:r>
    </w:p>
    <w:p w14:paraId="1A5EFD7D" w14:textId="77777777" w:rsidR="000115EB" w:rsidRPr="00550BB9" w:rsidRDefault="000115EB" w:rsidP="000115EB">
      <w:pPr>
        <w:pStyle w:val="ListParagraph"/>
        <w:autoSpaceDE w:val="0"/>
        <w:autoSpaceDN w:val="0"/>
        <w:adjustRightInd w:val="0"/>
        <w:spacing w:after="0" w:line="240" w:lineRule="auto"/>
        <w:ind w:left="851"/>
        <w:rPr>
          <w:rFonts w:ascii="Arial" w:eastAsia="Arial" w:hAnsi="Arial" w:cs="Arial"/>
          <w:spacing w:val="-1"/>
          <w:szCs w:val="20"/>
          <w:lang w:eastAsia="en-GB"/>
        </w:rPr>
      </w:pPr>
    </w:p>
    <w:p w14:paraId="30876327" w14:textId="77777777" w:rsidR="00036685" w:rsidRPr="00F31667" w:rsidRDefault="00036685"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0"/>
          <w:lang w:eastAsia="en-GB"/>
        </w:rPr>
      </w:pPr>
      <w:r w:rsidRPr="00F31667">
        <w:rPr>
          <w:rFonts w:ascii="Arial" w:eastAsia="Arial" w:hAnsi="Arial" w:cs="Arial"/>
          <w:szCs w:val="20"/>
          <w:lang w:eastAsia="en-GB"/>
        </w:rPr>
        <w:t xml:space="preserve">Travelling </w:t>
      </w:r>
      <w:proofErr w:type="spellStart"/>
      <w:r w:rsidRPr="00F31667">
        <w:rPr>
          <w:rFonts w:ascii="Arial" w:eastAsia="Arial" w:hAnsi="Arial" w:cs="Arial"/>
          <w:szCs w:val="20"/>
          <w:lang w:eastAsia="en-GB"/>
        </w:rPr>
        <w:t>Showpeople</w:t>
      </w:r>
      <w:proofErr w:type="spellEnd"/>
      <w:r w:rsidRPr="00F31667">
        <w:rPr>
          <w:rFonts w:ascii="Arial" w:eastAsia="Arial" w:hAnsi="Arial" w:cs="Arial"/>
          <w:szCs w:val="20"/>
          <w:lang w:eastAsia="en-GB"/>
        </w:rPr>
        <w:t xml:space="preserve"> do not in general share the same culture or traditions as Gypsies and Travellers. Due to the nature of their business, sites often need to accommodate large amounts of fairground equipment to enable storage when not in use and for maintenance. These require much larger plots, rather than pitches, and can have a greater impact on the surrounding area both visually and in terms of noise.  </w:t>
      </w:r>
    </w:p>
    <w:p w14:paraId="54F39AEB" w14:textId="77777777" w:rsidR="00036685" w:rsidRPr="00F31667" w:rsidRDefault="00036685" w:rsidP="00823DBE">
      <w:pPr>
        <w:autoSpaceDE w:val="0"/>
        <w:autoSpaceDN w:val="0"/>
        <w:adjustRightInd w:val="0"/>
        <w:spacing w:before="0"/>
        <w:rPr>
          <w:rFonts w:eastAsia="Arial" w:cs="Arial"/>
        </w:rPr>
      </w:pPr>
    </w:p>
    <w:p w14:paraId="208B1BB7" w14:textId="77777777" w:rsidR="00036685" w:rsidRPr="00F31667" w:rsidRDefault="00036685" w:rsidP="00874A98">
      <w:pPr>
        <w:pStyle w:val="ListParagraph"/>
        <w:numPr>
          <w:ilvl w:val="1"/>
          <w:numId w:val="92"/>
        </w:numPr>
        <w:autoSpaceDE w:val="0"/>
        <w:autoSpaceDN w:val="0"/>
        <w:adjustRightInd w:val="0"/>
        <w:spacing w:after="0" w:line="240" w:lineRule="auto"/>
        <w:ind w:left="851" w:hanging="851"/>
        <w:rPr>
          <w:rFonts w:ascii="Arial" w:eastAsia="Arial" w:hAnsi="Arial" w:cs="Arial"/>
          <w:spacing w:val="-1"/>
          <w:szCs w:val="20"/>
          <w:lang w:eastAsia="en-GB"/>
        </w:rPr>
      </w:pPr>
      <w:r w:rsidRPr="00F31667">
        <w:rPr>
          <w:rFonts w:ascii="Arial" w:eastAsia="Arial" w:hAnsi="Arial" w:cs="Arial"/>
          <w:szCs w:val="20"/>
          <w:lang w:eastAsia="en-GB"/>
        </w:rPr>
        <w:t xml:space="preserve">With reference to flood risk, it should be noted that caravans, mobile homes and park homes intended for permanent residential use are classified as highly vulnerable in flooding terms and should not be permitted in Flood Zone 3. This approach is supported by Policy </w:t>
      </w:r>
      <w:r w:rsidRPr="0074669E">
        <w:rPr>
          <w:rFonts w:ascii="Arial" w:eastAsia="Arial" w:hAnsi="Arial" w:cs="Arial"/>
          <w:szCs w:val="20"/>
          <w:lang w:eastAsia="en-GB"/>
        </w:rPr>
        <w:t>CC3</w:t>
      </w:r>
      <w:r w:rsidRPr="00F31667">
        <w:rPr>
          <w:rFonts w:ascii="Arial" w:eastAsia="Arial" w:hAnsi="Arial" w:cs="Arial"/>
          <w:szCs w:val="20"/>
          <w:lang w:eastAsia="en-GB"/>
        </w:rPr>
        <w:t xml:space="preserve"> which requires development to meet the sequential test set out in the Technical Guidance to the NPPF.</w:t>
      </w:r>
    </w:p>
    <w:p w14:paraId="13B2F601" w14:textId="77777777" w:rsidR="00036685" w:rsidRPr="00F31667" w:rsidRDefault="00036685" w:rsidP="00823DBE">
      <w:pPr>
        <w:autoSpaceDE w:val="0"/>
        <w:autoSpaceDN w:val="0"/>
        <w:adjustRightInd w:val="0"/>
        <w:spacing w:before="0"/>
        <w:rPr>
          <w:rFonts w:eastAsia="Arial" w:cs="Arial"/>
        </w:rPr>
      </w:pPr>
    </w:p>
    <w:p w14:paraId="53943285" w14:textId="38DD5BA7" w:rsidR="00036685" w:rsidRPr="00F31667" w:rsidRDefault="00036685" w:rsidP="00874A98">
      <w:pPr>
        <w:pStyle w:val="ListParagraph"/>
        <w:numPr>
          <w:ilvl w:val="1"/>
          <w:numId w:val="92"/>
        </w:numPr>
        <w:autoSpaceDE w:val="0"/>
        <w:autoSpaceDN w:val="0"/>
        <w:adjustRightInd w:val="0"/>
        <w:spacing w:after="0" w:line="240" w:lineRule="auto"/>
        <w:ind w:left="851" w:hanging="851"/>
        <w:rPr>
          <w:rFonts w:ascii="Arial" w:eastAsia="Arial" w:hAnsi="Arial" w:cs="Arial"/>
          <w:spacing w:val="-1"/>
          <w:szCs w:val="20"/>
          <w:lang w:eastAsia="en-GB"/>
        </w:rPr>
      </w:pPr>
      <w:r w:rsidRPr="00F31667">
        <w:rPr>
          <w:rFonts w:ascii="Arial" w:eastAsia="Arial" w:hAnsi="Arial" w:cs="Arial"/>
          <w:szCs w:val="20"/>
          <w:lang w:eastAsia="en-GB"/>
        </w:rPr>
        <w:t xml:space="preserve">Policies </w:t>
      </w:r>
      <w:r w:rsidRPr="00EF521C">
        <w:rPr>
          <w:rFonts w:ascii="Arial" w:eastAsia="Arial" w:hAnsi="Arial" w:cs="Arial"/>
          <w:szCs w:val="20"/>
          <w:lang w:eastAsia="en-GB"/>
        </w:rPr>
        <w:t>EV4, EV</w:t>
      </w:r>
      <w:r w:rsidR="00EF521C" w:rsidRPr="00EF521C">
        <w:rPr>
          <w:rFonts w:ascii="Arial" w:eastAsia="Arial" w:hAnsi="Arial" w:cs="Arial"/>
          <w:szCs w:val="20"/>
          <w:lang w:eastAsia="en-GB"/>
        </w:rPr>
        <w:t>8</w:t>
      </w:r>
      <w:r w:rsidRPr="00EF521C">
        <w:rPr>
          <w:rFonts w:ascii="Arial" w:eastAsia="Arial" w:hAnsi="Arial" w:cs="Arial"/>
          <w:szCs w:val="20"/>
          <w:lang w:eastAsia="en-GB"/>
        </w:rPr>
        <w:t xml:space="preserve"> and EV</w:t>
      </w:r>
      <w:r w:rsidR="00EF521C" w:rsidRPr="00EF521C">
        <w:rPr>
          <w:rFonts w:ascii="Arial" w:eastAsia="Arial" w:hAnsi="Arial" w:cs="Arial"/>
          <w:szCs w:val="20"/>
          <w:lang w:eastAsia="en-GB"/>
        </w:rPr>
        <w:t>9</w:t>
      </w:r>
      <w:r w:rsidRPr="00F31667">
        <w:rPr>
          <w:rFonts w:ascii="Arial" w:eastAsia="Arial" w:hAnsi="Arial" w:cs="Arial"/>
          <w:szCs w:val="20"/>
          <w:lang w:eastAsia="en-GB"/>
        </w:rPr>
        <w:t xml:space="preserve"> refer to nature conservation and biodiversity, high quality agricultural land and heritage assets in more detail. </w:t>
      </w:r>
    </w:p>
    <w:p w14:paraId="7762EDF5" w14:textId="77777777" w:rsidR="00036685" w:rsidRPr="00F31667" w:rsidRDefault="00036685" w:rsidP="00823DBE">
      <w:pPr>
        <w:autoSpaceDE w:val="0"/>
        <w:autoSpaceDN w:val="0"/>
        <w:adjustRightInd w:val="0"/>
        <w:spacing w:before="0"/>
        <w:rPr>
          <w:rFonts w:eastAsia="Arial" w:cs="Arial"/>
        </w:rPr>
      </w:pPr>
    </w:p>
    <w:p w14:paraId="294FC172" w14:textId="77777777" w:rsidR="00036685" w:rsidRPr="00F31667" w:rsidRDefault="00036685" w:rsidP="00874A98">
      <w:pPr>
        <w:pStyle w:val="ListParagraph"/>
        <w:numPr>
          <w:ilvl w:val="1"/>
          <w:numId w:val="92"/>
        </w:numPr>
        <w:autoSpaceDE w:val="0"/>
        <w:autoSpaceDN w:val="0"/>
        <w:adjustRightInd w:val="0"/>
        <w:spacing w:after="0" w:line="240" w:lineRule="auto"/>
        <w:ind w:left="851" w:hanging="851"/>
        <w:rPr>
          <w:rFonts w:ascii="Arial" w:eastAsia="Arial" w:hAnsi="Arial" w:cs="Arial"/>
          <w:spacing w:val="-1"/>
          <w:szCs w:val="20"/>
          <w:lang w:eastAsia="en-GB"/>
        </w:rPr>
      </w:pPr>
      <w:r w:rsidRPr="00F31667">
        <w:rPr>
          <w:rFonts w:ascii="Arial" w:eastAsia="Arial" w:hAnsi="Arial" w:cs="Arial"/>
          <w:szCs w:val="20"/>
          <w:lang w:eastAsia="en-GB"/>
        </w:rPr>
        <w:t xml:space="preserve">In general terms the Council will look favourably upon applications that: </w:t>
      </w:r>
    </w:p>
    <w:p w14:paraId="73BD0C8D" w14:textId="77777777" w:rsidR="00036685" w:rsidRPr="00F31667" w:rsidRDefault="00036685" w:rsidP="00823DBE">
      <w:pPr>
        <w:keepLines/>
        <w:tabs>
          <w:tab w:val="left" w:pos="680"/>
        </w:tabs>
        <w:suppressAutoHyphens/>
        <w:spacing w:before="0"/>
        <w:ind w:right="56"/>
        <w:textAlignment w:val="baseline"/>
        <w:rPr>
          <w:rFonts w:eastAsia="Arial" w:cs="Arial"/>
        </w:rPr>
      </w:pPr>
    </w:p>
    <w:p w14:paraId="36976AC5" w14:textId="09E07015" w:rsidR="00036685" w:rsidRPr="00F31667" w:rsidRDefault="00036685" w:rsidP="00BA29ED">
      <w:pPr>
        <w:keepNext w:val="0"/>
        <w:keepLines/>
        <w:numPr>
          <w:ilvl w:val="0"/>
          <w:numId w:val="127"/>
        </w:numPr>
        <w:tabs>
          <w:tab w:val="left" w:pos="680"/>
        </w:tabs>
        <w:suppressAutoHyphens/>
        <w:spacing w:before="0"/>
        <w:ind w:left="1151" w:right="57" w:hanging="357"/>
        <w:textAlignment w:val="baseline"/>
        <w:rPr>
          <w:rFonts w:eastAsia="Arial" w:cs="Arial"/>
        </w:rPr>
      </w:pPr>
      <w:r w:rsidRPr="00F31667">
        <w:rPr>
          <w:rFonts w:eastAsia="Arial" w:cs="Arial"/>
        </w:rPr>
        <w:t xml:space="preserve">involve the development of </w:t>
      </w:r>
      <w:r w:rsidR="009D1815" w:rsidRPr="00F31667">
        <w:rPr>
          <w:rFonts w:eastAsia="Arial" w:cs="Arial"/>
        </w:rPr>
        <w:t>previously developed</w:t>
      </w:r>
      <w:r w:rsidRPr="00F31667">
        <w:rPr>
          <w:rFonts w:eastAsia="Arial" w:cs="Arial"/>
        </w:rPr>
        <w:t xml:space="preserve"> untidy or derelict land;</w:t>
      </w:r>
    </w:p>
    <w:p w14:paraId="4F6D1EB1" w14:textId="77777777" w:rsidR="007303DD" w:rsidRDefault="00036685" w:rsidP="00BA29ED">
      <w:pPr>
        <w:keepNext w:val="0"/>
        <w:keepLines/>
        <w:numPr>
          <w:ilvl w:val="0"/>
          <w:numId w:val="127"/>
        </w:numPr>
        <w:tabs>
          <w:tab w:val="left" w:pos="680"/>
        </w:tabs>
        <w:suppressAutoHyphens/>
        <w:spacing w:before="0"/>
        <w:ind w:left="1151" w:right="57" w:hanging="357"/>
        <w:textAlignment w:val="baseline"/>
        <w:rPr>
          <w:rFonts w:eastAsia="Arial" w:cs="Arial"/>
        </w:rPr>
      </w:pPr>
      <w:r w:rsidRPr="00F31667">
        <w:rPr>
          <w:rFonts w:eastAsia="Arial" w:cs="Arial"/>
        </w:rPr>
        <w:t>are well planned or soft landscaped in such a way as to positively enhance the environment and increase its openness;</w:t>
      </w:r>
    </w:p>
    <w:p w14:paraId="7D3B416B" w14:textId="309B432F" w:rsidR="00036685" w:rsidRPr="007303DD" w:rsidRDefault="00036685" w:rsidP="00BA29ED">
      <w:pPr>
        <w:keepNext w:val="0"/>
        <w:keepLines/>
        <w:numPr>
          <w:ilvl w:val="0"/>
          <w:numId w:val="127"/>
        </w:numPr>
        <w:tabs>
          <w:tab w:val="left" w:pos="680"/>
        </w:tabs>
        <w:suppressAutoHyphens/>
        <w:spacing w:before="0"/>
        <w:ind w:left="1151" w:right="57" w:hanging="357"/>
        <w:textAlignment w:val="baseline"/>
        <w:rPr>
          <w:rFonts w:eastAsia="Arial" w:cs="Arial"/>
        </w:rPr>
      </w:pPr>
      <w:r w:rsidRPr="007303DD">
        <w:rPr>
          <w:rFonts w:eastAsia="Arial" w:cs="Arial"/>
        </w:rPr>
        <w:t>ensure adequate landscaping and play areas for children;</w:t>
      </w:r>
    </w:p>
    <w:p w14:paraId="6549A805" w14:textId="77777777" w:rsidR="00036685" w:rsidRPr="00F31667" w:rsidRDefault="00036685" w:rsidP="00BA29ED">
      <w:pPr>
        <w:keepNext w:val="0"/>
        <w:keepLines/>
        <w:numPr>
          <w:ilvl w:val="0"/>
          <w:numId w:val="127"/>
        </w:numPr>
        <w:tabs>
          <w:tab w:val="left" w:pos="680"/>
        </w:tabs>
        <w:suppressAutoHyphens/>
        <w:spacing w:before="0"/>
        <w:ind w:left="1151" w:right="57" w:hanging="357"/>
        <w:textAlignment w:val="baseline"/>
        <w:rPr>
          <w:rFonts w:eastAsia="Arial" w:cs="Arial"/>
        </w:rPr>
      </w:pPr>
      <w:r w:rsidRPr="00F31667">
        <w:rPr>
          <w:rFonts w:eastAsia="Arial" w:cs="Arial"/>
        </w:rPr>
        <w:t>Do not enclose a site with so much hard landscaping, high walls or fences that the impression may be given that the site and its occupants are deliberately isolated from the rest of the community.</w:t>
      </w:r>
    </w:p>
    <w:p w14:paraId="55BFB549" w14:textId="77777777" w:rsidR="00036685" w:rsidRPr="00F31667" w:rsidRDefault="00036685" w:rsidP="00823DBE">
      <w:pPr>
        <w:autoSpaceDE w:val="0"/>
        <w:autoSpaceDN w:val="0"/>
        <w:adjustRightInd w:val="0"/>
        <w:spacing w:before="0"/>
        <w:rPr>
          <w:rFonts w:eastAsia="Arial" w:cs="Arial"/>
        </w:rPr>
      </w:pPr>
    </w:p>
    <w:p w14:paraId="369A99D2" w14:textId="77777777" w:rsidR="00036685" w:rsidRPr="00F31667" w:rsidRDefault="00036685" w:rsidP="00874A98">
      <w:pPr>
        <w:pStyle w:val="ListParagraph"/>
        <w:numPr>
          <w:ilvl w:val="1"/>
          <w:numId w:val="92"/>
        </w:numPr>
        <w:autoSpaceDE w:val="0"/>
        <w:autoSpaceDN w:val="0"/>
        <w:adjustRightInd w:val="0"/>
        <w:spacing w:after="0" w:line="240" w:lineRule="auto"/>
        <w:ind w:left="851" w:hanging="851"/>
        <w:rPr>
          <w:rFonts w:ascii="Arial" w:eastAsia="Arial" w:hAnsi="Arial" w:cs="Arial"/>
          <w:spacing w:val="-1"/>
          <w:szCs w:val="20"/>
          <w:lang w:eastAsia="en-GB"/>
        </w:rPr>
      </w:pPr>
      <w:r w:rsidRPr="00F31667">
        <w:rPr>
          <w:rFonts w:ascii="Arial" w:eastAsia="Arial" w:hAnsi="Arial" w:cs="Arial"/>
          <w:szCs w:val="20"/>
          <w:lang w:eastAsia="en-GB"/>
        </w:rPr>
        <w:t xml:space="preserve">The use of planning conditions or obligations should be considered </w:t>
      </w:r>
      <w:proofErr w:type="gramStart"/>
      <w:r w:rsidRPr="00F31667">
        <w:rPr>
          <w:rFonts w:ascii="Arial" w:eastAsia="Arial" w:hAnsi="Arial" w:cs="Arial"/>
          <w:szCs w:val="20"/>
          <w:lang w:eastAsia="en-GB"/>
        </w:rPr>
        <w:t>in order to</w:t>
      </w:r>
      <w:proofErr w:type="gramEnd"/>
      <w:r w:rsidRPr="00F31667">
        <w:rPr>
          <w:rFonts w:ascii="Arial" w:eastAsia="Arial" w:hAnsi="Arial" w:cs="Arial"/>
          <w:szCs w:val="20"/>
          <w:lang w:eastAsia="en-GB"/>
        </w:rPr>
        <w:t xml:space="preserve"> overcome planning objections to </w:t>
      </w:r>
      <w:proofErr w:type="gramStart"/>
      <w:r w:rsidRPr="00F31667">
        <w:rPr>
          <w:rFonts w:ascii="Arial" w:eastAsia="Arial" w:hAnsi="Arial" w:cs="Arial"/>
          <w:szCs w:val="20"/>
          <w:lang w:eastAsia="en-GB"/>
        </w:rPr>
        <w:t>particular proposals</w:t>
      </w:r>
      <w:proofErr w:type="gramEnd"/>
      <w:r w:rsidRPr="00F31667">
        <w:rPr>
          <w:rFonts w:ascii="Arial" w:eastAsia="Arial" w:hAnsi="Arial" w:cs="Arial"/>
          <w:szCs w:val="20"/>
          <w:lang w:eastAsia="en-GB"/>
        </w:rPr>
        <w:t xml:space="preserve">, for example: </w:t>
      </w:r>
    </w:p>
    <w:p w14:paraId="640BE122" w14:textId="77777777" w:rsidR="00036685" w:rsidRPr="00F31667" w:rsidRDefault="00036685" w:rsidP="00823DBE">
      <w:pPr>
        <w:keepLines/>
        <w:tabs>
          <w:tab w:val="left" w:pos="680"/>
        </w:tabs>
        <w:suppressAutoHyphens/>
        <w:spacing w:before="0"/>
        <w:ind w:right="56"/>
        <w:textAlignment w:val="baseline"/>
        <w:rPr>
          <w:rFonts w:eastAsia="Arial" w:cs="Arial"/>
        </w:rPr>
      </w:pPr>
    </w:p>
    <w:p w14:paraId="36C8B902" w14:textId="77777777" w:rsidR="00036685" w:rsidRPr="00F31667" w:rsidRDefault="00036685" w:rsidP="00BA29ED">
      <w:pPr>
        <w:keepNext w:val="0"/>
        <w:keepLines/>
        <w:numPr>
          <w:ilvl w:val="0"/>
          <w:numId w:val="128"/>
        </w:numPr>
        <w:tabs>
          <w:tab w:val="left" w:pos="680"/>
        </w:tabs>
        <w:suppressAutoHyphens/>
        <w:spacing w:before="0"/>
        <w:ind w:left="1151" w:right="57" w:hanging="357"/>
        <w:textAlignment w:val="baseline"/>
        <w:rPr>
          <w:rFonts w:eastAsia="Arial" w:cs="Arial"/>
        </w:rPr>
      </w:pPr>
      <w:r w:rsidRPr="00F31667">
        <w:rPr>
          <w:rFonts w:eastAsia="Arial" w:cs="Arial"/>
        </w:rPr>
        <w:t xml:space="preserve">limiting which parts of a site may be used for any business operations, </w:t>
      </w:r>
      <w:proofErr w:type="gramStart"/>
      <w:r w:rsidRPr="00F31667">
        <w:rPr>
          <w:rFonts w:eastAsia="Arial" w:cs="Arial"/>
        </w:rPr>
        <w:t>in order to</w:t>
      </w:r>
      <w:proofErr w:type="gramEnd"/>
      <w:r w:rsidRPr="00F31667">
        <w:rPr>
          <w:rFonts w:eastAsia="Arial" w:cs="Arial"/>
        </w:rPr>
        <w:t xml:space="preserve"> minimise the visual impact and limit the effect of noise;</w:t>
      </w:r>
    </w:p>
    <w:p w14:paraId="4D6E4B88" w14:textId="03B283C6" w:rsidR="00036685" w:rsidRPr="00F31667" w:rsidRDefault="00036685" w:rsidP="00BA29ED">
      <w:pPr>
        <w:keepNext w:val="0"/>
        <w:keepLines/>
        <w:numPr>
          <w:ilvl w:val="0"/>
          <w:numId w:val="128"/>
        </w:numPr>
        <w:tabs>
          <w:tab w:val="left" w:pos="680"/>
        </w:tabs>
        <w:suppressAutoHyphens/>
        <w:spacing w:before="0"/>
        <w:ind w:left="1151" w:right="57" w:hanging="357"/>
        <w:textAlignment w:val="baseline"/>
        <w:rPr>
          <w:rFonts w:eastAsia="Arial" w:cs="Arial"/>
        </w:rPr>
      </w:pPr>
      <w:r w:rsidRPr="00F31667">
        <w:rPr>
          <w:rFonts w:eastAsia="Arial" w:cs="Arial"/>
        </w:rPr>
        <w:t xml:space="preserve">specifying the number of </w:t>
      </w:r>
      <w:r w:rsidR="009D1815" w:rsidRPr="00F31667">
        <w:rPr>
          <w:rFonts w:eastAsia="Arial" w:cs="Arial"/>
        </w:rPr>
        <w:t>days,</w:t>
      </w:r>
      <w:r w:rsidRPr="00F31667">
        <w:rPr>
          <w:rFonts w:eastAsia="Arial" w:cs="Arial"/>
        </w:rPr>
        <w:t xml:space="preserve"> the site can be occupied by more than the allowed number of caravans (which permits visitors and allows attendance at family or community events); </w:t>
      </w:r>
    </w:p>
    <w:p w14:paraId="1B547707" w14:textId="77777777" w:rsidR="00036685" w:rsidRPr="00F31667" w:rsidRDefault="00036685" w:rsidP="00BA29ED">
      <w:pPr>
        <w:keepNext w:val="0"/>
        <w:keepLines/>
        <w:numPr>
          <w:ilvl w:val="0"/>
          <w:numId w:val="128"/>
        </w:numPr>
        <w:tabs>
          <w:tab w:val="left" w:pos="680"/>
        </w:tabs>
        <w:suppressAutoHyphens/>
        <w:spacing w:before="0"/>
        <w:ind w:left="1151" w:right="57" w:hanging="357"/>
        <w:textAlignment w:val="baseline"/>
        <w:rPr>
          <w:rFonts w:eastAsia="Arial" w:cs="Arial"/>
        </w:rPr>
      </w:pPr>
      <w:r w:rsidRPr="00F31667">
        <w:rPr>
          <w:rFonts w:eastAsia="Arial" w:cs="Arial"/>
        </w:rPr>
        <w:t>limiting the maximum number of days for which caravans might be permitted to stay on a transit site.</w:t>
      </w:r>
    </w:p>
    <w:p w14:paraId="1266FA1F" w14:textId="77777777" w:rsidR="00036685" w:rsidRPr="00F31667" w:rsidRDefault="00036685" w:rsidP="00036685">
      <w:pPr>
        <w:autoSpaceDE w:val="0"/>
        <w:autoSpaceDN w:val="0"/>
        <w:adjustRightInd w:val="0"/>
        <w:rPr>
          <w:rFonts w:eastAsia="Arial" w:cs="Arial"/>
          <w:spacing w:val="-1"/>
        </w:rPr>
      </w:pPr>
    </w:p>
    <w:p w14:paraId="470D3D9B" w14:textId="3CAF1C47" w:rsidR="002B1A0E" w:rsidRPr="00823DBE" w:rsidRDefault="00036685" w:rsidP="00874A98">
      <w:pPr>
        <w:pStyle w:val="ListParagraph"/>
        <w:numPr>
          <w:ilvl w:val="1"/>
          <w:numId w:val="92"/>
        </w:numPr>
        <w:autoSpaceDE w:val="0"/>
        <w:autoSpaceDN w:val="0"/>
        <w:adjustRightInd w:val="0"/>
        <w:spacing w:after="0" w:line="240" w:lineRule="auto"/>
        <w:ind w:left="851" w:hanging="851"/>
        <w:contextualSpacing w:val="0"/>
        <w:rPr>
          <w:rFonts w:ascii="Arial" w:eastAsia="Arial" w:hAnsi="Arial" w:cs="Arial"/>
          <w:szCs w:val="24"/>
          <w:lang w:eastAsia="en-GB"/>
        </w:rPr>
      </w:pPr>
      <w:r w:rsidRPr="00F31667">
        <w:rPr>
          <w:rFonts w:ascii="Arial" w:hAnsi="Arial" w:cs="Arial"/>
          <w:b/>
          <w:szCs w:val="20"/>
          <w:lang w:eastAsia="en-GB"/>
        </w:rPr>
        <w:t xml:space="preserve">H2:3 </w:t>
      </w:r>
      <w:r w:rsidRPr="00F31667">
        <w:rPr>
          <w:rFonts w:ascii="Arial" w:eastAsia="Arial" w:hAnsi="Arial" w:cs="Arial"/>
          <w:szCs w:val="20"/>
          <w:lang w:eastAsia="en-GB"/>
        </w:rPr>
        <w:t>seeks to limit development very strictly in the open countryside in accordance with national policy</w:t>
      </w:r>
      <w:r w:rsidRPr="00F31667">
        <w:rPr>
          <w:rFonts w:ascii="Arial" w:eastAsia="Arial" w:hAnsi="Arial" w:cs="Arial"/>
          <w:szCs w:val="20"/>
          <w:vertAlign w:val="superscript"/>
          <w:lang w:eastAsia="en-GB"/>
        </w:rPr>
        <w:footnoteReference w:id="91"/>
      </w:r>
      <w:r w:rsidRPr="00F31667">
        <w:rPr>
          <w:rFonts w:ascii="Arial" w:eastAsia="Arial" w:hAnsi="Arial" w:cs="Arial"/>
          <w:szCs w:val="20"/>
          <w:lang w:eastAsia="en-GB"/>
        </w:rPr>
        <w:t xml:space="preserve">. However, where the </w:t>
      </w:r>
      <w:proofErr w:type="gramStart"/>
      <w:r w:rsidRPr="00F31667">
        <w:rPr>
          <w:rFonts w:ascii="Arial" w:eastAsia="Arial" w:hAnsi="Arial" w:cs="Arial"/>
          <w:szCs w:val="20"/>
          <w:lang w:eastAsia="en-GB"/>
        </w:rPr>
        <w:t>District</w:t>
      </w:r>
      <w:proofErr w:type="gramEnd"/>
      <w:r w:rsidRPr="00F31667">
        <w:rPr>
          <w:rFonts w:ascii="Arial" w:eastAsia="Arial" w:hAnsi="Arial" w:cs="Arial"/>
          <w:szCs w:val="20"/>
          <w:lang w:eastAsia="en-GB"/>
        </w:rPr>
        <w:t xml:space="preserve"> has an identified unmet pitch or plot need, the Council will apply a presumption in favour of development for sustainably located proposals outside of the Green Belt. This </w:t>
      </w:r>
      <w:r w:rsidRPr="00F31667">
        <w:rPr>
          <w:rFonts w:ascii="Arial" w:eastAsia="Arial" w:hAnsi="Arial" w:cs="Arial"/>
          <w:szCs w:val="20"/>
          <w:lang w:eastAsia="en-GB"/>
        </w:rPr>
        <w:lastRenderedPageBreak/>
        <w:t>presumption will only apply where there is an unmet need identified within an up-to-date Traveller Accommodation Assessment for Ashfield District.</w:t>
      </w:r>
    </w:p>
    <w:p w14:paraId="24DCAE6E" w14:textId="77777777" w:rsidR="00823DBE" w:rsidRPr="00823DBE" w:rsidRDefault="00823DBE" w:rsidP="00823DBE">
      <w:pPr>
        <w:pStyle w:val="ListParagraph"/>
        <w:autoSpaceDE w:val="0"/>
        <w:autoSpaceDN w:val="0"/>
        <w:adjustRightInd w:val="0"/>
        <w:spacing w:after="0" w:line="240" w:lineRule="auto"/>
        <w:ind w:left="851"/>
        <w:contextualSpacing w:val="0"/>
        <w:rPr>
          <w:rFonts w:ascii="Arial" w:eastAsia="Arial" w:hAnsi="Arial" w:cs="Arial"/>
          <w:szCs w:val="24"/>
          <w:lang w:eastAsia="en-GB"/>
        </w:rPr>
      </w:pPr>
    </w:p>
    <w:p w14:paraId="13062D1D" w14:textId="4053A221" w:rsidR="00B525B4" w:rsidRDefault="00036685" w:rsidP="00874A98">
      <w:pPr>
        <w:pStyle w:val="ListParagraph"/>
        <w:numPr>
          <w:ilvl w:val="1"/>
          <w:numId w:val="92"/>
        </w:numPr>
        <w:autoSpaceDE w:val="0"/>
        <w:autoSpaceDN w:val="0"/>
        <w:adjustRightInd w:val="0"/>
        <w:spacing w:after="0" w:line="240" w:lineRule="auto"/>
        <w:ind w:left="851" w:hanging="851"/>
        <w:contextualSpacing w:val="0"/>
        <w:rPr>
          <w:rFonts w:ascii="Arial" w:eastAsia="Arial" w:hAnsi="Arial" w:cs="Arial"/>
          <w:szCs w:val="24"/>
          <w:lang w:eastAsia="en-GB"/>
        </w:rPr>
      </w:pPr>
      <w:r w:rsidRPr="002B1A0E">
        <w:rPr>
          <w:rFonts w:ascii="Arial" w:hAnsi="Arial" w:cs="Arial"/>
          <w:b/>
          <w:szCs w:val="24"/>
        </w:rPr>
        <w:t>H2:4</w:t>
      </w:r>
      <w:r w:rsidRPr="002B1A0E">
        <w:rPr>
          <w:rFonts w:ascii="Arial" w:eastAsia="Arial" w:hAnsi="Arial" w:cs="Arial"/>
          <w:szCs w:val="24"/>
        </w:rPr>
        <w:t xml:space="preserve"> of this policy safeguards both existing and future authorised gypsy/traveller or travelling </w:t>
      </w:r>
      <w:proofErr w:type="spellStart"/>
      <w:r w:rsidRPr="002B1A0E">
        <w:rPr>
          <w:rFonts w:ascii="Arial" w:eastAsia="Arial" w:hAnsi="Arial" w:cs="Arial"/>
          <w:szCs w:val="24"/>
        </w:rPr>
        <w:t>showperson’s</w:t>
      </w:r>
      <w:proofErr w:type="spellEnd"/>
      <w:r w:rsidRPr="002B1A0E">
        <w:rPr>
          <w:rFonts w:ascii="Arial" w:eastAsia="Arial" w:hAnsi="Arial" w:cs="Arial"/>
          <w:szCs w:val="24"/>
        </w:rPr>
        <w:t xml:space="preserve"> sites. It aims to ensure that the permitted use is not lost through the grant of any subsequent planning permission, or relaxation of planning conditions which may allow alternative types of development or uses. It is important that sites are retained to meet identified traveller needs within the </w:t>
      </w:r>
      <w:proofErr w:type="gramStart"/>
      <w:r w:rsidRPr="002B1A0E">
        <w:rPr>
          <w:rFonts w:ascii="Arial" w:eastAsia="Arial" w:hAnsi="Arial" w:cs="Arial"/>
          <w:szCs w:val="24"/>
        </w:rPr>
        <w:t>District</w:t>
      </w:r>
      <w:proofErr w:type="gramEnd"/>
      <w:r w:rsidRPr="002B1A0E">
        <w:rPr>
          <w:rFonts w:ascii="Arial" w:eastAsia="Arial" w:hAnsi="Arial" w:cs="Arial"/>
          <w:szCs w:val="24"/>
        </w:rPr>
        <w:t xml:space="preserve">, and any wider unmet needs under the Duty to Co-operate. </w:t>
      </w:r>
    </w:p>
    <w:p w14:paraId="30878A58" w14:textId="7578D056" w:rsidR="002B1A0E" w:rsidRDefault="002B1A0E" w:rsidP="002B1A0E">
      <w:pPr>
        <w:pStyle w:val="ListParagraph"/>
        <w:autoSpaceDE w:val="0"/>
        <w:autoSpaceDN w:val="0"/>
        <w:adjustRightInd w:val="0"/>
        <w:spacing w:after="0" w:line="240" w:lineRule="auto"/>
        <w:ind w:left="851"/>
        <w:rPr>
          <w:rFonts w:ascii="Arial" w:hAnsi="Arial" w:cs="Arial"/>
          <w:b/>
          <w:szCs w:val="24"/>
        </w:rPr>
      </w:pPr>
    </w:p>
    <w:p w14:paraId="36DD5746" w14:textId="1F342495" w:rsidR="008F4010" w:rsidRDefault="008F4010" w:rsidP="002B1A0E">
      <w:pPr>
        <w:pStyle w:val="ListParagraph"/>
        <w:autoSpaceDE w:val="0"/>
        <w:autoSpaceDN w:val="0"/>
        <w:adjustRightInd w:val="0"/>
        <w:spacing w:after="0" w:line="240" w:lineRule="auto"/>
        <w:ind w:left="851"/>
        <w:rPr>
          <w:rFonts w:ascii="Arial" w:hAnsi="Arial" w:cs="Arial"/>
          <w:b/>
          <w:szCs w:val="24"/>
        </w:rPr>
      </w:pPr>
    </w:p>
    <w:p w14:paraId="3C09A461" w14:textId="4437A752" w:rsidR="003E2B7C" w:rsidRPr="00995322" w:rsidRDefault="003E2B7C" w:rsidP="00995322">
      <w:pPr>
        <w:pStyle w:val="Heading2"/>
        <w:jc w:val="left"/>
        <w:rPr>
          <w:rFonts w:eastAsia="Arial"/>
          <w:sz w:val="28"/>
          <w:szCs w:val="28"/>
        </w:rPr>
      </w:pPr>
      <w:bookmarkStart w:id="226" w:name="_Toc145511589"/>
      <w:bookmarkStart w:id="227" w:name="_Hlk82608557"/>
      <w:r w:rsidRPr="00995322">
        <w:rPr>
          <w:rStyle w:val="Heading10"/>
          <w:b/>
          <w:color w:val="auto"/>
          <w:sz w:val="28"/>
          <w:szCs w:val="28"/>
        </w:rPr>
        <w:t xml:space="preserve">Policy H2a: </w:t>
      </w:r>
      <w:r w:rsidR="00993E9F" w:rsidRPr="00995322">
        <w:rPr>
          <w:rStyle w:val="Heading10"/>
          <w:b/>
          <w:color w:val="auto"/>
          <w:sz w:val="28"/>
          <w:szCs w:val="28"/>
        </w:rPr>
        <w:t xml:space="preserve">Gypsy, Traveller and </w:t>
      </w:r>
      <w:r w:rsidRPr="00995322">
        <w:rPr>
          <w:rStyle w:val="Heading10"/>
          <w:b/>
          <w:color w:val="auto"/>
          <w:sz w:val="28"/>
          <w:szCs w:val="28"/>
        </w:rPr>
        <w:t xml:space="preserve">Travelling </w:t>
      </w:r>
      <w:proofErr w:type="spellStart"/>
      <w:r w:rsidRPr="00995322">
        <w:rPr>
          <w:rStyle w:val="Heading10"/>
          <w:b/>
          <w:color w:val="auto"/>
          <w:sz w:val="28"/>
          <w:szCs w:val="28"/>
        </w:rPr>
        <w:t>Showpeople</w:t>
      </w:r>
      <w:proofErr w:type="spellEnd"/>
      <w:r w:rsidRPr="00995322">
        <w:rPr>
          <w:rFonts w:eastAsia="Arial"/>
          <w:sz w:val="28"/>
          <w:szCs w:val="28"/>
        </w:rPr>
        <w:t xml:space="preserve"> Site Allocations</w:t>
      </w:r>
      <w:bookmarkEnd w:id="226"/>
    </w:p>
    <w:bookmarkEnd w:id="227"/>
    <w:p w14:paraId="4ED1DFC3" w14:textId="046674E9" w:rsidR="003E2B7C" w:rsidRPr="00151A37" w:rsidRDefault="003E2B7C" w:rsidP="00151A37">
      <w:pPr>
        <w:rPr>
          <w:rFonts w:eastAsia="Arial"/>
        </w:rPr>
      </w:pPr>
      <w:r w:rsidRPr="00151A37">
        <w:rPr>
          <w:rFonts w:eastAsia="Arial"/>
        </w:rPr>
        <w:t xml:space="preserve"> </w:t>
      </w:r>
    </w:p>
    <w:p w14:paraId="699FB994" w14:textId="490CAD01" w:rsidR="003E2B7C" w:rsidRPr="009E34A6" w:rsidRDefault="003E2B7C" w:rsidP="00874A98">
      <w:pPr>
        <w:pStyle w:val="ListParagraph"/>
        <w:numPr>
          <w:ilvl w:val="1"/>
          <w:numId w:val="92"/>
        </w:numPr>
        <w:autoSpaceDE w:val="0"/>
        <w:autoSpaceDN w:val="0"/>
        <w:adjustRightInd w:val="0"/>
        <w:spacing w:after="0" w:line="240" w:lineRule="auto"/>
        <w:ind w:left="851" w:hanging="851"/>
        <w:rPr>
          <w:rFonts w:eastAsia="Arial"/>
          <w:color w:val="auto"/>
        </w:rPr>
      </w:pPr>
      <w:r w:rsidRPr="006D4F49">
        <w:rPr>
          <w:rStyle w:val="Normal1"/>
          <w:rFonts w:cs="Arial"/>
          <w:szCs w:val="24"/>
        </w:rPr>
        <w:t xml:space="preserve">Policy H2a </w:t>
      </w:r>
      <w:r w:rsidRPr="006D4F49">
        <w:rPr>
          <w:rFonts w:ascii="Arial" w:eastAsia="Arial" w:hAnsi="Arial" w:cs="Arial"/>
          <w:szCs w:val="24"/>
        </w:rPr>
        <w:t>allocates sites for use by</w:t>
      </w:r>
      <w:r w:rsidR="00993E9F">
        <w:rPr>
          <w:rFonts w:ascii="Arial" w:eastAsia="Arial" w:hAnsi="Arial" w:cs="Arial"/>
          <w:szCs w:val="24"/>
        </w:rPr>
        <w:t xml:space="preserve"> </w:t>
      </w:r>
      <w:r w:rsidRPr="006D4F49">
        <w:rPr>
          <w:rFonts w:ascii="Arial" w:eastAsia="Arial" w:hAnsi="Arial" w:cs="Arial"/>
          <w:szCs w:val="24"/>
        </w:rPr>
        <w:t xml:space="preserve">the </w:t>
      </w:r>
      <w:r w:rsidR="00993E9F" w:rsidRPr="009E34A6">
        <w:rPr>
          <w:rFonts w:ascii="Arial" w:eastAsia="Arial" w:hAnsi="Arial" w:cs="Arial"/>
          <w:color w:val="auto"/>
          <w:szCs w:val="24"/>
        </w:rPr>
        <w:t xml:space="preserve">Gypsy, Traveller and </w:t>
      </w:r>
      <w:r w:rsidRPr="009E34A6">
        <w:rPr>
          <w:rFonts w:ascii="Arial" w:eastAsia="Arial" w:hAnsi="Arial" w:cs="Arial"/>
          <w:color w:val="auto"/>
          <w:szCs w:val="24"/>
        </w:rPr>
        <w:t xml:space="preserve">Travelling </w:t>
      </w:r>
      <w:proofErr w:type="spellStart"/>
      <w:r w:rsidRPr="009E34A6">
        <w:rPr>
          <w:rFonts w:ascii="Arial" w:eastAsia="Arial" w:hAnsi="Arial" w:cs="Arial"/>
          <w:color w:val="auto"/>
          <w:szCs w:val="24"/>
        </w:rPr>
        <w:t>showperson</w:t>
      </w:r>
      <w:proofErr w:type="spellEnd"/>
      <w:r w:rsidRPr="009E34A6">
        <w:rPr>
          <w:rFonts w:ascii="Arial" w:eastAsia="Arial" w:hAnsi="Arial" w:cs="Arial"/>
          <w:color w:val="auto"/>
          <w:szCs w:val="24"/>
        </w:rPr>
        <w:t xml:space="preserve"> community </w:t>
      </w:r>
      <w:r w:rsidR="00993E9F" w:rsidRPr="009E34A6">
        <w:rPr>
          <w:rFonts w:ascii="Arial" w:eastAsia="Arial" w:hAnsi="Arial" w:cs="Arial"/>
          <w:color w:val="auto"/>
          <w:szCs w:val="24"/>
        </w:rPr>
        <w:t xml:space="preserve">to provide </w:t>
      </w:r>
      <w:r w:rsidRPr="009E34A6">
        <w:rPr>
          <w:rFonts w:ascii="Arial" w:eastAsia="Arial" w:hAnsi="Arial" w:cs="Arial"/>
          <w:color w:val="auto"/>
          <w:szCs w:val="24"/>
        </w:rPr>
        <w:t>the assessed need identified in Strategic Policy S</w:t>
      </w:r>
      <w:r w:rsidR="00B906EC">
        <w:rPr>
          <w:rFonts w:ascii="Arial" w:eastAsia="Arial" w:hAnsi="Arial" w:cs="Arial"/>
          <w:color w:val="auto"/>
          <w:szCs w:val="24"/>
        </w:rPr>
        <w:t>7</w:t>
      </w:r>
      <w:r w:rsidRPr="009E34A6">
        <w:rPr>
          <w:rFonts w:ascii="Arial" w:eastAsia="Arial" w:hAnsi="Arial" w:cs="Arial"/>
          <w:color w:val="auto"/>
          <w:szCs w:val="24"/>
        </w:rPr>
        <w:t>.</w:t>
      </w:r>
    </w:p>
    <w:p w14:paraId="7499DEBC" w14:textId="77777777" w:rsidR="003E2B7C" w:rsidRPr="006D4F49" w:rsidRDefault="003E2B7C" w:rsidP="003E2B7C">
      <w:pPr>
        <w:autoSpaceDE w:val="0"/>
        <w:autoSpaceDN w:val="0"/>
        <w:adjustRightInd w:val="0"/>
        <w:rPr>
          <w:rFonts w:eastAsia="Arial"/>
        </w:rPr>
      </w:pPr>
    </w:p>
    <w:tbl>
      <w:tblPr>
        <w:tblStyle w:val="ReportTable1"/>
        <w:tblW w:w="0" w:type="auto"/>
        <w:tblLook w:val="04A0" w:firstRow="1" w:lastRow="0" w:firstColumn="1" w:lastColumn="0" w:noHBand="0" w:noVBand="1"/>
      </w:tblPr>
      <w:tblGrid>
        <w:gridCol w:w="2660"/>
        <w:gridCol w:w="6828"/>
      </w:tblGrid>
      <w:tr w:rsidR="003E2B7C" w:rsidRPr="006D4F49" w14:paraId="1AF424E6" w14:textId="77777777" w:rsidTr="009D0F2B">
        <w:tc>
          <w:tcPr>
            <w:tcW w:w="9488" w:type="dxa"/>
            <w:gridSpan w:val="2"/>
          </w:tcPr>
          <w:p w14:paraId="2CF3AB02" w14:textId="192224C3" w:rsidR="003E2B7C" w:rsidRPr="006D4F49" w:rsidRDefault="003E2B7C" w:rsidP="003E2B7C">
            <w:pPr>
              <w:pStyle w:val="Heading"/>
              <w:spacing w:before="120" w:after="120"/>
              <w:rPr>
                <w:rStyle w:val="Heading10"/>
                <w:rFonts w:cs="Arial"/>
                <w:b/>
                <w:color w:val="000000" w:themeColor="text1"/>
              </w:rPr>
            </w:pPr>
            <w:r w:rsidRPr="006D4F49">
              <w:rPr>
                <w:rStyle w:val="Heading10"/>
                <w:rFonts w:cs="Arial"/>
                <w:b/>
                <w:color w:val="000000" w:themeColor="text1"/>
              </w:rPr>
              <w:t>Policy H</w:t>
            </w:r>
            <w:r w:rsidR="00522445" w:rsidRPr="006D4F49">
              <w:rPr>
                <w:rStyle w:val="Heading10"/>
                <w:rFonts w:cs="Arial"/>
                <w:b/>
                <w:color w:val="000000" w:themeColor="text1"/>
              </w:rPr>
              <w:t>2</w:t>
            </w:r>
            <w:r w:rsidR="00522445" w:rsidRPr="006D4F49">
              <w:rPr>
                <w:rStyle w:val="Heading10"/>
                <w:b/>
                <w:color w:val="000000" w:themeColor="text1"/>
              </w:rPr>
              <w:t>a</w:t>
            </w:r>
            <w:r w:rsidRPr="006D4F49">
              <w:rPr>
                <w:rStyle w:val="Heading10"/>
                <w:rFonts w:cs="Arial"/>
                <w:b/>
                <w:color w:val="000000" w:themeColor="text1"/>
              </w:rPr>
              <w:t xml:space="preserve">:  </w:t>
            </w:r>
            <w:bookmarkStart w:id="228" w:name="_Hlk146198742"/>
            <w:r w:rsidR="0051278A" w:rsidRPr="009E34A6">
              <w:rPr>
                <w:rStyle w:val="Heading10"/>
                <w:rFonts w:cs="Arial"/>
                <w:b/>
                <w:color w:val="auto"/>
              </w:rPr>
              <w:t>G</w:t>
            </w:r>
            <w:r w:rsidR="0051278A" w:rsidRPr="009E34A6">
              <w:rPr>
                <w:rStyle w:val="Heading10"/>
                <w:b/>
                <w:color w:val="auto"/>
              </w:rPr>
              <w:t xml:space="preserve">ypsy, Traveller and </w:t>
            </w:r>
            <w:r w:rsidR="00522445" w:rsidRPr="009E34A6">
              <w:rPr>
                <w:rFonts w:cs="Arial"/>
                <w:bCs/>
                <w:color w:val="auto"/>
              </w:rPr>
              <w:t xml:space="preserve">Travelling </w:t>
            </w:r>
            <w:proofErr w:type="spellStart"/>
            <w:r w:rsidR="00522445" w:rsidRPr="006D4F49">
              <w:rPr>
                <w:rFonts w:cs="Arial"/>
                <w:bCs/>
                <w:color w:val="000000" w:themeColor="text1"/>
              </w:rPr>
              <w:t>Showpeople</w:t>
            </w:r>
            <w:r w:rsidR="00A82E3C">
              <w:rPr>
                <w:rFonts w:cs="Arial"/>
                <w:bCs/>
                <w:color w:val="000000" w:themeColor="text1"/>
              </w:rPr>
              <w:t>’s</w:t>
            </w:r>
            <w:proofErr w:type="spellEnd"/>
            <w:r w:rsidR="00522445" w:rsidRPr="006D4F49">
              <w:rPr>
                <w:rFonts w:cs="Arial"/>
                <w:color w:val="000000" w:themeColor="text1"/>
              </w:rPr>
              <w:t xml:space="preserve"> Site Allocations</w:t>
            </w:r>
            <w:bookmarkEnd w:id="228"/>
          </w:p>
        </w:tc>
      </w:tr>
      <w:tr w:rsidR="003E2B7C" w:rsidRPr="006D4F49" w14:paraId="37D64707" w14:textId="77777777" w:rsidTr="009D0F2B">
        <w:tc>
          <w:tcPr>
            <w:tcW w:w="2660" w:type="dxa"/>
          </w:tcPr>
          <w:p w14:paraId="233855BC" w14:textId="77777777" w:rsidR="003E2B7C" w:rsidRPr="006D4F49" w:rsidRDefault="003E2B7C" w:rsidP="003E2B7C">
            <w:pPr>
              <w:pStyle w:val="Heading"/>
              <w:spacing w:before="40" w:after="40"/>
              <w:rPr>
                <w:rStyle w:val="Heading10"/>
                <w:rFonts w:cs="Arial"/>
                <w:bCs/>
                <w:color w:val="000000" w:themeColor="text1"/>
              </w:rPr>
            </w:pPr>
            <w:r w:rsidRPr="006D4F49">
              <w:rPr>
                <w:rStyle w:val="Heading10"/>
                <w:rFonts w:cs="Arial"/>
                <w:bCs/>
                <w:color w:val="000000" w:themeColor="text1"/>
              </w:rPr>
              <w:t>Strategic Objectives</w:t>
            </w:r>
          </w:p>
        </w:tc>
        <w:tc>
          <w:tcPr>
            <w:tcW w:w="6828" w:type="dxa"/>
          </w:tcPr>
          <w:p w14:paraId="433DE064" w14:textId="77777777" w:rsidR="003E2B7C" w:rsidRPr="006D4F49" w:rsidRDefault="003E2B7C" w:rsidP="003E2B7C">
            <w:pPr>
              <w:pStyle w:val="Heading"/>
              <w:spacing w:before="40" w:after="40"/>
              <w:rPr>
                <w:rStyle w:val="Heading10"/>
                <w:rFonts w:cs="Arial"/>
                <w:bCs/>
                <w:color w:val="000000" w:themeColor="text1"/>
              </w:rPr>
            </w:pPr>
            <w:r w:rsidRPr="006D4F49">
              <w:rPr>
                <w:rStyle w:val="Heading10"/>
                <w:rFonts w:cs="Arial"/>
                <w:bCs/>
                <w:color w:val="000000" w:themeColor="text1"/>
              </w:rPr>
              <w:t>SO3, SO5, SO11, SO12, SO13</w:t>
            </w:r>
          </w:p>
        </w:tc>
      </w:tr>
      <w:tr w:rsidR="003E2B7C" w:rsidRPr="006D4F49" w14:paraId="1B54B75B" w14:textId="77777777" w:rsidTr="00380F63">
        <w:trPr>
          <w:trHeight w:val="1190"/>
        </w:trPr>
        <w:tc>
          <w:tcPr>
            <w:tcW w:w="9488" w:type="dxa"/>
            <w:gridSpan w:val="2"/>
            <w:shd w:val="clear" w:color="auto" w:fill="FFCC99"/>
          </w:tcPr>
          <w:p w14:paraId="1778244B" w14:textId="77777777" w:rsidR="00D52CC1" w:rsidRDefault="00D52CC1" w:rsidP="00D52CC1">
            <w:pPr>
              <w:pStyle w:val="Policy"/>
              <w:spacing w:after="0" w:line="240" w:lineRule="auto"/>
              <w:ind w:left="455" w:right="284"/>
              <w:rPr>
                <w:rStyle w:val="Normal1"/>
                <w:rFonts w:cs="Arial"/>
                <w:bCs/>
              </w:rPr>
            </w:pPr>
          </w:p>
          <w:p w14:paraId="7FFAE508" w14:textId="2338FB5C" w:rsidR="003E2B7C" w:rsidRPr="006D4F49" w:rsidRDefault="000E5311" w:rsidP="00D52CC1">
            <w:pPr>
              <w:pStyle w:val="Policy"/>
              <w:spacing w:after="0" w:line="240" w:lineRule="auto"/>
              <w:ind w:left="455" w:right="284"/>
              <w:rPr>
                <w:rStyle w:val="Normal1"/>
                <w:rFonts w:cs="Arial"/>
                <w:bCs/>
              </w:rPr>
            </w:pPr>
            <w:r w:rsidRPr="006D4F49">
              <w:rPr>
                <w:rStyle w:val="Normal1"/>
                <w:rFonts w:cs="Arial"/>
                <w:bCs/>
              </w:rPr>
              <w:t>D</w:t>
            </w:r>
            <w:r w:rsidR="003E2B7C" w:rsidRPr="006D4F49">
              <w:rPr>
                <w:rStyle w:val="Normal1"/>
                <w:rFonts w:cs="Arial"/>
                <w:bCs/>
              </w:rPr>
              <w:t xml:space="preserve">evelopment </w:t>
            </w:r>
            <w:r w:rsidRPr="006D4F49">
              <w:rPr>
                <w:rStyle w:val="Normal1"/>
                <w:rFonts w:cs="Arial"/>
                <w:bCs/>
              </w:rPr>
              <w:t xml:space="preserve">of plots </w:t>
            </w:r>
            <w:r w:rsidR="00D52CC1" w:rsidRPr="009E34A6">
              <w:rPr>
                <w:rStyle w:val="Normal1"/>
                <w:rFonts w:cs="Arial"/>
                <w:bCs/>
              </w:rPr>
              <w:t>f</w:t>
            </w:r>
            <w:r w:rsidR="00D52CC1" w:rsidRPr="009E34A6">
              <w:rPr>
                <w:rStyle w:val="Normal1"/>
                <w:bCs/>
              </w:rPr>
              <w:t xml:space="preserve">or </w:t>
            </w:r>
            <w:r w:rsidRPr="009E34A6">
              <w:rPr>
                <w:rStyle w:val="Normal1"/>
                <w:rFonts w:cs="Arial"/>
                <w:bCs/>
              </w:rPr>
              <w:t xml:space="preserve">Travelling </w:t>
            </w:r>
            <w:proofErr w:type="spellStart"/>
            <w:r w:rsidRPr="009E34A6">
              <w:rPr>
                <w:rStyle w:val="Normal1"/>
                <w:rFonts w:cs="Arial"/>
                <w:bCs/>
              </w:rPr>
              <w:t>Showpeople</w:t>
            </w:r>
            <w:r w:rsidR="00D52CC1" w:rsidRPr="009E34A6">
              <w:rPr>
                <w:rStyle w:val="Normal1"/>
                <w:rFonts w:cs="Arial"/>
                <w:bCs/>
              </w:rPr>
              <w:t>’</w:t>
            </w:r>
            <w:r w:rsidR="00D52CC1" w:rsidRPr="009E34A6">
              <w:rPr>
                <w:rStyle w:val="Normal1"/>
                <w:bCs/>
              </w:rPr>
              <w:t>s</w:t>
            </w:r>
            <w:proofErr w:type="spellEnd"/>
            <w:r w:rsidR="00D52CC1" w:rsidRPr="009E34A6">
              <w:rPr>
                <w:rStyle w:val="Normal1"/>
                <w:bCs/>
              </w:rPr>
              <w:t xml:space="preserve"> accommodation</w:t>
            </w:r>
            <w:r w:rsidRPr="009E34A6">
              <w:rPr>
                <w:rStyle w:val="Normal1"/>
                <w:rFonts w:cs="Arial"/>
                <w:bCs/>
              </w:rPr>
              <w:t xml:space="preserve"> </w:t>
            </w:r>
            <w:r w:rsidR="003E2B7C" w:rsidRPr="006D4F49">
              <w:rPr>
                <w:rStyle w:val="Normal1"/>
                <w:rFonts w:cs="Arial"/>
                <w:bCs/>
              </w:rPr>
              <w:t>will be permitted on the sites listed below as shown on the Policies Map.</w:t>
            </w:r>
          </w:p>
          <w:p w14:paraId="57316010" w14:textId="77777777" w:rsidR="003E2B7C" w:rsidRPr="006D4F49" w:rsidRDefault="003E2B7C" w:rsidP="003E2B7C">
            <w:pPr>
              <w:pStyle w:val="Policy"/>
              <w:spacing w:after="0" w:line="240" w:lineRule="auto"/>
              <w:ind w:left="0" w:right="284"/>
              <w:rPr>
                <w:rStyle w:val="Normal1"/>
                <w:rFonts w:cs="Arial"/>
                <w:bCs/>
              </w:rPr>
            </w:pPr>
          </w:p>
          <w:tbl>
            <w:tblPr>
              <w:tblStyle w:val="ReportTable1"/>
              <w:tblW w:w="8694" w:type="dxa"/>
              <w:jc w:val="center"/>
              <w:tblLook w:val="04A0" w:firstRow="1" w:lastRow="0" w:firstColumn="1" w:lastColumn="0" w:noHBand="0" w:noVBand="1"/>
            </w:tblPr>
            <w:tblGrid>
              <w:gridCol w:w="950"/>
              <w:gridCol w:w="1854"/>
              <w:gridCol w:w="1366"/>
              <w:gridCol w:w="1488"/>
              <w:gridCol w:w="1390"/>
              <w:gridCol w:w="1646"/>
            </w:tblGrid>
            <w:tr w:rsidR="00020251" w:rsidRPr="00CF70FB" w14:paraId="380BF7C4" w14:textId="2EAB54DB" w:rsidTr="00CF70FB">
              <w:trPr>
                <w:trHeight w:val="916"/>
                <w:jc w:val="center"/>
              </w:trPr>
              <w:tc>
                <w:tcPr>
                  <w:tcW w:w="950" w:type="dxa"/>
                  <w:shd w:val="clear" w:color="auto" w:fill="D9D9D9"/>
                  <w:hideMark/>
                </w:tcPr>
                <w:p w14:paraId="2F9B8F17" w14:textId="77777777" w:rsidR="00020251" w:rsidRPr="00CF70FB" w:rsidRDefault="00020251" w:rsidP="00D52CC1">
                  <w:pPr>
                    <w:ind w:hanging="38"/>
                    <w:rPr>
                      <w:rFonts w:cs="Arial"/>
                      <w:b/>
                      <w:bCs/>
                      <w:color w:val="000000"/>
                      <w:sz w:val="22"/>
                    </w:rPr>
                  </w:pPr>
                  <w:r w:rsidRPr="00CF70FB">
                    <w:rPr>
                      <w:rFonts w:cs="Arial"/>
                      <w:b/>
                      <w:bCs/>
                      <w:color w:val="000000"/>
                      <w:sz w:val="22"/>
                    </w:rPr>
                    <w:t>Site Ref.</w:t>
                  </w:r>
                </w:p>
              </w:tc>
              <w:tc>
                <w:tcPr>
                  <w:tcW w:w="2197" w:type="dxa"/>
                  <w:shd w:val="clear" w:color="auto" w:fill="D9D9D9"/>
                  <w:hideMark/>
                </w:tcPr>
                <w:p w14:paraId="7DCD2FD5" w14:textId="77777777" w:rsidR="00020251" w:rsidRPr="00CF70FB" w:rsidRDefault="00020251" w:rsidP="003E2B7C">
                  <w:pPr>
                    <w:rPr>
                      <w:rFonts w:cs="Arial"/>
                      <w:b/>
                      <w:bCs/>
                      <w:color w:val="000000"/>
                      <w:sz w:val="22"/>
                    </w:rPr>
                  </w:pPr>
                  <w:r w:rsidRPr="00CF70FB">
                    <w:rPr>
                      <w:rFonts w:cs="Arial"/>
                      <w:b/>
                      <w:bCs/>
                      <w:color w:val="000000"/>
                      <w:sz w:val="22"/>
                    </w:rPr>
                    <w:t>Site Name</w:t>
                  </w:r>
                </w:p>
              </w:tc>
              <w:tc>
                <w:tcPr>
                  <w:tcW w:w="1366" w:type="dxa"/>
                  <w:shd w:val="clear" w:color="auto" w:fill="D9D9D9"/>
                  <w:hideMark/>
                </w:tcPr>
                <w:p w14:paraId="43B0ED59" w14:textId="77777777" w:rsidR="00020251" w:rsidRPr="00CF70FB" w:rsidRDefault="00020251" w:rsidP="009D0F2B">
                  <w:pPr>
                    <w:rPr>
                      <w:rFonts w:cs="Arial"/>
                      <w:b/>
                      <w:bCs/>
                      <w:color w:val="000000"/>
                      <w:sz w:val="22"/>
                    </w:rPr>
                  </w:pPr>
                  <w:r w:rsidRPr="00CF70FB">
                    <w:rPr>
                      <w:rFonts w:cs="Arial"/>
                      <w:b/>
                      <w:bCs/>
                      <w:color w:val="000000"/>
                      <w:sz w:val="22"/>
                    </w:rPr>
                    <w:t>Greenfield/ Brownfield</w:t>
                  </w:r>
                </w:p>
              </w:tc>
              <w:tc>
                <w:tcPr>
                  <w:tcW w:w="1488" w:type="dxa"/>
                  <w:shd w:val="clear" w:color="auto" w:fill="D9D9D9"/>
                </w:tcPr>
                <w:p w14:paraId="758E499E" w14:textId="77777777" w:rsidR="00020251" w:rsidRPr="00CF70FB" w:rsidRDefault="00020251" w:rsidP="003E2B7C">
                  <w:pPr>
                    <w:jc w:val="center"/>
                    <w:rPr>
                      <w:rFonts w:cs="Arial"/>
                      <w:b/>
                      <w:bCs/>
                      <w:color w:val="000000"/>
                      <w:sz w:val="22"/>
                    </w:rPr>
                  </w:pPr>
                  <w:r w:rsidRPr="00CF70FB">
                    <w:rPr>
                      <w:rFonts w:cs="Arial"/>
                      <w:b/>
                      <w:bCs/>
                      <w:color w:val="000000"/>
                      <w:sz w:val="22"/>
                    </w:rPr>
                    <w:t>Planning Permission*</w:t>
                  </w:r>
                </w:p>
              </w:tc>
              <w:tc>
                <w:tcPr>
                  <w:tcW w:w="1390" w:type="dxa"/>
                  <w:shd w:val="clear" w:color="auto" w:fill="D9D9D9"/>
                  <w:hideMark/>
                </w:tcPr>
                <w:p w14:paraId="6EAB2DE1" w14:textId="4E132724" w:rsidR="00020251" w:rsidRPr="00CF70FB" w:rsidRDefault="00020251" w:rsidP="003E2B7C">
                  <w:pPr>
                    <w:jc w:val="center"/>
                    <w:rPr>
                      <w:rFonts w:cs="Arial"/>
                      <w:b/>
                      <w:bCs/>
                      <w:color w:val="000000"/>
                      <w:sz w:val="22"/>
                    </w:rPr>
                  </w:pPr>
                  <w:r w:rsidRPr="00E56F9C">
                    <w:rPr>
                      <w:rFonts w:cs="Arial"/>
                      <w:b/>
                      <w:bCs/>
                      <w:color w:val="005EAC"/>
                      <w:sz w:val="22"/>
                    </w:rPr>
                    <w:t xml:space="preserve">Total </w:t>
                  </w:r>
                  <w:r w:rsidRPr="00CF70FB">
                    <w:rPr>
                      <w:rFonts w:cs="Arial"/>
                      <w:b/>
                      <w:bCs/>
                      <w:color w:val="000000"/>
                      <w:sz w:val="22"/>
                    </w:rPr>
                    <w:t xml:space="preserve">Potential </w:t>
                  </w:r>
                  <w:proofErr w:type="gramStart"/>
                  <w:r w:rsidRPr="00CF70FB">
                    <w:rPr>
                      <w:rFonts w:cs="Arial"/>
                      <w:b/>
                      <w:bCs/>
                      <w:color w:val="000000"/>
                      <w:sz w:val="22"/>
                    </w:rPr>
                    <w:t xml:space="preserve">Yield  </w:t>
                  </w:r>
                  <w:r w:rsidRPr="00E56F9C">
                    <w:rPr>
                      <w:rFonts w:cs="Arial"/>
                      <w:b/>
                      <w:bCs/>
                      <w:color w:val="005EAC"/>
                      <w:sz w:val="22"/>
                    </w:rPr>
                    <w:t>2023</w:t>
                  </w:r>
                  <w:proofErr w:type="gramEnd"/>
                  <w:r w:rsidRPr="00E56F9C">
                    <w:rPr>
                      <w:rFonts w:cs="Arial"/>
                      <w:b/>
                      <w:bCs/>
                      <w:color w:val="005EAC"/>
                      <w:sz w:val="22"/>
                    </w:rPr>
                    <w:t xml:space="preserve">-2040 </w:t>
                  </w:r>
                  <w:r w:rsidRPr="00CF70FB">
                    <w:rPr>
                      <w:rFonts w:cs="Arial"/>
                      <w:b/>
                      <w:bCs/>
                      <w:color w:val="000000"/>
                      <w:sz w:val="22"/>
                    </w:rPr>
                    <w:t>(plots)</w:t>
                  </w:r>
                </w:p>
              </w:tc>
              <w:tc>
                <w:tcPr>
                  <w:tcW w:w="1303" w:type="dxa"/>
                  <w:shd w:val="clear" w:color="auto" w:fill="D9D9D9"/>
                </w:tcPr>
                <w:p w14:paraId="7DE31ADD" w14:textId="4DACC460" w:rsidR="00020251" w:rsidRPr="00CF70FB" w:rsidRDefault="00020251" w:rsidP="003E2B7C">
                  <w:pPr>
                    <w:jc w:val="center"/>
                    <w:rPr>
                      <w:rFonts w:cs="Arial"/>
                      <w:b/>
                      <w:bCs/>
                      <w:color w:val="000000"/>
                      <w:sz w:val="22"/>
                    </w:rPr>
                  </w:pPr>
                  <w:r w:rsidRPr="00E56F9C">
                    <w:rPr>
                      <w:rFonts w:cs="Arial"/>
                      <w:b/>
                      <w:bCs/>
                      <w:color w:val="005EAC"/>
                      <w:sz w:val="22"/>
                      <w:szCs w:val="22"/>
                    </w:rPr>
                    <w:t xml:space="preserve">Progress </w:t>
                  </w:r>
                  <w:proofErr w:type="gramStart"/>
                  <w:r w:rsidRPr="00E56F9C">
                    <w:rPr>
                      <w:rFonts w:cs="Arial"/>
                      <w:b/>
                      <w:bCs/>
                      <w:color w:val="005EAC"/>
                      <w:sz w:val="22"/>
                      <w:szCs w:val="22"/>
                    </w:rPr>
                    <w:t>at</w:t>
                  </w:r>
                  <w:proofErr w:type="gramEnd"/>
                  <w:r w:rsidRPr="00E56F9C">
                    <w:rPr>
                      <w:rFonts w:cs="Arial"/>
                      <w:b/>
                      <w:bCs/>
                      <w:color w:val="005EAC"/>
                      <w:sz w:val="22"/>
                      <w:szCs w:val="22"/>
                    </w:rPr>
                    <w:t xml:space="preserve"> April 2025 (Not Started/ Under Construction/ Completed</w:t>
                  </w:r>
                </w:p>
              </w:tc>
            </w:tr>
            <w:tr w:rsidR="00020251" w:rsidRPr="00CF70FB" w14:paraId="09238ECB" w14:textId="0C8A912A" w:rsidTr="00CF70FB">
              <w:trPr>
                <w:trHeight w:val="630"/>
                <w:jc w:val="center"/>
              </w:trPr>
              <w:tc>
                <w:tcPr>
                  <w:tcW w:w="950" w:type="dxa"/>
                  <w:noWrap/>
                </w:tcPr>
                <w:p w14:paraId="3E2CEAC0" w14:textId="7A5F48B0" w:rsidR="00020251" w:rsidRPr="00CF70FB" w:rsidRDefault="00020251" w:rsidP="0067043F">
                  <w:r w:rsidRPr="00CF70FB">
                    <w:t>H2a(a)</w:t>
                  </w:r>
                </w:p>
              </w:tc>
              <w:tc>
                <w:tcPr>
                  <w:tcW w:w="2197" w:type="dxa"/>
                </w:tcPr>
                <w:p w14:paraId="5C36ABB4" w14:textId="0B36DD22" w:rsidR="00020251" w:rsidRPr="00CF70FB" w:rsidRDefault="00020251" w:rsidP="003E2B7C">
                  <w:pPr>
                    <w:rPr>
                      <w:rFonts w:cs="Arial"/>
                      <w:color w:val="000000"/>
                      <w:sz w:val="22"/>
                    </w:rPr>
                  </w:pPr>
                  <w:r w:rsidRPr="00CF70FB">
                    <w:rPr>
                      <w:rFonts w:cs="Arial"/>
                      <w:color w:val="000000"/>
                      <w:sz w:val="22"/>
                    </w:rPr>
                    <w:t>L</w:t>
                  </w:r>
                  <w:r w:rsidRPr="00CF70FB">
                    <w:rPr>
                      <w:color w:val="000000"/>
                      <w:sz w:val="22"/>
                    </w:rPr>
                    <w:t>and off Park Lane (Phase 2), Kirkby-in-Ashfield</w:t>
                  </w:r>
                </w:p>
              </w:tc>
              <w:tc>
                <w:tcPr>
                  <w:tcW w:w="1366" w:type="dxa"/>
                </w:tcPr>
                <w:p w14:paraId="3865FE12" w14:textId="7BDC0B49" w:rsidR="00020251" w:rsidRPr="00CF70FB" w:rsidRDefault="00020251" w:rsidP="003E2B7C">
                  <w:pPr>
                    <w:jc w:val="center"/>
                    <w:rPr>
                      <w:rFonts w:cs="Arial"/>
                      <w:color w:val="000000"/>
                      <w:sz w:val="22"/>
                    </w:rPr>
                  </w:pPr>
                  <w:r w:rsidRPr="00CF70FB">
                    <w:rPr>
                      <w:rFonts w:cs="Arial"/>
                      <w:color w:val="000000"/>
                      <w:sz w:val="22"/>
                    </w:rPr>
                    <w:t>G</w:t>
                  </w:r>
                </w:p>
              </w:tc>
              <w:tc>
                <w:tcPr>
                  <w:tcW w:w="1488" w:type="dxa"/>
                </w:tcPr>
                <w:p w14:paraId="3BD0BEAC" w14:textId="2203A50C" w:rsidR="00020251" w:rsidRPr="00CF70FB" w:rsidRDefault="00020251" w:rsidP="003E2B7C">
                  <w:pPr>
                    <w:jc w:val="center"/>
                    <w:rPr>
                      <w:rFonts w:cs="Arial"/>
                      <w:color w:val="000000"/>
                      <w:sz w:val="22"/>
                    </w:rPr>
                  </w:pPr>
                  <w:r w:rsidRPr="00CF70FB">
                    <w:rPr>
                      <w:rFonts w:cs="Arial"/>
                      <w:color w:val="000000"/>
                      <w:sz w:val="22"/>
                    </w:rPr>
                    <w:t>Yes</w:t>
                  </w:r>
                </w:p>
              </w:tc>
              <w:tc>
                <w:tcPr>
                  <w:tcW w:w="1390" w:type="dxa"/>
                  <w:noWrap/>
                </w:tcPr>
                <w:p w14:paraId="522FA6EC" w14:textId="41A79FE5" w:rsidR="00020251" w:rsidRPr="00CF70FB" w:rsidRDefault="00020251" w:rsidP="003E2B7C">
                  <w:pPr>
                    <w:jc w:val="right"/>
                    <w:rPr>
                      <w:rFonts w:cs="Arial"/>
                      <w:b/>
                      <w:bCs/>
                      <w:color w:val="0070C0"/>
                      <w:sz w:val="22"/>
                    </w:rPr>
                  </w:pPr>
                  <w:r w:rsidRPr="00CF70FB">
                    <w:rPr>
                      <w:rFonts w:cs="Arial"/>
                      <w:color w:val="000000"/>
                      <w:sz w:val="22"/>
                    </w:rPr>
                    <w:t>7</w:t>
                  </w:r>
                </w:p>
              </w:tc>
              <w:tc>
                <w:tcPr>
                  <w:tcW w:w="1303" w:type="dxa"/>
                </w:tcPr>
                <w:p w14:paraId="3AEFBBEB" w14:textId="5D9F196A" w:rsidR="00020251" w:rsidRPr="00CF70FB" w:rsidRDefault="00020251" w:rsidP="00020251">
                  <w:pPr>
                    <w:jc w:val="center"/>
                    <w:rPr>
                      <w:rFonts w:cs="Arial"/>
                      <w:b/>
                      <w:bCs/>
                      <w:color w:val="000000"/>
                      <w:sz w:val="22"/>
                    </w:rPr>
                  </w:pPr>
                  <w:r w:rsidRPr="005F5AF9">
                    <w:rPr>
                      <w:rFonts w:cs="Arial"/>
                      <w:b/>
                      <w:bCs/>
                      <w:color w:val="005CA9"/>
                      <w:sz w:val="22"/>
                    </w:rPr>
                    <w:t>C</w:t>
                  </w:r>
                </w:p>
              </w:tc>
            </w:tr>
            <w:tr w:rsidR="00020251" w:rsidRPr="00CF70FB" w14:paraId="1929D69A" w14:textId="1A090109" w:rsidTr="00CF70FB">
              <w:trPr>
                <w:trHeight w:val="680"/>
                <w:jc w:val="center"/>
              </w:trPr>
              <w:tc>
                <w:tcPr>
                  <w:tcW w:w="950" w:type="dxa"/>
                  <w:noWrap/>
                </w:tcPr>
                <w:p w14:paraId="3429BA2B" w14:textId="54B0D0E8" w:rsidR="00020251" w:rsidRPr="00CF70FB" w:rsidRDefault="00020251" w:rsidP="003E2B7C">
                  <w:pPr>
                    <w:rPr>
                      <w:rFonts w:cs="Arial"/>
                      <w:color w:val="000000"/>
                      <w:sz w:val="22"/>
                    </w:rPr>
                  </w:pPr>
                  <w:r w:rsidRPr="00CF70FB">
                    <w:rPr>
                      <w:rFonts w:cs="Arial"/>
                      <w:color w:val="000000"/>
                      <w:szCs w:val="24"/>
                    </w:rPr>
                    <w:t>H2a(b)</w:t>
                  </w:r>
                </w:p>
              </w:tc>
              <w:tc>
                <w:tcPr>
                  <w:tcW w:w="2197" w:type="dxa"/>
                </w:tcPr>
                <w:p w14:paraId="3FD7D4D8" w14:textId="09C3787E" w:rsidR="00020251" w:rsidRPr="00CF70FB" w:rsidRDefault="00020251" w:rsidP="003E2B7C">
                  <w:pPr>
                    <w:rPr>
                      <w:rFonts w:cs="Arial"/>
                      <w:color w:val="000000"/>
                      <w:sz w:val="22"/>
                    </w:rPr>
                  </w:pPr>
                  <w:r w:rsidRPr="00CF70FB">
                    <w:rPr>
                      <w:rFonts w:cs="Arial"/>
                      <w:color w:val="000000"/>
                      <w:sz w:val="22"/>
                    </w:rPr>
                    <w:t>L</w:t>
                  </w:r>
                  <w:r w:rsidRPr="00CF70FB">
                    <w:rPr>
                      <w:color w:val="000000"/>
                      <w:sz w:val="22"/>
                    </w:rPr>
                    <w:t>and off Park Lane (Phase 3), Kirkby-in-Ashfield</w:t>
                  </w:r>
                </w:p>
              </w:tc>
              <w:tc>
                <w:tcPr>
                  <w:tcW w:w="1366" w:type="dxa"/>
                </w:tcPr>
                <w:p w14:paraId="560D3869" w14:textId="43A9EAA0" w:rsidR="00020251" w:rsidRPr="00CF70FB" w:rsidRDefault="00020251" w:rsidP="003E2B7C">
                  <w:pPr>
                    <w:jc w:val="center"/>
                    <w:rPr>
                      <w:rFonts w:cs="Arial"/>
                      <w:color w:val="000000"/>
                      <w:sz w:val="22"/>
                    </w:rPr>
                  </w:pPr>
                  <w:r w:rsidRPr="00CF70FB">
                    <w:rPr>
                      <w:rFonts w:cs="Arial"/>
                      <w:color w:val="000000"/>
                      <w:sz w:val="22"/>
                    </w:rPr>
                    <w:t>G</w:t>
                  </w:r>
                </w:p>
              </w:tc>
              <w:tc>
                <w:tcPr>
                  <w:tcW w:w="1488" w:type="dxa"/>
                </w:tcPr>
                <w:p w14:paraId="5439FB18" w14:textId="116295B7" w:rsidR="00020251" w:rsidRPr="00CF70FB" w:rsidRDefault="00020251" w:rsidP="003E2B7C">
                  <w:pPr>
                    <w:jc w:val="center"/>
                    <w:rPr>
                      <w:rFonts w:cs="Arial"/>
                      <w:color w:val="000000"/>
                      <w:sz w:val="22"/>
                    </w:rPr>
                  </w:pPr>
                  <w:r w:rsidRPr="00CF70FB">
                    <w:rPr>
                      <w:rFonts w:cs="Arial"/>
                      <w:color w:val="000000"/>
                      <w:sz w:val="22"/>
                    </w:rPr>
                    <w:t>No</w:t>
                  </w:r>
                </w:p>
              </w:tc>
              <w:tc>
                <w:tcPr>
                  <w:tcW w:w="1390" w:type="dxa"/>
                  <w:noWrap/>
                </w:tcPr>
                <w:p w14:paraId="4F62B796" w14:textId="56ADDFF1" w:rsidR="00020251" w:rsidRPr="00CF70FB" w:rsidRDefault="00020251" w:rsidP="003E2B7C">
                  <w:pPr>
                    <w:jc w:val="right"/>
                    <w:rPr>
                      <w:rFonts w:cs="Arial"/>
                      <w:color w:val="000000"/>
                      <w:sz w:val="22"/>
                    </w:rPr>
                  </w:pPr>
                  <w:r w:rsidRPr="00CF70FB">
                    <w:rPr>
                      <w:rFonts w:cs="Arial"/>
                      <w:color w:val="000000"/>
                      <w:sz w:val="22"/>
                    </w:rPr>
                    <w:t>7</w:t>
                  </w:r>
                </w:p>
              </w:tc>
              <w:tc>
                <w:tcPr>
                  <w:tcW w:w="1303" w:type="dxa"/>
                </w:tcPr>
                <w:p w14:paraId="667987DD" w14:textId="2BC01465" w:rsidR="00020251" w:rsidRPr="00CF70FB" w:rsidRDefault="00020251" w:rsidP="00020251">
                  <w:pPr>
                    <w:jc w:val="center"/>
                    <w:rPr>
                      <w:rFonts w:cs="Arial"/>
                      <w:b/>
                      <w:bCs/>
                      <w:sz w:val="22"/>
                    </w:rPr>
                  </w:pPr>
                  <w:r w:rsidRPr="005F5AF9">
                    <w:rPr>
                      <w:rFonts w:cs="Arial"/>
                      <w:b/>
                      <w:bCs/>
                      <w:color w:val="005CA9"/>
                      <w:sz w:val="22"/>
                    </w:rPr>
                    <w:t>NS</w:t>
                  </w:r>
                </w:p>
              </w:tc>
            </w:tr>
            <w:tr w:rsidR="00020251" w:rsidRPr="00CF70FB" w14:paraId="35FBC6EF" w14:textId="5F5E2211" w:rsidTr="00CF70FB">
              <w:trPr>
                <w:trHeight w:val="589"/>
                <w:jc w:val="center"/>
              </w:trPr>
              <w:tc>
                <w:tcPr>
                  <w:tcW w:w="950" w:type="dxa"/>
                  <w:noWrap/>
                </w:tcPr>
                <w:p w14:paraId="751A9501" w14:textId="65ED44C8" w:rsidR="00020251" w:rsidRPr="00CF70FB" w:rsidRDefault="00020251" w:rsidP="003E2B7C">
                  <w:pPr>
                    <w:rPr>
                      <w:rFonts w:cs="Arial"/>
                      <w:color w:val="000000"/>
                      <w:sz w:val="22"/>
                    </w:rPr>
                  </w:pPr>
                </w:p>
              </w:tc>
              <w:tc>
                <w:tcPr>
                  <w:tcW w:w="2197" w:type="dxa"/>
                </w:tcPr>
                <w:p w14:paraId="17D33702" w14:textId="03EAE8AF" w:rsidR="00020251" w:rsidRPr="00CF70FB" w:rsidRDefault="00020251" w:rsidP="003E2B7C">
                  <w:pPr>
                    <w:rPr>
                      <w:rFonts w:cs="Arial"/>
                      <w:color w:val="000000"/>
                      <w:sz w:val="22"/>
                    </w:rPr>
                  </w:pPr>
                </w:p>
              </w:tc>
              <w:tc>
                <w:tcPr>
                  <w:tcW w:w="1366" w:type="dxa"/>
                </w:tcPr>
                <w:p w14:paraId="1CF21415" w14:textId="208E088E" w:rsidR="00020251" w:rsidRPr="00CF70FB" w:rsidRDefault="00020251" w:rsidP="003E2B7C">
                  <w:pPr>
                    <w:jc w:val="center"/>
                    <w:rPr>
                      <w:rFonts w:cs="Arial"/>
                      <w:color w:val="000000"/>
                      <w:sz w:val="22"/>
                    </w:rPr>
                  </w:pPr>
                </w:p>
              </w:tc>
              <w:tc>
                <w:tcPr>
                  <w:tcW w:w="1488" w:type="dxa"/>
                </w:tcPr>
                <w:p w14:paraId="0DF920A1" w14:textId="200FFDF3" w:rsidR="00020251" w:rsidRPr="00CF70FB" w:rsidRDefault="00020251" w:rsidP="003E2B7C">
                  <w:pPr>
                    <w:jc w:val="center"/>
                    <w:rPr>
                      <w:rFonts w:cs="Arial"/>
                      <w:color w:val="000000"/>
                      <w:sz w:val="22"/>
                    </w:rPr>
                  </w:pPr>
                </w:p>
              </w:tc>
              <w:tc>
                <w:tcPr>
                  <w:tcW w:w="1390" w:type="dxa"/>
                  <w:noWrap/>
                </w:tcPr>
                <w:p w14:paraId="29658067" w14:textId="15E585BA" w:rsidR="00020251" w:rsidRPr="00CF70FB" w:rsidRDefault="00020251" w:rsidP="003E2B7C">
                  <w:pPr>
                    <w:jc w:val="right"/>
                    <w:rPr>
                      <w:rFonts w:cs="Arial"/>
                      <w:b/>
                      <w:bCs/>
                      <w:color w:val="000000"/>
                      <w:sz w:val="22"/>
                    </w:rPr>
                  </w:pPr>
                  <w:r w:rsidRPr="00CF70FB">
                    <w:rPr>
                      <w:rFonts w:cs="Arial"/>
                      <w:b/>
                      <w:bCs/>
                      <w:color w:val="000000"/>
                      <w:sz w:val="22"/>
                    </w:rPr>
                    <w:t>14</w:t>
                  </w:r>
                </w:p>
              </w:tc>
              <w:tc>
                <w:tcPr>
                  <w:tcW w:w="1303" w:type="dxa"/>
                </w:tcPr>
                <w:p w14:paraId="394DDEE3" w14:textId="77777777" w:rsidR="00020251" w:rsidRPr="00CF70FB" w:rsidRDefault="00020251" w:rsidP="003E2B7C">
                  <w:pPr>
                    <w:jc w:val="right"/>
                    <w:rPr>
                      <w:rFonts w:cs="Arial"/>
                      <w:b/>
                      <w:bCs/>
                      <w:color w:val="000000"/>
                      <w:sz w:val="22"/>
                    </w:rPr>
                  </w:pPr>
                </w:p>
              </w:tc>
            </w:tr>
          </w:tbl>
          <w:p w14:paraId="72A4443A" w14:textId="77777777" w:rsidR="003E2B7C" w:rsidRPr="00CF70FB" w:rsidRDefault="003E2B7C" w:rsidP="000F38FD">
            <w:pPr>
              <w:pStyle w:val="Policy"/>
              <w:spacing w:after="0" w:line="240" w:lineRule="auto"/>
              <w:ind w:left="0" w:right="284"/>
              <w:rPr>
                <w:rStyle w:val="Heading10"/>
                <w:rFonts w:cs="Arial"/>
                <w:color w:val="auto"/>
              </w:rPr>
            </w:pPr>
          </w:p>
          <w:p w14:paraId="48CACB79" w14:textId="319BB203" w:rsidR="00D52CC1" w:rsidRPr="00CF70FB" w:rsidRDefault="00D52CC1" w:rsidP="00D52CC1">
            <w:pPr>
              <w:pStyle w:val="Policy"/>
              <w:spacing w:after="0" w:line="240" w:lineRule="auto"/>
              <w:ind w:left="455" w:right="284"/>
              <w:rPr>
                <w:rStyle w:val="Normal1"/>
                <w:rFonts w:cs="Arial"/>
                <w:bCs/>
              </w:rPr>
            </w:pPr>
            <w:r w:rsidRPr="00CF70FB">
              <w:rPr>
                <w:rStyle w:val="Normal1"/>
                <w:rFonts w:cs="Arial"/>
                <w:bCs/>
              </w:rPr>
              <w:t>Development of pi</w:t>
            </w:r>
            <w:r w:rsidRPr="00CF70FB">
              <w:rPr>
                <w:rStyle w:val="Normal1"/>
                <w:bCs/>
              </w:rPr>
              <w:t>tches</w:t>
            </w:r>
            <w:r w:rsidRPr="00CF70FB">
              <w:rPr>
                <w:rStyle w:val="Normal1"/>
                <w:rFonts w:cs="Arial"/>
                <w:bCs/>
              </w:rPr>
              <w:t xml:space="preserve"> for Gypsy /Traveller </w:t>
            </w:r>
            <w:r w:rsidR="00FF68BA" w:rsidRPr="00CF70FB">
              <w:rPr>
                <w:rStyle w:val="Normal1"/>
                <w:rFonts w:cs="Arial"/>
                <w:bCs/>
              </w:rPr>
              <w:t>accommodation</w:t>
            </w:r>
            <w:r w:rsidRPr="00CF70FB">
              <w:rPr>
                <w:rStyle w:val="Normal1"/>
                <w:rFonts w:cs="Arial"/>
                <w:bCs/>
              </w:rPr>
              <w:t xml:space="preserve"> will be permitted on the site listed below as shown on the Policies Map.</w:t>
            </w:r>
          </w:p>
          <w:p w14:paraId="18E51D71" w14:textId="77777777" w:rsidR="00FF68BA" w:rsidRPr="00CF70FB" w:rsidRDefault="00FF68BA" w:rsidP="00D52CC1">
            <w:pPr>
              <w:pStyle w:val="Policy"/>
              <w:spacing w:after="0" w:line="240" w:lineRule="auto"/>
              <w:ind w:left="455" w:right="284"/>
              <w:rPr>
                <w:rStyle w:val="Normal1"/>
                <w:rFonts w:cs="Arial"/>
                <w:bCs/>
              </w:rPr>
            </w:pPr>
          </w:p>
          <w:tbl>
            <w:tblPr>
              <w:tblStyle w:val="ReportTable1"/>
              <w:tblW w:w="8552" w:type="dxa"/>
              <w:jc w:val="center"/>
              <w:tblLook w:val="04A0" w:firstRow="1" w:lastRow="0" w:firstColumn="1" w:lastColumn="0" w:noHBand="0" w:noVBand="1"/>
            </w:tblPr>
            <w:tblGrid>
              <w:gridCol w:w="950"/>
              <w:gridCol w:w="1712"/>
              <w:gridCol w:w="1366"/>
              <w:gridCol w:w="1488"/>
              <w:gridCol w:w="1390"/>
              <w:gridCol w:w="1646"/>
            </w:tblGrid>
            <w:tr w:rsidR="00020251" w:rsidRPr="00CF70FB" w14:paraId="11377221" w14:textId="6D9FA6E4" w:rsidTr="00CF70FB">
              <w:trPr>
                <w:trHeight w:val="916"/>
                <w:jc w:val="center"/>
              </w:trPr>
              <w:tc>
                <w:tcPr>
                  <w:tcW w:w="950" w:type="dxa"/>
                  <w:shd w:val="clear" w:color="auto" w:fill="D9D9D9"/>
                  <w:hideMark/>
                </w:tcPr>
                <w:p w14:paraId="08FAA693" w14:textId="77777777" w:rsidR="00020251" w:rsidRPr="00CF70FB" w:rsidRDefault="00020251" w:rsidP="00FF68BA">
                  <w:pPr>
                    <w:ind w:hanging="38"/>
                    <w:rPr>
                      <w:rFonts w:cs="Arial"/>
                      <w:b/>
                      <w:bCs/>
                      <w:color w:val="auto"/>
                      <w:sz w:val="22"/>
                    </w:rPr>
                  </w:pPr>
                  <w:r w:rsidRPr="00CF70FB">
                    <w:rPr>
                      <w:rFonts w:cs="Arial"/>
                      <w:b/>
                      <w:bCs/>
                      <w:color w:val="auto"/>
                      <w:sz w:val="22"/>
                    </w:rPr>
                    <w:lastRenderedPageBreak/>
                    <w:t>Site Ref.</w:t>
                  </w:r>
                </w:p>
              </w:tc>
              <w:tc>
                <w:tcPr>
                  <w:tcW w:w="2055" w:type="dxa"/>
                  <w:shd w:val="clear" w:color="auto" w:fill="D9D9D9"/>
                  <w:hideMark/>
                </w:tcPr>
                <w:p w14:paraId="12D4FB05" w14:textId="77777777" w:rsidR="00020251" w:rsidRPr="00CF70FB" w:rsidRDefault="00020251" w:rsidP="00FF68BA">
                  <w:pPr>
                    <w:rPr>
                      <w:rFonts w:cs="Arial"/>
                      <w:b/>
                      <w:bCs/>
                      <w:color w:val="auto"/>
                      <w:sz w:val="22"/>
                    </w:rPr>
                  </w:pPr>
                  <w:r w:rsidRPr="00CF70FB">
                    <w:rPr>
                      <w:rFonts w:cs="Arial"/>
                      <w:b/>
                      <w:bCs/>
                      <w:color w:val="auto"/>
                      <w:sz w:val="22"/>
                    </w:rPr>
                    <w:t>Site Name</w:t>
                  </w:r>
                </w:p>
              </w:tc>
              <w:tc>
                <w:tcPr>
                  <w:tcW w:w="1366" w:type="dxa"/>
                  <w:shd w:val="clear" w:color="auto" w:fill="D9D9D9"/>
                  <w:hideMark/>
                </w:tcPr>
                <w:p w14:paraId="0FAEA957" w14:textId="77777777" w:rsidR="00020251" w:rsidRPr="00CF70FB" w:rsidRDefault="00020251" w:rsidP="00FF68BA">
                  <w:pPr>
                    <w:rPr>
                      <w:rFonts w:cs="Arial"/>
                      <w:b/>
                      <w:bCs/>
                      <w:color w:val="auto"/>
                      <w:sz w:val="22"/>
                    </w:rPr>
                  </w:pPr>
                  <w:r w:rsidRPr="00CF70FB">
                    <w:rPr>
                      <w:rFonts w:cs="Arial"/>
                      <w:b/>
                      <w:bCs/>
                      <w:color w:val="auto"/>
                      <w:sz w:val="22"/>
                    </w:rPr>
                    <w:t>Greenfield/ Brownfield</w:t>
                  </w:r>
                </w:p>
              </w:tc>
              <w:tc>
                <w:tcPr>
                  <w:tcW w:w="1488" w:type="dxa"/>
                  <w:shd w:val="clear" w:color="auto" w:fill="D9D9D9"/>
                </w:tcPr>
                <w:p w14:paraId="3AA31CC3" w14:textId="77777777" w:rsidR="00020251" w:rsidRPr="00CF70FB" w:rsidRDefault="00020251" w:rsidP="00FF68BA">
                  <w:pPr>
                    <w:jc w:val="center"/>
                    <w:rPr>
                      <w:rFonts w:cs="Arial"/>
                      <w:b/>
                      <w:bCs/>
                      <w:color w:val="auto"/>
                      <w:sz w:val="22"/>
                    </w:rPr>
                  </w:pPr>
                  <w:r w:rsidRPr="00CF70FB">
                    <w:rPr>
                      <w:rFonts w:cs="Arial"/>
                      <w:b/>
                      <w:bCs/>
                      <w:color w:val="auto"/>
                      <w:sz w:val="22"/>
                    </w:rPr>
                    <w:t>Planning Permission*</w:t>
                  </w:r>
                </w:p>
              </w:tc>
              <w:tc>
                <w:tcPr>
                  <w:tcW w:w="1390" w:type="dxa"/>
                  <w:shd w:val="clear" w:color="auto" w:fill="D9D9D9"/>
                  <w:hideMark/>
                </w:tcPr>
                <w:p w14:paraId="1E933A7C" w14:textId="6A87DC61" w:rsidR="00020251" w:rsidRPr="00CF70FB" w:rsidRDefault="00020251" w:rsidP="00FF68BA">
                  <w:pPr>
                    <w:jc w:val="center"/>
                    <w:rPr>
                      <w:rFonts w:cs="Arial"/>
                      <w:b/>
                      <w:bCs/>
                      <w:color w:val="auto"/>
                      <w:sz w:val="22"/>
                    </w:rPr>
                  </w:pPr>
                  <w:r w:rsidRPr="00E56F9C">
                    <w:rPr>
                      <w:rFonts w:cs="Arial"/>
                      <w:b/>
                      <w:bCs/>
                      <w:color w:val="005EAC"/>
                      <w:sz w:val="22"/>
                    </w:rPr>
                    <w:t xml:space="preserve">Total </w:t>
                  </w:r>
                  <w:r w:rsidRPr="00CF70FB">
                    <w:rPr>
                      <w:rFonts w:cs="Arial"/>
                      <w:b/>
                      <w:bCs/>
                      <w:color w:val="auto"/>
                      <w:sz w:val="22"/>
                    </w:rPr>
                    <w:t xml:space="preserve">Potential Yield </w:t>
                  </w:r>
                  <w:r w:rsidRPr="00E56F9C">
                    <w:rPr>
                      <w:rFonts w:cs="Arial"/>
                      <w:b/>
                      <w:bCs/>
                      <w:color w:val="005EAC"/>
                      <w:sz w:val="22"/>
                    </w:rPr>
                    <w:t xml:space="preserve">2023-2040 </w:t>
                  </w:r>
                  <w:r w:rsidRPr="00CF70FB">
                    <w:rPr>
                      <w:rFonts w:cs="Arial"/>
                      <w:b/>
                      <w:bCs/>
                      <w:color w:val="auto"/>
                      <w:sz w:val="22"/>
                    </w:rPr>
                    <w:t>(</w:t>
                  </w:r>
                  <w:r w:rsidRPr="00CF70FB">
                    <w:rPr>
                      <w:rFonts w:cs="Arial"/>
                      <w:b/>
                      <w:bCs/>
                      <w:strike/>
                      <w:color w:val="auto"/>
                      <w:sz w:val="22"/>
                    </w:rPr>
                    <w:t>plots</w:t>
                  </w:r>
                  <w:r w:rsidRPr="00CF70FB">
                    <w:rPr>
                      <w:rFonts w:cs="Arial"/>
                      <w:b/>
                      <w:bCs/>
                      <w:color w:val="auto"/>
                      <w:sz w:val="22"/>
                    </w:rPr>
                    <w:t xml:space="preserve"> </w:t>
                  </w:r>
                  <w:r w:rsidRPr="00E56F9C">
                    <w:rPr>
                      <w:rFonts w:cs="Arial"/>
                      <w:b/>
                      <w:bCs/>
                      <w:color w:val="005EAC"/>
                      <w:sz w:val="22"/>
                    </w:rPr>
                    <w:t>pitches</w:t>
                  </w:r>
                  <w:r w:rsidRPr="00CF70FB">
                    <w:rPr>
                      <w:rFonts w:cs="Arial"/>
                      <w:b/>
                      <w:bCs/>
                      <w:color w:val="auto"/>
                      <w:sz w:val="22"/>
                    </w:rPr>
                    <w:t>)</w:t>
                  </w:r>
                </w:p>
              </w:tc>
              <w:tc>
                <w:tcPr>
                  <w:tcW w:w="1303" w:type="dxa"/>
                  <w:shd w:val="clear" w:color="auto" w:fill="D9D9D9"/>
                </w:tcPr>
                <w:p w14:paraId="20D277AF" w14:textId="57EAC92C" w:rsidR="00020251" w:rsidRPr="00CF70FB" w:rsidRDefault="00020251" w:rsidP="00FF68BA">
                  <w:pPr>
                    <w:jc w:val="center"/>
                    <w:rPr>
                      <w:rFonts w:cs="Arial"/>
                      <w:b/>
                      <w:bCs/>
                      <w:color w:val="auto"/>
                      <w:sz w:val="22"/>
                    </w:rPr>
                  </w:pPr>
                  <w:r w:rsidRPr="00E56F9C">
                    <w:rPr>
                      <w:rFonts w:cs="Arial"/>
                      <w:b/>
                      <w:bCs/>
                      <w:color w:val="005EAC"/>
                      <w:sz w:val="22"/>
                      <w:szCs w:val="22"/>
                    </w:rPr>
                    <w:t xml:space="preserve">Progress </w:t>
                  </w:r>
                  <w:proofErr w:type="gramStart"/>
                  <w:r w:rsidRPr="00E56F9C">
                    <w:rPr>
                      <w:rFonts w:cs="Arial"/>
                      <w:b/>
                      <w:bCs/>
                      <w:color w:val="005EAC"/>
                      <w:sz w:val="22"/>
                      <w:szCs w:val="22"/>
                    </w:rPr>
                    <w:t>at</w:t>
                  </w:r>
                  <w:proofErr w:type="gramEnd"/>
                  <w:r w:rsidRPr="00E56F9C">
                    <w:rPr>
                      <w:rFonts w:cs="Arial"/>
                      <w:b/>
                      <w:bCs/>
                      <w:color w:val="005EAC"/>
                      <w:sz w:val="22"/>
                      <w:szCs w:val="22"/>
                    </w:rPr>
                    <w:t xml:space="preserve"> April 2025 (Not Started/ Under Construction/ Completed</w:t>
                  </w:r>
                </w:p>
              </w:tc>
            </w:tr>
            <w:tr w:rsidR="00020251" w:rsidRPr="005865A9" w14:paraId="15EE2FFD" w14:textId="45463BFB" w:rsidTr="00CF70FB">
              <w:trPr>
                <w:trHeight w:val="630"/>
                <w:jc w:val="center"/>
              </w:trPr>
              <w:tc>
                <w:tcPr>
                  <w:tcW w:w="950" w:type="dxa"/>
                  <w:noWrap/>
                </w:tcPr>
                <w:p w14:paraId="17220F9E" w14:textId="1A1BC843" w:rsidR="00020251" w:rsidRPr="00CF70FB" w:rsidRDefault="00020251" w:rsidP="00FF68BA">
                  <w:pPr>
                    <w:rPr>
                      <w:color w:val="auto"/>
                    </w:rPr>
                  </w:pPr>
                  <w:r w:rsidRPr="00CF70FB">
                    <w:rPr>
                      <w:color w:val="auto"/>
                    </w:rPr>
                    <w:t>H2a(c)</w:t>
                  </w:r>
                </w:p>
              </w:tc>
              <w:tc>
                <w:tcPr>
                  <w:tcW w:w="2055" w:type="dxa"/>
                </w:tcPr>
                <w:p w14:paraId="10BDD9A6" w14:textId="282C1FB3" w:rsidR="00020251" w:rsidRPr="00CF70FB" w:rsidRDefault="00020251" w:rsidP="00FF68BA">
                  <w:pPr>
                    <w:rPr>
                      <w:rFonts w:cs="Arial"/>
                      <w:color w:val="auto"/>
                      <w:sz w:val="22"/>
                    </w:rPr>
                  </w:pPr>
                  <w:r w:rsidRPr="00CF70FB">
                    <w:rPr>
                      <w:rFonts w:cs="Arial"/>
                      <w:color w:val="auto"/>
                      <w:sz w:val="22"/>
                    </w:rPr>
                    <w:t>L</w:t>
                  </w:r>
                  <w:r w:rsidRPr="00CF70FB">
                    <w:rPr>
                      <w:color w:val="auto"/>
                      <w:sz w:val="22"/>
                    </w:rPr>
                    <w:t>and East of Park Lane, Kirkby-in-Ashfield</w:t>
                  </w:r>
                </w:p>
              </w:tc>
              <w:tc>
                <w:tcPr>
                  <w:tcW w:w="1366" w:type="dxa"/>
                </w:tcPr>
                <w:p w14:paraId="5E536016" w14:textId="77777777" w:rsidR="00020251" w:rsidRPr="00CF70FB" w:rsidRDefault="00020251" w:rsidP="00FF68BA">
                  <w:pPr>
                    <w:jc w:val="center"/>
                    <w:rPr>
                      <w:rFonts w:cs="Arial"/>
                      <w:color w:val="auto"/>
                      <w:sz w:val="22"/>
                    </w:rPr>
                  </w:pPr>
                  <w:r w:rsidRPr="00CF70FB">
                    <w:rPr>
                      <w:rFonts w:cs="Arial"/>
                      <w:color w:val="auto"/>
                      <w:sz w:val="22"/>
                    </w:rPr>
                    <w:t>G</w:t>
                  </w:r>
                </w:p>
              </w:tc>
              <w:tc>
                <w:tcPr>
                  <w:tcW w:w="1488" w:type="dxa"/>
                </w:tcPr>
                <w:p w14:paraId="3F9A2155" w14:textId="77777777" w:rsidR="00020251" w:rsidRPr="00CF70FB" w:rsidRDefault="00020251" w:rsidP="00FF68BA">
                  <w:pPr>
                    <w:jc w:val="center"/>
                    <w:rPr>
                      <w:rFonts w:cs="Arial"/>
                      <w:color w:val="auto"/>
                      <w:sz w:val="22"/>
                    </w:rPr>
                  </w:pPr>
                  <w:r w:rsidRPr="00CF70FB">
                    <w:rPr>
                      <w:rFonts w:cs="Arial"/>
                      <w:color w:val="auto"/>
                      <w:sz w:val="22"/>
                    </w:rPr>
                    <w:t>Yes</w:t>
                  </w:r>
                </w:p>
              </w:tc>
              <w:tc>
                <w:tcPr>
                  <w:tcW w:w="1390" w:type="dxa"/>
                  <w:noWrap/>
                </w:tcPr>
                <w:p w14:paraId="16FD7E97" w14:textId="0F141C29" w:rsidR="00020251" w:rsidRPr="00CF70FB" w:rsidRDefault="00020251" w:rsidP="00FF68BA">
                  <w:pPr>
                    <w:jc w:val="right"/>
                    <w:rPr>
                      <w:rFonts w:cs="Arial"/>
                      <w:color w:val="auto"/>
                      <w:sz w:val="22"/>
                    </w:rPr>
                  </w:pPr>
                  <w:r w:rsidRPr="00CF70FB">
                    <w:rPr>
                      <w:rFonts w:cs="Arial"/>
                      <w:color w:val="auto"/>
                      <w:sz w:val="22"/>
                    </w:rPr>
                    <w:t>4</w:t>
                  </w:r>
                </w:p>
              </w:tc>
              <w:tc>
                <w:tcPr>
                  <w:tcW w:w="1303" w:type="dxa"/>
                </w:tcPr>
                <w:p w14:paraId="3277E9FF" w14:textId="2363460D" w:rsidR="00020251" w:rsidRPr="005F5AF9" w:rsidRDefault="00020251" w:rsidP="00020251">
                  <w:pPr>
                    <w:jc w:val="center"/>
                    <w:rPr>
                      <w:rFonts w:cs="Arial"/>
                      <w:b/>
                      <w:bCs/>
                      <w:color w:val="005CA9"/>
                      <w:sz w:val="22"/>
                    </w:rPr>
                  </w:pPr>
                  <w:r w:rsidRPr="005F5AF9">
                    <w:rPr>
                      <w:rFonts w:cs="Arial"/>
                      <w:b/>
                      <w:bCs/>
                      <w:color w:val="005CA9"/>
                      <w:sz w:val="22"/>
                    </w:rPr>
                    <w:t>NS</w:t>
                  </w:r>
                </w:p>
              </w:tc>
            </w:tr>
          </w:tbl>
          <w:p w14:paraId="2C4A042F" w14:textId="77777777" w:rsidR="00D52CC1" w:rsidRPr="005865A9" w:rsidRDefault="00D52CC1" w:rsidP="000F38FD">
            <w:pPr>
              <w:pStyle w:val="Policy"/>
              <w:spacing w:after="0" w:line="240" w:lineRule="auto"/>
              <w:ind w:left="0" w:right="284"/>
              <w:rPr>
                <w:rStyle w:val="Heading10"/>
                <w:color w:val="auto"/>
              </w:rPr>
            </w:pPr>
          </w:p>
          <w:p w14:paraId="2A65B81B" w14:textId="3028CFB0" w:rsidR="00D52CC1" w:rsidRPr="006D4F49" w:rsidRDefault="00D52CC1" w:rsidP="000F38FD">
            <w:pPr>
              <w:pStyle w:val="Policy"/>
              <w:spacing w:after="0" w:line="240" w:lineRule="auto"/>
              <w:ind w:left="0" w:right="284"/>
              <w:rPr>
                <w:rStyle w:val="Heading10"/>
                <w:rFonts w:cs="Arial"/>
                <w:color w:val="0070C0"/>
              </w:rPr>
            </w:pPr>
          </w:p>
        </w:tc>
      </w:tr>
    </w:tbl>
    <w:tbl>
      <w:tblPr>
        <w:tblStyle w:val="TableGrid12"/>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663"/>
        <w:gridCol w:w="6825"/>
      </w:tblGrid>
      <w:tr w:rsidR="008D7963" w:rsidRPr="006D4F49" w14:paraId="014E06E3" w14:textId="77777777" w:rsidTr="008D7963">
        <w:tc>
          <w:tcPr>
            <w:tcW w:w="2663" w:type="dxa"/>
          </w:tcPr>
          <w:p w14:paraId="4A43324B" w14:textId="77777777" w:rsidR="008D7963" w:rsidRPr="006D4F49" w:rsidRDefault="008D7963" w:rsidP="003B5395">
            <w:pPr>
              <w:keepNext w:val="0"/>
              <w:spacing w:before="0" w:after="160" w:line="252" w:lineRule="auto"/>
              <w:jc w:val="left"/>
              <w:rPr>
                <w:color w:val="auto"/>
                <w:sz w:val="20"/>
                <w:szCs w:val="20"/>
              </w:rPr>
            </w:pPr>
            <w:r w:rsidRPr="006D4F49">
              <w:rPr>
                <w:color w:val="auto"/>
                <w:sz w:val="20"/>
                <w:szCs w:val="20"/>
              </w:rPr>
              <w:lastRenderedPageBreak/>
              <w:t>Evidence Base</w:t>
            </w:r>
          </w:p>
        </w:tc>
        <w:tc>
          <w:tcPr>
            <w:tcW w:w="6825" w:type="dxa"/>
          </w:tcPr>
          <w:p w14:paraId="0EED4403" w14:textId="77777777" w:rsidR="008D7963" w:rsidRPr="009E34A6" w:rsidRDefault="008D7963" w:rsidP="00874A98">
            <w:pPr>
              <w:keepNext w:val="0"/>
              <w:numPr>
                <w:ilvl w:val="0"/>
                <w:numId w:val="263"/>
              </w:numPr>
              <w:spacing w:before="0"/>
              <w:contextualSpacing/>
              <w:jc w:val="left"/>
              <w:rPr>
                <w:bCs/>
                <w:color w:val="auto"/>
                <w:sz w:val="20"/>
                <w:szCs w:val="20"/>
              </w:rPr>
            </w:pPr>
            <w:r w:rsidRPr="009E34A6">
              <w:rPr>
                <w:bCs/>
                <w:color w:val="auto"/>
                <w:sz w:val="20"/>
                <w:szCs w:val="20"/>
              </w:rPr>
              <w:t>Greater Nottingham and Ashfield District Council Gypsy and Traveller Accommodation Assessment, 2021 - RRR Consultancy Ltd.</w:t>
            </w:r>
          </w:p>
          <w:p w14:paraId="3F56D59F" w14:textId="3731188F" w:rsidR="008D7963" w:rsidRPr="009E34A6" w:rsidRDefault="00B40389" w:rsidP="00874A98">
            <w:pPr>
              <w:keepNext w:val="0"/>
              <w:numPr>
                <w:ilvl w:val="0"/>
                <w:numId w:val="263"/>
              </w:numPr>
              <w:spacing w:before="0"/>
              <w:contextualSpacing/>
              <w:jc w:val="left"/>
              <w:rPr>
                <w:rFonts w:eastAsia="Arial"/>
                <w:bCs/>
                <w:color w:val="auto"/>
                <w:sz w:val="20"/>
                <w:szCs w:val="20"/>
              </w:rPr>
            </w:pPr>
            <w:r w:rsidRPr="009E34A6">
              <w:rPr>
                <w:color w:val="auto"/>
                <w:sz w:val="20"/>
                <w:szCs w:val="20"/>
              </w:rPr>
              <w:t>Sustainability Appraisal, 2023. WSP UK Limited.</w:t>
            </w:r>
          </w:p>
        </w:tc>
      </w:tr>
      <w:tr w:rsidR="008D7963" w:rsidRPr="006D4F49" w14:paraId="3B38EC91" w14:textId="77777777" w:rsidTr="008D7963">
        <w:tc>
          <w:tcPr>
            <w:tcW w:w="2663" w:type="dxa"/>
          </w:tcPr>
          <w:p w14:paraId="296AE8F0" w14:textId="77777777" w:rsidR="008D7963" w:rsidRPr="006D4F49" w:rsidRDefault="008D7963" w:rsidP="003B5395">
            <w:pPr>
              <w:keepNext w:val="0"/>
              <w:spacing w:before="0" w:after="160" w:line="252" w:lineRule="auto"/>
              <w:jc w:val="left"/>
              <w:rPr>
                <w:color w:val="auto"/>
                <w:sz w:val="20"/>
                <w:szCs w:val="20"/>
              </w:rPr>
            </w:pPr>
            <w:r w:rsidRPr="006D4F49">
              <w:rPr>
                <w:color w:val="auto"/>
                <w:sz w:val="20"/>
                <w:szCs w:val="20"/>
              </w:rPr>
              <w:t>National Planning Policy and Guidance</w:t>
            </w:r>
          </w:p>
        </w:tc>
        <w:tc>
          <w:tcPr>
            <w:tcW w:w="6825" w:type="dxa"/>
          </w:tcPr>
          <w:p w14:paraId="05771B0E" w14:textId="7385D38B" w:rsidR="008D7963" w:rsidRPr="009E34A6" w:rsidRDefault="008D7963" w:rsidP="00874A98">
            <w:pPr>
              <w:keepNext w:val="0"/>
              <w:numPr>
                <w:ilvl w:val="0"/>
                <w:numId w:val="264"/>
              </w:numPr>
              <w:spacing w:before="0"/>
              <w:contextualSpacing/>
              <w:jc w:val="left"/>
              <w:rPr>
                <w:color w:val="auto"/>
                <w:sz w:val="20"/>
                <w:szCs w:val="20"/>
              </w:rPr>
            </w:pPr>
            <w:r w:rsidRPr="009E34A6">
              <w:rPr>
                <w:color w:val="auto"/>
                <w:sz w:val="20"/>
                <w:szCs w:val="20"/>
              </w:rPr>
              <w:t>Planning Policy for Traveller Sites, 2015 - DCLG</w:t>
            </w:r>
          </w:p>
          <w:p w14:paraId="45559B39" w14:textId="6046FC10" w:rsidR="008D7963" w:rsidRPr="009E34A6" w:rsidRDefault="008D7963" w:rsidP="00874A98">
            <w:pPr>
              <w:keepNext w:val="0"/>
              <w:numPr>
                <w:ilvl w:val="0"/>
                <w:numId w:val="264"/>
              </w:numPr>
              <w:spacing w:before="0"/>
              <w:contextualSpacing/>
              <w:jc w:val="left"/>
              <w:rPr>
                <w:color w:val="auto"/>
                <w:sz w:val="20"/>
                <w:szCs w:val="20"/>
              </w:rPr>
            </w:pPr>
            <w:r w:rsidRPr="009E34A6">
              <w:rPr>
                <w:color w:val="auto"/>
                <w:sz w:val="20"/>
                <w:szCs w:val="20"/>
              </w:rPr>
              <w:t>NPPF 202</w:t>
            </w:r>
            <w:r w:rsidR="004173E0" w:rsidRPr="009E34A6">
              <w:rPr>
                <w:color w:val="auto"/>
                <w:sz w:val="20"/>
                <w:szCs w:val="20"/>
              </w:rPr>
              <w:t>3</w:t>
            </w:r>
            <w:r w:rsidRPr="009E34A6">
              <w:rPr>
                <w:color w:val="auto"/>
                <w:sz w:val="20"/>
                <w:szCs w:val="20"/>
              </w:rPr>
              <w:t>, Part 2: Achieving sustainable development.</w:t>
            </w:r>
          </w:p>
          <w:p w14:paraId="0030C592" w14:textId="39A5F6C0" w:rsidR="008D7963" w:rsidRPr="009E34A6" w:rsidRDefault="008D7963" w:rsidP="00874A98">
            <w:pPr>
              <w:keepNext w:val="0"/>
              <w:numPr>
                <w:ilvl w:val="0"/>
                <w:numId w:val="264"/>
              </w:numPr>
              <w:spacing w:before="0"/>
              <w:contextualSpacing/>
              <w:jc w:val="left"/>
              <w:rPr>
                <w:color w:val="auto"/>
                <w:sz w:val="20"/>
                <w:szCs w:val="20"/>
              </w:rPr>
            </w:pPr>
            <w:r w:rsidRPr="009E34A6">
              <w:rPr>
                <w:color w:val="auto"/>
                <w:sz w:val="20"/>
                <w:szCs w:val="20"/>
              </w:rPr>
              <w:t>NPPF 202</w:t>
            </w:r>
            <w:r w:rsidR="004173E0" w:rsidRPr="009E34A6">
              <w:rPr>
                <w:color w:val="auto"/>
                <w:sz w:val="20"/>
                <w:szCs w:val="20"/>
              </w:rPr>
              <w:t>3</w:t>
            </w:r>
            <w:r w:rsidRPr="009E34A6">
              <w:rPr>
                <w:color w:val="auto"/>
                <w:sz w:val="20"/>
                <w:szCs w:val="20"/>
              </w:rPr>
              <w:t>, Part 5: Delivering a sufficient supply of homes</w:t>
            </w:r>
          </w:p>
          <w:p w14:paraId="163C6BBD" w14:textId="77777777" w:rsidR="008D7963" w:rsidRDefault="008D7963" w:rsidP="00874A98">
            <w:pPr>
              <w:keepNext w:val="0"/>
              <w:numPr>
                <w:ilvl w:val="0"/>
                <w:numId w:val="264"/>
              </w:numPr>
              <w:spacing w:before="0"/>
              <w:contextualSpacing/>
              <w:jc w:val="left"/>
              <w:rPr>
                <w:color w:val="auto"/>
                <w:sz w:val="20"/>
                <w:szCs w:val="20"/>
              </w:rPr>
            </w:pPr>
            <w:r w:rsidRPr="009E34A6">
              <w:rPr>
                <w:color w:val="auto"/>
                <w:sz w:val="20"/>
                <w:szCs w:val="20"/>
              </w:rPr>
              <w:t>Planning Practice Guidance: Housing and Economic Land Availability Assessment</w:t>
            </w:r>
            <w:r w:rsidR="00B40389" w:rsidRPr="009E34A6">
              <w:rPr>
                <w:color w:val="auto"/>
                <w:sz w:val="20"/>
                <w:szCs w:val="20"/>
              </w:rPr>
              <w:t xml:space="preserve"> as </w:t>
            </w:r>
            <w:proofErr w:type="gramStart"/>
            <w:r w:rsidR="00B40389" w:rsidRPr="009E34A6">
              <w:rPr>
                <w:color w:val="auto"/>
                <w:sz w:val="20"/>
                <w:szCs w:val="20"/>
              </w:rPr>
              <w:t>at</w:t>
            </w:r>
            <w:proofErr w:type="gramEnd"/>
            <w:r w:rsidR="00B40389" w:rsidRPr="009E34A6">
              <w:rPr>
                <w:color w:val="auto"/>
                <w:sz w:val="20"/>
                <w:szCs w:val="20"/>
              </w:rPr>
              <w:t xml:space="preserve"> July 2019.</w:t>
            </w:r>
          </w:p>
          <w:p w14:paraId="6A182463" w14:textId="4ECC9BAE" w:rsidR="009E34A6" w:rsidRPr="009E34A6" w:rsidRDefault="009E34A6" w:rsidP="009E34A6">
            <w:pPr>
              <w:keepNext w:val="0"/>
              <w:spacing w:before="0"/>
              <w:ind w:left="360"/>
              <w:contextualSpacing/>
              <w:jc w:val="left"/>
              <w:rPr>
                <w:color w:val="auto"/>
                <w:sz w:val="20"/>
                <w:szCs w:val="20"/>
              </w:rPr>
            </w:pPr>
          </w:p>
        </w:tc>
      </w:tr>
    </w:tbl>
    <w:p w14:paraId="0B5AB2AE" w14:textId="4C406432" w:rsidR="003E2B7C" w:rsidRPr="006D4F49" w:rsidRDefault="003E2B7C" w:rsidP="003E2B7C">
      <w:pPr>
        <w:rPr>
          <w:rFonts w:eastAsia="Arial"/>
        </w:rPr>
      </w:pPr>
    </w:p>
    <w:p w14:paraId="6287651F" w14:textId="2CF5C4A5" w:rsidR="005703EA" w:rsidRPr="00020251" w:rsidRDefault="006802A3" w:rsidP="00874A98">
      <w:pPr>
        <w:pStyle w:val="ListParagraph"/>
        <w:numPr>
          <w:ilvl w:val="1"/>
          <w:numId w:val="92"/>
        </w:numPr>
        <w:autoSpaceDE w:val="0"/>
        <w:autoSpaceDN w:val="0"/>
        <w:adjustRightInd w:val="0"/>
        <w:spacing w:after="0" w:line="240" w:lineRule="auto"/>
        <w:ind w:left="851" w:hanging="851"/>
        <w:rPr>
          <w:color w:val="auto"/>
        </w:rPr>
      </w:pPr>
      <w:r w:rsidRPr="00EA2ED5">
        <w:rPr>
          <w:rFonts w:ascii="Arial" w:eastAsia="Calibri" w:hAnsi="Arial" w:cs="Arial"/>
          <w:color w:val="auto"/>
        </w:rPr>
        <w:t xml:space="preserve">Policy H2a meets the full assessed need of 14 additional plots for Travelling </w:t>
      </w:r>
      <w:proofErr w:type="spellStart"/>
      <w:r w:rsidRPr="00EA2ED5">
        <w:rPr>
          <w:rFonts w:ascii="Arial" w:eastAsia="Calibri" w:hAnsi="Arial" w:cs="Arial"/>
          <w:color w:val="auto"/>
        </w:rPr>
        <w:t>Showpeople</w:t>
      </w:r>
      <w:proofErr w:type="spellEnd"/>
      <w:r w:rsidRPr="00EA2ED5">
        <w:rPr>
          <w:rFonts w:ascii="Arial" w:eastAsia="Calibri" w:hAnsi="Arial" w:cs="Arial"/>
          <w:color w:val="auto"/>
        </w:rPr>
        <w:t xml:space="preserve"> accommodation </w:t>
      </w:r>
      <w:r w:rsidRPr="00EA2ED5">
        <w:rPr>
          <w:rFonts w:ascii="Arial" w:eastAsia="Calibri" w:hAnsi="Arial" w:cs="Arial"/>
          <w:strike/>
          <w:color w:val="auto"/>
        </w:rPr>
        <w:t>over the plan period</w:t>
      </w:r>
      <w:r w:rsidRPr="00EA2ED5">
        <w:rPr>
          <w:rFonts w:ascii="Arial" w:eastAsia="Calibri" w:hAnsi="Arial" w:cs="Arial"/>
          <w:color w:val="auto"/>
        </w:rPr>
        <w:t xml:space="preserve">, </w:t>
      </w:r>
      <w:r w:rsidR="002A39C8" w:rsidRPr="00EA2ED5">
        <w:rPr>
          <w:rFonts w:ascii="Arial" w:eastAsia="Calibri" w:hAnsi="Arial" w:cs="Arial"/>
          <w:color w:val="auto"/>
        </w:rPr>
        <w:t xml:space="preserve">and 4 pitches </w:t>
      </w:r>
      <w:r w:rsidRPr="00EA2ED5">
        <w:rPr>
          <w:rFonts w:ascii="Arial" w:eastAsia="Calibri" w:hAnsi="Arial" w:cs="Arial"/>
          <w:color w:val="auto"/>
        </w:rPr>
        <w:t xml:space="preserve">to meet the future needs of </w:t>
      </w:r>
      <w:proofErr w:type="spellStart"/>
      <w:r w:rsidRPr="00EA2ED5">
        <w:rPr>
          <w:rFonts w:ascii="Arial" w:eastAsia="Calibri" w:hAnsi="Arial" w:cs="Arial"/>
          <w:color w:val="auto"/>
        </w:rPr>
        <w:t>Gypsys</w:t>
      </w:r>
      <w:proofErr w:type="spellEnd"/>
      <w:r w:rsidRPr="00EA2ED5">
        <w:rPr>
          <w:rFonts w:ascii="Arial" w:eastAsia="Calibri" w:hAnsi="Arial" w:cs="Arial"/>
          <w:color w:val="auto"/>
        </w:rPr>
        <w:t xml:space="preserve"> and Travellers in the District</w:t>
      </w:r>
      <w:r w:rsidR="00020251" w:rsidRPr="00EA2ED5">
        <w:rPr>
          <w:rFonts w:ascii="Arial" w:eastAsia="Calibri" w:hAnsi="Arial" w:cs="Arial"/>
          <w:color w:val="auto"/>
        </w:rPr>
        <w:t xml:space="preserve"> </w:t>
      </w:r>
      <w:r w:rsidR="00020251" w:rsidRPr="00EA2ED5">
        <w:rPr>
          <w:rFonts w:ascii="Arial" w:eastAsia="Calibri" w:hAnsi="Arial" w:cs="Arial"/>
          <w:color w:val="0070C0"/>
        </w:rPr>
        <w:t>as set out in Policy</w:t>
      </w:r>
      <w:r w:rsidR="00020251" w:rsidRPr="00EA2ED5">
        <w:rPr>
          <w:rFonts w:ascii="Arial" w:eastAsia="Calibri" w:hAnsi="Arial" w:cs="Arial"/>
          <w:color w:val="auto"/>
        </w:rPr>
        <w:t xml:space="preserve"> </w:t>
      </w:r>
      <w:r w:rsidR="00020251" w:rsidRPr="00EA2ED5">
        <w:rPr>
          <w:rFonts w:ascii="Arial" w:eastAsia="Calibri" w:hAnsi="Arial" w:cs="Arial"/>
          <w:color w:val="0070C0"/>
        </w:rPr>
        <w:t>S7</w:t>
      </w:r>
      <w:r w:rsidRPr="00EA2ED5">
        <w:rPr>
          <w:rFonts w:ascii="Arial" w:eastAsia="Calibri" w:hAnsi="Arial" w:cs="Arial"/>
          <w:color w:val="auto"/>
        </w:rPr>
        <w:t xml:space="preserve">. </w:t>
      </w:r>
      <w:r w:rsidR="00171539" w:rsidRPr="00EA2ED5">
        <w:rPr>
          <w:rFonts w:ascii="Arial" w:hAnsi="Arial" w:cs="Arial"/>
          <w:color w:val="auto"/>
        </w:rPr>
        <w:t>It is acknowledged that the assessed need figure does not represent a ‘cap’ on the</w:t>
      </w:r>
      <w:r w:rsidR="00171539" w:rsidRPr="00020251">
        <w:rPr>
          <w:rFonts w:ascii="Arial" w:hAnsi="Arial" w:cs="Arial"/>
          <w:color w:val="auto"/>
        </w:rPr>
        <w:t xml:space="preserve"> level of development and as such </w:t>
      </w:r>
      <w:proofErr w:type="gramStart"/>
      <w:r w:rsidR="00B11EBA" w:rsidRPr="00020251">
        <w:rPr>
          <w:rFonts w:ascii="Arial" w:hAnsi="Arial" w:cs="Arial"/>
          <w:color w:val="auto"/>
        </w:rPr>
        <w:t>c</w:t>
      </w:r>
      <w:r w:rsidR="00090543" w:rsidRPr="00020251">
        <w:rPr>
          <w:rFonts w:ascii="Arial" w:hAnsi="Arial" w:cs="Arial"/>
          <w:color w:val="auto"/>
        </w:rPr>
        <w:t>riteria based</w:t>
      </w:r>
      <w:proofErr w:type="gramEnd"/>
      <w:r w:rsidR="00090543" w:rsidRPr="00020251">
        <w:rPr>
          <w:rFonts w:ascii="Arial" w:hAnsi="Arial" w:cs="Arial"/>
          <w:color w:val="auto"/>
        </w:rPr>
        <w:t xml:space="preserve"> policy H2 </w:t>
      </w:r>
      <w:r w:rsidR="00171539" w:rsidRPr="00020251">
        <w:rPr>
          <w:rFonts w:ascii="Arial" w:hAnsi="Arial" w:cs="Arial"/>
          <w:color w:val="auto"/>
        </w:rPr>
        <w:t>will guide future planning decisions and/or additional land allocations.</w:t>
      </w:r>
    </w:p>
    <w:p w14:paraId="7D848CCD" w14:textId="77777777" w:rsidR="005703EA" w:rsidRPr="009E34A6" w:rsidRDefault="005703EA" w:rsidP="005703EA">
      <w:pPr>
        <w:pStyle w:val="ListParagraph"/>
        <w:autoSpaceDE w:val="0"/>
        <w:autoSpaceDN w:val="0"/>
        <w:adjustRightInd w:val="0"/>
        <w:spacing w:after="0" w:line="240" w:lineRule="auto"/>
        <w:ind w:left="851"/>
        <w:rPr>
          <w:color w:val="auto"/>
        </w:rPr>
      </w:pPr>
    </w:p>
    <w:p w14:paraId="6009C500" w14:textId="452B21F3" w:rsidR="005703EA" w:rsidRPr="009E34A6" w:rsidRDefault="005703EA" w:rsidP="00874A98">
      <w:pPr>
        <w:pStyle w:val="ListParagraph"/>
        <w:numPr>
          <w:ilvl w:val="1"/>
          <w:numId w:val="92"/>
        </w:numPr>
        <w:autoSpaceDE w:val="0"/>
        <w:autoSpaceDN w:val="0"/>
        <w:adjustRightInd w:val="0"/>
        <w:spacing w:after="0" w:line="240" w:lineRule="auto"/>
        <w:ind w:left="851" w:hanging="851"/>
        <w:rPr>
          <w:rFonts w:ascii="Arial" w:hAnsi="Arial" w:cs="Arial"/>
          <w:color w:val="auto"/>
        </w:rPr>
      </w:pPr>
      <w:r w:rsidRPr="009E34A6">
        <w:rPr>
          <w:rFonts w:ascii="Arial" w:hAnsi="Arial" w:cs="Arial"/>
          <w:color w:val="auto"/>
        </w:rPr>
        <w:t xml:space="preserve">It is proposed that the Council monitors the longer-term need for pitches and plots in </w:t>
      </w:r>
      <w:r w:rsidR="00B11EBA" w:rsidRPr="009E34A6">
        <w:rPr>
          <w:rFonts w:ascii="Arial" w:hAnsi="Arial" w:cs="Arial"/>
          <w:color w:val="auto"/>
        </w:rPr>
        <w:t xml:space="preserve">respect </w:t>
      </w:r>
      <w:r w:rsidRPr="009E34A6">
        <w:rPr>
          <w:rFonts w:ascii="Arial" w:hAnsi="Arial" w:cs="Arial"/>
          <w:color w:val="auto"/>
        </w:rPr>
        <w:t xml:space="preserve">of </w:t>
      </w:r>
      <w:r w:rsidR="00B11EBA" w:rsidRPr="009E34A6">
        <w:rPr>
          <w:rFonts w:ascii="Arial" w:hAnsi="Arial" w:cs="Arial"/>
          <w:color w:val="auto"/>
        </w:rPr>
        <w:t xml:space="preserve">any </w:t>
      </w:r>
      <w:r w:rsidRPr="009E34A6">
        <w:rPr>
          <w:rFonts w:ascii="Arial" w:hAnsi="Arial" w:cs="Arial"/>
          <w:color w:val="auto"/>
        </w:rPr>
        <w:t>updated turnover rates and sites granted planning permission which will count towards meeting the longer-term need.</w:t>
      </w:r>
    </w:p>
    <w:p w14:paraId="71EAF8DA" w14:textId="77777777" w:rsidR="009E34A6" w:rsidRDefault="009E34A6" w:rsidP="00CF681C">
      <w:pPr>
        <w:rPr>
          <w:rFonts w:eastAsia="Arial"/>
        </w:rPr>
      </w:pPr>
      <w:bookmarkStart w:id="229" w:name="_Toc500408777"/>
      <w:bookmarkStart w:id="230" w:name="_Toc145511590"/>
      <w:bookmarkStart w:id="231" w:name="_Hlk79123872"/>
    </w:p>
    <w:p w14:paraId="1E800A9D" w14:textId="77777777" w:rsidR="00E40772" w:rsidRPr="00CF681C" w:rsidRDefault="00E40772" w:rsidP="00CF681C">
      <w:pPr>
        <w:rPr>
          <w:rFonts w:eastAsia="Arial"/>
        </w:rPr>
      </w:pPr>
    </w:p>
    <w:p w14:paraId="22EF68B4" w14:textId="60C7F410" w:rsidR="002B1A0E" w:rsidRPr="00995322" w:rsidRDefault="006977E7" w:rsidP="00995322">
      <w:pPr>
        <w:pStyle w:val="Heading2"/>
        <w:jc w:val="left"/>
        <w:rPr>
          <w:rFonts w:eastAsia="Arial"/>
          <w:sz w:val="28"/>
          <w:szCs w:val="28"/>
        </w:rPr>
      </w:pPr>
      <w:r w:rsidRPr="00995322">
        <w:rPr>
          <w:rFonts w:eastAsia="Arial"/>
          <w:sz w:val="28"/>
          <w:szCs w:val="28"/>
        </w:rPr>
        <w:t xml:space="preserve">Policy </w:t>
      </w:r>
      <w:r w:rsidR="002B1A0E" w:rsidRPr="00995322">
        <w:rPr>
          <w:rFonts w:eastAsia="Arial"/>
          <w:sz w:val="28"/>
          <w:szCs w:val="28"/>
        </w:rPr>
        <w:t>H3: Affordable Housing</w:t>
      </w:r>
      <w:bookmarkEnd w:id="229"/>
      <w:bookmarkEnd w:id="230"/>
    </w:p>
    <w:p w14:paraId="55908ABF" w14:textId="77777777" w:rsidR="002B1A0E" w:rsidRPr="00263F59" w:rsidRDefault="002B1A0E" w:rsidP="00823DBE">
      <w:pPr>
        <w:keepNext w:val="0"/>
        <w:autoSpaceDE w:val="0"/>
        <w:autoSpaceDN w:val="0"/>
        <w:adjustRightInd w:val="0"/>
        <w:spacing w:before="0"/>
        <w:rPr>
          <w:rFonts w:eastAsia="Arial" w:cs="Arial"/>
          <w:b/>
          <w:bCs/>
          <w:iCs/>
          <w:color w:val="auto"/>
          <w:szCs w:val="24"/>
        </w:rPr>
      </w:pPr>
    </w:p>
    <w:p w14:paraId="53734A81" w14:textId="3557D137" w:rsidR="00503B33" w:rsidRPr="009E34A6" w:rsidRDefault="00503B33" w:rsidP="00874A98">
      <w:pPr>
        <w:pStyle w:val="ListParagraph"/>
        <w:numPr>
          <w:ilvl w:val="1"/>
          <w:numId w:val="92"/>
        </w:numPr>
        <w:autoSpaceDE w:val="0"/>
        <w:autoSpaceDN w:val="0"/>
        <w:adjustRightInd w:val="0"/>
        <w:spacing w:after="0" w:line="240" w:lineRule="auto"/>
        <w:ind w:left="851" w:hanging="851"/>
        <w:rPr>
          <w:rFonts w:ascii="Arial" w:eastAsia="Arial" w:hAnsi="Arial" w:cs="Arial"/>
          <w:color w:val="auto"/>
          <w:szCs w:val="24"/>
          <w:lang w:eastAsia="en-GB"/>
        </w:rPr>
      </w:pPr>
      <w:r w:rsidRPr="009E34A6">
        <w:rPr>
          <w:rFonts w:ascii="Arial" w:eastAsia="Arial" w:hAnsi="Arial" w:cs="Arial"/>
          <w:color w:val="auto"/>
          <w:szCs w:val="24"/>
        </w:rPr>
        <w:t>Policy H3 set out the require</w:t>
      </w:r>
      <w:r w:rsidR="00B857EA">
        <w:rPr>
          <w:rFonts w:ascii="Arial" w:eastAsia="Arial" w:hAnsi="Arial" w:cs="Arial"/>
          <w:color w:val="auto"/>
          <w:szCs w:val="24"/>
        </w:rPr>
        <w:t>ment</w:t>
      </w:r>
      <w:r w:rsidRPr="009E34A6">
        <w:rPr>
          <w:rFonts w:ascii="Arial" w:eastAsia="Arial" w:hAnsi="Arial" w:cs="Arial"/>
          <w:color w:val="auto"/>
          <w:szCs w:val="24"/>
        </w:rPr>
        <w:t xml:space="preserve"> for affordable housing within Ashfield. Affordable housing is housing for sale or rent for those whose needs are not met by the market. The NPPF breaks this down into defined types including affordable housing for rent, starter homes, discounted market sales housing and other affordable routes to home ownership.</w:t>
      </w:r>
    </w:p>
    <w:p w14:paraId="7C9D2B3B" w14:textId="77777777" w:rsidR="00503B33" w:rsidRPr="00503B33" w:rsidRDefault="00503B33" w:rsidP="00503B33">
      <w:pPr>
        <w:keepNext w:val="0"/>
        <w:spacing w:before="0"/>
        <w:ind w:left="720"/>
        <w:contextualSpacing/>
        <w:rPr>
          <w:rFonts w:eastAsia="Arial" w:cs="Arial"/>
          <w:b/>
          <w:color w:val="auto"/>
          <w:szCs w:val="24"/>
        </w:rPr>
      </w:pPr>
    </w:p>
    <w:tbl>
      <w:tblPr>
        <w:tblStyle w:val="ReportTable1"/>
        <w:tblW w:w="9072" w:type="dxa"/>
        <w:jc w:val="center"/>
        <w:tblLayout w:type="fixed"/>
        <w:tblLook w:val="04A0" w:firstRow="1" w:lastRow="0" w:firstColumn="1" w:lastColumn="0" w:noHBand="0" w:noVBand="1"/>
      </w:tblPr>
      <w:tblGrid>
        <w:gridCol w:w="2693"/>
        <w:gridCol w:w="80"/>
        <w:gridCol w:w="6299"/>
      </w:tblGrid>
      <w:tr w:rsidR="00503B33" w:rsidRPr="00503B33" w14:paraId="7B5BE040" w14:textId="77777777" w:rsidTr="00A44712">
        <w:trPr>
          <w:trHeight w:val="421"/>
          <w:jc w:val="center"/>
        </w:trPr>
        <w:tc>
          <w:tcPr>
            <w:tcW w:w="9072" w:type="dxa"/>
            <w:gridSpan w:val="3"/>
          </w:tcPr>
          <w:p w14:paraId="34907391" w14:textId="77777777" w:rsidR="00503B33" w:rsidRPr="009E34A6" w:rsidRDefault="00503B33" w:rsidP="00503B33">
            <w:pPr>
              <w:keepNext w:val="0"/>
              <w:tabs>
                <w:tab w:val="left" w:pos="680"/>
              </w:tabs>
              <w:spacing w:before="0"/>
              <w:rPr>
                <w:rFonts w:eastAsia="Arial"/>
                <w:b/>
                <w:bCs/>
                <w:color w:val="auto"/>
                <w:spacing w:val="-1"/>
              </w:rPr>
            </w:pPr>
            <w:bookmarkStart w:id="232" w:name="_Hlk139530911"/>
          </w:p>
          <w:p w14:paraId="24AE4257" w14:textId="77777777" w:rsidR="00503B33" w:rsidRPr="009E34A6" w:rsidRDefault="00503B33" w:rsidP="00503B33">
            <w:pPr>
              <w:keepNext w:val="0"/>
              <w:tabs>
                <w:tab w:val="left" w:pos="680"/>
              </w:tabs>
              <w:spacing w:before="0"/>
              <w:rPr>
                <w:rFonts w:eastAsia="Arial"/>
                <w:b/>
                <w:bCs/>
                <w:color w:val="auto"/>
                <w:spacing w:val="-1"/>
              </w:rPr>
            </w:pPr>
            <w:r w:rsidRPr="009E34A6">
              <w:rPr>
                <w:rFonts w:eastAsia="Arial"/>
                <w:b/>
                <w:bCs/>
                <w:color w:val="auto"/>
                <w:spacing w:val="-1"/>
              </w:rPr>
              <w:t xml:space="preserve">Policy H3: Affordable Housing </w:t>
            </w:r>
          </w:p>
          <w:p w14:paraId="4C33D414" w14:textId="77777777" w:rsidR="00503B33" w:rsidRPr="009E34A6" w:rsidRDefault="00503B33" w:rsidP="00503B33">
            <w:pPr>
              <w:keepNext w:val="0"/>
              <w:tabs>
                <w:tab w:val="left" w:pos="680"/>
              </w:tabs>
              <w:spacing w:before="0"/>
              <w:rPr>
                <w:rFonts w:eastAsia="Arial"/>
                <w:b/>
                <w:bCs/>
                <w:color w:val="auto"/>
                <w:spacing w:val="-1"/>
              </w:rPr>
            </w:pPr>
          </w:p>
        </w:tc>
      </w:tr>
      <w:tr w:rsidR="00503B33" w:rsidRPr="00503B33" w14:paraId="0F7BCDA6" w14:textId="77777777" w:rsidTr="00A44712">
        <w:trPr>
          <w:jc w:val="center"/>
        </w:trPr>
        <w:tc>
          <w:tcPr>
            <w:tcW w:w="2773" w:type="dxa"/>
            <w:gridSpan w:val="2"/>
          </w:tcPr>
          <w:p w14:paraId="0EB6E10D" w14:textId="77777777" w:rsidR="00503B33" w:rsidRPr="00503B33" w:rsidRDefault="00503B33" w:rsidP="00503B33">
            <w:pPr>
              <w:keepNext w:val="0"/>
              <w:tabs>
                <w:tab w:val="left" w:pos="680"/>
              </w:tabs>
              <w:spacing w:before="0"/>
              <w:rPr>
                <w:rFonts w:eastAsia="Arial"/>
                <w:color w:val="auto"/>
              </w:rPr>
            </w:pPr>
            <w:r w:rsidRPr="00503B33">
              <w:rPr>
                <w:rFonts w:eastAsia="Arial"/>
                <w:color w:val="auto"/>
              </w:rPr>
              <w:t>Strategic Objectives</w:t>
            </w:r>
          </w:p>
        </w:tc>
        <w:tc>
          <w:tcPr>
            <w:tcW w:w="6299" w:type="dxa"/>
          </w:tcPr>
          <w:p w14:paraId="18E4757C" w14:textId="77777777" w:rsidR="00503B33" w:rsidRPr="00503B33" w:rsidRDefault="00503B33" w:rsidP="00503B33">
            <w:pPr>
              <w:keepNext w:val="0"/>
              <w:tabs>
                <w:tab w:val="left" w:pos="680"/>
              </w:tabs>
              <w:spacing w:before="40" w:after="40"/>
              <w:rPr>
                <w:rFonts w:eastAsia="Arial"/>
                <w:color w:val="auto"/>
              </w:rPr>
            </w:pPr>
            <w:r w:rsidRPr="00503B33">
              <w:rPr>
                <w:rFonts w:eastAsia="Arial"/>
                <w:color w:val="auto"/>
              </w:rPr>
              <w:t>SO1, SO2, SO3, SO5, SO12.</w:t>
            </w:r>
          </w:p>
        </w:tc>
      </w:tr>
      <w:tr w:rsidR="00503B33" w:rsidRPr="00503B33" w14:paraId="26DE495E" w14:textId="77777777" w:rsidTr="00A44712">
        <w:trPr>
          <w:jc w:val="center"/>
        </w:trPr>
        <w:tc>
          <w:tcPr>
            <w:tcW w:w="9072" w:type="dxa"/>
            <w:gridSpan w:val="3"/>
            <w:shd w:val="clear" w:color="auto" w:fill="FFCC99"/>
          </w:tcPr>
          <w:p w14:paraId="1B8D043E" w14:textId="77777777" w:rsidR="00503B33" w:rsidRPr="00503B33" w:rsidRDefault="00503B33" w:rsidP="00503B33">
            <w:pPr>
              <w:keepNext w:val="0"/>
              <w:autoSpaceDE w:val="0"/>
              <w:autoSpaceDN w:val="0"/>
              <w:adjustRightInd w:val="0"/>
              <w:spacing w:before="0"/>
              <w:ind w:left="317"/>
              <w:rPr>
                <w:color w:val="auto"/>
                <w:szCs w:val="24"/>
              </w:rPr>
            </w:pPr>
          </w:p>
          <w:p w14:paraId="0BE87513" w14:textId="362F8A28" w:rsidR="00503B33" w:rsidRPr="009E34A6" w:rsidRDefault="00503B33" w:rsidP="00874A98">
            <w:pPr>
              <w:keepNext w:val="0"/>
              <w:numPr>
                <w:ilvl w:val="0"/>
                <w:numId w:val="231"/>
              </w:numPr>
              <w:autoSpaceDE w:val="0"/>
              <w:autoSpaceDN w:val="0"/>
              <w:adjustRightInd w:val="0"/>
              <w:spacing w:before="0"/>
              <w:ind w:left="357" w:right="284" w:hanging="357"/>
              <w:rPr>
                <w:rFonts w:cs="Arial"/>
                <w:color w:val="auto"/>
                <w:szCs w:val="24"/>
              </w:rPr>
            </w:pPr>
            <w:r w:rsidRPr="00503B33">
              <w:rPr>
                <w:color w:val="auto"/>
                <w:szCs w:val="24"/>
              </w:rPr>
              <w:lastRenderedPageBreak/>
              <w:t xml:space="preserve">Affordable housing contributions will be required on new housing </w:t>
            </w:r>
            <w:r w:rsidRPr="009E34A6">
              <w:rPr>
                <w:color w:val="auto"/>
                <w:szCs w:val="24"/>
              </w:rPr>
              <w:t xml:space="preserve">developments </w:t>
            </w:r>
            <w:r w:rsidR="00C706B6" w:rsidRPr="009E34A6">
              <w:rPr>
                <w:color w:val="auto"/>
                <w:szCs w:val="24"/>
              </w:rPr>
              <w:t xml:space="preserve">of 10 or more dwellings or 0.5 ha or more, </w:t>
            </w:r>
            <w:r w:rsidRPr="009E34A6">
              <w:rPr>
                <w:color w:val="auto"/>
                <w:szCs w:val="24"/>
              </w:rPr>
              <w:t>other than where affordable housing requirements are excluded by national planning policy</w:t>
            </w:r>
            <w:r w:rsidR="00C706B6" w:rsidRPr="009E34A6">
              <w:rPr>
                <w:color w:val="auto"/>
                <w:szCs w:val="24"/>
              </w:rPr>
              <w:t xml:space="preserve">, as </w:t>
            </w:r>
            <w:r w:rsidR="00C706B6" w:rsidRPr="009E34A6">
              <w:rPr>
                <w:rFonts w:cs="Arial"/>
                <w:color w:val="auto"/>
                <w:szCs w:val="24"/>
              </w:rPr>
              <w:t>follows:</w:t>
            </w:r>
          </w:p>
          <w:p w14:paraId="2067E256" w14:textId="7EF5BD03" w:rsidR="00AB3521" w:rsidRPr="009E34A6" w:rsidRDefault="00410812" w:rsidP="00874A98">
            <w:pPr>
              <w:pStyle w:val="ListParagraph"/>
              <w:numPr>
                <w:ilvl w:val="0"/>
                <w:numId w:val="329"/>
              </w:numPr>
              <w:autoSpaceDE w:val="0"/>
              <w:autoSpaceDN w:val="0"/>
              <w:adjustRightInd w:val="0"/>
              <w:ind w:left="1440" w:right="284" w:hanging="284"/>
              <w:rPr>
                <w:rFonts w:ascii="Arial" w:hAnsi="Arial" w:cs="Arial"/>
                <w:color w:val="auto"/>
                <w:szCs w:val="24"/>
              </w:rPr>
            </w:pPr>
            <w:r w:rsidRPr="009E34A6">
              <w:rPr>
                <w:rFonts w:ascii="Arial" w:hAnsi="Arial" w:cs="Arial"/>
                <w:color w:val="auto"/>
                <w:szCs w:val="24"/>
              </w:rPr>
              <w:t xml:space="preserve">A minimum of </w:t>
            </w:r>
            <w:r w:rsidR="00C706B6" w:rsidRPr="009E34A6">
              <w:rPr>
                <w:rFonts w:ascii="Arial" w:hAnsi="Arial" w:cs="Arial"/>
                <w:color w:val="auto"/>
                <w:szCs w:val="24"/>
              </w:rPr>
              <w:t>25% affordable housing on greenfield sites</w:t>
            </w:r>
            <w:r w:rsidRPr="009E34A6">
              <w:rPr>
                <w:rFonts w:ascii="Arial" w:hAnsi="Arial" w:cs="Arial"/>
                <w:color w:val="auto"/>
                <w:szCs w:val="24"/>
              </w:rPr>
              <w:t>,</w:t>
            </w:r>
            <w:r w:rsidR="00C706B6" w:rsidRPr="009E34A6">
              <w:rPr>
                <w:rFonts w:ascii="Arial" w:hAnsi="Arial" w:cs="Arial"/>
                <w:color w:val="auto"/>
                <w:szCs w:val="24"/>
              </w:rPr>
              <w:t xml:space="preserve"> and</w:t>
            </w:r>
          </w:p>
          <w:p w14:paraId="540884E9" w14:textId="2D807655" w:rsidR="00C706B6" w:rsidRPr="009E34A6" w:rsidRDefault="00410812" w:rsidP="00874A98">
            <w:pPr>
              <w:pStyle w:val="ListParagraph"/>
              <w:numPr>
                <w:ilvl w:val="0"/>
                <w:numId w:val="329"/>
              </w:numPr>
              <w:autoSpaceDE w:val="0"/>
              <w:autoSpaceDN w:val="0"/>
              <w:adjustRightInd w:val="0"/>
              <w:ind w:left="1440" w:right="284" w:hanging="284"/>
              <w:rPr>
                <w:rFonts w:ascii="Arial" w:hAnsi="Arial" w:cs="Arial"/>
                <w:color w:val="auto"/>
                <w:szCs w:val="24"/>
              </w:rPr>
            </w:pPr>
            <w:r w:rsidRPr="009E34A6">
              <w:rPr>
                <w:rFonts w:ascii="Arial" w:hAnsi="Arial" w:cs="Arial"/>
                <w:color w:val="auto"/>
                <w:szCs w:val="24"/>
              </w:rPr>
              <w:t xml:space="preserve">A minimum </w:t>
            </w:r>
            <w:r w:rsidR="007E3707" w:rsidRPr="009E34A6">
              <w:rPr>
                <w:rFonts w:ascii="Arial" w:hAnsi="Arial" w:cs="Arial"/>
                <w:color w:val="auto"/>
                <w:szCs w:val="24"/>
              </w:rPr>
              <w:t xml:space="preserve">of </w:t>
            </w:r>
            <w:r w:rsidR="00C706B6" w:rsidRPr="009E34A6">
              <w:rPr>
                <w:rFonts w:ascii="Arial" w:hAnsi="Arial" w:cs="Arial"/>
                <w:color w:val="auto"/>
                <w:szCs w:val="24"/>
              </w:rPr>
              <w:t>10% affordable housing on brownfield sites</w:t>
            </w:r>
          </w:p>
          <w:p w14:paraId="48E05677" w14:textId="699290CF" w:rsidR="00AB3521" w:rsidRPr="009E34A6" w:rsidRDefault="00503B33" w:rsidP="00874A98">
            <w:pPr>
              <w:keepNext w:val="0"/>
              <w:numPr>
                <w:ilvl w:val="0"/>
                <w:numId w:val="231"/>
              </w:numPr>
              <w:autoSpaceDE w:val="0"/>
              <w:autoSpaceDN w:val="0"/>
              <w:adjustRightInd w:val="0"/>
              <w:spacing w:before="0"/>
              <w:ind w:left="357" w:right="284" w:hanging="357"/>
              <w:rPr>
                <w:color w:val="auto"/>
                <w:szCs w:val="24"/>
              </w:rPr>
            </w:pPr>
            <w:r w:rsidRPr="009E34A6">
              <w:rPr>
                <w:color w:val="auto"/>
                <w:szCs w:val="24"/>
              </w:rPr>
              <w:t xml:space="preserve">Of the affordable dwellings provided, the tenure mix should be identified through discussions with the local </w:t>
            </w:r>
            <w:proofErr w:type="gramStart"/>
            <w:r w:rsidRPr="009E34A6">
              <w:rPr>
                <w:color w:val="auto"/>
                <w:szCs w:val="24"/>
              </w:rPr>
              <w:t>authority</w:t>
            </w:r>
            <w:r w:rsidR="00AB3521" w:rsidRPr="009E34A6">
              <w:rPr>
                <w:color w:val="auto"/>
                <w:szCs w:val="24"/>
              </w:rPr>
              <w:t>,</w:t>
            </w:r>
            <w:r w:rsidRPr="009E34A6">
              <w:rPr>
                <w:color w:val="auto"/>
                <w:szCs w:val="24"/>
              </w:rPr>
              <w:t xml:space="preserve"> and</w:t>
            </w:r>
            <w:proofErr w:type="gramEnd"/>
            <w:r w:rsidRPr="009E34A6">
              <w:rPr>
                <w:color w:val="auto"/>
                <w:szCs w:val="24"/>
              </w:rPr>
              <w:t xml:space="preserve"> </w:t>
            </w:r>
            <w:r w:rsidR="000115EB">
              <w:rPr>
                <w:color w:val="auto"/>
                <w:szCs w:val="24"/>
              </w:rPr>
              <w:t xml:space="preserve">be </w:t>
            </w:r>
            <w:r w:rsidRPr="009E34A6">
              <w:rPr>
                <w:color w:val="auto"/>
                <w:szCs w:val="24"/>
              </w:rPr>
              <w:t>informed by the latest Government guidance and evidence from the Council’s Housing Need Assessment. The starting point for discussions will be based on delivery of</w:t>
            </w:r>
            <w:r w:rsidR="00AB3521" w:rsidRPr="009E34A6">
              <w:rPr>
                <w:color w:val="auto"/>
                <w:szCs w:val="24"/>
              </w:rPr>
              <w:t>:</w:t>
            </w:r>
          </w:p>
          <w:p w14:paraId="72BFC040" w14:textId="77777777" w:rsidR="00AB3521" w:rsidRPr="009E34A6" w:rsidRDefault="00AB3521" w:rsidP="00AB3521">
            <w:pPr>
              <w:keepNext w:val="0"/>
              <w:autoSpaceDE w:val="0"/>
              <w:autoSpaceDN w:val="0"/>
              <w:adjustRightInd w:val="0"/>
              <w:spacing w:before="0"/>
              <w:ind w:left="357" w:right="284"/>
              <w:rPr>
                <w:color w:val="auto"/>
                <w:szCs w:val="24"/>
              </w:rPr>
            </w:pPr>
          </w:p>
          <w:p w14:paraId="0C4F4425" w14:textId="53E7393D" w:rsidR="00AB3521" w:rsidRPr="009E34A6" w:rsidRDefault="00503B33" w:rsidP="00874A98">
            <w:pPr>
              <w:pStyle w:val="ListParagraph"/>
              <w:numPr>
                <w:ilvl w:val="0"/>
                <w:numId w:val="330"/>
              </w:numPr>
              <w:autoSpaceDE w:val="0"/>
              <w:autoSpaceDN w:val="0"/>
              <w:adjustRightInd w:val="0"/>
              <w:ind w:left="1440" w:right="284" w:hanging="284"/>
              <w:rPr>
                <w:rFonts w:ascii="Arial" w:hAnsi="Arial" w:cs="Arial"/>
                <w:color w:val="auto"/>
                <w:szCs w:val="24"/>
              </w:rPr>
            </w:pPr>
            <w:r w:rsidRPr="009E34A6">
              <w:rPr>
                <w:rFonts w:ascii="Arial" w:hAnsi="Arial" w:cs="Arial"/>
                <w:color w:val="auto"/>
                <w:szCs w:val="24"/>
              </w:rPr>
              <w:t xml:space="preserve">25% </w:t>
            </w:r>
            <w:r w:rsidR="00B2365E" w:rsidRPr="009E34A6">
              <w:rPr>
                <w:rFonts w:ascii="Arial" w:hAnsi="Arial" w:cs="Arial"/>
                <w:color w:val="auto"/>
                <w:szCs w:val="24"/>
              </w:rPr>
              <w:t>S</w:t>
            </w:r>
            <w:r w:rsidRPr="009E34A6">
              <w:rPr>
                <w:rFonts w:ascii="Arial" w:hAnsi="Arial" w:cs="Arial"/>
                <w:color w:val="auto"/>
                <w:szCs w:val="24"/>
              </w:rPr>
              <w:t>hared ownership,</w:t>
            </w:r>
          </w:p>
          <w:p w14:paraId="10E53983" w14:textId="4A8BE80D" w:rsidR="00AB3521" w:rsidRPr="009E34A6" w:rsidRDefault="00503B33" w:rsidP="00874A98">
            <w:pPr>
              <w:pStyle w:val="ListParagraph"/>
              <w:numPr>
                <w:ilvl w:val="0"/>
                <w:numId w:val="330"/>
              </w:numPr>
              <w:autoSpaceDE w:val="0"/>
              <w:autoSpaceDN w:val="0"/>
              <w:adjustRightInd w:val="0"/>
              <w:ind w:left="1440" w:right="284" w:hanging="284"/>
              <w:rPr>
                <w:rFonts w:ascii="Arial" w:hAnsi="Arial" w:cs="Arial"/>
                <w:color w:val="auto"/>
                <w:szCs w:val="24"/>
              </w:rPr>
            </w:pPr>
            <w:r w:rsidRPr="009E34A6">
              <w:rPr>
                <w:rFonts w:ascii="Arial" w:hAnsi="Arial" w:cs="Arial"/>
                <w:color w:val="auto"/>
                <w:szCs w:val="24"/>
              </w:rPr>
              <w:t>25% Social Rents</w:t>
            </w:r>
            <w:r w:rsidR="00AB3521" w:rsidRPr="009E34A6">
              <w:rPr>
                <w:rFonts w:ascii="Arial" w:hAnsi="Arial" w:cs="Arial"/>
                <w:color w:val="auto"/>
                <w:szCs w:val="24"/>
              </w:rPr>
              <w:t>,</w:t>
            </w:r>
            <w:r w:rsidRPr="009E34A6">
              <w:rPr>
                <w:rFonts w:ascii="Arial" w:hAnsi="Arial" w:cs="Arial"/>
                <w:color w:val="auto"/>
                <w:szCs w:val="24"/>
              </w:rPr>
              <w:t xml:space="preserve"> and</w:t>
            </w:r>
          </w:p>
          <w:p w14:paraId="02C70465" w14:textId="44DC17DA" w:rsidR="00503B33" w:rsidRPr="009E34A6" w:rsidRDefault="00503B33" w:rsidP="00874A98">
            <w:pPr>
              <w:pStyle w:val="ListParagraph"/>
              <w:numPr>
                <w:ilvl w:val="0"/>
                <w:numId w:val="330"/>
              </w:numPr>
              <w:autoSpaceDE w:val="0"/>
              <w:autoSpaceDN w:val="0"/>
              <w:adjustRightInd w:val="0"/>
              <w:ind w:left="1440" w:right="284" w:hanging="284"/>
              <w:rPr>
                <w:rFonts w:ascii="Arial" w:hAnsi="Arial" w:cs="Arial"/>
                <w:color w:val="auto"/>
                <w:szCs w:val="24"/>
              </w:rPr>
            </w:pPr>
            <w:r w:rsidRPr="009E34A6">
              <w:rPr>
                <w:rFonts w:ascii="Arial" w:hAnsi="Arial" w:cs="Arial"/>
                <w:color w:val="auto"/>
                <w:szCs w:val="24"/>
              </w:rPr>
              <w:t>50% Affordable Rents.</w:t>
            </w:r>
          </w:p>
          <w:p w14:paraId="50C854CC" w14:textId="66749DA0" w:rsidR="00503B33" w:rsidRPr="009E34A6" w:rsidRDefault="00503B33" w:rsidP="00874A98">
            <w:pPr>
              <w:keepNext w:val="0"/>
              <w:numPr>
                <w:ilvl w:val="0"/>
                <w:numId w:val="231"/>
              </w:numPr>
              <w:autoSpaceDE w:val="0"/>
              <w:autoSpaceDN w:val="0"/>
              <w:adjustRightInd w:val="0"/>
              <w:spacing w:before="0"/>
              <w:ind w:left="425" w:right="284" w:hanging="357"/>
              <w:rPr>
                <w:color w:val="auto"/>
                <w:szCs w:val="24"/>
              </w:rPr>
            </w:pPr>
            <w:r w:rsidRPr="009E34A6">
              <w:rPr>
                <w:color w:val="auto"/>
                <w:szCs w:val="24"/>
              </w:rPr>
              <w:t xml:space="preserve">Affordable housing should be delivered on site and integrated with market housing. Off-site commuted sums of an equivalent value may be made in lieu of on-site provision (in total or in part) where on-site provision is satisfactorily demonstrated to be </w:t>
            </w:r>
            <w:r w:rsidR="00A24804" w:rsidRPr="009E34A6">
              <w:rPr>
                <w:color w:val="auto"/>
                <w:szCs w:val="24"/>
              </w:rPr>
              <w:t>unwarranted,</w:t>
            </w:r>
            <w:r w:rsidRPr="009E34A6">
              <w:rPr>
                <w:color w:val="auto"/>
                <w:szCs w:val="24"/>
              </w:rPr>
              <w:t xml:space="preserve"> or where such off-site contributions can be shown to contribute to the successful development of other affordable housing and</w:t>
            </w:r>
            <w:r w:rsidR="00A24804" w:rsidRPr="009E34A6">
              <w:rPr>
                <w:color w:val="auto"/>
                <w:szCs w:val="24"/>
              </w:rPr>
              <w:t>/</w:t>
            </w:r>
            <w:r w:rsidRPr="009E34A6">
              <w:rPr>
                <w:color w:val="auto"/>
                <w:szCs w:val="24"/>
              </w:rPr>
              <w:t>or regeneration schemes within the district.</w:t>
            </w:r>
          </w:p>
          <w:p w14:paraId="306A03A8" w14:textId="77777777" w:rsidR="00503B33" w:rsidRPr="009E34A6" w:rsidRDefault="00503B33" w:rsidP="00503B33">
            <w:pPr>
              <w:keepNext w:val="0"/>
              <w:autoSpaceDE w:val="0"/>
              <w:autoSpaceDN w:val="0"/>
              <w:adjustRightInd w:val="0"/>
              <w:spacing w:before="0"/>
              <w:ind w:left="425" w:right="284"/>
              <w:rPr>
                <w:color w:val="auto"/>
                <w:szCs w:val="24"/>
              </w:rPr>
            </w:pPr>
          </w:p>
          <w:p w14:paraId="6E1B0CEF" w14:textId="006EFF0A" w:rsidR="00503B33" w:rsidRPr="009E34A6" w:rsidRDefault="00503B33" w:rsidP="00874A98">
            <w:pPr>
              <w:keepNext w:val="0"/>
              <w:numPr>
                <w:ilvl w:val="0"/>
                <w:numId w:val="231"/>
              </w:numPr>
              <w:autoSpaceDE w:val="0"/>
              <w:autoSpaceDN w:val="0"/>
              <w:adjustRightInd w:val="0"/>
              <w:spacing w:before="0"/>
              <w:ind w:left="425" w:right="284" w:hanging="357"/>
              <w:rPr>
                <w:color w:val="auto"/>
                <w:szCs w:val="24"/>
              </w:rPr>
            </w:pPr>
            <w:r w:rsidRPr="009E34A6">
              <w:rPr>
                <w:color w:val="auto"/>
                <w:szCs w:val="24"/>
              </w:rPr>
              <w:t>Proposals that do not meet the policy requirements must provide a clear justification supported by an independent viability assessment that a different level or mix of affordable housing is required to make the development viable. It must be satisfactorily demonstrated to the Council that any alternatives approach will contribute towards creating mixed and balance communities.</w:t>
            </w:r>
          </w:p>
          <w:p w14:paraId="1ECC22EA" w14:textId="77777777" w:rsidR="00503B33" w:rsidRPr="009E34A6" w:rsidRDefault="00503B33" w:rsidP="00503B33">
            <w:pPr>
              <w:keepNext w:val="0"/>
              <w:autoSpaceDE w:val="0"/>
              <w:autoSpaceDN w:val="0"/>
              <w:adjustRightInd w:val="0"/>
              <w:spacing w:before="0"/>
              <w:ind w:right="284"/>
              <w:rPr>
                <w:color w:val="auto"/>
                <w:szCs w:val="24"/>
              </w:rPr>
            </w:pPr>
          </w:p>
          <w:p w14:paraId="49EBC6F3" w14:textId="77777777" w:rsidR="00503B33" w:rsidRDefault="00503B33" w:rsidP="00874A98">
            <w:pPr>
              <w:keepNext w:val="0"/>
              <w:numPr>
                <w:ilvl w:val="0"/>
                <w:numId w:val="231"/>
              </w:numPr>
              <w:autoSpaceDE w:val="0"/>
              <w:autoSpaceDN w:val="0"/>
              <w:adjustRightInd w:val="0"/>
              <w:spacing w:before="0"/>
              <w:ind w:left="425" w:right="284" w:hanging="357"/>
              <w:rPr>
                <w:color w:val="auto"/>
                <w:szCs w:val="24"/>
              </w:rPr>
            </w:pPr>
            <w:r w:rsidRPr="00503B33">
              <w:rPr>
                <w:color w:val="auto"/>
                <w:szCs w:val="24"/>
              </w:rPr>
              <w:t>Developers are expected to make efficient use of land and attempts to artificially reduce the scale of development to below the threshold for providing affordable housing will not be acceptable.</w:t>
            </w:r>
          </w:p>
          <w:p w14:paraId="55793B21" w14:textId="5E59CABD" w:rsidR="00E40772" w:rsidRPr="00503B33" w:rsidRDefault="00E40772" w:rsidP="00E40772">
            <w:pPr>
              <w:keepNext w:val="0"/>
              <w:autoSpaceDE w:val="0"/>
              <w:autoSpaceDN w:val="0"/>
              <w:adjustRightInd w:val="0"/>
              <w:spacing w:before="0"/>
              <w:ind w:right="284"/>
              <w:rPr>
                <w:color w:val="auto"/>
                <w:szCs w:val="24"/>
              </w:rPr>
            </w:pPr>
          </w:p>
        </w:tc>
      </w:tr>
      <w:tr w:rsidR="00503B33" w:rsidRPr="00503B33" w14:paraId="778AC887" w14:textId="77777777" w:rsidTr="00A44712">
        <w:trPr>
          <w:jc w:val="center"/>
        </w:trPr>
        <w:tc>
          <w:tcPr>
            <w:tcW w:w="2693" w:type="dxa"/>
          </w:tcPr>
          <w:p w14:paraId="38B14F99" w14:textId="77777777" w:rsidR="00503B33" w:rsidRPr="00503B33" w:rsidRDefault="00503B33" w:rsidP="00503B33">
            <w:pPr>
              <w:keepNext w:val="0"/>
              <w:tabs>
                <w:tab w:val="left" w:pos="680"/>
                <w:tab w:val="left" w:pos="1133"/>
                <w:tab w:val="left" w:pos="2267"/>
              </w:tabs>
              <w:spacing w:before="0"/>
              <w:ind w:right="284"/>
              <w:rPr>
                <w:rFonts w:eastAsia="Arial"/>
                <w:color w:val="C45911"/>
                <w:szCs w:val="24"/>
              </w:rPr>
            </w:pPr>
            <w:r w:rsidRPr="00503B33">
              <w:rPr>
                <w:rFonts w:eastAsia="Arial"/>
                <w:iCs/>
                <w:color w:val="auto"/>
                <w:sz w:val="20"/>
              </w:rPr>
              <w:lastRenderedPageBreak/>
              <w:t>Evidence Base</w:t>
            </w:r>
          </w:p>
        </w:tc>
        <w:tc>
          <w:tcPr>
            <w:tcW w:w="6379" w:type="dxa"/>
            <w:gridSpan w:val="2"/>
          </w:tcPr>
          <w:p w14:paraId="230AC914" w14:textId="17A0DC2C" w:rsidR="00503B33" w:rsidRPr="009E34A6" w:rsidRDefault="00503B33" w:rsidP="00874A98">
            <w:pPr>
              <w:keepNext w:val="0"/>
              <w:numPr>
                <w:ilvl w:val="0"/>
                <w:numId w:val="93"/>
              </w:numPr>
              <w:spacing w:before="0"/>
              <w:contextualSpacing/>
              <w:rPr>
                <w:rFonts w:eastAsia="Calibri"/>
                <w:color w:val="auto"/>
                <w:sz w:val="20"/>
              </w:rPr>
            </w:pPr>
            <w:r w:rsidRPr="009E34A6">
              <w:rPr>
                <w:rFonts w:eastAsia="Calibri"/>
                <w:color w:val="auto"/>
                <w:sz w:val="20"/>
              </w:rPr>
              <w:t>Greater Nottingham &amp; Ashfield Housing Needs Assessment Final Report 2020 - Iceni Projects Limited on behalf of the Greater Nottingham Planning Partnership.</w:t>
            </w:r>
          </w:p>
          <w:p w14:paraId="6FD0D75C" w14:textId="77777777" w:rsidR="00503B33" w:rsidRPr="009E34A6" w:rsidRDefault="00503B33" w:rsidP="00874A98">
            <w:pPr>
              <w:keepNext w:val="0"/>
              <w:numPr>
                <w:ilvl w:val="0"/>
                <w:numId w:val="93"/>
              </w:numPr>
              <w:spacing w:before="0" w:after="160" w:line="252" w:lineRule="auto"/>
              <w:contextualSpacing/>
              <w:jc w:val="both"/>
              <w:rPr>
                <w:rFonts w:eastAsia="Calibri"/>
                <w:color w:val="auto"/>
                <w:sz w:val="20"/>
              </w:rPr>
            </w:pPr>
            <w:r w:rsidRPr="009E34A6">
              <w:rPr>
                <w:rFonts w:eastAsia="Calibri"/>
                <w:color w:val="auto"/>
                <w:sz w:val="20"/>
              </w:rPr>
              <w:t>First Homes Assessment 2022, Iceni Projects Limited on behalf of the Greater Nottingham Planning Partnership.</w:t>
            </w:r>
          </w:p>
          <w:p w14:paraId="39E2CF1F" w14:textId="77777777" w:rsidR="00503B33" w:rsidRPr="009E34A6" w:rsidRDefault="00503B33" w:rsidP="00874A98">
            <w:pPr>
              <w:keepNext w:val="0"/>
              <w:numPr>
                <w:ilvl w:val="0"/>
                <w:numId w:val="93"/>
              </w:numPr>
              <w:spacing w:before="0" w:after="160" w:line="252" w:lineRule="auto"/>
              <w:contextualSpacing/>
              <w:jc w:val="both"/>
              <w:rPr>
                <w:rFonts w:eastAsia="Calibri"/>
                <w:color w:val="auto"/>
                <w:sz w:val="20"/>
              </w:rPr>
            </w:pPr>
            <w:r w:rsidRPr="009E34A6">
              <w:rPr>
                <w:rFonts w:eastAsia="Calibri"/>
                <w:color w:val="auto"/>
                <w:sz w:val="20"/>
              </w:rPr>
              <w:t>Ashfield District Council Whole Plan Viability Assessment March 2023, Nationwide CIL Services.</w:t>
            </w:r>
          </w:p>
          <w:p w14:paraId="4D30A4EA" w14:textId="77777777" w:rsidR="00503B33" w:rsidRPr="009E34A6" w:rsidRDefault="00503B33" w:rsidP="00874A98">
            <w:pPr>
              <w:keepNext w:val="0"/>
              <w:numPr>
                <w:ilvl w:val="0"/>
                <w:numId w:val="93"/>
              </w:numPr>
              <w:spacing w:before="0" w:after="160" w:line="252" w:lineRule="auto"/>
              <w:contextualSpacing/>
              <w:rPr>
                <w:rFonts w:eastAsia="Calibri"/>
                <w:color w:val="auto"/>
                <w:sz w:val="20"/>
              </w:rPr>
            </w:pPr>
            <w:r w:rsidRPr="009E34A6">
              <w:rPr>
                <w:rFonts w:eastAsia="Calibri"/>
                <w:color w:val="auto"/>
                <w:sz w:val="20"/>
              </w:rPr>
              <w:t>Ashfield Affordable housing delivery strategy 2021 to 2023 including actions 2023 to 2025.</w:t>
            </w:r>
          </w:p>
          <w:p w14:paraId="5E3377E1" w14:textId="77777777" w:rsidR="00503B33" w:rsidRPr="009E34A6" w:rsidRDefault="00503B33" w:rsidP="00874A98">
            <w:pPr>
              <w:keepNext w:val="0"/>
              <w:numPr>
                <w:ilvl w:val="0"/>
                <w:numId w:val="93"/>
              </w:numPr>
              <w:spacing w:before="0" w:after="160" w:line="252" w:lineRule="auto"/>
              <w:contextualSpacing/>
              <w:jc w:val="both"/>
              <w:rPr>
                <w:rFonts w:eastAsia="Calibri"/>
                <w:color w:val="auto"/>
                <w:sz w:val="20"/>
              </w:rPr>
            </w:pPr>
            <w:r w:rsidRPr="009E34A6">
              <w:rPr>
                <w:rFonts w:eastAsia="Calibri"/>
                <w:color w:val="auto"/>
                <w:sz w:val="20"/>
              </w:rPr>
              <w:t>S</w:t>
            </w:r>
            <w:r w:rsidRPr="009E34A6">
              <w:rPr>
                <w:rFonts w:eastAsia="Arial"/>
                <w:color w:val="auto"/>
                <w:sz w:val="20"/>
              </w:rPr>
              <w:t>ustainability Appraisal, 2023. WSP UK Limited.</w:t>
            </w:r>
            <w:r w:rsidRPr="009E34A6">
              <w:rPr>
                <w:rFonts w:eastAsia="Arial"/>
                <w:color w:val="auto"/>
                <w:szCs w:val="24"/>
              </w:rPr>
              <w:t xml:space="preserve"> </w:t>
            </w:r>
          </w:p>
        </w:tc>
      </w:tr>
      <w:tr w:rsidR="00503B33" w:rsidRPr="00503B33" w14:paraId="3DAC6E03" w14:textId="77777777" w:rsidTr="00A44712">
        <w:trPr>
          <w:jc w:val="center"/>
        </w:trPr>
        <w:tc>
          <w:tcPr>
            <w:tcW w:w="2693" w:type="dxa"/>
          </w:tcPr>
          <w:p w14:paraId="223BE26C" w14:textId="77777777" w:rsidR="00503B33" w:rsidRPr="00503B33" w:rsidRDefault="00503B33" w:rsidP="00503B33">
            <w:pPr>
              <w:keepNext w:val="0"/>
              <w:tabs>
                <w:tab w:val="left" w:pos="680"/>
                <w:tab w:val="left" w:pos="1133"/>
                <w:tab w:val="left" w:pos="2267"/>
              </w:tabs>
              <w:spacing w:before="0"/>
              <w:ind w:right="284"/>
              <w:rPr>
                <w:rFonts w:eastAsia="Arial"/>
                <w:color w:val="auto"/>
                <w:sz w:val="22"/>
              </w:rPr>
            </w:pPr>
            <w:r w:rsidRPr="00503B33">
              <w:rPr>
                <w:rFonts w:eastAsia="Arial"/>
                <w:iCs/>
                <w:color w:val="auto"/>
                <w:sz w:val="20"/>
              </w:rPr>
              <w:t xml:space="preserve">National Planning Policy and Guidance </w:t>
            </w:r>
          </w:p>
        </w:tc>
        <w:tc>
          <w:tcPr>
            <w:tcW w:w="6379" w:type="dxa"/>
            <w:gridSpan w:val="2"/>
          </w:tcPr>
          <w:p w14:paraId="6E6A1AFB" w14:textId="7A4FA0F5" w:rsidR="00503B33" w:rsidRPr="009E34A6" w:rsidRDefault="00503B33" w:rsidP="00874A98">
            <w:pPr>
              <w:keepNext w:val="0"/>
              <w:numPr>
                <w:ilvl w:val="0"/>
                <w:numId w:val="94"/>
              </w:numPr>
              <w:spacing w:before="0"/>
              <w:contextualSpacing/>
              <w:rPr>
                <w:rFonts w:eastAsia="Calibri"/>
                <w:color w:val="auto"/>
                <w:sz w:val="20"/>
              </w:rPr>
            </w:pPr>
            <w:r w:rsidRPr="009E34A6">
              <w:rPr>
                <w:rFonts w:eastAsia="Calibri"/>
                <w:color w:val="auto"/>
                <w:sz w:val="20"/>
              </w:rPr>
              <w:t>NPPF 202</w:t>
            </w:r>
            <w:r w:rsidR="004173E0" w:rsidRPr="009E34A6">
              <w:rPr>
                <w:rFonts w:eastAsia="Calibri"/>
                <w:color w:val="auto"/>
                <w:sz w:val="20"/>
              </w:rPr>
              <w:t>3</w:t>
            </w:r>
            <w:r w:rsidRPr="009E34A6">
              <w:rPr>
                <w:rFonts w:eastAsia="Calibri"/>
                <w:color w:val="auto"/>
                <w:sz w:val="20"/>
              </w:rPr>
              <w:t>, Part 2: Achieving sustainable development.</w:t>
            </w:r>
          </w:p>
          <w:p w14:paraId="7799EF8A" w14:textId="0C12FF1D" w:rsidR="00503B33" w:rsidRPr="009E34A6" w:rsidRDefault="00503B33" w:rsidP="00874A98">
            <w:pPr>
              <w:keepNext w:val="0"/>
              <w:numPr>
                <w:ilvl w:val="0"/>
                <w:numId w:val="94"/>
              </w:numPr>
              <w:spacing w:before="0"/>
              <w:contextualSpacing/>
              <w:rPr>
                <w:rFonts w:eastAsia="Calibri"/>
                <w:color w:val="auto"/>
                <w:sz w:val="20"/>
              </w:rPr>
            </w:pPr>
            <w:r w:rsidRPr="009E34A6">
              <w:rPr>
                <w:rFonts w:eastAsia="Calibri"/>
                <w:color w:val="auto"/>
                <w:sz w:val="20"/>
              </w:rPr>
              <w:t>NPPF 202</w:t>
            </w:r>
            <w:r w:rsidR="004173E0" w:rsidRPr="009E34A6">
              <w:rPr>
                <w:rFonts w:eastAsia="Calibri"/>
                <w:color w:val="auto"/>
                <w:sz w:val="20"/>
              </w:rPr>
              <w:t>3</w:t>
            </w:r>
            <w:r w:rsidRPr="009E34A6">
              <w:rPr>
                <w:rFonts w:eastAsia="Calibri"/>
                <w:color w:val="auto"/>
                <w:sz w:val="20"/>
              </w:rPr>
              <w:t>, Part 5: Delivering a sufficient supply of homes.</w:t>
            </w:r>
          </w:p>
          <w:p w14:paraId="678771BF" w14:textId="77777777" w:rsidR="00503B33" w:rsidRPr="009E34A6" w:rsidRDefault="00503B33" w:rsidP="00874A98">
            <w:pPr>
              <w:keepNext w:val="0"/>
              <w:numPr>
                <w:ilvl w:val="0"/>
                <w:numId w:val="94"/>
              </w:numPr>
              <w:spacing w:before="0"/>
              <w:contextualSpacing/>
              <w:rPr>
                <w:rFonts w:eastAsia="Calibri"/>
                <w:color w:val="auto"/>
                <w:sz w:val="20"/>
              </w:rPr>
            </w:pPr>
            <w:r w:rsidRPr="009E34A6">
              <w:rPr>
                <w:rFonts w:eastAsia="Calibri"/>
                <w:color w:val="auto"/>
                <w:sz w:val="20"/>
              </w:rPr>
              <w:t>Planning Practice Guidance: First Homes as of December 2021.</w:t>
            </w:r>
          </w:p>
          <w:p w14:paraId="5223ACE3" w14:textId="77777777" w:rsidR="00503B33" w:rsidRPr="009E34A6" w:rsidRDefault="00503B33" w:rsidP="00874A98">
            <w:pPr>
              <w:keepNext w:val="0"/>
              <w:numPr>
                <w:ilvl w:val="0"/>
                <w:numId w:val="94"/>
              </w:numPr>
              <w:spacing w:before="0" w:after="160" w:line="252" w:lineRule="auto"/>
              <w:contextualSpacing/>
              <w:rPr>
                <w:rFonts w:eastAsia="Calibri"/>
                <w:color w:val="auto"/>
                <w:sz w:val="20"/>
              </w:rPr>
            </w:pPr>
            <w:r w:rsidRPr="009E34A6">
              <w:rPr>
                <w:rFonts w:eastAsia="Calibri"/>
                <w:color w:val="auto"/>
                <w:sz w:val="20"/>
              </w:rPr>
              <w:t xml:space="preserve">Planning Practice Guidance Housing and economic needs assessment as </w:t>
            </w:r>
            <w:proofErr w:type="gramStart"/>
            <w:r w:rsidRPr="009E34A6">
              <w:rPr>
                <w:rFonts w:eastAsia="Calibri"/>
                <w:color w:val="auto"/>
                <w:sz w:val="20"/>
              </w:rPr>
              <w:t>at</w:t>
            </w:r>
            <w:proofErr w:type="gramEnd"/>
            <w:r w:rsidRPr="009E34A6">
              <w:rPr>
                <w:rFonts w:eastAsia="Calibri"/>
                <w:color w:val="auto"/>
                <w:sz w:val="20"/>
              </w:rPr>
              <w:t xml:space="preserve"> December 2020.</w:t>
            </w:r>
          </w:p>
        </w:tc>
      </w:tr>
    </w:tbl>
    <w:p w14:paraId="1B0531FF" w14:textId="77777777" w:rsidR="00503B33" w:rsidRDefault="00503B33" w:rsidP="00503B33">
      <w:pPr>
        <w:keepNext w:val="0"/>
        <w:spacing w:before="0"/>
        <w:contextualSpacing/>
        <w:rPr>
          <w:rFonts w:cs="Arial"/>
          <w:color w:val="auto"/>
          <w:szCs w:val="24"/>
          <w:lang w:eastAsia="en-US"/>
        </w:rPr>
      </w:pPr>
    </w:p>
    <w:p w14:paraId="026AC859" w14:textId="77777777" w:rsidR="00E40772" w:rsidRPr="00503B33" w:rsidRDefault="00E40772" w:rsidP="00503B33">
      <w:pPr>
        <w:keepNext w:val="0"/>
        <w:spacing w:before="0"/>
        <w:contextualSpacing/>
        <w:rPr>
          <w:rFonts w:cs="Arial"/>
          <w:color w:val="auto"/>
          <w:szCs w:val="24"/>
          <w:lang w:eastAsia="en-US"/>
        </w:rPr>
      </w:pPr>
    </w:p>
    <w:bookmarkEnd w:id="232"/>
    <w:p w14:paraId="6739EE72" w14:textId="77777777" w:rsidR="00CE7909" w:rsidRPr="00CE7909" w:rsidRDefault="00CE790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CE7909">
        <w:rPr>
          <w:rFonts w:ascii="Arial" w:eastAsia="Arial" w:hAnsi="Arial" w:cs="Arial"/>
          <w:szCs w:val="24"/>
        </w:rPr>
        <w:t xml:space="preserve">The role of affordable housing is to meet local housing needs which are not being met by the market.  It </w:t>
      </w:r>
      <w:proofErr w:type="gramStart"/>
      <w:r w:rsidRPr="00CE7909">
        <w:rPr>
          <w:rFonts w:ascii="Arial" w:eastAsia="Arial" w:hAnsi="Arial" w:cs="Arial"/>
          <w:szCs w:val="24"/>
        </w:rPr>
        <w:t>is a reflection of</w:t>
      </w:r>
      <w:proofErr w:type="gramEnd"/>
      <w:r w:rsidRPr="00CE7909">
        <w:rPr>
          <w:rFonts w:ascii="Arial" w:eastAsia="Arial" w:hAnsi="Arial" w:cs="Arial"/>
          <w:szCs w:val="24"/>
        </w:rPr>
        <w:t xml:space="preserve"> the difference between local housing prices and household income.  New residential developments should provide for a proportion of affordable housing to contribute towards delivering a wide choice of </w:t>
      </w:r>
      <w:proofErr w:type="gramStart"/>
      <w:r w:rsidRPr="00CE7909">
        <w:rPr>
          <w:rFonts w:ascii="Arial" w:eastAsia="Arial" w:hAnsi="Arial" w:cs="Arial"/>
          <w:szCs w:val="24"/>
        </w:rPr>
        <w:t>high quality</w:t>
      </w:r>
      <w:proofErr w:type="gramEnd"/>
      <w:r w:rsidRPr="00CE7909">
        <w:rPr>
          <w:rFonts w:ascii="Arial" w:eastAsia="Arial" w:hAnsi="Arial" w:cs="Arial"/>
          <w:szCs w:val="24"/>
        </w:rPr>
        <w:t xml:space="preserve"> homes and create sustainable, inclusive and mixed communities.</w:t>
      </w:r>
    </w:p>
    <w:p w14:paraId="347D7464" w14:textId="77777777" w:rsidR="00CE7909" w:rsidRPr="00CE7909" w:rsidRDefault="00CE7909" w:rsidP="00CE7909">
      <w:pPr>
        <w:pStyle w:val="ListParagraph"/>
        <w:spacing w:after="0" w:line="240" w:lineRule="auto"/>
        <w:rPr>
          <w:rFonts w:ascii="Arial" w:eastAsia="Arial" w:hAnsi="Arial" w:cs="Arial"/>
          <w:szCs w:val="24"/>
        </w:rPr>
      </w:pPr>
    </w:p>
    <w:p w14:paraId="6BBABE61" w14:textId="54E5D576" w:rsidR="00CE7909" w:rsidRPr="00CE7909" w:rsidRDefault="00CE790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CE7909">
        <w:rPr>
          <w:rFonts w:ascii="Arial" w:eastAsia="Arial" w:hAnsi="Arial" w:cs="Arial"/>
          <w:szCs w:val="24"/>
        </w:rPr>
        <w:t>The N</w:t>
      </w:r>
      <w:r w:rsidR="00EF521C">
        <w:rPr>
          <w:rFonts w:ascii="Arial" w:eastAsia="Arial" w:hAnsi="Arial" w:cs="Arial"/>
          <w:szCs w:val="24"/>
        </w:rPr>
        <w:t>PPF</w:t>
      </w:r>
      <w:r w:rsidRPr="00CE7909">
        <w:rPr>
          <w:rFonts w:ascii="Arial" w:eastAsia="Arial" w:hAnsi="Arial" w:cs="Arial"/>
          <w:szCs w:val="24"/>
        </w:rPr>
        <w:t xml:space="preserve"> categorises affordable housing into four main </w:t>
      </w:r>
      <w:proofErr w:type="gramStart"/>
      <w:r w:rsidRPr="00CE7909">
        <w:rPr>
          <w:rFonts w:ascii="Arial" w:eastAsia="Arial" w:hAnsi="Arial" w:cs="Arial"/>
          <w:szCs w:val="24"/>
        </w:rPr>
        <w:t>types :</w:t>
      </w:r>
      <w:proofErr w:type="gramEnd"/>
      <w:r w:rsidRPr="00CE7909">
        <w:rPr>
          <w:rFonts w:ascii="Arial" w:eastAsia="Arial" w:hAnsi="Arial" w:cs="Arial"/>
          <w:szCs w:val="24"/>
        </w:rPr>
        <w:t xml:space="preserve"> </w:t>
      </w:r>
    </w:p>
    <w:p w14:paraId="76267E47" w14:textId="19B55418" w:rsidR="00CE7909" w:rsidRPr="00CE7909" w:rsidRDefault="00CE7909" w:rsidP="00CE7909">
      <w:pPr>
        <w:pStyle w:val="ListParagraph"/>
        <w:spacing w:after="0" w:line="240" w:lineRule="auto"/>
        <w:rPr>
          <w:rFonts w:ascii="Arial" w:eastAsia="Arial" w:hAnsi="Arial" w:cs="Arial"/>
          <w:szCs w:val="24"/>
        </w:rPr>
      </w:pPr>
    </w:p>
    <w:p w14:paraId="68364D07" w14:textId="0635F2DE" w:rsidR="00CE7909" w:rsidRPr="00CE7909" w:rsidRDefault="00CE7909" w:rsidP="00874A98">
      <w:pPr>
        <w:pStyle w:val="ListParagraph"/>
        <w:numPr>
          <w:ilvl w:val="0"/>
          <w:numId w:val="232"/>
        </w:numPr>
        <w:spacing w:after="0" w:line="240" w:lineRule="auto"/>
        <w:rPr>
          <w:rFonts w:ascii="Arial" w:eastAsia="Arial" w:hAnsi="Arial" w:cs="Arial"/>
          <w:szCs w:val="24"/>
        </w:rPr>
      </w:pPr>
      <w:r w:rsidRPr="00CE7909">
        <w:rPr>
          <w:rFonts w:ascii="Arial" w:eastAsia="Arial" w:hAnsi="Arial" w:cs="Arial"/>
          <w:szCs w:val="24"/>
        </w:rPr>
        <w:t xml:space="preserve">Affordable housing for rent: owned and managed by a Council or other Registered Provider which meet the criteria set out by the Government definition of affordable housing for rent.   This will include social rents and affordable rents.   </w:t>
      </w:r>
    </w:p>
    <w:p w14:paraId="5EB2E2A6" w14:textId="77777777" w:rsidR="00CE7909" w:rsidRPr="00CE7909" w:rsidRDefault="00CE7909" w:rsidP="00CE7909">
      <w:pPr>
        <w:pStyle w:val="ListParagraph"/>
        <w:spacing w:after="0" w:line="240" w:lineRule="auto"/>
        <w:ind w:left="1211"/>
        <w:rPr>
          <w:rFonts w:ascii="Arial" w:eastAsia="Arial" w:hAnsi="Arial" w:cs="Arial"/>
          <w:szCs w:val="24"/>
        </w:rPr>
      </w:pPr>
    </w:p>
    <w:p w14:paraId="0E0A885A" w14:textId="77777777" w:rsidR="00CE7909" w:rsidRPr="00CE7909" w:rsidRDefault="00CE7909" w:rsidP="00874A98">
      <w:pPr>
        <w:pStyle w:val="ListParagraph"/>
        <w:numPr>
          <w:ilvl w:val="0"/>
          <w:numId w:val="232"/>
        </w:numPr>
        <w:spacing w:after="0" w:line="240" w:lineRule="auto"/>
        <w:rPr>
          <w:rFonts w:ascii="Arial" w:eastAsia="Arial" w:hAnsi="Arial" w:cs="Arial"/>
          <w:szCs w:val="24"/>
        </w:rPr>
      </w:pPr>
      <w:r w:rsidRPr="00CE7909">
        <w:rPr>
          <w:rFonts w:ascii="Arial" w:eastAsia="Arial" w:hAnsi="Arial" w:cs="Arial"/>
          <w:szCs w:val="24"/>
        </w:rPr>
        <w:t xml:space="preserve">Starter homes: are defined by the Housing and Planning Act 2016.  They are new dwellings which are available for purchase by qualifying first-time buyers and are sold at a discount of at least 20% of the market value, subject to a price cap and with restrictions on sale or letting. </w:t>
      </w:r>
    </w:p>
    <w:p w14:paraId="451D909A" w14:textId="77777777" w:rsidR="00CE7909" w:rsidRPr="00CE7909" w:rsidRDefault="00CE7909" w:rsidP="00CE7909">
      <w:pPr>
        <w:pStyle w:val="ListParagraph"/>
        <w:spacing w:after="0" w:line="240" w:lineRule="auto"/>
        <w:rPr>
          <w:rFonts w:ascii="Arial" w:eastAsia="Arial" w:hAnsi="Arial" w:cs="Arial"/>
          <w:szCs w:val="24"/>
        </w:rPr>
      </w:pPr>
    </w:p>
    <w:p w14:paraId="549192C4" w14:textId="77777777" w:rsidR="00CE7909" w:rsidRPr="00CE7909" w:rsidRDefault="00CE7909" w:rsidP="00874A98">
      <w:pPr>
        <w:pStyle w:val="ListParagraph"/>
        <w:numPr>
          <w:ilvl w:val="0"/>
          <w:numId w:val="232"/>
        </w:numPr>
        <w:spacing w:after="0" w:line="240" w:lineRule="auto"/>
        <w:rPr>
          <w:rFonts w:ascii="Arial" w:eastAsia="Arial" w:hAnsi="Arial" w:cs="Arial"/>
          <w:szCs w:val="24"/>
        </w:rPr>
      </w:pPr>
      <w:r w:rsidRPr="00CE7909">
        <w:rPr>
          <w:rFonts w:ascii="Arial" w:eastAsia="Arial" w:hAnsi="Arial" w:cs="Arial"/>
          <w:szCs w:val="24"/>
        </w:rPr>
        <w:t>Discounted market sales: housing which is sold at a discount of at least 20% below local market value with eligibility determined by local incomes and house prices and with provisions to ensure housing remains at a discount for future eligible households.</w:t>
      </w:r>
    </w:p>
    <w:p w14:paraId="6FB8559F" w14:textId="77777777" w:rsidR="00CE7909" w:rsidRPr="00CE7909" w:rsidRDefault="00CE7909" w:rsidP="00CE7909">
      <w:pPr>
        <w:pStyle w:val="ListParagraph"/>
        <w:spacing w:after="0" w:line="240" w:lineRule="auto"/>
        <w:rPr>
          <w:rFonts w:ascii="Arial" w:eastAsia="Arial" w:hAnsi="Arial" w:cs="Arial"/>
          <w:szCs w:val="24"/>
        </w:rPr>
      </w:pPr>
    </w:p>
    <w:p w14:paraId="5C67E480" w14:textId="08739115" w:rsidR="00CE7909" w:rsidRPr="007966F9" w:rsidRDefault="00CE7909" w:rsidP="00874A98">
      <w:pPr>
        <w:pStyle w:val="ListParagraph"/>
        <w:numPr>
          <w:ilvl w:val="0"/>
          <w:numId w:val="232"/>
        </w:numPr>
        <w:spacing w:after="0" w:line="240" w:lineRule="auto"/>
        <w:rPr>
          <w:rFonts w:ascii="Arial" w:eastAsia="Arial" w:hAnsi="Arial" w:cs="Arial"/>
          <w:color w:val="0070C0"/>
          <w:szCs w:val="24"/>
        </w:rPr>
      </w:pPr>
      <w:r w:rsidRPr="00CE7909">
        <w:rPr>
          <w:rFonts w:ascii="Arial" w:eastAsia="Arial" w:hAnsi="Arial" w:cs="Arial"/>
          <w:szCs w:val="24"/>
        </w:rPr>
        <w:t xml:space="preserve">Other affordable routes to home ownership: for those who could not achieve home ownership through the market including shared ownership, equity loans, </w:t>
      </w:r>
      <w:proofErr w:type="gramStart"/>
      <w:r w:rsidRPr="00CE7909">
        <w:rPr>
          <w:rFonts w:ascii="Arial" w:eastAsia="Arial" w:hAnsi="Arial" w:cs="Arial"/>
          <w:szCs w:val="24"/>
        </w:rPr>
        <w:t>low cost</w:t>
      </w:r>
      <w:proofErr w:type="gramEnd"/>
      <w:r w:rsidRPr="00CE7909">
        <w:rPr>
          <w:rFonts w:ascii="Arial" w:eastAsia="Arial" w:hAnsi="Arial" w:cs="Arial"/>
          <w:szCs w:val="24"/>
        </w:rPr>
        <w:t xml:space="preserve"> homes for sale and rent to buy.</w:t>
      </w:r>
    </w:p>
    <w:p w14:paraId="7DCE91D0" w14:textId="77777777" w:rsidR="00CE7909" w:rsidRPr="007966F9" w:rsidRDefault="00CE7909" w:rsidP="00CE7909">
      <w:pPr>
        <w:pStyle w:val="ListParagraph"/>
        <w:spacing w:after="0" w:line="240" w:lineRule="auto"/>
        <w:rPr>
          <w:rFonts w:ascii="Arial" w:eastAsia="Arial" w:hAnsi="Arial" w:cs="Arial"/>
          <w:color w:val="0070C0"/>
          <w:szCs w:val="24"/>
        </w:rPr>
      </w:pPr>
    </w:p>
    <w:p w14:paraId="2055AC1D" w14:textId="50717024" w:rsidR="007966F9" w:rsidRPr="009E34A6" w:rsidRDefault="007966F9" w:rsidP="00874A98">
      <w:pPr>
        <w:pStyle w:val="ListParagraph"/>
        <w:numPr>
          <w:ilvl w:val="1"/>
          <w:numId w:val="92"/>
        </w:numPr>
        <w:autoSpaceDE w:val="0"/>
        <w:autoSpaceDN w:val="0"/>
        <w:adjustRightInd w:val="0"/>
        <w:spacing w:after="0" w:line="240" w:lineRule="auto"/>
        <w:ind w:left="851" w:hanging="851"/>
        <w:rPr>
          <w:rFonts w:ascii="Arial" w:eastAsia="Arial" w:hAnsi="Arial" w:cs="Arial"/>
          <w:color w:val="auto"/>
          <w:szCs w:val="24"/>
          <w:lang w:eastAsia="en-GB"/>
        </w:rPr>
      </w:pPr>
      <w:r w:rsidRPr="009E34A6">
        <w:rPr>
          <w:rFonts w:ascii="Arial" w:eastAsia="Arial" w:hAnsi="Arial" w:cs="Arial"/>
          <w:color w:val="auto"/>
          <w:szCs w:val="24"/>
        </w:rPr>
        <w:t xml:space="preserve">The government’s preferred form of discounted market sale housing (category c) is First Homes. First Homes are a specific kind of discounted market sale housing which are discounted by a minimum of 30% against the market value, sold to a person or persons meeting the First Homes eligibility criteria set out in the Planning Practice Guidance and cost no more than £250,000 (outside Greater London). This discount (30%) will apply to any subsequent sales of the property. Under national planning guidance, councils will be required to ensure that at least 25% of all affordable homes delivered through developer contributions will be First Homes. However, the NPPF in paragraph 65 identifies </w:t>
      </w:r>
      <w:bookmarkStart w:id="233" w:name="_Hlk139536785"/>
      <w:r w:rsidRPr="009E34A6">
        <w:rPr>
          <w:rFonts w:ascii="Arial" w:eastAsia="Arial" w:hAnsi="Arial" w:cs="Arial"/>
          <w:color w:val="auto"/>
          <w:szCs w:val="24"/>
        </w:rPr>
        <w:t xml:space="preserve">that at least 10% of all homes delivered on major development sites should be </w:t>
      </w:r>
      <w:r w:rsidRPr="009E34A6">
        <w:rPr>
          <w:rFonts w:ascii="Arial" w:eastAsia="Arial" w:hAnsi="Arial" w:cs="Arial"/>
          <w:i/>
          <w:iCs/>
          <w:color w:val="auto"/>
          <w:szCs w:val="24"/>
        </w:rPr>
        <w:t>“available for affordable home ownership, unless this would exceed the level of affordable housing required in the area, or significantly prejudice the ability to meet the identified affordable housing needs of specific groups.”</w:t>
      </w:r>
    </w:p>
    <w:bookmarkEnd w:id="233"/>
    <w:p w14:paraId="40FD3A96" w14:textId="77777777" w:rsidR="007966F9" w:rsidRPr="007966F9" w:rsidRDefault="007966F9" w:rsidP="007966F9">
      <w:pPr>
        <w:pStyle w:val="ListParagraph"/>
        <w:autoSpaceDE w:val="0"/>
        <w:autoSpaceDN w:val="0"/>
        <w:adjustRightInd w:val="0"/>
        <w:spacing w:after="0" w:line="240" w:lineRule="auto"/>
        <w:ind w:left="851"/>
        <w:rPr>
          <w:rFonts w:ascii="Arial" w:eastAsia="Arial" w:hAnsi="Arial" w:cs="Arial"/>
          <w:color w:val="0070C0"/>
          <w:szCs w:val="24"/>
          <w:lang w:eastAsia="en-GB"/>
        </w:rPr>
      </w:pPr>
    </w:p>
    <w:p w14:paraId="7EBAAD9E" w14:textId="5AC80F7E" w:rsidR="00CE7909" w:rsidRPr="007966F9" w:rsidRDefault="00CE790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7966F9">
        <w:rPr>
          <w:rFonts w:ascii="Arial" w:eastAsia="Arial" w:hAnsi="Arial" w:cs="Arial"/>
          <w:color w:val="auto"/>
          <w:szCs w:val="24"/>
        </w:rPr>
        <w:t xml:space="preserve">The Iceni Housing Need </w:t>
      </w:r>
      <w:proofErr w:type="gramStart"/>
      <w:r w:rsidRPr="007966F9">
        <w:rPr>
          <w:rFonts w:ascii="Arial" w:eastAsia="Arial" w:hAnsi="Arial" w:cs="Arial"/>
          <w:color w:val="auto"/>
          <w:szCs w:val="24"/>
        </w:rPr>
        <w:t>Assessment  identified</w:t>
      </w:r>
      <w:proofErr w:type="gramEnd"/>
      <w:r w:rsidRPr="007966F9">
        <w:rPr>
          <w:rFonts w:ascii="Arial" w:eastAsia="Arial" w:hAnsi="Arial" w:cs="Arial"/>
          <w:color w:val="auto"/>
          <w:szCs w:val="24"/>
        </w:rPr>
        <w:t xml:space="preserve"> </w:t>
      </w:r>
      <w:r w:rsidRPr="007966F9">
        <w:rPr>
          <w:rFonts w:ascii="Arial" w:eastAsia="Arial" w:hAnsi="Arial" w:cs="Arial"/>
          <w:szCs w:val="24"/>
        </w:rPr>
        <w:t xml:space="preserve">a need in Ashfield for rented accommodation of 237 dwellings per annum.  It is also indicated that social rents will be affordable to a greater proportion of households than affordable rents, although some households claiming benefits will be able to access an affordable </w:t>
      </w:r>
      <w:r w:rsidRPr="007966F9">
        <w:rPr>
          <w:rFonts w:ascii="Arial" w:eastAsia="Arial" w:hAnsi="Arial" w:cs="Arial"/>
          <w:szCs w:val="24"/>
        </w:rPr>
        <w:lastRenderedPageBreak/>
        <w:t xml:space="preserve">rent </w:t>
      </w:r>
      <w:proofErr w:type="gramStart"/>
      <w:r w:rsidRPr="007966F9">
        <w:rPr>
          <w:rFonts w:ascii="Arial" w:eastAsia="Arial" w:hAnsi="Arial" w:cs="Arial"/>
          <w:szCs w:val="24"/>
        </w:rPr>
        <w:t>as long as</w:t>
      </w:r>
      <w:proofErr w:type="gramEnd"/>
      <w:r w:rsidRPr="007966F9">
        <w:rPr>
          <w:rFonts w:ascii="Arial" w:eastAsia="Arial" w:hAnsi="Arial" w:cs="Arial"/>
          <w:szCs w:val="24"/>
        </w:rPr>
        <w:t xml:space="preserve"> the rent is fully covered by Housing Benefit. Low income working households are likely to benefit most from a social rent.</w:t>
      </w:r>
    </w:p>
    <w:p w14:paraId="70682618" w14:textId="77777777" w:rsidR="00CE7909" w:rsidRPr="007966F9" w:rsidRDefault="00CE7909" w:rsidP="00CE7909">
      <w:pPr>
        <w:pStyle w:val="ListParagraph"/>
        <w:autoSpaceDE w:val="0"/>
        <w:autoSpaceDN w:val="0"/>
        <w:adjustRightInd w:val="0"/>
        <w:spacing w:after="0" w:line="240" w:lineRule="auto"/>
        <w:ind w:left="851"/>
        <w:rPr>
          <w:rFonts w:ascii="Arial" w:eastAsia="Arial" w:hAnsi="Arial" w:cs="Arial"/>
          <w:szCs w:val="24"/>
          <w:lang w:eastAsia="en-GB"/>
        </w:rPr>
      </w:pPr>
    </w:p>
    <w:p w14:paraId="4BFCBC20" w14:textId="6DD2D7FF" w:rsidR="007966F9" w:rsidRPr="009E34A6" w:rsidRDefault="007966F9" w:rsidP="00874A98">
      <w:pPr>
        <w:pStyle w:val="ListParagraph"/>
        <w:numPr>
          <w:ilvl w:val="1"/>
          <w:numId w:val="92"/>
        </w:numPr>
        <w:autoSpaceDE w:val="0"/>
        <w:autoSpaceDN w:val="0"/>
        <w:adjustRightInd w:val="0"/>
        <w:spacing w:after="0" w:line="240" w:lineRule="auto"/>
        <w:ind w:left="851" w:hanging="851"/>
        <w:rPr>
          <w:rFonts w:ascii="Arial" w:eastAsia="Arial" w:hAnsi="Arial" w:cs="Arial"/>
          <w:color w:val="auto"/>
          <w:szCs w:val="24"/>
          <w:lang w:eastAsia="en-GB"/>
        </w:rPr>
      </w:pPr>
      <w:r w:rsidRPr="007966F9">
        <w:rPr>
          <w:rFonts w:ascii="Arial" w:eastAsia="Arial" w:hAnsi="Arial" w:cs="Arial"/>
          <w:color w:val="000000"/>
          <w:szCs w:val="24"/>
        </w:rPr>
        <w:t xml:space="preserve">In relation to owner occupation the analysis identifies that there are households in Ashfield who are being excluded from this sector. However, the </w:t>
      </w:r>
      <w:r w:rsidRPr="009E34A6">
        <w:rPr>
          <w:rFonts w:ascii="Arial" w:eastAsia="Arial" w:hAnsi="Arial" w:cs="Arial"/>
          <w:color w:val="auto"/>
          <w:szCs w:val="24"/>
        </w:rPr>
        <w:t xml:space="preserve">analysis identified that a key issue is access to capital (e.g. for deposits, stamp duty, legal costs) as well as potentially mortgage restrictions (e.g. where employment is temporary) rather than simply the cost of housing to buy. Therefore, it recommends that if affordable home ownership is provided shared </w:t>
      </w:r>
      <w:proofErr w:type="gramStart"/>
      <w:r w:rsidRPr="009E34A6">
        <w:rPr>
          <w:rFonts w:ascii="Arial" w:eastAsia="Arial" w:hAnsi="Arial" w:cs="Arial"/>
          <w:color w:val="auto"/>
          <w:szCs w:val="24"/>
        </w:rPr>
        <w:t>ownership</w:t>
      </w:r>
      <w:proofErr w:type="gramEnd"/>
      <w:r w:rsidRPr="009E34A6">
        <w:rPr>
          <w:rFonts w:ascii="Arial" w:eastAsia="Arial" w:hAnsi="Arial" w:cs="Arial"/>
          <w:color w:val="auto"/>
          <w:szCs w:val="24"/>
        </w:rPr>
        <w:t xml:space="preserve"> is the most appropriate option. This is due to the lower deposit requirements and lower overall costs (given that the rent would also be subsidised). In these circumstances, the Council considers that the provision First Homes would significantly prejudice the ability of local people to meet their housing needs and an emphasis is place</w:t>
      </w:r>
      <w:r w:rsidR="00AB4715">
        <w:rPr>
          <w:rFonts w:ascii="Arial" w:eastAsia="Arial" w:hAnsi="Arial" w:cs="Arial"/>
          <w:color w:val="auto"/>
          <w:szCs w:val="24"/>
        </w:rPr>
        <w:t>d</w:t>
      </w:r>
      <w:r w:rsidRPr="009E34A6">
        <w:rPr>
          <w:rFonts w:ascii="Arial" w:eastAsia="Arial" w:hAnsi="Arial" w:cs="Arial"/>
          <w:color w:val="auto"/>
          <w:szCs w:val="24"/>
        </w:rPr>
        <w:t xml:space="preserve"> on share ownership rather than First Homes. </w:t>
      </w:r>
    </w:p>
    <w:p w14:paraId="39C9FE34" w14:textId="77777777" w:rsidR="007966F9" w:rsidRPr="007966F9" w:rsidRDefault="007966F9" w:rsidP="007966F9">
      <w:pPr>
        <w:pStyle w:val="ListParagraph"/>
        <w:rPr>
          <w:rFonts w:ascii="Arial" w:eastAsia="Arial" w:hAnsi="Arial" w:cs="Arial"/>
          <w:strike/>
          <w:color w:val="000000"/>
          <w:szCs w:val="24"/>
        </w:rPr>
      </w:pPr>
    </w:p>
    <w:p w14:paraId="0AFA257C" w14:textId="27D582D9" w:rsidR="007966F9" w:rsidRPr="009E34A6" w:rsidRDefault="007966F9" w:rsidP="00874A98">
      <w:pPr>
        <w:pStyle w:val="ListParagraph"/>
        <w:numPr>
          <w:ilvl w:val="1"/>
          <w:numId w:val="92"/>
        </w:numPr>
        <w:autoSpaceDE w:val="0"/>
        <w:autoSpaceDN w:val="0"/>
        <w:adjustRightInd w:val="0"/>
        <w:spacing w:after="0" w:line="240" w:lineRule="auto"/>
        <w:ind w:left="851" w:hanging="851"/>
        <w:rPr>
          <w:rFonts w:ascii="Arial" w:eastAsia="Arial" w:hAnsi="Arial" w:cs="Arial"/>
          <w:color w:val="auto"/>
          <w:szCs w:val="24"/>
        </w:rPr>
      </w:pPr>
      <w:bookmarkStart w:id="234" w:name="_Hlk141439378"/>
      <w:r w:rsidRPr="00137673">
        <w:rPr>
          <w:rFonts w:ascii="Arial" w:eastAsia="Arial" w:hAnsi="Arial" w:cs="Arial"/>
          <w:color w:val="000000"/>
          <w:szCs w:val="24"/>
        </w:rPr>
        <w:t xml:space="preserve">What can be provided through private sector development is related to viability and </w:t>
      </w:r>
      <w:r w:rsidRPr="009E34A6">
        <w:rPr>
          <w:rFonts w:ascii="Arial" w:eastAsia="Arial" w:hAnsi="Arial" w:cs="Arial"/>
          <w:color w:val="auto"/>
          <w:szCs w:val="24"/>
        </w:rPr>
        <w:t>the demand for other infrastructure requirements. The current policy is informed by evidence from the Housing Need Study and the Whole Plan Viability Assessment, March 2023. After considering various levels of contributions towards infrastructure, the Assessment recommends that affordable housing on greenfield sites of 25% and brownfield sites of 10%</w:t>
      </w:r>
      <w:r w:rsidR="00137673" w:rsidRPr="009E34A6">
        <w:rPr>
          <w:rFonts w:ascii="Arial" w:eastAsia="Arial" w:hAnsi="Arial" w:cs="Arial"/>
          <w:color w:val="auto"/>
          <w:szCs w:val="24"/>
        </w:rPr>
        <w:t>,</w:t>
      </w:r>
      <w:r w:rsidR="00137673" w:rsidRPr="009E34A6">
        <w:rPr>
          <w:color w:val="auto"/>
        </w:rPr>
        <w:t xml:space="preserve"> </w:t>
      </w:r>
      <w:r w:rsidR="00137673" w:rsidRPr="009E34A6">
        <w:rPr>
          <w:rFonts w:ascii="Arial" w:eastAsia="Arial" w:hAnsi="Arial" w:cs="Arial"/>
          <w:color w:val="auto"/>
          <w:szCs w:val="24"/>
        </w:rPr>
        <w:t xml:space="preserve">should be taken forward for the whole of the </w:t>
      </w:r>
      <w:proofErr w:type="gramStart"/>
      <w:r w:rsidR="00137673" w:rsidRPr="009E34A6">
        <w:rPr>
          <w:rFonts w:ascii="Arial" w:eastAsia="Arial" w:hAnsi="Arial" w:cs="Arial"/>
          <w:color w:val="auto"/>
          <w:szCs w:val="24"/>
        </w:rPr>
        <w:t>District</w:t>
      </w:r>
      <w:proofErr w:type="gramEnd"/>
      <w:r w:rsidR="00A8235C" w:rsidRPr="009E34A6">
        <w:rPr>
          <w:rFonts w:ascii="Arial" w:eastAsia="Arial" w:hAnsi="Arial" w:cs="Arial"/>
          <w:color w:val="auto"/>
          <w:szCs w:val="24"/>
        </w:rPr>
        <w:t xml:space="preserve">. </w:t>
      </w:r>
      <w:r w:rsidR="00137673" w:rsidRPr="009E34A6">
        <w:rPr>
          <w:rFonts w:ascii="Arial" w:eastAsia="Arial" w:hAnsi="Arial" w:cs="Arial"/>
          <w:color w:val="auto"/>
          <w:szCs w:val="24"/>
        </w:rPr>
        <w:t xml:space="preserve">This is based on a </w:t>
      </w:r>
      <w:r w:rsidRPr="009E34A6">
        <w:rPr>
          <w:rFonts w:ascii="Arial" w:eastAsia="Arial" w:hAnsi="Arial" w:cs="Arial"/>
          <w:color w:val="auto"/>
          <w:szCs w:val="24"/>
        </w:rPr>
        <w:t>tenure mix of 25% low-cost homes, 25% social rents and 50% affordable rents</w:t>
      </w:r>
      <w:r w:rsidR="00137673" w:rsidRPr="009E34A6">
        <w:rPr>
          <w:rFonts w:ascii="Arial" w:eastAsia="Arial" w:hAnsi="Arial" w:cs="Arial"/>
          <w:color w:val="auto"/>
          <w:szCs w:val="24"/>
        </w:rPr>
        <w:t xml:space="preserve"> and the contribution towards the provision of infrastructure set out in the Assessmen</w:t>
      </w:r>
      <w:r w:rsidR="00A8235C" w:rsidRPr="009E34A6">
        <w:rPr>
          <w:rFonts w:ascii="Arial" w:eastAsia="Arial" w:hAnsi="Arial" w:cs="Arial"/>
          <w:color w:val="auto"/>
          <w:szCs w:val="24"/>
        </w:rPr>
        <w:t>t</w:t>
      </w:r>
      <w:r w:rsidRPr="009E34A6">
        <w:rPr>
          <w:rFonts w:ascii="Arial" w:eastAsia="Arial" w:hAnsi="Arial" w:cs="Arial"/>
          <w:color w:val="auto"/>
          <w:szCs w:val="24"/>
        </w:rPr>
        <w:t xml:space="preserve">. </w:t>
      </w:r>
      <w:r w:rsidR="00137673" w:rsidRPr="009E34A6">
        <w:rPr>
          <w:rFonts w:ascii="Arial" w:eastAsia="Arial" w:hAnsi="Arial" w:cs="Arial"/>
          <w:color w:val="auto"/>
          <w:szCs w:val="24"/>
        </w:rPr>
        <w:t xml:space="preserve">The proposed affordable housing requirements reflect a minimum figure </w:t>
      </w:r>
      <w:r w:rsidR="00A8235C" w:rsidRPr="009E34A6">
        <w:rPr>
          <w:rFonts w:ascii="Arial" w:eastAsia="Arial" w:hAnsi="Arial" w:cs="Arial"/>
          <w:color w:val="auto"/>
          <w:szCs w:val="24"/>
        </w:rPr>
        <w:t>as, dependent on the tenure mix or infrastructure contributions, a higher level of affordable housing may be achievable to meet local needs</w:t>
      </w:r>
      <w:r w:rsidR="00137673" w:rsidRPr="009E34A6">
        <w:rPr>
          <w:rFonts w:ascii="Arial" w:eastAsia="Arial" w:hAnsi="Arial" w:cs="Arial"/>
          <w:color w:val="auto"/>
          <w:szCs w:val="24"/>
        </w:rPr>
        <w:t>.</w:t>
      </w:r>
    </w:p>
    <w:bookmarkEnd w:id="234"/>
    <w:p w14:paraId="397CBA93" w14:textId="77777777" w:rsidR="007966F9" w:rsidRPr="005144F2" w:rsidRDefault="007966F9" w:rsidP="00137673">
      <w:pPr>
        <w:autoSpaceDE w:val="0"/>
        <w:autoSpaceDN w:val="0"/>
        <w:adjustRightInd w:val="0"/>
        <w:spacing w:before="0"/>
        <w:ind w:left="851"/>
        <w:contextualSpacing/>
        <w:rPr>
          <w:rFonts w:eastAsia="Arial" w:cs="Arial"/>
          <w:color w:val="000000"/>
          <w:szCs w:val="24"/>
        </w:rPr>
      </w:pPr>
    </w:p>
    <w:p w14:paraId="010E598C" w14:textId="77777777" w:rsidR="007966F9" w:rsidRPr="005144F2" w:rsidRDefault="007966F9" w:rsidP="00874A98">
      <w:pPr>
        <w:numPr>
          <w:ilvl w:val="1"/>
          <w:numId w:val="92"/>
        </w:numPr>
        <w:autoSpaceDE w:val="0"/>
        <w:autoSpaceDN w:val="0"/>
        <w:adjustRightInd w:val="0"/>
        <w:spacing w:before="0"/>
        <w:ind w:left="851" w:hanging="851"/>
        <w:contextualSpacing/>
        <w:rPr>
          <w:rFonts w:eastAsia="Arial" w:cs="Arial"/>
          <w:color w:val="000000"/>
          <w:szCs w:val="24"/>
        </w:rPr>
      </w:pPr>
      <w:r w:rsidRPr="005144F2">
        <w:rPr>
          <w:rFonts w:eastAsia="Arial" w:cs="Arial"/>
          <w:color w:val="000000"/>
          <w:szCs w:val="24"/>
          <w:lang w:eastAsia="en-US"/>
        </w:rPr>
        <w:t xml:space="preserve">Affordable housing should be provided on site as part of sustainable and mixed communities. It should be distributed in an appropriate manner within any development and should avoid an over-concentration in one part of the site, i.e. it should be ‘pepper-potted’ throughout the development and be indistinguishable from the market housing. </w:t>
      </w:r>
    </w:p>
    <w:p w14:paraId="1E8DEF8E" w14:textId="77777777" w:rsidR="007966F9" w:rsidRPr="005144F2" w:rsidRDefault="007966F9" w:rsidP="007966F9">
      <w:pPr>
        <w:ind w:left="720"/>
        <w:contextualSpacing/>
        <w:rPr>
          <w:rFonts w:eastAsia="Arial" w:cs="Arial"/>
          <w:color w:val="000000"/>
          <w:szCs w:val="24"/>
          <w:lang w:eastAsia="en-US"/>
        </w:rPr>
      </w:pPr>
    </w:p>
    <w:p w14:paraId="462BEE0F" w14:textId="3599F9A1" w:rsidR="007966F9" w:rsidRPr="005144F2" w:rsidRDefault="007966F9" w:rsidP="00874A98">
      <w:pPr>
        <w:numPr>
          <w:ilvl w:val="1"/>
          <w:numId w:val="92"/>
        </w:numPr>
        <w:autoSpaceDE w:val="0"/>
        <w:autoSpaceDN w:val="0"/>
        <w:adjustRightInd w:val="0"/>
        <w:ind w:left="851" w:hanging="851"/>
        <w:contextualSpacing/>
        <w:rPr>
          <w:rFonts w:eastAsia="Arial" w:cs="Arial"/>
          <w:color w:val="000000"/>
          <w:szCs w:val="24"/>
        </w:rPr>
      </w:pPr>
      <w:r w:rsidRPr="005144F2">
        <w:rPr>
          <w:rFonts w:eastAsia="Arial" w:cs="Arial"/>
          <w:color w:val="000000"/>
          <w:szCs w:val="24"/>
          <w:lang w:eastAsia="en-US"/>
        </w:rPr>
        <w:t>Under exception circumstances, the Council will consider alternative options</w:t>
      </w:r>
      <w:r w:rsidRPr="005144F2">
        <w:rPr>
          <w:rFonts w:eastAsia="Arial" w:cs="Arial"/>
          <w:color w:val="000000"/>
          <w:szCs w:val="24"/>
          <w:vertAlign w:val="superscript"/>
          <w:lang w:eastAsia="en-US"/>
        </w:rPr>
        <w:footnoteReference w:id="92"/>
      </w:r>
      <w:r w:rsidRPr="005144F2">
        <w:rPr>
          <w:rFonts w:eastAsia="Arial" w:cs="Arial"/>
          <w:color w:val="000000"/>
          <w:szCs w:val="24"/>
          <w:lang w:eastAsia="en-US"/>
        </w:rPr>
        <w:t>. In some instances, off site provision or a financial contribution in lieu of provision may be justifiable or will be preferable, for example to enable the Council to tackle an empty homes problem, or where provision would not result in mixed sustainable communities. This will be of a</w:t>
      </w:r>
      <w:r w:rsidR="009E34A6">
        <w:rPr>
          <w:rFonts w:eastAsia="Arial" w:cs="Arial"/>
          <w:color w:val="000000"/>
          <w:szCs w:val="24"/>
          <w:lang w:eastAsia="en-US"/>
        </w:rPr>
        <w:t>n</w:t>
      </w:r>
      <w:r w:rsidRPr="005144F2">
        <w:rPr>
          <w:rFonts w:eastAsia="Arial" w:cs="Arial"/>
          <w:color w:val="000000"/>
          <w:szCs w:val="24"/>
          <w:lang w:eastAsia="en-US"/>
        </w:rPr>
        <w:t xml:space="preserve"> equivalent value to a viable provision made on-site. </w:t>
      </w:r>
    </w:p>
    <w:p w14:paraId="1E5881C4" w14:textId="77777777" w:rsidR="007966F9" w:rsidRPr="005144F2" w:rsidRDefault="007966F9" w:rsidP="007966F9">
      <w:pPr>
        <w:ind w:left="720"/>
        <w:contextualSpacing/>
        <w:rPr>
          <w:rFonts w:eastAsia="Arial" w:cs="Arial"/>
          <w:color w:val="000000"/>
          <w:szCs w:val="24"/>
          <w:lang w:eastAsia="en-US"/>
        </w:rPr>
      </w:pPr>
    </w:p>
    <w:p w14:paraId="447702EF" w14:textId="77777777" w:rsidR="007966F9" w:rsidRPr="005144F2" w:rsidRDefault="007966F9" w:rsidP="00874A98">
      <w:pPr>
        <w:numPr>
          <w:ilvl w:val="1"/>
          <w:numId w:val="92"/>
        </w:numPr>
        <w:autoSpaceDE w:val="0"/>
        <w:autoSpaceDN w:val="0"/>
        <w:adjustRightInd w:val="0"/>
        <w:ind w:left="851" w:hanging="851"/>
        <w:contextualSpacing/>
        <w:rPr>
          <w:rFonts w:eastAsia="Arial" w:cs="Arial"/>
          <w:color w:val="000000"/>
          <w:szCs w:val="24"/>
        </w:rPr>
      </w:pPr>
      <w:r w:rsidRPr="005144F2">
        <w:rPr>
          <w:rFonts w:eastAsia="Arial" w:cs="Arial"/>
          <w:color w:val="000000"/>
          <w:szCs w:val="24"/>
          <w:lang w:eastAsia="en-US"/>
        </w:rPr>
        <w:t xml:space="preserve">The Council will seek to ensure that any affordable housing provision (excluding Starter Homes) will remain at an affordable price and be occupied in perpetuity by those in need of affordable housing. In imposing occupancy controls the Council will use planning agreements/ conditions setting out clear eligibility criteria for </w:t>
      </w:r>
      <w:r w:rsidRPr="005144F2">
        <w:rPr>
          <w:rFonts w:eastAsia="Arial" w:cs="Arial"/>
          <w:color w:val="000000"/>
          <w:szCs w:val="24"/>
          <w:lang w:eastAsia="en-US"/>
        </w:rPr>
        <w:lastRenderedPageBreak/>
        <w:t>potential occupants. In any circumstance where this may become impractical, the subsidy will be recycled for alternative affordable housing provision.</w:t>
      </w:r>
    </w:p>
    <w:p w14:paraId="24B876A6" w14:textId="77777777" w:rsidR="007966F9" w:rsidRPr="005144F2" w:rsidRDefault="007966F9" w:rsidP="007966F9">
      <w:pPr>
        <w:ind w:left="720"/>
        <w:contextualSpacing/>
        <w:rPr>
          <w:rFonts w:eastAsia="Arial" w:cs="Arial"/>
          <w:color w:val="000000"/>
          <w:szCs w:val="24"/>
          <w:lang w:eastAsia="en-US"/>
        </w:rPr>
      </w:pPr>
    </w:p>
    <w:p w14:paraId="53AC8064" w14:textId="77777777" w:rsidR="007966F9" w:rsidRPr="005144F2" w:rsidRDefault="007966F9" w:rsidP="00874A98">
      <w:pPr>
        <w:numPr>
          <w:ilvl w:val="1"/>
          <w:numId w:val="92"/>
        </w:numPr>
        <w:autoSpaceDE w:val="0"/>
        <w:autoSpaceDN w:val="0"/>
        <w:adjustRightInd w:val="0"/>
        <w:ind w:left="851" w:hanging="851"/>
        <w:contextualSpacing/>
        <w:rPr>
          <w:rFonts w:eastAsia="Arial" w:cs="Arial"/>
          <w:color w:val="000000"/>
          <w:szCs w:val="24"/>
        </w:rPr>
      </w:pPr>
      <w:r w:rsidRPr="005144F2">
        <w:rPr>
          <w:rFonts w:eastAsia="Arial" w:cs="Arial"/>
          <w:color w:val="000000"/>
          <w:szCs w:val="24"/>
          <w:lang w:eastAsia="en-US"/>
        </w:rPr>
        <w:t>Where a developer considers a site is financially unviable, the applicant will be required to provide a viability appraisal in accordance with Policy SD6 and Planning Practice Guidance on Viability.</w:t>
      </w:r>
    </w:p>
    <w:p w14:paraId="1BC65E1D" w14:textId="77777777" w:rsidR="007966F9" w:rsidRPr="005144F2" w:rsidRDefault="007966F9" w:rsidP="007966F9">
      <w:pPr>
        <w:ind w:left="720"/>
        <w:contextualSpacing/>
        <w:rPr>
          <w:rFonts w:eastAsia="Arial" w:cs="Arial"/>
          <w:color w:val="000000"/>
          <w:szCs w:val="24"/>
          <w:lang w:eastAsia="en-US"/>
        </w:rPr>
      </w:pPr>
    </w:p>
    <w:p w14:paraId="24153396" w14:textId="72A4F760" w:rsidR="007966F9" w:rsidRPr="005144F2" w:rsidRDefault="007966F9" w:rsidP="00874A98">
      <w:pPr>
        <w:numPr>
          <w:ilvl w:val="1"/>
          <w:numId w:val="92"/>
        </w:numPr>
        <w:autoSpaceDE w:val="0"/>
        <w:autoSpaceDN w:val="0"/>
        <w:adjustRightInd w:val="0"/>
        <w:ind w:left="851" w:hanging="851"/>
        <w:contextualSpacing/>
        <w:rPr>
          <w:rFonts w:eastAsia="Arial" w:cs="Arial"/>
          <w:szCs w:val="24"/>
          <w:lang w:eastAsia="en-US"/>
        </w:rPr>
      </w:pPr>
      <w:r w:rsidRPr="005144F2">
        <w:rPr>
          <w:rFonts w:eastAsia="Arial" w:cs="Arial"/>
          <w:color w:val="000000"/>
          <w:szCs w:val="24"/>
          <w:lang w:eastAsia="en-US"/>
        </w:rPr>
        <w:t xml:space="preserve">Currently, national planning policy generally excludes small sites of less than 10 </w:t>
      </w:r>
      <w:r w:rsidR="00BA29ED">
        <w:rPr>
          <w:rFonts w:eastAsia="Arial" w:cs="Arial"/>
          <w:color w:val="000000"/>
          <w:szCs w:val="24"/>
          <w:lang w:eastAsia="en-US"/>
        </w:rPr>
        <w:t>d</w:t>
      </w:r>
      <w:r w:rsidRPr="005144F2">
        <w:rPr>
          <w:rFonts w:eastAsia="Arial" w:cs="Arial"/>
          <w:color w:val="000000"/>
          <w:szCs w:val="24"/>
          <w:lang w:eastAsia="en-US"/>
        </w:rPr>
        <w:t>wellings from contributing towards affordable homes. Any attempt to circumvent</w:t>
      </w:r>
      <w:r w:rsidR="00E40772">
        <w:rPr>
          <w:rFonts w:eastAsia="Arial" w:cs="Arial"/>
          <w:color w:val="000000"/>
          <w:szCs w:val="24"/>
          <w:lang w:eastAsia="en-US"/>
        </w:rPr>
        <w:t xml:space="preserve"> </w:t>
      </w:r>
      <w:r w:rsidR="00BA29ED">
        <w:rPr>
          <w:rFonts w:eastAsia="Arial" w:cs="Arial"/>
          <w:color w:val="000000"/>
          <w:szCs w:val="24"/>
          <w:lang w:eastAsia="en-US"/>
        </w:rPr>
        <w:t xml:space="preserve">the </w:t>
      </w:r>
      <w:r w:rsidRPr="005144F2">
        <w:rPr>
          <w:rFonts w:eastAsia="Arial" w:cs="Arial"/>
          <w:color w:val="000000"/>
          <w:szCs w:val="24"/>
          <w:lang w:eastAsia="en-US"/>
        </w:rPr>
        <w:t>requirement for affordable homes through the inefficient use of sites or subdividing development sites is not acceptable will be resisted.</w:t>
      </w:r>
    </w:p>
    <w:p w14:paraId="5C68CC0B" w14:textId="77777777" w:rsidR="007966F9" w:rsidRDefault="007966F9" w:rsidP="007966F9"/>
    <w:p w14:paraId="64C0D1B0" w14:textId="6F18D0C8" w:rsidR="002B1A0E" w:rsidRPr="00995322" w:rsidRDefault="002B1A0E" w:rsidP="00995322">
      <w:pPr>
        <w:pStyle w:val="Heading2"/>
        <w:jc w:val="left"/>
        <w:rPr>
          <w:rFonts w:eastAsia="Arial"/>
          <w:sz w:val="28"/>
          <w:szCs w:val="28"/>
        </w:rPr>
      </w:pPr>
      <w:bookmarkStart w:id="236" w:name="_Toc145511591"/>
      <w:bookmarkEnd w:id="231"/>
      <w:r w:rsidRPr="00995322">
        <w:rPr>
          <w:rFonts w:eastAsia="Arial"/>
          <w:sz w:val="28"/>
          <w:szCs w:val="28"/>
        </w:rPr>
        <w:t>Policy H4: Rural Exceptions Sites</w:t>
      </w:r>
      <w:bookmarkEnd w:id="236"/>
    </w:p>
    <w:p w14:paraId="30DC0318" w14:textId="77777777" w:rsidR="002B1A0E" w:rsidRPr="002B1A0E" w:rsidRDefault="002B1A0E" w:rsidP="00263F59">
      <w:pPr>
        <w:autoSpaceDE w:val="0"/>
        <w:autoSpaceDN w:val="0"/>
        <w:adjustRightInd w:val="0"/>
        <w:spacing w:before="0"/>
        <w:rPr>
          <w:rFonts w:eastAsia="Arial" w:cs="Arial"/>
          <w:szCs w:val="24"/>
        </w:rPr>
      </w:pPr>
    </w:p>
    <w:p w14:paraId="4AFF655D" w14:textId="6ED9BAD6" w:rsidR="00A81691" w:rsidRPr="009E34A6"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9E34A6">
        <w:rPr>
          <w:rFonts w:ascii="Arial" w:hAnsi="Arial" w:cs="Arial"/>
          <w:szCs w:val="24"/>
        </w:rPr>
        <w:t xml:space="preserve">Opportunities for delivery of affordable housing under Policy H3 will be limited where there is less potential for large sites to come forward, typically in the smaller settlements. Any development schemes coming forward under Policy H4 will therefore contribute towards the overall level of affordable housing whilst supporting the </w:t>
      </w:r>
      <w:proofErr w:type="gramStart"/>
      <w:r w:rsidRPr="009E34A6">
        <w:rPr>
          <w:rFonts w:ascii="Arial" w:hAnsi="Arial" w:cs="Arial"/>
          <w:szCs w:val="24"/>
        </w:rPr>
        <w:t>District’s</w:t>
      </w:r>
      <w:proofErr w:type="gramEnd"/>
      <w:r w:rsidRPr="009E34A6">
        <w:rPr>
          <w:rFonts w:ascii="Arial" w:hAnsi="Arial" w:cs="Arial"/>
          <w:szCs w:val="24"/>
        </w:rPr>
        <w:t xml:space="preserve"> more rural communities. </w:t>
      </w:r>
    </w:p>
    <w:p w14:paraId="364784A9" w14:textId="77777777" w:rsidR="009E34A6" w:rsidRPr="009E34A6" w:rsidRDefault="009E34A6" w:rsidP="009E34A6">
      <w:pPr>
        <w:pStyle w:val="ListParagraph"/>
        <w:autoSpaceDE w:val="0"/>
        <w:autoSpaceDN w:val="0"/>
        <w:adjustRightInd w:val="0"/>
        <w:spacing w:after="0" w:line="240" w:lineRule="auto"/>
        <w:ind w:left="851"/>
        <w:rPr>
          <w:rFonts w:ascii="Arial" w:eastAsia="Arial" w:hAnsi="Arial" w:cs="Arial"/>
          <w:szCs w:val="24"/>
          <w:lang w:eastAsia="en-GB"/>
        </w:rPr>
      </w:pPr>
    </w:p>
    <w:tbl>
      <w:tblPr>
        <w:tblStyle w:val="ReportTable1"/>
        <w:tblW w:w="0" w:type="auto"/>
        <w:tblLook w:val="04A0" w:firstRow="1" w:lastRow="0" w:firstColumn="1" w:lastColumn="0" w:noHBand="0" w:noVBand="1"/>
      </w:tblPr>
      <w:tblGrid>
        <w:gridCol w:w="2671"/>
        <w:gridCol w:w="6958"/>
      </w:tblGrid>
      <w:tr w:rsidR="002B1A0E" w:rsidRPr="00F31667" w14:paraId="70FEF49B" w14:textId="77777777" w:rsidTr="00A81691">
        <w:trPr>
          <w:trHeight w:val="463"/>
        </w:trPr>
        <w:tc>
          <w:tcPr>
            <w:tcW w:w="9629" w:type="dxa"/>
            <w:gridSpan w:val="2"/>
          </w:tcPr>
          <w:p w14:paraId="003CA1EC" w14:textId="77777777" w:rsidR="005352FB" w:rsidRDefault="005352FB" w:rsidP="005352FB">
            <w:pPr>
              <w:spacing w:before="0"/>
              <w:rPr>
                <w:rFonts w:cs="Arial"/>
                <w:b/>
                <w:szCs w:val="24"/>
                <w:lang w:val="en"/>
              </w:rPr>
            </w:pPr>
            <w:bookmarkStart w:id="237" w:name="_Hlk79120540"/>
          </w:p>
          <w:p w14:paraId="3960BE38" w14:textId="4A5028DE" w:rsidR="002B1A0E" w:rsidRPr="006977E7" w:rsidRDefault="002B1A0E" w:rsidP="005352FB">
            <w:pPr>
              <w:spacing w:before="0"/>
              <w:rPr>
                <w:rFonts w:cs="Arial"/>
                <w:b/>
                <w:color w:val="auto"/>
                <w:szCs w:val="24"/>
                <w:lang w:val="en"/>
              </w:rPr>
            </w:pPr>
            <w:r w:rsidRPr="006977E7">
              <w:rPr>
                <w:rFonts w:cs="Arial"/>
                <w:b/>
                <w:color w:val="auto"/>
                <w:szCs w:val="24"/>
                <w:lang w:val="en"/>
              </w:rPr>
              <w:t>Policy H4: Rural Exceptions Sites</w:t>
            </w:r>
          </w:p>
          <w:p w14:paraId="0EBC831F" w14:textId="120A8A1A" w:rsidR="005352FB" w:rsidRPr="00F31667" w:rsidRDefault="005352FB" w:rsidP="005352FB">
            <w:pPr>
              <w:spacing w:before="0"/>
              <w:rPr>
                <w:rFonts w:cs="Arial"/>
                <w:b/>
                <w:color w:val="00B0F0"/>
                <w:szCs w:val="24"/>
                <w:lang w:val="en"/>
              </w:rPr>
            </w:pPr>
          </w:p>
        </w:tc>
      </w:tr>
      <w:bookmarkEnd w:id="237"/>
      <w:tr w:rsidR="002B1A0E" w:rsidRPr="00F31667" w14:paraId="019DCF6C" w14:textId="77777777" w:rsidTr="00A81691">
        <w:trPr>
          <w:trHeight w:val="407"/>
        </w:trPr>
        <w:tc>
          <w:tcPr>
            <w:tcW w:w="2671" w:type="dxa"/>
          </w:tcPr>
          <w:p w14:paraId="7FFACEEC" w14:textId="77777777" w:rsidR="002B1A0E" w:rsidRPr="00F31667" w:rsidRDefault="002B1A0E" w:rsidP="002B1A0E">
            <w:pPr>
              <w:spacing w:before="100" w:beforeAutospacing="1" w:after="100" w:afterAutospacing="1"/>
              <w:rPr>
                <w:rFonts w:cs="Arial"/>
                <w:b/>
                <w:szCs w:val="24"/>
                <w:lang w:val="en"/>
              </w:rPr>
            </w:pPr>
            <w:r w:rsidRPr="00F31667">
              <w:rPr>
                <w:rFonts w:cs="Arial"/>
                <w:b/>
                <w:szCs w:val="24"/>
                <w:lang w:val="en"/>
              </w:rPr>
              <w:t>Strategic Objectives</w:t>
            </w:r>
          </w:p>
        </w:tc>
        <w:tc>
          <w:tcPr>
            <w:tcW w:w="6958" w:type="dxa"/>
          </w:tcPr>
          <w:p w14:paraId="53E1343C" w14:textId="77777777" w:rsidR="002B1A0E" w:rsidRPr="00F31667" w:rsidRDefault="002B1A0E" w:rsidP="002B1A0E">
            <w:pPr>
              <w:spacing w:before="100" w:beforeAutospacing="1" w:after="100" w:afterAutospacing="1"/>
              <w:rPr>
                <w:rFonts w:cs="Arial"/>
                <w:b/>
                <w:szCs w:val="24"/>
                <w:lang w:val="en"/>
              </w:rPr>
            </w:pPr>
            <w:r w:rsidRPr="00F31667">
              <w:rPr>
                <w:rFonts w:cs="Arial"/>
                <w:b/>
                <w:szCs w:val="24"/>
                <w:lang w:val="en"/>
              </w:rPr>
              <w:t>SO1, SO2, SO3, SO5, SO12.</w:t>
            </w:r>
          </w:p>
        </w:tc>
      </w:tr>
      <w:tr w:rsidR="002B1A0E" w:rsidRPr="00F31667" w14:paraId="39F4CC22" w14:textId="77777777" w:rsidTr="00A81691">
        <w:trPr>
          <w:trHeight w:val="699"/>
        </w:trPr>
        <w:tc>
          <w:tcPr>
            <w:tcW w:w="9629" w:type="dxa"/>
            <w:gridSpan w:val="2"/>
            <w:shd w:val="clear" w:color="auto" w:fill="FFCC99"/>
          </w:tcPr>
          <w:p w14:paraId="40A396B9" w14:textId="77777777" w:rsidR="00E40772" w:rsidRDefault="00E40772" w:rsidP="00E40772">
            <w:pPr>
              <w:keepNext w:val="0"/>
              <w:autoSpaceDE w:val="0"/>
              <w:autoSpaceDN w:val="0"/>
              <w:adjustRightInd w:val="0"/>
              <w:ind w:right="284"/>
              <w:rPr>
                <w:rFonts w:cs="Arial"/>
                <w:bCs/>
                <w:szCs w:val="24"/>
              </w:rPr>
            </w:pPr>
          </w:p>
          <w:p w14:paraId="1E2B0BBF" w14:textId="1C88A160" w:rsidR="002B1A0E" w:rsidRPr="00B525B4" w:rsidRDefault="002B1A0E" w:rsidP="00874A98">
            <w:pPr>
              <w:keepNext w:val="0"/>
              <w:numPr>
                <w:ilvl w:val="0"/>
                <w:numId w:val="131"/>
              </w:numPr>
              <w:autoSpaceDE w:val="0"/>
              <w:autoSpaceDN w:val="0"/>
              <w:adjustRightInd w:val="0"/>
              <w:ind w:left="425" w:right="284" w:hanging="357"/>
              <w:rPr>
                <w:rFonts w:cs="Arial"/>
                <w:bCs/>
                <w:szCs w:val="24"/>
              </w:rPr>
            </w:pPr>
            <w:r w:rsidRPr="00B525B4">
              <w:rPr>
                <w:rFonts w:cs="Arial"/>
                <w:bCs/>
                <w:szCs w:val="24"/>
              </w:rPr>
              <w:t>As an exception to normal housing policy, the provision of affordable housing immediately adjoining rural settlements* will be permitted provided that:</w:t>
            </w:r>
          </w:p>
          <w:p w14:paraId="746E69FD" w14:textId="77777777" w:rsidR="002B1A0E" w:rsidRPr="00B525B4" w:rsidRDefault="002B1A0E" w:rsidP="002B1A0E">
            <w:pPr>
              <w:autoSpaceDE w:val="0"/>
              <w:autoSpaceDN w:val="0"/>
              <w:adjustRightInd w:val="0"/>
              <w:ind w:left="720"/>
              <w:contextualSpacing/>
              <w:rPr>
                <w:rFonts w:cs="Arial"/>
                <w:bCs/>
                <w:szCs w:val="24"/>
                <w:lang w:val="en"/>
              </w:rPr>
            </w:pPr>
          </w:p>
          <w:p w14:paraId="4AE4FED1" w14:textId="7D225A83" w:rsidR="002B1A0E" w:rsidRPr="00B525B4" w:rsidRDefault="002B1A0E" w:rsidP="00874A98">
            <w:pPr>
              <w:keepNext w:val="0"/>
              <w:numPr>
                <w:ilvl w:val="0"/>
                <w:numId w:val="130"/>
              </w:numPr>
              <w:autoSpaceDE w:val="0"/>
              <w:autoSpaceDN w:val="0"/>
              <w:adjustRightInd w:val="0"/>
              <w:spacing w:before="0" w:line="276" w:lineRule="auto"/>
              <w:ind w:left="1077" w:hanging="357"/>
              <w:rPr>
                <w:rFonts w:cs="Arial"/>
                <w:bCs/>
                <w:szCs w:val="24"/>
              </w:rPr>
            </w:pPr>
            <w:r w:rsidRPr="00B525B4">
              <w:rPr>
                <w:rFonts w:cs="Arial"/>
                <w:bCs/>
                <w:szCs w:val="24"/>
                <w:lang w:val="en"/>
              </w:rPr>
              <w:t xml:space="preserve">Development is </w:t>
            </w:r>
            <w:proofErr w:type="gramStart"/>
            <w:r w:rsidRPr="00B525B4">
              <w:rPr>
                <w:rFonts w:cs="Arial"/>
                <w:bCs/>
                <w:szCs w:val="24"/>
                <w:lang w:val="en"/>
              </w:rPr>
              <w:t>of</w:t>
            </w:r>
            <w:proofErr w:type="gramEnd"/>
            <w:r w:rsidRPr="00B525B4">
              <w:rPr>
                <w:rFonts w:cs="Arial"/>
                <w:bCs/>
                <w:szCs w:val="24"/>
                <w:lang w:val="en"/>
              </w:rPr>
              <w:t xml:space="preserve"> a small scale not exceeding 9 dwellings and consisting of 100% affordable </w:t>
            </w:r>
            <w:r w:rsidR="009D1815" w:rsidRPr="00B525B4">
              <w:rPr>
                <w:rFonts w:cs="Arial"/>
                <w:bCs/>
                <w:szCs w:val="24"/>
                <w:lang w:val="en"/>
              </w:rPr>
              <w:t>housing</w:t>
            </w:r>
            <w:r w:rsidR="009D1815">
              <w:rPr>
                <w:rFonts w:cs="Arial"/>
                <w:bCs/>
                <w:szCs w:val="24"/>
                <w:lang w:val="en"/>
              </w:rPr>
              <w:t>;</w:t>
            </w:r>
          </w:p>
          <w:p w14:paraId="4E10695F" w14:textId="77777777" w:rsidR="002B1A0E" w:rsidRPr="00B525B4" w:rsidRDefault="002B1A0E" w:rsidP="00874A98">
            <w:pPr>
              <w:keepNext w:val="0"/>
              <w:numPr>
                <w:ilvl w:val="0"/>
                <w:numId w:val="130"/>
              </w:numPr>
              <w:autoSpaceDE w:val="0"/>
              <w:autoSpaceDN w:val="0"/>
              <w:adjustRightInd w:val="0"/>
              <w:spacing w:before="0" w:line="276" w:lineRule="auto"/>
              <w:contextualSpacing/>
              <w:rPr>
                <w:rFonts w:cs="Arial"/>
                <w:bCs/>
                <w:szCs w:val="24"/>
                <w:lang w:val="en"/>
              </w:rPr>
            </w:pPr>
            <w:r w:rsidRPr="00B525B4">
              <w:rPr>
                <w:rFonts w:cs="Arial"/>
                <w:bCs/>
                <w:szCs w:val="24"/>
                <w:lang w:val="en"/>
              </w:rPr>
              <w:t>There is robust evidence of local need for affordable housing for people with a local connection to the area;</w:t>
            </w:r>
          </w:p>
          <w:p w14:paraId="66A74C5C" w14:textId="77777777" w:rsidR="002B1A0E" w:rsidRPr="00B525B4" w:rsidRDefault="002B1A0E" w:rsidP="00874A98">
            <w:pPr>
              <w:keepNext w:val="0"/>
              <w:numPr>
                <w:ilvl w:val="0"/>
                <w:numId w:val="130"/>
              </w:numPr>
              <w:autoSpaceDE w:val="0"/>
              <w:autoSpaceDN w:val="0"/>
              <w:adjustRightInd w:val="0"/>
              <w:spacing w:before="0" w:line="276" w:lineRule="auto"/>
              <w:contextualSpacing/>
              <w:rPr>
                <w:rFonts w:cs="Arial"/>
                <w:bCs/>
                <w:szCs w:val="24"/>
              </w:rPr>
            </w:pPr>
            <w:r w:rsidRPr="00B525B4">
              <w:rPr>
                <w:rFonts w:cs="Arial"/>
                <w:bCs/>
                <w:szCs w:val="24"/>
              </w:rPr>
              <w:t>The type of housing provided reflects the nature and scale of the identified need;</w:t>
            </w:r>
          </w:p>
          <w:p w14:paraId="3B294003" w14:textId="77777777" w:rsidR="002B1A0E" w:rsidRPr="00B525B4" w:rsidRDefault="002B1A0E" w:rsidP="00874A98">
            <w:pPr>
              <w:keepNext w:val="0"/>
              <w:numPr>
                <w:ilvl w:val="0"/>
                <w:numId w:val="130"/>
              </w:numPr>
              <w:autoSpaceDE w:val="0"/>
              <w:autoSpaceDN w:val="0"/>
              <w:adjustRightInd w:val="0"/>
              <w:spacing w:before="0" w:line="276" w:lineRule="auto"/>
              <w:contextualSpacing/>
              <w:rPr>
                <w:rFonts w:cs="Arial"/>
                <w:bCs/>
                <w:szCs w:val="24"/>
                <w:lang w:val="en"/>
              </w:rPr>
            </w:pPr>
            <w:r w:rsidRPr="00B525B4">
              <w:rPr>
                <w:rFonts w:cs="Arial"/>
                <w:bCs/>
                <w:szCs w:val="24"/>
              </w:rPr>
              <w:t>Arrangements exist to ensure that the housing will remain affordable in perpetuity</w:t>
            </w:r>
            <w:r w:rsidRPr="00B525B4">
              <w:rPr>
                <w:rFonts w:cs="Arial"/>
                <w:bCs/>
                <w:szCs w:val="24"/>
                <w:lang w:val="en"/>
              </w:rPr>
              <w:t>;</w:t>
            </w:r>
          </w:p>
          <w:p w14:paraId="38897DB8" w14:textId="5B8DC24F" w:rsidR="002B1A0E" w:rsidRPr="00A81691" w:rsidRDefault="002B1A0E" w:rsidP="00874A98">
            <w:pPr>
              <w:keepNext w:val="0"/>
              <w:numPr>
                <w:ilvl w:val="0"/>
                <w:numId w:val="130"/>
              </w:numPr>
              <w:spacing w:before="0" w:line="276" w:lineRule="auto"/>
              <w:rPr>
                <w:rFonts w:cs="Arial"/>
                <w:bCs/>
                <w:lang w:val="en"/>
              </w:rPr>
            </w:pPr>
            <w:r w:rsidRPr="00B525B4">
              <w:rPr>
                <w:rFonts w:cs="Arial"/>
                <w:bCs/>
                <w:lang w:val="en"/>
              </w:rPr>
              <w:t xml:space="preserve">The development site immediately adjoins rural settlements </w:t>
            </w:r>
            <w:r w:rsidRPr="00B525B4">
              <w:rPr>
                <w:rFonts w:cs="Arial"/>
                <w:bCs/>
                <w:szCs w:val="24"/>
                <w:lang w:val="en"/>
              </w:rPr>
              <w:t>and is accessible to services sufficient to support the daily needs of new residents via public transport, walking or cycling.</w:t>
            </w:r>
          </w:p>
          <w:p w14:paraId="68642D9C" w14:textId="77777777" w:rsidR="00A81691" w:rsidRPr="00B525B4" w:rsidRDefault="00A81691" w:rsidP="00A81691">
            <w:pPr>
              <w:keepNext w:val="0"/>
              <w:spacing w:before="0" w:line="276" w:lineRule="auto"/>
              <w:ind w:left="1080"/>
              <w:rPr>
                <w:rFonts w:cs="Arial"/>
                <w:bCs/>
                <w:lang w:val="en"/>
              </w:rPr>
            </w:pPr>
          </w:p>
          <w:p w14:paraId="209BF1F0" w14:textId="77777777" w:rsidR="002B1A0E" w:rsidRPr="00B525B4" w:rsidRDefault="002B1A0E" w:rsidP="00874A98">
            <w:pPr>
              <w:keepNext w:val="0"/>
              <w:numPr>
                <w:ilvl w:val="0"/>
                <w:numId w:val="131"/>
              </w:numPr>
              <w:spacing w:before="100" w:beforeAutospacing="1" w:after="100" w:afterAutospacing="1"/>
              <w:ind w:left="425" w:right="284" w:hanging="357"/>
              <w:contextualSpacing/>
              <w:rPr>
                <w:rFonts w:cs="Arial"/>
                <w:bCs/>
                <w:szCs w:val="24"/>
                <w:lang w:val="en"/>
              </w:rPr>
            </w:pPr>
            <w:r w:rsidRPr="00B525B4">
              <w:rPr>
                <w:rFonts w:cs="Arial"/>
                <w:bCs/>
                <w:szCs w:val="24"/>
                <w:lang w:val="en"/>
              </w:rPr>
              <w:t xml:space="preserve">Proposals for exceptions sites should be capable of management by an appropriate body, e.g., a Registered Social Landlord, Local Authority or any other </w:t>
            </w:r>
            <w:proofErr w:type="spellStart"/>
            <w:r w:rsidRPr="00B525B4">
              <w:rPr>
                <w:rFonts w:cs="Arial"/>
                <w:bCs/>
                <w:szCs w:val="24"/>
                <w:lang w:val="en"/>
              </w:rPr>
              <w:t>organisation</w:t>
            </w:r>
            <w:proofErr w:type="spellEnd"/>
            <w:r w:rsidRPr="00B525B4">
              <w:rPr>
                <w:rFonts w:cs="Arial"/>
                <w:bCs/>
                <w:szCs w:val="24"/>
                <w:lang w:val="en"/>
              </w:rPr>
              <w:t xml:space="preserve"> or body whose </w:t>
            </w:r>
            <w:proofErr w:type="gramStart"/>
            <w:r w:rsidRPr="00B525B4">
              <w:rPr>
                <w:rFonts w:cs="Arial"/>
                <w:bCs/>
                <w:szCs w:val="24"/>
                <w:lang w:val="en"/>
              </w:rPr>
              <w:t>principle</w:t>
            </w:r>
            <w:proofErr w:type="gramEnd"/>
            <w:r w:rsidRPr="00B525B4">
              <w:rPr>
                <w:rFonts w:cs="Arial"/>
                <w:bCs/>
                <w:szCs w:val="24"/>
                <w:lang w:val="en"/>
              </w:rPr>
              <w:t xml:space="preserve"> business is the provision of affordable housing. </w:t>
            </w:r>
          </w:p>
          <w:p w14:paraId="199D5317" w14:textId="77777777" w:rsidR="002B1A0E" w:rsidRPr="00F31667" w:rsidRDefault="002B1A0E" w:rsidP="002B1A0E">
            <w:pPr>
              <w:spacing w:before="100" w:beforeAutospacing="1" w:after="100" w:afterAutospacing="1"/>
              <w:ind w:left="425" w:right="284"/>
              <w:contextualSpacing/>
              <w:rPr>
                <w:rFonts w:cs="Arial"/>
                <w:b/>
                <w:szCs w:val="24"/>
                <w:lang w:val="en"/>
              </w:rPr>
            </w:pPr>
          </w:p>
          <w:p w14:paraId="43895719" w14:textId="77777777" w:rsidR="002B1A0E" w:rsidRPr="00F31667" w:rsidRDefault="002B1A0E" w:rsidP="002B1A0E">
            <w:pPr>
              <w:ind w:left="142" w:hanging="142"/>
              <w:rPr>
                <w:rFonts w:cs="Arial"/>
                <w:sz w:val="20"/>
              </w:rPr>
            </w:pPr>
            <w:r w:rsidRPr="00F31667">
              <w:rPr>
                <w:rFonts w:cs="Arial"/>
                <w:sz w:val="20"/>
                <w:vertAlign w:val="superscript"/>
              </w:rPr>
              <w:t xml:space="preserve">* </w:t>
            </w:r>
            <w:r w:rsidRPr="00F31667">
              <w:rPr>
                <w:rFonts w:cs="Arial"/>
                <w:sz w:val="20"/>
              </w:rPr>
              <w:t xml:space="preserve">‘Named Settlement’ or settlement located within the ‘Remainder of the District’ as identified under Policy </w:t>
            </w:r>
            <w:r w:rsidRPr="00B525B4">
              <w:rPr>
                <w:rFonts w:cs="Arial"/>
                <w:sz w:val="20"/>
              </w:rPr>
              <w:t>S3</w:t>
            </w:r>
            <w:r w:rsidRPr="00F31667">
              <w:rPr>
                <w:rFonts w:cs="Arial"/>
                <w:sz w:val="20"/>
              </w:rPr>
              <w:t xml:space="preserve"> and its immediate surrounds generally associated with that settlement.</w:t>
            </w:r>
          </w:p>
          <w:p w14:paraId="06DF2756" w14:textId="77777777" w:rsidR="002B1A0E" w:rsidRPr="00F31667" w:rsidRDefault="002B1A0E" w:rsidP="002B1A0E">
            <w:pPr>
              <w:rPr>
                <w:rFonts w:cs="Arial"/>
                <w:b/>
                <w:color w:val="00B0F0"/>
                <w:sz w:val="20"/>
                <w:lang w:val="en"/>
              </w:rPr>
            </w:pPr>
          </w:p>
        </w:tc>
      </w:tr>
      <w:tr w:rsidR="002B1A0E" w:rsidRPr="00D77D4A" w14:paraId="576C6E35" w14:textId="77777777" w:rsidTr="00A81691">
        <w:trPr>
          <w:trHeight w:val="699"/>
        </w:trPr>
        <w:tc>
          <w:tcPr>
            <w:tcW w:w="2671" w:type="dxa"/>
          </w:tcPr>
          <w:p w14:paraId="7F480F89" w14:textId="77777777" w:rsidR="002B1A0E" w:rsidRPr="005352FB" w:rsidRDefault="002B1A0E" w:rsidP="005352FB">
            <w:pPr>
              <w:autoSpaceDE w:val="0"/>
              <w:autoSpaceDN w:val="0"/>
              <w:adjustRightInd w:val="0"/>
              <w:spacing w:before="0"/>
              <w:rPr>
                <w:rFonts w:cs="Arial"/>
                <w:sz w:val="20"/>
              </w:rPr>
            </w:pPr>
            <w:r w:rsidRPr="005352FB">
              <w:rPr>
                <w:rFonts w:cs="Arial"/>
                <w:sz w:val="20"/>
              </w:rPr>
              <w:lastRenderedPageBreak/>
              <w:t>Evidence Base</w:t>
            </w:r>
          </w:p>
          <w:p w14:paraId="0A88FD26" w14:textId="77777777" w:rsidR="002B1A0E" w:rsidRPr="005352FB" w:rsidRDefault="002B1A0E" w:rsidP="005352FB">
            <w:pPr>
              <w:autoSpaceDE w:val="0"/>
              <w:autoSpaceDN w:val="0"/>
              <w:adjustRightInd w:val="0"/>
              <w:spacing w:before="0"/>
              <w:rPr>
                <w:rFonts w:cs="Arial"/>
                <w:sz w:val="20"/>
              </w:rPr>
            </w:pPr>
          </w:p>
        </w:tc>
        <w:tc>
          <w:tcPr>
            <w:tcW w:w="6958" w:type="dxa"/>
          </w:tcPr>
          <w:p w14:paraId="15E2259C" w14:textId="77777777" w:rsidR="002B1A0E" w:rsidRPr="00C101EC" w:rsidRDefault="002B1A0E" w:rsidP="00874A98">
            <w:pPr>
              <w:pStyle w:val="ListParagraph"/>
              <w:numPr>
                <w:ilvl w:val="0"/>
                <w:numId w:val="129"/>
              </w:numPr>
              <w:tabs>
                <w:tab w:val="left" w:pos="1133"/>
                <w:tab w:val="left" w:pos="2267"/>
              </w:tabs>
              <w:spacing w:after="0" w:line="240" w:lineRule="auto"/>
              <w:ind w:left="173" w:right="284" w:hanging="173"/>
              <w:rPr>
                <w:rFonts w:ascii="Arial" w:hAnsi="Arial" w:cs="Arial"/>
                <w:color w:val="auto"/>
                <w:sz w:val="20"/>
                <w:szCs w:val="20"/>
                <w:lang w:eastAsia="en-GB"/>
              </w:rPr>
            </w:pPr>
            <w:r w:rsidRPr="00C101EC">
              <w:rPr>
                <w:rFonts w:ascii="Arial" w:hAnsi="Arial" w:cs="Arial"/>
                <w:color w:val="auto"/>
                <w:sz w:val="20"/>
                <w:szCs w:val="20"/>
                <w:lang w:eastAsia="en-GB"/>
              </w:rPr>
              <w:t>Greater Nottingham &amp; Ashfield Housing Needs Assessment Final Report, 2020 – Iceni Projects Ltd</w:t>
            </w:r>
            <w:r w:rsidR="00B40389" w:rsidRPr="00C101EC">
              <w:rPr>
                <w:rFonts w:ascii="Arial" w:hAnsi="Arial" w:cs="Arial"/>
                <w:color w:val="auto"/>
                <w:sz w:val="20"/>
                <w:szCs w:val="20"/>
                <w:lang w:eastAsia="en-GB"/>
              </w:rPr>
              <w:t>.</w:t>
            </w:r>
          </w:p>
          <w:p w14:paraId="44645061" w14:textId="41852148" w:rsidR="00B40389" w:rsidRPr="00C101EC" w:rsidRDefault="00B40389" w:rsidP="00874A98">
            <w:pPr>
              <w:pStyle w:val="ListParagraph"/>
              <w:numPr>
                <w:ilvl w:val="0"/>
                <w:numId w:val="129"/>
              </w:numPr>
              <w:tabs>
                <w:tab w:val="left" w:pos="1133"/>
                <w:tab w:val="left" w:pos="2267"/>
              </w:tabs>
              <w:spacing w:after="0" w:line="240" w:lineRule="auto"/>
              <w:ind w:left="173" w:right="284" w:hanging="173"/>
              <w:rPr>
                <w:rFonts w:ascii="Arial" w:hAnsi="Arial" w:cs="Arial"/>
                <w:color w:val="auto"/>
                <w:sz w:val="20"/>
                <w:szCs w:val="20"/>
                <w:lang w:eastAsia="en-GB"/>
              </w:rPr>
            </w:pPr>
            <w:r w:rsidRPr="00C101EC">
              <w:rPr>
                <w:rFonts w:ascii="Arial" w:hAnsi="Arial" w:cs="Arial"/>
                <w:color w:val="auto"/>
                <w:sz w:val="20"/>
                <w:szCs w:val="20"/>
                <w:lang w:eastAsia="en-GB"/>
              </w:rPr>
              <w:t>Sustainability Appraisal, 2023. WSP UK Limited.</w:t>
            </w:r>
          </w:p>
        </w:tc>
      </w:tr>
      <w:tr w:rsidR="002B1A0E" w:rsidRPr="00D77D4A" w14:paraId="4C09BB29" w14:textId="77777777" w:rsidTr="00A81691">
        <w:trPr>
          <w:trHeight w:val="699"/>
        </w:trPr>
        <w:tc>
          <w:tcPr>
            <w:tcW w:w="2671" w:type="dxa"/>
          </w:tcPr>
          <w:p w14:paraId="75CCC057" w14:textId="77777777" w:rsidR="002B1A0E" w:rsidRPr="005352FB" w:rsidRDefault="002B1A0E" w:rsidP="005352FB">
            <w:pPr>
              <w:autoSpaceDE w:val="0"/>
              <w:autoSpaceDN w:val="0"/>
              <w:adjustRightInd w:val="0"/>
              <w:spacing w:before="0"/>
              <w:rPr>
                <w:rFonts w:cs="Arial"/>
                <w:sz w:val="20"/>
              </w:rPr>
            </w:pPr>
            <w:r w:rsidRPr="005352FB">
              <w:rPr>
                <w:rFonts w:cs="Arial"/>
                <w:sz w:val="20"/>
              </w:rPr>
              <w:t>National Planning Policy and Guidance</w:t>
            </w:r>
          </w:p>
        </w:tc>
        <w:tc>
          <w:tcPr>
            <w:tcW w:w="6958" w:type="dxa"/>
          </w:tcPr>
          <w:p w14:paraId="4AFBC8AF" w14:textId="384E0D9E" w:rsidR="002B1A0E" w:rsidRPr="00C101EC" w:rsidRDefault="002B1A0E" w:rsidP="00874A98">
            <w:pPr>
              <w:keepNext w:val="0"/>
              <w:numPr>
                <w:ilvl w:val="0"/>
                <w:numId w:val="119"/>
              </w:numPr>
              <w:tabs>
                <w:tab w:val="left" w:pos="680"/>
                <w:tab w:val="left" w:pos="1133"/>
                <w:tab w:val="left" w:pos="2267"/>
              </w:tabs>
              <w:spacing w:before="0"/>
              <w:ind w:left="173" w:right="284" w:hanging="173"/>
              <w:contextualSpacing/>
              <w:rPr>
                <w:rFonts w:cs="Arial"/>
                <w:color w:val="auto"/>
                <w:sz w:val="20"/>
              </w:rPr>
            </w:pPr>
            <w:r w:rsidRPr="00C101EC">
              <w:rPr>
                <w:rFonts w:cs="Arial"/>
                <w:color w:val="auto"/>
                <w:sz w:val="20"/>
              </w:rPr>
              <w:t>NPPF 202</w:t>
            </w:r>
            <w:r w:rsidR="004173E0" w:rsidRPr="00C101EC">
              <w:rPr>
                <w:rFonts w:cs="Arial"/>
                <w:color w:val="auto"/>
                <w:sz w:val="20"/>
              </w:rPr>
              <w:t>3</w:t>
            </w:r>
            <w:r w:rsidRPr="00C101EC">
              <w:rPr>
                <w:rFonts w:cs="Arial"/>
                <w:color w:val="auto"/>
                <w:sz w:val="20"/>
              </w:rPr>
              <w:t>, Part 2: Achieving sustainable development.</w:t>
            </w:r>
          </w:p>
          <w:p w14:paraId="384EBDD0" w14:textId="6C180C64" w:rsidR="002B1A0E" w:rsidRPr="00C101EC" w:rsidRDefault="002B1A0E" w:rsidP="00874A98">
            <w:pPr>
              <w:keepNext w:val="0"/>
              <w:numPr>
                <w:ilvl w:val="0"/>
                <w:numId w:val="119"/>
              </w:numPr>
              <w:tabs>
                <w:tab w:val="left" w:pos="680"/>
                <w:tab w:val="left" w:pos="1133"/>
                <w:tab w:val="left" w:pos="2267"/>
              </w:tabs>
              <w:spacing w:before="0"/>
              <w:ind w:left="173" w:right="284" w:hanging="173"/>
              <w:contextualSpacing/>
              <w:rPr>
                <w:rFonts w:cs="Arial"/>
                <w:color w:val="auto"/>
                <w:sz w:val="20"/>
              </w:rPr>
            </w:pPr>
            <w:r w:rsidRPr="00C101EC">
              <w:rPr>
                <w:rFonts w:cs="Arial"/>
                <w:color w:val="auto"/>
                <w:sz w:val="20"/>
              </w:rPr>
              <w:t>NPPF 202</w:t>
            </w:r>
            <w:r w:rsidR="004173E0" w:rsidRPr="00C101EC">
              <w:rPr>
                <w:rFonts w:cs="Arial"/>
                <w:color w:val="auto"/>
                <w:sz w:val="20"/>
              </w:rPr>
              <w:t>3</w:t>
            </w:r>
            <w:r w:rsidRPr="00C101EC">
              <w:rPr>
                <w:rFonts w:cs="Arial"/>
                <w:color w:val="auto"/>
                <w:sz w:val="20"/>
              </w:rPr>
              <w:t>, Part 5: Delivering a sufficient supply of homes</w:t>
            </w:r>
          </w:p>
          <w:p w14:paraId="5AE6319A" w14:textId="5F899A93" w:rsidR="002B1A0E" w:rsidRPr="00C101EC" w:rsidRDefault="002B1A0E" w:rsidP="00874A98">
            <w:pPr>
              <w:keepNext w:val="0"/>
              <w:numPr>
                <w:ilvl w:val="0"/>
                <w:numId w:val="119"/>
              </w:numPr>
              <w:tabs>
                <w:tab w:val="left" w:pos="680"/>
                <w:tab w:val="left" w:pos="1133"/>
                <w:tab w:val="left" w:pos="2267"/>
              </w:tabs>
              <w:spacing w:before="0"/>
              <w:ind w:left="173" w:right="284" w:hanging="173"/>
              <w:contextualSpacing/>
              <w:rPr>
                <w:rFonts w:cs="Arial"/>
                <w:color w:val="auto"/>
                <w:sz w:val="20"/>
              </w:rPr>
            </w:pPr>
            <w:r w:rsidRPr="00C101EC">
              <w:rPr>
                <w:rFonts w:cs="Arial"/>
                <w:color w:val="auto"/>
                <w:sz w:val="20"/>
              </w:rPr>
              <w:t>Planning Practice Guidance: Housing and Economic Land Availability Assessment</w:t>
            </w:r>
            <w:r w:rsidR="00B40389" w:rsidRPr="00C101EC">
              <w:rPr>
                <w:rFonts w:cs="Arial"/>
                <w:color w:val="auto"/>
                <w:sz w:val="20"/>
              </w:rPr>
              <w:t xml:space="preserve"> as </w:t>
            </w:r>
            <w:proofErr w:type="gramStart"/>
            <w:r w:rsidR="00B40389" w:rsidRPr="00C101EC">
              <w:rPr>
                <w:rFonts w:cs="Arial"/>
                <w:color w:val="auto"/>
                <w:sz w:val="20"/>
              </w:rPr>
              <w:t>at</w:t>
            </w:r>
            <w:proofErr w:type="gramEnd"/>
            <w:r w:rsidR="00B40389" w:rsidRPr="00C101EC">
              <w:rPr>
                <w:rFonts w:cs="Arial"/>
                <w:color w:val="auto"/>
                <w:sz w:val="20"/>
              </w:rPr>
              <w:t xml:space="preserve"> July 2019.</w:t>
            </w:r>
          </w:p>
        </w:tc>
      </w:tr>
    </w:tbl>
    <w:p w14:paraId="2C5DE20C" w14:textId="77777777" w:rsidR="002B1A0E" w:rsidRPr="00F31667" w:rsidRDefault="002B1A0E" w:rsidP="002B1A0E">
      <w:pPr>
        <w:autoSpaceDE w:val="0"/>
        <w:autoSpaceDN w:val="0"/>
        <w:adjustRightInd w:val="0"/>
        <w:ind w:left="794"/>
        <w:rPr>
          <w:rFonts w:cs="Arial"/>
          <w:szCs w:val="24"/>
        </w:rPr>
      </w:pPr>
    </w:p>
    <w:p w14:paraId="667E1CE9" w14:textId="77777777" w:rsidR="002B1A0E" w:rsidRPr="002B1A0E" w:rsidRDefault="002B1A0E" w:rsidP="002B1A0E">
      <w:pPr>
        <w:pStyle w:val="ListParagraph"/>
        <w:autoSpaceDE w:val="0"/>
        <w:autoSpaceDN w:val="0"/>
        <w:adjustRightInd w:val="0"/>
        <w:spacing w:after="0" w:line="240" w:lineRule="auto"/>
        <w:ind w:left="851"/>
        <w:rPr>
          <w:rFonts w:ascii="Arial" w:eastAsia="Arial" w:hAnsi="Arial" w:cs="Arial"/>
          <w:szCs w:val="24"/>
          <w:lang w:eastAsia="en-GB"/>
        </w:rPr>
      </w:pPr>
    </w:p>
    <w:p w14:paraId="12BEBDA8" w14:textId="50C9DA03" w:rsidR="00C9318C" w:rsidRPr="005352FB"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C9318C">
        <w:rPr>
          <w:rFonts w:ascii="Arial" w:hAnsi="Arial" w:cs="Arial"/>
          <w:szCs w:val="24"/>
        </w:rPr>
        <w:t xml:space="preserve">NPPF paragraph 78 requires local planning authorities to be responsive to local circumstances and plan housing development to reflect local needs, including through rural exception sites where appropriate. Rural Exception policies are a key means of providing affordable homes in rural areas and enable small sites, generally on the edges of rural settlements, to be used specifically for affordable housing that would not normally be used for housing due to other policies of restraint. </w:t>
      </w:r>
    </w:p>
    <w:p w14:paraId="6ABD8A8A" w14:textId="77777777" w:rsidR="005352FB" w:rsidRPr="00C9318C" w:rsidRDefault="005352FB" w:rsidP="005352FB">
      <w:pPr>
        <w:pStyle w:val="ListParagraph"/>
        <w:autoSpaceDE w:val="0"/>
        <w:autoSpaceDN w:val="0"/>
        <w:adjustRightInd w:val="0"/>
        <w:spacing w:after="0" w:line="240" w:lineRule="auto"/>
        <w:ind w:left="851"/>
        <w:rPr>
          <w:rFonts w:ascii="Arial" w:eastAsia="Arial" w:hAnsi="Arial" w:cs="Arial"/>
          <w:szCs w:val="24"/>
          <w:lang w:eastAsia="en-GB"/>
        </w:rPr>
      </w:pPr>
    </w:p>
    <w:p w14:paraId="60DAE4CB" w14:textId="4FABCC74" w:rsidR="00C9318C" w:rsidRPr="00C464EB"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C9318C">
        <w:rPr>
          <w:rFonts w:ascii="Arial" w:hAnsi="Arial" w:cs="Arial"/>
          <w:szCs w:val="24"/>
          <w:lang w:val="en"/>
        </w:rPr>
        <w:t>Although the construction of new buildings is considered inappropriate in the Green Belt, limited affordable housing for local community needs under policies set out in the Local Plan is regarded as an exception under NPPF paragraph149.</w:t>
      </w:r>
    </w:p>
    <w:p w14:paraId="0CCF5330" w14:textId="77777777" w:rsidR="00C464EB" w:rsidRPr="00C9318C" w:rsidRDefault="00C464EB" w:rsidP="00C464EB">
      <w:pPr>
        <w:pStyle w:val="ListParagraph"/>
        <w:autoSpaceDE w:val="0"/>
        <w:autoSpaceDN w:val="0"/>
        <w:adjustRightInd w:val="0"/>
        <w:spacing w:after="0" w:line="240" w:lineRule="auto"/>
        <w:ind w:left="851"/>
        <w:rPr>
          <w:rFonts w:ascii="Arial" w:eastAsia="Arial" w:hAnsi="Arial" w:cs="Arial"/>
          <w:szCs w:val="24"/>
          <w:lang w:eastAsia="en-GB"/>
        </w:rPr>
      </w:pPr>
    </w:p>
    <w:p w14:paraId="4B120371" w14:textId="432BCCFF" w:rsidR="00C464EB" w:rsidRPr="00C464EB"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C464EB">
        <w:rPr>
          <w:rFonts w:ascii="Arial" w:hAnsi="Arial" w:cs="Arial"/>
          <w:szCs w:val="24"/>
        </w:rPr>
        <w:t xml:space="preserve">Rural areas can face </w:t>
      </w:r>
      <w:proofErr w:type="gramStart"/>
      <w:r w:rsidRPr="00C464EB">
        <w:rPr>
          <w:rFonts w:ascii="Arial" w:hAnsi="Arial" w:cs="Arial"/>
          <w:szCs w:val="24"/>
        </w:rPr>
        <w:t>particular difficulties</w:t>
      </w:r>
      <w:proofErr w:type="gramEnd"/>
      <w:r w:rsidRPr="00C464EB">
        <w:rPr>
          <w:rFonts w:ascii="Arial" w:hAnsi="Arial" w:cs="Arial"/>
          <w:szCs w:val="24"/>
        </w:rPr>
        <w:t xml:space="preserve"> in securing an adequate supply of land for affordable housing for local needs and are unable to compete against high land prices for private housing developments. Under </w:t>
      </w:r>
      <w:r w:rsidR="00EF521C">
        <w:rPr>
          <w:rFonts w:ascii="Arial" w:hAnsi="Arial" w:cs="Arial"/>
          <w:szCs w:val="24"/>
        </w:rPr>
        <w:t>P</w:t>
      </w:r>
      <w:r w:rsidRPr="00C464EB">
        <w:rPr>
          <w:rFonts w:ascii="Arial" w:hAnsi="Arial" w:cs="Arial"/>
          <w:szCs w:val="24"/>
        </w:rPr>
        <w:t>olicy H4, a landowner provides a site at below housing market value on the basis the land is used to build affordable homes for local people. Landowners commonly have strong multi-generational ties to their communities, are often local employers, and wish to sustain that community for future generations.</w:t>
      </w:r>
    </w:p>
    <w:p w14:paraId="0D1AF253" w14:textId="77777777" w:rsidR="00C464EB" w:rsidRPr="00C464EB" w:rsidRDefault="00C464EB" w:rsidP="00C464EB">
      <w:pPr>
        <w:pStyle w:val="ListParagraph"/>
        <w:rPr>
          <w:rFonts w:cs="Arial"/>
          <w:szCs w:val="24"/>
        </w:rPr>
      </w:pPr>
    </w:p>
    <w:p w14:paraId="4907A86D" w14:textId="4DBF769A" w:rsidR="00C464EB" w:rsidRPr="00C464EB"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C101EC">
        <w:rPr>
          <w:rFonts w:ascii="Arial" w:hAnsi="Arial" w:cs="Arial"/>
          <w:szCs w:val="24"/>
        </w:rPr>
        <w:t xml:space="preserve">The housing market is </w:t>
      </w:r>
      <w:proofErr w:type="gramStart"/>
      <w:r w:rsidRPr="00C101EC">
        <w:rPr>
          <w:rFonts w:ascii="Arial" w:hAnsi="Arial" w:cs="Arial"/>
          <w:szCs w:val="24"/>
        </w:rPr>
        <w:t>fairly strong</w:t>
      </w:r>
      <w:proofErr w:type="gramEnd"/>
      <w:r w:rsidRPr="00C101EC">
        <w:rPr>
          <w:rFonts w:ascii="Arial" w:hAnsi="Arial" w:cs="Arial"/>
          <w:szCs w:val="24"/>
        </w:rPr>
        <w:t xml:space="preserve"> in Ashfield’s rural areas with prices generally higher than comparable properties in </w:t>
      </w:r>
      <w:r w:rsidR="00C101EC" w:rsidRPr="00C101EC">
        <w:rPr>
          <w:rFonts w:ascii="Arial" w:hAnsi="Arial" w:cs="Arial"/>
          <w:szCs w:val="24"/>
        </w:rPr>
        <w:t>Sutton in Ashfield and Kirkby in Ashfield</w:t>
      </w:r>
      <w:r w:rsidRPr="00C101EC">
        <w:rPr>
          <w:rFonts w:ascii="Arial" w:hAnsi="Arial" w:cs="Arial"/>
          <w:vertAlign w:val="superscript"/>
        </w:rPr>
        <w:footnoteReference w:id="93"/>
      </w:r>
      <w:r w:rsidRPr="00C101EC">
        <w:rPr>
          <w:rFonts w:ascii="Arial" w:hAnsi="Arial" w:cs="Arial"/>
          <w:szCs w:val="24"/>
        </w:rPr>
        <w:t>.</w:t>
      </w:r>
      <w:r w:rsidRPr="00C464EB">
        <w:rPr>
          <w:rFonts w:ascii="Arial" w:hAnsi="Arial" w:cs="Arial"/>
          <w:szCs w:val="24"/>
        </w:rPr>
        <w:t xml:space="preserve"> This can cause difficulties for people who want to live close to their families in such areas, and for those whose employment and livelihoods are based within the rural area. It can also push younger people out of the rural areas and lead to an imbalance in the age structure of the rural population.</w:t>
      </w:r>
    </w:p>
    <w:p w14:paraId="45D5412D" w14:textId="77777777" w:rsidR="00C464EB" w:rsidRPr="00C464EB" w:rsidRDefault="00C464EB" w:rsidP="00C464EB">
      <w:pPr>
        <w:pStyle w:val="ListParagraph"/>
        <w:rPr>
          <w:rFonts w:cs="Arial"/>
          <w:szCs w:val="24"/>
        </w:rPr>
      </w:pPr>
    </w:p>
    <w:p w14:paraId="585E5C17" w14:textId="57F3CA07" w:rsidR="00C464EB" w:rsidRPr="00823DBE"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C464EB">
        <w:rPr>
          <w:rFonts w:ascii="Arial" w:hAnsi="Arial" w:cs="Arial"/>
          <w:szCs w:val="24"/>
        </w:rPr>
        <w:t xml:space="preserve">For the purposes of the rural housing exceptions policy, local need is defined as identified needs in the individual rural settlement or the local area it serves. Before the Local Planning Authority will grant planning permission for affordable housing on a rural exception site, it must be satisfied that there is a genuine need for affordable housing in the locality. To establish that a genuine need does exist, the </w:t>
      </w:r>
      <w:r w:rsidRPr="00C464EB">
        <w:rPr>
          <w:rFonts w:ascii="Arial" w:hAnsi="Arial" w:cs="Arial"/>
          <w:szCs w:val="24"/>
        </w:rPr>
        <w:lastRenderedPageBreak/>
        <w:t>Local Planning Authority will require evidence from a local level Housing Needs Survey that is sufficiently recent to provide reliable evidence or some other objective proof of local need, proportionate to the scale of the development being proposed.</w:t>
      </w:r>
    </w:p>
    <w:p w14:paraId="3E9A4A2E" w14:textId="77777777" w:rsidR="00823DBE" w:rsidRPr="00823DBE" w:rsidRDefault="00823DBE" w:rsidP="00823DBE">
      <w:pPr>
        <w:autoSpaceDE w:val="0"/>
        <w:autoSpaceDN w:val="0"/>
        <w:adjustRightInd w:val="0"/>
        <w:spacing w:before="0"/>
        <w:rPr>
          <w:rFonts w:eastAsia="Arial" w:cs="Arial"/>
          <w:szCs w:val="24"/>
        </w:rPr>
      </w:pPr>
    </w:p>
    <w:p w14:paraId="45CA83BF" w14:textId="052D1793" w:rsidR="00F55774" w:rsidRPr="00F55774"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C464EB">
        <w:rPr>
          <w:rFonts w:ascii="Arial" w:hAnsi="Arial" w:cs="Arial"/>
          <w:szCs w:val="24"/>
        </w:rPr>
        <w:t>In assigning rural affordable housing, priority will be given to people that have a connection to that settlement and who are unable to afford market housing. Local connections are typically taken to be based on the following:</w:t>
      </w:r>
    </w:p>
    <w:p w14:paraId="2DEE0612" w14:textId="1F6BA5B3" w:rsidR="00F55774" w:rsidRPr="00F55774" w:rsidRDefault="00F55774" w:rsidP="00F55774">
      <w:pPr>
        <w:pStyle w:val="ListParagraph"/>
        <w:autoSpaceDE w:val="0"/>
        <w:autoSpaceDN w:val="0"/>
        <w:adjustRightInd w:val="0"/>
        <w:spacing w:after="0" w:line="240" w:lineRule="auto"/>
        <w:ind w:left="851"/>
        <w:rPr>
          <w:rFonts w:ascii="Arial" w:hAnsi="Arial" w:cs="Arial"/>
          <w:szCs w:val="24"/>
        </w:rPr>
      </w:pPr>
    </w:p>
    <w:p w14:paraId="2EC1DD3F" w14:textId="77777777" w:rsidR="00F55774" w:rsidRPr="00F55774" w:rsidRDefault="00F55774" w:rsidP="00874A98">
      <w:pPr>
        <w:pStyle w:val="ListParagraph"/>
        <w:numPr>
          <w:ilvl w:val="0"/>
          <w:numId w:val="303"/>
        </w:numPr>
        <w:autoSpaceDE w:val="0"/>
        <w:autoSpaceDN w:val="0"/>
        <w:adjustRightInd w:val="0"/>
        <w:spacing w:after="0" w:line="240" w:lineRule="auto"/>
        <w:rPr>
          <w:rFonts w:ascii="Arial" w:eastAsia="Arial" w:hAnsi="Arial" w:cs="Arial"/>
          <w:szCs w:val="24"/>
          <w:lang w:eastAsia="en-GB"/>
        </w:rPr>
      </w:pPr>
      <w:r w:rsidRPr="00F55774">
        <w:rPr>
          <w:rFonts w:ascii="Arial" w:eastAsia="Arial" w:hAnsi="Arial" w:cs="Arial"/>
          <w:szCs w:val="24"/>
          <w:lang w:eastAsia="en-GB"/>
        </w:rPr>
        <w:t xml:space="preserve">applicant was born in the </w:t>
      </w:r>
      <w:proofErr w:type="gramStart"/>
      <w:r w:rsidRPr="00F55774">
        <w:rPr>
          <w:rFonts w:ascii="Arial" w:eastAsia="Arial" w:hAnsi="Arial" w:cs="Arial"/>
          <w:szCs w:val="24"/>
          <w:lang w:eastAsia="en-GB"/>
        </w:rPr>
        <w:t>area  and</w:t>
      </w:r>
      <w:proofErr w:type="gramEnd"/>
      <w:r w:rsidRPr="00F55774">
        <w:rPr>
          <w:rFonts w:ascii="Arial" w:eastAsia="Arial" w:hAnsi="Arial" w:cs="Arial"/>
          <w:szCs w:val="24"/>
          <w:lang w:eastAsia="en-GB"/>
        </w:rPr>
        <w:t xml:space="preserve"> has lived there for more than 3 years</w:t>
      </w:r>
    </w:p>
    <w:p w14:paraId="54359E61" w14:textId="77777777" w:rsidR="00F55774" w:rsidRPr="00F55774" w:rsidRDefault="00F55774" w:rsidP="00874A98">
      <w:pPr>
        <w:pStyle w:val="ListParagraph"/>
        <w:numPr>
          <w:ilvl w:val="0"/>
          <w:numId w:val="303"/>
        </w:numPr>
        <w:autoSpaceDE w:val="0"/>
        <w:autoSpaceDN w:val="0"/>
        <w:adjustRightInd w:val="0"/>
        <w:spacing w:after="0" w:line="240" w:lineRule="auto"/>
        <w:rPr>
          <w:rFonts w:ascii="Arial" w:eastAsia="Arial" w:hAnsi="Arial" w:cs="Arial"/>
          <w:szCs w:val="24"/>
          <w:lang w:eastAsia="en-GB"/>
        </w:rPr>
      </w:pPr>
      <w:r w:rsidRPr="00F55774">
        <w:rPr>
          <w:rFonts w:ascii="Arial" w:eastAsia="Arial" w:hAnsi="Arial" w:cs="Arial"/>
          <w:szCs w:val="24"/>
        </w:rPr>
        <w:t>applicant lives in the area and has done so for more than 3 years</w:t>
      </w:r>
    </w:p>
    <w:p w14:paraId="3DCB11D1" w14:textId="77777777" w:rsidR="00F55774" w:rsidRPr="00F55774" w:rsidRDefault="00F55774" w:rsidP="00874A98">
      <w:pPr>
        <w:pStyle w:val="ListParagraph"/>
        <w:numPr>
          <w:ilvl w:val="0"/>
          <w:numId w:val="303"/>
        </w:numPr>
        <w:autoSpaceDE w:val="0"/>
        <w:autoSpaceDN w:val="0"/>
        <w:adjustRightInd w:val="0"/>
        <w:spacing w:after="0" w:line="240" w:lineRule="auto"/>
        <w:rPr>
          <w:rFonts w:ascii="Arial" w:eastAsia="Arial" w:hAnsi="Arial" w:cs="Arial"/>
          <w:szCs w:val="24"/>
          <w:lang w:eastAsia="en-GB"/>
        </w:rPr>
      </w:pPr>
      <w:r w:rsidRPr="00F55774">
        <w:rPr>
          <w:rFonts w:ascii="Arial" w:eastAsia="Arial" w:hAnsi="Arial" w:cs="Arial"/>
          <w:szCs w:val="24"/>
        </w:rPr>
        <w:t>applicant used to live in the area for more than 3 years but had to move away because of the lack of affordable housing</w:t>
      </w:r>
    </w:p>
    <w:p w14:paraId="0B95F910" w14:textId="5E6AAF11" w:rsidR="00F55774" w:rsidRPr="00F55774" w:rsidRDefault="00F55774" w:rsidP="00874A98">
      <w:pPr>
        <w:pStyle w:val="ListParagraph"/>
        <w:numPr>
          <w:ilvl w:val="0"/>
          <w:numId w:val="303"/>
        </w:numPr>
        <w:autoSpaceDE w:val="0"/>
        <w:autoSpaceDN w:val="0"/>
        <w:adjustRightInd w:val="0"/>
        <w:spacing w:after="0" w:line="240" w:lineRule="auto"/>
        <w:rPr>
          <w:rFonts w:ascii="Arial" w:eastAsia="Arial" w:hAnsi="Arial" w:cs="Arial"/>
          <w:szCs w:val="24"/>
          <w:lang w:eastAsia="en-GB"/>
        </w:rPr>
      </w:pPr>
      <w:r w:rsidRPr="00F55774">
        <w:rPr>
          <w:rFonts w:ascii="Arial" w:eastAsia="Arial" w:hAnsi="Arial" w:cs="Arial"/>
          <w:szCs w:val="24"/>
        </w:rPr>
        <w:t>applicant has been permanently employed in the area for more than 3 years</w:t>
      </w:r>
    </w:p>
    <w:p w14:paraId="7FC0909A" w14:textId="77777777" w:rsidR="00F55774" w:rsidRPr="00F55774" w:rsidRDefault="00F55774" w:rsidP="00F55774">
      <w:pPr>
        <w:pStyle w:val="ListParagraph"/>
        <w:autoSpaceDE w:val="0"/>
        <w:autoSpaceDN w:val="0"/>
        <w:adjustRightInd w:val="0"/>
        <w:spacing w:after="0" w:line="240" w:lineRule="auto"/>
        <w:ind w:left="851"/>
        <w:rPr>
          <w:rFonts w:ascii="Arial" w:eastAsia="Arial" w:hAnsi="Arial" w:cs="Arial"/>
          <w:szCs w:val="24"/>
          <w:lang w:eastAsia="en-GB"/>
        </w:rPr>
      </w:pPr>
    </w:p>
    <w:p w14:paraId="78B66E92" w14:textId="09BCC590" w:rsidR="00F55774" w:rsidRPr="00F55774"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F55774">
        <w:rPr>
          <w:rFonts w:ascii="Arial" w:hAnsi="Arial" w:cs="Arial"/>
          <w:szCs w:val="24"/>
        </w:rPr>
        <w:t xml:space="preserve">Although priority is given to applicants with a local connection, if there are still properties remaining, allocation will be </w:t>
      </w:r>
      <w:proofErr w:type="gramStart"/>
      <w:r w:rsidRPr="00F55774">
        <w:rPr>
          <w:rFonts w:ascii="Arial" w:hAnsi="Arial" w:cs="Arial"/>
          <w:szCs w:val="24"/>
        </w:rPr>
        <w:t>opened up</w:t>
      </w:r>
      <w:proofErr w:type="gramEnd"/>
      <w:r w:rsidRPr="00F55774">
        <w:rPr>
          <w:rFonts w:ascii="Arial" w:hAnsi="Arial" w:cs="Arial"/>
          <w:szCs w:val="24"/>
        </w:rPr>
        <w:t xml:space="preserve"> to surrounding local areas and then to the whole of the local authority area. This ensures that the homes are occupied by residents as local to the area as possible.</w:t>
      </w:r>
    </w:p>
    <w:p w14:paraId="29F3D5CB" w14:textId="77777777" w:rsidR="00F55774" w:rsidRPr="00F55774" w:rsidRDefault="00F55774" w:rsidP="00F55774">
      <w:pPr>
        <w:pStyle w:val="ListParagraph"/>
        <w:autoSpaceDE w:val="0"/>
        <w:autoSpaceDN w:val="0"/>
        <w:adjustRightInd w:val="0"/>
        <w:spacing w:after="0" w:line="240" w:lineRule="auto"/>
        <w:ind w:left="851"/>
        <w:rPr>
          <w:rFonts w:ascii="Arial" w:eastAsia="Arial" w:hAnsi="Arial" w:cs="Arial"/>
          <w:szCs w:val="24"/>
          <w:lang w:eastAsia="en-GB"/>
        </w:rPr>
      </w:pPr>
    </w:p>
    <w:p w14:paraId="12CF7EA2" w14:textId="29E05008" w:rsidR="006977E7" w:rsidRPr="006D4F49"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lang w:eastAsia="en-GB"/>
        </w:rPr>
      </w:pPr>
      <w:r w:rsidRPr="00F55774">
        <w:rPr>
          <w:rFonts w:ascii="Arial" w:hAnsi="Arial" w:cs="Arial"/>
          <w:szCs w:val="24"/>
        </w:rPr>
        <w:t xml:space="preserve">Rural Exceptions developments should be small in scale and reflect the dwelling size and tenure identified by the local needs survey, consistent with the provisions of the NPPF. For planning purposes, a ‘small’ site is taken to be one consisting of less than 10 dwellings. </w:t>
      </w:r>
      <w:proofErr w:type="gramStart"/>
      <w:r w:rsidRPr="00F55774">
        <w:rPr>
          <w:rFonts w:ascii="Arial" w:hAnsi="Arial" w:cs="Arial"/>
          <w:szCs w:val="24"/>
        </w:rPr>
        <w:t>In order to</w:t>
      </w:r>
      <w:proofErr w:type="gramEnd"/>
      <w:r w:rsidRPr="00F55774">
        <w:rPr>
          <w:rFonts w:ascii="Arial" w:hAnsi="Arial" w:cs="Arial"/>
          <w:szCs w:val="24"/>
        </w:rPr>
        <w:t xml:space="preserve"> minimise visual impact and provide reasonable access to local services and facilities, rural exception sites should be situated within or physically adjoining existing rural settlements and comply with all other relevant policies in the Local Plan</w:t>
      </w:r>
      <w:bookmarkStart w:id="238" w:name="_Toc500408779"/>
      <w:r w:rsidR="006D4F49">
        <w:rPr>
          <w:rFonts w:ascii="Arial" w:hAnsi="Arial" w:cs="Arial"/>
          <w:szCs w:val="24"/>
        </w:rPr>
        <w:t>.</w:t>
      </w:r>
    </w:p>
    <w:p w14:paraId="596BB1C0" w14:textId="77777777" w:rsidR="00A81691" w:rsidRDefault="00A81691" w:rsidP="00AF2E2B">
      <w:pPr>
        <w:rPr>
          <w:rFonts w:eastAsia="Arial"/>
        </w:rPr>
      </w:pPr>
    </w:p>
    <w:p w14:paraId="5C831E59" w14:textId="77777777" w:rsidR="004C67D8" w:rsidRPr="00AF2E2B" w:rsidRDefault="004C67D8" w:rsidP="00AF2E2B">
      <w:pPr>
        <w:rPr>
          <w:rFonts w:eastAsia="Arial"/>
        </w:rPr>
      </w:pPr>
    </w:p>
    <w:p w14:paraId="30DE790A" w14:textId="3D39D682" w:rsidR="00550BB9" w:rsidRPr="00995322" w:rsidRDefault="006977E7" w:rsidP="00995322">
      <w:pPr>
        <w:pStyle w:val="Heading2"/>
        <w:jc w:val="left"/>
        <w:rPr>
          <w:rFonts w:eastAsia="Arial"/>
          <w:sz w:val="28"/>
          <w:szCs w:val="28"/>
        </w:rPr>
      </w:pPr>
      <w:bookmarkStart w:id="239" w:name="_Toc145511592"/>
      <w:r w:rsidRPr="00995322">
        <w:rPr>
          <w:rFonts w:eastAsia="Arial"/>
          <w:sz w:val="28"/>
          <w:szCs w:val="28"/>
        </w:rPr>
        <w:t xml:space="preserve">Policy </w:t>
      </w:r>
      <w:r w:rsidR="005352FB" w:rsidRPr="00995322">
        <w:rPr>
          <w:rFonts w:eastAsia="Arial"/>
          <w:sz w:val="28"/>
          <w:szCs w:val="28"/>
        </w:rPr>
        <w:t>H</w:t>
      </w:r>
      <w:r w:rsidR="00550BB9" w:rsidRPr="00995322">
        <w:rPr>
          <w:rFonts w:eastAsia="Arial"/>
          <w:sz w:val="28"/>
          <w:szCs w:val="28"/>
        </w:rPr>
        <w:t>5: Public Open Space in New Residential Developments</w:t>
      </w:r>
      <w:bookmarkEnd w:id="238"/>
      <w:bookmarkEnd w:id="239"/>
    </w:p>
    <w:p w14:paraId="3D9951B3" w14:textId="77777777" w:rsidR="006977E7" w:rsidRPr="00995322" w:rsidRDefault="006977E7" w:rsidP="00995322">
      <w:pPr>
        <w:rPr>
          <w:rFonts w:eastAsia="Arial"/>
          <w:sz w:val="28"/>
          <w:szCs w:val="28"/>
        </w:rPr>
      </w:pPr>
    </w:p>
    <w:p w14:paraId="32383642" w14:textId="1C5215F5" w:rsidR="00DA3B66" w:rsidRPr="006D4F49" w:rsidRDefault="00550BB9"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041502">
        <w:rPr>
          <w:rFonts w:ascii="Arial" w:hAnsi="Arial" w:cs="Arial"/>
          <w:szCs w:val="24"/>
        </w:rPr>
        <w:t xml:space="preserve">This policy acknowledges the </w:t>
      </w:r>
      <w:r w:rsidRPr="00041502">
        <w:rPr>
          <w:rFonts w:ascii="Arial" w:eastAsia="Arial" w:hAnsi="Arial" w:cs="Arial"/>
        </w:rPr>
        <w:t>important contribution access to good quality public open spaces can make to the health and wellbeing of communities. It requires new residential developments to contribute to green open space provision either by the creation of additional areas or the improvement of existing facilities in the locality</w:t>
      </w:r>
      <w:r w:rsidR="006D4F49">
        <w:rPr>
          <w:rFonts w:ascii="Arial" w:eastAsia="Arial" w:hAnsi="Arial" w:cs="Arial"/>
        </w:rPr>
        <w:t>.</w:t>
      </w:r>
    </w:p>
    <w:p w14:paraId="5AF4351B" w14:textId="702831ED" w:rsidR="00041502" w:rsidRPr="00041502" w:rsidRDefault="00041502" w:rsidP="00041502">
      <w:pPr>
        <w:pStyle w:val="ListParagraph"/>
        <w:autoSpaceDE w:val="0"/>
        <w:autoSpaceDN w:val="0"/>
        <w:adjustRightInd w:val="0"/>
        <w:spacing w:after="0" w:line="240" w:lineRule="auto"/>
        <w:ind w:left="460"/>
        <w:rPr>
          <w:rFonts w:ascii="Arial" w:eastAsia="Arial" w:hAnsi="Arial" w:cs="Arial"/>
        </w:rPr>
      </w:pPr>
    </w:p>
    <w:tbl>
      <w:tblPr>
        <w:tblStyle w:val="TableGrid13"/>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47"/>
        <w:gridCol w:w="7372"/>
      </w:tblGrid>
      <w:tr w:rsidR="00041502" w:rsidRPr="00041502" w14:paraId="5EE6635F" w14:textId="77777777" w:rsidTr="005352FB">
        <w:tc>
          <w:tcPr>
            <w:tcW w:w="9628" w:type="dxa"/>
            <w:gridSpan w:val="2"/>
          </w:tcPr>
          <w:p w14:paraId="23F5B0A6" w14:textId="77777777" w:rsidR="005352FB" w:rsidRDefault="005352FB" w:rsidP="00FF3EAD">
            <w:pPr>
              <w:keepNext w:val="0"/>
              <w:spacing w:before="0"/>
              <w:jc w:val="left"/>
              <w:rPr>
                <w:b/>
                <w:bCs/>
                <w:color w:val="auto"/>
              </w:rPr>
            </w:pPr>
          </w:p>
          <w:p w14:paraId="0715A5FD" w14:textId="7207243E" w:rsidR="00041502" w:rsidRDefault="00041502" w:rsidP="00FF3EAD">
            <w:pPr>
              <w:keepNext w:val="0"/>
              <w:spacing w:before="0"/>
              <w:jc w:val="left"/>
              <w:rPr>
                <w:b/>
                <w:bCs/>
                <w:color w:val="auto"/>
              </w:rPr>
            </w:pPr>
            <w:r w:rsidRPr="00041502">
              <w:rPr>
                <w:b/>
                <w:bCs/>
                <w:color w:val="auto"/>
              </w:rPr>
              <w:t>Policy H5: Public Open Space in New Residential Developments</w:t>
            </w:r>
          </w:p>
          <w:p w14:paraId="7C1F7C09" w14:textId="2FF28CF0" w:rsidR="005352FB" w:rsidRPr="00041502" w:rsidRDefault="005352FB" w:rsidP="00FF3EAD">
            <w:pPr>
              <w:keepNext w:val="0"/>
              <w:spacing w:before="0"/>
              <w:jc w:val="left"/>
              <w:rPr>
                <w:b/>
                <w:bCs/>
                <w:color w:val="auto"/>
              </w:rPr>
            </w:pPr>
          </w:p>
        </w:tc>
      </w:tr>
      <w:tr w:rsidR="00041502" w:rsidRPr="00041502" w14:paraId="109C632E" w14:textId="77777777" w:rsidTr="005352FB">
        <w:tc>
          <w:tcPr>
            <w:tcW w:w="2248" w:type="dxa"/>
          </w:tcPr>
          <w:p w14:paraId="477F2853" w14:textId="77777777" w:rsidR="00041502" w:rsidRPr="00041502" w:rsidRDefault="00041502" w:rsidP="00041502">
            <w:pPr>
              <w:keepNext w:val="0"/>
              <w:spacing w:before="0"/>
              <w:rPr>
                <w:color w:val="auto"/>
              </w:rPr>
            </w:pPr>
            <w:r w:rsidRPr="00041502">
              <w:rPr>
                <w:color w:val="auto"/>
              </w:rPr>
              <w:t>Strategic Objectives</w:t>
            </w:r>
          </w:p>
        </w:tc>
        <w:tc>
          <w:tcPr>
            <w:tcW w:w="7380" w:type="dxa"/>
          </w:tcPr>
          <w:p w14:paraId="743AD8CF" w14:textId="77777777" w:rsidR="00041502" w:rsidRPr="00041502" w:rsidRDefault="00041502" w:rsidP="00FF3EAD">
            <w:pPr>
              <w:keepNext w:val="0"/>
              <w:spacing w:before="0"/>
              <w:jc w:val="left"/>
              <w:rPr>
                <w:color w:val="auto"/>
              </w:rPr>
            </w:pPr>
            <w:r w:rsidRPr="00041502">
              <w:rPr>
                <w:color w:val="auto"/>
              </w:rPr>
              <w:t>SO1, SO2, SO4, SO5, SO7, SO8, SO9, S011, S012, SO14.</w:t>
            </w:r>
          </w:p>
        </w:tc>
      </w:tr>
      <w:tr w:rsidR="00041502" w:rsidRPr="00041502" w14:paraId="25270B6E" w14:textId="77777777" w:rsidTr="005352FB">
        <w:tc>
          <w:tcPr>
            <w:tcW w:w="9628" w:type="dxa"/>
            <w:gridSpan w:val="2"/>
            <w:shd w:val="clear" w:color="auto" w:fill="F7CAAC"/>
          </w:tcPr>
          <w:p w14:paraId="5A95976D" w14:textId="77777777" w:rsidR="00041502" w:rsidRPr="004C67D8" w:rsidRDefault="00041502" w:rsidP="00FF3EAD">
            <w:pPr>
              <w:keepNext w:val="0"/>
              <w:spacing w:before="0"/>
              <w:jc w:val="left"/>
              <w:rPr>
                <w:color w:val="auto"/>
              </w:rPr>
            </w:pPr>
          </w:p>
          <w:p w14:paraId="37DF27E2" w14:textId="77777777" w:rsidR="00041502" w:rsidRPr="004C67D8" w:rsidRDefault="00041502" w:rsidP="00874A98">
            <w:pPr>
              <w:keepNext w:val="0"/>
              <w:numPr>
                <w:ilvl w:val="0"/>
                <w:numId w:val="270"/>
              </w:numPr>
              <w:spacing w:before="0"/>
              <w:contextualSpacing/>
              <w:jc w:val="left"/>
              <w:rPr>
                <w:color w:val="auto"/>
              </w:rPr>
            </w:pPr>
            <w:r w:rsidRPr="004C67D8">
              <w:rPr>
                <w:color w:val="auto"/>
              </w:rPr>
              <w:t>New residential development will be required to provide for public open space according to the following criteria:</w:t>
            </w:r>
          </w:p>
          <w:p w14:paraId="0709E98A" w14:textId="77777777" w:rsidR="00041502" w:rsidRPr="004C67D8" w:rsidRDefault="00041502" w:rsidP="00FF3EAD">
            <w:pPr>
              <w:keepNext w:val="0"/>
              <w:spacing w:before="0"/>
              <w:jc w:val="left"/>
              <w:rPr>
                <w:color w:val="auto"/>
              </w:rPr>
            </w:pPr>
          </w:p>
          <w:p w14:paraId="2250FDD8" w14:textId="77777777" w:rsidR="00041502" w:rsidRPr="004C67D8" w:rsidRDefault="00041502" w:rsidP="00874A98">
            <w:pPr>
              <w:keepNext w:val="0"/>
              <w:numPr>
                <w:ilvl w:val="0"/>
                <w:numId w:val="271"/>
              </w:numPr>
              <w:spacing w:before="0"/>
              <w:contextualSpacing/>
              <w:jc w:val="left"/>
              <w:rPr>
                <w:color w:val="auto"/>
              </w:rPr>
            </w:pPr>
            <w:r w:rsidRPr="004C67D8">
              <w:rPr>
                <w:color w:val="auto"/>
              </w:rPr>
              <w:lastRenderedPageBreak/>
              <w:t>On sites of two hectares or more, a minimum of 10% of the gross housing area will be provided as public open space.</w:t>
            </w:r>
          </w:p>
          <w:p w14:paraId="18270F7A" w14:textId="77777777" w:rsidR="00041502" w:rsidRPr="004C67D8" w:rsidRDefault="00041502" w:rsidP="00FF3EAD">
            <w:pPr>
              <w:keepNext w:val="0"/>
              <w:spacing w:before="0"/>
              <w:ind w:left="720"/>
              <w:contextualSpacing/>
              <w:jc w:val="left"/>
              <w:rPr>
                <w:color w:val="auto"/>
              </w:rPr>
            </w:pPr>
          </w:p>
          <w:p w14:paraId="2D898427" w14:textId="77777777" w:rsidR="00041502" w:rsidRPr="004C67D8" w:rsidRDefault="00041502" w:rsidP="00874A98">
            <w:pPr>
              <w:keepNext w:val="0"/>
              <w:numPr>
                <w:ilvl w:val="0"/>
                <w:numId w:val="271"/>
              </w:numPr>
              <w:spacing w:before="0"/>
              <w:contextualSpacing/>
              <w:jc w:val="left"/>
              <w:rPr>
                <w:color w:val="auto"/>
              </w:rPr>
            </w:pPr>
            <w:r w:rsidRPr="004C67D8">
              <w:rPr>
                <w:color w:val="auto"/>
              </w:rPr>
              <w:t>On sites of less than two hectares and more than five dwellings, the extent of public open space required will be assessed by taking account of house types and the extent and accessibility of the site to existing open space in the locality.</w:t>
            </w:r>
          </w:p>
          <w:p w14:paraId="0F9F94ED" w14:textId="77777777" w:rsidR="00041502" w:rsidRPr="004C67D8" w:rsidRDefault="00041502" w:rsidP="00FF3EAD">
            <w:pPr>
              <w:keepNext w:val="0"/>
              <w:spacing w:before="0"/>
              <w:ind w:left="720"/>
              <w:contextualSpacing/>
              <w:jc w:val="left"/>
              <w:rPr>
                <w:color w:val="auto"/>
              </w:rPr>
            </w:pPr>
          </w:p>
          <w:p w14:paraId="782109E2" w14:textId="77777777" w:rsidR="00041502" w:rsidRPr="004C67D8" w:rsidRDefault="00041502" w:rsidP="00874A98">
            <w:pPr>
              <w:keepNext w:val="0"/>
              <w:numPr>
                <w:ilvl w:val="0"/>
                <w:numId w:val="271"/>
              </w:numPr>
              <w:spacing w:before="0"/>
              <w:contextualSpacing/>
              <w:jc w:val="left"/>
              <w:rPr>
                <w:color w:val="auto"/>
              </w:rPr>
            </w:pPr>
            <w:r w:rsidRPr="004C67D8">
              <w:rPr>
                <w:color w:val="auto"/>
              </w:rPr>
              <w:t>On sites where it is inappropriate to provide new public open space within the site boundary, a planning obligation will be negotiated towards one or a combination of the following:</w:t>
            </w:r>
          </w:p>
          <w:p w14:paraId="26850F60" w14:textId="77777777" w:rsidR="00041502" w:rsidRPr="004C67D8" w:rsidRDefault="00041502" w:rsidP="00FF3EAD">
            <w:pPr>
              <w:keepNext w:val="0"/>
              <w:spacing w:before="0"/>
              <w:jc w:val="left"/>
              <w:rPr>
                <w:color w:val="auto"/>
              </w:rPr>
            </w:pPr>
          </w:p>
          <w:p w14:paraId="59AB9B7B" w14:textId="77777777" w:rsidR="00041502" w:rsidRPr="004C67D8" w:rsidRDefault="00041502" w:rsidP="00874A98">
            <w:pPr>
              <w:keepNext w:val="0"/>
              <w:numPr>
                <w:ilvl w:val="0"/>
                <w:numId w:val="272"/>
              </w:numPr>
              <w:spacing w:before="0"/>
              <w:contextualSpacing/>
              <w:jc w:val="left"/>
              <w:rPr>
                <w:color w:val="auto"/>
              </w:rPr>
            </w:pPr>
            <w:r w:rsidRPr="004C67D8">
              <w:rPr>
                <w:color w:val="auto"/>
              </w:rPr>
              <w:t>improvement of existing public open space provision/improved access to existing open space;</w:t>
            </w:r>
          </w:p>
          <w:p w14:paraId="2778B412" w14:textId="77777777" w:rsidR="00041502" w:rsidRPr="004C67D8" w:rsidRDefault="00041502" w:rsidP="00874A98">
            <w:pPr>
              <w:keepNext w:val="0"/>
              <w:numPr>
                <w:ilvl w:val="0"/>
                <w:numId w:val="272"/>
              </w:numPr>
              <w:spacing w:before="0"/>
              <w:contextualSpacing/>
              <w:jc w:val="left"/>
              <w:rPr>
                <w:color w:val="auto"/>
              </w:rPr>
            </w:pPr>
            <w:r w:rsidRPr="004C67D8">
              <w:rPr>
                <w:color w:val="auto"/>
              </w:rPr>
              <w:t xml:space="preserve">new open space to be provided elsewhere; </w:t>
            </w:r>
          </w:p>
          <w:p w14:paraId="3EDC718F" w14:textId="77777777" w:rsidR="00041502" w:rsidRPr="004C67D8" w:rsidRDefault="00041502" w:rsidP="00874A98">
            <w:pPr>
              <w:keepNext w:val="0"/>
              <w:numPr>
                <w:ilvl w:val="0"/>
                <w:numId w:val="272"/>
              </w:numPr>
              <w:spacing w:before="0"/>
              <w:contextualSpacing/>
              <w:jc w:val="left"/>
              <w:rPr>
                <w:color w:val="auto"/>
              </w:rPr>
            </w:pPr>
            <w:r w:rsidRPr="004C67D8">
              <w:rPr>
                <w:color w:val="auto"/>
              </w:rPr>
              <w:t>town centre and public realm improvements.</w:t>
            </w:r>
          </w:p>
          <w:p w14:paraId="75268C83" w14:textId="77777777" w:rsidR="001F1619" w:rsidRPr="004C67D8" w:rsidRDefault="001F1619" w:rsidP="001F1619">
            <w:pPr>
              <w:keepNext w:val="0"/>
              <w:spacing w:before="0"/>
              <w:ind w:left="1080"/>
              <w:contextualSpacing/>
              <w:jc w:val="left"/>
              <w:rPr>
                <w:color w:val="auto"/>
              </w:rPr>
            </w:pPr>
          </w:p>
          <w:p w14:paraId="09757C6D" w14:textId="437A4CD9" w:rsidR="001F1619" w:rsidRPr="004C67D8" w:rsidRDefault="001F1619" w:rsidP="00874A98">
            <w:pPr>
              <w:keepNext w:val="0"/>
              <w:numPr>
                <w:ilvl w:val="0"/>
                <w:numId w:val="271"/>
              </w:numPr>
              <w:spacing w:before="0"/>
              <w:contextualSpacing/>
              <w:jc w:val="left"/>
              <w:rPr>
                <w:color w:val="auto"/>
              </w:rPr>
            </w:pPr>
            <w:r w:rsidRPr="004C67D8">
              <w:rPr>
                <w:color w:val="auto"/>
              </w:rPr>
              <w:t>Provision must be made for subsequent management and maintenance of new/ improved open space.</w:t>
            </w:r>
          </w:p>
          <w:p w14:paraId="5CA0F014" w14:textId="18DDA0FB" w:rsidR="001F1619" w:rsidRPr="004C67D8" w:rsidRDefault="001F1619" w:rsidP="001F1619">
            <w:pPr>
              <w:keepNext w:val="0"/>
              <w:spacing w:before="0"/>
              <w:ind w:left="720"/>
              <w:contextualSpacing/>
              <w:jc w:val="left"/>
              <w:rPr>
                <w:color w:val="auto"/>
              </w:rPr>
            </w:pPr>
          </w:p>
        </w:tc>
      </w:tr>
      <w:tr w:rsidR="00041502" w:rsidRPr="00041502" w14:paraId="3036AF42" w14:textId="77777777" w:rsidTr="005352FB">
        <w:tc>
          <w:tcPr>
            <w:tcW w:w="2248" w:type="dxa"/>
          </w:tcPr>
          <w:p w14:paraId="65EE3E78" w14:textId="77777777" w:rsidR="00041502" w:rsidRPr="00041502" w:rsidRDefault="00041502" w:rsidP="00041502">
            <w:pPr>
              <w:keepNext w:val="0"/>
              <w:spacing w:before="0"/>
              <w:jc w:val="left"/>
              <w:rPr>
                <w:color w:val="auto"/>
                <w:sz w:val="20"/>
                <w:szCs w:val="20"/>
              </w:rPr>
            </w:pPr>
            <w:r w:rsidRPr="00041502">
              <w:rPr>
                <w:color w:val="auto"/>
                <w:sz w:val="20"/>
                <w:szCs w:val="20"/>
              </w:rPr>
              <w:lastRenderedPageBreak/>
              <w:t>Evidence Base</w:t>
            </w:r>
          </w:p>
        </w:tc>
        <w:tc>
          <w:tcPr>
            <w:tcW w:w="7380" w:type="dxa"/>
          </w:tcPr>
          <w:p w14:paraId="7FDF74AE" w14:textId="2A5F132C" w:rsidR="00041502" w:rsidRPr="004C67D8" w:rsidRDefault="00041502" w:rsidP="00874A98">
            <w:pPr>
              <w:keepNext w:val="0"/>
              <w:numPr>
                <w:ilvl w:val="0"/>
                <w:numId w:val="268"/>
              </w:numPr>
              <w:spacing w:before="0"/>
              <w:contextualSpacing/>
              <w:jc w:val="left"/>
              <w:rPr>
                <w:color w:val="auto"/>
                <w:sz w:val="20"/>
                <w:szCs w:val="20"/>
              </w:rPr>
            </w:pPr>
            <w:r w:rsidRPr="004C67D8">
              <w:rPr>
                <w:color w:val="auto"/>
                <w:sz w:val="20"/>
                <w:szCs w:val="20"/>
              </w:rPr>
              <w:t xml:space="preserve">Ashfield </w:t>
            </w:r>
            <w:r w:rsidR="005B3A0F">
              <w:rPr>
                <w:color w:val="auto"/>
                <w:sz w:val="20"/>
                <w:szCs w:val="20"/>
              </w:rPr>
              <w:t>P</w:t>
            </w:r>
            <w:r w:rsidRPr="004C67D8">
              <w:rPr>
                <w:color w:val="auto"/>
                <w:sz w:val="20"/>
                <w:szCs w:val="20"/>
              </w:rPr>
              <w:t>ublic Open Space Strategy 2016-2026, Ashfield DC.</w:t>
            </w:r>
          </w:p>
          <w:p w14:paraId="12741B93" w14:textId="1B326774" w:rsidR="00041502" w:rsidRPr="004C67D8" w:rsidRDefault="00041502" w:rsidP="00874A98">
            <w:pPr>
              <w:keepNext w:val="0"/>
              <w:numPr>
                <w:ilvl w:val="0"/>
                <w:numId w:val="268"/>
              </w:numPr>
              <w:spacing w:before="0"/>
              <w:contextualSpacing/>
              <w:jc w:val="left"/>
              <w:rPr>
                <w:color w:val="auto"/>
                <w:sz w:val="20"/>
                <w:szCs w:val="20"/>
              </w:rPr>
            </w:pPr>
            <w:r w:rsidRPr="004C67D8">
              <w:rPr>
                <w:color w:val="auto"/>
                <w:sz w:val="20"/>
                <w:szCs w:val="20"/>
              </w:rPr>
              <w:t>Ashfield Playing Pitch Strategy 20</w:t>
            </w:r>
            <w:r w:rsidR="00F906E1">
              <w:rPr>
                <w:color w:val="auto"/>
                <w:sz w:val="20"/>
                <w:szCs w:val="20"/>
              </w:rPr>
              <w:t>23</w:t>
            </w:r>
            <w:r w:rsidRPr="004C67D8">
              <w:rPr>
                <w:color w:val="auto"/>
                <w:sz w:val="20"/>
                <w:szCs w:val="20"/>
              </w:rPr>
              <w:t>-202</w:t>
            </w:r>
            <w:r w:rsidR="00F906E1">
              <w:rPr>
                <w:color w:val="auto"/>
                <w:sz w:val="20"/>
                <w:szCs w:val="20"/>
              </w:rPr>
              <w:t>7</w:t>
            </w:r>
            <w:r w:rsidRPr="004C67D8">
              <w:rPr>
                <w:color w:val="auto"/>
                <w:sz w:val="20"/>
                <w:szCs w:val="20"/>
              </w:rPr>
              <w:t>, Ashfield DC.</w:t>
            </w:r>
          </w:p>
          <w:p w14:paraId="3A8C376A" w14:textId="2D9293CD" w:rsidR="00041502" w:rsidRPr="004C67D8" w:rsidRDefault="00B40389" w:rsidP="00874A98">
            <w:pPr>
              <w:keepNext w:val="0"/>
              <w:numPr>
                <w:ilvl w:val="0"/>
                <w:numId w:val="268"/>
              </w:numPr>
              <w:spacing w:before="0"/>
              <w:contextualSpacing/>
              <w:jc w:val="left"/>
              <w:rPr>
                <w:color w:val="auto"/>
                <w:sz w:val="20"/>
                <w:szCs w:val="20"/>
              </w:rPr>
            </w:pPr>
            <w:r w:rsidRPr="004C67D8">
              <w:rPr>
                <w:color w:val="auto"/>
                <w:sz w:val="20"/>
                <w:szCs w:val="20"/>
              </w:rPr>
              <w:t>Sustainability Appraisal, 2023. WSP UK Limited.</w:t>
            </w:r>
          </w:p>
        </w:tc>
      </w:tr>
      <w:tr w:rsidR="00041502" w:rsidRPr="00041502" w14:paraId="16A20F21" w14:textId="77777777" w:rsidTr="005352FB">
        <w:tc>
          <w:tcPr>
            <w:tcW w:w="2248" w:type="dxa"/>
          </w:tcPr>
          <w:p w14:paraId="3CEE30F9" w14:textId="77777777" w:rsidR="00041502" w:rsidRPr="00041502" w:rsidRDefault="00041502" w:rsidP="00041502">
            <w:pPr>
              <w:keepNext w:val="0"/>
              <w:spacing w:before="0"/>
              <w:jc w:val="left"/>
              <w:rPr>
                <w:color w:val="auto"/>
                <w:sz w:val="20"/>
                <w:szCs w:val="20"/>
              </w:rPr>
            </w:pPr>
            <w:r w:rsidRPr="00041502">
              <w:rPr>
                <w:color w:val="auto"/>
                <w:sz w:val="20"/>
                <w:szCs w:val="20"/>
              </w:rPr>
              <w:t>National Planning Policy and Guidance</w:t>
            </w:r>
          </w:p>
        </w:tc>
        <w:tc>
          <w:tcPr>
            <w:tcW w:w="7380" w:type="dxa"/>
          </w:tcPr>
          <w:p w14:paraId="18D98A90" w14:textId="2A8903BF" w:rsidR="00041502" w:rsidRPr="004C67D8" w:rsidRDefault="00041502" w:rsidP="00874A98">
            <w:pPr>
              <w:keepNext w:val="0"/>
              <w:numPr>
                <w:ilvl w:val="0"/>
                <w:numId w:val="269"/>
              </w:numPr>
              <w:spacing w:before="0"/>
              <w:contextualSpacing/>
              <w:jc w:val="left"/>
              <w:rPr>
                <w:color w:val="auto"/>
                <w:sz w:val="20"/>
                <w:szCs w:val="20"/>
              </w:rPr>
            </w:pPr>
            <w:r w:rsidRPr="004C67D8">
              <w:rPr>
                <w:color w:val="auto"/>
                <w:sz w:val="20"/>
                <w:szCs w:val="20"/>
              </w:rPr>
              <w:t>NPPF 202</w:t>
            </w:r>
            <w:r w:rsidR="004173E0" w:rsidRPr="004C67D8">
              <w:rPr>
                <w:color w:val="auto"/>
                <w:sz w:val="20"/>
                <w:szCs w:val="20"/>
              </w:rPr>
              <w:t>3</w:t>
            </w:r>
            <w:r w:rsidRPr="004C67D8">
              <w:rPr>
                <w:color w:val="auto"/>
                <w:sz w:val="20"/>
                <w:szCs w:val="20"/>
              </w:rPr>
              <w:t>, Part 2: Achieving sustainable development.</w:t>
            </w:r>
          </w:p>
          <w:p w14:paraId="6CA58270" w14:textId="66DC014C" w:rsidR="00041502" w:rsidRPr="004C67D8" w:rsidRDefault="00041502" w:rsidP="00874A98">
            <w:pPr>
              <w:keepNext w:val="0"/>
              <w:numPr>
                <w:ilvl w:val="0"/>
                <w:numId w:val="269"/>
              </w:numPr>
              <w:spacing w:before="0"/>
              <w:contextualSpacing/>
              <w:jc w:val="left"/>
              <w:rPr>
                <w:color w:val="auto"/>
                <w:sz w:val="20"/>
                <w:szCs w:val="20"/>
              </w:rPr>
            </w:pPr>
            <w:r w:rsidRPr="004C67D8">
              <w:rPr>
                <w:color w:val="auto"/>
                <w:sz w:val="20"/>
                <w:szCs w:val="20"/>
              </w:rPr>
              <w:t>NPPF 202</w:t>
            </w:r>
            <w:r w:rsidR="004173E0" w:rsidRPr="004C67D8">
              <w:rPr>
                <w:color w:val="auto"/>
                <w:sz w:val="20"/>
                <w:szCs w:val="20"/>
              </w:rPr>
              <w:t>3</w:t>
            </w:r>
            <w:r w:rsidRPr="004C67D8">
              <w:rPr>
                <w:color w:val="auto"/>
                <w:sz w:val="20"/>
                <w:szCs w:val="20"/>
              </w:rPr>
              <w:t xml:space="preserve">, Part 8: Promoting healthy and safe communities </w:t>
            </w:r>
          </w:p>
          <w:p w14:paraId="2489F182" w14:textId="1C645610" w:rsidR="00041502" w:rsidRPr="004C67D8" w:rsidRDefault="00041502" w:rsidP="00874A98">
            <w:pPr>
              <w:keepNext w:val="0"/>
              <w:numPr>
                <w:ilvl w:val="0"/>
                <w:numId w:val="269"/>
              </w:numPr>
              <w:spacing w:before="0"/>
              <w:contextualSpacing/>
              <w:jc w:val="left"/>
              <w:rPr>
                <w:color w:val="auto"/>
                <w:sz w:val="20"/>
                <w:szCs w:val="20"/>
              </w:rPr>
            </w:pPr>
            <w:r w:rsidRPr="004C67D8">
              <w:rPr>
                <w:color w:val="auto"/>
                <w:sz w:val="20"/>
                <w:szCs w:val="20"/>
              </w:rPr>
              <w:t xml:space="preserve">Planning Practice Guidance: Healthy and safe communities </w:t>
            </w:r>
            <w:r w:rsidR="00B40389" w:rsidRPr="004C67D8">
              <w:rPr>
                <w:color w:val="auto"/>
                <w:sz w:val="20"/>
                <w:szCs w:val="20"/>
              </w:rPr>
              <w:t xml:space="preserve">as </w:t>
            </w:r>
            <w:proofErr w:type="gramStart"/>
            <w:r w:rsidR="00B40389" w:rsidRPr="004C67D8">
              <w:rPr>
                <w:color w:val="auto"/>
                <w:sz w:val="20"/>
                <w:szCs w:val="20"/>
              </w:rPr>
              <w:t>at</w:t>
            </w:r>
            <w:proofErr w:type="gramEnd"/>
            <w:r w:rsidR="00B40389" w:rsidRPr="004C67D8">
              <w:rPr>
                <w:color w:val="auto"/>
                <w:sz w:val="20"/>
                <w:szCs w:val="20"/>
              </w:rPr>
              <w:t xml:space="preserve"> August 2022.</w:t>
            </w:r>
          </w:p>
          <w:p w14:paraId="5B02D494" w14:textId="4FF6A7AD" w:rsidR="00041502" w:rsidRPr="004C67D8" w:rsidRDefault="00041502" w:rsidP="00874A98">
            <w:pPr>
              <w:keepNext w:val="0"/>
              <w:numPr>
                <w:ilvl w:val="0"/>
                <w:numId w:val="269"/>
              </w:numPr>
              <w:spacing w:before="0"/>
              <w:contextualSpacing/>
              <w:jc w:val="left"/>
              <w:rPr>
                <w:color w:val="auto"/>
                <w:sz w:val="20"/>
                <w:szCs w:val="20"/>
              </w:rPr>
            </w:pPr>
            <w:r w:rsidRPr="004C67D8">
              <w:rPr>
                <w:color w:val="auto"/>
                <w:sz w:val="20"/>
                <w:szCs w:val="20"/>
              </w:rPr>
              <w:t xml:space="preserve">Planning Practice Guidance: Open space, </w:t>
            </w:r>
            <w:r w:rsidR="00B40389" w:rsidRPr="004C67D8">
              <w:rPr>
                <w:color w:val="auto"/>
                <w:sz w:val="20"/>
                <w:szCs w:val="20"/>
              </w:rPr>
              <w:t xml:space="preserve">as at </w:t>
            </w:r>
            <w:r w:rsidRPr="004C67D8">
              <w:rPr>
                <w:color w:val="auto"/>
                <w:sz w:val="20"/>
                <w:szCs w:val="20"/>
              </w:rPr>
              <w:t>Sports and Recreation facilities, public rights of way and local green space</w:t>
            </w:r>
            <w:r w:rsidR="00B40389" w:rsidRPr="004C67D8">
              <w:rPr>
                <w:color w:val="auto"/>
                <w:sz w:val="20"/>
                <w:szCs w:val="20"/>
              </w:rPr>
              <w:t xml:space="preserve"> March 2014.</w:t>
            </w:r>
          </w:p>
        </w:tc>
      </w:tr>
    </w:tbl>
    <w:p w14:paraId="622B24E6" w14:textId="77777777" w:rsidR="00041502" w:rsidRPr="00041502" w:rsidRDefault="00041502" w:rsidP="00041502">
      <w:pPr>
        <w:keepNext w:val="0"/>
        <w:spacing w:before="0" w:after="160" w:line="252" w:lineRule="auto"/>
        <w:jc w:val="both"/>
        <w:rPr>
          <w:rFonts w:eastAsia="Calibri"/>
          <w:color w:val="auto"/>
          <w:szCs w:val="22"/>
        </w:rPr>
      </w:pPr>
    </w:p>
    <w:p w14:paraId="5F25F30D" w14:textId="7B21E37E" w:rsidR="00C464EB" w:rsidRPr="00865993"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spacing w:val="-1"/>
        </w:rPr>
      </w:pPr>
      <w:r w:rsidRPr="00865993">
        <w:rPr>
          <w:rFonts w:ascii="Arial" w:eastAsia="Arial" w:hAnsi="Arial" w:cs="Arial"/>
        </w:rPr>
        <w:t xml:space="preserve">Provision of </w:t>
      </w:r>
      <w:r w:rsidR="00AF213C">
        <w:rPr>
          <w:rFonts w:ascii="Arial" w:eastAsia="Arial" w:hAnsi="Arial" w:cs="Arial"/>
        </w:rPr>
        <w:t>g</w:t>
      </w:r>
      <w:r w:rsidRPr="00865993">
        <w:rPr>
          <w:rFonts w:ascii="Arial" w:eastAsia="Arial" w:hAnsi="Arial" w:cs="Arial"/>
        </w:rPr>
        <w:t xml:space="preserve">reen </w:t>
      </w:r>
      <w:r w:rsidR="00AF213C">
        <w:rPr>
          <w:rFonts w:ascii="Arial" w:eastAsia="Arial" w:hAnsi="Arial" w:cs="Arial"/>
        </w:rPr>
        <w:t>i</w:t>
      </w:r>
      <w:r w:rsidRPr="00865993">
        <w:rPr>
          <w:rFonts w:ascii="Arial" w:eastAsia="Arial" w:hAnsi="Arial" w:cs="Arial"/>
        </w:rPr>
        <w:t>nfrastructure and public open space plays a vital role in helping to create sustainable communities. Accessible open spaces, sport and recreation facilities are all highly valued assets to Ashfield’s communities and new residential developments should, where appropriate, contribute to open space provision either by the creation of additional areas or the improvement of existing facilities in the locality.</w:t>
      </w:r>
    </w:p>
    <w:p w14:paraId="7608684B" w14:textId="77777777" w:rsidR="00C464EB" w:rsidRPr="00865993" w:rsidRDefault="00C464EB" w:rsidP="00041502">
      <w:pPr>
        <w:pStyle w:val="ListParagraph"/>
        <w:autoSpaceDE w:val="0"/>
        <w:autoSpaceDN w:val="0"/>
        <w:adjustRightInd w:val="0"/>
        <w:spacing w:after="0" w:line="240" w:lineRule="auto"/>
        <w:ind w:left="851"/>
        <w:rPr>
          <w:rFonts w:ascii="Arial" w:eastAsia="Arial" w:hAnsi="Arial" w:cs="Arial"/>
          <w:spacing w:val="-1"/>
        </w:rPr>
      </w:pPr>
    </w:p>
    <w:p w14:paraId="4CD7C336" w14:textId="34AC0FBA" w:rsidR="00C464EB" w:rsidRPr="002243F1"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spacing w:val="-1"/>
        </w:rPr>
      </w:pPr>
      <w:r w:rsidRPr="00865993">
        <w:rPr>
          <w:rFonts w:ascii="Arial" w:eastAsia="Arial" w:hAnsi="Arial" w:cs="Arial"/>
        </w:rPr>
        <w:t xml:space="preserve">In providing for new or improved public open space </w:t>
      </w:r>
      <w:proofErr w:type="gramStart"/>
      <w:r w:rsidRPr="00865993">
        <w:rPr>
          <w:rFonts w:ascii="Arial" w:eastAsia="Arial" w:hAnsi="Arial" w:cs="Arial"/>
        </w:rPr>
        <w:t>with regard to</w:t>
      </w:r>
      <w:proofErr w:type="gramEnd"/>
      <w:r w:rsidRPr="00865993">
        <w:rPr>
          <w:rFonts w:ascii="Arial" w:eastAsia="Arial" w:hAnsi="Arial" w:cs="Arial"/>
        </w:rPr>
        <w:t xml:space="preserve"> new development proposals, early discussions with the Council are encouraged </w:t>
      </w:r>
      <w:proofErr w:type="gramStart"/>
      <w:r w:rsidRPr="00865993">
        <w:rPr>
          <w:rFonts w:ascii="Arial" w:eastAsia="Arial" w:hAnsi="Arial" w:cs="Arial"/>
        </w:rPr>
        <w:t>in order to</w:t>
      </w:r>
      <w:proofErr w:type="gramEnd"/>
      <w:r w:rsidRPr="00865993">
        <w:rPr>
          <w:rFonts w:ascii="Arial" w:eastAsia="Arial" w:hAnsi="Arial" w:cs="Arial"/>
        </w:rPr>
        <w:t xml:space="preserve"> secure the right amount and type of open space in locations which provide most benefit to communities and the Green Infrastructure Network.  Further detail </w:t>
      </w:r>
      <w:r w:rsidRPr="005B3A0F">
        <w:rPr>
          <w:rFonts w:ascii="Arial" w:eastAsia="Arial" w:hAnsi="Arial" w:cs="Arial"/>
        </w:rPr>
        <w:t xml:space="preserve">and information on the criteria noted in the </w:t>
      </w:r>
      <w:r w:rsidR="00EF521C" w:rsidRPr="005B3A0F">
        <w:rPr>
          <w:rFonts w:ascii="Arial" w:eastAsia="Arial" w:hAnsi="Arial" w:cs="Arial"/>
        </w:rPr>
        <w:t>P</w:t>
      </w:r>
      <w:r w:rsidRPr="005B3A0F">
        <w:rPr>
          <w:rFonts w:ascii="Arial" w:eastAsia="Arial" w:hAnsi="Arial" w:cs="Arial"/>
        </w:rPr>
        <w:t xml:space="preserve">olicy may be found in Ashfield District Council’s Public Open Space Strategy, Allotment Strategy, </w:t>
      </w:r>
      <w:r w:rsidRPr="0027436C">
        <w:rPr>
          <w:rFonts w:ascii="Arial" w:eastAsia="Arial" w:hAnsi="Arial" w:cs="Arial"/>
          <w:strike/>
        </w:rPr>
        <w:t>Green Infrastructure and Biodiversity Technical Paper</w:t>
      </w:r>
      <w:r w:rsidR="0027436C">
        <w:rPr>
          <w:rFonts w:ascii="Arial" w:eastAsia="Arial" w:hAnsi="Arial" w:cs="Arial"/>
          <w:color w:val="00B0F0"/>
        </w:rPr>
        <w:t xml:space="preserve"> </w:t>
      </w:r>
      <w:r w:rsidR="0027436C" w:rsidRPr="002243F1">
        <w:rPr>
          <w:rFonts w:ascii="Arial" w:eastAsia="Arial" w:hAnsi="Arial" w:cs="Arial"/>
          <w:color w:val="0070C0"/>
        </w:rPr>
        <w:t>Green &amp; Blue Infrastructure and Biodiversity Strategy 2022 - 2032</w:t>
      </w:r>
      <w:r w:rsidRPr="002243F1">
        <w:rPr>
          <w:rFonts w:ascii="Arial" w:eastAsia="Arial" w:hAnsi="Arial" w:cs="Arial"/>
        </w:rPr>
        <w:t>, Playing Pitch Strategy and Town Centre Masterplans</w:t>
      </w:r>
      <w:r w:rsidRPr="002243F1">
        <w:rPr>
          <w:rStyle w:val="FootnoteReference"/>
          <w:rFonts w:ascii="Arial" w:eastAsia="Arial" w:hAnsi="Arial" w:cs="Arial"/>
        </w:rPr>
        <w:footnoteReference w:id="94"/>
      </w:r>
      <w:r w:rsidRPr="002243F1">
        <w:rPr>
          <w:rFonts w:ascii="Arial" w:eastAsia="Arial" w:hAnsi="Arial" w:cs="Arial"/>
        </w:rPr>
        <w:t>.</w:t>
      </w:r>
    </w:p>
    <w:p w14:paraId="0C68C636" w14:textId="77777777" w:rsidR="00C464EB" w:rsidRPr="00865993" w:rsidRDefault="00C464EB" w:rsidP="00041502">
      <w:pPr>
        <w:pStyle w:val="ListParagraph"/>
        <w:spacing w:after="0" w:line="240" w:lineRule="auto"/>
        <w:rPr>
          <w:rFonts w:ascii="Arial" w:eastAsia="Arial" w:hAnsi="Arial" w:cs="Arial"/>
        </w:rPr>
      </w:pPr>
    </w:p>
    <w:p w14:paraId="3BCCAA15" w14:textId="77777777" w:rsidR="00C464EB" w:rsidRPr="00865993"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spacing w:val="-1"/>
        </w:rPr>
      </w:pPr>
      <w:r w:rsidRPr="00865993">
        <w:rPr>
          <w:rFonts w:ascii="Arial" w:eastAsia="Arial" w:hAnsi="Arial" w:cs="Arial"/>
        </w:rPr>
        <w:lastRenderedPageBreak/>
        <w:t xml:space="preserve">The Ashfield Public Open Space Strategy identifies the Council’s aims and objectives for improving the quality and access to open space within the </w:t>
      </w:r>
      <w:proofErr w:type="gramStart"/>
      <w:r w:rsidRPr="00865993">
        <w:rPr>
          <w:rFonts w:ascii="Arial" w:eastAsia="Arial" w:hAnsi="Arial" w:cs="Arial"/>
        </w:rPr>
        <w:t>District</w:t>
      </w:r>
      <w:proofErr w:type="gramEnd"/>
      <w:r w:rsidRPr="00865993">
        <w:rPr>
          <w:rFonts w:ascii="Arial" w:eastAsia="Arial" w:hAnsi="Arial" w:cs="Arial"/>
        </w:rPr>
        <w:t>. It sets out Standards for the provision of informal recreational open space (including parks, amenity green space and green corridors), outdoor sports facilities, play space and natural green space. The Strategy aims to ensure a consistent approach to the planning of open space, enabling the development process to achieve the right type, quantity and quality of open space.</w:t>
      </w:r>
    </w:p>
    <w:p w14:paraId="35A5B4BB" w14:textId="77777777" w:rsidR="00C464EB" w:rsidRPr="00865993" w:rsidRDefault="00C464EB" w:rsidP="00041502">
      <w:pPr>
        <w:pStyle w:val="ListParagraph"/>
        <w:spacing w:after="0" w:line="240" w:lineRule="auto"/>
        <w:rPr>
          <w:rFonts w:ascii="Arial" w:eastAsia="Arial" w:hAnsi="Arial" w:cs="Arial"/>
        </w:rPr>
      </w:pPr>
    </w:p>
    <w:p w14:paraId="6CC3E6D9" w14:textId="1BAA2BD2" w:rsidR="00C464EB" w:rsidRPr="003A0E1A"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bookmarkStart w:id="240" w:name="_Hlk117505524"/>
      <w:r w:rsidRPr="002672F8">
        <w:rPr>
          <w:rFonts w:ascii="Arial" w:eastAsia="Arial" w:hAnsi="Arial" w:cs="Arial"/>
        </w:rPr>
        <w:t>Informal recreational open spaces should, wherever possible, link to existing open spaces, rights of way and cycle routes. Where spaces incorporate landscaping and planting, these should be provided in accordance with Polic</w:t>
      </w:r>
      <w:r w:rsidR="006D2FF5" w:rsidRPr="002672F8">
        <w:rPr>
          <w:rFonts w:ascii="Arial" w:eastAsia="Arial" w:hAnsi="Arial" w:cs="Arial"/>
        </w:rPr>
        <w:t>y</w:t>
      </w:r>
      <w:r w:rsidRPr="002672F8">
        <w:rPr>
          <w:rFonts w:ascii="Arial" w:eastAsia="Arial" w:hAnsi="Arial" w:cs="Arial"/>
        </w:rPr>
        <w:t xml:space="preserve"> SD</w:t>
      </w:r>
      <w:r w:rsidR="005352FB" w:rsidRPr="002672F8">
        <w:rPr>
          <w:rFonts w:ascii="Arial" w:eastAsia="Arial" w:hAnsi="Arial" w:cs="Arial"/>
        </w:rPr>
        <w:t>2</w:t>
      </w:r>
      <w:r w:rsidR="006D2FF5" w:rsidRPr="002672F8">
        <w:rPr>
          <w:rFonts w:ascii="Arial" w:eastAsia="Arial" w:hAnsi="Arial" w:cs="Arial"/>
        </w:rPr>
        <w:t>:</w:t>
      </w:r>
      <w:r w:rsidRPr="002672F8">
        <w:rPr>
          <w:rFonts w:ascii="Arial" w:eastAsia="Arial" w:hAnsi="Arial" w:cs="Arial"/>
        </w:rPr>
        <w:t xml:space="preserve"> Design Considerations for Development and</w:t>
      </w:r>
      <w:proofErr w:type="gramStart"/>
      <w:r w:rsidRPr="002672F8">
        <w:rPr>
          <w:rFonts w:ascii="Arial" w:eastAsia="Arial" w:hAnsi="Arial" w:cs="Arial"/>
        </w:rPr>
        <w:t>, in particular, provide</w:t>
      </w:r>
      <w:proofErr w:type="gramEnd"/>
      <w:r w:rsidRPr="002672F8">
        <w:rPr>
          <w:rFonts w:ascii="Arial" w:eastAsia="Arial" w:hAnsi="Arial" w:cs="Arial"/>
        </w:rPr>
        <w:t xml:space="preserve"> opportunities to </w:t>
      </w:r>
      <w:r w:rsidR="006D2FF5" w:rsidRPr="003A0E1A">
        <w:rPr>
          <w:rFonts w:ascii="Arial" w:eastAsia="Arial" w:hAnsi="Arial" w:cs="Arial"/>
        </w:rPr>
        <w:t>enhance</w:t>
      </w:r>
      <w:r w:rsidR="006D2FF5" w:rsidRPr="002672F8">
        <w:rPr>
          <w:rFonts w:ascii="Arial" w:eastAsia="Arial" w:hAnsi="Arial" w:cs="Arial"/>
        </w:rPr>
        <w:t xml:space="preserve"> </w:t>
      </w:r>
      <w:r w:rsidRPr="003A0E1A">
        <w:rPr>
          <w:rFonts w:ascii="Arial" w:eastAsia="Arial" w:hAnsi="Arial" w:cs="Arial"/>
        </w:rPr>
        <w:t>make a net contribution to</w:t>
      </w:r>
      <w:r w:rsidRPr="002672F8">
        <w:rPr>
          <w:rFonts w:ascii="Arial" w:eastAsia="Arial" w:hAnsi="Arial" w:cs="Arial"/>
        </w:rPr>
        <w:t xml:space="preserve"> tree cover, habitat creation and connectivity to surrounding biodiversity networks.</w:t>
      </w:r>
      <w:r w:rsidR="006D2FF5" w:rsidRPr="002672F8">
        <w:rPr>
          <w:rFonts w:ascii="Arial" w:eastAsia="Arial" w:hAnsi="Arial" w:cs="Arial"/>
        </w:rPr>
        <w:t xml:space="preserve">  </w:t>
      </w:r>
      <w:bookmarkEnd w:id="240"/>
      <w:r w:rsidR="002672F8" w:rsidRPr="003A0E1A">
        <w:rPr>
          <w:rFonts w:ascii="Arial" w:eastAsia="Arial" w:hAnsi="Arial" w:cs="Arial"/>
        </w:rPr>
        <w:t xml:space="preserve">Biodiversity Net Gain will be required in addition to the provision of open space and is covered by Policy EV4: Green </w:t>
      </w:r>
      <w:r w:rsidR="00AF213C" w:rsidRPr="00AF213C">
        <w:rPr>
          <w:rFonts w:ascii="Arial" w:eastAsia="Arial" w:hAnsi="Arial" w:cs="Arial"/>
          <w:color w:val="2E74B5" w:themeColor="accent5" w:themeShade="BF"/>
          <w:spacing w:val="-1"/>
        </w:rPr>
        <w:t xml:space="preserve">and </w:t>
      </w:r>
      <w:r w:rsidR="00AF213C">
        <w:rPr>
          <w:rFonts w:ascii="Arial" w:eastAsia="Arial" w:hAnsi="Arial" w:cs="Arial"/>
          <w:color w:val="2E74B5" w:themeColor="accent5" w:themeShade="BF"/>
          <w:spacing w:val="-1"/>
        </w:rPr>
        <w:t>B</w:t>
      </w:r>
      <w:r w:rsidR="00AF213C" w:rsidRPr="00AF213C">
        <w:rPr>
          <w:rFonts w:ascii="Arial" w:eastAsia="Arial" w:hAnsi="Arial" w:cs="Arial"/>
          <w:color w:val="2E74B5" w:themeColor="accent5" w:themeShade="BF"/>
          <w:spacing w:val="-1"/>
        </w:rPr>
        <w:t xml:space="preserve">lue </w:t>
      </w:r>
      <w:r w:rsidR="002672F8" w:rsidRPr="003A0E1A">
        <w:rPr>
          <w:rFonts w:ascii="Arial" w:eastAsia="Arial" w:hAnsi="Arial" w:cs="Arial"/>
        </w:rPr>
        <w:t>Infrastructure, Biodiversity and Geodiversity.</w:t>
      </w:r>
    </w:p>
    <w:p w14:paraId="2B92103D" w14:textId="77777777" w:rsidR="002672F8" w:rsidRPr="003A0E1A" w:rsidRDefault="002672F8" w:rsidP="003A0E1A">
      <w:pPr>
        <w:pStyle w:val="ListParagraph"/>
        <w:autoSpaceDE w:val="0"/>
        <w:autoSpaceDN w:val="0"/>
        <w:adjustRightInd w:val="0"/>
        <w:spacing w:after="0" w:line="240" w:lineRule="auto"/>
        <w:ind w:left="851"/>
        <w:rPr>
          <w:rFonts w:ascii="Arial" w:eastAsia="Arial" w:hAnsi="Arial" w:cs="Arial"/>
        </w:rPr>
      </w:pPr>
    </w:p>
    <w:p w14:paraId="4F2C9D7F" w14:textId="77777777" w:rsidR="00C464EB" w:rsidRPr="003A0E1A"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3A0E1A">
        <w:rPr>
          <w:rFonts w:ascii="Arial" w:eastAsia="Arial" w:hAnsi="Arial" w:cs="Arial"/>
        </w:rPr>
        <w:t xml:space="preserve">In the future football pitches and other outdoor sports facilities will be concentrated on one or two sites within each area (Hucknall, Kirkby, Rurals and Sutton) </w:t>
      </w:r>
      <w:proofErr w:type="gramStart"/>
      <w:r w:rsidRPr="003A0E1A">
        <w:rPr>
          <w:rFonts w:ascii="Arial" w:eastAsia="Arial" w:hAnsi="Arial" w:cs="Arial"/>
        </w:rPr>
        <w:t>in order to</w:t>
      </w:r>
      <w:proofErr w:type="gramEnd"/>
      <w:r w:rsidRPr="003A0E1A">
        <w:rPr>
          <w:rFonts w:ascii="Arial" w:eastAsia="Arial" w:hAnsi="Arial" w:cs="Arial"/>
        </w:rPr>
        <w:t xml:space="preserve"> provide better quality facilities which where possible meet the relevant national governing body standards.  </w:t>
      </w:r>
    </w:p>
    <w:p w14:paraId="7DA2E9C7" w14:textId="77777777" w:rsidR="00C464EB" w:rsidRPr="003A0E1A" w:rsidRDefault="00C464EB" w:rsidP="003A0E1A">
      <w:pPr>
        <w:pStyle w:val="ListParagraph"/>
        <w:autoSpaceDE w:val="0"/>
        <w:autoSpaceDN w:val="0"/>
        <w:adjustRightInd w:val="0"/>
        <w:spacing w:after="0" w:line="240" w:lineRule="auto"/>
        <w:ind w:left="851"/>
        <w:rPr>
          <w:rFonts w:ascii="Arial" w:eastAsia="Arial" w:hAnsi="Arial" w:cs="Arial"/>
        </w:rPr>
      </w:pPr>
    </w:p>
    <w:p w14:paraId="79AA2AFB" w14:textId="4B0883D3" w:rsidR="00C464EB" w:rsidRPr="003A0E1A"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3A0E1A">
        <w:rPr>
          <w:rFonts w:ascii="Arial" w:eastAsia="Arial" w:hAnsi="Arial" w:cs="Arial"/>
        </w:rPr>
        <w:t>H5:1a)</w:t>
      </w:r>
      <w:r w:rsidRPr="00865993">
        <w:rPr>
          <w:rFonts w:ascii="Arial" w:eastAsia="Arial" w:hAnsi="Arial" w:cs="Arial"/>
        </w:rPr>
        <w:t xml:space="preserve"> Public open space (including informal recreational open space, outdoor sports facilities, play space, cemeteries, allotments, natural spaces, and areas of public realm) are integral to sustainable communities.  Where existing </w:t>
      </w:r>
      <w:r w:rsidR="00AF213C">
        <w:rPr>
          <w:rFonts w:ascii="Arial" w:eastAsia="Arial" w:hAnsi="Arial" w:cs="Arial"/>
        </w:rPr>
        <w:t>G</w:t>
      </w:r>
      <w:r w:rsidRPr="00865993">
        <w:rPr>
          <w:rFonts w:ascii="Arial" w:eastAsia="Arial" w:hAnsi="Arial" w:cs="Arial"/>
        </w:rPr>
        <w:t xml:space="preserve">reen Infrastructure and public realm provision is inadequate in terms of providing for the quantity, quality, and accessibility to meet projected needs arising from future occupiers of new development, those occupiers' needs must be met by the new development on-site. </w:t>
      </w:r>
    </w:p>
    <w:p w14:paraId="103FDA98" w14:textId="77777777" w:rsidR="00C464EB" w:rsidRPr="00865993" w:rsidRDefault="00C464EB" w:rsidP="003A0E1A">
      <w:pPr>
        <w:pStyle w:val="ListParagraph"/>
        <w:autoSpaceDE w:val="0"/>
        <w:autoSpaceDN w:val="0"/>
        <w:adjustRightInd w:val="0"/>
        <w:spacing w:after="0" w:line="240" w:lineRule="auto"/>
        <w:ind w:left="851"/>
        <w:rPr>
          <w:rFonts w:ascii="Arial" w:eastAsia="Arial" w:hAnsi="Arial" w:cs="Arial"/>
        </w:rPr>
      </w:pPr>
    </w:p>
    <w:p w14:paraId="0C5A418E" w14:textId="77777777" w:rsidR="00865993" w:rsidRPr="003A0E1A"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3A0E1A">
        <w:rPr>
          <w:rFonts w:ascii="Arial" w:eastAsia="Arial" w:hAnsi="Arial" w:cs="Arial"/>
        </w:rPr>
        <w:t>Provision for subsequent management and maintenance of public open space must also be made.</w:t>
      </w:r>
      <w:r w:rsidRPr="00865993">
        <w:rPr>
          <w:rFonts w:ascii="Arial" w:eastAsia="Arial" w:hAnsi="Arial" w:cs="Arial"/>
        </w:rPr>
        <w:t xml:space="preserve"> Generally, the Council will require an area of land not less than 10% of the gross housing area to be laid out as public open space with associated footpaths, boundary treatment, planting and other features. Specific areas for children’s’ play and young peoples’ areas may be required, depending on whether such provision is needed to meet the standards set out in the Public Open Space Strategy. The area must be well related to dwellings for safety and be of a shape and gradient to facilitate maximum usage and ease of maintenance.</w:t>
      </w:r>
    </w:p>
    <w:p w14:paraId="7D91A685" w14:textId="77777777" w:rsidR="00865993" w:rsidRPr="003A0E1A" w:rsidRDefault="00865993" w:rsidP="003A0E1A">
      <w:pPr>
        <w:pStyle w:val="ListParagraph"/>
        <w:autoSpaceDE w:val="0"/>
        <w:autoSpaceDN w:val="0"/>
        <w:adjustRightInd w:val="0"/>
        <w:spacing w:after="0" w:line="240" w:lineRule="auto"/>
        <w:ind w:left="851"/>
        <w:rPr>
          <w:rFonts w:ascii="Arial" w:eastAsia="Arial" w:hAnsi="Arial" w:cs="Arial"/>
        </w:rPr>
      </w:pPr>
    </w:p>
    <w:p w14:paraId="24D95F32" w14:textId="77777777" w:rsidR="00865993" w:rsidRPr="003A0E1A"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3A0E1A">
        <w:rPr>
          <w:rFonts w:ascii="Arial" w:eastAsia="Arial" w:hAnsi="Arial" w:cs="Arial"/>
        </w:rPr>
        <w:t>H5:1b)</w:t>
      </w:r>
      <w:r w:rsidRPr="00865993">
        <w:rPr>
          <w:rFonts w:ascii="Arial" w:eastAsia="Arial" w:hAnsi="Arial" w:cs="Arial"/>
        </w:rPr>
        <w:t xml:space="preserve"> On some developments, including those with a gross area of less than two hectares and more than five dwellings, it may be inappropriate to require on-site public open space, for example, where small unmanageable sites may result; where proposed development is unlikely to generate the need for public open space; or where such sites may be in close proximity to existing provision.</w:t>
      </w:r>
    </w:p>
    <w:p w14:paraId="4225CF51" w14:textId="77777777" w:rsidR="00865993" w:rsidRPr="003A0E1A" w:rsidRDefault="00865993" w:rsidP="003A0E1A">
      <w:pPr>
        <w:pStyle w:val="ListParagraph"/>
        <w:autoSpaceDE w:val="0"/>
        <w:autoSpaceDN w:val="0"/>
        <w:adjustRightInd w:val="0"/>
        <w:spacing w:after="0" w:line="240" w:lineRule="auto"/>
        <w:ind w:left="851"/>
        <w:rPr>
          <w:rFonts w:ascii="Arial" w:eastAsia="Arial" w:hAnsi="Arial" w:cs="Arial"/>
        </w:rPr>
      </w:pPr>
    </w:p>
    <w:p w14:paraId="22B3A1E9" w14:textId="77777777" w:rsidR="00865993" w:rsidRPr="003A0E1A"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3A0E1A">
        <w:rPr>
          <w:rFonts w:ascii="Arial" w:eastAsia="Arial" w:hAnsi="Arial" w:cs="Arial"/>
        </w:rPr>
        <w:t>H5:1c)</w:t>
      </w:r>
      <w:r w:rsidRPr="00865993">
        <w:rPr>
          <w:rFonts w:ascii="Arial" w:eastAsia="Arial" w:hAnsi="Arial" w:cs="Arial"/>
        </w:rPr>
        <w:t xml:space="preserve"> Where public open space provision on any site is inappropriate, unnecessary, or better provided elsewhere, the Authority will require a financial contribution to facilitate off-site provision. This could take the form of </w:t>
      </w:r>
      <w:r w:rsidRPr="00865993">
        <w:rPr>
          <w:rFonts w:ascii="Arial" w:eastAsia="Arial" w:hAnsi="Arial" w:cs="Arial"/>
        </w:rPr>
        <w:lastRenderedPageBreak/>
        <w:t xml:space="preserve">enhancements to existing public open space in the locality or provision of new facilities close by, (including Green Infrastructure projects), in accordance with national guidance and standards, </w:t>
      </w:r>
      <w:proofErr w:type="gramStart"/>
      <w:r w:rsidRPr="00865993">
        <w:rPr>
          <w:rFonts w:ascii="Arial" w:eastAsia="Arial" w:hAnsi="Arial" w:cs="Arial"/>
        </w:rPr>
        <w:t>in order to</w:t>
      </w:r>
      <w:proofErr w:type="gramEnd"/>
      <w:r w:rsidRPr="00865993">
        <w:rPr>
          <w:rFonts w:ascii="Arial" w:eastAsia="Arial" w:hAnsi="Arial" w:cs="Arial"/>
        </w:rPr>
        <w:t xml:space="preserve"> create a more acceptable proposal. </w:t>
      </w:r>
    </w:p>
    <w:p w14:paraId="60571EA4" w14:textId="77777777" w:rsidR="00865993" w:rsidRPr="003A0E1A" w:rsidRDefault="00865993" w:rsidP="003A0E1A">
      <w:pPr>
        <w:pStyle w:val="ListParagraph"/>
        <w:autoSpaceDE w:val="0"/>
        <w:autoSpaceDN w:val="0"/>
        <w:adjustRightInd w:val="0"/>
        <w:spacing w:after="0" w:line="240" w:lineRule="auto"/>
        <w:ind w:left="851"/>
        <w:rPr>
          <w:rFonts w:ascii="Arial" w:eastAsia="Arial" w:hAnsi="Arial" w:cs="Arial"/>
        </w:rPr>
      </w:pPr>
    </w:p>
    <w:p w14:paraId="002EE80A" w14:textId="7E82BD41" w:rsidR="00041502" w:rsidRPr="003A0E1A" w:rsidRDefault="009D57B3"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3A0E1A">
        <w:rPr>
          <w:rFonts w:ascii="Arial" w:eastAsia="Arial" w:hAnsi="Arial" w:cs="Arial"/>
        </w:rPr>
        <w:t>It is recognised that small developments of less than six dwellings and certain types of new residential development (such as elderly sheltered accommodation and residential care facilities where residents are unlikely to benefit directly from local public open space provision) have different viability, functional and operational requirements. In such cases neither the provision of public open space nor the payment of a commuted sum will be required.</w:t>
      </w:r>
      <w:r w:rsidR="00041502" w:rsidRPr="003A0E1A">
        <w:rPr>
          <w:rFonts w:ascii="Arial" w:eastAsia="Arial" w:hAnsi="Arial" w:cs="Arial"/>
        </w:rPr>
        <w:t xml:space="preserve"> </w:t>
      </w:r>
    </w:p>
    <w:p w14:paraId="0CDF2D1F" w14:textId="77777777" w:rsidR="00C9018E" w:rsidRPr="003A0E1A" w:rsidRDefault="00C9018E" w:rsidP="003A0E1A">
      <w:pPr>
        <w:pStyle w:val="ListParagraph"/>
        <w:autoSpaceDE w:val="0"/>
        <w:autoSpaceDN w:val="0"/>
        <w:adjustRightInd w:val="0"/>
        <w:spacing w:after="0" w:line="240" w:lineRule="auto"/>
        <w:ind w:left="851"/>
        <w:rPr>
          <w:rFonts w:ascii="Arial" w:eastAsia="Arial" w:hAnsi="Arial" w:cs="Arial"/>
        </w:rPr>
      </w:pPr>
    </w:p>
    <w:p w14:paraId="376E3852" w14:textId="2B041A56" w:rsidR="00F66191" w:rsidRPr="004C67D8" w:rsidRDefault="003E29BB" w:rsidP="00874A98">
      <w:pPr>
        <w:pStyle w:val="ListParagraph"/>
        <w:numPr>
          <w:ilvl w:val="1"/>
          <w:numId w:val="92"/>
        </w:numPr>
        <w:autoSpaceDE w:val="0"/>
        <w:autoSpaceDN w:val="0"/>
        <w:adjustRightInd w:val="0"/>
        <w:spacing w:after="0" w:line="240" w:lineRule="auto"/>
        <w:ind w:left="851" w:hanging="851"/>
        <w:rPr>
          <w:rFonts w:ascii="Arial" w:eastAsia="Arial" w:hAnsi="Arial" w:cs="Arial"/>
          <w:iCs/>
          <w:color w:val="auto"/>
          <w:szCs w:val="24"/>
        </w:rPr>
      </w:pPr>
      <w:bookmarkStart w:id="241" w:name="_Hlk138851508"/>
      <w:r w:rsidRPr="003A0E1A">
        <w:rPr>
          <w:rFonts w:ascii="Arial" w:eastAsia="Arial" w:hAnsi="Arial" w:cs="Arial"/>
        </w:rPr>
        <w:t xml:space="preserve">H5:1d) </w:t>
      </w:r>
      <w:r w:rsidR="00F66191" w:rsidRPr="003A0E1A">
        <w:rPr>
          <w:rFonts w:ascii="Arial" w:eastAsia="Arial" w:hAnsi="Arial" w:cs="Arial"/>
        </w:rPr>
        <w:t xml:space="preserve">It is </w:t>
      </w:r>
      <w:r w:rsidR="00F66191" w:rsidRPr="004C67D8">
        <w:rPr>
          <w:rFonts w:ascii="Arial" w:eastAsia="Arial" w:hAnsi="Arial" w:cs="Arial"/>
          <w:color w:val="auto"/>
        </w:rPr>
        <w:t xml:space="preserve">important that provision is made for the future </w:t>
      </w:r>
      <w:r w:rsidR="00EE55DF" w:rsidRPr="004C67D8">
        <w:rPr>
          <w:rFonts w:ascii="Arial" w:eastAsia="Arial" w:hAnsi="Arial" w:cs="Arial"/>
          <w:color w:val="auto"/>
        </w:rPr>
        <w:t xml:space="preserve">management and </w:t>
      </w:r>
      <w:r w:rsidR="00F66191" w:rsidRPr="004C67D8">
        <w:rPr>
          <w:rFonts w:ascii="Arial" w:eastAsia="Arial" w:hAnsi="Arial" w:cs="Arial"/>
          <w:color w:val="auto"/>
        </w:rPr>
        <w:t>maintenance</w:t>
      </w:r>
      <w:r w:rsidR="00F66191" w:rsidRPr="004C67D8">
        <w:rPr>
          <w:rFonts w:ascii="Arial" w:eastAsia="Arial" w:hAnsi="Arial" w:cs="Arial"/>
          <w:iCs/>
          <w:color w:val="auto"/>
          <w:szCs w:val="24"/>
        </w:rPr>
        <w:t xml:space="preserve"> </w:t>
      </w:r>
      <w:r w:rsidR="00EE55DF" w:rsidRPr="004C67D8">
        <w:rPr>
          <w:rFonts w:ascii="Arial" w:eastAsia="Arial" w:hAnsi="Arial" w:cs="Arial"/>
          <w:iCs/>
          <w:color w:val="auto"/>
          <w:szCs w:val="24"/>
        </w:rPr>
        <w:t xml:space="preserve">of </w:t>
      </w:r>
      <w:r w:rsidR="00F66191" w:rsidRPr="004C67D8">
        <w:rPr>
          <w:rFonts w:ascii="Arial" w:eastAsia="Arial" w:hAnsi="Arial" w:cs="Arial"/>
          <w:iCs/>
          <w:color w:val="auto"/>
          <w:szCs w:val="24"/>
        </w:rPr>
        <w:t xml:space="preserve">new/improved open </w:t>
      </w:r>
      <w:r w:rsidR="00EE55DF" w:rsidRPr="004C67D8">
        <w:rPr>
          <w:rFonts w:ascii="Arial" w:eastAsia="Arial" w:hAnsi="Arial" w:cs="Arial"/>
          <w:iCs/>
          <w:color w:val="auto"/>
          <w:szCs w:val="24"/>
        </w:rPr>
        <w:t xml:space="preserve">space, having due regard to the requirements of biodiversity net gain and climate change, </w:t>
      </w:r>
      <w:r w:rsidR="00F66191" w:rsidRPr="004C67D8">
        <w:rPr>
          <w:rFonts w:ascii="Arial" w:eastAsia="Arial" w:hAnsi="Arial" w:cs="Arial"/>
          <w:iCs/>
          <w:color w:val="auto"/>
          <w:szCs w:val="24"/>
        </w:rPr>
        <w:t xml:space="preserve">otherwise its value will deteriorate.  The future development of open space, which is principally of benefit to the development, is the responsibility of the developer.  Developers will need to demonstrate they have secured an acceptable means of ensuring future maintenance, preferably by way of a management company.  The Council will require full details of any such arrangements before a planning application is determined.  </w:t>
      </w:r>
      <w:r w:rsidR="00EE55DF" w:rsidRPr="004C67D8">
        <w:rPr>
          <w:rFonts w:ascii="Arial" w:eastAsia="Arial" w:hAnsi="Arial" w:cs="Arial"/>
          <w:iCs/>
          <w:color w:val="auto"/>
          <w:szCs w:val="24"/>
        </w:rPr>
        <w:t>In certain circumstances, management by local authority adoption may be acceptable.</w:t>
      </w:r>
    </w:p>
    <w:p w14:paraId="597A96C2" w14:textId="77777777" w:rsidR="00F66191" w:rsidRPr="004C67D8" w:rsidRDefault="00F66191" w:rsidP="00F66191">
      <w:pPr>
        <w:pStyle w:val="ListParagraph"/>
        <w:ind w:left="460"/>
        <w:rPr>
          <w:rFonts w:ascii="Arial" w:eastAsia="Arial" w:hAnsi="Arial" w:cs="Arial"/>
          <w:iCs/>
          <w:color w:val="auto"/>
          <w:szCs w:val="24"/>
        </w:rPr>
      </w:pPr>
    </w:p>
    <w:p w14:paraId="72DC9F99" w14:textId="3CBFCF25" w:rsidR="00041502" w:rsidRPr="00995322" w:rsidRDefault="006977E7" w:rsidP="00995322">
      <w:pPr>
        <w:pStyle w:val="Heading2"/>
        <w:jc w:val="left"/>
        <w:rPr>
          <w:rFonts w:eastAsia="Arial"/>
          <w:sz w:val="28"/>
          <w:szCs w:val="28"/>
        </w:rPr>
      </w:pPr>
      <w:bookmarkStart w:id="242" w:name="_Toc145511593"/>
      <w:bookmarkEnd w:id="241"/>
      <w:r w:rsidRPr="00995322">
        <w:rPr>
          <w:rFonts w:eastAsia="Arial"/>
          <w:sz w:val="28"/>
          <w:szCs w:val="28"/>
        </w:rPr>
        <w:t xml:space="preserve">Policy </w:t>
      </w:r>
      <w:r w:rsidR="00041502" w:rsidRPr="00995322">
        <w:rPr>
          <w:rFonts w:eastAsia="Arial"/>
          <w:sz w:val="28"/>
          <w:szCs w:val="28"/>
        </w:rPr>
        <w:t>H6: Housing Mix</w:t>
      </w:r>
      <w:bookmarkEnd w:id="242"/>
    </w:p>
    <w:p w14:paraId="7B94DEF7" w14:textId="77777777" w:rsidR="00041502" w:rsidRPr="006977E7" w:rsidRDefault="00041502" w:rsidP="006977E7">
      <w:pPr>
        <w:spacing w:before="0"/>
        <w:rPr>
          <w:rFonts w:eastAsia="Arial" w:cs="Arial"/>
          <w:iCs/>
          <w:color w:val="auto"/>
          <w:szCs w:val="24"/>
        </w:rPr>
      </w:pPr>
    </w:p>
    <w:p w14:paraId="4E8FE7B2" w14:textId="561B0AF7" w:rsidR="00041502" w:rsidRPr="00041502" w:rsidRDefault="00041502" w:rsidP="00874A98">
      <w:pPr>
        <w:pStyle w:val="ListParagraph"/>
        <w:numPr>
          <w:ilvl w:val="1"/>
          <w:numId w:val="92"/>
        </w:numPr>
        <w:autoSpaceDE w:val="0"/>
        <w:autoSpaceDN w:val="0"/>
        <w:adjustRightInd w:val="0"/>
        <w:spacing w:after="0" w:line="240" w:lineRule="auto"/>
        <w:ind w:left="851" w:hanging="851"/>
        <w:rPr>
          <w:rFonts w:ascii="Arial" w:eastAsia="Arial" w:hAnsi="Arial" w:cs="Arial"/>
          <w:iCs/>
          <w:color w:val="auto"/>
          <w:szCs w:val="24"/>
        </w:rPr>
      </w:pPr>
      <w:r w:rsidRPr="00041502">
        <w:rPr>
          <w:rFonts w:ascii="Arial" w:eastAsia="Arial" w:hAnsi="Arial" w:cs="Arial"/>
          <w:iCs/>
          <w:color w:val="auto"/>
          <w:szCs w:val="24"/>
        </w:rPr>
        <w:t xml:space="preserve">This policy aims to ensure that housing provision meets the needs of all sectors in the community including families with children, older people and people with </w:t>
      </w:r>
      <w:r>
        <w:rPr>
          <w:rFonts w:ascii="Arial" w:eastAsia="Arial" w:hAnsi="Arial" w:cs="Arial"/>
          <w:iCs/>
          <w:color w:val="auto"/>
          <w:szCs w:val="24"/>
        </w:rPr>
        <w:t>d</w:t>
      </w:r>
      <w:r w:rsidRPr="00041502">
        <w:rPr>
          <w:rFonts w:ascii="Arial" w:eastAsia="Arial" w:hAnsi="Arial" w:cs="Arial"/>
          <w:iCs/>
          <w:color w:val="auto"/>
          <w:szCs w:val="24"/>
        </w:rPr>
        <w:t>isabilities by providing a range of house types and sizes as part of new residential developments.</w:t>
      </w:r>
    </w:p>
    <w:p w14:paraId="5235708A" w14:textId="77777777" w:rsidR="00041502" w:rsidRPr="00041502" w:rsidRDefault="00041502" w:rsidP="00041502">
      <w:pPr>
        <w:keepNext w:val="0"/>
        <w:spacing w:before="0" w:after="160" w:line="252" w:lineRule="auto"/>
        <w:jc w:val="both"/>
        <w:rPr>
          <w:rFonts w:eastAsia="Calibri"/>
          <w:color w:val="auto"/>
          <w:szCs w:val="22"/>
        </w:rPr>
      </w:pPr>
    </w:p>
    <w:tbl>
      <w:tblPr>
        <w:tblStyle w:val="TableGrid14"/>
        <w:tblW w:w="0" w:type="auto"/>
        <w:tblInd w:w="13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410"/>
        <w:gridCol w:w="7077"/>
      </w:tblGrid>
      <w:tr w:rsidR="00041502" w:rsidRPr="00041502" w14:paraId="014B4EE8" w14:textId="77777777" w:rsidTr="00263F59">
        <w:tc>
          <w:tcPr>
            <w:tcW w:w="9487" w:type="dxa"/>
            <w:gridSpan w:val="2"/>
          </w:tcPr>
          <w:p w14:paraId="6FA9278B" w14:textId="77777777" w:rsidR="005352FB" w:rsidRDefault="005352FB" w:rsidP="00FF3EAD">
            <w:pPr>
              <w:keepNext w:val="0"/>
              <w:spacing w:before="0"/>
              <w:jc w:val="left"/>
              <w:rPr>
                <w:b/>
                <w:bCs/>
                <w:color w:val="auto"/>
              </w:rPr>
            </w:pPr>
          </w:p>
          <w:p w14:paraId="1C36D5B5" w14:textId="7EB13773" w:rsidR="00041502" w:rsidRDefault="00041502" w:rsidP="00FF3EAD">
            <w:pPr>
              <w:keepNext w:val="0"/>
              <w:spacing w:before="0"/>
              <w:jc w:val="left"/>
              <w:rPr>
                <w:b/>
                <w:bCs/>
                <w:color w:val="auto"/>
              </w:rPr>
            </w:pPr>
            <w:r w:rsidRPr="00041502">
              <w:rPr>
                <w:b/>
                <w:bCs/>
                <w:color w:val="auto"/>
              </w:rPr>
              <w:t>Policy H6: Housing Mix</w:t>
            </w:r>
          </w:p>
          <w:p w14:paraId="672B4036" w14:textId="40BFE166" w:rsidR="005352FB" w:rsidRPr="00041502" w:rsidRDefault="005352FB" w:rsidP="00FF3EAD">
            <w:pPr>
              <w:keepNext w:val="0"/>
              <w:spacing w:before="0"/>
              <w:jc w:val="left"/>
              <w:rPr>
                <w:b/>
                <w:bCs/>
                <w:color w:val="auto"/>
              </w:rPr>
            </w:pPr>
          </w:p>
        </w:tc>
      </w:tr>
      <w:tr w:rsidR="00041502" w:rsidRPr="00041502" w14:paraId="6ADEC609" w14:textId="77777777" w:rsidTr="00F906E1">
        <w:tc>
          <w:tcPr>
            <w:tcW w:w="2410" w:type="dxa"/>
          </w:tcPr>
          <w:p w14:paraId="411ED45A" w14:textId="77777777" w:rsidR="00041502" w:rsidRPr="00041502" w:rsidRDefault="00041502" w:rsidP="00FF3EAD">
            <w:pPr>
              <w:keepNext w:val="0"/>
              <w:spacing w:before="0"/>
              <w:jc w:val="left"/>
              <w:rPr>
                <w:color w:val="auto"/>
              </w:rPr>
            </w:pPr>
            <w:r w:rsidRPr="00041502">
              <w:rPr>
                <w:color w:val="auto"/>
              </w:rPr>
              <w:t>Strategic Objectives</w:t>
            </w:r>
          </w:p>
        </w:tc>
        <w:tc>
          <w:tcPr>
            <w:tcW w:w="7077" w:type="dxa"/>
          </w:tcPr>
          <w:p w14:paraId="56C551C5" w14:textId="77777777" w:rsidR="00041502" w:rsidRPr="00041502" w:rsidRDefault="00041502" w:rsidP="00FF3EAD">
            <w:pPr>
              <w:keepNext w:val="0"/>
              <w:spacing w:before="0"/>
              <w:jc w:val="left"/>
              <w:rPr>
                <w:color w:val="auto"/>
              </w:rPr>
            </w:pPr>
            <w:r w:rsidRPr="00041502">
              <w:rPr>
                <w:color w:val="auto"/>
              </w:rPr>
              <w:t>SO1, SO2, SO3, SO5, SO7, SO8, SO9.</w:t>
            </w:r>
          </w:p>
        </w:tc>
      </w:tr>
      <w:tr w:rsidR="00041502" w:rsidRPr="00041502" w14:paraId="756BC813" w14:textId="77777777" w:rsidTr="00263F59">
        <w:tc>
          <w:tcPr>
            <w:tcW w:w="9487" w:type="dxa"/>
            <w:gridSpan w:val="2"/>
            <w:shd w:val="clear" w:color="auto" w:fill="F7CAAC"/>
          </w:tcPr>
          <w:p w14:paraId="7F602E71" w14:textId="77777777" w:rsidR="00041502" w:rsidRPr="00041502" w:rsidRDefault="00041502" w:rsidP="00FF3EAD">
            <w:pPr>
              <w:keepNext w:val="0"/>
              <w:spacing w:before="0"/>
              <w:jc w:val="left"/>
              <w:rPr>
                <w:color w:val="auto"/>
              </w:rPr>
            </w:pPr>
          </w:p>
          <w:p w14:paraId="27E2A9E7" w14:textId="77777777" w:rsidR="00041502" w:rsidRDefault="00041502" w:rsidP="00874A98">
            <w:pPr>
              <w:keepNext w:val="0"/>
              <w:numPr>
                <w:ilvl w:val="0"/>
                <w:numId w:val="275"/>
              </w:numPr>
              <w:spacing w:before="0"/>
              <w:contextualSpacing/>
              <w:jc w:val="left"/>
              <w:rPr>
                <w:color w:val="auto"/>
              </w:rPr>
            </w:pPr>
            <w:r w:rsidRPr="00041502">
              <w:rPr>
                <w:color w:val="auto"/>
              </w:rPr>
              <w:t xml:space="preserve">Proposals for new residential development should maintain, provide, and contribute to a mix of housing tenures, types and sizes </w:t>
            </w:r>
            <w:proofErr w:type="gramStart"/>
            <w:r w:rsidRPr="00041502">
              <w:rPr>
                <w:color w:val="auto"/>
              </w:rPr>
              <w:t>in order to</w:t>
            </w:r>
            <w:proofErr w:type="gramEnd"/>
            <w:r w:rsidRPr="00041502">
              <w:rPr>
                <w:color w:val="auto"/>
              </w:rPr>
              <w:t xml:space="preserve"> create mixed and balanced communities, having regard to the most up-to date evidence of need.</w:t>
            </w:r>
          </w:p>
          <w:p w14:paraId="04175243" w14:textId="77777777" w:rsidR="0035791A" w:rsidRDefault="0035791A" w:rsidP="0035791A">
            <w:pPr>
              <w:keepNext w:val="0"/>
              <w:spacing w:before="0"/>
              <w:ind w:left="360"/>
              <w:contextualSpacing/>
              <w:jc w:val="left"/>
              <w:rPr>
                <w:color w:val="auto"/>
              </w:rPr>
            </w:pPr>
          </w:p>
          <w:p w14:paraId="7424BD68" w14:textId="1BF0A12A" w:rsidR="0035791A" w:rsidRPr="00E56F9C" w:rsidRDefault="0035791A" w:rsidP="00874A98">
            <w:pPr>
              <w:keepNext w:val="0"/>
              <w:numPr>
                <w:ilvl w:val="0"/>
                <w:numId w:val="275"/>
              </w:numPr>
              <w:spacing w:before="0"/>
              <w:contextualSpacing/>
              <w:jc w:val="left"/>
              <w:rPr>
                <w:color w:val="005AA8"/>
              </w:rPr>
            </w:pPr>
            <w:r w:rsidRPr="00E56F9C">
              <w:rPr>
                <w:rFonts w:cs="Arial"/>
                <w:color w:val="005AA8"/>
                <w:szCs w:val="24"/>
              </w:rPr>
              <w:t>The following recommended housing mix will be used as a starting point to inform negotiations between the District Council and applicants in determining the appropriate mix of housing on schemes of 10 or more dwellings.</w:t>
            </w:r>
          </w:p>
          <w:p w14:paraId="20DB03E5" w14:textId="77777777" w:rsidR="007F27C2" w:rsidRDefault="007F27C2" w:rsidP="007F27C2">
            <w:pPr>
              <w:keepNext w:val="0"/>
              <w:spacing w:before="0"/>
              <w:contextualSpacing/>
              <w:jc w:val="left"/>
              <w:rPr>
                <w:color w:val="auto"/>
              </w:rPr>
            </w:pPr>
          </w:p>
          <w:tbl>
            <w:tblPr>
              <w:tblStyle w:val="ReportTable1"/>
              <w:tblW w:w="4633" w:type="pct"/>
              <w:tblInd w:w="449" w:type="dxa"/>
              <w:tblLook w:val="04A0" w:firstRow="1" w:lastRow="0" w:firstColumn="1" w:lastColumn="0" w:noHBand="0" w:noVBand="1"/>
            </w:tblPr>
            <w:tblGrid>
              <w:gridCol w:w="3551"/>
              <w:gridCol w:w="1287"/>
              <w:gridCol w:w="1287"/>
              <w:gridCol w:w="1287"/>
              <w:gridCol w:w="1169"/>
            </w:tblGrid>
            <w:tr w:rsidR="007F27C2" w:rsidRPr="00126BAD" w14:paraId="7B7A73A0" w14:textId="77777777" w:rsidTr="0035791A">
              <w:tc>
                <w:tcPr>
                  <w:tcW w:w="2069" w:type="pct"/>
                  <w:shd w:val="clear" w:color="auto" w:fill="D9D9D9"/>
                </w:tcPr>
                <w:p w14:paraId="7B1C7C95" w14:textId="77777777" w:rsidR="007F27C2" w:rsidRPr="00E56F9C" w:rsidRDefault="007F27C2" w:rsidP="007F27C2">
                  <w:pPr>
                    <w:rPr>
                      <w:rFonts w:cs="Arial"/>
                      <w:bCs/>
                      <w:color w:val="005EAC"/>
                      <w:szCs w:val="24"/>
                    </w:rPr>
                  </w:pPr>
                  <w:r w:rsidRPr="00E56F9C">
                    <w:rPr>
                      <w:rFonts w:cs="Arial"/>
                      <w:bCs/>
                      <w:color w:val="005EAC"/>
                      <w:szCs w:val="24"/>
                    </w:rPr>
                    <w:t>Housing Type</w:t>
                  </w:r>
                </w:p>
              </w:tc>
              <w:tc>
                <w:tcPr>
                  <w:tcW w:w="750" w:type="pct"/>
                  <w:shd w:val="clear" w:color="auto" w:fill="D9D9D9"/>
                </w:tcPr>
                <w:p w14:paraId="0EE4667B" w14:textId="77777777" w:rsidR="007F27C2" w:rsidRPr="00E56F9C" w:rsidRDefault="007F27C2" w:rsidP="007F27C2">
                  <w:pPr>
                    <w:jc w:val="center"/>
                    <w:rPr>
                      <w:rFonts w:cs="Arial"/>
                      <w:bCs/>
                      <w:color w:val="005EAC"/>
                      <w:szCs w:val="24"/>
                    </w:rPr>
                  </w:pPr>
                  <w:r w:rsidRPr="00E56F9C">
                    <w:rPr>
                      <w:rFonts w:cs="Arial"/>
                      <w:bCs/>
                      <w:color w:val="005EAC"/>
                      <w:szCs w:val="24"/>
                    </w:rPr>
                    <w:t>1 Bed</w:t>
                  </w:r>
                </w:p>
              </w:tc>
              <w:tc>
                <w:tcPr>
                  <w:tcW w:w="750" w:type="pct"/>
                  <w:shd w:val="clear" w:color="auto" w:fill="D9D9D9"/>
                </w:tcPr>
                <w:p w14:paraId="6B3C2405" w14:textId="77777777" w:rsidR="007F27C2" w:rsidRPr="00E56F9C" w:rsidRDefault="007F27C2" w:rsidP="007F27C2">
                  <w:pPr>
                    <w:jc w:val="center"/>
                    <w:rPr>
                      <w:rFonts w:cs="Arial"/>
                      <w:bCs/>
                      <w:color w:val="005EAC"/>
                      <w:szCs w:val="24"/>
                    </w:rPr>
                  </w:pPr>
                  <w:r w:rsidRPr="00E56F9C">
                    <w:rPr>
                      <w:rFonts w:cs="Arial"/>
                      <w:bCs/>
                      <w:color w:val="005EAC"/>
                      <w:szCs w:val="24"/>
                    </w:rPr>
                    <w:t>2 Beds</w:t>
                  </w:r>
                </w:p>
              </w:tc>
              <w:tc>
                <w:tcPr>
                  <w:tcW w:w="750" w:type="pct"/>
                  <w:shd w:val="clear" w:color="auto" w:fill="D9D9D9"/>
                </w:tcPr>
                <w:p w14:paraId="7D3EBB84" w14:textId="77777777" w:rsidR="007F27C2" w:rsidRPr="00E56F9C" w:rsidRDefault="007F27C2" w:rsidP="007F27C2">
                  <w:pPr>
                    <w:jc w:val="center"/>
                    <w:rPr>
                      <w:rFonts w:cs="Arial"/>
                      <w:bCs/>
                      <w:color w:val="005EAC"/>
                      <w:szCs w:val="24"/>
                    </w:rPr>
                  </w:pPr>
                  <w:r w:rsidRPr="00E56F9C">
                    <w:rPr>
                      <w:rFonts w:cs="Arial"/>
                      <w:bCs/>
                      <w:color w:val="005EAC"/>
                      <w:szCs w:val="24"/>
                    </w:rPr>
                    <w:t>3 Beds</w:t>
                  </w:r>
                </w:p>
              </w:tc>
              <w:tc>
                <w:tcPr>
                  <w:tcW w:w="750" w:type="pct"/>
                  <w:shd w:val="clear" w:color="auto" w:fill="D9D9D9"/>
                </w:tcPr>
                <w:p w14:paraId="6AAC9FC7" w14:textId="77777777" w:rsidR="007F27C2" w:rsidRPr="00E56F9C" w:rsidRDefault="007F27C2" w:rsidP="007F27C2">
                  <w:pPr>
                    <w:jc w:val="center"/>
                    <w:rPr>
                      <w:rFonts w:cs="Arial"/>
                      <w:bCs/>
                      <w:color w:val="005EAC"/>
                      <w:szCs w:val="24"/>
                    </w:rPr>
                  </w:pPr>
                  <w:r w:rsidRPr="00E56F9C">
                    <w:rPr>
                      <w:rFonts w:cs="Arial"/>
                      <w:bCs/>
                      <w:color w:val="005EAC"/>
                      <w:szCs w:val="24"/>
                    </w:rPr>
                    <w:t>4+ Beds</w:t>
                  </w:r>
                </w:p>
              </w:tc>
            </w:tr>
            <w:tr w:rsidR="007F27C2" w:rsidRPr="00126BAD" w14:paraId="6FDC3A92" w14:textId="77777777" w:rsidTr="0035791A">
              <w:tc>
                <w:tcPr>
                  <w:tcW w:w="2069" w:type="pct"/>
                </w:tcPr>
                <w:p w14:paraId="23B2B544" w14:textId="77777777" w:rsidR="007F27C2" w:rsidRPr="00E56F9C" w:rsidRDefault="007F27C2" w:rsidP="007F27C2">
                  <w:pPr>
                    <w:rPr>
                      <w:rFonts w:cs="Arial"/>
                      <w:color w:val="005AA8"/>
                      <w:szCs w:val="24"/>
                    </w:rPr>
                  </w:pPr>
                  <w:r w:rsidRPr="00E56F9C">
                    <w:rPr>
                      <w:rFonts w:cs="Arial"/>
                      <w:color w:val="005AA8"/>
                      <w:szCs w:val="24"/>
                    </w:rPr>
                    <w:t>Market</w:t>
                  </w:r>
                </w:p>
              </w:tc>
              <w:tc>
                <w:tcPr>
                  <w:tcW w:w="750" w:type="pct"/>
                </w:tcPr>
                <w:p w14:paraId="19E0BA29" w14:textId="77777777" w:rsidR="007F27C2" w:rsidRPr="00E56F9C" w:rsidRDefault="007F27C2" w:rsidP="007F27C2">
                  <w:pPr>
                    <w:jc w:val="center"/>
                    <w:rPr>
                      <w:rFonts w:cs="Arial"/>
                      <w:color w:val="005AA8"/>
                      <w:szCs w:val="24"/>
                    </w:rPr>
                  </w:pPr>
                  <w:r w:rsidRPr="00E56F9C">
                    <w:rPr>
                      <w:rFonts w:cs="Arial"/>
                      <w:color w:val="005AA8"/>
                      <w:szCs w:val="24"/>
                    </w:rPr>
                    <w:t>4%</w:t>
                  </w:r>
                </w:p>
              </w:tc>
              <w:tc>
                <w:tcPr>
                  <w:tcW w:w="750" w:type="pct"/>
                </w:tcPr>
                <w:p w14:paraId="5D52832C" w14:textId="77777777" w:rsidR="007F27C2" w:rsidRPr="00E56F9C" w:rsidRDefault="007F27C2" w:rsidP="007F27C2">
                  <w:pPr>
                    <w:jc w:val="center"/>
                    <w:rPr>
                      <w:rFonts w:cs="Arial"/>
                      <w:color w:val="005AA8"/>
                      <w:szCs w:val="24"/>
                    </w:rPr>
                  </w:pPr>
                  <w:r w:rsidRPr="00E56F9C">
                    <w:rPr>
                      <w:rFonts w:cs="Arial"/>
                      <w:color w:val="005AA8"/>
                      <w:szCs w:val="24"/>
                    </w:rPr>
                    <w:t>27%</w:t>
                  </w:r>
                </w:p>
              </w:tc>
              <w:tc>
                <w:tcPr>
                  <w:tcW w:w="750" w:type="pct"/>
                </w:tcPr>
                <w:p w14:paraId="417F0560" w14:textId="77777777" w:rsidR="007F27C2" w:rsidRPr="00E56F9C" w:rsidRDefault="007F27C2" w:rsidP="007F27C2">
                  <w:pPr>
                    <w:jc w:val="center"/>
                    <w:rPr>
                      <w:rFonts w:cs="Arial"/>
                      <w:color w:val="005AA8"/>
                      <w:szCs w:val="24"/>
                    </w:rPr>
                  </w:pPr>
                  <w:r w:rsidRPr="00E56F9C">
                    <w:rPr>
                      <w:rFonts w:cs="Arial"/>
                      <w:color w:val="005AA8"/>
                      <w:szCs w:val="24"/>
                    </w:rPr>
                    <w:t>45%</w:t>
                  </w:r>
                </w:p>
              </w:tc>
              <w:tc>
                <w:tcPr>
                  <w:tcW w:w="750" w:type="pct"/>
                </w:tcPr>
                <w:p w14:paraId="40FE1E46" w14:textId="77777777" w:rsidR="007F27C2" w:rsidRPr="00E56F9C" w:rsidRDefault="007F27C2" w:rsidP="007F27C2">
                  <w:pPr>
                    <w:jc w:val="center"/>
                    <w:rPr>
                      <w:rFonts w:cs="Arial"/>
                      <w:color w:val="005AA8"/>
                      <w:szCs w:val="24"/>
                    </w:rPr>
                  </w:pPr>
                  <w:r w:rsidRPr="00E56F9C">
                    <w:rPr>
                      <w:rFonts w:cs="Arial"/>
                      <w:color w:val="005AA8"/>
                      <w:szCs w:val="24"/>
                    </w:rPr>
                    <w:t>24%</w:t>
                  </w:r>
                </w:p>
              </w:tc>
            </w:tr>
            <w:tr w:rsidR="007F27C2" w:rsidRPr="00126BAD" w14:paraId="1C990D5E" w14:textId="77777777" w:rsidTr="0035791A">
              <w:tc>
                <w:tcPr>
                  <w:tcW w:w="2069" w:type="pct"/>
                </w:tcPr>
                <w:p w14:paraId="6EBFD664" w14:textId="01FFE68B" w:rsidR="007F27C2" w:rsidRPr="00E56F9C" w:rsidRDefault="007F27C2" w:rsidP="007F27C2">
                  <w:pPr>
                    <w:rPr>
                      <w:rFonts w:cs="Arial"/>
                      <w:color w:val="005AA8"/>
                      <w:szCs w:val="24"/>
                    </w:rPr>
                  </w:pPr>
                  <w:r w:rsidRPr="00E56F9C">
                    <w:rPr>
                      <w:rFonts w:cs="Arial"/>
                      <w:color w:val="005AA8"/>
                      <w:szCs w:val="24"/>
                    </w:rPr>
                    <w:lastRenderedPageBreak/>
                    <w:t>Affordable Home Ownership</w:t>
                  </w:r>
                  <w:r w:rsidR="0035791A" w:rsidRPr="00E56F9C">
                    <w:rPr>
                      <w:rFonts w:cs="Arial"/>
                      <w:color w:val="005AA8"/>
                      <w:szCs w:val="24"/>
                    </w:rPr>
                    <w:t>/ Shared Ownership</w:t>
                  </w:r>
                </w:p>
              </w:tc>
              <w:tc>
                <w:tcPr>
                  <w:tcW w:w="750" w:type="pct"/>
                </w:tcPr>
                <w:p w14:paraId="5090B523" w14:textId="77777777" w:rsidR="007F27C2" w:rsidRPr="00E56F9C" w:rsidRDefault="007F27C2" w:rsidP="007F27C2">
                  <w:pPr>
                    <w:jc w:val="center"/>
                    <w:rPr>
                      <w:rFonts w:cs="Arial"/>
                      <w:color w:val="005AA8"/>
                      <w:szCs w:val="24"/>
                    </w:rPr>
                  </w:pPr>
                  <w:r w:rsidRPr="00E56F9C">
                    <w:rPr>
                      <w:rFonts w:cs="Arial"/>
                      <w:color w:val="005AA8"/>
                      <w:szCs w:val="24"/>
                    </w:rPr>
                    <w:t>23%</w:t>
                  </w:r>
                </w:p>
              </w:tc>
              <w:tc>
                <w:tcPr>
                  <w:tcW w:w="750" w:type="pct"/>
                </w:tcPr>
                <w:p w14:paraId="5A81CE77" w14:textId="77777777" w:rsidR="007F27C2" w:rsidRPr="00E56F9C" w:rsidRDefault="007F27C2" w:rsidP="007F27C2">
                  <w:pPr>
                    <w:jc w:val="center"/>
                    <w:rPr>
                      <w:rFonts w:cs="Arial"/>
                      <w:color w:val="005AA8"/>
                      <w:szCs w:val="24"/>
                    </w:rPr>
                  </w:pPr>
                  <w:r w:rsidRPr="00E56F9C">
                    <w:rPr>
                      <w:rFonts w:cs="Arial"/>
                      <w:color w:val="005AA8"/>
                      <w:szCs w:val="24"/>
                    </w:rPr>
                    <w:t>38%</w:t>
                  </w:r>
                </w:p>
              </w:tc>
              <w:tc>
                <w:tcPr>
                  <w:tcW w:w="750" w:type="pct"/>
                </w:tcPr>
                <w:p w14:paraId="40DA8166" w14:textId="77777777" w:rsidR="007F27C2" w:rsidRPr="00E56F9C" w:rsidRDefault="007F27C2" w:rsidP="007F27C2">
                  <w:pPr>
                    <w:jc w:val="center"/>
                    <w:rPr>
                      <w:rFonts w:cs="Arial"/>
                      <w:color w:val="005AA8"/>
                      <w:szCs w:val="24"/>
                    </w:rPr>
                  </w:pPr>
                  <w:r w:rsidRPr="00E56F9C">
                    <w:rPr>
                      <w:rFonts w:cs="Arial"/>
                      <w:color w:val="005AA8"/>
                      <w:szCs w:val="24"/>
                    </w:rPr>
                    <w:t>24%</w:t>
                  </w:r>
                </w:p>
              </w:tc>
              <w:tc>
                <w:tcPr>
                  <w:tcW w:w="750" w:type="pct"/>
                </w:tcPr>
                <w:p w14:paraId="19A2FB8D" w14:textId="77777777" w:rsidR="007F27C2" w:rsidRPr="00E56F9C" w:rsidRDefault="007F27C2" w:rsidP="007F27C2">
                  <w:pPr>
                    <w:jc w:val="center"/>
                    <w:rPr>
                      <w:rFonts w:cs="Arial"/>
                      <w:color w:val="005AA8"/>
                      <w:szCs w:val="24"/>
                    </w:rPr>
                  </w:pPr>
                  <w:r w:rsidRPr="00E56F9C">
                    <w:rPr>
                      <w:rFonts w:cs="Arial"/>
                      <w:color w:val="005AA8"/>
                      <w:szCs w:val="24"/>
                    </w:rPr>
                    <w:t>15%</w:t>
                  </w:r>
                </w:p>
              </w:tc>
            </w:tr>
            <w:tr w:rsidR="007F27C2" w:rsidRPr="003C7E62" w14:paraId="5F39A8B9" w14:textId="77777777" w:rsidTr="0035791A">
              <w:tc>
                <w:tcPr>
                  <w:tcW w:w="2069" w:type="pct"/>
                </w:tcPr>
                <w:p w14:paraId="36A28B04" w14:textId="77777777" w:rsidR="007F27C2" w:rsidRPr="00E56F9C" w:rsidRDefault="007F27C2" w:rsidP="007F27C2">
                  <w:pPr>
                    <w:rPr>
                      <w:rFonts w:cs="Arial"/>
                      <w:color w:val="005AA8"/>
                      <w:szCs w:val="24"/>
                    </w:rPr>
                  </w:pPr>
                  <w:r w:rsidRPr="00E56F9C">
                    <w:rPr>
                      <w:rFonts w:cs="Arial"/>
                      <w:color w:val="005AA8"/>
                      <w:szCs w:val="24"/>
                    </w:rPr>
                    <w:t>Affordable Rented</w:t>
                  </w:r>
                </w:p>
              </w:tc>
              <w:tc>
                <w:tcPr>
                  <w:tcW w:w="750" w:type="pct"/>
                </w:tcPr>
                <w:p w14:paraId="14BBF751" w14:textId="77777777" w:rsidR="007F27C2" w:rsidRPr="00E56F9C" w:rsidRDefault="007F27C2" w:rsidP="007F27C2">
                  <w:pPr>
                    <w:jc w:val="center"/>
                    <w:rPr>
                      <w:rFonts w:cs="Arial"/>
                      <w:color w:val="005AA8"/>
                      <w:szCs w:val="24"/>
                    </w:rPr>
                  </w:pPr>
                  <w:r w:rsidRPr="00E56F9C">
                    <w:rPr>
                      <w:rFonts w:cs="Arial"/>
                      <w:color w:val="005AA8"/>
                      <w:szCs w:val="24"/>
                    </w:rPr>
                    <w:t>35%</w:t>
                  </w:r>
                </w:p>
              </w:tc>
              <w:tc>
                <w:tcPr>
                  <w:tcW w:w="750" w:type="pct"/>
                </w:tcPr>
                <w:p w14:paraId="0A0B9042" w14:textId="77777777" w:rsidR="007F27C2" w:rsidRPr="00E56F9C" w:rsidRDefault="007F27C2" w:rsidP="007F27C2">
                  <w:pPr>
                    <w:jc w:val="center"/>
                    <w:rPr>
                      <w:rFonts w:cs="Arial"/>
                      <w:color w:val="005AA8"/>
                      <w:szCs w:val="24"/>
                    </w:rPr>
                  </w:pPr>
                  <w:r w:rsidRPr="00E56F9C">
                    <w:rPr>
                      <w:rFonts w:cs="Arial"/>
                      <w:color w:val="005AA8"/>
                      <w:szCs w:val="24"/>
                    </w:rPr>
                    <w:t>37%</w:t>
                  </w:r>
                </w:p>
              </w:tc>
              <w:tc>
                <w:tcPr>
                  <w:tcW w:w="750" w:type="pct"/>
                </w:tcPr>
                <w:p w14:paraId="78A9DF6F" w14:textId="77777777" w:rsidR="007F27C2" w:rsidRPr="00E56F9C" w:rsidRDefault="007F27C2" w:rsidP="007F27C2">
                  <w:pPr>
                    <w:jc w:val="center"/>
                    <w:rPr>
                      <w:rFonts w:cs="Arial"/>
                      <w:color w:val="005AA8"/>
                      <w:szCs w:val="24"/>
                    </w:rPr>
                  </w:pPr>
                  <w:r w:rsidRPr="00E56F9C">
                    <w:rPr>
                      <w:rFonts w:cs="Arial"/>
                      <w:color w:val="005AA8"/>
                      <w:szCs w:val="24"/>
                    </w:rPr>
                    <w:t>25%</w:t>
                  </w:r>
                </w:p>
              </w:tc>
              <w:tc>
                <w:tcPr>
                  <w:tcW w:w="750" w:type="pct"/>
                </w:tcPr>
                <w:p w14:paraId="27ED8CA7" w14:textId="77777777" w:rsidR="007F27C2" w:rsidRPr="00E56F9C" w:rsidRDefault="007F27C2" w:rsidP="007F27C2">
                  <w:pPr>
                    <w:jc w:val="center"/>
                    <w:rPr>
                      <w:rFonts w:cs="Arial"/>
                      <w:color w:val="005AA8"/>
                      <w:szCs w:val="24"/>
                    </w:rPr>
                  </w:pPr>
                  <w:r w:rsidRPr="00E56F9C">
                    <w:rPr>
                      <w:rFonts w:cs="Arial"/>
                      <w:color w:val="005AA8"/>
                      <w:szCs w:val="24"/>
                    </w:rPr>
                    <w:t>3%</w:t>
                  </w:r>
                </w:p>
              </w:tc>
            </w:tr>
          </w:tbl>
          <w:p w14:paraId="228C6C8D" w14:textId="77777777" w:rsidR="007F27C2" w:rsidRPr="00041502" w:rsidRDefault="007F27C2" w:rsidP="007F27C2">
            <w:pPr>
              <w:keepNext w:val="0"/>
              <w:spacing w:before="0"/>
              <w:contextualSpacing/>
              <w:jc w:val="left"/>
              <w:rPr>
                <w:color w:val="auto"/>
              </w:rPr>
            </w:pPr>
          </w:p>
          <w:p w14:paraId="4058CF00" w14:textId="77777777" w:rsidR="00041502" w:rsidRPr="00041502" w:rsidRDefault="00041502" w:rsidP="00874A98">
            <w:pPr>
              <w:keepNext w:val="0"/>
              <w:numPr>
                <w:ilvl w:val="0"/>
                <w:numId w:val="275"/>
              </w:numPr>
              <w:spacing w:before="0"/>
              <w:contextualSpacing/>
              <w:jc w:val="left"/>
              <w:rPr>
                <w:color w:val="auto"/>
              </w:rPr>
            </w:pPr>
            <w:r w:rsidRPr="00041502">
              <w:rPr>
                <w:color w:val="auto"/>
              </w:rPr>
              <w:t xml:space="preserve">Developments of 10 or more dwellings will be expected to provide 10% of dwellings that are accessible or easily adaptable for occupation by the elderly or people with disabilities (Category 2). </w:t>
            </w:r>
          </w:p>
          <w:p w14:paraId="2A0A1455" w14:textId="77777777" w:rsidR="00041502" w:rsidRPr="00041502" w:rsidRDefault="00041502" w:rsidP="00FF3EAD">
            <w:pPr>
              <w:keepNext w:val="0"/>
              <w:spacing w:before="0"/>
              <w:ind w:left="720"/>
              <w:contextualSpacing/>
              <w:jc w:val="left"/>
              <w:rPr>
                <w:color w:val="auto"/>
              </w:rPr>
            </w:pPr>
          </w:p>
          <w:p w14:paraId="5FBAD8D8" w14:textId="77777777" w:rsidR="00041502" w:rsidRPr="00041502" w:rsidRDefault="00041502" w:rsidP="00874A98">
            <w:pPr>
              <w:keepNext w:val="0"/>
              <w:numPr>
                <w:ilvl w:val="0"/>
                <w:numId w:val="275"/>
              </w:numPr>
              <w:spacing w:before="0"/>
              <w:contextualSpacing/>
              <w:jc w:val="left"/>
              <w:rPr>
                <w:color w:val="auto"/>
              </w:rPr>
            </w:pPr>
            <w:r w:rsidRPr="00041502">
              <w:rPr>
                <w:color w:val="auto"/>
              </w:rPr>
              <w:t xml:space="preserve">The inclusion of self-build and custom-build properties on sites will be encouraged. </w:t>
            </w:r>
          </w:p>
          <w:p w14:paraId="1E1DB9C0" w14:textId="77777777" w:rsidR="00041502" w:rsidRPr="00041502" w:rsidRDefault="00041502" w:rsidP="00FF3EAD">
            <w:pPr>
              <w:keepNext w:val="0"/>
              <w:spacing w:before="0"/>
              <w:jc w:val="left"/>
              <w:rPr>
                <w:color w:val="auto"/>
              </w:rPr>
            </w:pPr>
          </w:p>
        </w:tc>
      </w:tr>
      <w:tr w:rsidR="00041502" w:rsidRPr="00041502" w14:paraId="019F8A3F" w14:textId="77777777" w:rsidTr="00F906E1">
        <w:tc>
          <w:tcPr>
            <w:tcW w:w="2410" w:type="dxa"/>
          </w:tcPr>
          <w:p w14:paraId="42E76C20" w14:textId="77777777" w:rsidR="00041502" w:rsidRPr="00041502" w:rsidRDefault="00041502" w:rsidP="00041502">
            <w:pPr>
              <w:keepNext w:val="0"/>
              <w:spacing w:before="0"/>
              <w:jc w:val="left"/>
              <w:rPr>
                <w:color w:val="auto"/>
                <w:sz w:val="20"/>
                <w:szCs w:val="20"/>
              </w:rPr>
            </w:pPr>
            <w:r w:rsidRPr="00041502">
              <w:rPr>
                <w:color w:val="auto"/>
                <w:sz w:val="20"/>
                <w:szCs w:val="20"/>
              </w:rPr>
              <w:lastRenderedPageBreak/>
              <w:t>Evidence Base</w:t>
            </w:r>
          </w:p>
        </w:tc>
        <w:tc>
          <w:tcPr>
            <w:tcW w:w="7077" w:type="dxa"/>
          </w:tcPr>
          <w:p w14:paraId="432BDEC4" w14:textId="77777777" w:rsidR="00041502" w:rsidRPr="004C67D8" w:rsidRDefault="00041502" w:rsidP="00874A98">
            <w:pPr>
              <w:keepNext w:val="0"/>
              <w:numPr>
                <w:ilvl w:val="0"/>
                <w:numId w:val="273"/>
              </w:numPr>
              <w:spacing w:before="0"/>
              <w:contextualSpacing/>
              <w:jc w:val="left"/>
              <w:rPr>
                <w:color w:val="auto"/>
                <w:sz w:val="20"/>
                <w:szCs w:val="20"/>
              </w:rPr>
            </w:pPr>
            <w:r w:rsidRPr="004C67D8">
              <w:rPr>
                <w:color w:val="auto"/>
                <w:sz w:val="20"/>
                <w:szCs w:val="20"/>
              </w:rPr>
              <w:t>Greater Nottingham &amp; Ashfield Housing Needs Assessment Final Report, 2020 – Iceni Projects Ltd</w:t>
            </w:r>
          </w:p>
          <w:p w14:paraId="050DE890" w14:textId="770805A1" w:rsidR="00041502" w:rsidRPr="004C67D8" w:rsidRDefault="007641C1" w:rsidP="00874A98">
            <w:pPr>
              <w:keepNext w:val="0"/>
              <w:numPr>
                <w:ilvl w:val="0"/>
                <w:numId w:val="273"/>
              </w:numPr>
              <w:spacing w:before="0"/>
              <w:contextualSpacing/>
              <w:jc w:val="left"/>
              <w:rPr>
                <w:color w:val="auto"/>
                <w:sz w:val="20"/>
                <w:szCs w:val="20"/>
              </w:rPr>
            </w:pPr>
            <w:r w:rsidRPr="004C67D8">
              <w:rPr>
                <w:color w:val="auto"/>
                <w:sz w:val="20"/>
                <w:szCs w:val="20"/>
              </w:rPr>
              <w:t>Sustainability Appraisal, 2023. WSP UK Limited.</w:t>
            </w:r>
          </w:p>
        </w:tc>
      </w:tr>
      <w:tr w:rsidR="00041502" w:rsidRPr="00041502" w14:paraId="3BFF0A20" w14:textId="77777777" w:rsidTr="00F906E1">
        <w:tc>
          <w:tcPr>
            <w:tcW w:w="2410" w:type="dxa"/>
          </w:tcPr>
          <w:p w14:paraId="608753A0" w14:textId="77777777" w:rsidR="00041502" w:rsidRPr="00041502" w:rsidRDefault="00041502" w:rsidP="00041502">
            <w:pPr>
              <w:keepNext w:val="0"/>
              <w:spacing w:before="0"/>
              <w:jc w:val="left"/>
              <w:rPr>
                <w:color w:val="auto"/>
                <w:sz w:val="20"/>
                <w:szCs w:val="20"/>
              </w:rPr>
            </w:pPr>
            <w:r w:rsidRPr="00041502">
              <w:rPr>
                <w:color w:val="auto"/>
                <w:sz w:val="20"/>
                <w:szCs w:val="20"/>
              </w:rPr>
              <w:t>National Planning Policy and Guidance</w:t>
            </w:r>
          </w:p>
        </w:tc>
        <w:tc>
          <w:tcPr>
            <w:tcW w:w="7077" w:type="dxa"/>
          </w:tcPr>
          <w:p w14:paraId="429FF891" w14:textId="7E3F93BC" w:rsidR="00041502" w:rsidRPr="004C67D8" w:rsidRDefault="00041502" w:rsidP="00874A98">
            <w:pPr>
              <w:keepNext w:val="0"/>
              <w:numPr>
                <w:ilvl w:val="0"/>
                <w:numId w:val="274"/>
              </w:numPr>
              <w:spacing w:before="0"/>
              <w:contextualSpacing/>
              <w:jc w:val="left"/>
              <w:rPr>
                <w:color w:val="auto"/>
                <w:sz w:val="20"/>
                <w:szCs w:val="20"/>
              </w:rPr>
            </w:pPr>
            <w:r w:rsidRPr="004C67D8">
              <w:rPr>
                <w:color w:val="auto"/>
                <w:sz w:val="20"/>
                <w:szCs w:val="20"/>
              </w:rPr>
              <w:t>NPPF 202</w:t>
            </w:r>
            <w:r w:rsidR="004173E0" w:rsidRPr="004C67D8">
              <w:rPr>
                <w:color w:val="auto"/>
                <w:sz w:val="20"/>
                <w:szCs w:val="20"/>
              </w:rPr>
              <w:t>3</w:t>
            </w:r>
            <w:r w:rsidRPr="004C67D8">
              <w:rPr>
                <w:color w:val="auto"/>
                <w:sz w:val="20"/>
                <w:szCs w:val="20"/>
              </w:rPr>
              <w:t>, Part 2: Achieving sustainable development.</w:t>
            </w:r>
          </w:p>
          <w:p w14:paraId="0E0FB702" w14:textId="5036FC75" w:rsidR="00041502" w:rsidRPr="004C67D8" w:rsidRDefault="00041502" w:rsidP="00874A98">
            <w:pPr>
              <w:keepNext w:val="0"/>
              <w:numPr>
                <w:ilvl w:val="0"/>
                <w:numId w:val="274"/>
              </w:numPr>
              <w:spacing w:before="0"/>
              <w:contextualSpacing/>
              <w:jc w:val="left"/>
              <w:rPr>
                <w:color w:val="auto"/>
                <w:sz w:val="20"/>
                <w:szCs w:val="20"/>
              </w:rPr>
            </w:pPr>
            <w:r w:rsidRPr="004C67D8">
              <w:rPr>
                <w:color w:val="auto"/>
                <w:sz w:val="20"/>
                <w:szCs w:val="20"/>
              </w:rPr>
              <w:t>NPPF 202</w:t>
            </w:r>
            <w:r w:rsidR="004173E0" w:rsidRPr="004C67D8">
              <w:rPr>
                <w:color w:val="auto"/>
                <w:sz w:val="20"/>
                <w:szCs w:val="20"/>
              </w:rPr>
              <w:t>3</w:t>
            </w:r>
            <w:r w:rsidRPr="004C67D8">
              <w:rPr>
                <w:color w:val="auto"/>
                <w:sz w:val="20"/>
                <w:szCs w:val="20"/>
              </w:rPr>
              <w:t>, Part 5: Delivering a sufficient supply of homes</w:t>
            </w:r>
          </w:p>
          <w:p w14:paraId="0BEC8386" w14:textId="05EE5E49" w:rsidR="00041502" w:rsidRPr="004C67D8" w:rsidRDefault="00041502" w:rsidP="00874A98">
            <w:pPr>
              <w:keepNext w:val="0"/>
              <w:numPr>
                <w:ilvl w:val="0"/>
                <w:numId w:val="274"/>
              </w:numPr>
              <w:spacing w:before="0"/>
              <w:contextualSpacing/>
              <w:jc w:val="left"/>
              <w:rPr>
                <w:color w:val="auto"/>
                <w:sz w:val="20"/>
                <w:szCs w:val="20"/>
              </w:rPr>
            </w:pPr>
            <w:bookmarkStart w:id="243" w:name="_Hlk139638477"/>
            <w:r w:rsidRPr="004C67D8">
              <w:rPr>
                <w:color w:val="auto"/>
                <w:sz w:val="20"/>
                <w:szCs w:val="20"/>
              </w:rPr>
              <w:t>Planning Practice Guidance: Housing and economic needs assessment</w:t>
            </w:r>
            <w:r w:rsidR="007641C1" w:rsidRPr="004C67D8">
              <w:rPr>
                <w:color w:val="auto"/>
                <w:sz w:val="20"/>
                <w:szCs w:val="20"/>
              </w:rPr>
              <w:t xml:space="preserve"> as </w:t>
            </w:r>
            <w:proofErr w:type="gramStart"/>
            <w:r w:rsidR="007641C1" w:rsidRPr="004C67D8">
              <w:rPr>
                <w:color w:val="auto"/>
                <w:sz w:val="20"/>
                <w:szCs w:val="20"/>
              </w:rPr>
              <w:t>at</w:t>
            </w:r>
            <w:proofErr w:type="gramEnd"/>
            <w:r w:rsidR="007641C1" w:rsidRPr="004C67D8">
              <w:rPr>
                <w:color w:val="auto"/>
                <w:sz w:val="20"/>
                <w:szCs w:val="20"/>
              </w:rPr>
              <w:t xml:space="preserve"> July 2019.</w:t>
            </w:r>
          </w:p>
          <w:p w14:paraId="0B7E5D36" w14:textId="66CFD723" w:rsidR="00041502" w:rsidRPr="004C67D8" w:rsidRDefault="00041502" w:rsidP="00874A98">
            <w:pPr>
              <w:keepNext w:val="0"/>
              <w:numPr>
                <w:ilvl w:val="0"/>
                <w:numId w:val="274"/>
              </w:numPr>
              <w:spacing w:before="0"/>
              <w:contextualSpacing/>
              <w:jc w:val="left"/>
              <w:rPr>
                <w:color w:val="auto"/>
                <w:sz w:val="20"/>
                <w:szCs w:val="20"/>
              </w:rPr>
            </w:pPr>
            <w:r w:rsidRPr="004C67D8">
              <w:rPr>
                <w:color w:val="auto"/>
                <w:sz w:val="20"/>
                <w:szCs w:val="20"/>
              </w:rPr>
              <w:t>Planning Practice Guidance: Housing needs of different groups</w:t>
            </w:r>
            <w:r w:rsidR="00F906E1">
              <w:rPr>
                <w:color w:val="auto"/>
                <w:sz w:val="20"/>
                <w:szCs w:val="20"/>
              </w:rPr>
              <w:t xml:space="preserve">, </w:t>
            </w:r>
            <w:r w:rsidR="007641C1" w:rsidRPr="004C67D8">
              <w:rPr>
                <w:color w:val="auto"/>
                <w:sz w:val="20"/>
                <w:szCs w:val="20"/>
              </w:rPr>
              <w:t xml:space="preserve">as </w:t>
            </w:r>
            <w:proofErr w:type="gramStart"/>
            <w:r w:rsidR="007641C1" w:rsidRPr="004C67D8">
              <w:rPr>
                <w:color w:val="auto"/>
                <w:sz w:val="20"/>
                <w:szCs w:val="20"/>
              </w:rPr>
              <w:t>at</w:t>
            </w:r>
            <w:proofErr w:type="gramEnd"/>
            <w:r w:rsidR="007641C1" w:rsidRPr="004C67D8">
              <w:rPr>
                <w:color w:val="auto"/>
                <w:sz w:val="20"/>
                <w:szCs w:val="20"/>
              </w:rPr>
              <w:t xml:space="preserve"> May 2021.</w:t>
            </w:r>
          </w:p>
          <w:p w14:paraId="09CA9692" w14:textId="70EA1749" w:rsidR="00041502" w:rsidRPr="004C67D8" w:rsidRDefault="00041502" w:rsidP="00874A98">
            <w:pPr>
              <w:keepNext w:val="0"/>
              <w:numPr>
                <w:ilvl w:val="0"/>
                <w:numId w:val="274"/>
              </w:numPr>
              <w:spacing w:before="0"/>
              <w:contextualSpacing/>
              <w:jc w:val="left"/>
              <w:rPr>
                <w:color w:val="auto"/>
                <w:sz w:val="20"/>
                <w:szCs w:val="20"/>
              </w:rPr>
            </w:pPr>
            <w:r w:rsidRPr="004C67D8">
              <w:rPr>
                <w:color w:val="auto"/>
                <w:sz w:val="20"/>
                <w:szCs w:val="20"/>
              </w:rPr>
              <w:t>Planning Practice Guidance: Housing for older and disabled people</w:t>
            </w:r>
            <w:r w:rsidR="007641C1" w:rsidRPr="004C67D8">
              <w:rPr>
                <w:color w:val="auto"/>
                <w:sz w:val="20"/>
                <w:szCs w:val="20"/>
              </w:rPr>
              <w:t xml:space="preserve"> as </w:t>
            </w:r>
            <w:proofErr w:type="gramStart"/>
            <w:r w:rsidR="007641C1" w:rsidRPr="004C67D8">
              <w:rPr>
                <w:color w:val="auto"/>
                <w:sz w:val="20"/>
                <w:szCs w:val="20"/>
              </w:rPr>
              <w:t>at</w:t>
            </w:r>
            <w:proofErr w:type="gramEnd"/>
            <w:r w:rsidR="007641C1" w:rsidRPr="004C67D8">
              <w:rPr>
                <w:color w:val="auto"/>
                <w:sz w:val="20"/>
                <w:szCs w:val="20"/>
              </w:rPr>
              <w:t xml:space="preserve"> July 2019.</w:t>
            </w:r>
            <w:bookmarkEnd w:id="243"/>
          </w:p>
        </w:tc>
      </w:tr>
    </w:tbl>
    <w:p w14:paraId="4234321C" w14:textId="77777777" w:rsidR="00041502" w:rsidRPr="00041502" w:rsidRDefault="00041502" w:rsidP="00041502">
      <w:pPr>
        <w:keepNext w:val="0"/>
        <w:spacing w:before="0"/>
        <w:jc w:val="both"/>
        <w:rPr>
          <w:rFonts w:eastAsia="Calibri"/>
          <w:color w:val="auto"/>
          <w:szCs w:val="22"/>
        </w:rPr>
      </w:pPr>
    </w:p>
    <w:p w14:paraId="224C8CA5" w14:textId="6DBC6B82" w:rsidR="00F55774" w:rsidRPr="00F55774" w:rsidRDefault="00AE58B3" w:rsidP="00874A98">
      <w:pPr>
        <w:pStyle w:val="ListParagraph"/>
        <w:numPr>
          <w:ilvl w:val="1"/>
          <w:numId w:val="92"/>
        </w:numPr>
        <w:autoSpaceDE w:val="0"/>
        <w:autoSpaceDN w:val="0"/>
        <w:adjustRightInd w:val="0"/>
        <w:spacing w:after="0" w:line="240" w:lineRule="auto"/>
        <w:ind w:left="851" w:hanging="851"/>
        <w:rPr>
          <w:rFonts w:ascii="Arial" w:eastAsia="Arial" w:hAnsi="Arial" w:cs="Arial"/>
          <w:iCs/>
          <w:color w:val="auto"/>
          <w:szCs w:val="24"/>
        </w:rPr>
      </w:pPr>
      <w:r w:rsidRPr="00F9165A">
        <w:rPr>
          <w:rFonts w:ascii="Arial" w:eastAsia="Arial" w:hAnsi="Arial" w:cs="Arial"/>
          <w:b/>
        </w:rPr>
        <w:t>H6:1</w:t>
      </w:r>
      <w:r w:rsidRPr="00F9165A">
        <w:rPr>
          <w:rFonts w:ascii="Arial" w:eastAsia="Arial" w:hAnsi="Arial" w:cs="Arial"/>
        </w:rPr>
        <w:t xml:space="preserve"> The housing market is dynamic, and it is therefore inappropriate to establish inflexible targets for the mix of dwelling size and type that needs to be provided. Developers are therefore encouraged to discuss with the Council the appropriate mix of house size, type and tenure within any new housing development at an early stage in the application process. Requirements will be informed by the following, along with any additional up-to-date evidence:</w:t>
      </w:r>
    </w:p>
    <w:p w14:paraId="70755BB3" w14:textId="614BDD6F" w:rsidR="00F55774" w:rsidRDefault="00F55774" w:rsidP="00F55774">
      <w:pPr>
        <w:pStyle w:val="ListParagraph"/>
        <w:autoSpaceDE w:val="0"/>
        <w:autoSpaceDN w:val="0"/>
        <w:adjustRightInd w:val="0"/>
        <w:spacing w:after="0" w:line="240" w:lineRule="auto"/>
        <w:ind w:left="851"/>
        <w:rPr>
          <w:rFonts w:ascii="Arial" w:eastAsia="Arial" w:hAnsi="Arial" w:cs="Arial"/>
          <w:b/>
        </w:rPr>
      </w:pPr>
    </w:p>
    <w:p w14:paraId="63E94907" w14:textId="77777777" w:rsidR="00F55774" w:rsidRPr="00F9165A" w:rsidRDefault="00F55774" w:rsidP="00874A98">
      <w:pPr>
        <w:keepNext w:val="0"/>
        <w:keepLines/>
        <w:numPr>
          <w:ilvl w:val="0"/>
          <w:numId w:val="159"/>
        </w:numPr>
        <w:tabs>
          <w:tab w:val="left" w:pos="680"/>
        </w:tabs>
        <w:suppressAutoHyphens/>
        <w:spacing w:before="0"/>
        <w:ind w:right="56"/>
        <w:textAlignment w:val="baseline"/>
        <w:rPr>
          <w:rFonts w:eastAsia="Arial" w:cs="Arial"/>
        </w:rPr>
      </w:pPr>
      <w:r w:rsidRPr="00F9165A">
        <w:rPr>
          <w:rFonts w:eastAsia="Arial" w:cs="Arial"/>
        </w:rPr>
        <w:t xml:space="preserve">Evidence contained within the </w:t>
      </w:r>
      <w:bookmarkStart w:id="244" w:name="_Hlk78371592"/>
      <w:r w:rsidRPr="005B3A0F">
        <w:rPr>
          <w:rFonts w:eastAsia="Arial" w:cs="Arial"/>
        </w:rPr>
        <w:t>Greater Nottingham &amp; Ashfield Housing Needs Assessment</w:t>
      </w:r>
      <w:bookmarkEnd w:id="244"/>
      <w:r w:rsidRPr="005B3A0F">
        <w:rPr>
          <w:rFonts w:eastAsia="Arial" w:cs="Arial"/>
        </w:rPr>
        <w:t xml:space="preserve"> 2020, or subsequent</w:t>
      </w:r>
      <w:r w:rsidRPr="00F9165A">
        <w:rPr>
          <w:rFonts w:eastAsia="Arial" w:cs="Arial"/>
        </w:rPr>
        <w:t xml:space="preserve"> assessment of local housing need;</w:t>
      </w:r>
    </w:p>
    <w:p w14:paraId="07A37653" w14:textId="77777777" w:rsidR="00F55774" w:rsidRPr="00F9165A" w:rsidRDefault="00F55774" w:rsidP="00874A98">
      <w:pPr>
        <w:keepNext w:val="0"/>
        <w:keepLines/>
        <w:numPr>
          <w:ilvl w:val="0"/>
          <w:numId w:val="159"/>
        </w:numPr>
        <w:tabs>
          <w:tab w:val="left" w:pos="680"/>
        </w:tabs>
        <w:suppressAutoHyphens/>
        <w:spacing w:before="0"/>
        <w:ind w:right="56"/>
        <w:textAlignment w:val="baseline"/>
        <w:rPr>
          <w:rFonts w:eastAsia="Arial" w:cs="Arial"/>
        </w:rPr>
      </w:pPr>
      <w:r w:rsidRPr="00F9165A">
        <w:rPr>
          <w:rFonts w:eastAsia="Arial" w:cs="Arial"/>
        </w:rPr>
        <w:t>Local Housing Strategy;</w:t>
      </w:r>
    </w:p>
    <w:p w14:paraId="24FF0D65" w14:textId="77777777" w:rsidR="00F55774" w:rsidRPr="00F9165A" w:rsidRDefault="00F55774" w:rsidP="00874A98">
      <w:pPr>
        <w:keepNext w:val="0"/>
        <w:keepLines/>
        <w:numPr>
          <w:ilvl w:val="0"/>
          <w:numId w:val="159"/>
        </w:numPr>
        <w:tabs>
          <w:tab w:val="left" w:pos="680"/>
        </w:tabs>
        <w:suppressAutoHyphens/>
        <w:spacing w:before="0"/>
        <w:ind w:right="56"/>
        <w:textAlignment w:val="baseline"/>
        <w:rPr>
          <w:rFonts w:eastAsia="Arial" w:cs="Arial"/>
        </w:rPr>
      </w:pPr>
      <w:r w:rsidRPr="00F9165A">
        <w:rPr>
          <w:rFonts w:eastAsia="Arial" w:cs="Arial"/>
        </w:rPr>
        <w:t>Context in relation to site location and existing neighbouring residential development;</w:t>
      </w:r>
    </w:p>
    <w:p w14:paraId="67B19ADB" w14:textId="77777777" w:rsidR="00F55774" w:rsidRPr="00F9165A" w:rsidRDefault="00F55774" w:rsidP="00874A98">
      <w:pPr>
        <w:keepNext w:val="0"/>
        <w:keepLines/>
        <w:numPr>
          <w:ilvl w:val="0"/>
          <w:numId w:val="159"/>
        </w:numPr>
        <w:tabs>
          <w:tab w:val="left" w:pos="680"/>
        </w:tabs>
        <w:suppressAutoHyphens/>
        <w:spacing w:before="0"/>
        <w:ind w:right="56"/>
        <w:textAlignment w:val="baseline"/>
        <w:rPr>
          <w:rFonts w:eastAsia="Arial" w:cs="Arial"/>
        </w:rPr>
      </w:pPr>
      <w:r w:rsidRPr="00F9165A">
        <w:rPr>
          <w:rFonts w:eastAsia="Arial" w:cs="Arial"/>
        </w:rPr>
        <w:t>Site issues and design considerations.</w:t>
      </w:r>
    </w:p>
    <w:p w14:paraId="238EA21F" w14:textId="77777777" w:rsidR="00F55774" w:rsidRPr="00F9165A" w:rsidRDefault="00F55774" w:rsidP="00F55774">
      <w:pPr>
        <w:keepNext w:val="0"/>
        <w:keepLines/>
        <w:tabs>
          <w:tab w:val="left" w:pos="680"/>
        </w:tabs>
        <w:suppressAutoHyphens/>
        <w:spacing w:before="0"/>
        <w:ind w:left="1571" w:right="56"/>
        <w:textAlignment w:val="baseline"/>
        <w:rPr>
          <w:rFonts w:eastAsia="Arial" w:cs="Arial"/>
        </w:rPr>
      </w:pPr>
    </w:p>
    <w:p w14:paraId="331D0050" w14:textId="02E4E5B2" w:rsidR="00F9165A" w:rsidRPr="00F55774" w:rsidRDefault="00AE58B3" w:rsidP="00874A98">
      <w:pPr>
        <w:pStyle w:val="ListParagraph"/>
        <w:numPr>
          <w:ilvl w:val="1"/>
          <w:numId w:val="92"/>
        </w:numPr>
        <w:autoSpaceDE w:val="0"/>
        <w:autoSpaceDN w:val="0"/>
        <w:adjustRightInd w:val="0"/>
        <w:spacing w:after="0" w:line="240" w:lineRule="auto"/>
        <w:ind w:left="851" w:hanging="851"/>
        <w:rPr>
          <w:rFonts w:ascii="Arial" w:eastAsia="Arial" w:hAnsi="Arial" w:cs="Arial"/>
          <w:iCs/>
          <w:color w:val="auto"/>
          <w:szCs w:val="24"/>
        </w:rPr>
      </w:pPr>
      <w:r w:rsidRPr="005B3A0F">
        <w:rPr>
          <w:rFonts w:ascii="Arial" w:hAnsi="Arial" w:cs="Arial"/>
          <w:szCs w:val="24"/>
        </w:rPr>
        <w:t>The</w:t>
      </w:r>
      <w:r w:rsidRPr="005B3A0F">
        <w:rPr>
          <w:rFonts w:ascii="Arial" w:eastAsia="Arial" w:hAnsi="Arial" w:cs="Arial"/>
        </w:rPr>
        <w:t xml:space="preserve"> Greater Nottingham &amp; Ashfield Housing Needs Assessment 2020</w:t>
      </w:r>
      <w:r w:rsidRPr="005B3A0F">
        <w:rPr>
          <w:rFonts w:ascii="Arial" w:hAnsi="Arial" w:cs="Arial"/>
          <w:szCs w:val="24"/>
        </w:rPr>
        <w:t xml:space="preserve"> (HNA)</w:t>
      </w:r>
      <w:r w:rsidRPr="005B3A0F">
        <w:rPr>
          <w:rFonts w:ascii="Arial" w:eastAsiaTheme="minorEastAsia" w:hAnsi="Arial" w:cs="Arial"/>
          <w:kern w:val="24"/>
          <w:szCs w:val="24"/>
        </w:rPr>
        <w:t xml:space="preserve"> </w:t>
      </w:r>
      <w:r w:rsidR="00DF4737" w:rsidRPr="005B3A0F">
        <w:rPr>
          <w:rFonts w:ascii="Arial" w:hAnsi="Arial" w:cs="Arial"/>
          <w:szCs w:val="24"/>
        </w:rPr>
        <w:t xml:space="preserve">analysis </w:t>
      </w:r>
      <w:proofErr w:type="gramStart"/>
      <w:r w:rsidR="00DF4737" w:rsidRPr="005B3A0F">
        <w:rPr>
          <w:rFonts w:ascii="Arial" w:hAnsi="Arial" w:cs="Arial"/>
          <w:szCs w:val="24"/>
        </w:rPr>
        <w:t>takes into account</w:t>
      </w:r>
      <w:proofErr w:type="gramEnd"/>
      <w:r w:rsidR="00DF4737" w:rsidRPr="005B3A0F">
        <w:rPr>
          <w:rFonts w:ascii="Arial" w:hAnsi="Arial" w:cs="Arial"/>
          <w:szCs w:val="24"/>
        </w:rPr>
        <w:t xml:space="preserve"> how people of different ages occupy homes,</w:t>
      </w:r>
      <w:r w:rsidR="00DF4737" w:rsidRPr="00F55774">
        <w:rPr>
          <w:rFonts w:ascii="Arial" w:hAnsi="Arial" w:cs="Arial"/>
          <w:szCs w:val="24"/>
        </w:rPr>
        <w:t xml:space="preserve"> market evidence and modelled outputs.  The analysis has also factored in the projected growth of family households </w:t>
      </w:r>
      <w:proofErr w:type="gramStart"/>
      <w:r w:rsidR="00DF4737" w:rsidRPr="00F55774">
        <w:rPr>
          <w:rFonts w:ascii="Arial" w:hAnsi="Arial" w:cs="Arial"/>
          <w:szCs w:val="24"/>
        </w:rPr>
        <w:t>in order to</w:t>
      </w:r>
      <w:proofErr w:type="gramEnd"/>
      <w:r w:rsidR="00DF4737" w:rsidRPr="00F55774">
        <w:rPr>
          <w:rFonts w:ascii="Arial" w:hAnsi="Arial" w:cs="Arial"/>
          <w:szCs w:val="24"/>
        </w:rPr>
        <w:t xml:space="preserve"> ensure that prospective development responds to the need for family-sized housing </w:t>
      </w:r>
      <w:proofErr w:type="gramStart"/>
      <w:r w:rsidR="00DF4737" w:rsidRPr="00F55774">
        <w:rPr>
          <w:rFonts w:ascii="Arial" w:hAnsi="Arial" w:cs="Arial"/>
          <w:szCs w:val="24"/>
        </w:rPr>
        <w:t>in particular areas</w:t>
      </w:r>
      <w:proofErr w:type="gramEnd"/>
      <w:r w:rsidR="00DF4737" w:rsidRPr="00F55774">
        <w:rPr>
          <w:rFonts w:ascii="Arial" w:hAnsi="Arial" w:cs="Arial"/>
          <w:szCs w:val="24"/>
        </w:rPr>
        <w:t xml:space="preserve">; and the assessment has also reviewed recent development trends to better understand </w:t>
      </w:r>
      <w:proofErr w:type="gramStart"/>
      <w:r w:rsidR="00DF4737" w:rsidRPr="00F55774">
        <w:rPr>
          <w:rFonts w:ascii="Arial" w:hAnsi="Arial" w:cs="Arial"/>
          <w:szCs w:val="24"/>
        </w:rPr>
        <w:t>particular market</w:t>
      </w:r>
      <w:proofErr w:type="gramEnd"/>
      <w:r w:rsidR="00DF4737" w:rsidRPr="00F55774">
        <w:rPr>
          <w:rFonts w:ascii="Arial" w:hAnsi="Arial" w:cs="Arial"/>
          <w:szCs w:val="24"/>
        </w:rPr>
        <w:t xml:space="preserve"> strengths and identify any gaps in the market</w:t>
      </w:r>
      <w:r w:rsidR="002B78E1" w:rsidRPr="00F55774">
        <w:rPr>
          <w:rFonts w:ascii="Arial" w:hAnsi="Arial" w:cs="Arial"/>
          <w:szCs w:val="24"/>
        </w:rPr>
        <w:t xml:space="preserve">. </w:t>
      </w:r>
    </w:p>
    <w:p w14:paraId="4B226B97" w14:textId="77777777" w:rsidR="00F9165A" w:rsidRPr="00F55774" w:rsidRDefault="00F9165A" w:rsidP="00F9165A">
      <w:pPr>
        <w:pStyle w:val="ListParagraph"/>
        <w:keepLines/>
        <w:suppressAutoHyphens/>
        <w:spacing w:after="0" w:line="240" w:lineRule="auto"/>
        <w:ind w:left="460" w:right="56"/>
        <w:textAlignment w:val="baseline"/>
        <w:rPr>
          <w:rFonts w:ascii="Arial" w:hAnsi="Arial" w:cs="Arial"/>
          <w:szCs w:val="24"/>
        </w:rPr>
      </w:pPr>
    </w:p>
    <w:p w14:paraId="6E54AC34" w14:textId="0D945E8A" w:rsid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szCs w:val="24"/>
        </w:rPr>
      </w:pPr>
      <w:r w:rsidRPr="00F55774">
        <w:rPr>
          <w:rFonts w:ascii="Arial" w:eastAsia="Calibri" w:hAnsi="Arial" w:cs="Arial"/>
          <w:szCs w:val="24"/>
        </w:rPr>
        <w:t>Estimates of future requirements</w:t>
      </w:r>
      <w:r w:rsidRPr="00F9165A">
        <w:rPr>
          <w:rFonts w:ascii="Arial" w:eastAsia="Calibri" w:hAnsi="Arial" w:cs="Arial"/>
          <w:szCs w:val="24"/>
        </w:rPr>
        <w:t xml:space="preserve"> by dwelling size are set out in Table </w:t>
      </w:r>
      <w:r w:rsidR="005E25A8">
        <w:rPr>
          <w:rFonts w:ascii="Arial" w:eastAsia="Calibri" w:hAnsi="Arial" w:cs="Arial"/>
          <w:szCs w:val="24"/>
        </w:rPr>
        <w:t>6</w:t>
      </w:r>
      <w:r w:rsidRPr="00F9165A">
        <w:rPr>
          <w:rFonts w:ascii="Arial" w:eastAsia="Calibri" w:hAnsi="Arial" w:cs="Arial"/>
          <w:szCs w:val="24"/>
        </w:rPr>
        <w:t xml:space="preserve"> and</w:t>
      </w:r>
      <w:r w:rsidRPr="00F9165A">
        <w:rPr>
          <w:rFonts w:ascii="Arial" w:hAnsi="Arial" w:cs="Arial"/>
          <w:szCs w:val="24"/>
        </w:rPr>
        <w:t xml:space="preserve"> will be used as a starting point to inform negotiations between the District Council and applicants in determining the appropriate mix of housing on schemes of 10 or more dwellings. </w:t>
      </w:r>
    </w:p>
    <w:p w14:paraId="242EB7D4" w14:textId="77777777" w:rsidR="00F9165A" w:rsidRPr="00F9165A" w:rsidRDefault="00F9165A" w:rsidP="00F9165A">
      <w:pPr>
        <w:pStyle w:val="ListParagraph"/>
        <w:spacing w:after="0" w:line="240" w:lineRule="auto"/>
        <w:rPr>
          <w:rFonts w:ascii="Arial" w:hAnsi="Arial" w:cs="Arial"/>
          <w:szCs w:val="24"/>
        </w:rPr>
      </w:pPr>
    </w:p>
    <w:tbl>
      <w:tblPr>
        <w:tblStyle w:val="ReportTable1"/>
        <w:tblW w:w="4518" w:type="pct"/>
        <w:tblInd w:w="846" w:type="dxa"/>
        <w:tblLook w:val="04A0" w:firstRow="1" w:lastRow="0" w:firstColumn="1" w:lastColumn="0" w:noHBand="0" w:noVBand="1"/>
      </w:tblPr>
      <w:tblGrid>
        <w:gridCol w:w="3255"/>
        <w:gridCol w:w="1281"/>
        <w:gridCol w:w="1382"/>
        <w:gridCol w:w="1382"/>
        <w:gridCol w:w="1401"/>
      </w:tblGrid>
      <w:tr w:rsidR="00F9165A" w:rsidRPr="00126BAD" w14:paraId="7DCA25D0" w14:textId="77777777" w:rsidTr="00E40772">
        <w:tc>
          <w:tcPr>
            <w:tcW w:w="5000" w:type="pct"/>
            <w:gridSpan w:val="5"/>
            <w:shd w:val="clear" w:color="auto" w:fill="D9D9D9"/>
          </w:tcPr>
          <w:p w14:paraId="415F3D94" w14:textId="27A93A79" w:rsidR="00F9165A" w:rsidRPr="00FC4F55" w:rsidRDefault="00F9165A" w:rsidP="00024CB3">
            <w:pPr>
              <w:rPr>
                <w:rFonts w:cs="Arial"/>
                <w:b/>
                <w:szCs w:val="24"/>
              </w:rPr>
            </w:pPr>
            <w:r w:rsidRPr="00FC4F55">
              <w:rPr>
                <w:rFonts w:cs="Arial"/>
                <w:b/>
                <w:szCs w:val="24"/>
              </w:rPr>
              <w:t>Recommended Housing Mix</w:t>
            </w:r>
          </w:p>
        </w:tc>
      </w:tr>
      <w:tr w:rsidR="00F9165A" w:rsidRPr="00126BAD" w14:paraId="522C4FE1" w14:textId="77777777" w:rsidTr="00E40772">
        <w:tc>
          <w:tcPr>
            <w:tcW w:w="1871" w:type="pct"/>
            <w:shd w:val="clear" w:color="auto" w:fill="D9D9D9"/>
          </w:tcPr>
          <w:p w14:paraId="4F198E9A" w14:textId="77777777" w:rsidR="00F9165A" w:rsidRPr="00FC4F55" w:rsidRDefault="00F9165A" w:rsidP="00024CB3">
            <w:pPr>
              <w:rPr>
                <w:rFonts w:cs="Arial"/>
                <w:bCs/>
                <w:szCs w:val="24"/>
              </w:rPr>
            </w:pPr>
            <w:r w:rsidRPr="00FC4F55">
              <w:rPr>
                <w:rFonts w:cs="Arial"/>
                <w:bCs/>
                <w:szCs w:val="24"/>
              </w:rPr>
              <w:t>Housing Type</w:t>
            </w:r>
          </w:p>
        </w:tc>
        <w:tc>
          <w:tcPr>
            <w:tcW w:w="736" w:type="pct"/>
            <w:shd w:val="clear" w:color="auto" w:fill="D9D9D9"/>
          </w:tcPr>
          <w:p w14:paraId="22809578" w14:textId="77777777" w:rsidR="00F9165A" w:rsidRPr="00FC4F55" w:rsidRDefault="00F9165A" w:rsidP="00024CB3">
            <w:pPr>
              <w:jc w:val="center"/>
              <w:rPr>
                <w:rFonts w:cs="Arial"/>
                <w:bCs/>
                <w:szCs w:val="24"/>
              </w:rPr>
            </w:pPr>
            <w:r w:rsidRPr="00FC4F55">
              <w:rPr>
                <w:rFonts w:cs="Arial"/>
                <w:bCs/>
                <w:szCs w:val="24"/>
              </w:rPr>
              <w:t>1 Bed</w:t>
            </w:r>
          </w:p>
        </w:tc>
        <w:tc>
          <w:tcPr>
            <w:tcW w:w="794" w:type="pct"/>
            <w:shd w:val="clear" w:color="auto" w:fill="D9D9D9"/>
          </w:tcPr>
          <w:p w14:paraId="39F2E92C" w14:textId="77777777" w:rsidR="00F9165A" w:rsidRPr="00FC4F55" w:rsidRDefault="00F9165A" w:rsidP="00024CB3">
            <w:pPr>
              <w:jc w:val="center"/>
              <w:rPr>
                <w:rFonts w:cs="Arial"/>
                <w:bCs/>
                <w:szCs w:val="24"/>
              </w:rPr>
            </w:pPr>
            <w:r w:rsidRPr="00FC4F55">
              <w:rPr>
                <w:rFonts w:cs="Arial"/>
                <w:bCs/>
                <w:szCs w:val="24"/>
              </w:rPr>
              <w:t>2 Beds</w:t>
            </w:r>
          </w:p>
        </w:tc>
        <w:tc>
          <w:tcPr>
            <w:tcW w:w="794" w:type="pct"/>
            <w:shd w:val="clear" w:color="auto" w:fill="D9D9D9"/>
          </w:tcPr>
          <w:p w14:paraId="36E808E3" w14:textId="77777777" w:rsidR="00F9165A" w:rsidRPr="00FC4F55" w:rsidRDefault="00F9165A" w:rsidP="00024CB3">
            <w:pPr>
              <w:jc w:val="center"/>
              <w:rPr>
                <w:rFonts w:cs="Arial"/>
                <w:bCs/>
                <w:szCs w:val="24"/>
              </w:rPr>
            </w:pPr>
            <w:r w:rsidRPr="00FC4F55">
              <w:rPr>
                <w:rFonts w:cs="Arial"/>
                <w:bCs/>
                <w:szCs w:val="24"/>
              </w:rPr>
              <w:t>3 Beds</w:t>
            </w:r>
          </w:p>
        </w:tc>
        <w:tc>
          <w:tcPr>
            <w:tcW w:w="792" w:type="pct"/>
            <w:shd w:val="clear" w:color="auto" w:fill="D9D9D9"/>
          </w:tcPr>
          <w:p w14:paraId="7EA9C660" w14:textId="77777777" w:rsidR="00F9165A" w:rsidRPr="00FC4F55" w:rsidRDefault="00F9165A" w:rsidP="00024CB3">
            <w:pPr>
              <w:jc w:val="center"/>
              <w:rPr>
                <w:rFonts w:cs="Arial"/>
                <w:bCs/>
                <w:szCs w:val="24"/>
              </w:rPr>
            </w:pPr>
            <w:r w:rsidRPr="00FC4F55">
              <w:rPr>
                <w:rFonts w:cs="Arial"/>
                <w:bCs/>
                <w:szCs w:val="24"/>
              </w:rPr>
              <w:t>4+ Beds</w:t>
            </w:r>
          </w:p>
        </w:tc>
      </w:tr>
      <w:tr w:rsidR="00F9165A" w:rsidRPr="00126BAD" w14:paraId="5A8573A2" w14:textId="77777777" w:rsidTr="00E40772">
        <w:tc>
          <w:tcPr>
            <w:tcW w:w="1871" w:type="pct"/>
          </w:tcPr>
          <w:p w14:paraId="09014016" w14:textId="77777777" w:rsidR="00F9165A" w:rsidRPr="00FC4F55" w:rsidRDefault="00F9165A" w:rsidP="00024CB3">
            <w:pPr>
              <w:rPr>
                <w:rFonts w:cs="Arial"/>
                <w:szCs w:val="24"/>
              </w:rPr>
            </w:pPr>
            <w:r w:rsidRPr="00FC4F55">
              <w:rPr>
                <w:rFonts w:cs="Arial"/>
                <w:szCs w:val="24"/>
              </w:rPr>
              <w:t>Market</w:t>
            </w:r>
          </w:p>
        </w:tc>
        <w:tc>
          <w:tcPr>
            <w:tcW w:w="736" w:type="pct"/>
          </w:tcPr>
          <w:p w14:paraId="10043B33" w14:textId="77777777" w:rsidR="00F9165A" w:rsidRPr="00FC4F55" w:rsidRDefault="00F9165A" w:rsidP="00024CB3">
            <w:pPr>
              <w:jc w:val="center"/>
              <w:rPr>
                <w:rFonts w:cs="Arial"/>
                <w:szCs w:val="24"/>
              </w:rPr>
            </w:pPr>
            <w:r w:rsidRPr="00FC4F55">
              <w:rPr>
                <w:rFonts w:cs="Arial"/>
                <w:szCs w:val="24"/>
              </w:rPr>
              <w:t>4%</w:t>
            </w:r>
          </w:p>
        </w:tc>
        <w:tc>
          <w:tcPr>
            <w:tcW w:w="794" w:type="pct"/>
          </w:tcPr>
          <w:p w14:paraId="0D5FD7A4" w14:textId="77777777" w:rsidR="00F9165A" w:rsidRPr="00FC4F55" w:rsidRDefault="00F9165A" w:rsidP="00024CB3">
            <w:pPr>
              <w:jc w:val="center"/>
              <w:rPr>
                <w:rFonts w:cs="Arial"/>
                <w:szCs w:val="24"/>
              </w:rPr>
            </w:pPr>
            <w:r w:rsidRPr="00FC4F55">
              <w:rPr>
                <w:rFonts w:cs="Arial"/>
                <w:szCs w:val="24"/>
              </w:rPr>
              <w:t>27%</w:t>
            </w:r>
          </w:p>
        </w:tc>
        <w:tc>
          <w:tcPr>
            <w:tcW w:w="794" w:type="pct"/>
          </w:tcPr>
          <w:p w14:paraId="30E06653" w14:textId="77777777" w:rsidR="00F9165A" w:rsidRPr="00FC4F55" w:rsidRDefault="00F9165A" w:rsidP="00024CB3">
            <w:pPr>
              <w:jc w:val="center"/>
              <w:rPr>
                <w:rFonts w:cs="Arial"/>
                <w:szCs w:val="24"/>
              </w:rPr>
            </w:pPr>
            <w:r w:rsidRPr="00FC4F55">
              <w:rPr>
                <w:rFonts w:cs="Arial"/>
                <w:szCs w:val="24"/>
              </w:rPr>
              <w:t>45%</w:t>
            </w:r>
          </w:p>
        </w:tc>
        <w:tc>
          <w:tcPr>
            <w:tcW w:w="792" w:type="pct"/>
          </w:tcPr>
          <w:p w14:paraId="2BC25D63" w14:textId="77777777" w:rsidR="00F9165A" w:rsidRPr="00FC4F55" w:rsidRDefault="00F9165A" w:rsidP="00024CB3">
            <w:pPr>
              <w:jc w:val="center"/>
              <w:rPr>
                <w:rFonts w:cs="Arial"/>
                <w:szCs w:val="24"/>
              </w:rPr>
            </w:pPr>
            <w:r w:rsidRPr="00FC4F55">
              <w:rPr>
                <w:rFonts w:cs="Arial"/>
                <w:szCs w:val="24"/>
              </w:rPr>
              <w:t>24%</w:t>
            </w:r>
          </w:p>
        </w:tc>
      </w:tr>
      <w:tr w:rsidR="00F9165A" w:rsidRPr="00126BAD" w14:paraId="337169B5" w14:textId="77777777" w:rsidTr="00E40772">
        <w:tc>
          <w:tcPr>
            <w:tcW w:w="1871" w:type="pct"/>
          </w:tcPr>
          <w:p w14:paraId="4CB1F16E" w14:textId="77777777" w:rsidR="00F9165A" w:rsidRPr="00FC4F55" w:rsidRDefault="00F9165A" w:rsidP="00024CB3">
            <w:pPr>
              <w:rPr>
                <w:rFonts w:cs="Arial"/>
                <w:szCs w:val="24"/>
              </w:rPr>
            </w:pPr>
            <w:r w:rsidRPr="00FC4F55">
              <w:rPr>
                <w:rFonts w:cs="Arial"/>
                <w:szCs w:val="24"/>
              </w:rPr>
              <w:t>Affordable Home Ownership</w:t>
            </w:r>
          </w:p>
        </w:tc>
        <w:tc>
          <w:tcPr>
            <w:tcW w:w="736" w:type="pct"/>
          </w:tcPr>
          <w:p w14:paraId="6187F229" w14:textId="77777777" w:rsidR="00F9165A" w:rsidRPr="00FC4F55" w:rsidRDefault="00F9165A" w:rsidP="00024CB3">
            <w:pPr>
              <w:jc w:val="center"/>
              <w:rPr>
                <w:rFonts w:cs="Arial"/>
                <w:szCs w:val="24"/>
              </w:rPr>
            </w:pPr>
            <w:r w:rsidRPr="00FC4F55">
              <w:rPr>
                <w:rFonts w:cs="Arial"/>
                <w:szCs w:val="24"/>
              </w:rPr>
              <w:t>23%</w:t>
            </w:r>
          </w:p>
        </w:tc>
        <w:tc>
          <w:tcPr>
            <w:tcW w:w="794" w:type="pct"/>
          </w:tcPr>
          <w:p w14:paraId="3761E9A2" w14:textId="77777777" w:rsidR="00F9165A" w:rsidRPr="00FC4F55" w:rsidRDefault="00F9165A" w:rsidP="00024CB3">
            <w:pPr>
              <w:jc w:val="center"/>
              <w:rPr>
                <w:rFonts w:cs="Arial"/>
                <w:szCs w:val="24"/>
              </w:rPr>
            </w:pPr>
            <w:r w:rsidRPr="00FC4F55">
              <w:rPr>
                <w:rFonts w:cs="Arial"/>
                <w:szCs w:val="24"/>
              </w:rPr>
              <w:t>38%</w:t>
            </w:r>
          </w:p>
        </w:tc>
        <w:tc>
          <w:tcPr>
            <w:tcW w:w="794" w:type="pct"/>
          </w:tcPr>
          <w:p w14:paraId="424CC46B" w14:textId="77777777" w:rsidR="00F9165A" w:rsidRPr="00FC4F55" w:rsidRDefault="00F9165A" w:rsidP="00024CB3">
            <w:pPr>
              <w:jc w:val="center"/>
              <w:rPr>
                <w:rFonts w:cs="Arial"/>
                <w:szCs w:val="24"/>
              </w:rPr>
            </w:pPr>
            <w:r w:rsidRPr="00FC4F55">
              <w:rPr>
                <w:rFonts w:cs="Arial"/>
                <w:szCs w:val="24"/>
              </w:rPr>
              <w:t>24%</w:t>
            </w:r>
          </w:p>
        </w:tc>
        <w:tc>
          <w:tcPr>
            <w:tcW w:w="792" w:type="pct"/>
          </w:tcPr>
          <w:p w14:paraId="16180B2D" w14:textId="77777777" w:rsidR="00F9165A" w:rsidRPr="00FC4F55" w:rsidRDefault="00F9165A" w:rsidP="00024CB3">
            <w:pPr>
              <w:jc w:val="center"/>
              <w:rPr>
                <w:rFonts w:cs="Arial"/>
                <w:szCs w:val="24"/>
              </w:rPr>
            </w:pPr>
            <w:r w:rsidRPr="00FC4F55">
              <w:rPr>
                <w:rFonts w:cs="Arial"/>
                <w:szCs w:val="24"/>
              </w:rPr>
              <w:t>15%</w:t>
            </w:r>
          </w:p>
        </w:tc>
      </w:tr>
      <w:tr w:rsidR="00F9165A" w:rsidRPr="003C7E62" w14:paraId="727E2E2D" w14:textId="77777777" w:rsidTr="00E40772">
        <w:tc>
          <w:tcPr>
            <w:tcW w:w="1871" w:type="pct"/>
          </w:tcPr>
          <w:p w14:paraId="20F10C9D" w14:textId="77777777" w:rsidR="00F9165A" w:rsidRPr="00FC4F55" w:rsidRDefault="00F9165A" w:rsidP="00024CB3">
            <w:pPr>
              <w:rPr>
                <w:rFonts w:cs="Arial"/>
                <w:szCs w:val="24"/>
              </w:rPr>
            </w:pPr>
            <w:r w:rsidRPr="00FC4F55">
              <w:rPr>
                <w:rFonts w:cs="Arial"/>
                <w:szCs w:val="24"/>
              </w:rPr>
              <w:t>Affordable Rented</w:t>
            </w:r>
          </w:p>
        </w:tc>
        <w:tc>
          <w:tcPr>
            <w:tcW w:w="736" w:type="pct"/>
          </w:tcPr>
          <w:p w14:paraId="5A7D9DED" w14:textId="77777777" w:rsidR="00F9165A" w:rsidRPr="00FC4F55" w:rsidRDefault="00F9165A" w:rsidP="00024CB3">
            <w:pPr>
              <w:jc w:val="center"/>
              <w:rPr>
                <w:rFonts w:cs="Arial"/>
                <w:szCs w:val="24"/>
              </w:rPr>
            </w:pPr>
            <w:r w:rsidRPr="00FC4F55">
              <w:rPr>
                <w:rFonts w:cs="Arial"/>
                <w:szCs w:val="24"/>
              </w:rPr>
              <w:t>35%</w:t>
            </w:r>
          </w:p>
        </w:tc>
        <w:tc>
          <w:tcPr>
            <w:tcW w:w="794" w:type="pct"/>
          </w:tcPr>
          <w:p w14:paraId="20208476" w14:textId="77777777" w:rsidR="00F9165A" w:rsidRPr="00FC4F55" w:rsidRDefault="00F9165A" w:rsidP="00024CB3">
            <w:pPr>
              <w:jc w:val="center"/>
              <w:rPr>
                <w:rFonts w:cs="Arial"/>
                <w:szCs w:val="24"/>
              </w:rPr>
            </w:pPr>
            <w:r w:rsidRPr="00FC4F55">
              <w:rPr>
                <w:rFonts w:cs="Arial"/>
                <w:szCs w:val="24"/>
              </w:rPr>
              <w:t>37%</w:t>
            </w:r>
          </w:p>
        </w:tc>
        <w:tc>
          <w:tcPr>
            <w:tcW w:w="794" w:type="pct"/>
          </w:tcPr>
          <w:p w14:paraId="1A8663E8" w14:textId="77777777" w:rsidR="00F9165A" w:rsidRPr="00FC4F55" w:rsidRDefault="00F9165A" w:rsidP="00024CB3">
            <w:pPr>
              <w:jc w:val="center"/>
              <w:rPr>
                <w:rFonts w:cs="Arial"/>
                <w:szCs w:val="24"/>
              </w:rPr>
            </w:pPr>
            <w:r w:rsidRPr="00FC4F55">
              <w:rPr>
                <w:rFonts w:cs="Arial"/>
                <w:szCs w:val="24"/>
              </w:rPr>
              <w:t>25%</w:t>
            </w:r>
          </w:p>
        </w:tc>
        <w:tc>
          <w:tcPr>
            <w:tcW w:w="792" w:type="pct"/>
          </w:tcPr>
          <w:p w14:paraId="30B3883C" w14:textId="77777777" w:rsidR="00F9165A" w:rsidRPr="00FC4F55" w:rsidRDefault="00F9165A" w:rsidP="00024CB3">
            <w:pPr>
              <w:jc w:val="center"/>
              <w:rPr>
                <w:rFonts w:cs="Arial"/>
                <w:szCs w:val="24"/>
              </w:rPr>
            </w:pPr>
            <w:r w:rsidRPr="00FC4F55">
              <w:rPr>
                <w:rFonts w:cs="Arial"/>
                <w:szCs w:val="24"/>
              </w:rPr>
              <w:t>3%</w:t>
            </w:r>
          </w:p>
        </w:tc>
      </w:tr>
    </w:tbl>
    <w:p w14:paraId="68F9CBA2" w14:textId="7644DAA7" w:rsidR="005E25A8" w:rsidRDefault="00F906E1" w:rsidP="000447CA">
      <w:pPr>
        <w:pStyle w:val="Heading3"/>
      </w:pPr>
      <w:r>
        <w:t xml:space="preserve">  </w:t>
      </w:r>
      <w:r w:rsidR="005E25A8">
        <w:t>Table 6: Recommended Housing Mix</w:t>
      </w:r>
    </w:p>
    <w:p w14:paraId="4F5FAE24" w14:textId="61F3FF0F" w:rsidR="005E25A8" w:rsidRPr="005E25A8" w:rsidRDefault="005E25A8" w:rsidP="00F906E1">
      <w:pPr>
        <w:spacing w:before="0"/>
        <w:ind w:left="993" w:hanging="142"/>
        <w:rPr>
          <w:rFonts w:eastAsia="Arial"/>
          <w:sz w:val="22"/>
          <w:szCs w:val="22"/>
          <w:lang w:eastAsia="en-US"/>
        </w:rPr>
      </w:pPr>
      <w:r w:rsidRPr="005E25A8">
        <w:rPr>
          <w:rFonts w:eastAsia="Arial"/>
          <w:sz w:val="22"/>
          <w:szCs w:val="22"/>
          <w:lang w:eastAsia="en-US"/>
        </w:rPr>
        <w:t xml:space="preserve">Source: </w:t>
      </w:r>
      <w:r w:rsidRPr="005E25A8">
        <w:rPr>
          <w:rFonts w:eastAsia="Arial" w:cs="Arial"/>
          <w:sz w:val="22"/>
          <w:szCs w:val="22"/>
        </w:rPr>
        <w:t>Greater Nottingham &amp; Ashfield Housing Needs Assessment 2020</w:t>
      </w:r>
    </w:p>
    <w:p w14:paraId="1A028929" w14:textId="77777777" w:rsidR="00F9165A" w:rsidRDefault="00F9165A" w:rsidP="00F9165A">
      <w:pPr>
        <w:pStyle w:val="ListParagraph"/>
        <w:autoSpaceDE w:val="0"/>
        <w:autoSpaceDN w:val="0"/>
        <w:adjustRightInd w:val="0"/>
        <w:spacing w:after="0" w:line="240" w:lineRule="auto"/>
        <w:ind w:left="460"/>
        <w:rPr>
          <w:rFonts w:ascii="Arial" w:hAnsi="Arial" w:cs="Arial"/>
          <w:szCs w:val="24"/>
        </w:rPr>
      </w:pPr>
    </w:p>
    <w:p w14:paraId="2FB4B748" w14:textId="31864A95" w:rsidR="00F55774" w:rsidRPr="00FC4F55" w:rsidRDefault="00DF4737" w:rsidP="00874A98">
      <w:pPr>
        <w:pStyle w:val="ListParagraph"/>
        <w:numPr>
          <w:ilvl w:val="1"/>
          <w:numId w:val="92"/>
        </w:numPr>
        <w:autoSpaceDE w:val="0"/>
        <w:autoSpaceDN w:val="0"/>
        <w:adjustRightInd w:val="0"/>
        <w:spacing w:after="0" w:line="240" w:lineRule="auto"/>
        <w:ind w:left="851" w:hanging="851"/>
        <w:rPr>
          <w:rFonts w:ascii="Arial" w:hAnsi="Arial" w:cs="Arial"/>
          <w:szCs w:val="24"/>
        </w:rPr>
      </w:pPr>
      <w:r w:rsidRPr="00F9165A">
        <w:rPr>
          <w:rFonts w:ascii="Arial" w:hAnsi="Arial" w:cs="Arial"/>
          <w:szCs w:val="24"/>
        </w:rPr>
        <w:t xml:space="preserve">There are instances where adjustments </w:t>
      </w:r>
      <w:r w:rsidR="00AE58B3" w:rsidRPr="00F9165A">
        <w:rPr>
          <w:rFonts w:ascii="Arial" w:hAnsi="Arial" w:cs="Arial"/>
          <w:szCs w:val="24"/>
        </w:rPr>
        <w:t xml:space="preserve">may need to </w:t>
      </w:r>
      <w:r w:rsidRPr="00F9165A">
        <w:rPr>
          <w:rFonts w:ascii="Arial" w:hAnsi="Arial" w:cs="Arial"/>
          <w:szCs w:val="24"/>
        </w:rPr>
        <w:t>be applied according to the local profile of housing, the character of the local area, the sustainability credentials of the site and the viability of providing a particular mix of housing dependent on submarket characteristics</w:t>
      </w:r>
      <w:r w:rsidR="00AE58B3" w:rsidRPr="00F9165A">
        <w:rPr>
          <w:rFonts w:ascii="Arial" w:hAnsi="Arial" w:cs="Arial"/>
          <w:szCs w:val="24"/>
        </w:rPr>
        <w:t xml:space="preserve">. The final mix of housing/types will be subject to negotiation and applicants will be expected to provide robust evidence relating to the identified level of housing need, financial viability or deliverability to </w:t>
      </w:r>
      <w:r w:rsidR="00AE58B3" w:rsidRPr="00FC4F55">
        <w:rPr>
          <w:rFonts w:ascii="Arial" w:hAnsi="Arial" w:cs="Arial"/>
          <w:szCs w:val="24"/>
        </w:rPr>
        <w:t>support their proposals.</w:t>
      </w:r>
    </w:p>
    <w:p w14:paraId="07E81059" w14:textId="77777777" w:rsidR="00DA3B66" w:rsidRPr="00FC4F55" w:rsidRDefault="00DA3B66" w:rsidP="00DA3B66">
      <w:pPr>
        <w:pStyle w:val="ListParagraph"/>
        <w:autoSpaceDE w:val="0"/>
        <w:autoSpaceDN w:val="0"/>
        <w:adjustRightInd w:val="0"/>
        <w:spacing w:after="0" w:line="240" w:lineRule="auto"/>
        <w:ind w:left="851"/>
        <w:rPr>
          <w:rFonts w:ascii="Arial" w:hAnsi="Arial" w:cs="Arial"/>
          <w:szCs w:val="24"/>
        </w:rPr>
      </w:pPr>
    </w:p>
    <w:p w14:paraId="2A59490E" w14:textId="73DAE5F4" w:rsidR="00AE58B3" w:rsidRPr="00FC4F55"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szCs w:val="24"/>
        </w:rPr>
      </w:pPr>
      <w:r w:rsidRPr="00FC4F55">
        <w:rPr>
          <w:rFonts w:ascii="Arial" w:eastAsia="Arial" w:hAnsi="Arial" w:cs="Arial"/>
          <w:b/>
          <w:szCs w:val="24"/>
        </w:rPr>
        <w:t>H6:2</w:t>
      </w:r>
      <w:r w:rsidRPr="00FC4F55">
        <w:rPr>
          <w:rFonts w:ascii="Arial" w:eastAsia="Arial" w:hAnsi="Arial" w:cs="Arial"/>
        </w:rPr>
        <w:t xml:space="preserve"> </w:t>
      </w:r>
      <w:r w:rsidRPr="00FC4F55">
        <w:rPr>
          <w:rFonts w:ascii="Arial" w:hAnsi="Arial" w:cs="Arial"/>
          <w:szCs w:val="24"/>
        </w:rPr>
        <w:t xml:space="preserve">Greater Nottingham and Ashfield </w:t>
      </w:r>
      <w:proofErr w:type="gramStart"/>
      <w:r w:rsidRPr="00FC4F55">
        <w:rPr>
          <w:rFonts w:ascii="Arial" w:hAnsi="Arial" w:cs="Arial"/>
          <w:szCs w:val="24"/>
        </w:rPr>
        <w:t>is</w:t>
      </w:r>
      <w:proofErr w:type="gramEnd"/>
      <w:r w:rsidRPr="00FC4F55">
        <w:rPr>
          <w:rFonts w:ascii="Arial" w:hAnsi="Arial" w:cs="Arial"/>
          <w:szCs w:val="24"/>
        </w:rPr>
        <w:t xml:space="preserve"> projected to see a notable increase in the older person population, with the total number of people aged 65 and over projected to increase by 37.8% over the 18 years to 2038. This compares with overall population growth of 10.6% and a modest increase in the Under 65 population of 4.8%.</w:t>
      </w:r>
    </w:p>
    <w:p w14:paraId="3E545AEE" w14:textId="77777777" w:rsidR="00AE58B3" w:rsidRPr="00F55774" w:rsidRDefault="00AE58B3" w:rsidP="00F55774">
      <w:pPr>
        <w:keepNext w:val="0"/>
        <w:spacing w:before="0"/>
        <w:ind w:left="851"/>
        <w:rPr>
          <w:rFonts w:cs="Arial"/>
          <w:szCs w:val="24"/>
        </w:rPr>
      </w:pPr>
    </w:p>
    <w:p w14:paraId="26D2C8EA" w14:textId="212F916A"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hAnsi="Arial" w:cs="Arial"/>
          <w:szCs w:val="24"/>
        </w:rPr>
        <w:t>Projections linked to the standard method show an expected increase of the older population with dementia by 1,044 and those with mobility problems by 2,426 in Ashfield.</w:t>
      </w:r>
    </w:p>
    <w:p w14:paraId="38EA4575" w14:textId="261D1994" w:rsidR="00F9165A" w:rsidRDefault="00F9165A" w:rsidP="00F9165A">
      <w:pPr>
        <w:pStyle w:val="ListParagraph"/>
        <w:ind w:left="460"/>
        <w:rPr>
          <w:rFonts w:ascii="Arial" w:hAnsi="Arial" w:cs="Arial"/>
          <w:color w:val="auto"/>
          <w:szCs w:val="24"/>
        </w:rPr>
      </w:pPr>
    </w:p>
    <w:tbl>
      <w:tblPr>
        <w:tblStyle w:val="ReportTable1"/>
        <w:tblW w:w="8658" w:type="dxa"/>
        <w:tblInd w:w="846" w:type="dxa"/>
        <w:tblLook w:val="04A0" w:firstRow="1" w:lastRow="0" w:firstColumn="1" w:lastColumn="0" w:noHBand="0" w:noVBand="1"/>
      </w:tblPr>
      <w:tblGrid>
        <w:gridCol w:w="1417"/>
        <w:gridCol w:w="1560"/>
        <w:gridCol w:w="1417"/>
        <w:gridCol w:w="1418"/>
        <w:gridCol w:w="1417"/>
        <w:gridCol w:w="1429"/>
      </w:tblGrid>
      <w:tr w:rsidR="00F9165A" w:rsidRPr="00851435" w14:paraId="61465216" w14:textId="77777777" w:rsidTr="00E40772">
        <w:tc>
          <w:tcPr>
            <w:tcW w:w="8658"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9BCE4D" w14:textId="0E22627A" w:rsidR="00F9165A" w:rsidRPr="00FC4F55" w:rsidRDefault="00F9165A" w:rsidP="00024CB3">
            <w:pPr>
              <w:tabs>
                <w:tab w:val="left" w:pos="720"/>
              </w:tabs>
              <w:spacing w:before="60" w:after="60"/>
              <w:rPr>
                <w:rFonts w:cs="Arial"/>
                <w:b/>
              </w:rPr>
            </w:pPr>
            <w:r w:rsidRPr="00FC4F55">
              <w:rPr>
                <w:rFonts w:cs="Arial"/>
                <w:b/>
              </w:rPr>
              <w:t>Projected Change to Older Population with Disabilities</w:t>
            </w:r>
          </w:p>
        </w:tc>
      </w:tr>
      <w:tr w:rsidR="00F9165A" w:rsidRPr="00851435" w14:paraId="3860F68E" w14:textId="77777777" w:rsidTr="00E40772">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C80855" w14:textId="77777777" w:rsidR="00F9165A" w:rsidRPr="00FC4F55" w:rsidRDefault="00F9165A" w:rsidP="00024CB3">
            <w:pPr>
              <w:tabs>
                <w:tab w:val="left" w:pos="720"/>
              </w:tabs>
              <w:spacing w:before="60" w:after="60"/>
              <w:rPr>
                <w:rFonts w:cs="Arial"/>
                <w:b/>
              </w:rPr>
            </w:pPr>
            <w:r w:rsidRPr="00FC4F55">
              <w:rPr>
                <w:rFonts w:cs="Arial"/>
                <w:b/>
              </w:rPr>
              <w:t>Council</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F485C3" w14:textId="77777777" w:rsidR="00F9165A" w:rsidRPr="00FC4F55" w:rsidRDefault="00F9165A" w:rsidP="00024CB3">
            <w:pPr>
              <w:tabs>
                <w:tab w:val="left" w:pos="720"/>
              </w:tabs>
              <w:spacing w:before="60" w:after="60"/>
              <w:rPr>
                <w:rFonts w:cs="Arial"/>
                <w:b/>
              </w:rPr>
            </w:pPr>
            <w:r w:rsidRPr="00FC4F55">
              <w:rPr>
                <w:rFonts w:cs="Arial"/>
                <w:b/>
              </w:rPr>
              <w:t>Disability</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BC5E5C" w14:textId="77777777" w:rsidR="00F9165A" w:rsidRPr="00FC4F55" w:rsidRDefault="00F9165A" w:rsidP="00024CB3">
            <w:pPr>
              <w:tabs>
                <w:tab w:val="left" w:pos="720"/>
              </w:tabs>
              <w:spacing w:before="60" w:after="60"/>
              <w:rPr>
                <w:rFonts w:cs="Arial"/>
                <w:b/>
              </w:rPr>
            </w:pPr>
            <w:r w:rsidRPr="00FC4F55">
              <w:rPr>
                <w:rFonts w:cs="Arial"/>
                <w:b/>
              </w:rPr>
              <w:t>2020</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7CC510" w14:textId="77777777" w:rsidR="00F9165A" w:rsidRPr="00FC4F55" w:rsidRDefault="00F9165A" w:rsidP="00024CB3">
            <w:pPr>
              <w:tabs>
                <w:tab w:val="left" w:pos="720"/>
              </w:tabs>
              <w:spacing w:before="60" w:after="60"/>
              <w:rPr>
                <w:rFonts w:cs="Arial"/>
                <w:b/>
              </w:rPr>
            </w:pPr>
            <w:r w:rsidRPr="00FC4F55">
              <w:rPr>
                <w:rFonts w:cs="Arial"/>
                <w:b/>
              </w:rPr>
              <w:t>2038</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A0E841" w14:textId="77777777" w:rsidR="00F9165A" w:rsidRPr="00FC4F55" w:rsidRDefault="00F9165A" w:rsidP="00024CB3">
            <w:pPr>
              <w:tabs>
                <w:tab w:val="left" w:pos="720"/>
              </w:tabs>
              <w:spacing w:before="60" w:after="60"/>
              <w:rPr>
                <w:rFonts w:cs="Arial"/>
                <w:b/>
              </w:rPr>
            </w:pPr>
            <w:r w:rsidRPr="00FC4F55">
              <w:rPr>
                <w:rFonts w:cs="Arial"/>
                <w:b/>
              </w:rPr>
              <w:t>Change</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FADF9A" w14:textId="77777777" w:rsidR="00F9165A" w:rsidRPr="00FC4F55" w:rsidRDefault="00F9165A" w:rsidP="00024CB3">
            <w:pPr>
              <w:tabs>
                <w:tab w:val="left" w:pos="720"/>
              </w:tabs>
              <w:spacing w:before="60" w:after="60"/>
              <w:rPr>
                <w:rFonts w:cs="Arial"/>
                <w:b/>
              </w:rPr>
            </w:pPr>
            <w:r w:rsidRPr="00FC4F55">
              <w:rPr>
                <w:rFonts w:cs="Arial"/>
                <w:b/>
              </w:rPr>
              <w:t>% Change</w:t>
            </w:r>
          </w:p>
        </w:tc>
      </w:tr>
      <w:tr w:rsidR="00F9165A" w:rsidRPr="00851435" w14:paraId="1AAD8696" w14:textId="77777777" w:rsidTr="00E40772">
        <w:tc>
          <w:tcPr>
            <w:tcW w:w="1417" w:type="dxa"/>
            <w:vMerge w:val="restart"/>
            <w:tcBorders>
              <w:top w:val="single" w:sz="4" w:space="0" w:color="auto"/>
              <w:left w:val="single" w:sz="4" w:space="0" w:color="auto"/>
              <w:right w:val="single" w:sz="4" w:space="0" w:color="auto"/>
            </w:tcBorders>
            <w:vAlign w:val="center"/>
          </w:tcPr>
          <w:p w14:paraId="7ADF76BB" w14:textId="77777777" w:rsidR="00F9165A" w:rsidRPr="00FC4F55" w:rsidRDefault="00F9165A" w:rsidP="00024CB3">
            <w:pPr>
              <w:tabs>
                <w:tab w:val="left" w:pos="720"/>
              </w:tabs>
              <w:spacing w:before="60" w:after="60"/>
              <w:rPr>
                <w:rFonts w:cs="Arial"/>
                <w:color w:val="000000"/>
              </w:rPr>
            </w:pPr>
            <w:r w:rsidRPr="00FC4F55">
              <w:rPr>
                <w:rFonts w:cs="Arial"/>
                <w:color w:val="000000"/>
              </w:rPr>
              <w:t>Ashfield</w:t>
            </w:r>
          </w:p>
        </w:tc>
        <w:tc>
          <w:tcPr>
            <w:tcW w:w="1560" w:type="dxa"/>
            <w:tcBorders>
              <w:top w:val="single" w:sz="4" w:space="0" w:color="auto"/>
              <w:left w:val="single" w:sz="4" w:space="0" w:color="auto"/>
              <w:bottom w:val="single" w:sz="4" w:space="0" w:color="auto"/>
              <w:right w:val="single" w:sz="4" w:space="0" w:color="auto"/>
            </w:tcBorders>
            <w:hideMark/>
          </w:tcPr>
          <w:p w14:paraId="69DAD945" w14:textId="77777777" w:rsidR="00F9165A" w:rsidRPr="00FC4F55" w:rsidRDefault="00F9165A" w:rsidP="00024CB3">
            <w:pPr>
              <w:tabs>
                <w:tab w:val="left" w:pos="720"/>
              </w:tabs>
              <w:spacing w:before="60" w:after="60"/>
              <w:rPr>
                <w:rFonts w:cs="Arial"/>
              </w:rPr>
            </w:pPr>
            <w:r w:rsidRPr="00FC4F55">
              <w:rPr>
                <w:rFonts w:cs="Arial"/>
                <w:color w:val="000000"/>
              </w:rPr>
              <w:t>Dementia</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BCE174B" w14:textId="77777777" w:rsidR="00F9165A" w:rsidRPr="00FC4F55" w:rsidRDefault="00F9165A" w:rsidP="00024CB3">
            <w:pPr>
              <w:tabs>
                <w:tab w:val="left" w:pos="720"/>
              </w:tabs>
              <w:spacing w:before="60" w:after="60"/>
              <w:rPr>
                <w:rFonts w:cs="Arial"/>
                <w:color w:val="000000"/>
              </w:rPr>
            </w:pPr>
            <w:r w:rsidRPr="00FC4F55">
              <w:rPr>
                <w:rFonts w:cs="Arial"/>
                <w:color w:val="000000"/>
              </w:rPr>
              <w:t>1,619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C6048F2" w14:textId="77777777" w:rsidR="00F9165A" w:rsidRPr="00FC4F55" w:rsidRDefault="00F9165A" w:rsidP="00024CB3">
            <w:pPr>
              <w:tabs>
                <w:tab w:val="left" w:pos="720"/>
              </w:tabs>
              <w:spacing w:before="60" w:after="60"/>
              <w:rPr>
                <w:rFonts w:cs="Arial"/>
                <w:color w:val="000000"/>
              </w:rPr>
            </w:pPr>
            <w:r w:rsidRPr="00FC4F55">
              <w:rPr>
                <w:rFonts w:cs="Arial"/>
                <w:color w:val="000000"/>
              </w:rPr>
              <w:t>2,663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DB6EAB" w14:textId="77777777" w:rsidR="00F9165A" w:rsidRPr="00FC4F55" w:rsidRDefault="00F9165A" w:rsidP="00024CB3">
            <w:pPr>
              <w:tabs>
                <w:tab w:val="left" w:pos="720"/>
              </w:tabs>
              <w:spacing w:before="60" w:after="60"/>
              <w:rPr>
                <w:rFonts w:cs="Arial"/>
                <w:color w:val="000000"/>
              </w:rPr>
            </w:pPr>
            <w:r w:rsidRPr="00FC4F55">
              <w:rPr>
                <w:rFonts w:cs="Arial"/>
                <w:color w:val="000000"/>
              </w:rPr>
              <w:t>1,044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1314840" w14:textId="77777777" w:rsidR="00F9165A" w:rsidRPr="00FC4F55" w:rsidRDefault="00F9165A" w:rsidP="00024CB3">
            <w:pPr>
              <w:tabs>
                <w:tab w:val="left" w:pos="720"/>
              </w:tabs>
              <w:spacing w:before="60" w:after="60"/>
              <w:rPr>
                <w:rFonts w:cs="Arial"/>
                <w:color w:val="000000"/>
              </w:rPr>
            </w:pPr>
            <w:r w:rsidRPr="00FC4F55">
              <w:rPr>
                <w:rFonts w:cs="Arial"/>
                <w:color w:val="000000"/>
              </w:rPr>
              <w:t>64.5%</w:t>
            </w:r>
          </w:p>
        </w:tc>
      </w:tr>
      <w:tr w:rsidR="00F9165A" w:rsidRPr="003C7E62" w14:paraId="6ACBFD49" w14:textId="77777777" w:rsidTr="00E40772">
        <w:tc>
          <w:tcPr>
            <w:tcW w:w="1417" w:type="dxa"/>
            <w:vMerge/>
            <w:tcBorders>
              <w:left w:val="single" w:sz="4" w:space="0" w:color="auto"/>
              <w:bottom w:val="single" w:sz="4" w:space="0" w:color="auto"/>
              <w:right w:val="single" w:sz="4" w:space="0" w:color="auto"/>
            </w:tcBorders>
            <w:vAlign w:val="center"/>
          </w:tcPr>
          <w:p w14:paraId="0E10D8F9" w14:textId="77777777" w:rsidR="00F9165A" w:rsidRPr="00851435" w:rsidRDefault="00F9165A" w:rsidP="00024CB3">
            <w:pPr>
              <w:tabs>
                <w:tab w:val="left" w:pos="720"/>
              </w:tabs>
              <w:spacing w:before="60" w:after="60"/>
              <w:rPr>
                <w:rFonts w:cs="Arial"/>
                <w:color w:val="000000"/>
                <w:highlight w:val="yellow"/>
              </w:rPr>
            </w:pPr>
          </w:p>
        </w:tc>
        <w:tc>
          <w:tcPr>
            <w:tcW w:w="1560" w:type="dxa"/>
            <w:tcBorders>
              <w:top w:val="single" w:sz="4" w:space="0" w:color="auto"/>
              <w:left w:val="single" w:sz="4" w:space="0" w:color="auto"/>
              <w:bottom w:val="single" w:sz="4" w:space="0" w:color="auto"/>
              <w:right w:val="single" w:sz="4" w:space="0" w:color="auto"/>
            </w:tcBorders>
            <w:hideMark/>
          </w:tcPr>
          <w:p w14:paraId="37608FF1" w14:textId="77777777" w:rsidR="00F9165A" w:rsidRPr="00FC4F55" w:rsidRDefault="00F9165A" w:rsidP="00024CB3">
            <w:pPr>
              <w:tabs>
                <w:tab w:val="left" w:pos="720"/>
              </w:tabs>
              <w:spacing w:before="60" w:after="60"/>
              <w:rPr>
                <w:rFonts w:cs="Arial"/>
              </w:rPr>
            </w:pPr>
            <w:r w:rsidRPr="00FC4F55">
              <w:rPr>
                <w:rFonts w:cs="Arial"/>
                <w:color w:val="000000"/>
              </w:rPr>
              <w:t>Mobility problems</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E7ECEF8" w14:textId="77777777" w:rsidR="00F9165A" w:rsidRPr="00FC4F55" w:rsidRDefault="00F9165A" w:rsidP="00024CB3">
            <w:pPr>
              <w:tabs>
                <w:tab w:val="left" w:pos="720"/>
              </w:tabs>
              <w:spacing w:before="60" w:after="60"/>
              <w:rPr>
                <w:rFonts w:cs="Arial"/>
                <w:color w:val="000000"/>
              </w:rPr>
            </w:pPr>
            <w:r w:rsidRPr="00FC4F55">
              <w:rPr>
                <w:rFonts w:cs="Arial"/>
                <w:color w:val="000000"/>
              </w:rPr>
              <w:t>4,413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1D6BF56" w14:textId="77777777" w:rsidR="00F9165A" w:rsidRPr="00FC4F55" w:rsidRDefault="00F9165A" w:rsidP="00024CB3">
            <w:pPr>
              <w:tabs>
                <w:tab w:val="left" w:pos="720"/>
              </w:tabs>
              <w:spacing w:before="60" w:after="60"/>
              <w:rPr>
                <w:rFonts w:cs="Arial"/>
                <w:color w:val="000000"/>
              </w:rPr>
            </w:pPr>
            <w:r w:rsidRPr="00FC4F55">
              <w:rPr>
                <w:rFonts w:cs="Arial"/>
                <w:color w:val="000000"/>
              </w:rPr>
              <w:t>6,839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6770569" w14:textId="77777777" w:rsidR="00F9165A" w:rsidRPr="00FC4F55" w:rsidRDefault="00F9165A" w:rsidP="00024CB3">
            <w:pPr>
              <w:tabs>
                <w:tab w:val="left" w:pos="720"/>
              </w:tabs>
              <w:spacing w:before="60" w:after="60"/>
              <w:rPr>
                <w:rFonts w:cs="Arial"/>
                <w:color w:val="000000"/>
              </w:rPr>
            </w:pPr>
            <w:r w:rsidRPr="00FC4F55">
              <w:rPr>
                <w:rFonts w:cs="Arial"/>
                <w:color w:val="000000"/>
              </w:rPr>
              <w:t>2,426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F174557" w14:textId="77777777" w:rsidR="00F9165A" w:rsidRPr="00FC4F55" w:rsidRDefault="00F9165A" w:rsidP="00024CB3">
            <w:pPr>
              <w:tabs>
                <w:tab w:val="left" w:pos="720"/>
              </w:tabs>
              <w:spacing w:before="60" w:after="60"/>
              <w:rPr>
                <w:rFonts w:cs="Arial"/>
                <w:color w:val="000000"/>
              </w:rPr>
            </w:pPr>
            <w:r w:rsidRPr="00FC4F55">
              <w:rPr>
                <w:rFonts w:cs="Arial"/>
                <w:color w:val="000000"/>
              </w:rPr>
              <w:t>55.0%</w:t>
            </w:r>
          </w:p>
        </w:tc>
      </w:tr>
    </w:tbl>
    <w:p w14:paraId="71D19DE5" w14:textId="17E39500" w:rsidR="00B845B1" w:rsidRDefault="00F906E1" w:rsidP="000447CA">
      <w:pPr>
        <w:pStyle w:val="Heading3"/>
      </w:pPr>
      <w:r>
        <w:t xml:space="preserve">  </w:t>
      </w:r>
      <w:r w:rsidR="00B845B1">
        <w:t xml:space="preserve">Table 7: </w:t>
      </w:r>
      <w:r w:rsidR="00B845B1" w:rsidRPr="00FC4F55">
        <w:t>Projected Change to Older Population with Disabilities</w:t>
      </w:r>
    </w:p>
    <w:p w14:paraId="22DC05CF" w14:textId="77777777" w:rsidR="00B845B1" w:rsidRPr="005E25A8" w:rsidRDefault="00B845B1" w:rsidP="00F906E1">
      <w:pPr>
        <w:spacing w:before="0"/>
        <w:ind w:left="993" w:hanging="142"/>
        <w:rPr>
          <w:rFonts w:eastAsia="Arial"/>
          <w:sz w:val="22"/>
          <w:szCs w:val="22"/>
          <w:lang w:eastAsia="en-US"/>
        </w:rPr>
      </w:pPr>
      <w:r w:rsidRPr="005E25A8">
        <w:rPr>
          <w:rFonts w:eastAsia="Arial"/>
          <w:sz w:val="22"/>
          <w:szCs w:val="22"/>
          <w:lang w:eastAsia="en-US"/>
        </w:rPr>
        <w:t xml:space="preserve">Source: </w:t>
      </w:r>
      <w:r w:rsidRPr="005E25A8">
        <w:rPr>
          <w:rFonts w:eastAsia="Arial" w:cs="Arial"/>
          <w:sz w:val="22"/>
          <w:szCs w:val="22"/>
        </w:rPr>
        <w:t>Greater Nottingham &amp; Ashfield Housing Needs Assessment 2020</w:t>
      </w:r>
    </w:p>
    <w:p w14:paraId="185BEC44" w14:textId="77777777" w:rsidR="00B845B1" w:rsidRPr="00B845B1" w:rsidRDefault="00B845B1" w:rsidP="00F906E1">
      <w:pPr>
        <w:spacing w:before="0"/>
        <w:rPr>
          <w:lang w:eastAsia="en-US"/>
        </w:rPr>
      </w:pPr>
    </w:p>
    <w:p w14:paraId="3DB5D004" w14:textId="02F9F163"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hAnsi="Arial" w:cs="Arial"/>
          <w:szCs w:val="24"/>
        </w:rPr>
        <w:t xml:space="preserve">The analysis also shows that there is a substantial volume of younger adults (aged 65 and under) across the study area with a range of disabilities. Invariably, there will be a combination of those with disabilities and long-term health problems that continue to live at home with family, those who choose to live independently with the possibility of incorporating adaptations into their homes and those who choose to move into supported housing. </w:t>
      </w:r>
    </w:p>
    <w:p w14:paraId="49AE24D4" w14:textId="06A773B2" w:rsidR="00F9165A" w:rsidRDefault="00F9165A" w:rsidP="00F9165A">
      <w:pPr>
        <w:pStyle w:val="ListParagraph"/>
        <w:spacing w:after="0" w:line="240" w:lineRule="auto"/>
        <w:ind w:left="851"/>
        <w:rPr>
          <w:rFonts w:ascii="Arial" w:hAnsi="Arial" w:cs="Arial"/>
          <w:color w:val="auto"/>
          <w:szCs w:val="24"/>
        </w:rPr>
      </w:pPr>
    </w:p>
    <w:tbl>
      <w:tblPr>
        <w:tblStyle w:val="ReportTable1"/>
        <w:tblW w:w="8553" w:type="dxa"/>
        <w:tblInd w:w="846" w:type="dxa"/>
        <w:tblLook w:val="04A0" w:firstRow="1" w:lastRow="0" w:firstColumn="1" w:lastColumn="0" w:noHBand="0" w:noVBand="1"/>
      </w:tblPr>
      <w:tblGrid>
        <w:gridCol w:w="1134"/>
        <w:gridCol w:w="2410"/>
        <w:gridCol w:w="1275"/>
        <w:gridCol w:w="1134"/>
        <w:gridCol w:w="1134"/>
        <w:gridCol w:w="1466"/>
      </w:tblGrid>
      <w:tr w:rsidR="00F9165A" w:rsidRPr="00851435" w14:paraId="67F244BB" w14:textId="77777777" w:rsidTr="00B845B1">
        <w:tc>
          <w:tcPr>
            <w:tcW w:w="8553"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81B465" w14:textId="5FD93F66" w:rsidR="00F9165A" w:rsidRPr="00FC4F55" w:rsidRDefault="00F9165A" w:rsidP="00024CB3">
            <w:pPr>
              <w:tabs>
                <w:tab w:val="left" w:pos="720"/>
              </w:tabs>
              <w:spacing w:before="60" w:after="60"/>
              <w:rPr>
                <w:rFonts w:cs="Arial"/>
                <w:b/>
              </w:rPr>
            </w:pPr>
            <w:r w:rsidRPr="00FC4F55">
              <w:rPr>
                <w:rFonts w:cs="Arial"/>
                <w:b/>
              </w:rPr>
              <w:lastRenderedPageBreak/>
              <w:t xml:space="preserve">Projected Change to Younger Adults with Disabilities </w:t>
            </w:r>
          </w:p>
        </w:tc>
      </w:tr>
      <w:tr w:rsidR="00F9165A" w:rsidRPr="00851435" w14:paraId="360272C7" w14:textId="77777777" w:rsidTr="00F906E1">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43A30F" w14:textId="77777777" w:rsidR="00F9165A" w:rsidRPr="00FC4F55" w:rsidRDefault="00F9165A" w:rsidP="00024CB3">
            <w:pPr>
              <w:tabs>
                <w:tab w:val="left" w:pos="720"/>
              </w:tabs>
              <w:spacing w:before="60" w:after="60"/>
              <w:rPr>
                <w:rFonts w:cs="Arial"/>
                <w:b/>
              </w:rPr>
            </w:pPr>
            <w:r w:rsidRPr="00FC4F55">
              <w:rPr>
                <w:rFonts w:cs="Arial"/>
                <w:b/>
              </w:rPr>
              <w:t>Council</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D355AF" w14:textId="77777777" w:rsidR="00F9165A" w:rsidRPr="00FC4F55" w:rsidRDefault="00F9165A" w:rsidP="00024CB3">
            <w:pPr>
              <w:tabs>
                <w:tab w:val="left" w:pos="720"/>
              </w:tabs>
              <w:spacing w:before="60" w:after="60"/>
              <w:rPr>
                <w:rFonts w:cs="Arial"/>
                <w:b/>
              </w:rPr>
            </w:pPr>
            <w:r w:rsidRPr="00FC4F55">
              <w:rPr>
                <w:rFonts w:cs="Arial"/>
                <w:b/>
              </w:rPr>
              <w:t>Disability</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8AEF3E" w14:textId="77777777" w:rsidR="00F9165A" w:rsidRPr="00FC4F55" w:rsidRDefault="00F9165A" w:rsidP="00024CB3">
            <w:pPr>
              <w:tabs>
                <w:tab w:val="left" w:pos="720"/>
              </w:tabs>
              <w:spacing w:before="60" w:after="60"/>
              <w:rPr>
                <w:rFonts w:cs="Arial"/>
                <w:b/>
              </w:rPr>
            </w:pPr>
            <w:r w:rsidRPr="00FC4F55">
              <w:rPr>
                <w:rFonts w:cs="Arial"/>
                <w:b/>
              </w:rPr>
              <w:t>2020</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09011A" w14:textId="77777777" w:rsidR="00F9165A" w:rsidRPr="00FC4F55" w:rsidRDefault="00F9165A" w:rsidP="00024CB3">
            <w:pPr>
              <w:tabs>
                <w:tab w:val="left" w:pos="720"/>
              </w:tabs>
              <w:spacing w:before="60" w:after="60"/>
              <w:rPr>
                <w:rFonts w:cs="Arial"/>
                <w:b/>
              </w:rPr>
            </w:pPr>
            <w:r w:rsidRPr="00FC4F55">
              <w:rPr>
                <w:rFonts w:cs="Arial"/>
                <w:b/>
              </w:rPr>
              <w:t>2038</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7C2BA5" w14:textId="77777777" w:rsidR="00F9165A" w:rsidRPr="00FC4F55" w:rsidRDefault="00F9165A" w:rsidP="00024CB3">
            <w:pPr>
              <w:tabs>
                <w:tab w:val="left" w:pos="720"/>
              </w:tabs>
              <w:spacing w:before="60" w:after="60"/>
              <w:rPr>
                <w:rFonts w:cs="Arial"/>
                <w:b/>
              </w:rPr>
            </w:pPr>
            <w:r w:rsidRPr="00FC4F55">
              <w:rPr>
                <w:rFonts w:cs="Arial"/>
                <w:b/>
              </w:rPr>
              <w:t>Change</w:t>
            </w:r>
          </w:p>
        </w:tc>
        <w:tc>
          <w:tcPr>
            <w:tcW w:w="14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A333AE" w14:textId="77777777" w:rsidR="00F9165A" w:rsidRPr="00FC4F55" w:rsidRDefault="00F9165A" w:rsidP="00024CB3">
            <w:pPr>
              <w:tabs>
                <w:tab w:val="left" w:pos="720"/>
              </w:tabs>
              <w:spacing w:before="60" w:after="60"/>
              <w:rPr>
                <w:rFonts w:cs="Arial"/>
                <w:b/>
              </w:rPr>
            </w:pPr>
            <w:r w:rsidRPr="00FC4F55">
              <w:rPr>
                <w:rFonts w:cs="Arial"/>
                <w:b/>
              </w:rPr>
              <w:t>% Change</w:t>
            </w:r>
          </w:p>
        </w:tc>
      </w:tr>
      <w:tr w:rsidR="00F9165A" w:rsidRPr="00851435" w14:paraId="296939C8" w14:textId="77777777" w:rsidTr="00F906E1">
        <w:trPr>
          <w:trHeight w:val="690"/>
        </w:trPr>
        <w:tc>
          <w:tcPr>
            <w:tcW w:w="1134" w:type="dxa"/>
            <w:vMerge w:val="restart"/>
            <w:tcBorders>
              <w:top w:val="single" w:sz="4" w:space="0" w:color="auto"/>
              <w:left w:val="single" w:sz="4" w:space="0" w:color="auto"/>
              <w:right w:val="single" w:sz="4" w:space="0" w:color="auto"/>
            </w:tcBorders>
            <w:vAlign w:val="center"/>
          </w:tcPr>
          <w:p w14:paraId="16FA0A99" w14:textId="77777777" w:rsidR="00F9165A" w:rsidRPr="00FC4F55" w:rsidRDefault="00F9165A" w:rsidP="00024CB3">
            <w:pPr>
              <w:spacing w:after="360" w:line="360" w:lineRule="auto"/>
              <w:rPr>
                <w:rFonts w:cs="Arial"/>
              </w:rPr>
            </w:pPr>
            <w:r w:rsidRPr="00FC4F55">
              <w:rPr>
                <w:rFonts w:cs="Arial"/>
              </w:rPr>
              <w:t>Ashfield</w:t>
            </w:r>
          </w:p>
        </w:tc>
        <w:tc>
          <w:tcPr>
            <w:tcW w:w="2410" w:type="dxa"/>
            <w:tcBorders>
              <w:top w:val="single" w:sz="4" w:space="0" w:color="auto"/>
              <w:left w:val="single" w:sz="4" w:space="0" w:color="auto"/>
              <w:bottom w:val="single" w:sz="4" w:space="0" w:color="auto"/>
              <w:right w:val="single" w:sz="4" w:space="0" w:color="auto"/>
            </w:tcBorders>
            <w:vAlign w:val="center"/>
          </w:tcPr>
          <w:p w14:paraId="11753BF1" w14:textId="77777777" w:rsidR="00F9165A" w:rsidRPr="00FC4F55" w:rsidRDefault="00F9165A" w:rsidP="00DA3B66">
            <w:pPr>
              <w:rPr>
                <w:rFonts w:cs="Arial"/>
              </w:rPr>
            </w:pPr>
            <w:r w:rsidRPr="00FC4F55">
              <w:rPr>
                <w:rFonts w:cs="Arial"/>
              </w:rPr>
              <w:t>Impaired Mobility</w:t>
            </w:r>
          </w:p>
        </w:tc>
        <w:tc>
          <w:tcPr>
            <w:tcW w:w="1275" w:type="dxa"/>
            <w:tcBorders>
              <w:top w:val="single" w:sz="4" w:space="0" w:color="auto"/>
              <w:left w:val="single" w:sz="4" w:space="0" w:color="auto"/>
              <w:bottom w:val="single" w:sz="4" w:space="0" w:color="auto"/>
              <w:right w:val="single" w:sz="4" w:space="0" w:color="auto"/>
            </w:tcBorders>
            <w:vAlign w:val="center"/>
          </w:tcPr>
          <w:p w14:paraId="59895468" w14:textId="77777777" w:rsidR="00F9165A" w:rsidRPr="00FC4F55" w:rsidRDefault="00F9165A" w:rsidP="00DA3B66">
            <w:pPr>
              <w:rPr>
                <w:rFonts w:cs="Arial"/>
              </w:rPr>
            </w:pPr>
            <w:r w:rsidRPr="00FC4F55">
              <w:rPr>
                <w:rFonts w:cs="Arial"/>
              </w:rPr>
              <w:t>4,348</w:t>
            </w:r>
          </w:p>
        </w:tc>
        <w:tc>
          <w:tcPr>
            <w:tcW w:w="1134" w:type="dxa"/>
            <w:tcBorders>
              <w:top w:val="single" w:sz="4" w:space="0" w:color="auto"/>
              <w:left w:val="single" w:sz="4" w:space="0" w:color="auto"/>
              <w:bottom w:val="single" w:sz="4" w:space="0" w:color="auto"/>
              <w:right w:val="single" w:sz="4" w:space="0" w:color="auto"/>
            </w:tcBorders>
            <w:vAlign w:val="center"/>
          </w:tcPr>
          <w:p w14:paraId="0477FB0B" w14:textId="77777777" w:rsidR="00F9165A" w:rsidRPr="00FC4F55" w:rsidRDefault="00F9165A" w:rsidP="00DA3B66">
            <w:pPr>
              <w:rPr>
                <w:rFonts w:cs="Arial"/>
              </w:rPr>
            </w:pPr>
            <w:r w:rsidRPr="00FC4F55">
              <w:rPr>
                <w:rFonts w:cs="Arial"/>
              </w:rPr>
              <w:t>4,327</w:t>
            </w:r>
          </w:p>
        </w:tc>
        <w:tc>
          <w:tcPr>
            <w:tcW w:w="1134" w:type="dxa"/>
            <w:tcBorders>
              <w:top w:val="single" w:sz="4" w:space="0" w:color="auto"/>
              <w:left w:val="single" w:sz="4" w:space="0" w:color="auto"/>
              <w:bottom w:val="single" w:sz="4" w:space="0" w:color="auto"/>
              <w:right w:val="single" w:sz="4" w:space="0" w:color="auto"/>
            </w:tcBorders>
            <w:vAlign w:val="center"/>
          </w:tcPr>
          <w:p w14:paraId="09E67FA2" w14:textId="77777777" w:rsidR="00F9165A" w:rsidRPr="00FC4F55" w:rsidRDefault="00F9165A" w:rsidP="00DA3B66">
            <w:pPr>
              <w:rPr>
                <w:rFonts w:cs="Arial"/>
              </w:rPr>
            </w:pPr>
            <w:r w:rsidRPr="00FC4F55">
              <w:rPr>
                <w:rFonts w:cs="Arial"/>
              </w:rPr>
              <w:t>-21</w:t>
            </w:r>
          </w:p>
        </w:tc>
        <w:tc>
          <w:tcPr>
            <w:tcW w:w="1466" w:type="dxa"/>
            <w:tcBorders>
              <w:top w:val="single" w:sz="4" w:space="0" w:color="auto"/>
              <w:left w:val="single" w:sz="4" w:space="0" w:color="auto"/>
              <w:bottom w:val="single" w:sz="4" w:space="0" w:color="auto"/>
              <w:right w:val="single" w:sz="4" w:space="0" w:color="auto"/>
            </w:tcBorders>
            <w:vAlign w:val="center"/>
          </w:tcPr>
          <w:p w14:paraId="6ABB2AE3" w14:textId="77777777" w:rsidR="00F9165A" w:rsidRPr="00FC4F55" w:rsidRDefault="00F9165A" w:rsidP="00DA3B66">
            <w:pPr>
              <w:rPr>
                <w:rFonts w:cs="Arial"/>
              </w:rPr>
            </w:pPr>
            <w:r w:rsidRPr="00FC4F55">
              <w:rPr>
                <w:rFonts w:cs="Arial"/>
              </w:rPr>
              <w:t>-0.5%</w:t>
            </w:r>
          </w:p>
        </w:tc>
      </w:tr>
      <w:tr w:rsidR="00F9165A" w:rsidRPr="00851435" w14:paraId="749FF98C" w14:textId="77777777" w:rsidTr="00F906E1">
        <w:trPr>
          <w:trHeight w:val="690"/>
        </w:trPr>
        <w:tc>
          <w:tcPr>
            <w:tcW w:w="1134" w:type="dxa"/>
            <w:vMerge/>
            <w:tcBorders>
              <w:top w:val="single" w:sz="4" w:space="0" w:color="auto"/>
              <w:left w:val="single" w:sz="4" w:space="0" w:color="auto"/>
              <w:right w:val="single" w:sz="4" w:space="0" w:color="auto"/>
            </w:tcBorders>
            <w:vAlign w:val="center"/>
          </w:tcPr>
          <w:p w14:paraId="44DA7609" w14:textId="77777777" w:rsidR="00F9165A" w:rsidRPr="00851435" w:rsidRDefault="00F9165A" w:rsidP="00024CB3">
            <w:pPr>
              <w:spacing w:after="360" w:line="360" w:lineRule="auto"/>
              <w:rPr>
                <w:rFonts w:cs="Arial"/>
                <w:highlight w:val="yellow"/>
              </w:rPr>
            </w:pPr>
          </w:p>
        </w:tc>
        <w:tc>
          <w:tcPr>
            <w:tcW w:w="2410" w:type="dxa"/>
            <w:tcBorders>
              <w:top w:val="single" w:sz="4" w:space="0" w:color="auto"/>
              <w:left w:val="single" w:sz="4" w:space="0" w:color="auto"/>
              <w:bottom w:val="single" w:sz="4" w:space="0" w:color="auto"/>
              <w:right w:val="single" w:sz="4" w:space="0" w:color="auto"/>
            </w:tcBorders>
            <w:vAlign w:val="center"/>
          </w:tcPr>
          <w:p w14:paraId="0BEF22F2" w14:textId="77777777" w:rsidR="00F9165A" w:rsidRPr="00FC4F55" w:rsidRDefault="00F9165A" w:rsidP="00DA3B66">
            <w:pPr>
              <w:rPr>
                <w:rFonts w:cs="Arial"/>
              </w:rPr>
            </w:pPr>
            <w:r w:rsidRPr="00FC4F55">
              <w:rPr>
                <w:rFonts w:cs="Arial"/>
              </w:rPr>
              <w:t>Common Mental Disorder</w:t>
            </w:r>
          </w:p>
        </w:tc>
        <w:tc>
          <w:tcPr>
            <w:tcW w:w="1275" w:type="dxa"/>
            <w:tcBorders>
              <w:top w:val="single" w:sz="4" w:space="0" w:color="auto"/>
              <w:left w:val="single" w:sz="4" w:space="0" w:color="auto"/>
              <w:bottom w:val="single" w:sz="4" w:space="0" w:color="auto"/>
              <w:right w:val="single" w:sz="4" w:space="0" w:color="auto"/>
            </w:tcBorders>
            <w:vAlign w:val="center"/>
          </w:tcPr>
          <w:p w14:paraId="701C5210" w14:textId="77777777" w:rsidR="00F9165A" w:rsidRPr="00FC4F55" w:rsidRDefault="00F9165A" w:rsidP="00DA3B66">
            <w:pPr>
              <w:rPr>
                <w:rFonts w:cs="Arial"/>
              </w:rPr>
            </w:pPr>
            <w:r w:rsidRPr="00FC4F55">
              <w:rPr>
                <w:rFonts w:cs="Arial"/>
              </w:rPr>
              <w:t>14,529</w:t>
            </w:r>
          </w:p>
        </w:tc>
        <w:tc>
          <w:tcPr>
            <w:tcW w:w="1134" w:type="dxa"/>
            <w:tcBorders>
              <w:top w:val="single" w:sz="4" w:space="0" w:color="auto"/>
              <w:left w:val="single" w:sz="4" w:space="0" w:color="auto"/>
              <w:bottom w:val="single" w:sz="4" w:space="0" w:color="auto"/>
              <w:right w:val="single" w:sz="4" w:space="0" w:color="auto"/>
            </w:tcBorders>
            <w:vAlign w:val="center"/>
          </w:tcPr>
          <w:p w14:paraId="098519D7" w14:textId="77777777" w:rsidR="00F9165A" w:rsidRPr="00FC4F55" w:rsidRDefault="00F9165A" w:rsidP="00DA3B66">
            <w:pPr>
              <w:rPr>
                <w:rFonts w:cs="Arial"/>
              </w:rPr>
            </w:pPr>
            <w:r w:rsidRPr="00FC4F55">
              <w:rPr>
                <w:rFonts w:cs="Arial"/>
              </w:rPr>
              <w:t>15,029</w:t>
            </w:r>
          </w:p>
        </w:tc>
        <w:tc>
          <w:tcPr>
            <w:tcW w:w="1134" w:type="dxa"/>
            <w:tcBorders>
              <w:top w:val="single" w:sz="4" w:space="0" w:color="auto"/>
              <w:left w:val="single" w:sz="4" w:space="0" w:color="auto"/>
              <w:bottom w:val="single" w:sz="4" w:space="0" w:color="auto"/>
              <w:right w:val="single" w:sz="4" w:space="0" w:color="auto"/>
            </w:tcBorders>
            <w:vAlign w:val="center"/>
          </w:tcPr>
          <w:p w14:paraId="523D017B" w14:textId="77777777" w:rsidR="00F9165A" w:rsidRPr="00FC4F55" w:rsidRDefault="00F9165A" w:rsidP="00DA3B66">
            <w:pPr>
              <w:rPr>
                <w:rFonts w:cs="Arial"/>
              </w:rPr>
            </w:pPr>
            <w:r w:rsidRPr="00FC4F55">
              <w:rPr>
                <w:rFonts w:cs="Arial"/>
              </w:rPr>
              <w:t>500</w:t>
            </w:r>
          </w:p>
        </w:tc>
        <w:tc>
          <w:tcPr>
            <w:tcW w:w="1466" w:type="dxa"/>
            <w:tcBorders>
              <w:top w:val="single" w:sz="4" w:space="0" w:color="auto"/>
              <w:left w:val="single" w:sz="4" w:space="0" w:color="auto"/>
              <w:bottom w:val="single" w:sz="4" w:space="0" w:color="auto"/>
              <w:right w:val="single" w:sz="4" w:space="0" w:color="auto"/>
            </w:tcBorders>
            <w:vAlign w:val="center"/>
          </w:tcPr>
          <w:p w14:paraId="096EA441" w14:textId="77777777" w:rsidR="00F9165A" w:rsidRPr="00FC4F55" w:rsidRDefault="00F9165A" w:rsidP="00DA3B66">
            <w:pPr>
              <w:rPr>
                <w:rFonts w:cs="Arial"/>
              </w:rPr>
            </w:pPr>
            <w:r w:rsidRPr="00FC4F55">
              <w:rPr>
                <w:rFonts w:cs="Arial"/>
              </w:rPr>
              <w:t>3.4%</w:t>
            </w:r>
          </w:p>
        </w:tc>
      </w:tr>
      <w:tr w:rsidR="00F9165A" w:rsidRPr="00851435" w14:paraId="5493B56E" w14:textId="77777777" w:rsidTr="00F906E1">
        <w:trPr>
          <w:trHeight w:val="690"/>
        </w:trPr>
        <w:tc>
          <w:tcPr>
            <w:tcW w:w="1134" w:type="dxa"/>
            <w:vMerge/>
            <w:tcBorders>
              <w:left w:val="single" w:sz="4" w:space="0" w:color="auto"/>
              <w:right w:val="single" w:sz="4" w:space="0" w:color="auto"/>
            </w:tcBorders>
            <w:vAlign w:val="center"/>
          </w:tcPr>
          <w:p w14:paraId="383568F2" w14:textId="77777777" w:rsidR="00F9165A" w:rsidRPr="00851435" w:rsidRDefault="00F9165A" w:rsidP="00024CB3">
            <w:pPr>
              <w:spacing w:after="360" w:line="360" w:lineRule="auto"/>
              <w:rPr>
                <w:rFonts w:cs="Arial"/>
                <w:highlight w:val="yellow"/>
              </w:rPr>
            </w:pPr>
          </w:p>
        </w:tc>
        <w:tc>
          <w:tcPr>
            <w:tcW w:w="2410" w:type="dxa"/>
            <w:tcBorders>
              <w:top w:val="single" w:sz="4" w:space="0" w:color="auto"/>
              <w:left w:val="single" w:sz="4" w:space="0" w:color="auto"/>
              <w:bottom w:val="single" w:sz="4" w:space="0" w:color="auto"/>
              <w:right w:val="single" w:sz="4" w:space="0" w:color="auto"/>
            </w:tcBorders>
            <w:vAlign w:val="center"/>
          </w:tcPr>
          <w:p w14:paraId="7407D3C4" w14:textId="77777777" w:rsidR="00F9165A" w:rsidRPr="00FC4F55" w:rsidRDefault="00F9165A" w:rsidP="00DA3B66">
            <w:pPr>
              <w:rPr>
                <w:rFonts w:cs="Arial"/>
              </w:rPr>
            </w:pPr>
            <w:r w:rsidRPr="00FC4F55">
              <w:rPr>
                <w:rFonts w:cs="Arial"/>
              </w:rPr>
              <w:t>Autistic Spectrum Disorders</w:t>
            </w:r>
          </w:p>
        </w:tc>
        <w:tc>
          <w:tcPr>
            <w:tcW w:w="1275" w:type="dxa"/>
            <w:tcBorders>
              <w:top w:val="single" w:sz="4" w:space="0" w:color="auto"/>
              <w:left w:val="single" w:sz="4" w:space="0" w:color="auto"/>
              <w:bottom w:val="single" w:sz="4" w:space="0" w:color="auto"/>
              <w:right w:val="single" w:sz="4" w:space="0" w:color="auto"/>
            </w:tcBorders>
            <w:vAlign w:val="center"/>
          </w:tcPr>
          <w:p w14:paraId="6B540DD2" w14:textId="77777777" w:rsidR="00F9165A" w:rsidRPr="00FC4F55" w:rsidRDefault="00F9165A" w:rsidP="00DA3B66">
            <w:pPr>
              <w:rPr>
                <w:rFonts w:cs="Arial"/>
              </w:rPr>
            </w:pPr>
            <w:r w:rsidRPr="00FC4F55">
              <w:rPr>
                <w:rFonts w:cs="Arial"/>
              </w:rPr>
              <w:t>755</w:t>
            </w:r>
          </w:p>
        </w:tc>
        <w:tc>
          <w:tcPr>
            <w:tcW w:w="1134" w:type="dxa"/>
            <w:tcBorders>
              <w:top w:val="single" w:sz="4" w:space="0" w:color="auto"/>
              <w:left w:val="single" w:sz="4" w:space="0" w:color="auto"/>
              <w:bottom w:val="single" w:sz="4" w:space="0" w:color="auto"/>
              <w:right w:val="single" w:sz="4" w:space="0" w:color="auto"/>
            </w:tcBorders>
            <w:vAlign w:val="center"/>
          </w:tcPr>
          <w:p w14:paraId="12A328CE" w14:textId="77777777" w:rsidR="00F9165A" w:rsidRPr="00FC4F55" w:rsidRDefault="00F9165A" w:rsidP="00DA3B66">
            <w:pPr>
              <w:rPr>
                <w:rFonts w:cs="Arial"/>
              </w:rPr>
            </w:pPr>
            <w:r w:rsidRPr="00FC4F55">
              <w:rPr>
                <w:rFonts w:cs="Arial"/>
              </w:rPr>
              <w:t>779</w:t>
            </w:r>
          </w:p>
        </w:tc>
        <w:tc>
          <w:tcPr>
            <w:tcW w:w="1134" w:type="dxa"/>
            <w:tcBorders>
              <w:top w:val="single" w:sz="4" w:space="0" w:color="auto"/>
              <w:left w:val="single" w:sz="4" w:space="0" w:color="auto"/>
              <w:bottom w:val="single" w:sz="4" w:space="0" w:color="auto"/>
              <w:right w:val="single" w:sz="4" w:space="0" w:color="auto"/>
            </w:tcBorders>
            <w:vAlign w:val="center"/>
          </w:tcPr>
          <w:p w14:paraId="18610F86" w14:textId="77777777" w:rsidR="00F9165A" w:rsidRPr="00FC4F55" w:rsidRDefault="00F9165A" w:rsidP="00DA3B66">
            <w:pPr>
              <w:rPr>
                <w:rFonts w:cs="Arial"/>
              </w:rPr>
            </w:pPr>
            <w:r w:rsidRPr="00FC4F55">
              <w:rPr>
                <w:rFonts w:cs="Arial"/>
              </w:rPr>
              <w:t>24</w:t>
            </w:r>
          </w:p>
        </w:tc>
        <w:tc>
          <w:tcPr>
            <w:tcW w:w="1466" w:type="dxa"/>
            <w:tcBorders>
              <w:top w:val="single" w:sz="4" w:space="0" w:color="auto"/>
              <w:left w:val="single" w:sz="4" w:space="0" w:color="auto"/>
              <w:bottom w:val="single" w:sz="4" w:space="0" w:color="auto"/>
              <w:right w:val="single" w:sz="4" w:space="0" w:color="auto"/>
            </w:tcBorders>
            <w:vAlign w:val="center"/>
          </w:tcPr>
          <w:p w14:paraId="5E9D535B" w14:textId="77777777" w:rsidR="00F9165A" w:rsidRPr="00FC4F55" w:rsidRDefault="00F9165A" w:rsidP="00DA3B66">
            <w:pPr>
              <w:rPr>
                <w:rFonts w:cs="Arial"/>
              </w:rPr>
            </w:pPr>
            <w:r w:rsidRPr="00FC4F55">
              <w:rPr>
                <w:rFonts w:cs="Arial"/>
              </w:rPr>
              <w:t>3.2%</w:t>
            </w:r>
          </w:p>
        </w:tc>
      </w:tr>
      <w:tr w:rsidR="00F9165A" w:rsidRPr="003C7E62" w14:paraId="3EF4A948" w14:textId="77777777" w:rsidTr="00F906E1">
        <w:trPr>
          <w:trHeight w:val="690"/>
        </w:trPr>
        <w:tc>
          <w:tcPr>
            <w:tcW w:w="1134" w:type="dxa"/>
            <w:vMerge/>
            <w:tcBorders>
              <w:left w:val="single" w:sz="4" w:space="0" w:color="auto"/>
              <w:bottom w:val="single" w:sz="4" w:space="0" w:color="auto"/>
              <w:right w:val="single" w:sz="4" w:space="0" w:color="auto"/>
            </w:tcBorders>
            <w:vAlign w:val="center"/>
          </w:tcPr>
          <w:p w14:paraId="41A421F7" w14:textId="77777777" w:rsidR="00F9165A" w:rsidRPr="00851435" w:rsidRDefault="00F9165A" w:rsidP="00024CB3">
            <w:pPr>
              <w:spacing w:after="360" w:line="360" w:lineRule="auto"/>
              <w:rPr>
                <w:rFonts w:cs="Arial"/>
                <w:highlight w:val="yellow"/>
              </w:rPr>
            </w:pPr>
          </w:p>
        </w:tc>
        <w:tc>
          <w:tcPr>
            <w:tcW w:w="2410" w:type="dxa"/>
            <w:tcBorders>
              <w:top w:val="single" w:sz="4" w:space="0" w:color="auto"/>
              <w:left w:val="single" w:sz="4" w:space="0" w:color="auto"/>
              <w:bottom w:val="single" w:sz="4" w:space="0" w:color="auto"/>
              <w:right w:val="single" w:sz="4" w:space="0" w:color="auto"/>
            </w:tcBorders>
            <w:vAlign w:val="center"/>
          </w:tcPr>
          <w:p w14:paraId="50B7D4E0" w14:textId="77777777" w:rsidR="00F9165A" w:rsidRPr="00FC4F55" w:rsidRDefault="00F9165A" w:rsidP="00DA3B66">
            <w:pPr>
              <w:rPr>
                <w:rFonts w:cs="Arial"/>
              </w:rPr>
            </w:pPr>
            <w:r w:rsidRPr="00FC4F55">
              <w:rPr>
                <w:rFonts w:cs="Arial"/>
              </w:rPr>
              <w:t>Learning Disabilities</w:t>
            </w:r>
          </w:p>
        </w:tc>
        <w:tc>
          <w:tcPr>
            <w:tcW w:w="1275" w:type="dxa"/>
            <w:tcBorders>
              <w:top w:val="single" w:sz="4" w:space="0" w:color="auto"/>
              <w:left w:val="single" w:sz="4" w:space="0" w:color="auto"/>
              <w:bottom w:val="single" w:sz="4" w:space="0" w:color="auto"/>
              <w:right w:val="single" w:sz="4" w:space="0" w:color="auto"/>
            </w:tcBorders>
            <w:vAlign w:val="center"/>
          </w:tcPr>
          <w:p w14:paraId="376E6E8A" w14:textId="77777777" w:rsidR="00F9165A" w:rsidRPr="00FC4F55" w:rsidRDefault="00F9165A" w:rsidP="00DA3B66">
            <w:pPr>
              <w:rPr>
                <w:rFonts w:cs="Arial"/>
              </w:rPr>
            </w:pPr>
            <w:r w:rsidRPr="00FC4F55">
              <w:rPr>
                <w:rFonts w:cs="Arial"/>
              </w:rPr>
              <w:t>1,972</w:t>
            </w:r>
          </w:p>
        </w:tc>
        <w:tc>
          <w:tcPr>
            <w:tcW w:w="1134" w:type="dxa"/>
            <w:tcBorders>
              <w:top w:val="single" w:sz="4" w:space="0" w:color="auto"/>
              <w:left w:val="single" w:sz="4" w:space="0" w:color="auto"/>
              <w:bottom w:val="single" w:sz="4" w:space="0" w:color="auto"/>
              <w:right w:val="single" w:sz="4" w:space="0" w:color="auto"/>
            </w:tcBorders>
            <w:vAlign w:val="center"/>
          </w:tcPr>
          <w:p w14:paraId="229383D2" w14:textId="77777777" w:rsidR="00F9165A" w:rsidRPr="00FC4F55" w:rsidRDefault="00F9165A" w:rsidP="00DA3B66">
            <w:pPr>
              <w:rPr>
                <w:rFonts w:cs="Arial"/>
              </w:rPr>
            </w:pPr>
            <w:r w:rsidRPr="00FC4F55">
              <w:rPr>
                <w:rFonts w:cs="Arial"/>
              </w:rPr>
              <w:t>2,056</w:t>
            </w:r>
          </w:p>
        </w:tc>
        <w:tc>
          <w:tcPr>
            <w:tcW w:w="1134" w:type="dxa"/>
            <w:tcBorders>
              <w:top w:val="single" w:sz="4" w:space="0" w:color="auto"/>
              <w:left w:val="single" w:sz="4" w:space="0" w:color="auto"/>
              <w:bottom w:val="single" w:sz="4" w:space="0" w:color="auto"/>
              <w:right w:val="single" w:sz="4" w:space="0" w:color="auto"/>
            </w:tcBorders>
            <w:vAlign w:val="center"/>
          </w:tcPr>
          <w:p w14:paraId="1034C10B" w14:textId="77777777" w:rsidR="00F9165A" w:rsidRPr="00FC4F55" w:rsidRDefault="00F9165A" w:rsidP="00DA3B66">
            <w:pPr>
              <w:rPr>
                <w:rFonts w:cs="Arial"/>
              </w:rPr>
            </w:pPr>
            <w:r w:rsidRPr="00FC4F55">
              <w:rPr>
                <w:rFonts w:cs="Arial"/>
              </w:rPr>
              <w:t>84</w:t>
            </w:r>
          </w:p>
        </w:tc>
        <w:tc>
          <w:tcPr>
            <w:tcW w:w="1466" w:type="dxa"/>
            <w:tcBorders>
              <w:top w:val="single" w:sz="4" w:space="0" w:color="auto"/>
              <w:left w:val="single" w:sz="4" w:space="0" w:color="auto"/>
              <w:bottom w:val="single" w:sz="4" w:space="0" w:color="auto"/>
              <w:right w:val="single" w:sz="4" w:space="0" w:color="auto"/>
            </w:tcBorders>
            <w:vAlign w:val="center"/>
          </w:tcPr>
          <w:p w14:paraId="52DE8DD9" w14:textId="77777777" w:rsidR="00F9165A" w:rsidRPr="00FC4F55" w:rsidRDefault="00F9165A" w:rsidP="00DA3B66">
            <w:pPr>
              <w:rPr>
                <w:rFonts w:cs="Arial"/>
              </w:rPr>
            </w:pPr>
            <w:r w:rsidRPr="00FC4F55">
              <w:rPr>
                <w:rFonts w:cs="Arial"/>
              </w:rPr>
              <w:t>4.3%</w:t>
            </w:r>
          </w:p>
        </w:tc>
      </w:tr>
    </w:tbl>
    <w:p w14:paraId="29327755" w14:textId="15118B24" w:rsidR="00B845B1" w:rsidRDefault="00F906E1" w:rsidP="000447CA">
      <w:pPr>
        <w:pStyle w:val="Heading3"/>
      </w:pPr>
      <w:r>
        <w:t xml:space="preserve">  </w:t>
      </w:r>
      <w:r w:rsidR="00B845B1">
        <w:t>Table 8:</w:t>
      </w:r>
      <w:r w:rsidR="00B845B1" w:rsidRPr="00B845B1">
        <w:t xml:space="preserve"> </w:t>
      </w:r>
      <w:r w:rsidR="00B845B1" w:rsidRPr="00FC4F55">
        <w:t>Projected Change to Younger Adults with Disabilities</w:t>
      </w:r>
    </w:p>
    <w:p w14:paraId="34EDEF14" w14:textId="77777777" w:rsidR="00B845B1" w:rsidRPr="005E25A8" w:rsidRDefault="00B845B1" w:rsidP="00F906E1">
      <w:pPr>
        <w:spacing w:before="0"/>
        <w:ind w:left="993" w:hanging="142"/>
        <w:rPr>
          <w:rFonts w:eastAsia="Arial"/>
          <w:sz w:val="22"/>
          <w:szCs w:val="22"/>
          <w:lang w:eastAsia="en-US"/>
        </w:rPr>
      </w:pPr>
      <w:r w:rsidRPr="005E25A8">
        <w:rPr>
          <w:rFonts w:eastAsia="Arial"/>
          <w:sz w:val="22"/>
          <w:szCs w:val="22"/>
          <w:lang w:eastAsia="en-US"/>
        </w:rPr>
        <w:t xml:space="preserve">Source: </w:t>
      </w:r>
      <w:r w:rsidRPr="005E25A8">
        <w:rPr>
          <w:rFonts w:eastAsia="Arial" w:cs="Arial"/>
          <w:sz w:val="22"/>
          <w:szCs w:val="22"/>
        </w:rPr>
        <w:t>Greater Nottingham &amp; Ashfield Housing Needs Assessment 2020</w:t>
      </w:r>
    </w:p>
    <w:p w14:paraId="17D0D33B" w14:textId="77777777" w:rsidR="00F9165A" w:rsidRPr="003C7E62" w:rsidRDefault="00F9165A" w:rsidP="00F9165A">
      <w:pPr>
        <w:keepNext w:val="0"/>
        <w:spacing w:before="0"/>
        <w:ind w:left="851"/>
        <w:jc w:val="both"/>
        <w:rPr>
          <w:rFonts w:cs="Arial"/>
          <w:color w:val="auto"/>
          <w:szCs w:val="24"/>
        </w:rPr>
      </w:pPr>
    </w:p>
    <w:p w14:paraId="4640AB1D" w14:textId="77777777"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hAnsi="Arial" w:cs="Arial"/>
          <w:szCs w:val="24"/>
        </w:rPr>
        <w:t>The projected change shown in the number of older persons and younger adults with disabilities provides clear evidence justifying delivering ‘accessible and adaptable’ homes as defined in Part M4(2) of Building Regulations, subject to viability testing and site suitability and, where possible, ‘fully adapted homes’ as defined in Part M4(3) of the same document.</w:t>
      </w:r>
    </w:p>
    <w:p w14:paraId="39F160F6" w14:textId="77777777" w:rsidR="00F9165A" w:rsidRPr="00F9165A" w:rsidRDefault="00F9165A" w:rsidP="00F9165A">
      <w:pPr>
        <w:pStyle w:val="ListParagraph"/>
        <w:spacing w:after="0" w:line="240" w:lineRule="auto"/>
        <w:rPr>
          <w:rFonts w:ascii="Arial" w:hAnsi="Arial" w:cs="Arial"/>
          <w:szCs w:val="24"/>
        </w:rPr>
      </w:pPr>
    </w:p>
    <w:p w14:paraId="5461708C" w14:textId="77777777"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hAnsi="Arial" w:cs="Arial"/>
          <w:szCs w:val="24"/>
        </w:rPr>
        <w:t>The PPG for Housing for Older and Disabled People [63-006] refers only to specialist housing for older people; however, the Council acknowledges the importance of supporting specialist housing schemes for younger adults which could come forward – particularly those aimed at supporting those with autistic spectrum disorders and learning disabilities given these disabilities are expected to see an increase.</w:t>
      </w:r>
    </w:p>
    <w:p w14:paraId="39278167" w14:textId="77777777" w:rsidR="00F9165A" w:rsidRPr="00F9165A" w:rsidRDefault="00F9165A" w:rsidP="00F9165A">
      <w:pPr>
        <w:pStyle w:val="ListParagraph"/>
        <w:spacing w:after="0" w:line="240" w:lineRule="auto"/>
        <w:rPr>
          <w:rFonts w:ascii="Arial" w:hAnsi="Arial" w:cs="Arial"/>
          <w:szCs w:val="24"/>
        </w:rPr>
      </w:pPr>
    </w:p>
    <w:p w14:paraId="059950E4" w14:textId="77777777"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hAnsi="Arial" w:cs="Arial"/>
          <w:szCs w:val="24"/>
        </w:rPr>
        <w:t>In line with the PPG, some older households, particularly those aged over 75, will require specialist housing provision. For Ashfield, the analysis points to a need for 2,463 units of housing with support, and 948 units of housing with care.</w:t>
      </w:r>
    </w:p>
    <w:p w14:paraId="65C0FDD0" w14:textId="77777777" w:rsidR="00F9165A" w:rsidRPr="00F9165A" w:rsidRDefault="00F9165A" w:rsidP="00F9165A">
      <w:pPr>
        <w:pStyle w:val="ListParagraph"/>
        <w:spacing w:after="0" w:line="240" w:lineRule="auto"/>
        <w:rPr>
          <w:rFonts w:ascii="Arial" w:hAnsi="Arial" w:cs="Arial"/>
          <w:szCs w:val="24"/>
        </w:rPr>
      </w:pPr>
    </w:p>
    <w:p w14:paraId="2F70D103" w14:textId="77777777"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hAnsi="Arial" w:cs="Arial"/>
          <w:szCs w:val="24"/>
        </w:rPr>
        <w:t>A need for around 3,203 wheelchair accessible dwellings for wheelchair users across the Greater Nottingham and Ashfield area has been identified, equivalent to 5% of the total housing need identified through the standard method. The Council consider that it would be appropriate to seek provision as part of major new-build schemes, subject to support from viability evidence studies and evaluation on a site-by-site basis.</w:t>
      </w:r>
    </w:p>
    <w:p w14:paraId="160F1DFC" w14:textId="6E357EDD" w:rsidR="00F9165A" w:rsidRDefault="00F9165A" w:rsidP="00F9165A">
      <w:pPr>
        <w:pStyle w:val="ListParagraph"/>
        <w:spacing w:after="0" w:line="240" w:lineRule="auto"/>
        <w:rPr>
          <w:rFonts w:ascii="Arial" w:hAnsi="Arial" w:cs="Arial"/>
          <w:szCs w:val="24"/>
        </w:rPr>
      </w:pPr>
    </w:p>
    <w:p w14:paraId="18656970" w14:textId="77777777" w:rsidR="00F9165A" w:rsidRPr="00F9165A" w:rsidRDefault="00F9165A" w:rsidP="00F9165A">
      <w:pPr>
        <w:keepNext w:val="0"/>
        <w:spacing w:before="0"/>
        <w:rPr>
          <w:rFonts w:cs="Arial"/>
          <w:szCs w:val="24"/>
        </w:rPr>
      </w:pPr>
    </w:p>
    <w:tbl>
      <w:tblPr>
        <w:tblStyle w:val="ReportTable1"/>
        <w:tblW w:w="8647" w:type="dxa"/>
        <w:tblInd w:w="846" w:type="dxa"/>
        <w:tblLayout w:type="fixed"/>
        <w:tblLook w:val="04A0" w:firstRow="1" w:lastRow="0" w:firstColumn="1" w:lastColumn="0" w:noHBand="0" w:noVBand="1"/>
      </w:tblPr>
      <w:tblGrid>
        <w:gridCol w:w="1729"/>
        <w:gridCol w:w="2098"/>
        <w:gridCol w:w="1606"/>
        <w:gridCol w:w="1607"/>
        <w:gridCol w:w="1607"/>
      </w:tblGrid>
      <w:tr w:rsidR="00F9165A" w:rsidRPr="003C7E62" w14:paraId="31CE8002" w14:textId="77777777" w:rsidTr="006977E7">
        <w:tc>
          <w:tcPr>
            <w:tcW w:w="864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8A9DA5" w14:textId="3B3E497E" w:rsidR="00F9165A" w:rsidRPr="003C7E62" w:rsidRDefault="00F9165A" w:rsidP="00024CB3">
            <w:pPr>
              <w:tabs>
                <w:tab w:val="left" w:pos="720"/>
              </w:tabs>
              <w:spacing w:before="60" w:after="60"/>
              <w:rPr>
                <w:rFonts w:cs="Arial"/>
                <w:b/>
              </w:rPr>
            </w:pPr>
            <w:r w:rsidRPr="003C7E62">
              <w:rPr>
                <w:rFonts w:cs="Arial"/>
                <w:b/>
              </w:rPr>
              <w:lastRenderedPageBreak/>
              <w:t>The Need for Specialist Accommodation for Older People, 2020-38</w:t>
            </w:r>
          </w:p>
        </w:tc>
      </w:tr>
      <w:tr w:rsidR="00F9165A" w:rsidRPr="003C7E62" w14:paraId="1D2A9C78" w14:textId="77777777" w:rsidTr="006977E7">
        <w:tc>
          <w:tcPr>
            <w:tcW w:w="17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11A7FD" w14:textId="77777777" w:rsidR="00F9165A" w:rsidRPr="003C7E62" w:rsidRDefault="00F9165A" w:rsidP="00024CB3">
            <w:pPr>
              <w:tabs>
                <w:tab w:val="left" w:pos="720"/>
              </w:tabs>
              <w:spacing w:before="60" w:after="60"/>
              <w:rPr>
                <w:rFonts w:cs="Arial"/>
                <w:b/>
              </w:rPr>
            </w:pPr>
            <w:r w:rsidRPr="003C7E62">
              <w:rPr>
                <w:rFonts w:cs="Arial"/>
                <w:b/>
              </w:rPr>
              <w:t>Council</w:t>
            </w:r>
          </w:p>
        </w:tc>
        <w:tc>
          <w:tcPr>
            <w:tcW w:w="209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6677E3" w14:textId="77777777" w:rsidR="00F9165A" w:rsidRPr="003C7E62" w:rsidRDefault="00F9165A" w:rsidP="00024CB3">
            <w:pPr>
              <w:tabs>
                <w:tab w:val="left" w:pos="720"/>
              </w:tabs>
              <w:spacing w:before="60" w:after="60"/>
              <w:rPr>
                <w:rFonts w:cs="Arial"/>
                <w:b/>
              </w:rPr>
            </w:pPr>
            <w:r w:rsidRPr="003C7E62">
              <w:rPr>
                <w:rFonts w:cs="Arial"/>
                <w:b/>
              </w:rPr>
              <w:t>Accommodation</w:t>
            </w:r>
          </w:p>
        </w:tc>
        <w:tc>
          <w:tcPr>
            <w:tcW w:w="16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123DA4" w14:textId="77777777" w:rsidR="00F9165A" w:rsidRPr="003C7E62" w:rsidRDefault="00F9165A" w:rsidP="006977E7">
            <w:pPr>
              <w:tabs>
                <w:tab w:val="left" w:pos="720"/>
              </w:tabs>
              <w:spacing w:before="60" w:after="60"/>
              <w:jc w:val="center"/>
              <w:rPr>
                <w:rFonts w:cs="Arial"/>
                <w:b/>
              </w:rPr>
            </w:pPr>
            <w:r w:rsidRPr="003C7E62">
              <w:rPr>
                <w:rFonts w:cs="Arial"/>
                <w:b/>
              </w:rPr>
              <w:t>Rented</w:t>
            </w:r>
          </w:p>
        </w:tc>
        <w:tc>
          <w:tcPr>
            <w:tcW w:w="16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D3B849" w14:textId="77777777" w:rsidR="00F9165A" w:rsidRPr="003C7E62" w:rsidRDefault="00F9165A" w:rsidP="006977E7">
            <w:pPr>
              <w:tabs>
                <w:tab w:val="left" w:pos="720"/>
              </w:tabs>
              <w:spacing w:before="60" w:after="60"/>
              <w:jc w:val="center"/>
              <w:rPr>
                <w:rFonts w:cs="Arial"/>
                <w:b/>
              </w:rPr>
            </w:pPr>
            <w:r w:rsidRPr="003C7E62">
              <w:rPr>
                <w:rFonts w:cs="Arial"/>
                <w:b/>
              </w:rPr>
              <w:t>Leasehold</w:t>
            </w:r>
          </w:p>
        </w:tc>
        <w:tc>
          <w:tcPr>
            <w:tcW w:w="16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519E16" w14:textId="77777777" w:rsidR="00F9165A" w:rsidRPr="003C7E62" w:rsidRDefault="00F9165A" w:rsidP="006977E7">
            <w:pPr>
              <w:tabs>
                <w:tab w:val="left" w:pos="720"/>
              </w:tabs>
              <w:spacing w:before="60" w:after="60"/>
              <w:jc w:val="center"/>
              <w:rPr>
                <w:rFonts w:cs="Arial"/>
                <w:b/>
              </w:rPr>
            </w:pPr>
            <w:r w:rsidRPr="003C7E62">
              <w:rPr>
                <w:rFonts w:cs="Arial"/>
                <w:b/>
              </w:rPr>
              <w:t>Total</w:t>
            </w:r>
          </w:p>
        </w:tc>
      </w:tr>
      <w:tr w:rsidR="00F9165A" w:rsidRPr="003C7E62" w14:paraId="7CA5A53D" w14:textId="77777777" w:rsidTr="006977E7">
        <w:tc>
          <w:tcPr>
            <w:tcW w:w="1729" w:type="dxa"/>
            <w:vMerge w:val="restart"/>
            <w:tcBorders>
              <w:top w:val="single" w:sz="4" w:space="0" w:color="auto"/>
              <w:left w:val="single" w:sz="4" w:space="0" w:color="auto"/>
              <w:right w:val="single" w:sz="4" w:space="0" w:color="auto"/>
            </w:tcBorders>
            <w:vAlign w:val="center"/>
          </w:tcPr>
          <w:p w14:paraId="06C15F6B" w14:textId="77777777" w:rsidR="00F9165A" w:rsidRPr="003C7E62" w:rsidRDefault="00F9165A" w:rsidP="00024CB3">
            <w:pPr>
              <w:tabs>
                <w:tab w:val="left" w:pos="720"/>
              </w:tabs>
              <w:spacing w:before="60" w:after="60"/>
              <w:rPr>
                <w:rFonts w:cs="Arial"/>
                <w:color w:val="000000"/>
              </w:rPr>
            </w:pPr>
            <w:r w:rsidRPr="003C7E62">
              <w:rPr>
                <w:rFonts w:cs="Arial"/>
                <w:color w:val="000000"/>
              </w:rPr>
              <w:t>Ashfield</w:t>
            </w:r>
          </w:p>
        </w:tc>
        <w:tc>
          <w:tcPr>
            <w:tcW w:w="2098" w:type="dxa"/>
            <w:tcBorders>
              <w:top w:val="single" w:sz="4" w:space="0" w:color="auto"/>
              <w:left w:val="single" w:sz="4" w:space="0" w:color="auto"/>
              <w:bottom w:val="single" w:sz="4" w:space="0" w:color="auto"/>
              <w:right w:val="single" w:sz="4" w:space="0" w:color="auto"/>
            </w:tcBorders>
            <w:hideMark/>
          </w:tcPr>
          <w:p w14:paraId="43764BB6" w14:textId="77777777" w:rsidR="00F9165A" w:rsidRPr="003C7E62" w:rsidRDefault="00F9165A" w:rsidP="00024CB3">
            <w:pPr>
              <w:tabs>
                <w:tab w:val="left" w:pos="720"/>
              </w:tabs>
              <w:spacing w:before="60" w:after="60"/>
              <w:rPr>
                <w:rFonts w:cs="Arial"/>
              </w:rPr>
            </w:pPr>
            <w:r w:rsidRPr="003C7E62">
              <w:rPr>
                <w:rFonts w:cs="Arial"/>
                <w:color w:val="000000"/>
              </w:rPr>
              <w:t>Housing with Support</w:t>
            </w:r>
          </w:p>
        </w:tc>
        <w:tc>
          <w:tcPr>
            <w:tcW w:w="1606" w:type="dxa"/>
            <w:tcBorders>
              <w:top w:val="single" w:sz="4" w:space="0" w:color="auto"/>
              <w:left w:val="single" w:sz="4" w:space="0" w:color="auto"/>
              <w:bottom w:val="single" w:sz="4" w:space="0" w:color="auto"/>
              <w:right w:val="single" w:sz="4" w:space="0" w:color="auto"/>
            </w:tcBorders>
            <w:vAlign w:val="bottom"/>
          </w:tcPr>
          <w:p w14:paraId="2C4355AB" w14:textId="77777777" w:rsidR="00F9165A" w:rsidRPr="003C7E62" w:rsidRDefault="00F9165A" w:rsidP="00024CB3">
            <w:pPr>
              <w:tabs>
                <w:tab w:val="left" w:pos="720"/>
              </w:tabs>
              <w:spacing w:before="60" w:after="60"/>
              <w:jc w:val="center"/>
              <w:rPr>
                <w:rFonts w:cs="Arial"/>
                <w:color w:val="000000"/>
              </w:rPr>
            </w:pPr>
            <w:r w:rsidRPr="003C7E62">
              <w:rPr>
                <w:rFonts w:cs="Arial"/>
                <w:color w:val="000000"/>
              </w:rPr>
              <w:t>1,037</w:t>
            </w:r>
          </w:p>
        </w:tc>
        <w:tc>
          <w:tcPr>
            <w:tcW w:w="1607" w:type="dxa"/>
            <w:tcBorders>
              <w:top w:val="single" w:sz="4" w:space="0" w:color="auto"/>
              <w:left w:val="single" w:sz="4" w:space="0" w:color="auto"/>
              <w:bottom w:val="single" w:sz="4" w:space="0" w:color="auto"/>
              <w:right w:val="single" w:sz="4" w:space="0" w:color="auto"/>
            </w:tcBorders>
            <w:vAlign w:val="bottom"/>
          </w:tcPr>
          <w:p w14:paraId="2E3A3EB7" w14:textId="77777777" w:rsidR="00F9165A" w:rsidRPr="003C7E62" w:rsidRDefault="00F9165A" w:rsidP="00024CB3">
            <w:pPr>
              <w:tabs>
                <w:tab w:val="left" w:pos="720"/>
              </w:tabs>
              <w:spacing w:before="60" w:after="60"/>
              <w:jc w:val="center"/>
              <w:rPr>
                <w:rFonts w:cs="Arial"/>
                <w:color w:val="000000"/>
              </w:rPr>
            </w:pPr>
            <w:r w:rsidRPr="003C7E62">
              <w:rPr>
                <w:rFonts w:cs="Arial"/>
                <w:color w:val="000000"/>
              </w:rPr>
              <w:t>1,426</w:t>
            </w:r>
          </w:p>
        </w:tc>
        <w:tc>
          <w:tcPr>
            <w:tcW w:w="1607" w:type="dxa"/>
            <w:tcBorders>
              <w:top w:val="single" w:sz="4" w:space="0" w:color="auto"/>
              <w:left w:val="single" w:sz="4" w:space="0" w:color="auto"/>
              <w:bottom w:val="single" w:sz="4" w:space="0" w:color="auto"/>
              <w:right w:val="single" w:sz="4" w:space="0" w:color="auto"/>
            </w:tcBorders>
            <w:vAlign w:val="bottom"/>
          </w:tcPr>
          <w:p w14:paraId="0B84B1CC" w14:textId="77777777" w:rsidR="00F9165A" w:rsidRPr="003C7E62" w:rsidRDefault="00F9165A" w:rsidP="00024CB3">
            <w:pPr>
              <w:tabs>
                <w:tab w:val="left" w:pos="720"/>
              </w:tabs>
              <w:spacing w:before="60" w:after="60"/>
              <w:jc w:val="center"/>
              <w:rPr>
                <w:rFonts w:cs="Arial"/>
                <w:color w:val="000000"/>
              </w:rPr>
            </w:pPr>
            <w:r w:rsidRPr="003C7E62">
              <w:rPr>
                <w:rFonts w:cs="Arial"/>
                <w:color w:val="000000"/>
              </w:rPr>
              <w:t>2,463</w:t>
            </w:r>
          </w:p>
        </w:tc>
      </w:tr>
      <w:tr w:rsidR="00F9165A" w:rsidRPr="003C7E62" w14:paraId="3E68B0D1" w14:textId="77777777" w:rsidTr="006977E7">
        <w:tc>
          <w:tcPr>
            <w:tcW w:w="1729" w:type="dxa"/>
            <w:vMerge/>
            <w:tcBorders>
              <w:left w:val="single" w:sz="4" w:space="0" w:color="auto"/>
              <w:bottom w:val="single" w:sz="4" w:space="0" w:color="auto"/>
              <w:right w:val="single" w:sz="4" w:space="0" w:color="auto"/>
            </w:tcBorders>
            <w:vAlign w:val="center"/>
          </w:tcPr>
          <w:p w14:paraId="79C115F5" w14:textId="77777777" w:rsidR="00F9165A" w:rsidRPr="003C7E62" w:rsidRDefault="00F9165A" w:rsidP="00024CB3">
            <w:pPr>
              <w:tabs>
                <w:tab w:val="left" w:pos="720"/>
              </w:tabs>
              <w:spacing w:before="60" w:after="60"/>
              <w:rPr>
                <w:rFonts w:cs="Arial"/>
                <w:color w:val="000000"/>
              </w:rPr>
            </w:pPr>
          </w:p>
        </w:tc>
        <w:tc>
          <w:tcPr>
            <w:tcW w:w="2098" w:type="dxa"/>
            <w:tcBorders>
              <w:top w:val="single" w:sz="4" w:space="0" w:color="auto"/>
              <w:left w:val="single" w:sz="4" w:space="0" w:color="auto"/>
              <w:bottom w:val="single" w:sz="4" w:space="0" w:color="auto"/>
              <w:right w:val="single" w:sz="4" w:space="0" w:color="auto"/>
            </w:tcBorders>
            <w:hideMark/>
          </w:tcPr>
          <w:p w14:paraId="7F74617E" w14:textId="77777777" w:rsidR="00F9165A" w:rsidRPr="003C7E62" w:rsidRDefault="00F9165A" w:rsidP="00024CB3">
            <w:pPr>
              <w:tabs>
                <w:tab w:val="left" w:pos="720"/>
              </w:tabs>
              <w:spacing w:before="60" w:after="60"/>
              <w:rPr>
                <w:rFonts w:cs="Arial"/>
              </w:rPr>
            </w:pPr>
            <w:r w:rsidRPr="003C7E62">
              <w:rPr>
                <w:rFonts w:cs="Arial"/>
                <w:color w:val="000000"/>
              </w:rPr>
              <w:t>Housing with Care</w:t>
            </w:r>
          </w:p>
        </w:tc>
        <w:tc>
          <w:tcPr>
            <w:tcW w:w="1606" w:type="dxa"/>
            <w:tcBorders>
              <w:top w:val="single" w:sz="4" w:space="0" w:color="auto"/>
              <w:left w:val="single" w:sz="4" w:space="0" w:color="auto"/>
              <w:bottom w:val="single" w:sz="4" w:space="0" w:color="auto"/>
              <w:right w:val="single" w:sz="4" w:space="0" w:color="auto"/>
            </w:tcBorders>
            <w:vAlign w:val="bottom"/>
          </w:tcPr>
          <w:p w14:paraId="2ECD2AF7" w14:textId="77777777" w:rsidR="00F9165A" w:rsidRPr="003C7E62" w:rsidRDefault="00F9165A" w:rsidP="00024CB3">
            <w:pPr>
              <w:tabs>
                <w:tab w:val="left" w:pos="720"/>
              </w:tabs>
              <w:spacing w:before="60" w:after="60"/>
              <w:jc w:val="center"/>
              <w:rPr>
                <w:rFonts w:cs="Arial"/>
                <w:color w:val="000000"/>
              </w:rPr>
            </w:pPr>
            <w:r w:rsidRPr="003C7E62">
              <w:rPr>
                <w:rFonts w:cs="Arial"/>
                <w:color w:val="000000"/>
              </w:rPr>
              <w:t>507</w:t>
            </w:r>
          </w:p>
        </w:tc>
        <w:tc>
          <w:tcPr>
            <w:tcW w:w="1607" w:type="dxa"/>
            <w:tcBorders>
              <w:top w:val="single" w:sz="4" w:space="0" w:color="auto"/>
              <w:left w:val="single" w:sz="4" w:space="0" w:color="auto"/>
              <w:bottom w:val="single" w:sz="4" w:space="0" w:color="auto"/>
              <w:right w:val="single" w:sz="4" w:space="0" w:color="auto"/>
            </w:tcBorders>
            <w:vAlign w:val="bottom"/>
          </w:tcPr>
          <w:p w14:paraId="0FF619E1" w14:textId="77777777" w:rsidR="00F9165A" w:rsidRPr="003C7E62" w:rsidRDefault="00F9165A" w:rsidP="00024CB3">
            <w:pPr>
              <w:tabs>
                <w:tab w:val="left" w:pos="720"/>
              </w:tabs>
              <w:spacing w:before="60" w:after="60"/>
              <w:jc w:val="center"/>
              <w:rPr>
                <w:rFonts w:cs="Arial"/>
                <w:color w:val="000000"/>
              </w:rPr>
            </w:pPr>
            <w:r w:rsidRPr="003C7E62">
              <w:rPr>
                <w:rFonts w:cs="Arial"/>
                <w:color w:val="000000"/>
              </w:rPr>
              <w:t>441</w:t>
            </w:r>
          </w:p>
        </w:tc>
        <w:tc>
          <w:tcPr>
            <w:tcW w:w="1607" w:type="dxa"/>
            <w:tcBorders>
              <w:top w:val="single" w:sz="4" w:space="0" w:color="auto"/>
              <w:left w:val="single" w:sz="4" w:space="0" w:color="auto"/>
              <w:bottom w:val="single" w:sz="4" w:space="0" w:color="auto"/>
              <w:right w:val="single" w:sz="4" w:space="0" w:color="auto"/>
            </w:tcBorders>
            <w:vAlign w:val="bottom"/>
          </w:tcPr>
          <w:p w14:paraId="6F4B7F89" w14:textId="77777777" w:rsidR="00F9165A" w:rsidRPr="003C7E62" w:rsidRDefault="00F9165A" w:rsidP="00024CB3">
            <w:pPr>
              <w:tabs>
                <w:tab w:val="left" w:pos="720"/>
              </w:tabs>
              <w:spacing w:before="60" w:after="60"/>
              <w:jc w:val="center"/>
              <w:rPr>
                <w:rFonts w:cs="Arial"/>
                <w:color w:val="000000"/>
              </w:rPr>
            </w:pPr>
            <w:r w:rsidRPr="003C7E62">
              <w:rPr>
                <w:rFonts w:cs="Arial"/>
                <w:color w:val="000000"/>
              </w:rPr>
              <w:t>948</w:t>
            </w:r>
          </w:p>
        </w:tc>
      </w:tr>
    </w:tbl>
    <w:p w14:paraId="6A77FE58" w14:textId="019F83DE" w:rsidR="00F9165A" w:rsidRDefault="00F906E1" w:rsidP="000447CA">
      <w:pPr>
        <w:pStyle w:val="Heading3"/>
      </w:pPr>
      <w:r>
        <w:t xml:space="preserve">    </w:t>
      </w:r>
      <w:r w:rsidR="00B845B1">
        <w:t>Table 9:</w:t>
      </w:r>
      <w:r w:rsidR="00B845B1" w:rsidRPr="00B845B1">
        <w:t xml:space="preserve"> </w:t>
      </w:r>
      <w:r w:rsidR="00B845B1" w:rsidRPr="003C7E62">
        <w:t>Need for Specialist Accommodation for Older People, 2020-38</w:t>
      </w:r>
    </w:p>
    <w:p w14:paraId="6B6D77FF" w14:textId="77777777" w:rsidR="00B845B1" w:rsidRPr="005E25A8" w:rsidRDefault="00B845B1" w:rsidP="00F906E1">
      <w:pPr>
        <w:spacing w:before="0"/>
        <w:ind w:left="993" w:hanging="142"/>
        <w:rPr>
          <w:rFonts w:eastAsia="Arial"/>
          <w:sz w:val="22"/>
          <w:szCs w:val="22"/>
          <w:lang w:eastAsia="en-US"/>
        </w:rPr>
      </w:pPr>
      <w:r w:rsidRPr="005E25A8">
        <w:rPr>
          <w:rFonts w:eastAsia="Arial"/>
          <w:sz w:val="22"/>
          <w:szCs w:val="22"/>
          <w:lang w:eastAsia="en-US"/>
        </w:rPr>
        <w:t xml:space="preserve">Source: </w:t>
      </w:r>
      <w:r w:rsidRPr="005E25A8">
        <w:rPr>
          <w:rFonts w:eastAsia="Arial" w:cs="Arial"/>
          <w:sz w:val="22"/>
          <w:szCs w:val="22"/>
        </w:rPr>
        <w:t>Greater Nottingham &amp; Ashfield Housing Needs Assessment 2020</w:t>
      </w:r>
    </w:p>
    <w:p w14:paraId="7BDF7050" w14:textId="77777777" w:rsidR="00B845B1" w:rsidRPr="00B845B1" w:rsidRDefault="00B845B1" w:rsidP="00B845B1">
      <w:pPr>
        <w:rPr>
          <w:lang w:eastAsia="en-US"/>
        </w:rPr>
      </w:pPr>
    </w:p>
    <w:p w14:paraId="228CA0F7" w14:textId="77777777"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hAnsi="Arial" w:cs="Arial"/>
          <w:szCs w:val="24"/>
        </w:rPr>
        <w:t xml:space="preserve">It is important to support the delivery of specialist housing </w:t>
      </w:r>
      <w:proofErr w:type="gramStart"/>
      <w:r w:rsidRPr="00F9165A">
        <w:rPr>
          <w:rFonts w:ascii="Arial" w:hAnsi="Arial" w:cs="Arial"/>
          <w:szCs w:val="24"/>
        </w:rPr>
        <w:t>in particular as</w:t>
      </w:r>
      <w:proofErr w:type="gramEnd"/>
      <w:r w:rsidRPr="00F9165A">
        <w:rPr>
          <w:rFonts w:ascii="Arial" w:hAnsi="Arial" w:cs="Arial"/>
          <w:szCs w:val="24"/>
        </w:rPr>
        <w:t xml:space="preserve"> a by-product of doing so will be the release of existing mainstream housing, including family housing, for other groups within the community. This may include sheltered housing, retirement schemes and extra care housing</w:t>
      </w:r>
      <w:r w:rsidRPr="00F9165A">
        <w:rPr>
          <w:rFonts w:ascii="Arial" w:eastAsia="Arial" w:hAnsi="Arial" w:cs="Arial"/>
          <w:vertAlign w:val="superscript"/>
        </w:rPr>
        <w:footnoteReference w:id="95"/>
      </w:r>
      <w:r w:rsidRPr="00F9165A">
        <w:rPr>
          <w:rFonts w:ascii="Arial" w:hAnsi="Arial" w:cs="Arial"/>
          <w:szCs w:val="24"/>
        </w:rPr>
        <w:t xml:space="preserve">. It is also considered that the provision of adaptable dwellings will make a valuable contribution towards meeting the future needs of the elderly or those with disabilities, enabling them to stay in their own home if desired.  </w:t>
      </w:r>
      <w:r w:rsidRPr="00F9165A">
        <w:rPr>
          <w:rFonts w:ascii="Arial" w:eastAsia="Calibri" w:hAnsi="Arial" w:cs="Arial"/>
          <w:szCs w:val="24"/>
        </w:rPr>
        <w:t>For many vulnerable older people, having the chance to avoid residential care and live in specially designed housing as tenants or owner-occupiers is an important element in retaining independence and dignity in older age. Many such individuals can be cared for in their own homes, particularly with the development of assistive technology (telecare and telemedicine), use of appropriate aids or adaptations to the dwelling, and new models of housing related care and/or support services.</w:t>
      </w:r>
    </w:p>
    <w:p w14:paraId="0807EEF6" w14:textId="77777777" w:rsidR="00F9165A" w:rsidRPr="00F9165A" w:rsidRDefault="00F9165A" w:rsidP="00F9165A">
      <w:pPr>
        <w:pStyle w:val="ListParagraph"/>
        <w:spacing w:after="0" w:line="240" w:lineRule="auto"/>
        <w:rPr>
          <w:rFonts w:ascii="Arial" w:hAnsi="Arial" w:cs="Arial"/>
          <w:szCs w:val="24"/>
        </w:rPr>
      </w:pPr>
    </w:p>
    <w:p w14:paraId="661E57CC" w14:textId="77777777"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proofErr w:type="gramStart"/>
      <w:r w:rsidRPr="00F9165A">
        <w:rPr>
          <w:rFonts w:ascii="Arial" w:hAnsi="Arial" w:cs="Arial"/>
          <w:szCs w:val="24"/>
        </w:rPr>
        <w:t>In light of</w:t>
      </w:r>
      <w:proofErr w:type="gramEnd"/>
      <w:r w:rsidRPr="00F9165A">
        <w:rPr>
          <w:rFonts w:ascii="Arial" w:hAnsi="Arial" w:cs="Arial"/>
          <w:szCs w:val="24"/>
        </w:rPr>
        <w:t xml:space="preserve"> the above evidence, the Council will require that 10% of new housing built as part of major housing developments (10 dwellings and over) is accessible and easily adaptable for occupation by the elderly or people with disabilities (to comply with Building Regulations M4 (Category 2). Site specific factors such as vulnerability to flooding and site topography may make it less suitable for M4 (2) compliant dwellings, particularly where</w:t>
      </w:r>
      <w:r w:rsidR="001C256D" w:rsidRPr="00F9165A">
        <w:rPr>
          <w:rFonts w:ascii="Arial" w:hAnsi="Arial" w:cs="Arial"/>
          <w:szCs w:val="24"/>
        </w:rPr>
        <w:t xml:space="preserve"> </w:t>
      </w:r>
      <w:r w:rsidRPr="00F9165A">
        <w:rPr>
          <w:rFonts w:ascii="Arial" w:hAnsi="Arial" w:cs="Arial"/>
          <w:szCs w:val="24"/>
        </w:rPr>
        <w:t>step-free access cannot be achieved or is not viable. Where step-free access is not possible, the requirement will not be applied.</w:t>
      </w:r>
    </w:p>
    <w:p w14:paraId="351B2512" w14:textId="77777777" w:rsidR="00F9165A" w:rsidRPr="00F9165A" w:rsidRDefault="00F9165A" w:rsidP="00F9165A">
      <w:pPr>
        <w:pStyle w:val="ListParagraph"/>
        <w:spacing w:after="0" w:line="240" w:lineRule="auto"/>
        <w:rPr>
          <w:rFonts w:ascii="Arial" w:hAnsi="Arial" w:cs="Arial"/>
          <w:szCs w:val="24"/>
        </w:rPr>
      </w:pPr>
    </w:p>
    <w:p w14:paraId="66F73EEA" w14:textId="77777777"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hAnsi="Arial" w:cs="Arial"/>
          <w:szCs w:val="24"/>
        </w:rPr>
        <w:t>The requirement for 10% adaptable dwellings on large sites will contribute towards future needs for specialist housing.</w:t>
      </w:r>
      <w:r w:rsidRPr="00F9165A">
        <w:rPr>
          <w:rFonts w:ascii="Arial" w:eastAsia="Arial" w:hAnsi="Arial" w:cs="Arial"/>
          <w:b/>
        </w:rPr>
        <w:t xml:space="preserve"> </w:t>
      </w:r>
      <w:r w:rsidRPr="00F9165A">
        <w:rPr>
          <w:rFonts w:ascii="Arial" w:eastAsia="Arial" w:hAnsi="Arial" w:cs="Arial"/>
        </w:rPr>
        <w:t xml:space="preserve">The Council will also </w:t>
      </w:r>
      <w:r w:rsidRPr="00F9165A">
        <w:rPr>
          <w:rFonts w:ascii="Arial" w:eastAsia="Arial" w:hAnsi="Arial" w:cs="Arial"/>
          <w:color w:val="auto"/>
        </w:rPr>
        <w:t xml:space="preserve">encourage </w:t>
      </w:r>
      <w:r w:rsidRPr="00F9165A">
        <w:rPr>
          <w:rFonts w:ascii="Arial" w:eastAsia="Arial" w:hAnsi="Arial" w:cs="Arial"/>
        </w:rPr>
        <w:t xml:space="preserve">proposals which include supported/specialist accommodation and residential institutions, where they are in suitable </w:t>
      </w:r>
      <w:r w:rsidRPr="00F9165A">
        <w:rPr>
          <w:rFonts w:ascii="Arial" w:eastAsia="Arial" w:hAnsi="Arial" w:cs="Arial"/>
          <w:color w:val="auto"/>
        </w:rPr>
        <w:t>locations</w:t>
      </w:r>
      <w:r w:rsidRPr="00F9165A">
        <w:rPr>
          <w:rFonts w:ascii="Arial" w:eastAsia="Arial" w:hAnsi="Arial" w:cs="Arial"/>
          <w:b/>
        </w:rPr>
        <w:t>.</w:t>
      </w:r>
      <w:r w:rsidRPr="00F9165A">
        <w:rPr>
          <w:rFonts w:ascii="Arial" w:eastAsia="Arial" w:hAnsi="Arial" w:cs="Arial"/>
          <w:b/>
          <w:szCs w:val="24"/>
        </w:rPr>
        <w:t xml:space="preserve"> </w:t>
      </w:r>
      <w:r w:rsidRPr="00F9165A">
        <w:rPr>
          <w:rFonts w:ascii="Arial" w:hAnsi="Arial" w:cs="Arial"/>
          <w:szCs w:val="24"/>
        </w:rPr>
        <w:t xml:space="preserve">It is acknowledged that applications for this type of accommodation will contain mainly one-bed and two bed homes. The final mix of housing on such schemes will therefore be determined on a </w:t>
      </w:r>
      <w:proofErr w:type="gramStart"/>
      <w:r w:rsidRPr="00F9165A">
        <w:rPr>
          <w:rFonts w:ascii="Arial" w:hAnsi="Arial" w:cs="Arial"/>
          <w:szCs w:val="24"/>
        </w:rPr>
        <w:t>site by site</w:t>
      </w:r>
      <w:proofErr w:type="gramEnd"/>
      <w:r w:rsidRPr="00F9165A">
        <w:rPr>
          <w:rFonts w:ascii="Arial" w:hAnsi="Arial" w:cs="Arial"/>
          <w:szCs w:val="24"/>
        </w:rPr>
        <w:t xml:space="preserve"> basis according to identified needs in the locality (in consultation with the Council’s Housing Strategy team). </w:t>
      </w:r>
    </w:p>
    <w:p w14:paraId="36358215" w14:textId="77777777" w:rsidR="00F9165A" w:rsidRPr="00F9165A" w:rsidRDefault="00F9165A" w:rsidP="00F9165A">
      <w:pPr>
        <w:pStyle w:val="ListParagraph"/>
        <w:spacing w:after="0" w:line="240" w:lineRule="auto"/>
        <w:rPr>
          <w:rFonts w:ascii="Arial" w:hAnsi="Arial" w:cs="Arial"/>
          <w:szCs w:val="24"/>
        </w:rPr>
      </w:pPr>
    </w:p>
    <w:p w14:paraId="78F4034F" w14:textId="23CB76AA" w:rsidR="00F9165A" w:rsidRPr="00EC5B14"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EC5B14">
        <w:rPr>
          <w:rFonts w:ascii="Arial" w:hAnsi="Arial" w:cs="Arial"/>
          <w:szCs w:val="24"/>
        </w:rPr>
        <w:t xml:space="preserve">The HNA also identifies a need for 1,252 care home bedspaces across Ashfield to 2038.  For the avoidance of doubt, these are additional bedspaces and fall within a </w:t>
      </w:r>
      <w:r w:rsidRPr="00EC5B14">
        <w:rPr>
          <w:rFonts w:ascii="Arial" w:hAnsi="Arial" w:cs="Arial"/>
          <w:szCs w:val="24"/>
        </w:rPr>
        <w:lastRenderedPageBreak/>
        <w:t xml:space="preserve">C2 use class. Netting off </w:t>
      </w:r>
      <w:r w:rsidR="00EC5B14" w:rsidRPr="00EC5B14">
        <w:rPr>
          <w:rFonts w:ascii="Arial" w:hAnsi="Arial" w:cs="Arial"/>
          <w:szCs w:val="24"/>
        </w:rPr>
        <w:t>9</w:t>
      </w:r>
      <w:r w:rsidRPr="00EC5B14">
        <w:rPr>
          <w:rFonts w:ascii="Arial" w:hAnsi="Arial" w:cs="Arial"/>
          <w:szCs w:val="24"/>
        </w:rPr>
        <w:t>5 new bed spaces delivered 2020-202</w:t>
      </w:r>
      <w:r w:rsidR="00EC5B14" w:rsidRPr="00EC5B14">
        <w:rPr>
          <w:rFonts w:ascii="Arial" w:hAnsi="Arial" w:cs="Arial"/>
          <w:szCs w:val="24"/>
        </w:rPr>
        <w:t>3</w:t>
      </w:r>
      <w:r w:rsidRPr="00EC5B14">
        <w:rPr>
          <w:rFonts w:ascii="Arial" w:hAnsi="Arial" w:cs="Arial"/>
          <w:szCs w:val="24"/>
        </w:rPr>
        <w:t>, the balance of requirement for 202</w:t>
      </w:r>
      <w:r w:rsidR="00EC5B14" w:rsidRPr="00EC5B14">
        <w:rPr>
          <w:rFonts w:ascii="Arial" w:hAnsi="Arial" w:cs="Arial"/>
          <w:szCs w:val="24"/>
        </w:rPr>
        <w:t>3</w:t>
      </w:r>
      <w:r w:rsidRPr="00EC5B14">
        <w:rPr>
          <w:rFonts w:ascii="Arial" w:hAnsi="Arial" w:cs="Arial"/>
          <w:szCs w:val="24"/>
        </w:rPr>
        <w:t xml:space="preserve"> to 2038 will be 11</w:t>
      </w:r>
      <w:r w:rsidR="00EC5B14" w:rsidRPr="00EC5B14">
        <w:rPr>
          <w:rFonts w:ascii="Arial" w:hAnsi="Arial" w:cs="Arial"/>
          <w:szCs w:val="24"/>
        </w:rPr>
        <w:t>4</w:t>
      </w:r>
      <w:r w:rsidRPr="00EC5B14">
        <w:rPr>
          <w:rFonts w:ascii="Arial" w:hAnsi="Arial" w:cs="Arial"/>
          <w:szCs w:val="24"/>
        </w:rPr>
        <w:t>7. As of April 202</w:t>
      </w:r>
      <w:r w:rsidR="00EC5B14" w:rsidRPr="00EC5B14">
        <w:rPr>
          <w:rFonts w:ascii="Arial" w:hAnsi="Arial" w:cs="Arial"/>
          <w:szCs w:val="24"/>
        </w:rPr>
        <w:t>3</w:t>
      </w:r>
      <w:r w:rsidRPr="00EC5B14">
        <w:rPr>
          <w:rFonts w:ascii="Arial" w:hAnsi="Arial" w:cs="Arial"/>
          <w:szCs w:val="24"/>
        </w:rPr>
        <w:t xml:space="preserve">, the District has outstanding planning approvals for an additional </w:t>
      </w:r>
      <w:r w:rsidR="00EC5B14" w:rsidRPr="00EC5B14">
        <w:rPr>
          <w:rFonts w:ascii="Arial" w:hAnsi="Arial" w:cs="Arial"/>
          <w:szCs w:val="24"/>
        </w:rPr>
        <w:t>9</w:t>
      </w:r>
      <w:r w:rsidRPr="00EC5B14">
        <w:rPr>
          <w:rFonts w:ascii="Arial" w:hAnsi="Arial" w:cs="Arial"/>
          <w:szCs w:val="24"/>
        </w:rPr>
        <w:t xml:space="preserve"> bedspaces on C2 schemes which will contribute towards the supply, giving a final requirement for </w:t>
      </w:r>
      <w:r w:rsidRPr="00EC5B14">
        <w:rPr>
          <w:rFonts w:ascii="Arial" w:hAnsi="Arial" w:cs="Arial"/>
          <w:bCs/>
          <w:szCs w:val="24"/>
        </w:rPr>
        <w:t>1,1</w:t>
      </w:r>
      <w:r w:rsidR="00EC5B14" w:rsidRPr="00EC5B14">
        <w:rPr>
          <w:rFonts w:ascii="Arial" w:hAnsi="Arial" w:cs="Arial"/>
          <w:bCs/>
          <w:szCs w:val="24"/>
        </w:rPr>
        <w:t>37</w:t>
      </w:r>
      <w:r w:rsidRPr="00EC5B14">
        <w:rPr>
          <w:rFonts w:ascii="Arial" w:hAnsi="Arial" w:cs="Arial"/>
          <w:b/>
          <w:szCs w:val="24"/>
        </w:rPr>
        <w:t xml:space="preserve"> </w:t>
      </w:r>
      <w:r w:rsidRPr="00EC5B14">
        <w:rPr>
          <w:rFonts w:ascii="Arial" w:hAnsi="Arial" w:cs="Arial"/>
          <w:szCs w:val="24"/>
        </w:rPr>
        <w:t xml:space="preserve">bedspaces over the remainder of the plan </w:t>
      </w:r>
      <w:proofErr w:type="gramStart"/>
      <w:r w:rsidRPr="00EC5B14">
        <w:rPr>
          <w:rFonts w:ascii="Arial" w:hAnsi="Arial" w:cs="Arial"/>
          <w:szCs w:val="24"/>
        </w:rPr>
        <w:t>period .</w:t>
      </w:r>
      <w:proofErr w:type="gramEnd"/>
      <w:r w:rsidRPr="00EC5B14">
        <w:rPr>
          <w:rFonts w:ascii="Arial" w:hAnsi="Arial" w:cs="Arial"/>
          <w:szCs w:val="24"/>
        </w:rPr>
        <w:t xml:space="preserve"> Having assessed the hectarage/bedspace ratio of recently delivered C2 schemes in Ashfield, this equates to approximately 6.</w:t>
      </w:r>
      <w:r w:rsidR="00EC5B14" w:rsidRPr="00EC5B14">
        <w:rPr>
          <w:rFonts w:ascii="Arial" w:hAnsi="Arial" w:cs="Arial"/>
          <w:szCs w:val="24"/>
        </w:rPr>
        <w:t>6</w:t>
      </w:r>
      <w:r w:rsidRPr="00EC5B14">
        <w:rPr>
          <w:rFonts w:ascii="Arial" w:hAnsi="Arial" w:cs="Arial"/>
          <w:szCs w:val="24"/>
        </w:rPr>
        <w:t xml:space="preserve"> hectares of land.</w:t>
      </w:r>
    </w:p>
    <w:p w14:paraId="442FDFF7" w14:textId="77777777" w:rsidR="00F9165A" w:rsidRPr="00EC5B14" w:rsidRDefault="00F9165A" w:rsidP="00F9165A">
      <w:pPr>
        <w:pStyle w:val="ListParagraph"/>
        <w:spacing w:after="0" w:line="240" w:lineRule="auto"/>
        <w:rPr>
          <w:rFonts w:ascii="Arial" w:hAnsi="Arial" w:cs="Arial"/>
          <w:szCs w:val="24"/>
        </w:rPr>
      </w:pPr>
    </w:p>
    <w:p w14:paraId="22B41739" w14:textId="72A5A714"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EC5B14">
        <w:rPr>
          <w:rFonts w:ascii="Arial" w:hAnsi="Arial" w:cs="Arial"/>
          <w:szCs w:val="24"/>
        </w:rPr>
        <w:t>Although the HNA identifies the need for additional C2 schemes to 2038,</w:t>
      </w:r>
      <w:r w:rsidRPr="00F9165A">
        <w:rPr>
          <w:rFonts w:ascii="Arial" w:hAnsi="Arial" w:cs="Arial"/>
          <w:szCs w:val="24"/>
        </w:rPr>
        <w:t xml:space="preserve"> it is considered inappropriate to apportion this need equally as an annual requirement over the plan period. Evidence held by Nottinghamshire County Council </w:t>
      </w:r>
      <w:r w:rsidRPr="00126BAD">
        <w:rPr>
          <w:rFonts w:ascii="Arial" w:hAnsi="Arial" w:cs="Arial"/>
          <w:szCs w:val="24"/>
        </w:rPr>
        <w:t>(NCC</w:t>
      </w:r>
      <w:r w:rsidR="00126BAD" w:rsidRPr="00126BAD">
        <w:rPr>
          <w:rFonts w:ascii="Arial" w:hAnsi="Arial" w:cs="Arial"/>
          <w:szCs w:val="24"/>
        </w:rPr>
        <w:t xml:space="preserve"> Adult Social Care</w:t>
      </w:r>
      <w:r w:rsidRPr="00126BAD">
        <w:rPr>
          <w:rFonts w:ascii="Arial" w:hAnsi="Arial" w:cs="Arial"/>
          <w:szCs w:val="24"/>
        </w:rPr>
        <w:t xml:space="preserve"> Market Position Statement </w:t>
      </w:r>
      <w:r w:rsidRPr="004C67D8">
        <w:rPr>
          <w:rFonts w:ascii="Arial" w:hAnsi="Arial" w:cs="Arial"/>
          <w:color w:val="auto"/>
          <w:szCs w:val="24"/>
        </w:rPr>
        <w:t>20</w:t>
      </w:r>
      <w:r w:rsidR="00126BAD" w:rsidRPr="004C67D8">
        <w:rPr>
          <w:rFonts w:ascii="Arial" w:hAnsi="Arial" w:cs="Arial"/>
          <w:color w:val="auto"/>
          <w:szCs w:val="24"/>
        </w:rPr>
        <w:t>23-</w:t>
      </w:r>
      <w:r w:rsidRPr="004C67D8">
        <w:rPr>
          <w:rFonts w:ascii="Arial" w:hAnsi="Arial" w:cs="Arial"/>
          <w:color w:val="auto"/>
          <w:szCs w:val="24"/>
        </w:rPr>
        <w:t>20</w:t>
      </w:r>
      <w:r w:rsidR="00126BAD" w:rsidRPr="004C67D8">
        <w:rPr>
          <w:rFonts w:ascii="Arial" w:hAnsi="Arial" w:cs="Arial"/>
          <w:color w:val="auto"/>
          <w:szCs w:val="24"/>
        </w:rPr>
        <w:t>25</w:t>
      </w:r>
      <w:r w:rsidRPr="004C67D8">
        <w:rPr>
          <w:rFonts w:ascii="Arial" w:hAnsi="Arial" w:cs="Arial"/>
          <w:color w:val="auto"/>
          <w:szCs w:val="24"/>
        </w:rPr>
        <w:t xml:space="preserve">) </w:t>
      </w:r>
      <w:r w:rsidRPr="00126BAD">
        <w:rPr>
          <w:rFonts w:ascii="Arial" w:hAnsi="Arial" w:cs="Arial"/>
          <w:szCs w:val="24"/>
        </w:rPr>
        <w:t>a</w:t>
      </w:r>
      <w:r w:rsidRPr="00F9165A">
        <w:rPr>
          <w:rFonts w:ascii="Arial" w:hAnsi="Arial" w:cs="Arial"/>
          <w:szCs w:val="24"/>
        </w:rPr>
        <w:t xml:space="preserve">nd information supplied by the Clinical Commissioning Groups (CCGs) indicate a current over-provision of this type of development in Ashfield. </w:t>
      </w:r>
      <w:r w:rsidRPr="00F9165A">
        <w:rPr>
          <w:rFonts w:ascii="Arial" w:hAnsi="Arial" w:cs="Arial"/>
          <w:iCs/>
          <w:szCs w:val="24"/>
        </w:rPr>
        <w:t xml:space="preserve">The strategic direction of both the CCG and the County Council is to support people in their own homes for as long as is possible and feasible rather than placement in a care home. </w:t>
      </w:r>
      <w:r w:rsidRPr="00F9165A">
        <w:rPr>
          <w:rFonts w:ascii="Arial" w:hAnsi="Arial" w:cs="Arial"/>
          <w:szCs w:val="24"/>
        </w:rPr>
        <w:t xml:space="preserve">It is likely therefore, that any new delivery will come forward later in the plan period (anticipated beyond the first 10 years) as demographic changes and market dictates the need demand.  </w:t>
      </w:r>
    </w:p>
    <w:p w14:paraId="71EB9CB4" w14:textId="77777777" w:rsidR="00F9165A" w:rsidRPr="00F9165A" w:rsidRDefault="00F9165A" w:rsidP="00F9165A">
      <w:pPr>
        <w:pStyle w:val="ListParagraph"/>
        <w:spacing w:after="0" w:line="240" w:lineRule="auto"/>
        <w:rPr>
          <w:rFonts w:ascii="Arial" w:hAnsi="Arial" w:cs="Arial"/>
          <w:szCs w:val="24"/>
        </w:rPr>
      </w:pPr>
    </w:p>
    <w:p w14:paraId="45041BD6" w14:textId="3075D4FA" w:rsidR="00F9165A" w:rsidRPr="00F9165A"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hAnsi="Arial" w:cs="Arial"/>
          <w:szCs w:val="24"/>
        </w:rPr>
        <w:t>In the light of current evidence, it is not proposed to allocate land specifically for residential care homes</w:t>
      </w:r>
      <w:r w:rsidRPr="00EC5B14">
        <w:rPr>
          <w:rFonts w:ascii="Arial" w:hAnsi="Arial" w:cs="Arial"/>
          <w:color w:val="auto"/>
          <w:szCs w:val="24"/>
        </w:rPr>
        <w:t xml:space="preserve">, </w:t>
      </w:r>
      <w:r w:rsidR="00EC5B14" w:rsidRPr="00EC5B14">
        <w:rPr>
          <w:rFonts w:ascii="Arial" w:hAnsi="Arial" w:cs="Arial"/>
          <w:color w:val="auto"/>
          <w:szCs w:val="24"/>
        </w:rPr>
        <w:t xml:space="preserve">other than those with current planning permission, </w:t>
      </w:r>
      <w:r w:rsidRPr="00F9165A">
        <w:rPr>
          <w:rFonts w:ascii="Arial" w:hAnsi="Arial" w:cs="Arial"/>
          <w:szCs w:val="24"/>
        </w:rPr>
        <w:t xml:space="preserve">but to ensure that a supply of general housing land is provided sufficient to meet the LHN </w:t>
      </w:r>
      <w:r w:rsidRPr="00F9165A">
        <w:rPr>
          <w:rFonts w:ascii="Arial" w:eastAsia="Calibri" w:hAnsi="Arial" w:cs="Arial"/>
          <w:color w:val="auto"/>
          <w:szCs w:val="24"/>
        </w:rPr>
        <w:t>which includes the forecast need from this sector.</w:t>
      </w:r>
    </w:p>
    <w:p w14:paraId="49ACBE54" w14:textId="77777777" w:rsidR="00F9165A" w:rsidRPr="00F9165A" w:rsidRDefault="00F9165A" w:rsidP="00F9165A">
      <w:pPr>
        <w:pStyle w:val="ListParagraph"/>
        <w:spacing w:after="0" w:line="240" w:lineRule="auto"/>
        <w:rPr>
          <w:rFonts w:ascii="Arial" w:eastAsia="Arial" w:hAnsi="Arial" w:cs="Arial"/>
          <w:b/>
          <w:szCs w:val="24"/>
        </w:rPr>
      </w:pPr>
    </w:p>
    <w:p w14:paraId="319A29D5" w14:textId="00811D53" w:rsidR="00F9165A" w:rsidRPr="00876153" w:rsidRDefault="00AE58B3" w:rsidP="00874A98">
      <w:pPr>
        <w:pStyle w:val="ListParagraph"/>
        <w:numPr>
          <w:ilvl w:val="1"/>
          <w:numId w:val="92"/>
        </w:numPr>
        <w:autoSpaceDE w:val="0"/>
        <w:autoSpaceDN w:val="0"/>
        <w:adjustRightInd w:val="0"/>
        <w:spacing w:after="0" w:line="240" w:lineRule="auto"/>
        <w:ind w:left="851" w:hanging="851"/>
        <w:rPr>
          <w:rFonts w:ascii="Arial" w:hAnsi="Arial" w:cs="Arial"/>
          <w:strike/>
          <w:color w:val="auto"/>
          <w:szCs w:val="24"/>
        </w:rPr>
      </w:pPr>
      <w:r w:rsidRPr="00F9165A">
        <w:rPr>
          <w:rFonts w:ascii="Arial" w:eastAsia="Arial" w:hAnsi="Arial" w:cs="Arial"/>
          <w:b/>
          <w:szCs w:val="24"/>
        </w:rPr>
        <w:t>H6:</w:t>
      </w:r>
      <w:r w:rsidR="00EC780D">
        <w:rPr>
          <w:rFonts w:ascii="Arial" w:eastAsia="Arial" w:hAnsi="Arial" w:cs="Arial"/>
          <w:b/>
          <w:szCs w:val="24"/>
        </w:rPr>
        <w:t>3</w:t>
      </w:r>
      <w:r w:rsidRPr="00F9165A">
        <w:rPr>
          <w:rFonts w:ascii="Arial" w:hAnsi="Arial" w:cs="Arial"/>
          <w:szCs w:val="24"/>
        </w:rPr>
        <w:t xml:space="preserve"> The development of self-build properties by individuals or community groups (including Community Land Trusts) can contribute to meeting the need for additional housing within the </w:t>
      </w:r>
      <w:proofErr w:type="gramStart"/>
      <w:r w:rsidRPr="00F9165A">
        <w:rPr>
          <w:rFonts w:ascii="Arial" w:hAnsi="Arial" w:cs="Arial"/>
          <w:szCs w:val="24"/>
        </w:rPr>
        <w:t>District</w:t>
      </w:r>
      <w:proofErr w:type="gramEnd"/>
      <w:r w:rsidRPr="00F9165A">
        <w:rPr>
          <w:rFonts w:ascii="Arial" w:hAnsi="Arial" w:cs="Arial"/>
          <w:szCs w:val="24"/>
        </w:rPr>
        <w:t xml:space="preserve"> and provide a more diverse housing stock. The Council, working with Mansfield District Council and Newark and Sherwood District Council, have set up a custom/self-build register for the Nottingham Outer Housing Market Area. The level of demand for such sites is monitored against small sites coming forward through the planning application process in an annual monitoring report</w:t>
      </w:r>
      <w:r w:rsidRPr="00F9165A">
        <w:rPr>
          <w:rStyle w:val="FootnoteReference"/>
          <w:rFonts w:ascii="Arial" w:hAnsi="Arial" w:cs="Arial"/>
          <w:szCs w:val="24"/>
        </w:rPr>
        <w:footnoteReference w:id="96"/>
      </w:r>
      <w:r w:rsidRPr="00F9165A">
        <w:rPr>
          <w:rFonts w:ascii="Arial" w:hAnsi="Arial" w:cs="Arial"/>
          <w:szCs w:val="24"/>
        </w:rPr>
        <w:t xml:space="preserve">.  </w:t>
      </w:r>
      <w:r w:rsidR="002513CC" w:rsidRPr="007A4EBE">
        <w:rPr>
          <w:rFonts w:ascii="Arial" w:hAnsi="Arial" w:cs="Arial"/>
          <w:strike/>
          <w:szCs w:val="24"/>
        </w:rPr>
        <w:t>S</w:t>
      </w:r>
      <w:r w:rsidRPr="007A4EBE">
        <w:rPr>
          <w:rFonts w:ascii="Arial" w:eastAsia="Calibri" w:hAnsi="Arial" w:cs="Arial"/>
          <w:strike/>
          <w:szCs w:val="24"/>
        </w:rPr>
        <w:t>hould demand exceed that which it is possible to accommodate through either voluntary measures or through Council owned sites</w:t>
      </w:r>
      <w:r w:rsidR="00334080">
        <w:rPr>
          <w:rFonts w:ascii="Arial" w:eastAsia="Calibri" w:hAnsi="Arial" w:cs="Arial"/>
          <w:strike/>
          <w:szCs w:val="24"/>
        </w:rPr>
        <w:t>,</w:t>
      </w:r>
      <w:r w:rsidRPr="00D11CB5">
        <w:rPr>
          <w:rFonts w:ascii="Arial" w:eastAsia="Calibri" w:hAnsi="Arial" w:cs="Arial"/>
          <w:szCs w:val="24"/>
        </w:rPr>
        <w:t xml:space="preserve"> </w:t>
      </w:r>
      <w:r w:rsidRPr="00876153">
        <w:rPr>
          <w:rFonts w:ascii="Arial" w:eastAsia="Calibri" w:hAnsi="Arial" w:cs="Arial"/>
          <w:strike/>
          <w:szCs w:val="24"/>
        </w:rPr>
        <w:t xml:space="preserve">an SPD may be required setting out how development sites outside of the Council control can contribute to meeting established demand in line with government policy. </w:t>
      </w:r>
    </w:p>
    <w:p w14:paraId="02439504" w14:textId="231E06A3" w:rsidR="00F9165A" w:rsidRDefault="00F9165A" w:rsidP="00F9165A">
      <w:pPr>
        <w:pStyle w:val="ListParagraph"/>
        <w:spacing w:after="0" w:line="240" w:lineRule="auto"/>
        <w:rPr>
          <w:rFonts w:ascii="Arial" w:eastAsia="Arial" w:hAnsi="Arial" w:cs="Arial"/>
          <w:bCs/>
          <w:iCs/>
          <w:szCs w:val="24"/>
        </w:rPr>
      </w:pPr>
    </w:p>
    <w:p w14:paraId="09B015D2" w14:textId="3E2BA23B" w:rsidR="00B845B1" w:rsidRDefault="00B845B1">
      <w:pPr>
        <w:keepNext w:val="0"/>
        <w:spacing w:before="0"/>
        <w:rPr>
          <w:b/>
          <w:sz w:val="28"/>
          <w:szCs w:val="28"/>
          <w:lang w:eastAsia="en-US"/>
        </w:rPr>
      </w:pPr>
      <w:bookmarkStart w:id="245" w:name="_Toc145511594"/>
    </w:p>
    <w:p w14:paraId="06A7E90C" w14:textId="77777777" w:rsidR="00F906E1" w:rsidRDefault="00F906E1">
      <w:pPr>
        <w:keepNext w:val="0"/>
        <w:spacing w:before="0"/>
        <w:rPr>
          <w:b/>
          <w:sz w:val="28"/>
          <w:szCs w:val="28"/>
          <w:lang w:eastAsia="en-US"/>
        </w:rPr>
      </w:pPr>
    </w:p>
    <w:p w14:paraId="02EB9715" w14:textId="61A17270" w:rsidR="003D483E" w:rsidRPr="00995322" w:rsidRDefault="003D483E" w:rsidP="00995322">
      <w:pPr>
        <w:pStyle w:val="Heading2"/>
        <w:jc w:val="left"/>
        <w:rPr>
          <w:sz w:val="28"/>
          <w:szCs w:val="28"/>
        </w:rPr>
      </w:pPr>
      <w:r w:rsidRPr="00995322">
        <w:rPr>
          <w:sz w:val="28"/>
          <w:szCs w:val="28"/>
        </w:rPr>
        <w:t>Policy H7: Housing Density</w:t>
      </w:r>
      <w:bookmarkEnd w:id="245"/>
    </w:p>
    <w:p w14:paraId="1D927D34" w14:textId="77777777" w:rsidR="003D483E" w:rsidRPr="00F9165A" w:rsidRDefault="003D483E" w:rsidP="00F9165A">
      <w:pPr>
        <w:pStyle w:val="ListParagraph"/>
        <w:spacing w:after="0" w:line="240" w:lineRule="auto"/>
        <w:rPr>
          <w:rFonts w:ascii="Arial" w:eastAsia="Arial" w:hAnsi="Arial" w:cs="Arial"/>
          <w:bCs/>
          <w:iCs/>
          <w:szCs w:val="24"/>
        </w:rPr>
      </w:pPr>
    </w:p>
    <w:p w14:paraId="24B34A90" w14:textId="6A17644D" w:rsidR="00A462AA" w:rsidRPr="006977E7" w:rsidRDefault="00A462AA"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F9165A">
        <w:rPr>
          <w:rFonts w:ascii="Arial" w:eastAsia="Arial" w:hAnsi="Arial" w:cs="Arial"/>
          <w:bCs/>
          <w:iCs/>
          <w:szCs w:val="24"/>
        </w:rPr>
        <w:t>This policy aims to promote efficient use of land through optimising density, whilst reflecting the specific characteristics of a site and its surrounding area. F</w:t>
      </w:r>
      <w:r w:rsidRPr="00F9165A">
        <w:rPr>
          <w:rFonts w:ascii="Arial" w:hAnsi="Arial" w:cs="Arial"/>
          <w:szCs w:val="24"/>
        </w:rPr>
        <w:t xml:space="preserve">actors </w:t>
      </w:r>
      <w:r w:rsidRPr="00F9165A">
        <w:rPr>
          <w:rFonts w:ascii="Arial" w:hAnsi="Arial" w:cs="Arial"/>
          <w:szCs w:val="24"/>
        </w:rPr>
        <w:lastRenderedPageBreak/>
        <w:t>affecting density may include on-site constraints, the type of development proposed, and the level of transport accessibility. Whilst higher densities may be appropriate as part of major developments, or in town centre locations with good public transport and dense urban form, lower densities may be appropriate in established suburban areas or villages, in areas with an open character, or on the edge of settlements.</w:t>
      </w:r>
    </w:p>
    <w:p w14:paraId="41ABB88D" w14:textId="34971D40" w:rsidR="006977E7" w:rsidRDefault="006977E7" w:rsidP="00263F59">
      <w:pPr>
        <w:pStyle w:val="ListParagraph"/>
        <w:spacing w:after="0" w:line="240" w:lineRule="auto"/>
        <w:rPr>
          <w:rFonts w:ascii="Arial" w:hAnsi="Arial" w:cs="Arial"/>
          <w:color w:val="auto"/>
          <w:szCs w:val="24"/>
        </w:rPr>
      </w:pPr>
    </w:p>
    <w:p w14:paraId="448F9B87" w14:textId="77777777" w:rsidR="00B958CB" w:rsidRPr="00B958CB" w:rsidRDefault="00B958CB" w:rsidP="006977E7">
      <w:pPr>
        <w:keepNext w:val="0"/>
        <w:spacing w:before="0"/>
        <w:jc w:val="both"/>
        <w:rPr>
          <w:rFonts w:eastAsia="Calibri"/>
          <w:color w:val="auto"/>
          <w:szCs w:val="22"/>
        </w:rPr>
      </w:pPr>
    </w:p>
    <w:tbl>
      <w:tblPr>
        <w:tblStyle w:val="TableGrid15"/>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526"/>
        <w:gridCol w:w="7093"/>
      </w:tblGrid>
      <w:tr w:rsidR="00B958CB" w:rsidRPr="00B958CB" w14:paraId="5F071F03" w14:textId="77777777" w:rsidTr="005352FB">
        <w:tc>
          <w:tcPr>
            <w:tcW w:w="9742" w:type="dxa"/>
            <w:gridSpan w:val="2"/>
          </w:tcPr>
          <w:p w14:paraId="562BFF14" w14:textId="70E5962D" w:rsidR="00B958CB" w:rsidRDefault="00B958CB" w:rsidP="00FF3EAD">
            <w:pPr>
              <w:keepNext w:val="0"/>
              <w:spacing w:before="0"/>
              <w:jc w:val="left"/>
              <w:rPr>
                <w:b/>
                <w:bCs/>
                <w:color w:val="auto"/>
              </w:rPr>
            </w:pPr>
            <w:r w:rsidRPr="00B958CB">
              <w:rPr>
                <w:b/>
                <w:bCs/>
                <w:color w:val="auto"/>
              </w:rPr>
              <w:t>Policy H7: Housing Density</w:t>
            </w:r>
          </w:p>
          <w:p w14:paraId="544E6860" w14:textId="791C851F" w:rsidR="005352FB" w:rsidRPr="00B958CB" w:rsidRDefault="005352FB" w:rsidP="00FF3EAD">
            <w:pPr>
              <w:keepNext w:val="0"/>
              <w:spacing w:before="0"/>
              <w:jc w:val="left"/>
              <w:rPr>
                <w:b/>
                <w:bCs/>
                <w:color w:val="auto"/>
              </w:rPr>
            </w:pPr>
          </w:p>
        </w:tc>
      </w:tr>
      <w:tr w:rsidR="00B958CB" w:rsidRPr="00B958CB" w14:paraId="29764259" w14:textId="77777777" w:rsidTr="005352FB">
        <w:tc>
          <w:tcPr>
            <w:tcW w:w="2547" w:type="dxa"/>
          </w:tcPr>
          <w:p w14:paraId="2F3DA4C3" w14:textId="77777777" w:rsidR="00B958CB" w:rsidRPr="00B958CB" w:rsidRDefault="00B958CB" w:rsidP="00FF3EAD">
            <w:pPr>
              <w:keepNext w:val="0"/>
              <w:spacing w:before="0"/>
              <w:jc w:val="left"/>
              <w:rPr>
                <w:color w:val="auto"/>
              </w:rPr>
            </w:pPr>
            <w:r w:rsidRPr="00B958CB">
              <w:rPr>
                <w:color w:val="auto"/>
              </w:rPr>
              <w:t>Strategic Objectives</w:t>
            </w:r>
          </w:p>
        </w:tc>
        <w:tc>
          <w:tcPr>
            <w:tcW w:w="7195" w:type="dxa"/>
          </w:tcPr>
          <w:p w14:paraId="6AE68B2E" w14:textId="77777777" w:rsidR="00B958CB" w:rsidRPr="00B958CB" w:rsidRDefault="00B958CB" w:rsidP="00FF3EAD">
            <w:pPr>
              <w:keepNext w:val="0"/>
              <w:spacing w:before="0"/>
              <w:jc w:val="left"/>
              <w:rPr>
                <w:color w:val="auto"/>
              </w:rPr>
            </w:pPr>
            <w:r w:rsidRPr="00B958CB">
              <w:rPr>
                <w:color w:val="auto"/>
              </w:rPr>
              <w:t>SO1, SO2, SO3, SO4, SO5, SO7, SO8, SO9, SO12, SO14.</w:t>
            </w:r>
          </w:p>
        </w:tc>
      </w:tr>
      <w:tr w:rsidR="00B958CB" w:rsidRPr="00B958CB" w14:paraId="2CEB61A8" w14:textId="77777777" w:rsidTr="005352FB">
        <w:tc>
          <w:tcPr>
            <w:tcW w:w="9742" w:type="dxa"/>
            <w:gridSpan w:val="2"/>
            <w:shd w:val="clear" w:color="auto" w:fill="F7CAAC"/>
          </w:tcPr>
          <w:p w14:paraId="38DC13B1" w14:textId="77777777" w:rsidR="00B958CB" w:rsidRPr="00B958CB" w:rsidRDefault="00B958CB" w:rsidP="00FF3EAD">
            <w:pPr>
              <w:keepNext w:val="0"/>
              <w:spacing w:before="0"/>
              <w:jc w:val="left"/>
              <w:rPr>
                <w:rFonts w:cs="Arial"/>
                <w:color w:val="auto"/>
              </w:rPr>
            </w:pPr>
          </w:p>
          <w:p w14:paraId="5FA4FC75" w14:textId="3F23900F" w:rsidR="00B958CB" w:rsidRPr="00B958CB" w:rsidRDefault="00B958CB" w:rsidP="00874A98">
            <w:pPr>
              <w:pStyle w:val="ListParagraph"/>
              <w:numPr>
                <w:ilvl w:val="0"/>
                <w:numId w:val="277"/>
              </w:numPr>
              <w:spacing w:after="0" w:line="240" w:lineRule="auto"/>
              <w:ind w:left="357" w:hanging="357"/>
              <w:jc w:val="left"/>
              <w:rPr>
                <w:rFonts w:ascii="Arial" w:hAnsi="Arial" w:cs="Arial"/>
                <w:color w:val="auto"/>
              </w:rPr>
            </w:pPr>
            <w:r w:rsidRPr="00B958CB">
              <w:rPr>
                <w:rFonts w:ascii="Arial" w:hAnsi="Arial" w:cs="Arial"/>
                <w:color w:val="auto"/>
              </w:rPr>
              <w:t>To promote efficient use of land proposals for housing developments will be expected to optimise density, whilst reflecting the specific characteristics of the site and its surrounding area (in terms of built form and landscape). Proposed residential development on sites of 0.4 hectares or greater</w:t>
            </w:r>
            <w:r w:rsidR="004C67D8">
              <w:rPr>
                <w:rFonts w:ascii="Arial" w:hAnsi="Arial" w:cs="Arial"/>
                <w:color w:val="auto"/>
              </w:rPr>
              <w:t>, w</w:t>
            </w:r>
            <w:r w:rsidRPr="00B958CB">
              <w:rPr>
                <w:rFonts w:ascii="Arial" w:hAnsi="Arial" w:cs="Arial"/>
                <w:color w:val="auto"/>
              </w:rPr>
              <w:t>ill be permitted subject to the following minimum density requirements:</w:t>
            </w:r>
          </w:p>
          <w:p w14:paraId="70197537" w14:textId="7A0A74A2" w:rsidR="00B958CB" w:rsidRPr="00D74E6D" w:rsidRDefault="00B958CB" w:rsidP="00D74E6D">
            <w:pPr>
              <w:rPr>
                <w:rFonts w:cs="Arial"/>
                <w:color w:val="auto"/>
              </w:rPr>
            </w:pPr>
            <w:r w:rsidRPr="00D74E6D">
              <w:rPr>
                <w:rFonts w:cs="Arial"/>
                <w:color w:val="auto"/>
              </w:rPr>
              <w:t xml:space="preserve"> </w:t>
            </w:r>
          </w:p>
          <w:tbl>
            <w:tblPr>
              <w:tblStyle w:val="TableGrid"/>
              <w:tblW w:w="0" w:type="auto"/>
              <w:tblInd w:w="447" w:type="dxa"/>
              <w:tblLook w:val="04A0" w:firstRow="1" w:lastRow="0" w:firstColumn="1" w:lastColumn="0" w:noHBand="0" w:noVBand="1"/>
            </w:tblPr>
            <w:tblGrid>
              <w:gridCol w:w="5240"/>
              <w:gridCol w:w="3549"/>
            </w:tblGrid>
            <w:tr w:rsidR="00D74E6D" w14:paraId="2E51C12C" w14:textId="77777777" w:rsidTr="00876153">
              <w:tc>
                <w:tcPr>
                  <w:tcW w:w="5240" w:type="dxa"/>
                </w:tcPr>
                <w:p w14:paraId="2D639B9D" w14:textId="6FDEE4CF" w:rsidR="00D74E6D" w:rsidRPr="004C67D8" w:rsidRDefault="00D74E6D" w:rsidP="00783C77">
                  <w:pPr>
                    <w:pStyle w:val="ListParagraph"/>
                    <w:spacing w:after="0" w:line="240" w:lineRule="auto"/>
                    <w:ind w:left="0"/>
                    <w:rPr>
                      <w:rFonts w:ascii="Arial" w:hAnsi="Arial" w:cs="Arial"/>
                      <w:color w:val="auto"/>
                    </w:rPr>
                  </w:pPr>
                  <w:r w:rsidRPr="004C67D8">
                    <w:rPr>
                      <w:rFonts w:ascii="Arial" w:hAnsi="Arial" w:cs="Arial"/>
                      <w:color w:val="auto"/>
                    </w:rPr>
                    <w:t>Within 400m of district shopping centres/major public transport nodes</w:t>
                  </w:r>
                </w:p>
              </w:tc>
              <w:tc>
                <w:tcPr>
                  <w:tcW w:w="3549" w:type="dxa"/>
                </w:tcPr>
                <w:p w14:paraId="6155A96E" w14:textId="04515FA3" w:rsidR="00D74E6D" w:rsidRDefault="00D74E6D" w:rsidP="00876153">
                  <w:pPr>
                    <w:rPr>
                      <w:rFonts w:cs="Arial"/>
                      <w:color w:val="auto"/>
                    </w:rPr>
                  </w:pPr>
                  <w:r w:rsidRPr="00D74E6D">
                    <w:rPr>
                      <w:rFonts w:cs="Arial"/>
                      <w:color w:val="auto"/>
                    </w:rPr>
                    <w:t>40 dwellings per hectare</w:t>
                  </w:r>
                  <w:r w:rsidR="00876153">
                    <w:rPr>
                      <w:rFonts w:cs="Arial"/>
                      <w:color w:val="auto"/>
                    </w:rPr>
                    <w:t xml:space="preserve"> </w:t>
                  </w:r>
                  <w:r w:rsidR="00876153" w:rsidRPr="00E56F9C">
                    <w:rPr>
                      <w:rFonts w:cs="Arial"/>
                      <w:color w:val="005AA8"/>
                    </w:rPr>
                    <w:t>(Net)</w:t>
                  </w:r>
                </w:p>
              </w:tc>
            </w:tr>
            <w:tr w:rsidR="00D74E6D" w14:paraId="4303AAD7" w14:textId="77777777" w:rsidTr="00876153">
              <w:tc>
                <w:tcPr>
                  <w:tcW w:w="5240" w:type="dxa"/>
                </w:tcPr>
                <w:p w14:paraId="116C7128" w14:textId="0F460705" w:rsidR="00D74E6D" w:rsidRPr="004C67D8" w:rsidRDefault="00D74E6D" w:rsidP="00783C77">
                  <w:pPr>
                    <w:pStyle w:val="ListParagraph"/>
                    <w:spacing w:after="0" w:line="240" w:lineRule="auto"/>
                    <w:ind w:left="0"/>
                    <w:rPr>
                      <w:rFonts w:ascii="Arial" w:hAnsi="Arial" w:cs="Arial"/>
                      <w:color w:val="auto"/>
                    </w:rPr>
                  </w:pPr>
                  <w:r w:rsidRPr="004C67D8">
                    <w:rPr>
                      <w:rFonts w:ascii="Arial" w:hAnsi="Arial" w:cs="Arial"/>
                      <w:color w:val="auto"/>
                    </w:rPr>
                    <w:t xml:space="preserve">Within 1Km of district shopping centres/major public transport nodes   </w:t>
                  </w:r>
                </w:p>
              </w:tc>
              <w:tc>
                <w:tcPr>
                  <w:tcW w:w="3549" w:type="dxa"/>
                </w:tcPr>
                <w:p w14:paraId="083DB98A" w14:textId="1A3F2A95" w:rsidR="00D74E6D" w:rsidRDefault="00D74E6D" w:rsidP="00876153">
                  <w:pPr>
                    <w:rPr>
                      <w:rFonts w:cs="Arial"/>
                      <w:color w:val="auto"/>
                    </w:rPr>
                  </w:pPr>
                  <w:r w:rsidRPr="00B958CB">
                    <w:rPr>
                      <w:rFonts w:cs="Arial"/>
                      <w:color w:val="auto"/>
                    </w:rPr>
                    <w:t>34 dwellings per hectare</w:t>
                  </w:r>
                  <w:r w:rsidR="00876153">
                    <w:rPr>
                      <w:rFonts w:cs="Arial"/>
                      <w:color w:val="auto"/>
                    </w:rPr>
                    <w:t xml:space="preserve"> </w:t>
                  </w:r>
                  <w:r w:rsidR="00876153" w:rsidRPr="00E56F9C">
                    <w:rPr>
                      <w:rFonts w:cs="Arial"/>
                      <w:color w:val="005AA8"/>
                    </w:rPr>
                    <w:t>(Net)</w:t>
                  </w:r>
                  <w:r w:rsidR="00876153">
                    <w:rPr>
                      <w:rFonts w:cs="Arial"/>
                      <w:color w:val="auto"/>
                    </w:rPr>
                    <w:t xml:space="preserve">  </w:t>
                  </w:r>
                </w:p>
              </w:tc>
            </w:tr>
            <w:tr w:rsidR="00D74E6D" w14:paraId="5FF9A378" w14:textId="77777777" w:rsidTr="00876153">
              <w:tc>
                <w:tcPr>
                  <w:tcW w:w="5240" w:type="dxa"/>
                </w:tcPr>
                <w:p w14:paraId="7EBDCD6C" w14:textId="0AF3BC82" w:rsidR="00D74E6D" w:rsidRPr="004C67D8" w:rsidRDefault="00D74E6D" w:rsidP="00783C77">
                  <w:pPr>
                    <w:pStyle w:val="ListParagraph"/>
                    <w:spacing w:after="0" w:line="240" w:lineRule="auto"/>
                    <w:ind w:left="0"/>
                    <w:rPr>
                      <w:rFonts w:ascii="Arial" w:hAnsi="Arial" w:cs="Arial"/>
                      <w:color w:val="auto"/>
                    </w:rPr>
                  </w:pPr>
                  <w:r w:rsidRPr="004C67D8">
                    <w:rPr>
                      <w:rFonts w:ascii="Arial" w:hAnsi="Arial" w:cs="Arial"/>
                      <w:color w:val="auto"/>
                    </w:rPr>
                    <w:t>Over 1km from district shopping centres/major public transport nodes</w:t>
                  </w:r>
                </w:p>
              </w:tc>
              <w:tc>
                <w:tcPr>
                  <w:tcW w:w="3549" w:type="dxa"/>
                </w:tcPr>
                <w:p w14:paraId="527EA7D6" w14:textId="42FDB615" w:rsidR="00D74E6D" w:rsidRDefault="00D74E6D" w:rsidP="00876153">
                  <w:pPr>
                    <w:rPr>
                      <w:rFonts w:cs="Arial"/>
                      <w:color w:val="auto"/>
                    </w:rPr>
                  </w:pPr>
                  <w:r w:rsidRPr="00B958CB">
                    <w:rPr>
                      <w:rFonts w:cs="Arial"/>
                      <w:color w:val="auto"/>
                    </w:rPr>
                    <w:t>30 dwellings per hectare</w:t>
                  </w:r>
                  <w:r w:rsidR="00876153">
                    <w:rPr>
                      <w:rFonts w:cs="Arial"/>
                      <w:color w:val="auto"/>
                    </w:rPr>
                    <w:t xml:space="preserve"> </w:t>
                  </w:r>
                  <w:r w:rsidR="00876153" w:rsidRPr="00E56F9C">
                    <w:rPr>
                      <w:rFonts w:cs="Arial"/>
                      <w:color w:val="005AA8"/>
                    </w:rPr>
                    <w:t>(Net)</w:t>
                  </w:r>
                </w:p>
              </w:tc>
            </w:tr>
          </w:tbl>
          <w:p w14:paraId="2302CB58" w14:textId="77777777" w:rsidR="00783C77" w:rsidRPr="00B958CB" w:rsidRDefault="00783C77" w:rsidP="00783C77">
            <w:pPr>
              <w:pStyle w:val="ListParagraph"/>
              <w:spacing w:after="0" w:line="240" w:lineRule="auto"/>
              <w:ind w:left="717"/>
              <w:jc w:val="left"/>
              <w:rPr>
                <w:rFonts w:ascii="Arial" w:hAnsi="Arial" w:cs="Arial"/>
                <w:color w:val="auto"/>
              </w:rPr>
            </w:pPr>
          </w:p>
          <w:p w14:paraId="5B6E0868" w14:textId="3F73FC5B" w:rsidR="00B958CB" w:rsidRDefault="00B958CB" w:rsidP="00874A98">
            <w:pPr>
              <w:pStyle w:val="ListParagraph"/>
              <w:numPr>
                <w:ilvl w:val="0"/>
                <w:numId w:val="277"/>
              </w:numPr>
              <w:spacing w:after="0" w:line="240" w:lineRule="auto"/>
              <w:ind w:left="357" w:hanging="357"/>
              <w:jc w:val="left"/>
              <w:rPr>
                <w:rFonts w:ascii="Arial" w:hAnsi="Arial" w:cs="Arial"/>
                <w:color w:val="auto"/>
              </w:rPr>
            </w:pPr>
            <w:r w:rsidRPr="00B958CB">
              <w:rPr>
                <w:rFonts w:ascii="Arial" w:hAnsi="Arial" w:cs="Arial"/>
                <w:color w:val="auto"/>
              </w:rPr>
              <w:t>Development schemes on sites delivering greater than 500 dwellings will be expected to provide a range of housing densities throughout the site.</w:t>
            </w:r>
          </w:p>
          <w:p w14:paraId="0F6FE2B6" w14:textId="77777777" w:rsidR="00696066" w:rsidRDefault="00696066" w:rsidP="00696066">
            <w:pPr>
              <w:pStyle w:val="ListParagraph"/>
              <w:spacing w:after="0" w:line="240" w:lineRule="auto"/>
              <w:ind w:left="357"/>
              <w:jc w:val="left"/>
              <w:rPr>
                <w:rFonts w:ascii="Arial" w:hAnsi="Arial" w:cs="Arial"/>
                <w:color w:val="auto"/>
              </w:rPr>
            </w:pPr>
          </w:p>
          <w:p w14:paraId="516680A2" w14:textId="7FC7C6AD" w:rsidR="00696066" w:rsidRPr="00E56F9C" w:rsidRDefault="00696066" w:rsidP="00874A98">
            <w:pPr>
              <w:pStyle w:val="ListParagraph"/>
              <w:numPr>
                <w:ilvl w:val="0"/>
                <w:numId w:val="277"/>
              </w:numPr>
              <w:spacing w:after="0" w:line="240" w:lineRule="auto"/>
              <w:ind w:left="357" w:hanging="357"/>
              <w:jc w:val="left"/>
              <w:rPr>
                <w:rFonts w:ascii="Arial" w:hAnsi="Arial" w:cs="Arial"/>
                <w:color w:val="005AA8"/>
              </w:rPr>
            </w:pPr>
            <w:r w:rsidRPr="00E56F9C">
              <w:rPr>
                <w:rFonts w:ascii="Arial" w:hAnsi="Arial" w:cs="Arial"/>
                <w:color w:val="005AA8"/>
              </w:rPr>
              <w:t>Lower densities may be acceptable where it would otherwise result in significant adverse impacts to the surrounding area’s historic environment, settlement pattern or landscape character</w:t>
            </w:r>
          </w:p>
          <w:p w14:paraId="27456974" w14:textId="77777777" w:rsidR="00B958CB" w:rsidRPr="00B958CB" w:rsidRDefault="00B958CB" w:rsidP="00FF3EAD">
            <w:pPr>
              <w:keepNext w:val="0"/>
              <w:spacing w:before="0"/>
              <w:jc w:val="left"/>
              <w:rPr>
                <w:rFonts w:cs="Arial"/>
                <w:color w:val="auto"/>
              </w:rPr>
            </w:pPr>
          </w:p>
        </w:tc>
      </w:tr>
      <w:tr w:rsidR="00B958CB" w:rsidRPr="00B958CB" w14:paraId="610B0AEF" w14:textId="77777777" w:rsidTr="005352FB">
        <w:tc>
          <w:tcPr>
            <w:tcW w:w="2547" w:type="dxa"/>
          </w:tcPr>
          <w:p w14:paraId="5D0E2DB1" w14:textId="77777777" w:rsidR="00B958CB" w:rsidRPr="00B958CB" w:rsidRDefault="00B958CB" w:rsidP="000032A9">
            <w:pPr>
              <w:keepNext w:val="0"/>
              <w:spacing w:before="0"/>
              <w:jc w:val="left"/>
              <w:rPr>
                <w:color w:val="auto"/>
              </w:rPr>
            </w:pPr>
            <w:r w:rsidRPr="00B958CB">
              <w:rPr>
                <w:color w:val="auto"/>
                <w:sz w:val="20"/>
                <w:szCs w:val="20"/>
              </w:rPr>
              <w:t>Evidence Base</w:t>
            </w:r>
          </w:p>
        </w:tc>
        <w:tc>
          <w:tcPr>
            <w:tcW w:w="7195" w:type="dxa"/>
          </w:tcPr>
          <w:p w14:paraId="03FBB9F8" w14:textId="483F6BD0" w:rsidR="00B958CB" w:rsidRPr="004C67D8" w:rsidRDefault="00B958CB" w:rsidP="00874A98">
            <w:pPr>
              <w:keepNext w:val="0"/>
              <w:numPr>
                <w:ilvl w:val="0"/>
                <w:numId w:val="273"/>
              </w:numPr>
              <w:spacing w:before="0"/>
              <w:contextualSpacing/>
              <w:jc w:val="left"/>
              <w:rPr>
                <w:color w:val="auto"/>
                <w:sz w:val="20"/>
                <w:szCs w:val="20"/>
              </w:rPr>
            </w:pPr>
            <w:r w:rsidRPr="004C67D8">
              <w:rPr>
                <w:color w:val="auto"/>
                <w:sz w:val="20"/>
                <w:szCs w:val="20"/>
              </w:rPr>
              <w:t>Background Paper No 2</w:t>
            </w:r>
            <w:r w:rsidR="00F906E1">
              <w:rPr>
                <w:color w:val="auto"/>
                <w:sz w:val="20"/>
                <w:szCs w:val="20"/>
              </w:rPr>
              <w:t>:</w:t>
            </w:r>
            <w:r w:rsidRPr="004C67D8">
              <w:rPr>
                <w:color w:val="auto"/>
                <w:sz w:val="20"/>
                <w:szCs w:val="20"/>
              </w:rPr>
              <w:t xml:space="preserve"> Housing 202</w:t>
            </w:r>
            <w:r w:rsidR="00D74E6D" w:rsidRPr="004C67D8">
              <w:rPr>
                <w:color w:val="auto"/>
                <w:sz w:val="20"/>
                <w:szCs w:val="20"/>
              </w:rPr>
              <w:t>3</w:t>
            </w:r>
            <w:r w:rsidRPr="004C67D8">
              <w:rPr>
                <w:color w:val="auto"/>
                <w:sz w:val="20"/>
                <w:szCs w:val="20"/>
              </w:rPr>
              <w:t>. Ashfield District Council.</w:t>
            </w:r>
          </w:p>
          <w:p w14:paraId="6B1A0A53" w14:textId="32E85F79" w:rsidR="00B958CB" w:rsidRPr="004C67D8" w:rsidRDefault="00B958CB" w:rsidP="00874A98">
            <w:pPr>
              <w:keepNext w:val="0"/>
              <w:numPr>
                <w:ilvl w:val="0"/>
                <w:numId w:val="273"/>
              </w:numPr>
              <w:spacing w:before="0"/>
              <w:contextualSpacing/>
              <w:jc w:val="left"/>
              <w:rPr>
                <w:color w:val="auto"/>
                <w:sz w:val="20"/>
                <w:szCs w:val="20"/>
              </w:rPr>
            </w:pPr>
            <w:r w:rsidRPr="004C67D8">
              <w:rPr>
                <w:color w:val="auto"/>
                <w:sz w:val="20"/>
                <w:szCs w:val="20"/>
              </w:rPr>
              <w:t>Sustainability Appraisal, 202</w:t>
            </w:r>
            <w:r w:rsidR="007641C1" w:rsidRPr="004C67D8">
              <w:rPr>
                <w:color w:val="auto"/>
                <w:sz w:val="20"/>
                <w:szCs w:val="20"/>
              </w:rPr>
              <w:t>3</w:t>
            </w:r>
            <w:r w:rsidRPr="004C67D8">
              <w:rPr>
                <w:color w:val="auto"/>
                <w:sz w:val="20"/>
                <w:szCs w:val="20"/>
              </w:rPr>
              <w:t xml:space="preserve">.  </w:t>
            </w:r>
            <w:r w:rsidR="007641C1" w:rsidRPr="004C67D8">
              <w:rPr>
                <w:color w:val="auto"/>
                <w:sz w:val="20"/>
                <w:szCs w:val="20"/>
              </w:rPr>
              <w:t>WSP UK Limited</w:t>
            </w:r>
            <w:r w:rsidRPr="004C67D8">
              <w:rPr>
                <w:color w:val="auto"/>
                <w:sz w:val="20"/>
                <w:szCs w:val="20"/>
              </w:rPr>
              <w:t>.</w:t>
            </w:r>
          </w:p>
        </w:tc>
      </w:tr>
      <w:tr w:rsidR="00B958CB" w:rsidRPr="00B958CB" w14:paraId="1FAB22A3" w14:textId="77777777" w:rsidTr="005352FB">
        <w:tc>
          <w:tcPr>
            <w:tcW w:w="2547" w:type="dxa"/>
          </w:tcPr>
          <w:p w14:paraId="7FAF6B88" w14:textId="77777777" w:rsidR="00B958CB" w:rsidRPr="00B958CB" w:rsidRDefault="00B958CB" w:rsidP="000032A9">
            <w:pPr>
              <w:keepNext w:val="0"/>
              <w:spacing w:before="0"/>
              <w:jc w:val="left"/>
              <w:rPr>
                <w:color w:val="auto"/>
              </w:rPr>
            </w:pPr>
            <w:r w:rsidRPr="00B958CB">
              <w:rPr>
                <w:color w:val="auto"/>
                <w:sz w:val="20"/>
                <w:szCs w:val="20"/>
              </w:rPr>
              <w:t>National Planning Policy and Guidance</w:t>
            </w:r>
          </w:p>
        </w:tc>
        <w:tc>
          <w:tcPr>
            <w:tcW w:w="7195" w:type="dxa"/>
          </w:tcPr>
          <w:p w14:paraId="07BD3227" w14:textId="0DAE25BE" w:rsidR="00B958CB" w:rsidRPr="004C67D8" w:rsidRDefault="00B958CB" w:rsidP="00874A98">
            <w:pPr>
              <w:keepNext w:val="0"/>
              <w:numPr>
                <w:ilvl w:val="0"/>
                <w:numId w:val="276"/>
              </w:numPr>
              <w:spacing w:before="0"/>
              <w:contextualSpacing/>
              <w:jc w:val="left"/>
              <w:rPr>
                <w:color w:val="auto"/>
                <w:sz w:val="20"/>
                <w:szCs w:val="20"/>
              </w:rPr>
            </w:pPr>
            <w:r w:rsidRPr="004C67D8">
              <w:rPr>
                <w:color w:val="auto"/>
                <w:sz w:val="20"/>
                <w:szCs w:val="20"/>
              </w:rPr>
              <w:t>NPPF 202</w:t>
            </w:r>
            <w:r w:rsidR="004173E0" w:rsidRPr="004C67D8">
              <w:rPr>
                <w:color w:val="auto"/>
                <w:sz w:val="20"/>
                <w:szCs w:val="20"/>
              </w:rPr>
              <w:t>3</w:t>
            </w:r>
            <w:r w:rsidRPr="004C67D8">
              <w:rPr>
                <w:color w:val="auto"/>
                <w:sz w:val="20"/>
                <w:szCs w:val="20"/>
              </w:rPr>
              <w:t>, Part 2: Achieving sustainable development.</w:t>
            </w:r>
          </w:p>
          <w:p w14:paraId="6CF36EF3" w14:textId="77777777" w:rsidR="00F906E1" w:rsidRDefault="00B958CB" w:rsidP="00A44712">
            <w:pPr>
              <w:keepNext w:val="0"/>
              <w:numPr>
                <w:ilvl w:val="0"/>
                <w:numId w:val="276"/>
              </w:numPr>
              <w:spacing w:before="0"/>
              <w:contextualSpacing/>
              <w:jc w:val="left"/>
              <w:rPr>
                <w:color w:val="auto"/>
                <w:sz w:val="20"/>
                <w:szCs w:val="20"/>
              </w:rPr>
            </w:pPr>
            <w:r w:rsidRPr="00F906E1">
              <w:rPr>
                <w:color w:val="auto"/>
                <w:sz w:val="20"/>
                <w:szCs w:val="20"/>
              </w:rPr>
              <w:t>NPPF 202</w:t>
            </w:r>
            <w:r w:rsidR="004173E0" w:rsidRPr="00F906E1">
              <w:rPr>
                <w:color w:val="auto"/>
                <w:sz w:val="20"/>
                <w:szCs w:val="20"/>
              </w:rPr>
              <w:t>3</w:t>
            </w:r>
            <w:r w:rsidRPr="00F906E1">
              <w:rPr>
                <w:color w:val="auto"/>
                <w:sz w:val="20"/>
                <w:szCs w:val="20"/>
              </w:rPr>
              <w:t>, Part 5: Delivering a sufficient supply of homes.</w:t>
            </w:r>
          </w:p>
          <w:p w14:paraId="509F022C" w14:textId="77777777" w:rsidR="00F906E1" w:rsidRDefault="00B958CB" w:rsidP="00F906E1">
            <w:pPr>
              <w:keepNext w:val="0"/>
              <w:numPr>
                <w:ilvl w:val="0"/>
                <w:numId w:val="276"/>
              </w:numPr>
              <w:spacing w:before="0"/>
              <w:contextualSpacing/>
              <w:jc w:val="left"/>
              <w:rPr>
                <w:color w:val="auto"/>
                <w:sz w:val="20"/>
                <w:szCs w:val="20"/>
              </w:rPr>
            </w:pPr>
            <w:r w:rsidRPr="00F906E1">
              <w:rPr>
                <w:color w:val="auto"/>
                <w:sz w:val="20"/>
                <w:szCs w:val="20"/>
              </w:rPr>
              <w:t>NPPF 202</w:t>
            </w:r>
            <w:r w:rsidR="004173E0" w:rsidRPr="00F906E1">
              <w:rPr>
                <w:color w:val="auto"/>
                <w:sz w:val="20"/>
                <w:szCs w:val="20"/>
              </w:rPr>
              <w:t>3</w:t>
            </w:r>
            <w:r w:rsidRPr="00F906E1">
              <w:rPr>
                <w:color w:val="auto"/>
                <w:sz w:val="20"/>
                <w:szCs w:val="20"/>
              </w:rPr>
              <w:t>, Part 11: Making effective use of land.</w:t>
            </w:r>
            <w:bookmarkStart w:id="246" w:name="_Hlk139638601"/>
          </w:p>
          <w:p w14:paraId="47F1BB4C" w14:textId="14C1246C" w:rsidR="00B958CB" w:rsidRPr="004C67D8" w:rsidRDefault="00B958CB" w:rsidP="00F906E1">
            <w:pPr>
              <w:keepNext w:val="0"/>
              <w:numPr>
                <w:ilvl w:val="0"/>
                <w:numId w:val="276"/>
              </w:numPr>
              <w:spacing w:before="0"/>
              <w:contextualSpacing/>
              <w:jc w:val="left"/>
              <w:rPr>
                <w:color w:val="auto"/>
                <w:sz w:val="20"/>
                <w:szCs w:val="20"/>
              </w:rPr>
            </w:pPr>
            <w:r w:rsidRPr="004C67D8">
              <w:rPr>
                <w:color w:val="auto"/>
                <w:sz w:val="20"/>
                <w:szCs w:val="20"/>
              </w:rPr>
              <w:t xml:space="preserve">Planning Practice Guidance: </w:t>
            </w:r>
            <w:r w:rsidR="00BB665C" w:rsidRPr="004C67D8">
              <w:rPr>
                <w:color w:val="auto"/>
                <w:sz w:val="20"/>
                <w:szCs w:val="20"/>
              </w:rPr>
              <w:t>E</w:t>
            </w:r>
            <w:r w:rsidRPr="004C67D8">
              <w:rPr>
                <w:color w:val="auto"/>
                <w:sz w:val="20"/>
                <w:szCs w:val="20"/>
              </w:rPr>
              <w:t xml:space="preserve">ffective use of land as of </w:t>
            </w:r>
            <w:r w:rsidR="007641C1" w:rsidRPr="004C67D8">
              <w:rPr>
                <w:color w:val="auto"/>
                <w:sz w:val="20"/>
                <w:szCs w:val="20"/>
              </w:rPr>
              <w:t>July 2019</w:t>
            </w:r>
            <w:r w:rsidRPr="004C67D8">
              <w:rPr>
                <w:color w:val="auto"/>
                <w:sz w:val="20"/>
                <w:szCs w:val="20"/>
              </w:rPr>
              <w:t>.</w:t>
            </w:r>
            <w:bookmarkEnd w:id="246"/>
          </w:p>
        </w:tc>
      </w:tr>
    </w:tbl>
    <w:p w14:paraId="16554942" w14:textId="77777777" w:rsidR="00F9165A" w:rsidRPr="00B958CB" w:rsidRDefault="00F9165A" w:rsidP="00F9165A">
      <w:pPr>
        <w:pStyle w:val="ListParagraph"/>
        <w:rPr>
          <w:rFonts w:ascii="Arial" w:hAnsi="Arial" w:cs="Arial"/>
          <w:color w:val="auto"/>
          <w:szCs w:val="24"/>
        </w:rPr>
      </w:pPr>
    </w:p>
    <w:p w14:paraId="464247EF" w14:textId="71F2077D" w:rsidR="00B958CB" w:rsidRPr="004C67D8" w:rsidRDefault="00BE2D18"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B958CB">
        <w:rPr>
          <w:rFonts w:ascii="Arial" w:hAnsi="Arial" w:cs="Arial"/>
          <w:b/>
          <w:bCs/>
          <w:color w:val="000000"/>
          <w:szCs w:val="24"/>
          <w:lang w:val="en-US"/>
        </w:rPr>
        <w:t>H7:1</w:t>
      </w:r>
      <w:r w:rsidRPr="00B958CB">
        <w:rPr>
          <w:rFonts w:ascii="Arial" w:hAnsi="Arial" w:cs="Arial"/>
          <w:color w:val="000000"/>
          <w:szCs w:val="24"/>
          <w:lang w:val="en-US"/>
        </w:rPr>
        <w:t xml:space="preserve"> </w:t>
      </w:r>
      <w:r w:rsidR="00A462AA" w:rsidRPr="00B958CB">
        <w:rPr>
          <w:rFonts w:ascii="Arial" w:eastAsia="Arial" w:hAnsi="Arial" w:cs="Arial"/>
          <w:szCs w:val="24"/>
        </w:rPr>
        <w:t>Developments carried out at a higher density in accordance with this policy will bring more people within walking/cycling distance of the District Shopping Centres, railway stations and tram stops</w:t>
      </w:r>
      <w:r w:rsidR="000128EA" w:rsidRPr="004C67D8">
        <w:rPr>
          <w:rFonts w:ascii="Arial" w:eastAsia="Arial" w:hAnsi="Arial" w:cs="Arial"/>
          <w:color w:val="auto"/>
          <w:szCs w:val="24"/>
        </w:rPr>
        <w:t>, and encourage 'active travel' in general</w:t>
      </w:r>
      <w:r w:rsidR="00A462AA" w:rsidRPr="004C67D8">
        <w:rPr>
          <w:rFonts w:ascii="Arial" w:eastAsia="Arial" w:hAnsi="Arial" w:cs="Arial"/>
          <w:color w:val="auto"/>
          <w:szCs w:val="24"/>
        </w:rPr>
        <w:t xml:space="preserve">. This will </w:t>
      </w:r>
      <w:r w:rsidR="000128EA" w:rsidRPr="004C67D8">
        <w:rPr>
          <w:rFonts w:ascii="Arial" w:eastAsia="Arial" w:hAnsi="Arial" w:cs="Arial"/>
          <w:color w:val="auto"/>
          <w:szCs w:val="24"/>
        </w:rPr>
        <w:t xml:space="preserve">support </w:t>
      </w:r>
      <w:r w:rsidR="00A462AA" w:rsidRPr="004C67D8">
        <w:rPr>
          <w:rFonts w:ascii="Arial" w:eastAsia="Arial" w:hAnsi="Arial" w:cs="Arial"/>
          <w:color w:val="auto"/>
          <w:szCs w:val="24"/>
        </w:rPr>
        <w:t>a subsequent reduction in private car journeys and improved usage of these services. The policy will also assist in encouraging the development of an increased number of smaller and more affordable properties.</w:t>
      </w:r>
    </w:p>
    <w:p w14:paraId="43ECCA4E" w14:textId="77777777" w:rsidR="00B958CB" w:rsidRPr="004C67D8" w:rsidRDefault="00B958CB" w:rsidP="00B958CB">
      <w:pPr>
        <w:pStyle w:val="ListParagraph"/>
        <w:spacing w:after="0" w:line="240" w:lineRule="auto"/>
        <w:ind w:left="851"/>
        <w:rPr>
          <w:rFonts w:ascii="Arial" w:hAnsi="Arial" w:cs="Arial"/>
          <w:color w:val="auto"/>
          <w:szCs w:val="24"/>
        </w:rPr>
      </w:pPr>
    </w:p>
    <w:p w14:paraId="62F2F840" w14:textId="7F7D6015" w:rsidR="00DE5F42" w:rsidRPr="004C67D8" w:rsidRDefault="00A462AA"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4C67D8">
        <w:rPr>
          <w:rFonts w:ascii="Arial" w:hAnsi="Arial" w:cs="Arial"/>
          <w:color w:val="auto"/>
          <w:szCs w:val="24"/>
        </w:rPr>
        <w:t xml:space="preserve">Walking distances in the two density zones have been established at 400 metres within which it is likely that many people will choose to walk to District Shopping </w:t>
      </w:r>
      <w:r w:rsidRPr="004C67D8">
        <w:rPr>
          <w:rFonts w:ascii="Arial" w:hAnsi="Arial" w:cs="Arial"/>
          <w:color w:val="auto"/>
          <w:szCs w:val="24"/>
        </w:rPr>
        <w:lastRenderedPageBreak/>
        <w:t>Centres and rail stops, and 1 kilometre within which a smaller but still significant number of people are likely to choose to walk</w:t>
      </w:r>
      <w:r w:rsidR="009B49B5" w:rsidRPr="004C67D8">
        <w:rPr>
          <w:rFonts w:ascii="Arial" w:hAnsi="Arial" w:cs="Arial"/>
          <w:color w:val="auto"/>
          <w:szCs w:val="24"/>
        </w:rPr>
        <w:t>/cycle</w:t>
      </w:r>
      <w:r w:rsidRPr="004C67D8">
        <w:rPr>
          <w:rFonts w:ascii="Arial" w:hAnsi="Arial" w:cs="Arial"/>
          <w:color w:val="auto"/>
          <w:szCs w:val="24"/>
        </w:rPr>
        <w:t xml:space="preserve">. The </w:t>
      </w:r>
      <w:proofErr w:type="gramStart"/>
      <w:r w:rsidRPr="004C67D8">
        <w:rPr>
          <w:rFonts w:ascii="Arial" w:hAnsi="Arial" w:cs="Arial"/>
          <w:color w:val="auto"/>
          <w:szCs w:val="24"/>
        </w:rPr>
        <w:t>1 kilometre</w:t>
      </w:r>
      <w:proofErr w:type="gramEnd"/>
      <w:r w:rsidRPr="004C67D8">
        <w:rPr>
          <w:rFonts w:ascii="Arial" w:hAnsi="Arial" w:cs="Arial"/>
          <w:color w:val="auto"/>
          <w:szCs w:val="24"/>
        </w:rPr>
        <w:t xml:space="preserve"> zone is also considered to be the principal catchment of the Public Transport Corridor. Outside of these two zones a higher proportion of people are likely to use a private car rather than walk and as such a lower target density is appropriate.</w:t>
      </w:r>
      <w:r w:rsidR="000C50C7" w:rsidRPr="004C67D8">
        <w:rPr>
          <w:rFonts w:ascii="Arial" w:hAnsi="Arial" w:cs="Arial"/>
          <w:color w:val="auto"/>
          <w:szCs w:val="24"/>
        </w:rPr>
        <w:t xml:space="preserve"> It </w:t>
      </w:r>
      <w:r w:rsidR="00964513" w:rsidRPr="004C67D8">
        <w:rPr>
          <w:rFonts w:ascii="Arial" w:hAnsi="Arial" w:cs="Arial"/>
          <w:color w:val="auto"/>
          <w:szCs w:val="24"/>
        </w:rPr>
        <w:t>must</w:t>
      </w:r>
      <w:r w:rsidR="000C50C7" w:rsidRPr="004C67D8">
        <w:rPr>
          <w:rFonts w:ascii="Arial" w:hAnsi="Arial" w:cs="Arial"/>
          <w:color w:val="auto"/>
          <w:szCs w:val="24"/>
        </w:rPr>
        <w:t xml:space="preserve"> be noted that the </w:t>
      </w:r>
      <w:r w:rsidR="00964513" w:rsidRPr="004C67D8">
        <w:rPr>
          <w:rFonts w:ascii="Arial" w:hAnsi="Arial" w:cs="Arial"/>
          <w:color w:val="auto"/>
          <w:szCs w:val="24"/>
        </w:rPr>
        <w:t>distances involved should be based on actual walking routes, rather than an arbitrary radius (or ‘as the crow flies’).</w:t>
      </w:r>
    </w:p>
    <w:p w14:paraId="711A3F2F" w14:textId="77777777" w:rsidR="00B958CB" w:rsidRPr="004C67D8" w:rsidRDefault="00B958CB" w:rsidP="00331448">
      <w:pPr>
        <w:pStyle w:val="ListParagraph"/>
        <w:spacing w:after="0" w:line="240" w:lineRule="auto"/>
        <w:rPr>
          <w:rFonts w:ascii="Arial" w:hAnsi="Arial" w:cs="Arial"/>
          <w:color w:val="auto"/>
          <w:szCs w:val="24"/>
        </w:rPr>
      </w:pPr>
    </w:p>
    <w:p w14:paraId="00B18212" w14:textId="77777777" w:rsidR="00331448" w:rsidRPr="00331448" w:rsidRDefault="00A462AA"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331448">
        <w:rPr>
          <w:rFonts w:ascii="Arial" w:eastAsia="Arial" w:hAnsi="Arial" w:cs="Arial"/>
        </w:rPr>
        <w:t xml:space="preserve">Development densities in all major housing developments should normally be no lower than an average 30 dwellings per hectare (net). Densities below this will need to be justified, </w:t>
      </w:r>
      <w:proofErr w:type="gramStart"/>
      <w:r w:rsidRPr="00331448">
        <w:rPr>
          <w:rFonts w:ascii="Arial" w:eastAsia="Arial" w:hAnsi="Arial" w:cs="Arial"/>
        </w:rPr>
        <w:t>taking into account</w:t>
      </w:r>
      <w:proofErr w:type="gramEnd"/>
      <w:r w:rsidRPr="00331448">
        <w:rPr>
          <w:rFonts w:ascii="Arial" w:eastAsia="Arial" w:hAnsi="Arial" w:cs="Arial"/>
        </w:rPr>
        <w:t xml:space="preserve"> individual site circumstances.</w:t>
      </w:r>
    </w:p>
    <w:p w14:paraId="34D7A20A" w14:textId="275F0D5E" w:rsidR="00331448" w:rsidRDefault="00331448" w:rsidP="00331448">
      <w:pPr>
        <w:pStyle w:val="ListParagraph"/>
        <w:spacing w:after="0" w:line="240" w:lineRule="auto"/>
        <w:rPr>
          <w:rFonts w:ascii="Arial" w:hAnsi="Arial" w:cs="Arial"/>
          <w:szCs w:val="24"/>
        </w:rPr>
      </w:pPr>
    </w:p>
    <w:p w14:paraId="04CE2541" w14:textId="4AD7762C" w:rsidR="00331448" w:rsidRPr="00AC4A0D" w:rsidRDefault="00A462AA"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331448">
        <w:rPr>
          <w:rFonts w:ascii="Arial" w:hAnsi="Arial" w:cs="Arial"/>
          <w:szCs w:val="24"/>
        </w:rPr>
        <w:t xml:space="preserve">Typical densities achieved on recent housing development across Ashfield are set out </w:t>
      </w:r>
      <w:r w:rsidR="00B845B1">
        <w:rPr>
          <w:rFonts w:ascii="Arial" w:hAnsi="Arial" w:cs="Arial"/>
          <w:szCs w:val="24"/>
        </w:rPr>
        <w:t xml:space="preserve">in Table 10 </w:t>
      </w:r>
      <w:r w:rsidRPr="00331448">
        <w:rPr>
          <w:rFonts w:ascii="Arial" w:hAnsi="Arial" w:cs="Arial"/>
          <w:szCs w:val="24"/>
        </w:rPr>
        <w:t xml:space="preserve">below. </w:t>
      </w:r>
      <w:proofErr w:type="gramStart"/>
      <w:r w:rsidRPr="00331448">
        <w:rPr>
          <w:rFonts w:ascii="Arial" w:hAnsi="Arial" w:cs="Arial"/>
          <w:szCs w:val="24"/>
        </w:rPr>
        <w:t>It can be seen that the</w:t>
      </w:r>
      <w:proofErr w:type="gramEnd"/>
      <w:r w:rsidRPr="00331448">
        <w:rPr>
          <w:rFonts w:ascii="Arial" w:hAnsi="Arial" w:cs="Arial"/>
          <w:szCs w:val="24"/>
        </w:rPr>
        <w:t xml:space="preserve"> vast majority of large housing sites delivered over the past 5 years have a density of 30 and above.</w:t>
      </w:r>
      <w:bookmarkStart w:id="247" w:name="_Hlk78383791"/>
    </w:p>
    <w:p w14:paraId="1F456A7C" w14:textId="77777777" w:rsidR="00AC4A0D" w:rsidRDefault="00AC4A0D" w:rsidP="00AC4A0D">
      <w:pPr>
        <w:rPr>
          <w:rFonts w:cs="Arial"/>
          <w:color w:val="auto"/>
          <w:szCs w:val="24"/>
        </w:rPr>
      </w:pPr>
    </w:p>
    <w:tbl>
      <w:tblPr>
        <w:tblStyle w:val="ReportTable1"/>
        <w:tblW w:w="8788" w:type="dxa"/>
        <w:tblInd w:w="846" w:type="dxa"/>
        <w:tblLook w:val="04A0" w:firstRow="1" w:lastRow="0" w:firstColumn="1" w:lastColumn="0" w:noHBand="0" w:noVBand="1"/>
      </w:tblPr>
      <w:tblGrid>
        <w:gridCol w:w="6520"/>
        <w:gridCol w:w="2268"/>
      </w:tblGrid>
      <w:tr w:rsidR="00AC4A0D" w:rsidRPr="00F31667" w14:paraId="36892CF5" w14:textId="77777777" w:rsidTr="00C30F6A">
        <w:trPr>
          <w:trHeight w:val="652"/>
        </w:trPr>
        <w:tc>
          <w:tcPr>
            <w:tcW w:w="8788" w:type="dxa"/>
            <w:gridSpan w:val="2"/>
            <w:shd w:val="clear" w:color="auto" w:fill="D9D9D9"/>
          </w:tcPr>
          <w:p w14:paraId="1D5A9169" w14:textId="46B90C82" w:rsidR="00AC4A0D" w:rsidRPr="00F31667" w:rsidRDefault="00AC4A0D" w:rsidP="00A44712">
            <w:pPr>
              <w:tabs>
                <w:tab w:val="left" w:pos="680"/>
              </w:tabs>
              <w:rPr>
                <w:rFonts w:eastAsia="Arial" w:cs="Arial"/>
              </w:rPr>
            </w:pPr>
            <w:bookmarkStart w:id="248" w:name="_Hlk78383835"/>
            <w:r w:rsidRPr="00F31667">
              <w:rPr>
                <w:rFonts w:eastAsia="Arial" w:cs="Arial"/>
                <w:b/>
              </w:rPr>
              <w:t>Density of recently delivered large housing sites in Ashfield (201</w:t>
            </w:r>
            <w:r>
              <w:rPr>
                <w:rFonts w:eastAsia="Arial" w:cs="Arial"/>
                <w:b/>
              </w:rPr>
              <w:t>1</w:t>
            </w:r>
            <w:r w:rsidRPr="00F31667">
              <w:rPr>
                <w:rFonts w:eastAsia="Arial" w:cs="Arial"/>
                <w:b/>
              </w:rPr>
              <w:t xml:space="preserve"> to 20</w:t>
            </w:r>
            <w:r>
              <w:rPr>
                <w:rFonts w:eastAsia="Arial" w:cs="Arial"/>
                <w:b/>
              </w:rPr>
              <w:t>21</w:t>
            </w:r>
            <w:r w:rsidRPr="00F31667">
              <w:rPr>
                <w:rFonts w:eastAsia="Arial" w:cs="Arial"/>
                <w:b/>
              </w:rPr>
              <w:t>)</w:t>
            </w:r>
          </w:p>
        </w:tc>
      </w:tr>
      <w:tr w:rsidR="00AC4A0D" w:rsidRPr="00F31667" w14:paraId="5F404EE8" w14:textId="77777777" w:rsidTr="00AC4A0D">
        <w:trPr>
          <w:trHeight w:val="417"/>
        </w:trPr>
        <w:tc>
          <w:tcPr>
            <w:tcW w:w="6520" w:type="dxa"/>
          </w:tcPr>
          <w:p w14:paraId="478E753E" w14:textId="77777777" w:rsidR="00AC4A0D" w:rsidRPr="006977E7" w:rsidRDefault="00AC4A0D" w:rsidP="00A44712">
            <w:pPr>
              <w:tabs>
                <w:tab w:val="left" w:pos="680"/>
              </w:tabs>
              <w:rPr>
                <w:rFonts w:eastAsia="Arial" w:cs="Arial"/>
                <w:bCs/>
              </w:rPr>
            </w:pPr>
            <w:r w:rsidRPr="006977E7">
              <w:rPr>
                <w:rFonts w:eastAsia="Arial" w:cs="Arial"/>
                <w:bCs/>
              </w:rPr>
              <w:t>Below 30 dwellings per hectare (</w:t>
            </w:r>
            <w:proofErr w:type="spellStart"/>
            <w:r w:rsidRPr="006977E7">
              <w:rPr>
                <w:rFonts w:eastAsia="Arial" w:cs="Arial"/>
                <w:bCs/>
              </w:rPr>
              <w:t>dph</w:t>
            </w:r>
            <w:proofErr w:type="spellEnd"/>
            <w:r w:rsidRPr="006977E7">
              <w:rPr>
                <w:rFonts w:eastAsia="Arial" w:cs="Arial"/>
                <w:bCs/>
              </w:rPr>
              <w:t>)</w:t>
            </w:r>
          </w:p>
        </w:tc>
        <w:tc>
          <w:tcPr>
            <w:tcW w:w="2268" w:type="dxa"/>
          </w:tcPr>
          <w:p w14:paraId="3F3494E1" w14:textId="77777777" w:rsidR="00AC4A0D" w:rsidRPr="006977E7" w:rsidRDefault="00AC4A0D" w:rsidP="00A44712">
            <w:pPr>
              <w:tabs>
                <w:tab w:val="left" w:pos="680"/>
              </w:tabs>
              <w:rPr>
                <w:rFonts w:eastAsia="Arial" w:cs="Arial"/>
                <w:bCs/>
              </w:rPr>
            </w:pPr>
            <w:r w:rsidRPr="006977E7">
              <w:rPr>
                <w:rFonts w:eastAsia="Arial" w:cs="Arial"/>
                <w:bCs/>
              </w:rPr>
              <w:t>19%</w:t>
            </w:r>
          </w:p>
        </w:tc>
      </w:tr>
      <w:tr w:rsidR="00AC4A0D" w:rsidRPr="00F31667" w14:paraId="48BEA572" w14:textId="77777777" w:rsidTr="00AC4A0D">
        <w:trPr>
          <w:trHeight w:val="409"/>
        </w:trPr>
        <w:tc>
          <w:tcPr>
            <w:tcW w:w="6520" w:type="dxa"/>
          </w:tcPr>
          <w:p w14:paraId="41200BF3" w14:textId="77777777" w:rsidR="00AC4A0D" w:rsidRPr="006977E7" w:rsidRDefault="00AC4A0D" w:rsidP="00A44712">
            <w:pPr>
              <w:tabs>
                <w:tab w:val="left" w:pos="680"/>
              </w:tabs>
              <w:rPr>
                <w:rFonts w:eastAsia="Arial" w:cs="Arial"/>
                <w:bCs/>
              </w:rPr>
            </w:pPr>
            <w:r w:rsidRPr="006977E7">
              <w:rPr>
                <w:rFonts w:eastAsia="Arial" w:cs="Arial"/>
                <w:bCs/>
              </w:rPr>
              <w:t>Between 30%-50% dwellings per hectare (</w:t>
            </w:r>
            <w:proofErr w:type="spellStart"/>
            <w:r w:rsidRPr="006977E7">
              <w:rPr>
                <w:rFonts w:eastAsia="Arial" w:cs="Arial"/>
                <w:bCs/>
              </w:rPr>
              <w:t>dph</w:t>
            </w:r>
            <w:proofErr w:type="spellEnd"/>
            <w:r w:rsidRPr="006977E7">
              <w:rPr>
                <w:rFonts w:eastAsia="Arial" w:cs="Arial"/>
                <w:bCs/>
              </w:rPr>
              <w:t>)</w:t>
            </w:r>
          </w:p>
        </w:tc>
        <w:tc>
          <w:tcPr>
            <w:tcW w:w="2268" w:type="dxa"/>
          </w:tcPr>
          <w:p w14:paraId="057731D0" w14:textId="77777777" w:rsidR="00AC4A0D" w:rsidRPr="006977E7" w:rsidRDefault="00AC4A0D" w:rsidP="00A44712">
            <w:pPr>
              <w:tabs>
                <w:tab w:val="left" w:pos="680"/>
              </w:tabs>
              <w:rPr>
                <w:rFonts w:eastAsia="Arial" w:cs="Arial"/>
                <w:bCs/>
              </w:rPr>
            </w:pPr>
            <w:r w:rsidRPr="006977E7">
              <w:rPr>
                <w:rFonts w:eastAsia="Arial" w:cs="Arial"/>
                <w:bCs/>
              </w:rPr>
              <w:t>75%</w:t>
            </w:r>
          </w:p>
        </w:tc>
      </w:tr>
      <w:tr w:rsidR="00AC4A0D" w:rsidRPr="00F31667" w14:paraId="5A50D5F3" w14:textId="77777777" w:rsidTr="00C30F6A">
        <w:trPr>
          <w:trHeight w:val="561"/>
        </w:trPr>
        <w:tc>
          <w:tcPr>
            <w:tcW w:w="6520" w:type="dxa"/>
          </w:tcPr>
          <w:p w14:paraId="54DDD8AF" w14:textId="77777777" w:rsidR="00AC4A0D" w:rsidRPr="006977E7" w:rsidRDefault="00AC4A0D" w:rsidP="00A44712">
            <w:pPr>
              <w:tabs>
                <w:tab w:val="left" w:pos="680"/>
              </w:tabs>
              <w:rPr>
                <w:rFonts w:eastAsia="Arial" w:cs="Arial"/>
                <w:bCs/>
              </w:rPr>
            </w:pPr>
            <w:r w:rsidRPr="006977E7">
              <w:rPr>
                <w:rFonts w:eastAsia="Arial" w:cs="Arial"/>
                <w:bCs/>
              </w:rPr>
              <w:t>Above 50 dwellings per hectare (</w:t>
            </w:r>
            <w:proofErr w:type="spellStart"/>
            <w:r w:rsidRPr="006977E7">
              <w:rPr>
                <w:rFonts w:eastAsia="Arial" w:cs="Arial"/>
                <w:bCs/>
              </w:rPr>
              <w:t>dph</w:t>
            </w:r>
            <w:proofErr w:type="spellEnd"/>
            <w:r w:rsidRPr="006977E7">
              <w:rPr>
                <w:rFonts w:eastAsia="Arial" w:cs="Arial"/>
                <w:bCs/>
              </w:rPr>
              <w:t>)</w:t>
            </w:r>
          </w:p>
        </w:tc>
        <w:tc>
          <w:tcPr>
            <w:tcW w:w="2268" w:type="dxa"/>
          </w:tcPr>
          <w:p w14:paraId="5DCE9C58" w14:textId="77777777" w:rsidR="00AC4A0D" w:rsidRPr="006977E7" w:rsidRDefault="00AC4A0D" w:rsidP="00A44712">
            <w:pPr>
              <w:tabs>
                <w:tab w:val="left" w:pos="680"/>
              </w:tabs>
              <w:rPr>
                <w:rFonts w:eastAsia="Arial" w:cs="Arial"/>
                <w:bCs/>
              </w:rPr>
            </w:pPr>
            <w:r w:rsidRPr="006977E7">
              <w:rPr>
                <w:rFonts w:eastAsia="Arial" w:cs="Arial"/>
                <w:bCs/>
              </w:rPr>
              <w:t>6%</w:t>
            </w:r>
          </w:p>
        </w:tc>
      </w:tr>
      <w:bookmarkEnd w:id="248"/>
    </w:tbl>
    <w:p w14:paraId="7377EDA0" w14:textId="77777777" w:rsidR="00331448" w:rsidRDefault="00331448" w:rsidP="00331448">
      <w:pPr>
        <w:pStyle w:val="ListParagraph"/>
        <w:spacing w:after="0" w:line="240" w:lineRule="auto"/>
        <w:rPr>
          <w:rFonts w:ascii="Arial" w:hAnsi="Arial" w:cs="Arial"/>
          <w:b/>
          <w:bCs/>
          <w:szCs w:val="24"/>
        </w:rPr>
      </w:pPr>
    </w:p>
    <w:p w14:paraId="50225850" w14:textId="7D24E7DC" w:rsidR="00B845B1" w:rsidRDefault="00F906E1" w:rsidP="000447CA">
      <w:pPr>
        <w:pStyle w:val="Heading3"/>
      </w:pPr>
      <w:r>
        <w:t xml:space="preserve">  </w:t>
      </w:r>
      <w:r w:rsidR="00B845B1">
        <w:t xml:space="preserve">Table 10: </w:t>
      </w:r>
      <w:r w:rsidR="00B845B1" w:rsidRPr="00F31667">
        <w:t>Density of recently delivered large housing sites in Ashfield</w:t>
      </w:r>
    </w:p>
    <w:p w14:paraId="034DA500" w14:textId="763E836A" w:rsidR="00B845B1" w:rsidRPr="00B845B1" w:rsidRDefault="00B845B1" w:rsidP="00F906E1">
      <w:pPr>
        <w:spacing w:before="0"/>
        <w:ind w:firstLine="851"/>
        <w:rPr>
          <w:sz w:val="22"/>
          <w:szCs w:val="22"/>
          <w:lang w:eastAsia="en-US"/>
        </w:rPr>
      </w:pPr>
      <w:r w:rsidRPr="00B845B1">
        <w:rPr>
          <w:sz w:val="22"/>
          <w:szCs w:val="22"/>
          <w:lang w:eastAsia="en-US"/>
        </w:rPr>
        <w:t>Source: Ashfield District Council</w:t>
      </w:r>
    </w:p>
    <w:p w14:paraId="5C620495" w14:textId="77777777" w:rsidR="00B845B1" w:rsidRDefault="00B845B1" w:rsidP="00B845B1">
      <w:pPr>
        <w:pStyle w:val="ListParagraph"/>
        <w:spacing w:after="0" w:line="240" w:lineRule="auto"/>
        <w:ind w:firstLine="851"/>
        <w:rPr>
          <w:rFonts w:ascii="Arial" w:hAnsi="Arial" w:cs="Arial"/>
          <w:b/>
          <w:bCs/>
          <w:sz w:val="22"/>
        </w:rPr>
      </w:pPr>
    </w:p>
    <w:p w14:paraId="18717214" w14:textId="77777777" w:rsidR="00F906E1" w:rsidRPr="00B845B1" w:rsidRDefault="00F906E1" w:rsidP="00B845B1">
      <w:pPr>
        <w:pStyle w:val="ListParagraph"/>
        <w:spacing w:after="0" w:line="240" w:lineRule="auto"/>
        <w:ind w:firstLine="851"/>
        <w:rPr>
          <w:rFonts w:ascii="Arial" w:hAnsi="Arial" w:cs="Arial"/>
          <w:b/>
          <w:bCs/>
          <w:sz w:val="22"/>
        </w:rPr>
      </w:pPr>
    </w:p>
    <w:p w14:paraId="37C09A9E" w14:textId="05068083" w:rsidR="00331448" w:rsidRPr="004C67D8" w:rsidRDefault="00BE2D18" w:rsidP="00874A98">
      <w:pPr>
        <w:pStyle w:val="ListParagraph"/>
        <w:numPr>
          <w:ilvl w:val="1"/>
          <w:numId w:val="92"/>
        </w:numPr>
        <w:autoSpaceDE w:val="0"/>
        <w:autoSpaceDN w:val="0"/>
        <w:adjustRightInd w:val="0"/>
        <w:spacing w:after="0" w:line="240" w:lineRule="auto"/>
        <w:ind w:left="851" w:hanging="851"/>
        <w:rPr>
          <w:rFonts w:ascii="Arial" w:hAnsi="Arial" w:cs="Arial"/>
          <w:color w:val="auto"/>
          <w:szCs w:val="24"/>
        </w:rPr>
      </w:pPr>
      <w:r w:rsidRPr="004C67D8">
        <w:rPr>
          <w:rFonts w:ascii="Arial" w:hAnsi="Arial" w:cs="Arial"/>
          <w:b/>
          <w:bCs/>
          <w:color w:val="auto"/>
          <w:szCs w:val="24"/>
        </w:rPr>
        <w:t>H7:2</w:t>
      </w:r>
      <w:r w:rsidRPr="004C67D8">
        <w:rPr>
          <w:rFonts w:ascii="Arial" w:hAnsi="Arial" w:cs="Arial"/>
          <w:color w:val="auto"/>
          <w:szCs w:val="24"/>
        </w:rPr>
        <w:t xml:space="preserve"> </w:t>
      </w:r>
      <w:r w:rsidR="00A462AA" w:rsidRPr="004C67D8">
        <w:rPr>
          <w:rFonts w:ascii="Arial" w:hAnsi="Arial" w:cs="Arial"/>
          <w:color w:val="auto"/>
          <w:szCs w:val="24"/>
        </w:rPr>
        <w:t>Major schemes</w:t>
      </w:r>
      <w:r w:rsidRPr="004C67D8">
        <w:rPr>
          <w:rFonts w:ascii="Arial" w:hAnsi="Arial" w:cs="Arial"/>
          <w:color w:val="auto"/>
          <w:szCs w:val="24"/>
        </w:rPr>
        <w:t xml:space="preserve"> of over 500 dwellings </w:t>
      </w:r>
      <w:r w:rsidR="00A462AA" w:rsidRPr="004C67D8">
        <w:rPr>
          <w:rFonts w:ascii="Arial" w:hAnsi="Arial" w:cs="Arial"/>
          <w:color w:val="auto"/>
          <w:szCs w:val="24"/>
        </w:rPr>
        <w:t>should include a range of different housing density areas, to ensure varied character</w:t>
      </w:r>
      <w:r w:rsidRPr="004C67D8">
        <w:rPr>
          <w:rFonts w:ascii="Arial" w:hAnsi="Arial" w:cs="Arial"/>
          <w:color w:val="auto"/>
          <w:szCs w:val="24"/>
        </w:rPr>
        <w:t xml:space="preserve">, </w:t>
      </w:r>
      <w:r w:rsidR="00A462AA" w:rsidRPr="004C67D8">
        <w:rPr>
          <w:rFonts w:ascii="Arial" w:hAnsi="Arial" w:cs="Arial"/>
          <w:color w:val="auto"/>
          <w:szCs w:val="24"/>
        </w:rPr>
        <w:t>appearance,</w:t>
      </w:r>
      <w:r w:rsidRPr="004C67D8">
        <w:rPr>
          <w:rFonts w:ascii="Arial" w:hAnsi="Arial" w:cs="Arial"/>
          <w:color w:val="auto"/>
          <w:szCs w:val="24"/>
        </w:rPr>
        <w:t xml:space="preserve"> and house types</w:t>
      </w:r>
      <w:r w:rsidR="00A462AA" w:rsidRPr="004C67D8">
        <w:rPr>
          <w:rFonts w:ascii="Arial" w:hAnsi="Arial" w:cs="Arial"/>
          <w:color w:val="auto"/>
          <w:szCs w:val="24"/>
        </w:rPr>
        <w:t xml:space="preserve"> in accordance with agreed Masterplans</w:t>
      </w:r>
      <w:r w:rsidR="00DA1C20" w:rsidRPr="004C67D8">
        <w:rPr>
          <w:rFonts w:ascii="Arial" w:hAnsi="Arial" w:cs="Arial"/>
          <w:color w:val="auto"/>
          <w:szCs w:val="24"/>
        </w:rPr>
        <w:t xml:space="preserve"> </w:t>
      </w:r>
      <w:r w:rsidR="00D272EF" w:rsidRPr="004C67D8">
        <w:rPr>
          <w:rFonts w:ascii="Arial" w:hAnsi="Arial" w:cs="Arial"/>
          <w:color w:val="auto"/>
          <w:szCs w:val="24"/>
        </w:rPr>
        <w:t>which facilitate</w:t>
      </w:r>
      <w:r w:rsidR="00DA1C20" w:rsidRPr="004C67D8">
        <w:rPr>
          <w:rFonts w:ascii="Arial" w:hAnsi="Arial" w:cs="Arial"/>
          <w:color w:val="auto"/>
          <w:szCs w:val="24"/>
        </w:rPr>
        <w:t xml:space="preserve"> comprehensive development.</w:t>
      </w:r>
      <w:r w:rsidR="00A462AA" w:rsidRPr="004C67D8">
        <w:rPr>
          <w:rFonts w:ascii="Arial" w:hAnsi="Arial" w:cs="Arial"/>
          <w:color w:val="auto"/>
          <w:szCs w:val="24"/>
        </w:rPr>
        <w:t xml:space="preserve">  </w:t>
      </w:r>
      <w:bookmarkEnd w:id="247"/>
    </w:p>
    <w:p w14:paraId="72F88167" w14:textId="77777777" w:rsidR="00331448" w:rsidRPr="004C67D8" w:rsidRDefault="00331448" w:rsidP="00331448">
      <w:pPr>
        <w:pStyle w:val="ListParagraph"/>
        <w:spacing w:after="0" w:line="240" w:lineRule="auto"/>
        <w:rPr>
          <w:rFonts w:ascii="Arial" w:hAnsi="Arial" w:cs="Arial"/>
          <w:color w:val="auto"/>
          <w:szCs w:val="24"/>
        </w:rPr>
      </w:pPr>
    </w:p>
    <w:p w14:paraId="3E3FAFB9" w14:textId="71241F15" w:rsidR="00331448" w:rsidRPr="00331448" w:rsidRDefault="00A462AA" w:rsidP="00100CF9">
      <w:pPr>
        <w:pStyle w:val="ListParagraph"/>
        <w:numPr>
          <w:ilvl w:val="1"/>
          <w:numId w:val="92"/>
        </w:numPr>
        <w:autoSpaceDE w:val="0"/>
        <w:autoSpaceDN w:val="0"/>
        <w:adjustRightInd w:val="0"/>
        <w:spacing w:after="0"/>
        <w:ind w:left="851" w:hanging="851"/>
        <w:rPr>
          <w:rFonts w:ascii="Arial" w:hAnsi="Arial" w:cs="Arial"/>
          <w:color w:val="auto"/>
          <w:szCs w:val="24"/>
        </w:rPr>
      </w:pPr>
      <w:r w:rsidRPr="004C67D8">
        <w:rPr>
          <w:rFonts w:ascii="Arial" w:hAnsi="Arial" w:cs="Arial"/>
          <w:color w:val="auto"/>
          <w:szCs w:val="24"/>
        </w:rPr>
        <w:t>The density levels set by H</w:t>
      </w:r>
      <w:r w:rsidR="00122DD6" w:rsidRPr="004C67D8">
        <w:rPr>
          <w:rFonts w:ascii="Arial" w:hAnsi="Arial" w:cs="Arial"/>
          <w:color w:val="auto"/>
          <w:szCs w:val="24"/>
        </w:rPr>
        <w:t>7</w:t>
      </w:r>
      <w:r w:rsidRPr="004C67D8">
        <w:rPr>
          <w:rFonts w:ascii="Arial" w:hAnsi="Arial" w:cs="Arial"/>
          <w:color w:val="auto"/>
          <w:szCs w:val="24"/>
        </w:rPr>
        <w:t xml:space="preserve"> are based on the net </w:t>
      </w:r>
      <w:r w:rsidR="00CD44E3" w:rsidRPr="004C67D8">
        <w:rPr>
          <w:rFonts w:ascii="Arial" w:hAnsi="Arial" w:cs="Arial"/>
          <w:color w:val="auto"/>
          <w:szCs w:val="24"/>
        </w:rPr>
        <w:t xml:space="preserve">residential </w:t>
      </w:r>
      <w:r w:rsidRPr="004C67D8">
        <w:rPr>
          <w:rFonts w:ascii="Arial" w:hAnsi="Arial" w:cs="Arial"/>
          <w:color w:val="auto"/>
          <w:szCs w:val="24"/>
        </w:rPr>
        <w:t>developable area of sites which will vary depending on the land taken by open space, infrastructure and facilities. The</w:t>
      </w:r>
      <w:r w:rsidR="00CD44E3" w:rsidRPr="004C67D8">
        <w:rPr>
          <w:rFonts w:ascii="Arial" w:hAnsi="Arial" w:cs="Arial"/>
          <w:color w:val="auto"/>
          <w:szCs w:val="24"/>
        </w:rPr>
        <w:t xml:space="preserve"> standard assumptions </w:t>
      </w:r>
      <w:r w:rsidR="00100CF9">
        <w:rPr>
          <w:rFonts w:ascii="Arial" w:hAnsi="Arial" w:cs="Arial"/>
          <w:color w:val="auto"/>
          <w:szCs w:val="24"/>
        </w:rPr>
        <w:t>for</w:t>
      </w:r>
      <w:r w:rsidR="00CD44E3" w:rsidRPr="004C67D8">
        <w:rPr>
          <w:rFonts w:ascii="Arial" w:hAnsi="Arial" w:cs="Arial"/>
          <w:color w:val="auto"/>
          <w:szCs w:val="24"/>
        </w:rPr>
        <w:t xml:space="preserve"> identify</w:t>
      </w:r>
      <w:r w:rsidR="00100CF9">
        <w:rPr>
          <w:rFonts w:ascii="Arial" w:hAnsi="Arial" w:cs="Arial"/>
          <w:color w:val="auto"/>
          <w:szCs w:val="24"/>
        </w:rPr>
        <w:t>ing</w:t>
      </w:r>
      <w:r w:rsidR="00CD44E3" w:rsidRPr="004C67D8">
        <w:rPr>
          <w:rFonts w:ascii="Arial" w:hAnsi="Arial" w:cs="Arial"/>
          <w:color w:val="auto"/>
          <w:szCs w:val="24"/>
        </w:rPr>
        <w:t xml:space="preserve"> net developable areas are set out in Background Paper 2: Housing and </w:t>
      </w:r>
      <w:r w:rsidRPr="004C67D8">
        <w:rPr>
          <w:rFonts w:ascii="Arial" w:hAnsi="Arial" w:cs="Arial"/>
          <w:color w:val="auto"/>
          <w:szCs w:val="24"/>
        </w:rPr>
        <w:t xml:space="preserve">should be used as a guide. </w:t>
      </w:r>
      <w:r w:rsidRPr="004C67D8">
        <w:rPr>
          <w:rFonts w:ascii="Arial" w:eastAsia="Arial" w:hAnsi="Arial" w:cs="Arial"/>
          <w:color w:val="auto"/>
        </w:rPr>
        <w:t>Net residential density is measured as the number of individual dwelling units per hectare of land developed specifically for housing and directly associated uses. This includes access roads within the site, private garden space</w:t>
      </w:r>
      <w:r w:rsidRPr="00331448">
        <w:rPr>
          <w:rFonts w:ascii="Arial" w:eastAsia="Arial" w:hAnsi="Arial" w:cs="Arial"/>
        </w:rPr>
        <w:t>, car parking and incidental open space/landscaping. It does not include distributor roads, open space serving a wider area, significant landscape buffer areas and other facilities such as schools, shops and community buildings</w:t>
      </w:r>
      <w:r w:rsidR="00331448">
        <w:rPr>
          <w:rFonts w:ascii="Arial" w:eastAsia="Arial" w:hAnsi="Arial" w:cs="Arial"/>
        </w:rPr>
        <w:t>.</w:t>
      </w:r>
    </w:p>
    <w:p w14:paraId="60079616" w14:textId="77777777" w:rsidR="00331448" w:rsidRPr="00331448" w:rsidRDefault="00331448" w:rsidP="00331448">
      <w:pPr>
        <w:pStyle w:val="ListParagraph"/>
        <w:spacing w:after="0" w:line="240" w:lineRule="auto"/>
        <w:ind w:left="851"/>
        <w:rPr>
          <w:rFonts w:ascii="Arial" w:hAnsi="Arial" w:cs="Arial"/>
          <w:color w:val="auto"/>
          <w:szCs w:val="24"/>
        </w:rPr>
      </w:pPr>
    </w:p>
    <w:p w14:paraId="4CBF96CE" w14:textId="094BAB5D" w:rsidR="00331448" w:rsidRPr="00331448" w:rsidRDefault="00A462AA"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331448">
        <w:rPr>
          <w:rFonts w:ascii="Arial" w:eastAsia="Arial" w:hAnsi="Arial" w:cs="Arial"/>
        </w:rPr>
        <w:t>In considering appropriate densities, account will be taken of any relevant local appraisals, plans or strategies, including, but not restricted to</w:t>
      </w:r>
      <w:r w:rsidR="00DF4737" w:rsidRPr="00331448">
        <w:rPr>
          <w:rFonts w:ascii="Arial" w:eastAsia="Arial" w:hAnsi="Arial" w:cs="Arial"/>
        </w:rPr>
        <w:t>:</w:t>
      </w:r>
    </w:p>
    <w:p w14:paraId="36F9B958" w14:textId="77777777" w:rsidR="00331448" w:rsidRPr="00331448" w:rsidRDefault="00331448" w:rsidP="00331448">
      <w:pPr>
        <w:autoSpaceDE w:val="0"/>
        <w:autoSpaceDN w:val="0"/>
        <w:adjustRightInd w:val="0"/>
        <w:spacing w:before="0"/>
        <w:rPr>
          <w:rFonts w:eastAsia="Arial" w:cs="Arial"/>
        </w:rPr>
      </w:pPr>
    </w:p>
    <w:p w14:paraId="65193BC3" w14:textId="77777777" w:rsidR="00A462AA" w:rsidRPr="00331448" w:rsidRDefault="00A462AA" w:rsidP="00874A98">
      <w:pPr>
        <w:pStyle w:val="ListParagraph"/>
        <w:numPr>
          <w:ilvl w:val="0"/>
          <w:numId w:val="160"/>
        </w:numPr>
        <w:autoSpaceDE w:val="0"/>
        <w:autoSpaceDN w:val="0"/>
        <w:adjustRightInd w:val="0"/>
        <w:spacing w:after="0" w:line="240" w:lineRule="auto"/>
        <w:rPr>
          <w:rFonts w:ascii="Arial" w:eastAsia="Arial" w:hAnsi="Arial" w:cs="Arial"/>
          <w:szCs w:val="20"/>
          <w:lang w:eastAsia="en-GB"/>
        </w:rPr>
      </w:pPr>
      <w:r w:rsidRPr="00331448">
        <w:rPr>
          <w:rFonts w:ascii="Arial" w:eastAsia="Arial" w:hAnsi="Arial" w:cs="Arial"/>
          <w:szCs w:val="20"/>
          <w:lang w:eastAsia="en-GB"/>
        </w:rPr>
        <w:t xml:space="preserve">Neighbourhood Plans, </w:t>
      </w:r>
    </w:p>
    <w:p w14:paraId="141692FE" w14:textId="77777777" w:rsidR="00A462AA" w:rsidRPr="00331448" w:rsidRDefault="00A462AA" w:rsidP="00874A98">
      <w:pPr>
        <w:pStyle w:val="ListParagraph"/>
        <w:numPr>
          <w:ilvl w:val="0"/>
          <w:numId w:val="160"/>
        </w:numPr>
        <w:autoSpaceDE w:val="0"/>
        <w:autoSpaceDN w:val="0"/>
        <w:adjustRightInd w:val="0"/>
        <w:spacing w:after="0" w:line="240" w:lineRule="auto"/>
        <w:rPr>
          <w:rFonts w:ascii="Arial" w:eastAsia="Arial" w:hAnsi="Arial" w:cs="Arial"/>
          <w:szCs w:val="20"/>
          <w:lang w:eastAsia="en-GB"/>
        </w:rPr>
      </w:pPr>
      <w:r w:rsidRPr="00331448">
        <w:rPr>
          <w:rFonts w:ascii="Arial" w:eastAsia="Arial" w:hAnsi="Arial" w:cs="Arial"/>
          <w:szCs w:val="20"/>
          <w:lang w:eastAsia="en-GB"/>
        </w:rPr>
        <w:t>Landscape Character Assessments,</w:t>
      </w:r>
    </w:p>
    <w:p w14:paraId="4111C402" w14:textId="77777777" w:rsidR="00A462AA" w:rsidRPr="00331448" w:rsidRDefault="00A462AA" w:rsidP="00874A98">
      <w:pPr>
        <w:pStyle w:val="ListParagraph"/>
        <w:numPr>
          <w:ilvl w:val="0"/>
          <w:numId w:val="160"/>
        </w:numPr>
        <w:autoSpaceDE w:val="0"/>
        <w:autoSpaceDN w:val="0"/>
        <w:adjustRightInd w:val="0"/>
        <w:spacing w:after="0" w:line="240" w:lineRule="auto"/>
        <w:rPr>
          <w:rFonts w:ascii="Arial" w:eastAsia="Arial" w:hAnsi="Arial" w:cs="Arial"/>
          <w:szCs w:val="20"/>
          <w:lang w:eastAsia="en-GB"/>
        </w:rPr>
      </w:pPr>
      <w:r w:rsidRPr="00331448">
        <w:rPr>
          <w:rFonts w:ascii="Arial" w:eastAsia="Arial" w:hAnsi="Arial" w:cs="Arial"/>
          <w:szCs w:val="20"/>
          <w:lang w:eastAsia="en-GB"/>
        </w:rPr>
        <w:t xml:space="preserve">Conservation Area Appraisal or Character Appraisal approved or adopted by the District Council. </w:t>
      </w:r>
    </w:p>
    <w:p w14:paraId="6199613C" w14:textId="77777777" w:rsidR="00A462AA" w:rsidRPr="00331448" w:rsidRDefault="00A462AA" w:rsidP="00331448">
      <w:pPr>
        <w:autoSpaceDE w:val="0"/>
        <w:autoSpaceDN w:val="0"/>
        <w:adjustRightInd w:val="0"/>
        <w:spacing w:before="0"/>
        <w:rPr>
          <w:rFonts w:eastAsia="Arial" w:cs="Arial"/>
        </w:rPr>
      </w:pPr>
    </w:p>
    <w:p w14:paraId="7DDA1DDC" w14:textId="44670437" w:rsidR="00F55774" w:rsidRDefault="00A462AA"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331448">
        <w:rPr>
          <w:rFonts w:ascii="Arial" w:eastAsia="Arial" w:hAnsi="Arial" w:cs="Arial"/>
        </w:rPr>
        <w:t>The Council’s Residential Design Guide Supplementary Planning Document (SPD) gives further useful information.</w:t>
      </w:r>
    </w:p>
    <w:p w14:paraId="3F199290" w14:textId="53187D52" w:rsidR="00F55774" w:rsidRDefault="00F55774" w:rsidP="00F55774">
      <w:pPr>
        <w:pStyle w:val="ListParagraph"/>
        <w:autoSpaceDE w:val="0"/>
        <w:autoSpaceDN w:val="0"/>
        <w:adjustRightInd w:val="0"/>
        <w:spacing w:after="0" w:line="240" w:lineRule="auto"/>
        <w:ind w:left="851"/>
        <w:rPr>
          <w:rFonts w:ascii="Arial" w:eastAsia="Arial" w:hAnsi="Arial" w:cs="Arial"/>
        </w:rPr>
      </w:pPr>
    </w:p>
    <w:p w14:paraId="1493497F" w14:textId="77777777" w:rsidR="009F0B25" w:rsidRDefault="009F0B25">
      <w:pPr>
        <w:keepNext w:val="0"/>
        <w:spacing w:before="0"/>
        <w:rPr>
          <w:rFonts w:eastAsia="Arial" w:cs="Arial"/>
          <w:szCs w:val="22"/>
          <w:lang w:eastAsia="en-US"/>
        </w:rPr>
      </w:pPr>
    </w:p>
    <w:p w14:paraId="2523B658" w14:textId="77777777" w:rsidR="009F0B25" w:rsidRDefault="009F0B25">
      <w:pPr>
        <w:keepNext w:val="0"/>
        <w:spacing w:before="0"/>
        <w:rPr>
          <w:rFonts w:eastAsia="Arial" w:cs="Arial"/>
          <w:szCs w:val="22"/>
          <w:lang w:eastAsia="en-US"/>
        </w:rPr>
      </w:pPr>
    </w:p>
    <w:p w14:paraId="637E7570" w14:textId="77777777" w:rsidR="000447CA" w:rsidRDefault="000447CA" w:rsidP="00995322">
      <w:pPr>
        <w:pStyle w:val="Heading2"/>
        <w:jc w:val="left"/>
        <w:rPr>
          <w:rFonts w:eastAsia="Arial"/>
          <w:sz w:val="28"/>
          <w:szCs w:val="28"/>
        </w:rPr>
      </w:pPr>
      <w:bookmarkStart w:id="249" w:name="_Toc500408782"/>
      <w:bookmarkStart w:id="250" w:name="_Toc145511595"/>
    </w:p>
    <w:p w14:paraId="5E49DF1E" w14:textId="20E7463E" w:rsidR="00F55774" w:rsidRPr="00FD5E62" w:rsidRDefault="00F55774" w:rsidP="00995322">
      <w:pPr>
        <w:pStyle w:val="Heading2"/>
        <w:jc w:val="left"/>
        <w:rPr>
          <w:rFonts w:eastAsia="Arial"/>
          <w:sz w:val="28"/>
          <w:szCs w:val="28"/>
        </w:rPr>
      </w:pPr>
      <w:r w:rsidRPr="00FD5E62">
        <w:rPr>
          <w:rFonts w:eastAsia="Arial"/>
          <w:sz w:val="28"/>
          <w:szCs w:val="28"/>
        </w:rPr>
        <w:t>Policy H8: Houses in Multiple Occupation</w:t>
      </w:r>
      <w:r w:rsidRPr="00FD5E62">
        <w:rPr>
          <w:rFonts w:eastAsia="Arial"/>
          <w:strike/>
          <w:sz w:val="28"/>
          <w:szCs w:val="28"/>
        </w:rPr>
        <w:t>, Flats and Bedsits</w:t>
      </w:r>
      <w:bookmarkEnd w:id="249"/>
      <w:bookmarkEnd w:id="250"/>
    </w:p>
    <w:p w14:paraId="4AD86887" w14:textId="77777777" w:rsidR="006D4F49" w:rsidRPr="00FD5E62" w:rsidRDefault="006D4F49" w:rsidP="00503C86">
      <w:pPr>
        <w:rPr>
          <w:rFonts w:eastAsia="Arial"/>
        </w:rPr>
      </w:pPr>
    </w:p>
    <w:p w14:paraId="7BF3B5F3" w14:textId="4F98130D" w:rsidR="00F55774" w:rsidRPr="00FD5E62" w:rsidRDefault="009D305A" w:rsidP="00874A98">
      <w:pPr>
        <w:pStyle w:val="ListParagraph"/>
        <w:numPr>
          <w:ilvl w:val="1"/>
          <w:numId w:val="92"/>
        </w:numPr>
        <w:autoSpaceDE w:val="0"/>
        <w:autoSpaceDN w:val="0"/>
        <w:adjustRightInd w:val="0"/>
        <w:spacing w:after="0" w:line="240" w:lineRule="auto"/>
        <w:ind w:left="851" w:hanging="851"/>
        <w:rPr>
          <w:rFonts w:ascii="Arial" w:eastAsia="Arial" w:hAnsi="Arial" w:cs="Arial"/>
        </w:rPr>
      </w:pPr>
      <w:r w:rsidRPr="00FD5E62">
        <w:rPr>
          <w:rFonts w:ascii="Arial" w:eastAsia="Arial" w:hAnsi="Arial" w:cs="Arial"/>
          <w:bCs/>
          <w:iCs/>
          <w:szCs w:val="24"/>
        </w:rPr>
        <w:t xml:space="preserve">This policy aims to </w:t>
      </w:r>
      <w:r w:rsidRPr="00FD5E62">
        <w:rPr>
          <w:rFonts w:ascii="Arial" w:eastAsia="Arial" w:hAnsi="Arial" w:cs="Arial"/>
          <w:szCs w:val="24"/>
        </w:rPr>
        <w:t>ensure that an appropriate mix of housing is provided to meet the</w:t>
      </w:r>
      <w:r w:rsidRPr="00FD5E62">
        <w:rPr>
          <w:rFonts w:ascii="Arial" w:eastAsia="Arial" w:hAnsi="Arial" w:cs="Arial"/>
        </w:rPr>
        <w:t xml:space="preserve"> needs of the </w:t>
      </w:r>
      <w:proofErr w:type="gramStart"/>
      <w:r w:rsidRPr="00FD5E62">
        <w:rPr>
          <w:rFonts w:ascii="Arial" w:eastAsia="Arial" w:hAnsi="Arial" w:cs="Arial"/>
        </w:rPr>
        <w:t>District</w:t>
      </w:r>
      <w:proofErr w:type="gramEnd"/>
      <w:r w:rsidRPr="00FD5E62">
        <w:rPr>
          <w:rFonts w:ascii="Arial" w:eastAsia="Arial" w:hAnsi="Arial" w:cs="Arial"/>
        </w:rPr>
        <w:t xml:space="preserve"> in a way that does not create concentrations of </w:t>
      </w:r>
      <w:proofErr w:type="gramStart"/>
      <w:r w:rsidRPr="00FD5E62">
        <w:rPr>
          <w:rFonts w:ascii="Arial" w:eastAsia="Arial" w:hAnsi="Arial" w:cs="Arial"/>
        </w:rPr>
        <w:t>particular types</w:t>
      </w:r>
      <w:proofErr w:type="gramEnd"/>
      <w:r w:rsidRPr="00FD5E62">
        <w:rPr>
          <w:rFonts w:ascii="Arial" w:eastAsia="Arial" w:hAnsi="Arial" w:cs="Arial"/>
        </w:rPr>
        <w:t xml:space="preserve"> of housing in an area and </w:t>
      </w:r>
      <w:r w:rsidRPr="00FD5E62">
        <w:rPr>
          <w:rFonts w:ascii="Arial" w:eastAsia="Arial" w:hAnsi="Arial" w:cs="Arial"/>
          <w:strike/>
        </w:rPr>
        <w:t>therefore</w:t>
      </w:r>
      <w:r w:rsidRPr="00FD5E62">
        <w:rPr>
          <w:rFonts w:ascii="Arial" w:eastAsia="Arial" w:hAnsi="Arial" w:cs="Arial"/>
        </w:rPr>
        <w:t xml:space="preserve"> undermine the creation and maintenance of sustainable, inclusive and mixed communities.</w:t>
      </w:r>
    </w:p>
    <w:p w14:paraId="21A2A045" w14:textId="77777777" w:rsidR="00F55774" w:rsidRPr="00503C86" w:rsidRDefault="00F55774" w:rsidP="00503C86">
      <w:pPr>
        <w:rPr>
          <w:rFonts w:eastAsia="Arial"/>
        </w:rPr>
      </w:pPr>
    </w:p>
    <w:tbl>
      <w:tblPr>
        <w:tblStyle w:val="ReportTable1"/>
        <w:tblW w:w="0" w:type="auto"/>
        <w:tblLook w:val="04A0" w:firstRow="1" w:lastRow="0" w:firstColumn="1" w:lastColumn="0" w:noHBand="0" w:noVBand="1"/>
      </w:tblPr>
      <w:tblGrid>
        <w:gridCol w:w="2547"/>
        <w:gridCol w:w="113"/>
        <w:gridCol w:w="6833"/>
      </w:tblGrid>
      <w:tr w:rsidR="00F55774" w:rsidRPr="009D305A" w14:paraId="50B734D0" w14:textId="77777777" w:rsidTr="00E40772">
        <w:trPr>
          <w:trHeight w:val="421"/>
        </w:trPr>
        <w:tc>
          <w:tcPr>
            <w:tcW w:w="9493" w:type="dxa"/>
            <w:gridSpan w:val="3"/>
          </w:tcPr>
          <w:p w14:paraId="76EB40F1" w14:textId="77777777" w:rsidR="00F55774" w:rsidRDefault="00F55774" w:rsidP="00D726D5">
            <w:pPr>
              <w:keepNext w:val="0"/>
              <w:spacing w:before="0"/>
              <w:rPr>
                <w:rFonts w:cs="Arial"/>
                <w:b/>
                <w:bCs/>
                <w:szCs w:val="24"/>
              </w:rPr>
            </w:pPr>
          </w:p>
          <w:p w14:paraId="3A276180" w14:textId="77777777" w:rsidR="00F55774" w:rsidRPr="005A5FB3" w:rsidRDefault="00F55774" w:rsidP="00D726D5">
            <w:pPr>
              <w:keepNext w:val="0"/>
              <w:spacing w:before="0"/>
              <w:rPr>
                <w:rFonts w:cs="Arial"/>
                <w:b/>
                <w:bCs/>
                <w:strike/>
                <w:szCs w:val="24"/>
              </w:rPr>
            </w:pPr>
            <w:r w:rsidRPr="009D305A">
              <w:rPr>
                <w:rFonts w:cs="Arial"/>
                <w:b/>
                <w:bCs/>
                <w:szCs w:val="24"/>
              </w:rPr>
              <w:t>Policy H8: Houses in Multiple Occupation</w:t>
            </w:r>
            <w:r w:rsidRPr="005A5FB3">
              <w:rPr>
                <w:rFonts w:cs="Arial"/>
                <w:b/>
                <w:bCs/>
                <w:strike/>
                <w:szCs w:val="24"/>
              </w:rPr>
              <w:t>, Flats and Bedsits</w:t>
            </w:r>
          </w:p>
          <w:p w14:paraId="13D44066" w14:textId="77777777" w:rsidR="00F55774" w:rsidRPr="009D305A" w:rsidRDefault="00F55774" w:rsidP="00D726D5">
            <w:pPr>
              <w:keepNext w:val="0"/>
              <w:spacing w:before="0"/>
              <w:rPr>
                <w:rFonts w:cs="Arial"/>
                <w:b/>
                <w:bCs/>
                <w:szCs w:val="24"/>
              </w:rPr>
            </w:pPr>
          </w:p>
        </w:tc>
      </w:tr>
      <w:tr w:rsidR="00F55774" w:rsidRPr="009D305A" w14:paraId="016F6560" w14:textId="77777777" w:rsidTr="00E40772">
        <w:tc>
          <w:tcPr>
            <w:tcW w:w="2660" w:type="dxa"/>
            <w:gridSpan w:val="2"/>
          </w:tcPr>
          <w:p w14:paraId="1F71EC67" w14:textId="77777777" w:rsidR="00F55774" w:rsidRPr="00331448" w:rsidRDefault="00F55774" w:rsidP="00D726D5">
            <w:pPr>
              <w:keepNext w:val="0"/>
              <w:spacing w:before="0"/>
              <w:rPr>
                <w:rFonts w:cs="Arial"/>
                <w:szCs w:val="24"/>
              </w:rPr>
            </w:pPr>
            <w:r w:rsidRPr="00331448">
              <w:rPr>
                <w:rFonts w:cs="Arial"/>
                <w:szCs w:val="24"/>
              </w:rPr>
              <w:t>Strategic Objectives</w:t>
            </w:r>
          </w:p>
        </w:tc>
        <w:tc>
          <w:tcPr>
            <w:tcW w:w="6833" w:type="dxa"/>
          </w:tcPr>
          <w:p w14:paraId="7086E0EA" w14:textId="77777777" w:rsidR="00F55774" w:rsidRPr="00331448" w:rsidRDefault="00F55774" w:rsidP="00D726D5">
            <w:pPr>
              <w:keepNext w:val="0"/>
              <w:spacing w:before="0"/>
              <w:rPr>
                <w:rFonts w:cs="Arial"/>
                <w:szCs w:val="24"/>
              </w:rPr>
            </w:pPr>
            <w:r w:rsidRPr="00331448">
              <w:rPr>
                <w:rFonts w:cs="Arial"/>
                <w:szCs w:val="24"/>
              </w:rPr>
              <w:t xml:space="preserve">SO1, SO2, SO3, SO7, SO8, SO9, SO12, SO14. </w:t>
            </w:r>
          </w:p>
        </w:tc>
      </w:tr>
      <w:tr w:rsidR="00E250AF" w:rsidRPr="009D305A" w14:paraId="14F9E5C5" w14:textId="77777777" w:rsidTr="00E40772">
        <w:tc>
          <w:tcPr>
            <w:tcW w:w="9493" w:type="dxa"/>
            <w:gridSpan w:val="3"/>
            <w:shd w:val="clear" w:color="auto" w:fill="F7CAAC" w:themeFill="accent2" w:themeFillTint="66"/>
          </w:tcPr>
          <w:p w14:paraId="5A07AF4F" w14:textId="77777777" w:rsidR="00E250AF" w:rsidRPr="00E56F9C" w:rsidRDefault="00E250AF" w:rsidP="00E250AF">
            <w:pPr>
              <w:rPr>
                <w:rFonts w:cs="Arial"/>
                <w:color w:val="005AA8"/>
              </w:rPr>
            </w:pPr>
            <w:r w:rsidRPr="00A5524C">
              <w:rPr>
                <w:i/>
                <w:iCs/>
                <w:color w:val="000000"/>
              </w:rPr>
              <w:lastRenderedPageBreak/>
              <w:t>Amend Policy H8 as follows:</w:t>
            </w:r>
            <w:r w:rsidRPr="00A5524C">
              <w:rPr>
                <w:strike/>
                <w:color w:val="000000"/>
              </w:rPr>
              <w:br/>
            </w:r>
            <w:r w:rsidRPr="00A5524C">
              <w:rPr>
                <w:color w:val="000000"/>
              </w:rPr>
              <w:br/>
              <w:t>Policy H8: Houses in Multiple Occupation</w:t>
            </w:r>
            <w:r w:rsidRPr="00A5524C">
              <w:rPr>
                <w:strike/>
                <w:color w:val="000000"/>
              </w:rPr>
              <w:t>, Flats and Bedsits</w:t>
            </w:r>
            <w:r w:rsidRPr="00A5524C">
              <w:rPr>
                <w:color w:val="000000"/>
              </w:rPr>
              <w:br/>
            </w:r>
            <w:r w:rsidRPr="00A5524C">
              <w:rPr>
                <w:color w:val="000000"/>
              </w:rPr>
              <w:br/>
              <w:t xml:space="preserve">1. </w:t>
            </w:r>
            <w:r w:rsidRPr="00A5524C">
              <w:rPr>
                <w:strike/>
                <w:color w:val="000000"/>
              </w:rPr>
              <w:t>Planning permission</w:t>
            </w:r>
            <w:r w:rsidRPr="00A5524C">
              <w:rPr>
                <w:b/>
                <w:bCs/>
                <w:color w:val="000000"/>
              </w:rPr>
              <w:t xml:space="preserve"> </w:t>
            </w:r>
            <w:r w:rsidRPr="00E56F9C">
              <w:rPr>
                <w:color w:val="005AA8"/>
              </w:rPr>
              <w:t xml:space="preserve">Proposals for </w:t>
            </w:r>
            <w:r w:rsidRPr="00A5524C">
              <w:rPr>
                <w:strike/>
                <w:color w:val="000000"/>
              </w:rPr>
              <w:t>the following development</w:t>
            </w:r>
            <w:r w:rsidRPr="00A5524C">
              <w:rPr>
                <w:color w:val="000000"/>
              </w:rPr>
              <w:t xml:space="preserve"> </w:t>
            </w:r>
            <w:r w:rsidRPr="00E56F9C">
              <w:rPr>
                <w:color w:val="005AA8"/>
              </w:rPr>
              <w:t xml:space="preserve">new Houses in Multiple Occupation (HMOs) </w:t>
            </w:r>
            <w:r w:rsidRPr="00A5524C">
              <w:rPr>
                <w:strike/>
                <w:color w:val="000000"/>
              </w:rPr>
              <w:t>will only be granted where it does</w:t>
            </w:r>
            <w:r w:rsidRPr="00A5524C">
              <w:rPr>
                <w:color w:val="000000"/>
              </w:rPr>
              <w:t xml:space="preserve"> </w:t>
            </w:r>
            <w:r w:rsidRPr="00E56F9C">
              <w:rPr>
                <w:color w:val="005AA8"/>
              </w:rPr>
              <w:t xml:space="preserve">should </w:t>
            </w:r>
            <w:r w:rsidRPr="00A5524C">
              <w:rPr>
                <w:color w:val="000000"/>
              </w:rPr>
              <w:t xml:space="preserve">not undermine local objectives to create or maintain sustainable, inclusive and mixed communities. </w:t>
            </w:r>
            <w:r w:rsidRPr="00E56F9C">
              <w:rPr>
                <w:color w:val="005AA8"/>
              </w:rPr>
              <w:t>In this respect, applications for HMOs will be supported where t</w:t>
            </w:r>
            <w:r w:rsidRPr="00E56F9C">
              <w:rPr>
                <w:rFonts w:cs="Arial"/>
                <w:color w:val="005AA8"/>
              </w:rPr>
              <w:t xml:space="preserve">he application site does not sandwich C3 residential properties between two HMO properties. This includes </w:t>
            </w:r>
            <w:r w:rsidRPr="00E56F9C">
              <w:rPr>
                <w:color w:val="005AA8"/>
              </w:rPr>
              <w:t>at least</w:t>
            </w:r>
            <w:r w:rsidRPr="00E56F9C">
              <w:rPr>
                <w:rFonts w:cs="Arial"/>
                <w:color w:val="005AA8"/>
              </w:rPr>
              <w:t xml:space="preserve"> three existing </w:t>
            </w:r>
            <w:r w:rsidRPr="00E56F9C">
              <w:rPr>
                <w:color w:val="005AA8"/>
              </w:rPr>
              <w:t xml:space="preserve">C3 </w:t>
            </w:r>
            <w:r w:rsidRPr="00E56F9C">
              <w:rPr>
                <w:rFonts w:cs="Arial"/>
                <w:color w:val="005AA8"/>
              </w:rPr>
              <w:t xml:space="preserve">residential properties in a single street located between two HMO properties, </w:t>
            </w:r>
            <w:r w:rsidRPr="00E56F9C">
              <w:rPr>
                <w:color w:val="005AA8"/>
              </w:rPr>
              <w:t>unless the effects are reduced by separation of properties due to intervening spaces.</w:t>
            </w:r>
          </w:p>
          <w:p w14:paraId="73DD555F" w14:textId="77777777" w:rsidR="00E250AF" w:rsidRPr="00E56F9C" w:rsidRDefault="00E250AF" w:rsidP="00E250AF">
            <w:pPr>
              <w:ind w:left="360"/>
              <w:contextualSpacing/>
              <w:rPr>
                <w:rFonts w:cs="Arial"/>
                <w:color w:val="005AA8"/>
                <w:szCs w:val="24"/>
              </w:rPr>
            </w:pPr>
          </w:p>
          <w:p w14:paraId="0D21037E" w14:textId="77777777" w:rsidR="00E250AF" w:rsidRPr="00A5524C" w:rsidRDefault="00E250AF" w:rsidP="00E250AF">
            <w:pPr>
              <w:contextualSpacing/>
              <w:rPr>
                <w:color w:val="000000"/>
              </w:rPr>
            </w:pPr>
            <w:r w:rsidRPr="00E56F9C">
              <w:rPr>
                <w:rFonts w:cs="Arial"/>
                <w:color w:val="005AA8"/>
              </w:rPr>
              <w:t>Where any residential property or properties are already sandwiched between two HMOs, proposals for the intensification of either HMO, for example the provision of additional bed spaces, will not be permitted</w:t>
            </w:r>
            <w:r w:rsidRPr="00E56F9C">
              <w:rPr>
                <w:color w:val="005AA8"/>
              </w:rPr>
              <w:t>.</w:t>
            </w:r>
            <w:r w:rsidRPr="00E56F9C">
              <w:rPr>
                <w:color w:val="005AA8"/>
              </w:rPr>
              <w:br/>
            </w:r>
            <w:r w:rsidRPr="00A5524C">
              <w:rPr>
                <w:color w:val="000000"/>
              </w:rPr>
              <w:br/>
            </w:r>
            <w:r w:rsidRPr="00A5524C">
              <w:rPr>
                <w:strike/>
                <w:color w:val="000000"/>
              </w:rPr>
              <w:t>a. Changes of use and / or the erection of buildings to create new Houses in Multiple Occupation (HMOs), flats or bedsits; and</w:t>
            </w:r>
            <w:r w:rsidRPr="00A5524C">
              <w:rPr>
                <w:color w:val="000000"/>
              </w:rPr>
              <w:br/>
            </w:r>
            <w:r w:rsidRPr="00A5524C">
              <w:rPr>
                <w:strike/>
                <w:color w:val="000000"/>
              </w:rPr>
              <w:t>b. Extension / alteration of existing HMOs, flats or bedsits, including development that facilitates an increase in the number of occupiers / bedspaces.</w:t>
            </w:r>
            <w:r w:rsidRPr="00A5524C">
              <w:rPr>
                <w:b/>
                <w:bCs/>
                <w:color w:val="000000"/>
              </w:rPr>
              <w:t>.</w:t>
            </w:r>
            <w:r w:rsidRPr="00A5524C">
              <w:rPr>
                <w:color w:val="000000"/>
              </w:rPr>
              <w:br/>
            </w:r>
            <w:r w:rsidRPr="00A5524C">
              <w:rPr>
                <w:color w:val="000000"/>
              </w:rPr>
              <w:br/>
              <w:t xml:space="preserve">2.  In assessing the development’s impact, regard will be given to </w:t>
            </w:r>
            <w:proofErr w:type="gramStart"/>
            <w:r w:rsidRPr="00A5524C">
              <w:rPr>
                <w:color w:val="000000"/>
              </w:rPr>
              <w:t>all of</w:t>
            </w:r>
            <w:proofErr w:type="gramEnd"/>
            <w:r w:rsidRPr="00A5524C">
              <w:rPr>
                <w:color w:val="000000"/>
              </w:rPr>
              <w:t xml:space="preserve"> the following relevant criteria: </w:t>
            </w:r>
            <w:r w:rsidRPr="00A5524C">
              <w:rPr>
                <w:color w:val="000000"/>
              </w:rPr>
              <w:br/>
            </w:r>
            <w:r w:rsidRPr="00A5524C">
              <w:rPr>
                <w:color w:val="000000"/>
              </w:rPr>
              <w:br/>
            </w:r>
            <w:r w:rsidRPr="00A5524C">
              <w:rPr>
                <w:strike/>
                <w:color w:val="000000"/>
              </w:rPr>
              <w:t>a. The extent to which it would contribute to the achievement of mixed and balanced communities;</w:t>
            </w:r>
            <w:r w:rsidRPr="00A5524C">
              <w:rPr>
                <w:strike/>
                <w:color w:val="000000"/>
              </w:rPr>
              <w:br/>
            </w:r>
            <w:r w:rsidRPr="00A5524C">
              <w:rPr>
                <w:color w:val="000000"/>
              </w:rPr>
              <w:br/>
            </w:r>
            <w:r w:rsidRPr="00A5524C">
              <w:rPr>
                <w:strike/>
                <w:color w:val="000000"/>
              </w:rPr>
              <w:t>b.</w:t>
            </w:r>
            <w:r w:rsidRPr="00A5524C">
              <w:rPr>
                <w:color w:val="000000"/>
              </w:rPr>
              <w:t xml:space="preserve"> </w:t>
            </w:r>
            <w:r w:rsidRPr="00E56F9C">
              <w:rPr>
                <w:color w:val="005AA8"/>
              </w:rPr>
              <w:t>a.</w:t>
            </w:r>
            <w:r w:rsidRPr="00A5524C">
              <w:rPr>
                <w:color w:val="000000"/>
              </w:rPr>
              <w:t xml:space="preserve"> The individual characteristics of the building or site and immediate locality, </w:t>
            </w:r>
            <w:r w:rsidRPr="00E56F9C">
              <w:rPr>
                <w:color w:val="005AA8"/>
              </w:rPr>
              <w:t xml:space="preserve">having </w:t>
            </w:r>
            <w:proofErr w:type="gramStart"/>
            <w:r w:rsidRPr="00E56F9C">
              <w:rPr>
                <w:color w:val="005AA8"/>
              </w:rPr>
              <w:t>particular regard</w:t>
            </w:r>
            <w:proofErr w:type="gramEnd"/>
            <w:r w:rsidRPr="00E56F9C">
              <w:rPr>
                <w:color w:val="005AA8"/>
              </w:rPr>
              <w:t xml:space="preserve"> to the criteria set out in Policies SD2: Good Design Considerations and SD3: Amenity; </w:t>
            </w:r>
            <w:r w:rsidRPr="00E56F9C">
              <w:rPr>
                <w:color w:val="005AA8"/>
              </w:rPr>
              <w:br/>
            </w:r>
            <w:r w:rsidRPr="00A5524C">
              <w:rPr>
                <w:strike/>
                <w:color w:val="000000"/>
              </w:rPr>
              <w:br/>
              <w:t xml:space="preserve">c. Any evidence of existing HMO and purpose-built accommodation provision within the immediate vicinity of the site that already impacts on local character and amenity; </w:t>
            </w:r>
            <w:r w:rsidRPr="00A5524C">
              <w:rPr>
                <w:strike/>
                <w:color w:val="000000"/>
              </w:rPr>
              <w:br/>
            </w:r>
            <w:r w:rsidRPr="00A5524C">
              <w:rPr>
                <w:strike/>
                <w:color w:val="000000"/>
              </w:rPr>
              <w:br/>
              <w:t xml:space="preserve">d. The impact the proposed development would have on the character and amenity of the area or site, having </w:t>
            </w:r>
            <w:proofErr w:type="gramStart"/>
            <w:r w:rsidRPr="00A5524C">
              <w:rPr>
                <w:strike/>
                <w:color w:val="000000"/>
              </w:rPr>
              <w:t>particular regard</w:t>
            </w:r>
            <w:proofErr w:type="gramEnd"/>
            <w:r w:rsidRPr="00A5524C">
              <w:rPr>
                <w:strike/>
                <w:color w:val="000000"/>
              </w:rPr>
              <w:t xml:space="preserve"> to the criteria set out in Policies SD2 and SD3. External staircases and large extensions which reduce the amenities of adjoining occupiers and/or the private amenity space available to future residents to an unacceptable degree will not be supported;</w:t>
            </w:r>
            <w:r w:rsidRPr="00A5524C">
              <w:rPr>
                <w:color w:val="000000"/>
              </w:rPr>
              <w:br/>
            </w:r>
            <w:r w:rsidRPr="00A5524C">
              <w:rPr>
                <w:color w:val="000000"/>
              </w:rPr>
              <w:br/>
            </w:r>
            <w:r w:rsidRPr="00A5524C">
              <w:rPr>
                <w:strike/>
                <w:color w:val="000000"/>
              </w:rPr>
              <w:t>e.</w:t>
            </w:r>
            <w:r w:rsidRPr="00A5524C">
              <w:rPr>
                <w:color w:val="000000"/>
              </w:rPr>
              <w:t xml:space="preserve"> </w:t>
            </w:r>
            <w:r w:rsidRPr="00E56F9C">
              <w:rPr>
                <w:color w:val="005AA8"/>
              </w:rPr>
              <w:t>b.</w:t>
            </w:r>
            <w:r w:rsidRPr="00A5524C">
              <w:rPr>
                <w:color w:val="000000"/>
              </w:rPr>
              <w:t xml:space="preserve"> Whether the proposal would incorporate an appropriate level of car and cycle parking having regard to the location, scale and nature of the development in line with Policy SD11:</w:t>
            </w:r>
            <w:r w:rsidRPr="00A5524C">
              <w:rPr>
                <w:b/>
                <w:bCs/>
                <w:color w:val="000000"/>
              </w:rPr>
              <w:t xml:space="preserve"> </w:t>
            </w:r>
            <w:r w:rsidRPr="00E56F9C">
              <w:rPr>
                <w:color w:val="005AA8"/>
              </w:rPr>
              <w:t>Parking</w:t>
            </w:r>
            <w:r w:rsidRPr="00A5524C">
              <w:rPr>
                <w:color w:val="000000"/>
              </w:rPr>
              <w:t>; and</w:t>
            </w:r>
          </w:p>
          <w:p w14:paraId="468FB47E" w14:textId="77777777" w:rsidR="00E250AF" w:rsidRPr="00A5524C" w:rsidRDefault="00E250AF" w:rsidP="00E250AF">
            <w:pPr>
              <w:rPr>
                <w:color w:val="000000"/>
              </w:rPr>
            </w:pPr>
            <w:r w:rsidRPr="00A5524C">
              <w:rPr>
                <w:rFonts w:cs="Arial"/>
                <w:strike/>
              </w:rPr>
              <w:t>f.</w:t>
            </w:r>
            <w:r w:rsidRPr="00A5524C">
              <w:rPr>
                <w:rFonts w:cs="Arial"/>
              </w:rPr>
              <w:t xml:space="preserve">  </w:t>
            </w:r>
            <w:r w:rsidRPr="00E56F9C">
              <w:rPr>
                <w:rFonts w:cs="Arial"/>
                <w:color w:val="005AA8"/>
              </w:rPr>
              <w:t>c.</w:t>
            </w:r>
            <w:r w:rsidRPr="00A5524C">
              <w:rPr>
                <w:rFonts w:cs="Arial"/>
              </w:rPr>
              <w:t xml:space="preserve"> Whether the proposal would result in the positive re-use of an existing vacant building or disused land in accordance with wider regeneration benefits.</w:t>
            </w:r>
          </w:p>
          <w:p w14:paraId="49E2984F" w14:textId="77777777" w:rsidR="00E250AF" w:rsidRPr="00C1562F" w:rsidRDefault="00E250AF" w:rsidP="00E250AF">
            <w:pPr>
              <w:keepNext w:val="0"/>
              <w:spacing w:before="0"/>
              <w:rPr>
                <w:rFonts w:cs="Arial"/>
                <w:szCs w:val="24"/>
              </w:rPr>
            </w:pPr>
          </w:p>
        </w:tc>
      </w:tr>
      <w:tr w:rsidR="00E250AF" w:rsidRPr="009D305A" w14:paraId="1DEB8CB6" w14:textId="77777777" w:rsidTr="00E40772">
        <w:tc>
          <w:tcPr>
            <w:tcW w:w="2547" w:type="dxa"/>
          </w:tcPr>
          <w:p w14:paraId="51F06C97" w14:textId="77777777" w:rsidR="00E250AF" w:rsidRPr="000032A9" w:rsidRDefault="00E250AF" w:rsidP="00E250AF">
            <w:pPr>
              <w:keepNext w:val="0"/>
              <w:spacing w:before="0"/>
              <w:rPr>
                <w:rFonts w:cs="Arial"/>
                <w:sz w:val="20"/>
              </w:rPr>
            </w:pPr>
            <w:r w:rsidRPr="000032A9">
              <w:rPr>
                <w:rFonts w:cs="Arial"/>
                <w:sz w:val="20"/>
              </w:rPr>
              <w:lastRenderedPageBreak/>
              <w:t>Evidence Base</w:t>
            </w:r>
          </w:p>
          <w:p w14:paraId="0F82B546" w14:textId="77777777" w:rsidR="00E250AF" w:rsidRPr="000032A9" w:rsidRDefault="00E250AF" w:rsidP="00E250AF">
            <w:pPr>
              <w:keepNext w:val="0"/>
              <w:spacing w:before="0"/>
              <w:rPr>
                <w:rFonts w:cs="Arial"/>
                <w:sz w:val="20"/>
              </w:rPr>
            </w:pPr>
          </w:p>
        </w:tc>
        <w:tc>
          <w:tcPr>
            <w:tcW w:w="6946" w:type="dxa"/>
            <w:gridSpan w:val="2"/>
          </w:tcPr>
          <w:p w14:paraId="64BA2F75" w14:textId="77777777" w:rsidR="00E250AF" w:rsidRPr="004C67D8" w:rsidRDefault="00E250AF" w:rsidP="00E250AF">
            <w:pPr>
              <w:keepNext w:val="0"/>
              <w:numPr>
                <w:ilvl w:val="0"/>
                <w:numId w:val="129"/>
              </w:numPr>
              <w:spacing w:before="0"/>
              <w:ind w:left="459" w:hanging="425"/>
              <w:rPr>
                <w:rFonts w:cs="Arial"/>
                <w:color w:val="auto"/>
                <w:sz w:val="20"/>
              </w:rPr>
            </w:pPr>
            <w:r w:rsidRPr="004C67D8">
              <w:rPr>
                <w:rFonts w:cs="Arial"/>
                <w:color w:val="auto"/>
                <w:sz w:val="20"/>
              </w:rPr>
              <w:t>Greater Nottingham &amp; Ashfield Housing Needs Assessment Final Report, 2020 – Iceni Projects Ltd.</w:t>
            </w:r>
          </w:p>
          <w:p w14:paraId="2470FECC" w14:textId="1BE2D441" w:rsidR="00E250AF" w:rsidRPr="004C67D8" w:rsidRDefault="00E250AF" w:rsidP="00E250AF">
            <w:pPr>
              <w:keepNext w:val="0"/>
              <w:numPr>
                <w:ilvl w:val="0"/>
                <w:numId w:val="129"/>
              </w:numPr>
              <w:spacing w:before="0"/>
              <w:ind w:left="459" w:hanging="425"/>
              <w:rPr>
                <w:rFonts w:cs="Arial"/>
                <w:color w:val="auto"/>
                <w:sz w:val="20"/>
              </w:rPr>
            </w:pPr>
            <w:r w:rsidRPr="004C67D8">
              <w:rPr>
                <w:rFonts w:cs="Arial"/>
                <w:color w:val="auto"/>
                <w:sz w:val="20"/>
              </w:rPr>
              <w:t>Sustainability Appraisal 2023. WSP UK Limited.</w:t>
            </w:r>
          </w:p>
        </w:tc>
      </w:tr>
      <w:tr w:rsidR="00E250AF" w:rsidRPr="00F55774" w14:paraId="35410C8F" w14:textId="77777777" w:rsidTr="00E40772">
        <w:tc>
          <w:tcPr>
            <w:tcW w:w="2547" w:type="dxa"/>
          </w:tcPr>
          <w:p w14:paraId="7081E939" w14:textId="77777777" w:rsidR="00E250AF" w:rsidRPr="000032A9" w:rsidRDefault="00E250AF" w:rsidP="00E250AF">
            <w:pPr>
              <w:keepNext w:val="0"/>
              <w:spacing w:before="0"/>
              <w:rPr>
                <w:rFonts w:cs="Arial"/>
                <w:sz w:val="20"/>
              </w:rPr>
            </w:pPr>
            <w:r w:rsidRPr="000032A9">
              <w:rPr>
                <w:rFonts w:cs="Arial"/>
                <w:sz w:val="20"/>
              </w:rPr>
              <w:t>National Planning Policy and Guidance</w:t>
            </w:r>
          </w:p>
        </w:tc>
        <w:tc>
          <w:tcPr>
            <w:tcW w:w="6946" w:type="dxa"/>
            <w:gridSpan w:val="2"/>
          </w:tcPr>
          <w:p w14:paraId="42DD1802" w14:textId="26E1FC1A" w:rsidR="00E250AF" w:rsidRPr="004C67D8" w:rsidRDefault="00E250AF" w:rsidP="00E250AF">
            <w:pPr>
              <w:keepNext w:val="0"/>
              <w:numPr>
                <w:ilvl w:val="0"/>
                <w:numId w:val="119"/>
              </w:numPr>
              <w:spacing w:before="0"/>
              <w:rPr>
                <w:rFonts w:cs="Arial"/>
                <w:color w:val="auto"/>
                <w:sz w:val="20"/>
              </w:rPr>
            </w:pPr>
            <w:r w:rsidRPr="004C67D8">
              <w:rPr>
                <w:rFonts w:cs="Arial"/>
                <w:color w:val="auto"/>
                <w:sz w:val="20"/>
              </w:rPr>
              <w:t>NPPF 2023, Part 2: Achieving sustainable development.</w:t>
            </w:r>
          </w:p>
          <w:p w14:paraId="36EED892" w14:textId="4C53001A" w:rsidR="00E250AF" w:rsidRPr="004C67D8" w:rsidRDefault="00E250AF" w:rsidP="00E250AF">
            <w:pPr>
              <w:keepNext w:val="0"/>
              <w:numPr>
                <w:ilvl w:val="0"/>
                <w:numId w:val="119"/>
              </w:numPr>
              <w:spacing w:before="0"/>
              <w:rPr>
                <w:rFonts w:cs="Arial"/>
                <w:color w:val="auto"/>
                <w:sz w:val="20"/>
              </w:rPr>
            </w:pPr>
            <w:r w:rsidRPr="004C67D8">
              <w:rPr>
                <w:rFonts w:cs="Arial"/>
                <w:color w:val="auto"/>
                <w:sz w:val="20"/>
              </w:rPr>
              <w:t>NPPF 2023, Part 5: Delivering a sufficient supply of homes</w:t>
            </w:r>
          </w:p>
          <w:p w14:paraId="03F73CB3" w14:textId="23E56B3A" w:rsidR="00E250AF" w:rsidRPr="004C67D8" w:rsidRDefault="00E250AF" w:rsidP="00E250AF">
            <w:pPr>
              <w:keepNext w:val="0"/>
              <w:numPr>
                <w:ilvl w:val="0"/>
                <w:numId w:val="119"/>
              </w:numPr>
              <w:spacing w:before="0"/>
              <w:rPr>
                <w:rFonts w:cs="Arial"/>
                <w:color w:val="auto"/>
                <w:sz w:val="20"/>
              </w:rPr>
            </w:pPr>
            <w:r w:rsidRPr="004C67D8">
              <w:rPr>
                <w:rFonts w:cs="Arial"/>
                <w:color w:val="auto"/>
                <w:sz w:val="20"/>
              </w:rPr>
              <w:t xml:space="preserve">Planning Practice Guidance: Effective use of land as </w:t>
            </w:r>
            <w:proofErr w:type="gramStart"/>
            <w:r w:rsidRPr="004C67D8">
              <w:rPr>
                <w:rFonts w:cs="Arial"/>
                <w:color w:val="auto"/>
                <w:sz w:val="20"/>
              </w:rPr>
              <w:t>at</w:t>
            </w:r>
            <w:proofErr w:type="gramEnd"/>
            <w:r w:rsidRPr="004C67D8">
              <w:rPr>
                <w:rFonts w:cs="Arial"/>
                <w:color w:val="auto"/>
                <w:sz w:val="20"/>
              </w:rPr>
              <w:t xml:space="preserve"> July 2019.</w:t>
            </w:r>
          </w:p>
          <w:p w14:paraId="3C62CC36" w14:textId="58E5E471" w:rsidR="00E250AF" w:rsidRPr="004C67D8" w:rsidRDefault="00E250AF" w:rsidP="00E250AF">
            <w:pPr>
              <w:keepNext w:val="0"/>
              <w:numPr>
                <w:ilvl w:val="0"/>
                <w:numId w:val="119"/>
              </w:numPr>
              <w:spacing w:before="0"/>
              <w:rPr>
                <w:rFonts w:cs="Arial"/>
                <w:color w:val="auto"/>
                <w:sz w:val="20"/>
              </w:rPr>
            </w:pPr>
            <w:r w:rsidRPr="004C67D8">
              <w:rPr>
                <w:rFonts w:cs="Arial"/>
                <w:color w:val="auto"/>
                <w:sz w:val="20"/>
              </w:rPr>
              <w:t xml:space="preserve">Planning Practice Guidance: Healthy and safe communities as </w:t>
            </w:r>
            <w:proofErr w:type="gramStart"/>
            <w:r w:rsidRPr="004C67D8">
              <w:rPr>
                <w:rFonts w:cs="Arial"/>
                <w:color w:val="auto"/>
                <w:sz w:val="20"/>
              </w:rPr>
              <w:t>at</w:t>
            </w:r>
            <w:proofErr w:type="gramEnd"/>
            <w:r w:rsidRPr="004C67D8">
              <w:rPr>
                <w:rFonts w:cs="Arial"/>
                <w:color w:val="auto"/>
                <w:sz w:val="20"/>
              </w:rPr>
              <w:t xml:space="preserve"> August 2022.</w:t>
            </w:r>
          </w:p>
        </w:tc>
      </w:tr>
    </w:tbl>
    <w:p w14:paraId="1B8B94BB" w14:textId="77777777" w:rsidR="00F55774" w:rsidRPr="00F55774" w:rsidRDefault="00F55774" w:rsidP="00F55774">
      <w:pPr>
        <w:keepNext w:val="0"/>
        <w:spacing w:before="0"/>
        <w:rPr>
          <w:rFonts w:cs="Arial"/>
          <w:b/>
          <w:bCs/>
          <w:szCs w:val="24"/>
        </w:rPr>
      </w:pPr>
    </w:p>
    <w:p w14:paraId="62FC2E4D" w14:textId="77777777" w:rsidR="00C1562F" w:rsidRPr="00C1562F" w:rsidRDefault="00C1562F" w:rsidP="00782ECF">
      <w:pPr>
        <w:pStyle w:val="ListParagraph"/>
        <w:autoSpaceDE w:val="0"/>
        <w:autoSpaceDN w:val="0"/>
        <w:adjustRightInd w:val="0"/>
        <w:spacing w:after="0" w:line="240" w:lineRule="auto"/>
        <w:ind w:left="851"/>
        <w:rPr>
          <w:rFonts w:ascii="Arial" w:eastAsia="Arial" w:hAnsi="Arial" w:cs="Arial"/>
          <w:color w:val="0070C0"/>
          <w:szCs w:val="24"/>
        </w:rPr>
      </w:pPr>
      <w:r w:rsidRPr="00C1562F">
        <w:rPr>
          <w:rFonts w:ascii="Arial" w:hAnsi="Arial" w:cs="Arial"/>
          <w:color w:val="0070C0"/>
        </w:rPr>
        <w:t>This policy applies to:</w:t>
      </w:r>
    </w:p>
    <w:p w14:paraId="7F892B7E" w14:textId="77777777" w:rsidR="00C1562F" w:rsidRPr="00C1562F" w:rsidRDefault="00C1562F" w:rsidP="00C1562F">
      <w:pPr>
        <w:pStyle w:val="ListParagraph"/>
        <w:autoSpaceDE w:val="0"/>
        <w:autoSpaceDN w:val="0"/>
        <w:adjustRightInd w:val="0"/>
        <w:ind w:left="851"/>
        <w:rPr>
          <w:rFonts w:ascii="Arial" w:eastAsia="Arial" w:hAnsi="Arial" w:cs="Arial"/>
          <w:color w:val="0070C0"/>
          <w:szCs w:val="24"/>
        </w:rPr>
      </w:pPr>
    </w:p>
    <w:p w14:paraId="4C5673B7" w14:textId="77777777" w:rsidR="00C1562F" w:rsidRPr="00C1562F" w:rsidRDefault="00C1562F" w:rsidP="004466EB">
      <w:pPr>
        <w:pStyle w:val="ListParagraph"/>
        <w:numPr>
          <w:ilvl w:val="0"/>
          <w:numId w:val="354"/>
        </w:numPr>
        <w:autoSpaceDE w:val="0"/>
        <w:autoSpaceDN w:val="0"/>
        <w:adjustRightInd w:val="0"/>
        <w:spacing w:after="0" w:line="240" w:lineRule="auto"/>
        <w:rPr>
          <w:rFonts w:ascii="Arial" w:hAnsi="Arial" w:cs="Arial"/>
          <w:color w:val="0070C0"/>
        </w:rPr>
      </w:pPr>
      <w:r w:rsidRPr="00C1562F">
        <w:rPr>
          <w:rFonts w:ascii="Arial" w:hAnsi="Arial" w:cs="Arial"/>
          <w:color w:val="0070C0"/>
        </w:rPr>
        <w:t>Building new HMOs;</w:t>
      </w:r>
    </w:p>
    <w:p w14:paraId="2BA1FF89" w14:textId="77777777" w:rsidR="00C1562F" w:rsidRPr="00C1562F" w:rsidRDefault="00C1562F" w:rsidP="004466EB">
      <w:pPr>
        <w:pStyle w:val="ListParagraph"/>
        <w:numPr>
          <w:ilvl w:val="0"/>
          <w:numId w:val="354"/>
        </w:numPr>
        <w:autoSpaceDE w:val="0"/>
        <w:autoSpaceDN w:val="0"/>
        <w:adjustRightInd w:val="0"/>
        <w:spacing w:after="0" w:line="240" w:lineRule="auto"/>
        <w:rPr>
          <w:rFonts w:ascii="Arial" w:hAnsi="Arial" w:cs="Arial"/>
          <w:color w:val="0070C0"/>
        </w:rPr>
      </w:pPr>
      <w:r w:rsidRPr="00C1562F">
        <w:rPr>
          <w:rFonts w:ascii="Arial" w:hAnsi="Arial" w:cs="Arial"/>
          <w:color w:val="0070C0"/>
        </w:rPr>
        <w:t>Converting existing dwellings into HMOs;</w:t>
      </w:r>
    </w:p>
    <w:p w14:paraId="00D4EC43" w14:textId="78CBB5D3" w:rsidR="00C1562F" w:rsidRPr="00C1562F" w:rsidRDefault="00C1562F" w:rsidP="004466EB">
      <w:pPr>
        <w:pStyle w:val="ListParagraph"/>
        <w:numPr>
          <w:ilvl w:val="0"/>
          <w:numId w:val="354"/>
        </w:numPr>
        <w:autoSpaceDE w:val="0"/>
        <w:autoSpaceDN w:val="0"/>
        <w:adjustRightInd w:val="0"/>
        <w:spacing w:after="0" w:line="240" w:lineRule="auto"/>
        <w:rPr>
          <w:rFonts w:ascii="Arial" w:hAnsi="Arial" w:cs="Arial"/>
          <w:color w:val="0070C0"/>
        </w:rPr>
      </w:pPr>
      <w:r w:rsidRPr="00C1562F">
        <w:rPr>
          <w:rFonts w:ascii="Arial" w:hAnsi="Arial" w:cs="Arial"/>
          <w:color w:val="0070C0"/>
        </w:rPr>
        <w:t>Intensifying existing HMOs through an increase in the number of bedspaces, where this requires planning permission</w:t>
      </w:r>
      <w:r w:rsidR="001947EA">
        <w:rPr>
          <w:rFonts w:ascii="Arial" w:hAnsi="Arial" w:cs="Arial"/>
          <w:color w:val="0070C0"/>
        </w:rPr>
        <w:t>.</w:t>
      </w:r>
    </w:p>
    <w:p w14:paraId="3E7BE8E5" w14:textId="77777777" w:rsidR="00C1562F" w:rsidRPr="00C1562F" w:rsidRDefault="00C1562F" w:rsidP="00C1562F">
      <w:pPr>
        <w:keepNext w:val="0"/>
        <w:autoSpaceDE w:val="0"/>
        <w:autoSpaceDN w:val="0"/>
        <w:adjustRightInd w:val="0"/>
        <w:spacing w:before="0"/>
        <w:rPr>
          <w:rFonts w:cs="Arial"/>
          <w:color w:val="0070C0"/>
        </w:rPr>
      </w:pPr>
    </w:p>
    <w:p w14:paraId="32A26C3F" w14:textId="77777777" w:rsidR="00C1562F" w:rsidRPr="00C1562F" w:rsidRDefault="00C1562F" w:rsidP="00782ECF">
      <w:pPr>
        <w:pStyle w:val="ListParagraph"/>
        <w:autoSpaceDE w:val="0"/>
        <w:autoSpaceDN w:val="0"/>
        <w:adjustRightInd w:val="0"/>
        <w:spacing w:after="0" w:line="240" w:lineRule="auto"/>
        <w:ind w:left="851"/>
        <w:rPr>
          <w:rFonts w:ascii="Arial" w:hAnsi="Arial" w:cs="Arial"/>
          <w:color w:val="0070C0"/>
        </w:rPr>
      </w:pPr>
      <w:r w:rsidRPr="00C1562F">
        <w:rPr>
          <w:rFonts w:ascii="Arial" w:eastAsiaTheme="minorHAnsi" w:hAnsi="Arial" w:cs="Arial"/>
          <w:color w:val="0070C0"/>
          <w:szCs w:val="24"/>
          <w14:ligatures w14:val="standardContextual"/>
        </w:rPr>
        <w:t>A property is broadly defined as an HMO if it is occupied by 3 or more persons from 2 or more households and there are shared facilities such as a toilet, bathroom or kitchen. A household can be a separate individual, a couple or a family.</w:t>
      </w:r>
      <w:r w:rsidRPr="00C1562F">
        <w:rPr>
          <w:rFonts w:ascii="Arial" w:hAnsi="Arial" w:cs="Arial"/>
          <w:color w:val="0070C0"/>
        </w:rPr>
        <w:t xml:space="preserve"> HMOs currently fall into the following classes as set out by the Town and Country Planning (Use Classes) Order 1987 (as amended):</w:t>
      </w:r>
    </w:p>
    <w:p w14:paraId="1C1F7951" w14:textId="77777777" w:rsidR="00C1562F" w:rsidRPr="00C1562F" w:rsidRDefault="00C1562F" w:rsidP="00C1562F">
      <w:pPr>
        <w:keepNext w:val="0"/>
        <w:autoSpaceDE w:val="0"/>
        <w:autoSpaceDN w:val="0"/>
        <w:adjustRightInd w:val="0"/>
        <w:spacing w:before="0"/>
        <w:rPr>
          <w:rFonts w:cs="Arial"/>
          <w:color w:val="0070C0"/>
        </w:rPr>
      </w:pPr>
    </w:p>
    <w:p w14:paraId="7E7DD663" w14:textId="77777777" w:rsidR="00C1562F" w:rsidRPr="00C1562F" w:rsidRDefault="00C1562F" w:rsidP="004466EB">
      <w:pPr>
        <w:pStyle w:val="ListParagraph"/>
        <w:numPr>
          <w:ilvl w:val="0"/>
          <w:numId w:val="355"/>
        </w:numPr>
        <w:autoSpaceDE w:val="0"/>
        <w:autoSpaceDN w:val="0"/>
        <w:adjustRightInd w:val="0"/>
        <w:spacing w:after="0" w:line="240" w:lineRule="auto"/>
        <w:ind w:left="1134" w:hanging="283"/>
        <w:rPr>
          <w:rFonts w:ascii="Arial" w:hAnsi="Arial" w:cs="Arial"/>
          <w:color w:val="0070C0"/>
        </w:rPr>
      </w:pPr>
      <w:r w:rsidRPr="00C1562F">
        <w:rPr>
          <w:rFonts w:ascii="Arial" w:hAnsi="Arial" w:cs="Arial"/>
          <w:color w:val="0070C0"/>
        </w:rPr>
        <w:t>Use Class C4: shared houses – often referred to as a small HMO - occupied by between three and six unrelated individuals, as their only or main residence, who share basic amenities such as a kitchen or bathroom, or</w:t>
      </w:r>
    </w:p>
    <w:p w14:paraId="0E9B1567" w14:textId="77777777" w:rsidR="00C1562F" w:rsidRPr="00C1562F" w:rsidRDefault="00C1562F" w:rsidP="004466EB">
      <w:pPr>
        <w:pStyle w:val="ListParagraph"/>
        <w:numPr>
          <w:ilvl w:val="0"/>
          <w:numId w:val="355"/>
        </w:numPr>
        <w:autoSpaceDE w:val="0"/>
        <w:autoSpaceDN w:val="0"/>
        <w:adjustRightInd w:val="0"/>
        <w:spacing w:after="0" w:line="240" w:lineRule="auto"/>
        <w:ind w:left="1134" w:hanging="283"/>
        <w:rPr>
          <w:rFonts w:ascii="Arial" w:hAnsi="Arial" w:cs="Arial"/>
          <w:color w:val="0070C0"/>
        </w:rPr>
      </w:pPr>
      <w:r w:rsidRPr="00C1562F">
        <w:rPr>
          <w:rFonts w:ascii="Arial" w:hAnsi="Arial" w:cs="Arial"/>
          <w:color w:val="0070C0"/>
        </w:rPr>
        <w:t>Sui Generis: HMOs with more than six unrelated individuals as their only or main residence, who share basic amenities such as a kitchen or bathroom – often referred to as a larger HMO.</w:t>
      </w:r>
    </w:p>
    <w:p w14:paraId="6E90BEB9" w14:textId="77777777" w:rsidR="00C1562F" w:rsidRPr="00C1562F" w:rsidRDefault="00C1562F" w:rsidP="00C1562F">
      <w:pPr>
        <w:keepNext w:val="0"/>
        <w:autoSpaceDE w:val="0"/>
        <w:autoSpaceDN w:val="0"/>
        <w:adjustRightInd w:val="0"/>
        <w:spacing w:before="0"/>
        <w:rPr>
          <w:rFonts w:cs="Arial"/>
          <w:color w:val="0070C0"/>
        </w:rPr>
      </w:pPr>
    </w:p>
    <w:p w14:paraId="41F1A2C9" w14:textId="77777777" w:rsidR="00C1562F" w:rsidRPr="00C1562F" w:rsidRDefault="00C1562F" w:rsidP="00782ECF">
      <w:pPr>
        <w:pStyle w:val="ListParagraph"/>
        <w:autoSpaceDE w:val="0"/>
        <w:autoSpaceDN w:val="0"/>
        <w:adjustRightInd w:val="0"/>
        <w:spacing w:after="0" w:line="240" w:lineRule="auto"/>
        <w:ind w:left="851"/>
        <w:rPr>
          <w:rFonts w:ascii="Arial" w:hAnsi="Arial" w:cs="Arial"/>
          <w:color w:val="0070C0"/>
        </w:rPr>
      </w:pPr>
      <w:r w:rsidRPr="00C1562F">
        <w:rPr>
          <w:rFonts w:ascii="Arial" w:hAnsi="Arial" w:cs="Arial"/>
          <w:color w:val="0070C0"/>
        </w:rPr>
        <w:t>All new larger HMOs require planning permission. But change of use of houses (in Class C3) to small HMOs (in C4) can be carried out under permitted development rights, i.e., without the need for planning permission, unless the house is within an Article 4 Direction area and that permitted development right has been removed.</w:t>
      </w:r>
    </w:p>
    <w:p w14:paraId="6DFEE24B" w14:textId="77777777" w:rsidR="00C1562F" w:rsidRPr="00C1562F" w:rsidRDefault="00C1562F" w:rsidP="00C1562F">
      <w:pPr>
        <w:pStyle w:val="ListParagraph"/>
        <w:autoSpaceDE w:val="0"/>
        <w:autoSpaceDN w:val="0"/>
        <w:adjustRightInd w:val="0"/>
        <w:ind w:left="851"/>
        <w:rPr>
          <w:rFonts w:ascii="Arial" w:hAnsi="Arial" w:cs="Arial"/>
          <w:color w:val="70AD47" w:themeColor="accent6"/>
          <w:szCs w:val="24"/>
        </w:rPr>
      </w:pPr>
    </w:p>
    <w:p w14:paraId="663C38F3" w14:textId="77777777" w:rsidR="00C1562F" w:rsidRPr="00C1562F" w:rsidRDefault="00C1562F" w:rsidP="00C1562F">
      <w:pPr>
        <w:pStyle w:val="ListParagraph"/>
        <w:numPr>
          <w:ilvl w:val="1"/>
          <w:numId w:val="92"/>
        </w:numPr>
        <w:autoSpaceDE w:val="0"/>
        <w:autoSpaceDN w:val="0"/>
        <w:adjustRightInd w:val="0"/>
        <w:spacing w:after="0" w:line="240" w:lineRule="auto"/>
        <w:ind w:left="851" w:hanging="851"/>
        <w:rPr>
          <w:rFonts w:ascii="Arial" w:eastAsia="Arial" w:hAnsi="Arial" w:cs="Arial"/>
          <w:color w:val="0070C0"/>
          <w:szCs w:val="24"/>
        </w:rPr>
      </w:pPr>
      <w:r w:rsidRPr="00C1562F">
        <w:rPr>
          <w:rFonts w:ascii="Arial" w:eastAsia="Arial" w:hAnsi="Arial" w:cs="Arial"/>
          <w:strike/>
          <w:color w:val="auto"/>
          <w:szCs w:val="24"/>
        </w:rPr>
        <w:t xml:space="preserve">The conversion of existing residential units to provide Houses in Multiple Occupation bedsits and flats can provide a needed source of accommodation.  (HMOs) play </w:t>
      </w:r>
      <w:r w:rsidRPr="00C1562F">
        <w:rPr>
          <w:rFonts w:ascii="Arial" w:eastAsia="Arial" w:hAnsi="Arial" w:cs="Arial"/>
          <w:strike/>
          <w:szCs w:val="24"/>
        </w:rPr>
        <w:t xml:space="preserve">an important role in providing accommodation for many groups on lower incomes, as well as a large proportion of younger members of the population for whom entry onto the property market as a first-time buyer is becoming increasingly delayed, </w:t>
      </w:r>
      <w:proofErr w:type="gramStart"/>
      <w:r w:rsidRPr="00C1562F">
        <w:rPr>
          <w:rFonts w:ascii="Arial" w:eastAsia="Arial" w:hAnsi="Arial" w:cs="Arial"/>
          <w:strike/>
          <w:szCs w:val="24"/>
        </w:rPr>
        <w:t>and also</w:t>
      </w:r>
      <w:proofErr w:type="gramEnd"/>
      <w:r w:rsidRPr="00C1562F">
        <w:rPr>
          <w:rFonts w:ascii="Arial" w:eastAsia="Arial" w:hAnsi="Arial" w:cs="Arial"/>
          <w:strike/>
          <w:szCs w:val="24"/>
        </w:rPr>
        <w:t xml:space="preserve"> those displaced </w:t>
      </w:r>
      <w:proofErr w:type="gramStart"/>
      <w:r w:rsidRPr="00C1562F">
        <w:rPr>
          <w:rFonts w:ascii="Arial" w:eastAsia="Arial" w:hAnsi="Arial" w:cs="Arial"/>
          <w:strike/>
          <w:szCs w:val="24"/>
        </w:rPr>
        <w:t>as a result of</w:t>
      </w:r>
      <w:proofErr w:type="gramEnd"/>
      <w:r w:rsidRPr="00C1562F">
        <w:rPr>
          <w:rFonts w:ascii="Arial" w:eastAsia="Arial" w:hAnsi="Arial" w:cs="Arial"/>
          <w:strike/>
          <w:szCs w:val="24"/>
        </w:rPr>
        <w:t xml:space="preserve"> family change</w:t>
      </w:r>
      <w:r w:rsidRPr="00C1562F">
        <w:rPr>
          <w:rFonts w:ascii="Arial" w:eastAsia="Arial" w:hAnsi="Arial" w:cs="Arial"/>
          <w:szCs w:val="24"/>
        </w:rPr>
        <w:t>.</w:t>
      </w:r>
      <w:r w:rsidRPr="00C1562F">
        <w:rPr>
          <w:rStyle w:val="Heading1Char"/>
          <w:rFonts w:cs="Arial"/>
          <w:sz w:val="24"/>
          <w:szCs w:val="24"/>
        </w:rPr>
        <w:t xml:space="preserve"> </w:t>
      </w:r>
      <w:r w:rsidRPr="00C1562F">
        <w:rPr>
          <w:rStyle w:val="cf01"/>
          <w:rFonts w:ascii="Arial" w:eastAsiaTheme="majorEastAsia" w:hAnsi="Arial" w:cs="Arial"/>
          <w:color w:val="0070C0"/>
          <w:sz w:val="24"/>
          <w:szCs w:val="24"/>
        </w:rPr>
        <w:t xml:space="preserve">The council recognises that Houses in Multiple Occupation (HMOs) play an important role in providing affordable and accessible housing options for many, including, but not limited to, young professionals, key workers, those displaced </w:t>
      </w:r>
      <w:proofErr w:type="gramStart"/>
      <w:r w:rsidRPr="00C1562F">
        <w:rPr>
          <w:rStyle w:val="cf01"/>
          <w:rFonts w:ascii="Arial" w:eastAsiaTheme="majorEastAsia" w:hAnsi="Arial" w:cs="Arial"/>
          <w:color w:val="0070C0"/>
          <w:sz w:val="24"/>
          <w:szCs w:val="24"/>
        </w:rPr>
        <w:t>as a consequence of</w:t>
      </w:r>
      <w:proofErr w:type="gramEnd"/>
      <w:r w:rsidRPr="00C1562F">
        <w:rPr>
          <w:rStyle w:val="cf01"/>
          <w:rFonts w:ascii="Arial" w:eastAsiaTheme="majorEastAsia" w:hAnsi="Arial" w:cs="Arial"/>
          <w:color w:val="0070C0"/>
          <w:sz w:val="24"/>
          <w:szCs w:val="24"/>
        </w:rPr>
        <w:t xml:space="preserve"> family change, and those who are financially constrained. Ensuring the availability of well-regulated HMOs contributes to preventing homelessness and providing secure, affordable accommodation.</w:t>
      </w:r>
    </w:p>
    <w:p w14:paraId="60CCA94A" w14:textId="77777777" w:rsidR="00C1562F" w:rsidRPr="00C1562F" w:rsidRDefault="00C1562F" w:rsidP="00C1562F">
      <w:pPr>
        <w:pStyle w:val="ListParagraph"/>
        <w:autoSpaceDE w:val="0"/>
        <w:autoSpaceDN w:val="0"/>
        <w:adjustRightInd w:val="0"/>
        <w:spacing w:after="0" w:line="240" w:lineRule="auto"/>
        <w:ind w:left="1134"/>
        <w:rPr>
          <w:rFonts w:ascii="Arial" w:hAnsi="Arial" w:cs="Arial"/>
          <w:color w:val="0070C0"/>
          <w:szCs w:val="24"/>
        </w:rPr>
      </w:pPr>
    </w:p>
    <w:p w14:paraId="650488E3" w14:textId="77777777" w:rsidR="007E034D" w:rsidRDefault="00B163E1" w:rsidP="00874A98">
      <w:pPr>
        <w:pStyle w:val="ListParagraph"/>
        <w:numPr>
          <w:ilvl w:val="1"/>
          <w:numId w:val="92"/>
        </w:numPr>
        <w:autoSpaceDE w:val="0"/>
        <w:autoSpaceDN w:val="0"/>
        <w:adjustRightInd w:val="0"/>
        <w:spacing w:after="0" w:line="240" w:lineRule="auto"/>
        <w:ind w:left="851" w:hanging="851"/>
        <w:rPr>
          <w:rFonts w:ascii="Arial" w:eastAsia="Arial" w:hAnsi="Arial" w:cs="Arial"/>
          <w:szCs w:val="24"/>
        </w:rPr>
      </w:pPr>
      <w:r w:rsidRPr="00F55774">
        <w:rPr>
          <w:rFonts w:ascii="Arial" w:eastAsia="Arial" w:hAnsi="Arial" w:cs="Arial"/>
          <w:szCs w:val="24"/>
        </w:rPr>
        <w:t xml:space="preserve">However, where concentrations of such uses develop, this can have a distorting effect on neighbourhoods with many residents not having a long-term stake in the </w:t>
      </w:r>
      <w:r w:rsidRPr="00F55774">
        <w:rPr>
          <w:rFonts w:ascii="Arial" w:eastAsia="Arial" w:hAnsi="Arial" w:cs="Arial"/>
          <w:szCs w:val="24"/>
        </w:rPr>
        <w:lastRenderedPageBreak/>
        <w:t>community and some service needs of longer-term residents, such as schools becoming unsustainable.</w:t>
      </w:r>
    </w:p>
    <w:p w14:paraId="7A0469F7" w14:textId="77777777" w:rsidR="007E034D" w:rsidRDefault="007E034D" w:rsidP="007E034D">
      <w:pPr>
        <w:pStyle w:val="ListParagraph"/>
      </w:pPr>
    </w:p>
    <w:p w14:paraId="7C207105" w14:textId="77777777" w:rsidR="007E034D" w:rsidRPr="004C67D8" w:rsidRDefault="007E034D" w:rsidP="00874A98">
      <w:pPr>
        <w:pStyle w:val="ListParagraph"/>
        <w:numPr>
          <w:ilvl w:val="1"/>
          <w:numId w:val="92"/>
        </w:numPr>
        <w:autoSpaceDE w:val="0"/>
        <w:autoSpaceDN w:val="0"/>
        <w:adjustRightInd w:val="0"/>
        <w:spacing w:after="0" w:line="240" w:lineRule="auto"/>
        <w:ind w:left="851" w:hanging="851"/>
        <w:rPr>
          <w:rFonts w:ascii="Arial" w:eastAsia="Arial" w:hAnsi="Arial" w:cs="Arial"/>
          <w:color w:val="auto"/>
          <w:szCs w:val="24"/>
        </w:rPr>
      </w:pPr>
      <w:r w:rsidRPr="004C67D8">
        <w:rPr>
          <w:rFonts w:ascii="Arial" w:hAnsi="Arial" w:cs="Arial"/>
          <w:color w:val="auto"/>
        </w:rPr>
        <w:t xml:space="preserve">In determining whether the proposal will contribute to the creation of mixed and balanced communities, consideration will be given to the number and location of existing HMOs. A report published by the Government in 2008, “Evidence Gathering: Housing in Multiple Occupation and possible planning responses – Final Report” recognises the impacts that can occur </w:t>
      </w:r>
      <w:proofErr w:type="gramStart"/>
      <w:r w:rsidRPr="004C67D8">
        <w:rPr>
          <w:rFonts w:ascii="Arial" w:hAnsi="Arial" w:cs="Arial"/>
          <w:color w:val="auto"/>
        </w:rPr>
        <w:t>as a result of</w:t>
      </w:r>
      <w:proofErr w:type="gramEnd"/>
      <w:r w:rsidRPr="004C67D8">
        <w:rPr>
          <w:rFonts w:ascii="Arial" w:hAnsi="Arial" w:cs="Arial"/>
          <w:color w:val="auto"/>
        </w:rPr>
        <w:t xml:space="preserve"> high concentrations of HMOs. These include:</w:t>
      </w:r>
    </w:p>
    <w:p w14:paraId="039CB7E5" w14:textId="77777777" w:rsidR="007E034D" w:rsidRPr="004C67D8" w:rsidRDefault="007E034D" w:rsidP="007E034D">
      <w:pPr>
        <w:pStyle w:val="ListParagraph"/>
        <w:rPr>
          <w:rFonts w:ascii="Arial" w:hAnsi="Arial" w:cs="Arial"/>
          <w:color w:val="auto"/>
        </w:rPr>
      </w:pPr>
    </w:p>
    <w:p w14:paraId="32BF08DF" w14:textId="77777777" w:rsidR="007E034D" w:rsidRPr="004C67D8" w:rsidRDefault="007E034D" w:rsidP="00874A98">
      <w:pPr>
        <w:pStyle w:val="ListParagraph"/>
        <w:numPr>
          <w:ilvl w:val="0"/>
          <w:numId w:val="332"/>
        </w:numPr>
        <w:autoSpaceDE w:val="0"/>
        <w:autoSpaceDN w:val="0"/>
        <w:adjustRightInd w:val="0"/>
        <w:spacing w:after="0" w:line="240" w:lineRule="auto"/>
        <w:rPr>
          <w:rFonts w:ascii="Arial" w:eastAsia="Arial" w:hAnsi="Arial" w:cs="Arial"/>
          <w:color w:val="auto"/>
          <w:szCs w:val="24"/>
        </w:rPr>
      </w:pPr>
      <w:r w:rsidRPr="004C67D8">
        <w:rPr>
          <w:rFonts w:ascii="Arial" w:hAnsi="Arial" w:cs="Arial"/>
          <w:color w:val="auto"/>
        </w:rPr>
        <w:t>anti-social behaviour,</w:t>
      </w:r>
    </w:p>
    <w:p w14:paraId="4610DD2F" w14:textId="77777777" w:rsidR="007E034D" w:rsidRPr="004C67D8" w:rsidRDefault="007E034D" w:rsidP="00874A98">
      <w:pPr>
        <w:pStyle w:val="ListParagraph"/>
        <w:numPr>
          <w:ilvl w:val="0"/>
          <w:numId w:val="332"/>
        </w:numPr>
        <w:autoSpaceDE w:val="0"/>
        <w:autoSpaceDN w:val="0"/>
        <w:adjustRightInd w:val="0"/>
        <w:spacing w:after="0" w:line="240" w:lineRule="auto"/>
        <w:rPr>
          <w:rFonts w:ascii="Arial" w:eastAsia="Arial" w:hAnsi="Arial" w:cs="Arial"/>
          <w:color w:val="auto"/>
          <w:szCs w:val="24"/>
        </w:rPr>
      </w:pPr>
      <w:r w:rsidRPr="004C67D8">
        <w:rPr>
          <w:rFonts w:ascii="Arial" w:hAnsi="Arial" w:cs="Arial"/>
          <w:color w:val="auto"/>
        </w:rPr>
        <w:t>noise and nuisance;</w:t>
      </w:r>
    </w:p>
    <w:p w14:paraId="7A3B4D9A" w14:textId="77777777" w:rsidR="007E034D" w:rsidRPr="004C67D8" w:rsidRDefault="007E034D" w:rsidP="00874A98">
      <w:pPr>
        <w:pStyle w:val="ListParagraph"/>
        <w:numPr>
          <w:ilvl w:val="0"/>
          <w:numId w:val="332"/>
        </w:numPr>
        <w:autoSpaceDE w:val="0"/>
        <w:autoSpaceDN w:val="0"/>
        <w:adjustRightInd w:val="0"/>
        <w:spacing w:after="0" w:line="240" w:lineRule="auto"/>
        <w:rPr>
          <w:rFonts w:ascii="Arial" w:eastAsia="Arial" w:hAnsi="Arial" w:cs="Arial"/>
          <w:color w:val="auto"/>
          <w:szCs w:val="24"/>
        </w:rPr>
      </w:pPr>
      <w:r w:rsidRPr="004C67D8">
        <w:rPr>
          <w:rFonts w:ascii="Arial" w:hAnsi="Arial" w:cs="Arial"/>
          <w:color w:val="auto"/>
        </w:rPr>
        <w:t>imbalanced and unsustainable communities;</w:t>
      </w:r>
    </w:p>
    <w:p w14:paraId="1B45C2AA" w14:textId="77777777" w:rsidR="007E034D" w:rsidRPr="004C67D8" w:rsidRDefault="007E034D" w:rsidP="00874A98">
      <w:pPr>
        <w:pStyle w:val="ListParagraph"/>
        <w:numPr>
          <w:ilvl w:val="0"/>
          <w:numId w:val="332"/>
        </w:numPr>
        <w:autoSpaceDE w:val="0"/>
        <w:autoSpaceDN w:val="0"/>
        <w:adjustRightInd w:val="0"/>
        <w:spacing w:after="0" w:line="240" w:lineRule="auto"/>
        <w:rPr>
          <w:rFonts w:ascii="Arial" w:eastAsia="Arial" w:hAnsi="Arial" w:cs="Arial"/>
          <w:color w:val="auto"/>
          <w:szCs w:val="24"/>
        </w:rPr>
      </w:pPr>
      <w:r w:rsidRPr="004C67D8">
        <w:rPr>
          <w:rFonts w:ascii="Arial" w:hAnsi="Arial" w:cs="Arial"/>
          <w:color w:val="auto"/>
        </w:rPr>
        <w:t>negative effects on the physical environment and streetscape;</w:t>
      </w:r>
    </w:p>
    <w:p w14:paraId="50F3FAB6" w14:textId="77777777" w:rsidR="007E034D" w:rsidRPr="004C67D8" w:rsidRDefault="007E034D" w:rsidP="00874A98">
      <w:pPr>
        <w:pStyle w:val="ListParagraph"/>
        <w:numPr>
          <w:ilvl w:val="0"/>
          <w:numId w:val="332"/>
        </w:numPr>
        <w:autoSpaceDE w:val="0"/>
        <w:autoSpaceDN w:val="0"/>
        <w:adjustRightInd w:val="0"/>
        <w:spacing w:after="0" w:line="240" w:lineRule="auto"/>
        <w:rPr>
          <w:rFonts w:ascii="Arial" w:eastAsia="Arial" w:hAnsi="Arial" w:cs="Arial"/>
          <w:color w:val="auto"/>
          <w:szCs w:val="24"/>
        </w:rPr>
      </w:pPr>
      <w:r w:rsidRPr="004C67D8">
        <w:rPr>
          <w:rFonts w:ascii="Arial" w:hAnsi="Arial" w:cs="Arial"/>
          <w:color w:val="auto"/>
        </w:rPr>
        <w:t>pressure upon parking provision;</w:t>
      </w:r>
    </w:p>
    <w:p w14:paraId="67E5B825" w14:textId="77777777" w:rsidR="007E034D" w:rsidRPr="004C67D8" w:rsidRDefault="007E034D" w:rsidP="00874A98">
      <w:pPr>
        <w:pStyle w:val="ListParagraph"/>
        <w:numPr>
          <w:ilvl w:val="0"/>
          <w:numId w:val="332"/>
        </w:numPr>
        <w:autoSpaceDE w:val="0"/>
        <w:autoSpaceDN w:val="0"/>
        <w:adjustRightInd w:val="0"/>
        <w:spacing w:after="0" w:line="240" w:lineRule="auto"/>
        <w:rPr>
          <w:rFonts w:ascii="Arial" w:eastAsia="Arial" w:hAnsi="Arial" w:cs="Arial"/>
          <w:color w:val="auto"/>
          <w:szCs w:val="24"/>
        </w:rPr>
      </w:pPr>
      <w:r w:rsidRPr="004C67D8">
        <w:rPr>
          <w:rFonts w:ascii="Arial" w:hAnsi="Arial" w:cs="Arial"/>
          <w:color w:val="auto"/>
        </w:rPr>
        <w:t>increased crime;</w:t>
      </w:r>
    </w:p>
    <w:p w14:paraId="68583288" w14:textId="77777777" w:rsidR="007E034D" w:rsidRPr="004C67D8" w:rsidRDefault="007E034D" w:rsidP="00874A98">
      <w:pPr>
        <w:pStyle w:val="ListParagraph"/>
        <w:numPr>
          <w:ilvl w:val="0"/>
          <w:numId w:val="332"/>
        </w:numPr>
        <w:autoSpaceDE w:val="0"/>
        <w:autoSpaceDN w:val="0"/>
        <w:adjustRightInd w:val="0"/>
        <w:spacing w:after="0" w:line="240" w:lineRule="auto"/>
        <w:rPr>
          <w:rFonts w:ascii="Arial" w:eastAsia="Arial" w:hAnsi="Arial" w:cs="Arial"/>
          <w:color w:val="auto"/>
          <w:szCs w:val="24"/>
        </w:rPr>
      </w:pPr>
      <w:r w:rsidRPr="004C67D8">
        <w:rPr>
          <w:rFonts w:ascii="Arial" w:hAnsi="Arial" w:cs="Arial"/>
          <w:color w:val="auto"/>
        </w:rPr>
        <w:t>pressure upon local facilities;</w:t>
      </w:r>
    </w:p>
    <w:p w14:paraId="75526D81" w14:textId="45446FC8" w:rsidR="00A73757" w:rsidRPr="004C67D8" w:rsidRDefault="007E034D" w:rsidP="00874A98">
      <w:pPr>
        <w:pStyle w:val="ListParagraph"/>
        <w:numPr>
          <w:ilvl w:val="0"/>
          <w:numId w:val="332"/>
        </w:numPr>
        <w:autoSpaceDE w:val="0"/>
        <w:autoSpaceDN w:val="0"/>
        <w:adjustRightInd w:val="0"/>
        <w:spacing w:after="0" w:line="240" w:lineRule="auto"/>
        <w:rPr>
          <w:rFonts w:ascii="Arial" w:eastAsia="Arial" w:hAnsi="Arial" w:cs="Arial"/>
          <w:color w:val="auto"/>
          <w:szCs w:val="24"/>
        </w:rPr>
      </w:pPr>
      <w:r w:rsidRPr="004C67D8">
        <w:rPr>
          <w:rFonts w:ascii="Arial" w:hAnsi="Arial" w:cs="Arial"/>
          <w:color w:val="auto"/>
        </w:rPr>
        <w:t xml:space="preserve">and restructuring of retail, commercial services and recreational facilities to suit the lifestyles of the predominant </w:t>
      </w:r>
      <w:r w:rsidR="00197D3E" w:rsidRPr="004C67D8">
        <w:rPr>
          <w:rFonts w:ascii="Arial" w:hAnsi="Arial" w:cs="Arial"/>
          <w:color w:val="auto"/>
        </w:rPr>
        <w:t>population.</w:t>
      </w:r>
    </w:p>
    <w:p w14:paraId="17D51539" w14:textId="77777777" w:rsidR="006950FA" w:rsidRPr="004C67D8" w:rsidRDefault="006950FA" w:rsidP="006950FA">
      <w:pPr>
        <w:autoSpaceDE w:val="0"/>
        <w:autoSpaceDN w:val="0"/>
        <w:adjustRightInd w:val="0"/>
        <w:rPr>
          <w:rFonts w:eastAsia="Arial" w:cs="Arial"/>
          <w:color w:val="auto"/>
          <w:szCs w:val="24"/>
        </w:rPr>
      </w:pPr>
    </w:p>
    <w:p w14:paraId="02F1E629" w14:textId="10E71D77" w:rsidR="00A06033" w:rsidRPr="00FA4D41" w:rsidRDefault="00A06033" w:rsidP="00FA4D41">
      <w:pPr>
        <w:pStyle w:val="ListParagraph"/>
        <w:autoSpaceDE w:val="0"/>
        <w:autoSpaceDN w:val="0"/>
        <w:adjustRightInd w:val="0"/>
        <w:spacing w:after="0" w:line="240" w:lineRule="auto"/>
        <w:ind w:left="851"/>
        <w:rPr>
          <w:rFonts w:ascii="Arial" w:eastAsia="Arial" w:hAnsi="Arial" w:cs="Arial"/>
          <w:color w:val="0070C0"/>
          <w:szCs w:val="24"/>
        </w:rPr>
      </w:pPr>
      <w:r w:rsidRPr="0009024F">
        <w:rPr>
          <w:rFonts w:ascii="Arial" w:hAnsi="Arial" w:cs="Arial"/>
          <w:color w:val="0070C0"/>
          <w:szCs w:val="24"/>
        </w:rPr>
        <w:t>The Council considers that a local imbalance is likely to arise where</w:t>
      </w:r>
      <w:r w:rsidR="00FA4D41">
        <w:rPr>
          <w:rFonts w:ascii="Arial" w:hAnsi="Arial" w:cs="Arial"/>
          <w:color w:val="0070C0"/>
          <w:szCs w:val="24"/>
        </w:rPr>
        <w:t xml:space="preserve"> u</w:t>
      </w:r>
      <w:r w:rsidRPr="00FA4D41">
        <w:rPr>
          <w:rFonts w:ascii="Arial" w:hAnsi="Arial" w:cs="Arial"/>
          <w:color w:val="0070C0"/>
          <w:szCs w:val="24"/>
        </w:rPr>
        <w:t>p to three existing residential properties are sandwiched between two HMOs, unless the effects are reduced by separation of properties due to intervening spaces.</w:t>
      </w:r>
    </w:p>
    <w:p w14:paraId="15175ECE" w14:textId="77777777" w:rsidR="00A06033" w:rsidRPr="0009024F" w:rsidRDefault="00A06033" w:rsidP="00A06033">
      <w:pPr>
        <w:pStyle w:val="ListParagraph"/>
        <w:autoSpaceDE w:val="0"/>
        <w:autoSpaceDN w:val="0"/>
        <w:adjustRightInd w:val="0"/>
        <w:ind w:left="851"/>
        <w:rPr>
          <w:rFonts w:ascii="Arial" w:eastAsia="Arial" w:hAnsi="Arial" w:cs="Arial"/>
          <w:color w:val="auto"/>
          <w:szCs w:val="24"/>
        </w:rPr>
      </w:pPr>
    </w:p>
    <w:p w14:paraId="12404747" w14:textId="77777777" w:rsidR="00A06033" w:rsidRPr="0009024F" w:rsidRDefault="00A06033" w:rsidP="00782ECF">
      <w:pPr>
        <w:pStyle w:val="ListParagraph"/>
        <w:autoSpaceDE w:val="0"/>
        <w:autoSpaceDN w:val="0"/>
        <w:adjustRightInd w:val="0"/>
        <w:spacing w:after="0" w:line="240" w:lineRule="auto"/>
        <w:ind w:left="851"/>
        <w:rPr>
          <w:rFonts w:ascii="Arial" w:hAnsi="Arial" w:cs="Arial"/>
          <w:color w:val="0070C0"/>
          <w:szCs w:val="24"/>
        </w:rPr>
      </w:pPr>
      <w:r w:rsidRPr="0009024F">
        <w:rPr>
          <w:rFonts w:ascii="Arial" w:hAnsi="Arial" w:cs="Arial"/>
          <w:color w:val="0070C0"/>
          <w:szCs w:val="24"/>
        </w:rPr>
        <w:t xml:space="preserve">When identifying the number of HMOs in a locality surrounding the application property, the Council will include: </w:t>
      </w:r>
    </w:p>
    <w:p w14:paraId="46FB1F6C" w14:textId="77777777" w:rsidR="00A06033" w:rsidRPr="0009024F" w:rsidRDefault="00A06033" w:rsidP="004466EB">
      <w:pPr>
        <w:pStyle w:val="Default"/>
        <w:numPr>
          <w:ilvl w:val="0"/>
          <w:numId w:val="357"/>
        </w:numPr>
        <w:spacing w:after="30"/>
        <w:ind w:left="1418" w:hanging="284"/>
        <w:rPr>
          <w:rFonts w:ascii="Arial" w:hAnsi="Arial" w:cs="Arial"/>
          <w:color w:val="0070C0"/>
        </w:rPr>
      </w:pPr>
      <w:r w:rsidRPr="0009024F">
        <w:rPr>
          <w:rFonts w:ascii="Arial" w:hAnsi="Arial" w:cs="Arial"/>
          <w:color w:val="0070C0"/>
        </w:rPr>
        <w:t xml:space="preserve">All properties with HMO licences </w:t>
      </w:r>
    </w:p>
    <w:p w14:paraId="2AF147A7" w14:textId="77777777" w:rsidR="00A06033" w:rsidRPr="0009024F" w:rsidRDefault="00A06033" w:rsidP="004466EB">
      <w:pPr>
        <w:pStyle w:val="Default"/>
        <w:numPr>
          <w:ilvl w:val="0"/>
          <w:numId w:val="357"/>
        </w:numPr>
        <w:spacing w:after="30"/>
        <w:ind w:left="1418" w:hanging="284"/>
        <w:rPr>
          <w:rFonts w:ascii="Arial" w:hAnsi="Arial" w:cs="Arial"/>
          <w:color w:val="0070C0"/>
        </w:rPr>
      </w:pPr>
      <w:r w:rsidRPr="0009024F">
        <w:rPr>
          <w:rFonts w:ascii="Arial" w:hAnsi="Arial" w:cs="Arial"/>
          <w:color w:val="0070C0"/>
        </w:rPr>
        <w:t xml:space="preserve">All HMO properties with planning permission </w:t>
      </w:r>
    </w:p>
    <w:p w14:paraId="0556AE35" w14:textId="77777777" w:rsidR="00A06033" w:rsidRPr="0009024F" w:rsidRDefault="00A06033" w:rsidP="004466EB">
      <w:pPr>
        <w:pStyle w:val="Default"/>
        <w:numPr>
          <w:ilvl w:val="0"/>
          <w:numId w:val="357"/>
        </w:numPr>
        <w:spacing w:after="30"/>
        <w:ind w:left="1418" w:hanging="284"/>
        <w:rPr>
          <w:rFonts w:ascii="Arial" w:hAnsi="Arial" w:cs="Arial"/>
          <w:color w:val="0070C0"/>
        </w:rPr>
      </w:pPr>
      <w:r w:rsidRPr="0009024F">
        <w:rPr>
          <w:rFonts w:ascii="Arial" w:hAnsi="Arial" w:cs="Arial"/>
          <w:color w:val="0070C0"/>
        </w:rPr>
        <w:t xml:space="preserve">All properties that have Building Regulations approval to change a property into multiple occupancy </w:t>
      </w:r>
    </w:p>
    <w:p w14:paraId="6965E73E" w14:textId="77777777" w:rsidR="00A06033" w:rsidRPr="0009024F" w:rsidRDefault="00A06033" w:rsidP="004466EB">
      <w:pPr>
        <w:pStyle w:val="Default"/>
        <w:numPr>
          <w:ilvl w:val="0"/>
          <w:numId w:val="357"/>
        </w:numPr>
        <w:spacing w:after="30"/>
        <w:ind w:left="1418" w:hanging="284"/>
        <w:rPr>
          <w:rFonts w:ascii="Arial" w:hAnsi="Arial" w:cs="Arial"/>
          <w:color w:val="0070C0"/>
        </w:rPr>
      </w:pPr>
      <w:r w:rsidRPr="0009024F">
        <w:rPr>
          <w:rFonts w:ascii="Arial" w:hAnsi="Arial" w:cs="Arial"/>
          <w:color w:val="0070C0"/>
        </w:rPr>
        <w:t xml:space="preserve">All properties on the Council Tax Register identified as in multiple occupancy </w:t>
      </w:r>
    </w:p>
    <w:p w14:paraId="05651403" w14:textId="3A78BDB0" w:rsidR="00A06033" w:rsidRPr="0009024F" w:rsidRDefault="00A06033" w:rsidP="004466EB">
      <w:pPr>
        <w:pStyle w:val="Default"/>
        <w:numPr>
          <w:ilvl w:val="0"/>
          <w:numId w:val="357"/>
        </w:numPr>
        <w:spacing w:after="30"/>
        <w:ind w:left="1418" w:hanging="284"/>
        <w:rPr>
          <w:rFonts w:ascii="Arial" w:hAnsi="Arial" w:cs="Arial"/>
          <w:color w:val="0070C0"/>
        </w:rPr>
      </w:pPr>
      <w:r w:rsidRPr="0009024F">
        <w:rPr>
          <w:rFonts w:ascii="Arial" w:hAnsi="Arial" w:cs="Arial"/>
          <w:color w:val="0070C0"/>
        </w:rPr>
        <w:t xml:space="preserve">All </w:t>
      </w:r>
      <w:r w:rsidR="008D167E">
        <w:rPr>
          <w:rFonts w:ascii="Arial" w:hAnsi="Arial" w:cs="Arial"/>
          <w:color w:val="0070C0"/>
        </w:rPr>
        <w:t xml:space="preserve">housing defined under </w:t>
      </w:r>
      <w:r w:rsidRPr="0009024F">
        <w:rPr>
          <w:rFonts w:ascii="Arial" w:hAnsi="Arial" w:cs="Arial"/>
          <w:color w:val="0070C0"/>
        </w:rPr>
        <w:t>Section 257</w:t>
      </w:r>
      <w:r w:rsidR="004A2F96">
        <w:rPr>
          <w:rFonts w:ascii="Arial" w:hAnsi="Arial" w:cs="Arial"/>
          <w:color w:val="0070C0"/>
        </w:rPr>
        <w:t xml:space="preserve"> of the housing Act 2004 as</w:t>
      </w:r>
      <w:r w:rsidRPr="0009024F">
        <w:rPr>
          <w:rFonts w:ascii="Arial" w:hAnsi="Arial" w:cs="Arial"/>
          <w:color w:val="0070C0"/>
        </w:rPr>
        <w:t xml:space="preserve"> Houses in Multiple Occupation </w:t>
      </w:r>
    </w:p>
    <w:p w14:paraId="2AF5EB1E" w14:textId="77777777" w:rsidR="00A06033" w:rsidRPr="0009024F" w:rsidRDefault="00A06033" w:rsidP="00A06033">
      <w:pPr>
        <w:pStyle w:val="ListParagraph"/>
        <w:autoSpaceDE w:val="0"/>
        <w:autoSpaceDN w:val="0"/>
        <w:adjustRightInd w:val="0"/>
        <w:ind w:left="851"/>
        <w:rPr>
          <w:rFonts w:ascii="Arial" w:eastAsia="Arial" w:hAnsi="Arial" w:cs="Arial"/>
          <w:color w:val="0070C0"/>
          <w:szCs w:val="24"/>
        </w:rPr>
      </w:pPr>
    </w:p>
    <w:p w14:paraId="37499CFD" w14:textId="77777777" w:rsidR="00A06033" w:rsidRPr="0009024F" w:rsidRDefault="00A06033" w:rsidP="00782ECF">
      <w:pPr>
        <w:pStyle w:val="ListParagraph"/>
        <w:autoSpaceDE w:val="0"/>
        <w:autoSpaceDN w:val="0"/>
        <w:adjustRightInd w:val="0"/>
        <w:spacing w:after="0" w:line="240" w:lineRule="auto"/>
        <w:ind w:left="851"/>
        <w:rPr>
          <w:rFonts w:ascii="Arial" w:eastAsia="Arial" w:hAnsi="Arial" w:cs="Arial"/>
          <w:color w:val="0070C0"/>
          <w:szCs w:val="24"/>
        </w:rPr>
      </w:pPr>
      <w:r w:rsidRPr="0009024F">
        <w:rPr>
          <w:rFonts w:ascii="Arial" w:hAnsi="Arial" w:cs="Arial"/>
          <w:color w:val="0070C0"/>
          <w:szCs w:val="24"/>
        </w:rPr>
        <w:t xml:space="preserve">In the case of ‘sandwiching’ it is considered that </w:t>
      </w:r>
      <w:proofErr w:type="gramStart"/>
      <w:r w:rsidRPr="0009024F">
        <w:rPr>
          <w:rFonts w:ascii="Arial" w:hAnsi="Arial" w:cs="Arial"/>
          <w:color w:val="0070C0"/>
          <w:szCs w:val="24"/>
        </w:rPr>
        <w:t>particular impacts</w:t>
      </w:r>
      <w:proofErr w:type="gramEnd"/>
      <w:r w:rsidRPr="0009024F">
        <w:rPr>
          <w:rFonts w:ascii="Arial" w:hAnsi="Arial" w:cs="Arial"/>
          <w:color w:val="0070C0"/>
          <w:szCs w:val="24"/>
        </w:rPr>
        <w:t xml:space="preserve"> on individual households, including noise and disturbance, highway safety (</w:t>
      </w:r>
      <w:proofErr w:type="gramStart"/>
      <w:r w:rsidRPr="0009024F">
        <w:rPr>
          <w:rFonts w:ascii="Arial" w:hAnsi="Arial" w:cs="Arial"/>
          <w:color w:val="0070C0"/>
          <w:szCs w:val="24"/>
        </w:rPr>
        <w:t>as a result of</w:t>
      </w:r>
      <w:proofErr w:type="gramEnd"/>
      <w:r w:rsidRPr="0009024F">
        <w:rPr>
          <w:rFonts w:ascii="Arial" w:hAnsi="Arial" w:cs="Arial"/>
          <w:color w:val="0070C0"/>
          <w:szCs w:val="24"/>
        </w:rPr>
        <w:t xml:space="preserve"> increased levels of on-street parking) and issues relating to poor waste management, can be intensified by sandwiching situations even if few HMOs existing locally.</w:t>
      </w:r>
    </w:p>
    <w:p w14:paraId="1E186D81" w14:textId="77777777" w:rsidR="00A06033" w:rsidRPr="0009024F" w:rsidRDefault="00A06033" w:rsidP="00A06033">
      <w:pPr>
        <w:pStyle w:val="ListParagraph"/>
        <w:autoSpaceDE w:val="0"/>
        <w:autoSpaceDN w:val="0"/>
        <w:adjustRightInd w:val="0"/>
        <w:ind w:left="851"/>
        <w:rPr>
          <w:rFonts w:ascii="Arial" w:eastAsia="Arial" w:hAnsi="Arial" w:cs="Arial"/>
          <w:color w:val="auto"/>
          <w:szCs w:val="24"/>
        </w:rPr>
      </w:pPr>
    </w:p>
    <w:p w14:paraId="2A2DAE4E" w14:textId="77777777" w:rsidR="00A06033" w:rsidRPr="0009024F" w:rsidRDefault="00A06033" w:rsidP="00A06033">
      <w:pPr>
        <w:pStyle w:val="ListParagraph"/>
        <w:numPr>
          <w:ilvl w:val="1"/>
          <w:numId w:val="92"/>
        </w:numPr>
        <w:autoSpaceDE w:val="0"/>
        <w:autoSpaceDN w:val="0"/>
        <w:adjustRightInd w:val="0"/>
        <w:spacing w:after="0" w:line="240" w:lineRule="auto"/>
        <w:ind w:left="851" w:hanging="851"/>
        <w:rPr>
          <w:rFonts w:ascii="Arial" w:eastAsia="Arial" w:hAnsi="Arial" w:cs="Arial"/>
          <w:color w:val="auto"/>
          <w:szCs w:val="24"/>
        </w:rPr>
      </w:pPr>
      <w:r w:rsidRPr="0009024F">
        <w:rPr>
          <w:rFonts w:ascii="Arial" w:eastAsia="Arial" w:hAnsi="Arial" w:cs="Arial"/>
          <w:color w:val="auto"/>
          <w:szCs w:val="24"/>
        </w:rPr>
        <w:t xml:space="preserve">HMO developments can </w:t>
      </w:r>
      <w:r w:rsidRPr="0009024F">
        <w:rPr>
          <w:rFonts w:ascii="Arial" w:eastAsia="Arial" w:hAnsi="Arial" w:cs="Arial"/>
          <w:color w:val="0070C0"/>
          <w:szCs w:val="24"/>
        </w:rPr>
        <w:t xml:space="preserve">also </w:t>
      </w:r>
      <w:r w:rsidRPr="0009024F">
        <w:rPr>
          <w:rFonts w:ascii="Arial" w:eastAsia="Arial" w:hAnsi="Arial" w:cs="Arial"/>
          <w:color w:val="auto"/>
          <w:szCs w:val="24"/>
        </w:rPr>
        <w:t xml:space="preserve">raise issues relating to residential amenity and the visual character of the areas, for example, </w:t>
      </w:r>
      <w:proofErr w:type="gramStart"/>
      <w:r w:rsidRPr="0009024F">
        <w:rPr>
          <w:rFonts w:ascii="Arial" w:eastAsia="Arial" w:hAnsi="Arial" w:cs="Arial"/>
          <w:color w:val="auto"/>
          <w:szCs w:val="24"/>
        </w:rPr>
        <w:t>as a result of</w:t>
      </w:r>
      <w:proofErr w:type="gramEnd"/>
      <w:r w:rsidRPr="0009024F">
        <w:rPr>
          <w:rFonts w:ascii="Arial" w:eastAsia="Arial" w:hAnsi="Arial" w:cs="Arial"/>
          <w:color w:val="auto"/>
          <w:szCs w:val="24"/>
        </w:rPr>
        <w:t xml:space="preserve"> additional windows, external staircases, parking on and off-site, cycle storage, bin storage and access for rubbish collection etc.</w:t>
      </w:r>
    </w:p>
    <w:p w14:paraId="3584A1E8" w14:textId="77777777" w:rsidR="00A06033" w:rsidRPr="0009024F" w:rsidRDefault="00A06033" w:rsidP="00A06033">
      <w:pPr>
        <w:pStyle w:val="ListParagraph"/>
        <w:autoSpaceDE w:val="0"/>
        <w:autoSpaceDN w:val="0"/>
        <w:adjustRightInd w:val="0"/>
        <w:ind w:left="851"/>
        <w:rPr>
          <w:rFonts w:ascii="Arial" w:eastAsia="Arial" w:hAnsi="Arial" w:cs="Arial"/>
          <w:color w:val="auto"/>
          <w:szCs w:val="24"/>
        </w:rPr>
      </w:pPr>
    </w:p>
    <w:p w14:paraId="3C440445" w14:textId="77777777" w:rsidR="00A06033" w:rsidRPr="0009024F" w:rsidRDefault="00A06033" w:rsidP="00A06033">
      <w:pPr>
        <w:pStyle w:val="ListParagraph"/>
        <w:numPr>
          <w:ilvl w:val="1"/>
          <w:numId w:val="92"/>
        </w:numPr>
        <w:autoSpaceDE w:val="0"/>
        <w:autoSpaceDN w:val="0"/>
        <w:adjustRightInd w:val="0"/>
        <w:spacing w:after="0" w:line="240" w:lineRule="auto"/>
        <w:ind w:left="851" w:hanging="851"/>
        <w:rPr>
          <w:rFonts w:ascii="Arial" w:eastAsia="Arial" w:hAnsi="Arial" w:cs="Arial"/>
          <w:strike/>
          <w:color w:val="auto"/>
          <w:szCs w:val="24"/>
        </w:rPr>
      </w:pPr>
      <w:r w:rsidRPr="0009024F">
        <w:rPr>
          <w:rFonts w:ascii="Arial" w:hAnsi="Arial" w:cs="Arial"/>
          <w:strike/>
          <w:color w:val="auto"/>
          <w:szCs w:val="24"/>
        </w:rPr>
        <w:lastRenderedPageBreak/>
        <w:t xml:space="preserve">Where the existing level of such developments in the local area is considered to adversely impact the community, proposals may not be supported unless there are other benefits for the local community, such as the reuse of building or site that has been vacant for a substantial </w:t>
      </w:r>
      <w:proofErr w:type="gramStart"/>
      <w:r w:rsidRPr="0009024F">
        <w:rPr>
          <w:rFonts w:ascii="Arial" w:hAnsi="Arial" w:cs="Arial"/>
          <w:strike/>
          <w:color w:val="auto"/>
          <w:szCs w:val="24"/>
        </w:rPr>
        <w:t>period of time</w:t>
      </w:r>
      <w:proofErr w:type="gramEnd"/>
      <w:r w:rsidRPr="0009024F">
        <w:rPr>
          <w:rFonts w:ascii="Arial" w:hAnsi="Arial" w:cs="Arial"/>
          <w:strike/>
          <w:color w:val="auto"/>
          <w:szCs w:val="24"/>
        </w:rPr>
        <w:t>.</w:t>
      </w:r>
    </w:p>
    <w:p w14:paraId="12348BE6" w14:textId="77777777" w:rsidR="00197D3E" w:rsidRPr="004C67D8" w:rsidRDefault="00197D3E" w:rsidP="00197D3E">
      <w:pPr>
        <w:pStyle w:val="ListParagraph"/>
        <w:rPr>
          <w:rFonts w:ascii="Arial" w:eastAsia="Arial" w:hAnsi="Arial" w:cs="Arial"/>
          <w:color w:val="auto"/>
        </w:rPr>
      </w:pPr>
    </w:p>
    <w:p w14:paraId="4D8483EC" w14:textId="6DEC8FA0" w:rsidR="00197D3E" w:rsidRPr="004C67D8" w:rsidRDefault="006950FA" w:rsidP="00874A98">
      <w:pPr>
        <w:pStyle w:val="ListParagraph"/>
        <w:numPr>
          <w:ilvl w:val="1"/>
          <w:numId w:val="92"/>
        </w:numPr>
        <w:autoSpaceDE w:val="0"/>
        <w:autoSpaceDN w:val="0"/>
        <w:adjustRightInd w:val="0"/>
        <w:spacing w:after="0" w:line="240" w:lineRule="auto"/>
        <w:ind w:left="851" w:hanging="851"/>
        <w:rPr>
          <w:rFonts w:ascii="Arial" w:eastAsia="Arial" w:hAnsi="Arial" w:cs="Arial"/>
          <w:color w:val="auto"/>
        </w:rPr>
      </w:pPr>
      <w:r w:rsidRPr="004C67D8">
        <w:rPr>
          <w:rFonts w:ascii="Arial" w:eastAsia="Arial" w:hAnsi="Arial" w:cs="Arial"/>
          <w:color w:val="auto"/>
        </w:rPr>
        <w:t xml:space="preserve">In cases </w:t>
      </w:r>
      <w:r w:rsidR="00C30F6A">
        <w:rPr>
          <w:rFonts w:ascii="Arial" w:eastAsia="Arial" w:hAnsi="Arial" w:cs="Arial"/>
          <w:color w:val="auto"/>
        </w:rPr>
        <w:t>wh</w:t>
      </w:r>
      <w:r w:rsidRPr="004C67D8">
        <w:rPr>
          <w:rFonts w:ascii="Arial" w:eastAsia="Arial" w:hAnsi="Arial" w:cs="Arial"/>
          <w:color w:val="auto"/>
        </w:rPr>
        <w:t xml:space="preserve">ere a conversion involves substantial alterations to an elevation, careful design which reflects the character of the property and the locality must be achieved. Proposals will only be supported </w:t>
      </w:r>
      <w:proofErr w:type="gramStart"/>
      <w:r w:rsidRPr="004C67D8">
        <w:rPr>
          <w:rFonts w:ascii="Arial" w:eastAsia="Arial" w:hAnsi="Arial" w:cs="Arial"/>
          <w:color w:val="auto"/>
        </w:rPr>
        <w:t>in particular where</w:t>
      </w:r>
      <w:proofErr w:type="gramEnd"/>
      <w:r w:rsidRPr="004C67D8">
        <w:rPr>
          <w:rFonts w:ascii="Arial" w:eastAsia="Arial" w:hAnsi="Arial" w:cs="Arial"/>
          <w:color w:val="auto"/>
        </w:rPr>
        <w:t xml:space="preserve"> they conform with Policy SD2 Design Considerations for Development, Policy SD3 Amenity and Policy SD11 Parking Standards. Ashfield’s Residential Design SPD provides further useful information.</w:t>
      </w:r>
    </w:p>
    <w:p w14:paraId="6FC5D7C9" w14:textId="77777777" w:rsidR="00197D3E" w:rsidRPr="004C67D8" w:rsidRDefault="00197D3E" w:rsidP="00197D3E">
      <w:pPr>
        <w:pStyle w:val="ListParagraph"/>
        <w:rPr>
          <w:rFonts w:ascii="Arial" w:eastAsia="Arial" w:hAnsi="Arial" w:cs="Arial"/>
          <w:color w:val="auto"/>
        </w:rPr>
      </w:pPr>
    </w:p>
    <w:p w14:paraId="56513263" w14:textId="77777777" w:rsidR="00197D3E" w:rsidRPr="004C67D8" w:rsidRDefault="006950FA" w:rsidP="00874A98">
      <w:pPr>
        <w:pStyle w:val="ListParagraph"/>
        <w:numPr>
          <w:ilvl w:val="1"/>
          <w:numId w:val="92"/>
        </w:numPr>
        <w:autoSpaceDE w:val="0"/>
        <w:autoSpaceDN w:val="0"/>
        <w:adjustRightInd w:val="0"/>
        <w:spacing w:after="0" w:line="240" w:lineRule="auto"/>
        <w:ind w:left="851" w:hanging="851"/>
        <w:rPr>
          <w:rFonts w:ascii="Arial" w:eastAsia="Arial" w:hAnsi="Arial" w:cs="Arial"/>
          <w:color w:val="auto"/>
        </w:rPr>
      </w:pPr>
      <w:r w:rsidRPr="004C67D8">
        <w:rPr>
          <w:rFonts w:ascii="Arial" w:eastAsia="Arial" w:hAnsi="Arial" w:cs="Arial"/>
          <w:color w:val="auto"/>
        </w:rPr>
        <w:t xml:space="preserve">The Housing Act 2004 introduced licensing for houses in multiple occupation (HMOs). The Act provides a detailed definition of HMOs and sets out standards of management for this type of property. Licensing is mandatory for all HMOs which have three or more storeys and are occupied by five or more persons forming two or more households. </w:t>
      </w:r>
    </w:p>
    <w:p w14:paraId="0406D935" w14:textId="77777777" w:rsidR="00197D3E" w:rsidRPr="004C67D8" w:rsidRDefault="00197D3E" w:rsidP="00197D3E">
      <w:pPr>
        <w:pStyle w:val="ListParagraph"/>
        <w:rPr>
          <w:rFonts w:ascii="Arial" w:hAnsi="Arial" w:cs="Arial"/>
          <w:color w:val="auto"/>
          <w:lang w:val="en"/>
        </w:rPr>
      </w:pPr>
    </w:p>
    <w:p w14:paraId="6573B841" w14:textId="2DC7696D" w:rsidR="008852FB" w:rsidRPr="008852FB" w:rsidRDefault="006950FA" w:rsidP="00A44712">
      <w:pPr>
        <w:pStyle w:val="ListParagraph"/>
        <w:numPr>
          <w:ilvl w:val="1"/>
          <w:numId w:val="92"/>
        </w:numPr>
        <w:autoSpaceDE w:val="0"/>
        <w:autoSpaceDN w:val="0"/>
        <w:adjustRightInd w:val="0"/>
        <w:spacing w:after="0" w:line="240" w:lineRule="auto"/>
        <w:ind w:left="720" w:hanging="851"/>
        <w:rPr>
          <w:rFonts w:eastAsia="Arial" w:cs="Arial"/>
          <w:color w:val="0070C0"/>
          <w:szCs w:val="24"/>
        </w:rPr>
        <w:sectPr w:rsidR="008852FB" w:rsidRPr="008852FB" w:rsidSect="00A73757">
          <w:headerReference w:type="default" r:id="rId53"/>
          <w:pgSz w:w="11906" w:h="16838" w:code="9"/>
          <w:pgMar w:top="1258" w:right="1133" w:bottom="1079" w:left="1134" w:header="709" w:footer="709" w:gutter="0"/>
          <w:cols w:space="708"/>
          <w:docGrid w:linePitch="360"/>
        </w:sectPr>
      </w:pPr>
      <w:r w:rsidRPr="008852FB">
        <w:rPr>
          <w:rFonts w:ascii="Arial" w:hAnsi="Arial" w:cs="Arial"/>
          <w:color w:val="auto"/>
          <w:lang w:val="en"/>
        </w:rPr>
        <w:t xml:space="preserve">All HMOs, regardless of whether they are licensable or not, are subject to legislation about how they are managed. There are two main pieces of management legislation; the first being the </w:t>
      </w:r>
      <w:hyperlink r:id="rId54" w:history="1">
        <w:r w:rsidRPr="008852FB">
          <w:rPr>
            <w:rFonts w:ascii="Arial" w:hAnsi="Arial" w:cs="Arial"/>
            <w:color w:val="auto"/>
            <w:lang w:val="en"/>
          </w:rPr>
          <w:t>Management of Houses in Multiple Occupation (England) Regulations 2006</w:t>
        </w:r>
      </w:hyperlink>
      <w:r w:rsidRPr="008852FB">
        <w:rPr>
          <w:rFonts w:ascii="Arial" w:hAnsi="Arial" w:cs="Arial"/>
          <w:color w:val="auto"/>
          <w:lang w:val="en"/>
        </w:rPr>
        <w:t xml:space="preserve"> and the second the </w:t>
      </w:r>
      <w:hyperlink r:id="rId55" w:history="1">
        <w:r w:rsidRPr="008852FB">
          <w:rPr>
            <w:rFonts w:ascii="Arial" w:hAnsi="Arial" w:cs="Arial"/>
            <w:color w:val="auto"/>
            <w:lang w:val="en"/>
          </w:rPr>
          <w:t>Licensing and Management of Houses in Multiple Occupation (Additional Provisions) (England) Regulations 2007</w:t>
        </w:r>
      </w:hyperlink>
      <w:r w:rsidRPr="008852FB">
        <w:rPr>
          <w:rFonts w:ascii="Arial" w:hAnsi="Arial" w:cs="Arial"/>
          <w:color w:val="auto"/>
          <w:lang w:val="en"/>
        </w:rPr>
        <w:t>.</w:t>
      </w:r>
    </w:p>
    <w:p w14:paraId="55C2E2D6" w14:textId="77777777" w:rsidR="008852FB" w:rsidRPr="008852FB" w:rsidRDefault="008852FB" w:rsidP="008852FB">
      <w:bookmarkStart w:id="251" w:name="_Toc145511596"/>
    </w:p>
    <w:p w14:paraId="56243AF6" w14:textId="77777777" w:rsidR="008852FB" w:rsidRDefault="008852FB" w:rsidP="00CF07B9">
      <w:pPr>
        <w:pStyle w:val="Heading1"/>
        <w:sectPr w:rsidR="008852FB" w:rsidSect="003157BC">
          <w:headerReference w:type="default" r:id="rId56"/>
          <w:type w:val="continuous"/>
          <w:pgSz w:w="11906" w:h="16838" w:code="9"/>
          <w:pgMar w:top="1258" w:right="1133" w:bottom="1079" w:left="1134" w:header="709" w:footer="709" w:gutter="0"/>
          <w:cols w:space="708"/>
          <w:docGrid w:linePitch="360"/>
        </w:sectPr>
      </w:pPr>
    </w:p>
    <w:p w14:paraId="25788F11" w14:textId="41E05252" w:rsidR="00DA4833" w:rsidRPr="003C7E62" w:rsidRDefault="00DA4833" w:rsidP="00CF07B9">
      <w:pPr>
        <w:pStyle w:val="Heading1"/>
      </w:pPr>
      <w:r w:rsidRPr="003C7E62">
        <w:lastRenderedPageBreak/>
        <w:t>Chapter 7</w:t>
      </w:r>
      <w:bookmarkEnd w:id="251"/>
    </w:p>
    <w:p w14:paraId="1D154F80" w14:textId="77777777" w:rsidR="00DA4833" w:rsidRPr="00B163E1" w:rsidRDefault="00DA4833" w:rsidP="008008F0">
      <w:pPr>
        <w:keepNext w:val="0"/>
        <w:spacing w:before="0"/>
        <w:rPr>
          <w:rFonts w:cs="Arial"/>
          <w:b/>
          <w:color w:val="auto"/>
          <w:sz w:val="32"/>
          <w:szCs w:val="32"/>
        </w:rPr>
      </w:pPr>
    </w:p>
    <w:p w14:paraId="3A2C47B2" w14:textId="54699919" w:rsidR="00DA4833" w:rsidRPr="006977E7" w:rsidRDefault="005F1B0D" w:rsidP="00CF07B9">
      <w:pPr>
        <w:pStyle w:val="Heading1"/>
      </w:pPr>
      <w:bookmarkStart w:id="252" w:name="_Toc145511597"/>
      <w:bookmarkStart w:id="253" w:name="_Hlk146199492"/>
      <w:r w:rsidRPr="005F1B0D">
        <w:t>Building a strong economy which provides opportunities for local people</w:t>
      </w:r>
      <w:bookmarkEnd w:id="252"/>
    </w:p>
    <w:bookmarkEnd w:id="253"/>
    <w:p w14:paraId="4A0AF16F" w14:textId="20DCFEFA" w:rsidR="00331448" w:rsidRDefault="00331448" w:rsidP="008008F0">
      <w:pPr>
        <w:keepNext w:val="0"/>
        <w:autoSpaceDE w:val="0"/>
        <w:autoSpaceDN w:val="0"/>
        <w:adjustRightInd w:val="0"/>
        <w:spacing w:before="0"/>
        <w:rPr>
          <w:rFonts w:cs="Arial"/>
          <w:b/>
          <w:bCs/>
          <w:szCs w:val="24"/>
        </w:rPr>
      </w:pPr>
    </w:p>
    <w:p w14:paraId="592E7384" w14:textId="0AF0BDB1" w:rsidR="00331448" w:rsidRPr="00C55F46" w:rsidRDefault="00331448" w:rsidP="00C55F46">
      <w:pPr>
        <w:pStyle w:val="Heading2"/>
        <w:jc w:val="left"/>
        <w:rPr>
          <w:sz w:val="28"/>
          <w:szCs w:val="28"/>
        </w:rPr>
      </w:pPr>
      <w:bookmarkStart w:id="254" w:name="_Toc145511598"/>
      <w:r w:rsidRPr="00C55F46">
        <w:rPr>
          <w:rFonts w:eastAsia="Arial"/>
          <w:sz w:val="28"/>
          <w:szCs w:val="28"/>
        </w:rPr>
        <w:t>Policy EM1: Business and Economic Development</w:t>
      </w:r>
      <w:bookmarkEnd w:id="254"/>
    </w:p>
    <w:p w14:paraId="6EBA9DD7" w14:textId="77777777" w:rsidR="00331448" w:rsidRDefault="00331448" w:rsidP="008008F0">
      <w:pPr>
        <w:keepNext w:val="0"/>
        <w:autoSpaceDE w:val="0"/>
        <w:autoSpaceDN w:val="0"/>
        <w:adjustRightInd w:val="0"/>
        <w:spacing w:before="0"/>
        <w:rPr>
          <w:rFonts w:cs="Arial"/>
          <w:b/>
          <w:bCs/>
          <w:szCs w:val="24"/>
        </w:rPr>
      </w:pPr>
    </w:p>
    <w:tbl>
      <w:tblPr>
        <w:tblStyle w:val="ReportTable1"/>
        <w:tblW w:w="9634" w:type="dxa"/>
        <w:tblLook w:val="04A0" w:firstRow="1" w:lastRow="0" w:firstColumn="1" w:lastColumn="0" w:noHBand="0" w:noVBand="1"/>
      </w:tblPr>
      <w:tblGrid>
        <w:gridCol w:w="1980"/>
        <w:gridCol w:w="680"/>
        <w:gridCol w:w="6974"/>
      </w:tblGrid>
      <w:tr w:rsidR="00945E91" w:rsidRPr="00945E91" w14:paraId="5C0B833A" w14:textId="77777777" w:rsidTr="00E40772">
        <w:trPr>
          <w:trHeight w:val="421"/>
        </w:trPr>
        <w:tc>
          <w:tcPr>
            <w:tcW w:w="9634" w:type="dxa"/>
            <w:gridSpan w:val="3"/>
          </w:tcPr>
          <w:p w14:paraId="32AECB01" w14:textId="77777777" w:rsidR="009838D1" w:rsidRDefault="009838D1" w:rsidP="009838D1">
            <w:pPr>
              <w:keepNext w:val="0"/>
              <w:tabs>
                <w:tab w:val="left" w:pos="680"/>
              </w:tabs>
              <w:spacing w:before="0"/>
              <w:rPr>
                <w:rFonts w:eastAsia="Arial"/>
                <w:b/>
                <w:color w:val="auto"/>
                <w:spacing w:val="-1"/>
              </w:rPr>
            </w:pPr>
          </w:p>
          <w:p w14:paraId="24A5B0B5" w14:textId="77777777" w:rsidR="00945E91" w:rsidRDefault="00945E91" w:rsidP="009838D1">
            <w:pPr>
              <w:keepNext w:val="0"/>
              <w:tabs>
                <w:tab w:val="left" w:pos="680"/>
              </w:tabs>
              <w:spacing w:before="0"/>
              <w:rPr>
                <w:rFonts w:eastAsia="Arial"/>
                <w:b/>
                <w:color w:val="auto"/>
                <w:spacing w:val="-1"/>
                <w:szCs w:val="24"/>
              </w:rPr>
            </w:pPr>
            <w:bookmarkStart w:id="255" w:name="_Hlk82187651"/>
            <w:r w:rsidRPr="00331448">
              <w:rPr>
                <w:rFonts w:eastAsia="Arial"/>
                <w:b/>
                <w:color w:val="auto"/>
                <w:spacing w:val="-1"/>
              </w:rPr>
              <w:t xml:space="preserve">Policy EM1: </w:t>
            </w:r>
            <w:r w:rsidRPr="00331448">
              <w:rPr>
                <w:rFonts w:eastAsia="Arial"/>
                <w:b/>
                <w:color w:val="auto"/>
                <w:spacing w:val="-1"/>
                <w:szCs w:val="24"/>
              </w:rPr>
              <w:t>Business and Economic Development</w:t>
            </w:r>
          </w:p>
          <w:bookmarkEnd w:id="255"/>
          <w:p w14:paraId="4157B019" w14:textId="76AEA2BA" w:rsidR="009838D1" w:rsidRPr="00331448" w:rsidRDefault="009838D1" w:rsidP="009838D1">
            <w:pPr>
              <w:keepNext w:val="0"/>
              <w:tabs>
                <w:tab w:val="left" w:pos="680"/>
              </w:tabs>
              <w:spacing w:before="0"/>
              <w:rPr>
                <w:rFonts w:eastAsia="Arial"/>
                <w:b/>
                <w:color w:val="auto"/>
                <w:spacing w:val="-1"/>
              </w:rPr>
            </w:pPr>
          </w:p>
        </w:tc>
      </w:tr>
      <w:tr w:rsidR="00945E91" w:rsidRPr="00945E91" w14:paraId="153B78CD" w14:textId="77777777" w:rsidTr="00E40772">
        <w:tc>
          <w:tcPr>
            <w:tcW w:w="2660" w:type="dxa"/>
            <w:gridSpan w:val="2"/>
          </w:tcPr>
          <w:p w14:paraId="40B6213C" w14:textId="77777777" w:rsidR="00945E91" w:rsidRPr="00945E91" w:rsidRDefault="00945E91" w:rsidP="00945E91">
            <w:pPr>
              <w:keepNext w:val="0"/>
              <w:tabs>
                <w:tab w:val="left" w:pos="680"/>
              </w:tabs>
              <w:spacing w:before="0"/>
              <w:rPr>
                <w:rFonts w:eastAsia="Arial"/>
                <w:bCs/>
                <w:color w:val="auto"/>
              </w:rPr>
            </w:pPr>
            <w:r w:rsidRPr="00945E91">
              <w:rPr>
                <w:rFonts w:eastAsia="Arial"/>
                <w:bCs/>
                <w:color w:val="auto"/>
              </w:rPr>
              <w:t>Strategic Objectives</w:t>
            </w:r>
          </w:p>
        </w:tc>
        <w:tc>
          <w:tcPr>
            <w:tcW w:w="6974" w:type="dxa"/>
          </w:tcPr>
          <w:p w14:paraId="2625DA7B" w14:textId="77777777" w:rsidR="00945E91" w:rsidRPr="00945E91" w:rsidRDefault="00945E91" w:rsidP="00945E91">
            <w:pPr>
              <w:keepNext w:val="0"/>
              <w:tabs>
                <w:tab w:val="left" w:pos="680"/>
              </w:tabs>
              <w:spacing w:before="40" w:after="40"/>
              <w:rPr>
                <w:rFonts w:eastAsia="Arial"/>
                <w:bCs/>
                <w:color w:val="auto"/>
              </w:rPr>
            </w:pPr>
            <w:r w:rsidRPr="00945E91">
              <w:rPr>
                <w:rFonts w:eastAsia="Arial"/>
                <w:bCs/>
                <w:color w:val="auto"/>
              </w:rPr>
              <w:t xml:space="preserve">SO1, SO4, SO5, SO6, SO7, SO8, SO9, SO10, SO12. </w:t>
            </w:r>
          </w:p>
        </w:tc>
      </w:tr>
      <w:tr w:rsidR="00945E91" w:rsidRPr="00945E91" w14:paraId="1A15F826" w14:textId="77777777" w:rsidTr="00E40772">
        <w:tc>
          <w:tcPr>
            <w:tcW w:w="9634" w:type="dxa"/>
            <w:gridSpan w:val="3"/>
            <w:shd w:val="clear" w:color="auto" w:fill="D9E2F3"/>
          </w:tcPr>
          <w:p w14:paraId="25961B54" w14:textId="77777777" w:rsidR="00945E91" w:rsidRPr="00945E91" w:rsidRDefault="00945E91" w:rsidP="005775C8">
            <w:pPr>
              <w:keepNext w:val="0"/>
              <w:spacing w:before="0"/>
              <w:rPr>
                <w:rFonts w:eastAsia="Arial" w:cs="Arial"/>
                <w:bCs/>
                <w:color w:val="auto"/>
              </w:rPr>
            </w:pPr>
          </w:p>
          <w:p w14:paraId="0AA32A9A" w14:textId="77777777" w:rsidR="00945E91" w:rsidRPr="00945E91" w:rsidRDefault="00945E91" w:rsidP="00874A98">
            <w:pPr>
              <w:keepNext w:val="0"/>
              <w:numPr>
                <w:ilvl w:val="0"/>
                <w:numId w:val="132"/>
              </w:numPr>
              <w:tabs>
                <w:tab w:val="left" w:pos="680"/>
                <w:tab w:val="left" w:pos="1133"/>
                <w:tab w:val="left" w:pos="2267"/>
              </w:tabs>
              <w:spacing w:before="0"/>
              <w:ind w:right="284"/>
              <w:rPr>
                <w:rFonts w:eastAsia="Arial"/>
                <w:bCs/>
                <w:color w:val="auto"/>
              </w:rPr>
            </w:pPr>
            <w:r w:rsidRPr="00945E91">
              <w:rPr>
                <w:rFonts w:eastAsia="Arial"/>
                <w:bCs/>
                <w:color w:val="auto"/>
              </w:rPr>
              <w:t xml:space="preserve">The Council will give significant weight to proposals for business development, which provide for, or assist the creation of, new employment opportunities and inward investment.  Business and economic development proposals will be directed towards town centres (where appropriate), employment sites, and employment allocations. </w:t>
            </w:r>
          </w:p>
          <w:p w14:paraId="30A61B8E" w14:textId="77777777" w:rsidR="00945E91" w:rsidRPr="00945E91" w:rsidRDefault="00945E91" w:rsidP="005775C8">
            <w:pPr>
              <w:keepNext w:val="0"/>
              <w:spacing w:before="0"/>
              <w:ind w:left="720"/>
              <w:contextualSpacing/>
              <w:rPr>
                <w:rFonts w:eastAsia="Arial"/>
                <w:bCs/>
                <w:color w:val="auto"/>
              </w:rPr>
            </w:pPr>
          </w:p>
          <w:p w14:paraId="6F7BE69B" w14:textId="725A74BC" w:rsidR="00945E91" w:rsidRPr="00945E91" w:rsidRDefault="00945E91" w:rsidP="00874A98">
            <w:pPr>
              <w:keepNext w:val="0"/>
              <w:numPr>
                <w:ilvl w:val="0"/>
                <w:numId w:val="132"/>
              </w:numPr>
              <w:tabs>
                <w:tab w:val="left" w:pos="680"/>
                <w:tab w:val="left" w:pos="1133"/>
                <w:tab w:val="left" w:pos="2267"/>
              </w:tabs>
              <w:spacing w:before="0"/>
              <w:ind w:left="357" w:right="284"/>
              <w:rPr>
                <w:rFonts w:eastAsia="Arial"/>
                <w:bCs/>
                <w:color w:val="auto"/>
              </w:rPr>
            </w:pPr>
            <w:bookmarkStart w:id="256" w:name="_Hlk82187686"/>
            <w:r w:rsidRPr="00945E91">
              <w:rPr>
                <w:rFonts w:eastAsia="Arial"/>
                <w:bCs/>
                <w:color w:val="auto"/>
              </w:rPr>
              <w:t>The Council will sustain and enhance Ashfield’s employment capacity by supporting the following uses on allocated employment allocations sites and Key Employment Area</w:t>
            </w:r>
            <w:r w:rsidR="009353B1">
              <w:rPr>
                <w:rFonts w:eastAsia="Arial"/>
                <w:bCs/>
                <w:color w:val="auto"/>
              </w:rPr>
              <w:t xml:space="preserve"> as identified on the Policies Map</w:t>
            </w:r>
            <w:r w:rsidRPr="00945E91">
              <w:rPr>
                <w:rFonts w:eastAsia="Arial"/>
                <w:bCs/>
                <w:color w:val="auto"/>
              </w:rPr>
              <w:t xml:space="preserve">: </w:t>
            </w:r>
          </w:p>
          <w:bookmarkEnd w:id="256"/>
          <w:p w14:paraId="7F4AC835" w14:textId="77777777" w:rsidR="00945E91" w:rsidRPr="00945E91" w:rsidRDefault="00945E91" w:rsidP="005775C8">
            <w:pPr>
              <w:keepNext w:val="0"/>
              <w:tabs>
                <w:tab w:val="left" w:pos="680"/>
                <w:tab w:val="left" w:pos="1133"/>
                <w:tab w:val="left" w:pos="2267"/>
              </w:tabs>
              <w:spacing w:before="0"/>
              <w:ind w:left="357" w:right="284"/>
              <w:rPr>
                <w:rFonts w:eastAsia="Arial"/>
                <w:bCs/>
                <w:color w:val="auto"/>
              </w:rPr>
            </w:pPr>
          </w:p>
          <w:p w14:paraId="72EF9BDA" w14:textId="4B2ABBD3" w:rsidR="00945E91" w:rsidRPr="00945E91" w:rsidRDefault="00945E91" w:rsidP="00874A98">
            <w:pPr>
              <w:keepNext w:val="0"/>
              <w:numPr>
                <w:ilvl w:val="0"/>
                <w:numId w:val="135"/>
              </w:numPr>
              <w:tabs>
                <w:tab w:val="left" w:pos="709"/>
              </w:tabs>
              <w:spacing w:before="0" w:after="160" w:line="252" w:lineRule="auto"/>
              <w:contextualSpacing/>
              <w:rPr>
                <w:rFonts w:eastAsia="Arial"/>
                <w:bCs/>
                <w:color w:val="auto"/>
              </w:rPr>
            </w:pPr>
            <w:r w:rsidRPr="00945E91">
              <w:rPr>
                <w:rFonts w:eastAsia="Arial"/>
                <w:bCs/>
                <w:color w:val="auto"/>
              </w:rPr>
              <w:t>Office, light industrial and research and development, general industrial and storage and distribution</w:t>
            </w:r>
            <w:r w:rsidR="00AC45CD">
              <w:rPr>
                <w:rFonts w:eastAsia="Arial"/>
                <w:bCs/>
                <w:color w:val="auto"/>
              </w:rPr>
              <w:t>.</w:t>
            </w:r>
          </w:p>
          <w:p w14:paraId="6D3AEB1C" w14:textId="77777777" w:rsidR="00945E91" w:rsidRPr="00945E91" w:rsidRDefault="00945E91" w:rsidP="005775C8">
            <w:pPr>
              <w:keepNext w:val="0"/>
              <w:tabs>
                <w:tab w:val="left" w:pos="709"/>
              </w:tabs>
              <w:spacing w:before="0"/>
              <w:ind w:left="720"/>
              <w:contextualSpacing/>
              <w:rPr>
                <w:rFonts w:eastAsia="Arial"/>
                <w:bCs/>
                <w:color w:val="auto"/>
              </w:rPr>
            </w:pPr>
          </w:p>
          <w:p w14:paraId="085A8730" w14:textId="2B488337" w:rsidR="00945E91" w:rsidRPr="00945E91" w:rsidRDefault="00945E91" w:rsidP="00874A98">
            <w:pPr>
              <w:keepNext w:val="0"/>
              <w:numPr>
                <w:ilvl w:val="0"/>
                <w:numId w:val="135"/>
              </w:numPr>
              <w:tabs>
                <w:tab w:val="left" w:pos="709"/>
              </w:tabs>
              <w:spacing w:before="0" w:after="160" w:line="252" w:lineRule="auto"/>
              <w:contextualSpacing/>
              <w:rPr>
                <w:rFonts w:eastAsia="Arial"/>
                <w:bCs/>
                <w:color w:val="auto"/>
              </w:rPr>
            </w:pPr>
            <w:r w:rsidRPr="00945E91">
              <w:rPr>
                <w:rFonts w:eastAsia="Arial"/>
                <w:bCs/>
                <w:color w:val="auto"/>
              </w:rPr>
              <w:t>Sui generis uses where it can be demonstrated that the proposal is compatible with the predominant use, is of a scale, nature and form appropriate to the location and there are no other sites/buildings that could meet the use in question</w:t>
            </w:r>
            <w:r w:rsidR="00AC45CD">
              <w:rPr>
                <w:rFonts w:eastAsia="Arial"/>
                <w:bCs/>
                <w:color w:val="auto"/>
              </w:rPr>
              <w:t>.</w:t>
            </w:r>
            <w:r w:rsidRPr="00945E91">
              <w:rPr>
                <w:rFonts w:eastAsia="Arial"/>
                <w:bCs/>
                <w:color w:val="auto"/>
              </w:rPr>
              <w:t xml:space="preserve"> </w:t>
            </w:r>
          </w:p>
          <w:p w14:paraId="1400F337" w14:textId="77777777" w:rsidR="00945E91" w:rsidRPr="00945E91" w:rsidRDefault="00945E91" w:rsidP="005775C8">
            <w:pPr>
              <w:keepNext w:val="0"/>
              <w:spacing w:before="0" w:after="160" w:line="252" w:lineRule="auto"/>
              <w:ind w:left="720"/>
              <w:contextualSpacing/>
              <w:rPr>
                <w:rFonts w:eastAsia="Arial"/>
                <w:bCs/>
                <w:color w:val="auto"/>
              </w:rPr>
            </w:pPr>
          </w:p>
          <w:p w14:paraId="037F2FFE" w14:textId="4F8661D2" w:rsidR="00945E91" w:rsidRPr="00945E91" w:rsidRDefault="00945E91" w:rsidP="00874A98">
            <w:pPr>
              <w:keepNext w:val="0"/>
              <w:numPr>
                <w:ilvl w:val="0"/>
                <w:numId w:val="135"/>
              </w:numPr>
              <w:tabs>
                <w:tab w:val="left" w:pos="709"/>
              </w:tabs>
              <w:spacing w:before="0"/>
              <w:contextualSpacing/>
              <w:rPr>
                <w:rFonts w:eastAsia="Arial"/>
                <w:bCs/>
                <w:color w:val="auto"/>
              </w:rPr>
            </w:pPr>
            <w:r w:rsidRPr="00945E91">
              <w:rPr>
                <w:rFonts w:eastAsia="Arial"/>
                <w:bCs/>
                <w:color w:val="auto"/>
              </w:rPr>
              <w:t xml:space="preserve">Educational or training purposes which will assist in improving skills where: </w:t>
            </w:r>
          </w:p>
          <w:p w14:paraId="4160E0CA" w14:textId="77777777" w:rsidR="00945E91" w:rsidRPr="00945E91" w:rsidRDefault="00945E91" w:rsidP="005775C8">
            <w:pPr>
              <w:keepNext w:val="0"/>
              <w:tabs>
                <w:tab w:val="left" w:pos="680"/>
              </w:tabs>
              <w:spacing w:before="0"/>
              <w:ind w:left="720"/>
              <w:rPr>
                <w:rFonts w:eastAsia="Arial"/>
                <w:bCs/>
                <w:color w:val="auto"/>
              </w:rPr>
            </w:pPr>
          </w:p>
          <w:p w14:paraId="3C9C8418" w14:textId="77777777" w:rsidR="00945E91" w:rsidRPr="00945E91" w:rsidRDefault="00945E91" w:rsidP="00874A98">
            <w:pPr>
              <w:keepNext w:val="0"/>
              <w:numPr>
                <w:ilvl w:val="0"/>
                <w:numId w:val="134"/>
              </w:numPr>
              <w:tabs>
                <w:tab w:val="left" w:pos="680"/>
              </w:tabs>
              <w:spacing w:before="0" w:after="160" w:line="252" w:lineRule="auto"/>
              <w:rPr>
                <w:rFonts w:eastAsia="Arial"/>
                <w:bCs/>
                <w:color w:val="auto"/>
              </w:rPr>
            </w:pPr>
            <w:r w:rsidRPr="00945E91">
              <w:rPr>
                <w:rFonts w:eastAsia="Arial"/>
                <w:bCs/>
                <w:color w:val="auto"/>
              </w:rPr>
              <w:t>it can be demonstrated that no suitable sites are available in town centre;</w:t>
            </w:r>
          </w:p>
          <w:p w14:paraId="5B8456F9" w14:textId="77777777" w:rsidR="00945E91" w:rsidRPr="00945E91" w:rsidRDefault="00945E91" w:rsidP="00874A98">
            <w:pPr>
              <w:keepNext w:val="0"/>
              <w:numPr>
                <w:ilvl w:val="0"/>
                <w:numId w:val="134"/>
              </w:numPr>
              <w:tabs>
                <w:tab w:val="left" w:pos="680"/>
              </w:tabs>
              <w:spacing w:before="0" w:after="160" w:line="252" w:lineRule="auto"/>
              <w:rPr>
                <w:rFonts w:eastAsia="Arial"/>
                <w:bCs/>
                <w:color w:val="auto"/>
              </w:rPr>
            </w:pPr>
            <w:r w:rsidRPr="00945E91">
              <w:rPr>
                <w:rFonts w:eastAsia="Arial"/>
                <w:bCs/>
                <w:color w:val="auto"/>
              </w:rPr>
              <w:t>provision is made for access by a range of means of transport; and</w:t>
            </w:r>
          </w:p>
          <w:p w14:paraId="7F096884" w14:textId="52A0DA15" w:rsidR="00945E91" w:rsidRPr="00945E91" w:rsidRDefault="00945E91" w:rsidP="00874A98">
            <w:pPr>
              <w:keepNext w:val="0"/>
              <w:numPr>
                <w:ilvl w:val="0"/>
                <w:numId w:val="134"/>
              </w:numPr>
              <w:tabs>
                <w:tab w:val="left" w:pos="680"/>
              </w:tabs>
              <w:spacing w:before="0"/>
              <w:rPr>
                <w:rFonts w:eastAsia="Arial"/>
                <w:bCs/>
                <w:color w:val="auto"/>
              </w:rPr>
            </w:pPr>
            <w:r w:rsidRPr="00945E91">
              <w:rPr>
                <w:rFonts w:eastAsia="Arial"/>
                <w:bCs/>
                <w:color w:val="auto"/>
              </w:rPr>
              <w:t>the development would not conflict with the employment function of the estate or area</w:t>
            </w:r>
            <w:r w:rsidR="00AC45CD">
              <w:rPr>
                <w:rFonts w:eastAsia="Arial"/>
                <w:bCs/>
                <w:color w:val="auto"/>
              </w:rPr>
              <w:t>.</w:t>
            </w:r>
          </w:p>
          <w:p w14:paraId="26FB9CE5" w14:textId="77777777" w:rsidR="00945E91" w:rsidRPr="00945E91" w:rsidRDefault="00945E91" w:rsidP="005775C8">
            <w:pPr>
              <w:keepNext w:val="0"/>
              <w:spacing w:before="0"/>
              <w:ind w:left="720"/>
              <w:contextualSpacing/>
              <w:rPr>
                <w:rFonts w:eastAsia="Arial"/>
                <w:bCs/>
                <w:color w:val="auto"/>
              </w:rPr>
            </w:pPr>
          </w:p>
          <w:p w14:paraId="1DBECA4C" w14:textId="7FDB4BD7" w:rsidR="00945E91" w:rsidRPr="00945E91" w:rsidRDefault="00945E91" w:rsidP="00874A98">
            <w:pPr>
              <w:keepNext w:val="0"/>
              <w:numPr>
                <w:ilvl w:val="0"/>
                <w:numId w:val="135"/>
              </w:numPr>
              <w:tabs>
                <w:tab w:val="left" w:pos="709"/>
              </w:tabs>
              <w:spacing w:before="0"/>
              <w:contextualSpacing/>
              <w:rPr>
                <w:rFonts w:eastAsia="Arial"/>
                <w:bCs/>
                <w:color w:val="auto"/>
              </w:rPr>
            </w:pPr>
            <w:r w:rsidRPr="00945E91">
              <w:rPr>
                <w:rFonts w:eastAsia="Arial"/>
                <w:bCs/>
                <w:color w:val="auto"/>
              </w:rPr>
              <w:t>Ancillary uses including workplace nurseries and catering facilities where there is robust justification that it serves the needs of employees on the business park/industrial estate, it does not adversely affect the operations of other industrial uses in the vicinity of  the site and will not result in significant levels of visitor traffic into the business park/estate.</w:t>
            </w:r>
          </w:p>
          <w:p w14:paraId="3B637590" w14:textId="77777777" w:rsidR="00945E91" w:rsidRPr="00945E91" w:rsidRDefault="00945E91" w:rsidP="005775C8">
            <w:pPr>
              <w:keepNext w:val="0"/>
              <w:tabs>
                <w:tab w:val="left" w:pos="709"/>
              </w:tabs>
              <w:spacing w:before="0"/>
              <w:ind w:left="360"/>
              <w:rPr>
                <w:rFonts w:eastAsia="Arial"/>
                <w:bCs/>
                <w:color w:val="auto"/>
              </w:rPr>
            </w:pPr>
          </w:p>
          <w:p w14:paraId="71A1F8BD" w14:textId="77777777" w:rsidR="00945E91" w:rsidRPr="00945E91" w:rsidRDefault="00945E91" w:rsidP="00874A98">
            <w:pPr>
              <w:keepNext w:val="0"/>
              <w:numPr>
                <w:ilvl w:val="0"/>
                <w:numId w:val="132"/>
              </w:numPr>
              <w:tabs>
                <w:tab w:val="left" w:pos="680"/>
                <w:tab w:val="left" w:pos="1133"/>
                <w:tab w:val="left" w:pos="2267"/>
              </w:tabs>
              <w:spacing w:before="0"/>
              <w:ind w:right="284"/>
              <w:rPr>
                <w:rFonts w:eastAsia="Arial"/>
                <w:bCs/>
                <w:color w:val="auto"/>
              </w:rPr>
            </w:pPr>
            <w:r w:rsidRPr="00945E91">
              <w:rPr>
                <w:rFonts w:eastAsia="Arial"/>
                <w:bCs/>
                <w:color w:val="auto"/>
              </w:rPr>
              <w:t xml:space="preserve">Business start-ups and </w:t>
            </w:r>
            <w:proofErr w:type="gramStart"/>
            <w:r w:rsidRPr="00945E91">
              <w:rPr>
                <w:rFonts w:eastAsia="Arial"/>
                <w:bCs/>
                <w:color w:val="auto"/>
              </w:rPr>
              <w:t>small scale</w:t>
            </w:r>
            <w:proofErr w:type="gramEnd"/>
            <w:r w:rsidRPr="00945E91">
              <w:rPr>
                <w:rFonts w:eastAsia="Arial"/>
                <w:bCs/>
                <w:color w:val="auto"/>
              </w:rPr>
              <w:t xml:space="preserve"> employment working from home through using part of a dwelling or a building within the curtilage of a dwelling will be supported providing that:</w:t>
            </w:r>
          </w:p>
          <w:p w14:paraId="6DD06C49" w14:textId="77777777" w:rsidR="00945E91" w:rsidRPr="00945E91" w:rsidRDefault="00945E91" w:rsidP="005775C8">
            <w:pPr>
              <w:keepNext w:val="0"/>
              <w:tabs>
                <w:tab w:val="left" w:pos="680"/>
              </w:tabs>
              <w:spacing w:before="0"/>
              <w:rPr>
                <w:rFonts w:eastAsia="Arial"/>
                <w:bCs/>
                <w:color w:val="auto"/>
              </w:rPr>
            </w:pPr>
          </w:p>
          <w:p w14:paraId="6FD70FA6" w14:textId="22F0E2FA" w:rsidR="00945E91" w:rsidRPr="005775C8" w:rsidRDefault="00945E91" w:rsidP="00874A98">
            <w:pPr>
              <w:keepNext w:val="0"/>
              <w:numPr>
                <w:ilvl w:val="0"/>
                <w:numId w:val="133"/>
              </w:numPr>
              <w:tabs>
                <w:tab w:val="left" w:pos="680"/>
              </w:tabs>
              <w:spacing w:before="0"/>
              <w:rPr>
                <w:rFonts w:eastAsia="Arial"/>
                <w:bCs/>
                <w:color w:val="auto"/>
              </w:rPr>
            </w:pPr>
            <w:r w:rsidRPr="00945E91">
              <w:rPr>
                <w:rFonts w:eastAsia="Arial" w:cs="Arial"/>
                <w:bCs/>
                <w:color w:val="auto"/>
                <w:szCs w:val="24"/>
              </w:rPr>
              <w:t>The proposal would not have an unacceptable impact on the amenity of any nearby residential occupiers;</w:t>
            </w:r>
          </w:p>
          <w:p w14:paraId="0E4064BE" w14:textId="77777777" w:rsidR="005775C8" w:rsidRPr="00945E91" w:rsidRDefault="005775C8" w:rsidP="005775C8">
            <w:pPr>
              <w:keepNext w:val="0"/>
              <w:tabs>
                <w:tab w:val="left" w:pos="680"/>
              </w:tabs>
              <w:spacing w:before="0"/>
              <w:ind w:left="720"/>
              <w:rPr>
                <w:rFonts w:eastAsia="Arial"/>
                <w:bCs/>
                <w:color w:val="auto"/>
              </w:rPr>
            </w:pPr>
          </w:p>
          <w:p w14:paraId="28803922" w14:textId="77777777" w:rsidR="00945E91" w:rsidRPr="00945E91" w:rsidRDefault="00945E91" w:rsidP="00874A98">
            <w:pPr>
              <w:keepNext w:val="0"/>
              <w:numPr>
                <w:ilvl w:val="0"/>
                <w:numId w:val="133"/>
              </w:numPr>
              <w:tabs>
                <w:tab w:val="left" w:pos="680"/>
              </w:tabs>
              <w:spacing w:before="0" w:after="160" w:line="252" w:lineRule="auto"/>
              <w:rPr>
                <w:rFonts w:eastAsia="Arial"/>
                <w:bCs/>
                <w:color w:val="auto"/>
              </w:rPr>
            </w:pPr>
            <w:r w:rsidRPr="00945E91">
              <w:rPr>
                <w:rFonts w:eastAsia="Arial" w:cs="Arial"/>
                <w:bCs/>
                <w:color w:val="auto"/>
                <w:szCs w:val="24"/>
              </w:rPr>
              <w:t xml:space="preserve">The direct and indirect effects of the scale of the business activity, including the employment of non-residents at the business, remains incidental to the overall use of the site for residential purposes; </w:t>
            </w:r>
          </w:p>
          <w:p w14:paraId="5A1CA17F" w14:textId="4B8162EA" w:rsidR="00945E91" w:rsidRPr="00945E91" w:rsidRDefault="00945E91" w:rsidP="00874A98">
            <w:pPr>
              <w:keepNext w:val="0"/>
              <w:numPr>
                <w:ilvl w:val="0"/>
                <w:numId w:val="133"/>
              </w:numPr>
              <w:tabs>
                <w:tab w:val="left" w:pos="680"/>
              </w:tabs>
              <w:spacing w:before="0" w:after="160" w:line="252" w:lineRule="auto"/>
              <w:rPr>
                <w:rFonts w:eastAsia="Arial"/>
                <w:bCs/>
                <w:color w:val="auto"/>
              </w:rPr>
            </w:pPr>
            <w:r w:rsidRPr="00945E91">
              <w:rPr>
                <w:rFonts w:eastAsia="Arial" w:cs="Arial"/>
                <w:bCs/>
                <w:color w:val="auto"/>
                <w:szCs w:val="24"/>
              </w:rPr>
              <w:t xml:space="preserve">There </w:t>
            </w:r>
            <w:r w:rsidR="009D1815" w:rsidRPr="00945E91">
              <w:rPr>
                <w:rFonts w:eastAsia="Arial" w:cs="Arial"/>
                <w:bCs/>
                <w:color w:val="auto"/>
                <w:szCs w:val="24"/>
              </w:rPr>
              <w:t>are</w:t>
            </w:r>
            <w:r w:rsidRPr="00945E91">
              <w:rPr>
                <w:rFonts w:eastAsia="Arial" w:cs="Arial"/>
                <w:bCs/>
                <w:color w:val="auto"/>
                <w:szCs w:val="24"/>
              </w:rPr>
              <w:t xml:space="preserve"> no detrimental effects to parking or traffic generation in the area; and</w:t>
            </w:r>
          </w:p>
          <w:p w14:paraId="176C5E4E" w14:textId="77777777" w:rsidR="00945E91" w:rsidRPr="00945E91" w:rsidRDefault="00945E91" w:rsidP="00874A98">
            <w:pPr>
              <w:keepNext w:val="0"/>
              <w:numPr>
                <w:ilvl w:val="0"/>
                <w:numId w:val="133"/>
              </w:numPr>
              <w:tabs>
                <w:tab w:val="left" w:pos="680"/>
              </w:tabs>
              <w:spacing w:before="0" w:after="160" w:line="252" w:lineRule="auto"/>
              <w:rPr>
                <w:rFonts w:eastAsia="Arial"/>
                <w:bCs/>
                <w:color w:val="auto"/>
                <w:sz w:val="20"/>
              </w:rPr>
            </w:pPr>
            <w:r w:rsidRPr="00945E91">
              <w:rPr>
                <w:rFonts w:eastAsia="Arial" w:cs="Arial"/>
                <w:bCs/>
                <w:color w:val="auto"/>
                <w:szCs w:val="24"/>
              </w:rPr>
              <w:t>There are no direct sales from the site to visitors.</w:t>
            </w:r>
          </w:p>
          <w:p w14:paraId="336A8FA8" w14:textId="77777777" w:rsidR="00945E91" w:rsidRPr="00945E91" w:rsidRDefault="00945E91" w:rsidP="005775C8">
            <w:pPr>
              <w:keepNext w:val="0"/>
              <w:tabs>
                <w:tab w:val="left" w:pos="680"/>
              </w:tabs>
              <w:spacing w:before="0"/>
              <w:rPr>
                <w:rFonts w:eastAsia="Arial"/>
                <w:bCs/>
                <w:color w:val="538135"/>
              </w:rPr>
            </w:pPr>
          </w:p>
        </w:tc>
      </w:tr>
      <w:tr w:rsidR="00945E91" w:rsidRPr="00945E91" w14:paraId="32CBB90E" w14:textId="77777777" w:rsidTr="00E40772">
        <w:tc>
          <w:tcPr>
            <w:tcW w:w="1980" w:type="dxa"/>
          </w:tcPr>
          <w:p w14:paraId="57DD94A8" w14:textId="77777777" w:rsidR="00945E91" w:rsidRPr="00F86477" w:rsidRDefault="00945E91" w:rsidP="00F86477">
            <w:pPr>
              <w:keepNext w:val="0"/>
              <w:tabs>
                <w:tab w:val="left" w:pos="680"/>
                <w:tab w:val="left" w:pos="1133"/>
                <w:tab w:val="left" w:pos="2267"/>
              </w:tabs>
              <w:spacing w:before="0"/>
              <w:ind w:right="284"/>
              <w:rPr>
                <w:rFonts w:eastAsia="Arial"/>
                <w:b/>
                <w:color w:val="002060"/>
                <w:szCs w:val="24"/>
              </w:rPr>
            </w:pPr>
            <w:r w:rsidRPr="00F86477">
              <w:rPr>
                <w:rFonts w:eastAsia="Arial"/>
                <w:bCs/>
                <w:color w:val="auto"/>
                <w:sz w:val="20"/>
              </w:rPr>
              <w:lastRenderedPageBreak/>
              <w:t>Evidence base</w:t>
            </w:r>
          </w:p>
        </w:tc>
        <w:tc>
          <w:tcPr>
            <w:tcW w:w="7654" w:type="dxa"/>
            <w:gridSpan w:val="2"/>
          </w:tcPr>
          <w:p w14:paraId="6A9CDC7A" w14:textId="5D150E18"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 xml:space="preserve">Background Paper </w:t>
            </w:r>
            <w:r w:rsidR="00A05D94" w:rsidRPr="00985BCC">
              <w:rPr>
                <w:rFonts w:eastAsia="Arial"/>
                <w:bCs/>
                <w:sz w:val="20"/>
              </w:rPr>
              <w:t>No 1:</w:t>
            </w:r>
            <w:r w:rsidRPr="00985BCC">
              <w:rPr>
                <w:rFonts w:eastAsia="Arial"/>
                <w:bCs/>
                <w:sz w:val="20"/>
              </w:rPr>
              <w:t xml:space="preserve"> Spatial Strategy and </w:t>
            </w:r>
            <w:r w:rsidR="005E1157" w:rsidRPr="00985BCC">
              <w:rPr>
                <w:rFonts w:eastAsia="Arial"/>
                <w:bCs/>
                <w:sz w:val="20"/>
              </w:rPr>
              <w:t>Site Selection 2023</w:t>
            </w:r>
            <w:r w:rsidRPr="00985BCC">
              <w:rPr>
                <w:rFonts w:eastAsia="Arial"/>
                <w:bCs/>
                <w:sz w:val="20"/>
              </w:rPr>
              <w:t xml:space="preserve"> Ashfield District Council</w:t>
            </w:r>
          </w:p>
          <w:p w14:paraId="1EC3204B" w14:textId="2EAF1554"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 xml:space="preserve">Background Paper </w:t>
            </w:r>
            <w:r w:rsidR="00A05D94" w:rsidRPr="00985BCC">
              <w:rPr>
                <w:rFonts w:eastAsia="Arial"/>
                <w:bCs/>
                <w:sz w:val="20"/>
              </w:rPr>
              <w:t>No 3:</w:t>
            </w:r>
            <w:r w:rsidRPr="00985BCC">
              <w:rPr>
                <w:rFonts w:eastAsia="Arial"/>
                <w:bCs/>
                <w:sz w:val="20"/>
              </w:rPr>
              <w:t xml:space="preserve"> </w:t>
            </w:r>
            <w:r w:rsidR="000032A9" w:rsidRPr="00985BCC">
              <w:rPr>
                <w:rFonts w:eastAsia="Arial"/>
                <w:bCs/>
                <w:sz w:val="20"/>
              </w:rPr>
              <w:t xml:space="preserve">Economy &amp; </w:t>
            </w:r>
            <w:r w:rsidRPr="00985BCC">
              <w:rPr>
                <w:rFonts w:eastAsia="Arial"/>
                <w:bCs/>
                <w:sz w:val="20"/>
              </w:rPr>
              <w:t>Employment Land 202</w:t>
            </w:r>
            <w:r w:rsidR="007641C1" w:rsidRPr="00985BCC">
              <w:rPr>
                <w:rFonts w:eastAsia="Arial"/>
                <w:bCs/>
                <w:sz w:val="20"/>
              </w:rPr>
              <w:t>3</w:t>
            </w:r>
            <w:r w:rsidRPr="00985BCC">
              <w:rPr>
                <w:rFonts w:eastAsia="Arial"/>
                <w:bCs/>
                <w:sz w:val="20"/>
              </w:rPr>
              <w:t>.  Ashfield District Council.</w:t>
            </w:r>
          </w:p>
          <w:p w14:paraId="3EBAAD45" w14:textId="77777777"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The Nottingham Core HMA and Nottingham Outer HMA Employment Land Needs Study, 2021.  Lichfield.</w:t>
            </w:r>
          </w:p>
          <w:p w14:paraId="1A96099C" w14:textId="757596E6"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Strategic Housing and Employment Land Availability Assessment 2021</w:t>
            </w:r>
            <w:r w:rsidR="00AE785A">
              <w:rPr>
                <w:rFonts w:eastAsia="Arial"/>
                <w:bCs/>
                <w:sz w:val="20"/>
              </w:rPr>
              <w:t xml:space="preserve"> - 2023</w:t>
            </w:r>
            <w:r w:rsidRPr="00985BCC">
              <w:rPr>
                <w:rFonts w:eastAsia="Arial"/>
                <w:bCs/>
                <w:sz w:val="20"/>
              </w:rPr>
              <w:t>. Ashfield District Council.</w:t>
            </w:r>
          </w:p>
          <w:p w14:paraId="08FB5B79" w14:textId="77777777"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Ashfield and Mansfield - A Plan for Growth 2016 (Joint Economic Masterplan Update). Ashfield District Council &amp; Mansfield District Council.</w:t>
            </w:r>
          </w:p>
          <w:p w14:paraId="63E2C188" w14:textId="77777777" w:rsidR="007641C1" w:rsidRPr="00985BCC" w:rsidRDefault="007641C1"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lang w:eastAsia="en-US"/>
              </w:rPr>
            </w:pPr>
            <w:r w:rsidRPr="00985BCC">
              <w:rPr>
                <w:rFonts w:eastAsia="Arial" w:cs="Arial"/>
                <w:bCs/>
                <w:sz w:val="20"/>
                <w:szCs w:val="22"/>
                <w:lang w:eastAsia="en-US"/>
              </w:rPr>
              <w:t>The Nottingham Core HMA and Nottingham Outer HMA Logistics Study 2022, Iceni.</w:t>
            </w:r>
          </w:p>
          <w:p w14:paraId="0D276C41" w14:textId="77777777" w:rsidR="007641C1" w:rsidRPr="00985BCC" w:rsidRDefault="007641C1" w:rsidP="00874A98">
            <w:pPr>
              <w:keepNext w:val="0"/>
              <w:numPr>
                <w:ilvl w:val="0"/>
                <w:numId w:val="97"/>
              </w:numPr>
              <w:tabs>
                <w:tab w:val="left" w:pos="680"/>
                <w:tab w:val="left" w:pos="1133"/>
                <w:tab w:val="left" w:pos="2267"/>
              </w:tabs>
              <w:spacing w:before="0" w:after="160" w:line="252" w:lineRule="auto"/>
              <w:ind w:left="357" w:right="284" w:hanging="357"/>
              <w:contextualSpacing/>
              <w:rPr>
                <w:rFonts w:eastAsia="Arial" w:cs="Arial"/>
                <w:bCs/>
                <w:sz w:val="20"/>
                <w:lang w:eastAsia="en-US"/>
              </w:rPr>
            </w:pPr>
            <w:r w:rsidRPr="00985BCC">
              <w:rPr>
                <w:rFonts w:eastAsia="Arial" w:cs="Arial"/>
                <w:bCs/>
                <w:sz w:val="20"/>
                <w:szCs w:val="22"/>
                <w:lang w:eastAsia="en-US"/>
              </w:rPr>
              <w:t>Greater Nottingham Logistics Background paper 2023.  Ashfield DC, Broxtowe BC, Erewash BC, Gedling BC, Nottingham City, &amp; Rushcliffe BC.</w:t>
            </w:r>
          </w:p>
          <w:p w14:paraId="2DF0F478" w14:textId="60C6AD90"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 xml:space="preserve">Maid Marian Rail Extension Economic Impact Analysis 2020. </w:t>
            </w:r>
            <w:proofErr w:type="spellStart"/>
            <w:r w:rsidRPr="00985BCC">
              <w:rPr>
                <w:rFonts w:eastAsia="Arial"/>
                <w:bCs/>
                <w:sz w:val="20"/>
              </w:rPr>
              <w:t>Lichfields</w:t>
            </w:r>
            <w:proofErr w:type="spellEnd"/>
            <w:r w:rsidRPr="00985BCC">
              <w:rPr>
                <w:rFonts w:eastAsia="Arial"/>
                <w:bCs/>
                <w:sz w:val="20"/>
              </w:rPr>
              <w:t>.</w:t>
            </w:r>
          </w:p>
          <w:p w14:paraId="0FDF6C53" w14:textId="77777777"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Maid Marian Rail Extension - Ashfield Masterplan Report 2020.  Ashfield District Council and Mansfield District Council.</w:t>
            </w:r>
          </w:p>
          <w:p w14:paraId="094B5FA2" w14:textId="77777777"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D2N2 – the Spark in the UK’s Growth Engine Strategic Economic Plan 2019-2030. D2N2 Local Enterprise Partnership.</w:t>
            </w:r>
          </w:p>
          <w:p w14:paraId="2BA07529" w14:textId="77777777"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The D2N2 draft Local Industrial Strategy, March 2020. D2N2 Local Enterprise Partnership.</w:t>
            </w:r>
          </w:p>
          <w:p w14:paraId="45BB7F49" w14:textId="77777777"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D2N2 Local Industrial Strategy Evidence Base - D2N2 Local Enterprise Partnership.</w:t>
            </w:r>
          </w:p>
          <w:p w14:paraId="450EE1BF" w14:textId="77777777" w:rsidR="00945E91" w:rsidRPr="00985BCC" w:rsidRDefault="00945E91" w:rsidP="000032A9">
            <w:pPr>
              <w:keepNext w:val="0"/>
              <w:numPr>
                <w:ilvl w:val="0"/>
                <w:numId w:val="24"/>
              </w:numPr>
              <w:tabs>
                <w:tab w:val="left" w:pos="680"/>
                <w:tab w:val="left" w:pos="1133"/>
                <w:tab w:val="left" w:pos="2267"/>
              </w:tabs>
              <w:spacing w:before="0" w:after="160" w:line="252" w:lineRule="auto"/>
              <w:ind w:right="284"/>
              <w:contextualSpacing/>
              <w:rPr>
                <w:rFonts w:eastAsia="Arial"/>
                <w:bCs/>
                <w:sz w:val="20"/>
              </w:rPr>
            </w:pPr>
            <w:r w:rsidRPr="00985BCC">
              <w:rPr>
                <w:rFonts w:eastAsia="Arial"/>
                <w:bCs/>
                <w:sz w:val="20"/>
              </w:rPr>
              <w:t>Employment Land and Monitoring Report 2020. Ashfield District Council.</w:t>
            </w:r>
          </w:p>
          <w:p w14:paraId="66F72823" w14:textId="35AAFFCA" w:rsidR="00945E91" w:rsidRPr="00F86477" w:rsidRDefault="007641C1" w:rsidP="000032A9">
            <w:pPr>
              <w:keepNext w:val="0"/>
              <w:numPr>
                <w:ilvl w:val="0"/>
                <w:numId w:val="24"/>
              </w:numPr>
              <w:tabs>
                <w:tab w:val="left" w:pos="680"/>
                <w:tab w:val="left" w:pos="1133"/>
                <w:tab w:val="left" w:pos="2267"/>
              </w:tabs>
              <w:spacing w:before="0" w:after="160" w:line="252" w:lineRule="auto"/>
              <w:ind w:right="284"/>
              <w:contextualSpacing/>
              <w:rPr>
                <w:rFonts w:eastAsia="Arial"/>
                <w:bCs/>
                <w:color w:val="auto"/>
                <w:sz w:val="20"/>
              </w:rPr>
            </w:pPr>
            <w:r w:rsidRPr="00985BCC">
              <w:rPr>
                <w:rFonts w:eastAsia="Arial"/>
                <w:bCs/>
                <w:sz w:val="20"/>
              </w:rPr>
              <w:t>Sustainability Appraisal 2023. WSP UK Limited.</w:t>
            </w:r>
          </w:p>
        </w:tc>
      </w:tr>
      <w:tr w:rsidR="00945E91" w:rsidRPr="00945E91" w14:paraId="44825D1D" w14:textId="77777777" w:rsidTr="00E40772">
        <w:tc>
          <w:tcPr>
            <w:tcW w:w="1980" w:type="dxa"/>
          </w:tcPr>
          <w:p w14:paraId="4C872EF8" w14:textId="77777777" w:rsidR="00945E91" w:rsidRPr="00F86477" w:rsidRDefault="00945E91" w:rsidP="00F86477">
            <w:pPr>
              <w:keepNext w:val="0"/>
              <w:tabs>
                <w:tab w:val="left" w:pos="680"/>
                <w:tab w:val="left" w:pos="1133"/>
                <w:tab w:val="left" w:pos="2267"/>
              </w:tabs>
              <w:spacing w:before="0"/>
              <w:ind w:right="284"/>
              <w:rPr>
                <w:rFonts w:eastAsia="Arial"/>
                <w:b/>
                <w:color w:val="538135"/>
                <w:sz w:val="22"/>
                <w:szCs w:val="22"/>
              </w:rPr>
            </w:pPr>
            <w:r w:rsidRPr="00F86477">
              <w:rPr>
                <w:rFonts w:eastAsia="Arial"/>
                <w:bCs/>
                <w:color w:val="auto"/>
                <w:sz w:val="20"/>
              </w:rPr>
              <w:t>National Planning Policy and Guidance</w:t>
            </w:r>
          </w:p>
        </w:tc>
        <w:tc>
          <w:tcPr>
            <w:tcW w:w="7654" w:type="dxa"/>
            <w:gridSpan w:val="2"/>
          </w:tcPr>
          <w:p w14:paraId="7921B49C" w14:textId="1EC0DB91" w:rsidR="00945E91" w:rsidRPr="00F86477" w:rsidRDefault="00945E91" w:rsidP="000032A9">
            <w:pPr>
              <w:keepNext w:val="0"/>
              <w:numPr>
                <w:ilvl w:val="0"/>
                <w:numId w:val="25"/>
              </w:numPr>
              <w:spacing w:before="0" w:after="160" w:line="252" w:lineRule="auto"/>
              <w:contextualSpacing/>
              <w:rPr>
                <w:rFonts w:cs="Arial"/>
                <w:bCs/>
                <w:color w:val="auto"/>
                <w:sz w:val="20"/>
                <w:u w:val="single"/>
              </w:rPr>
            </w:pPr>
            <w:r w:rsidRPr="00F86477">
              <w:rPr>
                <w:rFonts w:eastAsia="Arial"/>
                <w:bCs/>
                <w:color w:val="auto"/>
                <w:sz w:val="20"/>
              </w:rPr>
              <w:t>NPPF 202</w:t>
            </w:r>
            <w:r w:rsidR="004173E0">
              <w:rPr>
                <w:rFonts w:eastAsia="Arial"/>
                <w:bCs/>
                <w:color w:val="auto"/>
                <w:sz w:val="20"/>
              </w:rPr>
              <w:t>3</w:t>
            </w:r>
            <w:r w:rsidRPr="00F86477">
              <w:rPr>
                <w:rFonts w:eastAsia="Arial"/>
                <w:bCs/>
                <w:color w:val="auto"/>
                <w:sz w:val="20"/>
              </w:rPr>
              <w:t>, Part 2: Achieving sustainable development.</w:t>
            </w:r>
          </w:p>
          <w:p w14:paraId="1D1AC0AE" w14:textId="024DCCF4" w:rsidR="00945E91" w:rsidRPr="00F86477" w:rsidRDefault="00945E91" w:rsidP="000032A9">
            <w:pPr>
              <w:keepNext w:val="0"/>
              <w:numPr>
                <w:ilvl w:val="0"/>
                <w:numId w:val="25"/>
              </w:numPr>
              <w:tabs>
                <w:tab w:val="left" w:pos="680"/>
                <w:tab w:val="left" w:pos="1133"/>
                <w:tab w:val="left" w:pos="2267"/>
              </w:tabs>
              <w:spacing w:before="0" w:after="160" w:line="252" w:lineRule="auto"/>
              <w:ind w:right="284"/>
              <w:contextualSpacing/>
              <w:rPr>
                <w:rFonts w:eastAsia="Arial"/>
                <w:bCs/>
                <w:color w:val="auto"/>
                <w:sz w:val="20"/>
              </w:rPr>
            </w:pPr>
            <w:r w:rsidRPr="00F86477">
              <w:rPr>
                <w:rFonts w:eastAsia="Arial"/>
                <w:bCs/>
                <w:color w:val="auto"/>
                <w:sz w:val="20"/>
              </w:rPr>
              <w:t>NPPF 202</w:t>
            </w:r>
            <w:r w:rsidR="004173E0">
              <w:rPr>
                <w:rFonts w:eastAsia="Arial"/>
                <w:bCs/>
                <w:color w:val="auto"/>
                <w:sz w:val="20"/>
              </w:rPr>
              <w:t>3</w:t>
            </w:r>
            <w:r w:rsidRPr="00F86477">
              <w:rPr>
                <w:rFonts w:eastAsia="Arial"/>
                <w:bCs/>
                <w:color w:val="auto"/>
                <w:sz w:val="20"/>
              </w:rPr>
              <w:t xml:space="preserve">, Part 6: </w:t>
            </w:r>
            <w:r w:rsidRPr="00F86477">
              <w:rPr>
                <w:rFonts w:eastAsia="Calibri"/>
                <w:bCs/>
                <w:color w:val="auto"/>
                <w:sz w:val="20"/>
                <w:lang w:eastAsia="en-US"/>
              </w:rPr>
              <w:t>Building a strong, competitive economy.</w:t>
            </w:r>
          </w:p>
          <w:p w14:paraId="265E9E5E" w14:textId="3BF470C6" w:rsidR="00945E91" w:rsidRPr="00F86477" w:rsidRDefault="00945E91" w:rsidP="000032A9">
            <w:pPr>
              <w:keepNext w:val="0"/>
              <w:numPr>
                <w:ilvl w:val="0"/>
                <w:numId w:val="25"/>
              </w:numPr>
              <w:spacing w:before="0" w:after="160" w:line="252" w:lineRule="auto"/>
              <w:contextualSpacing/>
              <w:rPr>
                <w:rFonts w:cs="Arial"/>
                <w:bCs/>
                <w:color w:val="auto"/>
                <w:sz w:val="20"/>
                <w:u w:val="single"/>
              </w:rPr>
            </w:pPr>
            <w:r w:rsidRPr="00F86477">
              <w:rPr>
                <w:rFonts w:eastAsia="Arial"/>
                <w:bCs/>
                <w:color w:val="auto"/>
                <w:sz w:val="20"/>
              </w:rPr>
              <w:t>NPPF 202</w:t>
            </w:r>
            <w:r w:rsidR="004173E0">
              <w:rPr>
                <w:rFonts w:eastAsia="Arial"/>
                <w:bCs/>
                <w:color w:val="auto"/>
                <w:sz w:val="20"/>
              </w:rPr>
              <w:t>3</w:t>
            </w:r>
            <w:r w:rsidRPr="00F86477">
              <w:rPr>
                <w:rFonts w:eastAsia="Arial"/>
                <w:bCs/>
                <w:color w:val="auto"/>
                <w:sz w:val="20"/>
              </w:rPr>
              <w:t xml:space="preserve"> Part 11: Making effective use of land.</w:t>
            </w:r>
          </w:p>
          <w:p w14:paraId="16EE36BF" w14:textId="3EB43C3D" w:rsidR="00945E91" w:rsidRPr="00985BCC" w:rsidRDefault="00945E91" w:rsidP="000032A9">
            <w:pPr>
              <w:keepNext w:val="0"/>
              <w:numPr>
                <w:ilvl w:val="0"/>
                <w:numId w:val="25"/>
              </w:numPr>
              <w:spacing w:before="0" w:after="160" w:line="252" w:lineRule="auto"/>
              <w:contextualSpacing/>
              <w:rPr>
                <w:rFonts w:eastAsia="Calibri"/>
                <w:bCs/>
                <w:sz w:val="20"/>
                <w:lang w:eastAsia="en-US"/>
              </w:rPr>
            </w:pPr>
            <w:r w:rsidRPr="00F86477">
              <w:rPr>
                <w:rFonts w:eastAsia="Calibri"/>
                <w:bCs/>
                <w:color w:val="auto"/>
                <w:sz w:val="20"/>
                <w:lang w:eastAsia="en-US"/>
              </w:rPr>
              <w:t xml:space="preserve">Planning Practice Guidance: Housing and economic land availability assessment as </w:t>
            </w:r>
            <w:r w:rsidR="009D1815" w:rsidRPr="00985BCC">
              <w:rPr>
                <w:rFonts w:eastAsia="Calibri"/>
                <w:bCs/>
                <w:sz w:val="20"/>
                <w:lang w:eastAsia="en-US"/>
              </w:rPr>
              <w:t>of</w:t>
            </w:r>
            <w:r w:rsidRPr="00985BCC">
              <w:rPr>
                <w:rFonts w:eastAsia="Calibri"/>
                <w:bCs/>
                <w:sz w:val="20"/>
                <w:lang w:eastAsia="en-US"/>
              </w:rPr>
              <w:t xml:space="preserve"> </w:t>
            </w:r>
            <w:r w:rsidR="007641C1" w:rsidRPr="00985BCC">
              <w:rPr>
                <w:rFonts w:eastAsia="Calibri"/>
                <w:bCs/>
                <w:sz w:val="20"/>
                <w:lang w:eastAsia="en-US"/>
              </w:rPr>
              <w:t>July 2019</w:t>
            </w:r>
            <w:r w:rsidRPr="00985BCC">
              <w:rPr>
                <w:rFonts w:eastAsia="Calibri"/>
                <w:bCs/>
                <w:sz w:val="20"/>
                <w:lang w:eastAsia="en-US"/>
              </w:rPr>
              <w:t>.</w:t>
            </w:r>
          </w:p>
          <w:p w14:paraId="4BB6F283" w14:textId="0B02AD0D" w:rsidR="00945E91" w:rsidRPr="00F86477" w:rsidRDefault="00945E91" w:rsidP="000032A9">
            <w:pPr>
              <w:keepNext w:val="0"/>
              <w:numPr>
                <w:ilvl w:val="0"/>
                <w:numId w:val="25"/>
              </w:numPr>
              <w:spacing w:before="0" w:after="160" w:line="252" w:lineRule="auto"/>
              <w:contextualSpacing/>
              <w:rPr>
                <w:rFonts w:eastAsia="Calibri"/>
                <w:bCs/>
                <w:color w:val="auto"/>
                <w:sz w:val="20"/>
                <w:lang w:eastAsia="en-US"/>
              </w:rPr>
            </w:pPr>
            <w:r w:rsidRPr="00985BCC">
              <w:rPr>
                <w:rFonts w:eastAsia="Calibri"/>
                <w:bCs/>
                <w:sz w:val="20"/>
                <w:lang w:eastAsia="en-US"/>
              </w:rPr>
              <w:t xml:space="preserve">Planning Practice Guidance: Housing and economic needs assessment as </w:t>
            </w:r>
            <w:r w:rsidR="009D1815" w:rsidRPr="00985BCC">
              <w:rPr>
                <w:rFonts w:eastAsia="Calibri"/>
                <w:bCs/>
                <w:sz w:val="20"/>
                <w:lang w:eastAsia="en-US"/>
              </w:rPr>
              <w:t>of</w:t>
            </w:r>
            <w:r w:rsidR="007641C1" w:rsidRPr="00985BCC">
              <w:rPr>
                <w:rFonts w:eastAsia="Calibri"/>
                <w:bCs/>
                <w:sz w:val="20"/>
                <w:lang w:eastAsia="en-US"/>
              </w:rPr>
              <w:t xml:space="preserve"> July 2019</w:t>
            </w:r>
            <w:r w:rsidRPr="00985BCC">
              <w:rPr>
                <w:rFonts w:eastAsia="Calibri"/>
                <w:bCs/>
                <w:sz w:val="20"/>
                <w:lang w:eastAsia="en-US"/>
              </w:rPr>
              <w:t>.</w:t>
            </w:r>
          </w:p>
        </w:tc>
      </w:tr>
    </w:tbl>
    <w:p w14:paraId="583AECFD" w14:textId="77777777" w:rsidR="00945E91" w:rsidRPr="00945E91" w:rsidRDefault="00945E91" w:rsidP="00945E91">
      <w:pPr>
        <w:keepNext w:val="0"/>
        <w:tabs>
          <w:tab w:val="left" w:pos="680"/>
          <w:tab w:val="left" w:pos="1133"/>
          <w:tab w:val="left" w:pos="2267"/>
        </w:tabs>
        <w:spacing w:before="0"/>
        <w:ind w:right="284"/>
        <w:rPr>
          <w:rFonts w:eastAsia="Arial"/>
          <w:b/>
          <w:color w:val="002060"/>
        </w:rPr>
      </w:pPr>
    </w:p>
    <w:p w14:paraId="67A27C60" w14:textId="77777777" w:rsidR="00945E91" w:rsidRPr="00945E91" w:rsidRDefault="00945E91" w:rsidP="00945E91">
      <w:pPr>
        <w:keepNext w:val="0"/>
        <w:spacing w:before="0"/>
        <w:rPr>
          <w:rFonts w:eastAsia="Arial" w:cs="Arial"/>
          <w:color w:val="auto"/>
        </w:rPr>
      </w:pPr>
    </w:p>
    <w:p w14:paraId="1BE2C8BC" w14:textId="1AF96CBF" w:rsidR="00945E91" w:rsidRDefault="00945E91" w:rsidP="00D01157">
      <w:pPr>
        <w:keepNext w:val="0"/>
        <w:numPr>
          <w:ilvl w:val="1"/>
          <w:numId w:val="28"/>
        </w:numPr>
        <w:tabs>
          <w:tab w:val="clear" w:pos="525"/>
        </w:tabs>
        <w:spacing w:before="0"/>
        <w:ind w:left="709" w:hanging="709"/>
        <w:rPr>
          <w:rFonts w:cs="Arial"/>
          <w:color w:val="auto"/>
          <w:szCs w:val="24"/>
          <w:lang w:eastAsia="en-US"/>
        </w:rPr>
      </w:pPr>
      <w:r w:rsidRPr="00945E91">
        <w:rPr>
          <w:rFonts w:cs="Arial"/>
          <w:color w:val="auto"/>
          <w:szCs w:val="24"/>
          <w:lang w:eastAsia="en-US"/>
        </w:rPr>
        <w:t xml:space="preserve">In ensuring business and economic development across the </w:t>
      </w:r>
      <w:proofErr w:type="gramStart"/>
      <w:r w:rsidRPr="00945E91">
        <w:rPr>
          <w:rFonts w:cs="Arial"/>
          <w:color w:val="auto"/>
          <w:szCs w:val="24"/>
          <w:lang w:eastAsia="en-US"/>
        </w:rPr>
        <w:t>District</w:t>
      </w:r>
      <w:proofErr w:type="gramEnd"/>
      <w:r w:rsidRPr="00945E91">
        <w:rPr>
          <w:rFonts w:cs="Arial"/>
          <w:color w:val="auto"/>
          <w:szCs w:val="24"/>
          <w:lang w:eastAsia="en-US"/>
        </w:rPr>
        <w:t xml:space="preserve"> successfully contributes to delivering sustainable growth and productivity, the Council will seek to direct development to the most sustainable and appropriate location for the given uses. These locations will include town centres for appropriate office development, Key Employment Areas and other existing employment sites and buildings. The </w:t>
      </w:r>
      <w:r w:rsidR="007D7A4C">
        <w:rPr>
          <w:rFonts w:cs="Arial"/>
          <w:color w:val="auto"/>
          <w:szCs w:val="24"/>
          <w:lang w:eastAsia="en-US"/>
        </w:rPr>
        <w:lastRenderedPageBreak/>
        <w:t>P</w:t>
      </w:r>
      <w:r w:rsidRPr="00945E91">
        <w:rPr>
          <w:rFonts w:cs="Arial"/>
          <w:color w:val="auto"/>
          <w:szCs w:val="24"/>
          <w:lang w:eastAsia="en-US"/>
        </w:rPr>
        <w:t>olicy also recognises the benefits of home working, placing an emphasis on the ability to work or start new business from home.</w:t>
      </w:r>
    </w:p>
    <w:p w14:paraId="1692148F" w14:textId="77777777" w:rsidR="00945E91" w:rsidRDefault="00945E91" w:rsidP="00945E91">
      <w:pPr>
        <w:keepNext w:val="0"/>
        <w:spacing w:before="0"/>
        <w:ind w:left="709"/>
        <w:rPr>
          <w:rFonts w:cs="Arial"/>
          <w:color w:val="auto"/>
          <w:szCs w:val="24"/>
          <w:lang w:eastAsia="en-US"/>
        </w:rPr>
      </w:pPr>
    </w:p>
    <w:p w14:paraId="0CA6FC40" w14:textId="77777777" w:rsidR="00945E91" w:rsidRDefault="00945E91" w:rsidP="00D01157">
      <w:pPr>
        <w:keepNext w:val="0"/>
        <w:numPr>
          <w:ilvl w:val="1"/>
          <w:numId w:val="28"/>
        </w:numPr>
        <w:tabs>
          <w:tab w:val="clear" w:pos="525"/>
        </w:tabs>
        <w:spacing w:before="0"/>
        <w:ind w:left="709" w:hanging="709"/>
        <w:rPr>
          <w:rFonts w:cs="Arial"/>
          <w:color w:val="auto"/>
          <w:szCs w:val="24"/>
          <w:lang w:eastAsia="en-US"/>
        </w:rPr>
      </w:pPr>
      <w:r w:rsidRPr="00945E91">
        <w:rPr>
          <w:rFonts w:eastAsia="Arial" w:cs="Arial"/>
          <w:color w:val="auto"/>
        </w:rPr>
        <w:t>The economic implications of a development proposal will be seen in the context of the evidence and objectives of The Ashfield and Mansfield Joint Economic Masterplan, the D2N2 economic strategy other appropriate evidence from economic analysis of the Ashfield and Mansfield or Greater Nottingham economic area (including any subsequent reviews). The economic significance of any application will depend upon:</w:t>
      </w:r>
    </w:p>
    <w:p w14:paraId="6868CC4A" w14:textId="77777777" w:rsidR="00945E91" w:rsidRPr="00945E91" w:rsidRDefault="00945E91" w:rsidP="00945E91">
      <w:pPr>
        <w:keepNext w:val="0"/>
        <w:autoSpaceDE w:val="0"/>
        <w:autoSpaceDN w:val="0"/>
        <w:adjustRightInd w:val="0"/>
        <w:spacing w:before="0"/>
        <w:rPr>
          <w:rFonts w:eastAsia="Arial" w:cs="Arial"/>
          <w:color w:val="auto"/>
          <w:spacing w:val="-1"/>
        </w:rPr>
      </w:pPr>
    </w:p>
    <w:p w14:paraId="17723124" w14:textId="57E3EF7C" w:rsidR="00945E91" w:rsidRPr="00945E91" w:rsidRDefault="00AC45CD" w:rsidP="00874A98">
      <w:pPr>
        <w:keepNext w:val="0"/>
        <w:numPr>
          <w:ilvl w:val="0"/>
          <w:numId w:val="136"/>
        </w:numPr>
        <w:tabs>
          <w:tab w:val="num" w:pos="360"/>
          <w:tab w:val="left" w:pos="680"/>
        </w:tabs>
        <w:suppressAutoHyphens/>
        <w:spacing w:before="0" w:after="113" w:line="252" w:lineRule="auto"/>
        <w:ind w:right="56"/>
        <w:jc w:val="both"/>
        <w:textAlignment w:val="baseline"/>
        <w:rPr>
          <w:rFonts w:eastAsia="Arial"/>
          <w:color w:val="auto"/>
        </w:rPr>
      </w:pPr>
      <w:r>
        <w:rPr>
          <w:rFonts w:eastAsia="Arial"/>
          <w:color w:val="auto"/>
        </w:rPr>
        <w:t>T</w:t>
      </w:r>
      <w:r w:rsidR="00945E91" w:rsidRPr="00945E91">
        <w:rPr>
          <w:rFonts w:eastAsia="Arial"/>
          <w:color w:val="auto"/>
        </w:rPr>
        <w:t>he scale and location of the proposed development; for example, the creation of ten jobs within a small village location can have a significant impact at a local level</w:t>
      </w:r>
      <w:r>
        <w:rPr>
          <w:rFonts w:eastAsia="Arial"/>
          <w:color w:val="auto"/>
        </w:rPr>
        <w:t>.</w:t>
      </w:r>
    </w:p>
    <w:p w14:paraId="12D3E808" w14:textId="3A1B2CDB" w:rsidR="00945E91" w:rsidRDefault="00AC45CD" w:rsidP="00874A98">
      <w:pPr>
        <w:keepNext w:val="0"/>
        <w:numPr>
          <w:ilvl w:val="0"/>
          <w:numId w:val="136"/>
        </w:numPr>
        <w:tabs>
          <w:tab w:val="num" w:pos="360"/>
          <w:tab w:val="left" w:pos="680"/>
        </w:tabs>
        <w:suppressAutoHyphens/>
        <w:spacing w:before="0"/>
        <w:ind w:right="56"/>
        <w:jc w:val="both"/>
        <w:textAlignment w:val="baseline"/>
        <w:rPr>
          <w:rFonts w:eastAsia="Arial"/>
          <w:color w:val="auto"/>
        </w:rPr>
      </w:pPr>
      <w:r>
        <w:rPr>
          <w:rFonts w:eastAsia="Arial"/>
          <w:color w:val="auto"/>
        </w:rPr>
        <w:t>T</w:t>
      </w:r>
      <w:r w:rsidR="00945E91" w:rsidRPr="00945E91">
        <w:rPr>
          <w:rFonts w:eastAsia="Arial"/>
          <w:color w:val="auto"/>
        </w:rPr>
        <w:t xml:space="preserve">he </w:t>
      </w:r>
      <w:proofErr w:type="gramStart"/>
      <w:r w:rsidR="00945E91" w:rsidRPr="00945E91">
        <w:rPr>
          <w:rFonts w:eastAsia="Arial"/>
          <w:color w:val="auto"/>
        </w:rPr>
        <w:t>short, medium or long term</w:t>
      </w:r>
      <w:proofErr w:type="gramEnd"/>
      <w:r w:rsidR="00945E91" w:rsidRPr="00945E91">
        <w:rPr>
          <w:rFonts w:eastAsia="Arial"/>
          <w:color w:val="auto"/>
        </w:rPr>
        <w:t xml:space="preserve"> implications of the proposal, with a greater weight in favour of applications for long term sustainable development. </w:t>
      </w:r>
    </w:p>
    <w:p w14:paraId="6DC23BFC" w14:textId="77777777" w:rsidR="00945E91" w:rsidRPr="00945E91" w:rsidRDefault="00945E91" w:rsidP="00945E91">
      <w:pPr>
        <w:keepNext w:val="0"/>
        <w:tabs>
          <w:tab w:val="left" w:pos="680"/>
        </w:tabs>
        <w:suppressAutoHyphens/>
        <w:spacing w:before="0"/>
        <w:ind w:left="1040" w:right="56"/>
        <w:jc w:val="both"/>
        <w:textAlignment w:val="baseline"/>
        <w:rPr>
          <w:rFonts w:eastAsia="Arial"/>
          <w:color w:val="auto"/>
        </w:rPr>
      </w:pPr>
    </w:p>
    <w:p w14:paraId="61E4B210" w14:textId="1D8FF45E" w:rsidR="00945E91" w:rsidRPr="00945E91" w:rsidRDefault="00945E91" w:rsidP="00D01157">
      <w:pPr>
        <w:keepNext w:val="0"/>
        <w:numPr>
          <w:ilvl w:val="1"/>
          <w:numId w:val="28"/>
        </w:numPr>
        <w:tabs>
          <w:tab w:val="clear" w:pos="525"/>
        </w:tabs>
        <w:spacing w:before="0"/>
        <w:ind w:left="709" w:hanging="709"/>
        <w:rPr>
          <w:rFonts w:cs="Arial"/>
          <w:color w:val="auto"/>
          <w:szCs w:val="24"/>
          <w:lang w:eastAsia="en-US"/>
        </w:rPr>
      </w:pPr>
      <w:r w:rsidRPr="00945E91">
        <w:rPr>
          <w:rFonts w:eastAsia="Arial" w:cs="Arial"/>
          <w:color w:val="auto"/>
        </w:rPr>
        <w:t>Where appropriate, planning applications should be supported by sufficient information about the positive and negative economic implications of the proposal to enable the Council to make an informed assessment of the potential economic impact.</w:t>
      </w:r>
    </w:p>
    <w:p w14:paraId="369E8AD9" w14:textId="77777777" w:rsidR="00945E91" w:rsidRDefault="00945E91" w:rsidP="00945E91">
      <w:pPr>
        <w:keepNext w:val="0"/>
        <w:spacing w:before="0"/>
        <w:ind w:left="709"/>
        <w:rPr>
          <w:rFonts w:cs="Arial"/>
          <w:color w:val="auto"/>
          <w:szCs w:val="24"/>
          <w:lang w:eastAsia="en-US"/>
        </w:rPr>
      </w:pPr>
    </w:p>
    <w:p w14:paraId="5300B64B" w14:textId="44F24536" w:rsidR="00945E91" w:rsidRPr="00945E91" w:rsidRDefault="00945E91" w:rsidP="00AC45CD">
      <w:pPr>
        <w:keepNext w:val="0"/>
        <w:numPr>
          <w:ilvl w:val="1"/>
          <w:numId w:val="28"/>
        </w:numPr>
        <w:tabs>
          <w:tab w:val="clear" w:pos="525"/>
        </w:tabs>
        <w:spacing w:before="0"/>
        <w:ind w:left="709" w:hanging="709"/>
        <w:rPr>
          <w:rFonts w:cs="Arial"/>
          <w:color w:val="auto"/>
          <w:szCs w:val="24"/>
          <w:lang w:eastAsia="en-US"/>
        </w:rPr>
      </w:pPr>
      <w:r w:rsidRPr="00945E91">
        <w:rPr>
          <w:rFonts w:cs="Arial"/>
          <w:color w:val="auto"/>
          <w:szCs w:val="24"/>
        </w:rPr>
        <w:t xml:space="preserve">Specific industrial parks/estates, identified as Key Employment Areas, </w:t>
      </w:r>
      <w:r w:rsidRPr="00945E91">
        <w:rPr>
          <w:rFonts w:eastAsia="Arial" w:cs="Arial"/>
          <w:color w:val="auto"/>
        </w:rPr>
        <w:t xml:space="preserve">are considered as having a key role in providing for opportunities for jobs and new investment derived from office, </w:t>
      </w:r>
      <w:r w:rsidRPr="00945E91">
        <w:rPr>
          <w:rFonts w:eastAsia="Arial"/>
          <w:bCs/>
          <w:color w:val="auto"/>
        </w:rPr>
        <w:t xml:space="preserve">light industrial and research and development, general industrial and storage and distribution uses.  Together with other employment sites, they will continue to play a crucial role in the economy of the area.  </w:t>
      </w:r>
      <w:r w:rsidRPr="00945E91">
        <w:rPr>
          <w:rFonts w:eastAsia="Arial" w:cs="Arial"/>
          <w:color w:val="auto"/>
        </w:rPr>
        <w:t xml:space="preserve">These sites can also help to support less-skilled jobs for less-skilled workers in and near deprived areas.  The Policy does allow for flexibility in relation to </w:t>
      </w:r>
      <w:proofErr w:type="gramStart"/>
      <w:r w:rsidRPr="00945E91">
        <w:rPr>
          <w:rFonts w:eastAsia="Arial" w:cs="Arial"/>
          <w:color w:val="auto"/>
        </w:rPr>
        <w:t>a number of</w:t>
      </w:r>
      <w:proofErr w:type="gramEnd"/>
      <w:r w:rsidRPr="00945E91">
        <w:rPr>
          <w:rFonts w:eastAsia="Arial" w:cs="Arial"/>
          <w:color w:val="auto"/>
        </w:rPr>
        <w:t xml:space="preserve"> uses:</w:t>
      </w:r>
    </w:p>
    <w:p w14:paraId="7F30DD24" w14:textId="77777777" w:rsidR="00945E91" w:rsidRPr="00945E91" w:rsidRDefault="00945E91" w:rsidP="00AC45CD">
      <w:pPr>
        <w:keepNext w:val="0"/>
        <w:spacing w:before="0"/>
        <w:rPr>
          <w:rFonts w:cs="Arial"/>
          <w:color w:val="auto"/>
          <w:szCs w:val="24"/>
          <w:lang w:eastAsia="en-US"/>
        </w:rPr>
      </w:pPr>
    </w:p>
    <w:p w14:paraId="0DCED840" w14:textId="77777777" w:rsidR="00945E91" w:rsidRPr="00945E91" w:rsidRDefault="00945E91" w:rsidP="00874A98">
      <w:pPr>
        <w:keepNext w:val="0"/>
        <w:numPr>
          <w:ilvl w:val="0"/>
          <w:numId w:val="137"/>
        </w:numPr>
        <w:autoSpaceDE w:val="0"/>
        <w:autoSpaceDN w:val="0"/>
        <w:adjustRightInd w:val="0"/>
        <w:spacing w:before="0" w:after="160" w:line="252" w:lineRule="auto"/>
        <w:ind w:left="1069"/>
        <w:contextualSpacing/>
        <w:rPr>
          <w:rFonts w:eastAsia="Arial" w:cs="Arial"/>
          <w:color w:val="auto"/>
        </w:rPr>
      </w:pPr>
      <w:r w:rsidRPr="00945E91">
        <w:rPr>
          <w:rFonts w:eastAsia="Arial" w:cs="Arial"/>
          <w:color w:val="auto"/>
        </w:rPr>
        <w:t>While it is anticipated that most of the uses on allocated employment sites or Key Employment Areas will fall within</w:t>
      </w:r>
      <w:r w:rsidRPr="00945E91">
        <w:rPr>
          <w:rFonts w:eastAsia="Calibri"/>
          <w:color w:val="auto"/>
          <w:szCs w:val="22"/>
          <w:lang w:eastAsia="en-US"/>
        </w:rPr>
        <w:t xml:space="preserve"> </w:t>
      </w:r>
      <w:r w:rsidRPr="00945E91">
        <w:rPr>
          <w:rFonts w:eastAsia="Arial" w:cs="Arial"/>
          <w:color w:val="auto"/>
        </w:rPr>
        <w:t xml:space="preserve">office, light industrial and research and development, general industrial and storage and distribution uses, the development of a sui generis employment use may be appropriate where they have similar characteristics. Any such uses will need to be considered against the following considerations: </w:t>
      </w:r>
    </w:p>
    <w:p w14:paraId="534AD5D5" w14:textId="77777777" w:rsidR="00945E91" w:rsidRPr="00945E91" w:rsidRDefault="00945E91" w:rsidP="00AC45CD">
      <w:pPr>
        <w:keepNext w:val="0"/>
        <w:autoSpaceDE w:val="0"/>
        <w:autoSpaceDN w:val="0"/>
        <w:adjustRightInd w:val="0"/>
        <w:spacing w:before="0"/>
        <w:ind w:left="1069"/>
        <w:contextualSpacing/>
        <w:rPr>
          <w:rFonts w:eastAsia="Arial" w:cs="Arial"/>
          <w:color w:val="auto"/>
        </w:rPr>
      </w:pPr>
    </w:p>
    <w:p w14:paraId="78FA2A43" w14:textId="77EE1B67" w:rsidR="00945E91" w:rsidRPr="00945E91" w:rsidRDefault="00945E91" w:rsidP="00874A98">
      <w:pPr>
        <w:keepNext w:val="0"/>
        <w:numPr>
          <w:ilvl w:val="0"/>
          <w:numId w:val="138"/>
        </w:numPr>
        <w:autoSpaceDE w:val="0"/>
        <w:autoSpaceDN w:val="0"/>
        <w:adjustRightInd w:val="0"/>
        <w:spacing w:before="0" w:after="160" w:line="252" w:lineRule="auto"/>
        <w:ind w:left="1429"/>
        <w:contextualSpacing/>
        <w:rPr>
          <w:rFonts w:eastAsia="Arial" w:cs="Arial"/>
          <w:color w:val="auto"/>
        </w:rPr>
      </w:pPr>
      <w:r w:rsidRPr="00945E91">
        <w:rPr>
          <w:rFonts w:eastAsia="Arial" w:cs="Arial"/>
          <w:color w:val="auto"/>
        </w:rPr>
        <w:t>economic implications including the impacts on local employment, deprived areas, physical regeneration of the area and the local and sub regional economy;</w:t>
      </w:r>
    </w:p>
    <w:p w14:paraId="30343D09" w14:textId="77777777" w:rsidR="00945E91" w:rsidRPr="00945E91" w:rsidRDefault="00945E91" w:rsidP="00D17B5C">
      <w:pPr>
        <w:keepNext w:val="0"/>
        <w:numPr>
          <w:ilvl w:val="0"/>
          <w:numId w:val="138"/>
        </w:numPr>
        <w:autoSpaceDE w:val="0"/>
        <w:autoSpaceDN w:val="0"/>
        <w:adjustRightInd w:val="0"/>
        <w:spacing w:before="0" w:after="160" w:line="252" w:lineRule="auto"/>
        <w:ind w:left="1429"/>
        <w:contextualSpacing/>
        <w:rPr>
          <w:rFonts w:eastAsia="Arial" w:cs="Arial"/>
          <w:color w:val="auto"/>
        </w:rPr>
      </w:pPr>
      <w:r w:rsidRPr="00945E91">
        <w:rPr>
          <w:rFonts w:eastAsia="Arial" w:cs="Arial"/>
          <w:color w:val="auto"/>
        </w:rPr>
        <w:t>compatibility with the future operation of an existing or approved economic development use;</w:t>
      </w:r>
    </w:p>
    <w:p w14:paraId="5F163CF0" w14:textId="77777777" w:rsidR="00945E91" w:rsidRPr="00945E91" w:rsidRDefault="00945E91" w:rsidP="00D17B5C">
      <w:pPr>
        <w:keepNext w:val="0"/>
        <w:numPr>
          <w:ilvl w:val="0"/>
          <w:numId w:val="138"/>
        </w:numPr>
        <w:autoSpaceDE w:val="0"/>
        <w:autoSpaceDN w:val="0"/>
        <w:adjustRightInd w:val="0"/>
        <w:spacing w:before="0" w:after="160" w:line="252" w:lineRule="auto"/>
        <w:ind w:left="1429"/>
        <w:contextualSpacing/>
        <w:rPr>
          <w:rFonts w:eastAsia="Arial" w:cs="Arial"/>
          <w:color w:val="auto"/>
        </w:rPr>
      </w:pPr>
      <w:r w:rsidRPr="00945E91">
        <w:rPr>
          <w:rFonts w:eastAsia="Arial" w:cs="Arial"/>
          <w:color w:val="auto"/>
        </w:rPr>
        <w:t>infrastructure requirements associated with the development and their impact on and off the estate;</w:t>
      </w:r>
    </w:p>
    <w:p w14:paraId="732CA5A4" w14:textId="33D6E210" w:rsidR="00945E91" w:rsidRPr="00945E91" w:rsidRDefault="00945E91" w:rsidP="00D17B5C">
      <w:pPr>
        <w:keepNext w:val="0"/>
        <w:numPr>
          <w:ilvl w:val="0"/>
          <w:numId w:val="138"/>
        </w:numPr>
        <w:autoSpaceDE w:val="0"/>
        <w:autoSpaceDN w:val="0"/>
        <w:adjustRightInd w:val="0"/>
        <w:spacing w:before="0" w:after="160" w:line="252" w:lineRule="auto"/>
        <w:ind w:left="1429"/>
        <w:contextualSpacing/>
        <w:rPr>
          <w:rFonts w:eastAsia="Arial" w:cs="Arial"/>
          <w:color w:val="auto"/>
        </w:rPr>
      </w:pPr>
      <w:r w:rsidRPr="00945E91">
        <w:rPr>
          <w:rFonts w:eastAsia="Arial" w:cs="Arial"/>
          <w:color w:val="auto"/>
        </w:rPr>
        <w:t>whether they are town centre uses and the sequential and/or impact test have been applied;</w:t>
      </w:r>
      <w:r w:rsidR="00AC45CD">
        <w:rPr>
          <w:rFonts w:eastAsia="Arial" w:cs="Arial"/>
          <w:color w:val="auto"/>
        </w:rPr>
        <w:t xml:space="preserve"> and</w:t>
      </w:r>
    </w:p>
    <w:p w14:paraId="12DB7858" w14:textId="77777777" w:rsidR="00945E91" w:rsidRPr="00945E91" w:rsidRDefault="00945E91" w:rsidP="00D17B5C">
      <w:pPr>
        <w:keepNext w:val="0"/>
        <w:numPr>
          <w:ilvl w:val="0"/>
          <w:numId w:val="138"/>
        </w:numPr>
        <w:autoSpaceDE w:val="0"/>
        <w:autoSpaceDN w:val="0"/>
        <w:adjustRightInd w:val="0"/>
        <w:spacing w:before="0" w:after="160" w:line="252" w:lineRule="auto"/>
        <w:ind w:left="1429"/>
        <w:contextualSpacing/>
        <w:rPr>
          <w:rFonts w:eastAsia="Arial" w:cs="Arial"/>
          <w:color w:val="auto"/>
        </w:rPr>
      </w:pPr>
      <w:r w:rsidRPr="00945E91">
        <w:rPr>
          <w:rFonts w:eastAsia="Arial" w:cs="Arial"/>
          <w:color w:val="auto"/>
        </w:rPr>
        <w:t>promotion of skills provision and levels.</w:t>
      </w:r>
    </w:p>
    <w:p w14:paraId="08A493E0" w14:textId="77777777" w:rsidR="00945E91" w:rsidRPr="00945E91" w:rsidRDefault="00945E91" w:rsidP="00945E91">
      <w:pPr>
        <w:keepNext w:val="0"/>
        <w:autoSpaceDE w:val="0"/>
        <w:autoSpaceDN w:val="0"/>
        <w:adjustRightInd w:val="0"/>
        <w:spacing w:before="0"/>
        <w:ind w:left="1069"/>
        <w:contextualSpacing/>
        <w:rPr>
          <w:rFonts w:eastAsia="Arial" w:cs="Arial"/>
          <w:color w:val="auto"/>
        </w:rPr>
      </w:pPr>
    </w:p>
    <w:p w14:paraId="2CC9ABED" w14:textId="77777777" w:rsidR="00945E91" w:rsidRPr="00945E91" w:rsidRDefault="00945E91" w:rsidP="00D17B5C">
      <w:pPr>
        <w:keepNext w:val="0"/>
        <w:numPr>
          <w:ilvl w:val="0"/>
          <w:numId w:val="137"/>
        </w:numPr>
        <w:autoSpaceDE w:val="0"/>
        <w:autoSpaceDN w:val="0"/>
        <w:adjustRightInd w:val="0"/>
        <w:spacing w:before="0" w:after="160" w:line="252" w:lineRule="auto"/>
        <w:ind w:left="1069"/>
        <w:contextualSpacing/>
        <w:rPr>
          <w:rFonts w:eastAsia="Arial" w:cs="Arial"/>
          <w:color w:val="auto"/>
        </w:rPr>
      </w:pPr>
      <w:r w:rsidRPr="00945E91">
        <w:rPr>
          <w:rFonts w:eastAsia="Arial" w:cs="Arial"/>
          <w:color w:val="auto"/>
        </w:rPr>
        <w:t>Meeting education and training infrastructure needs, reflecting the importance to improved education qualification and skills in meeting the future needs of the local economy.</w:t>
      </w:r>
    </w:p>
    <w:p w14:paraId="4FD57BBD" w14:textId="77777777" w:rsidR="00945E91" w:rsidRPr="00945E91" w:rsidRDefault="00945E91" w:rsidP="00D17B5C">
      <w:pPr>
        <w:keepNext w:val="0"/>
        <w:autoSpaceDE w:val="0"/>
        <w:autoSpaceDN w:val="0"/>
        <w:adjustRightInd w:val="0"/>
        <w:spacing w:before="0"/>
        <w:ind w:left="1069"/>
        <w:contextualSpacing/>
        <w:rPr>
          <w:rFonts w:eastAsia="Arial" w:cs="Arial"/>
          <w:color w:val="auto"/>
        </w:rPr>
      </w:pPr>
    </w:p>
    <w:p w14:paraId="4BF8D6EE" w14:textId="55AB41D3" w:rsidR="00945E91" w:rsidRPr="00945E91" w:rsidRDefault="00945E91" w:rsidP="00D17B5C">
      <w:pPr>
        <w:keepNext w:val="0"/>
        <w:numPr>
          <w:ilvl w:val="0"/>
          <w:numId w:val="137"/>
        </w:numPr>
        <w:autoSpaceDE w:val="0"/>
        <w:autoSpaceDN w:val="0"/>
        <w:adjustRightInd w:val="0"/>
        <w:spacing w:before="0" w:after="160" w:line="252" w:lineRule="auto"/>
        <w:ind w:left="1069"/>
        <w:contextualSpacing/>
        <w:rPr>
          <w:rFonts w:eastAsia="Arial" w:cs="Arial"/>
          <w:color w:val="auto"/>
        </w:rPr>
      </w:pPr>
      <w:r w:rsidRPr="00945E91">
        <w:rPr>
          <w:rFonts w:eastAsia="Arial" w:cs="Arial"/>
          <w:color w:val="auto"/>
        </w:rPr>
        <w:t>The provision of ancillary services on these estates where the inten</w:t>
      </w:r>
      <w:r w:rsidR="002C7E16">
        <w:rPr>
          <w:rFonts w:eastAsia="Arial" w:cs="Arial"/>
          <w:color w:val="auto"/>
        </w:rPr>
        <w:t>t</w:t>
      </w:r>
      <w:r w:rsidRPr="00945E91">
        <w:rPr>
          <w:rFonts w:eastAsia="Arial" w:cs="Arial"/>
          <w:color w:val="auto"/>
        </w:rPr>
        <w:t xml:space="preserve">ion is to meet the needs arising from workers on the estates.  However, this does not allow for uses which are directed towards meeting a wider need and results in significant visitors to the estate.  Any applications of this nature will need to demonstrate that the need for ancillary services, arises principally from the estate/business park in question.  </w:t>
      </w:r>
    </w:p>
    <w:p w14:paraId="245A3710" w14:textId="51292F69" w:rsidR="00945E91" w:rsidRDefault="00945E91" w:rsidP="00945E91">
      <w:pPr>
        <w:keepNext w:val="0"/>
        <w:autoSpaceDE w:val="0"/>
        <w:autoSpaceDN w:val="0"/>
        <w:adjustRightInd w:val="0"/>
        <w:spacing w:before="0"/>
        <w:rPr>
          <w:rFonts w:eastAsia="Arial" w:cs="Arial"/>
          <w:color w:val="auto"/>
        </w:rPr>
      </w:pPr>
    </w:p>
    <w:p w14:paraId="5B4B69A3" w14:textId="77777777" w:rsidR="00331448" w:rsidRPr="00945E91" w:rsidRDefault="00331448" w:rsidP="00945E91">
      <w:pPr>
        <w:keepNext w:val="0"/>
        <w:autoSpaceDE w:val="0"/>
        <w:autoSpaceDN w:val="0"/>
        <w:adjustRightInd w:val="0"/>
        <w:spacing w:before="0"/>
        <w:rPr>
          <w:rFonts w:eastAsia="Arial" w:cs="Arial"/>
          <w:color w:val="auto"/>
        </w:rPr>
      </w:pPr>
    </w:p>
    <w:p w14:paraId="33FF290B" w14:textId="142927DF" w:rsidR="00945E91" w:rsidRPr="00C55F46" w:rsidRDefault="00331448" w:rsidP="00C55F46">
      <w:pPr>
        <w:pStyle w:val="Heading2"/>
        <w:jc w:val="left"/>
        <w:rPr>
          <w:rFonts w:eastAsia="Arial"/>
          <w:sz w:val="28"/>
          <w:szCs w:val="28"/>
        </w:rPr>
      </w:pPr>
      <w:bookmarkStart w:id="257" w:name="_Toc145511599"/>
      <w:r w:rsidRPr="00C55F46">
        <w:rPr>
          <w:rFonts w:eastAsia="Arial"/>
          <w:sz w:val="28"/>
          <w:szCs w:val="28"/>
        </w:rPr>
        <w:t>Policy EM2: Employment Land Allocations</w:t>
      </w:r>
      <w:bookmarkEnd w:id="257"/>
    </w:p>
    <w:p w14:paraId="5ED668BB" w14:textId="77DE22E7" w:rsidR="00945E91" w:rsidRDefault="00945E91" w:rsidP="00945E91">
      <w:pPr>
        <w:keepNext w:val="0"/>
        <w:spacing w:before="0"/>
        <w:rPr>
          <w:rFonts w:eastAsia="Arial" w:cs="Arial"/>
          <w:color w:val="auto"/>
        </w:rPr>
      </w:pPr>
    </w:p>
    <w:tbl>
      <w:tblPr>
        <w:tblStyle w:val="TableGrid3"/>
        <w:tblW w:w="9634" w:type="dxa"/>
        <w:tblLook w:val="04A0" w:firstRow="1" w:lastRow="0" w:firstColumn="1" w:lastColumn="0" w:noHBand="0" w:noVBand="1"/>
      </w:tblPr>
      <w:tblGrid>
        <w:gridCol w:w="1980"/>
        <w:gridCol w:w="680"/>
        <w:gridCol w:w="6974"/>
      </w:tblGrid>
      <w:tr w:rsidR="00945E91" w:rsidRPr="00945E91" w14:paraId="64933936" w14:textId="77777777" w:rsidTr="00D17B5C">
        <w:trPr>
          <w:trHeight w:val="421"/>
        </w:trPr>
        <w:tc>
          <w:tcPr>
            <w:tcW w:w="9634" w:type="dxa"/>
            <w:gridSpan w:val="3"/>
          </w:tcPr>
          <w:p w14:paraId="71106641" w14:textId="77777777" w:rsidR="009838D1" w:rsidRDefault="009838D1" w:rsidP="00FF3EAD">
            <w:pPr>
              <w:keepNext w:val="0"/>
              <w:tabs>
                <w:tab w:val="left" w:pos="680"/>
              </w:tabs>
              <w:spacing w:before="0"/>
              <w:jc w:val="left"/>
              <w:rPr>
                <w:rFonts w:eastAsia="Arial"/>
                <w:b/>
                <w:color w:val="auto"/>
                <w:spacing w:val="-1"/>
              </w:rPr>
            </w:pPr>
          </w:p>
          <w:p w14:paraId="16CEBFB5" w14:textId="149D4944" w:rsidR="00945E91" w:rsidRDefault="00945E91" w:rsidP="00FF3EAD">
            <w:pPr>
              <w:keepNext w:val="0"/>
              <w:tabs>
                <w:tab w:val="left" w:pos="680"/>
              </w:tabs>
              <w:spacing w:before="0"/>
              <w:jc w:val="left"/>
              <w:rPr>
                <w:rFonts w:eastAsia="Arial"/>
                <w:b/>
                <w:color w:val="auto"/>
                <w:spacing w:val="-1"/>
              </w:rPr>
            </w:pPr>
            <w:r w:rsidRPr="00331448">
              <w:rPr>
                <w:rFonts w:eastAsia="Arial"/>
                <w:b/>
                <w:color w:val="auto"/>
                <w:spacing w:val="-1"/>
              </w:rPr>
              <w:t>Policy EM2: Employment Land Allocations</w:t>
            </w:r>
          </w:p>
          <w:p w14:paraId="627CB0B0" w14:textId="5EB6685E" w:rsidR="009838D1" w:rsidRPr="00331448" w:rsidRDefault="009838D1" w:rsidP="00FF3EAD">
            <w:pPr>
              <w:keepNext w:val="0"/>
              <w:tabs>
                <w:tab w:val="left" w:pos="680"/>
              </w:tabs>
              <w:spacing w:before="0"/>
              <w:jc w:val="left"/>
              <w:rPr>
                <w:rFonts w:eastAsia="Arial"/>
                <w:b/>
                <w:color w:val="auto"/>
                <w:spacing w:val="-1"/>
              </w:rPr>
            </w:pPr>
          </w:p>
        </w:tc>
      </w:tr>
      <w:tr w:rsidR="00945E91" w:rsidRPr="00945E91" w14:paraId="301E0E55" w14:textId="77777777" w:rsidTr="00D17B5C">
        <w:tc>
          <w:tcPr>
            <w:tcW w:w="2660" w:type="dxa"/>
            <w:gridSpan w:val="2"/>
          </w:tcPr>
          <w:p w14:paraId="7F06AE52" w14:textId="77777777" w:rsidR="00945E91" w:rsidRPr="00945E91" w:rsidRDefault="00945E91" w:rsidP="00FF3EAD">
            <w:pPr>
              <w:keepNext w:val="0"/>
              <w:tabs>
                <w:tab w:val="left" w:pos="680"/>
              </w:tabs>
              <w:spacing w:before="0"/>
              <w:jc w:val="left"/>
              <w:rPr>
                <w:rFonts w:eastAsia="Arial"/>
                <w:bCs/>
                <w:color w:val="auto"/>
              </w:rPr>
            </w:pPr>
            <w:r w:rsidRPr="00945E91">
              <w:rPr>
                <w:rFonts w:eastAsia="Arial"/>
                <w:bCs/>
                <w:color w:val="auto"/>
              </w:rPr>
              <w:t>Strategic Objectives</w:t>
            </w:r>
          </w:p>
        </w:tc>
        <w:tc>
          <w:tcPr>
            <w:tcW w:w="6974" w:type="dxa"/>
          </w:tcPr>
          <w:p w14:paraId="3E5A7A99" w14:textId="77777777" w:rsidR="00945E91" w:rsidRPr="00945E91" w:rsidRDefault="00945E91" w:rsidP="00945E91">
            <w:pPr>
              <w:keepNext w:val="0"/>
              <w:tabs>
                <w:tab w:val="left" w:pos="680"/>
              </w:tabs>
              <w:spacing w:before="40" w:after="40"/>
              <w:rPr>
                <w:rFonts w:eastAsia="Arial"/>
                <w:bCs/>
                <w:color w:val="auto"/>
              </w:rPr>
            </w:pPr>
            <w:r w:rsidRPr="00945E91">
              <w:rPr>
                <w:rFonts w:eastAsia="Arial"/>
                <w:bCs/>
                <w:color w:val="auto"/>
              </w:rPr>
              <w:t xml:space="preserve">SO1, SO4, SO5, SO6, SO7, SO8, SO9, SO10, SO12. </w:t>
            </w:r>
          </w:p>
        </w:tc>
      </w:tr>
      <w:tr w:rsidR="00945E91" w:rsidRPr="00945E91" w14:paraId="17008EFC" w14:textId="77777777" w:rsidTr="00D17B5C">
        <w:tc>
          <w:tcPr>
            <w:tcW w:w="9634" w:type="dxa"/>
            <w:gridSpan w:val="3"/>
            <w:shd w:val="clear" w:color="auto" w:fill="D9E2F3"/>
          </w:tcPr>
          <w:p w14:paraId="0C18A90D" w14:textId="77777777" w:rsidR="00945E91" w:rsidRPr="00945E91" w:rsidRDefault="00945E91" w:rsidP="00945E91">
            <w:pPr>
              <w:keepNext w:val="0"/>
              <w:spacing w:before="0"/>
              <w:rPr>
                <w:rFonts w:eastAsia="Arial" w:cs="Arial"/>
                <w:bCs/>
                <w:color w:val="auto"/>
              </w:rPr>
            </w:pPr>
          </w:p>
          <w:p w14:paraId="34594446" w14:textId="5F5A06F9" w:rsidR="00DC46C4" w:rsidRDefault="00945E91" w:rsidP="00FF3EAD">
            <w:pPr>
              <w:keepNext w:val="0"/>
              <w:spacing w:before="0"/>
              <w:jc w:val="left"/>
              <w:rPr>
                <w:rFonts w:eastAsia="Arial" w:cs="Arial"/>
                <w:bCs/>
                <w:color w:val="auto"/>
              </w:rPr>
            </w:pPr>
            <w:r w:rsidRPr="00945E91">
              <w:rPr>
                <w:rFonts w:eastAsia="Arial" w:cs="Arial"/>
                <w:bCs/>
                <w:color w:val="auto"/>
              </w:rPr>
              <w:t xml:space="preserve">In addition to the employment land identified in </w:t>
            </w:r>
            <w:r w:rsidR="00804383">
              <w:rPr>
                <w:rFonts w:eastAsia="Arial" w:cs="Arial"/>
                <w:bCs/>
                <w:color w:val="auto"/>
              </w:rPr>
              <w:t>Str</w:t>
            </w:r>
            <w:r w:rsidRPr="00945E91">
              <w:rPr>
                <w:rFonts w:eastAsia="Arial" w:cs="Arial"/>
                <w:bCs/>
                <w:color w:val="auto"/>
              </w:rPr>
              <w:t xml:space="preserve">ategic </w:t>
            </w:r>
            <w:r w:rsidR="00804383">
              <w:rPr>
                <w:rFonts w:eastAsia="Arial" w:cs="Arial"/>
                <w:bCs/>
                <w:color w:val="auto"/>
              </w:rPr>
              <w:t>P</w:t>
            </w:r>
            <w:r w:rsidRPr="00945E91">
              <w:rPr>
                <w:rFonts w:eastAsia="Arial" w:cs="Arial"/>
                <w:bCs/>
                <w:color w:val="auto"/>
              </w:rPr>
              <w:t>olic</w:t>
            </w:r>
            <w:r w:rsidR="00804383">
              <w:rPr>
                <w:rFonts w:eastAsia="Arial" w:cs="Arial"/>
                <w:bCs/>
                <w:color w:val="auto"/>
              </w:rPr>
              <w:t>y S6</w:t>
            </w:r>
            <w:r w:rsidRPr="00945E91">
              <w:rPr>
                <w:rFonts w:eastAsia="Arial" w:cs="Arial"/>
                <w:bCs/>
                <w:color w:val="auto"/>
              </w:rPr>
              <w:t xml:space="preserve"> at Junction 27</w:t>
            </w:r>
            <w:r w:rsidR="00804383">
              <w:rPr>
                <w:rFonts w:eastAsia="Arial" w:cs="Arial"/>
                <w:bCs/>
                <w:color w:val="auto"/>
              </w:rPr>
              <w:t xml:space="preserve"> M1 Motorway</w:t>
            </w:r>
            <w:r w:rsidRPr="00945E91">
              <w:rPr>
                <w:rFonts w:eastAsia="Arial" w:cs="Arial"/>
                <w:bCs/>
                <w:color w:val="auto"/>
              </w:rPr>
              <w:t xml:space="preserve">, the following land, as shown on the </w:t>
            </w:r>
            <w:r w:rsidR="005C01D3">
              <w:rPr>
                <w:rFonts w:eastAsia="Arial" w:cs="Arial"/>
                <w:bCs/>
                <w:color w:val="auto"/>
              </w:rPr>
              <w:t>Policies M</w:t>
            </w:r>
            <w:r w:rsidRPr="00945E91">
              <w:rPr>
                <w:rFonts w:eastAsia="Arial" w:cs="Arial"/>
                <w:bCs/>
                <w:color w:val="auto"/>
              </w:rPr>
              <w:t xml:space="preserve">ap, will be allocated for use for office, light industrial, research and development, general industrial and storage/distribution: </w:t>
            </w:r>
          </w:p>
          <w:p w14:paraId="2A8D60AF" w14:textId="77777777" w:rsidR="00DC46C4" w:rsidRPr="00945E91" w:rsidRDefault="00DC46C4" w:rsidP="00945E91">
            <w:pPr>
              <w:keepNext w:val="0"/>
              <w:spacing w:before="0"/>
              <w:rPr>
                <w:rFonts w:eastAsia="Arial" w:cs="Arial"/>
                <w:bCs/>
                <w:color w:val="auto"/>
              </w:rPr>
            </w:pPr>
          </w:p>
          <w:tbl>
            <w:tblPr>
              <w:tblStyle w:val="TableGrid5"/>
              <w:tblW w:w="0" w:type="auto"/>
              <w:tblLook w:val="04A0" w:firstRow="1" w:lastRow="0" w:firstColumn="1" w:lastColumn="0" w:noHBand="0" w:noVBand="1"/>
            </w:tblPr>
            <w:tblGrid>
              <w:gridCol w:w="1293"/>
              <w:gridCol w:w="6085"/>
              <w:gridCol w:w="1683"/>
            </w:tblGrid>
            <w:tr w:rsidR="00DC46C4" w:rsidRPr="00945E91" w14:paraId="3D263999" w14:textId="77777777" w:rsidTr="00DC46C4">
              <w:tc>
                <w:tcPr>
                  <w:tcW w:w="1293" w:type="dxa"/>
                </w:tcPr>
                <w:p w14:paraId="5F9D0BB8" w14:textId="77777777" w:rsidR="00DC46C4" w:rsidRPr="00985BCC" w:rsidRDefault="00DC46C4" w:rsidP="00DC46C4">
                  <w:pPr>
                    <w:keepNext w:val="0"/>
                    <w:spacing w:before="0"/>
                  </w:pPr>
                  <w:r w:rsidRPr="00985BCC">
                    <w:rPr>
                      <w:rFonts w:cs="Arial"/>
                      <w:b/>
                      <w:bCs/>
                      <w:sz w:val="22"/>
                    </w:rPr>
                    <w:t>Site Reference</w:t>
                  </w:r>
                </w:p>
              </w:tc>
              <w:tc>
                <w:tcPr>
                  <w:tcW w:w="6085" w:type="dxa"/>
                </w:tcPr>
                <w:p w14:paraId="26D77DF8" w14:textId="77777777" w:rsidR="00DC46C4" w:rsidRPr="00985BCC" w:rsidRDefault="00DC46C4" w:rsidP="00DC46C4">
                  <w:pPr>
                    <w:keepNext w:val="0"/>
                    <w:spacing w:before="0"/>
                  </w:pPr>
                  <w:r w:rsidRPr="00985BCC">
                    <w:rPr>
                      <w:rFonts w:cs="Arial"/>
                      <w:b/>
                      <w:bCs/>
                      <w:sz w:val="22"/>
                    </w:rPr>
                    <w:t>Site Name</w:t>
                  </w:r>
                </w:p>
              </w:tc>
              <w:tc>
                <w:tcPr>
                  <w:tcW w:w="1683" w:type="dxa"/>
                </w:tcPr>
                <w:p w14:paraId="34084AB1" w14:textId="77777777" w:rsidR="00DC46C4" w:rsidRPr="00985BCC" w:rsidRDefault="00DC46C4" w:rsidP="00DC46C4">
                  <w:pPr>
                    <w:keepNext w:val="0"/>
                    <w:spacing w:before="0"/>
                  </w:pPr>
                  <w:r w:rsidRPr="00985BCC">
                    <w:rPr>
                      <w:b/>
                      <w:bCs/>
                    </w:rPr>
                    <w:t>Approximate net area</w:t>
                  </w:r>
                </w:p>
              </w:tc>
            </w:tr>
            <w:tr w:rsidR="00DC46C4" w:rsidRPr="00945E91" w14:paraId="340FC1E5" w14:textId="77777777" w:rsidTr="00CF681C">
              <w:tc>
                <w:tcPr>
                  <w:tcW w:w="1293" w:type="dxa"/>
                </w:tcPr>
                <w:p w14:paraId="7E7C7F7D" w14:textId="0EA6A633" w:rsidR="00DC46C4" w:rsidRPr="00985BCC" w:rsidRDefault="00DC46C4" w:rsidP="00DC46C4">
                  <w:pPr>
                    <w:keepNext w:val="0"/>
                    <w:spacing w:before="0"/>
                  </w:pPr>
                  <w:r w:rsidRPr="00985BCC">
                    <w:t xml:space="preserve">EM2 </w:t>
                  </w:r>
                  <w:r w:rsidR="003C3146" w:rsidRPr="00985BCC">
                    <w:t>S</w:t>
                  </w:r>
                  <w:r w:rsidRPr="00985BCC">
                    <w:t>1</w:t>
                  </w:r>
                </w:p>
              </w:tc>
              <w:tc>
                <w:tcPr>
                  <w:tcW w:w="6085" w:type="dxa"/>
                </w:tcPr>
                <w:p w14:paraId="0933E79C" w14:textId="77777777" w:rsidR="00DC46C4" w:rsidRPr="00985BCC" w:rsidRDefault="00DC46C4" w:rsidP="00DC46C4">
                  <w:pPr>
                    <w:keepNext w:val="0"/>
                    <w:spacing w:before="0"/>
                  </w:pPr>
                  <w:r w:rsidRPr="00985BCC">
                    <w:t>Castlewood Business Park, Sutton in Ashfield</w:t>
                  </w:r>
                </w:p>
              </w:tc>
              <w:tc>
                <w:tcPr>
                  <w:tcW w:w="1683" w:type="dxa"/>
                </w:tcPr>
                <w:p w14:paraId="2748EF44" w14:textId="74D42A40" w:rsidR="00DC46C4" w:rsidRPr="00106B8C" w:rsidRDefault="00AC45CD" w:rsidP="00DC46C4">
                  <w:pPr>
                    <w:keepNext w:val="0"/>
                    <w:spacing w:before="0"/>
                    <w:jc w:val="center"/>
                    <w:rPr>
                      <w:highlight w:val="yellow"/>
                    </w:rPr>
                  </w:pPr>
                  <w:r w:rsidRPr="007B4812">
                    <w:t>2.38</w:t>
                  </w:r>
                </w:p>
              </w:tc>
            </w:tr>
            <w:tr w:rsidR="00DC46C4" w:rsidRPr="00945E91" w14:paraId="7474AB17" w14:textId="77777777" w:rsidTr="00CF681C">
              <w:tc>
                <w:tcPr>
                  <w:tcW w:w="1293" w:type="dxa"/>
                </w:tcPr>
                <w:p w14:paraId="5B8E3EE3" w14:textId="5D653DD0" w:rsidR="00DC46C4" w:rsidRPr="00985BCC" w:rsidRDefault="00DC46C4" w:rsidP="00DC46C4">
                  <w:pPr>
                    <w:keepNext w:val="0"/>
                    <w:spacing w:before="0"/>
                  </w:pPr>
                  <w:r w:rsidRPr="00985BCC">
                    <w:t xml:space="preserve">EM2 </w:t>
                  </w:r>
                  <w:r w:rsidR="003C3146" w:rsidRPr="00985BCC">
                    <w:t>S</w:t>
                  </w:r>
                  <w:r w:rsidRPr="00985BCC">
                    <w:t>2</w:t>
                  </w:r>
                </w:p>
              </w:tc>
              <w:tc>
                <w:tcPr>
                  <w:tcW w:w="6085" w:type="dxa"/>
                </w:tcPr>
                <w:p w14:paraId="7B0F7C5A" w14:textId="77777777" w:rsidR="00DC46C4" w:rsidRPr="00985BCC" w:rsidRDefault="00DC46C4" w:rsidP="00DC46C4">
                  <w:pPr>
                    <w:keepNext w:val="0"/>
                    <w:spacing w:before="0"/>
                  </w:pPr>
                  <w:r w:rsidRPr="00985BCC">
                    <w:t xml:space="preserve">Fulwood Road North, Sutton in Ashfield </w:t>
                  </w:r>
                </w:p>
              </w:tc>
              <w:tc>
                <w:tcPr>
                  <w:tcW w:w="1683" w:type="dxa"/>
                </w:tcPr>
                <w:p w14:paraId="1C228C7F" w14:textId="14D2BB7F" w:rsidR="00DC46C4" w:rsidRPr="00106B8C" w:rsidRDefault="00A05AB3" w:rsidP="00DC46C4">
                  <w:pPr>
                    <w:keepNext w:val="0"/>
                    <w:spacing w:before="0"/>
                    <w:jc w:val="center"/>
                    <w:rPr>
                      <w:highlight w:val="yellow"/>
                    </w:rPr>
                  </w:pPr>
                  <w:r w:rsidRPr="007B4812">
                    <w:t>1.37</w:t>
                  </w:r>
                </w:p>
              </w:tc>
            </w:tr>
            <w:tr w:rsidR="00DC46C4" w:rsidRPr="00945E91" w14:paraId="2E8BD098" w14:textId="77777777" w:rsidTr="00CF681C">
              <w:tc>
                <w:tcPr>
                  <w:tcW w:w="1293" w:type="dxa"/>
                </w:tcPr>
                <w:p w14:paraId="3AD49215" w14:textId="1BB3B0AF" w:rsidR="00DC46C4" w:rsidRPr="00985BCC" w:rsidRDefault="00DC46C4" w:rsidP="00DC46C4">
                  <w:pPr>
                    <w:keepNext w:val="0"/>
                    <w:spacing w:before="0"/>
                  </w:pPr>
                  <w:r w:rsidRPr="00985BCC">
                    <w:t xml:space="preserve">EM2 </w:t>
                  </w:r>
                  <w:r w:rsidR="003C3146" w:rsidRPr="00985BCC">
                    <w:t>S</w:t>
                  </w:r>
                  <w:r w:rsidRPr="00985BCC">
                    <w:t>3</w:t>
                  </w:r>
                </w:p>
              </w:tc>
              <w:tc>
                <w:tcPr>
                  <w:tcW w:w="6085" w:type="dxa"/>
                </w:tcPr>
                <w:p w14:paraId="07F50BDF" w14:textId="2E583979" w:rsidR="00DC46C4" w:rsidRPr="00985BCC" w:rsidRDefault="00DC46C4" w:rsidP="00DC46C4">
                  <w:pPr>
                    <w:keepNext w:val="0"/>
                    <w:spacing w:before="0"/>
                  </w:pPr>
                  <w:r w:rsidRPr="00985BCC">
                    <w:t>Hamilton Road</w:t>
                  </w:r>
                  <w:r w:rsidR="003C3146" w:rsidRPr="00985BCC">
                    <w:t>, Sutton in Ashfield</w:t>
                  </w:r>
                </w:p>
              </w:tc>
              <w:tc>
                <w:tcPr>
                  <w:tcW w:w="1683" w:type="dxa"/>
                </w:tcPr>
                <w:p w14:paraId="5ED50E20" w14:textId="25F6FC5E" w:rsidR="00DC46C4" w:rsidRPr="00106B8C" w:rsidRDefault="003C3146" w:rsidP="00DC46C4">
                  <w:pPr>
                    <w:keepNext w:val="0"/>
                    <w:spacing w:before="0"/>
                    <w:jc w:val="center"/>
                    <w:rPr>
                      <w:highlight w:val="yellow"/>
                    </w:rPr>
                  </w:pPr>
                  <w:r w:rsidRPr="007B4812">
                    <w:t>3.34</w:t>
                  </w:r>
                </w:p>
              </w:tc>
            </w:tr>
            <w:tr w:rsidR="00DC46C4" w:rsidRPr="00945E91" w14:paraId="0B033104" w14:textId="77777777" w:rsidTr="00CF681C">
              <w:tc>
                <w:tcPr>
                  <w:tcW w:w="1293" w:type="dxa"/>
                </w:tcPr>
                <w:p w14:paraId="746A2DBC" w14:textId="4B46FB49" w:rsidR="00DC46C4" w:rsidRPr="00985BCC" w:rsidRDefault="00DC46C4" w:rsidP="00DC46C4">
                  <w:pPr>
                    <w:keepNext w:val="0"/>
                    <w:spacing w:before="0"/>
                  </w:pPr>
                  <w:r w:rsidRPr="00985BCC">
                    <w:t xml:space="preserve">EM2 </w:t>
                  </w:r>
                  <w:r w:rsidR="003C3146" w:rsidRPr="00985BCC">
                    <w:t>S</w:t>
                  </w:r>
                  <w:r w:rsidR="00EB6F5E" w:rsidRPr="00985BCC">
                    <w:t>4</w:t>
                  </w:r>
                </w:p>
              </w:tc>
              <w:tc>
                <w:tcPr>
                  <w:tcW w:w="6085" w:type="dxa"/>
                </w:tcPr>
                <w:p w14:paraId="28697F95" w14:textId="45778BB3" w:rsidR="00DC46C4" w:rsidRPr="00985BCC" w:rsidRDefault="00DC46C4" w:rsidP="00DC46C4">
                  <w:pPr>
                    <w:keepNext w:val="0"/>
                    <w:spacing w:before="0"/>
                  </w:pPr>
                  <w:r w:rsidRPr="00985BCC">
                    <w:t xml:space="preserve">West of Fulwood, </w:t>
                  </w:r>
                  <w:r w:rsidR="003C3146" w:rsidRPr="00985BCC">
                    <w:t xml:space="preserve">Export Drive, </w:t>
                  </w:r>
                  <w:r w:rsidRPr="00985BCC">
                    <w:t>Sutton in Ashfield</w:t>
                  </w:r>
                </w:p>
              </w:tc>
              <w:tc>
                <w:tcPr>
                  <w:tcW w:w="1683" w:type="dxa"/>
                </w:tcPr>
                <w:p w14:paraId="72503B63" w14:textId="169F131C" w:rsidR="00DC46C4" w:rsidRPr="00106B8C" w:rsidRDefault="00A05AB3" w:rsidP="00DC46C4">
                  <w:pPr>
                    <w:keepNext w:val="0"/>
                    <w:spacing w:before="0"/>
                    <w:jc w:val="center"/>
                    <w:rPr>
                      <w:highlight w:val="yellow"/>
                    </w:rPr>
                  </w:pPr>
                  <w:r w:rsidRPr="007B4812">
                    <w:t>5.68</w:t>
                  </w:r>
                </w:p>
              </w:tc>
            </w:tr>
            <w:tr w:rsidR="00DC46C4" w:rsidRPr="00945E91" w14:paraId="414A6606" w14:textId="77777777" w:rsidTr="00CF681C">
              <w:tc>
                <w:tcPr>
                  <w:tcW w:w="1293" w:type="dxa"/>
                </w:tcPr>
                <w:p w14:paraId="147C173C" w14:textId="4F0A6304" w:rsidR="00DC46C4" w:rsidRPr="00985BCC" w:rsidRDefault="00DC46C4" w:rsidP="00DC46C4">
                  <w:pPr>
                    <w:keepNext w:val="0"/>
                    <w:spacing w:before="0"/>
                  </w:pPr>
                  <w:r w:rsidRPr="00985BCC">
                    <w:t xml:space="preserve">EM2 </w:t>
                  </w:r>
                  <w:r w:rsidR="003C3146" w:rsidRPr="00985BCC">
                    <w:t>K</w:t>
                  </w:r>
                  <w:r w:rsidRPr="00985BCC">
                    <w:t>1</w:t>
                  </w:r>
                </w:p>
              </w:tc>
              <w:tc>
                <w:tcPr>
                  <w:tcW w:w="6085" w:type="dxa"/>
                </w:tcPr>
                <w:p w14:paraId="779415C9" w14:textId="77777777" w:rsidR="00DC46C4" w:rsidRPr="00985BCC" w:rsidRDefault="00DC46C4" w:rsidP="00DC46C4">
                  <w:pPr>
                    <w:keepNext w:val="0"/>
                    <w:spacing w:before="0"/>
                  </w:pPr>
                  <w:r w:rsidRPr="00985BCC">
                    <w:t>Kings Mill Road, Kirkby-in-Ashfield</w:t>
                  </w:r>
                </w:p>
              </w:tc>
              <w:tc>
                <w:tcPr>
                  <w:tcW w:w="1683" w:type="dxa"/>
                </w:tcPr>
                <w:p w14:paraId="0714BAAE" w14:textId="77777777" w:rsidR="00DC46C4" w:rsidRPr="007B4812" w:rsidRDefault="00DC46C4" w:rsidP="00DC46C4">
                  <w:pPr>
                    <w:keepNext w:val="0"/>
                    <w:spacing w:before="0"/>
                    <w:jc w:val="center"/>
                  </w:pPr>
                  <w:r w:rsidRPr="007B4812">
                    <w:t>1.99</w:t>
                  </w:r>
                </w:p>
              </w:tc>
            </w:tr>
            <w:tr w:rsidR="00DC46C4" w:rsidRPr="00945E91" w14:paraId="618B4611" w14:textId="77777777" w:rsidTr="00CF681C">
              <w:tc>
                <w:tcPr>
                  <w:tcW w:w="1293" w:type="dxa"/>
                </w:tcPr>
                <w:p w14:paraId="5E38D296" w14:textId="06EC5E2B" w:rsidR="00DC46C4" w:rsidRPr="00985BCC" w:rsidRDefault="00DC46C4" w:rsidP="00DC46C4">
                  <w:pPr>
                    <w:keepNext w:val="0"/>
                    <w:spacing w:before="0"/>
                  </w:pPr>
                  <w:r w:rsidRPr="00985BCC">
                    <w:t xml:space="preserve">EM2 </w:t>
                  </w:r>
                  <w:r w:rsidR="003C3146" w:rsidRPr="00985BCC">
                    <w:t>K</w:t>
                  </w:r>
                  <w:r w:rsidRPr="00985BCC">
                    <w:t>2</w:t>
                  </w:r>
                </w:p>
              </w:tc>
              <w:tc>
                <w:tcPr>
                  <w:tcW w:w="6085" w:type="dxa"/>
                </w:tcPr>
                <w:p w14:paraId="44F3BF99" w14:textId="77777777" w:rsidR="00DC46C4" w:rsidRPr="00985BCC" w:rsidRDefault="00DC46C4" w:rsidP="00DC46C4">
                  <w:pPr>
                    <w:keepNext w:val="0"/>
                    <w:spacing w:before="0"/>
                  </w:pPr>
                  <w:r w:rsidRPr="00985BCC">
                    <w:t>Park Lane, Kirkby-in-Ashfield</w:t>
                  </w:r>
                </w:p>
              </w:tc>
              <w:tc>
                <w:tcPr>
                  <w:tcW w:w="1683" w:type="dxa"/>
                </w:tcPr>
                <w:p w14:paraId="560A3B21" w14:textId="3B0E3680" w:rsidR="00DC46C4" w:rsidRPr="007B4812" w:rsidRDefault="00DC46C4" w:rsidP="00DC46C4">
                  <w:pPr>
                    <w:keepNext w:val="0"/>
                    <w:spacing w:before="0"/>
                    <w:jc w:val="center"/>
                  </w:pPr>
                  <w:r w:rsidRPr="007B4812">
                    <w:t>1.</w:t>
                  </w:r>
                  <w:r w:rsidR="00AC45CD" w:rsidRPr="007B4812">
                    <w:t>50</w:t>
                  </w:r>
                </w:p>
              </w:tc>
            </w:tr>
            <w:tr w:rsidR="00DC46C4" w:rsidRPr="00945E91" w14:paraId="4E68D320" w14:textId="77777777" w:rsidTr="00CF681C">
              <w:tc>
                <w:tcPr>
                  <w:tcW w:w="1293" w:type="dxa"/>
                </w:tcPr>
                <w:p w14:paraId="370BD54A" w14:textId="5DDD5477" w:rsidR="00DC46C4" w:rsidRPr="00985BCC" w:rsidRDefault="00DC46C4" w:rsidP="00DC46C4">
                  <w:pPr>
                    <w:keepNext w:val="0"/>
                    <w:spacing w:before="0"/>
                  </w:pPr>
                  <w:r w:rsidRPr="00985BCC">
                    <w:t xml:space="preserve">EM2 </w:t>
                  </w:r>
                  <w:r w:rsidR="003C3146" w:rsidRPr="00985BCC">
                    <w:t>K</w:t>
                  </w:r>
                  <w:r w:rsidRPr="00985BCC">
                    <w:t>3</w:t>
                  </w:r>
                </w:p>
              </w:tc>
              <w:tc>
                <w:tcPr>
                  <w:tcW w:w="6085" w:type="dxa"/>
                </w:tcPr>
                <w:p w14:paraId="5C024CED" w14:textId="77777777" w:rsidR="00DC46C4" w:rsidRPr="00985BCC" w:rsidRDefault="00DC46C4" w:rsidP="00DC46C4">
                  <w:pPr>
                    <w:keepNext w:val="0"/>
                    <w:spacing w:before="0"/>
                  </w:pPr>
                  <w:r w:rsidRPr="00985BCC">
                    <w:t>Portland Industrial Park, Kirkby-in-Ashfield</w:t>
                  </w:r>
                </w:p>
              </w:tc>
              <w:tc>
                <w:tcPr>
                  <w:tcW w:w="1683" w:type="dxa"/>
                </w:tcPr>
                <w:p w14:paraId="5F4E0027" w14:textId="77777777" w:rsidR="00DC46C4" w:rsidRPr="007B4812" w:rsidRDefault="00DC46C4" w:rsidP="00DC46C4">
                  <w:pPr>
                    <w:keepNext w:val="0"/>
                    <w:spacing w:before="0"/>
                    <w:jc w:val="center"/>
                  </w:pPr>
                  <w:r w:rsidRPr="007B4812">
                    <w:t>1.76</w:t>
                  </w:r>
                </w:p>
              </w:tc>
            </w:tr>
            <w:tr w:rsidR="00A05AB3" w:rsidRPr="00945E91" w14:paraId="6CFB3C68" w14:textId="77777777" w:rsidTr="00CF681C">
              <w:tc>
                <w:tcPr>
                  <w:tcW w:w="1293" w:type="dxa"/>
                </w:tcPr>
                <w:p w14:paraId="1943FB80" w14:textId="3C647FF7" w:rsidR="00A05AB3" w:rsidRPr="00985BCC" w:rsidRDefault="00A05AB3" w:rsidP="00DC46C4">
                  <w:pPr>
                    <w:keepNext w:val="0"/>
                    <w:spacing w:before="0"/>
                  </w:pPr>
                  <w:r w:rsidRPr="00985BCC">
                    <w:t>EM2 K4</w:t>
                  </w:r>
                </w:p>
              </w:tc>
              <w:tc>
                <w:tcPr>
                  <w:tcW w:w="6085" w:type="dxa"/>
                </w:tcPr>
                <w:p w14:paraId="601424AE" w14:textId="4A4D475E" w:rsidR="00A05AB3" w:rsidRPr="00985BCC" w:rsidRDefault="00A05AB3" w:rsidP="00DC46C4">
                  <w:pPr>
                    <w:keepNext w:val="0"/>
                    <w:spacing w:before="0"/>
                  </w:pPr>
                  <w:r w:rsidRPr="00985BCC">
                    <w:t xml:space="preserve">Land to the East of </w:t>
                  </w:r>
                  <w:proofErr w:type="spellStart"/>
                  <w:r w:rsidRPr="00985BCC">
                    <w:t>Lowmoor</w:t>
                  </w:r>
                  <w:proofErr w:type="spellEnd"/>
                  <w:r w:rsidRPr="00985BCC">
                    <w:t xml:space="preserve"> Road, Kirkby-in-Ashfield</w:t>
                  </w:r>
                </w:p>
              </w:tc>
              <w:tc>
                <w:tcPr>
                  <w:tcW w:w="1683" w:type="dxa"/>
                </w:tcPr>
                <w:p w14:paraId="7FD0167A" w14:textId="206667F0" w:rsidR="00A05AB3" w:rsidRPr="007B4812" w:rsidRDefault="00A05AB3" w:rsidP="00DC46C4">
                  <w:pPr>
                    <w:keepNext w:val="0"/>
                    <w:spacing w:before="0"/>
                    <w:jc w:val="center"/>
                  </w:pPr>
                  <w:r w:rsidRPr="007B4812">
                    <w:t>11.11</w:t>
                  </w:r>
                </w:p>
              </w:tc>
            </w:tr>
            <w:tr w:rsidR="00DC46C4" w:rsidRPr="00945E91" w14:paraId="26604994" w14:textId="77777777" w:rsidTr="00CF681C">
              <w:tc>
                <w:tcPr>
                  <w:tcW w:w="1293" w:type="dxa"/>
                </w:tcPr>
                <w:p w14:paraId="26784F3D" w14:textId="4AD455DF" w:rsidR="00DC46C4" w:rsidRPr="00985BCC" w:rsidRDefault="00DC46C4" w:rsidP="00DC46C4">
                  <w:pPr>
                    <w:keepNext w:val="0"/>
                    <w:spacing w:before="0"/>
                  </w:pPr>
                  <w:r w:rsidRPr="00985BCC">
                    <w:t xml:space="preserve">EM2 </w:t>
                  </w:r>
                  <w:r w:rsidR="003C3146" w:rsidRPr="00985BCC">
                    <w:t>H</w:t>
                  </w:r>
                  <w:r w:rsidRPr="00985BCC">
                    <w:t>1</w:t>
                  </w:r>
                </w:p>
              </w:tc>
              <w:tc>
                <w:tcPr>
                  <w:tcW w:w="6085" w:type="dxa"/>
                </w:tcPr>
                <w:p w14:paraId="70849E1D" w14:textId="77777777" w:rsidR="00DC46C4" w:rsidRPr="00985BCC" w:rsidRDefault="00DC46C4" w:rsidP="00DC46C4">
                  <w:pPr>
                    <w:keepNext w:val="0"/>
                    <w:spacing w:before="0"/>
                  </w:pPr>
                  <w:r w:rsidRPr="00985BCC">
                    <w:t>Aerial Way, Hucknall</w:t>
                  </w:r>
                </w:p>
              </w:tc>
              <w:tc>
                <w:tcPr>
                  <w:tcW w:w="1683" w:type="dxa"/>
                </w:tcPr>
                <w:p w14:paraId="2AB2BF43" w14:textId="6621F96B" w:rsidR="00DC46C4" w:rsidRPr="00106B8C" w:rsidRDefault="00DC46C4" w:rsidP="00DC46C4">
                  <w:pPr>
                    <w:keepNext w:val="0"/>
                    <w:spacing w:before="0"/>
                    <w:jc w:val="center"/>
                    <w:rPr>
                      <w:highlight w:val="yellow"/>
                    </w:rPr>
                  </w:pPr>
                  <w:r w:rsidRPr="007B4812">
                    <w:t>0.8</w:t>
                  </w:r>
                  <w:r w:rsidR="007B4812" w:rsidRPr="007B4812">
                    <w:t>2</w:t>
                  </w:r>
                </w:p>
              </w:tc>
            </w:tr>
            <w:tr w:rsidR="00DC46C4" w:rsidRPr="00945E91" w14:paraId="5F6B6C43" w14:textId="77777777" w:rsidTr="00CF681C">
              <w:tc>
                <w:tcPr>
                  <w:tcW w:w="1293" w:type="dxa"/>
                </w:tcPr>
                <w:p w14:paraId="096C46E7" w14:textId="0CD9A557" w:rsidR="00DC46C4" w:rsidRPr="00985BCC" w:rsidRDefault="00DC46C4" w:rsidP="00DC46C4">
                  <w:pPr>
                    <w:keepNext w:val="0"/>
                    <w:spacing w:before="0"/>
                  </w:pPr>
                  <w:r w:rsidRPr="00985BCC">
                    <w:t>EM</w:t>
                  </w:r>
                  <w:r w:rsidR="00054236" w:rsidRPr="00985BCC">
                    <w:t>2</w:t>
                  </w:r>
                  <w:r w:rsidRPr="00985BCC">
                    <w:t xml:space="preserve"> </w:t>
                  </w:r>
                  <w:r w:rsidR="003C3146" w:rsidRPr="00985BCC">
                    <w:t>H</w:t>
                  </w:r>
                  <w:r w:rsidR="00B173B0" w:rsidRPr="00985BCC">
                    <w:t xml:space="preserve">2 </w:t>
                  </w:r>
                </w:p>
              </w:tc>
              <w:tc>
                <w:tcPr>
                  <w:tcW w:w="6085" w:type="dxa"/>
                </w:tcPr>
                <w:p w14:paraId="19E8D128" w14:textId="788B4963" w:rsidR="00DC46C4" w:rsidRPr="00985BCC" w:rsidRDefault="00DC46C4" w:rsidP="00DC46C4">
                  <w:pPr>
                    <w:keepNext w:val="0"/>
                    <w:spacing w:before="0"/>
                  </w:pPr>
                  <w:r w:rsidRPr="00985BCC">
                    <w:t>Butlers Hill, Hucknall</w:t>
                  </w:r>
                </w:p>
              </w:tc>
              <w:tc>
                <w:tcPr>
                  <w:tcW w:w="1683" w:type="dxa"/>
                </w:tcPr>
                <w:p w14:paraId="13AC98B7" w14:textId="72C5BFC5" w:rsidR="00DC46C4" w:rsidRPr="00106B8C" w:rsidRDefault="0020638E" w:rsidP="00DC46C4">
                  <w:pPr>
                    <w:keepNext w:val="0"/>
                    <w:spacing w:before="0"/>
                    <w:jc w:val="center"/>
                    <w:rPr>
                      <w:highlight w:val="yellow"/>
                    </w:rPr>
                  </w:pPr>
                  <w:r w:rsidRPr="007B4812">
                    <w:t>0.6</w:t>
                  </w:r>
                  <w:r w:rsidR="007B4812">
                    <w:t>0</w:t>
                  </w:r>
                </w:p>
              </w:tc>
            </w:tr>
            <w:tr w:rsidR="00DC46C4" w:rsidRPr="00945E91" w14:paraId="2CBEADB7" w14:textId="77777777" w:rsidTr="00CF681C">
              <w:tc>
                <w:tcPr>
                  <w:tcW w:w="1293" w:type="dxa"/>
                </w:tcPr>
                <w:p w14:paraId="372520A1" w14:textId="14A8AFF5" w:rsidR="00DC46C4" w:rsidRPr="00985BCC" w:rsidRDefault="00DC46C4" w:rsidP="00DC46C4">
                  <w:pPr>
                    <w:keepNext w:val="0"/>
                    <w:spacing w:before="0"/>
                  </w:pPr>
                  <w:r w:rsidRPr="00985BCC">
                    <w:t>EM</w:t>
                  </w:r>
                  <w:r w:rsidR="00054236" w:rsidRPr="00985BCC">
                    <w:t>2</w:t>
                  </w:r>
                  <w:r w:rsidRPr="00985BCC">
                    <w:t xml:space="preserve"> </w:t>
                  </w:r>
                  <w:r w:rsidR="003C3146" w:rsidRPr="00985BCC">
                    <w:t>H</w:t>
                  </w:r>
                  <w:r w:rsidR="00B173B0" w:rsidRPr="00985BCC">
                    <w:t xml:space="preserve">3 </w:t>
                  </w:r>
                </w:p>
              </w:tc>
              <w:tc>
                <w:tcPr>
                  <w:tcW w:w="6085" w:type="dxa"/>
                </w:tcPr>
                <w:p w14:paraId="2661959C" w14:textId="21D01981" w:rsidR="00DC46C4" w:rsidRPr="00985BCC" w:rsidRDefault="003C3146" w:rsidP="00DC46C4">
                  <w:pPr>
                    <w:keepNext w:val="0"/>
                    <w:spacing w:before="0"/>
                  </w:pPr>
                  <w:r w:rsidRPr="00985BCC">
                    <w:t>Harrier Park</w:t>
                  </w:r>
                  <w:r w:rsidR="00DC46C4" w:rsidRPr="00985BCC">
                    <w:t>, Hucknall</w:t>
                  </w:r>
                </w:p>
              </w:tc>
              <w:tc>
                <w:tcPr>
                  <w:tcW w:w="1683" w:type="dxa"/>
                </w:tcPr>
                <w:p w14:paraId="08B54257" w14:textId="7BB5B130" w:rsidR="00DC46C4" w:rsidRPr="00106B8C" w:rsidRDefault="0020638E" w:rsidP="00DC46C4">
                  <w:pPr>
                    <w:keepNext w:val="0"/>
                    <w:spacing w:before="0"/>
                    <w:jc w:val="center"/>
                    <w:rPr>
                      <w:highlight w:val="yellow"/>
                    </w:rPr>
                  </w:pPr>
                  <w:r w:rsidRPr="007B4812">
                    <w:t>13.39</w:t>
                  </w:r>
                </w:p>
              </w:tc>
            </w:tr>
            <w:tr w:rsidR="00E14774" w:rsidRPr="00945E91" w14:paraId="1A40D8DF" w14:textId="77777777" w:rsidTr="00DC46C4">
              <w:tc>
                <w:tcPr>
                  <w:tcW w:w="1293" w:type="dxa"/>
                </w:tcPr>
                <w:p w14:paraId="4AD0989D" w14:textId="77777777" w:rsidR="00E14774" w:rsidRPr="00985BCC" w:rsidRDefault="00E14774" w:rsidP="00DC46C4">
                  <w:pPr>
                    <w:keepNext w:val="0"/>
                    <w:spacing w:before="0"/>
                  </w:pPr>
                </w:p>
              </w:tc>
              <w:tc>
                <w:tcPr>
                  <w:tcW w:w="6085" w:type="dxa"/>
                </w:tcPr>
                <w:p w14:paraId="3F7B8B16" w14:textId="016799BF" w:rsidR="00E14774" w:rsidRPr="00E14774" w:rsidRDefault="00E14774" w:rsidP="00DC46C4">
                  <w:pPr>
                    <w:keepNext w:val="0"/>
                    <w:spacing w:before="0"/>
                    <w:rPr>
                      <w:b/>
                      <w:bCs/>
                    </w:rPr>
                  </w:pPr>
                  <w:r w:rsidRPr="00E14774">
                    <w:rPr>
                      <w:b/>
                      <w:bCs/>
                    </w:rPr>
                    <w:t>TOTAL</w:t>
                  </w:r>
                </w:p>
              </w:tc>
              <w:tc>
                <w:tcPr>
                  <w:tcW w:w="1683" w:type="dxa"/>
                </w:tcPr>
                <w:p w14:paraId="0193B2D9" w14:textId="3C00B978" w:rsidR="00E14774" w:rsidRPr="00E14774" w:rsidRDefault="00E14774" w:rsidP="00E14774">
                  <w:pPr>
                    <w:keepNext w:val="0"/>
                    <w:spacing w:before="0"/>
                    <w:jc w:val="center"/>
                    <w:rPr>
                      <w:b/>
                      <w:bCs/>
                    </w:rPr>
                  </w:pPr>
                  <w:r>
                    <w:rPr>
                      <w:b/>
                      <w:bCs/>
                    </w:rPr>
                    <w:t>43.94</w:t>
                  </w:r>
                </w:p>
              </w:tc>
            </w:tr>
          </w:tbl>
          <w:p w14:paraId="2073D6B5" w14:textId="77777777" w:rsidR="00945E91" w:rsidRPr="00945E91" w:rsidRDefault="00945E91" w:rsidP="00945E91">
            <w:pPr>
              <w:keepNext w:val="0"/>
              <w:tabs>
                <w:tab w:val="left" w:pos="680"/>
              </w:tabs>
              <w:spacing w:before="0"/>
              <w:rPr>
                <w:rFonts w:eastAsia="Arial"/>
                <w:bCs/>
                <w:color w:val="538135"/>
              </w:rPr>
            </w:pPr>
          </w:p>
        </w:tc>
      </w:tr>
      <w:tr w:rsidR="00945E91" w:rsidRPr="00945E91" w14:paraId="2E77088E" w14:textId="77777777" w:rsidTr="00D17B5C">
        <w:tc>
          <w:tcPr>
            <w:tcW w:w="1980" w:type="dxa"/>
          </w:tcPr>
          <w:p w14:paraId="0B7A19FD" w14:textId="77777777" w:rsidR="00945E91" w:rsidRPr="00945E91" w:rsidRDefault="00945E91" w:rsidP="000032A9">
            <w:pPr>
              <w:keepNext w:val="0"/>
              <w:tabs>
                <w:tab w:val="left" w:pos="680"/>
                <w:tab w:val="left" w:pos="1133"/>
                <w:tab w:val="left" w:pos="2267"/>
              </w:tabs>
              <w:spacing w:before="0"/>
              <w:ind w:right="284"/>
              <w:rPr>
                <w:rFonts w:eastAsia="Arial"/>
                <w:b/>
                <w:color w:val="002060"/>
                <w:szCs w:val="24"/>
              </w:rPr>
            </w:pPr>
            <w:r w:rsidRPr="00945E91">
              <w:rPr>
                <w:rFonts w:eastAsia="Arial"/>
                <w:bCs/>
                <w:color w:val="auto"/>
                <w:sz w:val="20"/>
              </w:rPr>
              <w:t>Evidence base</w:t>
            </w:r>
          </w:p>
        </w:tc>
        <w:tc>
          <w:tcPr>
            <w:tcW w:w="7654" w:type="dxa"/>
            <w:gridSpan w:val="2"/>
          </w:tcPr>
          <w:p w14:paraId="6643BA7A" w14:textId="6FE1960A" w:rsidR="00945E91" w:rsidRPr="00985BCC" w:rsidRDefault="00945E91"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 xml:space="preserve">Background Paper </w:t>
            </w:r>
            <w:r w:rsidR="00A05D94" w:rsidRPr="00985BCC">
              <w:rPr>
                <w:rFonts w:eastAsia="Arial"/>
                <w:bCs/>
                <w:sz w:val="20"/>
              </w:rPr>
              <w:t>No 1:</w:t>
            </w:r>
            <w:r w:rsidRPr="00985BCC">
              <w:rPr>
                <w:rFonts w:eastAsia="Arial"/>
                <w:bCs/>
                <w:sz w:val="20"/>
              </w:rPr>
              <w:t xml:space="preserve"> Spatial Strategy and </w:t>
            </w:r>
            <w:r w:rsidR="00A32846" w:rsidRPr="00985BCC">
              <w:rPr>
                <w:rFonts w:eastAsia="Arial"/>
                <w:bCs/>
                <w:sz w:val="20"/>
              </w:rPr>
              <w:t>Site Selection 2023</w:t>
            </w:r>
            <w:r w:rsidRPr="00985BCC">
              <w:rPr>
                <w:rFonts w:eastAsia="Arial"/>
                <w:bCs/>
                <w:sz w:val="20"/>
              </w:rPr>
              <w:t>. Ashfield District Council</w:t>
            </w:r>
          </w:p>
          <w:p w14:paraId="4F55C3AB" w14:textId="36415E25" w:rsidR="00945E91" w:rsidRPr="00985BCC" w:rsidRDefault="00945E91"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 xml:space="preserve">Background Paper </w:t>
            </w:r>
            <w:r w:rsidR="00A05D94" w:rsidRPr="00985BCC">
              <w:rPr>
                <w:rFonts w:eastAsia="Arial"/>
                <w:bCs/>
                <w:sz w:val="20"/>
              </w:rPr>
              <w:t>No 3:</w:t>
            </w:r>
            <w:r w:rsidRPr="00985BCC">
              <w:rPr>
                <w:rFonts w:eastAsia="Arial"/>
                <w:bCs/>
                <w:sz w:val="20"/>
              </w:rPr>
              <w:t xml:space="preserve"> </w:t>
            </w:r>
            <w:r w:rsidR="000032A9" w:rsidRPr="00985BCC">
              <w:rPr>
                <w:rFonts w:eastAsia="Arial"/>
                <w:bCs/>
                <w:sz w:val="20"/>
              </w:rPr>
              <w:t xml:space="preserve">Economy &amp; </w:t>
            </w:r>
            <w:r w:rsidRPr="00985BCC">
              <w:rPr>
                <w:rFonts w:eastAsia="Arial"/>
                <w:bCs/>
                <w:sz w:val="20"/>
              </w:rPr>
              <w:t>Employment Land 2021.  Ashfield District Council.</w:t>
            </w:r>
          </w:p>
          <w:p w14:paraId="28405FCC" w14:textId="77777777" w:rsidR="00945E91" w:rsidRPr="00985BCC" w:rsidRDefault="00945E91"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The Nottingham Core HMA and Nottingham Outer HMA Employment Land Needs Study, 2021.  Lichfield.</w:t>
            </w:r>
          </w:p>
          <w:p w14:paraId="48A7E56F" w14:textId="5FAC0B58" w:rsidR="00945E91" w:rsidRPr="00985BCC" w:rsidRDefault="00945E91"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Strategic Housing and Employment Land Availability Assessment 2021</w:t>
            </w:r>
            <w:r w:rsidR="00AE785A">
              <w:rPr>
                <w:rFonts w:eastAsia="Arial"/>
                <w:bCs/>
                <w:sz w:val="20"/>
              </w:rPr>
              <w:t xml:space="preserve"> - 2023</w:t>
            </w:r>
            <w:r w:rsidRPr="00985BCC">
              <w:rPr>
                <w:rFonts w:eastAsia="Arial"/>
                <w:bCs/>
                <w:sz w:val="20"/>
              </w:rPr>
              <w:t>. Ashfield District Council.</w:t>
            </w:r>
          </w:p>
          <w:p w14:paraId="6C19A25F" w14:textId="7E8AB8F0" w:rsidR="008016CC" w:rsidRPr="002243F1" w:rsidRDefault="00945E91" w:rsidP="002243F1">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lastRenderedPageBreak/>
              <w:t>Sustainability Appraisal 202</w:t>
            </w:r>
            <w:r w:rsidR="007641C1" w:rsidRPr="00985BCC">
              <w:rPr>
                <w:rFonts w:eastAsia="Arial"/>
                <w:bCs/>
                <w:sz w:val="20"/>
              </w:rPr>
              <w:t>3</w:t>
            </w:r>
            <w:r w:rsidRPr="00985BCC">
              <w:rPr>
                <w:rFonts w:eastAsia="Arial"/>
                <w:bCs/>
                <w:sz w:val="20"/>
              </w:rPr>
              <w:t xml:space="preserve">, </w:t>
            </w:r>
            <w:r w:rsidR="007641C1" w:rsidRPr="00985BCC">
              <w:rPr>
                <w:rFonts w:eastAsia="Arial"/>
                <w:bCs/>
                <w:sz w:val="20"/>
              </w:rPr>
              <w:t>WSP UK Limited.</w:t>
            </w:r>
          </w:p>
        </w:tc>
      </w:tr>
      <w:tr w:rsidR="00945E91" w:rsidRPr="00945E91" w14:paraId="4B76AFBD" w14:textId="77777777" w:rsidTr="00D17B5C">
        <w:tc>
          <w:tcPr>
            <w:tcW w:w="1980" w:type="dxa"/>
          </w:tcPr>
          <w:p w14:paraId="278FF4BF" w14:textId="77777777" w:rsidR="00945E91" w:rsidRPr="00945E91" w:rsidRDefault="00945E91" w:rsidP="000032A9">
            <w:pPr>
              <w:keepNext w:val="0"/>
              <w:tabs>
                <w:tab w:val="left" w:pos="680"/>
                <w:tab w:val="left" w:pos="1133"/>
                <w:tab w:val="left" w:pos="2267"/>
              </w:tabs>
              <w:spacing w:before="0"/>
              <w:ind w:right="284"/>
              <w:rPr>
                <w:rFonts w:eastAsia="Arial"/>
                <w:b/>
                <w:color w:val="538135"/>
                <w:sz w:val="22"/>
              </w:rPr>
            </w:pPr>
            <w:r w:rsidRPr="00945E91">
              <w:rPr>
                <w:rFonts w:eastAsia="Arial"/>
                <w:bCs/>
                <w:color w:val="auto"/>
                <w:sz w:val="20"/>
              </w:rPr>
              <w:lastRenderedPageBreak/>
              <w:t>National Planning Policy and Guidance</w:t>
            </w:r>
          </w:p>
        </w:tc>
        <w:tc>
          <w:tcPr>
            <w:tcW w:w="7654" w:type="dxa"/>
            <w:gridSpan w:val="2"/>
          </w:tcPr>
          <w:p w14:paraId="58AD0FF6" w14:textId="64E501FE" w:rsidR="00945E91" w:rsidRPr="00985BCC" w:rsidRDefault="00945E91" w:rsidP="00A05D94">
            <w:pPr>
              <w:keepNext w:val="0"/>
              <w:numPr>
                <w:ilvl w:val="0"/>
                <w:numId w:val="25"/>
              </w:numPr>
              <w:spacing w:before="0" w:after="160" w:line="252" w:lineRule="auto"/>
              <w:contextualSpacing/>
              <w:jc w:val="left"/>
              <w:rPr>
                <w:rFonts w:cs="Arial"/>
                <w:bCs/>
                <w:sz w:val="20"/>
                <w:u w:val="single"/>
              </w:rPr>
            </w:pPr>
            <w:r w:rsidRPr="00985BCC">
              <w:rPr>
                <w:rFonts w:eastAsia="Arial"/>
                <w:bCs/>
                <w:sz w:val="20"/>
              </w:rPr>
              <w:t>NPPF 202</w:t>
            </w:r>
            <w:r w:rsidR="004173E0" w:rsidRPr="00985BCC">
              <w:rPr>
                <w:rFonts w:eastAsia="Arial"/>
                <w:bCs/>
                <w:sz w:val="20"/>
              </w:rPr>
              <w:t>3</w:t>
            </w:r>
            <w:r w:rsidRPr="00985BCC">
              <w:rPr>
                <w:rFonts w:eastAsia="Arial"/>
                <w:bCs/>
                <w:sz w:val="20"/>
              </w:rPr>
              <w:t>, Part 2: Achieving sustainable development.</w:t>
            </w:r>
          </w:p>
          <w:p w14:paraId="024A42A3" w14:textId="16C81354" w:rsidR="00945E91" w:rsidRPr="00985BCC" w:rsidRDefault="00945E91" w:rsidP="00A05D94">
            <w:pPr>
              <w:keepNext w:val="0"/>
              <w:numPr>
                <w:ilvl w:val="0"/>
                <w:numId w:val="25"/>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NPPF 202</w:t>
            </w:r>
            <w:r w:rsidR="004173E0" w:rsidRPr="00985BCC">
              <w:rPr>
                <w:rFonts w:eastAsia="Arial"/>
                <w:bCs/>
                <w:sz w:val="20"/>
              </w:rPr>
              <w:t>3</w:t>
            </w:r>
            <w:r w:rsidRPr="00985BCC">
              <w:rPr>
                <w:rFonts w:eastAsia="Arial"/>
                <w:bCs/>
                <w:sz w:val="20"/>
              </w:rPr>
              <w:t xml:space="preserve">, Part 6: </w:t>
            </w:r>
            <w:r w:rsidRPr="00985BCC">
              <w:rPr>
                <w:bCs/>
                <w:sz w:val="20"/>
              </w:rPr>
              <w:t>Building a strong, competitive economy.</w:t>
            </w:r>
          </w:p>
          <w:p w14:paraId="75EB1AC3" w14:textId="79705C4A" w:rsidR="00945E91" w:rsidRPr="00985BCC" w:rsidRDefault="00945E91" w:rsidP="00A05D94">
            <w:pPr>
              <w:keepNext w:val="0"/>
              <w:numPr>
                <w:ilvl w:val="0"/>
                <w:numId w:val="25"/>
              </w:numPr>
              <w:spacing w:before="0" w:after="160" w:line="252" w:lineRule="auto"/>
              <w:contextualSpacing/>
              <w:jc w:val="left"/>
              <w:rPr>
                <w:rFonts w:cs="Arial"/>
                <w:bCs/>
                <w:sz w:val="20"/>
                <w:u w:val="single"/>
              </w:rPr>
            </w:pPr>
            <w:r w:rsidRPr="00985BCC">
              <w:rPr>
                <w:rFonts w:eastAsia="Arial"/>
                <w:bCs/>
                <w:sz w:val="20"/>
              </w:rPr>
              <w:t>NPPF 202</w:t>
            </w:r>
            <w:r w:rsidR="004173E0" w:rsidRPr="00985BCC">
              <w:rPr>
                <w:rFonts w:eastAsia="Arial"/>
                <w:bCs/>
                <w:sz w:val="20"/>
              </w:rPr>
              <w:t>3</w:t>
            </w:r>
            <w:r w:rsidRPr="00985BCC">
              <w:rPr>
                <w:rFonts w:eastAsia="Arial"/>
                <w:bCs/>
                <w:sz w:val="20"/>
              </w:rPr>
              <w:t xml:space="preserve"> Part 11: Making effective use of land.</w:t>
            </w:r>
          </w:p>
          <w:p w14:paraId="576EA9D8" w14:textId="14A03F8E" w:rsidR="00945E91" w:rsidRPr="00985BCC" w:rsidRDefault="00945E91" w:rsidP="00A05D94">
            <w:pPr>
              <w:keepNext w:val="0"/>
              <w:numPr>
                <w:ilvl w:val="0"/>
                <w:numId w:val="25"/>
              </w:numPr>
              <w:spacing w:before="0" w:after="160" w:line="252" w:lineRule="auto"/>
              <w:contextualSpacing/>
              <w:jc w:val="left"/>
              <w:rPr>
                <w:bCs/>
                <w:sz w:val="20"/>
              </w:rPr>
            </w:pPr>
            <w:r w:rsidRPr="00985BCC">
              <w:rPr>
                <w:bCs/>
                <w:sz w:val="20"/>
              </w:rPr>
              <w:t xml:space="preserve">Planning Practice Guidance: Housing and economic land availability assessment as </w:t>
            </w:r>
            <w:proofErr w:type="gramStart"/>
            <w:r w:rsidR="0020638E" w:rsidRPr="00985BCC">
              <w:rPr>
                <w:bCs/>
                <w:sz w:val="20"/>
              </w:rPr>
              <w:t>at</w:t>
            </w:r>
            <w:proofErr w:type="gramEnd"/>
            <w:r w:rsidRPr="00985BCC">
              <w:rPr>
                <w:bCs/>
                <w:sz w:val="20"/>
              </w:rPr>
              <w:t xml:space="preserve"> </w:t>
            </w:r>
            <w:r w:rsidR="007641C1" w:rsidRPr="00985BCC">
              <w:rPr>
                <w:bCs/>
                <w:sz w:val="20"/>
              </w:rPr>
              <w:t>July 2019</w:t>
            </w:r>
            <w:r w:rsidRPr="00985BCC">
              <w:rPr>
                <w:bCs/>
                <w:sz w:val="20"/>
              </w:rPr>
              <w:t>.</w:t>
            </w:r>
          </w:p>
        </w:tc>
      </w:tr>
    </w:tbl>
    <w:p w14:paraId="1D52D555" w14:textId="77777777" w:rsidR="00945E91" w:rsidRDefault="00945E91" w:rsidP="00945E91">
      <w:pPr>
        <w:pStyle w:val="ListParagraph"/>
        <w:rPr>
          <w:rFonts w:cs="Arial"/>
          <w:color w:val="auto"/>
          <w:szCs w:val="24"/>
        </w:rPr>
      </w:pPr>
    </w:p>
    <w:p w14:paraId="711A73C5" w14:textId="00C473AF" w:rsidR="005759AB" w:rsidRPr="00253BF8" w:rsidRDefault="00265BB0" w:rsidP="00D01157">
      <w:pPr>
        <w:keepNext w:val="0"/>
        <w:numPr>
          <w:ilvl w:val="1"/>
          <w:numId w:val="28"/>
        </w:numPr>
        <w:tabs>
          <w:tab w:val="clear" w:pos="525"/>
        </w:tabs>
        <w:spacing w:before="0"/>
        <w:ind w:left="709" w:hanging="709"/>
        <w:rPr>
          <w:rFonts w:cs="Arial"/>
          <w:color w:val="auto"/>
          <w:szCs w:val="24"/>
          <w:lang w:eastAsia="en-US"/>
        </w:rPr>
      </w:pPr>
      <w:r w:rsidRPr="00265BB0">
        <w:rPr>
          <w:rFonts w:cs="Arial"/>
          <w:color w:val="auto"/>
          <w:szCs w:val="24"/>
          <w:lang w:eastAsia="en-US"/>
        </w:rPr>
        <w:t>The supply of employment land s</w:t>
      </w:r>
      <w:r>
        <w:rPr>
          <w:rFonts w:cs="Arial"/>
          <w:color w:val="auto"/>
          <w:szCs w:val="24"/>
          <w:lang w:eastAsia="en-US"/>
        </w:rPr>
        <w:t>i</w:t>
      </w:r>
      <w:r w:rsidRPr="00265BB0">
        <w:rPr>
          <w:rFonts w:cs="Arial"/>
          <w:color w:val="auto"/>
          <w:szCs w:val="24"/>
          <w:lang w:eastAsia="en-US"/>
        </w:rPr>
        <w:t xml:space="preserve">tes is derived from existing employment land allocations, land submitted for employment purposes through the Strategic Housing </w:t>
      </w:r>
      <w:r w:rsidRPr="00253BF8">
        <w:rPr>
          <w:rFonts w:cs="Arial"/>
          <w:color w:val="auto"/>
          <w:szCs w:val="24"/>
          <w:lang w:eastAsia="en-US"/>
        </w:rPr>
        <w:t xml:space="preserve">and Employment </w:t>
      </w:r>
      <w:r w:rsidR="00727EAC">
        <w:rPr>
          <w:rFonts w:cs="Arial"/>
          <w:color w:val="auto"/>
          <w:szCs w:val="24"/>
          <w:lang w:eastAsia="en-US"/>
        </w:rPr>
        <w:t>L</w:t>
      </w:r>
      <w:r w:rsidRPr="00253BF8">
        <w:rPr>
          <w:rFonts w:cs="Arial"/>
          <w:color w:val="auto"/>
          <w:szCs w:val="24"/>
          <w:lang w:eastAsia="en-US"/>
        </w:rPr>
        <w:t xml:space="preserve">and </w:t>
      </w:r>
      <w:r w:rsidR="00727EAC">
        <w:rPr>
          <w:rFonts w:cs="Arial"/>
          <w:color w:val="auto"/>
          <w:szCs w:val="24"/>
          <w:lang w:eastAsia="en-US"/>
        </w:rPr>
        <w:t xml:space="preserve">Availability </w:t>
      </w:r>
      <w:r w:rsidRPr="00253BF8">
        <w:rPr>
          <w:rFonts w:cs="Arial"/>
          <w:color w:val="auto"/>
          <w:szCs w:val="24"/>
          <w:lang w:eastAsia="en-US"/>
        </w:rPr>
        <w:t xml:space="preserve">Assessment </w:t>
      </w:r>
      <w:r w:rsidR="00727EAC">
        <w:rPr>
          <w:rFonts w:cs="Arial"/>
          <w:color w:val="auto"/>
          <w:szCs w:val="24"/>
          <w:lang w:eastAsia="en-US"/>
        </w:rPr>
        <w:t xml:space="preserve">(SHELAA) </w:t>
      </w:r>
      <w:r w:rsidRPr="00253BF8">
        <w:rPr>
          <w:rFonts w:cs="Arial"/>
          <w:color w:val="auto"/>
          <w:szCs w:val="24"/>
          <w:lang w:eastAsia="en-US"/>
        </w:rPr>
        <w:t xml:space="preserve">and from existing planning permissions. </w:t>
      </w:r>
    </w:p>
    <w:p w14:paraId="6B818DD3" w14:textId="77777777" w:rsidR="005759AB" w:rsidRPr="00253BF8" w:rsidRDefault="005759AB" w:rsidP="005759AB">
      <w:pPr>
        <w:keepNext w:val="0"/>
        <w:spacing w:before="0"/>
        <w:ind w:left="709"/>
        <w:rPr>
          <w:rFonts w:cs="Arial"/>
          <w:color w:val="auto"/>
          <w:szCs w:val="24"/>
          <w:lang w:eastAsia="en-US"/>
        </w:rPr>
      </w:pPr>
    </w:p>
    <w:p w14:paraId="42994663" w14:textId="6370761B" w:rsidR="005759AB" w:rsidRDefault="005759AB" w:rsidP="00D01157">
      <w:pPr>
        <w:keepNext w:val="0"/>
        <w:numPr>
          <w:ilvl w:val="1"/>
          <w:numId w:val="28"/>
        </w:numPr>
        <w:tabs>
          <w:tab w:val="clear" w:pos="525"/>
        </w:tabs>
        <w:spacing w:before="0"/>
        <w:ind w:left="709" w:hanging="709"/>
        <w:rPr>
          <w:rFonts w:cs="Arial"/>
          <w:color w:val="auto"/>
          <w:szCs w:val="24"/>
          <w:lang w:eastAsia="en-US"/>
        </w:rPr>
      </w:pPr>
      <w:bookmarkStart w:id="258" w:name="_Hlk147997510"/>
      <w:bookmarkStart w:id="259" w:name="_Hlk147920853"/>
      <w:r w:rsidRPr="00253BF8">
        <w:rPr>
          <w:rFonts w:eastAsia="Arial" w:cs="Arial"/>
          <w:color w:val="auto"/>
        </w:rPr>
        <w:t xml:space="preserve">The </w:t>
      </w:r>
      <w:r w:rsidR="00253BF8" w:rsidRPr="00253BF8">
        <w:rPr>
          <w:rFonts w:eastAsia="Arial" w:cs="Arial"/>
          <w:color w:val="auto"/>
        </w:rPr>
        <w:t>e</w:t>
      </w:r>
      <w:r w:rsidR="003552FD" w:rsidRPr="00253BF8">
        <w:rPr>
          <w:rFonts w:eastAsia="Arial" w:cs="Arial"/>
          <w:color w:val="auto"/>
        </w:rPr>
        <w:t>mployment land demand under Policy S</w:t>
      </w:r>
      <w:r w:rsidR="00E14774">
        <w:rPr>
          <w:rFonts w:eastAsia="Arial" w:cs="Arial"/>
          <w:color w:val="auto"/>
        </w:rPr>
        <w:t>8</w:t>
      </w:r>
      <w:r w:rsidR="003552FD" w:rsidRPr="00253BF8">
        <w:rPr>
          <w:rFonts w:eastAsia="Arial" w:cs="Arial"/>
          <w:color w:val="auto"/>
        </w:rPr>
        <w:t xml:space="preserve"> requires </w:t>
      </w:r>
      <w:r w:rsidRPr="00253BF8">
        <w:rPr>
          <w:rFonts w:eastAsia="Arial" w:cs="Arial"/>
          <w:color w:val="auto"/>
        </w:rPr>
        <w:t>8</w:t>
      </w:r>
      <w:r w:rsidR="00051133" w:rsidRPr="00253BF8">
        <w:rPr>
          <w:rFonts w:eastAsia="Arial" w:cs="Arial"/>
          <w:color w:val="auto"/>
        </w:rPr>
        <w:t>1</w:t>
      </w:r>
      <w:r w:rsidRPr="00253BF8">
        <w:rPr>
          <w:rFonts w:eastAsia="Arial" w:cs="Arial"/>
          <w:color w:val="auto"/>
        </w:rPr>
        <w:t xml:space="preserve"> ha of employment land from 20</w:t>
      </w:r>
      <w:r w:rsidR="00051133" w:rsidRPr="00253BF8">
        <w:rPr>
          <w:rFonts w:eastAsia="Arial" w:cs="Arial"/>
          <w:color w:val="auto"/>
        </w:rPr>
        <w:t>23</w:t>
      </w:r>
      <w:r w:rsidRPr="00253BF8">
        <w:rPr>
          <w:rFonts w:eastAsia="Arial" w:cs="Arial"/>
          <w:color w:val="auto"/>
        </w:rPr>
        <w:t xml:space="preserve"> to 20</w:t>
      </w:r>
      <w:r w:rsidR="00051133" w:rsidRPr="00253BF8">
        <w:rPr>
          <w:rFonts w:eastAsia="Arial" w:cs="Arial"/>
          <w:color w:val="auto"/>
        </w:rPr>
        <w:t>40</w:t>
      </w:r>
      <w:r w:rsidRPr="00253BF8">
        <w:rPr>
          <w:rFonts w:eastAsia="Arial" w:cs="Arial"/>
          <w:color w:val="auto"/>
        </w:rPr>
        <w:t>.</w:t>
      </w:r>
      <w:r w:rsidRPr="00253BF8">
        <w:rPr>
          <w:rFonts w:cs="Arial"/>
          <w:color w:val="auto"/>
          <w:szCs w:val="24"/>
          <w:lang w:eastAsia="en-US"/>
        </w:rPr>
        <w:t xml:space="preserve">  </w:t>
      </w:r>
      <w:r w:rsidR="003552FD" w:rsidRPr="00253BF8">
        <w:rPr>
          <w:rFonts w:cs="Arial"/>
          <w:color w:val="auto"/>
          <w:szCs w:val="24"/>
          <w:lang w:eastAsia="en-US"/>
        </w:rPr>
        <w:t>T</w:t>
      </w:r>
      <w:r w:rsidR="00253BF8" w:rsidRPr="00253BF8">
        <w:rPr>
          <w:rFonts w:cs="Arial"/>
          <w:color w:val="auto"/>
          <w:szCs w:val="24"/>
          <w:lang w:eastAsia="en-US"/>
        </w:rPr>
        <w:t xml:space="preserve">his </w:t>
      </w:r>
      <w:r w:rsidR="003552FD" w:rsidRPr="00253BF8">
        <w:rPr>
          <w:rFonts w:cs="Arial"/>
          <w:color w:val="auto"/>
          <w:szCs w:val="24"/>
          <w:lang w:eastAsia="en-US"/>
        </w:rPr>
        <w:t>requirement</w:t>
      </w:r>
      <w:r w:rsidR="00253BF8" w:rsidRPr="00253BF8">
        <w:rPr>
          <w:rFonts w:cs="Arial"/>
          <w:color w:val="auto"/>
          <w:szCs w:val="24"/>
          <w:lang w:eastAsia="en-US"/>
        </w:rPr>
        <w:t xml:space="preserve"> will be met by</w:t>
      </w:r>
      <w:r w:rsidRPr="00253BF8">
        <w:rPr>
          <w:rFonts w:cs="Arial"/>
          <w:color w:val="auto"/>
          <w:szCs w:val="24"/>
          <w:lang w:eastAsia="en-US"/>
        </w:rPr>
        <w:t>:</w:t>
      </w:r>
    </w:p>
    <w:p w14:paraId="6DDB7EA8" w14:textId="77777777" w:rsidR="0043727A" w:rsidRDefault="0043727A" w:rsidP="0043727A">
      <w:pPr>
        <w:pStyle w:val="ListParagraph"/>
        <w:rPr>
          <w:rFonts w:cs="Arial"/>
          <w:color w:val="auto"/>
          <w:szCs w:val="24"/>
        </w:rPr>
      </w:pPr>
    </w:p>
    <w:p w14:paraId="3733D7BA" w14:textId="192E312A" w:rsidR="0043727A" w:rsidRPr="00147CD5" w:rsidRDefault="00E14774" w:rsidP="00874A98">
      <w:pPr>
        <w:pStyle w:val="ListParagraph"/>
        <w:numPr>
          <w:ilvl w:val="0"/>
          <w:numId w:val="302"/>
        </w:numPr>
        <w:spacing w:after="0" w:line="240" w:lineRule="auto"/>
        <w:rPr>
          <w:rFonts w:ascii="Arial" w:hAnsi="Arial" w:cs="Arial"/>
          <w:strike/>
          <w:color w:val="auto"/>
          <w:szCs w:val="24"/>
        </w:rPr>
      </w:pPr>
      <w:r>
        <w:rPr>
          <w:rFonts w:ascii="Arial" w:eastAsia="Arial" w:hAnsi="Arial" w:cs="Arial"/>
          <w:color w:val="auto"/>
        </w:rPr>
        <w:t xml:space="preserve">Strategic Policy S6 - </w:t>
      </w:r>
      <w:r w:rsidR="0043727A" w:rsidRPr="00253BF8">
        <w:rPr>
          <w:rFonts w:ascii="Arial" w:eastAsia="Arial" w:hAnsi="Arial" w:cs="Arial"/>
          <w:color w:val="auto"/>
        </w:rPr>
        <w:t xml:space="preserve">Protecting and allocating approximately 40.92 ha (net developable area) of employment land at the District’s Strategic Employment Area of Sherwood Business Park / M1 Motorway junction 27 as shown on the Policies Map for logistics and distribution.  </w:t>
      </w:r>
      <w:r w:rsidR="0043727A" w:rsidRPr="00147CD5">
        <w:rPr>
          <w:rFonts w:ascii="Arial" w:eastAsia="Arial" w:hAnsi="Arial" w:cs="Arial"/>
          <w:strike/>
          <w:color w:val="auto"/>
        </w:rPr>
        <w:t xml:space="preserve">Part of this allocation is required by </w:t>
      </w:r>
      <w:proofErr w:type="gramStart"/>
      <w:r w:rsidR="0043727A" w:rsidRPr="00147CD5">
        <w:rPr>
          <w:rFonts w:ascii="Arial" w:eastAsia="Arial" w:hAnsi="Arial" w:cs="Arial"/>
          <w:strike/>
          <w:color w:val="auto"/>
        </w:rPr>
        <w:t>High Speed</w:t>
      </w:r>
      <w:proofErr w:type="gramEnd"/>
      <w:r w:rsidR="0043727A" w:rsidRPr="00147CD5">
        <w:rPr>
          <w:rFonts w:ascii="Arial" w:eastAsia="Arial" w:hAnsi="Arial" w:cs="Arial"/>
          <w:strike/>
          <w:color w:val="auto"/>
        </w:rPr>
        <w:t xml:space="preserve"> Railway Phase 2b as a compound for the construction of HS2. Consequently, it is unlikely to come forward until the latter stages of the Plan period.</w:t>
      </w:r>
    </w:p>
    <w:p w14:paraId="5AE7BB88" w14:textId="77777777" w:rsidR="0043727A" w:rsidRPr="00253BF8" w:rsidRDefault="0043727A" w:rsidP="0043727A">
      <w:pPr>
        <w:pStyle w:val="ListParagraph"/>
        <w:spacing w:after="0" w:line="240" w:lineRule="auto"/>
        <w:ind w:left="1080"/>
        <w:rPr>
          <w:rFonts w:ascii="Arial" w:hAnsi="Arial" w:cs="Arial"/>
          <w:color w:val="auto"/>
          <w:szCs w:val="24"/>
        </w:rPr>
      </w:pPr>
    </w:p>
    <w:p w14:paraId="07123CC2" w14:textId="24A55CE2" w:rsidR="0043727A" w:rsidRPr="00253BF8" w:rsidRDefault="00E14774" w:rsidP="00874A98">
      <w:pPr>
        <w:pStyle w:val="ListParagraph"/>
        <w:numPr>
          <w:ilvl w:val="0"/>
          <w:numId w:val="302"/>
        </w:numPr>
        <w:spacing w:after="0" w:line="240" w:lineRule="auto"/>
        <w:rPr>
          <w:rFonts w:ascii="Arial" w:hAnsi="Arial" w:cs="Arial"/>
          <w:color w:val="auto"/>
          <w:szCs w:val="24"/>
        </w:rPr>
      </w:pPr>
      <w:r>
        <w:rPr>
          <w:rFonts w:ascii="Arial" w:hAnsi="Arial" w:cs="Arial"/>
          <w:color w:val="auto"/>
          <w:szCs w:val="24"/>
        </w:rPr>
        <w:t>Policy EM2 -</w:t>
      </w:r>
      <w:r w:rsidR="0043727A" w:rsidRPr="00253BF8">
        <w:rPr>
          <w:rFonts w:ascii="Arial" w:hAnsi="Arial" w:cs="Arial"/>
          <w:color w:val="auto"/>
          <w:szCs w:val="24"/>
        </w:rPr>
        <w:t>Two new allocations at Hamilton Road, Sutton in Ashfield comprising approximately 3.34 ha.</w:t>
      </w:r>
    </w:p>
    <w:p w14:paraId="61B1849D" w14:textId="77777777" w:rsidR="0043727A" w:rsidRPr="00253BF8" w:rsidRDefault="0043727A" w:rsidP="0043727A">
      <w:pPr>
        <w:rPr>
          <w:rFonts w:cs="Arial"/>
          <w:color w:val="auto"/>
          <w:szCs w:val="24"/>
        </w:rPr>
      </w:pPr>
    </w:p>
    <w:p w14:paraId="21E2F3EC" w14:textId="52DC80D5" w:rsidR="0043727A" w:rsidRPr="0043727A" w:rsidRDefault="00E14774" w:rsidP="00874A98">
      <w:pPr>
        <w:pStyle w:val="ListParagraph"/>
        <w:numPr>
          <w:ilvl w:val="0"/>
          <w:numId w:val="302"/>
        </w:numPr>
        <w:spacing w:after="0" w:line="240" w:lineRule="auto"/>
        <w:rPr>
          <w:rFonts w:eastAsia="Arial" w:cs="Arial"/>
          <w:color w:val="auto"/>
        </w:rPr>
      </w:pPr>
      <w:r>
        <w:rPr>
          <w:rFonts w:ascii="Arial" w:hAnsi="Arial" w:cs="Arial"/>
          <w:color w:val="auto"/>
          <w:szCs w:val="24"/>
        </w:rPr>
        <w:t xml:space="preserve">Policy EM2 - </w:t>
      </w:r>
      <w:r w:rsidR="0043727A" w:rsidRPr="00253BF8">
        <w:rPr>
          <w:rFonts w:ascii="Arial" w:hAnsi="Arial" w:cs="Arial"/>
          <w:color w:val="auto"/>
          <w:szCs w:val="24"/>
        </w:rPr>
        <w:t>Existing employment land of 40.6</w:t>
      </w:r>
      <w:r w:rsidR="000B0D2F">
        <w:rPr>
          <w:rFonts w:ascii="Arial" w:hAnsi="Arial" w:cs="Arial"/>
          <w:color w:val="auto"/>
          <w:szCs w:val="24"/>
        </w:rPr>
        <w:t>0</w:t>
      </w:r>
      <w:r w:rsidR="0043727A" w:rsidRPr="00253BF8">
        <w:rPr>
          <w:rFonts w:ascii="Arial" w:hAnsi="Arial" w:cs="Arial"/>
          <w:color w:val="auto"/>
          <w:szCs w:val="24"/>
        </w:rPr>
        <w:t xml:space="preserve"> ha (net developable area). This reflects sites allocated under the Ashfield Local Plan Review 2002 for employment land or land which has planning permission for office, light industrial, general industrial or distribution uses.</w:t>
      </w:r>
    </w:p>
    <w:p w14:paraId="39A48474" w14:textId="77777777" w:rsidR="0043727A" w:rsidRPr="0043727A" w:rsidRDefault="0043727A" w:rsidP="0043727A">
      <w:pPr>
        <w:rPr>
          <w:rFonts w:eastAsia="Arial" w:cs="Arial"/>
          <w:color w:val="auto"/>
        </w:rPr>
      </w:pPr>
    </w:p>
    <w:bookmarkEnd w:id="258"/>
    <w:bookmarkEnd w:id="259"/>
    <w:p w14:paraId="0CDBA16C" w14:textId="583E21F1" w:rsidR="005759AB" w:rsidRPr="00BE209B" w:rsidRDefault="008243E5" w:rsidP="005759AB">
      <w:pPr>
        <w:keepNext w:val="0"/>
        <w:numPr>
          <w:ilvl w:val="1"/>
          <w:numId w:val="28"/>
        </w:numPr>
        <w:tabs>
          <w:tab w:val="clear" w:pos="525"/>
        </w:tabs>
        <w:spacing w:before="0"/>
        <w:ind w:left="709" w:hanging="709"/>
        <w:rPr>
          <w:rFonts w:cs="Arial"/>
          <w:color w:val="auto"/>
          <w:szCs w:val="24"/>
          <w:lang w:eastAsia="en-US"/>
        </w:rPr>
      </w:pPr>
      <w:r w:rsidRPr="004249F6">
        <w:rPr>
          <w:rFonts w:eastAsia="Arial" w:cs="Arial"/>
          <w:color w:val="0070C0"/>
        </w:rPr>
        <w:t xml:space="preserve">The plan </w:t>
      </w:r>
      <w:r w:rsidR="004249F6" w:rsidRPr="004249F6">
        <w:rPr>
          <w:rFonts w:eastAsia="Arial" w:cs="Arial"/>
          <w:color w:val="0070C0"/>
        </w:rPr>
        <w:t xml:space="preserve">identifies a range of sites </w:t>
      </w:r>
      <w:r w:rsidR="003552FD" w:rsidRPr="004249F6">
        <w:rPr>
          <w:rFonts w:eastAsia="Arial" w:cs="Arial"/>
          <w:strike/>
          <w:color w:val="auto"/>
        </w:rPr>
        <w:t>E</w:t>
      </w:r>
      <w:r w:rsidR="0043727A" w:rsidRPr="004249F6">
        <w:rPr>
          <w:rFonts w:eastAsia="Arial" w:cs="Arial"/>
          <w:strike/>
          <w:color w:val="auto"/>
        </w:rPr>
        <w:t xml:space="preserve">mployment </w:t>
      </w:r>
      <w:r w:rsidR="003552FD" w:rsidRPr="004249F6">
        <w:rPr>
          <w:rFonts w:eastAsia="Arial" w:cs="Arial"/>
          <w:strike/>
          <w:color w:val="auto"/>
        </w:rPr>
        <w:t>B</w:t>
      </w:r>
      <w:r w:rsidR="0043727A" w:rsidRPr="004249F6">
        <w:rPr>
          <w:rFonts w:eastAsia="Arial" w:cs="Arial"/>
          <w:strike/>
          <w:color w:val="auto"/>
        </w:rPr>
        <w:t xml:space="preserve">ackground </w:t>
      </w:r>
      <w:r w:rsidR="003552FD" w:rsidRPr="004249F6">
        <w:rPr>
          <w:rFonts w:eastAsia="Arial" w:cs="Arial"/>
          <w:strike/>
          <w:color w:val="auto"/>
        </w:rPr>
        <w:t>P</w:t>
      </w:r>
      <w:r w:rsidR="0043727A" w:rsidRPr="004249F6">
        <w:rPr>
          <w:rFonts w:eastAsia="Arial" w:cs="Arial"/>
          <w:strike/>
          <w:color w:val="auto"/>
        </w:rPr>
        <w:t>aper</w:t>
      </w:r>
      <w:r w:rsidR="003552FD" w:rsidRPr="004249F6">
        <w:rPr>
          <w:rFonts w:eastAsia="Arial" w:cs="Arial"/>
          <w:strike/>
          <w:color w:val="auto"/>
        </w:rPr>
        <w:t xml:space="preserve"> 3</w:t>
      </w:r>
      <w:r w:rsidR="0043727A" w:rsidRPr="004249F6">
        <w:rPr>
          <w:rFonts w:eastAsia="Arial" w:cs="Arial"/>
          <w:strike/>
          <w:color w:val="auto"/>
        </w:rPr>
        <w:t xml:space="preserve">: Economy and Employment Land, 2023, </w:t>
      </w:r>
      <w:r w:rsidR="003552FD" w:rsidRPr="004249F6">
        <w:rPr>
          <w:rFonts w:eastAsia="Arial" w:cs="Arial"/>
          <w:strike/>
          <w:color w:val="auto"/>
        </w:rPr>
        <w:t>identifies site</w:t>
      </w:r>
      <w:r w:rsidR="00267BA0" w:rsidRPr="004249F6">
        <w:rPr>
          <w:rFonts w:eastAsia="Arial" w:cs="Arial"/>
          <w:strike/>
          <w:color w:val="auto"/>
        </w:rPr>
        <w:t>s</w:t>
      </w:r>
      <w:r w:rsidR="00267BA0">
        <w:rPr>
          <w:rFonts w:eastAsia="Arial" w:cs="Arial"/>
          <w:color w:val="auto"/>
        </w:rPr>
        <w:t xml:space="preserve">, including those that are strategic, </w:t>
      </w:r>
      <w:r w:rsidR="003552FD" w:rsidRPr="0043727A">
        <w:rPr>
          <w:rFonts w:eastAsia="Arial" w:cs="Arial"/>
          <w:color w:val="auto"/>
        </w:rPr>
        <w:t xml:space="preserve">that are anticipated to </w:t>
      </w:r>
      <w:r w:rsidR="0043727A">
        <w:rPr>
          <w:rFonts w:eastAsia="Arial" w:cs="Arial"/>
          <w:color w:val="auto"/>
        </w:rPr>
        <w:t>meet the demand for employment land from 2023 – 2040.</w:t>
      </w:r>
    </w:p>
    <w:p w14:paraId="6938C1F7" w14:textId="77777777" w:rsidR="00BE209B" w:rsidRDefault="00BE209B" w:rsidP="00BE209B">
      <w:pPr>
        <w:keepNext w:val="0"/>
        <w:spacing w:before="0"/>
        <w:rPr>
          <w:rFonts w:eastAsia="Arial" w:cs="Arial"/>
          <w:color w:val="auto"/>
        </w:rPr>
      </w:pPr>
    </w:p>
    <w:p w14:paraId="341C072E" w14:textId="6585D02E" w:rsidR="002E7432" w:rsidRPr="002E7432" w:rsidRDefault="002E7432" w:rsidP="002E7432">
      <w:pPr>
        <w:ind w:left="709"/>
        <w:rPr>
          <w:rFonts w:cs="Arial"/>
          <w:color w:val="0070C0"/>
          <w:szCs w:val="24"/>
        </w:rPr>
      </w:pPr>
      <w:r w:rsidRPr="002E7432">
        <w:rPr>
          <w:rFonts w:cs="Arial"/>
          <w:color w:val="0070C0"/>
          <w:szCs w:val="24"/>
        </w:rPr>
        <w:t xml:space="preserve">Site EM2 S3 – Hamilton Road, Sutton </w:t>
      </w:r>
      <w:proofErr w:type="gramStart"/>
      <w:r w:rsidRPr="002E7432">
        <w:rPr>
          <w:rFonts w:cs="Arial"/>
          <w:color w:val="0070C0"/>
          <w:szCs w:val="24"/>
        </w:rPr>
        <w:t>In</w:t>
      </w:r>
      <w:proofErr w:type="gramEnd"/>
      <w:r w:rsidRPr="002E7432">
        <w:rPr>
          <w:rFonts w:cs="Arial"/>
          <w:color w:val="0070C0"/>
          <w:szCs w:val="24"/>
        </w:rPr>
        <w:t xml:space="preserve"> Ashfield, is located c.210m to the north-east of Hamilton Hill, a Scheduled Ancient Monument. Development should be avoided on the north / northeast of the site (as shown in Figure 66 of the Heritage Impact Assessment (HIA</w:t>
      </w:r>
      <w:r w:rsidRPr="00B40D4A">
        <w:rPr>
          <w:rFonts w:cs="Arial"/>
          <w:color w:val="0070C0"/>
          <w:szCs w:val="24"/>
        </w:rPr>
        <w:t>)</w:t>
      </w:r>
      <w:r w:rsidR="00B40D4A" w:rsidRPr="00B40D4A">
        <w:rPr>
          <w:color w:val="0070C0"/>
        </w:rPr>
        <w:t xml:space="preserve"> or any subsequent updated document</w:t>
      </w:r>
      <w:r w:rsidRPr="002E7432">
        <w:rPr>
          <w:rFonts w:cs="Arial"/>
          <w:color w:val="0070C0"/>
          <w:szCs w:val="24"/>
        </w:rPr>
        <w:t xml:space="preserve">) and trees should be planted in this area to provide a green framework for the scheduled monument.  </w:t>
      </w:r>
    </w:p>
    <w:p w14:paraId="32A323EC" w14:textId="052EFC85" w:rsidR="002E7432" w:rsidRPr="002E7432" w:rsidRDefault="002E7432" w:rsidP="002E7432">
      <w:pPr>
        <w:ind w:left="709"/>
        <w:rPr>
          <w:rFonts w:cs="Arial"/>
          <w:color w:val="0070C0"/>
          <w:szCs w:val="24"/>
        </w:rPr>
      </w:pPr>
      <w:r w:rsidRPr="002E7432">
        <w:rPr>
          <w:rFonts w:cs="Arial"/>
          <w:color w:val="0070C0"/>
          <w:szCs w:val="24"/>
        </w:rPr>
        <w:t xml:space="preserve">In addition, the site has moderate potential for significant buried archaeological remains within the site. Further evaluation work may be required.  </w:t>
      </w:r>
      <w:r w:rsidRPr="002E7432">
        <w:rPr>
          <w:rFonts w:eastAsia="Arial" w:cs="Arial"/>
          <w:iCs/>
          <w:color w:val="0070C0"/>
          <w:szCs w:val="24"/>
        </w:rPr>
        <w:t>An archaeological Desk Based Assessment (DBA) should be submitted with any planning application</w:t>
      </w:r>
      <w:r w:rsidRPr="002E7432">
        <w:rPr>
          <w:rFonts w:cs="Arial"/>
          <w:color w:val="0070C0"/>
          <w:szCs w:val="24"/>
        </w:rPr>
        <w:t xml:space="preserve"> to ascertain the extent and level of survival of archaeological remains within the site.  Depending on the results of the DBA further archaeological investigations may be </w:t>
      </w:r>
      <w:r w:rsidR="00541407">
        <w:rPr>
          <w:rFonts w:cs="Arial"/>
          <w:color w:val="0070C0"/>
          <w:szCs w:val="24"/>
        </w:rPr>
        <w:lastRenderedPageBreak/>
        <w:t>required</w:t>
      </w:r>
      <w:r w:rsidRPr="002E7432">
        <w:rPr>
          <w:rFonts w:cs="Arial"/>
          <w:color w:val="0070C0"/>
          <w:szCs w:val="24"/>
        </w:rPr>
        <w:t>, including a geophysical survey and targeted trial trenching, where necessary to inform any required mitigation.</w:t>
      </w:r>
    </w:p>
    <w:p w14:paraId="3F64EF2C" w14:textId="77777777" w:rsidR="0043727A" w:rsidRPr="002E7432" w:rsidRDefault="0043727A" w:rsidP="0043727A">
      <w:pPr>
        <w:keepNext w:val="0"/>
        <w:spacing w:before="0"/>
        <w:rPr>
          <w:rFonts w:eastAsia="Arial" w:cs="Arial"/>
          <w:color w:val="auto"/>
          <w:szCs w:val="24"/>
        </w:rPr>
      </w:pPr>
    </w:p>
    <w:p w14:paraId="38C80069" w14:textId="049E263C" w:rsidR="00D17B5C" w:rsidRDefault="00D17B5C">
      <w:pPr>
        <w:keepNext w:val="0"/>
        <w:spacing w:before="0"/>
        <w:rPr>
          <w:rFonts w:eastAsia="Arial" w:cs="Arial"/>
          <w:b/>
          <w:bCs/>
          <w:iCs/>
          <w:color w:val="auto"/>
          <w:sz w:val="28"/>
          <w:szCs w:val="28"/>
          <w:lang w:eastAsia="en-US"/>
        </w:rPr>
      </w:pPr>
      <w:bookmarkStart w:id="260" w:name="_Toc145511600"/>
    </w:p>
    <w:p w14:paraId="259ED8C3" w14:textId="66B13EED" w:rsidR="004F1BD2" w:rsidRPr="00C55F46" w:rsidRDefault="006977E7" w:rsidP="00C55F46">
      <w:pPr>
        <w:pStyle w:val="Heading2"/>
        <w:jc w:val="left"/>
        <w:rPr>
          <w:rFonts w:eastAsia="Arial"/>
          <w:sz w:val="28"/>
          <w:szCs w:val="28"/>
        </w:rPr>
      </w:pPr>
      <w:r w:rsidRPr="00C55F46">
        <w:rPr>
          <w:rFonts w:eastAsia="Arial"/>
          <w:sz w:val="28"/>
          <w:szCs w:val="28"/>
        </w:rPr>
        <w:t xml:space="preserve">Policy </w:t>
      </w:r>
      <w:r w:rsidR="004F1BD2" w:rsidRPr="00C55F46">
        <w:rPr>
          <w:rFonts w:eastAsia="Arial"/>
          <w:sz w:val="28"/>
          <w:szCs w:val="28"/>
        </w:rPr>
        <w:t xml:space="preserve">EM3: </w:t>
      </w:r>
      <w:r w:rsidR="005A5BB8" w:rsidRPr="00C55F46">
        <w:rPr>
          <w:rFonts w:eastAsia="Arial"/>
          <w:sz w:val="28"/>
          <w:szCs w:val="28"/>
        </w:rPr>
        <w:t>Retention of Employment Sites and Allocations</w:t>
      </w:r>
      <w:bookmarkEnd w:id="260"/>
      <w:r w:rsidR="005A5BB8" w:rsidRPr="00C55F46">
        <w:rPr>
          <w:rFonts w:eastAsia="Arial"/>
          <w:sz w:val="28"/>
          <w:szCs w:val="28"/>
        </w:rPr>
        <w:t xml:space="preserve"> </w:t>
      </w:r>
    </w:p>
    <w:p w14:paraId="02491979" w14:textId="77777777" w:rsidR="00945E91" w:rsidRPr="00EE2AAD" w:rsidRDefault="00945E91" w:rsidP="00945E91">
      <w:pPr>
        <w:keepNext w:val="0"/>
        <w:spacing w:before="0"/>
        <w:rPr>
          <w:rFonts w:eastAsia="Arial" w:cs="Arial"/>
          <w:color w:val="auto"/>
          <w:sz w:val="28"/>
          <w:szCs w:val="28"/>
        </w:rPr>
      </w:pPr>
    </w:p>
    <w:tbl>
      <w:tblPr>
        <w:tblStyle w:val="TableGrid3"/>
        <w:tblW w:w="9634" w:type="dxa"/>
        <w:tblLook w:val="04A0" w:firstRow="1" w:lastRow="0" w:firstColumn="1" w:lastColumn="0" w:noHBand="0" w:noVBand="1"/>
      </w:tblPr>
      <w:tblGrid>
        <w:gridCol w:w="2660"/>
        <w:gridCol w:w="312"/>
        <w:gridCol w:w="6662"/>
      </w:tblGrid>
      <w:tr w:rsidR="00945E91" w:rsidRPr="00945E91" w14:paraId="72D9B538" w14:textId="77777777" w:rsidTr="00D17B5C">
        <w:trPr>
          <w:trHeight w:val="421"/>
        </w:trPr>
        <w:tc>
          <w:tcPr>
            <w:tcW w:w="9634" w:type="dxa"/>
            <w:gridSpan w:val="3"/>
          </w:tcPr>
          <w:p w14:paraId="1742818A" w14:textId="77777777" w:rsidR="009838D1" w:rsidRDefault="009838D1" w:rsidP="00FF3EAD">
            <w:pPr>
              <w:keepNext w:val="0"/>
              <w:tabs>
                <w:tab w:val="left" w:pos="680"/>
              </w:tabs>
              <w:spacing w:before="0"/>
              <w:jc w:val="left"/>
              <w:rPr>
                <w:rFonts w:eastAsia="Arial"/>
                <w:b/>
                <w:color w:val="auto"/>
                <w:spacing w:val="-1"/>
              </w:rPr>
            </w:pPr>
          </w:p>
          <w:p w14:paraId="4BBF449B" w14:textId="6A77F6C3" w:rsidR="00945E91" w:rsidRDefault="00945E91" w:rsidP="00FF3EAD">
            <w:pPr>
              <w:keepNext w:val="0"/>
              <w:tabs>
                <w:tab w:val="left" w:pos="680"/>
              </w:tabs>
              <w:spacing w:before="0"/>
              <w:jc w:val="left"/>
              <w:rPr>
                <w:rFonts w:eastAsia="Arial"/>
                <w:b/>
                <w:color w:val="auto"/>
                <w:spacing w:val="-1"/>
              </w:rPr>
            </w:pPr>
            <w:r w:rsidRPr="00EE2AAD">
              <w:rPr>
                <w:rFonts w:eastAsia="Arial"/>
                <w:b/>
                <w:color w:val="auto"/>
                <w:spacing w:val="-1"/>
              </w:rPr>
              <w:t xml:space="preserve">Policy EM3: Retention of Employment Sites and </w:t>
            </w:r>
            <w:r w:rsidR="005A5BB8" w:rsidRPr="00EE2AAD">
              <w:rPr>
                <w:rFonts w:eastAsia="Arial"/>
                <w:b/>
                <w:color w:val="auto"/>
                <w:spacing w:val="-1"/>
              </w:rPr>
              <w:t>A</w:t>
            </w:r>
            <w:r w:rsidRPr="00EE2AAD">
              <w:rPr>
                <w:rFonts w:eastAsia="Arial"/>
                <w:b/>
                <w:color w:val="auto"/>
                <w:spacing w:val="-1"/>
              </w:rPr>
              <w:t>llocation</w:t>
            </w:r>
            <w:r w:rsidR="005A5BB8" w:rsidRPr="00EE2AAD">
              <w:rPr>
                <w:rFonts w:eastAsia="Arial"/>
                <w:b/>
                <w:color w:val="auto"/>
                <w:spacing w:val="-1"/>
              </w:rPr>
              <w:t>s</w:t>
            </w:r>
          </w:p>
          <w:p w14:paraId="4962EAE2" w14:textId="7EC0F68C" w:rsidR="009838D1" w:rsidRPr="00EE2AAD" w:rsidRDefault="009838D1" w:rsidP="00FF3EAD">
            <w:pPr>
              <w:keepNext w:val="0"/>
              <w:tabs>
                <w:tab w:val="left" w:pos="680"/>
              </w:tabs>
              <w:spacing w:before="0"/>
              <w:jc w:val="left"/>
              <w:rPr>
                <w:rFonts w:eastAsia="Arial"/>
                <w:b/>
                <w:color w:val="1F3864"/>
                <w:spacing w:val="-1"/>
              </w:rPr>
            </w:pPr>
          </w:p>
        </w:tc>
      </w:tr>
      <w:tr w:rsidR="00945E91" w:rsidRPr="00945E91" w14:paraId="2A0424B6" w14:textId="77777777" w:rsidTr="00D17B5C">
        <w:tc>
          <w:tcPr>
            <w:tcW w:w="2660" w:type="dxa"/>
          </w:tcPr>
          <w:p w14:paraId="250A2360" w14:textId="77777777" w:rsidR="00945E91" w:rsidRPr="00945E91" w:rsidRDefault="00945E91" w:rsidP="00FF3EAD">
            <w:pPr>
              <w:keepNext w:val="0"/>
              <w:tabs>
                <w:tab w:val="left" w:pos="680"/>
              </w:tabs>
              <w:spacing w:before="0"/>
              <w:jc w:val="left"/>
              <w:rPr>
                <w:rFonts w:eastAsia="Arial"/>
                <w:bCs/>
                <w:color w:val="auto"/>
              </w:rPr>
            </w:pPr>
            <w:r w:rsidRPr="00945E91">
              <w:rPr>
                <w:rFonts w:eastAsia="Arial"/>
                <w:bCs/>
                <w:color w:val="auto"/>
              </w:rPr>
              <w:t>Strategic Objectives</w:t>
            </w:r>
          </w:p>
        </w:tc>
        <w:tc>
          <w:tcPr>
            <w:tcW w:w="6974" w:type="dxa"/>
            <w:gridSpan w:val="2"/>
          </w:tcPr>
          <w:p w14:paraId="10FBE16F" w14:textId="77777777" w:rsidR="00945E91" w:rsidRPr="00945E91" w:rsidRDefault="00945E91" w:rsidP="00FF3EAD">
            <w:pPr>
              <w:keepNext w:val="0"/>
              <w:tabs>
                <w:tab w:val="left" w:pos="680"/>
              </w:tabs>
              <w:spacing w:before="40" w:after="40"/>
              <w:jc w:val="left"/>
              <w:rPr>
                <w:rFonts w:eastAsia="Arial"/>
                <w:bCs/>
                <w:color w:val="auto"/>
              </w:rPr>
            </w:pPr>
            <w:r w:rsidRPr="00945E91">
              <w:rPr>
                <w:rFonts w:eastAsia="Arial"/>
                <w:bCs/>
                <w:color w:val="auto"/>
              </w:rPr>
              <w:t>SO1, SO2, SO4, SO5, SO6, SO7, SO8, SO9, SO10, SO12.</w:t>
            </w:r>
          </w:p>
        </w:tc>
      </w:tr>
      <w:tr w:rsidR="00945E91" w:rsidRPr="00945E91" w14:paraId="764CC296" w14:textId="77777777" w:rsidTr="00D17B5C">
        <w:tc>
          <w:tcPr>
            <w:tcW w:w="9634" w:type="dxa"/>
            <w:gridSpan w:val="3"/>
            <w:shd w:val="clear" w:color="auto" w:fill="D9E2F3"/>
          </w:tcPr>
          <w:p w14:paraId="7C01153B" w14:textId="77777777" w:rsidR="00945E91" w:rsidRPr="00945E91" w:rsidRDefault="00945E91" w:rsidP="00FF3EAD">
            <w:pPr>
              <w:keepNext w:val="0"/>
              <w:tabs>
                <w:tab w:val="left" w:pos="680"/>
                <w:tab w:val="left" w:pos="1133"/>
                <w:tab w:val="left" w:pos="2267"/>
              </w:tabs>
              <w:spacing w:before="0"/>
              <w:ind w:left="360" w:right="284"/>
              <w:jc w:val="left"/>
              <w:rPr>
                <w:rFonts w:eastAsia="Arial"/>
                <w:b/>
                <w:color w:val="auto"/>
              </w:rPr>
            </w:pPr>
          </w:p>
          <w:p w14:paraId="509884B3" w14:textId="1CA26DE9" w:rsidR="00945E91" w:rsidRPr="00945E91" w:rsidRDefault="00945E91" w:rsidP="00874A98">
            <w:pPr>
              <w:keepNext w:val="0"/>
              <w:numPr>
                <w:ilvl w:val="0"/>
                <w:numId w:val="139"/>
              </w:numPr>
              <w:tabs>
                <w:tab w:val="left" w:pos="680"/>
                <w:tab w:val="left" w:pos="1133"/>
                <w:tab w:val="left" w:pos="2267"/>
              </w:tabs>
              <w:spacing w:before="0"/>
              <w:ind w:right="284"/>
              <w:jc w:val="left"/>
              <w:rPr>
                <w:rFonts w:eastAsia="Arial"/>
                <w:bCs/>
                <w:color w:val="auto"/>
              </w:rPr>
            </w:pPr>
            <w:bookmarkStart w:id="261" w:name="_Hlk79146999"/>
            <w:r w:rsidRPr="00945E91">
              <w:rPr>
                <w:rFonts w:eastAsia="Arial"/>
                <w:bCs/>
                <w:color w:val="auto"/>
              </w:rPr>
              <w:t xml:space="preserve">Development proposals which would result in the loss of an allocated employment site will only be permitted where it can be demonstrated to the Council that there is no reasonable prospect of an application coming forward for the </w:t>
            </w:r>
            <w:r w:rsidRPr="00EE2AAD">
              <w:rPr>
                <w:rFonts w:eastAsia="Arial"/>
                <w:bCs/>
                <w:color w:val="auto"/>
              </w:rPr>
              <w:t xml:space="preserve">use </w:t>
            </w:r>
            <w:r w:rsidR="003733F2" w:rsidRPr="00EE2AAD">
              <w:rPr>
                <w:rFonts w:eastAsia="Arial"/>
                <w:bCs/>
                <w:color w:val="auto"/>
              </w:rPr>
              <w:t xml:space="preserve">identified in the </w:t>
            </w:r>
            <w:r w:rsidR="00EE2AAD" w:rsidRPr="00EE2AAD">
              <w:rPr>
                <w:rFonts w:eastAsia="Arial"/>
                <w:bCs/>
                <w:color w:val="auto"/>
              </w:rPr>
              <w:t xml:space="preserve">Policy EM2 </w:t>
            </w:r>
            <w:r w:rsidRPr="00945E91">
              <w:rPr>
                <w:rFonts w:eastAsia="Arial"/>
                <w:bCs/>
                <w:color w:val="auto"/>
              </w:rPr>
              <w:t>and the proposed use would contribute to meeting an unmet need for development in the area.</w:t>
            </w:r>
          </w:p>
          <w:bookmarkEnd w:id="261"/>
          <w:p w14:paraId="0627A212" w14:textId="77777777" w:rsidR="00945E91" w:rsidRPr="00945E91" w:rsidRDefault="00945E91" w:rsidP="00FF3EAD">
            <w:pPr>
              <w:keepNext w:val="0"/>
              <w:tabs>
                <w:tab w:val="left" w:pos="680"/>
                <w:tab w:val="left" w:pos="1133"/>
                <w:tab w:val="left" w:pos="2267"/>
              </w:tabs>
              <w:spacing w:before="0"/>
              <w:ind w:left="360" w:right="284"/>
              <w:jc w:val="left"/>
              <w:rPr>
                <w:rFonts w:eastAsia="Arial"/>
                <w:bCs/>
                <w:color w:val="auto"/>
              </w:rPr>
            </w:pPr>
          </w:p>
          <w:p w14:paraId="39813440" w14:textId="77777777" w:rsidR="00945E91" w:rsidRPr="00945E91" w:rsidRDefault="00945E91" w:rsidP="00874A98">
            <w:pPr>
              <w:keepNext w:val="0"/>
              <w:numPr>
                <w:ilvl w:val="0"/>
                <w:numId w:val="139"/>
              </w:numPr>
              <w:spacing w:before="0"/>
              <w:ind w:left="357" w:hanging="357"/>
              <w:contextualSpacing/>
              <w:jc w:val="left"/>
              <w:rPr>
                <w:rFonts w:eastAsia="Arial"/>
                <w:bCs/>
                <w:color w:val="auto"/>
              </w:rPr>
            </w:pPr>
            <w:r w:rsidRPr="00945E91">
              <w:rPr>
                <w:rFonts w:eastAsia="Arial"/>
                <w:bCs/>
                <w:color w:val="auto"/>
              </w:rPr>
              <w:t>Development proposals which would result in the loss of a site/building within a Key Employment Area will only be permitted where it can be demonstrated to the Council that there is no reasonable prospect of an application coming forward for office, light industrial and research and development, general industrial and storage and distribution and the proposed use would contribute to meeting an unmet need for development in the area.</w:t>
            </w:r>
          </w:p>
          <w:p w14:paraId="2CBE5F6E" w14:textId="77777777" w:rsidR="00945E91" w:rsidRPr="00945E91" w:rsidRDefault="00945E91" w:rsidP="00FF3EAD">
            <w:pPr>
              <w:keepNext w:val="0"/>
              <w:spacing w:before="0"/>
              <w:jc w:val="left"/>
              <w:rPr>
                <w:rFonts w:eastAsia="Arial"/>
                <w:bCs/>
                <w:color w:val="auto"/>
              </w:rPr>
            </w:pPr>
          </w:p>
          <w:p w14:paraId="1E5FD32F" w14:textId="77777777" w:rsidR="00945E91" w:rsidRPr="00945E91" w:rsidRDefault="00945E91" w:rsidP="00874A98">
            <w:pPr>
              <w:keepNext w:val="0"/>
              <w:numPr>
                <w:ilvl w:val="0"/>
                <w:numId w:val="139"/>
              </w:numPr>
              <w:tabs>
                <w:tab w:val="left" w:pos="680"/>
                <w:tab w:val="left" w:pos="1133"/>
                <w:tab w:val="left" w:pos="2267"/>
              </w:tabs>
              <w:spacing w:before="0"/>
              <w:ind w:left="357" w:right="284" w:hanging="357"/>
              <w:jc w:val="left"/>
              <w:rPr>
                <w:rFonts w:eastAsia="Arial"/>
                <w:bCs/>
                <w:color w:val="auto"/>
              </w:rPr>
            </w:pPr>
            <w:r w:rsidRPr="00945E91">
              <w:rPr>
                <w:rFonts w:eastAsia="Arial"/>
                <w:bCs/>
                <w:color w:val="auto"/>
              </w:rPr>
              <w:t>Development proposals which would result in the loss of other existing employment sites or employment buildings will only be permitted where the applicant can demonstrate that:</w:t>
            </w:r>
          </w:p>
          <w:p w14:paraId="5D356BD8" w14:textId="77777777" w:rsidR="00945E91" w:rsidRPr="00945E91" w:rsidRDefault="00945E91" w:rsidP="00FF3EAD">
            <w:pPr>
              <w:keepNext w:val="0"/>
              <w:tabs>
                <w:tab w:val="left" w:pos="680"/>
                <w:tab w:val="left" w:pos="1133"/>
                <w:tab w:val="left" w:pos="2267"/>
              </w:tabs>
              <w:spacing w:before="0"/>
              <w:ind w:left="360" w:right="284"/>
              <w:jc w:val="left"/>
              <w:rPr>
                <w:rFonts w:eastAsia="Arial"/>
                <w:bCs/>
                <w:color w:val="auto"/>
              </w:rPr>
            </w:pPr>
          </w:p>
          <w:p w14:paraId="65771907" w14:textId="77777777" w:rsidR="00945E91" w:rsidRPr="00945E91" w:rsidRDefault="00945E91" w:rsidP="00874A98">
            <w:pPr>
              <w:keepNext w:val="0"/>
              <w:numPr>
                <w:ilvl w:val="0"/>
                <w:numId w:val="140"/>
              </w:numPr>
              <w:tabs>
                <w:tab w:val="left" w:pos="709"/>
              </w:tabs>
              <w:spacing w:before="0"/>
              <w:contextualSpacing/>
              <w:jc w:val="left"/>
              <w:rPr>
                <w:rFonts w:eastAsia="Arial"/>
                <w:bCs/>
                <w:color w:val="auto"/>
              </w:rPr>
            </w:pPr>
            <w:r w:rsidRPr="00945E91">
              <w:rPr>
                <w:rFonts w:eastAsia="Arial"/>
                <w:bCs/>
                <w:color w:val="auto"/>
              </w:rPr>
              <w:t>Retention of the uses for employment development would cause unacceptable environmental problems; and/or</w:t>
            </w:r>
          </w:p>
          <w:p w14:paraId="25082066" w14:textId="77777777" w:rsidR="00945E91" w:rsidRPr="00945E91" w:rsidRDefault="00945E91" w:rsidP="00FF3EAD">
            <w:pPr>
              <w:keepNext w:val="0"/>
              <w:tabs>
                <w:tab w:val="left" w:pos="709"/>
              </w:tabs>
              <w:spacing w:before="0"/>
              <w:jc w:val="left"/>
              <w:rPr>
                <w:rFonts w:eastAsia="Arial"/>
                <w:bCs/>
                <w:color w:val="auto"/>
              </w:rPr>
            </w:pPr>
          </w:p>
          <w:p w14:paraId="43CFB063" w14:textId="77777777" w:rsidR="00945E91" w:rsidRPr="00945E91" w:rsidRDefault="00945E91" w:rsidP="00874A98">
            <w:pPr>
              <w:keepNext w:val="0"/>
              <w:numPr>
                <w:ilvl w:val="0"/>
                <w:numId w:val="140"/>
              </w:numPr>
              <w:tabs>
                <w:tab w:val="left" w:pos="709"/>
              </w:tabs>
              <w:spacing w:before="0" w:after="160" w:line="252" w:lineRule="auto"/>
              <w:contextualSpacing/>
              <w:jc w:val="left"/>
              <w:rPr>
                <w:rFonts w:eastAsia="Arial"/>
                <w:bCs/>
                <w:color w:val="auto"/>
              </w:rPr>
            </w:pPr>
            <w:proofErr w:type="gramStart"/>
            <w:r w:rsidRPr="00945E91">
              <w:rPr>
                <w:rFonts w:eastAsia="Arial"/>
                <w:bCs/>
                <w:color w:val="auto"/>
              </w:rPr>
              <w:t>Taking into account</w:t>
            </w:r>
            <w:proofErr w:type="gramEnd"/>
            <w:r w:rsidRPr="00945E91">
              <w:rPr>
                <w:rFonts w:eastAsia="Arial"/>
                <w:bCs/>
                <w:color w:val="auto"/>
              </w:rPr>
              <w:t xml:space="preserve"> market conditions and anticipated longer term demand requirements, the building/site is no longer physically suitable for employment uses and there is no realistic prospect of the re-use or redevelopment for such uses.  </w:t>
            </w:r>
          </w:p>
          <w:p w14:paraId="11AE9CCF" w14:textId="77777777" w:rsidR="00945E91" w:rsidRPr="00263F59" w:rsidRDefault="00945E91" w:rsidP="00FF3EAD">
            <w:pPr>
              <w:keepNext w:val="0"/>
              <w:tabs>
                <w:tab w:val="left" w:pos="680"/>
                <w:tab w:val="left" w:pos="709"/>
                <w:tab w:val="left" w:pos="1133"/>
                <w:tab w:val="left" w:pos="2267"/>
              </w:tabs>
              <w:spacing w:before="0"/>
              <w:ind w:left="360" w:right="284"/>
              <w:jc w:val="left"/>
              <w:rPr>
                <w:rFonts w:eastAsia="Arial" w:cs="Arial"/>
                <w:bCs/>
                <w:color w:val="auto"/>
                <w:szCs w:val="24"/>
              </w:rPr>
            </w:pPr>
          </w:p>
          <w:p w14:paraId="299C8FFE" w14:textId="2DD8E541" w:rsidR="00945E91" w:rsidRPr="005775C8" w:rsidRDefault="00945E91" w:rsidP="00874A98">
            <w:pPr>
              <w:keepNext w:val="0"/>
              <w:numPr>
                <w:ilvl w:val="0"/>
                <w:numId w:val="139"/>
              </w:numPr>
              <w:tabs>
                <w:tab w:val="left" w:pos="680"/>
                <w:tab w:val="left" w:pos="709"/>
                <w:tab w:val="left" w:pos="1133"/>
                <w:tab w:val="left" w:pos="2267"/>
              </w:tabs>
              <w:spacing w:before="0" w:after="160" w:line="252" w:lineRule="auto"/>
              <w:ind w:right="284"/>
              <w:jc w:val="left"/>
              <w:rPr>
                <w:rFonts w:eastAsia="Arial" w:cs="Arial"/>
                <w:bCs/>
                <w:color w:val="auto"/>
                <w:szCs w:val="24"/>
              </w:rPr>
            </w:pPr>
            <w:r w:rsidRPr="00945E91">
              <w:rPr>
                <w:rFonts w:eastAsia="Arial"/>
                <w:bCs/>
                <w:color w:val="auto"/>
              </w:rPr>
              <w:t xml:space="preserve">Within the rural areas of the </w:t>
            </w:r>
            <w:proofErr w:type="gramStart"/>
            <w:r w:rsidRPr="00945E91">
              <w:rPr>
                <w:rFonts w:eastAsia="Arial"/>
                <w:bCs/>
                <w:color w:val="auto"/>
              </w:rPr>
              <w:t>District</w:t>
            </w:r>
            <w:proofErr w:type="gramEnd"/>
            <w:r w:rsidRPr="00945E91">
              <w:rPr>
                <w:rFonts w:eastAsia="Arial"/>
                <w:bCs/>
                <w:color w:val="auto"/>
              </w:rPr>
              <w:t xml:space="preserve"> there are limited employment </w:t>
            </w:r>
            <w:proofErr w:type="gramStart"/>
            <w:r w:rsidRPr="00945E91">
              <w:rPr>
                <w:rFonts w:eastAsia="Arial"/>
                <w:bCs/>
                <w:color w:val="auto"/>
              </w:rPr>
              <w:t>sites</w:t>
            </w:r>
            <w:proofErr w:type="gramEnd"/>
            <w:r w:rsidRPr="00945E91">
              <w:rPr>
                <w:rFonts w:eastAsia="Arial"/>
                <w:bCs/>
                <w:color w:val="auto"/>
              </w:rPr>
              <w:t xml:space="preserve"> and the Council would not support these sites being used for alternative purposes.</w:t>
            </w:r>
          </w:p>
        </w:tc>
      </w:tr>
      <w:tr w:rsidR="00945E91" w:rsidRPr="00945E91" w14:paraId="34EDFC60" w14:textId="77777777" w:rsidTr="00D17B5C">
        <w:tc>
          <w:tcPr>
            <w:tcW w:w="2972" w:type="dxa"/>
            <w:gridSpan w:val="2"/>
          </w:tcPr>
          <w:p w14:paraId="79D1E0FC" w14:textId="77777777" w:rsidR="00945E91" w:rsidRPr="00945E91" w:rsidRDefault="00945E91" w:rsidP="009838D1">
            <w:pPr>
              <w:keepNext w:val="0"/>
              <w:tabs>
                <w:tab w:val="left" w:pos="680"/>
                <w:tab w:val="left" w:pos="1133"/>
                <w:tab w:val="left" w:pos="2267"/>
              </w:tabs>
              <w:spacing w:before="0"/>
              <w:ind w:right="284"/>
              <w:rPr>
                <w:rFonts w:eastAsia="Arial"/>
                <w:b/>
                <w:color w:val="538135"/>
                <w:szCs w:val="24"/>
              </w:rPr>
            </w:pPr>
            <w:bookmarkStart w:id="262" w:name="_Hlk78180429"/>
            <w:r w:rsidRPr="00945E91">
              <w:rPr>
                <w:rFonts w:eastAsia="Arial"/>
                <w:bCs/>
                <w:color w:val="auto"/>
                <w:sz w:val="20"/>
              </w:rPr>
              <w:t>Evidence base</w:t>
            </w:r>
          </w:p>
        </w:tc>
        <w:tc>
          <w:tcPr>
            <w:tcW w:w="6662" w:type="dxa"/>
          </w:tcPr>
          <w:p w14:paraId="03B1245A" w14:textId="75D70312" w:rsidR="00945E91" w:rsidRPr="00985BCC" w:rsidRDefault="00945E91"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 xml:space="preserve">Background Paper </w:t>
            </w:r>
            <w:r w:rsidR="00A05D94" w:rsidRPr="00985BCC">
              <w:rPr>
                <w:rFonts w:eastAsia="Arial"/>
                <w:bCs/>
                <w:sz w:val="20"/>
              </w:rPr>
              <w:t>No 1:</w:t>
            </w:r>
            <w:r w:rsidRPr="00985BCC">
              <w:rPr>
                <w:rFonts w:eastAsia="Arial"/>
                <w:bCs/>
                <w:sz w:val="20"/>
              </w:rPr>
              <w:t xml:space="preserve"> Spatial Strategy and </w:t>
            </w:r>
            <w:r w:rsidR="00A32846" w:rsidRPr="00985BCC">
              <w:rPr>
                <w:rFonts w:eastAsia="Arial"/>
                <w:bCs/>
                <w:sz w:val="20"/>
              </w:rPr>
              <w:t>Site Selection 2023. A</w:t>
            </w:r>
            <w:r w:rsidRPr="00985BCC">
              <w:rPr>
                <w:rFonts w:eastAsia="Arial"/>
                <w:bCs/>
                <w:sz w:val="20"/>
              </w:rPr>
              <w:t>shfield District Council</w:t>
            </w:r>
          </w:p>
          <w:p w14:paraId="3DCC4D76" w14:textId="3B10C446" w:rsidR="00945E91" w:rsidRPr="00985BCC" w:rsidRDefault="00945E91"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 xml:space="preserve">Background Paper </w:t>
            </w:r>
            <w:r w:rsidR="00A05D94" w:rsidRPr="00985BCC">
              <w:rPr>
                <w:rFonts w:eastAsia="Arial"/>
                <w:bCs/>
                <w:sz w:val="20"/>
              </w:rPr>
              <w:t>No 3:</w:t>
            </w:r>
            <w:r w:rsidRPr="00985BCC">
              <w:rPr>
                <w:rFonts w:eastAsia="Arial"/>
                <w:bCs/>
                <w:sz w:val="20"/>
              </w:rPr>
              <w:t xml:space="preserve"> </w:t>
            </w:r>
            <w:r w:rsidR="000032A9" w:rsidRPr="00985BCC">
              <w:rPr>
                <w:rFonts w:eastAsia="Arial"/>
                <w:bCs/>
                <w:sz w:val="20"/>
              </w:rPr>
              <w:t xml:space="preserve">Economy &amp; </w:t>
            </w:r>
            <w:r w:rsidRPr="00985BCC">
              <w:rPr>
                <w:rFonts w:eastAsia="Arial"/>
                <w:bCs/>
                <w:sz w:val="20"/>
              </w:rPr>
              <w:t>Employment Land 2021.  Ashfield District Council.</w:t>
            </w:r>
          </w:p>
          <w:p w14:paraId="61C48D9E" w14:textId="77777777" w:rsidR="00945E91" w:rsidRPr="00985BCC" w:rsidRDefault="00945E91"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The Nottingham Core HMA and Nottingham Outer HMA Employment Land Needs Study, 2021.  Lichfield.</w:t>
            </w:r>
          </w:p>
          <w:p w14:paraId="4C79D9DD" w14:textId="74DADCFF" w:rsidR="00945E91" w:rsidRPr="00985BCC" w:rsidRDefault="00945E91"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Strategic Housing and Employment Land Availability Assessment 2021</w:t>
            </w:r>
            <w:r w:rsidR="00AE785A">
              <w:rPr>
                <w:rFonts w:eastAsia="Arial"/>
                <w:bCs/>
                <w:sz w:val="20"/>
              </w:rPr>
              <w:t xml:space="preserve"> - 2023</w:t>
            </w:r>
            <w:r w:rsidRPr="00985BCC">
              <w:rPr>
                <w:rFonts w:eastAsia="Arial"/>
                <w:bCs/>
                <w:sz w:val="20"/>
              </w:rPr>
              <w:t>. Ashfield District Council.</w:t>
            </w:r>
          </w:p>
          <w:p w14:paraId="79A7C999" w14:textId="63F9B605" w:rsidR="00945E91" w:rsidRPr="00985BCC" w:rsidRDefault="00945E91"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Sustainability Appraisal 202</w:t>
            </w:r>
            <w:r w:rsidR="007641C1" w:rsidRPr="00985BCC">
              <w:rPr>
                <w:rFonts w:eastAsia="Arial"/>
                <w:bCs/>
                <w:sz w:val="20"/>
              </w:rPr>
              <w:t>3</w:t>
            </w:r>
            <w:r w:rsidRPr="00985BCC">
              <w:rPr>
                <w:rFonts w:eastAsia="Arial"/>
                <w:bCs/>
                <w:sz w:val="20"/>
              </w:rPr>
              <w:t xml:space="preserve">, </w:t>
            </w:r>
            <w:r w:rsidR="007641C1" w:rsidRPr="00985BCC">
              <w:rPr>
                <w:rFonts w:eastAsia="Arial"/>
                <w:bCs/>
                <w:sz w:val="20"/>
              </w:rPr>
              <w:t>WSP UK Limited</w:t>
            </w:r>
            <w:r w:rsidR="006B0C43" w:rsidRPr="00985BCC">
              <w:rPr>
                <w:rFonts w:eastAsia="Arial"/>
                <w:bCs/>
                <w:sz w:val="20"/>
              </w:rPr>
              <w:t>.</w:t>
            </w:r>
          </w:p>
        </w:tc>
      </w:tr>
      <w:tr w:rsidR="00945E91" w:rsidRPr="00945E91" w14:paraId="4D8664A0" w14:textId="77777777" w:rsidTr="00D17B5C">
        <w:tc>
          <w:tcPr>
            <w:tcW w:w="2972" w:type="dxa"/>
            <w:gridSpan w:val="2"/>
          </w:tcPr>
          <w:p w14:paraId="28F7CA37" w14:textId="77777777" w:rsidR="00945E91" w:rsidRPr="00945E91" w:rsidRDefault="00945E91" w:rsidP="009838D1">
            <w:pPr>
              <w:keepNext w:val="0"/>
              <w:tabs>
                <w:tab w:val="left" w:pos="680"/>
                <w:tab w:val="left" w:pos="1133"/>
                <w:tab w:val="left" w:pos="2267"/>
              </w:tabs>
              <w:spacing w:before="0"/>
              <w:ind w:right="284"/>
              <w:rPr>
                <w:rFonts w:eastAsia="Arial"/>
                <w:b/>
                <w:color w:val="538135"/>
                <w:sz w:val="22"/>
              </w:rPr>
            </w:pPr>
            <w:r w:rsidRPr="00945E91">
              <w:rPr>
                <w:rFonts w:eastAsia="Arial"/>
                <w:bCs/>
                <w:color w:val="auto"/>
                <w:sz w:val="20"/>
              </w:rPr>
              <w:lastRenderedPageBreak/>
              <w:t>National Planning Policy and Guidance</w:t>
            </w:r>
          </w:p>
        </w:tc>
        <w:tc>
          <w:tcPr>
            <w:tcW w:w="6662" w:type="dxa"/>
          </w:tcPr>
          <w:p w14:paraId="45156391" w14:textId="74F79069" w:rsidR="00945E91" w:rsidRPr="00985BCC" w:rsidRDefault="00945E91" w:rsidP="00A05D94">
            <w:pPr>
              <w:keepNext w:val="0"/>
              <w:numPr>
                <w:ilvl w:val="0"/>
                <w:numId w:val="25"/>
              </w:numPr>
              <w:spacing w:before="0" w:after="160" w:line="252" w:lineRule="auto"/>
              <w:contextualSpacing/>
              <w:jc w:val="left"/>
              <w:rPr>
                <w:rFonts w:cs="Arial"/>
                <w:bCs/>
                <w:sz w:val="20"/>
                <w:u w:val="single"/>
              </w:rPr>
            </w:pPr>
            <w:r w:rsidRPr="00985BCC">
              <w:rPr>
                <w:rFonts w:eastAsia="Arial"/>
                <w:bCs/>
                <w:sz w:val="20"/>
              </w:rPr>
              <w:t>NPPF 202</w:t>
            </w:r>
            <w:r w:rsidR="004173E0" w:rsidRPr="00985BCC">
              <w:rPr>
                <w:rFonts w:eastAsia="Arial"/>
                <w:bCs/>
                <w:sz w:val="20"/>
              </w:rPr>
              <w:t>3</w:t>
            </w:r>
            <w:r w:rsidRPr="00985BCC">
              <w:rPr>
                <w:rFonts w:eastAsia="Arial"/>
                <w:bCs/>
                <w:sz w:val="20"/>
              </w:rPr>
              <w:t>, Part 2: Achieving sustainable development.</w:t>
            </w:r>
          </w:p>
          <w:p w14:paraId="6099855E" w14:textId="450B5987" w:rsidR="00945E91" w:rsidRPr="00985BCC" w:rsidRDefault="00945E91" w:rsidP="00A05D94">
            <w:pPr>
              <w:keepNext w:val="0"/>
              <w:numPr>
                <w:ilvl w:val="0"/>
                <w:numId w:val="25"/>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NPPF 202</w:t>
            </w:r>
            <w:r w:rsidR="004173E0" w:rsidRPr="00985BCC">
              <w:rPr>
                <w:rFonts w:eastAsia="Arial"/>
                <w:bCs/>
                <w:sz w:val="20"/>
              </w:rPr>
              <w:t>3</w:t>
            </w:r>
            <w:r w:rsidRPr="00985BCC">
              <w:rPr>
                <w:rFonts w:eastAsia="Arial"/>
                <w:bCs/>
                <w:sz w:val="20"/>
              </w:rPr>
              <w:t xml:space="preserve">, Part 6: </w:t>
            </w:r>
            <w:r w:rsidRPr="00985BCC">
              <w:rPr>
                <w:bCs/>
                <w:sz w:val="20"/>
              </w:rPr>
              <w:t>Building a strong, competitive economy.</w:t>
            </w:r>
          </w:p>
          <w:p w14:paraId="7C9E633A" w14:textId="5E6F61C3" w:rsidR="00945E91" w:rsidRPr="00985BCC" w:rsidRDefault="00945E91" w:rsidP="00A05D94">
            <w:pPr>
              <w:keepNext w:val="0"/>
              <w:numPr>
                <w:ilvl w:val="0"/>
                <w:numId w:val="25"/>
              </w:numPr>
              <w:spacing w:before="0" w:after="160" w:line="252" w:lineRule="auto"/>
              <w:contextualSpacing/>
              <w:jc w:val="left"/>
              <w:rPr>
                <w:rFonts w:cs="Arial"/>
                <w:bCs/>
                <w:sz w:val="20"/>
                <w:u w:val="single"/>
              </w:rPr>
            </w:pPr>
            <w:r w:rsidRPr="00985BCC">
              <w:rPr>
                <w:rFonts w:eastAsia="Arial"/>
                <w:bCs/>
                <w:sz w:val="20"/>
              </w:rPr>
              <w:t>NPPF 202</w:t>
            </w:r>
            <w:r w:rsidR="004173E0" w:rsidRPr="00985BCC">
              <w:rPr>
                <w:rFonts w:eastAsia="Arial"/>
                <w:bCs/>
                <w:sz w:val="20"/>
              </w:rPr>
              <w:t>3</w:t>
            </w:r>
            <w:r w:rsidRPr="00985BCC">
              <w:rPr>
                <w:rFonts w:eastAsia="Arial"/>
                <w:bCs/>
                <w:sz w:val="20"/>
              </w:rPr>
              <w:t xml:space="preserve"> Part 11: Making effective use of land.</w:t>
            </w:r>
          </w:p>
          <w:p w14:paraId="6351A07A" w14:textId="0C5E0ACB" w:rsidR="00945E91" w:rsidRPr="00985BCC" w:rsidRDefault="00945E91" w:rsidP="00A05D94">
            <w:pPr>
              <w:keepNext w:val="0"/>
              <w:numPr>
                <w:ilvl w:val="0"/>
                <w:numId w:val="25"/>
              </w:numPr>
              <w:spacing w:before="0" w:after="160" w:line="252" w:lineRule="auto"/>
              <w:contextualSpacing/>
              <w:jc w:val="left"/>
              <w:rPr>
                <w:bCs/>
                <w:sz w:val="20"/>
              </w:rPr>
            </w:pPr>
            <w:r w:rsidRPr="00985BCC">
              <w:rPr>
                <w:bCs/>
                <w:sz w:val="20"/>
              </w:rPr>
              <w:t xml:space="preserve">Planning Practice Guidance: Housing and economic land availability assessment as </w:t>
            </w:r>
            <w:proofErr w:type="gramStart"/>
            <w:r w:rsidR="00BB1C5D" w:rsidRPr="00985BCC">
              <w:rPr>
                <w:bCs/>
                <w:sz w:val="20"/>
              </w:rPr>
              <w:t>at</w:t>
            </w:r>
            <w:proofErr w:type="gramEnd"/>
            <w:r w:rsidRPr="00985BCC">
              <w:rPr>
                <w:bCs/>
                <w:sz w:val="20"/>
              </w:rPr>
              <w:t xml:space="preserve"> </w:t>
            </w:r>
            <w:r w:rsidR="006B0C43" w:rsidRPr="00985BCC">
              <w:rPr>
                <w:bCs/>
                <w:sz w:val="20"/>
              </w:rPr>
              <w:t>July 2019</w:t>
            </w:r>
            <w:r w:rsidRPr="00985BCC">
              <w:rPr>
                <w:bCs/>
                <w:sz w:val="20"/>
              </w:rPr>
              <w:t>.</w:t>
            </w:r>
          </w:p>
        </w:tc>
      </w:tr>
      <w:bookmarkEnd w:id="262"/>
    </w:tbl>
    <w:p w14:paraId="6769E73C" w14:textId="77777777" w:rsidR="009F0B25" w:rsidRDefault="009F0B25" w:rsidP="009F0B25">
      <w:pPr>
        <w:keepNext w:val="0"/>
        <w:spacing w:before="0"/>
        <w:ind w:left="709"/>
        <w:rPr>
          <w:rFonts w:cs="Arial"/>
          <w:color w:val="auto"/>
          <w:szCs w:val="24"/>
          <w:lang w:eastAsia="en-US"/>
        </w:rPr>
      </w:pPr>
    </w:p>
    <w:p w14:paraId="517701D9" w14:textId="422D8591" w:rsidR="00A81706" w:rsidRPr="00A81706" w:rsidRDefault="00A81706" w:rsidP="00D01157">
      <w:pPr>
        <w:keepNext w:val="0"/>
        <w:numPr>
          <w:ilvl w:val="1"/>
          <w:numId w:val="28"/>
        </w:numPr>
        <w:tabs>
          <w:tab w:val="clear" w:pos="525"/>
        </w:tabs>
        <w:spacing w:before="0"/>
        <w:ind w:left="709" w:hanging="709"/>
        <w:rPr>
          <w:rFonts w:cs="Arial"/>
          <w:color w:val="auto"/>
          <w:szCs w:val="24"/>
          <w:lang w:eastAsia="en-US"/>
        </w:rPr>
      </w:pPr>
      <w:r>
        <w:rPr>
          <w:rFonts w:cs="Arial"/>
          <w:color w:val="auto"/>
          <w:szCs w:val="24"/>
          <w:lang w:eastAsia="en-US"/>
        </w:rPr>
        <w:t>A</w:t>
      </w:r>
      <w:r w:rsidR="00945E91" w:rsidRPr="00945E91">
        <w:rPr>
          <w:rFonts w:eastAsia="Arial" w:cs="Arial"/>
          <w:color w:val="auto"/>
        </w:rPr>
        <w:t xml:space="preserve">shfield's existing employment areas, primarily the main industrial estates, will continue to play a crucial role in the economy of the area. These employment areas not only provide space for current employers and business but also opportunities for new investment and rejuvenation, through intensification or re-use. </w:t>
      </w:r>
    </w:p>
    <w:p w14:paraId="4B2C5FD7" w14:textId="77777777" w:rsidR="00A81706" w:rsidRPr="00A81706" w:rsidRDefault="00A81706" w:rsidP="00A81706">
      <w:pPr>
        <w:keepNext w:val="0"/>
        <w:spacing w:before="0"/>
        <w:ind w:left="709"/>
        <w:rPr>
          <w:rFonts w:cs="Arial"/>
          <w:color w:val="auto"/>
          <w:szCs w:val="24"/>
          <w:lang w:eastAsia="en-US"/>
        </w:rPr>
      </w:pPr>
    </w:p>
    <w:p w14:paraId="48FF9437" w14:textId="0ED0C113" w:rsidR="00A81706" w:rsidRPr="00A81706" w:rsidRDefault="00945E91"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 xml:space="preserve">The purpose of the </w:t>
      </w:r>
      <w:r w:rsidR="007D7A4C">
        <w:rPr>
          <w:rFonts w:eastAsia="Arial" w:cs="Arial"/>
          <w:color w:val="auto"/>
        </w:rPr>
        <w:t>P</w:t>
      </w:r>
      <w:r w:rsidRPr="00A81706">
        <w:rPr>
          <w:rFonts w:eastAsia="Arial" w:cs="Arial"/>
          <w:color w:val="auto"/>
        </w:rPr>
        <w:t xml:space="preserve">olicy is to ensure that the existing employment areas are provided with some element of protection. This reflects the need to ensure a range and choice of employment land and premises are available across the </w:t>
      </w:r>
      <w:proofErr w:type="gramStart"/>
      <w:r w:rsidRPr="00A81706">
        <w:rPr>
          <w:rFonts w:eastAsia="Arial" w:cs="Arial"/>
          <w:color w:val="auto"/>
        </w:rPr>
        <w:t>District</w:t>
      </w:r>
      <w:proofErr w:type="gramEnd"/>
      <w:r w:rsidRPr="00A81706">
        <w:rPr>
          <w:rFonts w:eastAsia="Arial" w:cs="Arial"/>
          <w:color w:val="auto"/>
        </w:rPr>
        <w:t xml:space="preserve"> to assist economic competitiveness, encourage entrepreneurship, promote the growth of indigenous businesses of all types and size and attract inward investment.</w:t>
      </w:r>
    </w:p>
    <w:p w14:paraId="7ACD015D" w14:textId="77777777" w:rsidR="00A81706" w:rsidRDefault="00A81706" w:rsidP="00A81706">
      <w:pPr>
        <w:keepNext w:val="0"/>
        <w:spacing w:before="0"/>
        <w:rPr>
          <w:rFonts w:cs="Arial"/>
          <w:color w:val="auto"/>
          <w:szCs w:val="24"/>
          <w:lang w:eastAsia="en-US"/>
        </w:rPr>
      </w:pPr>
    </w:p>
    <w:p w14:paraId="221D0A83" w14:textId="21A3F336" w:rsidR="00A81706" w:rsidRPr="00A81706" w:rsidRDefault="00945E91"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A critical factor in maintaining a supply of employment land will be the ability to protect some protection for land and premises for employment from being lost to alternative uses.</w:t>
      </w:r>
    </w:p>
    <w:p w14:paraId="29B628CC" w14:textId="77777777" w:rsidR="00A81706" w:rsidRDefault="00A81706" w:rsidP="00A81706">
      <w:pPr>
        <w:keepNext w:val="0"/>
        <w:spacing w:before="0"/>
        <w:rPr>
          <w:rFonts w:cs="Arial"/>
          <w:color w:val="auto"/>
          <w:szCs w:val="24"/>
          <w:lang w:eastAsia="en-US"/>
        </w:rPr>
      </w:pPr>
    </w:p>
    <w:p w14:paraId="453867A0" w14:textId="005D83DA" w:rsidR="00A81706" w:rsidRPr="00A81706" w:rsidRDefault="00945E91"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There has been growing pressure over recent years for the development/</w:t>
      </w:r>
      <w:r w:rsidR="00BB1C5D">
        <w:rPr>
          <w:rFonts w:eastAsia="Arial" w:cs="Arial"/>
          <w:color w:val="auto"/>
        </w:rPr>
        <w:t xml:space="preserve"> </w:t>
      </w:r>
      <w:r w:rsidRPr="00A81706">
        <w:rPr>
          <w:rFonts w:eastAsia="Arial" w:cs="Arial"/>
          <w:color w:val="auto"/>
        </w:rPr>
        <w:t xml:space="preserve">redevelopment of employment land and premises for other uses (predominantly residential). Such development proposals can result in significant losses to the </w:t>
      </w:r>
      <w:proofErr w:type="gramStart"/>
      <w:r w:rsidRPr="00A81706">
        <w:rPr>
          <w:rFonts w:eastAsia="Arial" w:cs="Arial"/>
          <w:color w:val="auto"/>
        </w:rPr>
        <w:t>District’s</w:t>
      </w:r>
      <w:proofErr w:type="gramEnd"/>
      <w:r w:rsidRPr="00A81706">
        <w:rPr>
          <w:rFonts w:eastAsia="Arial" w:cs="Arial"/>
          <w:color w:val="auto"/>
        </w:rPr>
        <w:t xml:space="preserve"> stock of employment land and premises.</w:t>
      </w:r>
    </w:p>
    <w:p w14:paraId="0851BF5C" w14:textId="77777777" w:rsidR="00A81706" w:rsidRDefault="00A81706" w:rsidP="00A81706">
      <w:pPr>
        <w:keepNext w:val="0"/>
        <w:spacing w:before="0"/>
        <w:rPr>
          <w:rFonts w:cs="Arial"/>
          <w:color w:val="auto"/>
          <w:szCs w:val="24"/>
          <w:lang w:eastAsia="en-US"/>
        </w:rPr>
      </w:pPr>
    </w:p>
    <w:p w14:paraId="3D062436" w14:textId="1C792A5E" w:rsidR="00A81706" w:rsidRDefault="00945E91"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 xml:space="preserve">The NPPF emphasises the need to consider the changing economic environment and provide flexibility in relation to employment opportunities. Consequently, in exceptional circumstances, the </w:t>
      </w:r>
      <w:r w:rsidR="007D7A4C">
        <w:rPr>
          <w:rFonts w:eastAsia="Arial" w:cs="Arial"/>
          <w:color w:val="auto"/>
        </w:rPr>
        <w:t>P</w:t>
      </w:r>
      <w:r w:rsidRPr="00A81706">
        <w:rPr>
          <w:rFonts w:eastAsia="Arial" w:cs="Arial"/>
          <w:color w:val="auto"/>
        </w:rPr>
        <w:t>olicy enable development, which provide an unmet need in that area to be considered on allocated employment sites or Key Employment Areas. In these cases, it will be necessary for:</w:t>
      </w:r>
    </w:p>
    <w:p w14:paraId="2FA7FEDD" w14:textId="5AE9368E" w:rsidR="00A81706" w:rsidRDefault="00A81706" w:rsidP="00EE2AAD">
      <w:pPr>
        <w:pStyle w:val="ListParagraph"/>
        <w:spacing w:after="0" w:line="240" w:lineRule="auto"/>
        <w:rPr>
          <w:rFonts w:eastAsia="Arial" w:cs="Arial"/>
          <w:color w:val="auto"/>
        </w:rPr>
      </w:pPr>
    </w:p>
    <w:p w14:paraId="6749EE8D" w14:textId="1273882B" w:rsidR="00A81706" w:rsidRPr="009838D1" w:rsidRDefault="00A81706" w:rsidP="00874A98">
      <w:pPr>
        <w:keepNext w:val="0"/>
        <w:numPr>
          <w:ilvl w:val="0"/>
          <w:numId w:val="141"/>
        </w:numPr>
        <w:autoSpaceDE w:val="0"/>
        <w:autoSpaceDN w:val="0"/>
        <w:adjustRightInd w:val="0"/>
        <w:spacing w:before="0"/>
        <w:ind w:left="1066" w:hanging="357"/>
        <w:contextualSpacing/>
        <w:rPr>
          <w:rFonts w:eastAsia="Arial" w:cs="Arial"/>
          <w:color w:val="auto"/>
          <w:spacing w:val="-1"/>
        </w:rPr>
      </w:pPr>
      <w:r w:rsidRPr="00945E91">
        <w:rPr>
          <w:rFonts w:eastAsia="Arial" w:cs="Arial"/>
          <w:color w:val="auto"/>
        </w:rPr>
        <w:t xml:space="preserve">the applicant to demonstrate to the Council that there are substantial economic and employment benefits from allowing such a use on the site through an </w:t>
      </w:r>
      <w:r w:rsidRPr="009838D1">
        <w:rPr>
          <w:rFonts w:eastAsia="Arial" w:cs="Arial"/>
          <w:color w:val="auto"/>
        </w:rPr>
        <w:t>economic assessment of the implications of the development proposal, and</w:t>
      </w:r>
    </w:p>
    <w:p w14:paraId="753B8C32" w14:textId="77777777" w:rsidR="00A81706" w:rsidRPr="009838D1" w:rsidRDefault="00A81706" w:rsidP="007D7A4C">
      <w:pPr>
        <w:keepNext w:val="0"/>
        <w:autoSpaceDE w:val="0"/>
        <w:autoSpaceDN w:val="0"/>
        <w:adjustRightInd w:val="0"/>
        <w:spacing w:before="0"/>
        <w:ind w:left="1066"/>
        <w:contextualSpacing/>
        <w:rPr>
          <w:rFonts w:eastAsia="Arial" w:cs="Arial"/>
          <w:color w:val="auto"/>
          <w:spacing w:val="-1"/>
        </w:rPr>
      </w:pPr>
    </w:p>
    <w:p w14:paraId="1A519315" w14:textId="48F31AD2" w:rsidR="00A81706" w:rsidRPr="009838D1" w:rsidRDefault="00BB1C5D" w:rsidP="00874A98">
      <w:pPr>
        <w:keepNext w:val="0"/>
        <w:numPr>
          <w:ilvl w:val="0"/>
          <w:numId w:val="141"/>
        </w:numPr>
        <w:autoSpaceDE w:val="0"/>
        <w:autoSpaceDN w:val="0"/>
        <w:adjustRightInd w:val="0"/>
        <w:spacing w:before="0"/>
        <w:ind w:left="1066" w:hanging="357"/>
        <w:contextualSpacing/>
        <w:rPr>
          <w:rFonts w:eastAsia="Arial" w:cs="Arial"/>
          <w:color w:val="auto"/>
          <w:spacing w:val="-1"/>
        </w:rPr>
      </w:pPr>
      <w:r>
        <w:rPr>
          <w:rFonts w:eastAsia="Arial" w:cs="Arial"/>
          <w:color w:val="auto"/>
        </w:rPr>
        <w:t>t</w:t>
      </w:r>
      <w:r w:rsidR="00A81706" w:rsidRPr="009838D1">
        <w:rPr>
          <w:rFonts w:eastAsia="Arial" w:cs="Arial"/>
          <w:color w:val="auto"/>
        </w:rPr>
        <w:t>hat there is substantial evidence that there is a lack of demand for</w:t>
      </w:r>
      <w:r w:rsidR="00A81706" w:rsidRPr="009838D1">
        <w:rPr>
          <w:rFonts w:eastAsia="Calibri"/>
          <w:color w:val="auto"/>
          <w:szCs w:val="22"/>
          <w:lang w:eastAsia="en-US"/>
        </w:rPr>
        <w:t xml:space="preserve"> </w:t>
      </w:r>
      <w:r w:rsidR="00A81706" w:rsidRPr="009838D1">
        <w:rPr>
          <w:rFonts w:eastAsia="Arial" w:cs="Arial"/>
          <w:color w:val="auto"/>
        </w:rPr>
        <w:t>office, light industrial and research and development, general industrial and storage and distribution u</w:t>
      </w:r>
      <w:r w:rsidR="00A81706" w:rsidRPr="009838D1">
        <w:rPr>
          <w:rFonts w:eastAsia="Arial" w:cs="Arial"/>
          <w:color w:val="auto"/>
          <w:spacing w:val="-1"/>
        </w:rPr>
        <w:t>ses</w:t>
      </w:r>
      <w:r>
        <w:rPr>
          <w:rFonts w:eastAsia="Arial" w:cs="Arial"/>
          <w:color w:val="auto"/>
          <w:spacing w:val="-1"/>
        </w:rPr>
        <w:t xml:space="preserve"> </w:t>
      </w:r>
      <w:r w:rsidRPr="00985BCC">
        <w:rPr>
          <w:rFonts w:eastAsia="Arial" w:cs="Arial"/>
          <w:spacing w:val="-1"/>
        </w:rPr>
        <w:t>on the site</w:t>
      </w:r>
      <w:r w:rsidR="007D7A4C" w:rsidRPr="00985BCC">
        <w:rPr>
          <w:rFonts w:eastAsia="Arial" w:cs="Arial"/>
          <w:spacing w:val="-1"/>
        </w:rPr>
        <w:t xml:space="preserve">. </w:t>
      </w:r>
      <w:r w:rsidR="00A81706" w:rsidRPr="009838D1">
        <w:rPr>
          <w:rFonts w:eastAsia="Arial" w:cs="Arial"/>
          <w:color w:val="auto"/>
          <w:spacing w:val="-1"/>
        </w:rPr>
        <w:t>(See Policy SD</w:t>
      </w:r>
      <w:r w:rsidR="009838D1" w:rsidRPr="009838D1">
        <w:rPr>
          <w:rFonts w:eastAsia="Arial" w:cs="Arial"/>
          <w:color w:val="auto"/>
          <w:spacing w:val="-1"/>
        </w:rPr>
        <w:t>6</w:t>
      </w:r>
      <w:r w:rsidR="007D7A4C">
        <w:rPr>
          <w:rFonts w:eastAsia="Arial" w:cs="Arial"/>
          <w:color w:val="auto"/>
          <w:spacing w:val="-1"/>
        </w:rPr>
        <w:t xml:space="preserve"> Assessing Development Viability and Development Demand</w:t>
      </w:r>
      <w:r w:rsidR="00A81706" w:rsidRPr="009838D1">
        <w:rPr>
          <w:rFonts w:eastAsia="Arial" w:cs="Arial"/>
          <w:color w:val="auto"/>
          <w:spacing w:val="-1"/>
        </w:rPr>
        <w:t>)</w:t>
      </w:r>
      <w:r w:rsidR="007D7A4C">
        <w:rPr>
          <w:rFonts w:eastAsia="Arial" w:cs="Arial"/>
          <w:color w:val="auto"/>
          <w:spacing w:val="-1"/>
        </w:rPr>
        <w:t>.</w:t>
      </w:r>
    </w:p>
    <w:p w14:paraId="4848D66F" w14:textId="77777777" w:rsidR="00A81706" w:rsidRPr="00945E91" w:rsidRDefault="00A81706" w:rsidP="007D7A4C">
      <w:pPr>
        <w:keepNext w:val="0"/>
        <w:autoSpaceDE w:val="0"/>
        <w:autoSpaceDN w:val="0"/>
        <w:adjustRightInd w:val="0"/>
        <w:spacing w:before="0"/>
        <w:contextualSpacing/>
        <w:rPr>
          <w:rFonts w:eastAsia="Arial" w:cs="Arial"/>
          <w:color w:val="auto"/>
          <w:spacing w:val="-1"/>
          <w:highlight w:val="yellow"/>
        </w:rPr>
      </w:pPr>
    </w:p>
    <w:p w14:paraId="75C692DC" w14:textId="68460B9D" w:rsidR="00945E91" w:rsidRPr="00A81706" w:rsidRDefault="00945E91"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 xml:space="preserve">For other employment sites and buildings, where economic circumstances change, the </w:t>
      </w:r>
      <w:r w:rsidR="007D7A4C">
        <w:rPr>
          <w:rFonts w:eastAsia="Arial" w:cs="Arial"/>
          <w:color w:val="auto"/>
        </w:rPr>
        <w:t>P</w:t>
      </w:r>
      <w:r w:rsidRPr="00A81706">
        <w:rPr>
          <w:rFonts w:eastAsia="Arial" w:cs="Arial"/>
          <w:color w:val="auto"/>
        </w:rPr>
        <w:t xml:space="preserve">olicy allows for changes to other uses in specific circumstances, which are </w:t>
      </w:r>
      <w:r w:rsidRPr="009838D1">
        <w:rPr>
          <w:rFonts w:eastAsia="Arial" w:cs="Arial"/>
          <w:color w:val="auto"/>
        </w:rPr>
        <w:t xml:space="preserve">usually reflected in a lack of demand for the site in question. In these circumstances, the Council will require the development to meet the provisions set out under </w:t>
      </w:r>
      <w:r w:rsidRPr="009838D1">
        <w:rPr>
          <w:rFonts w:eastAsia="Arial" w:cs="Arial"/>
          <w:color w:val="auto"/>
          <w:spacing w:val="-1"/>
        </w:rPr>
        <w:t>Policy SD</w:t>
      </w:r>
      <w:r w:rsidR="009838D1" w:rsidRPr="009838D1">
        <w:rPr>
          <w:rFonts w:eastAsia="Arial" w:cs="Arial"/>
          <w:color w:val="auto"/>
          <w:spacing w:val="-1"/>
        </w:rPr>
        <w:t>6</w:t>
      </w:r>
      <w:r w:rsidRPr="009838D1">
        <w:rPr>
          <w:rFonts w:eastAsia="Arial" w:cs="Arial"/>
          <w:color w:val="auto"/>
          <w:spacing w:val="-1"/>
        </w:rPr>
        <w:t>.</w:t>
      </w:r>
    </w:p>
    <w:p w14:paraId="4EBA9DB4" w14:textId="203F3C6B" w:rsidR="00A81706" w:rsidRPr="00C55F46" w:rsidRDefault="006977E7" w:rsidP="00C55F46">
      <w:pPr>
        <w:pStyle w:val="Heading2"/>
        <w:jc w:val="left"/>
        <w:rPr>
          <w:rFonts w:eastAsia="Arial"/>
          <w:sz w:val="28"/>
          <w:szCs w:val="28"/>
        </w:rPr>
      </w:pPr>
      <w:bookmarkStart w:id="263" w:name="_Toc145511601"/>
      <w:r w:rsidRPr="00C55F46">
        <w:rPr>
          <w:rFonts w:eastAsia="Arial"/>
          <w:sz w:val="28"/>
          <w:szCs w:val="28"/>
        </w:rPr>
        <w:t xml:space="preserve">Policy </w:t>
      </w:r>
      <w:r w:rsidR="00D20668" w:rsidRPr="00C55F46">
        <w:rPr>
          <w:rFonts w:eastAsia="Arial"/>
          <w:sz w:val="28"/>
          <w:szCs w:val="28"/>
        </w:rPr>
        <w:t>EM4: Rural Development</w:t>
      </w:r>
      <w:bookmarkEnd w:id="263"/>
      <w:r w:rsidR="00D20668" w:rsidRPr="00C55F46">
        <w:rPr>
          <w:rFonts w:eastAsia="Arial"/>
          <w:sz w:val="28"/>
          <w:szCs w:val="28"/>
        </w:rPr>
        <w:t xml:space="preserve"> </w:t>
      </w:r>
    </w:p>
    <w:p w14:paraId="086D6F29" w14:textId="77777777" w:rsidR="00D20668" w:rsidRPr="00A81706" w:rsidRDefault="00D20668" w:rsidP="00A81706">
      <w:pPr>
        <w:keepNext w:val="0"/>
        <w:spacing w:before="0"/>
        <w:rPr>
          <w:rFonts w:eastAsia="Arial" w:cs="Arial"/>
          <w:color w:val="538135"/>
        </w:rPr>
      </w:pPr>
    </w:p>
    <w:tbl>
      <w:tblPr>
        <w:tblStyle w:val="TableGrid3"/>
        <w:tblW w:w="9634" w:type="dxa"/>
        <w:tblLook w:val="04A0" w:firstRow="1" w:lastRow="0" w:firstColumn="1" w:lastColumn="0" w:noHBand="0" w:noVBand="1"/>
      </w:tblPr>
      <w:tblGrid>
        <w:gridCol w:w="2405"/>
        <w:gridCol w:w="255"/>
        <w:gridCol w:w="6974"/>
      </w:tblGrid>
      <w:tr w:rsidR="00A81706" w:rsidRPr="00A81706" w14:paraId="1EC00D68" w14:textId="77777777" w:rsidTr="00D17B5C">
        <w:trPr>
          <w:trHeight w:val="421"/>
        </w:trPr>
        <w:tc>
          <w:tcPr>
            <w:tcW w:w="9634" w:type="dxa"/>
            <w:gridSpan w:val="3"/>
          </w:tcPr>
          <w:p w14:paraId="05A8B0DC" w14:textId="77777777" w:rsidR="009838D1" w:rsidRDefault="009838D1" w:rsidP="00FF3EAD">
            <w:pPr>
              <w:keepNext w:val="0"/>
              <w:tabs>
                <w:tab w:val="left" w:pos="680"/>
              </w:tabs>
              <w:spacing w:before="0"/>
              <w:jc w:val="left"/>
              <w:rPr>
                <w:rFonts w:eastAsia="Arial"/>
                <w:b/>
                <w:color w:val="auto"/>
                <w:spacing w:val="-1"/>
              </w:rPr>
            </w:pPr>
          </w:p>
          <w:p w14:paraId="4B6F002C" w14:textId="68A10E26" w:rsidR="00A81706" w:rsidRDefault="00A81706" w:rsidP="00FF3EAD">
            <w:pPr>
              <w:keepNext w:val="0"/>
              <w:tabs>
                <w:tab w:val="left" w:pos="680"/>
              </w:tabs>
              <w:spacing w:before="0"/>
              <w:jc w:val="left"/>
              <w:rPr>
                <w:rFonts w:eastAsia="Arial"/>
                <w:b/>
                <w:color w:val="auto"/>
                <w:spacing w:val="-1"/>
              </w:rPr>
            </w:pPr>
            <w:bookmarkStart w:id="264" w:name="_Hlk79258027"/>
            <w:r w:rsidRPr="00A81706">
              <w:rPr>
                <w:rFonts w:eastAsia="Arial"/>
                <w:b/>
                <w:color w:val="auto"/>
                <w:spacing w:val="-1"/>
              </w:rPr>
              <w:t>Policy EM4:</w:t>
            </w:r>
            <w:r w:rsidRPr="00A81706">
              <w:rPr>
                <w:rFonts w:eastAsia="Arial"/>
                <w:b/>
                <w:color w:val="538135"/>
                <w:spacing w:val="-1"/>
              </w:rPr>
              <w:t xml:space="preserve"> </w:t>
            </w:r>
            <w:r w:rsidRPr="00A81706">
              <w:rPr>
                <w:rFonts w:eastAsia="Arial"/>
                <w:b/>
                <w:color w:val="auto"/>
                <w:spacing w:val="-1"/>
              </w:rPr>
              <w:t>Rural Development</w:t>
            </w:r>
          </w:p>
          <w:bookmarkEnd w:id="264"/>
          <w:p w14:paraId="6840F33B" w14:textId="0EC8E111" w:rsidR="009838D1" w:rsidRPr="00A81706" w:rsidRDefault="009838D1" w:rsidP="00FF3EAD">
            <w:pPr>
              <w:keepNext w:val="0"/>
              <w:tabs>
                <w:tab w:val="left" w:pos="680"/>
              </w:tabs>
              <w:spacing w:before="0"/>
              <w:jc w:val="left"/>
              <w:rPr>
                <w:rFonts w:eastAsia="Arial"/>
                <w:b/>
                <w:color w:val="538135"/>
                <w:spacing w:val="-1"/>
              </w:rPr>
            </w:pPr>
          </w:p>
        </w:tc>
      </w:tr>
      <w:tr w:rsidR="00A81706" w:rsidRPr="00A81706" w14:paraId="75A61E25" w14:textId="77777777" w:rsidTr="00D17B5C">
        <w:tc>
          <w:tcPr>
            <w:tcW w:w="2660" w:type="dxa"/>
            <w:gridSpan w:val="2"/>
          </w:tcPr>
          <w:p w14:paraId="48CF02A2" w14:textId="77777777" w:rsidR="00A81706" w:rsidRPr="009838D1" w:rsidRDefault="00A81706" w:rsidP="00FF3EAD">
            <w:pPr>
              <w:keepNext w:val="0"/>
              <w:tabs>
                <w:tab w:val="left" w:pos="680"/>
              </w:tabs>
              <w:spacing w:before="0"/>
              <w:jc w:val="left"/>
              <w:rPr>
                <w:rFonts w:eastAsia="Arial"/>
                <w:bCs/>
                <w:color w:val="auto"/>
              </w:rPr>
            </w:pPr>
            <w:r w:rsidRPr="009838D1">
              <w:rPr>
                <w:rFonts w:eastAsia="Arial"/>
                <w:bCs/>
                <w:color w:val="auto"/>
              </w:rPr>
              <w:t>Strategic Objectives</w:t>
            </w:r>
          </w:p>
        </w:tc>
        <w:tc>
          <w:tcPr>
            <w:tcW w:w="6974" w:type="dxa"/>
          </w:tcPr>
          <w:p w14:paraId="48A4CF00" w14:textId="77777777" w:rsidR="00A81706" w:rsidRPr="009838D1" w:rsidRDefault="00A81706" w:rsidP="00FF3EAD">
            <w:pPr>
              <w:keepNext w:val="0"/>
              <w:tabs>
                <w:tab w:val="left" w:pos="680"/>
              </w:tabs>
              <w:spacing w:before="40" w:after="40"/>
              <w:jc w:val="left"/>
              <w:rPr>
                <w:rFonts w:eastAsia="Arial"/>
                <w:bCs/>
                <w:color w:val="auto"/>
              </w:rPr>
            </w:pPr>
            <w:r w:rsidRPr="009838D1">
              <w:rPr>
                <w:rFonts w:eastAsia="Arial"/>
                <w:bCs/>
                <w:color w:val="auto"/>
              </w:rPr>
              <w:t>SO1, SO2, SO4, SO5, SO6, SO12, SO14.</w:t>
            </w:r>
          </w:p>
        </w:tc>
      </w:tr>
      <w:tr w:rsidR="00A81706" w:rsidRPr="00A81706" w14:paraId="30EB54F1" w14:textId="77777777" w:rsidTr="00D17B5C">
        <w:tc>
          <w:tcPr>
            <w:tcW w:w="9634" w:type="dxa"/>
            <w:gridSpan w:val="3"/>
            <w:shd w:val="clear" w:color="auto" w:fill="D9E2F3"/>
          </w:tcPr>
          <w:p w14:paraId="00DF67E8" w14:textId="77777777" w:rsidR="00A81706" w:rsidRPr="00A81706" w:rsidRDefault="00A81706" w:rsidP="00FF3EAD">
            <w:pPr>
              <w:keepNext w:val="0"/>
              <w:tabs>
                <w:tab w:val="left" w:pos="680"/>
              </w:tabs>
              <w:spacing w:before="0"/>
              <w:jc w:val="left"/>
              <w:rPr>
                <w:rFonts w:eastAsia="Arial"/>
                <w:b/>
                <w:color w:val="auto"/>
              </w:rPr>
            </w:pPr>
          </w:p>
          <w:p w14:paraId="15A1E981" w14:textId="4F20950C" w:rsidR="00A81706" w:rsidRDefault="00A81706" w:rsidP="00874A98">
            <w:pPr>
              <w:keepNext w:val="0"/>
              <w:numPr>
                <w:ilvl w:val="0"/>
                <w:numId w:val="142"/>
              </w:numPr>
              <w:autoSpaceDE w:val="0"/>
              <w:autoSpaceDN w:val="0"/>
              <w:adjustRightInd w:val="0"/>
              <w:spacing w:before="0"/>
              <w:ind w:left="457" w:right="284" w:hanging="283"/>
              <w:jc w:val="left"/>
              <w:rPr>
                <w:rFonts w:cs="Arial"/>
                <w:bCs/>
                <w:color w:val="auto"/>
                <w:szCs w:val="24"/>
              </w:rPr>
            </w:pPr>
            <w:r w:rsidRPr="00A81706">
              <w:rPr>
                <w:rFonts w:eastAsia="Arial"/>
                <w:bCs/>
                <w:color w:val="auto"/>
              </w:rPr>
              <w:t>The Council will support rural development for employment or appropriate recreational uses within Named Settlements and, where appropriate, within the countryside, p</w:t>
            </w:r>
            <w:r w:rsidRPr="00A81706">
              <w:rPr>
                <w:rFonts w:cs="Arial"/>
                <w:bCs/>
                <w:color w:val="auto"/>
                <w:szCs w:val="24"/>
              </w:rPr>
              <w:t>rovided that:</w:t>
            </w:r>
          </w:p>
          <w:p w14:paraId="3002D01E" w14:textId="77777777" w:rsidR="009838D1" w:rsidRPr="00A81706" w:rsidRDefault="009838D1" w:rsidP="00FF3EAD">
            <w:pPr>
              <w:keepNext w:val="0"/>
              <w:autoSpaceDE w:val="0"/>
              <w:autoSpaceDN w:val="0"/>
              <w:adjustRightInd w:val="0"/>
              <w:spacing w:before="0"/>
              <w:ind w:left="457" w:right="284"/>
              <w:jc w:val="left"/>
              <w:rPr>
                <w:rFonts w:cs="Arial"/>
                <w:bCs/>
                <w:color w:val="auto"/>
                <w:szCs w:val="24"/>
              </w:rPr>
            </w:pPr>
          </w:p>
          <w:p w14:paraId="13D816DC" w14:textId="71699F2B" w:rsidR="00A81706" w:rsidRPr="00985BCC" w:rsidRDefault="00A81706" w:rsidP="00874A98">
            <w:pPr>
              <w:keepNext w:val="0"/>
              <w:numPr>
                <w:ilvl w:val="0"/>
                <w:numId w:val="145"/>
              </w:numPr>
              <w:spacing w:before="0"/>
              <w:contextualSpacing/>
              <w:jc w:val="left"/>
              <w:rPr>
                <w:rFonts w:eastAsia="Arial" w:cs="Arial"/>
                <w:bCs/>
              </w:rPr>
            </w:pPr>
            <w:r w:rsidRPr="00A81706">
              <w:rPr>
                <w:rFonts w:cs="Arial"/>
                <w:bCs/>
                <w:color w:val="auto"/>
                <w:szCs w:val="24"/>
              </w:rPr>
              <w:t>It can be d</w:t>
            </w:r>
            <w:r w:rsidRPr="00A81706">
              <w:rPr>
                <w:rFonts w:eastAsia="Arial" w:cs="Arial"/>
                <w:bCs/>
                <w:color w:val="auto"/>
              </w:rPr>
              <w:t xml:space="preserve">emonstrated that the scale, and character of development is designed </w:t>
            </w:r>
            <w:r w:rsidRPr="00985BCC">
              <w:rPr>
                <w:rFonts w:eastAsia="Arial" w:cs="Arial"/>
                <w:bCs/>
              </w:rPr>
              <w:t xml:space="preserve">and operated </w:t>
            </w:r>
            <w:proofErr w:type="gramStart"/>
            <w:r w:rsidRPr="00985BCC">
              <w:rPr>
                <w:rFonts w:eastAsia="Arial" w:cs="Arial"/>
                <w:bCs/>
              </w:rPr>
              <w:t>so as to</w:t>
            </w:r>
            <w:proofErr w:type="gramEnd"/>
            <w:r w:rsidRPr="00985BCC">
              <w:rPr>
                <w:rFonts w:eastAsia="Arial" w:cs="Arial"/>
                <w:bCs/>
              </w:rPr>
              <w:t xml:space="preserve"> cause no detriment to the character and appearance of the </w:t>
            </w:r>
            <w:r w:rsidR="00F219BF" w:rsidRPr="00985BCC">
              <w:rPr>
                <w:rFonts w:eastAsia="Arial" w:cs="Arial"/>
                <w:bCs/>
              </w:rPr>
              <w:t xml:space="preserve">Named Settlement or </w:t>
            </w:r>
            <w:r w:rsidR="00B5541A" w:rsidRPr="00985BCC">
              <w:rPr>
                <w:rFonts w:eastAsia="Arial" w:cs="Arial"/>
                <w:bCs/>
              </w:rPr>
              <w:t xml:space="preserve">the </w:t>
            </w:r>
            <w:r w:rsidRPr="00985BCC">
              <w:rPr>
                <w:rFonts w:eastAsia="Arial" w:cs="Arial"/>
                <w:bCs/>
              </w:rPr>
              <w:t>countryside;</w:t>
            </w:r>
          </w:p>
          <w:p w14:paraId="63F1A7E6" w14:textId="77777777" w:rsidR="00A81706" w:rsidRPr="00985BCC" w:rsidRDefault="00A81706" w:rsidP="00874A98">
            <w:pPr>
              <w:keepNext w:val="0"/>
              <w:numPr>
                <w:ilvl w:val="0"/>
                <w:numId w:val="145"/>
              </w:numPr>
              <w:spacing w:before="0" w:after="160" w:line="252" w:lineRule="auto"/>
              <w:contextualSpacing/>
              <w:jc w:val="left"/>
              <w:rPr>
                <w:rFonts w:eastAsia="Arial" w:cs="Arial"/>
                <w:bCs/>
              </w:rPr>
            </w:pPr>
            <w:r w:rsidRPr="00985BCC">
              <w:rPr>
                <w:rFonts w:cs="Arial"/>
                <w:bCs/>
                <w:szCs w:val="24"/>
              </w:rPr>
              <w:t>It is</w:t>
            </w:r>
            <w:r w:rsidRPr="00985BCC">
              <w:rPr>
                <w:rFonts w:eastAsia="Arial" w:cs="Arial"/>
                <w:bCs/>
              </w:rPr>
              <w:t xml:space="preserve"> of a scale appropriate to the nature of the site and its setting;</w:t>
            </w:r>
          </w:p>
          <w:p w14:paraId="48C30250" w14:textId="77777777" w:rsidR="00A81706" w:rsidRPr="00985BCC" w:rsidRDefault="00A81706" w:rsidP="00874A98">
            <w:pPr>
              <w:keepNext w:val="0"/>
              <w:numPr>
                <w:ilvl w:val="0"/>
                <w:numId w:val="145"/>
              </w:numPr>
              <w:spacing w:before="0" w:after="160" w:line="252" w:lineRule="auto"/>
              <w:contextualSpacing/>
              <w:jc w:val="left"/>
              <w:rPr>
                <w:rFonts w:eastAsia="Arial" w:cs="Arial"/>
                <w:bCs/>
              </w:rPr>
            </w:pPr>
            <w:r w:rsidRPr="00985BCC">
              <w:rPr>
                <w:rFonts w:eastAsia="Arial" w:cs="Arial"/>
                <w:bCs/>
              </w:rPr>
              <w:t xml:space="preserve">It is sensitively sited to protect the amenity of existing neighbouring uses in the locality; </w:t>
            </w:r>
          </w:p>
          <w:p w14:paraId="7C3C9625" w14:textId="77777777" w:rsidR="00A81706" w:rsidRPr="00985BCC" w:rsidRDefault="00A81706" w:rsidP="00874A98">
            <w:pPr>
              <w:keepNext w:val="0"/>
              <w:numPr>
                <w:ilvl w:val="0"/>
                <w:numId w:val="145"/>
              </w:numPr>
              <w:spacing w:before="0" w:after="160" w:line="252" w:lineRule="auto"/>
              <w:contextualSpacing/>
              <w:jc w:val="left"/>
              <w:rPr>
                <w:rFonts w:eastAsia="Arial" w:cs="Arial"/>
                <w:bCs/>
              </w:rPr>
            </w:pPr>
            <w:r w:rsidRPr="00985BCC">
              <w:rPr>
                <w:rFonts w:eastAsia="Arial" w:cs="Arial"/>
                <w:bCs/>
              </w:rPr>
              <w:t xml:space="preserve">It can be accommodated by the transport network in the locality and would not be detrimental to highway safety; </w:t>
            </w:r>
          </w:p>
          <w:p w14:paraId="3B58F68A" w14:textId="77777777" w:rsidR="00A81706" w:rsidRPr="00985BCC" w:rsidRDefault="00A81706" w:rsidP="00874A98">
            <w:pPr>
              <w:keepNext w:val="0"/>
              <w:numPr>
                <w:ilvl w:val="0"/>
                <w:numId w:val="145"/>
              </w:numPr>
              <w:spacing w:before="0" w:after="160" w:line="252" w:lineRule="auto"/>
              <w:contextualSpacing/>
              <w:jc w:val="left"/>
              <w:rPr>
                <w:rFonts w:eastAsia="Arial" w:cs="Arial"/>
                <w:bCs/>
              </w:rPr>
            </w:pPr>
            <w:r w:rsidRPr="00985BCC">
              <w:rPr>
                <w:rFonts w:eastAsia="Arial" w:cs="Arial"/>
                <w:bCs/>
              </w:rPr>
              <w:t>It is not inappropriate development within the Green Belt; and</w:t>
            </w:r>
          </w:p>
          <w:p w14:paraId="5EF6D197" w14:textId="77777777" w:rsidR="00A81706" w:rsidRPr="00985BCC" w:rsidRDefault="00A81706" w:rsidP="00874A98">
            <w:pPr>
              <w:keepNext w:val="0"/>
              <w:numPr>
                <w:ilvl w:val="0"/>
                <w:numId w:val="145"/>
              </w:numPr>
              <w:spacing w:before="0" w:after="160" w:line="252" w:lineRule="auto"/>
              <w:contextualSpacing/>
              <w:jc w:val="left"/>
              <w:rPr>
                <w:rFonts w:eastAsia="Arial" w:cs="Arial"/>
                <w:bCs/>
              </w:rPr>
            </w:pPr>
            <w:r w:rsidRPr="00985BCC">
              <w:rPr>
                <w:rFonts w:eastAsia="Arial" w:cs="Arial"/>
                <w:bCs/>
              </w:rPr>
              <w:t>Individually, or cumulatively, there are no significant adverse effects in relation to other policy requirements.</w:t>
            </w:r>
          </w:p>
          <w:p w14:paraId="3DD3764E" w14:textId="77777777" w:rsidR="00A81706" w:rsidRPr="00985BCC" w:rsidRDefault="00A81706" w:rsidP="00FF3EAD">
            <w:pPr>
              <w:keepNext w:val="0"/>
              <w:spacing w:before="0"/>
              <w:ind w:left="360"/>
              <w:jc w:val="left"/>
              <w:rPr>
                <w:rFonts w:eastAsia="Arial" w:cs="Arial"/>
                <w:bCs/>
              </w:rPr>
            </w:pPr>
          </w:p>
          <w:p w14:paraId="746E701D" w14:textId="548504CB" w:rsidR="00A81706" w:rsidRPr="00985BCC" w:rsidRDefault="00A81706" w:rsidP="00874A98">
            <w:pPr>
              <w:keepNext w:val="0"/>
              <w:numPr>
                <w:ilvl w:val="0"/>
                <w:numId w:val="142"/>
              </w:numPr>
              <w:autoSpaceDE w:val="0"/>
              <w:autoSpaceDN w:val="0"/>
              <w:adjustRightInd w:val="0"/>
              <w:spacing w:before="0"/>
              <w:ind w:left="457" w:right="284" w:hanging="283"/>
              <w:jc w:val="left"/>
              <w:rPr>
                <w:rFonts w:cs="Arial"/>
                <w:bCs/>
                <w:szCs w:val="24"/>
              </w:rPr>
            </w:pPr>
            <w:r w:rsidRPr="00985BCC">
              <w:rPr>
                <w:rFonts w:eastAsia="Arial" w:cs="Arial"/>
                <w:bCs/>
              </w:rPr>
              <w:t>In addition to Policy EM4 1</w:t>
            </w:r>
            <w:r w:rsidR="00804383">
              <w:rPr>
                <w:rFonts w:eastAsia="Arial" w:cs="Arial"/>
                <w:bCs/>
              </w:rPr>
              <w:t>,</w:t>
            </w:r>
            <w:r w:rsidRPr="00985BCC">
              <w:rPr>
                <w:rFonts w:eastAsia="Arial" w:cs="Arial"/>
                <w:bCs/>
              </w:rPr>
              <w:t xml:space="preserve"> proposals for agricultural, forestry or horticultural or other land use development should demonstrate that:</w:t>
            </w:r>
          </w:p>
          <w:p w14:paraId="4BD00A50" w14:textId="77777777" w:rsidR="00A81706" w:rsidRPr="00985BCC" w:rsidRDefault="00A81706" w:rsidP="00FF3EAD">
            <w:pPr>
              <w:keepNext w:val="0"/>
              <w:autoSpaceDE w:val="0"/>
              <w:autoSpaceDN w:val="0"/>
              <w:adjustRightInd w:val="0"/>
              <w:spacing w:before="0"/>
              <w:ind w:right="284"/>
              <w:jc w:val="left"/>
              <w:rPr>
                <w:rFonts w:eastAsia="Arial" w:cs="Arial"/>
                <w:bCs/>
              </w:rPr>
            </w:pPr>
          </w:p>
          <w:p w14:paraId="0728699F" w14:textId="77777777" w:rsidR="00A81706" w:rsidRPr="00985BCC" w:rsidRDefault="00A81706" w:rsidP="00874A98">
            <w:pPr>
              <w:keepNext w:val="0"/>
              <w:numPr>
                <w:ilvl w:val="0"/>
                <w:numId w:val="146"/>
              </w:numPr>
              <w:autoSpaceDE w:val="0"/>
              <w:autoSpaceDN w:val="0"/>
              <w:adjustRightInd w:val="0"/>
              <w:spacing w:before="0"/>
              <w:ind w:right="284"/>
              <w:contextualSpacing/>
              <w:jc w:val="left"/>
              <w:rPr>
                <w:rFonts w:eastAsia="Arial" w:cs="Arial"/>
                <w:bCs/>
              </w:rPr>
            </w:pPr>
            <w:r w:rsidRPr="00985BCC">
              <w:rPr>
                <w:rFonts w:eastAsia="Arial" w:cs="Arial"/>
                <w:bCs/>
              </w:rPr>
              <w:t xml:space="preserve">The proposed development is necessary for the purpose of agriculture, forestry, horticulture or other </w:t>
            </w:r>
            <w:proofErr w:type="gramStart"/>
            <w:r w:rsidRPr="00985BCC">
              <w:rPr>
                <w:rFonts w:eastAsia="Arial" w:cs="Arial"/>
                <w:bCs/>
              </w:rPr>
              <w:t>land based</w:t>
            </w:r>
            <w:proofErr w:type="gramEnd"/>
            <w:r w:rsidRPr="00985BCC">
              <w:rPr>
                <w:rFonts w:eastAsia="Arial" w:cs="Arial"/>
                <w:bCs/>
              </w:rPr>
              <w:t xml:space="preserve"> use within the unit.</w:t>
            </w:r>
          </w:p>
          <w:p w14:paraId="3468A1F9" w14:textId="77777777" w:rsidR="00A81706" w:rsidRPr="00A81706" w:rsidRDefault="00A81706" w:rsidP="00874A98">
            <w:pPr>
              <w:keepNext w:val="0"/>
              <w:numPr>
                <w:ilvl w:val="0"/>
                <w:numId w:val="146"/>
              </w:numPr>
              <w:autoSpaceDE w:val="0"/>
              <w:autoSpaceDN w:val="0"/>
              <w:adjustRightInd w:val="0"/>
              <w:spacing w:before="0" w:after="160" w:line="252" w:lineRule="auto"/>
              <w:ind w:right="284"/>
              <w:contextualSpacing/>
              <w:jc w:val="left"/>
              <w:rPr>
                <w:rFonts w:eastAsia="Arial" w:cs="Arial"/>
                <w:bCs/>
                <w:color w:val="auto"/>
              </w:rPr>
            </w:pPr>
            <w:r w:rsidRPr="00A81706">
              <w:rPr>
                <w:rFonts w:eastAsia="Arial" w:cs="Arial"/>
                <w:bCs/>
                <w:color w:val="auto"/>
              </w:rPr>
              <w:t>Adequate provision will be made for the storage and disposal of slurries and manures without polluting any watercourse or water supply sources.</w:t>
            </w:r>
          </w:p>
          <w:p w14:paraId="2D1AA38D" w14:textId="5FE70C11" w:rsidR="00A81706" w:rsidRDefault="00A81706" w:rsidP="00874A98">
            <w:pPr>
              <w:keepNext w:val="0"/>
              <w:numPr>
                <w:ilvl w:val="0"/>
                <w:numId w:val="146"/>
              </w:numPr>
              <w:autoSpaceDE w:val="0"/>
              <w:autoSpaceDN w:val="0"/>
              <w:adjustRightInd w:val="0"/>
              <w:spacing w:before="0" w:after="160" w:line="252" w:lineRule="auto"/>
              <w:ind w:right="284"/>
              <w:contextualSpacing/>
              <w:jc w:val="left"/>
              <w:rPr>
                <w:rFonts w:eastAsia="Arial" w:cs="Arial"/>
                <w:bCs/>
                <w:color w:val="auto"/>
              </w:rPr>
            </w:pPr>
            <w:r w:rsidRPr="00A81706">
              <w:rPr>
                <w:rFonts w:eastAsia="Arial" w:cs="Arial"/>
                <w:bCs/>
                <w:color w:val="auto"/>
              </w:rPr>
              <w:t>For farm diversification:</w:t>
            </w:r>
          </w:p>
          <w:p w14:paraId="3DC6BEDE" w14:textId="77777777" w:rsidR="009838D1" w:rsidRPr="00A81706" w:rsidRDefault="009838D1" w:rsidP="00FF3EAD">
            <w:pPr>
              <w:keepNext w:val="0"/>
              <w:autoSpaceDE w:val="0"/>
              <w:autoSpaceDN w:val="0"/>
              <w:adjustRightInd w:val="0"/>
              <w:spacing w:before="0" w:after="160" w:line="252" w:lineRule="auto"/>
              <w:ind w:left="817" w:right="284"/>
              <w:contextualSpacing/>
              <w:jc w:val="left"/>
              <w:rPr>
                <w:rFonts w:eastAsia="Arial" w:cs="Arial"/>
                <w:bCs/>
                <w:color w:val="auto"/>
              </w:rPr>
            </w:pPr>
          </w:p>
          <w:p w14:paraId="720126BF" w14:textId="77777777" w:rsidR="00A81706" w:rsidRPr="00A81706" w:rsidRDefault="00A81706" w:rsidP="00874A98">
            <w:pPr>
              <w:keepNext w:val="0"/>
              <w:numPr>
                <w:ilvl w:val="0"/>
                <w:numId w:val="147"/>
              </w:numPr>
              <w:autoSpaceDE w:val="0"/>
              <w:autoSpaceDN w:val="0"/>
              <w:adjustRightInd w:val="0"/>
              <w:spacing w:before="0" w:after="160" w:line="252" w:lineRule="auto"/>
              <w:ind w:right="284"/>
              <w:contextualSpacing/>
              <w:jc w:val="left"/>
              <w:rPr>
                <w:rFonts w:eastAsia="Arial" w:cs="Arial"/>
                <w:bCs/>
                <w:color w:val="auto"/>
              </w:rPr>
            </w:pPr>
            <w:r w:rsidRPr="00A81706">
              <w:rPr>
                <w:rFonts w:eastAsia="Arial" w:cs="Arial"/>
                <w:bCs/>
                <w:color w:val="auto"/>
              </w:rPr>
              <w:t>The proposal is ancillary to and operated as part of an established agricultural enterprise; forms part of a comprehensive farm diversification scheme and will contribute to making the holding viable;</w:t>
            </w:r>
          </w:p>
          <w:p w14:paraId="31385504" w14:textId="77777777" w:rsidR="00A81706" w:rsidRPr="00A81706" w:rsidRDefault="00A81706" w:rsidP="00874A98">
            <w:pPr>
              <w:keepNext w:val="0"/>
              <w:numPr>
                <w:ilvl w:val="0"/>
                <w:numId w:val="147"/>
              </w:numPr>
              <w:autoSpaceDE w:val="0"/>
              <w:autoSpaceDN w:val="0"/>
              <w:adjustRightInd w:val="0"/>
              <w:spacing w:before="0" w:after="160" w:line="252" w:lineRule="auto"/>
              <w:ind w:right="284"/>
              <w:contextualSpacing/>
              <w:jc w:val="left"/>
              <w:rPr>
                <w:rFonts w:eastAsia="Arial" w:cs="Arial"/>
                <w:bCs/>
                <w:color w:val="auto"/>
              </w:rPr>
            </w:pPr>
            <w:r w:rsidRPr="00A81706">
              <w:rPr>
                <w:rFonts w:eastAsia="Arial" w:cs="Arial"/>
                <w:bCs/>
                <w:color w:val="auto"/>
              </w:rPr>
              <w:t xml:space="preserve">Where a retail use is </w:t>
            </w:r>
            <w:proofErr w:type="gramStart"/>
            <w:r w:rsidRPr="00A81706">
              <w:rPr>
                <w:rFonts w:eastAsia="Arial" w:cs="Arial"/>
                <w:bCs/>
                <w:color w:val="auto"/>
              </w:rPr>
              <w:t>proposed</w:t>
            </w:r>
            <w:proofErr w:type="gramEnd"/>
            <w:r w:rsidRPr="00A81706">
              <w:rPr>
                <w:rFonts w:eastAsia="Arial" w:cs="Arial"/>
                <w:bCs/>
                <w:color w:val="auto"/>
              </w:rPr>
              <w:t xml:space="preserve"> it is directly related to the farm unit, it provides adequate access and parking arrangements, and the proposal must be of a scale appropriate in a rural location. </w:t>
            </w:r>
          </w:p>
          <w:p w14:paraId="59223605" w14:textId="77777777" w:rsidR="00A81706" w:rsidRPr="00A81706" w:rsidRDefault="00A81706" w:rsidP="00FF3EAD">
            <w:pPr>
              <w:keepNext w:val="0"/>
              <w:autoSpaceDE w:val="0"/>
              <w:autoSpaceDN w:val="0"/>
              <w:adjustRightInd w:val="0"/>
              <w:spacing w:before="0"/>
              <w:ind w:right="284"/>
              <w:jc w:val="left"/>
              <w:rPr>
                <w:rFonts w:eastAsia="Arial" w:cs="Arial"/>
                <w:bCs/>
                <w:color w:val="auto"/>
              </w:rPr>
            </w:pPr>
          </w:p>
          <w:p w14:paraId="107F472B" w14:textId="192E7761" w:rsidR="00A81706" w:rsidRPr="00A81706" w:rsidRDefault="00A81706" w:rsidP="00874A98">
            <w:pPr>
              <w:keepNext w:val="0"/>
              <w:numPr>
                <w:ilvl w:val="0"/>
                <w:numId w:val="142"/>
              </w:numPr>
              <w:autoSpaceDE w:val="0"/>
              <w:autoSpaceDN w:val="0"/>
              <w:adjustRightInd w:val="0"/>
              <w:spacing w:before="0"/>
              <w:ind w:left="459" w:right="284" w:hanging="283"/>
              <w:jc w:val="left"/>
              <w:rPr>
                <w:rFonts w:cs="Arial"/>
                <w:color w:val="auto"/>
                <w:szCs w:val="24"/>
              </w:rPr>
            </w:pPr>
            <w:r w:rsidRPr="00A81706">
              <w:rPr>
                <w:color w:val="auto"/>
                <w:szCs w:val="24"/>
              </w:rPr>
              <w:t>In addition</w:t>
            </w:r>
            <w:r w:rsidRPr="00A81706">
              <w:rPr>
                <w:rFonts w:eastAsia="Arial" w:cs="Arial"/>
                <w:bCs/>
                <w:color w:val="auto"/>
              </w:rPr>
              <w:t xml:space="preserve"> to Policy EM4 1</w:t>
            </w:r>
            <w:r w:rsidRPr="00A81706">
              <w:rPr>
                <w:color w:val="auto"/>
                <w:szCs w:val="24"/>
              </w:rPr>
              <w:t xml:space="preserve">, proposals for equestrian development </w:t>
            </w:r>
            <w:r w:rsidR="00E07131" w:rsidRPr="00A81706">
              <w:rPr>
                <w:color w:val="auto"/>
                <w:szCs w:val="24"/>
              </w:rPr>
              <w:t>should demonstrate</w:t>
            </w:r>
            <w:r w:rsidRPr="00A81706">
              <w:rPr>
                <w:color w:val="auto"/>
                <w:szCs w:val="24"/>
              </w:rPr>
              <w:t xml:space="preserve"> that</w:t>
            </w:r>
            <w:r w:rsidRPr="00A81706">
              <w:rPr>
                <w:rFonts w:eastAsia="Arial" w:cs="OMDIGN+Arial,Bold"/>
                <w:color w:val="auto"/>
                <w:szCs w:val="24"/>
              </w:rPr>
              <w:t>:</w:t>
            </w:r>
          </w:p>
          <w:p w14:paraId="7DD9FEEE" w14:textId="77777777" w:rsidR="00A81706" w:rsidRPr="00A81706" w:rsidRDefault="00A81706" w:rsidP="00FF3EAD">
            <w:pPr>
              <w:keepNext w:val="0"/>
              <w:autoSpaceDE w:val="0"/>
              <w:autoSpaceDN w:val="0"/>
              <w:adjustRightInd w:val="0"/>
              <w:spacing w:before="0"/>
              <w:ind w:left="459" w:right="284"/>
              <w:jc w:val="left"/>
              <w:rPr>
                <w:rFonts w:cs="Arial"/>
                <w:color w:val="auto"/>
                <w:szCs w:val="24"/>
              </w:rPr>
            </w:pPr>
          </w:p>
          <w:p w14:paraId="2F15E726" w14:textId="77777777" w:rsidR="00A81706" w:rsidRPr="00A81706" w:rsidRDefault="00A81706" w:rsidP="00874A98">
            <w:pPr>
              <w:keepNext w:val="0"/>
              <w:numPr>
                <w:ilvl w:val="0"/>
                <w:numId w:val="143"/>
              </w:numPr>
              <w:spacing w:before="0" w:after="160" w:line="252" w:lineRule="auto"/>
              <w:jc w:val="left"/>
              <w:rPr>
                <w:rFonts w:eastAsia="Arial" w:cs="Arial"/>
                <w:color w:val="auto"/>
              </w:rPr>
            </w:pPr>
            <w:r w:rsidRPr="00A81706">
              <w:rPr>
                <w:rFonts w:eastAsia="Arial" w:cs="Arial"/>
                <w:color w:val="auto"/>
              </w:rPr>
              <w:t xml:space="preserve">Priority has been given to the re-use of existing buildings.  </w:t>
            </w:r>
          </w:p>
          <w:p w14:paraId="76516BDA" w14:textId="77777777" w:rsidR="00A81706" w:rsidRPr="00A81706" w:rsidRDefault="00A81706" w:rsidP="00874A98">
            <w:pPr>
              <w:keepNext w:val="0"/>
              <w:numPr>
                <w:ilvl w:val="0"/>
                <w:numId w:val="143"/>
              </w:numPr>
              <w:spacing w:before="0" w:after="160" w:line="252" w:lineRule="auto"/>
              <w:jc w:val="left"/>
              <w:rPr>
                <w:rFonts w:eastAsia="Arial" w:cs="Arial"/>
                <w:color w:val="auto"/>
              </w:rPr>
            </w:pPr>
            <w:r w:rsidRPr="00A81706">
              <w:rPr>
                <w:rFonts w:eastAsia="Arial" w:cs="Arial"/>
                <w:color w:val="auto"/>
              </w:rPr>
              <w:t>Where new buildings or structures are justified in relation to the proposed development, they will use appropriate materials, are well related to existing buildings, and consist only of essential facilities necessary for the proposed use.</w:t>
            </w:r>
          </w:p>
          <w:p w14:paraId="2CA37C3D" w14:textId="72C2C733" w:rsidR="00A81706" w:rsidRPr="00A81706" w:rsidRDefault="00A81706" w:rsidP="00874A98">
            <w:pPr>
              <w:keepNext w:val="0"/>
              <w:numPr>
                <w:ilvl w:val="0"/>
                <w:numId w:val="143"/>
              </w:numPr>
              <w:spacing w:before="0" w:after="160" w:line="252" w:lineRule="auto"/>
              <w:jc w:val="left"/>
              <w:rPr>
                <w:rFonts w:eastAsia="Arial" w:cs="Arial"/>
                <w:color w:val="auto"/>
              </w:rPr>
            </w:pPr>
            <w:r w:rsidRPr="00A81706">
              <w:rPr>
                <w:rFonts w:eastAsia="Arial" w:cs="Arial"/>
                <w:color w:val="auto"/>
              </w:rPr>
              <w:lastRenderedPageBreak/>
              <w:t>There is sufficient provision of land for the proper care of horses</w:t>
            </w:r>
            <w:r w:rsidR="00340FEC" w:rsidRPr="00340FEC">
              <w:rPr>
                <w:rFonts w:eastAsia="Arial" w:cs="Arial"/>
                <w:color w:val="auto"/>
                <w:vertAlign w:val="superscript"/>
              </w:rPr>
              <w:t>1</w:t>
            </w:r>
            <w:r w:rsidRPr="00340FEC">
              <w:rPr>
                <w:rFonts w:eastAsia="Arial" w:cs="Arial"/>
                <w:color w:val="auto"/>
                <w:vertAlign w:val="superscript"/>
              </w:rPr>
              <w:t xml:space="preserve"> </w:t>
            </w:r>
            <w:r w:rsidRPr="00A81706">
              <w:rPr>
                <w:rFonts w:eastAsia="Arial" w:cs="Arial"/>
                <w:color w:val="auto"/>
              </w:rPr>
              <w:t>including stabling, grazing and exercise having regard to appropriate guidelines</w:t>
            </w:r>
            <w:r w:rsidRPr="00A81706">
              <w:rPr>
                <w:rFonts w:eastAsia="Arial" w:cs="Arial"/>
                <w:i/>
                <w:color w:val="auto"/>
              </w:rPr>
              <w:t xml:space="preserve">. </w:t>
            </w:r>
          </w:p>
          <w:p w14:paraId="16E1F552" w14:textId="77777777" w:rsidR="00A81706" w:rsidRPr="00A81706" w:rsidRDefault="00A81706" w:rsidP="00874A98">
            <w:pPr>
              <w:keepNext w:val="0"/>
              <w:numPr>
                <w:ilvl w:val="0"/>
                <w:numId w:val="143"/>
              </w:numPr>
              <w:spacing w:before="0"/>
              <w:jc w:val="left"/>
              <w:rPr>
                <w:rFonts w:eastAsia="Arial" w:cs="Arial"/>
                <w:color w:val="auto"/>
              </w:rPr>
            </w:pPr>
            <w:r w:rsidRPr="00A81706">
              <w:rPr>
                <w:rFonts w:eastAsia="Arial" w:cs="Arial"/>
                <w:color w:val="auto"/>
              </w:rPr>
              <w:t>Adequate provision will be made for the storage and disposal of waste materials from horses.</w:t>
            </w:r>
          </w:p>
          <w:p w14:paraId="758D175D" w14:textId="77777777" w:rsidR="00A81706" w:rsidRPr="00A81706" w:rsidRDefault="00A81706" w:rsidP="00FF3EAD">
            <w:pPr>
              <w:keepNext w:val="0"/>
              <w:autoSpaceDE w:val="0"/>
              <w:autoSpaceDN w:val="0"/>
              <w:adjustRightInd w:val="0"/>
              <w:spacing w:before="0"/>
              <w:jc w:val="left"/>
              <w:rPr>
                <w:rFonts w:eastAsia="Arial" w:cs="Arial"/>
                <w:color w:val="auto"/>
                <w:szCs w:val="24"/>
              </w:rPr>
            </w:pPr>
          </w:p>
          <w:p w14:paraId="40C63D0D" w14:textId="77777777" w:rsidR="00A81706" w:rsidRPr="00A81706" w:rsidRDefault="00A81706" w:rsidP="00FF3EAD">
            <w:pPr>
              <w:keepNext w:val="0"/>
              <w:autoSpaceDE w:val="0"/>
              <w:autoSpaceDN w:val="0"/>
              <w:adjustRightInd w:val="0"/>
              <w:spacing w:before="0"/>
              <w:ind w:left="360" w:right="284"/>
              <w:contextualSpacing/>
              <w:jc w:val="left"/>
              <w:rPr>
                <w:rFonts w:eastAsia="Arial" w:cs="Arial"/>
                <w:color w:val="auto"/>
                <w:szCs w:val="24"/>
              </w:rPr>
            </w:pPr>
            <w:r w:rsidRPr="00A81706">
              <w:rPr>
                <w:rFonts w:cs="Arial"/>
                <w:color w:val="auto"/>
                <w:szCs w:val="24"/>
              </w:rPr>
              <w:t xml:space="preserve">In determining any application for equestrian purposes, the Council will consider the cumulative impact </w:t>
            </w:r>
            <w:r w:rsidRPr="00A81706">
              <w:rPr>
                <w:rFonts w:eastAsia="Arial" w:cs="Arial"/>
                <w:color w:val="auto"/>
                <w:szCs w:val="24"/>
              </w:rPr>
              <w:t>with other existing equestrian developments or equestrian developments for which there is planning permission in the local area, on the wider landscape and environment.</w:t>
            </w:r>
          </w:p>
          <w:p w14:paraId="1020F5B7" w14:textId="77777777" w:rsidR="00A81706" w:rsidRPr="00A81706" w:rsidRDefault="00A81706" w:rsidP="00FF3EAD">
            <w:pPr>
              <w:keepNext w:val="0"/>
              <w:autoSpaceDE w:val="0"/>
              <w:autoSpaceDN w:val="0"/>
              <w:adjustRightInd w:val="0"/>
              <w:spacing w:before="0"/>
              <w:ind w:right="284"/>
              <w:contextualSpacing/>
              <w:jc w:val="left"/>
              <w:rPr>
                <w:rFonts w:eastAsia="Arial" w:cs="Arial"/>
                <w:b/>
                <w:color w:val="auto"/>
                <w:szCs w:val="24"/>
              </w:rPr>
            </w:pPr>
          </w:p>
          <w:p w14:paraId="5B7F26B9" w14:textId="77777777" w:rsidR="00A81706" w:rsidRPr="00985BCC" w:rsidRDefault="00A81706" w:rsidP="00874A98">
            <w:pPr>
              <w:keepNext w:val="0"/>
              <w:numPr>
                <w:ilvl w:val="0"/>
                <w:numId w:val="142"/>
              </w:numPr>
              <w:autoSpaceDE w:val="0"/>
              <w:autoSpaceDN w:val="0"/>
              <w:adjustRightInd w:val="0"/>
              <w:spacing w:before="0"/>
              <w:ind w:left="457" w:right="284" w:hanging="283"/>
              <w:jc w:val="left"/>
              <w:rPr>
                <w:rFonts w:cs="Arial"/>
                <w:szCs w:val="24"/>
              </w:rPr>
            </w:pPr>
            <w:r w:rsidRPr="00A81706">
              <w:rPr>
                <w:rFonts w:cs="Arial"/>
                <w:bCs/>
                <w:color w:val="auto"/>
                <w:szCs w:val="24"/>
              </w:rPr>
              <w:t xml:space="preserve">Planning permission for the removal of a restrictive occupancy condition on a dwelling for an agricultural, forestry or other similar worker will only be given </w:t>
            </w:r>
            <w:r w:rsidRPr="00985BCC">
              <w:rPr>
                <w:rFonts w:cs="Arial"/>
                <w:bCs/>
                <w:szCs w:val="24"/>
              </w:rPr>
              <w:t>where the following can be evidentially shown:</w:t>
            </w:r>
          </w:p>
          <w:p w14:paraId="37FD7EB8" w14:textId="77777777" w:rsidR="00A81706" w:rsidRPr="00985BCC" w:rsidRDefault="00A81706" w:rsidP="00FF3EAD">
            <w:pPr>
              <w:keepNext w:val="0"/>
              <w:tabs>
                <w:tab w:val="left" w:pos="680"/>
                <w:tab w:val="left" w:pos="1133"/>
                <w:tab w:val="left" w:pos="2267"/>
              </w:tabs>
              <w:spacing w:before="0"/>
              <w:ind w:left="360" w:right="284"/>
              <w:jc w:val="left"/>
              <w:rPr>
                <w:rFonts w:eastAsia="Arial"/>
                <w:bCs/>
              </w:rPr>
            </w:pPr>
          </w:p>
          <w:p w14:paraId="12F327D2" w14:textId="0B9AE7A7" w:rsidR="00A81706" w:rsidRPr="00985BCC" w:rsidRDefault="00A81706" w:rsidP="00874A98">
            <w:pPr>
              <w:keepNext w:val="0"/>
              <w:numPr>
                <w:ilvl w:val="0"/>
                <w:numId w:val="144"/>
              </w:numPr>
              <w:spacing w:before="0" w:after="160" w:line="252" w:lineRule="auto"/>
              <w:jc w:val="left"/>
              <w:rPr>
                <w:rFonts w:cs="Arial"/>
                <w:bCs/>
                <w:szCs w:val="24"/>
              </w:rPr>
            </w:pPr>
            <w:r w:rsidRPr="00985BCC">
              <w:rPr>
                <w:rFonts w:cs="Arial"/>
                <w:bCs/>
                <w:szCs w:val="24"/>
              </w:rPr>
              <w:t xml:space="preserve">That there is no longer a continued need for the property on the holding or for the business; </w:t>
            </w:r>
            <w:r w:rsidR="00B5541A" w:rsidRPr="00985BCC">
              <w:rPr>
                <w:rFonts w:cs="Arial"/>
                <w:bCs/>
                <w:szCs w:val="24"/>
              </w:rPr>
              <w:t>and</w:t>
            </w:r>
          </w:p>
          <w:p w14:paraId="154B6800" w14:textId="5D56A19D" w:rsidR="00A81706" w:rsidRPr="00A81706" w:rsidRDefault="00A81706" w:rsidP="00874A98">
            <w:pPr>
              <w:keepNext w:val="0"/>
              <w:numPr>
                <w:ilvl w:val="0"/>
                <w:numId w:val="144"/>
              </w:numPr>
              <w:spacing w:before="0" w:after="160" w:line="252" w:lineRule="auto"/>
              <w:jc w:val="left"/>
              <w:rPr>
                <w:rFonts w:cs="Arial"/>
                <w:bCs/>
                <w:color w:val="auto"/>
                <w:szCs w:val="24"/>
              </w:rPr>
            </w:pPr>
            <w:r w:rsidRPr="00A81706">
              <w:rPr>
                <w:rFonts w:cs="Arial"/>
                <w:bCs/>
                <w:color w:val="auto"/>
                <w:szCs w:val="24"/>
              </w:rPr>
              <w:t xml:space="preserve">There is no </w:t>
            </w:r>
            <w:r w:rsidR="00E07131" w:rsidRPr="00A81706">
              <w:rPr>
                <w:rFonts w:cs="Arial"/>
                <w:bCs/>
                <w:color w:val="auto"/>
                <w:szCs w:val="24"/>
              </w:rPr>
              <w:t>long-term</w:t>
            </w:r>
            <w:r w:rsidRPr="00A81706">
              <w:rPr>
                <w:rFonts w:cs="Arial"/>
                <w:bCs/>
                <w:color w:val="auto"/>
                <w:szCs w:val="24"/>
              </w:rPr>
              <w:t xml:space="preserve"> need for a dwelling with restricted occupancy to serve a need in the area.</w:t>
            </w:r>
          </w:p>
          <w:p w14:paraId="468B1C11" w14:textId="77777777" w:rsidR="00A81706" w:rsidRPr="00A81706" w:rsidRDefault="00A81706" w:rsidP="00FF3EAD">
            <w:pPr>
              <w:keepNext w:val="0"/>
              <w:spacing w:before="0"/>
              <w:jc w:val="left"/>
              <w:rPr>
                <w:rFonts w:eastAsia="Arial"/>
                <w:bCs/>
                <w:color w:val="auto"/>
                <w:sz w:val="20"/>
              </w:rPr>
            </w:pPr>
            <w:r w:rsidRPr="00A81706">
              <w:rPr>
                <w:rFonts w:eastAsia="Arial"/>
                <w:bCs/>
                <w:color w:val="auto"/>
                <w:sz w:val="20"/>
              </w:rPr>
              <w:t xml:space="preserve">1 ‘Horse’ is used as a generic term. The policy and supporting justification </w:t>
            </w:r>
            <w:proofErr w:type="gramStart"/>
            <w:r w:rsidRPr="00A81706">
              <w:rPr>
                <w:rFonts w:eastAsia="Arial"/>
                <w:bCs/>
                <w:color w:val="auto"/>
                <w:sz w:val="20"/>
              </w:rPr>
              <w:t>applies</w:t>
            </w:r>
            <w:proofErr w:type="gramEnd"/>
            <w:r w:rsidRPr="00A81706">
              <w:rPr>
                <w:rFonts w:eastAsia="Arial"/>
                <w:bCs/>
                <w:color w:val="auto"/>
                <w:sz w:val="20"/>
              </w:rPr>
              <w:t xml:space="preserve"> to development relating to all sizes, types and breeds of equines.</w:t>
            </w:r>
          </w:p>
          <w:p w14:paraId="61C07F95" w14:textId="77777777" w:rsidR="00A81706" w:rsidRPr="00A81706" w:rsidRDefault="00A81706" w:rsidP="00FF3EAD">
            <w:pPr>
              <w:keepNext w:val="0"/>
              <w:spacing w:before="0"/>
              <w:jc w:val="left"/>
              <w:rPr>
                <w:rFonts w:eastAsia="Arial"/>
                <w:b/>
                <w:color w:val="538135"/>
              </w:rPr>
            </w:pPr>
          </w:p>
        </w:tc>
      </w:tr>
      <w:tr w:rsidR="00A81706" w:rsidRPr="00A81706" w14:paraId="397C069F" w14:textId="77777777" w:rsidTr="00D17B5C">
        <w:tc>
          <w:tcPr>
            <w:tcW w:w="2405" w:type="dxa"/>
          </w:tcPr>
          <w:p w14:paraId="4F2664E9" w14:textId="77777777" w:rsidR="00A81706" w:rsidRPr="00A81706" w:rsidRDefault="00A81706" w:rsidP="009838D1">
            <w:pPr>
              <w:keepNext w:val="0"/>
              <w:tabs>
                <w:tab w:val="left" w:pos="680"/>
                <w:tab w:val="left" w:pos="1133"/>
                <w:tab w:val="left" w:pos="2267"/>
              </w:tabs>
              <w:spacing w:before="0"/>
              <w:ind w:right="284"/>
              <w:rPr>
                <w:rFonts w:eastAsia="Arial"/>
                <w:b/>
                <w:color w:val="002060"/>
                <w:szCs w:val="24"/>
              </w:rPr>
            </w:pPr>
            <w:r w:rsidRPr="00A81706">
              <w:rPr>
                <w:rFonts w:eastAsia="Arial"/>
                <w:bCs/>
                <w:color w:val="auto"/>
                <w:sz w:val="20"/>
              </w:rPr>
              <w:lastRenderedPageBreak/>
              <w:t>Evidence base</w:t>
            </w:r>
          </w:p>
        </w:tc>
        <w:tc>
          <w:tcPr>
            <w:tcW w:w="7229" w:type="dxa"/>
            <w:gridSpan w:val="2"/>
          </w:tcPr>
          <w:p w14:paraId="0EFA23CD" w14:textId="4DBF101A" w:rsidR="00A81706" w:rsidRPr="00A81706"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color w:val="auto"/>
                <w:sz w:val="20"/>
              </w:rPr>
            </w:pPr>
            <w:r w:rsidRPr="00A81706">
              <w:rPr>
                <w:rFonts w:eastAsia="Arial"/>
                <w:bCs/>
                <w:color w:val="auto"/>
                <w:sz w:val="20"/>
              </w:rPr>
              <w:t xml:space="preserve">Background Paper </w:t>
            </w:r>
            <w:r w:rsidR="00A05D94">
              <w:rPr>
                <w:rFonts w:eastAsia="Arial"/>
                <w:bCs/>
                <w:color w:val="auto"/>
                <w:sz w:val="20"/>
              </w:rPr>
              <w:t xml:space="preserve">No 1: </w:t>
            </w:r>
            <w:r w:rsidRPr="00A81706">
              <w:rPr>
                <w:rFonts w:eastAsia="Arial"/>
                <w:bCs/>
                <w:color w:val="auto"/>
                <w:sz w:val="20"/>
              </w:rPr>
              <w:t xml:space="preserve">Spatial Strategy and </w:t>
            </w:r>
            <w:r w:rsidR="00A32846">
              <w:rPr>
                <w:rFonts w:eastAsia="Arial"/>
                <w:bCs/>
                <w:color w:val="auto"/>
                <w:sz w:val="20"/>
              </w:rPr>
              <w:t>Site Selection 2023.</w:t>
            </w:r>
            <w:r w:rsidRPr="00A81706">
              <w:rPr>
                <w:rFonts w:eastAsia="Arial"/>
                <w:bCs/>
                <w:color w:val="auto"/>
                <w:sz w:val="20"/>
              </w:rPr>
              <w:t xml:space="preserve"> Ashfield District Council</w:t>
            </w:r>
            <w:r w:rsidR="009838D1">
              <w:rPr>
                <w:rFonts w:eastAsia="Arial"/>
                <w:bCs/>
                <w:color w:val="auto"/>
                <w:sz w:val="20"/>
              </w:rPr>
              <w:t>.</w:t>
            </w:r>
          </w:p>
          <w:p w14:paraId="2D3C2B31" w14:textId="3A9DE38A" w:rsidR="00A81706" w:rsidRPr="00A81706"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color w:val="auto"/>
                <w:sz w:val="20"/>
              </w:rPr>
            </w:pPr>
            <w:r w:rsidRPr="00A81706">
              <w:rPr>
                <w:rFonts w:eastAsia="Arial"/>
                <w:bCs/>
                <w:color w:val="auto"/>
                <w:sz w:val="20"/>
              </w:rPr>
              <w:t xml:space="preserve">Background Paper </w:t>
            </w:r>
            <w:r w:rsidR="00A05D94">
              <w:rPr>
                <w:rFonts w:eastAsia="Arial"/>
                <w:bCs/>
                <w:color w:val="auto"/>
                <w:sz w:val="20"/>
              </w:rPr>
              <w:t>No 3:</w:t>
            </w:r>
            <w:r w:rsidRPr="00A81706">
              <w:rPr>
                <w:rFonts w:eastAsia="Arial"/>
                <w:bCs/>
                <w:color w:val="auto"/>
                <w:sz w:val="20"/>
              </w:rPr>
              <w:t xml:space="preserve"> </w:t>
            </w:r>
            <w:r w:rsidR="000032A9">
              <w:rPr>
                <w:rFonts w:eastAsia="Arial"/>
                <w:bCs/>
                <w:color w:val="auto"/>
                <w:sz w:val="20"/>
              </w:rPr>
              <w:t xml:space="preserve">Economy &amp; </w:t>
            </w:r>
            <w:r w:rsidRPr="00A81706">
              <w:rPr>
                <w:rFonts w:eastAsia="Arial"/>
                <w:bCs/>
                <w:color w:val="auto"/>
                <w:sz w:val="20"/>
              </w:rPr>
              <w:t>Employment Land 2021.  Ashfield District Council.</w:t>
            </w:r>
          </w:p>
          <w:p w14:paraId="7851C7B8" w14:textId="77777777" w:rsidR="00A81706" w:rsidRPr="00985BCC"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A81706">
              <w:rPr>
                <w:rFonts w:eastAsia="Arial"/>
                <w:bCs/>
                <w:color w:val="auto"/>
                <w:sz w:val="20"/>
              </w:rPr>
              <w:t xml:space="preserve">The Nottingham Core HMA and Nottingham Outer HMA Employment </w:t>
            </w:r>
            <w:r w:rsidRPr="00985BCC">
              <w:rPr>
                <w:rFonts w:eastAsia="Arial"/>
                <w:bCs/>
                <w:sz w:val="20"/>
              </w:rPr>
              <w:t>Land Needs Study, 2021.  Lichfield.</w:t>
            </w:r>
          </w:p>
          <w:p w14:paraId="7467E4A3" w14:textId="70DC57BE" w:rsidR="00A81706" w:rsidRPr="00985BCC"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Strategic Housing and Employment Land Availability Assessment</w:t>
            </w:r>
            <w:r w:rsidR="00AE785A">
              <w:rPr>
                <w:rFonts w:eastAsia="Arial"/>
                <w:bCs/>
                <w:sz w:val="20"/>
              </w:rPr>
              <w:t xml:space="preserve"> </w:t>
            </w:r>
            <w:r w:rsidRPr="00985BCC">
              <w:rPr>
                <w:rFonts w:eastAsia="Arial"/>
                <w:bCs/>
                <w:sz w:val="20"/>
              </w:rPr>
              <w:t>2021</w:t>
            </w:r>
            <w:r w:rsidR="00AE785A">
              <w:rPr>
                <w:rFonts w:eastAsia="Arial"/>
                <w:bCs/>
                <w:sz w:val="20"/>
              </w:rPr>
              <w:t xml:space="preserve"> - 2023</w:t>
            </w:r>
            <w:r w:rsidRPr="00985BCC">
              <w:rPr>
                <w:rFonts w:eastAsia="Arial"/>
                <w:bCs/>
                <w:sz w:val="20"/>
              </w:rPr>
              <w:t>. Ashfield District Council.</w:t>
            </w:r>
          </w:p>
          <w:p w14:paraId="50BB38BA" w14:textId="37F3187B" w:rsidR="00A81706" w:rsidRPr="00A81706"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color w:val="auto"/>
                <w:sz w:val="20"/>
              </w:rPr>
            </w:pPr>
            <w:r w:rsidRPr="00985BCC">
              <w:rPr>
                <w:rFonts w:eastAsia="Arial"/>
                <w:bCs/>
                <w:sz w:val="20"/>
              </w:rPr>
              <w:t>Sustainability Appraisal 202</w:t>
            </w:r>
            <w:r w:rsidR="006B0C43" w:rsidRPr="00985BCC">
              <w:rPr>
                <w:rFonts w:eastAsia="Arial"/>
                <w:bCs/>
                <w:sz w:val="20"/>
              </w:rPr>
              <w:t>3</w:t>
            </w:r>
            <w:r w:rsidRPr="00985BCC">
              <w:rPr>
                <w:rFonts w:eastAsia="Arial"/>
                <w:bCs/>
                <w:sz w:val="20"/>
              </w:rPr>
              <w:t xml:space="preserve">, </w:t>
            </w:r>
            <w:r w:rsidR="006B0C43" w:rsidRPr="00985BCC">
              <w:rPr>
                <w:rFonts w:eastAsia="Arial"/>
                <w:bCs/>
                <w:sz w:val="20"/>
              </w:rPr>
              <w:t>WSP UK Limited.</w:t>
            </w:r>
          </w:p>
        </w:tc>
      </w:tr>
      <w:tr w:rsidR="00A81706" w:rsidRPr="00A81706" w14:paraId="76D98CAE" w14:textId="77777777" w:rsidTr="00D17B5C">
        <w:tc>
          <w:tcPr>
            <w:tcW w:w="2405" w:type="dxa"/>
          </w:tcPr>
          <w:p w14:paraId="6616CD70" w14:textId="77777777" w:rsidR="00A81706" w:rsidRPr="00A81706" w:rsidRDefault="00A81706" w:rsidP="009838D1">
            <w:pPr>
              <w:keepNext w:val="0"/>
              <w:tabs>
                <w:tab w:val="left" w:pos="680"/>
                <w:tab w:val="left" w:pos="1133"/>
                <w:tab w:val="left" w:pos="2267"/>
              </w:tabs>
              <w:spacing w:before="0"/>
              <w:ind w:right="284"/>
              <w:rPr>
                <w:rFonts w:eastAsia="Arial"/>
                <w:b/>
                <w:color w:val="auto"/>
                <w:sz w:val="22"/>
              </w:rPr>
            </w:pPr>
            <w:r w:rsidRPr="00A81706">
              <w:rPr>
                <w:rFonts w:eastAsia="Arial"/>
                <w:bCs/>
                <w:color w:val="auto"/>
                <w:sz w:val="20"/>
              </w:rPr>
              <w:t>National Planning Policy and Guidance</w:t>
            </w:r>
          </w:p>
        </w:tc>
        <w:tc>
          <w:tcPr>
            <w:tcW w:w="7229" w:type="dxa"/>
            <w:gridSpan w:val="2"/>
          </w:tcPr>
          <w:p w14:paraId="13D42D10" w14:textId="784DEAD1" w:rsidR="00A81706" w:rsidRPr="00A81706" w:rsidRDefault="00A81706" w:rsidP="00A05D94">
            <w:pPr>
              <w:keepNext w:val="0"/>
              <w:numPr>
                <w:ilvl w:val="0"/>
                <w:numId w:val="25"/>
              </w:numPr>
              <w:spacing w:before="0" w:after="160" w:line="252" w:lineRule="auto"/>
              <w:contextualSpacing/>
              <w:jc w:val="left"/>
              <w:rPr>
                <w:rFonts w:cs="Arial"/>
                <w:bCs/>
                <w:color w:val="auto"/>
                <w:sz w:val="20"/>
                <w:u w:val="single"/>
              </w:rPr>
            </w:pPr>
            <w:r w:rsidRPr="00A81706">
              <w:rPr>
                <w:rFonts w:eastAsia="Arial"/>
                <w:bCs/>
                <w:color w:val="auto"/>
                <w:sz w:val="20"/>
              </w:rPr>
              <w:t>NPPF 202</w:t>
            </w:r>
            <w:r w:rsidR="004173E0">
              <w:rPr>
                <w:rFonts w:eastAsia="Arial"/>
                <w:bCs/>
                <w:color w:val="auto"/>
                <w:sz w:val="20"/>
              </w:rPr>
              <w:t>3</w:t>
            </w:r>
            <w:r w:rsidRPr="00A81706">
              <w:rPr>
                <w:rFonts w:eastAsia="Arial"/>
                <w:bCs/>
                <w:color w:val="auto"/>
                <w:sz w:val="20"/>
              </w:rPr>
              <w:t>, Part 2: Achieving sustainable development.</w:t>
            </w:r>
          </w:p>
          <w:p w14:paraId="4DD17D74" w14:textId="20153E6D" w:rsidR="00A81706" w:rsidRPr="00A81706" w:rsidRDefault="00A81706" w:rsidP="00A05D94">
            <w:pPr>
              <w:keepNext w:val="0"/>
              <w:numPr>
                <w:ilvl w:val="0"/>
                <w:numId w:val="25"/>
              </w:numPr>
              <w:tabs>
                <w:tab w:val="left" w:pos="680"/>
                <w:tab w:val="left" w:pos="1133"/>
                <w:tab w:val="left" w:pos="2267"/>
              </w:tabs>
              <w:spacing w:before="0" w:after="160" w:line="252" w:lineRule="auto"/>
              <w:ind w:right="284"/>
              <w:contextualSpacing/>
              <w:jc w:val="left"/>
              <w:rPr>
                <w:rFonts w:eastAsia="Arial"/>
                <w:bCs/>
                <w:color w:val="auto"/>
                <w:sz w:val="20"/>
              </w:rPr>
            </w:pPr>
            <w:r w:rsidRPr="00A81706">
              <w:rPr>
                <w:rFonts w:eastAsia="Arial"/>
                <w:bCs/>
                <w:color w:val="auto"/>
                <w:sz w:val="20"/>
              </w:rPr>
              <w:t>NPPF 202</w:t>
            </w:r>
            <w:r w:rsidR="004173E0">
              <w:rPr>
                <w:rFonts w:eastAsia="Arial"/>
                <w:bCs/>
                <w:color w:val="auto"/>
                <w:sz w:val="20"/>
              </w:rPr>
              <w:t>3</w:t>
            </w:r>
            <w:r w:rsidRPr="00A81706">
              <w:rPr>
                <w:rFonts w:eastAsia="Arial"/>
                <w:bCs/>
                <w:color w:val="auto"/>
                <w:sz w:val="20"/>
              </w:rPr>
              <w:t xml:space="preserve">, Part 6: </w:t>
            </w:r>
            <w:r w:rsidRPr="00A81706">
              <w:rPr>
                <w:bCs/>
                <w:color w:val="auto"/>
                <w:sz w:val="20"/>
              </w:rPr>
              <w:t>Building a strong, competitive economy.</w:t>
            </w:r>
          </w:p>
          <w:p w14:paraId="78C69F48" w14:textId="67E6A0BB" w:rsidR="00A81706" w:rsidRPr="00A81706" w:rsidRDefault="00A81706" w:rsidP="00A05D94">
            <w:pPr>
              <w:keepNext w:val="0"/>
              <w:numPr>
                <w:ilvl w:val="0"/>
                <w:numId w:val="25"/>
              </w:numPr>
              <w:spacing w:before="0" w:after="160" w:line="252" w:lineRule="auto"/>
              <w:contextualSpacing/>
              <w:jc w:val="left"/>
              <w:rPr>
                <w:rFonts w:cs="Arial"/>
                <w:bCs/>
                <w:color w:val="auto"/>
                <w:sz w:val="20"/>
                <w:u w:val="single"/>
              </w:rPr>
            </w:pPr>
            <w:r w:rsidRPr="00A81706">
              <w:rPr>
                <w:rFonts w:eastAsia="Arial"/>
                <w:bCs/>
                <w:color w:val="auto"/>
                <w:sz w:val="20"/>
              </w:rPr>
              <w:t>NPPF 202</w:t>
            </w:r>
            <w:r w:rsidR="004173E0">
              <w:rPr>
                <w:rFonts w:eastAsia="Arial"/>
                <w:bCs/>
                <w:color w:val="auto"/>
                <w:sz w:val="20"/>
              </w:rPr>
              <w:t>3</w:t>
            </w:r>
            <w:r w:rsidRPr="00A81706">
              <w:rPr>
                <w:rFonts w:eastAsia="Arial"/>
                <w:bCs/>
                <w:color w:val="auto"/>
                <w:sz w:val="20"/>
              </w:rPr>
              <w:t xml:space="preserve"> Part 11: Making effective use of land.</w:t>
            </w:r>
          </w:p>
        </w:tc>
      </w:tr>
    </w:tbl>
    <w:p w14:paraId="12F6F569" w14:textId="77777777" w:rsidR="00A81706" w:rsidRPr="00A81706" w:rsidRDefault="00A81706" w:rsidP="00A81706">
      <w:pPr>
        <w:keepNext w:val="0"/>
        <w:autoSpaceDE w:val="0"/>
        <w:autoSpaceDN w:val="0"/>
        <w:adjustRightInd w:val="0"/>
        <w:spacing w:before="0"/>
        <w:rPr>
          <w:rFonts w:cs="Arial"/>
          <w:color w:val="auto"/>
          <w:szCs w:val="24"/>
          <w:lang w:val="en-US" w:eastAsia="en-US"/>
        </w:rPr>
      </w:pPr>
    </w:p>
    <w:p w14:paraId="3387C5C8" w14:textId="77777777" w:rsidR="00A81706" w:rsidRPr="00A81706" w:rsidRDefault="00A81706" w:rsidP="00A81706">
      <w:pPr>
        <w:keepNext w:val="0"/>
        <w:spacing w:before="0"/>
        <w:ind w:left="709"/>
        <w:rPr>
          <w:rFonts w:cs="Arial"/>
          <w:color w:val="auto"/>
          <w:szCs w:val="24"/>
          <w:lang w:eastAsia="en-US"/>
        </w:rPr>
      </w:pPr>
    </w:p>
    <w:p w14:paraId="37EE1434" w14:textId="4389D181" w:rsidR="00A81706" w:rsidRDefault="00A81706" w:rsidP="00D01157">
      <w:pPr>
        <w:keepNext w:val="0"/>
        <w:numPr>
          <w:ilvl w:val="1"/>
          <w:numId w:val="28"/>
        </w:numPr>
        <w:tabs>
          <w:tab w:val="clear" w:pos="525"/>
        </w:tabs>
        <w:spacing w:before="0"/>
        <w:ind w:left="709" w:hanging="709"/>
        <w:rPr>
          <w:rFonts w:cs="Arial"/>
          <w:color w:val="auto"/>
          <w:szCs w:val="24"/>
          <w:lang w:eastAsia="en-US"/>
        </w:rPr>
      </w:pPr>
      <w:r w:rsidRPr="00A81706">
        <w:rPr>
          <w:rFonts w:cs="Arial"/>
          <w:color w:val="auto"/>
          <w:szCs w:val="24"/>
        </w:rPr>
        <w:t>The 2011 Rural-Urban Classification for Local Authority Districts in England identifies Ashfield as falling within the “Urban with city and town”. This means that it is p</w:t>
      </w:r>
      <w:r w:rsidRPr="00A81706">
        <w:rPr>
          <w:rFonts w:cs="Arial"/>
          <w:bCs/>
          <w:color w:val="auto"/>
          <w:szCs w:val="24"/>
        </w:rPr>
        <w:t xml:space="preserve">redominantly urban as more than </w:t>
      </w:r>
      <w:r w:rsidRPr="00A81706">
        <w:rPr>
          <w:rFonts w:cs="Arial"/>
          <w:color w:val="auto"/>
          <w:szCs w:val="24"/>
        </w:rPr>
        <w:t xml:space="preserve">74% of the resident population lives in urban areas. However, beyond these urban areas the </w:t>
      </w:r>
      <w:proofErr w:type="gramStart"/>
      <w:r w:rsidRPr="00A81706">
        <w:rPr>
          <w:rFonts w:cs="Arial"/>
          <w:color w:val="auto"/>
          <w:szCs w:val="24"/>
        </w:rPr>
        <w:t>District</w:t>
      </w:r>
      <w:proofErr w:type="gramEnd"/>
      <w:r w:rsidRPr="00A81706">
        <w:rPr>
          <w:rFonts w:cs="Arial"/>
          <w:color w:val="auto"/>
          <w:szCs w:val="24"/>
        </w:rPr>
        <w:t xml:space="preserve"> contains </w:t>
      </w:r>
      <w:proofErr w:type="gramStart"/>
      <w:r w:rsidRPr="00A81706">
        <w:rPr>
          <w:rFonts w:cs="Arial"/>
          <w:color w:val="auto"/>
          <w:szCs w:val="24"/>
        </w:rPr>
        <w:t>a number of</w:t>
      </w:r>
      <w:proofErr w:type="gramEnd"/>
      <w:r w:rsidRPr="00A81706">
        <w:rPr>
          <w:rFonts w:cs="Arial"/>
          <w:color w:val="auto"/>
          <w:szCs w:val="24"/>
        </w:rPr>
        <w:t xml:space="preserve"> rural areas that contribute significantly to its character.  </w:t>
      </w:r>
    </w:p>
    <w:p w14:paraId="193707B3" w14:textId="77777777" w:rsidR="00A81706" w:rsidRDefault="00A81706" w:rsidP="00A81706">
      <w:pPr>
        <w:keepNext w:val="0"/>
        <w:spacing w:before="0"/>
        <w:ind w:left="709"/>
        <w:rPr>
          <w:rFonts w:cs="Arial"/>
          <w:color w:val="auto"/>
          <w:szCs w:val="24"/>
          <w:lang w:eastAsia="en-US"/>
        </w:rPr>
      </w:pPr>
    </w:p>
    <w:p w14:paraId="6530C1C9" w14:textId="1A44BD2D" w:rsidR="00A81706" w:rsidRDefault="00A81706"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 xml:space="preserve">The NPPF identifies that the countryside should be protected for its intrinsic value and beauty. However, this </w:t>
      </w:r>
      <w:proofErr w:type="gramStart"/>
      <w:r w:rsidRPr="00A81706">
        <w:rPr>
          <w:rFonts w:eastAsia="Arial" w:cs="Arial"/>
          <w:color w:val="auto"/>
        </w:rPr>
        <w:t>has to</w:t>
      </w:r>
      <w:proofErr w:type="gramEnd"/>
      <w:r w:rsidRPr="00A81706">
        <w:rPr>
          <w:rFonts w:eastAsia="Arial" w:cs="Arial"/>
          <w:color w:val="auto"/>
        </w:rPr>
        <w:t xml:space="preserve"> be balanced against the need to promote appropriate development within rural areas to ensure that they remain viable and sustainable, meeting the needs of their resident population.  </w:t>
      </w:r>
      <w:r w:rsidRPr="00A81706">
        <w:rPr>
          <w:rFonts w:cs="Arial"/>
          <w:iCs/>
          <w:color w:val="auto"/>
          <w:szCs w:val="24"/>
        </w:rPr>
        <w:t>T</w:t>
      </w:r>
      <w:r w:rsidRPr="00A81706">
        <w:rPr>
          <w:rFonts w:eastAsia="Arial" w:cs="Arial"/>
          <w:color w:val="auto"/>
          <w:szCs w:val="24"/>
        </w:rPr>
        <w:t xml:space="preserve">he Policy is intended to provide flexibility in providing premises </w:t>
      </w:r>
      <w:r w:rsidRPr="00A81706">
        <w:rPr>
          <w:rFonts w:cs="Arial"/>
          <w:color w:val="auto"/>
          <w:szCs w:val="24"/>
        </w:rPr>
        <w:t>whilst protecting the Green Belt and countryside</w:t>
      </w:r>
      <w:r w:rsidRPr="00A81706">
        <w:rPr>
          <w:rFonts w:eastAsia="Arial" w:cs="Arial"/>
          <w:color w:val="auto"/>
          <w:szCs w:val="24"/>
        </w:rPr>
        <w:t xml:space="preserve">.  </w:t>
      </w:r>
    </w:p>
    <w:p w14:paraId="659FD92C" w14:textId="77777777" w:rsidR="00A81706" w:rsidRPr="00A81706" w:rsidRDefault="00A81706" w:rsidP="00A81706">
      <w:pPr>
        <w:keepNext w:val="0"/>
        <w:spacing w:before="0"/>
        <w:ind w:left="709"/>
        <w:rPr>
          <w:rFonts w:cs="Arial"/>
          <w:color w:val="auto"/>
          <w:szCs w:val="24"/>
          <w:lang w:eastAsia="en-US"/>
        </w:rPr>
      </w:pPr>
    </w:p>
    <w:p w14:paraId="4762C613" w14:textId="6699914A" w:rsidR="00A81706" w:rsidRDefault="00A81706"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 xml:space="preserve">The size, siting, material used, and appearance of any building or structure will be an important consideration.  </w:t>
      </w:r>
      <w:r w:rsidRPr="00A81706">
        <w:rPr>
          <w:rFonts w:eastAsia="Arial" w:cs="Arial"/>
          <w:color w:val="auto"/>
          <w:spacing w:val="-1"/>
          <w:szCs w:val="24"/>
        </w:rPr>
        <w:t>N</w:t>
      </w:r>
      <w:r w:rsidRPr="00A81706">
        <w:rPr>
          <w:rFonts w:cs="Arial"/>
          <w:color w:val="auto"/>
          <w:szCs w:val="24"/>
        </w:rPr>
        <w:t>ew buildings should integrate with existing features and should normally be located as closely as possible to existing buildings. Opportunities to re-use existing buildings or previously built sites will be preferred except in the case that removal of an existing structure and re-building in a more appropriate location is more beneficial</w:t>
      </w:r>
      <w:r w:rsidRPr="00A81706">
        <w:rPr>
          <w:rFonts w:cs="Arial"/>
          <w:b/>
          <w:bCs/>
          <w:color w:val="auto"/>
          <w:szCs w:val="24"/>
        </w:rPr>
        <w:t>.</w:t>
      </w:r>
      <w:r w:rsidRPr="00A81706">
        <w:rPr>
          <w:rFonts w:eastAsia="Calibri" w:cs="Arial"/>
          <w:b/>
          <w:bCs/>
          <w:color w:val="auto"/>
          <w:szCs w:val="24"/>
          <w:lang w:eastAsia="en-US"/>
        </w:rPr>
        <w:t xml:space="preserve"> </w:t>
      </w:r>
      <w:r w:rsidRPr="00A81706">
        <w:rPr>
          <w:rFonts w:eastAsia="Calibri" w:cs="Arial"/>
          <w:color w:val="auto"/>
          <w:szCs w:val="24"/>
          <w:lang w:eastAsia="en-US"/>
        </w:rPr>
        <w:t>In the context of sustainable development, it should be recognised that the private car can have an important role to play in rural areas as it may be the only real option for travel.</w:t>
      </w:r>
    </w:p>
    <w:p w14:paraId="3355AC35" w14:textId="77777777" w:rsidR="00A81706" w:rsidRPr="00A81706" w:rsidRDefault="00A81706" w:rsidP="00A81706">
      <w:pPr>
        <w:spacing w:before="0"/>
        <w:rPr>
          <w:rFonts w:eastAsia="Arial" w:cs="Arial"/>
          <w:color w:val="auto"/>
        </w:rPr>
      </w:pPr>
    </w:p>
    <w:p w14:paraId="4FE270F3" w14:textId="199234EE" w:rsidR="00A81706" w:rsidRPr="00A81706" w:rsidRDefault="00A81706"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 xml:space="preserve">Applicants will be required to provide sufficient information to demonstrate a level of involvement commensurate with commercial activity. </w:t>
      </w:r>
      <w:r w:rsidRPr="00A81706">
        <w:rPr>
          <w:rFonts w:eastAsia="Arial" w:cs="Arial"/>
          <w:color w:val="auto"/>
          <w:spacing w:val="-1"/>
        </w:rPr>
        <w:t xml:space="preserve">For </w:t>
      </w:r>
      <w:r w:rsidRPr="00A81706">
        <w:rPr>
          <w:rFonts w:eastAsia="Arial" w:cs="Arial"/>
          <w:color w:val="auto"/>
        </w:rPr>
        <w:t>agricultural, f</w:t>
      </w:r>
      <w:r w:rsidRPr="00A81706">
        <w:rPr>
          <w:rFonts w:eastAsia="Arial" w:cs="Arial"/>
          <w:color w:val="auto"/>
          <w:szCs w:val="24"/>
        </w:rPr>
        <w:t>orestry or horticultural</w:t>
      </w:r>
      <w:r w:rsidRPr="00A81706">
        <w:rPr>
          <w:rFonts w:eastAsia="Arial" w:cs="Arial"/>
          <w:b/>
          <w:color w:val="auto"/>
          <w:sz w:val="28"/>
        </w:rPr>
        <w:t xml:space="preserve"> </w:t>
      </w:r>
      <w:r w:rsidRPr="00A81706">
        <w:rPr>
          <w:rFonts w:eastAsia="Arial" w:cs="Arial"/>
          <w:color w:val="auto"/>
          <w:szCs w:val="24"/>
        </w:rPr>
        <w:t xml:space="preserve">enterprise this </w:t>
      </w:r>
      <w:r w:rsidRPr="00A81706">
        <w:rPr>
          <w:rFonts w:eastAsia="Arial" w:cs="Arial"/>
          <w:color w:val="auto"/>
        </w:rPr>
        <w:t>may require all or some of the following: business accounts, County/Parish holding number, movement records for animals, identifying that land is register with the Rural Land Register, registration with food standards/accreditation (such as Red Tractor, Soil Association organic certification),</w:t>
      </w:r>
      <w:r w:rsidRPr="00A81706">
        <w:rPr>
          <w:rFonts w:eastAsia="Arial" w:cs="Arial"/>
          <w:i/>
          <w:color w:val="auto"/>
        </w:rPr>
        <w:t xml:space="preserve"> </w:t>
      </w:r>
      <w:r w:rsidRPr="00A81706">
        <w:rPr>
          <w:rFonts w:eastAsia="Arial" w:cs="Arial"/>
          <w:iCs/>
          <w:color w:val="auto"/>
        </w:rPr>
        <w:t>evidence that the business is register for the Basic Payment Scheme (or any replacement scheme), or such other evidence that establishes the existence of the business.</w:t>
      </w:r>
      <w:r w:rsidRPr="00A81706">
        <w:rPr>
          <w:rFonts w:eastAsia="Arial" w:cs="Arial"/>
          <w:iCs/>
          <w:color w:val="auto"/>
          <w:spacing w:val="-1"/>
        </w:rPr>
        <w:t xml:space="preserve">  </w:t>
      </w:r>
      <w:r w:rsidRPr="00A81706">
        <w:rPr>
          <w:rFonts w:eastAsia="Arial" w:cs="Arial"/>
          <w:iCs/>
          <w:color w:val="auto"/>
        </w:rPr>
        <w:t xml:space="preserve">For equine businesses, such information could include a statement of the commercial rates history for the business, copies of appropriate insurances, copies of horse passports (if applicable) and any other information considered relevant to demonstrating it is a commercial business. </w:t>
      </w:r>
    </w:p>
    <w:p w14:paraId="03F4C464" w14:textId="77777777" w:rsidR="00A81706" w:rsidRDefault="00A81706" w:rsidP="00A81706">
      <w:pPr>
        <w:keepNext w:val="0"/>
        <w:spacing w:before="0"/>
        <w:rPr>
          <w:rFonts w:cs="Arial"/>
          <w:color w:val="auto"/>
          <w:szCs w:val="24"/>
          <w:lang w:eastAsia="en-US"/>
        </w:rPr>
      </w:pPr>
    </w:p>
    <w:p w14:paraId="3D140068" w14:textId="1E4D3C80" w:rsidR="00A81706" w:rsidRPr="00985BCC" w:rsidRDefault="00A81706" w:rsidP="00A81706">
      <w:pPr>
        <w:spacing w:before="0"/>
        <w:ind w:left="709"/>
        <w:rPr>
          <w:rFonts w:eastAsia="Arial" w:cs="Arial"/>
          <w:b/>
          <w:bCs/>
          <w:color w:val="auto"/>
        </w:rPr>
      </w:pPr>
      <w:r w:rsidRPr="00985BCC">
        <w:rPr>
          <w:rFonts w:eastAsia="Arial" w:cs="Arial"/>
          <w:b/>
          <w:bCs/>
          <w:color w:val="auto"/>
        </w:rPr>
        <w:t>Agriculture</w:t>
      </w:r>
    </w:p>
    <w:p w14:paraId="19D04740" w14:textId="664A1A4B" w:rsidR="00A81706" w:rsidRPr="00A81706" w:rsidRDefault="00A81706"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The demands on the agricultural sector are likely to increase into the future reflecting:</w:t>
      </w:r>
    </w:p>
    <w:p w14:paraId="43DFAA5A" w14:textId="7697293E" w:rsidR="00A81706" w:rsidRDefault="00A81706" w:rsidP="00A81706">
      <w:pPr>
        <w:keepNext w:val="0"/>
        <w:spacing w:before="0"/>
        <w:ind w:left="709"/>
        <w:rPr>
          <w:rFonts w:eastAsia="Arial" w:cs="Arial"/>
          <w:color w:val="auto"/>
        </w:rPr>
      </w:pPr>
    </w:p>
    <w:p w14:paraId="0A213323" w14:textId="77777777" w:rsidR="00A81706" w:rsidRPr="00A81706" w:rsidRDefault="00A81706" w:rsidP="00874A98">
      <w:pPr>
        <w:keepNext w:val="0"/>
        <w:numPr>
          <w:ilvl w:val="0"/>
          <w:numId w:val="148"/>
        </w:numPr>
        <w:tabs>
          <w:tab w:val="num" w:pos="360"/>
          <w:tab w:val="left" w:pos="680"/>
        </w:tabs>
        <w:suppressAutoHyphens/>
        <w:spacing w:before="0" w:after="160" w:line="252" w:lineRule="auto"/>
        <w:ind w:right="57"/>
        <w:jc w:val="both"/>
        <w:textAlignment w:val="baseline"/>
        <w:rPr>
          <w:rFonts w:eastAsia="Arial"/>
          <w:color w:val="auto"/>
        </w:rPr>
      </w:pPr>
      <w:r w:rsidRPr="00A81706">
        <w:rPr>
          <w:rFonts w:eastAsia="Arial"/>
          <w:color w:val="auto"/>
        </w:rPr>
        <w:t>food security;</w:t>
      </w:r>
    </w:p>
    <w:p w14:paraId="36B37B5D" w14:textId="1A45CA8E" w:rsidR="00A81706" w:rsidRPr="00A81706" w:rsidRDefault="00A81706" w:rsidP="00874A98">
      <w:pPr>
        <w:keepNext w:val="0"/>
        <w:numPr>
          <w:ilvl w:val="0"/>
          <w:numId w:val="148"/>
        </w:numPr>
        <w:tabs>
          <w:tab w:val="num" w:pos="360"/>
          <w:tab w:val="left" w:pos="680"/>
        </w:tabs>
        <w:suppressAutoHyphens/>
        <w:spacing w:before="0" w:after="160" w:line="252" w:lineRule="auto"/>
        <w:ind w:right="57"/>
        <w:jc w:val="both"/>
        <w:textAlignment w:val="baseline"/>
        <w:rPr>
          <w:rFonts w:eastAsia="Arial"/>
          <w:color w:val="auto"/>
        </w:rPr>
      </w:pPr>
      <w:r w:rsidRPr="00A81706">
        <w:rPr>
          <w:rFonts w:eastAsia="Arial"/>
          <w:color w:val="auto"/>
        </w:rPr>
        <w:t xml:space="preserve">the expansion of </w:t>
      </w:r>
      <w:r w:rsidR="00804383" w:rsidRPr="00A81706">
        <w:rPr>
          <w:rFonts w:eastAsia="Arial"/>
          <w:color w:val="auto"/>
        </w:rPr>
        <w:t>non-food</w:t>
      </w:r>
      <w:r w:rsidRPr="00A81706">
        <w:rPr>
          <w:rFonts w:eastAsia="Arial"/>
          <w:color w:val="auto"/>
        </w:rPr>
        <w:t xml:space="preserve"> crops; and</w:t>
      </w:r>
    </w:p>
    <w:p w14:paraId="79F529DF" w14:textId="10E339DE" w:rsidR="00A81706" w:rsidRPr="00A81706" w:rsidRDefault="00A81706" w:rsidP="00874A98">
      <w:pPr>
        <w:keepNext w:val="0"/>
        <w:numPr>
          <w:ilvl w:val="0"/>
          <w:numId w:val="148"/>
        </w:numPr>
        <w:tabs>
          <w:tab w:val="num" w:pos="360"/>
          <w:tab w:val="left" w:pos="680"/>
        </w:tabs>
        <w:suppressAutoHyphens/>
        <w:spacing w:before="0" w:after="160" w:line="252" w:lineRule="auto"/>
        <w:ind w:right="57"/>
        <w:jc w:val="both"/>
        <w:textAlignment w:val="baseline"/>
        <w:rPr>
          <w:rFonts w:eastAsia="Arial"/>
          <w:color w:val="auto"/>
        </w:rPr>
      </w:pPr>
      <w:r w:rsidRPr="00A81706">
        <w:rPr>
          <w:rFonts w:eastAsia="Arial"/>
          <w:color w:val="auto"/>
        </w:rPr>
        <w:t xml:space="preserve">the impact of climate change with rising global temperatures and changing patterns of precipitation.  </w:t>
      </w:r>
    </w:p>
    <w:p w14:paraId="2016149B" w14:textId="77777777" w:rsidR="00A81706" w:rsidRDefault="00A81706" w:rsidP="00A81706">
      <w:pPr>
        <w:keepNext w:val="0"/>
        <w:spacing w:before="0"/>
        <w:ind w:left="709"/>
        <w:rPr>
          <w:rFonts w:cs="Arial"/>
          <w:color w:val="auto"/>
          <w:szCs w:val="24"/>
          <w:lang w:eastAsia="en-US"/>
        </w:rPr>
      </w:pPr>
    </w:p>
    <w:p w14:paraId="21ED019A" w14:textId="19055280" w:rsidR="00A81706" w:rsidRPr="00A81706" w:rsidRDefault="00A81706"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cs="Arial"/>
          <w:color w:val="auto"/>
        </w:rPr>
        <w:t xml:space="preserve">Buildings and structures associated with agriculture are necessarily located in the countryside and many are large to meet the functional agricultural requirements. The agricultural need </w:t>
      </w:r>
      <w:proofErr w:type="gramStart"/>
      <w:r w:rsidRPr="00A81706">
        <w:rPr>
          <w:rFonts w:eastAsia="Arial" w:cs="Arial"/>
          <w:color w:val="auto"/>
        </w:rPr>
        <w:t>has to</w:t>
      </w:r>
      <w:proofErr w:type="gramEnd"/>
      <w:r w:rsidRPr="00A81706">
        <w:rPr>
          <w:rFonts w:eastAsia="Arial" w:cs="Arial"/>
          <w:color w:val="auto"/>
        </w:rPr>
        <w:t xml:space="preserve"> be balanced against the value of the countryside for its landscape, and its contribution to biodiversity and conservation.  </w:t>
      </w:r>
      <w:r w:rsidRPr="00A81706">
        <w:rPr>
          <w:rFonts w:eastAsia="Calibri" w:cs="Arial"/>
          <w:color w:val="auto"/>
          <w:szCs w:val="24"/>
          <w:lang w:eastAsia="en-US"/>
        </w:rPr>
        <w:t>The Council will consider whether a proposed agricultural building is necessary in relation to the needs of a Holding and where appropriate will obtain advice from an agricultural adviser.</w:t>
      </w:r>
    </w:p>
    <w:p w14:paraId="2533957B" w14:textId="77777777" w:rsidR="00A81706" w:rsidRDefault="00A81706" w:rsidP="00A81706">
      <w:pPr>
        <w:keepNext w:val="0"/>
        <w:spacing w:before="0"/>
        <w:ind w:left="709"/>
        <w:rPr>
          <w:rFonts w:cs="Arial"/>
          <w:color w:val="auto"/>
          <w:szCs w:val="24"/>
          <w:lang w:eastAsia="en-US"/>
        </w:rPr>
      </w:pPr>
    </w:p>
    <w:p w14:paraId="45D8B760" w14:textId="717CEC25" w:rsidR="00A81706" w:rsidRPr="00A81706" w:rsidRDefault="00A81706" w:rsidP="00D01157">
      <w:pPr>
        <w:keepNext w:val="0"/>
        <w:numPr>
          <w:ilvl w:val="1"/>
          <w:numId w:val="28"/>
        </w:numPr>
        <w:tabs>
          <w:tab w:val="clear" w:pos="525"/>
        </w:tabs>
        <w:spacing w:before="0"/>
        <w:ind w:left="709" w:hanging="709"/>
        <w:rPr>
          <w:rFonts w:cs="Arial"/>
          <w:color w:val="auto"/>
          <w:szCs w:val="24"/>
          <w:lang w:eastAsia="en-US"/>
        </w:rPr>
      </w:pPr>
      <w:r w:rsidRPr="00A81706">
        <w:rPr>
          <w:rFonts w:eastAsia="Arial"/>
          <w:bCs/>
          <w:color w:val="auto"/>
        </w:rPr>
        <w:t>F</w:t>
      </w:r>
      <w:r w:rsidRPr="00A81706">
        <w:rPr>
          <w:rFonts w:eastAsia="Arial" w:cs="Arial"/>
          <w:color w:val="auto"/>
        </w:rPr>
        <w:t xml:space="preserve">arm diversification is anticipated to be increasingly important to the continuing viability of farm enterprises in the future. The Council supports farm diversification schemes where it can be demonstrated that the scheme is financially viable from an economic perspective, the project is part of an existing farm </w:t>
      </w:r>
      <w:proofErr w:type="gramStart"/>
      <w:r w:rsidRPr="00A81706">
        <w:rPr>
          <w:rFonts w:eastAsia="Arial" w:cs="Arial"/>
          <w:color w:val="auto"/>
        </w:rPr>
        <w:t>holding, and</w:t>
      </w:r>
      <w:proofErr w:type="gramEnd"/>
      <w:r w:rsidRPr="00A81706">
        <w:rPr>
          <w:rFonts w:eastAsia="Arial" w:cs="Arial"/>
          <w:color w:val="auto"/>
        </w:rPr>
        <w:t xml:space="preserve"> is capable of satisfactory integration into </w:t>
      </w:r>
      <w:r w:rsidRPr="00A81706">
        <w:rPr>
          <w:rFonts w:cs="Arial"/>
          <w:color w:val="auto"/>
          <w:szCs w:val="24"/>
        </w:rPr>
        <w:t>their rural location.</w:t>
      </w:r>
      <w:r w:rsidRPr="00A81706">
        <w:rPr>
          <w:rFonts w:eastAsia="Arial"/>
          <w:color w:val="auto"/>
        </w:rPr>
        <w:t xml:space="preserve"> </w:t>
      </w:r>
      <w:r w:rsidRPr="00A81706">
        <w:rPr>
          <w:rFonts w:eastAsia="ArialMT" w:cs="Arial"/>
          <w:color w:val="auto"/>
          <w:szCs w:val="24"/>
        </w:rPr>
        <w:t>Diversification schemes must be capable of supporting the farm economy in the long term</w:t>
      </w:r>
      <w:r w:rsidRPr="00A81706">
        <w:rPr>
          <w:rFonts w:eastAsia="Arial" w:cs="Arial"/>
          <w:color w:val="auto"/>
          <w:spacing w:val="-1"/>
        </w:rPr>
        <w:t xml:space="preserve"> </w:t>
      </w:r>
      <w:r w:rsidRPr="00A81706">
        <w:rPr>
          <w:rFonts w:eastAsia="ArialMT" w:cs="Arial"/>
          <w:color w:val="auto"/>
          <w:szCs w:val="24"/>
        </w:rPr>
        <w:t xml:space="preserve">and be compatible with the </w:t>
      </w:r>
      <w:r w:rsidRPr="00A81706">
        <w:rPr>
          <w:rFonts w:eastAsia="ArialMT" w:cs="Arial"/>
          <w:color w:val="auto"/>
          <w:szCs w:val="24"/>
        </w:rPr>
        <w:lastRenderedPageBreak/>
        <w:t>main farming activities of the farm business. The Council will expect an appropriate farm diversification plan to be submitted with the</w:t>
      </w:r>
      <w:r w:rsidRPr="00A81706">
        <w:rPr>
          <w:rFonts w:eastAsia="Arial" w:cs="Arial"/>
          <w:color w:val="auto"/>
          <w:spacing w:val="-1"/>
        </w:rPr>
        <w:t xml:space="preserve"> </w:t>
      </w:r>
      <w:r w:rsidRPr="00A81706">
        <w:rPr>
          <w:rFonts w:eastAsia="ArialMT" w:cs="Arial"/>
          <w:color w:val="auto"/>
          <w:szCs w:val="24"/>
        </w:rPr>
        <w:t xml:space="preserve">proposal, which must set out the </w:t>
      </w:r>
      <w:proofErr w:type="gramStart"/>
      <w:r w:rsidRPr="00A81706">
        <w:rPr>
          <w:rFonts w:eastAsia="ArialMT" w:cs="Arial"/>
          <w:color w:val="auto"/>
          <w:szCs w:val="24"/>
        </w:rPr>
        <w:t>short and long term</w:t>
      </w:r>
      <w:proofErr w:type="gramEnd"/>
      <w:r w:rsidRPr="00A81706">
        <w:rPr>
          <w:rFonts w:eastAsia="ArialMT" w:cs="Arial"/>
          <w:color w:val="auto"/>
          <w:szCs w:val="24"/>
        </w:rPr>
        <w:t xml:space="preserve"> business plan of the existing farm</w:t>
      </w:r>
      <w:r w:rsidRPr="00A81706">
        <w:rPr>
          <w:rFonts w:eastAsia="Arial" w:cs="Arial"/>
          <w:color w:val="auto"/>
          <w:spacing w:val="-1"/>
        </w:rPr>
        <w:t xml:space="preserve"> </w:t>
      </w:r>
      <w:r w:rsidRPr="00A81706">
        <w:rPr>
          <w:rFonts w:eastAsia="ArialMT" w:cs="Arial"/>
          <w:color w:val="auto"/>
          <w:szCs w:val="24"/>
        </w:rPr>
        <w:t>business and explain how in functional and financial terms the proposal will support the</w:t>
      </w:r>
      <w:r w:rsidRPr="00A81706">
        <w:rPr>
          <w:rFonts w:eastAsia="Arial" w:cs="Arial"/>
          <w:color w:val="auto"/>
          <w:spacing w:val="-1"/>
        </w:rPr>
        <w:t xml:space="preserve"> </w:t>
      </w:r>
      <w:r w:rsidRPr="00A81706">
        <w:rPr>
          <w:rFonts w:eastAsia="ArialMT" w:cs="Arial"/>
          <w:color w:val="auto"/>
          <w:szCs w:val="24"/>
        </w:rPr>
        <w:t>long-term viability of the farm business.</w:t>
      </w:r>
    </w:p>
    <w:p w14:paraId="2859449E" w14:textId="77777777" w:rsidR="00A81706" w:rsidRPr="00A81706" w:rsidRDefault="00A81706" w:rsidP="00A81706">
      <w:pPr>
        <w:keepNext w:val="0"/>
        <w:spacing w:before="0"/>
        <w:rPr>
          <w:rFonts w:cs="Arial"/>
          <w:color w:val="auto"/>
          <w:szCs w:val="24"/>
          <w:lang w:eastAsia="en-US"/>
        </w:rPr>
      </w:pPr>
    </w:p>
    <w:p w14:paraId="363CB744" w14:textId="77777777" w:rsidR="00A81706" w:rsidRP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rPr>
        <w:t>One form of diversification is a farm shop. A farm shop can make an important contribution toward the viability of an agricultural holding; by reducing food miles, adding to the vibrancy of the rural economy and responding to customer requirements for quality local products.</w:t>
      </w:r>
      <w:r w:rsidRPr="00A81706">
        <w:rPr>
          <w:rFonts w:eastAsia="Arial" w:cs="Arial"/>
          <w:color w:val="auto"/>
          <w:spacing w:val="-1"/>
        </w:rPr>
        <w:t xml:space="preserve"> </w:t>
      </w:r>
      <w:r w:rsidRPr="00A81706">
        <w:rPr>
          <w:rFonts w:eastAsia="Arial" w:cs="Arial"/>
          <w:color w:val="auto"/>
        </w:rPr>
        <w:t xml:space="preserve">The success of a farm shop may be dependent on the correct product mix reflecting the seasonality of farm production, the ability to access and provide quality niche products from small local providers for customers, as well as providing a basic range of products for those customers. In assessing application for farm shops, the Council will </w:t>
      </w:r>
      <w:r w:rsidRPr="00A81706">
        <w:rPr>
          <w:rFonts w:eastAsia="Arial" w:cs="Arial"/>
          <w:color w:val="auto"/>
          <w:spacing w:val="-1"/>
        </w:rPr>
        <w:t xml:space="preserve">have regard to </w:t>
      </w:r>
      <w:r w:rsidRPr="00A81706">
        <w:rPr>
          <w:rFonts w:eastAsia="Arial" w:cs="Arial"/>
          <w:color w:val="auto"/>
        </w:rPr>
        <w:t>advice from the National Farmers' Retail &amp; Markets Association (FARMA), when assessing the appropriate product mix to be sold by the proposal. Their recommendation is that:</w:t>
      </w:r>
    </w:p>
    <w:p w14:paraId="1A822506" w14:textId="77777777" w:rsidR="00A81706" w:rsidRPr="00A81706" w:rsidRDefault="00A81706" w:rsidP="00EE2AAD">
      <w:pPr>
        <w:keepNext w:val="0"/>
        <w:spacing w:before="0"/>
        <w:rPr>
          <w:rFonts w:cs="Arial"/>
          <w:color w:val="auto"/>
          <w:szCs w:val="24"/>
          <w:lang w:eastAsia="en-US"/>
        </w:rPr>
      </w:pPr>
    </w:p>
    <w:p w14:paraId="0DD319B8" w14:textId="77777777" w:rsidR="00A81706" w:rsidRPr="00A81706" w:rsidRDefault="00A81706" w:rsidP="00874A98">
      <w:pPr>
        <w:keepNext w:val="0"/>
        <w:numPr>
          <w:ilvl w:val="0"/>
          <w:numId w:val="149"/>
        </w:numPr>
        <w:tabs>
          <w:tab w:val="clear" w:pos="1133"/>
          <w:tab w:val="left" w:pos="680"/>
          <w:tab w:val="num" w:pos="1418"/>
        </w:tabs>
        <w:suppressAutoHyphens/>
        <w:spacing w:before="0"/>
        <w:ind w:left="1418" w:right="56"/>
        <w:jc w:val="both"/>
        <w:textAlignment w:val="baseline"/>
        <w:rPr>
          <w:rFonts w:eastAsia="Arial"/>
          <w:color w:val="auto"/>
        </w:rPr>
      </w:pPr>
      <w:r w:rsidRPr="00A81706">
        <w:rPr>
          <w:rFonts w:eastAsia="Arial"/>
          <w:color w:val="auto"/>
        </w:rPr>
        <w:t>20% of products should be sourced and produced from the Farm;</w:t>
      </w:r>
    </w:p>
    <w:p w14:paraId="768E66B5" w14:textId="77777777" w:rsidR="00A81706" w:rsidRPr="00A81706" w:rsidRDefault="00A81706" w:rsidP="00874A98">
      <w:pPr>
        <w:keepNext w:val="0"/>
        <w:numPr>
          <w:ilvl w:val="0"/>
          <w:numId w:val="149"/>
        </w:numPr>
        <w:tabs>
          <w:tab w:val="clear" w:pos="1133"/>
          <w:tab w:val="left" w:pos="680"/>
          <w:tab w:val="num" w:pos="1418"/>
        </w:tabs>
        <w:suppressAutoHyphens/>
        <w:spacing w:before="0"/>
        <w:ind w:left="1418" w:right="56"/>
        <w:jc w:val="both"/>
        <w:textAlignment w:val="baseline"/>
        <w:rPr>
          <w:rFonts w:eastAsia="Arial"/>
          <w:color w:val="auto"/>
        </w:rPr>
      </w:pPr>
      <w:r w:rsidRPr="00A81706">
        <w:rPr>
          <w:rFonts w:eastAsia="Arial"/>
          <w:color w:val="auto"/>
        </w:rPr>
        <w:t>20% of products sourced and produced with 30 miles of the Farm;</w:t>
      </w:r>
    </w:p>
    <w:p w14:paraId="500716CD" w14:textId="77777777" w:rsidR="00A81706" w:rsidRPr="00A81706" w:rsidRDefault="00A81706" w:rsidP="00874A98">
      <w:pPr>
        <w:keepNext w:val="0"/>
        <w:numPr>
          <w:ilvl w:val="0"/>
          <w:numId w:val="149"/>
        </w:numPr>
        <w:tabs>
          <w:tab w:val="clear" w:pos="1133"/>
          <w:tab w:val="left" w:pos="680"/>
          <w:tab w:val="num" w:pos="1418"/>
        </w:tabs>
        <w:suppressAutoHyphens/>
        <w:spacing w:before="0"/>
        <w:ind w:left="1418" w:right="56"/>
        <w:jc w:val="both"/>
        <w:textAlignment w:val="baseline"/>
        <w:rPr>
          <w:rFonts w:eastAsia="Arial"/>
          <w:color w:val="auto"/>
        </w:rPr>
      </w:pPr>
      <w:r w:rsidRPr="00A81706">
        <w:rPr>
          <w:rFonts w:eastAsia="Arial"/>
          <w:color w:val="auto"/>
        </w:rPr>
        <w:t>40% of products should be sourced and produced within the Region;</w:t>
      </w:r>
    </w:p>
    <w:p w14:paraId="1F81BDEA" w14:textId="0BE875E1" w:rsidR="00A81706" w:rsidRPr="00A81706" w:rsidRDefault="00A81706" w:rsidP="00874A98">
      <w:pPr>
        <w:keepNext w:val="0"/>
        <w:numPr>
          <w:ilvl w:val="0"/>
          <w:numId w:val="149"/>
        </w:numPr>
        <w:tabs>
          <w:tab w:val="clear" w:pos="1133"/>
          <w:tab w:val="left" w:pos="680"/>
          <w:tab w:val="num" w:pos="1418"/>
        </w:tabs>
        <w:suppressAutoHyphens/>
        <w:spacing w:before="0"/>
        <w:ind w:left="1418" w:right="56"/>
        <w:jc w:val="both"/>
        <w:textAlignment w:val="baseline"/>
        <w:rPr>
          <w:rFonts w:eastAsia="Arial" w:cs="Arial"/>
          <w:color w:val="auto"/>
        </w:rPr>
      </w:pPr>
      <w:r w:rsidRPr="00A81706">
        <w:rPr>
          <w:rFonts w:eastAsia="Arial"/>
          <w:color w:val="auto"/>
        </w:rPr>
        <w:t>20% of the products are sourced and produced from elsewhere.</w:t>
      </w:r>
    </w:p>
    <w:p w14:paraId="6FFEDE0D" w14:textId="77777777" w:rsidR="00A81706" w:rsidRPr="00A81706" w:rsidRDefault="00A81706" w:rsidP="00A81706">
      <w:pPr>
        <w:keepNext w:val="0"/>
        <w:tabs>
          <w:tab w:val="left" w:pos="680"/>
        </w:tabs>
        <w:suppressAutoHyphens/>
        <w:spacing w:before="0" w:after="113" w:line="252" w:lineRule="auto"/>
        <w:ind w:left="1133" w:right="56"/>
        <w:jc w:val="both"/>
        <w:textAlignment w:val="baseline"/>
        <w:rPr>
          <w:rFonts w:eastAsia="Arial" w:cs="Arial"/>
          <w:color w:val="auto"/>
        </w:rPr>
      </w:pPr>
    </w:p>
    <w:p w14:paraId="2BD0E5F9" w14:textId="08134426" w:rsidR="00A81706" w:rsidRP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rPr>
        <w:t xml:space="preserve">Where permission is granted for a farm shop, conditions may be applied in relation to limits on the broad type of goods sold and the scale of development, to ensure that the shop is not run independently of the farm and to ensure adequate car parking and landscaping is provided. Depending on the scale of the shop proposed, there may also be a requirement to undertake an impact assessment.  </w:t>
      </w:r>
    </w:p>
    <w:p w14:paraId="662A17BE" w14:textId="77777777" w:rsidR="00A81706" w:rsidRDefault="00A81706" w:rsidP="00A81706">
      <w:pPr>
        <w:keepNext w:val="0"/>
        <w:spacing w:before="0"/>
        <w:ind w:left="709"/>
        <w:rPr>
          <w:rFonts w:eastAsia="Arial" w:cs="Arial"/>
          <w:color w:val="auto"/>
          <w:spacing w:val="-1"/>
        </w:rPr>
      </w:pPr>
    </w:p>
    <w:p w14:paraId="0B7F4442" w14:textId="1A066001" w:rsidR="00A81706" w:rsidRP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szCs w:val="24"/>
        </w:rPr>
        <w:t xml:space="preserve">The use of land for equestrian purposes, may be for business or recreational activity. The Policy emphasises the use of existing building as far as possible to minimise the impact on the countryside. For equestrian use this will include for stables, tack rooms, and feed stores. If new buildings are necessary, the buildings should be constructed in good quality appropriate materials and designed clearly for their intended purpose. In the countryside (including the Green Belt) or Green Belt the Council anticipates that buildings will be of timber construction and of a small scale </w:t>
      </w:r>
      <w:proofErr w:type="gramStart"/>
      <w:r w:rsidRPr="00A81706">
        <w:rPr>
          <w:rFonts w:eastAsia="Arial" w:cs="Arial"/>
          <w:color w:val="auto"/>
          <w:szCs w:val="24"/>
        </w:rPr>
        <w:t>so as to</w:t>
      </w:r>
      <w:proofErr w:type="gramEnd"/>
      <w:r w:rsidRPr="00A81706">
        <w:rPr>
          <w:rFonts w:eastAsia="Arial" w:cs="Arial"/>
          <w:color w:val="auto"/>
          <w:szCs w:val="24"/>
        </w:rPr>
        <w:t xml:space="preserve"> minimise the impact on the countryside. Buildings of permanent construction such as bricks/block walls and tile roofs would normally only be considered appropriate where required to preserve or enhance a Conservation Area or if it is sited within a group of existing traditional buildings.  </w:t>
      </w:r>
    </w:p>
    <w:p w14:paraId="7DB61A06" w14:textId="77777777" w:rsidR="00A81706" w:rsidRDefault="00A81706" w:rsidP="00A81706">
      <w:pPr>
        <w:keepNext w:val="0"/>
        <w:spacing w:before="0"/>
        <w:rPr>
          <w:rFonts w:eastAsia="Arial" w:cs="Arial"/>
          <w:color w:val="auto"/>
          <w:spacing w:val="-1"/>
        </w:rPr>
      </w:pPr>
    </w:p>
    <w:p w14:paraId="4F752698" w14:textId="77777777" w:rsid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szCs w:val="24"/>
        </w:rPr>
        <w:t>In terms of scale, the number of stables/loose boxes/sheds should be proportional to the accommodation of reasonable leisure needs of a householder or occupier or of the business requirement.  This will be balanced against the need to protect the countryside and character of the landscape. In addition, the land associated with the buildings will also be a determinate of the size of any buildings. However, it is not anticipated that recreational uses of stables for non-commercial purposes will typically require more than four loose boxes.</w:t>
      </w:r>
    </w:p>
    <w:p w14:paraId="5C567F77" w14:textId="77777777" w:rsidR="00A81706" w:rsidRPr="00A81706" w:rsidRDefault="00A81706" w:rsidP="00A81706">
      <w:pPr>
        <w:rPr>
          <w:rFonts w:eastAsia="Arial" w:cs="Arial"/>
          <w:color w:val="auto"/>
          <w:szCs w:val="24"/>
        </w:rPr>
      </w:pPr>
    </w:p>
    <w:p w14:paraId="2AD5A59D" w14:textId="019DB62C" w:rsidR="00A81706" w:rsidRP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szCs w:val="24"/>
        </w:rPr>
        <w:t xml:space="preserve">Well-managed horse pasture can contribute positively to the landscape character and openness of the countryside and Green Belt. However, horse keeping can also have detrimental impacts through excessive subdivision of fields, unsightly built development (stables, horse shelters, jumps and other structures), there can be waste management issues, overgrazing of pasture, loss of soil structure, and </w:t>
      </w:r>
      <w:proofErr w:type="gramStart"/>
      <w:r w:rsidRPr="00A81706">
        <w:rPr>
          <w:rFonts w:eastAsia="Arial" w:cs="Arial"/>
          <w:color w:val="auto"/>
          <w:szCs w:val="24"/>
        </w:rPr>
        <w:t>poor quality</w:t>
      </w:r>
      <w:proofErr w:type="gramEnd"/>
      <w:r w:rsidRPr="00A81706">
        <w:rPr>
          <w:rFonts w:eastAsia="Arial" w:cs="Arial"/>
          <w:color w:val="auto"/>
          <w:szCs w:val="24"/>
        </w:rPr>
        <w:t xml:space="preserve"> fencing.  DEFRA’s Code of practice for the welfare of Horses, Ponies, Donkeys and their hy</w:t>
      </w:r>
      <w:r w:rsidR="009D1815">
        <w:rPr>
          <w:rFonts w:eastAsia="Arial" w:cs="Arial"/>
          <w:color w:val="auto"/>
          <w:szCs w:val="24"/>
        </w:rPr>
        <w:t>b</w:t>
      </w:r>
      <w:r w:rsidRPr="00A81706">
        <w:rPr>
          <w:rFonts w:eastAsia="Arial" w:cs="Arial"/>
          <w:color w:val="auto"/>
          <w:szCs w:val="24"/>
        </w:rPr>
        <w:t>r</w:t>
      </w:r>
      <w:r w:rsidR="009D1815">
        <w:rPr>
          <w:rFonts w:eastAsia="Arial" w:cs="Arial"/>
          <w:color w:val="auto"/>
          <w:szCs w:val="24"/>
        </w:rPr>
        <w:t>i</w:t>
      </w:r>
      <w:r w:rsidRPr="00A81706">
        <w:rPr>
          <w:rFonts w:eastAsia="Arial" w:cs="Arial"/>
          <w:color w:val="auto"/>
          <w:szCs w:val="24"/>
        </w:rPr>
        <w:t>ds, The British Horse Society, Equine Industry Welfare Guidelines and other welfare organisations set out standards regarding well managed grazing land required per horse. The availability of sufficient well managed grazing land associated with a development is considered by the Council to prevent over-grazing, which is detriment to animal welfare, and the character and appearance of the landscape. The Council will utilise information from the British Horse Society, Equine Industry Welfare Guidelines and other equine and welfare organisations in considering the pasturage, and the stabling welfare requirements for horses.</w:t>
      </w:r>
    </w:p>
    <w:p w14:paraId="5058280B" w14:textId="77777777" w:rsidR="00A81706" w:rsidRDefault="00A81706" w:rsidP="00A81706">
      <w:pPr>
        <w:keepNext w:val="0"/>
        <w:spacing w:before="0"/>
        <w:ind w:left="709"/>
        <w:rPr>
          <w:rFonts w:eastAsia="Arial" w:cs="Arial"/>
          <w:color w:val="auto"/>
          <w:spacing w:val="-1"/>
        </w:rPr>
      </w:pPr>
    </w:p>
    <w:p w14:paraId="47176A49" w14:textId="77777777" w:rsid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szCs w:val="24"/>
        </w:rPr>
        <w:t xml:space="preserve">Where appropriate buildings should be a suitable distance away from dwellings to avoid problems of smell, noise, and pests, if </w:t>
      </w:r>
      <w:proofErr w:type="gramStart"/>
      <w:r w:rsidRPr="00A81706">
        <w:rPr>
          <w:rFonts w:eastAsia="Arial" w:cs="Arial"/>
          <w:color w:val="auto"/>
          <w:szCs w:val="24"/>
        </w:rPr>
        <w:t>necessary</w:t>
      </w:r>
      <w:proofErr w:type="gramEnd"/>
      <w:r w:rsidRPr="00A81706">
        <w:rPr>
          <w:rFonts w:eastAsia="Arial" w:cs="Arial"/>
          <w:color w:val="auto"/>
          <w:szCs w:val="24"/>
        </w:rPr>
        <w:t xml:space="preserve"> taking account of wind directions and other relevant factors.</w:t>
      </w:r>
    </w:p>
    <w:p w14:paraId="685544CA" w14:textId="77777777" w:rsidR="00A81706" w:rsidRPr="00A81706" w:rsidRDefault="00A81706" w:rsidP="00DA3B66">
      <w:pPr>
        <w:spacing w:before="0"/>
        <w:rPr>
          <w:rFonts w:eastAsia="Arial" w:cs="Arial"/>
          <w:color w:val="auto"/>
          <w:szCs w:val="24"/>
        </w:rPr>
      </w:pPr>
    </w:p>
    <w:p w14:paraId="093E723A" w14:textId="5BA404C8" w:rsidR="00A81706" w:rsidRPr="00DA3B6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szCs w:val="24"/>
        </w:rPr>
        <w:t xml:space="preserve">The Water Framework Directive requires all water bodies to achieve good ecological status by 2027. This requires that everyone works together to protect and improve water environment. Diffuse pollution of water (DPW) arises from numerous pollution sources including agriculture and horses. An average horse will produce 20.4 kilos (or 45 pounds) of manure each day, equating to 7.5 tonnes annually. This quantity does not include the addition of soiled stable bedding material. Although individually minor, such pollution on a catchment scale can be significant in terms of the cumulative effect on the environment.  Animal waste is a potential threat to the environment and human health, especially if it is stored or spread near water and one of the key elements of good management is the correct storage and consideration of the disposal of waste.  Ashfield is within a Nitrate Vulnerable </w:t>
      </w:r>
      <w:proofErr w:type="gramStart"/>
      <w:r w:rsidRPr="00A81706">
        <w:rPr>
          <w:rFonts w:eastAsia="Arial" w:cs="Arial"/>
          <w:color w:val="auto"/>
          <w:szCs w:val="24"/>
        </w:rPr>
        <w:t>Zone</w:t>
      </w:r>
      <w:proofErr w:type="gramEnd"/>
      <w:r w:rsidRPr="00A81706">
        <w:rPr>
          <w:rFonts w:eastAsia="Arial" w:cs="Arial"/>
          <w:color w:val="auto"/>
          <w:szCs w:val="24"/>
        </w:rPr>
        <w:t xml:space="preserve"> and the regulation requirements will be applicable to animals kept on agricultural holdings or enterprises.</w:t>
      </w:r>
    </w:p>
    <w:p w14:paraId="3B8FB8C3" w14:textId="77777777" w:rsidR="00DA3B66" w:rsidRDefault="00DA3B66" w:rsidP="00DA3B66">
      <w:pPr>
        <w:keepNext w:val="0"/>
        <w:spacing w:before="0"/>
        <w:rPr>
          <w:rFonts w:eastAsia="Arial" w:cs="Arial"/>
          <w:color w:val="auto"/>
          <w:spacing w:val="-1"/>
        </w:rPr>
      </w:pPr>
    </w:p>
    <w:p w14:paraId="38114230" w14:textId="4BA0F6DD" w:rsidR="00A81706" w:rsidRP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szCs w:val="24"/>
        </w:rPr>
        <w:t>Where the need to provide accommodation to enable farm, forestry or other workers to live at or near their place of work has been accepted as providing the special justification required for new, isolated residential development in the countryside, it will be necessary to ensure that the dwellings are kept available for meeting this need for as long as it exists</w:t>
      </w:r>
      <w:r w:rsidRPr="00A81706">
        <w:rPr>
          <w:rFonts w:eastAsia="Arial" w:cs="Arial"/>
          <w:color w:val="auto"/>
          <w:szCs w:val="24"/>
          <w:vertAlign w:val="superscript"/>
        </w:rPr>
        <w:footnoteReference w:id="97"/>
      </w:r>
      <w:r w:rsidRPr="00A81706">
        <w:rPr>
          <w:rFonts w:eastAsia="Arial" w:cs="Arial"/>
          <w:color w:val="auto"/>
          <w:szCs w:val="24"/>
        </w:rPr>
        <w:t xml:space="preserve">.  For this </w:t>
      </w:r>
      <w:r w:rsidR="009D1815" w:rsidRPr="00A81706">
        <w:rPr>
          <w:rFonts w:eastAsia="Arial" w:cs="Arial"/>
          <w:color w:val="auto"/>
          <w:szCs w:val="24"/>
        </w:rPr>
        <w:t>purpose,</w:t>
      </w:r>
      <w:r w:rsidRPr="00A81706">
        <w:rPr>
          <w:rFonts w:eastAsia="Arial" w:cs="Arial"/>
          <w:color w:val="auto"/>
          <w:szCs w:val="24"/>
        </w:rPr>
        <w:t xml:space="preserve"> planning permission should be made subject to appropriate occupancy conditions. This will ensure that the dwelling is not subsequently sold on the open market and ensures that sporadic development is carefully controlled. Changes in the scale and character of farming and forestry may affect the longer-term requirement for dwellings for which permission has been granted subject to an agricultural or forestry occupancy </w:t>
      </w:r>
      <w:r w:rsidRPr="00A81706">
        <w:rPr>
          <w:rFonts w:eastAsia="Arial" w:cs="Arial"/>
          <w:color w:val="auto"/>
          <w:szCs w:val="24"/>
        </w:rPr>
        <w:lastRenderedPageBreak/>
        <w:t>condition. Such dwellings, and others in the countryside with an occupancy condition attached, should not be kept vacant. Consequently, if the Policy requirements are met, the conditional may be released.</w:t>
      </w:r>
    </w:p>
    <w:p w14:paraId="51C6DD33" w14:textId="77777777" w:rsidR="00024CB3" w:rsidRDefault="00024CB3" w:rsidP="00024CB3">
      <w:pPr>
        <w:keepNext w:val="0"/>
        <w:spacing w:before="0"/>
        <w:rPr>
          <w:rFonts w:eastAsia="Arial" w:cs="Arial"/>
          <w:b/>
          <w:bCs/>
          <w:color w:val="auto"/>
          <w:szCs w:val="24"/>
        </w:rPr>
      </w:pPr>
    </w:p>
    <w:p w14:paraId="7FD75D32" w14:textId="77777777" w:rsidR="00804383" w:rsidRDefault="00804383" w:rsidP="00163F59">
      <w:pPr>
        <w:rPr>
          <w:rFonts w:eastAsia="Arial"/>
        </w:rPr>
      </w:pPr>
      <w:bookmarkStart w:id="265" w:name="_Toc145511602"/>
    </w:p>
    <w:p w14:paraId="7516899C" w14:textId="27ABAB4C" w:rsidR="00A81706" w:rsidRPr="00C55F46" w:rsidRDefault="006977E7" w:rsidP="00C55F46">
      <w:pPr>
        <w:pStyle w:val="Heading2"/>
        <w:jc w:val="left"/>
        <w:rPr>
          <w:rFonts w:eastAsia="Arial"/>
          <w:sz w:val="28"/>
          <w:szCs w:val="28"/>
        </w:rPr>
      </w:pPr>
      <w:r w:rsidRPr="00C55F46">
        <w:rPr>
          <w:rFonts w:eastAsia="Arial"/>
          <w:sz w:val="28"/>
          <w:szCs w:val="28"/>
        </w:rPr>
        <w:t xml:space="preserve">Policy </w:t>
      </w:r>
      <w:r w:rsidR="00D20668" w:rsidRPr="00C55F46">
        <w:rPr>
          <w:rFonts w:eastAsia="Arial"/>
          <w:sz w:val="28"/>
          <w:szCs w:val="28"/>
        </w:rPr>
        <w:t>EM5: Education, Skills and Training</w:t>
      </w:r>
      <w:bookmarkEnd w:id="265"/>
      <w:r w:rsidR="00D20668" w:rsidRPr="00C55F46">
        <w:rPr>
          <w:rFonts w:eastAsia="Arial"/>
          <w:sz w:val="28"/>
          <w:szCs w:val="28"/>
        </w:rPr>
        <w:t xml:space="preserve"> </w:t>
      </w:r>
    </w:p>
    <w:p w14:paraId="29AD385E" w14:textId="77777777" w:rsidR="00D20668" w:rsidRPr="00D20668" w:rsidRDefault="00D20668" w:rsidP="00D20668">
      <w:pPr>
        <w:rPr>
          <w:rFonts w:eastAsia="Arial" w:cs="Arial"/>
          <w:color w:val="auto"/>
          <w:szCs w:val="24"/>
        </w:rPr>
      </w:pPr>
    </w:p>
    <w:tbl>
      <w:tblPr>
        <w:tblStyle w:val="TableGrid3"/>
        <w:tblW w:w="9634" w:type="dxa"/>
        <w:tblLook w:val="04A0" w:firstRow="1" w:lastRow="0" w:firstColumn="1" w:lastColumn="0" w:noHBand="0" w:noVBand="1"/>
      </w:tblPr>
      <w:tblGrid>
        <w:gridCol w:w="2263"/>
        <w:gridCol w:w="397"/>
        <w:gridCol w:w="6974"/>
      </w:tblGrid>
      <w:tr w:rsidR="00A81706" w:rsidRPr="00A81706" w14:paraId="67F60496" w14:textId="77777777" w:rsidTr="00D17B5C">
        <w:trPr>
          <w:trHeight w:val="421"/>
        </w:trPr>
        <w:tc>
          <w:tcPr>
            <w:tcW w:w="9634" w:type="dxa"/>
            <w:gridSpan w:val="3"/>
          </w:tcPr>
          <w:p w14:paraId="140C4B2E" w14:textId="77777777" w:rsidR="009838D1" w:rsidRDefault="009838D1" w:rsidP="00FF3EAD">
            <w:pPr>
              <w:keepNext w:val="0"/>
              <w:tabs>
                <w:tab w:val="left" w:pos="680"/>
              </w:tabs>
              <w:spacing w:before="0"/>
              <w:jc w:val="left"/>
              <w:rPr>
                <w:rFonts w:eastAsia="Arial"/>
                <w:b/>
                <w:color w:val="auto"/>
                <w:spacing w:val="-1"/>
              </w:rPr>
            </w:pPr>
          </w:p>
          <w:p w14:paraId="4C67E102" w14:textId="3962881B" w:rsidR="00A81706" w:rsidRDefault="00A81706" w:rsidP="00FF3EAD">
            <w:pPr>
              <w:keepNext w:val="0"/>
              <w:tabs>
                <w:tab w:val="left" w:pos="680"/>
              </w:tabs>
              <w:spacing w:before="0"/>
              <w:jc w:val="left"/>
              <w:rPr>
                <w:rFonts w:eastAsia="Arial"/>
                <w:b/>
                <w:color w:val="auto"/>
                <w:spacing w:val="-1"/>
              </w:rPr>
            </w:pPr>
            <w:r w:rsidRPr="00A81706">
              <w:rPr>
                <w:rFonts w:eastAsia="Arial"/>
                <w:b/>
                <w:color w:val="auto"/>
                <w:spacing w:val="-1"/>
              </w:rPr>
              <w:t>Policy EM5:</w:t>
            </w:r>
            <w:r w:rsidRPr="00A81706">
              <w:rPr>
                <w:rFonts w:eastAsia="Arial"/>
                <w:b/>
                <w:color w:val="538135"/>
                <w:spacing w:val="-1"/>
              </w:rPr>
              <w:t xml:space="preserve"> </w:t>
            </w:r>
            <w:r w:rsidRPr="00A81706">
              <w:rPr>
                <w:rFonts w:eastAsia="Arial"/>
                <w:b/>
                <w:color w:val="auto"/>
                <w:spacing w:val="-1"/>
              </w:rPr>
              <w:t>Education</w:t>
            </w:r>
            <w:r w:rsidR="00D20668">
              <w:rPr>
                <w:rFonts w:eastAsia="Arial"/>
                <w:b/>
                <w:color w:val="auto"/>
                <w:spacing w:val="-1"/>
              </w:rPr>
              <w:t>,</w:t>
            </w:r>
            <w:r w:rsidRPr="00A81706">
              <w:rPr>
                <w:rFonts w:eastAsia="Arial"/>
                <w:b/>
                <w:color w:val="auto"/>
                <w:spacing w:val="-1"/>
              </w:rPr>
              <w:t xml:space="preserve"> Skills and Training</w:t>
            </w:r>
          </w:p>
          <w:p w14:paraId="0AE0AA68" w14:textId="04F8808A" w:rsidR="009838D1" w:rsidRPr="00A81706" w:rsidRDefault="009838D1" w:rsidP="00FF3EAD">
            <w:pPr>
              <w:keepNext w:val="0"/>
              <w:tabs>
                <w:tab w:val="left" w:pos="680"/>
              </w:tabs>
              <w:spacing w:before="0"/>
              <w:jc w:val="left"/>
              <w:rPr>
                <w:rFonts w:eastAsia="Arial"/>
                <w:b/>
                <w:color w:val="538135"/>
                <w:spacing w:val="-1"/>
              </w:rPr>
            </w:pPr>
          </w:p>
        </w:tc>
      </w:tr>
      <w:tr w:rsidR="00A81706" w:rsidRPr="00A81706" w14:paraId="50A521D8" w14:textId="77777777" w:rsidTr="00D17B5C">
        <w:tc>
          <w:tcPr>
            <w:tcW w:w="2660" w:type="dxa"/>
            <w:gridSpan w:val="2"/>
          </w:tcPr>
          <w:p w14:paraId="641AE028" w14:textId="77777777" w:rsidR="00A81706" w:rsidRPr="009838D1" w:rsidRDefault="00A81706" w:rsidP="00FF3EAD">
            <w:pPr>
              <w:keepNext w:val="0"/>
              <w:tabs>
                <w:tab w:val="left" w:pos="680"/>
              </w:tabs>
              <w:spacing w:before="0"/>
              <w:jc w:val="left"/>
              <w:rPr>
                <w:rFonts w:eastAsia="Arial"/>
                <w:bCs/>
                <w:color w:val="auto"/>
              </w:rPr>
            </w:pPr>
            <w:r w:rsidRPr="009838D1">
              <w:rPr>
                <w:rFonts w:eastAsia="Arial"/>
                <w:bCs/>
                <w:color w:val="auto"/>
              </w:rPr>
              <w:t>Strategic Objectives</w:t>
            </w:r>
          </w:p>
        </w:tc>
        <w:tc>
          <w:tcPr>
            <w:tcW w:w="6974" w:type="dxa"/>
          </w:tcPr>
          <w:p w14:paraId="76164D6C" w14:textId="77777777" w:rsidR="00A81706" w:rsidRPr="009838D1" w:rsidRDefault="00A81706" w:rsidP="00FF3EAD">
            <w:pPr>
              <w:keepNext w:val="0"/>
              <w:tabs>
                <w:tab w:val="left" w:pos="680"/>
              </w:tabs>
              <w:spacing w:before="40" w:after="40"/>
              <w:jc w:val="left"/>
              <w:rPr>
                <w:rFonts w:eastAsia="Arial"/>
                <w:bCs/>
                <w:color w:val="auto"/>
              </w:rPr>
            </w:pPr>
            <w:r w:rsidRPr="009838D1">
              <w:rPr>
                <w:rFonts w:eastAsia="Arial"/>
                <w:bCs/>
                <w:color w:val="auto"/>
              </w:rPr>
              <w:t>SO1, SO4, SO6, SO7, SO8, SO9, SO12.</w:t>
            </w:r>
          </w:p>
        </w:tc>
      </w:tr>
      <w:tr w:rsidR="00A81706" w:rsidRPr="00A81706" w14:paraId="445A4450" w14:textId="77777777" w:rsidTr="00D17B5C">
        <w:tc>
          <w:tcPr>
            <w:tcW w:w="9634" w:type="dxa"/>
            <w:gridSpan w:val="3"/>
            <w:shd w:val="clear" w:color="auto" w:fill="D9E2F3"/>
          </w:tcPr>
          <w:p w14:paraId="6A102DD0" w14:textId="77777777" w:rsidR="00A81706" w:rsidRPr="00985BCC" w:rsidRDefault="00A81706" w:rsidP="00FF3EAD">
            <w:pPr>
              <w:keepNext w:val="0"/>
              <w:spacing w:before="0"/>
              <w:jc w:val="left"/>
              <w:rPr>
                <w:rFonts w:eastAsia="Arial"/>
                <w:bCs/>
              </w:rPr>
            </w:pPr>
          </w:p>
          <w:p w14:paraId="09BA764F" w14:textId="792B4749" w:rsidR="00A81706" w:rsidRPr="00985BCC" w:rsidRDefault="00A81706" w:rsidP="00874A98">
            <w:pPr>
              <w:keepNext w:val="0"/>
              <w:numPr>
                <w:ilvl w:val="0"/>
                <w:numId w:val="150"/>
              </w:numPr>
              <w:tabs>
                <w:tab w:val="left" w:pos="680"/>
                <w:tab w:val="left" w:pos="1133"/>
                <w:tab w:val="left" w:pos="2267"/>
              </w:tabs>
              <w:spacing w:before="0"/>
              <w:ind w:left="357" w:right="284"/>
              <w:jc w:val="left"/>
              <w:rPr>
                <w:rFonts w:eastAsia="Arial"/>
                <w:bCs/>
              </w:rPr>
            </w:pPr>
            <w:r w:rsidRPr="00985BCC">
              <w:rPr>
                <w:rFonts w:eastAsia="Arial"/>
                <w:bCs/>
              </w:rPr>
              <w:t xml:space="preserve">The Council will support development that contributes towards raising the level of skills and opportunities for all ages in the </w:t>
            </w:r>
            <w:proofErr w:type="gramStart"/>
            <w:r w:rsidRPr="00985BCC">
              <w:rPr>
                <w:rFonts w:eastAsia="Arial"/>
                <w:bCs/>
              </w:rPr>
              <w:t>District</w:t>
            </w:r>
            <w:proofErr w:type="gramEnd"/>
            <w:r w:rsidRPr="00985BCC">
              <w:rPr>
                <w:rFonts w:eastAsia="Arial"/>
                <w:bCs/>
              </w:rPr>
              <w:t>. Development of education and skills will be promoted through:</w:t>
            </w:r>
          </w:p>
          <w:p w14:paraId="51595DD6" w14:textId="77777777" w:rsidR="00A81706" w:rsidRPr="00985BCC" w:rsidRDefault="00A81706" w:rsidP="00FF3EAD">
            <w:pPr>
              <w:keepNext w:val="0"/>
              <w:tabs>
                <w:tab w:val="left" w:pos="680"/>
                <w:tab w:val="left" w:pos="1133"/>
                <w:tab w:val="left" w:pos="2267"/>
              </w:tabs>
              <w:spacing w:before="0"/>
              <w:ind w:left="357" w:right="284"/>
              <w:jc w:val="left"/>
              <w:rPr>
                <w:rFonts w:eastAsia="Arial"/>
                <w:bCs/>
              </w:rPr>
            </w:pPr>
            <w:bookmarkStart w:id="266" w:name="_Hlk80168213"/>
          </w:p>
          <w:p w14:paraId="6C71A9DD" w14:textId="1E027CA1" w:rsidR="00A81706" w:rsidRPr="00985BCC" w:rsidRDefault="00A81706" w:rsidP="00874A98">
            <w:pPr>
              <w:keepNext w:val="0"/>
              <w:numPr>
                <w:ilvl w:val="0"/>
                <w:numId w:val="152"/>
              </w:numPr>
              <w:tabs>
                <w:tab w:val="left" w:pos="680"/>
              </w:tabs>
              <w:spacing w:before="0" w:after="160" w:line="252" w:lineRule="auto"/>
              <w:contextualSpacing/>
              <w:jc w:val="left"/>
              <w:rPr>
                <w:rFonts w:eastAsia="Arial"/>
                <w:bCs/>
              </w:rPr>
            </w:pPr>
            <w:r w:rsidRPr="00985BCC">
              <w:rPr>
                <w:rFonts w:eastAsia="Arial"/>
                <w:bCs/>
              </w:rPr>
              <w:t>Supporting the growth, development and improvement of Vison West Nottinghamshire College</w:t>
            </w:r>
            <w:r w:rsidR="00581EDE" w:rsidRPr="00985BCC">
              <w:rPr>
                <w:rFonts w:eastAsia="Arial"/>
                <w:bCs/>
              </w:rPr>
              <w:t xml:space="preserve">, Nottingham Trent University </w:t>
            </w:r>
            <w:r w:rsidRPr="00985BCC">
              <w:rPr>
                <w:rFonts w:eastAsia="Arial"/>
                <w:bCs/>
              </w:rPr>
              <w:t>and other educational institutions</w:t>
            </w:r>
            <w:r w:rsidR="009F1F17" w:rsidRPr="00985BCC">
              <w:rPr>
                <w:rFonts w:eastAsia="Arial"/>
                <w:bCs/>
              </w:rPr>
              <w:t xml:space="preserve"> within Ashfield</w:t>
            </w:r>
            <w:r w:rsidRPr="00985BCC">
              <w:rPr>
                <w:rFonts w:eastAsia="Arial"/>
                <w:bCs/>
              </w:rPr>
              <w:t>.</w:t>
            </w:r>
          </w:p>
          <w:bookmarkEnd w:id="266"/>
          <w:p w14:paraId="5F8E7C4B" w14:textId="77777777" w:rsidR="00A81706" w:rsidRPr="00985BCC" w:rsidRDefault="00A81706" w:rsidP="00FF3EAD">
            <w:pPr>
              <w:keepNext w:val="0"/>
              <w:tabs>
                <w:tab w:val="left" w:pos="680"/>
              </w:tabs>
              <w:spacing w:before="0"/>
              <w:ind w:left="720"/>
              <w:contextualSpacing/>
              <w:jc w:val="left"/>
              <w:rPr>
                <w:rFonts w:eastAsia="Arial"/>
                <w:bCs/>
              </w:rPr>
            </w:pPr>
          </w:p>
          <w:p w14:paraId="78433092" w14:textId="77777777" w:rsidR="00A81706" w:rsidRPr="00985BCC" w:rsidRDefault="00A81706" w:rsidP="00874A98">
            <w:pPr>
              <w:keepNext w:val="0"/>
              <w:numPr>
                <w:ilvl w:val="0"/>
                <w:numId w:val="152"/>
              </w:numPr>
              <w:tabs>
                <w:tab w:val="left" w:pos="680"/>
              </w:tabs>
              <w:spacing w:before="0" w:after="160" w:line="252" w:lineRule="auto"/>
              <w:contextualSpacing/>
              <w:jc w:val="left"/>
              <w:rPr>
                <w:rFonts w:eastAsia="Arial"/>
                <w:bCs/>
              </w:rPr>
            </w:pPr>
            <w:r w:rsidRPr="00985BCC">
              <w:rPr>
                <w:rFonts w:eastAsia="Arial"/>
                <w:bCs/>
              </w:rPr>
              <w:t>Supporting new educational facilities to improve local skills and training in the working age population, including on sites allocated for employment uses where:</w:t>
            </w:r>
          </w:p>
          <w:p w14:paraId="44AB3D63" w14:textId="77777777" w:rsidR="00A81706" w:rsidRPr="00985BCC" w:rsidRDefault="00A81706" w:rsidP="00FF3EAD">
            <w:pPr>
              <w:keepNext w:val="0"/>
              <w:tabs>
                <w:tab w:val="left" w:pos="680"/>
              </w:tabs>
              <w:spacing w:before="0"/>
              <w:ind w:left="720"/>
              <w:jc w:val="left"/>
              <w:rPr>
                <w:rFonts w:eastAsia="Arial"/>
                <w:bCs/>
              </w:rPr>
            </w:pPr>
          </w:p>
          <w:p w14:paraId="785ECB9D" w14:textId="77777777" w:rsidR="00A81706" w:rsidRPr="00985BCC" w:rsidRDefault="00A81706" w:rsidP="00874A98">
            <w:pPr>
              <w:keepNext w:val="0"/>
              <w:numPr>
                <w:ilvl w:val="0"/>
                <w:numId w:val="151"/>
              </w:numPr>
              <w:tabs>
                <w:tab w:val="left" w:pos="680"/>
              </w:tabs>
              <w:spacing w:before="0" w:after="160" w:line="252" w:lineRule="auto"/>
              <w:jc w:val="left"/>
              <w:rPr>
                <w:rFonts w:eastAsia="Arial"/>
                <w:bCs/>
              </w:rPr>
            </w:pPr>
            <w:r w:rsidRPr="00985BCC">
              <w:rPr>
                <w:rFonts w:eastAsia="Arial"/>
                <w:bCs/>
              </w:rPr>
              <w:t>it can be demonstrated that no suitable sites are available in town centre;</w:t>
            </w:r>
          </w:p>
          <w:p w14:paraId="67B63F44" w14:textId="77777777" w:rsidR="00A81706" w:rsidRPr="00985BCC" w:rsidRDefault="00A81706" w:rsidP="00874A98">
            <w:pPr>
              <w:keepNext w:val="0"/>
              <w:numPr>
                <w:ilvl w:val="0"/>
                <w:numId w:val="151"/>
              </w:numPr>
              <w:tabs>
                <w:tab w:val="left" w:pos="680"/>
              </w:tabs>
              <w:spacing w:before="0" w:after="160" w:line="252" w:lineRule="auto"/>
              <w:jc w:val="left"/>
              <w:rPr>
                <w:rFonts w:eastAsia="Arial"/>
                <w:bCs/>
              </w:rPr>
            </w:pPr>
            <w:r w:rsidRPr="00985BCC">
              <w:rPr>
                <w:rFonts w:eastAsia="Arial"/>
                <w:bCs/>
              </w:rPr>
              <w:t>provision is made for access by a range of means of transport; and</w:t>
            </w:r>
          </w:p>
          <w:p w14:paraId="55A61002" w14:textId="77777777" w:rsidR="00A81706" w:rsidRPr="00985BCC" w:rsidRDefault="00A81706" w:rsidP="00874A98">
            <w:pPr>
              <w:keepNext w:val="0"/>
              <w:numPr>
                <w:ilvl w:val="0"/>
                <w:numId w:val="151"/>
              </w:numPr>
              <w:tabs>
                <w:tab w:val="left" w:pos="680"/>
              </w:tabs>
              <w:spacing w:before="0"/>
              <w:jc w:val="left"/>
              <w:rPr>
                <w:rFonts w:eastAsia="Arial"/>
                <w:bCs/>
              </w:rPr>
            </w:pPr>
            <w:r w:rsidRPr="00985BCC">
              <w:rPr>
                <w:rFonts w:eastAsia="Arial"/>
                <w:bCs/>
              </w:rPr>
              <w:t>development would not conflict with the economic development function of the estate or area.</w:t>
            </w:r>
          </w:p>
          <w:p w14:paraId="5EC103AD" w14:textId="77777777" w:rsidR="00A81706" w:rsidRPr="00985BCC" w:rsidRDefault="00A81706" w:rsidP="00FF3EAD">
            <w:pPr>
              <w:keepNext w:val="0"/>
              <w:spacing w:before="0"/>
              <w:ind w:left="720"/>
              <w:contextualSpacing/>
              <w:jc w:val="left"/>
              <w:rPr>
                <w:rFonts w:eastAsia="Arial"/>
                <w:bCs/>
              </w:rPr>
            </w:pPr>
          </w:p>
          <w:p w14:paraId="2DB6F3B8" w14:textId="77777777" w:rsidR="00A81706" w:rsidRPr="00985BCC" w:rsidRDefault="00A81706" w:rsidP="00874A98">
            <w:pPr>
              <w:keepNext w:val="0"/>
              <w:numPr>
                <w:ilvl w:val="0"/>
                <w:numId w:val="152"/>
              </w:numPr>
              <w:tabs>
                <w:tab w:val="left" w:pos="680"/>
              </w:tabs>
              <w:spacing w:before="0" w:after="160" w:line="252" w:lineRule="auto"/>
              <w:contextualSpacing/>
              <w:jc w:val="left"/>
              <w:rPr>
                <w:rFonts w:eastAsia="Arial"/>
                <w:bCs/>
              </w:rPr>
            </w:pPr>
            <w:r w:rsidRPr="00985BCC">
              <w:rPr>
                <w:rFonts w:eastAsia="Arial"/>
                <w:bCs/>
              </w:rPr>
              <w:t xml:space="preserve">Utilising training and employment agreements to secure employment and skills development for the local workforce.  </w:t>
            </w:r>
          </w:p>
          <w:p w14:paraId="5EB09496" w14:textId="77777777" w:rsidR="00A81706" w:rsidRPr="00985BCC" w:rsidRDefault="00A81706" w:rsidP="00FF3EAD">
            <w:pPr>
              <w:keepNext w:val="0"/>
              <w:tabs>
                <w:tab w:val="left" w:pos="680"/>
                <w:tab w:val="left" w:pos="1133"/>
                <w:tab w:val="left" w:pos="2267"/>
              </w:tabs>
              <w:spacing w:before="0"/>
              <w:ind w:left="360" w:right="284"/>
              <w:jc w:val="left"/>
              <w:rPr>
                <w:rFonts w:eastAsia="Arial"/>
                <w:bCs/>
              </w:rPr>
            </w:pPr>
          </w:p>
          <w:p w14:paraId="374127EB" w14:textId="5377D941" w:rsidR="00A81706" w:rsidRPr="00985BCC" w:rsidRDefault="00A81706" w:rsidP="00874A98">
            <w:pPr>
              <w:keepNext w:val="0"/>
              <w:numPr>
                <w:ilvl w:val="0"/>
                <w:numId w:val="150"/>
              </w:numPr>
              <w:tabs>
                <w:tab w:val="left" w:pos="680"/>
                <w:tab w:val="left" w:pos="1133"/>
                <w:tab w:val="left" w:pos="2267"/>
              </w:tabs>
              <w:spacing w:before="0" w:after="160" w:line="252" w:lineRule="auto"/>
              <w:ind w:right="284"/>
              <w:contextualSpacing/>
              <w:jc w:val="left"/>
              <w:rPr>
                <w:rFonts w:eastAsia="Arial"/>
                <w:bCs/>
              </w:rPr>
            </w:pPr>
            <w:r w:rsidRPr="00985BCC">
              <w:rPr>
                <w:rFonts w:eastAsia="Arial"/>
                <w:bCs/>
              </w:rPr>
              <w:t xml:space="preserve">The Council will support the renovation, redevelopment and expansion of the </w:t>
            </w:r>
            <w:proofErr w:type="gramStart"/>
            <w:r w:rsidRPr="00985BCC">
              <w:rPr>
                <w:rFonts w:eastAsia="Arial"/>
                <w:bCs/>
              </w:rPr>
              <w:t>District’s</w:t>
            </w:r>
            <w:proofErr w:type="gramEnd"/>
            <w:r w:rsidRPr="00985BCC">
              <w:rPr>
                <w:rFonts w:eastAsia="Arial"/>
                <w:bCs/>
              </w:rPr>
              <w:t xml:space="preserve"> schools.  Where additional school places are anticipated to be required </w:t>
            </w:r>
            <w:proofErr w:type="gramStart"/>
            <w:r w:rsidRPr="00985BCC">
              <w:rPr>
                <w:rFonts w:eastAsia="Arial"/>
                <w:bCs/>
              </w:rPr>
              <w:t>as a result of</w:t>
            </w:r>
            <w:proofErr w:type="gramEnd"/>
            <w:r w:rsidRPr="00985BCC">
              <w:rPr>
                <w:rFonts w:eastAsia="Arial"/>
                <w:bCs/>
              </w:rPr>
              <w:t xml:space="preserve"> a development proposal</w:t>
            </w:r>
            <w:r w:rsidR="00606E15" w:rsidRPr="00985BCC">
              <w:t xml:space="preserve"> or have been </w:t>
            </w:r>
            <w:r w:rsidR="00606E15" w:rsidRPr="00985BCC">
              <w:rPr>
                <w:rFonts w:eastAsia="Arial"/>
                <w:bCs/>
              </w:rPr>
              <w:t>forward funded to meet new housing requirements</w:t>
            </w:r>
            <w:r w:rsidRPr="00985BCC">
              <w:rPr>
                <w:rFonts w:eastAsia="Arial"/>
                <w:bCs/>
              </w:rPr>
              <w:t>, the Council will require the provision of:</w:t>
            </w:r>
          </w:p>
          <w:p w14:paraId="59A52BA6" w14:textId="77777777" w:rsidR="00A81706" w:rsidRPr="00985BCC" w:rsidRDefault="00A81706" w:rsidP="00FF3EAD">
            <w:pPr>
              <w:keepNext w:val="0"/>
              <w:spacing w:before="0" w:after="160" w:line="252" w:lineRule="auto"/>
              <w:ind w:left="720"/>
              <w:contextualSpacing/>
              <w:jc w:val="left"/>
              <w:rPr>
                <w:rFonts w:eastAsia="Arial"/>
                <w:bCs/>
              </w:rPr>
            </w:pPr>
          </w:p>
          <w:p w14:paraId="308871DF" w14:textId="77777777" w:rsidR="00A81706" w:rsidRPr="00985BCC" w:rsidRDefault="00A81706" w:rsidP="00874A98">
            <w:pPr>
              <w:keepNext w:val="0"/>
              <w:numPr>
                <w:ilvl w:val="0"/>
                <w:numId w:val="153"/>
              </w:numPr>
              <w:tabs>
                <w:tab w:val="left" w:pos="680"/>
              </w:tabs>
              <w:spacing w:before="0" w:after="160" w:line="252" w:lineRule="auto"/>
              <w:contextualSpacing/>
              <w:jc w:val="left"/>
              <w:rPr>
                <w:rFonts w:eastAsia="Arial"/>
                <w:bCs/>
              </w:rPr>
            </w:pPr>
            <w:r w:rsidRPr="00985BCC">
              <w:rPr>
                <w:rFonts w:eastAsia="Arial"/>
                <w:bCs/>
              </w:rPr>
              <w:t xml:space="preserve">A primary school on site or contributions towards the expansion of existing or new primary school provision; and/or </w:t>
            </w:r>
          </w:p>
          <w:p w14:paraId="7D85476F" w14:textId="77777777" w:rsidR="00A81706" w:rsidRPr="00985BCC" w:rsidRDefault="00A81706" w:rsidP="00874A98">
            <w:pPr>
              <w:keepNext w:val="0"/>
              <w:numPr>
                <w:ilvl w:val="0"/>
                <w:numId w:val="153"/>
              </w:numPr>
              <w:tabs>
                <w:tab w:val="left" w:pos="680"/>
              </w:tabs>
              <w:spacing w:before="0" w:after="160" w:line="252" w:lineRule="auto"/>
              <w:contextualSpacing/>
              <w:jc w:val="left"/>
              <w:rPr>
                <w:rFonts w:eastAsia="Arial"/>
                <w:bCs/>
              </w:rPr>
            </w:pPr>
            <w:r w:rsidRPr="00985BCC">
              <w:rPr>
                <w:rFonts w:eastAsia="Arial"/>
                <w:bCs/>
              </w:rPr>
              <w:t xml:space="preserve">A secondary school on site or contributions towards the expansion of existing or new secondary school provision. </w:t>
            </w:r>
          </w:p>
          <w:p w14:paraId="7D125BD7" w14:textId="77777777" w:rsidR="00A81706" w:rsidRPr="00985BCC" w:rsidRDefault="00A81706" w:rsidP="00FF3EAD">
            <w:pPr>
              <w:keepNext w:val="0"/>
              <w:tabs>
                <w:tab w:val="left" w:pos="680"/>
              </w:tabs>
              <w:spacing w:before="0"/>
              <w:jc w:val="left"/>
              <w:rPr>
                <w:rFonts w:eastAsia="Arial"/>
                <w:bCs/>
              </w:rPr>
            </w:pPr>
          </w:p>
        </w:tc>
      </w:tr>
      <w:tr w:rsidR="00A81706" w:rsidRPr="00A81706" w14:paraId="607B231D" w14:textId="77777777" w:rsidTr="00D17B5C">
        <w:tc>
          <w:tcPr>
            <w:tcW w:w="2263" w:type="dxa"/>
          </w:tcPr>
          <w:p w14:paraId="55FB789E" w14:textId="77777777" w:rsidR="00A81706" w:rsidRPr="00A81706" w:rsidRDefault="00A81706" w:rsidP="000032A9">
            <w:pPr>
              <w:keepNext w:val="0"/>
              <w:tabs>
                <w:tab w:val="left" w:pos="680"/>
                <w:tab w:val="left" w:pos="1133"/>
                <w:tab w:val="left" w:pos="2267"/>
              </w:tabs>
              <w:spacing w:before="0"/>
              <w:ind w:right="284"/>
              <w:rPr>
                <w:rFonts w:eastAsia="Arial"/>
                <w:b/>
                <w:color w:val="538135"/>
                <w:szCs w:val="24"/>
              </w:rPr>
            </w:pPr>
            <w:r w:rsidRPr="00A81706">
              <w:rPr>
                <w:rFonts w:eastAsia="Arial"/>
                <w:bCs/>
                <w:color w:val="auto"/>
                <w:sz w:val="20"/>
              </w:rPr>
              <w:t>Evidence base</w:t>
            </w:r>
          </w:p>
        </w:tc>
        <w:tc>
          <w:tcPr>
            <w:tcW w:w="7371" w:type="dxa"/>
            <w:gridSpan w:val="2"/>
          </w:tcPr>
          <w:p w14:paraId="2B4F3126" w14:textId="78ABFE92" w:rsidR="00A81706" w:rsidRPr="00985BCC"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 xml:space="preserve">Background Paper </w:t>
            </w:r>
            <w:r w:rsidR="00A05D94" w:rsidRPr="00985BCC">
              <w:rPr>
                <w:rFonts w:eastAsia="Arial"/>
                <w:bCs/>
                <w:sz w:val="20"/>
              </w:rPr>
              <w:t xml:space="preserve">No 1: </w:t>
            </w:r>
            <w:r w:rsidRPr="00985BCC">
              <w:rPr>
                <w:rFonts w:eastAsia="Arial"/>
                <w:bCs/>
                <w:sz w:val="20"/>
              </w:rPr>
              <w:t xml:space="preserve">Spatial Strategy and </w:t>
            </w:r>
            <w:r w:rsidR="00A32846" w:rsidRPr="00985BCC">
              <w:rPr>
                <w:rFonts w:eastAsia="Arial"/>
                <w:bCs/>
                <w:sz w:val="20"/>
              </w:rPr>
              <w:t>Site Selection 2023</w:t>
            </w:r>
            <w:r w:rsidRPr="00985BCC">
              <w:rPr>
                <w:rFonts w:eastAsia="Arial"/>
                <w:bCs/>
                <w:sz w:val="20"/>
              </w:rPr>
              <w:t>. Ashfield District Council</w:t>
            </w:r>
          </w:p>
          <w:p w14:paraId="181D39ED" w14:textId="64FD4FB4" w:rsidR="00A81706" w:rsidRPr="00985BCC"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 xml:space="preserve">Background Paper </w:t>
            </w:r>
            <w:r w:rsidR="00A05D94" w:rsidRPr="00985BCC">
              <w:rPr>
                <w:rFonts w:eastAsia="Arial"/>
                <w:bCs/>
                <w:sz w:val="20"/>
              </w:rPr>
              <w:t xml:space="preserve">No 3: </w:t>
            </w:r>
            <w:r w:rsidR="000032A9" w:rsidRPr="00985BCC">
              <w:rPr>
                <w:rFonts w:eastAsia="Arial"/>
                <w:bCs/>
                <w:sz w:val="20"/>
              </w:rPr>
              <w:t xml:space="preserve">Economy &amp; </w:t>
            </w:r>
            <w:r w:rsidRPr="00985BCC">
              <w:rPr>
                <w:rFonts w:eastAsia="Arial"/>
                <w:bCs/>
                <w:sz w:val="20"/>
              </w:rPr>
              <w:t>Employment Land 202</w:t>
            </w:r>
            <w:r w:rsidR="006B0C43" w:rsidRPr="00985BCC">
              <w:rPr>
                <w:rFonts w:eastAsia="Arial"/>
                <w:bCs/>
                <w:sz w:val="20"/>
              </w:rPr>
              <w:t>3</w:t>
            </w:r>
            <w:r w:rsidRPr="00985BCC">
              <w:rPr>
                <w:rFonts w:eastAsia="Arial"/>
                <w:bCs/>
                <w:sz w:val="20"/>
              </w:rPr>
              <w:t>.  Ashfield District Council.</w:t>
            </w:r>
          </w:p>
          <w:p w14:paraId="3443F8A3" w14:textId="77777777" w:rsidR="00A81706" w:rsidRPr="00985BCC"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lastRenderedPageBreak/>
              <w:t>The Nottingham Core HMA and Nottingham Outer HMA Employment Land Needs Study, 2021.  Lichfield.</w:t>
            </w:r>
          </w:p>
          <w:p w14:paraId="2EA66041" w14:textId="120685DE" w:rsidR="00A81706" w:rsidRPr="00985BCC"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Strategic Housing and Employment Land Availability Assessment</w:t>
            </w:r>
            <w:r w:rsidR="00AE785A">
              <w:rPr>
                <w:rFonts w:eastAsia="Arial"/>
                <w:bCs/>
                <w:sz w:val="20"/>
              </w:rPr>
              <w:t xml:space="preserve"> </w:t>
            </w:r>
            <w:r w:rsidRPr="00985BCC">
              <w:rPr>
                <w:rFonts w:eastAsia="Arial"/>
                <w:bCs/>
                <w:sz w:val="20"/>
              </w:rPr>
              <w:t>2021</w:t>
            </w:r>
            <w:r w:rsidR="00AE785A">
              <w:rPr>
                <w:rFonts w:eastAsia="Arial"/>
                <w:bCs/>
                <w:sz w:val="20"/>
              </w:rPr>
              <w:t xml:space="preserve"> - 2023</w:t>
            </w:r>
            <w:r w:rsidRPr="00985BCC">
              <w:rPr>
                <w:rFonts w:eastAsia="Arial"/>
                <w:bCs/>
                <w:sz w:val="20"/>
              </w:rPr>
              <w:t>. Ashfield District Council.</w:t>
            </w:r>
          </w:p>
          <w:p w14:paraId="131A7CCA" w14:textId="126BF105" w:rsidR="006E3758" w:rsidRPr="00985BCC" w:rsidRDefault="006E3758"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Securing developer contributions for education, April 2019. Department for Education.</w:t>
            </w:r>
          </w:p>
          <w:p w14:paraId="3FC76BB0" w14:textId="455CBFE0" w:rsidR="00A81706" w:rsidRPr="00985BCC" w:rsidRDefault="00A81706" w:rsidP="00A05D94">
            <w:pPr>
              <w:keepNext w:val="0"/>
              <w:numPr>
                <w:ilvl w:val="0"/>
                <w:numId w:val="24"/>
              </w:numPr>
              <w:tabs>
                <w:tab w:val="left" w:pos="680"/>
                <w:tab w:val="left" w:pos="1133"/>
                <w:tab w:val="left" w:pos="2267"/>
              </w:tabs>
              <w:spacing w:before="0" w:after="160" w:line="252" w:lineRule="auto"/>
              <w:ind w:right="284"/>
              <w:contextualSpacing/>
              <w:jc w:val="left"/>
              <w:rPr>
                <w:rFonts w:eastAsia="Arial"/>
                <w:bCs/>
                <w:sz w:val="20"/>
              </w:rPr>
            </w:pPr>
            <w:r w:rsidRPr="00985BCC">
              <w:rPr>
                <w:rFonts w:eastAsia="Arial"/>
                <w:bCs/>
                <w:sz w:val="20"/>
              </w:rPr>
              <w:t>Sustainability Appraisal 202</w:t>
            </w:r>
            <w:r w:rsidR="006B0C43" w:rsidRPr="00985BCC">
              <w:rPr>
                <w:rFonts w:eastAsia="Arial"/>
                <w:bCs/>
                <w:sz w:val="20"/>
              </w:rPr>
              <w:t>3</w:t>
            </w:r>
            <w:r w:rsidRPr="00985BCC">
              <w:rPr>
                <w:rFonts w:eastAsia="Arial"/>
                <w:bCs/>
                <w:sz w:val="20"/>
              </w:rPr>
              <w:t xml:space="preserve">, </w:t>
            </w:r>
            <w:r w:rsidR="006B0C43" w:rsidRPr="00985BCC">
              <w:rPr>
                <w:rFonts w:eastAsia="Arial"/>
                <w:bCs/>
                <w:sz w:val="20"/>
              </w:rPr>
              <w:t>WSP UK Limited.</w:t>
            </w:r>
          </w:p>
        </w:tc>
      </w:tr>
      <w:tr w:rsidR="00A81706" w:rsidRPr="00A81706" w14:paraId="692C845D" w14:textId="77777777" w:rsidTr="00D17B5C">
        <w:tc>
          <w:tcPr>
            <w:tcW w:w="2263" w:type="dxa"/>
          </w:tcPr>
          <w:p w14:paraId="6EFF0A1E" w14:textId="77777777" w:rsidR="00A81706" w:rsidRPr="00A81706" w:rsidRDefault="00A81706" w:rsidP="005A0FAE">
            <w:pPr>
              <w:keepNext w:val="0"/>
              <w:tabs>
                <w:tab w:val="left" w:pos="680"/>
                <w:tab w:val="left" w:pos="1133"/>
                <w:tab w:val="left" w:pos="2267"/>
              </w:tabs>
              <w:spacing w:before="0"/>
              <w:ind w:right="284"/>
              <w:jc w:val="left"/>
              <w:rPr>
                <w:rFonts w:eastAsia="Arial"/>
                <w:b/>
                <w:color w:val="538135"/>
                <w:sz w:val="22"/>
              </w:rPr>
            </w:pPr>
            <w:r w:rsidRPr="00A81706">
              <w:rPr>
                <w:rFonts w:eastAsia="Arial"/>
                <w:bCs/>
                <w:color w:val="auto"/>
                <w:sz w:val="20"/>
              </w:rPr>
              <w:lastRenderedPageBreak/>
              <w:t>National Planning Policy and Guidance</w:t>
            </w:r>
          </w:p>
        </w:tc>
        <w:tc>
          <w:tcPr>
            <w:tcW w:w="7371" w:type="dxa"/>
            <w:gridSpan w:val="2"/>
          </w:tcPr>
          <w:p w14:paraId="49340108" w14:textId="4841BC30" w:rsidR="00A81706" w:rsidRPr="00A81706" w:rsidRDefault="00A81706" w:rsidP="00A05D94">
            <w:pPr>
              <w:keepNext w:val="0"/>
              <w:numPr>
                <w:ilvl w:val="0"/>
                <w:numId w:val="25"/>
              </w:numPr>
              <w:spacing w:before="0" w:after="160" w:line="252" w:lineRule="auto"/>
              <w:contextualSpacing/>
              <w:jc w:val="left"/>
              <w:rPr>
                <w:rFonts w:cs="Arial"/>
                <w:bCs/>
                <w:color w:val="auto"/>
                <w:sz w:val="20"/>
                <w:u w:val="single"/>
              </w:rPr>
            </w:pPr>
            <w:r w:rsidRPr="00A81706">
              <w:rPr>
                <w:rFonts w:eastAsia="Arial"/>
                <w:bCs/>
                <w:color w:val="auto"/>
                <w:sz w:val="20"/>
              </w:rPr>
              <w:t>NPPF 202</w:t>
            </w:r>
            <w:r w:rsidR="004173E0">
              <w:rPr>
                <w:rFonts w:eastAsia="Arial"/>
                <w:bCs/>
                <w:color w:val="auto"/>
                <w:sz w:val="20"/>
              </w:rPr>
              <w:t>3</w:t>
            </w:r>
            <w:r w:rsidRPr="00A81706">
              <w:rPr>
                <w:rFonts w:eastAsia="Arial"/>
                <w:bCs/>
                <w:color w:val="auto"/>
                <w:sz w:val="20"/>
              </w:rPr>
              <w:t>, Part 2: Achieving sustainable development.</w:t>
            </w:r>
          </w:p>
          <w:p w14:paraId="6B186B8B" w14:textId="7358A5BA" w:rsidR="00A81706" w:rsidRPr="00A81706" w:rsidRDefault="00A81706" w:rsidP="00A05D94">
            <w:pPr>
              <w:keepNext w:val="0"/>
              <w:numPr>
                <w:ilvl w:val="0"/>
                <w:numId w:val="25"/>
              </w:numPr>
              <w:tabs>
                <w:tab w:val="left" w:pos="680"/>
                <w:tab w:val="left" w:pos="1133"/>
                <w:tab w:val="left" w:pos="2267"/>
              </w:tabs>
              <w:spacing w:before="0" w:after="160" w:line="252" w:lineRule="auto"/>
              <w:ind w:right="284"/>
              <w:contextualSpacing/>
              <w:jc w:val="left"/>
              <w:rPr>
                <w:rFonts w:eastAsia="Arial"/>
                <w:bCs/>
                <w:color w:val="auto"/>
                <w:sz w:val="20"/>
              </w:rPr>
            </w:pPr>
            <w:r w:rsidRPr="00A81706">
              <w:rPr>
                <w:rFonts w:eastAsia="Arial"/>
                <w:bCs/>
                <w:color w:val="auto"/>
                <w:sz w:val="20"/>
              </w:rPr>
              <w:t>NPPF 202</w:t>
            </w:r>
            <w:r w:rsidR="004173E0">
              <w:rPr>
                <w:rFonts w:eastAsia="Arial"/>
                <w:bCs/>
                <w:color w:val="auto"/>
                <w:sz w:val="20"/>
              </w:rPr>
              <w:t>3</w:t>
            </w:r>
            <w:r w:rsidRPr="00A81706">
              <w:rPr>
                <w:rFonts w:eastAsia="Arial"/>
                <w:bCs/>
                <w:color w:val="auto"/>
                <w:sz w:val="20"/>
              </w:rPr>
              <w:t xml:space="preserve">, Part 6: </w:t>
            </w:r>
            <w:r w:rsidRPr="00A81706">
              <w:rPr>
                <w:bCs/>
                <w:color w:val="auto"/>
                <w:sz w:val="20"/>
              </w:rPr>
              <w:t>Building a strong, competitive economy.</w:t>
            </w:r>
          </w:p>
          <w:p w14:paraId="22E292F5" w14:textId="27F268D1" w:rsidR="00A81706" w:rsidRPr="00A81706" w:rsidRDefault="00A81706" w:rsidP="00A05D94">
            <w:pPr>
              <w:keepNext w:val="0"/>
              <w:numPr>
                <w:ilvl w:val="0"/>
                <w:numId w:val="25"/>
              </w:numPr>
              <w:spacing w:before="0" w:after="160" w:line="252" w:lineRule="auto"/>
              <w:contextualSpacing/>
              <w:jc w:val="left"/>
              <w:rPr>
                <w:rFonts w:eastAsia="Arial"/>
                <w:bCs/>
                <w:color w:val="auto"/>
                <w:sz w:val="20"/>
              </w:rPr>
            </w:pPr>
            <w:r w:rsidRPr="00A81706">
              <w:rPr>
                <w:rFonts w:eastAsia="Arial"/>
                <w:bCs/>
                <w:color w:val="auto"/>
                <w:sz w:val="20"/>
              </w:rPr>
              <w:t>NPPF 202</w:t>
            </w:r>
            <w:r w:rsidR="004173E0">
              <w:rPr>
                <w:rFonts w:eastAsia="Arial"/>
                <w:bCs/>
                <w:color w:val="auto"/>
                <w:sz w:val="20"/>
              </w:rPr>
              <w:t>3</w:t>
            </w:r>
            <w:r w:rsidRPr="00A81706">
              <w:rPr>
                <w:rFonts w:eastAsia="Arial"/>
                <w:bCs/>
                <w:color w:val="auto"/>
                <w:sz w:val="20"/>
              </w:rPr>
              <w:t>, Part 8: Promoting healthy and safe communities.</w:t>
            </w:r>
          </w:p>
        </w:tc>
      </w:tr>
    </w:tbl>
    <w:p w14:paraId="15A865B7" w14:textId="77777777" w:rsidR="00A81706" w:rsidRDefault="00A81706" w:rsidP="00A81706">
      <w:pPr>
        <w:pStyle w:val="ListParagraph"/>
        <w:rPr>
          <w:rFonts w:eastAsia="Arial" w:cs="Arial"/>
          <w:color w:val="auto"/>
          <w:szCs w:val="24"/>
        </w:rPr>
      </w:pPr>
    </w:p>
    <w:p w14:paraId="06D8943E" w14:textId="3DBBC4D9" w:rsidR="00A81706" w:rsidRP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cs="Arial"/>
          <w:iCs/>
          <w:color w:val="auto"/>
          <w:szCs w:val="24"/>
        </w:rPr>
        <w:t>Improving skills is a national priority for strengthening productivity performance given.</w:t>
      </w:r>
      <w:r w:rsidRPr="00A81706">
        <w:rPr>
          <w:rFonts w:eastAsia="Arial" w:cs="Arial"/>
          <w:color w:val="auto"/>
          <w:spacing w:val="-1"/>
          <w:szCs w:val="24"/>
        </w:rPr>
        <w:t xml:space="preserve"> </w:t>
      </w:r>
      <w:r w:rsidRPr="00A81706">
        <w:rPr>
          <w:rFonts w:eastAsia="Arial" w:cs="Arial"/>
          <w:color w:val="auto"/>
        </w:rPr>
        <w:t xml:space="preserve">It is important to improve both school performance and skills in the existing workforce. With economic restructuring there is an increasing need for people with high skill </w:t>
      </w:r>
      <w:proofErr w:type="gramStart"/>
      <w:r w:rsidRPr="00A81706">
        <w:rPr>
          <w:rFonts w:eastAsia="Arial" w:cs="Arial"/>
          <w:color w:val="auto"/>
        </w:rPr>
        <w:t>levels</w:t>
      </w:r>
      <w:proofErr w:type="gramEnd"/>
      <w:r w:rsidRPr="00A81706">
        <w:rPr>
          <w:rFonts w:eastAsia="Arial" w:cs="Arial"/>
          <w:color w:val="auto"/>
        </w:rPr>
        <w:t xml:space="preserve"> and the Council will support development proposals which seek to raise skill levels.</w:t>
      </w:r>
    </w:p>
    <w:p w14:paraId="677B86C1" w14:textId="77777777" w:rsidR="00A81706" w:rsidRDefault="00A81706" w:rsidP="00A81706">
      <w:pPr>
        <w:keepNext w:val="0"/>
        <w:spacing w:before="0"/>
        <w:ind w:left="709"/>
        <w:rPr>
          <w:rFonts w:eastAsia="Arial" w:cs="Arial"/>
          <w:color w:val="auto"/>
          <w:spacing w:val="-1"/>
        </w:rPr>
      </w:pPr>
    </w:p>
    <w:p w14:paraId="62F4C617" w14:textId="5628D1D2" w:rsidR="00BC5B20" w:rsidRPr="00BC5B20" w:rsidRDefault="00A81706" w:rsidP="00D01157">
      <w:pPr>
        <w:keepNext w:val="0"/>
        <w:numPr>
          <w:ilvl w:val="1"/>
          <w:numId w:val="28"/>
        </w:numPr>
        <w:tabs>
          <w:tab w:val="clear" w:pos="525"/>
        </w:tabs>
        <w:spacing w:before="0"/>
        <w:ind w:left="709" w:hanging="709"/>
        <w:rPr>
          <w:rFonts w:eastAsia="Arial" w:cs="Arial"/>
          <w:color w:val="auto"/>
          <w:spacing w:val="-1"/>
        </w:rPr>
      </w:pPr>
      <w:bookmarkStart w:id="267" w:name="_Hlk80168094"/>
      <w:r w:rsidRPr="00BC5B20">
        <w:rPr>
          <w:rFonts w:eastAsia="Arial" w:cs="Arial"/>
          <w:color w:val="auto"/>
        </w:rPr>
        <w:t xml:space="preserve">Vison West Nottinghamshire College </w:t>
      </w:r>
      <w:r w:rsidR="005A5B51" w:rsidRPr="00BC5B20">
        <w:rPr>
          <w:rFonts w:eastAsia="Arial" w:cs="Arial"/>
          <w:color w:val="auto"/>
        </w:rPr>
        <w:t xml:space="preserve">(VWNC) </w:t>
      </w:r>
      <w:r w:rsidRPr="00BC5B20">
        <w:rPr>
          <w:rFonts w:eastAsia="Arial" w:cs="Arial"/>
          <w:color w:val="auto"/>
        </w:rPr>
        <w:t xml:space="preserve">play a key role in improving local skills. The Construction and Logistics Skills Academy off </w:t>
      </w:r>
      <w:proofErr w:type="spellStart"/>
      <w:r w:rsidRPr="00BC5B20">
        <w:rPr>
          <w:rFonts w:eastAsia="Arial" w:cs="Arial"/>
          <w:color w:val="auto"/>
        </w:rPr>
        <w:t>Lowmoor</w:t>
      </w:r>
      <w:proofErr w:type="spellEnd"/>
      <w:r w:rsidRPr="00BC5B20">
        <w:rPr>
          <w:rFonts w:eastAsia="Arial" w:cs="Arial"/>
          <w:color w:val="auto"/>
        </w:rPr>
        <w:t xml:space="preserve"> Road, Kirkby-in-Ashfield provides some of the best training facilities in the sector, allowing students to gain valuable practical experience using state-of-the-art technology and industry standard equipment.  </w:t>
      </w:r>
      <w:r w:rsidR="00BC5B20" w:rsidRPr="00BC5B20">
        <w:rPr>
          <w:rFonts w:eastAsia="Arial" w:cs="Arial"/>
          <w:color w:val="auto"/>
        </w:rPr>
        <w:t>Th</w:t>
      </w:r>
      <w:r w:rsidR="00BC5B20">
        <w:rPr>
          <w:rFonts w:eastAsia="Arial" w:cs="Arial"/>
          <w:color w:val="auto"/>
        </w:rPr>
        <w:t>e</w:t>
      </w:r>
      <w:r w:rsidR="00BC5B20" w:rsidRPr="00BC5B20">
        <w:rPr>
          <w:rFonts w:eastAsia="Arial" w:cs="Arial"/>
          <w:color w:val="auto"/>
        </w:rPr>
        <w:t>s</w:t>
      </w:r>
      <w:r w:rsidR="00BC5B20">
        <w:rPr>
          <w:rFonts w:eastAsia="Arial" w:cs="Arial"/>
          <w:color w:val="auto"/>
        </w:rPr>
        <w:t>e</w:t>
      </w:r>
      <w:r w:rsidR="00BC5B20" w:rsidRPr="00BC5B20">
        <w:rPr>
          <w:rFonts w:eastAsia="Arial" w:cs="Arial"/>
          <w:color w:val="auto"/>
        </w:rPr>
        <w:t xml:space="preserve"> facilities </w:t>
      </w:r>
      <w:r w:rsidR="00BC5B20">
        <w:rPr>
          <w:rFonts w:eastAsia="Arial" w:cs="Arial"/>
          <w:color w:val="auto"/>
        </w:rPr>
        <w:t>are</w:t>
      </w:r>
      <w:r w:rsidR="009F1F17">
        <w:rPr>
          <w:rFonts w:eastAsia="Arial" w:cs="Arial"/>
          <w:color w:val="auto"/>
        </w:rPr>
        <w:t xml:space="preserve"> </w:t>
      </w:r>
      <w:r w:rsidR="00BC5B20" w:rsidRPr="00BC5B20">
        <w:rPr>
          <w:rFonts w:eastAsia="Arial" w:cs="Arial"/>
          <w:color w:val="auto"/>
        </w:rPr>
        <w:t>proposed to be expanded through the Ashfield Civil Engineering Centre.   This is part</w:t>
      </w:r>
      <w:r w:rsidR="00BC5B20" w:rsidRPr="00BC5B20">
        <w:rPr>
          <w:rFonts w:eastAsia="Arial" w:cs="Arial"/>
          <w:color w:val="auto"/>
          <w:spacing w:val="-1"/>
        </w:rPr>
        <w:t xml:space="preserve"> </w:t>
      </w:r>
      <w:r w:rsidR="00BC5B20" w:rsidRPr="00BC5B20">
        <w:rPr>
          <w:rFonts w:eastAsia="Arial" w:cs="Arial"/>
          <w:color w:val="auto"/>
        </w:rPr>
        <w:t>of VWNC’s development programme support</w:t>
      </w:r>
      <w:r w:rsidR="009F1F17">
        <w:rPr>
          <w:rFonts w:eastAsia="Arial" w:cs="Arial"/>
          <w:color w:val="auto"/>
        </w:rPr>
        <w:t>ing</w:t>
      </w:r>
      <w:r w:rsidR="00BC5B20" w:rsidRPr="00BC5B20">
        <w:rPr>
          <w:rFonts w:eastAsia="Arial" w:cs="Arial"/>
          <w:color w:val="auto"/>
        </w:rPr>
        <w:t xml:space="preserve"> the future requirements for skills for more</w:t>
      </w:r>
      <w:r w:rsidR="00BC5B20" w:rsidRPr="00BC5B20">
        <w:rPr>
          <w:rFonts w:eastAsia="Arial" w:cs="Arial"/>
          <w:color w:val="auto"/>
          <w:spacing w:val="-1"/>
        </w:rPr>
        <w:t xml:space="preserve"> </w:t>
      </w:r>
      <w:r w:rsidR="00BC5B20" w:rsidRPr="00BC5B20">
        <w:rPr>
          <w:rFonts w:eastAsia="Arial" w:cs="Arial"/>
          <w:color w:val="auto"/>
        </w:rPr>
        <w:t>specialist construction areas and seeks to address the skills shortage in a rapidly changing</w:t>
      </w:r>
      <w:r w:rsidR="00BC5B20" w:rsidRPr="00BC5B20">
        <w:rPr>
          <w:rFonts w:eastAsia="Arial" w:cs="Arial"/>
          <w:color w:val="auto"/>
          <w:spacing w:val="-1"/>
        </w:rPr>
        <w:t xml:space="preserve"> </w:t>
      </w:r>
      <w:r w:rsidR="00BC5B20" w:rsidRPr="00BC5B20">
        <w:rPr>
          <w:rFonts w:eastAsia="Arial" w:cs="Arial"/>
          <w:color w:val="auto"/>
        </w:rPr>
        <w:t>construction industry.</w:t>
      </w:r>
    </w:p>
    <w:p w14:paraId="3EA2A2F7" w14:textId="77777777" w:rsidR="00BC5B20" w:rsidRPr="00BC5B20" w:rsidRDefault="00BC5B20" w:rsidP="00BC5B20">
      <w:pPr>
        <w:keepNext w:val="0"/>
        <w:spacing w:before="0"/>
        <w:rPr>
          <w:rFonts w:eastAsia="Arial" w:cs="Arial"/>
          <w:color w:val="auto"/>
          <w:spacing w:val="-1"/>
        </w:rPr>
      </w:pPr>
    </w:p>
    <w:p w14:paraId="0756A8B1" w14:textId="7706438C" w:rsidR="005A5B51" w:rsidRPr="00BC5B20" w:rsidRDefault="00581EDE" w:rsidP="00D01157">
      <w:pPr>
        <w:keepNext w:val="0"/>
        <w:numPr>
          <w:ilvl w:val="1"/>
          <w:numId w:val="28"/>
        </w:numPr>
        <w:tabs>
          <w:tab w:val="clear" w:pos="525"/>
        </w:tabs>
        <w:spacing w:before="0"/>
        <w:ind w:left="709" w:hanging="709"/>
        <w:rPr>
          <w:rFonts w:eastAsia="Arial" w:cs="Arial"/>
          <w:color w:val="auto"/>
          <w:spacing w:val="-1"/>
        </w:rPr>
      </w:pPr>
      <w:r w:rsidRPr="00581EDE">
        <w:rPr>
          <w:rFonts w:cs="Arial"/>
          <w:color w:val="241F1F"/>
          <w:szCs w:val="24"/>
        </w:rPr>
        <w:t>The Vision University Centre at the main campus operated by Nottingham Trent University delivers Higher Education including Nursing and Allied Healthcare.</w:t>
      </w:r>
      <w:r>
        <w:rPr>
          <w:rFonts w:eastAsia="Arial" w:cs="Arial"/>
          <w:color w:val="auto"/>
          <w:spacing w:val="-1"/>
        </w:rPr>
        <w:t xml:space="preserve">  </w:t>
      </w:r>
      <w:r w:rsidRPr="00581EDE">
        <w:rPr>
          <w:rFonts w:eastAsia="Arial" w:cs="Arial"/>
          <w:color w:val="auto"/>
        </w:rPr>
        <w:t>The partnership between the college and the university has</w:t>
      </w:r>
      <w:r w:rsidR="00BC5B20">
        <w:rPr>
          <w:rFonts w:eastAsia="Arial" w:cs="Arial"/>
          <w:color w:val="auto"/>
          <w:spacing w:val="-1"/>
        </w:rPr>
        <w:t xml:space="preserve"> </w:t>
      </w:r>
      <w:r w:rsidRPr="00BC5B20">
        <w:rPr>
          <w:rFonts w:eastAsia="Arial" w:cs="Arial"/>
          <w:color w:val="auto"/>
        </w:rPr>
        <w:t xml:space="preserve">significantly enhanced skills provision and includes a wide range of foundation degrees to increase accessibility for local people to achieve key and </w:t>
      </w:r>
      <w:proofErr w:type="gramStart"/>
      <w:r w:rsidRPr="00BC5B20">
        <w:rPr>
          <w:rFonts w:eastAsia="Arial" w:cs="Arial"/>
          <w:color w:val="auto"/>
        </w:rPr>
        <w:t>higher level</w:t>
      </w:r>
      <w:proofErr w:type="gramEnd"/>
      <w:r w:rsidRPr="00BC5B20">
        <w:rPr>
          <w:rFonts w:eastAsia="Arial" w:cs="Arial"/>
          <w:color w:val="auto"/>
        </w:rPr>
        <w:t xml:space="preserve"> skills, including social care; paramedic training; business; computing and technology.   This is helping to </w:t>
      </w:r>
      <w:r w:rsidRPr="00BC5B20">
        <w:rPr>
          <w:rFonts w:cs="Arial"/>
          <w:color w:val="auto"/>
          <w:szCs w:val="24"/>
        </w:rPr>
        <w:t>create a growing pool of highly skilled local people who can work in growth sectors helping to re-balance Ashfield’s economy towards higher value and skilled jobs, making it more resilient and more able to capitalise on higher value opportunities to attract investment.</w:t>
      </w:r>
      <w:r w:rsidR="005A5B51" w:rsidRPr="00BC5B20">
        <w:rPr>
          <w:rFonts w:cs="Arial"/>
          <w:color w:val="auto"/>
          <w:szCs w:val="24"/>
        </w:rPr>
        <w:t xml:space="preserve"> </w:t>
      </w:r>
      <w:r w:rsidR="00A81706" w:rsidRPr="00BC5B20">
        <w:rPr>
          <w:rFonts w:eastAsia="Arial" w:cs="Arial"/>
          <w:color w:val="auto"/>
        </w:rPr>
        <w:t>It is important that the skills of the graduates from this and other centres of learning are retained within the area to facilitate inward investment and economic growth.</w:t>
      </w:r>
    </w:p>
    <w:p w14:paraId="5320A322" w14:textId="77777777" w:rsidR="005A5B51" w:rsidRPr="005A5B51" w:rsidRDefault="005A5B51" w:rsidP="005A5B51">
      <w:pPr>
        <w:pStyle w:val="ListParagraph"/>
        <w:spacing w:after="0" w:line="240" w:lineRule="auto"/>
        <w:rPr>
          <w:rFonts w:ascii="Arial" w:eastAsia="Arial" w:hAnsi="Arial" w:cs="Arial"/>
          <w:color w:val="auto"/>
        </w:rPr>
      </w:pPr>
    </w:p>
    <w:p w14:paraId="7890316A" w14:textId="439EB2A9" w:rsidR="00FD2AE5" w:rsidRPr="00BC5B20" w:rsidRDefault="00340FEC" w:rsidP="00D01157">
      <w:pPr>
        <w:keepNext w:val="0"/>
        <w:numPr>
          <w:ilvl w:val="1"/>
          <w:numId w:val="28"/>
        </w:numPr>
        <w:tabs>
          <w:tab w:val="clear" w:pos="525"/>
        </w:tabs>
        <w:spacing w:before="0"/>
        <w:ind w:left="709" w:hanging="709"/>
        <w:rPr>
          <w:rFonts w:eastAsia="Arial" w:cs="Arial"/>
          <w:color w:val="auto"/>
          <w:spacing w:val="-1"/>
        </w:rPr>
      </w:pPr>
      <w:r w:rsidRPr="00BC5B20">
        <w:rPr>
          <w:rFonts w:eastAsia="Arial" w:cs="Arial"/>
          <w:color w:val="auto"/>
          <w:spacing w:val="-1"/>
        </w:rPr>
        <w:t xml:space="preserve">Work is ongoing for the development of </w:t>
      </w:r>
      <w:r w:rsidR="005A5B51" w:rsidRPr="00BC5B20">
        <w:rPr>
          <w:rFonts w:eastAsia="Arial" w:cs="Arial"/>
          <w:color w:val="auto"/>
          <w:spacing w:val="-1"/>
        </w:rPr>
        <w:t xml:space="preserve">the Automated Distribution and Manufacturing Centre (ADMC) in the </w:t>
      </w:r>
      <w:proofErr w:type="gramStart"/>
      <w:r w:rsidR="005A5B51" w:rsidRPr="00BC5B20">
        <w:rPr>
          <w:rFonts w:eastAsia="Arial" w:cs="Arial"/>
          <w:color w:val="auto"/>
          <w:spacing w:val="-1"/>
        </w:rPr>
        <w:t>District</w:t>
      </w:r>
      <w:proofErr w:type="gramEnd"/>
      <w:r w:rsidR="005A5B51" w:rsidRPr="00BC5B20">
        <w:rPr>
          <w:rFonts w:eastAsia="Arial" w:cs="Arial"/>
          <w:color w:val="auto"/>
          <w:spacing w:val="-1"/>
        </w:rPr>
        <w:t xml:space="preserve">. </w:t>
      </w:r>
      <w:r w:rsidR="00B4045C" w:rsidRPr="00BC5B20">
        <w:rPr>
          <w:rFonts w:eastAsia="Arial" w:cs="Arial"/>
          <w:color w:val="auto"/>
          <w:spacing w:val="-1"/>
        </w:rPr>
        <w:t xml:space="preserve">It aims to create a national centre of excellence focussed on promoting and providing access to the latest technologies and best practice in automated distribution. </w:t>
      </w:r>
      <w:r w:rsidR="005A5B51" w:rsidRPr="00BC5B20">
        <w:rPr>
          <w:rFonts w:eastAsia="Arial" w:cs="Arial"/>
          <w:color w:val="auto"/>
          <w:spacing w:val="-1"/>
        </w:rPr>
        <w:t xml:space="preserve">The concept of a purpose-built innovation facility has been developed, targeted at improving international competitiveness and inward investment attractiveness. The ADMC will support the adoption, integration and expansion of automated technologies for businesses; locally and across the Midlands region in a sustainable manner.  </w:t>
      </w:r>
      <w:r w:rsidR="00BC5B20" w:rsidRPr="00BC5B20">
        <w:rPr>
          <w:rFonts w:eastAsia="Arial" w:cs="Arial"/>
          <w:color w:val="auto"/>
          <w:spacing w:val="-1"/>
        </w:rPr>
        <w:t xml:space="preserve">It will provide access to skills training to meet the increasing need for talent and upskilling by </w:t>
      </w:r>
      <w:r w:rsidR="00BC5B20" w:rsidRPr="00BC5B20">
        <w:rPr>
          <w:rFonts w:eastAsia="Arial" w:cs="Arial"/>
          <w:color w:val="auto"/>
          <w:spacing w:val="-1"/>
        </w:rPr>
        <w:lastRenderedPageBreak/>
        <w:t xml:space="preserve">employers to meet the requirement of automation technology. This will link to Vision West Nottinghamshire College’s (VWNC) Automation and Robotics programme and the emerging higher-level education programmes being developed by Nottingham Trent University (NTU). </w:t>
      </w:r>
    </w:p>
    <w:p w14:paraId="437C4F47" w14:textId="77777777" w:rsidR="00B4045C" w:rsidRDefault="00B4045C" w:rsidP="00B4045C">
      <w:pPr>
        <w:keepNext w:val="0"/>
        <w:spacing w:before="0"/>
        <w:ind w:left="709"/>
        <w:rPr>
          <w:rFonts w:eastAsia="Arial" w:cs="Arial"/>
          <w:color w:val="auto"/>
          <w:spacing w:val="-1"/>
        </w:rPr>
      </w:pPr>
    </w:p>
    <w:p w14:paraId="1AE05316" w14:textId="2BD969A7" w:rsidR="00FD2AE5" w:rsidRDefault="00FD2AE5" w:rsidP="00D01157">
      <w:pPr>
        <w:keepNext w:val="0"/>
        <w:numPr>
          <w:ilvl w:val="1"/>
          <w:numId w:val="28"/>
        </w:numPr>
        <w:tabs>
          <w:tab w:val="clear" w:pos="525"/>
        </w:tabs>
        <w:spacing w:before="0"/>
        <w:ind w:left="709" w:hanging="709"/>
        <w:rPr>
          <w:rFonts w:eastAsia="Arial" w:cs="Arial"/>
          <w:color w:val="auto"/>
          <w:spacing w:val="-1"/>
        </w:rPr>
      </w:pPr>
      <w:r w:rsidRPr="00FD2AE5">
        <w:rPr>
          <w:rFonts w:eastAsia="Arial" w:cs="Arial"/>
          <w:color w:val="auto"/>
          <w:spacing w:val="-1"/>
        </w:rPr>
        <w:t xml:space="preserve">Construction is an important sector in Ashfield and labour demand is forecast to grow significantly over the next five years.  Ashfield Construction </w:t>
      </w:r>
      <w:proofErr w:type="gramStart"/>
      <w:r w:rsidRPr="00FD2AE5">
        <w:rPr>
          <w:rFonts w:eastAsia="Arial" w:cs="Arial"/>
          <w:color w:val="auto"/>
          <w:spacing w:val="-1"/>
        </w:rPr>
        <w:t>Centre  is</w:t>
      </w:r>
      <w:proofErr w:type="gramEnd"/>
      <w:r w:rsidRPr="00FD2AE5">
        <w:rPr>
          <w:rFonts w:eastAsia="Arial" w:cs="Arial"/>
          <w:color w:val="auto"/>
          <w:spacing w:val="-1"/>
        </w:rPr>
        <w:t xml:space="preserve"> a partnership project with Vision West Nottinghamshire College, Inspire, Portland College and Sutton Academy to provide a new Level 1 construction facility at a gateway site in Sutton which complements VWNC higher level courses at its campus in Kirkby. The Portland College campus will provide a satellite education centre for students with complex disabilities. The Construction Centre will help to meet th</w:t>
      </w:r>
      <w:r>
        <w:rPr>
          <w:rFonts w:eastAsia="Arial" w:cs="Arial"/>
          <w:color w:val="auto"/>
          <w:spacing w:val="-1"/>
        </w:rPr>
        <w:t xml:space="preserve">e demand for construction workers </w:t>
      </w:r>
      <w:r w:rsidRPr="00FD2AE5">
        <w:rPr>
          <w:rFonts w:eastAsia="Arial" w:cs="Arial"/>
          <w:color w:val="auto"/>
          <w:spacing w:val="-1"/>
        </w:rPr>
        <w:t>by increasing the number</w:t>
      </w:r>
      <w:r>
        <w:rPr>
          <w:rFonts w:eastAsia="Arial" w:cs="Arial"/>
          <w:color w:val="auto"/>
          <w:spacing w:val="-1"/>
        </w:rPr>
        <w:t xml:space="preserve"> </w:t>
      </w:r>
      <w:r w:rsidRPr="00FD2AE5">
        <w:rPr>
          <w:rFonts w:eastAsia="Arial" w:cs="Arial"/>
          <w:color w:val="auto"/>
          <w:spacing w:val="-1"/>
        </w:rPr>
        <w:t>of qualified learners.</w:t>
      </w:r>
    </w:p>
    <w:bookmarkEnd w:id="267"/>
    <w:p w14:paraId="7DD9EF0F" w14:textId="77777777" w:rsidR="00FD2AE5" w:rsidRPr="00FD2AE5" w:rsidRDefault="00FD2AE5" w:rsidP="00FD2AE5">
      <w:pPr>
        <w:keepNext w:val="0"/>
        <w:spacing w:before="0"/>
        <w:rPr>
          <w:rFonts w:eastAsia="Arial" w:cs="Arial"/>
          <w:color w:val="auto"/>
          <w:spacing w:val="-1"/>
        </w:rPr>
      </w:pPr>
    </w:p>
    <w:p w14:paraId="3067B71C" w14:textId="77777777" w:rsid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rPr>
        <w:t xml:space="preserve">To improve skills and economic inclusion in the District, the Council will, where appropriate, look to negotiate planning agreements to secure local labour agreements for development.  These are anticipated to relate to: </w:t>
      </w:r>
    </w:p>
    <w:p w14:paraId="5609CFB6" w14:textId="4D5C6799" w:rsidR="00A81706" w:rsidRDefault="00A81706" w:rsidP="009838D1">
      <w:pPr>
        <w:spacing w:before="0"/>
        <w:rPr>
          <w:rFonts w:eastAsia="Arial" w:cs="Arial"/>
          <w:color w:val="auto"/>
        </w:rPr>
      </w:pPr>
    </w:p>
    <w:p w14:paraId="7045A052" w14:textId="77777777" w:rsidR="00A81706" w:rsidRPr="00A81706" w:rsidRDefault="00A81706" w:rsidP="005A0FAE">
      <w:pPr>
        <w:spacing w:before="0"/>
        <w:ind w:left="1134"/>
        <w:rPr>
          <w:rFonts w:eastAsia="Arial" w:cs="Arial"/>
          <w:color w:val="auto"/>
        </w:rPr>
      </w:pPr>
      <w:r w:rsidRPr="00A81706">
        <w:rPr>
          <w:rFonts w:eastAsia="Arial" w:cs="Arial"/>
          <w:color w:val="auto"/>
        </w:rPr>
        <w:t>a.</w:t>
      </w:r>
      <w:r w:rsidRPr="00A81706">
        <w:rPr>
          <w:rFonts w:eastAsia="Arial" w:cs="Arial"/>
          <w:color w:val="auto"/>
        </w:rPr>
        <w:tab/>
        <w:t>developments of 10 or more dwellings</w:t>
      </w:r>
    </w:p>
    <w:p w14:paraId="3A2454A3" w14:textId="77777777" w:rsidR="00A81706" w:rsidRPr="00A81706" w:rsidRDefault="00A81706" w:rsidP="005A0FAE">
      <w:pPr>
        <w:spacing w:before="0"/>
        <w:ind w:left="1134"/>
        <w:rPr>
          <w:rFonts w:eastAsia="Arial" w:cs="Arial"/>
          <w:color w:val="auto"/>
        </w:rPr>
      </w:pPr>
      <w:r w:rsidRPr="00A81706">
        <w:rPr>
          <w:rFonts w:eastAsia="Arial" w:cs="Arial"/>
          <w:color w:val="auto"/>
        </w:rPr>
        <w:t>b.</w:t>
      </w:r>
      <w:r w:rsidRPr="00A81706">
        <w:rPr>
          <w:rFonts w:eastAsia="Arial" w:cs="Arial"/>
          <w:color w:val="auto"/>
        </w:rPr>
        <w:tab/>
        <w:t>On 0.5 hectares or more of land (excluding residential)</w:t>
      </w:r>
    </w:p>
    <w:p w14:paraId="6CFF49A5" w14:textId="77777777" w:rsidR="00A81706" w:rsidRPr="00A81706" w:rsidRDefault="00A81706" w:rsidP="005A0FAE">
      <w:pPr>
        <w:spacing w:before="0"/>
        <w:ind w:left="1134"/>
        <w:rPr>
          <w:rFonts w:eastAsia="Arial" w:cs="Arial"/>
          <w:color w:val="auto"/>
        </w:rPr>
      </w:pPr>
    </w:p>
    <w:p w14:paraId="51E3A261" w14:textId="24D9568E" w:rsidR="00A81706" w:rsidRP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rPr>
        <w:t xml:space="preserve">Education attainment is a crucial driver in terms of determining life choices, particularly ‘employability’ and resulting livelihoods. Poor education and a lack of basic skills often prevent people from reaching their full potential and contribute to deprivation. Spatial planning can have a direct positive impact on education and learning by helping to improve the location and quality of learning facilities. It can also have wider impacts such as raising aspirations and skills, increasing opportunities for work and enterprise, improving the quality of life and environment in the </w:t>
      </w:r>
      <w:proofErr w:type="gramStart"/>
      <w:r w:rsidRPr="00A81706">
        <w:rPr>
          <w:rFonts w:eastAsia="Arial" w:cs="Arial"/>
          <w:color w:val="auto"/>
        </w:rPr>
        <w:t>District</w:t>
      </w:r>
      <w:proofErr w:type="gramEnd"/>
      <w:r w:rsidRPr="00A81706">
        <w:rPr>
          <w:rFonts w:eastAsia="Arial" w:cs="Arial"/>
          <w:color w:val="auto"/>
        </w:rPr>
        <w:t xml:space="preserve"> and contributing to reducing worklessness. Good quality educational is an important criterion in anchoring families in the area, as a good quality education, particularly in secondary schools, impacts on where people look to live.</w:t>
      </w:r>
    </w:p>
    <w:p w14:paraId="40DA4DF8" w14:textId="77777777" w:rsidR="00A81706" w:rsidRDefault="00A81706" w:rsidP="00A81706">
      <w:pPr>
        <w:keepNext w:val="0"/>
        <w:spacing w:before="0"/>
        <w:ind w:left="709"/>
        <w:rPr>
          <w:rFonts w:eastAsia="Arial" w:cs="Arial"/>
          <w:color w:val="auto"/>
          <w:spacing w:val="-1"/>
        </w:rPr>
      </w:pPr>
    </w:p>
    <w:p w14:paraId="7AB5951A" w14:textId="77777777" w:rsidR="00A81706" w:rsidRDefault="00A81706" w:rsidP="00D01157">
      <w:pPr>
        <w:keepNext w:val="0"/>
        <w:numPr>
          <w:ilvl w:val="1"/>
          <w:numId w:val="28"/>
        </w:numPr>
        <w:tabs>
          <w:tab w:val="clear" w:pos="525"/>
        </w:tabs>
        <w:spacing w:before="0"/>
        <w:ind w:left="709" w:hanging="709"/>
        <w:rPr>
          <w:rFonts w:eastAsia="Arial" w:cs="Arial"/>
          <w:color w:val="auto"/>
          <w:spacing w:val="-1"/>
        </w:rPr>
      </w:pPr>
      <w:r w:rsidRPr="00A81706">
        <w:rPr>
          <w:rFonts w:eastAsia="Arial" w:cs="Arial"/>
          <w:color w:val="auto"/>
        </w:rPr>
        <w:t>There Is a requirement to improve qualifications in Ashfield.  The Council will work with Nottinghamshire County Council, as the Education Authority, and local schools in:</w:t>
      </w:r>
    </w:p>
    <w:p w14:paraId="485C6A4D" w14:textId="1C66D4E1" w:rsidR="00A81706" w:rsidRDefault="00A81706" w:rsidP="00A81706">
      <w:pPr>
        <w:keepNext w:val="0"/>
        <w:spacing w:before="0"/>
        <w:ind w:left="709"/>
        <w:rPr>
          <w:rFonts w:eastAsia="Arial" w:cs="Arial"/>
          <w:color w:val="auto"/>
          <w:spacing w:val="-1"/>
        </w:rPr>
      </w:pPr>
    </w:p>
    <w:p w14:paraId="465011E5" w14:textId="77777777" w:rsidR="00A81706" w:rsidRPr="00A81706" w:rsidRDefault="00A81706" w:rsidP="00874A98">
      <w:pPr>
        <w:keepNext w:val="0"/>
        <w:numPr>
          <w:ilvl w:val="0"/>
          <w:numId w:val="154"/>
        </w:numPr>
        <w:tabs>
          <w:tab w:val="clear" w:pos="1040"/>
          <w:tab w:val="num" w:pos="360"/>
          <w:tab w:val="left" w:pos="680"/>
          <w:tab w:val="num" w:pos="1276"/>
        </w:tabs>
        <w:suppressAutoHyphens/>
        <w:spacing w:before="0" w:after="113" w:line="252" w:lineRule="auto"/>
        <w:ind w:right="56"/>
        <w:jc w:val="both"/>
        <w:textAlignment w:val="baseline"/>
        <w:rPr>
          <w:rFonts w:eastAsia="Arial"/>
          <w:color w:val="auto"/>
        </w:rPr>
      </w:pPr>
      <w:r w:rsidRPr="00A81706">
        <w:rPr>
          <w:rFonts w:eastAsia="Arial"/>
          <w:color w:val="auto"/>
        </w:rPr>
        <w:t xml:space="preserve">Planning for infrastructure to support development, to ensure that the provision of schools reflects the anticipated population implications arising from development.   </w:t>
      </w:r>
    </w:p>
    <w:p w14:paraId="08CB6AD7" w14:textId="77777777" w:rsidR="00A81706" w:rsidRPr="00A81706" w:rsidRDefault="00A81706" w:rsidP="00874A98">
      <w:pPr>
        <w:keepNext w:val="0"/>
        <w:numPr>
          <w:ilvl w:val="0"/>
          <w:numId w:val="154"/>
        </w:numPr>
        <w:tabs>
          <w:tab w:val="clear" w:pos="1040"/>
          <w:tab w:val="num" w:pos="360"/>
          <w:tab w:val="left" w:pos="680"/>
          <w:tab w:val="num" w:pos="1276"/>
        </w:tabs>
        <w:suppressAutoHyphens/>
        <w:spacing w:before="0"/>
        <w:ind w:right="56"/>
        <w:jc w:val="both"/>
        <w:textAlignment w:val="baseline"/>
        <w:rPr>
          <w:rFonts w:eastAsia="Arial"/>
          <w:color w:val="auto"/>
        </w:rPr>
      </w:pPr>
      <w:r w:rsidRPr="00A81706">
        <w:rPr>
          <w:rFonts w:eastAsia="Arial"/>
          <w:color w:val="auto"/>
        </w:rPr>
        <w:t xml:space="preserve">Monitoring the supply and demand for primary and secondary school places to determine whether a development will result in a requirement for the expansion of local school places.  </w:t>
      </w:r>
    </w:p>
    <w:p w14:paraId="30018B77" w14:textId="77777777" w:rsidR="00A81706" w:rsidRPr="00A81706" w:rsidRDefault="00A81706" w:rsidP="009838D1">
      <w:pPr>
        <w:keepNext w:val="0"/>
        <w:spacing w:before="0"/>
        <w:rPr>
          <w:rFonts w:eastAsia="Arial" w:cs="Arial"/>
          <w:color w:val="auto"/>
          <w:spacing w:val="-1"/>
        </w:rPr>
      </w:pPr>
    </w:p>
    <w:p w14:paraId="3D8D0147" w14:textId="6576D888" w:rsidR="00601667" w:rsidRPr="00985BCC" w:rsidRDefault="00A81706" w:rsidP="00601667">
      <w:pPr>
        <w:keepNext w:val="0"/>
        <w:numPr>
          <w:ilvl w:val="1"/>
          <w:numId w:val="28"/>
        </w:numPr>
        <w:tabs>
          <w:tab w:val="clear" w:pos="525"/>
        </w:tabs>
        <w:spacing w:before="0"/>
        <w:ind w:left="709" w:hanging="709"/>
        <w:rPr>
          <w:rFonts w:eastAsia="Arial" w:cs="Arial"/>
          <w:spacing w:val="-1"/>
        </w:rPr>
      </w:pPr>
      <w:r w:rsidRPr="00985BCC">
        <w:rPr>
          <w:rFonts w:eastAsia="Arial" w:cs="Arial"/>
          <w:szCs w:val="24"/>
        </w:rPr>
        <w:t>Housing allocations set out in the Local Plan will be required to contribute towards the provisions of the primary pupil place arising from the development.  This may be through the expansion of existing schools or the provision of new schools.</w:t>
      </w:r>
      <w:r w:rsidRPr="00985BCC">
        <w:rPr>
          <w:rFonts w:cs="Arial"/>
          <w:szCs w:val="24"/>
          <w:shd w:val="clear" w:color="auto" w:fill="FFFFFF"/>
        </w:rPr>
        <w:t xml:space="preserve">  </w:t>
      </w:r>
    </w:p>
    <w:p w14:paraId="1B5DCE26" w14:textId="77777777" w:rsidR="00601667" w:rsidRPr="00985BCC" w:rsidRDefault="00601667" w:rsidP="00601667">
      <w:pPr>
        <w:keepNext w:val="0"/>
        <w:spacing w:before="0"/>
        <w:ind w:left="709"/>
        <w:rPr>
          <w:rFonts w:eastAsia="Arial" w:cs="Arial"/>
          <w:spacing w:val="-1"/>
        </w:rPr>
      </w:pPr>
    </w:p>
    <w:p w14:paraId="7B722E36" w14:textId="646B215C" w:rsidR="00601667" w:rsidRPr="00985BCC" w:rsidRDefault="00601667" w:rsidP="00601667">
      <w:pPr>
        <w:keepNext w:val="0"/>
        <w:numPr>
          <w:ilvl w:val="1"/>
          <w:numId w:val="28"/>
        </w:numPr>
        <w:tabs>
          <w:tab w:val="clear" w:pos="525"/>
        </w:tabs>
        <w:spacing w:before="0"/>
        <w:ind w:left="709" w:hanging="709"/>
        <w:rPr>
          <w:rFonts w:eastAsia="Arial" w:cs="Arial"/>
          <w:spacing w:val="-1"/>
        </w:rPr>
      </w:pPr>
      <w:r w:rsidRPr="00985BCC">
        <w:rPr>
          <w:rFonts w:eastAsia="Arial" w:cs="Arial"/>
          <w:spacing w:val="-1"/>
        </w:rPr>
        <w:t>T</w:t>
      </w:r>
      <w:r w:rsidRPr="00985BCC">
        <w:rPr>
          <w:rFonts w:eastAsia="Calibri"/>
          <w:szCs w:val="22"/>
        </w:rPr>
        <w:t>he need for school places can vary over time</w:t>
      </w:r>
      <w:r w:rsidR="00CE29D9" w:rsidRPr="00985BCC">
        <w:rPr>
          <w:rFonts w:eastAsia="Calibri"/>
          <w:szCs w:val="22"/>
        </w:rPr>
        <w:t>,</w:t>
      </w:r>
      <w:r w:rsidRPr="00985BCC">
        <w:rPr>
          <w:rFonts w:eastAsia="Arial" w:cs="Arial"/>
          <w:spacing w:val="-1"/>
        </w:rPr>
        <w:t xml:space="preserve"> consequently:</w:t>
      </w:r>
    </w:p>
    <w:p w14:paraId="6663B4CB" w14:textId="77777777" w:rsidR="00601667" w:rsidRPr="00985BCC" w:rsidRDefault="00601667" w:rsidP="00601667">
      <w:pPr>
        <w:pStyle w:val="ListParagraph"/>
        <w:rPr>
          <w:rFonts w:eastAsia="Arial" w:cs="Arial"/>
          <w:spacing w:val="-1"/>
        </w:rPr>
      </w:pPr>
    </w:p>
    <w:p w14:paraId="1367C528" w14:textId="0FAAF482" w:rsidR="00601667" w:rsidRPr="00985BCC" w:rsidRDefault="00601667" w:rsidP="00874A98">
      <w:pPr>
        <w:pStyle w:val="ListParagraph"/>
        <w:numPr>
          <w:ilvl w:val="0"/>
          <w:numId w:val="321"/>
        </w:numPr>
        <w:spacing w:after="0" w:line="240" w:lineRule="auto"/>
        <w:rPr>
          <w:rFonts w:ascii="Arial" w:eastAsia="Arial" w:hAnsi="Arial" w:cs="Arial"/>
          <w:spacing w:val="-1"/>
        </w:rPr>
      </w:pPr>
      <w:r w:rsidRPr="00985BCC">
        <w:rPr>
          <w:rFonts w:ascii="Arial" w:eastAsia="Arial" w:hAnsi="Arial" w:cs="Arial"/>
          <w:spacing w:val="-1"/>
        </w:rPr>
        <w:lastRenderedPageBreak/>
        <w:t xml:space="preserve">specific requirements for developer contributions to increasing capacity of existing schools and the provision of new schools for any </w:t>
      </w:r>
      <w:proofErr w:type="gramStart"/>
      <w:r w:rsidRPr="00985BCC">
        <w:rPr>
          <w:rFonts w:ascii="Arial" w:eastAsia="Arial" w:hAnsi="Arial" w:cs="Arial"/>
          <w:spacing w:val="-1"/>
        </w:rPr>
        <w:t>particular site</w:t>
      </w:r>
      <w:proofErr w:type="gramEnd"/>
      <w:r w:rsidRPr="00985BCC">
        <w:rPr>
          <w:rFonts w:ascii="Arial" w:eastAsia="Arial" w:hAnsi="Arial" w:cs="Arial"/>
          <w:spacing w:val="-1"/>
        </w:rPr>
        <w:t xml:space="preserve"> will be confirmed at application stage to ensure the latest data on identified need informs delivery; and </w:t>
      </w:r>
    </w:p>
    <w:p w14:paraId="2C72E92F" w14:textId="77777777" w:rsidR="00601667" w:rsidRPr="00985BCC" w:rsidRDefault="00601667" w:rsidP="00601667">
      <w:pPr>
        <w:pStyle w:val="ListParagraph"/>
        <w:spacing w:after="0" w:line="240" w:lineRule="auto"/>
        <w:ind w:left="1080"/>
        <w:rPr>
          <w:rFonts w:ascii="Arial" w:eastAsia="Arial" w:hAnsi="Arial" w:cs="Arial"/>
          <w:spacing w:val="-1"/>
        </w:rPr>
      </w:pPr>
    </w:p>
    <w:p w14:paraId="1C3EC97A" w14:textId="666A345D" w:rsidR="00601667" w:rsidRPr="00985BCC" w:rsidRDefault="00601667" w:rsidP="00874A98">
      <w:pPr>
        <w:pStyle w:val="ListParagraph"/>
        <w:numPr>
          <w:ilvl w:val="0"/>
          <w:numId w:val="321"/>
        </w:numPr>
        <w:spacing w:after="0" w:line="240" w:lineRule="auto"/>
        <w:rPr>
          <w:rFonts w:ascii="Arial" w:eastAsia="Arial" w:hAnsi="Arial" w:cs="Arial"/>
          <w:spacing w:val="-1"/>
        </w:rPr>
      </w:pPr>
      <w:r w:rsidRPr="00985BCC">
        <w:rPr>
          <w:rFonts w:ascii="Arial" w:eastAsia="Arial" w:hAnsi="Arial" w:cs="Arial"/>
          <w:spacing w:val="-1"/>
        </w:rPr>
        <w:t xml:space="preserve">requirements to deliver schools on some sites could change in future if it were demonstrated and agreed that the site had become surplus to </w:t>
      </w:r>
      <w:proofErr w:type="gramStart"/>
      <w:r w:rsidRPr="00985BCC">
        <w:rPr>
          <w:rFonts w:ascii="Arial" w:eastAsia="Arial" w:hAnsi="Arial" w:cs="Arial"/>
          <w:spacing w:val="-1"/>
        </w:rPr>
        <w:t>requirements, and</w:t>
      </w:r>
      <w:proofErr w:type="gramEnd"/>
      <w:r w:rsidRPr="00985BCC">
        <w:rPr>
          <w:rFonts w:ascii="Arial" w:eastAsia="Arial" w:hAnsi="Arial" w:cs="Arial"/>
          <w:spacing w:val="-1"/>
        </w:rPr>
        <w:t xml:space="preserve"> is therefore no longer required for school use.</w:t>
      </w:r>
    </w:p>
    <w:p w14:paraId="704F6E81" w14:textId="77777777" w:rsidR="006D4F49" w:rsidRPr="00985BCC" w:rsidRDefault="006D4F49" w:rsidP="00DA4833">
      <w:pPr>
        <w:keepNext w:val="0"/>
        <w:spacing w:before="0"/>
        <w:rPr>
          <w:rFonts w:cs="Arial"/>
          <w:b/>
          <w:sz w:val="36"/>
          <w:szCs w:val="36"/>
        </w:rPr>
      </w:pPr>
    </w:p>
    <w:p w14:paraId="281032EB" w14:textId="77777777" w:rsidR="000C34A3" w:rsidRDefault="000C34A3">
      <w:pPr>
        <w:keepNext w:val="0"/>
        <w:spacing w:before="0"/>
        <w:rPr>
          <w:rFonts w:cs="Arial"/>
          <w:b/>
          <w:sz w:val="36"/>
          <w:szCs w:val="36"/>
        </w:rPr>
        <w:sectPr w:rsidR="000C34A3" w:rsidSect="008852FB">
          <w:headerReference w:type="default" r:id="rId57"/>
          <w:pgSz w:w="11906" w:h="16838" w:code="9"/>
          <w:pgMar w:top="1258" w:right="1133" w:bottom="1079" w:left="1134" w:header="709" w:footer="709" w:gutter="0"/>
          <w:cols w:space="708"/>
          <w:docGrid w:linePitch="360"/>
        </w:sectPr>
      </w:pPr>
    </w:p>
    <w:p w14:paraId="7D447B89" w14:textId="34993B0B" w:rsidR="00DA4833" w:rsidRPr="003C7E62" w:rsidRDefault="00DA4833" w:rsidP="00CF07B9">
      <w:pPr>
        <w:pStyle w:val="Heading1"/>
      </w:pPr>
      <w:bookmarkStart w:id="268" w:name="_Toc145511603"/>
      <w:r w:rsidRPr="003C7E62">
        <w:lastRenderedPageBreak/>
        <w:t>Chapter 8</w:t>
      </w:r>
      <w:bookmarkEnd w:id="268"/>
    </w:p>
    <w:p w14:paraId="47444103" w14:textId="77777777" w:rsidR="00DA4833" w:rsidRPr="003C7E62" w:rsidRDefault="00DA4833" w:rsidP="008008F0">
      <w:pPr>
        <w:keepNext w:val="0"/>
        <w:spacing w:before="0"/>
        <w:rPr>
          <w:rFonts w:cs="Arial"/>
          <w:b/>
          <w:color w:val="auto"/>
          <w:sz w:val="36"/>
          <w:szCs w:val="36"/>
        </w:rPr>
      </w:pPr>
    </w:p>
    <w:p w14:paraId="40F24456" w14:textId="72232574" w:rsidR="008008F0" w:rsidRPr="005A5BB8" w:rsidRDefault="005F1B0D" w:rsidP="00CF07B9">
      <w:pPr>
        <w:pStyle w:val="Heading1"/>
      </w:pPr>
      <w:bookmarkStart w:id="269" w:name="_Toc500408775"/>
      <w:bookmarkStart w:id="270" w:name="_Toc145511604"/>
      <w:bookmarkStart w:id="271" w:name="_Hlk146199746"/>
      <w:r w:rsidRPr="005F1B0D">
        <w:t>Placing vibrant town and local centres at the heart of the community</w:t>
      </w:r>
      <w:bookmarkStart w:id="272" w:name="_Hlk75501556"/>
      <w:bookmarkEnd w:id="269"/>
      <w:bookmarkEnd w:id="270"/>
    </w:p>
    <w:bookmarkEnd w:id="271"/>
    <w:p w14:paraId="0A8F1890" w14:textId="77777777" w:rsidR="008008F0" w:rsidRPr="00503C86" w:rsidRDefault="008008F0" w:rsidP="00503C86"/>
    <w:p w14:paraId="178FFE5E" w14:textId="0A1E1878" w:rsidR="00DD5BA6" w:rsidRPr="00DD5BA6" w:rsidRDefault="00DD5BA6" w:rsidP="00DD5BA6">
      <w:pPr>
        <w:keepNext w:val="0"/>
        <w:numPr>
          <w:ilvl w:val="1"/>
          <w:numId w:val="6"/>
        </w:numPr>
        <w:tabs>
          <w:tab w:val="clear" w:pos="525"/>
        </w:tabs>
        <w:spacing w:before="0"/>
        <w:ind w:left="709" w:hanging="709"/>
        <w:rPr>
          <w:rFonts w:cs="Arial"/>
          <w:color w:val="auto"/>
          <w:szCs w:val="24"/>
          <w:lang w:eastAsia="en-US"/>
        </w:rPr>
      </w:pPr>
      <w:bookmarkStart w:id="273" w:name="_Hlk147929275"/>
      <w:r w:rsidRPr="00DD5BA6">
        <w:rPr>
          <w:rFonts w:eastAsia="Arial" w:cs="Arial"/>
          <w:color w:val="auto"/>
          <w:szCs w:val="24"/>
        </w:rPr>
        <w:t xml:space="preserve">Town centres play an important role within the </w:t>
      </w:r>
      <w:proofErr w:type="gramStart"/>
      <w:r w:rsidRPr="00DD5BA6">
        <w:rPr>
          <w:rFonts w:eastAsia="Arial" w:cs="Arial"/>
          <w:color w:val="auto"/>
          <w:szCs w:val="24"/>
        </w:rPr>
        <w:t>District</w:t>
      </w:r>
      <w:proofErr w:type="gramEnd"/>
      <w:r w:rsidRPr="00DD5BA6">
        <w:rPr>
          <w:rFonts w:eastAsia="Arial" w:cs="Arial"/>
          <w:color w:val="auto"/>
          <w:szCs w:val="24"/>
        </w:rPr>
        <w:t xml:space="preserve">, contributing to the local economy and providing a range of services and facilities. Supporting the growth and regeneration of the </w:t>
      </w:r>
      <w:proofErr w:type="gramStart"/>
      <w:r w:rsidRPr="00DD5BA6">
        <w:rPr>
          <w:rFonts w:eastAsia="Arial" w:cs="Arial"/>
          <w:color w:val="auto"/>
          <w:szCs w:val="24"/>
        </w:rPr>
        <w:t>District’s</w:t>
      </w:r>
      <w:proofErr w:type="gramEnd"/>
      <w:r w:rsidRPr="00DD5BA6">
        <w:rPr>
          <w:rFonts w:eastAsia="Arial" w:cs="Arial"/>
          <w:color w:val="auto"/>
          <w:szCs w:val="24"/>
        </w:rPr>
        <w:t xml:space="preserve"> centres is a key element of the Plan’s </w:t>
      </w:r>
      <w:proofErr w:type="gramStart"/>
      <w:r w:rsidRPr="00DD5BA6">
        <w:rPr>
          <w:rFonts w:eastAsia="Arial" w:cs="Arial"/>
          <w:color w:val="auto"/>
          <w:szCs w:val="24"/>
        </w:rPr>
        <w:t>Vision</w:t>
      </w:r>
      <w:proofErr w:type="gramEnd"/>
      <w:r w:rsidRPr="00DD5BA6">
        <w:rPr>
          <w:rFonts w:eastAsia="Arial" w:cs="Arial"/>
          <w:color w:val="auto"/>
          <w:szCs w:val="24"/>
        </w:rPr>
        <w:t xml:space="preserve"> and the Council want to ensure all new development within the centres positively contributes their regeneration.</w:t>
      </w:r>
    </w:p>
    <w:p w14:paraId="3F9D6F89" w14:textId="77777777" w:rsidR="00DD5BA6" w:rsidRDefault="00DD5BA6" w:rsidP="00DD5BA6">
      <w:pPr>
        <w:keepNext w:val="0"/>
        <w:spacing w:before="0"/>
        <w:ind w:left="709"/>
        <w:rPr>
          <w:rFonts w:cs="Arial"/>
          <w:color w:val="auto"/>
          <w:szCs w:val="24"/>
          <w:lang w:eastAsia="en-US"/>
        </w:rPr>
      </w:pPr>
    </w:p>
    <w:p w14:paraId="447AA4FB" w14:textId="30180FD2" w:rsidR="00DD5BA6" w:rsidRPr="00DD5BA6" w:rsidRDefault="00DD5BA6" w:rsidP="00DD5BA6">
      <w:pPr>
        <w:keepNext w:val="0"/>
        <w:numPr>
          <w:ilvl w:val="1"/>
          <w:numId w:val="6"/>
        </w:numPr>
        <w:tabs>
          <w:tab w:val="clear" w:pos="525"/>
        </w:tabs>
        <w:spacing w:before="0"/>
        <w:ind w:left="709" w:hanging="709"/>
        <w:rPr>
          <w:rFonts w:cs="Arial"/>
          <w:color w:val="auto"/>
          <w:szCs w:val="24"/>
          <w:lang w:eastAsia="en-US"/>
        </w:rPr>
      </w:pPr>
      <w:r w:rsidRPr="00DD5BA6">
        <w:rPr>
          <w:rFonts w:eastAsia="Arial" w:cs="Arial"/>
          <w:color w:val="auto"/>
          <w:szCs w:val="24"/>
        </w:rPr>
        <w:t xml:space="preserve">The Council aims to promote competition and consumer choice within each town centre and Local Shopping Centre by supporting proposals which create a mix of uses appropriate in scale for each area. In areas outside the town centres and Local Shopping Centres, the </w:t>
      </w:r>
      <w:proofErr w:type="gramStart"/>
      <w:r w:rsidRPr="00DD5BA6">
        <w:rPr>
          <w:rFonts w:eastAsia="Arial" w:cs="Arial"/>
          <w:color w:val="auto"/>
          <w:szCs w:val="24"/>
        </w:rPr>
        <w:t>day to day</w:t>
      </w:r>
      <w:proofErr w:type="gramEnd"/>
      <w:r w:rsidRPr="00DD5BA6">
        <w:rPr>
          <w:rFonts w:eastAsia="Arial" w:cs="Arial"/>
          <w:color w:val="auto"/>
          <w:szCs w:val="24"/>
        </w:rPr>
        <w:t xml:space="preserve"> needs of the community will be met through parades of shops and </w:t>
      </w:r>
      <w:proofErr w:type="gramStart"/>
      <w:r w:rsidRPr="00DD5BA6">
        <w:rPr>
          <w:rFonts w:eastAsia="Arial" w:cs="Arial"/>
          <w:color w:val="auto"/>
          <w:szCs w:val="24"/>
        </w:rPr>
        <w:t>small scale</w:t>
      </w:r>
      <w:proofErr w:type="gramEnd"/>
      <w:r w:rsidRPr="00DD5BA6">
        <w:rPr>
          <w:rFonts w:eastAsia="Arial" w:cs="Arial"/>
          <w:color w:val="auto"/>
          <w:szCs w:val="24"/>
        </w:rPr>
        <w:t xml:space="preserve"> convenience shops of an appropriate size.</w:t>
      </w:r>
    </w:p>
    <w:p w14:paraId="2623AE94" w14:textId="77777777" w:rsidR="00DD5BA6" w:rsidRDefault="00DD5BA6" w:rsidP="00DD5BA6">
      <w:pPr>
        <w:keepNext w:val="0"/>
        <w:spacing w:before="0"/>
        <w:ind w:left="709"/>
        <w:rPr>
          <w:rFonts w:cs="Arial"/>
          <w:color w:val="auto"/>
          <w:szCs w:val="24"/>
          <w:lang w:eastAsia="en-US"/>
        </w:rPr>
      </w:pPr>
    </w:p>
    <w:p w14:paraId="1602CC61" w14:textId="7044D76F" w:rsidR="00DD5BA6" w:rsidRPr="00DD5BA6" w:rsidRDefault="00DD5BA6" w:rsidP="00DD5BA6">
      <w:pPr>
        <w:keepNext w:val="0"/>
        <w:numPr>
          <w:ilvl w:val="1"/>
          <w:numId w:val="6"/>
        </w:numPr>
        <w:tabs>
          <w:tab w:val="clear" w:pos="525"/>
        </w:tabs>
        <w:spacing w:before="0"/>
        <w:ind w:left="709" w:hanging="709"/>
        <w:rPr>
          <w:rFonts w:cs="Arial"/>
          <w:color w:val="auto"/>
          <w:szCs w:val="24"/>
          <w:lang w:eastAsia="en-US"/>
        </w:rPr>
      </w:pPr>
      <w:r w:rsidRPr="00DD5BA6">
        <w:rPr>
          <w:rFonts w:eastAsia="Arial" w:cs="Arial"/>
          <w:color w:val="auto"/>
        </w:rPr>
        <w:t>Town and local centres enable access to local goods, services, and leisure facilities, enable social interaction and provide employment and business opportunities.   They are also a place to live, which is well located for access to local facilities</w:t>
      </w:r>
      <w:r>
        <w:rPr>
          <w:rFonts w:cs="Arial"/>
          <w:color w:val="auto"/>
          <w:szCs w:val="24"/>
          <w:lang w:eastAsia="en-US"/>
        </w:rPr>
        <w:t xml:space="preserve">.  </w:t>
      </w:r>
      <w:r w:rsidRPr="00DD5BA6">
        <w:rPr>
          <w:rFonts w:eastAsia="Arial" w:cs="Arial"/>
          <w:color w:val="auto"/>
        </w:rPr>
        <w:t>Consequently, town and local centres form a focal point for communities.</w:t>
      </w:r>
    </w:p>
    <w:p w14:paraId="1C09A494" w14:textId="588BC2ED" w:rsidR="00DD5BA6" w:rsidRDefault="00DD5BA6" w:rsidP="00DD5BA6">
      <w:pPr>
        <w:keepNext w:val="0"/>
        <w:spacing w:before="0"/>
        <w:ind w:left="709"/>
        <w:rPr>
          <w:rFonts w:eastAsia="Arial" w:cs="Arial"/>
          <w:color w:val="auto"/>
        </w:rPr>
      </w:pPr>
    </w:p>
    <w:p w14:paraId="04C1D34C" w14:textId="1AD3ABE1" w:rsidR="009838D1" w:rsidRDefault="009838D1" w:rsidP="00DD5BA6">
      <w:pPr>
        <w:keepNext w:val="0"/>
        <w:spacing w:before="0"/>
        <w:ind w:left="709"/>
        <w:rPr>
          <w:rFonts w:eastAsia="Arial" w:cs="Arial"/>
          <w:color w:val="auto"/>
        </w:rPr>
      </w:pPr>
    </w:p>
    <w:p w14:paraId="4575A317" w14:textId="77777777" w:rsidR="009838D1" w:rsidRDefault="009838D1" w:rsidP="00DD5BA6">
      <w:pPr>
        <w:keepNext w:val="0"/>
        <w:spacing w:before="0"/>
        <w:ind w:left="709"/>
        <w:rPr>
          <w:rFonts w:eastAsia="Arial" w:cs="Arial"/>
          <w:color w:val="auto"/>
        </w:rPr>
      </w:pPr>
      <w:bookmarkStart w:id="274" w:name="_Hlk147929387"/>
    </w:p>
    <w:p w14:paraId="238E0906" w14:textId="6DA14742" w:rsidR="00DD5BA6" w:rsidRPr="00C55F46" w:rsidRDefault="006977E7" w:rsidP="00C55F46">
      <w:pPr>
        <w:pStyle w:val="Heading2"/>
        <w:jc w:val="left"/>
        <w:rPr>
          <w:rFonts w:eastAsia="Arial"/>
          <w:sz w:val="28"/>
          <w:szCs w:val="28"/>
        </w:rPr>
      </w:pPr>
      <w:bookmarkStart w:id="275" w:name="_Toc145511605"/>
      <w:r w:rsidRPr="00C55F46">
        <w:rPr>
          <w:rFonts w:eastAsia="Arial"/>
          <w:sz w:val="28"/>
          <w:szCs w:val="28"/>
        </w:rPr>
        <w:t xml:space="preserve">Policy </w:t>
      </w:r>
      <w:r w:rsidR="005A5BB8" w:rsidRPr="00C55F46">
        <w:rPr>
          <w:rFonts w:eastAsia="Arial"/>
          <w:sz w:val="28"/>
          <w:szCs w:val="28"/>
        </w:rPr>
        <w:t>SH1</w:t>
      </w:r>
      <w:r w:rsidRPr="00C55F46">
        <w:rPr>
          <w:rFonts w:eastAsia="Arial"/>
          <w:sz w:val="28"/>
          <w:szCs w:val="28"/>
        </w:rPr>
        <w:t>:</w:t>
      </w:r>
      <w:r w:rsidR="005A5BB8" w:rsidRPr="00C55F46">
        <w:rPr>
          <w:rFonts w:eastAsia="Arial"/>
          <w:sz w:val="28"/>
          <w:szCs w:val="28"/>
        </w:rPr>
        <w:t xml:space="preserve"> Retail, Leisure, Commercial and Town Centre Uses</w:t>
      </w:r>
      <w:bookmarkEnd w:id="275"/>
    </w:p>
    <w:p w14:paraId="75A25778" w14:textId="77777777" w:rsidR="00DD5BA6" w:rsidRPr="005A5BB8" w:rsidRDefault="00DD5BA6" w:rsidP="00DD5BA6">
      <w:pPr>
        <w:keepNext w:val="0"/>
        <w:spacing w:before="0"/>
        <w:rPr>
          <w:rFonts w:eastAsia="Arial" w:cs="Arial"/>
          <w:b/>
          <w:bCs/>
          <w:color w:val="auto"/>
        </w:rPr>
      </w:pPr>
    </w:p>
    <w:tbl>
      <w:tblPr>
        <w:tblStyle w:val="TableGrid3"/>
        <w:tblW w:w="0" w:type="auto"/>
        <w:tblLook w:val="04A0" w:firstRow="1" w:lastRow="0" w:firstColumn="1" w:lastColumn="0" w:noHBand="0" w:noVBand="1"/>
      </w:tblPr>
      <w:tblGrid>
        <w:gridCol w:w="1838"/>
        <w:gridCol w:w="822"/>
        <w:gridCol w:w="6833"/>
      </w:tblGrid>
      <w:tr w:rsidR="00DD5BA6" w:rsidRPr="00DD5BA6" w14:paraId="2B520509" w14:textId="77777777" w:rsidTr="00163F59">
        <w:trPr>
          <w:trHeight w:val="421"/>
        </w:trPr>
        <w:tc>
          <w:tcPr>
            <w:tcW w:w="9493" w:type="dxa"/>
            <w:gridSpan w:val="3"/>
          </w:tcPr>
          <w:p w14:paraId="472F64BD" w14:textId="77777777" w:rsidR="00A56503" w:rsidRDefault="00A56503" w:rsidP="00FF3EAD">
            <w:pPr>
              <w:keepNext w:val="0"/>
              <w:tabs>
                <w:tab w:val="left" w:pos="680"/>
              </w:tabs>
              <w:spacing w:before="0"/>
              <w:jc w:val="left"/>
              <w:rPr>
                <w:rFonts w:eastAsia="Arial"/>
                <w:b/>
                <w:color w:val="auto"/>
                <w:spacing w:val="-1"/>
              </w:rPr>
            </w:pPr>
          </w:p>
          <w:p w14:paraId="10E8F438" w14:textId="77777777" w:rsidR="00DD5BA6" w:rsidRDefault="00DD5BA6" w:rsidP="00FF3EAD">
            <w:pPr>
              <w:keepNext w:val="0"/>
              <w:tabs>
                <w:tab w:val="left" w:pos="680"/>
              </w:tabs>
              <w:spacing w:before="0"/>
              <w:jc w:val="left"/>
              <w:rPr>
                <w:rFonts w:eastAsia="Arial"/>
                <w:b/>
                <w:color w:val="auto"/>
                <w:spacing w:val="-1"/>
              </w:rPr>
            </w:pPr>
            <w:r w:rsidRPr="00DD5BA6">
              <w:rPr>
                <w:rFonts w:eastAsia="Arial"/>
                <w:b/>
                <w:color w:val="auto"/>
                <w:spacing w:val="-1"/>
              </w:rPr>
              <w:t xml:space="preserve">Policy SH1: </w:t>
            </w:r>
            <w:r w:rsidRPr="005A5BB8">
              <w:rPr>
                <w:rFonts w:eastAsia="Arial"/>
                <w:b/>
                <w:color w:val="auto"/>
                <w:spacing w:val="-1"/>
              </w:rPr>
              <w:t>Retail, Leisure, Commercial and Town Centre Uses</w:t>
            </w:r>
          </w:p>
          <w:p w14:paraId="7002826A" w14:textId="003874E4" w:rsidR="00A56503" w:rsidRPr="00DD5BA6" w:rsidRDefault="00A56503" w:rsidP="00FF3EAD">
            <w:pPr>
              <w:keepNext w:val="0"/>
              <w:tabs>
                <w:tab w:val="left" w:pos="680"/>
              </w:tabs>
              <w:spacing w:before="0"/>
              <w:jc w:val="left"/>
              <w:rPr>
                <w:rFonts w:eastAsia="Arial"/>
                <w:b/>
                <w:color w:val="auto"/>
                <w:spacing w:val="-1"/>
              </w:rPr>
            </w:pPr>
          </w:p>
        </w:tc>
      </w:tr>
      <w:tr w:rsidR="00DD5BA6" w:rsidRPr="00DD5BA6" w14:paraId="634B64F8" w14:textId="77777777" w:rsidTr="00163F59">
        <w:tc>
          <w:tcPr>
            <w:tcW w:w="2660" w:type="dxa"/>
            <w:gridSpan w:val="2"/>
          </w:tcPr>
          <w:p w14:paraId="0497ECBC" w14:textId="77777777" w:rsidR="00DD5BA6" w:rsidRPr="009838D1" w:rsidRDefault="00DD5BA6" w:rsidP="00FF3EAD">
            <w:pPr>
              <w:keepNext w:val="0"/>
              <w:tabs>
                <w:tab w:val="left" w:pos="680"/>
              </w:tabs>
              <w:spacing w:before="0"/>
              <w:jc w:val="left"/>
              <w:rPr>
                <w:rFonts w:eastAsia="Arial"/>
                <w:bCs/>
                <w:color w:val="auto"/>
              </w:rPr>
            </w:pPr>
            <w:r w:rsidRPr="009838D1">
              <w:rPr>
                <w:rFonts w:eastAsia="Arial"/>
                <w:bCs/>
                <w:color w:val="auto"/>
              </w:rPr>
              <w:t>Strategic Objectives</w:t>
            </w:r>
          </w:p>
        </w:tc>
        <w:tc>
          <w:tcPr>
            <w:tcW w:w="6833" w:type="dxa"/>
          </w:tcPr>
          <w:p w14:paraId="5361A031" w14:textId="77777777" w:rsidR="00DD5BA6" w:rsidRPr="009838D1" w:rsidRDefault="00DD5BA6" w:rsidP="00FF3EAD">
            <w:pPr>
              <w:keepNext w:val="0"/>
              <w:tabs>
                <w:tab w:val="left" w:pos="680"/>
              </w:tabs>
              <w:spacing w:before="40" w:after="40"/>
              <w:jc w:val="left"/>
              <w:rPr>
                <w:rFonts w:eastAsia="Arial"/>
                <w:bCs/>
                <w:color w:val="auto"/>
              </w:rPr>
            </w:pPr>
            <w:r w:rsidRPr="009838D1">
              <w:rPr>
                <w:rFonts w:eastAsia="Arial"/>
                <w:bCs/>
                <w:color w:val="auto"/>
              </w:rPr>
              <w:t>SO1, SO2, SO3, SO4, SO5, SO6, SO7, SO8, SO9, SO10.</w:t>
            </w:r>
          </w:p>
        </w:tc>
      </w:tr>
      <w:tr w:rsidR="00DD5BA6" w:rsidRPr="00DD5BA6" w14:paraId="1CF61B8C" w14:textId="77777777" w:rsidTr="00163F59">
        <w:tc>
          <w:tcPr>
            <w:tcW w:w="9493" w:type="dxa"/>
            <w:gridSpan w:val="3"/>
            <w:shd w:val="clear" w:color="auto" w:fill="E6A8A8"/>
          </w:tcPr>
          <w:p w14:paraId="5E6D70E2" w14:textId="77777777" w:rsidR="00DD5BA6" w:rsidRPr="009838D1" w:rsidRDefault="00DD5BA6" w:rsidP="00FF3EAD">
            <w:pPr>
              <w:keepNext w:val="0"/>
              <w:tabs>
                <w:tab w:val="left" w:pos="680"/>
              </w:tabs>
              <w:spacing w:before="0"/>
              <w:jc w:val="left"/>
              <w:rPr>
                <w:rFonts w:eastAsia="Arial" w:cs="Arial"/>
                <w:color w:val="auto"/>
                <w:szCs w:val="24"/>
              </w:rPr>
            </w:pPr>
          </w:p>
          <w:p w14:paraId="2790726F" w14:textId="385F4515" w:rsidR="00DD5BA6" w:rsidRPr="009838D1" w:rsidRDefault="00DD5BA6" w:rsidP="00874A98">
            <w:pPr>
              <w:keepNext w:val="0"/>
              <w:numPr>
                <w:ilvl w:val="0"/>
                <w:numId w:val="164"/>
              </w:numPr>
              <w:tabs>
                <w:tab w:val="clear" w:pos="360"/>
              </w:tabs>
              <w:spacing w:before="0" w:after="160" w:line="252" w:lineRule="auto"/>
              <w:ind w:left="502" w:right="284"/>
              <w:jc w:val="left"/>
              <w:rPr>
                <w:rFonts w:eastAsia="Arial" w:cs="Arial"/>
                <w:color w:val="auto"/>
                <w:szCs w:val="24"/>
              </w:rPr>
            </w:pPr>
            <w:r w:rsidRPr="009838D1">
              <w:rPr>
                <w:rFonts w:eastAsia="Arial" w:cs="Arial"/>
                <w:color w:val="auto"/>
                <w:szCs w:val="24"/>
              </w:rPr>
              <w:t>Within the town centres of Sutton in Ashfield, Kirkby-in-Ashfield and Hucknall,</w:t>
            </w:r>
            <w:r w:rsidR="00890361">
              <w:t xml:space="preserve"> </w:t>
            </w:r>
            <w:r w:rsidR="00890361" w:rsidRPr="00890361">
              <w:rPr>
                <w:rFonts w:eastAsia="Arial" w:cs="Arial"/>
                <w:color w:val="auto"/>
                <w:szCs w:val="24"/>
              </w:rPr>
              <w:t>a</w:t>
            </w:r>
            <w:r w:rsidR="00890361">
              <w:rPr>
                <w:rFonts w:eastAsia="Arial" w:cs="Arial"/>
                <w:color w:val="auto"/>
                <w:szCs w:val="24"/>
              </w:rPr>
              <w:t>s</w:t>
            </w:r>
            <w:r w:rsidR="00890361" w:rsidRPr="00890361">
              <w:rPr>
                <w:rFonts w:eastAsia="Arial" w:cs="Arial"/>
                <w:color w:val="auto"/>
                <w:szCs w:val="24"/>
              </w:rPr>
              <w:t xml:space="preserve"> identified on the Policies Maps</w:t>
            </w:r>
            <w:r w:rsidR="00890361">
              <w:rPr>
                <w:rFonts w:eastAsia="Arial" w:cs="Arial"/>
                <w:color w:val="auto"/>
                <w:szCs w:val="24"/>
              </w:rPr>
              <w:t>,</w:t>
            </w:r>
            <w:r w:rsidRPr="009838D1">
              <w:rPr>
                <w:rFonts w:eastAsia="Arial" w:cs="Arial"/>
                <w:color w:val="auto"/>
                <w:szCs w:val="24"/>
              </w:rPr>
              <w:t xml:space="preserve"> the Council will support development for main town centre uses</w:t>
            </w:r>
            <w:r w:rsidR="00B56368" w:rsidRPr="009838D1">
              <w:rPr>
                <w:rFonts w:eastAsia="Arial" w:cs="Arial"/>
                <w:color w:val="auto"/>
                <w:szCs w:val="24"/>
                <w:vertAlign w:val="superscript"/>
              </w:rPr>
              <w:t>1</w:t>
            </w:r>
            <w:r w:rsidRPr="009838D1">
              <w:rPr>
                <w:rFonts w:eastAsia="Arial" w:cs="Arial"/>
                <w:color w:val="auto"/>
                <w:szCs w:val="24"/>
              </w:rPr>
              <w:t>, residential, health care and educational development that:</w:t>
            </w:r>
          </w:p>
          <w:p w14:paraId="1343FECB" w14:textId="464B6DF6" w:rsidR="00DD5BA6" w:rsidRPr="009838D1" w:rsidRDefault="00DD5BA6" w:rsidP="00874A98">
            <w:pPr>
              <w:keepNext w:val="0"/>
              <w:numPr>
                <w:ilvl w:val="0"/>
                <w:numId w:val="165"/>
              </w:numPr>
              <w:tabs>
                <w:tab w:val="left" w:pos="680"/>
                <w:tab w:val="left" w:pos="2267"/>
              </w:tabs>
              <w:spacing w:before="0" w:after="160" w:line="252" w:lineRule="auto"/>
              <w:ind w:left="1037" w:right="284" w:hanging="357"/>
              <w:contextualSpacing/>
              <w:jc w:val="left"/>
              <w:rPr>
                <w:rFonts w:eastAsia="Arial" w:cs="Arial"/>
                <w:color w:val="auto"/>
                <w:szCs w:val="24"/>
              </w:rPr>
            </w:pPr>
            <w:r w:rsidRPr="009838D1">
              <w:rPr>
                <w:rFonts w:cs="Arial"/>
                <w:color w:val="auto"/>
                <w:szCs w:val="24"/>
              </w:rPr>
              <w:t>Is of a scale which reflects the role, function and distinctive qualities of the town centre having regard to the delivery of the vision, objectives and projects set out in the Town Centre Masterplans</w:t>
            </w:r>
            <w:r w:rsidR="00CE29D9">
              <w:rPr>
                <w:rFonts w:cs="Arial"/>
                <w:color w:val="auto"/>
                <w:szCs w:val="24"/>
              </w:rPr>
              <w:t>.</w:t>
            </w:r>
            <w:r w:rsidRPr="009838D1">
              <w:rPr>
                <w:rFonts w:cs="Arial"/>
                <w:color w:val="auto"/>
                <w:szCs w:val="24"/>
              </w:rPr>
              <w:t xml:space="preserve"> </w:t>
            </w:r>
          </w:p>
          <w:p w14:paraId="329267C5" w14:textId="0FE33FBB" w:rsidR="00DD5BA6" w:rsidRPr="00985BCC" w:rsidRDefault="00DD5BA6" w:rsidP="00874A98">
            <w:pPr>
              <w:keepNext w:val="0"/>
              <w:numPr>
                <w:ilvl w:val="0"/>
                <w:numId w:val="165"/>
              </w:numPr>
              <w:tabs>
                <w:tab w:val="left" w:pos="680"/>
                <w:tab w:val="left" w:pos="1133"/>
                <w:tab w:val="left" w:pos="2267"/>
              </w:tabs>
              <w:spacing w:before="0" w:after="160" w:line="252" w:lineRule="auto"/>
              <w:ind w:right="284"/>
              <w:contextualSpacing/>
              <w:jc w:val="left"/>
              <w:rPr>
                <w:rFonts w:eastAsia="Arial" w:cs="Arial"/>
                <w:szCs w:val="24"/>
              </w:rPr>
            </w:pPr>
            <w:r w:rsidRPr="00985BCC">
              <w:rPr>
                <w:rFonts w:eastAsia="Arial" w:cs="Arial"/>
                <w:szCs w:val="24"/>
              </w:rPr>
              <w:t>Will not adversely affect the character, quality, amenity and safety of any area within the Town Centre</w:t>
            </w:r>
            <w:r w:rsidR="00CE29D9" w:rsidRPr="00985BCC">
              <w:rPr>
                <w:rFonts w:eastAsia="Arial" w:cs="Arial"/>
                <w:szCs w:val="24"/>
              </w:rPr>
              <w:t>.</w:t>
            </w:r>
          </w:p>
          <w:p w14:paraId="24F23959" w14:textId="3EB3269B" w:rsidR="00BB1AEB" w:rsidRPr="00985BCC" w:rsidRDefault="00BB1AEB" w:rsidP="00874A98">
            <w:pPr>
              <w:keepNext w:val="0"/>
              <w:numPr>
                <w:ilvl w:val="0"/>
                <w:numId w:val="165"/>
              </w:numPr>
              <w:spacing w:before="0" w:after="160" w:line="252" w:lineRule="auto"/>
              <w:contextualSpacing/>
              <w:jc w:val="left"/>
              <w:rPr>
                <w:rFonts w:eastAsia="Arial" w:cs="Arial"/>
                <w:szCs w:val="24"/>
              </w:rPr>
            </w:pPr>
            <w:r w:rsidRPr="00985BCC">
              <w:rPr>
                <w:rFonts w:eastAsia="Arial" w:cs="Arial"/>
                <w:szCs w:val="24"/>
              </w:rPr>
              <w:t xml:space="preserve">Will not have a significant </w:t>
            </w:r>
            <w:r w:rsidR="009A3879">
              <w:rPr>
                <w:rFonts w:eastAsia="Arial" w:cs="Arial"/>
                <w:szCs w:val="24"/>
              </w:rPr>
              <w:t>adverse e</w:t>
            </w:r>
            <w:r w:rsidR="009A3879" w:rsidRPr="00985BCC">
              <w:rPr>
                <w:rFonts w:eastAsia="Arial" w:cs="Arial"/>
                <w:szCs w:val="24"/>
              </w:rPr>
              <w:t>ffect</w:t>
            </w:r>
            <w:r w:rsidRPr="00985BCC">
              <w:rPr>
                <w:rFonts w:eastAsia="Arial" w:cs="Arial"/>
                <w:szCs w:val="24"/>
              </w:rPr>
              <w:t xml:space="preserve"> on the retail vitality of the town centre</w:t>
            </w:r>
            <w:r w:rsidR="00CE29D9" w:rsidRPr="00985BCC">
              <w:rPr>
                <w:rFonts w:eastAsia="Arial" w:cs="Arial"/>
                <w:szCs w:val="24"/>
              </w:rPr>
              <w:t>.</w:t>
            </w:r>
          </w:p>
          <w:p w14:paraId="35A3C8FC" w14:textId="4F554255" w:rsidR="00DD5BA6" w:rsidRPr="00985BCC" w:rsidRDefault="00DD5BA6" w:rsidP="00874A98">
            <w:pPr>
              <w:keepNext w:val="0"/>
              <w:numPr>
                <w:ilvl w:val="0"/>
                <w:numId w:val="165"/>
              </w:numPr>
              <w:spacing w:before="0" w:after="160" w:line="252" w:lineRule="auto"/>
              <w:contextualSpacing/>
              <w:jc w:val="left"/>
              <w:rPr>
                <w:rFonts w:eastAsia="Arial" w:cs="Arial"/>
                <w:szCs w:val="24"/>
              </w:rPr>
            </w:pPr>
            <w:r w:rsidRPr="00985BCC">
              <w:rPr>
                <w:rFonts w:eastAsia="Arial" w:cs="Arial"/>
                <w:szCs w:val="24"/>
              </w:rPr>
              <w:t>Widens the range of main town centre uses in the centre</w:t>
            </w:r>
            <w:r w:rsidR="00CE29D9" w:rsidRPr="00985BCC">
              <w:rPr>
                <w:rFonts w:eastAsia="Arial" w:cs="Arial"/>
                <w:szCs w:val="24"/>
              </w:rPr>
              <w:t>.</w:t>
            </w:r>
          </w:p>
          <w:p w14:paraId="67622BE8" w14:textId="77777777" w:rsidR="00DD5BA6" w:rsidRPr="009838D1" w:rsidRDefault="00DD5BA6" w:rsidP="00874A98">
            <w:pPr>
              <w:keepNext w:val="0"/>
              <w:numPr>
                <w:ilvl w:val="0"/>
                <w:numId w:val="165"/>
              </w:numPr>
              <w:spacing w:before="0" w:after="160" w:line="252" w:lineRule="auto"/>
              <w:ind w:left="1037" w:hanging="357"/>
              <w:contextualSpacing/>
              <w:jc w:val="left"/>
              <w:rPr>
                <w:rFonts w:eastAsia="Arial" w:cs="Arial"/>
                <w:color w:val="auto"/>
                <w:szCs w:val="24"/>
              </w:rPr>
            </w:pPr>
            <w:r w:rsidRPr="009838D1">
              <w:rPr>
                <w:rFonts w:eastAsia="Arial" w:cs="Arial"/>
                <w:color w:val="auto"/>
                <w:szCs w:val="24"/>
              </w:rPr>
              <w:t>Provides a diverse range of day and evening uses.</w:t>
            </w:r>
          </w:p>
          <w:p w14:paraId="3C3B649C" w14:textId="50673C2E" w:rsidR="00DD5BA6" w:rsidRPr="00ED67D8" w:rsidRDefault="00DD5BA6" w:rsidP="00874A98">
            <w:pPr>
              <w:keepNext w:val="0"/>
              <w:numPr>
                <w:ilvl w:val="0"/>
                <w:numId w:val="165"/>
              </w:numPr>
              <w:tabs>
                <w:tab w:val="left" w:pos="680"/>
                <w:tab w:val="left" w:pos="1133"/>
                <w:tab w:val="left" w:pos="2267"/>
              </w:tabs>
              <w:spacing w:before="0" w:after="160" w:line="252" w:lineRule="auto"/>
              <w:ind w:left="1037" w:right="284" w:hanging="357"/>
              <w:contextualSpacing/>
              <w:jc w:val="left"/>
              <w:rPr>
                <w:rFonts w:eastAsia="Arial" w:cs="Arial"/>
                <w:color w:val="auto"/>
                <w:szCs w:val="24"/>
              </w:rPr>
            </w:pPr>
            <w:r w:rsidRPr="00ED67D8">
              <w:rPr>
                <w:rFonts w:eastAsia="Arial" w:cs="Arial"/>
                <w:color w:val="auto"/>
                <w:szCs w:val="24"/>
              </w:rPr>
              <w:lastRenderedPageBreak/>
              <w:t>Maintains street frontage activity which encourages footfall within the Centre and does not result in the core retail</w:t>
            </w:r>
            <w:r w:rsidR="00ED67D8" w:rsidRPr="00ED67D8">
              <w:rPr>
                <w:rFonts w:eastAsia="Arial" w:cs="Arial"/>
                <w:color w:val="auto"/>
                <w:szCs w:val="24"/>
              </w:rPr>
              <w:t xml:space="preserve"> </w:t>
            </w:r>
            <w:r w:rsidRPr="00ED67D8">
              <w:rPr>
                <w:rFonts w:eastAsia="Arial" w:cs="Arial"/>
                <w:color w:val="auto"/>
                <w:szCs w:val="24"/>
              </w:rPr>
              <w:t>function of the Primary Shopping Area, identified on the Policies Map, being undermined.</w:t>
            </w:r>
          </w:p>
          <w:p w14:paraId="148C6999" w14:textId="77777777" w:rsidR="00DD5BA6" w:rsidRPr="009838D1" w:rsidRDefault="00DD5BA6" w:rsidP="00874A98">
            <w:pPr>
              <w:keepNext w:val="0"/>
              <w:numPr>
                <w:ilvl w:val="0"/>
                <w:numId w:val="165"/>
              </w:numPr>
              <w:spacing w:before="0" w:after="160" w:line="252" w:lineRule="auto"/>
              <w:contextualSpacing/>
              <w:jc w:val="left"/>
              <w:rPr>
                <w:rFonts w:eastAsia="Arial" w:cs="Arial"/>
                <w:color w:val="auto"/>
                <w:szCs w:val="24"/>
              </w:rPr>
            </w:pPr>
            <w:r w:rsidRPr="009838D1">
              <w:rPr>
                <w:rFonts w:eastAsia="Arial" w:cs="Arial"/>
                <w:color w:val="auto"/>
                <w:szCs w:val="24"/>
              </w:rPr>
              <w:t>Makes use of above ground floor spaces, particularly for residential purposes.</w:t>
            </w:r>
          </w:p>
          <w:p w14:paraId="69BBC010" w14:textId="77777777" w:rsidR="00DD5BA6" w:rsidRPr="009838D1" w:rsidRDefault="00DD5BA6" w:rsidP="00874A98">
            <w:pPr>
              <w:keepNext w:val="0"/>
              <w:numPr>
                <w:ilvl w:val="0"/>
                <w:numId w:val="165"/>
              </w:numPr>
              <w:spacing w:before="0" w:after="160" w:line="252" w:lineRule="auto"/>
              <w:contextualSpacing/>
              <w:jc w:val="left"/>
              <w:rPr>
                <w:rFonts w:eastAsia="Arial" w:cs="Arial"/>
                <w:color w:val="auto"/>
                <w:szCs w:val="24"/>
              </w:rPr>
            </w:pPr>
            <w:r w:rsidRPr="009838D1">
              <w:rPr>
                <w:rFonts w:eastAsia="Arial" w:cs="Arial"/>
                <w:color w:val="auto"/>
                <w:szCs w:val="24"/>
              </w:rPr>
              <w:t xml:space="preserve">Ensures that proposed signage does not detract from the character and appearance of the surrounding area. </w:t>
            </w:r>
          </w:p>
          <w:p w14:paraId="62C40977" w14:textId="77777777" w:rsidR="00DD5BA6" w:rsidRPr="009838D1" w:rsidRDefault="00DD5BA6" w:rsidP="00874A98">
            <w:pPr>
              <w:keepNext w:val="0"/>
              <w:numPr>
                <w:ilvl w:val="0"/>
                <w:numId w:val="165"/>
              </w:numPr>
              <w:spacing w:before="0" w:after="160" w:line="252" w:lineRule="auto"/>
              <w:contextualSpacing/>
              <w:jc w:val="left"/>
              <w:rPr>
                <w:rFonts w:eastAsia="Arial" w:cs="Arial"/>
                <w:color w:val="auto"/>
                <w:szCs w:val="24"/>
              </w:rPr>
            </w:pPr>
            <w:r w:rsidRPr="009838D1">
              <w:rPr>
                <w:rFonts w:eastAsia="Arial" w:cs="Arial"/>
                <w:color w:val="auto"/>
                <w:szCs w:val="24"/>
              </w:rPr>
              <w:t>Is well designed and enhances or complement the street scene;</w:t>
            </w:r>
          </w:p>
          <w:p w14:paraId="15AC0A67" w14:textId="261DD1BA" w:rsidR="00DD5BA6" w:rsidRPr="009838D1" w:rsidRDefault="00DD5BA6" w:rsidP="00874A98">
            <w:pPr>
              <w:keepNext w:val="0"/>
              <w:numPr>
                <w:ilvl w:val="0"/>
                <w:numId w:val="165"/>
              </w:numPr>
              <w:spacing w:before="0" w:after="160" w:line="252" w:lineRule="auto"/>
              <w:contextualSpacing/>
              <w:jc w:val="left"/>
              <w:rPr>
                <w:rFonts w:eastAsia="Arial" w:cs="Arial"/>
                <w:color w:val="auto"/>
                <w:szCs w:val="24"/>
              </w:rPr>
            </w:pPr>
            <w:r w:rsidRPr="009838D1">
              <w:rPr>
                <w:rFonts w:eastAsia="Arial" w:cs="Arial"/>
                <w:color w:val="auto"/>
                <w:szCs w:val="24"/>
              </w:rPr>
              <w:t xml:space="preserve">Ensures servicing arrangements are maintained or improved and the proposed development does not conflict with the </w:t>
            </w:r>
            <w:proofErr w:type="gramStart"/>
            <w:r w:rsidRPr="009838D1">
              <w:rPr>
                <w:rFonts w:eastAsia="Arial" w:cs="Arial"/>
                <w:color w:val="auto"/>
                <w:szCs w:val="24"/>
              </w:rPr>
              <w:t>day to day</w:t>
            </w:r>
            <w:proofErr w:type="gramEnd"/>
            <w:r w:rsidRPr="009838D1">
              <w:rPr>
                <w:rFonts w:eastAsia="Arial" w:cs="Arial"/>
                <w:color w:val="auto"/>
                <w:szCs w:val="24"/>
              </w:rPr>
              <w:t xml:space="preserve"> activities of the area.</w:t>
            </w:r>
          </w:p>
          <w:p w14:paraId="61038224" w14:textId="77777777" w:rsidR="00DD5BA6" w:rsidRPr="009838D1" w:rsidRDefault="00DD5BA6" w:rsidP="00FF3EAD">
            <w:pPr>
              <w:keepNext w:val="0"/>
              <w:spacing w:before="0" w:after="160" w:line="252" w:lineRule="auto"/>
              <w:ind w:left="1040"/>
              <w:contextualSpacing/>
              <w:jc w:val="left"/>
              <w:rPr>
                <w:rFonts w:eastAsia="Arial" w:cs="Arial"/>
                <w:color w:val="auto"/>
                <w:szCs w:val="24"/>
              </w:rPr>
            </w:pPr>
          </w:p>
          <w:p w14:paraId="0417C1AD" w14:textId="0D54159E" w:rsidR="00DD5BA6" w:rsidRPr="009838D1" w:rsidRDefault="00DD5BA6" w:rsidP="00874A98">
            <w:pPr>
              <w:keepNext w:val="0"/>
              <w:numPr>
                <w:ilvl w:val="0"/>
                <w:numId w:val="164"/>
              </w:numPr>
              <w:tabs>
                <w:tab w:val="clear" w:pos="360"/>
                <w:tab w:val="left" w:pos="1133"/>
                <w:tab w:val="left" w:pos="2267"/>
              </w:tabs>
              <w:spacing w:before="0"/>
              <w:ind w:left="502" w:right="284"/>
              <w:jc w:val="left"/>
              <w:rPr>
                <w:rFonts w:eastAsia="Arial" w:cs="Arial"/>
                <w:color w:val="auto"/>
                <w:szCs w:val="24"/>
              </w:rPr>
            </w:pPr>
            <w:r w:rsidRPr="009838D1">
              <w:rPr>
                <w:rFonts w:eastAsia="Arial" w:cs="Arial"/>
                <w:color w:val="auto"/>
                <w:szCs w:val="24"/>
              </w:rPr>
              <w:t>Subject to the provisions of Policy SH1 – 1, the Council will support the conversion of surplus shop units to residential use where:</w:t>
            </w:r>
          </w:p>
          <w:p w14:paraId="1E6DBC6D" w14:textId="77777777" w:rsidR="00DD5BA6" w:rsidRPr="009838D1" w:rsidRDefault="00DD5BA6" w:rsidP="00FF3EAD">
            <w:pPr>
              <w:keepNext w:val="0"/>
              <w:tabs>
                <w:tab w:val="left" w:pos="680"/>
                <w:tab w:val="left" w:pos="1133"/>
                <w:tab w:val="left" w:pos="2267"/>
              </w:tabs>
              <w:spacing w:before="0"/>
              <w:ind w:right="284"/>
              <w:contextualSpacing/>
              <w:jc w:val="left"/>
              <w:rPr>
                <w:rFonts w:eastAsia="Arial" w:cs="Arial"/>
                <w:color w:val="auto"/>
                <w:szCs w:val="24"/>
              </w:rPr>
            </w:pPr>
          </w:p>
          <w:p w14:paraId="72E26C60" w14:textId="77777777" w:rsidR="00DD5BA6" w:rsidRPr="009838D1" w:rsidRDefault="00DD5BA6" w:rsidP="00874A98">
            <w:pPr>
              <w:keepNext w:val="0"/>
              <w:numPr>
                <w:ilvl w:val="0"/>
                <w:numId w:val="169"/>
              </w:numPr>
              <w:tabs>
                <w:tab w:val="left" w:pos="680"/>
                <w:tab w:val="left" w:pos="1133"/>
                <w:tab w:val="left" w:pos="2267"/>
              </w:tabs>
              <w:spacing w:before="0"/>
              <w:ind w:right="284"/>
              <w:contextualSpacing/>
              <w:jc w:val="left"/>
              <w:rPr>
                <w:rFonts w:eastAsia="Arial" w:cs="Arial"/>
                <w:color w:val="auto"/>
                <w:szCs w:val="24"/>
              </w:rPr>
            </w:pPr>
            <w:r w:rsidRPr="009838D1">
              <w:rPr>
                <w:rFonts w:eastAsia="Arial" w:cs="Arial"/>
                <w:color w:val="auto"/>
                <w:szCs w:val="24"/>
              </w:rPr>
              <w:t>The unit is appropriately sited and designed so as not to impact on the street scene or create conflict between users;</w:t>
            </w:r>
          </w:p>
          <w:p w14:paraId="7364835A" w14:textId="77777777" w:rsidR="00DD5BA6" w:rsidRPr="009838D1" w:rsidRDefault="00DD5BA6" w:rsidP="00874A98">
            <w:pPr>
              <w:keepNext w:val="0"/>
              <w:numPr>
                <w:ilvl w:val="0"/>
                <w:numId w:val="169"/>
              </w:numPr>
              <w:tabs>
                <w:tab w:val="left" w:pos="680"/>
                <w:tab w:val="left" w:pos="1133"/>
                <w:tab w:val="left" w:pos="2267"/>
              </w:tabs>
              <w:spacing w:before="0" w:after="160" w:line="252" w:lineRule="auto"/>
              <w:ind w:right="284"/>
              <w:contextualSpacing/>
              <w:jc w:val="left"/>
              <w:rPr>
                <w:rFonts w:eastAsia="Arial" w:cs="Arial"/>
                <w:color w:val="auto"/>
                <w:szCs w:val="24"/>
              </w:rPr>
            </w:pPr>
            <w:r w:rsidRPr="009838D1">
              <w:rPr>
                <w:rFonts w:eastAsia="Arial" w:cs="Arial"/>
                <w:color w:val="auto"/>
                <w:szCs w:val="24"/>
              </w:rPr>
              <w:t>It can be demonstrated there is a lack of demand for the unit for town centre uses.</w:t>
            </w:r>
          </w:p>
          <w:p w14:paraId="721003DC" w14:textId="77777777" w:rsidR="00DD5BA6" w:rsidRPr="009838D1" w:rsidRDefault="00DD5BA6" w:rsidP="00FF3EAD">
            <w:pPr>
              <w:keepNext w:val="0"/>
              <w:tabs>
                <w:tab w:val="left" w:pos="680"/>
                <w:tab w:val="left" w:pos="1133"/>
                <w:tab w:val="left" w:pos="2267"/>
              </w:tabs>
              <w:spacing w:before="0"/>
              <w:ind w:right="284"/>
              <w:jc w:val="left"/>
              <w:rPr>
                <w:rFonts w:eastAsia="Arial" w:cs="Arial"/>
                <w:color w:val="auto"/>
                <w:szCs w:val="24"/>
              </w:rPr>
            </w:pPr>
          </w:p>
          <w:p w14:paraId="6B710BFA" w14:textId="63710567" w:rsidR="00DD5BA6" w:rsidRPr="00F53521" w:rsidRDefault="00DD5BA6" w:rsidP="00874A98">
            <w:pPr>
              <w:keepNext w:val="0"/>
              <w:numPr>
                <w:ilvl w:val="0"/>
                <w:numId w:val="164"/>
              </w:numPr>
              <w:tabs>
                <w:tab w:val="clear" w:pos="360"/>
                <w:tab w:val="left" w:pos="1133"/>
                <w:tab w:val="left" w:pos="2267"/>
              </w:tabs>
              <w:spacing w:before="0"/>
              <w:ind w:left="502" w:right="284"/>
              <w:jc w:val="left"/>
              <w:rPr>
                <w:rFonts w:eastAsia="Arial" w:cs="Arial"/>
                <w:color w:val="1F3864" w:themeColor="accent1" w:themeShade="80"/>
                <w:szCs w:val="24"/>
              </w:rPr>
            </w:pPr>
            <w:r w:rsidRPr="009838D1">
              <w:rPr>
                <w:rFonts w:eastAsia="Arial" w:cs="Arial"/>
                <w:color w:val="auto"/>
                <w:szCs w:val="24"/>
              </w:rPr>
              <w:t>Proposals that result in clusters of hot food takeaways</w:t>
            </w:r>
            <w:r w:rsidR="009A3879">
              <w:rPr>
                <w:rFonts w:eastAsia="Arial" w:cs="Arial"/>
                <w:color w:val="auto"/>
                <w:szCs w:val="24"/>
              </w:rPr>
              <w:t>, betting shops</w:t>
            </w:r>
            <w:r w:rsidRPr="009838D1">
              <w:rPr>
                <w:rFonts w:eastAsia="Arial" w:cs="Arial"/>
                <w:color w:val="auto"/>
                <w:szCs w:val="24"/>
              </w:rPr>
              <w:t xml:space="preserve"> or pubs/drinking establishments will not be supported, taking account of the concentration and proximity of existing such establishments in the immediate area.</w:t>
            </w:r>
            <w:r w:rsidR="00AB6E5F">
              <w:rPr>
                <w:rFonts w:eastAsia="Arial" w:cs="Arial"/>
                <w:b/>
                <w:bCs/>
              </w:rPr>
              <w:t xml:space="preserve"> </w:t>
            </w:r>
            <w:r w:rsidR="00F82553" w:rsidRPr="00F53521">
              <w:rPr>
                <w:rFonts w:eastAsia="Arial" w:cs="Arial"/>
                <w:color w:val="1F3864" w:themeColor="accent1" w:themeShade="80"/>
              </w:rPr>
              <w:t>having regard to the Town Centre Local Centre Study 2023 (or any subsequent update).</w:t>
            </w:r>
            <w:r w:rsidR="00AB6E5F" w:rsidRPr="00F53521">
              <w:rPr>
                <w:rFonts w:eastAsia="Arial" w:cs="Arial"/>
                <w:color w:val="1F3864" w:themeColor="accent1" w:themeShade="80"/>
              </w:rPr>
              <w:t xml:space="preserve">  </w:t>
            </w:r>
          </w:p>
          <w:p w14:paraId="6AE555CD" w14:textId="77777777" w:rsidR="00DD5BA6" w:rsidRPr="009838D1" w:rsidRDefault="00DD5BA6" w:rsidP="00FF3EAD">
            <w:pPr>
              <w:keepNext w:val="0"/>
              <w:tabs>
                <w:tab w:val="left" w:pos="680"/>
                <w:tab w:val="left" w:pos="1133"/>
                <w:tab w:val="left" w:pos="2267"/>
              </w:tabs>
              <w:spacing w:before="0"/>
              <w:ind w:left="502" w:right="284"/>
              <w:jc w:val="left"/>
              <w:rPr>
                <w:rFonts w:eastAsia="Arial" w:cs="Arial"/>
                <w:color w:val="auto"/>
                <w:szCs w:val="24"/>
              </w:rPr>
            </w:pPr>
          </w:p>
          <w:p w14:paraId="7B198D89" w14:textId="77777777" w:rsidR="00DD5BA6" w:rsidRPr="009838D1" w:rsidRDefault="00DD5BA6" w:rsidP="00874A98">
            <w:pPr>
              <w:keepNext w:val="0"/>
              <w:numPr>
                <w:ilvl w:val="0"/>
                <w:numId w:val="164"/>
              </w:numPr>
              <w:tabs>
                <w:tab w:val="clear" w:pos="360"/>
                <w:tab w:val="left" w:pos="1133"/>
                <w:tab w:val="left" w:pos="2267"/>
              </w:tabs>
              <w:spacing w:before="0"/>
              <w:ind w:left="505" w:right="284"/>
              <w:jc w:val="left"/>
              <w:rPr>
                <w:rFonts w:eastAsia="Arial" w:cs="Arial"/>
                <w:color w:val="auto"/>
                <w:szCs w:val="24"/>
              </w:rPr>
            </w:pPr>
            <w:r w:rsidRPr="009838D1">
              <w:rPr>
                <w:rFonts w:eastAsia="Arial" w:cs="Arial"/>
                <w:color w:val="auto"/>
                <w:szCs w:val="24"/>
              </w:rPr>
              <w:t xml:space="preserve">The Council will apply the sequential test and, where appropriate, the impact test to the location of main town centre uses. </w:t>
            </w:r>
          </w:p>
          <w:p w14:paraId="1E57A88C" w14:textId="77777777" w:rsidR="00DD5BA6" w:rsidRPr="009838D1" w:rsidRDefault="00DD5BA6" w:rsidP="00FF3EAD">
            <w:pPr>
              <w:keepNext w:val="0"/>
              <w:tabs>
                <w:tab w:val="left" w:pos="680"/>
                <w:tab w:val="left" w:pos="1133"/>
                <w:tab w:val="left" w:pos="2267"/>
              </w:tabs>
              <w:spacing w:before="0"/>
              <w:ind w:left="505" w:right="284"/>
              <w:jc w:val="left"/>
              <w:rPr>
                <w:rFonts w:eastAsia="Arial" w:cs="Arial"/>
                <w:color w:val="auto"/>
                <w:szCs w:val="24"/>
              </w:rPr>
            </w:pPr>
          </w:p>
          <w:p w14:paraId="5B51ECE4" w14:textId="1BA0B48D" w:rsidR="00DD5BA6" w:rsidRDefault="00DD5BA6" w:rsidP="00874A98">
            <w:pPr>
              <w:keepNext w:val="0"/>
              <w:numPr>
                <w:ilvl w:val="0"/>
                <w:numId w:val="166"/>
              </w:numPr>
              <w:tabs>
                <w:tab w:val="left" w:pos="680"/>
                <w:tab w:val="left" w:pos="1133"/>
                <w:tab w:val="left" w:pos="2267"/>
              </w:tabs>
              <w:spacing w:before="0" w:after="160" w:line="252" w:lineRule="auto"/>
              <w:ind w:right="284"/>
              <w:contextualSpacing/>
              <w:jc w:val="left"/>
              <w:rPr>
                <w:rFonts w:eastAsia="Arial" w:cs="Arial"/>
                <w:color w:val="auto"/>
                <w:szCs w:val="24"/>
              </w:rPr>
            </w:pPr>
            <w:r w:rsidRPr="009838D1">
              <w:rPr>
                <w:rFonts w:eastAsia="Arial" w:cs="Arial"/>
                <w:color w:val="auto"/>
                <w:szCs w:val="24"/>
              </w:rPr>
              <w:t xml:space="preserve">Sequential Test - </w:t>
            </w:r>
            <w:r w:rsidR="00F22DDF" w:rsidRPr="00F22DDF">
              <w:rPr>
                <w:rFonts w:eastAsia="Arial" w:cs="Arial"/>
                <w:color w:val="auto"/>
                <w:szCs w:val="24"/>
              </w:rPr>
              <w:t xml:space="preserve">The sequential test requires main town centre uses to </w:t>
            </w:r>
            <w:proofErr w:type="gramStart"/>
            <w:r w:rsidR="00F22DDF" w:rsidRPr="00F22DDF">
              <w:rPr>
                <w:rFonts w:eastAsia="Arial" w:cs="Arial"/>
                <w:color w:val="auto"/>
                <w:szCs w:val="24"/>
              </w:rPr>
              <w:t>be located in</w:t>
            </w:r>
            <w:proofErr w:type="gramEnd"/>
            <w:r w:rsidR="00F22DDF" w:rsidRPr="00F22DDF">
              <w:rPr>
                <w:rFonts w:eastAsia="Arial" w:cs="Arial"/>
                <w:color w:val="auto"/>
                <w:szCs w:val="24"/>
              </w:rPr>
              <w:t xml:space="preserve"> town centre locations.  Only where no suitable and available sites </w:t>
            </w:r>
            <w:proofErr w:type="gramStart"/>
            <w:r w:rsidR="00F22DDF" w:rsidRPr="00F22DDF">
              <w:rPr>
                <w:rFonts w:eastAsia="Arial" w:cs="Arial"/>
                <w:color w:val="auto"/>
                <w:szCs w:val="24"/>
              </w:rPr>
              <w:t>exist, or</w:t>
            </w:r>
            <w:proofErr w:type="gramEnd"/>
            <w:r w:rsidR="00F22DDF" w:rsidRPr="00F22DDF">
              <w:rPr>
                <w:rFonts w:eastAsia="Arial" w:cs="Arial"/>
                <w:color w:val="auto"/>
                <w:szCs w:val="24"/>
              </w:rPr>
              <w:t xml:space="preserve"> expect to become available within a reasonable period will alternative locations be considered, </w:t>
            </w:r>
            <w:proofErr w:type="gramStart"/>
            <w:r w:rsidR="00F22DDF" w:rsidRPr="00F22DDF">
              <w:rPr>
                <w:rFonts w:eastAsia="Arial" w:cs="Arial"/>
                <w:color w:val="auto"/>
                <w:szCs w:val="24"/>
              </w:rPr>
              <w:t>taking into account</w:t>
            </w:r>
            <w:proofErr w:type="gramEnd"/>
            <w:r w:rsidR="00F22DDF" w:rsidRPr="00F22DDF">
              <w:rPr>
                <w:rFonts w:eastAsia="Arial" w:cs="Arial"/>
                <w:color w:val="auto"/>
                <w:szCs w:val="24"/>
              </w:rPr>
              <w:t xml:space="preserve"> proximity and access to Primary Shopping Areas.   If no suitable sites within a town centre location are available, development should be located to edge of centre location, and, if neither town centre locations nor edge of centre locations are available, to out of centre locations.  Flexibility will be required on the format and scale of the development proposed with preference given to accessible sites, which are well connected to the town centre.  Where an application fails to satisfy the sequential </w:t>
            </w:r>
            <w:proofErr w:type="gramStart"/>
            <w:r w:rsidR="00F22DDF" w:rsidRPr="00F22DDF">
              <w:rPr>
                <w:rFonts w:eastAsia="Arial" w:cs="Arial"/>
                <w:color w:val="auto"/>
                <w:szCs w:val="24"/>
              </w:rPr>
              <w:t>test</w:t>
            </w:r>
            <w:proofErr w:type="gramEnd"/>
            <w:r w:rsidR="00F22DDF" w:rsidRPr="00F22DDF">
              <w:rPr>
                <w:rFonts w:eastAsia="Arial" w:cs="Arial"/>
                <w:color w:val="auto"/>
                <w:szCs w:val="24"/>
              </w:rPr>
              <w:t xml:space="preserve"> it will be refused.</w:t>
            </w:r>
          </w:p>
          <w:p w14:paraId="7F3B4236" w14:textId="3A6E95CC" w:rsidR="00F22DDF" w:rsidRDefault="00F22DDF" w:rsidP="00FF3EAD">
            <w:pPr>
              <w:keepNext w:val="0"/>
              <w:tabs>
                <w:tab w:val="left" w:pos="680"/>
                <w:tab w:val="left" w:pos="1133"/>
                <w:tab w:val="left" w:pos="2267"/>
              </w:tabs>
              <w:spacing w:before="0" w:after="160" w:line="252" w:lineRule="auto"/>
              <w:ind w:left="862" w:right="284"/>
              <w:contextualSpacing/>
              <w:jc w:val="left"/>
              <w:rPr>
                <w:rFonts w:eastAsia="Arial" w:cs="Arial"/>
                <w:color w:val="auto"/>
                <w:szCs w:val="24"/>
              </w:rPr>
            </w:pPr>
          </w:p>
          <w:p w14:paraId="3F758F32" w14:textId="6CACD652" w:rsidR="00F22DDF" w:rsidRDefault="00F22DDF" w:rsidP="00FF3EAD">
            <w:pPr>
              <w:keepNext w:val="0"/>
              <w:tabs>
                <w:tab w:val="left" w:pos="680"/>
                <w:tab w:val="left" w:pos="1133"/>
                <w:tab w:val="left" w:pos="2267"/>
              </w:tabs>
              <w:spacing w:before="0" w:after="160" w:line="252" w:lineRule="auto"/>
              <w:ind w:left="862" w:right="284"/>
              <w:contextualSpacing/>
              <w:jc w:val="left"/>
              <w:rPr>
                <w:rFonts w:eastAsia="Arial" w:cs="Arial"/>
                <w:color w:val="auto"/>
                <w:szCs w:val="24"/>
              </w:rPr>
            </w:pPr>
            <w:r w:rsidRPr="00F22DDF">
              <w:rPr>
                <w:rFonts w:eastAsia="Arial" w:cs="Arial"/>
                <w:color w:val="auto"/>
                <w:szCs w:val="24"/>
              </w:rPr>
              <w:t>If after applying the sequential test, out-of-centre sites are necessary, preference will be given to sites that are, or will be, served by a choice of means of transport, which are close to the centre and have a high likelihood of forming links with the town centre.</w:t>
            </w:r>
          </w:p>
          <w:p w14:paraId="46BD0763" w14:textId="77777777" w:rsidR="00F22DDF" w:rsidRPr="00F22DDF" w:rsidRDefault="00F22DDF" w:rsidP="00FF3EAD">
            <w:pPr>
              <w:keepNext w:val="0"/>
              <w:tabs>
                <w:tab w:val="left" w:pos="680"/>
                <w:tab w:val="left" w:pos="1133"/>
                <w:tab w:val="left" w:pos="2267"/>
              </w:tabs>
              <w:spacing w:before="0" w:after="160" w:line="252" w:lineRule="auto"/>
              <w:ind w:left="862" w:right="284"/>
              <w:contextualSpacing/>
              <w:jc w:val="left"/>
              <w:rPr>
                <w:rFonts w:eastAsia="Arial" w:cs="Arial"/>
                <w:color w:val="auto"/>
                <w:szCs w:val="24"/>
              </w:rPr>
            </w:pPr>
          </w:p>
          <w:p w14:paraId="27016274" w14:textId="43392CEE" w:rsidR="00F22DDF" w:rsidRPr="00F22DDF" w:rsidRDefault="00DD5BA6" w:rsidP="00874A98">
            <w:pPr>
              <w:keepNext w:val="0"/>
              <w:numPr>
                <w:ilvl w:val="0"/>
                <w:numId w:val="166"/>
              </w:numPr>
              <w:tabs>
                <w:tab w:val="left" w:pos="680"/>
                <w:tab w:val="left" w:pos="1133"/>
                <w:tab w:val="left" w:pos="2267"/>
              </w:tabs>
              <w:spacing w:before="0"/>
              <w:ind w:right="284"/>
              <w:contextualSpacing/>
              <w:jc w:val="left"/>
              <w:rPr>
                <w:rFonts w:eastAsia="Arial" w:cs="Arial"/>
                <w:color w:val="auto"/>
                <w:szCs w:val="24"/>
              </w:rPr>
            </w:pPr>
            <w:r w:rsidRPr="009838D1">
              <w:rPr>
                <w:rFonts w:eastAsia="Arial"/>
                <w:color w:val="auto"/>
              </w:rPr>
              <w:lastRenderedPageBreak/>
              <w:t xml:space="preserve">Impact Test </w:t>
            </w:r>
            <w:r w:rsidR="00F22DDF">
              <w:rPr>
                <w:rFonts w:eastAsia="Arial"/>
                <w:color w:val="auto"/>
              </w:rPr>
              <w:t>–</w:t>
            </w:r>
            <w:r w:rsidRPr="009838D1">
              <w:rPr>
                <w:rFonts w:eastAsia="Arial"/>
                <w:color w:val="auto"/>
              </w:rPr>
              <w:t xml:space="preserve"> </w:t>
            </w:r>
            <w:r w:rsidR="00F22DDF" w:rsidRPr="00F22DDF">
              <w:rPr>
                <w:rFonts w:eastAsia="Arial" w:cs="Arial"/>
                <w:color w:val="auto"/>
                <w:szCs w:val="24"/>
              </w:rPr>
              <w:t xml:space="preserve">Where considered necessary by the Council, an impact test will be </w:t>
            </w:r>
            <w:r w:rsidR="00804383" w:rsidRPr="00F22DDF">
              <w:rPr>
                <w:rFonts w:eastAsia="Arial" w:cs="Arial"/>
                <w:color w:val="auto"/>
                <w:szCs w:val="24"/>
              </w:rPr>
              <w:t>required for</w:t>
            </w:r>
            <w:r w:rsidR="00F22DDF" w:rsidRPr="00F22DDF">
              <w:rPr>
                <w:rFonts w:eastAsia="Arial" w:cs="Arial"/>
                <w:color w:val="auto"/>
                <w:szCs w:val="24"/>
              </w:rPr>
              <w:t xml:space="preserve"> retail or leisure proposals </w:t>
            </w:r>
            <w:r w:rsidR="00F22DDF" w:rsidRPr="009A3879">
              <w:rPr>
                <w:rFonts w:eastAsia="Arial" w:cs="Arial"/>
                <w:color w:val="auto"/>
                <w:szCs w:val="24"/>
              </w:rPr>
              <w:t>exceeding 300 square metres gross of floorspace.  This will include s</w:t>
            </w:r>
            <w:r w:rsidR="00F22DDF" w:rsidRPr="00F22DDF">
              <w:rPr>
                <w:rFonts w:eastAsia="Arial" w:cs="Arial"/>
                <w:color w:val="auto"/>
                <w:szCs w:val="24"/>
              </w:rPr>
              <w:t>ignificant extensions to existing facilities for retail or leisure uses falling outside the designated town centres (or local centres). Where the development is likely to have a significant adverse impact on:</w:t>
            </w:r>
          </w:p>
          <w:p w14:paraId="7B2AB828" w14:textId="77777777" w:rsidR="00F22DDF" w:rsidRPr="00F22DDF" w:rsidRDefault="00F22DDF" w:rsidP="00FF3EAD">
            <w:pPr>
              <w:keepNext w:val="0"/>
              <w:tabs>
                <w:tab w:val="left" w:pos="680"/>
                <w:tab w:val="left" w:pos="1133"/>
                <w:tab w:val="left" w:pos="2267"/>
              </w:tabs>
              <w:spacing w:before="0"/>
              <w:ind w:left="862" w:right="284"/>
              <w:contextualSpacing/>
              <w:jc w:val="left"/>
              <w:rPr>
                <w:rFonts w:eastAsia="Arial" w:cs="Arial"/>
                <w:color w:val="auto"/>
                <w:szCs w:val="24"/>
              </w:rPr>
            </w:pPr>
          </w:p>
          <w:p w14:paraId="039B606A" w14:textId="06A99A45" w:rsidR="00F22DDF" w:rsidRPr="00F22DDF" w:rsidRDefault="00F22DDF" w:rsidP="00874A98">
            <w:pPr>
              <w:pStyle w:val="ListParagraph"/>
              <w:numPr>
                <w:ilvl w:val="1"/>
                <w:numId w:val="164"/>
              </w:numPr>
              <w:spacing w:after="0" w:line="240" w:lineRule="auto"/>
              <w:ind w:left="1298" w:right="284" w:hanging="425"/>
              <w:jc w:val="left"/>
              <w:rPr>
                <w:rFonts w:ascii="Arial" w:eastAsia="Arial" w:hAnsi="Arial" w:cs="Arial"/>
                <w:color w:val="auto"/>
                <w:szCs w:val="24"/>
              </w:rPr>
            </w:pPr>
            <w:r w:rsidRPr="00F22DDF">
              <w:rPr>
                <w:rFonts w:ascii="Arial" w:eastAsia="Arial" w:hAnsi="Arial" w:cs="Arial"/>
                <w:color w:val="auto"/>
                <w:szCs w:val="24"/>
              </w:rPr>
              <w:t>existing, committed and planned public and private investment in a centre or centres in the catchment area of the proposal</w:t>
            </w:r>
            <w:r w:rsidR="00B13AEF">
              <w:rPr>
                <w:rFonts w:ascii="Arial" w:eastAsia="Arial" w:hAnsi="Arial" w:cs="Arial"/>
                <w:color w:val="auto"/>
                <w:szCs w:val="24"/>
              </w:rPr>
              <w:t>,</w:t>
            </w:r>
            <w:r w:rsidRPr="00F22DDF">
              <w:rPr>
                <w:rFonts w:ascii="Arial" w:eastAsia="Arial" w:hAnsi="Arial" w:cs="Arial"/>
                <w:color w:val="auto"/>
                <w:szCs w:val="24"/>
              </w:rPr>
              <w:t xml:space="preserve"> and</w:t>
            </w:r>
            <w:r w:rsidR="00B13AEF">
              <w:rPr>
                <w:rFonts w:ascii="Arial" w:eastAsia="Arial" w:hAnsi="Arial" w:cs="Arial"/>
                <w:color w:val="auto"/>
                <w:szCs w:val="24"/>
              </w:rPr>
              <w:t>/or</w:t>
            </w:r>
          </w:p>
          <w:p w14:paraId="5EF8660D" w14:textId="77777777" w:rsidR="00F22DDF" w:rsidRPr="00F22DDF" w:rsidRDefault="00F22DDF" w:rsidP="00FF3EAD">
            <w:pPr>
              <w:pStyle w:val="ListParagraph"/>
              <w:spacing w:after="0" w:line="240" w:lineRule="auto"/>
              <w:ind w:left="1298" w:right="284" w:hanging="425"/>
              <w:jc w:val="left"/>
              <w:rPr>
                <w:rFonts w:ascii="Arial" w:eastAsia="Arial" w:hAnsi="Arial" w:cs="Arial"/>
                <w:color w:val="auto"/>
                <w:szCs w:val="24"/>
              </w:rPr>
            </w:pPr>
          </w:p>
          <w:p w14:paraId="463D3D77" w14:textId="38B25152" w:rsidR="00F22DDF" w:rsidRPr="00F22DDF" w:rsidRDefault="00F22DDF" w:rsidP="00874A98">
            <w:pPr>
              <w:pStyle w:val="ListParagraph"/>
              <w:numPr>
                <w:ilvl w:val="1"/>
                <w:numId w:val="164"/>
              </w:numPr>
              <w:spacing w:after="0" w:line="240" w:lineRule="auto"/>
              <w:ind w:left="1298" w:right="284" w:hanging="425"/>
              <w:jc w:val="left"/>
              <w:rPr>
                <w:rFonts w:ascii="Arial" w:eastAsia="Arial" w:hAnsi="Arial" w:cs="Arial"/>
                <w:color w:val="auto"/>
                <w:szCs w:val="24"/>
              </w:rPr>
            </w:pPr>
            <w:r w:rsidRPr="00F22DDF">
              <w:rPr>
                <w:rFonts w:ascii="Arial" w:eastAsia="Arial" w:hAnsi="Arial" w:cs="Arial"/>
                <w:color w:val="auto"/>
                <w:szCs w:val="24"/>
              </w:rPr>
              <w:t>town centre vitality and viability, including local consumer choice and trade in the town centre and the wider retail catchment (as applicable to the scale and nature of the scheme)</w:t>
            </w:r>
            <w:r w:rsidR="00B13AEF">
              <w:rPr>
                <w:rFonts w:ascii="Arial" w:eastAsia="Arial" w:hAnsi="Arial" w:cs="Arial"/>
                <w:color w:val="auto"/>
                <w:szCs w:val="24"/>
              </w:rPr>
              <w:t>,</w:t>
            </w:r>
            <w:r w:rsidRPr="00F22DDF">
              <w:rPr>
                <w:rFonts w:ascii="Arial" w:eastAsia="Arial" w:hAnsi="Arial" w:cs="Arial"/>
                <w:color w:val="auto"/>
                <w:szCs w:val="24"/>
              </w:rPr>
              <w:t xml:space="preserve"> </w:t>
            </w:r>
          </w:p>
          <w:p w14:paraId="3878B024" w14:textId="77777777" w:rsidR="00F22DDF" w:rsidRPr="00F22DDF" w:rsidRDefault="00F22DDF" w:rsidP="00FF3EAD">
            <w:pPr>
              <w:keepNext w:val="0"/>
              <w:tabs>
                <w:tab w:val="left" w:pos="680"/>
                <w:tab w:val="left" w:pos="1133"/>
                <w:tab w:val="left" w:pos="2267"/>
              </w:tabs>
              <w:spacing w:before="0"/>
              <w:ind w:left="862" w:right="284"/>
              <w:contextualSpacing/>
              <w:jc w:val="left"/>
              <w:rPr>
                <w:rFonts w:eastAsia="Arial" w:cs="Arial"/>
                <w:color w:val="auto"/>
                <w:szCs w:val="24"/>
              </w:rPr>
            </w:pPr>
          </w:p>
          <w:p w14:paraId="57356374" w14:textId="273507CB" w:rsidR="00F22DDF" w:rsidRPr="00F22DDF" w:rsidRDefault="00F22DDF" w:rsidP="00FF3EAD">
            <w:pPr>
              <w:keepNext w:val="0"/>
              <w:tabs>
                <w:tab w:val="left" w:pos="680"/>
                <w:tab w:val="left" w:pos="1133"/>
                <w:tab w:val="left" w:pos="2267"/>
              </w:tabs>
              <w:spacing w:before="0"/>
              <w:ind w:left="862" w:right="284"/>
              <w:contextualSpacing/>
              <w:jc w:val="left"/>
              <w:rPr>
                <w:rFonts w:eastAsia="Arial" w:cs="Arial"/>
                <w:color w:val="auto"/>
                <w:szCs w:val="24"/>
              </w:rPr>
            </w:pPr>
            <w:r w:rsidRPr="00F22DDF">
              <w:rPr>
                <w:rFonts w:eastAsia="Arial" w:cs="Arial"/>
                <w:color w:val="auto"/>
                <w:szCs w:val="24"/>
              </w:rPr>
              <w:t>it will be refused.</w:t>
            </w:r>
          </w:p>
          <w:p w14:paraId="71AC24DE" w14:textId="77777777" w:rsidR="00DD5BA6" w:rsidRPr="009838D1" w:rsidRDefault="00DD5BA6" w:rsidP="00FF3EAD">
            <w:pPr>
              <w:keepNext w:val="0"/>
              <w:spacing w:before="0"/>
              <w:ind w:right="284"/>
              <w:contextualSpacing/>
              <w:jc w:val="left"/>
              <w:rPr>
                <w:rFonts w:eastAsia="Arial"/>
                <w:color w:val="auto"/>
                <w:sz w:val="20"/>
              </w:rPr>
            </w:pPr>
          </w:p>
          <w:p w14:paraId="3AB716E5" w14:textId="5DC53C1C" w:rsidR="00B56368" w:rsidRPr="009838D1" w:rsidRDefault="00B56368" w:rsidP="00FF3EAD">
            <w:pPr>
              <w:keepNext w:val="0"/>
              <w:spacing w:before="0"/>
              <w:ind w:right="284"/>
              <w:contextualSpacing/>
              <w:jc w:val="left"/>
              <w:rPr>
                <w:rFonts w:eastAsia="Arial"/>
                <w:color w:val="auto"/>
              </w:rPr>
            </w:pPr>
            <w:r w:rsidRPr="009838D1">
              <w:rPr>
                <w:rFonts w:eastAsia="Arial"/>
                <w:color w:val="auto"/>
                <w:sz w:val="20"/>
              </w:rPr>
              <w:t>1.</w:t>
            </w:r>
            <w:r w:rsidRPr="009838D1">
              <w:t xml:space="preserve"> </w:t>
            </w:r>
            <w:r w:rsidRPr="009838D1">
              <w:rPr>
                <w:rFonts w:eastAsia="Arial"/>
                <w:color w:val="auto"/>
                <w:sz w:val="20"/>
              </w:rPr>
              <w:t>Main Town Centre Uses – reflect the NPPF 202</w:t>
            </w:r>
            <w:r w:rsidR="00890361">
              <w:rPr>
                <w:rFonts w:eastAsia="Arial"/>
                <w:color w:val="auto"/>
                <w:sz w:val="20"/>
              </w:rPr>
              <w:t>3</w:t>
            </w:r>
            <w:r w:rsidRPr="009838D1">
              <w:rPr>
                <w:rFonts w:eastAsia="Arial"/>
                <w:color w:val="auto"/>
                <w:sz w:val="20"/>
              </w:rPr>
              <w:t>, Annex 2: Glossary definition of Main Town Centre Uses.</w:t>
            </w:r>
          </w:p>
        </w:tc>
      </w:tr>
      <w:tr w:rsidR="00DD5BA6" w:rsidRPr="00DD5BA6" w14:paraId="6E7E724A" w14:textId="77777777" w:rsidTr="00163F59">
        <w:tc>
          <w:tcPr>
            <w:tcW w:w="1838" w:type="dxa"/>
          </w:tcPr>
          <w:p w14:paraId="288B80DC" w14:textId="77777777" w:rsidR="00DD5BA6" w:rsidRPr="00DD5BA6" w:rsidRDefault="00DD5BA6" w:rsidP="00A05D94">
            <w:pPr>
              <w:keepNext w:val="0"/>
              <w:tabs>
                <w:tab w:val="left" w:pos="680"/>
                <w:tab w:val="left" w:pos="1133"/>
                <w:tab w:val="left" w:pos="2267"/>
              </w:tabs>
              <w:spacing w:before="0"/>
              <w:ind w:right="284"/>
              <w:jc w:val="left"/>
              <w:rPr>
                <w:rFonts w:eastAsia="Arial"/>
                <w:b/>
                <w:color w:val="C00000"/>
                <w:szCs w:val="24"/>
              </w:rPr>
            </w:pPr>
            <w:r w:rsidRPr="00DD5BA6">
              <w:rPr>
                <w:rFonts w:eastAsia="Arial" w:cs="Arial"/>
                <w:bCs/>
                <w:color w:val="auto"/>
                <w:sz w:val="20"/>
              </w:rPr>
              <w:lastRenderedPageBreak/>
              <w:t>Evidence base</w:t>
            </w:r>
          </w:p>
        </w:tc>
        <w:tc>
          <w:tcPr>
            <w:tcW w:w="7655" w:type="dxa"/>
            <w:gridSpan w:val="2"/>
          </w:tcPr>
          <w:p w14:paraId="0ADB37D7" w14:textId="34739466" w:rsidR="00DD5BA6" w:rsidRPr="00DD5BA6" w:rsidRDefault="00DD5BA6" w:rsidP="00A05D94">
            <w:pPr>
              <w:keepNext w:val="0"/>
              <w:numPr>
                <w:ilvl w:val="0"/>
                <w:numId w:val="36"/>
              </w:numPr>
              <w:spacing w:before="0" w:after="160" w:line="252" w:lineRule="auto"/>
              <w:contextualSpacing/>
              <w:jc w:val="left"/>
              <w:rPr>
                <w:rFonts w:cs="Arial"/>
                <w:color w:val="auto"/>
                <w:sz w:val="20"/>
              </w:rPr>
            </w:pPr>
            <w:r w:rsidRPr="00DD5BA6">
              <w:rPr>
                <w:rFonts w:cs="Arial"/>
                <w:color w:val="auto"/>
                <w:sz w:val="20"/>
              </w:rPr>
              <w:t xml:space="preserve">Background Paper </w:t>
            </w:r>
            <w:r w:rsidR="00A05D94">
              <w:rPr>
                <w:rFonts w:cs="Arial"/>
                <w:color w:val="auto"/>
                <w:sz w:val="20"/>
              </w:rPr>
              <w:t xml:space="preserve">No 1: </w:t>
            </w:r>
            <w:r w:rsidRPr="00DD5BA6">
              <w:rPr>
                <w:rFonts w:cs="Arial"/>
                <w:color w:val="auto"/>
                <w:sz w:val="20"/>
              </w:rPr>
              <w:t xml:space="preserve">Spatial Strategy and </w:t>
            </w:r>
            <w:r w:rsidR="00A32846">
              <w:rPr>
                <w:rFonts w:cs="Arial"/>
                <w:color w:val="auto"/>
                <w:sz w:val="20"/>
              </w:rPr>
              <w:t>Site Selection 2023</w:t>
            </w:r>
            <w:r w:rsidRPr="00DD5BA6">
              <w:rPr>
                <w:rFonts w:cs="Arial"/>
                <w:color w:val="auto"/>
                <w:sz w:val="20"/>
              </w:rPr>
              <w:t>. Ashfield District Council.</w:t>
            </w:r>
          </w:p>
          <w:p w14:paraId="16F9E443" w14:textId="0DD7D010" w:rsidR="00DD5BA6" w:rsidRPr="00DD5BA6" w:rsidRDefault="00DD5BA6" w:rsidP="00A05D94">
            <w:pPr>
              <w:keepNext w:val="0"/>
              <w:numPr>
                <w:ilvl w:val="0"/>
                <w:numId w:val="36"/>
              </w:numPr>
              <w:spacing w:before="0" w:after="160" w:line="252" w:lineRule="auto"/>
              <w:contextualSpacing/>
              <w:jc w:val="left"/>
              <w:rPr>
                <w:rFonts w:cs="Arial"/>
                <w:color w:val="auto"/>
                <w:sz w:val="20"/>
              </w:rPr>
            </w:pPr>
            <w:r w:rsidRPr="00DD5BA6">
              <w:rPr>
                <w:rFonts w:cs="Arial"/>
                <w:color w:val="auto"/>
                <w:sz w:val="20"/>
              </w:rPr>
              <w:t>Sutton Town Centre Spatial Masterplan, 20</w:t>
            </w:r>
            <w:r w:rsidR="00461D79">
              <w:rPr>
                <w:rFonts w:cs="Arial"/>
                <w:color w:val="auto"/>
                <w:sz w:val="20"/>
              </w:rPr>
              <w:t>19</w:t>
            </w:r>
            <w:r w:rsidRPr="00DD5BA6">
              <w:rPr>
                <w:rFonts w:cs="Arial"/>
                <w:color w:val="auto"/>
                <w:sz w:val="20"/>
              </w:rPr>
              <w:t>.  Ashfield District Council.</w:t>
            </w:r>
          </w:p>
          <w:p w14:paraId="0BB697D0" w14:textId="77777777" w:rsidR="00DD5BA6" w:rsidRPr="00DD5BA6" w:rsidRDefault="00DD5BA6" w:rsidP="00A05D94">
            <w:pPr>
              <w:keepNext w:val="0"/>
              <w:numPr>
                <w:ilvl w:val="0"/>
                <w:numId w:val="36"/>
              </w:numPr>
              <w:spacing w:before="0" w:after="160" w:line="252" w:lineRule="auto"/>
              <w:contextualSpacing/>
              <w:jc w:val="left"/>
              <w:rPr>
                <w:rFonts w:cs="Arial"/>
                <w:color w:val="auto"/>
                <w:sz w:val="20"/>
              </w:rPr>
            </w:pPr>
            <w:r w:rsidRPr="00DD5BA6">
              <w:rPr>
                <w:rFonts w:cs="Arial"/>
                <w:color w:val="auto"/>
                <w:sz w:val="20"/>
              </w:rPr>
              <w:t>Kirkby Town Centre Spatial Masterplan, 2021. Ashfield District Council.</w:t>
            </w:r>
          </w:p>
          <w:p w14:paraId="76EAC640" w14:textId="372B23F2" w:rsidR="00DD5BA6" w:rsidRPr="00A56503" w:rsidRDefault="00DD5BA6" w:rsidP="00A05D94">
            <w:pPr>
              <w:keepNext w:val="0"/>
              <w:numPr>
                <w:ilvl w:val="0"/>
                <w:numId w:val="36"/>
              </w:numPr>
              <w:spacing w:before="0" w:after="160" w:line="252" w:lineRule="auto"/>
              <w:contextualSpacing/>
              <w:jc w:val="left"/>
              <w:rPr>
                <w:rFonts w:cs="Arial"/>
                <w:color w:val="auto"/>
                <w:sz w:val="20"/>
              </w:rPr>
            </w:pPr>
            <w:r w:rsidRPr="00A56503">
              <w:rPr>
                <w:rFonts w:cs="Arial"/>
                <w:color w:val="auto"/>
                <w:sz w:val="20"/>
              </w:rPr>
              <w:t xml:space="preserve">Hucknall Town Centre </w:t>
            </w:r>
            <w:r w:rsidR="00106B8C">
              <w:rPr>
                <w:rFonts w:cs="Arial"/>
                <w:color w:val="auto"/>
                <w:sz w:val="20"/>
              </w:rPr>
              <w:t xml:space="preserve">Spatial </w:t>
            </w:r>
            <w:r w:rsidRPr="00A56503">
              <w:rPr>
                <w:rFonts w:cs="Arial"/>
                <w:color w:val="auto"/>
                <w:sz w:val="20"/>
              </w:rPr>
              <w:t>Masterplan</w:t>
            </w:r>
            <w:r w:rsidR="00A56503" w:rsidRPr="00A56503">
              <w:rPr>
                <w:rFonts w:cs="Arial"/>
                <w:color w:val="auto"/>
                <w:sz w:val="20"/>
              </w:rPr>
              <w:t>, 20</w:t>
            </w:r>
            <w:r w:rsidR="00106B8C">
              <w:rPr>
                <w:rFonts w:cs="Arial"/>
                <w:color w:val="auto"/>
                <w:sz w:val="20"/>
              </w:rPr>
              <w:t>22</w:t>
            </w:r>
            <w:r w:rsidR="00A56503" w:rsidRPr="00A56503">
              <w:rPr>
                <w:rFonts w:cs="Arial"/>
                <w:color w:val="auto"/>
                <w:sz w:val="20"/>
              </w:rPr>
              <w:t xml:space="preserve">. </w:t>
            </w:r>
            <w:r w:rsidR="00106B8C">
              <w:rPr>
                <w:rFonts w:cs="Arial"/>
                <w:color w:val="auto"/>
                <w:sz w:val="20"/>
              </w:rPr>
              <w:t>Ashfield District Council</w:t>
            </w:r>
            <w:r w:rsidR="00A56503" w:rsidRPr="00A56503">
              <w:rPr>
                <w:rFonts w:cs="Arial"/>
                <w:color w:val="auto"/>
                <w:sz w:val="20"/>
              </w:rPr>
              <w:t>.</w:t>
            </w:r>
          </w:p>
          <w:p w14:paraId="27C46E3A" w14:textId="076478A6" w:rsidR="00DD5BA6" w:rsidRPr="00A56503" w:rsidRDefault="00106B8C" w:rsidP="00A05D94">
            <w:pPr>
              <w:keepNext w:val="0"/>
              <w:numPr>
                <w:ilvl w:val="0"/>
                <w:numId w:val="36"/>
              </w:numPr>
              <w:spacing w:before="0" w:after="160" w:line="252" w:lineRule="auto"/>
              <w:contextualSpacing/>
              <w:jc w:val="left"/>
              <w:rPr>
                <w:rFonts w:cs="Arial"/>
                <w:color w:val="auto"/>
                <w:sz w:val="20"/>
              </w:rPr>
            </w:pPr>
            <w:r w:rsidRPr="00106B8C">
              <w:rPr>
                <w:rFonts w:cs="Arial"/>
                <w:sz w:val="20"/>
                <w:szCs w:val="20"/>
              </w:rPr>
              <w:t>Ashfield Town Centre / Local Centre Study, 2023</w:t>
            </w:r>
            <w:r>
              <w:rPr>
                <w:rFonts w:cs="Arial"/>
                <w:sz w:val="20"/>
                <w:szCs w:val="20"/>
              </w:rPr>
              <w:t xml:space="preserve">. </w:t>
            </w:r>
            <w:r w:rsidR="00DD5BA6" w:rsidRPr="00106B8C">
              <w:rPr>
                <w:rFonts w:cs="Arial"/>
                <w:color w:val="auto"/>
                <w:sz w:val="20"/>
                <w:szCs w:val="20"/>
              </w:rPr>
              <w:t>Nexus</w:t>
            </w:r>
            <w:r w:rsidR="00DD5BA6" w:rsidRPr="00A56503">
              <w:rPr>
                <w:rFonts w:cs="Arial"/>
                <w:color w:val="auto"/>
                <w:sz w:val="20"/>
              </w:rPr>
              <w:t xml:space="preserve"> Planning.</w:t>
            </w:r>
          </w:p>
          <w:p w14:paraId="35C56CFB" w14:textId="77777777" w:rsidR="00DD5BA6" w:rsidRPr="00A56503" w:rsidRDefault="00DD5BA6" w:rsidP="00A05D94">
            <w:pPr>
              <w:keepNext w:val="0"/>
              <w:numPr>
                <w:ilvl w:val="0"/>
                <w:numId w:val="36"/>
              </w:numPr>
              <w:spacing w:before="0" w:after="160" w:line="252" w:lineRule="auto"/>
              <w:contextualSpacing/>
              <w:jc w:val="left"/>
              <w:rPr>
                <w:rFonts w:cs="Arial"/>
                <w:color w:val="auto"/>
                <w:sz w:val="20"/>
              </w:rPr>
            </w:pPr>
            <w:r w:rsidRPr="00A56503">
              <w:rPr>
                <w:rFonts w:cs="Arial"/>
                <w:color w:val="auto"/>
                <w:sz w:val="20"/>
              </w:rPr>
              <w:t>Retail Floorspace Survey 2020. Ashfield District Council.</w:t>
            </w:r>
          </w:p>
          <w:p w14:paraId="64E98E9F" w14:textId="77777777" w:rsidR="00A56503" w:rsidRDefault="00DD5BA6" w:rsidP="00A05D94">
            <w:pPr>
              <w:keepNext w:val="0"/>
              <w:numPr>
                <w:ilvl w:val="0"/>
                <w:numId w:val="36"/>
              </w:numPr>
              <w:spacing w:before="0" w:after="160" w:line="252" w:lineRule="auto"/>
              <w:contextualSpacing/>
              <w:jc w:val="left"/>
              <w:rPr>
                <w:rFonts w:cs="Arial"/>
                <w:color w:val="auto"/>
                <w:sz w:val="20"/>
              </w:rPr>
            </w:pPr>
            <w:r w:rsidRPr="00A56503">
              <w:rPr>
                <w:rFonts w:cs="Arial"/>
                <w:color w:val="auto"/>
                <w:sz w:val="20"/>
              </w:rPr>
              <w:t xml:space="preserve">Kirkby-in-Ashfield &amp; Sutton in Ashfield Town </w:t>
            </w:r>
            <w:r w:rsidR="00A56503">
              <w:rPr>
                <w:rFonts w:cs="Arial"/>
                <w:color w:val="auto"/>
                <w:sz w:val="20"/>
              </w:rPr>
              <w:t>Fund.</w:t>
            </w:r>
          </w:p>
          <w:p w14:paraId="03BFC1E7" w14:textId="171150A6" w:rsidR="00DD5BA6" w:rsidRPr="00DD5BA6" w:rsidRDefault="00DD5BA6" w:rsidP="00A05D94">
            <w:pPr>
              <w:keepNext w:val="0"/>
              <w:numPr>
                <w:ilvl w:val="0"/>
                <w:numId w:val="36"/>
              </w:numPr>
              <w:spacing w:before="0" w:after="160" w:line="252" w:lineRule="auto"/>
              <w:contextualSpacing/>
              <w:jc w:val="left"/>
              <w:rPr>
                <w:rFonts w:cs="Arial"/>
                <w:color w:val="auto"/>
                <w:sz w:val="20"/>
              </w:rPr>
            </w:pPr>
            <w:r w:rsidRPr="00DD5BA6">
              <w:rPr>
                <w:rFonts w:cs="Arial"/>
                <w:color w:val="auto"/>
                <w:sz w:val="20"/>
              </w:rPr>
              <w:t>Sustainability Appraisal,</w:t>
            </w:r>
            <w:r w:rsidR="006B0C43">
              <w:rPr>
                <w:rFonts w:cs="Arial"/>
                <w:color w:val="auto"/>
                <w:sz w:val="20"/>
              </w:rPr>
              <w:t xml:space="preserve"> </w:t>
            </w:r>
            <w:r w:rsidRPr="00DD5BA6">
              <w:rPr>
                <w:rFonts w:cs="Arial"/>
                <w:color w:val="auto"/>
                <w:sz w:val="20"/>
              </w:rPr>
              <w:t>202</w:t>
            </w:r>
            <w:r w:rsidR="006B0C43">
              <w:rPr>
                <w:rFonts w:cs="Arial"/>
                <w:color w:val="auto"/>
                <w:sz w:val="20"/>
              </w:rPr>
              <w:t>3</w:t>
            </w:r>
            <w:r w:rsidRPr="00DD5BA6">
              <w:rPr>
                <w:rFonts w:cs="Arial"/>
                <w:color w:val="auto"/>
                <w:sz w:val="20"/>
              </w:rPr>
              <w:t xml:space="preserve">. </w:t>
            </w:r>
            <w:r w:rsidR="006B0C43" w:rsidRPr="006B0C43">
              <w:rPr>
                <w:rFonts w:cs="Arial"/>
                <w:color w:val="auto"/>
                <w:sz w:val="20"/>
              </w:rPr>
              <w:t>WSP UK Limited</w:t>
            </w:r>
            <w:r w:rsidRPr="00DD5BA6">
              <w:rPr>
                <w:rFonts w:cs="Arial"/>
                <w:color w:val="auto"/>
                <w:sz w:val="20"/>
              </w:rPr>
              <w:t>.</w:t>
            </w:r>
          </w:p>
        </w:tc>
      </w:tr>
      <w:tr w:rsidR="00DD5BA6" w:rsidRPr="00DD5BA6" w14:paraId="6A7E8C0C" w14:textId="77777777" w:rsidTr="00163F59">
        <w:tc>
          <w:tcPr>
            <w:tcW w:w="1838" w:type="dxa"/>
          </w:tcPr>
          <w:p w14:paraId="03F363A4" w14:textId="77777777" w:rsidR="00DD5BA6" w:rsidRPr="00DD5BA6" w:rsidRDefault="00DD5BA6" w:rsidP="00A05D94">
            <w:pPr>
              <w:keepNext w:val="0"/>
              <w:tabs>
                <w:tab w:val="left" w:pos="680"/>
                <w:tab w:val="left" w:pos="1133"/>
                <w:tab w:val="left" w:pos="2267"/>
              </w:tabs>
              <w:spacing w:before="0"/>
              <w:ind w:right="284"/>
              <w:jc w:val="left"/>
              <w:rPr>
                <w:rFonts w:eastAsia="Arial"/>
                <w:b/>
                <w:color w:val="538135"/>
                <w:sz w:val="22"/>
              </w:rPr>
            </w:pPr>
            <w:r w:rsidRPr="00DD5BA6">
              <w:rPr>
                <w:rFonts w:eastAsia="Arial" w:cs="Arial"/>
                <w:bCs/>
                <w:color w:val="auto"/>
                <w:sz w:val="20"/>
              </w:rPr>
              <w:t>National Planning Policy and Guidance</w:t>
            </w:r>
          </w:p>
        </w:tc>
        <w:tc>
          <w:tcPr>
            <w:tcW w:w="7655" w:type="dxa"/>
            <w:gridSpan w:val="2"/>
          </w:tcPr>
          <w:p w14:paraId="2B424DA4" w14:textId="74C796F7" w:rsidR="00DD5BA6" w:rsidRPr="00DD5BA6" w:rsidRDefault="00DD5BA6" w:rsidP="00A05D94">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DD5BA6">
              <w:rPr>
                <w:rFonts w:cs="Arial"/>
                <w:bCs/>
                <w:color w:val="auto"/>
                <w:sz w:val="20"/>
              </w:rPr>
              <w:t>NPPF 202</w:t>
            </w:r>
            <w:r w:rsidR="004173E0">
              <w:rPr>
                <w:rFonts w:cs="Arial"/>
                <w:bCs/>
                <w:color w:val="auto"/>
                <w:sz w:val="20"/>
              </w:rPr>
              <w:t>3</w:t>
            </w:r>
            <w:r w:rsidRPr="00DD5BA6">
              <w:rPr>
                <w:rFonts w:cs="Arial"/>
                <w:bCs/>
                <w:color w:val="auto"/>
                <w:sz w:val="20"/>
              </w:rPr>
              <w:t>, Part 2: Achieving Sustainable Development.</w:t>
            </w:r>
          </w:p>
          <w:p w14:paraId="29A955DC" w14:textId="5E9C4FD9" w:rsidR="00DD5BA6" w:rsidRPr="00DD5BA6" w:rsidRDefault="00DD5BA6" w:rsidP="00A05D94">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DD5BA6">
              <w:rPr>
                <w:rFonts w:cs="Arial"/>
                <w:bCs/>
                <w:color w:val="auto"/>
                <w:sz w:val="20"/>
              </w:rPr>
              <w:t>NPPF 202</w:t>
            </w:r>
            <w:r w:rsidR="004173E0">
              <w:rPr>
                <w:rFonts w:cs="Arial"/>
                <w:bCs/>
                <w:color w:val="auto"/>
                <w:sz w:val="20"/>
              </w:rPr>
              <w:t>3</w:t>
            </w:r>
            <w:r w:rsidRPr="00DD5BA6">
              <w:rPr>
                <w:rFonts w:cs="Arial"/>
                <w:bCs/>
                <w:color w:val="auto"/>
                <w:sz w:val="20"/>
              </w:rPr>
              <w:t>, Part 7: Ensuring the vitality of town centres.</w:t>
            </w:r>
          </w:p>
          <w:p w14:paraId="604FA51F" w14:textId="52720E15" w:rsidR="00DD5BA6" w:rsidRPr="00DD5BA6" w:rsidRDefault="00DD5BA6" w:rsidP="00A05D94">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bookmarkStart w:id="276" w:name="_Hlk139639151"/>
            <w:r w:rsidRPr="00DD5BA6">
              <w:rPr>
                <w:rFonts w:eastAsia="Arial" w:cs="Arial"/>
                <w:bCs/>
                <w:color w:val="auto"/>
                <w:sz w:val="20"/>
              </w:rPr>
              <w:t xml:space="preserve">Planning Practice Guidance: Town centres and retail as </w:t>
            </w:r>
            <w:r w:rsidR="009D1815" w:rsidRPr="00985BCC">
              <w:rPr>
                <w:rFonts w:eastAsia="Arial" w:cs="Arial"/>
                <w:bCs/>
                <w:sz w:val="20"/>
              </w:rPr>
              <w:t>of</w:t>
            </w:r>
            <w:r w:rsidR="006B0C43" w:rsidRPr="00985BCC">
              <w:rPr>
                <w:rFonts w:eastAsia="Arial" w:cs="Arial"/>
                <w:bCs/>
                <w:sz w:val="20"/>
              </w:rPr>
              <w:t xml:space="preserve"> September 2020</w:t>
            </w:r>
            <w:r w:rsidRPr="00985BCC">
              <w:rPr>
                <w:rFonts w:eastAsia="Arial" w:cs="Arial"/>
                <w:bCs/>
                <w:sz w:val="20"/>
              </w:rPr>
              <w:t>.</w:t>
            </w:r>
            <w:bookmarkEnd w:id="276"/>
          </w:p>
        </w:tc>
      </w:tr>
    </w:tbl>
    <w:p w14:paraId="13CF96E2" w14:textId="77777777" w:rsidR="00DD5BA6" w:rsidRPr="00DD5BA6" w:rsidRDefault="00DD5BA6" w:rsidP="00DD5BA6">
      <w:pPr>
        <w:keepNext w:val="0"/>
        <w:autoSpaceDE w:val="0"/>
        <w:autoSpaceDN w:val="0"/>
        <w:adjustRightInd w:val="0"/>
        <w:spacing w:before="0"/>
        <w:rPr>
          <w:rFonts w:eastAsia="Arial" w:cs="Arial"/>
          <w:color w:val="auto"/>
          <w:szCs w:val="24"/>
        </w:rPr>
      </w:pPr>
    </w:p>
    <w:p w14:paraId="1DDC0C82" w14:textId="77777777" w:rsidR="00DD5BA6" w:rsidRPr="00DD5BA6" w:rsidRDefault="00DD5BA6" w:rsidP="00DD5BA6">
      <w:pPr>
        <w:keepNext w:val="0"/>
        <w:autoSpaceDE w:val="0"/>
        <w:autoSpaceDN w:val="0"/>
        <w:adjustRightInd w:val="0"/>
        <w:spacing w:before="0"/>
        <w:rPr>
          <w:rFonts w:eastAsia="Arial" w:cs="Arial"/>
          <w:color w:val="auto"/>
          <w:szCs w:val="24"/>
        </w:rPr>
      </w:pPr>
    </w:p>
    <w:p w14:paraId="50080CBB" w14:textId="5FDD52B3" w:rsidR="00DD5BA6" w:rsidRPr="00DD5BA6" w:rsidRDefault="00DD5BA6" w:rsidP="00DD5BA6">
      <w:pPr>
        <w:keepNext w:val="0"/>
        <w:numPr>
          <w:ilvl w:val="1"/>
          <w:numId w:val="6"/>
        </w:numPr>
        <w:tabs>
          <w:tab w:val="clear" w:pos="525"/>
        </w:tabs>
        <w:spacing w:before="0"/>
        <w:ind w:left="709" w:hanging="709"/>
        <w:rPr>
          <w:rFonts w:cs="Arial"/>
          <w:color w:val="auto"/>
          <w:szCs w:val="24"/>
          <w:lang w:eastAsia="en-US"/>
        </w:rPr>
      </w:pPr>
      <w:r w:rsidRPr="00DD5BA6">
        <w:rPr>
          <w:rFonts w:eastAsia="Calibri"/>
          <w:color w:val="auto"/>
          <w:szCs w:val="22"/>
          <w:lang w:eastAsia="en-US"/>
        </w:rPr>
        <w:t xml:space="preserve">To enhance the vitality and viability of town and local centres development will be supported where it provides a range of uses, that encourage a strong daytime and evening </w:t>
      </w:r>
      <w:proofErr w:type="gramStart"/>
      <w:r w:rsidRPr="00DD5BA6">
        <w:rPr>
          <w:rFonts w:eastAsia="Calibri"/>
          <w:color w:val="auto"/>
          <w:szCs w:val="22"/>
          <w:lang w:eastAsia="en-US"/>
        </w:rPr>
        <w:t>economy, and</w:t>
      </w:r>
      <w:proofErr w:type="gramEnd"/>
      <w:r w:rsidRPr="00DD5BA6">
        <w:rPr>
          <w:rFonts w:eastAsia="Calibri"/>
          <w:color w:val="auto"/>
          <w:szCs w:val="22"/>
          <w:lang w:eastAsia="en-US"/>
        </w:rPr>
        <w:t xml:space="preserve"> enhance local employment opportunities. This includes appropriate residential uses within centres, particularly at upper floor levels, to enhance activity, footfall and natural surveillance.</w:t>
      </w:r>
    </w:p>
    <w:p w14:paraId="48BA8507" w14:textId="77777777" w:rsidR="00DD5BA6" w:rsidRDefault="00DD5BA6" w:rsidP="00DD5BA6">
      <w:pPr>
        <w:keepNext w:val="0"/>
        <w:spacing w:before="0"/>
        <w:ind w:left="709"/>
        <w:rPr>
          <w:rFonts w:cs="Arial"/>
          <w:color w:val="auto"/>
          <w:szCs w:val="24"/>
          <w:lang w:eastAsia="en-US"/>
        </w:rPr>
      </w:pPr>
    </w:p>
    <w:p w14:paraId="5EC1098D" w14:textId="03F83A87" w:rsidR="00DD5BA6" w:rsidRPr="00DD5BA6" w:rsidRDefault="00DD5BA6" w:rsidP="00DD5BA6">
      <w:pPr>
        <w:keepNext w:val="0"/>
        <w:numPr>
          <w:ilvl w:val="1"/>
          <w:numId w:val="6"/>
        </w:numPr>
        <w:tabs>
          <w:tab w:val="clear" w:pos="525"/>
        </w:tabs>
        <w:spacing w:before="0"/>
        <w:ind w:left="709" w:hanging="709"/>
        <w:rPr>
          <w:rFonts w:cs="Arial"/>
          <w:color w:val="auto"/>
          <w:szCs w:val="24"/>
          <w:lang w:eastAsia="en-US"/>
        </w:rPr>
      </w:pPr>
      <w:r w:rsidRPr="00DD5BA6">
        <w:rPr>
          <w:rFonts w:eastAsia="Arial" w:cs="Arial"/>
          <w:color w:val="auto"/>
          <w:szCs w:val="24"/>
        </w:rPr>
        <w:t xml:space="preserve">Hucknall, Sutton in Ashfield and Kirkby-in-Ashfield will be the focus for larger scale retail and leisure developments, in line with </w:t>
      </w:r>
      <w:r w:rsidRPr="00A56503">
        <w:rPr>
          <w:rFonts w:eastAsia="Arial" w:cs="Arial"/>
          <w:color w:val="auto"/>
          <w:szCs w:val="24"/>
        </w:rPr>
        <w:t>Strategic Policy 1</w:t>
      </w:r>
      <w:r w:rsidR="00345E2F">
        <w:rPr>
          <w:rFonts w:eastAsia="Arial" w:cs="Arial"/>
          <w:color w:val="auto"/>
          <w:szCs w:val="24"/>
        </w:rPr>
        <w:t>1</w:t>
      </w:r>
      <w:r w:rsidRPr="00A56503">
        <w:rPr>
          <w:rFonts w:eastAsia="Arial" w:cs="Arial"/>
          <w:color w:val="auto"/>
          <w:szCs w:val="24"/>
        </w:rPr>
        <w:t>,</w:t>
      </w:r>
      <w:r w:rsidRPr="00DD5BA6">
        <w:rPr>
          <w:rFonts w:eastAsia="Arial" w:cs="Arial"/>
          <w:color w:val="auto"/>
          <w:szCs w:val="24"/>
        </w:rPr>
        <w:t xml:space="preserve"> as they serve wider catchment areas.  In considering the appropriateness and scale of proposed development, the Council will have regard to the following matters:</w:t>
      </w:r>
    </w:p>
    <w:p w14:paraId="21F57674" w14:textId="60CDF88F" w:rsidR="00DD5BA6" w:rsidRDefault="00DD5BA6" w:rsidP="00DD5BA6">
      <w:pPr>
        <w:keepNext w:val="0"/>
        <w:spacing w:before="0"/>
        <w:ind w:left="709"/>
        <w:rPr>
          <w:rFonts w:eastAsia="Arial" w:cs="Arial"/>
          <w:color w:val="auto"/>
          <w:szCs w:val="24"/>
        </w:rPr>
      </w:pPr>
    </w:p>
    <w:p w14:paraId="2B6DC6B7" w14:textId="77777777" w:rsidR="00DD5BA6" w:rsidRPr="00DD5BA6" w:rsidRDefault="00DD5BA6" w:rsidP="00874A98">
      <w:pPr>
        <w:keepNext w:val="0"/>
        <w:numPr>
          <w:ilvl w:val="0"/>
          <w:numId w:val="167"/>
        </w:numPr>
        <w:autoSpaceDE w:val="0"/>
        <w:autoSpaceDN w:val="0"/>
        <w:adjustRightInd w:val="0"/>
        <w:spacing w:before="0" w:after="160" w:line="252" w:lineRule="auto"/>
        <w:contextualSpacing/>
        <w:jc w:val="both"/>
        <w:rPr>
          <w:rFonts w:eastAsia="Arial" w:cs="Arial"/>
          <w:color w:val="auto"/>
          <w:szCs w:val="24"/>
        </w:rPr>
      </w:pPr>
      <w:r w:rsidRPr="00DD5BA6">
        <w:rPr>
          <w:rFonts w:eastAsia="Arial" w:cs="Arial"/>
          <w:color w:val="auto"/>
          <w:szCs w:val="24"/>
        </w:rPr>
        <w:t>the role and function of the centre within the wider hierarchy and the catchment served;</w:t>
      </w:r>
    </w:p>
    <w:p w14:paraId="2D6D1B12" w14:textId="77777777" w:rsidR="00DD5BA6" w:rsidRPr="00DD5BA6" w:rsidRDefault="00DD5BA6" w:rsidP="00874A98">
      <w:pPr>
        <w:keepNext w:val="0"/>
        <w:numPr>
          <w:ilvl w:val="0"/>
          <w:numId w:val="167"/>
        </w:numPr>
        <w:autoSpaceDE w:val="0"/>
        <w:autoSpaceDN w:val="0"/>
        <w:adjustRightInd w:val="0"/>
        <w:spacing w:before="0" w:after="160" w:line="252" w:lineRule="auto"/>
        <w:contextualSpacing/>
        <w:jc w:val="both"/>
        <w:rPr>
          <w:rFonts w:eastAsia="Arial" w:cs="Arial"/>
          <w:color w:val="auto"/>
          <w:szCs w:val="24"/>
        </w:rPr>
      </w:pPr>
      <w:r w:rsidRPr="00DD5BA6">
        <w:rPr>
          <w:rFonts w:eastAsia="Arial" w:cs="Arial"/>
          <w:color w:val="auto"/>
          <w:szCs w:val="24"/>
        </w:rPr>
        <w:t>the pattern of existing development within the centre;</w:t>
      </w:r>
    </w:p>
    <w:p w14:paraId="4DB44B0B" w14:textId="77777777" w:rsidR="00DD5BA6" w:rsidRPr="00DD5BA6" w:rsidRDefault="00DD5BA6" w:rsidP="00874A98">
      <w:pPr>
        <w:keepNext w:val="0"/>
        <w:numPr>
          <w:ilvl w:val="0"/>
          <w:numId w:val="167"/>
        </w:numPr>
        <w:autoSpaceDE w:val="0"/>
        <w:autoSpaceDN w:val="0"/>
        <w:adjustRightInd w:val="0"/>
        <w:spacing w:before="0" w:after="160" w:line="252" w:lineRule="auto"/>
        <w:contextualSpacing/>
        <w:jc w:val="both"/>
        <w:rPr>
          <w:rFonts w:eastAsia="Arial" w:cs="Arial"/>
          <w:color w:val="auto"/>
          <w:szCs w:val="24"/>
        </w:rPr>
      </w:pPr>
      <w:r w:rsidRPr="00DD5BA6">
        <w:rPr>
          <w:rFonts w:eastAsia="Arial" w:cs="Arial"/>
          <w:color w:val="auto"/>
          <w:szCs w:val="24"/>
        </w:rPr>
        <w:t>the scale of existing development.</w:t>
      </w:r>
    </w:p>
    <w:p w14:paraId="58C57D89" w14:textId="77777777" w:rsidR="00DD5BA6" w:rsidRDefault="00DD5BA6" w:rsidP="00A56503">
      <w:pPr>
        <w:keepNext w:val="0"/>
        <w:spacing w:before="0"/>
        <w:rPr>
          <w:rFonts w:cs="Arial"/>
          <w:color w:val="auto"/>
          <w:szCs w:val="24"/>
          <w:lang w:eastAsia="en-US"/>
        </w:rPr>
      </w:pPr>
    </w:p>
    <w:p w14:paraId="7BAFDB8B" w14:textId="0FCDE168" w:rsidR="00DD5BA6" w:rsidRPr="00DD5BA6" w:rsidRDefault="00DD5BA6" w:rsidP="00DD5BA6">
      <w:pPr>
        <w:keepNext w:val="0"/>
        <w:numPr>
          <w:ilvl w:val="1"/>
          <w:numId w:val="6"/>
        </w:numPr>
        <w:tabs>
          <w:tab w:val="clear" w:pos="525"/>
        </w:tabs>
        <w:spacing w:before="0"/>
        <w:ind w:left="709" w:hanging="709"/>
        <w:rPr>
          <w:rFonts w:cs="Arial"/>
          <w:color w:val="auto"/>
          <w:szCs w:val="24"/>
          <w:lang w:eastAsia="en-US"/>
        </w:rPr>
      </w:pPr>
      <w:r w:rsidRPr="00DD5BA6">
        <w:rPr>
          <w:rFonts w:eastAsia="Arial" w:cs="Arial"/>
          <w:color w:val="auto"/>
          <w:szCs w:val="24"/>
        </w:rPr>
        <w:lastRenderedPageBreak/>
        <w:t xml:space="preserve">The Council recognises the importance of supporting appropriate diversification of uses within a town </w:t>
      </w:r>
      <w:r w:rsidR="009D1815" w:rsidRPr="00DD5BA6">
        <w:rPr>
          <w:rFonts w:eastAsia="Arial" w:cs="Arial"/>
          <w:color w:val="auto"/>
          <w:szCs w:val="24"/>
        </w:rPr>
        <w:t>centre but</w:t>
      </w:r>
      <w:r w:rsidRPr="00DD5BA6">
        <w:rPr>
          <w:rFonts w:eastAsia="Arial" w:cs="Arial"/>
          <w:color w:val="auto"/>
          <w:szCs w:val="24"/>
        </w:rPr>
        <w:t xml:space="preserve"> considers that retail uses should form the principle use within all the </w:t>
      </w:r>
      <w:proofErr w:type="gramStart"/>
      <w:r w:rsidRPr="00DD5BA6">
        <w:rPr>
          <w:rFonts w:eastAsia="Arial" w:cs="Arial"/>
          <w:color w:val="auto"/>
          <w:szCs w:val="24"/>
        </w:rPr>
        <w:t>District’s</w:t>
      </w:r>
      <w:proofErr w:type="gramEnd"/>
      <w:r w:rsidRPr="00DD5BA6">
        <w:rPr>
          <w:rFonts w:eastAsia="Arial" w:cs="Arial"/>
          <w:color w:val="auto"/>
          <w:szCs w:val="24"/>
        </w:rPr>
        <w:t xml:space="preserve"> centres, supported by complementary non-retail uses.</w:t>
      </w:r>
    </w:p>
    <w:p w14:paraId="65D1F08B" w14:textId="4206030D" w:rsidR="00DD5BA6" w:rsidRDefault="00DD5BA6" w:rsidP="00DD5BA6">
      <w:pPr>
        <w:keepNext w:val="0"/>
        <w:spacing w:before="0"/>
        <w:ind w:left="709"/>
        <w:rPr>
          <w:rFonts w:cs="Arial"/>
          <w:color w:val="auto"/>
          <w:szCs w:val="24"/>
          <w:lang w:eastAsia="en-US"/>
        </w:rPr>
      </w:pPr>
      <w:r w:rsidRPr="00DD5BA6">
        <w:rPr>
          <w:rFonts w:eastAsia="Arial" w:cs="Arial"/>
          <w:color w:val="auto"/>
          <w:szCs w:val="24"/>
        </w:rPr>
        <w:t xml:space="preserve"> </w:t>
      </w:r>
    </w:p>
    <w:p w14:paraId="1DA07D4C" w14:textId="30F380B0" w:rsidR="00DD5BA6" w:rsidRPr="00DD5BA6" w:rsidRDefault="00DD5BA6" w:rsidP="00DD5BA6">
      <w:pPr>
        <w:keepNext w:val="0"/>
        <w:numPr>
          <w:ilvl w:val="1"/>
          <w:numId w:val="6"/>
        </w:numPr>
        <w:tabs>
          <w:tab w:val="clear" w:pos="525"/>
        </w:tabs>
        <w:spacing w:before="0"/>
        <w:ind w:left="709" w:hanging="709"/>
        <w:rPr>
          <w:rFonts w:cs="Arial"/>
          <w:color w:val="auto"/>
          <w:szCs w:val="24"/>
          <w:lang w:eastAsia="en-US"/>
        </w:rPr>
      </w:pPr>
      <w:r w:rsidRPr="00DD5BA6">
        <w:rPr>
          <w:rFonts w:eastAsia="Arial" w:cs="Arial"/>
          <w:color w:val="auto"/>
          <w:szCs w:val="24"/>
        </w:rPr>
        <w:t>The Council will support proposals which deliver the objectives of the Masterplans for Hucknall</w:t>
      </w:r>
      <w:r w:rsidRPr="00DD5BA6">
        <w:rPr>
          <w:rFonts w:eastAsia="Arial" w:cs="Arial"/>
          <w:color w:val="auto"/>
          <w:szCs w:val="24"/>
          <w:vertAlign w:val="superscript"/>
        </w:rPr>
        <w:footnoteReference w:id="98"/>
      </w:r>
      <w:r w:rsidRPr="00DD5BA6">
        <w:rPr>
          <w:rFonts w:eastAsia="Arial" w:cs="Arial"/>
          <w:color w:val="auto"/>
          <w:szCs w:val="24"/>
        </w:rPr>
        <w:t>, Sutton in Ashfield</w:t>
      </w:r>
      <w:r w:rsidRPr="00DD5BA6">
        <w:rPr>
          <w:rFonts w:eastAsia="Arial" w:cs="Arial"/>
          <w:color w:val="auto"/>
          <w:szCs w:val="24"/>
          <w:vertAlign w:val="superscript"/>
        </w:rPr>
        <w:footnoteReference w:id="99"/>
      </w:r>
      <w:r w:rsidRPr="00DD5BA6">
        <w:rPr>
          <w:rFonts w:eastAsia="Arial" w:cs="Arial"/>
          <w:color w:val="auto"/>
          <w:szCs w:val="24"/>
        </w:rPr>
        <w:t xml:space="preserve"> and Kirkby-in-Ashfield</w:t>
      </w:r>
      <w:r w:rsidRPr="00DD5BA6">
        <w:rPr>
          <w:rFonts w:eastAsia="Arial" w:cs="Arial"/>
          <w:color w:val="auto"/>
          <w:szCs w:val="24"/>
          <w:vertAlign w:val="superscript"/>
        </w:rPr>
        <w:footnoteReference w:id="100"/>
      </w:r>
      <w:r w:rsidRPr="00DD5BA6">
        <w:rPr>
          <w:rFonts w:eastAsia="Arial" w:cs="Arial"/>
          <w:color w:val="auto"/>
          <w:szCs w:val="24"/>
        </w:rPr>
        <w:t xml:space="preserve">, </w:t>
      </w:r>
      <w:proofErr w:type="gramStart"/>
      <w:r w:rsidRPr="00DD5BA6">
        <w:rPr>
          <w:rFonts w:eastAsia="Arial" w:cs="Arial"/>
          <w:color w:val="auto"/>
          <w:szCs w:val="24"/>
        </w:rPr>
        <w:t>provided that</w:t>
      </w:r>
      <w:proofErr w:type="gramEnd"/>
      <w:r w:rsidRPr="00DD5BA6">
        <w:rPr>
          <w:rFonts w:eastAsia="Arial" w:cs="Arial"/>
          <w:color w:val="auto"/>
          <w:szCs w:val="24"/>
        </w:rPr>
        <w:t xml:space="preserve"> there are no adverse effects on neighbouring sites or on the </w:t>
      </w:r>
      <w:proofErr w:type="gramStart"/>
      <w:r w:rsidRPr="00DD5BA6">
        <w:rPr>
          <w:rFonts w:eastAsia="Arial" w:cs="Arial"/>
          <w:color w:val="auto"/>
          <w:szCs w:val="24"/>
        </w:rPr>
        <w:t>area as a whole</w:t>
      </w:r>
      <w:proofErr w:type="gramEnd"/>
      <w:r w:rsidRPr="00DD5BA6">
        <w:rPr>
          <w:rFonts w:eastAsia="Arial" w:cs="Arial"/>
          <w:color w:val="auto"/>
          <w:szCs w:val="24"/>
        </w:rPr>
        <w:t>. The design of town centre developments, including architectural style, functionality, materials, accessibility arrangements and colour scheme, should enhance the street scene.</w:t>
      </w:r>
    </w:p>
    <w:p w14:paraId="089C9CA2" w14:textId="77777777" w:rsidR="00DD5BA6" w:rsidRDefault="00DD5BA6" w:rsidP="00DD5BA6">
      <w:pPr>
        <w:keepNext w:val="0"/>
        <w:spacing w:before="0"/>
        <w:ind w:left="709"/>
        <w:rPr>
          <w:rFonts w:cs="Arial"/>
          <w:color w:val="auto"/>
          <w:szCs w:val="24"/>
          <w:lang w:eastAsia="en-US"/>
        </w:rPr>
      </w:pPr>
    </w:p>
    <w:p w14:paraId="62B18EF1" w14:textId="27890AE3" w:rsidR="00DD5BA6" w:rsidRPr="00E81814" w:rsidRDefault="00DD5BA6" w:rsidP="00E81814">
      <w:pPr>
        <w:keepNext w:val="0"/>
        <w:numPr>
          <w:ilvl w:val="1"/>
          <w:numId w:val="6"/>
        </w:numPr>
        <w:tabs>
          <w:tab w:val="clear" w:pos="525"/>
        </w:tabs>
        <w:spacing w:before="0"/>
        <w:ind w:left="709" w:hanging="709"/>
        <w:rPr>
          <w:rFonts w:eastAsia="Arial" w:cs="Arial"/>
          <w:color w:val="auto"/>
          <w:szCs w:val="24"/>
        </w:rPr>
      </w:pPr>
      <w:r w:rsidRPr="00E81814">
        <w:rPr>
          <w:rFonts w:eastAsia="Arial" w:cs="Arial"/>
          <w:color w:val="auto"/>
          <w:szCs w:val="24"/>
        </w:rPr>
        <w:t xml:space="preserve">Residential and office uses are an important element of a diverse and vibrant centre, providing vibrancy and customers to a centre. </w:t>
      </w:r>
      <w:bookmarkStart w:id="277" w:name="_Hlk80177672"/>
      <w:r w:rsidR="00E81814" w:rsidRPr="00E81814">
        <w:rPr>
          <w:rFonts w:eastAsia="Arial" w:cs="Arial"/>
          <w:color w:val="auto"/>
          <w:szCs w:val="24"/>
        </w:rPr>
        <w:t xml:space="preserve">The Policy </w:t>
      </w:r>
      <w:proofErr w:type="gramStart"/>
      <w:r w:rsidR="00E81814" w:rsidRPr="00E81814">
        <w:rPr>
          <w:rFonts w:eastAsia="Arial" w:cs="Arial"/>
          <w:color w:val="auto"/>
          <w:szCs w:val="24"/>
        </w:rPr>
        <w:t>has to</w:t>
      </w:r>
      <w:proofErr w:type="gramEnd"/>
      <w:r w:rsidR="00E81814" w:rsidRPr="00E81814">
        <w:rPr>
          <w:rFonts w:eastAsia="Arial" w:cs="Arial"/>
          <w:color w:val="auto"/>
          <w:szCs w:val="24"/>
        </w:rPr>
        <w:t xml:space="preserve"> be seen in the context that there are </w:t>
      </w:r>
      <w:r w:rsidR="00E81814">
        <w:rPr>
          <w:rFonts w:eastAsia="Arial" w:cs="Arial"/>
          <w:color w:val="auto"/>
          <w:szCs w:val="24"/>
        </w:rPr>
        <w:t>p</w:t>
      </w:r>
      <w:r w:rsidR="00E81814" w:rsidRPr="00E81814">
        <w:rPr>
          <w:rFonts w:eastAsia="Arial" w:cs="Arial"/>
          <w:color w:val="auto"/>
          <w:szCs w:val="24"/>
        </w:rPr>
        <w:t xml:space="preserve">ermitted </w:t>
      </w:r>
      <w:r w:rsidR="00E81814">
        <w:rPr>
          <w:rFonts w:eastAsia="Arial" w:cs="Arial"/>
          <w:color w:val="auto"/>
          <w:szCs w:val="24"/>
        </w:rPr>
        <w:t>d</w:t>
      </w:r>
      <w:r w:rsidR="00E81814" w:rsidRPr="00E81814">
        <w:rPr>
          <w:rFonts w:eastAsia="Arial" w:cs="Arial"/>
          <w:color w:val="auto"/>
          <w:szCs w:val="24"/>
        </w:rPr>
        <w:t>evelopment rights</w:t>
      </w:r>
      <w:r w:rsidR="00E81814">
        <w:rPr>
          <w:rStyle w:val="FootnoteReference"/>
          <w:rFonts w:eastAsia="Arial" w:cs="Arial"/>
          <w:color w:val="auto"/>
          <w:szCs w:val="24"/>
        </w:rPr>
        <w:footnoteReference w:id="101"/>
      </w:r>
      <w:r w:rsidR="00E81814" w:rsidRPr="00E81814">
        <w:rPr>
          <w:rFonts w:eastAsia="Arial" w:cs="Arial"/>
          <w:color w:val="auto"/>
          <w:szCs w:val="24"/>
        </w:rPr>
        <w:t xml:space="preserve"> for various use which grant permission for development without the requirement for a planning application</w:t>
      </w:r>
      <w:r w:rsidR="00E81814">
        <w:rPr>
          <w:rFonts w:eastAsia="Arial" w:cs="Arial"/>
          <w:color w:val="auto"/>
          <w:szCs w:val="24"/>
        </w:rPr>
        <w:t xml:space="preserve">. This includes the potential conversion of retail units into residential use subject to specific requirements and considerations set out in the prior approval.  </w:t>
      </w:r>
      <w:bookmarkEnd w:id="277"/>
      <w:r w:rsidR="00E81814">
        <w:rPr>
          <w:rFonts w:eastAsia="Arial" w:cs="Arial"/>
          <w:color w:val="auto"/>
          <w:szCs w:val="24"/>
        </w:rPr>
        <w:t xml:space="preserve">However, where possible, </w:t>
      </w:r>
      <w:r w:rsidRPr="00E81814">
        <w:rPr>
          <w:rFonts w:eastAsia="Arial" w:cs="Arial"/>
          <w:color w:val="auto"/>
          <w:szCs w:val="24"/>
        </w:rPr>
        <w:t xml:space="preserve">within the Primary Shopping Area the Council will seek to locate such uses at first floor levels. Where these uses are proposed at ground floor, designs </w:t>
      </w:r>
      <w:r w:rsidR="00E81814">
        <w:rPr>
          <w:rFonts w:eastAsia="Arial" w:cs="Arial"/>
          <w:color w:val="auto"/>
          <w:szCs w:val="24"/>
        </w:rPr>
        <w:t>should e</w:t>
      </w:r>
      <w:r w:rsidRPr="00E81814">
        <w:rPr>
          <w:rFonts w:eastAsia="Arial" w:cs="Arial"/>
          <w:color w:val="auto"/>
          <w:szCs w:val="24"/>
        </w:rPr>
        <w:t>ffectively integrate the uses within the existing street scene and create an appropriate environment for future users and residents.   Fu</w:t>
      </w:r>
      <w:r w:rsidR="005C01D3" w:rsidRPr="00E81814">
        <w:rPr>
          <w:rFonts w:eastAsia="Arial" w:cs="Arial"/>
          <w:color w:val="auto"/>
          <w:szCs w:val="24"/>
        </w:rPr>
        <w:t>r</w:t>
      </w:r>
      <w:r w:rsidRPr="00E81814">
        <w:rPr>
          <w:rFonts w:eastAsia="Arial" w:cs="Arial"/>
          <w:color w:val="auto"/>
          <w:szCs w:val="24"/>
        </w:rPr>
        <w:t>ther information on this aspect is set out in supplementary planning guidance</w:t>
      </w:r>
      <w:r w:rsidRPr="00DD5BA6">
        <w:rPr>
          <w:rFonts w:eastAsia="Arial" w:cs="Arial"/>
          <w:color w:val="auto"/>
          <w:szCs w:val="24"/>
          <w:vertAlign w:val="superscript"/>
        </w:rPr>
        <w:footnoteReference w:id="102"/>
      </w:r>
      <w:r w:rsidRPr="00E81814">
        <w:rPr>
          <w:rFonts w:eastAsia="Arial" w:cs="Arial"/>
          <w:color w:val="auto"/>
          <w:szCs w:val="24"/>
        </w:rPr>
        <w:t>.</w:t>
      </w:r>
    </w:p>
    <w:p w14:paraId="47B990E3" w14:textId="34F81FB2" w:rsidR="00DD5BA6" w:rsidRDefault="00DD5BA6" w:rsidP="00DD5BA6">
      <w:pPr>
        <w:keepNext w:val="0"/>
        <w:spacing w:before="0"/>
        <w:ind w:left="709"/>
        <w:rPr>
          <w:rFonts w:eastAsia="Arial" w:cs="Arial"/>
          <w:color w:val="auto"/>
          <w:szCs w:val="24"/>
        </w:rPr>
      </w:pPr>
    </w:p>
    <w:p w14:paraId="396FD570" w14:textId="77777777" w:rsidR="00DD5BA6" w:rsidRPr="00DD5BA6" w:rsidRDefault="00DD5BA6" w:rsidP="00DD5BA6">
      <w:pPr>
        <w:keepNext w:val="0"/>
        <w:tabs>
          <w:tab w:val="left" w:pos="680"/>
        </w:tabs>
        <w:spacing w:before="0"/>
        <w:ind w:left="680"/>
        <w:rPr>
          <w:rFonts w:eastAsia="Arial" w:cs="Arial"/>
          <w:b/>
          <w:color w:val="auto"/>
          <w:szCs w:val="24"/>
        </w:rPr>
      </w:pPr>
      <w:r w:rsidRPr="00DD5BA6">
        <w:rPr>
          <w:rFonts w:eastAsia="Arial" w:cs="Arial"/>
          <w:b/>
          <w:color w:val="auto"/>
          <w:szCs w:val="24"/>
        </w:rPr>
        <w:t>Hot Food Takeaways</w:t>
      </w:r>
      <w:r w:rsidRPr="00DD5BA6">
        <w:rPr>
          <w:rFonts w:eastAsia="Calibri"/>
          <w:b/>
          <w:color w:val="auto"/>
          <w:szCs w:val="22"/>
          <w:lang w:eastAsia="en-US"/>
        </w:rPr>
        <w:t xml:space="preserve"> and P</w:t>
      </w:r>
      <w:r w:rsidRPr="00DD5BA6">
        <w:rPr>
          <w:rFonts w:eastAsia="Arial" w:cs="Arial"/>
          <w:b/>
          <w:color w:val="auto"/>
          <w:szCs w:val="24"/>
        </w:rPr>
        <w:t>ubs/Drinking Establishments</w:t>
      </w:r>
    </w:p>
    <w:p w14:paraId="461FF8C9" w14:textId="000E0CC8" w:rsidR="00DD5BA6" w:rsidRPr="00DD5BA6" w:rsidRDefault="00DD5BA6" w:rsidP="00DD5BA6">
      <w:pPr>
        <w:keepNext w:val="0"/>
        <w:numPr>
          <w:ilvl w:val="1"/>
          <w:numId w:val="6"/>
        </w:numPr>
        <w:tabs>
          <w:tab w:val="clear" w:pos="525"/>
        </w:tabs>
        <w:spacing w:before="0"/>
        <w:ind w:left="709" w:hanging="709"/>
        <w:rPr>
          <w:rFonts w:cs="Arial"/>
          <w:color w:val="auto"/>
          <w:szCs w:val="24"/>
          <w:lang w:eastAsia="en-US"/>
        </w:rPr>
      </w:pPr>
      <w:r w:rsidRPr="00DD5BA6">
        <w:rPr>
          <w:rFonts w:eastAsia="Arial" w:cs="Arial"/>
          <w:bCs/>
          <w:color w:val="auto"/>
          <w:szCs w:val="24"/>
        </w:rPr>
        <w:t>Hot food takeaways provide a</w:t>
      </w:r>
      <w:r w:rsidR="00CE29D9">
        <w:rPr>
          <w:rFonts w:eastAsia="Arial" w:cs="Arial"/>
          <w:bCs/>
          <w:color w:val="auto"/>
          <w:szCs w:val="24"/>
        </w:rPr>
        <w:t xml:space="preserve"> </w:t>
      </w:r>
      <w:r w:rsidRPr="00DD5BA6">
        <w:rPr>
          <w:rFonts w:eastAsia="Arial" w:cs="Arial"/>
          <w:bCs/>
          <w:color w:val="auto"/>
          <w:szCs w:val="24"/>
        </w:rPr>
        <w:t>facility in centres and can support local evening</w:t>
      </w:r>
      <w:r>
        <w:rPr>
          <w:rFonts w:cs="Arial"/>
          <w:color w:val="auto"/>
          <w:szCs w:val="24"/>
          <w:lang w:eastAsia="en-US"/>
        </w:rPr>
        <w:t xml:space="preserve"> </w:t>
      </w:r>
      <w:r w:rsidRPr="00DD5BA6">
        <w:rPr>
          <w:rFonts w:eastAsia="Arial" w:cs="Arial"/>
          <w:bCs/>
          <w:color w:val="auto"/>
          <w:szCs w:val="24"/>
        </w:rPr>
        <w:t>economies. However, the over concentrations of hot food takeaways, particularly on prominent streets or retail frontages, can detract from the overall appearance of centres due to their predominant evening use. It can also result in a lack of street activity and limit footfall in the daytime, consequently, detracting from the vitality and viability of the town centre.</w:t>
      </w:r>
    </w:p>
    <w:p w14:paraId="0AD464B8" w14:textId="77777777" w:rsidR="00DD5BA6" w:rsidRDefault="00DD5BA6" w:rsidP="00DD5BA6">
      <w:pPr>
        <w:keepNext w:val="0"/>
        <w:spacing w:before="0"/>
        <w:ind w:left="709"/>
        <w:rPr>
          <w:rFonts w:cs="Arial"/>
          <w:color w:val="auto"/>
          <w:szCs w:val="24"/>
          <w:lang w:eastAsia="en-US"/>
        </w:rPr>
      </w:pPr>
    </w:p>
    <w:p w14:paraId="09EC9D51" w14:textId="555BEA64" w:rsidR="00DD5BA6" w:rsidRPr="00DD5BA6" w:rsidRDefault="00DD5BA6" w:rsidP="00DD5BA6">
      <w:pPr>
        <w:keepNext w:val="0"/>
        <w:numPr>
          <w:ilvl w:val="1"/>
          <w:numId w:val="6"/>
        </w:numPr>
        <w:tabs>
          <w:tab w:val="clear" w:pos="525"/>
        </w:tabs>
        <w:spacing w:before="0"/>
        <w:ind w:left="709" w:hanging="709"/>
        <w:rPr>
          <w:rFonts w:cs="Arial"/>
          <w:color w:val="auto"/>
          <w:szCs w:val="24"/>
          <w:lang w:eastAsia="en-US"/>
        </w:rPr>
      </w:pPr>
      <w:r w:rsidRPr="00DD5BA6">
        <w:rPr>
          <w:rFonts w:eastAsia="Calibri" w:cs="Arial"/>
          <w:color w:val="auto"/>
        </w:rPr>
        <w:t>A harmful concentration of pubs/drinking establishments is considered to arise when the cumulative impacts are likely to have harmful effects on the amenity of a centre. This is likely to occur when the pubs/drinking establishments and their users have a detrimental effect on the quality and character of a centre that in turn diminishes the attractiveness of the centre to other users for shopping, working, socialising and living. The point when that harmful concentration is reached will vary from place to place depending on the character of the area and specific local circumstances.</w:t>
      </w:r>
      <w:r w:rsidRPr="00DD5BA6">
        <w:rPr>
          <w:rFonts w:eastAsia="Arial" w:cs="Arial"/>
          <w:color w:val="auto"/>
          <w:szCs w:val="24"/>
        </w:rPr>
        <w:t xml:space="preserve"> </w:t>
      </w:r>
    </w:p>
    <w:p w14:paraId="423BE07C" w14:textId="77777777" w:rsidR="00DD5BA6" w:rsidRDefault="00DD5BA6" w:rsidP="00DD5BA6">
      <w:pPr>
        <w:keepNext w:val="0"/>
        <w:spacing w:before="0"/>
        <w:ind w:left="709"/>
        <w:rPr>
          <w:rFonts w:cs="Arial"/>
          <w:color w:val="auto"/>
          <w:szCs w:val="24"/>
          <w:lang w:eastAsia="en-US"/>
        </w:rPr>
      </w:pPr>
    </w:p>
    <w:p w14:paraId="0D89B143" w14:textId="521F9787" w:rsidR="00DD5BA6" w:rsidRPr="00A56503" w:rsidRDefault="00DD5BA6" w:rsidP="00DD5BA6">
      <w:pPr>
        <w:keepNext w:val="0"/>
        <w:numPr>
          <w:ilvl w:val="1"/>
          <w:numId w:val="6"/>
        </w:numPr>
        <w:tabs>
          <w:tab w:val="clear" w:pos="525"/>
        </w:tabs>
        <w:spacing w:before="0"/>
        <w:ind w:left="709" w:hanging="709"/>
        <w:rPr>
          <w:rFonts w:cs="Arial"/>
          <w:color w:val="auto"/>
          <w:szCs w:val="24"/>
          <w:lang w:eastAsia="en-US"/>
        </w:rPr>
      </w:pPr>
      <w:r w:rsidRPr="00DD5BA6">
        <w:rPr>
          <w:rFonts w:eastAsia="Arial" w:cs="Arial"/>
          <w:color w:val="auto"/>
          <w:szCs w:val="24"/>
        </w:rPr>
        <w:t xml:space="preserve">When assessing development proposals for hot food takeaway or pub/drinking establishments, the Council will assess a range of issues to ensure the develop </w:t>
      </w:r>
      <w:r w:rsidRPr="00DD5BA6">
        <w:rPr>
          <w:rFonts w:eastAsia="Arial" w:cs="Arial"/>
          <w:color w:val="auto"/>
          <w:szCs w:val="24"/>
        </w:rPr>
        <w:lastRenderedPageBreak/>
        <w:t xml:space="preserve">proposed will not result in a negative impact on the surrounding environment and existing uses. The assessment will include: </w:t>
      </w:r>
    </w:p>
    <w:p w14:paraId="2104FC19" w14:textId="77777777" w:rsidR="00A56503" w:rsidRPr="00DD5BA6" w:rsidRDefault="00A56503" w:rsidP="00A56503">
      <w:pPr>
        <w:keepNext w:val="0"/>
        <w:spacing w:before="0"/>
        <w:rPr>
          <w:rFonts w:cs="Arial"/>
          <w:color w:val="auto"/>
          <w:szCs w:val="24"/>
          <w:lang w:eastAsia="en-US"/>
        </w:rPr>
      </w:pPr>
    </w:p>
    <w:p w14:paraId="0FF392D5" w14:textId="77777777" w:rsidR="00DD5BA6" w:rsidRPr="00DD5BA6" w:rsidRDefault="00DD5BA6" w:rsidP="00874A98">
      <w:pPr>
        <w:keepNext w:val="0"/>
        <w:numPr>
          <w:ilvl w:val="0"/>
          <w:numId w:val="168"/>
        </w:numPr>
        <w:autoSpaceDE w:val="0"/>
        <w:autoSpaceDN w:val="0"/>
        <w:adjustRightInd w:val="0"/>
        <w:spacing w:before="0" w:after="160" w:line="252" w:lineRule="auto"/>
        <w:contextualSpacing/>
        <w:jc w:val="both"/>
        <w:rPr>
          <w:rFonts w:cs="Arial"/>
          <w:bCs/>
          <w:color w:val="auto"/>
          <w:szCs w:val="24"/>
          <w:lang w:eastAsia="en-US"/>
        </w:rPr>
      </w:pPr>
      <w:r w:rsidRPr="00DD5BA6">
        <w:rPr>
          <w:rFonts w:cs="Arial"/>
          <w:bCs/>
          <w:color w:val="auto"/>
          <w:szCs w:val="24"/>
          <w:lang w:eastAsia="en-US"/>
        </w:rPr>
        <w:t xml:space="preserve">The number, distribution and proximity of other food and drink </w:t>
      </w:r>
      <w:proofErr w:type="gramStart"/>
      <w:r w:rsidRPr="00DD5BA6">
        <w:rPr>
          <w:rFonts w:cs="Arial"/>
          <w:bCs/>
          <w:color w:val="auto"/>
          <w:szCs w:val="24"/>
          <w:lang w:eastAsia="en-US"/>
        </w:rPr>
        <w:t>uses</w:t>
      </w:r>
      <w:proofErr w:type="gramEnd"/>
      <w:r w:rsidRPr="00DD5BA6">
        <w:rPr>
          <w:rFonts w:cs="Arial"/>
          <w:bCs/>
          <w:color w:val="auto"/>
          <w:szCs w:val="24"/>
          <w:lang w:eastAsia="en-US"/>
        </w:rPr>
        <w:t xml:space="preserve">, including those with unimplemented planning permission; </w:t>
      </w:r>
    </w:p>
    <w:p w14:paraId="0E54BF90" w14:textId="77777777" w:rsidR="00DD5BA6" w:rsidRPr="00DD5BA6" w:rsidRDefault="00DD5BA6" w:rsidP="00874A98">
      <w:pPr>
        <w:keepNext w:val="0"/>
        <w:numPr>
          <w:ilvl w:val="0"/>
          <w:numId w:val="168"/>
        </w:numPr>
        <w:autoSpaceDE w:val="0"/>
        <w:autoSpaceDN w:val="0"/>
        <w:adjustRightInd w:val="0"/>
        <w:spacing w:before="0" w:after="160" w:line="252" w:lineRule="auto"/>
        <w:contextualSpacing/>
        <w:jc w:val="both"/>
        <w:rPr>
          <w:rFonts w:cs="Arial"/>
          <w:bCs/>
          <w:color w:val="auto"/>
          <w:szCs w:val="24"/>
          <w:lang w:eastAsia="en-US"/>
        </w:rPr>
      </w:pPr>
      <w:r w:rsidRPr="00DD5BA6">
        <w:rPr>
          <w:rFonts w:cs="Arial"/>
          <w:bCs/>
          <w:color w:val="auto"/>
          <w:szCs w:val="24"/>
          <w:lang w:eastAsia="en-US"/>
        </w:rPr>
        <w:t>Impact on the street scene;</w:t>
      </w:r>
    </w:p>
    <w:p w14:paraId="6445A40B" w14:textId="77777777" w:rsidR="00DD5BA6" w:rsidRPr="00DD5BA6" w:rsidRDefault="00DD5BA6" w:rsidP="00874A98">
      <w:pPr>
        <w:keepNext w:val="0"/>
        <w:numPr>
          <w:ilvl w:val="0"/>
          <w:numId w:val="168"/>
        </w:numPr>
        <w:autoSpaceDE w:val="0"/>
        <w:autoSpaceDN w:val="0"/>
        <w:adjustRightInd w:val="0"/>
        <w:spacing w:before="0" w:after="160" w:line="252" w:lineRule="auto"/>
        <w:contextualSpacing/>
        <w:jc w:val="both"/>
        <w:rPr>
          <w:rFonts w:cs="Arial"/>
          <w:bCs/>
          <w:color w:val="auto"/>
          <w:szCs w:val="24"/>
          <w:lang w:eastAsia="en-US"/>
        </w:rPr>
      </w:pPr>
      <w:r w:rsidRPr="00DD5BA6">
        <w:rPr>
          <w:rFonts w:cs="Arial"/>
          <w:bCs/>
          <w:color w:val="auto"/>
          <w:szCs w:val="24"/>
          <w:lang w:eastAsia="en-US"/>
        </w:rPr>
        <w:t xml:space="preserve">Potential for an increase in anti-social behaviour and crime; </w:t>
      </w:r>
    </w:p>
    <w:p w14:paraId="5EB324B1" w14:textId="77777777" w:rsidR="00DD5BA6" w:rsidRPr="00DD5BA6" w:rsidRDefault="00DD5BA6" w:rsidP="00874A98">
      <w:pPr>
        <w:keepNext w:val="0"/>
        <w:numPr>
          <w:ilvl w:val="0"/>
          <w:numId w:val="168"/>
        </w:numPr>
        <w:autoSpaceDE w:val="0"/>
        <w:autoSpaceDN w:val="0"/>
        <w:adjustRightInd w:val="0"/>
        <w:spacing w:before="0" w:after="160" w:line="252" w:lineRule="auto"/>
        <w:contextualSpacing/>
        <w:jc w:val="both"/>
        <w:rPr>
          <w:rFonts w:cs="Arial"/>
          <w:bCs/>
          <w:color w:val="auto"/>
          <w:szCs w:val="24"/>
          <w:lang w:eastAsia="en-US"/>
        </w:rPr>
      </w:pPr>
      <w:r w:rsidRPr="00DD5BA6">
        <w:rPr>
          <w:rFonts w:cs="Arial"/>
          <w:bCs/>
          <w:color w:val="auto"/>
          <w:szCs w:val="24"/>
          <w:lang w:eastAsia="en-US"/>
        </w:rPr>
        <w:t xml:space="preserve">The impacts of noise and general disturbance, fumes, smells, litter and </w:t>
      </w:r>
      <w:proofErr w:type="gramStart"/>
      <w:r w:rsidRPr="00DD5BA6">
        <w:rPr>
          <w:rFonts w:cs="Arial"/>
          <w:bCs/>
          <w:color w:val="auto"/>
          <w:szCs w:val="24"/>
          <w:lang w:eastAsia="en-US"/>
        </w:rPr>
        <w:t>late night</w:t>
      </w:r>
      <w:proofErr w:type="gramEnd"/>
      <w:r w:rsidRPr="00DD5BA6">
        <w:rPr>
          <w:rFonts w:cs="Arial"/>
          <w:bCs/>
          <w:color w:val="auto"/>
          <w:szCs w:val="24"/>
          <w:lang w:eastAsia="en-US"/>
        </w:rPr>
        <w:t xml:space="preserve"> activity, including those impacts arising from the use of external areas; </w:t>
      </w:r>
    </w:p>
    <w:p w14:paraId="19938D52" w14:textId="77777777" w:rsidR="00DD5BA6" w:rsidRPr="00DD5BA6" w:rsidRDefault="00DD5BA6" w:rsidP="00874A98">
      <w:pPr>
        <w:keepNext w:val="0"/>
        <w:numPr>
          <w:ilvl w:val="0"/>
          <w:numId w:val="168"/>
        </w:numPr>
        <w:autoSpaceDE w:val="0"/>
        <w:autoSpaceDN w:val="0"/>
        <w:adjustRightInd w:val="0"/>
        <w:spacing w:before="0" w:after="160" w:line="252" w:lineRule="auto"/>
        <w:contextualSpacing/>
        <w:jc w:val="both"/>
        <w:rPr>
          <w:rFonts w:cs="Arial"/>
          <w:bCs/>
          <w:color w:val="auto"/>
          <w:szCs w:val="24"/>
          <w:lang w:eastAsia="en-US"/>
        </w:rPr>
      </w:pPr>
      <w:r w:rsidRPr="00DD5BA6">
        <w:rPr>
          <w:rFonts w:cs="Arial"/>
          <w:bCs/>
          <w:color w:val="auto"/>
          <w:szCs w:val="24"/>
          <w:lang w:eastAsia="en-US"/>
        </w:rPr>
        <w:t xml:space="preserve">Highway safety; </w:t>
      </w:r>
    </w:p>
    <w:p w14:paraId="4CA12F4C" w14:textId="77777777" w:rsidR="00DD5BA6" w:rsidRPr="00DD5BA6" w:rsidRDefault="00DD5BA6" w:rsidP="00874A98">
      <w:pPr>
        <w:keepNext w:val="0"/>
        <w:numPr>
          <w:ilvl w:val="0"/>
          <w:numId w:val="168"/>
        </w:numPr>
        <w:autoSpaceDE w:val="0"/>
        <w:autoSpaceDN w:val="0"/>
        <w:adjustRightInd w:val="0"/>
        <w:spacing w:before="0" w:after="160" w:line="252" w:lineRule="auto"/>
        <w:contextualSpacing/>
        <w:jc w:val="both"/>
        <w:rPr>
          <w:rFonts w:cs="Arial"/>
          <w:bCs/>
          <w:color w:val="auto"/>
          <w:szCs w:val="24"/>
          <w:lang w:eastAsia="en-US"/>
        </w:rPr>
      </w:pPr>
      <w:r w:rsidRPr="00DD5BA6">
        <w:rPr>
          <w:rFonts w:cs="Arial"/>
          <w:bCs/>
          <w:color w:val="auto"/>
          <w:szCs w:val="24"/>
          <w:lang w:eastAsia="en-US"/>
        </w:rPr>
        <w:t xml:space="preserve">The availability of refuse storage and disposal facilities; and </w:t>
      </w:r>
    </w:p>
    <w:p w14:paraId="5EA04C67" w14:textId="77777777" w:rsidR="00DD5BA6" w:rsidRPr="00DD5BA6" w:rsidRDefault="00DD5BA6" w:rsidP="00874A98">
      <w:pPr>
        <w:keepNext w:val="0"/>
        <w:numPr>
          <w:ilvl w:val="0"/>
          <w:numId w:val="168"/>
        </w:numPr>
        <w:autoSpaceDE w:val="0"/>
        <w:autoSpaceDN w:val="0"/>
        <w:adjustRightInd w:val="0"/>
        <w:spacing w:before="0" w:after="160" w:line="252" w:lineRule="auto"/>
        <w:contextualSpacing/>
        <w:jc w:val="both"/>
        <w:rPr>
          <w:rFonts w:cs="Arial"/>
          <w:bCs/>
          <w:color w:val="auto"/>
          <w:szCs w:val="24"/>
          <w:lang w:eastAsia="en-US"/>
        </w:rPr>
      </w:pPr>
      <w:r w:rsidRPr="00DD5BA6">
        <w:rPr>
          <w:rFonts w:cs="Arial"/>
          <w:bCs/>
          <w:color w:val="auto"/>
          <w:szCs w:val="24"/>
          <w:lang w:eastAsia="en-US"/>
        </w:rPr>
        <w:t>The appearance of any associated extensions, flues and installations.</w:t>
      </w:r>
    </w:p>
    <w:p w14:paraId="469FE46F" w14:textId="77777777" w:rsidR="00DD5BA6" w:rsidRPr="00DD5BA6" w:rsidRDefault="00DD5BA6" w:rsidP="00DD5BA6">
      <w:pPr>
        <w:keepNext w:val="0"/>
        <w:autoSpaceDE w:val="0"/>
        <w:autoSpaceDN w:val="0"/>
        <w:adjustRightInd w:val="0"/>
        <w:spacing w:before="0"/>
        <w:rPr>
          <w:rFonts w:eastAsia="Arial" w:cs="Arial"/>
          <w:strike/>
          <w:color w:val="auto"/>
          <w:szCs w:val="24"/>
        </w:rPr>
      </w:pPr>
    </w:p>
    <w:p w14:paraId="6ED8BAE5" w14:textId="77777777" w:rsidR="00DD5BA6" w:rsidRPr="00DD5BA6" w:rsidRDefault="00DD5BA6" w:rsidP="00A56503">
      <w:pPr>
        <w:keepNext w:val="0"/>
        <w:tabs>
          <w:tab w:val="left" w:pos="680"/>
        </w:tabs>
        <w:suppressAutoHyphens/>
        <w:spacing w:before="0"/>
        <w:ind w:left="709" w:right="56"/>
        <w:textAlignment w:val="baseline"/>
        <w:rPr>
          <w:rFonts w:eastAsia="Arial" w:cs="Arial"/>
          <w:b/>
          <w:color w:val="auto"/>
          <w:szCs w:val="24"/>
        </w:rPr>
      </w:pPr>
      <w:r w:rsidRPr="00DD5BA6">
        <w:rPr>
          <w:rFonts w:eastAsia="Arial" w:cs="Arial"/>
          <w:b/>
          <w:color w:val="auto"/>
          <w:szCs w:val="24"/>
        </w:rPr>
        <w:t>Sequential Test and Impact Test</w:t>
      </w:r>
    </w:p>
    <w:p w14:paraId="0C39DC7A" w14:textId="22CBFAFB" w:rsidR="00DD5BA6" w:rsidRPr="00DD5BA6" w:rsidRDefault="00DD5BA6" w:rsidP="00A56503">
      <w:pPr>
        <w:keepNext w:val="0"/>
        <w:numPr>
          <w:ilvl w:val="1"/>
          <w:numId w:val="6"/>
        </w:numPr>
        <w:tabs>
          <w:tab w:val="clear" w:pos="525"/>
        </w:tabs>
        <w:spacing w:before="0"/>
        <w:ind w:left="709" w:hanging="709"/>
        <w:rPr>
          <w:rFonts w:cs="Arial"/>
          <w:color w:val="auto"/>
          <w:szCs w:val="24"/>
          <w:lang w:eastAsia="en-US"/>
        </w:rPr>
      </w:pPr>
      <w:r w:rsidRPr="00DD5BA6">
        <w:rPr>
          <w:rFonts w:eastAsia="Arial" w:cs="Arial"/>
          <w:color w:val="auto"/>
          <w:szCs w:val="24"/>
        </w:rPr>
        <w:t xml:space="preserve">The NPPF endorses a ‘town centre first’ approach to all retail activity (including leisure). It stipulates that where retail and leisure proposals cannot be accommodated within, or, adjacent to the town centre applicants </w:t>
      </w:r>
      <w:proofErr w:type="gramStart"/>
      <w:r w:rsidRPr="00DD5BA6">
        <w:rPr>
          <w:rFonts w:eastAsia="Arial" w:cs="Arial"/>
          <w:color w:val="auto"/>
          <w:szCs w:val="24"/>
        </w:rPr>
        <w:t>have to</w:t>
      </w:r>
      <w:proofErr w:type="gramEnd"/>
      <w:r w:rsidRPr="00DD5BA6">
        <w:rPr>
          <w:rFonts w:eastAsia="Arial" w:cs="Arial"/>
          <w:color w:val="auto"/>
          <w:szCs w:val="24"/>
        </w:rPr>
        <w:t xml:space="preserve"> demonstrate through the application of dual impact test and the sequential test that the development will not impact negatively upon the vitality and viability of town centres. </w:t>
      </w:r>
    </w:p>
    <w:p w14:paraId="06682DAD" w14:textId="77777777" w:rsidR="00DD5BA6" w:rsidRDefault="00DD5BA6" w:rsidP="00DD5BA6">
      <w:pPr>
        <w:keepNext w:val="0"/>
        <w:spacing w:before="0"/>
        <w:ind w:left="709"/>
        <w:rPr>
          <w:rFonts w:cs="Arial"/>
          <w:color w:val="auto"/>
          <w:szCs w:val="24"/>
          <w:lang w:eastAsia="en-US"/>
        </w:rPr>
      </w:pPr>
    </w:p>
    <w:p w14:paraId="5F022F00" w14:textId="09EEFA4F" w:rsidR="00DD5BA6" w:rsidRPr="00B13AEF" w:rsidRDefault="00DD5BA6" w:rsidP="00B13AEF">
      <w:pPr>
        <w:keepNext w:val="0"/>
        <w:numPr>
          <w:ilvl w:val="1"/>
          <w:numId w:val="6"/>
        </w:numPr>
        <w:tabs>
          <w:tab w:val="clear" w:pos="525"/>
        </w:tabs>
        <w:spacing w:before="0"/>
        <w:ind w:left="709" w:hanging="709"/>
        <w:rPr>
          <w:rFonts w:cs="Arial"/>
          <w:color w:val="auto"/>
          <w:szCs w:val="24"/>
          <w:lang w:eastAsia="en-US"/>
        </w:rPr>
      </w:pPr>
      <w:r w:rsidRPr="00DD5BA6">
        <w:rPr>
          <w:rFonts w:eastAsia="Arial" w:cs="Arial"/>
          <w:color w:val="auto"/>
          <w:szCs w:val="24"/>
        </w:rPr>
        <w:t>The sequential test should align with the requirements of NPPF and national planning practice guidance. If after applying the sequential test, out-of-centre sites are necessary, preference will be given to sites that are, or will be, served by a choice of means of transport, which are close to the centre and have a high likelihood of forming links with the town centre. Developers should demonstrate that they have been flexible in their approach to site selection by submitting a report which sets out the following as a minimum:</w:t>
      </w:r>
    </w:p>
    <w:p w14:paraId="77FF17C3" w14:textId="77777777" w:rsidR="00B13AEF" w:rsidRPr="00B13AEF" w:rsidRDefault="00B13AEF" w:rsidP="00B13AEF">
      <w:pPr>
        <w:pStyle w:val="ListParagraph"/>
        <w:spacing w:after="0" w:line="240" w:lineRule="auto"/>
        <w:rPr>
          <w:rFonts w:ascii="Arial" w:hAnsi="Arial" w:cs="Arial"/>
          <w:color w:val="auto"/>
          <w:szCs w:val="24"/>
        </w:rPr>
      </w:pPr>
    </w:p>
    <w:p w14:paraId="272DD614" w14:textId="77777777" w:rsidR="00B13AEF" w:rsidRPr="00B13AEF" w:rsidRDefault="00B13AEF" w:rsidP="00874A98">
      <w:pPr>
        <w:pStyle w:val="ListParagraph"/>
        <w:numPr>
          <w:ilvl w:val="0"/>
          <w:numId w:val="307"/>
        </w:numPr>
        <w:spacing w:after="0" w:line="240" w:lineRule="auto"/>
        <w:rPr>
          <w:rFonts w:ascii="Arial" w:hAnsi="Arial" w:cs="Arial"/>
          <w:color w:val="auto"/>
          <w:szCs w:val="24"/>
        </w:rPr>
      </w:pPr>
      <w:r w:rsidRPr="00B13AEF">
        <w:rPr>
          <w:rFonts w:ascii="Arial" w:hAnsi="Arial" w:cs="Arial"/>
          <w:color w:val="auto"/>
          <w:szCs w:val="24"/>
        </w:rPr>
        <w:t>a detailed description and plan of the development</w:t>
      </w:r>
    </w:p>
    <w:p w14:paraId="20B3D9ED" w14:textId="77777777" w:rsidR="00B13AEF" w:rsidRPr="00B13AEF" w:rsidRDefault="00B13AEF" w:rsidP="00874A98">
      <w:pPr>
        <w:pStyle w:val="ListParagraph"/>
        <w:numPr>
          <w:ilvl w:val="0"/>
          <w:numId w:val="307"/>
        </w:numPr>
        <w:spacing w:after="0" w:line="240" w:lineRule="auto"/>
        <w:rPr>
          <w:rFonts w:ascii="Arial" w:hAnsi="Arial" w:cs="Arial"/>
          <w:color w:val="auto"/>
          <w:szCs w:val="24"/>
        </w:rPr>
      </w:pPr>
      <w:r w:rsidRPr="00B13AEF">
        <w:rPr>
          <w:rFonts w:ascii="Arial" w:hAnsi="Arial" w:cs="Arial"/>
          <w:color w:val="auto"/>
          <w:szCs w:val="24"/>
        </w:rPr>
        <w:t>a reasoned justification for the location of the development</w:t>
      </w:r>
    </w:p>
    <w:p w14:paraId="6024C78D" w14:textId="77777777" w:rsidR="00B13AEF" w:rsidRPr="00B13AEF" w:rsidRDefault="00B13AEF" w:rsidP="00874A98">
      <w:pPr>
        <w:pStyle w:val="ListParagraph"/>
        <w:numPr>
          <w:ilvl w:val="0"/>
          <w:numId w:val="307"/>
        </w:numPr>
        <w:spacing w:after="0" w:line="240" w:lineRule="auto"/>
        <w:rPr>
          <w:rFonts w:ascii="Arial" w:hAnsi="Arial" w:cs="Arial"/>
          <w:color w:val="auto"/>
          <w:szCs w:val="24"/>
        </w:rPr>
      </w:pPr>
      <w:r w:rsidRPr="00B13AEF">
        <w:rPr>
          <w:rFonts w:ascii="Arial" w:hAnsi="Arial" w:cs="Arial"/>
          <w:color w:val="auto"/>
          <w:szCs w:val="24"/>
        </w:rPr>
        <w:t>the scale of the development</w:t>
      </w:r>
    </w:p>
    <w:p w14:paraId="5C746ABD" w14:textId="77777777" w:rsidR="00B13AEF" w:rsidRPr="00B13AEF" w:rsidRDefault="00B13AEF" w:rsidP="00874A98">
      <w:pPr>
        <w:pStyle w:val="ListParagraph"/>
        <w:numPr>
          <w:ilvl w:val="0"/>
          <w:numId w:val="307"/>
        </w:numPr>
        <w:spacing w:after="0" w:line="240" w:lineRule="auto"/>
        <w:rPr>
          <w:rFonts w:ascii="Arial" w:hAnsi="Arial" w:cs="Arial"/>
          <w:color w:val="auto"/>
          <w:szCs w:val="24"/>
        </w:rPr>
      </w:pPr>
      <w:r w:rsidRPr="00B13AEF">
        <w:rPr>
          <w:rFonts w:ascii="Arial" w:hAnsi="Arial" w:cs="Arial"/>
          <w:color w:val="auto"/>
          <w:szCs w:val="24"/>
        </w:rPr>
        <w:t>a sequential test for sites outside or on the edge of the Town Centre</w:t>
      </w:r>
    </w:p>
    <w:p w14:paraId="5C3345C9" w14:textId="77777777" w:rsidR="00B13AEF" w:rsidRPr="00B13AEF" w:rsidRDefault="00B13AEF" w:rsidP="00874A98">
      <w:pPr>
        <w:pStyle w:val="ListParagraph"/>
        <w:numPr>
          <w:ilvl w:val="0"/>
          <w:numId w:val="307"/>
        </w:numPr>
        <w:spacing w:after="0" w:line="240" w:lineRule="auto"/>
        <w:rPr>
          <w:rFonts w:ascii="Arial" w:hAnsi="Arial" w:cs="Arial"/>
          <w:color w:val="auto"/>
          <w:szCs w:val="24"/>
        </w:rPr>
      </w:pPr>
      <w:r w:rsidRPr="00B13AEF">
        <w:rPr>
          <w:rFonts w:ascii="Arial" w:hAnsi="Arial" w:cs="Arial"/>
          <w:color w:val="auto"/>
          <w:szCs w:val="24"/>
        </w:rPr>
        <w:t>the scope for flexibility in the format and/or scale of the proposal</w:t>
      </w:r>
    </w:p>
    <w:p w14:paraId="649BF2F9" w14:textId="77777777" w:rsidR="00B13AEF" w:rsidRPr="00B13AEF" w:rsidRDefault="00B13AEF" w:rsidP="00874A98">
      <w:pPr>
        <w:pStyle w:val="ListParagraph"/>
        <w:numPr>
          <w:ilvl w:val="0"/>
          <w:numId w:val="307"/>
        </w:numPr>
        <w:spacing w:after="0" w:line="240" w:lineRule="auto"/>
        <w:rPr>
          <w:rFonts w:ascii="Arial" w:hAnsi="Arial" w:cs="Arial"/>
          <w:color w:val="auto"/>
          <w:szCs w:val="24"/>
        </w:rPr>
      </w:pPr>
      <w:r w:rsidRPr="00B13AEF">
        <w:rPr>
          <w:rFonts w:ascii="Arial" w:hAnsi="Arial" w:cs="Arial"/>
          <w:color w:val="auto"/>
          <w:szCs w:val="24"/>
        </w:rPr>
        <w:t xml:space="preserve">what contribution more central sites </w:t>
      </w:r>
      <w:proofErr w:type="gramStart"/>
      <w:r w:rsidRPr="00B13AEF">
        <w:rPr>
          <w:rFonts w:ascii="Arial" w:hAnsi="Arial" w:cs="Arial"/>
          <w:color w:val="auto"/>
          <w:szCs w:val="24"/>
        </w:rPr>
        <w:t>are able to</w:t>
      </w:r>
      <w:proofErr w:type="gramEnd"/>
      <w:r w:rsidRPr="00B13AEF">
        <w:rPr>
          <w:rFonts w:ascii="Arial" w:hAnsi="Arial" w:cs="Arial"/>
          <w:color w:val="auto"/>
          <w:szCs w:val="24"/>
        </w:rPr>
        <w:t xml:space="preserve"> make individually to accommodate the proposal.</w:t>
      </w:r>
    </w:p>
    <w:p w14:paraId="08DBB86C" w14:textId="654A0B2F" w:rsidR="00B13AEF" w:rsidRPr="00B13AEF" w:rsidRDefault="00B13AEF" w:rsidP="00874A98">
      <w:pPr>
        <w:pStyle w:val="ListParagraph"/>
        <w:numPr>
          <w:ilvl w:val="0"/>
          <w:numId w:val="307"/>
        </w:numPr>
        <w:spacing w:after="0" w:line="240" w:lineRule="auto"/>
        <w:rPr>
          <w:rFonts w:ascii="Arial" w:hAnsi="Arial" w:cs="Arial"/>
          <w:color w:val="auto"/>
          <w:szCs w:val="24"/>
        </w:rPr>
      </w:pPr>
      <w:r w:rsidRPr="00B13AEF">
        <w:rPr>
          <w:rFonts w:ascii="Arial" w:hAnsi="Arial" w:cs="Arial"/>
          <w:color w:val="auto"/>
          <w:szCs w:val="24"/>
        </w:rPr>
        <w:t>an impact test for sites over the specified threshold.</w:t>
      </w:r>
    </w:p>
    <w:p w14:paraId="20E47E56" w14:textId="4B3F93D8" w:rsidR="00DD5BA6" w:rsidRPr="00B13AEF" w:rsidRDefault="00DD5BA6" w:rsidP="00B13AEF">
      <w:pPr>
        <w:keepNext w:val="0"/>
        <w:spacing w:before="0"/>
        <w:ind w:left="525"/>
        <w:rPr>
          <w:rFonts w:eastAsia="Arial" w:cs="Arial"/>
          <w:color w:val="auto"/>
          <w:szCs w:val="24"/>
        </w:rPr>
      </w:pPr>
    </w:p>
    <w:p w14:paraId="651E6B8C" w14:textId="5757EB68" w:rsidR="00E56122" w:rsidRPr="00486F6C" w:rsidRDefault="00DD5BA6" w:rsidP="00486F6C">
      <w:pPr>
        <w:keepNext w:val="0"/>
        <w:numPr>
          <w:ilvl w:val="1"/>
          <w:numId w:val="6"/>
        </w:numPr>
        <w:tabs>
          <w:tab w:val="clear" w:pos="525"/>
        </w:tabs>
        <w:spacing w:before="0"/>
        <w:ind w:left="709" w:hanging="709"/>
        <w:rPr>
          <w:rFonts w:cs="Arial"/>
          <w:color w:val="auto"/>
          <w:szCs w:val="24"/>
          <w:lang w:eastAsia="en-US"/>
        </w:rPr>
      </w:pPr>
      <w:r w:rsidRPr="00B13AEF">
        <w:rPr>
          <w:rFonts w:eastAsia="Arial" w:cs="Arial"/>
          <w:color w:val="auto"/>
          <w:szCs w:val="24"/>
        </w:rPr>
        <w:t>On edge-of-centre, or out-of-centre sites, the Council</w:t>
      </w:r>
      <w:r w:rsidRPr="00DD5BA6">
        <w:rPr>
          <w:rFonts w:eastAsia="Arial" w:cs="Arial"/>
          <w:color w:val="auto"/>
          <w:szCs w:val="24"/>
        </w:rPr>
        <w:t xml:space="preserve"> will require an impact assessment to be undertaken for retail, and leisure developments beyond the threshold outlined in </w:t>
      </w:r>
      <w:r w:rsidRPr="00A56503">
        <w:rPr>
          <w:rFonts w:eastAsia="Arial" w:cs="Arial"/>
          <w:color w:val="auto"/>
          <w:szCs w:val="24"/>
        </w:rPr>
        <w:t>Policy SH1.</w:t>
      </w:r>
      <w:r w:rsidRPr="00DD5BA6">
        <w:rPr>
          <w:rFonts w:eastAsia="Arial" w:cs="Arial"/>
          <w:color w:val="auto"/>
          <w:szCs w:val="24"/>
        </w:rPr>
        <w:t xml:space="preserve"> </w:t>
      </w:r>
      <w:r w:rsidR="00486F6C" w:rsidRPr="00486F6C">
        <w:rPr>
          <w:rFonts w:cs="Arial"/>
          <w:color w:val="auto"/>
          <w:szCs w:val="24"/>
          <w:lang w:eastAsia="en-US"/>
        </w:rPr>
        <w:t>This assessment should align with the requirements of NPPF and national planning practice guidance; assessing potential impact on existing, planned and committed investment and a centre’s vitality and viability.</w:t>
      </w:r>
      <w:r w:rsidR="00486F6C">
        <w:rPr>
          <w:rFonts w:cs="Arial"/>
          <w:color w:val="auto"/>
          <w:szCs w:val="24"/>
          <w:lang w:eastAsia="en-US"/>
        </w:rPr>
        <w:t xml:space="preserve">  </w:t>
      </w:r>
      <w:r w:rsidR="00486F6C">
        <w:t>N</w:t>
      </w:r>
      <w:r w:rsidR="00486F6C" w:rsidRPr="00486F6C">
        <w:rPr>
          <w:rFonts w:cs="Arial"/>
          <w:color w:val="auto"/>
          <w:szCs w:val="24"/>
          <w:lang w:eastAsia="en-US"/>
        </w:rPr>
        <w:t>ational guidance dictates that the impact test should be</w:t>
      </w:r>
      <w:r w:rsidR="00486F6C">
        <w:rPr>
          <w:rFonts w:cs="Arial"/>
          <w:color w:val="auto"/>
          <w:szCs w:val="24"/>
          <w:lang w:eastAsia="en-US"/>
        </w:rPr>
        <w:t xml:space="preserve"> </w:t>
      </w:r>
      <w:r w:rsidR="00486F6C" w:rsidRPr="00486F6C">
        <w:rPr>
          <w:rFonts w:cs="Arial"/>
          <w:color w:val="auto"/>
          <w:szCs w:val="24"/>
          <w:lang w:eastAsia="en-US"/>
        </w:rPr>
        <w:t xml:space="preserve">undertaken in a proportionate and locally appropriate way, commensurate to the scale </w:t>
      </w:r>
      <w:proofErr w:type="gramStart"/>
      <w:r w:rsidR="00486F6C" w:rsidRPr="00486F6C">
        <w:rPr>
          <w:rFonts w:cs="Arial"/>
          <w:color w:val="auto"/>
          <w:szCs w:val="24"/>
          <w:lang w:eastAsia="en-US"/>
        </w:rPr>
        <w:t>of</w:t>
      </w:r>
      <w:r w:rsidR="00486F6C">
        <w:rPr>
          <w:rFonts w:cs="Arial"/>
          <w:color w:val="auto"/>
          <w:szCs w:val="24"/>
          <w:lang w:eastAsia="en-US"/>
        </w:rPr>
        <w:t xml:space="preserve">  </w:t>
      </w:r>
      <w:r w:rsidR="00486F6C" w:rsidRPr="00486F6C">
        <w:rPr>
          <w:rFonts w:cs="Arial"/>
          <w:color w:val="auto"/>
          <w:szCs w:val="24"/>
          <w:lang w:eastAsia="en-US"/>
        </w:rPr>
        <w:t>development</w:t>
      </w:r>
      <w:proofErr w:type="gramEnd"/>
      <w:r w:rsidR="00486F6C" w:rsidRPr="00486F6C">
        <w:rPr>
          <w:rFonts w:cs="Arial"/>
          <w:color w:val="auto"/>
          <w:szCs w:val="24"/>
          <w:lang w:eastAsia="en-US"/>
        </w:rPr>
        <w:t xml:space="preserve"> proposed. The level of detail would typically be agreed with Council officers during</w:t>
      </w:r>
      <w:r w:rsidR="00486F6C">
        <w:rPr>
          <w:rFonts w:cs="Arial"/>
          <w:color w:val="auto"/>
          <w:szCs w:val="24"/>
          <w:lang w:eastAsia="en-US"/>
        </w:rPr>
        <w:t xml:space="preserve"> </w:t>
      </w:r>
      <w:r w:rsidR="00486F6C" w:rsidRPr="00486F6C">
        <w:rPr>
          <w:rFonts w:cs="Arial"/>
          <w:color w:val="auto"/>
          <w:szCs w:val="24"/>
          <w:lang w:eastAsia="en-US"/>
        </w:rPr>
        <w:t xml:space="preserve">the pre-application process </w:t>
      </w:r>
      <w:proofErr w:type="gramStart"/>
      <w:r w:rsidR="00486F6C" w:rsidRPr="00486F6C">
        <w:rPr>
          <w:rFonts w:cs="Arial"/>
          <w:color w:val="auto"/>
          <w:szCs w:val="24"/>
          <w:lang w:eastAsia="en-US"/>
        </w:rPr>
        <w:t>in order to</w:t>
      </w:r>
      <w:proofErr w:type="gramEnd"/>
      <w:r w:rsidR="00486F6C" w:rsidRPr="00486F6C">
        <w:rPr>
          <w:rFonts w:cs="Arial"/>
          <w:color w:val="auto"/>
          <w:szCs w:val="24"/>
          <w:lang w:eastAsia="en-US"/>
        </w:rPr>
        <w:t xml:space="preserve"> avoid overly onerous </w:t>
      </w:r>
      <w:r w:rsidR="00486F6C" w:rsidRPr="00486F6C">
        <w:rPr>
          <w:rFonts w:cs="Arial"/>
          <w:color w:val="auto"/>
          <w:szCs w:val="24"/>
          <w:lang w:eastAsia="en-US"/>
        </w:rPr>
        <w:lastRenderedPageBreak/>
        <w:t>requirements.</w:t>
      </w:r>
      <w:r w:rsidR="00486F6C">
        <w:rPr>
          <w:rFonts w:cs="Arial"/>
          <w:color w:val="auto"/>
          <w:szCs w:val="24"/>
          <w:lang w:eastAsia="en-US"/>
        </w:rPr>
        <w:t xml:space="preserve"> </w:t>
      </w:r>
      <w:r w:rsidRPr="00486F6C">
        <w:rPr>
          <w:rFonts w:eastAsia="Arial" w:cs="Arial"/>
          <w:color w:val="auto"/>
          <w:szCs w:val="24"/>
        </w:rPr>
        <w:t xml:space="preserve">Where proposals seek to extend existing out of centre premises, the total gross floorspace of the unit (including the extension) will be </w:t>
      </w:r>
      <w:proofErr w:type="gramStart"/>
      <w:r w:rsidRPr="00486F6C">
        <w:rPr>
          <w:rFonts w:eastAsia="Arial" w:cs="Arial"/>
          <w:color w:val="auto"/>
          <w:szCs w:val="24"/>
        </w:rPr>
        <w:t>taken into account</w:t>
      </w:r>
      <w:proofErr w:type="gramEnd"/>
      <w:r w:rsidRPr="00486F6C">
        <w:rPr>
          <w:rFonts w:eastAsia="Arial" w:cs="Arial"/>
          <w:color w:val="auto"/>
          <w:szCs w:val="24"/>
        </w:rPr>
        <w:t xml:space="preserve"> when determining whether an impact assessment is required. </w:t>
      </w:r>
    </w:p>
    <w:p w14:paraId="2CCD348D" w14:textId="77777777" w:rsidR="00E56122" w:rsidRDefault="00E56122" w:rsidP="00E56122">
      <w:pPr>
        <w:keepNext w:val="0"/>
        <w:spacing w:before="0"/>
        <w:ind w:left="709"/>
        <w:rPr>
          <w:rFonts w:cs="Arial"/>
          <w:color w:val="auto"/>
          <w:szCs w:val="24"/>
          <w:lang w:eastAsia="en-US"/>
        </w:rPr>
      </w:pPr>
    </w:p>
    <w:p w14:paraId="388F72E2" w14:textId="0F0DE68A" w:rsidR="00DD5BA6" w:rsidRPr="009A3879" w:rsidRDefault="00DD5BA6" w:rsidP="00E56122">
      <w:pPr>
        <w:keepNext w:val="0"/>
        <w:numPr>
          <w:ilvl w:val="1"/>
          <w:numId w:val="6"/>
        </w:numPr>
        <w:tabs>
          <w:tab w:val="clear" w:pos="525"/>
        </w:tabs>
        <w:spacing w:before="0"/>
        <w:ind w:left="709" w:hanging="709"/>
        <w:rPr>
          <w:rFonts w:cs="Arial"/>
          <w:color w:val="auto"/>
          <w:szCs w:val="24"/>
          <w:lang w:eastAsia="en-US"/>
        </w:rPr>
      </w:pPr>
      <w:r w:rsidRPr="009A3879">
        <w:rPr>
          <w:rFonts w:cs="Arial"/>
          <w:color w:val="auto"/>
          <w:szCs w:val="24"/>
        </w:rPr>
        <w:t xml:space="preserve">The </w:t>
      </w:r>
      <w:r w:rsidR="00106B8C" w:rsidRPr="00106B8C">
        <w:rPr>
          <w:rFonts w:cs="Arial"/>
          <w:szCs w:val="24"/>
        </w:rPr>
        <w:t xml:space="preserve">Ashfield </w:t>
      </w:r>
      <w:bookmarkStart w:id="278" w:name="_Hlk148437646"/>
      <w:r w:rsidR="00106B8C" w:rsidRPr="00106B8C">
        <w:rPr>
          <w:rFonts w:cs="Arial"/>
          <w:szCs w:val="24"/>
        </w:rPr>
        <w:t>Town Centre / Local Centre Study, 2023,</w:t>
      </w:r>
      <w:r w:rsidR="00106B8C">
        <w:rPr>
          <w:rFonts w:cs="Arial"/>
          <w:sz w:val="20"/>
        </w:rPr>
        <w:t xml:space="preserve"> </w:t>
      </w:r>
      <w:bookmarkEnd w:id="278"/>
      <w:r w:rsidRPr="009A3879">
        <w:rPr>
          <w:rFonts w:cs="Arial"/>
          <w:color w:val="auto"/>
          <w:szCs w:val="24"/>
        </w:rPr>
        <w:t xml:space="preserve">concluded that each of the three primary centres </w:t>
      </w:r>
      <w:r w:rsidR="00912C6F" w:rsidRPr="009A3879">
        <w:rPr>
          <w:rFonts w:cs="Arial"/>
          <w:color w:val="auto"/>
          <w:szCs w:val="24"/>
        </w:rPr>
        <w:t xml:space="preserve">(Town Centres) </w:t>
      </w:r>
      <w:r w:rsidRPr="009A3879">
        <w:rPr>
          <w:rFonts w:cs="Arial"/>
          <w:color w:val="auto"/>
          <w:szCs w:val="24"/>
        </w:rPr>
        <w:t xml:space="preserve">are potentially vulnerable to competing edge-of-centre and out-of-centre retail developments of 300 </w:t>
      </w:r>
      <w:r w:rsidR="009D1815" w:rsidRPr="009A3879">
        <w:rPr>
          <w:rFonts w:cs="Arial"/>
          <w:color w:val="auto"/>
          <w:szCs w:val="24"/>
        </w:rPr>
        <w:t>sq.</w:t>
      </w:r>
      <w:r w:rsidRPr="009A3879">
        <w:rPr>
          <w:rFonts w:cs="Arial"/>
          <w:color w:val="auto"/>
          <w:szCs w:val="24"/>
        </w:rPr>
        <w:t xml:space="preserve"> m. Consequently, the recommended local threshold of 300 </w:t>
      </w:r>
      <w:r w:rsidR="009D1815" w:rsidRPr="009A3879">
        <w:rPr>
          <w:rFonts w:cs="Arial"/>
          <w:color w:val="auto"/>
          <w:szCs w:val="24"/>
        </w:rPr>
        <w:t>sq.</w:t>
      </w:r>
      <w:r w:rsidRPr="009A3879">
        <w:rPr>
          <w:rFonts w:cs="Arial"/>
          <w:color w:val="auto"/>
          <w:szCs w:val="24"/>
        </w:rPr>
        <w:t xml:space="preserve"> m has been set out in </w:t>
      </w:r>
      <w:r w:rsidR="007D7A4C" w:rsidRPr="009A3879">
        <w:rPr>
          <w:rFonts w:cs="Arial"/>
          <w:color w:val="auto"/>
          <w:szCs w:val="24"/>
        </w:rPr>
        <w:t>the P</w:t>
      </w:r>
      <w:r w:rsidRPr="009A3879">
        <w:rPr>
          <w:rFonts w:cs="Arial"/>
          <w:color w:val="auto"/>
          <w:szCs w:val="24"/>
        </w:rPr>
        <w:t xml:space="preserve">olicy across the District’s three </w:t>
      </w:r>
      <w:r w:rsidR="00912C6F" w:rsidRPr="009A3879">
        <w:rPr>
          <w:rFonts w:cs="Arial"/>
          <w:color w:val="auto"/>
          <w:szCs w:val="24"/>
        </w:rPr>
        <w:t>town c</w:t>
      </w:r>
      <w:r w:rsidRPr="009A3879">
        <w:rPr>
          <w:rFonts w:cs="Arial"/>
          <w:color w:val="auto"/>
          <w:szCs w:val="24"/>
        </w:rPr>
        <w:t>entres.</w:t>
      </w:r>
    </w:p>
    <w:p w14:paraId="6F39881A" w14:textId="0D27531F" w:rsidR="00E56122" w:rsidRPr="009A3879" w:rsidRDefault="00E56122" w:rsidP="00E56122">
      <w:pPr>
        <w:keepNext w:val="0"/>
        <w:spacing w:before="0"/>
        <w:ind w:left="709"/>
        <w:rPr>
          <w:rFonts w:cs="Arial"/>
          <w:color w:val="auto"/>
          <w:szCs w:val="24"/>
        </w:rPr>
      </w:pPr>
    </w:p>
    <w:p w14:paraId="2AC4ABA2" w14:textId="77777777" w:rsidR="00985BCC" w:rsidRPr="00C55F46" w:rsidRDefault="00985BCC" w:rsidP="00C55F46">
      <w:pPr>
        <w:rPr>
          <w:rFonts w:eastAsia="Arial"/>
        </w:rPr>
      </w:pPr>
      <w:bookmarkStart w:id="279" w:name="_Toc500408772"/>
      <w:bookmarkStart w:id="280" w:name="_Toc145511606"/>
    </w:p>
    <w:bookmarkEnd w:id="274"/>
    <w:p w14:paraId="57EBB611" w14:textId="360CF94C" w:rsidR="00E56122" w:rsidRPr="00C55F46" w:rsidRDefault="006977E7" w:rsidP="00C55F46">
      <w:pPr>
        <w:pStyle w:val="Heading2"/>
        <w:jc w:val="left"/>
        <w:rPr>
          <w:rFonts w:eastAsia="Arial"/>
          <w:sz w:val="28"/>
          <w:szCs w:val="28"/>
        </w:rPr>
      </w:pPr>
      <w:r w:rsidRPr="00C55F46">
        <w:rPr>
          <w:rFonts w:eastAsia="Arial"/>
          <w:sz w:val="28"/>
          <w:szCs w:val="28"/>
        </w:rPr>
        <w:t xml:space="preserve">Policy </w:t>
      </w:r>
      <w:r w:rsidR="00E56122" w:rsidRPr="00C55F46">
        <w:rPr>
          <w:rFonts w:eastAsia="Arial"/>
          <w:sz w:val="28"/>
          <w:szCs w:val="28"/>
        </w:rPr>
        <w:t>SH2: Local Shopping Centres, Shopping Parades and Single Shops</w:t>
      </w:r>
      <w:bookmarkEnd w:id="279"/>
      <w:bookmarkEnd w:id="280"/>
    </w:p>
    <w:p w14:paraId="08B498EC" w14:textId="77777777" w:rsidR="00E56122" w:rsidRPr="00E56122" w:rsidRDefault="00E56122" w:rsidP="00E56122">
      <w:pPr>
        <w:keepNext w:val="0"/>
        <w:spacing w:before="0"/>
        <w:rPr>
          <w:rFonts w:eastAsia="Arial" w:cs="Arial"/>
          <w:color w:val="auto"/>
        </w:rPr>
      </w:pPr>
      <w:bookmarkStart w:id="281" w:name="_Hlk80261956"/>
    </w:p>
    <w:tbl>
      <w:tblPr>
        <w:tblStyle w:val="TableGrid3"/>
        <w:tblW w:w="9634" w:type="dxa"/>
        <w:tblLook w:val="04A0" w:firstRow="1" w:lastRow="0" w:firstColumn="1" w:lastColumn="0" w:noHBand="0" w:noVBand="1"/>
      </w:tblPr>
      <w:tblGrid>
        <w:gridCol w:w="2263"/>
        <w:gridCol w:w="397"/>
        <w:gridCol w:w="6974"/>
      </w:tblGrid>
      <w:tr w:rsidR="00E56122" w:rsidRPr="00E56122" w14:paraId="32C08F83" w14:textId="77777777" w:rsidTr="00163F59">
        <w:trPr>
          <w:trHeight w:val="421"/>
        </w:trPr>
        <w:tc>
          <w:tcPr>
            <w:tcW w:w="9634" w:type="dxa"/>
            <w:gridSpan w:val="3"/>
          </w:tcPr>
          <w:p w14:paraId="06D23576" w14:textId="77777777" w:rsidR="00A56503" w:rsidRDefault="00A56503" w:rsidP="00FF3EAD">
            <w:pPr>
              <w:keepNext w:val="0"/>
              <w:tabs>
                <w:tab w:val="left" w:pos="680"/>
              </w:tabs>
              <w:spacing w:before="0"/>
              <w:jc w:val="left"/>
              <w:rPr>
                <w:rFonts w:eastAsia="Arial"/>
                <w:b/>
                <w:color w:val="auto"/>
                <w:spacing w:val="-1"/>
              </w:rPr>
            </w:pPr>
            <w:bookmarkStart w:id="282" w:name="_Hlk78784182"/>
          </w:p>
          <w:p w14:paraId="0E88DC65" w14:textId="77777777" w:rsidR="00E56122" w:rsidRDefault="00E56122" w:rsidP="00FF3EAD">
            <w:pPr>
              <w:keepNext w:val="0"/>
              <w:tabs>
                <w:tab w:val="left" w:pos="680"/>
              </w:tabs>
              <w:spacing w:before="0"/>
              <w:jc w:val="left"/>
              <w:rPr>
                <w:rFonts w:eastAsia="Arial"/>
                <w:b/>
                <w:color w:val="auto"/>
                <w:spacing w:val="-1"/>
              </w:rPr>
            </w:pPr>
            <w:r w:rsidRPr="00E56122">
              <w:rPr>
                <w:rFonts w:eastAsia="Arial"/>
                <w:b/>
                <w:color w:val="auto"/>
                <w:spacing w:val="-1"/>
              </w:rPr>
              <w:t xml:space="preserve">Policy SH2: </w:t>
            </w:r>
            <w:r w:rsidRPr="00301481">
              <w:rPr>
                <w:rFonts w:eastAsia="Arial"/>
                <w:b/>
                <w:color w:val="auto"/>
                <w:spacing w:val="-1"/>
              </w:rPr>
              <w:t>Local Shopping Centres, Shopping Parades and Single Shops</w:t>
            </w:r>
          </w:p>
          <w:p w14:paraId="135B5B0C" w14:textId="4959A12B" w:rsidR="00A56503" w:rsidRPr="00E56122" w:rsidRDefault="00A56503" w:rsidP="00FF3EAD">
            <w:pPr>
              <w:keepNext w:val="0"/>
              <w:tabs>
                <w:tab w:val="left" w:pos="680"/>
              </w:tabs>
              <w:spacing w:before="0"/>
              <w:jc w:val="left"/>
              <w:rPr>
                <w:rFonts w:eastAsia="Arial"/>
                <w:b/>
                <w:color w:val="auto"/>
                <w:spacing w:val="-1"/>
              </w:rPr>
            </w:pPr>
          </w:p>
        </w:tc>
      </w:tr>
      <w:tr w:rsidR="00E56122" w:rsidRPr="00E56122" w14:paraId="2398079B" w14:textId="77777777" w:rsidTr="00163F59">
        <w:tc>
          <w:tcPr>
            <w:tcW w:w="2660" w:type="dxa"/>
            <w:gridSpan w:val="2"/>
          </w:tcPr>
          <w:p w14:paraId="204E5841" w14:textId="77777777" w:rsidR="00E56122" w:rsidRPr="00A56503" w:rsidRDefault="00E56122" w:rsidP="00FF3EAD">
            <w:pPr>
              <w:keepNext w:val="0"/>
              <w:tabs>
                <w:tab w:val="left" w:pos="680"/>
              </w:tabs>
              <w:spacing w:before="0"/>
              <w:jc w:val="left"/>
              <w:rPr>
                <w:rFonts w:eastAsia="Arial"/>
                <w:bCs/>
                <w:color w:val="auto"/>
              </w:rPr>
            </w:pPr>
            <w:r w:rsidRPr="00A56503">
              <w:rPr>
                <w:rFonts w:eastAsia="Arial"/>
                <w:bCs/>
                <w:color w:val="auto"/>
              </w:rPr>
              <w:t>Strategic Objectives</w:t>
            </w:r>
          </w:p>
        </w:tc>
        <w:tc>
          <w:tcPr>
            <w:tcW w:w="6974" w:type="dxa"/>
          </w:tcPr>
          <w:p w14:paraId="789C69E9" w14:textId="77777777" w:rsidR="00E56122" w:rsidRPr="00A56503" w:rsidRDefault="00E56122" w:rsidP="00FF3EAD">
            <w:pPr>
              <w:keepNext w:val="0"/>
              <w:tabs>
                <w:tab w:val="left" w:pos="680"/>
              </w:tabs>
              <w:spacing w:before="40" w:after="40"/>
              <w:jc w:val="left"/>
              <w:rPr>
                <w:rFonts w:eastAsia="Arial"/>
                <w:bCs/>
                <w:color w:val="auto"/>
              </w:rPr>
            </w:pPr>
            <w:r w:rsidRPr="00A56503">
              <w:rPr>
                <w:rFonts w:eastAsia="Arial"/>
                <w:bCs/>
                <w:color w:val="auto"/>
              </w:rPr>
              <w:t>SO1, SO2, SO5, SO6, SO10.</w:t>
            </w:r>
          </w:p>
        </w:tc>
      </w:tr>
      <w:tr w:rsidR="00E56122" w:rsidRPr="00E56122" w14:paraId="4042E96A" w14:textId="77777777" w:rsidTr="00163F59">
        <w:tc>
          <w:tcPr>
            <w:tcW w:w="9634" w:type="dxa"/>
            <w:gridSpan w:val="3"/>
            <w:shd w:val="clear" w:color="auto" w:fill="E6A8A8"/>
          </w:tcPr>
          <w:p w14:paraId="1A6897CF" w14:textId="77777777" w:rsidR="00E56122" w:rsidRPr="009A3879" w:rsidRDefault="00E56122" w:rsidP="00FF3EAD">
            <w:pPr>
              <w:keepNext w:val="0"/>
              <w:tabs>
                <w:tab w:val="left" w:pos="680"/>
                <w:tab w:val="left" w:pos="1133"/>
                <w:tab w:val="left" w:pos="2267"/>
              </w:tabs>
              <w:spacing w:before="0"/>
              <w:ind w:left="360" w:right="284"/>
              <w:jc w:val="left"/>
              <w:rPr>
                <w:rFonts w:eastAsia="Arial" w:cs="Arial"/>
                <w:bCs/>
                <w:color w:val="auto"/>
                <w:szCs w:val="24"/>
              </w:rPr>
            </w:pPr>
          </w:p>
          <w:p w14:paraId="3247F547" w14:textId="1CCE1C0C" w:rsidR="009A3879" w:rsidRPr="009A3879" w:rsidRDefault="009A3879" w:rsidP="00FF3EAD">
            <w:pPr>
              <w:keepNext w:val="0"/>
              <w:tabs>
                <w:tab w:val="left" w:pos="680"/>
                <w:tab w:val="left" w:pos="1133"/>
                <w:tab w:val="left" w:pos="2267"/>
              </w:tabs>
              <w:spacing w:before="0"/>
              <w:ind w:left="360" w:right="284"/>
              <w:jc w:val="left"/>
              <w:rPr>
                <w:rFonts w:eastAsia="Arial" w:cs="Arial"/>
                <w:b/>
                <w:color w:val="auto"/>
                <w:szCs w:val="24"/>
              </w:rPr>
            </w:pPr>
            <w:r w:rsidRPr="009A3879">
              <w:rPr>
                <w:rFonts w:eastAsia="Arial" w:cs="Arial"/>
                <w:b/>
                <w:color w:val="auto"/>
                <w:szCs w:val="24"/>
              </w:rPr>
              <w:t>Local Shopping Centres</w:t>
            </w:r>
          </w:p>
          <w:p w14:paraId="44ED29D8" w14:textId="77777777" w:rsidR="009A3879" w:rsidRPr="009A3879" w:rsidRDefault="009A3879" w:rsidP="00FF3EAD">
            <w:pPr>
              <w:keepNext w:val="0"/>
              <w:tabs>
                <w:tab w:val="left" w:pos="680"/>
                <w:tab w:val="left" w:pos="1133"/>
                <w:tab w:val="left" w:pos="2267"/>
              </w:tabs>
              <w:spacing w:before="0"/>
              <w:ind w:left="360" w:right="284"/>
              <w:jc w:val="left"/>
              <w:rPr>
                <w:rFonts w:eastAsia="Arial" w:cs="Arial"/>
                <w:bCs/>
                <w:color w:val="auto"/>
                <w:szCs w:val="24"/>
              </w:rPr>
            </w:pPr>
          </w:p>
          <w:p w14:paraId="39949327" w14:textId="1AB8383E" w:rsidR="00E56122" w:rsidRPr="009A3879" w:rsidRDefault="00E56122" w:rsidP="00874A98">
            <w:pPr>
              <w:keepNext w:val="0"/>
              <w:numPr>
                <w:ilvl w:val="0"/>
                <w:numId w:val="170"/>
              </w:numPr>
              <w:tabs>
                <w:tab w:val="left" w:pos="680"/>
                <w:tab w:val="left" w:pos="1133"/>
                <w:tab w:val="left" w:pos="2267"/>
              </w:tabs>
              <w:spacing w:before="0"/>
              <w:ind w:right="284"/>
              <w:jc w:val="left"/>
              <w:rPr>
                <w:rFonts w:eastAsia="Arial" w:cs="Arial"/>
                <w:bCs/>
                <w:color w:val="auto"/>
                <w:szCs w:val="24"/>
              </w:rPr>
            </w:pPr>
            <w:r w:rsidRPr="009A3879">
              <w:rPr>
                <w:rFonts w:eastAsia="Arial" w:cs="Arial"/>
                <w:bCs/>
                <w:color w:val="auto"/>
                <w:szCs w:val="24"/>
              </w:rPr>
              <w:t xml:space="preserve">Local Shopping Centres </w:t>
            </w:r>
            <w:r w:rsidR="00D31BE3" w:rsidRPr="009A3879">
              <w:rPr>
                <w:rFonts w:eastAsia="Arial" w:cs="Arial"/>
                <w:bCs/>
                <w:color w:val="auto"/>
                <w:szCs w:val="24"/>
              </w:rPr>
              <w:t xml:space="preserve">are </w:t>
            </w:r>
            <w:r w:rsidRPr="009A3879">
              <w:rPr>
                <w:rFonts w:eastAsia="Arial" w:cs="Arial"/>
                <w:bCs/>
                <w:color w:val="auto"/>
                <w:szCs w:val="24"/>
              </w:rPr>
              <w:t xml:space="preserve">set out below and </w:t>
            </w:r>
            <w:r w:rsidR="008C4052" w:rsidRPr="009A3879">
              <w:rPr>
                <w:rFonts w:eastAsia="Arial" w:cs="Arial"/>
                <w:bCs/>
                <w:color w:val="auto"/>
                <w:szCs w:val="24"/>
              </w:rPr>
              <w:t xml:space="preserve">identified </w:t>
            </w:r>
            <w:r w:rsidRPr="009A3879">
              <w:rPr>
                <w:rFonts w:eastAsia="Arial" w:cs="Arial"/>
                <w:bCs/>
                <w:color w:val="auto"/>
                <w:szCs w:val="24"/>
              </w:rPr>
              <w:t>on the Policies Maps:</w:t>
            </w:r>
          </w:p>
          <w:p w14:paraId="1A25E3D3" w14:textId="2D16D9E4" w:rsidR="00E56122" w:rsidRPr="009A3879" w:rsidRDefault="00E56122" w:rsidP="00204573">
            <w:pPr>
              <w:keepNext w:val="0"/>
              <w:tabs>
                <w:tab w:val="left" w:pos="680"/>
              </w:tabs>
              <w:spacing w:before="0" w:after="160" w:line="252" w:lineRule="auto"/>
              <w:contextualSpacing/>
              <w:jc w:val="left"/>
              <w:rPr>
                <w:rFonts w:eastAsia="Arial" w:cs="Arial"/>
                <w:bCs/>
                <w:strike/>
                <w:color w:val="auto"/>
                <w:szCs w:val="24"/>
              </w:rPr>
            </w:pPr>
          </w:p>
          <w:p w14:paraId="359B2452" w14:textId="77777777" w:rsidR="00D31BE3" w:rsidRPr="005A0FAE" w:rsidRDefault="00D31BE3" w:rsidP="00D31BE3">
            <w:pPr>
              <w:keepNext w:val="0"/>
              <w:tabs>
                <w:tab w:val="left" w:pos="680"/>
              </w:tabs>
              <w:spacing w:before="0"/>
              <w:ind w:left="360"/>
              <w:jc w:val="left"/>
              <w:rPr>
                <w:rFonts w:eastAsia="Arial" w:cs="Arial"/>
                <w:b/>
                <w:i/>
                <w:iCs/>
                <w:color w:val="auto"/>
                <w:szCs w:val="24"/>
              </w:rPr>
            </w:pPr>
            <w:r w:rsidRPr="005A0FAE">
              <w:rPr>
                <w:rFonts w:eastAsia="Arial" w:cs="Arial"/>
                <w:b/>
                <w:i/>
                <w:iCs/>
                <w:color w:val="auto"/>
                <w:szCs w:val="24"/>
              </w:rPr>
              <w:t>Hucknall</w:t>
            </w:r>
          </w:p>
          <w:p w14:paraId="1BCD3947" w14:textId="50AD002B" w:rsidR="00D31BE3" w:rsidRPr="009A3879" w:rsidRDefault="00D31BE3" w:rsidP="00D31BE3">
            <w:pPr>
              <w:keepNext w:val="0"/>
              <w:tabs>
                <w:tab w:val="left" w:pos="680"/>
              </w:tabs>
              <w:spacing w:before="0"/>
              <w:ind w:left="360"/>
              <w:jc w:val="left"/>
              <w:rPr>
                <w:rFonts w:eastAsia="Arial" w:cs="Arial"/>
                <w:bCs/>
                <w:color w:val="auto"/>
                <w:szCs w:val="24"/>
              </w:rPr>
            </w:pPr>
            <w:r w:rsidRPr="009A3879">
              <w:rPr>
                <w:rFonts w:eastAsia="Arial" w:cs="Arial"/>
                <w:bCs/>
                <w:color w:val="auto"/>
                <w:szCs w:val="24"/>
              </w:rPr>
              <w:t>SH2 Ha Annesley Road.</w:t>
            </w:r>
          </w:p>
          <w:p w14:paraId="7D7E6E41" w14:textId="17EC4E3C" w:rsidR="00D31BE3" w:rsidRPr="009A3879" w:rsidRDefault="00D31BE3" w:rsidP="00D31BE3">
            <w:pPr>
              <w:keepNext w:val="0"/>
              <w:tabs>
                <w:tab w:val="left" w:pos="680"/>
              </w:tabs>
              <w:spacing w:before="0"/>
              <w:ind w:left="360"/>
              <w:jc w:val="left"/>
              <w:rPr>
                <w:rFonts w:eastAsia="Arial" w:cs="Arial"/>
                <w:bCs/>
                <w:color w:val="auto"/>
                <w:szCs w:val="24"/>
              </w:rPr>
            </w:pPr>
            <w:r w:rsidRPr="009A3879">
              <w:rPr>
                <w:rFonts w:eastAsia="Arial" w:cs="Arial"/>
                <w:bCs/>
                <w:color w:val="auto"/>
                <w:szCs w:val="24"/>
              </w:rPr>
              <w:t xml:space="preserve">SH2 Hb </w:t>
            </w:r>
            <w:proofErr w:type="spellStart"/>
            <w:r w:rsidRPr="009A3879">
              <w:rPr>
                <w:rFonts w:eastAsia="Arial" w:cs="Arial"/>
                <w:bCs/>
                <w:color w:val="auto"/>
                <w:szCs w:val="24"/>
              </w:rPr>
              <w:t>Watnall</w:t>
            </w:r>
            <w:proofErr w:type="spellEnd"/>
            <w:r w:rsidRPr="009A3879">
              <w:rPr>
                <w:rFonts w:eastAsia="Arial" w:cs="Arial"/>
                <w:bCs/>
                <w:color w:val="auto"/>
                <w:szCs w:val="24"/>
              </w:rPr>
              <w:t xml:space="preserve"> Road.</w:t>
            </w:r>
          </w:p>
          <w:p w14:paraId="2C3F8FAD" w14:textId="77777777" w:rsidR="00D31BE3" w:rsidRPr="009A3879" w:rsidRDefault="00D31BE3" w:rsidP="00D31BE3">
            <w:pPr>
              <w:keepNext w:val="0"/>
              <w:tabs>
                <w:tab w:val="left" w:pos="680"/>
              </w:tabs>
              <w:spacing w:before="0"/>
              <w:ind w:left="360"/>
              <w:jc w:val="left"/>
              <w:rPr>
                <w:rFonts w:eastAsia="Arial" w:cs="Arial"/>
                <w:bCs/>
                <w:color w:val="auto"/>
                <w:szCs w:val="24"/>
              </w:rPr>
            </w:pPr>
          </w:p>
          <w:p w14:paraId="56031F0C" w14:textId="77777777" w:rsidR="00D31BE3" w:rsidRPr="005A0FAE" w:rsidRDefault="00D31BE3" w:rsidP="00D31BE3">
            <w:pPr>
              <w:keepNext w:val="0"/>
              <w:tabs>
                <w:tab w:val="left" w:pos="680"/>
              </w:tabs>
              <w:spacing w:before="0"/>
              <w:ind w:left="360"/>
              <w:jc w:val="left"/>
              <w:rPr>
                <w:rFonts w:eastAsia="Arial" w:cs="Arial"/>
                <w:b/>
                <w:color w:val="auto"/>
                <w:szCs w:val="24"/>
              </w:rPr>
            </w:pPr>
            <w:r w:rsidRPr="005A0FAE">
              <w:rPr>
                <w:rFonts w:eastAsia="Arial" w:cs="Arial"/>
                <w:b/>
                <w:color w:val="auto"/>
                <w:szCs w:val="24"/>
              </w:rPr>
              <w:t>Kirkby-in-Ashfield</w:t>
            </w:r>
          </w:p>
          <w:p w14:paraId="23686DA5" w14:textId="00DF6364" w:rsidR="00D31BE3" w:rsidRPr="009A3879" w:rsidRDefault="00D31BE3" w:rsidP="00D31BE3">
            <w:pPr>
              <w:keepNext w:val="0"/>
              <w:tabs>
                <w:tab w:val="left" w:pos="680"/>
              </w:tabs>
              <w:spacing w:before="0"/>
              <w:ind w:left="360"/>
              <w:jc w:val="left"/>
              <w:rPr>
                <w:rFonts w:eastAsia="Arial" w:cs="Arial"/>
                <w:bCs/>
                <w:color w:val="auto"/>
                <w:szCs w:val="24"/>
              </w:rPr>
            </w:pPr>
            <w:r w:rsidRPr="009A3879">
              <w:rPr>
                <w:rFonts w:eastAsia="Arial" w:cs="Arial"/>
                <w:bCs/>
                <w:color w:val="auto"/>
                <w:szCs w:val="24"/>
              </w:rPr>
              <w:t>SH2 Ka Forest Road, Annesley Woodhouse.</w:t>
            </w:r>
          </w:p>
          <w:p w14:paraId="42A41724" w14:textId="77777777" w:rsidR="00D31BE3" w:rsidRPr="009A3879" w:rsidRDefault="00D31BE3" w:rsidP="00D31BE3">
            <w:pPr>
              <w:keepNext w:val="0"/>
              <w:tabs>
                <w:tab w:val="left" w:pos="680"/>
              </w:tabs>
              <w:spacing w:before="0"/>
              <w:ind w:left="360"/>
              <w:jc w:val="left"/>
              <w:rPr>
                <w:rFonts w:eastAsia="Arial" w:cs="Arial"/>
                <w:bCs/>
                <w:color w:val="auto"/>
                <w:szCs w:val="24"/>
              </w:rPr>
            </w:pPr>
          </w:p>
          <w:p w14:paraId="1318DDC3" w14:textId="78432309" w:rsidR="00D31BE3" w:rsidRPr="005A0FAE" w:rsidRDefault="00D31BE3" w:rsidP="00D31BE3">
            <w:pPr>
              <w:keepNext w:val="0"/>
              <w:tabs>
                <w:tab w:val="left" w:pos="680"/>
              </w:tabs>
              <w:spacing w:before="0"/>
              <w:ind w:left="360"/>
              <w:jc w:val="left"/>
              <w:rPr>
                <w:rFonts w:eastAsia="Arial" w:cs="Arial"/>
                <w:b/>
                <w:i/>
                <w:iCs/>
                <w:color w:val="auto"/>
                <w:szCs w:val="24"/>
              </w:rPr>
            </w:pPr>
            <w:r w:rsidRPr="005A0FAE">
              <w:rPr>
                <w:rFonts w:eastAsia="Arial" w:cs="Arial"/>
                <w:b/>
                <w:i/>
                <w:iCs/>
                <w:color w:val="auto"/>
                <w:szCs w:val="24"/>
              </w:rPr>
              <w:t>Sutton in Ashfield</w:t>
            </w:r>
          </w:p>
          <w:p w14:paraId="45703BD1" w14:textId="72C66139" w:rsidR="00D31BE3" w:rsidRPr="009A3879" w:rsidRDefault="00D31BE3" w:rsidP="00D31BE3">
            <w:pPr>
              <w:keepNext w:val="0"/>
              <w:tabs>
                <w:tab w:val="left" w:pos="680"/>
              </w:tabs>
              <w:spacing w:before="0"/>
              <w:ind w:left="360"/>
              <w:jc w:val="left"/>
              <w:rPr>
                <w:rFonts w:eastAsia="Arial" w:cs="Arial"/>
                <w:bCs/>
                <w:color w:val="auto"/>
                <w:szCs w:val="24"/>
              </w:rPr>
            </w:pPr>
            <w:r w:rsidRPr="009A3879">
              <w:rPr>
                <w:rFonts w:eastAsia="Arial" w:cs="Arial"/>
                <w:bCs/>
                <w:color w:val="auto"/>
                <w:szCs w:val="24"/>
              </w:rPr>
              <w:t>SH2 Sa Outram Street.</w:t>
            </w:r>
          </w:p>
          <w:p w14:paraId="60C5C412" w14:textId="3F8CBD7F" w:rsidR="00D31BE3" w:rsidRPr="009A3879" w:rsidRDefault="00D31BE3" w:rsidP="00D31BE3">
            <w:pPr>
              <w:keepNext w:val="0"/>
              <w:tabs>
                <w:tab w:val="left" w:pos="680"/>
              </w:tabs>
              <w:spacing w:before="0"/>
              <w:ind w:left="360"/>
              <w:jc w:val="left"/>
              <w:rPr>
                <w:rFonts w:eastAsia="Arial" w:cs="Arial"/>
                <w:bCs/>
                <w:color w:val="auto"/>
                <w:szCs w:val="24"/>
              </w:rPr>
            </w:pPr>
            <w:r w:rsidRPr="009A3879">
              <w:rPr>
                <w:rFonts w:eastAsia="Arial" w:cs="Arial"/>
                <w:bCs/>
                <w:color w:val="auto"/>
                <w:szCs w:val="24"/>
              </w:rPr>
              <w:t>SH2 Sb Huthwaite Market Place.</w:t>
            </w:r>
          </w:p>
          <w:p w14:paraId="7E900902" w14:textId="30D1B3F5" w:rsidR="00D31BE3" w:rsidRPr="009A3879" w:rsidRDefault="00D31BE3" w:rsidP="00D31BE3">
            <w:pPr>
              <w:keepNext w:val="0"/>
              <w:tabs>
                <w:tab w:val="left" w:pos="680"/>
              </w:tabs>
              <w:spacing w:before="0"/>
              <w:ind w:left="360"/>
              <w:jc w:val="left"/>
              <w:rPr>
                <w:rFonts w:eastAsia="Arial" w:cs="Arial"/>
                <w:bCs/>
                <w:color w:val="auto"/>
                <w:szCs w:val="24"/>
              </w:rPr>
            </w:pPr>
            <w:r w:rsidRPr="009A3879">
              <w:rPr>
                <w:rFonts w:eastAsia="Arial" w:cs="Arial"/>
                <w:bCs/>
                <w:color w:val="auto"/>
                <w:szCs w:val="24"/>
              </w:rPr>
              <w:t>SH2 Sc High Street, Stanton Hill.</w:t>
            </w:r>
          </w:p>
          <w:p w14:paraId="07B1C9CB" w14:textId="77777777" w:rsidR="00D31BE3" w:rsidRPr="009A3879" w:rsidRDefault="00D31BE3" w:rsidP="00D31BE3">
            <w:pPr>
              <w:keepNext w:val="0"/>
              <w:tabs>
                <w:tab w:val="left" w:pos="680"/>
              </w:tabs>
              <w:spacing w:before="0"/>
              <w:ind w:left="360"/>
              <w:jc w:val="left"/>
              <w:rPr>
                <w:rFonts w:eastAsia="Arial" w:cs="Arial"/>
                <w:bCs/>
                <w:color w:val="auto"/>
                <w:szCs w:val="24"/>
              </w:rPr>
            </w:pPr>
          </w:p>
          <w:p w14:paraId="25EA92A3" w14:textId="2D6B05ED" w:rsidR="00D31BE3" w:rsidRPr="005A0FAE" w:rsidRDefault="00D31BE3" w:rsidP="00D31BE3">
            <w:pPr>
              <w:keepNext w:val="0"/>
              <w:tabs>
                <w:tab w:val="left" w:pos="680"/>
              </w:tabs>
              <w:spacing w:before="0"/>
              <w:ind w:left="360"/>
              <w:jc w:val="left"/>
              <w:rPr>
                <w:rFonts w:eastAsia="Arial" w:cs="Arial"/>
                <w:b/>
                <w:i/>
                <w:iCs/>
                <w:color w:val="auto"/>
                <w:szCs w:val="24"/>
              </w:rPr>
            </w:pPr>
            <w:proofErr w:type="spellStart"/>
            <w:r w:rsidRPr="005A0FAE">
              <w:rPr>
                <w:rFonts w:eastAsia="Arial" w:cs="Arial"/>
                <w:b/>
                <w:i/>
                <w:iCs/>
                <w:color w:val="auto"/>
                <w:szCs w:val="24"/>
              </w:rPr>
              <w:t>Jacksdale</w:t>
            </w:r>
            <w:proofErr w:type="spellEnd"/>
          </w:p>
          <w:p w14:paraId="0CC7A736" w14:textId="66868730" w:rsidR="00D31BE3" w:rsidRPr="009A3879" w:rsidRDefault="00D31BE3" w:rsidP="00D31BE3">
            <w:pPr>
              <w:keepNext w:val="0"/>
              <w:tabs>
                <w:tab w:val="left" w:pos="680"/>
              </w:tabs>
              <w:spacing w:before="0"/>
              <w:ind w:left="360"/>
              <w:jc w:val="left"/>
              <w:rPr>
                <w:rFonts w:eastAsia="Arial" w:cs="Arial"/>
                <w:bCs/>
                <w:color w:val="auto"/>
                <w:szCs w:val="24"/>
              </w:rPr>
            </w:pPr>
            <w:r w:rsidRPr="009A3879">
              <w:rPr>
                <w:rFonts w:eastAsia="Arial" w:cs="Arial"/>
                <w:bCs/>
                <w:color w:val="auto"/>
                <w:szCs w:val="24"/>
              </w:rPr>
              <w:t>SH2 Ja Village Centre.</w:t>
            </w:r>
          </w:p>
          <w:p w14:paraId="2DAD85F9" w14:textId="77777777" w:rsidR="00D31BE3" w:rsidRPr="009A3879" w:rsidRDefault="00D31BE3" w:rsidP="00D31BE3">
            <w:pPr>
              <w:keepNext w:val="0"/>
              <w:tabs>
                <w:tab w:val="left" w:pos="680"/>
              </w:tabs>
              <w:spacing w:before="0"/>
              <w:ind w:left="360"/>
              <w:jc w:val="left"/>
              <w:rPr>
                <w:rFonts w:eastAsia="Arial" w:cs="Arial"/>
                <w:bCs/>
                <w:color w:val="auto"/>
                <w:szCs w:val="24"/>
              </w:rPr>
            </w:pPr>
          </w:p>
          <w:p w14:paraId="6AC4F322" w14:textId="77777777" w:rsidR="00E56122" w:rsidRPr="009A3879" w:rsidRDefault="00E56122" w:rsidP="00874A98">
            <w:pPr>
              <w:keepNext w:val="0"/>
              <w:numPr>
                <w:ilvl w:val="0"/>
                <w:numId w:val="170"/>
              </w:numPr>
              <w:tabs>
                <w:tab w:val="left" w:pos="680"/>
                <w:tab w:val="left" w:pos="1133"/>
                <w:tab w:val="left" w:pos="2267"/>
              </w:tabs>
              <w:spacing w:before="0"/>
              <w:ind w:left="357" w:right="284" w:hanging="357"/>
              <w:jc w:val="left"/>
              <w:rPr>
                <w:rFonts w:eastAsia="Arial" w:cs="Arial"/>
                <w:bCs/>
                <w:color w:val="auto"/>
                <w:szCs w:val="24"/>
              </w:rPr>
            </w:pPr>
            <w:r w:rsidRPr="009A3879">
              <w:rPr>
                <w:rFonts w:eastAsia="Arial" w:cs="Arial"/>
                <w:bCs/>
                <w:color w:val="auto"/>
                <w:szCs w:val="24"/>
              </w:rPr>
              <w:t>The Council will support well designed town centre uses</w:t>
            </w:r>
            <w:r w:rsidRPr="009A3879">
              <w:rPr>
                <w:rFonts w:eastAsia="Arial" w:cs="Arial"/>
                <w:bCs/>
                <w:color w:val="auto"/>
                <w:szCs w:val="24"/>
                <w:vertAlign w:val="superscript"/>
              </w:rPr>
              <w:t>1</w:t>
            </w:r>
            <w:r w:rsidRPr="009A3879">
              <w:rPr>
                <w:rFonts w:eastAsia="Arial" w:cs="Arial"/>
                <w:bCs/>
                <w:color w:val="auto"/>
                <w:szCs w:val="24"/>
              </w:rPr>
              <w:t xml:space="preserve"> in Local Shopping Centres provided that:</w:t>
            </w:r>
            <w:r w:rsidRPr="009A3879">
              <w:rPr>
                <w:rFonts w:eastAsia="Arial" w:cs="Arial"/>
                <w:bCs/>
                <w:color w:val="auto"/>
                <w:szCs w:val="24"/>
              </w:rPr>
              <w:cr/>
            </w:r>
          </w:p>
          <w:p w14:paraId="20B053A4" w14:textId="77777777" w:rsidR="00E56122" w:rsidRPr="009A3879" w:rsidRDefault="00E56122" w:rsidP="00874A98">
            <w:pPr>
              <w:keepNext w:val="0"/>
              <w:numPr>
                <w:ilvl w:val="0"/>
                <w:numId w:val="172"/>
              </w:numPr>
              <w:tabs>
                <w:tab w:val="left" w:pos="1133"/>
                <w:tab w:val="left" w:pos="2267"/>
              </w:tabs>
              <w:spacing w:before="0" w:after="160" w:line="252" w:lineRule="auto"/>
              <w:ind w:right="284"/>
              <w:contextualSpacing/>
              <w:jc w:val="left"/>
              <w:rPr>
                <w:rFonts w:eastAsia="Arial" w:cs="Arial"/>
                <w:bCs/>
                <w:color w:val="auto"/>
                <w:szCs w:val="24"/>
              </w:rPr>
            </w:pPr>
            <w:r w:rsidRPr="009A3879">
              <w:rPr>
                <w:rFonts w:cs="Arial"/>
                <w:bCs/>
                <w:color w:val="auto"/>
                <w:szCs w:val="24"/>
              </w:rPr>
              <w:t xml:space="preserve">It is of a scale and character which reflects the role, function and distinctive qualities of the local centre; </w:t>
            </w:r>
          </w:p>
          <w:p w14:paraId="278590D3" w14:textId="2EC20B0A" w:rsidR="00E56122" w:rsidRPr="009A3879" w:rsidRDefault="00E56122" w:rsidP="00874A98">
            <w:pPr>
              <w:keepNext w:val="0"/>
              <w:numPr>
                <w:ilvl w:val="0"/>
                <w:numId w:val="172"/>
              </w:numPr>
              <w:tabs>
                <w:tab w:val="left" w:pos="1133"/>
                <w:tab w:val="left" w:pos="2267"/>
              </w:tabs>
              <w:spacing w:before="0"/>
              <w:ind w:right="284"/>
              <w:contextualSpacing/>
              <w:jc w:val="left"/>
              <w:rPr>
                <w:rFonts w:eastAsia="Arial" w:cs="Arial"/>
                <w:bCs/>
                <w:color w:val="auto"/>
                <w:szCs w:val="24"/>
              </w:rPr>
            </w:pPr>
            <w:r w:rsidRPr="009A3879">
              <w:rPr>
                <w:rFonts w:eastAsia="Arial" w:cs="Arial"/>
                <w:bCs/>
                <w:color w:val="auto"/>
                <w:szCs w:val="24"/>
              </w:rPr>
              <w:t>It would have a positive effect and not harm the health, vitality and viability of the local centre</w:t>
            </w:r>
            <w:r w:rsidR="00B56368" w:rsidRPr="009A3879">
              <w:rPr>
                <w:rFonts w:eastAsia="Arial" w:cs="Arial"/>
                <w:bCs/>
                <w:color w:val="auto"/>
                <w:szCs w:val="24"/>
              </w:rPr>
              <w:t>.</w:t>
            </w:r>
          </w:p>
          <w:p w14:paraId="4A11A4C0" w14:textId="77777777" w:rsidR="00E56122" w:rsidRPr="009A3879" w:rsidRDefault="00E56122" w:rsidP="00FF3EAD">
            <w:pPr>
              <w:keepNext w:val="0"/>
              <w:tabs>
                <w:tab w:val="left" w:pos="680"/>
                <w:tab w:val="left" w:pos="1133"/>
                <w:tab w:val="left" w:pos="2267"/>
              </w:tabs>
              <w:spacing w:before="0"/>
              <w:ind w:right="284"/>
              <w:jc w:val="left"/>
              <w:rPr>
                <w:rFonts w:eastAsia="Arial" w:cs="Arial"/>
                <w:bCs/>
                <w:color w:val="auto"/>
                <w:szCs w:val="24"/>
              </w:rPr>
            </w:pPr>
          </w:p>
          <w:p w14:paraId="5D3FFD43" w14:textId="0800F1F2" w:rsidR="00A457BC" w:rsidRPr="009A3879" w:rsidRDefault="00A457BC" w:rsidP="00874A98">
            <w:pPr>
              <w:keepNext w:val="0"/>
              <w:numPr>
                <w:ilvl w:val="0"/>
                <w:numId w:val="170"/>
              </w:numPr>
              <w:tabs>
                <w:tab w:val="left" w:pos="680"/>
                <w:tab w:val="left" w:pos="1133"/>
                <w:tab w:val="left" w:pos="2267"/>
              </w:tabs>
              <w:spacing w:before="0"/>
              <w:ind w:right="284"/>
              <w:jc w:val="left"/>
              <w:rPr>
                <w:rFonts w:eastAsia="Arial" w:cs="Arial"/>
                <w:bCs/>
                <w:color w:val="auto"/>
                <w:szCs w:val="24"/>
              </w:rPr>
            </w:pPr>
            <w:r w:rsidRPr="009A3879">
              <w:rPr>
                <w:rFonts w:eastAsia="Arial" w:cs="Arial"/>
                <w:bCs/>
                <w:color w:val="auto"/>
                <w:szCs w:val="24"/>
              </w:rPr>
              <w:lastRenderedPageBreak/>
              <w:t>The change of use of ground floor retail/commercial units to residential use will only be supported where:</w:t>
            </w:r>
          </w:p>
          <w:p w14:paraId="2FD12558" w14:textId="7AE3E4C7" w:rsidR="00E56122" w:rsidRPr="009A3879" w:rsidRDefault="00E56122" w:rsidP="00FF3EAD">
            <w:pPr>
              <w:keepNext w:val="0"/>
              <w:tabs>
                <w:tab w:val="left" w:pos="680"/>
                <w:tab w:val="left" w:pos="1133"/>
                <w:tab w:val="left" w:pos="2267"/>
              </w:tabs>
              <w:spacing w:before="0"/>
              <w:ind w:right="284"/>
              <w:jc w:val="left"/>
              <w:rPr>
                <w:rFonts w:eastAsia="Arial" w:cs="Arial"/>
                <w:bCs/>
                <w:color w:val="auto"/>
                <w:szCs w:val="24"/>
              </w:rPr>
            </w:pPr>
          </w:p>
          <w:p w14:paraId="0592648F" w14:textId="77777777" w:rsidR="00E56122" w:rsidRPr="009A3879" w:rsidRDefault="00E56122" w:rsidP="00874A98">
            <w:pPr>
              <w:keepNext w:val="0"/>
              <w:numPr>
                <w:ilvl w:val="0"/>
                <w:numId w:val="173"/>
              </w:numPr>
              <w:tabs>
                <w:tab w:val="left" w:pos="1133"/>
                <w:tab w:val="left" w:pos="2267"/>
              </w:tabs>
              <w:spacing w:before="0"/>
              <w:ind w:right="284"/>
              <w:contextualSpacing/>
              <w:jc w:val="left"/>
              <w:rPr>
                <w:rFonts w:eastAsia="Arial" w:cs="Arial"/>
                <w:bCs/>
                <w:color w:val="auto"/>
                <w:szCs w:val="24"/>
              </w:rPr>
            </w:pPr>
            <w:r w:rsidRPr="009A3879">
              <w:rPr>
                <w:rFonts w:eastAsia="Arial" w:cs="Arial"/>
                <w:bCs/>
                <w:color w:val="auto"/>
                <w:szCs w:val="24"/>
              </w:rPr>
              <w:t>It is appropriately sited and designed so as not to impact on the street scene or create conflict between users;</w:t>
            </w:r>
          </w:p>
          <w:p w14:paraId="5C286F48" w14:textId="77777777" w:rsidR="00E56122" w:rsidRPr="009A3879" w:rsidRDefault="00E56122" w:rsidP="00874A98">
            <w:pPr>
              <w:keepNext w:val="0"/>
              <w:numPr>
                <w:ilvl w:val="0"/>
                <w:numId w:val="173"/>
              </w:numPr>
              <w:tabs>
                <w:tab w:val="left" w:pos="680"/>
                <w:tab w:val="left" w:pos="1133"/>
                <w:tab w:val="left" w:pos="2267"/>
              </w:tabs>
              <w:spacing w:before="0" w:after="160" w:line="252" w:lineRule="auto"/>
              <w:ind w:right="284"/>
              <w:contextualSpacing/>
              <w:jc w:val="left"/>
              <w:rPr>
                <w:rFonts w:eastAsia="Arial" w:cs="Arial"/>
                <w:bCs/>
                <w:color w:val="auto"/>
                <w:szCs w:val="24"/>
              </w:rPr>
            </w:pPr>
            <w:r w:rsidRPr="009A3879">
              <w:rPr>
                <w:rFonts w:eastAsia="Arial" w:cs="Arial"/>
                <w:bCs/>
                <w:color w:val="auto"/>
                <w:szCs w:val="24"/>
              </w:rPr>
              <w:t>It will not negate the role of the local centre in providing a range of goods and services;</w:t>
            </w:r>
          </w:p>
          <w:p w14:paraId="65C198E8" w14:textId="77777777" w:rsidR="00A457BC" w:rsidRPr="009A3879" w:rsidRDefault="00E56122" w:rsidP="00874A98">
            <w:pPr>
              <w:keepNext w:val="0"/>
              <w:numPr>
                <w:ilvl w:val="0"/>
                <w:numId w:val="173"/>
              </w:numPr>
              <w:tabs>
                <w:tab w:val="left" w:pos="1133"/>
                <w:tab w:val="left" w:pos="2267"/>
              </w:tabs>
              <w:spacing w:before="0" w:after="160" w:line="252" w:lineRule="auto"/>
              <w:ind w:right="284"/>
              <w:contextualSpacing/>
              <w:jc w:val="left"/>
              <w:rPr>
                <w:rFonts w:eastAsia="Arial" w:cs="Arial"/>
                <w:bCs/>
                <w:color w:val="auto"/>
                <w:szCs w:val="24"/>
              </w:rPr>
            </w:pPr>
            <w:r w:rsidRPr="009A3879">
              <w:rPr>
                <w:rFonts w:eastAsia="Arial" w:cs="Arial"/>
                <w:bCs/>
                <w:color w:val="auto"/>
                <w:szCs w:val="24"/>
              </w:rPr>
              <w:t>It can be demonstrated there is a lack of demand for the unit for town centre uses.</w:t>
            </w:r>
          </w:p>
          <w:p w14:paraId="7B0F4D6B" w14:textId="0DFA4EEE" w:rsidR="00E56122" w:rsidRPr="009A3879" w:rsidRDefault="00A457BC" w:rsidP="00874A98">
            <w:pPr>
              <w:keepNext w:val="0"/>
              <w:numPr>
                <w:ilvl w:val="0"/>
                <w:numId w:val="173"/>
              </w:numPr>
              <w:tabs>
                <w:tab w:val="left" w:pos="1133"/>
                <w:tab w:val="left" w:pos="2267"/>
              </w:tabs>
              <w:spacing w:before="0" w:after="160" w:line="252" w:lineRule="auto"/>
              <w:ind w:right="284"/>
              <w:contextualSpacing/>
              <w:jc w:val="left"/>
              <w:rPr>
                <w:rFonts w:eastAsia="Arial" w:cs="Arial"/>
                <w:bCs/>
                <w:color w:val="auto"/>
                <w:szCs w:val="24"/>
              </w:rPr>
            </w:pPr>
            <w:r w:rsidRPr="009A3879">
              <w:rPr>
                <w:rFonts w:eastAsia="Arial" w:cs="Arial"/>
                <w:bCs/>
                <w:color w:val="auto"/>
                <w:szCs w:val="24"/>
              </w:rPr>
              <w:t>The dwelling will be consistent with other policies and standards relating to housing and design.</w:t>
            </w:r>
          </w:p>
          <w:p w14:paraId="76D81684" w14:textId="77777777" w:rsidR="00A457BC" w:rsidRPr="009A3879" w:rsidRDefault="00A457BC" w:rsidP="00FF3EAD">
            <w:pPr>
              <w:keepNext w:val="0"/>
              <w:tabs>
                <w:tab w:val="left" w:pos="1133"/>
                <w:tab w:val="left" w:pos="2267"/>
              </w:tabs>
              <w:spacing w:before="0" w:after="160" w:line="252" w:lineRule="auto"/>
              <w:ind w:left="720" w:right="284"/>
              <w:contextualSpacing/>
              <w:jc w:val="left"/>
              <w:rPr>
                <w:rFonts w:eastAsia="Arial" w:cs="Arial"/>
                <w:bCs/>
                <w:color w:val="auto"/>
                <w:szCs w:val="24"/>
              </w:rPr>
            </w:pPr>
          </w:p>
          <w:p w14:paraId="1519FE1B" w14:textId="52D046EC" w:rsidR="00E56122" w:rsidRPr="009A3879" w:rsidRDefault="00E56122" w:rsidP="00874A98">
            <w:pPr>
              <w:keepNext w:val="0"/>
              <w:numPr>
                <w:ilvl w:val="0"/>
                <w:numId w:val="170"/>
              </w:numPr>
              <w:tabs>
                <w:tab w:val="left" w:pos="680"/>
                <w:tab w:val="left" w:pos="1133"/>
                <w:tab w:val="left" w:pos="2267"/>
              </w:tabs>
              <w:spacing w:before="0"/>
              <w:ind w:left="357" w:right="284"/>
              <w:jc w:val="left"/>
              <w:rPr>
                <w:rFonts w:eastAsia="Arial" w:cs="Arial"/>
                <w:bCs/>
                <w:color w:val="auto"/>
                <w:szCs w:val="24"/>
              </w:rPr>
            </w:pPr>
            <w:r w:rsidRPr="009A3879">
              <w:rPr>
                <w:rFonts w:eastAsia="Arial" w:cs="Arial"/>
                <w:bCs/>
                <w:color w:val="auto"/>
                <w:szCs w:val="24"/>
              </w:rPr>
              <w:t>Proposals that result in clusters of hot food takeaways</w:t>
            </w:r>
            <w:r w:rsidR="009A3879" w:rsidRPr="009A3879">
              <w:rPr>
                <w:rFonts w:eastAsia="Arial" w:cs="Arial"/>
                <w:bCs/>
                <w:color w:val="auto"/>
                <w:szCs w:val="24"/>
              </w:rPr>
              <w:t>, betting shops</w:t>
            </w:r>
            <w:r w:rsidRPr="009A3879">
              <w:rPr>
                <w:rFonts w:eastAsia="Arial" w:cs="Arial"/>
                <w:bCs/>
                <w:color w:val="auto"/>
                <w:szCs w:val="24"/>
              </w:rPr>
              <w:t xml:space="preserve"> or pubs/drinking establishments will not be supported, taking account of the concentration and proximity of existing such establishments in the immediate area</w:t>
            </w:r>
            <w:r w:rsidR="0058380A">
              <w:t xml:space="preserve"> </w:t>
            </w:r>
            <w:r w:rsidR="0058380A" w:rsidRPr="00FF08BC">
              <w:rPr>
                <w:rFonts w:eastAsia="Arial" w:cs="Arial"/>
                <w:bCs/>
                <w:color w:val="1F3864" w:themeColor="accent1" w:themeShade="80"/>
                <w:szCs w:val="24"/>
              </w:rPr>
              <w:t>having regard to the Town Centre Local Centre Study 2023 (or any subsequent update).</w:t>
            </w:r>
          </w:p>
          <w:p w14:paraId="21360B95" w14:textId="77777777" w:rsidR="00E56122" w:rsidRPr="009A3879" w:rsidRDefault="00E56122" w:rsidP="00FF3EAD">
            <w:pPr>
              <w:keepNext w:val="0"/>
              <w:tabs>
                <w:tab w:val="left" w:pos="680"/>
                <w:tab w:val="left" w:pos="1133"/>
                <w:tab w:val="left" w:pos="2267"/>
              </w:tabs>
              <w:spacing w:before="0"/>
              <w:ind w:left="357" w:right="284"/>
              <w:jc w:val="left"/>
              <w:rPr>
                <w:rFonts w:eastAsia="Arial" w:cs="Arial"/>
                <w:bCs/>
                <w:color w:val="auto"/>
                <w:szCs w:val="24"/>
              </w:rPr>
            </w:pPr>
          </w:p>
          <w:p w14:paraId="31670854" w14:textId="008729A6" w:rsidR="00E56122" w:rsidRPr="009A3879" w:rsidRDefault="00E56122" w:rsidP="00874A98">
            <w:pPr>
              <w:keepNext w:val="0"/>
              <w:numPr>
                <w:ilvl w:val="0"/>
                <w:numId w:val="170"/>
              </w:numPr>
              <w:tabs>
                <w:tab w:val="left" w:pos="680"/>
                <w:tab w:val="left" w:pos="1133"/>
                <w:tab w:val="left" w:pos="2267"/>
              </w:tabs>
              <w:spacing w:before="0"/>
              <w:ind w:left="357" w:right="284"/>
              <w:jc w:val="left"/>
              <w:rPr>
                <w:rFonts w:eastAsia="Arial" w:cs="Arial"/>
                <w:bCs/>
                <w:color w:val="auto"/>
                <w:szCs w:val="24"/>
              </w:rPr>
            </w:pPr>
            <w:r w:rsidRPr="009A3879">
              <w:rPr>
                <w:rFonts w:eastAsia="Arial" w:cs="Arial"/>
                <w:bCs/>
                <w:color w:val="auto"/>
                <w:szCs w:val="24"/>
              </w:rPr>
              <w:t>The Council will apply the sequential test and, where appropriate, the impact test.  An impact test will be required for retail or leisure proposals exceeding 200 square metres gross of floorspace</w:t>
            </w:r>
            <w:r w:rsidR="00912C6F" w:rsidRPr="009A3879">
              <w:rPr>
                <w:rFonts w:eastAsia="Arial" w:cs="Arial"/>
                <w:bCs/>
                <w:color w:val="auto"/>
                <w:szCs w:val="24"/>
              </w:rPr>
              <w:t xml:space="preserve"> in </w:t>
            </w:r>
            <w:r w:rsidR="008F5954" w:rsidRPr="009A3879">
              <w:rPr>
                <w:rFonts w:eastAsia="Arial" w:cs="Arial"/>
                <w:bCs/>
                <w:color w:val="auto"/>
                <w:szCs w:val="24"/>
              </w:rPr>
              <w:t xml:space="preserve">relation to </w:t>
            </w:r>
            <w:r w:rsidR="00912C6F" w:rsidRPr="009A3879">
              <w:rPr>
                <w:rFonts w:eastAsia="Arial" w:cs="Arial"/>
                <w:bCs/>
                <w:color w:val="auto"/>
                <w:szCs w:val="24"/>
              </w:rPr>
              <w:t>Local Shopping Centres</w:t>
            </w:r>
            <w:r w:rsidRPr="009A3879">
              <w:rPr>
                <w:rFonts w:eastAsia="Arial" w:cs="Arial"/>
                <w:bCs/>
                <w:color w:val="auto"/>
                <w:szCs w:val="24"/>
              </w:rPr>
              <w:t xml:space="preserve">. Where the development proposal fails to satisfy the sequential test or is likely to have a significant adverse impact on the </w:t>
            </w:r>
            <w:r w:rsidR="00912C6F" w:rsidRPr="009A3879">
              <w:rPr>
                <w:rFonts w:eastAsia="Arial" w:cs="Arial"/>
                <w:bCs/>
                <w:color w:val="auto"/>
                <w:szCs w:val="24"/>
              </w:rPr>
              <w:t>l</w:t>
            </w:r>
            <w:r w:rsidRPr="009A3879">
              <w:rPr>
                <w:rFonts w:eastAsia="Arial" w:cs="Arial"/>
                <w:bCs/>
                <w:color w:val="auto"/>
                <w:szCs w:val="24"/>
              </w:rPr>
              <w:t xml:space="preserve">ocal </w:t>
            </w:r>
            <w:r w:rsidR="00912C6F" w:rsidRPr="009A3879">
              <w:rPr>
                <w:rFonts w:eastAsia="Arial" w:cs="Arial"/>
                <w:bCs/>
                <w:color w:val="auto"/>
                <w:szCs w:val="24"/>
              </w:rPr>
              <w:t>c</w:t>
            </w:r>
            <w:r w:rsidRPr="009A3879">
              <w:rPr>
                <w:rFonts w:eastAsia="Arial" w:cs="Arial"/>
                <w:bCs/>
                <w:color w:val="auto"/>
                <w:szCs w:val="24"/>
              </w:rPr>
              <w:t>entre it will be refused.</w:t>
            </w:r>
          </w:p>
          <w:p w14:paraId="58B75701" w14:textId="77777777" w:rsidR="00E56122" w:rsidRPr="009A3879" w:rsidRDefault="00E56122" w:rsidP="00FF3EAD">
            <w:pPr>
              <w:keepNext w:val="0"/>
              <w:tabs>
                <w:tab w:val="left" w:pos="680"/>
                <w:tab w:val="left" w:pos="1133"/>
                <w:tab w:val="left" w:pos="2267"/>
              </w:tabs>
              <w:spacing w:before="0"/>
              <w:ind w:right="284"/>
              <w:jc w:val="left"/>
              <w:rPr>
                <w:rFonts w:eastAsia="Arial" w:cs="Arial"/>
                <w:bCs/>
                <w:color w:val="auto"/>
                <w:szCs w:val="24"/>
              </w:rPr>
            </w:pPr>
          </w:p>
          <w:p w14:paraId="0C91AF10" w14:textId="77777777" w:rsidR="00E56122" w:rsidRPr="009A3879" w:rsidRDefault="00E56122" w:rsidP="00874A98">
            <w:pPr>
              <w:keepNext w:val="0"/>
              <w:numPr>
                <w:ilvl w:val="0"/>
                <w:numId w:val="170"/>
              </w:numPr>
              <w:tabs>
                <w:tab w:val="left" w:pos="680"/>
                <w:tab w:val="left" w:pos="1133"/>
                <w:tab w:val="left" w:pos="2267"/>
              </w:tabs>
              <w:spacing w:before="0" w:after="160" w:line="252" w:lineRule="auto"/>
              <w:ind w:right="284"/>
              <w:jc w:val="left"/>
              <w:rPr>
                <w:rFonts w:eastAsia="Arial" w:cs="Arial"/>
                <w:bCs/>
                <w:color w:val="auto"/>
                <w:szCs w:val="24"/>
              </w:rPr>
            </w:pPr>
            <w:r w:rsidRPr="009A3879">
              <w:rPr>
                <w:rFonts w:eastAsia="Arial" w:cs="Arial"/>
                <w:bCs/>
                <w:color w:val="auto"/>
                <w:szCs w:val="24"/>
              </w:rPr>
              <w:t xml:space="preserve">The Council will protect convenience food stores which provide for the </w:t>
            </w:r>
            <w:proofErr w:type="gramStart"/>
            <w:r w:rsidRPr="009A3879">
              <w:rPr>
                <w:rFonts w:eastAsia="Arial" w:cs="Arial"/>
                <w:bCs/>
                <w:color w:val="auto"/>
                <w:szCs w:val="24"/>
              </w:rPr>
              <w:t>day to day</w:t>
            </w:r>
            <w:proofErr w:type="gramEnd"/>
            <w:r w:rsidRPr="009A3879">
              <w:rPr>
                <w:rFonts w:eastAsia="Arial" w:cs="Arial"/>
                <w:bCs/>
                <w:color w:val="auto"/>
                <w:szCs w:val="24"/>
              </w:rPr>
              <w:t xml:space="preserve"> needs of the community unless it can be demonstrated that:</w:t>
            </w:r>
          </w:p>
          <w:p w14:paraId="4BF5A94A" w14:textId="77777777" w:rsidR="00E56122" w:rsidRPr="009A3879" w:rsidRDefault="00E56122" w:rsidP="00FF3EAD">
            <w:pPr>
              <w:keepNext w:val="0"/>
              <w:tabs>
                <w:tab w:val="left" w:pos="680"/>
              </w:tabs>
              <w:spacing w:before="0"/>
              <w:jc w:val="left"/>
              <w:rPr>
                <w:rFonts w:eastAsia="Arial" w:cs="Arial"/>
                <w:bCs/>
                <w:color w:val="auto"/>
                <w:szCs w:val="24"/>
              </w:rPr>
            </w:pPr>
          </w:p>
          <w:p w14:paraId="2A6C69BB" w14:textId="77777777" w:rsidR="00E56122" w:rsidRPr="009A3879" w:rsidRDefault="00E56122" w:rsidP="00874A98">
            <w:pPr>
              <w:keepNext w:val="0"/>
              <w:numPr>
                <w:ilvl w:val="0"/>
                <w:numId w:val="171"/>
              </w:numPr>
              <w:tabs>
                <w:tab w:val="left" w:pos="680"/>
              </w:tabs>
              <w:spacing w:before="0" w:after="160" w:line="252" w:lineRule="auto"/>
              <w:contextualSpacing/>
              <w:jc w:val="left"/>
              <w:rPr>
                <w:rFonts w:eastAsia="Arial" w:cs="Arial"/>
                <w:bCs/>
                <w:color w:val="auto"/>
                <w:szCs w:val="24"/>
              </w:rPr>
            </w:pPr>
            <w:r w:rsidRPr="009A3879">
              <w:rPr>
                <w:rFonts w:eastAsia="Arial" w:cs="Arial"/>
                <w:bCs/>
                <w:color w:val="auto"/>
                <w:szCs w:val="24"/>
              </w:rPr>
              <w:t>alternative shopping facilities that are similarly accessible by walking, cycling or public transport exist to meet the needs of the area;</w:t>
            </w:r>
          </w:p>
          <w:p w14:paraId="1C20E95A" w14:textId="77777777" w:rsidR="00E56122" w:rsidRPr="009A3879" w:rsidRDefault="00E56122" w:rsidP="00874A98">
            <w:pPr>
              <w:keepNext w:val="0"/>
              <w:numPr>
                <w:ilvl w:val="0"/>
                <w:numId w:val="171"/>
              </w:numPr>
              <w:tabs>
                <w:tab w:val="left" w:pos="680"/>
              </w:tabs>
              <w:spacing w:before="0" w:after="160" w:line="252" w:lineRule="auto"/>
              <w:contextualSpacing/>
              <w:jc w:val="left"/>
              <w:rPr>
                <w:rFonts w:eastAsia="Arial" w:cs="Arial"/>
                <w:bCs/>
                <w:color w:val="auto"/>
                <w:szCs w:val="24"/>
              </w:rPr>
            </w:pPr>
            <w:r w:rsidRPr="009A3879">
              <w:rPr>
                <w:rFonts w:eastAsia="Arial" w:cs="Arial"/>
                <w:bCs/>
                <w:color w:val="auto"/>
                <w:szCs w:val="24"/>
              </w:rPr>
              <w:t>there is no demand for the current use; and</w:t>
            </w:r>
          </w:p>
          <w:p w14:paraId="35A4E0F0" w14:textId="77777777" w:rsidR="00E56122" w:rsidRPr="009A3879" w:rsidRDefault="00E56122" w:rsidP="00874A98">
            <w:pPr>
              <w:keepNext w:val="0"/>
              <w:numPr>
                <w:ilvl w:val="0"/>
                <w:numId w:val="171"/>
              </w:numPr>
              <w:tabs>
                <w:tab w:val="left" w:pos="680"/>
              </w:tabs>
              <w:spacing w:before="0" w:after="160" w:line="252" w:lineRule="auto"/>
              <w:contextualSpacing/>
              <w:jc w:val="left"/>
              <w:rPr>
                <w:rFonts w:eastAsia="Arial" w:cs="Arial"/>
                <w:bCs/>
                <w:color w:val="auto"/>
                <w:szCs w:val="24"/>
              </w:rPr>
            </w:pPr>
            <w:r w:rsidRPr="009A3879">
              <w:rPr>
                <w:rFonts w:eastAsia="Arial" w:cs="Arial"/>
                <w:bCs/>
                <w:color w:val="auto"/>
                <w:szCs w:val="24"/>
              </w:rPr>
              <w:t>the site has been marketed effectively for the current use, for an appropriate period.</w:t>
            </w:r>
          </w:p>
          <w:p w14:paraId="1156165B" w14:textId="77777777" w:rsidR="00E56122" w:rsidRPr="009A3879" w:rsidRDefault="00E56122" w:rsidP="00FF3EAD">
            <w:pPr>
              <w:keepNext w:val="0"/>
              <w:shd w:val="clear" w:color="auto" w:fill="E6A8A8"/>
              <w:tabs>
                <w:tab w:val="left" w:pos="680"/>
              </w:tabs>
              <w:spacing w:before="0"/>
              <w:ind w:left="720"/>
              <w:jc w:val="left"/>
              <w:rPr>
                <w:rFonts w:eastAsia="Arial" w:cs="Arial"/>
                <w:bCs/>
                <w:color w:val="auto"/>
                <w:szCs w:val="24"/>
              </w:rPr>
            </w:pPr>
          </w:p>
          <w:p w14:paraId="2EA45942" w14:textId="77777777" w:rsidR="00E56122" w:rsidRPr="009A3879" w:rsidRDefault="00E56122" w:rsidP="00874A98">
            <w:pPr>
              <w:keepNext w:val="0"/>
              <w:numPr>
                <w:ilvl w:val="0"/>
                <w:numId w:val="170"/>
              </w:numPr>
              <w:shd w:val="clear" w:color="auto" w:fill="E6A8A8"/>
              <w:tabs>
                <w:tab w:val="left" w:pos="680"/>
              </w:tabs>
              <w:spacing w:before="0"/>
              <w:ind w:left="357"/>
              <w:jc w:val="left"/>
              <w:rPr>
                <w:rFonts w:eastAsia="Arial" w:cs="Arial"/>
                <w:bCs/>
                <w:color w:val="auto"/>
                <w:szCs w:val="24"/>
              </w:rPr>
            </w:pPr>
            <w:r w:rsidRPr="009A3879">
              <w:rPr>
                <w:rFonts w:eastAsia="Arial" w:cs="Arial"/>
                <w:bCs/>
                <w:color w:val="auto"/>
                <w:szCs w:val="24"/>
              </w:rPr>
              <w:t>Where a unit has been vacant for a long period, community uses appropriate to the Local Shopping Centre will be supported.</w:t>
            </w:r>
          </w:p>
          <w:p w14:paraId="7200F54B" w14:textId="77777777" w:rsidR="00E56122" w:rsidRPr="009A3879" w:rsidRDefault="00E56122" w:rsidP="00FF3EAD">
            <w:pPr>
              <w:keepNext w:val="0"/>
              <w:shd w:val="clear" w:color="auto" w:fill="E6A8A8"/>
              <w:tabs>
                <w:tab w:val="left" w:pos="680"/>
              </w:tabs>
              <w:spacing w:before="0"/>
              <w:ind w:left="357"/>
              <w:jc w:val="left"/>
              <w:rPr>
                <w:rFonts w:eastAsia="Arial" w:cs="Arial"/>
                <w:bCs/>
                <w:color w:val="auto"/>
                <w:szCs w:val="24"/>
              </w:rPr>
            </w:pPr>
          </w:p>
          <w:p w14:paraId="29CF208E" w14:textId="77777777" w:rsidR="00E56122" w:rsidRPr="009A3879" w:rsidRDefault="00E56122" w:rsidP="00874A98">
            <w:pPr>
              <w:keepNext w:val="0"/>
              <w:numPr>
                <w:ilvl w:val="0"/>
                <w:numId w:val="170"/>
              </w:numPr>
              <w:tabs>
                <w:tab w:val="left" w:pos="680"/>
                <w:tab w:val="left" w:pos="1133"/>
                <w:tab w:val="left" w:pos="2267"/>
              </w:tabs>
              <w:spacing w:before="0"/>
              <w:ind w:left="357" w:right="284"/>
              <w:jc w:val="left"/>
              <w:rPr>
                <w:rFonts w:eastAsia="Arial" w:cs="Arial"/>
                <w:bCs/>
                <w:color w:val="auto"/>
                <w:szCs w:val="24"/>
              </w:rPr>
            </w:pPr>
            <w:r w:rsidRPr="009A3879">
              <w:rPr>
                <w:rFonts w:eastAsia="Arial" w:cs="Arial"/>
                <w:bCs/>
                <w:color w:val="auto"/>
                <w:szCs w:val="24"/>
              </w:rPr>
              <w:t>Retail and leisure development proposals should not have a significant adverse effect on the amenity of existing residents through noise, odour, litter or disturbance.</w:t>
            </w:r>
          </w:p>
          <w:p w14:paraId="0A20A70E" w14:textId="77777777" w:rsidR="00E56122" w:rsidRPr="009A3879" w:rsidRDefault="00E56122" w:rsidP="00FF3EAD">
            <w:pPr>
              <w:keepNext w:val="0"/>
              <w:tabs>
                <w:tab w:val="left" w:pos="680"/>
                <w:tab w:val="left" w:pos="1133"/>
                <w:tab w:val="left" w:pos="2267"/>
              </w:tabs>
              <w:spacing w:before="0"/>
              <w:ind w:left="360" w:right="284"/>
              <w:jc w:val="left"/>
              <w:rPr>
                <w:rFonts w:eastAsia="Arial" w:cs="Arial"/>
                <w:bCs/>
                <w:color w:val="auto"/>
                <w:szCs w:val="24"/>
              </w:rPr>
            </w:pPr>
          </w:p>
          <w:p w14:paraId="1FD6E35C" w14:textId="49324261" w:rsidR="00E56122" w:rsidRDefault="00E56122" w:rsidP="00FF3EAD">
            <w:pPr>
              <w:keepNext w:val="0"/>
              <w:tabs>
                <w:tab w:val="left" w:pos="680"/>
              </w:tabs>
              <w:spacing w:before="0" w:after="170"/>
              <w:jc w:val="left"/>
              <w:rPr>
                <w:rFonts w:eastAsia="Arial" w:cs="Arial"/>
                <w:b/>
                <w:color w:val="auto"/>
                <w:szCs w:val="24"/>
              </w:rPr>
            </w:pPr>
            <w:r w:rsidRPr="009A3879">
              <w:rPr>
                <w:rFonts w:eastAsia="Arial" w:cs="Arial"/>
                <w:b/>
                <w:color w:val="auto"/>
                <w:szCs w:val="24"/>
              </w:rPr>
              <w:t xml:space="preserve">Shopping Parades and </w:t>
            </w:r>
            <w:r w:rsidR="009A3879">
              <w:rPr>
                <w:rFonts w:eastAsia="Arial" w:cs="Arial"/>
                <w:b/>
                <w:color w:val="auto"/>
                <w:szCs w:val="24"/>
              </w:rPr>
              <w:t>S</w:t>
            </w:r>
            <w:r w:rsidRPr="009A3879">
              <w:rPr>
                <w:rFonts w:eastAsia="Arial" w:cs="Arial"/>
                <w:b/>
                <w:color w:val="auto"/>
                <w:szCs w:val="24"/>
              </w:rPr>
              <w:t xml:space="preserve">ingle </w:t>
            </w:r>
            <w:r w:rsidR="009A3879">
              <w:rPr>
                <w:rFonts w:eastAsia="Arial" w:cs="Arial"/>
                <w:b/>
                <w:color w:val="auto"/>
                <w:szCs w:val="24"/>
              </w:rPr>
              <w:t>S</w:t>
            </w:r>
            <w:r w:rsidRPr="009A3879">
              <w:rPr>
                <w:rFonts w:eastAsia="Arial" w:cs="Arial"/>
                <w:b/>
                <w:color w:val="auto"/>
                <w:szCs w:val="24"/>
              </w:rPr>
              <w:t xml:space="preserve">hops </w:t>
            </w:r>
          </w:p>
          <w:p w14:paraId="7B342628" w14:textId="77777777" w:rsidR="009A3879" w:rsidRDefault="009A3879" w:rsidP="00874A98">
            <w:pPr>
              <w:keepNext w:val="0"/>
              <w:numPr>
                <w:ilvl w:val="0"/>
                <w:numId w:val="170"/>
              </w:numPr>
              <w:spacing w:before="0"/>
              <w:contextualSpacing/>
              <w:jc w:val="left"/>
              <w:rPr>
                <w:rFonts w:eastAsia="Arial" w:cs="Arial"/>
                <w:bCs/>
                <w:color w:val="auto"/>
                <w:szCs w:val="24"/>
              </w:rPr>
            </w:pPr>
            <w:r w:rsidRPr="009A3879">
              <w:rPr>
                <w:rFonts w:eastAsia="Arial" w:cs="Arial"/>
                <w:bCs/>
                <w:color w:val="auto"/>
                <w:szCs w:val="24"/>
              </w:rPr>
              <w:t xml:space="preserve">In the settlements of </w:t>
            </w:r>
            <w:proofErr w:type="spellStart"/>
            <w:r w:rsidRPr="009A3879">
              <w:rPr>
                <w:rFonts w:eastAsia="Arial" w:cs="Arial"/>
                <w:bCs/>
                <w:color w:val="auto"/>
                <w:szCs w:val="24"/>
              </w:rPr>
              <w:t>Nuncargate</w:t>
            </w:r>
            <w:proofErr w:type="spellEnd"/>
            <w:r w:rsidRPr="009A3879">
              <w:rPr>
                <w:rFonts w:eastAsia="Arial" w:cs="Arial"/>
                <w:bCs/>
                <w:color w:val="auto"/>
                <w:szCs w:val="24"/>
              </w:rPr>
              <w:t xml:space="preserve">, Skegby, </w:t>
            </w:r>
            <w:proofErr w:type="spellStart"/>
            <w:r w:rsidRPr="009A3879">
              <w:rPr>
                <w:rFonts w:eastAsia="Arial" w:cs="Arial"/>
                <w:bCs/>
                <w:color w:val="auto"/>
                <w:szCs w:val="24"/>
              </w:rPr>
              <w:t>Selston</w:t>
            </w:r>
            <w:proofErr w:type="spellEnd"/>
            <w:r w:rsidRPr="009A3879">
              <w:rPr>
                <w:rFonts w:eastAsia="Arial" w:cs="Arial"/>
                <w:bCs/>
                <w:color w:val="auto"/>
                <w:szCs w:val="24"/>
              </w:rPr>
              <w:t xml:space="preserve"> and Underwood small scale retail development will be supported where it would not adversely affect the character, quality, safety or amenity of the environment.</w:t>
            </w:r>
          </w:p>
          <w:p w14:paraId="0F0348EA" w14:textId="77777777" w:rsidR="009A3879" w:rsidRPr="009A3879" w:rsidRDefault="009A3879" w:rsidP="009A3879">
            <w:pPr>
              <w:keepNext w:val="0"/>
              <w:spacing w:before="0"/>
              <w:ind w:left="360"/>
              <w:contextualSpacing/>
              <w:jc w:val="left"/>
              <w:rPr>
                <w:rFonts w:eastAsia="Arial" w:cs="Arial"/>
                <w:bCs/>
                <w:color w:val="auto"/>
                <w:szCs w:val="24"/>
              </w:rPr>
            </w:pPr>
          </w:p>
          <w:p w14:paraId="11DCF1CE" w14:textId="4B077926" w:rsidR="00E56122" w:rsidRPr="009A3879" w:rsidRDefault="00E56122" w:rsidP="00874A98">
            <w:pPr>
              <w:keepNext w:val="0"/>
              <w:numPr>
                <w:ilvl w:val="0"/>
                <w:numId w:val="170"/>
              </w:numPr>
              <w:tabs>
                <w:tab w:val="left" w:pos="680"/>
                <w:tab w:val="left" w:pos="1133"/>
                <w:tab w:val="left" w:pos="2267"/>
              </w:tabs>
              <w:spacing w:before="0" w:after="160" w:line="252" w:lineRule="auto"/>
              <w:ind w:right="284"/>
              <w:jc w:val="left"/>
              <w:rPr>
                <w:rFonts w:eastAsia="Arial" w:cs="Arial"/>
                <w:bCs/>
                <w:strike/>
                <w:color w:val="auto"/>
                <w:szCs w:val="24"/>
              </w:rPr>
            </w:pPr>
            <w:r w:rsidRPr="009A3879">
              <w:rPr>
                <w:rFonts w:eastAsia="Arial" w:cs="Arial"/>
                <w:bCs/>
                <w:color w:val="auto"/>
                <w:szCs w:val="24"/>
              </w:rPr>
              <w:lastRenderedPageBreak/>
              <w:t>Alternative uses to retail will not be favoured in areas where there are established shopping parades or single shops, unless it can be demonstrated that there is no demand for the retail use, or the proposal will not impact on core retail function of the parade or shop.</w:t>
            </w:r>
          </w:p>
          <w:p w14:paraId="643513D9" w14:textId="2C840F1E" w:rsidR="00E56122" w:rsidRPr="009A3879" w:rsidRDefault="00486F6C" w:rsidP="00874A98">
            <w:pPr>
              <w:keepNext w:val="0"/>
              <w:numPr>
                <w:ilvl w:val="0"/>
                <w:numId w:val="170"/>
              </w:numPr>
              <w:tabs>
                <w:tab w:val="left" w:pos="680"/>
                <w:tab w:val="left" w:pos="1133"/>
                <w:tab w:val="left" w:pos="2267"/>
              </w:tabs>
              <w:spacing w:before="0" w:after="160" w:line="252" w:lineRule="auto"/>
              <w:ind w:right="284"/>
              <w:jc w:val="left"/>
              <w:rPr>
                <w:rFonts w:eastAsia="Arial" w:cs="Arial"/>
                <w:bCs/>
                <w:color w:val="auto"/>
                <w:szCs w:val="24"/>
              </w:rPr>
            </w:pPr>
            <w:r w:rsidRPr="009A3879">
              <w:rPr>
                <w:rFonts w:eastAsia="Arial" w:cs="Arial"/>
                <w:bCs/>
                <w:color w:val="auto"/>
                <w:szCs w:val="24"/>
              </w:rPr>
              <w:t xml:space="preserve">Retail development </w:t>
            </w:r>
            <w:r w:rsidR="007C22FA" w:rsidRPr="009A3879">
              <w:rPr>
                <w:rFonts w:eastAsia="Arial" w:cs="Arial"/>
                <w:bCs/>
                <w:color w:val="auto"/>
                <w:szCs w:val="24"/>
              </w:rPr>
              <w:t>to</w:t>
            </w:r>
            <w:r w:rsidRPr="009A3879">
              <w:rPr>
                <w:rFonts w:eastAsia="Arial" w:cs="Arial"/>
                <w:bCs/>
                <w:color w:val="auto"/>
                <w:szCs w:val="24"/>
              </w:rPr>
              <w:t xml:space="preserve"> meet local shopping needs will be permitted where</w:t>
            </w:r>
            <w:r w:rsidR="00BC76FB" w:rsidRPr="009A3879">
              <w:rPr>
                <w:rFonts w:eastAsia="Arial" w:cs="Arial"/>
                <w:bCs/>
                <w:color w:val="auto"/>
                <w:szCs w:val="24"/>
              </w:rPr>
              <w:t>:</w:t>
            </w:r>
          </w:p>
          <w:p w14:paraId="16FB5745" w14:textId="3F6A7337" w:rsidR="00486F6C" w:rsidRPr="009A3879" w:rsidRDefault="00BC76FB" w:rsidP="00874A98">
            <w:pPr>
              <w:keepNext w:val="0"/>
              <w:numPr>
                <w:ilvl w:val="0"/>
                <w:numId w:val="308"/>
              </w:numPr>
              <w:spacing w:before="0" w:after="160" w:line="252" w:lineRule="auto"/>
              <w:ind w:left="731" w:right="284" w:hanging="284"/>
              <w:contextualSpacing/>
              <w:jc w:val="left"/>
              <w:rPr>
                <w:rFonts w:eastAsia="Arial" w:cs="Arial"/>
                <w:bCs/>
                <w:color w:val="auto"/>
                <w:szCs w:val="24"/>
              </w:rPr>
            </w:pPr>
            <w:r w:rsidRPr="009A3879">
              <w:rPr>
                <w:rFonts w:eastAsia="Arial" w:cs="Arial"/>
                <w:bCs/>
                <w:color w:val="auto"/>
                <w:szCs w:val="24"/>
              </w:rPr>
              <w:t xml:space="preserve">It primarily involves the sale of convenience goods, and </w:t>
            </w:r>
          </w:p>
          <w:p w14:paraId="7CD36C70" w14:textId="26A91FCA" w:rsidR="00BC76FB" w:rsidRPr="009A3879" w:rsidRDefault="00BC76FB" w:rsidP="00874A98">
            <w:pPr>
              <w:keepNext w:val="0"/>
              <w:numPr>
                <w:ilvl w:val="0"/>
                <w:numId w:val="308"/>
              </w:numPr>
              <w:spacing w:before="0" w:after="160" w:line="252" w:lineRule="auto"/>
              <w:ind w:left="731" w:right="284" w:hanging="284"/>
              <w:contextualSpacing/>
              <w:jc w:val="left"/>
              <w:rPr>
                <w:rFonts w:eastAsia="Arial" w:cs="Arial"/>
                <w:bCs/>
                <w:color w:val="auto"/>
                <w:szCs w:val="24"/>
              </w:rPr>
            </w:pPr>
            <w:r w:rsidRPr="009A3879">
              <w:rPr>
                <w:rFonts w:eastAsia="Arial" w:cs="Arial"/>
                <w:bCs/>
                <w:color w:val="auto"/>
                <w:szCs w:val="24"/>
              </w:rPr>
              <w:t>The floorspace is below 200 sq</w:t>
            </w:r>
            <w:r w:rsidR="00F62485">
              <w:rPr>
                <w:rFonts w:eastAsia="Arial" w:cs="Arial"/>
                <w:bCs/>
                <w:color w:val="auto"/>
                <w:szCs w:val="24"/>
              </w:rPr>
              <w:t>uare</w:t>
            </w:r>
            <w:r w:rsidRPr="009A3879">
              <w:rPr>
                <w:rFonts w:eastAsia="Arial" w:cs="Arial"/>
                <w:bCs/>
                <w:color w:val="auto"/>
                <w:szCs w:val="24"/>
              </w:rPr>
              <w:t xml:space="preserve"> m</w:t>
            </w:r>
            <w:r w:rsidR="00F62485">
              <w:rPr>
                <w:rFonts w:eastAsia="Arial" w:cs="Arial"/>
                <w:bCs/>
                <w:color w:val="auto"/>
                <w:szCs w:val="24"/>
              </w:rPr>
              <w:t>etres</w:t>
            </w:r>
            <w:r w:rsidRPr="009A3879">
              <w:rPr>
                <w:rFonts w:eastAsia="Arial" w:cs="Arial"/>
                <w:bCs/>
                <w:color w:val="auto"/>
                <w:szCs w:val="24"/>
              </w:rPr>
              <w:t>.</w:t>
            </w:r>
          </w:p>
          <w:p w14:paraId="43A32808" w14:textId="77777777" w:rsidR="00BC76FB" w:rsidRPr="009A3879" w:rsidRDefault="00BC76FB" w:rsidP="00FF3EAD">
            <w:pPr>
              <w:keepNext w:val="0"/>
              <w:tabs>
                <w:tab w:val="left" w:pos="680"/>
              </w:tabs>
              <w:spacing w:before="0" w:after="160" w:line="252" w:lineRule="auto"/>
              <w:ind w:left="360" w:right="284"/>
              <w:contextualSpacing/>
              <w:jc w:val="left"/>
              <w:rPr>
                <w:rFonts w:eastAsia="Arial" w:cs="Arial"/>
                <w:bCs/>
                <w:color w:val="auto"/>
                <w:szCs w:val="24"/>
              </w:rPr>
            </w:pPr>
          </w:p>
          <w:p w14:paraId="63474585" w14:textId="77777777" w:rsidR="00E56122" w:rsidRPr="009A3879" w:rsidRDefault="00E56122" w:rsidP="00FF3EAD">
            <w:pPr>
              <w:keepNext w:val="0"/>
              <w:tabs>
                <w:tab w:val="left" w:pos="680"/>
                <w:tab w:val="left" w:pos="1133"/>
                <w:tab w:val="left" w:pos="2267"/>
              </w:tabs>
              <w:spacing w:before="0"/>
              <w:ind w:right="140"/>
              <w:jc w:val="left"/>
              <w:rPr>
                <w:rFonts w:eastAsia="Arial" w:cs="Arial"/>
                <w:bCs/>
                <w:color w:val="auto"/>
                <w:sz w:val="20"/>
              </w:rPr>
            </w:pPr>
            <w:r w:rsidRPr="009A3879">
              <w:rPr>
                <w:rFonts w:eastAsia="Arial" w:cs="Arial"/>
                <w:bCs/>
                <w:color w:val="auto"/>
                <w:sz w:val="20"/>
              </w:rPr>
              <w:t xml:space="preserve">1 – The National Planning Policy Framework 2021, Annex </w:t>
            </w:r>
            <w:proofErr w:type="gramStart"/>
            <w:r w:rsidRPr="009A3879">
              <w:rPr>
                <w:rFonts w:eastAsia="Arial" w:cs="Arial"/>
                <w:bCs/>
                <w:color w:val="auto"/>
                <w:sz w:val="20"/>
              </w:rPr>
              <w:t>2:Glossary</w:t>
            </w:r>
            <w:proofErr w:type="gramEnd"/>
            <w:r w:rsidRPr="009A3879">
              <w:rPr>
                <w:rFonts w:eastAsia="Arial" w:cs="Arial"/>
                <w:bCs/>
                <w:color w:val="auto"/>
                <w:sz w:val="20"/>
              </w:rPr>
              <w:t xml:space="preserve"> identifies that reference to town centre includes local centres.  Therefore, it would include the definition of Main Town Centre Uses set out in the Glossary.</w:t>
            </w:r>
          </w:p>
        </w:tc>
      </w:tr>
      <w:bookmarkEnd w:id="282"/>
      <w:tr w:rsidR="00E56122" w:rsidRPr="00E56122" w14:paraId="3772E86E" w14:textId="77777777" w:rsidTr="00163F59">
        <w:tc>
          <w:tcPr>
            <w:tcW w:w="2263" w:type="dxa"/>
          </w:tcPr>
          <w:p w14:paraId="62016923" w14:textId="77777777" w:rsidR="00E56122" w:rsidRPr="00E56122" w:rsidRDefault="00E56122" w:rsidP="00A05D94">
            <w:pPr>
              <w:keepNext w:val="0"/>
              <w:tabs>
                <w:tab w:val="left" w:pos="680"/>
                <w:tab w:val="left" w:pos="1133"/>
                <w:tab w:val="left" w:pos="2267"/>
              </w:tabs>
              <w:spacing w:before="0"/>
              <w:ind w:right="284"/>
              <w:jc w:val="left"/>
              <w:rPr>
                <w:rFonts w:eastAsia="Arial" w:cs="Arial"/>
                <w:bCs/>
                <w:color w:val="auto"/>
                <w:szCs w:val="24"/>
              </w:rPr>
            </w:pPr>
            <w:r w:rsidRPr="00E56122">
              <w:rPr>
                <w:rFonts w:eastAsia="Arial" w:cs="Arial"/>
                <w:bCs/>
                <w:color w:val="auto"/>
                <w:sz w:val="20"/>
              </w:rPr>
              <w:lastRenderedPageBreak/>
              <w:t>Evidence base</w:t>
            </w:r>
          </w:p>
        </w:tc>
        <w:tc>
          <w:tcPr>
            <w:tcW w:w="7371" w:type="dxa"/>
            <w:gridSpan w:val="2"/>
          </w:tcPr>
          <w:p w14:paraId="6B2B578D" w14:textId="7BD152C8" w:rsidR="00E56122" w:rsidRPr="00804383" w:rsidRDefault="00E56122" w:rsidP="00A05D94">
            <w:pPr>
              <w:keepNext w:val="0"/>
              <w:numPr>
                <w:ilvl w:val="0"/>
                <w:numId w:val="36"/>
              </w:numPr>
              <w:spacing w:before="0" w:after="160" w:line="252" w:lineRule="auto"/>
              <w:contextualSpacing/>
              <w:jc w:val="left"/>
              <w:rPr>
                <w:rFonts w:cs="Arial"/>
                <w:color w:val="auto"/>
                <w:sz w:val="20"/>
              </w:rPr>
            </w:pPr>
            <w:r w:rsidRPr="00804383">
              <w:rPr>
                <w:rFonts w:cs="Arial"/>
                <w:color w:val="auto"/>
                <w:sz w:val="20"/>
              </w:rPr>
              <w:t xml:space="preserve">Background Paper </w:t>
            </w:r>
            <w:r w:rsidR="00A05D94" w:rsidRPr="00804383">
              <w:rPr>
                <w:rFonts w:cs="Arial"/>
                <w:color w:val="auto"/>
                <w:sz w:val="20"/>
              </w:rPr>
              <w:t>No 1:</w:t>
            </w:r>
            <w:r w:rsidRPr="00804383">
              <w:rPr>
                <w:rFonts w:cs="Arial"/>
                <w:color w:val="auto"/>
                <w:sz w:val="20"/>
              </w:rPr>
              <w:t xml:space="preserve"> Spatial Strategy and </w:t>
            </w:r>
            <w:r w:rsidR="00A32846" w:rsidRPr="00804383">
              <w:rPr>
                <w:rFonts w:cs="Arial"/>
                <w:color w:val="auto"/>
                <w:sz w:val="20"/>
              </w:rPr>
              <w:t>Site Selection 2023</w:t>
            </w:r>
            <w:r w:rsidRPr="00804383">
              <w:rPr>
                <w:rFonts w:cs="Arial"/>
                <w:color w:val="auto"/>
                <w:sz w:val="20"/>
              </w:rPr>
              <w:t>. Ashfield District Council.</w:t>
            </w:r>
          </w:p>
          <w:p w14:paraId="78CAB561" w14:textId="7D8D7147" w:rsidR="00E56122" w:rsidRPr="009A3879" w:rsidRDefault="00106B8C" w:rsidP="00A05D94">
            <w:pPr>
              <w:keepNext w:val="0"/>
              <w:numPr>
                <w:ilvl w:val="0"/>
                <w:numId w:val="36"/>
              </w:numPr>
              <w:spacing w:before="0" w:after="160" w:line="252" w:lineRule="auto"/>
              <w:contextualSpacing/>
              <w:jc w:val="left"/>
              <w:rPr>
                <w:rFonts w:cs="Arial"/>
                <w:color w:val="auto"/>
                <w:sz w:val="20"/>
              </w:rPr>
            </w:pPr>
            <w:r w:rsidRPr="00106B8C">
              <w:rPr>
                <w:rFonts w:cs="Arial"/>
                <w:sz w:val="20"/>
                <w:szCs w:val="20"/>
              </w:rPr>
              <w:t xml:space="preserve">Ashfield </w:t>
            </w:r>
            <w:bookmarkStart w:id="283" w:name="_Hlk148437899"/>
            <w:r w:rsidRPr="00106B8C">
              <w:rPr>
                <w:rFonts w:cs="Arial"/>
                <w:sz w:val="20"/>
                <w:szCs w:val="20"/>
              </w:rPr>
              <w:t>Town Centre / Local Centre Study, 2023</w:t>
            </w:r>
            <w:r>
              <w:rPr>
                <w:rFonts w:cs="Arial"/>
                <w:sz w:val="20"/>
                <w:szCs w:val="20"/>
              </w:rPr>
              <w:t xml:space="preserve">. </w:t>
            </w:r>
            <w:bookmarkEnd w:id="283"/>
            <w:r w:rsidR="00E56122" w:rsidRPr="009A3879">
              <w:rPr>
                <w:rFonts w:cs="Arial"/>
                <w:color w:val="auto"/>
                <w:sz w:val="20"/>
              </w:rPr>
              <w:t>Nexus Planning.</w:t>
            </w:r>
          </w:p>
          <w:p w14:paraId="139D3F81" w14:textId="77777777" w:rsidR="00E56122" w:rsidRPr="00E56122" w:rsidRDefault="00E56122" w:rsidP="00A05D94">
            <w:pPr>
              <w:keepNext w:val="0"/>
              <w:numPr>
                <w:ilvl w:val="0"/>
                <w:numId w:val="36"/>
              </w:numPr>
              <w:spacing w:before="0" w:after="160" w:line="252" w:lineRule="auto"/>
              <w:contextualSpacing/>
              <w:jc w:val="left"/>
              <w:rPr>
                <w:rFonts w:cs="Arial"/>
                <w:color w:val="auto"/>
                <w:sz w:val="20"/>
              </w:rPr>
            </w:pPr>
            <w:r w:rsidRPr="00E56122">
              <w:rPr>
                <w:rFonts w:cs="Arial"/>
                <w:color w:val="auto"/>
                <w:sz w:val="20"/>
              </w:rPr>
              <w:t>Retail Floorspace Survey 2020. Ashfield District Council.</w:t>
            </w:r>
          </w:p>
          <w:p w14:paraId="1299F5AF" w14:textId="62AC1E47" w:rsidR="00E56122" w:rsidRPr="00E56122" w:rsidRDefault="00E56122" w:rsidP="00A05D94">
            <w:pPr>
              <w:keepNext w:val="0"/>
              <w:numPr>
                <w:ilvl w:val="0"/>
                <w:numId w:val="36"/>
              </w:numPr>
              <w:spacing w:before="0" w:after="160" w:line="252" w:lineRule="auto"/>
              <w:contextualSpacing/>
              <w:jc w:val="left"/>
              <w:rPr>
                <w:rFonts w:cs="Arial"/>
                <w:color w:val="auto"/>
                <w:sz w:val="20"/>
              </w:rPr>
            </w:pPr>
            <w:r w:rsidRPr="00E56122">
              <w:rPr>
                <w:rFonts w:cs="Arial"/>
                <w:color w:val="auto"/>
                <w:sz w:val="20"/>
              </w:rPr>
              <w:t xml:space="preserve">Sustainability Appraisal, </w:t>
            </w:r>
            <w:r w:rsidRPr="00804383">
              <w:rPr>
                <w:rFonts w:cs="Arial"/>
                <w:color w:val="auto"/>
                <w:sz w:val="20"/>
              </w:rPr>
              <w:t>202</w:t>
            </w:r>
            <w:r w:rsidR="006B0C43" w:rsidRPr="00804383">
              <w:rPr>
                <w:rFonts w:cs="Arial"/>
                <w:color w:val="auto"/>
                <w:sz w:val="20"/>
              </w:rPr>
              <w:t>3</w:t>
            </w:r>
            <w:r w:rsidRPr="00804383">
              <w:rPr>
                <w:rFonts w:cs="Arial"/>
                <w:color w:val="auto"/>
                <w:sz w:val="20"/>
              </w:rPr>
              <w:t xml:space="preserve">.  </w:t>
            </w:r>
            <w:r w:rsidR="006B0C43" w:rsidRPr="00804383">
              <w:rPr>
                <w:rFonts w:cs="Arial"/>
                <w:color w:val="auto"/>
                <w:sz w:val="20"/>
              </w:rPr>
              <w:t>WSP UK Limited</w:t>
            </w:r>
            <w:r w:rsidRPr="00804383">
              <w:rPr>
                <w:rFonts w:cs="Arial"/>
                <w:color w:val="auto"/>
                <w:sz w:val="20"/>
              </w:rPr>
              <w:t>.</w:t>
            </w:r>
          </w:p>
        </w:tc>
      </w:tr>
      <w:tr w:rsidR="00E56122" w:rsidRPr="00E56122" w14:paraId="7D74490E" w14:textId="77777777" w:rsidTr="00163F59">
        <w:tc>
          <w:tcPr>
            <w:tcW w:w="2263" w:type="dxa"/>
          </w:tcPr>
          <w:p w14:paraId="4E4BA418" w14:textId="77777777" w:rsidR="00E56122" w:rsidRPr="00E56122" w:rsidRDefault="00E56122" w:rsidP="00A05D94">
            <w:pPr>
              <w:keepNext w:val="0"/>
              <w:tabs>
                <w:tab w:val="left" w:pos="680"/>
                <w:tab w:val="left" w:pos="1133"/>
                <w:tab w:val="left" w:pos="2267"/>
              </w:tabs>
              <w:spacing w:before="0"/>
              <w:ind w:right="284"/>
              <w:jc w:val="left"/>
              <w:rPr>
                <w:rFonts w:eastAsia="Arial" w:cs="Arial"/>
                <w:bCs/>
                <w:color w:val="auto"/>
                <w:szCs w:val="24"/>
              </w:rPr>
            </w:pPr>
            <w:r w:rsidRPr="00E56122">
              <w:rPr>
                <w:rFonts w:eastAsia="Arial" w:cs="Arial"/>
                <w:bCs/>
                <w:color w:val="auto"/>
                <w:sz w:val="20"/>
              </w:rPr>
              <w:t>National Planning Policy and Guidance</w:t>
            </w:r>
          </w:p>
        </w:tc>
        <w:tc>
          <w:tcPr>
            <w:tcW w:w="7371" w:type="dxa"/>
            <w:gridSpan w:val="2"/>
          </w:tcPr>
          <w:p w14:paraId="46E30848" w14:textId="569465CD" w:rsidR="00E56122" w:rsidRPr="00E56122" w:rsidRDefault="00E56122" w:rsidP="00A05D94">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E56122">
              <w:rPr>
                <w:rFonts w:cs="Arial"/>
                <w:bCs/>
                <w:color w:val="auto"/>
                <w:sz w:val="20"/>
              </w:rPr>
              <w:t>NPPF 202</w:t>
            </w:r>
            <w:r w:rsidR="004173E0">
              <w:rPr>
                <w:rFonts w:cs="Arial"/>
                <w:bCs/>
                <w:color w:val="auto"/>
                <w:sz w:val="20"/>
              </w:rPr>
              <w:t>3</w:t>
            </w:r>
            <w:r w:rsidRPr="00E56122">
              <w:rPr>
                <w:rFonts w:cs="Arial"/>
                <w:bCs/>
                <w:color w:val="auto"/>
                <w:sz w:val="20"/>
              </w:rPr>
              <w:t>, Part 2: Achieving Sustainable Development.</w:t>
            </w:r>
          </w:p>
          <w:p w14:paraId="0EC18AA6" w14:textId="58B262F2" w:rsidR="00E56122" w:rsidRPr="00E56122" w:rsidRDefault="00E56122" w:rsidP="00A05D94">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E56122">
              <w:rPr>
                <w:rFonts w:cs="Arial"/>
                <w:bCs/>
                <w:color w:val="auto"/>
                <w:sz w:val="20"/>
              </w:rPr>
              <w:t>NPPF 202</w:t>
            </w:r>
            <w:r w:rsidR="004173E0">
              <w:rPr>
                <w:rFonts w:cs="Arial"/>
                <w:bCs/>
                <w:color w:val="auto"/>
                <w:sz w:val="20"/>
              </w:rPr>
              <w:t>3</w:t>
            </w:r>
            <w:r w:rsidRPr="00E56122">
              <w:rPr>
                <w:rFonts w:cs="Arial"/>
                <w:bCs/>
                <w:color w:val="auto"/>
                <w:sz w:val="20"/>
              </w:rPr>
              <w:t>, Part 7: Ensuring the vitality of town centres.</w:t>
            </w:r>
          </w:p>
          <w:p w14:paraId="31F0C9A3" w14:textId="7CB62AB3" w:rsidR="00E56122" w:rsidRPr="00E56122" w:rsidRDefault="00E56122" w:rsidP="00A05D94">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E56122">
              <w:rPr>
                <w:rFonts w:eastAsia="Arial" w:cs="Arial"/>
                <w:bCs/>
                <w:color w:val="auto"/>
                <w:sz w:val="20"/>
              </w:rPr>
              <w:t xml:space="preserve">Planning Practice Guidance: Town centres and retail as </w:t>
            </w:r>
            <w:r w:rsidR="009D1815" w:rsidRPr="00E56122">
              <w:rPr>
                <w:rFonts w:eastAsia="Arial" w:cs="Arial"/>
                <w:bCs/>
                <w:color w:val="auto"/>
                <w:sz w:val="20"/>
              </w:rPr>
              <w:t>of</w:t>
            </w:r>
            <w:r w:rsidRPr="00E56122">
              <w:rPr>
                <w:rFonts w:eastAsia="Arial" w:cs="Arial"/>
                <w:bCs/>
                <w:color w:val="auto"/>
                <w:sz w:val="20"/>
              </w:rPr>
              <w:t xml:space="preserve"> </w:t>
            </w:r>
            <w:r w:rsidR="006B0C43" w:rsidRPr="00804383">
              <w:rPr>
                <w:rFonts w:eastAsia="Arial" w:cs="Arial"/>
                <w:bCs/>
                <w:color w:val="auto"/>
                <w:sz w:val="20"/>
              </w:rPr>
              <w:t>September 2020</w:t>
            </w:r>
            <w:r w:rsidRPr="00804383">
              <w:rPr>
                <w:rFonts w:eastAsia="Arial" w:cs="Arial"/>
                <w:bCs/>
                <w:color w:val="auto"/>
                <w:sz w:val="20"/>
              </w:rPr>
              <w:t>.</w:t>
            </w:r>
          </w:p>
        </w:tc>
      </w:tr>
    </w:tbl>
    <w:p w14:paraId="71238BEE" w14:textId="77777777" w:rsidR="00E56122" w:rsidRPr="00E56122" w:rsidRDefault="00E56122" w:rsidP="00E56122">
      <w:pPr>
        <w:keepNext w:val="0"/>
        <w:autoSpaceDE w:val="0"/>
        <w:autoSpaceDN w:val="0"/>
        <w:adjustRightInd w:val="0"/>
        <w:spacing w:before="0"/>
        <w:rPr>
          <w:rFonts w:eastAsia="Arial" w:cs="Arial"/>
          <w:color w:val="auto"/>
          <w:szCs w:val="24"/>
        </w:rPr>
      </w:pPr>
    </w:p>
    <w:p w14:paraId="50C4C700" w14:textId="77777777" w:rsidR="00E56122" w:rsidRDefault="00E56122" w:rsidP="00E56122">
      <w:pPr>
        <w:keepNext w:val="0"/>
        <w:spacing w:before="0"/>
        <w:ind w:left="709"/>
        <w:rPr>
          <w:rFonts w:cs="Arial"/>
          <w:color w:val="auto"/>
          <w:szCs w:val="24"/>
          <w:lang w:eastAsia="en-US"/>
        </w:rPr>
      </w:pPr>
    </w:p>
    <w:p w14:paraId="12B447CD" w14:textId="7CB81673" w:rsidR="00E56122" w:rsidRPr="00BC76FB"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eastAsia="Arial" w:cs="Arial"/>
          <w:color w:val="auto"/>
          <w:szCs w:val="24"/>
        </w:rPr>
        <w:t xml:space="preserve">Ashfield has a high percentage of </w:t>
      </w:r>
      <w:r w:rsidRPr="00804383">
        <w:rPr>
          <w:rFonts w:eastAsia="Arial" w:cs="Arial"/>
          <w:color w:val="auto"/>
          <w:szCs w:val="24"/>
        </w:rPr>
        <w:t>households (2</w:t>
      </w:r>
      <w:r w:rsidR="004C272D" w:rsidRPr="00804383">
        <w:rPr>
          <w:rFonts w:eastAsia="Arial" w:cs="Arial"/>
          <w:color w:val="auto"/>
          <w:szCs w:val="24"/>
        </w:rPr>
        <w:t>0.6</w:t>
      </w:r>
      <w:r w:rsidRPr="00804383">
        <w:rPr>
          <w:rFonts w:eastAsia="Arial" w:cs="Arial"/>
          <w:color w:val="auto"/>
          <w:szCs w:val="24"/>
        </w:rPr>
        <w:t>%) without access to a private vehicle (Census, 20</w:t>
      </w:r>
      <w:r w:rsidR="004C272D" w:rsidRPr="00804383">
        <w:rPr>
          <w:rFonts w:eastAsia="Arial" w:cs="Arial"/>
          <w:color w:val="auto"/>
          <w:szCs w:val="24"/>
        </w:rPr>
        <w:t>2</w:t>
      </w:r>
      <w:r w:rsidRPr="00804383">
        <w:rPr>
          <w:rFonts w:eastAsia="Arial" w:cs="Arial"/>
          <w:color w:val="auto"/>
          <w:szCs w:val="24"/>
        </w:rPr>
        <w:t>1)</w:t>
      </w:r>
      <w:r w:rsidR="004C272D" w:rsidRPr="00804383">
        <w:rPr>
          <w:rFonts w:eastAsia="Arial" w:cs="Arial"/>
          <w:color w:val="auto"/>
          <w:szCs w:val="24"/>
        </w:rPr>
        <w:t xml:space="preserve"> </w:t>
      </w:r>
      <w:r w:rsidRPr="00804383">
        <w:rPr>
          <w:rFonts w:eastAsia="Arial" w:cs="Arial"/>
          <w:color w:val="auto"/>
          <w:szCs w:val="24"/>
        </w:rPr>
        <w:t xml:space="preserve">and local centres and small out of centre shops provide a convenient, vital lifeline to local communities within </w:t>
      </w:r>
      <w:r w:rsidRPr="00E56122">
        <w:rPr>
          <w:rFonts w:eastAsia="Arial" w:cs="Arial"/>
          <w:color w:val="auto"/>
          <w:szCs w:val="24"/>
        </w:rPr>
        <w:t xml:space="preserve">many areas of the </w:t>
      </w:r>
      <w:proofErr w:type="gramStart"/>
      <w:r w:rsidRPr="00E56122">
        <w:rPr>
          <w:rFonts w:eastAsia="Arial" w:cs="Arial"/>
          <w:color w:val="auto"/>
          <w:szCs w:val="24"/>
        </w:rPr>
        <w:t>District</w:t>
      </w:r>
      <w:proofErr w:type="gramEnd"/>
      <w:r w:rsidRPr="00E56122">
        <w:rPr>
          <w:rFonts w:eastAsia="Arial" w:cs="Arial"/>
          <w:color w:val="auto"/>
          <w:szCs w:val="24"/>
        </w:rPr>
        <w:t>. As such, this policy seeks to protect local and minor shopping centres and smaller scale out of centre convenience shops</w:t>
      </w:r>
      <w:r>
        <w:rPr>
          <w:rFonts w:eastAsia="Arial" w:cs="Arial"/>
          <w:color w:val="auto"/>
          <w:szCs w:val="24"/>
        </w:rPr>
        <w:t>.</w:t>
      </w:r>
    </w:p>
    <w:p w14:paraId="1E23C9F2" w14:textId="77777777" w:rsidR="00BC76FB" w:rsidRPr="00E56122" w:rsidRDefault="00BC76FB" w:rsidP="00BC76FB">
      <w:pPr>
        <w:keepNext w:val="0"/>
        <w:spacing w:before="0"/>
        <w:ind w:left="709"/>
        <w:rPr>
          <w:rFonts w:cs="Arial"/>
          <w:color w:val="auto"/>
          <w:szCs w:val="24"/>
          <w:lang w:eastAsia="en-US"/>
        </w:rPr>
      </w:pPr>
    </w:p>
    <w:p w14:paraId="0234344B" w14:textId="4698F8D8" w:rsidR="00E56122" w:rsidRP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eastAsia="Arial" w:cs="Arial"/>
          <w:color w:val="auto"/>
          <w:szCs w:val="24"/>
        </w:rPr>
        <w:t xml:space="preserve">Local Shopping Centres and Shopping Parades should provide for the </w:t>
      </w:r>
      <w:proofErr w:type="gramStart"/>
      <w:r w:rsidRPr="00E56122">
        <w:rPr>
          <w:rFonts w:eastAsia="Arial" w:cs="Arial"/>
          <w:color w:val="auto"/>
          <w:szCs w:val="24"/>
        </w:rPr>
        <w:t>day to day</w:t>
      </w:r>
      <w:proofErr w:type="gramEnd"/>
      <w:r w:rsidRPr="00E56122">
        <w:rPr>
          <w:rFonts w:eastAsia="Arial" w:cs="Arial"/>
          <w:color w:val="auto"/>
          <w:szCs w:val="24"/>
        </w:rPr>
        <w:t xml:space="preserve"> needs of the community without threatening the vitality and viability of Primary Shopping Areas. At a national level, the NPPF promotes strong neighbourhood centres because they provide consumer choice and reduce the need to travel.</w:t>
      </w:r>
    </w:p>
    <w:p w14:paraId="0F5A8BB9" w14:textId="77777777" w:rsidR="00E56122" w:rsidRDefault="00E56122" w:rsidP="00E56122">
      <w:pPr>
        <w:keepNext w:val="0"/>
        <w:spacing w:before="0"/>
        <w:ind w:left="709"/>
        <w:rPr>
          <w:rFonts w:cs="Arial"/>
          <w:color w:val="auto"/>
          <w:szCs w:val="24"/>
          <w:lang w:eastAsia="en-US"/>
        </w:rPr>
      </w:pPr>
    </w:p>
    <w:p w14:paraId="531AD305" w14:textId="06850081" w:rsidR="00E56122" w:rsidRPr="009A3879"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eastAsia="Arial" w:cs="Arial"/>
          <w:color w:val="auto"/>
          <w:szCs w:val="24"/>
        </w:rPr>
        <w:t xml:space="preserve">Local Planning Authorities are required to plan positively for the provision of facilities, such as local shops and other local services, which serve the community’s day-to-day needs. </w:t>
      </w:r>
      <w:r w:rsidRPr="009A3879">
        <w:rPr>
          <w:rFonts w:eastAsia="Arial" w:cs="Arial"/>
          <w:color w:val="auto"/>
          <w:szCs w:val="24"/>
        </w:rPr>
        <w:t xml:space="preserve">The Ashfield </w:t>
      </w:r>
      <w:r w:rsidR="00F62485">
        <w:rPr>
          <w:rFonts w:eastAsia="Arial" w:cs="Arial"/>
          <w:color w:val="auto"/>
          <w:szCs w:val="24"/>
        </w:rPr>
        <w:t>Town Centre / Local Centre</w:t>
      </w:r>
      <w:r w:rsidRPr="009A3879">
        <w:rPr>
          <w:rFonts w:eastAsia="Arial" w:cs="Arial"/>
          <w:color w:val="auto"/>
          <w:szCs w:val="24"/>
        </w:rPr>
        <w:t xml:space="preserve"> Study 20</w:t>
      </w:r>
      <w:r w:rsidR="00F62485">
        <w:rPr>
          <w:rFonts w:eastAsia="Arial" w:cs="Arial"/>
          <w:color w:val="auto"/>
          <w:szCs w:val="24"/>
        </w:rPr>
        <w:t>23</w:t>
      </w:r>
      <w:r w:rsidRPr="009A3879">
        <w:rPr>
          <w:rFonts w:eastAsia="Arial" w:cs="Arial"/>
          <w:color w:val="auto"/>
          <w:szCs w:val="24"/>
          <w:vertAlign w:val="superscript"/>
        </w:rPr>
        <w:footnoteReference w:id="103"/>
      </w:r>
      <w:r w:rsidRPr="009A3879">
        <w:rPr>
          <w:rFonts w:eastAsia="Arial" w:cs="Arial"/>
          <w:color w:val="auto"/>
          <w:szCs w:val="24"/>
        </w:rPr>
        <w:t xml:space="preserve">, which forms the evidence base for policies relating to retail in the Ashfield Local Plan, recommends that small scale local facilities should be promoted in Local and Minor Shopping Centres and in areas less well served within Ashfield District. </w:t>
      </w:r>
    </w:p>
    <w:p w14:paraId="6E24C464" w14:textId="77777777" w:rsidR="00E56122" w:rsidRPr="009A3879" w:rsidRDefault="00E56122" w:rsidP="00E56122">
      <w:pPr>
        <w:keepNext w:val="0"/>
        <w:spacing w:before="0"/>
        <w:ind w:left="709"/>
        <w:rPr>
          <w:rFonts w:cs="Arial"/>
          <w:color w:val="auto"/>
          <w:szCs w:val="24"/>
          <w:lang w:eastAsia="en-US"/>
        </w:rPr>
      </w:pPr>
    </w:p>
    <w:p w14:paraId="603F5E3A" w14:textId="5AB4BC7E" w:rsidR="00E56122" w:rsidRPr="008F5954"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eastAsia="Arial" w:cs="Arial"/>
          <w:color w:val="auto"/>
          <w:szCs w:val="24"/>
        </w:rPr>
        <w:t>The Council will require evidence of a lack of demand for main town centre uses within the local centre before residential development is considered.   Further advice on converting shops to residential is set out in a supplementary planning document</w:t>
      </w:r>
      <w:r w:rsidRPr="00E56122">
        <w:rPr>
          <w:rFonts w:eastAsia="Arial" w:cs="Arial"/>
          <w:color w:val="auto"/>
          <w:szCs w:val="24"/>
          <w:vertAlign w:val="superscript"/>
        </w:rPr>
        <w:footnoteReference w:id="104"/>
      </w:r>
      <w:r w:rsidRPr="00E56122">
        <w:rPr>
          <w:rFonts w:eastAsia="Arial" w:cs="Arial"/>
          <w:color w:val="auto"/>
          <w:szCs w:val="24"/>
        </w:rPr>
        <w:t>.</w:t>
      </w:r>
    </w:p>
    <w:p w14:paraId="62B00237" w14:textId="77777777" w:rsidR="008F5954" w:rsidRPr="008F5954" w:rsidRDefault="008F5954" w:rsidP="008F5954">
      <w:pPr>
        <w:keepNext w:val="0"/>
        <w:spacing w:before="0"/>
        <w:ind w:left="709"/>
        <w:rPr>
          <w:rFonts w:cs="Arial"/>
          <w:color w:val="auto"/>
          <w:szCs w:val="24"/>
          <w:lang w:eastAsia="en-US"/>
        </w:rPr>
      </w:pPr>
    </w:p>
    <w:p w14:paraId="22B58CBD" w14:textId="6366C90E" w:rsidR="00E56122" w:rsidRPr="009A3879" w:rsidRDefault="00BC76FB" w:rsidP="007C22FA">
      <w:pPr>
        <w:keepNext w:val="0"/>
        <w:numPr>
          <w:ilvl w:val="1"/>
          <w:numId w:val="6"/>
        </w:numPr>
        <w:tabs>
          <w:tab w:val="clear" w:pos="525"/>
        </w:tabs>
        <w:spacing w:before="0"/>
        <w:ind w:left="709" w:hanging="709"/>
        <w:rPr>
          <w:rFonts w:cs="Arial"/>
          <w:color w:val="auto"/>
          <w:szCs w:val="24"/>
          <w:lang w:eastAsia="en-US"/>
        </w:rPr>
      </w:pPr>
      <w:r w:rsidRPr="009A3879">
        <w:rPr>
          <w:rFonts w:eastAsia="Arial" w:cs="Arial"/>
          <w:color w:val="auto"/>
          <w:szCs w:val="24"/>
        </w:rPr>
        <w:t>Small convenience shops have an important role in meeting local needs.  Larger housing developments may justify the provision of additional local shopping facilities. However, the demand for such provisions is difficult to quantify.   Propos</w:t>
      </w:r>
      <w:r w:rsidR="007C22FA" w:rsidRPr="009A3879">
        <w:rPr>
          <w:rFonts w:eastAsia="Arial" w:cs="Arial"/>
          <w:color w:val="auto"/>
          <w:szCs w:val="24"/>
        </w:rPr>
        <w:t>a</w:t>
      </w:r>
      <w:r w:rsidRPr="009A3879">
        <w:rPr>
          <w:rFonts w:eastAsia="Arial" w:cs="Arial"/>
          <w:color w:val="auto"/>
          <w:szCs w:val="24"/>
        </w:rPr>
        <w:t>l</w:t>
      </w:r>
      <w:r w:rsidR="007C22FA" w:rsidRPr="009A3879">
        <w:rPr>
          <w:rFonts w:eastAsia="Arial" w:cs="Arial"/>
          <w:color w:val="auto"/>
          <w:szCs w:val="24"/>
        </w:rPr>
        <w:t>s</w:t>
      </w:r>
      <w:r w:rsidRPr="009A3879">
        <w:rPr>
          <w:rFonts w:eastAsia="Arial" w:cs="Arial"/>
          <w:color w:val="auto"/>
          <w:szCs w:val="24"/>
        </w:rPr>
        <w:t xml:space="preserve"> for smaller shops, either as new development or change </w:t>
      </w:r>
      <w:r w:rsidR="007C22FA" w:rsidRPr="009A3879">
        <w:rPr>
          <w:rFonts w:eastAsia="Arial" w:cs="Arial"/>
          <w:color w:val="auto"/>
          <w:szCs w:val="24"/>
        </w:rPr>
        <w:t xml:space="preserve">in the use of an existing building will generally be favourably considered. The policy limits the floorspace to 200 </w:t>
      </w:r>
      <w:r w:rsidR="00163F59" w:rsidRPr="009A3879">
        <w:rPr>
          <w:rFonts w:eastAsia="Arial" w:cs="Arial"/>
          <w:color w:val="auto"/>
          <w:szCs w:val="24"/>
        </w:rPr>
        <w:t>sq.</w:t>
      </w:r>
      <w:r w:rsidR="007C22FA" w:rsidRPr="009A3879">
        <w:rPr>
          <w:rFonts w:eastAsia="Arial" w:cs="Arial"/>
          <w:color w:val="auto"/>
          <w:szCs w:val="24"/>
        </w:rPr>
        <w:t xml:space="preserve"> m. in line with the recommendations from the </w:t>
      </w:r>
      <w:r w:rsidR="00F62485">
        <w:rPr>
          <w:rFonts w:eastAsia="Arial" w:cs="Arial"/>
          <w:color w:val="auto"/>
          <w:szCs w:val="24"/>
        </w:rPr>
        <w:t>Town Centre / Local Centre Study</w:t>
      </w:r>
      <w:r w:rsidR="007C22FA" w:rsidRPr="009A3879">
        <w:rPr>
          <w:rFonts w:eastAsia="Arial" w:cs="Arial"/>
          <w:color w:val="auto"/>
          <w:szCs w:val="24"/>
        </w:rPr>
        <w:t xml:space="preserve"> in relation to the threshold for an impact test. </w:t>
      </w:r>
    </w:p>
    <w:p w14:paraId="59A0F7B7" w14:textId="77777777" w:rsidR="00263F59" w:rsidRPr="009A3879" w:rsidRDefault="00263F59" w:rsidP="00263F59">
      <w:pPr>
        <w:pStyle w:val="ListParagraph"/>
        <w:spacing w:after="0" w:line="240" w:lineRule="auto"/>
        <w:rPr>
          <w:rFonts w:ascii="Arial" w:hAnsi="Arial" w:cs="Arial"/>
          <w:color w:val="auto"/>
          <w:szCs w:val="24"/>
        </w:rPr>
      </w:pPr>
    </w:p>
    <w:bookmarkEnd w:id="281"/>
    <w:p w14:paraId="0891BA33" w14:textId="4881FBC3" w:rsidR="00263F59" w:rsidRDefault="00263F59" w:rsidP="00263F59">
      <w:pPr>
        <w:keepNext w:val="0"/>
        <w:spacing w:before="0"/>
        <w:ind w:left="709"/>
        <w:rPr>
          <w:rFonts w:cs="Arial"/>
          <w:color w:val="auto"/>
          <w:szCs w:val="24"/>
          <w:lang w:eastAsia="en-US"/>
        </w:rPr>
      </w:pPr>
    </w:p>
    <w:bookmarkEnd w:id="273"/>
    <w:p w14:paraId="3DA45563" w14:textId="77777777" w:rsidR="00263F59" w:rsidRPr="00E56122" w:rsidRDefault="00263F59" w:rsidP="00263F59">
      <w:pPr>
        <w:keepNext w:val="0"/>
        <w:spacing w:before="0"/>
        <w:ind w:left="709"/>
        <w:rPr>
          <w:rFonts w:cs="Arial"/>
          <w:color w:val="auto"/>
          <w:szCs w:val="24"/>
          <w:lang w:eastAsia="en-US"/>
        </w:rPr>
      </w:pPr>
    </w:p>
    <w:p w14:paraId="758B5876" w14:textId="7AD5FB16" w:rsidR="00E56122" w:rsidRPr="00C55F46" w:rsidRDefault="006977E7" w:rsidP="00C55F46">
      <w:pPr>
        <w:pStyle w:val="Heading2"/>
        <w:jc w:val="left"/>
        <w:rPr>
          <w:sz w:val="28"/>
          <w:szCs w:val="28"/>
        </w:rPr>
      </w:pPr>
      <w:bookmarkStart w:id="284" w:name="_Toc500408774"/>
      <w:bookmarkStart w:id="285" w:name="_Toc145511607"/>
      <w:bookmarkStart w:id="286" w:name="_Hlk78469235"/>
      <w:r w:rsidRPr="00C55F46">
        <w:rPr>
          <w:sz w:val="28"/>
          <w:szCs w:val="28"/>
        </w:rPr>
        <w:t xml:space="preserve">Policy </w:t>
      </w:r>
      <w:r w:rsidR="00E56122" w:rsidRPr="00C55F46">
        <w:rPr>
          <w:sz w:val="28"/>
          <w:szCs w:val="28"/>
        </w:rPr>
        <w:t>SH3: Shopfronts</w:t>
      </w:r>
      <w:bookmarkEnd w:id="284"/>
      <w:bookmarkEnd w:id="285"/>
    </w:p>
    <w:p w14:paraId="7DCD8C64" w14:textId="77777777" w:rsidR="00E56122" w:rsidRPr="00E56122" w:rsidRDefault="00E56122" w:rsidP="00263F59">
      <w:pPr>
        <w:keepNext w:val="0"/>
        <w:spacing w:before="0"/>
        <w:rPr>
          <w:rFonts w:cs="Arial"/>
          <w:color w:val="auto"/>
          <w:lang w:eastAsia="en-US"/>
        </w:rPr>
      </w:pPr>
    </w:p>
    <w:tbl>
      <w:tblPr>
        <w:tblStyle w:val="TableGrid3"/>
        <w:tblW w:w="9776" w:type="dxa"/>
        <w:tblLook w:val="04A0" w:firstRow="1" w:lastRow="0" w:firstColumn="1" w:lastColumn="0" w:noHBand="0" w:noVBand="1"/>
      </w:tblPr>
      <w:tblGrid>
        <w:gridCol w:w="2405"/>
        <w:gridCol w:w="255"/>
        <w:gridCol w:w="7116"/>
      </w:tblGrid>
      <w:tr w:rsidR="00E56122" w:rsidRPr="00E56122" w14:paraId="172AA2E1" w14:textId="77777777" w:rsidTr="00163F59">
        <w:trPr>
          <w:trHeight w:val="421"/>
        </w:trPr>
        <w:tc>
          <w:tcPr>
            <w:tcW w:w="9776" w:type="dxa"/>
            <w:gridSpan w:val="3"/>
          </w:tcPr>
          <w:p w14:paraId="5C96C238" w14:textId="77777777" w:rsidR="00A56503" w:rsidRDefault="00A56503" w:rsidP="00FF3EAD">
            <w:pPr>
              <w:keepNext w:val="0"/>
              <w:tabs>
                <w:tab w:val="left" w:pos="680"/>
              </w:tabs>
              <w:spacing w:before="0"/>
              <w:jc w:val="left"/>
              <w:rPr>
                <w:rFonts w:eastAsia="Arial"/>
                <w:b/>
                <w:color w:val="auto"/>
                <w:spacing w:val="-1"/>
              </w:rPr>
            </w:pPr>
            <w:bookmarkStart w:id="287" w:name="_Hlk78784828"/>
          </w:p>
          <w:p w14:paraId="3BCAB01C" w14:textId="69D2F1E5" w:rsidR="00E56122" w:rsidRDefault="00E56122" w:rsidP="00FF3EAD">
            <w:pPr>
              <w:keepNext w:val="0"/>
              <w:tabs>
                <w:tab w:val="left" w:pos="680"/>
              </w:tabs>
              <w:spacing w:before="0"/>
              <w:jc w:val="left"/>
              <w:rPr>
                <w:rFonts w:eastAsia="Arial"/>
                <w:b/>
                <w:color w:val="auto"/>
                <w:spacing w:val="-1"/>
              </w:rPr>
            </w:pPr>
            <w:r w:rsidRPr="00E56122">
              <w:rPr>
                <w:rFonts w:eastAsia="Arial"/>
                <w:b/>
                <w:color w:val="auto"/>
                <w:spacing w:val="-1"/>
              </w:rPr>
              <w:t>Policy SH3: Shopfronts</w:t>
            </w:r>
          </w:p>
          <w:p w14:paraId="518FDD53" w14:textId="570A28C3" w:rsidR="00A56503" w:rsidRPr="00E56122" w:rsidRDefault="00A56503" w:rsidP="00FF3EAD">
            <w:pPr>
              <w:keepNext w:val="0"/>
              <w:tabs>
                <w:tab w:val="left" w:pos="680"/>
              </w:tabs>
              <w:spacing w:before="0"/>
              <w:jc w:val="left"/>
              <w:rPr>
                <w:rFonts w:eastAsia="Arial"/>
                <w:b/>
                <w:color w:val="auto"/>
                <w:spacing w:val="-1"/>
              </w:rPr>
            </w:pPr>
          </w:p>
        </w:tc>
      </w:tr>
      <w:tr w:rsidR="00E56122" w:rsidRPr="00E56122" w14:paraId="5764F58C" w14:textId="77777777" w:rsidTr="00163F59">
        <w:tc>
          <w:tcPr>
            <w:tcW w:w="2660" w:type="dxa"/>
            <w:gridSpan w:val="2"/>
          </w:tcPr>
          <w:p w14:paraId="59B75087" w14:textId="77777777" w:rsidR="00E56122" w:rsidRPr="00E56122" w:rsidRDefault="00E56122" w:rsidP="00FF3EAD">
            <w:pPr>
              <w:keepNext w:val="0"/>
              <w:tabs>
                <w:tab w:val="left" w:pos="680"/>
              </w:tabs>
              <w:spacing w:before="0"/>
              <w:jc w:val="left"/>
              <w:rPr>
                <w:rFonts w:eastAsia="Arial"/>
                <w:bCs/>
                <w:color w:val="auto"/>
              </w:rPr>
            </w:pPr>
            <w:r w:rsidRPr="00E56122">
              <w:rPr>
                <w:rFonts w:eastAsia="Arial"/>
                <w:bCs/>
                <w:color w:val="auto"/>
              </w:rPr>
              <w:t>Strategic Objectives</w:t>
            </w:r>
          </w:p>
        </w:tc>
        <w:tc>
          <w:tcPr>
            <w:tcW w:w="7116" w:type="dxa"/>
          </w:tcPr>
          <w:p w14:paraId="68992D1F" w14:textId="77777777" w:rsidR="00E56122" w:rsidRPr="00E56122" w:rsidRDefault="00E56122" w:rsidP="00FF3EAD">
            <w:pPr>
              <w:keepNext w:val="0"/>
              <w:tabs>
                <w:tab w:val="left" w:pos="680"/>
              </w:tabs>
              <w:spacing w:before="40" w:after="40"/>
              <w:jc w:val="left"/>
              <w:rPr>
                <w:rFonts w:eastAsia="Arial"/>
                <w:bCs/>
                <w:color w:val="auto"/>
              </w:rPr>
            </w:pPr>
            <w:r w:rsidRPr="00E56122">
              <w:rPr>
                <w:rFonts w:eastAsia="Arial"/>
                <w:bCs/>
                <w:color w:val="auto"/>
              </w:rPr>
              <w:t>SO1, SO2, SO7, SO8, SO9, SO10, SO14.</w:t>
            </w:r>
          </w:p>
        </w:tc>
      </w:tr>
      <w:tr w:rsidR="00E56122" w:rsidRPr="00E56122" w14:paraId="0692D5FC" w14:textId="77777777" w:rsidTr="00163F59">
        <w:tc>
          <w:tcPr>
            <w:tcW w:w="9776" w:type="dxa"/>
            <w:gridSpan w:val="3"/>
            <w:shd w:val="clear" w:color="auto" w:fill="E6A8A8"/>
          </w:tcPr>
          <w:p w14:paraId="572CDC4A" w14:textId="77777777" w:rsidR="00E56122" w:rsidRPr="00E56122" w:rsidRDefault="00E56122" w:rsidP="00FF3EAD">
            <w:pPr>
              <w:keepNext w:val="0"/>
              <w:autoSpaceDE w:val="0"/>
              <w:autoSpaceDN w:val="0"/>
              <w:adjustRightInd w:val="0"/>
              <w:spacing w:before="0"/>
              <w:contextualSpacing/>
              <w:jc w:val="left"/>
              <w:rPr>
                <w:rFonts w:eastAsia="Arial" w:cs="Arial"/>
                <w:bCs/>
                <w:color w:val="auto"/>
                <w:szCs w:val="24"/>
              </w:rPr>
            </w:pPr>
          </w:p>
          <w:p w14:paraId="6F0BFA51" w14:textId="77777777" w:rsidR="00E56122" w:rsidRPr="00E56122" w:rsidRDefault="00E56122" w:rsidP="00874A98">
            <w:pPr>
              <w:keepNext w:val="0"/>
              <w:numPr>
                <w:ilvl w:val="0"/>
                <w:numId w:val="174"/>
              </w:numPr>
              <w:autoSpaceDE w:val="0"/>
              <w:autoSpaceDN w:val="0"/>
              <w:adjustRightInd w:val="0"/>
              <w:spacing w:before="0" w:after="160" w:line="252" w:lineRule="auto"/>
              <w:ind w:left="426"/>
              <w:contextualSpacing/>
              <w:jc w:val="left"/>
              <w:rPr>
                <w:rFonts w:cs="Arial"/>
                <w:bCs/>
                <w:color w:val="auto"/>
                <w:szCs w:val="24"/>
              </w:rPr>
            </w:pPr>
            <w:r w:rsidRPr="00E56122">
              <w:rPr>
                <w:rFonts w:cs="Arial"/>
                <w:bCs/>
                <w:color w:val="auto"/>
                <w:szCs w:val="24"/>
              </w:rPr>
              <w:t>Premises shall provide and retain clear views into and out of shop window(s). Inset entrances on shopfronts should be glazed and well lit, to contribute to the attractiveness, safety and vitality of shopping areas and avoid blank frontages to the street.</w:t>
            </w:r>
          </w:p>
          <w:p w14:paraId="398EE3CC" w14:textId="77777777" w:rsidR="00E56122" w:rsidRPr="00E56122" w:rsidRDefault="00E56122" w:rsidP="00FF3EAD">
            <w:pPr>
              <w:keepNext w:val="0"/>
              <w:autoSpaceDE w:val="0"/>
              <w:autoSpaceDN w:val="0"/>
              <w:adjustRightInd w:val="0"/>
              <w:spacing w:before="0"/>
              <w:ind w:left="426"/>
              <w:contextualSpacing/>
              <w:jc w:val="left"/>
              <w:rPr>
                <w:rFonts w:cs="Arial"/>
                <w:bCs/>
                <w:color w:val="auto"/>
                <w:szCs w:val="24"/>
              </w:rPr>
            </w:pPr>
          </w:p>
          <w:p w14:paraId="39C5D204" w14:textId="77777777" w:rsidR="00E56122" w:rsidRPr="00E56122" w:rsidRDefault="00E56122" w:rsidP="00874A98">
            <w:pPr>
              <w:keepNext w:val="0"/>
              <w:numPr>
                <w:ilvl w:val="0"/>
                <w:numId w:val="174"/>
              </w:numPr>
              <w:autoSpaceDE w:val="0"/>
              <w:autoSpaceDN w:val="0"/>
              <w:adjustRightInd w:val="0"/>
              <w:spacing w:before="0" w:after="160" w:line="252" w:lineRule="auto"/>
              <w:ind w:left="426"/>
              <w:contextualSpacing/>
              <w:jc w:val="left"/>
              <w:rPr>
                <w:rFonts w:cs="Arial"/>
                <w:bCs/>
                <w:color w:val="auto"/>
                <w:szCs w:val="24"/>
              </w:rPr>
            </w:pPr>
            <w:r w:rsidRPr="00E56122">
              <w:rPr>
                <w:rFonts w:cs="Arial"/>
                <w:bCs/>
                <w:color w:val="auto"/>
                <w:szCs w:val="24"/>
              </w:rPr>
              <w:t>The Council will resist the removal of shopfronts of architectural or historic interest.</w:t>
            </w:r>
          </w:p>
          <w:p w14:paraId="7516B32D" w14:textId="77777777" w:rsidR="00E56122" w:rsidRPr="00E56122" w:rsidRDefault="00E56122" w:rsidP="00FF3EAD">
            <w:pPr>
              <w:keepNext w:val="0"/>
              <w:autoSpaceDE w:val="0"/>
              <w:autoSpaceDN w:val="0"/>
              <w:adjustRightInd w:val="0"/>
              <w:spacing w:before="0"/>
              <w:ind w:left="426"/>
              <w:jc w:val="left"/>
              <w:rPr>
                <w:rFonts w:cs="Arial"/>
                <w:bCs/>
                <w:color w:val="auto"/>
              </w:rPr>
            </w:pPr>
          </w:p>
          <w:p w14:paraId="02E4A962" w14:textId="77777777" w:rsidR="00E56122" w:rsidRPr="00E56122" w:rsidRDefault="00E56122" w:rsidP="00874A98">
            <w:pPr>
              <w:keepNext w:val="0"/>
              <w:numPr>
                <w:ilvl w:val="0"/>
                <w:numId w:val="174"/>
              </w:numPr>
              <w:autoSpaceDE w:val="0"/>
              <w:autoSpaceDN w:val="0"/>
              <w:adjustRightInd w:val="0"/>
              <w:spacing w:before="0" w:after="160" w:line="252" w:lineRule="auto"/>
              <w:ind w:left="426"/>
              <w:contextualSpacing/>
              <w:jc w:val="left"/>
              <w:rPr>
                <w:rFonts w:cs="Arial"/>
                <w:bCs/>
                <w:color w:val="auto"/>
                <w:szCs w:val="24"/>
              </w:rPr>
            </w:pPr>
            <w:r w:rsidRPr="00E56122">
              <w:rPr>
                <w:rFonts w:cs="Arial"/>
                <w:bCs/>
                <w:color w:val="auto"/>
                <w:szCs w:val="24"/>
              </w:rPr>
              <w:t>The Council will expect proposals for new shopfronts and alterations to existing shopfronts to demonstrate a high quality of design, which complements, and is in proportion with, the architectural style of the whole building and the street scene.</w:t>
            </w:r>
          </w:p>
          <w:p w14:paraId="1942B499" w14:textId="77777777" w:rsidR="00E56122" w:rsidRPr="00E56122" w:rsidRDefault="00E56122" w:rsidP="00FF3EAD">
            <w:pPr>
              <w:keepNext w:val="0"/>
              <w:autoSpaceDE w:val="0"/>
              <w:autoSpaceDN w:val="0"/>
              <w:adjustRightInd w:val="0"/>
              <w:spacing w:before="0"/>
              <w:ind w:left="426"/>
              <w:jc w:val="left"/>
              <w:rPr>
                <w:rFonts w:cs="Arial"/>
                <w:bCs/>
                <w:color w:val="auto"/>
                <w:szCs w:val="24"/>
              </w:rPr>
            </w:pPr>
          </w:p>
          <w:p w14:paraId="2F171A91" w14:textId="77777777" w:rsidR="00E56122" w:rsidRPr="00E56122" w:rsidRDefault="00E56122" w:rsidP="00874A98">
            <w:pPr>
              <w:keepNext w:val="0"/>
              <w:numPr>
                <w:ilvl w:val="0"/>
                <w:numId w:val="174"/>
              </w:numPr>
              <w:autoSpaceDE w:val="0"/>
              <w:autoSpaceDN w:val="0"/>
              <w:adjustRightInd w:val="0"/>
              <w:spacing w:before="0" w:after="160" w:line="252" w:lineRule="auto"/>
              <w:ind w:left="426"/>
              <w:contextualSpacing/>
              <w:jc w:val="left"/>
              <w:rPr>
                <w:rFonts w:cs="Arial"/>
                <w:bCs/>
                <w:color w:val="auto"/>
                <w:szCs w:val="24"/>
              </w:rPr>
            </w:pPr>
            <w:r w:rsidRPr="00E56122">
              <w:rPr>
                <w:rFonts w:cs="Arial"/>
                <w:bCs/>
                <w:color w:val="auto"/>
                <w:szCs w:val="24"/>
              </w:rPr>
              <w:t xml:space="preserve">Canopies and blinds, where acceptable in principle, must be appropriate to the character of the shopfront and its setting. </w:t>
            </w:r>
          </w:p>
          <w:p w14:paraId="2462F402" w14:textId="77777777" w:rsidR="00E56122" w:rsidRPr="00E56122" w:rsidRDefault="00E56122" w:rsidP="00FF3EAD">
            <w:pPr>
              <w:keepNext w:val="0"/>
              <w:spacing w:before="0"/>
              <w:ind w:left="426"/>
              <w:contextualSpacing/>
              <w:jc w:val="left"/>
              <w:rPr>
                <w:rFonts w:cs="Arial"/>
                <w:bCs/>
                <w:color w:val="auto"/>
                <w:szCs w:val="24"/>
              </w:rPr>
            </w:pPr>
          </w:p>
          <w:p w14:paraId="0337C793" w14:textId="5E92FC06" w:rsidR="00E56122" w:rsidRPr="00E56122" w:rsidRDefault="00E56122" w:rsidP="00874A98">
            <w:pPr>
              <w:keepNext w:val="0"/>
              <w:numPr>
                <w:ilvl w:val="0"/>
                <w:numId w:val="174"/>
              </w:numPr>
              <w:autoSpaceDE w:val="0"/>
              <w:autoSpaceDN w:val="0"/>
              <w:adjustRightInd w:val="0"/>
              <w:spacing w:before="0" w:after="160" w:line="252" w:lineRule="auto"/>
              <w:ind w:left="426"/>
              <w:contextualSpacing/>
              <w:jc w:val="left"/>
              <w:rPr>
                <w:rFonts w:cs="Arial"/>
                <w:bCs/>
                <w:color w:val="auto"/>
                <w:szCs w:val="24"/>
              </w:rPr>
            </w:pPr>
            <w:r w:rsidRPr="00E56122">
              <w:rPr>
                <w:rFonts w:cs="Arial"/>
                <w:bCs/>
                <w:color w:val="auto"/>
                <w:szCs w:val="24"/>
              </w:rPr>
              <w:t>External security shutters and grilles will only be permitted in exceptional circumstances.   Security provisions</w:t>
            </w:r>
            <w:r w:rsidR="00BA7A05">
              <w:rPr>
                <w:rFonts w:cs="Arial"/>
                <w:bCs/>
                <w:color w:val="auto"/>
                <w:szCs w:val="24"/>
              </w:rPr>
              <w:t xml:space="preserve"> must</w:t>
            </w:r>
            <w:r w:rsidRPr="00E56122">
              <w:rPr>
                <w:rFonts w:cs="Arial"/>
                <w:bCs/>
                <w:color w:val="auto"/>
                <w:szCs w:val="24"/>
              </w:rPr>
              <w:t xml:space="preserve"> have some visual permeability.</w:t>
            </w:r>
          </w:p>
          <w:p w14:paraId="0DEFF386" w14:textId="77777777" w:rsidR="00E56122" w:rsidRPr="00E56122" w:rsidRDefault="00E56122" w:rsidP="00FF3EAD">
            <w:pPr>
              <w:keepNext w:val="0"/>
              <w:autoSpaceDE w:val="0"/>
              <w:autoSpaceDN w:val="0"/>
              <w:adjustRightInd w:val="0"/>
              <w:spacing w:before="0"/>
              <w:ind w:left="426"/>
              <w:contextualSpacing/>
              <w:jc w:val="left"/>
              <w:rPr>
                <w:rFonts w:cs="Arial"/>
                <w:bCs/>
                <w:color w:val="auto"/>
                <w:szCs w:val="24"/>
              </w:rPr>
            </w:pPr>
          </w:p>
          <w:p w14:paraId="495E1A19" w14:textId="1F89CCA6" w:rsidR="00E56122" w:rsidRPr="00E56122" w:rsidRDefault="00E56122" w:rsidP="00874A98">
            <w:pPr>
              <w:keepNext w:val="0"/>
              <w:numPr>
                <w:ilvl w:val="0"/>
                <w:numId w:val="174"/>
              </w:numPr>
              <w:autoSpaceDE w:val="0"/>
              <w:autoSpaceDN w:val="0"/>
              <w:adjustRightInd w:val="0"/>
              <w:spacing w:before="0" w:after="160" w:line="252" w:lineRule="auto"/>
              <w:ind w:left="426"/>
              <w:contextualSpacing/>
              <w:jc w:val="left"/>
              <w:rPr>
                <w:rFonts w:cs="Arial"/>
                <w:bCs/>
                <w:color w:val="auto"/>
                <w:szCs w:val="24"/>
              </w:rPr>
            </w:pPr>
            <w:r w:rsidRPr="00E56122">
              <w:rPr>
                <w:rFonts w:cs="Arial"/>
                <w:bCs/>
                <w:color w:val="auto"/>
                <w:szCs w:val="24"/>
              </w:rPr>
              <w:t>Illumination to shopfronts must be sited and designed so as not to negatively impact on the street scene or cause visual intrusion from light pollution into adjoining or nearby residential properties.  Flashing internal or external lighting</w:t>
            </w:r>
            <w:r w:rsidR="00595970">
              <w:rPr>
                <w:rFonts w:cs="Arial"/>
                <w:bCs/>
                <w:color w:val="auto"/>
                <w:szCs w:val="24"/>
              </w:rPr>
              <w:t xml:space="preserve"> </w:t>
            </w:r>
            <w:r w:rsidRPr="00E56122">
              <w:rPr>
                <w:rFonts w:cs="Arial"/>
                <w:bCs/>
                <w:color w:val="auto"/>
                <w:szCs w:val="24"/>
              </w:rPr>
              <w:t>will not normally be permitted.</w:t>
            </w:r>
          </w:p>
          <w:p w14:paraId="3A1C0753" w14:textId="77777777" w:rsidR="00E56122" w:rsidRPr="00E56122" w:rsidRDefault="00E56122" w:rsidP="00FF3EAD">
            <w:pPr>
              <w:keepNext w:val="0"/>
              <w:autoSpaceDE w:val="0"/>
              <w:autoSpaceDN w:val="0"/>
              <w:adjustRightInd w:val="0"/>
              <w:spacing w:before="0"/>
              <w:ind w:left="426"/>
              <w:contextualSpacing/>
              <w:jc w:val="left"/>
              <w:rPr>
                <w:rFonts w:cs="Arial"/>
                <w:bCs/>
                <w:color w:val="auto"/>
                <w:szCs w:val="24"/>
              </w:rPr>
            </w:pPr>
          </w:p>
          <w:p w14:paraId="6051D79D" w14:textId="2993381C" w:rsidR="00E56122" w:rsidRPr="00E56122" w:rsidRDefault="00E56122" w:rsidP="00874A98">
            <w:pPr>
              <w:keepNext w:val="0"/>
              <w:numPr>
                <w:ilvl w:val="0"/>
                <w:numId w:val="174"/>
              </w:numPr>
              <w:autoSpaceDE w:val="0"/>
              <w:autoSpaceDN w:val="0"/>
              <w:adjustRightInd w:val="0"/>
              <w:spacing w:before="0" w:after="160" w:line="252" w:lineRule="auto"/>
              <w:ind w:left="426"/>
              <w:contextualSpacing/>
              <w:jc w:val="left"/>
              <w:rPr>
                <w:rFonts w:cs="Arial"/>
                <w:bCs/>
                <w:color w:val="auto"/>
                <w:szCs w:val="24"/>
              </w:rPr>
            </w:pPr>
            <w:r w:rsidRPr="00E56122">
              <w:rPr>
                <w:rFonts w:cs="Arial"/>
                <w:bCs/>
                <w:color w:val="auto"/>
                <w:szCs w:val="24"/>
              </w:rPr>
              <w:t>Shop signage should form an integral part of a shop front design, but it must not have an overbearing effect on the building or the surrounding street scene.  Signage should generally be limited to appropriately designed and located fascia boards and/or projecting signs. Further guidance is detailed within Policy SD1</w:t>
            </w:r>
            <w:r w:rsidR="00BE13FE">
              <w:rPr>
                <w:rFonts w:cs="Arial"/>
                <w:bCs/>
                <w:color w:val="auto"/>
                <w:szCs w:val="24"/>
              </w:rPr>
              <w:t>2</w:t>
            </w:r>
            <w:r w:rsidRPr="00E56122">
              <w:rPr>
                <w:rFonts w:cs="Arial"/>
                <w:bCs/>
                <w:color w:val="auto"/>
                <w:szCs w:val="24"/>
              </w:rPr>
              <w:t>.</w:t>
            </w:r>
          </w:p>
          <w:p w14:paraId="3EC9816B" w14:textId="77777777" w:rsidR="00E56122" w:rsidRPr="00E56122" w:rsidRDefault="00E56122" w:rsidP="00FF3EAD">
            <w:pPr>
              <w:keepNext w:val="0"/>
              <w:autoSpaceDE w:val="0"/>
              <w:autoSpaceDN w:val="0"/>
              <w:adjustRightInd w:val="0"/>
              <w:spacing w:before="0"/>
              <w:ind w:left="426"/>
              <w:contextualSpacing/>
              <w:jc w:val="left"/>
              <w:rPr>
                <w:rFonts w:cs="Arial"/>
                <w:bCs/>
                <w:color w:val="auto"/>
                <w:szCs w:val="24"/>
              </w:rPr>
            </w:pPr>
          </w:p>
          <w:p w14:paraId="5376C87A" w14:textId="77777777" w:rsidR="00E56122" w:rsidRPr="00E56122" w:rsidRDefault="00E56122" w:rsidP="00874A98">
            <w:pPr>
              <w:keepNext w:val="0"/>
              <w:numPr>
                <w:ilvl w:val="0"/>
                <w:numId w:val="174"/>
              </w:numPr>
              <w:autoSpaceDE w:val="0"/>
              <w:autoSpaceDN w:val="0"/>
              <w:adjustRightInd w:val="0"/>
              <w:spacing w:before="0" w:after="160" w:line="252" w:lineRule="auto"/>
              <w:ind w:left="426"/>
              <w:contextualSpacing/>
              <w:jc w:val="left"/>
              <w:rPr>
                <w:rFonts w:cs="Arial"/>
                <w:bCs/>
                <w:color w:val="auto"/>
                <w:szCs w:val="24"/>
              </w:rPr>
            </w:pPr>
            <w:r w:rsidRPr="00E56122">
              <w:rPr>
                <w:rFonts w:cs="Arial"/>
                <w:bCs/>
                <w:color w:val="auto"/>
                <w:szCs w:val="24"/>
              </w:rPr>
              <w:lastRenderedPageBreak/>
              <w:t>New shopfronts must be designed to allow equal access for all users, while having regard to a Best Practice approach to access and inclusion.</w:t>
            </w:r>
          </w:p>
          <w:p w14:paraId="0EF5CBA9" w14:textId="77777777" w:rsidR="00E56122" w:rsidRPr="00E56122" w:rsidRDefault="00E56122" w:rsidP="00FF3EAD">
            <w:pPr>
              <w:keepNext w:val="0"/>
              <w:autoSpaceDE w:val="0"/>
              <w:autoSpaceDN w:val="0"/>
              <w:adjustRightInd w:val="0"/>
              <w:spacing w:before="0"/>
              <w:contextualSpacing/>
              <w:jc w:val="left"/>
              <w:rPr>
                <w:rFonts w:cs="Arial"/>
                <w:bCs/>
                <w:color w:val="538135"/>
                <w:szCs w:val="24"/>
              </w:rPr>
            </w:pPr>
          </w:p>
        </w:tc>
      </w:tr>
      <w:bookmarkEnd w:id="287"/>
      <w:tr w:rsidR="00E56122" w:rsidRPr="00E56122" w14:paraId="2703F949" w14:textId="77777777" w:rsidTr="00163F59">
        <w:tc>
          <w:tcPr>
            <w:tcW w:w="2405" w:type="dxa"/>
          </w:tcPr>
          <w:p w14:paraId="4A27D1E1" w14:textId="77777777" w:rsidR="00E56122" w:rsidRPr="00E56122" w:rsidRDefault="00E56122" w:rsidP="00A03E50">
            <w:pPr>
              <w:keepNext w:val="0"/>
              <w:autoSpaceDE w:val="0"/>
              <w:autoSpaceDN w:val="0"/>
              <w:adjustRightInd w:val="0"/>
              <w:spacing w:before="0"/>
              <w:contextualSpacing/>
              <w:rPr>
                <w:rFonts w:eastAsia="Arial" w:cs="Arial"/>
                <w:b/>
                <w:color w:val="auto"/>
                <w:szCs w:val="24"/>
              </w:rPr>
            </w:pPr>
            <w:r w:rsidRPr="00E56122">
              <w:rPr>
                <w:rFonts w:eastAsia="Arial" w:cs="Arial"/>
                <w:bCs/>
                <w:color w:val="auto"/>
                <w:sz w:val="20"/>
              </w:rPr>
              <w:lastRenderedPageBreak/>
              <w:t>Evidence base</w:t>
            </w:r>
          </w:p>
        </w:tc>
        <w:tc>
          <w:tcPr>
            <w:tcW w:w="7371" w:type="dxa"/>
            <w:gridSpan w:val="2"/>
          </w:tcPr>
          <w:p w14:paraId="74AB7A74" w14:textId="18EC1BD4" w:rsidR="00E56122" w:rsidRPr="00595970" w:rsidRDefault="00106B8C" w:rsidP="00FF3EAD">
            <w:pPr>
              <w:keepNext w:val="0"/>
              <w:numPr>
                <w:ilvl w:val="0"/>
                <w:numId w:val="36"/>
              </w:numPr>
              <w:spacing w:before="0" w:after="160" w:line="252" w:lineRule="auto"/>
              <w:contextualSpacing/>
              <w:jc w:val="left"/>
              <w:rPr>
                <w:rFonts w:cs="Arial"/>
                <w:color w:val="auto"/>
                <w:sz w:val="20"/>
              </w:rPr>
            </w:pPr>
            <w:r w:rsidRPr="00106B8C">
              <w:rPr>
                <w:rFonts w:cs="Arial"/>
                <w:sz w:val="20"/>
                <w:szCs w:val="20"/>
              </w:rPr>
              <w:t>Ashfield Town Centre / Local Centre Study, 2023</w:t>
            </w:r>
            <w:r>
              <w:rPr>
                <w:rFonts w:cs="Arial"/>
                <w:sz w:val="20"/>
                <w:szCs w:val="20"/>
              </w:rPr>
              <w:t xml:space="preserve">. </w:t>
            </w:r>
            <w:r w:rsidR="00E56122" w:rsidRPr="00595970">
              <w:rPr>
                <w:rFonts w:cs="Arial"/>
                <w:color w:val="auto"/>
                <w:sz w:val="20"/>
              </w:rPr>
              <w:t xml:space="preserve"> Nexus Planning.</w:t>
            </w:r>
          </w:p>
          <w:p w14:paraId="7185AC8C" w14:textId="77777777" w:rsidR="00E56122" w:rsidRPr="00595970" w:rsidRDefault="00E56122" w:rsidP="00FF3EAD">
            <w:pPr>
              <w:keepNext w:val="0"/>
              <w:numPr>
                <w:ilvl w:val="0"/>
                <w:numId w:val="36"/>
              </w:numPr>
              <w:spacing w:before="0" w:after="160" w:line="252" w:lineRule="auto"/>
              <w:contextualSpacing/>
              <w:jc w:val="left"/>
              <w:rPr>
                <w:rFonts w:cs="Arial"/>
                <w:color w:val="auto"/>
                <w:sz w:val="20"/>
              </w:rPr>
            </w:pPr>
            <w:r w:rsidRPr="00595970">
              <w:rPr>
                <w:rFonts w:cs="Arial"/>
                <w:color w:val="auto"/>
                <w:sz w:val="20"/>
              </w:rPr>
              <w:t>Retail Floorspace Survey 2020. Ashfield District Council.</w:t>
            </w:r>
          </w:p>
          <w:p w14:paraId="3039732B" w14:textId="1FF89C6F" w:rsidR="00E56122" w:rsidRPr="00595970" w:rsidRDefault="00E56122" w:rsidP="00FF3EAD">
            <w:pPr>
              <w:keepNext w:val="0"/>
              <w:numPr>
                <w:ilvl w:val="0"/>
                <w:numId w:val="36"/>
              </w:numPr>
              <w:spacing w:before="0" w:after="160" w:line="252" w:lineRule="auto"/>
              <w:contextualSpacing/>
              <w:jc w:val="left"/>
              <w:rPr>
                <w:rFonts w:cs="Arial"/>
                <w:color w:val="auto"/>
                <w:sz w:val="20"/>
              </w:rPr>
            </w:pPr>
            <w:r w:rsidRPr="00595970">
              <w:rPr>
                <w:rFonts w:cs="Arial"/>
                <w:color w:val="auto"/>
                <w:sz w:val="20"/>
              </w:rPr>
              <w:t>Sustainability Appraisal, 202</w:t>
            </w:r>
            <w:r w:rsidR="006B0C43" w:rsidRPr="00595970">
              <w:rPr>
                <w:rFonts w:cs="Arial"/>
                <w:color w:val="auto"/>
                <w:sz w:val="20"/>
              </w:rPr>
              <w:t>3</w:t>
            </w:r>
            <w:r w:rsidRPr="00595970">
              <w:rPr>
                <w:rFonts w:cs="Arial"/>
                <w:color w:val="auto"/>
                <w:sz w:val="20"/>
              </w:rPr>
              <w:t xml:space="preserve">. </w:t>
            </w:r>
            <w:r w:rsidR="006B0C43" w:rsidRPr="00595970">
              <w:rPr>
                <w:rFonts w:cs="Arial"/>
                <w:color w:val="auto"/>
                <w:sz w:val="20"/>
              </w:rPr>
              <w:t>WSP UK Limited</w:t>
            </w:r>
            <w:r w:rsidRPr="00595970">
              <w:rPr>
                <w:rFonts w:cs="Arial"/>
                <w:color w:val="auto"/>
                <w:sz w:val="20"/>
              </w:rPr>
              <w:t>.</w:t>
            </w:r>
          </w:p>
        </w:tc>
      </w:tr>
      <w:tr w:rsidR="00E56122" w:rsidRPr="00E56122" w14:paraId="22493470" w14:textId="77777777" w:rsidTr="00163F59">
        <w:tc>
          <w:tcPr>
            <w:tcW w:w="2405" w:type="dxa"/>
          </w:tcPr>
          <w:p w14:paraId="5E7F35FE" w14:textId="77777777" w:rsidR="00E56122" w:rsidRPr="00E56122" w:rsidRDefault="00E56122" w:rsidP="00A03E50">
            <w:pPr>
              <w:keepNext w:val="0"/>
              <w:autoSpaceDE w:val="0"/>
              <w:autoSpaceDN w:val="0"/>
              <w:adjustRightInd w:val="0"/>
              <w:spacing w:before="0"/>
              <w:contextualSpacing/>
              <w:rPr>
                <w:rFonts w:eastAsia="Arial" w:cs="Arial"/>
                <w:b/>
                <w:color w:val="auto"/>
                <w:szCs w:val="24"/>
              </w:rPr>
            </w:pPr>
            <w:r w:rsidRPr="00E56122">
              <w:rPr>
                <w:rFonts w:eastAsia="Arial" w:cs="Arial"/>
                <w:bCs/>
                <w:color w:val="auto"/>
                <w:sz w:val="20"/>
              </w:rPr>
              <w:t>National Planning Policy and Guidance</w:t>
            </w:r>
          </w:p>
        </w:tc>
        <w:tc>
          <w:tcPr>
            <w:tcW w:w="7371" w:type="dxa"/>
            <w:gridSpan w:val="2"/>
          </w:tcPr>
          <w:p w14:paraId="51472E42" w14:textId="3B3F52B5" w:rsidR="00E56122" w:rsidRPr="00595970" w:rsidRDefault="00E56122" w:rsidP="00FF3EAD">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595970">
              <w:rPr>
                <w:rFonts w:cs="Arial"/>
                <w:bCs/>
                <w:color w:val="auto"/>
                <w:sz w:val="20"/>
              </w:rPr>
              <w:t>NPPF 202</w:t>
            </w:r>
            <w:r w:rsidR="004173E0" w:rsidRPr="00595970">
              <w:rPr>
                <w:rFonts w:cs="Arial"/>
                <w:bCs/>
                <w:color w:val="auto"/>
                <w:sz w:val="20"/>
              </w:rPr>
              <w:t>3</w:t>
            </w:r>
            <w:r w:rsidRPr="00595970">
              <w:rPr>
                <w:rFonts w:cs="Arial"/>
                <w:bCs/>
                <w:color w:val="auto"/>
                <w:sz w:val="20"/>
              </w:rPr>
              <w:t>, Part 2: Achieving Sustainable Development.</w:t>
            </w:r>
          </w:p>
          <w:p w14:paraId="32C683C7" w14:textId="598753E6" w:rsidR="00E56122" w:rsidRPr="00595970" w:rsidRDefault="00E56122" w:rsidP="00FF3EAD">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595970">
              <w:rPr>
                <w:rFonts w:cs="Arial"/>
                <w:bCs/>
                <w:color w:val="auto"/>
                <w:sz w:val="20"/>
              </w:rPr>
              <w:t>NPPF 202</w:t>
            </w:r>
            <w:r w:rsidR="004173E0" w:rsidRPr="00595970">
              <w:rPr>
                <w:rFonts w:cs="Arial"/>
                <w:bCs/>
                <w:color w:val="auto"/>
                <w:sz w:val="20"/>
              </w:rPr>
              <w:t>3</w:t>
            </w:r>
            <w:r w:rsidRPr="00595970">
              <w:rPr>
                <w:rFonts w:cs="Arial"/>
                <w:bCs/>
                <w:color w:val="auto"/>
                <w:sz w:val="20"/>
              </w:rPr>
              <w:t>, Part 7: Ensuring the vitality of town centres.</w:t>
            </w:r>
          </w:p>
          <w:p w14:paraId="04BA2F0E" w14:textId="23AE1749" w:rsidR="00E56122" w:rsidRPr="00595970" w:rsidRDefault="00E56122" w:rsidP="00FF3EAD">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595970">
              <w:rPr>
                <w:rFonts w:cs="Arial"/>
                <w:bCs/>
                <w:color w:val="auto"/>
                <w:sz w:val="20"/>
              </w:rPr>
              <w:t>NPPF 202</w:t>
            </w:r>
            <w:r w:rsidR="004173E0" w:rsidRPr="00595970">
              <w:rPr>
                <w:rFonts w:cs="Arial"/>
                <w:bCs/>
                <w:color w:val="auto"/>
                <w:sz w:val="20"/>
              </w:rPr>
              <w:t>3</w:t>
            </w:r>
            <w:r w:rsidRPr="00595970">
              <w:rPr>
                <w:rFonts w:cs="Arial"/>
                <w:bCs/>
                <w:color w:val="auto"/>
                <w:sz w:val="20"/>
              </w:rPr>
              <w:t>, Part12: Achieving well-designed places.</w:t>
            </w:r>
          </w:p>
          <w:p w14:paraId="75ABE3AE" w14:textId="43092FFD" w:rsidR="00E56122" w:rsidRPr="00595970" w:rsidRDefault="00E56122" w:rsidP="00FF3EAD">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595970">
              <w:rPr>
                <w:rFonts w:eastAsia="Arial" w:cs="Arial"/>
                <w:bCs/>
                <w:color w:val="auto"/>
                <w:sz w:val="20"/>
              </w:rPr>
              <w:t xml:space="preserve">Planning Practice Guidance: Town centres and retail as </w:t>
            </w:r>
            <w:r w:rsidR="009D1815" w:rsidRPr="00595970">
              <w:rPr>
                <w:rFonts w:eastAsia="Arial" w:cs="Arial"/>
                <w:bCs/>
                <w:color w:val="auto"/>
                <w:sz w:val="20"/>
              </w:rPr>
              <w:t>of</w:t>
            </w:r>
            <w:r w:rsidRPr="00595970">
              <w:rPr>
                <w:rFonts w:eastAsia="Arial" w:cs="Arial"/>
                <w:bCs/>
                <w:color w:val="auto"/>
                <w:sz w:val="20"/>
              </w:rPr>
              <w:t xml:space="preserve"> </w:t>
            </w:r>
            <w:r w:rsidR="006B0C43" w:rsidRPr="00595970">
              <w:rPr>
                <w:rFonts w:eastAsia="Arial" w:cs="Arial"/>
                <w:bCs/>
                <w:color w:val="auto"/>
                <w:sz w:val="20"/>
              </w:rPr>
              <w:t>September 2020</w:t>
            </w:r>
            <w:r w:rsidRPr="00595970">
              <w:rPr>
                <w:rFonts w:eastAsia="Arial" w:cs="Arial"/>
                <w:bCs/>
                <w:color w:val="auto"/>
                <w:sz w:val="20"/>
              </w:rPr>
              <w:t>.</w:t>
            </w:r>
          </w:p>
          <w:p w14:paraId="5E4A81DF" w14:textId="5F6B9980" w:rsidR="00E56122" w:rsidRPr="00595970" w:rsidRDefault="00E56122" w:rsidP="00FF3EAD">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bookmarkStart w:id="288" w:name="_Hlk139639321"/>
            <w:r w:rsidRPr="00595970">
              <w:rPr>
                <w:rFonts w:eastAsia="Arial" w:cs="Arial"/>
                <w:bCs/>
                <w:color w:val="auto"/>
                <w:sz w:val="20"/>
              </w:rPr>
              <w:t>Planning Practice Guidance: Design: process and tools</w:t>
            </w:r>
            <w:r w:rsidR="006B0C43" w:rsidRPr="00595970">
              <w:rPr>
                <w:rFonts w:eastAsia="Arial" w:cs="Arial"/>
                <w:bCs/>
                <w:color w:val="auto"/>
                <w:sz w:val="20"/>
              </w:rPr>
              <w:t xml:space="preserve"> as </w:t>
            </w:r>
            <w:proofErr w:type="gramStart"/>
            <w:r w:rsidR="006B0C43" w:rsidRPr="00595970">
              <w:rPr>
                <w:rFonts w:eastAsia="Arial" w:cs="Arial"/>
                <w:bCs/>
                <w:color w:val="auto"/>
                <w:sz w:val="20"/>
              </w:rPr>
              <w:t>at</w:t>
            </w:r>
            <w:proofErr w:type="gramEnd"/>
            <w:r w:rsidR="006B0C43" w:rsidRPr="00595970">
              <w:rPr>
                <w:rFonts w:eastAsia="Arial" w:cs="Arial"/>
                <w:bCs/>
                <w:color w:val="auto"/>
                <w:sz w:val="20"/>
              </w:rPr>
              <w:t xml:space="preserve"> October 2019.</w:t>
            </w:r>
          </w:p>
          <w:bookmarkEnd w:id="288"/>
          <w:p w14:paraId="6B6524FF" w14:textId="77777777" w:rsidR="00E56122" w:rsidRPr="00595970" w:rsidRDefault="00E56122" w:rsidP="00FF3EAD">
            <w:pPr>
              <w:keepNext w:val="0"/>
              <w:numPr>
                <w:ilvl w:val="0"/>
                <w:numId w:val="35"/>
              </w:numPr>
              <w:tabs>
                <w:tab w:val="left" w:pos="680"/>
                <w:tab w:val="left" w:pos="1133"/>
                <w:tab w:val="left" w:pos="2267"/>
              </w:tabs>
              <w:spacing w:before="0" w:after="160" w:line="252" w:lineRule="auto"/>
              <w:ind w:left="357" w:right="284" w:hanging="357"/>
              <w:contextualSpacing/>
              <w:jc w:val="left"/>
              <w:rPr>
                <w:rFonts w:eastAsia="Arial" w:cs="Arial"/>
                <w:bCs/>
                <w:color w:val="auto"/>
                <w:sz w:val="20"/>
              </w:rPr>
            </w:pPr>
            <w:r w:rsidRPr="00595970">
              <w:rPr>
                <w:rFonts w:eastAsia="Arial" w:cs="Arial"/>
                <w:bCs/>
                <w:color w:val="auto"/>
                <w:sz w:val="20"/>
              </w:rPr>
              <w:t>National Design Guide Planning practice guidance for beautiful, enduring and successful places, 2021.  Ministry of Housing, Communities &amp; Local Government.</w:t>
            </w:r>
          </w:p>
        </w:tc>
      </w:tr>
      <w:bookmarkEnd w:id="286"/>
    </w:tbl>
    <w:p w14:paraId="6D6D7271" w14:textId="77777777" w:rsidR="00E56122" w:rsidRPr="00E56122" w:rsidRDefault="00E56122" w:rsidP="00E56122">
      <w:pPr>
        <w:keepNext w:val="0"/>
        <w:spacing w:before="0"/>
        <w:ind w:left="720"/>
        <w:contextualSpacing/>
        <w:rPr>
          <w:rFonts w:eastAsia="Arial" w:cs="Arial"/>
          <w:color w:val="auto"/>
          <w:szCs w:val="24"/>
          <w:lang w:eastAsia="en-US"/>
        </w:rPr>
      </w:pPr>
    </w:p>
    <w:p w14:paraId="06A432EC" w14:textId="77777777" w:rsidR="00E56122" w:rsidRPr="00E56122" w:rsidRDefault="00E56122" w:rsidP="00E56122">
      <w:pPr>
        <w:keepNext w:val="0"/>
        <w:spacing w:before="0"/>
        <w:ind w:left="709"/>
        <w:rPr>
          <w:rFonts w:cs="Arial"/>
          <w:color w:val="auto"/>
          <w:szCs w:val="24"/>
          <w:lang w:eastAsia="en-US"/>
        </w:rPr>
      </w:pPr>
    </w:p>
    <w:p w14:paraId="359E1F9D" w14:textId="0E2F8E99" w:rsidR="00E56122" w:rsidRDefault="00E56122" w:rsidP="00E56122">
      <w:pPr>
        <w:keepNext w:val="0"/>
        <w:numPr>
          <w:ilvl w:val="1"/>
          <w:numId w:val="6"/>
        </w:numPr>
        <w:tabs>
          <w:tab w:val="clear" w:pos="525"/>
        </w:tabs>
        <w:spacing w:before="0"/>
        <w:ind w:left="709" w:hanging="709"/>
        <w:rPr>
          <w:rFonts w:cs="Arial"/>
          <w:color w:val="auto"/>
          <w:szCs w:val="24"/>
          <w:lang w:eastAsia="en-US"/>
        </w:rPr>
      </w:pPr>
      <w:bookmarkStart w:id="289" w:name="_Hlk78469276"/>
      <w:r w:rsidRPr="00E56122">
        <w:rPr>
          <w:rFonts w:cs="Arial"/>
          <w:color w:val="auto"/>
        </w:rPr>
        <w:t xml:space="preserve">Ashfield has many important shopping areas and groups of shops which are popular public places with their own distinctive character and history.  </w:t>
      </w:r>
      <w:r w:rsidRPr="00E56122">
        <w:rPr>
          <w:rFonts w:cs="Arial"/>
          <w:color w:val="auto"/>
          <w:szCs w:val="24"/>
        </w:rPr>
        <w:t>However, the character and quality of many of Ashfield’s traditional shopping streets has been eroded by poor, careless and unsympathetic alterations to shopfronts. Widespread use of inappropriate materials and standardised shopfront designs has led to a loss of local distinctiveness and a negative impact on the streetscape.</w:t>
      </w:r>
    </w:p>
    <w:p w14:paraId="517E3EC6" w14:textId="77777777" w:rsidR="00E56122" w:rsidRDefault="00E56122" w:rsidP="00E56122">
      <w:pPr>
        <w:keepNext w:val="0"/>
        <w:spacing w:before="0"/>
        <w:ind w:left="709"/>
        <w:rPr>
          <w:rFonts w:cs="Arial"/>
          <w:color w:val="auto"/>
          <w:szCs w:val="24"/>
          <w:lang w:eastAsia="en-US"/>
        </w:rPr>
      </w:pPr>
    </w:p>
    <w:p w14:paraId="64568C54" w14:textId="675262FB" w:rsid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cs="Arial"/>
          <w:color w:val="auto"/>
          <w:szCs w:val="24"/>
        </w:rPr>
        <w:t>The design of new shopfronts and alterations to existing shopfronts is important to the appearance of the individual property, to the character and appearance of shopping areas, and provides visual connections between ground floor shops and the street. The council will expect well designed, accessible shopfronts that respect the character of the area and the architectural unity and integrity of the shop building of which they form part.</w:t>
      </w:r>
    </w:p>
    <w:p w14:paraId="5EAC29AC" w14:textId="77777777" w:rsidR="00E56122" w:rsidRDefault="00E56122" w:rsidP="00E56122">
      <w:pPr>
        <w:keepNext w:val="0"/>
        <w:spacing w:before="0"/>
        <w:ind w:left="709"/>
        <w:rPr>
          <w:rFonts w:cs="Arial"/>
          <w:color w:val="auto"/>
          <w:szCs w:val="24"/>
          <w:lang w:eastAsia="en-US"/>
        </w:rPr>
      </w:pPr>
    </w:p>
    <w:p w14:paraId="1B17F3AE" w14:textId="00EC1958" w:rsid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cs="Arial"/>
          <w:color w:val="auto"/>
          <w:szCs w:val="24"/>
        </w:rPr>
        <w:t>The presence of poorly designed shopfronts in the vicinity will not be accepted as justification for a lesser standard of design. The introduction of well-designed shop fronts can often act as a catalyst for the same within a street or area with economic benefits.</w:t>
      </w:r>
    </w:p>
    <w:p w14:paraId="7C94E67F" w14:textId="77777777" w:rsidR="00E56122" w:rsidRDefault="00E56122" w:rsidP="00E56122">
      <w:pPr>
        <w:keepNext w:val="0"/>
        <w:spacing w:before="0"/>
        <w:ind w:left="709"/>
        <w:rPr>
          <w:rFonts w:cs="Arial"/>
          <w:color w:val="auto"/>
          <w:szCs w:val="24"/>
          <w:lang w:eastAsia="en-US"/>
        </w:rPr>
      </w:pPr>
    </w:p>
    <w:p w14:paraId="7804528F" w14:textId="63C09F1C" w:rsid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cs="Arial"/>
          <w:color w:val="auto"/>
          <w:szCs w:val="24"/>
        </w:rPr>
        <w:t xml:space="preserve">The design of a new shopfront within a modern building should reflect the design of the building of which it forms </w:t>
      </w:r>
      <w:r w:rsidR="009D1815" w:rsidRPr="00E56122">
        <w:rPr>
          <w:rFonts w:cs="Arial"/>
          <w:color w:val="auto"/>
          <w:szCs w:val="24"/>
        </w:rPr>
        <w:t>part but</w:t>
      </w:r>
      <w:r w:rsidRPr="00E56122">
        <w:rPr>
          <w:rFonts w:cs="Arial"/>
          <w:color w:val="auto"/>
          <w:szCs w:val="24"/>
        </w:rPr>
        <w:t xml:space="preserve"> should also consider the appearance of neighbouring shopfronts in terms of fascia lines, stall riser height, materials and other architectural features. </w:t>
      </w:r>
    </w:p>
    <w:p w14:paraId="2A479F67" w14:textId="77777777" w:rsidR="00E56122" w:rsidRDefault="00E56122" w:rsidP="00E56122">
      <w:pPr>
        <w:keepNext w:val="0"/>
        <w:spacing w:before="0"/>
        <w:ind w:left="709"/>
        <w:rPr>
          <w:rFonts w:cs="Arial"/>
          <w:color w:val="auto"/>
          <w:szCs w:val="24"/>
          <w:lang w:eastAsia="en-US"/>
        </w:rPr>
      </w:pPr>
    </w:p>
    <w:p w14:paraId="0D0EE935" w14:textId="72A6C769" w:rsidR="00E56122" w:rsidRP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cs="Arial"/>
          <w:color w:val="auto"/>
          <w:szCs w:val="24"/>
        </w:rPr>
        <w:t xml:space="preserve">The design of a shopfront where the traditional surround and shopfront remain complete should be repaired and conserved wherever possible. These repairs must preserve the character of the original shopfront and be of matching style, materials and construction, whilst delivering a contemporary standard of amenity that meets current access standards. </w:t>
      </w:r>
      <w:r w:rsidRPr="00E56122">
        <w:rPr>
          <w:rFonts w:cs="Arial"/>
          <w:color w:val="auto"/>
        </w:rPr>
        <w:t xml:space="preserve">Where shopfronts are part of, or affect, a heritage asset, </w:t>
      </w:r>
      <w:r w:rsidRPr="00A56503">
        <w:rPr>
          <w:rFonts w:cs="Arial"/>
          <w:color w:val="auto"/>
        </w:rPr>
        <w:t>Policy EV</w:t>
      </w:r>
      <w:r w:rsidR="00A56503" w:rsidRPr="00A56503">
        <w:rPr>
          <w:rFonts w:cs="Arial"/>
          <w:color w:val="auto"/>
        </w:rPr>
        <w:t>9</w:t>
      </w:r>
      <w:r w:rsidRPr="00E56122">
        <w:rPr>
          <w:rFonts w:cs="Arial"/>
          <w:color w:val="auto"/>
        </w:rPr>
        <w:t xml:space="preserve"> is applicable</w:t>
      </w:r>
      <w:r>
        <w:rPr>
          <w:rFonts w:cs="Arial"/>
          <w:color w:val="auto"/>
        </w:rPr>
        <w:t>.</w:t>
      </w:r>
    </w:p>
    <w:p w14:paraId="00A7581D" w14:textId="2EEBF9BF" w:rsidR="00E56122" w:rsidRDefault="00E56122" w:rsidP="00E56122">
      <w:pPr>
        <w:keepNext w:val="0"/>
        <w:spacing w:before="0"/>
        <w:ind w:left="709"/>
        <w:rPr>
          <w:rFonts w:cs="Arial"/>
          <w:color w:val="auto"/>
        </w:rPr>
      </w:pPr>
    </w:p>
    <w:p w14:paraId="231252C6" w14:textId="10FE3912" w:rsidR="00E56122" w:rsidRPr="00E56122" w:rsidRDefault="00E56122" w:rsidP="00E56122">
      <w:pPr>
        <w:keepNext w:val="0"/>
        <w:autoSpaceDE w:val="0"/>
        <w:autoSpaceDN w:val="0"/>
        <w:adjustRightInd w:val="0"/>
        <w:spacing w:before="0"/>
        <w:ind w:left="709"/>
        <w:rPr>
          <w:rFonts w:cs="Arial"/>
          <w:b/>
          <w:color w:val="auto"/>
        </w:rPr>
      </w:pPr>
      <w:r w:rsidRPr="00E56122">
        <w:rPr>
          <w:rFonts w:cs="Arial"/>
          <w:b/>
          <w:color w:val="auto"/>
        </w:rPr>
        <w:lastRenderedPageBreak/>
        <w:t>Canopies and Blinds</w:t>
      </w:r>
    </w:p>
    <w:p w14:paraId="26B83BD2" w14:textId="53C4308D" w:rsidR="00E56122" w:rsidRP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cs="Arial"/>
          <w:color w:val="auto"/>
          <w:szCs w:val="24"/>
        </w:rPr>
        <w:t xml:space="preserve">Canopies and blinds give some protection to the shoppers and shop window against rain and sun and can be a lively addition to the street scene, </w:t>
      </w:r>
      <w:proofErr w:type="gramStart"/>
      <w:r w:rsidRPr="00E56122">
        <w:rPr>
          <w:rFonts w:cs="Arial"/>
          <w:color w:val="auto"/>
          <w:szCs w:val="24"/>
        </w:rPr>
        <w:t>provided that</w:t>
      </w:r>
      <w:proofErr w:type="gramEnd"/>
      <w:r w:rsidRPr="00E56122">
        <w:rPr>
          <w:rFonts w:cs="Arial"/>
          <w:color w:val="auto"/>
          <w:szCs w:val="24"/>
        </w:rPr>
        <w:t xml:space="preserve"> they are designed as an integral part of the shopfront and are confined to it. Care should be taken to ensure that their size, shape, </w:t>
      </w:r>
      <w:r w:rsidR="009D1815">
        <w:rPr>
          <w:rFonts w:cs="Arial"/>
          <w:color w:val="auto"/>
          <w:szCs w:val="24"/>
        </w:rPr>
        <w:t xml:space="preserve">and </w:t>
      </w:r>
      <w:r w:rsidRPr="00E56122">
        <w:rPr>
          <w:rFonts w:cs="Arial"/>
          <w:color w:val="auto"/>
          <w:szCs w:val="24"/>
        </w:rPr>
        <w:t xml:space="preserve">position </w:t>
      </w:r>
      <w:r w:rsidR="009D1815" w:rsidRPr="00E56122">
        <w:rPr>
          <w:rFonts w:cs="Arial"/>
          <w:color w:val="auto"/>
          <w:szCs w:val="24"/>
        </w:rPr>
        <w:t>is</w:t>
      </w:r>
      <w:r w:rsidRPr="00E56122">
        <w:rPr>
          <w:rFonts w:cs="Arial"/>
          <w:color w:val="auto"/>
          <w:szCs w:val="24"/>
        </w:rPr>
        <w:t xml:space="preserve"> compatible with the character of the building. Architectural details should not be obscured when canopies or blinds are installed. The colour and materials should be in keeping with the materials of the shopfront and building.</w:t>
      </w:r>
      <w:r w:rsidRPr="00E56122">
        <w:rPr>
          <w:rFonts w:cs="Arial"/>
          <w:b/>
          <w:color w:val="auto"/>
        </w:rPr>
        <w:t xml:space="preserve"> </w:t>
      </w:r>
    </w:p>
    <w:p w14:paraId="79E98A8F" w14:textId="0F758836" w:rsidR="00E56122" w:rsidRDefault="00E56122" w:rsidP="00E56122">
      <w:pPr>
        <w:keepNext w:val="0"/>
        <w:spacing w:before="0"/>
        <w:ind w:left="709"/>
        <w:rPr>
          <w:rFonts w:cs="Arial"/>
          <w:b/>
          <w:color w:val="auto"/>
        </w:rPr>
      </w:pPr>
    </w:p>
    <w:p w14:paraId="6BC5E87A" w14:textId="15EF6EA0" w:rsidR="00E56122" w:rsidRPr="00E56122" w:rsidRDefault="00E56122" w:rsidP="00E56122">
      <w:pPr>
        <w:keepNext w:val="0"/>
        <w:autoSpaceDE w:val="0"/>
        <w:autoSpaceDN w:val="0"/>
        <w:adjustRightInd w:val="0"/>
        <w:spacing w:before="0"/>
        <w:ind w:left="709"/>
        <w:rPr>
          <w:rFonts w:cs="Arial"/>
          <w:b/>
          <w:color w:val="auto"/>
        </w:rPr>
      </w:pPr>
      <w:r w:rsidRPr="00E56122">
        <w:rPr>
          <w:rFonts w:cs="Arial"/>
          <w:b/>
          <w:color w:val="auto"/>
        </w:rPr>
        <w:t>Security Shutters/Grilles</w:t>
      </w:r>
    </w:p>
    <w:p w14:paraId="7F529D21" w14:textId="1F6306BB" w:rsid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cs="Arial"/>
          <w:color w:val="auto"/>
          <w:szCs w:val="24"/>
        </w:rPr>
        <w:t xml:space="preserve">It is important to strike a balance between protecting property, ensuring that the vitality of an area is not undermined, and ensuring that the perception of crime is not increased.  </w:t>
      </w:r>
    </w:p>
    <w:p w14:paraId="350604A2" w14:textId="77777777" w:rsidR="00E56122" w:rsidRDefault="00E56122" w:rsidP="00E56122">
      <w:pPr>
        <w:keepNext w:val="0"/>
        <w:spacing w:before="0"/>
        <w:ind w:left="709"/>
        <w:rPr>
          <w:rFonts w:cs="Arial"/>
          <w:color w:val="auto"/>
          <w:szCs w:val="24"/>
          <w:lang w:eastAsia="en-US"/>
        </w:rPr>
      </w:pPr>
    </w:p>
    <w:p w14:paraId="0A08FA9E" w14:textId="15832C5C" w:rsidR="00E56122" w:rsidRP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eastAsia="Calibri" w:cs="Arial"/>
          <w:color w:val="auto"/>
          <w:szCs w:val="24"/>
          <w:lang w:eastAsia="en-US"/>
        </w:rPr>
        <w:t xml:space="preserve">Many retail frontages have been blighted by long stretches of solid aluminium shutters. At night these shut off light from within the shops creating an intimidating atmosphere. They prevent observation of break-ins and attract graffiti. External shutters often retract into external boxes below the fascia and vertical runners attached to the pilasters. These both harm the appearance of a shopping street scene </w:t>
      </w:r>
      <w:proofErr w:type="gramStart"/>
      <w:r w:rsidRPr="00E56122">
        <w:rPr>
          <w:rFonts w:eastAsia="Calibri" w:cs="Arial"/>
          <w:color w:val="auto"/>
          <w:szCs w:val="24"/>
          <w:lang w:eastAsia="en-US"/>
        </w:rPr>
        <w:t>and also</w:t>
      </w:r>
      <w:proofErr w:type="gramEnd"/>
      <w:r w:rsidRPr="00E56122">
        <w:rPr>
          <w:rFonts w:eastAsia="Calibri" w:cs="Arial"/>
          <w:color w:val="auto"/>
          <w:szCs w:val="24"/>
          <w:lang w:eastAsia="en-US"/>
        </w:rPr>
        <w:t xml:space="preserve"> the street’s trading potential.</w:t>
      </w:r>
    </w:p>
    <w:p w14:paraId="6449784C" w14:textId="77777777" w:rsidR="00E56122" w:rsidRDefault="00E56122" w:rsidP="00E56122">
      <w:pPr>
        <w:keepNext w:val="0"/>
        <w:spacing w:before="0"/>
        <w:ind w:left="709"/>
        <w:rPr>
          <w:rFonts w:cs="Arial"/>
          <w:color w:val="auto"/>
          <w:szCs w:val="24"/>
          <w:lang w:eastAsia="en-US"/>
        </w:rPr>
      </w:pPr>
    </w:p>
    <w:p w14:paraId="53FD5BA3" w14:textId="1A13A5A5" w:rsidR="00E56122" w:rsidRP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eastAsia="Calibri" w:cs="Arial"/>
          <w:color w:val="auto"/>
          <w:szCs w:val="24"/>
          <w:lang w:eastAsia="en-US"/>
        </w:rPr>
        <w:t xml:space="preserve">When designing a new </w:t>
      </w:r>
      <w:r w:rsidR="009D1815" w:rsidRPr="00E56122">
        <w:rPr>
          <w:rFonts w:eastAsia="Calibri" w:cs="Arial"/>
          <w:color w:val="auto"/>
          <w:szCs w:val="24"/>
          <w:lang w:eastAsia="en-US"/>
        </w:rPr>
        <w:t>shopfront,</w:t>
      </w:r>
      <w:r w:rsidRPr="00E56122">
        <w:rPr>
          <w:rFonts w:eastAsia="Calibri" w:cs="Arial"/>
          <w:color w:val="auto"/>
          <w:szCs w:val="24"/>
          <w:lang w:eastAsia="en-US"/>
        </w:rPr>
        <w:t xml:space="preserve"> it is essential to build into the design adequate security arrangements. The preferred solution to physical security is the use of security glass, if necessary, combined with internal retractable grilles. These should be of an open mesh design to allow the shop window display to be visible and light to filter through. They should be the same colours as the shopfront. Internal grilles do not normally require planning </w:t>
      </w:r>
      <w:proofErr w:type="gramStart"/>
      <w:r w:rsidRPr="00E56122">
        <w:rPr>
          <w:rFonts w:eastAsia="Calibri" w:cs="Arial"/>
          <w:color w:val="auto"/>
          <w:szCs w:val="24"/>
          <w:lang w:eastAsia="en-US"/>
        </w:rPr>
        <w:t>permission,</w:t>
      </w:r>
      <w:proofErr w:type="gramEnd"/>
      <w:r w:rsidRPr="00E56122">
        <w:rPr>
          <w:rFonts w:eastAsia="Calibri" w:cs="Arial"/>
          <w:color w:val="auto"/>
          <w:szCs w:val="24"/>
          <w:lang w:eastAsia="en-US"/>
        </w:rPr>
        <w:t xml:space="preserve"> however</w:t>
      </w:r>
      <w:r w:rsidR="009D1815">
        <w:rPr>
          <w:rFonts w:eastAsia="Calibri" w:cs="Arial"/>
          <w:color w:val="auto"/>
          <w:szCs w:val="24"/>
          <w:lang w:eastAsia="en-US"/>
        </w:rPr>
        <w:t>,</w:t>
      </w:r>
      <w:r w:rsidRPr="00E56122">
        <w:rPr>
          <w:rFonts w:eastAsia="Calibri" w:cs="Arial"/>
          <w:color w:val="auto"/>
          <w:szCs w:val="24"/>
          <w:lang w:eastAsia="en-US"/>
        </w:rPr>
        <w:t xml:space="preserve"> Listed Building Consent may be required if the building is Listed.</w:t>
      </w:r>
    </w:p>
    <w:p w14:paraId="63BAC332" w14:textId="77777777" w:rsidR="00E56122" w:rsidRDefault="00E56122" w:rsidP="00E56122">
      <w:pPr>
        <w:keepNext w:val="0"/>
        <w:spacing w:before="0"/>
        <w:ind w:left="709"/>
        <w:rPr>
          <w:rFonts w:cs="Arial"/>
          <w:color w:val="auto"/>
          <w:szCs w:val="24"/>
          <w:lang w:eastAsia="en-US"/>
        </w:rPr>
      </w:pPr>
    </w:p>
    <w:p w14:paraId="05D5E1D4" w14:textId="79453DBB" w:rsidR="00E56122" w:rsidRP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eastAsia="Calibri" w:cs="Arial"/>
          <w:color w:val="auto"/>
          <w:szCs w:val="24"/>
          <w:lang w:eastAsia="en-US"/>
        </w:rPr>
        <w:t>On new shop developments shutters should be designed as part of the building and located internally to prevent retrofitting of security measures to the detriment of the property. Security measures should be incorporated at design stage to prevent the installation of shutter housing at a later stage.</w:t>
      </w:r>
    </w:p>
    <w:p w14:paraId="705E2638" w14:textId="77777777" w:rsidR="00E56122" w:rsidRDefault="00E56122" w:rsidP="00E56122">
      <w:pPr>
        <w:keepNext w:val="0"/>
        <w:spacing w:before="0"/>
        <w:ind w:left="709"/>
        <w:rPr>
          <w:rFonts w:cs="Arial"/>
          <w:color w:val="auto"/>
          <w:szCs w:val="24"/>
          <w:lang w:eastAsia="en-US"/>
        </w:rPr>
      </w:pPr>
    </w:p>
    <w:p w14:paraId="591CDFA6" w14:textId="7DB3EDDE" w:rsidR="00E56122" w:rsidRP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eastAsia="Calibri" w:cs="Arial"/>
          <w:color w:val="auto"/>
          <w:szCs w:val="24"/>
          <w:lang w:eastAsia="en-US"/>
        </w:rPr>
        <w:t xml:space="preserve">External security shutters and grilles will only be permitted in exceptional circumstances, for example shops that have an open frontage such as greengrocers or for shops that have special security needs such as jewellers.  Where a proposal includes external security shutters or grilles, applicants will need to demonstrate why the products or services they are providing require external shutters, and/or details of crime rates that support their rationale for the proposed shutter system.  </w:t>
      </w:r>
    </w:p>
    <w:p w14:paraId="7AB94D23" w14:textId="77777777" w:rsidR="00E56122" w:rsidRDefault="00E56122" w:rsidP="00E56122">
      <w:pPr>
        <w:keepNext w:val="0"/>
        <w:spacing w:before="0"/>
        <w:ind w:left="709"/>
        <w:rPr>
          <w:rFonts w:cs="Arial"/>
          <w:color w:val="auto"/>
          <w:szCs w:val="24"/>
          <w:lang w:eastAsia="en-US"/>
        </w:rPr>
      </w:pPr>
    </w:p>
    <w:p w14:paraId="308BC93D" w14:textId="77777777" w:rsidR="00E56122" w:rsidRDefault="00E56122" w:rsidP="00E56122">
      <w:pPr>
        <w:keepNext w:val="0"/>
        <w:spacing w:before="0"/>
        <w:ind w:left="709"/>
        <w:rPr>
          <w:rFonts w:cs="Arial"/>
          <w:color w:val="auto"/>
          <w:szCs w:val="24"/>
          <w:lang w:eastAsia="en-US"/>
        </w:rPr>
      </w:pPr>
      <w:r w:rsidRPr="00E56122">
        <w:rPr>
          <w:rFonts w:cs="Arial"/>
          <w:b/>
          <w:bCs/>
          <w:color w:val="auto"/>
        </w:rPr>
        <w:t>Illumination</w:t>
      </w:r>
    </w:p>
    <w:p w14:paraId="11B8BE4E" w14:textId="0F21BB19" w:rsidR="00E56122" w:rsidRP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eastAsia="Calibri" w:cs="Arial"/>
          <w:color w:val="auto"/>
          <w:lang w:eastAsia="en-US"/>
        </w:rPr>
        <w:t xml:space="preserve">As with any part of a shop front, lighting must be appropriate designed into a shop front and not considered as an afterthought. </w:t>
      </w:r>
      <w:r w:rsidRPr="00E56122">
        <w:rPr>
          <w:rFonts w:cs="Arial"/>
          <w:bCs/>
          <w:color w:val="auto"/>
          <w:szCs w:val="24"/>
        </w:rPr>
        <w:t xml:space="preserve">A well-lit window display or simply lit fascia sign is an effective method of </w:t>
      </w:r>
      <w:proofErr w:type="gramStart"/>
      <w:r w:rsidRPr="00E56122">
        <w:rPr>
          <w:rFonts w:cs="Arial"/>
          <w:bCs/>
          <w:color w:val="auto"/>
          <w:szCs w:val="24"/>
        </w:rPr>
        <w:t>advertising,</w:t>
      </w:r>
      <w:proofErr w:type="gramEnd"/>
      <w:r w:rsidRPr="00E56122">
        <w:rPr>
          <w:rFonts w:cs="Arial"/>
          <w:bCs/>
          <w:color w:val="auto"/>
          <w:szCs w:val="24"/>
        </w:rPr>
        <w:t xml:space="preserve"> it can aid security and make a positive contribution to the street at night. However, </w:t>
      </w:r>
      <w:r w:rsidRPr="00E56122">
        <w:rPr>
          <w:rFonts w:eastAsia="Calibri" w:cs="Arial"/>
          <w:color w:val="auto"/>
          <w:lang w:eastAsia="en-US"/>
        </w:rPr>
        <w:t>illumination that dominates a building and/or negatively impacts on the surrounding street scene</w:t>
      </w:r>
      <w:r w:rsidR="00595970">
        <w:rPr>
          <w:rFonts w:eastAsia="Calibri" w:cs="Arial"/>
          <w:color w:val="auto"/>
          <w:lang w:eastAsia="en-US"/>
        </w:rPr>
        <w:t xml:space="preserve"> </w:t>
      </w:r>
      <w:r w:rsidRPr="00E56122">
        <w:rPr>
          <w:rFonts w:eastAsia="Calibri" w:cs="Arial"/>
          <w:color w:val="auto"/>
          <w:lang w:eastAsia="en-US"/>
        </w:rPr>
        <w:t xml:space="preserve">will not be </w:t>
      </w:r>
      <w:r w:rsidRPr="00E56122">
        <w:rPr>
          <w:rFonts w:eastAsia="Calibri" w:cs="Arial"/>
          <w:color w:val="auto"/>
          <w:lang w:eastAsia="en-US"/>
        </w:rPr>
        <w:lastRenderedPageBreak/>
        <w:t>supported</w:t>
      </w:r>
      <w:r w:rsidRPr="00E56122">
        <w:rPr>
          <w:rFonts w:cs="Arial"/>
          <w:bCs/>
          <w:color w:val="auto"/>
          <w:szCs w:val="24"/>
        </w:rPr>
        <w:t xml:space="preserve">. </w:t>
      </w:r>
      <w:r w:rsidRPr="00E56122">
        <w:rPr>
          <w:rFonts w:eastAsia="Calibri" w:cs="Arial"/>
          <w:color w:val="auto"/>
          <w:lang w:eastAsia="en-US"/>
        </w:rPr>
        <w:t xml:space="preserve">In assessing possible negative impacts, the Council will consider the potential cumulative impacts that may arise </w:t>
      </w:r>
      <w:proofErr w:type="gramStart"/>
      <w:r w:rsidRPr="00E56122">
        <w:rPr>
          <w:rFonts w:eastAsia="Calibri" w:cs="Arial"/>
          <w:color w:val="auto"/>
          <w:lang w:eastAsia="en-US"/>
        </w:rPr>
        <w:t>as a result of</w:t>
      </w:r>
      <w:proofErr w:type="gramEnd"/>
      <w:r w:rsidRPr="00E56122">
        <w:rPr>
          <w:rFonts w:eastAsia="Calibri" w:cs="Arial"/>
          <w:color w:val="auto"/>
          <w:lang w:eastAsia="en-US"/>
        </w:rPr>
        <w:t xml:space="preserve"> the proposal.</w:t>
      </w:r>
    </w:p>
    <w:p w14:paraId="23F2EC61" w14:textId="77777777" w:rsidR="00E56122" w:rsidRDefault="00E56122" w:rsidP="00E56122">
      <w:pPr>
        <w:keepNext w:val="0"/>
        <w:spacing w:before="0"/>
        <w:ind w:left="709"/>
        <w:rPr>
          <w:rFonts w:cs="Arial"/>
          <w:color w:val="auto"/>
          <w:szCs w:val="24"/>
          <w:lang w:eastAsia="en-US"/>
        </w:rPr>
      </w:pPr>
    </w:p>
    <w:p w14:paraId="4289E83F" w14:textId="68EA7B12" w:rsidR="00E56122" w:rsidRP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cs="Arial"/>
          <w:bCs/>
          <w:color w:val="auto"/>
          <w:szCs w:val="24"/>
        </w:rPr>
        <w:t xml:space="preserve">The intensity of the illumination should also be considered. Illumination should allow the sign to be easily </w:t>
      </w:r>
      <w:proofErr w:type="gramStart"/>
      <w:r w:rsidRPr="00E56122">
        <w:rPr>
          <w:rFonts w:cs="Arial"/>
          <w:bCs/>
          <w:color w:val="auto"/>
          <w:szCs w:val="24"/>
        </w:rPr>
        <w:t>read, but</w:t>
      </w:r>
      <w:proofErr w:type="gramEnd"/>
      <w:r w:rsidRPr="00E56122">
        <w:rPr>
          <w:rFonts w:cs="Arial"/>
          <w:bCs/>
          <w:color w:val="auto"/>
          <w:szCs w:val="24"/>
        </w:rPr>
        <w:t xml:space="preserve"> not cause a distracting glare or adversely affect homes above or near the shop. Flashing signs must not be used where they could be a distraction to traffic.</w:t>
      </w:r>
    </w:p>
    <w:p w14:paraId="0680480B" w14:textId="77777777" w:rsidR="00E56122" w:rsidRDefault="00E56122" w:rsidP="00E56122">
      <w:pPr>
        <w:keepNext w:val="0"/>
        <w:spacing w:before="0"/>
        <w:ind w:left="709"/>
        <w:rPr>
          <w:rFonts w:cs="Arial"/>
          <w:color w:val="auto"/>
          <w:szCs w:val="24"/>
          <w:lang w:eastAsia="en-US"/>
        </w:rPr>
      </w:pPr>
    </w:p>
    <w:p w14:paraId="5EB1DFFB" w14:textId="0F8A1CE9" w:rsidR="00E56122" w:rsidRDefault="004D2B4D" w:rsidP="00E56122">
      <w:pPr>
        <w:keepNext w:val="0"/>
        <w:spacing w:before="0"/>
        <w:ind w:left="709"/>
        <w:rPr>
          <w:rFonts w:cs="Arial"/>
          <w:color w:val="auto"/>
          <w:szCs w:val="24"/>
          <w:lang w:eastAsia="en-US"/>
        </w:rPr>
      </w:pPr>
      <w:r>
        <w:rPr>
          <w:rFonts w:cs="Arial"/>
          <w:b/>
          <w:bCs/>
          <w:color w:val="auto"/>
        </w:rPr>
        <w:t>S</w:t>
      </w:r>
      <w:r w:rsidR="00E56122" w:rsidRPr="00E56122">
        <w:rPr>
          <w:rFonts w:cs="Arial"/>
          <w:b/>
          <w:bCs/>
          <w:color w:val="auto"/>
        </w:rPr>
        <w:t>ignage</w:t>
      </w:r>
    </w:p>
    <w:p w14:paraId="22B8EE8C" w14:textId="14FB5882" w:rsid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cs="Arial"/>
          <w:color w:val="auto"/>
          <w:szCs w:val="24"/>
        </w:rPr>
        <w:t xml:space="preserve">Shop front signage plays an important role in advertising the business within a property and contributing to the street scene of its surroundings. In designing and locating shop front signage, proposals must </w:t>
      </w:r>
      <w:r w:rsidR="009D1815" w:rsidRPr="00E56122">
        <w:rPr>
          <w:rFonts w:cs="Arial"/>
          <w:color w:val="auto"/>
          <w:szCs w:val="24"/>
        </w:rPr>
        <w:t>successfully</w:t>
      </w:r>
      <w:r w:rsidRPr="00E56122">
        <w:rPr>
          <w:rFonts w:cs="Arial"/>
          <w:color w:val="auto"/>
          <w:szCs w:val="24"/>
        </w:rPr>
        <w:t xml:space="preserve"> balance these aspects. The Council acknowledges that businesses require signage, but this must not be to the detriment of the surrounding street scene or other uses. Further guidance on signage is detailed </w:t>
      </w:r>
      <w:r w:rsidRPr="00DA3B66">
        <w:rPr>
          <w:rFonts w:cs="Arial"/>
          <w:color w:val="auto"/>
          <w:szCs w:val="24"/>
        </w:rPr>
        <w:t>within Policy SD1</w:t>
      </w:r>
      <w:r w:rsidR="00BE13FE">
        <w:rPr>
          <w:rFonts w:cs="Arial"/>
          <w:color w:val="auto"/>
          <w:szCs w:val="24"/>
        </w:rPr>
        <w:t>2</w:t>
      </w:r>
      <w:r w:rsidRPr="00E56122">
        <w:rPr>
          <w:rFonts w:cs="Arial"/>
          <w:color w:val="auto"/>
          <w:szCs w:val="24"/>
        </w:rPr>
        <w:t>. In the future, this may be supplemented by supplementary planning guidance.</w:t>
      </w:r>
    </w:p>
    <w:p w14:paraId="3DB5B30E" w14:textId="77777777" w:rsidR="00E56122" w:rsidRDefault="00E56122" w:rsidP="00E56122">
      <w:pPr>
        <w:keepNext w:val="0"/>
        <w:spacing w:before="0"/>
        <w:ind w:left="709"/>
        <w:rPr>
          <w:rFonts w:cs="Arial"/>
          <w:color w:val="auto"/>
          <w:szCs w:val="24"/>
          <w:lang w:eastAsia="en-US"/>
        </w:rPr>
      </w:pPr>
    </w:p>
    <w:p w14:paraId="63109E27" w14:textId="77777777" w:rsidR="00E56122" w:rsidRDefault="00E56122" w:rsidP="00E56122">
      <w:pPr>
        <w:keepNext w:val="0"/>
        <w:spacing w:before="0"/>
        <w:ind w:left="709"/>
        <w:rPr>
          <w:rFonts w:cs="Arial"/>
          <w:color w:val="auto"/>
          <w:szCs w:val="24"/>
          <w:lang w:eastAsia="en-US"/>
        </w:rPr>
      </w:pPr>
      <w:r w:rsidRPr="00E56122">
        <w:rPr>
          <w:rFonts w:cs="Arial"/>
          <w:b/>
          <w:color w:val="auto"/>
        </w:rPr>
        <w:t>Access</w:t>
      </w:r>
    </w:p>
    <w:p w14:paraId="48350594" w14:textId="5200AD0C" w:rsidR="00E56122" w:rsidRDefault="00E56122" w:rsidP="00E56122">
      <w:pPr>
        <w:keepNext w:val="0"/>
        <w:numPr>
          <w:ilvl w:val="1"/>
          <w:numId w:val="6"/>
        </w:numPr>
        <w:tabs>
          <w:tab w:val="clear" w:pos="525"/>
        </w:tabs>
        <w:spacing w:before="0"/>
        <w:ind w:left="709" w:hanging="709"/>
        <w:rPr>
          <w:rFonts w:cs="Arial"/>
          <w:color w:val="auto"/>
          <w:szCs w:val="24"/>
          <w:lang w:eastAsia="en-US"/>
        </w:rPr>
      </w:pPr>
      <w:r w:rsidRPr="00E56122">
        <w:rPr>
          <w:rFonts w:cs="Arial"/>
          <w:color w:val="auto"/>
          <w:szCs w:val="24"/>
        </w:rPr>
        <w:t>Wherever it is practicable, alterations should ensure access for all through the main entrance by creating a clearly defined, well lit, unobstructed and level approach.</w:t>
      </w:r>
    </w:p>
    <w:p w14:paraId="7EFB8A95" w14:textId="77777777" w:rsidR="00E56122" w:rsidRDefault="00E56122" w:rsidP="00E56122">
      <w:pPr>
        <w:keepNext w:val="0"/>
        <w:spacing w:before="0"/>
        <w:ind w:left="709"/>
        <w:rPr>
          <w:rFonts w:cs="Arial"/>
          <w:color w:val="auto"/>
          <w:szCs w:val="24"/>
          <w:lang w:eastAsia="en-US"/>
        </w:rPr>
      </w:pPr>
    </w:p>
    <w:p w14:paraId="3F05865E" w14:textId="77777777" w:rsidR="00E56122" w:rsidRDefault="00E56122" w:rsidP="00E56122">
      <w:pPr>
        <w:keepNext w:val="0"/>
        <w:spacing w:before="0"/>
        <w:ind w:left="709"/>
        <w:rPr>
          <w:rFonts w:cs="Arial"/>
          <w:color w:val="auto"/>
          <w:szCs w:val="24"/>
          <w:lang w:eastAsia="en-US"/>
        </w:rPr>
      </w:pPr>
      <w:r w:rsidRPr="00E56122">
        <w:rPr>
          <w:rFonts w:cs="Arial"/>
          <w:b/>
          <w:color w:val="auto"/>
        </w:rPr>
        <w:t>Shopfront Design Guide</w:t>
      </w:r>
    </w:p>
    <w:p w14:paraId="77D3C4E1" w14:textId="77777777" w:rsidR="00A73757" w:rsidRPr="00A73757" w:rsidRDefault="00E56122" w:rsidP="00C602FD">
      <w:pPr>
        <w:keepNext w:val="0"/>
        <w:numPr>
          <w:ilvl w:val="1"/>
          <w:numId w:val="6"/>
        </w:numPr>
        <w:tabs>
          <w:tab w:val="clear" w:pos="525"/>
        </w:tabs>
        <w:autoSpaceDE w:val="0"/>
        <w:autoSpaceDN w:val="0"/>
        <w:adjustRightInd w:val="0"/>
        <w:spacing w:before="0"/>
        <w:ind w:left="709" w:hanging="709"/>
        <w:rPr>
          <w:rFonts w:cs="Arial"/>
          <w:b/>
          <w:color w:val="auto"/>
          <w:sz w:val="36"/>
          <w:szCs w:val="36"/>
        </w:rPr>
      </w:pPr>
      <w:r w:rsidRPr="00A73757">
        <w:rPr>
          <w:rFonts w:cs="Arial"/>
          <w:color w:val="auto"/>
          <w:szCs w:val="24"/>
        </w:rPr>
        <w:t xml:space="preserve">The Council intends to prepare a </w:t>
      </w:r>
      <w:r w:rsidRPr="00A73757">
        <w:rPr>
          <w:rFonts w:cs="Arial"/>
          <w:iCs/>
          <w:color w:val="auto"/>
          <w:szCs w:val="24"/>
        </w:rPr>
        <w:t>Shopfront Design Guide</w:t>
      </w:r>
      <w:r w:rsidRPr="00A73757">
        <w:rPr>
          <w:rFonts w:cs="Arial"/>
          <w:i/>
          <w:iCs/>
          <w:color w:val="auto"/>
          <w:szCs w:val="24"/>
        </w:rPr>
        <w:t xml:space="preserve"> </w:t>
      </w:r>
      <w:r w:rsidRPr="00A73757">
        <w:rPr>
          <w:rFonts w:cs="Arial"/>
          <w:color w:val="auto"/>
          <w:szCs w:val="24"/>
        </w:rPr>
        <w:t xml:space="preserve">to assess proposals for shopfronts and shop signage. Sufficient details regarding shopfronts should therefore be provided at planning application stage to enable assessment of the proposal in the context of this policy, the </w:t>
      </w:r>
      <w:r w:rsidRPr="00A73757">
        <w:rPr>
          <w:rFonts w:cs="Arial"/>
          <w:iCs/>
          <w:color w:val="auto"/>
          <w:szCs w:val="24"/>
        </w:rPr>
        <w:t>Shopfront Design Guide</w:t>
      </w:r>
      <w:r w:rsidRPr="00A73757">
        <w:rPr>
          <w:rFonts w:cs="Arial"/>
          <w:i/>
          <w:iCs/>
          <w:color w:val="auto"/>
          <w:szCs w:val="24"/>
        </w:rPr>
        <w:t xml:space="preserve"> </w:t>
      </w:r>
      <w:r w:rsidRPr="00A73757">
        <w:rPr>
          <w:rFonts w:cs="Arial"/>
          <w:color w:val="auto"/>
          <w:szCs w:val="24"/>
        </w:rPr>
        <w:t>and other relevant planning considerations.</w:t>
      </w:r>
      <w:bookmarkStart w:id="290" w:name="_Hlk78785060"/>
      <w:bookmarkEnd w:id="272"/>
      <w:bookmarkEnd w:id="289"/>
    </w:p>
    <w:p w14:paraId="653DEA72" w14:textId="77777777" w:rsidR="00163F59" w:rsidRDefault="00163F59" w:rsidP="00A73757">
      <w:pPr>
        <w:keepNext w:val="0"/>
        <w:autoSpaceDE w:val="0"/>
        <w:autoSpaceDN w:val="0"/>
        <w:adjustRightInd w:val="0"/>
        <w:spacing w:before="0"/>
        <w:rPr>
          <w:rFonts w:cs="Arial"/>
          <w:color w:val="auto"/>
          <w:szCs w:val="24"/>
        </w:rPr>
      </w:pPr>
    </w:p>
    <w:p w14:paraId="13580E41" w14:textId="77777777" w:rsidR="00163F59" w:rsidRDefault="00163F59" w:rsidP="00CF07B9">
      <w:pPr>
        <w:pStyle w:val="Heading1"/>
        <w:sectPr w:rsidR="00163F59" w:rsidSect="008852FB">
          <w:headerReference w:type="default" r:id="rId58"/>
          <w:pgSz w:w="11906" w:h="16838" w:code="9"/>
          <w:pgMar w:top="1258" w:right="1133" w:bottom="1079" w:left="1134" w:header="709" w:footer="709" w:gutter="0"/>
          <w:cols w:space="708"/>
          <w:docGrid w:linePitch="360"/>
        </w:sectPr>
      </w:pPr>
      <w:bookmarkStart w:id="291" w:name="_Toc145511608"/>
    </w:p>
    <w:p w14:paraId="0675E4E1" w14:textId="6821107A" w:rsidR="00084ABA" w:rsidRPr="00A73757" w:rsidRDefault="00DA4833" w:rsidP="00CF07B9">
      <w:pPr>
        <w:pStyle w:val="Heading1"/>
      </w:pPr>
      <w:r w:rsidRPr="00A73757">
        <w:lastRenderedPageBreak/>
        <w:t>Chapter 9</w:t>
      </w:r>
      <w:bookmarkEnd w:id="291"/>
    </w:p>
    <w:p w14:paraId="3D85444E" w14:textId="3C9A46A4" w:rsidR="00084ABA" w:rsidRPr="003C7E62" w:rsidRDefault="00084ABA" w:rsidP="008008F0">
      <w:pPr>
        <w:keepNext w:val="0"/>
        <w:spacing w:before="0"/>
        <w:rPr>
          <w:rFonts w:cs="Arial"/>
          <w:b/>
          <w:color w:val="auto"/>
          <w:sz w:val="36"/>
          <w:szCs w:val="36"/>
        </w:rPr>
      </w:pPr>
    </w:p>
    <w:p w14:paraId="23D436A6" w14:textId="4960B705" w:rsidR="0040385F" w:rsidRPr="00126BAD" w:rsidRDefault="005F1B0D" w:rsidP="00CF07B9">
      <w:pPr>
        <w:pStyle w:val="Heading1"/>
      </w:pPr>
      <w:bookmarkStart w:id="292" w:name="_Toc500408783"/>
      <w:bookmarkStart w:id="293" w:name="_Toc145511609"/>
      <w:bookmarkStart w:id="294" w:name="_Hlk146199792"/>
      <w:r w:rsidRPr="00126BAD">
        <w:t>Achieving successful development through well designed places</w:t>
      </w:r>
      <w:bookmarkEnd w:id="290"/>
      <w:bookmarkEnd w:id="292"/>
      <w:bookmarkEnd w:id="293"/>
    </w:p>
    <w:bookmarkEnd w:id="294"/>
    <w:p w14:paraId="741381CA" w14:textId="77777777" w:rsidR="00263F59" w:rsidRPr="00263F59" w:rsidRDefault="00263F59" w:rsidP="006E3244">
      <w:pPr>
        <w:keepNext w:val="0"/>
        <w:spacing w:before="0"/>
        <w:rPr>
          <w:rFonts w:cs="Arial"/>
          <w:b/>
          <w:bCs/>
          <w:color w:val="auto"/>
          <w:szCs w:val="24"/>
          <w:lang w:eastAsia="en-US"/>
        </w:rPr>
      </w:pPr>
    </w:p>
    <w:p w14:paraId="456AEE63" w14:textId="7EFBD569" w:rsidR="0064018F" w:rsidRPr="00825421" w:rsidRDefault="0064018F" w:rsidP="00825421">
      <w:pPr>
        <w:pStyle w:val="Heading2"/>
        <w:jc w:val="left"/>
        <w:rPr>
          <w:sz w:val="28"/>
          <w:szCs w:val="28"/>
        </w:rPr>
      </w:pPr>
      <w:bookmarkStart w:id="295" w:name="_Toc145511610"/>
      <w:r w:rsidRPr="00825421">
        <w:rPr>
          <w:rFonts w:eastAsia="Arial"/>
          <w:sz w:val="28"/>
          <w:szCs w:val="28"/>
        </w:rPr>
        <w:t>Policy SD1: Social Value</w:t>
      </w:r>
      <w:bookmarkEnd w:id="295"/>
    </w:p>
    <w:p w14:paraId="7ECB3FEC" w14:textId="77777777" w:rsidR="0064018F" w:rsidRPr="00263F59" w:rsidRDefault="0064018F" w:rsidP="0064018F">
      <w:pPr>
        <w:keepNext w:val="0"/>
        <w:spacing w:before="0" w:after="160" w:line="259" w:lineRule="auto"/>
        <w:rPr>
          <w:rFonts w:eastAsia="Calibri" w:cs="Arial"/>
          <w:color w:val="auto"/>
          <w:szCs w:val="24"/>
          <w:lang w:eastAsia="en-US"/>
        </w:rPr>
      </w:pPr>
    </w:p>
    <w:tbl>
      <w:tblPr>
        <w:tblStyle w:val="TableGrid3"/>
        <w:tblW w:w="9634" w:type="dxa"/>
        <w:tblLook w:val="04A0" w:firstRow="1" w:lastRow="0" w:firstColumn="1" w:lastColumn="0" w:noHBand="0" w:noVBand="1"/>
      </w:tblPr>
      <w:tblGrid>
        <w:gridCol w:w="2376"/>
        <w:gridCol w:w="284"/>
        <w:gridCol w:w="6974"/>
      </w:tblGrid>
      <w:tr w:rsidR="0064018F" w:rsidRPr="0064018F" w14:paraId="46FB39AC" w14:textId="77777777" w:rsidTr="00163F59">
        <w:trPr>
          <w:trHeight w:val="421"/>
        </w:trPr>
        <w:tc>
          <w:tcPr>
            <w:tcW w:w="9634" w:type="dxa"/>
            <w:gridSpan w:val="3"/>
          </w:tcPr>
          <w:p w14:paraId="566049C7" w14:textId="77777777" w:rsidR="0064018F" w:rsidRPr="0064018F" w:rsidRDefault="0064018F" w:rsidP="00905CC9">
            <w:pPr>
              <w:keepNext w:val="0"/>
              <w:tabs>
                <w:tab w:val="left" w:pos="680"/>
              </w:tabs>
              <w:spacing w:after="120"/>
              <w:jc w:val="left"/>
              <w:rPr>
                <w:rFonts w:eastAsia="Arial"/>
                <w:b/>
                <w:color w:val="auto"/>
                <w:spacing w:val="-1"/>
              </w:rPr>
            </w:pPr>
            <w:bookmarkStart w:id="296" w:name="_Hlk78888998"/>
            <w:r w:rsidRPr="0064018F">
              <w:rPr>
                <w:rFonts w:eastAsia="Arial"/>
                <w:b/>
                <w:color w:val="auto"/>
                <w:spacing w:val="-1"/>
              </w:rPr>
              <w:t xml:space="preserve">Policy SD1: Social Value </w:t>
            </w:r>
          </w:p>
        </w:tc>
      </w:tr>
      <w:tr w:rsidR="0064018F" w:rsidRPr="0064018F" w14:paraId="06797862" w14:textId="77777777" w:rsidTr="00163F59">
        <w:tc>
          <w:tcPr>
            <w:tcW w:w="2660" w:type="dxa"/>
            <w:gridSpan w:val="2"/>
          </w:tcPr>
          <w:p w14:paraId="2EE06848" w14:textId="77777777" w:rsidR="0064018F" w:rsidRPr="0064018F" w:rsidRDefault="0064018F" w:rsidP="00905CC9">
            <w:pPr>
              <w:keepNext w:val="0"/>
              <w:tabs>
                <w:tab w:val="left" w:pos="680"/>
              </w:tabs>
              <w:spacing w:before="0"/>
              <w:jc w:val="left"/>
              <w:rPr>
                <w:rFonts w:eastAsia="Arial"/>
                <w:bCs/>
                <w:color w:val="auto"/>
              </w:rPr>
            </w:pPr>
            <w:r w:rsidRPr="0064018F">
              <w:rPr>
                <w:rFonts w:eastAsia="Arial"/>
                <w:bCs/>
                <w:color w:val="auto"/>
              </w:rPr>
              <w:t>Strategic Objectives</w:t>
            </w:r>
          </w:p>
        </w:tc>
        <w:tc>
          <w:tcPr>
            <w:tcW w:w="6974" w:type="dxa"/>
          </w:tcPr>
          <w:p w14:paraId="720D621A" w14:textId="77777777" w:rsidR="0064018F" w:rsidRPr="0064018F" w:rsidRDefault="0064018F" w:rsidP="00905CC9">
            <w:pPr>
              <w:keepNext w:val="0"/>
              <w:tabs>
                <w:tab w:val="left" w:pos="680"/>
              </w:tabs>
              <w:spacing w:before="40" w:after="40"/>
              <w:jc w:val="left"/>
              <w:rPr>
                <w:rFonts w:eastAsia="Arial"/>
                <w:bCs/>
                <w:color w:val="auto"/>
              </w:rPr>
            </w:pPr>
            <w:r w:rsidRPr="0064018F">
              <w:rPr>
                <w:rFonts w:eastAsia="Arial"/>
                <w:bCs/>
                <w:color w:val="auto"/>
              </w:rPr>
              <w:t>SO1, SO2, SO4, SO6, SO11, SO12, SO13.</w:t>
            </w:r>
          </w:p>
        </w:tc>
      </w:tr>
      <w:tr w:rsidR="0064018F" w:rsidRPr="0064018F" w14:paraId="138FB519" w14:textId="77777777" w:rsidTr="00163F59">
        <w:tc>
          <w:tcPr>
            <w:tcW w:w="9634" w:type="dxa"/>
            <w:gridSpan w:val="3"/>
            <w:shd w:val="clear" w:color="auto" w:fill="DAC4F8"/>
          </w:tcPr>
          <w:p w14:paraId="0284D087" w14:textId="77777777" w:rsidR="0074669E" w:rsidRDefault="0074669E" w:rsidP="00905CC9">
            <w:pPr>
              <w:keepNext w:val="0"/>
              <w:spacing w:before="0"/>
              <w:jc w:val="left"/>
              <w:rPr>
                <w:rFonts w:cs="Arial"/>
                <w:color w:val="auto"/>
                <w:szCs w:val="24"/>
              </w:rPr>
            </w:pPr>
          </w:p>
          <w:p w14:paraId="7CBADA1A" w14:textId="2DAC66FD" w:rsidR="0064018F" w:rsidRPr="00595970" w:rsidRDefault="00881D31" w:rsidP="00842A95">
            <w:pPr>
              <w:keepNext w:val="0"/>
              <w:spacing w:before="0"/>
              <w:jc w:val="left"/>
              <w:rPr>
                <w:rFonts w:cs="Arial"/>
                <w:color w:val="auto"/>
                <w:szCs w:val="24"/>
              </w:rPr>
            </w:pPr>
            <w:r>
              <w:rPr>
                <w:rFonts w:cs="Arial"/>
                <w:color w:val="auto"/>
                <w:szCs w:val="24"/>
              </w:rPr>
              <w:t>D</w:t>
            </w:r>
            <w:r w:rsidR="0064018F" w:rsidRPr="0064018F">
              <w:rPr>
                <w:rFonts w:cs="Arial"/>
                <w:color w:val="auto"/>
                <w:szCs w:val="24"/>
              </w:rPr>
              <w:t xml:space="preserve">evelopment in Ashfield will maximise social value </w:t>
            </w:r>
            <w:proofErr w:type="gramStart"/>
            <w:r w:rsidR="0064018F" w:rsidRPr="0064018F">
              <w:rPr>
                <w:rFonts w:cs="Arial"/>
                <w:color w:val="auto"/>
                <w:szCs w:val="24"/>
              </w:rPr>
              <w:t>in order to</w:t>
            </w:r>
            <w:proofErr w:type="gramEnd"/>
            <w:r w:rsidR="0064018F" w:rsidRPr="0064018F">
              <w:rPr>
                <w:rFonts w:cs="Arial"/>
                <w:color w:val="auto"/>
                <w:szCs w:val="24"/>
              </w:rPr>
              <w:t xml:space="preserve"> deliver as many public benefits as possible. All major developments will be required to submit a Social Value Strategy (SVS) demonstrating how social value is achieved throughout the lifecycle of the development</w:t>
            </w:r>
            <w:r w:rsidR="00842A95">
              <w:rPr>
                <w:rFonts w:cs="Arial"/>
                <w:color w:val="auto"/>
                <w:szCs w:val="24"/>
              </w:rPr>
              <w:t xml:space="preserve">, </w:t>
            </w:r>
            <w:r w:rsidR="00842A95" w:rsidRPr="00595970">
              <w:rPr>
                <w:rFonts w:cs="Arial"/>
                <w:color w:val="auto"/>
                <w:szCs w:val="24"/>
              </w:rPr>
              <w:t xml:space="preserve">based on a comprehensive masterplan of the whole site. </w:t>
            </w:r>
            <w:r w:rsidR="0064018F" w:rsidRPr="00595970">
              <w:rPr>
                <w:rFonts w:cs="Arial"/>
                <w:color w:val="auto"/>
                <w:szCs w:val="24"/>
              </w:rPr>
              <w:t>The SVS will need to demonstrate how the development contributes positively to:</w:t>
            </w:r>
          </w:p>
          <w:p w14:paraId="274E1494" w14:textId="77777777" w:rsidR="0064018F" w:rsidRPr="0064018F" w:rsidRDefault="0064018F" w:rsidP="00874A98">
            <w:pPr>
              <w:keepNext w:val="0"/>
              <w:numPr>
                <w:ilvl w:val="0"/>
                <w:numId w:val="212"/>
              </w:numPr>
              <w:spacing w:before="0" w:after="160" w:line="259" w:lineRule="auto"/>
              <w:contextualSpacing/>
              <w:jc w:val="left"/>
              <w:rPr>
                <w:rFonts w:cs="Arial"/>
                <w:color w:val="auto"/>
                <w:szCs w:val="24"/>
              </w:rPr>
            </w:pPr>
            <w:r w:rsidRPr="0064018F">
              <w:rPr>
                <w:rFonts w:cs="Arial"/>
                <w:color w:val="auto"/>
                <w:szCs w:val="24"/>
              </w:rPr>
              <w:t>Placemaking</w:t>
            </w:r>
          </w:p>
          <w:p w14:paraId="7978326D" w14:textId="77777777" w:rsidR="0064018F" w:rsidRPr="0064018F" w:rsidRDefault="0064018F" w:rsidP="00874A98">
            <w:pPr>
              <w:keepNext w:val="0"/>
              <w:numPr>
                <w:ilvl w:val="0"/>
                <w:numId w:val="212"/>
              </w:numPr>
              <w:spacing w:before="0" w:after="160" w:line="259" w:lineRule="auto"/>
              <w:contextualSpacing/>
              <w:jc w:val="left"/>
              <w:rPr>
                <w:rFonts w:cs="Arial"/>
                <w:color w:val="auto"/>
                <w:szCs w:val="24"/>
              </w:rPr>
            </w:pPr>
            <w:r w:rsidRPr="0064018F">
              <w:rPr>
                <w:rFonts w:cs="Arial"/>
                <w:color w:val="auto"/>
                <w:szCs w:val="24"/>
              </w:rPr>
              <w:t>Health and wellbeing</w:t>
            </w:r>
          </w:p>
          <w:p w14:paraId="13337670" w14:textId="77777777" w:rsidR="0064018F" w:rsidRPr="0064018F" w:rsidRDefault="0064018F" w:rsidP="00874A98">
            <w:pPr>
              <w:keepNext w:val="0"/>
              <w:numPr>
                <w:ilvl w:val="0"/>
                <w:numId w:val="212"/>
              </w:numPr>
              <w:spacing w:before="0" w:after="160" w:line="259" w:lineRule="auto"/>
              <w:contextualSpacing/>
              <w:jc w:val="left"/>
              <w:rPr>
                <w:rFonts w:cs="Arial"/>
                <w:color w:val="auto"/>
                <w:szCs w:val="24"/>
              </w:rPr>
            </w:pPr>
            <w:r w:rsidRPr="0064018F">
              <w:rPr>
                <w:rFonts w:cs="Arial"/>
                <w:color w:val="auto"/>
                <w:szCs w:val="24"/>
              </w:rPr>
              <w:t>Local employment, regeneration and growth,</w:t>
            </w:r>
          </w:p>
          <w:p w14:paraId="38535D76" w14:textId="77777777" w:rsidR="0064018F" w:rsidRPr="0064018F" w:rsidRDefault="0064018F" w:rsidP="00874A98">
            <w:pPr>
              <w:keepNext w:val="0"/>
              <w:numPr>
                <w:ilvl w:val="0"/>
                <w:numId w:val="212"/>
              </w:numPr>
              <w:spacing w:before="0" w:after="160" w:line="259" w:lineRule="auto"/>
              <w:contextualSpacing/>
              <w:jc w:val="left"/>
              <w:rPr>
                <w:rFonts w:cs="Arial"/>
                <w:color w:val="auto"/>
                <w:szCs w:val="24"/>
              </w:rPr>
            </w:pPr>
            <w:r w:rsidRPr="0064018F">
              <w:rPr>
                <w:rFonts w:cs="Arial"/>
                <w:color w:val="auto"/>
                <w:szCs w:val="24"/>
              </w:rPr>
              <w:t xml:space="preserve">Community resilience, and  </w:t>
            </w:r>
          </w:p>
          <w:p w14:paraId="7135493D" w14:textId="77777777" w:rsidR="0064018F" w:rsidRPr="0064018F" w:rsidRDefault="0064018F" w:rsidP="00874A98">
            <w:pPr>
              <w:keepNext w:val="0"/>
              <w:numPr>
                <w:ilvl w:val="0"/>
                <w:numId w:val="212"/>
              </w:numPr>
              <w:spacing w:before="0" w:line="259" w:lineRule="auto"/>
              <w:contextualSpacing/>
              <w:jc w:val="left"/>
              <w:rPr>
                <w:rFonts w:cs="Arial"/>
                <w:color w:val="auto"/>
                <w:szCs w:val="24"/>
              </w:rPr>
            </w:pPr>
            <w:r w:rsidRPr="0064018F">
              <w:rPr>
                <w:rFonts w:cs="Arial"/>
                <w:color w:val="auto"/>
                <w:szCs w:val="24"/>
              </w:rPr>
              <w:t>Safeguarding the environment and responding to climate change</w:t>
            </w:r>
          </w:p>
          <w:p w14:paraId="67FA976A" w14:textId="77777777" w:rsidR="0064018F" w:rsidRPr="0064018F" w:rsidRDefault="0064018F" w:rsidP="00905CC9">
            <w:pPr>
              <w:keepNext w:val="0"/>
              <w:tabs>
                <w:tab w:val="left" w:pos="680"/>
                <w:tab w:val="left" w:pos="1133"/>
                <w:tab w:val="left" w:pos="2267"/>
              </w:tabs>
              <w:spacing w:before="0"/>
              <w:ind w:right="284"/>
              <w:jc w:val="left"/>
              <w:rPr>
                <w:rFonts w:eastAsia="Arial" w:cs="Arial"/>
                <w:bCs/>
                <w:color w:val="auto"/>
                <w:szCs w:val="24"/>
              </w:rPr>
            </w:pPr>
          </w:p>
        </w:tc>
      </w:tr>
      <w:bookmarkEnd w:id="296"/>
      <w:tr w:rsidR="0064018F" w:rsidRPr="0064018F" w14:paraId="100D6923" w14:textId="77777777" w:rsidTr="00163F59">
        <w:tc>
          <w:tcPr>
            <w:tcW w:w="2376" w:type="dxa"/>
          </w:tcPr>
          <w:p w14:paraId="0B232FAA" w14:textId="77777777" w:rsidR="0064018F" w:rsidRPr="0064018F" w:rsidRDefault="0064018F" w:rsidP="00905CC9">
            <w:pPr>
              <w:keepNext w:val="0"/>
              <w:tabs>
                <w:tab w:val="left" w:pos="680"/>
                <w:tab w:val="left" w:pos="1133"/>
                <w:tab w:val="left" w:pos="2267"/>
              </w:tabs>
              <w:spacing w:before="0"/>
              <w:ind w:right="284"/>
              <w:jc w:val="left"/>
              <w:rPr>
                <w:rFonts w:eastAsia="Arial"/>
                <w:b/>
                <w:color w:val="7030A0"/>
                <w:szCs w:val="24"/>
              </w:rPr>
            </w:pPr>
            <w:r w:rsidRPr="0064018F">
              <w:rPr>
                <w:rFonts w:eastAsia="Arial"/>
                <w:bCs/>
                <w:color w:val="auto"/>
                <w:sz w:val="20"/>
              </w:rPr>
              <w:t>Evidence base</w:t>
            </w:r>
          </w:p>
        </w:tc>
        <w:tc>
          <w:tcPr>
            <w:tcW w:w="7258" w:type="dxa"/>
            <w:gridSpan w:val="2"/>
          </w:tcPr>
          <w:p w14:paraId="5FE84D58" w14:textId="2F7394DE" w:rsidR="0064018F" w:rsidRPr="0064018F" w:rsidRDefault="0064018F" w:rsidP="00874A98">
            <w:pPr>
              <w:keepNext w:val="0"/>
              <w:numPr>
                <w:ilvl w:val="0"/>
                <w:numId w:val="209"/>
              </w:numPr>
              <w:tabs>
                <w:tab w:val="left" w:pos="680"/>
                <w:tab w:val="left" w:pos="1133"/>
                <w:tab w:val="left" w:pos="2267"/>
              </w:tabs>
              <w:spacing w:before="0" w:after="160" w:line="259" w:lineRule="auto"/>
              <w:ind w:left="357" w:right="284" w:hanging="357"/>
              <w:contextualSpacing/>
              <w:rPr>
                <w:rFonts w:eastAsia="Arial" w:cs="Arial"/>
                <w:bCs/>
                <w:color w:val="auto"/>
                <w:sz w:val="20"/>
              </w:rPr>
            </w:pPr>
            <w:r w:rsidRPr="0064018F">
              <w:rPr>
                <w:rFonts w:eastAsia="Arial" w:cs="Arial"/>
                <w:bCs/>
                <w:color w:val="auto"/>
                <w:sz w:val="20"/>
              </w:rPr>
              <w:t>Sustainability Appraisal, August 202</w:t>
            </w:r>
            <w:r w:rsidR="00595970">
              <w:rPr>
                <w:rFonts w:eastAsia="Arial" w:cs="Arial"/>
                <w:bCs/>
                <w:color w:val="auto"/>
                <w:sz w:val="20"/>
              </w:rPr>
              <w:t>3</w:t>
            </w:r>
            <w:r w:rsidRPr="0064018F">
              <w:rPr>
                <w:rFonts w:eastAsia="Arial" w:cs="Arial"/>
                <w:bCs/>
                <w:color w:val="auto"/>
                <w:sz w:val="20"/>
              </w:rPr>
              <w:t>. W</w:t>
            </w:r>
            <w:r w:rsidR="00595970">
              <w:rPr>
                <w:rFonts w:eastAsia="Arial" w:cs="Arial"/>
                <w:bCs/>
                <w:color w:val="auto"/>
                <w:sz w:val="20"/>
              </w:rPr>
              <w:t>SP UK</w:t>
            </w:r>
            <w:r w:rsidRPr="0064018F">
              <w:rPr>
                <w:rFonts w:eastAsia="Arial" w:cs="Arial"/>
                <w:bCs/>
                <w:color w:val="auto"/>
                <w:sz w:val="20"/>
              </w:rPr>
              <w:t xml:space="preserve"> Ltd. </w:t>
            </w:r>
          </w:p>
          <w:p w14:paraId="6DEC18D6" w14:textId="77777777" w:rsidR="0064018F" w:rsidRPr="0064018F" w:rsidRDefault="0064018F" w:rsidP="00874A98">
            <w:pPr>
              <w:keepNext w:val="0"/>
              <w:numPr>
                <w:ilvl w:val="0"/>
                <w:numId w:val="209"/>
              </w:numPr>
              <w:tabs>
                <w:tab w:val="left" w:pos="680"/>
                <w:tab w:val="left" w:pos="1133"/>
                <w:tab w:val="left" w:pos="2267"/>
              </w:tabs>
              <w:spacing w:before="0" w:after="160" w:line="259" w:lineRule="auto"/>
              <w:ind w:left="357" w:right="284" w:hanging="357"/>
              <w:contextualSpacing/>
              <w:rPr>
                <w:rFonts w:eastAsia="Arial" w:cs="Arial"/>
                <w:bCs/>
                <w:color w:val="auto"/>
                <w:sz w:val="20"/>
              </w:rPr>
            </w:pPr>
            <w:r w:rsidRPr="0064018F">
              <w:rPr>
                <w:rFonts w:eastAsia="Arial" w:cs="Arial"/>
                <w:bCs/>
                <w:color w:val="auto"/>
                <w:sz w:val="20"/>
              </w:rPr>
              <w:t>Ashfield Social Value Policy, 2020.  Ashfield District Council</w:t>
            </w:r>
          </w:p>
          <w:p w14:paraId="1581AADA" w14:textId="77777777" w:rsidR="0064018F" w:rsidRPr="0064018F" w:rsidRDefault="0064018F" w:rsidP="00874A98">
            <w:pPr>
              <w:keepNext w:val="0"/>
              <w:numPr>
                <w:ilvl w:val="0"/>
                <w:numId w:val="209"/>
              </w:numPr>
              <w:tabs>
                <w:tab w:val="left" w:pos="680"/>
                <w:tab w:val="left" w:pos="1133"/>
                <w:tab w:val="left" w:pos="2267"/>
              </w:tabs>
              <w:spacing w:before="0" w:after="160" w:line="259" w:lineRule="auto"/>
              <w:ind w:left="357" w:right="284" w:hanging="357"/>
              <w:contextualSpacing/>
              <w:rPr>
                <w:rFonts w:eastAsia="Arial" w:cs="Arial"/>
                <w:bCs/>
                <w:color w:val="auto"/>
                <w:sz w:val="20"/>
              </w:rPr>
            </w:pPr>
            <w:r w:rsidRPr="0064018F">
              <w:rPr>
                <w:rFonts w:eastAsia="Arial" w:cs="Arial"/>
                <w:bCs/>
                <w:color w:val="auto"/>
                <w:sz w:val="20"/>
              </w:rPr>
              <w:t>Ashfield Health and Wellbeing Partnership Strategy Be Healthy, Be Happy, 2021 – 2025 Ashfield Health and Wellbeing Partnership.</w:t>
            </w:r>
          </w:p>
          <w:p w14:paraId="2A843042" w14:textId="77777777" w:rsidR="0064018F" w:rsidRPr="0064018F" w:rsidRDefault="0064018F" w:rsidP="00874A98">
            <w:pPr>
              <w:keepNext w:val="0"/>
              <w:numPr>
                <w:ilvl w:val="0"/>
                <w:numId w:val="209"/>
              </w:numPr>
              <w:tabs>
                <w:tab w:val="left" w:pos="680"/>
                <w:tab w:val="left" w:pos="1133"/>
                <w:tab w:val="left" w:pos="2267"/>
              </w:tabs>
              <w:spacing w:before="0" w:after="160" w:line="259" w:lineRule="auto"/>
              <w:ind w:right="284"/>
              <w:contextualSpacing/>
              <w:rPr>
                <w:rFonts w:eastAsia="Arial" w:cs="Arial"/>
                <w:bCs/>
                <w:color w:val="auto"/>
                <w:sz w:val="20"/>
              </w:rPr>
            </w:pPr>
            <w:r w:rsidRPr="0064018F">
              <w:rPr>
                <w:rFonts w:eastAsia="Arial" w:cs="Arial"/>
                <w:bCs/>
                <w:color w:val="auto"/>
                <w:sz w:val="20"/>
              </w:rPr>
              <w:t xml:space="preserve">Ashfield Community Partnership Strategic Plan 2019-2022 </w:t>
            </w:r>
          </w:p>
          <w:p w14:paraId="2C3C1D42" w14:textId="77777777" w:rsidR="0064018F" w:rsidRPr="0064018F" w:rsidRDefault="0064018F" w:rsidP="00874A98">
            <w:pPr>
              <w:keepNext w:val="0"/>
              <w:numPr>
                <w:ilvl w:val="0"/>
                <w:numId w:val="209"/>
              </w:numPr>
              <w:tabs>
                <w:tab w:val="left" w:pos="680"/>
                <w:tab w:val="left" w:pos="1133"/>
                <w:tab w:val="left" w:pos="2267"/>
              </w:tabs>
              <w:spacing w:before="0" w:after="160" w:line="259" w:lineRule="auto"/>
              <w:ind w:right="284"/>
              <w:contextualSpacing/>
              <w:rPr>
                <w:rFonts w:eastAsia="Arial" w:cs="Arial"/>
                <w:bCs/>
                <w:color w:val="auto"/>
                <w:sz w:val="20"/>
              </w:rPr>
            </w:pPr>
            <w:r w:rsidRPr="0064018F">
              <w:rPr>
                <w:rFonts w:eastAsia="Arial" w:cs="Arial"/>
                <w:bCs/>
                <w:color w:val="auto"/>
                <w:sz w:val="20"/>
              </w:rPr>
              <w:t>Ashfield Community Partnership Strategic Assessment 2019-2022</w:t>
            </w:r>
          </w:p>
          <w:p w14:paraId="193B392E" w14:textId="77777777" w:rsidR="0064018F" w:rsidRPr="0064018F" w:rsidRDefault="0064018F" w:rsidP="00A03E50">
            <w:pPr>
              <w:tabs>
                <w:tab w:val="left" w:pos="680"/>
                <w:tab w:val="left" w:pos="1133"/>
                <w:tab w:val="left" w:pos="2267"/>
              </w:tabs>
              <w:ind w:right="284"/>
              <w:contextualSpacing/>
              <w:rPr>
                <w:rFonts w:eastAsia="Arial" w:cs="Arial"/>
                <w:bCs/>
                <w:color w:val="auto"/>
                <w:sz w:val="20"/>
              </w:rPr>
            </w:pPr>
          </w:p>
        </w:tc>
      </w:tr>
      <w:tr w:rsidR="0064018F" w:rsidRPr="0064018F" w14:paraId="7B9E2F55" w14:textId="77777777" w:rsidTr="00163F59">
        <w:tc>
          <w:tcPr>
            <w:tcW w:w="2376" w:type="dxa"/>
          </w:tcPr>
          <w:p w14:paraId="6D872BDE" w14:textId="77777777" w:rsidR="0064018F" w:rsidRPr="0064018F" w:rsidRDefault="0064018F" w:rsidP="00905CC9">
            <w:pPr>
              <w:keepNext w:val="0"/>
              <w:tabs>
                <w:tab w:val="left" w:pos="680"/>
                <w:tab w:val="left" w:pos="1133"/>
                <w:tab w:val="left" w:pos="2267"/>
              </w:tabs>
              <w:spacing w:before="0"/>
              <w:ind w:right="284"/>
              <w:jc w:val="left"/>
              <w:rPr>
                <w:rFonts w:eastAsia="Arial"/>
                <w:b/>
                <w:color w:val="538135"/>
                <w:sz w:val="22"/>
              </w:rPr>
            </w:pPr>
            <w:r w:rsidRPr="0064018F">
              <w:rPr>
                <w:rFonts w:eastAsia="Arial"/>
                <w:bCs/>
                <w:color w:val="auto"/>
                <w:sz w:val="20"/>
              </w:rPr>
              <w:t>National Planning Policy and Guidance</w:t>
            </w:r>
          </w:p>
        </w:tc>
        <w:tc>
          <w:tcPr>
            <w:tcW w:w="7258" w:type="dxa"/>
            <w:gridSpan w:val="2"/>
          </w:tcPr>
          <w:p w14:paraId="75AAE0C7" w14:textId="295A3043" w:rsidR="0064018F" w:rsidRPr="0064018F" w:rsidRDefault="0064018F" w:rsidP="00874A98">
            <w:pPr>
              <w:keepNext w:val="0"/>
              <w:numPr>
                <w:ilvl w:val="0"/>
                <w:numId w:val="119"/>
              </w:numPr>
              <w:tabs>
                <w:tab w:val="left" w:pos="680"/>
                <w:tab w:val="left" w:pos="1133"/>
                <w:tab w:val="left" w:pos="2267"/>
              </w:tabs>
              <w:spacing w:before="0" w:after="160" w:line="252" w:lineRule="auto"/>
              <w:ind w:right="284"/>
              <w:contextualSpacing/>
              <w:rPr>
                <w:rFonts w:eastAsia="Arial"/>
                <w:bCs/>
                <w:color w:val="auto"/>
                <w:sz w:val="20"/>
              </w:rPr>
            </w:pPr>
            <w:r w:rsidRPr="0064018F">
              <w:rPr>
                <w:rFonts w:eastAsia="Arial"/>
                <w:bCs/>
                <w:color w:val="auto"/>
                <w:sz w:val="20"/>
              </w:rPr>
              <w:t>NPPF 20</w:t>
            </w:r>
            <w:r w:rsidR="004173E0">
              <w:rPr>
                <w:rFonts w:eastAsia="Arial"/>
                <w:bCs/>
                <w:color w:val="auto"/>
                <w:sz w:val="20"/>
              </w:rPr>
              <w:t>23</w:t>
            </w:r>
            <w:r w:rsidRPr="0064018F">
              <w:rPr>
                <w:rFonts w:eastAsia="Arial"/>
                <w:bCs/>
                <w:color w:val="auto"/>
                <w:sz w:val="20"/>
              </w:rPr>
              <w:t>, Part 2: Achieving sustainable development.</w:t>
            </w:r>
          </w:p>
          <w:p w14:paraId="377E1952" w14:textId="77777777" w:rsidR="0064018F" w:rsidRPr="0064018F" w:rsidRDefault="0064018F" w:rsidP="00A03E50">
            <w:pPr>
              <w:tabs>
                <w:tab w:val="left" w:pos="680"/>
                <w:tab w:val="left" w:pos="1133"/>
                <w:tab w:val="left" w:pos="2267"/>
              </w:tabs>
              <w:spacing w:line="252" w:lineRule="auto"/>
              <w:ind w:right="284"/>
              <w:contextualSpacing/>
              <w:rPr>
                <w:rFonts w:eastAsia="Arial"/>
                <w:bCs/>
                <w:color w:val="auto"/>
                <w:sz w:val="20"/>
              </w:rPr>
            </w:pPr>
          </w:p>
        </w:tc>
      </w:tr>
    </w:tbl>
    <w:p w14:paraId="7E8ADA31" w14:textId="77777777" w:rsidR="0064018F" w:rsidRPr="0064018F" w:rsidRDefault="0064018F" w:rsidP="0064018F">
      <w:pPr>
        <w:keepNext w:val="0"/>
        <w:spacing w:before="0" w:after="160" w:line="259" w:lineRule="auto"/>
        <w:rPr>
          <w:rFonts w:ascii="Calibri" w:eastAsia="Calibri" w:hAnsi="Calibri"/>
          <w:color w:val="auto"/>
          <w:sz w:val="22"/>
          <w:szCs w:val="22"/>
          <w:lang w:eastAsia="en-US"/>
        </w:rPr>
      </w:pPr>
    </w:p>
    <w:p w14:paraId="1B5B8E99" w14:textId="398A47DF" w:rsidR="0064018F" w:rsidRDefault="0064018F" w:rsidP="0064018F">
      <w:pPr>
        <w:keepNext w:val="0"/>
        <w:numPr>
          <w:ilvl w:val="1"/>
          <w:numId w:val="7"/>
        </w:numPr>
        <w:tabs>
          <w:tab w:val="clear" w:pos="525"/>
        </w:tabs>
        <w:spacing w:before="0"/>
        <w:ind w:left="709" w:hanging="709"/>
        <w:rPr>
          <w:rFonts w:cs="Arial"/>
          <w:color w:val="auto"/>
          <w:szCs w:val="24"/>
          <w:lang w:eastAsia="en-US"/>
        </w:rPr>
      </w:pPr>
      <w:r w:rsidRPr="0064018F">
        <w:rPr>
          <w:rFonts w:cs="Arial"/>
          <w:color w:val="auto"/>
          <w:szCs w:val="24"/>
          <w:lang w:eastAsia="en-US"/>
        </w:rPr>
        <w:t xml:space="preserve">Within the Public Services (Social Value) Act 2012 social value is described as the ‘economic, social and environmental wellbeing’ that is created by a service (or development) and is delivered as both direct and indirect outcomes or benefits arising from an intervention over </w:t>
      </w:r>
      <w:proofErr w:type="gramStart"/>
      <w:r w:rsidRPr="0064018F">
        <w:rPr>
          <w:rFonts w:cs="Arial"/>
          <w:color w:val="auto"/>
          <w:szCs w:val="24"/>
          <w:lang w:eastAsia="en-US"/>
        </w:rPr>
        <w:t>a period of time</w:t>
      </w:r>
      <w:proofErr w:type="gramEnd"/>
      <w:r w:rsidRPr="0064018F">
        <w:rPr>
          <w:rFonts w:cs="Arial"/>
          <w:color w:val="auto"/>
          <w:szCs w:val="24"/>
          <w:lang w:eastAsia="en-US"/>
        </w:rPr>
        <w:t xml:space="preserve">. This is consistent with the provisions of the </w:t>
      </w:r>
      <w:r w:rsidR="00BB17F1" w:rsidRPr="0064018F">
        <w:rPr>
          <w:rFonts w:cs="Arial"/>
          <w:color w:val="auto"/>
          <w:szCs w:val="24"/>
          <w:lang w:eastAsia="en-US"/>
        </w:rPr>
        <w:t>NPPF which</w:t>
      </w:r>
      <w:r w:rsidRPr="0064018F">
        <w:rPr>
          <w:rFonts w:cs="Arial"/>
          <w:color w:val="auto"/>
          <w:szCs w:val="24"/>
          <w:lang w:eastAsia="en-US"/>
        </w:rPr>
        <w:t xml:space="preserve"> has as its three core dimensions of sustainable development - social, economic, environmental.</w:t>
      </w:r>
    </w:p>
    <w:p w14:paraId="46F7FC9A" w14:textId="77777777" w:rsidR="0064018F" w:rsidRDefault="0064018F" w:rsidP="0064018F">
      <w:pPr>
        <w:keepNext w:val="0"/>
        <w:spacing w:before="0"/>
        <w:ind w:left="709"/>
        <w:rPr>
          <w:rFonts w:cs="Arial"/>
          <w:color w:val="auto"/>
          <w:szCs w:val="24"/>
          <w:lang w:eastAsia="en-US"/>
        </w:rPr>
      </w:pPr>
    </w:p>
    <w:p w14:paraId="6368F80D" w14:textId="6711B8B6" w:rsidR="0064018F" w:rsidRDefault="0064018F" w:rsidP="0064018F">
      <w:pPr>
        <w:keepNext w:val="0"/>
        <w:numPr>
          <w:ilvl w:val="1"/>
          <w:numId w:val="7"/>
        </w:numPr>
        <w:tabs>
          <w:tab w:val="clear" w:pos="525"/>
        </w:tabs>
        <w:spacing w:before="0"/>
        <w:ind w:left="709" w:hanging="709"/>
        <w:rPr>
          <w:rFonts w:cs="Arial"/>
          <w:color w:val="auto"/>
          <w:szCs w:val="24"/>
          <w:lang w:eastAsia="en-US"/>
        </w:rPr>
      </w:pPr>
      <w:r w:rsidRPr="0064018F">
        <w:rPr>
          <w:rFonts w:cs="Arial"/>
          <w:color w:val="auto"/>
          <w:szCs w:val="24"/>
          <w:lang w:eastAsia="en-US"/>
        </w:rPr>
        <w:t xml:space="preserve">Ashfield District Council (ADC) adopted its corporate social value policy on the </w:t>
      </w:r>
      <w:proofErr w:type="gramStart"/>
      <w:r w:rsidRPr="0064018F">
        <w:rPr>
          <w:rFonts w:cs="Arial"/>
          <w:color w:val="auto"/>
          <w:szCs w:val="24"/>
          <w:lang w:eastAsia="en-US"/>
        </w:rPr>
        <w:t>23rd</w:t>
      </w:r>
      <w:proofErr w:type="gramEnd"/>
      <w:r w:rsidRPr="0064018F">
        <w:rPr>
          <w:rFonts w:cs="Arial"/>
          <w:color w:val="auto"/>
          <w:szCs w:val="24"/>
          <w:lang w:eastAsia="en-US"/>
        </w:rPr>
        <w:t xml:space="preserve"> March </w:t>
      </w:r>
      <w:r w:rsidR="00BB17F1" w:rsidRPr="0064018F">
        <w:rPr>
          <w:rFonts w:cs="Arial"/>
          <w:color w:val="auto"/>
          <w:szCs w:val="24"/>
          <w:lang w:eastAsia="en-US"/>
        </w:rPr>
        <w:t>2020 following</w:t>
      </w:r>
      <w:r w:rsidRPr="0064018F">
        <w:rPr>
          <w:rFonts w:cs="Arial"/>
          <w:color w:val="auto"/>
          <w:szCs w:val="24"/>
          <w:lang w:eastAsia="en-US"/>
        </w:rPr>
        <w:t xml:space="preserve"> the introduction of The Public Services (Social Value) Act (2012) on the </w:t>
      </w:r>
      <w:proofErr w:type="gramStart"/>
      <w:r w:rsidRPr="0064018F">
        <w:rPr>
          <w:rFonts w:cs="Arial"/>
          <w:color w:val="auto"/>
          <w:szCs w:val="24"/>
          <w:lang w:eastAsia="en-US"/>
        </w:rPr>
        <w:t>31st</w:t>
      </w:r>
      <w:proofErr w:type="gramEnd"/>
      <w:r w:rsidRPr="0064018F">
        <w:rPr>
          <w:rFonts w:cs="Arial"/>
          <w:color w:val="auto"/>
          <w:szCs w:val="24"/>
          <w:lang w:eastAsia="en-US"/>
        </w:rPr>
        <w:t xml:space="preserve"> January 2013.   In line with the definition of social value in the Act, the Council defines social value as economic, social and environmental wellbeing.  A social value approach gives greater thought to how we can best use limited resources more strategically, to produce a wider benefit than would otherwise have been achieved.  Our goal in Ashfield through the adopted social </w:t>
      </w:r>
      <w:r w:rsidRPr="0064018F">
        <w:rPr>
          <w:rFonts w:cs="Arial"/>
          <w:color w:val="auto"/>
          <w:szCs w:val="24"/>
          <w:lang w:eastAsia="en-US"/>
        </w:rPr>
        <w:lastRenderedPageBreak/>
        <w:t>value policy is ‘for every £ that Ashfield spends, we will aim to deliver at least the same value of return in social value’.</w:t>
      </w:r>
    </w:p>
    <w:p w14:paraId="4D00ECBA" w14:textId="77777777" w:rsidR="0064018F" w:rsidRDefault="0064018F" w:rsidP="0064018F">
      <w:pPr>
        <w:pStyle w:val="ListParagraph"/>
        <w:spacing w:after="0" w:line="240" w:lineRule="auto"/>
        <w:rPr>
          <w:rFonts w:cs="Arial"/>
          <w:color w:val="auto"/>
          <w:szCs w:val="24"/>
        </w:rPr>
      </w:pPr>
    </w:p>
    <w:p w14:paraId="18477143" w14:textId="503497C8" w:rsidR="0064018F" w:rsidRDefault="0064018F" w:rsidP="0064018F">
      <w:pPr>
        <w:keepNext w:val="0"/>
        <w:numPr>
          <w:ilvl w:val="1"/>
          <w:numId w:val="7"/>
        </w:numPr>
        <w:tabs>
          <w:tab w:val="clear" w:pos="525"/>
        </w:tabs>
        <w:spacing w:before="0"/>
        <w:ind w:left="709" w:hanging="709"/>
        <w:rPr>
          <w:rFonts w:cs="Arial"/>
          <w:color w:val="auto"/>
          <w:szCs w:val="24"/>
          <w:lang w:eastAsia="en-US"/>
        </w:rPr>
      </w:pPr>
      <w:r w:rsidRPr="0064018F">
        <w:rPr>
          <w:rFonts w:cs="Arial"/>
          <w:color w:val="auto"/>
          <w:szCs w:val="24"/>
          <w:lang w:eastAsia="en-US"/>
        </w:rPr>
        <w:t xml:space="preserve">The adopted corporate social value policy not only sets out how we embed social value in how we operate our public services but also seeks to build social value into planning services.  One way of doing this is via the local plan and setting out the parameters, as identified in this </w:t>
      </w:r>
      <w:r w:rsidR="007D7A4C">
        <w:rPr>
          <w:rFonts w:cs="Arial"/>
          <w:color w:val="auto"/>
          <w:szCs w:val="24"/>
          <w:lang w:eastAsia="en-US"/>
        </w:rPr>
        <w:t>L</w:t>
      </w:r>
      <w:r w:rsidRPr="0064018F">
        <w:rPr>
          <w:rFonts w:cs="Arial"/>
          <w:color w:val="auto"/>
          <w:szCs w:val="24"/>
          <w:lang w:eastAsia="en-US"/>
        </w:rPr>
        <w:t xml:space="preserve">ocal </w:t>
      </w:r>
      <w:r w:rsidR="007D7A4C">
        <w:rPr>
          <w:rFonts w:cs="Arial"/>
          <w:color w:val="auto"/>
          <w:szCs w:val="24"/>
          <w:lang w:eastAsia="en-US"/>
        </w:rPr>
        <w:t>P</w:t>
      </w:r>
      <w:r w:rsidRPr="0064018F">
        <w:rPr>
          <w:rFonts w:cs="Arial"/>
          <w:color w:val="auto"/>
          <w:szCs w:val="24"/>
          <w:lang w:eastAsia="en-US"/>
        </w:rPr>
        <w:t xml:space="preserve">lan </w:t>
      </w:r>
      <w:r w:rsidR="007D7A4C">
        <w:rPr>
          <w:rFonts w:cs="Arial"/>
          <w:color w:val="auto"/>
          <w:szCs w:val="24"/>
          <w:lang w:eastAsia="en-US"/>
        </w:rPr>
        <w:t>P</w:t>
      </w:r>
      <w:r w:rsidRPr="0064018F">
        <w:rPr>
          <w:rFonts w:cs="Arial"/>
          <w:color w:val="auto"/>
          <w:szCs w:val="24"/>
          <w:lang w:eastAsia="en-US"/>
        </w:rPr>
        <w:t xml:space="preserve">olicy, which need to be demonstrated when submitting a </w:t>
      </w:r>
      <w:proofErr w:type="gramStart"/>
      <w:r w:rsidRPr="0064018F">
        <w:rPr>
          <w:rFonts w:cs="Arial"/>
          <w:color w:val="auto"/>
          <w:szCs w:val="24"/>
          <w:lang w:eastAsia="en-US"/>
        </w:rPr>
        <w:t>major  planning</w:t>
      </w:r>
      <w:proofErr w:type="gramEnd"/>
      <w:r w:rsidRPr="0064018F">
        <w:rPr>
          <w:rFonts w:cs="Arial"/>
          <w:color w:val="auto"/>
          <w:szCs w:val="24"/>
          <w:lang w:eastAsia="en-US"/>
        </w:rPr>
        <w:t xml:space="preserve"> application in the district.</w:t>
      </w:r>
    </w:p>
    <w:p w14:paraId="07D0E784" w14:textId="77777777" w:rsidR="0064018F" w:rsidRDefault="0064018F" w:rsidP="0064018F">
      <w:pPr>
        <w:pStyle w:val="ListParagraph"/>
        <w:spacing w:after="0" w:line="240" w:lineRule="auto"/>
        <w:rPr>
          <w:rFonts w:cs="Arial"/>
          <w:color w:val="auto"/>
          <w:szCs w:val="24"/>
        </w:rPr>
      </w:pPr>
    </w:p>
    <w:p w14:paraId="018CC30F" w14:textId="77777777" w:rsidR="0064018F" w:rsidRDefault="0064018F" w:rsidP="0064018F">
      <w:pPr>
        <w:keepNext w:val="0"/>
        <w:numPr>
          <w:ilvl w:val="1"/>
          <w:numId w:val="7"/>
        </w:numPr>
        <w:tabs>
          <w:tab w:val="clear" w:pos="525"/>
        </w:tabs>
        <w:spacing w:before="0"/>
        <w:ind w:left="709" w:hanging="709"/>
        <w:rPr>
          <w:rFonts w:cs="Arial"/>
          <w:color w:val="auto"/>
          <w:szCs w:val="24"/>
          <w:lang w:eastAsia="en-US"/>
        </w:rPr>
      </w:pPr>
      <w:r w:rsidRPr="0064018F">
        <w:rPr>
          <w:rFonts w:cs="Arial"/>
          <w:color w:val="auto"/>
          <w:szCs w:val="24"/>
          <w:lang w:eastAsia="en-US"/>
        </w:rPr>
        <w:t xml:space="preserve">Planning can play a key role in ensuring that social value is maximised, by encouraging all relevant development proposals to engage with the concept and consider whether doing things differently can lead to additional benefits; for example, by utilising local supply chains so money spent on developments stays in the local economy; and taking steps to recruit local people for construction of development and in any resulting employment use. </w:t>
      </w:r>
    </w:p>
    <w:p w14:paraId="1023D564" w14:textId="77777777" w:rsidR="0064018F" w:rsidRDefault="0064018F" w:rsidP="0064018F">
      <w:pPr>
        <w:pStyle w:val="ListParagraph"/>
        <w:spacing w:after="0" w:line="240" w:lineRule="auto"/>
        <w:rPr>
          <w:rFonts w:cs="Arial"/>
          <w:color w:val="auto"/>
          <w:szCs w:val="24"/>
        </w:rPr>
      </w:pPr>
    </w:p>
    <w:p w14:paraId="20AD5549" w14:textId="6D6C388D" w:rsidR="0064018F" w:rsidRDefault="0064018F" w:rsidP="0064018F">
      <w:pPr>
        <w:keepNext w:val="0"/>
        <w:numPr>
          <w:ilvl w:val="1"/>
          <w:numId w:val="7"/>
        </w:numPr>
        <w:tabs>
          <w:tab w:val="clear" w:pos="525"/>
        </w:tabs>
        <w:spacing w:before="0"/>
        <w:ind w:left="709" w:hanging="709"/>
        <w:rPr>
          <w:rFonts w:cs="Arial"/>
          <w:color w:val="auto"/>
          <w:szCs w:val="24"/>
          <w:lang w:eastAsia="en-US"/>
        </w:rPr>
      </w:pPr>
      <w:r w:rsidRPr="0064018F">
        <w:rPr>
          <w:rFonts w:cs="Arial"/>
          <w:color w:val="auto"/>
          <w:szCs w:val="24"/>
          <w:lang w:eastAsia="en-US"/>
        </w:rPr>
        <w:t xml:space="preserve">Social value is linked directly to the achievement of sustainable development as is set out in paragraph 8 of the NPPF. The Social Value Policy </w:t>
      </w:r>
      <w:r w:rsidR="00301481">
        <w:rPr>
          <w:rFonts w:cs="Arial"/>
          <w:color w:val="auto"/>
          <w:szCs w:val="24"/>
          <w:lang w:eastAsia="en-US"/>
        </w:rPr>
        <w:t xml:space="preserve">seeks to </w:t>
      </w:r>
      <w:r w:rsidRPr="0064018F">
        <w:rPr>
          <w:rFonts w:cs="Arial"/>
          <w:color w:val="auto"/>
          <w:szCs w:val="24"/>
          <w:lang w:eastAsia="en-US"/>
        </w:rPr>
        <w:t xml:space="preserve">further the achievement of sustainable development by requiring the social value return of a development throughout its </w:t>
      </w:r>
      <w:r w:rsidR="00B41221" w:rsidRPr="0064018F">
        <w:rPr>
          <w:rFonts w:cs="Arial"/>
          <w:color w:val="auto"/>
          <w:szCs w:val="24"/>
          <w:lang w:eastAsia="en-US"/>
        </w:rPr>
        <w:t>lifecycle (</w:t>
      </w:r>
      <w:r w:rsidRPr="0064018F">
        <w:rPr>
          <w:rFonts w:cs="Arial"/>
          <w:color w:val="auto"/>
          <w:szCs w:val="24"/>
          <w:lang w:eastAsia="en-US"/>
        </w:rPr>
        <w:t xml:space="preserve">from construction through to the operational phases) to be considered by the submission of a Social Value Statement (SVS).    The statement should be positively prepared and informed by both pre – application participation and consultation with stakeholders and the community, focussing on placemaking, health and wellbeing, local employment, regeneration and growth, community resilience and the environment and climate change.  These elements of social value can be directly influenced by the planning system through considerations in relation to the design and accessibility of spaces.  Further considerations may also include thinking about how the development could reduce inequality for the people of Ashfield and contribute to improving their health and wellbeing? How can the development make the best use of local labour, businesses and supply chains? Will there be any training opportunities for local people </w:t>
      </w:r>
      <w:proofErr w:type="gramStart"/>
      <w:r w:rsidRPr="0064018F">
        <w:rPr>
          <w:rFonts w:cs="Arial"/>
          <w:color w:val="auto"/>
          <w:szCs w:val="24"/>
          <w:lang w:eastAsia="en-US"/>
        </w:rPr>
        <w:t>as a result of</w:t>
      </w:r>
      <w:proofErr w:type="gramEnd"/>
      <w:r w:rsidRPr="0064018F">
        <w:rPr>
          <w:rFonts w:cs="Arial"/>
          <w:color w:val="auto"/>
          <w:szCs w:val="24"/>
          <w:lang w:eastAsia="en-US"/>
        </w:rPr>
        <w:t xml:space="preserve"> the development either during construction or </w:t>
      </w:r>
      <w:proofErr w:type="gramStart"/>
      <w:r w:rsidRPr="0064018F">
        <w:rPr>
          <w:rFonts w:cs="Arial"/>
          <w:color w:val="auto"/>
          <w:szCs w:val="24"/>
          <w:lang w:eastAsia="en-US"/>
        </w:rPr>
        <w:t>as a result of</w:t>
      </w:r>
      <w:proofErr w:type="gramEnd"/>
      <w:r w:rsidRPr="0064018F">
        <w:rPr>
          <w:rFonts w:cs="Arial"/>
          <w:color w:val="auto"/>
          <w:szCs w:val="24"/>
          <w:lang w:eastAsia="en-US"/>
        </w:rPr>
        <w:t xml:space="preserve"> the end user?  Thinking about development in this way helps decision makers evaluate the social value of a development.  </w:t>
      </w:r>
    </w:p>
    <w:p w14:paraId="033AF520" w14:textId="77777777" w:rsidR="0064018F" w:rsidRDefault="0064018F" w:rsidP="0064018F">
      <w:pPr>
        <w:keepNext w:val="0"/>
        <w:spacing w:before="0"/>
        <w:ind w:left="709"/>
        <w:rPr>
          <w:rFonts w:cs="Arial"/>
          <w:color w:val="auto"/>
          <w:szCs w:val="24"/>
          <w:lang w:eastAsia="en-US"/>
        </w:rPr>
      </w:pPr>
    </w:p>
    <w:p w14:paraId="301B4A22" w14:textId="788185EB" w:rsidR="0064018F" w:rsidRDefault="0064018F" w:rsidP="0064018F">
      <w:pPr>
        <w:keepNext w:val="0"/>
        <w:numPr>
          <w:ilvl w:val="1"/>
          <w:numId w:val="7"/>
        </w:numPr>
        <w:tabs>
          <w:tab w:val="clear" w:pos="525"/>
        </w:tabs>
        <w:spacing w:before="0"/>
        <w:ind w:left="709" w:hanging="709"/>
        <w:rPr>
          <w:rFonts w:cs="Arial"/>
          <w:color w:val="auto"/>
          <w:szCs w:val="24"/>
          <w:lang w:eastAsia="en-US"/>
        </w:rPr>
      </w:pPr>
      <w:proofErr w:type="gramStart"/>
      <w:r w:rsidRPr="0064018F">
        <w:rPr>
          <w:rFonts w:cs="Arial"/>
          <w:color w:val="auto"/>
          <w:szCs w:val="24"/>
          <w:lang w:eastAsia="en-US"/>
        </w:rPr>
        <w:t>In order to</w:t>
      </w:r>
      <w:proofErr w:type="gramEnd"/>
      <w:r w:rsidRPr="0064018F">
        <w:rPr>
          <w:rFonts w:cs="Arial"/>
          <w:color w:val="auto"/>
          <w:szCs w:val="24"/>
          <w:lang w:eastAsia="en-US"/>
        </w:rPr>
        <w:t xml:space="preserve"> support the submission of a SVS, the Council will prepare a Supplementary Planning Document (SPD) to set out how the SVS should be prepared along with further guidance on what it should contain. Commitments made in the SVS can be secured via planning condition. </w:t>
      </w:r>
    </w:p>
    <w:p w14:paraId="1926C9F9" w14:textId="77777777" w:rsidR="00D0642D" w:rsidRPr="00263F59" w:rsidRDefault="00D0642D" w:rsidP="00D0642D">
      <w:pPr>
        <w:pStyle w:val="ListParagraph"/>
        <w:rPr>
          <w:rFonts w:ascii="Arial" w:hAnsi="Arial" w:cs="Arial"/>
          <w:color w:val="auto"/>
          <w:szCs w:val="24"/>
        </w:rPr>
      </w:pPr>
    </w:p>
    <w:p w14:paraId="7E7AECEF" w14:textId="0F2F15D0" w:rsidR="0064018F" w:rsidRPr="00825421" w:rsidRDefault="006977E7" w:rsidP="00825421">
      <w:pPr>
        <w:pStyle w:val="Heading2"/>
        <w:jc w:val="left"/>
        <w:rPr>
          <w:sz w:val="28"/>
          <w:szCs w:val="28"/>
        </w:rPr>
      </w:pPr>
      <w:bookmarkStart w:id="297" w:name="_Toc145511611"/>
      <w:r w:rsidRPr="00825421">
        <w:rPr>
          <w:sz w:val="28"/>
          <w:szCs w:val="28"/>
        </w:rPr>
        <w:t xml:space="preserve">Policy </w:t>
      </w:r>
      <w:r w:rsidR="0064018F" w:rsidRPr="00825421">
        <w:rPr>
          <w:sz w:val="28"/>
          <w:szCs w:val="28"/>
        </w:rPr>
        <w:t>SD2: Good Design Considerations for Development</w:t>
      </w:r>
      <w:bookmarkEnd w:id="297"/>
    </w:p>
    <w:p w14:paraId="175BE139" w14:textId="3ADC1110" w:rsidR="0064018F" w:rsidRDefault="0064018F" w:rsidP="0064018F">
      <w:pPr>
        <w:keepNext w:val="0"/>
        <w:spacing w:before="0"/>
        <w:rPr>
          <w:rFonts w:cs="Arial"/>
          <w:color w:val="auto"/>
          <w:szCs w:val="24"/>
          <w:lang w:eastAsia="en-US"/>
        </w:rPr>
      </w:pPr>
    </w:p>
    <w:p w14:paraId="2748B751" w14:textId="1C9F9475" w:rsidR="0064018F" w:rsidRPr="00CE241F" w:rsidRDefault="002D4089" w:rsidP="003C7E62">
      <w:pPr>
        <w:keepNext w:val="0"/>
        <w:numPr>
          <w:ilvl w:val="1"/>
          <w:numId w:val="7"/>
        </w:numPr>
        <w:tabs>
          <w:tab w:val="clear" w:pos="525"/>
        </w:tabs>
        <w:spacing w:before="0"/>
        <w:ind w:left="709" w:hanging="709"/>
        <w:rPr>
          <w:rFonts w:cs="Arial"/>
          <w:color w:val="auto"/>
          <w:szCs w:val="24"/>
          <w:lang w:eastAsia="en-US"/>
        </w:rPr>
      </w:pPr>
      <w:r w:rsidRPr="002D4089">
        <w:rPr>
          <w:rFonts w:cs="Arial"/>
          <w:color w:val="auto"/>
          <w:lang w:eastAsia="en-US"/>
        </w:rPr>
        <w:t>The NPPF identifies that “</w:t>
      </w:r>
      <w:r w:rsidR="00F05D84">
        <w:rPr>
          <w:rFonts w:cs="Arial"/>
          <w:color w:val="auto"/>
          <w:lang w:eastAsia="en-US"/>
        </w:rPr>
        <w:t>g</w:t>
      </w:r>
      <w:r w:rsidR="00F05D84" w:rsidRPr="00F05D84">
        <w:rPr>
          <w:rFonts w:cs="Arial"/>
          <w:color w:val="auto"/>
          <w:lang w:eastAsia="en-US"/>
        </w:rPr>
        <w:t>ood design is a key aspect of sustainable development, creates better places in which to live and work and helps make development acceptable to communities</w:t>
      </w:r>
      <w:r w:rsidRPr="002D4089">
        <w:rPr>
          <w:rFonts w:cs="Arial"/>
          <w:color w:val="auto"/>
          <w:lang w:eastAsia="en-US"/>
        </w:rPr>
        <w:t xml:space="preserve">”. This policy requires all new development to be of a </w:t>
      </w:r>
      <w:r w:rsidR="00B41221" w:rsidRPr="002D4089">
        <w:rPr>
          <w:rFonts w:cs="Arial"/>
          <w:color w:val="auto"/>
          <w:lang w:eastAsia="en-US"/>
        </w:rPr>
        <w:t>high-quality</w:t>
      </w:r>
      <w:r w:rsidRPr="002D4089">
        <w:rPr>
          <w:rFonts w:cs="Arial"/>
          <w:color w:val="auto"/>
          <w:lang w:eastAsia="en-US"/>
        </w:rPr>
        <w:t xml:space="preserve"> sustainable design that ensures attractive, usable and durable places </w:t>
      </w:r>
      <w:r w:rsidRPr="002D4089">
        <w:rPr>
          <w:rFonts w:cs="Arial"/>
          <w:color w:val="auto"/>
          <w:lang w:eastAsia="en-US"/>
        </w:rPr>
        <w:lastRenderedPageBreak/>
        <w:t xml:space="preserve">which help deliver economic and social prosperity; in turn helping to attract </w:t>
      </w:r>
      <w:proofErr w:type="gramStart"/>
      <w:r w:rsidRPr="002D4089">
        <w:rPr>
          <w:rFonts w:cs="Arial"/>
          <w:color w:val="auto"/>
          <w:lang w:eastAsia="en-US"/>
        </w:rPr>
        <w:t>inward-investment</w:t>
      </w:r>
      <w:proofErr w:type="gramEnd"/>
      <w:r w:rsidRPr="002D4089">
        <w:rPr>
          <w:rFonts w:cs="Arial"/>
          <w:color w:val="auto"/>
          <w:lang w:eastAsia="en-US"/>
        </w:rPr>
        <w:t>.</w:t>
      </w:r>
    </w:p>
    <w:p w14:paraId="1ABA811F" w14:textId="7FF8429F" w:rsidR="00CE241F" w:rsidRDefault="00CE241F" w:rsidP="00CE241F">
      <w:pPr>
        <w:keepNext w:val="0"/>
        <w:spacing w:before="0"/>
        <w:ind w:left="709"/>
        <w:rPr>
          <w:rFonts w:cs="Arial"/>
          <w:color w:val="auto"/>
          <w:lang w:eastAsia="en-US"/>
        </w:rPr>
      </w:pPr>
    </w:p>
    <w:tbl>
      <w:tblPr>
        <w:tblStyle w:val="TableGrid19"/>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521"/>
        <w:gridCol w:w="7098"/>
      </w:tblGrid>
      <w:tr w:rsidR="00CE241F" w:rsidRPr="00CE241F" w14:paraId="1B424572" w14:textId="77777777" w:rsidTr="00CE241F">
        <w:tc>
          <w:tcPr>
            <w:tcW w:w="9619" w:type="dxa"/>
            <w:gridSpan w:val="2"/>
          </w:tcPr>
          <w:p w14:paraId="146BFAD3" w14:textId="77777777" w:rsidR="00CE241F" w:rsidRPr="00CE241F" w:rsidRDefault="00CE241F" w:rsidP="00905CC9">
            <w:pPr>
              <w:keepNext w:val="0"/>
              <w:spacing w:before="0"/>
              <w:jc w:val="left"/>
              <w:rPr>
                <w:b/>
                <w:bCs/>
                <w:color w:val="auto"/>
              </w:rPr>
            </w:pPr>
          </w:p>
          <w:p w14:paraId="0D82287A" w14:textId="77777777" w:rsidR="00CE241F" w:rsidRPr="00CE241F" w:rsidRDefault="00CE241F" w:rsidP="00905CC9">
            <w:pPr>
              <w:keepNext w:val="0"/>
              <w:spacing w:before="0"/>
              <w:jc w:val="left"/>
              <w:rPr>
                <w:b/>
                <w:bCs/>
                <w:color w:val="auto"/>
              </w:rPr>
            </w:pPr>
            <w:r w:rsidRPr="00CE241F">
              <w:rPr>
                <w:b/>
                <w:bCs/>
                <w:color w:val="auto"/>
              </w:rPr>
              <w:t>Policy SD2: Good Design Considerations for Development</w:t>
            </w:r>
          </w:p>
          <w:p w14:paraId="55579029" w14:textId="77777777" w:rsidR="00CE241F" w:rsidRPr="00CE241F" w:rsidRDefault="00CE241F" w:rsidP="00905CC9">
            <w:pPr>
              <w:keepNext w:val="0"/>
              <w:spacing w:before="0"/>
              <w:jc w:val="left"/>
              <w:rPr>
                <w:b/>
                <w:bCs/>
                <w:color w:val="auto"/>
              </w:rPr>
            </w:pPr>
          </w:p>
        </w:tc>
      </w:tr>
      <w:tr w:rsidR="00CE241F" w:rsidRPr="00CE241F" w14:paraId="47F8CC21" w14:textId="77777777" w:rsidTr="00CE241F">
        <w:tc>
          <w:tcPr>
            <w:tcW w:w="2521" w:type="dxa"/>
          </w:tcPr>
          <w:p w14:paraId="586EE401" w14:textId="77777777" w:rsidR="00CE241F" w:rsidRPr="00CE241F" w:rsidRDefault="00CE241F" w:rsidP="00905CC9">
            <w:pPr>
              <w:keepNext w:val="0"/>
              <w:spacing w:before="0"/>
              <w:jc w:val="left"/>
              <w:rPr>
                <w:color w:val="auto"/>
              </w:rPr>
            </w:pPr>
            <w:r w:rsidRPr="00CE241F">
              <w:rPr>
                <w:color w:val="auto"/>
              </w:rPr>
              <w:t>Strategic Objectives</w:t>
            </w:r>
          </w:p>
        </w:tc>
        <w:tc>
          <w:tcPr>
            <w:tcW w:w="7098" w:type="dxa"/>
          </w:tcPr>
          <w:p w14:paraId="312DE00B" w14:textId="77777777" w:rsidR="00CE241F" w:rsidRPr="00CE241F" w:rsidRDefault="00CE241F" w:rsidP="00905CC9">
            <w:pPr>
              <w:keepNext w:val="0"/>
              <w:spacing w:before="0"/>
              <w:jc w:val="left"/>
              <w:rPr>
                <w:color w:val="auto"/>
              </w:rPr>
            </w:pPr>
            <w:r w:rsidRPr="00CE241F">
              <w:rPr>
                <w:color w:val="auto"/>
              </w:rPr>
              <w:t xml:space="preserve">SO1, SO2, SO3, SO4, SO5, SO7, SO8, SO9, SO11, SO12, SO13, SO14. </w:t>
            </w:r>
          </w:p>
        </w:tc>
      </w:tr>
      <w:tr w:rsidR="00CE241F" w:rsidRPr="00CE241F" w14:paraId="7C16E3E7" w14:textId="77777777" w:rsidTr="00CE241F">
        <w:tc>
          <w:tcPr>
            <w:tcW w:w="9619" w:type="dxa"/>
            <w:gridSpan w:val="2"/>
            <w:shd w:val="clear" w:color="auto" w:fill="DAC4F8"/>
          </w:tcPr>
          <w:p w14:paraId="2EBBE86E" w14:textId="77777777" w:rsidR="00CE241F" w:rsidRPr="00595970" w:rsidRDefault="00CE241F" w:rsidP="00905CC9">
            <w:pPr>
              <w:keepNext w:val="0"/>
              <w:spacing w:before="0"/>
              <w:jc w:val="left"/>
              <w:rPr>
                <w:color w:val="auto"/>
              </w:rPr>
            </w:pPr>
          </w:p>
          <w:p w14:paraId="79D080A6" w14:textId="77777777" w:rsidR="00CE241F" w:rsidRPr="00595970" w:rsidRDefault="00CE241F" w:rsidP="00874A98">
            <w:pPr>
              <w:keepNext w:val="0"/>
              <w:numPr>
                <w:ilvl w:val="0"/>
                <w:numId w:val="288"/>
              </w:numPr>
              <w:spacing w:before="0"/>
              <w:contextualSpacing/>
              <w:jc w:val="left"/>
              <w:rPr>
                <w:color w:val="auto"/>
              </w:rPr>
            </w:pPr>
            <w:r w:rsidRPr="00595970">
              <w:rPr>
                <w:color w:val="auto"/>
              </w:rPr>
              <w:t xml:space="preserve">Through its layout and design, the Council will expect all new development to contribute to place making and be of high quality that contributes to a healthy, safe and sustainable environment. Proposals must have regard to the National Design Guide, and successfully integrate with and enhance their surroundings, be innovative where appropriate, and be adaptable to the evolving effects of climate change. </w:t>
            </w:r>
          </w:p>
          <w:p w14:paraId="4EE46574" w14:textId="77777777" w:rsidR="00CE241F" w:rsidRPr="00595970" w:rsidRDefault="00CE241F" w:rsidP="00905CC9">
            <w:pPr>
              <w:keepNext w:val="0"/>
              <w:spacing w:before="0"/>
              <w:ind w:left="360"/>
              <w:contextualSpacing/>
              <w:jc w:val="left"/>
              <w:rPr>
                <w:color w:val="auto"/>
              </w:rPr>
            </w:pPr>
          </w:p>
          <w:p w14:paraId="2B14E470" w14:textId="77777777" w:rsidR="00CE241F" w:rsidRPr="00595970" w:rsidRDefault="00CE241F" w:rsidP="00905CC9">
            <w:pPr>
              <w:keepNext w:val="0"/>
              <w:spacing w:before="0"/>
              <w:ind w:left="360"/>
              <w:contextualSpacing/>
              <w:jc w:val="left"/>
              <w:rPr>
                <w:b/>
                <w:bCs/>
                <w:color w:val="auto"/>
              </w:rPr>
            </w:pPr>
            <w:r w:rsidRPr="00595970">
              <w:rPr>
                <w:b/>
                <w:bCs/>
                <w:color w:val="auto"/>
              </w:rPr>
              <w:t xml:space="preserve">Development Form </w:t>
            </w:r>
          </w:p>
          <w:p w14:paraId="5B8C7999" w14:textId="77777777" w:rsidR="00CE241F" w:rsidRPr="00595970" w:rsidRDefault="00CE241F" w:rsidP="00874A98">
            <w:pPr>
              <w:keepNext w:val="0"/>
              <w:numPr>
                <w:ilvl w:val="0"/>
                <w:numId w:val="288"/>
              </w:numPr>
              <w:spacing w:before="0"/>
              <w:contextualSpacing/>
              <w:jc w:val="left"/>
              <w:rPr>
                <w:color w:val="auto"/>
              </w:rPr>
            </w:pPr>
            <w:r w:rsidRPr="00595970">
              <w:rPr>
                <w:color w:val="auto"/>
              </w:rPr>
              <w:t>Development proposals will be expected to respect, take advantage of and reinforce distinctive, local character and features.  Development proposals should demonstrate that account has been taken of the following factors:</w:t>
            </w:r>
          </w:p>
          <w:p w14:paraId="3721C56A" w14:textId="77777777" w:rsidR="00CE241F" w:rsidRPr="00595970" w:rsidRDefault="00CE241F" w:rsidP="00905CC9">
            <w:pPr>
              <w:keepNext w:val="0"/>
              <w:spacing w:before="0"/>
              <w:ind w:left="360"/>
              <w:contextualSpacing/>
              <w:jc w:val="left"/>
              <w:rPr>
                <w:color w:val="auto"/>
              </w:rPr>
            </w:pPr>
          </w:p>
          <w:p w14:paraId="259F3D64" w14:textId="77777777" w:rsidR="00CE241F" w:rsidRPr="00595970" w:rsidRDefault="00CE241F" w:rsidP="00874A98">
            <w:pPr>
              <w:keepNext w:val="0"/>
              <w:numPr>
                <w:ilvl w:val="0"/>
                <w:numId w:val="289"/>
              </w:numPr>
              <w:spacing w:before="0"/>
              <w:contextualSpacing/>
              <w:jc w:val="left"/>
              <w:rPr>
                <w:color w:val="auto"/>
              </w:rPr>
            </w:pPr>
            <w:r w:rsidRPr="00595970">
              <w:rPr>
                <w:color w:val="auto"/>
              </w:rPr>
              <w:t>The character of the area, including local materials (where deemed appropriate), architectural style and detailing;</w:t>
            </w:r>
          </w:p>
          <w:p w14:paraId="6902DC8C" w14:textId="77777777" w:rsidR="00CE241F" w:rsidRPr="00595970" w:rsidRDefault="00CE241F" w:rsidP="00905CC9">
            <w:pPr>
              <w:keepNext w:val="0"/>
              <w:spacing w:before="0"/>
              <w:ind w:left="720"/>
              <w:contextualSpacing/>
              <w:jc w:val="left"/>
              <w:rPr>
                <w:color w:val="auto"/>
              </w:rPr>
            </w:pPr>
          </w:p>
          <w:p w14:paraId="2DD3E20B" w14:textId="77777777" w:rsidR="00CE241F" w:rsidRPr="00595970" w:rsidRDefault="00CE241F" w:rsidP="00874A98">
            <w:pPr>
              <w:keepNext w:val="0"/>
              <w:numPr>
                <w:ilvl w:val="0"/>
                <w:numId w:val="289"/>
              </w:numPr>
              <w:spacing w:before="0"/>
              <w:contextualSpacing/>
              <w:jc w:val="left"/>
              <w:rPr>
                <w:color w:val="auto"/>
              </w:rPr>
            </w:pPr>
            <w:r w:rsidRPr="00595970">
              <w:rPr>
                <w:color w:val="auto"/>
              </w:rPr>
              <w:t xml:space="preserve">Existing </w:t>
            </w:r>
            <w:proofErr w:type="gramStart"/>
            <w:r w:rsidRPr="00595970">
              <w:rPr>
                <w:color w:val="auto"/>
              </w:rPr>
              <w:t>land forms</w:t>
            </w:r>
            <w:proofErr w:type="gramEnd"/>
            <w:r w:rsidRPr="00595970">
              <w:rPr>
                <w:color w:val="auto"/>
              </w:rPr>
              <w:t>, orientation, natural and historic landscape features;</w:t>
            </w:r>
          </w:p>
          <w:p w14:paraId="34938B26" w14:textId="77777777" w:rsidR="00CE241F" w:rsidRPr="00595970" w:rsidRDefault="00CE241F" w:rsidP="00905CC9">
            <w:pPr>
              <w:keepNext w:val="0"/>
              <w:spacing w:before="0"/>
              <w:ind w:left="720"/>
              <w:contextualSpacing/>
              <w:jc w:val="left"/>
              <w:rPr>
                <w:color w:val="auto"/>
              </w:rPr>
            </w:pPr>
          </w:p>
          <w:p w14:paraId="1B4E11C4" w14:textId="77777777" w:rsidR="00CE241F" w:rsidRPr="00595970" w:rsidRDefault="00CE241F" w:rsidP="00874A98">
            <w:pPr>
              <w:keepNext w:val="0"/>
              <w:numPr>
                <w:ilvl w:val="0"/>
                <w:numId w:val="289"/>
              </w:numPr>
              <w:spacing w:before="0"/>
              <w:contextualSpacing/>
              <w:jc w:val="left"/>
              <w:rPr>
                <w:color w:val="auto"/>
              </w:rPr>
            </w:pPr>
            <w:r w:rsidRPr="00595970">
              <w:rPr>
                <w:color w:val="auto"/>
              </w:rPr>
              <w:t xml:space="preserve">Existing uses and activities; </w:t>
            </w:r>
          </w:p>
          <w:p w14:paraId="1D0C4154" w14:textId="77777777" w:rsidR="00CE241F" w:rsidRPr="00595970" w:rsidRDefault="00CE241F" w:rsidP="00905CC9">
            <w:pPr>
              <w:keepNext w:val="0"/>
              <w:spacing w:before="0"/>
              <w:ind w:left="720"/>
              <w:contextualSpacing/>
              <w:jc w:val="left"/>
              <w:rPr>
                <w:color w:val="auto"/>
              </w:rPr>
            </w:pPr>
          </w:p>
          <w:p w14:paraId="7A330509" w14:textId="77777777" w:rsidR="00CE241F" w:rsidRPr="00595970" w:rsidRDefault="00CE241F" w:rsidP="00874A98">
            <w:pPr>
              <w:keepNext w:val="0"/>
              <w:numPr>
                <w:ilvl w:val="0"/>
                <w:numId w:val="289"/>
              </w:numPr>
              <w:spacing w:before="0"/>
              <w:contextualSpacing/>
              <w:jc w:val="left"/>
              <w:rPr>
                <w:color w:val="auto"/>
              </w:rPr>
            </w:pPr>
            <w:r w:rsidRPr="00595970">
              <w:rPr>
                <w:color w:val="auto"/>
              </w:rPr>
              <w:t>The local pattern and grain of development, with respect to the arrangement of street layout and open spaces, block size, plots and building patterns;</w:t>
            </w:r>
          </w:p>
          <w:p w14:paraId="12551C17" w14:textId="77777777" w:rsidR="00CE241F" w:rsidRPr="00595970" w:rsidRDefault="00CE241F" w:rsidP="00905CC9">
            <w:pPr>
              <w:keepNext w:val="0"/>
              <w:spacing w:before="0"/>
              <w:ind w:left="720"/>
              <w:contextualSpacing/>
              <w:jc w:val="left"/>
              <w:rPr>
                <w:color w:val="auto"/>
              </w:rPr>
            </w:pPr>
          </w:p>
          <w:p w14:paraId="66234E88" w14:textId="77777777" w:rsidR="00CE241F" w:rsidRPr="00595970" w:rsidRDefault="00CE241F" w:rsidP="00874A98">
            <w:pPr>
              <w:keepNext w:val="0"/>
              <w:numPr>
                <w:ilvl w:val="0"/>
                <w:numId w:val="289"/>
              </w:numPr>
              <w:spacing w:before="0"/>
              <w:contextualSpacing/>
              <w:jc w:val="left"/>
              <w:rPr>
                <w:color w:val="auto"/>
              </w:rPr>
            </w:pPr>
            <w:r w:rsidRPr="00595970">
              <w:rPr>
                <w:color w:val="auto"/>
              </w:rPr>
              <w:t>The scale, shape, form and proportion of existing buildings, building lines and heights within the street scene;</w:t>
            </w:r>
          </w:p>
          <w:p w14:paraId="7388AFBD" w14:textId="77777777" w:rsidR="00CE241F" w:rsidRPr="00595970" w:rsidRDefault="00CE241F" w:rsidP="00905CC9">
            <w:pPr>
              <w:keepNext w:val="0"/>
              <w:spacing w:before="0"/>
              <w:ind w:left="720"/>
              <w:contextualSpacing/>
              <w:jc w:val="left"/>
              <w:rPr>
                <w:color w:val="auto"/>
              </w:rPr>
            </w:pPr>
          </w:p>
          <w:p w14:paraId="5DCADAEC" w14:textId="77777777" w:rsidR="00CE241F" w:rsidRPr="00595970" w:rsidRDefault="00CE241F" w:rsidP="00874A98">
            <w:pPr>
              <w:keepNext w:val="0"/>
              <w:numPr>
                <w:ilvl w:val="0"/>
                <w:numId w:val="289"/>
              </w:numPr>
              <w:spacing w:before="0"/>
              <w:contextualSpacing/>
              <w:jc w:val="left"/>
              <w:rPr>
                <w:color w:val="auto"/>
              </w:rPr>
            </w:pPr>
            <w:r w:rsidRPr="00595970">
              <w:rPr>
                <w:color w:val="auto"/>
              </w:rPr>
              <w:t>The scale in relation to the surrounding topography, views, vistas and skylines;</w:t>
            </w:r>
          </w:p>
          <w:p w14:paraId="4A3D73EA" w14:textId="77777777" w:rsidR="00CE241F" w:rsidRPr="00595970" w:rsidRDefault="00CE241F" w:rsidP="00905CC9">
            <w:pPr>
              <w:keepNext w:val="0"/>
              <w:spacing w:before="0"/>
              <w:ind w:left="720"/>
              <w:contextualSpacing/>
              <w:jc w:val="left"/>
              <w:rPr>
                <w:color w:val="auto"/>
              </w:rPr>
            </w:pPr>
          </w:p>
          <w:p w14:paraId="3294AC3A" w14:textId="77777777" w:rsidR="00CE241F" w:rsidRPr="00595970" w:rsidRDefault="00CE241F" w:rsidP="00874A98">
            <w:pPr>
              <w:keepNext w:val="0"/>
              <w:numPr>
                <w:ilvl w:val="0"/>
                <w:numId w:val="289"/>
              </w:numPr>
              <w:spacing w:before="0"/>
              <w:contextualSpacing/>
              <w:jc w:val="left"/>
              <w:rPr>
                <w:color w:val="auto"/>
              </w:rPr>
            </w:pPr>
            <w:r w:rsidRPr="00595970">
              <w:rPr>
                <w:color w:val="auto"/>
              </w:rPr>
              <w:t xml:space="preserve">Local landmarks, focal buildings and features, particularly heritage assets; </w:t>
            </w:r>
          </w:p>
          <w:p w14:paraId="0CA00D35" w14:textId="77777777" w:rsidR="00CE241F" w:rsidRPr="00595970" w:rsidRDefault="00CE241F" w:rsidP="00905CC9">
            <w:pPr>
              <w:keepNext w:val="0"/>
              <w:spacing w:before="0"/>
              <w:ind w:left="720"/>
              <w:contextualSpacing/>
              <w:jc w:val="left"/>
              <w:rPr>
                <w:color w:val="auto"/>
              </w:rPr>
            </w:pPr>
          </w:p>
          <w:p w14:paraId="73275F73" w14:textId="77777777" w:rsidR="00CE241F" w:rsidRPr="00595970" w:rsidRDefault="00CE241F" w:rsidP="00874A98">
            <w:pPr>
              <w:keepNext w:val="0"/>
              <w:numPr>
                <w:ilvl w:val="0"/>
                <w:numId w:val="289"/>
              </w:numPr>
              <w:spacing w:before="0"/>
              <w:contextualSpacing/>
              <w:jc w:val="left"/>
              <w:rPr>
                <w:color w:val="auto"/>
              </w:rPr>
            </w:pPr>
            <w:r w:rsidRPr="00595970">
              <w:rPr>
                <w:color w:val="auto"/>
              </w:rPr>
              <w:t>Important views into, out of and through the area;</w:t>
            </w:r>
          </w:p>
          <w:p w14:paraId="4885BDA1" w14:textId="77777777" w:rsidR="00CE241F" w:rsidRPr="00595970" w:rsidRDefault="00CE241F" w:rsidP="00905CC9">
            <w:pPr>
              <w:keepNext w:val="0"/>
              <w:spacing w:before="0"/>
              <w:ind w:left="720"/>
              <w:contextualSpacing/>
              <w:jc w:val="left"/>
              <w:rPr>
                <w:color w:val="auto"/>
              </w:rPr>
            </w:pPr>
          </w:p>
          <w:p w14:paraId="4DC8B742" w14:textId="77777777" w:rsidR="00CE241F" w:rsidRPr="00595970" w:rsidRDefault="00CE241F" w:rsidP="00874A98">
            <w:pPr>
              <w:keepNext w:val="0"/>
              <w:numPr>
                <w:ilvl w:val="0"/>
                <w:numId w:val="289"/>
              </w:numPr>
              <w:spacing w:before="0"/>
              <w:contextualSpacing/>
              <w:jc w:val="left"/>
              <w:rPr>
                <w:color w:val="auto"/>
              </w:rPr>
            </w:pPr>
            <w:r w:rsidRPr="00595970">
              <w:rPr>
                <w:color w:val="auto"/>
              </w:rPr>
              <w:t>Landscape character and features;</w:t>
            </w:r>
          </w:p>
          <w:p w14:paraId="282B3CCA" w14:textId="77777777" w:rsidR="00CE241F" w:rsidRPr="00595970" w:rsidRDefault="00CE241F" w:rsidP="00905CC9">
            <w:pPr>
              <w:keepNext w:val="0"/>
              <w:spacing w:before="0"/>
              <w:ind w:left="720"/>
              <w:contextualSpacing/>
              <w:jc w:val="left"/>
              <w:rPr>
                <w:color w:val="auto"/>
              </w:rPr>
            </w:pPr>
          </w:p>
          <w:p w14:paraId="1DC7D4BF" w14:textId="77777777" w:rsidR="00CE241F" w:rsidRPr="00595970" w:rsidRDefault="00CE241F" w:rsidP="00874A98">
            <w:pPr>
              <w:keepNext w:val="0"/>
              <w:numPr>
                <w:ilvl w:val="0"/>
                <w:numId w:val="289"/>
              </w:numPr>
              <w:spacing w:before="0"/>
              <w:contextualSpacing/>
              <w:jc w:val="left"/>
              <w:rPr>
                <w:color w:val="auto"/>
              </w:rPr>
            </w:pPr>
            <w:r w:rsidRPr="00595970">
              <w:rPr>
                <w:color w:val="auto"/>
              </w:rPr>
              <w:t xml:space="preserve">Green and blue infrastructure assets; and </w:t>
            </w:r>
          </w:p>
          <w:p w14:paraId="1639622E" w14:textId="77777777" w:rsidR="00CE241F" w:rsidRPr="00595970" w:rsidRDefault="00CE241F" w:rsidP="00905CC9">
            <w:pPr>
              <w:keepNext w:val="0"/>
              <w:spacing w:before="0"/>
              <w:ind w:left="720"/>
              <w:contextualSpacing/>
              <w:jc w:val="left"/>
              <w:rPr>
                <w:color w:val="auto"/>
              </w:rPr>
            </w:pPr>
          </w:p>
          <w:p w14:paraId="32783A6E" w14:textId="77777777" w:rsidR="00CE241F" w:rsidRPr="00595970" w:rsidRDefault="00CE241F" w:rsidP="00874A98">
            <w:pPr>
              <w:keepNext w:val="0"/>
              <w:numPr>
                <w:ilvl w:val="0"/>
                <w:numId w:val="289"/>
              </w:numPr>
              <w:spacing w:before="0"/>
              <w:contextualSpacing/>
              <w:jc w:val="left"/>
              <w:rPr>
                <w:color w:val="auto"/>
              </w:rPr>
            </w:pPr>
            <w:r w:rsidRPr="00595970">
              <w:rPr>
                <w:color w:val="auto"/>
              </w:rPr>
              <w:t>Opportunities to enhance gateways.</w:t>
            </w:r>
          </w:p>
          <w:p w14:paraId="49665EE2" w14:textId="77777777" w:rsidR="00CE241F" w:rsidRDefault="00CE241F" w:rsidP="00905CC9">
            <w:pPr>
              <w:keepNext w:val="0"/>
              <w:spacing w:before="0"/>
              <w:ind w:left="360"/>
              <w:contextualSpacing/>
              <w:jc w:val="left"/>
              <w:rPr>
                <w:color w:val="auto"/>
              </w:rPr>
            </w:pPr>
          </w:p>
          <w:p w14:paraId="2539D6E9" w14:textId="77777777" w:rsidR="005A0FAE" w:rsidRDefault="005A0FAE" w:rsidP="00905CC9">
            <w:pPr>
              <w:keepNext w:val="0"/>
              <w:spacing w:before="0"/>
              <w:ind w:left="360"/>
              <w:contextualSpacing/>
              <w:jc w:val="left"/>
              <w:rPr>
                <w:color w:val="auto"/>
              </w:rPr>
            </w:pPr>
          </w:p>
          <w:p w14:paraId="2826F5AC" w14:textId="77777777" w:rsidR="005A0FAE" w:rsidRDefault="005A0FAE" w:rsidP="00905CC9">
            <w:pPr>
              <w:keepNext w:val="0"/>
              <w:spacing w:before="0"/>
              <w:ind w:left="360"/>
              <w:contextualSpacing/>
              <w:jc w:val="left"/>
              <w:rPr>
                <w:color w:val="auto"/>
              </w:rPr>
            </w:pPr>
          </w:p>
          <w:p w14:paraId="44D7E72D" w14:textId="77777777" w:rsidR="005A0FAE" w:rsidRPr="00595970" w:rsidRDefault="005A0FAE" w:rsidP="00905CC9">
            <w:pPr>
              <w:keepNext w:val="0"/>
              <w:spacing w:before="0"/>
              <w:ind w:left="360"/>
              <w:contextualSpacing/>
              <w:jc w:val="left"/>
              <w:rPr>
                <w:color w:val="auto"/>
              </w:rPr>
            </w:pPr>
          </w:p>
          <w:p w14:paraId="7752E488" w14:textId="77777777" w:rsidR="00CE241F" w:rsidRPr="00595970" w:rsidRDefault="00CE241F" w:rsidP="00905CC9">
            <w:pPr>
              <w:keepNext w:val="0"/>
              <w:spacing w:before="0"/>
              <w:ind w:left="360"/>
              <w:contextualSpacing/>
              <w:jc w:val="left"/>
              <w:rPr>
                <w:b/>
                <w:bCs/>
                <w:color w:val="auto"/>
              </w:rPr>
            </w:pPr>
            <w:r w:rsidRPr="00595970">
              <w:rPr>
                <w:b/>
                <w:bCs/>
                <w:color w:val="auto"/>
              </w:rPr>
              <w:lastRenderedPageBreak/>
              <w:t>Movement</w:t>
            </w:r>
          </w:p>
          <w:p w14:paraId="42162CD8" w14:textId="77777777" w:rsidR="00CE241F" w:rsidRPr="00595970" w:rsidRDefault="00CE241F" w:rsidP="00874A98">
            <w:pPr>
              <w:keepNext w:val="0"/>
              <w:numPr>
                <w:ilvl w:val="0"/>
                <w:numId w:val="288"/>
              </w:numPr>
              <w:spacing w:before="0"/>
              <w:contextualSpacing/>
              <w:jc w:val="left"/>
              <w:rPr>
                <w:color w:val="auto"/>
              </w:rPr>
            </w:pPr>
            <w:r w:rsidRPr="00595970">
              <w:rPr>
                <w:color w:val="auto"/>
              </w:rPr>
              <w:t>Development proposals should create permeable and legible layouts that provide clear and direct access to, through and within the development for all potential users, including those with impaired mobility. In achieving this, proposals should ensure:</w:t>
            </w:r>
          </w:p>
          <w:p w14:paraId="67C3229F" w14:textId="77777777" w:rsidR="00CE241F" w:rsidRPr="00595970" w:rsidRDefault="00CE241F" w:rsidP="00905CC9">
            <w:pPr>
              <w:keepNext w:val="0"/>
              <w:spacing w:before="0"/>
              <w:ind w:left="360"/>
              <w:contextualSpacing/>
              <w:jc w:val="left"/>
              <w:rPr>
                <w:color w:val="auto"/>
              </w:rPr>
            </w:pPr>
          </w:p>
          <w:p w14:paraId="249E094B" w14:textId="10A58157" w:rsidR="00CE241F" w:rsidRPr="00595970" w:rsidRDefault="00CE241F" w:rsidP="00874A98">
            <w:pPr>
              <w:keepNext w:val="0"/>
              <w:numPr>
                <w:ilvl w:val="0"/>
                <w:numId w:val="290"/>
              </w:numPr>
              <w:spacing w:before="0"/>
              <w:contextualSpacing/>
              <w:jc w:val="left"/>
              <w:rPr>
                <w:color w:val="auto"/>
              </w:rPr>
            </w:pPr>
            <w:r w:rsidRPr="00595970">
              <w:rPr>
                <w:color w:val="auto"/>
              </w:rPr>
              <w:t>They create effective pedestrian and cyclist routes / movement;</w:t>
            </w:r>
          </w:p>
          <w:p w14:paraId="5DD7411C" w14:textId="77777777" w:rsidR="00CE241F" w:rsidRPr="00595970" w:rsidRDefault="00CE241F" w:rsidP="00905CC9">
            <w:pPr>
              <w:keepNext w:val="0"/>
              <w:spacing w:before="0"/>
              <w:ind w:left="720"/>
              <w:contextualSpacing/>
              <w:jc w:val="left"/>
              <w:rPr>
                <w:color w:val="auto"/>
              </w:rPr>
            </w:pPr>
          </w:p>
          <w:p w14:paraId="25E9B839" w14:textId="77777777" w:rsidR="00CE241F" w:rsidRPr="00595970" w:rsidRDefault="00CE241F" w:rsidP="00874A98">
            <w:pPr>
              <w:keepNext w:val="0"/>
              <w:numPr>
                <w:ilvl w:val="0"/>
                <w:numId w:val="290"/>
              </w:numPr>
              <w:spacing w:before="0"/>
              <w:contextualSpacing/>
              <w:jc w:val="left"/>
              <w:rPr>
                <w:color w:val="auto"/>
              </w:rPr>
            </w:pPr>
            <w:r w:rsidRPr="00595970">
              <w:rPr>
                <w:color w:val="auto"/>
              </w:rPr>
              <w:t>Integration, retention and/or reinstatement of existing footpaths, cycle routes and bridleways; and</w:t>
            </w:r>
          </w:p>
          <w:p w14:paraId="124D2F83" w14:textId="77777777" w:rsidR="00CE241F" w:rsidRPr="00595970" w:rsidRDefault="00CE241F" w:rsidP="00905CC9">
            <w:pPr>
              <w:keepNext w:val="0"/>
              <w:spacing w:before="0"/>
              <w:ind w:left="720"/>
              <w:contextualSpacing/>
              <w:jc w:val="left"/>
              <w:rPr>
                <w:color w:val="auto"/>
              </w:rPr>
            </w:pPr>
          </w:p>
          <w:p w14:paraId="36246F09" w14:textId="77777777" w:rsidR="00CE241F" w:rsidRPr="00595970" w:rsidRDefault="00CE241F" w:rsidP="00874A98">
            <w:pPr>
              <w:keepNext w:val="0"/>
              <w:numPr>
                <w:ilvl w:val="0"/>
                <w:numId w:val="290"/>
              </w:numPr>
              <w:spacing w:before="0"/>
              <w:contextualSpacing/>
              <w:jc w:val="left"/>
              <w:rPr>
                <w:color w:val="auto"/>
              </w:rPr>
            </w:pPr>
            <w:r w:rsidRPr="00595970">
              <w:rPr>
                <w:color w:val="auto"/>
              </w:rPr>
              <w:t>Where appropriate, creation of new routes linking to existing green and blue infrastructure networks, including rights of way within the countryside.</w:t>
            </w:r>
          </w:p>
          <w:p w14:paraId="2EC479D2" w14:textId="77777777" w:rsidR="00CE241F" w:rsidRPr="00595970" w:rsidRDefault="00CE241F" w:rsidP="00905CC9">
            <w:pPr>
              <w:keepNext w:val="0"/>
              <w:spacing w:before="0"/>
              <w:ind w:left="360"/>
              <w:contextualSpacing/>
              <w:jc w:val="left"/>
              <w:rPr>
                <w:color w:val="auto"/>
              </w:rPr>
            </w:pPr>
          </w:p>
          <w:p w14:paraId="4282470E" w14:textId="77777777" w:rsidR="00CE241F" w:rsidRPr="00595970" w:rsidRDefault="00CE241F" w:rsidP="00905CC9">
            <w:pPr>
              <w:keepNext w:val="0"/>
              <w:spacing w:before="0"/>
              <w:ind w:left="360"/>
              <w:contextualSpacing/>
              <w:jc w:val="left"/>
              <w:rPr>
                <w:b/>
                <w:bCs/>
                <w:color w:val="auto"/>
              </w:rPr>
            </w:pPr>
            <w:r w:rsidRPr="00595970">
              <w:rPr>
                <w:b/>
                <w:bCs/>
                <w:color w:val="auto"/>
              </w:rPr>
              <w:t>Public Realm &amp; Open Space</w:t>
            </w:r>
          </w:p>
          <w:p w14:paraId="1AECAECB" w14:textId="77777777" w:rsidR="00CE241F" w:rsidRPr="00595970" w:rsidRDefault="00CE241F" w:rsidP="00874A98">
            <w:pPr>
              <w:keepNext w:val="0"/>
              <w:numPr>
                <w:ilvl w:val="0"/>
                <w:numId w:val="288"/>
              </w:numPr>
              <w:spacing w:before="0"/>
              <w:contextualSpacing/>
              <w:jc w:val="left"/>
              <w:rPr>
                <w:color w:val="auto"/>
              </w:rPr>
            </w:pPr>
            <w:r w:rsidRPr="00595970">
              <w:rPr>
                <w:color w:val="auto"/>
              </w:rPr>
              <w:t>The public realm elements of a development proposal must complement the proposed building/s and seek to enhance its surroundings. Proposals must apply an appropriate balance of hard and soft landscape that contributes to the overall design of the scheme. When creating public realm strategies for a site, proposals should apply and consider the following:</w:t>
            </w:r>
          </w:p>
          <w:p w14:paraId="04FA58E6" w14:textId="77777777" w:rsidR="00CE241F" w:rsidRPr="00595970" w:rsidRDefault="00CE241F" w:rsidP="00905CC9">
            <w:pPr>
              <w:keepNext w:val="0"/>
              <w:spacing w:before="0"/>
              <w:ind w:left="360"/>
              <w:contextualSpacing/>
              <w:jc w:val="left"/>
              <w:rPr>
                <w:color w:val="auto"/>
              </w:rPr>
            </w:pPr>
          </w:p>
          <w:p w14:paraId="1331170C" w14:textId="77777777" w:rsidR="00CE241F" w:rsidRPr="00595970" w:rsidRDefault="00CE241F" w:rsidP="00874A98">
            <w:pPr>
              <w:keepNext w:val="0"/>
              <w:numPr>
                <w:ilvl w:val="0"/>
                <w:numId w:val="291"/>
              </w:numPr>
              <w:spacing w:before="0"/>
              <w:contextualSpacing/>
              <w:jc w:val="left"/>
              <w:rPr>
                <w:color w:val="auto"/>
              </w:rPr>
            </w:pPr>
            <w:r w:rsidRPr="00595970">
              <w:rPr>
                <w:color w:val="auto"/>
              </w:rPr>
              <w:t>Locate public spaces on main lines of movement (pedestrian or vehicular);</w:t>
            </w:r>
          </w:p>
          <w:p w14:paraId="5D4DD045" w14:textId="77777777" w:rsidR="00CE241F" w:rsidRPr="00595970" w:rsidRDefault="00CE241F" w:rsidP="00905CC9">
            <w:pPr>
              <w:keepNext w:val="0"/>
              <w:spacing w:before="0"/>
              <w:ind w:left="720"/>
              <w:contextualSpacing/>
              <w:jc w:val="left"/>
              <w:rPr>
                <w:color w:val="auto"/>
              </w:rPr>
            </w:pPr>
            <w:r w:rsidRPr="00595970">
              <w:rPr>
                <w:color w:val="auto"/>
              </w:rPr>
              <w:t xml:space="preserve"> </w:t>
            </w:r>
          </w:p>
          <w:p w14:paraId="0D3BC7A7" w14:textId="27F20CAF" w:rsidR="00CE241F" w:rsidRPr="00595970" w:rsidRDefault="00CE241F" w:rsidP="00874A98">
            <w:pPr>
              <w:keepNext w:val="0"/>
              <w:numPr>
                <w:ilvl w:val="0"/>
                <w:numId w:val="291"/>
              </w:numPr>
              <w:spacing w:before="0"/>
              <w:contextualSpacing/>
              <w:jc w:val="left"/>
              <w:rPr>
                <w:color w:val="auto"/>
              </w:rPr>
            </w:pPr>
            <w:r w:rsidRPr="00595970">
              <w:rPr>
                <w:color w:val="auto"/>
              </w:rPr>
              <w:t xml:space="preserve">Spaces must present imaginative, </w:t>
            </w:r>
            <w:r w:rsidR="00B41221" w:rsidRPr="00595970">
              <w:rPr>
                <w:color w:val="auto"/>
              </w:rPr>
              <w:t>high-quality</w:t>
            </w:r>
            <w:r w:rsidRPr="00595970">
              <w:rPr>
                <w:color w:val="auto"/>
              </w:rPr>
              <w:t xml:space="preserve"> design and contributes to the </w:t>
            </w:r>
            <w:proofErr w:type="gramStart"/>
            <w:r w:rsidRPr="00595970">
              <w:rPr>
                <w:color w:val="auto"/>
              </w:rPr>
              <w:t>District’s</w:t>
            </w:r>
            <w:proofErr w:type="gramEnd"/>
            <w:r w:rsidRPr="00595970">
              <w:rPr>
                <w:color w:val="auto"/>
              </w:rPr>
              <w:t xml:space="preserve"> wider green infrastructure framework;</w:t>
            </w:r>
          </w:p>
          <w:p w14:paraId="49670A50" w14:textId="77777777" w:rsidR="00CE241F" w:rsidRPr="00595970" w:rsidRDefault="00CE241F" w:rsidP="00905CC9">
            <w:pPr>
              <w:keepNext w:val="0"/>
              <w:spacing w:before="0"/>
              <w:ind w:left="720"/>
              <w:contextualSpacing/>
              <w:jc w:val="left"/>
              <w:rPr>
                <w:color w:val="auto"/>
              </w:rPr>
            </w:pPr>
          </w:p>
          <w:p w14:paraId="11038531" w14:textId="77777777" w:rsidR="00CE241F" w:rsidRPr="00595970" w:rsidRDefault="00CE241F" w:rsidP="00874A98">
            <w:pPr>
              <w:keepNext w:val="0"/>
              <w:numPr>
                <w:ilvl w:val="0"/>
                <w:numId w:val="291"/>
              </w:numPr>
              <w:spacing w:before="0"/>
              <w:contextualSpacing/>
              <w:jc w:val="left"/>
              <w:rPr>
                <w:color w:val="auto"/>
              </w:rPr>
            </w:pPr>
            <w:r w:rsidRPr="00595970">
              <w:rPr>
                <w:color w:val="auto"/>
              </w:rPr>
              <w:t>Spaces and routes must be overlooked from surrounding buildings, with active frontages onto spaces where appropriate;</w:t>
            </w:r>
          </w:p>
          <w:p w14:paraId="4F197261" w14:textId="77777777" w:rsidR="00CE241F" w:rsidRPr="00595970" w:rsidRDefault="00CE241F" w:rsidP="00905CC9">
            <w:pPr>
              <w:keepNext w:val="0"/>
              <w:spacing w:before="0"/>
              <w:ind w:left="720"/>
              <w:contextualSpacing/>
              <w:jc w:val="left"/>
              <w:rPr>
                <w:color w:val="auto"/>
              </w:rPr>
            </w:pPr>
          </w:p>
          <w:p w14:paraId="1E45DB51" w14:textId="77777777" w:rsidR="00CE241F" w:rsidRPr="00595970" w:rsidRDefault="00CE241F" w:rsidP="00874A98">
            <w:pPr>
              <w:keepNext w:val="0"/>
              <w:numPr>
                <w:ilvl w:val="0"/>
                <w:numId w:val="291"/>
              </w:numPr>
              <w:spacing w:before="0"/>
              <w:contextualSpacing/>
              <w:jc w:val="left"/>
              <w:rPr>
                <w:color w:val="auto"/>
              </w:rPr>
            </w:pPr>
            <w:r w:rsidRPr="00595970">
              <w:rPr>
                <w:color w:val="auto"/>
              </w:rPr>
              <w:t>Creation of incidental and/or small areas of grass / open space with little function will not be accepted;</w:t>
            </w:r>
          </w:p>
          <w:p w14:paraId="78FB715D" w14:textId="77777777" w:rsidR="00CE241F" w:rsidRPr="00595970" w:rsidRDefault="00CE241F" w:rsidP="00905CC9">
            <w:pPr>
              <w:keepNext w:val="0"/>
              <w:spacing w:before="0"/>
              <w:ind w:left="720"/>
              <w:contextualSpacing/>
              <w:jc w:val="left"/>
              <w:rPr>
                <w:color w:val="auto"/>
              </w:rPr>
            </w:pPr>
          </w:p>
          <w:p w14:paraId="6138ECCD" w14:textId="77777777" w:rsidR="00CE241F" w:rsidRPr="00595970" w:rsidRDefault="00CE241F" w:rsidP="00874A98">
            <w:pPr>
              <w:keepNext w:val="0"/>
              <w:numPr>
                <w:ilvl w:val="0"/>
                <w:numId w:val="291"/>
              </w:numPr>
              <w:spacing w:before="0"/>
              <w:contextualSpacing/>
              <w:jc w:val="left"/>
              <w:rPr>
                <w:color w:val="auto"/>
              </w:rPr>
            </w:pPr>
            <w:r w:rsidRPr="00595970">
              <w:rPr>
                <w:color w:val="auto"/>
              </w:rPr>
              <w:t xml:space="preserve">Prioritise the retention of key natural features, such as mature trees, hedgerows and </w:t>
            </w:r>
            <w:proofErr w:type="gramStart"/>
            <w:r w:rsidRPr="00595970">
              <w:rPr>
                <w:color w:val="auto"/>
              </w:rPr>
              <w:t>land forms</w:t>
            </w:r>
            <w:proofErr w:type="gramEnd"/>
            <w:r w:rsidRPr="00595970">
              <w:rPr>
                <w:color w:val="auto"/>
              </w:rPr>
              <w:t xml:space="preserve">; </w:t>
            </w:r>
          </w:p>
          <w:p w14:paraId="5FE16397" w14:textId="77777777" w:rsidR="00CE241F" w:rsidRPr="00595970" w:rsidRDefault="00CE241F" w:rsidP="00905CC9">
            <w:pPr>
              <w:keepNext w:val="0"/>
              <w:spacing w:before="0"/>
              <w:ind w:left="720"/>
              <w:contextualSpacing/>
              <w:jc w:val="left"/>
              <w:rPr>
                <w:color w:val="auto"/>
              </w:rPr>
            </w:pPr>
          </w:p>
          <w:p w14:paraId="64B68001" w14:textId="77777777" w:rsidR="00CE241F" w:rsidRPr="00595970" w:rsidRDefault="00CE241F" w:rsidP="00874A98">
            <w:pPr>
              <w:keepNext w:val="0"/>
              <w:numPr>
                <w:ilvl w:val="0"/>
                <w:numId w:val="291"/>
              </w:numPr>
              <w:spacing w:before="0"/>
              <w:contextualSpacing/>
              <w:jc w:val="left"/>
              <w:rPr>
                <w:color w:val="auto"/>
              </w:rPr>
            </w:pPr>
            <w:r w:rsidRPr="00595970">
              <w:rPr>
                <w:color w:val="auto"/>
              </w:rPr>
              <w:t>Provide new trees, including street trees, hedgerows and additional native species planting as part of the overall landscaping framework throughout a site;</w:t>
            </w:r>
          </w:p>
          <w:p w14:paraId="485992A2" w14:textId="77777777" w:rsidR="00CE241F" w:rsidRPr="00595970" w:rsidRDefault="00CE241F" w:rsidP="00905CC9">
            <w:pPr>
              <w:keepNext w:val="0"/>
              <w:spacing w:before="0"/>
              <w:ind w:left="720"/>
              <w:contextualSpacing/>
              <w:jc w:val="left"/>
              <w:rPr>
                <w:color w:val="auto"/>
              </w:rPr>
            </w:pPr>
          </w:p>
          <w:p w14:paraId="2F5B3CC0" w14:textId="77777777" w:rsidR="00CE241F" w:rsidRPr="00595970" w:rsidRDefault="00CE241F" w:rsidP="00874A98">
            <w:pPr>
              <w:keepNext w:val="0"/>
              <w:numPr>
                <w:ilvl w:val="0"/>
                <w:numId w:val="291"/>
              </w:numPr>
              <w:spacing w:before="0"/>
              <w:contextualSpacing/>
              <w:jc w:val="left"/>
              <w:rPr>
                <w:color w:val="auto"/>
              </w:rPr>
            </w:pPr>
            <w:r w:rsidRPr="00595970">
              <w:rPr>
                <w:color w:val="auto"/>
              </w:rPr>
              <w:t xml:space="preserve">Strengthen and protect existing boundary hedgerows around the site; </w:t>
            </w:r>
          </w:p>
          <w:p w14:paraId="5A365ACE" w14:textId="77777777" w:rsidR="00CE241F" w:rsidRPr="00595970" w:rsidRDefault="00CE241F" w:rsidP="00905CC9">
            <w:pPr>
              <w:keepNext w:val="0"/>
              <w:spacing w:before="0"/>
              <w:ind w:left="720"/>
              <w:contextualSpacing/>
              <w:jc w:val="left"/>
              <w:rPr>
                <w:color w:val="auto"/>
              </w:rPr>
            </w:pPr>
          </w:p>
          <w:p w14:paraId="72466E7E" w14:textId="77777777" w:rsidR="00CE241F" w:rsidRPr="00595970" w:rsidRDefault="00CE241F" w:rsidP="00874A98">
            <w:pPr>
              <w:keepNext w:val="0"/>
              <w:numPr>
                <w:ilvl w:val="0"/>
                <w:numId w:val="291"/>
              </w:numPr>
              <w:spacing w:before="0"/>
              <w:contextualSpacing/>
              <w:jc w:val="left"/>
              <w:rPr>
                <w:color w:val="auto"/>
              </w:rPr>
            </w:pPr>
            <w:r w:rsidRPr="00595970">
              <w:rPr>
                <w:color w:val="auto"/>
              </w:rPr>
              <w:t>Provide appropriate landscaping and screening to aid residential amenity; and</w:t>
            </w:r>
          </w:p>
          <w:p w14:paraId="1309D9ED" w14:textId="77777777" w:rsidR="00CE241F" w:rsidRPr="00595970" w:rsidRDefault="00CE241F" w:rsidP="00905CC9">
            <w:pPr>
              <w:keepNext w:val="0"/>
              <w:spacing w:before="0"/>
              <w:ind w:left="720"/>
              <w:contextualSpacing/>
              <w:jc w:val="left"/>
              <w:rPr>
                <w:color w:val="auto"/>
              </w:rPr>
            </w:pPr>
          </w:p>
          <w:p w14:paraId="7BFA2034" w14:textId="77777777" w:rsidR="00CE241F" w:rsidRPr="00595970" w:rsidRDefault="00CE241F" w:rsidP="00874A98">
            <w:pPr>
              <w:keepNext w:val="0"/>
              <w:numPr>
                <w:ilvl w:val="0"/>
                <w:numId w:val="291"/>
              </w:numPr>
              <w:spacing w:before="0"/>
              <w:contextualSpacing/>
              <w:jc w:val="left"/>
              <w:rPr>
                <w:color w:val="auto"/>
              </w:rPr>
            </w:pPr>
            <w:r w:rsidRPr="00595970">
              <w:rPr>
                <w:color w:val="auto"/>
              </w:rPr>
              <w:t>Potential impact of artificial lighting on wildlife.</w:t>
            </w:r>
          </w:p>
          <w:p w14:paraId="45B25331" w14:textId="77777777" w:rsidR="00CE241F" w:rsidRPr="00595970" w:rsidRDefault="00CE241F" w:rsidP="00905CC9">
            <w:pPr>
              <w:keepNext w:val="0"/>
              <w:spacing w:before="0"/>
              <w:ind w:left="360"/>
              <w:contextualSpacing/>
              <w:jc w:val="left"/>
              <w:rPr>
                <w:color w:val="auto"/>
              </w:rPr>
            </w:pPr>
          </w:p>
          <w:p w14:paraId="652E52A5" w14:textId="77777777" w:rsidR="00CE241F" w:rsidRPr="00595970" w:rsidRDefault="00CE241F" w:rsidP="00905CC9">
            <w:pPr>
              <w:keepNext w:val="0"/>
              <w:spacing w:before="0"/>
              <w:ind w:left="360"/>
              <w:contextualSpacing/>
              <w:jc w:val="left"/>
              <w:rPr>
                <w:b/>
                <w:bCs/>
                <w:color w:val="auto"/>
              </w:rPr>
            </w:pPr>
            <w:r w:rsidRPr="00595970">
              <w:rPr>
                <w:b/>
                <w:bCs/>
                <w:color w:val="auto"/>
              </w:rPr>
              <w:t>Safety</w:t>
            </w:r>
          </w:p>
          <w:p w14:paraId="3D256799" w14:textId="77777777" w:rsidR="00CE241F" w:rsidRPr="00595970" w:rsidRDefault="00CE241F" w:rsidP="00874A98">
            <w:pPr>
              <w:keepNext w:val="0"/>
              <w:numPr>
                <w:ilvl w:val="0"/>
                <w:numId w:val="288"/>
              </w:numPr>
              <w:spacing w:before="0"/>
              <w:contextualSpacing/>
              <w:jc w:val="left"/>
              <w:rPr>
                <w:color w:val="auto"/>
              </w:rPr>
            </w:pPr>
            <w:r w:rsidRPr="00595970">
              <w:rPr>
                <w:color w:val="auto"/>
              </w:rPr>
              <w:t xml:space="preserve">Through the application of secure-by-design, balanced with urban design principles, development proposals should incorporate measures to help reduce crime and the fear of it (including appropriate infrastructure).  Applying layout principles that </w:t>
            </w:r>
            <w:r w:rsidRPr="00595970">
              <w:rPr>
                <w:color w:val="auto"/>
              </w:rPr>
              <w:lastRenderedPageBreak/>
              <w:t>enhance natural surveillance, create active frontages and clearly delineate private and public space can considerably aid this process.</w:t>
            </w:r>
          </w:p>
          <w:p w14:paraId="5F042263" w14:textId="77777777" w:rsidR="00CE241F" w:rsidRPr="00595970" w:rsidRDefault="00CE241F" w:rsidP="00905CC9">
            <w:pPr>
              <w:keepNext w:val="0"/>
              <w:spacing w:before="0"/>
              <w:ind w:left="360"/>
              <w:contextualSpacing/>
              <w:jc w:val="left"/>
              <w:rPr>
                <w:color w:val="auto"/>
              </w:rPr>
            </w:pPr>
          </w:p>
          <w:p w14:paraId="3CA80695" w14:textId="77777777" w:rsidR="00CE241F" w:rsidRPr="00595970" w:rsidRDefault="00CE241F" w:rsidP="00905CC9">
            <w:pPr>
              <w:keepNext w:val="0"/>
              <w:spacing w:before="0"/>
              <w:ind w:left="360"/>
              <w:contextualSpacing/>
              <w:jc w:val="left"/>
              <w:rPr>
                <w:b/>
                <w:bCs/>
                <w:color w:val="auto"/>
              </w:rPr>
            </w:pPr>
            <w:r w:rsidRPr="00595970">
              <w:rPr>
                <w:b/>
                <w:bCs/>
                <w:color w:val="auto"/>
              </w:rPr>
              <w:t>Standards</w:t>
            </w:r>
          </w:p>
          <w:p w14:paraId="15115B12" w14:textId="7BC8240B" w:rsidR="00CE241F" w:rsidRPr="00595970" w:rsidRDefault="00CE241F" w:rsidP="00874A98">
            <w:pPr>
              <w:keepNext w:val="0"/>
              <w:numPr>
                <w:ilvl w:val="0"/>
                <w:numId w:val="288"/>
              </w:numPr>
              <w:spacing w:before="0"/>
              <w:contextualSpacing/>
              <w:jc w:val="left"/>
              <w:rPr>
                <w:color w:val="auto"/>
              </w:rPr>
            </w:pPr>
            <w:r w:rsidRPr="00595970">
              <w:rPr>
                <w:color w:val="auto"/>
              </w:rPr>
              <w:t>Development proposals will be expected to demonstrate how they have been designed to perform to a high standard.</w:t>
            </w:r>
            <w:r w:rsidR="00DF1FF1" w:rsidRPr="00595970">
              <w:rPr>
                <w:color w:val="auto"/>
              </w:rPr>
              <w:t xml:space="preserve">  Developers will be expected to </w:t>
            </w:r>
            <w:r w:rsidR="00F32C46" w:rsidRPr="00595970">
              <w:rPr>
                <w:color w:val="auto"/>
              </w:rPr>
              <w:t xml:space="preserve">undertake a </w:t>
            </w:r>
            <w:r w:rsidR="00DF1FF1" w:rsidRPr="00595970">
              <w:rPr>
                <w:color w:val="auto"/>
              </w:rPr>
              <w:t xml:space="preserve">Design </w:t>
            </w:r>
            <w:r w:rsidR="00F32C46" w:rsidRPr="00595970">
              <w:rPr>
                <w:color w:val="auto"/>
              </w:rPr>
              <w:t>R</w:t>
            </w:r>
            <w:r w:rsidR="00DF1FF1" w:rsidRPr="00595970">
              <w:rPr>
                <w:color w:val="auto"/>
              </w:rPr>
              <w:t xml:space="preserve">eview </w:t>
            </w:r>
            <w:r w:rsidR="00F32C46" w:rsidRPr="00595970">
              <w:rPr>
                <w:color w:val="auto"/>
              </w:rPr>
              <w:t>where appropriate.</w:t>
            </w:r>
          </w:p>
          <w:p w14:paraId="55DF8C51" w14:textId="77777777" w:rsidR="00CE241F" w:rsidRPr="00595970" w:rsidRDefault="00CE241F" w:rsidP="00905CC9">
            <w:pPr>
              <w:keepNext w:val="0"/>
              <w:spacing w:before="0"/>
              <w:jc w:val="left"/>
              <w:rPr>
                <w:color w:val="auto"/>
              </w:rPr>
            </w:pPr>
          </w:p>
        </w:tc>
      </w:tr>
      <w:tr w:rsidR="00CE241F" w:rsidRPr="00CE241F" w14:paraId="306C15D2" w14:textId="77777777" w:rsidTr="00CE241F">
        <w:tc>
          <w:tcPr>
            <w:tcW w:w="2521" w:type="dxa"/>
          </w:tcPr>
          <w:p w14:paraId="15320503" w14:textId="77777777" w:rsidR="00CE241F" w:rsidRPr="00CE241F" w:rsidRDefault="00CE241F" w:rsidP="00CE241F">
            <w:pPr>
              <w:keepNext w:val="0"/>
              <w:spacing w:before="0"/>
              <w:jc w:val="left"/>
              <w:rPr>
                <w:color w:val="auto"/>
                <w:sz w:val="20"/>
                <w:szCs w:val="20"/>
              </w:rPr>
            </w:pPr>
            <w:r w:rsidRPr="00CE241F">
              <w:rPr>
                <w:color w:val="auto"/>
                <w:sz w:val="20"/>
                <w:szCs w:val="20"/>
              </w:rPr>
              <w:lastRenderedPageBreak/>
              <w:t>Evidence Base</w:t>
            </w:r>
          </w:p>
        </w:tc>
        <w:tc>
          <w:tcPr>
            <w:tcW w:w="7098" w:type="dxa"/>
          </w:tcPr>
          <w:p w14:paraId="3AF713BD" w14:textId="3ECEE966" w:rsidR="00CE241F" w:rsidRPr="00595970" w:rsidRDefault="00CE241F" w:rsidP="00874A98">
            <w:pPr>
              <w:keepNext w:val="0"/>
              <w:numPr>
                <w:ilvl w:val="0"/>
                <w:numId w:val="292"/>
              </w:numPr>
              <w:spacing w:before="0"/>
              <w:contextualSpacing/>
              <w:jc w:val="left"/>
              <w:rPr>
                <w:color w:val="auto"/>
                <w:sz w:val="20"/>
                <w:szCs w:val="20"/>
              </w:rPr>
            </w:pPr>
            <w:r w:rsidRPr="00595970">
              <w:rPr>
                <w:color w:val="auto"/>
                <w:sz w:val="20"/>
                <w:szCs w:val="20"/>
              </w:rPr>
              <w:t>Sustainability Appraisal</w:t>
            </w:r>
            <w:r w:rsidR="006B0C43" w:rsidRPr="00595970">
              <w:rPr>
                <w:color w:val="auto"/>
                <w:sz w:val="20"/>
                <w:szCs w:val="20"/>
              </w:rPr>
              <w:t>,</w:t>
            </w:r>
            <w:r w:rsidRPr="00595970">
              <w:rPr>
                <w:color w:val="auto"/>
                <w:sz w:val="20"/>
                <w:szCs w:val="20"/>
              </w:rPr>
              <w:t xml:space="preserve"> 202</w:t>
            </w:r>
            <w:r w:rsidR="006B0C43" w:rsidRPr="00595970">
              <w:rPr>
                <w:color w:val="auto"/>
                <w:sz w:val="20"/>
                <w:szCs w:val="20"/>
              </w:rPr>
              <w:t>3. WSP UK Limited.</w:t>
            </w:r>
          </w:p>
          <w:p w14:paraId="33BD16B9" w14:textId="77777777" w:rsidR="00CE241F" w:rsidRPr="00595970" w:rsidRDefault="00CE241F" w:rsidP="00874A98">
            <w:pPr>
              <w:keepNext w:val="0"/>
              <w:numPr>
                <w:ilvl w:val="0"/>
                <w:numId w:val="292"/>
              </w:numPr>
              <w:spacing w:before="0"/>
              <w:contextualSpacing/>
              <w:jc w:val="left"/>
              <w:rPr>
                <w:color w:val="auto"/>
                <w:sz w:val="20"/>
                <w:szCs w:val="20"/>
              </w:rPr>
            </w:pPr>
            <w:r w:rsidRPr="00595970">
              <w:rPr>
                <w:color w:val="auto"/>
                <w:sz w:val="20"/>
                <w:szCs w:val="20"/>
              </w:rPr>
              <w:t>Sutton Town Centre Spatial Masterplan 2019.  Ashfield District Council.</w:t>
            </w:r>
          </w:p>
          <w:p w14:paraId="781D819C" w14:textId="77777777" w:rsidR="00CE241F" w:rsidRPr="00595970" w:rsidRDefault="00CE241F" w:rsidP="00874A98">
            <w:pPr>
              <w:keepNext w:val="0"/>
              <w:numPr>
                <w:ilvl w:val="0"/>
                <w:numId w:val="292"/>
              </w:numPr>
              <w:spacing w:before="0"/>
              <w:contextualSpacing/>
              <w:jc w:val="left"/>
              <w:rPr>
                <w:color w:val="auto"/>
                <w:sz w:val="20"/>
                <w:szCs w:val="20"/>
              </w:rPr>
            </w:pPr>
            <w:r w:rsidRPr="00595970">
              <w:rPr>
                <w:color w:val="auto"/>
                <w:sz w:val="20"/>
                <w:szCs w:val="20"/>
              </w:rPr>
              <w:t>Kirkby Town Centre Spatial Masterplan 2021.  Ashfield District Council.</w:t>
            </w:r>
          </w:p>
          <w:p w14:paraId="655547EF" w14:textId="04F4CFA7" w:rsidR="00CE241F" w:rsidRPr="00595970" w:rsidRDefault="00CE241F" w:rsidP="00874A98">
            <w:pPr>
              <w:keepNext w:val="0"/>
              <w:numPr>
                <w:ilvl w:val="0"/>
                <w:numId w:val="292"/>
              </w:numPr>
              <w:spacing w:before="0"/>
              <w:contextualSpacing/>
              <w:jc w:val="left"/>
              <w:rPr>
                <w:color w:val="auto"/>
                <w:sz w:val="20"/>
                <w:szCs w:val="20"/>
              </w:rPr>
            </w:pPr>
            <w:r w:rsidRPr="00595970">
              <w:rPr>
                <w:color w:val="auto"/>
                <w:sz w:val="20"/>
                <w:szCs w:val="20"/>
              </w:rPr>
              <w:t>Hucknall Town Centre Spatial Masterplan</w:t>
            </w:r>
            <w:r w:rsidR="006B0C43" w:rsidRPr="00595970">
              <w:rPr>
                <w:color w:val="auto"/>
                <w:sz w:val="20"/>
                <w:szCs w:val="20"/>
              </w:rPr>
              <w:t xml:space="preserve"> 2022. Ashfield District Council</w:t>
            </w:r>
            <w:r w:rsidRPr="00595970">
              <w:rPr>
                <w:color w:val="auto"/>
                <w:sz w:val="20"/>
                <w:szCs w:val="20"/>
              </w:rPr>
              <w:t>.</w:t>
            </w:r>
          </w:p>
          <w:p w14:paraId="0D623782" w14:textId="77777777" w:rsidR="006E3758" w:rsidRPr="00595970" w:rsidRDefault="006E3758" w:rsidP="00874A98">
            <w:pPr>
              <w:keepNext w:val="0"/>
              <w:numPr>
                <w:ilvl w:val="0"/>
                <w:numId w:val="292"/>
              </w:numPr>
              <w:spacing w:before="0"/>
              <w:contextualSpacing/>
              <w:jc w:val="left"/>
              <w:rPr>
                <w:color w:val="auto"/>
                <w:sz w:val="20"/>
                <w:szCs w:val="20"/>
              </w:rPr>
            </w:pPr>
            <w:r w:rsidRPr="00595970">
              <w:rPr>
                <w:color w:val="auto"/>
                <w:sz w:val="20"/>
                <w:szCs w:val="20"/>
              </w:rPr>
              <w:t>Cycle infrastructure design (LTN 1/20) (2020), Department for Transport.</w:t>
            </w:r>
          </w:p>
          <w:p w14:paraId="07828123" w14:textId="77777777" w:rsidR="00ED1045" w:rsidRPr="00595970" w:rsidRDefault="00ED1045" w:rsidP="00874A98">
            <w:pPr>
              <w:keepNext w:val="0"/>
              <w:numPr>
                <w:ilvl w:val="0"/>
                <w:numId w:val="292"/>
              </w:numPr>
              <w:spacing w:before="0"/>
              <w:contextualSpacing/>
              <w:rPr>
                <w:color w:val="auto"/>
                <w:sz w:val="20"/>
                <w:szCs w:val="20"/>
              </w:rPr>
            </w:pPr>
            <w:r w:rsidRPr="00595970">
              <w:rPr>
                <w:color w:val="auto"/>
                <w:sz w:val="20"/>
                <w:szCs w:val="20"/>
              </w:rPr>
              <w:t>Active Design 2015 Sport England.</w:t>
            </w:r>
          </w:p>
          <w:p w14:paraId="38E09CD5" w14:textId="77777777" w:rsidR="00ED1045" w:rsidRPr="00595970" w:rsidRDefault="00ED1045" w:rsidP="00874A98">
            <w:pPr>
              <w:keepNext w:val="0"/>
              <w:numPr>
                <w:ilvl w:val="0"/>
                <w:numId w:val="292"/>
              </w:numPr>
              <w:spacing w:before="0"/>
              <w:contextualSpacing/>
              <w:jc w:val="left"/>
              <w:rPr>
                <w:color w:val="auto"/>
                <w:sz w:val="20"/>
                <w:szCs w:val="20"/>
              </w:rPr>
            </w:pPr>
            <w:r w:rsidRPr="00595970">
              <w:rPr>
                <w:color w:val="auto"/>
                <w:sz w:val="20"/>
                <w:szCs w:val="20"/>
              </w:rPr>
              <w:t>Handbook Designing for physical activity 2021, Sports England.</w:t>
            </w:r>
          </w:p>
          <w:p w14:paraId="1F0225AD" w14:textId="3BFC9C7F" w:rsidR="008016CC" w:rsidRPr="00B41221" w:rsidRDefault="00BF7431" w:rsidP="00B41221">
            <w:pPr>
              <w:keepNext w:val="0"/>
              <w:numPr>
                <w:ilvl w:val="0"/>
                <w:numId w:val="292"/>
              </w:numPr>
              <w:spacing w:before="0"/>
              <w:contextualSpacing/>
              <w:jc w:val="left"/>
              <w:rPr>
                <w:color w:val="auto"/>
                <w:sz w:val="20"/>
                <w:szCs w:val="20"/>
              </w:rPr>
            </w:pPr>
            <w:r w:rsidRPr="00595970">
              <w:rPr>
                <w:rFonts w:cs="Arial"/>
                <w:color w:val="auto"/>
                <w:sz w:val="20"/>
              </w:rPr>
              <w:t>Ashfield Green &amp; Blue Infrastructure and Biodiversity Strategy. Ashfield District Council, 2022-2032.</w:t>
            </w:r>
          </w:p>
        </w:tc>
      </w:tr>
      <w:tr w:rsidR="00CE241F" w:rsidRPr="00CE241F" w14:paraId="3170329F" w14:textId="77777777" w:rsidTr="00CE241F">
        <w:tc>
          <w:tcPr>
            <w:tcW w:w="2521" w:type="dxa"/>
          </w:tcPr>
          <w:p w14:paraId="3D8DE711" w14:textId="77777777" w:rsidR="00CE241F" w:rsidRPr="00CE241F" w:rsidRDefault="00CE241F" w:rsidP="00CE241F">
            <w:pPr>
              <w:keepNext w:val="0"/>
              <w:spacing w:before="0"/>
              <w:jc w:val="left"/>
              <w:rPr>
                <w:color w:val="auto"/>
                <w:sz w:val="20"/>
                <w:szCs w:val="20"/>
              </w:rPr>
            </w:pPr>
            <w:r w:rsidRPr="00CE241F">
              <w:rPr>
                <w:color w:val="auto"/>
                <w:sz w:val="20"/>
                <w:szCs w:val="20"/>
              </w:rPr>
              <w:t>National Planning Policy &amp; Guidance</w:t>
            </w:r>
          </w:p>
        </w:tc>
        <w:tc>
          <w:tcPr>
            <w:tcW w:w="7098" w:type="dxa"/>
          </w:tcPr>
          <w:p w14:paraId="07E63F7C" w14:textId="308E5328" w:rsidR="00CE241F" w:rsidRPr="00CE241F" w:rsidRDefault="00CE241F" w:rsidP="00874A98">
            <w:pPr>
              <w:keepNext w:val="0"/>
              <w:numPr>
                <w:ilvl w:val="0"/>
                <w:numId w:val="293"/>
              </w:numPr>
              <w:spacing w:before="0"/>
              <w:contextualSpacing/>
              <w:jc w:val="left"/>
              <w:rPr>
                <w:color w:val="auto"/>
                <w:sz w:val="20"/>
                <w:szCs w:val="20"/>
              </w:rPr>
            </w:pPr>
            <w:r w:rsidRPr="00CE241F">
              <w:rPr>
                <w:color w:val="auto"/>
                <w:sz w:val="20"/>
                <w:szCs w:val="20"/>
              </w:rPr>
              <w:t>NPPF 202</w:t>
            </w:r>
            <w:r w:rsidR="004173E0">
              <w:rPr>
                <w:color w:val="auto"/>
                <w:sz w:val="20"/>
                <w:szCs w:val="20"/>
              </w:rPr>
              <w:t>3</w:t>
            </w:r>
            <w:r w:rsidRPr="00CE241F">
              <w:rPr>
                <w:color w:val="auto"/>
                <w:sz w:val="20"/>
                <w:szCs w:val="20"/>
              </w:rPr>
              <w:t>, Part 2 – Achieving Sustainable Development</w:t>
            </w:r>
          </w:p>
          <w:p w14:paraId="271E3664" w14:textId="5DE1477C" w:rsidR="00CE241F" w:rsidRPr="00CE241F" w:rsidRDefault="00CE241F" w:rsidP="00874A98">
            <w:pPr>
              <w:keepNext w:val="0"/>
              <w:numPr>
                <w:ilvl w:val="0"/>
                <w:numId w:val="293"/>
              </w:numPr>
              <w:spacing w:before="0"/>
              <w:contextualSpacing/>
              <w:jc w:val="left"/>
              <w:rPr>
                <w:color w:val="auto"/>
                <w:sz w:val="20"/>
                <w:szCs w:val="20"/>
              </w:rPr>
            </w:pPr>
            <w:r w:rsidRPr="00CE241F">
              <w:rPr>
                <w:color w:val="auto"/>
                <w:sz w:val="20"/>
                <w:szCs w:val="20"/>
              </w:rPr>
              <w:t>NPPF 202</w:t>
            </w:r>
            <w:r w:rsidR="004173E0">
              <w:rPr>
                <w:color w:val="auto"/>
                <w:sz w:val="20"/>
                <w:szCs w:val="20"/>
              </w:rPr>
              <w:t>3</w:t>
            </w:r>
            <w:r w:rsidRPr="00CE241F">
              <w:rPr>
                <w:color w:val="auto"/>
                <w:sz w:val="20"/>
                <w:szCs w:val="20"/>
              </w:rPr>
              <w:t>, Part 12 – Achieving Well Designed Places</w:t>
            </w:r>
          </w:p>
          <w:p w14:paraId="4D195299" w14:textId="54D90130" w:rsidR="00CE241F" w:rsidRPr="00595970" w:rsidRDefault="00CE241F" w:rsidP="00874A98">
            <w:pPr>
              <w:keepNext w:val="0"/>
              <w:numPr>
                <w:ilvl w:val="0"/>
                <w:numId w:val="293"/>
              </w:numPr>
              <w:spacing w:before="0"/>
              <w:contextualSpacing/>
              <w:jc w:val="left"/>
              <w:rPr>
                <w:color w:val="auto"/>
                <w:sz w:val="20"/>
                <w:szCs w:val="20"/>
              </w:rPr>
            </w:pPr>
            <w:r w:rsidRPr="00CE241F">
              <w:rPr>
                <w:color w:val="auto"/>
                <w:sz w:val="20"/>
                <w:szCs w:val="20"/>
              </w:rPr>
              <w:t xml:space="preserve">Planning Practice Guidance Design: Process and </w:t>
            </w:r>
            <w:r w:rsidRPr="00595970">
              <w:rPr>
                <w:color w:val="auto"/>
                <w:sz w:val="20"/>
                <w:szCs w:val="20"/>
              </w:rPr>
              <w:t xml:space="preserve">Tools as of </w:t>
            </w:r>
            <w:r w:rsidR="006B0C43" w:rsidRPr="00595970">
              <w:rPr>
                <w:color w:val="auto"/>
                <w:sz w:val="20"/>
                <w:szCs w:val="20"/>
              </w:rPr>
              <w:t>October 2019.</w:t>
            </w:r>
          </w:p>
          <w:p w14:paraId="5F82A13B" w14:textId="329AABEB" w:rsidR="00CE241F" w:rsidRPr="00CE241F" w:rsidRDefault="00CE241F" w:rsidP="00874A98">
            <w:pPr>
              <w:keepNext w:val="0"/>
              <w:numPr>
                <w:ilvl w:val="0"/>
                <w:numId w:val="293"/>
              </w:numPr>
              <w:spacing w:before="0"/>
              <w:contextualSpacing/>
              <w:jc w:val="left"/>
              <w:rPr>
                <w:color w:val="auto"/>
                <w:sz w:val="20"/>
                <w:szCs w:val="20"/>
              </w:rPr>
            </w:pPr>
            <w:r w:rsidRPr="00595970">
              <w:rPr>
                <w:color w:val="auto"/>
                <w:sz w:val="20"/>
                <w:szCs w:val="20"/>
              </w:rPr>
              <w:t>Planning Practice Guidance Neighbourhood Planning as of</w:t>
            </w:r>
            <w:r w:rsidR="006B0C43" w:rsidRPr="00595970">
              <w:rPr>
                <w:color w:val="auto"/>
                <w:sz w:val="20"/>
                <w:szCs w:val="20"/>
              </w:rPr>
              <w:t xml:space="preserve"> September 2020</w:t>
            </w:r>
            <w:r w:rsidRPr="00595970">
              <w:rPr>
                <w:color w:val="auto"/>
                <w:sz w:val="20"/>
                <w:szCs w:val="20"/>
              </w:rPr>
              <w:t>.</w:t>
            </w:r>
          </w:p>
        </w:tc>
      </w:tr>
    </w:tbl>
    <w:p w14:paraId="3852BD9A" w14:textId="77777777" w:rsidR="00CE241F" w:rsidRPr="00CE241F" w:rsidRDefault="00CE241F" w:rsidP="00CE241F">
      <w:pPr>
        <w:keepNext w:val="0"/>
        <w:spacing w:before="0" w:after="160" w:line="252" w:lineRule="auto"/>
        <w:jc w:val="both"/>
        <w:rPr>
          <w:rFonts w:eastAsia="Calibri"/>
          <w:color w:val="auto"/>
          <w:szCs w:val="22"/>
        </w:rPr>
      </w:pPr>
    </w:p>
    <w:p w14:paraId="7A4B09EF" w14:textId="41079583" w:rsidR="00CE241F" w:rsidRDefault="002E4099" w:rsidP="00CE241F">
      <w:pPr>
        <w:keepNext w:val="0"/>
        <w:numPr>
          <w:ilvl w:val="1"/>
          <w:numId w:val="7"/>
        </w:numPr>
        <w:tabs>
          <w:tab w:val="clear" w:pos="525"/>
        </w:tabs>
        <w:spacing w:before="0"/>
        <w:ind w:left="709" w:hanging="709"/>
        <w:rPr>
          <w:rFonts w:cs="Arial"/>
          <w:color w:val="auto"/>
          <w:szCs w:val="24"/>
          <w:lang w:eastAsia="en-US"/>
        </w:rPr>
      </w:pPr>
      <w:r w:rsidRPr="00CE241F">
        <w:rPr>
          <w:rFonts w:cs="Arial"/>
        </w:rPr>
        <w:t xml:space="preserve">The NPPF makes clear that creating high quality, beautiful and sustainable buildings and places is fundamental to what the planning and development process should achieve.  </w:t>
      </w:r>
      <w:r w:rsidR="00BB3FE6" w:rsidRPr="00CE241F">
        <w:rPr>
          <w:rFonts w:eastAsia="Arial" w:cs="Arial"/>
        </w:rPr>
        <w:t>As such, the Council will not accept designs for new development that are inappropriate to its context or do not take opportunities to improve the character and quality of an area</w:t>
      </w:r>
      <w:r w:rsidR="00CE241F">
        <w:rPr>
          <w:rFonts w:eastAsia="Arial" w:cs="Arial"/>
        </w:rPr>
        <w:t>.</w:t>
      </w:r>
    </w:p>
    <w:p w14:paraId="3E905AB1" w14:textId="77777777" w:rsidR="00CE241F" w:rsidRPr="00CE241F" w:rsidRDefault="00CE241F" w:rsidP="00CE241F">
      <w:pPr>
        <w:keepNext w:val="0"/>
        <w:spacing w:before="0"/>
        <w:ind w:left="709"/>
        <w:rPr>
          <w:rFonts w:cs="Arial"/>
          <w:color w:val="auto"/>
          <w:szCs w:val="24"/>
          <w:lang w:eastAsia="en-US"/>
        </w:rPr>
      </w:pPr>
    </w:p>
    <w:p w14:paraId="6883B9D0" w14:textId="2C4551CA" w:rsidR="00CE241F" w:rsidRDefault="001568F9" w:rsidP="00CE241F">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The NPPF is supported by a suite of planning practice guidance that is relevant to both design quality and quality in delivery, including the National Design </w:t>
      </w:r>
      <w:r w:rsidR="00B41221" w:rsidRPr="00CE241F">
        <w:rPr>
          <w:rFonts w:cs="Arial"/>
          <w:color w:val="auto"/>
          <w:szCs w:val="24"/>
          <w:lang w:eastAsia="en-US"/>
        </w:rPr>
        <w:t>Guide,</w:t>
      </w:r>
      <w:r w:rsidRPr="00CE241F">
        <w:rPr>
          <w:rFonts w:cs="Arial"/>
          <w:color w:val="auto"/>
          <w:szCs w:val="24"/>
          <w:lang w:eastAsia="en-US"/>
        </w:rPr>
        <w:t xml:space="preserve"> which illustrates how well-designed places that are beautiful, enduring and successful can be achieved in practice. </w:t>
      </w:r>
    </w:p>
    <w:p w14:paraId="563D683E" w14:textId="77777777" w:rsidR="00CE241F" w:rsidRDefault="00CE241F" w:rsidP="00CE241F">
      <w:pPr>
        <w:keepNext w:val="0"/>
        <w:spacing w:before="0"/>
        <w:rPr>
          <w:rFonts w:cs="Arial"/>
          <w:color w:val="auto"/>
          <w:szCs w:val="24"/>
          <w:lang w:eastAsia="en-US"/>
        </w:rPr>
      </w:pPr>
    </w:p>
    <w:p w14:paraId="55180507" w14:textId="482641C3" w:rsidR="00CE241F" w:rsidRPr="00CE241F" w:rsidRDefault="0030688C" w:rsidP="00CE241F">
      <w:pPr>
        <w:keepNext w:val="0"/>
        <w:spacing w:before="0"/>
        <w:ind w:left="709"/>
        <w:rPr>
          <w:rFonts w:cs="Arial"/>
          <w:color w:val="auto"/>
          <w:szCs w:val="24"/>
          <w:lang w:eastAsia="en-US"/>
        </w:rPr>
      </w:pPr>
      <w:r w:rsidRPr="00CE241F">
        <w:rPr>
          <w:rFonts w:cs="Arial"/>
          <w:b/>
          <w:bCs/>
          <w:color w:val="auto"/>
          <w:szCs w:val="24"/>
          <w:lang w:eastAsia="en-US"/>
        </w:rPr>
        <w:t>Development Form</w:t>
      </w:r>
      <w:r w:rsidR="001568F9" w:rsidRPr="00CE241F">
        <w:rPr>
          <w:rFonts w:cs="Arial"/>
          <w:b/>
          <w:bCs/>
          <w:color w:val="auto"/>
          <w:szCs w:val="24"/>
          <w:lang w:eastAsia="en-US"/>
        </w:rPr>
        <w:t xml:space="preserve"> </w:t>
      </w:r>
    </w:p>
    <w:p w14:paraId="6A393CB7" w14:textId="30DB2CB2" w:rsidR="00CE241F" w:rsidRDefault="001568F9" w:rsidP="00CE241F">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In terms of place making the quality of places has a major influence on the quality of life for people living and working in the district. Through high quality and sustainable design developers should be able to create strong, </w:t>
      </w:r>
      <w:proofErr w:type="gramStart"/>
      <w:r w:rsidRPr="00CE241F">
        <w:rPr>
          <w:rFonts w:cs="Arial"/>
          <w:color w:val="auto"/>
          <w:szCs w:val="24"/>
          <w:lang w:eastAsia="en-US"/>
        </w:rPr>
        <w:t>locally-distinctive</w:t>
      </w:r>
      <w:proofErr w:type="gramEnd"/>
      <w:r w:rsidRPr="00CE241F">
        <w:rPr>
          <w:rFonts w:cs="Arial"/>
          <w:color w:val="auto"/>
          <w:szCs w:val="24"/>
          <w:lang w:eastAsia="en-US"/>
        </w:rPr>
        <w:t xml:space="preserve"> places that are safe, inclusive and accessible to all, that promote social interaction and a healthy and active lifestyle.</w:t>
      </w:r>
    </w:p>
    <w:p w14:paraId="634E77F0" w14:textId="77777777" w:rsidR="00CE241F" w:rsidRDefault="00CE241F" w:rsidP="00CE241F">
      <w:pPr>
        <w:keepNext w:val="0"/>
        <w:spacing w:before="0"/>
        <w:ind w:left="709"/>
        <w:rPr>
          <w:rFonts w:cs="Arial"/>
          <w:color w:val="auto"/>
          <w:szCs w:val="24"/>
          <w:lang w:eastAsia="en-US"/>
        </w:rPr>
      </w:pPr>
    </w:p>
    <w:p w14:paraId="75B30E9F" w14:textId="2CDBF45E" w:rsidR="00CE241F" w:rsidRDefault="00EA7D34" w:rsidP="00CE241F">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To</w:t>
      </w:r>
      <w:r w:rsidR="001568F9" w:rsidRPr="00CE241F">
        <w:rPr>
          <w:rFonts w:cs="Arial"/>
          <w:color w:val="auto"/>
          <w:szCs w:val="24"/>
          <w:lang w:eastAsia="en-US"/>
        </w:rPr>
        <w:t xml:space="preserve"> ensure development </w:t>
      </w:r>
      <w:r w:rsidR="009D1815" w:rsidRPr="00CE241F">
        <w:rPr>
          <w:rFonts w:cs="Arial"/>
          <w:color w:val="auto"/>
          <w:szCs w:val="24"/>
          <w:lang w:eastAsia="en-US"/>
        </w:rPr>
        <w:t>proposals,</w:t>
      </w:r>
      <w:r w:rsidR="001568F9" w:rsidRPr="00CE241F">
        <w:rPr>
          <w:rFonts w:cs="Arial"/>
          <w:color w:val="auto"/>
          <w:szCs w:val="24"/>
          <w:lang w:eastAsia="en-US"/>
        </w:rPr>
        <w:t xml:space="preserve"> represent high quality design the Council encourages architects and designers to take appropriate design cues from the character and architecture of the surrounding area. Where appropriate, this should include the use of locally produced or recycled materials, to aid integration</w:t>
      </w:r>
      <w:r w:rsidR="00CE241F">
        <w:rPr>
          <w:rFonts w:cs="Arial"/>
          <w:color w:val="auto"/>
          <w:szCs w:val="24"/>
          <w:lang w:eastAsia="en-US"/>
        </w:rPr>
        <w:t>.</w:t>
      </w:r>
    </w:p>
    <w:p w14:paraId="28338AAA" w14:textId="77777777" w:rsidR="00CE241F" w:rsidRDefault="00CE241F" w:rsidP="00CE241F">
      <w:pPr>
        <w:keepNext w:val="0"/>
        <w:spacing w:before="0"/>
        <w:rPr>
          <w:rFonts w:cs="Arial"/>
          <w:color w:val="auto"/>
          <w:szCs w:val="24"/>
          <w:lang w:eastAsia="en-US"/>
        </w:rPr>
      </w:pPr>
    </w:p>
    <w:p w14:paraId="4F9A7616" w14:textId="7622B387" w:rsidR="00CE241F" w:rsidRDefault="001568F9" w:rsidP="00CE241F">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The components of a development, including its integration with its surroundings and its mix, layout and form, will be assessed to ensure that development makes a </w:t>
      </w:r>
      <w:r w:rsidRPr="00CE241F">
        <w:rPr>
          <w:rFonts w:cs="Arial"/>
          <w:color w:val="auto"/>
          <w:szCs w:val="24"/>
          <w:lang w:eastAsia="en-US"/>
        </w:rPr>
        <w:lastRenderedPageBreak/>
        <w:t xml:space="preserve">positive contribution to achieving the qualities of a successful place.  Considered layouts aid effective movement and providing the opportunity to utilise solar gain through building orientation. </w:t>
      </w:r>
    </w:p>
    <w:p w14:paraId="2C4E28EC" w14:textId="77777777" w:rsidR="00CE241F" w:rsidRPr="00CE241F" w:rsidRDefault="00CE241F" w:rsidP="00CE241F">
      <w:pPr>
        <w:keepNext w:val="0"/>
        <w:spacing w:before="0"/>
        <w:rPr>
          <w:rFonts w:cs="Arial"/>
          <w:color w:val="auto"/>
          <w:szCs w:val="24"/>
          <w:lang w:eastAsia="en-US"/>
        </w:rPr>
      </w:pPr>
    </w:p>
    <w:p w14:paraId="7A708AA7" w14:textId="77777777" w:rsidR="00CE241F" w:rsidRDefault="001568F9" w:rsidP="00CE241F">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Inclusiveness and accessibility need to be considered from an early stage of design, preferably including consultation with a wide range of potential users.</w:t>
      </w:r>
    </w:p>
    <w:p w14:paraId="4A84159D" w14:textId="77777777" w:rsidR="00CE241F" w:rsidRPr="00CE241F" w:rsidRDefault="00CE241F" w:rsidP="00CE241F">
      <w:pPr>
        <w:rPr>
          <w:rFonts w:cs="Arial"/>
          <w:color w:val="auto"/>
          <w:szCs w:val="24"/>
        </w:rPr>
      </w:pPr>
    </w:p>
    <w:p w14:paraId="6645FF50" w14:textId="77777777" w:rsidR="00CE241F" w:rsidRDefault="001568F9" w:rsidP="00CE241F">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A Design and Access Statement should be submitted for all relevant proposals that describes the design approach undertaken including how it has utilised an appropriate character assessment to inform the proposal’s design. Such an assessment should consider and appraise </w:t>
      </w:r>
      <w:proofErr w:type="gramStart"/>
      <w:r w:rsidRPr="00CE241F">
        <w:rPr>
          <w:rFonts w:cs="Arial"/>
          <w:color w:val="auto"/>
          <w:szCs w:val="24"/>
          <w:lang w:eastAsia="en-US"/>
        </w:rPr>
        <w:t>a number of</w:t>
      </w:r>
      <w:proofErr w:type="gramEnd"/>
      <w:r w:rsidRPr="00CE241F">
        <w:rPr>
          <w:rFonts w:cs="Arial"/>
          <w:color w:val="auto"/>
          <w:szCs w:val="24"/>
          <w:lang w:eastAsia="en-US"/>
        </w:rPr>
        <w:t xml:space="preserve"> elements within the surrounding area including orientation of buildings, their scale and mass, height, architectural styles, periods and detailing, access and parking arrangements, plot widths and size, landscape form, street and building lines and materials. Architects and designers should then utilise these characteristics to influence the form of their design, to help ensure the visual connection to its surroundings. </w:t>
      </w:r>
    </w:p>
    <w:p w14:paraId="26608DE9" w14:textId="77777777" w:rsidR="00CE241F" w:rsidRPr="00CE241F" w:rsidRDefault="00CE241F" w:rsidP="00CE241F">
      <w:pPr>
        <w:rPr>
          <w:rFonts w:cs="Arial"/>
          <w:color w:val="auto"/>
          <w:szCs w:val="24"/>
        </w:rPr>
      </w:pPr>
    </w:p>
    <w:p w14:paraId="6D7F28E1" w14:textId="77777777" w:rsidR="00CE241F" w:rsidRDefault="001568F9" w:rsidP="006977E7">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Whilst acknowledging local character is important, this does not mean new development must be a pastiche of existing buildings. The Council will consider, and where appropriate promote contemporary designs that effectively respond to a site’s constraints, promote innovation and make a positive contribution to the surrounding area.  </w:t>
      </w:r>
    </w:p>
    <w:p w14:paraId="4250281D" w14:textId="77777777" w:rsidR="00CE241F" w:rsidRPr="00CE241F" w:rsidRDefault="00CE241F" w:rsidP="006977E7">
      <w:pPr>
        <w:spacing w:before="0"/>
        <w:rPr>
          <w:rFonts w:cs="Arial"/>
          <w:color w:val="auto"/>
          <w:szCs w:val="24"/>
        </w:rPr>
      </w:pPr>
    </w:p>
    <w:p w14:paraId="7482DBBC" w14:textId="77777777" w:rsidR="00CE241F" w:rsidRDefault="001568F9" w:rsidP="006977E7">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Existing character areas are areas which are important because of their similar characteristics and the contribution they make collectively to the local environment. These may be historical areas, areas with a particular character of buildings, areas with a particular layout, or areas where established soft landscaping is particularly important, such as tree lined avenues and mature hedgerows.  </w:t>
      </w:r>
    </w:p>
    <w:p w14:paraId="5B34BA26" w14:textId="77777777" w:rsidR="00CE241F" w:rsidRPr="00CE241F" w:rsidRDefault="00CE241F" w:rsidP="006977E7">
      <w:pPr>
        <w:spacing w:before="0"/>
        <w:rPr>
          <w:rFonts w:cs="Arial"/>
          <w:color w:val="auto"/>
          <w:szCs w:val="24"/>
        </w:rPr>
      </w:pPr>
    </w:p>
    <w:p w14:paraId="23181509" w14:textId="77777777" w:rsidR="00CE241F" w:rsidRDefault="001568F9" w:rsidP="006977E7">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In mixed character areas, where there is a greater variety in character, contextual features are likely to be diverse. This may allow for a more flexible architectural approach, albeit one which still follows the key components of design such as building line, widths, height and scale.  </w:t>
      </w:r>
    </w:p>
    <w:p w14:paraId="6DEBC1AC" w14:textId="77777777" w:rsidR="00CE241F" w:rsidRPr="00CE241F" w:rsidRDefault="00CE241F" w:rsidP="006977E7">
      <w:pPr>
        <w:spacing w:before="0"/>
        <w:rPr>
          <w:rFonts w:cs="Arial"/>
          <w:color w:val="auto"/>
          <w:szCs w:val="24"/>
        </w:rPr>
      </w:pPr>
    </w:p>
    <w:p w14:paraId="630DBCD7" w14:textId="17E249E6" w:rsidR="00CE241F" w:rsidRDefault="001568F9" w:rsidP="006977E7">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In fragmented character areas, where the context is less cohesive or undesirable, the response can be more creative. This can help in achieving a new character for the </w:t>
      </w:r>
      <w:r w:rsidR="00EA7D34" w:rsidRPr="00CE241F">
        <w:rPr>
          <w:rFonts w:cs="Arial"/>
          <w:color w:val="auto"/>
          <w:szCs w:val="24"/>
          <w:lang w:eastAsia="en-US"/>
        </w:rPr>
        <w:t>area but</w:t>
      </w:r>
      <w:r w:rsidRPr="00CE241F">
        <w:rPr>
          <w:rFonts w:cs="Arial"/>
          <w:color w:val="auto"/>
          <w:szCs w:val="24"/>
          <w:lang w:eastAsia="en-US"/>
        </w:rPr>
        <w:t xml:space="preserve"> should still respond to the basic characteristics of the site such as topography or natural features.</w:t>
      </w:r>
    </w:p>
    <w:p w14:paraId="21127387" w14:textId="77777777" w:rsidR="00CE241F" w:rsidRPr="00CE241F" w:rsidRDefault="00CE241F" w:rsidP="006977E7">
      <w:pPr>
        <w:spacing w:before="0"/>
        <w:rPr>
          <w:rFonts w:cs="Arial"/>
          <w:b/>
          <w:bCs/>
          <w:color w:val="auto"/>
          <w:szCs w:val="24"/>
        </w:rPr>
      </w:pPr>
    </w:p>
    <w:p w14:paraId="5CD84549" w14:textId="053D1D7F" w:rsidR="00CE241F" w:rsidRPr="00CE241F" w:rsidRDefault="001568F9" w:rsidP="006977E7">
      <w:pPr>
        <w:keepNext w:val="0"/>
        <w:spacing w:before="0"/>
        <w:ind w:left="709"/>
        <w:rPr>
          <w:rFonts w:cs="Arial"/>
          <w:color w:val="auto"/>
          <w:szCs w:val="24"/>
          <w:lang w:eastAsia="en-US"/>
        </w:rPr>
      </w:pPr>
      <w:r w:rsidRPr="00CE241F">
        <w:rPr>
          <w:rFonts w:cs="Arial"/>
          <w:b/>
          <w:bCs/>
          <w:color w:val="auto"/>
          <w:szCs w:val="24"/>
          <w:lang w:eastAsia="en-US"/>
        </w:rPr>
        <w:t>Infill Developments</w:t>
      </w:r>
    </w:p>
    <w:p w14:paraId="2FA3FF66" w14:textId="3D034CC8" w:rsidR="00CE241F" w:rsidRDefault="001568F9" w:rsidP="00CE241F">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Any proposal for infill development should be of a comparable scale, character and size to surrounding properties. The Council defines limited</w:t>
      </w:r>
      <w:r w:rsidR="00F515E4" w:rsidRPr="00CE241F">
        <w:rPr>
          <w:rFonts w:cs="Arial"/>
          <w:color w:val="auto"/>
          <w:szCs w:val="24"/>
          <w:lang w:eastAsia="en-US"/>
        </w:rPr>
        <w:t xml:space="preserve"> </w:t>
      </w:r>
      <w:r w:rsidRPr="00CE241F">
        <w:rPr>
          <w:rFonts w:cs="Arial"/>
          <w:color w:val="auto"/>
          <w:szCs w:val="24"/>
          <w:lang w:eastAsia="en-US"/>
        </w:rPr>
        <w:t xml:space="preserve">infill development as the completion of an otherwise substantially </w:t>
      </w:r>
      <w:r w:rsidR="009D1C50" w:rsidRPr="00CE241F">
        <w:rPr>
          <w:rFonts w:cs="Arial"/>
          <w:color w:val="auto"/>
          <w:szCs w:val="24"/>
          <w:lang w:eastAsia="en-US"/>
        </w:rPr>
        <w:t>built-up</w:t>
      </w:r>
      <w:r w:rsidRPr="00CE241F">
        <w:rPr>
          <w:rFonts w:cs="Arial"/>
          <w:color w:val="auto"/>
          <w:szCs w:val="24"/>
          <w:lang w:eastAsia="en-US"/>
        </w:rPr>
        <w:t xml:space="preserve"> frontage by the filling of a small gap normally capable of taking one or two dwellings only. A substantial </w:t>
      </w:r>
      <w:r w:rsidR="009D1C50" w:rsidRPr="00CE241F">
        <w:rPr>
          <w:rFonts w:cs="Arial"/>
          <w:color w:val="auto"/>
          <w:szCs w:val="24"/>
          <w:lang w:eastAsia="en-US"/>
        </w:rPr>
        <w:t>built-up</w:t>
      </w:r>
      <w:r w:rsidRPr="00CE241F">
        <w:rPr>
          <w:rFonts w:cs="Arial"/>
          <w:color w:val="auto"/>
          <w:szCs w:val="24"/>
          <w:lang w:eastAsia="en-US"/>
        </w:rPr>
        <w:t xml:space="preserve"> frontage is defined as an otherwise continuous and largely uninterrupted built frontage of several dwellings visible within the street scene. Not all gaps within </w:t>
      </w:r>
      <w:r w:rsidRPr="00CE241F">
        <w:rPr>
          <w:rFonts w:cs="Arial"/>
          <w:color w:val="auto"/>
          <w:szCs w:val="24"/>
          <w:lang w:eastAsia="en-US"/>
        </w:rPr>
        <w:lastRenderedPageBreak/>
        <w:t>existing development are suitable for infill development, particularly where these are not in sustainable locations.</w:t>
      </w:r>
    </w:p>
    <w:p w14:paraId="5A7A3664" w14:textId="77777777" w:rsidR="00CE241F" w:rsidRDefault="00CE241F" w:rsidP="00CE241F">
      <w:pPr>
        <w:keepNext w:val="0"/>
        <w:spacing w:before="0"/>
        <w:ind w:left="709"/>
        <w:rPr>
          <w:rFonts w:cs="Arial"/>
          <w:color w:val="auto"/>
          <w:szCs w:val="24"/>
          <w:lang w:eastAsia="en-US"/>
        </w:rPr>
      </w:pPr>
    </w:p>
    <w:p w14:paraId="13C897CB" w14:textId="4189B1E3" w:rsidR="00CE241F" w:rsidRPr="00CE241F" w:rsidRDefault="001568F9" w:rsidP="00CE241F">
      <w:pPr>
        <w:keepNext w:val="0"/>
        <w:spacing w:before="0"/>
        <w:ind w:left="709"/>
        <w:rPr>
          <w:rFonts w:cs="Arial"/>
          <w:color w:val="auto"/>
          <w:szCs w:val="24"/>
          <w:lang w:eastAsia="en-US"/>
        </w:rPr>
      </w:pPr>
      <w:r w:rsidRPr="00CE241F">
        <w:rPr>
          <w:rFonts w:cs="Arial"/>
          <w:b/>
          <w:bCs/>
          <w:color w:val="auto"/>
          <w:szCs w:val="24"/>
          <w:lang w:eastAsia="en-US"/>
        </w:rPr>
        <w:t xml:space="preserve">Movement, Public Realm &amp; Open Space </w:t>
      </w:r>
    </w:p>
    <w:p w14:paraId="7F3F8A6D" w14:textId="43AE6A03" w:rsidR="00CE241F" w:rsidRDefault="001568F9" w:rsidP="00CE241F">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Coupled with a well-designed building, public realm plays an important role in the urban and rural environment, creating spaces for public interaction, amenity and movement. Public realm can also provide biodiversity benefits, flooding infrastructure and solar shading.</w:t>
      </w:r>
    </w:p>
    <w:p w14:paraId="1525DD05" w14:textId="77777777" w:rsidR="00CE241F" w:rsidRDefault="00CE241F" w:rsidP="00CE241F">
      <w:pPr>
        <w:keepNext w:val="0"/>
        <w:spacing w:before="0"/>
        <w:ind w:left="709"/>
        <w:rPr>
          <w:rFonts w:cs="Arial"/>
          <w:color w:val="auto"/>
          <w:szCs w:val="24"/>
          <w:lang w:eastAsia="en-US"/>
        </w:rPr>
      </w:pPr>
    </w:p>
    <w:p w14:paraId="4BB38A0A" w14:textId="5D3CAA73" w:rsidR="00CE241F" w:rsidRDefault="001568F9" w:rsidP="006977E7">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Public realm comprises a range of streets, squares and spaces much of which we interactive with </w:t>
      </w:r>
      <w:proofErr w:type="gramStart"/>
      <w:r w:rsidRPr="00CE241F">
        <w:rPr>
          <w:rFonts w:cs="Arial"/>
          <w:color w:val="auto"/>
          <w:szCs w:val="24"/>
          <w:lang w:eastAsia="en-US"/>
        </w:rPr>
        <w:t>on a daily basis</w:t>
      </w:r>
      <w:proofErr w:type="gramEnd"/>
      <w:r w:rsidRPr="00CE241F">
        <w:rPr>
          <w:rFonts w:cs="Arial"/>
          <w:color w:val="auto"/>
          <w:szCs w:val="24"/>
          <w:lang w:eastAsia="en-US"/>
        </w:rPr>
        <w:t xml:space="preserve">. Attractive and </w:t>
      </w:r>
      <w:r w:rsidR="009D1C50" w:rsidRPr="00CE241F">
        <w:rPr>
          <w:rFonts w:cs="Arial"/>
          <w:color w:val="auto"/>
          <w:szCs w:val="24"/>
          <w:lang w:eastAsia="en-US"/>
        </w:rPr>
        <w:t>well-designed</w:t>
      </w:r>
      <w:r w:rsidRPr="00CE241F">
        <w:rPr>
          <w:rFonts w:cs="Arial"/>
          <w:color w:val="auto"/>
          <w:szCs w:val="24"/>
          <w:lang w:eastAsia="en-US"/>
        </w:rPr>
        <w:t xml:space="preserve"> environments can help attract inward investment and users to a town centre; encourage sustainable forms of travel; promote health activity; and discourage antisocial behaviour and crime. It is therefore important that such spaces are designed to function well, whilst complementing and enhancing their surroundings. They should be appropriately located and surveyed from surrounding properties / uses. </w:t>
      </w:r>
    </w:p>
    <w:p w14:paraId="41C38EE1" w14:textId="77777777" w:rsidR="00CE241F" w:rsidRPr="00CE241F" w:rsidRDefault="00CE241F" w:rsidP="006977E7">
      <w:pPr>
        <w:spacing w:before="0"/>
        <w:rPr>
          <w:rFonts w:cs="Arial"/>
          <w:color w:val="auto"/>
          <w:szCs w:val="24"/>
        </w:rPr>
      </w:pPr>
    </w:p>
    <w:p w14:paraId="4B0CF27E" w14:textId="1F491255" w:rsidR="00CE241F" w:rsidRDefault="001568F9" w:rsidP="006977E7">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In designing new streets, development proposals should apply standards and guidance from Manual for Streets, which sets out guidance for residential street design and aims to ensure streets are places that people want to spend time in, rather than just transport corridors.</w:t>
      </w:r>
    </w:p>
    <w:p w14:paraId="4ABFB6EC" w14:textId="77777777" w:rsidR="00CE241F" w:rsidRPr="00CE241F" w:rsidRDefault="00CE241F" w:rsidP="006977E7">
      <w:pPr>
        <w:spacing w:before="0"/>
        <w:rPr>
          <w:rFonts w:cs="Arial"/>
          <w:color w:val="auto"/>
          <w:szCs w:val="24"/>
        </w:rPr>
      </w:pPr>
    </w:p>
    <w:p w14:paraId="4B318153" w14:textId="3ACB4F85" w:rsidR="00CE241F" w:rsidRDefault="001568F9" w:rsidP="006977E7">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The quality of materials play an important role in the effectiveness of public realm, creating attractive spaces that invite safe use. The Council will therefore require new development to design its public realm with an appropriate palette of </w:t>
      </w:r>
      <w:r w:rsidR="009D1C50" w:rsidRPr="00CE241F">
        <w:rPr>
          <w:rFonts w:cs="Arial"/>
          <w:color w:val="auto"/>
          <w:szCs w:val="24"/>
          <w:lang w:eastAsia="en-US"/>
        </w:rPr>
        <w:t>high-quality</w:t>
      </w:r>
      <w:r w:rsidRPr="00CE241F">
        <w:rPr>
          <w:rFonts w:cs="Arial"/>
          <w:color w:val="auto"/>
          <w:szCs w:val="24"/>
          <w:lang w:eastAsia="en-US"/>
        </w:rPr>
        <w:t xml:space="preserve"> materials that seek to enhance the environment. Proposals should apply a mix of hard and soft landscaping, appropriate to the setting. Wherever possible, and particularly in relation to large scale developments, a landscaping framework utilising native species should be provided, reflecting the objectives of the Public Open Space Strategy. Proposal should also effectively use and enhance existing landscape features such as mature trees, hedgerows and </w:t>
      </w:r>
      <w:proofErr w:type="gramStart"/>
      <w:r w:rsidRPr="00CE241F">
        <w:rPr>
          <w:rFonts w:cs="Arial"/>
          <w:color w:val="auto"/>
          <w:szCs w:val="24"/>
          <w:lang w:eastAsia="en-US"/>
        </w:rPr>
        <w:t>land forms</w:t>
      </w:r>
      <w:proofErr w:type="gramEnd"/>
      <w:r w:rsidRPr="00CE241F">
        <w:rPr>
          <w:rFonts w:cs="Arial"/>
          <w:color w:val="auto"/>
          <w:szCs w:val="24"/>
          <w:lang w:eastAsia="en-US"/>
        </w:rPr>
        <w:t xml:space="preserve"> to help add character to the development and increase opportunities for wildlife.</w:t>
      </w:r>
    </w:p>
    <w:p w14:paraId="453B3D18" w14:textId="77777777" w:rsidR="00CE241F" w:rsidRDefault="00CE241F" w:rsidP="006977E7">
      <w:pPr>
        <w:pStyle w:val="ListParagraph"/>
        <w:spacing w:after="0" w:line="240" w:lineRule="auto"/>
        <w:rPr>
          <w:rFonts w:cs="Arial"/>
          <w:color w:val="auto"/>
          <w:szCs w:val="24"/>
        </w:rPr>
      </w:pPr>
    </w:p>
    <w:p w14:paraId="6C2C698B" w14:textId="7B0A0618" w:rsidR="00CE241F" w:rsidRPr="00CE241F" w:rsidRDefault="001568F9" w:rsidP="006977E7">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Planting that blends with its surroundings, contributes positively to the creation of a sustainable quality environment. It also mitigates against the impacts of climate change, facilitate health and wellbeing and enhance the character and appearance of the </w:t>
      </w:r>
      <w:proofErr w:type="gramStart"/>
      <w:r w:rsidRPr="00CE241F">
        <w:rPr>
          <w:rFonts w:cs="Arial"/>
          <w:color w:val="auto"/>
          <w:szCs w:val="24"/>
          <w:lang w:eastAsia="en-US"/>
        </w:rPr>
        <w:t>District</w:t>
      </w:r>
      <w:proofErr w:type="gramEnd"/>
      <w:r w:rsidRPr="00CE241F">
        <w:rPr>
          <w:rFonts w:cs="Arial"/>
          <w:color w:val="auto"/>
          <w:szCs w:val="24"/>
          <w:lang w:eastAsia="en-US"/>
        </w:rPr>
        <w:t>. Design considerations for new planting should:</w:t>
      </w:r>
    </w:p>
    <w:p w14:paraId="27A5C9D8" w14:textId="77777777" w:rsidR="00CE241F" w:rsidRPr="00CE241F" w:rsidRDefault="00CE241F" w:rsidP="006977E7">
      <w:pPr>
        <w:keepNext w:val="0"/>
        <w:spacing w:before="0"/>
        <w:rPr>
          <w:rFonts w:cs="Arial"/>
          <w:color w:val="auto"/>
          <w:szCs w:val="24"/>
          <w:lang w:eastAsia="en-US"/>
        </w:rPr>
      </w:pPr>
    </w:p>
    <w:p w14:paraId="3284BBA0" w14:textId="42B7A111" w:rsidR="00CE241F" w:rsidRDefault="00CE241F" w:rsidP="00874A98">
      <w:pPr>
        <w:pStyle w:val="ListParagraph"/>
        <w:numPr>
          <w:ilvl w:val="0"/>
          <w:numId w:val="294"/>
        </w:numPr>
        <w:spacing w:after="0" w:line="240" w:lineRule="auto"/>
        <w:rPr>
          <w:rFonts w:ascii="Arial" w:hAnsi="Arial" w:cs="Arial"/>
          <w:color w:val="auto"/>
          <w:szCs w:val="24"/>
        </w:rPr>
      </w:pPr>
      <w:r w:rsidRPr="00CE241F">
        <w:rPr>
          <w:rFonts w:ascii="Arial" w:hAnsi="Arial" w:cs="Arial"/>
          <w:color w:val="auto"/>
          <w:szCs w:val="24"/>
        </w:rPr>
        <w:t>ensure the continuance of tree cover by incorporating a mix of existing trees and new planting in the design.</w:t>
      </w:r>
    </w:p>
    <w:p w14:paraId="19AAD814" w14:textId="77777777" w:rsidR="00CE241F" w:rsidRPr="00CE241F" w:rsidRDefault="00CE241F" w:rsidP="00CE241F">
      <w:pPr>
        <w:pStyle w:val="ListParagraph"/>
        <w:spacing w:after="0" w:line="240" w:lineRule="auto"/>
        <w:ind w:left="1069"/>
        <w:rPr>
          <w:rFonts w:ascii="Arial" w:hAnsi="Arial" w:cs="Arial"/>
          <w:color w:val="auto"/>
          <w:szCs w:val="24"/>
        </w:rPr>
      </w:pPr>
    </w:p>
    <w:p w14:paraId="22559856" w14:textId="1F92194A" w:rsidR="00CE241F" w:rsidRDefault="00CE241F" w:rsidP="00874A98">
      <w:pPr>
        <w:pStyle w:val="ListParagraph"/>
        <w:numPr>
          <w:ilvl w:val="0"/>
          <w:numId w:val="294"/>
        </w:numPr>
        <w:spacing w:after="0" w:line="240" w:lineRule="auto"/>
        <w:rPr>
          <w:rFonts w:ascii="Arial" w:hAnsi="Arial" w:cs="Arial"/>
          <w:color w:val="auto"/>
          <w:szCs w:val="24"/>
        </w:rPr>
      </w:pPr>
      <w:r w:rsidRPr="00CE241F">
        <w:rPr>
          <w:rFonts w:ascii="Arial" w:hAnsi="Arial" w:cs="Arial"/>
          <w:color w:val="auto"/>
          <w:szCs w:val="24"/>
        </w:rPr>
        <w:t>design for a hierarchy of different types of planting including avenue planting, trees in gardens, boundary planting and open space planting.</w:t>
      </w:r>
    </w:p>
    <w:p w14:paraId="42E0EC2C" w14:textId="77777777" w:rsidR="00CE241F" w:rsidRPr="00CE241F" w:rsidRDefault="00CE241F" w:rsidP="00CE241F">
      <w:pPr>
        <w:pStyle w:val="ListParagraph"/>
        <w:spacing w:after="0" w:line="240" w:lineRule="auto"/>
        <w:ind w:left="1069"/>
        <w:rPr>
          <w:rFonts w:ascii="Arial" w:hAnsi="Arial" w:cs="Arial"/>
          <w:color w:val="auto"/>
          <w:szCs w:val="24"/>
        </w:rPr>
      </w:pPr>
    </w:p>
    <w:p w14:paraId="6279C150" w14:textId="2E735028" w:rsidR="00CE241F" w:rsidRPr="00CE241F" w:rsidRDefault="00CE241F" w:rsidP="00874A98">
      <w:pPr>
        <w:pStyle w:val="ListParagraph"/>
        <w:numPr>
          <w:ilvl w:val="0"/>
          <w:numId w:val="294"/>
        </w:numPr>
        <w:spacing w:after="0" w:line="240" w:lineRule="auto"/>
        <w:rPr>
          <w:rFonts w:ascii="Arial" w:hAnsi="Arial" w:cs="Arial"/>
          <w:color w:val="auto"/>
          <w:szCs w:val="24"/>
        </w:rPr>
      </w:pPr>
      <w:r w:rsidRPr="00CE241F">
        <w:rPr>
          <w:rFonts w:ascii="Arial" w:hAnsi="Arial" w:cs="Arial"/>
          <w:color w:val="auto"/>
          <w:szCs w:val="24"/>
        </w:rPr>
        <w:t>consider the size and species of trees to be planted. Often a mixture of sizes is best. Planting larger trees creates an instant effect but young trees and whips transplant better and will develop faster.</w:t>
      </w:r>
    </w:p>
    <w:p w14:paraId="73FA068E" w14:textId="77777777" w:rsidR="00CE241F" w:rsidRPr="00CE241F" w:rsidRDefault="00CE241F" w:rsidP="00CE241F">
      <w:pPr>
        <w:keepNext w:val="0"/>
        <w:spacing w:before="0"/>
        <w:rPr>
          <w:rFonts w:cs="Arial"/>
          <w:color w:val="auto"/>
          <w:szCs w:val="24"/>
          <w:lang w:eastAsia="en-US"/>
        </w:rPr>
      </w:pPr>
    </w:p>
    <w:p w14:paraId="59DA7663" w14:textId="77777777" w:rsidR="00CE241F" w:rsidRPr="00CE241F" w:rsidRDefault="00CE241F" w:rsidP="00CE241F">
      <w:pPr>
        <w:keepNext w:val="0"/>
        <w:spacing w:before="0"/>
        <w:ind w:left="709"/>
        <w:rPr>
          <w:rFonts w:cs="Arial"/>
          <w:color w:val="auto"/>
          <w:szCs w:val="24"/>
          <w:lang w:eastAsia="en-US"/>
        </w:rPr>
      </w:pPr>
      <w:r w:rsidRPr="00CE241F">
        <w:rPr>
          <w:rFonts w:cs="Arial"/>
          <w:color w:val="auto"/>
          <w:szCs w:val="24"/>
          <w:lang w:eastAsia="en-US"/>
        </w:rPr>
        <w:lastRenderedPageBreak/>
        <w:t>Major development proposals should provide for the planting and maintenance of street trees of appropriate species at intervals appropriate to the site, except where the site’s location requires a clearly building-dominated design approach that would be prejudiced by the inclusion of street trees.</w:t>
      </w:r>
    </w:p>
    <w:p w14:paraId="7ED9EF0E" w14:textId="77777777" w:rsidR="00CE241F" w:rsidRPr="00CE241F" w:rsidRDefault="00CE241F" w:rsidP="00CE241F">
      <w:pPr>
        <w:rPr>
          <w:rFonts w:cs="Arial"/>
          <w:b/>
          <w:bCs/>
          <w:color w:val="auto"/>
          <w:szCs w:val="24"/>
        </w:rPr>
      </w:pPr>
    </w:p>
    <w:p w14:paraId="7418B218" w14:textId="77777777" w:rsidR="00CE241F" w:rsidRDefault="001568F9" w:rsidP="00CE241F">
      <w:pPr>
        <w:keepNext w:val="0"/>
        <w:spacing w:before="0"/>
        <w:ind w:left="709"/>
        <w:rPr>
          <w:rFonts w:cs="Arial"/>
          <w:color w:val="auto"/>
          <w:szCs w:val="24"/>
          <w:lang w:eastAsia="en-US"/>
        </w:rPr>
      </w:pPr>
      <w:r w:rsidRPr="00CE241F">
        <w:rPr>
          <w:rFonts w:cs="Arial"/>
          <w:b/>
          <w:bCs/>
          <w:color w:val="auto"/>
          <w:szCs w:val="24"/>
          <w:lang w:eastAsia="en-US"/>
        </w:rPr>
        <w:t>S</w:t>
      </w:r>
      <w:r w:rsidR="0030688C" w:rsidRPr="00CE241F">
        <w:rPr>
          <w:rFonts w:cs="Arial"/>
          <w:b/>
          <w:bCs/>
          <w:color w:val="auto"/>
          <w:szCs w:val="24"/>
          <w:lang w:eastAsia="en-US"/>
        </w:rPr>
        <w:t>afety</w:t>
      </w:r>
    </w:p>
    <w:p w14:paraId="7A2FEA5C" w14:textId="4784EC98" w:rsidR="00CE241F" w:rsidRPr="00F05D84" w:rsidRDefault="001568F9" w:rsidP="00F05D84">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The </w:t>
      </w:r>
      <w:r w:rsidRPr="00F05D84">
        <w:rPr>
          <w:rFonts w:cs="Arial"/>
          <w:color w:val="auto"/>
          <w:szCs w:val="24"/>
          <w:lang w:eastAsia="en-US"/>
        </w:rPr>
        <w:t xml:space="preserve">NPPF requires planning policies to promote safe and accessible environments where crime and disorder and the fear of crime, do not undermine the quality of life or community cohesion.  Developers should therefore ensure that </w:t>
      </w:r>
      <w:r w:rsidRPr="00DA3B66">
        <w:rPr>
          <w:rFonts w:cs="Arial"/>
          <w:color w:val="auto"/>
          <w:szCs w:val="24"/>
          <w:lang w:eastAsia="en-US"/>
        </w:rPr>
        <w:t>‘Secured by Design’</w:t>
      </w:r>
      <w:r w:rsidRPr="00F05D84">
        <w:rPr>
          <w:rFonts w:cs="Arial"/>
          <w:color w:val="auto"/>
          <w:szCs w:val="24"/>
          <w:lang w:eastAsia="en-US"/>
        </w:rPr>
        <w:t xml:space="preserve"> principles are incorporated within all schemes where appropriate, balanced with good urban design.  </w:t>
      </w:r>
    </w:p>
    <w:p w14:paraId="506A69A7" w14:textId="77777777" w:rsidR="00CE241F" w:rsidRDefault="00CE241F" w:rsidP="00CE241F">
      <w:pPr>
        <w:keepNext w:val="0"/>
        <w:spacing w:before="0"/>
        <w:ind w:left="709"/>
        <w:rPr>
          <w:rFonts w:cs="Arial"/>
          <w:color w:val="auto"/>
          <w:szCs w:val="24"/>
          <w:lang w:eastAsia="en-US"/>
        </w:rPr>
      </w:pPr>
    </w:p>
    <w:p w14:paraId="1E966E53" w14:textId="09A00AF9" w:rsidR="00CE241F" w:rsidRDefault="001568F9" w:rsidP="006977E7">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Where appropriate, public areas should be clearly visible from adjoining buildings and the design and landscaping should provide for clear </w:t>
      </w:r>
      <w:proofErr w:type="gramStart"/>
      <w:r w:rsidRPr="00CE241F">
        <w:rPr>
          <w:rFonts w:cs="Arial"/>
          <w:color w:val="auto"/>
          <w:szCs w:val="24"/>
          <w:lang w:eastAsia="en-US"/>
        </w:rPr>
        <w:t>sight-lines</w:t>
      </w:r>
      <w:proofErr w:type="gramEnd"/>
      <w:r w:rsidRPr="00CE241F">
        <w:rPr>
          <w:rFonts w:cs="Arial"/>
          <w:color w:val="auto"/>
          <w:szCs w:val="24"/>
          <w:lang w:eastAsia="en-US"/>
        </w:rPr>
        <w:t xml:space="preserve"> on public routes (for example, paths and cycle ways</w:t>
      </w:r>
      <w:r w:rsidR="009D1C50" w:rsidRPr="00CE241F">
        <w:rPr>
          <w:rFonts w:cs="Arial"/>
          <w:color w:val="auto"/>
          <w:szCs w:val="24"/>
          <w:lang w:eastAsia="en-US"/>
        </w:rPr>
        <w:t>) and</w:t>
      </w:r>
      <w:r w:rsidRPr="00CE241F">
        <w:rPr>
          <w:rFonts w:cs="Arial"/>
          <w:color w:val="auto"/>
          <w:szCs w:val="24"/>
          <w:lang w:eastAsia="en-US"/>
        </w:rPr>
        <w:t xml:space="preserve"> not create unnecessary concealed areas.  For development proposals generating public assembly or relating to the </w:t>
      </w:r>
      <w:r w:rsidR="009D1C50" w:rsidRPr="00CE241F">
        <w:rPr>
          <w:rFonts w:cs="Arial"/>
          <w:color w:val="auto"/>
          <w:szCs w:val="24"/>
          <w:lang w:eastAsia="en-US"/>
        </w:rPr>
        <w:t>nighttime</w:t>
      </w:r>
      <w:r w:rsidRPr="00CE241F">
        <w:rPr>
          <w:rFonts w:cs="Arial"/>
          <w:color w:val="auto"/>
          <w:szCs w:val="24"/>
          <w:lang w:eastAsia="en-US"/>
        </w:rPr>
        <w:t xml:space="preserve"> economy, an assessment of the potential for crime or anti-social behaviour will be required. Where potential adverse impacts are identified, these should be addressed as part of the proposal. This may include design measures forming part of the proposal such as boundary treatments or </w:t>
      </w:r>
      <w:r w:rsidR="009D1C50" w:rsidRPr="00CE241F">
        <w:rPr>
          <w:rFonts w:cs="Arial"/>
          <w:color w:val="auto"/>
          <w:szCs w:val="24"/>
          <w:lang w:eastAsia="en-US"/>
        </w:rPr>
        <w:t>off-site</w:t>
      </w:r>
      <w:r w:rsidRPr="00CE241F">
        <w:rPr>
          <w:rFonts w:cs="Arial"/>
          <w:color w:val="auto"/>
          <w:szCs w:val="24"/>
          <w:lang w:eastAsia="en-US"/>
        </w:rPr>
        <w:t xml:space="preserve"> measures such as contributions towards CCTV. </w:t>
      </w:r>
    </w:p>
    <w:p w14:paraId="0C13265F" w14:textId="37C133E5" w:rsidR="00CE241F" w:rsidRDefault="00CE241F" w:rsidP="006977E7">
      <w:pPr>
        <w:spacing w:before="0"/>
        <w:rPr>
          <w:rFonts w:cs="Arial"/>
          <w:b/>
          <w:bCs/>
          <w:color w:val="auto"/>
          <w:szCs w:val="24"/>
        </w:rPr>
      </w:pPr>
    </w:p>
    <w:p w14:paraId="55F82FF1" w14:textId="77777777" w:rsidR="007D64E6" w:rsidRPr="00F55774" w:rsidRDefault="007D64E6" w:rsidP="007D64E6">
      <w:pPr>
        <w:keepNext w:val="0"/>
        <w:spacing w:before="0"/>
        <w:ind w:left="709"/>
        <w:rPr>
          <w:rFonts w:cs="Arial"/>
          <w:b/>
          <w:bCs/>
          <w:color w:val="auto"/>
          <w:szCs w:val="24"/>
          <w:lang w:eastAsia="en-US"/>
        </w:rPr>
      </w:pPr>
      <w:r w:rsidRPr="00F55774">
        <w:rPr>
          <w:rFonts w:cs="Arial"/>
          <w:b/>
          <w:bCs/>
          <w:color w:val="auto"/>
          <w:szCs w:val="24"/>
          <w:lang w:eastAsia="en-US"/>
        </w:rPr>
        <w:t>Standards</w:t>
      </w:r>
    </w:p>
    <w:p w14:paraId="2D540B71" w14:textId="59133276" w:rsidR="007D64E6" w:rsidRPr="00163F59" w:rsidRDefault="007D64E6" w:rsidP="007D64E6">
      <w:pPr>
        <w:keepNext w:val="0"/>
        <w:numPr>
          <w:ilvl w:val="1"/>
          <w:numId w:val="7"/>
        </w:numPr>
        <w:tabs>
          <w:tab w:val="clear" w:pos="525"/>
        </w:tabs>
        <w:spacing w:before="0"/>
        <w:ind w:left="709" w:hanging="709"/>
        <w:rPr>
          <w:rFonts w:cs="Arial"/>
          <w:color w:val="auto"/>
          <w:szCs w:val="24"/>
          <w:lang w:eastAsia="en-US"/>
        </w:rPr>
      </w:pPr>
      <w:r w:rsidRPr="00F55774">
        <w:rPr>
          <w:rFonts w:cs="Arial"/>
          <w:color w:val="auto"/>
          <w:szCs w:val="24"/>
          <w:lang w:eastAsia="en-US"/>
        </w:rPr>
        <w:t xml:space="preserve">All new developments should aspire to the highest standards of design, including construction methods and materials, and these issues should be integrated into the development process at an early stage, </w:t>
      </w:r>
      <w:r w:rsidRPr="00163F59">
        <w:rPr>
          <w:rFonts w:cs="Arial"/>
          <w:color w:val="auto"/>
          <w:szCs w:val="24"/>
          <w:lang w:eastAsia="en-US"/>
        </w:rPr>
        <w:t xml:space="preserve">along with consideration of community safety, residential amenity and sustainable access. </w:t>
      </w:r>
    </w:p>
    <w:p w14:paraId="5083AF1C" w14:textId="77777777" w:rsidR="00F32C46" w:rsidRPr="00163F59" w:rsidRDefault="00F32C46" w:rsidP="00F32C46">
      <w:pPr>
        <w:keepNext w:val="0"/>
        <w:spacing w:before="0"/>
        <w:ind w:left="709"/>
        <w:rPr>
          <w:rFonts w:cs="Arial"/>
          <w:color w:val="auto"/>
          <w:szCs w:val="24"/>
          <w:lang w:eastAsia="en-US"/>
        </w:rPr>
      </w:pPr>
    </w:p>
    <w:p w14:paraId="1C820E45" w14:textId="77777777" w:rsidR="00F32C46" w:rsidRPr="00163F59" w:rsidRDefault="00F32C46" w:rsidP="00F32C46">
      <w:pPr>
        <w:keepNext w:val="0"/>
        <w:numPr>
          <w:ilvl w:val="1"/>
          <w:numId w:val="7"/>
        </w:numPr>
        <w:tabs>
          <w:tab w:val="clear" w:pos="525"/>
        </w:tabs>
        <w:spacing w:before="0"/>
        <w:ind w:left="709" w:hanging="709"/>
        <w:rPr>
          <w:rFonts w:cs="Arial"/>
          <w:color w:val="auto"/>
          <w:szCs w:val="24"/>
          <w:lang w:eastAsia="en-US"/>
        </w:rPr>
      </w:pPr>
      <w:r w:rsidRPr="00163F59">
        <w:rPr>
          <w:rFonts w:cs="Arial"/>
          <w:color w:val="auto"/>
          <w:szCs w:val="24"/>
          <w:lang w:eastAsia="en-US"/>
        </w:rPr>
        <w:t>Local evidence will be used to inform and guide decisions, including the following Council documents:</w:t>
      </w:r>
    </w:p>
    <w:p w14:paraId="446A2BA2" w14:textId="77777777" w:rsidR="00F32C46" w:rsidRPr="00CE241F" w:rsidRDefault="00F32C46" w:rsidP="00F32C46">
      <w:pPr>
        <w:keepNext w:val="0"/>
        <w:spacing w:before="0"/>
        <w:rPr>
          <w:rFonts w:cs="Arial"/>
          <w:color w:val="auto"/>
          <w:szCs w:val="24"/>
          <w:lang w:eastAsia="en-US"/>
        </w:rPr>
      </w:pPr>
    </w:p>
    <w:p w14:paraId="3818B307"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District-Wide Design Supplementary Planning Document;</w:t>
      </w:r>
    </w:p>
    <w:p w14:paraId="2698F0D5"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Greater Nottingham Landscape Character Assessment, TEP &amp; NCC (2009)</w:t>
      </w:r>
    </w:p>
    <w:p w14:paraId="545BD453"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Kirkby Cross Conservation Area Appraisal (adopted 1975, amended 2004)</w:t>
      </w:r>
    </w:p>
    <w:p w14:paraId="61ED4FCA"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 xml:space="preserve">Lower </w:t>
      </w:r>
      <w:proofErr w:type="spellStart"/>
      <w:r w:rsidRPr="00CE241F">
        <w:rPr>
          <w:rFonts w:ascii="Arial" w:hAnsi="Arial" w:cs="Arial"/>
          <w:color w:val="auto"/>
          <w:szCs w:val="24"/>
        </w:rPr>
        <w:t>Bagthorpe</w:t>
      </w:r>
      <w:proofErr w:type="spellEnd"/>
      <w:r w:rsidRPr="00CE241F">
        <w:rPr>
          <w:rFonts w:ascii="Arial" w:hAnsi="Arial" w:cs="Arial"/>
          <w:color w:val="auto"/>
          <w:szCs w:val="24"/>
        </w:rPr>
        <w:t xml:space="preserve"> Conservation Area Appraisal (adopted 1975, amended 2007)</w:t>
      </w:r>
    </w:p>
    <w:p w14:paraId="681AD7D7"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 xml:space="preserve">Teversal Conservation Area Appraisal (2012) </w:t>
      </w:r>
    </w:p>
    <w:p w14:paraId="68D73CAD"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Sutton in Ashfield Church and Market Place Conservation Area (adopted 2015)</w:t>
      </w:r>
    </w:p>
    <w:p w14:paraId="243FB66E"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Hucknall Conservation Area Appraisal (adopted 2019)</w:t>
      </w:r>
    </w:p>
    <w:p w14:paraId="3B465DEC"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Sutton Town Centre Masterplan (2019)</w:t>
      </w:r>
    </w:p>
    <w:p w14:paraId="158DF6E9"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Kirkby Town Centre Masterplan (2021)</w:t>
      </w:r>
    </w:p>
    <w:p w14:paraId="024609C3" w14:textId="77777777" w:rsidR="00F32C46" w:rsidRPr="00CE241F" w:rsidRDefault="00F32C46" w:rsidP="00874A98">
      <w:pPr>
        <w:pStyle w:val="ListParagraph"/>
        <w:numPr>
          <w:ilvl w:val="0"/>
          <w:numId w:val="295"/>
        </w:numPr>
        <w:spacing w:after="0" w:line="240" w:lineRule="auto"/>
        <w:ind w:left="1418"/>
        <w:rPr>
          <w:rFonts w:ascii="Arial" w:hAnsi="Arial" w:cs="Arial"/>
          <w:color w:val="auto"/>
          <w:szCs w:val="24"/>
        </w:rPr>
      </w:pPr>
      <w:r w:rsidRPr="00CE241F">
        <w:rPr>
          <w:rFonts w:ascii="Arial" w:hAnsi="Arial" w:cs="Arial"/>
          <w:color w:val="auto"/>
          <w:szCs w:val="24"/>
        </w:rPr>
        <w:t>Hucknall Town Centre Masterplan (2009)</w:t>
      </w:r>
    </w:p>
    <w:p w14:paraId="53F12B65" w14:textId="77777777" w:rsidR="00F32C46" w:rsidRDefault="00F32C46" w:rsidP="00F32C46">
      <w:pPr>
        <w:keepNext w:val="0"/>
        <w:spacing w:before="0"/>
        <w:rPr>
          <w:rFonts w:cs="Arial"/>
          <w:color w:val="auto"/>
          <w:szCs w:val="24"/>
          <w:lang w:eastAsia="en-US"/>
        </w:rPr>
      </w:pPr>
    </w:p>
    <w:p w14:paraId="17606025" w14:textId="28DE5808" w:rsidR="00F32C46" w:rsidRPr="00AF246F" w:rsidRDefault="00F32C46" w:rsidP="00AF246F">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Future design guidance may include masterplans, design briefs, design codes, village statements or informal planning guidance. </w:t>
      </w:r>
      <w:r w:rsidRPr="00595970">
        <w:rPr>
          <w:rFonts w:cs="Arial"/>
          <w:color w:val="auto"/>
          <w:szCs w:val="24"/>
          <w:lang w:eastAsia="en-US"/>
        </w:rPr>
        <w:t>The Council will require developers to undertake a Design Review where it could aid the design process</w:t>
      </w:r>
      <w:r w:rsidRPr="00F53521">
        <w:rPr>
          <w:rFonts w:cs="Arial"/>
          <w:color w:val="ED0000"/>
          <w:szCs w:val="24"/>
          <w:lang w:eastAsia="en-US"/>
        </w:rPr>
        <w:t>.</w:t>
      </w:r>
    </w:p>
    <w:p w14:paraId="006B8F27" w14:textId="77777777" w:rsidR="00AF246F" w:rsidRPr="00AF246F" w:rsidRDefault="00AF246F" w:rsidP="00AF246F">
      <w:pPr>
        <w:keepNext w:val="0"/>
        <w:spacing w:before="0"/>
        <w:ind w:left="709"/>
        <w:rPr>
          <w:rFonts w:cs="Arial"/>
          <w:color w:val="auto"/>
          <w:szCs w:val="24"/>
          <w:lang w:eastAsia="en-US"/>
        </w:rPr>
      </w:pPr>
    </w:p>
    <w:p w14:paraId="5DB3D4D1" w14:textId="2F859119" w:rsidR="00AF246F" w:rsidRPr="00AF246F" w:rsidRDefault="00AF246F" w:rsidP="00AF246F">
      <w:pPr>
        <w:keepNext w:val="0"/>
        <w:numPr>
          <w:ilvl w:val="1"/>
          <w:numId w:val="7"/>
        </w:numPr>
        <w:tabs>
          <w:tab w:val="clear" w:pos="525"/>
          <w:tab w:val="num" w:pos="709"/>
        </w:tabs>
        <w:spacing w:before="0"/>
        <w:ind w:left="709" w:hanging="709"/>
        <w:rPr>
          <w:rFonts w:cs="Arial"/>
          <w:color w:val="auto"/>
          <w:szCs w:val="24"/>
          <w:lang w:eastAsia="en-US"/>
        </w:rPr>
      </w:pPr>
      <w:r w:rsidRPr="00CE241F">
        <w:rPr>
          <w:rFonts w:cs="Arial"/>
          <w:color w:val="auto"/>
          <w:szCs w:val="24"/>
          <w:lang w:eastAsia="en-US"/>
        </w:rPr>
        <w:t xml:space="preserve">The Council may also use characterisation techniques promoted by Historic England to understand better the character of places and help to ensure the Local Plan is sound and locally distinctive. This more detailed guidance will assist in the implementation of this policy, and address </w:t>
      </w:r>
      <w:proofErr w:type="gramStart"/>
      <w:r w:rsidRPr="00CE241F">
        <w:rPr>
          <w:rFonts w:cs="Arial"/>
          <w:color w:val="auto"/>
          <w:szCs w:val="24"/>
          <w:lang w:eastAsia="en-US"/>
        </w:rPr>
        <w:t>particular design</w:t>
      </w:r>
      <w:proofErr w:type="gramEnd"/>
      <w:r w:rsidRPr="00CE241F">
        <w:rPr>
          <w:rFonts w:cs="Arial"/>
          <w:color w:val="auto"/>
          <w:szCs w:val="24"/>
          <w:lang w:eastAsia="en-US"/>
        </w:rPr>
        <w:t xml:space="preserve"> issues or provide more detail, such as defining locally important views.  </w:t>
      </w:r>
    </w:p>
    <w:p w14:paraId="0C47AE31" w14:textId="77777777" w:rsidR="007D64E6" w:rsidRDefault="007D64E6" w:rsidP="007D64E6">
      <w:pPr>
        <w:keepNext w:val="0"/>
        <w:spacing w:before="0"/>
        <w:ind w:left="709"/>
        <w:rPr>
          <w:rFonts w:cs="Arial"/>
          <w:color w:val="auto"/>
          <w:szCs w:val="24"/>
          <w:lang w:eastAsia="en-US"/>
        </w:rPr>
      </w:pPr>
    </w:p>
    <w:p w14:paraId="34F253DC" w14:textId="08608225" w:rsidR="007D64E6" w:rsidRDefault="007D64E6" w:rsidP="007D64E6">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Development should </w:t>
      </w:r>
      <w:r w:rsidR="00AF246F" w:rsidRPr="00595970">
        <w:rPr>
          <w:rFonts w:cs="Arial"/>
          <w:color w:val="auto"/>
          <w:szCs w:val="24"/>
          <w:lang w:eastAsia="en-US"/>
        </w:rPr>
        <w:t xml:space="preserve">also </w:t>
      </w:r>
      <w:r w:rsidRPr="00CE241F">
        <w:rPr>
          <w:rFonts w:cs="Arial"/>
          <w:color w:val="auto"/>
          <w:szCs w:val="24"/>
          <w:lang w:eastAsia="en-US"/>
        </w:rPr>
        <w:t xml:space="preserve">take account of the following design standards and guidance (and any future updates of these) which will be used (but not exclusively) to help assess the quality of design: </w:t>
      </w:r>
    </w:p>
    <w:p w14:paraId="4F87F264" w14:textId="77777777" w:rsidR="007D64E6" w:rsidRDefault="007D64E6" w:rsidP="007D64E6">
      <w:pPr>
        <w:pStyle w:val="ListParagraph"/>
        <w:rPr>
          <w:rFonts w:cs="Arial"/>
          <w:color w:val="auto"/>
          <w:szCs w:val="24"/>
        </w:rPr>
      </w:pPr>
    </w:p>
    <w:p w14:paraId="2D6ACD81" w14:textId="77777777" w:rsidR="007D64E6" w:rsidRPr="00DA3B66" w:rsidRDefault="007D64E6" w:rsidP="00874A98">
      <w:pPr>
        <w:pStyle w:val="ListParagraph"/>
        <w:numPr>
          <w:ilvl w:val="0"/>
          <w:numId w:val="214"/>
        </w:numPr>
        <w:ind w:left="1276"/>
        <w:rPr>
          <w:rFonts w:ascii="Arial" w:hAnsi="Arial" w:cs="Arial"/>
          <w:color w:val="auto"/>
          <w:szCs w:val="24"/>
        </w:rPr>
      </w:pPr>
      <w:r w:rsidRPr="00DA3B66">
        <w:rPr>
          <w:rFonts w:ascii="Arial" w:hAnsi="Arial" w:cs="Arial"/>
          <w:color w:val="auto"/>
          <w:szCs w:val="24"/>
        </w:rPr>
        <w:t xml:space="preserve">Building for a Healthy Life 12 (for residential developments of 10 or more dwellings).  </w:t>
      </w:r>
    </w:p>
    <w:p w14:paraId="755AAC45" w14:textId="77777777" w:rsidR="007D64E6" w:rsidRPr="00DA3B66" w:rsidRDefault="007D64E6" w:rsidP="00874A98">
      <w:pPr>
        <w:pStyle w:val="ListParagraph"/>
        <w:numPr>
          <w:ilvl w:val="0"/>
          <w:numId w:val="214"/>
        </w:numPr>
        <w:ind w:left="1276"/>
        <w:rPr>
          <w:rFonts w:ascii="Arial" w:hAnsi="Arial" w:cs="Arial"/>
          <w:color w:val="auto"/>
          <w:szCs w:val="24"/>
        </w:rPr>
      </w:pPr>
      <w:r w:rsidRPr="00DA3B66">
        <w:rPr>
          <w:rFonts w:ascii="Arial" w:hAnsi="Arial" w:cs="Arial"/>
          <w:color w:val="auto"/>
          <w:szCs w:val="24"/>
        </w:rPr>
        <w:t xml:space="preserve">Secured By Design/ Safer Places- the Planning System and Crime Prevention.  </w:t>
      </w:r>
    </w:p>
    <w:p w14:paraId="328FCE2D" w14:textId="77777777" w:rsidR="007D64E6" w:rsidRPr="00DA3B66" w:rsidRDefault="007D64E6" w:rsidP="00874A98">
      <w:pPr>
        <w:pStyle w:val="ListParagraph"/>
        <w:numPr>
          <w:ilvl w:val="0"/>
          <w:numId w:val="214"/>
        </w:numPr>
        <w:ind w:left="1276"/>
        <w:rPr>
          <w:rFonts w:ascii="Arial" w:hAnsi="Arial" w:cs="Arial"/>
          <w:color w:val="auto"/>
          <w:szCs w:val="24"/>
        </w:rPr>
      </w:pPr>
      <w:r w:rsidRPr="00DA3B66">
        <w:rPr>
          <w:rFonts w:ascii="Arial" w:hAnsi="Arial" w:cs="Arial"/>
          <w:color w:val="auto"/>
          <w:szCs w:val="24"/>
        </w:rPr>
        <w:t xml:space="preserve">Manual for Streets (for residential developments).  </w:t>
      </w:r>
    </w:p>
    <w:p w14:paraId="51E5589B" w14:textId="77777777" w:rsidR="007D64E6" w:rsidRPr="00DA3B66" w:rsidRDefault="007D64E6" w:rsidP="00874A98">
      <w:pPr>
        <w:pStyle w:val="ListParagraph"/>
        <w:numPr>
          <w:ilvl w:val="0"/>
          <w:numId w:val="214"/>
        </w:numPr>
        <w:ind w:left="1276"/>
        <w:rPr>
          <w:rFonts w:ascii="Arial" w:hAnsi="Arial" w:cs="Arial"/>
          <w:color w:val="auto"/>
          <w:szCs w:val="24"/>
        </w:rPr>
      </w:pPr>
      <w:r w:rsidRPr="00DA3B66">
        <w:rPr>
          <w:rFonts w:ascii="Arial" w:hAnsi="Arial" w:cs="Arial"/>
          <w:color w:val="auto"/>
          <w:szCs w:val="24"/>
        </w:rPr>
        <w:t xml:space="preserve">Manual for Streets 2 - Wider Application of the Principles (which takes this guidance beyond just residential developments).  </w:t>
      </w:r>
    </w:p>
    <w:p w14:paraId="66851E5A" w14:textId="77777777" w:rsidR="007D64E6" w:rsidRPr="00CE241F" w:rsidRDefault="007D64E6" w:rsidP="007D64E6">
      <w:pPr>
        <w:keepNext w:val="0"/>
        <w:numPr>
          <w:ilvl w:val="1"/>
          <w:numId w:val="7"/>
        </w:numPr>
        <w:tabs>
          <w:tab w:val="clear" w:pos="525"/>
        </w:tabs>
        <w:spacing w:before="0"/>
        <w:ind w:left="709" w:hanging="709"/>
        <w:rPr>
          <w:rFonts w:cs="Arial"/>
          <w:color w:val="auto"/>
          <w:szCs w:val="24"/>
          <w:lang w:eastAsia="en-US"/>
        </w:rPr>
      </w:pPr>
      <w:r w:rsidRPr="00CE241F">
        <w:rPr>
          <w:rFonts w:cs="Arial"/>
          <w:color w:val="auto"/>
          <w:szCs w:val="24"/>
          <w:lang w:eastAsia="en-US"/>
        </w:rPr>
        <w:t xml:space="preserve">The sustainability of the buildings themselves </w:t>
      </w:r>
      <w:proofErr w:type="gramStart"/>
      <w:r w:rsidRPr="00CE241F">
        <w:rPr>
          <w:rFonts w:cs="Arial"/>
          <w:color w:val="auto"/>
          <w:szCs w:val="24"/>
          <w:lang w:eastAsia="en-US"/>
        </w:rPr>
        <w:t>are</w:t>
      </w:r>
      <w:proofErr w:type="gramEnd"/>
      <w:r w:rsidRPr="00CE241F">
        <w:rPr>
          <w:rFonts w:cs="Arial"/>
          <w:color w:val="auto"/>
          <w:szCs w:val="24"/>
          <w:lang w:eastAsia="en-US"/>
        </w:rPr>
        <w:t xml:space="preserve"> guided by the National Housing Standards, administered through Building Regulations. Over the plan period, these standards are expected to require regular improvements in the environmental performance and efficiency of new buildings. Whilst applied through building regulations it is important that any design implications resulting from these standards are resolved at the planning stage. Policy CC1 sets out how new development should contribute to mitigating and adapting to climate change.</w:t>
      </w:r>
    </w:p>
    <w:p w14:paraId="4111460C" w14:textId="190A74C5" w:rsidR="00CE241F" w:rsidRPr="00AF246F" w:rsidRDefault="00CE241F" w:rsidP="00AF246F">
      <w:pPr>
        <w:keepNext w:val="0"/>
        <w:spacing w:before="0"/>
        <w:rPr>
          <w:rFonts w:cs="Arial"/>
          <w:strike/>
          <w:color w:val="auto"/>
          <w:szCs w:val="24"/>
          <w:lang w:eastAsia="en-US"/>
        </w:rPr>
      </w:pPr>
    </w:p>
    <w:p w14:paraId="2884008B" w14:textId="77777777" w:rsidR="00263F59" w:rsidRDefault="00263F59">
      <w:pPr>
        <w:keepNext w:val="0"/>
        <w:spacing w:before="0"/>
        <w:rPr>
          <w:rFonts w:cs="Arial"/>
          <w:color w:val="auto"/>
          <w:lang w:eastAsia="en-US"/>
        </w:rPr>
      </w:pPr>
    </w:p>
    <w:p w14:paraId="3978DF09" w14:textId="01FC302D" w:rsidR="006E3244" w:rsidRPr="00825421" w:rsidRDefault="006977E7" w:rsidP="00825421">
      <w:pPr>
        <w:pStyle w:val="Heading2"/>
        <w:jc w:val="left"/>
        <w:rPr>
          <w:sz w:val="28"/>
          <w:szCs w:val="28"/>
        </w:rPr>
      </w:pPr>
      <w:bookmarkStart w:id="298" w:name="_Toc145511612"/>
      <w:r w:rsidRPr="00825421">
        <w:rPr>
          <w:rFonts w:eastAsia="Arial"/>
          <w:sz w:val="28"/>
          <w:szCs w:val="28"/>
        </w:rPr>
        <w:t xml:space="preserve">Policy </w:t>
      </w:r>
      <w:r w:rsidR="006E3244" w:rsidRPr="00825421">
        <w:rPr>
          <w:rFonts w:eastAsia="Arial"/>
          <w:sz w:val="28"/>
          <w:szCs w:val="28"/>
        </w:rPr>
        <w:t>SD</w:t>
      </w:r>
      <w:r w:rsidR="0064018F" w:rsidRPr="00825421">
        <w:rPr>
          <w:rFonts w:eastAsia="Arial"/>
          <w:sz w:val="28"/>
          <w:szCs w:val="28"/>
        </w:rPr>
        <w:t>3</w:t>
      </w:r>
      <w:r w:rsidR="006E3244" w:rsidRPr="00825421">
        <w:rPr>
          <w:rFonts w:eastAsia="Arial"/>
          <w:sz w:val="28"/>
          <w:szCs w:val="28"/>
        </w:rPr>
        <w:t>: Amenity</w:t>
      </w:r>
      <w:bookmarkEnd w:id="298"/>
    </w:p>
    <w:p w14:paraId="1984F880" w14:textId="77777777" w:rsidR="006E3244" w:rsidRPr="006E3244" w:rsidRDefault="006E3244" w:rsidP="006E3244">
      <w:pPr>
        <w:keepNext w:val="0"/>
        <w:spacing w:before="0"/>
        <w:ind w:left="709"/>
        <w:rPr>
          <w:rFonts w:cs="Arial"/>
          <w:color w:val="auto"/>
          <w:szCs w:val="24"/>
          <w:lang w:eastAsia="en-US"/>
        </w:rPr>
      </w:pPr>
    </w:p>
    <w:p w14:paraId="5E8DAD56" w14:textId="4F9E12C1" w:rsidR="00F476A9" w:rsidRPr="00F476A9" w:rsidRDefault="00F476A9" w:rsidP="00F476A9">
      <w:pPr>
        <w:keepNext w:val="0"/>
        <w:numPr>
          <w:ilvl w:val="1"/>
          <w:numId w:val="7"/>
        </w:numPr>
        <w:tabs>
          <w:tab w:val="clear" w:pos="525"/>
        </w:tabs>
        <w:spacing w:before="0"/>
        <w:ind w:left="709" w:hanging="709"/>
        <w:rPr>
          <w:rFonts w:cs="Arial"/>
          <w:color w:val="auto"/>
          <w:szCs w:val="24"/>
          <w:lang w:eastAsia="en-US"/>
        </w:rPr>
      </w:pPr>
      <w:r w:rsidRPr="00F476A9">
        <w:rPr>
          <w:rFonts w:cs="Arial"/>
          <w:color w:val="auto"/>
          <w:lang w:eastAsia="en-US"/>
        </w:rPr>
        <w:t>This policy aims to protect and enhance amenity to maintain quality of life and ensure the successful integration of new development into existing neighbourhoods. It will ensure that new development takes account of community and individual privacy, safety considerations and potential for crime or anti-social behaviour. Ashfield’s Residential Design Guide SPD offers greater detail on many aspects.</w:t>
      </w:r>
    </w:p>
    <w:p w14:paraId="7E4253D8" w14:textId="51978E96" w:rsidR="00F476A9" w:rsidRDefault="00F476A9" w:rsidP="00F476A9">
      <w:pPr>
        <w:keepNext w:val="0"/>
        <w:spacing w:before="0"/>
        <w:ind w:left="709"/>
        <w:rPr>
          <w:rFonts w:cs="Arial"/>
          <w:color w:val="auto"/>
          <w:lang w:eastAsia="en-US"/>
        </w:rPr>
      </w:pPr>
    </w:p>
    <w:p w14:paraId="3E45F9EB" w14:textId="1D9175A7" w:rsidR="00F476A9" w:rsidRDefault="00F476A9" w:rsidP="00F476A9">
      <w:pPr>
        <w:keepNext w:val="0"/>
        <w:spacing w:before="0"/>
        <w:ind w:left="709"/>
        <w:rPr>
          <w:rFonts w:cs="Arial"/>
          <w:color w:val="auto"/>
          <w:lang w:eastAsia="en-US"/>
        </w:rPr>
      </w:pPr>
    </w:p>
    <w:tbl>
      <w:tblPr>
        <w:tblStyle w:val="TableGrid3"/>
        <w:tblW w:w="0" w:type="auto"/>
        <w:tblLook w:val="04A0" w:firstRow="1" w:lastRow="0" w:firstColumn="1" w:lastColumn="0" w:noHBand="0" w:noVBand="1"/>
      </w:tblPr>
      <w:tblGrid>
        <w:gridCol w:w="2830"/>
        <w:gridCol w:w="6663"/>
      </w:tblGrid>
      <w:tr w:rsidR="00F476A9" w:rsidRPr="00F476A9" w14:paraId="7598E310" w14:textId="77777777" w:rsidTr="00163F59">
        <w:trPr>
          <w:trHeight w:val="421"/>
        </w:trPr>
        <w:tc>
          <w:tcPr>
            <w:tcW w:w="9493" w:type="dxa"/>
            <w:gridSpan w:val="2"/>
          </w:tcPr>
          <w:p w14:paraId="60B4B036" w14:textId="77777777" w:rsidR="00CE241F" w:rsidRDefault="00CE241F" w:rsidP="00905CC9">
            <w:pPr>
              <w:keepNext w:val="0"/>
              <w:tabs>
                <w:tab w:val="left" w:pos="680"/>
              </w:tabs>
              <w:spacing w:before="0"/>
              <w:jc w:val="left"/>
              <w:rPr>
                <w:rFonts w:eastAsia="Arial"/>
                <w:b/>
                <w:color w:val="auto"/>
                <w:spacing w:val="-1"/>
              </w:rPr>
            </w:pPr>
          </w:p>
          <w:p w14:paraId="3122F91E" w14:textId="77777777" w:rsidR="00F476A9" w:rsidRDefault="00F476A9" w:rsidP="00905CC9">
            <w:pPr>
              <w:keepNext w:val="0"/>
              <w:tabs>
                <w:tab w:val="left" w:pos="680"/>
              </w:tabs>
              <w:spacing w:before="0"/>
              <w:jc w:val="left"/>
              <w:rPr>
                <w:rFonts w:eastAsia="Arial"/>
                <w:b/>
                <w:color w:val="auto"/>
                <w:spacing w:val="-1"/>
              </w:rPr>
            </w:pPr>
            <w:r w:rsidRPr="008301BC">
              <w:rPr>
                <w:rFonts w:eastAsia="Arial"/>
                <w:b/>
                <w:color w:val="auto"/>
                <w:spacing w:val="-1"/>
              </w:rPr>
              <w:t>Policy SD</w:t>
            </w:r>
            <w:r w:rsidR="008301BC" w:rsidRPr="008301BC">
              <w:rPr>
                <w:rFonts w:eastAsia="Arial"/>
                <w:b/>
                <w:color w:val="auto"/>
                <w:spacing w:val="-1"/>
              </w:rPr>
              <w:t>3</w:t>
            </w:r>
            <w:r w:rsidRPr="008301BC">
              <w:rPr>
                <w:rFonts w:eastAsia="Arial"/>
                <w:b/>
                <w:color w:val="auto"/>
                <w:spacing w:val="-1"/>
              </w:rPr>
              <w:t>: Amenity</w:t>
            </w:r>
          </w:p>
          <w:p w14:paraId="3B1D7EDE" w14:textId="0ED8E056" w:rsidR="00CE241F" w:rsidRPr="00F476A9" w:rsidRDefault="00CE241F" w:rsidP="00905CC9">
            <w:pPr>
              <w:keepNext w:val="0"/>
              <w:tabs>
                <w:tab w:val="left" w:pos="680"/>
              </w:tabs>
              <w:spacing w:before="0"/>
              <w:jc w:val="left"/>
              <w:rPr>
                <w:rFonts w:eastAsia="Arial"/>
                <w:b/>
                <w:color w:val="auto"/>
                <w:spacing w:val="-1"/>
              </w:rPr>
            </w:pPr>
          </w:p>
        </w:tc>
      </w:tr>
      <w:tr w:rsidR="008301BC" w:rsidRPr="00F476A9" w14:paraId="4699602C" w14:textId="77777777" w:rsidTr="00163F59">
        <w:tc>
          <w:tcPr>
            <w:tcW w:w="2830" w:type="dxa"/>
          </w:tcPr>
          <w:p w14:paraId="0A358EF4" w14:textId="0B3BDD8E" w:rsidR="008301BC" w:rsidRPr="008301BC" w:rsidRDefault="008301BC" w:rsidP="00905CC9">
            <w:pPr>
              <w:keepNext w:val="0"/>
              <w:tabs>
                <w:tab w:val="left" w:pos="680"/>
              </w:tabs>
              <w:spacing w:before="40" w:after="40"/>
              <w:jc w:val="left"/>
              <w:rPr>
                <w:rFonts w:eastAsia="Arial"/>
                <w:bCs/>
                <w:color w:val="auto"/>
              </w:rPr>
            </w:pPr>
            <w:r>
              <w:rPr>
                <w:rFonts w:eastAsia="Arial"/>
                <w:bCs/>
                <w:color w:val="auto"/>
              </w:rPr>
              <w:t>Strategic Objectives</w:t>
            </w:r>
          </w:p>
        </w:tc>
        <w:tc>
          <w:tcPr>
            <w:tcW w:w="6663" w:type="dxa"/>
          </w:tcPr>
          <w:p w14:paraId="054BC38B" w14:textId="4A0318D0" w:rsidR="008301BC" w:rsidRPr="00F476A9" w:rsidRDefault="008301BC" w:rsidP="00905CC9">
            <w:pPr>
              <w:keepNext w:val="0"/>
              <w:tabs>
                <w:tab w:val="left" w:pos="680"/>
              </w:tabs>
              <w:spacing w:before="40" w:after="40"/>
              <w:jc w:val="left"/>
              <w:rPr>
                <w:rFonts w:eastAsia="Arial"/>
                <w:b/>
                <w:color w:val="auto"/>
              </w:rPr>
            </w:pPr>
            <w:r w:rsidRPr="008301BC">
              <w:rPr>
                <w:rFonts w:eastAsia="Arial"/>
                <w:bCs/>
                <w:color w:val="auto"/>
              </w:rPr>
              <w:t>SO1, SO2, SO3, SO4, SO5, SO11, SO12, SO13, SO14.</w:t>
            </w:r>
          </w:p>
        </w:tc>
      </w:tr>
      <w:tr w:rsidR="00F476A9" w:rsidRPr="00F476A9" w14:paraId="70CB23FF" w14:textId="77777777" w:rsidTr="00163F59">
        <w:tc>
          <w:tcPr>
            <w:tcW w:w="9493" w:type="dxa"/>
            <w:gridSpan w:val="2"/>
            <w:shd w:val="clear" w:color="auto" w:fill="DAC4F8"/>
          </w:tcPr>
          <w:p w14:paraId="050B4610" w14:textId="77777777" w:rsidR="00F476A9" w:rsidRPr="00F515E4" w:rsidRDefault="00F476A9" w:rsidP="00905CC9">
            <w:pPr>
              <w:keepNext w:val="0"/>
              <w:tabs>
                <w:tab w:val="left" w:pos="680"/>
                <w:tab w:val="left" w:pos="1133"/>
                <w:tab w:val="left" w:pos="2267"/>
              </w:tabs>
              <w:spacing w:before="0"/>
              <w:ind w:right="284"/>
              <w:jc w:val="left"/>
              <w:rPr>
                <w:rFonts w:eastAsia="Arial"/>
                <w:bCs/>
                <w:color w:val="auto"/>
              </w:rPr>
            </w:pPr>
          </w:p>
          <w:p w14:paraId="075EC8FF" w14:textId="5A5191BD" w:rsidR="00DA3B66" w:rsidRDefault="00F476A9" w:rsidP="00874A98">
            <w:pPr>
              <w:pStyle w:val="ListParagraph"/>
              <w:numPr>
                <w:ilvl w:val="0"/>
                <w:numId w:val="305"/>
              </w:numPr>
              <w:tabs>
                <w:tab w:val="left" w:pos="680"/>
                <w:tab w:val="left" w:pos="1133"/>
                <w:tab w:val="left" w:pos="2267"/>
              </w:tabs>
              <w:spacing w:after="0" w:line="240" w:lineRule="auto"/>
              <w:ind w:right="284"/>
              <w:jc w:val="left"/>
              <w:rPr>
                <w:rFonts w:ascii="Arial" w:eastAsia="Arial" w:hAnsi="Arial" w:cs="Arial"/>
                <w:bCs/>
                <w:color w:val="auto"/>
              </w:rPr>
            </w:pPr>
            <w:r w:rsidRPr="00DA3B66">
              <w:rPr>
                <w:rFonts w:ascii="Arial" w:eastAsia="Arial" w:hAnsi="Arial" w:cs="Arial"/>
                <w:bCs/>
                <w:color w:val="auto"/>
              </w:rPr>
              <w:t>The Council will support development that safeguards conditions for users or occupants of adjoining or nearby properties, and future users/occupants of new development proposals. Proposals should:</w:t>
            </w:r>
          </w:p>
          <w:p w14:paraId="0650D4DC" w14:textId="3EBA0BF2" w:rsidR="00DA3B66" w:rsidRDefault="00DA3B66" w:rsidP="00905CC9">
            <w:pPr>
              <w:pStyle w:val="ListParagraph"/>
              <w:tabs>
                <w:tab w:val="left" w:pos="680"/>
                <w:tab w:val="left" w:pos="1133"/>
                <w:tab w:val="left" w:pos="2267"/>
              </w:tabs>
              <w:spacing w:after="0" w:line="240" w:lineRule="auto"/>
              <w:ind w:left="360" w:right="284"/>
              <w:jc w:val="left"/>
              <w:rPr>
                <w:rFonts w:ascii="Arial" w:eastAsia="Arial" w:hAnsi="Arial" w:cs="Arial"/>
                <w:bCs/>
                <w:color w:val="auto"/>
              </w:rPr>
            </w:pPr>
          </w:p>
          <w:p w14:paraId="0EEC2F3E" w14:textId="77777777" w:rsidR="00DA3B66" w:rsidRPr="00F515E4" w:rsidRDefault="00DA3B66" w:rsidP="00874A98">
            <w:pPr>
              <w:pStyle w:val="ListParagraph"/>
              <w:numPr>
                <w:ilvl w:val="0"/>
                <w:numId w:val="222"/>
              </w:numPr>
              <w:spacing w:after="0" w:line="240" w:lineRule="auto"/>
              <w:jc w:val="left"/>
              <w:rPr>
                <w:rFonts w:ascii="Arial" w:eastAsia="Arial" w:hAnsi="Arial" w:cs="Arial"/>
                <w:bCs/>
                <w:color w:val="auto"/>
              </w:rPr>
            </w:pPr>
            <w:r w:rsidRPr="00F515E4">
              <w:rPr>
                <w:rFonts w:ascii="Arial" w:eastAsia="Arial" w:hAnsi="Arial" w:cs="Arial"/>
                <w:bCs/>
                <w:color w:val="auto"/>
              </w:rPr>
              <w:t>Provide protection from over massing and overshadowing;</w:t>
            </w:r>
          </w:p>
          <w:p w14:paraId="15DD186C" w14:textId="77777777" w:rsidR="00DA3B66" w:rsidRPr="00F515E4" w:rsidRDefault="00DA3B66" w:rsidP="00905CC9">
            <w:pPr>
              <w:pStyle w:val="ListParagraph"/>
              <w:spacing w:after="0" w:line="240" w:lineRule="auto"/>
              <w:jc w:val="left"/>
              <w:rPr>
                <w:rFonts w:ascii="Arial" w:eastAsia="Arial" w:hAnsi="Arial" w:cs="Arial"/>
                <w:bCs/>
                <w:color w:val="auto"/>
              </w:rPr>
            </w:pPr>
          </w:p>
          <w:p w14:paraId="5DFE91DE" w14:textId="77777777" w:rsidR="00DA3B66" w:rsidRPr="00F515E4" w:rsidRDefault="00DA3B66" w:rsidP="00874A98">
            <w:pPr>
              <w:pStyle w:val="ListParagraph"/>
              <w:numPr>
                <w:ilvl w:val="0"/>
                <w:numId w:val="222"/>
              </w:numPr>
              <w:spacing w:after="0" w:line="240" w:lineRule="auto"/>
              <w:jc w:val="left"/>
              <w:rPr>
                <w:rFonts w:ascii="Arial" w:eastAsia="Arial" w:hAnsi="Arial" w:cs="Arial"/>
                <w:bCs/>
                <w:color w:val="auto"/>
              </w:rPr>
            </w:pPr>
            <w:r w:rsidRPr="00F515E4">
              <w:rPr>
                <w:rFonts w:ascii="Arial" w:eastAsia="Arial" w:hAnsi="Arial" w:cs="Arial"/>
                <w:bCs/>
                <w:color w:val="auto"/>
              </w:rPr>
              <w:lastRenderedPageBreak/>
              <w:t>In the case of residential care homes, ensure that the outlook from bedrooms and communal rooms are adequate, and that the site has level access to a garden or sitting out area;</w:t>
            </w:r>
          </w:p>
          <w:p w14:paraId="0A2ED90E" w14:textId="77777777" w:rsidR="00DA3B66" w:rsidRPr="00F515E4" w:rsidRDefault="00DA3B66" w:rsidP="00905CC9">
            <w:pPr>
              <w:spacing w:before="0"/>
              <w:jc w:val="left"/>
              <w:rPr>
                <w:rFonts w:eastAsia="Arial" w:cs="Arial"/>
                <w:bCs/>
                <w:color w:val="auto"/>
              </w:rPr>
            </w:pPr>
          </w:p>
          <w:p w14:paraId="424994AD" w14:textId="77777777" w:rsidR="00DA3B66" w:rsidRPr="00F515E4" w:rsidRDefault="00DA3B66" w:rsidP="00874A98">
            <w:pPr>
              <w:pStyle w:val="ListParagraph"/>
              <w:numPr>
                <w:ilvl w:val="0"/>
                <w:numId w:val="222"/>
              </w:numPr>
              <w:spacing w:after="0" w:line="240" w:lineRule="auto"/>
              <w:jc w:val="left"/>
              <w:rPr>
                <w:rFonts w:ascii="Arial" w:eastAsia="Arial" w:hAnsi="Arial" w:cs="Arial"/>
                <w:bCs/>
                <w:color w:val="auto"/>
              </w:rPr>
            </w:pPr>
            <w:r w:rsidRPr="00F515E4">
              <w:rPr>
                <w:rFonts w:ascii="Arial" w:eastAsia="Arial" w:hAnsi="Arial" w:cs="Arial"/>
                <w:bCs/>
                <w:color w:val="auto"/>
              </w:rPr>
              <w:t xml:space="preserve">In respect of all residential development, ensure adequate access to sufficient open space and garden space; </w:t>
            </w:r>
          </w:p>
          <w:p w14:paraId="1BD9793B" w14:textId="77777777" w:rsidR="00DA3B66" w:rsidRPr="00F515E4" w:rsidRDefault="00DA3B66" w:rsidP="00905CC9">
            <w:pPr>
              <w:spacing w:before="0"/>
              <w:jc w:val="left"/>
              <w:rPr>
                <w:rFonts w:eastAsia="Arial" w:cs="Arial"/>
                <w:bCs/>
                <w:color w:val="auto"/>
              </w:rPr>
            </w:pPr>
          </w:p>
          <w:p w14:paraId="010C91BF" w14:textId="77777777" w:rsidR="00DA3B66" w:rsidRPr="00F515E4" w:rsidRDefault="00DA3B66" w:rsidP="00874A98">
            <w:pPr>
              <w:pStyle w:val="ListParagraph"/>
              <w:numPr>
                <w:ilvl w:val="0"/>
                <w:numId w:val="222"/>
              </w:numPr>
              <w:spacing w:after="0" w:line="240" w:lineRule="auto"/>
              <w:jc w:val="left"/>
              <w:rPr>
                <w:rFonts w:ascii="Arial" w:eastAsia="Arial" w:hAnsi="Arial" w:cs="Arial"/>
                <w:bCs/>
                <w:color w:val="auto"/>
              </w:rPr>
            </w:pPr>
            <w:r w:rsidRPr="00F515E4">
              <w:rPr>
                <w:rFonts w:ascii="Arial" w:eastAsia="Arial" w:hAnsi="Arial" w:cs="Arial"/>
                <w:bCs/>
                <w:color w:val="auto"/>
              </w:rPr>
              <w:t>Not result in overlooking that would result in loss of privacy;</w:t>
            </w:r>
          </w:p>
          <w:p w14:paraId="5A400089" w14:textId="77777777" w:rsidR="00DA3B66" w:rsidRPr="00F515E4" w:rsidRDefault="00DA3B66" w:rsidP="00905CC9">
            <w:pPr>
              <w:spacing w:before="0"/>
              <w:jc w:val="left"/>
              <w:rPr>
                <w:rFonts w:eastAsia="Arial" w:cs="Arial"/>
                <w:bCs/>
                <w:color w:val="auto"/>
              </w:rPr>
            </w:pPr>
          </w:p>
          <w:p w14:paraId="646171CB" w14:textId="77777777" w:rsidR="00DA3B66" w:rsidRPr="00F515E4" w:rsidRDefault="00DA3B66" w:rsidP="00874A98">
            <w:pPr>
              <w:pStyle w:val="ListParagraph"/>
              <w:numPr>
                <w:ilvl w:val="0"/>
                <w:numId w:val="222"/>
              </w:numPr>
              <w:spacing w:after="0" w:line="240" w:lineRule="auto"/>
              <w:jc w:val="left"/>
              <w:rPr>
                <w:rFonts w:ascii="Arial" w:eastAsia="Arial" w:hAnsi="Arial" w:cs="Arial"/>
                <w:bCs/>
                <w:color w:val="auto"/>
              </w:rPr>
            </w:pPr>
            <w:r w:rsidRPr="00F515E4">
              <w:rPr>
                <w:rFonts w:ascii="Arial" w:eastAsia="Arial" w:hAnsi="Arial" w:cs="Arial"/>
                <w:bCs/>
                <w:color w:val="auto"/>
              </w:rPr>
              <w:t>Avoid potential for pollution, including air quality, light spillage, noise and disturbance, and contamination of land, groundwater or surface water;</w:t>
            </w:r>
          </w:p>
          <w:p w14:paraId="09575EE1" w14:textId="77777777" w:rsidR="00DA3B66" w:rsidRPr="00F515E4" w:rsidRDefault="00DA3B66" w:rsidP="00905CC9">
            <w:pPr>
              <w:spacing w:before="0"/>
              <w:jc w:val="left"/>
              <w:rPr>
                <w:rFonts w:eastAsia="Arial" w:cs="Arial"/>
                <w:bCs/>
                <w:color w:val="auto"/>
              </w:rPr>
            </w:pPr>
          </w:p>
          <w:p w14:paraId="77DF80F4" w14:textId="77777777" w:rsidR="00DA3B66" w:rsidRPr="00F515E4" w:rsidRDefault="00DA3B66" w:rsidP="00874A98">
            <w:pPr>
              <w:pStyle w:val="ListParagraph"/>
              <w:numPr>
                <w:ilvl w:val="0"/>
                <w:numId w:val="222"/>
              </w:numPr>
              <w:spacing w:after="0" w:line="240" w:lineRule="auto"/>
              <w:jc w:val="left"/>
              <w:rPr>
                <w:rFonts w:ascii="Arial" w:eastAsia="Arial" w:hAnsi="Arial" w:cs="Arial"/>
                <w:bCs/>
                <w:color w:val="auto"/>
              </w:rPr>
            </w:pPr>
            <w:r w:rsidRPr="00F515E4">
              <w:rPr>
                <w:rFonts w:ascii="Arial" w:eastAsia="Arial" w:hAnsi="Arial" w:cs="Arial"/>
                <w:bCs/>
                <w:color w:val="auto"/>
              </w:rPr>
              <w:t>Achieve effective traffic movement to, from and within the site;</w:t>
            </w:r>
          </w:p>
          <w:p w14:paraId="5462F8B7" w14:textId="77777777" w:rsidR="00DA3B66" w:rsidRPr="00F515E4" w:rsidRDefault="00DA3B66" w:rsidP="00905CC9">
            <w:pPr>
              <w:spacing w:before="0"/>
              <w:jc w:val="left"/>
              <w:rPr>
                <w:rFonts w:eastAsia="Arial" w:cs="Arial"/>
                <w:bCs/>
                <w:color w:val="auto"/>
              </w:rPr>
            </w:pPr>
          </w:p>
          <w:p w14:paraId="73EC69DB" w14:textId="77777777" w:rsidR="00DA3B66" w:rsidRPr="00F515E4" w:rsidRDefault="00DA3B66" w:rsidP="00874A98">
            <w:pPr>
              <w:pStyle w:val="ListParagraph"/>
              <w:numPr>
                <w:ilvl w:val="0"/>
                <w:numId w:val="222"/>
              </w:numPr>
              <w:spacing w:after="0" w:line="240" w:lineRule="auto"/>
              <w:jc w:val="left"/>
              <w:rPr>
                <w:rFonts w:ascii="Arial" w:eastAsia="Arial" w:hAnsi="Arial" w:cs="Arial"/>
                <w:bCs/>
                <w:color w:val="auto"/>
              </w:rPr>
            </w:pPr>
            <w:r w:rsidRPr="00F515E4">
              <w:rPr>
                <w:rFonts w:ascii="Arial" w:eastAsia="Arial" w:hAnsi="Arial" w:cs="Arial"/>
                <w:bCs/>
                <w:color w:val="auto"/>
              </w:rPr>
              <w:t>Be appropriate in terms of appearance, scale and siting, including resultant physical relationships being oppressive or overbearing;</w:t>
            </w:r>
          </w:p>
          <w:p w14:paraId="4FA5ED8B" w14:textId="77777777" w:rsidR="00DA3B66" w:rsidRPr="00F515E4" w:rsidRDefault="00DA3B66" w:rsidP="00905CC9">
            <w:pPr>
              <w:spacing w:before="0"/>
              <w:jc w:val="left"/>
              <w:rPr>
                <w:rFonts w:eastAsia="Arial" w:cs="Arial"/>
                <w:bCs/>
                <w:color w:val="auto"/>
              </w:rPr>
            </w:pPr>
          </w:p>
          <w:p w14:paraId="2B96D86C" w14:textId="77777777" w:rsidR="00DA3B66" w:rsidRPr="00F515E4" w:rsidRDefault="00DA3B66" w:rsidP="00874A98">
            <w:pPr>
              <w:pStyle w:val="ListParagraph"/>
              <w:numPr>
                <w:ilvl w:val="0"/>
                <w:numId w:val="222"/>
              </w:numPr>
              <w:spacing w:after="0" w:line="240" w:lineRule="auto"/>
              <w:jc w:val="left"/>
              <w:rPr>
                <w:rFonts w:ascii="Arial" w:eastAsia="Arial" w:hAnsi="Arial" w:cs="Arial"/>
                <w:bCs/>
                <w:color w:val="auto"/>
              </w:rPr>
            </w:pPr>
            <w:r w:rsidRPr="00F515E4">
              <w:rPr>
                <w:rFonts w:ascii="Arial" w:eastAsia="Arial" w:hAnsi="Arial" w:cs="Arial"/>
                <w:bCs/>
                <w:color w:val="auto"/>
              </w:rPr>
              <w:t>Provide an acceptable boundary treatment in terms of privacy and visual amenity; and</w:t>
            </w:r>
          </w:p>
          <w:p w14:paraId="54F9626D" w14:textId="77777777" w:rsidR="00DA3B66" w:rsidRPr="00F515E4" w:rsidRDefault="00DA3B66" w:rsidP="00905CC9">
            <w:pPr>
              <w:spacing w:before="0"/>
              <w:jc w:val="left"/>
              <w:rPr>
                <w:rFonts w:eastAsia="Arial" w:cs="Arial"/>
                <w:bCs/>
                <w:color w:val="auto"/>
              </w:rPr>
            </w:pPr>
          </w:p>
          <w:p w14:paraId="7E41DC77" w14:textId="77777777" w:rsidR="00DA3B66" w:rsidRPr="00F515E4" w:rsidRDefault="00DA3B66" w:rsidP="00874A98">
            <w:pPr>
              <w:pStyle w:val="ListParagraph"/>
              <w:numPr>
                <w:ilvl w:val="0"/>
                <w:numId w:val="222"/>
              </w:numPr>
              <w:spacing w:after="0" w:line="240" w:lineRule="auto"/>
              <w:jc w:val="left"/>
              <w:rPr>
                <w:rFonts w:ascii="Arial" w:eastAsia="Arial" w:hAnsi="Arial" w:cs="Arial"/>
                <w:bCs/>
                <w:color w:val="auto"/>
              </w:rPr>
            </w:pPr>
            <w:r w:rsidRPr="00F515E4">
              <w:rPr>
                <w:rFonts w:ascii="Arial" w:eastAsia="Arial" w:hAnsi="Arial" w:cs="Arial"/>
                <w:bCs/>
                <w:color w:val="auto"/>
              </w:rPr>
              <w:t>Demonstrate that they will not undermine the quality of life or community cohesion of their surroundings through increased levels of vandalism, anti-social behaviour criminal activity and/or the fear of crime by:</w:t>
            </w:r>
          </w:p>
          <w:p w14:paraId="3FB3BE83" w14:textId="77777777" w:rsidR="00DA3B66" w:rsidRPr="00F515E4" w:rsidRDefault="00DA3B66" w:rsidP="00874A98">
            <w:pPr>
              <w:keepNext w:val="0"/>
              <w:numPr>
                <w:ilvl w:val="0"/>
                <w:numId w:val="221"/>
              </w:numPr>
              <w:spacing w:before="0"/>
              <w:jc w:val="left"/>
              <w:rPr>
                <w:rFonts w:eastAsia="Arial" w:cs="Arial"/>
                <w:bCs/>
                <w:color w:val="auto"/>
              </w:rPr>
            </w:pPr>
            <w:r w:rsidRPr="00F515E4">
              <w:rPr>
                <w:rFonts w:eastAsia="Arial" w:cs="Arial"/>
                <w:bCs/>
                <w:color w:val="auto"/>
              </w:rPr>
              <w:t xml:space="preserve">incorporating elements of Secured </w:t>
            </w:r>
            <w:proofErr w:type="gramStart"/>
            <w:r w:rsidRPr="00F515E4">
              <w:rPr>
                <w:rFonts w:eastAsia="Arial" w:cs="Arial"/>
                <w:bCs/>
                <w:color w:val="auto"/>
              </w:rPr>
              <w:t>By</w:t>
            </w:r>
            <w:proofErr w:type="gramEnd"/>
            <w:r w:rsidRPr="00F515E4">
              <w:rPr>
                <w:rFonts w:eastAsia="Arial" w:cs="Arial"/>
                <w:bCs/>
                <w:color w:val="auto"/>
              </w:rPr>
              <w:t xml:space="preserve"> Design or similar standards;</w:t>
            </w:r>
          </w:p>
          <w:p w14:paraId="6DA0760A" w14:textId="77777777" w:rsidR="00DA3B66" w:rsidRPr="00F515E4" w:rsidRDefault="00DA3B66" w:rsidP="00874A98">
            <w:pPr>
              <w:keepNext w:val="0"/>
              <w:numPr>
                <w:ilvl w:val="0"/>
                <w:numId w:val="221"/>
              </w:numPr>
              <w:spacing w:before="0"/>
              <w:jc w:val="left"/>
              <w:rPr>
                <w:rFonts w:eastAsia="Arial" w:cs="Arial"/>
                <w:bCs/>
                <w:color w:val="auto"/>
              </w:rPr>
            </w:pPr>
            <w:r w:rsidRPr="00F515E4">
              <w:rPr>
                <w:rFonts w:eastAsia="Arial" w:cs="Arial"/>
                <w:bCs/>
                <w:color w:val="auto"/>
              </w:rPr>
              <w:t xml:space="preserve">enabling passive surveillance of public spaces and parking; </w:t>
            </w:r>
          </w:p>
          <w:p w14:paraId="3FDD3E4A" w14:textId="77777777" w:rsidR="00DA3B66" w:rsidRPr="00F515E4" w:rsidRDefault="00DA3B66" w:rsidP="00874A98">
            <w:pPr>
              <w:keepNext w:val="0"/>
              <w:numPr>
                <w:ilvl w:val="0"/>
                <w:numId w:val="221"/>
              </w:numPr>
              <w:spacing w:before="0"/>
              <w:jc w:val="left"/>
              <w:rPr>
                <w:rFonts w:eastAsia="Arial" w:cs="Arial"/>
                <w:bCs/>
                <w:color w:val="auto"/>
              </w:rPr>
            </w:pPr>
            <w:r w:rsidRPr="00F515E4">
              <w:rPr>
                <w:rFonts w:eastAsia="Arial" w:cs="Arial"/>
                <w:bCs/>
                <w:color w:val="auto"/>
              </w:rPr>
              <w:t>distinguishing clearly between public and private areas; and</w:t>
            </w:r>
          </w:p>
          <w:p w14:paraId="25AB8303" w14:textId="77777777" w:rsidR="00DA3B66" w:rsidRPr="00F515E4" w:rsidRDefault="00DA3B66" w:rsidP="00874A98">
            <w:pPr>
              <w:keepNext w:val="0"/>
              <w:numPr>
                <w:ilvl w:val="0"/>
                <w:numId w:val="221"/>
              </w:numPr>
              <w:spacing w:before="0"/>
              <w:jc w:val="left"/>
              <w:rPr>
                <w:rFonts w:eastAsia="Arial" w:cs="Arial"/>
                <w:bCs/>
                <w:color w:val="auto"/>
              </w:rPr>
            </w:pPr>
            <w:r w:rsidRPr="00F515E4">
              <w:rPr>
                <w:rFonts w:eastAsia="Arial" w:cs="Arial"/>
                <w:bCs/>
                <w:color w:val="auto"/>
              </w:rPr>
              <w:t>incorporating appropriate security measures, such as lighting, CCTV and hard and soft landscape treatments.</w:t>
            </w:r>
          </w:p>
          <w:p w14:paraId="3FCDD3AB" w14:textId="77777777" w:rsidR="00DA3B66" w:rsidRPr="00F515E4" w:rsidRDefault="00DA3B66" w:rsidP="00874A98">
            <w:pPr>
              <w:keepNext w:val="0"/>
              <w:numPr>
                <w:ilvl w:val="0"/>
                <w:numId w:val="221"/>
              </w:numPr>
              <w:spacing w:before="0"/>
              <w:jc w:val="left"/>
              <w:rPr>
                <w:rFonts w:eastAsia="Arial" w:cs="Arial"/>
                <w:bCs/>
                <w:color w:val="auto"/>
              </w:rPr>
            </w:pPr>
            <w:r w:rsidRPr="00F515E4">
              <w:rPr>
                <w:rFonts w:eastAsia="Arial" w:cs="Arial"/>
                <w:bCs/>
                <w:color w:val="auto"/>
              </w:rPr>
              <w:t xml:space="preserve">Where appropriate, submission of a crime impact assessment. </w:t>
            </w:r>
          </w:p>
          <w:p w14:paraId="02691E8E" w14:textId="77777777" w:rsidR="00DA3B66" w:rsidRPr="00DA3B66" w:rsidRDefault="00DA3B66" w:rsidP="00905CC9">
            <w:pPr>
              <w:pStyle w:val="ListParagraph"/>
              <w:tabs>
                <w:tab w:val="left" w:pos="680"/>
                <w:tab w:val="left" w:pos="1133"/>
                <w:tab w:val="left" w:pos="2267"/>
              </w:tabs>
              <w:spacing w:after="0" w:line="240" w:lineRule="auto"/>
              <w:ind w:left="357" w:right="284"/>
              <w:jc w:val="left"/>
              <w:rPr>
                <w:rFonts w:ascii="Arial" w:eastAsia="Arial" w:hAnsi="Arial" w:cs="Arial"/>
                <w:bCs/>
                <w:color w:val="auto"/>
              </w:rPr>
            </w:pPr>
          </w:p>
          <w:p w14:paraId="60829677" w14:textId="77777777" w:rsidR="00F476A9" w:rsidRPr="00595970" w:rsidRDefault="00447AB3" w:rsidP="00874A98">
            <w:pPr>
              <w:pStyle w:val="ListParagraph"/>
              <w:numPr>
                <w:ilvl w:val="0"/>
                <w:numId w:val="305"/>
              </w:numPr>
              <w:tabs>
                <w:tab w:val="left" w:pos="680"/>
                <w:tab w:val="left" w:pos="1133"/>
                <w:tab w:val="left" w:pos="2267"/>
              </w:tabs>
              <w:spacing w:after="0" w:line="240" w:lineRule="auto"/>
              <w:ind w:left="357" w:right="284"/>
              <w:jc w:val="left"/>
              <w:rPr>
                <w:rFonts w:ascii="Arial" w:eastAsia="Arial" w:hAnsi="Arial" w:cs="Arial"/>
                <w:bCs/>
                <w:color w:val="auto"/>
              </w:rPr>
            </w:pPr>
            <w:r w:rsidRPr="00DA3B66">
              <w:rPr>
                <w:rFonts w:ascii="Arial" w:eastAsia="Arial" w:hAnsi="Arial" w:cs="Arial"/>
                <w:bCs/>
                <w:color w:val="auto"/>
              </w:rPr>
              <w:t>The Council will not support development where, through consultation with the Police and other relevant bodies, it is considered it will have the potential to exacerbate vandalism, anti-social behaviour and/or the fear of crime.</w:t>
            </w:r>
            <w:r w:rsidRPr="00DA3B66">
              <w:rPr>
                <w:rFonts w:eastAsia="Arial" w:cs="Arial"/>
                <w:bCs/>
                <w:color w:val="auto"/>
              </w:rPr>
              <w:t xml:space="preserve"> </w:t>
            </w:r>
          </w:p>
          <w:p w14:paraId="4324AB44" w14:textId="052F6C6A" w:rsidR="00595970" w:rsidRPr="00DA3B66" w:rsidRDefault="00595970" w:rsidP="00595970">
            <w:pPr>
              <w:pStyle w:val="ListParagraph"/>
              <w:tabs>
                <w:tab w:val="left" w:pos="680"/>
                <w:tab w:val="left" w:pos="1133"/>
                <w:tab w:val="left" w:pos="2267"/>
              </w:tabs>
              <w:spacing w:after="0" w:line="240" w:lineRule="auto"/>
              <w:ind w:left="357" w:right="284"/>
              <w:jc w:val="left"/>
              <w:rPr>
                <w:rFonts w:ascii="Arial" w:eastAsia="Arial" w:hAnsi="Arial" w:cs="Arial"/>
                <w:bCs/>
                <w:color w:val="auto"/>
              </w:rPr>
            </w:pPr>
          </w:p>
        </w:tc>
      </w:tr>
      <w:tr w:rsidR="00F476A9" w:rsidRPr="00F476A9" w14:paraId="0849E4E0" w14:textId="77777777" w:rsidTr="00163F59">
        <w:tc>
          <w:tcPr>
            <w:tcW w:w="2830" w:type="dxa"/>
          </w:tcPr>
          <w:p w14:paraId="3C30D4BD" w14:textId="77777777" w:rsidR="00F476A9" w:rsidRPr="00F476A9" w:rsidRDefault="00F476A9" w:rsidP="00905CC9">
            <w:pPr>
              <w:keepNext w:val="0"/>
              <w:tabs>
                <w:tab w:val="left" w:pos="680"/>
                <w:tab w:val="left" w:pos="1133"/>
                <w:tab w:val="left" w:pos="2267"/>
              </w:tabs>
              <w:spacing w:before="0"/>
              <w:ind w:right="284"/>
              <w:jc w:val="left"/>
              <w:rPr>
                <w:rFonts w:eastAsia="Arial"/>
                <w:b/>
                <w:color w:val="7030A0"/>
                <w:szCs w:val="24"/>
              </w:rPr>
            </w:pPr>
            <w:r w:rsidRPr="00F476A9">
              <w:rPr>
                <w:rFonts w:eastAsia="Arial"/>
                <w:bCs/>
                <w:color w:val="auto"/>
                <w:sz w:val="20"/>
              </w:rPr>
              <w:lastRenderedPageBreak/>
              <w:t>Evidence Base</w:t>
            </w:r>
          </w:p>
        </w:tc>
        <w:tc>
          <w:tcPr>
            <w:tcW w:w="6663" w:type="dxa"/>
          </w:tcPr>
          <w:p w14:paraId="385E2E1A" w14:textId="176A8EC8" w:rsidR="00F476A9" w:rsidRPr="00595970" w:rsidRDefault="00F476A9" w:rsidP="00874A98">
            <w:pPr>
              <w:keepNext w:val="0"/>
              <w:numPr>
                <w:ilvl w:val="0"/>
                <w:numId w:val="156"/>
              </w:numPr>
              <w:spacing w:before="0" w:after="160" w:line="252" w:lineRule="auto"/>
              <w:ind w:right="284"/>
              <w:contextualSpacing/>
              <w:jc w:val="left"/>
              <w:rPr>
                <w:rFonts w:eastAsia="Arial"/>
                <w:bCs/>
                <w:color w:val="auto"/>
                <w:sz w:val="20"/>
              </w:rPr>
            </w:pPr>
            <w:r w:rsidRPr="00595970">
              <w:rPr>
                <w:rFonts w:eastAsia="Arial"/>
                <w:bCs/>
                <w:color w:val="auto"/>
                <w:sz w:val="20"/>
              </w:rPr>
              <w:t>Sustainability Appraisal 202</w:t>
            </w:r>
            <w:r w:rsidR="00C1699D" w:rsidRPr="00595970">
              <w:rPr>
                <w:rFonts w:eastAsia="Arial"/>
                <w:bCs/>
                <w:color w:val="auto"/>
                <w:sz w:val="20"/>
              </w:rPr>
              <w:t>3.</w:t>
            </w:r>
            <w:r w:rsidRPr="00595970">
              <w:rPr>
                <w:rFonts w:eastAsia="Arial"/>
                <w:bCs/>
                <w:color w:val="auto"/>
                <w:sz w:val="20"/>
              </w:rPr>
              <w:t xml:space="preserve"> </w:t>
            </w:r>
            <w:r w:rsidR="00C1699D" w:rsidRPr="00595970">
              <w:rPr>
                <w:rFonts w:eastAsia="Arial"/>
                <w:bCs/>
                <w:color w:val="auto"/>
                <w:sz w:val="20"/>
              </w:rPr>
              <w:t>WSP UK Limited.</w:t>
            </w:r>
          </w:p>
          <w:p w14:paraId="101B7450" w14:textId="77777777" w:rsidR="00F476A9" w:rsidRPr="00595970" w:rsidRDefault="00F476A9" w:rsidP="00905CC9">
            <w:pPr>
              <w:keepNext w:val="0"/>
              <w:tabs>
                <w:tab w:val="left" w:pos="680"/>
                <w:tab w:val="left" w:pos="1133"/>
                <w:tab w:val="left" w:pos="2267"/>
              </w:tabs>
              <w:spacing w:before="0"/>
              <w:ind w:right="284"/>
              <w:jc w:val="left"/>
              <w:rPr>
                <w:rFonts w:eastAsia="Arial"/>
                <w:b/>
                <w:color w:val="auto"/>
                <w:szCs w:val="24"/>
              </w:rPr>
            </w:pPr>
          </w:p>
        </w:tc>
      </w:tr>
      <w:tr w:rsidR="00F476A9" w:rsidRPr="00F476A9" w14:paraId="2B168B65" w14:textId="77777777" w:rsidTr="00163F59">
        <w:tc>
          <w:tcPr>
            <w:tcW w:w="2830" w:type="dxa"/>
          </w:tcPr>
          <w:p w14:paraId="15DE279D" w14:textId="77777777" w:rsidR="00F476A9" w:rsidRPr="00F476A9" w:rsidRDefault="00F476A9" w:rsidP="00905CC9">
            <w:pPr>
              <w:keepNext w:val="0"/>
              <w:tabs>
                <w:tab w:val="left" w:pos="680"/>
                <w:tab w:val="left" w:pos="1133"/>
                <w:tab w:val="left" w:pos="2267"/>
              </w:tabs>
              <w:spacing w:before="0"/>
              <w:ind w:right="284"/>
              <w:jc w:val="left"/>
              <w:rPr>
                <w:rFonts w:eastAsia="Arial"/>
                <w:b/>
                <w:color w:val="auto"/>
                <w:sz w:val="22"/>
              </w:rPr>
            </w:pPr>
            <w:r w:rsidRPr="00F476A9">
              <w:rPr>
                <w:rFonts w:eastAsia="Arial" w:cs="Arial"/>
                <w:bCs/>
                <w:color w:val="auto"/>
                <w:sz w:val="20"/>
              </w:rPr>
              <w:t>National Planning Policy &amp; Guidance</w:t>
            </w:r>
          </w:p>
        </w:tc>
        <w:tc>
          <w:tcPr>
            <w:tcW w:w="6663" w:type="dxa"/>
          </w:tcPr>
          <w:p w14:paraId="06A27B65" w14:textId="1FD4EFAA" w:rsidR="00F476A9" w:rsidRPr="00595970" w:rsidRDefault="00F476A9" w:rsidP="00874A98">
            <w:pPr>
              <w:keepNext w:val="0"/>
              <w:numPr>
                <w:ilvl w:val="0"/>
                <w:numId w:val="158"/>
              </w:numPr>
              <w:tabs>
                <w:tab w:val="left" w:pos="360"/>
                <w:tab w:val="left" w:pos="1133"/>
                <w:tab w:val="left" w:pos="2267"/>
              </w:tabs>
              <w:spacing w:before="0" w:after="160" w:line="252" w:lineRule="auto"/>
              <w:ind w:right="284"/>
              <w:contextualSpacing/>
              <w:jc w:val="left"/>
              <w:rPr>
                <w:rFonts w:eastAsia="Arial"/>
                <w:bCs/>
                <w:color w:val="auto"/>
                <w:sz w:val="20"/>
              </w:rPr>
            </w:pPr>
            <w:r w:rsidRPr="00595970">
              <w:rPr>
                <w:rFonts w:eastAsia="Arial"/>
                <w:bCs/>
                <w:color w:val="auto"/>
                <w:sz w:val="20"/>
              </w:rPr>
              <w:t>NPPF 202</w:t>
            </w:r>
            <w:r w:rsidR="004173E0" w:rsidRPr="00595970">
              <w:rPr>
                <w:rFonts w:eastAsia="Arial"/>
                <w:bCs/>
                <w:color w:val="auto"/>
                <w:sz w:val="20"/>
              </w:rPr>
              <w:t>3</w:t>
            </w:r>
            <w:r w:rsidRPr="00595970">
              <w:rPr>
                <w:rFonts w:eastAsia="Arial"/>
                <w:bCs/>
                <w:color w:val="auto"/>
                <w:sz w:val="20"/>
              </w:rPr>
              <w:t>, Part 2 – Achieving Sustainable Development</w:t>
            </w:r>
          </w:p>
          <w:p w14:paraId="22647E80" w14:textId="2A91BDF0" w:rsidR="00F476A9" w:rsidRPr="00595970" w:rsidRDefault="00F476A9" w:rsidP="00874A98">
            <w:pPr>
              <w:keepNext w:val="0"/>
              <w:numPr>
                <w:ilvl w:val="0"/>
                <w:numId w:val="157"/>
              </w:numPr>
              <w:tabs>
                <w:tab w:val="left" w:pos="360"/>
                <w:tab w:val="left" w:pos="1133"/>
                <w:tab w:val="left" w:pos="2267"/>
              </w:tabs>
              <w:spacing w:before="0" w:after="160" w:line="252" w:lineRule="auto"/>
              <w:ind w:left="328" w:right="284" w:hanging="328"/>
              <w:contextualSpacing/>
              <w:jc w:val="left"/>
              <w:rPr>
                <w:rFonts w:eastAsia="Arial"/>
                <w:bCs/>
                <w:color w:val="auto"/>
                <w:sz w:val="20"/>
              </w:rPr>
            </w:pPr>
            <w:r w:rsidRPr="00595970">
              <w:rPr>
                <w:rFonts w:eastAsia="Arial"/>
                <w:bCs/>
                <w:color w:val="auto"/>
                <w:sz w:val="20"/>
              </w:rPr>
              <w:t>NPPF 202</w:t>
            </w:r>
            <w:r w:rsidR="004173E0" w:rsidRPr="00595970">
              <w:rPr>
                <w:rFonts w:eastAsia="Arial"/>
                <w:bCs/>
                <w:color w:val="auto"/>
                <w:sz w:val="20"/>
              </w:rPr>
              <w:t>3</w:t>
            </w:r>
            <w:r w:rsidRPr="00595970">
              <w:rPr>
                <w:rFonts w:eastAsia="Arial"/>
                <w:bCs/>
                <w:color w:val="auto"/>
                <w:sz w:val="20"/>
              </w:rPr>
              <w:t>, Part 12 – Achieving Well Designed Places</w:t>
            </w:r>
          </w:p>
          <w:p w14:paraId="7472A80C" w14:textId="166FA938" w:rsidR="00F916A1" w:rsidRPr="00595970" w:rsidRDefault="00F476A9" w:rsidP="00874A98">
            <w:pPr>
              <w:keepNext w:val="0"/>
              <w:numPr>
                <w:ilvl w:val="0"/>
                <w:numId w:val="157"/>
              </w:numPr>
              <w:tabs>
                <w:tab w:val="left" w:pos="360"/>
                <w:tab w:val="left" w:pos="1133"/>
                <w:tab w:val="left" w:pos="2267"/>
              </w:tabs>
              <w:spacing w:before="0" w:after="160" w:line="252" w:lineRule="auto"/>
              <w:ind w:left="328" w:right="284" w:hanging="328"/>
              <w:contextualSpacing/>
              <w:jc w:val="left"/>
              <w:rPr>
                <w:rFonts w:eastAsia="Arial"/>
                <w:bCs/>
                <w:color w:val="auto"/>
                <w:sz w:val="20"/>
              </w:rPr>
            </w:pPr>
            <w:r w:rsidRPr="00595970">
              <w:rPr>
                <w:rFonts w:eastAsia="Arial"/>
                <w:bCs/>
                <w:color w:val="auto"/>
                <w:sz w:val="20"/>
              </w:rPr>
              <w:t xml:space="preserve">Planning Practice Guidance Design: Process and Tools as </w:t>
            </w:r>
            <w:r w:rsidR="00EA7D34" w:rsidRPr="00595970">
              <w:rPr>
                <w:rFonts w:eastAsia="Arial"/>
                <w:bCs/>
                <w:color w:val="auto"/>
                <w:sz w:val="20"/>
              </w:rPr>
              <w:t>of</w:t>
            </w:r>
            <w:r w:rsidRPr="00595970">
              <w:rPr>
                <w:rFonts w:eastAsia="Arial"/>
                <w:bCs/>
                <w:color w:val="auto"/>
                <w:sz w:val="20"/>
              </w:rPr>
              <w:t xml:space="preserve"> </w:t>
            </w:r>
            <w:r w:rsidR="00C1699D" w:rsidRPr="00595970">
              <w:rPr>
                <w:rFonts w:eastAsia="Arial"/>
                <w:bCs/>
                <w:color w:val="auto"/>
                <w:sz w:val="20"/>
              </w:rPr>
              <w:t>October 2019.</w:t>
            </w:r>
          </w:p>
          <w:p w14:paraId="68AC0A5D" w14:textId="1123F1F7" w:rsidR="00F476A9" w:rsidRPr="00595970" w:rsidRDefault="00F476A9" w:rsidP="00874A98">
            <w:pPr>
              <w:keepNext w:val="0"/>
              <w:numPr>
                <w:ilvl w:val="0"/>
                <w:numId w:val="157"/>
              </w:numPr>
              <w:tabs>
                <w:tab w:val="left" w:pos="360"/>
                <w:tab w:val="left" w:pos="1133"/>
                <w:tab w:val="left" w:pos="2267"/>
              </w:tabs>
              <w:spacing w:before="0" w:after="160" w:line="252" w:lineRule="auto"/>
              <w:ind w:left="328" w:right="284" w:hanging="328"/>
              <w:contextualSpacing/>
              <w:jc w:val="left"/>
              <w:rPr>
                <w:rFonts w:eastAsia="Arial"/>
                <w:bCs/>
                <w:color w:val="auto"/>
                <w:sz w:val="20"/>
              </w:rPr>
            </w:pPr>
            <w:r w:rsidRPr="00595970">
              <w:rPr>
                <w:rFonts w:eastAsia="Arial"/>
                <w:bCs/>
                <w:color w:val="auto"/>
                <w:sz w:val="20"/>
              </w:rPr>
              <w:t xml:space="preserve">Planning Practice Guidance Neighbourhood Planning as </w:t>
            </w:r>
            <w:proofErr w:type="gramStart"/>
            <w:r w:rsidRPr="00595970">
              <w:rPr>
                <w:rFonts w:eastAsia="Arial"/>
                <w:bCs/>
                <w:color w:val="auto"/>
                <w:sz w:val="20"/>
              </w:rPr>
              <w:t>at</w:t>
            </w:r>
            <w:proofErr w:type="gramEnd"/>
            <w:r w:rsidRPr="00595970">
              <w:rPr>
                <w:rFonts w:eastAsia="Arial"/>
                <w:bCs/>
                <w:color w:val="auto"/>
                <w:sz w:val="20"/>
              </w:rPr>
              <w:t xml:space="preserve"> </w:t>
            </w:r>
            <w:r w:rsidR="00C1699D" w:rsidRPr="00595970">
              <w:rPr>
                <w:rFonts w:eastAsia="Arial"/>
                <w:bCs/>
                <w:color w:val="auto"/>
                <w:sz w:val="20"/>
              </w:rPr>
              <w:t>September 2020.</w:t>
            </w:r>
          </w:p>
        </w:tc>
      </w:tr>
    </w:tbl>
    <w:p w14:paraId="705B53DE" w14:textId="7AAD616F" w:rsidR="00F476A9" w:rsidRDefault="00F476A9" w:rsidP="00F476A9">
      <w:pPr>
        <w:keepNext w:val="0"/>
        <w:spacing w:before="0"/>
        <w:ind w:left="709"/>
        <w:rPr>
          <w:rFonts w:cs="Arial"/>
          <w:color w:val="auto"/>
          <w:lang w:eastAsia="en-US"/>
        </w:rPr>
      </w:pPr>
    </w:p>
    <w:p w14:paraId="4FDB55CF" w14:textId="2C77CA74" w:rsidR="00F476A9" w:rsidRPr="00F476A9" w:rsidRDefault="00F476A9" w:rsidP="00F476A9">
      <w:pPr>
        <w:keepNext w:val="0"/>
        <w:numPr>
          <w:ilvl w:val="1"/>
          <w:numId w:val="7"/>
        </w:numPr>
        <w:tabs>
          <w:tab w:val="clear" w:pos="525"/>
        </w:tabs>
        <w:spacing w:before="0"/>
        <w:ind w:left="709" w:hanging="709"/>
        <w:rPr>
          <w:rFonts w:cs="Arial"/>
          <w:color w:val="auto"/>
          <w:szCs w:val="24"/>
          <w:lang w:eastAsia="en-US"/>
        </w:rPr>
      </w:pPr>
      <w:r w:rsidRPr="00F476A9">
        <w:rPr>
          <w:rFonts w:cs="Arial"/>
          <w:color w:val="auto"/>
          <w:lang w:eastAsia="en-US"/>
        </w:rPr>
        <w:t xml:space="preserve">National planning policy promotes more intensive forms of development to make more efficient use of land and </w:t>
      </w:r>
      <w:proofErr w:type="gramStart"/>
      <w:r w:rsidRPr="00F476A9">
        <w:rPr>
          <w:rFonts w:cs="Arial"/>
          <w:color w:val="auto"/>
          <w:lang w:eastAsia="en-US"/>
        </w:rPr>
        <w:t>buildings</w:t>
      </w:r>
      <w:proofErr w:type="gramEnd"/>
      <w:r w:rsidRPr="00F476A9">
        <w:rPr>
          <w:rFonts w:cs="Arial"/>
          <w:color w:val="auto"/>
          <w:lang w:eastAsia="en-US"/>
        </w:rPr>
        <w:t xml:space="preserve"> and this increases the importance of careful design, layout and orientation to ensure proposals do not adversely affect others. Such considerations apply equally to proposals to extend or alter existing buildings as they do to new developments. </w:t>
      </w:r>
    </w:p>
    <w:p w14:paraId="0A9E9F55" w14:textId="77777777" w:rsidR="00F476A9" w:rsidRDefault="00F476A9" w:rsidP="00F476A9">
      <w:pPr>
        <w:keepNext w:val="0"/>
        <w:spacing w:before="0"/>
        <w:ind w:left="709"/>
        <w:rPr>
          <w:rFonts w:cs="Arial"/>
          <w:color w:val="auto"/>
          <w:szCs w:val="24"/>
          <w:lang w:eastAsia="en-US"/>
        </w:rPr>
      </w:pPr>
    </w:p>
    <w:p w14:paraId="0DA72EDA" w14:textId="77777777" w:rsidR="00F476A9" w:rsidRDefault="00F476A9" w:rsidP="00F476A9">
      <w:pPr>
        <w:keepNext w:val="0"/>
        <w:numPr>
          <w:ilvl w:val="1"/>
          <w:numId w:val="7"/>
        </w:numPr>
        <w:tabs>
          <w:tab w:val="clear" w:pos="525"/>
        </w:tabs>
        <w:spacing w:before="0"/>
        <w:ind w:left="709" w:hanging="709"/>
        <w:rPr>
          <w:rFonts w:cs="Arial"/>
          <w:color w:val="auto"/>
          <w:szCs w:val="24"/>
          <w:lang w:eastAsia="en-US"/>
        </w:rPr>
      </w:pPr>
      <w:r w:rsidRPr="00F476A9">
        <w:rPr>
          <w:rFonts w:cs="Arial"/>
          <w:color w:val="auto"/>
          <w:lang w:eastAsia="en-US"/>
        </w:rPr>
        <w:lastRenderedPageBreak/>
        <w:t>Protection and enhancement of amenity is essential to maintaining quality of life and ensuring the successful integration of new development into existing neighbourhoods. A vital part of this is to ensure that new development takes account of community and individual privacy, safety considerations and potential for crime or anti-social behaviour.</w:t>
      </w:r>
    </w:p>
    <w:p w14:paraId="0704C9AC" w14:textId="77777777" w:rsidR="00F476A9" w:rsidRPr="00F476A9" w:rsidRDefault="00F476A9" w:rsidP="00F476A9">
      <w:pPr>
        <w:keepNext w:val="0"/>
        <w:spacing w:before="0"/>
        <w:ind w:left="709"/>
        <w:rPr>
          <w:rFonts w:cs="Arial"/>
          <w:color w:val="auto"/>
          <w:szCs w:val="24"/>
          <w:lang w:eastAsia="en-US"/>
        </w:rPr>
      </w:pPr>
    </w:p>
    <w:p w14:paraId="55046256" w14:textId="1C49939A" w:rsidR="00F476A9" w:rsidRPr="00F476A9" w:rsidRDefault="00F476A9" w:rsidP="00F476A9">
      <w:pPr>
        <w:keepNext w:val="0"/>
        <w:numPr>
          <w:ilvl w:val="1"/>
          <w:numId w:val="7"/>
        </w:numPr>
        <w:tabs>
          <w:tab w:val="clear" w:pos="525"/>
        </w:tabs>
        <w:spacing w:before="0"/>
        <w:ind w:left="709" w:hanging="709"/>
        <w:rPr>
          <w:rFonts w:cs="Arial"/>
          <w:color w:val="auto"/>
          <w:szCs w:val="24"/>
          <w:lang w:eastAsia="en-US"/>
        </w:rPr>
      </w:pPr>
      <w:r w:rsidRPr="00F476A9">
        <w:rPr>
          <w:rFonts w:cs="Arial"/>
          <w:color w:val="auto"/>
          <w:lang w:eastAsia="en-US"/>
        </w:rPr>
        <w:t xml:space="preserve">The above </w:t>
      </w:r>
      <w:r w:rsidR="00F05D84">
        <w:rPr>
          <w:rFonts w:cs="Arial"/>
          <w:color w:val="auto"/>
          <w:lang w:eastAsia="en-US"/>
        </w:rPr>
        <w:t>P</w:t>
      </w:r>
      <w:r w:rsidRPr="00F476A9">
        <w:rPr>
          <w:rFonts w:cs="Arial"/>
          <w:color w:val="auto"/>
          <w:lang w:eastAsia="en-US"/>
        </w:rPr>
        <w:t>olicy sets out the criteria that will be used to assess whether a proposal will have a significant impact upon amenity. Further guidance on how this is detailed within the Residential Design Guide Supplementary Planning Documents (SPD)</w:t>
      </w:r>
      <w:r>
        <w:rPr>
          <w:rFonts w:cs="Arial"/>
          <w:color w:val="auto"/>
          <w:lang w:eastAsia="en-US"/>
        </w:rPr>
        <w:t>.</w:t>
      </w:r>
    </w:p>
    <w:p w14:paraId="06CC2095" w14:textId="77777777" w:rsidR="00F476A9" w:rsidRPr="00F476A9" w:rsidRDefault="00F476A9" w:rsidP="00F476A9">
      <w:pPr>
        <w:keepNext w:val="0"/>
        <w:spacing w:before="0"/>
        <w:ind w:left="709"/>
        <w:rPr>
          <w:rFonts w:cs="Arial"/>
          <w:color w:val="auto"/>
          <w:szCs w:val="24"/>
          <w:lang w:eastAsia="en-US"/>
        </w:rPr>
      </w:pPr>
    </w:p>
    <w:p w14:paraId="6AD984A1" w14:textId="77777777" w:rsidR="00F476A9" w:rsidRDefault="00F476A9" w:rsidP="00F476A9">
      <w:pPr>
        <w:keepNext w:val="0"/>
        <w:numPr>
          <w:ilvl w:val="1"/>
          <w:numId w:val="7"/>
        </w:numPr>
        <w:tabs>
          <w:tab w:val="clear" w:pos="525"/>
        </w:tabs>
        <w:spacing w:before="0"/>
        <w:ind w:left="709" w:hanging="709"/>
        <w:rPr>
          <w:rFonts w:cs="Arial"/>
          <w:color w:val="auto"/>
          <w:szCs w:val="24"/>
          <w:lang w:eastAsia="en-US"/>
        </w:rPr>
      </w:pPr>
      <w:r w:rsidRPr="00F476A9">
        <w:rPr>
          <w:rFonts w:cs="Arial"/>
          <w:color w:val="auto"/>
          <w:lang w:eastAsia="en-US"/>
        </w:rPr>
        <w:t xml:space="preserve">The Council will not permit any development which has a seriously detrimental effect on neighbouring properties by reasons of overlooking, massing or overbearing impact. Equally, proposals that do not provide adequate amenity for its proposed users / residents will not be supported. </w:t>
      </w:r>
    </w:p>
    <w:p w14:paraId="4F7B0345" w14:textId="3D394A87" w:rsidR="00F476A9" w:rsidRDefault="00F476A9" w:rsidP="00F476A9">
      <w:pPr>
        <w:keepNext w:val="0"/>
        <w:spacing w:before="0"/>
        <w:ind w:left="709"/>
        <w:rPr>
          <w:rFonts w:cs="Arial"/>
          <w:color w:val="auto"/>
          <w:szCs w:val="24"/>
          <w:lang w:eastAsia="en-US"/>
        </w:rPr>
      </w:pPr>
    </w:p>
    <w:p w14:paraId="59ECFC6D" w14:textId="32B61342" w:rsidR="00F476A9" w:rsidRPr="00F515E4" w:rsidRDefault="00F476A9" w:rsidP="00F476A9">
      <w:pPr>
        <w:keepNext w:val="0"/>
        <w:spacing w:before="0"/>
        <w:ind w:left="709"/>
        <w:rPr>
          <w:rFonts w:cs="Arial"/>
          <w:b/>
          <w:bCs/>
          <w:color w:val="auto"/>
          <w:szCs w:val="24"/>
          <w:lang w:eastAsia="en-US"/>
        </w:rPr>
      </w:pPr>
      <w:r w:rsidRPr="00F515E4">
        <w:rPr>
          <w:rFonts w:cs="Arial"/>
          <w:b/>
          <w:bCs/>
          <w:color w:val="auto"/>
          <w:szCs w:val="24"/>
          <w:lang w:eastAsia="en-US"/>
        </w:rPr>
        <w:t>Care Homes</w:t>
      </w:r>
    </w:p>
    <w:p w14:paraId="77F6DDD9" w14:textId="77777777" w:rsidR="00F476A9" w:rsidRPr="00F476A9" w:rsidRDefault="00F476A9" w:rsidP="00F476A9">
      <w:pPr>
        <w:keepNext w:val="0"/>
        <w:numPr>
          <w:ilvl w:val="1"/>
          <w:numId w:val="7"/>
        </w:numPr>
        <w:tabs>
          <w:tab w:val="clear" w:pos="525"/>
        </w:tabs>
        <w:spacing w:before="0"/>
        <w:ind w:left="709" w:hanging="709"/>
        <w:rPr>
          <w:rFonts w:cs="Arial"/>
          <w:color w:val="auto"/>
          <w:szCs w:val="24"/>
          <w:lang w:eastAsia="en-US"/>
        </w:rPr>
      </w:pPr>
      <w:r w:rsidRPr="00F476A9">
        <w:rPr>
          <w:rFonts w:cs="Arial"/>
          <w:color w:val="auto"/>
          <w:lang w:eastAsia="en-US"/>
        </w:rPr>
        <w:t>Proposals for new or extensions to existing Care Homes should ensure that all bedrooms and communal rooms, such as lounges and dining rooms, will normally have a pleasant and interesting outlook and a minimum unobstructed view of 4.5 metres. The pleasantness and safety of the outdoor environment is known to be significantly associated with people’s perception of their quality of life. It is therefore important to consider the design features to be adopted both in the grounds of the scheme and in the immediate vicinity. A private garden on a level site should be provided, with either a minimum total area of 150 square metres, or a minimum of 6 square metres per resident, whichever is the greater</w:t>
      </w:r>
      <w:r>
        <w:rPr>
          <w:rFonts w:cs="Arial"/>
          <w:color w:val="auto"/>
          <w:lang w:eastAsia="en-US"/>
        </w:rPr>
        <w:t>.</w:t>
      </w:r>
    </w:p>
    <w:p w14:paraId="611B14F1" w14:textId="77777777" w:rsidR="008301BC" w:rsidRDefault="008301BC" w:rsidP="008301BC">
      <w:pPr>
        <w:keepNext w:val="0"/>
        <w:spacing w:before="0"/>
        <w:ind w:left="709"/>
        <w:rPr>
          <w:rFonts w:cs="Arial"/>
          <w:color w:val="auto"/>
          <w:lang w:eastAsia="en-US"/>
        </w:rPr>
      </w:pPr>
    </w:p>
    <w:p w14:paraId="6753824E" w14:textId="25BBBE61" w:rsidR="008301BC" w:rsidRPr="00F515E4" w:rsidRDefault="00F476A9" w:rsidP="008301BC">
      <w:pPr>
        <w:keepNext w:val="0"/>
        <w:spacing w:before="0"/>
        <w:ind w:left="709"/>
        <w:rPr>
          <w:rFonts w:cs="Arial"/>
          <w:b/>
          <w:bCs/>
          <w:color w:val="auto"/>
          <w:szCs w:val="24"/>
          <w:lang w:eastAsia="en-US"/>
        </w:rPr>
      </w:pPr>
      <w:r w:rsidRPr="00F515E4">
        <w:rPr>
          <w:rFonts w:cs="Arial"/>
          <w:b/>
          <w:bCs/>
          <w:color w:val="auto"/>
          <w:lang w:eastAsia="en-US"/>
        </w:rPr>
        <w:t>Open Space &amp; Gardens</w:t>
      </w:r>
    </w:p>
    <w:p w14:paraId="1604B8E8" w14:textId="16D45C9C" w:rsidR="008301BC" w:rsidRPr="008301BC" w:rsidRDefault="00F476A9" w:rsidP="00F476A9">
      <w:pPr>
        <w:keepNext w:val="0"/>
        <w:numPr>
          <w:ilvl w:val="1"/>
          <w:numId w:val="7"/>
        </w:numPr>
        <w:tabs>
          <w:tab w:val="clear" w:pos="525"/>
        </w:tabs>
        <w:spacing w:before="0"/>
        <w:ind w:left="709" w:hanging="709"/>
        <w:rPr>
          <w:rFonts w:cs="Arial"/>
          <w:color w:val="auto"/>
          <w:szCs w:val="24"/>
          <w:lang w:eastAsia="en-US"/>
        </w:rPr>
      </w:pPr>
      <w:r w:rsidRPr="008301BC">
        <w:rPr>
          <w:rFonts w:cs="Arial"/>
          <w:color w:val="auto"/>
          <w:lang w:eastAsia="en-US"/>
        </w:rPr>
        <w:t xml:space="preserve">Access to good quality public open spaces and opportunities for sport and recreation can make an important contribution to the health and wellbeing of communities. The Ashfield Public Open </w:t>
      </w:r>
      <w:r w:rsidR="009D1C50" w:rsidRPr="008301BC">
        <w:rPr>
          <w:rFonts w:cs="Arial"/>
          <w:color w:val="auto"/>
          <w:lang w:eastAsia="en-US"/>
        </w:rPr>
        <w:t>Strategy identifies</w:t>
      </w:r>
      <w:r w:rsidRPr="008301BC">
        <w:rPr>
          <w:rFonts w:cs="Arial"/>
          <w:color w:val="auto"/>
          <w:lang w:eastAsia="en-US"/>
        </w:rPr>
        <w:t xml:space="preserve"> the Council’s aims and objectives for improving the quality and access to public open space within the </w:t>
      </w:r>
      <w:proofErr w:type="gramStart"/>
      <w:r w:rsidRPr="008301BC">
        <w:rPr>
          <w:rFonts w:cs="Arial"/>
          <w:color w:val="auto"/>
          <w:lang w:eastAsia="en-US"/>
        </w:rPr>
        <w:t>District</w:t>
      </w:r>
      <w:proofErr w:type="gramEnd"/>
      <w:r w:rsidRPr="008301BC">
        <w:rPr>
          <w:rFonts w:cs="Arial"/>
          <w:color w:val="auto"/>
          <w:lang w:eastAsia="en-US"/>
        </w:rPr>
        <w:t xml:space="preserve"> and sets out Local Standards for provision through new development. The Strategy aims to ensure a consistent approach to the planning of public open space, enabling the development process to achieve the right type, quantity and quality of public open space.</w:t>
      </w:r>
    </w:p>
    <w:p w14:paraId="15568EE0" w14:textId="77777777" w:rsidR="008301BC" w:rsidRDefault="008301BC" w:rsidP="008301BC">
      <w:pPr>
        <w:keepNext w:val="0"/>
        <w:spacing w:before="0"/>
        <w:ind w:left="709"/>
        <w:rPr>
          <w:rFonts w:cs="Arial"/>
          <w:color w:val="auto"/>
          <w:szCs w:val="24"/>
          <w:lang w:eastAsia="en-US"/>
        </w:rPr>
      </w:pPr>
    </w:p>
    <w:p w14:paraId="1D0BAAB5" w14:textId="2746D388" w:rsidR="008301BC" w:rsidRPr="008301BC" w:rsidRDefault="00F476A9" w:rsidP="00F476A9">
      <w:pPr>
        <w:keepNext w:val="0"/>
        <w:numPr>
          <w:ilvl w:val="1"/>
          <w:numId w:val="7"/>
        </w:numPr>
        <w:tabs>
          <w:tab w:val="clear" w:pos="525"/>
        </w:tabs>
        <w:spacing w:before="0"/>
        <w:ind w:left="709" w:hanging="709"/>
        <w:rPr>
          <w:rFonts w:cs="Arial"/>
          <w:color w:val="auto"/>
          <w:szCs w:val="24"/>
          <w:lang w:eastAsia="en-US"/>
        </w:rPr>
      </w:pPr>
      <w:r w:rsidRPr="008301BC">
        <w:rPr>
          <w:rFonts w:cs="Arial"/>
          <w:color w:val="auto"/>
          <w:lang w:eastAsia="en-US"/>
        </w:rPr>
        <w:t>In addition to public open space, adequate garden space should normally be   provided within the curtilage of new dwellings as set out in Ashfield’s Residential Design Guide Supplementary Planning Document. Garden size is an essential part of the amenity of residential development and new houses should ordinarily have gardens that are comparable with those of adjacent properties, providing adequate private space for drying laundry, sitting out and for children’s play. Proposals which arithmetically achieve the required area of private garden ground, but only by aggregating an assortment of irregular pieces of land, i.e. narrow strips or verges to the side of the house or ground which is significantly sloping, will not be acceptable</w:t>
      </w:r>
      <w:r w:rsidR="008301BC">
        <w:rPr>
          <w:rFonts w:cs="Arial"/>
          <w:color w:val="auto"/>
          <w:lang w:eastAsia="en-US"/>
        </w:rPr>
        <w:t>.</w:t>
      </w:r>
    </w:p>
    <w:p w14:paraId="15DB6463" w14:textId="77777777" w:rsidR="008301BC" w:rsidRDefault="008301BC" w:rsidP="008301BC">
      <w:pPr>
        <w:keepNext w:val="0"/>
        <w:spacing w:before="0"/>
        <w:ind w:left="709"/>
        <w:rPr>
          <w:rFonts w:cs="Arial"/>
          <w:color w:val="auto"/>
          <w:lang w:eastAsia="en-US"/>
        </w:rPr>
      </w:pPr>
    </w:p>
    <w:p w14:paraId="4946F1A4" w14:textId="77777777" w:rsidR="00DA3B66" w:rsidRDefault="00DA3B66" w:rsidP="008301BC">
      <w:pPr>
        <w:keepNext w:val="0"/>
        <w:spacing w:before="0"/>
        <w:ind w:left="709"/>
        <w:rPr>
          <w:rFonts w:cs="Arial"/>
          <w:b/>
          <w:bCs/>
          <w:color w:val="auto"/>
          <w:lang w:eastAsia="en-US"/>
        </w:rPr>
      </w:pPr>
    </w:p>
    <w:p w14:paraId="3F863565" w14:textId="77777777" w:rsidR="00DA3B66" w:rsidRDefault="00DA3B66" w:rsidP="008301BC">
      <w:pPr>
        <w:keepNext w:val="0"/>
        <w:spacing w:before="0"/>
        <w:ind w:left="709"/>
        <w:rPr>
          <w:rFonts w:cs="Arial"/>
          <w:b/>
          <w:bCs/>
          <w:color w:val="auto"/>
          <w:lang w:eastAsia="en-US"/>
        </w:rPr>
      </w:pPr>
    </w:p>
    <w:p w14:paraId="5B8C517E" w14:textId="41B107D4" w:rsidR="008301BC" w:rsidRPr="00F515E4" w:rsidRDefault="00F476A9" w:rsidP="008301BC">
      <w:pPr>
        <w:keepNext w:val="0"/>
        <w:spacing w:before="0"/>
        <w:ind w:left="709"/>
        <w:rPr>
          <w:rFonts w:cs="Arial"/>
          <w:b/>
          <w:bCs/>
          <w:color w:val="auto"/>
          <w:szCs w:val="24"/>
          <w:lang w:eastAsia="en-US"/>
        </w:rPr>
      </w:pPr>
      <w:r w:rsidRPr="00F515E4">
        <w:rPr>
          <w:rFonts w:cs="Arial"/>
          <w:b/>
          <w:bCs/>
          <w:color w:val="auto"/>
          <w:lang w:eastAsia="en-US"/>
        </w:rPr>
        <w:lastRenderedPageBreak/>
        <w:t>Privacy Distances</w:t>
      </w:r>
    </w:p>
    <w:p w14:paraId="25A51C3F" w14:textId="77777777" w:rsidR="008301BC" w:rsidRDefault="00F476A9" w:rsidP="008301BC">
      <w:pPr>
        <w:keepNext w:val="0"/>
        <w:numPr>
          <w:ilvl w:val="1"/>
          <w:numId w:val="7"/>
        </w:numPr>
        <w:tabs>
          <w:tab w:val="clear" w:pos="525"/>
        </w:tabs>
        <w:spacing w:before="0"/>
        <w:ind w:left="709" w:hanging="709"/>
        <w:rPr>
          <w:rFonts w:cs="Arial"/>
          <w:color w:val="auto"/>
          <w:szCs w:val="24"/>
          <w:lang w:eastAsia="en-US"/>
        </w:rPr>
      </w:pPr>
      <w:r w:rsidRPr="008301BC">
        <w:rPr>
          <w:rFonts w:cs="Arial"/>
          <w:color w:val="auto"/>
          <w:lang w:eastAsia="en-US"/>
        </w:rPr>
        <w:t>To minimise loss of privacy from overlooking, minimum distances between the main aspects of proposed developments should be maintained as set out in Ashfield’s Residential Design Guide SPD</w:t>
      </w:r>
      <w:r w:rsidR="008301BC">
        <w:rPr>
          <w:rFonts w:cs="Arial"/>
          <w:color w:val="auto"/>
          <w:lang w:eastAsia="en-US"/>
        </w:rPr>
        <w:t>.</w:t>
      </w:r>
    </w:p>
    <w:p w14:paraId="4196404B" w14:textId="77777777" w:rsidR="008301BC" w:rsidRDefault="008301BC" w:rsidP="008301BC">
      <w:pPr>
        <w:keepNext w:val="0"/>
        <w:spacing w:before="0"/>
        <w:ind w:left="709"/>
        <w:rPr>
          <w:rFonts w:cs="Arial"/>
          <w:color w:val="auto"/>
          <w:lang w:eastAsia="en-US"/>
        </w:rPr>
      </w:pPr>
    </w:p>
    <w:p w14:paraId="230B3B47" w14:textId="00EDE5D1" w:rsidR="008301BC" w:rsidRPr="00F515E4" w:rsidRDefault="00F476A9" w:rsidP="008301BC">
      <w:pPr>
        <w:keepNext w:val="0"/>
        <w:spacing w:before="0"/>
        <w:ind w:left="709"/>
        <w:rPr>
          <w:rFonts w:cs="Arial"/>
          <w:b/>
          <w:bCs/>
          <w:color w:val="auto"/>
          <w:szCs w:val="24"/>
          <w:lang w:eastAsia="en-US"/>
        </w:rPr>
      </w:pPr>
      <w:r w:rsidRPr="00F515E4">
        <w:rPr>
          <w:rFonts w:cs="Arial"/>
          <w:b/>
          <w:bCs/>
          <w:color w:val="auto"/>
          <w:lang w:eastAsia="en-US"/>
        </w:rPr>
        <w:t>Access</w:t>
      </w:r>
    </w:p>
    <w:p w14:paraId="6D863825" w14:textId="51309540" w:rsidR="008301BC" w:rsidRDefault="00F476A9" w:rsidP="00F476A9">
      <w:pPr>
        <w:keepNext w:val="0"/>
        <w:numPr>
          <w:ilvl w:val="1"/>
          <w:numId w:val="7"/>
        </w:numPr>
        <w:tabs>
          <w:tab w:val="clear" w:pos="525"/>
        </w:tabs>
        <w:spacing w:before="0"/>
        <w:ind w:left="709" w:hanging="709"/>
        <w:rPr>
          <w:rFonts w:cs="Arial"/>
          <w:color w:val="auto"/>
          <w:szCs w:val="24"/>
          <w:lang w:eastAsia="en-US"/>
        </w:rPr>
      </w:pPr>
      <w:r w:rsidRPr="008301BC">
        <w:rPr>
          <w:rFonts w:cs="Arial"/>
          <w:color w:val="auto"/>
          <w:lang w:eastAsia="en-US"/>
        </w:rPr>
        <w:t>Development proposals should provide for safe access and egress for vehicles, including larger delivery vehicles and emergency vehicles such as ambulances and fire appliances. In the case of care home developments, an internal manoeuvring area for all vehicles to leave in forward gear should also be provided. Adequate off-street parking space should be provided to avoid on-street congestion, as set out in Policy SD</w:t>
      </w:r>
      <w:r w:rsidR="00F05D84">
        <w:rPr>
          <w:rFonts w:cs="Arial"/>
          <w:color w:val="auto"/>
          <w:lang w:eastAsia="en-US"/>
        </w:rPr>
        <w:t>10</w:t>
      </w:r>
      <w:r w:rsidRPr="008301BC">
        <w:rPr>
          <w:rFonts w:cs="Arial"/>
          <w:color w:val="auto"/>
          <w:lang w:eastAsia="en-US"/>
        </w:rPr>
        <w:t>.</w:t>
      </w:r>
    </w:p>
    <w:p w14:paraId="3AB31C46" w14:textId="77777777" w:rsidR="008301BC" w:rsidRDefault="008301BC" w:rsidP="008301BC">
      <w:pPr>
        <w:keepNext w:val="0"/>
        <w:spacing w:before="0"/>
        <w:ind w:left="709"/>
        <w:rPr>
          <w:rFonts w:cs="Arial"/>
          <w:color w:val="auto"/>
          <w:lang w:eastAsia="en-US"/>
        </w:rPr>
      </w:pPr>
    </w:p>
    <w:p w14:paraId="5430D9C0" w14:textId="711E83CC" w:rsidR="008301BC" w:rsidRPr="00F515E4" w:rsidRDefault="00F476A9" w:rsidP="008301BC">
      <w:pPr>
        <w:keepNext w:val="0"/>
        <w:spacing w:before="0"/>
        <w:ind w:left="709"/>
        <w:rPr>
          <w:rFonts w:cs="Arial"/>
          <w:b/>
          <w:bCs/>
          <w:color w:val="auto"/>
          <w:szCs w:val="24"/>
          <w:lang w:eastAsia="en-US"/>
        </w:rPr>
      </w:pPr>
      <w:r w:rsidRPr="00F515E4">
        <w:rPr>
          <w:rFonts w:cs="Arial"/>
          <w:b/>
          <w:bCs/>
          <w:color w:val="auto"/>
          <w:lang w:eastAsia="en-US"/>
        </w:rPr>
        <w:t>Pollution and contamination</w:t>
      </w:r>
    </w:p>
    <w:p w14:paraId="4130A601" w14:textId="77777777" w:rsidR="008301BC" w:rsidRDefault="00F476A9" w:rsidP="00F476A9">
      <w:pPr>
        <w:keepNext w:val="0"/>
        <w:numPr>
          <w:ilvl w:val="1"/>
          <w:numId w:val="7"/>
        </w:numPr>
        <w:tabs>
          <w:tab w:val="clear" w:pos="525"/>
        </w:tabs>
        <w:spacing w:before="0"/>
        <w:ind w:left="709" w:hanging="709"/>
        <w:rPr>
          <w:rFonts w:cs="Arial"/>
          <w:color w:val="auto"/>
          <w:szCs w:val="24"/>
          <w:lang w:eastAsia="en-US"/>
        </w:rPr>
      </w:pPr>
      <w:r w:rsidRPr="008301BC">
        <w:rPr>
          <w:rFonts w:cs="Arial"/>
          <w:color w:val="auto"/>
          <w:lang w:eastAsia="en-US"/>
        </w:rPr>
        <w:t>All development proposals will be considered in respect of the potential for pollution, including air quality, light spillage, noise and disturbance, and contamination of land, groundwater or surface water. Policies CC2: Water resource management and SD8: Environmental Protection contain further details in this respect.</w:t>
      </w:r>
    </w:p>
    <w:p w14:paraId="2F004E9D" w14:textId="77777777" w:rsidR="008301BC" w:rsidRDefault="008301BC" w:rsidP="008301BC">
      <w:pPr>
        <w:keepNext w:val="0"/>
        <w:spacing w:before="0"/>
        <w:ind w:left="709"/>
        <w:rPr>
          <w:rFonts w:cs="Arial"/>
          <w:color w:val="auto"/>
          <w:lang w:eastAsia="en-US"/>
        </w:rPr>
      </w:pPr>
    </w:p>
    <w:p w14:paraId="635E7E02" w14:textId="3B14FB7A" w:rsidR="008301BC" w:rsidRPr="00F515E4" w:rsidRDefault="00F476A9" w:rsidP="008301BC">
      <w:pPr>
        <w:keepNext w:val="0"/>
        <w:spacing w:before="0"/>
        <w:ind w:left="709"/>
        <w:rPr>
          <w:rFonts w:cs="Arial"/>
          <w:b/>
          <w:bCs/>
          <w:color w:val="auto"/>
          <w:szCs w:val="24"/>
          <w:lang w:eastAsia="en-US"/>
        </w:rPr>
      </w:pPr>
      <w:r w:rsidRPr="00F515E4">
        <w:rPr>
          <w:rFonts w:cs="Arial"/>
          <w:b/>
          <w:bCs/>
          <w:color w:val="auto"/>
          <w:lang w:eastAsia="en-US"/>
        </w:rPr>
        <w:t>Boundary Treatments</w:t>
      </w:r>
    </w:p>
    <w:p w14:paraId="2B564D40" w14:textId="40400CD7" w:rsidR="008301BC" w:rsidRPr="008301BC" w:rsidRDefault="00F476A9" w:rsidP="00F476A9">
      <w:pPr>
        <w:keepNext w:val="0"/>
        <w:numPr>
          <w:ilvl w:val="1"/>
          <w:numId w:val="7"/>
        </w:numPr>
        <w:tabs>
          <w:tab w:val="clear" w:pos="525"/>
        </w:tabs>
        <w:spacing w:before="0"/>
        <w:ind w:left="709" w:hanging="709"/>
        <w:rPr>
          <w:rFonts w:cs="Arial"/>
          <w:color w:val="auto"/>
          <w:szCs w:val="24"/>
          <w:lang w:eastAsia="en-US"/>
        </w:rPr>
      </w:pPr>
      <w:r w:rsidRPr="008301BC">
        <w:rPr>
          <w:rFonts w:cs="Arial"/>
          <w:color w:val="auto"/>
          <w:lang w:eastAsia="en-US"/>
        </w:rPr>
        <w:t>The provision of satisfactory boundary treatment can help to create and maintain amenity. Where screening is necessary to provide adequate standards of privacy, or to preserve the street scene, and sited adjacent to the public highway, the Council will normally expect such boundary treatment to take the form of either brick walling and fencing or appropriate hedge planting in combination with temporary fencing. Walling and fencing should be no more than two metres high and be in place prior to occupation</w:t>
      </w:r>
      <w:r w:rsidR="00AE10BA">
        <w:rPr>
          <w:rFonts w:cs="Arial"/>
          <w:color w:val="auto"/>
          <w:lang w:eastAsia="en-US"/>
        </w:rPr>
        <w:t xml:space="preserve"> on new developments</w:t>
      </w:r>
      <w:r w:rsidRPr="008301BC">
        <w:rPr>
          <w:rFonts w:cs="Arial"/>
          <w:color w:val="auto"/>
          <w:lang w:eastAsia="en-US"/>
        </w:rPr>
        <w:t>.</w:t>
      </w:r>
    </w:p>
    <w:p w14:paraId="77EF0225" w14:textId="77777777" w:rsidR="008301BC" w:rsidRDefault="008301BC" w:rsidP="008301BC">
      <w:pPr>
        <w:keepNext w:val="0"/>
        <w:spacing w:before="0"/>
        <w:ind w:left="709"/>
        <w:rPr>
          <w:rFonts w:cs="Arial"/>
          <w:color w:val="auto"/>
          <w:szCs w:val="24"/>
          <w:lang w:eastAsia="en-US"/>
        </w:rPr>
      </w:pPr>
    </w:p>
    <w:p w14:paraId="2D64BF4C" w14:textId="77777777" w:rsidR="00447AB3" w:rsidRDefault="00F476A9" w:rsidP="00447AB3">
      <w:pPr>
        <w:keepNext w:val="0"/>
        <w:numPr>
          <w:ilvl w:val="1"/>
          <w:numId w:val="7"/>
        </w:numPr>
        <w:tabs>
          <w:tab w:val="clear" w:pos="525"/>
        </w:tabs>
        <w:spacing w:before="0"/>
        <w:ind w:left="709" w:hanging="709"/>
        <w:rPr>
          <w:rFonts w:cs="Arial"/>
          <w:color w:val="auto"/>
          <w:szCs w:val="24"/>
          <w:lang w:eastAsia="en-US"/>
        </w:rPr>
      </w:pPr>
      <w:r w:rsidRPr="008301BC">
        <w:rPr>
          <w:rFonts w:cs="Arial"/>
          <w:color w:val="auto"/>
          <w:lang w:eastAsia="en-US"/>
        </w:rPr>
        <w:tab/>
        <w:t>Where boundaries of new development abut open countryside or areas of public or private open space, appropriate hedge and tree planting should be implemented and supported by temporary fencing where appropriate.</w:t>
      </w:r>
    </w:p>
    <w:p w14:paraId="5B9B5249" w14:textId="70B09089" w:rsidR="00447AB3" w:rsidRDefault="00447AB3" w:rsidP="00447AB3">
      <w:pPr>
        <w:keepNext w:val="0"/>
        <w:spacing w:before="0"/>
        <w:ind w:left="709"/>
        <w:rPr>
          <w:rFonts w:cs="Arial"/>
          <w:color w:val="auto"/>
          <w:szCs w:val="24"/>
          <w:lang w:eastAsia="en-US"/>
        </w:rPr>
      </w:pPr>
    </w:p>
    <w:p w14:paraId="40A5C5B1" w14:textId="3EF2E9B1" w:rsidR="00447AB3" w:rsidRPr="00F515E4" w:rsidRDefault="00447AB3" w:rsidP="00447AB3">
      <w:pPr>
        <w:keepNext w:val="0"/>
        <w:spacing w:before="0"/>
        <w:ind w:left="709"/>
        <w:rPr>
          <w:rFonts w:cs="Arial"/>
          <w:b/>
          <w:bCs/>
          <w:color w:val="auto"/>
          <w:szCs w:val="24"/>
          <w:lang w:eastAsia="en-US"/>
        </w:rPr>
      </w:pPr>
      <w:r w:rsidRPr="00F515E4">
        <w:rPr>
          <w:rFonts w:cs="Arial"/>
          <w:b/>
          <w:bCs/>
          <w:color w:val="auto"/>
          <w:szCs w:val="24"/>
          <w:lang w:eastAsia="en-US"/>
        </w:rPr>
        <w:t>Crime and the fear of crime</w:t>
      </w:r>
    </w:p>
    <w:p w14:paraId="12C08649" w14:textId="7ACB4EAB" w:rsidR="00447AB3" w:rsidRDefault="00447AB3" w:rsidP="00447AB3">
      <w:pPr>
        <w:keepNext w:val="0"/>
        <w:numPr>
          <w:ilvl w:val="1"/>
          <w:numId w:val="7"/>
        </w:numPr>
        <w:tabs>
          <w:tab w:val="clear" w:pos="525"/>
        </w:tabs>
        <w:spacing w:before="0"/>
        <w:ind w:left="709" w:hanging="709"/>
        <w:rPr>
          <w:rFonts w:cs="Arial"/>
          <w:color w:val="auto"/>
          <w:szCs w:val="24"/>
          <w:lang w:eastAsia="en-US"/>
        </w:rPr>
      </w:pPr>
      <w:r w:rsidRPr="00447AB3">
        <w:rPr>
          <w:rFonts w:cs="Arial"/>
          <w:color w:val="auto"/>
          <w:szCs w:val="24"/>
          <w:lang w:eastAsia="en-US"/>
        </w:rPr>
        <w:t xml:space="preserve">It is important that future developments seek to enhance the quality of life of the </w:t>
      </w:r>
      <w:proofErr w:type="gramStart"/>
      <w:r w:rsidRPr="00447AB3">
        <w:rPr>
          <w:rFonts w:cs="Arial"/>
          <w:color w:val="auto"/>
          <w:szCs w:val="24"/>
          <w:lang w:eastAsia="en-US"/>
        </w:rPr>
        <w:t>District’s</w:t>
      </w:r>
      <w:proofErr w:type="gramEnd"/>
      <w:r w:rsidRPr="00447AB3">
        <w:rPr>
          <w:rFonts w:cs="Arial"/>
          <w:color w:val="auto"/>
          <w:szCs w:val="24"/>
          <w:lang w:eastAsia="en-US"/>
        </w:rPr>
        <w:t xml:space="preserve"> residents and does not have a negative impact on existing </w:t>
      </w:r>
      <w:r w:rsidR="00EA7D34" w:rsidRPr="00447AB3">
        <w:rPr>
          <w:rFonts w:cs="Arial"/>
          <w:color w:val="auto"/>
          <w:szCs w:val="24"/>
          <w:lang w:eastAsia="en-US"/>
        </w:rPr>
        <w:t>uses or</w:t>
      </w:r>
      <w:r w:rsidRPr="00447AB3">
        <w:rPr>
          <w:rFonts w:cs="Arial"/>
          <w:color w:val="auto"/>
          <w:szCs w:val="24"/>
          <w:lang w:eastAsia="en-US"/>
        </w:rPr>
        <w:t xml:space="preserve"> exacerbate the potential for crime or fear of it. </w:t>
      </w:r>
    </w:p>
    <w:p w14:paraId="4DDB553C" w14:textId="77777777" w:rsidR="00447AB3" w:rsidRDefault="00447AB3" w:rsidP="00447AB3">
      <w:pPr>
        <w:keepNext w:val="0"/>
        <w:spacing w:before="0"/>
        <w:ind w:left="709"/>
        <w:rPr>
          <w:rFonts w:cs="Arial"/>
          <w:color w:val="auto"/>
          <w:szCs w:val="24"/>
          <w:lang w:eastAsia="en-US"/>
        </w:rPr>
      </w:pPr>
    </w:p>
    <w:p w14:paraId="6F971F64" w14:textId="3BFA6A9B" w:rsidR="00447AB3" w:rsidRDefault="00447AB3" w:rsidP="00E029B2">
      <w:pPr>
        <w:keepNext w:val="0"/>
        <w:numPr>
          <w:ilvl w:val="1"/>
          <w:numId w:val="7"/>
        </w:numPr>
        <w:tabs>
          <w:tab w:val="clear" w:pos="525"/>
        </w:tabs>
        <w:spacing w:before="0"/>
        <w:ind w:left="709" w:hanging="709"/>
        <w:rPr>
          <w:rFonts w:cs="Arial"/>
          <w:color w:val="auto"/>
          <w:szCs w:val="24"/>
          <w:lang w:eastAsia="en-US"/>
        </w:rPr>
      </w:pPr>
      <w:r w:rsidRPr="009A10F2">
        <w:rPr>
          <w:rFonts w:cs="Arial"/>
          <w:color w:val="auto"/>
          <w:szCs w:val="24"/>
          <w:lang w:eastAsia="en-US"/>
        </w:rPr>
        <w:t xml:space="preserve">Under the </w:t>
      </w:r>
      <w:bookmarkStart w:id="299" w:name="_Hlk79163386"/>
      <w:r w:rsidRPr="009A10F2">
        <w:rPr>
          <w:rFonts w:cs="Arial"/>
          <w:color w:val="auto"/>
          <w:szCs w:val="24"/>
          <w:lang w:eastAsia="en-US"/>
        </w:rPr>
        <w:t>Ashfield Community Safety Partnership</w:t>
      </w:r>
      <w:bookmarkEnd w:id="299"/>
      <w:r w:rsidRPr="009A10F2">
        <w:rPr>
          <w:rFonts w:cs="Arial"/>
          <w:color w:val="auto"/>
          <w:szCs w:val="24"/>
          <w:lang w:eastAsia="en-US"/>
        </w:rPr>
        <w:t xml:space="preserve">, geographical action groups and associated delivery plans have been created for Priority Areas across the District. The Community Partnership set out a Strategic </w:t>
      </w:r>
      <w:r w:rsidR="009D1C50" w:rsidRPr="009A10F2">
        <w:rPr>
          <w:rFonts w:cs="Arial"/>
          <w:color w:val="auto"/>
          <w:szCs w:val="24"/>
          <w:lang w:eastAsia="en-US"/>
        </w:rPr>
        <w:t>Plan identifying</w:t>
      </w:r>
      <w:r w:rsidRPr="009A10F2">
        <w:rPr>
          <w:rFonts w:cs="Arial"/>
          <w:color w:val="auto"/>
          <w:szCs w:val="24"/>
          <w:lang w:eastAsia="en-US"/>
        </w:rPr>
        <w:t xml:space="preserve"> for </w:t>
      </w:r>
      <w:r w:rsidR="009D1C50" w:rsidRPr="009A10F2">
        <w:rPr>
          <w:rFonts w:cs="Arial"/>
          <w:color w:val="auto"/>
          <w:szCs w:val="24"/>
          <w:lang w:eastAsia="en-US"/>
        </w:rPr>
        <w:t>three-year</w:t>
      </w:r>
      <w:r w:rsidR="009D1C50">
        <w:rPr>
          <w:rFonts w:cs="Arial"/>
          <w:color w:val="auto"/>
          <w:szCs w:val="24"/>
          <w:lang w:eastAsia="en-US"/>
        </w:rPr>
        <w:t xml:space="preserve"> </w:t>
      </w:r>
      <w:r w:rsidRPr="009A10F2">
        <w:rPr>
          <w:rFonts w:cs="Arial"/>
          <w:color w:val="auto"/>
          <w:szCs w:val="24"/>
          <w:lang w:eastAsia="en-US"/>
        </w:rPr>
        <w:t xml:space="preserve">period how the Partnership plans to tackle local community safety issues that matter to the local community.  Priority Areas based upon severity plans produced by Nottinghamshire Police analysts. </w:t>
      </w:r>
    </w:p>
    <w:p w14:paraId="7232A480" w14:textId="77777777" w:rsidR="009A10F2" w:rsidRPr="009A10F2" w:rsidRDefault="009A10F2" w:rsidP="009A10F2">
      <w:pPr>
        <w:keepNext w:val="0"/>
        <w:spacing w:before="0"/>
        <w:ind w:left="709"/>
        <w:rPr>
          <w:rFonts w:cs="Arial"/>
          <w:color w:val="auto"/>
          <w:szCs w:val="24"/>
          <w:lang w:eastAsia="en-US"/>
        </w:rPr>
      </w:pPr>
    </w:p>
    <w:p w14:paraId="1D7098CB" w14:textId="77777777" w:rsidR="00447AB3" w:rsidRDefault="00447AB3" w:rsidP="00447AB3">
      <w:pPr>
        <w:keepNext w:val="0"/>
        <w:numPr>
          <w:ilvl w:val="1"/>
          <w:numId w:val="7"/>
        </w:numPr>
        <w:tabs>
          <w:tab w:val="clear" w:pos="525"/>
        </w:tabs>
        <w:spacing w:before="0"/>
        <w:ind w:left="709" w:hanging="709"/>
        <w:rPr>
          <w:rFonts w:cs="Arial"/>
          <w:color w:val="auto"/>
          <w:szCs w:val="24"/>
          <w:lang w:eastAsia="en-US"/>
        </w:rPr>
      </w:pPr>
      <w:r w:rsidRPr="00447AB3">
        <w:rPr>
          <w:rFonts w:cs="Arial"/>
          <w:color w:val="auto"/>
          <w:szCs w:val="24"/>
          <w:lang w:eastAsia="en-US"/>
        </w:rPr>
        <w:t xml:space="preserve">The Council will require development proposals that it considered could have the potential to exacerbate elements of crime, or conflict with the project work within the Priority Areas, to submit a crime impact assessment. This assessment should seek to highlight any potential crime or anti-social behaviour issues that may arise </w:t>
      </w:r>
      <w:proofErr w:type="gramStart"/>
      <w:r w:rsidRPr="00447AB3">
        <w:rPr>
          <w:rFonts w:cs="Arial"/>
          <w:color w:val="auto"/>
          <w:szCs w:val="24"/>
          <w:lang w:eastAsia="en-US"/>
        </w:rPr>
        <w:t xml:space="preserve">as a </w:t>
      </w:r>
      <w:r w:rsidRPr="00447AB3">
        <w:rPr>
          <w:rFonts w:cs="Arial"/>
          <w:color w:val="auto"/>
          <w:szCs w:val="24"/>
          <w:lang w:eastAsia="en-US"/>
        </w:rPr>
        <w:lastRenderedPageBreak/>
        <w:t>result of</w:t>
      </w:r>
      <w:proofErr w:type="gramEnd"/>
      <w:r w:rsidRPr="00447AB3">
        <w:rPr>
          <w:rFonts w:cs="Arial"/>
          <w:color w:val="auto"/>
          <w:szCs w:val="24"/>
          <w:lang w:eastAsia="en-US"/>
        </w:rPr>
        <w:t xml:space="preserve"> the proposed use and outline mitigation measure the proposal will put in place to reduce the potential of it occurring and/or the span of its impact on surrounding uses.</w:t>
      </w:r>
    </w:p>
    <w:p w14:paraId="27778659" w14:textId="77777777" w:rsidR="00447AB3" w:rsidRDefault="00447AB3" w:rsidP="00447AB3">
      <w:pPr>
        <w:keepNext w:val="0"/>
        <w:spacing w:before="0"/>
        <w:ind w:left="709"/>
        <w:rPr>
          <w:rFonts w:cs="Arial"/>
          <w:color w:val="auto"/>
          <w:szCs w:val="24"/>
          <w:lang w:eastAsia="en-US"/>
        </w:rPr>
      </w:pPr>
    </w:p>
    <w:p w14:paraId="0E2A6014" w14:textId="064F3381" w:rsidR="00F476A9" w:rsidRPr="00447AB3" w:rsidRDefault="00447AB3" w:rsidP="00447AB3">
      <w:pPr>
        <w:keepNext w:val="0"/>
        <w:numPr>
          <w:ilvl w:val="1"/>
          <w:numId w:val="7"/>
        </w:numPr>
        <w:tabs>
          <w:tab w:val="clear" w:pos="525"/>
        </w:tabs>
        <w:spacing w:before="0"/>
        <w:ind w:left="709" w:hanging="709"/>
        <w:rPr>
          <w:rFonts w:cs="Arial"/>
          <w:color w:val="auto"/>
          <w:szCs w:val="24"/>
          <w:lang w:eastAsia="en-US"/>
        </w:rPr>
      </w:pPr>
      <w:r w:rsidRPr="00447AB3">
        <w:rPr>
          <w:rFonts w:cs="Arial"/>
          <w:color w:val="auto"/>
          <w:szCs w:val="24"/>
          <w:lang w:eastAsia="en-US"/>
        </w:rPr>
        <w:t>Beyond the potential for crime related to the proposed use, development proposals should seek to apply appropriate Secure-By-Design and urban design principles to help ensure the design of the proposed development enhances the surrounding environment and does not provide opportunities through its design for crime to occur. The aim should be to design a physical environment that positively influences human behaviour. This should help people feel safe and secure within their built environment, while simultaneously make criminals at greater risk of being caught, and therefore less inclined to offend.</w:t>
      </w:r>
    </w:p>
    <w:p w14:paraId="4C65B515" w14:textId="74E0CC61" w:rsidR="00F476A9" w:rsidRDefault="00F476A9" w:rsidP="006E3244">
      <w:pPr>
        <w:keepNext w:val="0"/>
        <w:spacing w:before="0"/>
        <w:rPr>
          <w:rFonts w:cs="Arial"/>
          <w:color w:val="auto"/>
          <w:lang w:eastAsia="en-US"/>
        </w:rPr>
      </w:pPr>
    </w:p>
    <w:p w14:paraId="6F0D98B3" w14:textId="6B15A724" w:rsidR="00F515E4" w:rsidRDefault="00F515E4">
      <w:pPr>
        <w:keepNext w:val="0"/>
        <w:spacing w:before="0"/>
        <w:rPr>
          <w:rFonts w:cs="Arial"/>
          <w:color w:val="auto"/>
          <w:lang w:eastAsia="en-US"/>
        </w:rPr>
      </w:pPr>
    </w:p>
    <w:p w14:paraId="38B9F755" w14:textId="77777777" w:rsidR="00263F59" w:rsidRDefault="00263F59">
      <w:pPr>
        <w:keepNext w:val="0"/>
        <w:spacing w:before="0"/>
        <w:rPr>
          <w:rFonts w:cs="Arial"/>
          <w:color w:val="auto"/>
          <w:lang w:eastAsia="en-US"/>
        </w:rPr>
      </w:pPr>
    </w:p>
    <w:p w14:paraId="7D0C534E" w14:textId="60F461BA" w:rsidR="006E3244" w:rsidRPr="00825421" w:rsidRDefault="006977E7" w:rsidP="00825421">
      <w:pPr>
        <w:pStyle w:val="Heading2"/>
        <w:jc w:val="left"/>
        <w:rPr>
          <w:sz w:val="28"/>
          <w:szCs w:val="28"/>
        </w:rPr>
      </w:pPr>
      <w:bookmarkStart w:id="300" w:name="_Toc145511613"/>
      <w:r w:rsidRPr="00825421">
        <w:rPr>
          <w:sz w:val="28"/>
          <w:szCs w:val="28"/>
        </w:rPr>
        <w:t xml:space="preserve">Policy </w:t>
      </w:r>
      <w:r w:rsidR="006E3244" w:rsidRPr="00825421">
        <w:rPr>
          <w:sz w:val="28"/>
          <w:szCs w:val="28"/>
        </w:rPr>
        <w:t>SD</w:t>
      </w:r>
      <w:r w:rsidR="0064018F" w:rsidRPr="00825421">
        <w:rPr>
          <w:sz w:val="28"/>
          <w:szCs w:val="28"/>
        </w:rPr>
        <w:t>4</w:t>
      </w:r>
      <w:r w:rsidR="006E3244" w:rsidRPr="00825421">
        <w:rPr>
          <w:sz w:val="28"/>
          <w:szCs w:val="28"/>
        </w:rPr>
        <w:t>: Recycling and Refuse Provision in New Development</w:t>
      </w:r>
      <w:bookmarkEnd w:id="300"/>
    </w:p>
    <w:p w14:paraId="5286B6F2" w14:textId="77777777" w:rsidR="006E3244" w:rsidRPr="006E3244" w:rsidRDefault="006E3244" w:rsidP="006E3244">
      <w:pPr>
        <w:keepNext w:val="0"/>
        <w:spacing w:before="0"/>
        <w:rPr>
          <w:rFonts w:cs="Arial"/>
          <w:color w:val="auto"/>
          <w:szCs w:val="24"/>
          <w:lang w:eastAsia="en-US"/>
        </w:rPr>
      </w:pPr>
    </w:p>
    <w:p w14:paraId="113B2B56" w14:textId="502D3A14" w:rsidR="004846A4" w:rsidRDefault="004846A4" w:rsidP="004846A4">
      <w:pPr>
        <w:keepNext w:val="0"/>
        <w:numPr>
          <w:ilvl w:val="1"/>
          <w:numId w:val="7"/>
        </w:numPr>
        <w:tabs>
          <w:tab w:val="clear" w:pos="525"/>
        </w:tabs>
        <w:spacing w:before="0"/>
        <w:ind w:left="709" w:hanging="709"/>
        <w:rPr>
          <w:rFonts w:cs="Arial"/>
          <w:color w:val="auto"/>
          <w:lang w:eastAsia="en-US"/>
        </w:rPr>
      </w:pPr>
      <w:r w:rsidRPr="004846A4">
        <w:rPr>
          <w:rFonts w:cs="Arial"/>
          <w:color w:val="auto"/>
          <w:lang w:eastAsia="en-US"/>
        </w:rPr>
        <w:t>This policy sets out the criteria for the provision and location of recycling and refuse provision in new development</w:t>
      </w:r>
      <w:r w:rsidR="00F515E4">
        <w:rPr>
          <w:rFonts w:cs="Arial"/>
          <w:color w:val="auto"/>
          <w:lang w:eastAsia="en-US"/>
        </w:rPr>
        <w:t>s</w:t>
      </w:r>
      <w:r w:rsidRPr="004846A4">
        <w:rPr>
          <w:rFonts w:cs="Arial"/>
          <w:color w:val="auto"/>
          <w:lang w:eastAsia="en-US"/>
        </w:rPr>
        <w:t>.</w:t>
      </w:r>
    </w:p>
    <w:p w14:paraId="7219F79D" w14:textId="7155A4F3" w:rsidR="00CE241F" w:rsidRDefault="00CE241F" w:rsidP="00CE241F">
      <w:pPr>
        <w:keepNext w:val="0"/>
        <w:spacing w:before="0"/>
        <w:ind w:left="709"/>
        <w:rPr>
          <w:rFonts w:cs="Arial"/>
          <w:color w:val="auto"/>
          <w:lang w:eastAsia="en-US"/>
        </w:rPr>
      </w:pPr>
    </w:p>
    <w:tbl>
      <w:tblPr>
        <w:tblStyle w:val="TableGrid20"/>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521"/>
        <w:gridCol w:w="7098"/>
      </w:tblGrid>
      <w:tr w:rsidR="00CE6287" w:rsidRPr="00CE6287" w14:paraId="15AAD5A0" w14:textId="77777777" w:rsidTr="00CE6287">
        <w:tc>
          <w:tcPr>
            <w:tcW w:w="9619" w:type="dxa"/>
            <w:gridSpan w:val="2"/>
          </w:tcPr>
          <w:p w14:paraId="062D0EE6" w14:textId="77777777" w:rsidR="00CE6287" w:rsidRPr="00CE6287" w:rsidRDefault="00CE6287" w:rsidP="00905CC9">
            <w:pPr>
              <w:keepNext w:val="0"/>
              <w:spacing w:before="0"/>
              <w:jc w:val="left"/>
              <w:rPr>
                <w:color w:val="auto"/>
              </w:rPr>
            </w:pPr>
          </w:p>
          <w:p w14:paraId="09A13D4A" w14:textId="77777777" w:rsidR="00CE6287" w:rsidRPr="00CE6287" w:rsidRDefault="00CE6287" w:rsidP="00905CC9">
            <w:pPr>
              <w:keepNext w:val="0"/>
              <w:spacing w:before="0"/>
              <w:jc w:val="left"/>
              <w:rPr>
                <w:b/>
                <w:bCs/>
                <w:color w:val="auto"/>
              </w:rPr>
            </w:pPr>
            <w:r w:rsidRPr="00CE6287">
              <w:rPr>
                <w:b/>
                <w:bCs/>
                <w:color w:val="auto"/>
              </w:rPr>
              <w:t>Policy SD4: Recycling and Refuse Provision in New Development</w:t>
            </w:r>
          </w:p>
          <w:p w14:paraId="09B8E80C" w14:textId="77777777" w:rsidR="00CE6287" w:rsidRPr="00CE6287" w:rsidRDefault="00CE6287" w:rsidP="00905CC9">
            <w:pPr>
              <w:keepNext w:val="0"/>
              <w:spacing w:before="0"/>
              <w:jc w:val="left"/>
              <w:rPr>
                <w:color w:val="auto"/>
              </w:rPr>
            </w:pPr>
          </w:p>
        </w:tc>
      </w:tr>
      <w:tr w:rsidR="00CE6287" w:rsidRPr="00CE6287" w14:paraId="4ADDF817" w14:textId="77777777" w:rsidTr="00CE6287">
        <w:tc>
          <w:tcPr>
            <w:tcW w:w="2521" w:type="dxa"/>
          </w:tcPr>
          <w:p w14:paraId="55D2169E" w14:textId="77777777" w:rsidR="00CE6287" w:rsidRPr="00CE6287" w:rsidRDefault="00CE6287" w:rsidP="00905CC9">
            <w:pPr>
              <w:keepNext w:val="0"/>
              <w:spacing w:before="0"/>
              <w:jc w:val="left"/>
              <w:rPr>
                <w:color w:val="auto"/>
              </w:rPr>
            </w:pPr>
            <w:r w:rsidRPr="00CE6287">
              <w:rPr>
                <w:color w:val="auto"/>
              </w:rPr>
              <w:t>Strategic Objectives</w:t>
            </w:r>
          </w:p>
        </w:tc>
        <w:tc>
          <w:tcPr>
            <w:tcW w:w="7098" w:type="dxa"/>
          </w:tcPr>
          <w:p w14:paraId="77BA8DC7" w14:textId="77777777" w:rsidR="00CE6287" w:rsidRPr="00CE6287" w:rsidRDefault="00CE6287" w:rsidP="00905CC9">
            <w:pPr>
              <w:keepNext w:val="0"/>
              <w:spacing w:before="0"/>
              <w:jc w:val="left"/>
              <w:rPr>
                <w:color w:val="auto"/>
              </w:rPr>
            </w:pPr>
            <w:r w:rsidRPr="00CE6287">
              <w:rPr>
                <w:color w:val="auto"/>
              </w:rPr>
              <w:t>SO1, SO2, SO3, SO7, SO8, SO9.</w:t>
            </w:r>
          </w:p>
        </w:tc>
      </w:tr>
      <w:tr w:rsidR="00CE6287" w:rsidRPr="00CE6287" w14:paraId="3846E619" w14:textId="77777777" w:rsidTr="00CE6287">
        <w:tc>
          <w:tcPr>
            <w:tcW w:w="9619" w:type="dxa"/>
            <w:gridSpan w:val="2"/>
            <w:shd w:val="clear" w:color="auto" w:fill="DAC4F8"/>
          </w:tcPr>
          <w:p w14:paraId="40835A4E" w14:textId="77777777" w:rsidR="00CE6287" w:rsidRPr="00CE6287" w:rsidRDefault="00CE6287" w:rsidP="00905CC9">
            <w:pPr>
              <w:keepNext w:val="0"/>
              <w:spacing w:before="0"/>
              <w:jc w:val="left"/>
              <w:rPr>
                <w:color w:val="auto"/>
              </w:rPr>
            </w:pPr>
          </w:p>
          <w:p w14:paraId="0A2C34E9" w14:textId="77777777" w:rsidR="00CE6287" w:rsidRPr="00CE6287" w:rsidRDefault="00CE6287" w:rsidP="00874A98">
            <w:pPr>
              <w:keepNext w:val="0"/>
              <w:numPr>
                <w:ilvl w:val="0"/>
                <w:numId w:val="296"/>
              </w:numPr>
              <w:spacing w:before="0"/>
              <w:contextualSpacing/>
              <w:jc w:val="left"/>
              <w:rPr>
                <w:color w:val="auto"/>
              </w:rPr>
            </w:pPr>
            <w:r w:rsidRPr="00CE6287">
              <w:rPr>
                <w:color w:val="auto"/>
              </w:rPr>
              <w:t>The Council will require all new development to take full account of the location and design of recycling and refuse provision. The following criteria should be met in assessing recycling and refuse provision:</w:t>
            </w:r>
          </w:p>
          <w:p w14:paraId="5CF68890" w14:textId="77777777" w:rsidR="00CE6287" w:rsidRPr="00CE6287" w:rsidRDefault="00CE6287" w:rsidP="00905CC9">
            <w:pPr>
              <w:keepNext w:val="0"/>
              <w:spacing w:before="0"/>
              <w:ind w:left="360"/>
              <w:contextualSpacing/>
              <w:jc w:val="left"/>
              <w:rPr>
                <w:color w:val="auto"/>
              </w:rPr>
            </w:pPr>
          </w:p>
          <w:p w14:paraId="78E1E5CF" w14:textId="77777777" w:rsidR="00CE6287" w:rsidRPr="00CE6287" w:rsidRDefault="00CE6287" w:rsidP="00874A98">
            <w:pPr>
              <w:keepNext w:val="0"/>
              <w:numPr>
                <w:ilvl w:val="0"/>
                <w:numId w:val="297"/>
              </w:numPr>
              <w:spacing w:before="0"/>
              <w:contextualSpacing/>
              <w:jc w:val="left"/>
              <w:rPr>
                <w:color w:val="auto"/>
              </w:rPr>
            </w:pPr>
            <w:r w:rsidRPr="00CE6287">
              <w:rPr>
                <w:color w:val="auto"/>
              </w:rPr>
              <w:t xml:space="preserve">For proposed residential house developments, space should be provided for the storage of refuse bins and recycling facilities of sufficient capacity to serve the proposed </w:t>
            </w:r>
            <w:proofErr w:type="gramStart"/>
            <w:r w:rsidRPr="00CE6287">
              <w:rPr>
                <w:color w:val="auto"/>
              </w:rPr>
              <w:t>development as a whole, as</w:t>
            </w:r>
            <w:proofErr w:type="gramEnd"/>
            <w:r w:rsidRPr="00CE6287">
              <w:rPr>
                <w:color w:val="auto"/>
              </w:rPr>
              <w:t xml:space="preserve"> agreed with the Council (to include whole street solutions where appropriate). Proposed development with private garden areas should also include space for the storage of an additional bin for garden waste or composting facilities;</w:t>
            </w:r>
          </w:p>
          <w:p w14:paraId="0D3A2CD0" w14:textId="77777777" w:rsidR="00CE6287" w:rsidRPr="00CE6287" w:rsidRDefault="00CE6287" w:rsidP="00905CC9">
            <w:pPr>
              <w:keepNext w:val="0"/>
              <w:spacing w:before="0"/>
              <w:ind w:left="720"/>
              <w:contextualSpacing/>
              <w:jc w:val="left"/>
              <w:rPr>
                <w:color w:val="auto"/>
              </w:rPr>
            </w:pPr>
          </w:p>
          <w:p w14:paraId="0BD5EFB9" w14:textId="7BE33395" w:rsidR="00CE6287" w:rsidRPr="00CE6287" w:rsidRDefault="00CE6287" w:rsidP="00874A98">
            <w:pPr>
              <w:keepNext w:val="0"/>
              <w:numPr>
                <w:ilvl w:val="0"/>
                <w:numId w:val="297"/>
              </w:numPr>
              <w:spacing w:before="0"/>
              <w:contextualSpacing/>
              <w:jc w:val="left"/>
              <w:rPr>
                <w:color w:val="auto"/>
              </w:rPr>
            </w:pPr>
            <w:r w:rsidRPr="00CE6287">
              <w:rPr>
                <w:color w:val="auto"/>
              </w:rPr>
              <w:t xml:space="preserve">For proposed flats and non-residential developments, space </w:t>
            </w:r>
            <w:r w:rsidR="00012D1B" w:rsidRPr="00CE6287">
              <w:rPr>
                <w:color w:val="auto"/>
              </w:rPr>
              <w:t>should be</w:t>
            </w:r>
            <w:r w:rsidRPr="00CE6287">
              <w:rPr>
                <w:color w:val="auto"/>
              </w:rPr>
              <w:t xml:space="preserve"> provided for the storage of shared refuse bins and recycling facilities of sufficient capacity to serve the proposed development, as agreed with the Council;</w:t>
            </w:r>
          </w:p>
          <w:p w14:paraId="295A3C9D" w14:textId="77777777" w:rsidR="00CE6287" w:rsidRPr="00CE6287" w:rsidRDefault="00CE6287" w:rsidP="00905CC9">
            <w:pPr>
              <w:keepNext w:val="0"/>
              <w:spacing w:before="0"/>
              <w:ind w:left="720"/>
              <w:contextualSpacing/>
              <w:jc w:val="left"/>
              <w:rPr>
                <w:color w:val="auto"/>
              </w:rPr>
            </w:pPr>
          </w:p>
          <w:p w14:paraId="05D4138D" w14:textId="77777777" w:rsidR="00CE6287" w:rsidRPr="00CE6287" w:rsidRDefault="00CE6287" w:rsidP="00874A98">
            <w:pPr>
              <w:keepNext w:val="0"/>
              <w:numPr>
                <w:ilvl w:val="0"/>
                <w:numId w:val="297"/>
              </w:numPr>
              <w:spacing w:before="0"/>
              <w:contextualSpacing/>
              <w:jc w:val="left"/>
              <w:rPr>
                <w:color w:val="auto"/>
              </w:rPr>
            </w:pPr>
            <w:r w:rsidRPr="00CE6287">
              <w:rPr>
                <w:color w:val="auto"/>
              </w:rPr>
              <w:t>For proposed large scale commercial developments which draw significant numbers of visitors, the developer may be expected to provide an element of appropriately sited and designed recycling provision for public use, as agreed with the Council. Proposals to extend this provision to serve the wider community will be encouraged.</w:t>
            </w:r>
          </w:p>
          <w:p w14:paraId="33FECAC3" w14:textId="77777777" w:rsidR="00CE6287" w:rsidRPr="00CE6287" w:rsidRDefault="00CE6287" w:rsidP="00905CC9">
            <w:pPr>
              <w:keepNext w:val="0"/>
              <w:spacing w:before="0"/>
              <w:ind w:left="720"/>
              <w:contextualSpacing/>
              <w:jc w:val="left"/>
              <w:rPr>
                <w:color w:val="auto"/>
              </w:rPr>
            </w:pPr>
          </w:p>
          <w:p w14:paraId="50B559B4" w14:textId="77777777" w:rsidR="00CE6287" w:rsidRPr="00CE6287" w:rsidRDefault="00CE6287" w:rsidP="00874A98">
            <w:pPr>
              <w:keepNext w:val="0"/>
              <w:numPr>
                <w:ilvl w:val="0"/>
                <w:numId w:val="296"/>
              </w:numPr>
              <w:spacing w:before="0"/>
              <w:contextualSpacing/>
              <w:jc w:val="left"/>
              <w:rPr>
                <w:color w:val="auto"/>
              </w:rPr>
            </w:pPr>
            <w:r w:rsidRPr="00CE6287">
              <w:rPr>
                <w:color w:val="auto"/>
              </w:rPr>
              <w:t xml:space="preserve">In assessing the recycling and refuse provision, regard will be </w:t>
            </w:r>
            <w:proofErr w:type="spellStart"/>
            <w:r w:rsidRPr="00CE6287">
              <w:rPr>
                <w:color w:val="auto"/>
              </w:rPr>
              <w:t>had</w:t>
            </w:r>
            <w:proofErr w:type="spellEnd"/>
            <w:r w:rsidRPr="00CE6287">
              <w:rPr>
                <w:color w:val="auto"/>
              </w:rPr>
              <w:t xml:space="preserve"> to the following considerations:</w:t>
            </w:r>
          </w:p>
          <w:p w14:paraId="583F3770" w14:textId="77777777" w:rsidR="00CE6287" w:rsidRPr="00CE6287" w:rsidRDefault="00CE6287" w:rsidP="00905CC9">
            <w:pPr>
              <w:keepNext w:val="0"/>
              <w:spacing w:before="0"/>
              <w:jc w:val="left"/>
              <w:rPr>
                <w:color w:val="auto"/>
              </w:rPr>
            </w:pPr>
          </w:p>
          <w:p w14:paraId="0C3EB6DB" w14:textId="77777777" w:rsidR="00CE6287" w:rsidRPr="00CE6287" w:rsidRDefault="00CE6287" w:rsidP="00874A98">
            <w:pPr>
              <w:keepNext w:val="0"/>
              <w:numPr>
                <w:ilvl w:val="0"/>
                <w:numId w:val="298"/>
              </w:numPr>
              <w:spacing w:before="0"/>
              <w:contextualSpacing/>
              <w:jc w:val="left"/>
              <w:rPr>
                <w:color w:val="auto"/>
              </w:rPr>
            </w:pPr>
            <w:r w:rsidRPr="00CE6287">
              <w:rPr>
                <w:color w:val="auto"/>
              </w:rPr>
              <w:t>The level and type of provision, having regard to the above requirements;</w:t>
            </w:r>
          </w:p>
          <w:p w14:paraId="5CF9AA00" w14:textId="77777777" w:rsidR="00CE6287" w:rsidRPr="00CE6287" w:rsidRDefault="00CE6287" w:rsidP="00905CC9">
            <w:pPr>
              <w:keepNext w:val="0"/>
              <w:spacing w:before="0"/>
              <w:ind w:left="720"/>
              <w:contextualSpacing/>
              <w:jc w:val="left"/>
              <w:rPr>
                <w:color w:val="auto"/>
              </w:rPr>
            </w:pPr>
          </w:p>
          <w:p w14:paraId="70FBB5E9" w14:textId="77777777" w:rsidR="00CE6287" w:rsidRPr="00CE6287" w:rsidRDefault="00CE6287" w:rsidP="00874A98">
            <w:pPr>
              <w:keepNext w:val="0"/>
              <w:numPr>
                <w:ilvl w:val="0"/>
                <w:numId w:val="298"/>
              </w:numPr>
              <w:spacing w:before="0"/>
              <w:contextualSpacing/>
              <w:jc w:val="left"/>
              <w:rPr>
                <w:color w:val="auto"/>
              </w:rPr>
            </w:pPr>
            <w:r w:rsidRPr="00CE6287">
              <w:rPr>
                <w:color w:val="auto"/>
              </w:rPr>
              <w:t>The location of the provision, having regard to the need to provide and maintain safe and convenient access for occupants, while also providing satisfactory access for collection vehicles and operatives;</w:t>
            </w:r>
          </w:p>
          <w:p w14:paraId="037EABC7" w14:textId="77777777" w:rsidR="00CE6287" w:rsidRPr="00CE6287" w:rsidRDefault="00CE6287" w:rsidP="00905CC9">
            <w:pPr>
              <w:keepNext w:val="0"/>
              <w:spacing w:before="0"/>
              <w:ind w:left="720"/>
              <w:contextualSpacing/>
              <w:jc w:val="left"/>
              <w:rPr>
                <w:color w:val="auto"/>
              </w:rPr>
            </w:pPr>
          </w:p>
          <w:p w14:paraId="2D9095C9" w14:textId="77777777" w:rsidR="00CE6287" w:rsidRPr="00CE6287" w:rsidRDefault="00CE6287" w:rsidP="00874A98">
            <w:pPr>
              <w:keepNext w:val="0"/>
              <w:numPr>
                <w:ilvl w:val="0"/>
                <w:numId w:val="298"/>
              </w:numPr>
              <w:spacing w:before="0"/>
              <w:contextualSpacing/>
              <w:jc w:val="left"/>
              <w:rPr>
                <w:color w:val="auto"/>
              </w:rPr>
            </w:pPr>
            <w:r w:rsidRPr="00CE6287">
              <w:rPr>
                <w:color w:val="auto"/>
              </w:rPr>
              <w:t>The impact of the provision on visual amenity, having regard to the need to minimize the prominence of the facilities and screen any external provision;</w:t>
            </w:r>
          </w:p>
          <w:p w14:paraId="1ECF051B" w14:textId="77777777" w:rsidR="00CE6287" w:rsidRPr="00CE6287" w:rsidRDefault="00CE6287" w:rsidP="00905CC9">
            <w:pPr>
              <w:keepNext w:val="0"/>
              <w:spacing w:before="0"/>
              <w:ind w:left="720"/>
              <w:contextualSpacing/>
              <w:jc w:val="left"/>
              <w:rPr>
                <w:color w:val="auto"/>
              </w:rPr>
            </w:pPr>
          </w:p>
          <w:p w14:paraId="0703A26C" w14:textId="3BDC2B0A" w:rsidR="00CE6287" w:rsidRPr="00595970" w:rsidRDefault="00CE6287" w:rsidP="00874A98">
            <w:pPr>
              <w:keepNext w:val="0"/>
              <w:numPr>
                <w:ilvl w:val="0"/>
                <w:numId w:val="298"/>
              </w:numPr>
              <w:spacing w:before="0"/>
              <w:contextualSpacing/>
              <w:jc w:val="left"/>
              <w:rPr>
                <w:color w:val="auto"/>
              </w:rPr>
            </w:pPr>
            <w:r w:rsidRPr="00CE6287">
              <w:rPr>
                <w:color w:val="auto"/>
              </w:rPr>
              <w:t>The impact of the provision on the amenity of neighbouring development and the proposed development;</w:t>
            </w:r>
            <w:r w:rsidR="002B2EB1">
              <w:rPr>
                <w:color w:val="auto"/>
              </w:rPr>
              <w:t xml:space="preserve"> </w:t>
            </w:r>
            <w:r w:rsidR="002B2EB1" w:rsidRPr="00595970">
              <w:rPr>
                <w:color w:val="auto"/>
              </w:rPr>
              <w:t>and</w:t>
            </w:r>
          </w:p>
          <w:p w14:paraId="317AB2E5" w14:textId="77777777" w:rsidR="00CE6287" w:rsidRPr="00CE6287" w:rsidRDefault="00CE6287" w:rsidP="00905CC9">
            <w:pPr>
              <w:keepNext w:val="0"/>
              <w:spacing w:before="0"/>
              <w:ind w:left="720"/>
              <w:contextualSpacing/>
              <w:jc w:val="left"/>
              <w:rPr>
                <w:color w:val="auto"/>
              </w:rPr>
            </w:pPr>
          </w:p>
          <w:p w14:paraId="4B2DD4BB" w14:textId="77777777" w:rsidR="00CE6287" w:rsidRPr="00CE6287" w:rsidRDefault="00CE6287" w:rsidP="00874A98">
            <w:pPr>
              <w:keepNext w:val="0"/>
              <w:numPr>
                <w:ilvl w:val="0"/>
                <w:numId w:val="298"/>
              </w:numPr>
              <w:spacing w:before="0"/>
              <w:contextualSpacing/>
              <w:jc w:val="left"/>
              <w:rPr>
                <w:color w:val="auto"/>
              </w:rPr>
            </w:pPr>
            <w:r w:rsidRPr="00CE6287">
              <w:rPr>
                <w:color w:val="auto"/>
              </w:rPr>
              <w:t>The security of the provision against scavenging pests, vandalism and unauthorized use.</w:t>
            </w:r>
          </w:p>
        </w:tc>
      </w:tr>
      <w:tr w:rsidR="00CE6287" w:rsidRPr="00CE6287" w14:paraId="3BF214C1" w14:textId="77777777" w:rsidTr="00CE6287">
        <w:tc>
          <w:tcPr>
            <w:tcW w:w="2521" w:type="dxa"/>
          </w:tcPr>
          <w:p w14:paraId="12F61098" w14:textId="77777777" w:rsidR="00CE6287" w:rsidRPr="00CE6287" w:rsidRDefault="00CE6287" w:rsidP="00A03E50">
            <w:pPr>
              <w:keepNext w:val="0"/>
              <w:spacing w:before="0"/>
              <w:jc w:val="left"/>
              <w:rPr>
                <w:color w:val="auto"/>
                <w:sz w:val="20"/>
                <w:szCs w:val="20"/>
              </w:rPr>
            </w:pPr>
            <w:r w:rsidRPr="00CE6287">
              <w:rPr>
                <w:color w:val="auto"/>
                <w:sz w:val="20"/>
                <w:szCs w:val="20"/>
              </w:rPr>
              <w:lastRenderedPageBreak/>
              <w:t>Evidence base</w:t>
            </w:r>
          </w:p>
        </w:tc>
        <w:tc>
          <w:tcPr>
            <w:tcW w:w="7098" w:type="dxa"/>
          </w:tcPr>
          <w:p w14:paraId="04E763F3" w14:textId="2533C57D" w:rsidR="00CE6287" w:rsidRPr="00595970" w:rsidRDefault="00CE6287" w:rsidP="00874A98">
            <w:pPr>
              <w:keepNext w:val="0"/>
              <w:numPr>
                <w:ilvl w:val="0"/>
                <w:numId w:val="299"/>
              </w:numPr>
              <w:spacing w:before="0"/>
              <w:contextualSpacing/>
              <w:jc w:val="left"/>
              <w:rPr>
                <w:color w:val="auto"/>
                <w:sz w:val="20"/>
                <w:szCs w:val="20"/>
              </w:rPr>
            </w:pPr>
            <w:r w:rsidRPr="00595970">
              <w:rPr>
                <w:color w:val="auto"/>
                <w:sz w:val="20"/>
                <w:szCs w:val="20"/>
              </w:rPr>
              <w:t>Sustainability Appraisal 202</w:t>
            </w:r>
            <w:r w:rsidR="00C1699D" w:rsidRPr="00595970">
              <w:rPr>
                <w:color w:val="auto"/>
                <w:sz w:val="20"/>
                <w:szCs w:val="20"/>
              </w:rPr>
              <w:t>3</w:t>
            </w:r>
            <w:r w:rsidRPr="00595970">
              <w:rPr>
                <w:color w:val="auto"/>
                <w:sz w:val="20"/>
                <w:szCs w:val="20"/>
              </w:rPr>
              <w:t xml:space="preserve">. </w:t>
            </w:r>
            <w:r w:rsidR="00C1699D" w:rsidRPr="00595970">
              <w:rPr>
                <w:color w:val="auto"/>
                <w:sz w:val="20"/>
                <w:szCs w:val="20"/>
              </w:rPr>
              <w:t>WSP UK Limited</w:t>
            </w:r>
            <w:r w:rsidRPr="00595970">
              <w:rPr>
                <w:color w:val="auto"/>
                <w:sz w:val="20"/>
                <w:szCs w:val="20"/>
              </w:rPr>
              <w:t>.</w:t>
            </w:r>
          </w:p>
        </w:tc>
      </w:tr>
      <w:tr w:rsidR="00CE6287" w:rsidRPr="00CE6287" w14:paraId="07F0E745" w14:textId="77777777" w:rsidTr="00CE6287">
        <w:tc>
          <w:tcPr>
            <w:tcW w:w="2521" w:type="dxa"/>
          </w:tcPr>
          <w:p w14:paraId="511301C9" w14:textId="77777777" w:rsidR="00CE6287" w:rsidRPr="00CE6287" w:rsidRDefault="00CE6287" w:rsidP="00A03E50">
            <w:pPr>
              <w:keepNext w:val="0"/>
              <w:spacing w:before="0"/>
              <w:jc w:val="left"/>
              <w:rPr>
                <w:color w:val="auto"/>
                <w:sz w:val="20"/>
                <w:szCs w:val="20"/>
              </w:rPr>
            </w:pPr>
            <w:r w:rsidRPr="00CE6287">
              <w:rPr>
                <w:color w:val="auto"/>
                <w:sz w:val="20"/>
                <w:szCs w:val="20"/>
              </w:rPr>
              <w:t>National Planning Policy &amp; Guidance</w:t>
            </w:r>
          </w:p>
        </w:tc>
        <w:tc>
          <w:tcPr>
            <w:tcW w:w="7098" w:type="dxa"/>
          </w:tcPr>
          <w:p w14:paraId="61385568" w14:textId="41E31A6F" w:rsidR="00CE6287" w:rsidRPr="00595970" w:rsidRDefault="00CE6287" w:rsidP="00874A98">
            <w:pPr>
              <w:keepNext w:val="0"/>
              <w:numPr>
                <w:ilvl w:val="0"/>
                <w:numId w:val="299"/>
              </w:numPr>
              <w:spacing w:before="0"/>
              <w:contextualSpacing/>
              <w:jc w:val="left"/>
              <w:rPr>
                <w:color w:val="auto"/>
                <w:sz w:val="20"/>
                <w:szCs w:val="20"/>
              </w:rPr>
            </w:pPr>
            <w:r w:rsidRPr="00595970">
              <w:rPr>
                <w:color w:val="auto"/>
                <w:sz w:val="20"/>
                <w:szCs w:val="20"/>
              </w:rPr>
              <w:t>NPPF 202</w:t>
            </w:r>
            <w:r w:rsidR="004173E0" w:rsidRPr="00595970">
              <w:rPr>
                <w:color w:val="auto"/>
                <w:sz w:val="20"/>
                <w:szCs w:val="20"/>
              </w:rPr>
              <w:t>3</w:t>
            </w:r>
            <w:r w:rsidRPr="00595970">
              <w:rPr>
                <w:color w:val="auto"/>
                <w:sz w:val="20"/>
                <w:szCs w:val="20"/>
              </w:rPr>
              <w:t xml:space="preserve">, Part 2: Achieving sustainable development. </w:t>
            </w:r>
          </w:p>
          <w:p w14:paraId="49316B5F" w14:textId="1DAD55B9" w:rsidR="00CE6287" w:rsidRPr="00595970" w:rsidRDefault="00CE6287" w:rsidP="00874A98">
            <w:pPr>
              <w:keepNext w:val="0"/>
              <w:numPr>
                <w:ilvl w:val="0"/>
                <w:numId w:val="299"/>
              </w:numPr>
              <w:spacing w:before="0"/>
              <w:contextualSpacing/>
              <w:jc w:val="left"/>
              <w:rPr>
                <w:color w:val="auto"/>
                <w:sz w:val="20"/>
                <w:szCs w:val="20"/>
              </w:rPr>
            </w:pPr>
            <w:r w:rsidRPr="00595970">
              <w:rPr>
                <w:color w:val="auto"/>
                <w:sz w:val="20"/>
                <w:szCs w:val="20"/>
              </w:rPr>
              <w:t>NPPF 202</w:t>
            </w:r>
            <w:r w:rsidR="004173E0" w:rsidRPr="00595970">
              <w:rPr>
                <w:color w:val="auto"/>
                <w:sz w:val="20"/>
                <w:szCs w:val="20"/>
              </w:rPr>
              <w:t>3</w:t>
            </w:r>
            <w:r w:rsidRPr="00595970">
              <w:rPr>
                <w:color w:val="auto"/>
                <w:sz w:val="20"/>
                <w:szCs w:val="20"/>
              </w:rPr>
              <w:t>, Part 12: Achieving well designed places.</w:t>
            </w:r>
          </w:p>
        </w:tc>
      </w:tr>
    </w:tbl>
    <w:p w14:paraId="3FE4E7AE" w14:textId="77777777" w:rsidR="00CE6287" w:rsidRPr="00CE6287" w:rsidRDefault="00CE6287" w:rsidP="00CE6287">
      <w:pPr>
        <w:keepNext w:val="0"/>
        <w:spacing w:before="0" w:after="160" w:line="252" w:lineRule="auto"/>
        <w:jc w:val="both"/>
        <w:rPr>
          <w:rFonts w:eastAsia="Calibri"/>
          <w:color w:val="auto"/>
          <w:szCs w:val="22"/>
        </w:rPr>
      </w:pPr>
    </w:p>
    <w:p w14:paraId="61DB8354" w14:textId="45A1CFEB" w:rsidR="00CE6287" w:rsidRPr="00CE6287" w:rsidRDefault="004846A4" w:rsidP="00CE6287">
      <w:pPr>
        <w:keepNext w:val="0"/>
        <w:numPr>
          <w:ilvl w:val="1"/>
          <w:numId w:val="7"/>
        </w:numPr>
        <w:tabs>
          <w:tab w:val="clear" w:pos="525"/>
        </w:tabs>
        <w:spacing w:before="0"/>
        <w:ind w:left="709" w:hanging="709"/>
        <w:rPr>
          <w:rFonts w:cs="Arial"/>
          <w:color w:val="auto"/>
          <w:lang w:eastAsia="en-US"/>
        </w:rPr>
      </w:pPr>
      <w:r w:rsidRPr="00CE6287">
        <w:rPr>
          <w:rFonts w:cs="Arial"/>
          <w:color w:val="auto"/>
          <w:szCs w:val="24"/>
          <w:lang w:eastAsia="en-US"/>
        </w:rPr>
        <w:t xml:space="preserve">The Council is required to meet the Waste Framework </w:t>
      </w:r>
      <w:r w:rsidR="00012D1B" w:rsidRPr="00CE6287">
        <w:rPr>
          <w:rFonts w:cs="Arial"/>
          <w:color w:val="auto"/>
          <w:szCs w:val="24"/>
          <w:lang w:eastAsia="en-US"/>
        </w:rPr>
        <w:t>Directive target</w:t>
      </w:r>
      <w:r w:rsidRPr="00CE6287">
        <w:rPr>
          <w:rFonts w:cs="Arial"/>
          <w:color w:val="auto"/>
          <w:szCs w:val="24"/>
          <w:lang w:eastAsia="en-US"/>
        </w:rPr>
        <w:t xml:space="preserve"> of recycling 50% of waste from households by 2020. This will require significant co-operation from householders in waste separation; part of achieving such involvement is the designing-in of appropriate storage in all new development.</w:t>
      </w:r>
    </w:p>
    <w:p w14:paraId="5EE03F02" w14:textId="77777777" w:rsidR="00CE6287" w:rsidRDefault="00CE6287" w:rsidP="00CE6287">
      <w:pPr>
        <w:keepNext w:val="0"/>
        <w:spacing w:before="0"/>
        <w:ind w:left="709"/>
        <w:rPr>
          <w:rFonts w:cs="Arial"/>
          <w:color w:val="auto"/>
          <w:lang w:eastAsia="en-US"/>
        </w:rPr>
      </w:pPr>
    </w:p>
    <w:p w14:paraId="18040864" w14:textId="5F8291C5" w:rsidR="00CE6287" w:rsidRPr="00CE6287" w:rsidRDefault="004846A4" w:rsidP="00CE6287">
      <w:pPr>
        <w:keepNext w:val="0"/>
        <w:numPr>
          <w:ilvl w:val="1"/>
          <w:numId w:val="7"/>
        </w:numPr>
        <w:tabs>
          <w:tab w:val="clear" w:pos="525"/>
        </w:tabs>
        <w:spacing w:before="0"/>
        <w:ind w:left="709" w:hanging="709"/>
        <w:rPr>
          <w:rFonts w:cs="Arial"/>
          <w:color w:val="auto"/>
          <w:lang w:eastAsia="en-US"/>
        </w:rPr>
      </w:pPr>
      <w:r w:rsidRPr="00CE6287">
        <w:rPr>
          <w:rFonts w:cs="Arial"/>
          <w:color w:val="auto"/>
          <w:szCs w:val="24"/>
          <w:lang w:eastAsia="en-US"/>
        </w:rPr>
        <w:t>Poorly sited or designed recycling and refuse storage provision has the potential for considerable adverse impact on the visual appearance of an area as well as its general amenity, for instance by odours, obstruction of footways and cluttering the public realm. An untidy proliferation of bins in streets and forecourts is often one of the most visible signs of higher residential densities when development is poorly designed, particularly when houses are subdivided.</w:t>
      </w:r>
    </w:p>
    <w:p w14:paraId="2F1F23EF" w14:textId="77777777" w:rsidR="00CE6287" w:rsidRDefault="00CE6287" w:rsidP="00CE6287">
      <w:pPr>
        <w:keepNext w:val="0"/>
        <w:spacing w:before="0"/>
        <w:rPr>
          <w:rFonts w:cs="Arial"/>
          <w:color w:val="auto"/>
          <w:lang w:eastAsia="en-US"/>
        </w:rPr>
      </w:pPr>
    </w:p>
    <w:p w14:paraId="07FC5AA1" w14:textId="11BE3007" w:rsidR="00CE6287" w:rsidRDefault="004846A4" w:rsidP="00CE6287">
      <w:pPr>
        <w:keepNext w:val="0"/>
        <w:numPr>
          <w:ilvl w:val="1"/>
          <w:numId w:val="7"/>
        </w:numPr>
        <w:tabs>
          <w:tab w:val="clear" w:pos="525"/>
        </w:tabs>
        <w:spacing w:before="0"/>
        <w:ind w:left="709" w:hanging="709"/>
        <w:rPr>
          <w:rFonts w:cs="Arial"/>
          <w:color w:val="auto"/>
          <w:lang w:eastAsia="en-US"/>
        </w:rPr>
      </w:pPr>
      <w:r w:rsidRPr="00CE6287">
        <w:rPr>
          <w:rFonts w:cs="Arial"/>
          <w:color w:val="auto"/>
          <w:szCs w:val="24"/>
          <w:lang w:eastAsia="en-US"/>
        </w:rPr>
        <w:t>Policy SD</w:t>
      </w:r>
      <w:r w:rsidR="00F05D84">
        <w:rPr>
          <w:rFonts w:cs="Arial"/>
          <w:color w:val="auto"/>
          <w:szCs w:val="24"/>
          <w:lang w:eastAsia="en-US"/>
        </w:rPr>
        <w:t>4</w:t>
      </w:r>
      <w:r w:rsidRPr="00CE6287">
        <w:rPr>
          <w:rFonts w:cs="Arial"/>
          <w:color w:val="auto"/>
          <w:szCs w:val="24"/>
          <w:lang w:eastAsia="en-US"/>
        </w:rPr>
        <w:t xml:space="preserve"> sets out requirements for recycling and refuse provision in all new development proposals by ensuring that adequate provision for waste storage, separation of recyclables and access for collection is designed into all new buildings, re-developments, conversions (including where houses are subdivided) and changes of uses. Recycling and refuse provision should be discussed with the Council at an early stage to ensure that proposed systems are compatible with its requirements.</w:t>
      </w:r>
    </w:p>
    <w:p w14:paraId="772D959F" w14:textId="77777777" w:rsidR="00CE6287" w:rsidRPr="00CE6287" w:rsidRDefault="00CE6287" w:rsidP="00CE6287">
      <w:pPr>
        <w:rPr>
          <w:rFonts w:cs="Arial"/>
          <w:color w:val="auto"/>
          <w:szCs w:val="24"/>
        </w:rPr>
      </w:pPr>
    </w:p>
    <w:p w14:paraId="484FB160" w14:textId="77777777" w:rsidR="00CE6287" w:rsidRDefault="004846A4" w:rsidP="006977E7">
      <w:pPr>
        <w:keepNext w:val="0"/>
        <w:numPr>
          <w:ilvl w:val="1"/>
          <w:numId w:val="7"/>
        </w:numPr>
        <w:tabs>
          <w:tab w:val="clear" w:pos="525"/>
        </w:tabs>
        <w:spacing w:before="0"/>
        <w:ind w:left="709" w:hanging="709"/>
        <w:rPr>
          <w:rFonts w:cs="Arial"/>
          <w:color w:val="auto"/>
          <w:lang w:eastAsia="en-US"/>
        </w:rPr>
      </w:pPr>
      <w:r w:rsidRPr="00CE6287">
        <w:rPr>
          <w:rFonts w:cs="Arial"/>
          <w:color w:val="auto"/>
          <w:szCs w:val="24"/>
          <w:lang w:eastAsia="en-US"/>
        </w:rPr>
        <w:t xml:space="preserve">For the Council to be able to collect </w:t>
      </w:r>
      <w:proofErr w:type="gramStart"/>
      <w:r w:rsidRPr="00CE6287">
        <w:rPr>
          <w:rFonts w:cs="Arial"/>
          <w:color w:val="auto"/>
          <w:szCs w:val="24"/>
          <w:lang w:eastAsia="en-US"/>
        </w:rPr>
        <w:t>all of</w:t>
      </w:r>
      <w:proofErr w:type="gramEnd"/>
      <w:r w:rsidRPr="00CE6287">
        <w:rPr>
          <w:rFonts w:cs="Arial"/>
          <w:color w:val="auto"/>
          <w:szCs w:val="24"/>
          <w:lang w:eastAsia="en-US"/>
        </w:rPr>
        <w:t xml:space="preserve"> the waste generated by new developments in a sustainable manner improved disposal facilities will need to be </w:t>
      </w:r>
      <w:proofErr w:type="gramStart"/>
      <w:r w:rsidRPr="00CE6287">
        <w:rPr>
          <w:rFonts w:cs="Arial"/>
          <w:color w:val="auto"/>
          <w:szCs w:val="24"/>
          <w:lang w:eastAsia="en-US"/>
        </w:rPr>
        <w:t>available</w:t>
      </w:r>
      <w:proofErr w:type="gramEnd"/>
      <w:r w:rsidRPr="00CE6287">
        <w:rPr>
          <w:rFonts w:cs="Arial"/>
          <w:color w:val="auto"/>
          <w:szCs w:val="24"/>
          <w:lang w:eastAsia="en-US"/>
        </w:rPr>
        <w:t xml:space="preserve"> and vehicular access will need to be considered with all new developments particularly where there will be multi occupancy waste disposal requirements. </w:t>
      </w:r>
    </w:p>
    <w:p w14:paraId="34549853" w14:textId="77777777" w:rsidR="00CE6287" w:rsidRPr="00CE6287" w:rsidRDefault="00CE6287" w:rsidP="006977E7">
      <w:pPr>
        <w:spacing w:before="0"/>
        <w:rPr>
          <w:rFonts w:cs="Arial"/>
          <w:color w:val="auto"/>
          <w:szCs w:val="24"/>
        </w:rPr>
      </w:pPr>
    </w:p>
    <w:p w14:paraId="3C04E206" w14:textId="77777777" w:rsidR="00CE6287" w:rsidRDefault="004846A4" w:rsidP="006977E7">
      <w:pPr>
        <w:keepNext w:val="0"/>
        <w:numPr>
          <w:ilvl w:val="1"/>
          <w:numId w:val="7"/>
        </w:numPr>
        <w:tabs>
          <w:tab w:val="clear" w:pos="525"/>
        </w:tabs>
        <w:spacing w:before="0"/>
        <w:ind w:left="709" w:hanging="709"/>
        <w:rPr>
          <w:rFonts w:cs="Arial"/>
          <w:color w:val="auto"/>
          <w:lang w:eastAsia="en-US"/>
        </w:rPr>
      </w:pPr>
      <w:r w:rsidRPr="00CE6287">
        <w:rPr>
          <w:rFonts w:cs="Arial"/>
          <w:color w:val="auto"/>
          <w:szCs w:val="24"/>
          <w:lang w:eastAsia="en-US"/>
        </w:rPr>
        <w:t xml:space="preserve">To meet current recycling requirements a dwelling is provided with one 180 litre bin for general waste, one 240 litre bins for dry recyclables, and one 44 litre box 140 </w:t>
      </w:r>
      <w:r w:rsidRPr="00CE6287">
        <w:rPr>
          <w:rFonts w:cs="Arial"/>
          <w:color w:val="auto"/>
          <w:szCs w:val="24"/>
          <w:lang w:eastAsia="en-US"/>
        </w:rPr>
        <w:lastRenderedPageBreak/>
        <w:t>litre bin for recycling glass. However, this may increase in the future with potentially higher recycling rates and therefore additional bin requirements.  Where residential developments are proposed with gardens, including communal gardens in apartment developments, consideration should be given to the use of a composting facility. Composting facilities are preferable to garden waste bins, as treatment of waste at source is recognised as the most sustainable method of treatment. However, consideration needs to be given on the sitting of such facilities in relation to odour and vermin prevention.</w:t>
      </w:r>
    </w:p>
    <w:p w14:paraId="225FCE2F" w14:textId="77777777" w:rsidR="00CE6287" w:rsidRPr="00CE6287" w:rsidRDefault="00CE6287" w:rsidP="006977E7">
      <w:pPr>
        <w:spacing w:before="0"/>
        <w:rPr>
          <w:rFonts w:cs="Arial"/>
          <w:color w:val="auto"/>
          <w:szCs w:val="24"/>
        </w:rPr>
      </w:pPr>
    </w:p>
    <w:p w14:paraId="6E75E140" w14:textId="38D02940" w:rsidR="00CE6287" w:rsidRPr="00CE6287" w:rsidRDefault="004846A4" w:rsidP="006977E7">
      <w:pPr>
        <w:keepNext w:val="0"/>
        <w:numPr>
          <w:ilvl w:val="1"/>
          <w:numId w:val="7"/>
        </w:numPr>
        <w:tabs>
          <w:tab w:val="clear" w:pos="525"/>
        </w:tabs>
        <w:spacing w:before="0"/>
        <w:ind w:left="709" w:hanging="709"/>
        <w:rPr>
          <w:rFonts w:cs="Arial"/>
          <w:color w:val="auto"/>
          <w:lang w:eastAsia="en-US"/>
        </w:rPr>
      </w:pPr>
      <w:r w:rsidRPr="00CE6287">
        <w:rPr>
          <w:rFonts w:cs="Arial"/>
          <w:color w:val="auto"/>
          <w:szCs w:val="24"/>
          <w:lang w:eastAsia="en-US"/>
        </w:rPr>
        <w:t xml:space="preserve">Large scale commercial developments which draw large numbers of visitors, such as shopping centres, leisure centres or tourist attractions may be expected to provide an element of appropriately sited and designed recycling provision for public use. Proposals to extend this provision to serve the wider community will be encouraged by the Council. Developers should seek guidance on these requirements at early design stage. </w:t>
      </w:r>
    </w:p>
    <w:p w14:paraId="24CB4CA6" w14:textId="77777777" w:rsidR="00CE6287" w:rsidRDefault="00CE6287" w:rsidP="00CE6287">
      <w:pPr>
        <w:keepNext w:val="0"/>
        <w:spacing w:before="0"/>
        <w:rPr>
          <w:rFonts w:cs="Arial"/>
          <w:color w:val="auto"/>
          <w:lang w:eastAsia="en-US"/>
        </w:rPr>
      </w:pPr>
    </w:p>
    <w:p w14:paraId="5B276C0F" w14:textId="6BB23BE4" w:rsidR="00CE6287" w:rsidRPr="00CE6287" w:rsidRDefault="004846A4" w:rsidP="00CE6287">
      <w:pPr>
        <w:keepNext w:val="0"/>
        <w:numPr>
          <w:ilvl w:val="1"/>
          <w:numId w:val="7"/>
        </w:numPr>
        <w:tabs>
          <w:tab w:val="clear" w:pos="525"/>
        </w:tabs>
        <w:spacing w:before="0"/>
        <w:ind w:left="709" w:hanging="709"/>
        <w:rPr>
          <w:rFonts w:cs="Arial"/>
          <w:color w:val="auto"/>
          <w:lang w:eastAsia="en-US"/>
        </w:rPr>
      </w:pPr>
      <w:r w:rsidRPr="00CE6287">
        <w:rPr>
          <w:rFonts w:cs="Arial"/>
          <w:color w:val="auto"/>
          <w:szCs w:val="24"/>
          <w:lang w:eastAsia="en-US"/>
        </w:rPr>
        <w:t xml:space="preserve">Where a development is seeking to accommodate refuse bins in a detached bin store, this must be appropriately designed and secure. If a residential proposal, the store must be constructed of complementary material and be sited to not impact on property or street frontage. Wherever possible, stores should be incorporated into the primary building. </w:t>
      </w:r>
    </w:p>
    <w:p w14:paraId="57A2A6BC" w14:textId="77777777" w:rsidR="00CE6287" w:rsidRDefault="00CE6287" w:rsidP="00CE6287">
      <w:pPr>
        <w:keepNext w:val="0"/>
        <w:spacing w:before="0"/>
        <w:rPr>
          <w:rFonts w:cs="Arial"/>
          <w:color w:val="auto"/>
          <w:lang w:eastAsia="en-US"/>
        </w:rPr>
      </w:pPr>
    </w:p>
    <w:p w14:paraId="5498EB08" w14:textId="1DB53DEF" w:rsidR="004846A4" w:rsidRPr="00CE6287" w:rsidRDefault="004846A4" w:rsidP="00CE6287">
      <w:pPr>
        <w:keepNext w:val="0"/>
        <w:numPr>
          <w:ilvl w:val="1"/>
          <w:numId w:val="7"/>
        </w:numPr>
        <w:tabs>
          <w:tab w:val="clear" w:pos="525"/>
        </w:tabs>
        <w:spacing w:before="0"/>
        <w:ind w:left="709" w:hanging="709"/>
        <w:rPr>
          <w:rFonts w:cs="Arial"/>
          <w:color w:val="auto"/>
          <w:lang w:eastAsia="en-US"/>
        </w:rPr>
      </w:pPr>
      <w:r w:rsidRPr="00CE6287">
        <w:rPr>
          <w:rFonts w:cs="Arial"/>
          <w:color w:val="auto"/>
          <w:szCs w:val="24"/>
          <w:lang w:eastAsia="en-US"/>
        </w:rPr>
        <w:t>The Council will require the submission of a waste storage and collection plan for major residential or commercial developments. The plan should include the following information:</w:t>
      </w:r>
    </w:p>
    <w:p w14:paraId="097D6DB2" w14:textId="77777777" w:rsidR="004846A4" w:rsidRPr="00CE6287" w:rsidRDefault="004846A4" w:rsidP="00CE6287">
      <w:pPr>
        <w:keepNext w:val="0"/>
        <w:spacing w:before="0"/>
        <w:ind w:left="525"/>
        <w:rPr>
          <w:rFonts w:cs="Arial"/>
          <w:color w:val="auto"/>
          <w:szCs w:val="24"/>
          <w:lang w:eastAsia="en-US"/>
        </w:rPr>
      </w:pPr>
    </w:p>
    <w:p w14:paraId="37F0D2F6" w14:textId="13257055" w:rsidR="00CE6287" w:rsidRDefault="004846A4" w:rsidP="00874A98">
      <w:pPr>
        <w:pStyle w:val="ListParagraph"/>
        <w:numPr>
          <w:ilvl w:val="0"/>
          <w:numId w:val="300"/>
        </w:numPr>
        <w:spacing w:after="0" w:line="240" w:lineRule="auto"/>
        <w:rPr>
          <w:rFonts w:ascii="Arial" w:hAnsi="Arial" w:cs="Arial"/>
          <w:color w:val="auto"/>
          <w:szCs w:val="24"/>
        </w:rPr>
      </w:pPr>
      <w:r w:rsidRPr="00CE6287">
        <w:rPr>
          <w:rFonts w:ascii="Arial" w:hAnsi="Arial" w:cs="Arial"/>
          <w:color w:val="auto"/>
          <w:szCs w:val="24"/>
        </w:rPr>
        <w:t xml:space="preserve">for residential properties; how the managing agent will work with tenants to ensure that recycling takes place;  </w:t>
      </w:r>
    </w:p>
    <w:p w14:paraId="1E531D49" w14:textId="77777777" w:rsidR="00CE6287" w:rsidRPr="00CE6287" w:rsidRDefault="00CE6287" w:rsidP="00CE6287">
      <w:pPr>
        <w:pStyle w:val="ListParagraph"/>
        <w:spacing w:after="0" w:line="240" w:lineRule="auto"/>
        <w:ind w:left="1069"/>
        <w:rPr>
          <w:rFonts w:ascii="Arial" w:hAnsi="Arial" w:cs="Arial"/>
          <w:color w:val="auto"/>
          <w:szCs w:val="24"/>
        </w:rPr>
      </w:pPr>
    </w:p>
    <w:p w14:paraId="6D5DBBE9" w14:textId="75973A08" w:rsidR="00CE6287" w:rsidRDefault="004846A4" w:rsidP="00874A98">
      <w:pPr>
        <w:pStyle w:val="ListParagraph"/>
        <w:numPr>
          <w:ilvl w:val="0"/>
          <w:numId w:val="300"/>
        </w:numPr>
        <w:spacing w:after="0" w:line="240" w:lineRule="auto"/>
        <w:rPr>
          <w:rFonts w:ascii="Arial" w:hAnsi="Arial" w:cs="Arial"/>
          <w:color w:val="auto"/>
          <w:szCs w:val="24"/>
        </w:rPr>
      </w:pPr>
      <w:r w:rsidRPr="00CE6287">
        <w:rPr>
          <w:rFonts w:ascii="Arial" w:hAnsi="Arial" w:cs="Arial"/>
          <w:color w:val="auto"/>
          <w:szCs w:val="24"/>
        </w:rPr>
        <w:t>for commercial properties; how the managing agents will ensure that recyclable waste is separated from general refuse, details of the location of waste receptacles, and how litter will be controlled at the site when the development is in use; an</w:t>
      </w:r>
      <w:r w:rsidR="00CE6287" w:rsidRPr="00CE6287">
        <w:rPr>
          <w:rFonts w:ascii="Arial" w:hAnsi="Arial" w:cs="Arial"/>
          <w:color w:val="auto"/>
          <w:szCs w:val="24"/>
        </w:rPr>
        <w:t>d</w:t>
      </w:r>
    </w:p>
    <w:p w14:paraId="459A2DCE" w14:textId="77777777" w:rsidR="00CE6287" w:rsidRPr="00CE6287" w:rsidRDefault="00CE6287" w:rsidP="006977E7">
      <w:pPr>
        <w:spacing w:before="0"/>
        <w:rPr>
          <w:rFonts w:cs="Arial"/>
          <w:color w:val="auto"/>
          <w:szCs w:val="24"/>
        </w:rPr>
      </w:pPr>
    </w:p>
    <w:p w14:paraId="26C2970F" w14:textId="47FDC43A" w:rsidR="006E3244" w:rsidRDefault="004846A4" w:rsidP="00874A98">
      <w:pPr>
        <w:pStyle w:val="ListParagraph"/>
        <w:numPr>
          <w:ilvl w:val="0"/>
          <w:numId w:val="300"/>
        </w:numPr>
        <w:spacing w:after="0" w:line="240" w:lineRule="auto"/>
        <w:rPr>
          <w:rFonts w:ascii="Arial" w:hAnsi="Arial" w:cs="Arial"/>
          <w:color w:val="auto"/>
          <w:szCs w:val="24"/>
        </w:rPr>
      </w:pPr>
      <w:r w:rsidRPr="00CE6287">
        <w:rPr>
          <w:rFonts w:ascii="Arial" w:hAnsi="Arial" w:cs="Arial"/>
          <w:color w:val="auto"/>
          <w:szCs w:val="24"/>
        </w:rPr>
        <w:t xml:space="preserve">details on how waste will be managed during the construction period. </w:t>
      </w:r>
    </w:p>
    <w:p w14:paraId="53D9AE53" w14:textId="603E5951" w:rsidR="005A0FAE" w:rsidRDefault="005A0FAE">
      <w:pPr>
        <w:keepNext w:val="0"/>
        <w:spacing w:before="0"/>
        <w:rPr>
          <w:rFonts w:cs="Arial"/>
          <w:color w:val="auto"/>
          <w:szCs w:val="24"/>
          <w:lang w:eastAsia="en-US"/>
        </w:rPr>
      </w:pPr>
      <w:r>
        <w:rPr>
          <w:rFonts w:cs="Arial"/>
          <w:color w:val="auto"/>
          <w:szCs w:val="24"/>
        </w:rPr>
        <w:br w:type="page"/>
      </w:r>
    </w:p>
    <w:p w14:paraId="02C5A937" w14:textId="2F0E74DA" w:rsidR="0040385F" w:rsidRPr="00825421" w:rsidRDefault="006977E7" w:rsidP="00825421">
      <w:pPr>
        <w:pStyle w:val="Heading2"/>
        <w:jc w:val="left"/>
        <w:rPr>
          <w:rFonts w:eastAsia="Arial"/>
          <w:sz w:val="28"/>
          <w:szCs w:val="28"/>
        </w:rPr>
      </w:pPr>
      <w:bookmarkStart w:id="301" w:name="_Toc500408787"/>
      <w:bookmarkStart w:id="302" w:name="_Toc145511614"/>
      <w:r w:rsidRPr="00825421">
        <w:rPr>
          <w:rFonts w:eastAsia="Arial"/>
          <w:sz w:val="28"/>
          <w:szCs w:val="28"/>
        </w:rPr>
        <w:lastRenderedPageBreak/>
        <w:t xml:space="preserve">Policy </w:t>
      </w:r>
      <w:r w:rsidR="0040385F" w:rsidRPr="00825421">
        <w:rPr>
          <w:rFonts w:eastAsia="Arial"/>
          <w:sz w:val="28"/>
          <w:szCs w:val="28"/>
        </w:rPr>
        <w:t>SD</w:t>
      </w:r>
      <w:r w:rsidR="0064018F" w:rsidRPr="00825421">
        <w:rPr>
          <w:rFonts w:eastAsia="Arial"/>
          <w:sz w:val="28"/>
          <w:szCs w:val="28"/>
        </w:rPr>
        <w:t>5</w:t>
      </w:r>
      <w:r w:rsidR="0040385F" w:rsidRPr="00825421">
        <w:rPr>
          <w:rFonts w:eastAsia="Arial"/>
          <w:sz w:val="28"/>
          <w:szCs w:val="28"/>
        </w:rPr>
        <w:t>: Developer Contributions</w:t>
      </w:r>
      <w:bookmarkEnd w:id="301"/>
      <w:bookmarkEnd w:id="302"/>
    </w:p>
    <w:p w14:paraId="3D0C93FC" w14:textId="08CF1AC3" w:rsidR="0040385F" w:rsidRDefault="0040385F" w:rsidP="0040385F">
      <w:pPr>
        <w:keepNext w:val="0"/>
        <w:spacing w:before="0"/>
        <w:rPr>
          <w:rFonts w:eastAsia="Arial" w:cs="Arial"/>
          <w:color w:val="auto"/>
        </w:rPr>
      </w:pPr>
    </w:p>
    <w:tbl>
      <w:tblPr>
        <w:tblStyle w:val="TableGrid3"/>
        <w:tblW w:w="0" w:type="auto"/>
        <w:tblLook w:val="04A0" w:firstRow="1" w:lastRow="0" w:firstColumn="1" w:lastColumn="0" w:noHBand="0" w:noVBand="1"/>
      </w:tblPr>
      <w:tblGrid>
        <w:gridCol w:w="2405"/>
        <w:gridCol w:w="255"/>
        <w:gridCol w:w="6833"/>
      </w:tblGrid>
      <w:tr w:rsidR="0040385F" w:rsidRPr="0040385F" w14:paraId="62617096" w14:textId="77777777" w:rsidTr="00163F59">
        <w:trPr>
          <w:trHeight w:val="421"/>
        </w:trPr>
        <w:tc>
          <w:tcPr>
            <w:tcW w:w="9493" w:type="dxa"/>
            <w:gridSpan w:val="3"/>
          </w:tcPr>
          <w:p w14:paraId="0C46128E" w14:textId="77777777" w:rsidR="00ED5F54" w:rsidRDefault="00ED5F54" w:rsidP="00905CC9">
            <w:pPr>
              <w:keepNext w:val="0"/>
              <w:tabs>
                <w:tab w:val="left" w:pos="680"/>
              </w:tabs>
              <w:spacing w:before="0"/>
              <w:jc w:val="left"/>
              <w:rPr>
                <w:rFonts w:eastAsia="Arial"/>
                <w:b/>
                <w:color w:val="auto"/>
                <w:spacing w:val="-1"/>
              </w:rPr>
            </w:pPr>
            <w:bookmarkStart w:id="303" w:name="_Hlk78798791"/>
          </w:p>
          <w:p w14:paraId="363C2175" w14:textId="3BDC44BE" w:rsidR="0040385F" w:rsidRDefault="0040385F" w:rsidP="00905CC9">
            <w:pPr>
              <w:keepNext w:val="0"/>
              <w:tabs>
                <w:tab w:val="left" w:pos="680"/>
              </w:tabs>
              <w:spacing w:before="0"/>
              <w:jc w:val="left"/>
              <w:rPr>
                <w:rFonts w:eastAsia="Arial"/>
                <w:b/>
                <w:color w:val="auto"/>
                <w:spacing w:val="-1"/>
              </w:rPr>
            </w:pPr>
            <w:r w:rsidRPr="0040385F">
              <w:rPr>
                <w:rFonts w:eastAsia="Arial"/>
                <w:b/>
                <w:color w:val="auto"/>
                <w:spacing w:val="-1"/>
              </w:rPr>
              <w:t>Policy SD</w:t>
            </w:r>
            <w:r w:rsidR="0064018F">
              <w:rPr>
                <w:rFonts w:eastAsia="Arial"/>
                <w:b/>
                <w:color w:val="auto"/>
                <w:spacing w:val="-1"/>
              </w:rPr>
              <w:t>5</w:t>
            </w:r>
            <w:r w:rsidRPr="0040385F">
              <w:rPr>
                <w:rFonts w:eastAsia="Arial"/>
                <w:b/>
                <w:color w:val="auto"/>
                <w:spacing w:val="-1"/>
              </w:rPr>
              <w:t>: Developer Contributions</w:t>
            </w:r>
          </w:p>
          <w:p w14:paraId="2695F840" w14:textId="36A36A92" w:rsidR="00ED5F54" w:rsidRPr="0040385F" w:rsidRDefault="00ED5F54" w:rsidP="00905CC9">
            <w:pPr>
              <w:keepNext w:val="0"/>
              <w:tabs>
                <w:tab w:val="left" w:pos="680"/>
              </w:tabs>
              <w:spacing w:before="0"/>
              <w:jc w:val="left"/>
              <w:rPr>
                <w:rFonts w:eastAsia="Arial"/>
                <w:b/>
                <w:color w:val="auto"/>
                <w:spacing w:val="-1"/>
              </w:rPr>
            </w:pPr>
          </w:p>
        </w:tc>
      </w:tr>
      <w:tr w:rsidR="0040385F" w:rsidRPr="0040385F" w14:paraId="50A96EBE" w14:textId="77777777" w:rsidTr="00163F59">
        <w:tc>
          <w:tcPr>
            <w:tcW w:w="2660" w:type="dxa"/>
            <w:gridSpan w:val="2"/>
          </w:tcPr>
          <w:p w14:paraId="4F291351" w14:textId="77777777" w:rsidR="0040385F" w:rsidRPr="0040385F" w:rsidRDefault="0040385F" w:rsidP="00905CC9">
            <w:pPr>
              <w:keepNext w:val="0"/>
              <w:tabs>
                <w:tab w:val="left" w:pos="680"/>
              </w:tabs>
              <w:spacing w:before="0"/>
              <w:jc w:val="left"/>
              <w:rPr>
                <w:rFonts w:eastAsia="Arial"/>
                <w:bCs/>
                <w:color w:val="auto"/>
              </w:rPr>
            </w:pPr>
            <w:r w:rsidRPr="0040385F">
              <w:rPr>
                <w:rFonts w:eastAsia="Arial"/>
                <w:bCs/>
                <w:color w:val="auto"/>
              </w:rPr>
              <w:t>Strategic Objectives</w:t>
            </w:r>
          </w:p>
        </w:tc>
        <w:tc>
          <w:tcPr>
            <w:tcW w:w="6833" w:type="dxa"/>
          </w:tcPr>
          <w:p w14:paraId="75D6E8AF" w14:textId="77777777" w:rsidR="0040385F" w:rsidRPr="0040385F" w:rsidRDefault="0040385F" w:rsidP="00905CC9">
            <w:pPr>
              <w:keepNext w:val="0"/>
              <w:tabs>
                <w:tab w:val="left" w:pos="680"/>
              </w:tabs>
              <w:spacing w:before="40" w:after="40"/>
              <w:jc w:val="left"/>
              <w:rPr>
                <w:rFonts w:eastAsia="Arial"/>
                <w:bCs/>
                <w:color w:val="auto"/>
              </w:rPr>
            </w:pPr>
            <w:r w:rsidRPr="0040385F">
              <w:rPr>
                <w:rFonts w:eastAsia="Arial"/>
                <w:bCs/>
                <w:color w:val="auto"/>
              </w:rPr>
              <w:t xml:space="preserve">SO1, SO2, SO3, SO4, SO5, SO7, SO8, SO9, SO11, SO12, SO13, SO14. </w:t>
            </w:r>
          </w:p>
        </w:tc>
      </w:tr>
      <w:tr w:rsidR="0040385F" w:rsidRPr="0040385F" w14:paraId="1FEFEC20" w14:textId="77777777" w:rsidTr="00163F59">
        <w:tc>
          <w:tcPr>
            <w:tcW w:w="9493" w:type="dxa"/>
            <w:gridSpan w:val="3"/>
            <w:shd w:val="clear" w:color="auto" w:fill="DAC4F8"/>
          </w:tcPr>
          <w:p w14:paraId="0F0A61E4" w14:textId="77777777" w:rsidR="0040385F" w:rsidRDefault="0040385F" w:rsidP="00905CC9">
            <w:pPr>
              <w:keepNext w:val="0"/>
              <w:tabs>
                <w:tab w:val="left" w:pos="680"/>
                <w:tab w:val="left" w:pos="1133"/>
                <w:tab w:val="left" w:pos="2267"/>
              </w:tabs>
              <w:spacing w:before="0"/>
              <w:ind w:left="360" w:right="284"/>
              <w:jc w:val="left"/>
              <w:rPr>
                <w:rFonts w:eastAsia="Arial"/>
                <w:bCs/>
                <w:color w:val="auto"/>
              </w:rPr>
            </w:pPr>
          </w:p>
          <w:p w14:paraId="45FC0E99" w14:textId="4E2A5759" w:rsidR="005D5960" w:rsidRPr="00DB05C3" w:rsidRDefault="00465D01" w:rsidP="00874A98">
            <w:pPr>
              <w:keepNext w:val="0"/>
              <w:numPr>
                <w:ilvl w:val="0"/>
                <w:numId w:val="175"/>
              </w:numPr>
              <w:tabs>
                <w:tab w:val="left" w:pos="680"/>
                <w:tab w:val="left" w:pos="1133"/>
                <w:tab w:val="left" w:pos="2267"/>
              </w:tabs>
              <w:spacing w:before="0"/>
              <w:ind w:right="284"/>
              <w:jc w:val="left"/>
              <w:rPr>
                <w:rFonts w:eastAsia="Arial" w:cs="Arial"/>
                <w:bCs/>
                <w:color w:val="auto"/>
                <w:szCs w:val="24"/>
              </w:rPr>
            </w:pPr>
            <w:r w:rsidRPr="00DB05C3">
              <w:rPr>
                <w:bCs/>
                <w:color w:val="auto"/>
                <w:szCs w:val="24"/>
              </w:rPr>
              <w:t>D</w:t>
            </w:r>
            <w:r w:rsidR="00C513B3" w:rsidRPr="00DB05C3">
              <w:rPr>
                <w:bCs/>
                <w:color w:val="auto"/>
                <w:szCs w:val="24"/>
              </w:rPr>
              <w:t>evelopment will be required to</w:t>
            </w:r>
            <w:r w:rsidR="005D5960" w:rsidRPr="00DB05C3">
              <w:rPr>
                <w:rFonts w:cs="Arial"/>
                <w:bCs/>
                <w:color w:val="auto"/>
                <w:szCs w:val="24"/>
              </w:rPr>
              <w:t>:</w:t>
            </w:r>
            <w:r w:rsidR="00C513B3" w:rsidRPr="00DB05C3">
              <w:rPr>
                <w:rFonts w:cs="Arial"/>
                <w:bCs/>
                <w:color w:val="auto"/>
                <w:szCs w:val="24"/>
              </w:rPr>
              <w:t xml:space="preserve"> </w:t>
            </w:r>
          </w:p>
          <w:p w14:paraId="2F7FE906" w14:textId="77777777" w:rsidR="005D5960" w:rsidRPr="00DB05C3" w:rsidRDefault="005D5960" w:rsidP="005D5960">
            <w:pPr>
              <w:keepNext w:val="0"/>
              <w:tabs>
                <w:tab w:val="left" w:pos="680"/>
                <w:tab w:val="left" w:pos="1133"/>
                <w:tab w:val="left" w:pos="2267"/>
              </w:tabs>
              <w:spacing w:before="0"/>
              <w:ind w:left="360" w:right="284"/>
              <w:jc w:val="left"/>
              <w:rPr>
                <w:rFonts w:eastAsia="Arial" w:cs="Arial"/>
                <w:bCs/>
                <w:color w:val="auto"/>
                <w:szCs w:val="24"/>
              </w:rPr>
            </w:pPr>
          </w:p>
          <w:p w14:paraId="25357DD5" w14:textId="7274B56A" w:rsidR="005D5960" w:rsidRPr="00DB05C3" w:rsidRDefault="005D5960" w:rsidP="00874A98">
            <w:pPr>
              <w:pStyle w:val="ListParagraph"/>
              <w:numPr>
                <w:ilvl w:val="0"/>
                <w:numId w:val="326"/>
              </w:numPr>
              <w:ind w:right="284"/>
              <w:jc w:val="left"/>
              <w:rPr>
                <w:rFonts w:ascii="Arial" w:eastAsia="Arial" w:hAnsi="Arial" w:cs="Arial"/>
                <w:bCs/>
                <w:color w:val="auto"/>
              </w:rPr>
            </w:pPr>
            <w:r w:rsidRPr="00DB05C3">
              <w:rPr>
                <w:rFonts w:ascii="Arial" w:eastAsia="Arial" w:hAnsi="Arial" w:cs="Arial"/>
                <w:bCs/>
                <w:color w:val="auto"/>
              </w:rPr>
              <w:t xml:space="preserve">meet all reasonable costs associated with the infrastructure required </w:t>
            </w:r>
            <w:proofErr w:type="gramStart"/>
            <w:r w:rsidRPr="00DB05C3">
              <w:rPr>
                <w:rFonts w:ascii="Arial" w:eastAsia="Arial" w:hAnsi="Arial" w:cs="Arial"/>
                <w:bCs/>
                <w:color w:val="auto"/>
              </w:rPr>
              <w:t>as a consequence of</w:t>
            </w:r>
            <w:proofErr w:type="gramEnd"/>
            <w:r w:rsidRPr="00DB05C3">
              <w:rPr>
                <w:rFonts w:ascii="Arial" w:eastAsia="Arial" w:hAnsi="Arial" w:cs="Arial"/>
                <w:bCs/>
                <w:color w:val="auto"/>
              </w:rPr>
              <w:t xml:space="preserve"> the proposal;</w:t>
            </w:r>
          </w:p>
          <w:p w14:paraId="0487F43C" w14:textId="57F9B774" w:rsidR="005D5960" w:rsidRPr="00DB05C3" w:rsidRDefault="005D5960" w:rsidP="00874A98">
            <w:pPr>
              <w:pStyle w:val="ListParagraph"/>
              <w:numPr>
                <w:ilvl w:val="0"/>
                <w:numId w:val="326"/>
              </w:numPr>
              <w:ind w:right="284"/>
              <w:jc w:val="left"/>
              <w:rPr>
                <w:rFonts w:ascii="Arial" w:hAnsi="Arial" w:cs="Arial"/>
                <w:bCs/>
                <w:color w:val="auto"/>
                <w:szCs w:val="24"/>
              </w:rPr>
            </w:pPr>
            <w:r w:rsidRPr="00DB05C3">
              <w:rPr>
                <w:rFonts w:ascii="Arial" w:eastAsia="Arial" w:hAnsi="Arial" w:cs="Arial"/>
                <w:bCs/>
                <w:color w:val="auto"/>
              </w:rPr>
              <w:t>where appropriate, contribute to the delivery of infrastructure to enable the cumulative infrastructure impacts of developments to be managed, including identified transport infrastructure requirements; and</w:t>
            </w:r>
          </w:p>
          <w:p w14:paraId="42702392" w14:textId="61B1FEC7" w:rsidR="005D5960" w:rsidRPr="00DB05C3" w:rsidRDefault="005D5960" w:rsidP="00874A98">
            <w:pPr>
              <w:pStyle w:val="ListParagraph"/>
              <w:numPr>
                <w:ilvl w:val="0"/>
                <w:numId w:val="326"/>
              </w:numPr>
              <w:ind w:right="284"/>
              <w:jc w:val="left"/>
              <w:rPr>
                <w:rFonts w:ascii="Arial" w:hAnsi="Arial" w:cs="Arial"/>
                <w:bCs/>
                <w:color w:val="auto"/>
                <w:szCs w:val="24"/>
              </w:rPr>
            </w:pPr>
            <w:r w:rsidRPr="00DB05C3">
              <w:rPr>
                <w:rFonts w:ascii="Arial" w:eastAsia="Arial" w:hAnsi="Arial" w:cs="Arial"/>
                <w:bCs/>
                <w:color w:val="auto"/>
              </w:rPr>
              <w:t xml:space="preserve">provide for the future maintenance of facilities delivered </w:t>
            </w:r>
            <w:proofErr w:type="gramStart"/>
            <w:r w:rsidRPr="00DB05C3">
              <w:rPr>
                <w:rFonts w:ascii="Arial" w:eastAsia="Arial" w:hAnsi="Arial" w:cs="Arial"/>
                <w:bCs/>
                <w:color w:val="auto"/>
              </w:rPr>
              <w:t>as a result of</w:t>
            </w:r>
            <w:proofErr w:type="gramEnd"/>
            <w:r w:rsidRPr="00DB05C3">
              <w:rPr>
                <w:rFonts w:ascii="Arial" w:eastAsia="Arial" w:hAnsi="Arial" w:cs="Arial"/>
                <w:bCs/>
                <w:color w:val="auto"/>
              </w:rPr>
              <w:t xml:space="preserve"> the development.</w:t>
            </w:r>
          </w:p>
          <w:p w14:paraId="1C5A2CC4" w14:textId="21FFCF55" w:rsidR="0040385F" w:rsidRPr="00DB05C3" w:rsidRDefault="0040385F" w:rsidP="00CC17E1">
            <w:pPr>
              <w:keepNext w:val="0"/>
              <w:tabs>
                <w:tab w:val="left" w:pos="680"/>
                <w:tab w:val="left" w:pos="1133"/>
                <w:tab w:val="left" w:pos="2267"/>
              </w:tabs>
              <w:spacing w:before="0"/>
              <w:ind w:left="360" w:right="284"/>
              <w:jc w:val="left"/>
              <w:rPr>
                <w:rFonts w:eastAsia="Arial" w:cs="Arial"/>
                <w:bCs/>
                <w:color w:val="auto"/>
                <w:szCs w:val="24"/>
              </w:rPr>
            </w:pPr>
            <w:r w:rsidRPr="00DB05C3">
              <w:rPr>
                <w:bCs/>
                <w:color w:val="auto"/>
                <w:szCs w:val="24"/>
              </w:rPr>
              <w:t>This includes provision of new, or enhancement of the existing infrastructure and facilities, including where appropriate, but not limited to:</w:t>
            </w:r>
          </w:p>
          <w:p w14:paraId="4A7412E0" w14:textId="77777777" w:rsidR="0040385F" w:rsidRPr="00DB05C3" w:rsidRDefault="0040385F" w:rsidP="00CC17E1">
            <w:pPr>
              <w:keepNext w:val="0"/>
              <w:autoSpaceDE w:val="0"/>
              <w:autoSpaceDN w:val="0"/>
              <w:adjustRightInd w:val="0"/>
              <w:spacing w:before="0"/>
              <w:ind w:left="360"/>
              <w:contextualSpacing/>
              <w:jc w:val="left"/>
              <w:rPr>
                <w:rFonts w:cs="Arial"/>
                <w:bCs/>
                <w:color w:val="auto"/>
                <w:szCs w:val="24"/>
              </w:rPr>
            </w:pPr>
          </w:p>
          <w:p w14:paraId="6ED6BC73" w14:textId="77777777" w:rsidR="00CC17E1" w:rsidRPr="00DB05C3" w:rsidRDefault="0040385F" w:rsidP="00874A98">
            <w:pPr>
              <w:pStyle w:val="ListParagraph"/>
              <w:numPr>
                <w:ilvl w:val="0"/>
                <w:numId w:val="337"/>
              </w:numPr>
              <w:autoSpaceDE w:val="0"/>
              <w:autoSpaceDN w:val="0"/>
              <w:adjustRightInd w:val="0"/>
              <w:spacing w:after="0" w:line="240" w:lineRule="auto"/>
              <w:rPr>
                <w:rFonts w:ascii="Arial" w:hAnsi="Arial" w:cs="Arial"/>
                <w:bCs/>
                <w:color w:val="auto"/>
                <w:szCs w:val="24"/>
              </w:rPr>
            </w:pPr>
            <w:r w:rsidRPr="00DB05C3">
              <w:rPr>
                <w:rFonts w:ascii="Arial" w:hAnsi="Arial" w:cs="Arial"/>
                <w:bCs/>
                <w:color w:val="auto"/>
                <w:szCs w:val="24"/>
              </w:rPr>
              <w:t>Affordable housing</w:t>
            </w:r>
            <w:r w:rsidR="00881D31" w:rsidRPr="00DB05C3">
              <w:rPr>
                <w:rFonts w:ascii="Arial" w:hAnsi="Arial" w:cs="Arial"/>
                <w:bCs/>
                <w:color w:val="auto"/>
                <w:szCs w:val="24"/>
              </w:rPr>
              <w:t>.</w:t>
            </w:r>
            <w:r w:rsidRPr="00DB05C3">
              <w:rPr>
                <w:rFonts w:ascii="Arial" w:hAnsi="Arial" w:cs="Arial"/>
                <w:bCs/>
                <w:color w:val="auto"/>
                <w:szCs w:val="24"/>
              </w:rPr>
              <w:t xml:space="preserve"> </w:t>
            </w:r>
          </w:p>
          <w:p w14:paraId="225CE04D" w14:textId="77777777" w:rsidR="00CC17E1" w:rsidRPr="00DB05C3" w:rsidRDefault="0040385F" w:rsidP="00874A98">
            <w:pPr>
              <w:pStyle w:val="ListParagraph"/>
              <w:numPr>
                <w:ilvl w:val="0"/>
                <w:numId w:val="337"/>
              </w:numPr>
              <w:autoSpaceDE w:val="0"/>
              <w:autoSpaceDN w:val="0"/>
              <w:adjustRightInd w:val="0"/>
              <w:spacing w:after="0" w:line="240" w:lineRule="auto"/>
              <w:rPr>
                <w:rFonts w:ascii="Arial" w:hAnsi="Arial" w:cs="Arial"/>
                <w:bCs/>
                <w:color w:val="auto"/>
                <w:szCs w:val="24"/>
              </w:rPr>
            </w:pPr>
            <w:r w:rsidRPr="00DB05C3">
              <w:rPr>
                <w:rFonts w:ascii="Arial" w:hAnsi="Arial" w:cs="Arial"/>
                <w:bCs/>
                <w:color w:val="auto"/>
                <w:szCs w:val="24"/>
              </w:rPr>
              <w:t>Education provisions/facilities</w:t>
            </w:r>
            <w:r w:rsidR="00881D31" w:rsidRPr="00DB05C3">
              <w:rPr>
                <w:rFonts w:ascii="Arial" w:hAnsi="Arial" w:cs="Arial"/>
                <w:bCs/>
                <w:color w:val="auto"/>
                <w:szCs w:val="24"/>
              </w:rPr>
              <w:t>.</w:t>
            </w:r>
            <w:r w:rsidRPr="00DB05C3">
              <w:rPr>
                <w:rFonts w:ascii="Arial" w:hAnsi="Arial" w:cs="Arial"/>
                <w:bCs/>
                <w:color w:val="auto"/>
                <w:szCs w:val="24"/>
              </w:rPr>
              <w:t xml:space="preserve"> </w:t>
            </w:r>
          </w:p>
          <w:p w14:paraId="2379333B" w14:textId="77777777" w:rsidR="00CC17E1" w:rsidRPr="00DB05C3" w:rsidRDefault="0040385F" w:rsidP="00874A98">
            <w:pPr>
              <w:pStyle w:val="ListParagraph"/>
              <w:numPr>
                <w:ilvl w:val="0"/>
                <w:numId w:val="337"/>
              </w:numPr>
              <w:autoSpaceDE w:val="0"/>
              <w:autoSpaceDN w:val="0"/>
              <w:adjustRightInd w:val="0"/>
              <w:spacing w:after="0" w:line="240" w:lineRule="auto"/>
              <w:rPr>
                <w:rFonts w:ascii="Arial" w:hAnsi="Arial" w:cs="Arial"/>
                <w:bCs/>
                <w:color w:val="auto"/>
                <w:szCs w:val="24"/>
              </w:rPr>
            </w:pPr>
            <w:r w:rsidRPr="00DB05C3">
              <w:rPr>
                <w:rFonts w:ascii="Arial" w:hAnsi="Arial" w:cs="Arial"/>
                <w:bCs/>
                <w:color w:val="auto"/>
                <w:szCs w:val="24"/>
              </w:rPr>
              <w:t>Regeneration of town centres</w:t>
            </w:r>
            <w:r w:rsidR="00881D31" w:rsidRPr="00DB05C3">
              <w:rPr>
                <w:rFonts w:ascii="Arial" w:hAnsi="Arial" w:cs="Arial"/>
                <w:bCs/>
                <w:color w:val="auto"/>
                <w:szCs w:val="24"/>
              </w:rPr>
              <w:t>.</w:t>
            </w:r>
          </w:p>
          <w:p w14:paraId="5D18E9A2" w14:textId="77777777" w:rsidR="00CC17E1" w:rsidRPr="00DB05C3" w:rsidRDefault="0040385F" w:rsidP="00874A98">
            <w:pPr>
              <w:pStyle w:val="ListParagraph"/>
              <w:numPr>
                <w:ilvl w:val="0"/>
                <w:numId w:val="337"/>
              </w:numPr>
              <w:autoSpaceDE w:val="0"/>
              <w:autoSpaceDN w:val="0"/>
              <w:adjustRightInd w:val="0"/>
              <w:spacing w:after="0" w:line="240" w:lineRule="auto"/>
              <w:rPr>
                <w:rFonts w:ascii="Arial" w:hAnsi="Arial" w:cs="Arial"/>
                <w:bCs/>
                <w:color w:val="auto"/>
                <w:szCs w:val="24"/>
              </w:rPr>
            </w:pPr>
            <w:bookmarkStart w:id="304" w:name="_Hlk147846895"/>
            <w:r w:rsidRPr="00DB05C3">
              <w:rPr>
                <w:rFonts w:ascii="Arial" w:hAnsi="Arial" w:cs="Arial"/>
                <w:bCs/>
                <w:color w:val="auto"/>
                <w:szCs w:val="24"/>
              </w:rPr>
              <w:t>Provision of appropriate sport and recreation facilities, new and improved open space, improving quality and access to green and blue infrastructure</w:t>
            </w:r>
            <w:r w:rsidR="00881D31" w:rsidRPr="00DB05C3">
              <w:rPr>
                <w:rFonts w:ascii="Arial" w:hAnsi="Arial" w:cs="Arial"/>
                <w:bCs/>
                <w:color w:val="auto"/>
                <w:szCs w:val="24"/>
              </w:rPr>
              <w:t>.</w:t>
            </w:r>
          </w:p>
          <w:p w14:paraId="526CA4DB" w14:textId="77777777" w:rsidR="00CC17E1" w:rsidRPr="00DB05C3" w:rsidRDefault="0040385F" w:rsidP="00874A98">
            <w:pPr>
              <w:pStyle w:val="ListParagraph"/>
              <w:numPr>
                <w:ilvl w:val="0"/>
                <w:numId w:val="337"/>
              </w:numPr>
              <w:autoSpaceDE w:val="0"/>
              <w:autoSpaceDN w:val="0"/>
              <w:adjustRightInd w:val="0"/>
              <w:spacing w:after="0" w:line="240" w:lineRule="auto"/>
              <w:rPr>
                <w:rFonts w:ascii="Arial" w:hAnsi="Arial" w:cs="Arial"/>
                <w:bCs/>
                <w:color w:val="auto"/>
                <w:szCs w:val="24"/>
              </w:rPr>
            </w:pPr>
            <w:r w:rsidRPr="00DB05C3">
              <w:rPr>
                <w:rFonts w:ascii="Arial" w:hAnsi="Arial" w:cs="Arial"/>
                <w:bCs/>
                <w:color w:val="auto"/>
                <w:szCs w:val="24"/>
              </w:rPr>
              <w:t>New and expanded health and/or community facilities;</w:t>
            </w:r>
          </w:p>
          <w:p w14:paraId="5DC97955" w14:textId="77777777" w:rsidR="00CC17E1" w:rsidRPr="00DB05C3" w:rsidRDefault="007C27D9" w:rsidP="00874A98">
            <w:pPr>
              <w:pStyle w:val="ListParagraph"/>
              <w:numPr>
                <w:ilvl w:val="0"/>
                <w:numId w:val="337"/>
              </w:numPr>
              <w:autoSpaceDE w:val="0"/>
              <w:autoSpaceDN w:val="0"/>
              <w:adjustRightInd w:val="0"/>
              <w:spacing w:after="0" w:line="240" w:lineRule="auto"/>
              <w:rPr>
                <w:rFonts w:ascii="Arial" w:hAnsi="Arial" w:cs="Arial"/>
                <w:bCs/>
                <w:color w:val="auto"/>
                <w:szCs w:val="24"/>
              </w:rPr>
            </w:pPr>
            <w:r w:rsidRPr="00DB05C3">
              <w:rPr>
                <w:rFonts w:ascii="Arial" w:hAnsi="Arial" w:cs="Arial"/>
                <w:bCs/>
                <w:color w:val="auto"/>
                <w:szCs w:val="24"/>
              </w:rPr>
              <w:t>Conservation and enhancement of the historic environment</w:t>
            </w:r>
            <w:r w:rsidR="00881D31" w:rsidRPr="00DB05C3">
              <w:rPr>
                <w:rFonts w:ascii="Arial" w:hAnsi="Arial" w:cs="Arial"/>
                <w:bCs/>
                <w:color w:val="auto"/>
                <w:szCs w:val="24"/>
              </w:rPr>
              <w:t>.</w:t>
            </w:r>
          </w:p>
          <w:p w14:paraId="5CF98003" w14:textId="740B8331" w:rsidR="00CC17E1" w:rsidRPr="00DB05C3" w:rsidRDefault="0040385F" w:rsidP="00874A98">
            <w:pPr>
              <w:pStyle w:val="ListParagraph"/>
              <w:numPr>
                <w:ilvl w:val="0"/>
                <w:numId w:val="337"/>
              </w:numPr>
              <w:autoSpaceDE w:val="0"/>
              <w:autoSpaceDN w:val="0"/>
              <w:adjustRightInd w:val="0"/>
              <w:spacing w:after="0" w:line="240" w:lineRule="auto"/>
              <w:rPr>
                <w:rFonts w:ascii="Arial" w:hAnsi="Arial" w:cs="Arial"/>
                <w:bCs/>
                <w:color w:val="auto"/>
                <w:szCs w:val="24"/>
              </w:rPr>
            </w:pPr>
            <w:r w:rsidRPr="00DB05C3">
              <w:rPr>
                <w:rFonts w:ascii="Arial" w:hAnsi="Arial" w:cs="Arial"/>
                <w:bCs/>
                <w:color w:val="auto"/>
                <w:szCs w:val="24"/>
              </w:rPr>
              <w:t xml:space="preserve">Improving transport infrastructure including </w:t>
            </w:r>
            <w:r w:rsidR="00C513B3" w:rsidRPr="00DB05C3">
              <w:rPr>
                <w:rFonts w:ascii="Arial" w:hAnsi="Arial" w:cs="Arial"/>
                <w:bCs/>
                <w:color w:val="auto"/>
                <w:szCs w:val="24"/>
              </w:rPr>
              <w:t xml:space="preserve">the strategic transport network, </w:t>
            </w:r>
            <w:r w:rsidRPr="00DB05C3">
              <w:rPr>
                <w:rFonts w:ascii="Arial" w:hAnsi="Arial" w:cs="Arial"/>
                <w:bCs/>
                <w:color w:val="auto"/>
                <w:szCs w:val="24"/>
              </w:rPr>
              <w:t>public transport, cycleway</w:t>
            </w:r>
            <w:r w:rsidR="00C513B3" w:rsidRPr="00DB05C3">
              <w:rPr>
                <w:rFonts w:ascii="Arial" w:hAnsi="Arial" w:cs="Arial"/>
                <w:bCs/>
                <w:color w:val="auto"/>
                <w:szCs w:val="24"/>
              </w:rPr>
              <w:t>s</w:t>
            </w:r>
            <w:r w:rsidRPr="00DB05C3">
              <w:rPr>
                <w:rFonts w:ascii="Arial" w:hAnsi="Arial" w:cs="Arial"/>
                <w:bCs/>
                <w:color w:val="auto"/>
                <w:szCs w:val="24"/>
              </w:rPr>
              <w:t xml:space="preserve"> and pedestrian access to town centres</w:t>
            </w:r>
            <w:r w:rsidR="00881D31" w:rsidRPr="00DB05C3">
              <w:rPr>
                <w:rFonts w:ascii="Arial" w:hAnsi="Arial" w:cs="Arial"/>
                <w:bCs/>
                <w:color w:val="auto"/>
                <w:szCs w:val="24"/>
              </w:rPr>
              <w:t>.</w:t>
            </w:r>
            <w:r w:rsidRPr="00DB05C3">
              <w:rPr>
                <w:rFonts w:ascii="Arial" w:hAnsi="Arial" w:cs="Arial"/>
                <w:bCs/>
                <w:color w:val="auto"/>
                <w:szCs w:val="24"/>
              </w:rPr>
              <w:t xml:space="preserve"> </w:t>
            </w:r>
          </w:p>
          <w:p w14:paraId="339478C7" w14:textId="77777777" w:rsidR="00CC17E1" w:rsidRPr="00DB05C3" w:rsidRDefault="0040385F" w:rsidP="00874A98">
            <w:pPr>
              <w:pStyle w:val="ListParagraph"/>
              <w:numPr>
                <w:ilvl w:val="0"/>
                <w:numId w:val="337"/>
              </w:numPr>
              <w:autoSpaceDE w:val="0"/>
              <w:autoSpaceDN w:val="0"/>
              <w:adjustRightInd w:val="0"/>
              <w:spacing w:after="0" w:line="240" w:lineRule="auto"/>
              <w:rPr>
                <w:rFonts w:ascii="Arial" w:hAnsi="Arial" w:cs="Arial"/>
                <w:bCs/>
                <w:color w:val="auto"/>
                <w:szCs w:val="24"/>
              </w:rPr>
            </w:pPr>
            <w:bookmarkStart w:id="305" w:name="_Hlk153373350"/>
            <w:r w:rsidRPr="00DB05C3">
              <w:rPr>
                <w:rFonts w:ascii="Arial" w:hAnsi="Arial" w:cs="Arial"/>
                <w:bCs/>
                <w:color w:val="auto"/>
                <w:szCs w:val="24"/>
              </w:rPr>
              <w:t xml:space="preserve">Tackling climate change including flooding </w:t>
            </w:r>
            <w:bookmarkEnd w:id="305"/>
            <w:r w:rsidRPr="00DB05C3">
              <w:rPr>
                <w:rFonts w:ascii="Arial" w:hAnsi="Arial" w:cs="Arial"/>
                <w:bCs/>
                <w:color w:val="auto"/>
                <w:szCs w:val="24"/>
              </w:rPr>
              <w:t>or water quality</w:t>
            </w:r>
            <w:r w:rsidR="00881D31" w:rsidRPr="00DB05C3">
              <w:rPr>
                <w:rFonts w:ascii="Arial" w:hAnsi="Arial" w:cs="Arial"/>
                <w:bCs/>
                <w:color w:val="auto"/>
                <w:szCs w:val="24"/>
              </w:rPr>
              <w:t>.</w:t>
            </w:r>
            <w:r w:rsidRPr="00DB05C3">
              <w:rPr>
                <w:rFonts w:ascii="Arial" w:hAnsi="Arial" w:cs="Arial"/>
                <w:bCs/>
                <w:color w:val="auto"/>
                <w:szCs w:val="24"/>
              </w:rPr>
              <w:t xml:space="preserve"> </w:t>
            </w:r>
          </w:p>
          <w:p w14:paraId="285C98FE" w14:textId="77777777" w:rsidR="00CC17E1" w:rsidRPr="00CC17E1" w:rsidRDefault="0040385F" w:rsidP="00874A98">
            <w:pPr>
              <w:pStyle w:val="ListParagraph"/>
              <w:numPr>
                <w:ilvl w:val="0"/>
                <w:numId w:val="337"/>
              </w:numPr>
              <w:autoSpaceDE w:val="0"/>
              <w:autoSpaceDN w:val="0"/>
              <w:adjustRightInd w:val="0"/>
              <w:spacing w:after="0" w:line="240" w:lineRule="auto"/>
              <w:rPr>
                <w:rFonts w:ascii="Arial" w:hAnsi="Arial" w:cs="Arial"/>
                <w:bCs/>
                <w:color w:val="auto"/>
                <w:szCs w:val="24"/>
              </w:rPr>
            </w:pPr>
            <w:bookmarkStart w:id="306" w:name="_Hlk153373201"/>
            <w:r w:rsidRPr="00CC17E1">
              <w:rPr>
                <w:rFonts w:ascii="Arial" w:hAnsi="Arial" w:cs="Arial"/>
                <w:bCs/>
                <w:color w:val="auto"/>
                <w:szCs w:val="24"/>
              </w:rPr>
              <w:t>Cross-boundary infrastructure to help deliver and mitigate the effects of development</w:t>
            </w:r>
            <w:bookmarkEnd w:id="306"/>
            <w:r w:rsidR="00881D31" w:rsidRPr="00CC17E1">
              <w:rPr>
                <w:rFonts w:ascii="Arial" w:hAnsi="Arial" w:cs="Arial"/>
                <w:bCs/>
                <w:color w:val="auto"/>
                <w:szCs w:val="24"/>
              </w:rPr>
              <w:t>.</w:t>
            </w:r>
            <w:r w:rsidRPr="00CC17E1">
              <w:rPr>
                <w:rFonts w:ascii="Arial" w:hAnsi="Arial" w:cs="Arial"/>
                <w:bCs/>
                <w:color w:val="auto"/>
                <w:szCs w:val="24"/>
              </w:rPr>
              <w:t xml:space="preserve"> </w:t>
            </w:r>
          </w:p>
          <w:p w14:paraId="32334180" w14:textId="1FAF6FB1" w:rsidR="0040385F" w:rsidRDefault="0040385F" w:rsidP="00874A98">
            <w:pPr>
              <w:pStyle w:val="ListParagraph"/>
              <w:numPr>
                <w:ilvl w:val="0"/>
                <w:numId w:val="337"/>
              </w:numPr>
              <w:autoSpaceDE w:val="0"/>
              <w:autoSpaceDN w:val="0"/>
              <w:adjustRightInd w:val="0"/>
              <w:spacing w:after="0" w:line="240" w:lineRule="auto"/>
              <w:rPr>
                <w:rFonts w:ascii="Arial" w:hAnsi="Arial" w:cs="Arial"/>
                <w:bCs/>
                <w:color w:val="auto"/>
                <w:szCs w:val="24"/>
              </w:rPr>
            </w:pPr>
            <w:r w:rsidRPr="00CC17E1">
              <w:rPr>
                <w:rFonts w:ascii="Arial" w:hAnsi="Arial" w:cs="Arial"/>
                <w:bCs/>
                <w:color w:val="auto"/>
                <w:szCs w:val="24"/>
              </w:rPr>
              <w:t xml:space="preserve">Supporting service infrastructure. </w:t>
            </w:r>
          </w:p>
          <w:p w14:paraId="36424BB8" w14:textId="3476FF32" w:rsidR="008E715B" w:rsidRPr="00F53521" w:rsidRDefault="008E715B" w:rsidP="00874A98">
            <w:pPr>
              <w:pStyle w:val="ListParagraph"/>
              <w:numPr>
                <w:ilvl w:val="0"/>
                <w:numId w:val="337"/>
              </w:numPr>
              <w:autoSpaceDE w:val="0"/>
              <w:autoSpaceDN w:val="0"/>
              <w:adjustRightInd w:val="0"/>
              <w:spacing w:after="0" w:line="240" w:lineRule="auto"/>
              <w:rPr>
                <w:rFonts w:ascii="Arial" w:hAnsi="Arial" w:cs="Arial"/>
                <w:color w:val="0056A3"/>
                <w:szCs w:val="24"/>
              </w:rPr>
            </w:pPr>
            <w:r w:rsidRPr="00F53521">
              <w:rPr>
                <w:rFonts w:ascii="Arial" w:hAnsi="Arial" w:cs="Arial"/>
                <w:color w:val="0056A3"/>
              </w:rPr>
              <w:t>Facilitating and supporting provision for sustainable waste management facilities where appropriate to meet identified needs.</w:t>
            </w:r>
          </w:p>
          <w:bookmarkEnd w:id="304"/>
          <w:p w14:paraId="73649F58" w14:textId="77777777" w:rsidR="0040385F" w:rsidRPr="00F05D84" w:rsidRDefault="0040385F" w:rsidP="00905CC9">
            <w:pPr>
              <w:keepNext w:val="0"/>
              <w:spacing w:before="0"/>
              <w:ind w:left="360"/>
              <w:jc w:val="left"/>
              <w:rPr>
                <w:rFonts w:cs="Arial"/>
                <w:bCs/>
                <w:iCs/>
                <w:color w:val="auto"/>
                <w:szCs w:val="24"/>
              </w:rPr>
            </w:pPr>
          </w:p>
          <w:p w14:paraId="7641D69F" w14:textId="77777777" w:rsidR="0040385F" w:rsidRPr="0040385F" w:rsidRDefault="0040385F" w:rsidP="00905CC9">
            <w:pPr>
              <w:keepNext w:val="0"/>
              <w:spacing w:before="0"/>
              <w:ind w:left="360"/>
              <w:jc w:val="left"/>
              <w:rPr>
                <w:rFonts w:cs="Arial"/>
                <w:bCs/>
                <w:i/>
                <w:color w:val="auto"/>
                <w:szCs w:val="24"/>
              </w:rPr>
            </w:pPr>
            <w:r w:rsidRPr="0040385F">
              <w:rPr>
                <w:rFonts w:cs="Arial"/>
                <w:bCs/>
                <w:i/>
                <w:color w:val="auto"/>
                <w:szCs w:val="24"/>
              </w:rPr>
              <w:t xml:space="preserve">Requirements may be clarified by supplementary planning documents </w:t>
            </w:r>
            <w:proofErr w:type="gramStart"/>
            <w:r w:rsidRPr="0040385F">
              <w:rPr>
                <w:rFonts w:cs="Arial"/>
                <w:bCs/>
                <w:i/>
                <w:color w:val="auto"/>
                <w:szCs w:val="24"/>
              </w:rPr>
              <w:t>where</w:t>
            </w:r>
            <w:proofErr w:type="gramEnd"/>
            <w:r w:rsidRPr="0040385F">
              <w:rPr>
                <w:rFonts w:cs="Arial"/>
                <w:bCs/>
                <w:i/>
                <w:color w:val="auto"/>
                <w:szCs w:val="24"/>
              </w:rPr>
              <w:t xml:space="preserve"> considered necessary.</w:t>
            </w:r>
          </w:p>
          <w:p w14:paraId="56D38214" w14:textId="77777777" w:rsidR="0040385F" w:rsidRPr="0040385F" w:rsidRDefault="0040385F" w:rsidP="00905CC9">
            <w:pPr>
              <w:keepNext w:val="0"/>
              <w:spacing w:before="0"/>
              <w:ind w:left="360"/>
              <w:jc w:val="left"/>
              <w:rPr>
                <w:rFonts w:cs="Arial"/>
                <w:bCs/>
                <w:i/>
                <w:color w:val="auto"/>
                <w:szCs w:val="24"/>
              </w:rPr>
            </w:pPr>
          </w:p>
          <w:p w14:paraId="6C270438" w14:textId="2FD9CD29" w:rsidR="00A308CA" w:rsidRDefault="0040385F" w:rsidP="00874A98">
            <w:pPr>
              <w:keepNext w:val="0"/>
              <w:numPr>
                <w:ilvl w:val="0"/>
                <w:numId w:val="175"/>
              </w:numPr>
              <w:tabs>
                <w:tab w:val="left" w:pos="680"/>
                <w:tab w:val="left" w:pos="1133"/>
                <w:tab w:val="left" w:pos="2267"/>
              </w:tabs>
              <w:spacing w:before="0"/>
              <w:ind w:left="357" w:right="284"/>
              <w:jc w:val="left"/>
              <w:rPr>
                <w:rFonts w:eastAsia="Arial"/>
                <w:bCs/>
                <w:color w:val="auto"/>
              </w:rPr>
            </w:pPr>
            <w:bookmarkStart w:id="307" w:name="_Hlk80263306"/>
            <w:r w:rsidRPr="0040385F">
              <w:rPr>
                <w:rFonts w:eastAsia="Arial"/>
                <w:bCs/>
                <w:color w:val="auto"/>
              </w:rPr>
              <w:t>The Council will require on-site or off-site provision</w:t>
            </w:r>
            <w:r w:rsidR="00AE10BA">
              <w:rPr>
                <w:rFonts w:eastAsia="Arial"/>
                <w:bCs/>
                <w:color w:val="auto"/>
              </w:rPr>
              <w:t xml:space="preserve"> of developer contributions</w:t>
            </w:r>
            <w:r w:rsidRPr="0040385F">
              <w:rPr>
                <w:rFonts w:eastAsia="Arial"/>
                <w:bCs/>
                <w:color w:val="auto"/>
              </w:rPr>
              <w:t xml:space="preserve"> through planning obligations (financial, in-kind or a combination of both), the Community Infrastructure Levy</w:t>
            </w:r>
            <w:r w:rsidR="00AE10BA">
              <w:rPr>
                <w:rFonts w:eastAsia="Arial"/>
                <w:bCs/>
                <w:color w:val="auto"/>
              </w:rPr>
              <w:t xml:space="preserve"> (if adopted)</w:t>
            </w:r>
            <w:r w:rsidRPr="0040385F">
              <w:rPr>
                <w:rFonts w:eastAsia="Arial"/>
                <w:bCs/>
                <w:color w:val="auto"/>
              </w:rPr>
              <w:t>, planning conditions or other relevant mechanisms.</w:t>
            </w:r>
            <w:bookmarkEnd w:id="307"/>
          </w:p>
          <w:p w14:paraId="51A05843" w14:textId="77777777" w:rsidR="00A308CA" w:rsidRDefault="00A308CA" w:rsidP="00A308CA">
            <w:pPr>
              <w:keepNext w:val="0"/>
              <w:tabs>
                <w:tab w:val="left" w:pos="680"/>
                <w:tab w:val="left" w:pos="1133"/>
                <w:tab w:val="left" w:pos="2267"/>
              </w:tabs>
              <w:spacing w:before="0"/>
              <w:ind w:left="357" w:right="284"/>
              <w:jc w:val="left"/>
              <w:rPr>
                <w:rFonts w:eastAsia="Arial"/>
                <w:bCs/>
                <w:color w:val="auto"/>
              </w:rPr>
            </w:pPr>
          </w:p>
          <w:p w14:paraId="4D26DB06" w14:textId="77777777" w:rsidR="005D5960" w:rsidRPr="00DB05C3" w:rsidRDefault="00A308CA" w:rsidP="00874A98">
            <w:pPr>
              <w:keepNext w:val="0"/>
              <w:numPr>
                <w:ilvl w:val="0"/>
                <w:numId w:val="175"/>
              </w:numPr>
              <w:tabs>
                <w:tab w:val="left" w:pos="680"/>
                <w:tab w:val="left" w:pos="1133"/>
                <w:tab w:val="left" w:pos="2267"/>
              </w:tabs>
              <w:spacing w:before="0"/>
              <w:ind w:left="357" w:right="284"/>
              <w:jc w:val="left"/>
              <w:rPr>
                <w:rFonts w:eastAsia="Arial"/>
                <w:bCs/>
                <w:color w:val="auto"/>
              </w:rPr>
            </w:pPr>
            <w:r w:rsidRPr="00DB05C3">
              <w:rPr>
                <w:rFonts w:eastAsia="Arial" w:cs="Arial"/>
                <w:bCs/>
                <w:color w:val="auto"/>
              </w:rPr>
              <w:t>Contributing will be required retrospectively when it has been necessary to forward fund infrastructure projects in advance of anticipated housing growth.</w:t>
            </w:r>
          </w:p>
          <w:p w14:paraId="66AD487F" w14:textId="77777777" w:rsidR="005D5960" w:rsidRPr="00DB05C3" w:rsidRDefault="005D5960" w:rsidP="005D5960">
            <w:pPr>
              <w:pStyle w:val="ListParagraph"/>
              <w:spacing w:after="0" w:line="240" w:lineRule="auto"/>
              <w:rPr>
                <w:rFonts w:eastAsia="Arial"/>
                <w:bCs/>
                <w:strike/>
                <w:color w:val="auto"/>
              </w:rPr>
            </w:pPr>
          </w:p>
          <w:p w14:paraId="32389993" w14:textId="77777777" w:rsidR="005D5960" w:rsidRPr="00DB05C3" w:rsidRDefault="005D5960" w:rsidP="00874A98">
            <w:pPr>
              <w:keepNext w:val="0"/>
              <w:numPr>
                <w:ilvl w:val="0"/>
                <w:numId w:val="175"/>
              </w:numPr>
              <w:tabs>
                <w:tab w:val="left" w:pos="680"/>
                <w:tab w:val="left" w:pos="1133"/>
                <w:tab w:val="left" w:pos="2267"/>
              </w:tabs>
              <w:spacing w:before="0"/>
              <w:ind w:left="357" w:right="284"/>
              <w:jc w:val="left"/>
              <w:rPr>
                <w:rFonts w:eastAsia="Arial"/>
                <w:bCs/>
                <w:color w:val="auto"/>
              </w:rPr>
            </w:pPr>
            <w:r w:rsidRPr="00DB05C3">
              <w:rPr>
                <w:rFonts w:eastAsia="Arial"/>
                <w:bCs/>
                <w:color w:val="auto"/>
              </w:rPr>
              <w:t>Where appropriate, developer contributions will be pooled to allow the provision of strategic infrastructure that will serve more than one scheme.</w:t>
            </w:r>
          </w:p>
          <w:p w14:paraId="40687AD0" w14:textId="77777777" w:rsidR="005D5960" w:rsidRPr="00DB05C3" w:rsidRDefault="005D5960" w:rsidP="005D5960">
            <w:pPr>
              <w:pStyle w:val="ListParagraph"/>
              <w:spacing w:after="0" w:line="240" w:lineRule="auto"/>
              <w:rPr>
                <w:rFonts w:eastAsia="Arial"/>
                <w:bCs/>
                <w:color w:val="auto"/>
              </w:rPr>
            </w:pPr>
          </w:p>
          <w:p w14:paraId="7B6898C6" w14:textId="3365C030" w:rsidR="005D5960" w:rsidRDefault="005D5960" w:rsidP="00874A98">
            <w:pPr>
              <w:keepNext w:val="0"/>
              <w:numPr>
                <w:ilvl w:val="0"/>
                <w:numId w:val="175"/>
              </w:numPr>
              <w:tabs>
                <w:tab w:val="left" w:pos="680"/>
                <w:tab w:val="left" w:pos="1133"/>
                <w:tab w:val="left" w:pos="2267"/>
              </w:tabs>
              <w:spacing w:before="0"/>
              <w:ind w:left="357" w:right="284"/>
              <w:jc w:val="left"/>
              <w:rPr>
                <w:rFonts w:eastAsia="Arial"/>
                <w:bCs/>
                <w:color w:val="auto"/>
              </w:rPr>
            </w:pPr>
            <w:r w:rsidRPr="00DB05C3">
              <w:rPr>
                <w:rFonts w:eastAsia="Arial"/>
                <w:bCs/>
                <w:color w:val="auto"/>
              </w:rPr>
              <w:t xml:space="preserve">The </w:t>
            </w:r>
            <w:r w:rsidR="00DB05C3" w:rsidRPr="00DB05C3">
              <w:rPr>
                <w:rFonts w:eastAsia="Arial"/>
                <w:bCs/>
                <w:color w:val="auto"/>
              </w:rPr>
              <w:t>subdivision</w:t>
            </w:r>
            <w:r w:rsidRPr="00DB05C3">
              <w:rPr>
                <w:rFonts w:eastAsia="Arial"/>
                <w:bCs/>
                <w:color w:val="auto"/>
              </w:rPr>
              <w:t xml:space="preserve"> of</w:t>
            </w:r>
            <w:r w:rsidR="0040385F" w:rsidRPr="00DB05C3">
              <w:rPr>
                <w:rFonts w:eastAsia="Arial"/>
                <w:bCs/>
                <w:color w:val="auto"/>
              </w:rPr>
              <w:t xml:space="preserve"> </w:t>
            </w:r>
            <w:r w:rsidR="0040385F" w:rsidRPr="005D5960">
              <w:rPr>
                <w:rFonts w:eastAsia="Arial"/>
                <w:bCs/>
                <w:color w:val="auto"/>
              </w:rPr>
              <w:t>sites to avoid thresholds for developer contributions will be resisted.</w:t>
            </w:r>
          </w:p>
          <w:p w14:paraId="76B9DB10" w14:textId="77777777" w:rsidR="005D5960" w:rsidRDefault="005D5960" w:rsidP="005D5960">
            <w:pPr>
              <w:pStyle w:val="ListParagraph"/>
              <w:spacing w:after="0" w:line="240" w:lineRule="auto"/>
              <w:rPr>
                <w:rFonts w:eastAsia="Arial"/>
                <w:bCs/>
                <w:color w:val="auto"/>
              </w:rPr>
            </w:pPr>
          </w:p>
          <w:p w14:paraId="06BF1873" w14:textId="77777777" w:rsidR="008B12B5" w:rsidRDefault="0040385F" w:rsidP="00874A98">
            <w:pPr>
              <w:keepNext w:val="0"/>
              <w:numPr>
                <w:ilvl w:val="0"/>
                <w:numId w:val="175"/>
              </w:numPr>
              <w:tabs>
                <w:tab w:val="left" w:pos="680"/>
                <w:tab w:val="left" w:pos="1133"/>
                <w:tab w:val="left" w:pos="2267"/>
              </w:tabs>
              <w:spacing w:before="0"/>
              <w:ind w:left="357" w:right="284"/>
              <w:jc w:val="left"/>
              <w:rPr>
                <w:rFonts w:eastAsia="Arial"/>
                <w:bCs/>
                <w:color w:val="auto"/>
              </w:rPr>
            </w:pPr>
            <w:r w:rsidRPr="005D5960">
              <w:rPr>
                <w:rFonts w:eastAsia="Arial"/>
                <w:bCs/>
                <w:color w:val="auto"/>
              </w:rPr>
              <w:t xml:space="preserve">Where the delivery of a proposed scheme is threatened </w:t>
            </w:r>
            <w:proofErr w:type="gramStart"/>
            <w:r w:rsidRPr="005D5960">
              <w:rPr>
                <w:rFonts w:eastAsia="Arial"/>
                <w:bCs/>
                <w:color w:val="auto"/>
              </w:rPr>
              <w:t>on the basis of</w:t>
            </w:r>
            <w:proofErr w:type="gramEnd"/>
            <w:r w:rsidRPr="005D5960">
              <w:rPr>
                <w:rFonts w:eastAsia="Arial"/>
                <w:bCs/>
                <w:color w:val="auto"/>
              </w:rPr>
              <w:t xml:space="preserve"> viability, the Council may consider whether a reduction in the extent of the developer contributions can be justified. </w:t>
            </w:r>
          </w:p>
          <w:p w14:paraId="119F1B88" w14:textId="42CE7DDB" w:rsidR="0040385F" w:rsidRPr="005D5960" w:rsidRDefault="0040385F" w:rsidP="008B12B5">
            <w:pPr>
              <w:keepNext w:val="0"/>
              <w:tabs>
                <w:tab w:val="left" w:pos="680"/>
                <w:tab w:val="left" w:pos="1133"/>
                <w:tab w:val="left" w:pos="2267"/>
              </w:tabs>
              <w:spacing w:before="0"/>
              <w:ind w:right="284"/>
              <w:jc w:val="left"/>
              <w:rPr>
                <w:rFonts w:eastAsia="Arial"/>
                <w:bCs/>
                <w:color w:val="auto"/>
              </w:rPr>
            </w:pPr>
            <w:r w:rsidRPr="005D5960">
              <w:rPr>
                <w:rFonts w:eastAsia="Arial"/>
                <w:bCs/>
                <w:color w:val="auto"/>
              </w:rPr>
              <w:t xml:space="preserve"> </w:t>
            </w:r>
          </w:p>
        </w:tc>
      </w:tr>
      <w:tr w:rsidR="0040385F" w:rsidRPr="0040385F" w14:paraId="7B58A4F0" w14:textId="77777777" w:rsidTr="00163F59">
        <w:tc>
          <w:tcPr>
            <w:tcW w:w="2405" w:type="dxa"/>
          </w:tcPr>
          <w:p w14:paraId="5242588C" w14:textId="77777777" w:rsidR="0040385F" w:rsidRPr="0040385F" w:rsidRDefault="0040385F" w:rsidP="00905CC9">
            <w:pPr>
              <w:keepNext w:val="0"/>
              <w:tabs>
                <w:tab w:val="left" w:pos="680"/>
                <w:tab w:val="left" w:pos="1133"/>
                <w:tab w:val="left" w:pos="2267"/>
              </w:tabs>
              <w:spacing w:before="0"/>
              <w:ind w:right="284"/>
              <w:jc w:val="left"/>
              <w:rPr>
                <w:rFonts w:eastAsia="Arial"/>
                <w:b/>
                <w:color w:val="7030A0"/>
                <w:szCs w:val="24"/>
              </w:rPr>
            </w:pPr>
            <w:bookmarkStart w:id="308" w:name="_Hlk78966202"/>
            <w:bookmarkEnd w:id="303"/>
            <w:r w:rsidRPr="0040385F">
              <w:rPr>
                <w:rFonts w:eastAsia="Arial" w:cs="Arial"/>
                <w:bCs/>
                <w:color w:val="auto"/>
                <w:sz w:val="20"/>
              </w:rPr>
              <w:lastRenderedPageBreak/>
              <w:t>Evidence base</w:t>
            </w:r>
          </w:p>
        </w:tc>
        <w:tc>
          <w:tcPr>
            <w:tcW w:w="7088" w:type="dxa"/>
            <w:gridSpan w:val="2"/>
          </w:tcPr>
          <w:p w14:paraId="564BD34B" w14:textId="0D5886EF" w:rsidR="0040385F" w:rsidRPr="00DB05C3" w:rsidRDefault="0040385F" w:rsidP="00905CC9">
            <w:pPr>
              <w:keepNext w:val="0"/>
              <w:numPr>
                <w:ilvl w:val="0"/>
                <w:numId w:val="39"/>
              </w:numPr>
              <w:tabs>
                <w:tab w:val="left" w:pos="680"/>
                <w:tab w:val="left" w:pos="1133"/>
                <w:tab w:val="left" w:pos="2267"/>
              </w:tabs>
              <w:spacing w:before="0" w:after="160" w:line="252" w:lineRule="auto"/>
              <w:ind w:right="284"/>
              <w:contextualSpacing/>
              <w:jc w:val="left"/>
              <w:rPr>
                <w:rFonts w:eastAsia="Arial" w:cs="Arial"/>
                <w:bCs/>
                <w:color w:val="auto"/>
                <w:sz w:val="20"/>
              </w:rPr>
            </w:pPr>
            <w:r w:rsidRPr="0040385F">
              <w:rPr>
                <w:rFonts w:eastAsia="Arial" w:cs="Arial"/>
                <w:bCs/>
                <w:color w:val="auto"/>
                <w:sz w:val="20"/>
              </w:rPr>
              <w:t xml:space="preserve">Sustainability </w:t>
            </w:r>
            <w:r w:rsidRPr="00DB05C3">
              <w:rPr>
                <w:rFonts w:eastAsia="Arial" w:cs="Arial"/>
                <w:bCs/>
                <w:color w:val="auto"/>
                <w:sz w:val="20"/>
              </w:rPr>
              <w:t>Appraisal 202</w:t>
            </w:r>
            <w:r w:rsidR="00C1699D" w:rsidRPr="00DB05C3">
              <w:rPr>
                <w:rFonts w:eastAsia="Arial" w:cs="Arial"/>
                <w:bCs/>
                <w:color w:val="auto"/>
                <w:sz w:val="20"/>
              </w:rPr>
              <w:t>3</w:t>
            </w:r>
            <w:r w:rsidRPr="00DB05C3">
              <w:rPr>
                <w:rFonts w:eastAsia="Arial" w:cs="Arial"/>
                <w:bCs/>
                <w:color w:val="auto"/>
                <w:sz w:val="20"/>
              </w:rPr>
              <w:t xml:space="preserve">. </w:t>
            </w:r>
            <w:r w:rsidR="00C1699D" w:rsidRPr="00DB05C3">
              <w:rPr>
                <w:rFonts w:eastAsia="Arial" w:cs="Arial"/>
                <w:bCs/>
                <w:color w:val="auto"/>
                <w:sz w:val="20"/>
              </w:rPr>
              <w:t>WSP UK Limited</w:t>
            </w:r>
            <w:r w:rsidRPr="00DB05C3">
              <w:rPr>
                <w:rFonts w:eastAsia="Arial" w:cs="Arial"/>
                <w:bCs/>
                <w:color w:val="auto"/>
                <w:sz w:val="20"/>
              </w:rPr>
              <w:t>.</w:t>
            </w:r>
          </w:p>
          <w:p w14:paraId="17D08B9A" w14:textId="01032C9F" w:rsidR="00881D31" w:rsidRPr="000E778B" w:rsidRDefault="00DB05C3" w:rsidP="00905CC9">
            <w:pPr>
              <w:keepNext w:val="0"/>
              <w:numPr>
                <w:ilvl w:val="0"/>
                <w:numId w:val="39"/>
              </w:numPr>
              <w:tabs>
                <w:tab w:val="left" w:pos="680"/>
                <w:tab w:val="left" w:pos="1133"/>
                <w:tab w:val="left" w:pos="2267"/>
              </w:tabs>
              <w:spacing w:before="0" w:after="160" w:line="252" w:lineRule="auto"/>
              <w:ind w:right="284"/>
              <w:contextualSpacing/>
              <w:jc w:val="left"/>
              <w:rPr>
                <w:rFonts w:eastAsia="Arial" w:cs="Arial"/>
                <w:bCs/>
                <w:color w:val="auto"/>
                <w:sz w:val="20"/>
              </w:rPr>
            </w:pPr>
            <w:r w:rsidRPr="000E778B">
              <w:rPr>
                <w:rFonts w:eastAsia="Arial" w:cs="Arial"/>
                <w:bCs/>
                <w:color w:val="auto"/>
                <w:sz w:val="20"/>
              </w:rPr>
              <w:t xml:space="preserve">Background Paper No 5: </w:t>
            </w:r>
            <w:r w:rsidR="00881D31" w:rsidRPr="000E778B">
              <w:rPr>
                <w:rFonts w:eastAsia="Arial" w:cs="Arial"/>
                <w:bCs/>
                <w:color w:val="auto"/>
                <w:sz w:val="20"/>
              </w:rPr>
              <w:t>Infrastructure Delivery Plan</w:t>
            </w:r>
            <w:r w:rsidR="000E778B" w:rsidRPr="000E778B">
              <w:rPr>
                <w:rFonts w:eastAsia="Arial" w:cs="Arial"/>
                <w:bCs/>
                <w:color w:val="auto"/>
                <w:sz w:val="20"/>
              </w:rPr>
              <w:t>, 2023</w:t>
            </w:r>
            <w:r w:rsidR="00881D31" w:rsidRPr="000E778B">
              <w:rPr>
                <w:rFonts w:eastAsia="Arial" w:cs="Arial"/>
                <w:bCs/>
                <w:color w:val="auto"/>
                <w:sz w:val="20"/>
              </w:rPr>
              <w:t>.</w:t>
            </w:r>
            <w:r w:rsidRPr="000E778B">
              <w:rPr>
                <w:rFonts w:eastAsia="Arial" w:cs="Arial"/>
                <w:bCs/>
                <w:color w:val="auto"/>
                <w:sz w:val="20"/>
              </w:rPr>
              <w:t xml:space="preserve"> Ashfield District Council.</w:t>
            </w:r>
          </w:p>
          <w:p w14:paraId="46F24C27" w14:textId="6A9C520D" w:rsidR="0040385F" w:rsidRPr="00DB05C3" w:rsidRDefault="0040385F" w:rsidP="00905CC9">
            <w:pPr>
              <w:keepNext w:val="0"/>
              <w:numPr>
                <w:ilvl w:val="0"/>
                <w:numId w:val="39"/>
              </w:numPr>
              <w:tabs>
                <w:tab w:val="left" w:pos="680"/>
                <w:tab w:val="left" w:pos="1133"/>
                <w:tab w:val="left" w:pos="2267"/>
              </w:tabs>
              <w:spacing w:before="0" w:after="160" w:line="252" w:lineRule="auto"/>
              <w:ind w:right="284"/>
              <w:contextualSpacing/>
              <w:jc w:val="left"/>
              <w:rPr>
                <w:rFonts w:eastAsia="Arial" w:cs="Arial"/>
                <w:bCs/>
                <w:color w:val="auto"/>
                <w:sz w:val="20"/>
              </w:rPr>
            </w:pPr>
            <w:r w:rsidRPr="00DB05C3">
              <w:rPr>
                <w:rFonts w:cs="Arial"/>
                <w:color w:val="auto"/>
                <w:sz w:val="20"/>
              </w:rPr>
              <w:t>Ashfield Transport Study, 20</w:t>
            </w:r>
            <w:r w:rsidR="00DB05C3">
              <w:rPr>
                <w:rFonts w:cs="Arial"/>
                <w:color w:val="auto"/>
                <w:sz w:val="20"/>
              </w:rPr>
              <w:t>23</w:t>
            </w:r>
            <w:r w:rsidRPr="00DB05C3">
              <w:rPr>
                <w:rFonts w:cs="Arial"/>
                <w:color w:val="auto"/>
                <w:sz w:val="20"/>
              </w:rPr>
              <w:t xml:space="preserve">. </w:t>
            </w:r>
            <w:proofErr w:type="spellStart"/>
            <w:r w:rsidRPr="00DB05C3">
              <w:rPr>
                <w:rFonts w:cs="Arial"/>
                <w:color w:val="auto"/>
                <w:sz w:val="20"/>
              </w:rPr>
              <w:t>Systra</w:t>
            </w:r>
            <w:proofErr w:type="spellEnd"/>
            <w:r w:rsidRPr="00DB05C3">
              <w:rPr>
                <w:rFonts w:cs="Arial"/>
                <w:color w:val="auto"/>
                <w:sz w:val="20"/>
              </w:rPr>
              <w:t xml:space="preserve">. </w:t>
            </w:r>
          </w:p>
          <w:p w14:paraId="2E39D2CC" w14:textId="5C562EDD" w:rsidR="006E3758" w:rsidRPr="0040385F" w:rsidRDefault="006E3758" w:rsidP="00905CC9">
            <w:pPr>
              <w:keepNext w:val="0"/>
              <w:numPr>
                <w:ilvl w:val="0"/>
                <w:numId w:val="39"/>
              </w:numPr>
              <w:tabs>
                <w:tab w:val="left" w:pos="680"/>
                <w:tab w:val="left" w:pos="1133"/>
                <w:tab w:val="left" w:pos="2267"/>
              </w:tabs>
              <w:spacing w:before="0" w:after="160" w:line="252" w:lineRule="auto"/>
              <w:ind w:right="284"/>
              <w:contextualSpacing/>
              <w:jc w:val="left"/>
              <w:rPr>
                <w:rFonts w:eastAsia="Arial" w:cs="Arial"/>
                <w:bCs/>
                <w:color w:val="auto"/>
                <w:sz w:val="20"/>
              </w:rPr>
            </w:pPr>
            <w:r w:rsidRPr="006E3758">
              <w:rPr>
                <w:rFonts w:eastAsia="Arial" w:cs="Arial"/>
                <w:bCs/>
                <w:color w:val="auto"/>
                <w:sz w:val="20"/>
              </w:rPr>
              <w:t>Securing developer contributions for education, April 2019. Department for Education.</w:t>
            </w:r>
          </w:p>
        </w:tc>
      </w:tr>
      <w:tr w:rsidR="0040385F" w:rsidRPr="0040385F" w14:paraId="6CD6867F" w14:textId="77777777" w:rsidTr="00163F59">
        <w:tc>
          <w:tcPr>
            <w:tcW w:w="2405" w:type="dxa"/>
          </w:tcPr>
          <w:p w14:paraId="12BC7A4F" w14:textId="77777777" w:rsidR="0040385F" w:rsidRPr="0040385F" w:rsidRDefault="0040385F" w:rsidP="00905CC9">
            <w:pPr>
              <w:keepNext w:val="0"/>
              <w:tabs>
                <w:tab w:val="left" w:pos="680"/>
                <w:tab w:val="left" w:pos="1133"/>
                <w:tab w:val="left" w:pos="2267"/>
              </w:tabs>
              <w:spacing w:before="0"/>
              <w:ind w:right="284"/>
              <w:jc w:val="left"/>
              <w:rPr>
                <w:rFonts w:eastAsia="Arial"/>
                <w:b/>
                <w:color w:val="auto"/>
                <w:sz w:val="22"/>
              </w:rPr>
            </w:pPr>
            <w:r w:rsidRPr="0040385F">
              <w:rPr>
                <w:rFonts w:eastAsia="Arial" w:cs="Arial"/>
                <w:bCs/>
                <w:color w:val="auto"/>
                <w:sz w:val="20"/>
              </w:rPr>
              <w:t>National Planning Policy &amp; Guidance</w:t>
            </w:r>
          </w:p>
        </w:tc>
        <w:tc>
          <w:tcPr>
            <w:tcW w:w="7088" w:type="dxa"/>
            <w:gridSpan w:val="2"/>
          </w:tcPr>
          <w:p w14:paraId="63ACEA8F" w14:textId="280D6BE1" w:rsidR="0040385F" w:rsidRPr="0040385F" w:rsidRDefault="0040385F" w:rsidP="00905CC9">
            <w:pPr>
              <w:keepNext w:val="0"/>
              <w:numPr>
                <w:ilvl w:val="0"/>
                <w:numId w:val="39"/>
              </w:numPr>
              <w:spacing w:before="0"/>
              <w:ind w:left="357" w:hanging="357"/>
              <w:jc w:val="left"/>
              <w:rPr>
                <w:rFonts w:cs="Arial"/>
                <w:color w:val="auto"/>
                <w:sz w:val="22"/>
              </w:rPr>
            </w:pPr>
            <w:r w:rsidRPr="0040385F">
              <w:rPr>
                <w:rFonts w:eastAsia="Arial" w:cs="Arial"/>
                <w:bCs/>
                <w:color w:val="auto"/>
                <w:sz w:val="20"/>
              </w:rPr>
              <w:t>NPPF 202</w:t>
            </w:r>
            <w:r w:rsidR="004173E0">
              <w:rPr>
                <w:rFonts w:eastAsia="Arial" w:cs="Arial"/>
                <w:bCs/>
                <w:color w:val="auto"/>
                <w:sz w:val="20"/>
              </w:rPr>
              <w:t>3</w:t>
            </w:r>
            <w:r w:rsidRPr="0040385F">
              <w:rPr>
                <w:rFonts w:eastAsia="Arial" w:cs="Arial"/>
                <w:bCs/>
                <w:color w:val="auto"/>
                <w:sz w:val="20"/>
              </w:rPr>
              <w:t>, Part 2: Achieving sustainable development.</w:t>
            </w:r>
          </w:p>
          <w:p w14:paraId="7BAF6330" w14:textId="103BFC0F" w:rsidR="0040385F" w:rsidRPr="0040385F" w:rsidRDefault="0040385F" w:rsidP="00905CC9">
            <w:pPr>
              <w:keepNext w:val="0"/>
              <w:numPr>
                <w:ilvl w:val="0"/>
                <w:numId w:val="39"/>
              </w:numPr>
              <w:spacing w:before="0"/>
              <w:ind w:left="357" w:hanging="357"/>
              <w:jc w:val="left"/>
              <w:rPr>
                <w:rFonts w:cs="Arial"/>
                <w:color w:val="auto"/>
                <w:sz w:val="22"/>
              </w:rPr>
            </w:pPr>
            <w:r w:rsidRPr="0040385F">
              <w:rPr>
                <w:rFonts w:cs="Arial"/>
                <w:color w:val="auto"/>
                <w:sz w:val="20"/>
              </w:rPr>
              <w:t>NPPF 202</w:t>
            </w:r>
            <w:r w:rsidR="004173E0">
              <w:rPr>
                <w:rFonts w:cs="Arial"/>
                <w:color w:val="auto"/>
                <w:sz w:val="20"/>
              </w:rPr>
              <w:t>3</w:t>
            </w:r>
            <w:r w:rsidRPr="0040385F">
              <w:rPr>
                <w:rFonts w:cs="Arial"/>
                <w:color w:val="auto"/>
                <w:sz w:val="20"/>
              </w:rPr>
              <w:t>, Part 3: Plan making.</w:t>
            </w:r>
          </w:p>
          <w:p w14:paraId="127D1037" w14:textId="33F6F88A" w:rsidR="0040385F" w:rsidRPr="0040385F" w:rsidRDefault="0040385F" w:rsidP="00905CC9">
            <w:pPr>
              <w:keepNext w:val="0"/>
              <w:numPr>
                <w:ilvl w:val="0"/>
                <w:numId w:val="39"/>
              </w:numPr>
              <w:spacing w:before="0"/>
              <w:ind w:left="357" w:hanging="357"/>
              <w:jc w:val="left"/>
              <w:rPr>
                <w:rFonts w:cs="Arial"/>
                <w:color w:val="auto"/>
                <w:sz w:val="22"/>
              </w:rPr>
            </w:pPr>
            <w:r w:rsidRPr="0040385F">
              <w:rPr>
                <w:rFonts w:eastAsia="Arial" w:cs="Arial"/>
                <w:bCs/>
                <w:color w:val="auto"/>
                <w:sz w:val="20"/>
              </w:rPr>
              <w:t>NPPF 202</w:t>
            </w:r>
            <w:r w:rsidR="004173E0">
              <w:rPr>
                <w:rFonts w:eastAsia="Arial" w:cs="Arial"/>
                <w:bCs/>
                <w:color w:val="auto"/>
                <w:sz w:val="20"/>
              </w:rPr>
              <w:t>3</w:t>
            </w:r>
            <w:r w:rsidRPr="0040385F">
              <w:rPr>
                <w:rFonts w:eastAsia="Arial" w:cs="Arial"/>
                <w:bCs/>
                <w:color w:val="auto"/>
                <w:sz w:val="20"/>
              </w:rPr>
              <w:t xml:space="preserve">, </w:t>
            </w:r>
            <w:r w:rsidRPr="0040385F">
              <w:rPr>
                <w:rFonts w:cs="Arial"/>
                <w:color w:val="auto"/>
                <w:sz w:val="20"/>
              </w:rPr>
              <w:t>Part 4: Decision Making.</w:t>
            </w:r>
          </w:p>
          <w:p w14:paraId="62E3D77C" w14:textId="1668B34D" w:rsidR="0040385F" w:rsidRPr="0040385F" w:rsidRDefault="0040385F" w:rsidP="00905CC9">
            <w:pPr>
              <w:keepNext w:val="0"/>
              <w:numPr>
                <w:ilvl w:val="0"/>
                <w:numId w:val="39"/>
              </w:numPr>
              <w:spacing w:before="0"/>
              <w:ind w:left="357" w:hanging="357"/>
              <w:jc w:val="left"/>
              <w:rPr>
                <w:rFonts w:cs="Arial"/>
                <w:color w:val="auto"/>
                <w:sz w:val="22"/>
              </w:rPr>
            </w:pPr>
            <w:r w:rsidRPr="0040385F">
              <w:rPr>
                <w:rFonts w:eastAsia="Arial" w:cs="Arial"/>
                <w:bCs/>
                <w:color w:val="auto"/>
                <w:sz w:val="20"/>
              </w:rPr>
              <w:t>NPPF</w:t>
            </w:r>
            <w:r w:rsidRPr="0040385F">
              <w:rPr>
                <w:rFonts w:cs="Arial"/>
                <w:color w:val="auto"/>
                <w:sz w:val="20"/>
              </w:rPr>
              <w:t xml:space="preserve"> 202</w:t>
            </w:r>
            <w:r w:rsidR="004173E0">
              <w:rPr>
                <w:rFonts w:cs="Arial"/>
                <w:color w:val="auto"/>
                <w:sz w:val="20"/>
              </w:rPr>
              <w:t>3</w:t>
            </w:r>
            <w:r w:rsidRPr="0040385F">
              <w:rPr>
                <w:rFonts w:cs="Arial"/>
                <w:color w:val="auto"/>
                <w:sz w:val="20"/>
              </w:rPr>
              <w:t xml:space="preserve">, Part 5. </w:t>
            </w:r>
            <w:r w:rsidRPr="0040385F">
              <w:rPr>
                <w:rFonts w:cs="Arial"/>
                <w:bCs/>
                <w:color w:val="auto"/>
                <w:sz w:val="20"/>
              </w:rPr>
              <w:t>Delivering a sufficient supply of homes.</w:t>
            </w:r>
            <w:r w:rsidRPr="0040385F">
              <w:rPr>
                <w:rFonts w:cs="Arial"/>
                <w:color w:val="auto"/>
                <w:sz w:val="20"/>
              </w:rPr>
              <w:t xml:space="preserve"> </w:t>
            </w:r>
          </w:p>
          <w:p w14:paraId="64A36E97" w14:textId="7F470B13" w:rsidR="0040385F" w:rsidRPr="008F21DB" w:rsidRDefault="0040385F" w:rsidP="00905CC9">
            <w:pPr>
              <w:keepNext w:val="0"/>
              <w:numPr>
                <w:ilvl w:val="0"/>
                <w:numId w:val="35"/>
              </w:numPr>
              <w:tabs>
                <w:tab w:val="left" w:pos="680"/>
                <w:tab w:val="left" w:pos="1133"/>
                <w:tab w:val="left" w:pos="2267"/>
              </w:tabs>
              <w:spacing w:before="0"/>
              <w:ind w:left="357" w:right="284" w:hanging="357"/>
              <w:contextualSpacing/>
              <w:jc w:val="left"/>
              <w:rPr>
                <w:rFonts w:eastAsia="Arial" w:cs="Arial"/>
                <w:bCs/>
                <w:color w:val="auto"/>
                <w:sz w:val="20"/>
              </w:rPr>
            </w:pPr>
            <w:r w:rsidRPr="0040385F">
              <w:rPr>
                <w:rFonts w:eastAsia="Arial" w:cs="Arial"/>
                <w:bCs/>
                <w:color w:val="auto"/>
                <w:sz w:val="20"/>
              </w:rPr>
              <w:t>NPPF 202</w:t>
            </w:r>
            <w:r w:rsidR="004173E0">
              <w:rPr>
                <w:rFonts w:eastAsia="Arial" w:cs="Arial"/>
                <w:bCs/>
                <w:color w:val="auto"/>
                <w:sz w:val="20"/>
              </w:rPr>
              <w:t>3</w:t>
            </w:r>
            <w:r w:rsidRPr="0040385F">
              <w:rPr>
                <w:rFonts w:eastAsia="Arial" w:cs="Arial"/>
                <w:bCs/>
                <w:color w:val="auto"/>
                <w:sz w:val="20"/>
              </w:rPr>
              <w:t xml:space="preserve">, Part 6: </w:t>
            </w:r>
            <w:r w:rsidRPr="0040385F">
              <w:rPr>
                <w:rFonts w:cs="Arial"/>
                <w:bCs/>
                <w:color w:val="auto"/>
                <w:sz w:val="20"/>
              </w:rPr>
              <w:t>Building a strong, competitive economy.</w:t>
            </w:r>
          </w:p>
        </w:tc>
      </w:tr>
      <w:bookmarkEnd w:id="308"/>
    </w:tbl>
    <w:p w14:paraId="44FF66D4" w14:textId="6AB55EE6" w:rsidR="008526EA" w:rsidRPr="003C7E62" w:rsidRDefault="008526EA" w:rsidP="0040385F">
      <w:pPr>
        <w:keepNext w:val="0"/>
        <w:spacing w:before="0"/>
        <w:rPr>
          <w:rFonts w:cs="Arial"/>
          <w:color w:val="auto"/>
          <w:szCs w:val="24"/>
          <w:lang w:eastAsia="en-US"/>
        </w:rPr>
      </w:pPr>
    </w:p>
    <w:p w14:paraId="03B2DDEE" w14:textId="55EB18A9" w:rsidR="006E10D4" w:rsidRPr="006E10D4" w:rsidRDefault="006E10D4" w:rsidP="00CE6287">
      <w:pPr>
        <w:keepNext w:val="0"/>
        <w:numPr>
          <w:ilvl w:val="1"/>
          <w:numId w:val="7"/>
        </w:numPr>
        <w:tabs>
          <w:tab w:val="clear" w:pos="525"/>
        </w:tabs>
        <w:spacing w:before="0"/>
        <w:ind w:left="709" w:hanging="709"/>
        <w:rPr>
          <w:rFonts w:cs="Arial"/>
          <w:color w:val="auto"/>
          <w:szCs w:val="24"/>
          <w:lang w:eastAsia="en-US"/>
        </w:rPr>
      </w:pPr>
      <w:bookmarkStart w:id="309" w:name="_Hlk142398484"/>
      <w:r w:rsidRPr="006E10D4">
        <w:rPr>
          <w:rFonts w:eastAsia="Calibri"/>
          <w:color w:val="auto"/>
          <w:szCs w:val="22"/>
          <w:lang w:eastAsia="en-US"/>
        </w:rPr>
        <w:t xml:space="preserve">Strategic Policy </w:t>
      </w:r>
      <w:r w:rsidRPr="00B11F91">
        <w:rPr>
          <w:rFonts w:eastAsia="Calibri"/>
          <w:strike/>
          <w:color w:val="auto"/>
          <w:szCs w:val="22"/>
          <w:lang w:eastAsia="en-US"/>
        </w:rPr>
        <w:t>1</w:t>
      </w:r>
      <w:r w:rsidR="00F05D84" w:rsidRPr="00B11F91">
        <w:rPr>
          <w:rFonts w:eastAsia="Calibri"/>
          <w:strike/>
          <w:color w:val="auto"/>
          <w:szCs w:val="22"/>
          <w:lang w:eastAsia="en-US"/>
        </w:rPr>
        <w:t>1</w:t>
      </w:r>
      <w:r w:rsidRPr="006E10D4">
        <w:rPr>
          <w:rFonts w:eastAsia="Calibri"/>
          <w:color w:val="auto"/>
          <w:szCs w:val="22"/>
          <w:lang w:eastAsia="en-US"/>
        </w:rPr>
        <w:t xml:space="preserve"> </w:t>
      </w:r>
      <w:r w:rsidR="000853B4" w:rsidRPr="000853B4">
        <w:rPr>
          <w:rFonts w:eastAsia="Calibri"/>
          <w:color w:val="0070C0"/>
          <w:szCs w:val="22"/>
          <w:lang w:eastAsia="en-US"/>
        </w:rPr>
        <w:t>S9</w:t>
      </w:r>
      <w:r w:rsidR="000853B4">
        <w:rPr>
          <w:rFonts w:eastAsia="Calibri"/>
          <w:color w:val="auto"/>
          <w:szCs w:val="22"/>
          <w:lang w:eastAsia="en-US"/>
        </w:rPr>
        <w:t xml:space="preserve"> </w:t>
      </w:r>
      <w:r w:rsidRPr="006E10D4">
        <w:rPr>
          <w:rFonts w:eastAsia="Calibri"/>
          <w:color w:val="auto"/>
          <w:szCs w:val="22"/>
          <w:lang w:eastAsia="en-US"/>
        </w:rPr>
        <w:t xml:space="preserve">identifies that infrastructure has a key role in meeting the requirements for sustainable development. Developer contributions can be used as a means of </w:t>
      </w:r>
      <w:bookmarkStart w:id="310" w:name="_Hlk153373066"/>
      <w:r w:rsidRPr="006E10D4">
        <w:rPr>
          <w:rFonts w:eastAsia="Calibri"/>
          <w:color w:val="auto"/>
          <w:szCs w:val="22"/>
          <w:lang w:eastAsia="en-US"/>
        </w:rPr>
        <w:t>offsetting the impact of a development on infrastructure either by seeking the developer to undertake the necessary work or via a financial contribution that cannot be secured by a planning condition</w:t>
      </w:r>
      <w:bookmarkEnd w:id="310"/>
      <w:r w:rsidRPr="006E10D4">
        <w:rPr>
          <w:rFonts w:eastAsia="Calibri"/>
          <w:color w:val="auto"/>
          <w:szCs w:val="22"/>
          <w:lang w:eastAsia="en-US"/>
        </w:rPr>
        <w:t xml:space="preserve">. </w:t>
      </w:r>
    </w:p>
    <w:bookmarkEnd w:id="309"/>
    <w:p w14:paraId="02B5C504" w14:textId="77777777" w:rsidR="006E10D4" w:rsidRDefault="006E10D4" w:rsidP="00CE6287">
      <w:pPr>
        <w:keepNext w:val="0"/>
        <w:spacing w:before="0"/>
        <w:ind w:left="709" w:hanging="709"/>
        <w:rPr>
          <w:rFonts w:cs="Arial"/>
          <w:color w:val="auto"/>
          <w:szCs w:val="24"/>
          <w:lang w:eastAsia="en-US"/>
        </w:rPr>
      </w:pPr>
    </w:p>
    <w:p w14:paraId="4530D956" w14:textId="211CE741" w:rsidR="006E10D4" w:rsidRDefault="006E10D4" w:rsidP="00CE6287">
      <w:pPr>
        <w:keepNext w:val="0"/>
        <w:numPr>
          <w:ilvl w:val="1"/>
          <w:numId w:val="7"/>
        </w:numPr>
        <w:tabs>
          <w:tab w:val="clear" w:pos="525"/>
        </w:tabs>
        <w:spacing w:before="0"/>
        <w:ind w:left="709" w:hanging="709"/>
        <w:rPr>
          <w:rFonts w:cs="Arial"/>
          <w:color w:val="auto"/>
          <w:szCs w:val="24"/>
          <w:lang w:eastAsia="en-US"/>
        </w:rPr>
      </w:pPr>
      <w:r w:rsidRPr="006E10D4">
        <w:rPr>
          <w:rFonts w:eastAsia="Arial" w:cs="Arial"/>
          <w:color w:val="auto"/>
        </w:rPr>
        <w:t>The current regulative requirements</w:t>
      </w:r>
      <w:r w:rsidRPr="006E10D4">
        <w:rPr>
          <w:rFonts w:eastAsia="Arial" w:cs="Arial"/>
          <w:color w:val="auto"/>
          <w:vertAlign w:val="superscript"/>
        </w:rPr>
        <w:footnoteReference w:id="105"/>
      </w:r>
      <w:r w:rsidRPr="006E10D4">
        <w:rPr>
          <w:rFonts w:eastAsia="Arial" w:cs="Arial"/>
          <w:color w:val="auto"/>
        </w:rPr>
        <w:t>, which are also set out as part of national planning policy</w:t>
      </w:r>
      <w:r w:rsidR="002D6995">
        <w:rPr>
          <w:rFonts w:eastAsia="Arial" w:cs="Arial"/>
          <w:color w:val="auto"/>
        </w:rPr>
        <w:t>,</w:t>
      </w:r>
      <w:r w:rsidRPr="006E10D4">
        <w:rPr>
          <w:rFonts w:eastAsia="Arial" w:cs="Arial"/>
          <w:color w:val="auto"/>
        </w:rPr>
        <w:t xml:space="preserve"> identify that a planning obligation may only constitute a reason for granting planning permission for the development if the obligation is</w:t>
      </w:r>
      <w:r w:rsidR="00DB05C3">
        <w:rPr>
          <w:rFonts w:eastAsia="Arial" w:cs="Arial"/>
          <w:color w:val="auto"/>
        </w:rPr>
        <w:t xml:space="preserve"> -</w:t>
      </w:r>
    </w:p>
    <w:p w14:paraId="7E0E89C3" w14:textId="64DC4B46" w:rsidR="006E10D4" w:rsidRDefault="006E10D4" w:rsidP="006E10D4">
      <w:pPr>
        <w:pStyle w:val="ListParagraph"/>
        <w:spacing w:after="0" w:line="240" w:lineRule="auto"/>
        <w:rPr>
          <w:rFonts w:eastAsia="Calibri"/>
          <w:color w:val="auto"/>
        </w:rPr>
      </w:pPr>
    </w:p>
    <w:p w14:paraId="180C30C7" w14:textId="77777777" w:rsidR="006E10D4" w:rsidRPr="006E10D4" w:rsidRDefault="006E10D4" w:rsidP="00874A98">
      <w:pPr>
        <w:keepNext w:val="0"/>
        <w:numPr>
          <w:ilvl w:val="0"/>
          <w:numId w:val="176"/>
        </w:numPr>
        <w:autoSpaceDE w:val="0"/>
        <w:autoSpaceDN w:val="0"/>
        <w:adjustRightInd w:val="0"/>
        <w:spacing w:before="0" w:after="160" w:line="259" w:lineRule="auto"/>
        <w:contextualSpacing/>
        <w:jc w:val="both"/>
        <w:rPr>
          <w:rFonts w:eastAsia="Arial" w:cs="Arial"/>
          <w:color w:val="auto"/>
          <w:lang w:eastAsia="en-US"/>
        </w:rPr>
      </w:pPr>
      <w:r w:rsidRPr="006E10D4">
        <w:rPr>
          <w:rFonts w:eastAsia="Arial" w:cs="Arial"/>
          <w:color w:val="auto"/>
          <w:lang w:eastAsia="en-US"/>
        </w:rPr>
        <w:t>necessary to make the development acceptable in planning terms;</w:t>
      </w:r>
    </w:p>
    <w:p w14:paraId="26B7EF07" w14:textId="77777777" w:rsidR="006E10D4" w:rsidRPr="006E10D4" w:rsidRDefault="006E10D4" w:rsidP="00874A98">
      <w:pPr>
        <w:keepNext w:val="0"/>
        <w:numPr>
          <w:ilvl w:val="0"/>
          <w:numId w:val="176"/>
        </w:numPr>
        <w:autoSpaceDE w:val="0"/>
        <w:autoSpaceDN w:val="0"/>
        <w:adjustRightInd w:val="0"/>
        <w:spacing w:before="0" w:after="160" w:line="259" w:lineRule="auto"/>
        <w:contextualSpacing/>
        <w:jc w:val="both"/>
        <w:rPr>
          <w:rFonts w:eastAsia="Arial" w:cs="Arial"/>
          <w:color w:val="auto"/>
          <w:lang w:eastAsia="en-US"/>
        </w:rPr>
      </w:pPr>
      <w:r w:rsidRPr="006E10D4">
        <w:rPr>
          <w:rFonts w:eastAsia="Arial" w:cs="Arial"/>
          <w:color w:val="auto"/>
          <w:lang w:eastAsia="en-US"/>
        </w:rPr>
        <w:t>directly related to the development; and</w:t>
      </w:r>
    </w:p>
    <w:p w14:paraId="7959A3E0" w14:textId="77777777" w:rsidR="006E10D4" w:rsidRPr="006E10D4" w:rsidRDefault="006E10D4" w:rsidP="00874A98">
      <w:pPr>
        <w:keepNext w:val="0"/>
        <w:numPr>
          <w:ilvl w:val="0"/>
          <w:numId w:val="176"/>
        </w:numPr>
        <w:autoSpaceDE w:val="0"/>
        <w:autoSpaceDN w:val="0"/>
        <w:adjustRightInd w:val="0"/>
        <w:spacing w:before="0" w:after="160" w:line="259" w:lineRule="auto"/>
        <w:contextualSpacing/>
        <w:jc w:val="both"/>
        <w:rPr>
          <w:rFonts w:eastAsia="Arial" w:cs="Arial"/>
          <w:color w:val="auto"/>
          <w:lang w:eastAsia="en-US"/>
        </w:rPr>
      </w:pPr>
      <w:r w:rsidRPr="006E10D4">
        <w:rPr>
          <w:rFonts w:eastAsia="Arial" w:cs="Arial"/>
          <w:color w:val="auto"/>
          <w:lang w:eastAsia="en-US"/>
        </w:rPr>
        <w:t>fairly and reasonably related in scale and kind to the development.’</w:t>
      </w:r>
    </w:p>
    <w:p w14:paraId="599E7834" w14:textId="77777777" w:rsidR="006E10D4" w:rsidRPr="006E10D4" w:rsidRDefault="006E10D4" w:rsidP="006E10D4">
      <w:pPr>
        <w:rPr>
          <w:rFonts w:eastAsia="Calibri"/>
          <w:color w:val="auto"/>
        </w:rPr>
      </w:pPr>
    </w:p>
    <w:p w14:paraId="1D221EFD" w14:textId="77777777" w:rsidR="005D5960" w:rsidRPr="005D5960" w:rsidRDefault="006E10D4" w:rsidP="005D5960">
      <w:pPr>
        <w:keepNext w:val="0"/>
        <w:numPr>
          <w:ilvl w:val="1"/>
          <w:numId w:val="7"/>
        </w:numPr>
        <w:tabs>
          <w:tab w:val="clear" w:pos="525"/>
        </w:tabs>
        <w:spacing w:before="0"/>
        <w:ind w:left="709" w:hanging="709"/>
        <w:rPr>
          <w:rFonts w:cs="Arial"/>
          <w:color w:val="auto"/>
          <w:szCs w:val="24"/>
          <w:lang w:eastAsia="en-US"/>
        </w:rPr>
      </w:pPr>
      <w:r w:rsidRPr="006E10D4">
        <w:rPr>
          <w:rFonts w:eastAsia="Calibri"/>
          <w:color w:val="auto"/>
          <w:szCs w:val="22"/>
          <w:lang w:eastAsia="en-US"/>
        </w:rPr>
        <w:t xml:space="preserve">If a site has been sub divided </w:t>
      </w:r>
      <w:proofErr w:type="gramStart"/>
      <w:r w:rsidRPr="006E10D4">
        <w:rPr>
          <w:rFonts w:eastAsia="Calibri"/>
          <w:color w:val="auto"/>
          <w:szCs w:val="22"/>
          <w:lang w:eastAsia="en-US"/>
        </w:rPr>
        <w:t>in an attempt to</w:t>
      </w:r>
      <w:proofErr w:type="gramEnd"/>
      <w:r w:rsidRPr="006E10D4">
        <w:rPr>
          <w:rFonts w:eastAsia="Calibri"/>
          <w:color w:val="auto"/>
          <w:szCs w:val="22"/>
          <w:lang w:eastAsia="en-US"/>
        </w:rPr>
        <w:t xml:space="preserve"> avoid contributions towards affordable housing and other infrastructure, the Council will refuse the application</w:t>
      </w:r>
      <w:r>
        <w:rPr>
          <w:rFonts w:eastAsia="Calibri"/>
          <w:color w:val="auto"/>
          <w:szCs w:val="22"/>
          <w:lang w:eastAsia="en-US"/>
        </w:rPr>
        <w:t>.</w:t>
      </w:r>
    </w:p>
    <w:p w14:paraId="184A3593" w14:textId="77777777" w:rsidR="005D5960" w:rsidRDefault="005D5960" w:rsidP="005D5960">
      <w:pPr>
        <w:keepNext w:val="0"/>
        <w:spacing w:before="0"/>
        <w:ind w:left="709"/>
        <w:rPr>
          <w:rFonts w:cs="Arial"/>
          <w:color w:val="auto"/>
          <w:szCs w:val="24"/>
          <w:lang w:eastAsia="en-US"/>
        </w:rPr>
      </w:pPr>
    </w:p>
    <w:p w14:paraId="40AF1988" w14:textId="53500843" w:rsidR="005D5960" w:rsidRPr="005D5960" w:rsidRDefault="005D5960" w:rsidP="005D5960">
      <w:pPr>
        <w:keepNext w:val="0"/>
        <w:numPr>
          <w:ilvl w:val="1"/>
          <w:numId w:val="7"/>
        </w:numPr>
        <w:tabs>
          <w:tab w:val="clear" w:pos="525"/>
        </w:tabs>
        <w:spacing w:before="0"/>
        <w:ind w:left="709" w:hanging="709"/>
        <w:rPr>
          <w:rFonts w:cs="Arial"/>
          <w:color w:val="auto"/>
          <w:szCs w:val="24"/>
          <w:lang w:eastAsia="en-US"/>
        </w:rPr>
      </w:pPr>
      <w:r w:rsidRPr="00DB05C3">
        <w:rPr>
          <w:rFonts w:cs="Arial"/>
          <w:color w:val="auto"/>
          <w:szCs w:val="24"/>
          <w:lang w:eastAsia="en-US"/>
        </w:rPr>
        <w:t xml:space="preserve">When determining the nature and scale of any planning obligations sought, account will be taken of any evidence of viability, specific site conditions, priorities in the Infrastructure Delivery Plan and other material considerations.  </w:t>
      </w:r>
      <w:r w:rsidR="006E10D4" w:rsidRPr="005D5960">
        <w:rPr>
          <w:rFonts w:eastAsia="Arial" w:cs="Arial"/>
          <w:color w:val="auto"/>
        </w:rPr>
        <w:t xml:space="preserve">If viability </w:t>
      </w:r>
      <w:proofErr w:type="gramStart"/>
      <w:r w:rsidR="006E10D4" w:rsidRPr="005D5960">
        <w:rPr>
          <w:rFonts w:eastAsia="Arial" w:cs="Arial"/>
          <w:color w:val="auto"/>
        </w:rPr>
        <w:t>is considered to be</w:t>
      </w:r>
      <w:proofErr w:type="gramEnd"/>
      <w:r w:rsidR="006E10D4" w:rsidRPr="005D5960">
        <w:rPr>
          <w:rFonts w:eastAsia="Arial" w:cs="Arial"/>
          <w:color w:val="auto"/>
        </w:rPr>
        <w:t xml:space="preserve"> an issue any planning application should be accompanied with </w:t>
      </w:r>
      <w:r w:rsidR="00EA7D34" w:rsidRPr="005D5960">
        <w:rPr>
          <w:rFonts w:eastAsia="Arial" w:cs="Arial"/>
          <w:color w:val="auto"/>
        </w:rPr>
        <w:t>a viability</w:t>
      </w:r>
      <w:r w:rsidR="006E10D4" w:rsidRPr="005D5960">
        <w:rPr>
          <w:rFonts w:eastAsia="Arial" w:cs="Arial"/>
          <w:color w:val="auto"/>
        </w:rPr>
        <w:t xml:space="preserve"> assessment together with any other evidence setting out why the proposed </w:t>
      </w:r>
      <w:r w:rsidR="006E10D4" w:rsidRPr="005D5960">
        <w:rPr>
          <w:rFonts w:eastAsia="Arial" w:cs="Arial"/>
          <w:color w:val="auto"/>
        </w:rPr>
        <w:lastRenderedPageBreak/>
        <w:t xml:space="preserve">development is </w:t>
      </w:r>
      <w:r w:rsidR="00EA7D34" w:rsidRPr="005D5960">
        <w:rPr>
          <w:rFonts w:eastAsia="Arial" w:cs="Arial"/>
          <w:color w:val="auto"/>
        </w:rPr>
        <w:t>no longer</w:t>
      </w:r>
      <w:r w:rsidR="006E10D4" w:rsidRPr="005D5960">
        <w:rPr>
          <w:rFonts w:eastAsia="Arial" w:cs="Arial"/>
          <w:color w:val="auto"/>
        </w:rPr>
        <w:t xml:space="preserve"> deliverable.  </w:t>
      </w:r>
      <w:r w:rsidR="006E10D4" w:rsidRPr="005D5960">
        <w:rPr>
          <w:rFonts w:eastAsia="Calibri"/>
          <w:color w:val="auto"/>
          <w:szCs w:val="22"/>
          <w:lang w:eastAsia="en-US"/>
        </w:rPr>
        <w:t>Where the viability of a site is in dispute, the Council will require developers to meet the requirements set out under Policy SD</w:t>
      </w:r>
      <w:r w:rsidR="00F05D84" w:rsidRPr="005D5960">
        <w:rPr>
          <w:rFonts w:eastAsia="Calibri"/>
          <w:color w:val="auto"/>
          <w:szCs w:val="22"/>
          <w:lang w:eastAsia="en-US"/>
        </w:rPr>
        <w:t>6</w:t>
      </w:r>
      <w:r w:rsidRPr="005D5960">
        <w:rPr>
          <w:rFonts w:eastAsia="Calibri"/>
          <w:color w:val="auto"/>
          <w:szCs w:val="22"/>
          <w:lang w:eastAsia="en-US"/>
        </w:rPr>
        <w:t>.</w:t>
      </w:r>
    </w:p>
    <w:p w14:paraId="694F1891" w14:textId="77777777" w:rsidR="001D5506" w:rsidRDefault="001D5506" w:rsidP="00825421">
      <w:pPr>
        <w:pStyle w:val="Heading2"/>
        <w:jc w:val="left"/>
        <w:rPr>
          <w:rFonts w:eastAsia="Arial"/>
          <w:sz w:val="28"/>
          <w:szCs w:val="28"/>
        </w:rPr>
      </w:pPr>
      <w:bookmarkStart w:id="311" w:name="_Toc145511615"/>
    </w:p>
    <w:p w14:paraId="569225D5" w14:textId="55BF8CCC" w:rsidR="006E10D4" w:rsidRPr="00825421" w:rsidRDefault="006977E7" w:rsidP="00825421">
      <w:pPr>
        <w:pStyle w:val="Heading2"/>
        <w:jc w:val="left"/>
        <w:rPr>
          <w:rFonts w:eastAsia="Arial"/>
          <w:sz w:val="28"/>
          <w:szCs w:val="28"/>
        </w:rPr>
      </w:pPr>
      <w:r w:rsidRPr="00825421">
        <w:rPr>
          <w:rFonts w:eastAsia="Arial"/>
          <w:sz w:val="28"/>
          <w:szCs w:val="28"/>
        </w:rPr>
        <w:t xml:space="preserve">Policy </w:t>
      </w:r>
      <w:r w:rsidR="006E10D4" w:rsidRPr="00825421">
        <w:rPr>
          <w:rFonts w:eastAsia="Arial"/>
          <w:sz w:val="28"/>
          <w:szCs w:val="28"/>
        </w:rPr>
        <w:t>SD</w:t>
      </w:r>
      <w:r w:rsidR="0064018F" w:rsidRPr="00825421">
        <w:rPr>
          <w:rFonts w:eastAsia="Arial"/>
          <w:sz w:val="28"/>
          <w:szCs w:val="28"/>
        </w:rPr>
        <w:t>6</w:t>
      </w:r>
      <w:r w:rsidR="006E10D4" w:rsidRPr="00825421">
        <w:rPr>
          <w:rFonts w:eastAsia="Arial"/>
          <w:sz w:val="28"/>
          <w:szCs w:val="28"/>
        </w:rPr>
        <w:t>: Assessing Development Viability and Development Demand</w:t>
      </w:r>
      <w:bookmarkEnd w:id="311"/>
    </w:p>
    <w:p w14:paraId="1CEDABB6" w14:textId="77777777" w:rsidR="006977E7" w:rsidRPr="006E10D4" w:rsidRDefault="006977E7" w:rsidP="006E10D4">
      <w:pPr>
        <w:keepNext w:val="0"/>
        <w:spacing w:before="0"/>
        <w:rPr>
          <w:rFonts w:eastAsia="Arial" w:cs="Arial"/>
          <w:color w:val="auto"/>
        </w:rPr>
      </w:pPr>
    </w:p>
    <w:tbl>
      <w:tblPr>
        <w:tblStyle w:val="TableGrid3"/>
        <w:tblW w:w="9634" w:type="dxa"/>
        <w:tblLook w:val="04A0" w:firstRow="1" w:lastRow="0" w:firstColumn="1" w:lastColumn="0" w:noHBand="0" w:noVBand="1"/>
      </w:tblPr>
      <w:tblGrid>
        <w:gridCol w:w="2405"/>
        <w:gridCol w:w="255"/>
        <w:gridCol w:w="6974"/>
      </w:tblGrid>
      <w:tr w:rsidR="006E10D4" w:rsidRPr="006E10D4" w14:paraId="1B36CE82" w14:textId="77777777" w:rsidTr="00163F59">
        <w:trPr>
          <w:trHeight w:val="421"/>
        </w:trPr>
        <w:tc>
          <w:tcPr>
            <w:tcW w:w="9634" w:type="dxa"/>
            <w:gridSpan w:val="3"/>
          </w:tcPr>
          <w:p w14:paraId="237937FE" w14:textId="77777777" w:rsidR="00ED5F54" w:rsidRDefault="00ED5F54" w:rsidP="00905CC9">
            <w:pPr>
              <w:keepNext w:val="0"/>
              <w:tabs>
                <w:tab w:val="left" w:pos="680"/>
              </w:tabs>
              <w:spacing w:before="0"/>
              <w:jc w:val="left"/>
              <w:rPr>
                <w:rFonts w:eastAsia="Arial"/>
                <w:b/>
                <w:color w:val="auto"/>
                <w:spacing w:val="-1"/>
              </w:rPr>
            </w:pPr>
            <w:bookmarkStart w:id="312" w:name="_Hlk78799157"/>
          </w:p>
          <w:p w14:paraId="25DA04CF" w14:textId="37F740AE" w:rsidR="006E10D4" w:rsidRDefault="006E10D4" w:rsidP="00905CC9">
            <w:pPr>
              <w:keepNext w:val="0"/>
              <w:tabs>
                <w:tab w:val="left" w:pos="680"/>
              </w:tabs>
              <w:spacing w:before="0"/>
              <w:jc w:val="left"/>
              <w:rPr>
                <w:rFonts w:eastAsia="Arial"/>
                <w:b/>
                <w:color w:val="auto"/>
                <w:spacing w:val="-1"/>
              </w:rPr>
            </w:pPr>
            <w:r w:rsidRPr="006E10D4">
              <w:rPr>
                <w:rFonts w:eastAsia="Arial"/>
                <w:b/>
                <w:color w:val="auto"/>
                <w:spacing w:val="-1"/>
              </w:rPr>
              <w:t>Policy SD</w:t>
            </w:r>
            <w:r w:rsidR="0064018F">
              <w:rPr>
                <w:rFonts w:eastAsia="Arial"/>
                <w:b/>
                <w:color w:val="auto"/>
                <w:spacing w:val="-1"/>
              </w:rPr>
              <w:t>6</w:t>
            </w:r>
            <w:r w:rsidRPr="006E10D4">
              <w:rPr>
                <w:rFonts w:eastAsia="Arial"/>
                <w:b/>
                <w:color w:val="auto"/>
                <w:spacing w:val="-1"/>
              </w:rPr>
              <w:t xml:space="preserve">: </w:t>
            </w:r>
            <w:bookmarkStart w:id="313" w:name="_Hlk80513246"/>
            <w:r w:rsidRPr="006E10D4">
              <w:rPr>
                <w:rFonts w:eastAsia="Arial"/>
                <w:b/>
                <w:color w:val="auto"/>
                <w:spacing w:val="-1"/>
              </w:rPr>
              <w:t xml:space="preserve">Assessing Development Viability and Development Demand </w:t>
            </w:r>
          </w:p>
          <w:bookmarkEnd w:id="313"/>
          <w:p w14:paraId="51FE134A" w14:textId="46D649CC" w:rsidR="00ED5F54" w:rsidRPr="006E10D4" w:rsidRDefault="00ED5F54" w:rsidP="00905CC9">
            <w:pPr>
              <w:keepNext w:val="0"/>
              <w:tabs>
                <w:tab w:val="left" w:pos="680"/>
              </w:tabs>
              <w:spacing w:before="0"/>
              <w:jc w:val="left"/>
              <w:rPr>
                <w:rFonts w:eastAsia="Arial"/>
                <w:b/>
                <w:color w:val="auto"/>
                <w:spacing w:val="-1"/>
              </w:rPr>
            </w:pPr>
          </w:p>
        </w:tc>
      </w:tr>
      <w:tr w:rsidR="006E10D4" w:rsidRPr="006E10D4" w14:paraId="1A987147" w14:textId="77777777" w:rsidTr="00163F59">
        <w:tc>
          <w:tcPr>
            <w:tcW w:w="2660" w:type="dxa"/>
            <w:gridSpan w:val="2"/>
          </w:tcPr>
          <w:p w14:paraId="209D15CA" w14:textId="77777777" w:rsidR="006E10D4" w:rsidRPr="005775C8" w:rsidRDefault="006E10D4" w:rsidP="00905CC9">
            <w:pPr>
              <w:keepNext w:val="0"/>
              <w:tabs>
                <w:tab w:val="left" w:pos="680"/>
              </w:tabs>
              <w:spacing w:before="0"/>
              <w:jc w:val="left"/>
              <w:rPr>
                <w:rFonts w:eastAsia="Arial"/>
                <w:bCs/>
                <w:color w:val="auto"/>
              </w:rPr>
            </w:pPr>
            <w:r w:rsidRPr="005775C8">
              <w:rPr>
                <w:rFonts w:eastAsia="Arial"/>
                <w:bCs/>
                <w:color w:val="auto"/>
              </w:rPr>
              <w:t>Strategic Objectives</w:t>
            </w:r>
          </w:p>
        </w:tc>
        <w:tc>
          <w:tcPr>
            <w:tcW w:w="6974" w:type="dxa"/>
          </w:tcPr>
          <w:p w14:paraId="4559A193" w14:textId="77777777" w:rsidR="006E10D4" w:rsidRPr="005775C8" w:rsidRDefault="006E10D4" w:rsidP="00905CC9">
            <w:pPr>
              <w:keepNext w:val="0"/>
              <w:tabs>
                <w:tab w:val="left" w:pos="680"/>
              </w:tabs>
              <w:spacing w:before="40" w:after="40"/>
              <w:jc w:val="left"/>
              <w:rPr>
                <w:rFonts w:eastAsia="Arial"/>
                <w:bCs/>
                <w:color w:val="auto"/>
              </w:rPr>
            </w:pPr>
            <w:r w:rsidRPr="005775C8">
              <w:rPr>
                <w:rFonts w:eastAsia="Arial"/>
                <w:bCs/>
                <w:color w:val="auto"/>
              </w:rPr>
              <w:t>SO3, SO4, SO5.</w:t>
            </w:r>
          </w:p>
        </w:tc>
      </w:tr>
      <w:tr w:rsidR="006E10D4" w:rsidRPr="006E10D4" w14:paraId="4356D830" w14:textId="77777777" w:rsidTr="00163F59">
        <w:tc>
          <w:tcPr>
            <w:tcW w:w="9634" w:type="dxa"/>
            <w:gridSpan w:val="3"/>
            <w:shd w:val="clear" w:color="auto" w:fill="DAC4F8"/>
          </w:tcPr>
          <w:p w14:paraId="72FDC374" w14:textId="77777777" w:rsidR="006E10D4" w:rsidRDefault="006E10D4" w:rsidP="00905CC9">
            <w:pPr>
              <w:keepNext w:val="0"/>
              <w:autoSpaceDE w:val="0"/>
              <w:autoSpaceDN w:val="0"/>
              <w:adjustRightInd w:val="0"/>
              <w:spacing w:before="0"/>
              <w:jc w:val="left"/>
              <w:rPr>
                <w:rFonts w:cs="Arial"/>
                <w:bCs/>
                <w:color w:val="auto"/>
                <w:szCs w:val="24"/>
              </w:rPr>
            </w:pPr>
          </w:p>
          <w:p w14:paraId="252961C9" w14:textId="0C4036F3" w:rsidR="006E10D4" w:rsidRDefault="006E10D4" w:rsidP="00905CC9">
            <w:pPr>
              <w:keepNext w:val="0"/>
              <w:autoSpaceDE w:val="0"/>
              <w:autoSpaceDN w:val="0"/>
              <w:adjustRightInd w:val="0"/>
              <w:spacing w:before="0"/>
              <w:jc w:val="left"/>
              <w:rPr>
                <w:rFonts w:cs="Arial"/>
                <w:bCs/>
                <w:color w:val="auto"/>
                <w:szCs w:val="24"/>
              </w:rPr>
            </w:pPr>
            <w:r w:rsidRPr="006E10D4">
              <w:rPr>
                <w:rFonts w:cs="Arial"/>
                <w:bCs/>
                <w:color w:val="auto"/>
                <w:szCs w:val="24"/>
              </w:rPr>
              <w:t>Development Viability</w:t>
            </w:r>
          </w:p>
          <w:p w14:paraId="1688BADB" w14:textId="77777777" w:rsidR="006E10D4" w:rsidRPr="006E10D4" w:rsidRDefault="006E10D4" w:rsidP="00905CC9">
            <w:pPr>
              <w:keepNext w:val="0"/>
              <w:autoSpaceDE w:val="0"/>
              <w:autoSpaceDN w:val="0"/>
              <w:adjustRightInd w:val="0"/>
              <w:spacing w:before="0"/>
              <w:jc w:val="left"/>
              <w:rPr>
                <w:rFonts w:cs="Arial"/>
                <w:bCs/>
                <w:color w:val="auto"/>
                <w:szCs w:val="24"/>
              </w:rPr>
            </w:pPr>
          </w:p>
          <w:p w14:paraId="3F991650" w14:textId="6FEDEC2B" w:rsidR="006E10D4" w:rsidRPr="006E10D4" w:rsidRDefault="006E10D4" w:rsidP="00874A98">
            <w:pPr>
              <w:keepNext w:val="0"/>
              <w:numPr>
                <w:ilvl w:val="0"/>
                <w:numId w:val="180"/>
              </w:numPr>
              <w:autoSpaceDE w:val="0"/>
              <w:autoSpaceDN w:val="0"/>
              <w:adjustRightInd w:val="0"/>
              <w:spacing w:before="0"/>
              <w:contextualSpacing/>
              <w:jc w:val="left"/>
              <w:rPr>
                <w:rFonts w:cs="Arial"/>
                <w:bCs/>
                <w:color w:val="auto"/>
              </w:rPr>
            </w:pPr>
            <w:r w:rsidRPr="006E10D4">
              <w:rPr>
                <w:rFonts w:cs="Arial"/>
                <w:bCs/>
                <w:color w:val="auto"/>
                <w:szCs w:val="24"/>
              </w:rPr>
              <w:t xml:space="preserve">Development proposals that are unable </w:t>
            </w:r>
            <w:r w:rsidRPr="006E10D4">
              <w:rPr>
                <w:rFonts w:cs="Arial"/>
                <w:bCs/>
                <w:color w:val="auto"/>
              </w:rPr>
              <w:t xml:space="preserve">to meet the </w:t>
            </w:r>
            <w:r w:rsidR="00F05D84">
              <w:rPr>
                <w:rFonts w:cs="Arial"/>
                <w:bCs/>
                <w:color w:val="auto"/>
              </w:rPr>
              <w:t>P</w:t>
            </w:r>
            <w:r w:rsidRPr="006E10D4">
              <w:rPr>
                <w:rFonts w:cs="Arial"/>
                <w:bCs/>
                <w:color w:val="auto"/>
              </w:rPr>
              <w:t xml:space="preserve">olicy and infrastructure requirements set out in the Local Plan, must be supported by </w:t>
            </w:r>
            <w:r w:rsidR="00C03B47" w:rsidRPr="00302EF4">
              <w:rPr>
                <w:rFonts w:cs="Arial"/>
                <w:bCs/>
                <w:color w:val="0056A3"/>
              </w:rPr>
              <w:t>independent</w:t>
            </w:r>
            <w:r w:rsidR="00C03B47">
              <w:rPr>
                <w:rFonts w:cs="Arial"/>
                <w:b/>
                <w:color w:val="auto"/>
              </w:rPr>
              <w:t xml:space="preserve"> </w:t>
            </w:r>
            <w:r w:rsidRPr="00C03B47">
              <w:rPr>
                <w:rFonts w:cs="Arial"/>
                <w:bCs/>
                <w:color w:val="auto"/>
              </w:rPr>
              <w:t xml:space="preserve">viability </w:t>
            </w:r>
            <w:r w:rsidRPr="006E10D4">
              <w:rPr>
                <w:rFonts w:cs="Arial"/>
                <w:bCs/>
                <w:color w:val="auto"/>
              </w:rPr>
              <w:t>evidence that establishes why any departure from policy or a deficit in infrastructure contributions is necessary to make the scheme viable and that the wider planning benefits for the development to go ahead out</w:t>
            </w:r>
            <w:r w:rsidR="00D42EF7">
              <w:rPr>
                <w:rFonts w:cs="Arial"/>
                <w:bCs/>
                <w:color w:val="auto"/>
              </w:rPr>
              <w:t xml:space="preserve"> </w:t>
            </w:r>
            <w:r w:rsidRPr="006E10D4">
              <w:rPr>
                <w:rFonts w:cs="Arial"/>
                <w:bCs/>
                <w:color w:val="auto"/>
              </w:rPr>
              <w:t>weight</w:t>
            </w:r>
            <w:r w:rsidR="00CD5564">
              <w:rPr>
                <w:rFonts w:cs="Arial"/>
                <w:bCs/>
                <w:color w:val="auto"/>
              </w:rPr>
              <w:t>s</w:t>
            </w:r>
            <w:r w:rsidRPr="006E10D4">
              <w:rPr>
                <w:rFonts w:cs="Arial"/>
                <w:bCs/>
                <w:color w:val="auto"/>
              </w:rPr>
              <w:t xml:space="preserve"> the shortfall in contributions.  </w:t>
            </w:r>
          </w:p>
          <w:p w14:paraId="6EF9E10A" w14:textId="77777777" w:rsidR="006E10D4" w:rsidRPr="006E10D4" w:rsidRDefault="006E10D4" w:rsidP="00905CC9">
            <w:pPr>
              <w:keepNext w:val="0"/>
              <w:autoSpaceDE w:val="0"/>
              <w:autoSpaceDN w:val="0"/>
              <w:adjustRightInd w:val="0"/>
              <w:spacing w:before="0"/>
              <w:ind w:left="360"/>
              <w:contextualSpacing/>
              <w:jc w:val="left"/>
              <w:rPr>
                <w:rFonts w:cs="Arial"/>
                <w:bCs/>
                <w:color w:val="auto"/>
              </w:rPr>
            </w:pPr>
          </w:p>
          <w:p w14:paraId="033B1EA5" w14:textId="77777777" w:rsidR="006E10D4" w:rsidRPr="006E10D4" w:rsidRDefault="006E10D4" w:rsidP="00874A98">
            <w:pPr>
              <w:keepNext w:val="0"/>
              <w:numPr>
                <w:ilvl w:val="0"/>
                <w:numId w:val="180"/>
              </w:numPr>
              <w:autoSpaceDE w:val="0"/>
              <w:autoSpaceDN w:val="0"/>
              <w:adjustRightInd w:val="0"/>
              <w:spacing w:before="0"/>
              <w:contextualSpacing/>
              <w:jc w:val="left"/>
              <w:rPr>
                <w:rFonts w:cs="Arial"/>
                <w:bCs/>
                <w:color w:val="auto"/>
              </w:rPr>
            </w:pPr>
            <w:r w:rsidRPr="006E10D4">
              <w:rPr>
                <w:rFonts w:cs="Arial"/>
                <w:bCs/>
                <w:color w:val="auto"/>
                <w:szCs w:val="24"/>
              </w:rPr>
              <w:t>The viability assessment should:</w:t>
            </w:r>
          </w:p>
          <w:p w14:paraId="0E134389" w14:textId="77777777" w:rsidR="006E10D4" w:rsidRPr="006E10D4" w:rsidRDefault="006E10D4" w:rsidP="00905CC9">
            <w:pPr>
              <w:keepNext w:val="0"/>
              <w:spacing w:before="0"/>
              <w:ind w:left="720"/>
              <w:contextualSpacing/>
              <w:jc w:val="left"/>
              <w:rPr>
                <w:rFonts w:cs="Arial"/>
                <w:bCs/>
                <w:color w:val="auto"/>
              </w:rPr>
            </w:pPr>
          </w:p>
          <w:p w14:paraId="14129CF7" w14:textId="77777777" w:rsidR="006E10D4" w:rsidRPr="006E10D4" w:rsidRDefault="006E10D4" w:rsidP="00874A98">
            <w:pPr>
              <w:keepNext w:val="0"/>
              <w:numPr>
                <w:ilvl w:val="0"/>
                <w:numId w:val="179"/>
              </w:numPr>
              <w:autoSpaceDE w:val="0"/>
              <w:autoSpaceDN w:val="0"/>
              <w:adjustRightInd w:val="0"/>
              <w:spacing w:before="0"/>
              <w:contextualSpacing/>
              <w:jc w:val="left"/>
              <w:rPr>
                <w:rFonts w:cs="Arial"/>
                <w:bCs/>
                <w:color w:val="auto"/>
              </w:rPr>
            </w:pPr>
            <w:r w:rsidRPr="006E10D4">
              <w:rPr>
                <w:rFonts w:cs="Arial"/>
                <w:bCs/>
                <w:color w:val="auto"/>
                <w:szCs w:val="24"/>
              </w:rPr>
              <w:t xml:space="preserve">set out and justify the methodology, the inputs and assumptions applied in the assessment; </w:t>
            </w:r>
          </w:p>
          <w:p w14:paraId="291C7112" w14:textId="77777777" w:rsidR="006E10D4" w:rsidRPr="006E10D4" w:rsidRDefault="006E10D4" w:rsidP="00874A98">
            <w:pPr>
              <w:keepNext w:val="0"/>
              <w:numPr>
                <w:ilvl w:val="0"/>
                <w:numId w:val="179"/>
              </w:numPr>
              <w:autoSpaceDE w:val="0"/>
              <w:autoSpaceDN w:val="0"/>
              <w:adjustRightInd w:val="0"/>
              <w:spacing w:before="0" w:after="160" w:line="252" w:lineRule="auto"/>
              <w:contextualSpacing/>
              <w:jc w:val="left"/>
              <w:rPr>
                <w:rFonts w:cs="Arial"/>
                <w:bCs/>
                <w:color w:val="auto"/>
              </w:rPr>
            </w:pPr>
            <w:r w:rsidRPr="006E10D4">
              <w:rPr>
                <w:rFonts w:cs="Arial"/>
                <w:bCs/>
                <w:color w:val="auto"/>
                <w:szCs w:val="24"/>
              </w:rPr>
              <w:t>apply sensitivity analysis and/or scenario analysis of the results; and</w:t>
            </w:r>
          </w:p>
          <w:p w14:paraId="432A8200" w14:textId="77777777" w:rsidR="006E10D4" w:rsidRPr="006E10D4" w:rsidRDefault="006E10D4" w:rsidP="00874A98">
            <w:pPr>
              <w:keepNext w:val="0"/>
              <w:numPr>
                <w:ilvl w:val="0"/>
                <w:numId w:val="179"/>
              </w:numPr>
              <w:autoSpaceDE w:val="0"/>
              <w:autoSpaceDN w:val="0"/>
              <w:adjustRightInd w:val="0"/>
              <w:spacing w:before="0" w:after="160" w:line="252" w:lineRule="auto"/>
              <w:contextualSpacing/>
              <w:jc w:val="left"/>
              <w:rPr>
                <w:rFonts w:cs="Arial"/>
                <w:bCs/>
                <w:color w:val="auto"/>
              </w:rPr>
            </w:pPr>
            <w:r w:rsidRPr="006E10D4">
              <w:rPr>
                <w:rFonts w:cs="Arial"/>
                <w:bCs/>
                <w:color w:val="auto"/>
                <w:szCs w:val="24"/>
              </w:rPr>
              <w:t>set out an explanation and interpretation of the viability calculations and results have regard to risk and returns.</w:t>
            </w:r>
          </w:p>
          <w:p w14:paraId="50CA1842" w14:textId="77777777" w:rsidR="006E10D4" w:rsidRPr="006E10D4" w:rsidRDefault="006E10D4" w:rsidP="00905CC9">
            <w:pPr>
              <w:keepNext w:val="0"/>
              <w:autoSpaceDE w:val="0"/>
              <w:autoSpaceDN w:val="0"/>
              <w:adjustRightInd w:val="0"/>
              <w:spacing w:before="0"/>
              <w:ind w:left="426"/>
              <w:jc w:val="left"/>
              <w:rPr>
                <w:rFonts w:cs="Arial"/>
                <w:bCs/>
                <w:color w:val="auto"/>
                <w:szCs w:val="24"/>
              </w:rPr>
            </w:pPr>
          </w:p>
          <w:p w14:paraId="74118925" w14:textId="77777777" w:rsidR="006E10D4" w:rsidRPr="006E10D4" w:rsidRDefault="006E10D4" w:rsidP="00905CC9">
            <w:pPr>
              <w:keepNext w:val="0"/>
              <w:autoSpaceDE w:val="0"/>
              <w:autoSpaceDN w:val="0"/>
              <w:adjustRightInd w:val="0"/>
              <w:spacing w:before="0"/>
              <w:ind w:left="426"/>
              <w:jc w:val="left"/>
              <w:rPr>
                <w:rFonts w:cs="Arial"/>
                <w:bCs/>
                <w:color w:val="auto"/>
                <w:szCs w:val="24"/>
              </w:rPr>
            </w:pPr>
            <w:r w:rsidRPr="006E10D4">
              <w:rPr>
                <w:rFonts w:cs="Arial"/>
                <w:bCs/>
                <w:color w:val="auto"/>
                <w:szCs w:val="24"/>
              </w:rPr>
              <w:t xml:space="preserve">Any viability assessment to support an application will be tested by a viability specialist appointed by the Council with the cost of the assessment being met by the applicant.  </w:t>
            </w:r>
          </w:p>
          <w:p w14:paraId="5FC7433B" w14:textId="77777777" w:rsidR="006E10D4" w:rsidRPr="006E10D4" w:rsidRDefault="006E10D4" w:rsidP="00905CC9">
            <w:pPr>
              <w:keepNext w:val="0"/>
              <w:spacing w:before="0" w:after="160" w:line="252" w:lineRule="auto"/>
              <w:ind w:left="720"/>
              <w:contextualSpacing/>
              <w:jc w:val="left"/>
              <w:rPr>
                <w:rFonts w:cs="Arial"/>
                <w:bCs/>
                <w:color w:val="auto"/>
              </w:rPr>
            </w:pPr>
          </w:p>
          <w:p w14:paraId="7A6B12C2" w14:textId="77777777" w:rsidR="006E10D4" w:rsidRPr="006E10D4" w:rsidRDefault="006E10D4" w:rsidP="00874A98">
            <w:pPr>
              <w:keepNext w:val="0"/>
              <w:numPr>
                <w:ilvl w:val="0"/>
                <w:numId w:val="180"/>
              </w:numPr>
              <w:autoSpaceDE w:val="0"/>
              <w:autoSpaceDN w:val="0"/>
              <w:adjustRightInd w:val="0"/>
              <w:spacing w:before="0" w:after="160" w:line="252" w:lineRule="auto"/>
              <w:contextualSpacing/>
              <w:jc w:val="left"/>
              <w:rPr>
                <w:rFonts w:cs="Arial"/>
                <w:bCs/>
                <w:color w:val="auto"/>
              </w:rPr>
            </w:pPr>
            <w:r w:rsidRPr="006E10D4">
              <w:rPr>
                <w:rFonts w:cs="Arial"/>
                <w:bCs/>
                <w:color w:val="auto"/>
              </w:rPr>
              <w:t xml:space="preserve">In considering the viability assessment, regard will be had to national planning policy guidance on viability and other guidance issues issued by the professional bodies such as the RICS and RTPI.   </w:t>
            </w:r>
          </w:p>
          <w:p w14:paraId="78BBA4FE" w14:textId="77777777" w:rsidR="006E10D4" w:rsidRPr="006E10D4" w:rsidRDefault="006E10D4" w:rsidP="00905CC9">
            <w:pPr>
              <w:keepNext w:val="0"/>
              <w:autoSpaceDE w:val="0"/>
              <w:autoSpaceDN w:val="0"/>
              <w:adjustRightInd w:val="0"/>
              <w:spacing w:before="0"/>
              <w:ind w:left="360"/>
              <w:contextualSpacing/>
              <w:jc w:val="left"/>
              <w:rPr>
                <w:rFonts w:cs="Arial"/>
                <w:bCs/>
                <w:color w:val="auto"/>
              </w:rPr>
            </w:pPr>
          </w:p>
          <w:p w14:paraId="51B5A2AD" w14:textId="77777777" w:rsidR="006E10D4" w:rsidRPr="006E10D4" w:rsidRDefault="006E10D4" w:rsidP="00874A98">
            <w:pPr>
              <w:keepNext w:val="0"/>
              <w:numPr>
                <w:ilvl w:val="0"/>
                <w:numId w:val="180"/>
              </w:numPr>
              <w:autoSpaceDE w:val="0"/>
              <w:autoSpaceDN w:val="0"/>
              <w:adjustRightInd w:val="0"/>
              <w:spacing w:before="0" w:after="160" w:line="252" w:lineRule="auto"/>
              <w:contextualSpacing/>
              <w:jc w:val="left"/>
              <w:rPr>
                <w:rFonts w:cs="Arial"/>
                <w:bCs/>
                <w:color w:val="auto"/>
              </w:rPr>
            </w:pPr>
            <w:r w:rsidRPr="006E10D4">
              <w:rPr>
                <w:rFonts w:cs="Arial"/>
                <w:bCs/>
                <w:color w:val="auto"/>
              </w:rPr>
              <w:t xml:space="preserve">Where appropriate, if planning contributions are reduced below the requirements set out in Local Plan policies on major developments, the developer will be required to enter into an agreement on how policy compliance on those contributions can be sought to be achieved over the lifetime of the project.     </w:t>
            </w:r>
          </w:p>
          <w:p w14:paraId="402EB12C" w14:textId="77777777" w:rsidR="006E10D4" w:rsidRPr="006E10D4" w:rsidRDefault="006E10D4" w:rsidP="00905CC9">
            <w:pPr>
              <w:keepNext w:val="0"/>
              <w:spacing w:before="0" w:after="160" w:line="252" w:lineRule="auto"/>
              <w:ind w:left="720"/>
              <w:contextualSpacing/>
              <w:jc w:val="left"/>
              <w:rPr>
                <w:rFonts w:cs="Arial"/>
                <w:bCs/>
                <w:color w:val="auto"/>
                <w:szCs w:val="24"/>
              </w:rPr>
            </w:pPr>
          </w:p>
          <w:p w14:paraId="5A4FB528" w14:textId="77777777" w:rsidR="006E10D4" w:rsidRPr="006E10D4" w:rsidRDefault="006E10D4" w:rsidP="00874A98">
            <w:pPr>
              <w:keepNext w:val="0"/>
              <w:numPr>
                <w:ilvl w:val="0"/>
                <w:numId w:val="180"/>
              </w:numPr>
              <w:autoSpaceDE w:val="0"/>
              <w:autoSpaceDN w:val="0"/>
              <w:adjustRightInd w:val="0"/>
              <w:spacing w:before="0" w:after="160" w:line="252" w:lineRule="auto"/>
              <w:contextualSpacing/>
              <w:jc w:val="left"/>
              <w:rPr>
                <w:rFonts w:cs="Arial"/>
                <w:bCs/>
                <w:color w:val="auto"/>
              </w:rPr>
            </w:pPr>
            <w:r w:rsidRPr="006E10D4">
              <w:rPr>
                <w:rFonts w:cs="Arial"/>
                <w:bCs/>
                <w:color w:val="auto"/>
                <w:szCs w:val="24"/>
              </w:rPr>
              <w:t>The Council will consider the timing and level of planning obligations that can be supported as a part of the viability assessment process.  Where safeguards are necessary to make a development acceptable in planning terms and these cannot be secured, planning permission will be refused.</w:t>
            </w:r>
          </w:p>
          <w:p w14:paraId="3EE5A702" w14:textId="77777777" w:rsidR="006E10D4" w:rsidRPr="006E10D4" w:rsidRDefault="006E10D4" w:rsidP="00905CC9">
            <w:pPr>
              <w:keepNext w:val="0"/>
              <w:spacing w:before="0" w:after="160" w:line="252" w:lineRule="auto"/>
              <w:ind w:left="720"/>
              <w:contextualSpacing/>
              <w:jc w:val="left"/>
              <w:rPr>
                <w:rFonts w:cs="Arial"/>
                <w:bCs/>
                <w:color w:val="auto"/>
              </w:rPr>
            </w:pPr>
          </w:p>
          <w:p w14:paraId="0B44CBA6" w14:textId="77777777" w:rsidR="006E10D4" w:rsidRPr="006E10D4" w:rsidRDefault="006E10D4" w:rsidP="00874A98">
            <w:pPr>
              <w:keepNext w:val="0"/>
              <w:numPr>
                <w:ilvl w:val="0"/>
                <w:numId w:val="180"/>
              </w:numPr>
              <w:autoSpaceDE w:val="0"/>
              <w:autoSpaceDN w:val="0"/>
              <w:adjustRightInd w:val="0"/>
              <w:spacing w:before="0" w:after="160" w:line="252" w:lineRule="auto"/>
              <w:contextualSpacing/>
              <w:jc w:val="left"/>
              <w:rPr>
                <w:rFonts w:cs="Arial"/>
                <w:bCs/>
                <w:color w:val="auto"/>
              </w:rPr>
            </w:pPr>
            <w:r w:rsidRPr="006E10D4">
              <w:rPr>
                <w:rFonts w:cs="Arial"/>
                <w:bCs/>
                <w:color w:val="auto"/>
              </w:rPr>
              <w:t xml:space="preserve">A viability assessment should be prepared on the basis that </w:t>
            </w:r>
            <w:r w:rsidRPr="006E10D4">
              <w:rPr>
                <w:rFonts w:cs="Arial"/>
                <w:bCs/>
                <w:strike/>
                <w:color w:val="auto"/>
              </w:rPr>
              <w:t>i</w:t>
            </w:r>
            <w:r w:rsidRPr="006E10D4">
              <w:rPr>
                <w:rFonts w:cs="Arial"/>
                <w:bCs/>
                <w:color w:val="auto"/>
              </w:rPr>
              <w:t xml:space="preserve">t will be made publicly available. If any aspects of the assessment </w:t>
            </w:r>
            <w:proofErr w:type="gramStart"/>
            <w:r w:rsidRPr="006E10D4">
              <w:rPr>
                <w:rFonts w:cs="Arial"/>
                <w:bCs/>
                <w:color w:val="auto"/>
              </w:rPr>
              <w:t>are considered to be</w:t>
            </w:r>
            <w:proofErr w:type="gramEnd"/>
            <w:r w:rsidRPr="006E10D4">
              <w:rPr>
                <w:rFonts w:cs="Arial"/>
                <w:bCs/>
                <w:color w:val="auto"/>
              </w:rPr>
              <w:t xml:space="preserve"> commercial </w:t>
            </w:r>
            <w:r w:rsidRPr="006E10D4">
              <w:rPr>
                <w:rFonts w:cs="Arial"/>
                <w:bCs/>
                <w:color w:val="auto"/>
              </w:rPr>
              <w:lastRenderedPageBreak/>
              <w:t>sensitive the developer should agree with the Council what information will release and in what format.</w:t>
            </w:r>
          </w:p>
          <w:p w14:paraId="69456390" w14:textId="77777777" w:rsidR="006E10D4" w:rsidRPr="006E10D4" w:rsidRDefault="006E10D4" w:rsidP="00905CC9">
            <w:pPr>
              <w:keepNext w:val="0"/>
              <w:spacing w:before="0" w:after="160" w:line="252" w:lineRule="auto"/>
              <w:ind w:left="720"/>
              <w:contextualSpacing/>
              <w:jc w:val="left"/>
              <w:rPr>
                <w:rFonts w:cs="Arial"/>
                <w:bCs/>
                <w:color w:val="auto"/>
              </w:rPr>
            </w:pPr>
          </w:p>
          <w:p w14:paraId="2609775C" w14:textId="77777777" w:rsidR="006E10D4" w:rsidRPr="006E10D4" w:rsidRDefault="006E10D4" w:rsidP="00905CC9">
            <w:pPr>
              <w:keepNext w:val="0"/>
              <w:autoSpaceDE w:val="0"/>
              <w:autoSpaceDN w:val="0"/>
              <w:adjustRightInd w:val="0"/>
              <w:spacing w:before="0"/>
              <w:jc w:val="left"/>
              <w:rPr>
                <w:rFonts w:cs="Arial"/>
                <w:bCs/>
                <w:color w:val="auto"/>
              </w:rPr>
            </w:pPr>
            <w:r w:rsidRPr="006E10D4">
              <w:rPr>
                <w:rFonts w:cs="Arial"/>
                <w:bCs/>
                <w:color w:val="auto"/>
              </w:rPr>
              <w:t xml:space="preserve">Lack of Demand </w:t>
            </w:r>
          </w:p>
          <w:p w14:paraId="5434DB6A" w14:textId="77777777" w:rsidR="006E10D4" w:rsidRPr="006E10D4" w:rsidRDefault="006E10D4" w:rsidP="00905CC9">
            <w:pPr>
              <w:keepNext w:val="0"/>
              <w:autoSpaceDE w:val="0"/>
              <w:autoSpaceDN w:val="0"/>
              <w:adjustRightInd w:val="0"/>
              <w:spacing w:before="0"/>
              <w:jc w:val="left"/>
              <w:rPr>
                <w:rFonts w:cs="Arial"/>
                <w:bCs/>
                <w:color w:val="auto"/>
              </w:rPr>
            </w:pPr>
          </w:p>
          <w:p w14:paraId="0AD246EE" w14:textId="77777777" w:rsidR="006E10D4" w:rsidRPr="006E10D4" w:rsidRDefault="006E10D4" w:rsidP="00874A98">
            <w:pPr>
              <w:keepNext w:val="0"/>
              <w:numPr>
                <w:ilvl w:val="0"/>
                <w:numId w:val="180"/>
              </w:numPr>
              <w:autoSpaceDE w:val="0"/>
              <w:autoSpaceDN w:val="0"/>
              <w:adjustRightInd w:val="0"/>
              <w:spacing w:before="0" w:after="160" w:line="252" w:lineRule="auto"/>
              <w:contextualSpacing/>
              <w:jc w:val="left"/>
              <w:rPr>
                <w:rFonts w:cs="Arial"/>
                <w:bCs/>
                <w:color w:val="auto"/>
              </w:rPr>
            </w:pPr>
            <w:r w:rsidRPr="006E10D4">
              <w:rPr>
                <w:rFonts w:cs="Arial"/>
                <w:bCs/>
                <w:color w:val="auto"/>
                <w:szCs w:val="24"/>
              </w:rPr>
              <w:t>Where policies in the Local Plan or national planning policy require the demonstration of a lack of demand for a building or site, the Council will require the applicant to demonstrate:</w:t>
            </w:r>
          </w:p>
          <w:p w14:paraId="3FF7CEA2" w14:textId="77777777" w:rsidR="006E10D4" w:rsidRPr="006E10D4" w:rsidRDefault="006E10D4" w:rsidP="00905CC9">
            <w:pPr>
              <w:keepNext w:val="0"/>
              <w:autoSpaceDE w:val="0"/>
              <w:autoSpaceDN w:val="0"/>
              <w:adjustRightInd w:val="0"/>
              <w:spacing w:before="0"/>
              <w:ind w:left="426"/>
              <w:jc w:val="left"/>
              <w:rPr>
                <w:rFonts w:cs="Arial"/>
                <w:bCs/>
                <w:color w:val="auto"/>
                <w:szCs w:val="24"/>
              </w:rPr>
            </w:pPr>
          </w:p>
          <w:p w14:paraId="20BF0335" w14:textId="77777777" w:rsidR="006E10D4" w:rsidRPr="006E10D4" w:rsidRDefault="006E10D4" w:rsidP="00874A98">
            <w:pPr>
              <w:keepNext w:val="0"/>
              <w:numPr>
                <w:ilvl w:val="0"/>
                <w:numId w:val="181"/>
              </w:numPr>
              <w:autoSpaceDE w:val="0"/>
              <w:autoSpaceDN w:val="0"/>
              <w:adjustRightInd w:val="0"/>
              <w:spacing w:before="0" w:after="160" w:line="252" w:lineRule="auto"/>
              <w:contextualSpacing/>
              <w:jc w:val="left"/>
              <w:rPr>
                <w:rFonts w:cs="Arial"/>
                <w:bCs/>
                <w:color w:val="auto"/>
                <w:szCs w:val="24"/>
              </w:rPr>
            </w:pPr>
            <w:r w:rsidRPr="006E10D4">
              <w:rPr>
                <w:rFonts w:cs="Arial"/>
                <w:bCs/>
                <w:color w:val="auto"/>
                <w:szCs w:val="24"/>
              </w:rPr>
              <w:t>the building or site has been openly marketed for an appropriate period at an appropriate asking price, and there is no demand for the proposed use, and</w:t>
            </w:r>
          </w:p>
          <w:p w14:paraId="5AEAC060" w14:textId="77777777" w:rsidR="006E10D4" w:rsidRPr="006E10D4" w:rsidRDefault="006E10D4" w:rsidP="00905CC9">
            <w:pPr>
              <w:keepNext w:val="0"/>
              <w:autoSpaceDE w:val="0"/>
              <w:autoSpaceDN w:val="0"/>
              <w:adjustRightInd w:val="0"/>
              <w:spacing w:before="0"/>
              <w:ind w:left="720"/>
              <w:contextualSpacing/>
              <w:jc w:val="left"/>
              <w:rPr>
                <w:rFonts w:cs="Arial"/>
                <w:bCs/>
                <w:color w:val="auto"/>
                <w:szCs w:val="24"/>
              </w:rPr>
            </w:pPr>
          </w:p>
          <w:p w14:paraId="77DEDF3A" w14:textId="77777777" w:rsidR="006E10D4" w:rsidRDefault="006E10D4" w:rsidP="00874A98">
            <w:pPr>
              <w:keepNext w:val="0"/>
              <w:numPr>
                <w:ilvl w:val="0"/>
                <w:numId w:val="181"/>
              </w:numPr>
              <w:autoSpaceDE w:val="0"/>
              <w:autoSpaceDN w:val="0"/>
              <w:adjustRightInd w:val="0"/>
              <w:spacing w:before="0" w:after="160" w:line="252" w:lineRule="auto"/>
              <w:contextualSpacing/>
              <w:jc w:val="left"/>
              <w:rPr>
                <w:rFonts w:cs="Arial"/>
                <w:bCs/>
                <w:color w:val="auto"/>
                <w:szCs w:val="24"/>
              </w:rPr>
            </w:pPr>
            <w:r w:rsidRPr="006E10D4">
              <w:rPr>
                <w:rFonts w:eastAsia="Arial" w:cs="Arial"/>
                <w:bCs/>
                <w:color w:val="auto"/>
              </w:rPr>
              <w:t>Re-development of the building or land for the existing use is not viable on the site</w:t>
            </w:r>
            <w:r w:rsidRPr="006E10D4">
              <w:rPr>
                <w:rFonts w:cs="Arial"/>
                <w:bCs/>
                <w:color w:val="auto"/>
                <w:szCs w:val="24"/>
              </w:rPr>
              <w:t>.</w:t>
            </w:r>
          </w:p>
          <w:p w14:paraId="4B096AE6" w14:textId="210FD804" w:rsidR="006E10D4" w:rsidRPr="006E10D4" w:rsidRDefault="006E10D4" w:rsidP="00905CC9">
            <w:pPr>
              <w:keepNext w:val="0"/>
              <w:autoSpaceDE w:val="0"/>
              <w:autoSpaceDN w:val="0"/>
              <w:adjustRightInd w:val="0"/>
              <w:spacing w:before="0" w:after="160" w:line="252" w:lineRule="auto"/>
              <w:contextualSpacing/>
              <w:jc w:val="left"/>
              <w:rPr>
                <w:rFonts w:cs="Arial"/>
                <w:bCs/>
                <w:color w:val="auto"/>
                <w:szCs w:val="24"/>
              </w:rPr>
            </w:pPr>
          </w:p>
        </w:tc>
      </w:tr>
      <w:bookmarkEnd w:id="312"/>
      <w:tr w:rsidR="006E10D4" w:rsidRPr="006E10D4" w14:paraId="2D266393" w14:textId="77777777" w:rsidTr="00163F59">
        <w:tc>
          <w:tcPr>
            <w:tcW w:w="2405" w:type="dxa"/>
          </w:tcPr>
          <w:p w14:paraId="475951A0" w14:textId="77777777" w:rsidR="006E10D4" w:rsidRPr="006E10D4" w:rsidRDefault="006E10D4" w:rsidP="007075B1">
            <w:pPr>
              <w:keepNext w:val="0"/>
              <w:tabs>
                <w:tab w:val="left" w:pos="680"/>
                <w:tab w:val="left" w:pos="1133"/>
                <w:tab w:val="left" w:pos="2267"/>
              </w:tabs>
              <w:spacing w:before="0"/>
              <w:ind w:right="284"/>
              <w:jc w:val="left"/>
              <w:rPr>
                <w:rFonts w:eastAsia="Arial"/>
                <w:b/>
                <w:color w:val="7030A0"/>
                <w:szCs w:val="24"/>
              </w:rPr>
            </w:pPr>
            <w:r w:rsidRPr="006E10D4">
              <w:rPr>
                <w:rFonts w:eastAsia="Arial" w:cs="Arial"/>
                <w:bCs/>
                <w:color w:val="auto"/>
                <w:sz w:val="20"/>
              </w:rPr>
              <w:lastRenderedPageBreak/>
              <w:t>Evidence base</w:t>
            </w:r>
          </w:p>
        </w:tc>
        <w:tc>
          <w:tcPr>
            <w:tcW w:w="7229" w:type="dxa"/>
            <w:gridSpan w:val="2"/>
          </w:tcPr>
          <w:p w14:paraId="489D3EA4" w14:textId="5FB51F3C" w:rsidR="006E10D4" w:rsidRPr="00DB05C3" w:rsidRDefault="006E10D4" w:rsidP="007075B1">
            <w:pPr>
              <w:keepNext w:val="0"/>
              <w:numPr>
                <w:ilvl w:val="0"/>
                <w:numId w:val="39"/>
              </w:numPr>
              <w:tabs>
                <w:tab w:val="left" w:pos="680"/>
                <w:tab w:val="left" w:pos="1133"/>
                <w:tab w:val="left" w:pos="2267"/>
              </w:tabs>
              <w:spacing w:before="0" w:after="160" w:line="252" w:lineRule="auto"/>
              <w:ind w:right="284"/>
              <w:contextualSpacing/>
              <w:jc w:val="left"/>
              <w:rPr>
                <w:rFonts w:eastAsia="Arial" w:cs="Arial"/>
                <w:bCs/>
                <w:color w:val="auto"/>
                <w:sz w:val="20"/>
              </w:rPr>
            </w:pPr>
            <w:r w:rsidRPr="006E10D4">
              <w:rPr>
                <w:rFonts w:eastAsia="Arial" w:cs="Arial"/>
                <w:bCs/>
                <w:color w:val="auto"/>
                <w:sz w:val="20"/>
              </w:rPr>
              <w:t xml:space="preserve">Sustainability Appraisal </w:t>
            </w:r>
            <w:r w:rsidRPr="00DB05C3">
              <w:rPr>
                <w:rFonts w:eastAsia="Arial" w:cs="Arial"/>
                <w:bCs/>
                <w:color w:val="auto"/>
                <w:sz w:val="20"/>
              </w:rPr>
              <w:t>202</w:t>
            </w:r>
            <w:r w:rsidR="00C1699D" w:rsidRPr="00DB05C3">
              <w:rPr>
                <w:rFonts w:eastAsia="Arial" w:cs="Arial"/>
                <w:bCs/>
                <w:color w:val="auto"/>
                <w:sz w:val="20"/>
              </w:rPr>
              <w:t>3</w:t>
            </w:r>
            <w:r w:rsidRPr="00DB05C3">
              <w:rPr>
                <w:rFonts w:eastAsia="Arial" w:cs="Arial"/>
                <w:bCs/>
                <w:color w:val="auto"/>
                <w:sz w:val="20"/>
              </w:rPr>
              <w:t xml:space="preserve">. </w:t>
            </w:r>
            <w:r w:rsidR="00C1699D" w:rsidRPr="00DB05C3">
              <w:rPr>
                <w:rFonts w:eastAsia="Arial" w:cs="Arial"/>
                <w:bCs/>
                <w:color w:val="auto"/>
                <w:sz w:val="20"/>
              </w:rPr>
              <w:t>WSP UK Limited</w:t>
            </w:r>
            <w:r w:rsidRPr="00DB05C3">
              <w:rPr>
                <w:rFonts w:eastAsia="Arial" w:cs="Arial"/>
                <w:bCs/>
                <w:color w:val="auto"/>
                <w:sz w:val="20"/>
              </w:rPr>
              <w:t>.</w:t>
            </w:r>
          </w:p>
          <w:p w14:paraId="5378F969" w14:textId="5A392E83" w:rsidR="006E10D4" w:rsidRPr="000E778B" w:rsidRDefault="006E10D4" w:rsidP="007075B1">
            <w:pPr>
              <w:keepNext w:val="0"/>
              <w:numPr>
                <w:ilvl w:val="0"/>
                <w:numId w:val="39"/>
              </w:numPr>
              <w:tabs>
                <w:tab w:val="left" w:pos="680"/>
                <w:tab w:val="left" w:pos="1133"/>
                <w:tab w:val="left" w:pos="2267"/>
              </w:tabs>
              <w:spacing w:before="0" w:after="160" w:line="252" w:lineRule="auto"/>
              <w:ind w:right="284"/>
              <w:contextualSpacing/>
              <w:jc w:val="left"/>
              <w:rPr>
                <w:rFonts w:eastAsia="Arial" w:cs="Arial"/>
                <w:bCs/>
                <w:color w:val="auto"/>
                <w:sz w:val="20"/>
              </w:rPr>
            </w:pPr>
            <w:r w:rsidRPr="000E778B">
              <w:rPr>
                <w:rFonts w:eastAsia="Arial" w:cs="Arial"/>
                <w:bCs/>
                <w:color w:val="auto"/>
                <w:sz w:val="20"/>
              </w:rPr>
              <w:t>Background Paper</w:t>
            </w:r>
            <w:r w:rsidR="007075B1" w:rsidRPr="000E778B">
              <w:rPr>
                <w:rFonts w:eastAsia="Arial" w:cs="Arial"/>
                <w:bCs/>
                <w:color w:val="auto"/>
                <w:sz w:val="20"/>
              </w:rPr>
              <w:t xml:space="preserve"> No </w:t>
            </w:r>
            <w:r w:rsidRPr="000E778B">
              <w:rPr>
                <w:rFonts w:eastAsia="Arial" w:cs="Arial"/>
                <w:bCs/>
                <w:color w:val="auto"/>
                <w:sz w:val="20"/>
              </w:rPr>
              <w:t>5</w:t>
            </w:r>
            <w:r w:rsidR="007075B1" w:rsidRPr="000E778B">
              <w:rPr>
                <w:rFonts w:eastAsia="Arial" w:cs="Arial"/>
                <w:bCs/>
                <w:color w:val="auto"/>
                <w:sz w:val="20"/>
              </w:rPr>
              <w:t>:</w:t>
            </w:r>
            <w:r w:rsidRPr="000E778B">
              <w:rPr>
                <w:rFonts w:eastAsia="Arial" w:cs="Arial"/>
                <w:bCs/>
                <w:color w:val="auto"/>
                <w:sz w:val="20"/>
              </w:rPr>
              <w:t xml:space="preserve"> Infrastructure Delivery</w:t>
            </w:r>
            <w:r w:rsidR="007075B1" w:rsidRPr="000E778B">
              <w:rPr>
                <w:rFonts w:eastAsia="Arial" w:cs="Arial"/>
                <w:bCs/>
                <w:color w:val="auto"/>
                <w:sz w:val="20"/>
              </w:rPr>
              <w:t xml:space="preserve"> 202</w:t>
            </w:r>
            <w:r w:rsidR="000E778B" w:rsidRPr="000E778B">
              <w:rPr>
                <w:rFonts w:eastAsia="Arial" w:cs="Arial"/>
                <w:bCs/>
                <w:color w:val="auto"/>
                <w:sz w:val="20"/>
              </w:rPr>
              <w:t>3</w:t>
            </w:r>
            <w:r w:rsidRPr="000E778B">
              <w:rPr>
                <w:rFonts w:eastAsia="Arial" w:cs="Arial"/>
                <w:bCs/>
                <w:color w:val="auto"/>
                <w:sz w:val="20"/>
              </w:rPr>
              <w:t>. Ashfield District Council</w:t>
            </w:r>
            <w:r w:rsidRPr="000E778B">
              <w:rPr>
                <w:rFonts w:cs="Arial"/>
                <w:color w:val="auto"/>
                <w:sz w:val="20"/>
              </w:rPr>
              <w:t>.</w:t>
            </w:r>
          </w:p>
          <w:p w14:paraId="63051732" w14:textId="18F59B0A" w:rsidR="006E10D4" w:rsidRPr="00DB05C3" w:rsidRDefault="006E10D4" w:rsidP="007075B1">
            <w:pPr>
              <w:keepNext w:val="0"/>
              <w:numPr>
                <w:ilvl w:val="0"/>
                <w:numId w:val="39"/>
              </w:numPr>
              <w:tabs>
                <w:tab w:val="left" w:pos="680"/>
                <w:tab w:val="left" w:pos="1133"/>
                <w:tab w:val="left" w:pos="2267"/>
              </w:tabs>
              <w:spacing w:before="0" w:after="160" w:line="252" w:lineRule="auto"/>
              <w:ind w:right="284"/>
              <w:contextualSpacing/>
              <w:jc w:val="left"/>
              <w:rPr>
                <w:rFonts w:eastAsia="Arial" w:cs="Arial"/>
                <w:bCs/>
                <w:color w:val="auto"/>
                <w:sz w:val="20"/>
              </w:rPr>
            </w:pPr>
            <w:r w:rsidRPr="00DB05C3">
              <w:rPr>
                <w:rFonts w:cs="Arial"/>
                <w:color w:val="auto"/>
                <w:sz w:val="20"/>
              </w:rPr>
              <w:t>Ashfield</w:t>
            </w:r>
            <w:r w:rsidR="0025538D" w:rsidRPr="00DB05C3">
              <w:rPr>
                <w:rFonts w:cs="Arial"/>
                <w:color w:val="auto"/>
                <w:sz w:val="20"/>
              </w:rPr>
              <w:t xml:space="preserve"> </w:t>
            </w:r>
            <w:r w:rsidR="00C1699D" w:rsidRPr="00DB05C3">
              <w:rPr>
                <w:rFonts w:cs="Arial"/>
                <w:color w:val="auto"/>
                <w:sz w:val="20"/>
              </w:rPr>
              <w:t>Whole Plan Viability Assessment</w:t>
            </w:r>
            <w:r w:rsidRPr="00DB05C3">
              <w:rPr>
                <w:rFonts w:cs="Arial"/>
                <w:color w:val="auto"/>
                <w:sz w:val="20"/>
              </w:rPr>
              <w:t>, 20</w:t>
            </w:r>
            <w:r w:rsidR="00C1699D" w:rsidRPr="00DB05C3">
              <w:rPr>
                <w:rFonts w:cs="Arial"/>
                <w:color w:val="auto"/>
                <w:sz w:val="20"/>
              </w:rPr>
              <w:t>23</w:t>
            </w:r>
            <w:r w:rsidRPr="00DB05C3">
              <w:rPr>
                <w:rFonts w:cs="Arial"/>
                <w:color w:val="auto"/>
                <w:sz w:val="20"/>
              </w:rPr>
              <w:t>.  Nationwide CIL Service.</w:t>
            </w:r>
          </w:p>
          <w:p w14:paraId="5557C223" w14:textId="77777777" w:rsidR="006E10D4" w:rsidRPr="006E10D4" w:rsidRDefault="006E10D4" w:rsidP="007075B1">
            <w:pPr>
              <w:keepNext w:val="0"/>
              <w:numPr>
                <w:ilvl w:val="0"/>
                <w:numId w:val="39"/>
              </w:numPr>
              <w:tabs>
                <w:tab w:val="left" w:pos="680"/>
                <w:tab w:val="left" w:pos="1133"/>
                <w:tab w:val="left" w:pos="2267"/>
              </w:tabs>
              <w:spacing w:before="0" w:after="160" w:line="252" w:lineRule="auto"/>
              <w:ind w:right="284"/>
              <w:contextualSpacing/>
              <w:jc w:val="left"/>
              <w:rPr>
                <w:rFonts w:eastAsia="Arial" w:cs="Arial"/>
                <w:bCs/>
                <w:color w:val="auto"/>
                <w:sz w:val="20"/>
              </w:rPr>
            </w:pPr>
            <w:r w:rsidRPr="00DB05C3">
              <w:rPr>
                <w:rFonts w:eastAsia="Arial" w:cs="Arial"/>
                <w:bCs/>
                <w:color w:val="auto"/>
                <w:sz w:val="20"/>
              </w:rPr>
              <w:t xml:space="preserve">Guidance Note </w:t>
            </w:r>
            <w:r w:rsidRPr="006E10D4">
              <w:rPr>
                <w:rFonts w:eastAsia="Arial" w:cs="Arial"/>
                <w:bCs/>
                <w:color w:val="auto"/>
                <w:sz w:val="20"/>
              </w:rPr>
              <w:t>- Assessing Viability in planning under the National Planning Policy Framework 2019 for England, 1</w:t>
            </w:r>
            <w:r w:rsidRPr="006E10D4">
              <w:rPr>
                <w:rFonts w:eastAsia="Arial" w:cs="Arial"/>
                <w:bCs/>
                <w:color w:val="auto"/>
                <w:sz w:val="20"/>
                <w:vertAlign w:val="superscript"/>
              </w:rPr>
              <w:t>st</w:t>
            </w:r>
            <w:r w:rsidRPr="006E10D4">
              <w:rPr>
                <w:rFonts w:eastAsia="Arial" w:cs="Arial"/>
                <w:bCs/>
                <w:color w:val="auto"/>
                <w:sz w:val="20"/>
              </w:rPr>
              <w:t xml:space="preserve"> Edition 2021.  RICS</w:t>
            </w:r>
          </w:p>
          <w:p w14:paraId="22BFA4EA" w14:textId="77777777" w:rsidR="006E10D4" w:rsidRPr="006E10D4" w:rsidRDefault="006E10D4" w:rsidP="007075B1">
            <w:pPr>
              <w:keepNext w:val="0"/>
              <w:numPr>
                <w:ilvl w:val="0"/>
                <w:numId w:val="39"/>
              </w:numPr>
              <w:tabs>
                <w:tab w:val="left" w:pos="680"/>
                <w:tab w:val="left" w:pos="1133"/>
                <w:tab w:val="left" w:pos="2267"/>
              </w:tabs>
              <w:spacing w:before="0" w:after="160" w:line="252" w:lineRule="auto"/>
              <w:ind w:right="284"/>
              <w:contextualSpacing/>
              <w:jc w:val="left"/>
              <w:rPr>
                <w:rFonts w:eastAsia="Arial" w:cs="Arial"/>
                <w:bCs/>
                <w:color w:val="auto"/>
                <w:sz w:val="20"/>
              </w:rPr>
            </w:pPr>
            <w:r w:rsidRPr="006E10D4">
              <w:rPr>
                <w:rFonts w:eastAsia="Arial" w:cs="Arial"/>
                <w:bCs/>
                <w:color w:val="auto"/>
                <w:sz w:val="20"/>
              </w:rPr>
              <w:t>Viability Testing Local Plans Advice for planning practitioners, 2012. Local Housing Delivery Group Chaired by Sir John Harman.</w:t>
            </w:r>
          </w:p>
        </w:tc>
      </w:tr>
      <w:tr w:rsidR="006E10D4" w:rsidRPr="006E10D4" w14:paraId="0AA1E47E" w14:textId="77777777" w:rsidTr="00163F59">
        <w:tc>
          <w:tcPr>
            <w:tcW w:w="2405" w:type="dxa"/>
          </w:tcPr>
          <w:p w14:paraId="34C6CB94" w14:textId="77777777" w:rsidR="006E10D4" w:rsidRPr="006E10D4" w:rsidRDefault="006E10D4" w:rsidP="007075B1">
            <w:pPr>
              <w:keepNext w:val="0"/>
              <w:tabs>
                <w:tab w:val="left" w:pos="680"/>
                <w:tab w:val="left" w:pos="1133"/>
                <w:tab w:val="left" w:pos="2267"/>
              </w:tabs>
              <w:spacing w:before="0"/>
              <w:ind w:right="284"/>
              <w:jc w:val="left"/>
              <w:rPr>
                <w:rFonts w:eastAsia="Arial"/>
                <w:b/>
                <w:color w:val="auto"/>
                <w:sz w:val="22"/>
              </w:rPr>
            </w:pPr>
            <w:r w:rsidRPr="006E10D4">
              <w:rPr>
                <w:rFonts w:eastAsia="Arial" w:cs="Arial"/>
                <w:bCs/>
                <w:color w:val="auto"/>
                <w:sz w:val="20"/>
              </w:rPr>
              <w:t>National Planning Policy &amp; Guidance</w:t>
            </w:r>
          </w:p>
        </w:tc>
        <w:tc>
          <w:tcPr>
            <w:tcW w:w="7229" w:type="dxa"/>
            <w:gridSpan w:val="2"/>
          </w:tcPr>
          <w:p w14:paraId="497CCA0D" w14:textId="5D829D13" w:rsidR="006E10D4" w:rsidRPr="006E10D4" w:rsidRDefault="006E10D4" w:rsidP="007075B1">
            <w:pPr>
              <w:keepNext w:val="0"/>
              <w:numPr>
                <w:ilvl w:val="0"/>
                <w:numId w:val="39"/>
              </w:numPr>
              <w:spacing w:before="0"/>
              <w:ind w:left="357" w:hanging="357"/>
              <w:jc w:val="left"/>
              <w:rPr>
                <w:rFonts w:cs="Arial"/>
                <w:color w:val="auto"/>
                <w:sz w:val="22"/>
              </w:rPr>
            </w:pPr>
            <w:r w:rsidRPr="006E10D4">
              <w:rPr>
                <w:rFonts w:eastAsia="Arial" w:cs="Arial"/>
                <w:bCs/>
                <w:color w:val="auto"/>
                <w:sz w:val="20"/>
              </w:rPr>
              <w:t>NPPF 202</w:t>
            </w:r>
            <w:r w:rsidR="004173E0">
              <w:rPr>
                <w:rFonts w:eastAsia="Arial" w:cs="Arial"/>
                <w:bCs/>
                <w:color w:val="auto"/>
                <w:sz w:val="20"/>
              </w:rPr>
              <w:t>3</w:t>
            </w:r>
            <w:r w:rsidRPr="006E10D4">
              <w:rPr>
                <w:rFonts w:eastAsia="Arial" w:cs="Arial"/>
                <w:bCs/>
                <w:color w:val="auto"/>
                <w:sz w:val="20"/>
              </w:rPr>
              <w:t>, Part 2: Achieving sustainable development.</w:t>
            </w:r>
          </w:p>
          <w:p w14:paraId="53603408" w14:textId="4168D211" w:rsidR="006E10D4" w:rsidRPr="006E10D4" w:rsidRDefault="006E10D4" w:rsidP="007075B1">
            <w:pPr>
              <w:keepNext w:val="0"/>
              <w:numPr>
                <w:ilvl w:val="0"/>
                <w:numId w:val="39"/>
              </w:numPr>
              <w:spacing w:before="0"/>
              <w:ind w:left="357" w:hanging="357"/>
              <w:jc w:val="left"/>
              <w:rPr>
                <w:rFonts w:cs="Arial"/>
                <w:color w:val="auto"/>
                <w:sz w:val="22"/>
              </w:rPr>
            </w:pPr>
            <w:r w:rsidRPr="006E10D4">
              <w:rPr>
                <w:rFonts w:cs="Arial"/>
                <w:color w:val="auto"/>
                <w:sz w:val="20"/>
              </w:rPr>
              <w:t>NPPF 202</w:t>
            </w:r>
            <w:r w:rsidR="004173E0">
              <w:rPr>
                <w:rFonts w:cs="Arial"/>
                <w:color w:val="auto"/>
                <w:sz w:val="20"/>
              </w:rPr>
              <w:t>3</w:t>
            </w:r>
            <w:r w:rsidRPr="006E10D4">
              <w:rPr>
                <w:rFonts w:cs="Arial"/>
                <w:color w:val="auto"/>
                <w:sz w:val="20"/>
              </w:rPr>
              <w:t>, Part 3: Plan making.</w:t>
            </w:r>
          </w:p>
          <w:p w14:paraId="2CB8F28C" w14:textId="2320B226" w:rsidR="006E10D4" w:rsidRPr="006E10D4" w:rsidRDefault="006E10D4" w:rsidP="007075B1">
            <w:pPr>
              <w:keepNext w:val="0"/>
              <w:numPr>
                <w:ilvl w:val="0"/>
                <w:numId w:val="39"/>
              </w:numPr>
              <w:spacing w:before="0"/>
              <w:ind w:left="357" w:hanging="357"/>
              <w:jc w:val="left"/>
              <w:rPr>
                <w:rFonts w:cs="Arial"/>
                <w:color w:val="auto"/>
                <w:sz w:val="22"/>
              </w:rPr>
            </w:pPr>
            <w:r w:rsidRPr="006E10D4">
              <w:rPr>
                <w:rFonts w:eastAsia="Arial" w:cs="Arial"/>
                <w:bCs/>
                <w:color w:val="auto"/>
                <w:sz w:val="20"/>
              </w:rPr>
              <w:t>NPPF 202</w:t>
            </w:r>
            <w:r w:rsidR="004173E0">
              <w:rPr>
                <w:rFonts w:eastAsia="Arial" w:cs="Arial"/>
                <w:bCs/>
                <w:color w:val="auto"/>
                <w:sz w:val="20"/>
              </w:rPr>
              <w:t>3</w:t>
            </w:r>
            <w:r w:rsidRPr="006E10D4">
              <w:rPr>
                <w:rFonts w:eastAsia="Arial" w:cs="Arial"/>
                <w:bCs/>
                <w:color w:val="auto"/>
                <w:sz w:val="20"/>
              </w:rPr>
              <w:t xml:space="preserve">, </w:t>
            </w:r>
            <w:r w:rsidRPr="006E10D4">
              <w:rPr>
                <w:rFonts w:cs="Arial"/>
                <w:color w:val="auto"/>
                <w:sz w:val="20"/>
              </w:rPr>
              <w:t>Part 4: Decision Making.</w:t>
            </w:r>
          </w:p>
          <w:p w14:paraId="4E3D9DF4" w14:textId="327B0796" w:rsidR="006E10D4" w:rsidRPr="006E10D4" w:rsidRDefault="006E10D4" w:rsidP="007075B1">
            <w:pPr>
              <w:keepNext w:val="0"/>
              <w:numPr>
                <w:ilvl w:val="0"/>
                <w:numId w:val="39"/>
              </w:numPr>
              <w:spacing w:before="0"/>
              <w:ind w:left="357" w:hanging="357"/>
              <w:jc w:val="left"/>
              <w:rPr>
                <w:rFonts w:cs="Arial"/>
                <w:color w:val="auto"/>
                <w:sz w:val="22"/>
              </w:rPr>
            </w:pPr>
            <w:r w:rsidRPr="006E10D4">
              <w:rPr>
                <w:rFonts w:eastAsia="Arial" w:cs="Arial"/>
                <w:bCs/>
                <w:color w:val="auto"/>
                <w:sz w:val="20"/>
              </w:rPr>
              <w:t>NPPF</w:t>
            </w:r>
            <w:r w:rsidRPr="006E10D4">
              <w:rPr>
                <w:rFonts w:cs="Arial"/>
                <w:color w:val="auto"/>
                <w:sz w:val="20"/>
              </w:rPr>
              <w:t xml:space="preserve"> 202</w:t>
            </w:r>
            <w:r w:rsidR="004173E0">
              <w:rPr>
                <w:rFonts w:cs="Arial"/>
                <w:color w:val="auto"/>
                <w:sz w:val="20"/>
              </w:rPr>
              <w:t>3</w:t>
            </w:r>
            <w:r w:rsidRPr="006E10D4">
              <w:rPr>
                <w:rFonts w:cs="Arial"/>
                <w:color w:val="auto"/>
                <w:sz w:val="20"/>
              </w:rPr>
              <w:t xml:space="preserve">, Part 5. </w:t>
            </w:r>
            <w:r w:rsidRPr="006E10D4">
              <w:rPr>
                <w:rFonts w:cs="Arial"/>
                <w:bCs/>
                <w:color w:val="auto"/>
                <w:sz w:val="20"/>
              </w:rPr>
              <w:t>Delivering a sufficient supply of homes.</w:t>
            </w:r>
            <w:r w:rsidRPr="006E10D4">
              <w:rPr>
                <w:rFonts w:cs="Arial"/>
                <w:color w:val="auto"/>
                <w:sz w:val="20"/>
              </w:rPr>
              <w:t xml:space="preserve"> </w:t>
            </w:r>
          </w:p>
          <w:p w14:paraId="2CE18337" w14:textId="6502535C" w:rsidR="006E10D4" w:rsidRPr="006E10D4" w:rsidRDefault="006E10D4" w:rsidP="007075B1">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6E10D4">
              <w:rPr>
                <w:rFonts w:eastAsia="Arial" w:cs="Arial"/>
                <w:bCs/>
                <w:color w:val="auto"/>
                <w:sz w:val="20"/>
              </w:rPr>
              <w:t>NPPF 202</w:t>
            </w:r>
            <w:r w:rsidR="004173E0">
              <w:rPr>
                <w:rFonts w:eastAsia="Arial" w:cs="Arial"/>
                <w:bCs/>
                <w:color w:val="auto"/>
                <w:sz w:val="20"/>
              </w:rPr>
              <w:t>3</w:t>
            </w:r>
            <w:r w:rsidRPr="006E10D4">
              <w:rPr>
                <w:rFonts w:eastAsia="Arial" w:cs="Arial"/>
                <w:bCs/>
                <w:color w:val="auto"/>
                <w:sz w:val="20"/>
              </w:rPr>
              <w:t xml:space="preserve">, Part 6: </w:t>
            </w:r>
            <w:r w:rsidRPr="006E10D4">
              <w:rPr>
                <w:rFonts w:cs="Arial"/>
                <w:bCs/>
                <w:color w:val="auto"/>
                <w:sz w:val="20"/>
              </w:rPr>
              <w:t>Building a strong, competitive economy.</w:t>
            </w:r>
          </w:p>
          <w:p w14:paraId="6273AC32" w14:textId="53B1D669" w:rsidR="006E10D4" w:rsidRPr="006E10D4" w:rsidRDefault="006E10D4" w:rsidP="007075B1">
            <w:pPr>
              <w:keepNext w:val="0"/>
              <w:numPr>
                <w:ilvl w:val="0"/>
                <w:numId w:val="35"/>
              </w:numPr>
              <w:tabs>
                <w:tab w:val="left" w:pos="680"/>
                <w:tab w:val="left" w:pos="1133"/>
                <w:tab w:val="left" w:pos="2267"/>
              </w:tabs>
              <w:spacing w:before="0" w:after="160" w:line="252" w:lineRule="auto"/>
              <w:ind w:right="284"/>
              <w:contextualSpacing/>
              <w:jc w:val="left"/>
              <w:rPr>
                <w:rFonts w:eastAsia="Arial" w:cs="Arial"/>
                <w:bCs/>
                <w:color w:val="auto"/>
                <w:sz w:val="20"/>
              </w:rPr>
            </w:pPr>
            <w:r w:rsidRPr="006E10D4">
              <w:rPr>
                <w:rFonts w:eastAsia="Arial" w:cs="Arial"/>
                <w:bCs/>
                <w:color w:val="auto"/>
                <w:sz w:val="20"/>
              </w:rPr>
              <w:t xml:space="preserve">Planning Practice Guidance: Viability as </w:t>
            </w:r>
            <w:r w:rsidRPr="00DB05C3">
              <w:rPr>
                <w:rFonts w:eastAsia="Arial" w:cs="Arial"/>
                <w:bCs/>
                <w:color w:val="auto"/>
                <w:sz w:val="20"/>
              </w:rPr>
              <w:t xml:space="preserve">of </w:t>
            </w:r>
            <w:r w:rsidR="00C1699D" w:rsidRPr="00DB05C3">
              <w:rPr>
                <w:rFonts w:eastAsia="Arial" w:cs="Arial"/>
                <w:bCs/>
                <w:color w:val="auto"/>
                <w:sz w:val="20"/>
              </w:rPr>
              <w:t>September 2019</w:t>
            </w:r>
            <w:r w:rsidRPr="00DB05C3">
              <w:rPr>
                <w:rFonts w:eastAsia="Arial" w:cs="Arial"/>
                <w:bCs/>
                <w:color w:val="auto"/>
                <w:sz w:val="20"/>
              </w:rPr>
              <w:t>.</w:t>
            </w:r>
          </w:p>
        </w:tc>
      </w:tr>
    </w:tbl>
    <w:p w14:paraId="1A9A6DF3" w14:textId="77777777" w:rsidR="00340B1E" w:rsidRDefault="00340B1E" w:rsidP="007075B1">
      <w:pPr>
        <w:keepNext w:val="0"/>
        <w:autoSpaceDE w:val="0"/>
        <w:autoSpaceDN w:val="0"/>
        <w:adjustRightInd w:val="0"/>
        <w:spacing w:before="0"/>
        <w:ind w:left="527"/>
        <w:rPr>
          <w:rFonts w:eastAsia="Arial" w:cs="Arial"/>
          <w:b/>
          <w:bCs/>
          <w:color w:val="auto"/>
          <w:szCs w:val="24"/>
        </w:rPr>
      </w:pPr>
    </w:p>
    <w:p w14:paraId="564DD423" w14:textId="3178B6C1" w:rsidR="006E10D4" w:rsidRDefault="006E10D4" w:rsidP="006977E7">
      <w:pPr>
        <w:keepNext w:val="0"/>
        <w:autoSpaceDE w:val="0"/>
        <w:autoSpaceDN w:val="0"/>
        <w:adjustRightInd w:val="0"/>
        <w:spacing w:before="0"/>
        <w:ind w:left="851"/>
        <w:rPr>
          <w:rFonts w:eastAsia="Arial" w:cs="Arial"/>
          <w:b/>
          <w:bCs/>
          <w:color w:val="auto"/>
          <w:szCs w:val="24"/>
        </w:rPr>
      </w:pPr>
      <w:r w:rsidRPr="006E10D4">
        <w:rPr>
          <w:rFonts w:eastAsia="Arial" w:cs="Arial"/>
          <w:b/>
          <w:bCs/>
          <w:color w:val="auto"/>
          <w:szCs w:val="24"/>
        </w:rPr>
        <w:t xml:space="preserve">Viability </w:t>
      </w:r>
    </w:p>
    <w:p w14:paraId="72863652" w14:textId="77A52AC2" w:rsidR="004F2A3F" w:rsidRPr="004F2A3F" w:rsidRDefault="002D6995" w:rsidP="004F2A3F">
      <w:pPr>
        <w:keepNext w:val="0"/>
        <w:numPr>
          <w:ilvl w:val="1"/>
          <w:numId w:val="7"/>
        </w:numPr>
        <w:tabs>
          <w:tab w:val="clear" w:pos="525"/>
          <w:tab w:val="num" w:pos="851"/>
        </w:tabs>
        <w:spacing w:before="0"/>
        <w:ind w:left="851" w:hanging="851"/>
        <w:rPr>
          <w:rFonts w:cs="Arial"/>
          <w:color w:val="auto"/>
          <w:szCs w:val="24"/>
          <w:lang w:eastAsia="en-US"/>
        </w:rPr>
      </w:pPr>
      <w:r w:rsidRPr="002D6995">
        <w:rPr>
          <w:rFonts w:cs="Arial"/>
          <w:color w:val="auto"/>
          <w:szCs w:val="24"/>
        </w:rPr>
        <w:t xml:space="preserve">National planning policy sets out that the Local Plan </w:t>
      </w:r>
      <w:proofErr w:type="gramStart"/>
      <w:r w:rsidRPr="002D6995">
        <w:rPr>
          <w:rFonts w:cs="Arial"/>
          <w:color w:val="auto"/>
          <w:szCs w:val="24"/>
        </w:rPr>
        <w:t>has to</w:t>
      </w:r>
      <w:proofErr w:type="gramEnd"/>
      <w:r w:rsidRPr="002D6995">
        <w:rPr>
          <w:rFonts w:cs="Arial"/>
          <w:color w:val="auto"/>
          <w:szCs w:val="24"/>
        </w:rPr>
        <w:t xml:space="preserve"> be subject to a whole plan viability assessment to ensure that policies are realistic, and that the total cumulative cost of all relevant policies will not undermine deliverability of the plan. However, viability will change over time such as economic conditions or there </w:t>
      </w:r>
      <w:r w:rsidR="004F2A3F">
        <w:rPr>
          <w:rFonts w:cs="Arial"/>
          <w:color w:val="auto"/>
          <w:szCs w:val="24"/>
        </w:rPr>
        <w:t xml:space="preserve">may be </w:t>
      </w:r>
      <w:r w:rsidRPr="002D6995">
        <w:rPr>
          <w:rFonts w:cs="Arial"/>
          <w:color w:val="auto"/>
          <w:szCs w:val="24"/>
        </w:rPr>
        <w:t xml:space="preserve">exceptional costs associated with a </w:t>
      </w:r>
      <w:r w:rsidR="004F2A3F">
        <w:rPr>
          <w:rFonts w:cs="Arial"/>
          <w:color w:val="auto"/>
          <w:szCs w:val="24"/>
        </w:rPr>
        <w:t xml:space="preserve">specific </w:t>
      </w:r>
      <w:r w:rsidRPr="002D6995">
        <w:rPr>
          <w:rFonts w:cs="Arial"/>
          <w:color w:val="auto"/>
          <w:szCs w:val="24"/>
        </w:rPr>
        <w:t>site</w:t>
      </w:r>
      <w:r w:rsidR="004F2A3F">
        <w:rPr>
          <w:rFonts w:cs="Arial"/>
          <w:color w:val="auto"/>
          <w:szCs w:val="24"/>
        </w:rPr>
        <w:t xml:space="preserve">.  </w:t>
      </w:r>
      <w:r w:rsidRPr="002D6995">
        <w:rPr>
          <w:rFonts w:cs="Arial"/>
          <w:color w:val="auto"/>
          <w:szCs w:val="24"/>
        </w:rPr>
        <w:t xml:space="preserve"> </w:t>
      </w:r>
      <w:r w:rsidR="006E10D4" w:rsidRPr="004F2A3F">
        <w:rPr>
          <w:rFonts w:eastAsia="Arial" w:cs="Arial"/>
          <w:color w:val="auto"/>
        </w:rPr>
        <w:t xml:space="preserve">In these circumstances, applicants will be required to demonstrate how planning obligations and policies result in the development being unviable by preparing a viability assessment.  </w:t>
      </w:r>
      <w:r w:rsidR="004F2A3F" w:rsidRPr="004F2A3F">
        <w:rPr>
          <w:rFonts w:eastAsia="Arial" w:cs="Arial"/>
          <w:color w:val="auto"/>
        </w:rPr>
        <w:t>Any viability assessment will be subject to an independent assessment</w:t>
      </w:r>
      <w:r w:rsidR="004F2A3F">
        <w:rPr>
          <w:rFonts w:eastAsia="Arial" w:cs="Arial"/>
          <w:color w:val="auto"/>
        </w:rPr>
        <w:t>, the cost of which will be made by the applicant.</w:t>
      </w:r>
    </w:p>
    <w:p w14:paraId="4A5FA126" w14:textId="77777777" w:rsidR="00CE6287" w:rsidRDefault="00CE6287" w:rsidP="00CE6287">
      <w:pPr>
        <w:keepNext w:val="0"/>
        <w:spacing w:before="0"/>
        <w:ind w:left="851"/>
        <w:rPr>
          <w:rFonts w:cs="Arial"/>
          <w:color w:val="auto"/>
          <w:szCs w:val="24"/>
          <w:lang w:eastAsia="en-US"/>
        </w:rPr>
      </w:pPr>
    </w:p>
    <w:p w14:paraId="51652E0D" w14:textId="0D8B05D7" w:rsidR="006E10D4" w:rsidRPr="00CE6287" w:rsidRDefault="006E10D4" w:rsidP="00CE6287">
      <w:pPr>
        <w:keepNext w:val="0"/>
        <w:numPr>
          <w:ilvl w:val="1"/>
          <w:numId w:val="7"/>
        </w:numPr>
        <w:tabs>
          <w:tab w:val="clear" w:pos="525"/>
          <w:tab w:val="num" w:pos="851"/>
        </w:tabs>
        <w:spacing w:before="0"/>
        <w:ind w:left="851" w:hanging="851"/>
        <w:rPr>
          <w:rFonts w:cs="Arial"/>
          <w:color w:val="auto"/>
          <w:szCs w:val="24"/>
          <w:lang w:eastAsia="en-US"/>
        </w:rPr>
      </w:pPr>
      <w:r w:rsidRPr="00CE6287">
        <w:rPr>
          <w:rFonts w:eastAsia="Arial" w:cs="Arial"/>
          <w:color w:val="auto"/>
        </w:rPr>
        <w:t>In considering issues of viability, the Council will have regard to:</w:t>
      </w:r>
    </w:p>
    <w:p w14:paraId="704F3705" w14:textId="77777777" w:rsidR="006E10D4" w:rsidRPr="006E10D4" w:rsidRDefault="006E10D4" w:rsidP="005775C8">
      <w:pPr>
        <w:keepNext w:val="0"/>
        <w:autoSpaceDE w:val="0"/>
        <w:autoSpaceDN w:val="0"/>
        <w:adjustRightInd w:val="0"/>
        <w:spacing w:before="0"/>
        <w:rPr>
          <w:rFonts w:eastAsia="Arial" w:cs="Arial"/>
          <w:color w:val="auto"/>
        </w:rPr>
      </w:pPr>
    </w:p>
    <w:p w14:paraId="29FE9DF3" w14:textId="7DED0C81" w:rsidR="006E10D4" w:rsidRDefault="006E10D4" w:rsidP="00874A98">
      <w:pPr>
        <w:keepNext w:val="0"/>
        <w:keepLines/>
        <w:numPr>
          <w:ilvl w:val="0"/>
          <w:numId w:val="178"/>
        </w:numPr>
        <w:suppressAutoHyphens/>
        <w:spacing w:before="0"/>
        <w:ind w:left="1211" w:right="56"/>
        <w:textAlignment w:val="baseline"/>
        <w:rPr>
          <w:rFonts w:eastAsia="Arial"/>
          <w:color w:val="auto"/>
        </w:rPr>
      </w:pPr>
      <w:r w:rsidRPr="006E10D4">
        <w:rPr>
          <w:rFonts w:eastAsia="Arial"/>
          <w:color w:val="auto"/>
        </w:rPr>
        <w:t xml:space="preserve">The quality and value of a scheme in the context of how the development contributes towards the vision, objectives and policies for the locality.  It will need to be </w:t>
      </w:r>
      <w:proofErr w:type="gramStart"/>
      <w:r w:rsidRPr="006E10D4">
        <w:rPr>
          <w:rFonts w:eastAsia="Arial"/>
          <w:color w:val="auto"/>
        </w:rPr>
        <w:t>established  that</w:t>
      </w:r>
      <w:proofErr w:type="gramEnd"/>
      <w:r w:rsidRPr="006E10D4">
        <w:rPr>
          <w:rFonts w:eastAsia="Arial"/>
          <w:color w:val="auto"/>
        </w:rPr>
        <w:t xml:space="preserve"> the benefits from the development significantly outweigh the harm of not providing for full infrastructure contributions;</w:t>
      </w:r>
    </w:p>
    <w:p w14:paraId="0A05BD35" w14:textId="77777777" w:rsidR="006E10D4" w:rsidRPr="006E10D4" w:rsidRDefault="006E10D4" w:rsidP="00CE6287">
      <w:pPr>
        <w:keepNext w:val="0"/>
        <w:keepLines/>
        <w:suppressAutoHyphens/>
        <w:spacing w:before="0"/>
        <w:ind w:left="1211" w:right="56"/>
        <w:textAlignment w:val="baseline"/>
        <w:rPr>
          <w:rFonts w:eastAsia="Arial"/>
          <w:color w:val="auto"/>
        </w:rPr>
      </w:pPr>
    </w:p>
    <w:p w14:paraId="27FE32BE" w14:textId="003946BA" w:rsidR="006E10D4" w:rsidRPr="006E10D4" w:rsidRDefault="006E10D4" w:rsidP="00874A98">
      <w:pPr>
        <w:keepNext w:val="0"/>
        <w:numPr>
          <w:ilvl w:val="0"/>
          <w:numId w:val="178"/>
        </w:numPr>
        <w:spacing w:before="0"/>
        <w:ind w:left="1247"/>
        <w:rPr>
          <w:rFonts w:eastAsia="Arial"/>
          <w:color w:val="auto"/>
        </w:rPr>
      </w:pPr>
      <w:r w:rsidRPr="006E10D4">
        <w:rPr>
          <w:rFonts w:eastAsia="Arial"/>
          <w:color w:val="auto"/>
        </w:rPr>
        <w:lastRenderedPageBreak/>
        <w:t xml:space="preserve">National Planning Practice Guidance on viability and other guidance on viability particularly derived from the Royal Institution of Character Surveyors </w:t>
      </w:r>
      <w:r w:rsidR="00CD5564">
        <w:rPr>
          <w:rFonts w:eastAsia="Arial"/>
          <w:color w:val="auto"/>
        </w:rPr>
        <w:t xml:space="preserve">(RICS) </w:t>
      </w:r>
      <w:r w:rsidRPr="006E10D4">
        <w:rPr>
          <w:rFonts w:eastAsia="Arial"/>
          <w:color w:val="auto"/>
        </w:rPr>
        <w:t>or the Royal Town Planning Institute</w:t>
      </w:r>
      <w:r w:rsidR="00CD5564">
        <w:rPr>
          <w:rFonts w:eastAsia="Arial"/>
          <w:color w:val="auto"/>
        </w:rPr>
        <w:t xml:space="preserve"> (RTPI)</w:t>
      </w:r>
      <w:r w:rsidRPr="006E10D4">
        <w:rPr>
          <w:rFonts w:eastAsia="Arial"/>
          <w:color w:val="auto"/>
        </w:rPr>
        <w:t>.</w:t>
      </w:r>
    </w:p>
    <w:p w14:paraId="5DED7717" w14:textId="77777777" w:rsidR="006E10D4" w:rsidRPr="006E10D4" w:rsidRDefault="006E10D4" w:rsidP="00CE6287">
      <w:pPr>
        <w:keepNext w:val="0"/>
        <w:spacing w:before="0"/>
        <w:ind w:left="1247"/>
        <w:rPr>
          <w:rFonts w:eastAsia="Arial"/>
          <w:color w:val="auto"/>
        </w:rPr>
      </w:pPr>
    </w:p>
    <w:p w14:paraId="0AE8A5FB" w14:textId="77777777" w:rsidR="004F2A3F" w:rsidRPr="004F2A3F" w:rsidRDefault="004F2A3F" w:rsidP="00874A98">
      <w:pPr>
        <w:keepNext w:val="0"/>
        <w:keepLines/>
        <w:numPr>
          <w:ilvl w:val="0"/>
          <w:numId w:val="178"/>
        </w:numPr>
        <w:suppressAutoHyphens/>
        <w:spacing w:before="0"/>
        <w:ind w:left="1247" w:right="56"/>
        <w:textAlignment w:val="baseline"/>
        <w:rPr>
          <w:rFonts w:eastAsia="Arial" w:cs="Arial"/>
          <w:color w:val="auto"/>
        </w:rPr>
      </w:pPr>
      <w:r>
        <w:rPr>
          <w:rFonts w:eastAsia="Arial"/>
          <w:color w:val="auto"/>
        </w:rPr>
        <w:t>The e</w:t>
      </w:r>
      <w:r w:rsidRPr="004F2A3F">
        <w:rPr>
          <w:rFonts w:eastAsia="Arial"/>
          <w:color w:val="auto"/>
        </w:rPr>
        <w:t xml:space="preserve">vidence </w:t>
      </w:r>
      <w:r>
        <w:rPr>
          <w:rFonts w:eastAsia="Arial"/>
          <w:color w:val="auto"/>
        </w:rPr>
        <w:t xml:space="preserve">submitted </w:t>
      </w:r>
      <w:r w:rsidRPr="004F2A3F">
        <w:rPr>
          <w:rFonts w:eastAsia="Arial"/>
          <w:color w:val="auto"/>
        </w:rPr>
        <w:t xml:space="preserve">must include an appropriate and robust viability assessment based on realistic assumptions and up-to-date baseline information prepared by a suitably qualified independent surveyor.   </w:t>
      </w:r>
      <w:r w:rsidRPr="006E10D4">
        <w:rPr>
          <w:rFonts w:eastAsia="Arial"/>
          <w:color w:val="auto"/>
        </w:rPr>
        <w:t>Th</w:t>
      </w:r>
      <w:r>
        <w:rPr>
          <w:rFonts w:eastAsia="Arial"/>
          <w:color w:val="auto"/>
        </w:rPr>
        <w:t xml:space="preserve">is should include: </w:t>
      </w:r>
    </w:p>
    <w:p w14:paraId="761DA363" w14:textId="77777777" w:rsidR="00A31CBB" w:rsidRDefault="004F2A3F" w:rsidP="00874A98">
      <w:pPr>
        <w:pStyle w:val="ListParagraph"/>
        <w:keepLines/>
        <w:numPr>
          <w:ilvl w:val="0"/>
          <w:numId w:val="310"/>
        </w:numPr>
        <w:suppressAutoHyphens/>
        <w:spacing w:after="0" w:line="240" w:lineRule="auto"/>
        <w:ind w:right="56"/>
        <w:textAlignment w:val="baseline"/>
        <w:rPr>
          <w:rFonts w:ascii="Arial" w:eastAsia="Arial" w:hAnsi="Arial" w:cs="Arial"/>
          <w:color w:val="auto"/>
        </w:rPr>
      </w:pPr>
      <w:r w:rsidRPr="004F2A3F">
        <w:rPr>
          <w:rFonts w:ascii="Arial" w:eastAsia="Arial" w:hAnsi="Arial" w:cs="Arial"/>
          <w:color w:val="auto"/>
        </w:rPr>
        <w:t>supporting evidence from applicants to justify proposed rates of profit</w:t>
      </w:r>
      <w:r w:rsidR="00A31CBB">
        <w:rPr>
          <w:rFonts w:ascii="Arial" w:eastAsia="Arial" w:hAnsi="Arial" w:cs="Arial"/>
          <w:color w:val="auto"/>
        </w:rPr>
        <w:t xml:space="preserve">, </w:t>
      </w:r>
      <w:proofErr w:type="gramStart"/>
      <w:r w:rsidR="00A31CBB">
        <w:rPr>
          <w:rFonts w:ascii="Arial" w:eastAsia="Arial" w:hAnsi="Arial" w:cs="Arial"/>
          <w:color w:val="auto"/>
        </w:rPr>
        <w:t>taking</w:t>
      </w:r>
      <w:r w:rsidRPr="004F2A3F">
        <w:rPr>
          <w:rFonts w:ascii="Arial" w:eastAsia="Arial" w:hAnsi="Arial" w:cs="Arial"/>
          <w:color w:val="auto"/>
        </w:rPr>
        <w:t xml:space="preserve"> into account</w:t>
      </w:r>
      <w:proofErr w:type="gramEnd"/>
      <w:r w:rsidRPr="004F2A3F">
        <w:rPr>
          <w:rFonts w:ascii="Arial" w:eastAsia="Arial" w:hAnsi="Arial" w:cs="Arial"/>
          <w:color w:val="auto"/>
        </w:rPr>
        <w:t xml:space="preserve"> the individual characteristics of the scheme, including property market conditions and a development’s risk profile, and profits achieved on comparable schemes. </w:t>
      </w:r>
    </w:p>
    <w:p w14:paraId="5278D1D1" w14:textId="77777777" w:rsidR="00A31CBB" w:rsidRDefault="004F2A3F" w:rsidP="00874A98">
      <w:pPr>
        <w:pStyle w:val="ListParagraph"/>
        <w:keepLines/>
        <w:numPr>
          <w:ilvl w:val="0"/>
          <w:numId w:val="310"/>
        </w:numPr>
        <w:suppressAutoHyphens/>
        <w:spacing w:after="0" w:line="240" w:lineRule="auto"/>
        <w:ind w:right="56"/>
        <w:textAlignment w:val="baseline"/>
        <w:rPr>
          <w:rFonts w:ascii="Arial" w:eastAsia="Arial" w:hAnsi="Arial" w:cs="Arial"/>
          <w:color w:val="auto"/>
        </w:rPr>
      </w:pPr>
      <w:r w:rsidRPr="004F2A3F">
        <w:rPr>
          <w:rFonts w:ascii="Arial" w:eastAsia="Arial" w:hAnsi="Arial" w:cs="Arial"/>
          <w:color w:val="auto"/>
        </w:rPr>
        <w:t>Hypothetical current use schemes, which maximise the redevelopment potential of the site, should be appraised to prove their lack of viability. Mixed use schemes should also be appraised and in both circumstances, market evidence should be used to support them.</w:t>
      </w:r>
    </w:p>
    <w:p w14:paraId="60A742DA" w14:textId="1A467C26" w:rsidR="00A31CBB" w:rsidRDefault="00A31CBB" w:rsidP="00874A98">
      <w:pPr>
        <w:pStyle w:val="ListParagraph"/>
        <w:keepLines/>
        <w:numPr>
          <w:ilvl w:val="0"/>
          <w:numId w:val="310"/>
        </w:numPr>
        <w:suppressAutoHyphens/>
        <w:spacing w:after="0" w:line="240" w:lineRule="auto"/>
        <w:ind w:right="56"/>
        <w:textAlignment w:val="baseline"/>
        <w:rPr>
          <w:rFonts w:ascii="Arial" w:eastAsia="Arial" w:hAnsi="Arial" w:cs="Arial"/>
          <w:color w:val="auto"/>
        </w:rPr>
      </w:pPr>
      <w:r>
        <w:rPr>
          <w:rFonts w:ascii="Arial" w:eastAsia="Arial" w:hAnsi="Arial" w:cs="Arial"/>
          <w:color w:val="auto"/>
        </w:rPr>
        <w:t>A</w:t>
      </w:r>
      <w:r w:rsidR="006E10D4" w:rsidRPr="004F2A3F">
        <w:rPr>
          <w:rFonts w:ascii="Arial" w:eastAsia="Arial" w:hAnsi="Arial" w:cs="Arial"/>
          <w:color w:val="auto"/>
        </w:rPr>
        <w:t xml:space="preserve"> technically robust case for a variation of obligations which examines value, cost and profit assumptions; </w:t>
      </w:r>
    </w:p>
    <w:p w14:paraId="1D156DE9" w14:textId="1DEA0E87" w:rsidR="00A31CBB" w:rsidRDefault="00A31CBB" w:rsidP="00874A98">
      <w:pPr>
        <w:pStyle w:val="ListParagraph"/>
        <w:keepLines/>
        <w:numPr>
          <w:ilvl w:val="0"/>
          <w:numId w:val="310"/>
        </w:numPr>
        <w:suppressAutoHyphens/>
        <w:spacing w:after="0" w:line="240" w:lineRule="auto"/>
        <w:ind w:right="56"/>
        <w:textAlignment w:val="baseline"/>
        <w:rPr>
          <w:rFonts w:ascii="Arial" w:eastAsia="Arial" w:hAnsi="Arial" w:cs="Arial"/>
          <w:color w:val="auto"/>
        </w:rPr>
      </w:pPr>
      <w:r>
        <w:rPr>
          <w:rFonts w:ascii="Arial" w:eastAsia="Arial" w:hAnsi="Arial" w:cs="Arial"/>
          <w:color w:val="auto"/>
        </w:rPr>
        <w:t xml:space="preserve">A justification for the input and outputs used in the appraisal; </w:t>
      </w:r>
    </w:p>
    <w:p w14:paraId="7D90344D" w14:textId="2973F5BE" w:rsidR="006E10D4" w:rsidRPr="00A31CBB" w:rsidRDefault="006E10D4" w:rsidP="00874A98">
      <w:pPr>
        <w:pStyle w:val="ListParagraph"/>
        <w:keepLines/>
        <w:numPr>
          <w:ilvl w:val="0"/>
          <w:numId w:val="310"/>
        </w:numPr>
        <w:suppressAutoHyphens/>
        <w:spacing w:after="0" w:line="240" w:lineRule="auto"/>
        <w:ind w:right="56"/>
        <w:textAlignment w:val="baseline"/>
        <w:rPr>
          <w:rFonts w:ascii="Arial" w:eastAsia="Arial" w:hAnsi="Arial" w:cs="Arial"/>
          <w:color w:val="auto"/>
        </w:rPr>
      </w:pPr>
      <w:r w:rsidRPr="00A31CBB">
        <w:rPr>
          <w:rFonts w:ascii="Arial" w:eastAsia="Arial" w:hAnsi="Arial" w:cs="Arial"/>
          <w:color w:val="auto"/>
        </w:rPr>
        <w:t>Whether the land value can be justified. (Landowners and site purchases should consider policy requirements when agreeing land transactions);</w:t>
      </w:r>
    </w:p>
    <w:p w14:paraId="203362B7" w14:textId="77777777" w:rsidR="006E10D4" w:rsidRPr="006E10D4" w:rsidRDefault="006E10D4" w:rsidP="00CE6287">
      <w:pPr>
        <w:keepNext w:val="0"/>
        <w:autoSpaceDE w:val="0"/>
        <w:autoSpaceDN w:val="0"/>
        <w:adjustRightInd w:val="0"/>
        <w:spacing w:before="0"/>
        <w:ind w:left="1247"/>
        <w:rPr>
          <w:rFonts w:eastAsia="Arial" w:cs="Arial"/>
          <w:color w:val="auto"/>
        </w:rPr>
      </w:pPr>
    </w:p>
    <w:p w14:paraId="6E5EB9F4" w14:textId="6F007945" w:rsidR="006E10D4" w:rsidRPr="006E10D4" w:rsidRDefault="006E10D4" w:rsidP="00874A98">
      <w:pPr>
        <w:keepNext w:val="0"/>
        <w:numPr>
          <w:ilvl w:val="0"/>
          <w:numId w:val="178"/>
        </w:numPr>
        <w:spacing w:before="0"/>
        <w:ind w:left="1247"/>
        <w:rPr>
          <w:rFonts w:eastAsia="Calibri" w:cs="Arial"/>
          <w:color w:val="auto"/>
          <w:szCs w:val="24"/>
        </w:rPr>
      </w:pPr>
      <w:r w:rsidRPr="006E10D4">
        <w:rPr>
          <w:rFonts w:eastAsia="Calibri" w:cs="Arial"/>
          <w:color w:val="auto"/>
          <w:szCs w:val="24"/>
        </w:rPr>
        <w:t xml:space="preserve">Given the sensitive to changes </w:t>
      </w:r>
      <w:r w:rsidR="00965E7D">
        <w:rPr>
          <w:rFonts w:eastAsia="Calibri" w:cs="Arial"/>
          <w:color w:val="auto"/>
          <w:szCs w:val="24"/>
        </w:rPr>
        <w:t xml:space="preserve">of </w:t>
      </w:r>
      <w:r w:rsidRPr="006E10D4">
        <w:rPr>
          <w:rFonts w:eastAsia="Calibri" w:cs="Arial"/>
          <w:color w:val="auto"/>
          <w:szCs w:val="24"/>
        </w:rPr>
        <w:t>inputs</w:t>
      </w:r>
      <w:r w:rsidR="00965E7D">
        <w:rPr>
          <w:rFonts w:eastAsia="Calibri" w:cs="Arial"/>
          <w:color w:val="auto"/>
          <w:szCs w:val="24"/>
        </w:rPr>
        <w:t>/outputs</w:t>
      </w:r>
      <w:r w:rsidRPr="006E10D4">
        <w:rPr>
          <w:rFonts w:eastAsia="Calibri" w:cs="Arial"/>
          <w:color w:val="auto"/>
          <w:szCs w:val="24"/>
        </w:rPr>
        <w:t xml:space="preserve"> into viability appraisals, the Council will require sensitivity analysis and/or scenario analysis to demonstrate the implications of changes </w:t>
      </w:r>
      <w:r w:rsidR="00965E7D">
        <w:rPr>
          <w:rFonts w:eastAsia="Calibri" w:cs="Arial"/>
          <w:color w:val="auto"/>
          <w:szCs w:val="24"/>
        </w:rPr>
        <w:t xml:space="preserve">to </w:t>
      </w:r>
      <w:r w:rsidRPr="006E10D4">
        <w:rPr>
          <w:rFonts w:eastAsia="Calibri" w:cs="Arial"/>
          <w:color w:val="auto"/>
          <w:szCs w:val="24"/>
        </w:rPr>
        <w:t>the inputs/outputs</w:t>
      </w:r>
      <w:r w:rsidR="00965E7D">
        <w:rPr>
          <w:rFonts w:eastAsia="Calibri" w:cs="Arial"/>
          <w:color w:val="auto"/>
          <w:szCs w:val="24"/>
        </w:rPr>
        <w:t xml:space="preserve"> into the appraisal</w:t>
      </w:r>
      <w:r w:rsidRPr="006E10D4">
        <w:rPr>
          <w:rFonts w:eastAsia="Calibri" w:cs="Arial"/>
          <w:color w:val="auto"/>
          <w:szCs w:val="24"/>
        </w:rPr>
        <w:t xml:space="preserve">.  </w:t>
      </w:r>
    </w:p>
    <w:p w14:paraId="4310BDAD" w14:textId="77777777" w:rsidR="006E10D4" w:rsidRPr="00263F59" w:rsidRDefault="006E10D4" w:rsidP="00CE6287">
      <w:pPr>
        <w:keepNext w:val="0"/>
        <w:spacing w:before="0"/>
        <w:ind w:left="813"/>
        <w:contextualSpacing/>
        <w:rPr>
          <w:rFonts w:eastAsia="Calibri" w:cs="Arial"/>
          <w:b/>
          <w:color w:val="auto"/>
          <w:szCs w:val="24"/>
          <w:lang w:eastAsia="en-US"/>
        </w:rPr>
      </w:pPr>
    </w:p>
    <w:p w14:paraId="74496F62" w14:textId="3ACF5F30" w:rsidR="006E10D4" w:rsidRDefault="006E10D4" w:rsidP="00874A98">
      <w:pPr>
        <w:keepNext w:val="0"/>
        <w:keepLines/>
        <w:numPr>
          <w:ilvl w:val="0"/>
          <w:numId w:val="178"/>
        </w:numPr>
        <w:suppressAutoHyphens/>
        <w:spacing w:before="0"/>
        <w:ind w:left="1247" w:right="56"/>
        <w:textAlignment w:val="baseline"/>
        <w:rPr>
          <w:rFonts w:eastAsia="Arial"/>
          <w:color w:val="auto"/>
        </w:rPr>
      </w:pPr>
      <w:r w:rsidRPr="006E10D4">
        <w:rPr>
          <w:rFonts w:eastAsia="Calibri" w:cs="Arial"/>
          <w:color w:val="auto"/>
          <w:szCs w:val="24"/>
        </w:rPr>
        <w:t xml:space="preserve">Whether a deferred scheme is possible to claw back as much as the deficit in contributions as possible should market conditions improve. </w:t>
      </w:r>
      <w:r w:rsidRPr="006E10D4">
        <w:rPr>
          <w:rFonts w:eastAsia="Arial"/>
          <w:color w:val="auto"/>
        </w:rPr>
        <w:t>These schemes may reflect a variety of forms such as short life planning consents, reassessment of land values during the development period (overage), reversion to a policy compliant level of provision after a specified period within planning agreements and deferred payments.</w:t>
      </w:r>
    </w:p>
    <w:p w14:paraId="634F048B" w14:textId="77777777" w:rsidR="00FF4973" w:rsidRPr="006E10D4" w:rsidRDefault="00FF4973" w:rsidP="005775C8">
      <w:pPr>
        <w:keepNext w:val="0"/>
        <w:keepLines/>
        <w:tabs>
          <w:tab w:val="left" w:pos="680"/>
        </w:tabs>
        <w:suppressAutoHyphens/>
        <w:spacing w:before="0"/>
        <w:ind w:right="56"/>
        <w:textAlignment w:val="baseline"/>
        <w:rPr>
          <w:rFonts w:eastAsia="Arial"/>
          <w:color w:val="auto"/>
        </w:rPr>
      </w:pPr>
    </w:p>
    <w:p w14:paraId="06B9544D" w14:textId="0EE3CDAA" w:rsidR="006E10D4" w:rsidRPr="006E10D4" w:rsidRDefault="006E10D4" w:rsidP="00CE6287">
      <w:pPr>
        <w:keepNext w:val="0"/>
        <w:numPr>
          <w:ilvl w:val="1"/>
          <w:numId w:val="7"/>
        </w:numPr>
        <w:tabs>
          <w:tab w:val="clear" w:pos="525"/>
        </w:tabs>
        <w:spacing w:before="0"/>
        <w:ind w:left="851" w:hanging="709"/>
        <w:rPr>
          <w:rFonts w:cs="Arial"/>
          <w:color w:val="auto"/>
          <w:szCs w:val="24"/>
          <w:lang w:eastAsia="en-US"/>
        </w:rPr>
      </w:pPr>
      <w:r w:rsidRPr="006E10D4">
        <w:rPr>
          <w:rFonts w:eastAsia="Arial" w:cs="Arial"/>
          <w:color w:val="auto"/>
        </w:rPr>
        <w:t xml:space="preserve">The diagram below illustrates in broad terms, the approach that the Council will adopt to planning applications and infrastructure requirements. </w:t>
      </w:r>
    </w:p>
    <w:p w14:paraId="52A32D0D" w14:textId="77777777" w:rsidR="006977E7" w:rsidRPr="006E10D4" w:rsidRDefault="006977E7" w:rsidP="006E10D4">
      <w:pPr>
        <w:keepNext w:val="0"/>
        <w:autoSpaceDE w:val="0"/>
        <w:autoSpaceDN w:val="0"/>
        <w:adjustRightInd w:val="0"/>
        <w:spacing w:before="0" w:line="259" w:lineRule="auto"/>
        <w:rPr>
          <w:rFonts w:eastAsia="Arial" w:cs="Arial"/>
          <w:color w:val="auto"/>
        </w:rPr>
      </w:pPr>
    </w:p>
    <w:tbl>
      <w:tblPr>
        <w:tblStyle w:val="TableGrid3"/>
        <w:tblpPr w:leftFromText="180" w:rightFromText="180" w:vertAnchor="text" w:horzAnchor="margin" w:tblpX="846" w:tblpY="182"/>
        <w:tblW w:w="0" w:type="auto"/>
        <w:tblLayout w:type="fixed"/>
        <w:tblLook w:val="0020" w:firstRow="1" w:lastRow="0" w:firstColumn="0" w:lastColumn="0" w:noHBand="0" w:noVBand="0"/>
      </w:tblPr>
      <w:tblGrid>
        <w:gridCol w:w="3240"/>
        <w:gridCol w:w="5260"/>
      </w:tblGrid>
      <w:tr w:rsidR="006E10D4" w:rsidRPr="006E10D4" w14:paraId="4D66B613" w14:textId="77777777" w:rsidTr="00163F59">
        <w:trPr>
          <w:trHeight w:val="377"/>
        </w:trPr>
        <w:tc>
          <w:tcPr>
            <w:tcW w:w="8500" w:type="dxa"/>
            <w:gridSpan w:val="2"/>
            <w:shd w:val="clear" w:color="auto" w:fill="C5E0B3"/>
          </w:tcPr>
          <w:p w14:paraId="1453E3EA" w14:textId="77777777" w:rsidR="006E10D4" w:rsidRPr="006E10D4" w:rsidRDefault="006E10D4" w:rsidP="00163F59">
            <w:pPr>
              <w:keepNext w:val="0"/>
              <w:autoSpaceDE w:val="0"/>
              <w:autoSpaceDN w:val="0"/>
              <w:adjustRightInd w:val="0"/>
              <w:spacing w:after="120"/>
              <w:jc w:val="center"/>
              <w:rPr>
                <w:rFonts w:cs="Arial"/>
                <w:b/>
                <w:color w:val="7030A0"/>
                <w:sz w:val="22"/>
                <w:lang w:val="en-US"/>
              </w:rPr>
            </w:pPr>
            <w:r w:rsidRPr="006E10D4">
              <w:rPr>
                <w:rFonts w:cs="Arial"/>
                <w:b/>
                <w:color w:val="7030A0"/>
                <w:sz w:val="22"/>
                <w:lang w:val="en-US"/>
              </w:rPr>
              <w:t>STEP ONE</w:t>
            </w:r>
          </w:p>
          <w:p w14:paraId="715B45F9" w14:textId="77777777" w:rsidR="006E10D4" w:rsidRPr="006E10D4" w:rsidRDefault="006E10D4" w:rsidP="00163F59">
            <w:pPr>
              <w:keepNext w:val="0"/>
              <w:autoSpaceDE w:val="0"/>
              <w:autoSpaceDN w:val="0"/>
              <w:adjustRightInd w:val="0"/>
              <w:spacing w:before="0"/>
              <w:jc w:val="center"/>
              <w:rPr>
                <w:rFonts w:cs="Arial"/>
                <w:color w:val="auto"/>
                <w:sz w:val="22"/>
                <w:lang w:val="en-US"/>
              </w:rPr>
            </w:pPr>
            <w:r w:rsidRPr="006E10D4">
              <w:rPr>
                <w:rFonts w:cs="Arial"/>
                <w:color w:val="auto"/>
                <w:sz w:val="22"/>
                <w:lang w:val="en-US"/>
              </w:rPr>
              <w:t>As part of the pre-application discussions the Council will work with the developer and infrastructure providers to establish infrastructure requirements in relation to the application.</w:t>
            </w:r>
          </w:p>
          <w:p w14:paraId="5598439D" w14:textId="77777777" w:rsidR="006E10D4" w:rsidRPr="006E10D4" w:rsidRDefault="006E10D4" w:rsidP="00163F59">
            <w:pPr>
              <w:keepNext w:val="0"/>
              <w:autoSpaceDE w:val="0"/>
              <w:autoSpaceDN w:val="0"/>
              <w:adjustRightInd w:val="0"/>
              <w:spacing w:before="0"/>
              <w:jc w:val="center"/>
              <w:rPr>
                <w:rFonts w:cs="Arial"/>
                <w:color w:val="auto"/>
                <w:sz w:val="22"/>
                <w:lang w:val="en-US"/>
              </w:rPr>
            </w:pPr>
          </w:p>
        </w:tc>
      </w:tr>
      <w:tr w:rsidR="006E10D4" w:rsidRPr="006E10D4" w14:paraId="736CD383" w14:textId="77777777" w:rsidTr="00163F59">
        <w:trPr>
          <w:trHeight w:val="244"/>
        </w:trPr>
        <w:tc>
          <w:tcPr>
            <w:tcW w:w="8500" w:type="dxa"/>
            <w:gridSpan w:val="2"/>
            <w:shd w:val="clear" w:color="auto" w:fill="C5E0B3"/>
          </w:tcPr>
          <w:p w14:paraId="7863E126" w14:textId="77777777" w:rsidR="006E10D4" w:rsidRPr="006E10D4" w:rsidRDefault="006E10D4" w:rsidP="00163F59">
            <w:pPr>
              <w:keepNext w:val="0"/>
              <w:autoSpaceDE w:val="0"/>
              <w:autoSpaceDN w:val="0"/>
              <w:adjustRightInd w:val="0"/>
              <w:spacing w:after="120"/>
              <w:jc w:val="center"/>
              <w:rPr>
                <w:rFonts w:cs="Arial"/>
                <w:b/>
                <w:color w:val="7030A0"/>
                <w:sz w:val="22"/>
                <w:lang w:val="en-US"/>
              </w:rPr>
            </w:pPr>
            <w:r w:rsidRPr="006E10D4">
              <w:rPr>
                <w:rFonts w:cs="Arial"/>
                <w:b/>
                <w:color w:val="7030A0"/>
                <w:sz w:val="22"/>
                <w:lang w:val="en-US"/>
              </w:rPr>
              <w:t>STEP TWO</w:t>
            </w:r>
          </w:p>
          <w:p w14:paraId="2AC15E60" w14:textId="0F0C9C4A" w:rsidR="006E10D4" w:rsidRPr="006E10D4" w:rsidRDefault="006E10D4" w:rsidP="00163F59">
            <w:pPr>
              <w:keepNext w:val="0"/>
              <w:autoSpaceDE w:val="0"/>
              <w:autoSpaceDN w:val="0"/>
              <w:adjustRightInd w:val="0"/>
              <w:spacing w:before="0"/>
              <w:jc w:val="center"/>
              <w:rPr>
                <w:rFonts w:cs="Arial"/>
                <w:color w:val="auto"/>
                <w:sz w:val="22"/>
                <w:lang w:val="en-US"/>
              </w:rPr>
            </w:pPr>
            <w:r w:rsidRPr="006E10D4">
              <w:rPr>
                <w:rFonts w:cs="Arial"/>
                <w:color w:val="auto"/>
                <w:sz w:val="22"/>
                <w:lang w:val="en-US"/>
              </w:rPr>
              <w:t xml:space="preserve">If there are viability issues from the proposal </w:t>
            </w:r>
            <w:r w:rsidR="00EA7D34" w:rsidRPr="006E10D4">
              <w:rPr>
                <w:rFonts w:cs="Arial"/>
                <w:color w:val="auto"/>
                <w:sz w:val="22"/>
                <w:lang w:val="en-US"/>
              </w:rPr>
              <w:t>considering</w:t>
            </w:r>
            <w:r w:rsidRPr="006E10D4">
              <w:rPr>
                <w:rFonts w:cs="Arial"/>
                <w:color w:val="auto"/>
                <w:sz w:val="22"/>
                <w:lang w:val="en-US"/>
              </w:rPr>
              <w:t xml:space="preserve"> infrastructure provision, the applicant submits a viability </w:t>
            </w:r>
          </w:p>
          <w:p w14:paraId="574E4E2F" w14:textId="77777777" w:rsidR="006E10D4" w:rsidRPr="006E10D4" w:rsidRDefault="006E10D4" w:rsidP="00163F59">
            <w:pPr>
              <w:keepNext w:val="0"/>
              <w:autoSpaceDE w:val="0"/>
              <w:autoSpaceDN w:val="0"/>
              <w:adjustRightInd w:val="0"/>
              <w:spacing w:before="0"/>
              <w:jc w:val="center"/>
              <w:rPr>
                <w:rFonts w:cs="Arial"/>
                <w:color w:val="auto"/>
                <w:sz w:val="22"/>
                <w:lang w:val="en-US"/>
              </w:rPr>
            </w:pPr>
            <w:r w:rsidRPr="006E10D4">
              <w:rPr>
                <w:rFonts w:cs="Arial"/>
                <w:color w:val="auto"/>
                <w:sz w:val="22"/>
                <w:lang w:val="en-US"/>
              </w:rPr>
              <w:t>assessment to be independently reviewed.</w:t>
            </w:r>
          </w:p>
          <w:p w14:paraId="721A3B96" w14:textId="77777777" w:rsidR="006E10D4" w:rsidRPr="006E10D4" w:rsidRDefault="006E10D4" w:rsidP="00163F59">
            <w:pPr>
              <w:keepNext w:val="0"/>
              <w:autoSpaceDE w:val="0"/>
              <w:autoSpaceDN w:val="0"/>
              <w:adjustRightInd w:val="0"/>
              <w:spacing w:before="0"/>
              <w:jc w:val="center"/>
              <w:rPr>
                <w:rFonts w:cs="Arial"/>
                <w:color w:val="auto"/>
                <w:sz w:val="22"/>
                <w:lang w:val="en-US"/>
              </w:rPr>
            </w:pPr>
          </w:p>
        </w:tc>
      </w:tr>
      <w:tr w:rsidR="006E10D4" w:rsidRPr="006E10D4" w14:paraId="7EACE34C" w14:textId="77777777" w:rsidTr="00163F59">
        <w:trPr>
          <w:trHeight w:val="647"/>
        </w:trPr>
        <w:tc>
          <w:tcPr>
            <w:tcW w:w="3240" w:type="dxa"/>
            <w:shd w:val="clear" w:color="auto" w:fill="C5E0B3"/>
          </w:tcPr>
          <w:p w14:paraId="30FB49B1" w14:textId="77777777" w:rsidR="006E10D4" w:rsidRPr="006E10D4" w:rsidRDefault="006E10D4" w:rsidP="00163F59">
            <w:pPr>
              <w:keepNext w:val="0"/>
              <w:autoSpaceDE w:val="0"/>
              <w:autoSpaceDN w:val="0"/>
              <w:adjustRightInd w:val="0"/>
              <w:spacing w:before="40"/>
              <w:ind w:left="185"/>
              <w:jc w:val="left"/>
              <w:rPr>
                <w:rFonts w:cs="Arial"/>
                <w:color w:val="auto"/>
                <w:sz w:val="22"/>
                <w:lang w:val="en-US"/>
              </w:rPr>
            </w:pPr>
            <w:r w:rsidRPr="006E10D4">
              <w:rPr>
                <w:rFonts w:cs="Arial"/>
                <w:color w:val="auto"/>
                <w:sz w:val="22"/>
                <w:lang w:val="en-US"/>
              </w:rPr>
              <w:lastRenderedPageBreak/>
              <w:t>If viability is a marginal issue the Council will negotiate on specific contributions.</w:t>
            </w:r>
          </w:p>
          <w:p w14:paraId="2FD96730" w14:textId="77777777" w:rsidR="006E10D4" w:rsidRPr="006E10D4" w:rsidRDefault="006E10D4" w:rsidP="00163F59">
            <w:pPr>
              <w:keepNext w:val="0"/>
              <w:autoSpaceDE w:val="0"/>
              <w:autoSpaceDN w:val="0"/>
              <w:adjustRightInd w:val="0"/>
              <w:spacing w:before="40"/>
              <w:rPr>
                <w:rFonts w:cs="Arial"/>
                <w:color w:val="auto"/>
                <w:sz w:val="22"/>
                <w:lang w:val="en-US"/>
              </w:rPr>
            </w:pPr>
          </w:p>
        </w:tc>
        <w:tc>
          <w:tcPr>
            <w:tcW w:w="5260" w:type="dxa"/>
            <w:shd w:val="clear" w:color="auto" w:fill="C5E0B3"/>
          </w:tcPr>
          <w:p w14:paraId="425858D4" w14:textId="77777777" w:rsidR="006E10D4" w:rsidRPr="006E10D4" w:rsidRDefault="006E10D4" w:rsidP="00163F59">
            <w:pPr>
              <w:keepNext w:val="0"/>
              <w:autoSpaceDE w:val="0"/>
              <w:autoSpaceDN w:val="0"/>
              <w:adjustRightInd w:val="0"/>
              <w:spacing w:before="40"/>
              <w:ind w:left="185"/>
              <w:jc w:val="left"/>
              <w:rPr>
                <w:rFonts w:cs="Arial"/>
                <w:color w:val="auto"/>
                <w:sz w:val="22"/>
                <w:lang w:val="en-US"/>
              </w:rPr>
            </w:pPr>
            <w:r w:rsidRPr="006E10D4">
              <w:rPr>
                <w:rFonts w:cs="Arial"/>
                <w:color w:val="auto"/>
                <w:sz w:val="22"/>
                <w:lang w:val="en-US"/>
              </w:rPr>
              <w:t xml:space="preserve">If viability is a major issue the Council, developer and infrastructure providers will: </w:t>
            </w:r>
          </w:p>
          <w:p w14:paraId="5254A64A" w14:textId="77777777" w:rsidR="006E10D4" w:rsidRPr="006E10D4" w:rsidRDefault="006E10D4" w:rsidP="00163F59">
            <w:pPr>
              <w:keepNext w:val="0"/>
              <w:numPr>
                <w:ilvl w:val="0"/>
                <w:numId w:val="177"/>
              </w:numPr>
              <w:autoSpaceDE w:val="0"/>
              <w:autoSpaceDN w:val="0"/>
              <w:adjustRightInd w:val="0"/>
              <w:spacing w:before="40" w:after="160" w:line="259" w:lineRule="auto"/>
              <w:jc w:val="left"/>
              <w:rPr>
                <w:rFonts w:cs="Arial"/>
                <w:color w:val="auto"/>
                <w:sz w:val="22"/>
                <w:lang w:val="en-US"/>
              </w:rPr>
            </w:pPr>
            <w:r w:rsidRPr="006E10D4">
              <w:rPr>
                <w:rFonts w:cs="Arial"/>
                <w:color w:val="auto"/>
                <w:sz w:val="22"/>
                <w:lang w:val="en-US"/>
              </w:rPr>
              <w:t xml:space="preserve">consider whether the use </w:t>
            </w:r>
            <w:proofErr w:type="gramStart"/>
            <w:r w:rsidRPr="006E10D4">
              <w:rPr>
                <w:rFonts w:cs="Arial"/>
                <w:color w:val="auto"/>
                <w:sz w:val="22"/>
                <w:lang w:val="en-US"/>
              </w:rPr>
              <w:t>of  deferred</w:t>
            </w:r>
            <w:proofErr w:type="gramEnd"/>
            <w:r w:rsidRPr="006E10D4">
              <w:rPr>
                <w:rFonts w:cs="Arial"/>
                <w:color w:val="auto"/>
                <w:sz w:val="22"/>
                <w:lang w:val="en-US"/>
              </w:rPr>
              <w:t xml:space="preserve"> obligations to support infrastructure provision long term</w:t>
            </w:r>
          </w:p>
          <w:p w14:paraId="147C4698" w14:textId="77777777" w:rsidR="006E10D4" w:rsidRPr="006E10D4" w:rsidRDefault="006E10D4" w:rsidP="00163F59">
            <w:pPr>
              <w:keepNext w:val="0"/>
              <w:numPr>
                <w:ilvl w:val="0"/>
                <w:numId w:val="177"/>
              </w:numPr>
              <w:autoSpaceDE w:val="0"/>
              <w:autoSpaceDN w:val="0"/>
              <w:adjustRightInd w:val="0"/>
              <w:spacing w:before="40" w:after="160" w:line="259" w:lineRule="auto"/>
              <w:jc w:val="left"/>
              <w:rPr>
                <w:rFonts w:cs="Arial"/>
                <w:color w:val="auto"/>
                <w:sz w:val="22"/>
                <w:lang w:val="en-US"/>
              </w:rPr>
            </w:pPr>
            <w:r w:rsidRPr="006E10D4">
              <w:rPr>
                <w:rFonts w:cs="Arial"/>
                <w:color w:val="auto"/>
                <w:sz w:val="22"/>
                <w:lang w:val="en-US"/>
              </w:rPr>
              <w:t xml:space="preserve">investigate whether </w:t>
            </w:r>
            <w:proofErr w:type="gramStart"/>
            <w:r w:rsidRPr="006E10D4">
              <w:rPr>
                <w:rFonts w:cs="Arial"/>
                <w:color w:val="auto"/>
                <w:sz w:val="22"/>
                <w:lang w:val="en-US"/>
              </w:rPr>
              <w:t>any</w:t>
            </w:r>
            <w:proofErr w:type="gramEnd"/>
            <w:r w:rsidRPr="006E10D4">
              <w:rPr>
                <w:rFonts w:cs="Arial"/>
                <w:color w:val="auto"/>
                <w:sz w:val="22"/>
                <w:lang w:val="en-US"/>
              </w:rPr>
              <w:t xml:space="preserve"> alternative sources to fund infrastructure.</w:t>
            </w:r>
          </w:p>
        </w:tc>
      </w:tr>
      <w:tr w:rsidR="006E10D4" w:rsidRPr="006E10D4" w14:paraId="0662E2A8" w14:textId="77777777" w:rsidTr="00163F59">
        <w:trPr>
          <w:trHeight w:val="513"/>
        </w:trPr>
        <w:tc>
          <w:tcPr>
            <w:tcW w:w="8500" w:type="dxa"/>
            <w:gridSpan w:val="2"/>
            <w:shd w:val="clear" w:color="auto" w:fill="C5E0B3"/>
          </w:tcPr>
          <w:p w14:paraId="4998CFA6" w14:textId="77777777" w:rsidR="006E10D4" w:rsidRPr="006E10D4" w:rsidRDefault="006E10D4" w:rsidP="00163F59">
            <w:pPr>
              <w:keepNext w:val="0"/>
              <w:autoSpaceDE w:val="0"/>
              <w:autoSpaceDN w:val="0"/>
              <w:adjustRightInd w:val="0"/>
              <w:spacing w:after="120"/>
              <w:jc w:val="center"/>
              <w:rPr>
                <w:rFonts w:cs="Arial"/>
                <w:b/>
                <w:color w:val="7030A0"/>
                <w:sz w:val="22"/>
                <w:lang w:val="en-US"/>
              </w:rPr>
            </w:pPr>
            <w:r w:rsidRPr="006E10D4">
              <w:rPr>
                <w:rFonts w:cs="Arial"/>
                <w:b/>
                <w:color w:val="7030A0"/>
                <w:sz w:val="22"/>
                <w:lang w:val="en-US"/>
              </w:rPr>
              <w:t>STEP THREE</w:t>
            </w:r>
          </w:p>
        </w:tc>
      </w:tr>
      <w:tr w:rsidR="006E10D4" w:rsidRPr="006E10D4" w14:paraId="3BAE273B" w14:textId="77777777" w:rsidTr="00163F59">
        <w:trPr>
          <w:trHeight w:val="110"/>
        </w:trPr>
        <w:tc>
          <w:tcPr>
            <w:tcW w:w="8500" w:type="dxa"/>
            <w:gridSpan w:val="2"/>
            <w:shd w:val="clear" w:color="auto" w:fill="C5E0B3"/>
          </w:tcPr>
          <w:p w14:paraId="1A9E0839" w14:textId="77777777" w:rsidR="006E10D4" w:rsidRPr="006E10D4" w:rsidRDefault="006E10D4" w:rsidP="00163F59">
            <w:pPr>
              <w:keepNext w:val="0"/>
              <w:autoSpaceDE w:val="0"/>
              <w:autoSpaceDN w:val="0"/>
              <w:adjustRightInd w:val="0"/>
              <w:spacing w:before="40" w:after="40"/>
              <w:ind w:left="187"/>
              <w:jc w:val="center"/>
              <w:rPr>
                <w:rFonts w:cs="Arial"/>
                <w:color w:val="auto"/>
                <w:sz w:val="22"/>
                <w:lang w:val="en-US"/>
              </w:rPr>
            </w:pPr>
            <w:r w:rsidRPr="006E10D4">
              <w:rPr>
                <w:rFonts w:cs="Arial"/>
                <w:color w:val="auto"/>
                <w:sz w:val="22"/>
                <w:lang w:val="en-US"/>
              </w:rPr>
              <w:t xml:space="preserve">Agree Developer Contributions and the terms of the S106 Agreement or if agreement cannot be reached or the </w:t>
            </w:r>
            <w:proofErr w:type="gramStart"/>
            <w:r w:rsidRPr="006E10D4">
              <w:rPr>
                <w:rFonts w:cs="Arial"/>
                <w:color w:val="auto"/>
                <w:sz w:val="22"/>
                <w:lang w:val="en-US"/>
              </w:rPr>
              <w:t>application  does</w:t>
            </w:r>
            <w:proofErr w:type="gramEnd"/>
            <w:r w:rsidRPr="006E10D4">
              <w:rPr>
                <w:rFonts w:cs="Arial"/>
                <w:color w:val="auto"/>
                <w:sz w:val="22"/>
                <w:lang w:val="en-US"/>
              </w:rPr>
              <w:t xml:space="preserve"> not meet the requirements for sustainable development the application will be refused.</w:t>
            </w:r>
          </w:p>
        </w:tc>
      </w:tr>
    </w:tbl>
    <w:p w14:paraId="2323E8F0" w14:textId="77777777" w:rsidR="006E10D4" w:rsidRPr="006E10D4" w:rsidRDefault="006E10D4" w:rsidP="006E10D4">
      <w:pPr>
        <w:keepNext w:val="0"/>
        <w:spacing w:before="0"/>
        <w:rPr>
          <w:rFonts w:cs="Arial"/>
          <w:color w:val="auto"/>
          <w:szCs w:val="24"/>
        </w:rPr>
      </w:pPr>
    </w:p>
    <w:p w14:paraId="33AC053F" w14:textId="77777777" w:rsidR="006E10D4" w:rsidRPr="006E10D4" w:rsidRDefault="006E10D4" w:rsidP="006E10D4">
      <w:pPr>
        <w:keepNext w:val="0"/>
        <w:spacing w:before="0"/>
        <w:rPr>
          <w:rFonts w:cs="Arial"/>
          <w:color w:val="auto"/>
          <w:szCs w:val="24"/>
        </w:rPr>
      </w:pPr>
    </w:p>
    <w:p w14:paraId="6952155B" w14:textId="77777777" w:rsidR="006E10D4" w:rsidRPr="006E10D4" w:rsidRDefault="006E10D4" w:rsidP="006E10D4">
      <w:pPr>
        <w:keepNext w:val="0"/>
        <w:autoSpaceDE w:val="0"/>
        <w:autoSpaceDN w:val="0"/>
        <w:adjustRightInd w:val="0"/>
        <w:spacing w:before="0"/>
        <w:ind w:left="1440"/>
        <w:rPr>
          <w:rFonts w:cs="Arial"/>
          <w:color w:val="auto"/>
          <w:szCs w:val="24"/>
          <w:lang w:val="en-US" w:eastAsia="en-US"/>
        </w:rPr>
      </w:pPr>
    </w:p>
    <w:p w14:paraId="5A297B35" w14:textId="77777777" w:rsidR="006E10D4" w:rsidRPr="006E10D4" w:rsidRDefault="006E10D4" w:rsidP="006E10D4">
      <w:pPr>
        <w:keepNext w:val="0"/>
        <w:autoSpaceDE w:val="0"/>
        <w:autoSpaceDN w:val="0"/>
        <w:adjustRightInd w:val="0"/>
        <w:spacing w:before="0"/>
        <w:ind w:left="1440"/>
        <w:rPr>
          <w:rFonts w:cs="Arial"/>
          <w:color w:val="auto"/>
          <w:szCs w:val="24"/>
          <w:lang w:val="en-US" w:eastAsia="en-US"/>
        </w:rPr>
      </w:pPr>
    </w:p>
    <w:p w14:paraId="11401166" w14:textId="06DE5ADA" w:rsidR="00ED5F54" w:rsidRPr="00ED5F54" w:rsidRDefault="006E10D4" w:rsidP="00ED5F54">
      <w:pPr>
        <w:keepNext w:val="0"/>
        <w:numPr>
          <w:ilvl w:val="1"/>
          <w:numId w:val="7"/>
        </w:numPr>
        <w:tabs>
          <w:tab w:val="clear" w:pos="525"/>
        </w:tabs>
        <w:spacing w:before="0"/>
        <w:ind w:left="709" w:hanging="851"/>
        <w:rPr>
          <w:rFonts w:cs="Arial"/>
          <w:color w:val="auto"/>
          <w:szCs w:val="24"/>
          <w:lang w:eastAsia="en-US"/>
        </w:rPr>
      </w:pPr>
      <w:r w:rsidRPr="006E10D4">
        <w:rPr>
          <w:rFonts w:eastAsia="Arial" w:cs="Arial"/>
          <w:color w:val="auto"/>
        </w:rPr>
        <w:t>The availability of information is an important part of the planning system.  Planning Practice Guidance Viability emphasises that any viability assessment should be prepared on the basis that it will be made publicly available other than in exceptional circumstances. The Council will consider exceptions to this in limited circumstances where there is a convincing case that information is commercially sensitive.</w:t>
      </w:r>
      <w:r w:rsidRPr="006E10D4">
        <w:rPr>
          <w:rFonts w:cs="Arial"/>
          <w:color w:val="auto"/>
        </w:rPr>
        <w:t xml:space="preserve"> </w:t>
      </w:r>
      <w:r w:rsidRPr="006E10D4">
        <w:rPr>
          <w:rFonts w:eastAsia="Arial" w:cs="Arial"/>
          <w:color w:val="auto"/>
        </w:rPr>
        <w:t xml:space="preserve">If aspects of any assessment </w:t>
      </w:r>
      <w:proofErr w:type="gramStart"/>
      <w:r w:rsidRPr="006E10D4">
        <w:rPr>
          <w:rFonts w:eastAsia="Arial" w:cs="Arial"/>
          <w:color w:val="auto"/>
        </w:rPr>
        <w:t>are considered to be</w:t>
      </w:r>
      <w:proofErr w:type="gramEnd"/>
      <w:r w:rsidRPr="006E10D4">
        <w:rPr>
          <w:rFonts w:eastAsia="Arial" w:cs="Arial"/>
          <w:color w:val="auto"/>
        </w:rPr>
        <w:t xml:space="preserve"> commercial sensitive the developer should agree with the Council what information will release and in what format.</w:t>
      </w:r>
    </w:p>
    <w:p w14:paraId="25B8B39C" w14:textId="77777777" w:rsidR="00ED5F54" w:rsidRDefault="00ED5F54" w:rsidP="00ED5F54">
      <w:pPr>
        <w:keepNext w:val="0"/>
        <w:spacing w:before="0"/>
        <w:ind w:left="709"/>
        <w:rPr>
          <w:rFonts w:cs="Arial"/>
          <w:color w:val="auto"/>
          <w:szCs w:val="24"/>
          <w:lang w:eastAsia="en-US"/>
        </w:rPr>
      </w:pPr>
    </w:p>
    <w:p w14:paraId="180A54F5" w14:textId="00B79649" w:rsidR="00ED5F54" w:rsidRPr="00ED5F54" w:rsidRDefault="006E10D4" w:rsidP="006977E7">
      <w:pPr>
        <w:keepNext w:val="0"/>
        <w:spacing w:before="0"/>
        <w:ind w:left="709"/>
        <w:rPr>
          <w:rFonts w:cs="Arial"/>
          <w:color w:val="auto"/>
          <w:szCs w:val="24"/>
          <w:lang w:eastAsia="en-US"/>
        </w:rPr>
      </w:pPr>
      <w:r w:rsidRPr="00ED5F54">
        <w:rPr>
          <w:rFonts w:eastAsia="Arial" w:cs="Arial"/>
          <w:b/>
          <w:bCs/>
          <w:color w:val="auto"/>
        </w:rPr>
        <w:t xml:space="preserve">A Lack </w:t>
      </w:r>
      <w:proofErr w:type="gramStart"/>
      <w:r w:rsidRPr="00ED5F54">
        <w:rPr>
          <w:rFonts w:eastAsia="Arial" w:cs="Arial"/>
          <w:b/>
          <w:bCs/>
          <w:color w:val="auto"/>
        </w:rPr>
        <w:t>Of</w:t>
      </w:r>
      <w:proofErr w:type="gramEnd"/>
      <w:r w:rsidRPr="00ED5F54">
        <w:rPr>
          <w:rFonts w:eastAsia="Arial" w:cs="Arial"/>
          <w:b/>
          <w:bCs/>
          <w:color w:val="auto"/>
        </w:rPr>
        <w:t xml:space="preserve"> Demand</w:t>
      </w:r>
    </w:p>
    <w:p w14:paraId="34945773" w14:textId="67492934" w:rsidR="006E10D4" w:rsidRPr="00A31CBB" w:rsidRDefault="006E10D4" w:rsidP="00F46258">
      <w:pPr>
        <w:keepNext w:val="0"/>
        <w:numPr>
          <w:ilvl w:val="1"/>
          <w:numId w:val="7"/>
        </w:numPr>
        <w:tabs>
          <w:tab w:val="clear" w:pos="525"/>
        </w:tabs>
        <w:spacing w:before="0"/>
        <w:ind w:left="709" w:hanging="851"/>
        <w:rPr>
          <w:rFonts w:cs="Arial"/>
          <w:color w:val="auto"/>
          <w:szCs w:val="24"/>
          <w:lang w:eastAsia="en-US"/>
        </w:rPr>
      </w:pPr>
      <w:r w:rsidRPr="00A31CBB">
        <w:rPr>
          <w:rFonts w:eastAsia="Arial" w:cs="Arial"/>
          <w:color w:val="auto"/>
        </w:rPr>
        <w:t>There is generally a presumption in favour of retaining existing and allocated future use</w:t>
      </w:r>
      <w:r w:rsidR="001165CC">
        <w:rPr>
          <w:rFonts w:eastAsia="Arial" w:cs="Arial"/>
          <w:color w:val="auto"/>
        </w:rPr>
        <w:t>s,</w:t>
      </w:r>
      <w:r w:rsidR="00A31CBB">
        <w:rPr>
          <w:rFonts w:eastAsia="Arial" w:cs="Arial"/>
          <w:color w:val="auto"/>
        </w:rPr>
        <w:t xml:space="preserve"> as such land or buildings may contribute towards economic or social objectives of sustainable development.  </w:t>
      </w:r>
      <w:r w:rsidRPr="00A31CBB">
        <w:rPr>
          <w:rFonts w:eastAsia="Arial" w:cs="Arial"/>
          <w:color w:val="auto"/>
        </w:rPr>
        <w:t>Consideration should only be given to alternative uses where an applicant is able to clearly</w:t>
      </w:r>
      <w:r w:rsidRPr="00A31CBB">
        <w:rPr>
          <w:rFonts w:cs="Arial"/>
          <w:color w:val="auto"/>
          <w:szCs w:val="24"/>
          <w:lang w:eastAsia="en-US"/>
        </w:rPr>
        <w:t xml:space="preserve"> </w:t>
      </w:r>
      <w:r w:rsidRPr="00A31CBB">
        <w:rPr>
          <w:rFonts w:eastAsia="Arial" w:cs="Arial"/>
          <w:color w:val="auto"/>
        </w:rPr>
        <w:t>demonstrate that there is no demand for the site and that it is unviable to retain the site in</w:t>
      </w:r>
      <w:r w:rsidRPr="00A31CBB">
        <w:rPr>
          <w:rFonts w:cs="Arial"/>
          <w:color w:val="auto"/>
          <w:szCs w:val="24"/>
          <w:lang w:eastAsia="en-US"/>
        </w:rPr>
        <w:t xml:space="preserve"> </w:t>
      </w:r>
      <w:r w:rsidRPr="00A31CBB">
        <w:rPr>
          <w:rFonts w:eastAsia="Arial" w:cs="Arial"/>
          <w:color w:val="auto"/>
        </w:rPr>
        <w:t>the current use.   Evidence should be included within a supporting statement that</w:t>
      </w:r>
      <w:r w:rsidRPr="00A31CBB">
        <w:rPr>
          <w:rFonts w:cs="Arial"/>
          <w:color w:val="auto"/>
          <w:szCs w:val="24"/>
          <w:lang w:eastAsia="en-US"/>
        </w:rPr>
        <w:t xml:space="preserve"> </w:t>
      </w:r>
      <w:r w:rsidRPr="00A31CBB">
        <w:rPr>
          <w:rFonts w:eastAsia="Arial" w:cs="Arial"/>
          <w:color w:val="auto"/>
        </w:rPr>
        <w:t>accompanies the planning application and demonstrates that there is no reasonable prospect of the site or buildings being used or reused for these purposes. The evidence should include</w:t>
      </w:r>
      <w:r w:rsidR="00F46258">
        <w:rPr>
          <w:rFonts w:eastAsia="Arial" w:cs="Arial"/>
          <w:color w:val="auto"/>
        </w:rPr>
        <w:t>, where relevant</w:t>
      </w:r>
      <w:r w:rsidRPr="00A31CBB">
        <w:rPr>
          <w:rFonts w:eastAsia="Arial" w:cs="Arial"/>
          <w:color w:val="auto"/>
        </w:rPr>
        <w:t>:</w:t>
      </w:r>
    </w:p>
    <w:p w14:paraId="39EBB1F7" w14:textId="77777777" w:rsidR="006E10D4" w:rsidRPr="005775C8" w:rsidRDefault="006E10D4" w:rsidP="00F46258">
      <w:pPr>
        <w:keepNext w:val="0"/>
        <w:autoSpaceDE w:val="0"/>
        <w:autoSpaceDN w:val="0"/>
        <w:adjustRightInd w:val="0"/>
        <w:spacing w:before="0"/>
        <w:rPr>
          <w:rFonts w:eastAsia="Arial" w:cs="Arial"/>
          <w:color w:val="auto"/>
        </w:rPr>
      </w:pPr>
    </w:p>
    <w:p w14:paraId="2D6DE0A0" w14:textId="2F9497D6" w:rsidR="005775C8" w:rsidRDefault="006E10D4" w:rsidP="00874A98">
      <w:pPr>
        <w:pStyle w:val="ListParagraph"/>
        <w:numPr>
          <w:ilvl w:val="0"/>
          <w:numId w:val="211"/>
        </w:numPr>
        <w:autoSpaceDE w:val="0"/>
        <w:autoSpaceDN w:val="0"/>
        <w:adjustRightInd w:val="0"/>
        <w:spacing w:after="0" w:line="240" w:lineRule="auto"/>
        <w:ind w:left="1069"/>
        <w:rPr>
          <w:rFonts w:ascii="Arial" w:eastAsia="Arial" w:hAnsi="Arial" w:cs="Arial"/>
          <w:color w:val="auto"/>
        </w:rPr>
      </w:pPr>
      <w:r w:rsidRPr="005775C8">
        <w:rPr>
          <w:rFonts w:ascii="Arial" w:eastAsia="Arial" w:hAnsi="Arial" w:cs="Arial"/>
          <w:color w:val="auto"/>
        </w:rPr>
        <w:t>The length of time the property has been unused for the use classes in question</w:t>
      </w:r>
      <w:r w:rsidR="005775C8">
        <w:rPr>
          <w:rFonts w:ascii="Arial" w:eastAsia="Arial" w:hAnsi="Arial" w:cs="Arial"/>
          <w:color w:val="auto"/>
        </w:rPr>
        <w:t>.</w:t>
      </w:r>
    </w:p>
    <w:p w14:paraId="7291AA1B" w14:textId="77777777" w:rsidR="005775C8" w:rsidRPr="005775C8" w:rsidRDefault="005775C8" w:rsidP="00F46258">
      <w:pPr>
        <w:pStyle w:val="ListParagraph"/>
        <w:autoSpaceDE w:val="0"/>
        <w:autoSpaceDN w:val="0"/>
        <w:adjustRightInd w:val="0"/>
        <w:spacing w:after="0" w:line="240" w:lineRule="auto"/>
        <w:ind w:left="1069"/>
        <w:rPr>
          <w:rFonts w:ascii="Arial" w:eastAsia="Arial" w:hAnsi="Arial" w:cs="Arial"/>
          <w:color w:val="auto"/>
        </w:rPr>
      </w:pPr>
    </w:p>
    <w:p w14:paraId="1F3A2A8E" w14:textId="38799148" w:rsidR="00F46258" w:rsidRPr="00F46258" w:rsidRDefault="00F46258" w:rsidP="00874A98">
      <w:pPr>
        <w:pStyle w:val="ListParagraph"/>
        <w:numPr>
          <w:ilvl w:val="0"/>
          <w:numId w:val="211"/>
        </w:numPr>
        <w:autoSpaceDE w:val="0"/>
        <w:autoSpaceDN w:val="0"/>
        <w:adjustRightInd w:val="0"/>
        <w:spacing w:after="0" w:line="240" w:lineRule="auto"/>
        <w:ind w:left="1069"/>
        <w:rPr>
          <w:rFonts w:ascii="Arial" w:eastAsia="Arial" w:hAnsi="Arial" w:cs="Arial"/>
          <w:color w:val="auto"/>
        </w:rPr>
      </w:pPr>
      <w:r w:rsidRPr="00F46258">
        <w:rPr>
          <w:rFonts w:ascii="Arial" w:eastAsia="Arial" w:hAnsi="Arial" w:cs="Arial"/>
          <w:color w:val="auto"/>
        </w:rPr>
        <w:t>That the existing or recent business is not financially viable, as evidenced by trading accounts for the last three years in which the business was operating as a full-time business</w:t>
      </w:r>
      <w:r w:rsidR="00CD5564">
        <w:rPr>
          <w:rFonts w:ascii="Arial" w:eastAsia="Arial" w:hAnsi="Arial" w:cs="Arial"/>
          <w:color w:val="auto"/>
        </w:rPr>
        <w:t>.</w:t>
      </w:r>
    </w:p>
    <w:p w14:paraId="157F47A1" w14:textId="77777777" w:rsidR="00F46258" w:rsidRPr="00F46258" w:rsidRDefault="00F46258" w:rsidP="00F46258">
      <w:pPr>
        <w:pStyle w:val="ListParagraph"/>
        <w:spacing w:after="0" w:line="240" w:lineRule="auto"/>
        <w:rPr>
          <w:rFonts w:ascii="Arial" w:eastAsia="Arial" w:hAnsi="Arial" w:cs="Arial"/>
          <w:color w:val="auto"/>
        </w:rPr>
      </w:pPr>
    </w:p>
    <w:p w14:paraId="4EEBAE40" w14:textId="3B80D80D" w:rsidR="00F46258" w:rsidRPr="00F46258" w:rsidRDefault="00F46258" w:rsidP="00874A98">
      <w:pPr>
        <w:pStyle w:val="ListParagraph"/>
        <w:numPr>
          <w:ilvl w:val="0"/>
          <w:numId w:val="211"/>
        </w:numPr>
        <w:autoSpaceDE w:val="0"/>
        <w:autoSpaceDN w:val="0"/>
        <w:adjustRightInd w:val="0"/>
        <w:spacing w:after="0" w:line="240" w:lineRule="auto"/>
        <w:ind w:left="1069"/>
        <w:rPr>
          <w:rFonts w:ascii="Arial" w:eastAsia="Arial" w:hAnsi="Arial" w:cs="Arial"/>
          <w:color w:val="auto"/>
        </w:rPr>
      </w:pPr>
      <w:r w:rsidRPr="00F46258">
        <w:rPr>
          <w:rFonts w:ascii="Arial" w:eastAsia="Arial" w:hAnsi="Arial" w:cs="Arial"/>
          <w:color w:val="auto"/>
        </w:rPr>
        <w:t>A range of measures were tried or explored to increase trade and diversify use</w:t>
      </w:r>
      <w:r w:rsidR="00CD5564">
        <w:rPr>
          <w:rFonts w:ascii="Arial" w:eastAsia="Arial" w:hAnsi="Arial" w:cs="Arial"/>
          <w:color w:val="auto"/>
        </w:rPr>
        <w:t>.</w:t>
      </w:r>
      <w:r w:rsidRPr="00F46258">
        <w:rPr>
          <w:rFonts w:ascii="Arial" w:eastAsia="Arial" w:hAnsi="Arial" w:cs="Arial"/>
          <w:color w:val="auto"/>
        </w:rPr>
        <w:t xml:space="preserve"> </w:t>
      </w:r>
    </w:p>
    <w:p w14:paraId="4288A105" w14:textId="77777777" w:rsidR="00F46258" w:rsidRPr="00F46258" w:rsidRDefault="00F46258" w:rsidP="00F46258">
      <w:pPr>
        <w:pStyle w:val="ListParagraph"/>
        <w:spacing w:after="0" w:line="240" w:lineRule="auto"/>
        <w:rPr>
          <w:rFonts w:ascii="Arial" w:eastAsia="Arial" w:hAnsi="Arial" w:cs="Arial"/>
          <w:color w:val="auto"/>
        </w:rPr>
      </w:pPr>
    </w:p>
    <w:p w14:paraId="0E961982" w14:textId="2F5D37CA" w:rsidR="00F46258" w:rsidRDefault="00F46258" w:rsidP="00874A98">
      <w:pPr>
        <w:pStyle w:val="ListParagraph"/>
        <w:numPr>
          <w:ilvl w:val="0"/>
          <w:numId w:val="211"/>
        </w:numPr>
        <w:autoSpaceDE w:val="0"/>
        <w:autoSpaceDN w:val="0"/>
        <w:adjustRightInd w:val="0"/>
        <w:spacing w:after="0" w:line="240" w:lineRule="auto"/>
        <w:ind w:left="1069"/>
        <w:rPr>
          <w:rFonts w:ascii="Arial" w:eastAsia="Arial" w:hAnsi="Arial" w:cs="Arial"/>
          <w:color w:val="auto"/>
        </w:rPr>
      </w:pPr>
      <w:r w:rsidRPr="00F46258">
        <w:rPr>
          <w:rFonts w:ascii="Arial" w:eastAsia="Arial" w:hAnsi="Arial" w:cs="Arial"/>
          <w:color w:val="auto"/>
        </w:rPr>
        <w:t>The facility has been adequately marketed, including internet, and local and national publications.</w:t>
      </w:r>
    </w:p>
    <w:p w14:paraId="263216A1" w14:textId="77777777" w:rsidR="00F46258" w:rsidRPr="00F46258" w:rsidRDefault="00F46258" w:rsidP="00F46258">
      <w:pPr>
        <w:autoSpaceDE w:val="0"/>
        <w:autoSpaceDN w:val="0"/>
        <w:adjustRightInd w:val="0"/>
        <w:spacing w:before="0"/>
        <w:rPr>
          <w:rFonts w:eastAsia="Arial" w:cs="Arial"/>
          <w:color w:val="auto"/>
        </w:rPr>
      </w:pPr>
    </w:p>
    <w:p w14:paraId="2E14A121" w14:textId="7557F1F5" w:rsidR="00F46258" w:rsidRDefault="006E10D4" w:rsidP="00874A98">
      <w:pPr>
        <w:pStyle w:val="ListParagraph"/>
        <w:numPr>
          <w:ilvl w:val="0"/>
          <w:numId w:val="211"/>
        </w:numPr>
        <w:autoSpaceDE w:val="0"/>
        <w:autoSpaceDN w:val="0"/>
        <w:adjustRightInd w:val="0"/>
        <w:spacing w:after="0" w:line="240" w:lineRule="auto"/>
        <w:ind w:left="1069"/>
        <w:rPr>
          <w:rFonts w:ascii="Arial" w:eastAsia="Arial" w:hAnsi="Arial" w:cs="Arial"/>
          <w:color w:val="auto"/>
        </w:rPr>
      </w:pPr>
      <w:r w:rsidRPr="005775C8">
        <w:rPr>
          <w:rFonts w:ascii="Arial" w:eastAsia="Arial" w:hAnsi="Arial" w:cs="Arial"/>
          <w:color w:val="auto"/>
        </w:rPr>
        <w:t>The length of time during which the property has been actively marketed.</w:t>
      </w:r>
      <w:r w:rsidRPr="005775C8">
        <w:rPr>
          <w:rFonts w:ascii="Arial" w:eastAsia="Calibri" w:hAnsi="Arial" w:cs="Arial"/>
          <w:color w:val="auto"/>
        </w:rPr>
        <w:t xml:space="preserve"> </w:t>
      </w:r>
      <w:proofErr w:type="gramStart"/>
      <w:r w:rsidRPr="005775C8">
        <w:rPr>
          <w:rFonts w:ascii="Arial" w:eastAsia="Arial" w:hAnsi="Arial" w:cs="Arial"/>
          <w:color w:val="auto"/>
        </w:rPr>
        <w:t>In order to</w:t>
      </w:r>
      <w:proofErr w:type="gramEnd"/>
      <w:r w:rsidRPr="005775C8">
        <w:rPr>
          <w:rFonts w:ascii="Arial" w:eastAsia="Arial" w:hAnsi="Arial" w:cs="Arial"/>
          <w:color w:val="auto"/>
        </w:rPr>
        <w:t xml:space="preserve"> prove that there is a significant lack of demand for the existing </w:t>
      </w:r>
      <w:r w:rsidRPr="005775C8">
        <w:rPr>
          <w:rFonts w:ascii="Arial" w:eastAsia="Arial" w:hAnsi="Arial" w:cs="Arial"/>
          <w:color w:val="auto"/>
        </w:rPr>
        <w:lastRenderedPageBreak/>
        <w:t>premises, it is anticipated that the landowner should have openly marketed the site for sale or let for a period of at least 12 months. Depending upon the location of the premises, it may be more appropriate to increase this period to 18 months, especially if in a secondary location where</w:t>
      </w:r>
      <w:r w:rsidRPr="005775C8">
        <w:rPr>
          <w:rFonts w:ascii="Arial" w:eastAsia="Calibri" w:hAnsi="Arial" w:cs="Arial"/>
          <w:color w:val="auto"/>
        </w:rPr>
        <w:t xml:space="preserve"> </w:t>
      </w:r>
      <w:r w:rsidRPr="005775C8">
        <w:rPr>
          <w:rFonts w:ascii="Arial" w:eastAsia="Arial" w:hAnsi="Arial" w:cs="Arial"/>
          <w:color w:val="auto"/>
        </w:rPr>
        <w:t>demand is consistently slow to emerge.</w:t>
      </w:r>
      <w:r w:rsidRPr="005775C8">
        <w:rPr>
          <w:rFonts w:ascii="Arial" w:eastAsia="Calibri" w:hAnsi="Arial" w:cs="Arial"/>
          <w:color w:val="auto"/>
        </w:rPr>
        <w:t xml:space="preserve"> (</w:t>
      </w:r>
      <w:r w:rsidRPr="005775C8">
        <w:rPr>
          <w:rFonts w:ascii="Arial" w:eastAsia="Arial" w:hAnsi="Arial" w:cs="Arial"/>
          <w:color w:val="auto"/>
        </w:rPr>
        <w:t>This will depend upon the location of the premises and the state of the market).</w:t>
      </w:r>
    </w:p>
    <w:p w14:paraId="3754EA33" w14:textId="77777777" w:rsidR="005775C8" w:rsidRPr="00F46258" w:rsidRDefault="005775C8" w:rsidP="00F46258">
      <w:pPr>
        <w:autoSpaceDE w:val="0"/>
        <w:autoSpaceDN w:val="0"/>
        <w:adjustRightInd w:val="0"/>
        <w:spacing w:before="0"/>
        <w:rPr>
          <w:rFonts w:eastAsia="Arial" w:cs="Arial"/>
          <w:color w:val="auto"/>
        </w:rPr>
      </w:pPr>
    </w:p>
    <w:p w14:paraId="49280C40" w14:textId="775C92B1" w:rsidR="005775C8" w:rsidRDefault="006E10D4" w:rsidP="00874A98">
      <w:pPr>
        <w:pStyle w:val="ListParagraph"/>
        <w:numPr>
          <w:ilvl w:val="0"/>
          <w:numId w:val="211"/>
        </w:numPr>
        <w:autoSpaceDE w:val="0"/>
        <w:autoSpaceDN w:val="0"/>
        <w:adjustRightInd w:val="0"/>
        <w:spacing w:after="0" w:line="240" w:lineRule="auto"/>
        <w:ind w:left="1069"/>
        <w:rPr>
          <w:rFonts w:ascii="Arial" w:eastAsia="Arial" w:hAnsi="Arial" w:cs="Arial"/>
          <w:color w:val="auto"/>
        </w:rPr>
      </w:pPr>
      <w:r w:rsidRPr="00F46258">
        <w:rPr>
          <w:rFonts w:ascii="Arial" w:eastAsia="Arial" w:hAnsi="Arial" w:cs="Arial"/>
          <w:color w:val="auto"/>
        </w:rPr>
        <w:t>That the site has been marketed</w:t>
      </w:r>
      <w:r w:rsidRPr="005775C8">
        <w:rPr>
          <w:rFonts w:ascii="Arial" w:eastAsia="Arial" w:hAnsi="Arial" w:cs="Arial"/>
          <w:color w:val="auto"/>
        </w:rPr>
        <w:t xml:space="preserve"> at an appropriate price to reflect the current use and the price should be justifiable given market conditions over time. If the site represents an employment redevelopment opportunity, an open request for offers may be more suitable </w:t>
      </w:r>
      <w:proofErr w:type="gramStart"/>
      <w:r w:rsidRPr="005775C8">
        <w:rPr>
          <w:rFonts w:ascii="Arial" w:eastAsia="Arial" w:hAnsi="Arial" w:cs="Arial"/>
          <w:color w:val="auto"/>
        </w:rPr>
        <w:t>in order to</w:t>
      </w:r>
      <w:proofErr w:type="gramEnd"/>
      <w:r w:rsidRPr="005775C8">
        <w:rPr>
          <w:rFonts w:ascii="Arial" w:eastAsia="Arial" w:hAnsi="Arial" w:cs="Arial"/>
          <w:color w:val="auto"/>
        </w:rPr>
        <w:t xml:space="preserve"> attract the widest interest.   The prices at which the land and buildings have been marketed during this period should reflect that obtained for similar property in the locality and the evidence should identify the appropriate comparable evidence.</w:t>
      </w:r>
    </w:p>
    <w:p w14:paraId="52D5C240" w14:textId="77777777" w:rsidR="005775C8" w:rsidRPr="005775C8" w:rsidRDefault="005775C8" w:rsidP="00A31CBB">
      <w:pPr>
        <w:pStyle w:val="ListParagraph"/>
        <w:spacing w:after="0" w:line="240" w:lineRule="auto"/>
        <w:ind w:left="902"/>
        <w:rPr>
          <w:rFonts w:ascii="Arial" w:eastAsia="Arial" w:hAnsi="Arial" w:cs="Arial"/>
          <w:color w:val="auto"/>
        </w:rPr>
      </w:pPr>
    </w:p>
    <w:p w14:paraId="7B261EEB" w14:textId="77777777" w:rsidR="0064018F" w:rsidRDefault="006E10D4" w:rsidP="00874A98">
      <w:pPr>
        <w:pStyle w:val="ListParagraph"/>
        <w:numPr>
          <w:ilvl w:val="0"/>
          <w:numId w:val="211"/>
        </w:numPr>
        <w:autoSpaceDE w:val="0"/>
        <w:autoSpaceDN w:val="0"/>
        <w:adjustRightInd w:val="0"/>
        <w:spacing w:after="0" w:line="240" w:lineRule="auto"/>
        <w:ind w:left="1069"/>
        <w:rPr>
          <w:rFonts w:ascii="Arial" w:eastAsia="Arial" w:hAnsi="Arial" w:cs="Arial"/>
          <w:color w:val="auto"/>
        </w:rPr>
      </w:pPr>
      <w:proofErr w:type="gramStart"/>
      <w:r w:rsidRPr="005775C8">
        <w:rPr>
          <w:rFonts w:ascii="Arial" w:eastAsia="Arial" w:hAnsi="Arial" w:cs="Arial"/>
          <w:color w:val="auto"/>
        </w:rPr>
        <w:t>A full record of enquiries,</w:t>
      </w:r>
      <w:proofErr w:type="gramEnd"/>
      <w:r w:rsidRPr="005775C8">
        <w:rPr>
          <w:rFonts w:ascii="Arial" w:eastAsia="Arial" w:hAnsi="Arial" w:cs="Arial"/>
          <w:color w:val="auto"/>
        </w:rPr>
        <w:t xml:space="preserve"> interested parties and bids should be recorded, with explanations and substantiation of why they have not been progressed.</w:t>
      </w:r>
    </w:p>
    <w:p w14:paraId="48461BCC" w14:textId="1724D5AD" w:rsidR="005775C8" w:rsidRPr="0064018F" w:rsidRDefault="006E10D4" w:rsidP="00A31CBB">
      <w:pPr>
        <w:autoSpaceDE w:val="0"/>
        <w:autoSpaceDN w:val="0"/>
        <w:adjustRightInd w:val="0"/>
        <w:spacing w:before="0"/>
        <w:ind w:left="182"/>
        <w:rPr>
          <w:rFonts w:eastAsia="Arial" w:cs="Arial"/>
          <w:color w:val="auto"/>
        </w:rPr>
      </w:pPr>
      <w:r w:rsidRPr="0064018F">
        <w:rPr>
          <w:rFonts w:eastAsia="Arial" w:cs="Arial"/>
          <w:color w:val="auto"/>
        </w:rPr>
        <w:t xml:space="preserve">   </w:t>
      </w:r>
    </w:p>
    <w:p w14:paraId="6F67C0DE" w14:textId="753D9D07" w:rsidR="005775C8" w:rsidRDefault="006E10D4" w:rsidP="00874A98">
      <w:pPr>
        <w:pStyle w:val="ListParagraph"/>
        <w:numPr>
          <w:ilvl w:val="0"/>
          <w:numId w:val="211"/>
        </w:numPr>
        <w:autoSpaceDE w:val="0"/>
        <w:autoSpaceDN w:val="0"/>
        <w:adjustRightInd w:val="0"/>
        <w:spacing w:after="0" w:line="240" w:lineRule="auto"/>
        <w:ind w:left="1069"/>
        <w:rPr>
          <w:rFonts w:ascii="Arial" w:eastAsia="Arial" w:hAnsi="Arial" w:cs="Arial"/>
          <w:color w:val="auto"/>
        </w:rPr>
      </w:pPr>
      <w:r w:rsidRPr="005775C8">
        <w:rPr>
          <w:rFonts w:ascii="Arial" w:eastAsia="Arial" w:hAnsi="Arial" w:cs="Arial"/>
          <w:color w:val="auto"/>
        </w:rPr>
        <w:t>An evaluation of why it is considered that the property has failed to attract interest from potential occupiers or for redevelopment.</w:t>
      </w:r>
    </w:p>
    <w:p w14:paraId="57BDFA2C" w14:textId="77777777" w:rsidR="005775C8" w:rsidRPr="005775C8" w:rsidRDefault="005775C8" w:rsidP="00A31CBB">
      <w:pPr>
        <w:pStyle w:val="ListParagraph"/>
        <w:autoSpaceDE w:val="0"/>
        <w:autoSpaceDN w:val="0"/>
        <w:adjustRightInd w:val="0"/>
        <w:spacing w:after="0" w:line="240" w:lineRule="auto"/>
        <w:ind w:left="1069"/>
        <w:rPr>
          <w:rFonts w:ascii="Arial" w:eastAsia="Arial" w:hAnsi="Arial" w:cs="Arial"/>
          <w:color w:val="auto"/>
        </w:rPr>
      </w:pPr>
    </w:p>
    <w:p w14:paraId="40793563" w14:textId="001AEA19" w:rsidR="006E10D4" w:rsidRPr="005775C8" w:rsidRDefault="006E10D4" w:rsidP="00874A98">
      <w:pPr>
        <w:pStyle w:val="ListParagraph"/>
        <w:numPr>
          <w:ilvl w:val="0"/>
          <w:numId w:val="211"/>
        </w:numPr>
        <w:autoSpaceDE w:val="0"/>
        <w:autoSpaceDN w:val="0"/>
        <w:adjustRightInd w:val="0"/>
        <w:spacing w:after="0" w:line="240" w:lineRule="auto"/>
        <w:ind w:left="1069"/>
        <w:rPr>
          <w:rFonts w:ascii="Arial" w:eastAsia="Arial" w:hAnsi="Arial" w:cs="Arial"/>
          <w:color w:val="auto"/>
        </w:rPr>
      </w:pPr>
      <w:r w:rsidRPr="005775C8">
        <w:rPr>
          <w:rFonts w:ascii="Arial" w:eastAsia="Arial" w:hAnsi="Arial" w:cs="Arial"/>
          <w:color w:val="auto"/>
        </w:rPr>
        <w:t xml:space="preserve">Why the site or buildings are physically unsuitable for the use classes even after adaptation (including </w:t>
      </w:r>
      <w:r w:rsidR="00EA7D34" w:rsidRPr="005775C8">
        <w:rPr>
          <w:rFonts w:ascii="Arial" w:eastAsia="Arial" w:hAnsi="Arial" w:cs="Arial"/>
          <w:color w:val="auto"/>
        </w:rPr>
        <w:t>subdivision</w:t>
      </w:r>
      <w:r w:rsidRPr="005775C8">
        <w:rPr>
          <w:rFonts w:ascii="Arial" w:eastAsia="Arial" w:hAnsi="Arial" w:cs="Arial"/>
          <w:color w:val="auto"/>
        </w:rPr>
        <w:t xml:space="preserve"> into smaller units) refurbishment or redevelopment, in terms of siting, design, access, layout and relationship to neighbouring buildings and uses.</w:t>
      </w:r>
    </w:p>
    <w:p w14:paraId="389C53A9" w14:textId="131B6935" w:rsidR="006E10D4" w:rsidRDefault="006E10D4" w:rsidP="00340B1E">
      <w:pPr>
        <w:keepNext w:val="0"/>
        <w:spacing w:before="0"/>
        <w:rPr>
          <w:rFonts w:eastAsia="Arial" w:cs="Arial"/>
          <w:color w:val="auto"/>
        </w:rPr>
      </w:pPr>
    </w:p>
    <w:p w14:paraId="1D9FC83C" w14:textId="15D15F32" w:rsidR="006977E7" w:rsidRDefault="006977E7" w:rsidP="00340B1E">
      <w:pPr>
        <w:keepNext w:val="0"/>
        <w:spacing w:before="0"/>
        <w:rPr>
          <w:rFonts w:eastAsia="Arial" w:cs="Arial"/>
          <w:color w:val="auto"/>
        </w:rPr>
      </w:pPr>
    </w:p>
    <w:p w14:paraId="1C3DB9E3" w14:textId="77777777" w:rsidR="006977E7" w:rsidRPr="005775C8" w:rsidRDefault="006977E7" w:rsidP="00340B1E">
      <w:pPr>
        <w:keepNext w:val="0"/>
        <w:spacing w:before="0"/>
        <w:rPr>
          <w:rFonts w:eastAsia="Arial" w:cs="Arial"/>
          <w:color w:val="auto"/>
        </w:rPr>
      </w:pPr>
    </w:p>
    <w:p w14:paraId="2646E146" w14:textId="5207E37A" w:rsidR="006E10D4" w:rsidRPr="00825421" w:rsidRDefault="006977E7" w:rsidP="00825421">
      <w:pPr>
        <w:pStyle w:val="Heading2"/>
        <w:jc w:val="left"/>
        <w:rPr>
          <w:rFonts w:eastAsia="Arial"/>
          <w:sz w:val="28"/>
          <w:szCs w:val="28"/>
        </w:rPr>
      </w:pPr>
      <w:bookmarkStart w:id="314" w:name="_Toc145511616"/>
      <w:r w:rsidRPr="00825421">
        <w:rPr>
          <w:rFonts w:eastAsia="Arial"/>
          <w:sz w:val="28"/>
          <w:szCs w:val="28"/>
        </w:rPr>
        <w:t xml:space="preserve">Policy </w:t>
      </w:r>
      <w:r w:rsidR="006E10D4" w:rsidRPr="00825421">
        <w:rPr>
          <w:rFonts w:eastAsia="Arial"/>
          <w:sz w:val="28"/>
          <w:szCs w:val="28"/>
        </w:rPr>
        <w:t>SD</w:t>
      </w:r>
      <w:r w:rsidR="0064018F" w:rsidRPr="00825421">
        <w:rPr>
          <w:rFonts w:eastAsia="Arial"/>
          <w:sz w:val="28"/>
          <w:szCs w:val="28"/>
        </w:rPr>
        <w:t>7</w:t>
      </w:r>
      <w:r w:rsidR="006E10D4" w:rsidRPr="00825421">
        <w:rPr>
          <w:rFonts w:eastAsia="Arial"/>
          <w:sz w:val="28"/>
          <w:szCs w:val="28"/>
        </w:rPr>
        <w:t>: Communications Infrastructure</w:t>
      </w:r>
      <w:bookmarkEnd w:id="314"/>
    </w:p>
    <w:p w14:paraId="63718F95" w14:textId="169E3DE5" w:rsidR="006E10D4" w:rsidRDefault="006E10D4" w:rsidP="006E10D4">
      <w:pPr>
        <w:keepNext w:val="0"/>
        <w:spacing w:before="0"/>
        <w:ind w:left="527"/>
        <w:rPr>
          <w:rFonts w:cs="Arial"/>
          <w:color w:val="auto"/>
          <w:szCs w:val="24"/>
          <w:lang w:eastAsia="en-US"/>
        </w:rPr>
      </w:pPr>
    </w:p>
    <w:p w14:paraId="1AD2CBFD" w14:textId="74DF1060" w:rsidR="00DA3B66" w:rsidRDefault="00DA3B66" w:rsidP="00DA3B66">
      <w:pPr>
        <w:keepNext w:val="0"/>
        <w:spacing w:before="0"/>
        <w:rPr>
          <w:rFonts w:eastAsia="Arial"/>
          <w:bCs/>
          <w:color w:val="auto"/>
          <w:szCs w:val="24"/>
        </w:rPr>
      </w:pPr>
    </w:p>
    <w:tbl>
      <w:tblPr>
        <w:tblStyle w:val="TableGrid3"/>
        <w:tblW w:w="9634" w:type="dxa"/>
        <w:tblLook w:val="04A0" w:firstRow="1" w:lastRow="0" w:firstColumn="1" w:lastColumn="0" w:noHBand="0" w:noVBand="1"/>
      </w:tblPr>
      <w:tblGrid>
        <w:gridCol w:w="2263"/>
        <w:gridCol w:w="397"/>
        <w:gridCol w:w="6974"/>
      </w:tblGrid>
      <w:tr w:rsidR="00882EFF" w:rsidRPr="00882EFF" w14:paraId="01D10C70" w14:textId="77777777" w:rsidTr="00DD4136">
        <w:trPr>
          <w:trHeight w:val="421"/>
        </w:trPr>
        <w:tc>
          <w:tcPr>
            <w:tcW w:w="9634" w:type="dxa"/>
            <w:gridSpan w:val="3"/>
          </w:tcPr>
          <w:p w14:paraId="6DA5844A" w14:textId="79D6770F" w:rsidR="00882EFF" w:rsidRPr="00882EFF" w:rsidRDefault="00882EFF" w:rsidP="00905CC9">
            <w:pPr>
              <w:keepNext w:val="0"/>
              <w:tabs>
                <w:tab w:val="left" w:pos="680"/>
              </w:tabs>
              <w:spacing w:after="120"/>
              <w:jc w:val="left"/>
              <w:rPr>
                <w:rFonts w:eastAsia="Arial"/>
                <w:b/>
                <w:color w:val="538135"/>
                <w:spacing w:val="-1"/>
              </w:rPr>
            </w:pPr>
            <w:bookmarkStart w:id="315" w:name="_Hlk78824659"/>
            <w:r w:rsidRPr="00882EFF">
              <w:rPr>
                <w:rFonts w:eastAsia="Arial"/>
                <w:b/>
                <w:color w:val="auto"/>
                <w:spacing w:val="-1"/>
              </w:rPr>
              <w:t xml:space="preserve">Policy </w:t>
            </w:r>
            <w:r w:rsidRPr="008F21DB">
              <w:rPr>
                <w:rFonts w:eastAsia="Arial"/>
                <w:b/>
                <w:color w:val="auto"/>
                <w:spacing w:val="-1"/>
              </w:rPr>
              <w:t>S</w:t>
            </w:r>
            <w:r w:rsidR="0064018F">
              <w:rPr>
                <w:rFonts w:eastAsia="Arial"/>
                <w:b/>
                <w:color w:val="auto"/>
                <w:spacing w:val="-1"/>
              </w:rPr>
              <w:t>D7</w:t>
            </w:r>
            <w:r w:rsidRPr="008F21DB">
              <w:rPr>
                <w:rFonts w:eastAsia="Arial"/>
                <w:b/>
                <w:color w:val="auto"/>
                <w:spacing w:val="-1"/>
              </w:rPr>
              <w:t>: Communications Infrastructure</w:t>
            </w:r>
          </w:p>
        </w:tc>
      </w:tr>
      <w:tr w:rsidR="00882EFF" w:rsidRPr="00882EFF" w14:paraId="04B1C794" w14:textId="77777777" w:rsidTr="00DD4136">
        <w:tc>
          <w:tcPr>
            <w:tcW w:w="2660" w:type="dxa"/>
            <w:gridSpan w:val="2"/>
          </w:tcPr>
          <w:p w14:paraId="4BD6DA69" w14:textId="77777777" w:rsidR="00882EFF" w:rsidRPr="008F21DB" w:rsidRDefault="00882EFF" w:rsidP="00882EFF">
            <w:pPr>
              <w:keepNext w:val="0"/>
              <w:tabs>
                <w:tab w:val="left" w:pos="680"/>
              </w:tabs>
              <w:spacing w:before="0"/>
              <w:rPr>
                <w:rFonts w:eastAsia="Arial"/>
                <w:bCs/>
                <w:color w:val="auto"/>
              </w:rPr>
            </w:pPr>
            <w:r w:rsidRPr="008F21DB">
              <w:rPr>
                <w:rFonts w:eastAsia="Arial"/>
                <w:bCs/>
                <w:color w:val="auto"/>
              </w:rPr>
              <w:t>Strategic Objectives</w:t>
            </w:r>
          </w:p>
        </w:tc>
        <w:tc>
          <w:tcPr>
            <w:tcW w:w="6974" w:type="dxa"/>
          </w:tcPr>
          <w:p w14:paraId="0C85D10E" w14:textId="77777777" w:rsidR="00882EFF" w:rsidRPr="008F21DB" w:rsidRDefault="00882EFF" w:rsidP="00905CC9">
            <w:pPr>
              <w:keepNext w:val="0"/>
              <w:tabs>
                <w:tab w:val="left" w:pos="680"/>
              </w:tabs>
              <w:spacing w:before="40" w:after="40"/>
              <w:jc w:val="left"/>
              <w:rPr>
                <w:rFonts w:eastAsia="Arial"/>
                <w:bCs/>
                <w:color w:val="auto"/>
              </w:rPr>
            </w:pPr>
            <w:r w:rsidRPr="008F21DB">
              <w:rPr>
                <w:rFonts w:eastAsia="Arial"/>
                <w:bCs/>
                <w:color w:val="auto"/>
              </w:rPr>
              <w:t>SO1, SO4, SO5, SO6, SO7, SO8, SO9, SO10, SO12, SO14.</w:t>
            </w:r>
          </w:p>
        </w:tc>
      </w:tr>
      <w:tr w:rsidR="00882EFF" w:rsidRPr="00882EFF" w14:paraId="6319A6C3" w14:textId="77777777" w:rsidTr="00DD4136">
        <w:tc>
          <w:tcPr>
            <w:tcW w:w="9634" w:type="dxa"/>
            <w:gridSpan w:val="3"/>
            <w:shd w:val="clear" w:color="auto" w:fill="DAC4F8"/>
          </w:tcPr>
          <w:p w14:paraId="334222CD" w14:textId="77777777" w:rsidR="00882EFF" w:rsidRPr="00882EFF" w:rsidRDefault="00882EFF" w:rsidP="00905CC9">
            <w:pPr>
              <w:keepNext w:val="0"/>
              <w:tabs>
                <w:tab w:val="left" w:pos="680"/>
                <w:tab w:val="left" w:pos="1133"/>
                <w:tab w:val="left" w:pos="2267"/>
              </w:tabs>
              <w:spacing w:before="0"/>
              <w:ind w:right="284"/>
              <w:jc w:val="left"/>
              <w:rPr>
                <w:rFonts w:eastAsia="Arial"/>
                <w:bCs/>
                <w:color w:val="auto"/>
              </w:rPr>
            </w:pPr>
          </w:p>
          <w:p w14:paraId="0B3DE87E" w14:textId="77777777" w:rsidR="00882EFF" w:rsidRPr="00882EFF" w:rsidRDefault="00882EFF" w:rsidP="00905CC9">
            <w:pPr>
              <w:keepNext w:val="0"/>
              <w:tabs>
                <w:tab w:val="left" w:pos="680"/>
                <w:tab w:val="left" w:pos="1133"/>
                <w:tab w:val="left" w:pos="2267"/>
              </w:tabs>
              <w:spacing w:before="0"/>
              <w:ind w:right="284"/>
              <w:jc w:val="left"/>
              <w:rPr>
                <w:rFonts w:eastAsia="Arial"/>
                <w:b/>
                <w:color w:val="auto"/>
              </w:rPr>
            </w:pPr>
            <w:r w:rsidRPr="00882EFF">
              <w:rPr>
                <w:rFonts w:eastAsia="Arial"/>
                <w:b/>
                <w:color w:val="auto"/>
              </w:rPr>
              <w:t>Telecommunications</w:t>
            </w:r>
          </w:p>
          <w:p w14:paraId="610CF154" w14:textId="77777777" w:rsidR="00882EFF" w:rsidRPr="00882EFF" w:rsidRDefault="00882EFF" w:rsidP="00874A98">
            <w:pPr>
              <w:keepNext w:val="0"/>
              <w:numPr>
                <w:ilvl w:val="0"/>
                <w:numId w:val="182"/>
              </w:numPr>
              <w:tabs>
                <w:tab w:val="left" w:pos="680"/>
                <w:tab w:val="left" w:pos="1133"/>
                <w:tab w:val="left" w:pos="2267"/>
              </w:tabs>
              <w:spacing w:before="0"/>
              <w:ind w:right="284"/>
              <w:jc w:val="left"/>
              <w:rPr>
                <w:rFonts w:eastAsia="Arial"/>
                <w:bCs/>
                <w:color w:val="auto"/>
              </w:rPr>
            </w:pPr>
            <w:r w:rsidRPr="00882EFF">
              <w:rPr>
                <w:rFonts w:eastAsia="Arial"/>
                <w:bCs/>
                <w:color w:val="auto"/>
              </w:rPr>
              <w:t>Telecommunications development proposals will be permitted where:</w:t>
            </w:r>
          </w:p>
          <w:p w14:paraId="48930F43" w14:textId="77777777" w:rsidR="00882EFF" w:rsidRPr="00882EFF" w:rsidRDefault="00882EFF" w:rsidP="00905CC9">
            <w:pPr>
              <w:keepNext w:val="0"/>
              <w:tabs>
                <w:tab w:val="left" w:pos="680"/>
              </w:tabs>
              <w:spacing w:before="0"/>
              <w:jc w:val="left"/>
              <w:rPr>
                <w:rFonts w:eastAsia="Arial"/>
                <w:bCs/>
                <w:color w:val="auto"/>
              </w:rPr>
            </w:pPr>
          </w:p>
          <w:p w14:paraId="4CBD5ED2" w14:textId="201EA8FD" w:rsidR="00882EFF" w:rsidRPr="00882EFF" w:rsidRDefault="00882EFF" w:rsidP="00874A98">
            <w:pPr>
              <w:keepNext w:val="0"/>
              <w:numPr>
                <w:ilvl w:val="0"/>
                <w:numId w:val="183"/>
              </w:numPr>
              <w:tabs>
                <w:tab w:val="left" w:pos="680"/>
              </w:tabs>
              <w:spacing w:before="0"/>
              <w:jc w:val="left"/>
              <w:rPr>
                <w:rFonts w:eastAsia="Arial"/>
                <w:bCs/>
                <w:color w:val="auto"/>
              </w:rPr>
            </w:pPr>
            <w:r w:rsidRPr="00882EFF">
              <w:rPr>
                <w:rFonts w:eastAsia="Arial"/>
                <w:bCs/>
                <w:color w:val="auto"/>
              </w:rPr>
              <w:t>The siting and external appearance of any installation is designed to minimise the impact on the character or appearance of the building on which, or space in which, the equipment is located</w:t>
            </w:r>
            <w:r w:rsidR="00CD5564">
              <w:rPr>
                <w:rFonts w:eastAsia="Arial"/>
                <w:bCs/>
                <w:color w:val="auto"/>
              </w:rPr>
              <w:t>;</w:t>
            </w:r>
          </w:p>
          <w:p w14:paraId="17EB8432" w14:textId="77777777" w:rsidR="00882EFF" w:rsidRPr="00882EFF" w:rsidRDefault="00882EFF" w:rsidP="00905CC9">
            <w:pPr>
              <w:keepNext w:val="0"/>
              <w:tabs>
                <w:tab w:val="left" w:pos="680"/>
              </w:tabs>
              <w:spacing w:before="0"/>
              <w:ind w:left="720"/>
              <w:jc w:val="left"/>
              <w:rPr>
                <w:rFonts w:eastAsia="Arial"/>
                <w:bCs/>
                <w:color w:val="auto"/>
              </w:rPr>
            </w:pPr>
          </w:p>
          <w:p w14:paraId="413B26D7" w14:textId="77777777" w:rsidR="00882EFF" w:rsidRPr="00882EFF" w:rsidRDefault="00882EFF" w:rsidP="00874A98">
            <w:pPr>
              <w:keepNext w:val="0"/>
              <w:numPr>
                <w:ilvl w:val="0"/>
                <w:numId w:val="183"/>
              </w:numPr>
              <w:tabs>
                <w:tab w:val="left" w:pos="680"/>
              </w:tabs>
              <w:spacing w:before="0"/>
              <w:jc w:val="left"/>
              <w:rPr>
                <w:rFonts w:eastAsia="Arial"/>
                <w:bCs/>
                <w:color w:val="auto"/>
              </w:rPr>
            </w:pPr>
            <w:r w:rsidRPr="00882EFF">
              <w:rPr>
                <w:rFonts w:eastAsia="Arial"/>
                <w:bCs/>
                <w:color w:val="auto"/>
              </w:rPr>
              <w:t>Options for sharing of existing equipment, and erecting masts on existing tall buildings or other structures have been fully explored;</w:t>
            </w:r>
          </w:p>
          <w:p w14:paraId="154DD42F" w14:textId="77777777" w:rsidR="00882EFF" w:rsidRPr="00882EFF" w:rsidRDefault="00882EFF" w:rsidP="00905CC9">
            <w:pPr>
              <w:keepNext w:val="0"/>
              <w:tabs>
                <w:tab w:val="left" w:pos="680"/>
              </w:tabs>
              <w:spacing w:before="0"/>
              <w:jc w:val="left"/>
              <w:rPr>
                <w:rFonts w:eastAsia="Arial"/>
                <w:bCs/>
                <w:color w:val="auto"/>
              </w:rPr>
            </w:pPr>
          </w:p>
          <w:p w14:paraId="65D1CCE3" w14:textId="77777777" w:rsidR="00882EFF" w:rsidRPr="00882EFF" w:rsidRDefault="00882EFF" w:rsidP="00874A98">
            <w:pPr>
              <w:keepNext w:val="0"/>
              <w:numPr>
                <w:ilvl w:val="0"/>
                <w:numId w:val="183"/>
              </w:numPr>
              <w:tabs>
                <w:tab w:val="left" w:pos="680"/>
              </w:tabs>
              <w:spacing w:before="0"/>
              <w:jc w:val="left"/>
              <w:rPr>
                <w:rFonts w:eastAsia="Arial" w:cs="Arial"/>
                <w:bCs/>
                <w:color w:val="auto"/>
                <w:szCs w:val="24"/>
              </w:rPr>
            </w:pPr>
            <w:r w:rsidRPr="00882EFF">
              <w:rPr>
                <w:rFonts w:eastAsia="Arial" w:cs="Arial"/>
                <w:bCs/>
                <w:color w:val="auto"/>
                <w:szCs w:val="24"/>
              </w:rPr>
              <w:t>the significance, appearance, character and setting of heritage assets are conserved;</w:t>
            </w:r>
          </w:p>
          <w:p w14:paraId="3CAE1B0C" w14:textId="77777777" w:rsidR="00882EFF" w:rsidRPr="00882EFF" w:rsidRDefault="00882EFF" w:rsidP="00905CC9">
            <w:pPr>
              <w:keepNext w:val="0"/>
              <w:tabs>
                <w:tab w:val="left" w:pos="680"/>
              </w:tabs>
              <w:spacing w:before="0"/>
              <w:jc w:val="left"/>
              <w:rPr>
                <w:rFonts w:eastAsia="Arial" w:cs="Arial"/>
                <w:bCs/>
                <w:color w:val="auto"/>
                <w:szCs w:val="24"/>
              </w:rPr>
            </w:pPr>
          </w:p>
          <w:p w14:paraId="7E507B7D" w14:textId="77777777" w:rsidR="00882EFF" w:rsidRPr="00882EFF" w:rsidRDefault="00882EFF" w:rsidP="00874A98">
            <w:pPr>
              <w:keepNext w:val="0"/>
              <w:numPr>
                <w:ilvl w:val="0"/>
                <w:numId w:val="183"/>
              </w:numPr>
              <w:spacing w:before="0"/>
              <w:contextualSpacing/>
              <w:jc w:val="left"/>
              <w:rPr>
                <w:rFonts w:eastAsia="Arial" w:cs="Arial"/>
                <w:bCs/>
                <w:color w:val="auto"/>
                <w:szCs w:val="24"/>
              </w:rPr>
            </w:pPr>
            <w:r w:rsidRPr="00882EFF">
              <w:rPr>
                <w:rFonts w:eastAsia="Arial" w:cs="Arial"/>
                <w:bCs/>
                <w:color w:val="auto"/>
                <w:szCs w:val="24"/>
              </w:rPr>
              <w:t>there is no significant adverse impact upon biodiversity, ecology, geodiversity or best and most versatile agricultural land;</w:t>
            </w:r>
          </w:p>
          <w:p w14:paraId="709E6C55" w14:textId="77777777" w:rsidR="00882EFF" w:rsidRPr="00882EFF" w:rsidRDefault="00882EFF" w:rsidP="00905CC9">
            <w:pPr>
              <w:keepNext w:val="0"/>
              <w:spacing w:before="0"/>
              <w:ind w:left="720"/>
              <w:contextualSpacing/>
              <w:jc w:val="left"/>
              <w:rPr>
                <w:rFonts w:eastAsia="Arial" w:cs="Arial"/>
                <w:bCs/>
                <w:color w:val="auto"/>
                <w:szCs w:val="24"/>
              </w:rPr>
            </w:pPr>
          </w:p>
          <w:p w14:paraId="08AEF7E3" w14:textId="77777777" w:rsidR="00882EFF" w:rsidRPr="00882EFF" w:rsidRDefault="00882EFF" w:rsidP="00874A98">
            <w:pPr>
              <w:keepNext w:val="0"/>
              <w:numPr>
                <w:ilvl w:val="0"/>
                <w:numId w:val="183"/>
              </w:numPr>
              <w:spacing w:before="0"/>
              <w:contextualSpacing/>
              <w:jc w:val="left"/>
              <w:rPr>
                <w:rFonts w:eastAsia="Arial" w:cs="Arial"/>
                <w:bCs/>
                <w:color w:val="auto"/>
                <w:szCs w:val="24"/>
              </w:rPr>
            </w:pPr>
            <w:r w:rsidRPr="00882EFF">
              <w:rPr>
                <w:rFonts w:eastAsia="Arial" w:cs="Arial"/>
                <w:bCs/>
                <w:color w:val="auto"/>
                <w:szCs w:val="24"/>
              </w:rPr>
              <w:t>they are appropriately designed, minimising size and scale and camouflaging appearance wherever possible;</w:t>
            </w:r>
          </w:p>
          <w:p w14:paraId="3B686E72" w14:textId="77777777" w:rsidR="00882EFF" w:rsidRPr="00882EFF" w:rsidRDefault="00882EFF" w:rsidP="00905CC9">
            <w:pPr>
              <w:keepNext w:val="0"/>
              <w:spacing w:before="0"/>
              <w:ind w:left="720"/>
              <w:contextualSpacing/>
              <w:jc w:val="left"/>
              <w:rPr>
                <w:rFonts w:eastAsia="Arial" w:cs="Arial"/>
                <w:bCs/>
                <w:color w:val="auto"/>
                <w:szCs w:val="24"/>
              </w:rPr>
            </w:pPr>
          </w:p>
          <w:p w14:paraId="3061E0FC" w14:textId="77777777" w:rsidR="00882EFF" w:rsidRPr="00882EFF" w:rsidRDefault="00882EFF" w:rsidP="00874A98">
            <w:pPr>
              <w:keepNext w:val="0"/>
              <w:numPr>
                <w:ilvl w:val="0"/>
                <w:numId w:val="183"/>
              </w:numPr>
              <w:tabs>
                <w:tab w:val="left" w:pos="680"/>
              </w:tabs>
              <w:spacing w:before="0"/>
              <w:jc w:val="left"/>
              <w:rPr>
                <w:rFonts w:eastAsia="Arial"/>
                <w:bCs/>
                <w:color w:val="auto"/>
              </w:rPr>
            </w:pPr>
            <w:r w:rsidRPr="00882EFF">
              <w:rPr>
                <w:rFonts w:eastAsia="Arial"/>
                <w:bCs/>
                <w:color w:val="auto"/>
              </w:rPr>
              <w:t>All masts or base stations and additions there to are certified to meet International Commission on Non-Ionizing Radiation Protection (ICNIRP) standards;</w:t>
            </w:r>
          </w:p>
          <w:p w14:paraId="3600E7A8" w14:textId="77777777" w:rsidR="00882EFF" w:rsidRPr="00882EFF" w:rsidRDefault="00882EFF" w:rsidP="00905CC9">
            <w:pPr>
              <w:keepNext w:val="0"/>
              <w:tabs>
                <w:tab w:val="left" w:pos="680"/>
              </w:tabs>
              <w:spacing w:before="0"/>
              <w:jc w:val="left"/>
              <w:rPr>
                <w:rFonts w:eastAsia="Arial"/>
                <w:bCs/>
                <w:color w:val="auto"/>
              </w:rPr>
            </w:pPr>
          </w:p>
          <w:p w14:paraId="5BC3F624" w14:textId="4AE7DD2B" w:rsidR="00882EFF" w:rsidRPr="00882EFF" w:rsidRDefault="00882EFF" w:rsidP="00874A98">
            <w:pPr>
              <w:keepNext w:val="0"/>
              <w:numPr>
                <w:ilvl w:val="0"/>
                <w:numId w:val="183"/>
              </w:numPr>
              <w:spacing w:before="0"/>
              <w:contextualSpacing/>
              <w:jc w:val="left"/>
              <w:rPr>
                <w:rFonts w:eastAsia="Arial"/>
                <w:bCs/>
                <w:color w:val="auto"/>
              </w:rPr>
            </w:pPr>
            <w:r w:rsidRPr="00882EFF">
              <w:rPr>
                <w:rFonts w:eastAsia="Arial"/>
                <w:bCs/>
                <w:color w:val="auto"/>
              </w:rPr>
              <w:t xml:space="preserve">Consultations have been undertaken with organisations with an interest in the proposed development and their views have been </w:t>
            </w:r>
            <w:proofErr w:type="gramStart"/>
            <w:r w:rsidRPr="00882EFF">
              <w:rPr>
                <w:rFonts w:eastAsia="Arial"/>
                <w:bCs/>
                <w:color w:val="auto"/>
              </w:rPr>
              <w:t>taken into account</w:t>
            </w:r>
            <w:proofErr w:type="gramEnd"/>
            <w:r w:rsidRPr="00882EFF">
              <w:rPr>
                <w:rFonts w:eastAsia="Arial"/>
                <w:bCs/>
                <w:color w:val="auto"/>
              </w:rPr>
              <w:t xml:space="preserve"> in the development proposal. This is particularly relevant where a mast is to be installed near a school or college or within a statutory safeguarded zone surrounding an aerodrome or technical site;</w:t>
            </w:r>
            <w:r w:rsidR="00CD5564">
              <w:rPr>
                <w:rFonts w:eastAsia="Arial"/>
                <w:bCs/>
                <w:color w:val="auto"/>
              </w:rPr>
              <w:t xml:space="preserve"> and</w:t>
            </w:r>
          </w:p>
          <w:p w14:paraId="07C6A251" w14:textId="77777777" w:rsidR="00882EFF" w:rsidRPr="00882EFF" w:rsidRDefault="00882EFF" w:rsidP="00905CC9">
            <w:pPr>
              <w:keepNext w:val="0"/>
              <w:spacing w:before="0"/>
              <w:ind w:left="720"/>
              <w:contextualSpacing/>
              <w:jc w:val="left"/>
              <w:rPr>
                <w:rFonts w:eastAsia="Arial"/>
                <w:bCs/>
                <w:color w:val="auto"/>
              </w:rPr>
            </w:pPr>
          </w:p>
          <w:p w14:paraId="6A4DABBB" w14:textId="77777777" w:rsidR="00882EFF" w:rsidRPr="00882EFF" w:rsidRDefault="00882EFF" w:rsidP="00874A98">
            <w:pPr>
              <w:keepNext w:val="0"/>
              <w:numPr>
                <w:ilvl w:val="0"/>
                <w:numId w:val="183"/>
              </w:numPr>
              <w:tabs>
                <w:tab w:val="left" w:pos="680"/>
              </w:tabs>
              <w:spacing w:before="0"/>
              <w:jc w:val="left"/>
              <w:rPr>
                <w:rFonts w:eastAsia="Arial"/>
                <w:bCs/>
                <w:color w:val="auto"/>
              </w:rPr>
            </w:pPr>
            <w:r w:rsidRPr="00882EFF">
              <w:rPr>
                <w:rFonts w:eastAsia="Arial"/>
                <w:bCs/>
                <w:color w:val="auto"/>
              </w:rPr>
              <w:t>Provision is made to ensure that equipment that has become obsolete or that is no longer in use is removed as soon as practicable and the site restored to its former condition.</w:t>
            </w:r>
          </w:p>
          <w:p w14:paraId="40C20883" w14:textId="77777777" w:rsidR="00882EFF" w:rsidRPr="00882EFF" w:rsidRDefault="00882EFF" w:rsidP="00905CC9">
            <w:pPr>
              <w:keepNext w:val="0"/>
              <w:tabs>
                <w:tab w:val="left" w:pos="680"/>
                <w:tab w:val="left" w:pos="1133"/>
                <w:tab w:val="left" w:pos="2267"/>
              </w:tabs>
              <w:spacing w:before="0"/>
              <w:ind w:left="360" w:right="284"/>
              <w:jc w:val="left"/>
              <w:rPr>
                <w:rFonts w:eastAsia="Arial"/>
                <w:bCs/>
                <w:color w:val="auto"/>
              </w:rPr>
            </w:pPr>
          </w:p>
          <w:p w14:paraId="6ECD72C9" w14:textId="77777777" w:rsidR="00882EFF" w:rsidRPr="00882EFF" w:rsidRDefault="00882EFF" w:rsidP="00905CC9">
            <w:pPr>
              <w:keepNext w:val="0"/>
              <w:tabs>
                <w:tab w:val="left" w:pos="680"/>
                <w:tab w:val="left" w:pos="1133"/>
                <w:tab w:val="left" w:pos="2267"/>
              </w:tabs>
              <w:spacing w:before="0"/>
              <w:ind w:left="360" w:right="284"/>
              <w:jc w:val="left"/>
              <w:rPr>
                <w:rFonts w:eastAsia="Arial"/>
                <w:b/>
                <w:color w:val="auto"/>
              </w:rPr>
            </w:pPr>
            <w:r w:rsidRPr="00882EFF">
              <w:rPr>
                <w:rFonts w:eastAsia="Arial"/>
                <w:b/>
                <w:color w:val="auto"/>
              </w:rPr>
              <w:t>Broadband</w:t>
            </w:r>
          </w:p>
          <w:p w14:paraId="5AB98A1F" w14:textId="77777777" w:rsidR="00882EFF" w:rsidRPr="00882EFF" w:rsidRDefault="00882EFF" w:rsidP="00874A98">
            <w:pPr>
              <w:keepNext w:val="0"/>
              <w:numPr>
                <w:ilvl w:val="0"/>
                <w:numId w:val="182"/>
              </w:numPr>
              <w:tabs>
                <w:tab w:val="left" w:pos="680"/>
                <w:tab w:val="left" w:pos="1133"/>
                <w:tab w:val="left" w:pos="2267"/>
              </w:tabs>
              <w:spacing w:before="0"/>
              <w:ind w:right="284"/>
              <w:jc w:val="left"/>
              <w:rPr>
                <w:rFonts w:eastAsia="Arial" w:cs="Arial"/>
                <w:bCs/>
                <w:color w:val="auto"/>
                <w:szCs w:val="24"/>
              </w:rPr>
            </w:pPr>
            <w:r w:rsidRPr="00882EFF">
              <w:rPr>
                <w:rFonts w:eastAsia="Arial"/>
                <w:bCs/>
                <w:color w:val="auto"/>
              </w:rPr>
              <w:t xml:space="preserve">The rollout and continued improvement of affordable, high speed, </w:t>
            </w:r>
            <w:proofErr w:type="gramStart"/>
            <w:r w:rsidRPr="00882EFF">
              <w:rPr>
                <w:rFonts w:eastAsia="Arial"/>
                <w:bCs/>
                <w:color w:val="auto"/>
              </w:rPr>
              <w:t>high capacity</w:t>
            </w:r>
            <w:proofErr w:type="gramEnd"/>
            <w:r w:rsidRPr="00882EFF">
              <w:rPr>
                <w:rFonts w:eastAsia="Arial"/>
                <w:bCs/>
                <w:color w:val="auto"/>
              </w:rPr>
              <w:t xml:space="preserve"> digital infrastructure serving all parts of the </w:t>
            </w:r>
            <w:proofErr w:type="gramStart"/>
            <w:r w:rsidRPr="00882EFF">
              <w:rPr>
                <w:rFonts w:eastAsia="Arial"/>
                <w:bCs/>
                <w:color w:val="auto"/>
              </w:rPr>
              <w:t>District</w:t>
            </w:r>
            <w:proofErr w:type="gramEnd"/>
            <w:r w:rsidRPr="00882EFF">
              <w:rPr>
                <w:rFonts w:eastAsia="Arial"/>
                <w:bCs/>
                <w:color w:val="auto"/>
              </w:rPr>
              <w:t xml:space="preserve"> will be supported.   </w:t>
            </w:r>
          </w:p>
          <w:p w14:paraId="1AF49FE8" w14:textId="77777777" w:rsidR="00882EFF" w:rsidRPr="00882EFF" w:rsidRDefault="00882EFF" w:rsidP="00905CC9">
            <w:pPr>
              <w:keepNext w:val="0"/>
              <w:tabs>
                <w:tab w:val="left" w:pos="680"/>
                <w:tab w:val="left" w:pos="1133"/>
                <w:tab w:val="left" w:pos="2267"/>
              </w:tabs>
              <w:spacing w:before="0"/>
              <w:ind w:left="360" w:right="284"/>
              <w:jc w:val="left"/>
              <w:rPr>
                <w:rFonts w:eastAsia="Arial" w:cs="Arial"/>
                <w:bCs/>
                <w:color w:val="auto"/>
                <w:szCs w:val="24"/>
              </w:rPr>
            </w:pPr>
          </w:p>
          <w:p w14:paraId="35A73630" w14:textId="77777777" w:rsidR="00882EFF" w:rsidRPr="00882EFF" w:rsidRDefault="00882EFF" w:rsidP="00874A98">
            <w:pPr>
              <w:keepNext w:val="0"/>
              <w:numPr>
                <w:ilvl w:val="0"/>
                <w:numId w:val="182"/>
              </w:numPr>
              <w:tabs>
                <w:tab w:val="left" w:pos="680"/>
                <w:tab w:val="left" w:pos="1133"/>
                <w:tab w:val="left" w:pos="2267"/>
              </w:tabs>
              <w:spacing w:before="0"/>
              <w:ind w:right="284"/>
              <w:jc w:val="left"/>
              <w:rPr>
                <w:rFonts w:eastAsia="Arial" w:cs="Arial"/>
                <w:bCs/>
                <w:color w:val="auto"/>
                <w:szCs w:val="24"/>
              </w:rPr>
            </w:pPr>
            <w:r w:rsidRPr="00DA3B66">
              <w:rPr>
                <w:rFonts w:eastAsia="Arial" w:cs="Arial"/>
                <w:bCs/>
                <w:color w:val="auto"/>
                <w:szCs w:val="24"/>
              </w:rPr>
              <w:t>New development should enhancement of Ashfield’s digital infrastructure</w:t>
            </w:r>
            <w:r w:rsidRPr="00882EFF">
              <w:rPr>
                <w:rFonts w:eastAsia="Arial" w:cs="Arial"/>
                <w:bCs/>
                <w:color w:val="auto"/>
                <w:szCs w:val="24"/>
              </w:rPr>
              <w:t xml:space="preserve"> with new development demonstrating the anticipated connectivity of the proposed use.</w:t>
            </w:r>
          </w:p>
          <w:p w14:paraId="6AD69E09" w14:textId="77777777" w:rsidR="00882EFF" w:rsidRPr="00882EFF" w:rsidRDefault="00882EFF" w:rsidP="00905CC9">
            <w:pPr>
              <w:keepNext w:val="0"/>
              <w:spacing w:before="0"/>
              <w:ind w:left="720"/>
              <w:contextualSpacing/>
              <w:jc w:val="left"/>
              <w:rPr>
                <w:rFonts w:eastAsia="Arial" w:cs="Arial"/>
                <w:bCs/>
                <w:color w:val="auto"/>
                <w:szCs w:val="24"/>
              </w:rPr>
            </w:pPr>
          </w:p>
          <w:p w14:paraId="4679ADDD" w14:textId="77777777" w:rsidR="00882EFF" w:rsidRPr="00882EFF" w:rsidRDefault="00882EFF" w:rsidP="00874A98">
            <w:pPr>
              <w:keepNext w:val="0"/>
              <w:numPr>
                <w:ilvl w:val="0"/>
                <w:numId w:val="182"/>
              </w:numPr>
              <w:tabs>
                <w:tab w:val="left" w:pos="680"/>
                <w:tab w:val="left" w:pos="1133"/>
                <w:tab w:val="left" w:pos="2267"/>
              </w:tabs>
              <w:spacing w:before="0"/>
              <w:ind w:right="284"/>
              <w:jc w:val="left"/>
              <w:rPr>
                <w:rFonts w:eastAsia="Arial" w:cs="Arial"/>
                <w:bCs/>
                <w:color w:val="auto"/>
                <w:szCs w:val="24"/>
              </w:rPr>
            </w:pPr>
            <w:r w:rsidRPr="00882EFF">
              <w:rPr>
                <w:rFonts w:eastAsia="Arial" w:cs="Arial"/>
                <w:bCs/>
                <w:color w:val="auto"/>
                <w:szCs w:val="24"/>
              </w:rPr>
              <w:t xml:space="preserve">Major development proposals will be supported where broadband infrastructure is to be made available to all residents and / or users of the development. </w:t>
            </w:r>
          </w:p>
          <w:p w14:paraId="450FD505" w14:textId="77777777" w:rsidR="00882EFF" w:rsidRPr="00882EFF" w:rsidRDefault="00882EFF" w:rsidP="00905CC9">
            <w:pPr>
              <w:keepNext w:val="0"/>
              <w:spacing w:before="0"/>
              <w:ind w:left="720"/>
              <w:contextualSpacing/>
              <w:jc w:val="left"/>
              <w:rPr>
                <w:rFonts w:eastAsia="Arial" w:cs="Arial"/>
                <w:bCs/>
                <w:color w:val="auto"/>
                <w:szCs w:val="24"/>
              </w:rPr>
            </w:pPr>
          </w:p>
          <w:p w14:paraId="0B6C0393" w14:textId="77777777" w:rsidR="00882EFF" w:rsidRPr="00882EFF" w:rsidRDefault="00882EFF" w:rsidP="00874A98">
            <w:pPr>
              <w:keepNext w:val="0"/>
              <w:numPr>
                <w:ilvl w:val="0"/>
                <w:numId w:val="182"/>
              </w:numPr>
              <w:tabs>
                <w:tab w:val="left" w:pos="680"/>
                <w:tab w:val="left" w:pos="1133"/>
                <w:tab w:val="left" w:pos="2267"/>
              </w:tabs>
              <w:spacing w:before="0"/>
              <w:ind w:right="284"/>
              <w:jc w:val="left"/>
              <w:rPr>
                <w:rFonts w:eastAsia="Arial" w:cs="Arial"/>
                <w:bCs/>
                <w:color w:val="auto"/>
                <w:szCs w:val="24"/>
              </w:rPr>
            </w:pPr>
            <w:r w:rsidRPr="00882EFF">
              <w:rPr>
                <w:rFonts w:eastAsia="Arial" w:cs="Arial"/>
                <w:bCs/>
                <w:color w:val="auto"/>
                <w:szCs w:val="24"/>
              </w:rPr>
              <w:t>Major development proposals should incorporate a bespoke duct network, designed and implemented in cooperation with a recognised network provider, and where viable, a fibre to the premises (FTTP) solution.</w:t>
            </w:r>
          </w:p>
          <w:p w14:paraId="49D1E150" w14:textId="77777777" w:rsidR="00882EFF" w:rsidRPr="00882EFF" w:rsidRDefault="00882EFF" w:rsidP="00905CC9">
            <w:pPr>
              <w:keepNext w:val="0"/>
              <w:spacing w:before="0"/>
              <w:ind w:left="720"/>
              <w:contextualSpacing/>
              <w:jc w:val="left"/>
              <w:rPr>
                <w:rFonts w:eastAsia="Arial" w:cs="Arial"/>
                <w:bCs/>
                <w:color w:val="auto"/>
                <w:szCs w:val="24"/>
              </w:rPr>
            </w:pPr>
          </w:p>
          <w:p w14:paraId="13BD9BC6" w14:textId="77777777" w:rsidR="00882EFF" w:rsidRPr="00882EFF" w:rsidRDefault="00882EFF" w:rsidP="00874A98">
            <w:pPr>
              <w:keepNext w:val="0"/>
              <w:numPr>
                <w:ilvl w:val="0"/>
                <w:numId w:val="182"/>
              </w:numPr>
              <w:tabs>
                <w:tab w:val="left" w:pos="680"/>
                <w:tab w:val="left" w:pos="1133"/>
                <w:tab w:val="left" w:pos="2267"/>
              </w:tabs>
              <w:spacing w:before="0"/>
              <w:ind w:right="284"/>
              <w:jc w:val="left"/>
              <w:rPr>
                <w:rFonts w:eastAsia="Arial" w:cs="Arial"/>
                <w:bCs/>
                <w:color w:val="auto"/>
                <w:szCs w:val="24"/>
              </w:rPr>
            </w:pPr>
            <w:r w:rsidRPr="00882EFF">
              <w:rPr>
                <w:rFonts w:eastAsia="Arial" w:cs="Arial"/>
                <w:bCs/>
                <w:color w:val="auto"/>
                <w:szCs w:val="24"/>
              </w:rPr>
              <w:t xml:space="preserve">Where appropriate, other forms of infrastructure, such as facilities supporting mobile broadband and Wi-Fi, should be included in major development proposals and designed in a sympathetic and appropriate way </w:t>
            </w:r>
            <w:proofErr w:type="gramStart"/>
            <w:r w:rsidRPr="00882EFF">
              <w:rPr>
                <w:rFonts w:eastAsia="Arial" w:cs="Arial"/>
                <w:bCs/>
                <w:color w:val="auto"/>
                <w:szCs w:val="24"/>
              </w:rPr>
              <w:t>in order to</w:t>
            </w:r>
            <w:proofErr w:type="gramEnd"/>
            <w:r w:rsidRPr="00882EFF">
              <w:rPr>
                <w:rFonts w:eastAsia="Arial" w:cs="Arial"/>
                <w:bCs/>
                <w:color w:val="auto"/>
                <w:szCs w:val="24"/>
              </w:rPr>
              <w:t xml:space="preserve"> reflect the character of the surrounding area.</w:t>
            </w:r>
          </w:p>
          <w:p w14:paraId="6C0DA902" w14:textId="77777777" w:rsidR="00882EFF" w:rsidRPr="00882EFF" w:rsidRDefault="00882EFF" w:rsidP="00905CC9">
            <w:pPr>
              <w:keepNext w:val="0"/>
              <w:tabs>
                <w:tab w:val="left" w:pos="680"/>
                <w:tab w:val="left" w:pos="1133"/>
                <w:tab w:val="left" w:pos="2267"/>
              </w:tabs>
              <w:spacing w:before="0"/>
              <w:ind w:left="283" w:right="284"/>
              <w:jc w:val="left"/>
              <w:rPr>
                <w:rFonts w:eastAsia="Arial"/>
                <w:bCs/>
                <w:color w:val="538135"/>
              </w:rPr>
            </w:pPr>
          </w:p>
        </w:tc>
      </w:tr>
      <w:bookmarkEnd w:id="315"/>
      <w:tr w:rsidR="00882EFF" w:rsidRPr="00882EFF" w14:paraId="18FBCAD2" w14:textId="77777777" w:rsidTr="00DD4136">
        <w:tc>
          <w:tcPr>
            <w:tcW w:w="2263" w:type="dxa"/>
          </w:tcPr>
          <w:p w14:paraId="6A1F7C8D" w14:textId="77777777" w:rsidR="00882EFF" w:rsidRPr="00A03E50" w:rsidRDefault="00882EFF" w:rsidP="00905CC9">
            <w:pPr>
              <w:keepNext w:val="0"/>
              <w:tabs>
                <w:tab w:val="left" w:pos="680"/>
                <w:tab w:val="left" w:pos="1133"/>
                <w:tab w:val="left" w:pos="2267"/>
              </w:tabs>
              <w:spacing w:before="0"/>
              <w:ind w:right="284"/>
              <w:jc w:val="left"/>
              <w:rPr>
                <w:rFonts w:eastAsia="Arial"/>
                <w:b/>
                <w:color w:val="7030A0"/>
                <w:sz w:val="20"/>
              </w:rPr>
            </w:pPr>
            <w:r w:rsidRPr="00A03E50">
              <w:rPr>
                <w:rFonts w:eastAsia="Arial"/>
                <w:bCs/>
                <w:color w:val="auto"/>
                <w:sz w:val="20"/>
              </w:rPr>
              <w:lastRenderedPageBreak/>
              <w:t>Evidence base</w:t>
            </w:r>
          </w:p>
        </w:tc>
        <w:tc>
          <w:tcPr>
            <w:tcW w:w="7371" w:type="dxa"/>
            <w:gridSpan w:val="2"/>
          </w:tcPr>
          <w:p w14:paraId="54FA14C6" w14:textId="4AB0E8AD" w:rsidR="00882EFF" w:rsidRPr="00DB05C3" w:rsidRDefault="00882EFF" w:rsidP="00905CC9">
            <w:pPr>
              <w:keepNext w:val="0"/>
              <w:numPr>
                <w:ilvl w:val="0"/>
                <w:numId w:val="13"/>
              </w:numPr>
              <w:tabs>
                <w:tab w:val="left" w:pos="680"/>
                <w:tab w:val="left" w:pos="1133"/>
                <w:tab w:val="left" w:pos="2267"/>
              </w:tabs>
              <w:spacing w:before="0" w:after="160" w:line="252" w:lineRule="auto"/>
              <w:ind w:right="284"/>
              <w:contextualSpacing/>
              <w:jc w:val="left"/>
              <w:rPr>
                <w:rFonts w:eastAsia="Arial"/>
                <w:bCs/>
                <w:color w:val="auto"/>
                <w:sz w:val="20"/>
              </w:rPr>
            </w:pPr>
            <w:r w:rsidRPr="00DB05C3">
              <w:rPr>
                <w:rFonts w:eastAsia="Arial"/>
                <w:bCs/>
                <w:color w:val="auto"/>
                <w:sz w:val="20"/>
              </w:rPr>
              <w:t>Sustainability Appraisal, 202</w:t>
            </w:r>
            <w:r w:rsidR="0025538D" w:rsidRPr="00DB05C3">
              <w:rPr>
                <w:rFonts w:eastAsia="Arial"/>
                <w:bCs/>
                <w:color w:val="auto"/>
                <w:sz w:val="20"/>
              </w:rPr>
              <w:t>3</w:t>
            </w:r>
            <w:r w:rsidRPr="00DB05C3">
              <w:rPr>
                <w:rFonts w:eastAsia="Arial"/>
                <w:bCs/>
                <w:color w:val="auto"/>
                <w:sz w:val="20"/>
              </w:rPr>
              <w:t xml:space="preserve">. </w:t>
            </w:r>
            <w:r w:rsidR="0025538D" w:rsidRPr="00DB05C3">
              <w:rPr>
                <w:rFonts w:eastAsia="Arial"/>
                <w:bCs/>
                <w:color w:val="auto"/>
                <w:sz w:val="20"/>
              </w:rPr>
              <w:t>WSP UK Limited</w:t>
            </w:r>
            <w:r w:rsidRPr="00DB05C3">
              <w:rPr>
                <w:rFonts w:eastAsia="Arial"/>
                <w:bCs/>
                <w:color w:val="auto"/>
                <w:sz w:val="20"/>
              </w:rPr>
              <w:t xml:space="preserve">. </w:t>
            </w:r>
          </w:p>
        </w:tc>
      </w:tr>
      <w:tr w:rsidR="00882EFF" w:rsidRPr="00882EFF" w14:paraId="43FE12B2" w14:textId="77777777" w:rsidTr="00DD4136">
        <w:tc>
          <w:tcPr>
            <w:tcW w:w="2263" w:type="dxa"/>
          </w:tcPr>
          <w:p w14:paraId="0EA09A6E" w14:textId="77777777" w:rsidR="00882EFF" w:rsidRPr="00A03E50" w:rsidRDefault="00882EFF" w:rsidP="00905CC9">
            <w:pPr>
              <w:keepNext w:val="0"/>
              <w:tabs>
                <w:tab w:val="left" w:pos="680"/>
                <w:tab w:val="left" w:pos="1133"/>
                <w:tab w:val="left" w:pos="2267"/>
              </w:tabs>
              <w:spacing w:before="0"/>
              <w:ind w:right="284"/>
              <w:jc w:val="left"/>
              <w:rPr>
                <w:rFonts w:eastAsia="Arial"/>
                <w:b/>
                <w:color w:val="auto"/>
                <w:sz w:val="20"/>
              </w:rPr>
            </w:pPr>
            <w:r w:rsidRPr="00A03E50">
              <w:rPr>
                <w:rFonts w:eastAsia="Arial"/>
                <w:bCs/>
                <w:color w:val="auto"/>
                <w:sz w:val="20"/>
              </w:rPr>
              <w:t>National Planning Policy and Guidance</w:t>
            </w:r>
          </w:p>
        </w:tc>
        <w:tc>
          <w:tcPr>
            <w:tcW w:w="7371" w:type="dxa"/>
            <w:gridSpan w:val="2"/>
          </w:tcPr>
          <w:p w14:paraId="42513405" w14:textId="66E17A01" w:rsidR="00882EFF" w:rsidRPr="00DB05C3" w:rsidRDefault="00882EFF"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DB05C3">
              <w:rPr>
                <w:rFonts w:eastAsia="Arial"/>
                <w:bCs/>
                <w:color w:val="auto"/>
                <w:sz w:val="20"/>
              </w:rPr>
              <w:t>NPPF 20</w:t>
            </w:r>
            <w:r w:rsidR="004173E0" w:rsidRPr="00DB05C3">
              <w:rPr>
                <w:rFonts w:eastAsia="Arial"/>
                <w:bCs/>
                <w:color w:val="auto"/>
                <w:sz w:val="20"/>
              </w:rPr>
              <w:t>23</w:t>
            </w:r>
            <w:r w:rsidRPr="00DB05C3">
              <w:rPr>
                <w:rFonts w:eastAsia="Arial"/>
                <w:bCs/>
                <w:color w:val="auto"/>
                <w:sz w:val="20"/>
              </w:rPr>
              <w:t>, Part 2: Achieving sustainable development.</w:t>
            </w:r>
          </w:p>
          <w:p w14:paraId="40457749" w14:textId="62F36A43" w:rsidR="00882EFF" w:rsidRPr="00DB05C3" w:rsidRDefault="00882EFF"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DB05C3">
              <w:rPr>
                <w:rFonts w:eastAsia="Arial"/>
                <w:bCs/>
                <w:color w:val="auto"/>
                <w:sz w:val="20"/>
              </w:rPr>
              <w:t>NPPF 20</w:t>
            </w:r>
            <w:r w:rsidR="004173E0" w:rsidRPr="00DB05C3">
              <w:rPr>
                <w:rFonts w:eastAsia="Arial"/>
                <w:bCs/>
                <w:color w:val="auto"/>
                <w:sz w:val="20"/>
              </w:rPr>
              <w:t>23</w:t>
            </w:r>
            <w:r w:rsidRPr="00DB05C3">
              <w:rPr>
                <w:rFonts w:eastAsia="Arial"/>
                <w:bCs/>
                <w:color w:val="auto"/>
                <w:sz w:val="20"/>
              </w:rPr>
              <w:t>, Part 10: Supporting high quality communications.</w:t>
            </w:r>
          </w:p>
        </w:tc>
      </w:tr>
    </w:tbl>
    <w:p w14:paraId="05201514" w14:textId="77777777" w:rsidR="00882EFF" w:rsidRPr="00882EFF" w:rsidRDefault="00882EFF" w:rsidP="00882EFF">
      <w:pPr>
        <w:keepNext w:val="0"/>
        <w:autoSpaceDE w:val="0"/>
        <w:autoSpaceDN w:val="0"/>
        <w:adjustRightInd w:val="0"/>
        <w:spacing w:before="0"/>
        <w:rPr>
          <w:rFonts w:eastAsia="Arial" w:cs="Arial"/>
          <w:color w:val="auto"/>
        </w:rPr>
      </w:pPr>
    </w:p>
    <w:p w14:paraId="444E8FA4" w14:textId="14E965F7" w:rsidR="006E10D4" w:rsidRDefault="006E10D4" w:rsidP="006E10D4">
      <w:pPr>
        <w:keepNext w:val="0"/>
        <w:spacing w:before="0"/>
        <w:ind w:left="527"/>
        <w:rPr>
          <w:rFonts w:cs="Arial"/>
          <w:color w:val="auto"/>
          <w:szCs w:val="24"/>
          <w:lang w:eastAsia="en-US"/>
        </w:rPr>
      </w:pPr>
    </w:p>
    <w:p w14:paraId="63DF4D38" w14:textId="38FC3FD7" w:rsidR="001165CC" w:rsidRPr="001165CC" w:rsidRDefault="001165CC" w:rsidP="001165CC">
      <w:pPr>
        <w:keepNext w:val="0"/>
        <w:numPr>
          <w:ilvl w:val="1"/>
          <w:numId w:val="7"/>
        </w:numPr>
        <w:tabs>
          <w:tab w:val="clear" w:pos="525"/>
        </w:tabs>
        <w:spacing w:before="0"/>
        <w:ind w:left="709" w:hanging="709"/>
        <w:rPr>
          <w:rFonts w:cs="Arial"/>
          <w:color w:val="auto"/>
          <w:szCs w:val="24"/>
          <w:lang w:eastAsia="en-US"/>
        </w:rPr>
      </w:pPr>
      <w:r w:rsidRPr="001165CC">
        <w:rPr>
          <w:rFonts w:cs="Arial"/>
          <w:color w:val="auto"/>
          <w:szCs w:val="24"/>
          <w:lang w:eastAsia="en-US"/>
        </w:rPr>
        <w:t xml:space="preserve">The communications sector is important to economic growth and productivity in Ashfield as well as residents’ social relations and access to information.   </w:t>
      </w:r>
      <w:r w:rsidR="00882EFF" w:rsidRPr="001165CC">
        <w:rPr>
          <w:rFonts w:cs="Arial"/>
          <w:color w:val="auto"/>
          <w:szCs w:val="24"/>
          <w:lang w:eastAsia="en-US"/>
        </w:rPr>
        <w:t xml:space="preserve">From an economic perspective, new technology allows companies to download and transmit substantially greater amounts of data, reduce their costs, satisfy more customers </w:t>
      </w:r>
      <w:r w:rsidR="00882EFF" w:rsidRPr="001165CC">
        <w:rPr>
          <w:rFonts w:cs="Arial"/>
          <w:color w:val="auto"/>
          <w:szCs w:val="24"/>
          <w:lang w:eastAsia="en-US"/>
        </w:rPr>
        <w:lastRenderedPageBreak/>
        <w:t xml:space="preserve">and gain access to new markets. It offers </w:t>
      </w:r>
      <w:proofErr w:type="gramStart"/>
      <w:r w:rsidR="00882EFF" w:rsidRPr="001165CC">
        <w:rPr>
          <w:rFonts w:cs="Arial"/>
          <w:color w:val="auto"/>
          <w:szCs w:val="24"/>
          <w:lang w:eastAsia="en-US"/>
        </w:rPr>
        <w:t>a number of</w:t>
      </w:r>
      <w:proofErr w:type="gramEnd"/>
      <w:r w:rsidR="00882EFF" w:rsidRPr="001165CC">
        <w:rPr>
          <w:rFonts w:cs="Arial"/>
          <w:color w:val="auto"/>
          <w:szCs w:val="24"/>
          <w:lang w:eastAsia="en-US"/>
        </w:rPr>
        <w:t xml:space="preserve"> valuable social and educational benefits for residents.  A good telecommunication infrastructure can help reduce the need to travel and hence reduce vehicle emissions and congestion, for example by enabling home working’. It also enables the development of ‘real time’ driver information systems which can lead to better use of roads and reduced congestion.  The Council’s aim is to promote the growth of new and expanding telecommunications systems in ways which do not prejudice amenity and environmental quality.</w:t>
      </w:r>
      <w:r>
        <w:rPr>
          <w:rFonts w:cs="Arial"/>
          <w:color w:val="auto"/>
          <w:szCs w:val="24"/>
          <w:lang w:eastAsia="en-US"/>
        </w:rPr>
        <w:t xml:space="preserve">  </w:t>
      </w:r>
      <w:proofErr w:type="gramStart"/>
      <w:r>
        <w:rPr>
          <w:rFonts w:cs="Arial"/>
          <w:color w:val="auto"/>
          <w:szCs w:val="24"/>
          <w:lang w:eastAsia="en-US"/>
        </w:rPr>
        <w:t>However,  the</w:t>
      </w:r>
      <w:proofErr w:type="gramEnd"/>
      <w:r>
        <w:rPr>
          <w:rFonts w:cs="Arial"/>
          <w:color w:val="auto"/>
          <w:szCs w:val="24"/>
          <w:lang w:eastAsia="en-US"/>
        </w:rPr>
        <w:t xml:space="preserve"> Council will </w:t>
      </w:r>
      <w:proofErr w:type="gramStart"/>
      <w:r>
        <w:rPr>
          <w:rFonts w:cs="Arial"/>
          <w:color w:val="auto"/>
          <w:szCs w:val="24"/>
          <w:lang w:eastAsia="en-US"/>
        </w:rPr>
        <w:t>take into account</w:t>
      </w:r>
      <w:proofErr w:type="gramEnd"/>
      <w:r>
        <w:rPr>
          <w:rFonts w:cs="Arial"/>
          <w:color w:val="auto"/>
          <w:szCs w:val="24"/>
          <w:lang w:eastAsia="en-US"/>
        </w:rPr>
        <w:t xml:space="preserve"> in determining applications that c</w:t>
      </w:r>
      <w:r w:rsidRPr="001165CC">
        <w:rPr>
          <w:rFonts w:cs="Arial"/>
          <w:color w:val="auto"/>
          <w:szCs w:val="24"/>
          <w:lang w:eastAsia="en-US"/>
        </w:rPr>
        <w:t>ertain locations are particularly sensitive to the impact of telecommunications equipment. These include:</w:t>
      </w:r>
    </w:p>
    <w:p w14:paraId="08A24DF7" w14:textId="77777777" w:rsidR="001165CC" w:rsidRPr="00882EFF" w:rsidRDefault="001165CC" w:rsidP="001165CC">
      <w:pPr>
        <w:pStyle w:val="ListParagraph"/>
        <w:spacing w:after="0" w:line="240" w:lineRule="auto"/>
        <w:rPr>
          <w:rFonts w:ascii="Arial" w:hAnsi="Arial" w:cs="Arial"/>
          <w:color w:val="auto"/>
          <w:szCs w:val="24"/>
        </w:rPr>
      </w:pPr>
    </w:p>
    <w:p w14:paraId="5595B06E" w14:textId="77777777" w:rsidR="001165CC" w:rsidRPr="00882EFF" w:rsidRDefault="001165CC" w:rsidP="00874A98">
      <w:pPr>
        <w:pStyle w:val="ListParagraph"/>
        <w:numPr>
          <w:ilvl w:val="0"/>
          <w:numId w:val="184"/>
        </w:numPr>
        <w:spacing w:after="0" w:line="240" w:lineRule="auto"/>
        <w:rPr>
          <w:rFonts w:ascii="Arial" w:hAnsi="Arial" w:cs="Arial"/>
          <w:color w:val="auto"/>
          <w:szCs w:val="24"/>
        </w:rPr>
      </w:pPr>
      <w:r w:rsidRPr="00882EFF">
        <w:rPr>
          <w:rFonts w:ascii="Arial" w:hAnsi="Arial" w:cs="Arial"/>
          <w:color w:val="auto"/>
          <w:szCs w:val="24"/>
        </w:rPr>
        <w:t xml:space="preserve">Locations within the Green Belt and open countryside, </w:t>
      </w:r>
    </w:p>
    <w:p w14:paraId="6A9E5289" w14:textId="77777777" w:rsidR="001165CC" w:rsidRPr="00882EFF" w:rsidRDefault="001165CC" w:rsidP="00874A98">
      <w:pPr>
        <w:pStyle w:val="ListParagraph"/>
        <w:numPr>
          <w:ilvl w:val="0"/>
          <w:numId w:val="184"/>
        </w:numPr>
        <w:spacing w:after="0" w:line="240" w:lineRule="auto"/>
        <w:rPr>
          <w:rFonts w:ascii="Arial" w:hAnsi="Arial" w:cs="Arial"/>
          <w:color w:val="auto"/>
          <w:szCs w:val="24"/>
        </w:rPr>
      </w:pPr>
      <w:r w:rsidRPr="00882EFF">
        <w:rPr>
          <w:rFonts w:ascii="Arial" w:hAnsi="Arial" w:cs="Arial"/>
          <w:color w:val="auto"/>
          <w:szCs w:val="24"/>
        </w:rPr>
        <w:t xml:space="preserve">Sensitive landscape areas, including but not limited to valued landscapes, sites of special scientific interest, local wildlife sites and local nature reserves, and </w:t>
      </w:r>
    </w:p>
    <w:p w14:paraId="56D14528" w14:textId="77777777" w:rsidR="001165CC" w:rsidRDefault="001165CC" w:rsidP="00874A98">
      <w:pPr>
        <w:pStyle w:val="ListParagraph"/>
        <w:numPr>
          <w:ilvl w:val="0"/>
          <w:numId w:val="184"/>
        </w:numPr>
        <w:spacing w:after="0" w:line="240" w:lineRule="auto"/>
        <w:rPr>
          <w:rFonts w:ascii="Arial" w:hAnsi="Arial" w:cs="Arial"/>
          <w:color w:val="auto"/>
          <w:szCs w:val="24"/>
        </w:rPr>
      </w:pPr>
      <w:r w:rsidRPr="00882EFF">
        <w:rPr>
          <w:rFonts w:ascii="Arial" w:hAnsi="Arial" w:cs="Arial"/>
          <w:color w:val="auto"/>
          <w:szCs w:val="24"/>
        </w:rPr>
        <w:t xml:space="preserve">Heritage assets including conservation areas, historic buildings and Historic Parks including, where applicable, the potential effects on their setting. </w:t>
      </w:r>
    </w:p>
    <w:p w14:paraId="3557053F" w14:textId="77777777" w:rsidR="001165CC" w:rsidRDefault="001165CC" w:rsidP="001165CC">
      <w:pPr>
        <w:pStyle w:val="ListParagraph"/>
        <w:spacing w:after="0" w:line="240" w:lineRule="auto"/>
        <w:ind w:left="1069"/>
        <w:rPr>
          <w:rFonts w:ascii="Arial" w:hAnsi="Arial" w:cs="Arial"/>
          <w:color w:val="auto"/>
          <w:szCs w:val="24"/>
        </w:rPr>
      </w:pPr>
    </w:p>
    <w:p w14:paraId="7DB1265A" w14:textId="77777777" w:rsidR="00882EFF" w:rsidRDefault="00882EFF" w:rsidP="00882EFF">
      <w:pPr>
        <w:keepNext w:val="0"/>
        <w:spacing w:before="0"/>
        <w:ind w:left="527"/>
        <w:rPr>
          <w:rFonts w:cs="Arial"/>
          <w:color w:val="auto"/>
          <w:szCs w:val="24"/>
          <w:lang w:eastAsia="en-US"/>
        </w:rPr>
      </w:pPr>
    </w:p>
    <w:p w14:paraId="6FCCDF21" w14:textId="05E4FAFB" w:rsidR="007F5D56" w:rsidRDefault="007F5D56" w:rsidP="00E029B2">
      <w:pPr>
        <w:keepNext w:val="0"/>
        <w:numPr>
          <w:ilvl w:val="1"/>
          <w:numId w:val="7"/>
        </w:numPr>
        <w:tabs>
          <w:tab w:val="clear" w:pos="525"/>
        </w:tabs>
        <w:spacing w:before="0"/>
        <w:ind w:left="709" w:hanging="709"/>
        <w:rPr>
          <w:rFonts w:cs="Arial"/>
          <w:color w:val="auto"/>
          <w:szCs w:val="24"/>
          <w:lang w:eastAsia="en-US"/>
        </w:rPr>
      </w:pPr>
      <w:r w:rsidRPr="007F5D56">
        <w:rPr>
          <w:rFonts w:cs="Arial"/>
          <w:color w:val="auto"/>
          <w:szCs w:val="24"/>
          <w:lang w:eastAsia="en-US"/>
        </w:rPr>
        <w:t xml:space="preserve">The Policy </w:t>
      </w:r>
      <w:proofErr w:type="gramStart"/>
      <w:r w:rsidRPr="007F5D56">
        <w:rPr>
          <w:rFonts w:cs="Arial"/>
          <w:color w:val="auto"/>
          <w:szCs w:val="24"/>
          <w:lang w:eastAsia="en-US"/>
        </w:rPr>
        <w:t>has to</w:t>
      </w:r>
      <w:proofErr w:type="gramEnd"/>
      <w:r w:rsidRPr="007F5D56">
        <w:rPr>
          <w:rFonts w:cs="Arial"/>
          <w:color w:val="auto"/>
          <w:szCs w:val="24"/>
          <w:lang w:eastAsia="en-US"/>
        </w:rPr>
        <w:t xml:space="preserve"> be seen in the context that there are permitted development rights</w:t>
      </w:r>
      <w:r>
        <w:rPr>
          <w:rStyle w:val="FootnoteReference"/>
          <w:rFonts w:cs="Arial"/>
          <w:color w:val="auto"/>
          <w:szCs w:val="24"/>
          <w:lang w:eastAsia="en-US"/>
        </w:rPr>
        <w:footnoteReference w:id="106"/>
      </w:r>
      <w:r w:rsidRPr="007F5D56">
        <w:rPr>
          <w:rFonts w:cs="Arial"/>
          <w:color w:val="auto"/>
          <w:szCs w:val="24"/>
          <w:lang w:eastAsia="en-US"/>
        </w:rPr>
        <w:t xml:space="preserve"> for electronic communications infrastructure.  At present, most electronic communications apparatus can be installed and maintained as permitted development. However, limits are set out in legislation on the scale of development that can be deployed in this way and the circumstances in which prior approval is required.</w:t>
      </w:r>
    </w:p>
    <w:p w14:paraId="3FF89FC3" w14:textId="77777777" w:rsidR="007F5D56" w:rsidRPr="007F5D56" w:rsidRDefault="007F5D56" w:rsidP="007F5D56">
      <w:pPr>
        <w:keepNext w:val="0"/>
        <w:spacing w:before="0"/>
        <w:ind w:left="709"/>
        <w:rPr>
          <w:rFonts w:cs="Arial"/>
          <w:color w:val="auto"/>
          <w:szCs w:val="24"/>
          <w:lang w:eastAsia="en-US"/>
        </w:rPr>
      </w:pPr>
    </w:p>
    <w:p w14:paraId="55D4E874" w14:textId="416D50DB" w:rsidR="00882EFF" w:rsidRDefault="00882EFF" w:rsidP="00ED5F54">
      <w:pPr>
        <w:keepNext w:val="0"/>
        <w:numPr>
          <w:ilvl w:val="1"/>
          <w:numId w:val="7"/>
        </w:numPr>
        <w:tabs>
          <w:tab w:val="clear" w:pos="525"/>
        </w:tabs>
        <w:spacing w:before="0"/>
        <w:ind w:left="709" w:hanging="709"/>
        <w:rPr>
          <w:rFonts w:cs="Arial"/>
          <w:color w:val="auto"/>
          <w:szCs w:val="24"/>
          <w:lang w:eastAsia="en-US"/>
        </w:rPr>
      </w:pPr>
      <w:r w:rsidRPr="00882EFF">
        <w:rPr>
          <w:rFonts w:cs="Arial"/>
          <w:color w:val="auto"/>
          <w:szCs w:val="24"/>
          <w:lang w:eastAsia="en-US"/>
        </w:rPr>
        <w:t xml:space="preserve">The availability of fast and reliable broadband is now seen as an essential component of everyday life and supports economic growth. The Government’s objective through Building Digital UK (BDUK), part of the Department for Digital, Culture, Media &amp; and Sport is to </w:t>
      </w:r>
      <w:proofErr w:type="gramStart"/>
      <w:r w:rsidRPr="00882EFF">
        <w:rPr>
          <w:rFonts w:cs="Arial"/>
          <w:color w:val="auto"/>
          <w:szCs w:val="24"/>
          <w:lang w:eastAsia="en-US"/>
        </w:rPr>
        <w:t>delivering</w:t>
      </w:r>
      <w:proofErr w:type="gramEnd"/>
      <w:r w:rsidRPr="00882EFF">
        <w:rPr>
          <w:rFonts w:cs="Arial"/>
          <w:color w:val="auto"/>
          <w:szCs w:val="24"/>
          <w:lang w:eastAsia="en-US"/>
        </w:rPr>
        <w:t xml:space="preserve"> broadband networks to the nation. The </w:t>
      </w:r>
      <w:r w:rsidR="00F05D84">
        <w:rPr>
          <w:rFonts w:cs="Arial"/>
          <w:color w:val="auto"/>
          <w:szCs w:val="24"/>
          <w:lang w:eastAsia="en-US"/>
        </w:rPr>
        <w:t>P</w:t>
      </w:r>
      <w:r w:rsidRPr="00882EFF">
        <w:rPr>
          <w:rFonts w:cs="Arial"/>
          <w:color w:val="auto"/>
          <w:szCs w:val="24"/>
          <w:lang w:eastAsia="en-US"/>
        </w:rPr>
        <w:t>olicy aims to strike a balance between what is reasonable and proportional for developers to provide, with the essential need for a certain standard of broadband within all new developments.</w:t>
      </w:r>
    </w:p>
    <w:p w14:paraId="1C4572A9" w14:textId="77777777" w:rsidR="00882EFF" w:rsidRDefault="00882EFF" w:rsidP="00882EFF">
      <w:pPr>
        <w:keepNext w:val="0"/>
        <w:spacing w:before="0"/>
        <w:ind w:left="527"/>
        <w:rPr>
          <w:rFonts w:cs="Arial"/>
          <w:color w:val="auto"/>
          <w:szCs w:val="24"/>
          <w:lang w:eastAsia="en-US"/>
        </w:rPr>
      </w:pPr>
    </w:p>
    <w:p w14:paraId="79B839A3" w14:textId="19C3B5B5" w:rsidR="00ED5F54" w:rsidRDefault="00882EFF" w:rsidP="001165CC">
      <w:pPr>
        <w:keepNext w:val="0"/>
        <w:numPr>
          <w:ilvl w:val="1"/>
          <w:numId w:val="7"/>
        </w:numPr>
        <w:tabs>
          <w:tab w:val="clear" w:pos="525"/>
        </w:tabs>
        <w:spacing w:before="0"/>
        <w:ind w:left="709" w:hanging="851"/>
        <w:rPr>
          <w:rFonts w:cs="Arial"/>
          <w:color w:val="auto"/>
          <w:szCs w:val="24"/>
          <w:lang w:eastAsia="en-US"/>
        </w:rPr>
      </w:pPr>
      <w:r w:rsidRPr="00882EFF">
        <w:rPr>
          <w:rFonts w:cs="Arial"/>
          <w:color w:val="auto"/>
          <w:szCs w:val="24"/>
          <w:lang w:eastAsia="en-US"/>
        </w:rPr>
        <w:t xml:space="preserve">Developers should engage with broadband providers at the earliest opportunity to enable the highest possible internet connection speeds to be provided in new developments. Applications for major development should be supported by a connectivity strategy that delivers future-proofed infrastructure and supports sustainable communications services having regard to the latest appropriate BDUK strategy and other relevant industry guidance. </w:t>
      </w:r>
    </w:p>
    <w:p w14:paraId="2B880A11" w14:textId="77777777" w:rsidR="00ED5F54" w:rsidRPr="00ED5F54" w:rsidRDefault="00ED5F54" w:rsidP="001165CC">
      <w:pPr>
        <w:spacing w:before="0"/>
        <w:rPr>
          <w:rFonts w:cs="Arial"/>
          <w:color w:val="auto"/>
          <w:szCs w:val="24"/>
        </w:rPr>
      </w:pPr>
    </w:p>
    <w:p w14:paraId="3A3AEA28" w14:textId="2514AC38" w:rsidR="00ED5F54" w:rsidRDefault="00882EFF" w:rsidP="001165CC">
      <w:pPr>
        <w:keepNext w:val="0"/>
        <w:numPr>
          <w:ilvl w:val="1"/>
          <w:numId w:val="7"/>
        </w:numPr>
        <w:tabs>
          <w:tab w:val="clear" w:pos="525"/>
        </w:tabs>
        <w:spacing w:before="0"/>
        <w:ind w:left="709" w:hanging="851"/>
        <w:rPr>
          <w:rFonts w:cs="Arial"/>
          <w:color w:val="auto"/>
          <w:szCs w:val="24"/>
          <w:lang w:eastAsia="en-US"/>
        </w:rPr>
      </w:pPr>
      <w:r w:rsidRPr="00ED5F54">
        <w:rPr>
          <w:rFonts w:cs="Arial"/>
          <w:color w:val="auto"/>
          <w:szCs w:val="24"/>
          <w:lang w:eastAsia="en-US"/>
        </w:rPr>
        <w:t xml:space="preserve">Exceptions will be made to the </w:t>
      </w:r>
      <w:r w:rsidR="00F05D84">
        <w:rPr>
          <w:rFonts w:cs="Arial"/>
          <w:color w:val="auto"/>
          <w:szCs w:val="24"/>
          <w:lang w:eastAsia="en-US"/>
        </w:rPr>
        <w:t>P</w:t>
      </w:r>
      <w:r w:rsidRPr="00ED5F54">
        <w:rPr>
          <w:rFonts w:cs="Arial"/>
          <w:color w:val="auto"/>
          <w:szCs w:val="24"/>
          <w:lang w:eastAsia="en-US"/>
        </w:rPr>
        <w:t>olicy requirements, where applicants can provide evidence through consultation with broadband infrastructure providers, that this would not be possible, practical or economically viable.</w:t>
      </w:r>
    </w:p>
    <w:p w14:paraId="1AE83BA5" w14:textId="77777777" w:rsidR="00ED5F54" w:rsidRPr="00ED5F54" w:rsidRDefault="00ED5F54" w:rsidP="00ED5F54">
      <w:pPr>
        <w:keepNext w:val="0"/>
        <w:spacing w:before="0"/>
        <w:rPr>
          <w:rFonts w:cs="Arial"/>
          <w:color w:val="auto"/>
          <w:szCs w:val="24"/>
          <w:lang w:eastAsia="en-US"/>
        </w:rPr>
      </w:pPr>
    </w:p>
    <w:p w14:paraId="62B82624" w14:textId="4DA9CC29" w:rsidR="006E10D4" w:rsidRPr="00ED5F54" w:rsidRDefault="00882EFF" w:rsidP="00ED5F54">
      <w:pPr>
        <w:keepNext w:val="0"/>
        <w:numPr>
          <w:ilvl w:val="1"/>
          <w:numId w:val="7"/>
        </w:numPr>
        <w:tabs>
          <w:tab w:val="clear" w:pos="525"/>
        </w:tabs>
        <w:spacing w:before="0"/>
        <w:ind w:left="709" w:hanging="851"/>
        <w:rPr>
          <w:rFonts w:cs="Arial"/>
          <w:color w:val="auto"/>
          <w:szCs w:val="24"/>
          <w:lang w:eastAsia="en-US"/>
        </w:rPr>
      </w:pPr>
      <w:r w:rsidRPr="00ED5F54">
        <w:rPr>
          <w:rFonts w:cs="Arial"/>
          <w:color w:val="auto"/>
          <w:szCs w:val="24"/>
          <w:lang w:eastAsia="en-US"/>
        </w:rPr>
        <w:t xml:space="preserve">Modern communications also mean that all kinds of businesses may be undertaken in rural areas and this includes home working, particularly where broadband can be </w:t>
      </w:r>
      <w:r w:rsidRPr="00ED5F54">
        <w:rPr>
          <w:rFonts w:cs="Arial"/>
          <w:color w:val="auto"/>
          <w:szCs w:val="24"/>
          <w:lang w:eastAsia="en-US"/>
        </w:rPr>
        <w:lastRenderedPageBreak/>
        <w:t>improved. Consequently, diversification of the economic base of the rural areas is more achievable as technology allows greater workplace flexibility. As such, the Council will continue to support the roll out superfast broadband within rural communities.</w:t>
      </w:r>
    </w:p>
    <w:p w14:paraId="7D059121" w14:textId="7E83A1C7" w:rsidR="00882EFF" w:rsidRDefault="00882EFF" w:rsidP="00882EFF">
      <w:pPr>
        <w:spacing w:before="0"/>
        <w:rPr>
          <w:rFonts w:cs="Arial"/>
          <w:color w:val="auto"/>
          <w:szCs w:val="24"/>
        </w:rPr>
      </w:pPr>
    </w:p>
    <w:p w14:paraId="4B4370E5" w14:textId="77777777" w:rsidR="00DB05C3" w:rsidRDefault="00DB05C3" w:rsidP="00882EFF">
      <w:pPr>
        <w:spacing w:before="0"/>
        <w:rPr>
          <w:rFonts w:cs="Arial"/>
          <w:color w:val="auto"/>
          <w:szCs w:val="24"/>
        </w:rPr>
      </w:pPr>
    </w:p>
    <w:p w14:paraId="4DA8AA31" w14:textId="286A3143" w:rsidR="00882EFF" w:rsidRPr="00825421" w:rsidRDefault="006977E7" w:rsidP="00825421">
      <w:pPr>
        <w:pStyle w:val="Heading2"/>
        <w:jc w:val="left"/>
        <w:rPr>
          <w:sz w:val="28"/>
          <w:szCs w:val="28"/>
        </w:rPr>
      </w:pPr>
      <w:bookmarkStart w:id="316" w:name="_Toc145511617"/>
      <w:r w:rsidRPr="00825421">
        <w:rPr>
          <w:sz w:val="28"/>
          <w:szCs w:val="28"/>
        </w:rPr>
        <w:t xml:space="preserve">Policy </w:t>
      </w:r>
      <w:r w:rsidR="00882EFF" w:rsidRPr="00825421">
        <w:rPr>
          <w:sz w:val="28"/>
          <w:szCs w:val="28"/>
        </w:rPr>
        <w:t>SD</w:t>
      </w:r>
      <w:r w:rsidR="0064018F" w:rsidRPr="00825421">
        <w:rPr>
          <w:sz w:val="28"/>
          <w:szCs w:val="28"/>
        </w:rPr>
        <w:t>8</w:t>
      </w:r>
      <w:r w:rsidR="00882EFF" w:rsidRPr="00825421">
        <w:rPr>
          <w:sz w:val="28"/>
          <w:szCs w:val="28"/>
        </w:rPr>
        <w:t>: Contaminated Land and Unstable Land</w:t>
      </w:r>
      <w:bookmarkEnd w:id="316"/>
    </w:p>
    <w:p w14:paraId="5A95EACD" w14:textId="1C45447A" w:rsidR="00882EFF" w:rsidRDefault="00882EFF" w:rsidP="00882EFF">
      <w:pPr>
        <w:spacing w:before="0"/>
        <w:rPr>
          <w:rFonts w:cs="Arial"/>
          <w:color w:val="auto"/>
          <w:szCs w:val="24"/>
        </w:rPr>
      </w:pPr>
    </w:p>
    <w:tbl>
      <w:tblPr>
        <w:tblStyle w:val="TableGrid3"/>
        <w:tblW w:w="9776" w:type="dxa"/>
        <w:tblLook w:val="04A0" w:firstRow="1" w:lastRow="0" w:firstColumn="1" w:lastColumn="0" w:noHBand="0" w:noVBand="1"/>
      </w:tblPr>
      <w:tblGrid>
        <w:gridCol w:w="1980"/>
        <w:gridCol w:w="680"/>
        <w:gridCol w:w="7116"/>
      </w:tblGrid>
      <w:tr w:rsidR="00882EFF" w:rsidRPr="00882EFF" w14:paraId="1ADCBFFC" w14:textId="77777777" w:rsidTr="00DD4136">
        <w:trPr>
          <w:trHeight w:val="421"/>
        </w:trPr>
        <w:tc>
          <w:tcPr>
            <w:tcW w:w="9776" w:type="dxa"/>
            <w:gridSpan w:val="3"/>
          </w:tcPr>
          <w:p w14:paraId="7FEAD644" w14:textId="77777777" w:rsidR="00D41DD2" w:rsidRDefault="00D41DD2" w:rsidP="00905CC9">
            <w:pPr>
              <w:keepNext w:val="0"/>
              <w:tabs>
                <w:tab w:val="left" w:pos="680"/>
              </w:tabs>
              <w:spacing w:before="0"/>
              <w:jc w:val="left"/>
              <w:rPr>
                <w:rFonts w:eastAsia="Arial"/>
                <w:b/>
                <w:color w:val="auto"/>
                <w:spacing w:val="-1"/>
              </w:rPr>
            </w:pPr>
            <w:bookmarkStart w:id="317" w:name="_Hlk78875677"/>
          </w:p>
          <w:p w14:paraId="2965FD8A" w14:textId="48BC6E93" w:rsidR="00D41DD2" w:rsidRDefault="00882EFF" w:rsidP="00905CC9">
            <w:pPr>
              <w:keepNext w:val="0"/>
              <w:tabs>
                <w:tab w:val="left" w:pos="680"/>
              </w:tabs>
              <w:spacing w:before="0"/>
              <w:jc w:val="left"/>
              <w:rPr>
                <w:rFonts w:eastAsia="Arial"/>
                <w:b/>
                <w:color w:val="auto"/>
                <w:spacing w:val="-1"/>
              </w:rPr>
            </w:pPr>
            <w:r w:rsidRPr="008F21DB">
              <w:rPr>
                <w:rFonts w:eastAsia="Arial"/>
                <w:b/>
                <w:color w:val="auto"/>
                <w:spacing w:val="-1"/>
              </w:rPr>
              <w:t>Policy SD</w:t>
            </w:r>
            <w:r w:rsidR="0064018F">
              <w:rPr>
                <w:rFonts w:eastAsia="Arial"/>
                <w:b/>
                <w:color w:val="auto"/>
                <w:spacing w:val="-1"/>
              </w:rPr>
              <w:t>8</w:t>
            </w:r>
            <w:r w:rsidRPr="008F21DB">
              <w:rPr>
                <w:rFonts w:eastAsia="Arial"/>
                <w:b/>
                <w:color w:val="auto"/>
                <w:spacing w:val="-1"/>
              </w:rPr>
              <w:t>: Contaminated Land and Unstable Land</w:t>
            </w:r>
          </w:p>
          <w:p w14:paraId="2C036F97" w14:textId="2C112931" w:rsidR="00D41DD2" w:rsidRPr="008F21DB" w:rsidRDefault="00D41DD2" w:rsidP="00905CC9">
            <w:pPr>
              <w:keepNext w:val="0"/>
              <w:tabs>
                <w:tab w:val="left" w:pos="680"/>
              </w:tabs>
              <w:spacing w:before="0"/>
              <w:jc w:val="left"/>
              <w:rPr>
                <w:rFonts w:eastAsia="Arial"/>
                <w:b/>
                <w:color w:val="auto"/>
                <w:spacing w:val="-1"/>
              </w:rPr>
            </w:pPr>
          </w:p>
        </w:tc>
      </w:tr>
      <w:tr w:rsidR="00882EFF" w:rsidRPr="00882EFF" w14:paraId="6358FAF8" w14:textId="77777777" w:rsidTr="00DD4136">
        <w:tc>
          <w:tcPr>
            <w:tcW w:w="2660" w:type="dxa"/>
            <w:gridSpan w:val="2"/>
          </w:tcPr>
          <w:p w14:paraId="21BDEF01" w14:textId="77777777" w:rsidR="00882EFF" w:rsidRPr="008F21DB" w:rsidRDefault="00882EFF" w:rsidP="00882EFF">
            <w:pPr>
              <w:keepNext w:val="0"/>
              <w:tabs>
                <w:tab w:val="left" w:pos="680"/>
              </w:tabs>
              <w:spacing w:before="0"/>
              <w:rPr>
                <w:rFonts w:eastAsia="Arial"/>
                <w:bCs/>
                <w:color w:val="auto"/>
              </w:rPr>
            </w:pPr>
            <w:r w:rsidRPr="008F21DB">
              <w:rPr>
                <w:rFonts w:eastAsia="Arial"/>
                <w:bCs/>
                <w:color w:val="auto"/>
              </w:rPr>
              <w:t>Strategic Objectives</w:t>
            </w:r>
          </w:p>
        </w:tc>
        <w:tc>
          <w:tcPr>
            <w:tcW w:w="7116" w:type="dxa"/>
          </w:tcPr>
          <w:p w14:paraId="0E86C5A5" w14:textId="77777777" w:rsidR="00882EFF" w:rsidRPr="008F21DB" w:rsidRDefault="00882EFF" w:rsidP="00905CC9">
            <w:pPr>
              <w:keepNext w:val="0"/>
              <w:tabs>
                <w:tab w:val="left" w:pos="680"/>
              </w:tabs>
              <w:spacing w:before="40" w:after="40"/>
              <w:jc w:val="left"/>
              <w:rPr>
                <w:rFonts w:eastAsia="Arial"/>
                <w:bCs/>
                <w:color w:val="auto"/>
              </w:rPr>
            </w:pPr>
            <w:r w:rsidRPr="008F21DB">
              <w:rPr>
                <w:rFonts w:eastAsia="Arial"/>
                <w:bCs/>
                <w:color w:val="auto"/>
              </w:rPr>
              <w:t>SO1, SO2, SO13, SO14.</w:t>
            </w:r>
          </w:p>
        </w:tc>
      </w:tr>
      <w:tr w:rsidR="00882EFF" w:rsidRPr="00882EFF" w14:paraId="0E30CC06" w14:textId="77777777" w:rsidTr="00DD4136">
        <w:tc>
          <w:tcPr>
            <w:tcW w:w="9776" w:type="dxa"/>
            <w:gridSpan w:val="3"/>
            <w:shd w:val="clear" w:color="auto" w:fill="DAC4F8"/>
          </w:tcPr>
          <w:p w14:paraId="67A0E67D" w14:textId="77777777" w:rsidR="00882EFF" w:rsidRPr="00882EFF" w:rsidRDefault="00882EFF" w:rsidP="00905CC9">
            <w:pPr>
              <w:keepNext w:val="0"/>
              <w:tabs>
                <w:tab w:val="left" w:pos="680"/>
                <w:tab w:val="left" w:pos="1133"/>
                <w:tab w:val="left" w:pos="2267"/>
              </w:tabs>
              <w:spacing w:before="0"/>
              <w:ind w:right="284"/>
              <w:jc w:val="left"/>
              <w:rPr>
                <w:rFonts w:eastAsia="Arial"/>
                <w:bCs/>
                <w:color w:val="auto"/>
              </w:rPr>
            </w:pPr>
          </w:p>
          <w:p w14:paraId="22B746EB" w14:textId="77777777" w:rsidR="00882EFF" w:rsidRPr="00882EFF" w:rsidRDefault="00882EFF" w:rsidP="00874A98">
            <w:pPr>
              <w:keepNext w:val="0"/>
              <w:numPr>
                <w:ilvl w:val="0"/>
                <w:numId w:val="185"/>
              </w:numPr>
              <w:tabs>
                <w:tab w:val="left" w:pos="680"/>
                <w:tab w:val="left" w:pos="1133"/>
                <w:tab w:val="left" w:pos="2267"/>
              </w:tabs>
              <w:spacing w:before="0"/>
              <w:ind w:right="284"/>
              <w:jc w:val="left"/>
              <w:rPr>
                <w:rFonts w:eastAsia="Arial"/>
                <w:bCs/>
                <w:color w:val="auto"/>
              </w:rPr>
            </w:pPr>
            <w:r w:rsidRPr="00882EFF">
              <w:rPr>
                <w:rFonts w:eastAsia="Arial"/>
                <w:bCs/>
                <w:color w:val="auto"/>
              </w:rPr>
              <w:t xml:space="preserve">When considering applications for development on sites which are: </w:t>
            </w:r>
          </w:p>
          <w:p w14:paraId="6C28625C" w14:textId="77777777" w:rsidR="00882EFF" w:rsidRPr="00882EFF" w:rsidRDefault="00882EFF" w:rsidP="00905CC9">
            <w:pPr>
              <w:keepNext w:val="0"/>
              <w:spacing w:before="0"/>
              <w:jc w:val="left"/>
              <w:rPr>
                <w:rFonts w:eastAsia="Arial" w:cs="Arial"/>
                <w:bCs/>
                <w:color w:val="auto"/>
              </w:rPr>
            </w:pPr>
          </w:p>
          <w:p w14:paraId="64525E14" w14:textId="77777777" w:rsidR="00882EFF" w:rsidRPr="00DB05C3" w:rsidRDefault="00882EFF" w:rsidP="00874A98">
            <w:pPr>
              <w:keepNext w:val="0"/>
              <w:numPr>
                <w:ilvl w:val="0"/>
                <w:numId w:val="186"/>
              </w:numPr>
              <w:spacing w:before="0"/>
              <w:jc w:val="left"/>
              <w:rPr>
                <w:rFonts w:eastAsia="Arial" w:cs="Arial"/>
                <w:bCs/>
                <w:color w:val="auto"/>
              </w:rPr>
            </w:pPr>
            <w:r w:rsidRPr="00DB05C3">
              <w:rPr>
                <w:rFonts w:eastAsia="Arial" w:cs="Arial"/>
                <w:bCs/>
                <w:color w:val="auto"/>
              </w:rPr>
              <w:t xml:space="preserve">Contaminated or potentially contaminated; </w:t>
            </w:r>
          </w:p>
          <w:p w14:paraId="46F00C71" w14:textId="77777777" w:rsidR="00882EFF" w:rsidRPr="00DB05C3" w:rsidRDefault="00882EFF" w:rsidP="00874A98">
            <w:pPr>
              <w:keepNext w:val="0"/>
              <w:numPr>
                <w:ilvl w:val="0"/>
                <w:numId w:val="186"/>
              </w:numPr>
              <w:spacing w:before="0"/>
              <w:jc w:val="left"/>
              <w:rPr>
                <w:rFonts w:eastAsia="Arial" w:cs="Arial"/>
                <w:bCs/>
                <w:color w:val="auto"/>
              </w:rPr>
            </w:pPr>
            <w:r w:rsidRPr="00DB05C3">
              <w:rPr>
                <w:rFonts w:eastAsia="Arial" w:cs="Arial"/>
                <w:bCs/>
                <w:color w:val="auto"/>
              </w:rPr>
              <w:t>On unstable land or potentially unstable land; or</w:t>
            </w:r>
          </w:p>
          <w:p w14:paraId="021A2977" w14:textId="4C1C6828" w:rsidR="00882EFF" w:rsidRPr="00DB05C3" w:rsidRDefault="00CB5AE9" w:rsidP="00874A98">
            <w:pPr>
              <w:keepNext w:val="0"/>
              <w:numPr>
                <w:ilvl w:val="0"/>
                <w:numId w:val="186"/>
              </w:numPr>
              <w:spacing w:before="0"/>
              <w:jc w:val="left"/>
              <w:rPr>
                <w:rFonts w:eastAsia="Arial" w:cs="Arial"/>
                <w:bCs/>
                <w:strike/>
                <w:color w:val="auto"/>
              </w:rPr>
            </w:pPr>
            <w:r w:rsidRPr="00DB05C3">
              <w:rPr>
                <w:rFonts w:eastAsia="Arial" w:cs="Arial"/>
                <w:bCs/>
                <w:color w:val="auto"/>
              </w:rPr>
              <w:t>Within the Coal Authority</w:t>
            </w:r>
            <w:r w:rsidR="00A74C45" w:rsidRPr="00DB05C3">
              <w:rPr>
                <w:rFonts w:eastAsia="Arial" w:cs="Arial"/>
                <w:bCs/>
                <w:color w:val="auto"/>
              </w:rPr>
              <w:t>’s</w:t>
            </w:r>
            <w:r w:rsidRPr="00DB05C3">
              <w:rPr>
                <w:rFonts w:eastAsia="Arial" w:cs="Arial"/>
                <w:bCs/>
                <w:color w:val="auto"/>
              </w:rPr>
              <w:t xml:space="preserve"> defined Development High Risk Area. </w:t>
            </w:r>
          </w:p>
          <w:p w14:paraId="40B5689D" w14:textId="77777777" w:rsidR="00882EFF" w:rsidRPr="00DB05C3" w:rsidRDefault="00882EFF" w:rsidP="00905CC9">
            <w:pPr>
              <w:keepNext w:val="0"/>
              <w:spacing w:before="0"/>
              <w:ind w:left="360"/>
              <w:jc w:val="left"/>
              <w:rPr>
                <w:rFonts w:eastAsia="Arial" w:cs="Arial"/>
                <w:bCs/>
                <w:color w:val="auto"/>
              </w:rPr>
            </w:pPr>
          </w:p>
          <w:p w14:paraId="0A7B133A" w14:textId="4D3D98F5" w:rsidR="00882EFF" w:rsidRPr="00DB05C3" w:rsidRDefault="00882EFF" w:rsidP="00905CC9">
            <w:pPr>
              <w:keepNext w:val="0"/>
              <w:spacing w:before="0"/>
              <w:ind w:left="360"/>
              <w:jc w:val="left"/>
              <w:rPr>
                <w:rFonts w:eastAsia="Arial" w:cs="Arial"/>
                <w:bCs/>
                <w:color w:val="auto"/>
              </w:rPr>
            </w:pPr>
            <w:r w:rsidRPr="00DB05C3">
              <w:rPr>
                <w:rFonts w:eastAsia="Arial" w:cs="Arial"/>
                <w:bCs/>
                <w:color w:val="auto"/>
              </w:rPr>
              <w:t xml:space="preserve">the prospective developer must demonstrate that any existing contamination or instability of the land will be addressed by appropriate mitigation measures to ensure that the site is </w:t>
            </w:r>
            <w:bookmarkStart w:id="318" w:name="_Hlk146200499"/>
            <w:r w:rsidRPr="00DB05C3">
              <w:rPr>
                <w:rFonts w:eastAsia="Arial" w:cs="Arial"/>
                <w:bCs/>
                <w:color w:val="auto"/>
              </w:rPr>
              <w:t xml:space="preserve">suitable for the proposed use </w:t>
            </w:r>
            <w:r w:rsidR="00A74C45" w:rsidRPr="00DB05C3">
              <w:rPr>
                <w:rFonts w:eastAsia="Arial" w:cs="Arial"/>
                <w:bCs/>
                <w:color w:val="auto"/>
              </w:rPr>
              <w:t>taking into account the likely effects (including cumulative</w:t>
            </w:r>
            <w:r w:rsidR="00D61C7E" w:rsidRPr="00DB05C3">
              <w:rPr>
                <w:rFonts w:eastAsia="Arial" w:cs="Arial"/>
                <w:bCs/>
                <w:color w:val="auto"/>
              </w:rPr>
              <w:t xml:space="preserve"> effects) of pollution or unstable land on health, living conditions and the natural environment, as well as the potential sensitivity of the site or the wider area to impacts that could arise from development.</w:t>
            </w:r>
            <w:bookmarkEnd w:id="318"/>
            <w:r w:rsidRPr="00DB05C3">
              <w:rPr>
                <w:rFonts w:eastAsia="Arial" w:cs="Arial"/>
                <w:bCs/>
                <w:color w:val="auto"/>
              </w:rPr>
              <w:t xml:space="preserve"> Development will not be permitted if mitigation cannot be provided to an appropriate standard with an acceptable design.</w:t>
            </w:r>
          </w:p>
          <w:p w14:paraId="2E9D476D" w14:textId="77777777" w:rsidR="00882EFF" w:rsidRPr="00882EFF" w:rsidRDefault="00882EFF" w:rsidP="00905CC9">
            <w:pPr>
              <w:keepNext w:val="0"/>
              <w:spacing w:before="0"/>
              <w:ind w:left="360"/>
              <w:jc w:val="left"/>
              <w:rPr>
                <w:rFonts w:eastAsia="Arial" w:cs="Arial"/>
                <w:bCs/>
                <w:color w:val="auto"/>
              </w:rPr>
            </w:pPr>
          </w:p>
          <w:p w14:paraId="62C9F2A4" w14:textId="77777777" w:rsidR="00882EFF" w:rsidRPr="00882EFF" w:rsidRDefault="00882EFF" w:rsidP="00874A98">
            <w:pPr>
              <w:keepNext w:val="0"/>
              <w:numPr>
                <w:ilvl w:val="0"/>
                <w:numId w:val="185"/>
              </w:numPr>
              <w:tabs>
                <w:tab w:val="left" w:pos="680"/>
                <w:tab w:val="left" w:pos="1133"/>
                <w:tab w:val="left" w:pos="2267"/>
              </w:tabs>
              <w:spacing w:before="0"/>
              <w:ind w:left="357" w:right="284"/>
              <w:jc w:val="left"/>
              <w:rPr>
                <w:rFonts w:eastAsia="Arial"/>
                <w:bCs/>
                <w:color w:val="auto"/>
              </w:rPr>
            </w:pPr>
            <w:r w:rsidRPr="00882EFF">
              <w:rPr>
                <w:rFonts w:eastAsia="Arial"/>
                <w:bCs/>
                <w:color w:val="auto"/>
              </w:rPr>
              <w:t>Issues to be addressed by prospective developers should include but not be limited to:</w:t>
            </w:r>
          </w:p>
          <w:p w14:paraId="786E79CE" w14:textId="77777777" w:rsidR="00882EFF" w:rsidRPr="00882EFF" w:rsidRDefault="00882EFF" w:rsidP="00905CC9">
            <w:pPr>
              <w:keepNext w:val="0"/>
              <w:tabs>
                <w:tab w:val="left" w:pos="680"/>
                <w:tab w:val="left" w:pos="1133"/>
                <w:tab w:val="left" w:pos="2267"/>
              </w:tabs>
              <w:spacing w:before="0"/>
              <w:ind w:left="357" w:right="284"/>
              <w:jc w:val="left"/>
              <w:rPr>
                <w:rFonts w:eastAsia="Arial"/>
                <w:bCs/>
                <w:color w:val="auto"/>
              </w:rPr>
            </w:pPr>
          </w:p>
          <w:p w14:paraId="4143DA2F" w14:textId="77777777" w:rsidR="00882EFF" w:rsidRPr="00882EFF" w:rsidRDefault="00882EFF" w:rsidP="00874A98">
            <w:pPr>
              <w:keepNext w:val="0"/>
              <w:numPr>
                <w:ilvl w:val="0"/>
                <w:numId w:val="187"/>
              </w:numPr>
              <w:spacing w:before="0" w:after="160"/>
              <w:jc w:val="left"/>
              <w:rPr>
                <w:rFonts w:eastAsia="Arial" w:cs="Arial"/>
                <w:bCs/>
                <w:color w:val="auto"/>
              </w:rPr>
            </w:pPr>
            <w:r w:rsidRPr="00882EFF">
              <w:rPr>
                <w:rFonts w:eastAsia="Arial" w:cs="Arial"/>
                <w:bCs/>
                <w:color w:val="auto"/>
              </w:rPr>
              <w:t>Avoiding exposing the occupiers of the development and neighbouring land users to significant risk;</w:t>
            </w:r>
          </w:p>
          <w:p w14:paraId="63160AC6" w14:textId="77777777" w:rsidR="00882EFF" w:rsidRPr="00DB05C3" w:rsidRDefault="00882EFF" w:rsidP="00874A98">
            <w:pPr>
              <w:keepNext w:val="0"/>
              <w:numPr>
                <w:ilvl w:val="0"/>
                <w:numId w:val="187"/>
              </w:numPr>
              <w:spacing w:before="0" w:after="160"/>
              <w:jc w:val="left"/>
              <w:rPr>
                <w:rFonts w:eastAsia="Arial" w:cs="Arial"/>
                <w:bCs/>
                <w:color w:val="auto"/>
              </w:rPr>
            </w:pPr>
            <w:r w:rsidRPr="00DB05C3">
              <w:rPr>
                <w:rFonts w:eastAsia="Arial" w:cs="Arial"/>
                <w:bCs/>
                <w:color w:val="auto"/>
              </w:rPr>
              <w:t xml:space="preserve">Any threats to the structural integrity of any building or structure on the site or any adjoining site; </w:t>
            </w:r>
          </w:p>
          <w:p w14:paraId="5FA835A1" w14:textId="3EB59CEF" w:rsidR="00882EFF" w:rsidRPr="00DB05C3" w:rsidRDefault="00882EFF" w:rsidP="00874A98">
            <w:pPr>
              <w:keepNext w:val="0"/>
              <w:numPr>
                <w:ilvl w:val="0"/>
                <w:numId w:val="187"/>
              </w:numPr>
              <w:spacing w:before="0" w:after="160"/>
              <w:jc w:val="left"/>
              <w:rPr>
                <w:rFonts w:eastAsia="Arial" w:cs="Arial"/>
                <w:bCs/>
                <w:color w:val="auto"/>
              </w:rPr>
            </w:pPr>
            <w:r w:rsidRPr="00DB05C3">
              <w:rPr>
                <w:rFonts w:eastAsia="Arial" w:cs="Arial"/>
                <w:bCs/>
                <w:color w:val="auto"/>
              </w:rPr>
              <w:t xml:space="preserve">Avoiding the contamination of any watercourse, water body, groundwater or aquifer; </w:t>
            </w:r>
            <w:r w:rsidR="00D61C7E" w:rsidRPr="00DB05C3">
              <w:rPr>
                <w:rFonts w:eastAsia="Arial" w:cs="Arial"/>
                <w:bCs/>
                <w:color w:val="auto"/>
              </w:rPr>
              <w:t xml:space="preserve">and </w:t>
            </w:r>
          </w:p>
          <w:p w14:paraId="531E4A50" w14:textId="77777777" w:rsidR="00882EFF" w:rsidRPr="00882EFF" w:rsidRDefault="00882EFF" w:rsidP="00874A98">
            <w:pPr>
              <w:keepNext w:val="0"/>
              <w:numPr>
                <w:ilvl w:val="0"/>
                <w:numId w:val="187"/>
              </w:numPr>
              <w:spacing w:before="0" w:after="160"/>
              <w:jc w:val="left"/>
              <w:rPr>
                <w:rFonts w:eastAsia="Arial" w:cs="Arial"/>
                <w:bCs/>
                <w:color w:val="auto"/>
              </w:rPr>
            </w:pPr>
            <w:r w:rsidRPr="00DB05C3">
              <w:rPr>
                <w:rFonts w:eastAsia="Arial" w:cs="Arial"/>
                <w:bCs/>
                <w:color w:val="auto"/>
              </w:rPr>
              <w:t xml:space="preserve">Having an adverse </w:t>
            </w:r>
            <w:r w:rsidRPr="00882EFF">
              <w:rPr>
                <w:rFonts w:eastAsia="Arial" w:cs="Arial"/>
                <w:bCs/>
                <w:color w:val="auto"/>
              </w:rPr>
              <w:t xml:space="preserve">effect upon natural habitats and/or ecosystems. </w:t>
            </w:r>
          </w:p>
          <w:p w14:paraId="4C15BD52" w14:textId="77777777" w:rsidR="00882EFF" w:rsidRPr="00882EFF" w:rsidRDefault="00882EFF" w:rsidP="00905CC9">
            <w:pPr>
              <w:keepNext w:val="0"/>
              <w:tabs>
                <w:tab w:val="left" w:pos="680"/>
                <w:tab w:val="left" w:pos="1133"/>
                <w:tab w:val="left" w:pos="2267"/>
              </w:tabs>
              <w:spacing w:before="0"/>
              <w:ind w:left="360" w:right="284"/>
              <w:jc w:val="left"/>
              <w:rPr>
                <w:rFonts w:eastAsia="Arial"/>
                <w:bCs/>
                <w:color w:val="auto"/>
              </w:rPr>
            </w:pPr>
          </w:p>
          <w:p w14:paraId="7DF8ACCA" w14:textId="3ECC19BC" w:rsidR="00882EFF" w:rsidRDefault="00882EFF" w:rsidP="00874A98">
            <w:pPr>
              <w:keepNext w:val="0"/>
              <w:numPr>
                <w:ilvl w:val="0"/>
                <w:numId w:val="185"/>
              </w:numPr>
              <w:tabs>
                <w:tab w:val="left" w:pos="680"/>
                <w:tab w:val="left" w:pos="1133"/>
                <w:tab w:val="left" w:pos="2267"/>
              </w:tabs>
              <w:spacing w:before="0"/>
              <w:ind w:left="357" w:right="284" w:hanging="357"/>
              <w:jc w:val="left"/>
              <w:rPr>
                <w:rFonts w:eastAsia="Arial"/>
                <w:bCs/>
                <w:color w:val="auto"/>
              </w:rPr>
            </w:pPr>
            <w:r w:rsidRPr="00882EFF">
              <w:rPr>
                <w:rFonts w:eastAsia="Arial"/>
                <w:bCs/>
                <w:color w:val="auto"/>
              </w:rPr>
              <w:t xml:space="preserve">Proposals for development will be considered in the context of the cumulative impact. The extent of the area over which the cumulative impact will be </w:t>
            </w:r>
            <w:proofErr w:type="gramStart"/>
            <w:r w:rsidRPr="00882EFF">
              <w:rPr>
                <w:rFonts w:eastAsia="Arial"/>
                <w:bCs/>
                <w:color w:val="auto"/>
              </w:rPr>
              <w:t>taken into account</w:t>
            </w:r>
            <w:proofErr w:type="gramEnd"/>
            <w:r w:rsidRPr="00882EFF">
              <w:rPr>
                <w:rFonts w:eastAsia="Arial"/>
                <w:bCs/>
                <w:color w:val="auto"/>
              </w:rPr>
              <w:t xml:space="preserve"> will be determined on a </w:t>
            </w:r>
            <w:proofErr w:type="gramStart"/>
            <w:r w:rsidRPr="00882EFF">
              <w:rPr>
                <w:rFonts w:eastAsia="Arial"/>
                <w:bCs/>
                <w:color w:val="auto"/>
              </w:rPr>
              <w:t>site to site</w:t>
            </w:r>
            <w:proofErr w:type="gramEnd"/>
            <w:r w:rsidRPr="00882EFF">
              <w:rPr>
                <w:rFonts w:eastAsia="Arial"/>
                <w:bCs/>
                <w:color w:val="auto"/>
              </w:rPr>
              <w:t xml:space="preserve"> basis.</w:t>
            </w:r>
          </w:p>
          <w:p w14:paraId="370407E1" w14:textId="77777777" w:rsidR="00882EFF" w:rsidRPr="00882EFF" w:rsidRDefault="00882EFF" w:rsidP="00905CC9">
            <w:pPr>
              <w:keepNext w:val="0"/>
              <w:tabs>
                <w:tab w:val="left" w:pos="680"/>
                <w:tab w:val="left" w:pos="1133"/>
                <w:tab w:val="left" w:pos="2267"/>
              </w:tabs>
              <w:spacing w:before="0"/>
              <w:ind w:left="357" w:right="284"/>
              <w:jc w:val="left"/>
              <w:rPr>
                <w:rFonts w:eastAsia="Arial"/>
                <w:bCs/>
                <w:color w:val="auto"/>
              </w:rPr>
            </w:pPr>
          </w:p>
          <w:p w14:paraId="4809CC13" w14:textId="77777777" w:rsidR="00882EFF" w:rsidRPr="00882EFF" w:rsidRDefault="00882EFF" w:rsidP="00874A98">
            <w:pPr>
              <w:keepNext w:val="0"/>
              <w:numPr>
                <w:ilvl w:val="0"/>
                <w:numId w:val="185"/>
              </w:numPr>
              <w:spacing w:before="0"/>
              <w:ind w:left="357" w:hanging="357"/>
              <w:contextualSpacing/>
              <w:jc w:val="left"/>
              <w:rPr>
                <w:rFonts w:eastAsia="Arial"/>
                <w:bCs/>
                <w:color w:val="auto"/>
              </w:rPr>
            </w:pPr>
            <w:r w:rsidRPr="00882EFF">
              <w:rPr>
                <w:rFonts w:eastAsia="Arial"/>
                <w:bCs/>
                <w:color w:val="auto"/>
              </w:rPr>
              <w:t>Where appropriate, proposed development should demonstrate that it will not cause the land to become contaminated to the detriment of future use or restoration of the site or so that it would cause pollution in the surrounding area.</w:t>
            </w:r>
          </w:p>
          <w:p w14:paraId="3AE6D722" w14:textId="77777777" w:rsidR="00882EFF" w:rsidRPr="00882EFF" w:rsidRDefault="00882EFF" w:rsidP="00905CC9">
            <w:pPr>
              <w:keepNext w:val="0"/>
              <w:spacing w:before="0"/>
              <w:contextualSpacing/>
              <w:jc w:val="left"/>
              <w:rPr>
                <w:rFonts w:eastAsia="Arial" w:cs="Arial"/>
                <w:bCs/>
                <w:color w:val="auto"/>
                <w:szCs w:val="24"/>
              </w:rPr>
            </w:pPr>
          </w:p>
          <w:p w14:paraId="44D81236" w14:textId="77777777" w:rsidR="00882EFF" w:rsidRPr="00882EFF" w:rsidRDefault="00882EFF" w:rsidP="00874A98">
            <w:pPr>
              <w:keepNext w:val="0"/>
              <w:numPr>
                <w:ilvl w:val="0"/>
                <w:numId w:val="185"/>
              </w:numPr>
              <w:tabs>
                <w:tab w:val="left" w:pos="680"/>
                <w:tab w:val="left" w:pos="1133"/>
                <w:tab w:val="left" w:pos="2267"/>
              </w:tabs>
              <w:spacing w:before="0" w:after="160"/>
              <w:ind w:right="284"/>
              <w:jc w:val="left"/>
              <w:rPr>
                <w:rFonts w:eastAsia="Arial"/>
                <w:bCs/>
                <w:color w:val="auto"/>
              </w:rPr>
            </w:pPr>
            <w:r w:rsidRPr="00882EFF">
              <w:rPr>
                <w:rFonts w:eastAsia="Arial"/>
                <w:bCs/>
                <w:color w:val="auto"/>
              </w:rPr>
              <w:t xml:space="preserve">The responsibility for ensuring a safe development rests with the developer and/or landowner. Where considered necessary, the developer will be required to </w:t>
            </w:r>
            <w:proofErr w:type="gramStart"/>
            <w:r w:rsidRPr="00882EFF">
              <w:rPr>
                <w:rFonts w:eastAsia="Arial"/>
                <w:bCs/>
                <w:color w:val="auto"/>
              </w:rPr>
              <w:t>enter into</w:t>
            </w:r>
            <w:proofErr w:type="gramEnd"/>
            <w:r w:rsidRPr="00882EFF">
              <w:rPr>
                <w:rFonts w:eastAsia="Arial"/>
                <w:bCs/>
                <w:color w:val="auto"/>
              </w:rPr>
              <w:t xml:space="preserve"> conditions or planning obligations to undertake further investigative works, remedial measures, or to ensure that development does not take place until appropriate measures are completed.</w:t>
            </w:r>
          </w:p>
          <w:p w14:paraId="303F79CF" w14:textId="77777777" w:rsidR="00882EFF" w:rsidRPr="00882EFF" w:rsidRDefault="00882EFF" w:rsidP="00905CC9">
            <w:pPr>
              <w:keepNext w:val="0"/>
              <w:tabs>
                <w:tab w:val="left" w:pos="680"/>
                <w:tab w:val="left" w:pos="1133"/>
                <w:tab w:val="left" w:pos="2267"/>
              </w:tabs>
              <w:spacing w:before="0"/>
              <w:ind w:right="284"/>
              <w:jc w:val="left"/>
              <w:rPr>
                <w:rFonts w:eastAsia="Arial"/>
                <w:bCs/>
                <w:color w:val="auto"/>
              </w:rPr>
            </w:pPr>
          </w:p>
        </w:tc>
      </w:tr>
      <w:bookmarkEnd w:id="317"/>
      <w:tr w:rsidR="00882EFF" w:rsidRPr="00882EFF" w14:paraId="1E21AA1A" w14:textId="77777777" w:rsidTr="00DD4136">
        <w:tc>
          <w:tcPr>
            <w:tcW w:w="1980" w:type="dxa"/>
          </w:tcPr>
          <w:p w14:paraId="010FC326" w14:textId="77777777" w:rsidR="00882EFF" w:rsidRPr="00A03E50" w:rsidRDefault="00882EFF" w:rsidP="00905CC9">
            <w:pPr>
              <w:keepNext w:val="0"/>
              <w:tabs>
                <w:tab w:val="left" w:pos="680"/>
                <w:tab w:val="left" w:pos="1133"/>
                <w:tab w:val="left" w:pos="2267"/>
              </w:tabs>
              <w:spacing w:before="0"/>
              <w:ind w:right="284"/>
              <w:jc w:val="left"/>
              <w:rPr>
                <w:rFonts w:eastAsia="Arial"/>
                <w:b/>
                <w:color w:val="7030A0"/>
                <w:sz w:val="20"/>
              </w:rPr>
            </w:pPr>
            <w:r w:rsidRPr="00A03E50">
              <w:rPr>
                <w:rFonts w:eastAsia="Arial"/>
                <w:bCs/>
                <w:color w:val="auto"/>
                <w:sz w:val="20"/>
              </w:rPr>
              <w:lastRenderedPageBreak/>
              <w:t>Evidence base</w:t>
            </w:r>
          </w:p>
        </w:tc>
        <w:tc>
          <w:tcPr>
            <w:tcW w:w="7796" w:type="dxa"/>
            <w:gridSpan w:val="2"/>
          </w:tcPr>
          <w:p w14:paraId="54BE286C" w14:textId="0DDDFB77" w:rsidR="00882EFF" w:rsidRPr="00DB05C3" w:rsidRDefault="00882EFF" w:rsidP="00905CC9">
            <w:pPr>
              <w:keepNext w:val="0"/>
              <w:numPr>
                <w:ilvl w:val="0"/>
                <w:numId w:val="13"/>
              </w:numPr>
              <w:tabs>
                <w:tab w:val="left" w:pos="680"/>
                <w:tab w:val="left" w:pos="1133"/>
                <w:tab w:val="left" w:pos="2267"/>
              </w:tabs>
              <w:spacing w:before="0" w:after="160" w:line="252" w:lineRule="auto"/>
              <w:ind w:right="284"/>
              <w:contextualSpacing/>
              <w:jc w:val="left"/>
              <w:rPr>
                <w:rFonts w:eastAsia="Arial"/>
                <w:bCs/>
                <w:color w:val="auto"/>
                <w:sz w:val="20"/>
              </w:rPr>
            </w:pPr>
            <w:r w:rsidRPr="00DB05C3">
              <w:rPr>
                <w:rFonts w:eastAsia="Arial"/>
                <w:bCs/>
                <w:color w:val="auto"/>
                <w:sz w:val="20"/>
              </w:rPr>
              <w:t xml:space="preserve">Sustainability Appraisal, </w:t>
            </w:r>
            <w:r w:rsidR="0025538D" w:rsidRPr="00DB05C3">
              <w:rPr>
                <w:rFonts w:eastAsia="Arial"/>
                <w:bCs/>
                <w:color w:val="auto"/>
                <w:sz w:val="20"/>
              </w:rPr>
              <w:t>2</w:t>
            </w:r>
            <w:r w:rsidRPr="00DB05C3">
              <w:rPr>
                <w:rFonts w:eastAsia="Arial"/>
                <w:bCs/>
                <w:color w:val="auto"/>
                <w:sz w:val="20"/>
              </w:rPr>
              <w:t>02</w:t>
            </w:r>
            <w:r w:rsidR="0025538D" w:rsidRPr="00DB05C3">
              <w:rPr>
                <w:rFonts w:eastAsia="Arial"/>
                <w:bCs/>
                <w:color w:val="auto"/>
                <w:sz w:val="20"/>
              </w:rPr>
              <w:t>3</w:t>
            </w:r>
            <w:r w:rsidRPr="00DB05C3">
              <w:rPr>
                <w:rFonts w:eastAsia="Arial"/>
                <w:bCs/>
                <w:color w:val="auto"/>
                <w:sz w:val="20"/>
              </w:rPr>
              <w:t>.</w:t>
            </w:r>
            <w:r w:rsidR="0025538D" w:rsidRPr="00DB05C3">
              <w:rPr>
                <w:rFonts w:eastAsia="Arial"/>
                <w:bCs/>
                <w:color w:val="auto"/>
                <w:sz w:val="20"/>
              </w:rPr>
              <w:t xml:space="preserve"> WSP UK Limited</w:t>
            </w:r>
            <w:r w:rsidRPr="00DB05C3">
              <w:rPr>
                <w:rFonts w:eastAsia="Arial"/>
                <w:bCs/>
                <w:color w:val="auto"/>
                <w:sz w:val="20"/>
              </w:rPr>
              <w:t xml:space="preserve">. </w:t>
            </w:r>
          </w:p>
        </w:tc>
      </w:tr>
      <w:tr w:rsidR="00882EFF" w:rsidRPr="00882EFF" w14:paraId="40D064EA" w14:textId="77777777" w:rsidTr="00DD4136">
        <w:tc>
          <w:tcPr>
            <w:tcW w:w="1980" w:type="dxa"/>
          </w:tcPr>
          <w:p w14:paraId="0C8777D9" w14:textId="77777777" w:rsidR="00882EFF" w:rsidRPr="00A03E50" w:rsidRDefault="00882EFF" w:rsidP="00905CC9">
            <w:pPr>
              <w:keepNext w:val="0"/>
              <w:tabs>
                <w:tab w:val="left" w:pos="680"/>
                <w:tab w:val="left" w:pos="1133"/>
                <w:tab w:val="left" w:pos="2267"/>
              </w:tabs>
              <w:spacing w:before="0"/>
              <w:ind w:right="284"/>
              <w:jc w:val="left"/>
              <w:rPr>
                <w:rFonts w:eastAsia="Arial"/>
                <w:b/>
                <w:color w:val="auto"/>
                <w:sz w:val="20"/>
              </w:rPr>
            </w:pPr>
            <w:r w:rsidRPr="00A03E50">
              <w:rPr>
                <w:rFonts w:eastAsia="Arial"/>
                <w:bCs/>
                <w:color w:val="auto"/>
                <w:sz w:val="20"/>
              </w:rPr>
              <w:t>National Planning Policy and Guidance</w:t>
            </w:r>
          </w:p>
        </w:tc>
        <w:tc>
          <w:tcPr>
            <w:tcW w:w="7796" w:type="dxa"/>
            <w:gridSpan w:val="2"/>
          </w:tcPr>
          <w:p w14:paraId="440D6F7D" w14:textId="004869CE" w:rsidR="00882EFF" w:rsidRPr="00DB05C3" w:rsidRDefault="00882EFF"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DB05C3">
              <w:rPr>
                <w:rFonts w:eastAsia="Arial"/>
                <w:bCs/>
                <w:color w:val="auto"/>
                <w:sz w:val="20"/>
              </w:rPr>
              <w:t>NPPF 20</w:t>
            </w:r>
            <w:r w:rsidR="004173E0" w:rsidRPr="00DB05C3">
              <w:rPr>
                <w:rFonts w:eastAsia="Arial"/>
                <w:bCs/>
                <w:color w:val="auto"/>
                <w:sz w:val="20"/>
              </w:rPr>
              <w:t>23</w:t>
            </w:r>
            <w:r w:rsidRPr="00DB05C3">
              <w:rPr>
                <w:rFonts w:eastAsia="Arial"/>
                <w:bCs/>
                <w:color w:val="auto"/>
                <w:sz w:val="20"/>
              </w:rPr>
              <w:t>, Part 2: Achieving sustainable development.</w:t>
            </w:r>
          </w:p>
          <w:p w14:paraId="527AD5F7" w14:textId="5FB02248" w:rsidR="00882EFF" w:rsidRPr="00DB05C3" w:rsidRDefault="00882EFF"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DB05C3">
              <w:rPr>
                <w:rFonts w:eastAsia="Arial"/>
                <w:bCs/>
                <w:color w:val="auto"/>
                <w:sz w:val="20"/>
              </w:rPr>
              <w:t>NPPF 20</w:t>
            </w:r>
            <w:r w:rsidR="004173E0" w:rsidRPr="00DB05C3">
              <w:rPr>
                <w:rFonts w:eastAsia="Arial"/>
                <w:bCs/>
                <w:color w:val="auto"/>
                <w:sz w:val="20"/>
              </w:rPr>
              <w:t>23</w:t>
            </w:r>
            <w:r w:rsidRPr="00DB05C3">
              <w:rPr>
                <w:rFonts w:eastAsia="Arial"/>
                <w:bCs/>
                <w:color w:val="auto"/>
                <w:sz w:val="20"/>
              </w:rPr>
              <w:t>,</w:t>
            </w:r>
            <w:r w:rsidRPr="00DB05C3">
              <w:rPr>
                <w:color w:val="auto"/>
                <w:sz w:val="20"/>
              </w:rPr>
              <w:t xml:space="preserve"> </w:t>
            </w:r>
            <w:r w:rsidRPr="00DB05C3">
              <w:rPr>
                <w:rFonts w:eastAsia="Arial"/>
                <w:bCs/>
                <w:color w:val="auto"/>
                <w:sz w:val="20"/>
              </w:rPr>
              <w:t xml:space="preserve">Part 15: </w:t>
            </w:r>
            <w:r w:rsidRPr="00DB05C3">
              <w:rPr>
                <w:color w:val="auto"/>
                <w:sz w:val="20"/>
              </w:rPr>
              <w:t>Conserving and enhancing the natural environment.</w:t>
            </w:r>
          </w:p>
          <w:p w14:paraId="4D6F507A" w14:textId="5BB14F4D" w:rsidR="00882EFF" w:rsidRPr="00DB05C3" w:rsidRDefault="00882EFF"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DB05C3">
              <w:rPr>
                <w:color w:val="auto"/>
                <w:sz w:val="20"/>
              </w:rPr>
              <w:t xml:space="preserve">Planning Practice Guidance: Hazardous substances as </w:t>
            </w:r>
            <w:r w:rsidR="00EA7D34" w:rsidRPr="00DB05C3">
              <w:rPr>
                <w:color w:val="auto"/>
                <w:sz w:val="20"/>
              </w:rPr>
              <w:t>of</w:t>
            </w:r>
            <w:r w:rsidR="0025538D" w:rsidRPr="00DB05C3">
              <w:rPr>
                <w:color w:val="auto"/>
                <w:sz w:val="20"/>
              </w:rPr>
              <w:t xml:space="preserve"> November 2019</w:t>
            </w:r>
            <w:r w:rsidRPr="00DB05C3">
              <w:rPr>
                <w:color w:val="auto"/>
                <w:sz w:val="20"/>
              </w:rPr>
              <w:t>.</w:t>
            </w:r>
          </w:p>
          <w:p w14:paraId="426F39CD" w14:textId="45EBB7AD" w:rsidR="00882EFF" w:rsidRPr="00DB05C3" w:rsidRDefault="00882EFF" w:rsidP="00874A98">
            <w:pPr>
              <w:keepNext w:val="0"/>
              <w:numPr>
                <w:ilvl w:val="0"/>
                <w:numId w:val="119"/>
              </w:numPr>
              <w:spacing w:before="0" w:after="160" w:line="252" w:lineRule="auto"/>
              <w:contextualSpacing/>
              <w:jc w:val="left"/>
              <w:rPr>
                <w:rFonts w:eastAsia="Arial"/>
                <w:bCs/>
                <w:color w:val="auto"/>
                <w:sz w:val="20"/>
              </w:rPr>
            </w:pPr>
            <w:r w:rsidRPr="00DB05C3">
              <w:rPr>
                <w:rFonts w:eastAsia="Arial"/>
                <w:bCs/>
                <w:color w:val="auto"/>
                <w:sz w:val="20"/>
              </w:rPr>
              <w:t xml:space="preserve">Planning Practice Guidance: Land affected by contamination as </w:t>
            </w:r>
            <w:r w:rsidR="00EA7D34" w:rsidRPr="00DB05C3">
              <w:rPr>
                <w:rFonts w:eastAsia="Arial"/>
                <w:bCs/>
                <w:color w:val="auto"/>
                <w:sz w:val="20"/>
              </w:rPr>
              <w:t>of</w:t>
            </w:r>
            <w:r w:rsidRPr="00DB05C3">
              <w:rPr>
                <w:rFonts w:eastAsia="Arial"/>
                <w:bCs/>
                <w:color w:val="auto"/>
                <w:sz w:val="20"/>
              </w:rPr>
              <w:t xml:space="preserve"> </w:t>
            </w:r>
            <w:r w:rsidR="0025538D" w:rsidRPr="00DB05C3">
              <w:rPr>
                <w:rFonts w:eastAsia="Arial"/>
                <w:bCs/>
                <w:color w:val="auto"/>
                <w:sz w:val="20"/>
              </w:rPr>
              <w:t>July 2019</w:t>
            </w:r>
            <w:r w:rsidRPr="00DB05C3">
              <w:rPr>
                <w:rFonts w:eastAsia="Arial"/>
                <w:bCs/>
                <w:color w:val="auto"/>
                <w:sz w:val="20"/>
              </w:rPr>
              <w:t>.</w:t>
            </w:r>
          </w:p>
          <w:p w14:paraId="40095360" w14:textId="0CEDE352" w:rsidR="00882EFF" w:rsidRPr="00DB05C3" w:rsidRDefault="00882EFF" w:rsidP="00874A98">
            <w:pPr>
              <w:keepNext w:val="0"/>
              <w:numPr>
                <w:ilvl w:val="0"/>
                <w:numId w:val="119"/>
              </w:numPr>
              <w:spacing w:before="0" w:after="160" w:line="252" w:lineRule="auto"/>
              <w:contextualSpacing/>
              <w:jc w:val="left"/>
              <w:rPr>
                <w:rFonts w:eastAsia="Arial"/>
                <w:bCs/>
                <w:color w:val="auto"/>
                <w:sz w:val="20"/>
              </w:rPr>
            </w:pPr>
            <w:r w:rsidRPr="00DB05C3">
              <w:rPr>
                <w:rFonts w:eastAsia="Arial"/>
                <w:bCs/>
                <w:color w:val="auto"/>
                <w:sz w:val="20"/>
              </w:rPr>
              <w:t xml:space="preserve">Planning Practice Guidance: Land stability as </w:t>
            </w:r>
            <w:r w:rsidR="00EA7D34" w:rsidRPr="00DB05C3">
              <w:rPr>
                <w:rFonts w:eastAsia="Arial"/>
                <w:bCs/>
                <w:color w:val="auto"/>
                <w:sz w:val="20"/>
              </w:rPr>
              <w:t>of</w:t>
            </w:r>
            <w:r w:rsidR="0025538D" w:rsidRPr="00DB05C3">
              <w:rPr>
                <w:rFonts w:eastAsia="Arial"/>
                <w:bCs/>
                <w:color w:val="auto"/>
                <w:sz w:val="20"/>
              </w:rPr>
              <w:t xml:space="preserve"> July 2019</w:t>
            </w:r>
            <w:r w:rsidRPr="00DB05C3">
              <w:rPr>
                <w:rFonts w:eastAsia="Arial"/>
                <w:bCs/>
                <w:color w:val="auto"/>
                <w:sz w:val="20"/>
              </w:rPr>
              <w:t>.</w:t>
            </w:r>
          </w:p>
        </w:tc>
      </w:tr>
    </w:tbl>
    <w:p w14:paraId="15BC3316" w14:textId="77777777" w:rsidR="00882EFF" w:rsidRPr="00882EFF" w:rsidRDefault="00882EFF" w:rsidP="00882EFF">
      <w:pPr>
        <w:keepNext w:val="0"/>
        <w:spacing w:before="0"/>
        <w:rPr>
          <w:rFonts w:eastAsia="Arial" w:cs="Arial"/>
          <w:color w:val="auto"/>
        </w:rPr>
      </w:pPr>
    </w:p>
    <w:p w14:paraId="2860CA2C" w14:textId="2438C943" w:rsidR="00882EFF" w:rsidRDefault="00882EFF" w:rsidP="00882EFF">
      <w:pPr>
        <w:spacing w:before="0"/>
        <w:rPr>
          <w:rFonts w:cs="Arial"/>
          <w:color w:val="auto"/>
          <w:szCs w:val="24"/>
        </w:rPr>
      </w:pPr>
    </w:p>
    <w:p w14:paraId="09B57CD5" w14:textId="12829F05" w:rsidR="00D41DD2" w:rsidRDefault="00882EFF" w:rsidP="00D41DD2">
      <w:pPr>
        <w:keepNext w:val="0"/>
        <w:numPr>
          <w:ilvl w:val="1"/>
          <w:numId w:val="7"/>
        </w:numPr>
        <w:tabs>
          <w:tab w:val="clear" w:pos="525"/>
        </w:tabs>
        <w:spacing w:before="0"/>
        <w:ind w:left="709" w:hanging="709"/>
        <w:rPr>
          <w:rFonts w:cs="Arial"/>
          <w:color w:val="auto"/>
          <w:szCs w:val="24"/>
          <w:lang w:eastAsia="en-US"/>
        </w:rPr>
      </w:pPr>
      <w:r w:rsidRPr="00882EFF">
        <w:rPr>
          <w:rFonts w:cs="Arial"/>
          <w:color w:val="auto"/>
          <w:szCs w:val="24"/>
        </w:rPr>
        <w:t xml:space="preserve">Contaminated land may be regarded as any land which is in such a condition by reason of substances in, on or under the land, that it can result in risks to human health, property and the wider environment, including long-term limitations on the use of soils. It may arise from </w:t>
      </w:r>
      <w:proofErr w:type="gramStart"/>
      <w:r w:rsidRPr="00882EFF">
        <w:rPr>
          <w:rFonts w:cs="Arial"/>
          <w:color w:val="auto"/>
          <w:szCs w:val="24"/>
        </w:rPr>
        <w:t>a number of</w:t>
      </w:r>
      <w:proofErr w:type="gramEnd"/>
      <w:r w:rsidRPr="00882EFF">
        <w:rPr>
          <w:rFonts w:cs="Arial"/>
          <w:color w:val="auto"/>
          <w:szCs w:val="24"/>
        </w:rPr>
        <w:t xml:space="preserve"> sources being typically associated with some types of former industrial sites, but even agricultural land can have issues through for example, excessive use or spills of pesticides, or relating to farm waste disposal.  There are also natural sources of contamination and radon gas, a naturally occurring radioactive gas, is present within the </w:t>
      </w:r>
      <w:proofErr w:type="gramStart"/>
      <w:r w:rsidRPr="00882EFF">
        <w:rPr>
          <w:rFonts w:cs="Arial"/>
          <w:color w:val="auto"/>
          <w:szCs w:val="24"/>
        </w:rPr>
        <w:t>District</w:t>
      </w:r>
      <w:proofErr w:type="gramEnd"/>
      <w:r w:rsidRPr="00882EFF">
        <w:rPr>
          <w:rFonts w:cs="Arial"/>
          <w:color w:val="auto"/>
          <w:szCs w:val="24"/>
        </w:rPr>
        <w:t xml:space="preserve">. Previously developed sites </w:t>
      </w:r>
      <w:proofErr w:type="gramStart"/>
      <w:r w:rsidRPr="00882EFF">
        <w:rPr>
          <w:rFonts w:cs="Arial"/>
          <w:color w:val="auto"/>
          <w:szCs w:val="24"/>
        </w:rPr>
        <w:t>in particular may</w:t>
      </w:r>
      <w:proofErr w:type="gramEnd"/>
      <w:r w:rsidRPr="00882EFF">
        <w:rPr>
          <w:rFonts w:cs="Arial"/>
          <w:color w:val="auto"/>
          <w:szCs w:val="24"/>
        </w:rPr>
        <w:t xml:space="preserve"> have infestations of Japanese Knotweed, which has a detrimental impact on native wildlife as well as having the potential to damage buildings and hard surfaces. </w:t>
      </w:r>
    </w:p>
    <w:p w14:paraId="381B39AA" w14:textId="77777777" w:rsidR="00D41DD2" w:rsidRDefault="00D41DD2" w:rsidP="00D41DD2">
      <w:pPr>
        <w:keepNext w:val="0"/>
        <w:spacing w:before="0"/>
        <w:ind w:left="709"/>
        <w:rPr>
          <w:rFonts w:cs="Arial"/>
          <w:color w:val="auto"/>
          <w:szCs w:val="24"/>
          <w:lang w:eastAsia="en-US"/>
        </w:rPr>
      </w:pPr>
    </w:p>
    <w:p w14:paraId="6DD3EEA9" w14:textId="77777777" w:rsidR="00D41DD2" w:rsidRDefault="00882EFF" w:rsidP="001165CC">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rPr>
        <w:t xml:space="preserve">Development provides the opportunity to bring about improvements and remediation to contaminated or unstable land.  One of the overarching objectives of the Government’s policy on contaminated land is to seek to ensure that contaminated land is made suitable for its current use (Defra, Environmental Protection Act 1990: Part 2A Contaminated Land Statutory Guidance 2012).  The aim is not to prevent development of such land but to ensure development is suitable and the contamination and physical constraints are </w:t>
      </w:r>
      <w:proofErr w:type="gramStart"/>
      <w:r w:rsidRPr="00D41DD2">
        <w:rPr>
          <w:rFonts w:cs="Arial"/>
          <w:color w:val="auto"/>
          <w:szCs w:val="24"/>
        </w:rPr>
        <w:t>taken into account</w:t>
      </w:r>
      <w:proofErr w:type="gramEnd"/>
      <w:r w:rsidRPr="00D41DD2">
        <w:rPr>
          <w:rFonts w:cs="Arial"/>
          <w:color w:val="auto"/>
          <w:szCs w:val="24"/>
        </w:rPr>
        <w:t xml:space="preserve"> at the planning stage.  The risks to human health, buildings and the environment are remediated before the new use commences.   </w:t>
      </w:r>
    </w:p>
    <w:p w14:paraId="7677B703" w14:textId="77777777" w:rsidR="00D41DD2" w:rsidRPr="00D41DD2" w:rsidRDefault="00D41DD2" w:rsidP="001165CC">
      <w:pPr>
        <w:spacing w:before="0"/>
        <w:rPr>
          <w:rFonts w:cs="Arial"/>
          <w:color w:val="auto"/>
          <w:szCs w:val="24"/>
        </w:rPr>
      </w:pPr>
    </w:p>
    <w:p w14:paraId="11611540" w14:textId="77777777" w:rsidR="00D41DD2" w:rsidRDefault="00882EFF" w:rsidP="001165CC">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rPr>
        <w:t xml:space="preserve">It is recognised that contamination and instability may add substantially to the difficulty and cost of developing. Consequently, the viability of development where there </w:t>
      </w:r>
      <w:proofErr w:type="gramStart"/>
      <w:r w:rsidRPr="00D41DD2">
        <w:rPr>
          <w:rFonts w:cs="Arial"/>
          <w:color w:val="auto"/>
          <w:szCs w:val="24"/>
        </w:rPr>
        <w:t>are</w:t>
      </w:r>
      <w:proofErr w:type="gramEnd"/>
      <w:r w:rsidRPr="00D41DD2">
        <w:rPr>
          <w:rFonts w:cs="Arial"/>
          <w:color w:val="auto"/>
          <w:szCs w:val="24"/>
        </w:rPr>
        <w:t xml:space="preserve"> high remediation costs will be a factor which the Council will </w:t>
      </w:r>
      <w:proofErr w:type="gramStart"/>
      <w:r w:rsidRPr="00D41DD2">
        <w:rPr>
          <w:rFonts w:cs="Arial"/>
          <w:color w:val="auto"/>
          <w:szCs w:val="24"/>
        </w:rPr>
        <w:t>take into account</w:t>
      </w:r>
      <w:proofErr w:type="gramEnd"/>
      <w:r w:rsidRPr="00D41DD2">
        <w:rPr>
          <w:rFonts w:cs="Arial"/>
          <w:color w:val="auto"/>
          <w:szCs w:val="24"/>
        </w:rPr>
        <w:t xml:space="preserve"> in considering planning contributions.   </w:t>
      </w:r>
    </w:p>
    <w:p w14:paraId="547900EE" w14:textId="77777777" w:rsidR="00D41DD2" w:rsidRPr="00D41DD2" w:rsidRDefault="00D41DD2" w:rsidP="001165CC">
      <w:pPr>
        <w:spacing w:before="0"/>
        <w:rPr>
          <w:rFonts w:cs="Arial"/>
          <w:color w:val="auto"/>
          <w:szCs w:val="24"/>
        </w:rPr>
      </w:pPr>
    </w:p>
    <w:p w14:paraId="3FEA6C84" w14:textId="585248E0" w:rsidR="00D41DD2" w:rsidRDefault="00882EFF" w:rsidP="001165CC">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rPr>
        <w:t>In Ashfield</w:t>
      </w:r>
      <w:r w:rsidR="001165CC">
        <w:rPr>
          <w:rFonts w:cs="Arial"/>
          <w:color w:val="auto"/>
          <w:szCs w:val="24"/>
        </w:rPr>
        <w:t>,</w:t>
      </w:r>
      <w:r w:rsidRPr="00D41DD2">
        <w:rPr>
          <w:rFonts w:cs="Arial"/>
          <w:color w:val="auto"/>
          <w:szCs w:val="24"/>
        </w:rPr>
        <w:t xml:space="preserve"> the </w:t>
      </w:r>
      <w:r w:rsidR="00EA7D34" w:rsidRPr="00D41DD2">
        <w:rPr>
          <w:rFonts w:cs="Arial"/>
          <w:color w:val="auto"/>
          <w:szCs w:val="24"/>
        </w:rPr>
        <w:t>principal</w:t>
      </w:r>
      <w:r w:rsidRPr="00D41DD2">
        <w:rPr>
          <w:rFonts w:cs="Arial"/>
          <w:color w:val="auto"/>
          <w:szCs w:val="24"/>
        </w:rPr>
        <w:t xml:space="preserve"> issue in relation to ground instability relates to past coal mining. The Coal Mining Referral Areas in Ashfield are largely located towards the western part of the </w:t>
      </w:r>
      <w:proofErr w:type="gramStart"/>
      <w:r w:rsidRPr="00D41DD2">
        <w:rPr>
          <w:rFonts w:cs="Arial"/>
          <w:color w:val="auto"/>
          <w:szCs w:val="24"/>
        </w:rPr>
        <w:t>District</w:t>
      </w:r>
      <w:proofErr w:type="gramEnd"/>
      <w:r w:rsidRPr="00D41DD2">
        <w:rPr>
          <w:rFonts w:cs="Arial"/>
          <w:color w:val="auto"/>
          <w:szCs w:val="24"/>
        </w:rPr>
        <w:t xml:space="preserve">. For non-householder applications in Coal Mining Referral Areas the developer will be required to prepare and submit a Coal Mining Risk Assessment (CMRA) with the planning application. There may be a need for appropriate mitigation measures to ensure that there will be no future ground </w:t>
      </w:r>
      <w:r w:rsidRPr="00D41DD2">
        <w:rPr>
          <w:rFonts w:cs="Arial"/>
          <w:color w:val="auto"/>
          <w:szCs w:val="24"/>
        </w:rPr>
        <w:lastRenderedPageBreak/>
        <w:t>instability and public safety issues arising from the development. Within the rest of the coalfield area the Coal Authority’s Standing Advice Area will apply.</w:t>
      </w:r>
    </w:p>
    <w:p w14:paraId="1F51E224" w14:textId="77777777" w:rsidR="00D41DD2" w:rsidRDefault="00D41DD2" w:rsidP="001165CC">
      <w:pPr>
        <w:pStyle w:val="ListParagraph"/>
        <w:spacing w:after="0" w:line="240" w:lineRule="auto"/>
        <w:rPr>
          <w:rFonts w:cs="Arial"/>
          <w:color w:val="auto"/>
          <w:szCs w:val="24"/>
        </w:rPr>
      </w:pPr>
    </w:p>
    <w:p w14:paraId="08465332" w14:textId="77777777" w:rsidR="00D41DD2" w:rsidRDefault="00882EFF" w:rsidP="001165CC">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rPr>
        <w:t>When a new development is proposed that could cause land to become contaminated, for instance, by the nature of the proposed use, the development should be designed in such a way as to minimise the risk of contamination occurring.</w:t>
      </w:r>
    </w:p>
    <w:p w14:paraId="0CF26109" w14:textId="77777777" w:rsidR="00D41DD2" w:rsidRPr="00D41DD2" w:rsidRDefault="00D41DD2" w:rsidP="006977E7">
      <w:pPr>
        <w:spacing w:before="0"/>
        <w:rPr>
          <w:rFonts w:cs="Arial"/>
          <w:b/>
          <w:bCs/>
          <w:color w:val="auto"/>
          <w:szCs w:val="24"/>
        </w:rPr>
      </w:pPr>
    </w:p>
    <w:p w14:paraId="157B7048" w14:textId="07CCCE8B" w:rsidR="00D41DD2" w:rsidRPr="00D41DD2" w:rsidRDefault="00882EFF" w:rsidP="006977E7">
      <w:pPr>
        <w:keepNext w:val="0"/>
        <w:spacing w:before="0"/>
        <w:ind w:left="709"/>
        <w:rPr>
          <w:rFonts w:cs="Arial"/>
          <w:color w:val="auto"/>
          <w:szCs w:val="24"/>
          <w:lang w:eastAsia="en-US"/>
        </w:rPr>
      </w:pPr>
      <w:r w:rsidRPr="00D41DD2">
        <w:rPr>
          <w:rFonts w:cs="Arial"/>
          <w:b/>
          <w:bCs/>
          <w:color w:val="auto"/>
          <w:szCs w:val="24"/>
        </w:rPr>
        <w:t>Groundwater</w:t>
      </w:r>
    </w:p>
    <w:p w14:paraId="51C34506" w14:textId="2EA3D670" w:rsidR="0081058F" w:rsidRPr="00D41DD2" w:rsidRDefault="00882EFF" w:rsidP="00D41DD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rPr>
        <w:t>The prevention of pollution and reversal of environmentally significant and sustained deteriorating trends in groundwater quality is a requirement of the Water Framework Directive and its associative legislations/regulations, as well as good practice. Prospective developers should:</w:t>
      </w:r>
    </w:p>
    <w:p w14:paraId="74162622" w14:textId="10C1DF97" w:rsidR="0081058F" w:rsidRPr="0081058F" w:rsidRDefault="0081058F" w:rsidP="0081058F">
      <w:pPr>
        <w:keepNext w:val="0"/>
        <w:spacing w:before="0"/>
        <w:ind w:left="527"/>
        <w:rPr>
          <w:rFonts w:cs="Arial"/>
          <w:color w:val="auto"/>
          <w:szCs w:val="24"/>
        </w:rPr>
      </w:pPr>
    </w:p>
    <w:p w14:paraId="40CE817F" w14:textId="77777777" w:rsidR="0081058F" w:rsidRPr="0081058F" w:rsidRDefault="0081058F" w:rsidP="00874A98">
      <w:pPr>
        <w:pStyle w:val="ListParagraph"/>
        <w:numPr>
          <w:ilvl w:val="0"/>
          <w:numId w:val="188"/>
        </w:numPr>
        <w:spacing w:after="0" w:line="240" w:lineRule="auto"/>
        <w:rPr>
          <w:rFonts w:ascii="Arial" w:hAnsi="Arial" w:cs="Arial"/>
          <w:color w:val="auto"/>
          <w:szCs w:val="24"/>
        </w:rPr>
      </w:pPr>
      <w:r w:rsidRPr="0081058F">
        <w:rPr>
          <w:rFonts w:ascii="Arial" w:hAnsi="Arial" w:cs="Arial"/>
          <w:color w:val="auto"/>
          <w:szCs w:val="24"/>
        </w:rPr>
        <w:t>assess the area of influence of their activities and to take account of groundwater uses and dependent ecosystems within this area during planning, construction and operation;</w:t>
      </w:r>
    </w:p>
    <w:p w14:paraId="5A84DD1E" w14:textId="0C374E96" w:rsidR="0081058F" w:rsidRPr="0081058F" w:rsidRDefault="0081058F" w:rsidP="00874A98">
      <w:pPr>
        <w:pStyle w:val="ListParagraph"/>
        <w:numPr>
          <w:ilvl w:val="0"/>
          <w:numId w:val="188"/>
        </w:numPr>
        <w:spacing w:after="0" w:line="240" w:lineRule="auto"/>
        <w:rPr>
          <w:rFonts w:ascii="Arial" w:hAnsi="Arial" w:cs="Arial"/>
          <w:color w:val="auto"/>
          <w:szCs w:val="24"/>
        </w:rPr>
      </w:pPr>
      <w:r w:rsidRPr="0081058F">
        <w:rPr>
          <w:rFonts w:ascii="Arial" w:hAnsi="Arial" w:cs="Arial"/>
          <w:color w:val="auto"/>
          <w:szCs w:val="24"/>
        </w:rPr>
        <w:t xml:space="preserve">provide adequate information to statutory bodies such as the Environment Agency when submitting their proposals so that the potential impact on groundwater resources and quality can be adequately assessed. </w:t>
      </w:r>
    </w:p>
    <w:p w14:paraId="78AB536F" w14:textId="2ABD03B6" w:rsidR="0081058F" w:rsidRPr="0081058F" w:rsidRDefault="0081058F" w:rsidP="0081058F">
      <w:pPr>
        <w:keepNext w:val="0"/>
        <w:spacing w:before="0"/>
        <w:ind w:left="527"/>
        <w:rPr>
          <w:rFonts w:cs="Arial"/>
          <w:color w:val="auto"/>
          <w:szCs w:val="24"/>
        </w:rPr>
      </w:pPr>
    </w:p>
    <w:p w14:paraId="46FD4C55" w14:textId="7EFA65EE" w:rsidR="00D41DD2" w:rsidRDefault="00B277EC" w:rsidP="00D41DD2">
      <w:pPr>
        <w:keepNext w:val="0"/>
        <w:numPr>
          <w:ilvl w:val="1"/>
          <w:numId w:val="7"/>
        </w:numPr>
        <w:tabs>
          <w:tab w:val="clear" w:pos="525"/>
        </w:tabs>
        <w:spacing w:before="0"/>
        <w:ind w:left="709" w:hanging="709"/>
        <w:rPr>
          <w:rFonts w:cs="Arial"/>
          <w:color w:val="auto"/>
          <w:szCs w:val="24"/>
        </w:rPr>
      </w:pPr>
      <w:r>
        <w:rPr>
          <w:rFonts w:cs="Arial"/>
          <w:color w:val="auto"/>
          <w:szCs w:val="24"/>
        </w:rPr>
        <w:t xml:space="preserve">A substantial part of the </w:t>
      </w:r>
      <w:r w:rsidR="00882EFF" w:rsidRPr="0081058F">
        <w:rPr>
          <w:rFonts w:cs="Arial"/>
          <w:color w:val="auto"/>
          <w:szCs w:val="24"/>
        </w:rPr>
        <w:t xml:space="preserve">District of Ashfield is located on </w:t>
      </w:r>
      <w:r>
        <w:rPr>
          <w:rFonts w:cs="Arial"/>
          <w:color w:val="auto"/>
          <w:szCs w:val="24"/>
        </w:rPr>
        <w:t xml:space="preserve">a </w:t>
      </w:r>
      <w:r w:rsidR="00882EFF" w:rsidRPr="0081058F">
        <w:rPr>
          <w:rFonts w:cs="Arial"/>
          <w:color w:val="auto"/>
          <w:szCs w:val="24"/>
        </w:rPr>
        <w:t>principal</w:t>
      </w:r>
      <w:r w:rsidR="00882EFF" w:rsidRPr="00882EFF">
        <w:rPr>
          <w:rFonts w:cs="Arial"/>
          <w:color w:val="auto"/>
          <w:szCs w:val="24"/>
        </w:rPr>
        <w:t xml:space="preserve"> aquifer where groundwater is sensitive to pollution. It is important that standards of design, materials specification and of on-site construction practices respect the vulnerability of these aquifers as well as all watercourses, and environmentally sensitive areas. During and post construction it is possible that this contamination could be mobilised and find its way into the aquifer. The Council will need to be satisfied that any risk has been properly assessed and viable </w:t>
      </w:r>
      <w:r w:rsidR="00431F84" w:rsidRPr="00DB05C3">
        <w:rPr>
          <w:rFonts w:cs="Arial"/>
          <w:color w:val="auto"/>
          <w:szCs w:val="24"/>
        </w:rPr>
        <w:t xml:space="preserve">mitigation and </w:t>
      </w:r>
      <w:r w:rsidR="00882EFF" w:rsidRPr="00DB05C3">
        <w:rPr>
          <w:rFonts w:cs="Arial"/>
          <w:color w:val="auto"/>
          <w:szCs w:val="24"/>
        </w:rPr>
        <w:t xml:space="preserve">remediation is in place. The Council will require the applicant to provide such information </w:t>
      </w:r>
      <w:r w:rsidR="00882EFF" w:rsidRPr="00882EFF">
        <w:rPr>
          <w:rFonts w:cs="Arial"/>
          <w:color w:val="auto"/>
          <w:szCs w:val="24"/>
        </w:rPr>
        <w:t xml:space="preserve">as is necessary to determine whether the proposed development can proceed. Investigations will need to consider the possibility that new pathways may be introduced </w:t>
      </w:r>
      <w:proofErr w:type="gramStart"/>
      <w:r w:rsidR="00882EFF" w:rsidRPr="00882EFF">
        <w:rPr>
          <w:rFonts w:cs="Arial"/>
          <w:color w:val="auto"/>
          <w:szCs w:val="24"/>
        </w:rPr>
        <w:t>as a result of</w:t>
      </w:r>
      <w:proofErr w:type="gramEnd"/>
      <w:r w:rsidR="00882EFF" w:rsidRPr="00882EFF">
        <w:rPr>
          <w:rFonts w:cs="Arial"/>
          <w:color w:val="auto"/>
          <w:szCs w:val="24"/>
        </w:rPr>
        <w:t xml:space="preserve"> development activities, such as piling, drain laying and trenches for services and that new receptors may be introduced by the development proposed. Development proposals should not create a pathway into the water supply. </w:t>
      </w:r>
    </w:p>
    <w:p w14:paraId="34411129" w14:textId="77777777" w:rsidR="00D41DD2" w:rsidRDefault="00D41DD2" w:rsidP="00D41DD2">
      <w:pPr>
        <w:keepNext w:val="0"/>
        <w:spacing w:before="0"/>
        <w:ind w:left="709"/>
        <w:rPr>
          <w:rFonts w:cs="Arial"/>
          <w:color w:val="auto"/>
          <w:szCs w:val="24"/>
        </w:rPr>
      </w:pPr>
    </w:p>
    <w:p w14:paraId="683E352D" w14:textId="77777777" w:rsidR="00D41DD2" w:rsidRDefault="00882EFF" w:rsidP="00D41DD2">
      <w:pPr>
        <w:keepNext w:val="0"/>
        <w:numPr>
          <w:ilvl w:val="1"/>
          <w:numId w:val="7"/>
        </w:numPr>
        <w:tabs>
          <w:tab w:val="clear" w:pos="525"/>
        </w:tabs>
        <w:spacing w:before="0"/>
        <w:ind w:left="709" w:hanging="709"/>
        <w:rPr>
          <w:rFonts w:cs="Arial"/>
          <w:color w:val="auto"/>
          <w:szCs w:val="24"/>
        </w:rPr>
      </w:pPr>
      <w:r w:rsidRPr="00D41DD2">
        <w:rPr>
          <w:rFonts w:cs="Arial"/>
          <w:color w:val="auto"/>
          <w:szCs w:val="24"/>
        </w:rPr>
        <w:t xml:space="preserve">The Council will adopt a balanced approach to contamination and unstable ground as it is unreasonable for the Council to require every applicant to carry out a detailed and expensive site investigation. However, sufficient information should be required to determine the existence or otherwise of contamination or unstable ground, its nature and the risks it may pose and whether these can be satisfactorily reduced to an acceptable level. Where a desk study and site reconnaissance does not provide sufficient information to assess the risks and appraise remedial options, further investigations will need to be carried out before the application is determined. Any remedial measures should be agreed by the Council before the development is commenced and completed prior to occupation.  </w:t>
      </w:r>
    </w:p>
    <w:p w14:paraId="20298005" w14:textId="557AEF61" w:rsidR="00D41DD2" w:rsidRDefault="00882EFF" w:rsidP="00D41DD2">
      <w:pPr>
        <w:keepNext w:val="0"/>
        <w:spacing w:before="0"/>
        <w:rPr>
          <w:rFonts w:cs="Arial"/>
          <w:color w:val="auto"/>
          <w:szCs w:val="24"/>
        </w:rPr>
      </w:pPr>
      <w:r w:rsidRPr="00D41DD2">
        <w:rPr>
          <w:rFonts w:cs="Arial"/>
          <w:color w:val="auto"/>
          <w:szCs w:val="24"/>
        </w:rPr>
        <w:t xml:space="preserve"> </w:t>
      </w:r>
    </w:p>
    <w:p w14:paraId="173E1C31" w14:textId="2C1AEE02" w:rsidR="00882EFF" w:rsidRPr="00D41DD2" w:rsidRDefault="00882EFF" w:rsidP="00D41DD2">
      <w:pPr>
        <w:keepNext w:val="0"/>
        <w:numPr>
          <w:ilvl w:val="1"/>
          <w:numId w:val="7"/>
        </w:numPr>
        <w:tabs>
          <w:tab w:val="clear" w:pos="525"/>
        </w:tabs>
        <w:spacing w:before="0"/>
        <w:ind w:left="709" w:hanging="709"/>
        <w:rPr>
          <w:rFonts w:cs="Arial"/>
          <w:color w:val="auto"/>
          <w:szCs w:val="24"/>
        </w:rPr>
      </w:pPr>
      <w:r w:rsidRPr="00D41DD2">
        <w:rPr>
          <w:rFonts w:cs="Arial"/>
          <w:color w:val="auto"/>
          <w:szCs w:val="24"/>
        </w:rPr>
        <w:lastRenderedPageBreak/>
        <w:t xml:space="preserve">Planning decisions will </w:t>
      </w:r>
      <w:proofErr w:type="gramStart"/>
      <w:r w:rsidRPr="00D41DD2">
        <w:rPr>
          <w:rFonts w:cs="Arial"/>
          <w:color w:val="auto"/>
          <w:szCs w:val="24"/>
        </w:rPr>
        <w:t>take into account</w:t>
      </w:r>
      <w:proofErr w:type="gramEnd"/>
      <w:r w:rsidRPr="00D41DD2">
        <w:rPr>
          <w:rFonts w:cs="Arial"/>
          <w:color w:val="auto"/>
          <w:szCs w:val="24"/>
        </w:rPr>
        <w:t xml:space="preserve"> the most up to date national, regional or local guidance in relation to pollution control/unstable land and planning. </w:t>
      </w:r>
    </w:p>
    <w:p w14:paraId="44CC5506" w14:textId="02590FF8" w:rsidR="00882EFF" w:rsidRDefault="00882EFF" w:rsidP="00263F59">
      <w:pPr>
        <w:pStyle w:val="ListParagraph"/>
        <w:spacing w:after="0" w:line="240" w:lineRule="auto"/>
        <w:rPr>
          <w:rFonts w:ascii="Arial" w:hAnsi="Arial" w:cs="Arial"/>
          <w:color w:val="auto"/>
          <w:szCs w:val="24"/>
        </w:rPr>
      </w:pPr>
    </w:p>
    <w:p w14:paraId="45D9493D" w14:textId="3BDB75D0" w:rsidR="006D4F49" w:rsidRDefault="006D4F49" w:rsidP="00263F59">
      <w:pPr>
        <w:pStyle w:val="ListParagraph"/>
        <w:spacing w:after="0" w:line="240" w:lineRule="auto"/>
        <w:rPr>
          <w:rFonts w:ascii="Arial" w:hAnsi="Arial" w:cs="Arial"/>
          <w:color w:val="auto"/>
          <w:szCs w:val="24"/>
        </w:rPr>
      </w:pPr>
    </w:p>
    <w:p w14:paraId="6D437F6E" w14:textId="77777777" w:rsidR="006D4F49" w:rsidRDefault="006D4F49" w:rsidP="00263F59">
      <w:pPr>
        <w:pStyle w:val="ListParagraph"/>
        <w:spacing w:after="0" w:line="240" w:lineRule="auto"/>
        <w:rPr>
          <w:rFonts w:ascii="Arial" w:hAnsi="Arial" w:cs="Arial"/>
          <w:color w:val="auto"/>
          <w:szCs w:val="24"/>
        </w:rPr>
      </w:pPr>
    </w:p>
    <w:p w14:paraId="0A5CF848" w14:textId="1CA6D7F1" w:rsidR="00882EFF" w:rsidRPr="00825421" w:rsidRDefault="006977E7" w:rsidP="00825421">
      <w:pPr>
        <w:pStyle w:val="Heading2"/>
        <w:jc w:val="left"/>
        <w:rPr>
          <w:sz w:val="28"/>
          <w:szCs w:val="28"/>
        </w:rPr>
      </w:pPr>
      <w:bookmarkStart w:id="319" w:name="_Toc145511618"/>
      <w:r w:rsidRPr="00825421">
        <w:rPr>
          <w:sz w:val="28"/>
          <w:szCs w:val="28"/>
        </w:rPr>
        <w:t xml:space="preserve">Policy </w:t>
      </w:r>
      <w:r w:rsidR="00882EFF" w:rsidRPr="00825421">
        <w:rPr>
          <w:sz w:val="28"/>
          <w:szCs w:val="28"/>
        </w:rPr>
        <w:t>SD</w:t>
      </w:r>
      <w:r w:rsidR="0064018F" w:rsidRPr="00825421">
        <w:rPr>
          <w:sz w:val="28"/>
          <w:szCs w:val="28"/>
        </w:rPr>
        <w:t>9</w:t>
      </w:r>
      <w:r w:rsidR="00882EFF" w:rsidRPr="00825421">
        <w:rPr>
          <w:sz w:val="28"/>
          <w:szCs w:val="28"/>
        </w:rPr>
        <w:t>: Environmental Protection</w:t>
      </w:r>
      <w:bookmarkEnd w:id="319"/>
    </w:p>
    <w:p w14:paraId="1828773A" w14:textId="77777777" w:rsidR="0081058F" w:rsidRPr="0081058F" w:rsidRDefault="0081058F" w:rsidP="00263F59">
      <w:pPr>
        <w:keepNext w:val="0"/>
        <w:spacing w:before="0"/>
        <w:rPr>
          <w:rFonts w:eastAsia="Arial" w:cs="Arial"/>
          <w:color w:val="auto"/>
        </w:rPr>
      </w:pPr>
    </w:p>
    <w:tbl>
      <w:tblPr>
        <w:tblStyle w:val="TableGrid3"/>
        <w:tblW w:w="9776" w:type="dxa"/>
        <w:tblLook w:val="04A0" w:firstRow="1" w:lastRow="0" w:firstColumn="1" w:lastColumn="0" w:noHBand="0" w:noVBand="1"/>
      </w:tblPr>
      <w:tblGrid>
        <w:gridCol w:w="1838"/>
        <w:gridCol w:w="822"/>
        <w:gridCol w:w="7116"/>
      </w:tblGrid>
      <w:tr w:rsidR="0081058F" w:rsidRPr="0081058F" w14:paraId="43E31B8B" w14:textId="77777777" w:rsidTr="00DD4136">
        <w:trPr>
          <w:trHeight w:val="421"/>
        </w:trPr>
        <w:tc>
          <w:tcPr>
            <w:tcW w:w="9776" w:type="dxa"/>
            <w:gridSpan w:val="3"/>
          </w:tcPr>
          <w:p w14:paraId="0043340B" w14:textId="77777777" w:rsidR="00D41DD2" w:rsidRDefault="00D41DD2" w:rsidP="00905CC9">
            <w:pPr>
              <w:keepNext w:val="0"/>
              <w:tabs>
                <w:tab w:val="left" w:pos="680"/>
              </w:tabs>
              <w:spacing w:before="0"/>
              <w:jc w:val="left"/>
              <w:rPr>
                <w:rFonts w:eastAsia="Arial"/>
                <w:b/>
                <w:color w:val="auto"/>
                <w:spacing w:val="-1"/>
              </w:rPr>
            </w:pPr>
            <w:bookmarkStart w:id="320" w:name="_Hlk78877873"/>
          </w:p>
          <w:p w14:paraId="2CA7F42B" w14:textId="77777777" w:rsidR="0081058F" w:rsidRDefault="0081058F" w:rsidP="00905CC9">
            <w:pPr>
              <w:keepNext w:val="0"/>
              <w:tabs>
                <w:tab w:val="left" w:pos="680"/>
              </w:tabs>
              <w:spacing w:before="0"/>
              <w:jc w:val="left"/>
              <w:rPr>
                <w:rFonts w:eastAsia="Arial"/>
                <w:b/>
                <w:color w:val="auto"/>
                <w:spacing w:val="-1"/>
              </w:rPr>
            </w:pPr>
            <w:r w:rsidRPr="008F21DB">
              <w:rPr>
                <w:rFonts w:eastAsia="Arial"/>
                <w:b/>
                <w:color w:val="auto"/>
                <w:spacing w:val="-1"/>
              </w:rPr>
              <w:t>Policy SD</w:t>
            </w:r>
            <w:r w:rsidR="0064018F">
              <w:rPr>
                <w:rFonts w:eastAsia="Arial"/>
                <w:b/>
                <w:color w:val="auto"/>
                <w:spacing w:val="-1"/>
              </w:rPr>
              <w:t>9</w:t>
            </w:r>
            <w:r w:rsidRPr="008F21DB">
              <w:rPr>
                <w:rFonts w:eastAsia="Arial"/>
                <w:b/>
                <w:color w:val="auto"/>
                <w:spacing w:val="-1"/>
              </w:rPr>
              <w:t>: Environmental Protection</w:t>
            </w:r>
          </w:p>
          <w:p w14:paraId="6372BDAA" w14:textId="2D302FD6" w:rsidR="00D41DD2" w:rsidRPr="0081058F" w:rsidRDefault="00D41DD2" w:rsidP="00905CC9">
            <w:pPr>
              <w:keepNext w:val="0"/>
              <w:tabs>
                <w:tab w:val="left" w:pos="680"/>
              </w:tabs>
              <w:spacing w:before="0"/>
              <w:jc w:val="left"/>
              <w:rPr>
                <w:rFonts w:eastAsia="Arial"/>
                <w:b/>
                <w:color w:val="auto"/>
                <w:spacing w:val="-1"/>
              </w:rPr>
            </w:pPr>
          </w:p>
        </w:tc>
      </w:tr>
      <w:tr w:rsidR="0081058F" w:rsidRPr="0081058F" w14:paraId="2F2C167B" w14:textId="77777777" w:rsidTr="00DD4136">
        <w:tc>
          <w:tcPr>
            <w:tcW w:w="2660" w:type="dxa"/>
            <w:gridSpan w:val="2"/>
          </w:tcPr>
          <w:p w14:paraId="7AA475D7" w14:textId="77777777" w:rsidR="0081058F" w:rsidRPr="008F21DB" w:rsidRDefault="0081058F" w:rsidP="00905CC9">
            <w:pPr>
              <w:keepNext w:val="0"/>
              <w:tabs>
                <w:tab w:val="left" w:pos="680"/>
              </w:tabs>
              <w:spacing w:before="0"/>
              <w:jc w:val="left"/>
              <w:rPr>
                <w:rFonts w:eastAsia="Arial"/>
                <w:bCs/>
                <w:color w:val="auto"/>
              </w:rPr>
            </w:pPr>
            <w:r w:rsidRPr="008F21DB">
              <w:rPr>
                <w:rFonts w:eastAsia="Arial"/>
                <w:bCs/>
                <w:color w:val="auto"/>
              </w:rPr>
              <w:t>Strategic Objectives</w:t>
            </w:r>
          </w:p>
        </w:tc>
        <w:tc>
          <w:tcPr>
            <w:tcW w:w="7116" w:type="dxa"/>
          </w:tcPr>
          <w:p w14:paraId="1249AADA" w14:textId="77777777" w:rsidR="0081058F" w:rsidRPr="008F21DB" w:rsidRDefault="0081058F" w:rsidP="00905CC9">
            <w:pPr>
              <w:keepNext w:val="0"/>
              <w:tabs>
                <w:tab w:val="left" w:pos="680"/>
              </w:tabs>
              <w:spacing w:before="40" w:after="40"/>
              <w:jc w:val="left"/>
              <w:rPr>
                <w:rFonts w:eastAsia="Arial"/>
                <w:bCs/>
                <w:color w:val="auto"/>
              </w:rPr>
            </w:pPr>
            <w:r w:rsidRPr="008F21DB">
              <w:rPr>
                <w:rFonts w:eastAsia="Arial"/>
                <w:bCs/>
                <w:color w:val="auto"/>
              </w:rPr>
              <w:t>SO1, SO2, SO5, SO13, SO14.</w:t>
            </w:r>
          </w:p>
        </w:tc>
      </w:tr>
      <w:tr w:rsidR="0081058F" w:rsidRPr="0081058F" w14:paraId="643C0143" w14:textId="77777777" w:rsidTr="00DD4136">
        <w:tc>
          <w:tcPr>
            <w:tcW w:w="9776" w:type="dxa"/>
            <w:gridSpan w:val="3"/>
            <w:shd w:val="clear" w:color="auto" w:fill="DAC4F8"/>
          </w:tcPr>
          <w:p w14:paraId="496749BF" w14:textId="77777777" w:rsidR="0081058F" w:rsidRPr="0081058F" w:rsidRDefault="0081058F" w:rsidP="00905CC9">
            <w:pPr>
              <w:keepNext w:val="0"/>
              <w:tabs>
                <w:tab w:val="left" w:pos="680"/>
                <w:tab w:val="left" w:pos="1133"/>
                <w:tab w:val="left" w:pos="2267"/>
              </w:tabs>
              <w:spacing w:before="0"/>
              <w:ind w:right="284"/>
              <w:jc w:val="left"/>
              <w:rPr>
                <w:rFonts w:eastAsia="Arial"/>
                <w:bCs/>
                <w:color w:val="auto"/>
              </w:rPr>
            </w:pPr>
          </w:p>
          <w:p w14:paraId="1A84EECB" w14:textId="77777777" w:rsidR="0081058F" w:rsidRPr="0081058F" w:rsidRDefault="0081058F" w:rsidP="00874A98">
            <w:pPr>
              <w:keepNext w:val="0"/>
              <w:numPr>
                <w:ilvl w:val="0"/>
                <w:numId w:val="189"/>
              </w:numPr>
              <w:tabs>
                <w:tab w:val="left" w:pos="680"/>
                <w:tab w:val="left" w:pos="1133"/>
                <w:tab w:val="left" w:pos="2267"/>
              </w:tabs>
              <w:spacing w:before="0"/>
              <w:ind w:right="284"/>
              <w:contextualSpacing/>
              <w:jc w:val="left"/>
              <w:rPr>
                <w:rFonts w:eastAsia="Arial" w:cs="Arial"/>
                <w:bCs/>
                <w:color w:val="auto"/>
                <w:szCs w:val="24"/>
              </w:rPr>
            </w:pPr>
            <w:r w:rsidRPr="0081058F">
              <w:rPr>
                <w:rFonts w:eastAsia="Arial"/>
                <w:bCs/>
                <w:color w:val="auto"/>
              </w:rPr>
              <w:t xml:space="preserve">Development should be sited and designed </w:t>
            </w:r>
            <w:proofErr w:type="gramStart"/>
            <w:r w:rsidRPr="0081058F">
              <w:rPr>
                <w:rFonts w:eastAsia="Arial"/>
                <w:bCs/>
                <w:color w:val="auto"/>
              </w:rPr>
              <w:t>so as to</w:t>
            </w:r>
            <w:proofErr w:type="gramEnd"/>
            <w:r w:rsidRPr="0081058F">
              <w:rPr>
                <w:rFonts w:eastAsia="Arial"/>
                <w:bCs/>
                <w:color w:val="auto"/>
              </w:rPr>
              <w:t xml:space="preserve"> avoid adversely impacting upon health, living conditions, the natural environment, and the welfare of livestock by reasons of fumes, dust, noise, vibration, smell, light or other forms of pollution.</w:t>
            </w:r>
          </w:p>
          <w:p w14:paraId="78C9A361" w14:textId="77777777" w:rsidR="0081058F" w:rsidRPr="0081058F" w:rsidRDefault="0081058F" w:rsidP="00905CC9">
            <w:pPr>
              <w:keepNext w:val="0"/>
              <w:tabs>
                <w:tab w:val="left" w:pos="680"/>
                <w:tab w:val="left" w:pos="1133"/>
                <w:tab w:val="left" w:pos="2267"/>
              </w:tabs>
              <w:spacing w:before="0"/>
              <w:ind w:right="284"/>
              <w:contextualSpacing/>
              <w:jc w:val="left"/>
              <w:rPr>
                <w:rFonts w:eastAsia="Arial" w:cs="Arial"/>
                <w:bCs/>
                <w:color w:val="auto"/>
                <w:szCs w:val="24"/>
              </w:rPr>
            </w:pPr>
          </w:p>
          <w:p w14:paraId="6A8DC4EF" w14:textId="77777777" w:rsidR="0081058F" w:rsidRPr="0081058F" w:rsidRDefault="0081058F" w:rsidP="00874A98">
            <w:pPr>
              <w:keepNext w:val="0"/>
              <w:numPr>
                <w:ilvl w:val="0"/>
                <w:numId w:val="189"/>
              </w:numPr>
              <w:tabs>
                <w:tab w:val="left" w:pos="680"/>
                <w:tab w:val="left" w:pos="1133"/>
                <w:tab w:val="left" w:pos="2267"/>
              </w:tabs>
              <w:spacing w:before="0"/>
              <w:ind w:right="284"/>
              <w:jc w:val="left"/>
              <w:rPr>
                <w:rFonts w:eastAsia="Arial"/>
                <w:bCs/>
                <w:color w:val="auto"/>
              </w:rPr>
            </w:pPr>
            <w:r w:rsidRPr="0081058F">
              <w:rPr>
                <w:rFonts w:eastAsia="Arial"/>
                <w:bCs/>
                <w:color w:val="auto"/>
              </w:rPr>
              <w:t>Development will not be permitted if mitigation cannot be provided to an appropriate standard with an acceptable design, particularly in proximity to existing sensitive uses or sites.</w:t>
            </w:r>
          </w:p>
          <w:p w14:paraId="5BC8F909" w14:textId="77777777" w:rsidR="0081058F" w:rsidRPr="0081058F" w:rsidRDefault="0081058F" w:rsidP="00905CC9">
            <w:pPr>
              <w:keepNext w:val="0"/>
              <w:tabs>
                <w:tab w:val="left" w:pos="680"/>
                <w:tab w:val="left" w:pos="1133"/>
                <w:tab w:val="left" w:pos="2267"/>
              </w:tabs>
              <w:spacing w:before="0"/>
              <w:ind w:left="360" w:right="284"/>
              <w:jc w:val="left"/>
              <w:rPr>
                <w:rFonts w:eastAsia="Arial"/>
                <w:bCs/>
                <w:color w:val="auto"/>
              </w:rPr>
            </w:pPr>
          </w:p>
          <w:p w14:paraId="4806C3E8" w14:textId="77777777" w:rsidR="0081058F" w:rsidRPr="0081058F" w:rsidRDefault="0081058F" w:rsidP="00874A98">
            <w:pPr>
              <w:keepNext w:val="0"/>
              <w:numPr>
                <w:ilvl w:val="0"/>
                <w:numId w:val="189"/>
              </w:numPr>
              <w:tabs>
                <w:tab w:val="left" w:pos="680"/>
                <w:tab w:val="left" w:pos="1133"/>
                <w:tab w:val="left" w:pos="2267"/>
              </w:tabs>
              <w:spacing w:before="0"/>
              <w:ind w:right="284"/>
              <w:jc w:val="left"/>
              <w:rPr>
                <w:rFonts w:eastAsia="Arial"/>
                <w:bCs/>
                <w:color w:val="auto"/>
              </w:rPr>
            </w:pPr>
            <w:r w:rsidRPr="0081058F">
              <w:rPr>
                <w:rFonts w:eastAsia="Arial"/>
                <w:bCs/>
                <w:color w:val="auto"/>
              </w:rPr>
              <w:t xml:space="preserve">Proposals for development will be considered in the context of the cumulative impact of pollution. The extent of the area over which the cumulative impact will be </w:t>
            </w:r>
            <w:proofErr w:type="gramStart"/>
            <w:r w:rsidRPr="0081058F">
              <w:rPr>
                <w:rFonts w:eastAsia="Arial"/>
                <w:bCs/>
                <w:color w:val="auto"/>
              </w:rPr>
              <w:t>taken into account</w:t>
            </w:r>
            <w:proofErr w:type="gramEnd"/>
            <w:r w:rsidRPr="0081058F">
              <w:rPr>
                <w:rFonts w:eastAsia="Arial"/>
                <w:bCs/>
                <w:color w:val="auto"/>
              </w:rPr>
              <w:t xml:space="preserve"> will be determined on a </w:t>
            </w:r>
            <w:proofErr w:type="gramStart"/>
            <w:r w:rsidRPr="0081058F">
              <w:rPr>
                <w:rFonts w:eastAsia="Arial"/>
                <w:bCs/>
                <w:color w:val="auto"/>
              </w:rPr>
              <w:t>site by site</w:t>
            </w:r>
            <w:proofErr w:type="gramEnd"/>
            <w:r w:rsidRPr="0081058F">
              <w:rPr>
                <w:rFonts w:eastAsia="Arial"/>
                <w:bCs/>
                <w:color w:val="auto"/>
              </w:rPr>
              <w:t xml:space="preserve"> basis.</w:t>
            </w:r>
          </w:p>
          <w:p w14:paraId="46967BDD" w14:textId="77777777" w:rsidR="0081058F" w:rsidRPr="0081058F" w:rsidRDefault="0081058F" w:rsidP="00905CC9">
            <w:pPr>
              <w:keepNext w:val="0"/>
              <w:spacing w:before="0"/>
              <w:ind w:left="720"/>
              <w:contextualSpacing/>
              <w:jc w:val="left"/>
              <w:rPr>
                <w:rFonts w:eastAsia="Arial" w:cs="Arial"/>
                <w:bCs/>
                <w:color w:val="auto"/>
                <w:szCs w:val="24"/>
              </w:rPr>
            </w:pPr>
          </w:p>
          <w:p w14:paraId="161AAC4C" w14:textId="77777777" w:rsidR="0081058F" w:rsidRPr="0081058F" w:rsidRDefault="0081058F" w:rsidP="00874A98">
            <w:pPr>
              <w:keepNext w:val="0"/>
              <w:numPr>
                <w:ilvl w:val="0"/>
                <w:numId w:val="189"/>
              </w:numPr>
              <w:tabs>
                <w:tab w:val="left" w:pos="680"/>
                <w:tab w:val="left" w:pos="1133"/>
                <w:tab w:val="left" w:pos="2267"/>
              </w:tabs>
              <w:spacing w:before="0"/>
              <w:ind w:right="284"/>
              <w:jc w:val="left"/>
              <w:rPr>
                <w:rFonts w:eastAsia="Arial"/>
                <w:bCs/>
                <w:color w:val="auto"/>
              </w:rPr>
            </w:pPr>
            <w:r w:rsidRPr="0081058F">
              <w:rPr>
                <w:rFonts w:eastAsia="Arial"/>
                <w:bCs/>
                <w:color w:val="auto"/>
              </w:rPr>
              <w:t xml:space="preserve">Development sensitive to the effects of noise or other pollution will not be permitted where the presence of that sensitive development could threaten the ongoing viability of existing uses that are considered desirable for reasons of economic or wider social need.  </w:t>
            </w:r>
          </w:p>
          <w:p w14:paraId="18509F60" w14:textId="77777777" w:rsidR="0081058F" w:rsidRPr="0081058F" w:rsidRDefault="0081058F" w:rsidP="00905CC9">
            <w:pPr>
              <w:keepNext w:val="0"/>
              <w:spacing w:before="0"/>
              <w:ind w:left="720"/>
              <w:contextualSpacing/>
              <w:jc w:val="left"/>
              <w:rPr>
                <w:rFonts w:eastAsia="Arial" w:cs="Arial"/>
                <w:bCs/>
                <w:color w:val="auto"/>
                <w:szCs w:val="24"/>
              </w:rPr>
            </w:pPr>
          </w:p>
          <w:p w14:paraId="67FEEF74" w14:textId="77777777" w:rsidR="0081058F" w:rsidRDefault="0081058F" w:rsidP="00874A98">
            <w:pPr>
              <w:keepNext w:val="0"/>
              <w:numPr>
                <w:ilvl w:val="0"/>
                <w:numId w:val="189"/>
              </w:numPr>
              <w:tabs>
                <w:tab w:val="left" w:pos="680"/>
                <w:tab w:val="left" w:pos="1133"/>
                <w:tab w:val="left" w:pos="2267"/>
              </w:tabs>
              <w:spacing w:before="0"/>
              <w:ind w:right="284"/>
              <w:jc w:val="left"/>
              <w:rPr>
                <w:rFonts w:eastAsia="Arial"/>
                <w:bCs/>
                <w:color w:val="auto"/>
              </w:rPr>
            </w:pPr>
            <w:r w:rsidRPr="0081058F">
              <w:rPr>
                <w:rFonts w:eastAsia="Arial"/>
                <w:bCs/>
                <w:color w:val="auto"/>
              </w:rPr>
              <w:t>Where significant pollution may be created the applicant will provide sufficient information on the potential impact to enable a determination to be made on the effect of pollution and any remediation measures necessary.</w:t>
            </w:r>
          </w:p>
          <w:p w14:paraId="3424F9CD" w14:textId="77777777" w:rsidR="00027BA6" w:rsidRDefault="00027BA6" w:rsidP="00027BA6">
            <w:pPr>
              <w:keepNext w:val="0"/>
              <w:tabs>
                <w:tab w:val="left" w:pos="680"/>
                <w:tab w:val="left" w:pos="1133"/>
                <w:tab w:val="left" w:pos="2267"/>
              </w:tabs>
              <w:spacing w:before="0"/>
              <w:ind w:right="284"/>
              <w:jc w:val="left"/>
              <w:rPr>
                <w:rFonts w:eastAsia="Arial"/>
                <w:bCs/>
                <w:color w:val="auto"/>
              </w:rPr>
            </w:pPr>
          </w:p>
          <w:p w14:paraId="663C9818" w14:textId="3AF4A18D" w:rsidR="00027BA6" w:rsidRPr="00DB05C3" w:rsidRDefault="00027BA6" w:rsidP="00874A98">
            <w:pPr>
              <w:keepNext w:val="0"/>
              <w:numPr>
                <w:ilvl w:val="0"/>
                <w:numId w:val="189"/>
              </w:numPr>
              <w:tabs>
                <w:tab w:val="left" w:pos="680"/>
                <w:tab w:val="left" w:pos="1133"/>
                <w:tab w:val="left" w:pos="2267"/>
              </w:tabs>
              <w:spacing w:before="0"/>
              <w:ind w:right="284"/>
              <w:jc w:val="left"/>
              <w:rPr>
                <w:rFonts w:eastAsia="Arial"/>
                <w:bCs/>
                <w:color w:val="auto"/>
              </w:rPr>
            </w:pPr>
            <w:r w:rsidRPr="00DB05C3">
              <w:rPr>
                <w:rFonts w:eastAsia="Arial"/>
                <w:bCs/>
                <w:color w:val="auto"/>
              </w:rPr>
              <w:t xml:space="preserve">Where the operation of an existing business or community facility could have a significantly adverse effect on new development (including a change of use) in its vicinity, the </w:t>
            </w:r>
            <w:r w:rsidR="00654648" w:rsidRPr="00DB05C3">
              <w:rPr>
                <w:rFonts w:eastAsia="Arial"/>
                <w:bCs/>
                <w:color w:val="auto"/>
              </w:rPr>
              <w:t>applicant for</w:t>
            </w:r>
            <w:r w:rsidR="00A6293F" w:rsidRPr="00DB05C3">
              <w:rPr>
                <w:rFonts w:eastAsia="Arial"/>
                <w:bCs/>
                <w:color w:val="auto"/>
              </w:rPr>
              <w:t xml:space="preserve"> the proposed development </w:t>
            </w:r>
            <w:r w:rsidRPr="00DB05C3">
              <w:rPr>
                <w:rFonts w:eastAsia="Arial"/>
                <w:bCs/>
                <w:color w:val="auto"/>
              </w:rPr>
              <w:t>(or ‘agent of change’) shall be required to provide suitable mitigation before development has been completed.</w:t>
            </w:r>
          </w:p>
          <w:p w14:paraId="3A351D37" w14:textId="77777777" w:rsidR="0081058F" w:rsidRPr="00DB05C3" w:rsidRDefault="0081058F" w:rsidP="00905CC9">
            <w:pPr>
              <w:keepNext w:val="0"/>
              <w:tabs>
                <w:tab w:val="left" w:pos="680"/>
              </w:tabs>
              <w:spacing w:before="0"/>
              <w:jc w:val="left"/>
              <w:rPr>
                <w:rFonts w:eastAsia="Arial"/>
                <w:bCs/>
                <w:color w:val="auto"/>
              </w:rPr>
            </w:pPr>
          </w:p>
          <w:p w14:paraId="22AEAC49" w14:textId="77777777" w:rsidR="0081058F" w:rsidRPr="00DB05C3" w:rsidRDefault="0081058F" w:rsidP="00905CC9">
            <w:pPr>
              <w:keepNext w:val="0"/>
              <w:tabs>
                <w:tab w:val="left" w:pos="680"/>
              </w:tabs>
              <w:spacing w:before="0"/>
              <w:jc w:val="left"/>
              <w:rPr>
                <w:rFonts w:eastAsia="Arial"/>
                <w:bCs/>
                <w:color w:val="auto"/>
              </w:rPr>
            </w:pPr>
            <w:r w:rsidRPr="00DB05C3">
              <w:rPr>
                <w:rFonts w:eastAsia="Arial"/>
                <w:bCs/>
                <w:color w:val="auto"/>
              </w:rPr>
              <w:t>Noise</w:t>
            </w:r>
          </w:p>
          <w:p w14:paraId="2214362D" w14:textId="77777777" w:rsidR="0081058F" w:rsidRPr="00D61C7E" w:rsidRDefault="0081058F" w:rsidP="00874A98">
            <w:pPr>
              <w:keepNext w:val="0"/>
              <w:numPr>
                <w:ilvl w:val="0"/>
                <w:numId w:val="189"/>
              </w:numPr>
              <w:tabs>
                <w:tab w:val="left" w:pos="680"/>
                <w:tab w:val="left" w:pos="1133"/>
                <w:tab w:val="left" w:pos="2267"/>
              </w:tabs>
              <w:spacing w:before="0"/>
              <w:ind w:right="284"/>
              <w:jc w:val="left"/>
              <w:rPr>
                <w:rFonts w:eastAsia="Arial" w:cs="Arial"/>
                <w:bCs/>
                <w:color w:val="auto"/>
              </w:rPr>
            </w:pPr>
            <w:r w:rsidRPr="0081058F">
              <w:rPr>
                <w:rFonts w:eastAsia="Arial"/>
                <w:bCs/>
                <w:color w:val="auto"/>
              </w:rPr>
              <w:t>Development proposals will be required to demonstrate that:</w:t>
            </w:r>
          </w:p>
          <w:p w14:paraId="7C6F2506" w14:textId="77777777" w:rsidR="0081058F" w:rsidRPr="00D61C7E" w:rsidRDefault="0081058F" w:rsidP="00D61C7E">
            <w:pPr>
              <w:keepNext w:val="0"/>
              <w:tabs>
                <w:tab w:val="left" w:pos="680"/>
                <w:tab w:val="left" w:pos="1133"/>
                <w:tab w:val="left" w:pos="2267"/>
              </w:tabs>
              <w:spacing w:before="0"/>
              <w:ind w:left="360" w:right="284"/>
              <w:jc w:val="left"/>
              <w:rPr>
                <w:rFonts w:eastAsia="Arial" w:cs="Arial"/>
                <w:bCs/>
                <w:color w:val="auto"/>
              </w:rPr>
            </w:pPr>
          </w:p>
          <w:p w14:paraId="0FBAA934" w14:textId="4C1D64B7" w:rsidR="00D61C7E" w:rsidRDefault="0081058F" w:rsidP="00874A98">
            <w:pPr>
              <w:pStyle w:val="ListParagraph"/>
              <w:numPr>
                <w:ilvl w:val="0"/>
                <w:numId w:val="327"/>
              </w:numPr>
              <w:tabs>
                <w:tab w:val="left" w:pos="680"/>
              </w:tabs>
              <w:spacing w:after="0" w:line="240" w:lineRule="auto"/>
              <w:rPr>
                <w:rFonts w:ascii="Arial" w:eastAsia="Arial" w:hAnsi="Arial" w:cs="Arial"/>
                <w:bCs/>
                <w:color w:val="auto"/>
              </w:rPr>
            </w:pPr>
            <w:r w:rsidRPr="00D61C7E">
              <w:rPr>
                <w:rFonts w:ascii="Arial" w:eastAsia="Arial" w:hAnsi="Arial" w:cs="Arial"/>
                <w:bCs/>
                <w:color w:val="auto"/>
              </w:rPr>
              <w:t>The proposal does not have a detrimental impact on the indoor and outdoor acoustic environment of existing or planned development</w:t>
            </w:r>
            <w:r w:rsidR="00D61C7E">
              <w:rPr>
                <w:rFonts w:ascii="Arial" w:eastAsia="Arial" w:hAnsi="Arial" w:cs="Arial"/>
                <w:bCs/>
                <w:color w:val="auto"/>
              </w:rPr>
              <w:t>;</w:t>
            </w:r>
            <w:r w:rsidRPr="00D61C7E">
              <w:rPr>
                <w:rFonts w:ascii="Arial" w:eastAsia="Arial" w:hAnsi="Arial" w:cs="Arial"/>
                <w:bCs/>
                <w:color w:val="auto"/>
              </w:rPr>
              <w:t xml:space="preserve"> </w:t>
            </w:r>
          </w:p>
          <w:p w14:paraId="7B610447" w14:textId="77777777" w:rsidR="00D61C7E" w:rsidRPr="00DB05C3" w:rsidRDefault="0081058F" w:rsidP="00874A98">
            <w:pPr>
              <w:pStyle w:val="ListParagraph"/>
              <w:numPr>
                <w:ilvl w:val="0"/>
                <w:numId w:val="327"/>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t>The occupiers of the proposed development will not be subject to detrimental noise levels from the existing or potential future operations of adjacent uses; and</w:t>
            </w:r>
          </w:p>
          <w:p w14:paraId="7420EC71" w14:textId="40C92DD6" w:rsidR="00027BA6" w:rsidRPr="00DB05C3" w:rsidRDefault="0081058F" w:rsidP="00874A98">
            <w:pPr>
              <w:pStyle w:val="ListParagraph"/>
              <w:numPr>
                <w:ilvl w:val="0"/>
                <w:numId w:val="327"/>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t>The proposed development</w:t>
            </w:r>
            <w:r w:rsidR="00027BA6" w:rsidRPr="00DB05C3">
              <w:rPr>
                <w:rFonts w:ascii="Arial" w:eastAsia="Arial" w:hAnsi="Arial" w:cs="Arial"/>
                <w:bCs/>
                <w:color w:val="auto"/>
              </w:rPr>
              <w:t>:</w:t>
            </w:r>
          </w:p>
          <w:p w14:paraId="1F1FF81E" w14:textId="556382BB" w:rsidR="00027BA6" w:rsidRPr="00DB05C3" w:rsidRDefault="00027BA6" w:rsidP="00874A98">
            <w:pPr>
              <w:pStyle w:val="ListParagraph"/>
              <w:numPr>
                <w:ilvl w:val="0"/>
                <w:numId w:val="331"/>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t xml:space="preserve">does </w:t>
            </w:r>
            <w:r w:rsidR="0081058F" w:rsidRPr="00DB05C3">
              <w:rPr>
                <w:rFonts w:ascii="Arial" w:eastAsia="Arial" w:hAnsi="Arial" w:cs="Arial"/>
                <w:bCs/>
                <w:color w:val="auto"/>
              </w:rPr>
              <w:t>not cause a significant increase in the background noise level to nearby existing noise sensitive land uses</w:t>
            </w:r>
            <w:r w:rsidRPr="00DB05C3">
              <w:rPr>
                <w:rFonts w:ascii="Arial" w:eastAsia="Arial" w:hAnsi="Arial" w:cs="Arial"/>
                <w:bCs/>
                <w:color w:val="auto"/>
              </w:rPr>
              <w:t>, and</w:t>
            </w:r>
          </w:p>
          <w:p w14:paraId="1CFDEBFA" w14:textId="0A25E37C" w:rsidR="0081058F" w:rsidRPr="00DB05C3" w:rsidRDefault="00027BA6" w:rsidP="00874A98">
            <w:pPr>
              <w:pStyle w:val="ListParagraph"/>
              <w:numPr>
                <w:ilvl w:val="0"/>
                <w:numId w:val="331"/>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lastRenderedPageBreak/>
              <w:t>protects tranquil areas, which have remained relatively undisturbed</w:t>
            </w:r>
            <w:r w:rsidR="0081058F" w:rsidRPr="00DB05C3">
              <w:rPr>
                <w:rFonts w:ascii="Arial" w:eastAsia="Arial" w:hAnsi="Arial" w:cs="Arial"/>
                <w:bCs/>
                <w:color w:val="auto"/>
              </w:rPr>
              <w:t xml:space="preserve"> </w:t>
            </w:r>
            <w:r w:rsidRPr="00DB05C3">
              <w:rPr>
                <w:rFonts w:ascii="Arial" w:eastAsia="Arial" w:hAnsi="Arial" w:cs="Arial"/>
                <w:bCs/>
                <w:color w:val="auto"/>
              </w:rPr>
              <w:t>by noise and are prized for their recreational and amenity value for this reason.</w:t>
            </w:r>
          </w:p>
          <w:p w14:paraId="54529E46" w14:textId="77777777" w:rsidR="0081058F" w:rsidRPr="00DB05C3" w:rsidRDefault="0081058F" w:rsidP="00D61C7E">
            <w:pPr>
              <w:keepNext w:val="0"/>
              <w:tabs>
                <w:tab w:val="left" w:pos="680"/>
              </w:tabs>
              <w:spacing w:before="0"/>
              <w:jc w:val="left"/>
              <w:rPr>
                <w:rFonts w:eastAsia="Arial" w:cs="Arial"/>
                <w:bCs/>
                <w:color w:val="auto"/>
              </w:rPr>
            </w:pPr>
          </w:p>
          <w:p w14:paraId="008ED613" w14:textId="77777777" w:rsidR="0081058F" w:rsidRPr="00DB05C3" w:rsidRDefault="0081058F" w:rsidP="00905CC9">
            <w:pPr>
              <w:keepNext w:val="0"/>
              <w:tabs>
                <w:tab w:val="left" w:pos="680"/>
              </w:tabs>
              <w:spacing w:before="0"/>
              <w:jc w:val="left"/>
              <w:rPr>
                <w:rFonts w:eastAsia="Arial"/>
                <w:bCs/>
                <w:color w:val="auto"/>
              </w:rPr>
            </w:pPr>
            <w:r w:rsidRPr="00DB05C3">
              <w:rPr>
                <w:rFonts w:eastAsia="Arial"/>
                <w:bCs/>
                <w:color w:val="auto"/>
              </w:rPr>
              <w:t>Lighting</w:t>
            </w:r>
          </w:p>
          <w:p w14:paraId="02B746EF" w14:textId="77777777" w:rsidR="0081058F" w:rsidRPr="00DB05C3" w:rsidRDefault="0081058F" w:rsidP="00874A98">
            <w:pPr>
              <w:keepNext w:val="0"/>
              <w:numPr>
                <w:ilvl w:val="0"/>
                <w:numId w:val="189"/>
              </w:numPr>
              <w:tabs>
                <w:tab w:val="left" w:pos="680"/>
                <w:tab w:val="left" w:pos="1133"/>
                <w:tab w:val="left" w:pos="2267"/>
              </w:tabs>
              <w:spacing w:before="0"/>
              <w:ind w:right="284"/>
              <w:jc w:val="left"/>
              <w:rPr>
                <w:rFonts w:eastAsia="Arial"/>
                <w:bCs/>
                <w:color w:val="auto"/>
              </w:rPr>
            </w:pPr>
            <w:r w:rsidRPr="00DB05C3">
              <w:rPr>
                <w:rFonts w:eastAsia="Arial"/>
                <w:bCs/>
                <w:color w:val="auto"/>
              </w:rPr>
              <w:t>Development proposals will be required to demonstrate that:</w:t>
            </w:r>
          </w:p>
          <w:p w14:paraId="4C2902DC" w14:textId="77777777" w:rsidR="0081058F" w:rsidRPr="00DB05C3" w:rsidRDefault="0081058F" w:rsidP="00D61C7E">
            <w:pPr>
              <w:keepNext w:val="0"/>
              <w:tabs>
                <w:tab w:val="left" w:pos="680"/>
                <w:tab w:val="left" w:pos="1133"/>
                <w:tab w:val="left" w:pos="2267"/>
              </w:tabs>
              <w:spacing w:before="0"/>
              <w:ind w:left="360" w:right="284"/>
              <w:jc w:val="left"/>
              <w:rPr>
                <w:rFonts w:eastAsia="Arial" w:cs="Arial"/>
                <w:bCs/>
                <w:color w:val="auto"/>
              </w:rPr>
            </w:pPr>
          </w:p>
          <w:p w14:paraId="462A8889" w14:textId="77777777" w:rsidR="00D61C7E" w:rsidRPr="00DB05C3" w:rsidRDefault="0081058F" w:rsidP="00874A98">
            <w:pPr>
              <w:pStyle w:val="ListParagraph"/>
              <w:numPr>
                <w:ilvl w:val="0"/>
                <w:numId w:val="328"/>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t>Light pollution from glare and light spillage is minimised, including into the night sky;</w:t>
            </w:r>
          </w:p>
          <w:p w14:paraId="5CFD93E5" w14:textId="77777777" w:rsidR="00D61C7E" w:rsidRPr="00DB05C3" w:rsidRDefault="0081058F" w:rsidP="00874A98">
            <w:pPr>
              <w:pStyle w:val="ListParagraph"/>
              <w:numPr>
                <w:ilvl w:val="0"/>
                <w:numId w:val="328"/>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t xml:space="preserve">The lighting is necessary;  </w:t>
            </w:r>
          </w:p>
          <w:p w14:paraId="411DB84F" w14:textId="77777777" w:rsidR="00D61C7E" w:rsidRPr="00DB05C3" w:rsidRDefault="0081058F" w:rsidP="00874A98">
            <w:pPr>
              <w:pStyle w:val="ListParagraph"/>
              <w:numPr>
                <w:ilvl w:val="0"/>
                <w:numId w:val="328"/>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t>The proposed lighting scheme is the minimum needed for security, working or recreational purposes;</w:t>
            </w:r>
          </w:p>
          <w:p w14:paraId="2A94FA67" w14:textId="77777777" w:rsidR="00D61C7E" w:rsidRPr="00DB05C3" w:rsidRDefault="0081058F" w:rsidP="00874A98">
            <w:pPr>
              <w:pStyle w:val="ListParagraph"/>
              <w:numPr>
                <w:ilvl w:val="0"/>
                <w:numId w:val="328"/>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t xml:space="preserve">The level of luminance is appropriate to the character of the landscape and the surrounding </w:t>
            </w:r>
            <w:proofErr w:type="gramStart"/>
            <w:r w:rsidRPr="00DB05C3">
              <w:rPr>
                <w:rFonts w:ascii="Arial" w:eastAsia="Arial" w:hAnsi="Arial" w:cs="Arial"/>
                <w:bCs/>
                <w:color w:val="auto"/>
              </w:rPr>
              <w:t>area as a whole, including</w:t>
            </w:r>
            <w:proofErr w:type="gramEnd"/>
            <w:r w:rsidRPr="00DB05C3">
              <w:rPr>
                <w:rFonts w:ascii="Arial" w:eastAsia="Arial" w:hAnsi="Arial" w:cs="Arial"/>
                <w:bCs/>
                <w:color w:val="auto"/>
              </w:rPr>
              <w:t xml:space="preserve"> any cumulative impact of lighting;</w:t>
            </w:r>
          </w:p>
          <w:p w14:paraId="69FEDA02" w14:textId="77777777" w:rsidR="00D61C7E" w:rsidRPr="00DB05C3" w:rsidRDefault="0081058F" w:rsidP="00874A98">
            <w:pPr>
              <w:pStyle w:val="ListParagraph"/>
              <w:numPr>
                <w:ilvl w:val="0"/>
                <w:numId w:val="328"/>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t>There is no significant loss of privacy or amenity to nearby properties and no danger to pedestrians and road users; and</w:t>
            </w:r>
          </w:p>
          <w:p w14:paraId="595B6771" w14:textId="0E443701" w:rsidR="0081058F" w:rsidRPr="00DB05C3" w:rsidRDefault="0081058F" w:rsidP="00874A98">
            <w:pPr>
              <w:pStyle w:val="ListParagraph"/>
              <w:numPr>
                <w:ilvl w:val="0"/>
                <w:numId w:val="328"/>
              </w:numPr>
              <w:tabs>
                <w:tab w:val="left" w:pos="680"/>
              </w:tabs>
              <w:spacing w:after="0" w:line="240" w:lineRule="auto"/>
              <w:rPr>
                <w:rFonts w:ascii="Arial" w:eastAsia="Arial" w:hAnsi="Arial" w:cs="Arial"/>
                <w:bCs/>
                <w:color w:val="auto"/>
              </w:rPr>
            </w:pPr>
            <w:r w:rsidRPr="00DB05C3">
              <w:rPr>
                <w:rFonts w:ascii="Arial" w:eastAsia="Arial" w:hAnsi="Arial" w:cs="Arial"/>
                <w:bCs/>
                <w:color w:val="auto"/>
              </w:rPr>
              <w:t>There is no detrimental harm to natural ecosystems</w:t>
            </w:r>
            <w:r w:rsidR="005B0939" w:rsidRPr="00DB05C3">
              <w:rPr>
                <w:rFonts w:ascii="Arial" w:eastAsia="Arial" w:hAnsi="Arial" w:cs="Arial"/>
                <w:bCs/>
                <w:color w:val="auto"/>
              </w:rPr>
              <w:t>, including nocturnal wildlife such as bats.</w:t>
            </w:r>
          </w:p>
          <w:p w14:paraId="229C35B1" w14:textId="77777777" w:rsidR="0081058F" w:rsidRPr="0081058F" w:rsidRDefault="0081058F" w:rsidP="00905CC9">
            <w:pPr>
              <w:keepNext w:val="0"/>
              <w:tabs>
                <w:tab w:val="left" w:pos="680"/>
                <w:tab w:val="left" w:pos="1133"/>
                <w:tab w:val="left" w:pos="2267"/>
              </w:tabs>
              <w:spacing w:before="0"/>
              <w:ind w:left="360" w:right="284"/>
              <w:jc w:val="left"/>
              <w:rPr>
                <w:rFonts w:eastAsia="Arial"/>
                <w:bCs/>
                <w:color w:val="auto"/>
              </w:rPr>
            </w:pPr>
          </w:p>
          <w:p w14:paraId="5DC48065" w14:textId="77777777" w:rsidR="0081058F" w:rsidRPr="005B0939" w:rsidRDefault="0081058F" w:rsidP="005B0939">
            <w:pPr>
              <w:keepNext w:val="0"/>
              <w:tabs>
                <w:tab w:val="left" w:pos="680"/>
                <w:tab w:val="left" w:pos="1133"/>
                <w:tab w:val="left" w:pos="2267"/>
              </w:tabs>
              <w:spacing w:before="0"/>
              <w:ind w:right="284"/>
              <w:jc w:val="left"/>
              <w:rPr>
                <w:rFonts w:eastAsia="Arial" w:cs="Arial"/>
                <w:bCs/>
                <w:color w:val="auto"/>
              </w:rPr>
            </w:pPr>
            <w:r w:rsidRPr="0081058F">
              <w:rPr>
                <w:rFonts w:eastAsia="Arial"/>
                <w:bCs/>
                <w:color w:val="auto"/>
              </w:rPr>
              <w:t>Air Quality</w:t>
            </w:r>
          </w:p>
          <w:p w14:paraId="567E8C44" w14:textId="72116518" w:rsidR="0081058F" w:rsidRPr="00DB05C3" w:rsidRDefault="0081058F" w:rsidP="00874A98">
            <w:pPr>
              <w:pStyle w:val="ListParagraph"/>
              <w:numPr>
                <w:ilvl w:val="0"/>
                <w:numId w:val="189"/>
              </w:numPr>
              <w:spacing w:line="240" w:lineRule="auto"/>
              <w:jc w:val="left"/>
              <w:rPr>
                <w:rFonts w:ascii="Arial" w:eastAsia="Arial" w:hAnsi="Arial" w:cs="Arial"/>
                <w:bCs/>
                <w:color w:val="auto"/>
              </w:rPr>
            </w:pPr>
            <w:r w:rsidRPr="005B0939">
              <w:rPr>
                <w:rFonts w:ascii="Arial" w:eastAsia="Arial" w:hAnsi="Arial" w:cs="Arial"/>
                <w:bCs/>
                <w:color w:val="auto"/>
              </w:rPr>
              <w:t xml:space="preserve">Development proposals will be required to demonstrate that proposals minimise harmful emissions to air, will not lead to the declaration of a new Air Quality Management Area, and will not impact negatively on any existing Air Quality </w:t>
            </w:r>
            <w:r w:rsidRPr="00DB05C3">
              <w:rPr>
                <w:rFonts w:ascii="Arial" w:eastAsia="Arial" w:hAnsi="Arial" w:cs="Arial"/>
                <w:bCs/>
                <w:color w:val="auto"/>
              </w:rPr>
              <w:t>Management Areas. Planning permission will only be granted in areas nearing Air Quality Management Area threshold limits if an Impact Assessment shows that the development in question and its associated activities would not increase air pollution to unacceptable levels, as defined in the National Air Quality Strategy.</w:t>
            </w:r>
            <w:r w:rsidR="005B0939" w:rsidRPr="00DB05C3">
              <w:rPr>
                <w:rFonts w:ascii="Arial" w:eastAsia="Arial" w:hAnsi="Arial" w:cs="Arial"/>
                <w:bCs/>
                <w:color w:val="auto"/>
              </w:rPr>
              <w:t xml:space="preserve">     Where applicable</w:t>
            </w:r>
            <w:r w:rsidR="00CD4161" w:rsidRPr="00DB05C3">
              <w:rPr>
                <w:rFonts w:ascii="Arial" w:eastAsia="Arial" w:hAnsi="Arial" w:cs="Arial"/>
                <w:bCs/>
                <w:color w:val="auto"/>
              </w:rPr>
              <w:t xml:space="preserve">, it should be demonstrated that </w:t>
            </w:r>
            <w:r w:rsidR="005B0939" w:rsidRPr="00DB05C3">
              <w:rPr>
                <w:rFonts w:ascii="Arial" w:eastAsia="Arial" w:hAnsi="Arial" w:cs="Arial"/>
                <w:bCs/>
                <w:color w:val="auto"/>
              </w:rPr>
              <w:t xml:space="preserve">proposed development </w:t>
            </w:r>
            <w:r w:rsidR="00CD4161" w:rsidRPr="00DB05C3">
              <w:rPr>
                <w:rFonts w:ascii="Arial" w:eastAsia="Arial" w:hAnsi="Arial" w:cs="Arial"/>
                <w:bCs/>
                <w:color w:val="auto"/>
              </w:rPr>
              <w:t xml:space="preserve">will not have a </w:t>
            </w:r>
            <w:r w:rsidR="005B0939" w:rsidRPr="00DB05C3">
              <w:rPr>
                <w:rFonts w:ascii="Arial" w:eastAsia="Arial" w:hAnsi="Arial" w:cs="Arial"/>
                <w:bCs/>
                <w:color w:val="auto"/>
              </w:rPr>
              <w:t xml:space="preserve">significantly </w:t>
            </w:r>
            <w:r w:rsidR="00CD4161" w:rsidRPr="00DB05C3">
              <w:rPr>
                <w:rFonts w:ascii="Arial" w:eastAsia="Arial" w:hAnsi="Arial" w:cs="Arial"/>
                <w:bCs/>
                <w:color w:val="auto"/>
              </w:rPr>
              <w:t>impact through n</w:t>
            </w:r>
            <w:r w:rsidR="005B0939" w:rsidRPr="00DB05C3">
              <w:rPr>
                <w:rFonts w:ascii="Arial" w:eastAsia="Arial" w:hAnsi="Arial" w:cs="Arial"/>
                <w:bCs/>
                <w:color w:val="auto"/>
              </w:rPr>
              <w:t xml:space="preserve">itrogen deposition </w:t>
            </w:r>
            <w:r w:rsidR="00CD4161" w:rsidRPr="00DB05C3">
              <w:rPr>
                <w:rFonts w:ascii="Arial" w:eastAsia="Arial" w:hAnsi="Arial" w:cs="Arial"/>
                <w:bCs/>
                <w:color w:val="auto"/>
              </w:rPr>
              <w:t xml:space="preserve">on </w:t>
            </w:r>
            <w:r w:rsidR="005B0939" w:rsidRPr="00DB05C3">
              <w:rPr>
                <w:rFonts w:ascii="Arial" w:eastAsia="Arial" w:hAnsi="Arial" w:cs="Arial"/>
                <w:bCs/>
                <w:color w:val="auto"/>
              </w:rPr>
              <w:t xml:space="preserve">sensitive </w:t>
            </w:r>
            <w:r w:rsidR="00CD4161" w:rsidRPr="00DB05C3">
              <w:rPr>
                <w:rFonts w:ascii="Arial" w:eastAsia="Arial" w:hAnsi="Arial" w:cs="Arial"/>
                <w:bCs/>
                <w:color w:val="auto"/>
              </w:rPr>
              <w:t xml:space="preserve">natural </w:t>
            </w:r>
            <w:r w:rsidR="005B0939" w:rsidRPr="00DB05C3">
              <w:rPr>
                <w:rFonts w:ascii="Arial" w:eastAsia="Arial" w:hAnsi="Arial" w:cs="Arial"/>
                <w:bCs/>
                <w:color w:val="auto"/>
              </w:rPr>
              <w:t>habitats</w:t>
            </w:r>
            <w:r w:rsidR="00CD4161" w:rsidRPr="00DB05C3">
              <w:rPr>
                <w:rFonts w:ascii="Arial" w:eastAsia="Arial" w:hAnsi="Arial" w:cs="Arial"/>
                <w:bCs/>
                <w:color w:val="auto"/>
              </w:rPr>
              <w:t>.</w:t>
            </w:r>
          </w:p>
          <w:p w14:paraId="284F98B2" w14:textId="77777777" w:rsidR="0081058F" w:rsidRPr="0081058F" w:rsidRDefault="0081058F" w:rsidP="00905CC9">
            <w:pPr>
              <w:keepNext w:val="0"/>
              <w:tabs>
                <w:tab w:val="left" w:pos="680"/>
                <w:tab w:val="left" w:pos="1133"/>
                <w:tab w:val="left" w:pos="2267"/>
              </w:tabs>
              <w:spacing w:before="0"/>
              <w:ind w:right="284"/>
              <w:jc w:val="left"/>
              <w:rPr>
                <w:rFonts w:eastAsia="Arial"/>
                <w:bCs/>
                <w:color w:val="auto"/>
              </w:rPr>
            </w:pPr>
            <w:r w:rsidRPr="0081058F">
              <w:rPr>
                <w:rFonts w:eastAsia="Arial"/>
                <w:bCs/>
                <w:color w:val="auto"/>
              </w:rPr>
              <w:t>Soils</w:t>
            </w:r>
          </w:p>
          <w:p w14:paraId="10A1B4D7" w14:textId="77777777" w:rsidR="0081058F" w:rsidRPr="0081058F" w:rsidRDefault="0081058F" w:rsidP="00874A98">
            <w:pPr>
              <w:keepNext w:val="0"/>
              <w:numPr>
                <w:ilvl w:val="0"/>
                <w:numId w:val="189"/>
              </w:numPr>
              <w:tabs>
                <w:tab w:val="left" w:pos="680"/>
                <w:tab w:val="left" w:pos="1133"/>
                <w:tab w:val="left" w:pos="2267"/>
              </w:tabs>
              <w:spacing w:before="0"/>
              <w:ind w:right="284"/>
              <w:jc w:val="left"/>
              <w:rPr>
                <w:rFonts w:eastAsia="Arial"/>
                <w:bCs/>
                <w:color w:val="auto"/>
                <w:szCs w:val="24"/>
              </w:rPr>
            </w:pPr>
            <w:r w:rsidRPr="0081058F">
              <w:rPr>
                <w:rFonts w:cs="Arial"/>
                <w:bCs/>
                <w:color w:val="auto"/>
                <w:szCs w:val="24"/>
              </w:rPr>
              <w:t xml:space="preserve">Development will take appropriate measures to safeguard and utilise on-site soil resources. Regard should be had to the </w:t>
            </w:r>
            <w:r w:rsidRPr="0081058F">
              <w:rPr>
                <w:rFonts w:cs="Arial"/>
                <w:bCs/>
                <w:color w:val="auto"/>
                <w:szCs w:val="24"/>
                <w:lang w:val="en"/>
              </w:rPr>
              <w:t xml:space="preserve">Defra code of practice for the sustainable use of soils on construction sites. </w:t>
            </w:r>
            <w:r w:rsidRPr="0081058F">
              <w:rPr>
                <w:rFonts w:cs="Arial"/>
                <w:bCs/>
                <w:color w:val="auto"/>
                <w:szCs w:val="24"/>
              </w:rPr>
              <w:t>Where</w:t>
            </w:r>
            <w:r w:rsidRPr="0081058F">
              <w:rPr>
                <w:bCs/>
                <w:color w:val="auto"/>
                <w:szCs w:val="24"/>
              </w:rPr>
              <w:t xml:space="preserve"> requested, evidence of the adoption of best practice in the movement of, storage, management, reuse and reinstatement of soils must be submitted along with any planning application.</w:t>
            </w:r>
          </w:p>
          <w:p w14:paraId="26A35D38" w14:textId="77777777" w:rsidR="0081058F" w:rsidRPr="00263F59" w:rsidRDefault="0081058F" w:rsidP="00905CC9">
            <w:pPr>
              <w:keepNext w:val="0"/>
              <w:tabs>
                <w:tab w:val="left" w:pos="680"/>
                <w:tab w:val="left" w:pos="1133"/>
                <w:tab w:val="left" w:pos="2267"/>
              </w:tabs>
              <w:spacing w:before="0"/>
              <w:ind w:right="284"/>
              <w:jc w:val="left"/>
              <w:rPr>
                <w:rFonts w:eastAsia="Arial"/>
                <w:bCs/>
                <w:color w:val="auto"/>
              </w:rPr>
            </w:pPr>
          </w:p>
        </w:tc>
      </w:tr>
      <w:bookmarkEnd w:id="320"/>
      <w:tr w:rsidR="00DB05C3" w:rsidRPr="00DB05C3" w14:paraId="4C2657A6" w14:textId="77777777" w:rsidTr="00DD4136">
        <w:tc>
          <w:tcPr>
            <w:tcW w:w="1838" w:type="dxa"/>
          </w:tcPr>
          <w:p w14:paraId="6D0951F6" w14:textId="77777777" w:rsidR="0081058F" w:rsidRPr="00DB05C3" w:rsidRDefault="0081058F" w:rsidP="00905CC9">
            <w:pPr>
              <w:keepNext w:val="0"/>
              <w:tabs>
                <w:tab w:val="left" w:pos="680"/>
                <w:tab w:val="left" w:pos="1133"/>
                <w:tab w:val="left" w:pos="2267"/>
              </w:tabs>
              <w:spacing w:before="0"/>
              <w:ind w:right="284"/>
              <w:jc w:val="left"/>
              <w:rPr>
                <w:rFonts w:eastAsia="Arial"/>
                <w:b/>
                <w:color w:val="auto"/>
                <w:sz w:val="20"/>
              </w:rPr>
            </w:pPr>
            <w:r w:rsidRPr="00DB05C3">
              <w:rPr>
                <w:rFonts w:eastAsia="Arial"/>
                <w:bCs/>
                <w:color w:val="auto"/>
                <w:sz w:val="20"/>
              </w:rPr>
              <w:lastRenderedPageBreak/>
              <w:t>Evidence base</w:t>
            </w:r>
          </w:p>
        </w:tc>
        <w:tc>
          <w:tcPr>
            <w:tcW w:w="7938" w:type="dxa"/>
            <w:gridSpan w:val="2"/>
          </w:tcPr>
          <w:p w14:paraId="199A366B" w14:textId="2D229173" w:rsidR="0081058F" w:rsidRPr="00DB05C3" w:rsidRDefault="0081058F" w:rsidP="00905CC9">
            <w:pPr>
              <w:keepNext w:val="0"/>
              <w:tabs>
                <w:tab w:val="left" w:pos="680"/>
                <w:tab w:val="left" w:pos="1133"/>
                <w:tab w:val="left" w:pos="2267"/>
              </w:tabs>
              <w:spacing w:before="0"/>
              <w:ind w:right="284"/>
              <w:jc w:val="left"/>
              <w:rPr>
                <w:rFonts w:eastAsia="Arial"/>
                <w:b/>
                <w:color w:val="auto"/>
                <w:sz w:val="20"/>
              </w:rPr>
            </w:pPr>
            <w:r w:rsidRPr="00DB05C3">
              <w:rPr>
                <w:rFonts w:eastAsia="Arial"/>
                <w:bCs/>
                <w:color w:val="auto"/>
                <w:sz w:val="20"/>
              </w:rPr>
              <w:t>Sustainability Appraisal,</w:t>
            </w:r>
            <w:r w:rsidR="0025538D" w:rsidRPr="00DB05C3">
              <w:rPr>
                <w:rFonts w:eastAsia="Arial"/>
                <w:bCs/>
                <w:color w:val="auto"/>
                <w:sz w:val="20"/>
              </w:rPr>
              <w:t xml:space="preserve"> </w:t>
            </w:r>
            <w:r w:rsidRPr="00DB05C3">
              <w:rPr>
                <w:rFonts w:eastAsia="Arial"/>
                <w:bCs/>
                <w:color w:val="auto"/>
                <w:sz w:val="20"/>
              </w:rPr>
              <w:t>202</w:t>
            </w:r>
            <w:r w:rsidR="0025538D" w:rsidRPr="00DB05C3">
              <w:rPr>
                <w:rFonts w:eastAsia="Arial"/>
                <w:bCs/>
                <w:color w:val="auto"/>
                <w:sz w:val="20"/>
              </w:rPr>
              <w:t>3</w:t>
            </w:r>
            <w:r w:rsidRPr="00DB05C3">
              <w:rPr>
                <w:rFonts w:eastAsia="Arial"/>
                <w:bCs/>
                <w:color w:val="auto"/>
                <w:sz w:val="20"/>
              </w:rPr>
              <w:t xml:space="preserve">. </w:t>
            </w:r>
            <w:r w:rsidR="0025538D" w:rsidRPr="00DB05C3">
              <w:rPr>
                <w:rFonts w:eastAsia="Arial"/>
                <w:bCs/>
                <w:color w:val="auto"/>
                <w:sz w:val="20"/>
              </w:rPr>
              <w:t xml:space="preserve">WSP UK Limited. </w:t>
            </w:r>
            <w:r w:rsidRPr="00DB05C3">
              <w:rPr>
                <w:rFonts w:eastAsia="Arial"/>
                <w:bCs/>
                <w:color w:val="auto"/>
                <w:sz w:val="20"/>
              </w:rPr>
              <w:t xml:space="preserve"> </w:t>
            </w:r>
          </w:p>
        </w:tc>
      </w:tr>
      <w:tr w:rsidR="0081058F" w:rsidRPr="00DB05C3" w14:paraId="54E393D8" w14:textId="77777777" w:rsidTr="00DD4136">
        <w:tc>
          <w:tcPr>
            <w:tcW w:w="1838" w:type="dxa"/>
          </w:tcPr>
          <w:p w14:paraId="75FD5EA8" w14:textId="77777777" w:rsidR="0081058F" w:rsidRPr="00DB05C3" w:rsidRDefault="0081058F" w:rsidP="00905CC9">
            <w:pPr>
              <w:keepNext w:val="0"/>
              <w:tabs>
                <w:tab w:val="left" w:pos="680"/>
                <w:tab w:val="left" w:pos="1133"/>
                <w:tab w:val="left" w:pos="2267"/>
              </w:tabs>
              <w:spacing w:before="0"/>
              <w:ind w:right="284"/>
              <w:jc w:val="left"/>
              <w:rPr>
                <w:rFonts w:eastAsia="Arial"/>
                <w:b/>
                <w:color w:val="auto"/>
                <w:sz w:val="20"/>
              </w:rPr>
            </w:pPr>
            <w:r w:rsidRPr="00DB05C3">
              <w:rPr>
                <w:rFonts w:eastAsia="Arial"/>
                <w:bCs/>
                <w:color w:val="auto"/>
                <w:sz w:val="20"/>
              </w:rPr>
              <w:t>National Planning Policy and Guidance</w:t>
            </w:r>
          </w:p>
        </w:tc>
        <w:tc>
          <w:tcPr>
            <w:tcW w:w="7938" w:type="dxa"/>
            <w:gridSpan w:val="2"/>
          </w:tcPr>
          <w:p w14:paraId="14254DB1" w14:textId="47140999" w:rsidR="0081058F" w:rsidRPr="00DB05C3" w:rsidRDefault="0081058F"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DB05C3">
              <w:rPr>
                <w:rFonts w:eastAsia="Arial"/>
                <w:bCs/>
                <w:color w:val="auto"/>
                <w:sz w:val="20"/>
              </w:rPr>
              <w:t>NPPF 20</w:t>
            </w:r>
            <w:r w:rsidR="004173E0" w:rsidRPr="00DB05C3">
              <w:rPr>
                <w:rFonts w:eastAsia="Arial"/>
                <w:bCs/>
                <w:color w:val="auto"/>
                <w:sz w:val="20"/>
              </w:rPr>
              <w:t>23</w:t>
            </w:r>
            <w:r w:rsidRPr="00DB05C3">
              <w:rPr>
                <w:rFonts w:eastAsia="Arial"/>
                <w:bCs/>
                <w:color w:val="auto"/>
                <w:sz w:val="20"/>
              </w:rPr>
              <w:t>, Part 2: Achieving sustainable development.</w:t>
            </w:r>
          </w:p>
          <w:p w14:paraId="7622401C" w14:textId="5B7CE784" w:rsidR="0081058F" w:rsidRPr="00DB05C3" w:rsidRDefault="0081058F"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DB05C3">
              <w:rPr>
                <w:rFonts w:eastAsia="Arial"/>
                <w:bCs/>
                <w:color w:val="auto"/>
                <w:sz w:val="20"/>
              </w:rPr>
              <w:t>NPPF 20</w:t>
            </w:r>
            <w:r w:rsidR="004173E0" w:rsidRPr="00DB05C3">
              <w:rPr>
                <w:rFonts w:eastAsia="Arial"/>
                <w:bCs/>
                <w:color w:val="auto"/>
                <w:sz w:val="20"/>
              </w:rPr>
              <w:t>23</w:t>
            </w:r>
            <w:r w:rsidRPr="00DB05C3">
              <w:rPr>
                <w:rFonts w:eastAsia="Arial"/>
                <w:bCs/>
                <w:color w:val="auto"/>
                <w:sz w:val="20"/>
              </w:rPr>
              <w:t>,</w:t>
            </w:r>
            <w:r w:rsidRPr="00DB05C3">
              <w:rPr>
                <w:color w:val="auto"/>
                <w:sz w:val="20"/>
              </w:rPr>
              <w:t xml:space="preserve"> </w:t>
            </w:r>
            <w:r w:rsidRPr="00DB05C3">
              <w:rPr>
                <w:rFonts w:eastAsia="Arial"/>
                <w:bCs/>
                <w:color w:val="auto"/>
                <w:sz w:val="20"/>
              </w:rPr>
              <w:t xml:space="preserve">Part 15: </w:t>
            </w:r>
            <w:r w:rsidRPr="00DB05C3">
              <w:rPr>
                <w:color w:val="auto"/>
                <w:sz w:val="20"/>
              </w:rPr>
              <w:t>Conserving and enhancing the natural environment.</w:t>
            </w:r>
          </w:p>
          <w:p w14:paraId="1B0276F3" w14:textId="42181978" w:rsidR="0081058F" w:rsidRPr="00DB05C3" w:rsidRDefault="0081058F" w:rsidP="00874A98">
            <w:pPr>
              <w:keepNext w:val="0"/>
              <w:numPr>
                <w:ilvl w:val="0"/>
                <w:numId w:val="119"/>
              </w:numPr>
              <w:spacing w:before="0" w:after="160" w:line="252" w:lineRule="auto"/>
              <w:contextualSpacing/>
              <w:jc w:val="left"/>
              <w:rPr>
                <w:rFonts w:eastAsia="Arial"/>
                <w:bCs/>
                <w:color w:val="auto"/>
                <w:sz w:val="20"/>
              </w:rPr>
            </w:pPr>
            <w:r w:rsidRPr="00DB05C3">
              <w:rPr>
                <w:rFonts w:eastAsia="Arial"/>
                <w:bCs/>
                <w:color w:val="auto"/>
                <w:sz w:val="20"/>
              </w:rPr>
              <w:t xml:space="preserve">Planning Practice Guidance: Air quality as </w:t>
            </w:r>
            <w:r w:rsidR="00EA7D34" w:rsidRPr="00DB05C3">
              <w:rPr>
                <w:rFonts w:eastAsia="Arial"/>
                <w:bCs/>
                <w:color w:val="auto"/>
                <w:sz w:val="20"/>
              </w:rPr>
              <w:t>of</w:t>
            </w:r>
            <w:r w:rsidRPr="00DB05C3">
              <w:rPr>
                <w:rFonts w:eastAsia="Arial"/>
                <w:bCs/>
                <w:color w:val="auto"/>
                <w:sz w:val="20"/>
              </w:rPr>
              <w:t xml:space="preserve"> </w:t>
            </w:r>
            <w:r w:rsidR="0025538D" w:rsidRPr="00DB05C3">
              <w:rPr>
                <w:rFonts w:eastAsia="Arial"/>
                <w:bCs/>
                <w:color w:val="auto"/>
                <w:sz w:val="20"/>
              </w:rPr>
              <w:t>November 2019</w:t>
            </w:r>
            <w:r w:rsidRPr="00DB05C3">
              <w:rPr>
                <w:rFonts w:eastAsia="Arial"/>
                <w:bCs/>
                <w:color w:val="auto"/>
                <w:sz w:val="20"/>
              </w:rPr>
              <w:t>.</w:t>
            </w:r>
          </w:p>
          <w:p w14:paraId="4899F6A8" w14:textId="1A958DF3" w:rsidR="0081058F" w:rsidRPr="00DB05C3" w:rsidRDefault="0081058F" w:rsidP="00874A98">
            <w:pPr>
              <w:keepNext w:val="0"/>
              <w:numPr>
                <w:ilvl w:val="0"/>
                <w:numId w:val="119"/>
              </w:numPr>
              <w:spacing w:before="0" w:after="160" w:line="252" w:lineRule="auto"/>
              <w:contextualSpacing/>
              <w:jc w:val="left"/>
              <w:rPr>
                <w:rFonts w:eastAsia="Arial"/>
                <w:bCs/>
                <w:color w:val="auto"/>
                <w:sz w:val="20"/>
              </w:rPr>
            </w:pPr>
            <w:r w:rsidRPr="00DB05C3">
              <w:rPr>
                <w:rFonts w:eastAsia="Arial"/>
                <w:bCs/>
                <w:color w:val="auto"/>
                <w:sz w:val="20"/>
              </w:rPr>
              <w:t xml:space="preserve">Planning Practice Guidance: Light pollution as </w:t>
            </w:r>
            <w:r w:rsidR="00EA7D34" w:rsidRPr="00DB05C3">
              <w:rPr>
                <w:rFonts w:eastAsia="Arial"/>
                <w:bCs/>
                <w:color w:val="auto"/>
                <w:sz w:val="20"/>
              </w:rPr>
              <w:t>of</w:t>
            </w:r>
            <w:r w:rsidRPr="00DB05C3">
              <w:rPr>
                <w:rFonts w:eastAsia="Arial"/>
                <w:bCs/>
                <w:color w:val="auto"/>
                <w:sz w:val="20"/>
              </w:rPr>
              <w:t xml:space="preserve"> </w:t>
            </w:r>
            <w:r w:rsidR="0025538D" w:rsidRPr="00DB05C3">
              <w:rPr>
                <w:rFonts w:eastAsia="Arial"/>
                <w:bCs/>
                <w:color w:val="auto"/>
                <w:sz w:val="20"/>
              </w:rPr>
              <w:t>November 2019</w:t>
            </w:r>
            <w:r w:rsidRPr="00DB05C3">
              <w:rPr>
                <w:rFonts w:eastAsia="Arial"/>
                <w:bCs/>
                <w:color w:val="auto"/>
                <w:sz w:val="20"/>
              </w:rPr>
              <w:t>.</w:t>
            </w:r>
          </w:p>
          <w:p w14:paraId="55987594" w14:textId="285D14A7" w:rsidR="0081058F" w:rsidRPr="00DB05C3" w:rsidRDefault="0081058F" w:rsidP="00874A98">
            <w:pPr>
              <w:keepNext w:val="0"/>
              <w:numPr>
                <w:ilvl w:val="0"/>
                <w:numId w:val="119"/>
              </w:numPr>
              <w:spacing w:before="0" w:after="160" w:line="252" w:lineRule="auto"/>
              <w:contextualSpacing/>
              <w:jc w:val="left"/>
              <w:rPr>
                <w:rFonts w:eastAsia="Arial"/>
                <w:bCs/>
                <w:color w:val="auto"/>
                <w:sz w:val="20"/>
              </w:rPr>
            </w:pPr>
            <w:r w:rsidRPr="00DB05C3">
              <w:rPr>
                <w:rFonts w:eastAsia="Arial"/>
                <w:bCs/>
                <w:color w:val="auto"/>
                <w:sz w:val="20"/>
              </w:rPr>
              <w:t xml:space="preserve">Planning Practice Guidance: Noise as </w:t>
            </w:r>
            <w:r w:rsidR="00EA7D34" w:rsidRPr="00DB05C3">
              <w:rPr>
                <w:rFonts w:eastAsia="Arial"/>
                <w:bCs/>
                <w:color w:val="auto"/>
                <w:sz w:val="20"/>
              </w:rPr>
              <w:t>of</w:t>
            </w:r>
            <w:r w:rsidRPr="00DB05C3">
              <w:rPr>
                <w:rFonts w:eastAsia="Arial"/>
                <w:bCs/>
                <w:color w:val="auto"/>
                <w:sz w:val="20"/>
              </w:rPr>
              <w:t xml:space="preserve"> </w:t>
            </w:r>
            <w:r w:rsidR="0025538D" w:rsidRPr="00DB05C3">
              <w:rPr>
                <w:rFonts w:eastAsia="Arial"/>
                <w:bCs/>
                <w:color w:val="auto"/>
                <w:sz w:val="20"/>
              </w:rPr>
              <w:t>July 2019</w:t>
            </w:r>
            <w:r w:rsidRPr="00DB05C3">
              <w:rPr>
                <w:rFonts w:eastAsia="Arial"/>
                <w:bCs/>
                <w:color w:val="auto"/>
                <w:sz w:val="20"/>
              </w:rPr>
              <w:t>.</w:t>
            </w:r>
          </w:p>
        </w:tc>
      </w:tr>
    </w:tbl>
    <w:p w14:paraId="39ABA095" w14:textId="77777777" w:rsidR="0081058F" w:rsidRPr="00DB05C3" w:rsidRDefault="0081058F" w:rsidP="0081058F">
      <w:pPr>
        <w:keepNext w:val="0"/>
        <w:autoSpaceDE w:val="0"/>
        <w:autoSpaceDN w:val="0"/>
        <w:adjustRightInd w:val="0"/>
        <w:spacing w:before="0"/>
        <w:ind w:left="794"/>
        <w:rPr>
          <w:rFonts w:eastAsia="Arial" w:cs="Arial"/>
          <w:color w:val="auto"/>
        </w:rPr>
      </w:pPr>
    </w:p>
    <w:p w14:paraId="04785BFB" w14:textId="186D5D0A" w:rsidR="00D41DD2" w:rsidRDefault="0081058F" w:rsidP="00D41DD2">
      <w:pPr>
        <w:keepNext w:val="0"/>
        <w:numPr>
          <w:ilvl w:val="1"/>
          <w:numId w:val="7"/>
        </w:numPr>
        <w:tabs>
          <w:tab w:val="clear" w:pos="525"/>
        </w:tabs>
        <w:spacing w:before="0"/>
        <w:ind w:left="709" w:hanging="709"/>
        <w:rPr>
          <w:rFonts w:cs="Arial"/>
          <w:color w:val="auto"/>
          <w:szCs w:val="24"/>
          <w:lang w:eastAsia="en-US"/>
        </w:rPr>
      </w:pPr>
      <w:r w:rsidRPr="00DB05C3">
        <w:rPr>
          <w:rFonts w:cs="Arial"/>
          <w:color w:val="auto"/>
          <w:szCs w:val="24"/>
          <w:lang w:eastAsia="en-US"/>
        </w:rPr>
        <w:t xml:space="preserve">Damage to the environment is usually identified as pollution </w:t>
      </w:r>
      <w:r w:rsidRPr="0081058F">
        <w:rPr>
          <w:rFonts w:cs="Arial"/>
          <w:color w:val="auto"/>
          <w:szCs w:val="24"/>
          <w:lang w:eastAsia="en-US"/>
        </w:rPr>
        <w:t xml:space="preserve">and it arises from a wide variety of sources and has a detrimental impact on human health, wellbeing, amenity and the </w:t>
      </w:r>
      <w:proofErr w:type="gramStart"/>
      <w:r w:rsidRPr="0081058F">
        <w:rPr>
          <w:rFonts w:cs="Arial"/>
          <w:color w:val="auto"/>
          <w:szCs w:val="24"/>
          <w:lang w:eastAsia="en-US"/>
        </w:rPr>
        <w:t>natural  environment</w:t>
      </w:r>
      <w:proofErr w:type="gramEnd"/>
      <w:r w:rsidRPr="0081058F">
        <w:rPr>
          <w:rFonts w:cs="Arial"/>
          <w:color w:val="auto"/>
          <w:szCs w:val="24"/>
          <w:lang w:eastAsia="en-US"/>
        </w:rPr>
        <w:t xml:space="preserve">.  The natural environment includes the landscape, the quality of the soil, air, ground/surface water or areas of nature conservation (comprise plants and animals).  The nature of pollutants will vary, but in terms of Ashfield, issues typically arise in relation to noise, lighting and air quality. Nevertheless, pollution can arise from other sources such as emissions of smoke, </w:t>
      </w:r>
      <w:r w:rsidRPr="0081058F">
        <w:rPr>
          <w:rFonts w:cs="Arial"/>
          <w:color w:val="auto"/>
          <w:szCs w:val="24"/>
          <w:lang w:eastAsia="en-US"/>
        </w:rPr>
        <w:lastRenderedPageBreak/>
        <w:t xml:space="preserve">fumes, gases, dust, steam, smells or vibrations all of which will be considered during the planning process. </w:t>
      </w:r>
    </w:p>
    <w:p w14:paraId="36970C98" w14:textId="77777777" w:rsidR="00D41DD2" w:rsidRDefault="00D41DD2" w:rsidP="00D41DD2">
      <w:pPr>
        <w:keepNext w:val="0"/>
        <w:spacing w:before="0"/>
        <w:ind w:left="709"/>
        <w:rPr>
          <w:rFonts w:cs="Arial"/>
          <w:color w:val="auto"/>
          <w:szCs w:val="24"/>
          <w:lang w:eastAsia="en-US"/>
        </w:rPr>
      </w:pPr>
    </w:p>
    <w:p w14:paraId="74BA0C76" w14:textId="171E6794" w:rsidR="0081058F" w:rsidRPr="00D41DD2" w:rsidRDefault="0081058F" w:rsidP="00D41DD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In assessing a scheme of mitigation, account will be taken of:</w:t>
      </w:r>
    </w:p>
    <w:p w14:paraId="01459573" w14:textId="77777777" w:rsidR="0081058F" w:rsidRPr="0081058F" w:rsidRDefault="0081058F" w:rsidP="0081058F">
      <w:pPr>
        <w:keepNext w:val="0"/>
        <w:spacing w:before="0"/>
        <w:rPr>
          <w:rFonts w:cs="Arial"/>
          <w:color w:val="auto"/>
          <w:szCs w:val="24"/>
          <w:lang w:eastAsia="en-US"/>
        </w:rPr>
      </w:pPr>
    </w:p>
    <w:p w14:paraId="5CF54B36" w14:textId="77777777" w:rsidR="0081058F" w:rsidRPr="0081058F" w:rsidRDefault="0081058F" w:rsidP="00874A98">
      <w:pPr>
        <w:pStyle w:val="ListParagraph"/>
        <w:numPr>
          <w:ilvl w:val="0"/>
          <w:numId w:val="190"/>
        </w:numPr>
        <w:spacing w:after="0" w:line="240" w:lineRule="auto"/>
        <w:rPr>
          <w:rFonts w:ascii="Arial" w:hAnsi="Arial" w:cs="Arial"/>
          <w:color w:val="auto"/>
          <w:szCs w:val="24"/>
        </w:rPr>
      </w:pPr>
      <w:r w:rsidRPr="0081058F">
        <w:rPr>
          <w:rFonts w:ascii="Arial" w:hAnsi="Arial" w:cs="Arial"/>
          <w:color w:val="auto"/>
          <w:szCs w:val="24"/>
        </w:rPr>
        <w:t>The location, design and layout of the proposed development;</w:t>
      </w:r>
    </w:p>
    <w:p w14:paraId="0262F970" w14:textId="77777777" w:rsidR="0081058F" w:rsidRPr="0081058F" w:rsidRDefault="0081058F" w:rsidP="00874A98">
      <w:pPr>
        <w:pStyle w:val="ListParagraph"/>
        <w:numPr>
          <w:ilvl w:val="0"/>
          <w:numId w:val="190"/>
        </w:numPr>
        <w:spacing w:after="0" w:line="240" w:lineRule="auto"/>
        <w:rPr>
          <w:rFonts w:ascii="Arial" w:hAnsi="Arial" w:cs="Arial"/>
          <w:color w:val="auto"/>
          <w:szCs w:val="24"/>
        </w:rPr>
      </w:pPr>
      <w:r w:rsidRPr="0081058F">
        <w:rPr>
          <w:rFonts w:ascii="Arial" w:hAnsi="Arial" w:cs="Arial"/>
          <w:color w:val="auto"/>
          <w:szCs w:val="24"/>
        </w:rPr>
        <w:t>Measures to bring levels of emissions to an acceptable level;</w:t>
      </w:r>
    </w:p>
    <w:p w14:paraId="2B690DE4" w14:textId="77777777" w:rsidR="0081058F" w:rsidRPr="0081058F" w:rsidRDefault="0081058F" w:rsidP="00874A98">
      <w:pPr>
        <w:pStyle w:val="ListParagraph"/>
        <w:numPr>
          <w:ilvl w:val="0"/>
          <w:numId w:val="190"/>
        </w:numPr>
        <w:spacing w:after="0" w:line="240" w:lineRule="auto"/>
        <w:rPr>
          <w:rFonts w:ascii="Arial" w:hAnsi="Arial" w:cs="Arial"/>
          <w:color w:val="auto"/>
          <w:szCs w:val="24"/>
        </w:rPr>
      </w:pPr>
      <w:r w:rsidRPr="0081058F">
        <w:rPr>
          <w:rFonts w:ascii="Arial" w:hAnsi="Arial" w:cs="Arial"/>
          <w:color w:val="auto"/>
          <w:szCs w:val="24"/>
        </w:rPr>
        <w:t>Measures to control run-off and other diffuse pollution;</w:t>
      </w:r>
    </w:p>
    <w:p w14:paraId="2E9BF20D" w14:textId="77777777" w:rsidR="0081058F" w:rsidRPr="0081058F" w:rsidRDefault="0081058F" w:rsidP="00874A98">
      <w:pPr>
        <w:pStyle w:val="ListParagraph"/>
        <w:numPr>
          <w:ilvl w:val="0"/>
          <w:numId w:val="190"/>
        </w:numPr>
        <w:spacing w:after="0" w:line="240" w:lineRule="auto"/>
        <w:rPr>
          <w:rFonts w:ascii="Arial" w:hAnsi="Arial" w:cs="Arial"/>
          <w:color w:val="auto"/>
          <w:szCs w:val="24"/>
        </w:rPr>
      </w:pPr>
      <w:r w:rsidRPr="0081058F">
        <w:rPr>
          <w:rFonts w:ascii="Arial" w:hAnsi="Arial" w:cs="Arial"/>
          <w:color w:val="auto"/>
          <w:szCs w:val="24"/>
        </w:rPr>
        <w:t>Hours of operation; and</w:t>
      </w:r>
    </w:p>
    <w:p w14:paraId="04E02E10" w14:textId="7B92177C" w:rsidR="0081058F" w:rsidRPr="0081058F" w:rsidRDefault="0081058F" w:rsidP="00874A98">
      <w:pPr>
        <w:pStyle w:val="ListParagraph"/>
        <w:numPr>
          <w:ilvl w:val="0"/>
          <w:numId w:val="190"/>
        </w:numPr>
        <w:spacing w:after="0" w:line="240" w:lineRule="auto"/>
        <w:rPr>
          <w:rFonts w:ascii="Arial" w:hAnsi="Arial" w:cs="Arial"/>
          <w:color w:val="auto"/>
          <w:szCs w:val="24"/>
        </w:rPr>
      </w:pPr>
      <w:r w:rsidRPr="0081058F">
        <w:rPr>
          <w:rFonts w:ascii="Arial" w:hAnsi="Arial" w:cs="Arial"/>
          <w:color w:val="auto"/>
          <w:szCs w:val="24"/>
        </w:rPr>
        <w:t>Measures that reduce existing levels of pollution.</w:t>
      </w:r>
    </w:p>
    <w:p w14:paraId="2753C267" w14:textId="77777777" w:rsidR="0081058F" w:rsidRPr="0081058F" w:rsidRDefault="0081058F" w:rsidP="0081058F">
      <w:pPr>
        <w:keepNext w:val="0"/>
        <w:spacing w:before="0"/>
        <w:ind w:left="527"/>
        <w:rPr>
          <w:rFonts w:cs="Arial"/>
          <w:color w:val="auto"/>
          <w:szCs w:val="24"/>
          <w:lang w:eastAsia="en-US"/>
        </w:rPr>
      </w:pPr>
    </w:p>
    <w:p w14:paraId="50731EF9" w14:textId="6E9FF508" w:rsidR="00D41DD2" w:rsidRPr="00886087" w:rsidRDefault="0081058F" w:rsidP="00886087">
      <w:pPr>
        <w:keepNext w:val="0"/>
        <w:numPr>
          <w:ilvl w:val="1"/>
          <w:numId w:val="7"/>
        </w:numPr>
        <w:tabs>
          <w:tab w:val="clear" w:pos="525"/>
        </w:tabs>
        <w:spacing w:before="0"/>
        <w:ind w:left="709" w:hanging="709"/>
        <w:rPr>
          <w:rFonts w:cs="Arial"/>
          <w:color w:val="auto"/>
          <w:szCs w:val="24"/>
          <w:lang w:eastAsia="en-US"/>
        </w:rPr>
      </w:pPr>
      <w:r w:rsidRPr="0081058F">
        <w:rPr>
          <w:rFonts w:cs="Arial"/>
          <w:color w:val="auto"/>
          <w:szCs w:val="24"/>
          <w:lang w:eastAsia="en-US"/>
        </w:rPr>
        <w:t xml:space="preserve">Where significant pollution may be created, the applicant will be required to provide sufficient information on the potential environmental impacts to enable a determination to be made </w:t>
      </w:r>
      <w:proofErr w:type="gramStart"/>
      <w:r w:rsidRPr="0081058F">
        <w:rPr>
          <w:rFonts w:cs="Arial"/>
          <w:color w:val="auto"/>
          <w:szCs w:val="24"/>
          <w:lang w:eastAsia="en-US"/>
        </w:rPr>
        <w:t>whether or not</w:t>
      </w:r>
      <w:proofErr w:type="gramEnd"/>
      <w:r w:rsidRPr="0081058F">
        <w:rPr>
          <w:rFonts w:cs="Arial"/>
          <w:color w:val="auto"/>
          <w:szCs w:val="24"/>
          <w:lang w:eastAsia="en-US"/>
        </w:rPr>
        <w:t xml:space="preserve"> planning permission should be granted. </w:t>
      </w:r>
      <w:r w:rsidR="00886087">
        <w:rPr>
          <w:rFonts w:cs="Arial"/>
          <w:color w:val="auto"/>
          <w:szCs w:val="24"/>
          <w:lang w:eastAsia="en-US"/>
        </w:rPr>
        <w:t xml:space="preserve">  </w:t>
      </w:r>
      <w:r w:rsidRPr="00886087">
        <w:rPr>
          <w:rFonts w:cs="Arial"/>
          <w:color w:val="auto"/>
          <w:szCs w:val="24"/>
          <w:lang w:eastAsia="en-US"/>
        </w:rPr>
        <w:t xml:space="preserve">Where a desk study and site reconnaissance does not provide sufficient information to assess the risks and appraise remedial options, further investigations will need to be carried out before the application is determined.  Where appropriate, any report will need to set out the cumulative impacts. </w:t>
      </w:r>
    </w:p>
    <w:p w14:paraId="795516EC" w14:textId="77777777" w:rsidR="00D41DD2" w:rsidRDefault="00D41DD2" w:rsidP="00D41DD2">
      <w:pPr>
        <w:keepNext w:val="0"/>
        <w:spacing w:before="0"/>
        <w:ind w:left="709"/>
        <w:rPr>
          <w:rFonts w:cs="Arial"/>
          <w:color w:val="auto"/>
          <w:szCs w:val="24"/>
          <w:lang w:eastAsia="en-US"/>
        </w:rPr>
      </w:pPr>
    </w:p>
    <w:p w14:paraId="1C217FA3" w14:textId="77777777" w:rsidR="00D41DD2" w:rsidRDefault="0081058F" w:rsidP="006977E7">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 xml:space="preserve">The adverse impact or potential impact of pollution will be a key aspect in any planning decision. This includes the relationship with sensitive uses such as residential areas, schools, hospitals, or the natural environment. The position and orientation of sensitive uses should be </w:t>
      </w:r>
      <w:proofErr w:type="gramStart"/>
      <w:r w:rsidRPr="00D41DD2">
        <w:rPr>
          <w:rFonts w:cs="Arial"/>
          <w:color w:val="auto"/>
          <w:szCs w:val="24"/>
          <w:lang w:eastAsia="en-US"/>
        </w:rPr>
        <w:t>taken into account</w:t>
      </w:r>
      <w:proofErr w:type="gramEnd"/>
      <w:r w:rsidRPr="00D41DD2">
        <w:rPr>
          <w:rFonts w:cs="Arial"/>
          <w:color w:val="auto"/>
          <w:szCs w:val="24"/>
          <w:lang w:eastAsia="en-US"/>
        </w:rPr>
        <w:t xml:space="preserve"> at the earliest stages of any building design or consideration of location.</w:t>
      </w:r>
    </w:p>
    <w:p w14:paraId="4C2A4869" w14:textId="77777777" w:rsidR="00D41DD2" w:rsidRPr="00D41DD2" w:rsidRDefault="00D41DD2" w:rsidP="006977E7">
      <w:pPr>
        <w:spacing w:before="0"/>
        <w:rPr>
          <w:rFonts w:cs="Arial"/>
          <w:color w:val="auto"/>
          <w:szCs w:val="24"/>
        </w:rPr>
      </w:pPr>
    </w:p>
    <w:p w14:paraId="7E7AAF4A" w14:textId="30EC3380" w:rsidR="00D41DD2" w:rsidRDefault="0081058F" w:rsidP="006977E7">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 xml:space="preserve">Matters for consideration in taking decisions on planning applications in relation to pollution are set out in </w:t>
      </w:r>
      <w:r w:rsidRPr="001302E3">
        <w:rPr>
          <w:rFonts w:cs="Arial"/>
          <w:color w:val="auto"/>
          <w:szCs w:val="24"/>
          <w:lang w:eastAsia="en-US"/>
        </w:rPr>
        <w:t xml:space="preserve">Appendix </w:t>
      </w:r>
      <w:r w:rsidR="00497B96">
        <w:rPr>
          <w:rFonts w:cs="Arial"/>
          <w:color w:val="auto"/>
          <w:szCs w:val="24"/>
          <w:lang w:eastAsia="en-US"/>
        </w:rPr>
        <w:t>3</w:t>
      </w:r>
      <w:r w:rsidRPr="00D41DD2">
        <w:rPr>
          <w:rFonts w:cs="Arial"/>
          <w:color w:val="auto"/>
          <w:szCs w:val="24"/>
          <w:lang w:eastAsia="en-US"/>
        </w:rPr>
        <w:t xml:space="preserve">. However, decisions will also </w:t>
      </w:r>
      <w:proofErr w:type="gramStart"/>
      <w:r w:rsidRPr="00D41DD2">
        <w:rPr>
          <w:rFonts w:cs="Arial"/>
          <w:color w:val="auto"/>
          <w:szCs w:val="24"/>
          <w:lang w:eastAsia="en-US"/>
        </w:rPr>
        <w:t>take into account</w:t>
      </w:r>
      <w:proofErr w:type="gramEnd"/>
      <w:r w:rsidRPr="00D41DD2">
        <w:rPr>
          <w:rFonts w:cs="Arial"/>
          <w:color w:val="auto"/>
          <w:szCs w:val="24"/>
          <w:lang w:eastAsia="en-US"/>
        </w:rPr>
        <w:t xml:space="preserve"> the latest national, regional or local guidance in relation to pollution control and planning.</w:t>
      </w:r>
    </w:p>
    <w:p w14:paraId="43A3B314" w14:textId="77777777" w:rsidR="00D41DD2" w:rsidRDefault="00D41DD2" w:rsidP="006977E7">
      <w:pPr>
        <w:spacing w:before="0"/>
        <w:rPr>
          <w:rFonts w:cs="Arial"/>
          <w:b/>
          <w:bCs/>
          <w:color w:val="auto"/>
          <w:szCs w:val="24"/>
        </w:rPr>
      </w:pPr>
    </w:p>
    <w:p w14:paraId="0D3B815D" w14:textId="77777777" w:rsidR="005A0FAE" w:rsidRDefault="005A0FAE" w:rsidP="006977E7">
      <w:pPr>
        <w:keepNext w:val="0"/>
        <w:spacing w:before="0"/>
        <w:ind w:left="709"/>
        <w:rPr>
          <w:rFonts w:cs="Arial"/>
          <w:b/>
          <w:bCs/>
          <w:color w:val="auto"/>
          <w:szCs w:val="24"/>
        </w:rPr>
      </w:pPr>
    </w:p>
    <w:p w14:paraId="4037486E" w14:textId="13D27E14" w:rsidR="00D41DD2" w:rsidRDefault="0081058F" w:rsidP="006977E7">
      <w:pPr>
        <w:keepNext w:val="0"/>
        <w:spacing w:before="0"/>
        <w:ind w:left="709"/>
        <w:rPr>
          <w:rFonts w:cs="Arial"/>
          <w:color w:val="auto"/>
          <w:szCs w:val="24"/>
          <w:lang w:eastAsia="en-US"/>
        </w:rPr>
      </w:pPr>
      <w:r w:rsidRPr="00D41DD2">
        <w:rPr>
          <w:rFonts w:cs="Arial"/>
          <w:b/>
          <w:bCs/>
          <w:color w:val="auto"/>
          <w:szCs w:val="24"/>
        </w:rPr>
        <w:t>Noise</w:t>
      </w:r>
    </w:p>
    <w:p w14:paraId="3B706FE9" w14:textId="7187FA01" w:rsidR="0081058F" w:rsidRPr="00886087" w:rsidRDefault="0081058F" w:rsidP="00886087">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 xml:space="preserve">Noise has the potential to cause both physical and psychological health issues for humans and can have a negative impact on wildlife and livestock. </w:t>
      </w:r>
      <w:r w:rsidR="00886087">
        <w:rPr>
          <w:rFonts w:cs="Arial"/>
          <w:color w:val="auto"/>
          <w:szCs w:val="24"/>
          <w:lang w:eastAsia="en-US"/>
        </w:rPr>
        <w:t xml:space="preserve"> </w:t>
      </w:r>
      <w:r w:rsidRPr="00D41DD2">
        <w:rPr>
          <w:rFonts w:cs="Arial"/>
          <w:color w:val="auto"/>
          <w:szCs w:val="24"/>
          <w:lang w:eastAsia="en-US"/>
        </w:rPr>
        <w:t>Within this context, noise includes both ambient levels and noise impulses whether irregular or tone.</w:t>
      </w:r>
      <w:r w:rsidR="00886087">
        <w:rPr>
          <w:rFonts w:cs="Arial"/>
          <w:color w:val="auto"/>
          <w:szCs w:val="24"/>
          <w:lang w:eastAsia="en-US"/>
        </w:rPr>
        <w:t xml:space="preserve">  </w:t>
      </w:r>
      <w:r w:rsidRPr="00886087">
        <w:rPr>
          <w:rFonts w:cs="Arial"/>
          <w:color w:val="auto"/>
          <w:szCs w:val="24"/>
          <w:lang w:eastAsia="en-US"/>
        </w:rPr>
        <w:t xml:space="preserve">New development which involves noisy uses should also be located away from: </w:t>
      </w:r>
    </w:p>
    <w:p w14:paraId="63821024" w14:textId="30DC01F2" w:rsidR="0081058F" w:rsidRPr="0081058F" w:rsidRDefault="0081058F" w:rsidP="0081058F">
      <w:pPr>
        <w:spacing w:before="0"/>
        <w:rPr>
          <w:rFonts w:cs="Arial"/>
          <w:color w:val="auto"/>
          <w:szCs w:val="24"/>
        </w:rPr>
      </w:pPr>
    </w:p>
    <w:p w14:paraId="53008998" w14:textId="77777777" w:rsidR="0081058F" w:rsidRPr="0081058F" w:rsidRDefault="0081058F" w:rsidP="00874A98">
      <w:pPr>
        <w:pStyle w:val="ListParagraph"/>
        <w:numPr>
          <w:ilvl w:val="0"/>
          <w:numId w:val="191"/>
        </w:numPr>
        <w:spacing w:after="0" w:line="240" w:lineRule="auto"/>
        <w:rPr>
          <w:rFonts w:ascii="Arial" w:hAnsi="Arial" w:cs="Arial"/>
          <w:color w:val="auto"/>
          <w:szCs w:val="24"/>
        </w:rPr>
      </w:pPr>
      <w:r w:rsidRPr="0081058F">
        <w:rPr>
          <w:rFonts w:ascii="Arial" w:hAnsi="Arial" w:cs="Arial"/>
          <w:color w:val="auto"/>
          <w:szCs w:val="24"/>
        </w:rPr>
        <w:t>Noise sensitive uses such as dwellings, hospitals, residential institutions, nursing homes, hotels, guesthouses, schools and other educational establishments</w:t>
      </w:r>
    </w:p>
    <w:p w14:paraId="1EA3A579" w14:textId="24F12AB8" w:rsidR="0081058F" w:rsidRPr="0081058F" w:rsidRDefault="0081058F" w:rsidP="00874A98">
      <w:pPr>
        <w:pStyle w:val="ListParagraph"/>
        <w:numPr>
          <w:ilvl w:val="0"/>
          <w:numId w:val="191"/>
        </w:numPr>
        <w:spacing w:after="0" w:line="240" w:lineRule="auto"/>
        <w:rPr>
          <w:rFonts w:ascii="Arial" w:hAnsi="Arial" w:cs="Arial"/>
          <w:color w:val="auto"/>
          <w:szCs w:val="24"/>
        </w:rPr>
      </w:pPr>
      <w:r w:rsidRPr="0081058F">
        <w:rPr>
          <w:rFonts w:ascii="Arial" w:hAnsi="Arial" w:cs="Arial"/>
          <w:color w:val="auto"/>
          <w:szCs w:val="24"/>
        </w:rPr>
        <w:t xml:space="preserve">Noise sensitive land including areas valued for their recreational and amenity reasons. Certain areas, particularly in rural places, may have very low background noise and the Council will </w:t>
      </w:r>
      <w:proofErr w:type="gramStart"/>
      <w:r w:rsidRPr="0081058F">
        <w:rPr>
          <w:rFonts w:ascii="Arial" w:hAnsi="Arial" w:cs="Arial"/>
          <w:color w:val="auto"/>
          <w:szCs w:val="24"/>
        </w:rPr>
        <w:t>take into account</w:t>
      </w:r>
      <w:proofErr w:type="gramEnd"/>
      <w:r w:rsidRPr="0081058F">
        <w:rPr>
          <w:rFonts w:ascii="Arial" w:hAnsi="Arial" w:cs="Arial"/>
          <w:color w:val="auto"/>
          <w:szCs w:val="24"/>
        </w:rPr>
        <w:t xml:space="preserve"> that the introduction of noisy activities may be especially disruptive.  </w:t>
      </w:r>
    </w:p>
    <w:p w14:paraId="0343622E" w14:textId="77777777" w:rsidR="0081058F" w:rsidRPr="0081058F" w:rsidRDefault="0081058F" w:rsidP="0081058F">
      <w:pPr>
        <w:spacing w:before="0"/>
        <w:rPr>
          <w:rFonts w:cs="Arial"/>
          <w:color w:val="auto"/>
          <w:szCs w:val="24"/>
        </w:rPr>
      </w:pPr>
    </w:p>
    <w:p w14:paraId="3E297BAC" w14:textId="587A5491" w:rsidR="00D41DD2" w:rsidRDefault="0081058F" w:rsidP="00D41DD2">
      <w:pPr>
        <w:keepNext w:val="0"/>
        <w:numPr>
          <w:ilvl w:val="1"/>
          <w:numId w:val="7"/>
        </w:numPr>
        <w:tabs>
          <w:tab w:val="clear" w:pos="525"/>
        </w:tabs>
        <w:spacing w:before="0"/>
        <w:ind w:left="709" w:hanging="709"/>
        <w:rPr>
          <w:rFonts w:cs="Arial"/>
          <w:color w:val="auto"/>
          <w:szCs w:val="24"/>
          <w:lang w:eastAsia="en-US"/>
        </w:rPr>
      </w:pPr>
      <w:r w:rsidRPr="0081058F">
        <w:rPr>
          <w:rFonts w:cs="Arial"/>
          <w:color w:val="auto"/>
          <w:szCs w:val="24"/>
          <w:lang w:eastAsia="en-US"/>
        </w:rPr>
        <w:t xml:space="preserve">The potential impact of noise on wildlife, on conservation sites and, where relevant, the welfare of livestock will be </w:t>
      </w:r>
      <w:proofErr w:type="gramStart"/>
      <w:r w:rsidRPr="0081058F">
        <w:rPr>
          <w:rFonts w:cs="Arial"/>
          <w:color w:val="auto"/>
          <w:szCs w:val="24"/>
          <w:lang w:eastAsia="en-US"/>
        </w:rPr>
        <w:t>taken into account</w:t>
      </w:r>
      <w:proofErr w:type="gramEnd"/>
      <w:r w:rsidRPr="0081058F">
        <w:rPr>
          <w:rFonts w:cs="Arial"/>
          <w:color w:val="auto"/>
          <w:szCs w:val="24"/>
          <w:lang w:eastAsia="en-US"/>
        </w:rPr>
        <w:t xml:space="preserve"> in any planning determination.</w:t>
      </w:r>
    </w:p>
    <w:p w14:paraId="680B2BC5" w14:textId="77777777" w:rsidR="00D41DD2" w:rsidRDefault="00D41DD2" w:rsidP="00D41DD2">
      <w:pPr>
        <w:keepNext w:val="0"/>
        <w:spacing w:before="0"/>
        <w:ind w:left="709"/>
        <w:rPr>
          <w:rFonts w:cs="Arial"/>
          <w:color w:val="auto"/>
          <w:szCs w:val="24"/>
          <w:lang w:eastAsia="en-US"/>
        </w:rPr>
      </w:pPr>
    </w:p>
    <w:p w14:paraId="666BF34F" w14:textId="745A7138" w:rsidR="00D41DD2" w:rsidRDefault="00D41DD2" w:rsidP="00D41DD2">
      <w:pPr>
        <w:keepNext w:val="0"/>
        <w:numPr>
          <w:ilvl w:val="1"/>
          <w:numId w:val="7"/>
        </w:numPr>
        <w:tabs>
          <w:tab w:val="clear" w:pos="525"/>
        </w:tabs>
        <w:spacing w:before="0"/>
        <w:ind w:left="709" w:hanging="709"/>
        <w:rPr>
          <w:rFonts w:cs="Arial"/>
          <w:color w:val="auto"/>
          <w:szCs w:val="24"/>
          <w:lang w:eastAsia="en-US"/>
        </w:rPr>
      </w:pPr>
      <w:r>
        <w:rPr>
          <w:rFonts w:cs="Arial"/>
          <w:color w:val="auto"/>
          <w:szCs w:val="24"/>
          <w:lang w:eastAsia="en-US"/>
        </w:rPr>
        <w:lastRenderedPageBreak/>
        <w:t>I</w:t>
      </w:r>
      <w:r w:rsidR="0081058F" w:rsidRPr="00D41DD2">
        <w:rPr>
          <w:rFonts w:cs="Arial"/>
          <w:color w:val="auto"/>
          <w:szCs w:val="24"/>
          <w:lang w:eastAsia="en-US"/>
        </w:rPr>
        <w:t>t may be acceptable in meeting other planning objectives that noise generating activities should be allowed near to or adjoining noise sensitive uses. In these circumstances, the design and layout of the development should reduce noise impact and conditions or planning obligations will be used to safeguard local amenity</w:t>
      </w:r>
    </w:p>
    <w:p w14:paraId="511A2DC3" w14:textId="77777777" w:rsidR="00D41DD2" w:rsidRPr="00D41DD2" w:rsidRDefault="00D41DD2" w:rsidP="00D41DD2">
      <w:pPr>
        <w:keepNext w:val="0"/>
        <w:spacing w:before="0"/>
        <w:ind w:left="709"/>
        <w:rPr>
          <w:rFonts w:cs="Arial"/>
          <w:color w:val="auto"/>
          <w:szCs w:val="24"/>
          <w:lang w:eastAsia="en-US"/>
        </w:rPr>
      </w:pPr>
    </w:p>
    <w:p w14:paraId="721BB9E4" w14:textId="2D618C99" w:rsidR="00D41DD2" w:rsidRDefault="0081058F" w:rsidP="006977E7">
      <w:pPr>
        <w:keepNext w:val="0"/>
        <w:spacing w:before="0"/>
        <w:ind w:left="709"/>
        <w:rPr>
          <w:rFonts w:cs="Arial"/>
          <w:color w:val="auto"/>
          <w:szCs w:val="24"/>
          <w:lang w:eastAsia="en-US"/>
        </w:rPr>
      </w:pPr>
      <w:r w:rsidRPr="00D41DD2">
        <w:rPr>
          <w:rFonts w:cs="Arial"/>
          <w:b/>
          <w:bCs/>
          <w:color w:val="auto"/>
          <w:szCs w:val="24"/>
        </w:rPr>
        <w:t>Lighting</w:t>
      </w:r>
    </w:p>
    <w:p w14:paraId="2BEEE93A" w14:textId="341DB0FD" w:rsidR="0081058F" w:rsidRPr="00D41DD2" w:rsidRDefault="0081058F" w:rsidP="00D41DD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 xml:space="preserve">Lighting becomes a problem where it is excessive, poorly designed and located, badly installed or poorly maintained. This can result in light pollution from </w:t>
      </w:r>
      <w:proofErr w:type="gramStart"/>
      <w:r w:rsidRPr="00D41DD2">
        <w:rPr>
          <w:rFonts w:cs="Arial"/>
          <w:color w:val="auto"/>
          <w:szCs w:val="24"/>
          <w:lang w:eastAsia="en-US"/>
        </w:rPr>
        <w:t>a number of</w:t>
      </w:r>
      <w:proofErr w:type="gramEnd"/>
      <w:r w:rsidRPr="00D41DD2">
        <w:rPr>
          <w:rFonts w:cs="Arial"/>
          <w:color w:val="auto"/>
          <w:szCs w:val="24"/>
          <w:lang w:eastAsia="en-US"/>
        </w:rPr>
        <w:t xml:space="preserve"> sources including:</w:t>
      </w:r>
    </w:p>
    <w:p w14:paraId="58449B6A" w14:textId="5B0B2319" w:rsidR="0081058F" w:rsidRPr="0081058F" w:rsidRDefault="0081058F" w:rsidP="0081058F">
      <w:pPr>
        <w:keepNext w:val="0"/>
        <w:spacing w:before="0"/>
        <w:ind w:left="527"/>
        <w:rPr>
          <w:rFonts w:cs="Arial"/>
          <w:color w:val="auto"/>
          <w:szCs w:val="24"/>
          <w:lang w:eastAsia="en-US"/>
        </w:rPr>
      </w:pPr>
    </w:p>
    <w:p w14:paraId="2506CB63" w14:textId="77777777" w:rsidR="0081058F" w:rsidRPr="0081058F" w:rsidRDefault="0081058F" w:rsidP="00874A98">
      <w:pPr>
        <w:pStyle w:val="ListParagraph"/>
        <w:numPr>
          <w:ilvl w:val="0"/>
          <w:numId w:val="192"/>
        </w:numPr>
        <w:spacing w:after="0" w:line="240" w:lineRule="auto"/>
        <w:rPr>
          <w:rFonts w:ascii="Arial" w:hAnsi="Arial" w:cs="Arial"/>
          <w:color w:val="auto"/>
          <w:szCs w:val="24"/>
        </w:rPr>
      </w:pPr>
      <w:r w:rsidRPr="0081058F">
        <w:rPr>
          <w:rFonts w:ascii="Arial" w:hAnsi="Arial" w:cs="Arial"/>
          <w:color w:val="auto"/>
          <w:szCs w:val="24"/>
        </w:rPr>
        <w:t xml:space="preserve">sky glow: the orange glow seen around urban areas caused by a scattering of artificial light by dust particles and water droplets in the sky; </w:t>
      </w:r>
    </w:p>
    <w:p w14:paraId="1C2741E7" w14:textId="77777777" w:rsidR="0081058F" w:rsidRPr="0081058F" w:rsidRDefault="0081058F" w:rsidP="00874A98">
      <w:pPr>
        <w:pStyle w:val="ListParagraph"/>
        <w:numPr>
          <w:ilvl w:val="0"/>
          <w:numId w:val="192"/>
        </w:numPr>
        <w:spacing w:after="0" w:line="240" w:lineRule="auto"/>
        <w:rPr>
          <w:rFonts w:ascii="Arial" w:hAnsi="Arial" w:cs="Arial"/>
          <w:color w:val="auto"/>
          <w:szCs w:val="24"/>
        </w:rPr>
      </w:pPr>
      <w:r w:rsidRPr="0081058F">
        <w:rPr>
          <w:rFonts w:ascii="Arial" w:hAnsi="Arial" w:cs="Arial"/>
          <w:color w:val="auto"/>
          <w:szCs w:val="24"/>
        </w:rPr>
        <w:t xml:space="preserve">glare: the uncomfortable brightness of a light source when viewed against a darker background; and </w:t>
      </w:r>
    </w:p>
    <w:p w14:paraId="554E5E02" w14:textId="44E87B29" w:rsidR="0081058F" w:rsidRDefault="0081058F" w:rsidP="00874A98">
      <w:pPr>
        <w:pStyle w:val="ListParagraph"/>
        <w:numPr>
          <w:ilvl w:val="0"/>
          <w:numId w:val="192"/>
        </w:numPr>
        <w:spacing w:after="0" w:line="240" w:lineRule="auto"/>
        <w:rPr>
          <w:rFonts w:ascii="Arial" w:hAnsi="Arial" w:cs="Arial"/>
          <w:color w:val="auto"/>
          <w:szCs w:val="24"/>
        </w:rPr>
      </w:pPr>
      <w:r w:rsidRPr="0081058F">
        <w:rPr>
          <w:rFonts w:ascii="Arial" w:hAnsi="Arial" w:cs="Arial"/>
          <w:color w:val="auto"/>
          <w:szCs w:val="24"/>
        </w:rPr>
        <w:t>light trespass: light spilling beyond the boundary of the property on which a light is located.</w:t>
      </w:r>
    </w:p>
    <w:p w14:paraId="25C99EAD" w14:textId="77777777" w:rsidR="0081058F" w:rsidRPr="0081058F" w:rsidRDefault="0081058F" w:rsidP="00886087">
      <w:pPr>
        <w:spacing w:before="0"/>
        <w:ind w:left="887"/>
        <w:rPr>
          <w:rFonts w:cs="Arial"/>
          <w:color w:val="auto"/>
          <w:szCs w:val="24"/>
        </w:rPr>
      </w:pPr>
    </w:p>
    <w:p w14:paraId="7A84D7C3" w14:textId="52D6F43F" w:rsidR="00D41DD2" w:rsidRDefault="0081058F" w:rsidP="00886087">
      <w:pPr>
        <w:keepNext w:val="0"/>
        <w:numPr>
          <w:ilvl w:val="1"/>
          <w:numId w:val="7"/>
        </w:numPr>
        <w:tabs>
          <w:tab w:val="clear" w:pos="525"/>
        </w:tabs>
        <w:spacing w:before="0"/>
        <w:ind w:left="709" w:hanging="709"/>
        <w:rPr>
          <w:rFonts w:cs="Arial"/>
          <w:color w:val="auto"/>
          <w:szCs w:val="24"/>
          <w:lang w:eastAsia="en-US"/>
        </w:rPr>
      </w:pPr>
      <w:r w:rsidRPr="0081058F">
        <w:rPr>
          <w:rFonts w:cs="Arial"/>
          <w:color w:val="auto"/>
          <w:szCs w:val="24"/>
          <w:lang w:eastAsia="en-US"/>
        </w:rPr>
        <w:t xml:space="preserve">Wherever possible, the use of artificial lighting should be avoided as it has </w:t>
      </w:r>
      <w:proofErr w:type="gramStart"/>
      <w:r w:rsidRPr="0081058F">
        <w:rPr>
          <w:rFonts w:cs="Arial"/>
          <w:color w:val="auto"/>
          <w:szCs w:val="24"/>
          <w:lang w:eastAsia="en-US"/>
        </w:rPr>
        <w:t>a number of</w:t>
      </w:r>
      <w:proofErr w:type="gramEnd"/>
      <w:r w:rsidRPr="0081058F">
        <w:rPr>
          <w:rFonts w:cs="Arial"/>
          <w:color w:val="auto"/>
          <w:szCs w:val="24"/>
          <w:lang w:eastAsia="en-US"/>
        </w:rPr>
        <w:t xml:space="preserve"> negative impacts including increased energy use, detrimental impacts on local amenity and nature conservation and it can affect people’s health through disrupting sleep. Nevertheless, it is recognised that in specific circumstances lighting can result in benefits </w:t>
      </w:r>
      <w:r w:rsidR="00EA7D34" w:rsidRPr="0081058F">
        <w:rPr>
          <w:rFonts w:cs="Arial"/>
          <w:color w:val="auto"/>
          <w:szCs w:val="24"/>
          <w:lang w:eastAsia="en-US"/>
        </w:rPr>
        <w:t>including</w:t>
      </w:r>
      <w:r w:rsidRPr="0081058F">
        <w:rPr>
          <w:rFonts w:cs="Arial"/>
          <w:color w:val="auto"/>
          <w:szCs w:val="24"/>
          <w:lang w:eastAsia="en-US"/>
        </w:rPr>
        <w:t xml:space="preserve"> safety of movement, security, extension of working hours, and for facilitating leisure activities.  </w:t>
      </w:r>
    </w:p>
    <w:p w14:paraId="694DD97C" w14:textId="77777777" w:rsidR="00D41DD2" w:rsidRDefault="00D41DD2" w:rsidP="00D41DD2">
      <w:pPr>
        <w:keepNext w:val="0"/>
        <w:spacing w:before="0"/>
        <w:ind w:left="709"/>
        <w:rPr>
          <w:rFonts w:cs="Arial"/>
          <w:color w:val="auto"/>
          <w:szCs w:val="24"/>
          <w:lang w:eastAsia="en-US"/>
        </w:rPr>
      </w:pPr>
    </w:p>
    <w:p w14:paraId="47F2804C" w14:textId="6129427F" w:rsidR="00D41DD2" w:rsidRDefault="0081058F" w:rsidP="00D41DD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Where lighting is necessary, the Council will expect that, as far as reasonably possible, the design and future maintenance of any light system related to the proposed development will minimise light pollution.</w:t>
      </w:r>
    </w:p>
    <w:p w14:paraId="1C771354" w14:textId="77777777" w:rsidR="005A0FAE" w:rsidRDefault="005A0FAE" w:rsidP="00D41DD2">
      <w:pPr>
        <w:keepNext w:val="0"/>
        <w:spacing w:before="0"/>
        <w:ind w:left="709"/>
        <w:rPr>
          <w:rFonts w:cs="Arial"/>
          <w:b/>
          <w:bCs/>
          <w:color w:val="auto"/>
          <w:szCs w:val="24"/>
        </w:rPr>
      </w:pPr>
    </w:p>
    <w:p w14:paraId="140D6F88" w14:textId="768D0EA0" w:rsidR="00D41DD2" w:rsidRPr="00D41DD2" w:rsidRDefault="0081058F" w:rsidP="00D41DD2">
      <w:pPr>
        <w:keepNext w:val="0"/>
        <w:spacing w:before="0"/>
        <w:ind w:left="709"/>
        <w:rPr>
          <w:rFonts w:cs="Arial"/>
          <w:color w:val="auto"/>
          <w:szCs w:val="24"/>
          <w:lang w:eastAsia="en-US"/>
        </w:rPr>
      </w:pPr>
      <w:r w:rsidRPr="00D41DD2">
        <w:rPr>
          <w:rFonts w:cs="Arial"/>
          <w:b/>
          <w:bCs/>
          <w:color w:val="auto"/>
          <w:szCs w:val="24"/>
        </w:rPr>
        <w:t>Air Quality</w:t>
      </w:r>
    </w:p>
    <w:p w14:paraId="443B6FD1" w14:textId="3BA3997F" w:rsidR="00D04E13" w:rsidRPr="00DB05C3" w:rsidRDefault="0081058F" w:rsidP="00A44712">
      <w:pPr>
        <w:keepNext w:val="0"/>
        <w:numPr>
          <w:ilvl w:val="1"/>
          <w:numId w:val="7"/>
        </w:numPr>
        <w:tabs>
          <w:tab w:val="clear" w:pos="525"/>
        </w:tabs>
        <w:spacing w:before="0"/>
        <w:ind w:left="709" w:hanging="709"/>
        <w:rPr>
          <w:rFonts w:cs="Arial"/>
          <w:color w:val="auto"/>
          <w:szCs w:val="24"/>
          <w:lang w:eastAsia="en-US"/>
        </w:rPr>
      </w:pPr>
      <w:bookmarkStart w:id="321" w:name="_Hlk118871675"/>
      <w:r w:rsidRPr="00DB05C3">
        <w:rPr>
          <w:rFonts w:cs="Arial"/>
          <w:color w:val="auto"/>
          <w:szCs w:val="24"/>
          <w:lang w:eastAsia="en-US"/>
        </w:rPr>
        <w:t>Local Authorities are required to carry out periodic reviews of air quality in their areas, and to assess present and likely future quality against statutory air quality standards.</w:t>
      </w:r>
      <w:r w:rsidR="0052626B" w:rsidRPr="00DB05C3">
        <w:rPr>
          <w:rFonts w:cs="Arial"/>
          <w:color w:val="auto"/>
          <w:szCs w:val="24"/>
          <w:lang w:eastAsia="en-US"/>
        </w:rPr>
        <w:t xml:space="preserve">  </w:t>
      </w:r>
      <w:r w:rsidR="00D04E13" w:rsidRPr="00DB05C3">
        <w:rPr>
          <w:rFonts w:cs="Arial"/>
          <w:color w:val="auto"/>
          <w:szCs w:val="24"/>
          <w:lang w:eastAsia="en-US"/>
        </w:rPr>
        <w:t xml:space="preserve">It is a key environmental factor that has an impact on </w:t>
      </w:r>
      <w:proofErr w:type="gramStart"/>
      <w:r w:rsidR="00D04E13" w:rsidRPr="00DB05C3">
        <w:rPr>
          <w:rFonts w:cs="Arial"/>
          <w:color w:val="auto"/>
          <w:szCs w:val="24"/>
          <w:lang w:eastAsia="en-US"/>
        </w:rPr>
        <w:t>health</w:t>
      </w:r>
      <w:proofErr w:type="gramEnd"/>
      <w:r w:rsidR="00D04E13" w:rsidRPr="00DB05C3">
        <w:rPr>
          <w:rFonts w:cs="Arial"/>
          <w:color w:val="auto"/>
          <w:szCs w:val="24"/>
          <w:lang w:eastAsia="en-US"/>
        </w:rPr>
        <w:t xml:space="preserve"> and the Council will have regard to the Nottinghamshire Air Quality Strategy 2020 -2030 and the East Midlands Air Quality and Emissions Mitigation Guidance for Developers (July 2018).</w:t>
      </w:r>
    </w:p>
    <w:bookmarkEnd w:id="321"/>
    <w:p w14:paraId="27608CBB" w14:textId="77777777" w:rsidR="00D04E13" w:rsidRPr="00DB05C3" w:rsidRDefault="00D04E13" w:rsidP="00D04E13">
      <w:pPr>
        <w:keepNext w:val="0"/>
        <w:spacing w:before="0"/>
        <w:ind w:left="709"/>
        <w:rPr>
          <w:rFonts w:cs="Arial"/>
          <w:color w:val="auto"/>
          <w:szCs w:val="24"/>
          <w:lang w:eastAsia="en-US"/>
        </w:rPr>
      </w:pPr>
    </w:p>
    <w:p w14:paraId="21AE7785" w14:textId="673E7FD6" w:rsidR="00D41DD2" w:rsidRDefault="0081058F" w:rsidP="00D41DD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 xml:space="preserve">Air quality assessments may be required as part of an Environmental Impact Assessment, for a major development, or as a stand-alone air quality report submitted in support of a specific planning application. Whether an air quality assessment is requirement will depend on </w:t>
      </w:r>
      <w:proofErr w:type="gramStart"/>
      <w:r w:rsidRPr="00D41DD2">
        <w:rPr>
          <w:rFonts w:cs="Arial"/>
          <w:color w:val="auto"/>
          <w:szCs w:val="24"/>
          <w:lang w:eastAsia="en-US"/>
        </w:rPr>
        <w:t>a number of</w:t>
      </w:r>
      <w:proofErr w:type="gramEnd"/>
      <w:r w:rsidRPr="00D41DD2">
        <w:rPr>
          <w:rFonts w:cs="Arial"/>
          <w:color w:val="auto"/>
          <w:szCs w:val="24"/>
          <w:lang w:eastAsia="en-US"/>
        </w:rPr>
        <w:t xml:space="preserve"> issues including:</w:t>
      </w:r>
    </w:p>
    <w:p w14:paraId="5B907211" w14:textId="4F74D077" w:rsidR="00D41DD2" w:rsidRDefault="00D41DD2" w:rsidP="00D41DD2">
      <w:pPr>
        <w:keepNext w:val="0"/>
        <w:spacing w:before="0"/>
        <w:ind w:left="709"/>
        <w:rPr>
          <w:rFonts w:cs="Arial"/>
          <w:color w:val="auto"/>
          <w:szCs w:val="24"/>
          <w:lang w:eastAsia="en-US"/>
        </w:rPr>
      </w:pPr>
    </w:p>
    <w:p w14:paraId="4E610A25" w14:textId="77777777" w:rsidR="00D41DD2" w:rsidRPr="00D41DD2" w:rsidRDefault="00D41DD2" w:rsidP="00874A98">
      <w:pPr>
        <w:pStyle w:val="ListParagraph"/>
        <w:numPr>
          <w:ilvl w:val="0"/>
          <w:numId w:val="301"/>
        </w:numPr>
        <w:spacing w:after="0" w:line="240" w:lineRule="auto"/>
        <w:ind w:left="1077" w:hanging="357"/>
        <w:rPr>
          <w:rFonts w:ascii="Arial" w:hAnsi="Arial" w:cs="Arial"/>
          <w:color w:val="auto"/>
          <w:szCs w:val="24"/>
        </w:rPr>
      </w:pPr>
      <w:r w:rsidRPr="00D41DD2">
        <w:rPr>
          <w:rFonts w:ascii="Arial" w:hAnsi="Arial" w:cs="Arial"/>
          <w:color w:val="auto"/>
          <w:szCs w:val="24"/>
        </w:rPr>
        <w:t>traffic generated, including the potential impact on peak flow;</w:t>
      </w:r>
    </w:p>
    <w:p w14:paraId="7BCF198F" w14:textId="77777777" w:rsidR="00D41DD2" w:rsidRPr="00D41DD2" w:rsidRDefault="00D41DD2" w:rsidP="00874A98">
      <w:pPr>
        <w:pStyle w:val="ListParagraph"/>
        <w:numPr>
          <w:ilvl w:val="0"/>
          <w:numId w:val="301"/>
        </w:numPr>
        <w:spacing w:after="0" w:line="240" w:lineRule="auto"/>
        <w:ind w:left="1077" w:hanging="357"/>
        <w:rPr>
          <w:rFonts w:ascii="Arial" w:hAnsi="Arial" w:cs="Arial"/>
          <w:color w:val="auto"/>
          <w:szCs w:val="24"/>
        </w:rPr>
      </w:pPr>
      <w:r w:rsidRPr="00D41DD2">
        <w:rPr>
          <w:rFonts w:ascii="Arial" w:hAnsi="Arial" w:cs="Arial"/>
          <w:color w:val="auto"/>
          <w:szCs w:val="24"/>
        </w:rPr>
        <w:t>whether it will have a significant impact on the traffic composition on local roads;</w:t>
      </w:r>
    </w:p>
    <w:p w14:paraId="53148746" w14:textId="77777777" w:rsidR="00D41DD2" w:rsidRPr="0052626B" w:rsidRDefault="00D41DD2" w:rsidP="00874A98">
      <w:pPr>
        <w:pStyle w:val="ListParagraph"/>
        <w:numPr>
          <w:ilvl w:val="0"/>
          <w:numId w:val="193"/>
        </w:numPr>
        <w:spacing w:after="0" w:line="240" w:lineRule="auto"/>
        <w:rPr>
          <w:rFonts w:ascii="Arial" w:hAnsi="Arial" w:cs="Arial"/>
          <w:color w:val="auto"/>
          <w:szCs w:val="24"/>
        </w:rPr>
      </w:pPr>
      <w:r w:rsidRPr="0052626B">
        <w:rPr>
          <w:rFonts w:ascii="Arial" w:hAnsi="Arial" w:cs="Arial"/>
          <w:color w:val="auto"/>
          <w:szCs w:val="24"/>
        </w:rPr>
        <w:t>location of the proposed development, particularly where new development is proposed close to existing sources of air pollutants, including road traffic, industrial operations and agricultural operations;</w:t>
      </w:r>
    </w:p>
    <w:p w14:paraId="559659E0" w14:textId="77777777" w:rsidR="00D41DD2" w:rsidRPr="0052626B" w:rsidRDefault="00D41DD2" w:rsidP="00874A98">
      <w:pPr>
        <w:pStyle w:val="ListParagraph"/>
        <w:numPr>
          <w:ilvl w:val="0"/>
          <w:numId w:val="193"/>
        </w:numPr>
        <w:spacing w:after="0" w:line="240" w:lineRule="auto"/>
        <w:rPr>
          <w:rFonts w:ascii="Arial" w:hAnsi="Arial" w:cs="Arial"/>
          <w:color w:val="auto"/>
          <w:szCs w:val="24"/>
        </w:rPr>
      </w:pPr>
      <w:r w:rsidRPr="0052626B">
        <w:rPr>
          <w:rFonts w:ascii="Arial" w:hAnsi="Arial" w:cs="Arial"/>
          <w:color w:val="auto"/>
          <w:szCs w:val="24"/>
        </w:rPr>
        <w:lastRenderedPageBreak/>
        <w:t xml:space="preserve">whether the proposal includes significant new car parking, </w:t>
      </w:r>
      <w:proofErr w:type="gramStart"/>
      <w:r w:rsidRPr="0052626B">
        <w:rPr>
          <w:rFonts w:ascii="Arial" w:hAnsi="Arial" w:cs="Arial"/>
          <w:color w:val="auto"/>
          <w:szCs w:val="24"/>
        </w:rPr>
        <w:t>taking into account</w:t>
      </w:r>
      <w:proofErr w:type="gramEnd"/>
      <w:r w:rsidRPr="0052626B">
        <w:rPr>
          <w:rFonts w:ascii="Arial" w:hAnsi="Arial" w:cs="Arial"/>
          <w:color w:val="auto"/>
          <w:szCs w:val="24"/>
        </w:rPr>
        <w:t xml:space="preserve"> car park turnover;</w:t>
      </w:r>
    </w:p>
    <w:p w14:paraId="0402D13A" w14:textId="77777777" w:rsidR="00D41DD2" w:rsidRPr="0052626B" w:rsidRDefault="00D41DD2" w:rsidP="00874A98">
      <w:pPr>
        <w:pStyle w:val="ListParagraph"/>
        <w:numPr>
          <w:ilvl w:val="0"/>
          <w:numId w:val="193"/>
        </w:numPr>
        <w:spacing w:after="0" w:line="240" w:lineRule="auto"/>
        <w:rPr>
          <w:rFonts w:ascii="Arial" w:hAnsi="Arial" w:cs="Arial"/>
          <w:color w:val="auto"/>
          <w:szCs w:val="24"/>
        </w:rPr>
      </w:pPr>
      <w:r w:rsidRPr="0052626B">
        <w:rPr>
          <w:rFonts w:ascii="Arial" w:hAnsi="Arial" w:cs="Arial"/>
          <w:color w:val="auto"/>
          <w:szCs w:val="24"/>
        </w:rPr>
        <w:t>whether the proposed development may significantly affect Nitrogen deposition to sensitive habitats;</w:t>
      </w:r>
    </w:p>
    <w:p w14:paraId="7B21524B" w14:textId="77777777" w:rsidR="00D41DD2" w:rsidRPr="0052626B" w:rsidRDefault="00D41DD2" w:rsidP="00874A98">
      <w:pPr>
        <w:pStyle w:val="ListParagraph"/>
        <w:numPr>
          <w:ilvl w:val="0"/>
          <w:numId w:val="193"/>
        </w:numPr>
        <w:spacing w:after="0" w:line="240" w:lineRule="auto"/>
        <w:rPr>
          <w:rFonts w:ascii="Arial" w:hAnsi="Arial" w:cs="Arial"/>
          <w:color w:val="auto"/>
          <w:szCs w:val="24"/>
        </w:rPr>
      </w:pPr>
      <w:r w:rsidRPr="0052626B">
        <w:rPr>
          <w:rFonts w:ascii="Arial" w:hAnsi="Arial" w:cs="Arial"/>
          <w:color w:val="auto"/>
          <w:szCs w:val="24"/>
        </w:rPr>
        <w:t>proposals that include biomass boilers or fuels; and</w:t>
      </w:r>
    </w:p>
    <w:p w14:paraId="485EF83D" w14:textId="77777777" w:rsidR="00D41DD2" w:rsidRPr="0052626B" w:rsidRDefault="00D41DD2" w:rsidP="00874A98">
      <w:pPr>
        <w:pStyle w:val="ListParagraph"/>
        <w:numPr>
          <w:ilvl w:val="0"/>
          <w:numId w:val="193"/>
        </w:numPr>
        <w:spacing w:after="0" w:line="240" w:lineRule="auto"/>
        <w:rPr>
          <w:rFonts w:ascii="Arial" w:hAnsi="Arial" w:cs="Arial"/>
          <w:color w:val="auto"/>
          <w:szCs w:val="24"/>
        </w:rPr>
      </w:pPr>
      <w:r w:rsidRPr="0052626B">
        <w:rPr>
          <w:rFonts w:ascii="Arial" w:hAnsi="Arial" w:cs="Arial"/>
          <w:color w:val="auto"/>
          <w:szCs w:val="24"/>
        </w:rPr>
        <w:t>the time and scale of the demolition and/or construction phases of a development, particularly near sensitive locations, such as residential areas, or commercial operations that may be sensitive to dust.</w:t>
      </w:r>
    </w:p>
    <w:p w14:paraId="7E6612B3" w14:textId="6E472BE8" w:rsidR="00D41DD2" w:rsidRDefault="00D41DD2" w:rsidP="00D41DD2">
      <w:pPr>
        <w:keepNext w:val="0"/>
        <w:spacing w:before="0"/>
        <w:ind w:left="527"/>
        <w:rPr>
          <w:rFonts w:cs="Arial"/>
          <w:color w:val="auto"/>
          <w:szCs w:val="24"/>
          <w:lang w:eastAsia="en-US"/>
        </w:rPr>
      </w:pPr>
    </w:p>
    <w:p w14:paraId="2CE8555D" w14:textId="77777777" w:rsidR="00D41DD2" w:rsidRDefault="00D41DD2" w:rsidP="006977E7">
      <w:pPr>
        <w:keepNext w:val="0"/>
        <w:spacing w:before="0"/>
        <w:ind w:left="709"/>
        <w:rPr>
          <w:rFonts w:cs="Arial"/>
          <w:b/>
          <w:bCs/>
          <w:color w:val="auto"/>
          <w:szCs w:val="24"/>
          <w:lang w:eastAsia="en-US"/>
        </w:rPr>
      </w:pPr>
      <w:r w:rsidRPr="00340B1E">
        <w:rPr>
          <w:rFonts w:cs="Arial"/>
          <w:b/>
          <w:bCs/>
          <w:color w:val="auto"/>
          <w:szCs w:val="24"/>
          <w:lang w:eastAsia="en-US"/>
        </w:rPr>
        <w:t>Soils</w:t>
      </w:r>
    </w:p>
    <w:p w14:paraId="1F4AD02A" w14:textId="5B27F906" w:rsidR="00D41DD2" w:rsidRDefault="0081058F" w:rsidP="00D41DD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Soil is essential finite</w:t>
      </w:r>
      <w:r w:rsidR="00EA7D34">
        <w:rPr>
          <w:rFonts w:cs="Arial"/>
          <w:color w:val="auto"/>
          <w:szCs w:val="24"/>
          <w:lang w:eastAsia="en-US"/>
        </w:rPr>
        <w:t xml:space="preserve">, with a </w:t>
      </w:r>
      <w:proofErr w:type="gramStart"/>
      <w:r w:rsidR="00EA7D34" w:rsidRPr="00D41DD2">
        <w:rPr>
          <w:rFonts w:cs="Arial"/>
          <w:color w:val="auto"/>
          <w:szCs w:val="24"/>
          <w:lang w:eastAsia="en-US"/>
        </w:rPr>
        <w:t>wide-ranging</w:t>
      </w:r>
      <w:r w:rsidRPr="00D41DD2">
        <w:rPr>
          <w:rFonts w:cs="Arial"/>
          <w:color w:val="auto"/>
          <w:szCs w:val="24"/>
          <w:lang w:eastAsia="en-US"/>
        </w:rPr>
        <w:t xml:space="preserve"> functions</w:t>
      </w:r>
      <w:proofErr w:type="gramEnd"/>
      <w:r w:rsidRPr="00D41DD2">
        <w:rPr>
          <w:rFonts w:cs="Arial"/>
          <w:color w:val="auto"/>
          <w:szCs w:val="24"/>
          <w:lang w:eastAsia="en-US"/>
        </w:rPr>
        <w:t xml:space="preserve"> and it is important that soils are managed sustainably, in order that they can retain the capacity to carry out these vital functions.  We rely on soil in relation to food production, water management and support for valuable biodiversity and ecosystems. As a large store of </w:t>
      </w:r>
      <w:r w:rsidR="00EA7D34" w:rsidRPr="00D41DD2">
        <w:rPr>
          <w:rFonts w:cs="Arial"/>
          <w:color w:val="auto"/>
          <w:szCs w:val="24"/>
          <w:lang w:eastAsia="en-US"/>
        </w:rPr>
        <w:t>carbon,</w:t>
      </w:r>
      <w:r w:rsidRPr="00D41DD2">
        <w:rPr>
          <w:rFonts w:cs="Arial"/>
          <w:color w:val="auto"/>
          <w:szCs w:val="24"/>
          <w:lang w:eastAsia="en-US"/>
        </w:rPr>
        <w:t xml:space="preserve"> it also plays a vital role in the fight against climate </w:t>
      </w:r>
      <w:r w:rsidR="00EA7D34" w:rsidRPr="00D41DD2">
        <w:rPr>
          <w:rFonts w:cs="Arial"/>
          <w:color w:val="auto"/>
          <w:szCs w:val="24"/>
          <w:lang w:eastAsia="en-US"/>
        </w:rPr>
        <w:t>change.</w:t>
      </w:r>
      <w:r w:rsidRPr="00D41DD2">
        <w:rPr>
          <w:rFonts w:cs="Arial"/>
          <w:color w:val="auto"/>
          <w:szCs w:val="24"/>
          <w:lang w:eastAsia="en-US"/>
        </w:rPr>
        <w:t xml:space="preserve">  Protecting soils must therefore be an important priority and this relates to soils within the urban area, where the negative impacts of development on soil resources need to be minimised.</w:t>
      </w:r>
    </w:p>
    <w:p w14:paraId="42B41594" w14:textId="77777777" w:rsidR="00D41DD2" w:rsidRDefault="00D41DD2" w:rsidP="00D41DD2">
      <w:pPr>
        <w:keepNext w:val="0"/>
        <w:spacing w:before="0"/>
        <w:ind w:left="709"/>
        <w:rPr>
          <w:rFonts w:cs="Arial"/>
          <w:color w:val="auto"/>
          <w:szCs w:val="24"/>
          <w:lang w:eastAsia="en-US"/>
        </w:rPr>
      </w:pPr>
    </w:p>
    <w:p w14:paraId="0F6A7F70" w14:textId="305B0E62" w:rsidR="002F7BD2" w:rsidRPr="00D41DD2" w:rsidRDefault="0081058F" w:rsidP="00D41DD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DEFRA has published a Code of Practice on the sustainable use of soils on construction sites. This provides guidance to protect the soil resources. Although the Code itself is not legislatively binding, by following it DEFRA identifies that:</w:t>
      </w:r>
    </w:p>
    <w:p w14:paraId="4DF0A513" w14:textId="77777777" w:rsidR="002F7BD2" w:rsidRPr="002F7BD2" w:rsidRDefault="002F7BD2" w:rsidP="002F7BD2">
      <w:pPr>
        <w:keepNext w:val="0"/>
        <w:spacing w:before="0"/>
        <w:rPr>
          <w:rFonts w:cs="Arial"/>
          <w:color w:val="auto"/>
          <w:szCs w:val="24"/>
        </w:rPr>
      </w:pPr>
    </w:p>
    <w:p w14:paraId="58CF0D4F" w14:textId="77777777" w:rsidR="002F7BD2" w:rsidRPr="002F7BD2" w:rsidRDefault="002F7BD2" w:rsidP="00874A98">
      <w:pPr>
        <w:pStyle w:val="ListParagraph"/>
        <w:numPr>
          <w:ilvl w:val="0"/>
          <w:numId w:val="210"/>
        </w:numPr>
        <w:spacing w:after="0" w:line="240" w:lineRule="auto"/>
        <w:ind w:left="1069"/>
        <w:rPr>
          <w:rFonts w:ascii="Arial" w:hAnsi="Arial" w:cs="Arial"/>
          <w:color w:val="auto"/>
          <w:szCs w:val="24"/>
        </w:rPr>
      </w:pPr>
      <w:r w:rsidRPr="002F7BD2">
        <w:rPr>
          <w:rFonts w:ascii="Arial" w:hAnsi="Arial" w:cs="Arial"/>
          <w:color w:val="auto"/>
          <w:szCs w:val="24"/>
        </w:rPr>
        <w:t>you will help protect and enhance the soil resources on site and achieve wider benefits for the environment;</w:t>
      </w:r>
    </w:p>
    <w:p w14:paraId="499AF6C1" w14:textId="77777777" w:rsidR="002F7BD2" w:rsidRPr="002F7BD2" w:rsidRDefault="002F7BD2" w:rsidP="00874A98">
      <w:pPr>
        <w:pStyle w:val="ListParagraph"/>
        <w:numPr>
          <w:ilvl w:val="0"/>
          <w:numId w:val="210"/>
        </w:numPr>
        <w:spacing w:after="0" w:line="240" w:lineRule="auto"/>
        <w:ind w:left="1069"/>
        <w:rPr>
          <w:rFonts w:ascii="Arial" w:hAnsi="Arial" w:cs="Arial"/>
          <w:color w:val="auto"/>
          <w:szCs w:val="24"/>
        </w:rPr>
      </w:pPr>
      <w:r w:rsidRPr="002F7BD2">
        <w:rPr>
          <w:rFonts w:ascii="Arial" w:hAnsi="Arial" w:cs="Arial"/>
          <w:color w:val="auto"/>
          <w:szCs w:val="24"/>
        </w:rPr>
        <w:t>you may achieve cost savings for your business;</w:t>
      </w:r>
    </w:p>
    <w:p w14:paraId="602A817F" w14:textId="131E1573" w:rsidR="002F7BD2" w:rsidRPr="002F7BD2" w:rsidRDefault="002F7BD2" w:rsidP="00874A98">
      <w:pPr>
        <w:pStyle w:val="ListParagraph"/>
        <w:numPr>
          <w:ilvl w:val="0"/>
          <w:numId w:val="210"/>
        </w:numPr>
        <w:spacing w:after="0" w:line="240" w:lineRule="auto"/>
        <w:ind w:left="1069"/>
        <w:rPr>
          <w:rFonts w:ascii="Arial" w:hAnsi="Arial" w:cs="Arial"/>
          <w:color w:val="auto"/>
          <w:szCs w:val="24"/>
        </w:rPr>
      </w:pPr>
      <w:r w:rsidRPr="002F7BD2">
        <w:rPr>
          <w:rFonts w:ascii="Arial" w:hAnsi="Arial" w:cs="Arial"/>
          <w:color w:val="auto"/>
          <w:szCs w:val="24"/>
        </w:rPr>
        <w:t xml:space="preserve">it may help you to achieve your business sustainability targets; </w:t>
      </w:r>
      <w:r w:rsidR="00EA7D34" w:rsidRPr="002F7BD2">
        <w:rPr>
          <w:rFonts w:ascii="Arial" w:hAnsi="Arial" w:cs="Arial"/>
          <w:color w:val="auto"/>
          <w:szCs w:val="24"/>
        </w:rPr>
        <w:t>and it</w:t>
      </w:r>
      <w:r w:rsidRPr="002F7BD2">
        <w:rPr>
          <w:rFonts w:ascii="Arial" w:hAnsi="Arial" w:cs="Arial"/>
          <w:color w:val="auto"/>
          <w:szCs w:val="24"/>
        </w:rPr>
        <w:t xml:space="preserve"> may help you to meet legal obligations regarding waste controls.</w:t>
      </w:r>
    </w:p>
    <w:p w14:paraId="1C966FA2" w14:textId="77777777" w:rsidR="002F7BD2" w:rsidRPr="002F7BD2" w:rsidRDefault="002F7BD2" w:rsidP="00D41DD2">
      <w:pPr>
        <w:pStyle w:val="ListParagraph"/>
        <w:spacing w:after="0" w:line="240" w:lineRule="auto"/>
        <w:ind w:left="902"/>
        <w:rPr>
          <w:rFonts w:ascii="Arial" w:hAnsi="Arial" w:cs="Arial"/>
          <w:color w:val="auto"/>
          <w:szCs w:val="24"/>
        </w:rPr>
      </w:pPr>
    </w:p>
    <w:p w14:paraId="574A7705" w14:textId="3043A404" w:rsidR="00221F22" w:rsidRDefault="002F7BD2" w:rsidP="001302E3">
      <w:pPr>
        <w:pStyle w:val="ListParagraph"/>
        <w:spacing w:after="0" w:line="240" w:lineRule="auto"/>
        <w:ind w:left="902"/>
        <w:rPr>
          <w:rFonts w:ascii="Arial" w:hAnsi="Arial" w:cs="Arial"/>
          <w:color w:val="auto"/>
          <w:szCs w:val="24"/>
        </w:rPr>
      </w:pPr>
      <w:r w:rsidRPr="002F7BD2">
        <w:rPr>
          <w:rFonts w:ascii="Arial" w:hAnsi="Arial" w:cs="Arial"/>
          <w:color w:val="auto"/>
          <w:szCs w:val="24"/>
        </w:rPr>
        <w:t>The Highways Agency and the Construction Industry Research and Information Association have produced a best practice guide on habitat translocation external site which also includes useful information on soil handling.</w:t>
      </w:r>
    </w:p>
    <w:p w14:paraId="59E88B58" w14:textId="77777777" w:rsidR="001302E3" w:rsidRPr="001302E3" w:rsidRDefault="001302E3" w:rsidP="001302E3">
      <w:pPr>
        <w:pStyle w:val="ListParagraph"/>
        <w:spacing w:after="0" w:line="240" w:lineRule="auto"/>
        <w:ind w:left="902"/>
        <w:rPr>
          <w:rFonts w:ascii="Arial" w:hAnsi="Arial" w:cs="Arial"/>
          <w:color w:val="auto"/>
          <w:szCs w:val="24"/>
        </w:rPr>
      </w:pPr>
    </w:p>
    <w:p w14:paraId="369FC5E3" w14:textId="77777777" w:rsidR="00DB05C3" w:rsidRPr="006E3315" w:rsidRDefault="00DB05C3" w:rsidP="006E3315">
      <w:bookmarkStart w:id="322" w:name="_Toc145511619"/>
    </w:p>
    <w:p w14:paraId="3665389F" w14:textId="19719CF9" w:rsidR="002F7BD2" w:rsidRPr="00825421" w:rsidRDefault="002F7BD2" w:rsidP="00825421">
      <w:pPr>
        <w:pStyle w:val="Heading2"/>
        <w:jc w:val="left"/>
        <w:rPr>
          <w:sz w:val="28"/>
          <w:szCs w:val="28"/>
        </w:rPr>
      </w:pPr>
      <w:r w:rsidRPr="00825421">
        <w:rPr>
          <w:sz w:val="28"/>
          <w:szCs w:val="28"/>
        </w:rPr>
        <w:t>Policy SD</w:t>
      </w:r>
      <w:r w:rsidR="0064018F" w:rsidRPr="00825421">
        <w:rPr>
          <w:sz w:val="28"/>
          <w:szCs w:val="28"/>
        </w:rPr>
        <w:t>10</w:t>
      </w:r>
      <w:r w:rsidRPr="00825421">
        <w:rPr>
          <w:sz w:val="28"/>
          <w:szCs w:val="28"/>
        </w:rPr>
        <w:t>: Transport Infrastructure</w:t>
      </w:r>
      <w:bookmarkEnd w:id="322"/>
    </w:p>
    <w:p w14:paraId="5DBCE0AB" w14:textId="3203E1E7" w:rsidR="0059798D" w:rsidRDefault="0059798D" w:rsidP="0059798D">
      <w:pPr>
        <w:keepNext w:val="0"/>
        <w:spacing w:before="0"/>
        <w:ind w:left="527"/>
        <w:rPr>
          <w:rFonts w:cs="Arial"/>
          <w:color w:val="auto"/>
          <w:szCs w:val="24"/>
        </w:rPr>
      </w:pPr>
    </w:p>
    <w:tbl>
      <w:tblPr>
        <w:tblStyle w:val="TableGrid3"/>
        <w:tblW w:w="9634" w:type="dxa"/>
        <w:tblLook w:val="04A0" w:firstRow="1" w:lastRow="0" w:firstColumn="1" w:lastColumn="0" w:noHBand="0" w:noVBand="1"/>
      </w:tblPr>
      <w:tblGrid>
        <w:gridCol w:w="2263"/>
        <w:gridCol w:w="7371"/>
      </w:tblGrid>
      <w:tr w:rsidR="0059798D" w:rsidRPr="0059798D" w14:paraId="5BAA438E" w14:textId="77777777" w:rsidTr="00DD4136">
        <w:trPr>
          <w:trHeight w:val="421"/>
        </w:trPr>
        <w:tc>
          <w:tcPr>
            <w:tcW w:w="9634" w:type="dxa"/>
            <w:gridSpan w:val="2"/>
          </w:tcPr>
          <w:p w14:paraId="6917F064" w14:textId="77777777" w:rsidR="00D41DD2" w:rsidRDefault="00D41DD2" w:rsidP="00905CC9">
            <w:pPr>
              <w:keepNext w:val="0"/>
              <w:tabs>
                <w:tab w:val="left" w:pos="680"/>
              </w:tabs>
              <w:spacing w:before="0"/>
              <w:jc w:val="left"/>
              <w:rPr>
                <w:rFonts w:eastAsia="Arial"/>
                <w:b/>
                <w:color w:val="auto"/>
                <w:spacing w:val="-1"/>
              </w:rPr>
            </w:pPr>
          </w:p>
          <w:p w14:paraId="3EFE47DB" w14:textId="45D40C32" w:rsidR="0059798D" w:rsidRDefault="0059798D" w:rsidP="00905CC9">
            <w:pPr>
              <w:keepNext w:val="0"/>
              <w:tabs>
                <w:tab w:val="left" w:pos="680"/>
              </w:tabs>
              <w:spacing w:before="0"/>
              <w:jc w:val="left"/>
              <w:rPr>
                <w:rFonts w:eastAsia="Arial"/>
                <w:b/>
                <w:color w:val="auto"/>
                <w:spacing w:val="-1"/>
              </w:rPr>
            </w:pPr>
            <w:r w:rsidRPr="0059798D">
              <w:rPr>
                <w:rFonts w:eastAsia="Arial"/>
                <w:b/>
                <w:color w:val="auto"/>
                <w:spacing w:val="-1"/>
              </w:rPr>
              <w:t>Policy SD</w:t>
            </w:r>
            <w:r w:rsidR="006977E7">
              <w:rPr>
                <w:rFonts w:eastAsia="Arial"/>
                <w:b/>
                <w:color w:val="auto"/>
                <w:spacing w:val="-1"/>
              </w:rPr>
              <w:t>10</w:t>
            </w:r>
            <w:bookmarkStart w:id="323" w:name="_Hlk146200960"/>
            <w:r w:rsidRPr="0059798D">
              <w:rPr>
                <w:rFonts w:eastAsia="Arial"/>
                <w:b/>
                <w:color w:val="auto"/>
                <w:spacing w:val="-1"/>
              </w:rPr>
              <w:t>: Transport Infrastructure</w:t>
            </w:r>
            <w:bookmarkEnd w:id="323"/>
          </w:p>
          <w:p w14:paraId="6156D806" w14:textId="256C18C0" w:rsidR="00D41DD2" w:rsidRPr="0059798D" w:rsidRDefault="00D41DD2" w:rsidP="00905CC9">
            <w:pPr>
              <w:keepNext w:val="0"/>
              <w:tabs>
                <w:tab w:val="left" w:pos="680"/>
              </w:tabs>
              <w:spacing w:before="0"/>
              <w:jc w:val="left"/>
              <w:rPr>
                <w:rFonts w:eastAsia="Arial"/>
                <w:b/>
                <w:color w:val="auto"/>
                <w:spacing w:val="-1"/>
              </w:rPr>
            </w:pPr>
          </w:p>
        </w:tc>
      </w:tr>
      <w:tr w:rsidR="0059798D" w:rsidRPr="0059798D" w14:paraId="004B7AEE" w14:textId="77777777" w:rsidTr="00DD4136">
        <w:tc>
          <w:tcPr>
            <w:tcW w:w="2263" w:type="dxa"/>
          </w:tcPr>
          <w:p w14:paraId="2DEE9593" w14:textId="77777777" w:rsidR="0059798D" w:rsidRPr="0059798D" w:rsidRDefault="0059798D" w:rsidP="00905CC9">
            <w:pPr>
              <w:keepNext w:val="0"/>
              <w:tabs>
                <w:tab w:val="left" w:pos="680"/>
              </w:tabs>
              <w:spacing w:before="0"/>
              <w:jc w:val="left"/>
              <w:rPr>
                <w:rFonts w:eastAsia="Arial"/>
                <w:bCs/>
                <w:color w:val="auto"/>
              </w:rPr>
            </w:pPr>
            <w:r w:rsidRPr="0059798D">
              <w:rPr>
                <w:rFonts w:eastAsia="Arial"/>
                <w:bCs/>
                <w:color w:val="auto"/>
              </w:rPr>
              <w:t>Strategic Objectives</w:t>
            </w:r>
          </w:p>
        </w:tc>
        <w:tc>
          <w:tcPr>
            <w:tcW w:w="7371" w:type="dxa"/>
          </w:tcPr>
          <w:p w14:paraId="34ECECF6" w14:textId="77777777" w:rsidR="0059798D" w:rsidRPr="0059798D" w:rsidRDefault="0059798D" w:rsidP="00905CC9">
            <w:pPr>
              <w:keepNext w:val="0"/>
              <w:tabs>
                <w:tab w:val="left" w:pos="680"/>
              </w:tabs>
              <w:spacing w:before="40" w:after="40"/>
              <w:jc w:val="left"/>
              <w:rPr>
                <w:rFonts w:eastAsia="Arial"/>
                <w:bCs/>
                <w:color w:val="auto"/>
              </w:rPr>
            </w:pPr>
            <w:r w:rsidRPr="0059798D">
              <w:rPr>
                <w:rFonts w:eastAsia="Arial"/>
                <w:bCs/>
                <w:color w:val="auto"/>
              </w:rPr>
              <w:t>SO1, SO2, SO4, SO6, SO7, SO8, SO9, SO11, SO12, SO14.</w:t>
            </w:r>
          </w:p>
        </w:tc>
      </w:tr>
      <w:tr w:rsidR="0059798D" w:rsidRPr="0059798D" w14:paraId="746269A4" w14:textId="77777777" w:rsidTr="00DD4136">
        <w:tc>
          <w:tcPr>
            <w:tcW w:w="9634" w:type="dxa"/>
            <w:gridSpan w:val="2"/>
            <w:shd w:val="clear" w:color="auto" w:fill="DAC4F8"/>
          </w:tcPr>
          <w:p w14:paraId="6AB79C9A" w14:textId="77777777" w:rsidR="0059798D" w:rsidRPr="0059798D" w:rsidRDefault="0059798D" w:rsidP="00905CC9">
            <w:pPr>
              <w:keepNext w:val="0"/>
              <w:tabs>
                <w:tab w:val="left" w:pos="680"/>
                <w:tab w:val="left" w:pos="1133"/>
                <w:tab w:val="left" w:pos="2267"/>
              </w:tabs>
              <w:spacing w:before="0"/>
              <w:ind w:right="284"/>
              <w:jc w:val="left"/>
              <w:rPr>
                <w:rFonts w:eastAsia="Arial"/>
                <w:bCs/>
                <w:color w:val="auto"/>
              </w:rPr>
            </w:pPr>
          </w:p>
          <w:p w14:paraId="20FFBD3B" w14:textId="77777777" w:rsidR="0059798D" w:rsidRPr="0059798D" w:rsidRDefault="0059798D" w:rsidP="00874A98">
            <w:pPr>
              <w:keepNext w:val="0"/>
              <w:numPr>
                <w:ilvl w:val="0"/>
                <w:numId w:val="233"/>
              </w:numPr>
              <w:autoSpaceDE w:val="0"/>
              <w:autoSpaceDN w:val="0"/>
              <w:adjustRightInd w:val="0"/>
              <w:spacing w:before="0"/>
              <w:contextualSpacing/>
              <w:jc w:val="left"/>
              <w:rPr>
                <w:rFonts w:cs="Arial"/>
                <w:bCs/>
                <w:color w:val="000000"/>
                <w:szCs w:val="24"/>
              </w:rPr>
            </w:pPr>
            <w:r w:rsidRPr="0059798D">
              <w:rPr>
                <w:rFonts w:cs="Arial"/>
                <w:bCs/>
                <w:color w:val="000000"/>
                <w:szCs w:val="24"/>
              </w:rPr>
              <w:t>The Council will support development where:</w:t>
            </w:r>
          </w:p>
          <w:p w14:paraId="0E0B36E9" w14:textId="77777777" w:rsidR="0059798D" w:rsidRPr="0059798D" w:rsidRDefault="0059798D" w:rsidP="00905CC9">
            <w:pPr>
              <w:keepNext w:val="0"/>
              <w:autoSpaceDE w:val="0"/>
              <w:autoSpaceDN w:val="0"/>
              <w:adjustRightInd w:val="0"/>
              <w:spacing w:before="0"/>
              <w:ind w:left="306"/>
              <w:jc w:val="left"/>
              <w:rPr>
                <w:rFonts w:cs="Arial"/>
                <w:bCs/>
                <w:color w:val="000000"/>
                <w:szCs w:val="24"/>
              </w:rPr>
            </w:pPr>
          </w:p>
          <w:p w14:paraId="5F463E24" w14:textId="77777777" w:rsidR="0059798D" w:rsidRPr="0059798D" w:rsidRDefault="0059798D" w:rsidP="00874A98">
            <w:pPr>
              <w:keepNext w:val="0"/>
              <w:numPr>
                <w:ilvl w:val="1"/>
                <w:numId w:val="233"/>
              </w:numPr>
              <w:autoSpaceDE w:val="0"/>
              <w:autoSpaceDN w:val="0"/>
              <w:adjustRightInd w:val="0"/>
              <w:spacing w:before="0"/>
              <w:ind w:left="720"/>
              <w:contextualSpacing/>
              <w:jc w:val="left"/>
              <w:rPr>
                <w:rFonts w:cs="Arial"/>
                <w:bCs/>
                <w:color w:val="000000"/>
                <w:szCs w:val="24"/>
              </w:rPr>
            </w:pPr>
            <w:r w:rsidRPr="0059798D">
              <w:rPr>
                <w:rFonts w:cs="Arial"/>
                <w:bCs/>
                <w:color w:val="000000"/>
                <w:szCs w:val="24"/>
              </w:rPr>
              <w:t xml:space="preserve">It reduces the need to travel by private motor vehicle and promotes smarter choices (to reduce congestion and air pollution); </w:t>
            </w:r>
          </w:p>
          <w:p w14:paraId="24CADF72" w14:textId="77777777" w:rsidR="0059798D" w:rsidRPr="0059798D" w:rsidRDefault="0059798D" w:rsidP="00905CC9">
            <w:pPr>
              <w:keepNext w:val="0"/>
              <w:autoSpaceDE w:val="0"/>
              <w:autoSpaceDN w:val="0"/>
              <w:adjustRightInd w:val="0"/>
              <w:spacing w:before="0"/>
              <w:ind w:left="11"/>
              <w:contextualSpacing/>
              <w:jc w:val="left"/>
              <w:rPr>
                <w:rFonts w:cs="Arial"/>
                <w:bCs/>
                <w:color w:val="000000"/>
                <w:szCs w:val="24"/>
              </w:rPr>
            </w:pPr>
          </w:p>
          <w:p w14:paraId="15EACF44" w14:textId="77777777" w:rsidR="0059798D" w:rsidRPr="0059798D" w:rsidRDefault="0059798D" w:rsidP="00874A98">
            <w:pPr>
              <w:keepNext w:val="0"/>
              <w:numPr>
                <w:ilvl w:val="1"/>
                <w:numId w:val="233"/>
              </w:numPr>
              <w:autoSpaceDE w:val="0"/>
              <w:autoSpaceDN w:val="0"/>
              <w:adjustRightInd w:val="0"/>
              <w:spacing w:before="0"/>
              <w:ind w:left="720"/>
              <w:contextualSpacing/>
              <w:jc w:val="left"/>
              <w:rPr>
                <w:rFonts w:cs="Arial"/>
                <w:bCs/>
                <w:color w:val="000000"/>
                <w:szCs w:val="24"/>
              </w:rPr>
            </w:pPr>
            <w:r w:rsidRPr="0059798D">
              <w:rPr>
                <w:rFonts w:cs="Arial"/>
                <w:bCs/>
                <w:color w:val="000000"/>
                <w:szCs w:val="24"/>
              </w:rPr>
              <w:lastRenderedPageBreak/>
              <w:t xml:space="preserve">The transport network is well designed, with particular emphasis on high quality materials and appropriate landscape features, taking into consideration the needs of all users; </w:t>
            </w:r>
          </w:p>
          <w:p w14:paraId="6C1E15AE" w14:textId="77777777" w:rsidR="0059798D" w:rsidRPr="0059798D" w:rsidRDefault="0059798D" w:rsidP="00905CC9">
            <w:pPr>
              <w:keepNext w:val="0"/>
              <w:autoSpaceDE w:val="0"/>
              <w:autoSpaceDN w:val="0"/>
              <w:adjustRightInd w:val="0"/>
              <w:spacing w:before="0"/>
              <w:jc w:val="left"/>
              <w:rPr>
                <w:rFonts w:cs="Arial"/>
                <w:bCs/>
                <w:color w:val="000000"/>
                <w:szCs w:val="24"/>
              </w:rPr>
            </w:pPr>
          </w:p>
          <w:p w14:paraId="593293F8" w14:textId="77777777" w:rsidR="0059798D" w:rsidRPr="0059798D" w:rsidRDefault="0059798D" w:rsidP="00874A98">
            <w:pPr>
              <w:keepNext w:val="0"/>
              <w:numPr>
                <w:ilvl w:val="1"/>
                <w:numId w:val="233"/>
              </w:numPr>
              <w:autoSpaceDE w:val="0"/>
              <w:autoSpaceDN w:val="0"/>
              <w:adjustRightInd w:val="0"/>
              <w:spacing w:before="0"/>
              <w:ind w:left="720"/>
              <w:contextualSpacing/>
              <w:jc w:val="left"/>
              <w:rPr>
                <w:rFonts w:cs="Arial"/>
                <w:bCs/>
                <w:color w:val="000000"/>
                <w:szCs w:val="24"/>
              </w:rPr>
            </w:pPr>
            <w:r w:rsidRPr="0059798D">
              <w:rPr>
                <w:rFonts w:cs="Arial"/>
                <w:bCs/>
                <w:color w:val="000000"/>
                <w:szCs w:val="24"/>
              </w:rPr>
              <w:t xml:space="preserve">Parking provision conforms to local standards and can be shown to satisfy the requirements of the development; </w:t>
            </w:r>
          </w:p>
          <w:p w14:paraId="04637055" w14:textId="77777777" w:rsidR="0059798D" w:rsidRPr="0059798D" w:rsidRDefault="0059798D" w:rsidP="00905CC9">
            <w:pPr>
              <w:keepNext w:val="0"/>
              <w:autoSpaceDE w:val="0"/>
              <w:autoSpaceDN w:val="0"/>
              <w:adjustRightInd w:val="0"/>
              <w:spacing w:before="0"/>
              <w:jc w:val="left"/>
              <w:rPr>
                <w:rFonts w:cs="Arial"/>
                <w:bCs/>
                <w:color w:val="000000"/>
                <w:szCs w:val="24"/>
              </w:rPr>
            </w:pPr>
          </w:p>
          <w:p w14:paraId="75D91B2E" w14:textId="77777777" w:rsidR="0059798D" w:rsidRPr="0059798D" w:rsidRDefault="0059798D" w:rsidP="00874A98">
            <w:pPr>
              <w:keepNext w:val="0"/>
              <w:numPr>
                <w:ilvl w:val="1"/>
                <w:numId w:val="233"/>
              </w:numPr>
              <w:autoSpaceDE w:val="0"/>
              <w:autoSpaceDN w:val="0"/>
              <w:adjustRightInd w:val="0"/>
              <w:spacing w:before="0"/>
              <w:ind w:left="720"/>
              <w:contextualSpacing/>
              <w:jc w:val="left"/>
              <w:rPr>
                <w:rFonts w:cs="Arial"/>
                <w:bCs/>
                <w:color w:val="000000"/>
                <w:szCs w:val="24"/>
              </w:rPr>
            </w:pPr>
            <w:r w:rsidRPr="0059798D">
              <w:rPr>
                <w:rFonts w:cs="Arial"/>
                <w:bCs/>
                <w:color w:val="000000"/>
                <w:szCs w:val="24"/>
              </w:rPr>
              <w:t xml:space="preserve">Parking is effectively designed and integrated into the public realm; </w:t>
            </w:r>
          </w:p>
          <w:p w14:paraId="24F4BDA8" w14:textId="77777777" w:rsidR="0059798D" w:rsidRPr="0059798D" w:rsidRDefault="0059798D" w:rsidP="00905CC9">
            <w:pPr>
              <w:keepNext w:val="0"/>
              <w:autoSpaceDE w:val="0"/>
              <w:autoSpaceDN w:val="0"/>
              <w:adjustRightInd w:val="0"/>
              <w:spacing w:before="0"/>
              <w:jc w:val="left"/>
              <w:rPr>
                <w:rFonts w:cs="Arial"/>
                <w:bCs/>
                <w:color w:val="000000"/>
                <w:szCs w:val="24"/>
              </w:rPr>
            </w:pPr>
          </w:p>
          <w:p w14:paraId="5C1C98F1" w14:textId="77777777" w:rsidR="0059798D" w:rsidRPr="0059798D" w:rsidRDefault="0059798D" w:rsidP="00874A98">
            <w:pPr>
              <w:keepNext w:val="0"/>
              <w:numPr>
                <w:ilvl w:val="1"/>
                <w:numId w:val="233"/>
              </w:numPr>
              <w:autoSpaceDE w:val="0"/>
              <w:autoSpaceDN w:val="0"/>
              <w:adjustRightInd w:val="0"/>
              <w:spacing w:before="0"/>
              <w:ind w:left="720"/>
              <w:contextualSpacing/>
              <w:jc w:val="left"/>
              <w:rPr>
                <w:rFonts w:cs="Arial"/>
                <w:bCs/>
                <w:color w:val="000000"/>
                <w:szCs w:val="24"/>
              </w:rPr>
            </w:pPr>
            <w:r w:rsidRPr="0059798D">
              <w:rPr>
                <w:rFonts w:cs="Arial"/>
                <w:bCs/>
                <w:color w:val="000000"/>
                <w:szCs w:val="24"/>
              </w:rPr>
              <w:t xml:space="preserve">It is legible and provides safe, direct and effective access for pedestrians; cyclists; and people with a disability; </w:t>
            </w:r>
          </w:p>
          <w:p w14:paraId="50243742" w14:textId="77777777" w:rsidR="0059798D" w:rsidRPr="0059798D" w:rsidRDefault="0059798D" w:rsidP="00905CC9">
            <w:pPr>
              <w:keepNext w:val="0"/>
              <w:autoSpaceDE w:val="0"/>
              <w:autoSpaceDN w:val="0"/>
              <w:adjustRightInd w:val="0"/>
              <w:spacing w:before="0"/>
              <w:jc w:val="left"/>
              <w:rPr>
                <w:rFonts w:cs="Arial"/>
                <w:bCs/>
                <w:color w:val="000000"/>
                <w:szCs w:val="24"/>
              </w:rPr>
            </w:pPr>
          </w:p>
          <w:p w14:paraId="1868B36C" w14:textId="77777777" w:rsidR="0059798D" w:rsidRPr="0059798D" w:rsidRDefault="0059798D" w:rsidP="00874A98">
            <w:pPr>
              <w:keepNext w:val="0"/>
              <w:numPr>
                <w:ilvl w:val="1"/>
                <w:numId w:val="233"/>
              </w:numPr>
              <w:autoSpaceDE w:val="0"/>
              <w:autoSpaceDN w:val="0"/>
              <w:adjustRightInd w:val="0"/>
              <w:spacing w:before="0"/>
              <w:ind w:left="720"/>
              <w:contextualSpacing/>
              <w:jc w:val="left"/>
              <w:rPr>
                <w:rFonts w:cs="Arial"/>
                <w:bCs/>
                <w:color w:val="000000"/>
                <w:szCs w:val="24"/>
              </w:rPr>
            </w:pPr>
            <w:r w:rsidRPr="0059798D">
              <w:rPr>
                <w:rFonts w:cs="Arial"/>
                <w:bCs/>
                <w:color w:val="000000"/>
                <w:szCs w:val="24"/>
              </w:rPr>
              <w:t xml:space="preserve">It is safe and convenient, and has excellent connections both within the development and to neighbouring areas, and to public transport; </w:t>
            </w:r>
          </w:p>
          <w:p w14:paraId="03B804EA" w14:textId="77777777" w:rsidR="0059798D" w:rsidRPr="0059798D" w:rsidRDefault="0059798D" w:rsidP="00905CC9">
            <w:pPr>
              <w:keepNext w:val="0"/>
              <w:autoSpaceDE w:val="0"/>
              <w:autoSpaceDN w:val="0"/>
              <w:adjustRightInd w:val="0"/>
              <w:spacing w:before="0"/>
              <w:jc w:val="left"/>
              <w:rPr>
                <w:rFonts w:cs="Arial"/>
                <w:bCs/>
                <w:color w:val="000000"/>
                <w:szCs w:val="24"/>
              </w:rPr>
            </w:pPr>
          </w:p>
          <w:p w14:paraId="45A12DD8" w14:textId="77777777" w:rsidR="0059798D" w:rsidRPr="0059798D" w:rsidRDefault="0059798D" w:rsidP="00874A98">
            <w:pPr>
              <w:keepNext w:val="0"/>
              <w:numPr>
                <w:ilvl w:val="1"/>
                <w:numId w:val="233"/>
              </w:numPr>
              <w:autoSpaceDE w:val="0"/>
              <w:autoSpaceDN w:val="0"/>
              <w:adjustRightInd w:val="0"/>
              <w:spacing w:before="0"/>
              <w:ind w:left="720"/>
              <w:contextualSpacing/>
              <w:jc w:val="left"/>
              <w:rPr>
                <w:rFonts w:cs="Arial"/>
                <w:bCs/>
                <w:color w:val="000000"/>
                <w:szCs w:val="24"/>
              </w:rPr>
            </w:pPr>
            <w:r w:rsidRPr="0059798D">
              <w:rPr>
                <w:rFonts w:cs="Arial"/>
                <w:bCs/>
                <w:color w:val="000000"/>
                <w:szCs w:val="24"/>
              </w:rPr>
              <w:t xml:space="preserve">It promotes the safe and efficient flow of traffic on the highway network; </w:t>
            </w:r>
            <w:r w:rsidRPr="002B2EB1">
              <w:rPr>
                <w:rFonts w:cs="Arial"/>
                <w:bCs/>
                <w:strike/>
                <w:color w:val="000000"/>
                <w:szCs w:val="24"/>
              </w:rPr>
              <w:t>and</w:t>
            </w:r>
            <w:r w:rsidRPr="0059798D">
              <w:rPr>
                <w:rFonts w:cs="Arial"/>
                <w:bCs/>
                <w:color w:val="000000"/>
                <w:szCs w:val="24"/>
              </w:rPr>
              <w:t xml:space="preserve"> </w:t>
            </w:r>
          </w:p>
          <w:p w14:paraId="53689115" w14:textId="77777777" w:rsidR="0059798D" w:rsidRPr="0059798D" w:rsidRDefault="0059798D" w:rsidP="00905CC9">
            <w:pPr>
              <w:keepNext w:val="0"/>
              <w:autoSpaceDE w:val="0"/>
              <w:autoSpaceDN w:val="0"/>
              <w:adjustRightInd w:val="0"/>
              <w:spacing w:before="0"/>
              <w:ind w:left="720"/>
              <w:contextualSpacing/>
              <w:jc w:val="left"/>
              <w:rPr>
                <w:rFonts w:cs="Arial"/>
                <w:bCs/>
                <w:color w:val="000000"/>
                <w:szCs w:val="24"/>
              </w:rPr>
            </w:pPr>
          </w:p>
          <w:p w14:paraId="25D6A06D" w14:textId="17844AE7" w:rsidR="006458E1" w:rsidRPr="000663FF" w:rsidRDefault="0059798D" w:rsidP="00874A98">
            <w:pPr>
              <w:keepNext w:val="0"/>
              <w:numPr>
                <w:ilvl w:val="1"/>
                <w:numId w:val="233"/>
              </w:numPr>
              <w:autoSpaceDE w:val="0"/>
              <w:autoSpaceDN w:val="0"/>
              <w:adjustRightInd w:val="0"/>
              <w:spacing w:before="0"/>
              <w:ind w:left="720"/>
              <w:contextualSpacing/>
              <w:jc w:val="left"/>
              <w:rPr>
                <w:rFonts w:eastAsia="Arial"/>
                <w:bCs/>
                <w:color w:val="auto"/>
              </w:rPr>
            </w:pPr>
            <w:r w:rsidRPr="0059798D">
              <w:rPr>
                <w:bCs/>
                <w:color w:val="auto"/>
              </w:rPr>
              <w:t>Suitable provision is made for cyclists and people with a disability, where necessary</w:t>
            </w:r>
            <w:r w:rsidR="002B2EB1" w:rsidRPr="000663FF">
              <w:rPr>
                <w:bCs/>
                <w:color w:val="auto"/>
              </w:rPr>
              <w:t>; and</w:t>
            </w:r>
          </w:p>
          <w:p w14:paraId="3053B93B" w14:textId="77777777" w:rsidR="0059798D" w:rsidRPr="0059798D" w:rsidRDefault="0059798D" w:rsidP="006458E1">
            <w:pPr>
              <w:keepNext w:val="0"/>
              <w:autoSpaceDE w:val="0"/>
              <w:autoSpaceDN w:val="0"/>
              <w:adjustRightInd w:val="0"/>
              <w:spacing w:before="0"/>
              <w:contextualSpacing/>
              <w:jc w:val="left"/>
              <w:rPr>
                <w:rFonts w:eastAsia="Arial"/>
                <w:bCs/>
                <w:color w:val="auto"/>
              </w:rPr>
            </w:pPr>
          </w:p>
          <w:p w14:paraId="70ACF2D3" w14:textId="102E0D5B" w:rsidR="0059798D" w:rsidRDefault="0059798D" w:rsidP="00874A98">
            <w:pPr>
              <w:keepNext w:val="0"/>
              <w:numPr>
                <w:ilvl w:val="1"/>
                <w:numId w:val="233"/>
              </w:numPr>
              <w:tabs>
                <w:tab w:val="left" w:pos="680"/>
                <w:tab w:val="left" w:pos="1133"/>
                <w:tab w:val="left" w:pos="2267"/>
              </w:tabs>
              <w:autoSpaceDE w:val="0"/>
              <w:autoSpaceDN w:val="0"/>
              <w:adjustRightInd w:val="0"/>
              <w:spacing w:before="0"/>
              <w:ind w:left="731" w:right="284"/>
              <w:contextualSpacing/>
              <w:jc w:val="left"/>
              <w:rPr>
                <w:rFonts w:eastAsia="Arial"/>
                <w:bCs/>
                <w:color w:val="auto"/>
              </w:rPr>
            </w:pPr>
            <w:r w:rsidRPr="0059798D">
              <w:rPr>
                <w:rFonts w:eastAsia="Arial"/>
                <w:bCs/>
                <w:color w:val="auto"/>
              </w:rPr>
              <w:t>The standards and principles set out in national best practice guidance are incorporated into the scheme.</w:t>
            </w:r>
          </w:p>
          <w:p w14:paraId="51C315D4" w14:textId="77777777" w:rsidR="006458E1" w:rsidRPr="006458E1" w:rsidRDefault="006458E1" w:rsidP="006458E1">
            <w:pPr>
              <w:keepNext w:val="0"/>
              <w:tabs>
                <w:tab w:val="left" w:pos="680"/>
                <w:tab w:val="left" w:pos="1133"/>
                <w:tab w:val="left" w:pos="2267"/>
              </w:tabs>
              <w:autoSpaceDE w:val="0"/>
              <w:autoSpaceDN w:val="0"/>
              <w:adjustRightInd w:val="0"/>
              <w:spacing w:before="0"/>
              <w:ind w:right="284"/>
              <w:contextualSpacing/>
              <w:jc w:val="left"/>
              <w:rPr>
                <w:rFonts w:eastAsia="Arial"/>
                <w:bCs/>
                <w:color w:val="auto"/>
              </w:rPr>
            </w:pPr>
          </w:p>
          <w:p w14:paraId="35EC8A34" w14:textId="77777777" w:rsidR="0059798D" w:rsidRPr="000A1A0B" w:rsidRDefault="0059798D" w:rsidP="00874A98">
            <w:pPr>
              <w:keepNext w:val="0"/>
              <w:numPr>
                <w:ilvl w:val="0"/>
                <w:numId w:val="233"/>
              </w:numPr>
              <w:tabs>
                <w:tab w:val="left" w:pos="680"/>
                <w:tab w:val="left" w:pos="1133"/>
                <w:tab w:val="left" w:pos="2267"/>
              </w:tabs>
              <w:spacing w:before="0"/>
              <w:ind w:right="284"/>
              <w:jc w:val="left"/>
              <w:rPr>
                <w:rFonts w:eastAsia="Arial" w:cs="Arial"/>
                <w:bCs/>
                <w:color w:val="auto"/>
              </w:rPr>
            </w:pPr>
            <w:r w:rsidRPr="0059798D">
              <w:rPr>
                <w:rFonts w:eastAsia="Arial"/>
                <w:bCs/>
                <w:color w:val="auto"/>
              </w:rPr>
              <w:t>Proposed new development should:</w:t>
            </w:r>
          </w:p>
          <w:p w14:paraId="4E7EC8FA" w14:textId="77777777" w:rsidR="0059798D" w:rsidRPr="000A1A0B" w:rsidRDefault="0059798D" w:rsidP="00905CC9">
            <w:pPr>
              <w:keepNext w:val="0"/>
              <w:tabs>
                <w:tab w:val="left" w:pos="680"/>
                <w:tab w:val="left" w:pos="1133"/>
                <w:tab w:val="left" w:pos="2267"/>
              </w:tabs>
              <w:spacing w:before="0"/>
              <w:ind w:left="360" w:right="284"/>
              <w:jc w:val="left"/>
              <w:rPr>
                <w:rFonts w:eastAsia="Arial" w:cs="Arial"/>
                <w:bCs/>
                <w:color w:val="auto"/>
              </w:rPr>
            </w:pPr>
          </w:p>
          <w:p w14:paraId="085684A8" w14:textId="0A01E9FB" w:rsidR="000A1A0B" w:rsidRDefault="0059798D" w:rsidP="00874A98">
            <w:pPr>
              <w:pStyle w:val="ListParagraph"/>
              <w:numPr>
                <w:ilvl w:val="0"/>
                <w:numId w:val="237"/>
              </w:numPr>
              <w:tabs>
                <w:tab w:val="left" w:pos="680"/>
                <w:tab w:val="left" w:pos="1133"/>
                <w:tab w:val="left" w:pos="2267"/>
              </w:tabs>
              <w:spacing w:after="0" w:line="240" w:lineRule="auto"/>
              <w:ind w:right="284"/>
              <w:jc w:val="left"/>
              <w:rPr>
                <w:rFonts w:ascii="Arial" w:eastAsia="Arial" w:hAnsi="Arial" w:cs="Arial"/>
                <w:bCs/>
                <w:color w:val="auto"/>
              </w:rPr>
            </w:pPr>
            <w:r w:rsidRPr="000A1A0B">
              <w:rPr>
                <w:rFonts w:ascii="Arial" w:eastAsia="Arial" w:hAnsi="Arial" w:cs="Arial"/>
                <w:bCs/>
                <w:color w:val="auto"/>
              </w:rPr>
              <w:t>Protect established rights of way and cycle routes. Where possible, these should be incorporated into the scheme. If this is not practical, established rights of way or cycle routes should be re-directed via the most suitable route to maintain the connection to the neighbouring areas and the green infrastructure network.</w:t>
            </w:r>
          </w:p>
          <w:p w14:paraId="02983EFC" w14:textId="77777777" w:rsidR="006458E1" w:rsidRPr="000A1A0B" w:rsidRDefault="006458E1" w:rsidP="00D95EFE">
            <w:pPr>
              <w:pStyle w:val="ListParagraph"/>
              <w:tabs>
                <w:tab w:val="left" w:pos="680"/>
                <w:tab w:val="left" w:pos="1133"/>
                <w:tab w:val="left" w:pos="2267"/>
              </w:tabs>
              <w:spacing w:after="0" w:line="240" w:lineRule="auto"/>
              <w:ind w:right="284"/>
              <w:jc w:val="left"/>
              <w:rPr>
                <w:rFonts w:ascii="Arial" w:eastAsia="Arial" w:hAnsi="Arial" w:cs="Arial"/>
                <w:bCs/>
                <w:color w:val="auto"/>
              </w:rPr>
            </w:pPr>
          </w:p>
          <w:p w14:paraId="5CFB9B69" w14:textId="68430FF1" w:rsidR="0059798D" w:rsidRPr="000663FF" w:rsidRDefault="0059798D" w:rsidP="00874A98">
            <w:pPr>
              <w:pStyle w:val="ListParagraph"/>
              <w:numPr>
                <w:ilvl w:val="0"/>
                <w:numId w:val="237"/>
              </w:numPr>
              <w:tabs>
                <w:tab w:val="left" w:pos="680"/>
                <w:tab w:val="left" w:pos="1133"/>
                <w:tab w:val="left" w:pos="2267"/>
              </w:tabs>
              <w:spacing w:after="0" w:line="240" w:lineRule="auto"/>
              <w:ind w:right="284"/>
              <w:jc w:val="left"/>
              <w:rPr>
                <w:rFonts w:ascii="Arial" w:eastAsia="Arial" w:hAnsi="Arial" w:cs="Arial"/>
                <w:bCs/>
                <w:color w:val="auto"/>
              </w:rPr>
            </w:pPr>
            <w:r w:rsidRPr="000663FF">
              <w:rPr>
                <w:rFonts w:ascii="Arial" w:eastAsia="Arial" w:hAnsi="Arial" w:cs="Arial"/>
                <w:bCs/>
                <w:color w:val="auto"/>
              </w:rPr>
              <w:t>Where appropriate, create new rights of way and cycle routes which connect to the neighbouring areas and to the green infrastructure network.</w:t>
            </w:r>
          </w:p>
          <w:p w14:paraId="6FC77507" w14:textId="77777777" w:rsidR="00CD2C7D" w:rsidRPr="000663FF" w:rsidRDefault="00CD2C7D" w:rsidP="00D95EFE">
            <w:pPr>
              <w:tabs>
                <w:tab w:val="left" w:pos="680"/>
                <w:tab w:val="left" w:pos="1133"/>
                <w:tab w:val="left" w:pos="2267"/>
              </w:tabs>
              <w:spacing w:before="0"/>
              <w:ind w:right="284"/>
              <w:rPr>
                <w:rFonts w:eastAsia="Arial" w:cs="Arial"/>
                <w:bCs/>
                <w:color w:val="auto"/>
              </w:rPr>
            </w:pPr>
          </w:p>
          <w:p w14:paraId="5889CEE2" w14:textId="49E452D7" w:rsidR="006458E1" w:rsidRPr="000663FF" w:rsidRDefault="006458E1" w:rsidP="00874A98">
            <w:pPr>
              <w:pStyle w:val="ListParagraph"/>
              <w:numPr>
                <w:ilvl w:val="0"/>
                <w:numId w:val="237"/>
              </w:numPr>
              <w:spacing w:after="0" w:line="240" w:lineRule="auto"/>
              <w:ind w:left="714" w:hanging="357"/>
              <w:jc w:val="left"/>
              <w:rPr>
                <w:rFonts w:ascii="Arial" w:eastAsia="Arial" w:hAnsi="Arial" w:cs="Arial"/>
                <w:bCs/>
                <w:color w:val="auto"/>
              </w:rPr>
            </w:pPr>
            <w:proofErr w:type="gramStart"/>
            <w:r w:rsidRPr="000663FF">
              <w:rPr>
                <w:rFonts w:ascii="Arial" w:eastAsia="Arial" w:hAnsi="Arial" w:cs="Arial"/>
                <w:bCs/>
                <w:color w:val="auto"/>
              </w:rPr>
              <w:t>In the vicinity of</w:t>
            </w:r>
            <w:proofErr w:type="gramEnd"/>
            <w:r w:rsidRPr="000663FF">
              <w:rPr>
                <w:rFonts w:ascii="Arial" w:eastAsia="Arial" w:hAnsi="Arial" w:cs="Arial"/>
                <w:bCs/>
                <w:color w:val="auto"/>
              </w:rPr>
              <w:t xml:space="preserve"> railway level crossings (both vehicular and pedestrian), assess the potential increase in risk at each crossing affected and undertake improvements that are necessary to mitigate the identified risk.</w:t>
            </w:r>
          </w:p>
          <w:p w14:paraId="3B85E74F" w14:textId="77777777" w:rsidR="0059798D" w:rsidRPr="000663FF" w:rsidRDefault="0059798D" w:rsidP="00905CC9">
            <w:pPr>
              <w:keepNext w:val="0"/>
              <w:tabs>
                <w:tab w:val="left" w:pos="680"/>
                <w:tab w:val="left" w:pos="1133"/>
                <w:tab w:val="left" w:pos="2267"/>
              </w:tabs>
              <w:spacing w:before="0"/>
              <w:ind w:left="360" w:right="284"/>
              <w:jc w:val="left"/>
              <w:rPr>
                <w:rFonts w:eastAsia="Arial" w:cs="Arial"/>
                <w:bCs/>
                <w:color w:val="auto"/>
              </w:rPr>
            </w:pPr>
          </w:p>
          <w:p w14:paraId="1B078536" w14:textId="77777777" w:rsidR="0059798D" w:rsidRPr="0059798D" w:rsidRDefault="0059798D" w:rsidP="00874A98">
            <w:pPr>
              <w:keepNext w:val="0"/>
              <w:numPr>
                <w:ilvl w:val="0"/>
                <w:numId w:val="233"/>
              </w:numPr>
              <w:tabs>
                <w:tab w:val="left" w:pos="680"/>
                <w:tab w:val="left" w:pos="1133"/>
                <w:tab w:val="left" w:pos="2267"/>
              </w:tabs>
              <w:spacing w:before="0"/>
              <w:ind w:right="284"/>
              <w:jc w:val="left"/>
              <w:rPr>
                <w:rFonts w:eastAsia="Arial" w:cs="Arial"/>
                <w:bCs/>
                <w:color w:val="auto"/>
                <w:szCs w:val="24"/>
              </w:rPr>
            </w:pPr>
            <w:r w:rsidRPr="000663FF">
              <w:rPr>
                <w:rFonts w:eastAsia="Arial" w:cs="Arial"/>
                <w:bCs/>
                <w:color w:val="auto"/>
                <w:szCs w:val="24"/>
              </w:rPr>
              <w:t xml:space="preserve">New development, singularly or combined with other proposed development, should demonstrate that a sufficient package of measures </w:t>
            </w:r>
            <w:proofErr w:type="gramStart"/>
            <w:r w:rsidRPr="0059798D">
              <w:rPr>
                <w:rFonts w:eastAsia="Arial" w:cs="Arial"/>
                <w:bCs/>
                <w:color w:val="auto"/>
                <w:szCs w:val="24"/>
              </w:rPr>
              <w:t>are</w:t>
            </w:r>
            <w:proofErr w:type="gramEnd"/>
            <w:r w:rsidRPr="0059798D">
              <w:rPr>
                <w:rFonts w:eastAsia="Arial" w:cs="Arial"/>
                <w:bCs/>
                <w:color w:val="auto"/>
                <w:szCs w:val="24"/>
              </w:rPr>
              <w:t xml:space="preserve"> proposed as part of the development to ensure that the wider transport system, in terms of effective operation, is not compromised.  Where development places additional demands on transport infrastructure appropriate mitigation will be required.</w:t>
            </w:r>
          </w:p>
          <w:p w14:paraId="0A8E3559" w14:textId="77777777" w:rsidR="0059798D" w:rsidRPr="0059798D" w:rsidRDefault="0059798D" w:rsidP="00905CC9">
            <w:pPr>
              <w:keepNext w:val="0"/>
              <w:tabs>
                <w:tab w:val="left" w:pos="680"/>
                <w:tab w:val="left" w:pos="1133"/>
                <w:tab w:val="left" w:pos="2267"/>
              </w:tabs>
              <w:spacing w:before="0"/>
              <w:ind w:left="360" w:right="284"/>
              <w:jc w:val="left"/>
              <w:rPr>
                <w:rFonts w:eastAsia="Arial" w:cs="Arial"/>
                <w:bCs/>
                <w:color w:val="auto"/>
                <w:szCs w:val="24"/>
              </w:rPr>
            </w:pPr>
          </w:p>
          <w:p w14:paraId="28806BF6" w14:textId="77777777" w:rsidR="0059798D" w:rsidRDefault="0059798D" w:rsidP="007F47E8">
            <w:pPr>
              <w:keepNext w:val="0"/>
              <w:numPr>
                <w:ilvl w:val="0"/>
                <w:numId w:val="233"/>
              </w:numPr>
              <w:tabs>
                <w:tab w:val="left" w:pos="680"/>
                <w:tab w:val="left" w:pos="1133"/>
                <w:tab w:val="left" w:pos="2267"/>
              </w:tabs>
              <w:spacing w:before="0"/>
              <w:ind w:right="284"/>
              <w:jc w:val="left"/>
              <w:rPr>
                <w:rFonts w:eastAsia="Arial"/>
                <w:bCs/>
                <w:color w:val="auto"/>
              </w:rPr>
            </w:pPr>
            <w:r w:rsidRPr="007F47E8">
              <w:rPr>
                <w:rFonts w:eastAsia="Arial"/>
                <w:bCs/>
                <w:color w:val="auto"/>
              </w:rPr>
              <w:t xml:space="preserve">Transport Assessments should be submitted alongside applications for large scale development. Smaller scale developments will require a Transport Statement. Comprehensive Travel Plans should also be devised for residential developments </w:t>
            </w:r>
            <w:r w:rsidRPr="007F47E8">
              <w:rPr>
                <w:rFonts w:eastAsia="Arial"/>
                <w:bCs/>
                <w:color w:val="auto"/>
              </w:rPr>
              <w:lastRenderedPageBreak/>
              <w:t>and commercial development schemes where necessary, in accordance with Highway Authority standards.</w:t>
            </w:r>
            <w:r w:rsidR="000853B4" w:rsidRPr="007F47E8">
              <w:rPr>
                <w:rFonts w:eastAsia="Arial"/>
                <w:bCs/>
                <w:color w:val="auto"/>
              </w:rPr>
              <w:t xml:space="preserve">  </w:t>
            </w:r>
          </w:p>
          <w:p w14:paraId="30241C67" w14:textId="49E6BD98" w:rsidR="007F47E8" w:rsidRPr="0059798D" w:rsidRDefault="007F47E8" w:rsidP="007F47E8">
            <w:pPr>
              <w:keepNext w:val="0"/>
              <w:tabs>
                <w:tab w:val="left" w:pos="680"/>
                <w:tab w:val="left" w:pos="1133"/>
                <w:tab w:val="left" w:pos="2267"/>
              </w:tabs>
              <w:spacing w:before="0"/>
              <w:ind w:left="360" w:right="284"/>
              <w:jc w:val="left"/>
              <w:rPr>
                <w:rFonts w:eastAsia="Arial"/>
                <w:bCs/>
                <w:color w:val="auto"/>
              </w:rPr>
            </w:pPr>
          </w:p>
        </w:tc>
      </w:tr>
      <w:tr w:rsidR="00B22DC9" w:rsidRPr="0059798D" w14:paraId="7B2332B3" w14:textId="77777777" w:rsidTr="00DD4136">
        <w:tc>
          <w:tcPr>
            <w:tcW w:w="2263" w:type="dxa"/>
          </w:tcPr>
          <w:p w14:paraId="45E96668" w14:textId="7160F74E" w:rsidR="00B22DC9" w:rsidRPr="00B22DC9" w:rsidRDefault="00B22DC9" w:rsidP="00905CC9">
            <w:pPr>
              <w:keepNext w:val="0"/>
              <w:tabs>
                <w:tab w:val="left" w:pos="680"/>
                <w:tab w:val="left" w:pos="1133"/>
                <w:tab w:val="left" w:pos="2267"/>
              </w:tabs>
              <w:spacing w:before="0"/>
              <w:ind w:right="284"/>
              <w:jc w:val="left"/>
              <w:rPr>
                <w:rFonts w:eastAsia="Arial" w:cs="Arial"/>
                <w:b/>
                <w:color w:val="auto"/>
                <w:szCs w:val="24"/>
              </w:rPr>
            </w:pPr>
            <w:r w:rsidRPr="00B22DC9">
              <w:rPr>
                <w:rFonts w:eastAsia="Arial" w:cs="Arial"/>
                <w:bCs/>
                <w:color w:val="auto"/>
                <w:sz w:val="20"/>
              </w:rPr>
              <w:lastRenderedPageBreak/>
              <w:t>Evidence base</w:t>
            </w:r>
          </w:p>
        </w:tc>
        <w:tc>
          <w:tcPr>
            <w:tcW w:w="7371" w:type="dxa"/>
          </w:tcPr>
          <w:p w14:paraId="59174258" w14:textId="57280947" w:rsidR="00B22DC9" w:rsidRPr="000663FF" w:rsidRDefault="00B22DC9" w:rsidP="00874A98">
            <w:pPr>
              <w:pStyle w:val="ListParagraph"/>
              <w:numPr>
                <w:ilvl w:val="0"/>
                <w:numId w:val="235"/>
              </w:numPr>
              <w:tabs>
                <w:tab w:val="left" w:pos="680"/>
                <w:tab w:val="left" w:pos="1133"/>
                <w:tab w:val="left" w:pos="2267"/>
              </w:tabs>
              <w:spacing w:after="0" w:line="240" w:lineRule="auto"/>
              <w:ind w:left="357" w:right="284" w:hanging="357"/>
              <w:jc w:val="left"/>
              <w:rPr>
                <w:rFonts w:ascii="Arial" w:eastAsia="Arial" w:hAnsi="Arial" w:cs="Arial"/>
                <w:bCs/>
                <w:color w:val="auto"/>
                <w:sz w:val="20"/>
                <w:szCs w:val="20"/>
              </w:rPr>
            </w:pPr>
            <w:r w:rsidRPr="000663FF">
              <w:rPr>
                <w:rFonts w:ascii="Arial" w:eastAsia="Arial" w:hAnsi="Arial" w:cs="Arial"/>
                <w:bCs/>
                <w:color w:val="auto"/>
                <w:sz w:val="20"/>
              </w:rPr>
              <w:t>Sustainability Appraisal,</w:t>
            </w:r>
            <w:r w:rsidR="0025538D" w:rsidRPr="000663FF">
              <w:rPr>
                <w:rFonts w:ascii="Arial" w:eastAsia="Arial" w:hAnsi="Arial" w:cs="Arial"/>
                <w:bCs/>
                <w:color w:val="auto"/>
                <w:sz w:val="20"/>
              </w:rPr>
              <w:t xml:space="preserve"> </w:t>
            </w:r>
            <w:r w:rsidRPr="000663FF">
              <w:rPr>
                <w:rFonts w:ascii="Arial" w:eastAsia="Arial" w:hAnsi="Arial" w:cs="Arial"/>
                <w:bCs/>
                <w:color w:val="auto"/>
                <w:sz w:val="20"/>
              </w:rPr>
              <w:t>202</w:t>
            </w:r>
            <w:r w:rsidR="0025538D" w:rsidRPr="000663FF">
              <w:rPr>
                <w:rFonts w:ascii="Arial" w:eastAsia="Arial" w:hAnsi="Arial" w:cs="Arial"/>
                <w:bCs/>
                <w:color w:val="auto"/>
                <w:sz w:val="20"/>
              </w:rPr>
              <w:t>3</w:t>
            </w:r>
            <w:r w:rsidRPr="000663FF">
              <w:rPr>
                <w:rFonts w:ascii="Arial" w:eastAsia="Arial" w:hAnsi="Arial" w:cs="Arial"/>
                <w:bCs/>
                <w:color w:val="auto"/>
                <w:sz w:val="20"/>
              </w:rPr>
              <w:t xml:space="preserve">. </w:t>
            </w:r>
            <w:r w:rsidR="0025538D" w:rsidRPr="000663FF">
              <w:rPr>
                <w:rFonts w:ascii="Arial" w:eastAsia="Arial" w:hAnsi="Arial" w:cs="Arial"/>
                <w:bCs/>
                <w:color w:val="auto"/>
                <w:sz w:val="20"/>
              </w:rPr>
              <w:t>WSP UK Limited</w:t>
            </w:r>
            <w:r w:rsidRPr="000663FF">
              <w:rPr>
                <w:rFonts w:ascii="Arial" w:eastAsia="Arial" w:hAnsi="Arial" w:cs="Arial"/>
                <w:bCs/>
                <w:color w:val="auto"/>
                <w:sz w:val="20"/>
              </w:rPr>
              <w:t xml:space="preserve">. </w:t>
            </w:r>
          </w:p>
          <w:p w14:paraId="74EB8224" w14:textId="45FA03AB" w:rsidR="00B22DC9" w:rsidRPr="000663FF" w:rsidRDefault="00B22DC9" w:rsidP="00874A98">
            <w:pPr>
              <w:pStyle w:val="ListParagraph"/>
              <w:numPr>
                <w:ilvl w:val="0"/>
                <w:numId w:val="235"/>
              </w:numPr>
              <w:tabs>
                <w:tab w:val="left" w:pos="680"/>
                <w:tab w:val="left" w:pos="1133"/>
                <w:tab w:val="left" w:pos="2267"/>
              </w:tabs>
              <w:spacing w:after="0" w:line="240" w:lineRule="auto"/>
              <w:ind w:left="357" w:right="284" w:hanging="357"/>
              <w:jc w:val="left"/>
              <w:rPr>
                <w:rFonts w:ascii="Arial" w:eastAsia="Arial" w:hAnsi="Arial" w:cs="Arial"/>
                <w:bCs/>
                <w:color w:val="auto"/>
                <w:sz w:val="20"/>
                <w:szCs w:val="20"/>
              </w:rPr>
            </w:pPr>
            <w:r w:rsidRPr="000663FF">
              <w:rPr>
                <w:rFonts w:ascii="Arial" w:eastAsia="Arial" w:hAnsi="Arial" w:cs="Arial"/>
                <w:bCs/>
                <w:color w:val="auto"/>
                <w:sz w:val="20"/>
                <w:szCs w:val="20"/>
              </w:rPr>
              <w:t>Ashfield Transport Study 20</w:t>
            </w:r>
            <w:r w:rsidR="000663FF" w:rsidRPr="000663FF">
              <w:rPr>
                <w:rFonts w:ascii="Arial" w:eastAsia="Arial" w:hAnsi="Arial" w:cs="Arial"/>
                <w:bCs/>
                <w:color w:val="auto"/>
                <w:sz w:val="20"/>
                <w:szCs w:val="20"/>
              </w:rPr>
              <w:t>23</w:t>
            </w:r>
            <w:r w:rsidRPr="000663FF">
              <w:rPr>
                <w:rFonts w:ascii="Arial" w:eastAsia="Arial" w:hAnsi="Arial" w:cs="Arial"/>
                <w:bCs/>
                <w:color w:val="auto"/>
                <w:sz w:val="20"/>
                <w:szCs w:val="20"/>
              </w:rPr>
              <w:t xml:space="preserve">. </w:t>
            </w:r>
            <w:proofErr w:type="spellStart"/>
            <w:r w:rsidRPr="000663FF">
              <w:rPr>
                <w:rFonts w:ascii="Arial" w:eastAsia="Arial" w:hAnsi="Arial" w:cs="Arial"/>
                <w:bCs/>
                <w:color w:val="auto"/>
                <w:sz w:val="20"/>
                <w:szCs w:val="20"/>
              </w:rPr>
              <w:t>Systra</w:t>
            </w:r>
            <w:proofErr w:type="spellEnd"/>
            <w:r w:rsidRPr="000663FF">
              <w:rPr>
                <w:rFonts w:ascii="Arial" w:eastAsia="Arial" w:hAnsi="Arial" w:cs="Arial"/>
                <w:bCs/>
                <w:color w:val="auto"/>
                <w:sz w:val="20"/>
                <w:szCs w:val="20"/>
              </w:rPr>
              <w:t xml:space="preserve">. </w:t>
            </w:r>
          </w:p>
          <w:p w14:paraId="4348445A" w14:textId="77777777" w:rsidR="00B22DC9" w:rsidRPr="000663FF" w:rsidRDefault="00B22DC9" w:rsidP="00874A98">
            <w:pPr>
              <w:pStyle w:val="ListParagraph"/>
              <w:numPr>
                <w:ilvl w:val="0"/>
                <w:numId w:val="235"/>
              </w:numPr>
              <w:tabs>
                <w:tab w:val="left" w:pos="680"/>
                <w:tab w:val="left" w:pos="1133"/>
                <w:tab w:val="left" w:pos="2267"/>
              </w:tabs>
              <w:spacing w:after="0" w:line="240" w:lineRule="auto"/>
              <w:ind w:left="357" w:right="284" w:hanging="357"/>
              <w:jc w:val="left"/>
              <w:rPr>
                <w:rFonts w:ascii="Arial" w:eastAsia="Arial" w:hAnsi="Arial" w:cs="Arial"/>
                <w:bCs/>
                <w:color w:val="auto"/>
                <w:sz w:val="20"/>
                <w:szCs w:val="20"/>
              </w:rPr>
            </w:pPr>
            <w:r w:rsidRPr="000663FF">
              <w:rPr>
                <w:rFonts w:ascii="Arial" w:eastAsia="Arial" w:hAnsi="Arial" w:cs="Arial"/>
                <w:bCs/>
                <w:color w:val="auto"/>
                <w:sz w:val="20"/>
              </w:rPr>
              <w:t>Nottinghamshire Local Transport Plan Strategy 2011 – 2026. Nottinghamshire County Council.</w:t>
            </w:r>
          </w:p>
          <w:p w14:paraId="3D62A8E3" w14:textId="52E4C5D5" w:rsidR="006E3758" w:rsidRPr="000663FF" w:rsidRDefault="006E3758" w:rsidP="00874A98">
            <w:pPr>
              <w:pStyle w:val="ListParagraph"/>
              <w:numPr>
                <w:ilvl w:val="0"/>
                <w:numId w:val="235"/>
              </w:numPr>
              <w:tabs>
                <w:tab w:val="left" w:pos="680"/>
                <w:tab w:val="left" w:pos="1133"/>
                <w:tab w:val="left" w:pos="2267"/>
              </w:tabs>
              <w:ind w:right="284"/>
              <w:jc w:val="left"/>
              <w:rPr>
                <w:rFonts w:ascii="Arial" w:eastAsia="Arial" w:hAnsi="Arial" w:cs="Arial"/>
                <w:bCs/>
                <w:color w:val="auto"/>
                <w:sz w:val="20"/>
                <w:szCs w:val="20"/>
              </w:rPr>
            </w:pPr>
            <w:r w:rsidRPr="000663FF">
              <w:rPr>
                <w:rFonts w:ascii="Arial" w:eastAsia="Arial" w:hAnsi="Arial" w:cs="Arial"/>
                <w:bCs/>
                <w:color w:val="auto"/>
                <w:sz w:val="20"/>
                <w:szCs w:val="20"/>
              </w:rPr>
              <w:t>Gear change: a bold vision for cycling and walking (2020) Department for Transport.</w:t>
            </w:r>
          </w:p>
          <w:p w14:paraId="4D0585E8" w14:textId="77777777" w:rsidR="006E3758" w:rsidRPr="000663FF" w:rsidRDefault="006E3758" w:rsidP="00874A98">
            <w:pPr>
              <w:pStyle w:val="ListParagraph"/>
              <w:numPr>
                <w:ilvl w:val="0"/>
                <w:numId w:val="235"/>
              </w:numPr>
              <w:tabs>
                <w:tab w:val="left" w:pos="680"/>
                <w:tab w:val="left" w:pos="1133"/>
                <w:tab w:val="left" w:pos="2267"/>
              </w:tabs>
              <w:spacing w:after="0" w:line="240" w:lineRule="auto"/>
              <w:ind w:right="284"/>
              <w:jc w:val="left"/>
              <w:rPr>
                <w:rFonts w:ascii="Arial" w:eastAsia="Arial" w:hAnsi="Arial" w:cs="Arial"/>
                <w:bCs/>
                <w:color w:val="auto"/>
                <w:sz w:val="20"/>
                <w:szCs w:val="20"/>
              </w:rPr>
            </w:pPr>
            <w:r w:rsidRPr="000663FF">
              <w:rPr>
                <w:rFonts w:ascii="Arial" w:eastAsia="Arial" w:hAnsi="Arial" w:cs="Arial"/>
                <w:bCs/>
                <w:color w:val="auto"/>
                <w:sz w:val="20"/>
                <w:szCs w:val="20"/>
              </w:rPr>
              <w:t>Cycle infrastructure design (LTN 1/20) (2020), Department for Transport.</w:t>
            </w:r>
          </w:p>
          <w:p w14:paraId="6569E5E5" w14:textId="77777777" w:rsidR="00FC3D87" w:rsidRPr="000663FF" w:rsidRDefault="00FC3D87" w:rsidP="00874A98">
            <w:pPr>
              <w:pStyle w:val="ListParagraph"/>
              <w:numPr>
                <w:ilvl w:val="0"/>
                <w:numId w:val="235"/>
              </w:numPr>
              <w:tabs>
                <w:tab w:val="left" w:pos="680"/>
                <w:tab w:val="left" w:pos="1133"/>
                <w:tab w:val="left" w:pos="2267"/>
              </w:tabs>
              <w:spacing w:after="0" w:line="240" w:lineRule="auto"/>
              <w:ind w:right="284"/>
              <w:jc w:val="left"/>
              <w:rPr>
                <w:rFonts w:ascii="Arial" w:eastAsia="Arial" w:hAnsi="Arial" w:cs="Arial"/>
                <w:bCs/>
                <w:color w:val="auto"/>
                <w:sz w:val="20"/>
                <w:szCs w:val="20"/>
              </w:rPr>
            </w:pPr>
            <w:r w:rsidRPr="000663FF">
              <w:rPr>
                <w:rFonts w:ascii="Arial" w:eastAsia="Arial" w:hAnsi="Arial" w:cs="Arial"/>
                <w:bCs/>
                <w:color w:val="auto"/>
                <w:sz w:val="20"/>
                <w:szCs w:val="20"/>
              </w:rPr>
              <w:t>National Bus Strategy for England, 2021, Department of Transport</w:t>
            </w:r>
          </w:p>
          <w:p w14:paraId="260A7B26" w14:textId="1E64E174" w:rsidR="00BF7431" w:rsidRPr="00BF7431" w:rsidRDefault="00BF7431" w:rsidP="00874A98">
            <w:pPr>
              <w:pStyle w:val="ListParagraph"/>
              <w:numPr>
                <w:ilvl w:val="0"/>
                <w:numId w:val="235"/>
              </w:numPr>
              <w:tabs>
                <w:tab w:val="left" w:pos="680"/>
                <w:tab w:val="left" w:pos="1133"/>
                <w:tab w:val="left" w:pos="2267"/>
              </w:tabs>
              <w:spacing w:after="0" w:line="240" w:lineRule="auto"/>
              <w:ind w:right="284"/>
              <w:jc w:val="left"/>
              <w:rPr>
                <w:rFonts w:ascii="Arial" w:eastAsia="Arial" w:hAnsi="Arial" w:cs="Arial"/>
                <w:bCs/>
                <w:color w:val="auto"/>
                <w:sz w:val="20"/>
                <w:szCs w:val="20"/>
              </w:rPr>
            </w:pPr>
            <w:r w:rsidRPr="000663FF">
              <w:rPr>
                <w:rFonts w:ascii="Arial" w:hAnsi="Arial" w:cs="Arial"/>
                <w:color w:val="auto"/>
                <w:sz w:val="20"/>
              </w:rPr>
              <w:t>Ashfield Green &amp; Blue Infrastructure and Biodiversity Strategy. Ashfield District Council, 2022-2032.</w:t>
            </w:r>
          </w:p>
        </w:tc>
      </w:tr>
      <w:tr w:rsidR="00B22DC9" w:rsidRPr="0059798D" w14:paraId="78141354" w14:textId="77777777" w:rsidTr="00DD4136">
        <w:tc>
          <w:tcPr>
            <w:tcW w:w="2263" w:type="dxa"/>
          </w:tcPr>
          <w:p w14:paraId="105CEB53" w14:textId="7F691976" w:rsidR="00B22DC9" w:rsidRPr="0059798D" w:rsidRDefault="00B22DC9" w:rsidP="00905CC9">
            <w:pPr>
              <w:keepNext w:val="0"/>
              <w:tabs>
                <w:tab w:val="left" w:pos="680"/>
                <w:tab w:val="left" w:pos="1133"/>
                <w:tab w:val="left" w:pos="2267"/>
              </w:tabs>
              <w:spacing w:before="0"/>
              <w:ind w:right="284"/>
              <w:jc w:val="left"/>
              <w:rPr>
                <w:rFonts w:eastAsia="Arial"/>
                <w:b/>
                <w:color w:val="auto"/>
                <w:sz w:val="22"/>
              </w:rPr>
            </w:pPr>
            <w:r w:rsidRPr="0052626B">
              <w:rPr>
                <w:rFonts w:eastAsia="Arial"/>
                <w:bCs/>
                <w:color w:val="auto"/>
                <w:sz w:val="20"/>
              </w:rPr>
              <w:t>National Planning Policy and Guidance</w:t>
            </w:r>
          </w:p>
        </w:tc>
        <w:tc>
          <w:tcPr>
            <w:tcW w:w="7371" w:type="dxa"/>
          </w:tcPr>
          <w:p w14:paraId="7E02D261" w14:textId="769BD1F5" w:rsidR="00B22DC9" w:rsidRPr="0052626B" w:rsidRDefault="00B22DC9"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52626B">
              <w:rPr>
                <w:rFonts w:eastAsia="Arial"/>
                <w:bCs/>
                <w:color w:val="auto"/>
                <w:sz w:val="20"/>
              </w:rPr>
              <w:t>NPPF 20</w:t>
            </w:r>
            <w:r w:rsidR="004173E0">
              <w:rPr>
                <w:rFonts w:eastAsia="Arial"/>
                <w:bCs/>
                <w:color w:val="auto"/>
                <w:sz w:val="20"/>
              </w:rPr>
              <w:t>23</w:t>
            </w:r>
            <w:r w:rsidRPr="0052626B">
              <w:rPr>
                <w:rFonts w:eastAsia="Arial"/>
                <w:bCs/>
                <w:color w:val="auto"/>
                <w:sz w:val="20"/>
              </w:rPr>
              <w:t>, Part 2: Achieving sustainable development.</w:t>
            </w:r>
          </w:p>
          <w:p w14:paraId="4D4DBFA9" w14:textId="77662887" w:rsidR="00B22DC9" w:rsidRPr="0052626B" w:rsidRDefault="00B22DC9" w:rsidP="00874A98">
            <w:pPr>
              <w:keepNext w:val="0"/>
              <w:numPr>
                <w:ilvl w:val="0"/>
                <w:numId w:val="119"/>
              </w:numPr>
              <w:spacing w:before="0" w:after="160" w:line="252" w:lineRule="auto"/>
              <w:contextualSpacing/>
              <w:jc w:val="left"/>
              <w:rPr>
                <w:color w:val="auto"/>
                <w:sz w:val="20"/>
              </w:rPr>
            </w:pPr>
            <w:r w:rsidRPr="0052626B">
              <w:rPr>
                <w:rFonts w:eastAsia="Arial"/>
                <w:bCs/>
                <w:color w:val="auto"/>
                <w:sz w:val="20"/>
              </w:rPr>
              <w:t>NPPF 20</w:t>
            </w:r>
            <w:r w:rsidR="004173E0">
              <w:rPr>
                <w:rFonts w:eastAsia="Arial"/>
                <w:bCs/>
                <w:color w:val="auto"/>
                <w:sz w:val="20"/>
              </w:rPr>
              <w:t>23</w:t>
            </w:r>
            <w:r w:rsidRPr="0052626B">
              <w:rPr>
                <w:rFonts w:eastAsia="Arial"/>
                <w:bCs/>
                <w:color w:val="auto"/>
                <w:sz w:val="20"/>
              </w:rPr>
              <w:t>,</w:t>
            </w:r>
            <w:r w:rsidRPr="0052626B">
              <w:rPr>
                <w:color w:val="auto"/>
                <w:sz w:val="20"/>
              </w:rPr>
              <w:t xml:space="preserve"> Part 9: Promoting sustainable transport.</w:t>
            </w:r>
          </w:p>
          <w:p w14:paraId="57BC9103" w14:textId="1F29E59D" w:rsidR="00B22DC9" w:rsidRPr="0059798D" w:rsidRDefault="00B22DC9"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
                <w:color w:val="auto"/>
                <w:sz w:val="22"/>
              </w:rPr>
            </w:pPr>
            <w:r w:rsidRPr="0052626B">
              <w:rPr>
                <w:rFonts w:eastAsia="Arial"/>
                <w:bCs/>
                <w:color w:val="auto"/>
                <w:sz w:val="20"/>
              </w:rPr>
              <w:t xml:space="preserve">Planning Practice Guidance: Transport evidence bases in plan making and decision </w:t>
            </w:r>
            <w:r w:rsidRPr="000663FF">
              <w:rPr>
                <w:rFonts w:eastAsia="Arial"/>
                <w:bCs/>
                <w:color w:val="auto"/>
                <w:sz w:val="20"/>
              </w:rPr>
              <w:t>taking</w:t>
            </w:r>
            <w:r w:rsidR="0025538D" w:rsidRPr="000663FF">
              <w:rPr>
                <w:rFonts w:eastAsia="Arial"/>
                <w:bCs/>
                <w:color w:val="auto"/>
                <w:sz w:val="20"/>
              </w:rPr>
              <w:t xml:space="preserve"> March 2015.</w:t>
            </w:r>
          </w:p>
        </w:tc>
      </w:tr>
    </w:tbl>
    <w:p w14:paraId="0179C3AF" w14:textId="77777777" w:rsidR="0059798D" w:rsidRPr="00B22DC9" w:rsidRDefault="0059798D" w:rsidP="0059798D">
      <w:pPr>
        <w:keepNext w:val="0"/>
        <w:spacing w:before="0"/>
        <w:ind w:left="527"/>
        <w:rPr>
          <w:rFonts w:cs="Arial"/>
          <w:color w:val="auto"/>
          <w:szCs w:val="24"/>
          <w:lang w:eastAsia="en-US"/>
        </w:rPr>
      </w:pPr>
    </w:p>
    <w:p w14:paraId="2A134454" w14:textId="7606A499" w:rsidR="00221F22" w:rsidRDefault="00221F22" w:rsidP="00221F22">
      <w:pPr>
        <w:keepNext w:val="0"/>
        <w:numPr>
          <w:ilvl w:val="1"/>
          <w:numId w:val="7"/>
        </w:numPr>
        <w:tabs>
          <w:tab w:val="clear" w:pos="525"/>
        </w:tabs>
        <w:spacing w:before="0"/>
        <w:ind w:left="709" w:hanging="709"/>
        <w:rPr>
          <w:rFonts w:cs="Arial"/>
          <w:color w:val="auto"/>
          <w:szCs w:val="24"/>
          <w:lang w:eastAsia="en-US"/>
        </w:rPr>
      </w:pPr>
      <w:r w:rsidRPr="00221F22">
        <w:rPr>
          <w:rFonts w:cs="Arial"/>
          <w:color w:val="auto"/>
          <w:szCs w:val="24"/>
          <w:lang w:eastAsia="en-US"/>
        </w:rPr>
        <w:t>The Policy set out provision for the required transport infrastructure to support development with an emphasis on reducing the need to travel by the private motor vehicle.</w:t>
      </w:r>
    </w:p>
    <w:p w14:paraId="77E57010" w14:textId="77777777" w:rsidR="00221F22" w:rsidRPr="00221F22" w:rsidRDefault="00221F22" w:rsidP="00221F22">
      <w:pPr>
        <w:keepNext w:val="0"/>
        <w:spacing w:before="0"/>
        <w:ind w:left="709"/>
        <w:rPr>
          <w:rFonts w:cs="Arial"/>
          <w:color w:val="auto"/>
          <w:szCs w:val="24"/>
          <w:lang w:eastAsia="en-US"/>
        </w:rPr>
      </w:pPr>
    </w:p>
    <w:p w14:paraId="0F9CEDBF" w14:textId="431F57AB" w:rsidR="00D41DD2" w:rsidRPr="00D41DD2" w:rsidRDefault="00B22DC9" w:rsidP="00D41DD2">
      <w:pPr>
        <w:keepNext w:val="0"/>
        <w:numPr>
          <w:ilvl w:val="1"/>
          <w:numId w:val="7"/>
        </w:numPr>
        <w:tabs>
          <w:tab w:val="clear" w:pos="525"/>
        </w:tabs>
        <w:spacing w:before="0"/>
        <w:ind w:left="709" w:hanging="709"/>
        <w:rPr>
          <w:rFonts w:cs="Arial"/>
          <w:color w:val="auto"/>
          <w:szCs w:val="24"/>
          <w:lang w:eastAsia="en-US"/>
        </w:rPr>
      </w:pPr>
      <w:r w:rsidRPr="00B22DC9">
        <w:rPr>
          <w:rFonts w:eastAsia="Arial" w:cs="Arial"/>
          <w:color w:val="auto"/>
        </w:rPr>
        <w:t>The Nottinghamshire Local Transport Plan (LTP3)</w:t>
      </w:r>
      <w:r w:rsidRPr="00B22DC9">
        <w:rPr>
          <w:rFonts w:eastAsia="Arial" w:cs="Arial"/>
          <w:color w:val="auto"/>
          <w:vertAlign w:val="superscript"/>
        </w:rPr>
        <w:footnoteReference w:id="107"/>
      </w:r>
      <w:r w:rsidRPr="00B22DC9">
        <w:rPr>
          <w:rFonts w:eastAsia="Arial" w:cs="Arial"/>
          <w:color w:val="auto"/>
        </w:rPr>
        <w:t xml:space="preserve"> details the transport strategy for the whole of Nottinghamshire for a </w:t>
      </w:r>
      <w:proofErr w:type="gramStart"/>
      <w:r w:rsidRPr="00B22DC9">
        <w:rPr>
          <w:rFonts w:eastAsia="Arial" w:cs="Arial"/>
          <w:color w:val="auto"/>
        </w:rPr>
        <w:t>fifteen year</w:t>
      </w:r>
      <w:proofErr w:type="gramEnd"/>
      <w:r w:rsidRPr="00B22DC9">
        <w:rPr>
          <w:rFonts w:eastAsia="Arial" w:cs="Arial"/>
          <w:color w:val="auto"/>
        </w:rPr>
        <w:t xml:space="preserve"> period. This Policy is closely linked to the objectives of the LTP3 in seeking to promote smarter choices which will reduce congestion on the highway network. </w:t>
      </w:r>
    </w:p>
    <w:p w14:paraId="0A32DE7B" w14:textId="77777777" w:rsidR="00D41DD2" w:rsidRDefault="00D41DD2" w:rsidP="00D41DD2">
      <w:pPr>
        <w:keepNext w:val="0"/>
        <w:spacing w:before="0"/>
        <w:ind w:left="709"/>
        <w:rPr>
          <w:rFonts w:cs="Arial"/>
          <w:color w:val="auto"/>
          <w:szCs w:val="24"/>
          <w:lang w:eastAsia="en-US"/>
        </w:rPr>
      </w:pPr>
    </w:p>
    <w:p w14:paraId="2D7CD6D6" w14:textId="0532A080" w:rsidR="00D41DD2" w:rsidRPr="00142C51" w:rsidRDefault="00B22DC9" w:rsidP="00D41DD2">
      <w:pPr>
        <w:keepNext w:val="0"/>
        <w:numPr>
          <w:ilvl w:val="1"/>
          <w:numId w:val="7"/>
        </w:numPr>
        <w:tabs>
          <w:tab w:val="clear" w:pos="525"/>
        </w:tabs>
        <w:spacing w:before="0"/>
        <w:ind w:left="709" w:hanging="709"/>
        <w:rPr>
          <w:rFonts w:cs="Arial"/>
          <w:color w:val="auto"/>
          <w:szCs w:val="24"/>
          <w:lang w:eastAsia="en-US"/>
        </w:rPr>
      </w:pPr>
      <w:r w:rsidRPr="00D41DD2">
        <w:rPr>
          <w:rFonts w:eastAsia="Arial" w:cs="Arial"/>
          <w:color w:val="auto"/>
        </w:rPr>
        <w:t xml:space="preserve">New development should not put a burden on the public highway or lead to an unacceptable increase in emissions in relation to air quality.  The Council will seek to ensure that new development promotes smarter choices which support sustainable patterns of travel. This can be achieved in </w:t>
      </w:r>
      <w:proofErr w:type="gramStart"/>
      <w:r w:rsidRPr="00D41DD2">
        <w:rPr>
          <w:rFonts w:eastAsia="Arial" w:cs="Arial"/>
          <w:color w:val="auto"/>
        </w:rPr>
        <w:t>a number of</w:t>
      </w:r>
      <w:proofErr w:type="gramEnd"/>
      <w:r w:rsidRPr="00D41DD2">
        <w:rPr>
          <w:rFonts w:eastAsia="Arial" w:cs="Arial"/>
          <w:color w:val="auto"/>
        </w:rPr>
        <w:t xml:space="preserve"> ways but in land use planning terms new development should provide opportunities for good access to public transport; walking and cycling routes, town centres and local services and facilities. Travel plans are also a useful tool for large scale residential developments and for commercial developments. To outline how a development will propose to promote sustainable travel. </w:t>
      </w:r>
    </w:p>
    <w:p w14:paraId="0243F6BE" w14:textId="77777777" w:rsidR="00142C51" w:rsidRPr="000663FF" w:rsidRDefault="00142C51" w:rsidP="00142C51">
      <w:pPr>
        <w:keepNext w:val="0"/>
        <w:spacing w:before="0"/>
        <w:rPr>
          <w:rFonts w:cs="Arial"/>
          <w:color w:val="auto"/>
          <w:szCs w:val="24"/>
          <w:lang w:eastAsia="en-US"/>
        </w:rPr>
      </w:pPr>
      <w:bookmarkStart w:id="324" w:name="_Hlk96339327"/>
    </w:p>
    <w:p w14:paraId="299CBC6C" w14:textId="0FEE0D96" w:rsidR="00142C51" w:rsidRPr="000663FF" w:rsidRDefault="00142C51" w:rsidP="00D41DD2">
      <w:pPr>
        <w:keepNext w:val="0"/>
        <w:numPr>
          <w:ilvl w:val="1"/>
          <w:numId w:val="7"/>
        </w:numPr>
        <w:tabs>
          <w:tab w:val="clear" w:pos="525"/>
        </w:tabs>
        <w:spacing w:before="0"/>
        <w:ind w:left="709" w:hanging="709"/>
        <w:rPr>
          <w:rFonts w:cs="Arial"/>
          <w:color w:val="auto"/>
          <w:szCs w:val="24"/>
          <w:lang w:eastAsia="en-US"/>
        </w:rPr>
      </w:pPr>
      <w:r w:rsidRPr="000663FF">
        <w:rPr>
          <w:rFonts w:cs="Arial"/>
          <w:color w:val="auto"/>
          <w:szCs w:val="24"/>
          <w:lang w:eastAsia="en-US"/>
        </w:rPr>
        <w:t xml:space="preserve">One of the priorities for infrastructure provision in the </w:t>
      </w:r>
      <w:proofErr w:type="gramStart"/>
      <w:r w:rsidRPr="000663FF">
        <w:rPr>
          <w:rFonts w:cs="Arial"/>
          <w:color w:val="auto"/>
          <w:szCs w:val="24"/>
          <w:lang w:eastAsia="en-US"/>
        </w:rPr>
        <w:t>District</w:t>
      </w:r>
      <w:proofErr w:type="gramEnd"/>
      <w:r w:rsidRPr="000663FF">
        <w:rPr>
          <w:rFonts w:cs="Arial"/>
          <w:color w:val="auto"/>
          <w:szCs w:val="24"/>
          <w:lang w:eastAsia="en-US"/>
        </w:rPr>
        <w:t xml:space="preserve"> is to improve railway connections and facilities on the Robin Hood Line and the Maid Marian Line.   Where appropriate, improvements may be required to the existing railway infrastructure such as level crossings including contributions from development where the requirements of the Community Infrastructure Regulations are met.</w:t>
      </w:r>
    </w:p>
    <w:bookmarkEnd w:id="324"/>
    <w:p w14:paraId="0394068F" w14:textId="77777777" w:rsidR="00D41DD2" w:rsidRPr="000663FF" w:rsidRDefault="00D41DD2" w:rsidP="00D41DD2">
      <w:pPr>
        <w:keepNext w:val="0"/>
        <w:spacing w:before="0"/>
        <w:rPr>
          <w:rFonts w:cs="Arial"/>
          <w:color w:val="auto"/>
          <w:szCs w:val="24"/>
          <w:lang w:eastAsia="en-US"/>
        </w:rPr>
      </w:pPr>
    </w:p>
    <w:p w14:paraId="109B043D" w14:textId="77777777" w:rsidR="00D41DD2" w:rsidRDefault="00B22DC9" w:rsidP="00D41DD2">
      <w:pPr>
        <w:keepNext w:val="0"/>
        <w:numPr>
          <w:ilvl w:val="1"/>
          <w:numId w:val="7"/>
        </w:numPr>
        <w:tabs>
          <w:tab w:val="clear" w:pos="525"/>
        </w:tabs>
        <w:spacing w:before="0"/>
        <w:ind w:left="709" w:hanging="709"/>
        <w:rPr>
          <w:rFonts w:cs="Arial"/>
          <w:color w:val="auto"/>
          <w:szCs w:val="24"/>
          <w:lang w:eastAsia="en-US"/>
        </w:rPr>
      </w:pPr>
      <w:r w:rsidRPr="00D41DD2">
        <w:rPr>
          <w:rFonts w:eastAsia="Arial" w:cs="Arial"/>
          <w:color w:val="auto"/>
        </w:rPr>
        <w:t xml:space="preserve">Where there are known areas of public transport deficiency, such as the area to the west of Hucknall. The Council will seek to address this by working with developers </w:t>
      </w:r>
      <w:r w:rsidRPr="00D41DD2">
        <w:rPr>
          <w:rFonts w:eastAsia="Arial" w:cs="Arial"/>
          <w:color w:val="auto"/>
        </w:rPr>
        <w:lastRenderedPageBreak/>
        <w:t xml:space="preserve">and service providers to promote well designed development which promotes smarter choices of travel.  </w:t>
      </w:r>
    </w:p>
    <w:p w14:paraId="4BC7556E" w14:textId="77777777" w:rsidR="00221F22" w:rsidRDefault="00221F22" w:rsidP="00D41DD2">
      <w:pPr>
        <w:keepNext w:val="0"/>
        <w:spacing w:before="0"/>
        <w:ind w:left="709"/>
        <w:rPr>
          <w:rFonts w:eastAsia="Arial" w:cs="Arial"/>
          <w:b/>
          <w:color w:val="auto"/>
        </w:rPr>
      </w:pPr>
    </w:p>
    <w:p w14:paraId="659ADF25" w14:textId="3808FC64" w:rsidR="00D41DD2" w:rsidRPr="00D41DD2" w:rsidRDefault="00B22DC9" w:rsidP="00D41DD2">
      <w:pPr>
        <w:keepNext w:val="0"/>
        <w:spacing w:before="0"/>
        <w:ind w:left="709"/>
        <w:rPr>
          <w:rFonts w:cs="Arial"/>
          <w:color w:val="auto"/>
          <w:szCs w:val="24"/>
          <w:lang w:eastAsia="en-US"/>
        </w:rPr>
      </w:pPr>
      <w:r w:rsidRPr="00D41DD2">
        <w:rPr>
          <w:rFonts w:eastAsia="Arial" w:cs="Arial"/>
          <w:b/>
          <w:color w:val="auto"/>
        </w:rPr>
        <w:t>Design</w:t>
      </w:r>
    </w:p>
    <w:p w14:paraId="5F9FFBDF" w14:textId="178E86F6" w:rsidR="00D41DD2" w:rsidRPr="00D41DD2" w:rsidRDefault="00B22DC9" w:rsidP="00D41DD2">
      <w:pPr>
        <w:keepNext w:val="0"/>
        <w:numPr>
          <w:ilvl w:val="1"/>
          <w:numId w:val="7"/>
        </w:numPr>
        <w:tabs>
          <w:tab w:val="clear" w:pos="525"/>
        </w:tabs>
        <w:spacing w:before="0"/>
        <w:ind w:left="709" w:hanging="709"/>
        <w:rPr>
          <w:rFonts w:cs="Arial"/>
          <w:color w:val="auto"/>
          <w:szCs w:val="24"/>
          <w:lang w:eastAsia="en-US"/>
        </w:rPr>
      </w:pPr>
      <w:proofErr w:type="gramStart"/>
      <w:r w:rsidRPr="00D41DD2">
        <w:rPr>
          <w:rFonts w:eastAsia="Arial" w:cs="Arial"/>
          <w:color w:val="auto"/>
        </w:rPr>
        <w:t>With regard to</w:t>
      </w:r>
      <w:proofErr w:type="gramEnd"/>
      <w:r w:rsidRPr="00D41DD2">
        <w:rPr>
          <w:rFonts w:eastAsia="Arial" w:cs="Arial"/>
          <w:color w:val="auto"/>
        </w:rPr>
        <w:t xml:space="preserve"> transport and movement, development proposals should be well designed in terms of the site layout, connectivity, legibility and landscaping; new neighbourhoods should create a sense of place with a strong identity which links well to the surrounding area. In achieving this, development proposals must create high quality public realm that enhances ‘place’, whilst providing an effective movement network. </w:t>
      </w:r>
    </w:p>
    <w:p w14:paraId="51DC42E3" w14:textId="77777777" w:rsidR="00D41DD2" w:rsidRDefault="00D41DD2" w:rsidP="00D41DD2">
      <w:pPr>
        <w:keepNext w:val="0"/>
        <w:spacing w:before="0"/>
        <w:ind w:left="709"/>
        <w:rPr>
          <w:rFonts w:cs="Arial"/>
          <w:color w:val="auto"/>
          <w:szCs w:val="24"/>
          <w:lang w:eastAsia="en-US"/>
        </w:rPr>
      </w:pPr>
    </w:p>
    <w:p w14:paraId="63450359" w14:textId="7CB4DFC2" w:rsidR="00D41DD2" w:rsidRPr="00D41DD2" w:rsidRDefault="00B22DC9" w:rsidP="00D41DD2">
      <w:pPr>
        <w:keepNext w:val="0"/>
        <w:numPr>
          <w:ilvl w:val="1"/>
          <w:numId w:val="7"/>
        </w:numPr>
        <w:tabs>
          <w:tab w:val="clear" w:pos="525"/>
        </w:tabs>
        <w:spacing w:before="0"/>
        <w:ind w:left="709" w:hanging="709"/>
        <w:rPr>
          <w:rFonts w:cs="Arial"/>
          <w:color w:val="auto"/>
          <w:szCs w:val="24"/>
          <w:lang w:eastAsia="en-US"/>
        </w:rPr>
      </w:pPr>
      <w:r w:rsidRPr="00D41DD2">
        <w:rPr>
          <w:rFonts w:eastAsia="Arial" w:cs="Arial"/>
          <w:color w:val="auto"/>
        </w:rPr>
        <w:t>When designing the road network, including vehicular access points, consideration must be given to the needs of all users. Safety and convenience are key issues which must be addressed. The needs of pedestrians, cyclists</w:t>
      </w:r>
      <w:r w:rsidRPr="00B22DC9">
        <w:rPr>
          <w:rFonts w:eastAsia="Arial" w:cs="Arial"/>
          <w:color w:val="auto"/>
          <w:vertAlign w:val="superscript"/>
        </w:rPr>
        <w:footnoteReference w:id="108"/>
      </w:r>
      <w:r w:rsidRPr="00D41DD2">
        <w:rPr>
          <w:rFonts w:eastAsia="Arial" w:cs="Arial"/>
          <w:color w:val="auto"/>
        </w:rPr>
        <w:t xml:space="preserve"> and people with disabilities, including wheelchair users and the visually impaired, must be at the forefront of the design process. </w:t>
      </w:r>
    </w:p>
    <w:p w14:paraId="41F917B4" w14:textId="77777777" w:rsidR="00D41DD2" w:rsidRDefault="00D41DD2" w:rsidP="00D41DD2">
      <w:pPr>
        <w:keepNext w:val="0"/>
        <w:spacing w:before="0"/>
        <w:rPr>
          <w:rFonts w:cs="Arial"/>
          <w:color w:val="auto"/>
          <w:szCs w:val="24"/>
          <w:lang w:eastAsia="en-US"/>
        </w:rPr>
      </w:pPr>
    </w:p>
    <w:p w14:paraId="50A22B91" w14:textId="39253347" w:rsidR="00D41DD2" w:rsidRPr="00D41DD2" w:rsidRDefault="00B22DC9" w:rsidP="00D41DD2">
      <w:pPr>
        <w:keepNext w:val="0"/>
        <w:numPr>
          <w:ilvl w:val="1"/>
          <w:numId w:val="7"/>
        </w:numPr>
        <w:tabs>
          <w:tab w:val="clear" w:pos="525"/>
        </w:tabs>
        <w:spacing w:before="0"/>
        <w:ind w:left="709" w:hanging="709"/>
        <w:rPr>
          <w:rFonts w:cs="Arial"/>
          <w:color w:val="auto"/>
          <w:szCs w:val="24"/>
          <w:lang w:eastAsia="en-US"/>
        </w:rPr>
      </w:pPr>
      <w:r w:rsidRPr="00D41DD2">
        <w:rPr>
          <w:rFonts w:eastAsia="Arial" w:cs="Arial"/>
          <w:iCs/>
          <w:color w:val="auto"/>
        </w:rPr>
        <w:t>Development to which cyclists and pedestrians would reasonably be expected to have access will need to facilitate:</w:t>
      </w:r>
    </w:p>
    <w:p w14:paraId="3791596B" w14:textId="77777777" w:rsidR="00D41DD2" w:rsidRPr="00B22DC9" w:rsidRDefault="00D41DD2" w:rsidP="00874A98">
      <w:pPr>
        <w:keepNext w:val="0"/>
        <w:numPr>
          <w:ilvl w:val="0"/>
          <w:numId w:val="234"/>
        </w:numPr>
        <w:autoSpaceDE w:val="0"/>
        <w:autoSpaceDN w:val="0"/>
        <w:adjustRightInd w:val="0"/>
        <w:spacing w:before="0"/>
        <w:ind w:left="1134" w:hanging="425"/>
        <w:jc w:val="both"/>
        <w:rPr>
          <w:rFonts w:eastAsia="Arial" w:cs="Arial"/>
          <w:iCs/>
          <w:color w:val="auto"/>
        </w:rPr>
      </w:pPr>
      <w:r w:rsidRPr="00B22DC9">
        <w:rPr>
          <w:rFonts w:eastAsia="Arial" w:cs="Arial"/>
          <w:iCs/>
          <w:color w:val="auto"/>
        </w:rPr>
        <w:t>safe and convenient cycle access, which link to existing or future cycle routes;</w:t>
      </w:r>
    </w:p>
    <w:p w14:paraId="5E2034DC" w14:textId="632D0E39" w:rsidR="00D41DD2" w:rsidRPr="00B22DC9" w:rsidRDefault="00D41DD2" w:rsidP="00874A98">
      <w:pPr>
        <w:keepNext w:val="0"/>
        <w:numPr>
          <w:ilvl w:val="0"/>
          <w:numId w:val="234"/>
        </w:numPr>
        <w:autoSpaceDE w:val="0"/>
        <w:autoSpaceDN w:val="0"/>
        <w:adjustRightInd w:val="0"/>
        <w:spacing w:before="0"/>
        <w:ind w:left="1134" w:hanging="425"/>
        <w:jc w:val="both"/>
        <w:rPr>
          <w:rFonts w:eastAsia="Arial" w:cs="Arial"/>
          <w:color w:val="auto"/>
        </w:rPr>
      </w:pPr>
      <w:r w:rsidRPr="00B22DC9">
        <w:rPr>
          <w:rFonts w:eastAsia="Arial" w:cs="Arial"/>
          <w:iCs/>
          <w:color w:val="auto"/>
        </w:rPr>
        <w:t>provide for the safe and convenient access by pedestrians including those with limited mobility.</w:t>
      </w:r>
    </w:p>
    <w:p w14:paraId="0AA6AEEC" w14:textId="77777777" w:rsidR="00D41DD2" w:rsidRDefault="00D41DD2" w:rsidP="00D41DD2">
      <w:pPr>
        <w:pStyle w:val="ListParagraph"/>
        <w:spacing w:after="0" w:line="240" w:lineRule="auto"/>
        <w:rPr>
          <w:rFonts w:eastAsia="Arial" w:cs="Arial"/>
          <w:color w:val="auto"/>
        </w:rPr>
      </w:pPr>
    </w:p>
    <w:p w14:paraId="71A720EC" w14:textId="50DE63F4" w:rsidR="00D41DD2" w:rsidRPr="00D41DD2" w:rsidRDefault="00B22DC9" w:rsidP="00D41DD2">
      <w:pPr>
        <w:keepNext w:val="0"/>
        <w:numPr>
          <w:ilvl w:val="1"/>
          <w:numId w:val="7"/>
        </w:numPr>
        <w:tabs>
          <w:tab w:val="clear" w:pos="525"/>
        </w:tabs>
        <w:spacing w:before="0"/>
        <w:ind w:left="709" w:hanging="709"/>
        <w:rPr>
          <w:rFonts w:cs="Arial"/>
          <w:color w:val="auto"/>
          <w:szCs w:val="24"/>
          <w:lang w:eastAsia="en-US"/>
        </w:rPr>
      </w:pPr>
      <w:r w:rsidRPr="00D41DD2">
        <w:rPr>
          <w:rFonts w:eastAsia="Arial" w:cs="Arial"/>
          <w:color w:val="auto"/>
        </w:rPr>
        <w:t>New residential developments need to provide a safe, attractive and quality highway network for all us</w:t>
      </w:r>
      <w:r w:rsidR="00221F22">
        <w:rPr>
          <w:rFonts w:eastAsia="Arial" w:cs="Arial"/>
          <w:color w:val="auto"/>
        </w:rPr>
        <w:t xml:space="preserve">ers.  </w:t>
      </w:r>
      <w:r w:rsidRPr="00D41DD2">
        <w:rPr>
          <w:rFonts w:eastAsia="Arial" w:cs="Arial"/>
          <w:color w:val="auto"/>
        </w:rPr>
        <w:t xml:space="preserve">The Council will require all new residential developments to accord with the principles set out in </w:t>
      </w:r>
      <w:r w:rsidR="00221F22">
        <w:rPr>
          <w:rFonts w:eastAsia="Arial" w:cs="Arial"/>
          <w:color w:val="auto"/>
        </w:rPr>
        <w:t xml:space="preserve">both local and </w:t>
      </w:r>
      <w:r w:rsidRPr="00D41DD2">
        <w:rPr>
          <w:rFonts w:eastAsia="Arial" w:cs="Arial"/>
          <w:color w:val="auto"/>
        </w:rPr>
        <w:t>other relevant national standards, in particular Building for a Healthy Life standards.</w:t>
      </w:r>
    </w:p>
    <w:p w14:paraId="2903EAF4" w14:textId="77777777" w:rsidR="00D41DD2" w:rsidRDefault="00D41DD2" w:rsidP="00D41DD2">
      <w:pPr>
        <w:keepNext w:val="0"/>
        <w:spacing w:before="0"/>
        <w:ind w:left="709"/>
        <w:rPr>
          <w:rFonts w:cs="Arial"/>
          <w:color w:val="auto"/>
          <w:szCs w:val="24"/>
          <w:lang w:eastAsia="en-US"/>
        </w:rPr>
      </w:pPr>
    </w:p>
    <w:p w14:paraId="10BA8913" w14:textId="5090D77C" w:rsidR="00D41DD2" w:rsidRPr="00D41DD2" w:rsidRDefault="00B22DC9" w:rsidP="00D41DD2">
      <w:pPr>
        <w:keepNext w:val="0"/>
        <w:spacing w:before="0"/>
        <w:ind w:left="709"/>
        <w:rPr>
          <w:rFonts w:cs="Arial"/>
          <w:color w:val="auto"/>
          <w:szCs w:val="24"/>
          <w:lang w:eastAsia="en-US"/>
        </w:rPr>
      </w:pPr>
      <w:r w:rsidRPr="00D41DD2">
        <w:rPr>
          <w:rFonts w:eastAsia="Arial" w:cs="Arial"/>
          <w:b/>
          <w:color w:val="auto"/>
        </w:rPr>
        <w:t>Highway Improvements</w:t>
      </w:r>
    </w:p>
    <w:p w14:paraId="603537FF" w14:textId="77777777" w:rsidR="000853B4" w:rsidRPr="000853B4" w:rsidRDefault="00B22DC9" w:rsidP="00A44712">
      <w:pPr>
        <w:keepNext w:val="0"/>
        <w:numPr>
          <w:ilvl w:val="1"/>
          <w:numId w:val="7"/>
        </w:numPr>
        <w:tabs>
          <w:tab w:val="clear" w:pos="525"/>
        </w:tabs>
        <w:spacing w:before="0"/>
        <w:ind w:left="709" w:hanging="709"/>
        <w:rPr>
          <w:color w:val="0070C0"/>
          <w:sz w:val="22"/>
        </w:rPr>
      </w:pPr>
      <w:r w:rsidRPr="000853B4">
        <w:rPr>
          <w:rFonts w:eastAsia="Arial" w:cs="Arial"/>
          <w:color w:val="auto"/>
        </w:rPr>
        <w:t>Development within the District and in surrounding districts will impact on local roads and strategic routes including M1 junctions. Working in partnership with the Highway Authority, the Highways England, neighbouring authorities and other partners, the Council will seek to improve and ensure that the cumulative impact of development in the wider area will not adversely affect the operation of the highway and public transport networks. This will be achieved through the implementation of projects and plans identified through the Local Plan, Infrastructure Delivery Plan, the Nottinghamshire Local Transport Plan (LTP3) and, where appropriate, other development schemes and studies.  Where appropriate, developer contributions will be required to enable transport improvement works within the affected area.</w:t>
      </w:r>
    </w:p>
    <w:p w14:paraId="70CA9252" w14:textId="77777777" w:rsidR="000853B4" w:rsidRPr="000853B4" w:rsidRDefault="000853B4" w:rsidP="000853B4">
      <w:pPr>
        <w:keepNext w:val="0"/>
        <w:spacing w:before="0"/>
        <w:ind w:left="709"/>
        <w:rPr>
          <w:color w:val="0070C0"/>
          <w:sz w:val="22"/>
        </w:rPr>
      </w:pPr>
    </w:p>
    <w:p w14:paraId="54A05868" w14:textId="52457CC5" w:rsidR="000853B4" w:rsidRPr="000853B4" w:rsidRDefault="00B22DC9" w:rsidP="00A44712">
      <w:pPr>
        <w:keepNext w:val="0"/>
        <w:numPr>
          <w:ilvl w:val="1"/>
          <w:numId w:val="7"/>
        </w:numPr>
        <w:tabs>
          <w:tab w:val="clear" w:pos="525"/>
        </w:tabs>
        <w:spacing w:before="0"/>
        <w:ind w:left="709" w:hanging="709"/>
        <w:rPr>
          <w:color w:val="0070C0"/>
          <w:szCs w:val="24"/>
        </w:rPr>
      </w:pPr>
      <w:r w:rsidRPr="000853B4">
        <w:rPr>
          <w:rFonts w:eastAsia="Arial" w:cs="Arial"/>
          <w:strike/>
          <w:color w:val="auto"/>
        </w:rPr>
        <w:t xml:space="preserve">Nottinghamshire County Council (the Highway Authority for Ashfield) is responsible for the implementation of LTP3. </w:t>
      </w:r>
      <w:r w:rsidR="00EA7D34" w:rsidRPr="000853B4">
        <w:rPr>
          <w:rFonts w:eastAsia="Arial" w:cs="Arial"/>
          <w:strike/>
          <w:color w:val="auto"/>
        </w:rPr>
        <w:t>The Council</w:t>
      </w:r>
      <w:r w:rsidRPr="000853B4">
        <w:rPr>
          <w:rFonts w:eastAsia="Arial" w:cs="Arial"/>
          <w:strike/>
          <w:color w:val="auto"/>
        </w:rPr>
        <w:t xml:space="preserve"> will require Transport Statements (TS) and Transport Assessments (TA) and Travel Plans to be submitted with certain proposals. Planning applications should accord with current standards and guidance set out in national and local highway design guides</w:t>
      </w:r>
      <w:r w:rsidRPr="000853B4">
        <w:rPr>
          <w:rFonts w:eastAsia="Arial" w:cs="Arial"/>
          <w:color w:val="auto"/>
        </w:rPr>
        <w:t xml:space="preserve">. </w:t>
      </w:r>
      <w:r w:rsidR="000853B4" w:rsidRPr="000853B4">
        <w:rPr>
          <w:rFonts w:eastAsia="Arial" w:cs="Arial"/>
          <w:color w:val="auto"/>
        </w:rPr>
        <w:t xml:space="preserve"> </w:t>
      </w:r>
      <w:r w:rsidR="000853B4" w:rsidRPr="000853B4">
        <w:rPr>
          <w:color w:val="0070C0"/>
          <w:szCs w:val="24"/>
        </w:rPr>
        <w:t xml:space="preserve">A transport </w:t>
      </w:r>
      <w:r w:rsidR="000853B4" w:rsidRPr="000853B4">
        <w:rPr>
          <w:color w:val="0070C0"/>
          <w:szCs w:val="24"/>
        </w:rPr>
        <w:lastRenderedPageBreak/>
        <w:t>assessment or statement, together with a travel plan, will be required for proposals that generate significant levels of movement. The scope of the assessment, including the need to address any cumulative impacts on the highway network, will need to be agreed with the Council in consultation with Nottinghamshire County Council as the Highway Authority for Ashfield. Information supporting planning applications should accord with current standards and guidance set out in national and local highway design guides</w:t>
      </w:r>
      <w:r w:rsidR="000853B4">
        <w:rPr>
          <w:rStyle w:val="FootnoteReference"/>
          <w:color w:val="0070C0"/>
          <w:szCs w:val="24"/>
        </w:rPr>
        <w:footnoteReference w:id="109"/>
      </w:r>
      <w:r w:rsidR="000853B4" w:rsidRPr="000853B4">
        <w:rPr>
          <w:color w:val="0070C0"/>
          <w:szCs w:val="24"/>
        </w:rPr>
        <w:t>.</w:t>
      </w:r>
    </w:p>
    <w:p w14:paraId="2E5A0325" w14:textId="3D42E444" w:rsidR="00340B1E" w:rsidRDefault="00340B1E" w:rsidP="00263F59">
      <w:pPr>
        <w:keepNext w:val="0"/>
        <w:spacing w:before="0"/>
        <w:rPr>
          <w:rFonts w:cs="Arial"/>
          <w:color w:val="auto"/>
          <w:szCs w:val="24"/>
          <w:lang w:eastAsia="en-US"/>
        </w:rPr>
      </w:pPr>
    </w:p>
    <w:p w14:paraId="397F1A8D" w14:textId="77777777" w:rsidR="000663FF" w:rsidRDefault="000663FF" w:rsidP="00263F59">
      <w:pPr>
        <w:keepNext w:val="0"/>
        <w:spacing w:before="0"/>
        <w:rPr>
          <w:rFonts w:cs="Arial"/>
          <w:color w:val="auto"/>
          <w:szCs w:val="24"/>
          <w:lang w:eastAsia="en-US"/>
        </w:rPr>
      </w:pPr>
    </w:p>
    <w:p w14:paraId="4B5EFD52" w14:textId="59E65A24" w:rsidR="0052626B" w:rsidRPr="00825421" w:rsidRDefault="006977E7" w:rsidP="00825421">
      <w:pPr>
        <w:pStyle w:val="Heading2"/>
        <w:jc w:val="left"/>
        <w:rPr>
          <w:sz w:val="28"/>
          <w:szCs w:val="28"/>
        </w:rPr>
      </w:pPr>
      <w:bookmarkStart w:id="325" w:name="_Toc145511620"/>
      <w:r w:rsidRPr="00825421">
        <w:rPr>
          <w:sz w:val="28"/>
          <w:szCs w:val="28"/>
        </w:rPr>
        <w:t xml:space="preserve">Policy </w:t>
      </w:r>
      <w:r w:rsidR="0052626B" w:rsidRPr="00825421">
        <w:rPr>
          <w:sz w:val="28"/>
          <w:szCs w:val="28"/>
        </w:rPr>
        <w:t>SD1</w:t>
      </w:r>
      <w:r w:rsidR="0064018F" w:rsidRPr="00825421">
        <w:rPr>
          <w:sz w:val="28"/>
          <w:szCs w:val="28"/>
        </w:rPr>
        <w:t>1</w:t>
      </w:r>
      <w:r w:rsidR="0052626B" w:rsidRPr="00825421">
        <w:rPr>
          <w:sz w:val="28"/>
          <w:szCs w:val="28"/>
        </w:rPr>
        <w:t>: Parking</w:t>
      </w:r>
      <w:bookmarkEnd w:id="325"/>
    </w:p>
    <w:p w14:paraId="5CB26807" w14:textId="77777777" w:rsidR="0052626B" w:rsidRPr="0052626B" w:rsidRDefault="0052626B" w:rsidP="0052626B">
      <w:pPr>
        <w:keepNext w:val="0"/>
        <w:spacing w:before="0"/>
        <w:rPr>
          <w:rFonts w:eastAsia="Arial" w:cs="Arial"/>
          <w:color w:val="auto"/>
        </w:rPr>
      </w:pPr>
    </w:p>
    <w:tbl>
      <w:tblPr>
        <w:tblStyle w:val="TableGrid3"/>
        <w:tblW w:w="9776" w:type="dxa"/>
        <w:tblLook w:val="04A0" w:firstRow="1" w:lastRow="0" w:firstColumn="1" w:lastColumn="0" w:noHBand="0" w:noVBand="1"/>
      </w:tblPr>
      <w:tblGrid>
        <w:gridCol w:w="2263"/>
        <w:gridCol w:w="397"/>
        <w:gridCol w:w="7116"/>
      </w:tblGrid>
      <w:tr w:rsidR="0052626B" w:rsidRPr="0052626B" w14:paraId="1AD3817A" w14:textId="77777777" w:rsidTr="00DD4136">
        <w:trPr>
          <w:trHeight w:val="421"/>
        </w:trPr>
        <w:tc>
          <w:tcPr>
            <w:tcW w:w="9776" w:type="dxa"/>
            <w:gridSpan w:val="3"/>
          </w:tcPr>
          <w:p w14:paraId="7E3F1338" w14:textId="77777777" w:rsidR="00D41DD2" w:rsidRDefault="00D41DD2" w:rsidP="00905CC9">
            <w:pPr>
              <w:keepNext w:val="0"/>
              <w:tabs>
                <w:tab w:val="left" w:pos="680"/>
              </w:tabs>
              <w:spacing w:before="0"/>
              <w:jc w:val="left"/>
              <w:rPr>
                <w:rFonts w:eastAsia="Arial"/>
                <w:b/>
                <w:color w:val="auto"/>
                <w:spacing w:val="-1"/>
              </w:rPr>
            </w:pPr>
            <w:bookmarkStart w:id="326" w:name="_Hlk78878679"/>
          </w:p>
          <w:p w14:paraId="42AE969B" w14:textId="3ED4A15C" w:rsidR="0052626B" w:rsidRDefault="0052626B" w:rsidP="00905CC9">
            <w:pPr>
              <w:keepNext w:val="0"/>
              <w:tabs>
                <w:tab w:val="left" w:pos="680"/>
              </w:tabs>
              <w:spacing w:before="0"/>
              <w:jc w:val="left"/>
              <w:rPr>
                <w:rFonts w:eastAsia="Arial"/>
                <w:b/>
                <w:color w:val="auto"/>
                <w:spacing w:val="-1"/>
              </w:rPr>
            </w:pPr>
            <w:r w:rsidRPr="008F21DB">
              <w:rPr>
                <w:rFonts w:eastAsia="Arial"/>
                <w:b/>
                <w:color w:val="auto"/>
                <w:spacing w:val="-1"/>
              </w:rPr>
              <w:t>Policy SD1</w:t>
            </w:r>
            <w:r w:rsidR="0064018F">
              <w:rPr>
                <w:rFonts w:eastAsia="Arial"/>
                <w:b/>
                <w:color w:val="auto"/>
                <w:spacing w:val="-1"/>
              </w:rPr>
              <w:t>1</w:t>
            </w:r>
            <w:r w:rsidRPr="008F21DB">
              <w:rPr>
                <w:rFonts w:eastAsia="Arial"/>
                <w:b/>
                <w:color w:val="auto"/>
                <w:spacing w:val="-1"/>
              </w:rPr>
              <w:t>: Parking</w:t>
            </w:r>
          </w:p>
          <w:p w14:paraId="434DCD8D" w14:textId="5D207ED5" w:rsidR="00D41DD2" w:rsidRPr="0052626B" w:rsidRDefault="00D41DD2" w:rsidP="00905CC9">
            <w:pPr>
              <w:keepNext w:val="0"/>
              <w:tabs>
                <w:tab w:val="left" w:pos="680"/>
              </w:tabs>
              <w:spacing w:before="0"/>
              <w:jc w:val="left"/>
              <w:rPr>
                <w:rFonts w:eastAsia="Arial"/>
                <w:b/>
                <w:color w:val="auto"/>
                <w:spacing w:val="-1"/>
              </w:rPr>
            </w:pPr>
          </w:p>
        </w:tc>
      </w:tr>
      <w:tr w:rsidR="0052626B" w:rsidRPr="0052626B" w14:paraId="46871435" w14:textId="77777777" w:rsidTr="00DD4136">
        <w:tc>
          <w:tcPr>
            <w:tcW w:w="2660" w:type="dxa"/>
            <w:gridSpan w:val="2"/>
          </w:tcPr>
          <w:p w14:paraId="3F1AE456" w14:textId="77777777" w:rsidR="0052626B" w:rsidRPr="008F21DB" w:rsidRDefault="0052626B" w:rsidP="0052626B">
            <w:pPr>
              <w:keepNext w:val="0"/>
              <w:tabs>
                <w:tab w:val="left" w:pos="680"/>
              </w:tabs>
              <w:spacing w:before="0"/>
              <w:rPr>
                <w:rFonts w:eastAsia="Arial"/>
                <w:bCs/>
                <w:color w:val="auto"/>
              </w:rPr>
            </w:pPr>
            <w:r w:rsidRPr="008F21DB">
              <w:rPr>
                <w:rFonts w:eastAsia="Arial"/>
                <w:bCs/>
                <w:color w:val="auto"/>
              </w:rPr>
              <w:t>Strategic Objectives</w:t>
            </w:r>
          </w:p>
        </w:tc>
        <w:tc>
          <w:tcPr>
            <w:tcW w:w="7116" w:type="dxa"/>
          </w:tcPr>
          <w:p w14:paraId="05B687DE" w14:textId="77777777" w:rsidR="0052626B" w:rsidRPr="008F21DB" w:rsidRDefault="0052626B" w:rsidP="00905CC9">
            <w:pPr>
              <w:keepNext w:val="0"/>
              <w:tabs>
                <w:tab w:val="left" w:pos="680"/>
              </w:tabs>
              <w:spacing w:before="40" w:after="40"/>
              <w:jc w:val="left"/>
              <w:rPr>
                <w:rFonts w:eastAsia="Arial"/>
                <w:bCs/>
                <w:color w:val="auto"/>
              </w:rPr>
            </w:pPr>
            <w:r w:rsidRPr="008F21DB">
              <w:rPr>
                <w:rFonts w:eastAsia="Arial"/>
                <w:bCs/>
                <w:color w:val="auto"/>
              </w:rPr>
              <w:t>SO1, SO2, SO3, SO4, SO11, SO12, SO14.</w:t>
            </w:r>
          </w:p>
        </w:tc>
      </w:tr>
      <w:tr w:rsidR="0052626B" w:rsidRPr="0052626B" w14:paraId="1B686A29" w14:textId="77777777" w:rsidTr="00DD4136">
        <w:tc>
          <w:tcPr>
            <w:tcW w:w="9776" w:type="dxa"/>
            <w:gridSpan w:val="3"/>
            <w:shd w:val="clear" w:color="auto" w:fill="DAC4F8"/>
          </w:tcPr>
          <w:p w14:paraId="471F16CF" w14:textId="77777777" w:rsidR="0052626B" w:rsidRPr="0052626B" w:rsidRDefault="0052626B" w:rsidP="00905CC9">
            <w:pPr>
              <w:keepNext w:val="0"/>
              <w:tabs>
                <w:tab w:val="left" w:pos="680"/>
                <w:tab w:val="left" w:pos="1133"/>
                <w:tab w:val="left" w:pos="2267"/>
              </w:tabs>
              <w:spacing w:before="0"/>
              <w:ind w:right="284"/>
              <w:jc w:val="left"/>
              <w:rPr>
                <w:rFonts w:eastAsia="Arial"/>
                <w:bCs/>
                <w:color w:val="auto"/>
              </w:rPr>
            </w:pPr>
          </w:p>
          <w:p w14:paraId="0EBAF013" w14:textId="77777777" w:rsidR="0052626B" w:rsidRPr="0052626B" w:rsidRDefault="0052626B" w:rsidP="00874A98">
            <w:pPr>
              <w:keepNext w:val="0"/>
              <w:numPr>
                <w:ilvl w:val="0"/>
                <w:numId w:val="195"/>
              </w:numPr>
              <w:tabs>
                <w:tab w:val="left" w:pos="680"/>
                <w:tab w:val="left" w:pos="1133"/>
                <w:tab w:val="left" w:pos="2267"/>
              </w:tabs>
              <w:spacing w:before="0"/>
              <w:ind w:right="284"/>
              <w:jc w:val="left"/>
              <w:rPr>
                <w:rFonts w:eastAsia="Arial"/>
                <w:bCs/>
                <w:color w:val="auto"/>
              </w:rPr>
            </w:pPr>
            <w:r w:rsidRPr="0052626B">
              <w:rPr>
                <w:rFonts w:eastAsia="Arial"/>
                <w:bCs/>
                <w:color w:val="auto"/>
              </w:rPr>
              <w:t xml:space="preserve">The Council will promote an integrated, design-led approach to vehicle parking. Parking provision should be adequate to serve the proposed development, appropriately sited and complement the street scene. </w:t>
            </w:r>
            <w:proofErr w:type="gramStart"/>
            <w:r w:rsidRPr="0052626B">
              <w:rPr>
                <w:rFonts w:eastAsia="Arial"/>
                <w:bCs/>
                <w:color w:val="auto"/>
              </w:rPr>
              <w:t>In order to</w:t>
            </w:r>
            <w:proofErr w:type="gramEnd"/>
            <w:r w:rsidRPr="0052626B">
              <w:rPr>
                <w:rFonts w:eastAsia="Arial"/>
                <w:bCs/>
                <w:color w:val="auto"/>
              </w:rPr>
              <w:t xml:space="preserve"> achieve this, developments must meet the following criteria:</w:t>
            </w:r>
          </w:p>
          <w:p w14:paraId="3498B975" w14:textId="77777777" w:rsidR="0052626B" w:rsidRPr="0052626B" w:rsidRDefault="0052626B" w:rsidP="00905CC9">
            <w:pPr>
              <w:keepNext w:val="0"/>
              <w:spacing w:before="0"/>
              <w:jc w:val="left"/>
              <w:rPr>
                <w:rFonts w:eastAsia="Arial" w:cs="Arial"/>
                <w:bCs/>
                <w:color w:val="auto"/>
              </w:rPr>
            </w:pPr>
          </w:p>
          <w:p w14:paraId="620F8BF4" w14:textId="77777777" w:rsidR="0052626B" w:rsidRPr="0052626B" w:rsidRDefault="0052626B" w:rsidP="00874A98">
            <w:pPr>
              <w:keepNext w:val="0"/>
              <w:numPr>
                <w:ilvl w:val="0"/>
                <w:numId w:val="194"/>
              </w:numPr>
              <w:spacing w:before="0"/>
              <w:jc w:val="left"/>
              <w:rPr>
                <w:rFonts w:eastAsia="Arial" w:cs="Arial"/>
                <w:bCs/>
                <w:color w:val="auto"/>
              </w:rPr>
            </w:pPr>
            <w:r w:rsidRPr="0052626B">
              <w:rPr>
                <w:rFonts w:eastAsia="Arial" w:cs="Arial"/>
                <w:bCs/>
                <w:color w:val="auto"/>
              </w:rPr>
              <w:t>Parking facilities should appropriately provide for the needs of the development;</w:t>
            </w:r>
          </w:p>
          <w:p w14:paraId="0978F04D" w14:textId="77777777" w:rsidR="0052626B" w:rsidRPr="0052626B" w:rsidRDefault="0052626B" w:rsidP="00874A98">
            <w:pPr>
              <w:keepNext w:val="0"/>
              <w:numPr>
                <w:ilvl w:val="0"/>
                <w:numId w:val="194"/>
              </w:numPr>
              <w:spacing w:before="0"/>
              <w:jc w:val="left"/>
              <w:rPr>
                <w:rFonts w:eastAsia="Arial" w:cs="Arial"/>
                <w:bCs/>
                <w:color w:val="auto"/>
              </w:rPr>
            </w:pPr>
            <w:r w:rsidRPr="0052626B">
              <w:rPr>
                <w:rFonts w:eastAsia="Arial" w:cs="Arial"/>
                <w:bCs/>
                <w:color w:val="auto"/>
              </w:rPr>
              <w:t xml:space="preserve">Off-street parking should be designed to incorporate safety and security measures, to minimise inappropriate parking and to minimise the urban heat island </w:t>
            </w:r>
            <w:proofErr w:type="gramStart"/>
            <w:r w:rsidRPr="0052626B">
              <w:rPr>
                <w:rFonts w:eastAsia="Arial" w:cs="Arial"/>
                <w:bCs/>
                <w:color w:val="auto"/>
              </w:rPr>
              <w:t>effect  by</w:t>
            </w:r>
            <w:proofErr w:type="gramEnd"/>
            <w:r w:rsidRPr="0052626B">
              <w:rPr>
                <w:rFonts w:eastAsia="Arial" w:cs="Arial"/>
                <w:bCs/>
                <w:color w:val="auto"/>
              </w:rPr>
              <w:t xml:space="preserve"> providing soft landscaping, permeable surfaces and other treatments to offset adverse impacts of surface water run-off;</w:t>
            </w:r>
          </w:p>
          <w:p w14:paraId="7FA77995" w14:textId="77777777" w:rsidR="0052626B" w:rsidRPr="0052626B" w:rsidRDefault="0052626B" w:rsidP="00874A98">
            <w:pPr>
              <w:keepNext w:val="0"/>
              <w:numPr>
                <w:ilvl w:val="0"/>
                <w:numId w:val="194"/>
              </w:numPr>
              <w:spacing w:before="0"/>
              <w:jc w:val="left"/>
              <w:rPr>
                <w:rFonts w:eastAsia="Arial" w:cs="Arial"/>
                <w:bCs/>
                <w:color w:val="auto"/>
              </w:rPr>
            </w:pPr>
            <w:r w:rsidRPr="0052626B">
              <w:rPr>
                <w:rFonts w:eastAsia="Arial" w:cs="Arial"/>
                <w:bCs/>
                <w:color w:val="auto"/>
              </w:rPr>
              <w:t>On-street parking must be well located and should be suitably integrated into the development scheme, utilising high quality materials and landscaping.  It must not dominate building and road frontage;</w:t>
            </w:r>
          </w:p>
          <w:p w14:paraId="56F0517F" w14:textId="77777777" w:rsidR="0052626B" w:rsidRPr="0052626B" w:rsidRDefault="0052626B" w:rsidP="00874A98">
            <w:pPr>
              <w:keepNext w:val="0"/>
              <w:numPr>
                <w:ilvl w:val="0"/>
                <w:numId w:val="194"/>
              </w:numPr>
              <w:spacing w:before="0"/>
              <w:jc w:val="left"/>
              <w:rPr>
                <w:rFonts w:eastAsia="Arial" w:cs="Arial"/>
                <w:bCs/>
                <w:color w:val="auto"/>
              </w:rPr>
            </w:pPr>
            <w:r w:rsidRPr="0052626B">
              <w:rPr>
                <w:rFonts w:eastAsia="Arial" w:cs="Arial"/>
                <w:bCs/>
                <w:color w:val="auto"/>
              </w:rPr>
              <w:t>Provision must be made for people with impaired mobility where necessary;</w:t>
            </w:r>
          </w:p>
          <w:p w14:paraId="5C736574" w14:textId="30EB8672" w:rsidR="0052626B" w:rsidRPr="000663FF" w:rsidRDefault="0052626B" w:rsidP="00874A98">
            <w:pPr>
              <w:keepNext w:val="0"/>
              <w:numPr>
                <w:ilvl w:val="0"/>
                <w:numId w:val="194"/>
              </w:numPr>
              <w:spacing w:before="0"/>
              <w:jc w:val="left"/>
              <w:rPr>
                <w:rFonts w:eastAsia="Arial" w:cs="Arial"/>
                <w:bCs/>
                <w:color w:val="auto"/>
              </w:rPr>
            </w:pPr>
            <w:r w:rsidRPr="0052626B">
              <w:rPr>
                <w:rFonts w:eastAsia="Arial" w:cs="Arial"/>
                <w:bCs/>
                <w:color w:val="auto"/>
              </w:rPr>
              <w:t>Provision must be made for emergency service vehicles and delivery vehicles where necessary</w:t>
            </w:r>
            <w:r w:rsidRPr="000663FF">
              <w:rPr>
                <w:rFonts w:eastAsia="Arial" w:cs="Arial"/>
                <w:bCs/>
                <w:color w:val="auto"/>
              </w:rPr>
              <w:t>;</w:t>
            </w:r>
            <w:r w:rsidR="003C0B3D" w:rsidRPr="000663FF">
              <w:rPr>
                <w:rFonts w:eastAsia="Arial" w:cs="Arial"/>
                <w:bCs/>
                <w:color w:val="auto"/>
              </w:rPr>
              <w:t xml:space="preserve"> and</w:t>
            </w:r>
          </w:p>
          <w:p w14:paraId="5207F7B2" w14:textId="77777777" w:rsidR="0052626B" w:rsidRPr="0052626B" w:rsidRDefault="0052626B" w:rsidP="00874A98">
            <w:pPr>
              <w:keepNext w:val="0"/>
              <w:numPr>
                <w:ilvl w:val="0"/>
                <w:numId w:val="194"/>
              </w:numPr>
              <w:spacing w:before="0"/>
              <w:jc w:val="left"/>
              <w:rPr>
                <w:rFonts w:eastAsia="Arial" w:cs="Arial"/>
                <w:bCs/>
                <w:iCs/>
                <w:color w:val="auto"/>
              </w:rPr>
            </w:pPr>
            <w:r w:rsidRPr="0052626B">
              <w:rPr>
                <w:rFonts w:eastAsia="Arial" w:cs="Arial"/>
                <w:bCs/>
                <w:iCs/>
                <w:color w:val="auto"/>
              </w:rPr>
              <w:t>Provision should be designed to:</w:t>
            </w:r>
          </w:p>
          <w:p w14:paraId="679D1350" w14:textId="77777777" w:rsidR="0052626B" w:rsidRPr="0052626B" w:rsidRDefault="0052626B" w:rsidP="00874A98">
            <w:pPr>
              <w:keepNext w:val="0"/>
              <w:numPr>
                <w:ilvl w:val="0"/>
                <w:numId w:val="197"/>
              </w:numPr>
              <w:spacing w:before="0"/>
              <w:contextualSpacing/>
              <w:jc w:val="left"/>
              <w:rPr>
                <w:rFonts w:eastAsia="Arial" w:cs="Arial"/>
                <w:bCs/>
                <w:iCs/>
                <w:color w:val="auto"/>
              </w:rPr>
            </w:pPr>
            <w:r w:rsidRPr="0052626B">
              <w:rPr>
                <w:rFonts w:eastAsia="Arial" w:cs="Arial"/>
                <w:bCs/>
                <w:iCs/>
                <w:color w:val="auto"/>
              </w:rPr>
              <w:t>include electrical car charging provision appropriate to the scale and use of the of the proposed development, and</w:t>
            </w:r>
          </w:p>
          <w:p w14:paraId="0FFAC180" w14:textId="77777777" w:rsidR="0052626B" w:rsidRPr="0052626B" w:rsidRDefault="0052626B" w:rsidP="00874A98">
            <w:pPr>
              <w:keepNext w:val="0"/>
              <w:numPr>
                <w:ilvl w:val="0"/>
                <w:numId w:val="197"/>
              </w:numPr>
              <w:spacing w:before="0"/>
              <w:contextualSpacing/>
              <w:jc w:val="left"/>
              <w:rPr>
                <w:rFonts w:eastAsia="Arial" w:cs="Arial"/>
                <w:bCs/>
                <w:iCs/>
                <w:color w:val="auto"/>
              </w:rPr>
            </w:pPr>
            <w:r w:rsidRPr="0052626B">
              <w:rPr>
                <w:rFonts w:eastAsia="Arial" w:cs="Arial"/>
                <w:bCs/>
                <w:iCs/>
                <w:color w:val="auto"/>
              </w:rPr>
              <w:t>incorporate sustainable urban drainage system appropriate to the scale and use of the proposed development</w:t>
            </w:r>
          </w:p>
          <w:p w14:paraId="21DE1262" w14:textId="77777777" w:rsidR="0052626B" w:rsidRPr="0052626B" w:rsidRDefault="0052626B" w:rsidP="00905CC9">
            <w:pPr>
              <w:keepNext w:val="0"/>
              <w:spacing w:before="0"/>
              <w:ind w:left="1080"/>
              <w:contextualSpacing/>
              <w:jc w:val="left"/>
              <w:rPr>
                <w:rFonts w:eastAsia="Arial" w:cs="Arial"/>
                <w:bCs/>
                <w:iCs/>
                <w:color w:val="auto"/>
              </w:rPr>
            </w:pPr>
          </w:p>
          <w:p w14:paraId="5F740CFF" w14:textId="77777777" w:rsidR="0052626B" w:rsidRPr="0052626B" w:rsidRDefault="0052626B" w:rsidP="00905CC9">
            <w:pPr>
              <w:keepNext w:val="0"/>
              <w:spacing w:before="0"/>
              <w:ind w:left="720"/>
              <w:jc w:val="left"/>
              <w:rPr>
                <w:rFonts w:eastAsia="Arial" w:cs="Arial"/>
                <w:bCs/>
                <w:iCs/>
                <w:color w:val="auto"/>
              </w:rPr>
            </w:pPr>
            <w:r w:rsidRPr="0052626B">
              <w:rPr>
                <w:rFonts w:eastAsia="Arial" w:cs="Arial"/>
                <w:bCs/>
                <w:iCs/>
                <w:color w:val="auto"/>
              </w:rPr>
              <w:t xml:space="preserve">Parking provisions will be required, </w:t>
            </w:r>
            <w:proofErr w:type="gramStart"/>
            <w:r w:rsidRPr="0052626B">
              <w:rPr>
                <w:rFonts w:eastAsia="Arial" w:cs="Arial"/>
                <w:bCs/>
                <w:iCs/>
                <w:color w:val="auto"/>
              </w:rPr>
              <w:t>taking into account</w:t>
            </w:r>
            <w:proofErr w:type="gramEnd"/>
            <w:r w:rsidRPr="0052626B">
              <w:rPr>
                <w:rFonts w:eastAsia="Arial" w:cs="Arial"/>
                <w:bCs/>
                <w:iCs/>
                <w:color w:val="auto"/>
              </w:rPr>
              <w:t xml:space="preserve"> local and national guidance on parking provisions for vehicles including cycles.</w:t>
            </w:r>
          </w:p>
          <w:p w14:paraId="022372D9" w14:textId="77777777" w:rsidR="0052626B" w:rsidRPr="0052626B" w:rsidRDefault="0052626B" w:rsidP="00905CC9">
            <w:pPr>
              <w:keepNext w:val="0"/>
              <w:spacing w:before="0"/>
              <w:jc w:val="left"/>
              <w:rPr>
                <w:rFonts w:eastAsia="Arial" w:cs="Arial"/>
                <w:bCs/>
                <w:color w:val="auto"/>
              </w:rPr>
            </w:pPr>
          </w:p>
          <w:p w14:paraId="24F9AB00" w14:textId="77777777" w:rsidR="0052626B" w:rsidRPr="0052626B" w:rsidRDefault="0052626B" w:rsidP="00874A98">
            <w:pPr>
              <w:keepNext w:val="0"/>
              <w:numPr>
                <w:ilvl w:val="0"/>
                <w:numId w:val="195"/>
              </w:numPr>
              <w:tabs>
                <w:tab w:val="left" w:pos="680"/>
                <w:tab w:val="left" w:pos="1133"/>
                <w:tab w:val="left" w:pos="2267"/>
              </w:tabs>
              <w:spacing w:before="0"/>
              <w:ind w:right="284"/>
              <w:jc w:val="left"/>
              <w:rPr>
                <w:rFonts w:eastAsia="Arial"/>
                <w:bCs/>
                <w:color w:val="auto"/>
              </w:rPr>
            </w:pPr>
            <w:r w:rsidRPr="0052626B">
              <w:rPr>
                <w:rFonts w:eastAsia="Arial" w:cs="Arial"/>
                <w:bCs/>
                <w:color w:val="auto"/>
              </w:rPr>
              <w:t>The Council will be flexible with parking provision where:</w:t>
            </w:r>
          </w:p>
          <w:p w14:paraId="1921F360" w14:textId="77777777" w:rsidR="0052626B" w:rsidRPr="0052626B" w:rsidRDefault="0052626B" w:rsidP="00905CC9">
            <w:pPr>
              <w:keepNext w:val="0"/>
              <w:tabs>
                <w:tab w:val="left" w:pos="680"/>
                <w:tab w:val="left" w:pos="1133"/>
                <w:tab w:val="left" w:pos="2267"/>
              </w:tabs>
              <w:spacing w:before="0"/>
              <w:ind w:left="360" w:right="284"/>
              <w:jc w:val="left"/>
              <w:rPr>
                <w:rFonts w:eastAsia="Arial"/>
                <w:bCs/>
                <w:color w:val="auto"/>
              </w:rPr>
            </w:pPr>
          </w:p>
          <w:p w14:paraId="46826239" w14:textId="77777777" w:rsidR="0052626B" w:rsidRPr="0052626B" w:rsidRDefault="0052626B" w:rsidP="00874A98">
            <w:pPr>
              <w:keepNext w:val="0"/>
              <w:numPr>
                <w:ilvl w:val="0"/>
                <w:numId w:val="196"/>
              </w:numPr>
              <w:tabs>
                <w:tab w:val="left" w:pos="680"/>
                <w:tab w:val="left" w:pos="1133"/>
                <w:tab w:val="left" w:pos="2267"/>
              </w:tabs>
              <w:spacing w:before="0"/>
              <w:ind w:left="720" w:right="284"/>
              <w:contextualSpacing/>
              <w:jc w:val="left"/>
              <w:rPr>
                <w:rFonts w:eastAsia="Arial"/>
                <w:bCs/>
                <w:color w:val="auto"/>
              </w:rPr>
            </w:pPr>
            <w:r w:rsidRPr="0052626B">
              <w:rPr>
                <w:rFonts w:eastAsia="Arial" w:cs="Arial"/>
                <w:bCs/>
                <w:color w:val="auto"/>
              </w:rPr>
              <w:t xml:space="preserve">The location of the development will result in a lower parking requirement including the </w:t>
            </w:r>
            <w:proofErr w:type="gramStart"/>
            <w:r w:rsidRPr="0052626B">
              <w:rPr>
                <w:rFonts w:eastAsia="Arial"/>
                <w:bCs/>
                <w:color w:val="auto"/>
              </w:rPr>
              <w:t>close proximity</w:t>
            </w:r>
            <w:proofErr w:type="gramEnd"/>
            <w:r w:rsidRPr="0052626B">
              <w:rPr>
                <w:rFonts w:eastAsia="Arial"/>
                <w:bCs/>
                <w:color w:val="auto"/>
              </w:rPr>
              <w:t xml:space="preserve"> to a major transport node.</w:t>
            </w:r>
          </w:p>
          <w:p w14:paraId="12FEEEF7" w14:textId="77777777" w:rsidR="0052626B" w:rsidRPr="0052626B" w:rsidRDefault="0052626B" w:rsidP="00905CC9">
            <w:pPr>
              <w:keepNext w:val="0"/>
              <w:tabs>
                <w:tab w:val="left" w:pos="680"/>
                <w:tab w:val="left" w:pos="1133"/>
                <w:tab w:val="left" w:pos="2267"/>
              </w:tabs>
              <w:spacing w:before="0"/>
              <w:ind w:left="720" w:right="284"/>
              <w:contextualSpacing/>
              <w:jc w:val="left"/>
              <w:rPr>
                <w:rFonts w:eastAsia="Arial"/>
                <w:bCs/>
                <w:color w:val="auto"/>
              </w:rPr>
            </w:pPr>
            <w:r w:rsidRPr="0052626B">
              <w:rPr>
                <w:rFonts w:eastAsia="Arial"/>
                <w:bCs/>
                <w:color w:val="auto"/>
              </w:rPr>
              <w:lastRenderedPageBreak/>
              <w:t xml:space="preserve"> </w:t>
            </w:r>
          </w:p>
          <w:p w14:paraId="59222D6E" w14:textId="77777777" w:rsidR="0052626B" w:rsidRPr="0052626B" w:rsidRDefault="0052626B" w:rsidP="00874A98">
            <w:pPr>
              <w:keepNext w:val="0"/>
              <w:numPr>
                <w:ilvl w:val="0"/>
                <w:numId w:val="196"/>
              </w:numPr>
              <w:tabs>
                <w:tab w:val="left" w:pos="680"/>
                <w:tab w:val="left" w:pos="1133"/>
                <w:tab w:val="left" w:pos="2267"/>
              </w:tabs>
              <w:spacing w:before="0"/>
              <w:ind w:left="720" w:right="284"/>
              <w:contextualSpacing/>
              <w:jc w:val="left"/>
              <w:rPr>
                <w:rFonts w:eastAsia="Arial"/>
                <w:bCs/>
                <w:color w:val="auto"/>
              </w:rPr>
            </w:pPr>
            <w:r w:rsidRPr="0052626B">
              <w:rPr>
                <w:rFonts w:eastAsia="Arial" w:cs="Arial"/>
                <w:bCs/>
                <w:color w:val="auto"/>
              </w:rPr>
              <w:t xml:space="preserve">The development includes realistic, alternative arrangements that result in a requirement for a lower parking provision and provides for a </w:t>
            </w:r>
            <w:r w:rsidRPr="0052626B">
              <w:rPr>
                <w:rFonts w:eastAsia="Arial" w:cs="Arial"/>
                <w:bCs/>
                <w:color w:val="auto"/>
                <w:szCs w:val="24"/>
              </w:rPr>
              <w:t>planning contribution to facilitate these alternative arrangements.</w:t>
            </w:r>
          </w:p>
          <w:p w14:paraId="0F35BB8B" w14:textId="77777777" w:rsidR="0052626B" w:rsidRPr="0052626B" w:rsidRDefault="0052626B" w:rsidP="00905CC9">
            <w:pPr>
              <w:keepNext w:val="0"/>
              <w:tabs>
                <w:tab w:val="left" w:pos="680"/>
                <w:tab w:val="left" w:pos="1133"/>
                <w:tab w:val="left" w:pos="2267"/>
              </w:tabs>
              <w:spacing w:before="0"/>
              <w:ind w:right="284"/>
              <w:contextualSpacing/>
              <w:jc w:val="left"/>
              <w:rPr>
                <w:rFonts w:eastAsia="Arial"/>
                <w:bCs/>
                <w:color w:val="auto"/>
              </w:rPr>
            </w:pPr>
          </w:p>
        </w:tc>
      </w:tr>
      <w:bookmarkEnd w:id="326"/>
      <w:tr w:rsidR="0052626B" w:rsidRPr="0052626B" w14:paraId="036B83CB" w14:textId="77777777" w:rsidTr="00DD4136">
        <w:tc>
          <w:tcPr>
            <w:tcW w:w="2263" w:type="dxa"/>
          </w:tcPr>
          <w:p w14:paraId="0FBD763F" w14:textId="77777777" w:rsidR="0052626B" w:rsidRPr="0052626B" w:rsidRDefault="0052626B" w:rsidP="00905CC9">
            <w:pPr>
              <w:keepNext w:val="0"/>
              <w:tabs>
                <w:tab w:val="left" w:pos="680"/>
                <w:tab w:val="left" w:pos="1133"/>
                <w:tab w:val="left" w:pos="2267"/>
              </w:tabs>
              <w:spacing w:before="0"/>
              <w:ind w:right="284"/>
              <w:jc w:val="left"/>
              <w:rPr>
                <w:rFonts w:eastAsia="Arial"/>
                <w:b/>
                <w:color w:val="7030A0"/>
                <w:szCs w:val="24"/>
              </w:rPr>
            </w:pPr>
            <w:r w:rsidRPr="0052626B">
              <w:rPr>
                <w:rFonts w:eastAsia="Arial"/>
                <w:bCs/>
                <w:color w:val="auto"/>
                <w:sz w:val="20"/>
              </w:rPr>
              <w:lastRenderedPageBreak/>
              <w:t>Evidence base</w:t>
            </w:r>
          </w:p>
        </w:tc>
        <w:tc>
          <w:tcPr>
            <w:tcW w:w="7513" w:type="dxa"/>
            <w:gridSpan w:val="2"/>
          </w:tcPr>
          <w:p w14:paraId="1E74F7AE" w14:textId="793F35D9" w:rsidR="00B22DC9" w:rsidRPr="000663FF" w:rsidRDefault="0052626B" w:rsidP="00874A98">
            <w:pPr>
              <w:pStyle w:val="ListParagraph"/>
              <w:numPr>
                <w:ilvl w:val="0"/>
                <w:numId w:val="236"/>
              </w:numPr>
              <w:tabs>
                <w:tab w:val="left" w:pos="680"/>
                <w:tab w:val="left" w:pos="1133"/>
                <w:tab w:val="left" w:pos="2267"/>
              </w:tabs>
              <w:spacing w:after="0" w:line="240" w:lineRule="auto"/>
              <w:ind w:left="357" w:right="284" w:hanging="357"/>
              <w:jc w:val="left"/>
              <w:rPr>
                <w:rFonts w:ascii="Arial" w:eastAsia="Arial" w:hAnsi="Arial" w:cs="Arial"/>
                <w:bCs/>
                <w:color w:val="auto"/>
                <w:sz w:val="20"/>
              </w:rPr>
            </w:pPr>
            <w:r w:rsidRPr="000663FF">
              <w:rPr>
                <w:rFonts w:ascii="Arial" w:eastAsia="Arial" w:hAnsi="Arial" w:cs="Arial"/>
                <w:bCs/>
                <w:color w:val="auto"/>
                <w:sz w:val="20"/>
              </w:rPr>
              <w:t xml:space="preserve">Sustainability Appraisal, </w:t>
            </w:r>
            <w:r w:rsidR="0025538D" w:rsidRPr="000663FF">
              <w:rPr>
                <w:rFonts w:ascii="Arial" w:eastAsia="Arial" w:hAnsi="Arial" w:cs="Arial"/>
                <w:bCs/>
                <w:color w:val="auto"/>
                <w:sz w:val="20"/>
              </w:rPr>
              <w:t>2</w:t>
            </w:r>
            <w:r w:rsidRPr="000663FF">
              <w:rPr>
                <w:rFonts w:ascii="Arial" w:eastAsia="Arial" w:hAnsi="Arial" w:cs="Arial"/>
                <w:bCs/>
                <w:color w:val="auto"/>
                <w:sz w:val="20"/>
              </w:rPr>
              <w:t>02</w:t>
            </w:r>
            <w:r w:rsidR="0025538D" w:rsidRPr="000663FF">
              <w:rPr>
                <w:rFonts w:ascii="Arial" w:eastAsia="Arial" w:hAnsi="Arial" w:cs="Arial"/>
                <w:bCs/>
                <w:color w:val="auto"/>
                <w:sz w:val="20"/>
              </w:rPr>
              <w:t>3</w:t>
            </w:r>
            <w:r w:rsidRPr="000663FF">
              <w:rPr>
                <w:rFonts w:ascii="Arial" w:eastAsia="Arial" w:hAnsi="Arial" w:cs="Arial"/>
                <w:bCs/>
                <w:color w:val="auto"/>
                <w:sz w:val="20"/>
              </w:rPr>
              <w:t xml:space="preserve">. </w:t>
            </w:r>
            <w:r w:rsidR="0025538D" w:rsidRPr="000663FF">
              <w:rPr>
                <w:rFonts w:ascii="Arial" w:eastAsia="Arial" w:hAnsi="Arial" w:cs="Arial"/>
                <w:bCs/>
                <w:color w:val="auto"/>
                <w:sz w:val="20"/>
              </w:rPr>
              <w:t>WSP UK Limited.</w:t>
            </w:r>
          </w:p>
          <w:p w14:paraId="1736020B" w14:textId="77777777" w:rsidR="0052626B" w:rsidRPr="000663FF" w:rsidRDefault="00B22DC9" w:rsidP="00874A98">
            <w:pPr>
              <w:pStyle w:val="ListParagraph"/>
              <w:numPr>
                <w:ilvl w:val="0"/>
                <w:numId w:val="236"/>
              </w:numPr>
              <w:tabs>
                <w:tab w:val="left" w:pos="680"/>
                <w:tab w:val="left" w:pos="1133"/>
                <w:tab w:val="left" w:pos="2267"/>
              </w:tabs>
              <w:spacing w:after="0" w:line="240" w:lineRule="auto"/>
              <w:ind w:left="357" w:right="284" w:hanging="357"/>
              <w:jc w:val="left"/>
              <w:rPr>
                <w:rFonts w:eastAsia="Arial"/>
                <w:bCs/>
                <w:color w:val="auto"/>
                <w:sz w:val="20"/>
              </w:rPr>
            </w:pPr>
            <w:r w:rsidRPr="000663FF">
              <w:rPr>
                <w:rFonts w:ascii="Arial" w:eastAsia="Arial" w:hAnsi="Arial" w:cs="Arial"/>
                <w:bCs/>
                <w:color w:val="auto"/>
                <w:sz w:val="20"/>
              </w:rPr>
              <w:t>Nottinghamshire Local Transport Plan Strategy 2011 – 2026. Nottinghamshire County Council.</w:t>
            </w:r>
          </w:p>
          <w:p w14:paraId="726E1012" w14:textId="4226E3EE" w:rsidR="006E3758" w:rsidRPr="000663FF" w:rsidRDefault="006E3758" w:rsidP="00874A98">
            <w:pPr>
              <w:pStyle w:val="ListParagraph"/>
              <w:numPr>
                <w:ilvl w:val="0"/>
                <w:numId w:val="236"/>
              </w:numPr>
              <w:tabs>
                <w:tab w:val="left" w:pos="680"/>
                <w:tab w:val="left" w:pos="1133"/>
                <w:tab w:val="left" w:pos="2267"/>
              </w:tabs>
              <w:spacing w:after="0" w:line="240" w:lineRule="auto"/>
              <w:ind w:right="284"/>
              <w:jc w:val="left"/>
              <w:rPr>
                <w:rFonts w:ascii="Arial" w:eastAsia="Arial" w:hAnsi="Arial" w:cs="Arial"/>
                <w:bCs/>
                <w:color w:val="auto"/>
                <w:sz w:val="20"/>
              </w:rPr>
            </w:pPr>
            <w:r w:rsidRPr="000663FF">
              <w:rPr>
                <w:rFonts w:ascii="Arial" w:eastAsia="Arial" w:hAnsi="Arial" w:cs="Arial"/>
                <w:bCs/>
                <w:color w:val="auto"/>
                <w:sz w:val="20"/>
              </w:rPr>
              <w:t>Cycle infrastructure design (LTN 1/20) (2020), Department for Transport.</w:t>
            </w:r>
          </w:p>
        </w:tc>
      </w:tr>
      <w:tr w:rsidR="0052626B" w:rsidRPr="0052626B" w14:paraId="320ABE12" w14:textId="77777777" w:rsidTr="00DD4136">
        <w:tc>
          <w:tcPr>
            <w:tcW w:w="2263" w:type="dxa"/>
          </w:tcPr>
          <w:p w14:paraId="4EABC2F6" w14:textId="77777777" w:rsidR="0052626B" w:rsidRPr="0052626B" w:rsidRDefault="0052626B" w:rsidP="00905CC9">
            <w:pPr>
              <w:keepNext w:val="0"/>
              <w:tabs>
                <w:tab w:val="left" w:pos="680"/>
                <w:tab w:val="left" w:pos="1133"/>
                <w:tab w:val="left" w:pos="2267"/>
              </w:tabs>
              <w:spacing w:before="0"/>
              <w:ind w:right="284"/>
              <w:jc w:val="left"/>
              <w:rPr>
                <w:rFonts w:eastAsia="Arial"/>
                <w:b/>
                <w:color w:val="auto"/>
                <w:sz w:val="22"/>
              </w:rPr>
            </w:pPr>
            <w:r w:rsidRPr="0052626B">
              <w:rPr>
                <w:rFonts w:eastAsia="Arial"/>
                <w:bCs/>
                <w:color w:val="auto"/>
                <w:sz w:val="20"/>
              </w:rPr>
              <w:t>National Planning Policy and Guidance</w:t>
            </w:r>
          </w:p>
        </w:tc>
        <w:tc>
          <w:tcPr>
            <w:tcW w:w="7513" w:type="dxa"/>
            <w:gridSpan w:val="2"/>
          </w:tcPr>
          <w:p w14:paraId="2E632465" w14:textId="69F8DE0B" w:rsidR="0052626B" w:rsidRPr="000663FF" w:rsidRDefault="0052626B"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0663FF">
              <w:rPr>
                <w:rFonts w:eastAsia="Arial"/>
                <w:bCs/>
                <w:color w:val="auto"/>
                <w:sz w:val="20"/>
              </w:rPr>
              <w:t>NPPF 20</w:t>
            </w:r>
            <w:r w:rsidR="004173E0" w:rsidRPr="000663FF">
              <w:rPr>
                <w:rFonts w:eastAsia="Arial"/>
                <w:bCs/>
                <w:color w:val="auto"/>
                <w:sz w:val="20"/>
              </w:rPr>
              <w:t>23</w:t>
            </w:r>
            <w:r w:rsidRPr="000663FF">
              <w:rPr>
                <w:rFonts w:eastAsia="Arial"/>
                <w:bCs/>
                <w:color w:val="auto"/>
                <w:sz w:val="20"/>
              </w:rPr>
              <w:t>, Part 2: Achieving sustainable development.</w:t>
            </w:r>
          </w:p>
          <w:p w14:paraId="2C78060B" w14:textId="02320C57" w:rsidR="0052626B" w:rsidRPr="000663FF" w:rsidRDefault="0052626B" w:rsidP="00874A98">
            <w:pPr>
              <w:keepNext w:val="0"/>
              <w:numPr>
                <w:ilvl w:val="0"/>
                <w:numId w:val="119"/>
              </w:numPr>
              <w:spacing w:before="0" w:after="160" w:line="252" w:lineRule="auto"/>
              <w:contextualSpacing/>
              <w:jc w:val="left"/>
              <w:rPr>
                <w:color w:val="auto"/>
                <w:sz w:val="20"/>
              </w:rPr>
            </w:pPr>
            <w:r w:rsidRPr="000663FF">
              <w:rPr>
                <w:rFonts w:eastAsia="Arial"/>
                <w:bCs/>
                <w:color w:val="auto"/>
                <w:sz w:val="20"/>
              </w:rPr>
              <w:t>NPPF 20</w:t>
            </w:r>
            <w:r w:rsidR="004173E0" w:rsidRPr="000663FF">
              <w:rPr>
                <w:rFonts w:eastAsia="Arial"/>
                <w:bCs/>
                <w:color w:val="auto"/>
                <w:sz w:val="20"/>
              </w:rPr>
              <w:t>23</w:t>
            </w:r>
            <w:r w:rsidRPr="000663FF">
              <w:rPr>
                <w:color w:val="auto"/>
                <w:sz w:val="20"/>
              </w:rPr>
              <w:t xml:space="preserve"> Part 9: Promoting sustainable transport.</w:t>
            </w:r>
          </w:p>
          <w:p w14:paraId="138C9530" w14:textId="77777777" w:rsidR="0052626B" w:rsidRPr="000663FF" w:rsidRDefault="0052626B"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0663FF">
              <w:rPr>
                <w:rFonts w:eastAsia="Arial"/>
                <w:bCs/>
                <w:color w:val="auto"/>
                <w:sz w:val="20"/>
              </w:rPr>
              <w:t>Ministerial Guidance</w:t>
            </w:r>
            <w:proofErr w:type="gramStart"/>
            <w:r w:rsidRPr="000663FF">
              <w:rPr>
                <w:rFonts w:eastAsia="Arial"/>
                <w:bCs/>
                <w:color w:val="auto"/>
                <w:sz w:val="20"/>
              </w:rPr>
              <w:t>-  Parking</w:t>
            </w:r>
            <w:proofErr w:type="gramEnd"/>
            <w:r w:rsidRPr="000663FF">
              <w:rPr>
                <w:rFonts w:eastAsia="Arial"/>
                <w:bCs/>
                <w:color w:val="auto"/>
                <w:sz w:val="20"/>
              </w:rPr>
              <w:t xml:space="preserve"> policy.  March 2015</w:t>
            </w:r>
          </w:p>
          <w:p w14:paraId="33CBF1DF" w14:textId="7661CFD3" w:rsidR="0052626B" w:rsidRPr="000663FF" w:rsidRDefault="0052626B"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0663FF">
              <w:rPr>
                <w:rFonts w:eastAsia="Arial"/>
                <w:bCs/>
                <w:color w:val="auto"/>
                <w:sz w:val="20"/>
              </w:rPr>
              <w:t>Planning Practice Guidance: Transport evidence bases in plan making and decision taking</w:t>
            </w:r>
            <w:r w:rsidR="0025538D" w:rsidRPr="000663FF">
              <w:rPr>
                <w:color w:val="auto"/>
              </w:rPr>
              <w:t xml:space="preserve"> </w:t>
            </w:r>
            <w:r w:rsidR="0025538D" w:rsidRPr="000663FF">
              <w:rPr>
                <w:rFonts w:eastAsia="Arial"/>
                <w:bCs/>
                <w:color w:val="auto"/>
                <w:sz w:val="20"/>
              </w:rPr>
              <w:t>March 2015.</w:t>
            </w:r>
          </w:p>
        </w:tc>
      </w:tr>
    </w:tbl>
    <w:p w14:paraId="612A8C02" w14:textId="77777777" w:rsidR="0052626B" w:rsidRPr="00263F59" w:rsidRDefault="0052626B" w:rsidP="0052626B">
      <w:pPr>
        <w:keepNext w:val="0"/>
        <w:spacing w:before="0"/>
        <w:rPr>
          <w:rFonts w:eastAsia="Arial" w:cs="Arial"/>
          <w:b/>
          <w:color w:val="auto"/>
        </w:rPr>
      </w:pPr>
    </w:p>
    <w:p w14:paraId="6B4E0797" w14:textId="2B861D4C" w:rsidR="0052626B" w:rsidRDefault="0052626B" w:rsidP="0052626B">
      <w:pPr>
        <w:keepNext w:val="0"/>
        <w:spacing w:before="0"/>
        <w:ind w:left="525"/>
        <w:rPr>
          <w:rFonts w:cs="Arial"/>
          <w:color w:val="auto"/>
          <w:szCs w:val="24"/>
          <w:lang w:eastAsia="en-US"/>
        </w:rPr>
      </w:pPr>
    </w:p>
    <w:p w14:paraId="12BA7315" w14:textId="7B211590" w:rsidR="00D41DD2" w:rsidRPr="00221F22" w:rsidRDefault="0052626B" w:rsidP="00221F22">
      <w:pPr>
        <w:keepNext w:val="0"/>
        <w:numPr>
          <w:ilvl w:val="1"/>
          <w:numId w:val="7"/>
        </w:numPr>
        <w:tabs>
          <w:tab w:val="clear" w:pos="525"/>
        </w:tabs>
        <w:spacing w:before="0"/>
        <w:ind w:left="709" w:hanging="709"/>
        <w:rPr>
          <w:rFonts w:cs="Arial"/>
          <w:color w:val="auto"/>
          <w:szCs w:val="24"/>
          <w:lang w:eastAsia="en-US"/>
        </w:rPr>
      </w:pPr>
      <w:r w:rsidRPr="00221F22">
        <w:rPr>
          <w:rFonts w:cs="Arial"/>
          <w:color w:val="auto"/>
          <w:szCs w:val="24"/>
          <w:lang w:eastAsia="en-US"/>
        </w:rPr>
        <w:t xml:space="preserve">Effective, well designed and considered parking provision is a key element of any development proposal. Insufficient and poorly located parking provision can lead to inappropriate parking on streets and verges, which has implications for the health and safety of all highway users. On street parking is very limited in some areas of the </w:t>
      </w:r>
      <w:proofErr w:type="gramStart"/>
      <w:r w:rsidRPr="00221F22">
        <w:rPr>
          <w:rFonts w:cs="Arial"/>
          <w:color w:val="auto"/>
          <w:szCs w:val="24"/>
          <w:lang w:eastAsia="en-US"/>
        </w:rPr>
        <w:t>District</w:t>
      </w:r>
      <w:proofErr w:type="gramEnd"/>
      <w:r w:rsidRPr="00221F22">
        <w:rPr>
          <w:rFonts w:cs="Arial"/>
          <w:color w:val="auto"/>
          <w:szCs w:val="24"/>
          <w:lang w:eastAsia="en-US"/>
        </w:rPr>
        <w:t>, particularly in and around the main town centres.</w:t>
      </w:r>
    </w:p>
    <w:p w14:paraId="7211E074" w14:textId="77777777" w:rsidR="00D41DD2" w:rsidRDefault="00D41DD2" w:rsidP="00D41DD2">
      <w:pPr>
        <w:keepNext w:val="0"/>
        <w:spacing w:before="0"/>
        <w:ind w:left="709"/>
        <w:rPr>
          <w:rFonts w:cs="Arial"/>
          <w:color w:val="auto"/>
          <w:szCs w:val="24"/>
          <w:lang w:eastAsia="en-US"/>
        </w:rPr>
      </w:pPr>
    </w:p>
    <w:p w14:paraId="5C05B882" w14:textId="5031282F" w:rsidR="00D41DD2" w:rsidRDefault="0052626B" w:rsidP="00221F2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 xml:space="preserve">There is no single best solution to resolve the issue of vehicle parking. A combination of parking typologies (on-street, off-street, courtyards etc.) may be required to create an acceptable solution in terms of design and function. The Residential Parking Standards Supplementary Planning Document (SPD) provides further guidance on the design and amount of parking needed to support residential development. </w:t>
      </w:r>
      <w:r w:rsidR="00AF2808">
        <w:rPr>
          <w:rFonts w:cs="Arial"/>
          <w:color w:val="auto"/>
          <w:szCs w:val="24"/>
          <w:lang w:eastAsia="en-US"/>
        </w:rPr>
        <w:t>D</w:t>
      </w:r>
      <w:r w:rsidRPr="00D41DD2">
        <w:rPr>
          <w:rFonts w:cs="Arial"/>
          <w:color w:val="auto"/>
          <w:szCs w:val="24"/>
          <w:lang w:eastAsia="en-US"/>
        </w:rPr>
        <w:t>evelopments standards are</w:t>
      </w:r>
      <w:r w:rsidR="00AF2808">
        <w:rPr>
          <w:rFonts w:cs="Arial"/>
          <w:color w:val="auto"/>
          <w:szCs w:val="24"/>
          <w:lang w:eastAsia="en-US"/>
        </w:rPr>
        <w:t xml:space="preserve"> </w:t>
      </w:r>
      <w:r w:rsidRPr="00D41DD2">
        <w:rPr>
          <w:rFonts w:cs="Arial"/>
          <w:color w:val="auto"/>
          <w:szCs w:val="24"/>
          <w:lang w:eastAsia="en-US"/>
        </w:rPr>
        <w:t xml:space="preserve">set out in the Nottinghamshire Highway Design Guide.   All proposals should also be guided by national best practice and guidance such as </w:t>
      </w:r>
      <w:r w:rsidR="00AF2808">
        <w:rPr>
          <w:rFonts w:cs="Arial"/>
          <w:color w:val="auto"/>
          <w:szCs w:val="24"/>
          <w:lang w:eastAsia="en-US"/>
        </w:rPr>
        <w:t>the</w:t>
      </w:r>
      <w:r w:rsidR="00221F22">
        <w:rPr>
          <w:rFonts w:cs="Arial"/>
          <w:color w:val="auto"/>
          <w:szCs w:val="24"/>
          <w:lang w:eastAsia="en-US"/>
        </w:rPr>
        <w:t xml:space="preserve"> </w:t>
      </w:r>
      <w:r w:rsidRPr="00D41DD2">
        <w:rPr>
          <w:rFonts w:cs="Arial"/>
          <w:color w:val="auto"/>
          <w:szCs w:val="24"/>
          <w:lang w:eastAsia="en-US"/>
        </w:rPr>
        <w:t xml:space="preserve">Manual for Streets and Building for a Healthy Life 12. </w:t>
      </w:r>
    </w:p>
    <w:p w14:paraId="62843335" w14:textId="77777777" w:rsidR="00D41DD2" w:rsidRPr="00D41DD2" w:rsidRDefault="00D41DD2" w:rsidP="00221F22">
      <w:pPr>
        <w:spacing w:before="0"/>
        <w:rPr>
          <w:rFonts w:cs="Arial"/>
          <w:color w:val="auto"/>
          <w:szCs w:val="24"/>
        </w:rPr>
      </w:pPr>
    </w:p>
    <w:p w14:paraId="52A2664D" w14:textId="67FC7AF3" w:rsidR="0052626B" w:rsidRPr="00D41DD2" w:rsidRDefault="0052626B" w:rsidP="00221F2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All development proposals should consider the parking requirements of their scheme from the initial stages of the design process, ensuring it is integrated and not considered as an afterthought. Development proposals should consider the following elements:</w:t>
      </w:r>
    </w:p>
    <w:p w14:paraId="231F9C20" w14:textId="77777777" w:rsidR="0052626B" w:rsidRPr="0052626B" w:rsidRDefault="0052626B" w:rsidP="0052626B">
      <w:pPr>
        <w:spacing w:before="0"/>
        <w:rPr>
          <w:rFonts w:cs="Arial"/>
          <w:color w:val="auto"/>
          <w:szCs w:val="24"/>
        </w:rPr>
      </w:pPr>
    </w:p>
    <w:p w14:paraId="21CF7543" w14:textId="65179783" w:rsidR="0052626B" w:rsidRDefault="0052626B" w:rsidP="00874A98">
      <w:pPr>
        <w:pStyle w:val="ListParagraph"/>
        <w:numPr>
          <w:ilvl w:val="0"/>
          <w:numId w:val="198"/>
        </w:numPr>
        <w:spacing w:after="0" w:line="240" w:lineRule="auto"/>
        <w:ind w:left="1069"/>
        <w:rPr>
          <w:rFonts w:ascii="Arial" w:hAnsi="Arial" w:cs="Arial"/>
          <w:color w:val="auto"/>
          <w:szCs w:val="24"/>
        </w:rPr>
      </w:pPr>
      <w:r w:rsidRPr="0052626B">
        <w:rPr>
          <w:rFonts w:ascii="Arial" w:hAnsi="Arial" w:cs="Arial"/>
          <w:color w:val="auto"/>
          <w:szCs w:val="24"/>
        </w:rPr>
        <w:t>Design &amp; Siting – parking must be siting and designed to reduce its impact on the public realm (visual and actual). Proposals should apply high quality, permeable materials, appropriate landscaping and a considered siting to help achieve this. All parking should be overlooked by surrounding development and/or in appropriate circumstances, have sufficient security and CCTV coverage to ensure adequate users and vehicle safety.</w:t>
      </w:r>
    </w:p>
    <w:p w14:paraId="551C70E1" w14:textId="77777777" w:rsidR="0052626B" w:rsidRPr="0052626B" w:rsidRDefault="0052626B" w:rsidP="00D41DD2">
      <w:pPr>
        <w:pStyle w:val="ListParagraph"/>
        <w:spacing w:after="0" w:line="240" w:lineRule="auto"/>
        <w:ind w:left="1069"/>
        <w:rPr>
          <w:rFonts w:ascii="Arial" w:hAnsi="Arial" w:cs="Arial"/>
          <w:color w:val="auto"/>
          <w:szCs w:val="24"/>
        </w:rPr>
      </w:pPr>
    </w:p>
    <w:p w14:paraId="58A97AB3" w14:textId="2DF7EA39" w:rsidR="00AF2808" w:rsidRPr="00AF2808" w:rsidRDefault="0052626B" w:rsidP="00874A98">
      <w:pPr>
        <w:pStyle w:val="ListParagraph"/>
        <w:numPr>
          <w:ilvl w:val="0"/>
          <w:numId w:val="198"/>
        </w:numPr>
        <w:spacing w:after="0" w:line="240" w:lineRule="auto"/>
        <w:ind w:left="1069"/>
        <w:rPr>
          <w:rFonts w:ascii="Arial" w:hAnsi="Arial" w:cs="Arial"/>
          <w:color w:val="auto"/>
          <w:szCs w:val="24"/>
        </w:rPr>
      </w:pPr>
      <w:r w:rsidRPr="0052626B">
        <w:rPr>
          <w:rFonts w:ascii="Arial" w:hAnsi="Arial" w:cs="Arial"/>
          <w:color w:val="auto"/>
          <w:szCs w:val="24"/>
        </w:rPr>
        <w:t>Pedestrians &amp; Cyclists - Parking spaces and facilities should be designed so that they do not inconvenience pedestrians and cyclists.  The street should be designed so that it can be easily and safely used and navigated by pedestrians and cyclists, including people using wheelchairs and pushchairs</w:t>
      </w:r>
      <w:r w:rsidRPr="00AF2808">
        <w:rPr>
          <w:rFonts w:ascii="Arial" w:hAnsi="Arial" w:cs="Arial"/>
          <w:color w:val="auto"/>
          <w:szCs w:val="24"/>
        </w:rPr>
        <w:t>.</w:t>
      </w:r>
      <w:r w:rsidR="00AF2808" w:rsidRPr="00AF2808">
        <w:rPr>
          <w:rFonts w:ascii="Arial" w:hAnsi="Arial" w:cs="Arial"/>
          <w:color w:val="auto"/>
          <w:szCs w:val="24"/>
        </w:rPr>
        <w:t xml:space="preserve"> Cycling is an important mode of travel offering a more sustainable alternative to the car and making a positive contribution to the overall character of a place, public health </w:t>
      </w:r>
      <w:r w:rsidR="00AF2808" w:rsidRPr="00AF2808">
        <w:rPr>
          <w:rFonts w:ascii="Arial" w:hAnsi="Arial" w:cs="Arial"/>
          <w:color w:val="auto"/>
          <w:szCs w:val="24"/>
        </w:rPr>
        <w:lastRenderedPageBreak/>
        <w:t>and to tackling climate change through reductions in carbon emissions.  Providing well-located, safe and secure cycle parking is a major factor in encouraging people to cycle as an alternative to the car.  Applications should have regard to local and national guidance on anticipated requirements for different types of development.</w:t>
      </w:r>
    </w:p>
    <w:p w14:paraId="78D4F80B" w14:textId="77777777" w:rsidR="00AF2808" w:rsidRPr="00AF2808" w:rsidRDefault="00AF2808" w:rsidP="00AF2808">
      <w:pPr>
        <w:pStyle w:val="ListParagraph"/>
        <w:rPr>
          <w:rFonts w:ascii="Arial" w:hAnsi="Arial" w:cs="Arial"/>
          <w:color w:val="auto"/>
          <w:szCs w:val="24"/>
        </w:rPr>
      </w:pPr>
    </w:p>
    <w:p w14:paraId="106F3C98" w14:textId="5C12CF59" w:rsidR="00AF2808" w:rsidRPr="00AF2808" w:rsidRDefault="00AF2808" w:rsidP="00874A98">
      <w:pPr>
        <w:pStyle w:val="ListParagraph"/>
        <w:numPr>
          <w:ilvl w:val="0"/>
          <w:numId w:val="198"/>
        </w:numPr>
        <w:spacing w:after="0" w:line="240" w:lineRule="auto"/>
        <w:ind w:left="1069"/>
        <w:rPr>
          <w:rFonts w:ascii="Arial" w:hAnsi="Arial" w:cs="Arial"/>
          <w:color w:val="auto"/>
          <w:szCs w:val="24"/>
        </w:rPr>
      </w:pPr>
      <w:r w:rsidRPr="00AF2808">
        <w:rPr>
          <w:rFonts w:ascii="Arial" w:hAnsi="Arial" w:cs="Arial"/>
          <w:color w:val="auto"/>
          <w:szCs w:val="24"/>
        </w:rPr>
        <w:t>Disabled parking provision must accord with the standards adopted by Nottinghamshire County Council. Where necessary, an assessment of need should be undertaken to ascertain the level of disabled parking that will be required.  Prospective developers will need to demonstrate that adequate parking space is being provided to enable people with a disability to use the building.</w:t>
      </w:r>
    </w:p>
    <w:p w14:paraId="2B8D3494" w14:textId="77777777" w:rsidR="00AF2808" w:rsidRPr="00AF2808" w:rsidRDefault="00AF2808" w:rsidP="00D41DD2">
      <w:pPr>
        <w:spacing w:before="0"/>
        <w:ind w:left="349"/>
        <w:rPr>
          <w:rFonts w:cs="Arial"/>
          <w:color w:val="auto"/>
          <w:szCs w:val="24"/>
        </w:rPr>
      </w:pPr>
    </w:p>
    <w:p w14:paraId="6B7FB698" w14:textId="432D7449" w:rsidR="0052626B" w:rsidRDefault="0052626B" w:rsidP="00874A98">
      <w:pPr>
        <w:pStyle w:val="ListParagraph"/>
        <w:numPr>
          <w:ilvl w:val="0"/>
          <w:numId w:val="198"/>
        </w:numPr>
        <w:spacing w:after="0" w:line="240" w:lineRule="auto"/>
        <w:ind w:left="1069"/>
        <w:rPr>
          <w:rFonts w:ascii="Arial" w:hAnsi="Arial" w:cs="Arial"/>
          <w:color w:val="auto"/>
          <w:szCs w:val="24"/>
        </w:rPr>
      </w:pPr>
      <w:r w:rsidRPr="00AF2808">
        <w:rPr>
          <w:rFonts w:ascii="Arial" w:hAnsi="Arial" w:cs="Arial"/>
          <w:color w:val="auto"/>
          <w:szCs w:val="24"/>
        </w:rPr>
        <w:t>Parking Solutions – Off Street – proposals should apply a mix of parking solutions appropriate to the site. Large surface</w:t>
      </w:r>
      <w:r w:rsidRPr="0052626B">
        <w:rPr>
          <w:rFonts w:ascii="Arial" w:hAnsi="Arial" w:cs="Arial"/>
          <w:color w:val="auto"/>
          <w:szCs w:val="24"/>
        </w:rPr>
        <w:t xml:space="preserve"> car parks and long sections of bays at road or property frontage will not be supported. Off-street parking should provide </w:t>
      </w:r>
      <w:proofErr w:type="gramStart"/>
      <w:r w:rsidRPr="0052626B">
        <w:rPr>
          <w:rFonts w:ascii="Arial" w:hAnsi="Arial" w:cs="Arial"/>
          <w:color w:val="auto"/>
          <w:szCs w:val="24"/>
        </w:rPr>
        <w:t>a sufficient amount of</w:t>
      </w:r>
      <w:proofErr w:type="gramEnd"/>
      <w:r w:rsidRPr="0052626B">
        <w:rPr>
          <w:rFonts w:ascii="Arial" w:hAnsi="Arial" w:cs="Arial"/>
          <w:color w:val="auto"/>
          <w:szCs w:val="24"/>
        </w:rPr>
        <w:t xml:space="preserve"> space </w:t>
      </w:r>
      <w:proofErr w:type="gramStart"/>
      <w:r w:rsidRPr="0052626B">
        <w:rPr>
          <w:rFonts w:ascii="Arial" w:hAnsi="Arial" w:cs="Arial"/>
          <w:color w:val="auto"/>
          <w:szCs w:val="24"/>
        </w:rPr>
        <w:t>in order to</w:t>
      </w:r>
      <w:proofErr w:type="gramEnd"/>
      <w:r w:rsidRPr="0052626B">
        <w:rPr>
          <w:rFonts w:ascii="Arial" w:hAnsi="Arial" w:cs="Arial"/>
          <w:color w:val="auto"/>
          <w:szCs w:val="24"/>
        </w:rPr>
        <w:t xml:space="preserve"> prevent excessive overspill parking on adjacent streets. This can be provided in the form of in-curtilage parking or small parking courts.  Bays should be well connected to the wider development and not satellite from the development they serve, </w:t>
      </w:r>
      <w:proofErr w:type="gramStart"/>
      <w:r w:rsidRPr="0052626B">
        <w:rPr>
          <w:rFonts w:ascii="Arial" w:hAnsi="Arial" w:cs="Arial"/>
          <w:color w:val="auto"/>
          <w:szCs w:val="24"/>
        </w:rPr>
        <w:t>in order to</w:t>
      </w:r>
      <w:proofErr w:type="gramEnd"/>
      <w:r w:rsidRPr="0052626B">
        <w:rPr>
          <w:rFonts w:ascii="Arial" w:hAnsi="Arial" w:cs="Arial"/>
          <w:color w:val="auto"/>
          <w:szCs w:val="24"/>
        </w:rPr>
        <w:t xml:space="preserve"> discourage inappropriate or unnecessary on-street parking.</w:t>
      </w:r>
    </w:p>
    <w:p w14:paraId="41D2DFAC" w14:textId="77777777" w:rsidR="0052626B" w:rsidRPr="0052626B" w:rsidRDefault="0052626B" w:rsidP="00D41DD2">
      <w:pPr>
        <w:spacing w:before="0"/>
        <w:ind w:left="349"/>
        <w:rPr>
          <w:rFonts w:cs="Arial"/>
          <w:color w:val="auto"/>
          <w:szCs w:val="24"/>
        </w:rPr>
      </w:pPr>
    </w:p>
    <w:p w14:paraId="0A6C4BC1" w14:textId="7F12547C" w:rsidR="0052626B" w:rsidRDefault="0052626B" w:rsidP="00874A98">
      <w:pPr>
        <w:pStyle w:val="ListParagraph"/>
        <w:numPr>
          <w:ilvl w:val="0"/>
          <w:numId w:val="198"/>
        </w:numPr>
        <w:spacing w:after="0" w:line="240" w:lineRule="auto"/>
        <w:ind w:left="1069"/>
        <w:rPr>
          <w:rFonts w:ascii="Arial" w:hAnsi="Arial" w:cs="Arial"/>
          <w:color w:val="auto"/>
          <w:szCs w:val="24"/>
        </w:rPr>
      </w:pPr>
      <w:r w:rsidRPr="0052626B">
        <w:rPr>
          <w:rFonts w:ascii="Arial" w:hAnsi="Arial" w:cs="Arial"/>
          <w:color w:val="auto"/>
          <w:szCs w:val="24"/>
        </w:rPr>
        <w:t xml:space="preserve">Parking Solution – On-Street - On-street parking must not lead to street cluttering. They must be integrated into the wider public realm and include landscape features to reduce the potential for unmanaged parking beyond the designed bays. Parking bays should be clearly delineated and not obstruct footpaths or cycle ways. Large groups of bays will not be supported. </w:t>
      </w:r>
    </w:p>
    <w:p w14:paraId="7D400F48" w14:textId="77777777" w:rsidR="0052626B" w:rsidRPr="0052626B" w:rsidRDefault="0052626B" w:rsidP="00D41DD2">
      <w:pPr>
        <w:spacing w:before="0"/>
        <w:ind w:left="349"/>
        <w:rPr>
          <w:rFonts w:cs="Arial"/>
          <w:color w:val="auto"/>
          <w:szCs w:val="24"/>
        </w:rPr>
      </w:pPr>
    </w:p>
    <w:p w14:paraId="17C1009E" w14:textId="1AE14C19" w:rsidR="00AF2808" w:rsidRDefault="0052626B" w:rsidP="00874A98">
      <w:pPr>
        <w:pStyle w:val="ListParagraph"/>
        <w:numPr>
          <w:ilvl w:val="0"/>
          <w:numId w:val="198"/>
        </w:numPr>
        <w:spacing w:after="0" w:line="240" w:lineRule="auto"/>
        <w:ind w:left="1069"/>
        <w:rPr>
          <w:rFonts w:ascii="Arial" w:hAnsi="Arial" w:cs="Arial"/>
          <w:color w:val="auto"/>
          <w:szCs w:val="24"/>
        </w:rPr>
      </w:pPr>
      <w:r w:rsidRPr="0052626B">
        <w:rPr>
          <w:rFonts w:ascii="Arial" w:hAnsi="Arial" w:cs="Arial"/>
          <w:color w:val="auto"/>
          <w:szCs w:val="24"/>
        </w:rPr>
        <w:t>Garages - Garages should be large enough to accommodate vehicles for the proposed development</w:t>
      </w:r>
      <w:r w:rsidR="00AF2808">
        <w:rPr>
          <w:rFonts w:ascii="Arial" w:hAnsi="Arial" w:cs="Arial"/>
          <w:color w:val="auto"/>
          <w:szCs w:val="24"/>
        </w:rPr>
        <w:t>.</w:t>
      </w:r>
    </w:p>
    <w:p w14:paraId="16B07C14" w14:textId="77777777" w:rsidR="0052626B" w:rsidRPr="0052626B" w:rsidRDefault="0052626B" w:rsidP="0052626B">
      <w:pPr>
        <w:spacing w:before="0"/>
        <w:rPr>
          <w:rFonts w:cs="Arial"/>
          <w:color w:val="auto"/>
          <w:szCs w:val="24"/>
        </w:rPr>
      </w:pPr>
    </w:p>
    <w:p w14:paraId="6ACC05BA" w14:textId="7ACC7F64" w:rsidR="00D41DD2" w:rsidRDefault="0052626B" w:rsidP="00D41DD2">
      <w:pPr>
        <w:keepNext w:val="0"/>
        <w:numPr>
          <w:ilvl w:val="1"/>
          <w:numId w:val="7"/>
        </w:numPr>
        <w:tabs>
          <w:tab w:val="clear" w:pos="525"/>
        </w:tabs>
        <w:spacing w:before="0"/>
        <w:ind w:left="709" w:hanging="709"/>
        <w:rPr>
          <w:rFonts w:cs="Arial"/>
          <w:color w:val="auto"/>
          <w:szCs w:val="24"/>
          <w:lang w:eastAsia="en-US"/>
        </w:rPr>
      </w:pPr>
      <w:r w:rsidRPr="0052626B">
        <w:rPr>
          <w:rFonts w:cs="Arial"/>
          <w:color w:val="auto"/>
          <w:szCs w:val="24"/>
          <w:lang w:eastAsia="en-US"/>
        </w:rPr>
        <w:t xml:space="preserve">The Government has taken the decision that by 2040 no new diesel vehicles will be </w:t>
      </w:r>
      <w:r w:rsidRPr="000663FF">
        <w:rPr>
          <w:rFonts w:cs="Arial"/>
          <w:color w:val="auto"/>
          <w:szCs w:val="24"/>
          <w:lang w:eastAsia="en-US"/>
        </w:rPr>
        <w:t>produced. The implication is that more electric vehicles will be on our road and there needs to be the necessary infrastructure</w:t>
      </w:r>
      <w:r w:rsidR="00CD791D" w:rsidRPr="000663FF">
        <w:rPr>
          <w:rFonts w:cs="Arial"/>
          <w:color w:val="auto"/>
          <w:szCs w:val="24"/>
          <w:lang w:eastAsia="en-US"/>
        </w:rPr>
        <w:t>, including the appropriate conduit and cables,</w:t>
      </w:r>
      <w:r w:rsidRPr="000663FF">
        <w:rPr>
          <w:rFonts w:cs="Arial"/>
          <w:color w:val="auto"/>
          <w:szCs w:val="24"/>
          <w:lang w:eastAsia="en-US"/>
        </w:rPr>
        <w:t xml:space="preserve"> to support electric vehicles.   Rapid charging points will be particularly important in the public </w:t>
      </w:r>
      <w:r w:rsidRPr="0052626B">
        <w:rPr>
          <w:rFonts w:cs="Arial"/>
          <w:color w:val="auto"/>
          <w:szCs w:val="24"/>
          <w:lang w:eastAsia="en-US"/>
        </w:rPr>
        <w:t>domain. In addition, domestic properties and commercial premises need to provide for the opportunity to charge vehicles close to the parking of vehicles.</w:t>
      </w:r>
    </w:p>
    <w:p w14:paraId="3CBCA7BF" w14:textId="77777777" w:rsidR="00D41DD2" w:rsidRDefault="00D41DD2" w:rsidP="00D41DD2">
      <w:pPr>
        <w:keepNext w:val="0"/>
        <w:spacing w:before="0"/>
        <w:ind w:left="709"/>
        <w:rPr>
          <w:rFonts w:cs="Arial"/>
          <w:color w:val="auto"/>
          <w:szCs w:val="24"/>
          <w:lang w:eastAsia="en-US"/>
        </w:rPr>
      </w:pPr>
    </w:p>
    <w:p w14:paraId="6274B732" w14:textId="61E91905" w:rsidR="00D41DD2" w:rsidRDefault="0052626B" w:rsidP="00D41DD2">
      <w:pPr>
        <w:keepNext w:val="0"/>
        <w:numPr>
          <w:ilvl w:val="1"/>
          <w:numId w:val="7"/>
        </w:numPr>
        <w:tabs>
          <w:tab w:val="clear" w:pos="525"/>
        </w:tabs>
        <w:spacing w:before="0"/>
        <w:ind w:left="709" w:hanging="709"/>
        <w:rPr>
          <w:rFonts w:cs="Arial"/>
          <w:color w:val="auto"/>
          <w:szCs w:val="24"/>
          <w:lang w:eastAsia="en-US"/>
        </w:rPr>
      </w:pPr>
      <w:r w:rsidRPr="00D41DD2">
        <w:rPr>
          <w:rFonts w:cs="Arial"/>
          <w:color w:val="auto"/>
          <w:szCs w:val="24"/>
          <w:lang w:eastAsia="en-US"/>
        </w:rPr>
        <w:t xml:space="preserve">The water </w:t>
      </w:r>
      <w:r w:rsidR="000663FF" w:rsidRPr="00D41DD2">
        <w:rPr>
          <w:rFonts w:cs="Arial"/>
          <w:color w:val="auto"/>
          <w:szCs w:val="24"/>
          <w:lang w:eastAsia="en-US"/>
        </w:rPr>
        <w:t>run-off</w:t>
      </w:r>
      <w:r w:rsidRPr="00D41DD2">
        <w:rPr>
          <w:rFonts w:cs="Arial"/>
          <w:color w:val="auto"/>
          <w:szCs w:val="24"/>
          <w:lang w:eastAsia="en-US"/>
        </w:rPr>
        <w:t xml:space="preserve"> from impervious surfaces can result in localised flooding.  Therefore, it is necessary to reduce flood risk by incorporating sustainable urban drainage system.</w:t>
      </w:r>
    </w:p>
    <w:p w14:paraId="50EEFC93" w14:textId="4564A342" w:rsidR="00D41DD2" w:rsidRDefault="00D41DD2" w:rsidP="00D41DD2">
      <w:pPr>
        <w:keepNext w:val="0"/>
        <w:spacing w:before="0"/>
        <w:rPr>
          <w:rFonts w:cs="Arial"/>
          <w:color w:val="auto"/>
          <w:szCs w:val="24"/>
          <w:lang w:eastAsia="en-US"/>
        </w:rPr>
      </w:pPr>
    </w:p>
    <w:p w14:paraId="179C42E0" w14:textId="77777777" w:rsidR="00A81691" w:rsidRDefault="00A81691" w:rsidP="00D41DD2">
      <w:pPr>
        <w:keepNext w:val="0"/>
        <w:spacing w:before="0"/>
        <w:rPr>
          <w:rFonts w:cs="Arial"/>
          <w:color w:val="auto"/>
          <w:szCs w:val="24"/>
          <w:lang w:eastAsia="en-US"/>
        </w:rPr>
      </w:pPr>
    </w:p>
    <w:p w14:paraId="1771122A" w14:textId="77777777" w:rsidR="00E864C3" w:rsidRDefault="0052626B" w:rsidP="00E864C3">
      <w:pPr>
        <w:keepNext w:val="0"/>
        <w:spacing w:before="0"/>
        <w:ind w:left="709"/>
        <w:rPr>
          <w:rFonts w:cs="Arial"/>
          <w:color w:val="auto"/>
          <w:szCs w:val="24"/>
          <w:lang w:eastAsia="en-US"/>
        </w:rPr>
      </w:pPr>
      <w:r w:rsidRPr="00E864C3">
        <w:rPr>
          <w:rFonts w:cs="Arial"/>
          <w:b/>
          <w:bCs/>
          <w:color w:val="auto"/>
          <w:szCs w:val="24"/>
          <w:lang w:eastAsia="en-US"/>
        </w:rPr>
        <w:t xml:space="preserve">Exceptions </w:t>
      </w:r>
    </w:p>
    <w:p w14:paraId="0243731A" w14:textId="70A34C70" w:rsidR="00E864C3" w:rsidRDefault="0052626B" w:rsidP="00E864C3">
      <w:pPr>
        <w:keepNext w:val="0"/>
        <w:numPr>
          <w:ilvl w:val="1"/>
          <w:numId w:val="7"/>
        </w:numPr>
        <w:tabs>
          <w:tab w:val="clear" w:pos="525"/>
        </w:tabs>
        <w:spacing w:before="0"/>
        <w:ind w:left="709" w:hanging="709"/>
        <w:rPr>
          <w:rFonts w:cs="Arial"/>
          <w:color w:val="auto"/>
          <w:szCs w:val="24"/>
          <w:lang w:eastAsia="en-US"/>
        </w:rPr>
      </w:pPr>
      <w:r w:rsidRPr="00E864C3">
        <w:rPr>
          <w:rFonts w:cs="Arial"/>
          <w:color w:val="auto"/>
          <w:szCs w:val="24"/>
          <w:lang w:eastAsia="en-US"/>
        </w:rPr>
        <w:t xml:space="preserve">Generally, development will only be permitted where it is in accordance with current Parking Standards. The Council will work closely with the Highway Authority on issues relating to parking. </w:t>
      </w:r>
    </w:p>
    <w:p w14:paraId="43B85409" w14:textId="77777777" w:rsidR="00E864C3" w:rsidRDefault="00E864C3" w:rsidP="00E864C3">
      <w:pPr>
        <w:keepNext w:val="0"/>
        <w:spacing w:before="0"/>
        <w:ind w:left="709"/>
        <w:rPr>
          <w:rFonts w:cs="Arial"/>
          <w:color w:val="auto"/>
          <w:szCs w:val="24"/>
          <w:lang w:eastAsia="en-US"/>
        </w:rPr>
      </w:pPr>
    </w:p>
    <w:p w14:paraId="353D82FD" w14:textId="2644F095" w:rsidR="00E864C3" w:rsidRDefault="0052626B" w:rsidP="00E864C3">
      <w:pPr>
        <w:keepNext w:val="0"/>
        <w:numPr>
          <w:ilvl w:val="1"/>
          <w:numId w:val="7"/>
        </w:numPr>
        <w:tabs>
          <w:tab w:val="clear" w:pos="525"/>
        </w:tabs>
        <w:spacing w:before="0"/>
        <w:ind w:left="709" w:hanging="709"/>
        <w:rPr>
          <w:rFonts w:cs="Arial"/>
          <w:color w:val="auto"/>
          <w:szCs w:val="24"/>
          <w:lang w:eastAsia="en-US"/>
        </w:rPr>
      </w:pPr>
      <w:r w:rsidRPr="00E864C3">
        <w:rPr>
          <w:rFonts w:cs="Arial"/>
          <w:color w:val="auto"/>
          <w:szCs w:val="24"/>
          <w:lang w:eastAsia="en-US"/>
        </w:rPr>
        <w:t xml:space="preserve">In exceptional circumstances a more flexible approach may be </w:t>
      </w:r>
      <w:r w:rsidR="005D36E4" w:rsidRPr="00E864C3">
        <w:rPr>
          <w:rFonts w:cs="Arial"/>
          <w:color w:val="auto"/>
          <w:szCs w:val="24"/>
          <w:lang w:eastAsia="en-US"/>
        </w:rPr>
        <w:t>required,</w:t>
      </w:r>
      <w:r w:rsidRPr="00E864C3">
        <w:rPr>
          <w:rFonts w:cs="Arial"/>
          <w:color w:val="auto"/>
          <w:szCs w:val="24"/>
          <w:lang w:eastAsia="en-US"/>
        </w:rPr>
        <w:t xml:space="preserve"> and parking standards could be negotiable. </w:t>
      </w:r>
      <w:proofErr w:type="gramStart"/>
      <w:r w:rsidRPr="00E864C3">
        <w:rPr>
          <w:rFonts w:cs="Arial"/>
          <w:color w:val="auto"/>
          <w:szCs w:val="24"/>
          <w:lang w:eastAsia="en-US"/>
        </w:rPr>
        <w:t>In particular, developments</w:t>
      </w:r>
      <w:proofErr w:type="gramEnd"/>
      <w:r w:rsidRPr="00E864C3">
        <w:rPr>
          <w:rFonts w:cs="Arial"/>
          <w:color w:val="auto"/>
          <w:szCs w:val="24"/>
          <w:lang w:eastAsia="en-US"/>
        </w:rPr>
        <w:t xml:space="preserve"> in areas </w:t>
      </w:r>
      <w:proofErr w:type="gramStart"/>
      <w:r w:rsidRPr="00E864C3">
        <w:rPr>
          <w:rFonts w:cs="Arial"/>
          <w:color w:val="auto"/>
          <w:szCs w:val="24"/>
          <w:lang w:eastAsia="en-US"/>
        </w:rPr>
        <w:t>in close proximity to</w:t>
      </w:r>
      <w:proofErr w:type="gramEnd"/>
      <w:r w:rsidRPr="00E864C3">
        <w:rPr>
          <w:rFonts w:cs="Arial"/>
          <w:color w:val="auto"/>
          <w:szCs w:val="24"/>
          <w:lang w:eastAsia="en-US"/>
        </w:rPr>
        <w:t xml:space="preserve"> major transport nodes, such as railway and bus stations, may warrant a more flexible approach where there are no implications for amenity or health and safety.    In appropriate locations or developments, this may include alternative proposals, which lead to lower parking requirements.  For example, the provision of a car club as part of the development.  </w:t>
      </w:r>
    </w:p>
    <w:p w14:paraId="46F21EBC" w14:textId="77777777" w:rsidR="00E864C3" w:rsidRDefault="00E864C3" w:rsidP="00E864C3">
      <w:pPr>
        <w:keepNext w:val="0"/>
        <w:spacing w:before="0"/>
        <w:rPr>
          <w:rFonts w:cs="Arial"/>
          <w:color w:val="auto"/>
          <w:szCs w:val="24"/>
          <w:lang w:eastAsia="en-US"/>
        </w:rPr>
      </w:pPr>
    </w:p>
    <w:p w14:paraId="425CE39D" w14:textId="64AF542F" w:rsidR="0052626B" w:rsidRPr="00E864C3" w:rsidRDefault="0052626B" w:rsidP="00E864C3">
      <w:pPr>
        <w:keepNext w:val="0"/>
        <w:numPr>
          <w:ilvl w:val="1"/>
          <w:numId w:val="7"/>
        </w:numPr>
        <w:tabs>
          <w:tab w:val="clear" w:pos="525"/>
        </w:tabs>
        <w:spacing w:before="0"/>
        <w:ind w:left="709" w:hanging="709"/>
        <w:rPr>
          <w:rFonts w:cs="Arial"/>
          <w:color w:val="auto"/>
          <w:szCs w:val="24"/>
          <w:lang w:eastAsia="en-US"/>
        </w:rPr>
      </w:pPr>
      <w:r w:rsidRPr="00E864C3">
        <w:rPr>
          <w:rFonts w:cs="Arial"/>
          <w:color w:val="auto"/>
          <w:szCs w:val="24"/>
          <w:lang w:eastAsia="en-US"/>
        </w:rPr>
        <w:t xml:space="preserve">The onus is on the developer or applicant to demonstrate that the proposed parking facilities or alternative proposals are sufficient to meet the needs of the </w:t>
      </w:r>
      <w:proofErr w:type="gramStart"/>
      <w:r w:rsidRPr="00E864C3">
        <w:rPr>
          <w:rFonts w:cs="Arial"/>
          <w:color w:val="auto"/>
          <w:szCs w:val="24"/>
          <w:lang w:eastAsia="en-US"/>
        </w:rPr>
        <w:t>development as a whole</w:t>
      </w:r>
      <w:proofErr w:type="gramEnd"/>
      <w:r w:rsidRPr="00E864C3">
        <w:rPr>
          <w:rFonts w:cs="Arial"/>
          <w:color w:val="auto"/>
          <w:szCs w:val="24"/>
          <w:lang w:eastAsia="en-US"/>
        </w:rPr>
        <w:t>.</w:t>
      </w:r>
    </w:p>
    <w:p w14:paraId="0094DC13" w14:textId="3F684865" w:rsidR="0052626B" w:rsidRDefault="0052626B" w:rsidP="0052626B">
      <w:pPr>
        <w:keepNext w:val="0"/>
        <w:spacing w:before="0"/>
        <w:ind w:left="527"/>
        <w:rPr>
          <w:rFonts w:cs="Arial"/>
          <w:color w:val="auto"/>
          <w:szCs w:val="24"/>
          <w:lang w:eastAsia="en-US"/>
        </w:rPr>
      </w:pPr>
    </w:p>
    <w:p w14:paraId="1EAE110D" w14:textId="17AF7CD6" w:rsidR="00263F59" w:rsidRDefault="00263F59" w:rsidP="0052626B">
      <w:pPr>
        <w:keepNext w:val="0"/>
        <w:spacing w:before="0"/>
        <w:ind w:left="527"/>
        <w:rPr>
          <w:rFonts w:cs="Arial"/>
          <w:color w:val="auto"/>
          <w:szCs w:val="24"/>
          <w:lang w:eastAsia="en-US"/>
        </w:rPr>
      </w:pPr>
    </w:p>
    <w:p w14:paraId="13BC4901" w14:textId="310246F1" w:rsidR="0052626B" w:rsidRPr="00825421" w:rsidRDefault="006977E7" w:rsidP="00825421">
      <w:pPr>
        <w:pStyle w:val="Heading2"/>
        <w:jc w:val="left"/>
        <w:rPr>
          <w:rFonts w:eastAsia="Arial"/>
          <w:sz w:val="28"/>
          <w:szCs w:val="28"/>
        </w:rPr>
      </w:pPr>
      <w:bookmarkStart w:id="327" w:name="_Toc500408794"/>
      <w:bookmarkStart w:id="328" w:name="_Toc145511621"/>
      <w:r w:rsidRPr="00825421">
        <w:rPr>
          <w:sz w:val="28"/>
          <w:szCs w:val="28"/>
        </w:rPr>
        <w:t xml:space="preserve">Policy </w:t>
      </w:r>
      <w:r w:rsidR="0052626B" w:rsidRPr="00825421">
        <w:rPr>
          <w:rFonts w:eastAsia="Arial"/>
          <w:sz w:val="28"/>
          <w:szCs w:val="28"/>
        </w:rPr>
        <w:t>SD1</w:t>
      </w:r>
      <w:r w:rsidR="0064018F" w:rsidRPr="00825421">
        <w:rPr>
          <w:rFonts w:eastAsia="Arial"/>
          <w:sz w:val="28"/>
          <w:szCs w:val="28"/>
        </w:rPr>
        <w:t>2</w:t>
      </w:r>
      <w:r w:rsidR="0052626B" w:rsidRPr="00825421">
        <w:rPr>
          <w:rFonts w:eastAsia="Arial"/>
          <w:sz w:val="28"/>
          <w:szCs w:val="28"/>
        </w:rPr>
        <w:t>: Advertisements</w:t>
      </w:r>
      <w:bookmarkEnd w:id="327"/>
      <w:bookmarkEnd w:id="328"/>
    </w:p>
    <w:p w14:paraId="394955EC" w14:textId="77777777" w:rsidR="0052626B" w:rsidRPr="0052626B" w:rsidRDefault="0052626B" w:rsidP="0052626B">
      <w:pPr>
        <w:keepNext w:val="0"/>
        <w:spacing w:before="0"/>
        <w:rPr>
          <w:rFonts w:eastAsia="Arial" w:cs="Arial"/>
          <w:color w:val="auto"/>
          <w:szCs w:val="24"/>
        </w:rPr>
      </w:pPr>
    </w:p>
    <w:tbl>
      <w:tblPr>
        <w:tblStyle w:val="TableGrid3"/>
        <w:tblW w:w="9634" w:type="dxa"/>
        <w:tblLook w:val="04A0" w:firstRow="1" w:lastRow="0" w:firstColumn="1" w:lastColumn="0" w:noHBand="0" w:noVBand="1"/>
      </w:tblPr>
      <w:tblGrid>
        <w:gridCol w:w="2122"/>
        <w:gridCol w:w="538"/>
        <w:gridCol w:w="6974"/>
      </w:tblGrid>
      <w:tr w:rsidR="0052626B" w:rsidRPr="0052626B" w14:paraId="2D878C2F" w14:textId="77777777" w:rsidTr="00DD4136">
        <w:trPr>
          <w:trHeight w:val="421"/>
        </w:trPr>
        <w:tc>
          <w:tcPr>
            <w:tcW w:w="9634" w:type="dxa"/>
            <w:gridSpan w:val="3"/>
          </w:tcPr>
          <w:p w14:paraId="3E1C3A5F" w14:textId="77777777" w:rsidR="00E864C3" w:rsidRDefault="00E864C3" w:rsidP="00905CC9">
            <w:pPr>
              <w:keepNext w:val="0"/>
              <w:tabs>
                <w:tab w:val="left" w:pos="680"/>
              </w:tabs>
              <w:spacing w:before="0"/>
              <w:jc w:val="left"/>
              <w:rPr>
                <w:rFonts w:eastAsia="Arial"/>
                <w:b/>
                <w:color w:val="auto"/>
                <w:spacing w:val="-1"/>
              </w:rPr>
            </w:pPr>
            <w:bookmarkStart w:id="329" w:name="_Hlk78903342"/>
          </w:p>
          <w:p w14:paraId="2A9B3BD7" w14:textId="20537E2D" w:rsidR="0052626B" w:rsidRDefault="0052626B" w:rsidP="00905CC9">
            <w:pPr>
              <w:keepNext w:val="0"/>
              <w:tabs>
                <w:tab w:val="left" w:pos="680"/>
              </w:tabs>
              <w:spacing w:before="0"/>
              <w:jc w:val="left"/>
              <w:rPr>
                <w:rFonts w:eastAsia="Arial"/>
                <w:b/>
                <w:color w:val="auto"/>
                <w:spacing w:val="-1"/>
              </w:rPr>
            </w:pPr>
            <w:r w:rsidRPr="008F21DB">
              <w:rPr>
                <w:rFonts w:eastAsia="Arial"/>
                <w:b/>
                <w:color w:val="auto"/>
                <w:spacing w:val="-1"/>
              </w:rPr>
              <w:t>Policy SD1</w:t>
            </w:r>
            <w:r w:rsidR="0064018F">
              <w:rPr>
                <w:rFonts w:eastAsia="Arial"/>
                <w:b/>
                <w:color w:val="auto"/>
                <w:spacing w:val="-1"/>
              </w:rPr>
              <w:t>2</w:t>
            </w:r>
            <w:r w:rsidRPr="008F21DB">
              <w:rPr>
                <w:rFonts w:eastAsia="Arial"/>
                <w:b/>
                <w:color w:val="auto"/>
                <w:spacing w:val="-1"/>
              </w:rPr>
              <w:t>: Advertisements</w:t>
            </w:r>
          </w:p>
          <w:p w14:paraId="43FF2051" w14:textId="53A98D36" w:rsidR="00E864C3" w:rsidRPr="0052626B" w:rsidRDefault="00E864C3" w:rsidP="00905CC9">
            <w:pPr>
              <w:keepNext w:val="0"/>
              <w:tabs>
                <w:tab w:val="left" w:pos="680"/>
              </w:tabs>
              <w:spacing w:before="0"/>
              <w:jc w:val="left"/>
              <w:rPr>
                <w:rFonts w:eastAsia="Arial"/>
                <w:b/>
                <w:color w:val="auto"/>
                <w:spacing w:val="-1"/>
              </w:rPr>
            </w:pPr>
          </w:p>
        </w:tc>
      </w:tr>
      <w:tr w:rsidR="0052626B" w:rsidRPr="0052626B" w14:paraId="0BC4FFB3" w14:textId="77777777" w:rsidTr="00DD4136">
        <w:tc>
          <w:tcPr>
            <w:tcW w:w="2660" w:type="dxa"/>
            <w:gridSpan w:val="2"/>
          </w:tcPr>
          <w:p w14:paraId="4419A8DD" w14:textId="77777777" w:rsidR="0052626B" w:rsidRPr="008F21DB" w:rsidRDefault="0052626B" w:rsidP="00905CC9">
            <w:pPr>
              <w:keepNext w:val="0"/>
              <w:tabs>
                <w:tab w:val="left" w:pos="680"/>
              </w:tabs>
              <w:spacing w:before="0"/>
              <w:jc w:val="left"/>
              <w:rPr>
                <w:rFonts w:eastAsia="Arial"/>
                <w:bCs/>
                <w:color w:val="auto"/>
              </w:rPr>
            </w:pPr>
            <w:r w:rsidRPr="008F21DB">
              <w:rPr>
                <w:rFonts w:eastAsia="Arial"/>
                <w:bCs/>
                <w:color w:val="auto"/>
              </w:rPr>
              <w:t>Strategic Objectives</w:t>
            </w:r>
          </w:p>
        </w:tc>
        <w:tc>
          <w:tcPr>
            <w:tcW w:w="6974" w:type="dxa"/>
          </w:tcPr>
          <w:p w14:paraId="276FEC32" w14:textId="77777777" w:rsidR="0052626B" w:rsidRPr="008F21DB" w:rsidRDefault="0052626B" w:rsidP="00905CC9">
            <w:pPr>
              <w:keepNext w:val="0"/>
              <w:tabs>
                <w:tab w:val="left" w:pos="680"/>
              </w:tabs>
              <w:spacing w:before="40" w:after="40"/>
              <w:jc w:val="left"/>
              <w:rPr>
                <w:rFonts w:eastAsia="Arial"/>
                <w:bCs/>
                <w:color w:val="auto"/>
              </w:rPr>
            </w:pPr>
            <w:r w:rsidRPr="008F21DB">
              <w:rPr>
                <w:rFonts w:eastAsia="Arial"/>
                <w:bCs/>
                <w:color w:val="auto"/>
              </w:rPr>
              <w:t>SO1, SO7, SO8, SO9, SO10, SO13, SO14.</w:t>
            </w:r>
          </w:p>
        </w:tc>
      </w:tr>
      <w:tr w:rsidR="0052626B" w:rsidRPr="0052626B" w14:paraId="11573C55" w14:textId="77777777" w:rsidTr="00DD4136">
        <w:tc>
          <w:tcPr>
            <w:tcW w:w="9634" w:type="dxa"/>
            <w:gridSpan w:val="3"/>
            <w:shd w:val="clear" w:color="auto" w:fill="DAC4F8"/>
          </w:tcPr>
          <w:p w14:paraId="1F923F16" w14:textId="77777777" w:rsidR="0052626B" w:rsidRPr="008F21DB" w:rsidRDefault="0052626B" w:rsidP="00905CC9">
            <w:pPr>
              <w:keepNext w:val="0"/>
              <w:tabs>
                <w:tab w:val="left" w:pos="680"/>
                <w:tab w:val="left" w:pos="1133"/>
                <w:tab w:val="left" w:pos="2267"/>
              </w:tabs>
              <w:spacing w:before="0"/>
              <w:ind w:right="284"/>
              <w:jc w:val="left"/>
              <w:rPr>
                <w:rFonts w:eastAsia="Arial"/>
                <w:bCs/>
                <w:color w:val="auto"/>
              </w:rPr>
            </w:pPr>
          </w:p>
          <w:p w14:paraId="488AE64A" w14:textId="77777777" w:rsidR="0052626B" w:rsidRPr="008F21DB" w:rsidRDefault="0052626B" w:rsidP="00905CC9">
            <w:pPr>
              <w:keepNext w:val="0"/>
              <w:tabs>
                <w:tab w:val="left" w:pos="680"/>
                <w:tab w:val="left" w:pos="1133"/>
                <w:tab w:val="left" w:pos="2267"/>
              </w:tabs>
              <w:spacing w:before="0"/>
              <w:ind w:right="284"/>
              <w:jc w:val="left"/>
              <w:rPr>
                <w:rFonts w:eastAsia="Arial"/>
                <w:bCs/>
                <w:color w:val="auto"/>
              </w:rPr>
            </w:pPr>
            <w:r w:rsidRPr="008F21DB">
              <w:rPr>
                <w:rFonts w:eastAsia="Arial"/>
                <w:bCs/>
                <w:color w:val="auto"/>
              </w:rPr>
              <w:t>Advertisements, including boards and signs, will be supported where they:</w:t>
            </w:r>
          </w:p>
          <w:p w14:paraId="13B180AC" w14:textId="77777777" w:rsidR="0052626B" w:rsidRPr="008F21DB" w:rsidRDefault="0052626B" w:rsidP="00905CC9">
            <w:pPr>
              <w:keepNext w:val="0"/>
              <w:spacing w:before="0"/>
              <w:jc w:val="left"/>
              <w:rPr>
                <w:rFonts w:eastAsia="Arial" w:cs="Arial"/>
                <w:bCs/>
                <w:color w:val="auto"/>
              </w:rPr>
            </w:pPr>
          </w:p>
          <w:p w14:paraId="1BA20D85" w14:textId="28C0F584" w:rsidR="0052626B" w:rsidRDefault="0052626B" w:rsidP="00874A98">
            <w:pPr>
              <w:keepNext w:val="0"/>
              <w:numPr>
                <w:ilvl w:val="0"/>
                <w:numId w:val="199"/>
              </w:numPr>
              <w:spacing w:before="0"/>
              <w:jc w:val="left"/>
              <w:rPr>
                <w:rFonts w:eastAsia="Arial" w:cs="Arial"/>
                <w:bCs/>
                <w:color w:val="auto"/>
              </w:rPr>
            </w:pPr>
            <w:r w:rsidRPr="008F21DB">
              <w:rPr>
                <w:rFonts w:eastAsia="Arial" w:cs="Arial"/>
                <w:bCs/>
                <w:color w:val="auto"/>
              </w:rPr>
              <w:t>Do not have a negative impact on the visual amenity of the street scene</w:t>
            </w:r>
            <w:r w:rsidR="003C0B3D">
              <w:rPr>
                <w:rFonts w:eastAsia="Arial" w:cs="Arial"/>
                <w:bCs/>
                <w:color w:val="auto"/>
              </w:rPr>
              <w:t>;</w:t>
            </w:r>
          </w:p>
          <w:p w14:paraId="40BCD1CA" w14:textId="77777777" w:rsidR="008F21DB" w:rsidRPr="008F21DB" w:rsidRDefault="008F21DB" w:rsidP="00905CC9">
            <w:pPr>
              <w:keepNext w:val="0"/>
              <w:spacing w:before="0"/>
              <w:ind w:left="720"/>
              <w:jc w:val="left"/>
              <w:rPr>
                <w:rFonts w:eastAsia="Arial" w:cs="Arial"/>
                <w:bCs/>
                <w:color w:val="auto"/>
              </w:rPr>
            </w:pPr>
          </w:p>
          <w:p w14:paraId="32ED6249" w14:textId="0914480C" w:rsidR="0052626B" w:rsidRDefault="0052626B" w:rsidP="00874A98">
            <w:pPr>
              <w:keepNext w:val="0"/>
              <w:numPr>
                <w:ilvl w:val="0"/>
                <w:numId w:val="199"/>
              </w:numPr>
              <w:spacing w:before="0"/>
              <w:jc w:val="left"/>
              <w:rPr>
                <w:rFonts w:eastAsia="Arial" w:cs="Arial"/>
                <w:bCs/>
                <w:color w:val="auto"/>
              </w:rPr>
            </w:pPr>
            <w:r w:rsidRPr="008F21DB">
              <w:rPr>
                <w:rFonts w:eastAsia="Arial" w:cs="Arial"/>
                <w:bCs/>
                <w:color w:val="auto"/>
              </w:rPr>
              <w:t>Do not affect public safety</w:t>
            </w:r>
            <w:r w:rsidR="003C0B3D">
              <w:rPr>
                <w:rFonts w:eastAsia="Arial" w:cs="Arial"/>
                <w:bCs/>
                <w:color w:val="auto"/>
              </w:rPr>
              <w:t>;</w:t>
            </w:r>
          </w:p>
          <w:p w14:paraId="07519621" w14:textId="77777777" w:rsidR="008F21DB" w:rsidRPr="000663FF" w:rsidRDefault="008F21DB" w:rsidP="00905CC9">
            <w:pPr>
              <w:keepNext w:val="0"/>
              <w:spacing w:before="0"/>
              <w:jc w:val="left"/>
              <w:rPr>
                <w:rFonts w:eastAsia="Arial" w:cs="Arial"/>
                <w:bCs/>
                <w:color w:val="auto"/>
              </w:rPr>
            </w:pPr>
          </w:p>
          <w:p w14:paraId="57E0627C" w14:textId="6C1731F8" w:rsidR="0052626B" w:rsidRPr="000663FF" w:rsidRDefault="0052626B" w:rsidP="00874A98">
            <w:pPr>
              <w:keepNext w:val="0"/>
              <w:numPr>
                <w:ilvl w:val="0"/>
                <w:numId w:val="199"/>
              </w:numPr>
              <w:spacing w:before="0"/>
              <w:ind w:left="709"/>
              <w:jc w:val="left"/>
              <w:rPr>
                <w:rFonts w:eastAsia="Arial" w:cs="Arial"/>
                <w:bCs/>
                <w:color w:val="auto"/>
              </w:rPr>
            </w:pPr>
            <w:r w:rsidRPr="000663FF">
              <w:rPr>
                <w:rFonts w:eastAsia="Arial" w:cs="Arial"/>
                <w:bCs/>
                <w:color w:val="auto"/>
              </w:rPr>
              <w:t>Do not have a negative impact on the character of an area or a building</w:t>
            </w:r>
            <w:r w:rsidR="003C0B3D" w:rsidRPr="000663FF">
              <w:rPr>
                <w:rFonts w:eastAsia="Arial" w:cs="Arial"/>
                <w:bCs/>
                <w:color w:val="auto"/>
              </w:rPr>
              <w:t>; and</w:t>
            </w:r>
            <w:r w:rsidRPr="000663FF">
              <w:rPr>
                <w:rFonts w:eastAsia="Arial" w:cs="Arial"/>
                <w:bCs/>
                <w:color w:val="auto"/>
              </w:rPr>
              <w:t xml:space="preserve"> </w:t>
            </w:r>
          </w:p>
          <w:p w14:paraId="3580B95D" w14:textId="77777777" w:rsidR="008F21DB" w:rsidRPr="000663FF" w:rsidRDefault="008F21DB" w:rsidP="00905CC9">
            <w:pPr>
              <w:keepNext w:val="0"/>
              <w:spacing w:before="0"/>
              <w:jc w:val="left"/>
              <w:rPr>
                <w:rFonts w:eastAsia="Arial" w:cs="Arial"/>
                <w:bCs/>
                <w:color w:val="auto"/>
              </w:rPr>
            </w:pPr>
          </w:p>
          <w:p w14:paraId="562F1253" w14:textId="4E10C1D8" w:rsidR="0052626B" w:rsidRPr="00882556" w:rsidRDefault="0052626B" w:rsidP="00874A98">
            <w:pPr>
              <w:keepNext w:val="0"/>
              <w:numPr>
                <w:ilvl w:val="0"/>
                <w:numId w:val="199"/>
              </w:numPr>
              <w:spacing w:before="0"/>
              <w:ind w:left="709"/>
              <w:jc w:val="left"/>
              <w:rPr>
                <w:rFonts w:eastAsia="Arial" w:cs="Arial"/>
                <w:bCs/>
                <w:strike/>
                <w:color w:val="auto"/>
              </w:rPr>
            </w:pPr>
            <w:r w:rsidRPr="008F21DB">
              <w:rPr>
                <w:rFonts w:eastAsia="Arial" w:cs="Arial"/>
                <w:bCs/>
                <w:color w:val="auto"/>
              </w:rPr>
              <w:t xml:space="preserve">Preserve or enhance the special character of conservation </w:t>
            </w:r>
            <w:r w:rsidR="00EA7D34" w:rsidRPr="008F21DB">
              <w:rPr>
                <w:rFonts w:eastAsia="Arial" w:cs="Arial"/>
                <w:bCs/>
                <w:color w:val="auto"/>
              </w:rPr>
              <w:t>areas and</w:t>
            </w:r>
            <w:r w:rsidRPr="008F21DB">
              <w:rPr>
                <w:rFonts w:eastAsia="Arial" w:cs="Arial"/>
                <w:bCs/>
                <w:color w:val="auto"/>
              </w:rPr>
              <w:t xml:space="preserve"> </w:t>
            </w:r>
            <w:r w:rsidRPr="00882556">
              <w:rPr>
                <w:rFonts w:eastAsia="Arial" w:cs="Arial"/>
                <w:bCs/>
                <w:strike/>
                <w:color w:val="auto"/>
              </w:rPr>
              <w:t>do not</w:t>
            </w:r>
            <w:r w:rsidRPr="008F21DB">
              <w:rPr>
                <w:rFonts w:eastAsia="Arial" w:cs="Arial"/>
                <w:bCs/>
                <w:color w:val="auto"/>
              </w:rPr>
              <w:t xml:space="preserve"> have </w:t>
            </w:r>
            <w:r w:rsidRPr="00882556">
              <w:rPr>
                <w:rFonts w:eastAsia="Arial" w:cs="Arial"/>
                <w:bCs/>
                <w:strike/>
                <w:color w:val="auto"/>
              </w:rPr>
              <w:t>an</w:t>
            </w:r>
            <w:r w:rsidRPr="008F21DB">
              <w:rPr>
                <w:rFonts w:eastAsia="Arial" w:cs="Arial"/>
                <w:bCs/>
                <w:color w:val="auto"/>
              </w:rPr>
              <w:t xml:space="preserve"> </w:t>
            </w:r>
            <w:r w:rsidR="00882556" w:rsidRPr="00F53521">
              <w:rPr>
                <w:rFonts w:eastAsia="Arial" w:cs="Arial"/>
                <w:bCs/>
                <w:color w:val="2F5496" w:themeColor="accent1" w:themeShade="BF"/>
              </w:rPr>
              <w:t xml:space="preserve">no </w:t>
            </w:r>
            <w:r w:rsidRPr="008F21DB">
              <w:rPr>
                <w:rFonts w:eastAsia="Arial" w:cs="Arial"/>
                <w:bCs/>
                <w:color w:val="auto"/>
              </w:rPr>
              <w:t xml:space="preserve">adverse effect </w:t>
            </w:r>
            <w:r w:rsidR="00882556">
              <w:rPr>
                <w:rFonts w:eastAsia="Arial" w:cs="Arial"/>
                <w:bCs/>
                <w:color w:val="auto"/>
              </w:rPr>
              <w:t>on</w:t>
            </w:r>
            <w:r w:rsidR="00882556" w:rsidRPr="00F53521">
              <w:rPr>
                <w:rFonts w:eastAsia="Arial" w:cs="Arial"/>
                <w:bCs/>
                <w:color w:val="0056A3"/>
              </w:rPr>
              <w:t xml:space="preserve"> the significance of heritage assets including their setting. </w:t>
            </w:r>
            <w:r w:rsidRPr="008F21DB">
              <w:rPr>
                <w:rFonts w:eastAsia="Arial" w:cs="Arial"/>
                <w:bCs/>
                <w:color w:val="auto"/>
              </w:rPr>
              <w:t xml:space="preserve"> </w:t>
            </w:r>
            <w:r w:rsidRPr="00882556">
              <w:rPr>
                <w:rFonts w:eastAsia="Arial" w:cs="Arial"/>
                <w:bCs/>
                <w:strike/>
                <w:color w:val="auto"/>
              </w:rPr>
              <w:t>listed buildings, Scheduled Ancient Monuments and other heritage assets or their setting.</w:t>
            </w:r>
          </w:p>
          <w:p w14:paraId="66DEEDD7" w14:textId="77777777" w:rsidR="0052626B" w:rsidRPr="008F21DB" w:rsidRDefault="0052626B" w:rsidP="00905CC9">
            <w:pPr>
              <w:keepNext w:val="0"/>
              <w:spacing w:before="0"/>
              <w:jc w:val="left"/>
              <w:rPr>
                <w:rFonts w:eastAsia="Arial" w:cs="Arial"/>
                <w:bCs/>
                <w:color w:val="auto"/>
              </w:rPr>
            </w:pPr>
          </w:p>
        </w:tc>
      </w:tr>
      <w:bookmarkEnd w:id="329"/>
      <w:tr w:rsidR="0052626B" w:rsidRPr="0052626B" w14:paraId="010CD15F" w14:textId="77777777" w:rsidTr="00DD4136">
        <w:tc>
          <w:tcPr>
            <w:tcW w:w="2122" w:type="dxa"/>
          </w:tcPr>
          <w:p w14:paraId="5AB23995" w14:textId="77777777" w:rsidR="0052626B" w:rsidRPr="0052626B" w:rsidRDefault="0052626B" w:rsidP="00905CC9">
            <w:pPr>
              <w:keepNext w:val="0"/>
              <w:tabs>
                <w:tab w:val="left" w:pos="680"/>
                <w:tab w:val="left" w:pos="1133"/>
                <w:tab w:val="left" w:pos="2267"/>
              </w:tabs>
              <w:spacing w:before="0"/>
              <w:ind w:right="284"/>
              <w:jc w:val="left"/>
              <w:rPr>
                <w:rFonts w:eastAsia="Arial"/>
                <w:b/>
                <w:color w:val="auto"/>
                <w:sz w:val="20"/>
              </w:rPr>
            </w:pPr>
            <w:r w:rsidRPr="0052626B">
              <w:rPr>
                <w:rFonts w:eastAsia="Arial"/>
                <w:bCs/>
                <w:color w:val="auto"/>
                <w:sz w:val="20"/>
              </w:rPr>
              <w:t>Evidence base</w:t>
            </w:r>
          </w:p>
        </w:tc>
        <w:tc>
          <w:tcPr>
            <w:tcW w:w="7512" w:type="dxa"/>
            <w:gridSpan w:val="2"/>
          </w:tcPr>
          <w:p w14:paraId="0257E585" w14:textId="097D73FD" w:rsidR="0052626B" w:rsidRPr="0052626B" w:rsidRDefault="0052626B" w:rsidP="00874A98">
            <w:pPr>
              <w:keepNext w:val="0"/>
              <w:numPr>
                <w:ilvl w:val="0"/>
                <w:numId w:val="200"/>
              </w:numPr>
              <w:tabs>
                <w:tab w:val="left" w:pos="680"/>
                <w:tab w:val="left" w:pos="1133"/>
                <w:tab w:val="left" w:pos="2267"/>
              </w:tabs>
              <w:spacing w:before="0" w:after="160" w:line="252" w:lineRule="auto"/>
              <w:ind w:right="284"/>
              <w:contextualSpacing/>
              <w:jc w:val="left"/>
              <w:rPr>
                <w:rFonts w:eastAsia="Arial"/>
                <w:b/>
                <w:color w:val="auto"/>
                <w:sz w:val="20"/>
              </w:rPr>
            </w:pPr>
            <w:r w:rsidRPr="0052626B">
              <w:rPr>
                <w:rFonts w:eastAsia="Arial"/>
                <w:bCs/>
                <w:color w:val="auto"/>
                <w:sz w:val="20"/>
              </w:rPr>
              <w:t>Sustainability Appraisal</w:t>
            </w:r>
            <w:r w:rsidRPr="000663FF">
              <w:rPr>
                <w:rFonts w:eastAsia="Arial"/>
                <w:bCs/>
                <w:color w:val="auto"/>
                <w:sz w:val="20"/>
              </w:rPr>
              <w:t>, 202</w:t>
            </w:r>
            <w:r w:rsidR="0025538D" w:rsidRPr="000663FF">
              <w:rPr>
                <w:rFonts w:eastAsia="Arial"/>
                <w:bCs/>
                <w:color w:val="auto"/>
                <w:sz w:val="20"/>
              </w:rPr>
              <w:t>3</w:t>
            </w:r>
            <w:r w:rsidRPr="000663FF">
              <w:rPr>
                <w:rFonts w:eastAsia="Arial"/>
                <w:bCs/>
                <w:color w:val="auto"/>
                <w:sz w:val="20"/>
              </w:rPr>
              <w:t xml:space="preserve">. </w:t>
            </w:r>
            <w:r w:rsidR="0025538D" w:rsidRPr="000663FF">
              <w:rPr>
                <w:rFonts w:eastAsia="Arial"/>
                <w:bCs/>
                <w:color w:val="auto"/>
                <w:sz w:val="20"/>
              </w:rPr>
              <w:t>WSP UK Limited</w:t>
            </w:r>
            <w:r w:rsidRPr="000663FF">
              <w:rPr>
                <w:rFonts w:eastAsia="Arial"/>
                <w:bCs/>
                <w:color w:val="auto"/>
                <w:sz w:val="20"/>
              </w:rPr>
              <w:t xml:space="preserve">. </w:t>
            </w:r>
          </w:p>
        </w:tc>
      </w:tr>
      <w:tr w:rsidR="0052626B" w:rsidRPr="0052626B" w14:paraId="2360570C" w14:textId="77777777" w:rsidTr="00DD4136">
        <w:tc>
          <w:tcPr>
            <w:tcW w:w="2122" w:type="dxa"/>
          </w:tcPr>
          <w:p w14:paraId="63C8E9E0" w14:textId="77777777" w:rsidR="0052626B" w:rsidRPr="0052626B" w:rsidRDefault="0052626B" w:rsidP="00905CC9">
            <w:pPr>
              <w:keepNext w:val="0"/>
              <w:tabs>
                <w:tab w:val="left" w:pos="680"/>
                <w:tab w:val="left" w:pos="1133"/>
                <w:tab w:val="left" w:pos="2267"/>
              </w:tabs>
              <w:spacing w:before="0"/>
              <w:ind w:right="284"/>
              <w:jc w:val="left"/>
              <w:rPr>
                <w:rFonts w:eastAsia="Arial"/>
                <w:b/>
                <w:color w:val="auto"/>
                <w:sz w:val="22"/>
              </w:rPr>
            </w:pPr>
            <w:r w:rsidRPr="0052626B">
              <w:rPr>
                <w:rFonts w:eastAsia="Arial"/>
                <w:bCs/>
                <w:color w:val="auto"/>
                <w:sz w:val="20"/>
              </w:rPr>
              <w:t>National Planning Policy and Guidance</w:t>
            </w:r>
          </w:p>
        </w:tc>
        <w:tc>
          <w:tcPr>
            <w:tcW w:w="7512" w:type="dxa"/>
            <w:gridSpan w:val="2"/>
          </w:tcPr>
          <w:p w14:paraId="2DC12856" w14:textId="08A6ED96" w:rsidR="0052626B" w:rsidRPr="0052626B" w:rsidRDefault="0052626B"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52626B">
              <w:rPr>
                <w:rFonts w:eastAsia="Arial"/>
                <w:bCs/>
                <w:color w:val="auto"/>
                <w:sz w:val="20"/>
              </w:rPr>
              <w:t>NPPF 20</w:t>
            </w:r>
            <w:r w:rsidR="004173E0">
              <w:rPr>
                <w:rFonts w:eastAsia="Arial"/>
                <w:bCs/>
                <w:color w:val="auto"/>
                <w:sz w:val="20"/>
              </w:rPr>
              <w:t>23</w:t>
            </w:r>
            <w:r w:rsidRPr="0052626B">
              <w:rPr>
                <w:rFonts w:eastAsia="Arial"/>
                <w:bCs/>
                <w:color w:val="auto"/>
                <w:sz w:val="20"/>
              </w:rPr>
              <w:t>, Part 2: Achieving sustainable development.</w:t>
            </w:r>
          </w:p>
          <w:p w14:paraId="66353C8A" w14:textId="77777777" w:rsidR="0052626B" w:rsidRPr="0052626B" w:rsidRDefault="0052626B" w:rsidP="00905CC9">
            <w:pPr>
              <w:keepNext w:val="0"/>
              <w:tabs>
                <w:tab w:val="left" w:pos="680"/>
                <w:tab w:val="left" w:pos="1133"/>
                <w:tab w:val="left" w:pos="2267"/>
              </w:tabs>
              <w:spacing w:before="0"/>
              <w:ind w:right="284"/>
              <w:jc w:val="left"/>
              <w:rPr>
                <w:rFonts w:eastAsia="Arial"/>
                <w:b/>
                <w:color w:val="auto"/>
                <w:sz w:val="22"/>
              </w:rPr>
            </w:pPr>
          </w:p>
        </w:tc>
      </w:tr>
    </w:tbl>
    <w:p w14:paraId="41F823D4" w14:textId="77777777" w:rsidR="0052626B" w:rsidRPr="0052626B" w:rsidRDefault="0052626B" w:rsidP="0052626B">
      <w:pPr>
        <w:keepNext w:val="0"/>
        <w:spacing w:before="0"/>
        <w:rPr>
          <w:rFonts w:eastAsia="Arial" w:cs="Arial"/>
          <w:b/>
          <w:color w:val="A91A37"/>
        </w:rPr>
      </w:pPr>
    </w:p>
    <w:p w14:paraId="25F14E24" w14:textId="354F8209" w:rsidR="0052626B" w:rsidRDefault="0052626B" w:rsidP="0052626B">
      <w:pPr>
        <w:keepNext w:val="0"/>
        <w:spacing w:before="0"/>
        <w:ind w:left="527"/>
        <w:rPr>
          <w:rFonts w:cs="Arial"/>
          <w:color w:val="auto"/>
          <w:szCs w:val="24"/>
          <w:lang w:eastAsia="en-US"/>
        </w:rPr>
      </w:pPr>
    </w:p>
    <w:p w14:paraId="2C089E74" w14:textId="61B399E3" w:rsidR="00E864C3" w:rsidRDefault="0052626B" w:rsidP="00E864C3">
      <w:pPr>
        <w:keepNext w:val="0"/>
        <w:numPr>
          <w:ilvl w:val="1"/>
          <w:numId w:val="7"/>
        </w:numPr>
        <w:tabs>
          <w:tab w:val="clear" w:pos="525"/>
        </w:tabs>
        <w:spacing w:before="0"/>
        <w:ind w:left="709" w:hanging="709"/>
        <w:rPr>
          <w:rFonts w:cs="Arial"/>
          <w:color w:val="auto"/>
          <w:szCs w:val="24"/>
          <w:lang w:eastAsia="en-US"/>
        </w:rPr>
      </w:pPr>
      <w:r w:rsidRPr="0052626B">
        <w:rPr>
          <w:rFonts w:cs="Arial"/>
          <w:color w:val="auto"/>
          <w:szCs w:val="24"/>
          <w:lang w:eastAsia="en-US"/>
        </w:rPr>
        <w:t xml:space="preserve">The Policy aims to ensure that adverts do not have detrimental impacts and contribute to </w:t>
      </w:r>
      <w:r w:rsidR="00340B1E">
        <w:rPr>
          <w:rFonts w:cs="Arial"/>
          <w:color w:val="auto"/>
          <w:szCs w:val="24"/>
          <w:lang w:eastAsia="en-US"/>
        </w:rPr>
        <w:t>maintaining</w:t>
      </w:r>
      <w:r w:rsidRPr="0052626B">
        <w:rPr>
          <w:rFonts w:cs="Arial"/>
          <w:color w:val="auto"/>
          <w:szCs w:val="24"/>
          <w:lang w:eastAsia="en-US"/>
        </w:rPr>
        <w:t xml:space="preserve"> the character and appearance of an area.  </w:t>
      </w:r>
    </w:p>
    <w:p w14:paraId="422379D3" w14:textId="77777777" w:rsidR="00E864C3" w:rsidRDefault="00E864C3" w:rsidP="00E864C3">
      <w:pPr>
        <w:keepNext w:val="0"/>
        <w:spacing w:before="0"/>
        <w:ind w:left="709"/>
        <w:rPr>
          <w:rFonts w:cs="Arial"/>
          <w:color w:val="auto"/>
          <w:szCs w:val="24"/>
          <w:lang w:eastAsia="en-US"/>
        </w:rPr>
      </w:pPr>
    </w:p>
    <w:p w14:paraId="325CFFEA" w14:textId="71D5A42F" w:rsidR="0052626B" w:rsidRPr="00E864C3" w:rsidRDefault="0052626B" w:rsidP="00E864C3">
      <w:pPr>
        <w:keepNext w:val="0"/>
        <w:numPr>
          <w:ilvl w:val="1"/>
          <w:numId w:val="7"/>
        </w:numPr>
        <w:tabs>
          <w:tab w:val="clear" w:pos="525"/>
        </w:tabs>
        <w:spacing w:before="0"/>
        <w:ind w:left="709" w:hanging="709"/>
        <w:rPr>
          <w:rFonts w:cs="Arial"/>
          <w:color w:val="auto"/>
          <w:szCs w:val="24"/>
          <w:lang w:eastAsia="en-US"/>
        </w:rPr>
      </w:pPr>
      <w:r w:rsidRPr="00E864C3">
        <w:rPr>
          <w:rFonts w:cs="Arial"/>
          <w:color w:val="auto"/>
          <w:szCs w:val="24"/>
          <w:lang w:eastAsia="en-US"/>
        </w:rPr>
        <w:t>Outdoor advertisements are essential to commercial activity in a diverse economy. Outdoor advertisements take many forms. Among the most common are:</w:t>
      </w:r>
    </w:p>
    <w:p w14:paraId="2F949C4E" w14:textId="77777777" w:rsidR="0052626B" w:rsidRPr="0052626B" w:rsidRDefault="0052626B" w:rsidP="0052626B">
      <w:pPr>
        <w:pStyle w:val="ListParagraph"/>
        <w:spacing w:after="0" w:line="240" w:lineRule="auto"/>
        <w:rPr>
          <w:rFonts w:ascii="Arial" w:hAnsi="Arial" w:cs="Arial"/>
          <w:color w:val="auto"/>
          <w:szCs w:val="24"/>
        </w:rPr>
      </w:pPr>
    </w:p>
    <w:p w14:paraId="608831A4" w14:textId="23F363ED" w:rsidR="0052626B" w:rsidRPr="0052626B" w:rsidRDefault="0052626B" w:rsidP="00874A98">
      <w:pPr>
        <w:pStyle w:val="ListParagraph"/>
        <w:numPr>
          <w:ilvl w:val="0"/>
          <w:numId w:val="201"/>
        </w:numPr>
        <w:spacing w:after="0" w:line="240" w:lineRule="auto"/>
        <w:rPr>
          <w:rFonts w:ascii="Arial" w:hAnsi="Arial" w:cs="Arial"/>
          <w:color w:val="auto"/>
          <w:szCs w:val="24"/>
        </w:rPr>
      </w:pPr>
      <w:r w:rsidRPr="0052626B">
        <w:rPr>
          <w:rFonts w:ascii="Arial" w:hAnsi="Arial" w:cs="Arial"/>
          <w:color w:val="auto"/>
          <w:szCs w:val="24"/>
        </w:rPr>
        <w:t>fascia signs and projecting signs on shops.</w:t>
      </w:r>
    </w:p>
    <w:p w14:paraId="2E8E27F6" w14:textId="6D6DAF85" w:rsidR="0052626B" w:rsidRPr="0052626B" w:rsidRDefault="0052626B" w:rsidP="00874A98">
      <w:pPr>
        <w:pStyle w:val="ListParagraph"/>
        <w:numPr>
          <w:ilvl w:val="0"/>
          <w:numId w:val="201"/>
        </w:numPr>
        <w:spacing w:after="0" w:line="240" w:lineRule="auto"/>
        <w:rPr>
          <w:rFonts w:ascii="Arial" w:hAnsi="Arial" w:cs="Arial"/>
          <w:color w:val="auto"/>
          <w:szCs w:val="24"/>
        </w:rPr>
      </w:pPr>
      <w:r w:rsidRPr="0052626B">
        <w:rPr>
          <w:rFonts w:ascii="Arial" w:hAnsi="Arial" w:cs="Arial"/>
          <w:color w:val="auto"/>
          <w:szCs w:val="24"/>
        </w:rPr>
        <w:t>pole signs at petrol-filling stations.</w:t>
      </w:r>
    </w:p>
    <w:p w14:paraId="617715BA" w14:textId="3218687F" w:rsidR="0052626B" w:rsidRPr="0052626B" w:rsidRDefault="0052626B" w:rsidP="00874A98">
      <w:pPr>
        <w:pStyle w:val="ListParagraph"/>
        <w:numPr>
          <w:ilvl w:val="0"/>
          <w:numId w:val="201"/>
        </w:numPr>
        <w:spacing w:after="0" w:line="240" w:lineRule="auto"/>
        <w:rPr>
          <w:rFonts w:ascii="Arial" w:hAnsi="Arial" w:cs="Arial"/>
          <w:color w:val="auto"/>
          <w:szCs w:val="24"/>
        </w:rPr>
      </w:pPr>
      <w:r w:rsidRPr="0052626B">
        <w:rPr>
          <w:rFonts w:ascii="Arial" w:hAnsi="Arial" w:cs="Arial"/>
          <w:color w:val="auto"/>
          <w:szCs w:val="24"/>
        </w:rPr>
        <w:lastRenderedPageBreak/>
        <w:t>sign boards at factories.</w:t>
      </w:r>
    </w:p>
    <w:p w14:paraId="5A237C56" w14:textId="04D9C99E" w:rsidR="0052626B" w:rsidRPr="0052626B" w:rsidRDefault="0052626B" w:rsidP="00874A98">
      <w:pPr>
        <w:pStyle w:val="ListParagraph"/>
        <w:numPr>
          <w:ilvl w:val="0"/>
          <w:numId w:val="201"/>
        </w:numPr>
        <w:spacing w:after="0" w:line="240" w:lineRule="auto"/>
        <w:rPr>
          <w:rFonts w:ascii="Arial" w:hAnsi="Arial" w:cs="Arial"/>
          <w:color w:val="auto"/>
          <w:szCs w:val="24"/>
        </w:rPr>
      </w:pPr>
      <w:r w:rsidRPr="0052626B">
        <w:rPr>
          <w:rFonts w:ascii="Arial" w:hAnsi="Arial" w:cs="Arial"/>
          <w:color w:val="auto"/>
          <w:szCs w:val="24"/>
        </w:rPr>
        <w:t>advance signs alongside the highway.</w:t>
      </w:r>
    </w:p>
    <w:p w14:paraId="50208096" w14:textId="62BCECEA" w:rsidR="0052626B" w:rsidRPr="0052626B" w:rsidRDefault="0052626B" w:rsidP="00874A98">
      <w:pPr>
        <w:pStyle w:val="ListParagraph"/>
        <w:numPr>
          <w:ilvl w:val="0"/>
          <w:numId w:val="201"/>
        </w:numPr>
        <w:spacing w:after="0" w:line="240" w:lineRule="auto"/>
        <w:rPr>
          <w:rFonts w:ascii="Arial" w:hAnsi="Arial" w:cs="Arial"/>
          <w:color w:val="auto"/>
          <w:szCs w:val="24"/>
        </w:rPr>
      </w:pPr>
      <w:r w:rsidRPr="0052626B">
        <w:rPr>
          <w:rFonts w:ascii="Arial" w:hAnsi="Arial" w:cs="Arial"/>
          <w:color w:val="auto"/>
          <w:szCs w:val="24"/>
        </w:rPr>
        <w:t>menu boards at restaurants and cafés.</w:t>
      </w:r>
    </w:p>
    <w:p w14:paraId="16C1BBE9" w14:textId="77390D37" w:rsidR="0052626B" w:rsidRPr="0052626B" w:rsidRDefault="0052626B" w:rsidP="00874A98">
      <w:pPr>
        <w:pStyle w:val="ListParagraph"/>
        <w:numPr>
          <w:ilvl w:val="0"/>
          <w:numId w:val="201"/>
        </w:numPr>
        <w:spacing w:after="0" w:line="240" w:lineRule="auto"/>
        <w:rPr>
          <w:rFonts w:ascii="Arial" w:hAnsi="Arial" w:cs="Arial"/>
          <w:color w:val="auto"/>
          <w:szCs w:val="24"/>
        </w:rPr>
      </w:pPr>
      <w:r w:rsidRPr="0052626B">
        <w:rPr>
          <w:rFonts w:ascii="Arial" w:hAnsi="Arial" w:cs="Arial"/>
          <w:color w:val="auto"/>
          <w:szCs w:val="24"/>
        </w:rPr>
        <w:t>poster hoardings.</w:t>
      </w:r>
    </w:p>
    <w:p w14:paraId="2E2DD6C2" w14:textId="21528EB2" w:rsidR="0052626B" w:rsidRPr="0052626B" w:rsidRDefault="0052626B" w:rsidP="00874A98">
      <w:pPr>
        <w:pStyle w:val="ListParagraph"/>
        <w:numPr>
          <w:ilvl w:val="0"/>
          <w:numId w:val="201"/>
        </w:numPr>
        <w:spacing w:after="0" w:line="240" w:lineRule="auto"/>
        <w:rPr>
          <w:rFonts w:ascii="Arial" w:hAnsi="Arial" w:cs="Arial"/>
          <w:color w:val="auto"/>
          <w:szCs w:val="24"/>
        </w:rPr>
      </w:pPr>
      <w:r w:rsidRPr="0052626B">
        <w:rPr>
          <w:rFonts w:ascii="Arial" w:hAnsi="Arial" w:cs="Arial"/>
          <w:color w:val="auto"/>
          <w:szCs w:val="24"/>
        </w:rPr>
        <w:t>notices announcing the visit of a travelling fair.</w:t>
      </w:r>
    </w:p>
    <w:p w14:paraId="34D2950A" w14:textId="77777777" w:rsidR="0052626B" w:rsidRPr="0052626B" w:rsidRDefault="0052626B" w:rsidP="0052626B">
      <w:pPr>
        <w:pStyle w:val="ListParagraph"/>
        <w:spacing w:after="0" w:line="240" w:lineRule="auto"/>
        <w:rPr>
          <w:rFonts w:ascii="Arial" w:hAnsi="Arial" w:cs="Arial"/>
          <w:color w:val="auto"/>
          <w:szCs w:val="24"/>
        </w:rPr>
      </w:pPr>
    </w:p>
    <w:p w14:paraId="74FAF1FB" w14:textId="5A2225F7" w:rsidR="00E864C3" w:rsidRDefault="0052626B" w:rsidP="00E864C3">
      <w:pPr>
        <w:keepNext w:val="0"/>
        <w:numPr>
          <w:ilvl w:val="1"/>
          <w:numId w:val="7"/>
        </w:numPr>
        <w:tabs>
          <w:tab w:val="clear" w:pos="525"/>
        </w:tabs>
        <w:spacing w:before="0"/>
        <w:ind w:left="709" w:hanging="709"/>
        <w:rPr>
          <w:rFonts w:cs="Arial"/>
          <w:color w:val="auto"/>
          <w:szCs w:val="24"/>
          <w:lang w:eastAsia="en-US"/>
        </w:rPr>
      </w:pPr>
      <w:r w:rsidRPr="0052626B">
        <w:rPr>
          <w:rFonts w:cs="Arial"/>
          <w:color w:val="auto"/>
          <w:szCs w:val="24"/>
          <w:lang w:eastAsia="en-US"/>
        </w:rPr>
        <w:t>Advertising is a part of everyday life, but poorly sited or badly designed advertisements and signage can have a detrimental effect on the character and appearance of areas and may raise issues of public safety. Advertisements and signage should not dominate the street scene in terms of size, scale, lighting and positioning.</w:t>
      </w:r>
    </w:p>
    <w:p w14:paraId="6B175144" w14:textId="77777777" w:rsidR="00E864C3" w:rsidRDefault="00E864C3" w:rsidP="00E864C3">
      <w:pPr>
        <w:keepNext w:val="0"/>
        <w:spacing w:before="0"/>
        <w:ind w:left="709"/>
        <w:rPr>
          <w:rFonts w:cs="Arial"/>
          <w:color w:val="auto"/>
          <w:szCs w:val="24"/>
          <w:lang w:eastAsia="en-US"/>
        </w:rPr>
      </w:pPr>
    </w:p>
    <w:p w14:paraId="06FFF5C5" w14:textId="35B67C7F" w:rsidR="00992A53" w:rsidRPr="00E864C3" w:rsidRDefault="0052626B" w:rsidP="00E864C3">
      <w:pPr>
        <w:keepNext w:val="0"/>
        <w:numPr>
          <w:ilvl w:val="1"/>
          <w:numId w:val="7"/>
        </w:numPr>
        <w:tabs>
          <w:tab w:val="clear" w:pos="525"/>
        </w:tabs>
        <w:spacing w:before="0"/>
        <w:ind w:left="709" w:hanging="709"/>
        <w:rPr>
          <w:rFonts w:cs="Arial"/>
          <w:color w:val="auto"/>
          <w:szCs w:val="24"/>
          <w:lang w:eastAsia="en-US"/>
        </w:rPr>
      </w:pPr>
      <w:r w:rsidRPr="00E864C3">
        <w:rPr>
          <w:rFonts w:cs="Arial"/>
          <w:color w:val="auto"/>
          <w:szCs w:val="24"/>
          <w:lang w:eastAsia="en-US"/>
        </w:rPr>
        <w:t>The design of advertisements should complement the architecture of the host building</w:t>
      </w:r>
      <w:r w:rsidR="00992A53" w:rsidRPr="00E864C3">
        <w:rPr>
          <w:rFonts w:cs="Arial"/>
          <w:color w:val="auto"/>
          <w:szCs w:val="24"/>
          <w:lang w:eastAsia="en-US"/>
        </w:rPr>
        <w:t xml:space="preserve"> </w:t>
      </w:r>
      <w:r w:rsidRPr="00E864C3">
        <w:rPr>
          <w:rFonts w:cs="Arial"/>
          <w:color w:val="auto"/>
          <w:szCs w:val="24"/>
          <w:lang w:eastAsia="en-US"/>
        </w:rPr>
        <w:t xml:space="preserve">and the area. Consideration should also be given to the cumulative effect of other </w:t>
      </w:r>
      <w:r w:rsidR="00992A53" w:rsidRPr="00E864C3">
        <w:rPr>
          <w:rFonts w:cs="Arial"/>
          <w:color w:val="auto"/>
          <w:szCs w:val="24"/>
          <w:lang w:eastAsia="en-US"/>
        </w:rPr>
        <w:t>s</w:t>
      </w:r>
      <w:r w:rsidRPr="00E864C3">
        <w:rPr>
          <w:rFonts w:cs="Arial"/>
          <w:color w:val="auto"/>
          <w:szCs w:val="24"/>
          <w:lang w:eastAsia="en-US"/>
        </w:rPr>
        <w:t>ignage</w:t>
      </w:r>
      <w:r w:rsidR="0004042E">
        <w:rPr>
          <w:rFonts w:cs="Arial"/>
          <w:color w:val="auto"/>
          <w:szCs w:val="24"/>
          <w:lang w:eastAsia="en-US"/>
        </w:rPr>
        <w:t>.</w:t>
      </w:r>
      <w:r w:rsidRPr="00E864C3">
        <w:rPr>
          <w:rFonts w:cs="Arial"/>
          <w:color w:val="auto"/>
          <w:szCs w:val="24"/>
          <w:lang w:eastAsia="en-US"/>
        </w:rPr>
        <w:t xml:space="preserve"> </w:t>
      </w:r>
      <w:proofErr w:type="gramStart"/>
      <w:r w:rsidRPr="00E864C3">
        <w:rPr>
          <w:rFonts w:cs="Arial"/>
          <w:color w:val="auto"/>
          <w:szCs w:val="24"/>
          <w:lang w:eastAsia="en-US"/>
        </w:rPr>
        <w:t>In particular regard</w:t>
      </w:r>
      <w:proofErr w:type="gramEnd"/>
      <w:r w:rsidRPr="00E864C3">
        <w:rPr>
          <w:rFonts w:cs="Arial"/>
          <w:color w:val="auto"/>
          <w:szCs w:val="24"/>
          <w:lang w:eastAsia="en-US"/>
        </w:rPr>
        <w:t xml:space="preserve"> should be had to:</w:t>
      </w:r>
    </w:p>
    <w:p w14:paraId="770B27A8" w14:textId="77777777" w:rsidR="00992A53" w:rsidRDefault="00992A53" w:rsidP="00992A53">
      <w:pPr>
        <w:keepNext w:val="0"/>
        <w:spacing w:before="0"/>
        <w:rPr>
          <w:rFonts w:cs="Arial"/>
          <w:color w:val="auto"/>
          <w:szCs w:val="24"/>
          <w:lang w:eastAsia="en-US"/>
        </w:rPr>
      </w:pPr>
    </w:p>
    <w:p w14:paraId="18B91407" w14:textId="4F6F6A03" w:rsidR="00992A53" w:rsidRPr="00992A53" w:rsidRDefault="00992A53" w:rsidP="00874A98">
      <w:pPr>
        <w:pStyle w:val="ListParagraph"/>
        <w:numPr>
          <w:ilvl w:val="0"/>
          <w:numId w:val="202"/>
        </w:numPr>
        <w:spacing w:after="0" w:line="240" w:lineRule="auto"/>
        <w:ind w:left="1069"/>
        <w:rPr>
          <w:rFonts w:ascii="Arial" w:hAnsi="Arial" w:cs="Arial"/>
          <w:color w:val="auto"/>
          <w:szCs w:val="24"/>
        </w:rPr>
      </w:pPr>
      <w:r w:rsidRPr="00992A53">
        <w:rPr>
          <w:rFonts w:ascii="Arial" w:hAnsi="Arial" w:cs="Arial"/>
          <w:color w:val="auto"/>
          <w:szCs w:val="24"/>
        </w:rPr>
        <w:t>the impact on architectural features.</w:t>
      </w:r>
    </w:p>
    <w:p w14:paraId="0D015012" w14:textId="0042D753" w:rsidR="00992A53" w:rsidRPr="00992A53" w:rsidRDefault="00992A53" w:rsidP="00874A98">
      <w:pPr>
        <w:pStyle w:val="ListParagraph"/>
        <w:numPr>
          <w:ilvl w:val="0"/>
          <w:numId w:val="202"/>
        </w:numPr>
        <w:spacing w:after="0" w:line="240" w:lineRule="auto"/>
        <w:ind w:left="1069"/>
        <w:rPr>
          <w:rFonts w:ascii="Arial" w:hAnsi="Arial" w:cs="Arial"/>
          <w:color w:val="auto"/>
          <w:szCs w:val="24"/>
        </w:rPr>
      </w:pPr>
      <w:r w:rsidRPr="00992A53">
        <w:rPr>
          <w:rFonts w:ascii="Arial" w:hAnsi="Arial" w:cs="Arial"/>
          <w:color w:val="auto"/>
          <w:szCs w:val="24"/>
        </w:rPr>
        <w:t>the size and style of signage boards and lettering.</w:t>
      </w:r>
    </w:p>
    <w:p w14:paraId="6B81037B" w14:textId="1F4B43A7" w:rsidR="00992A53" w:rsidRPr="00992A53" w:rsidRDefault="00992A53" w:rsidP="00874A98">
      <w:pPr>
        <w:pStyle w:val="ListParagraph"/>
        <w:numPr>
          <w:ilvl w:val="0"/>
          <w:numId w:val="202"/>
        </w:numPr>
        <w:spacing w:after="0" w:line="240" w:lineRule="auto"/>
        <w:ind w:left="1069"/>
        <w:rPr>
          <w:rFonts w:ascii="Arial" w:hAnsi="Arial" w:cs="Arial"/>
          <w:color w:val="auto"/>
          <w:szCs w:val="24"/>
        </w:rPr>
      </w:pPr>
      <w:r w:rsidRPr="00992A53">
        <w:rPr>
          <w:rFonts w:ascii="Arial" w:hAnsi="Arial" w:cs="Arial"/>
          <w:color w:val="auto"/>
          <w:szCs w:val="24"/>
        </w:rPr>
        <w:t>materials, colour and finish.</w:t>
      </w:r>
    </w:p>
    <w:p w14:paraId="24AD17C2" w14:textId="256F0F80" w:rsidR="00992A53" w:rsidRPr="00992A53" w:rsidRDefault="00992A53" w:rsidP="00874A98">
      <w:pPr>
        <w:pStyle w:val="ListParagraph"/>
        <w:numPr>
          <w:ilvl w:val="0"/>
          <w:numId w:val="202"/>
        </w:numPr>
        <w:spacing w:after="0" w:line="240" w:lineRule="auto"/>
        <w:ind w:left="1069"/>
        <w:rPr>
          <w:rFonts w:ascii="Arial" w:hAnsi="Arial" w:cs="Arial"/>
          <w:color w:val="auto"/>
          <w:szCs w:val="24"/>
        </w:rPr>
      </w:pPr>
      <w:r w:rsidRPr="00992A53">
        <w:rPr>
          <w:rFonts w:ascii="Arial" w:hAnsi="Arial" w:cs="Arial"/>
          <w:color w:val="auto"/>
          <w:szCs w:val="24"/>
        </w:rPr>
        <w:t>the effects of illumination, where appropriate.</w:t>
      </w:r>
    </w:p>
    <w:p w14:paraId="1F75393B" w14:textId="77777777" w:rsidR="00992A53" w:rsidRPr="0052626B" w:rsidRDefault="00992A53" w:rsidP="00E864C3">
      <w:pPr>
        <w:keepNext w:val="0"/>
        <w:spacing w:before="0"/>
        <w:ind w:left="709"/>
        <w:rPr>
          <w:rFonts w:cs="Arial"/>
          <w:color w:val="auto"/>
          <w:szCs w:val="24"/>
          <w:lang w:eastAsia="en-US"/>
        </w:rPr>
      </w:pPr>
    </w:p>
    <w:p w14:paraId="52D973B3" w14:textId="294C5D4B" w:rsidR="00992A53" w:rsidRDefault="0052626B" w:rsidP="00E864C3">
      <w:pPr>
        <w:keepNext w:val="0"/>
        <w:spacing w:before="0"/>
        <w:ind w:left="709"/>
        <w:rPr>
          <w:rFonts w:cs="Arial"/>
          <w:color w:val="auto"/>
          <w:szCs w:val="24"/>
          <w:lang w:eastAsia="en-US"/>
        </w:rPr>
      </w:pPr>
      <w:r w:rsidRPr="00992A53">
        <w:rPr>
          <w:rFonts w:cs="Arial"/>
          <w:color w:val="auto"/>
          <w:szCs w:val="24"/>
          <w:lang w:eastAsia="en-US"/>
        </w:rPr>
        <w:t xml:space="preserve">These design details should be considered as an integral part of the </w:t>
      </w:r>
      <w:r w:rsidR="0004042E" w:rsidRPr="000663FF">
        <w:rPr>
          <w:rFonts w:cs="Arial"/>
          <w:color w:val="auto"/>
          <w:szCs w:val="24"/>
          <w:lang w:eastAsia="en-US"/>
        </w:rPr>
        <w:t xml:space="preserve">host building. </w:t>
      </w:r>
      <w:r w:rsidR="00992A53" w:rsidRPr="000663FF">
        <w:rPr>
          <w:rFonts w:cs="Arial"/>
          <w:color w:val="auto"/>
          <w:szCs w:val="24"/>
          <w:lang w:eastAsia="en-US"/>
        </w:rPr>
        <w:t xml:space="preserve"> </w:t>
      </w:r>
    </w:p>
    <w:p w14:paraId="2AD0C7A5" w14:textId="77777777" w:rsidR="008F21DB" w:rsidRDefault="008F21DB" w:rsidP="00992A53">
      <w:pPr>
        <w:keepNext w:val="0"/>
        <w:spacing w:before="0"/>
        <w:ind w:left="525"/>
        <w:rPr>
          <w:rFonts w:cs="Arial"/>
          <w:color w:val="auto"/>
          <w:szCs w:val="24"/>
          <w:lang w:eastAsia="en-US"/>
        </w:rPr>
      </w:pPr>
    </w:p>
    <w:p w14:paraId="7E8D41F0" w14:textId="3D6F0A1E" w:rsidR="00E864C3" w:rsidRDefault="00992A53" w:rsidP="00E864C3">
      <w:pPr>
        <w:keepNext w:val="0"/>
        <w:numPr>
          <w:ilvl w:val="1"/>
          <w:numId w:val="7"/>
        </w:numPr>
        <w:tabs>
          <w:tab w:val="clear" w:pos="525"/>
        </w:tabs>
        <w:spacing w:before="0"/>
        <w:ind w:left="709" w:hanging="711"/>
        <w:rPr>
          <w:rFonts w:cs="Arial"/>
          <w:color w:val="auto"/>
          <w:szCs w:val="24"/>
          <w:lang w:eastAsia="en-US"/>
        </w:rPr>
      </w:pPr>
      <w:r>
        <w:rPr>
          <w:rFonts w:cs="Arial"/>
          <w:color w:val="auto"/>
          <w:szCs w:val="24"/>
          <w:lang w:eastAsia="en-US"/>
        </w:rPr>
        <w:t>T</w:t>
      </w:r>
      <w:r w:rsidR="0052626B" w:rsidRPr="00992A53">
        <w:rPr>
          <w:rFonts w:cs="Arial"/>
          <w:color w:val="auto"/>
          <w:szCs w:val="24"/>
          <w:lang w:eastAsia="en-US"/>
        </w:rPr>
        <w:t xml:space="preserve">he Council places an emphasis on improvements to town centres and shopping parades.  </w:t>
      </w:r>
      <w:r w:rsidR="0004042E" w:rsidRPr="000663FF">
        <w:rPr>
          <w:rFonts w:cs="Arial"/>
          <w:color w:val="auto"/>
          <w:szCs w:val="24"/>
          <w:lang w:eastAsia="en-US"/>
        </w:rPr>
        <w:t xml:space="preserve">In these areas, advertisements should enhance the </w:t>
      </w:r>
      <w:r w:rsidR="0052626B" w:rsidRPr="000663FF">
        <w:rPr>
          <w:rFonts w:cs="Arial"/>
          <w:color w:val="auto"/>
          <w:szCs w:val="24"/>
          <w:lang w:eastAsia="en-US"/>
        </w:rPr>
        <w:t xml:space="preserve">appearance </w:t>
      </w:r>
      <w:r w:rsidR="0004042E" w:rsidRPr="000663FF">
        <w:rPr>
          <w:rFonts w:cs="Arial"/>
          <w:color w:val="auto"/>
          <w:szCs w:val="24"/>
          <w:lang w:eastAsia="en-US"/>
        </w:rPr>
        <w:t xml:space="preserve">and character </w:t>
      </w:r>
      <w:r w:rsidR="0052626B" w:rsidRPr="000663FF">
        <w:rPr>
          <w:rFonts w:cs="Arial"/>
          <w:color w:val="auto"/>
          <w:szCs w:val="24"/>
          <w:lang w:eastAsia="en-US"/>
        </w:rPr>
        <w:t xml:space="preserve">of the </w:t>
      </w:r>
      <w:r w:rsidR="0052626B" w:rsidRPr="00992A53">
        <w:rPr>
          <w:rFonts w:cs="Arial"/>
          <w:color w:val="auto"/>
          <w:szCs w:val="24"/>
          <w:lang w:eastAsia="en-US"/>
        </w:rPr>
        <w:t>area.  Shop front fascia signage should fit flush with the fascia (unless it can be demonstrated that this is not possible), be positioned below the first floor and blend with the architectural style of the shop front and overall colour scheme.</w:t>
      </w:r>
    </w:p>
    <w:p w14:paraId="6304CE36" w14:textId="77777777" w:rsidR="00E864C3" w:rsidRDefault="00E864C3" w:rsidP="00E864C3">
      <w:pPr>
        <w:keepNext w:val="0"/>
        <w:spacing w:before="0"/>
        <w:ind w:left="709"/>
        <w:rPr>
          <w:rFonts w:cs="Arial"/>
          <w:color w:val="auto"/>
          <w:szCs w:val="24"/>
          <w:lang w:eastAsia="en-US"/>
        </w:rPr>
      </w:pPr>
    </w:p>
    <w:p w14:paraId="3FFC7ABC" w14:textId="0AD691B6" w:rsidR="008B5327" w:rsidRPr="001302E3" w:rsidRDefault="0052626B" w:rsidP="001302E3">
      <w:pPr>
        <w:keepNext w:val="0"/>
        <w:numPr>
          <w:ilvl w:val="1"/>
          <w:numId w:val="7"/>
        </w:numPr>
        <w:tabs>
          <w:tab w:val="clear" w:pos="525"/>
        </w:tabs>
        <w:spacing w:before="0"/>
        <w:ind w:left="709" w:hanging="711"/>
        <w:rPr>
          <w:rFonts w:cs="Arial"/>
          <w:color w:val="auto"/>
          <w:szCs w:val="24"/>
          <w:lang w:eastAsia="en-US"/>
        </w:rPr>
      </w:pPr>
      <w:r w:rsidRPr="00E864C3">
        <w:rPr>
          <w:rFonts w:cs="Arial"/>
          <w:color w:val="auto"/>
          <w:szCs w:val="24"/>
          <w:lang w:eastAsia="en-US"/>
        </w:rPr>
        <w:t xml:space="preserve">Where advertisements affect </w:t>
      </w:r>
      <w:r w:rsidR="0004042E">
        <w:rPr>
          <w:rFonts w:cs="Arial"/>
          <w:color w:val="auto"/>
          <w:szCs w:val="24"/>
          <w:lang w:eastAsia="en-US"/>
        </w:rPr>
        <w:t xml:space="preserve">a </w:t>
      </w:r>
      <w:r w:rsidRPr="00E864C3">
        <w:rPr>
          <w:rFonts w:cs="Arial"/>
          <w:color w:val="auto"/>
          <w:szCs w:val="24"/>
          <w:lang w:eastAsia="en-US"/>
        </w:rPr>
        <w:t xml:space="preserve">heritage asset, the test is to ensure that no harm occurs to the heritage asset or its setting. </w:t>
      </w:r>
      <w:proofErr w:type="gramStart"/>
      <w:r w:rsidRPr="00E864C3">
        <w:rPr>
          <w:rFonts w:cs="Arial"/>
          <w:color w:val="auto"/>
          <w:szCs w:val="24"/>
          <w:lang w:eastAsia="en-US"/>
        </w:rPr>
        <w:t>In order to</w:t>
      </w:r>
      <w:proofErr w:type="gramEnd"/>
      <w:r w:rsidRPr="00E864C3">
        <w:rPr>
          <w:rFonts w:cs="Arial"/>
          <w:color w:val="auto"/>
          <w:szCs w:val="24"/>
          <w:lang w:eastAsia="en-US"/>
        </w:rPr>
        <w:t xml:space="preserve"> prevent this, the Council will require a planning statement to be submitted with an application which sets out how the character of the heritage asset an</w:t>
      </w:r>
      <w:r w:rsidR="0004042E">
        <w:rPr>
          <w:rFonts w:cs="Arial"/>
          <w:color w:val="auto"/>
          <w:szCs w:val="24"/>
          <w:lang w:eastAsia="en-US"/>
        </w:rPr>
        <w:t>d</w:t>
      </w:r>
      <w:r w:rsidRPr="00E864C3">
        <w:rPr>
          <w:rFonts w:cs="Arial"/>
          <w:color w:val="auto"/>
          <w:szCs w:val="24"/>
          <w:lang w:eastAsia="en-US"/>
        </w:rPr>
        <w:t xml:space="preserve">, where appropriate, their setting has been </w:t>
      </w:r>
      <w:proofErr w:type="gramStart"/>
      <w:r w:rsidRPr="00E864C3">
        <w:rPr>
          <w:rFonts w:cs="Arial"/>
          <w:color w:val="auto"/>
          <w:szCs w:val="24"/>
          <w:lang w:eastAsia="en-US"/>
        </w:rPr>
        <w:t>taken into account</w:t>
      </w:r>
      <w:proofErr w:type="gramEnd"/>
      <w:r w:rsidRPr="00E864C3">
        <w:rPr>
          <w:rFonts w:cs="Arial"/>
          <w:color w:val="auto"/>
          <w:szCs w:val="24"/>
          <w:lang w:eastAsia="en-US"/>
        </w:rPr>
        <w:t xml:space="preserve"> in the size and design of the advertisement</w:t>
      </w:r>
      <w:r w:rsidR="001302E3">
        <w:rPr>
          <w:rFonts w:cs="Arial"/>
          <w:color w:val="auto"/>
          <w:szCs w:val="24"/>
          <w:lang w:eastAsia="en-US"/>
        </w:rPr>
        <w:t>s.</w:t>
      </w:r>
    </w:p>
    <w:p w14:paraId="0675F051" w14:textId="6B9384A1" w:rsidR="006977E7" w:rsidRDefault="006977E7">
      <w:pPr>
        <w:keepNext w:val="0"/>
        <w:spacing w:before="0"/>
        <w:rPr>
          <w:rFonts w:cs="Arial"/>
          <w:color w:val="auto"/>
          <w:szCs w:val="24"/>
          <w:lang w:eastAsia="en-US"/>
        </w:rPr>
      </w:pPr>
    </w:p>
    <w:p w14:paraId="5B46D99D" w14:textId="77777777" w:rsidR="00905CC9" w:rsidRDefault="00905CC9" w:rsidP="008F21DB">
      <w:pPr>
        <w:keepNext w:val="0"/>
        <w:spacing w:before="0"/>
        <w:rPr>
          <w:rFonts w:cs="Arial"/>
          <w:b/>
          <w:bCs/>
          <w:color w:val="auto"/>
          <w:sz w:val="28"/>
          <w:szCs w:val="28"/>
          <w:lang w:eastAsia="en-US"/>
        </w:rPr>
      </w:pPr>
    </w:p>
    <w:p w14:paraId="0918105A" w14:textId="68DF582E" w:rsidR="0052626B" w:rsidRPr="00825421" w:rsidRDefault="006977E7" w:rsidP="00825421">
      <w:pPr>
        <w:pStyle w:val="Heading2"/>
        <w:jc w:val="left"/>
        <w:rPr>
          <w:sz w:val="28"/>
          <w:szCs w:val="28"/>
        </w:rPr>
      </w:pPr>
      <w:bookmarkStart w:id="330" w:name="_Toc145511622"/>
      <w:r w:rsidRPr="00825421">
        <w:rPr>
          <w:sz w:val="28"/>
          <w:szCs w:val="28"/>
        </w:rPr>
        <w:t xml:space="preserve">Policy </w:t>
      </w:r>
      <w:r w:rsidR="0052626B" w:rsidRPr="00825421">
        <w:rPr>
          <w:sz w:val="28"/>
          <w:szCs w:val="28"/>
        </w:rPr>
        <w:t>SD1</w:t>
      </w:r>
      <w:r w:rsidR="0064018F" w:rsidRPr="00825421">
        <w:rPr>
          <w:sz w:val="28"/>
          <w:szCs w:val="28"/>
        </w:rPr>
        <w:t>3</w:t>
      </w:r>
      <w:r w:rsidR="0052626B" w:rsidRPr="00825421">
        <w:rPr>
          <w:sz w:val="28"/>
          <w:szCs w:val="28"/>
        </w:rPr>
        <w:t>: Provision and Protection of Health and Community Facilities</w:t>
      </w:r>
      <w:bookmarkEnd w:id="330"/>
    </w:p>
    <w:p w14:paraId="2F0C626A" w14:textId="7448D853" w:rsidR="0052626B" w:rsidRDefault="0052626B" w:rsidP="0052626B">
      <w:pPr>
        <w:keepNext w:val="0"/>
        <w:spacing w:before="0"/>
        <w:ind w:left="525"/>
        <w:rPr>
          <w:rFonts w:cs="Arial"/>
          <w:color w:val="auto"/>
          <w:szCs w:val="24"/>
          <w:lang w:eastAsia="en-US"/>
        </w:rPr>
      </w:pPr>
    </w:p>
    <w:tbl>
      <w:tblPr>
        <w:tblStyle w:val="TableGrid3"/>
        <w:tblW w:w="0" w:type="auto"/>
        <w:tblLook w:val="04A0" w:firstRow="1" w:lastRow="0" w:firstColumn="1" w:lastColumn="0" w:noHBand="0" w:noVBand="1"/>
      </w:tblPr>
      <w:tblGrid>
        <w:gridCol w:w="2376"/>
        <w:gridCol w:w="284"/>
        <w:gridCol w:w="6627"/>
      </w:tblGrid>
      <w:tr w:rsidR="00992A53" w:rsidRPr="00992A53" w14:paraId="1DC63564" w14:textId="77777777" w:rsidTr="0073396F">
        <w:trPr>
          <w:trHeight w:val="421"/>
        </w:trPr>
        <w:tc>
          <w:tcPr>
            <w:tcW w:w="9287" w:type="dxa"/>
            <w:gridSpan w:val="3"/>
          </w:tcPr>
          <w:p w14:paraId="1BDA2FFE" w14:textId="77777777" w:rsidR="00E864C3" w:rsidRDefault="00E864C3" w:rsidP="00905CC9">
            <w:pPr>
              <w:keepNext w:val="0"/>
              <w:tabs>
                <w:tab w:val="left" w:pos="680"/>
              </w:tabs>
              <w:spacing w:before="0"/>
              <w:jc w:val="left"/>
              <w:rPr>
                <w:rFonts w:eastAsia="Arial"/>
                <w:b/>
                <w:color w:val="auto"/>
                <w:spacing w:val="-1"/>
              </w:rPr>
            </w:pPr>
            <w:bookmarkStart w:id="331" w:name="_Hlk78903403"/>
          </w:p>
          <w:p w14:paraId="0D120CF2" w14:textId="77777777" w:rsidR="00992A53" w:rsidRDefault="00992A53" w:rsidP="00905CC9">
            <w:pPr>
              <w:keepNext w:val="0"/>
              <w:tabs>
                <w:tab w:val="left" w:pos="680"/>
              </w:tabs>
              <w:spacing w:before="0"/>
              <w:jc w:val="left"/>
              <w:rPr>
                <w:rFonts w:eastAsia="Arial"/>
                <w:b/>
                <w:color w:val="auto"/>
                <w:spacing w:val="-1"/>
              </w:rPr>
            </w:pPr>
            <w:r w:rsidRPr="008F21DB">
              <w:rPr>
                <w:rFonts w:eastAsia="Arial"/>
                <w:b/>
                <w:color w:val="auto"/>
                <w:spacing w:val="-1"/>
              </w:rPr>
              <w:t>Policy SD1</w:t>
            </w:r>
            <w:r w:rsidR="0064018F">
              <w:rPr>
                <w:rFonts w:eastAsia="Arial"/>
                <w:b/>
                <w:color w:val="auto"/>
                <w:spacing w:val="-1"/>
              </w:rPr>
              <w:t>3</w:t>
            </w:r>
            <w:r w:rsidRPr="008F21DB">
              <w:rPr>
                <w:rFonts w:eastAsia="Arial"/>
                <w:b/>
                <w:color w:val="auto"/>
                <w:spacing w:val="-1"/>
              </w:rPr>
              <w:t>: Provision and Protection of Health and Community Facilities</w:t>
            </w:r>
          </w:p>
          <w:p w14:paraId="3E2B4A17" w14:textId="1C6FEE34" w:rsidR="00E864C3" w:rsidRPr="00992A53" w:rsidRDefault="00E864C3" w:rsidP="00905CC9">
            <w:pPr>
              <w:keepNext w:val="0"/>
              <w:tabs>
                <w:tab w:val="left" w:pos="680"/>
              </w:tabs>
              <w:spacing w:before="0"/>
              <w:jc w:val="left"/>
              <w:rPr>
                <w:rFonts w:eastAsia="Arial"/>
                <w:b/>
                <w:color w:val="auto"/>
                <w:spacing w:val="-1"/>
              </w:rPr>
            </w:pPr>
          </w:p>
        </w:tc>
      </w:tr>
      <w:tr w:rsidR="00992A53" w:rsidRPr="00992A53" w14:paraId="66F7460A" w14:textId="77777777" w:rsidTr="0073396F">
        <w:tc>
          <w:tcPr>
            <w:tcW w:w="2660" w:type="dxa"/>
            <w:gridSpan w:val="2"/>
          </w:tcPr>
          <w:p w14:paraId="57FAF96B" w14:textId="77777777" w:rsidR="00992A53" w:rsidRPr="008F21DB" w:rsidRDefault="00992A53" w:rsidP="00905CC9">
            <w:pPr>
              <w:keepNext w:val="0"/>
              <w:tabs>
                <w:tab w:val="left" w:pos="680"/>
              </w:tabs>
              <w:spacing w:before="0"/>
              <w:jc w:val="left"/>
              <w:rPr>
                <w:rFonts w:eastAsia="Arial"/>
                <w:bCs/>
                <w:color w:val="auto"/>
              </w:rPr>
            </w:pPr>
            <w:r w:rsidRPr="008F21DB">
              <w:rPr>
                <w:rFonts w:eastAsia="Arial"/>
                <w:bCs/>
                <w:color w:val="auto"/>
              </w:rPr>
              <w:t>Strategic Objectives</w:t>
            </w:r>
          </w:p>
        </w:tc>
        <w:tc>
          <w:tcPr>
            <w:tcW w:w="6627" w:type="dxa"/>
          </w:tcPr>
          <w:p w14:paraId="523F71A2" w14:textId="77777777" w:rsidR="00992A53" w:rsidRPr="008F21DB" w:rsidRDefault="00992A53" w:rsidP="00905CC9">
            <w:pPr>
              <w:keepNext w:val="0"/>
              <w:tabs>
                <w:tab w:val="left" w:pos="680"/>
              </w:tabs>
              <w:spacing w:before="40" w:after="40"/>
              <w:jc w:val="left"/>
              <w:rPr>
                <w:rFonts w:eastAsia="Arial"/>
                <w:bCs/>
                <w:color w:val="auto"/>
              </w:rPr>
            </w:pPr>
            <w:r w:rsidRPr="008F21DB">
              <w:rPr>
                <w:rFonts w:eastAsia="Arial"/>
                <w:bCs/>
                <w:color w:val="auto"/>
              </w:rPr>
              <w:t>SO1, SO2, SO4, SO5, SO7, SO8, SO9, SO10, SO14.</w:t>
            </w:r>
          </w:p>
        </w:tc>
      </w:tr>
      <w:tr w:rsidR="00992A53" w:rsidRPr="00992A53" w14:paraId="6DC447B1" w14:textId="77777777" w:rsidTr="0073396F">
        <w:tc>
          <w:tcPr>
            <w:tcW w:w="9287" w:type="dxa"/>
            <w:gridSpan w:val="3"/>
            <w:shd w:val="clear" w:color="auto" w:fill="DAC4F8"/>
          </w:tcPr>
          <w:p w14:paraId="3746E6F1" w14:textId="77777777" w:rsidR="00992A53" w:rsidRPr="00992A53" w:rsidRDefault="00992A53" w:rsidP="00905CC9">
            <w:pPr>
              <w:keepNext w:val="0"/>
              <w:tabs>
                <w:tab w:val="left" w:pos="680"/>
                <w:tab w:val="left" w:pos="1133"/>
                <w:tab w:val="left" w:pos="2267"/>
              </w:tabs>
              <w:spacing w:before="0"/>
              <w:ind w:left="360" w:right="284"/>
              <w:jc w:val="left"/>
              <w:rPr>
                <w:rFonts w:eastAsia="Arial" w:cs="Arial"/>
                <w:bCs/>
                <w:color w:val="auto"/>
              </w:rPr>
            </w:pPr>
          </w:p>
          <w:p w14:paraId="36168850" w14:textId="77777777" w:rsidR="00992A53" w:rsidRPr="00992A53" w:rsidRDefault="00992A53" w:rsidP="00874A98">
            <w:pPr>
              <w:keepNext w:val="0"/>
              <w:numPr>
                <w:ilvl w:val="0"/>
                <w:numId w:val="203"/>
              </w:numPr>
              <w:tabs>
                <w:tab w:val="left" w:pos="680"/>
                <w:tab w:val="left" w:pos="1133"/>
                <w:tab w:val="left" w:pos="2267"/>
              </w:tabs>
              <w:spacing w:before="0"/>
              <w:ind w:right="284"/>
              <w:jc w:val="left"/>
              <w:rPr>
                <w:rFonts w:eastAsia="Arial" w:cs="Arial"/>
                <w:bCs/>
                <w:color w:val="auto"/>
              </w:rPr>
            </w:pPr>
            <w:r w:rsidRPr="00992A53">
              <w:rPr>
                <w:rFonts w:eastAsia="Arial" w:cs="Arial"/>
                <w:bCs/>
                <w:color w:val="auto"/>
              </w:rPr>
              <w:t>The Council will work with developers and strategic partners to provide District wide high quality, accessible and inclusive health, and community facilities by:</w:t>
            </w:r>
          </w:p>
          <w:p w14:paraId="197839F5" w14:textId="7D713A5D" w:rsidR="00992A53" w:rsidRPr="00992A53" w:rsidRDefault="0073396F" w:rsidP="00905CC9">
            <w:pPr>
              <w:keepNext w:val="0"/>
              <w:tabs>
                <w:tab w:val="left" w:pos="2267"/>
              </w:tabs>
              <w:spacing w:before="0"/>
              <w:ind w:left="720"/>
              <w:jc w:val="left"/>
              <w:rPr>
                <w:rFonts w:eastAsia="Arial" w:cs="Arial"/>
                <w:bCs/>
                <w:color w:val="auto"/>
              </w:rPr>
            </w:pPr>
            <w:r>
              <w:rPr>
                <w:rFonts w:eastAsia="Arial" w:cs="Arial"/>
                <w:bCs/>
                <w:color w:val="auto"/>
              </w:rPr>
              <w:lastRenderedPageBreak/>
              <w:tab/>
            </w:r>
          </w:p>
          <w:p w14:paraId="34543E20" w14:textId="6B5DC839" w:rsidR="00992A53" w:rsidRPr="00992A53" w:rsidRDefault="00992A53" w:rsidP="00874A98">
            <w:pPr>
              <w:keepNext w:val="0"/>
              <w:numPr>
                <w:ilvl w:val="0"/>
                <w:numId w:val="204"/>
              </w:numPr>
              <w:spacing w:before="0"/>
              <w:jc w:val="left"/>
              <w:rPr>
                <w:rFonts w:eastAsia="Arial" w:cs="Arial"/>
                <w:bCs/>
                <w:color w:val="auto"/>
              </w:rPr>
            </w:pPr>
            <w:r w:rsidRPr="00992A53">
              <w:rPr>
                <w:rFonts w:eastAsia="Arial" w:cs="Arial"/>
                <w:bCs/>
                <w:color w:val="auto"/>
              </w:rPr>
              <w:t>Enhancing health, wellbeing, social, spiritual, sport, leisure and cultural provision for the use by schools, clubs, community organisations and the public;</w:t>
            </w:r>
          </w:p>
          <w:p w14:paraId="1EE02E77" w14:textId="77777777" w:rsidR="00992A53" w:rsidRPr="00992A53" w:rsidRDefault="00992A53" w:rsidP="00905CC9">
            <w:pPr>
              <w:keepNext w:val="0"/>
              <w:spacing w:before="0"/>
              <w:ind w:left="720"/>
              <w:jc w:val="left"/>
              <w:rPr>
                <w:rFonts w:eastAsia="Arial" w:cs="Arial"/>
                <w:bCs/>
                <w:color w:val="auto"/>
              </w:rPr>
            </w:pPr>
          </w:p>
          <w:p w14:paraId="196340BB" w14:textId="77777777" w:rsidR="00992A53" w:rsidRPr="00992A53" w:rsidRDefault="00992A53" w:rsidP="00874A98">
            <w:pPr>
              <w:keepNext w:val="0"/>
              <w:numPr>
                <w:ilvl w:val="0"/>
                <w:numId w:val="204"/>
              </w:numPr>
              <w:spacing w:before="0"/>
              <w:contextualSpacing/>
              <w:jc w:val="left"/>
              <w:rPr>
                <w:rFonts w:eastAsia="Arial" w:cs="Arial"/>
                <w:bCs/>
                <w:color w:val="auto"/>
              </w:rPr>
            </w:pPr>
            <w:r w:rsidRPr="00992A53">
              <w:rPr>
                <w:rFonts w:eastAsia="Arial" w:cs="Arial"/>
                <w:bCs/>
                <w:color w:val="auto"/>
              </w:rPr>
              <w:t xml:space="preserve">Encouraging the co-location of educational, health and community facilities where opportunities arise; </w:t>
            </w:r>
          </w:p>
          <w:p w14:paraId="0FB713F0" w14:textId="77777777" w:rsidR="00992A53" w:rsidRPr="00992A53" w:rsidRDefault="00992A53" w:rsidP="00905CC9">
            <w:pPr>
              <w:keepNext w:val="0"/>
              <w:spacing w:before="0"/>
              <w:ind w:left="720"/>
              <w:jc w:val="left"/>
              <w:rPr>
                <w:rFonts w:eastAsia="Arial" w:cs="Arial"/>
                <w:bCs/>
                <w:color w:val="auto"/>
              </w:rPr>
            </w:pPr>
          </w:p>
          <w:p w14:paraId="7D849508" w14:textId="77777777" w:rsidR="00992A53" w:rsidRPr="00992A53" w:rsidRDefault="00992A53" w:rsidP="00874A98">
            <w:pPr>
              <w:keepNext w:val="0"/>
              <w:numPr>
                <w:ilvl w:val="0"/>
                <w:numId w:val="203"/>
              </w:numPr>
              <w:tabs>
                <w:tab w:val="left" w:pos="680"/>
                <w:tab w:val="left" w:pos="1133"/>
                <w:tab w:val="left" w:pos="2267"/>
              </w:tabs>
              <w:spacing w:before="0"/>
              <w:ind w:right="284"/>
              <w:jc w:val="left"/>
              <w:rPr>
                <w:rFonts w:eastAsia="Arial" w:cs="Arial"/>
                <w:bCs/>
                <w:color w:val="auto"/>
              </w:rPr>
            </w:pPr>
            <w:r w:rsidRPr="00992A53">
              <w:rPr>
                <w:rFonts w:eastAsia="Arial" w:cs="Arial"/>
                <w:bCs/>
                <w:color w:val="auto"/>
              </w:rPr>
              <w:t xml:space="preserve">Where additional facilities are needed </w:t>
            </w:r>
            <w:proofErr w:type="gramStart"/>
            <w:r w:rsidRPr="00992A53">
              <w:rPr>
                <w:rFonts w:eastAsia="Arial" w:cs="Arial"/>
                <w:bCs/>
                <w:color w:val="auto"/>
              </w:rPr>
              <w:t>as a result of</w:t>
            </w:r>
            <w:proofErr w:type="gramEnd"/>
            <w:r w:rsidRPr="00992A53">
              <w:rPr>
                <w:rFonts w:eastAsia="Arial" w:cs="Arial"/>
                <w:bCs/>
                <w:color w:val="auto"/>
              </w:rPr>
              <w:t xml:space="preserve"> a development proposal, the Council will require the provision of:</w:t>
            </w:r>
          </w:p>
          <w:p w14:paraId="6256529C" w14:textId="77777777" w:rsidR="00992A53" w:rsidRPr="00992A53" w:rsidRDefault="00992A53" w:rsidP="00905CC9">
            <w:pPr>
              <w:keepNext w:val="0"/>
              <w:tabs>
                <w:tab w:val="left" w:pos="680"/>
                <w:tab w:val="left" w:pos="1133"/>
                <w:tab w:val="left" w:pos="2267"/>
              </w:tabs>
              <w:spacing w:before="0"/>
              <w:ind w:left="360" w:right="284"/>
              <w:jc w:val="left"/>
              <w:rPr>
                <w:rFonts w:eastAsia="Arial" w:cs="Arial"/>
                <w:bCs/>
                <w:color w:val="auto"/>
              </w:rPr>
            </w:pPr>
          </w:p>
          <w:p w14:paraId="24AC0A82" w14:textId="77777777" w:rsidR="00992A53" w:rsidRPr="00992A53" w:rsidRDefault="00992A53" w:rsidP="00874A98">
            <w:pPr>
              <w:keepNext w:val="0"/>
              <w:numPr>
                <w:ilvl w:val="0"/>
                <w:numId w:val="205"/>
              </w:numPr>
              <w:tabs>
                <w:tab w:val="left" w:pos="680"/>
                <w:tab w:val="left" w:pos="1133"/>
                <w:tab w:val="left" w:pos="2267"/>
              </w:tabs>
              <w:spacing w:before="0"/>
              <w:ind w:right="284"/>
              <w:contextualSpacing/>
              <w:jc w:val="left"/>
              <w:rPr>
                <w:rFonts w:eastAsia="Arial" w:cs="Arial"/>
                <w:bCs/>
                <w:color w:val="auto"/>
              </w:rPr>
            </w:pPr>
            <w:r w:rsidRPr="00992A53">
              <w:rPr>
                <w:rFonts w:eastAsia="Arial" w:cs="Arial"/>
                <w:bCs/>
                <w:color w:val="auto"/>
              </w:rPr>
              <w:t>a new community facility on site or contributions towards the expansion of existing or new community provision off site; and/or</w:t>
            </w:r>
          </w:p>
          <w:p w14:paraId="771BDCEA" w14:textId="77777777" w:rsidR="00992A53" w:rsidRPr="00992A53" w:rsidRDefault="00992A53" w:rsidP="00874A98">
            <w:pPr>
              <w:keepNext w:val="0"/>
              <w:numPr>
                <w:ilvl w:val="0"/>
                <w:numId w:val="205"/>
              </w:numPr>
              <w:spacing w:before="0"/>
              <w:contextualSpacing/>
              <w:jc w:val="left"/>
              <w:rPr>
                <w:rFonts w:eastAsia="Arial" w:cs="Arial"/>
                <w:bCs/>
                <w:color w:val="auto"/>
              </w:rPr>
            </w:pPr>
            <w:r w:rsidRPr="00992A53">
              <w:rPr>
                <w:rFonts w:eastAsia="Arial" w:cs="Arial"/>
                <w:bCs/>
                <w:color w:val="auto"/>
              </w:rPr>
              <w:t xml:space="preserve">a new health facility on site or contributions towards the expansion of existing or new health provision off site. </w:t>
            </w:r>
          </w:p>
          <w:p w14:paraId="02F6E5FD" w14:textId="77777777" w:rsidR="00992A53" w:rsidRPr="00992A53" w:rsidRDefault="00992A53" w:rsidP="00905CC9">
            <w:pPr>
              <w:keepNext w:val="0"/>
              <w:spacing w:before="0"/>
              <w:jc w:val="left"/>
              <w:rPr>
                <w:rFonts w:eastAsia="Arial" w:cs="Arial"/>
                <w:bCs/>
                <w:color w:val="auto"/>
              </w:rPr>
            </w:pPr>
          </w:p>
          <w:p w14:paraId="54E1BA74" w14:textId="77777777" w:rsidR="00992A53" w:rsidRPr="00992A53" w:rsidRDefault="00992A53" w:rsidP="00905CC9">
            <w:pPr>
              <w:keepNext w:val="0"/>
              <w:spacing w:before="0"/>
              <w:ind w:left="360"/>
              <w:jc w:val="left"/>
              <w:rPr>
                <w:rFonts w:eastAsia="Arial" w:cs="Arial"/>
                <w:bCs/>
                <w:color w:val="auto"/>
              </w:rPr>
            </w:pPr>
            <w:r w:rsidRPr="00992A53">
              <w:rPr>
                <w:rFonts w:eastAsia="Arial" w:cs="Arial"/>
                <w:bCs/>
                <w:color w:val="auto"/>
              </w:rPr>
              <w:t>For larger development schemes, the Council may require the applicant to submit a Health Impact Assessment to identify the health implications for the local population arising from the development.</w:t>
            </w:r>
          </w:p>
          <w:p w14:paraId="72BAE009" w14:textId="77777777" w:rsidR="00992A53" w:rsidRPr="00992A53" w:rsidRDefault="00992A53" w:rsidP="00905CC9">
            <w:pPr>
              <w:keepNext w:val="0"/>
              <w:tabs>
                <w:tab w:val="left" w:pos="680"/>
                <w:tab w:val="left" w:pos="1133"/>
                <w:tab w:val="left" w:pos="2267"/>
              </w:tabs>
              <w:spacing w:before="0"/>
              <w:ind w:left="360" w:right="284"/>
              <w:jc w:val="left"/>
              <w:rPr>
                <w:rFonts w:eastAsia="Arial" w:cs="Arial"/>
                <w:bCs/>
                <w:color w:val="auto"/>
              </w:rPr>
            </w:pPr>
          </w:p>
          <w:p w14:paraId="0631BFB2" w14:textId="77777777" w:rsidR="00992A53" w:rsidRPr="00992A53" w:rsidRDefault="00992A53" w:rsidP="00874A98">
            <w:pPr>
              <w:keepNext w:val="0"/>
              <w:numPr>
                <w:ilvl w:val="0"/>
                <w:numId w:val="203"/>
              </w:numPr>
              <w:tabs>
                <w:tab w:val="left" w:pos="680"/>
                <w:tab w:val="left" w:pos="1133"/>
                <w:tab w:val="left" w:pos="2267"/>
              </w:tabs>
              <w:spacing w:before="0"/>
              <w:ind w:right="284"/>
              <w:jc w:val="left"/>
              <w:rPr>
                <w:rFonts w:eastAsia="Arial" w:cs="Arial"/>
                <w:bCs/>
                <w:color w:val="auto"/>
                <w:szCs w:val="24"/>
              </w:rPr>
            </w:pPr>
            <w:r w:rsidRPr="00992A53">
              <w:rPr>
                <w:rFonts w:eastAsia="Arial" w:cs="Arial"/>
                <w:bCs/>
                <w:color w:val="auto"/>
                <w:szCs w:val="24"/>
              </w:rPr>
              <w:t>Development for the alternative use of buildings or sites required for the provision of health and community facilities will not be permitted unless:</w:t>
            </w:r>
          </w:p>
          <w:p w14:paraId="3D93BE0C" w14:textId="77777777" w:rsidR="00992A53" w:rsidRPr="00992A53" w:rsidRDefault="00992A53" w:rsidP="00905CC9">
            <w:pPr>
              <w:keepNext w:val="0"/>
              <w:tabs>
                <w:tab w:val="left" w:pos="680"/>
                <w:tab w:val="left" w:pos="1133"/>
                <w:tab w:val="left" w:pos="2267"/>
              </w:tabs>
              <w:spacing w:before="0"/>
              <w:ind w:right="284"/>
              <w:jc w:val="left"/>
              <w:rPr>
                <w:rFonts w:eastAsia="Arial" w:cs="Arial"/>
                <w:bCs/>
                <w:color w:val="auto"/>
              </w:rPr>
            </w:pPr>
          </w:p>
          <w:p w14:paraId="0ECE0F10" w14:textId="4109267F" w:rsidR="00992A53" w:rsidRDefault="00992A53" w:rsidP="00874A98">
            <w:pPr>
              <w:pStyle w:val="ListParagraph"/>
              <w:numPr>
                <w:ilvl w:val="0"/>
                <w:numId w:val="206"/>
              </w:numPr>
              <w:tabs>
                <w:tab w:val="left" w:pos="680"/>
                <w:tab w:val="left" w:pos="1133"/>
                <w:tab w:val="left" w:pos="2267"/>
              </w:tabs>
              <w:spacing w:after="0" w:line="240" w:lineRule="auto"/>
              <w:ind w:right="284"/>
              <w:jc w:val="left"/>
              <w:rPr>
                <w:rFonts w:ascii="Arial" w:eastAsia="Arial" w:hAnsi="Arial" w:cs="Arial"/>
                <w:bCs/>
                <w:color w:val="auto"/>
              </w:rPr>
            </w:pPr>
            <w:r w:rsidRPr="00992A53">
              <w:rPr>
                <w:rFonts w:ascii="Arial" w:eastAsia="Arial" w:hAnsi="Arial" w:cs="Arial"/>
                <w:bCs/>
                <w:color w:val="auto"/>
              </w:rPr>
              <w:t xml:space="preserve">Adequate replacement provision is made; </w:t>
            </w:r>
            <w:r w:rsidR="003A1FBD" w:rsidRPr="00F53521">
              <w:rPr>
                <w:rFonts w:ascii="Arial" w:eastAsia="Arial" w:hAnsi="Arial" w:cs="Arial"/>
                <w:bCs/>
                <w:color w:val="0056A3"/>
              </w:rPr>
              <w:t>or</w:t>
            </w:r>
          </w:p>
          <w:p w14:paraId="69CACE54" w14:textId="77777777" w:rsidR="00992A53" w:rsidRPr="00992A53" w:rsidRDefault="00992A53" w:rsidP="00905CC9">
            <w:pPr>
              <w:pStyle w:val="ListParagraph"/>
              <w:tabs>
                <w:tab w:val="left" w:pos="680"/>
                <w:tab w:val="left" w:pos="1133"/>
                <w:tab w:val="left" w:pos="2267"/>
              </w:tabs>
              <w:spacing w:after="0" w:line="240" w:lineRule="auto"/>
              <w:ind w:right="284"/>
              <w:jc w:val="left"/>
              <w:rPr>
                <w:rFonts w:ascii="Arial" w:eastAsia="Arial" w:hAnsi="Arial" w:cs="Arial"/>
                <w:bCs/>
                <w:color w:val="auto"/>
              </w:rPr>
            </w:pPr>
          </w:p>
          <w:p w14:paraId="054847FE" w14:textId="11A77C3D" w:rsidR="00992A53" w:rsidRDefault="00992A53" w:rsidP="00874A98">
            <w:pPr>
              <w:pStyle w:val="ListParagraph"/>
              <w:numPr>
                <w:ilvl w:val="0"/>
                <w:numId w:val="206"/>
              </w:numPr>
              <w:tabs>
                <w:tab w:val="left" w:pos="680"/>
                <w:tab w:val="left" w:pos="1133"/>
                <w:tab w:val="left" w:pos="2267"/>
              </w:tabs>
              <w:spacing w:after="0" w:line="240" w:lineRule="auto"/>
              <w:ind w:right="284"/>
              <w:jc w:val="left"/>
              <w:rPr>
                <w:rFonts w:ascii="Arial" w:eastAsia="Arial" w:hAnsi="Arial" w:cs="Arial"/>
                <w:bCs/>
                <w:color w:val="auto"/>
              </w:rPr>
            </w:pPr>
            <w:r w:rsidRPr="00992A53">
              <w:rPr>
                <w:rFonts w:ascii="Arial" w:eastAsia="Arial" w:hAnsi="Arial" w:cs="Arial"/>
                <w:bCs/>
                <w:color w:val="auto"/>
              </w:rPr>
              <w:t>There is no longer a requirement for the facility in that location or a</w:t>
            </w:r>
            <w:r w:rsidRPr="00992A53">
              <w:rPr>
                <w:rFonts w:ascii="Arial" w:hAnsi="Arial" w:cs="Arial"/>
                <w:bCs/>
                <w:color w:val="auto"/>
                <w:szCs w:val="24"/>
              </w:rPr>
              <w:t xml:space="preserve">n alternative facility in the locality has the capacity to meet </w:t>
            </w:r>
            <w:proofErr w:type="gramStart"/>
            <w:r w:rsidRPr="00992A53">
              <w:rPr>
                <w:rFonts w:ascii="Arial" w:hAnsi="Arial" w:cs="Arial"/>
                <w:bCs/>
                <w:color w:val="auto"/>
                <w:szCs w:val="24"/>
              </w:rPr>
              <w:t>those need</w:t>
            </w:r>
            <w:proofErr w:type="gramEnd"/>
            <w:r w:rsidRPr="00992A53">
              <w:rPr>
                <w:rFonts w:ascii="Arial" w:hAnsi="Arial" w:cs="Arial"/>
                <w:bCs/>
                <w:color w:val="auto"/>
                <w:szCs w:val="24"/>
              </w:rPr>
              <w:t xml:space="preserve">; </w:t>
            </w:r>
            <w:r w:rsidRPr="003A1FBD">
              <w:rPr>
                <w:rFonts w:ascii="Arial" w:eastAsia="Arial" w:hAnsi="Arial" w:cs="Arial"/>
                <w:bCs/>
                <w:strike/>
                <w:color w:val="auto"/>
              </w:rPr>
              <w:t>and</w:t>
            </w:r>
            <w:r w:rsidR="003A1FBD">
              <w:rPr>
                <w:rFonts w:ascii="Arial" w:eastAsia="Arial" w:hAnsi="Arial" w:cs="Arial"/>
                <w:bCs/>
                <w:color w:val="auto"/>
              </w:rPr>
              <w:t xml:space="preserve"> </w:t>
            </w:r>
            <w:r w:rsidR="003A1FBD" w:rsidRPr="00F53521">
              <w:rPr>
                <w:rFonts w:ascii="Arial" w:eastAsia="Arial" w:hAnsi="Arial" w:cs="Arial"/>
                <w:bCs/>
                <w:color w:val="0056A3"/>
              </w:rPr>
              <w:t>or</w:t>
            </w:r>
          </w:p>
          <w:p w14:paraId="2EE1B7CD" w14:textId="77777777" w:rsidR="00992A53" w:rsidRPr="00992A53" w:rsidRDefault="00992A53" w:rsidP="00905CC9">
            <w:pPr>
              <w:pStyle w:val="ListParagraph"/>
              <w:tabs>
                <w:tab w:val="left" w:pos="680"/>
                <w:tab w:val="left" w:pos="1133"/>
                <w:tab w:val="left" w:pos="2267"/>
              </w:tabs>
              <w:spacing w:after="0" w:line="240" w:lineRule="auto"/>
              <w:ind w:right="284"/>
              <w:jc w:val="left"/>
              <w:rPr>
                <w:rFonts w:ascii="Arial" w:eastAsia="Arial" w:hAnsi="Arial" w:cs="Arial"/>
                <w:bCs/>
                <w:color w:val="auto"/>
              </w:rPr>
            </w:pPr>
          </w:p>
          <w:p w14:paraId="6D40E5FF" w14:textId="55A2807A" w:rsidR="00992A53" w:rsidRPr="00992A53" w:rsidRDefault="00992A53" w:rsidP="005D36E4">
            <w:pPr>
              <w:pStyle w:val="ListParagraph"/>
              <w:numPr>
                <w:ilvl w:val="0"/>
                <w:numId w:val="206"/>
              </w:numPr>
              <w:tabs>
                <w:tab w:val="left" w:pos="680"/>
                <w:tab w:val="left" w:pos="1133"/>
                <w:tab w:val="left" w:pos="2267"/>
              </w:tabs>
              <w:spacing w:after="0" w:line="240" w:lineRule="auto"/>
              <w:ind w:right="284"/>
              <w:jc w:val="left"/>
              <w:rPr>
                <w:rFonts w:eastAsia="Arial" w:cs="Arial"/>
                <w:bCs/>
                <w:color w:val="auto"/>
              </w:rPr>
            </w:pPr>
            <w:r w:rsidRPr="00992A53">
              <w:rPr>
                <w:rFonts w:ascii="Arial" w:eastAsia="Arial" w:hAnsi="Arial" w:cs="Arial"/>
                <w:bCs/>
                <w:color w:val="auto"/>
              </w:rPr>
              <w:t>For commercial community facilities, it can be demonstrated the current use is no longer economically viable and there is no prospect of it becoming viable.</w:t>
            </w:r>
          </w:p>
        </w:tc>
      </w:tr>
      <w:bookmarkEnd w:id="331"/>
      <w:tr w:rsidR="00992A53" w:rsidRPr="00992A53" w14:paraId="6C058776" w14:textId="77777777" w:rsidTr="0073396F">
        <w:tc>
          <w:tcPr>
            <w:tcW w:w="2376" w:type="dxa"/>
          </w:tcPr>
          <w:p w14:paraId="1DFF4C69" w14:textId="77777777" w:rsidR="00992A53" w:rsidRPr="00992A53" w:rsidRDefault="00992A53" w:rsidP="00905CC9">
            <w:pPr>
              <w:keepNext w:val="0"/>
              <w:tabs>
                <w:tab w:val="left" w:pos="680"/>
                <w:tab w:val="left" w:pos="1133"/>
                <w:tab w:val="left" w:pos="2267"/>
              </w:tabs>
              <w:spacing w:before="0"/>
              <w:ind w:right="284"/>
              <w:jc w:val="left"/>
              <w:rPr>
                <w:rFonts w:eastAsia="Arial"/>
                <w:b/>
                <w:color w:val="7030A0"/>
                <w:szCs w:val="24"/>
              </w:rPr>
            </w:pPr>
            <w:r w:rsidRPr="00992A53">
              <w:rPr>
                <w:rFonts w:eastAsia="Arial"/>
                <w:bCs/>
                <w:color w:val="auto"/>
                <w:sz w:val="20"/>
              </w:rPr>
              <w:lastRenderedPageBreak/>
              <w:t>Evidence base</w:t>
            </w:r>
          </w:p>
        </w:tc>
        <w:tc>
          <w:tcPr>
            <w:tcW w:w="6911" w:type="dxa"/>
            <w:gridSpan w:val="2"/>
          </w:tcPr>
          <w:p w14:paraId="5E3A62D0" w14:textId="3CB5EE38" w:rsidR="00276F87" w:rsidRPr="000663FF" w:rsidRDefault="00992A53" w:rsidP="00874A98">
            <w:pPr>
              <w:pStyle w:val="ListParagraph"/>
              <w:numPr>
                <w:ilvl w:val="0"/>
                <w:numId w:val="209"/>
              </w:numPr>
              <w:tabs>
                <w:tab w:val="left" w:pos="680"/>
                <w:tab w:val="left" w:pos="1133"/>
                <w:tab w:val="left" w:pos="2267"/>
              </w:tabs>
              <w:spacing w:after="0" w:line="240" w:lineRule="auto"/>
              <w:ind w:left="357" w:right="284" w:hanging="357"/>
              <w:jc w:val="left"/>
              <w:rPr>
                <w:rFonts w:ascii="Arial" w:eastAsia="Arial" w:hAnsi="Arial" w:cs="Arial"/>
                <w:bCs/>
                <w:color w:val="auto"/>
                <w:sz w:val="20"/>
                <w:szCs w:val="20"/>
              </w:rPr>
            </w:pPr>
            <w:r w:rsidRPr="000663FF">
              <w:rPr>
                <w:rFonts w:ascii="Arial" w:eastAsia="Arial" w:hAnsi="Arial" w:cs="Arial"/>
                <w:bCs/>
                <w:color w:val="auto"/>
                <w:sz w:val="20"/>
                <w:szCs w:val="20"/>
              </w:rPr>
              <w:t>Sustainability Appraisal, 202</w:t>
            </w:r>
            <w:r w:rsidR="0025538D" w:rsidRPr="000663FF">
              <w:rPr>
                <w:rFonts w:ascii="Arial" w:eastAsia="Arial" w:hAnsi="Arial" w:cs="Arial"/>
                <w:bCs/>
                <w:color w:val="auto"/>
                <w:sz w:val="20"/>
                <w:szCs w:val="20"/>
              </w:rPr>
              <w:t>3</w:t>
            </w:r>
            <w:r w:rsidRPr="000663FF">
              <w:rPr>
                <w:rFonts w:ascii="Arial" w:eastAsia="Arial" w:hAnsi="Arial" w:cs="Arial"/>
                <w:bCs/>
                <w:color w:val="auto"/>
                <w:sz w:val="20"/>
                <w:szCs w:val="20"/>
              </w:rPr>
              <w:t xml:space="preserve">. </w:t>
            </w:r>
            <w:r w:rsidR="0025538D" w:rsidRPr="000663FF">
              <w:rPr>
                <w:rFonts w:ascii="Arial" w:eastAsia="Arial" w:hAnsi="Arial" w:cs="Arial"/>
                <w:bCs/>
                <w:color w:val="auto"/>
                <w:sz w:val="20"/>
                <w:szCs w:val="20"/>
              </w:rPr>
              <w:t>WSP UK Limited</w:t>
            </w:r>
            <w:r w:rsidRPr="000663FF">
              <w:rPr>
                <w:rFonts w:ascii="Arial" w:eastAsia="Arial" w:hAnsi="Arial" w:cs="Arial"/>
                <w:bCs/>
                <w:color w:val="auto"/>
                <w:sz w:val="20"/>
                <w:szCs w:val="20"/>
              </w:rPr>
              <w:t xml:space="preserve">. </w:t>
            </w:r>
          </w:p>
          <w:p w14:paraId="66231C67" w14:textId="1E67609A" w:rsidR="00276F87" w:rsidRPr="000663FF" w:rsidRDefault="00276F87" w:rsidP="00874A98">
            <w:pPr>
              <w:pStyle w:val="ListParagraph"/>
              <w:numPr>
                <w:ilvl w:val="0"/>
                <w:numId w:val="209"/>
              </w:numPr>
              <w:tabs>
                <w:tab w:val="left" w:pos="680"/>
                <w:tab w:val="left" w:pos="1133"/>
                <w:tab w:val="left" w:pos="2267"/>
              </w:tabs>
              <w:spacing w:after="0" w:line="240" w:lineRule="auto"/>
              <w:ind w:left="357" w:right="284" w:hanging="357"/>
              <w:jc w:val="left"/>
              <w:rPr>
                <w:rFonts w:ascii="Arial" w:eastAsia="Arial" w:hAnsi="Arial" w:cs="Arial"/>
                <w:bCs/>
                <w:color w:val="auto"/>
                <w:sz w:val="20"/>
                <w:szCs w:val="20"/>
              </w:rPr>
            </w:pPr>
            <w:r w:rsidRPr="000663FF">
              <w:rPr>
                <w:rFonts w:ascii="Arial" w:eastAsia="Arial" w:hAnsi="Arial" w:cs="Arial"/>
                <w:bCs/>
                <w:color w:val="auto"/>
                <w:sz w:val="20"/>
              </w:rPr>
              <w:t>Ashfield Health and Wellbeing Partnership Strategy Be Healthy, Be Happy, 2021 – 2025 Ashfield Health and Wellbeing Partnership.</w:t>
            </w:r>
          </w:p>
        </w:tc>
      </w:tr>
      <w:tr w:rsidR="00992A53" w:rsidRPr="00992A53" w14:paraId="11BFCD94" w14:textId="77777777" w:rsidTr="0073396F">
        <w:tc>
          <w:tcPr>
            <w:tcW w:w="2376" w:type="dxa"/>
          </w:tcPr>
          <w:p w14:paraId="2B2AB739" w14:textId="77777777" w:rsidR="00992A53" w:rsidRPr="00992A53" w:rsidRDefault="00992A53" w:rsidP="00905CC9">
            <w:pPr>
              <w:keepNext w:val="0"/>
              <w:tabs>
                <w:tab w:val="left" w:pos="680"/>
                <w:tab w:val="left" w:pos="1133"/>
                <w:tab w:val="left" w:pos="2267"/>
              </w:tabs>
              <w:spacing w:before="0"/>
              <w:ind w:right="284"/>
              <w:jc w:val="left"/>
              <w:rPr>
                <w:rFonts w:eastAsia="Arial"/>
                <w:b/>
                <w:color w:val="538135"/>
                <w:sz w:val="22"/>
              </w:rPr>
            </w:pPr>
            <w:r w:rsidRPr="00992A53">
              <w:rPr>
                <w:rFonts w:eastAsia="Arial"/>
                <w:bCs/>
                <w:color w:val="auto"/>
                <w:sz w:val="20"/>
              </w:rPr>
              <w:t>National Planning Policy and Guidance</w:t>
            </w:r>
          </w:p>
        </w:tc>
        <w:tc>
          <w:tcPr>
            <w:tcW w:w="6911" w:type="dxa"/>
            <w:gridSpan w:val="2"/>
          </w:tcPr>
          <w:p w14:paraId="20C3DB34" w14:textId="58417FB7" w:rsidR="00992A53" w:rsidRPr="000663FF" w:rsidRDefault="00992A53"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0663FF">
              <w:rPr>
                <w:rFonts w:eastAsia="Arial"/>
                <w:bCs/>
                <w:color w:val="auto"/>
                <w:sz w:val="20"/>
              </w:rPr>
              <w:t>NPPF 20</w:t>
            </w:r>
            <w:r w:rsidR="004173E0" w:rsidRPr="000663FF">
              <w:rPr>
                <w:rFonts w:eastAsia="Arial"/>
                <w:bCs/>
                <w:color w:val="auto"/>
                <w:sz w:val="20"/>
              </w:rPr>
              <w:t>23</w:t>
            </w:r>
            <w:r w:rsidRPr="000663FF">
              <w:rPr>
                <w:rFonts w:eastAsia="Arial"/>
                <w:bCs/>
                <w:color w:val="auto"/>
                <w:sz w:val="20"/>
              </w:rPr>
              <w:t>, Part 2: Achieving sustainable development.</w:t>
            </w:r>
          </w:p>
          <w:p w14:paraId="14BD1709" w14:textId="10D6AC11" w:rsidR="00992A53" w:rsidRPr="000663FF" w:rsidRDefault="00992A53"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0663FF">
              <w:rPr>
                <w:rFonts w:eastAsia="Arial"/>
                <w:bCs/>
                <w:color w:val="auto"/>
                <w:sz w:val="20"/>
              </w:rPr>
              <w:t>NPPF 20</w:t>
            </w:r>
            <w:r w:rsidR="004173E0" w:rsidRPr="000663FF">
              <w:rPr>
                <w:rFonts w:eastAsia="Arial"/>
                <w:bCs/>
                <w:color w:val="auto"/>
                <w:sz w:val="20"/>
              </w:rPr>
              <w:t>23</w:t>
            </w:r>
            <w:r w:rsidRPr="000663FF">
              <w:rPr>
                <w:rFonts w:eastAsia="Arial"/>
                <w:bCs/>
                <w:color w:val="auto"/>
                <w:sz w:val="20"/>
              </w:rPr>
              <w:t>, Part 8: Promoting healthy and safe communities.</w:t>
            </w:r>
          </w:p>
          <w:p w14:paraId="35297023" w14:textId="232647EF" w:rsidR="00992A53" w:rsidRPr="000663FF" w:rsidRDefault="00992A53" w:rsidP="00874A98">
            <w:pPr>
              <w:keepNext w:val="0"/>
              <w:numPr>
                <w:ilvl w:val="0"/>
                <w:numId w:val="119"/>
              </w:numPr>
              <w:tabs>
                <w:tab w:val="left" w:pos="680"/>
                <w:tab w:val="left" w:pos="1133"/>
                <w:tab w:val="left" w:pos="2267"/>
              </w:tabs>
              <w:spacing w:before="0" w:after="160" w:line="252" w:lineRule="auto"/>
              <w:ind w:right="284"/>
              <w:contextualSpacing/>
              <w:jc w:val="left"/>
              <w:rPr>
                <w:rFonts w:eastAsia="Arial"/>
                <w:bCs/>
                <w:color w:val="auto"/>
                <w:sz w:val="20"/>
              </w:rPr>
            </w:pPr>
            <w:r w:rsidRPr="000663FF">
              <w:rPr>
                <w:rFonts w:eastAsia="Arial"/>
                <w:bCs/>
                <w:color w:val="auto"/>
                <w:sz w:val="20"/>
              </w:rPr>
              <w:t xml:space="preserve">Planning Practice Guidance: Healthy and safe communities as </w:t>
            </w:r>
            <w:r w:rsidR="008F21DB" w:rsidRPr="000663FF">
              <w:rPr>
                <w:rFonts w:eastAsia="Arial"/>
                <w:bCs/>
                <w:color w:val="auto"/>
                <w:sz w:val="20"/>
              </w:rPr>
              <w:t>of</w:t>
            </w:r>
            <w:r w:rsidRPr="000663FF">
              <w:rPr>
                <w:rFonts w:eastAsia="Arial"/>
                <w:bCs/>
                <w:color w:val="auto"/>
                <w:sz w:val="20"/>
              </w:rPr>
              <w:t xml:space="preserve"> August 202</w:t>
            </w:r>
            <w:r w:rsidR="0025538D" w:rsidRPr="000663FF">
              <w:rPr>
                <w:rFonts w:eastAsia="Arial"/>
                <w:bCs/>
                <w:color w:val="auto"/>
                <w:sz w:val="20"/>
              </w:rPr>
              <w:t>2</w:t>
            </w:r>
            <w:r w:rsidRPr="000663FF">
              <w:rPr>
                <w:rFonts w:eastAsia="Arial"/>
                <w:bCs/>
                <w:color w:val="auto"/>
                <w:sz w:val="20"/>
              </w:rPr>
              <w:t>.</w:t>
            </w:r>
          </w:p>
        </w:tc>
      </w:tr>
    </w:tbl>
    <w:p w14:paraId="063E5899" w14:textId="77777777" w:rsidR="00992A53" w:rsidRPr="00DD4136" w:rsidRDefault="00992A53" w:rsidP="00992A53">
      <w:pPr>
        <w:keepNext w:val="0"/>
        <w:tabs>
          <w:tab w:val="left" w:pos="680"/>
          <w:tab w:val="left" w:pos="1133"/>
          <w:tab w:val="left" w:pos="2267"/>
        </w:tabs>
        <w:spacing w:before="0"/>
        <w:ind w:right="284"/>
        <w:rPr>
          <w:rFonts w:eastAsia="Arial"/>
          <w:b/>
          <w:color w:val="auto"/>
        </w:rPr>
      </w:pPr>
    </w:p>
    <w:p w14:paraId="20D9910B" w14:textId="77777777" w:rsidR="00992A53" w:rsidRPr="00DD4136" w:rsidRDefault="00992A53" w:rsidP="00992A53">
      <w:pPr>
        <w:keepNext w:val="0"/>
        <w:tabs>
          <w:tab w:val="left" w:pos="680"/>
          <w:tab w:val="left" w:pos="1133"/>
          <w:tab w:val="left" w:pos="2267"/>
        </w:tabs>
        <w:spacing w:before="0"/>
        <w:ind w:right="284"/>
        <w:rPr>
          <w:rFonts w:eastAsia="Arial"/>
          <w:b/>
          <w:color w:val="auto"/>
        </w:rPr>
      </w:pPr>
    </w:p>
    <w:p w14:paraId="011C5345" w14:textId="32196E5F" w:rsidR="00E864C3" w:rsidRDefault="00FF4973" w:rsidP="00E864C3">
      <w:pPr>
        <w:keepNext w:val="0"/>
        <w:numPr>
          <w:ilvl w:val="1"/>
          <w:numId w:val="7"/>
        </w:numPr>
        <w:tabs>
          <w:tab w:val="clear" w:pos="525"/>
        </w:tabs>
        <w:spacing w:before="0"/>
        <w:ind w:left="709" w:hanging="709"/>
        <w:rPr>
          <w:rFonts w:cs="Arial"/>
          <w:color w:val="auto"/>
          <w:szCs w:val="24"/>
          <w:lang w:eastAsia="en-US"/>
        </w:rPr>
      </w:pPr>
      <w:r w:rsidRPr="00E864C3">
        <w:rPr>
          <w:rFonts w:cs="Arial"/>
          <w:color w:val="auto"/>
          <w:szCs w:val="24"/>
        </w:rPr>
        <w:t>The provision of a full range of community and health services is of importance to the social and economic well-being of Ashfield residents.  These facilities play an important role in facilitating social interaction</w:t>
      </w:r>
      <w:r w:rsidR="00451C69">
        <w:rPr>
          <w:rFonts w:cs="Arial"/>
          <w:color w:val="auto"/>
          <w:szCs w:val="24"/>
        </w:rPr>
        <w:t xml:space="preserve">, providing recreational, </w:t>
      </w:r>
      <w:proofErr w:type="gramStart"/>
      <w:r w:rsidR="00451C69">
        <w:rPr>
          <w:rFonts w:cs="Arial"/>
          <w:color w:val="auto"/>
          <w:szCs w:val="24"/>
        </w:rPr>
        <w:t>educational  and</w:t>
      </w:r>
      <w:proofErr w:type="gramEnd"/>
      <w:r w:rsidR="00451C69">
        <w:rPr>
          <w:rFonts w:cs="Arial"/>
          <w:color w:val="auto"/>
          <w:szCs w:val="24"/>
        </w:rPr>
        <w:t xml:space="preserve"> cultural needs </w:t>
      </w:r>
      <w:r w:rsidRPr="00E864C3">
        <w:rPr>
          <w:rFonts w:cs="Arial"/>
          <w:color w:val="auto"/>
          <w:szCs w:val="24"/>
        </w:rPr>
        <w:t xml:space="preserve">and creating healthy, inclusive communities. </w:t>
      </w:r>
    </w:p>
    <w:p w14:paraId="4DD40764" w14:textId="77777777" w:rsidR="00E864C3" w:rsidRDefault="00E864C3" w:rsidP="00E864C3">
      <w:pPr>
        <w:keepNext w:val="0"/>
        <w:spacing w:before="0"/>
        <w:rPr>
          <w:rFonts w:cs="Arial"/>
          <w:color w:val="auto"/>
          <w:szCs w:val="24"/>
          <w:lang w:eastAsia="en-US"/>
        </w:rPr>
      </w:pPr>
    </w:p>
    <w:p w14:paraId="38B4E24D" w14:textId="14ABEEC2" w:rsidR="00E864C3" w:rsidRDefault="00FF4973" w:rsidP="00E864C3">
      <w:pPr>
        <w:keepNext w:val="0"/>
        <w:numPr>
          <w:ilvl w:val="1"/>
          <w:numId w:val="7"/>
        </w:numPr>
        <w:tabs>
          <w:tab w:val="clear" w:pos="525"/>
        </w:tabs>
        <w:spacing w:before="0"/>
        <w:ind w:left="709" w:hanging="709"/>
        <w:rPr>
          <w:rFonts w:cs="Arial"/>
          <w:color w:val="auto"/>
          <w:szCs w:val="24"/>
          <w:lang w:eastAsia="en-US"/>
        </w:rPr>
      </w:pPr>
      <w:r w:rsidRPr="00E864C3">
        <w:rPr>
          <w:rFonts w:cs="Arial"/>
          <w:color w:val="auto"/>
          <w:szCs w:val="24"/>
        </w:rPr>
        <w:t xml:space="preserve">Community facilities include local shops, meeting places, sports venues, open space, cultural buildings, public houses and places of worship.  This list is not </w:t>
      </w:r>
      <w:proofErr w:type="gramStart"/>
      <w:r w:rsidRPr="00E864C3">
        <w:rPr>
          <w:rFonts w:cs="Arial"/>
          <w:color w:val="auto"/>
          <w:szCs w:val="24"/>
        </w:rPr>
        <w:t>exhaustive</w:t>
      </w:r>
      <w:proofErr w:type="gramEnd"/>
      <w:r w:rsidRPr="00E864C3">
        <w:rPr>
          <w:rFonts w:cs="Arial"/>
          <w:color w:val="auto"/>
          <w:szCs w:val="24"/>
        </w:rPr>
        <w:t xml:space="preserve"> and they may include other community facilities or other local services, which enhance the sustainability of communities and residential environments. </w:t>
      </w:r>
    </w:p>
    <w:p w14:paraId="6FDE9BEA" w14:textId="77777777" w:rsidR="00E864C3" w:rsidRDefault="00E864C3" w:rsidP="00E864C3">
      <w:pPr>
        <w:keepNext w:val="0"/>
        <w:spacing w:before="0"/>
        <w:rPr>
          <w:rFonts w:cs="Arial"/>
          <w:color w:val="auto"/>
          <w:szCs w:val="24"/>
          <w:lang w:eastAsia="en-US"/>
        </w:rPr>
      </w:pPr>
    </w:p>
    <w:p w14:paraId="5818CB9B" w14:textId="2552E850" w:rsidR="00E864C3" w:rsidRDefault="00FF4973" w:rsidP="00E864C3">
      <w:pPr>
        <w:keepNext w:val="0"/>
        <w:numPr>
          <w:ilvl w:val="1"/>
          <w:numId w:val="7"/>
        </w:numPr>
        <w:tabs>
          <w:tab w:val="clear" w:pos="525"/>
        </w:tabs>
        <w:spacing w:before="0"/>
        <w:ind w:left="709" w:hanging="709"/>
        <w:rPr>
          <w:rFonts w:cs="Arial"/>
          <w:color w:val="auto"/>
          <w:szCs w:val="24"/>
          <w:lang w:eastAsia="en-US"/>
        </w:rPr>
      </w:pPr>
      <w:r w:rsidRPr="00E864C3">
        <w:rPr>
          <w:rFonts w:cs="Arial"/>
          <w:color w:val="auto"/>
          <w:szCs w:val="24"/>
        </w:rPr>
        <w:t xml:space="preserve">The Council will support the co-location of community facilities and other services, where viable. Working in partnership with other service providers and the voluntary sector provides an effective and accessible way to meet the needs of communities. If services and facilities can be housed within a single building or area there can be numerous benefits to users and providers; aiding accessibility, increasing users and sharing resources.   </w:t>
      </w:r>
    </w:p>
    <w:p w14:paraId="78A716BB" w14:textId="77777777" w:rsidR="00E864C3" w:rsidRDefault="00E864C3" w:rsidP="00E864C3">
      <w:pPr>
        <w:keepNext w:val="0"/>
        <w:spacing w:before="0"/>
        <w:rPr>
          <w:rFonts w:cs="Arial"/>
          <w:color w:val="auto"/>
          <w:szCs w:val="24"/>
          <w:lang w:eastAsia="en-US"/>
        </w:rPr>
      </w:pPr>
    </w:p>
    <w:p w14:paraId="0A2F2AB3" w14:textId="380DE618" w:rsidR="00FF4973" w:rsidRPr="00E864C3" w:rsidRDefault="00FF4973" w:rsidP="00E864C3">
      <w:pPr>
        <w:keepNext w:val="0"/>
        <w:numPr>
          <w:ilvl w:val="1"/>
          <w:numId w:val="7"/>
        </w:numPr>
        <w:tabs>
          <w:tab w:val="clear" w:pos="525"/>
        </w:tabs>
        <w:spacing w:before="0"/>
        <w:ind w:left="709" w:hanging="709"/>
        <w:rPr>
          <w:rFonts w:cs="Arial"/>
          <w:color w:val="auto"/>
          <w:szCs w:val="24"/>
          <w:lang w:eastAsia="en-US"/>
        </w:rPr>
      </w:pPr>
      <w:r w:rsidRPr="00E864C3">
        <w:rPr>
          <w:rFonts w:cs="Arial"/>
          <w:color w:val="auto"/>
          <w:szCs w:val="24"/>
        </w:rPr>
        <w:t xml:space="preserve">New development has the potential to result in increased pressure on Ashfield’s existing health and community facilities, either cumulatively or individually. Where appropriate, the Council will expect schemes that create additional demand for health and community facilities to make an appropriate contribution to meet local needs. This may be through on-site provision or a contribution towards improving existing facilities close to the development, or within the appropriate catchment for the health or community facilities. When assessing the impact of new </w:t>
      </w:r>
      <w:r w:rsidR="00EA7D34" w:rsidRPr="00E864C3">
        <w:rPr>
          <w:rFonts w:cs="Arial"/>
          <w:color w:val="auto"/>
          <w:szCs w:val="24"/>
        </w:rPr>
        <w:t>development,</w:t>
      </w:r>
      <w:r w:rsidRPr="00E864C3">
        <w:rPr>
          <w:rFonts w:cs="Arial"/>
          <w:color w:val="auto"/>
          <w:szCs w:val="24"/>
        </w:rPr>
        <w:t xml:space="preserve"> the Council will consider: </w:t>
      </w:r>
    </w:p>
    <w:p w14:paraId="0335899A" w14:textId="77777777" w:rsidR="00FF4973" w:rsidRDefault="00FF4973" w:rsidP="00FF4973">
      <w:pPr>
        <w:pStyle w:val="ListParagraph"/>
        <w:spacing w:after="0" w:line="240" w:lineRule="auto"/>
        <w:rPr>
          <w:rFonts w:ascii="Arial" w:hAnsi="Arial" w:cs="Arial"/>
          <w:color w:val="auto"/>
          <w:szCs w:val="24"/>
        </w:rPr>
      </w:pPr>
    </w:p>
    <w:p w14:paraId="54C422B5" w14:textId="77777777" w:rsidR="00FF4973" w:rsidRPr="00FF4973" w:rsidRDefault="00FF4973" w:rsidP="00874A98">
      <w:pPr>
        <w:pStyle w:val="ListParagraph"/>
        <w:numPr>
          <w:ilvl w:val="0"/>
          <w:numId w:val="207"/>
        </w:numPr>
        <w:spacing w:after="0" w:line="240" w:lineRule="auto"/>
        <w:rPr>
          <w:rFonts w:ascii="Arial" w:hAnsi="Arial" w:cs="Arial"/>
          <w:color w:val="auto"/>
          <w:szCs w:val="24"/>
        </w:rPr>
      </w:pPr>
      <w:r w:rsidRPr="00FF4973">
        <w:rPr>
          <w:rFonts w:ascii="Arial" w:hAnsi="Arial" w:cs="Arial"/>
          <w:color w:val="auto"/>
          <w:szCs w:val="24"/>
        </w:rPr>
        <w:t>the likely number of future occupants of the development and their impact on the demand for health and community facilities;</w:t>
      </w:r>
    </w:p>
    <w:p w14:paraId="2E9E8D91" w14:textId="77777777" w:rsidR="00FF4973" w:rsidRPr="00FF4973" w:rsidRDefault="00FF4973" w:rsidP="00874A98">
      <w:pPr>
        <w:pStyle w:val="ListParagraph"/>
        <w:numPr>
          <w:ilvl w:val="0"/>
          <w:numId w:val="207"/>
        </w:numPr>
        <w:spacing w:after="0" w:line="240" w:lineRule="auto"/>
        <w:rPr>
          <w:rFonts w:ascii="Arial" w:hAnsi="Arial" w:cs="Arial"/>
          <w:color w:val="auto"/>
          <w:szCs w:val="24"/>
        </w:rPr>
      </w:pPr>
      <w:r w:rsidRPr="00FF4973">
        <w:rPr>
          <w:rFonts w:ascii="Arial" w:hAnsi="Arial" w:cs="Arial"/>
          <w:color w:val="auto"/>
          <w:szCs w:val="24"/>
        </w:rPr>
        <w:t xml:space="preserve">the capacity of existing health and community facilities and their accessible to the development; </w:t>
      </w:r>
    </w:p>
    <w:p w14:paraId="251FCE41" w14:textId="593DB03A" w:rsidR="00FF4973" w:rsidRPr="00FF4973" w:rsidRDefault="00FF4973" w:rsidP="00874A98">
      <w:pPr>
        <w:pStyle w:val="ListParagraph"/>
        <w:numPr>
          <w:ilvl w:val="0"/>
          <w:numId w:val="207"/>
        </w:numPr>
        <w:spacing w:after="0" w:line="240" w:lineRule="auto"/>
        <w:rPr>
          <w:rFonts w:ascii="Arial" w:hAnsi="Arial" w:cs="Arial"/>
          <w:color w:val="auto"/>
          <w:szCs w:val="24"/>
        </w:rPr>
      </w:pPr>
      <w:r w:rsidRPr="00FF4973">
        <w:rPr>
          <w:rFonts w:ascii="Arial" w:hAnsi="Arial" w:cs="Arial"/>
          <w:color w:val="auto"/>
          <w:szCs w:val="24"/>
        </w:rPr>
        <w:t>the accommodation requirements of community service providers operating in the area.</w:t>
      </w:r>
    </w:p>
    <w:p w14:paraId="4E85C043" w14:textId="77777777" w:rsidR="00FF4973" w:rsidRPr="00FF4973" w:rsidRDefault="00FF4973" w:rsidP="00FF4973">
      <w:pPr>
        <w:pStyle w:val="ListParagraph"/>
        <w:spacing w:after="0" w:line="240" w:lineRule="auto"/>
        <w:rPr>
          <w:rFonts w:ascii="Arial" w:hAnsi="Arial" w:cs="Arial"/>
          <w:color w:val="auto"/>
          <w:szCs w:val="24"/>
        </w:rPr>
      </w:pPr>
    </w:p>
    <w:p w14:paraId="2FA16702" w14:textId="4A2B0A82" w:rsidR="00FF4973" w:rsidRDefault="00FF4973" w:rsidP="00E864C3">
      <w:pPr>
        <w:keepNext w:val="0"/>
        <w:numPr>
          <w:ilvl w:val="1"/>
          <w:numId w:val="7"/>
        </w:numPr>
        <w:tabs>
          <w:tab w:val="clear" w:pos="525"/>
        </w:tabs>
        <w:spacing w:before="0"/>
        <w:ind w:left="709" w:hanging="709"/>
        <w:rPr>
          <w:rFonts w:cs="Arial"/>
          <w:color w:val="auto"/>
          <w:szCs w:val="24"/>
          <w:lang w:eastAsia="en-US"/>
        </w:rPr>
      </w:pPr>
      <w:r w:rsidRPr="00FF4973">
        <w:rPr>
          <w:rFonts w:cs="Arial"/>
          <w:color w:val="auto"/>
          <w:szCs w:val="24"/>
        </w:rPr>
        <w:t xml:space="preserve">A Health Impact Assessment may be required on developments of 50 dwellings or more. It is anticipated that any Health Impact Assessment will utilise </w:t>
      </w:r>
      <w:r w:rsidR="00F46258" w:rsidRPr="00F46258">
        <w:rPr>
          <w:rFonts w:cs="Arial"/>
          <w:color w:val="auto"/>
          <w:szCs w:val="24"/>
        </w:rPr>
        <w:t>The Nottinghamshire Planning and Health Framework (2019 -2022)</w:t>
      </w:r>
      <w:r w:rsidRPr="00FF4973">
        <w:rPr>
          <w:rFonts w:cs="Arial"/>
          <w:color w:val="auto"/>
          <w:szCs w:val="24"/>
        </w:rPr>
        <w:t xml:space="preserve"> document or any update.</w:t>
      </w:r>
    </w:p>
    <w:p w14:paraId="49CDFF4C" w14:textId="7EC7DDBF" w:rsidR="00FF4973" w:rsidRDefault="00FF4973" w:rsidP="00FF4973">
      <w:pPr>
        <w:keepNext w:val="0"/>
        <w:spacing w:before="0"/>
        <w:ind w:left="527"/>
        <w:rPr>
          <w:rFonts w:cs="Arial"/>
          <w:color w:val="auto"/>
          <w:szCs w:val="24"/>
        </w:rPr>
      </w:pPr>
    </w:p>
    <w:p w14:paraId="5492F21B" w14:textId="2FB25ADC" w:rsidR="00FF4973" w:rsidRPr="00A430E6" w:rsidRDefault="000663FF" w:rsidP="00FF4973">
      <w:pPr>
        <w:keepNext w:val="0"/>
        <w:spacing w:before="0"/>
        <w:ind w:left="527"/>
        <w:rPr>
          <w:rFonts w:cs="Arial"/>
          <w:b/>
          <w:bCs/>
          <w:color w:val="auto"/>
          <w:szCs w:val="24"/>
          <w:lang w:eastAsia="en-US"/>
        </w:rPr>
      </w:pPr>
      <w:r>
        <w:rPr>
          <w:rFonts w:cs="Arial"/>
          <w:b/>
          <w:bCs/>
          <w:color w:val="auto"/>
          <w:szCs w:val="24"/>
          <w:lang w:eastAsia="en-US"/>
        </w:rPr>
        <w:t xml:space="preserve">  </w:t>
      </w:r>
      <w:r w:rsidR="00FF4973" w:rsidRPr="00A430E6">
        <w:rPr>
          <w:rFonts w:cs="Arial"/>
          <w:b/>
          <w:bCs/>
          <w:color w:val="auto"/>
          <w:szCs w:val="24"/>
          <w:lang w:eastAsia="en-US"/>
        </w:rPr>
        <w:t>Loss of Health or Community Facilities</w:t>
      </w:r>
    </w:p>
    <w:p w14:paraId="2D6AE202" w14:textId="786D266A" w:rsidR="00FF4973" w:rsidRPr="00FF4973" w:rsidRDefault="00FF4973" w:rsidP="00E864C3">
      <w:pPr>
        <w:keepNext w:val="0"/>
        <w:numPr>
          <w:ilvl w:val="1"/>
          <w:numId w:val="7"/>
        </w:numPr>
        <w:tabs>
          <w:tab w:val="clear" w:pos="525"/>
        </w:tabs>
        <w:spacing w:before="0"/>
        <w:ind w:left="709" w:hanging="709"/>
        <w:rPr>
          <w:rFonts w:cs="Arial"/>
          <w:color w:val="auto"/>
          <w:szCs w:val="24"/>
          <w:lang w:eastAsia="en-US"/>
        </w:rPr>
      </w:pPr>
      <w:r w:rsidRPr="00FF4973">
        <w:rPr>
          <w:rFonts w:cs="Arial"/>
          <w:color w:val="auto"/>
          <w:szCs w:val="24"/>
        </w:rPr>
        <w:t xml:space="preserve">The Council will resist the loss of health and community facilities unless there is no longer a requirement for the facility in that location. The application will need to demonstrate that: </w:t>
      </w:r>
    </w:p>
    <w:p w14:paraId="443BC6CB" w14:textId="77777777" w:rsidR="00FF4973" w:rsidRPr="00FF4973" w:rsidRDefault="00FF4973" w:rsidP="00FF4973">
      <w:pPr>
        <w:keepNext w:val="0"/>
        <w:spacing w:before="0"/>
        <w:rPr>
          <w:rFonts w:cs="Arial"/>
          <w:color w:val="auto"/>
          <w:szCs w:val="24"/>
          <w:lang w:eastAsia="en-US"/>
        </w:rPr>
      </w:pPr>
    </w:p>
    <w:p w14:paraId="76DC8666" w14:textId="77777777" w:rsidR="00FF4973" w:rsidRPr="00FF4973" w:rsidRDefault="00FF4973" w:rsidP="00874A98">
      <w:pPr>
        <w:pStyle w:val="ListParagraph"/>
        <w:numPr>
          <w:ilvl w:val="0"/>
          <w:numId w:val="208"/>
        </w:numPr>
        <w:spacing w:after="0" w:line="240" w:lineRule="auto"/>
        <w:rPr>
          <w:rFonts w:ascii="Arial" w:hAnsi="Arial" w:cs="Arial"/>
          <w:color w:val="auto"/>
          <w:szCs w:val="24"/>
        </w:rPr>
      </w:pPr>
      <w:r w:rsidRPr="00FF4973">
        <w:rPr>
          <w:rFonts w:ascii="Arial" w:hAnsi="Arial" w:cs="Arial"/>
          <w:color w:val="auto"/>
          <w:szCs w:val="24"/>
        </w:rPr>
        <w:t xml:space="preserve">No shortfall in provision will be created by the loss; </w:t>
      </w:r>
    </w:p>
    <w:p w14:paraId="192F02D1" w14:textId="77777777" w:rsidR="00FF4973" w:rsidRPr="00FF4973" w:rsidRDefault="00FF4973" w:rsidP="00874A98">
      <w:pPr>
        <w:pStyle w:val="ListParagraph"/>
        <w:numPr>
          <w:ilvl w:val="0"/>
          <w:numId w:val="208"/>
        </w:numPr>
        <w:spacing w:after="0" w:line="240" w:lineRule="auto"/>
        <w:rPr>
          <w:rFonts w:ascii="Arial" w:hAnsi="Arial" w:cs="Arial"/>
          <w:color w:val="auto"/>
          <w:szCs w:val="24"/>
        </w:rPr>
      </w:pPr>
      <w:r w:rsidRPr="00FF4973">
        <w:rPr>
          <w:rFonts w:ascii="Arial" w:hAnsi="Arial" w:cs="Arial"/>
          <w:color w:val="auto"/>
          <w:szCs w:val="24"/>
        </w:rPr>
        <w:t>Adequate alternative facilities are already available in the area;</w:t>
      </w:r>
    </w:p>
    <w:p w14:paraId="61D3F604" w14:textId="77777777" w:rsidR="00FF4973" w:rsidRPr="00FF4973" w:rsidRDefault="00FF4973" w:rsidP="00874A98">
      <w:pPr>
        <w:pStyle w:val="ListParagraph"/>
        <w:numPr>
          <w:ilvl w:val="0"/>
          <w:numId w:val="208"/>
        </w:numPr>
        <w:spacing w:after="0" w:line="240" w:lineRule="auto"/>
        <w:rPr>
          <w:rFonts w:ascii="Arial" w:hAnsi="Arial" w:cs="Arial"/>
          <w:color w:val="auto"/>
          <w:szCs w:val="24"/>
        </w:rPr>
      </w:pPr>
      <w:r w:rsidRPr="00FF4973">
        <w:rPr>
          <w:rFonts w:ascii="Arial" w:hAnsi="Arial" w:cs="Arial"/>
          <w:color w:val="auto"/>
          <w:szCs w:val="24"/>
        </w:rPr>
        <w:t>A replacement facility that meets the needs of the local population will be provided;</w:t>
      </w:r>
    </w:p>
    <w:p w14:paraId="41F42092" w14:textId="243008F2" w:rsidR="00FF4973" w:rsidRPr="00FF4973" w:rsidRDefault="00FF4973" w:rsidP="00874A98">
      <w:pPr>
        <w:pStyle w:val="ListParagraph"/>
        <w:numPr>
          <w:ilvl w:val="0"/>
          <w:numId w:val="208"/>
        </w:numPr>
        <w:spacing w:after="0" w:line="240" w:lineRule="auto"/>
        <w:rPr>
          <w:rFonts w:ascii="Arial" w:hAnsi="Arial" w:cs="Arial"/>
          <w:color w:val="auto"/>
          <w:szCs w:val="24"/>
        </w:rPr>
      </w:pPr>
      <w:r w:rsidRPr="00FF4973">
        <w:rPr>
          <w:rFonts w:ascii="Arial" w:hAnsi="Arial" w:cs="Arial"/>
          <w:color w:val="auto"/>
          <w:szCs w:val="24"/>
        </w:rPr>
        <w:t>The facility is no longer required in its current use;</w:t>
      </w:r>
    </w:p>
    <w:p w14:paraId="0F3D4F8A" w14:textId="77777777" w:rsidR="00FF4973" w:rsidRPr="00FF4973" w:rsidRDefault="00FF4973" w:rsidP="00FF4973">
      <w:pPr>
        <w:keepNext w:val="0"/>
        <w:spacing w:before="0"/>
        <w:ind w:left="527"/>
        <w:rPr>
          <w:rFonts w:cs="Arial"/>
          <w:color w:val="auto"/>
          <w:szCs w:val="24"/>
          <w:lang w:eastAsia="en-US"/>
        </w:rPr>
      </w:pPr>
    </w:p>
    <w:p w14:paraId="2C7120EA" w14:textId="3AC4F2E6" w:rsidR="00882EFF" w:rsidRPr="005D36E4" w:rsidRDefault="00FF4973" w:rsidP="00252A14">
      <w:pPr>
        <w:keepNext w:val="0"/>
        <w:numPr>
          <w:ilvl w:val="1"/>
          <w:numId w:val="7"/>
        </w:numPr>
        <w:tabs>
          <w:tab w:val="clear" w:pos="525"/>
        </w:tabs>
        <w:spacing w:before="0"/>
        <w:ind w:left="709" w:hanging="709"/>
        <w:rPr>
          <w:rFonts w:cs="Arial"/>
          <w:color w:val="auto"/>
          <w:szCs w:val="24"/>
          <w:lang w:eastAsia="en-US"/>
        </w:rPr>
      </w:pPr>
      <w:r w:rsidRPr="005D36E4">
        <w:rPr>
          <w:rFonts w:cs="Arial"/>
          <w:color w:val="auto"/>
          <w:szCs w:val="24"/>
        </w:rPr>
        <w:t>In addition, for commercial community facilities run for business purposes to make a</w:t>
      </w:r>
      <w:r w:rsidR="00E864C3" w:rsidRPr="005D36E4">
        <w:rPr>
          <w:rFonts w:cs="Arial"/>
          <w:color w:val="auto"/>
          <w:szCs w:val="24"/>
        </w:rPr>
        <w:t xml:space="preserve"> </w:t>
      </w:r>
      <w:r w:rsidRPr="005D36E4">
        <w:rPr>
          <w:rFonts w:cs="Arial"/>
          <w:color w:val="auto"/>
          <w:szCs w:val="24"/>
        </w:rPr>
        <w:t>profit (although there may be exceptions), such as local shops or public houses, the Council will require evidence that the facility is not viable</w:t>
      </w:r>
      <w:r w:rsidR="00F46258" w:rsidRPr="005D36E4">
        <w:rPr>
          <w:rFonts w:cs="Arial"/>
          <w:color w:val="auto"/>
          <w:szCs w:val="24"/>
        </w:rPr>
        <w:t xml:space="preserve"> in accordance with Policy SD6: Assessing Development Viability and Development Demand.</w:t>
      </w:r>
      <w:r w:rsidRPr="005D36E4">
        <w:rPr>
          <w:rFonts w:cs="Arial"/>
          <w:color w:val="auto"/>
          <w:szCs w:val="24"/>
        </w:rPr>
        <w:t xml:space="preserve"> The Council will utilise existing tools such as The Campaign for Real Ale “Public House Viability </w:t>
      </w:r>
      <w:r w:rsidR="00CB0854" w:rsidRPr="005D36E4">
        <w:rPr>
          <w:rFonts w:cs="Arial"/>
          <w:color w:val="auto"/>
          <w:szCs w:val="24"/>
        </w:rPr>
        <w:t>Test” or</w:t>
      </w:r>
      <w:r w:rsidRPr="005D36E4">
        <w:rPr>
          <w:rFonts w:cs="Arial"/>
          <w:color w:val="auto"/>
          <w:szCs w:val="24"/>
        </w:rPr>
        <w:t xml:space="preserve"> other similar evaluation method to help assess the viability of the business and to make an informed judgement on the need for the facility in the locality.  </w:t>
      </w:r>
    </w:p>
    <w:p w14:paraId="5EA45C74" w14:textId="627BC8A6" w:rsidR="00882EFF" w:rsidRDefault="00882EFF" w:rsidP="00882EFF">
      <w:pPr>
        <w:keepNext w:val="0"/>
        <w:spacing w:before="0"/>
        <w:rPr>
          <w:rFonts w:cs="Arial"/>
          <w:color w:val="auto"/>
          <w:szCs w:val="24"/>
          <w:lang w:eastAsia="en-US"/>
        </w:rPr>
      </w:pPr>
    </w:p>
    <w:p w14:paraId="2495A286" w14:textId="77777777" w:rsidR="00897CE3" w:rsidRDefault="00897CE3" w:rsidP="00163F59">
      <w:pPr>
        <w:keepNext w:val="0"/>
        <w:framePr w:w="8016" w:wrap="auto" w:hAnchor="text" w:x="2127"/>
        <w:spacing w:before="0"/>
        <w:rPr>
          <w:rFonts w:cs="Arial"/>
          <w:b/>
          <w:bCs/>
          <w:iCs/>
          <w:color w:val="auto"/>
          <w:sz w:val="28"/>
          <w:szCs w:val="28"/>
          <w:lang w:eastAsia="en-US"/>
        </w:rPr>
        <w:sectPr w:rsidR="00897CE3" w:rsidSect="00163F59">
          <w:headerReference w:type="default" r:id="rId59"/>
          <w:pgSz w:w="11906" w:h="16838" w:code="9"/>
          <w:pgMar w:top="1258" w:right="1133" w:bottom="1079" w:left="1134" w:header="709" w:footer="709" w:gutter="0"/>
          <w:cols w:space="708"/>
          <w:docGrid w:linePitch="360"/>
        </w:sectPr>
      </w:pPr>
      <w:bookmarkStart w:id="332" w:name="_Toc465075244"/>
    </w:p>
    <w:p w14:paraId="0FE5A365" w14:textId="4765B9CC" w:rsidR="004D690C" w:rsidRPr="0086757D" w:rsidRDefault="004D690C" w:rsidP="00CF07B9">
      <w:pPr>
        <w:pStyle w:val="Heading1"/>
      </w:pPr>
      <w:bookmarkStart w:id="333" w:name="_Toc145511623"/>
      <w:bookmarkStart w:id="334" w:name="_Hlk138171978"/>
      <w:r w:rsidRPr="0086757D">
        <w:lastRenderedPageBreak/>
        <w:t>Appendix 1 - Glossary of Terms and Abbreviations</w:t>
      </w:r>
      <w:bookmarkEnd w:id="332"/>
      <w:bookmarkEnd w:id="333"/>
    </w:p>
    <w:p w14:paraId="77BA1F99" w14:textId="77777777" w:rsidR="004D690C" w:rsidRPr="00263F59" w:rsidRDefault="004D690C" w:rsidP="004D690C">
      <w:pPr>
        <w:keepNext w:val="0"/>
        <w:spacing w:before="0"/>
        <w:rPr>
          <w:rFonts w:cs="Arial"/>
          <w:b/>
          <w:bCs/>
          <w:color w:val="auto"/>
          <w:szCs w:val="24"/>
        </w:rPr>
      </w:pPr>
    </w:p>
    <w:p w14:paraId="3A5B1C7B" w14:textId="77777777" w:rsidR="004D690C" w:rsidRPr="003C7E62" w:rsidRDefault="004D690C" w:rsidP="004D690C">
      <w:pPr>
        <w:keepNext w:val="0"/>
        <w:autoSpaceDE w:val="0"/>
        <w:autoSpaceDN w:val="0"/>
        <w:adjustRightInd w:val="0"/>
        <w:spacing w:before="0"/>
        <w:rPr>
          <w:rFonts w:cs="Arial"/>
          <w:strike/>
          <w:color w:val="auto"/>
        </w:rPr>
      </w:pPr>
      <w:r w:rsidRPr="003C7E62">
        <w:rPr>
          <w:rFonts w:cs="Arial"/>
          <w:b/>
          <w:color w:val="auto"/>
        </w:rPr>
        <w:t>Affordable Housing:</w:t>
      </w:r>
      <w:r w:rsidRPr="003C7E62">
        <w:rPr>
          <w:rFonts w:cs="Arial"/>
          <w:color w:val="auto"/>
        </w:rPr>
        <w:t xml:space="preserve"> </w:t>
      </w:r>
      <w:r w:rsidRPr="003C7E62">
        <w:rPr>
          <w:rFonts w:cs="Arial"/>
          <w:color w:val="auto"/>
          <w:szCs w:val="24"/>
        </w:rPr>
        <w:t xml:space="preserve">A definition of affordable housing is set out in the Glossary of the National Planning Policy Framework. </w:t>
      </w:r>
    </w:p>
    <w:p w14:paraId="546063BD" w14:textId="77777777" w:rsidR="004D690C" w:rsidRPr="00263F59" w:rsidRDefault="004D690C" w:rsidP="004D690C">
      <w:pPr>
        <w:keepNext w:val="0"/>
        <w:autoSpaceDE w:val="0"/>
        <w:autoSpaceDN w:val="0"/>
        <w:adjustRightInd w:val="0"/>
        <w:spacing w:before="0"/>
        <w:rPr>
          <w:rFonts w:cs="Arial"/>
          <w:color w:val="auto"/>
          <w:szCs w:val="24"/>
        </w:rPr>
      </w:pPr>
    </w:p>
    <w:p w14:paraId="10DF2753" w14:textId="77777777" w:rsidR="004D690C" w:rsidRPr="003C7E62" w:rsidRDefault="004D690C" w:rsidP="004D690C">
      <w:pPr>
        <w:keepNext w:val="0"/>
        <w:spacing w:before="0"/>
        <w:rPr>
          <w:rFonts w:cs="Arial"/>
          <w:color w:val="auto"/>
        </w:rPr>
      </w:pPr>
      <w:r w:rsidRPr="003C7E62">
        <w:rPr>
          <w:rFonts w:cs="Arial"/>
          <w:b/>
          <w:bCs/>
          <w:color w:val="auto"/>
        </w:rPr>
        <w:t>Agricultural Building:</w:t>
      </w:r>
      <w:r w:rsidRPr="003C7E62">
        <w:rPr>
          <w:rFonts w:cs="Arial"/>
          <w:color w:val="auto"/>
        </w:rPr>
        <w:t xml:space="preserve"> Is a structure designed and constructed to house farm implements, hay, grain, poultry, livestock or other horticultural products.  This structure shall not be a place of human habitation or a place of employment where agricultural products are processed, treated or packaged; nor shall it be a place used by the public.</w:t>
      </w:r>
    </w:p>
    <w:p w14:paraId="5BF45093" w14:textId="77777777" w:rsidR="004D690C" w:rsidRPr="003C7E62" w:rsidRDefault="004D690C" w:rsidP="004D690C">
      <w:pPr>
        <w:keepNext w:val="0"/>
        <w:spacing w:before="0"/>
        <w:rPr>
          <w:rFonts w:cs="Arial"/>
          <w:color w:val="auto"/>
        </w:rPr>
      </w:pPr>
    </w:p>
    <w:p w14:paraId="46C404CC" w14:textId="192ACF4D" w:rsidR="004D690C" w:rsidRPr="003C7E62" w:rsidRDefault="00E247B9" w:rsidP="004D690C">
      <w:pPr>
        <w:keepNext w:val="0"/>
        <w:spacing w:before="0"/>
        <w:rPr>
          <w:rFonts w:cs="Arial"/>
          <w:bCs/>
          <w:color w:val="auto"/>
          <w:szCs w:val="24"/>
        </w:rPr>
      </w:pPr>
      <w:r w:rsidRPr="000663FF">
        <w:rPr>
          <w:rFonts w:cs="Arial"/>
          <w:b/>
          <w:color w:val="auto"/>
          <w:szCs w:val="24"/>
        </w:rPr>
        <w:t xml:space="preserve">Ancient </w:t>
      </w:r>
      <w:r w:rsidR="004D690C" w:rsidRPr="000663FF">
        <w:rPr>
          <w:rFonts w:cs="Arial"/>
          <w:b/>
          <w:color w:val="auto"/>
          <w:szCs w:val="24"/>
        </w:rPr>
        <w:t>o</w:t>
      </w:r>
      <w:r w:rsidR="004D690C" w:rsidRPr="003C7E62">
        <w:rPr>
          <w:rFonts w:cs="Arial"/>
          <w:b/>
          <w:color w:val="auto"/>
          <w:szCs w:val="24"/>
        </w:rPr>
        <w:t>r Veteran Tree:</w:t>
      </w:r>
      <w:r w:rsidR="004D690C" w:rsidRPr="003C7E62">
        <w:rPr>
          <w:rFonts w:cs="Arial"/>
          <w:color w:val="auto"/>
          <w:szCs w:val="24"/>
        </w:rPr>
        <w:t xml:space="preserve"> A tree which, because of its great age, size or condition is of exceptional value for wildlife, in the landscape or culturally</w:t>
      </w:r>
      <w:r w:rsidR="004D690C" w:rsidRPr="003C7E62">
        <w:rPr>
          <w:rFonts w:cs="Arial"/>
          <w:bCs/>
          <w:color w:val="auto"/>
          <w:szCs w:val="24"/>
        </w:rPr>
        <w:t>.</w:t>
      </w:r>
    </w:p>
    <w:p w14:paraId="68F8E770" w14:textId="77777777" w:rsidR="004D690C" w:rsidRPr="003C7E62" w:rsidRDefault="004D690C" w:rsidP="004D690C">
      <w:pPr>
        <w:keepNext w:val="0"/>
        <w:spacing w:before="0"/>
        <w:rPr>
          <w:rFonts w:cs="Arial"/>
          <w:b/>
          <w:color w:val="auto"/>
        </w:rPr>
      </w:pPr>
    </w:p>
    <w:p w14:paraId="2FD3B205" w14:textId="6BB319BA" w:rsidR="004D690C" w:rsidRPr="003C7E62" w:rsidRDefault="004D690C" w:rsidP="004D690C">
      <w:pPr>
        <w:keepNext w:val="0"/>
        <w:spacing w:before="0"/>
        <w:rPr>
          <w:rFonts w:cs="Arial"/>
          <w:color w:val="auto"/>
        </w:rPr>
      </w:pPr>
      <w:r w:rsidRPr="003C7E62">
        <w:rPr>
          <w:rFonts w:cs="Arial"/>
          <w:b/>
          <w:color w:val="auto"/>
        </w:rPr>
        <w:t>Allocation:</w:t>
      </w:r>
      <w:r w:rsidRPr="003C7E62">
        <w:rPr>
          <w:rFonts w:cs="Arial"/>
          <w:color w:val="auto"/>
        </w:rPr>
        <w:t xml:space="preserve"> Land identified </w:t>
      </w:r>
      <w:r w:rsidR="00C52BB8">
        <w:rPr>
          <w:rFonts w:cs="Arial"/>
          <w:color w:val="auto"/>
        </w:rPr>
        <w:t xml:space="preserve">in the Local Plan </w:t>
      </w:r>
      <w:r w:rsidRPr="003C7E62">
        <w:rPr>
          <w:rFonts w:cs="Arial"/>
          <w:color w:val="auto"/>
        </w:rPr>
        <w:t>as appropriate for a specific land use.</w:t>
      </w:r>
    </w:p>
    <w:p w14:paraId="676126BB" w14:textId="77777777" w:rsidR="004D690C" w:rsidRPr="003C7E62" w:rsidRDefault="004D690C" w:rsidP="004D690C">
      <w:pPr>
        <w:keepNext w:val="0"/>
        <w:spacing w:before="0"/>
        <w:rPr>
          <w:rFonts w:cs="Arial"/>
          <w:color w:val="auto"/>
        </w:rPr>
      </w:pPr>
    </w:p>
    <w:p w14:paraId="1517C7A0" w14:textId="77777777" w:rsidR="004D690C" w:rsidRPr="003C7E62" w:rsidRDefault="004D690C" w:rsidP="004D690C">
      <w:pPr>
        <w:keepNext w:val="0"/>
        <w:spacing w:before="0"/>
        <w:rPr>
          <w:rFonts w:cs="Arial"/>
          <w:color w:val="auto"/>
        </w:rPr>
      </w:pPr>
      <w:r w:rsidRPr="003C7E62">
        <w:rPr>
          <w:rFonts w:cs="Arial"/>
          <w:b/>
          <w:color w:val="auto"/>
        </w:rPr>
        <w:t>Ancient Monument:</w:t>
      </w:r>
      <w:r w:rsidRPr="003C7E62">
        <w:rPr>
          <w:rFonts w:cs="Arial"/>
          <w:color w:val="auto"/>
        </w:rPr>
        <w:t xml:space="preserve"> A structure regarded by the Secretary of State for the Environment, Transport and the Regions as being of national importance by virtue of its historic, architectural, traditional or archaeological interest. Scheduled Ancient Monuments are listed in a schedule compiled under the requirements of Section 1 of the </w:t>
      </w:r>
      <w:smartTag w:uri="urn:schemas-microsoft-com:office:smarttags" w:element="place">
        <w:smartTag w:uri="urn:schemas-microsoft-com:office:smarttags" w:element="PlaceName">
          <w:r w:rsidRPr="003C7E62">
            <w:rPr>
              <w:rFonts w:cs="Arial"/>
              <w:color w:val="auto"/>
            </w:rPr>
            <w:t>Ancient</w:t>
          </w:r>
        </w:smartTag>
        <w:r w:rsidRPr="003C7E62">
          <w:rPr>
            <w:rFonts w:cs="Arial"/>
            <w:color w:val="auto"/>
          </w:rPr>
          <w:t xml:space="preserve"> </w:t>
        </w:r>
        <w:smartTag w:uri="urn:schemas-microsoft-com:office:smarttags" w:element="PlaceType">
          <w:r w:rsidRPr="003C7E62">
            <w:rPr>
              <w:rFonts w:cs="Arial"/>
              <w:color w:val="auto"/>
            </w:rPr>
            <w:t>Monuments</w:t>
          </w:r>
        </w:smartTag>
      </w:smartTag>
      <w:r w:rsidRPr="003C7E62">
        <w:rPr>
          <w:rFonts w:cs="Arial"/>
          <w:color w:val="auto"/>
        </w:rPr>
        <w:t xml:space="preserve"> and Archaeological Areas Act, 1979.</w:t>
      </w:r>
    </w:p>
    <w:p w14:paraId="4C5209FC" w14:textId="77777777" w:rsidR="004D690C" w:rsidRPr="003C7E62" w:rsidRDefault="004D690C" w:rsidP="004D690C">
      <w:pPr>
        <w:keepNext w:val="0"/>
        <w:spacing w:before="0"/>
        <w:rPr>
          <w:rFonts w:cs="Arial"/>
          <w:color w:val="auto"/>
        </w:rPr>
      </w:pPr>
    </w:p>
    <w:p w14:paraId="0255DF9E" w14:textId="77777777" w:rsidR="004D690C" w:rsidRPr="003C7E62" w:rsidRDefault="004D690C" w:rsidP="004D690C">
      <w:pPr>
        <w:keepNext w:val="0"/>
        <w:spacing w:before="0"/>
        <w:rPr>
          <w:rFonts w:cs="Arial"/>
          <w:color w:val="auto"/>
        </w:rPr>
      </w:pPr>
      <w:r w:rsidRPr="003C7E62">
        <w:rPr>
          <w:rFonts w:cs="Arial"/>
          <w:b/>
          <w:color w:val="auto"/>
        </w:rPr>
        <w:t>Annual Monitoring Report (AMR):</w:t>
      </w:r>
      <w:r w:rsidRPr="003C7E62">
        <w:rPr>
          <w:rFonts w:cs="Arial"/>
          <w:color w:val="auto"/>
        </w:rPr>
        <w:t xml:space="preserve"> A report which is produced annually to establish what is happening now and what may happen in the future and compare trends against existing Local Plan policies to determine if changes need to be made.</w:t>
      </w:r>
    </w:p>
    <w:p w14:paraId="3370666C" w14:textId="77777777" w:rsidR="004D690C" w:rsidRPr="003C7E62" w:rsidRDefault="004D690C" w:rsidP="004D690C">
      <w:pPr>
        <w:keepNext w:val="0"/>
        <w:spacing w:before="0"/>
        <w:rPr>
          <w:rFonts w:cs="Arial"/>
          <w:color w:val="auto"/>
        </w:rPr>
      </w:pPr>
    </w:p>
    <w:p w14:paraId="7A1615A6" w14:textId="77777777" w:rsidR="004D690C" w:rsidRDefault="004D690C" w:rsidP="004D690C">
      <w:pPr>
        <w:keepNext w:val="0"/>
        <w:spacing w:before="0"/>
        <w:rPr>
          <w:rFonts w:cs="Arial"/>
          <w:color w:val="auto"/>
        </w:rPr>
      </w:pPr>
      <w:r w:rsidRPr="003C7E62">
        <w:rPr>
          <w:rFonts w:cs="Arial"/>
          <w:b/>
          <w:color w:val="auto"/>
        </w:rPr>
        <w:t xml:space="preserve">Archaeological Interest: </w:t>
      </w:r>
      <w:r w:rsidRPr="003C7E62">
        <w:rPr>
          <w:rFonts w:cs="Arial"/>
          <w:color w:val="auto"/>
        </w:rPr>
        <w:t>There will be archaeological interest in a heritage asset if it holds, or potentially may hold, evidence of the past human activity worthy of expert investigation at some point.  Heritage assets with archaeological interest are the primary source of evidence about the substance and evolution of places, and of the people and cultures that made them.</w:t>
      </w:r>
    </w:p>
    <w:p w14:paraId="64919CC9" w14:textId="77777777" w:rsidR="002D2E81" w:rsidRDefault="002D2E81" w:rsidP="004D690C">
      <w:pPr>
        <w:keepNext w:val="0"/>
        <w:spacing w:before="0"/>
        <w:rPr>
          <w:rFonts w:cs="Arial"/>
          <w:color w:val="auto"/>
        </w:rPr>
      </w:pPr>
    </w:p>
    <w:p w14:paraId="385AF817" w14:textId="128DC349" w:rsidR="002D2E81" w:rsidRPr="000663FF" w:rsidRDefault="002D2E81" w:rsidP="004D690C">
      <w:pPr>
        <w:keepNext w:val="0"/>
        <w:spacing w:before="0"/>
        <w:rPr>
          <w:rFonts w:cs="Arial"/>
          <w:color w:val="auto"/>
        </w:rPr>
      </w:pPr>
      <w:r w:rsidRPr="000663FF">
        <w:rPr>
          <w:rFonts w:cs="Arial"/>
          <w:b/>
          <w:bCs/>
          <w:color w:val="auto"/>
        </w:rPr>
        <w:t xml:space="preserve">Archaeological Desk-Based Assessment: </w:t>
      </w:r>
      <w:r w:rsidRPr="000663FF">
        <w:rPr>
          <w:rFonts w:cs="Arial"/>
          <w:color w:val="auto"/>
        </w:rPr>
        <w:t xml:space="preserve">Is an assessment of the known or potential archaeological resource within a specified area or site, consisting of a collation of existing written and graphic information </w:t>
      </w:r>
      <w:proofErr w:type="gramStart"/>
      <w:r w:rsidRPr="000663FF">
        <w:rPr>
          <w:rFonts w:cs="Arial"/>
          <w:color w:val="auto"/>
        </w:rPr>
        <w:t>in order to</w:t>
      </w:r>
      <w:proofErr w:type="gramEnd"/>
      <w:r w:rsidRPr="000663FF">
        <w:rPr>
          <w:rFonts w:cs="Arial"/>
          <w:color w:val="auto"/>
        </w:rPr>
        <w:t xml:space="preserve"> identify the likely character, extent, quality and worth of the known or potential archaeological resource in a local, regional or national context as appropriate.</w:t>
      </w:r>
    </w:p>
    <w:p w14:paraId="3C497F09" w14:textId="77777777" w:rsidR="004D690C" w:rsidRPr="002D2E81" w:rsidRDefault="004D690C" w:rsidP="004D690C">
      <w:pPr>
        <w:keepNext w:val="0"/>
        <w:spacing w:before="0"/>
        <w:rPr>
          <w:rFonts w:cs="Arial"/>
          <w:b/>
          <w:color w:val="4472C4" w:themeColor="accent1"/>
        </w:rPr>
      </w:pPr>
    </w:p>
    <w:p w14:paraId="6A9B4E50" w14:textId="32AA5765" w:rsidR="004D690C" w:rsidRPr="003C7E62" w:rsidRDefault="004D690C" w:rsidP="004D690C">
      <w:pPr>
        <w:keepNext w:val="0"/>
        <w:autoSpaceDE w:val="0"/>
        <w:autoSpaceDN w:val="0"/>
        <w:adjustRightInd w:val="0"/>
        <w:spacing w:before="0"/>
        <w:rPr>
          <w:rFonts w:cs="Arial"/>
          <w:color w:val="000000"/>
        </w:rPr>
      </w:pPr>
      <w:r w:rsidRPr="003C7E62">
        <w:rPr>
          <w:rFonts w:cs="Arial"/>
          <w:b/>
          <w:color w:val="auto"/>
        </w:rPr>
        <w:t>Basic Payment Scheme</w:t>
      </w:r>
      <w:r w:rsidRPr="003C7E62">
        <w:rPr>
          <w:rFonts w:cs="Arial"/>
          <w:color w:val="auto"/>
        </w:rPr>
        <w:t xml:space="preserve">: </w:t>
      </w:r>
      <w:r w:rsidR="00F05D84">
        <w:rPr>
          <w:rFonts w:cs="Arial"/>
          <w:color w:val="auto"/>
        </w:rPr>
        <w:t xml:space="preserve">Was part </w:t>
      </w:r>
      <w:r w:rsidRPr="003C7E62">
        <w:rPr>
          <w:rFonts w:cs="Arial"/>
          <w:color w:val="auto"/>
          <w:lang w:val="en-US"/>
        </w:rPr>
        <w:t xml:space="preserve">of the Common Agricultural Policy (CAP), </w:t>
      </w:r>
      <w:r w:rsidR="00F05D84">
        <w:rPr>
          <w:rFonts w:cs="Arial"/>
          <w:color w:val="auto"/>
          <w:lang w:val="en-US"/>
        </w:rPr>
        <w:t xml:space="preserve">as </w:t>
      </w:r>
      <w:r w:rsidRPr="003C7E62">
        <w:rPr>
          <w:rFonts w:cs="Arial"/>
          <w:color w:val="auto"/>
          <w:lang w:val="en-US"/>
        </w:rPr>
        <w:t xml:space="preserve">the principal agricultural subsidy scheme in the European Union.  Under the scheme farmers have freedom to farm to the demands of the market as payments are not linked to production, and environmentally friendly farming practices, known </w:t>
      </w:r>
      <w:r w:rsidRPr="003C7E62">
        <w:rPr>
          <w:rFonts w:cs="Arial"/>
          <w:color w:val="000000"/>
          <w:lang w:val="en-US"/>
        </w:rPr>
        <w:t xml:space="preserve">as </w:t>
      </w:r>
      <w:hyperlink r:id="rId60" w:history="1">
        <w:r w:rsidRPr="003C7E62">
          <w:rPr>
            <w:rFonts w:cs="Arial"/>
            <w:color w:val="000000"/>
            <w:u w:val="single"/>
            <w:lang w:val="en-US"/>
          </w:rPr>
          <w:t>cross compliance</w:t>
        </w:r>
      </w:hyperlink>
      <w:r w:rsidRPr="003C7E62">
        <w:rPr>
          <w:rFonts w:cs="Arial"/>
          <w:color w:val="000000"/>
          <w:lang w:val="en-US"/>
        </w:rPr>
        <w:t>, are acknowledged.</w:t>
      </w:r>
    </w:p>
    <w:p w14:paraId="63184F4B" w14:textId="77777777" w:rsidR="004D690C" w:rsidRPr="003C7E62" w:rsidRDefault="004D690C" w:rsidP="004D690C">
      <w:pPr>
        <w:keepNext w:val="0"/>
        <w:spacing w:before="0"/>
        <w:rPr>
          <w:rFonts w:cs="Arial"/>
          <w:b/>
          <w:color w:val="auto"/>
        </w:rPr>
      </w:pPr>
    </w:p>
    <w:p w14:paraId="36A6D03B" w14:textId="77777777" w:rsidR="004D690C" w:rsidRPr="003C7E62" w:rsidRDefault="004D690C" w:rsidP="004D690C">
      <w:pPr>
        <w:keepNext w:val="0"/>
        <w:spacing w:before="0"/>
        <w:rPr>
          <w:rFonts w:cs="Arial"/>
          <w:color w:val="auto"/>
        </w:rPr>
      </w:pPr>
      <w:r w:rsidRPr="003C7E62">
        <w:rPr>
          <w:rFonts w:cs="Arial"/>
          <w:b/>
          <w:color w:val="auto"/>
        </w:rPr>
        <w:t>Best and most versatile agricultural land:</w:t>
      </w:r>
      <w:r w:rsidRPr="003C7E62">
        <w:rPr>
          <w:rFonts w:cs="Arial"/>
          <w:color w:val="auto"/>
        </w:rPr>
        <w:t xml:space="preserve"> Land in grades 1, 2 and 3a of the Agricultural Land Classification.</w:t>
      </w:r>
    </w:p>
    <w:p w14:paraId="388F350F" w14:textId="77777777" w:rsidR="004D690C" w:rsidRPr="003C7E62" w:rsidRDefault="004D690C" w:rsidP="004D690C">
      <w:pPr>
        <w:keepNext w:val="0"/>
        <w:spacing w:before="0"/>
        <w:rPr>
          <w:rFonts w:cs="Arial"/>
          <w:b/>
          <w:color w:val="auto"/>
        </w:rPr>
      </w:pPr>
    </w:p>
    <w:p w14:paraId="68F3612E" w14:textId="77777777" w:rsidR="004D690C" w:rsidRPr="003C7E62" w:rsidRDefault="004D690C" w:rsidP="004D690C">
      <w:pPr>
        <w:keepNext w:val="0"/>
        <w:spacing w:before="0"/>
        <w:rPr>
          <w:rFonts w:cs="Arial"/>
          <w:color w:val="auto"/>
        </w:rPr>
      </w:pPr>
      <w:r w:rsidRPr="003C7E62">
        <w:rPr>
          <w:rFonts w:cs="Arial"/>
          <w:b/>
          <w:color w:val="auto"/>
        </w:rPr>
        <w:t>Biodiversity:</w:t>
      </w:r>
      <w:r w:rsidRPr="003C7E62">
        <w:rPr>
          <w:rFonts w:cs="Arial"/>
          <w:color w:val="auto"/>
        </w:rPr>
        <w:t xml:space="preserve"> The range of life forms which constitute the living world, from microscopic organisms to the largest tree or animal, and the habitat and ecosystem in which they live.</w:t>
      </w:r>
    </w:p>
    <w:p w14:paraId="5BE40EA8" w14:textId="77777777" w:rsidR="004D690C" w:rsidRPr="003C7E62" w:rsidRDefault="004D690C" w:rsidP="004D690C">
      <w:pPr>
        <w:keepNext w:val="0"/>
        <w:spacing w:before="0"/>
        <w:rPr>
          <w:rFonts w:cs="Arial"/>
          <w:color w:val="auto"/>
        </w:rPr>
      </w:pPr>
    </w:p>
    <w:p w14:paraId="571320EA" w14:textId="3E4F7DA7" w:rsidR="004D690C" w:rsidRPr="003C7E62" w:rsidRDefault="004D690C" w:rsidP="004D690C">
      <w:pPr>
        <w:keepNext w:val="0"/>
        <w:autoSpaceDE w:val="0"/>
        <w:autoSpaceDN w:val="0"/>
        <w:adjustRightInd w:val="0"/>
        <w:spacing w:before="0"/>
        <w:rPr>
          <w:rFonts w:cs="Arial"/>
          <w:color w:val="auto"/>
          <w:szCs w:val="24"/>
        </w:rPr>
      </w:pPr>
      <w:r w:rsidRPr="003C7E62">
        <w:rPr>
          <w:rFonts w:eastAsia="Calibri" w:cs="Arial"/>
          <w:b/>
          <w:color w:val="auto"/>
          <w:szCs w:val="24"/>
          <w:lang w:eastAsia="en-US"/>
        </w:rPr>
        <w:lastRenderedPageBreak/>
        <w:t>Blue Infrastructure (space)</w:t>
      </w:r>
      <w:r w:rsidRPr="003C7E62">
        <w:rPr>
          <w:rFonts w:eastAsia="Calibri" w:cs="Arial"/>
          <w:color w:val="auto"/>
          <w:szCs w:val="24"/>
          <w:lang w:eastAsia="en-US"/>
        </w:rPr>
        <w:t xml:space="preserve">: Encompasses </w:t>
      </w:r>
      <w:r w:rsidRPr="000663FF">
        <w:rPr>
          <w:rFonts w:eastAsia="Calibri" w:cs="Arial"/>
          <w:color w:val="auto"/>
          <w:szCs w:val="24"/>
          <w:lang w:eastAsia="en-US"/>
        </w:rPr>
        <w:t xml:space="preserve">all </w:t>
      </w:r>
      <w:r w:rsidR="00BC77F4" w:rsidRPr="000663FF">
        <w:rPr>
          <w:rFonts w:eastAsia="Calibri" w:cs="Arial"/>
          <w:color w:val="auto"/>
          <w:szCs w:val="24"/>
          <w:lang w:eastAsia="en-US"/>
        </w:rPr>
        <w:t xml:space="preserve">watercourses </w:t>
      </w:r>
      <w:r w:rsidRPr="003C7E62">
        <w:rPr>
          <w:rFonts w:eastAsia="Calibri" w:cs="Arial"/>
          <w:color w:val="auto"/>
          <w:szCs w:val="24"/>
          <w:lang w:eastAsia="en-US"/>
        </w:rPr>
        <w:t>and wetland</w:t>
      </w:r>
      <w:r w:rsidR="00BC77F4">
        <w:rPr>
          <w:rFonts w:eastAsia="Calibri" w:cs="Arial"/>
          <w:color w:val="auto"/>
          <w:szCs w:val="24"/>
          <w:lang w:eastAsia="en-US"/>
        </w:rPr>
        <w:t>s</w:t>
      </w:r>
      <w:r w:rsidRPr="003C7E62">
        <w:rPr>
          <w:rFonts w:eastAsia="Calibri" w:cs="Arial"/>
          <w:color w:val="auto"/>
          <w:szCs w:val="24"/>
          <w:lang w:eastAsia="en-US"/>
        </w:rPr>
        <w:t xml:space="preserve"> </w:t>
      </w:r>
      <w:r w:rsidRPr="00BC77F4">
        <w:rPr>
          <w:rFonts w:eastAsia="Calibri" w:cs="Arial"/>
          <w:strike/>
          <w:color w:val="auto"/>
          <w:szCs w:val="24"/>
          <w:lang w:eastAsia="en-US"/>
        </w:rPr>
        <w:t>network</w:t>
      </w:r>
      <w:r w:rsidRPr="003C7E62">
        <w:rPr>
          <w:rFonts w:eastAsia="Calibri" w:cs="Arial"/>
          <w:color w:val="auto"/>
          <w:szCs w:val="24"/>
          <w:lang w:eastAsia="en-US"/>
        </w:rPr>
        <w:t xml:space="preserve"> (rivers, streams, lakes, canals, ponds, reservoirs wetlands, etc.)  </w:t>
      </w:r>
      <w:r w:rsidRPr="003C7E62">
        <w:rPr>
          <w:rFonts w:cs="Arial"/>
          <w:color w:val="auto"/>
          <w:szCs w:val="24"/>
        </w:rPr>
        <w:t>These ‘blue’ features</w:t>
      </w:r>
      <w:r w:rsidRPr="003C7E62">
        <w:rPr>
          <w:rFonts w:eastAsia="Calibri" w:cs="Arial"/>
          <w:color w:val="auto"/>
          <w:szCs w:val="24"/>
          <w:lang w:eastAsia="en-US"/>
        </w:rPr>
        <w:t xml:space="preserve"> can </w:t>
      </w:r>
      <w:r w:rsidRPr="003C7E62">
        <w:rPr>
          <w:rFonts w:cs="Arial"/>
          <w:color w:val="auto"/>
          <w:szCs w:val="24"/>
        </w:rPr>
        <w:t>play an important part within a green</w:t>
      </w:r>
      <w:r w:rsidRPr="003C7E62">
        <w:rPr>
          <w:rFonts w:eastAsia="Calibri" w:cs="Arial"/>
          <w:color w:val="auto"/>
          <w:szCs w:val="24"/>
          <w:lang w:eastAsia="en-US"/>
        </w:rPr>
        <w:t xml:space="preserve"> </w:t>
      </w:r>
      <w:r w:rsidRPr="003C7E62">
        <w:rPr>
          <w:rFonts w:cs="Arial"/>
          <w:color w:val="auto"/>
          <w:szCs w:val="24"/>
        </w:rPr>
        <w:t>infrastructure strategy.</w:t>
      </w:r>
    </w:p>
    <w:p w14:paraId="13E2A1B4" w14:textId="77777777" w:rsidR="004D690C" w:rsidRPr="003C7E62" w:rsidRDefault="004D690C" w:rsidP="004D690C">
      <w:pPr>
        <w:keepNext w:val="0"/>
        <w:autoSpaceDE w:val="0"/>
        <w:autoSpaceDN w:val="0"/>
        <w:adjustRightInd w:val="0"/>
        <w:spacing w:before="0"/>
        <w:rPr>
          <w:rFonts w:eastAsia="Calibri" w:cs="Arial"/>
          <w:color w:val="auto"/>
          <w:szCs w:val="24"/>
          <w:lang w:eastAsia="en-US"/>
        </w:rPr>
      </w:pPr>
    </w:p>
    <w:p w14:paraId="7862310E" w14:textId="77777777" w:rsidR="004D690C" w:rsidRPr="003C7E62" w:rsidRDefault="004D690C" w:rsidP="004D690C">
      <w:pPr>
        <w:keepNext w:val="0"/>
        <w:spacing w:before="0"/>
        <w:rPr>
          <w:rFonts w:cs="Arial"/>
          <w:color w:val="auto"/>
        </w:rPr>
      </w:pPr>
      <w:r w:rsidRPr="003C7E62">
        <w:rPr>
          <w:rFonts w:cs="Arial"/>
          <w:b/>
          <w:color w:val="auto"/>
        </w:rPr>
        <w:t xml:space="preserve">BREEAM: </w:t>
      </w:r>
      <w:r w:rsidRPr="003C7E62">
        <w:rPr>
          <w:rFonts w:cs="Arial"/>
          <w:color w:val="auto"/>
        </w:rPr>
        <w:t>An Environmental Assessment Method used to assess the environmental performance of both new and existing buildings.  It is regarded by the UK’s construction and property sectors as the measure of best practice in environmental design and management.</w:t>
      </w:r>
    </w:p>
    <w:p w14:paraId="6A00EEE7" w14:textId="77777777" w:rsidR="004D690C" w:rsidRPr="003C7E62" w:rsidRDefault="004D690C" w:rsidP="004D690C">
      <w:pPr>
        <w:keepNext w:val="0"/>
        <w:spacing w:before="0"/>
        <w:rPr>
          <w:rFonts w:cs="Arial"/>
          <w:color w:val="auto"/>
        </w:rPr>
      </w:pPr>
    </w:p>
    <w:p w14:paraId="40DA07D5" w14:textId="77777777" w:rsidR="004D690C" w:rsidRPr="003C7E62" w:rsidRDefault="004D690C" w:rsidP="004D690C">
      <w:pPr>
        <w:keepNext w:val="0"/>
        <w:spacing w:before="0"/>
        <w:rPr>
          <w:rFonts w:cs="Arial"/>
          <w:color w:val="auto"/>
        </w:rPr>
      </w:pPr>
      <w:r w:rsidRPr="003C7E62">
        <w:rPr>
          <w:rFonts w:cs="Arial"/>
          <w:b/>
          <w:color w:val="auto"/>
        </w:rPr>
        <w:t xml:space="preserve">Brownfield Land: </w:t>
      </w:r>
      <w:r w:rsidRPr="003C7E62">
        <w:rPr>
          <w:rFonts w:cs="Arial"/>
          <w:color w:val="auto"/>
        </w:rPr>
        <w:t>A general term used to define land which has been previously developed.  It excludes land that was previously developed but where the remains of permanent structure or fixed surface structures have blended into the landscape in the progress of time (See NPPF Glossary ‘Previously developed land’.)</w:t>
      </w:r>
    </w:p>
    <w:p w14:paraId="076B5026" w14:textId="77777777" w:rsidR="004D690C" w:rsidRPr="003C7E62" w:rsidRDefault="004D690C" w:rsidP="004D690C">
      <w:pPr>
        <w:keepNext w:val="0"/>
        <w:spacing w:before="0"/>
        <w:rPr>
          <w:rFonts w:cs="Arial"/>
          <w:color w:val="auto"/>
        </w:rPr>
      </w:pPr>
    </w:p>
    <w:p w14:paraId="7F2D0037" w14:textId="7E559A47" w:rsidR="00C154B9" w:rsidRPr="000663FF" w:rsidRDefault="00C154B9" w:rsidP="004D690C">
      <w:pPr>
        <w:keepNext w:val="0"/>
        <w:spacing w:before="0"/>
        <w:rPr>
          <w:rFonts w:cs="Arial"/>
          <w:bCs/>
          <w:color w:val="auto"/>
        </w:rPr>
      </w:pPr>
      <w:r w:rsidRPr="000663FF">
        <w:rPr>
          <w:rFonts w:cs="Arial"/>
          <w:b/>
          <w:color w:val="auto"/>
        </w:rPr>
        <w:t>Bus Service Improvement Plan (BSIP)</w:t>
      </w:r>
      <w:r w:rsidR="00723572" w:rsidRPr="000663FF">
        <w:rPr>
          <w:rFonts w:cs="Arial"/>
          <w:b/>
          <w:color w:val="auto"/>
        </w:rPr>
        <w:t>:</w:t>
      </w:r>
      <w:r w:rsidRPr="000663FF">
        <w:rPr>
          <w:rFonts w:cs="Arial"/>
          <w:b/>
          <w:color w:val="auto"/>
        </w:rPr>
        <w:t xml:space="preserve"> </w:t>
      </w:r>
      <w:r w:rsidR="00723572" w:rsidRPr="000663FF">
        <w:rPr>
          <w:rFonts w:cs="Arial"/>
          <w:bCs/>
          <w:color w:val="auto"/>
        </w:rPr>
        <w:t>Sets out how local transport authorities (LTAs) and bus operators can work together to develop a bus service improvement plan which is indented to improve bus services.</w:t>
      </w:r>
    </w:p>
    <w:p w14:paraId="2DCA1203" w14:textId="77777777" w:rsidR="00C154B9" w:rsidRPr="000663FF" w:rsidRDefault="00C154B9" w:rsidP="004D690C">
      <w:pPr>
        <w:keepNext w:val="0"/>
        <w:spacing w:before="0"/>
        <w:rPr>
          <w:rFonts w:cs="Arial"/>
          <w:b/>
          <w:color w:val="auto"/>
        </w:rPr>
      </w:pPr>
    </w:p>
    <w:p w14:paraId="3AEE6625" w14:textId="5B1B320E" w:rsidR="004D690C" w:rsidRPr="003C7E62" w:rsidRDefault="004D690C" w:rsidP="004D690C">
      <w:pPr>
        <w:keepNext w:val="0"/>
        <w:spacing w:before="0"/>
        <w:rPr>
          <w:rFonts w:cs="Arial"/>
          <w:color w:val="auto"/>
        </w:rPr>
      </w:pPr>
      <w:r w:rsidRPr="000663FF">
        <w:rPr>
          <w:rFonts w:cs="Arial"/>
          <w:b/>
          <w:color w:val="auto"/>
        </w:rPr>
        <w:t>Census of Population:</w:t>
      </w:r>
      <w:r w:rsidRPr="000663FF">
        <w:rPr>
          <w:rFonts w:cs="Arial"/>
          <w:color w:val="auto"/>
        </w:rPr>
        <w:t xml:space="preserve">  A survey </w:t>
      </w:r>
      <w:r w:rsidRPr="003C7E62">
        <w:rPr>
          <w:rFonts w:cs="Arial"/>
          <w:color w:val="auto"/>
        </w:rPr>
        <w:t xml:space="preserve">of the entire population of the United Kingdom, undertaken on a ten-yearly basis. </w:t>
      </w:r>
    </w:p>
    <w:p w14:paraId="66D176F3" w14:textId="77777777" w:rsidR="004D690C" w:rsidRPr="003C7E62" w:rsidRDefault="004D690C" w:rsidP="004D690C">
      <w:pPr>
        <w:keepNext w:val="0"/>
        <w:spacing w:before="0"/>
        <w:rPr>
          <w:rFonts w:cs="Arial"/>
          <w:color w:val="auto"/>
        </w:rPr>
      </w:pPr>
    </w:p>
    <w:p w14:paraId="0CCD3C7F" w14:textId="77777777" w:rsidR="004D690C" w:rsidRPr="003C7E62" w:rsidRDefault="004D690C" w:rsidP="004D690C">
      <w:pPr>
        <w:keepNext w:val="0"/>
        <w:spacing w:before="0"/>
        <w:rPr>
          <w:rFonts w:cs="Arial"/>
          <w:b/>
          <w:color w:val="auto"/>
        </w:rPr>
      </w:pPr>
      <w:r w:rsidRPr="003C7E62">
        <w:rPr>
          <w:rFonts w:cs="Arial"/>
          <w:b/>
          <w:color w:val="auto"/>
          <w:lang w:val="en"/>
        </w:rPr>
        <w:t>Character:</w:t>
      </w:r>
      <w:r w:rsidRPr="003C7E62">
        <w:rPr>
          <w:rFonts w:cs="Arial"/>
          <w:color w:val="auto"/>
          <w:lang w:val="en"/>
        </w:rPr>
        <w:t xml:space="preserve"> A term relating to Conservation Areas or Listed Buildings, but also to the appearance of any rural or urban location in terms of its landscape or the layout of streets and open spaces, often giving places their own distinct identity.</w:t>
      </w:r>
    </w:p>
    <w:p w14:paraId="38967D0C" w14:textId="77777777" w:rsidR="004D690C" w:rsidRPr="003C7E62" w:rsidRDefault="004D690C" w:rsidP="004D690C">
      <w:pPr>
        <w:keepNext w:val="0"/>
        <w:spacing w:before="0"/>
        <w:rPr>
          <w:rFonts w:cs="Arial"/>
          <w:b/>
          <w:color w:val="auto"/>
        </w:rPr>
      </w:pPr>
    </w:p>
    <w:p w14:paraId="004815F2" w14:textId="77777777" w:rsidR="004D690C" w:rsidRPr="003C7E62" w:rsidRDefault="004D690C" w:rsidP="004D690C">
      <w:pPr>
        <w:keepNext w:val="0"/>
        <w:spacing w:before="0"/>
        <w:rPr>
          <w:rFonts w:cs="Arial"/>
          <w:color w:val="auto"/>
        </w:rPr>
      </w:pPr>
      <w:r w:rsidRPr="003C7E62">
        <w:rPr>
          <w:rFonts w:cs="Arial"/>
          <w:b/>
          <w:color w:val="auto"/>
        </w:rPr>
        <w:t xml:space="preserve">Civic Space: </w:t>
      </w:r>
      <w:r w:rsidRPr="003C7E62">
        <w:rPr>
          <w:rFonts w:cs="Arial"/>
          <w:color w:val="auto"/>
        </w:rPr>
        <w:t>A subset of open space consisting of urban squares, markets and other paved or hard landscaped areas with a civic function.</w:t>
      </w:r>
    </w:p>
    <w:p w14:paraId="687E9D8F" w14:textId="77777777" w:rsidR="004D690C" w:rsidRPr="003C7E62" w:rsidRDefault="004D690C" w:rsidP="004D690C">
      <w:pPr>
        <w:keepNext w:val="0"/>
        <w:spacing w:before="0"/>
        <w:rPr>
          <w:rFonts w:cs="Arial"/>
          <w:b/>
          <w:color w:val="auto"/>
        </w:rPr>
      </w:pPr>
    </w:p>
    <w:p w14:paraId="5C6F5D14" w14:textId="77777777" w:rsidR="004D690C" w:rsidRPr="003C7E62" w:rsidRDefault="004D690C" w:rsidP="004D690C">
      <w:pPr>
        <w:keepNext w:val="0"/>
        <w:spacing w:before="0"/>
        <w:rPr>
          <w:rFonts w:cs="Arial"/>
          <w:color w:val="auto"/>
        </w:rPr>
      </w:pPr>
      <w:r w:rsidRPr="003C7E62">
        <w:rPr>
          <w:rFonts w:cs="Arial"/>
          <w:b/>
          <w:color w:val="auto"/>
        </w:rPr>
        <w:t xml:space="preserve">Community facilities: </w:t>
      </w:r>
      <w:r w:rsidRPr="003C7E62">
        <w:rPr>
          <w:rFonts w:cs="Arial"/>
          <w:color w:val="auto"/>
        </w:rPr>
        <w:t>Community facilities</w:t>
      </w:r>
      <w:r w:rsidRPr="003C7E62">
        <w:rPr>
          <w:rFonts w:cs="Arial"/>
          <w:b/>
          <w:color w:val="auto"/>
        </w:rPr>
        <w:t xml:space="preserve"> </w:t>
      </w:r>
      <w:r w:rsidRPr="003C7E62">
        <w:rPr>
          <w:rFonts w:cs="Arial"/>
          <w:color w:val="auto"/>
        </w:rPr>
        <w:t>are set out in the National Planning Policy Framework as including local shops, meeting places, sports venues, cultural buildings, public houses and places of worship and other local services to enhance the sustainability of communities and residential environments.</w:t>
      </w:r>
    </w:p>
    <w:p w14:paraId="3752A03B" w14:textId="77777777" w:rsidR="004D690C" w:rsidRPr="003C7E62" w:rsidRDefault="004D690C" w:rsidP="004D690C">
      <w:pPr>
        <w:keepNext w:val="0"/>
        <w:spacing w:before="0"/>
        <w:rPr>
          <w:rFonts w:cs="Arial"/>
          <w:b/>
          <w:color w:val="auto"/>
        </w:rPr>
      </w:pPr>
    </w:p>
    <w:p w14:paraId="77D9DAB6" w14:textId="77777777" w:rsidR="004D690C" w:rsidRPr="003C7E62" w:rsidRDefault="004D690C" w:rsidP="004D690C">
      <w:pPr>
        <w:keepNext w:val="0"/>
        <w:spacing w:before="0"/>
        <w:rPr>
          <w:rFonts w:cs="Arial"/>
          <w:color w:val="auto"/>
        </w:rPr>
      </w:pPr>
      <w:r w:rsidRPr="003C7E62">
        <w:rPr>
          <w:rFonts w:cs="Arial"/>
          <w:b/>
          <w:color w:val="auto"/>
        </w:rPr>
        <w:t xml:space="preserve">Comparison Goods: </w:t>
      </w:r>
      <w:r w:rsidRPr="003C7E62">
        <w:rPr>
          <w:rFonts w:cs="Arial"/>
          <w:color w:val="auto"/>
        </w:rPr>
        <w:t>A term used in retailing to indicate goods purchased for longer term use and likely to be subject to ‘comparison’ between suppliers before purchase. For example, clothing, footwear, household goods, books, stationery, chemist goods, photographic goods, jewellery, cycles, pushchairs.</w:t>
      </w:r>
    </w:p>
    <w:p w14:paraId="7BA86BCE" w14:textId="77777777" w:rsidR="004D690C" w:rsidRPr="003C7E62" w:rsidRDefault="004D690C" w:rsidP="004D690C">
      <w:pPr>
        <w:keepNext w:val="0"/>
        <w:tabs>
          <w:tab w:val="left" w:pos="680"/>
        </w:tabs>
        <w:spacing w:before="0"/>
        <w:rPr>
          <w:rFonts w:eastAsia="Arial" w:cs="Arial"/>
          <w:b/>
          <w:bCs/>
          <w:iCs/>
          <w:color w:val="auto"/>
          <w:szCs w:val="24"/>
        </w:rPr>
      </w:pPr>
    </w:p>
    <w:p w14:paraId="073CA910" w14:textId="77777777" w:rsidR="004D690C" w:rsidRPr="003C7E62" w:rsidRDefault="004D690C" w:rsidP="004D690C">
      <w:pPr>
        <w:keepNext w:val="0"/>
        <w:tabs>
          <w:tab w:val="left" w:pos="680"/>
        </w:tabs>
        <w:spacing w:before="0"/>
        <w:rPr>
          <w:rFonts w:eastAsia="Arial" w:cs="Arial"/>
          <w:color w:val="auto"/>
          <w:szCs w:val="24"/>
        </w:rPr>
      </w:pPr>
      <w:r w:rsidRPr="003C7E62">
        <w:rPr>
          <w:rFonts w:eastAsia="Arial" w:cs="Arial"/>
          <w:b/>
          <w:bCs/>
          <w:iCs/>
          <w:color w:val="auto"/>
          <w:szCs w:val="24"/>
        </w:rPr>
        <w:t xml:space="preserve">Conversion Method Statement: </w:t>
      </w:r>
      <w:r w:rsidRPr="003C7E62">
        <w:rPr>
          <w:rFonts w:eastAsia="Arial" w:cs="Arial"/>
          <w:color w:val="auto"/>
          <w:szCs w:val="24"/>
        </w:rPr>
        <w:t xml:space="preserve">A Conversion Method Statement sets out the specific programme of works to be undertaken </w:t>
      </w:r>
      <w:proofErr w:type="gramStart"/>
      <w:r w:rsidRPr="003C7E62">
        <w:rPr>
          <w:rFonts w:eastAsia="Arial" w:cs="Arial"/>
          <w:color w:val="auto"/>
          <w:szCs w:val="24"/>
        </w:rPr>
        <w:t>in order to</w:t>
      </w:r>
      <w:proofErr w:type="gramEnd"/>
      <w:r w:rsidRPr="003C7E62">
        <w:rPr>
          <w:rFonts w:eastAsia="Arial" w:cs="Arial"/>
          <w:color w:val="auto"/>
          <w:szCs w:val="24"/>
        </w:rPr>
        <w:t xml:space="preserve"> convert a building and should be submitted as part of a planning application for the conversion of a building.</w:t>
      </w:r>
    </w:p>
    <w:p w14:paraId="3D2E7B97" w14:textId="77777777" w:rsidR="004D690C" w:rsidRPr="003C7E62" w:rsidRDefault="004D690C" w:rsidP="004D690C">
      <w:pPr>
        <w:keepNext w:val="0"/>
        <w:spacing w:before="0"/>
        <w:rPr>
          <w:rFonts w:cs="Arial"/>
          <w:b/>
          <w:color w:val="auto"/>
        </w:rPr>
      </w:pPr>
    </w:p>
    <w:p w14:paraId="3B483336" w14:textId="77777777" w:rsidR="004D690C" w:rsidRPr="003C7E62" w:rsidRDefault="004D690C" w:rsidP="004D690C">
      <w:pPr>
        <w:keepNext w:val="0"/>
        <w:spacing w:before="0"/>
        <w:rPr>
          <w:rFonts w:cs="Arial"/>
          <w:color w:val="auto"/>
        </w:rPr>
      </w:pPr>
      <w:r w:rsidRPr="003C7E62">
        <w:rPr>
          <w:rFonts w:cs="Arial"/>
          <w:b/>
          <w:color w:val="auto"/>
        </w:rPr>
        <w:t>Conservation Area:</w:t>
      </w:r>
      <w:r w:rsidRPr="003C7E62">
        <w:rPr>
          <w:rFonts w:cs="Arial"/>
          <w:color w:val="auto"/>
        </w:rPr>
        <w:t xml:space="preserve"> An area designated by Local Planning Authority under Section 69 of the Planning (Listed Buildings and Conservation Areas) Act, 1990, regarded as being an area of special architectural or historic interest, the character or appearance of which is desirable to preserve or enhance.</w:t>
      </w:r>
    </w:p>
    <w:p w14:paraId="5BE172E9" w14:textId="77777777" w:rsidR="004D690C" w:rsidRPr="003C7E62" w:rsidRDefault="004D690C" w:rsidP="004D690C">
      <w:pPr>
        <w:keepNext w:val="0"/>
        <w:spacing w:before="0"/>
        <w:rPr>
          <w:rFonts w:cs="Arial"/>
          <w:color w:val="auto"/>
        </w:rPr>
      </w:pPr>
    </w:p>
    <w:p w14:paraId="73023BBE" w14:textId="09CC5974" w:rsidR="004D690C" w:rsidRPr="003C7E62" w:rsidRDefault="004D690C" w:rsidP="004D690C">
      <w:pPr>
        <w:keepNext w:val="0"/>
        <w:spacing w:before="0"/>
        <w:rPr>
          <w:rFonts w:cs="Arial"/>
          <w:color w:val="auto"/>
        </w:rPr>
      </w:pPr>
      <w:r w:rsidRPr="003C7E62">
        <w:rPr>
          <w:rFonts w:cs="Arial"/>
          <w:b/>
          <w:color w:val="auto"/>
        </w:rPr>
        <w:t>Convenience Goods:</w:t>
      </w:r>
      <w:r w:rsidRPr="003C7E62">
        <w:rPr>
          <w:rFonts w:cs="Arial"/>
          <w:color w:val="auto"/>
        </w:rPr>
        <w:t xml:space="preserve"> A term used in retailing to indicate goods purchased for regular consumption.  For </w:t>
      </w:r>
      <w:r w:rsidR="00EA7D34" w:rsidRPr="003C7E62">
        <w:rPr>
          <w:rFonts w:cs="Arial"/>
          <w:color w:val="auto"/>
        </w:rPr>
        <w:t>example,</w:t>
      </w:r>
      <w:r w:rsidRPr="003C7E62">
        <w:rPr>
          <w:rFonts w:cs="Arial"/>
          <w:color w:val="auto"/>
        </w:rPr>
        <w:t xml:space="preserve"> food, groceries, drink, confectionary, tobacco, newspapers.</w:t>
      </w:r>
    </w:p>
    <w:p w14:paraId="37BAE5D4" w14:textId="77777777" w:rsidR="004D690C" w:rsidRPr="003C7E62" w:rsidRDefault="004D690C" w:rsidP="004D690C">
      <w:pPr>
        <w:keepNext w:val="0"/>
        <w:spacing w:before="0"/>
        <w:rPr>
          <w:rFonts w:cs="Arial"/>
          <w:color w:val="auto"/>
        </w:rPr>
      </w:pPr>
    </w:p>
    <w:p w14:paraId="180FCEF5" w14:textId="0A7AB924" w:rsidR="004D690C" w:rsidRPr="003C7E62" w:rsidRDefault="004D690C" w:rsidP="004D690C">
      <w:pPr>
        <w:keepNext w:val="0"/>
        <w:spacing w:before="0"/>
        <w:rPr>
          <w:rFonts w:cs="Arial"/>
          <w:color w:val="auto"/>
        </w:rPr>
      </w:pPr>
      <w:r w:rsidRPr="003C7E62">
        <w:rPr>
          <w:rFonts w:cs="Arial"/>
          <w:b/>
          <w:color w:val="auto"/>
        </w:rPr>
        <w:lastRenderedPageBreak/>
        <w:t>Countryside:</w:t>
      </w:r>
      <w:r w:rsidRPr="003C7E62">
        <w:rPr>
          <w:rFonts w:cs="Arial"/>
          <w:color w:val="auto"/>
        </w:rPr>
        <w:t xml:space="preserve"> For the purposes of the Local Plan, it refers the rural parts of the </w:t>
      </w:r>
      <w:proofErr w:type="gramStart"/>
      <w:r w:rsidRPr="003C7E62">
        <w:rPr>
          <w:rFonts w:cs="Arial"/>
          <w:color w:val="auto"/>
        </w:rPr>
        <w:t>District</w:t>
      </w:r>
      <w:proofErr w:type="gramEnd"/>
      <w:r w:rsidRPr="003C7E62">
        <w:rPr>
          <w:rFonts w:cs="Arial"/>
          <w:color w:val="auto"/>
        </w:rPr>
        <w:t xml:space="preserve"> lying outside the defined Main Urban Areas and Named Settlements.  </w:t>
      </w:r>
    </w:p>
    <w:p w14:paraId="318357C9" w14:textId="77777777" w:rsidR="004D690C" w:rsidRPr="003C7E62" w:rsidRDefault="004D690C" w:rsidP="004D690C">
      <w:pPr>
        <w:keepNext w:val="0"/>
        <w:spacing w:before="0"/>
        <w:rPr>
          <w:rFonts w:cs="Arial"/>
          <w:color w:val="auto"/>
        </w:rPr>
      </w:pPr>
    </w:p>
    <w:p w14:paraId="16CB7823" w14:textId="77777777" w:rsidR="004D690C" w:rsidRPr="003C7E62" w:rsidRDefault="004D690C" w:rsidP="004D690C">
      <w:pPr>
        <w:keepNext w:val="0"/>
        <w:spacing w:before="0"/>
        <w:rPr>
          <w:rFonts w:cs="Arial"/>
          <w:color w:val="auto"/>
        </w:rPr>
      </w:pPr>
      <w:r w:rsidRPr="003C7E62">
        <w:rPr>
          <w:rFonts w:cs="Arial"/>
          <w:b/>
          <w:color w:val="auto"/>
        </w:rPr>
        <w:t>Density:</w:t>
      </w:r>
      <w:r w:rsidRPr="003C7E62">
        <w:rPr>
          <w:rFonts w:cs="Arial"/>
          <w:color w:val="auto"/>
        </w:rPr>
        <w:t xml:space="preserve"> The intensity of development </w:t>
      </w:r>
      <w:proofErr w:type="gramStart"/>
      <w:r w:rsidRPr="003C7E62">
        <w:rPr>
          <w:rFonts w:cs="Arial"/>
          <w:color w:val="auto"/>
        </w:rPr>
        <w:t>in a given</w:t>
      </w:r>
      <w:proofErr w:type="gramEnd"/>
      <w:r w:rsidRPr="003C7E62">
        <w:rPr>
          <w:rFonts w:cs="Arial"/>
          <w:color w:val="auto"/>
        </w:rPr>
        <w:t xml:space="preserve"> area. Usually measured, for housing, in terms of number of dwellings per hectare.</w:t>
      </w:r>
    </w:p>
    <w:p w14:paraId="16CCA072" w14:textId="77777777" w:rsidR="004D690C" w:rsidRPr="003C7E62" w:rsidRDefault="004D690C" w:rsidP="004D690C">
      <w:pPr>
        <w:keepNext w:val="0"/>
        <w:spacing w:before="0"/>
        <w:rPr>
          <w:rFonts w:cs="Arial"/>
          <w:color w:val="auto"/>
        </w:rPr>
      </w:pPr>
    </w:p>
    <w:p w14:paraId="43340510" w14:textId="77777777" w:rsidR="004D690C" w:rsidRPr="003C7E62" w:rsidRDefault="004D690C" w:rsidP="004D690C">
      <w:pPr>
        <w:keepNext w:val="0"/>
        <w:spacing w:before="0"/>
        <w:rPr>
          <w:rFonts w:cs="Arial"/>
          <w:color w:val="auto"/>
        </w:rPr>
      </w:pPr>
      <w:r w:rsidRPr="003C7E62">
        <w:rPr>
          <w:rFonts w:cs="Arial"/>
          <w:b/>
          <w:color w:val="auto"/>
        </w:rPr>
        <w:t xml:space="preserve">Department for Communities and Local Government (CLG): </w:t>
      </w:r>
      <w:r w:rsidRPr="003C7E62">
        <w:rPr>
          <w:rFonts w:cs="Arial"/>
          <w:color w:val="auto"/>
        </w:rPr>
        <w:t>The Government Department responsible for planning and local government.</w:t>
      </w:r>
    </w:p>
    <w:p w14:paraId="3DB313E0" w14:textId="77777777" w:rsidR="004D690C" w:rsidRPr="003C7E62" w:rsidRDefault="004D690C" w:rsidP="004D690C">
      <w:pPr>
        <w:keepNext w:val="0"/>
        <w:autoSpaceDE w:val="0"/>
        <w:autoSpaceDN w:val="0"/>
        <w:adjustRightInd w:val="0"/>
        <w:spacing w:before="0" w:after="40" w:line="261" w:lineRule="atLeast"/>
        <w:rPr>
          <w:rFonts w:cs="Arial"/>
          <w:color w:val="auto"/>
          <w:sz w:val="26"/>
          <w:szCs w:val="26"/>
        </w:rPr>
      </w:pPr>
    </w:p>
    <w:p w14:paraId="1A0E42C8" w14:textId="77777777" w:rsidR="004D690C" w:rsidRPr="003C7E62" w:rsidRDefault="004D690C" w:rsidP="004D690C">
      <w:pPr>
        <w:keepNext w:val="0"/>
        <w:autoSpaceDE w:val="0"/>
        <w:autoSpaceDN w:val="0"/>
        <w:adjustRightInd w:val="0"/>
        <w:spacing w:before="0" w:after="40" w:line="261" w:lineRule="atLeast"/>
        <w:rPr>
          <w:rFonts w:cs="Arial"/>
          <w:color w:val="auto"/>
          <w:szCs w:val="24"/>
        </w:rPr>
      </w:pPr>
      <w:r w:rsidRPr="003C7E62">
        <w:rPr>
          <w:rFonts w:cs="Arial"/>
          <w:b/>
          <w:color w:val="auto"/>
          <w:szCs w:val="24"/>
        </w:rPr>
        <w:t>Designated Heritage Asset:</w:t>
      </w:r>
      <w:r w:rsidRPr="003C7E62">
        <w:rPr>
          <w:rFonts w:cs="Arial"/>
          <w:color w:val="auto"/>
          <w:szCs w:val="24"/>
        </w:rPr>
        <w:t xml:space="preserve"> A World Heritage Site, Scheduled Monument, Listed Building, Protected Wreck Site, Registered Park and Garden, Registered Battlefield or Conservation Area designated under the relevant legislation.</w:t>
      </w:r>
    </w:p>
    <w:p w14:paraId="3024B44B" w14:textId="77777777" w:rsidR="004D690C" w:rsidRPr="003C7E62" w:rsidRDefault="004D690C" w:rsidP="004D690C">
      <w:pPr>
        <w:keepNext w:val="0"/>
        <w:autoSpaceDE w:val="0"/>
        <w:autoSpaceDN w:val="0"/>
        <w:adjustRightInd w:val="0"/>
        <w:spacing w:before="0"/>
        <w:rPr>
          <w:rFonts w:cs="Arial"/>
          <w:color w:val="auto"/>
          <w:szCs w:val="24"/>
          <w:lang w:val="en-US"/>
        </w:rPr>
      </w:pPr>
    </w:p>
    <w:p w14:paraId="0B257F96" w14:textId="77777777" w:rsidR="004D690C" w:rsidRPr="003C7E62" w:rsidRDefault="004D690C" w:rsidP="004D690C">
      <w:pPr>
        <w:keepNext w:val="0"/>
        <w:spacing w:before="0"/>
        <w:rPr>
          <w:rFonts w:cs="Arial"/>
          <w:color w:val="C00000"/>
        </w:rPr>
      </w:pPr>
      <w:r w:rsidRPr="003C7E62">
        <w:rPr>
          <w:rFonts w:cs="Arial"/>
          <w:b/>
          <w:color w:val="auto"/>
        </w:rPr>
        <w:t>Development Plan Document (DPD):</w:t>
      </w:r>
      <w:r w:rsidRPr="003C7E62">
        <w:rPr>
          <w:rFonts w:cs="Arial"/>
          <w:color w:val="auto"/>
        </w:rPr>
        <w:t xml:space="preserve"> A spatial planning document under the provisions of Planning and Compulsory Purchase Act 2004 which is designed to secure the development and use of land in the local planning authority’s area.  It includes the Local Plan</w:t>
      </w:r>
    </w:p>
    <w:p w14:paraId="389C44E8" w14:textId="77777777" w:rsidR="004D690C" w:rsidRPr="003C7E62" w:rsidRDefault="004D690C" w:rsidP="004D690C">
      <w:pPr>
        <w:keepNext w:val="0"/>
        <w:spacing w:before="0"/>
        <w:rPr>
          <w:rFonts w:cs="Arial"/>
          <w:color w:val="auto"/>
        </w:rPr>
      </w:pPr>
    </w:p>
    <w:p w14:paraId="5E0C4096" w14:textId="40B22E9B" w:rsidR="004D690C" w:rsidRPr="003C7E62" w:rsidRDefault="004D690C" w:rsidP="004D690C">
      <w:pPr>
        <w:keepNext w:val="0"/>
        <w:spacing w:before="0"/>
        <w:rPr>
          <w:rFonts w:cs="Arial"/>
          <w:color w:val="auto"/>
        </w:rPr>
      </w:pPr>
      <w:r w:rsidRPr="003C7E62">
        <w:rPr>
          <w:rFonts w:cs="Arial"/>
          <w:b/>
          <w:color w:val="auto"/>
        </w:rPr>
        <w:t xml:space="preserve">Duty to cooperate: </w:t>
      </w:r>
      <w:r w:rsidRPr="003C7E62">
        <w:rPr>
          <w:rFonts w:cs="Arial"/>
          <w:color w:val="auto"/>
        </w:rPr>
        <w:t xml:space="preserve">The duty to cooperate, </w:t>
      </w:r>
      <w:r w:rsidR="009F0EC8">
        <w:rPr>
          <w:rFonts w:cs="Arial"/>
          <w:color w:val="auto"/>
        </w:rPr>
        <w:t>(NPPF paragraph 24)</w:t>
      </w:r>
      <w:r w:rsidRPr="003C7E62">
        <w:rPr>
          <w:rFonts w:cs="Arial"/>
          <w:color w:val="auto"/>
        </w:rPr>
        <w:t>, is a requirement by the Government for public bodies to work together on planning issues that cross administrative boundaries, particularly those which relate to strategic priorities.  Local Planning Authorities must work with neighbouring authorities and other bodies, where necessary, to ensure that the development requirements of both the district and the surrounding areas are met.</w:t>
      </w:r>
    </w:p>
    <w:p w14:paraId="17169F33" w14:textId="77777777" w:rsidR="004D690C" w:rsidRPr="003C7E62" w:rsidRDefault="004D690C" w:rsidP="004D690C">
      <w:pPr>
        <w:keepNext w:val="0"/>
        <w:spacing w:before="0"/>
        <w:rPr>
          <w:rFonts w:cs="Arial"/>
          <w:b/>
          <w:color w:val="auto"/>
        </w:rPr>
      </w:pPr>
    </w:p>
    <w:p w14:paraId="58CC93E7" w14:textId="69A427C6" w:rsidR="004D690C" w:rsidRPr="003C7E62" w:rsidRDefault="004D690C" w:rsidP="004D690C">
      <w:pPr>
        <w:keepNext w:val="0"/>
        <w:spacing w:before="0"/>
        <w:rPr>
          <w:rFonts w:cs="Arial"/>
          <w:bCs/>
          <w:color w:val="auto"/>
        </w:rPr>
      </w:pPr>
      <w:r w:rsidRPr="003C7E62">
        <w:rPr>
          <w:rFonts w:cs="Arial"/>
          <w:b/>
          <w:color w:val="auto"/>
        </w:rPr>
        <w:t xml:space="preserve">Economic development: </w:t>
      </w:r>
      <w:r w:rsidRPr="003C7E62">
        <w:rPr>
          <w:rFonts w:cs="Arial"/>
          <w:bCs/>
          <w:color w:val="auto"/>
        </w:rPr>
        <w:t xml:space="preserve">includes development within the office uses, industry and warehousing uses, public and community </w:t>
      </w:r>
      <w:proofErr w:type="gramStart"/>
      <w:r w:rsidRPr="003C7E62">
        <w:rPr>
          <w:rFonts w:cs="Arial"/>
          <w:bCs/>
          <w:color w:val="auto"/>
        </w:rPr>
        <w:t>uses</w:t>
      </w:r>
      <w:proofErr w:type="gramEnd"/>
      <w:r w:rsidRPr="003C7E62">
        <w:rPr>
          <w:rFonts w:cs="Arial"/>
          <w:bCs/>
          <w:color w:val="auto"/>
        </w:rPr>
        <w:t xml:space="preserve">, leisure and tourism </w:t>
      </w:r>
      <w:proofErr w:type="gramStart"/>
      <w:r w:rsidRPr="003C7E62">
        <w:rPr>
          <w:rFonts w:cs="Arial"/>
          <w:bCs/>
          <w:color w:val="auto"/>
        </w:rPr>
        <w:t>uses</w:t>
      </w:r>
      <w:proofErr w:type="gramEnd"/>
      <w:r w:rsidRPr="003C7E62">
        <w:rPr>
          <w:rFonts w:cs="Arial"/>
          <w:bCs/>
          <w:color w:val="auto"/>
        </w:rPr>
        <w:t xml:space="preserve"> and main town centre uses. It also includes any other development which provides employment opportunities, generates wealth or produces or generates an economic output or product. It does not include housing development.</w:t>
      </w:r>
    </w:p>
    <w:p w14:paraId="774C5238" w14:textId="77777777" w:rsidR="004D690C" w:rsidRPr="003C7E62" w:rsidRDefault="004D690C" w:rsidP="004D690C">
      <w:pPr>
        <w:keepNext w:val="0"/>
        <w:spacing w:before="0"/>
        <w:rPr>
          <w:rFonts w:cs="Arial"/>
          <w:b/>
          <w:color w:val="auto"/>
        </w:rPr>
      </w:pPr>
    </w:p>
    <w:p w14:paraId="59E61FCC" w14:textId="45FB32F8" w:rsidR="004D690C" w:rsidRPr="003C7E62" w:rsidRDefault="004D690C" w:rsidP="004D690C">
      <w:pPr>
        <w:keepNext w:val="0"/>
        <w:spacing w:before="0"/>
        <w:rPr>
          <w:rFonts w:cs="Arial"/>
          <w:color w:val="auto"/>
        </w:rPr>
      </w:pPr>
      <w:r w:rsidRPr="003C7E62">
        <w:rPr>
          <w:rFonts w:cs="Arial"/>
          <w:b/>
          <w:color w:val="auto"/>
        </w:rPr>
        <w:t xml:space="preserve">Edge of centre: </w:t>
      </w:r>
      <w:r w:rsidRPr="003C7E62">
        <w:rPr>
          <w:rFonts w:cs="Arial"/>
          <w:color w:val="auto"/>
        </w:rPr>
        <w:t xml:space="preserve">For retail purposes, a location that is well connected to and up to 300 metres from the Primary Shopping Area. For all other main town centre uses, a location within 300 metres of a town centre boundary. For office development, this includes locations outside the town centre but within 500 metres of a public transport interchange.  In determining whether a site falls within the definition of edge of centre, account should be taken of local circumstances.  </w:t>
      </w:r>
    </w:p>
    <w:p w14:paraId="6C5EBEC2" w14:textId="77777777" w:rsidR="004D690C" w:rsidRPr="003C7E62" w:rsidRDefault="004D690C" w:rsidP="004D690C">
      <w:pPr>
        <w:keepNext w:val="0"/>
        <w:spacing w:before="0"/>
        <w:rPr>
          <w:rFonts w:cs="Arial"/>
          <w:b/>
          <w:color w:val="auto"/>
        </w:rPr>
      </w:pPr>
    </w:p>
    <w:p w14:paraId="09C8F6AA" w14:textId="18EB2205" w:rsidR="004D690C" w:rsidRPr="003C7E62" w:rsidRDefault="004D690C" w:rsidP="004D690C">
      <w:pPr>
        <w:keepNext w:val="0"/>
        <w:spacing w:before="0"/>
        <w:rPr>
          <w:rFonts w:cs="Arial"/>
          <w:b/>
          <w:color w:val="auto"/>
        </w:rPr>
      </w:pPr>
      <w:r w:rsidRPr="003C7E62">
        <w:rPr>
          <w:rFonts w:cs="Arial"/>
          <w:b/>
          <w:color w:val="auto"/>
        </w:rPr>
        <w:t xml:space="preserve">Employment Land: </w:t>
      </w:r>
      <w:r w:rsidRPr="003C7E62">
        <w:rPr>
          <w:rFonts w:cs="Arial"/>
          <w:color w:val="auto"/>
        </w:rPr>
        <w:t>For the purposes of this Local Plan, the term employment land will normally refer to land intended for us</w:t>
      </w:r>
      <w:r w:rsidR="00C52BB8">
        <w:rPr>
          <w:rFonts w:cs="Arial"/>
          <w:color w:val="auto"/>
        </w:rPr>
        <w:t>e as offices, light industrial, general industrial or storage and distribution.  Under the T</w:t>
      </w:r>
      <w:r w:rsidRPr="003C7E62">
        <w:rPr>
          <w:rFonts w:cs="Arial"/>
          <w:color w:val="auto"/>
        </w:rPr>
        <w:t>own and Country Planning (Use Classes) Order 1987 (as amended)</w:t>
      </w:r>
      <w:r w:rsidR="00C52BB8">
        <w:rPr>
          <w:rFonts w:cs="Arial"/>
          <w:color w:val="auto"/>
        </w:rPr>
        <w:t>, S</w:t>
      </w:r>
      <w:r w:rsidRPr="003C7E62">
        <w:rPr>
          <w:rFonts w:cs="Arial"/>
          <w:color w:val="auto"/>
        </w:rPr>
        <w:t xml:space="preserve">ui Generis employment uses outside these categories but of a similar character may also be appropriate, subject to normal site planning considerations. </w:t>
      </w:r>
    </w:p>
    <w:p w14:paraId="7DAB97AB" w14:textId="77777777" w:rsidR="004D690C" w:rsidRPr="003C7E62" w:rsidRDefault="004D690C" w:rsidP="004D690C">
      <w:pPr>
        <w:keepNext w:val="0"/>
        <w:spacing w:before="0"/>
        <w:rPr>
          <w:rFonts w:cs="Arial"/>
          <w:b/>
          <w:color w:val="auto"/>
        </w:rPr>
      </w:pPr>
    </w:p>
    <w:p w14:paraId="3AE67900" w14:textId="77777777" w:rsidR="004D690C" w:rsidRPr="003C7E62" w:rsidRDefault="004D690C" w:rsidP="004D690C">
      <w:pPr>
        <w:keepNext w:val="0"/>
        <w:spacing w:before="0"/>
        <w:rPr>
          <w:rFonts w:cs="Arial"/>
          <w:color w:val="auto"/>
        </w:rPr>
      </w:pPr>
      <w:r w:rsidRPr="003C7E62">
        <w:rPr>
          <w:rFonts w:cs="Arial"/>
          <w:b/>
          <w:color w:val="auto"/>
        </w:rPr>
        <w:t xml:space="preserve">Environmental Assets: </w:t>
      </w:r>
      <w:r w:rsidRPr="003C7E62">
        <w:rPr>
          <w:rFonts w:cs="Arial"/>
          <w:color w:val="auto"/>
        </w:rPr>
        <w:t xml:space="preserve">Physical features and conditions of notable value occurring within the </w:t>
      </w:r>
      <w:proofErr w:type="gramStart"/>
      <w:r w:rsidRPr="003C7E62">
        <w:rPr>
          <w:rFonts w:cs="Arial"/>
          <w:color w:val="auto"/>
        </w:rPr>
        <w:t>District</w:t>
      </w:r>
      <w:proofErr w:type="gramEnd"/>
      <w:r w:rsidRPr="003C7E62">
        <w:rPr>
          <w:rFonts w:cs="Arial"/>
          <w:color w:val="auto"/>
        </w:rPr>
        <w:t>.</w:t>
      </w:r>
    </w:p>
    <w:p w14:paraId="36BCD4D6" w14:textId="77777777" w:rsidR="004D690C" w:rsidRPr="003C7E62" w:rsidRDefault="004D690C" w:rsidP="004D690C">
      <w:pPr>
        <w:keepNext w:val="0"/>
        <w:spacing w:before="0"/>
        <w:rPr>
          <w:rFonts w:cs="Arial"/>
          <w:color w:val="auto"/>
          <w:lang w:val="en-US"/>
        </w:rPr>
      </w:pPr>
    </w:p>
    <w:p w14:paraId="053DD56F" w14:textId="0F84D6D0" w:rsidR="004D690C" w:rsidRPr="003C7E62" w:rsidRDefault="004D690C" w:rsidP="004D690C">
      <w:pPr>
        <w:keepNext w:val="0"/>
        <w:spacing w:before="0"/>
        <w:rPr>
          <w:rFonts w:cs="Arial"/>
          <w:color w:val="auto"/>
          <w:lang w:val="en-US"/>
        </w:rPr>
      </w:pPr>
      <w:r w:rsidRPr="003C7E62">
        <w:rPr>
          <w:rFonts w:cs="Arial"/>
          <w:b/>
          <w:color w:val="auto"/>
          <w:lang w:val="en-US"/>
        </w:rPr>
        <w:t>Farm shops:</w:t>
      </w:r>
      <w:r w:rsidRPr="003C7E62">
        <w:rPr>
          <w:rFonts w:cs="Arial"/>
          <w:color w:val="auto"/>
          <w:lang w:val="en-US"/>
        </w:rPr>
        <w:t xml:space="preserve"> A farm shop will form an ancillary activity </w:t>
      </w:r>
      <w:proofErr w:type="gramStart"/>
      <w:r w:rsidRPr="003C7E62">
        <w:rPr>
          <w:rFonts w:cs="Arial"/>
          <w:color w:val="auto"/>
          <w:lang w:val="en-US"/>
        </w:rPr>
        <w:t>to</w:t>
      </w:r>
      <w:proofErr w:type="gramEnd"/>
      <w:r w:rsidRPr="003C7E62">
        <w:rPr>
          <w:rFonts w:cs="Arial"/>
          <w:color w:val="auto"/>
          <w:lang w:val="en-US"/>
        </w:rPr>
        <w:t xml:space="preserve"> a commercial farm</w:t>
      </w:r>
      <w:r w:rsidR="00C52BB8">
        <w:rPr>
          <w:rFonts w:cs="Arial"/>
          <w:color w:val="auto"/>
          <w:lang w:val="en-US"/>
        </w:rPr>
        <w:t>.</w:t>
      </w:r>
      <w:r w:rsidRPr="003C7E62">
        <w:rPr>
          <w:rFonts w:cs="Arial"/>
          <w:color w:val="auto"/>
          <w:lang w:val="en-US"/>
        </w:rPr>
        <w:t xml:space="preserve"> </w:t>
      </w:r>
    </w:p>
    <w:p w14:paraId="3031C5F0" w14:textId="77777777" w:rsidR="004D690C" w:rsidRPr="003C7E62" w:rsidRDefault="004D690C" w:rsidP="004D690C">
      <w:pPr>
        <w:keepNext w:val="0"/>
        <w:tabs>
          <w:tab w:val="left" w:pos="1680"/>
        </w:tabs>
        <w:spacing w:before="0"/>
        <w:rPr>
          <w:rFonts w:cs="Arial"/>
          <w:b/>
          <w:color w:val="auto"/>
        </w:rPr>
      </w:pPr>
    </w:p>
    <w:p w14:paraId="43425F4E" w14:textId="77777777" w:rsidR="00FE2359" w:rsidRPr="000663FF" w:rsidRDefault="00FE2359" w:rsidP="00FE2359">
      <w:pPr>
        <w:keepNext w:val="0"/>
        <w:tabs>
          <w:tab w:val="left" w:pos="1080"/>
          <w:tab w:val="num" w:pos="2160"/>
        </w:tabs>
        <w:spacing w:before="0"/>
        <w:rPr>
          <w:rFonts w:cs="Arial"/>
          <w:b/>
          <w:color w:val="auto"/>
        </w:rPr>
      </w:pPr>
      <w:r w:rsidRPr="000663FF">
        <w:rPr>
          <w:rFonts w:cs="Arial"/>
          <w:b/>
          <w:color w:val="auto"/>
        </w:rPr>
        <w:lastRenderedPageBreak/>
        <w:t xml:space="preserve">First Homes: </w:t>
      </w:r>
      <w:r w:rsidRPr="000663FF">
        <w:rPr>
          <w:rFonts w:eastAsia="Calibri"/>
          <w:color w:val="auto"/>
          <w:szCs w:val="22"/>
          <w:lang w:eastAsia="en-US"/>
        </w:rPr>
        <w:t>First Homes are a specific kind of discounted market sale housing and should be considered to meet the definition of ‘affordable housing’ for planning purposes. Specifically, First Homes are discounted market sale units which:</w:t>
      </w:r>
    </w:p>
    <w:p w14:paraId="644F012F" w14:textId="77777777" w:rsidR="00FE2359" w:rsidRPr="000663FF" w:rsidRDefault="00FE2359" w:rsidP="00874A98">
      <w:pPr>
        <w:keepNext w:val="0"/>
        <w:numPr>
          <w:ilvl w:val="0"/>
          <w:numId w:val="323"/>
        </w:numPr>
        <w:shd w:val="clear" w:color="auto" w:fill="FFFFFF"/>
        <w:spacing w:before="300" w:after="300" w:line="252" w:lineRule="auto"/>
        <w:jc w:val="both"/>
        <w:rPr>
          <w:rFonts w:cs="Arial"/>
          <w:color w:val="auto"/>
          <w:szCs w:val="24"/>
        </w:rPr>
      </w:pPr>
      <w:r w:rsidRPr="000663FF">
        <w:rPr>
          <w:rFonts w:cs="Arial"/>
          <w:color w:val="auto"/>
          <w:szCs w:val="24"/>
        </w:rPr>
        <w:t>must be discounted by a minimum of 30% against the market value;</w:t>
      </w:r>
    </w:p>
    <w:p w14:paraId="45ED5DB6" w14:textId="77777777" w:rsidR="00FE2359" w:rsidRPr="000663FF" w:rsidRDefault="00FE2359" w:rsidP="00874A98">
      <w:pPr>
        <w:keepNext w:val="0"/>
        <w:numPr>
          <w:ilvl w:val="0"/>
          <w:numId w:val="323"/>
        </w:numPr>
        <w:shd w:val="clear" w:color="auto" w:fill="FFFFFF"/>
        <w:spacing w:before="300" w:after="300" w:line="252" w:lineRule="auto"/>
        <w:jc w:val="both"/>
        <w:rPr>
          <w:rFonts w:cs="Arial"/>
          <w:color w:val="auto"/>
          <w:szCs w:val="24"/>
        </w:rPr>
      </w:pPr>
      <w:r w:rsidRPr="000663FF">
        <w:rPr>
          <w:rFonts w:cs="Arial"/>
          <w:color w:val="auto"/>
          <w:szCs w:val="24"/>
        </w:rPr>
        <w:t>are sold to a person or persons meeting the First Homes eligibility criteria;</w:t>
      </w:r>
    </w:p>
    <w:p w14:paraId="3E30EFB3" w14:textId="77777777" w:rsidR="00FE2359" w:rsidRPr="000663FF" w:rsidRDefault="00FE2359" w:rsidP="00874A98">
      <w:pPr>
        <w:keepNext w:val="0"/>
        <w:numPr>
          <w:ilvl w:val="0"/>
          <w:numId w:val="323"/>
        </w:numPr>
        <w:shd w:val="clear" w:color="auto" w:fill="FFFFFF"/>
        <w:spacing w:before="300" w:after="300" w:line="252" w:lineRule="auto"/>
        <w:jc w:val="both"/>
        <w:rPr>
          <w:rFonts w:cs="Arial"/>
          <w:color w:val="auto"/>
          <w:szCs w:val="24"/>
        </w:rPr>
      </w:pPr>
      <w:r w:rsidRPr="000663FF">
        <w:rPr>
          <w:rFonts w:cs="Arial"/>
          <w:color w:val="auto"/>
          <w:szCs w:val="24"/>
        </w:rPr>
        <w:t>on their first sale, will have a restriction registered on the title at HM Land Registry to ensure this discount (as a percentage of current market value) and certain other restrictions are passed on at each subsequent title transfer; and,</w:t>
      </w:r>
    </w:p>
    <w:p w14:paraId="76688509" w14:textId="77777777" w:rsidR="00FE2359" w:rsidRPr="000663FF" w:rsidRDefault="00FE2359" w:rsidP="00874A98">
      <w:pPr>
        <w:keepNext w:val="0"/>
        <w:numPr>
          <w:ilvl w:val="0"/>
          <w:numId w:val="323"/>
        </w:numPr>
        <w:shd w:val="clear" w:color="auto" w:fill="FFFFFF"/>
        <w:spacing w:before="300" w:after="300" w:line="252" w:lineRule="auto"/>
        <w:jc w:val="both"/>
        <w:rPr>
          <w:rFonts w:cs="Arial"/>
          <w:color w:val="auto"/>
          <w:szCs w:val="24"/>
        </w:rPr>
      </w:pPr>
      <w:r w:rsidRPr="000663FF">
        <w:rPr>
          <w:rFonts w:cs="Arial"/>
          <w:color w:val="auto"/>
          <w:szCs w:val="24"/>
        </w:rPr>
        <w:t>after the discount has been applied, the first sale must be at a price no higher than £250,000 (or £420,000 in Greater London).</w:t>
      </w:r>
    </w:p>
    <w:p w14:paraId="22C49066" w14:textId="77777777" w:rsidR="00FE2359" w:rsidRPr="000663FF" w:rsidRDefault="00FE2359" w:rsidP="00FE2359">
      <w:pPr>
        <w:keepNext w:val="0"/>
        <w:shd w:val="clear" w:color="auto" w:fill="FFFFFF"/>
        <w:spacing w:before="300" w:after="300"/>
        <w:rPr>
          <w:rFonts w:cs="Arial"/>
          <w:color w:val="auto"/>
          <w:szCs w:val="24"/>
        </w:rPr>
      </w:pPr>
      <w:r w:rsidRPr="000663FF">
        <w:rPr>
          <w:rFonts w:cs="Arial"/>
          <w:color w:val="auto"/>
          <w:szCs w:val="24"/>
        </w:rPr>
        <w:t>First Homes are the government’s preferred discounted market tenure and should account for at least 25% of all affordable housing units delivered by developers through planning obligations.</w:t>
      </w:r>
    </w:p>
    <w:p w14:paraId="69E462B5" w14:textId="77777777" w:rsidR="00FE2359" w:rsidRPr="000663FF" w:rsidRDefault="00FE2359" w:rsidP="00FE2359">
      <w:pPr>
        <w:keepNext w:val="0"/>
        <w:tabs>
          <w:tab w:val="left" w:pos="1080"/>
          <w:tab w:val="num" w:pos="2160"/>
        </w:tabs>
        <w:spacing w:before="0"/>
        <w:rPr>
          <w:rFonts w:cs="Arial"/>
          <w:bCs/>
          <w:i/>
          <w:iCs/>
          <w:color w:val="auto"/>
        </w:rPr>
      </w:pPr>
      <w:r w:rsidRPr="000663FF">
        <w:rPr>
          <w:rFonts w:cs="Arial"/>
          <w:bCs/>
          <w:i/>
          <w:iCs/>
          <w:color w:val="auto"/>
        </w:rPr>
        <w:t xml:space="preserve">(See </w:t>
      </w:r>
      <w:hyperlink r:id="rId61" w:history="1">
        <w:r w:rsidRPr="000663FF">
          <w:rPr>
            <w:rFonts w:cs="Arial"/>
            <w:bCs/>
            <w:i/>
            <w:iCs/>
            <w:color w:val="auto"/>
            <w:u w:val="single"/>
          </w:rPr>
          <w:t>Planning Practice Guidance First Homes</w:t>
        </w:r>
      </w:hyperlink>
      <w:r w:rsidRPr="000663FF">
        <w:rPr>
          <w:rFonts w:cs="Arial"/>
          <w:bCs/>
          <w:i/>
          <w:iCs/>
          <w:color w:val="auto"/>
        </w:rPr>
        <w:t>)</w:t>
      </w:r>
    </w:p>
    <w:p w14:paraId="10631E23" w14:textId="77777777" w:rsidR="00FE2359" w:rsidRPr="000663FF" w:rsidRDefault="00FE2359" w:rsidP="004D690C">
      <w:pPr>
        <w:keepNext w:val="0"/>
        <w:tabs>
          <w:tab w:val="left" w:pos="1080"/>
          <w:tab w:val="num" w:pos="2160"/>
        </w:tabs>
        <w:spacing w:before="0"/>
        <w:rPr>
          <w:rFonts w:cs="Arial"/>
          <w:b/>
          <w:color w:val="auto"/>
        </w:rPr>
      </w:pPr>
    </w:p>
    <w:p w14:paraId="7F243E8F" w14:textId="32EEDB62" w:rsidR="004D690C" w:rsidRPr="003C7E62" w:rsidRDefault="004D690C" w:rsidP="004D690C">
      <w:pPr>
        <w:keepNext w:val="0"/>
        <w:tabs>
          <w:tab w:val="left" w:pos="1080"/>
          <w:tab w:val="num" w:pos="2160"/>
        </w:tabs>
        <w:spacing w:before="0"/>
        <w:rPr>
          <w:rFonts w:cs="Arial"/>
          <w:color w:val="auto"/>
        </w:rPr>
      </w:pPr>
      <w:r w:rsidRPr="003C7E62">
        <w:rPr>
          <w:rFonts w:cs="Arial"/>
          <w:b/>
          <w:color w:val="auto"/>
        </w:rPr>
        <w:t>Green Belt:</w:t>
      </w:r>
      <w:r w:rsidRPr="003C7E62">
        <w:rPr>
          <w:rFonts w:cs="Arial"/>
          <w:color w:val="auto"/>
        </w:rPr>
        <w:t xml:space="preserve"> Describes an area of land surrounding certain cities and large built-up areas whose fundamental aim is to prevent urban sprawl by keeping land permanently open; the essential characteristics of Green </w:t>
      </w:r>
      <w:r w:rsidR="00E478F6">
        <w:rPr>
          <w:rFonts w:cs="Arial"/>
          <w:color w:val="auto"/>
        </w:rPr>
        <w:t>B</w:t>
      </w:r>
      <w:r w:rsidRPr="003C7E62">
        <w:rPr>
          <w:rFonts w:cs="Arial"/>
          <w:color w:val="auto"/>
        </w:rPr>
        <w:t>elts are their openness and their permanence.  (See N</w:t>
      </w:r>
      <w:r w:rsidR="00E478F6">
        <w:rPr>
          <w:rFonts w:cs="Arial"/>
          <w:color w:val="auto"/>
        </w:rPr>
        <w:t>PPF)</w:t>
      </w:r>
      <w:r w:rsidRPr="003C7E62">
        <w:rPr>
          <w:rFonts w:cs="Arial"/>
          <w:color w:val="auto"/>
        </w:rPr>
        <w:t>.  The Green Belt is identified as having five distinct purposes:</w:t>
      </w:r>
    </w:p>
    <w:p w14:paraId="2C810310" w14:textId="77777777" w:rsidR="004D690C" w:rsidRPr="003C7E62" w:rsidRDefault="004D690C" w:rsidP="00D01157">
      <w:pPr>
        <w:keepNext w:val="0"/>
        <w:numPr>
          <w:ilvl w:val="0"/>
          <w:numId w:val="9"/>
        </w:numPr>
        <w:tabs>
          <w:tab w:val="left" w:pos="1080"/>
          <w:tab w:val="num" w:pos="2160"/>
        </w:tabs>
        <w:spacing w:before="0"/>
        <w:rPr>
          <w:rFonts w:cs="Arial"/>
          <w:color w:val="auto"/>
        </w:rPr>
      </w:pPr>
      <w:r w:rsidRPr="003C7E62">
        <w:rPr>
          <w:rFonts w:cs="Arial"/>
          <w:color w:val="auto"/>
        </w:rPr>
        <w:t xml:space="preserve">to check the unrestricted sprawl of large </w:t>
      </w:r>
      <w:proofErr w:type="gramStart"/>
      <w:r w:rsidRPr="003C7E62">
        <w:rPr>
          <w:rFonts w:cs="Arial"/>
          <w:color w:val="auto"/>
        </w:rPr>
        <w:t>built up</w:t>
      </w:r>
      <w:proofErr w:type="gramEnd"/>
      <w:r w:rsidRPr="003C7E62">
        <w:rPr>
          <w:rFonts w:cs="Arial"/>
          <w:color w:val="auto"/>
        </w:rPr>
        <w:t xml:space="preserve"> areas;</w:t>
      </w:r>
    </w:p>
    <w:p w14:paraId="6C5F5440" w14:textId="77777777" w:rsidR="004D690C" w:rsidRPr="003C7E62" w:rsidRDefault="004D690C" w:rsidP="00D01157">
      <w:pPr>
        <w:keepNext w:val="0"/>
        <w:numPr>
          <w:ilvl w:val="0"/>
          <w:numId w:val="9"/>
        </w:numPr>
        <w:tabs>
          <w:tab w:val="left" w:pos="1080"/>
          <w:tab w:val="num" w:pos="2160"/>
        </w:tabs>
        <w:spacing w:before="0"/>
        <w:rPr>
          <w:rFonts w:cs="Arial"/>
          <w:color w:val="auto"/>
        </w:rPr>
      </w:pPr>
      <w:r w:rsidRPr="003C7E62">
        <w:rPr>
          <w:rFonts w:cs="Arial"/>
          <w:color w:val="auto"/>
        </w:rPr>
        <w:t>to prevent neighbouring towns from merging into one another;</w:t>
      </w:r>
    </w:p>
    <w:p w14:paraId="20301A7B" w14:textId="77777777" w:rsidR="004D690C" w:rsidRPr="003C7E62" w:rsidRDefault="004D690C" w:rsidP="00D01157">
      <w:pPr>
        <w:keepNext w:val="0"/>
        <w:numPr>
          <w:ilvl w:val="0"/>
          <w:numId w:val="9"/>
        </w:numPr>
        <w:tabs>
          <w:tab w:val="left" w:pos="1080"/>
          <w:tab w:val="num" w:pos="2160"/>
        </w:tabs>
        <w:spacing w:before="0"/>
        <w:rPr>
          <w:rFonts w:cs="Arial"/>
          <w:color w:val="auto"/>
        </w:rPr>
      </w:pPr>
      <w:r w:rsidRPr="003C7E62">
        <w:rPr>
          <w:rFonts w:cs="Arial"/>
          <w:color w:val="auto"/>
        </w:rPr>
        <w:t>to assist in safeguarding the countryside from encroachment;</w:t>
      </w:r>
    </w:p>
    <w:p w14:paraId="7074A4A4" w14:textId="77777777" w:rsidR="004D690C" w:rsidRPr="003C7E62" w:rsidRDefault="004D690C" w:rsidP="00D01157">
      <w:pPr>
        <w:keepNext w:val="0"/>
        <w:numPr>
          <w:ilvl w:val="0"/>
          <w:numId w:val="9"/>
        </w:numPr>
        <w:tabs>
          <w:tab w:val="left" w:pos="1080"/>
          <w:tab w:val="num" w:pos="2160"/>
        </w:tabs>
        <w:spacing w:before="0"/>
        <w:rPr>
          <w:rFonts w:cs="Arial"/>
          <w:color w:val="auto"/>
        </w:rPr>
      </w:pPr>
      <w:r w:rsidRPr="003C7E62">
        <w:rPr>
          <w:rFonts w:cs="Arial"/>
          <w:color w:val="auto"/>
        </w:rPr>
        <w:t xml:space="preserve">to preserve the setting and special character of historic </w:t>
      </w:r>
      <w:proofErr w:type="gramStart"/>
      <w:r w:rsidRPr="003C7E62">
        <w:rPr>
          <w:rFonts w:cs="Arial"/>
          <w:color w:val="auto"/>
        </w:rPr>
        <w:t>towns,  and</w:t>
      </w:r>
      <w:proofErr w:type="gramEnd"/>
      <w:r w:rsidRPr="003C7E62">
        <w:rPr>
          <w:rFonts w:cs="Arial"/>
          <w:color w:val="auto"/>
        </w:rPr>
        <w:t>;</w:t>
      </w:r>
    </w:p>
    <w:p w14:paraId="45DD1E1D" w14:textId="77777777" w:rsidR="004D690C" w:rsidRPr="003C7E62" w:rsidRDefault="004D690C" w:rsidP="00D01157">
      <w:pPr>
        <w:keepNext w:val="0"/>
        <w:numPr>
          <w:ilvl w:val="0"/>
          <w:numId w:val="9"/>
        </w:numPr>
        <w:tabs>
          <w:tab w:val="left" w:pos="1080"/>
          <w:tab w:val="num" w:pos="2160"/>
        </w:tabs>
        <w:spacing w:before="0"/>
        <w:rPr>
          <w:rFonts w:cs="Arial"/>
          <w:color w:val="auto"/>
        </w:rPr>
      </w:pPr>
      <w:r w:rsidRPr="003C7E62">
        <w:rPr>
          <w:rFonts w:cs="Arial"/>
          <w:color w:val="auto"/>
        </w:rPr>
        <w:t xml:space="preserve">to assist in urban regeneration by encouraging the recycling of derelict and other urban land. </w:t>
      </w:r>
    </w:p>
    <w:p w14:paraId="4ED92629" w14:textId="77777777" w:rsidR="004D690C" w:rsidRPr="003C7E62" w:rsidRDefault="004D690C" w:rsidP="004D690C">
      <w:pPr>
        <w:keepNext w:val="0"/>
        <w:tabs>
          <w:tab w:val="left" w:pos="1080"/>
          <w:tab w:val="num" w:pos="2160"/>
        </w:tabs>
        <w:spacing w:before="0"/>
        <w:rPr>
          <w:rFonts w:cs="Arial"/>
          <w:color w:val="auto"/>
        </w:rPr>
      </w:pPr>
    </w:p>
    <w:p w14:paraId="7B99D4BF" w14:textId="77777777" w:rsidR="004D690C" w:rsidRPr="003C7E62" w:rsidRDefault="004D690C" w:rsidP="004D690C">
      <w:pPr>
        <w:keepNext w:val="0"/>
        <w:tabs>
          <w:tab w:val="num" w:pos="1701"/>
        </w:tabs>
        <w:spacing w:before="0"/>
        <w:rPr>
          <w:rFonts w:cs="Arial"/>
          <w:color w:val="auto"/>
          <w:lang w:val="en-US"/>
        </w:rPr>
      </w:pPr>
      <w:r w:rsidRPr="003C7E62">
        <w:rPr>
          <w:rFonts w:cs="Arial"/>
          <w:b/>
          <w:color w:val="auto"/>
        </w:rPr>
        <w:t xml:space="preserve">Greenfield Run-off: </w:t>
      </w:r>
      <w:r w:rsidRPr="003C7E62">
        <w:rPr>
          <w:rFonts w:cs="Arial"/>
          <w:color w:val="auto"/>
          <w:lang w:val="en-US"/>
        </w:rPr>
        <w:t xml:space="preserve">This is the surface water run-off from a greenfield site before development. </w:t>
      </w:r>
    </w:p>
    <w:p w14:paraId="5783AC21" w14:textId="77777777" w:rsidR="004D690C" w:rsidRPr="003C7E62" w:rsidRDefault="004D690C" w:rsidP="004D690C">
      <w:pPr>
        <w:keepNext w:val="0"/>
        <w:tabs>
          <w:tab w:val="num" w:pos="1701"/>
        </w:tabs>
        <w:spacing w:before="0"/>
        <w:rPr>
          <w:rFonts w:cs="Arial"/>
          <w:b/>
          <w:color w:val="auto"/>
        </w:rPr>
      </w:pPr>
    </w:p>
    <w:p w14:paraId="716F5ADB" w14:textId="5F050778" w:rsidR="004D690C" w:rsidRPr="000663FF" w:rsidRDefault="004D690C" w:rsidP="004D690C">
      <w:pPr>
        <w:keepNext w:val="0"/>
        <w:tabs>
          <w:tab w:val="num" w:pos="1701"/>
        </w:tabs>
        <w:spacing w:before="0"/>
        <w:rPr>
          <w:rFonts w:cs="Arial"/>
          <w:color w:val="auto"/>
        </w:rPr>
      </w:pPr>
      <w:r w:rsidRPr="003C7E62">
        <w:rPr>
          <w:rFonts w:cs="Arial"/>
          <w:b/>
          <w:color w:val="auto"/>
        </w:rPr>
        <w:t>Green</w:t>
      </w:r>
      <w:r w:rsidR="00252D26" w:rsidRPr="00252D26">
        <w:rPr>
          <w:rFonts w:cs="Arial"/>
          <w:color w:val="2E74B5" w:themeColor="accent5" w:themeShade="BF"/>
          <w:szCs w:val="24"/>
        </w:rPr>
        <w:t xml:space="preserve"> and </w:t>
      </w:r>
      <w:r w:rsidR="00252D26">
        <w:rPr>
          <w:rFonts w:cs="Arial"/>
          <w:color w:val="2E74B5" w:themeColor="accent5" w:themeShade="BF"/>
          <w:szCs w:val="24"/>
        </w:rPr>
        <w:t>B</w:t>
      </w:r>
      <w:r w:rsidR="00252D26" w:rsidRPr="00252D26">
        <w:rPr>
          <w:rFonts w:cs="Arial"/>
          <w:color w:val="2E74B5" w:themeColor="accent5" w:themeShade="BF"/>
          <w:szCs w:val="24"/>
        </w:rPr>
        <w:t>lue</w:t>
      </w:r>
      <w:r w:rsidRPr="003C7E62">
        <w:rPr>
          <w:rFonts w:cs="Arial"/>
          <w:b/>
          <w:color w:val="auto"/>
        </w:rPr>
        <w:t xml:space="preserve"> Infrastructure: </w:t>
      </w:r>
      <w:r w:rsidR="00424EEF" w:rsidRPr="000663FF">
        <w:rPr>
          <w:rFonts w:cs="Arial"/>
          <w:color w:val="auto"/>
        </w:rPr>
        <w:t xml:space="preserve">A </w:t>
      </w:r>
      <w:r w:rsidRPr="000663FF">
        <w:rPr>
          <w:rFonts w:cs="Arial"/>
          <w:color w:val="auto"/>
        </w:rPr>
        <w:t xml:space="preserve">network of </w:t>
      </w:r>
      <w:r w:rsidR="00424EEF" w:rsidRPr="000663FF">
        <w:rPr>
          <w:rFonts w:cs="Arial"/>
          <w:color w:val="auto"/>
        </w:rPr>
        <w:t xml:space="preserve">multi-functional </w:t>
      </w:r>
      <w:r w:rsidRPr="000663FF">
        <w:rPr>
          <w:rFonts w:cs="Arial"/>
          <w:color w:val="auto"/>
        </w:rPr>
        <w:t xml:space="preserve">green </w:t>
      </w:r>
      <w:r w:rsidR="00424EEF" w:rsidRPr="000663FF">
        <w:rPr>
          <w:rFonts w:cs="Arial"/>
          <w:color w:val="auto"/>
        </w:rPr>
        <w:t xml:space="preserve">and </w:t>
      </w:r>
      <w:r w:rsidRPr="000663FF">
        <w:rPr>
          <w:rFonts w:cs="Arial"/>
          <w:color w:val="auto"/>
        </w:rPr>
        <w:t>blue space</w:t>
      </w:r>
      <w:r w:rsidR="00625A85" w:rsidRPr="000663FF">
        <w:rPr>
          <w:rFonts w:cs="Arial"/>
          <w:color w:val="auto"/>
        </w:rPr>
        <w:t>s</w:t>
      </w:r>
      <w:r w:rsidRPr="000663FF">
        <w:rPr>
          <w:rFonts w:cs="Arial"/>
          <w:color w:val="auto"/>
        </w:rPr>
        <w:t xml:space="preserve"> and </w:t>
      </w:r>
      <w:r w:rsidR="00424EEF" w:rsidRPr="000663FF">
        <w:rPr>
          <w:rFonts w:cs="Arial"/>
          <w:color w:val="auto"/>
        </w:rPr>
        <w:t>other natural featu</w:t>
      </w:r>
      <w:r w:rsidR="00625A85" w:rsidRPr="000663FF">
        <w:rPr>
          <w:rFonts w:cs="Arial"/>
          <w:color w:val="auto"/>
        </w:rPr>
        <w:t>r</w:t>
      </w:r>
      <w:r w:rsidR="00424EEF" w:rsidRPr="000663FF">
        <w:rPr>
          <w:rFonts w:cs="Arial"/>
          <w:color w:val="auto"/>
        </w:rPr>
        <w:t xml:space="preserve">es, urban and rural, which </w:t>
      </w:r>
      <w:proofErr w:type="gramStart"/>
      <w:r w:rsidR="00424EEF" w:rsidRPr="000663FF">
        <w:rPr>
          <w:rFonts w:cs="Arial"/>
          <w:color w:val="auto"/>
        </w:rPr>
        <w:t>is capable of delivering</w:t>
      </w:r>
      <w:proofErr w:type="gramEnd"/>
      <w:r w:rsidR="00424EEF" w:rsidRPr="000663FF">
        <w:rPr>
          <w:rFonts w:cs="Arial"/>
          <w:color w:val="auto"/>
        </w:rPr>
        <w:t xml:space="preserve"> a wide range of environmental, economic, health and well-being benefits for nature, climate, local and wider communities and prosperity. </w:t>
      </w:r>
      <w:r w:rsidRPr="000663FF">
        <w:rPr>
          <w:rFonts w:cs="Arial"/>
          <w:bCs/>
          <w:color w:val="auto"/>
        </w:rPr>
        <w:t>This includes but is not limited to</w:t>
      </w:r>
      <w:r w:rsidRPr="000663FF">
        <w:rPr>
          <w:rFonts w:cs="Arial"/>
          <w:color w:val="auto"/>
        </w:rPr>
        <w:t xml:space="preserve"> parks</w:t>
      </w:r>
      <w:r w:rsidR="00383F74" w:rsidRPr="000663FF">
        <w:rPr>
          <w:rFonts w:cs="Arial"/>
          <w:color w:val="auto"/>
        </w:rPr>
        <w:t xml:space="preserve"> (including </w:t>
      </w:r>
      <w:r w:rsidR="00383F74" w:rsidRPr="00DE3D8F">
        <w:rPr>
          <w:rFonts w:cs="Arial"/>
          <w:strike/>
          <w:color w:val="auto"/>
        </w:rPr>
        <w:t>historic</w:t>
      </w:r>
      <w:r w:rsidR="00383F74" w:rsidRPr="000663FF">
        <w:rPr>
          <w:rFonts w:cs="Arial"/>
          <w:color w:val="auto"/>
        </w:rPr>
        <w:t xml:space="preserve"> </w:t>
      </w:r>
      <w:r w:rsidR="00DE3D8F">
        <w:rPr>
          <w:rFonts w:cs="Arial"/>
          <w:color w:val="0070C0"/>
        </w:rPr>
        <w:t xml:space="preserve">Registered </w:t>
      </w:r>
      <w:r w:rsidR="00DE3D8F" w:rsidRPr="00DE3D8F">
        <w:rPr>
          <w:rFonts w:cs="Arial"/>
          <w:color w:val="auto"/>
        </w:rPr>
        <w:t>P</w:t>
      </w:r>
      <w:r w:rsidR="00383F74" w:rsidRPr="000663FF">
        <w:rPr>
          <w:rFonts w:cs="Arial"/>
          <w:color w:val="auto"/>
        </w:rPr>
        <w:t xml:space="preserve">arks and </w:t>
      </w:r>
      <w:r w:rsidR="00DE3D8F">
        <w:rPr>
          <w:rFonts w:cs="Arial"/>
          <w:color w:val="auto"/>
        </w:rPr>
        <w:t>G</w:t>
      </w:r>
      <w:r w:rsidR="00383F74" w:rsidRPr="000663FF">
        <w:rPr>
          <w:rFonts w:cs="Arial"/>
          <w:color w:val="auto"/>
        </w:rPr>
        <w:t>ardens</w:t>
      </w:r>
      <w:r w:rsidR="00DE3D8F">
        <w:rPr>
          <w:rFonts w:cs="Arial"/>
          <w:color w:val="0070C0"/>
        </w:rPr>
        <w:t>, and Unregistered parks and Gardens</w:t>
      </w:r>
      <w:r w:rsidR="00383F74" w:rsidRPr="000663FF">
        <w:rPr>
          <w:rFonts w:cs="Arial"/>
          <w:color w:val="auto"/>
        </w:rPr>
        <w:t>)</w:t>
      </w:r>
      <w:r w:rsidRPr="000663FF">
        <w:rPr>
          <w:rFonts w:cs="Arial"/>
          <w:color w:val="auto"/>
        </w:rPr>
        <w:t xml:space="preserve">, </w:t>
      </w:r>
      <w:r w:rsidR="00DE3D8F">
        <w:rPr>
          <w:rFonts w:cs="Arial"/>
          <w:color w:val="0070C0"/>
        </w:rPr>
        <w:t xml:space="preserve">heritage assets, </w:t>
      </w:r>
      <w:r w:rsidRPr="000663FF">
        <w:rPr>
          <w:rFonts w:cs="Arial"/>
          <w:color w:val="auto"/>
        </w:rPr>
        <w:t xml:space="preserve">open spaces, playing fields, woodlands, allotments, cemeteries, private gardens and river corridors, green roofs and wall as well as </w:t>
      </w:r>
      <w:r w:rsidR="00705DCE" w:rsidRPr="000663FF">
        <w:rPr>
          <w:rFonts w:cs="Arial"/>
          <w:color w:val="auto"/>
        </w:rPr>
        <w:t xml:space="preserve">archaeological features, </w:t>
      </w:r>
      <w:r w:rsidRPr="000663FF">
        <w:rPr>
          <w:rFonts w:cs="Arial"/>
          <w:color w:val="auto"/>
        </w:rPr>
        <w:t>agricultural land, country parks, private estates</w:t>
      </w:r>
      <w:r w:rsidR="00424EEF" w:rsidRPr="000663FF">
        <w:rPr>
          <w:rFonts w:cs="Arial"/>
          <w:color w:val="auto"/>
        </w:rPr>
        <w:t xml:space="preserve">, </w:t>
      </w:r>
      <w:r w:rsidR="00705DCE" w:rsidRPr="000663FF">
        <w:rPr>
          <w:rFonts w:cs="Arial"/>
          <w:color w:val="auto"/>
        </w:rPr>
        <w:t>and</w:t>
      </w:r>
      <w:r w:rsidRPr="000663FF">
        <w:rPr>
          <w:rFonts w:cs="Arial"/>
          <w:color w:val="auto"/>
        </w:rPr>
        <w:t xml:space="preserve"> wasteland. </w:t>
      </w:r>
    </w:p>
    <w:p w14:paraId="57FD80D6" w14:textId="77777777" w:rsidR="004D690C" w:rsidRDefault="004D690C" w:rsidP="004D690C">
      <w:pPr>
        <w:keepNext w:val="0"/>
        <w:spacing w:before="100" w:beforeAutospacing="1" w:after="100" w:afterAutospacing="1"/>
        <w:rPr>
          <w:rFonts w:cs="Arial"/>
          <w:color w:val="auto"/>
          <w:szCs w:val="24"/>
        </w:rPr>
      </w:pPr>
      <w:r w:rsidRPr="000663FF">
        <w:rPr>
          <w:rFonts w:cs="Arial"/>
          <w:b/>
          <w:color w:val="auto"/>
          <w:szCs w:val="24"/>
        </w:rPr>
        <w:t xml:space="preserve">Greenfield Land: </w:t>
      </w:r>
      <w:r w:rsidRPr="000663FF">
        <w:rPr>
          <w:rFonts w:cs="Arial"/>
          <w:color w:val="auto"/>
          <w:szCs w:val="24"/>
        </w:rPr>
        <w:t xml:space="preserve">A term used to define </w:t>
      </w:r>
      <w:r w:rsidRPr="003C7E62">
        <w:rPr>
          <w:rFonts w:cs="Arial"/>
          <w:color w:val="auto"/>
          <w:szCs w:val="24"/>
        </w:rPr>
        <w:t xml:space="preserve">land that has never been built on or where the remains of any structure or activity have been blended into the landscape over time. </w:t>
      </w:r>
      <w:smartTag w:uri="urn:schemas-microsoft-com:office:smarttags" w:element="City">
        <w:smartTag w:uri="urn:schemas-microsoft-com:office:smarttags" w:element="place">
          <w:r w:rsidRPr="003C7E62">
            <w:rPr>
              <w:rFonts w:cs="Arial"/>
              <w:color w:val="auto"/>
              <w:szCs w:val="24"/>
            </w:rPr>
            <w:t>Greenfield</w:t>
          </w:r>
        </w:smartTag>
      </w:smartTag>
      <w:r w:rsidRPr="003C7E62">
        <w:rPr>
          <w:rFonts w:cs="Arial"/>
          <w:color w:val="auto"/>
          <w:szCs w:val="24"/>
        </w:rPr>
        <w:t xml:space="preserve"> land should not be confused with Green Belt land (see definition above).</w:t>
      </w:r>
    </w:p>
    <w:p w14:paraId="139B63AF" w14:textId="30C8FD46" w:rsidR="00BE209B" w:rsidRPr="00C42CFB" w:rsidRDefault="00BE209B" w:rsidP="004D690C">
      <w:pPr>
        <w:keepNext w:val="0"/>
        <w:spacing w:before="100" w:beforeAutospacing="1" w:after="100" w:afterAutospacing="1"/>
        <w:rPr>
          <w:rFonts w:cs="Arial"/>
          <w:color w:val="0070C0"/>
          <w:szCs w:val="24"/>
        </w:rPr>
      </w:pPr>
      <w:r w:rsidRPr="00C42CFB">
        <w:rPr>
          <w:rFonts w:cs="Arial"/>
          <w:b/>
          <w:color w:val="0070C0"/>
          <w:szCs w:val="24"/>
        </w:rPr>
        <w:lastRenderedPageBreak/>
        <w:t>Green Space:</w:t>
      </w:r>
      <w:r w:rsidRPr="00C42CFB">
        <w:rPr>
          <w:rFonts w:cs="Arial"/>
          <w:color w:val="0070C0"/>
          <w:szCs w:val="24"/>
        </w:rPr>
        <w:t xml:space="preserve"> Includes but not limited to town parks, formal gardens, informal woodland, restored landscapes, play areas, recreation grounds and sports facilities, school playing fields, local small green spaces, green routes, reservoirs, allotments, cemeteries and church yards, undeveloped parcels of land, and semi-natural areas.</w:t>
      </w:r>
    </w:p>
    <w:p w14:paraId="3344868E" w14:textId="77777777" w:rsidR="004D690C" w:rsidRPr="003C7E62" w:rsidRDefault="004D690C" w:rsidP="004D690C">
      <w:pPr>
        <w:keepNext w:val="0"/>
        <w:spacing w:before="0"/>
        <w:rPr>
          <w:rFonts w:cs="Arial"/>
          <w:color w:val="auto"/>
          <w:lang w:val="en"/>
        </w:rPr>
      </w:pPr>
      <w:r w:rsidRPr="003C7E62">
        <w:rPr>
          <w:rFonts w:cs="Arial"/>
          <w:b/>
          <w:color w:val="auto"/>
        </w:rPr>
        <w:t xml:space="preserve">Green Wedge: </w:t>
      </w:r>
      <w:r w:rsidRPr="003C7E62">
        <w:rPr>
          <w:rFonts w:cs="Arial"/>
          <w:color w:val="auto"/>
          <w:lang w:val="en"/>
        </w:rPr>
        <w:t xml:space="preserve">Green wedges are local policy designations comprising open areas around and between parts of settlements, which maintain the distinction between the countryside and </w:t>
      </w:r>
      <w:proofErr w:type="gramStart"/>
      <w:r w:rsidRPr="003C7E62">
        <w:rPr>
          <w:rFonts w:cs="Arial"/>
          <w:color w:val="auto"/>
          <w:lang w:val="en"/>
        </w:rPr>
        <w:t>built up</w:t>
      </w:r>
      <w:proofErr w:type="gramEnd"/>
      <w:r w:rsidRPr="003C7E62">
        <w:rPr>
          <w:rFonts w:cs="Arial"/>
          <w:color w:val="auto"/>
          <w:lang w:val="en"/>
        </w:rPr>
        <w:t xml:space="preserve"> areas, prevent the coalescence (merging) of adjacent places and can also provide recreational opportunities.</w:t>
      </w:r>
    </w:p>
    <w:p w14:paraId="66EAD63E" w14:textId="77777777" w:rsidR="004D690C" w:rsidRPr="003C7E62" w:rsidRDefault="004D690C" w:rsidP="004D690C">
      <w:pPr>
        <w:keepNext w:val="0"/>
        <w:spacing w:before="0"/>
        <w:rPr>
          <w:rFonts w:cs="Arial"/>
          <w:b/>
          <w:color w:val="auto"/>
          <w:lang w:val="en"/>
        </w:rPr>
      </w:pPr>
    </w:p>
    <w:p w14:paraId="5A29EE80" w14:textId="77777777" w:rsidR="004D690C" w:rsidRPr="003C7E62" w:rsidRDefault="004D690C" w:rsidP="004D690C">
      <w:pPr>
        <w:keepNext w:val="0"/>
        <w:spacing w:before="0"/>
        <w:rPr>
          <w:rFonts w:cs="Arial"/>
          <w:b/>
          <w:color w:val="auto"/>
          <w:lang w:val="en"/>
        </w:rPr>
      </w:pPr>
      <w:r w:rsidRPr="003C7E62">
        <w:rPr>
          <w:rFonts w:cs="Arial"/>
          <w:b/>
          <w:color w:val="auto"/>
          <w:lang w:val="en"/>
        </w:rPr>
        <w:t>Groundwater:</w:t>
      </w:r>
      <w:r w:rsidRPr="003C7E62">
        <w:rPr>
          <w:rFonts w:cs="Arial"/>
          <w:color w:val="auto"/>
          <w:lang w:val="en"/>
        </w:rPr>
        <w:t xml:space="preserve"> An important part of the natural water cycle present underground, within strata known as aquifers.</w:t>
      </w:r>
      <w:r w:rsidRPr="003C7E62">
        <w:rPr>
          <w:rFonts w:cs="Arial"/>
          <w:b/>
          <w:color w:val="auto"/>
          <w:lang w:val="en"/>
        </w:rPr>
        <w:t xml:space="preserve"> </w:t>
      </w:r>
    </w:p>
    <w:p w14:paraId="15AF8682" w14:textId="77777777" w:rsidR="004D690C" w:rsidRPr="003C7E62" w:rsidRDefault="004D690C" w:rsidP="004D690C">
      <w:pPr>
        <w:keepNext w:val="0"/>
        <w:spacing w:before="0"/>
        <w:rPr>
          <w:rFonts w:cs="Arial"/>
          <w:b/>
          <w:color w:val="auto"/>
          <w:lang w:val="en"/>
        </w:rPr>
      </w:pPr>
    </w:p>
    <w:p w14:paraId="09C7F32F" w14:textId="568E1950" w:rsidR="004D690C" w:rsidRPr="003C7E62" w:rsidRDefault="004D690C" w:rsidP="004D690C">
      <w:pPr>
        <w:keepNext w:val="0"/>
        <w:spacing w:before="0"/>
        <w:rPr>
          <w:rFonts w:cs="Arial"/>
          <w:color w:val="auto"/>
        </w:rPr>
      </w:pPr>
      <w:r w:rsidRPr="003C7E62">
        <w:rPr>
          <w:rFonts w:cs="Arial"/>
          <w:b/>
          <w:color w:val="auto"/>
          <w:lang w:val="en"/>
        </w:rPr>
        <w:t xml:space="preserve">Gypsies and </w:t>
      </w:r>
      <w:proofErr w:type="spellStart"/>
      <w:r w:rsidRPr="003C7E62">
        <w:rPr>
          <w:rFonts w:cs="Arial"/>
          <w:b/>
          <w:color w:val="auto"/>
          <w:lang w:val="en"/>
        </w:rPr>
        <w:t>Travel</w:t>
      </w:r>
      <w:r w:rsidR="00FE2359">
        <w:rPr>
          <w:rFonts w:cs="Arial"/>
          <w:b/>
          <w:color w:val="auto"/>
          <w:lang w:val="en"/>
        </w:rPr>
        <w:t>l</w:t>
      </w:r>
      <w:r w:rsidRPr="003C7E62">
        <w:rPr>
          <w:rFonts w:cs="Arial"/>
          <w:b/>
          <w:color w:val="auto"/>
          <w:lang w:val="en"/>
        </w:rPr>
        <w:t>ers</w:t>
      </w:r>
      <w:proofErr w:type="spellEnd"/>
      <w:r w:rsidRPr="003C7E62">
        <w:rPr>
          <w:rFonts w:cs="Arial"/>
          <w:b/>
          <w:color w:val="auto"/>
          <w:lang w:val="en"/>
        </w:rPr>
        <w:t>:</w:t>
      </w:r>
      <w:r w:rsidRPr="003C7E62">
        <w:rPr>
          <w:rFonts w:cs="Arial"/>
          <w:color w:val="auto"/>
          <w:lang w:val="en"/>
        </w:rPr>
        <w:t xml:space="preserve"> </w:t>
      </w:r>
      <w:r w:rsidRPr="003C7E62">
        <w:rPr>
          <w:rFonts w:cs="Arial"/>
          <w:color w:val="auto"/>
        </w:rPr>
        <w:t xml:space="preserve">Persons of nomadic habit of life whatever their race or origin, including such persons who on grounds only of their own or their family’s or dependants’ educational or health needs or old age have ceased to travel temporarily, but excluding members of an organised group of travelling </w:t>
      </w:r>
      <w:proofErr w:type="spellStart"/>
      <w:r w:rsidRPr="003C7E62">
        <w:rPr>
          <w:rFonts w:cs="Arial"/>
          <w:color w:val="auto"/>
        </w:rPr>
        <w:t>showpeople</w:t>
      </w:r>
      <w:proofErr w:type="spellEnd"/>
      <w:r w:rsidRPr="003C7E62">
        <w:rPr>
          <w:rFonts w:cs="Arial"/>
          <w:color w:val="auto"/>
        </w:rPr>
        <w:t xml:space="preserve"> or circus people travelling together as such.</w:t>
      </w:r>
    </w:p>
    <w:p w14:paraId="56C91043" w14:textId="77777777" w:rsidR="004D690C" w:rsidRPr="003C7E62" w:rsidRDefault="004D690C" w:rsidP="004D690C">
      <w:pPr>
        <w:keepNext w:val="0"/>
        <w:autoSpaceDE w:val="0"/>
        <w:autoSpaceDN w:val="0"/>
        <w:adjustRightInd w:val="0"/>
        <w:spacing w:before="0"/>
        <w:rPr>
          <w:rFonts w:cs="Arial"/>
          <w:color w:val="000000"/>
          <w:szCs w:val="24"/>
          <w:lang w:val="en-US" w:eastAsia="en-US"/>
        </w:rPr>
      </w:pPr>
    </w:p>
    <w:p w14:paraId="7A81D166" w14:textId="77777777" w:rsidR="004D690C" w:rsidRPr="003C7E62" w:rsidRDefault="004D690C" w:rsidP="004D690C">
      <w:pPr>
        <w:keepNext w:val="0"/>
        <w:spacing w:before="0"/>
        <w:rPr>
          <w:rFonts w:cs="Arial"/>
          <w:color w:val="auto"/>
        </w:rPr>
      </w:pPr>
      <w:r w:rsidRPr="003C7E62">
        <w:rPr>
          <w:rFonts w:cs="Arial"/>
          <w:b/>
          <w:color w:val="auto"/>
        </w:rPr>
        <w:t>Ha/ha (Hectare):</w:t>
      </w:r>
      <w:r w:rsidRPr="003C7E62">
        <w:rPr>
          <w:rFonts w:cs="Arial"/>
          <w:color w:val="auto"/>
        </w:rPr>
        <w:t xml:space="preserve"> An area 10,000 sq. metres or 2.471 acres.</w:t>
      </w:r>
    </w:p>
    <w:p w14:paraId="614B27F2" w14:textId="77777777" w:rsidR="004D690C" w:rsidRPr="003C7E62" w:rsidRDefault="004D690C" w:rsidP="004D690C">
      <w:pPr>
        <w:keepNext w:val="0"/>
        <w:spacing w:before="0"/>
        <w:rPr>
          <w:rFonts w:cs="Arial"/>
          <w:color w:val="auto"/>
        </w:rPr>
      </w:pPr>
    </w:p>
    <w:p w14:paraId="1B484C5A" w14:textId="77777777" w:rsidR="004D690C" w:rsidRPr="003C7E62" w:rsidRDefault="004D690C" w:rsidP="004D690C">
      <w:pPr>
        <w:keepNext w:val="0"/>
        <w:autoSpaceDE w:val="0"/>
        <w:autoSpaceDN w:val="0"/>
        <w:adjustRightInd w:val="0"/>
        <w:spacing w:before="0"/>
        <w:rPr>
          <w:rFonts w:cs="Arial"/>
          <w:b/>
          <w:color w:val="auto"/>
        </w:rPr>
      </w:pPr>
      <w:r w:rsidRPr="003C7E62">
        <w:rPr>
          <w:rFonts w:eastAsia="Calibri" w:cs="Arial"/>
          <w:b/>
          <w:bCs/>
          <w:color w:val="auto"/>
          <w:szCs w:val="24"/>
          <w:lang w:eastAsia="en-US"/>
        </w:rPr>
        <w:t>Health and Wellbeing</w:t>
      </w:r>
      <w:r w:rsidRPr="003C7E62">
        <w:rPr>
          <w:rFonts w:eastAsia="Calibri" w:cs="Arial"/>
          <w:bCs/>
          <w:color w:val="auto"/>
          <w:szCs w:val="24"/>
          <w:lang w:eastAsia="en-US"/>
        </w:rPr>
        <w:t>: H</w:t>
      </w:r>
      <w:r w:rsidRPr="003C7E62">
        <w:rPr>
          <w:rFonts w:eastAsia="Calibri" w:cs="Arial"/>
          <w:color w:val="auto"/>
          <w:szCs w:val="24"/>
          <w:lang w:eastAsia="en-US"/>
        </w:rPr>
        <w:t xml:space="preserve">ealth is often considered as being an absence of illness or disability.  Health and wellbeing </w:t>
      </w:r>
      <w:proofErr w:type="gramStart"/>
      <w:r w:rsidRPr="003C7E62">
        <w:rPr>
          <w:rFonts w:eastAsia="Calibri" w:cs="Arial"/>
          <w:color w:val="auto"/>
          <w:szCs w:val="24"/>
          <w:lang w:eastAsia="en-US"/>
        </w:rPr>
        <w:t>is</w:t>
      </w:r>
      <w:proofErr w:type="gramEnd"/>
      <w:r w:rsidRPr="003C7E62">
        <w:rPr>
          <w:rFonts w:eastAsia="Calibri" w:cs="Arial"/>
          <w:color w:val="auto"/>
          <w:szCs w:val="24"/>
          <w:lang w:eastAsia="en-US"/>
        </w:rPr>
        <w:t xml:space="preserve"> much wider and is a combination of physical, mental and social factors.  (Nottinghamshire Health &amp; Wellbeing Strategy 2014 -2017).</w:t>
      </w:r>
    </w:p>
    <w:p w14:paraId="3FA5DF94" w14:textId="77777777" w:rsidR="004D690C" w:rsidRPr="003C7E62" w:rsidRDefault="004D690C" w:rsidP="004D690C">
      <w:pPr>
        <w:keepNext w:val="0"/>
        <w:spacing w:before="0"/>
        <w:rPr>
          <w:rFonts w:cs="Arial"/>
          <w:b/>
          <w:color w:val="auto"/>
        </w:rPr>
      </w:pPr>
    </w:p>
    <w:p w14:paraId="597F0429" w14:textId="77777777" w:rsidR="004D690C" w:rsidRPr="003C7E62" w:rsidRDefault="004D690C" w:rsidP="004D690C">
      <w:pPr>
        <w:keepNext w:val="0"/>
        <w:spacing w:before="0"/>
        <w:rPr>
          <w:rFonts w:cs="Arial"/>
          <w:color w:val="auto"/>
        </w:rPr>
      </w:pPr>
      <w:r w:rsidRPr="003C7E62">
        <w:rPr>
          <w:rFonts w:cs="Arial"/>
          <w:b/>
          <w:color w:val="auto"/>
        </w:rPr>
        <w:t xml:space="preserve">Heritage Asset: </w:t>
      </w:r>
      <w:r w:rsidRPr="003C7E62">
        <w:rPr>
          <w:rFonts w:cs="Arial"/>
          <w:color w:val="auto"/>
        </w:rPr>
        <w:t>A building, monument, site, place, area or landscape identified as having a degree of significance meriting consideration in planning decisions, because of its heritage interest.  Heritage asset includes designated heritage assets and assets identified by the local planning authority (including local listing).</w:t>
      </w:r>
    </w:p>
    <w:p w14:paraId="78CF7919" w14:textId="77777777" w:rsidR="004D690C" w:rsidRPr="003C7E62" w:rsidRDefault="004D690C" w:rsidP="004D690C">
      <w:pPr>
        <w:keepNext w:val="0"/>
        <w:spacing w:before="0"/>
        <w:rPr>
          <w:rFonts w:cs="Arial"/>
          <w:color w:val="auto"/>
        </w:rPr>
      </w:pPr>
    </w:p>
    <w:p w14:paraId="4A65BCFA" w14:textId="77777777" w:rsidR="004D690C" w:rsidRPr="003C7E62" w:rsidRDefault="004D690C" w:rsidP="004D690C">
      <w:pPr>
        <w:keepNext w:val="0"/>
        <w:autoSpaceDE w:val="0"/>
        <w:autoSpaceDN w:val="0"/>
        <w:adjustRightInd w:val="0"/>
        <w:spacing w:before="0" w:after="40" w:line="261" w:lineRule="atLeast"/>
        <w:rPr>
          <w:rFonts w:cs="Arial"/>
          <w:color w:val="auto"/>
          <w:szCs w:val="24"/>
        </w:rPr>
      </w:pPr>
      <w:r w:rsidRPr="003C7E62">
        <w:rPr>
          <w:rFonts w:cs="Arial"/>
          <w:b/>
          <w:color w:val="auto"/>
          <w:szCs w:val="24"/>
        </w:rPr>
        <w:t>Historic Environment:</w:t>
      </w:r>
      <w:r w:rsidRPr="003C7E62">
        <w:rPr>
          <w:rFonts w:cs="Arial"/>
          <w:color w:val="auto"/>
          <w:szCs w:val="24"/>
        </w:rPr>
        <w:t xml:space="preserve"> All aspects of the environment resulting from the interaction between people and places through time, including all surviving physical remains of past human activity, whether visible, buried or submerged, and landscaped and planted or managed flora.</w:t>
      </w:r>
    </w:p>
    <w:p w14:paraId="3C0F9744" w14:textId="77777777" w:rsidR="004D690C" w:rsidRPr="003C7E62" w:rsidRDefault="004D690C" w:rsidP="004D690C">
      <w:pPr>
        <w:keepNext w:val="0"/>
        <w:autoSpaceDE w:val="0"/>
        <w:autoSpaceDN w:val="0"/>
        <w:adjustRightInd w:val="0"/>
        <w:spacing w:before="0" w:after="40" w:line="261" w:lineRule="atLeast"/>
        <w:rPr>
          <w:rFonts w:cs="Arial"/>
          <w:color w:val="000000"/>
          <w:szCs w:val="24"/>
        </w:rPr>
      </w:pPr>
    </w:p>
    <w:p w14:paraId="3D2ADA61" w14:textId="77777777" w:rsidR="004D690C" w:rsidRPr="003C7E62" w:rsidRDefault="004D690C" w:rsidP="004D690C">
      <w:pPr>
        <w:keepNext w:val="0"/>
        <w:autoSpaceDE w:val="0"/>
        <w:autoSpaceDN w:val="0"/>
        <w:adjustRightInd w:val="0"/>
        <w:spacing w:before="0" w:after="40" w:line="261" w:lineRule="atLeast"/>
        <w:rPr>
          <w:rFonts w:cs="Arial"/>
          <w:color w:val="auto"/>
          <w:szCs w:val="24"/>
        </w:rPr>
      </w:pPr>
      <w:r w:rsidRPr="003C7E62">
        <w:rPr>
          <w:rFonts w:cs="Arial"/>
          <w:b/>
          <w:color w:val="auto"/>
          <w:szCs w:val="24"/>
        </w:rPr>
        <w:t>Historic Environment Record:</w:t>
      </w:r>
      <w:r w:rsidRPr="003C7E62">
        <w:rPr>
          <w:rFonts w:cs="Arial"/>
          <w:color w:val="auto"/>
          <w:szCs w:val="24"/>
        </w:rPr>
        <w:t xml:space="preserve"> Information services that seek to provide access to comprehensive and dynamic resources relating to the historic environment of a defined geographic area for public benefit and use.</w:t>
      </w:r>
    </w:p>
    <w:p w14:paraId="30088A70" w14:textId="77777777" w:rsidR="004D690C" w:rsidRPr="003C7E62" w:rsidRDefault="004D690C" w:rsidP="004D690C">
      <w:pPr>
        <w:keepNext w:val="0"/>
        <w:autoSpaceDE w:val="0"/>
        <w:autoSpaceDN w:val="0"/>
        <w:adjustRightInd w:val="0"/>
        <w:spacing w:before="0"/>
        <w:rPr>
          <w:rFonts w:cs="Arial"/>
          <w:color w:val="000000"/>
          <w:szCs w:val="24"/>
          <w:lang w:val="en-US"/>
        </w:rPr>
      </w:pPr>
    </w:p>
    <w:p w14:paraId="52B3C44D" w14:textId="77777777" w:rsidR="004D690C" w:rsidRPr="003C7E62" w:rsidRDefault="004D690C" w:rsidP="004D690C">
      <w:pPr>
        <w:keepNext w:val="0"/>
        <w:autoSpaceDE w:val="0"/>
        <w:autoSpaceDN w:val="0"/>
        <w:adjustRightInd w:val="0"/>
        <w:spacing w:before="0"/>
        <w:rPr>
          <w:rFonts w:cs="Arial"/>
          <w:b/>
          <w:bCs/>
          <w:color w:val="auto"/>
          <w:szCs w:val="24"/>
        </w:rPr>
      </w:pPr>
      <w:r w:rsidRPr="003C7E62">
        <w:rPr>
          <w:rFonts w:cs="Arial"/>
          <w:b/>
          <w:color w:val="auto"/>
          <w:szCs w:val="24"/>
        </w:rPr>
        <w:t>Infrastructure</w:t>
      </w:r>
      <w:r w:rsidRPr="003C7E62">
        <w:rPr>
          <w:rFonts w:cs="Arial"/>
          <w:color w:val="auto"/>
          <w:szCs w:val="24"/>
        </w:rPr>
        <w:t>: The basic structures and facilities necessary for the efficient functioning of a given geographical area.</w:t>
      </w:r>
    </w:p>
    <w:p w14:paraId="557EA11A" w14:textId="77777777" w:rsidR="004D690C" w:rsidRPr="003C7E62" w:rsidRDefault="004D690C" w:rsidP="004D690C">
      <w:pPr>
        <w:keepNext w:val="0"/>
        <w:autoSpaceDE w:val="0"/>
        <w:autoSpaceDN w:val="0"/>
        <w:adjustRightInd w:val="0"/>
        <w:spacing w:before="0"/>
        <w:rPr>
          <w:rFonts w:cs="Arial"/>
          <w:b/>
          <w:bCs/>
          <w:color w:val="auto"/>
          <w:szCs w:val="24"/>
        </w:rPr>
      </w:pPr>
    </w:p>
    <w:p w14:paraId="75F74832" w14:textId="77777777" w:rsidR="004D690C" w:rsidRPr="003C7E62" w:rsidRDefault="004D690C" w:rsidP="004D690C">
      <w:pPr>
        <w:keepNext w:val="0"/>
        <w:spacing w:before="0"/>
        <w:rPr>
          <w:rFonts w:cs="Arial"/>
          <w:color w:val="000000"/>
          <w:szCs w:val="24"/>
          <w:lang w:val="en-US"/>
        </w:rPr>
      </w:pPr>
      <w:r w:rsidRPr="003C7E62">
        <w:rPr>
          <w:rFonts w:cs="Arial"/>
          <w:b/>
          <w:color w:val="000000"/>
          <w:szCs w:val="24"/>
          <w:lang w:val="en-US"/>
        </w:rPr>
        <w:t xml:space="preserve">Key Diagram:   </w:t>
      </w:r>
      <w:r w:rsidRPr="003C7E62">
        <w:rPr>
          <w:rFonts w:cs="Arial"/>
          <w:color w:val="000000"/>
          <w:szCs w:val="24"/>
          <w:lang w:val="en-US"/>
        </w:rPr>
        <w:t>Map, picture, figure or plan which is integral to the importance of the document.</w:t>
      </w:r>
    </w:p>
    <w:p w14:paraId="2A9999A1" w14:textId="77777777" w:rsidR="004D690C" w:rsidRPr="003C7E62" w:rsidRDefault="004D690C" w:rsidP="004D690C">
      <w:pPr>
        <w:keepNext w:val="0"/>
        <w:spacing w:before="0"/>
        <w:rPr>
          <w:rFonts w:cs="Arial"/>
          <w:b/>
          <w:color w:val="auto"/>
        </w:rPr>
      </w:pPr>
    </w:p>
    <w:p w14:paraId="61A78BE1" w14:textId="77777777" w:rsidR="004D690C" w:rsidRPr="003C7E62" w:rsidRDefault="004D690C" w:rsidP="004D690C">
      <w:pPr>
        <w:keepNext w:val="0"/>
        <w:spacing w:before="0"/>
        <w:rPr>
          <w:rFonts w:cs="Arial"/>
          <w:color w:val="auto"/>
        </w:rPr>
      </w:pPr>
      <w:r w:rsidRPr="003C7E62">
        <w:rPr>
          <w:rFonts w:cs="Arial"/>
          <w:b/>
          <w:color w:val="auto"/>
        </w:rPr>
        <w:t>Knowledge Economy:</w:t>
      </w:r>
      <w:r w:rsidRPr="003C7E62">
        <w:rPr>
          <w:rFonts w:cs="Arial"/>
          <w:color w:val="auto"/>
        </w:rPr>
        <w:t xml:space="preserve"> Classification of a particular individual industry, if 25% of its workforce is qualified to graduate standard.</w:t>
      </w:r>
    </w:p>
    <w:p w14:paraId="73AE2122" w14:textId="77777777" w:rsidR="004D690C" w:rsidRPr="003C7E62" w:rsidRDefault="004D690C" w:rsidP="004D690C">
      <w:pPr>
        <w:keepNext w:val="0"/>
        <w:spacing w:before="0"/>
        <w:rPr>
          <w:rFonts w:cs="Arial"/>
          <w:color w:val="auto"/>
        </w:rPr>
      </w:pPr>
    </w:p>
    <w:p w14:paraId="7A3A12DA" w14:textId="77777777" w:rsidR="004D690C" w:rsidRPr="003C7E62" w:rsidRDefault="004D690C" w:rsidP="004D690C">
      <w:pPr>
        <w:keepNext w:val="0"/>
        <w:spacing w:before="0"/>
        <w:rPr>
          <w:rFonts w:cs="Arial"/>
          <w:color w:val="auto"/>
        </w:rPr>
      </w:pPr>
      <w:r w:rsidRPr="003C7E62">
        <w:rPr>
          <w:rFonts w:cs="Arial"/>
          <w:b/>
          <w:color w:val="auto"/>
        </w:rPr>
        <w:lastRenderedPageBreak/>
        <w:t>Listed Buildings:</w:t>
      </w:r>
      <w:r w:rsidRPr="003C7E62">
        <w:rPr>
          <w:rFonts w:cs="Arial"/>
          <w:color w:val="auto"/>
        </w:rPr>
        <w:t xml:space="preserve"> A building or structure of special architectural or historic interest included on a list prepared by the Secretary of State for Culture, Media and Sport under Section 1 of the Planning (Listed Buildings and Conservation Areas) Act, 1990. Consent is required for its demolition in whole or part, and for any works of alteration or extension (both internal and external) which would affect its special interest.</w:t>
      </w:r>
    </w:p>
    <w:p w14:paraId="20F23EFE" w14:textId="77777777" w:rsidR="004D690C" w:rsidRPr="003C7E62" w:rsidRDefault="004D690C" w:rsidP="004D690C">
      <w:pPr>
        <w:keepNext w:val="0"/>
        <w:spacing w:before="0"/>
        <w:rPr>
          <w:rFonts w:cs="Arial"/>
          <w:color w:val="auto"/>
        </w:rPr>
      </w:pPr>
    </w:p>
    <w:p w14:paraId="08674B40" w14:textId="5B03EDCA" w:rsidR="004D690C" w:rsidRPr="003C7E62" w:rsidRDefault="004D690C" w:rsidP="004D690C">
      <w:pPr>
        <w:keepNext w:val="0"/>
        <w:spacing w:before="0"/>
        <w:rPr>
          <w:rFonts w:cs="Arial"/>
          <w:color w:val="auto"/>
        </w:rPr>
      </w:pPr>
      <w:r w:rsidRPr="003C7E62">
        <w:rPr>
          <w:rFonts w:cs="Arial"/>
          <w:b/>
          <w:color w:val="auto"/>
        </w:rPr>
        <w:t>Local Development Document (LDD):</w:t>
      </w:r>
      <w:r w:rsidRPr="003C7E62">
        <w:rPr>
          <w:rFonts w:cs="Arial"/>
          <w:color w:val="auto"/>
        </w:rPr>
        <w:t xml:space="preserve"> A </w:t>
      </w:r>
      <w:r w:rsidR="00C52BB8">
        <w:rPr>
          <w:rFonts w:cs="Arial"/>
          <w:color w:val="auto"/>
        </w:rPr>
        <w:t>d</w:t>
      </w:r>
      <w:r w:rsidRPr="003C7E62">
        <w:rPr>
          <w:rFonts w:cs="Arial"/>
          <w:color w:val="auto"/>
        </w:rPr>
        <w:t>ocument under the provisions of Planning and Compulsory Purchase Act 2004 that can be either a Development Plan Document or a Supplementary Planning Document.</w:t>
      </w:r>
    </w:p>
    <w:p w14:paraId="7DBE99D5" w14:textId="77777777" w:rsidR="004D690C" w:rsidRPr="003C7E62" w:rsidRDefault="004D690C" w:rsidP="004D690C">
      <w:pPr>
        <w:keepNext w:val="0"/>
        <w:spacing w:before="0"/>
        <w:rPr>
          <w:rFonts w:cs="Arial"/>
          <w:color w:val="auto"/>
        </w:rPr>
      </w:pPr>
    </w:p>
    <w:p w14:paraId="14207A71" w14:textId="77777777" w:rsidR="004D690C" w:rsidRPr="003C7E62" w:rsidRDefault="004D690C" w:rsidP="004D690C">
      <w:pPr>
        <w:keepNext w:val="0"/>
        <w:spacing w:before="0"/>
        <w:rPr>
          <w:rFonts w:cs="Arial"/>
          <w:b/>
          <w:color w:val="993366"/>
          <w:szCs w:val="24"/>
        </w:rPr>
      </w:pPr>
      <w:r w:rsidRPr="003C7E62">
        <w:rPr>
          <w:rFonts w:cs="Arial"/>
          <w:b/>
          <w:color w:val="auto"/>
          <w:szCs w:val="24"/>
        </w:rPr>
        <w:t>Local Development Framework (LDF):</w:t>
      </w:r>
      <w:r w:rsidRPr="003C7E62">
        <w:rPr>
          <w:rFonts w:cs="Arial"/>
          <w:b/>
          <w:color w:val="993366"/>
          <w:szCs w:val="24"/>
        </w:rPr>
        <w:t xml:space="preserve"> </w:t>
      </w:r>
      <w:r w:rsidRPr="003C7E62">
        <w:rPr>
          <w:rFonts w:cs="Arial"/>
          <w:color w:val="auto"/>
          <w:szCs w:val="24"/>
        </w:rPr>
        <w:t>A term used to describe a portfolio of Local Development Documents, which set out the spatial strategy for the development of the district. It is now typically identified as the Local Plan.</w:t>
      </w:r>
    </w:p>
    <w:p w14:paraId="3D05F07B" w14:textId="77777777" w:rsidR="004D690C" w:rsidRPr="003C7E62" w:rsidRDefault="004D690C" w:rsidP="004D690C">
      <w:pPr>
        <w:keepNext w:val="0"/>
        <w:spacing w:before="0"/>
        <w:rPr>
          <w:rFonts w:cs="Arial"/>
          <w:color w:val="auto"/>
        </w:rPr>
      </w:pPr>
    </w:p>
    <w:p w14:paraId="27E777B3" w14:textId="77777777" w:rsidR="004D690C" w:rsidRPr="003C7E62" w:rsidRDefault="004D690C" w:rsidP="004D690C">
      <w:pPr>
        <w:keepNext w:val="0"/>
        <w:spacing w:before="0"/>
        <w:rPr>
          <w:rFonts w:cs="Arial"/>
          <w:color w:val="C00000"/>
        </w:rPr>
      </w:pPr>
      <w:r w:rsidRPr="003C7E62">
        <w:rPr>
          <w:rFonts w:cs="Arial"/>
          <w:b/>
          <w:color w:val="auto"/>
        </w:rPr>
        <w:t>Local Development Scheme (LDS):</w:t>
      </w:r>
      <w:r w:rsidRPr="003C7E62">
        <w:rPr>
          <w:rFonts w:cs="Arial"/>
          <w:color w:val="auto"/>
        </w:rPr>
        <w:t xml:space="preserve"> A document setting out the timescales </w:t>
      </w:r>
      <w:proofErr w:type="gramStart"/>
      <w:r w:rsidRPr="003C7E62">
        <w:rPr>
          <w:rFonts w:cs="Arial"/>
          <w:color w:val="auto"/>
        </w:rPr>
        <w:t>for the production of</w:t>
      </w:r>
      <w:proofErr w:type="gramEnd"/>
      <w:r w:rsidRPr="003C7E62">
        <w:rPr>
          <w:rFonts w:cs="Arial"/>
          <w:color w:val="auto"/>
        </w:rPr>
        <w:t xml:space="preserve"> the Local Development Documents. (Usually the Local Plan).</w:t>
      </w:r>
    </w:p>
    <w:p w14:paraId="75E7DFC5" w14:textId="77777777" w:rsidR="004D690C" w:rsidRPr="003C7E62" w:rsidRDefault="004D690C" w:rsidP="004D690C">
      <w:pPr>
        <w:keepNext w:val="0"/>
        <w:spacing w:before="0"/>
        <w:rPr>
          <w:rFonts w:cs="Arial"/>
          <w:color w:val="auto"/>
        </w:rPr>
      </w:pPr>
    </w:p>
    <w:p w14:paraId="5B808F49" w14:textId="11DA5830" w:rsidR="004D690C" w:rsidRPr="003C7E62" w:rsidRDefault="004D690C" w:rsidP="004D690C">
      <w:pPr>
        <w:keepNext w:val="0"/>
        <w:autoSpaceDE w:val="0"/>
        <w:autoSpaceDN w:val="0"/>
        <w:adjustRightInd w:val="0"/>
        <w:spacing w:before="0"/>
        <w:rPr>
          <w:rFonts w:cs="Arial"/>
          <w:color w:val="auto"/>
        </w:rPr>
      </w:pPr>
      <w:r w:rsidRPr="003C7E62">
        <w:rPr>
          <w:rFonts w:cs="Arial"/>
          <w:b/>
          <w:color w:val="auto"/>
        </w:rPr>
        <w:t xml:space="preserve">Local Labour </w:t>
      </w:r>
      <w:r w:rsidR="00C52BB8">
        <w:rPr>
          <w:rFonts w:cs="Arial"/>
          <w:b/>
          <w:color w:val="auto"/>
        </w:rPr>
        <w:t>F</w:t>
      </w:r>
      <w:r w:rsidRPr="003C7E62">
        <w:rPr>
          <w:rFonts w:cs="Arial"/>
          <w:b/>
          <w:color w:val="auto"/>
        </w:rPr>
        <w:t>orce:</w:t>
      </w:r>
      <w:r w:rsidRPr="003C7E62">
        <w:rPr>
          <w:rFonts w:cs="Arial"/>
          <w:color w:val="auto"/>
        </w:rPr>
        <w:t xml:space="preserve"> There are </w:t>
      </w:r>
      <w:proofErr w:type="gramStart"/>
      <w:r w:rsidRPr="003C7E62">
        <w:rPr>
          <w:rFonts w:cs="Arial"/>
          <w:color w:val="auto"/>
        </w:rPr>
        <w:t>a number of</w:t>
      </w:r>
      <w:proofErr w:type="gramEnd"/>
      <w:r w:rsidRPr="003C7E62">
        <w:rPr>
          <w:rFonts w:cs="Arial"/>
          <w:color w:val="auto"/>
        </w:rPr>
        <w:t xml:space="preserve"> different definitions of local labour markets.  However, in simple terms the labour market is made up of: </w:t>
      </w:r>
    </w:p>
    <w:p w14:paraId="6E05D422" w14:textId="77777777" w:rsidR="004D690C" w:rsidRPr="003C7E62" w:rsidRDefault="004D690C" w:rsidP="004D690C">
      <w:pPr>
        <w:keepNext w:val="0"/>
        <w:autoSpaceDE w:val="0"/>
        <w:autoSpaceDN w:val="0"/>
        <w:adjustRightInd w:val="0"/>
        <w:spacing w:before="0"/>
        <w:rPr>
          <w:rFonts w:cs="Arial"/>
          <w:color w:val="auto"/>
          <w:sz w:val="10"/>
        </w:rPr>
      </w:pPr>
    </w:p>
    <w:p w14:paraId="70A81CC7" w14:textId="77777777" w:rsidR="004D690C" w:rsidRPr="003C7E62" w:rsidRDefault="004D690C" w:rsidP="00DC46C4">
      <w:pPr>
        <w:keepNext w:val="0"/>
        <w:numPr>
          <w:ilvl w:val="0"/>
          <w:numId w:val="8"/>
        </w:numPr>
        <w:spacing w:before="0" w:after="120"/>
        <w:rPr>
          <w:rFonts w:cs="Arial"/>
          <w:color w:val="auto"/>
        </w:rPr>
      </w:pPr>
      <w:r w:rsidRPr="003C7E62">
        <w:rPr>
          <w:rFonts w:cs="Arial"/>
          <w:color w:val="auto"/>
        </w:rPr>
        <w:t xml:space="preserve">self-containment, which is measured as the share of the population of an area that is employed locally, and the share of the employed who also live in the local area. </w:t>
      </w:r>
    </w:p>
    <w:p w14:paraId="7C64E504" w14:textId="77777777" w:rsidR="004D690C" w:rsidRPr="003C7E62" w:rsidRDefault="004D690C" w:rsidP="00DC46C4">
      <w:pPr>
        <w:keepNext w:val="0"/>
        <w:numPr>
          <w:ilvl w:val="0"/>
          <w:numId w:val="8"/>
        </w:numPr>
        <w:spacing w:before="0" w:after="120"/>
        <w:rPr>
          <w:rFonts w:cs="Arial"/>
          <w:color w:val="auto"/>
        </w:rPr>
      </w:pPr>
      <w:r w:rsidRPr="003C7E62">
        <w:rPr>
          <w:rFonts w:cs="Arial"/>
          <w:color w:val="auto"/>
        </w:rPr>
        <w:t xml:space="preserve">the commuting relationships of the area with other areas  </w:t>
      </w:r>
    </w:p>
    <w:p w14:paraId="45B2CBDB" w14:textId="77777777" w:rsidR="004D690C" w:rsidRPr="003C7E62" w:rsidRDefault="004D690C" w:rsidP="004D690C">
      <w:pPr>
        <w:keepNext w:val="0"/>
        <w:autoSpaceDE w:val="0"/>
        <w:autoSpaceDN w:val="0"/>
        <w:adjustRightInd w:val="0"/>
        <w:spacing w:before="0"/>
        <w:rPr>
          <w:rFonts w:cs="Arial"/>
          <w:color w:val="auto"/>
          <w:lang w:val="en"/>
        </w:rPr>
      </w:pPr>
    </w:p>
    <w:p w14:paraId="77435EB5" w14:textId="77777777" w:rsidR="004D690C" w:rsidRPr="003C7E62" w:rsidRDefault="004D690C" w:rsidP="004D690C">
      <w:pPr>
        <w:keepNext w:val="0"/>
        <w:autoSpaceDE w:val="0"/>
        <w:autoSpaceDN w:val="0"/>
        <w:adjustRightInd w:val="0"/>
        <w:spacing w:before="0"/>
        <w:rPr>
          <w:rFonts w:cs="Arial"/>
          <w:color w:val="auto"/>
          <w:lang w:val="en"/>
        </w:rPr>
      </w:pPr>
      <w:r w:rsidRPr="003C7E62">
        <w:rPr>
          <w:rFonts w:cs="Arial"/>
          <w:color w:val="auto"/>
          <w:lang w:val="en"/>
        </w:rPr>
        <w:t>The local</w:t>
      </w:r>
      <w:r w:rsidRPr="003C7E62">
        <w:rPr>
          <w:rFonts w:cs="Arial"/>
          <w:color w:val="auto"/>
        </w:rPr>
        <w:t xml:space="preserve"> labour</w:t>
      </w:r>
      <w:r w:rsidRPr="003C7E62">
        <w:rPr>
          <w:rFonts w:cs="Arial"/>
          <w:color w:val="auto"/>
          <w:lang w:val="en"/>
        </w:rPr>
        <w:t xml:space="preserve"> force reflects the population of Ashfield that lives within the </w:t>
      </w:r>
      <w:proofErr w:type="gramStart"/>
      <w:r w:rsidRPr="003C7E62">
        <w:rPr>
          <w:rFonts w:cs="Arial"/>
          <w:color w:val="auto"/>
          <w:lang w:val="en"/>
        </w:rPr>
        <w:t>District</w:t>
      </w:r>
      <w:proofErr w:type="gramEnd"/>
      <w:r w:rsidRPr="003C7E62">
        <w:rPr>
          <w:rFonts w:cs="Arial"/>
          <w:color w:val="auto"/>
          <w:lang w:val="en"/>
        </w:rPr>
        <w:t xml:space="preserve"> and </w:t>
      </w:r>
      <w:r w:rsidRPr="003C7E62">
        <w:rPr>
          <w:rFonts w:cs="Arial"/>
          <w:color w:val="auto"/>
        </w:rPr>
        <w:t>which is economically active, being identified by the application of economic activity rates (by age and sex) to the population.</w:t>
      </w:r>
    </w:p>
    <w:p w14:paraId="6E9530E6" w14:textId="77777777" w:rsidR="004D690C" w:rsidRPr="003C7E62" w:rsidRDefault="004D690C" w:rsidP="004D690C">
      <w:pPr>
        <w:keepNext w:val="0"/>
        <w:spacing w:before="0"/>
        <w:rPr>
          <w:rFonts w:cs="Arial"/>
          <w:b/>
          <w:color w:val="auto"/>
        </w:rPr>
      </w:pPr>
    </w:p>
    <w:p w14:paraId="6C81DE2A" w14:textId="77777777" w:rsidR="004D690C" w:rsidRPr="003C7E62" w:rsidRDefault="004D690C" w:rsidP="004D690C">
      <w:pPr>
        <w:keepNext w:val="0"/>
        <w:spacing w:before="0"/>
        <w:rPr>
          <w:rFonts w:cs="Arial"/>
          <w:color w:val="auto"/>
        </w:rPr>
      </w:pPr>
      <w:r w:rsidRPr="003C7E62">
        <w:rPr>
          <w:rFonts w:cs="Arial"/>
          <w:b/>
          <w:color w:val="auto"/>
        </w:rPr>
        <w:t>Local Nature Reserve (LNR):</w:t>
      </w:r>
      <w:r w:rsidRPr="003C7E62">
        <w:rPr>
          <w:rFonts w:cs="Arial"/>
          <w:color w:val="auto"/>
        </w:rPr>
        <w:t xml:space="preserve"> Established by a Local Authority under the powers of the National Parks and Access to the Countryside Act 1949.</w:t>
      </w:r>
    </w:p>
    <w:p w14:paraId="4D34DFC7" w14:textId="77777777" w:rsidR="004D690C" w:rsidRPr="003C7E62" w:rsidRDefault="004D690C" w:rsidP="004D690C">
      <w:pPr>
        <w:keepNext w:val="0"/>
        <w:spacing w:before="0"/>
        <w:rPr>
          <w:rFonts w:cs="Arial"/>
          <w:color w:val="auto"/>
        </w:rPr>
      </w:pPr>
    </w:p>
    <w:p w14:paraId="0079AC24" w14:textId="7D141575" w:rsidR="004D690C" w:rsidRPr="003C7E62" w:rsidRDefault="004D690C" w:rsidP="004D690C">
      <w:pPr>
        <w:keepNext w:val="0"/>
        <w:spacing w:before="0"/>
        <w:rPr>
          <w:rFonts w:cs="Arial"/>
          <w:color w:val="auto"/>
        </w:rPr>
      </w:pPr>
      <w:r w:rsidRPr="003C7E62">
        <w:rPr>
          <w:rFonts w:cs="Arial"/>
          <w:b/>
          <w:color w:val="auto"/>
        </w:rPr>
        <w:t>Local Plan:</w:t>
      </w:r>
      <w:r w:rsidRPr="003C7E62">
        <w:rPr>
          <w:rFonts w:cs="Arial"/>
          <w:color w:val="auto"/>
        </w:rPr>
        <w:t xml:space="preserve"> Comprises a Written Statement and a Policies Map.  The Written Statement includes the Authority’s detailed policies and proposals for the development and use of land together with reasoned justification for these proposals.</w:t>
      </w:r>
      <w:r w:rsidR="00C52BB8">
        <w:rPr>
          <w:rFonts w:cs="Arial"/>
          <w:color w:val="auto"/>
        </w:rPr>
        <w:t xml:space="preserve">  (A development plan document).</w:t>
      </w:r>
    </w:p>
    <w:p w14:paraId="56CD8232" w14:textId="77777777" w:rsidR="004D690C" w:rsidRPr="003C7E62" w:rsidRDefault="004D690C" w:rsidP="004D690C">
      <w:pPr>
        <w:keepNext w:val="0"/>
        <w:spacing w:before="0"/>
        <w:rPr>
          <w:rFonts w:cs="Arial"/>
          <w:color w:val="auto"/>
        </w:rPr>
      </w:pPr>
    </w:p>
    <w:p w14:paraId="25089CF2" w14:textId="77777777" w:rsidR="004D690C" w:rsidRPr="003C7E62" w:rsidRDefault="004D690C" w:rsidP="004D690C">
      <w:pPr>
        <w:keepNext w:val="0"/>
        <w:spacing w:before="0"/>
        <w:rPr>
          <w:rFonts w:cs="Arial"/>
          <w:color w:val="auto"/>
        </w:rPr>
      </w:pPr>
      <w:r w:rsidRPr="003C7E62">
        <w:rPr>
          <w:rFonts w:cs="Arial"/>
          <w:b/>
          <w:color w:val="auto"/>
        </w:rPr>
        <w:t>Local Planning Authority (LPA):</w:t>
      </w:r>
      <w:r w:rsidRPr="003C7E62">
        <w:rPr>
          <w:rFonts w:cs="Arial"/>
          <w:color w:val="auto"/>
        </w:rPr>
        <w:t xml:space="preserve"> A Local Planning Authority is the local authority or council that is empowered by law to exercise planning functions for a particular area of the </w:t>
      </w:r>
      <w:smartTag w:uri="urn:schemas-microsoft-com:office:smarttags" w:element="country-region">
        <w:smartTag w:uri="urn:schemas-microsoft-com:office:smarttags" w:element="place">
          <w:r w:rsidRPr="003C7E62">
            <w:rPr>
              <w:rFonts w:cs="Arial"/>
              <w:color w:val="auto"/>
            </w:rPr>
            <w:t>United Kingdom</w:t>
          </w:r>
        </w:smartTag>
      </w:smartTag>
      <w:r w:rsidRPr="003C7E62">
        <w:rPr>
          <w:rFonts w:cs="Arial"/>
          <w:color w:val="auto"/>
        </w:rPr>
        <w:t>.</w:t>
      </w:r>
    </w:p>
    <w:p w14:paraId="5679BA9E" w14:textId="77777777" w:rsidR="004D690C" w:rsidRPr="003C7E62" w:rsidRDefault="004D690C" w:rsidP="004D690C">
      <w:pPr>
        <w:keepNext w:val="0"/>
        <w:spacing w:before="0"/>
        <w:rPr>
          <w:rFonts w:cs="Arial"/>
          <w:color w:val="auto"/>
        </w:rPr>
      </w:pPr>
    </w:p>
    <w:p w14:paraId="16F91CE9" w14:textId="77777777" w:rsidR="004D690C" w:rsidRPr="003C7E62" w:rsidRDefault="004D690C" w:rsidP="004D690C">
      <w:pPr>
        <w:keepNext w:val="0"/>
        <w:spacing w:before="0"/>
        <w:rPr>
          <w:rFonts w:cs="Arial"/>
          <w:color w:val="auto"/>
        </w:rPr>
      </w:pPr>
      <w:r w:rsidRPr="003C7E62">
        <w:rPr>
          <w:rFonts w:cs="Arial"/>
          <w:b/>
          <w:color w:val="auto"/>
        </w:rPr>
        <w:t>Local Strategic Partnership (LSP):</w:t>
      </w:r>
      <w:r w:rsidRPr="003C7E62">
        <w:rPr>
          <w:rFonts w:cs="Arial"/>
          <w:color w:val="auto"/>
        </w:rPr>
        <w:t xml:space="preserve"> An overall partnership of people that brings together organisations from the public, private, community and voluntary sector within a local authority area, with the objective of improving people's quality of life.</w:t>
      </w:r>
    </w:p>
    <w:p w14:paraId="6DD6E47E" w14:textId="77777777" w:rsidR="004D690C" w:rsidRPr="003C7E62" w:rsidRDefault="004D690C" w:rsidP="004D690C">
      <w:pPr>
        <w:keepNext w:val="0"/>
        <w:spacing w:before="0"/>
        <w:rPr>
          <w:rFonts w:cs="Arial"/>
          <w:color w:val="auto"/>
        </w:rPr>
      </w:pPr>
    </w:p>
    <w:p w14:paraId="6808AB69" w14:textId="77777777" w:rsidR="004D690C" w:rsidRPr="003C7E62" w:rsidRDefault="004D690C" w:rsidP="004D690C">
      <w:pPr>
        <w:keepNext w:val="0"/>
        <w:spacing w:before="0"/>
        <w:rPr>
          <w:rFonts w:cs="Arial"/>
          <w:color w:val="auto"/>
        </w:rPr>
      </w:pPr>
      <w:r w:rsidRPr="003C7E62">
        <w:rPr>
          <w:rFonts w:cs="Arial"/>
          <w:b/>
          <w:color w:val="auto"/>
        </w:rPr>
        <w:t xml:space="preserve">Local Shopping Centre: </w:t>
      </w:r>
      <w:r w:rsidRPr="003C7E62">
        <w:rPr>
          <w:rFonts w:cs="Arial"/>
          <w:color w:val="auto"/>
        </w:rPr>
        <w:t>Shopping areas defined on the Local Plan Policies Map which are smaller than town centres and serve local communities.  Local shopping centres usually contain small scale development which offers a variety of convenience goods and services.</w:t>
      </w:r>
    </w:p>
    <w:p w14:paraId="2FA4BBE1" w14:textId="77777777" w:rsidR="004D690C" w:rsidRPr="003C7E62" w:rsidRDefault="004D690C" w:rsidP="004D690C">
      <w:pPr>
        <w:keepNext w:val="0"/>
        <w:spacing w:before="0"/>
        <w:rPr>
          <w:rFonts w:cs="Arial"/>
          <w:color w:val="auto"/>
        </w:rPr>
      </w:pPr>
    </w:p>
    <w:p w14:paraId="5DC86D52" w14:textId="138E2172" w:rsidR="004D690C" w:rsidRPr="003C7E62" w:rsidRDefault="004D690C" w:rsidP="004D690C">
      <w:pPr>
        <w:keepNext w:val="0"/>
        <w:spacing w:before="0"/>
        <w:rPr>
          <w:rFonts w:cs="Arial"/>
          <w:color w:val="auto"/>
        </w:rPr>
      </w:pPr>
      <w:r w:rsidRPr="003C7E62">
        <w:rPr>
          <w:rFonts w:cs="Arial"/>
          <w:b/>
          <w:color w:val="auto"/>
        </w:rPr>
        <w:lastRenderedPageBreak/>
        <w:t xml:space="preserve">Local Transport Plan: </w:t>
      </w:r>
      <w:r w:rsidRPr="003C7E62">
        <w:rPr>
          <w:rFonts w:cs="Arial"/>
          <w:color w:val="auto"/>
        </w:rPr>
        <w:t xml:space="preserve">Undertaken by Nottinghamshire County Council and by Nottingham City Council the local transport plans </w:t>
      </w:r>
      <w:r w:rsidR="008F76BA" w:rsidRPr="003C7E62">
        <w:rPr>
          <w:rFonts w:cs="Arial"/>
          <w:color w:val="auto"/>
        </w:rPr>
        <w:t>set</w:t>
      </w:r>
      <w:r w:rsidRPr="003C7E62">
        <w:rPr>
          <w:rFonts w:cs="Arial"/>
          <w:color w:val="auto"/>
        </w:rPr>
        <w:t xml:space="preserve"> out the transport strategy and outlines a programme of measures to be delivered over the short, medium and long term.  The strategies </w:t>
      </w:r>
      <w:r w:rsidR="008F76BA" w:rsidRPr="003C7E62">
        <w:rPr>
          <w:rFonts w:cs="Arial"/>
          <w:color w:val="auto"/>
        </w:rPr>
        <w:t>cover</w:t>
      </w:r>
      <w:r w:rsidRPr="003C7E62">
        <w:rPr>
          <w:rFonts w:cs="Arial"/>
          <w:color w:val="auto"/>
        </w:rPr>
        <w:t xml:space="preserve"> all types of transport including public transport, walking, cycling, cars and freight.</w:t>
      </w:r>
    </w:p>
    <w:p w14:paraId="6D16C0AC" w14:textId="77777777" w:rsidR="004D690C" w:rsidRPr="003C7E62" w:rsidRDefault="004D690C" w:rsidP="004D690C">
      <w:pPr>
        <w:keepNext w:val="0"/>
        <w:spacing w:before="0"/>
        <w:rPr>
          <w:rFonts w:cs="Arial"/>
          <w:color w:val="auto"/>
        </w:rPr>
      </w:pPr>
    </w:p>
    <w:p w14:paraId="1CEA772E" w14:textId="77777777" w:rsidR="004D690C" w:rsidRPr="003C7E62" w:rsidRDefault="004D690C" w:rsidP="004D690C">
      <w:pPr>
        <w:keepNext w:val="0"/>
        <w:spacing w:before="0"/>
        <w:rPr>
          <w:rFonts w:cs="Arial"/>
          <w:color w:val="auto"/>
        </w:rPr>
      </w:pPr>
      <w:r w:rsidRPr="003C7E62">
        <w:rPr>
          <w:rFonts w:cs="Arial"/>
          <w:b/>
          <w:color w:val="auto"/>
        </w:rPr>
        <w:t xml:space="preserve">Local Wildlife Sites: </w:t>
      </w:r>
      <w:r w:rsidRPr="003C7E62">
        <w:rPr>
          <w:rFonts w:cs="Arial"/>
          <w:color w:val="auto"/>
        </w:rPr>
        <w:t xml:space="preserve">Site of local importance for nature conservation or geology identified by the Nottinghamshire Biological and Geological Records Centre.  They were formally known as Site of Importance for Nature Conservation (SINC).  </w:t>
      </w:r>
    </w:p>
    <w:p w14:paraId="69EADA61" w14:textId="77777777" w:rsidR="004D690C" w:rsidRPr="003C7E62" w:rsidRDefault="004D690C" w:rsidP="004D690C">
      <w:pPr>
        <w:keepNext w:val="0"/>
        <w:spacing w:before="0"/>
        <w:rPr>
          <w:rFonts w:cs="Arial"/>
          <w:color w:val="C00000"/>
        </w:rPr>
      </w:pPr>
    </w:p>
    <w:p w14:paraId="71C89DB1" w14:textId="77777777" w:rsidR="004D690C" w:rsidRPr="003C7E62" w:rsidRDefault="004D690C" w:rsidP="004D690C">
      <w:pPr>
        <w:keepNext w:val="0"/>
        <w:spacing w:before="0"/>
        <w:rPr>
          <w:rFonts w:cs="Arial"/>
          <w:b/>
          <w:color w:val="auto"/>
        </w:rPr>
      </w:pPr>
      <w:r w:rsidRPr="003C7E62">
        <w:rPr>
          <w:rFonts w:cs="Arial"/>
          <w:b/>
          <w:color w:val="auto"/>
        </w:rPr>
        <w:t xml:space="preserve">Minerals Local Plan: </w:t>
      </w:r>
      <w:r w:rsidRPr="003C7E62">
        <w:rPr>
          <w:rFonts w:cs="Arial"/>
          <w:color w:val="auto"/>
        </w:rPr>
        <w:t>In Nottinghamshire prepared by the County Council acting as the Authority responsible for minerals related issues.  Key issues include the amount of minerals we will need to produce to meet demand, the location of future sites and the social and environmental impacts of mineral working.</w:t>
      </w:r>
    </w:p>
    <w:p w14:paraId="38568311" w14:textId="77777777" w:rsidR="004D690C" w:rsidRPr="003C7E62" w:rsidRDefault="004D690C" w:rsidP="004D690C">
      <w:pPr>
        <w:keepNext w:val="0"/>
        <w:spacing w:before="0"/>
        <w:rPr>
          <w:rFonts w:cs="Arial"/>
          <w:b/>
          <w:color w:val="auto"/>
        </w:rPr>
      </w:pPr>
    </w:p>
    <w:p w14:paraId="53D6852F" w14:textId="547795C2" w:rsidR="004D690C" w:rsidRPr="00405C0A" w:rsidRDefault="004D690C" w:rsidP="00405C0A">
      <w:pPr>
        <w:keepNext w:val="0"/>
        <w:autoSpaceDE w:val="0"/>
        <w:autoSpaceDN w:val="0"/>
        <w:adjustRightInd w:val="0"/>
        <w:spacing w:before="0"/>
        <w:rPr>
          <w:rFonts w:cs="Arial"/>
          <w:b/>
          <w:color w:val="auto"/>
          <w:szCs w:val="24"/>
        </w:rPr>
      </w:pPr>
      <w:r w:rsidRPr="00405C0A">
        <w:rPr>
          <w:rFonts w:cs="Arial"/>
          <w:b/>
          <w:color w:val="auto"/>
          <w:szCs w:val="24"/>
        </w:rPr>
        <w:t xml:space="preserve">National Planning Policy Framework: </w:t>
      </w:r>
      <w:r w:rsidRPr="00405C0A">
        <w:rPr>
          <w:rFonts w:cs="Arial"/>
          <w:color w:val="auto"/>
          <w:szCs w:val="24"/>
        </w:rPr>
        <w:t>The N</w:t>
      </w:r>
      <w:r w:rsidR="00E478F6">
        <w:rPr>
          <w:rFonts w:cs="Arial"/>
          <w:color w:val="auto"/>
          <w:szCs w:val="24"/>
        </w:rPr>
        <w:t>PPF</w:t>
      </w:r>
      <w:r w:rsidRPr="00405C0A">
        <w:rPr>
          <w:rFonts w:cs="Arial"/>
          <w:color w:val="auto"/>
          <w:szCs w:val="24"/>
        </w:rPr>
        <w:t xml:space="preserve"> sets out the Government’s planning policies for England and how these are expected to be applied.  It provides a framework of polices within which local people and their accountable council can produce their own distinctive local and neighbourhood plans, which reflect the needs and priorities of their communities. </w:t>
      </w:r>
    </w:p>
    <w:p w14:paraId="67C040DA" w14:textId="77777777" w:rsidR="004D690C" w:rsidRPr="003C7E62" w:rsidRDefault="004D690C" w:rsidP="00405C0A">
      <w:pPr>
        <w:keepNext w:val="0"/>
        <w:spacing w:before="0"/>
        <w:rPr>
          <w:rFonts w:cs="Arial"/>
          <w:color w:val="auto"/>
        </w:rPr>
      </w:pPr>
    </w:p>
    <w:p w14:paraId="5584D0CC" w14:textId="77777777" w:rsidR="004D690C" w:rsidRPr="003C7E62" w:rsidRDefault="004D690C" w:rsidP="00405C0A">
      <w:pPr>
        <w:keepNext w:val="0"/>
        <w:spacing w:before="0"/>
        <w:rPr>
          <w:rFonts w:cs="Arial"/>
          <w:color w:val="C00000"/>
        </w:rPr>
      </w:pPr>
      <w:r w:rsidRPr="003C7E62">
        <w:rPr>
          <w:rFonts w:cs="Arial"/>
          <w:b/>
          <w:color w:val="auto"/>
        </w:rPr>
        <w:t>Nottingham Express Transit (NET):</w:t>
      </w:r>
      <w:r w:rsidRPr="003C7E62">
        <w:rPr>
          <w:rFonts w:cs="Arial"/>
          <w:color w:val="auto"/>
        </w:rPr>
        <w:t xml:space="preserve"> The light rail system for Greater Nottingham with stops at Hucknall and Butlers Hill in Ashfield.</w:t>
      </w:r>
      <w:r w:rsidRPr="003C7E62">
        <w:rPr>
          <w:rFonts w:cs="Arial"/>
          <w:color w:val="C00000"/>
        </w:rPr>
        <w:t xml:space="preserve">  </w:t>
      </w:r>
    </w:p>
    <w:p w14:paraId="634B07A3" w14:textId="77777777" w:rsidR="004D690C" w:rsidRPr="003C7E62" w:rsidRDefault="004D690C" w:rsidP="00405C0A">
      <w:pPr>
        <w:keepNext w:val="0"/>
        <w:spacing w:before="0"/>
        <w:rPr>
          <w:rFonts w:cs="Arial"/>
          <w:b/>
          <w:color w:val="auto"/>
        </w:rPr>
      </w:pPr>
    </w:p>
    <w:p w14:paraId="5070D6C6" w14:textId="77777777" w:rsidR="004D690C" w:rsidRPr="003C7E62" w:rsidRDefault="004D690C" w:rsidP="00E605B7">
      <w:pPr>
        <w:rPr>
          <w:rFonts w:cs="Arial"/>
          <w:bCs/>
          <w:iCs/>
          <w:color w:val="C00000"/>
          <w:szCs w:val="24"/>
          <w:lang w:val="en" w:eastAsia="en-US"/>
        </w:rPr>
      </w:pPr>
      <w:r w:rsidRPr="003C7E62">
        <w:rPr>
          <w:rFonts w:cs="Arial"/>
          <w:b/>
          <w:iCs/>
          <w:color w:val="auto"/>
          <w:szCs w:val="24"/>
          <w:lang w:eastAsia="en-US"/>
        </w:rPr>
        <w:t xml:space="preserve">Open Space: </w:t>
      </w:r>
      <w:r w:rsidRPr="003C7E62">
        <w:rPr>
          <w:rFonts w:cs="Arial"/>
          <w:bCs/>
          <w:iCs/>
          <w:color w:val="auto"/>
          <w:szCs w:val="24"/>
          <w:lang w:eastAsia="en-US"/>
        </w:rPr>
        <w:t xml:space="preserve">Any unbuilt land within the boundary of a village, town or city which provides, or has the potential to provide, environmental, social and/or economic benefits to communities, </w:t>
      </w:r>
      <w:r w:rsidRPr="003C7E62">
        <w:rPr>
          <w:rFonts w:cs="Arial"/>
          <w:bCs/>
          <w:iCs/>
          <w:color w:val="auto"/>
          <w:szCs w:val="24"/>
          <w:lang w:val="en" w:eastAsia="en-US"/>
        </w:rPr>
        <w:t>including visual amenity</w:t>
      </w:r>
      <w:r w:rsidRPr="003C7E62">
        <w:rPr>
          <w:rFonts w:cs="Arial"/>
          <w:bCs/>
          <w:iCs/>
          <w:color w:val="auto"/>
          <w:szCs w:val="24"/>
          <w:lang w:eastAsia="en-US"/>
        </w:rPr>
        <w:t xml:space="preserve">, whether direct or indirect. </w:t>
      </w:r>
      <w:r w:rsidRPr="003C7E62">
        <w:rPr>
          <w:rFonts w:cs="Arial"/>
          <w:b/>
          <w:bCs/>
          <w:i/>
          <w:iCs/>
          <w:color w:val="auto"/>
          <w:szCs w:val="24"/>
          <w:lang w:val="en" w:eastAsia="en-US"/>
        </w:rPr>
        <w:t xml:space="preserve"> </w:t>
      </w:r>
      <w:r w:rsidRPr="003C7E62">
        <w:rPr>
          <w:rFonts w:cs="Arial"/>
          <w:bCs/>
          <w:iCs/>
          <w:color w:val="auto"/>
          <w:szCs w:val="24"/>
          <w:lang w:eastAsia="en-US"/>
        </w:rPr>
        <w:t xml:space="preserve">It can include </w:t>
      </w:r>
      <w:r w:rsidRPr="003C7E62">
        <w:rPr>
          <w:rFonts w:cs="Arial"/>
          <w:bCs/>
          <w:iCs/>
          <w:color w:val="auto"/>
          <w:szCs w:val="24"/>
          <w:lang w:val="en" w:eastAsia="en-US"/>
        </w:rPr>
        <w:t>areas of water such as rivers, canals, lakes and reservoirs.</w:t>
      </w:r>
      <w:r w:rsidRPr="003C7E62">
        <w:rPr>
          <w:rFonts w:cs="Arial"/>
          <w:bCs/>
          <w:iCs/>
          <w:color w:val="C00000"/>
          <w:szCs w:val="24"/>
          <w:lang w:val="en" w:eastAsia="en-US"/>
        </w:rPr>
        <w:t xml:space="preserve">   </w:t>
      </w:r>
    </w:p>
    <w:p w14:paraId="13EC4C9D" w14:textId="77777777" w:rsidR="004D690C" w:rsidRPr="003C7E62" w:rsidRDefault="004D690C" w:rsidP="00405C0A">
      <w:pPr>
        <w:keepNext w:val="0"/>
        <w:spacing w:before="0"/>
        <w:rPr>
          <w:rFonts w:cs="Arial"/>
          <w:color w:val="auto"/>
          <w:lang w:val="en" w:eastAsia="en-US"/>
        </w:rPr>
      </w:pPr>
    </w:p>
    <w:p w14:paraId="6B43DEFA" w14:textId="77777777" w:rsidR="004D690C" w:rsidRPr="003C7E62" w:rsidRDefault="004D690C" w:rsidP="00405C0A">
      <w:pPr>
        <w:keepNext w:val="0"/>
        <w:spacing w:before="0"/>
        <w:rPr>
          <w:rFonts w:cs="Arial"/>
          <w:color w:val="auto"/>
          <w:lang w:eastAsia="en-US"/>
        </w:rPr>
      </w:pPr>
      <w:r w:rsidRPr="003C7E62">
        <w:rPr>
          <w:rFonts w:cs="Arial"/>
          <w:b/>
          <w:color w:val="auto"/>
          <w:lang w:eastAsia="en-US"/>
        </w:rPr>
        <w:t xml:space="preserve">Out of centre: </w:t>
      </w:r>
      <w:r w:rsidRPr="003C7E62">
        <w:rPr>
          <w:rFonts w:cs="Arial"/>
          <w:color w:val="auto"/>
          <w:lang w:eastAsia="en-US"/>
        </w:rPr>
        <w:t>A location which is not in or on the edge of a centre but not necessarily outside the urban area.</w:t>
      </w:r>
    </w:p>
    <w:p w14:paraId="25CE02A6" w14:textId="77777777" w:rsidR="004D690C" w:rsidRPr="003C7E62" w:rsidRDefault="004D690C" w:rsidP="00405C0A">
      <w:pPr>
        <w:keepNext w:val="0"/>
        <w:spacing w:before="0"/>
        <w:rPr>
          <w:rFonts w:cs="Arial"/>
          <w:color w:val="auto"/>
        </w:rPr>
      </w:pPr>
    </w:p>
    <w:p w14:paraId="6B486E72" w14:textId="77777777" w:rsidR="004D690C" w:rsidRPr="003C7E62" w:rsidRDefault="004D690C" w:rsidP="00405C0A">
      <w:pPr>
        <w:keepNext w:val="0"/>
        <w:autoSpaceDE w:val="0"/>
        <w:autoSpaceDN w:val="0"/>
        <w:adjustRightInd w:val="0"/>
        <w:spacing w:before="0"/>
        <w:rPr>
          <w:rFonts w:cs="Arial"/>
          <w:color w:val="auto"/>
        </w:rPr>
      </w:pPr>
      <w:r w:rsidRPr="003C7E62">
        <w:rPr>
          <w:rFonts w:cs="Arial"/>
          <w:b/>
          <w:color w:val="auto"/>
        </w:rPr>
        <w:t xml:space="preserve">Physical Infrastructure: </w:t>
      </w:r>
      <w:r w:rsidRPr="003C7E62">
        <w:rPr>
          <w:rFonts w:cs="Arial"/>
          <w:color w:val="auto"/>
        </w:rPr>
        <w:t xml:space="preserve">Physical infrastructure refers to the technical services that support, sustain or enhance living conditions.  </w:t>
      </w:r>
      <w:r w:rsidRPr="003C7E62">
        <w:rPr>
          <w:rFonts w:cs="Arial"/>
          <w:bCs/>
          <w:color w:val="auto"/>
        </w:rPr>
        <w:t xml:space="preserve">This includes but is not limited to </w:t>
      </w:r>
      <w:r w:rsidRPr="003C7E62">
        <w:rPr>
          <w:rFonts w:cs="Arial"/>
          <w:color w:val="auto"/>
        </w:rPr>
        <w:t xml:space="preserve">providing energy, water, telecommunications, highways, bridges, airports, waste management and disposal that allow communities and local businesses to thrive. </w:t>
      </w:r>
    </w:p>
    <w:p w14:paraId="54C20AF1" w14:textId="77777777" w:rsidR="004D690C" w:rsidRPr="003C7E62" w:rsidRDefault="004D690C" w:rsidP="00405C0A">
      <w:pPr>
        <w:keepNext w:val="0"/>
        <w:autoSpaceDE w:val="0"/>
        <w:autoSpaceDN w:val="0"/>
        <w:adjustRightInd w:val="0"/>
        <w:spacing w:before="0"/>
        <w:rPr>
          <w:rFonts w:cs="Arial"/>
          <w:color w:val="auto"/>
        </w:rPr>
      </w:pPr>
    </w:p>
    <w:p w14:paraId="332A9F63" w14:textId="77777777" w:rsidR="004D690C" w:rsidRPr="003C7E62" w:rsidRDefault="004D690C" w:rsidP="00405C0A">
      <w:pPr>
        <w:keepNext w:val="0"/>
        <w:autoSpaceDE w:val="0"/>
        <w:autoSpaceDN w:val="0"/>
        <w:adjustRightInd w:val="0"/>
        <w:spacing w:before="0"/>
        <w:rPr>
          <w:rFonts w:cs="Arial"/>
          <w:b/>
          <w:color w:val="auto"/>
        </w:rPr>
      </w:pPr>
      <w:r w:rsidRPr="003C7E62">
        <w:rPr>
          <w:rFonts w:cs="Arial"/>
          <w:b/>
          <w:color w:val="auto"/>
        </w:rPr>
        <w:t xml:space="preserve">Pitch: </w:t>
      </w:r>
      <w:r w:rsidRPr="003C7E62">
        <w:rPr>
          <w:rFonts w:cs="Arial"/>
          <w:color w:val="auto"/>
        </w:rPr>
        <w:t>A pitch on a “gypsy and traveller” site. As a general guide an average family pitch should be capable of accommodating an amenity building, a large trailer and touring caravan, parking space for 2 vehicles and a small garden area. (CLG, Designing Gypsy &amp; Traveller Sites: Good Practice Guidance, 2008).</w:t>
      </w:r>
    </w:p>
    <w:p w14:paraId="053158A8" w14:textId="77777777" w:rsidR="004D690C" w:rsidRPr="003C7E62" w:rsidRDefault="004D690C" w:rsidP="00405C0A">
      <w:pPr>
        <w:keepNext w:val="0"/>
        <w:spacing w:before="0"/>
        <w:rPr>
          <w:rFonts w:cs="Arial"/>
          <w:b/>
          <w:color w:val="auto"/>
        </w:rPr>
      </w:pPr>
    </w:p>
    <w:p w14:paraId="5122E7A4" w14:textId="77777777" w:rsidR="004D690C" w:rsidRPr="003C7E62" w:rsidRDefault="004D690C" w:rsidP="00405C0A">
      <w:pPr>
        <w:keepNext w:val="0"/>
        <w:spacing w:before="0"/>
        <w:rPr>
          <w:rFonts w:cs="Arial"/>
          <w:color w:val="auto"/>
        </w:rPr>
      </w:pPr>
      <w:r w:rsidRPr="003C7E62">
        <w:rPr>
          <w:rFonts w:cs="Arial"/>
          <w:b/>
          <w:color w:val="auto"/>
        </w:rPr>
        <w:t>Planning and Compulsory Purchase Act 2004:</w:t>
      </w:r>
      <w:r w:rsidRPr="003C7E62">
        <w:rPr>
          <w:rFonts w:cs="Arial"/>
          <w:color w:val="auto"/>
        </w:rPr>
        <w:t xml:space="preserve"> Government legislation which sets out the provisions for the local planning system.</w:t>
      </w:r>
    </w:p>
    <w:p w14:paraId="431D6AC6" w14:textId="77777777" w:rsidR="004D690C" w:rsidRPr="003C7E62" w:rsidRDefault="004D690C" w:rsidP="00405C0A">
      <w:pPr>
        <w:keepNext w:val="0"/>
        <w:spacing w:before="0"/>
        <w:rPr>
          <w:rFonts w:cs="Arial"/>
          <w:color w:val="auto"/>
        </w:rPr>
      </w:pPr>
    </w:p>
    <w:p w14:paraId="5A9612DB" w14:textId="068828D0" w:rsidR="004D690C" w:rsidRPr="003C7E62" w:rsidRDefault="004D690C" w:rsidP="00405C0A">
      <w:pPr>
        <w:keepNext w:val="0"/>
        <w:spacing w:before="0"/>
        <w:rPr>
          <w:rFonts w:cs="Arial"/>
          <w:color w:val="auto"/>
          <w:szCs w:val="24"/>
        </w:rPr>
      </w:pPr>
      <w:r w:rsidRPr="003C7E62">
        <w:rPr>
          <w:rFonts w:cs="Arial"/>
          <w:b/>
          <w:color w:val="auto"/>
          <w:szCs w:val="24"/>
        </w:rPr>
        <w:t>Planning Practice Guidance:</w:t>
      </w:r>
      <w:r w:rsidRPr="003C7E62">
        <w:rPr>
          <w:rFonts w:cs="Arial"/>
          <w:color w:val="auto"/>
          <w:szCs w:val="24"/>
        </w:rPr>
        <w:t xml:space="preserve"> Published by the Department for Communities and Local Government to provide guidance to the N</w:t>
      </w:r>
      <w:r w:rsidR="00E478F6">
        <w:rPr>
          <w:rFonts w:cs="Arial"/>
          <w:color w:val="auto"/>
          <w:szCs w:val="24"/>
        </w:rPr>
        <w:t>PPF</w:t>
      </w:r>
      <w:r w:rsidRPr="003C7E62">
        <w:rPr>
          <w:rFonts w:cs="Arial"/>
          <w:color w:val="auto"/>
          <w:szCs w:val="24"/>
        </w:rPr>
        <w:t xml:space="preserve">. </w:t>
      </w:r>
    </w:p>
    <w:p w14:paraId="4A5E4F19" w14:textId="77777777" w:rsidR="004D690C" w:rsidRPr="003C7E62" w:rsidRDefault="004D690C" w:rsidP="00405C0A">
      <w:pPr>
        <w:keepNext w:val="0"/>
        <w:spacing w:before="0"/>
        <w:rPr>
          <w:rFonts w:cs="Arial"/>
          <w:color w:val="auto"/>
        </w:rPr>
      </w:pPr>
    </w:p>
    <w:p w14:paraId="1F0D4F5F" w14:textId="77777777" w:rsidR="004D690C" w:rsidRPr="003C7E62" w:rsidRDefault="004D690C" w:rsidP="00405C0A">
      <w:pPr>
        <w:keepNext w:val="0"/>
        <w:autoSpaceDE w:val="0"/>
        <w:autoSpaceDN w:val="0"/>
        <w:adjustRightInd w:val="0"/>
        <w:spacing w:before="0"/>
        <w:rPr>
          <w:rFonts w:cs="Arial"/>
          <w:color w:val="000000"/>
          <w:szCs w:val="24"/>
          <w:lang w:val="en-US" w:eastAsia="en-US"/>
        </w:rPr>
      </w:pPr>
      <w:r w:rsidRPr="003C7E62">
        <w:rPr>
          <w:rFonts w:cs="Arial"/>
          <w:b/>
          <w:color w:val="000000"/>
          <w:szCs w:val="24"/>
          <w:lang w:val="en-US" w:eastAsia="en-US"/>
        </w:rPr>
        <w:lastRenderedPageBreak/>
        <w:t xml:space="preserve">Plot: </w:t>
      </w:r>
      <w:r w:rsidRPr="003C7E62">
        <w:rPr>
          <w:rFonts w:cs="Arial"/>
          <w:color w:val="000000"/>
          <w:szCs w:val="24"/>
          <w:lang w:val="en-US" w:eastAsia="en-US"/>
        </w:rPr>
        <w:t xml:space="preserve">A pitch on a “travelling </w:t>
      </w:r>
      <w:proofErr w:type="spellStart"/>
      <w:r w:rsidRPr="003C7E62">
        <w:rPr>
          <w:rFonts w:cs="Arial"/>
          <w:color w:val="000000"/>
          <w:szCs w:val="24"/>
          <w:lang w:val="en-US" w:eastAsia="en-US"/>
        </w:rPr>
        <w:t>showpeople</w:t>
      </w:r>
      <w:proofErr w:type="spellEnd"/>
      <w:r w:rsidRPr="003C7E62">
        <w:rPr>
          <w:rFonts w:cs="Arial"/>
          <w:color w:val="000000"/>
          <w:szCs w:val="24"/>
          <w:lang w:val="en-US" w:eastAsia="en-US"/>
        </w:rPr>
        <w:t>” site (often called a “yard”).  T</w:t>
      </w:r>
      <w:r w:rsidRPr="003C7E62">
        <w:rPr>
          <w:rFonts w:cs="Arial"/>
          <w:color w:val="000000"/>
          <w:szCs w:val="24"/>
          <w:lang w:val="en-US"/>
        </w:rPr>
        <w:t xml:space="preserve">he area of land for which a site license is </w:t>
      </w:r>
      <w:proofErr w:type="gramStart"/>
      <w:r w:rsidRPr="003C7E62">
        <w:rPr>
          <w:rFonts w:cs="Arial"/>
          <w:color w:val="000000"/>
          <w:szCs w:val="24"/>
          <w:lang w:val="en-US"/>
        </w:rPr>
        <w:t>paid and</w:t>
      </w:r>
      <w:proofErr w:type="gramEnd"/>
      <w:r w:rsidRPr="003C7E62">
        <w:rPr>
          <w:rFonts w:cs="Arial"/>
          <w:color w:val="000000"/>
          <w:szCs w:val="24"/>
          <w:lang w:val="en-US"/>
        </w:rPr>
        <w:t xml:space="preserve"> includes the area set aside by one family unit as well as land set aside for the storage and maintenance of their equipment.  The Showman’s Guild </w:t>
      </w:r>
      <w:proofErr w:type="gramStart"/>
      <w:r w:rsidRPr="003C7E62">
        <w:rPr>
          <w:rFonts w:cs="Arial"/>
          <w:color w:val="000000"/>
          <w:szCs w:val="24"/>
          <w:lang w:val="en-US"/>
        </w:rPr>
        <w:t>recommend</w:t>
      </w:r>
      <w:proofErr w:type="gramEnd"/>
      <w:r w:rsidRPr="003C7E62">
        <w:rPr>
          <w:rFonts w:cs="Arial"/>
          <w:color w:val="000000"/>
          <w:szCs w:val="24"/>
          <w:lang w:val="en-US"/>
        </w:rPr>
        <w:t xml:space="preserve"> a minimum area of 0.2 ha (0.5 acres) per yard.</w:t>
      </w:r>
    </w:p>
    <w:p w14:paraId="5CAAA875" w14:textId="77777777" w:rsidR="004D690C" w:rsidRPr="003C7E62" w:rsidRDefault="004D690C" w:rsidP="00405C0A">
      <w:pPr>
        <w:keepNext w:val="0"/>
        <w:spacing w:before="0"/>
        <w:rPr>
          <w:rFonts w:cs="Arial"/>
          <w:b/>
          <w:color w:val="auto"/>
        </w:rPr>
      </w:pPr>
    </w:p>
    <w:p w14:paraId="1A0D6C25" w14:textId="77777777" w:rsidR="004D690C" w:rsidRPr="003C7E62" w:rsidRDefault="004D690C" w:rsidP="00405C0A">
      <w:pPr>
        <w:keepNext w:val="0"/>
        <w:spacing w:before="0"/>
        <w:rPr>
          <w:rFonts w:cs="Arial"/>
          <w:color w:val="auto"/>
        </w:rPr>
      </w:pPr>
      <w:r w:rsidRPr="003C7E62">
        <w:rPr>
          <w:rFonts w:cs="Arial"/>
          <w:b/>
          <w:color w:val="auto"/>
        </w:rPr>
        <w:t xml:space="preserve">Previously Developed Land (PDL): </w:t>
      </w:r>
      <w:r w:rsidRPr="003C7E62">
        <w:rPr>
          <w:rFonts w:cs="Arial"/>
          <w:color w:val="auto"/>
        </w:rPr>
        <w:t>Land which has in the past been a developed site (see Brownfield land).</w:t>
      </w:r>
    </w:p>
    <w:p w14:paraId="0FFA808A" w14:textId="77777777" w:rsidR="004D690C" w:rsidRPr="003C7E62" w:rsidRDefault="004D690C" w:rsidP="00405C0A">
      <w:pPr>
        <w:keepNext w:val="0"/>
        <w:spacing w:before="0"/>
        <w:rPr>
          <w:rFonts w:cs="Arial"/>
          <w:b/>
          <w:color w:val="auto"/>
        </w:rPr>
      </w:pPr>
    </w:p>
    <w:p w14:paraId="2125B966" w14:textId="77777777" w:rsidR="004D690C" w:rsidRPr="003C7E62" w:rsidRDefault="004D690C" w:rsidP="00405C0A">
      <w:pPr>
        <w:keepNext w:val="0"/>
        <w:spacing w:before="0"/>
        <w:rPr>
          <w:rFonts w:cs="Arial"/>
          <w:color w:val="auto"/>
        </w:rPr>
      </w:pPr>
      <w:r w:rsidRPr="003C7E62">
        <w:rPr>
          <w:rFonts w:cs="Arial"/>
          <w:b/>
          <w:color w:val="auto"/>
        </w:rPr>
        <w:t xml:space="preserve">Primary Shopping Area: </w:t>
      </w:r>
      <w:r w:rsidRPr="003C7E62">
        <w:rPr>
          <w:rFonts w:cs="Arial"/>
          <w:color w:val="auto"/>
        </w:rPr>
        <w:t>Defined area where retail development is concentrated (generally comprising primary and those secondary frontages which are contiguous and closely relating to the primary frontage).</w:t>
      </w:r>
    </w:p>
    <w:p w14:paraId="3F464E3A" w14:textId="77777777" w:rsidR="004D690C" w:rsidRPr="003C7E62" w:rsidRDefault="004D690C" w:rsidP="00405C0A">
      <w:pPr>
        <w:keepNext w:val="0"/>
        <w:spacing w:before="0"/>
        <w:rPr>
          <w:rFonts w:cs="Arial"/>
          <w:color w:val="auto"/>
        </w:rPr>
      </w:pPr>
    </w:p>
    <w:p w14:paraId="27C6EC02" w14:textId="153B1B94" w:rsidR="003E1553" w:rsidRPr="003E1553" w:rsidRDefault="003E1553" w:rsidP="003E1553">
      <w:pPr>
        <w:keepNext w:val="0"/>
        <w:spacing w:before="0"/>
        <w:rPr>
          <w:rFonts w:cs="Arial"/>
          <w:bCs/>
          <w:color w:val="auto"/>
        </w:rPr>
      </w:pPr>
      <w:r w:rsidRPr="003E1553">
        <w:rPr>
          <w:rFonts w:cs="Arial"/>
          <w:b/>
          <w:color w:val="auto"/>
        </w:rPr>
        <w:t xml:space="preserve">Prior Approval - </w:t>
      </w:r>
      <w:r w:rsidRPr="003E1553">
        <w:rPr>
          <w:rFonts w:cs="Arial"/>
          <w:bCs/>
          <w:color w:val="auto"/>
        </w:rPr>
        <w:t>In relation to planning permission this can be granted through:</w:t>
      </w:r>
    </w:p>
    <w:p w14:paraId="4D5EE143" w14:textId="006B19BC" w:rsidR="003E1553" w:rsidRPr="003E1553" w:rsidRDefault="003E1553" w:rsidP="003E1553">
      <w:pPr>
        <w:keepNext w:val="0"/>
        <w:spacing w:before="0"/>
        <w:rPr>
          <w:rFonts w:cs="Arial"/>
          <w:b/>
          <w:color w:val="auto"/>
        </w:rPr>
      </w:pPr>
      <w:r w:rsidRPr="003E1553">
        <w:rPr>
          <w:rFonts w:cs="Arial"/>
          <w:bCs/>
          <w:color w:val="auto"/>
        </w:rPr>
        <w:t xml:space="preserve"> </w:t>
      </w:r>
    </w:p>
    <w:p w14:paraId="059798D2" w14:textId="150960BB" w:rsidR="003E1553" w:rsidRDefault="003E1553" w:rsidP="00874A98">
      <w:pPr>
        <w:pStyle w:val="ListParagraph"/>
        <w:numPr>
          <w:ilvl w:val="0"/>
          <w:numId w:val="309"/>
        </w:numPr>
        <w:spacing w:after="0" w:line="240" w:lineRule="auto"/>
        <w:rPr>
          <w:rFonts w:ascii="Arial" w:hAnsi="Arial" w:cs="Arial"/>
          <w:bCs/>
          <w:color w:val="auto"/>
        </w:rPr>
      </w:pPr>
      <w:r w:rsidRPr="003E1553">
        <w:rPr>
          <w:rFonts w:ascii="Arial" w:hAnsi="Arial" w:cs="Arial"/>
          <w:bCs/>
          <w:color w:val="auto"/>
        </w:rPr>
        <w:t xml:space="preserve">A planning application which is submitted to the local planning authority, who can balance the impact of the development including on the environment and community with the economic benefits, and </w:t>
      </w:r>
      <w:proofErr w:type="gramStart"/>
      <w:r w:rsidRPr="003E1553">
        <w:rPr>
          <w:rFonts w:ascii="Arial" w:hAnsi="Arial" w:cs="Arial"/>
          <w:bCs/>
          <w:color w:val="auto"/>
        </w:rPr>
        <w:t>make a decision</w:t>
      </w:r>
      <w:proofErr w:type="gramEnd"/>
      <w:r w:rsidRPr="003E1553">
        <w:rPr>
          <w:rFonts w:ascii="Arial" w:hAnsi="Arial" w:cs="Arial"/>
          <w:bCs/>
          <w:color w:val="auto"/>
        </w:rPr>
        <w:t>; and</w:t>
      </w:r>
    </w:p>
    <w:p w14:paraId="23D09D9B" w14:textId="77777777" w:rsidR="003E1553" w:rsidRPr="003E1553" w:rsidRDefault="003E1553" w:rsidP="003E1553">
      <w:pPr>
        <w:pStyle w:val="ListParagraph"/>
        <w:spacing w:after="0" w:line="240" w:lineRule="auto"/>
        <w:ind w:left="360"/>
        <w:rPr>
          <w:rFonts w:ascii="Arial" w:hAnsi="Arial" w:cs="Arial"/>
          <w:bCs/>
          <w:color w:val="auto"/>
        </w:rPr>
      </w:pPr>
    </w:p>
    <w:p w14:paraId="14758299" w14:textId="7582A9E9" w:rsidR="003E1553" w:rsidRPr="003E1553" w:rsidRDefault="003E1553" w:rsidP="00874A98">
      <w:pPr>
        <w:pStyle w:val="ListParagraph"/>
        <w:numPr>
          <w:ilvl w:val="0"/>
          <w:numId w:val="309"/>
        </w:numPr>
        <w:spacing w:after="0" w:line="240" w:lineRule="auto"/>
        <w:rPr>
          <w:rFonts w:ascii="Arial" w:hAnsi="Arial" w:cs="Arial"/>
          <w:bCs/>
          <w:color w:val="auto"/>
        </w:rPr>
      </w:pPr>
      <w:r w:rsidRPr="003E1553">
        <w:rPr>
          <w:rFonts w:ascii="Arial" w:hAnsi="Arial" w:cs="Arial"/>
          <w:bCs/>
          <w:color w:val="auto"/>
        </w:rPr>
        <w:t xml:space="preserve">Government can grant planning permission for specific types of development under the General Permitted Development Order.  Most permitted development rights are subject to conditions and limitations. One such condition on certain classes of permitted development is the need to apply to the Local Planning Authority for its 'Prior Approval'; or to determine if its 'Prior Approval' will be required. This allows the Local Planning Authority to consider the proposals, their likely impacts </w:t>
      </w:r>
      <w:proofErr w:type="gramStart"/>
      <w:r w:rsidRPr="003E1553">
        <w:rPr>
          <w:rFonts w:ascii="Arial" w:hAnsi="Arial" w:cs="Arial"/>
          <w:bCs/>
          <w:color w:val="auto"/>
        </w:rPr>
        <w:t>in regard to</w:t>
      </w:r>
      <w:proofErr w:type="gramEnd"/>
      <w:r w:rsidRPr="003E1553">
        <w:rPr>
          <w:rFonts w:ascii="Arial" w:hAnsi="Arial" w:cs="Arial"/>
          <w:bCs/>
          <w:color w:val="auto"/>
        </w:rPr>
        <w:t xml:space="preserve"> certain factors (e.g. transport and highways) and how these may be mitigated.</w:t>
      </w:r>
    </w:p>
    <w:p w14:paraId="12DB40D4" w14:textId="77777777" w:rsidR="003E1553" w:rsidRPr="003E1553" w:rsidRDefault="003E1553" w:rsidP="003E1553">
      <w:pPr>
        <w:keepNext w:val="0"/>
        <w:spacing w:before="0"/>
        <w:rPr>
          <w:rFonts w:cs="Arial"/>
          <w:bCs/>
          <w:color w:val="auto"/>
        </w:rPr>
      </w:pPr>
    </w:p>
    <w:p w14:paraId="0733EE8D" w14:textId="7B1FED30" w:rsidR="004D690C" w:rsidRPr="003C7E62" w:rsidRDefault="004D690C" w:rsidP="00405C0A">
      <w:pPr>
        <w:keepNext w:val="0"/>
        <w:spacing w:before="0"/>
        <w:rPr>
          <w:rFonts w:cs="Arial"/>
          <w:b/>
          <w:color w:val="auto"/>
        </w:rPr>
      </w:pPr>
      <w:r w:rsidRPr="003C7E62">
        <w:rPr>
          <w:rFonts w:cs="Arial"/>
          <w:b/>
          <w:color w:val="auto"/>
        </w:rPr>
        <w:t xml:space="preserve">Recreational Equine Development: </w:t>
      </w:r>
      <w:r w:rsidRPr="003C7E62">
        <w:rPr>
          <w:rFonts w:cs="Arial"/>
          <w:color w:val="auto"/>
        </w:rPr>
        <w:t>Means the keeping and training of horses/ponies which are owned by the occupant or owner of the property for leisure purposes.  The horses/ponies are not kept for remuneration, hire or sale and the development is not open for public use.</w:t>
      </w:r>
    </w:p>
    <w:p w14:paraId="6E5344C7" w14:textId="77777777" w:rsidR="004D690C" w:rsidRPr="003C7E62" w:rsidRDefault="004D690C" w:rsidP="00405C0A">
      <w:pPr>
        <w:keepNext w:val="0"/>
        <w:spacing w:before="0"/>
        <w:rPr>
          <w:rFonts w:cs="Arial"/>
          <w:b/>
          <w:color w:val="000000"/>
          <w:szCs w:val="24"/>
          <w:lang w:val="en-US"/>
        </w:rPr>
      </w:pPr>
    </w:p>
    <w:p w14:paraId="0B8270EB" w14:textId="77777777" w:rsidR="004D690C" w:rsidRPr="003C7E62" w:rsidRDefault="004D690C" w:rsidP="00405C0A">
      <w:pPr>
        <w:keepNext w:val="0"/>
        <w:spacing w:before="0"/>
        <w:rPr>
          <w:rFonts w:cs="Arial"/>
          <w:color w:val="auto"/>
          <w:szCs w:val="24"/>
        </w:rPr>
      </w:pPr>
      <w:r w:rsidRPr="003C7E62">
        <w:rPr>
          <w:rFonts w:cs="Arial"/>
          <w:b/>
          <w:color w:val="auto"/>
          <w:szCs w:val="24"/>
        </w:rPr>
        <w:t>Regeneration</w:t>
      </w:r>
      <w:r w:rsidRPr="003C7E62">
        <w:rPr>
          <w:rFonts w:cs="Arial"/>
          <w:color w:val="auto"/>
          <w:szCs w:val="24"/>
        </w:rPr>
        <w:t xml:space="preserve">: The </w:t>
      </w:r>
      <w:r w:rsidRPr="003C7E62">
        <w:rPr>
          <w:rFonts w:cs="Arial"/>
          <w:iCs/>
          <w:color w:val="auto"/>
          <w:szCs w:val="24"/>
        </w:rPr>
        <w:t xml:space="preserve">Review of sub national economic development and regeneration, </w:t>
      </w:r>
      <w:r w:rsidRPr="003C7E62">
        <w:rPr>
          <w:rFonts w:cs="Arial"/>
          <w:color w:val="auto"/>
          <w:szCs w:val="24"/>
        </w:rPr>
        <w:t xml:space="preserve">July 2007 defined regeneration “as the broad process of reversing physical, economic and social decline in an area where market forces will not do this without intervention”.  (HM Treasury, Department for Business, </w:t>
      </w:r>
      <w:smartTag w:uri="urn:schemas-microsoft-com:office:smarttags" w:element="City">
        <w:smartTag w:uri="urn:schemas-microsoft-com:office:smarttags" w:element="place">
          <w:r w:rsidRPr="003C7E62">
            <w:rPr>
              <w:rFonts w:cs="Arial"/>
              <w:color w:val="auto"/>
              <w:szCs w:val="24"/>
            </w:rPr>
            <w:t>Enterprise</w:t>
          </w:r>
        </w:smartTag>
      </w:smartTag>
      <w:r w:rsidRPr="003C7E62">
        <w:rPr>
          <w:rFonts w:cs="Arial"/>
          <w:color w:val="auto"/>
          <w:szCs w:val="24"/>
        </w:rPr>
        <w:t xml:space="preserve"> and Regulatory Reform and Department for Communities and Local Government).  Consequently, regeneration is a comprehensive approach, which includes:</w:t>
      </w:r>
    </w:p>
    <w:p w14:paraId="2632AD22" w14:textId="77777777" w:rsidR="004D690C" w:rsidRPr="003C7E62" w:rsidRDefault="004D690C" w:rsidP="00D01157">
      <w:pPr>
        <w:keepNext w:val="0"/>
        <w:numPr>
          <w:ilvl w:val="0"/>
          <w:numId w:val="10"/>
        </w:numPr>
        <w:autoSpaceDE w:val="0"/>
        <w:autoSpaceDN w:val="0"/>
        <w:adjustRightInd w:val="0"/>
        <w:spacing w:before="0"/>
        <w:rPr>
          <w:rFonts w:cs="Arial"/>
          <w:color w:val="auto"/>
        </w:rPr>
      </w:pPr>
      <w:r w:rsidRPr="003C7E62">
        <w:rPr>
          <w:rFonts w:cs="Arial"/>
          <w:bCs/>
          <w:color w:val="auto"/>
        </w:rPr>
        <w:t xml:space="preserve">Economic attributes </w:t>
      </w:r>
      <w:r w:rsidRPr="003C7E62">
        <w:rPr>
          <w:rFonts w:cs="Arial"/>
          <w:color w:val="auto"/>
        </w:rPr>
        <w:t>– relating to employment, skills, and economic opportunities;</w:t>
      </w:r>
    </w:p>
    <w:p w14:paraId="0128A8F4" w14:textId="77777777" w:rsidR="004D690C" w:rsidRPr="003C7E62" w:rsidRDefault="004D690C" w:rsidP="00D01157">
      <w:pPr>
        <w:keepNext w:val="0"/>
        <w:numPr>
          <w:ilvl w:val="0"/>
          <w:numId w:val="10"/>
        </w:numPr>
        <w:autoSpaceDE w:val="0"/>
        <w:autoSpaceDN w:val="0"/>
        <w:adjustRightInd w:val="0"/>
        <w:spacing w:before="0"/>
        <w:rPr>
          <w:rFonts w:cs="Arial"/>
          <w:color w:val="auto"/>
        </w:rPr>
      </w:pPr>
      <w:r w:rsidRPr="003C7E62">
        <w:rPr>
          <w:rFonts w:cs="Arial"/>
          <w:bCs/>
          <w:color w:val="auto"/>
        </w:rPr>
        <w:t xml:space="preserve">Social attributes </w:t>
      </w:r>
      <w:r w:rsidRPr="003C7E62">
        <w:rPr>
          <w:rFonts w:cs="Arial"/>
          <w:color w:val="auto"/>
        </w:rPr>
        <w:t>– quality of life, health, crime, community engagement;</w:t>
      </w:r>
    </w:p>
    <w:p w14:paraId="0FE64394" w14:textId="77777777" w:rsidR="004D690C" w:rsidRPr="003C7E62" w:rsidRDefault="004D690C" w:rsidP="00D01157">
      <w:pPr>
        <w:keepNext w:val="0"/>
        <w:numPr>
          <w:ilvl w:val="0"/>
          <w:numId w:val="10"/>
        </w:numPr>
        <w:autoSpaceDE w:val="0"/>
        <w:autoSpaceDN w:val="0"/>
        <w:adjustRightInd w:val="0"/>
        <w:spacing w:before="0"/>
        <w:rPr>
          <w:rFonts w:cs="Arial"/>
          <w:color w:val="auto"/>
        </w:rPr>
      </w:pPr>
      <w:r w:rsidRPr="003C7E62">
        <w:rPr>
          <w:rFonts w:cs="Arial"/>
          <w:bCs/>
          <w:color w:val="auto"/>
        </w:rPr>
        <w:t xml:space="preserve">Physical attributes </w:t>
      </w:r>
      <w:r w:rsidRPr="003C7E62">
        <w:rPr>
          <w:rFonts w:cs="Arial"/>
          <w:color w:val="auto"/>
        </w:rPr>
        <w:t>– housing types and condition, neighbourhood centres, the public realm; and</w:t>
      </w:r>
    </w:p>
    <w:p w14:paraId="0FBB3B51" w14:textId="77777777" w:rsidR="004D690C" w:rsidRPr="003C7E62" w:rsidRDefault="004D690C" w:rsidP="00D01157">
      <w:pPr>
        <w:keepNext w:val="0"/>
        <w:numPr>
          <w:ilvl w:val="0"/>
          <w:numId w:val="10"/>
        </w:numPr>
        <w:autoSpaceDE w:val="0"/>
        <w:autoSpaceDN w:val="0"/>
        <w:adjustRightInd w:val="0"/>
        <w:spacing w:before="0"/>
        <w:rPr>
          <w:rFonts w:cs="Arial"/>
          <w:color w:val="auto"/>
        </w:rPr>
      </w:pPr>
      <w:r w:rsidRPr="003C7E62">
        <w:rPr>
          <w:rFonts w:cs="Arial"/>
          <w:bCs/>
          <w:color w:val="auto"/>
        </w:rPr>
        <w:t xml:space="preserve">Environmental attributes </w:t>
      </w:r>
      <w:r w:rsidRPr="003C7E62">
        <w:rPr>
          <w:rFonts w:cs="Arial"/>
          <w:color w:val="auto"/>
        </w:rPr>
        <w:t>– the impact on biodiversity, low energy efficiency, localised pollution and poor visual appearance.</w:t>
      </w:r>
    </w:p>
    <w:p w14:paraId="1CDF5A66" w14:textId="77777777" w:rsidR="004D690C" w:rsidRPr="003C7E62" w:rsidRDefault="004D690C" w:rsidP="00405C0A">
      <w:pPr>
        <w:keepNext w:val="0"/>
        <w:spacing w:before="0"/>
        <w:rPr>
          <w:rFonts w:cs="Arial"/>
          <w:b/>
          <w:color w:val="auto"/>
          <w:szCs w:val="24"/>
        </w:rPr>
      </w:pPr>
    </w:p>
    <w:p w14:paraId="3F9BAD38" w14:textId="48F499F1" w:rsidR="004D690C" w:rsidRPr="003C7E62" w:rsidRDefault="004D690C" w:rsidP="00405C0A">
      <w:pPr>
        <w:keepNext w:val="0"/>
        <w:spacing w:before="0"/>
        <w:rPr>
          <w:rFonts w:cs="Arial"/>
          <w:b/>
          <w:color w:val="993366"/>
          <w:szCs w:val="24"/>
        </w:rPr>
      </w:pPr>
      <w:r w:rsidRPr="003C7E62">
        <w:rPr>
          <w:rFonts w:cs="Arial"/>
          <w:b/>
          <w:color w:val="auto"/>
          <w:szCs w:val="24"/>
        </w:rPr>
        <w:t>Regional Plan, Regional Spatial Strategy (RSS):</w:t>
      </w:r>
      <w:r w:rsidRPr="003C7E62">
        <w:rPr>
          <w:rFonts w:cs="Arial"/>
          <w:b/>
          <w:color w:val="993366"/>
          <w:szCs w:val="24"/>
        </w:rPr>
        <w:t xml:space="preserve"> </w:t>
      </w:r>
      <w:r w:rsidRPr="003C7E62">
        <w:rPr>
          <w:rFonts w:cs="Arial"/>
          <w:color w:val="auto"/>
          <w:szCs w:val="24"/>
        </w:rPr>
        <w:t xml:space="preserve">The East Midlands Regional Plan (RSS) was issued in </w:t>
      </w:r>
      <w:r w:rsidR="008F76BA" w:rsidRPr="003C7E62">
        <w:rPr>
          <w:rFonts w:cs="Arial"/>
          <w:color w:val="auto"/>
          <w:szCs w:val="24"/>
        </w:rPr>
        <w:t>March 2009 and</w:t>
      </w:r>
      <w:r w:rsidRPr="003C7E62">
        <w:rPr>
          <w:rFonts w:cs="Arial"/>
          <w:color w:val="auto"/>
          <w:szCs w:val="24"/>
        </w:rPr>
        <w:t xml:space="preserve"> provided a framework of planning policies for East Midland Region. This document was formally revoked in April 2013.</w:t>
      </w:r>
    </w:p>
    <w:p w14:paraId="52511B57" w14:textId="77777777" w:rsidR="004D690C" w:rsidRPr="003C7E62" w:rsidRDefault="004D690C" w:rsidP="00405C0A">
      <w:pPr>
        <w:keepNext w:val="0"/>
        <w:spacing w:before="0"/>
        <w:rPr>
          <w:rFonts w:cs="Arial"/>
          <w:b/>
          <w:color w:val="auto"/>
        </w:rPr>
      </w:pPr>
    </w:p>
    <w:p w14:paraId="0C92C09C" w14:textId="77777777" w:rsidR="004D690C" w:rsidRPr="003C7E62" w:rsidRDefault="004D690C" w:rsidP="00405C0A">
      <w:pPr>
        <w:keepNext w:val="0"/>
        <w:spacing w:before="0"/>
        <w:rPr>
          <w:rFonts w:cs="Arial"/>
          <w:color w:val="auto"/>
        </w:rPr>
      </w:pPr>
      <w:r w:rsidRPr="003C7E62">
        <w:rPr>
          <w:rFonts w:cs="Arial"/>
          <w:b/>
          <w:color w:val="auto"/>
        </w:rPr>
        <w:lastRenderedPageBreak/>
        <w:t>Renewable Energy:</w:t>
      </w:r>
      <w:r w:rsidRPr="003C7E62">
        <w:rPr>
          <w:rFonts w:cs="Arial"/>
          <w:color w:val="auto"/>
        </w:rPr>
        <w:t xml:space="preserve"> The term ‘renewable energy’ covers those resources which occur and recur naturally in the environment.  Such resources include heat from the earth or sun, power from the wind and from water and energy from plant material and from the recycling of domestic, industrial or agricultural waste, and from recovering energy from domestic, industrial or agricultural waste.</w:t>
      </w:r>
    </w:p>
    <w:p w14:paraId="74F3D8A4" w14:textId="77777777" w:rsidR="004D690C" w:rsidRPr="003C7E62" w:rsidRDefault="004D690C" w:rsidP="00405C0A">
      <w:pPr>
        <w:keepNext w:val="0"/>
        <w:spacing w:before="0"/>
        <w:rPr>
          <w:rFonts w:cs="Arial"/>
          <w:color w:val="auto"/>
        </w:rPr>
      </w:pPr>
    </w:p>
    <w:p w14:paraId="49CAFFB7" w14:textId="3092580E" w:rsidR="004D690C" w:rsidRPr="003C7E62" w:rsidRDefault="004D690C" w:rsidP="00405C0A">
      <w:pPr>
        <w:keepNext w:val="0"/>
        <w:spacing w:before="0"/>
        <w:rPr>
          <w:rFonts w:cs="Arial"/>
          <w:color w:val="auto"/>
        </w:rPr>
      </w:pPr>
      <w:r w:rsidRPr="003C7E62">
        <w:rPr>
          <w:rFonts w:cs="Arial"/>
          <w:b/>
          <w:color w:val="auto"/>
        </w:rPr>
        <w:t>Robin Hood Line:</w:t>
      </w:r>
      <w:r w:rsidRPr="003C7E62">
        <w:rPr>
          <w:rFonts w:cs="Arial"/>
          <w:color w:val="auto"/>
        </w:rPr>
        <w:t xml:space="preserve"> The passenger railway line developed to connect Nottingham to Worksop.  Stations in Ashfield are located at Hucknall, Kirkby-in-Ashfield and Sutton Parkway</w:t>
      </w:r>
      <w:r w:rsidR="00C52BB8">
        <w:rPr>
          <w:rFonts w:cs="Arial"/>
          <w:color w:val="auto"/>
        </w:rPr>
        <w:t>.</w:t>
      </w:r>
    </w:p>
    <w:p w14:paraId="0BC0FE4E" w14:textId="77777777" w:rsidR="004D690C" w:rsidRPr="003C7E62" w:rsidRDefault="004D690C" w:rsidP="00405C0A">
      <w:pPr>
        <w:keepNext w:val="0"/>
        <w:spacing w:before="0"/>
        <w:rPr>
          <w:rFonts w:cs="Arial"/>
          <w:color w:val="auto"/>
        </w:rPr>
      </w:pPr>
    </w:p>
    <w:p w14:paraId="05E89C41" w14:textId="77777777" w:rsidR="004D690C" w:rsidRPr="003C7E62" w:rsidRDefault="004D690C" w:rsidP="00405C0A">
      <w:pPr>
        <w:keepNext w:val="0"/>
        <w:spacing w:before="0"/>
        <w:rPr>
          <w:rFonts w:cs="Arial"/>
          <w:color w:val="auto"/>
        </w:rPr>
      </w:pPr>
      <w:r w:rsidRPr="003C7E62">
        <w:rPr>
          <w:rFonts w:cs="Arial"/>
          <w:b/>
          <w:color w:val="auto"/>
        </w:rPr>
        <w:t>Rural Area:</w:t>
      </w:r>
      <w:r w:rsidRPr="003C7E62">
        <w:rPr>
          <w:rFonts w:cs="Arial"/>
          <w:color w:val="auto"/>
        </w:rPr>
        <w:t xml:space="preserve"> Those parts of the </w:t>
      </w:r>
      <w:proofErr w:type="gramStart"/>
      <w:r w:rsidRPr="003C7E62">
        <w:rPr>
          <w:rFonts w:cs="Arial"/>
          <w:color w:val="auto"/>
        </w:rPr>
        <w:t>District</w:t>
      </w:r>
      <w:proofErr w:type="gramEnd"/>
      <w:r w:rsidRPr="003C7E62">
        <w:rPr>
          <w:rFonts w:cs="Arial"/>
          <w:color w:val="auto"/>
        </w:rPr>
        <w:t xml:space="preserve"> identified as Green Belt or Countryside.</w:t>
      </w:r>
    </w:p>
    <w:p w14:paraId="47BF19A4" w14:textId="77777777" w:rsidR="004D690C" w:rsidRPr="003C7E62" w:rsidRDefault="004D690C" w:rsidP="00405C0A">
      <w:pPr>
        <w:keepNext w:val="0"/>
        <w:spacing w:before="0"/>
        <w:rPr>
          <w:rFonts w:cs="Arial"/>
          <w:b/>
          <w:color w:val="auto"/>
        </w:rPr>
      </w:pPr>
    </w:p>
    <w:p w14:paraId="094792FB" w14:textId="77777777" w:rsidR="004D690C" w:rsidRPr="003C7E62" w:rsidRDefault="004D690C" w:rsidP="00405C0A">
      <w:pPr>
        <w:keepNext w:val="0"/>
        <w:spacing w:before="0"/>
        <w:rPr>
          <w:rFonts w:cs="Arial"/>
          <w:color w:val="auto"/>
        </w:rPr>
      </w:pPr>
      <w:r w:rsidRPr="003C7E62">
        <w:rPr>
          <w:rFonts w:cs="Arial"/>
          <w:b/>
          <w:color w:val="auto"/>
        </w:rPr>
        <w:t xml:space="preserve">The Rurals – </w:t>
      </w:r>
      <w:r w:rsidRPr="003C7E62">
        <w:rPr>
          <w:rFonts w:cs="Arial"/>
          <w:color w:val="auto"/>
        </w:rPr>
        <w:t xml:space="preserve">Covers the District Council wards of </w:t>
      </w:r>
      <w:proofErr w:type="spellStart"/>
      <w:r w:rsidRPr="003C7E62">
        <w:rPr>
          <w:rFonts w:cs="Arial"/>
          <w:color w:val="auto"/>
        </w:rPr>
        <w:t>Selston</w:t>
      </w:r>
      <w:proofErr w:type="spellEnd"/>
      <w:r w:rsidRPr="003C7E62">
        <w:rPr>
          <w:rFonts w:cs="Arial"/>
          <w:color w:val="auto"/>
        </w:rPr>
        <w:t xml:space="preserve">, </w:t>
      </w:r>
      <w:proofErr w:type="spellStart"/>
      <w:r w:rsidRPr="003C7E62">
        <w:rPr>
          <w:rFonts w:cs="Arial"/>
          <w:color w:val="auto"/>
        </w:rPr>
        <w:t>Jacksdale</w:t>
      </w:r>
      <w:proofErr w:type="spellEnd"/>
      <w:r w:rsidRPr="003C7E62">
        <w:rPr>
          <w:rFonts w:cs="Arial"/>
          <w:color w:val="auto"/>
        </w:rPr>
        <w:t xml:space="preserve"> and Underwood and the villages of </w:t>
      </w:r>
      <w:proofErr w:type="spellStart"/>
      <w:r w:rsidRPr="003C7E62">
        <w:rPr>
          <w:rFonts w:cs="Arial"/>
          <w:color w:val="auto"/>
        </w:rPr>
        <w:t>Selston</w:t>
      </w:r>
      <w:proofErr w:type="spellEnd"/>
      <w:r w:rsidRPr="003C7E62">
        <w:rPr>
          <w:rFonts w:cs="Arial"/>
          <w:color w:val="auto"/>
        </w:rPr>
        <w:t xml:space="preserve">, </w:t>
      </w:r>
      <w:proofErr w:type="spellStart"/>
      <w:r w:rsidRPr="003C7E62">
        <w:rPr>
          <w:rFonts w:cs="Arial"/>
          <w:color w:val="auto"/>
        </w:rPr>
        <w:t>Jacksdale</w:t>
      </w:r>
      <w:proofErr w:type="spellEnd"/>
      <w:r w:rsidRPr="003C7E62">
        <w:rPr>
          <w:rFonts w:cs="Arial"/>
          <w:color w:val="auto"/>
        </w:rPr>
        <w:t xml:space="preserve">, </w:t>
      </w:r>
      <w:proofErr w:type="spellStart"/>
      <w:r w:rsidRPr="003C7E62">
        <w:rPr>
          <w:rFonts w:cs="Arial"/>
          <w:color w:val="auto"/>
        </w:rPr>
        <w:t>Bagthorpe</w:t>
      </w:r>
      <w:proofErr w:type="spellEnd"/>
      <w:r w:rsidRPr="003C7E62">
        <w:rPr>
          <w:rFonts w:cs="Arial"/>
          <w:color w:val="auto"/>
        </w:rPr>
        <w:t xml:space="preserve"> and Underwood.</w:t>
      </w:r>
    </w:p>
    <w:p w14:paraId="19DE57F7" w14:textId="77777777" w:rsidR="004D690C" w:rsidRPr="003C7E62" w:rsidRDefault="004D690C" w:rsidP="00405C0A">
      <w:pPr>
        <w:keepNext w:val="0"/>
        <w:spacing w:before="0"/>
        <w:rPr>
          <w:rFonts w:cs="Arial"/>
          <w:b/>
          <w:color w:val="auto"/>
        </w:rPr>
      </w:pPr>
    </w:p>
    <w:p w14:paraId="01E15BBA" w14:textId="72589EDA" w:rsidR="004D690C" w:rsidRPr="003C7E62" w:rsidRDefault="004D690C" w:rsidP="00405C0A">
      <w:pPr>
        <w:keepNext w:val="0"/>
        <w:spacing w:before="0"/>
        <w:rPr>
          <w:rFonts w:cs="Arial"/>
          <w:b/>
          <w:color w:val="auto"/>
        </w:rPr>
      </w:pPr>
      <w:r w:rsidRPr="003C7E62">
        <w:rPr>
          <w:rFonts w:cs="Arial"/>
          <w:b/>
          <w:color w:val="auto"/>
        </w:rPr>
        <w:t xml:space="preserve">Saved Policies: </w:t>
      </w:r>
      <w:r w:rsidRPr="003C7E62">
        <w:rPr>
          <w:rFonts w:cs="Arial"/>
          <w:color w:val="auto"/>
        </w:rPr>
        <w:t xml:space="preserve">Policies in the current Local Plan which have been </w:t>
      </w:r>
      <w:r w:rsidR="00C52BB8">
        <w:rPr>
          <w:rFonts w:cs="Arial"/>
          <w:color w:val="auto"/>
        </w:rPr>
        <w:t>retained and are utilised in making planning decisions.</w:t>
      </w:r>
    </w:p>
    <w:p w14:paraId="3D889C80" w14:textId="77777777" w:rsidR="004D690C" w:rsidRPr="003C7E62" w:rsidRDefault="004D690C" w:rsidP="00405C0A">
      <w:pPr>
        <w:keepNext w:val="0"/>
        <w:spacing w:before="0"/>
        <w:rPr>
          <w:rFonts w:cs="Arial"/>
          <w:color w:val="auto"/>
        </w:rPr>
      </w:pPr>
    </w:p>
    <w:p w14:paraId="77B90F20" w14:textId="77777777" w:rsidR="004D690C" w:rsidRPr="003C7E62" w:rsidRDefault="004D690C" w:rsidP="00405C0A">
      <w:pPr>
        <w:keepNext w:val="0"/>
        <w:autoSpaceDE w:val="0"/>
        <w:autoSpaceDN w:val="0"/>
        <w:adjustRightInd w:val="0"/>
        <w:spacing w:before="0"/>
        <w:rPr>
          <w:rFonts w:cs="Arial"/>
          <w:b/>
          <w:color w:val="auto"/>
        </w:rPr>
      </w:pPr>
      <w:r w:rsidRPr="003C7E62">
        <w:rPr>
          <w:rFonts w:cs="Arial"/>
          <w:b/>
          <w:color w:val="auto"/>
        </w:rPr>
        <w:t xml:space="preserve">Section 106 agreement (s106): </w:t>
      </w:r>
      <w:r w:rsidRPr="003C7E62">
        <w:rPr>
          <w:rFonts w:cs="Arial"/>
          <w:color w:val="auto"/>
        </w:rPr>
        <w:t>Planning obligations (or “section 106 agreements”) are an established and valuable mechanism for securing necessary infrastructure arising from a development proposal.  They are commonly used to bring development in line with the objectives of sustainable development as outlined through the relevant local, regional and national planning policies.  The agreements can be used, for example, to provide new or improved open spaces, better sustainable transport links, or more affordable housing.</w:t>
      </w:r>
    </w:p>
    <w:p w14:paraId="118629A0" w14:textId="77777777" w:rsidR="004D690C" w:rsidRPr="003C7E62" w:rsidRDefault="004D690C" w:rsidP="00405C0A">
      <w:pPr>
        <w:keepNext w:val="0"/>
        <w:autoSpaceDE w:val="0"/>
        <w:autoSpaceDN w:val="0"/>
        <w:adjustRightInd w:val="0"/>
        <w:spacing w:before="0"/>
        <w:rPr>
          <w:rFonts w:cs="Arial"/>
          <w:color w:val="000000"/>
          <w:szCs w:val="24"/>
        </w:rPr>
      </w:pPr>
    </w:p>
    <w:p w14:paraId="62F7A149" w14:textId="3156D93F" w:rsidR="004D690C" w:rsidRPr="003C7E62" w:rsidRDefault="004D690C" w:rsidP="00405C0A">
      <w:pPr>
        <w:keepNext w:val="0"/>
        <w:autoSpaceDE w:val="0"/>
        <w:autoSpaceDN w:val="0"/>
        <w:adjustRightInd w:val="0"/>
        <w:spacing w:before="0"/>
        <w:rPr>
          <w:rFonts w:cs="Arial"/>
          <w:b/>
          <w:color w:val="auto"/>
          <w:szCs w:val="24"/>
        </w:rPr>
      </w:pPr>
      <w:r w:rsidRPr="003C7E62">
        <w:rPr>
          <w:rFonts w:cs="Arial"/>
          <w:b/>
          <w:color w:val="auto"/>
          <w:szCs w:val="24"/>
          <w:lang w:val="en"/>
        </w:rPr>
        <w:t>Sequential approach/sequential test:</w:t>
      </w:r>
      <w:r w:rsidRPr="003C7E62">
        <w:rPr>
          <w:rFonts w:cs="Arial"/>
          <w:color w:val="auto"/>
          <w:szCs w:val="24"/>
          <w:lang w:val="en"/>
        </w:rPr>
        <w:t xml:space="preserve"> A planning principle that seeks to identify, allocate or develop certain types or locations of land before others.  For example, brownfield housing sites before greenfield sites, or town</w:t>
      </w:r>
      <w:r w:rsidRPr="003C7E62">
        <w:rPr>
          <w:rFonts w:cs="Arial"/>
          <w:color w:val="auto"/>
          <w:szCs w:val="24"/>
        </w:rPr>
        <w:t xml:space="preserve"> centre</w:t>
      </w:r>
      <w:r w:rsidRPr="003C7E62">
        <w:rPr>
          <w:rFonts w:cs="Arial"/>
          <w:color w:val="auto"/>
          <w:szCs w:val="24"/>
          <w:lang w:val="en"/>
        </w:rPr>
        <w:t xml:space="preserve"> retail sites before </w:t>
      </w:r>
      <w:proofErr w:type="spellStart"/>
      <w:r w:rsidRPr="003C7E62">
        <w:rPr>
          <w:rFonts w:cs="Arial"/>
          <w:color w:val="auto"/>
          <w:szCs w:val="24"/>
          <w:lang w:val="en"/>
        </w:rPr>
        <w:t>out-of</w:t>
      </w:r>
      <w:proofErr w:type="spellEnd"/>
      <w:r w:rsidRPr="003C7E62">
        <w:rPr>
          <w:rFonts w:cs="Arial"/>
          <w:color w:val="auto"/>
          <w:szCs w:val="24"/>
        </w:rPr>
        <w:t>-centre</w:t>
      </w:r>
      <w:r w:rsidRPr="003C7E62">
        <w:rPr>
          <w:rFonts w:cs="Arial"/>
          <w:color w:val="auto"/>
          <w:szCs w:val="24"/>
          <w:lang w:val="en"/>
        </w:rPr>
        <w:t xml:space="preserve"> sites</w:t>
      </w:r>
      <w:r w:rsidR="00C52BB8">
        <w:rPr>
          <w:rFonts w:cs="Arial"/>
          <w:color w:val="auto"/>
          <w:szCs w:val="24"/>
          <w:lang w:val="en"/>
        </w:rPr>
        <w:t xml:space="preserve"> or Flood Zone 1 before Flood Zone 2 or 3</w:t>
      </w:r>
      <w:r w:rsidRPr="003C7E62">
        <w:rPr>
          <w:rFonts w:cs="Arial"/>
          <w:color w:val="auto"/>
          <w:szCs w:val="24"/>
          <w:lang w:val="en"/>
        </w:rPr>
        <w:t>.</w:t>
      </w:r>
    </w:p>
    <w:p w14:paraId="50F35645" w14:textId="77777777" w:rsidR="004D690C" w:rsidRPr="003C7E62" w:rsidRDefault="004D690C" w:rsidP="00405C0A">
      <w:pPr>
        <w:keepNext w:val="0"/>
        <w:autoSpaceDE w:val="0"/>
        <w:autoSpaceDN w:val="0"/>
        <w:adjustRightInd w:val="0"/>
        <w:spacing w:before="0"/>
        <w:rPr>
          <w:rFonts w:cs="Arial"/>
          <w:b/>
          <w:color w:val="auto"/>
          <w:szCs w:val="24"/>
        </w:rPr>
      </w:pPr>
    </w:p>
    <w:p w14:paraId="22416C5C" w14:textId="77777777" w:rsidR="004D690C" w:rsidRPr="003C7E62" w:rsidRDefault="004D690C" w:rsidP="00405C0A">
      <w:pPr>
        <w:keepNext w:val="0"/>
        <w:autoSpaceDE w:val="0"/>
        <w:autoSpaceDN w:val="0"/>
        <w:adjustRightInd w:val="0"/>
        <w:spacing w:before="0"/>
        <w:rPr>
          <w:rFonts w:cs="Arial"/>
          <w:color w:val="auto"/>
          <w:szCs w:val="24"/>
        </w:rPr>
      </w:pPr>
      <w:r w:rsidRPr="003C7E62">
        <w:rPr>
          <w:rFonts w:cs="Arial"/>
          <w:b/>
          <w:color w:val="auto"/>
          <w:szCs w:val="24"/>
        </w:rPr>
        <w:t>Setting of a Heritage Asset:</w:t>
      </w:r>
      <w:r w:rsidRPr="003C7E62">
        <w:rPr>
          <w:rFonts w:cs="Arial"/>
          <w:color w:val="auto"/>
          <w:szCs w:val="24"/>
        </w:rPr>
        <w:t xml:space="preserve"> The surroundings in which a heritage asset is experienced. Its extent is not fixed and may change as the asset and its surroundings evolve.  Elements of setting may make a positive or negative contribution to the significance of an asset, may affect the ability to appreciate that significance or may be neutral.</w:t>
      </w:r>
    </w:p>
    <w:p w14:paraId="42E6D05A" w14:textId="77777777" w:rsidR="004D690C" w:rsidRPr="003C7E62" w:rsidRDefault="004D690C" w:rsidP="00405C0A">
      <w:pPr>
        <w:keepNext w:val="0"/>
        <w:autoSpaceDE w:val="0"/>
        <w:autoSpaceDN w:val="0"/>
        <w:adjustRightInd w:val="0"/>
        <w:spacing w:before="0"/>
        <w:rPr>
          <w:rFonts w:cs="Arial"/>
          <w:color w:val="000000"/>
          <w:szCs w:val="24"/>
          <w:lang w:val="en-US"/>
        </w:rPr>
      </w:pPr>
    </w:p>
    <w:p w14:paraId="2BD3D8C0" w14:textId="77777777" w:rsidR="004D690C" w:rsidRPr="003C7E62" w:rsidRDefault="004D690C" w:rsidP="00405C0A">
      <w:pPr>
        <w:keepNext w:val="0"/>
        <w:autoSpaceDE w:val="0"/>
        <w:autoSpaceDN w:val="0"/>
        <w:adjustRightInd w:val="0"/>
        <w:spacing w:before="0"/>
        <w:rPr>
          <w:rFonts w:cs="Arial"/>
          <w:color w:val="auto"/>
        </w:rPr>
      </w:pPr>
      <w:r w:rsidRPr="003C7E62">
        <w:rPr>
          <w:rFonts w:cs="Arial"/>
          <w:b/>
          <w:color w:val="auto"/>
        </w:rPr>
        <w:t xml:space="preserve">Shopping parades: </w:t>
      </w:r>
      <w:r w:rsidRPr="003C7E62">
        <w:rPr>
          <w:rFonts w:cs="Arial"/>
          <w:color w:val="auto"/>
        </w:rPr>
        <w:t>A small row of shops within a predominantly residential area which provide convenience goods and retail services to the local community.</w:t>
      </w:r>
    </w:p>
    <w:p w14:paraId="792EFF3C" w14:textId="77777777" w:rsidR="004D690C" w:rsidRPr="003C7E62" w:rsidRDefault="004D690C" w:rsidP="00405C0A">
      <w:pPr>
        <w:keepNext w:val="0"/>
        <w:autoSpaceDE w:val="0"/>
        <w:autoSpaceDN w:val="0"/>
        <w:adjustRightInd w:val="0"/>
        <w:spacing w:before="0"/>
        <w:rPr>
          <w:rFonts w:cs="Arial"/>
          <w:color w:val="auto"/>
        </w:rPr>
      </w:pPr>
    </w:p>
    <w:p w14:paraId="1B029790" w14:textId="77777777" w:rsidR="004D690C" w:rsidRPr="003C7E62" w:rsidRDefault="004D690C" w:rsidP="00405C0A">
      <w:pPr>
        <w:keepNext w:val="0"/>
        <w:autoSpaceDE w:val="0"/>
        <w:autoSpaceDN w:val="0"/>
        <w:adjustRightInd w:val="0"/>
        <w:spacing w:before="0"/>
        <w:rPr>
          <w:rFonts w:cs="Arial"/>
          <w:color w:val="auto"/>
          <w:szCs w:val="24"/>
        </w:rPr>
      </w:pPr>
      <w:r w:rsidRPr="003C7E62">
        <w:rPr>
          <w:rFonts w:cs="Arial"/>
          <w:b/>
          <w:color w:val="auto"/>
          <w:szCs w:val="24"/>
        </w:rPr>
        <w:t>Significance (For Heritage Policy):</w:t>
      </w:r>
      <w:r w:rsidRPr="003C7E62">
        <w:rPr>
          <w:rFonts w:cs="Arial"/>
          <w:color w:val="auto"/>
          <w:szCs w:val="24"/>
        </w:rPr>
        <w:t xml:space="preserve"> The value of a heritage asset to this and future generations because of its heritage interest.  That interest may be archaeological, architectural, artistic or historic.  Significance derives not only from a heritage asset’s physical presence, but also from its setting.</w:t>
      </w:r>
    </w:p>
    <w:p w14:paraId="4D7D1F0B" w14:textId="77777777" w:rsidR="004D690C" w:rsidRPr="003C7E62" w:rsidRDefault="004D690C" w:rsidP="00405C0A">
      <w:pPr>
        <w:keepNext w:val="0"/>
        <w:spacing w:before="0"/>
        <w:rPr>
          <w:rFonts w:cs="Arial"/>
          <w:b/>
          <w:color w:val="auto"/>
        </w:rPr>
      </w:pPr>
    </w:p>
    <w:p w14:paraId="541CB785" w14:textId="77777777" w:rsidR="004D690C" w:rsidRPr="003C7E62" w:rsidRDefault="004D690C" w:rsidP="00405C0A">
      <w:pPr>
        <w:keepNext w:val="0"/>
        <w:spacing w:before="0"/>
        <w:rPr>
          <w:rFonts w:cs="Arial"/>
          <w:color w:val="C00000"/>
        </w:rPr>
      </w:pPr>
      <w:r w:rsidRPr="003C7E62">
        <w:rPr>
          <w:rFonts w:cs="Arial"/>
          <w:b/>
          <w:color w:val="auto"/>
        </w:rPr>
        <w:t>Site of Importance for Nature Conservation (SINC):</w:t>
      </w:r>
      <w:r w:rsidRPr="003C7E62">
        <w:rPr>
          <w:rFonts w:cs="Arial"/>
          <w:color w:val="auto"/>
        </w:rPr>
        <w:t xml:space="preserve"> Site of local importance for nature conservation or geology identified by the Nottinghamshire Biological and Geological Records Centre.  They have been renamed as Local Wildlife Sites</w:t>
      </w:r>
      <w:r w:rsidRPr="003C7E62">
        <w:rPr>
          <w:rFonts w:cs="Arial"/>
          <w:color w:val="C00000"/>
        </w:rPr>
        <w:t xml:space="preserve">. </w:t>
      </w:r>
    </w:p>
    <w:p w14:paraId="6CB950F1" w14:textId="77777777" w:rsidR="004D690C" w:rsidRPr="003C7E62" w:rsidRDefault="004D690C" w:rsidP="00405C0A">
      <w:pPr>
        <w:keepNext w:val="0"/>
        <w:spacing w:before="0"/>
        <w:rPr>
          <w:rFonts w:cs="Arial"/>
          <w:color w:val="auto"/>
        </w:rPr>
      </w:pPr>
    </w:p>
    <w:p w14:paraId="1C630F69" w14:textId="77777777" w:rsidR="004D690C" w:rsidRPr="003C7E62" w:rsidRDefault="004D690C" w:rsidP="00405C0A">
      <w:pPr>
        <w:keepNext w:val="0"/>
        <w:spacing w:before="0"/>
        <w:rPr>
          <w:rFonts w:cs="Arial"/>
          <w:color w:val="auto"/>
        </w:rPr>
      </w:pPr>
      <w:r w:rsidRPr="003C7E62">
        <w:rPr>
          <w:rFonts w:cs="Arial"/>
          <w:b/>
          <w:color w:val="auto"/>
        </w:rPr>
        <w:t>Site of Special Scientific Interest (SSSI):</w:t>
      </w:r>
      <w:r w:rsidRPr="003C7E62">
        <w:rPr>
          <w:rFonts w:cs="Arial"/>
          <w:color w:val="auto"/>
        </w:rPr>
        <w:t xml:space="preserve"> The designation under Section 28 of the Wildlife and Countryside Act, 1981, of an area of land of special interest by reason of its flora, fauna, geological or physiological features.</w:t>
      </w:r>
    </w:p>
    <w:p w14:paraId="1F52EB50" w14:textId="77777777" w:rsidR="004D690C" w:rsidRPr="003C7E62" w:rsidRDefault="004D690C" w:rsidP="00405C0A">
      <w:pPr>
        <w:keepNext w:val="0"/>
        <w:spacing w:before="0"/>
        <w:rPr>
          <w:rFonts w:cs="Arial"/>
          <w:color w:val="auto"/>
        </w:rPr>
      </w:pPr>
    </w:p>
    <w:p w14:paraId="4B1A306E" w14:textId="77777777" w:rsidR="004D690C" w:rsidRPr="003C7E62" w:rsidRDefault="004D690C" w:rsidP="00405C0A">
      <w:pPr>
        <w:keepNext w:val="0"/>
        <w:spacing w:before="0"/>
        <w:rPr>
          <w:rFonts w:cs="Arial"/>
          <w:color w:val="auto"/>
        </w:rPr>
      </w:pPr>
      <w:r w:rsidRPr="003C7E62">
        <w:rPr>
          <w:rFonts w:cs="Arial"/>
          <w:b/>
          <w:color w:val="auto"/>
        </w:rPr>
        <w:t xml:space="preserve">Small Dwelling: </w:t>
      </w:r>
      <w:r w:rsidRPr="003C7E62">
        <w:rPr>
          <w:rFonts w:cs="Arial"/>
          <w:color w:val="auto"/>
        </w:rPr>
        <w:t>A dwelling with a floor area of 80 square metres or less as it existed on the 1 July 1982, or as the dwelling was originally built or legally established, if the residential use post-dates 1 July 1982.</w:t>
      </w:r>
    </w:p>
    <w:p w14:paraId="46C0DA08" w14:textId="77777777" w:rsidR="004D690C" w:rsidRPr="003C7E62" w:rsidRDefault="004D690C" w:rsidP="00405C0A">
      <w:pPr>
        <w:keepNext w:val="0"/>
        <w:spacing w:before="0"/>
        <w:rPr>
          <w:rFonts w:cs="Arial"/>
          <w:b/>
          <w:color w:val="auto"/>
        </w:rPr>
      </w:pPr>
    </w:p>
    <w:p w14:paraId="6F793839" w14:textId="77777777" w:rsidR="004D690C" w:rsidRPr="003C7E62" w:rsidRDefault="004D690C" w:rsidP="00405C0A">
      <w:pPr>
        <w:keepNext w:val="0"/>
        <w:autoSpaceDE w:val="0"/>
        <w:autoSpaceDN w:val="0"/>
        <w:adjustRightInd w:val="0"/>
        <w:spacing w:before="0"/>
        <w:rPr>
          <w:rFonts w:cs="Arial"/>
          <w:color w:val="auto"/>
          <w:szCs w:val="24"/>
        </w:rPr>
      </w:pPr>
      <w:r w:rsidRPr="003C7E62">
        <w:rPr>
          <w:rFonts w:cs="Arial"/>
          <w:b/>
          <w:color w:val="auto"/>
          <w:szCs w:val="24"/>
        </w:rPr>
        <w:t xml:space="preserve">Smarter choices: </w:t>
      </w:r>
      <w:r w:rsidRPr="003C7E62">
        <w:rPr>
          <w:rFonts w:cs="Arial"/>
          <w:color w:val="auto"/>
          <w:szCs w:val="24"/>
        </w:rPr>
        <w:t>Smarter choices are ‘soft’ transport measures which are aimed at helping people to choose to reduce their car use while enhancing the attractiveness of alternatives.  They include workplace and school travel plans; personalised travel planning, public transport information and marketing; car clubs and car sharing schemes; teleworking, teleconferencing and home shopping.</w:t>
      </w:r>
    </w:p>
    <w:p w14:paraId="186EE250" w14:textId="77777777" w:rsidR="004D690C" w:rsidRPr="003C7E62" w:rsidRDefault="004D690C" w:rsidP="00405C0A">
      <w:pPr>
        <w:keepNext w:val="0"/>
        <w:autoSpaceDE w:val="0"/>
        <w:autoSpaceDN w:val="0"/>
        <w:adjustRightInd w:val="0"/>
        <w:spacing w:before="0"/>
        <w:rPr>
          <w:rFonts w:cs="Arial"/>
          <w:b/>
          <w:color w:val="auto"/>
        </w:rPr>
      </w:pPr>
    </w:p>
    <w:p w14:paraId="70ECD76C" w14:textId="77777777" w:rsidR="004D690C" w:rsidRPr="003C7E62" w:rsidRDefault="004D690C" w:rsidP="00405C0A">
      <w:pPr>
        <w:keepNext w:val="0"/>
        <w:autoSpaceDE w:val="0"/>
        <w:autoSpaceDN w:val="0"/>
        <w:adjustRightInd w:val="0"/>
        <w:spacing w:before="0"/>
        <w:rPr>
          <w:rFonts w:cs="Arial"/>
          <w:color w:val="auto"/>
        </w:rPr>
      </w:pPr>
      <w:r w:rsidRPr="003C7E62">
        <w:rPr>
          <w:rFonts w:cs="Arial"/>
          <w:b/>
          <w:color w:val="auto"/>
        </w:rPr>
        <w:t xml:space="preserve">Social Infrastructure: </w:t>
      </w:r>
      <w:r w:rsidRPr="003C7E62">
        <w:rPr>
          <w:rFonts w:cs="Arial"/>
          <w:color w:val="auto"/>
        </w:rPr>
        <w:t xml:space="preserve">Social infrastructure includes a wide variety of services that are essential to the sustainability and wellbeing of a community.  </w:t>
      </w:r>
      <w:r w:rsidRPr="003C7E62">
        <w:rPr>
          <w:rFonts w:cs="Arial"/>
          <w:bCs/>
          <w:color w:val="auto"/>
        </w:rPr>
        <w:t>This includes but is not limited too</w:t>
      </w:r>
      <w:r w:rsidRPr="003C7E62">
        <w:rPr>
          <w:rFonts w:cs="Arial"/>
          <w:color w:val="auto"/>
        </w:rPr>
        <w:t xml:space="preserve"> educational facilities including early years education, primary education, secondary education, further education and adult learning; Health services including primary and secondary health; sports and leisure facilities; libraries; theatres; community centres, meeting rooms and halls; cemeteries; faith facilities; and public houses.</w:t>
      </w:r>
    </w:p>
    <w:p w14:paraId="49114B8F" w14:textId="77777777" w:rsidR="004D690C" w:rsidRPr="003C7E62" w:rsidRDefault="004D690C" w:rsidP="00405C0A">
      <w:pPr>
        <w:keepNext w:val="0"/>
        <w:autoSpaceDE w:val="0"/>
        <w:autoSpaceDN w:val="0"/>
        <w:adjustRightInd w:val="0"/>
        <w:spacing w:before="0"/>
        <w:rPr>
          <w:rFonts w:cs="Arial"/>
          <w:b/>
          <w:bCs/>
          <w:color w:val="auto"/>
        </w:rPr>
      </w:pPr>
    </w:p>
    <w:p w14:paraId="2C94C464" w14:textId="319B2D6B" w:rsidR="004D690C" w:rsidRPr="003C7E62" w:rsidRDefault="004D690C" w:rsidP="00405C0A">
      <w:pPr>
        <w:keepNext w:val="0"/>
        <w:spacing w:before="0"/>
        <w:rPr>
          <w:rFonts w:cs="Arial"/>
          <w:bCs/>
          <w:color w:val="auto"/>
        </w:rPr>
      </w:pPr>
      <w:r w:rsidRPr="003C7E62">
        <w:rPr>
          <w:rFonts w:cs="Arial"/>
          <w:b/>
          <w:color w:val="auto"/>
        </w:rPr>
        <w:t>Soundness</w:t>
      </w:r>
      <w:r w:rsidRPr="003C7E62">
        <w:rPr>
          <w:rFonts w:cs="Arial"/>
          <w:bCs/>
          <w:color w:val="auto"/>
        </w:rPr>
        <w:t>: Under the National Planning Policy Framework 20</w:t>
      </w:r>
      <w:r w:rsidR="00E478F6">
        <w:rPr>
          <w:rFonts w:cs="Arial"/>
          <w:bCs/>
          <w:color w:val="auto"/>
        </w:rPr>
        <w:t>21</w:t>
      </w:r>
      <w:r w:rsidRPr="003C7E62">
        <w:rPr>
          <w:rFonts w:cs="Arial"/>
          <w:bCs/>
          <w:color w:val="auto"/>
        </w:rPr>
        <w:t xml:space="preserve"> paragraph 35</w:t>
      </w:r>
    </w:p>
    <w:p w14:paraId="378C9A92" w14:textId="3CB97C33" w:rsidR="004D690C" w:rsidRPr="00E478F6" w:rsidRDefault="004D690C" w:rsidP="00E478F6">
      <w:pPr>
        <w:keepNext w:val="0"/>
        <w:spacing w:before="0"/>
        <w:rPr>
          <w:rFonts w:cs="Arial"/>
          <w:bCs/>
          <w:color w:val="auto"/>
          <w:szCs w:val="24"/>
        </w:rPr>
      </w:pPr>
      <w:r w:rsidRPr="003C7E62">
        <w:rPr>
          <w:rFonts w:cs="Arial"/>
          <w:bCs/>
          <w:color w:val="auto"/>
        </w:rPr>
        <w:t xml:space="preserve"> a </w:t>
      </w:r>
      <w:r w:rsidRPr="003C7E62">
        <w:rPr>
          <w:rFonts w:cs="Arial"/>
          <w:bCs/>
          <w:color w:val="auto"/>
          <w:szCs w:val="24"/>
        </w:rPr>
        <w:t>local planning authority should submit a plan for examination which it considers is “sound” – namely that it is:</w:t>
      </w:r>
    </w:p>
    <w:p w14:paraId="32DE8F03" w14:textId="77777777" w:rsidR="00E478F6" w:rsidRPr="00E478F6" w:rsidRDefault="00E478F6" w:rsidP="00E478F6">
      <w:pPr>
        <w:keepNext w:val="0"/>
        <w:spacing w:before="0"/>
        <w:rPr>
          <w:rFonts w:cs="Arial"/>
          <w:bCs/>
          <w:color w:val="auto"/>
          <w:szCs w:val="24"/>
        </w:rPr>
      </w:pPr>
    </w:p>
    <w:p w14:paraId="175DDEC4" w14:textId="77777777" w:rsidR="00E478F6" w:rsidRPr="00E478F6" w:rsidRDefault="00E478F6" w:rsidP="00874A98">
      <w:pPr>
        <w:pStyle w:val="ListParagraph"/>
        <w:numPr>
          <w:ilvl w:val="0"/>
          <w:numId w:val="304"/>
        </w:numPr>
        <w:spacing w:after="0" w:line="240" w:lineRule="auto"/>
        <w:rPr>
          <w:rFonts w:ascii="Arial" w:hAnsi="Arial" w:cs="Arial"/>
          <w:bCs/>
          <w:color w:val="auto"/>
        </w:rPr>
      </w:pPr>
      <w:r w:rsidRPr="00E478F6">
        <w:rPr>
          <w:rFonts w:ascii="Arial" w:hAnsi="Arial" w:cs="Arial"/>
          <w:bCs/>
          <w:color w:val="auto"/>
        </w:rPr>
        <w:t xml:space="preserve">Positively prepared – providing a strategy which, as a minimum, seeks to meet the </w:t>
      </w:r>
      <w:proofErr w:type="gramStart"/>
      <w:r w:rsidRPr="00E478F6">
        <w:rPr>
          <w:rFonts w:ascii="Arial" w:hAnsi="Arial" w:cs="Arial"/>
          <w:bCs/>
          <w:color w:val="auto"/>
        </w:rPr>
        <w:t>area’s</w:t>
      </w:r>
      <w:proofErr w:type="gramEnd"/>
      <w:r w:rsidRPr="00E478F6">
        <w:rPr>
          <w:rFonts w:ascii="Arial" w:hAnsi="Arial" w:cs="Arial"/>
          <w:bCs/>
          <w:color w:val="auto"/>
        </w:rPr>
        <w:t xml:space="preserve"> objectively assessed needs21; and is informed by agreements with other authorities, so that unmet need from neighbouring areas is accommodated where it is practical to do so and is consistent with achieving sustainable development;</w:t>
      </w:r>
    </w:p>
    <w:p w14:paraId="18E7DB33" w14:textId="77777777" w:rsidR="00E478F6" w:rsidRPr="00E478F6" w:rsidRDefault="00E478F6" w:rsidP="00874A98">
      <w:pPr>
        <w:pStyle w:val="ListParagraph"/>
        <w:numPr>
          <w:ilvl w:val="0"/>
          <w:numId w:val="304"/>
        </w:numPr>
        <w:spacing w:after="0" w:line="240" w:lineRule="auto"/>
        <w:rPr>
          <w:rFonts w:ascii="Arial" w:hAnsi="Arial" w:cs="Arial"/>
          <w:bCs/>
          <w:color w:val="auto"/>
        </w:rPr>
      </w:pPr>
      <w:r w:rsidRPr="00E478F6">
        <w:rPr>
          <w:rFonts w:ascii="Arial" w:hAnsi="Arial" w:cs="Arial"/>
          <w:bCs/>
          <w:color w:val="auto"/>
        </w:rPr>
        <w:t xml:space="preserve">Justified – an appropriate strategy, </w:t>
      </w:r>
      <w:proofErr w:type="gramStart"/>
      <w:r w:rsidRPr="00E478F6">
        <w:rPr>
          <w:rFonts w:ascii="Arial" w:hAnsi="Arial" w:cs="Arial"/>
          <w:bCs/>
          <w:color w:val="auto"/>
        </w:rPr>
        <w:t>taking into account</w:t>
      </w:r>
      <w:proofErr w:type="gramEnd"/>
      <w:r w:rsidRPr="00E478F6">
        <w:rPr>
          <w:rFonts w:ascii="Arial" w:hAnsi="Arial" w:cs="Arial"/>
          <w:bCs/>
          <w:color w:val="auto"/>
        </w:rPr>
        <w:t xml:space="preserve"> the reasonable alternatives, and based on proportionate evidence;</w:t>
      </w:r>
    </w:p>
    <w:p w14:paraId="298EE737" w14:textId="77777777" w:rsidR="00E478F6" w:rsidRPr="00E478F6" w:rsidRDefault="00E478F6" w:rsidP="00874A98">
      <w:pPr>
        <w:pStyle w:val="ListParagraph"/>
        <w:numPr>
          <w:ilvl w:val="0"/>
          <w:numId w:val="304"/>
        </w:numPr>
        <w:spacing w:after="0" w:line="240" w:lineRule="auto"/>
        <w:rPr>
          <w:rFonts w:ascii="Arial" w:hAnsi="Arial" w:cs="Arial"/>
          <w:bCs/>
          <w:color w:val="auto"/>
        </w:rPr>
      </w:pPr>
      <w:r w:rsidRPr="00E478F6">
        <w:rPr>
          <w:rFonts w:ascii="Arial" w:hAnsi="Arial" w:cs="Arial"/>
          <w:bCs/>
          <w:color w:val="auto"/>
        </w:rPr>
        <w:t>Effective – deliverable over the plan period, and based on effective joint working on cross-boundary strategic matters that have been dealt with rather than deferred, as evidenced by the statement of common ground; and</w:t>
      </w:r>
    </w:p>
    <w:p w14:paraId="368870BD" w14:textId="0509FCA6" w:rsidR="004D690C" w:rsidRDefault="00E478F6" w:rsidP="00874A98">
      <w:pPr>
        <w:pStyle w:val="ListParagraph"/>
        <w:numPr>
          <w:ilvl w:val="0"/>
          <w:numId w:val="304"/>
        </w:numPr>
        <w:spacing w:after="0" w:line="240" w:lineRule="auto"/>
        <w:rPr>
          <w:rFonts w:ascii="Arial" w:hAnsi="Arial" w:cs="Arial"/>
          <w:bCs/>
          <w:color w:val="auto"/>
        </w:rPr>
      </w:pPr>
      <w:r w:rsidRPr="00E478F6">
        <w:rPr>
          <w:rFonts w:ascii="Arial" w:hAnsi="Arial" w:cs="Arial"/>
          <w:bCs/>
          <w:color w:val="auto"/>
        </w:rPr>
        <w:t>Consistent with national policy – enabling the delivery of sustainable development in accordance with the policies in this Framework and other statements of national planning policy, where relevant.</w:t>
      </w:r>
    </w:p>
    <w:p w14:paraId="6B2E0E9F" w14:textId="77777777" w:rsidR="00E478F6" w:rsidRPr="00E478F6" w:rsidRDefault="00E478F6" w:rsidP="00E478F6">
      <w:pPr>
        <w:pStyle w:val="ListParagraph"/>
        <w:spacing w:after="0" w:line="240" w:lineRule="auto"/>
        <w:ind w:left="360"/>
        <w:rPr>
          <w:rFonts w:ascii="Arial" w:hAnsi="Arial" w:cs="Arial"/>
          <w:bCs/>
          <w:color w:val="auto"/>
        </w:rPr>
      </w:pPr>
    </w:p>
    <w:p w14:paraId="32687AC0" w14:textId="632250F3" w:rsidR="004D690C" w:rsidRPr="003C7E62" w:rsidRDefault="004D690C" w:rsidP="00405C0A">
      <w:pPr>
        <w:keepNext w:val="0"/>
        <w:spacing w:before="0"/>
        <w:rPr>
          <w:rFonts w:eastAsia="Calibri" w:cs="Arial"/>
          <w:color w:val="auto"/>
          <w:szCs w:val="24"/>
          <w:lang w:eastAsia="en-US"/>
        </w:rPr>
      </w:pPr>
      <w:r w:rsidRPr="003C7E62">
        <w:rPr>
          <w:rFonts w:eastAsia="Calibri" w:cs="Arial"/>
          <w:b/>
          <w:color w:val="auto"/>
          <w:szCs w:val="24"/>
          <w:lang w:eastAsia="en-US"/>
        </w:rPr>
        <w:t>Starter Homes:</w:t>
      </w:r>
      <w:r w:rsidRPr="003C7E62">
        <w:rPr>
          <w:rFonts w:eastAsia="Calibri" w:cs="Arial"/>
          <w:color w:val="auto"/>
          <w:szCs w:val="24"/>
          <w:lang w:eastAsia="en-US"/>
        </w:rPr>
        <w:t xml:space="preserve"> Defined under the Housing and Planning Act 2016 as a new dwelling which is available for purchase by qualifying first-time buyers only (being at least 23 years old but has not yet reached the age of 40).  They are sold at a discount of at least 20% of the market value with a price cap (2016) outside Greater London of £250,000.  Any future sale or letting is subject any regulations made by the Secretary of State.  There is a statutory duty on local planning authorities to require starter homes on a planning application.   </w:t>
      </w:r>
    </w:p>
    <w:p w14:paraId="6D39E5AC" w14:textId="77777777" w:rsidR="004D690C" w:rsidRPr="003C7E62" w:rsidRDefault="004D690C" w:rsidP="00405C0A">
      <w:pPr>
        <w:keepNext w:val="0"/>
        <w:spacing w:before="0"/>
        <w:rPr>
          <w:rFonts w:cs="Arial"/>
          <w:b/>
          <w:color w:val="auto"/>
        </w:rPr>
      </w:pPr>
    </w:p>
    <w:p w14:paraId="612CF417" w14:textId="77777777" w:rsidR="004D690C" w:rsidRPr="003C7E62" w:rsidRDefault="004D690C" w:rsidP="00405C0A">
      <w:pPr>
        <w:keepNext w:val="0"/>
        <w:spacing w:before="0"/>
        <w:rPr>
          <w:rFonts w:cs="Arial"/>
          <w:color w:val="auto"/>
        </w:rPr>
      </w:pPr>
      <w:r w:rsidRPr="003C7E62">
        <w:rPr>
          <w:rFonts w:cs="Arial"/>
          <w:b/>
          <w:color w:val="auto"/>
        </w:rPr>
        <w:t>Statement of Community Involvement (SCI):</w:t>
      </w:r>
      <w:r w:rsidRPr="003C7E62">
        <w:rPr>
          <w:rFonts w:cs="Arial"/>
          <w:color w:val="auto"/>
        </w:rPr>
        <w:t xml:space="preserve">  This document informs of how</w:t>
      </w:r>
      <w:r w:rsidRPr="003C7E62">
        <w:rPr>
          <w:rFonts w:cs="Arial"/>
          <w:color w:val="auto"/>
          <w:lang w:val="en"/>
        </w:rPr>
        <w:t xml:space="preserve"> the Council intends to engage the community on all major planning applications and in the preparation of the Local Plan.</w:t>
      </w:r>
      <w:r w:rsidRPr="003C7E62">
        <w:rPr>
          <w:rFonts w:cs="Arial"/>
          <w:color w:val="auto"/>
        </w:rPr>
        <w:t xml:space="preserve"> </w:t>
      </w:r>
    </w:p>
    <w:p w14:paraId="149CF2E5" w14:textId="77777777" w:rsidR="004D690C" w:rsidRPr="003C7E62" w:rsidRDefault="004D690C" w:rsidP="00405C0A">
      <w:pPr>
        <w:keepNext w:val="0"/>
        <w:spacing w:before="0"/>
        <w:rPr>
          <w:rFonts w:cs="Arial"/>
          <w:color w:val="auto"/>
        </w:rPr>
      </w:pPr>
    </w:p>
    <w:p w14:paraId="641EFB2E" w14:textId="77777777" w:rsidR="004D690C" w:rsidRPr="003C7E62" w:rsidRDefault="004D690C" w:rsidP="00405C0A">
      <w:pPr>
        <w:keepNext w:val="0"/>
        <w:spacing w:before="0"/>
        <w:rPr>
          <w:rFonts w:cs="Arial"/>
          <w:color w:val="auto"/>
        </w:rPr>
      </w:pPr>
      <w:r w:rsidRPr="003C7E62">
        <w:rPr>
          <w:rFonts w:cs="Arial"/>
          <w:b/>
          <w:color w:val="auto"/>
        </w:rPr>
        <w:t>Supplementary Planning Document (SPD):</w:t>
      </w:r>
      <w:r w:rsidRPr="003C7E62">
        <w:rPr>
          <w:rFonts w:cs="Arial"/>
          <w:color w:val="auto"/>
        </w:rPr>
        <w:t xml:space="preserve"> Provide supplementary information in respect of the policies in Development Plan Documents (Local Plan).  They do not form part of the Development Plan and are not subject to independent examination.</w:t>
      </w:r>
    </w:p>
    <w:p w14:paraId="1396F233" w14:textId="77777777" w:rsidR="004D690C" w:rsidRPr="003C7E62" w:rsidRDefault="004D690C" w:rsidP="00405C0A">
      <w:pPr>
        <w:keepNext w:val="0"/>
        <w:spacing w:before="0"/>
        <w:rPr>
          <w:rFonts w:cs="Arial"/>
          <w:color w:val="auto"/>
        </w:rPr>
      </w:pPr>
    </w:p>
    <w:p w14:paraId="20D643E1" w14:textId="77777777" w:rsidR="004D690C" w:rsidRPr="003C7E62" w:rsidRDefault="004D690C" w:rsidP="00405C0A">
      <w:pPr>
        <w:keepNext w:val="0"/>
        <w:spacing w:before="0"/>
        <w:rPr>
          <w:rFonts w:cs="Arial"/>
          <w:color w:val="C00000"/>
        </w:rPr>
      </w:pPr>
      <w:r w:rsidRPr="003C7E62">
        <w:rPr>
          <w:rFonts w:cs="Arial"/>
          <w:b/>
          <w:color w:val="auto"/>
        </w:rPr>
        <w:t>Sustainability Appraisal (SA):</w:t>
      </w:r>
      <w:r w:rsidRPr="003C7E62">
        <w:rPr>
          <w:rFonts w:cs="Arial"/>
          <w:color w:val="auto"/>
        </w:rPr>
        <w:t xml:space="preserve"> Examines the social, environmental and economic effects of strategies and policies in a Local Plan from the outset of preparation </w:t>
      </w:r>
      <w:r w:rsidRPr="003C7E62">
        <w:rPr>
          <w:rFonts w:cs="Arial"/>
          <w:color w:val="auto"/>
          <w:lang w:val="en"/>
        </w:rPr>
        <w:t>to allow decisions to be made that accord with sustainable development.</w:t>
      </w:r>
    </w:p>
    <w:p w14:paraId="56F6CECD" w14:textId="77777777" w:rsidR="004D690C" w:rsidRPr="003C7E62" w:rsidRDefault="004D690C" w:rsidP="00405C0A">
      <w:pPr>
        <w:keepNext w:val="0"/>
        <w:spacing w:before="0"/>
        <w:rPr>
          <w:rFonts w:cs="Arial"/>
          <w:color w:val="auto"/>
        </w:rPr>
      </w:pPr>
    </w:p>
    <w:p w14:paraId="556873ED" w14:textId="77777777" w:rsidR="004D690C" w:rsidRPr="003C7E62" w:rsidRDefault="004D690C" w:rsidP="00405C0A">
      <w:pPr>
        <w:keepNext w:val="0"/>
        <w:spacing w:before="0"/>
        <w:rPr>
          <w:rFonts w:cs="Arial"/>
          <w:color w:val="auto"/>
        </w:rPr>
      </w:pPr>
      <w:r w:rsidRPr="003C7E62">
        <w:rPr>
          <w:rFonts w:cs="Arial"/>
          <w:b/>
          <w:color w:val="auto"/>
        </w:rPr>
        <w:t xml:space="preserve">Sustainable Communities: </w:t>
      </w:r>
      <w:r w:rsidRPr="003C7E62">
        <w:rPr>
          <w:rFonts w:cs="Arial"/>
          <w:color w:val="auto"/>
        </w:rPr>
        <w:t>Places in which people want to live, now and in the future.  They embody the principles of sustainable development at the local level.  This means they improve quality of life for all whilst safeguarding the environment for future generations. (Source DCLG)</w:t>
      </w:r>
    </w:p>
    <w:p w14:paraId="233422B1" w14:textId="77777777" w:rsidR="004D690C" w:rsidRPr="003C7E62" w:rsidRDefault="004D690C" w:rsidP="00405C0A">
      <w:pPr>
        <w:keepNext w:val="0"/>
        <w:spacing w:before="0"/>
        <w:rPr>
          <w:rFonts w:cs="Arial"/>
          <w:color w:val="auto"/>
        </w:rPr>
      </w:pPr>
    </w:p>
    <w:p w14:paraId="2223A0BE" w14:textId="77777777" w:rsidR="004D690C" w:rsidRPr="003C7E62" w:rsidRDefault="004D690C" w:rsidP="00405C0A">
      <w:pPr>
        <w:keepNext w:val="0"/>
        <w:spacing w:before="0"/>
        <w:rPr>
          <w:rFonts w:cs="Arial"/>
          <w:color w:val="auto"/>
        </w:rPr>
      </w:pPr>
      <w:r w:rsidRPr="003C7E62">
        <w:rPr>
          <w:rFonts w:cs="Arial"/>
          <w:b/>
          <w:color w:val="auto"/>
        </w:rPr>
        <w:t>Sustainable Community Strategy:</w:t>
      </w:r>
      <w:r w:rsidRPr="003C7E62">
        <w:rPr>
          <w:rFonts w:cs="Arial"/>
          <w:color w:val="auto"/>
        </w:rPr>
        <w:t xml:space="preserve"> A joint plan agreed by the Local Strategic Partnerships to enhance the economic, social and environmental wellbeing of each District/Borough.</w:t>
      </w:r>
    </w:p>
    <w:p w14:paraId="4BDA5497" w14:textId="77777777" w:rsidR="004D690C" w:rsidRPr="003C7E62" w:rsidRDefault="004D690C" w:rsidP="00405C0A">
      <w:pPr>
        <w:keepNext w:val="0"/>
        <w:spacing w:before="0"/>
        <w:rPr>
          <w:rFonts w:cs="Arial"/>
          <w:color w:val="auto"/>
        </w:rPr>
      </w:pPr>
    </w:p>
    <w:p w14:paraId="11EC0E35" w14:textId="77777777" w:rsidR="004D690C" w:rsidRPr="003C7E62" w:rsidRDefault="004D690C" w:rsidP="00405C0A">
      <w:pPr>
        <w:keepNext w:val="0"/>
        <w:spacing w:before="0"/>
        <w:rPr>
          <w:rFonts w:cs="Arial"/>
          <w:color w:val="auto"/>
        </w:rPr>
      </w:pPr>
      <w:r w:rsidRPr="003C7E62">
        <w:rPr>
          <w:rFonts w:cs="Arial"/>
          <w:b/>
          <w:color w:val="auto"/>
        </w:rPr>
        <w:t>Sustainable Development:</w:t>
      </w:r>
      <w:r w:rsidRPr="003C7E62">
        <w:rPr>
          <w:rFonts w:cs="Arial"/>
          <w:color w:val="auto"/>
        </w:rPr>
        <w:t xml:space="preserve"> </w:t>
      </w:r>
      <w:r w:rsidRPr="003C7E62">
        <w:rPr>
          <w:rFonts w:cs="Arial"/>
          <w:color w:val="auto"/>
          <w:szCs w:val="24"/>
        </w:rPr>
        <w:t xml:space="preserve">International and national bodies have set out broad principles of sustainable development.  Resolution 42/187 of the United Nations General Assembly defined sustainable development as meeting the needs of the present without compromising the ability of future generations to meet their own needs.  The UK Sustainable Development Strategy </w:t>
      </w:r>
      <w:r w:rsidRPr="003C7E62">
        <w:rPr>
          <w:rFonts w:cs="Arial"/>
          <w:i/>
          <w:iCs/>
          <w:color w:val="auto"/>
          <w:szCs w:val="24"/>
        </w:rPr>
        <w:t xml:space="preserve">Securing the Future </w:t>
      </w:r>
      <w:r w:rsidRPr="003C7E62">
        <w:rPr>
          <w:rFonts w:cs="Arial"/>
          <w:color w:val="auto"/>
          <w:szCs w:val="24"/>
        </w:rPr>
        <w:t>set out five ‘guiding principles’ of sustainable development: living within the planet’s environmental limits; ensuring a strong, healthy and just society; achieving a sustainable economy; promoting good governance; and using sound science responsibly.</w:t>
      </w:r>
    </w:p>
    <w:p w14:paraId="27E9C991" w14:textId="77777777" w:rsidR="004D690C" w:rsidRPr="003C7E62" w:rsidRDefault="004D690C" w:rsidP="00405C0A">
      <w:pPr>
        <w:keepNext w:val="0"/>
        <w:spacing w:before="0"/>
        <w:rPr>
          <w:rFonts w:cs="Arial"/>
          <w:color w:val="auto"/>
        </w:rPr>
      </w:pPr>
    </w:p>
    <w:p w14:paraId="4EE69000" w14:textId="77777777" w:rsidR="004D690C" w:rsidRPr="003C7E62" w:rsidRDefault="004D690C" w:rsidP="00405C0A">
      <w:pPr>
        <w:keepNext w:val="0"/>
        <w:autoSpaceDE w:val="0"/>
        <w:autoSpaceDN w:val="0"/>
        <w:adjustRightInd w:val="0"/>
        <w:spacing w:before="0"/>
        <w:rPr>
          <w:rFonts w:cs="Arial"/>
          <w:color w:val="auto"/>
          <w:szCs w:val="24"/>
          <w:lang w:val="en-US" w:eastAsia="en-US"/>
        </w:rPr>
      </w:pPr>
      <w:r w:rsidRPr="003C7E62">
        <w:rPr>
          <w:rFonts w:cs="Arial"/>
          <w:b/>
          <w:color w:val="auto"/>
          <w:szCs w:val="24"/>
          <w:lang w:val="en-US" w:eastAsia="en-US"/>
        </w:rPr>
        <w:t>Town</w:t>
      </w:r>
      <w:r w:rsidRPr="003C7E62">
        <w:rPr>
          <w:rFonts w:cs="Arial"/>
          <w:b/>
          <w:color w:val="auto"/>
          <w:szCs w:val="24"/>
          <w:lang w:eastAsia="en-US"/>
        </w:rPr>
        <w:t xml:space="preserve"> centre</w:t>
      </w:r>
      <w:r w:rsidRPr="003C7E62">
        <w:rPr>
          <w:rFonts w:cs="Arial"/>
          <w:b/>
          <w:color w:val="auto"/>
          <w:szCs w:val="24"/>
          <w:lang w:val="en-US" w:eastAsia="en-US"/>
        </w:rPr>
        <w:t xml:space="preserve">: </w:t>
      </w:r>
      <w:r w:rsidRPr="003C7E62">
        <w:rPr>
          <w:rFonts w:cs="Arial"/>
          <w:color w:val="auto"/>
          <w:szCs w:val="24"/>
          <w:lang w:val="en-US" w:eastAsia="en-US"/>
        </w:rPr>
        <w:t xml:space="preserve">An area defined on the Local Plan Policies Map which includes primary shopping areas.  Town </w:t>
      </w:r>
      <w:proofErr w:type="spellStart"/>
      <w:r w:rsidRPr="003C7E62">
        <w:rPr>
          <w:rFonts w:cs="Arial"/>
          <w:color w:val="auto"/>
          <w:szCs w:val="24"/>
          <w:lang w:val="en-US" w:eastAsia="en-US"/>
        </w:rPr>
        <w:t>centres</w:t>
      </w:r>
      <w:proofErr w:type="spellEnd"/>
      <w:r w:rsidRPr="003C7E62">
        <w:rPr>
          <w:rFonts w:cs="Arial"/>
          <w:color w:val="auto"/>
          <w:szCs w:val="24"/>
          <w:lang w:val="en-US" w:eastAsia="en-US"/>
        </w:rPr>
        <w:t xml:space="preserve"> are predominantly occupied by main town center uses within or adjacent to the primary shopping area.  Main town</w:t>
      </w:r>
      <w:r w:rsidRPr="003C7E62">
        <w:rPr>
          <w:rFonts w:cs="Arial"/>
          <w:color w:val="auto"/>
          <w:szCs w:val="24"/>
          <w:lang w:eastAsia="en-US"/>
        </w:rPr>
        <w:t xml:space="preserve"> centre</w:t>
      </w:r>
      <w:r w:rsidRPr="003C7E62">
        <w:rPr>
          <w:rFonts w:cs="Arial"/>
          <w:color w:val="auto"/>
          <w:szCs w:val="24"/>
          <w:lang w:val="en-US" w:eastAsia="en-US"/>
        </w:rPr>
        <w:t xml:space="preserve"> uses include:  Retail development (including warehouse clubs and factory outlet </w:t>
      </w:r>
      <w:proofErr w:type="spellStart"/>
      <w:r w:rsidRPr="003C7E62">
        <w:rPr>
          <w:rFonts w:cs="Arial"/>
          <w:color w:val="auto"/>
          <w:szCs w:val="24"/>
          <w:lang w:val="en-US" w:eastAsia="en-US"/>
        </w:rPr>
        <w:t>centres</w:t>
      </w:r>
      <w:proofErr w:type="spellEnd"/>
      <w:r w:rsidRPr="003C7E62">
        <w:rPr>
          <w:rFonts w:cs="Arial"/>
          <w:color w:val="auto"/>
          <w:szCs w:val="24"/>
          <w:lang w:val="en-US" w:eastAsia="en-US"/>
        </w:rPr>
        <w:t xml:space="preserve">); leisure, entertainment facilities the more intensive sport and recreation uses (including cinemas, restaurants, drive through restaurants, bars and pubs, night-clubs, casinos, health and fitness </w:t>
      </w:r>
      <w:proofErr w:type="spellStart"/>
      <w:r w:rsidRPr="003C7E62">
        <w:rPr>
          <w:rFonts w:cs="Arial"/>
          <w:color w:val="auto"/>
          <w:szCs w:val="24"/>
          <w:lang w:val="en-US" w:eastAsia="en-US"/>
        </w:rPr>
        <w:t>centres</w:t>
      </w:r>
      <w:proofErr w:type="spellEnd"/>
      <w:r w:rsidRPr="003C7E62">
        <w:rPr>
          <w:rFonts w:cs="Arial"/>
          <w:color w:val="auto"/>
          <w:szCs w:val="24"/>
          <w:lang w:val="en-US" w:eastAsia="en-US"/>
        </w:rPr>
        <w:t xml:space="preserve">, indoor bowling </w:t>
      </w:r>
      <w:proofErr w:type="spellStart"/>
      <w:r w:rsidRPr="003C7E62">
        <w:rPr>
          <w:rFonts w:cs="Arial"/>
          <w:color w:val="auto"/>
          <w:szCs w:val="24"/>
          <w:lang w:val="en-US" w:eastAsia="en-US"/>
        </w:rPr>
        <w:t>centres</w:t>
      </w:r>
      <w:proofErr w:type="spellEnd"/>
      <w:r w:rsidRPr="003C7E62">
        <w:rPr>
          <w:rFonts w:cs="Arial"/>
          <w:color w:val="auto"/>
          <w:szCs w:val="24"/>
          <w:lang w:val="en-US" w:eastAsia="en-US"/>
        </w:rPr>
        <w:t xml:space="preserve">, and bingo halls); offices, and arts, culture and tourism development (including theatres, museum, galleries and concert halls, hotels and conference facilities).  </w:t>
      </w:r>
    </w:p>
    <w:p w14:paraId="7E2F1F0C" w14:textId="77777777" w:rsidR="004D690C" w:rsidRPr="003C7E62" w:rsidRDefault="004D690C" w:rsidP="00405C0A">
      <w:pPr>
        <w:keepNext w:val="0"/>
        <w:autoSpaceDE w:val="0"/>
        <w:autoSpaceDN w:val="0"/>
        <w:adjustRightInd w:val="0"/>
        <w:spacing w:before="0"/>
        <w:rPr>
          <w:rFonts w:cs="Arial"/>
          <w:b/>
          <w:color w:val="auto"/>
          <w:szCs w:val="24"/>
          <w:lang w:val="en-US" w:eastAsia="en-US"/>
        </w:rPr>
      </w:pPr>
    </w:p>
    <w:p w14:paraId="70C70166" w14:textId="77777777" w:rsidR="004D690C" w:rsidRPr="003C7E62" w:rsidRDefault="004D690C" w:rsidP="00405C0A">
      <w:pPr>
        <w:keepNext w:val="0"/>
        <w:autoSpaceDE w:val="0"/>
        <w:autoSpaceDN w:val="0"/>
        <w:adjustRightInd w:val="0"/>
        <w:spacing w:before="0"/>
        <w:rPr>
          <w:rFonts w:cs="Arial"/>
          <w:color w:val="auto"/>
          <w:szCs w:val="24"/>
          <w:lang w:val="en-US" w:eastAsia="en-US"/>
        </w:rPr>
      </w:pPr>
      <w:r w:rsidRPr="003C7E62">
        <w:rPr>
          <w:rFonts w:cs="Arial"/>
          <w:b/>
          <w:color w:val="auto"/>
          <w:szCs w:val="24"/>
          <w:lang w:val="en-US" w:eastAsia="en-US"/>
        </w:rPr>
        <w:t xml:space="preserve">Transport assessment: </w:t>
      </w:r>
      <w:r w:rsidRPr="003C7E62">
        <w:rPr>
          <w:rFonts w:cs="Arial"/>
          <w:color w:val="auto"/>
          <w:szCs w:val="24"/>
          <w:lang w:val="en-US" w:eastAsia="en-US"/>
        </w:rPr>
        <w:t>A comprehensive and systematic process that sets out transport issues relating to a proposed development.  It identifies what measures will be required to improve accessibility and safety for all modes of travel, particularly for alternatives to the car such as walking, cycling and public transport and what measures will need to be taken to deal with the anticipated transport impacts of the development.</w:t>
      </w:r>
    </w:p>
    <w:p w14:paraId="1D8D9194" w14:textId="77777777" w:rsidR="004D690C" w:rsidRPr="003C7E62" w:rsidRDefault="004D690C" w:rsidP="00405C0A">
      <w:pPr>
        <w:keepNext w:val="0"/>
        <w:autoSpaceDE w:val="0"/>
        <w:autoSpaceDN w:val="0"/>
        <w:adjustRightInd w:val="0"/>
        <w:spacing w:before="0"/>
        <w:rPr>
          <w:rFonts w:cs="Arial"/>
          <w:color w:val="auto"/>
          <w:szCs w:val="24"/>
          <w:lang w:val="en-US" w:eastAsia="en-US"/>
        </w:rPr>
      </w:pPr>
    </w:p>
    <w:p w14:paraId="5B16A76A" w14:textId="77777777" w:rsidR="004D690C" w:rsidRPr="003C7E62" w:rsidRDefault="004D690C" w:rsidP="00405C0A">
      <w:pPr>
        <w:keepNext w:val="0"/>
        <w:autoSpaceDE w:val="0"/>
        <w:autoSpaceDN w:val="0"/>
        <w:adjustRightInd w:val="0"/>
        <w:spacing w:before="0"/>
        <w:rPr>
          <w:rFonts w:cs="Arial"/>
          <w:color w:val="auto"/>
          <w:szCs w:val="24"/>
          <w:lang w:val="en-US" w:eastAsia="en-US"/>
        </w:rPr>
      </w:pPr>
      <w:r w:rsidRPr="003C7E62">
        <w:rPr>
          <w:rFonts w:cs="Arial"/>
          <w:b/>
          <w:color w:val="auto"/>
          <w:szCs w:val="24"/>
          <w:lang w:val="en-US" w:eastAsia="en-US"/>
        </w:rPr>
        <w:t>Transport statement:</w:t>
      </w:r>
      <w:r w:rsidRPr="003C7E62">
        <w:rPr>
          <w:rFonts w:cs="Arial"/>
          <w:color w:val="auto"/>
          <w:szCs w:val="24"/>
          <w:lang w:val="en-US" w:eastAsia="en-US"/>
        </w:rPr>
        <w:t xml:space="preserve"> A simplified version of a transport assessment where it is agreed the transport issues arising out of development proposals are limited and a full transport assessment is not required.</w:t>
      </w:r>
    </w:p>
    <w:p w14:paraId="0F2186BF" w14:textId="77777777" w:rsidR="004D690C" w:rsidRPr="003C7E62" w:rsidRDefault="004D690C" w:rsidP="00405C0A">
      <w:pPr>
        <w:keepNext w:val="0"/>
        <w:autoSpaceDE w:val="0"/>
        <w:autoSpaceDN w:val="0"/>
        <w:adjustRightInd w:val="0"/>
        <w:spacing w:before="0"/>
        <w:rPr>
          <w:rFonts w:cs="Arial"/>
          <w:color w:val="auto"/>
          <w:szCs w:val="24"/>
          <w:lang w:val="en-US" w:eastAsia="en-US"/>
        </w:rPr>
      </w:pPr>
    </w:p>
    <w:p w14:paraId="143AFCD2" w14:textId="77777777" w:rsidR="004D690C" w:rsidRPr="003C7E62" w:rsidRDefault="004D690C" w:rsidP="00405C0A">
      <w:pPr>
        <w:keepNext w:val="0"/>
        <w:autoSpaceDE w:val="0"/>
        <w:autoSpaceDN w:val="0"/>
        <w:adjustRightInd w:val="0"/>
        <w:spacing w:before="0"/>
        <w:rPr>
          <w:rFonts w:cs="Arial"/>
          <w:color w:val="auto"/>
          <w:szCs w:val="24"/>
          <w:lang w:val="en-US" w:eastAsia="en-US"/>
        </w:rPr>
      </w:pPr>
      <w:r w:rsidRPr="003C7E62">
        <w:rPr>
          <w:rFonts w:cs="Arial"/>
          <w:b/>
          <w:color w:val="auto"/>
          <w:szCs w:val="24"/>
          <w:lang w:val="en-US" w:eastAsia="en-US"/>
        </w:rPr>
        <w:t>Travel plan:</w:t>
      </w:r>
      <w:r w:rsidRPr="003C7E62">
        <w:rPr>
          <w:rFonts w:cs="Arial"/>
          <w:color w:val="auto"/>
          <w:szCs w:val="24"/>
          <w:lang w:val="en-US" w:eastAsia="en-US"/>
        </w:rPr>
        <w:t xml:space="preserve"> A long-term management strategy for an </w:t>
      </w:r>
      <w:proofErr w:type="spellStart"/>
      <w:r w:rsidRPr="003C7E62">
        <w:rPr>
          <w:rFonts w:cs="Arial"/>
          <w:color w:val="auto"/>
          <w:szCs w:val="24"/>
          <w:lang w:val="en-US" w:eastAsia="en-US"/>
        </w:rPr>
        <w:t>organisation</w:t>
      </w:r>
      <w:proofErr w:type="spellEnd"/>
      <w:r w:rsidRPr="003C7E62">
        <w:rPr>
          <w:rFonts w:cs="Arial"/>
          <w:color w:val="auto"/>
          <w:szCs w:val="24"/>
          <w:lang w:val="en-US" w:eastAsia="en-US"/>
        </w:rPr>
        <w:t xml:space="preserve"> or site that seeks to deliver sustainable transport objectives through action and is articulated in a document that is regularly reviewed.</w:t>
      </w:r>
    </w:p>
    <w:p w14:paraId="3601B6F1" w14:textId="77777777" w:rsidR="004D690C" w:rsidRPr="003C7E62" w:rsidRDefault="004D690C" w:rsidP="00405C0A">
      <w:pPr>
        <w:keepNext w:val="0"/>
        <w:autoSpaceDE w:val="0"/>
        <w:autoSpaceDN w:val="0"/>
        <w:adjustRightInd w:val="0"/>
        <w:spacing w:before="0"/>
        <w:rPr>
          <w:rFonts w:cs="Arial"/>
          <w:b/>
          <w:color w:val="auto"/>
          <w:szCs w:val="24"/>
          <w:lang w:val="en-US" w:eastAsia="en-US"/>
        </w:rPr>
      </w:pPr>
    </w:p>
    <w:p w14:paraId="7AD40D4B" w14:textId="77777777" w:rsidR="004D690C" w:rsidRPr="003C7E62" w:rsidRDefault="004D690C" w:rsidP="00405C0A">
      <w:pPr>
        <w:keepNext w:val="0"/>
        <w:autoSpaceDE w:val="0"/>
        <w:autoSpaceDN w:val="0"/>
        <w:adjustRightInd w:val="0"/>
        <w:spacing w:before="0"/>
        <w:rPr>
          <w:rFonts w:cs="Arial"/>
          <w:color w:val="auto"/>
          <w:szCs w:val="24"/>
          <w:lang w:val="en-US" w:eastAsia="en-US"/>
        </w:rPr>
      </w:pPr>
      <w:r w:rsidRPr="003C7E62">
        <w:rPr>
          <w:rFonts w:cs="Arial"/>
          <w:b/>
          <w:color w:val="auto"/>
          <w:szCs w:val="24"/>
          <w:lang w:eastAsia="en-US"/>
        </w:rPr>
        <w:t>Traveller (</w:t>
      </w:r>
      <w:r w:rsidRPr="003C7E62">
        <w:rPr>
          <w:rFonts w:cs="Arial"/>
          <w:b/>
          <w:color w:val="000000"/>
          <w:szCs w:val="24"/>
          <w:lang w:val="en-US" w:eastAsia="en-US"/>
        </w:rPr>
        <w:t>gypsies and travelers</w:t>
      </w:r>
      <w:r w:rsidRPr="003C7E62">
        <w:rPr>
          <w:rFonts w:cs="Arial"/>
          <w:color w:val="000000"/>
          <w:szCs w:val="24"/>
          <w:lang w:val="en-US" w:eastAsia="en-US"/>
        </w:rPr>
        <w:t>)</w:t>
      </w:r>
      <w:r w:rsidRPr="003C7E62">
        <w:rPr>
          <w:rFonts w:cs="Arial"/>
          <w:b/>
          <w:color w:val="auto"/>
          <w:szCs w:val="24"/>
          <w:lang w:val="en-US" w:eastAsia="en-US"/>
        </w:rPr>
        <w:t>:</w:t>
      </w:r>
      <w:r w:rsidRPr="003C7E62">
        <w:rPr>
          <w:rFonts w:cs="Arial"/>
          <w:color w:val="auto"/>
          <w:szCs w:val="24"/>
          <w:lang w:val="en-US" w:eastAsia="en-US"/>
        </w:rPr>
        <w:t xml:space="preserve"> ‘</w:t>
      </w:r>
      <w:r w:rsidRPr="003C7E62">
        <w:rPr>
          <w:rFonts w:cs="Arial"/>
          <w:iCs/>
          <w:color w:val="auto"/>
          <w:szCs w:val="24"/>
          <w:lang w:val="en-US" w:eastAsia="en-US"/>
        </w:rPr>
        <w:t xml:space="preserve">Persons of nomadic habit of life whatever their race or origin, including such persons who on grounds only of their own or their family’s or dependents’ educational or health needs or old age have ceased to travel temporarily, but </w:t>
      </w:r>
      <w:r w:rsidRPr="003C7E62">
        <w:rPr>
          <w:rFonts w:cs="Arial"/>
          <w:iCs/>
          <w:color w:val="auto"/>
          <w:szCs w:val="24"/>
          <w:lang w:val="en-US" w:eastAsia="en-US"/>
        </w:rPr>
        <w:lastRenderedPageBreak/>
        <w:t>excluding members of an</w:t>
      </w:r>
      <w:r w:rsidRPr="003C7E62">
        <w:rPr>
          <w:rFonts w:cs="Arial"/>
          <w:iCs/>
          <w:color w:val="auto"/>
          <w:szCs w:val="24"/>
          <w:lang w:eastAsia="en-US"/>
        </w:rPr>
        <w:t xml:space="preserve"> organised</w:t>
      </w:r>
      <w:r w:rsidRPr="003C7E62">
        <w:rPr>
          <w:rFonts w:cs="Arial"/>
          <w:iCs/>
          <w:color w:val="auto"/>
          <w:szCs w:val="24"/>
          <w:lang w:val="en-US" w:eastAsia="en-US"/>
        </w:rPr>
        <w:t xml:space="preserve"> group of travelling </w:t>
      </w:r>
      <w:proofErr w:type="spellStart"/>
      <w:r w:rsidRPr="003C7E62">
        <w:rPr>
          <w:rFonts w:cs="Arial"/>
          <w:iCs/>
          <w:color w:val="auto"/>
          <w:szCs w:val="24"/>
          <w:lang w:val="en-US" w:eastAsia="en-US"/>
        </w:rPr>
        <w:t>showpeople</w:t>
      </w:r>
      <w:proofErr w:type="spellEnd"/>
      <w:r w:rsidRPr="003C7E62">
        <w:rPr>
          <w:rFonts w:cs="Arial"/>
          <w:iCs/>
          <w:color w:val="auto"/>
          <w:szCs w:val="24"/>
          <w:lang w:val="en-US" w:eastAsia="en-US"/>
        </w:rPr>
        <w:t xml:space="preserve"> or circus people travelling together as such.’  </w:t>
      </w:r>
      <w:r w:rsidRPr="003C7E62">
        <w:rPr>
          <w:rFonts w:cs="Arial"/>
          <w:color w:val="auto"/>
          <w:szCs w:val="24"/>
          <w:lang w:val="en-US" w:eastAsia="en-US"/>
        </w:rPr>
        <w:t>Planning policy for</w:t>
      </w:r>
      <w:r w:rsidRPr="003C7E62">
        <w:rPr>
          <w:rFonts w:cs="Arial"/>
          <w:color w:val="auto"/>
          <w:szCs w:val="24"/>
          <w:lang w:eastAsia="en-US"/>
        </w:rPr>
        <w:t xml:space="preserve"> traveller</w:t>
      </w:r>
      <w:r w:rsidRPr="003C7E62">
        <w:rPr>
          <w:rFonts w:cs="Arial"/>
          <w:color w:val="auto"/>
          <w:szCs w:val="24"/>
          <w:lang w:val="en-US" w:eastAsia="en-US"/>
        </w:rPr>
        <w:t xml:space="preserve"> sites 2015, Department of Communities and Local Government. </w:t>
      </w:r>
    </w:p>
    <w:p w14:paraId="340EFCF8" w14:textId="77777777" w:rsidR="004D690C" w:rsidRPr="003C7E62" w:rsidRDefault="004D690C" w:rsidP="00405C0A">
      <w:pPr>
        <w:keepNext w:val="0"/>
        <w:autoSpaceDE w:val="0"/>
        <w:autoSpaceDN w:val="0"/>
        <w:adjustRightInd w:val="0"/>
        <w:spacing w:before="0"/>
        <w:rPr>
          <w:rFonts w:cs="Arial"/>
          <w:color w:val="auto"/>
          <w:szCs w:val="24"/>
          <w:lang w:val="en-US" w:eastAsia="en-US"/>
        </w:rPr>
      </w:pPr>
    </w:p>
    <w:p w14:paraId="3E0B8059" w14:textId="6AC2A0D8" w:rsidR="004D690C" w:rsidRPr="003C7E62" w:rsidRDefault="004D690C" w:rsidP="00405C0A">
      <w:pPr>
        <w:keepNext w:val="0"/>
        <w:autoSpaceDE w:val="0"/>
        <w:autoSpaceDN w:val="0"/>
        <w:adjustRightInd w:val="0"/>
        <w:spacing w:before="0"/>
        <w:rPr>
          <w:rFonts w:cs="Arial"/>
          <w:color w:val="C00000"/>
          <w:szCs w:val="24"/>
          <w:lang w:val="en-US" w:eastAsia="en-US"/>
        </w:rPr>
      </w:pPr>
      <w:r w:rsidRPr="003C7E62">
        <w:rPr>
          <w:rFonts w:cs="Arial"/>
          <w:b/>
          <w:color w:val="000000"/>
          <w:szCs w:val="24"/>
          <w:lang w:val="en" w:eastAsia="en-US"/>
        </w:rPr>
        <w:t xml:space="preserve">Travelling </w:t>
      </w:r>
      <w:proofErr w:type="spellStart"/>
      <w:r w:rsidRPr="003C7E62">
        <w:rPr>
          <w:rFonts w:cs="Arial"/>
          <w:b/>
          <w:color w:val="000000"/>
          <w:szCs w:val="24"/>
          <w:lang w:val="en" w:eastAsia="en-US"/>
        </w:rPr>
        <w:t>Showpeople</w:t>
      </w:r>
      <w:proofErr w:type="spellEnd"/>
      <w:r w:rsidRPr="003C7E62">
        <w:rPr>
          <w:rFonts w:cs="Arial"/>
          <w:b/>
          <w:color w:val="000000"/>
          <w:szCs w:val="24"/>
          <w:lang w:val="en" w:eastAsia="en-US"/>
        </w:rPr>
        <w:t xml:space="preserve">: </w:t>
      </w:r>
      <w:r w:rsidRPr="003C7E62">
        <w:rPr>
          <w:rFonts w:cs="Arial"/>
          <w:iCs/>
          <w:color w:val="auto"/>
          <w:szCs w:val="24"/>
          <w:lang w:val="en-US" w:eastAsia="en-US"/>
        </w:rPr>
        <w:t xml:space="preserve">Members of a group </w:t>
      </w:r>
      <w:proofErr w:type="spellStart"/>
      <w:r w:rsidRPr="003C7E62">
        <w:rPr>
          <w:rFonts w:cs="Arial"/>
          <w:iCs/>
          <w:color w:val="auto"/>
          <w:szCs w:val="24"/>
          <w:lang w:val="en-US" w:eastAsia="en-US"/>
        </w:rPr>
        <w:t>organised</w:t>
      </w:r>
      <w:proofErr w:type="spellEnd"/>
      <w:r w:rsidRPr="003C7E62">
        <w:rPr>
          <w:rFonts w:cs="Arial"/>
          <w:iCs/>
          <w:color w:val="auto"/>
          <w:szCs w:val="24"/>
          <w:lang w:val="en-US" w:eastAsia="en-US"/>
        </w:rPr>
        <w:t xml:space="preserve"> for the </w:t>
      </w:r>
      <w:proofErr w:type="gramStart"/>
      <w:r w:rsidRPr="003C7E62">
        <w:rPr>
          <w:rFonts w:cs="Arial"/>
          <w:iCs/>
          <w:color w:val="auto"/>
          <w:szCs w:val="24"/>
          <w:lang w:val="en-US" w:eastAsia="en-US"/>
        </w:rPr>
        <w:t>purposes</w:t>
      </w:r>
      <w:proofErr w:type="gramEnd"/>
      <w:r w:rsidRPr="003C7E62">
        <w:rPr>
          <w:rFonts w:cs="Arial"/>
          <w:iCs/>
          <w:color w:val="auto"/>
          <w:szCs w:val="24"/>
          <w:lang w:val="en-US" w:eastAsia="en-US"/>
        </w:rPr>
        <w:t xml:space="preserve"> of holding fairs, circuses or shows (</w:t>
      </w:r>
      <w:proofErr w:type="gramStart"/>
      <w:r w:rsidRPr="003C7E62">
        <w:rPr>
          <w:rFonts w:cs="Arial"/>
          <w:iCs/>
          <w:color w:val="auto"/>
          <w:szCs w:val="24"/>
          <w:lang w:val="en-US" w:eastAsia="en-US"/>
        </w:rPr>
        <w:t>whether or not</w:t>
      </w:r>
      <w:proofErr w:type="gramEnd"/>
      <w:r w:rsidRPr="003C7E62">
        <w:rPr>
          <w:rFonts w:cs="Arial"/>
          <w:iCs/>
          <w:color w:val="auto"/>
          <w:szCs w:val="24"/>
          <w:lang w:val="en-US" w:eastAsia="en-US"/>
        </w:rPr>
        <w:t xml:space="preserve"> travelling together as such).  This includes such </w:t>
      </w:r>
      <w:proofErr w:type="gramStart"/>
      <w:r w:rsidRPr="003C7E62">
        <w:rPr>
          <w:rFonts w:cs="Arial"/>
          <w:iCs/>
          <w:color w:val="auto"/>
          <w:szCs w:val="24"/>
          <w:lang w:val="en-US" w:eastAsia="en-US"/>
        </w:rPr>
        <w:t>persons</w:t>
      </w:r>
      <w:proofErr w:type="gramEnd"/>
      <w:r w:rsidRPr="003C7E62">
        <w:rPr>
          <w:rFonts w:cs="Arial"/>
          <w:iCs/>
          <w:color w:val="auto"/>
          <w:szCs w:val="24"/>
          <w:lang w:val="en-US" w:eastAsia="en-US"/>
        </w:rPr>
        <w:t xml:space="preserve"> who on the grounds of their own or their family’s or </w:t>
      </w:r>
      <w:r w:rsidR="00EA7D34" w:rsidRPr="003C7E62">
        <w:rPr>
          <w:rFonts w:cs="Arial"/>
          <w:iCs/>
          <w:color w:val="auto"/>
          <w:szCs w:val="24"/>
          <w:lang w:val="en-US" w:eastAsia="en-US"/>
        </w:rPr>
        <w:t>dependents’</w:t>
      </w:r>
      <w:r w:rsidRPr="003C7E62">
        <w:rPr>
          <w:rFonts w:cs="Arial"/>
          <w:iCs/>
          <w:color w:val="auto"/>
          <w:szCs w:val="24"/>
          <w:lang w:val="en-US" w:eastAsia="en-US"/>
        </w:rPr>
        <w:t xml:space="preserve"> more </w:t>
      </w:r>
      <w:proofErr w:type="spellStart"/>
      <w:r w:rsidRPr="003C7E62">
        <w:rPr>
          <w:rFonts w:cs="Arial"/>
          <w:iCs/>
          <w:color w:val="auto"/>
          <w:szCs w:val="24"/>
          <w:lang w:val="en-US" w:eastAsia="en-US"/>
        </w:rPr>
        <w:t>localised</w:t>
      </w:r>
      <w:proofErr w:type="spellEnd"/>
      <w:r w:rsidRPr="003C7E62">
        <w:rPr>
          <w:rFonts w:cs="Arial"/>
          <w:iCs/>
          <w:color w:val="auto"/>
          <w:szCs w:val="24"/>
          <w:lang w:val="en-US" w:eastAsia="en-US"/>
        </w:rPr>
        <w:t xml:space="preserve"> pattern of trading, educational or health needs or old age have ceased to travel temporarily, but </w:t>
      </w:r>
      <w:proofErr w:type="gramStart"/>
      <w:r w:rsidRPr="003C7E62">
        <w:rPr>
          <w:rFonts w:cs="Arial"/>
          <w:iCs/>
          <w:color w:val="auto"/>
          <w:szCs w:val="24"/>
          <w:lang w:val="en-US" w:eastAsia="en-US"/>
        </w:rPr>
        <w:t>excludes</w:t>
      </w:r>
      <w:proofErr w:type="gramEnd"/>
      <w:r w:rsidRPr="003C7E62">
        <w:rPr>
          <w:rFonts w:cs="Arial"/>
          <w:iCs/>
          <w:color w:val="auto"/>
          <w:szCs w:val="24"/>
          <w:lang w:val="en-US" w:eastAsia="en-US"/>
        </w:rPr>
        <w:t xml:space="preserve"> Gypsies and </w:t>
      </w:r>
      <w:proofErr w:type="spellStart"/>
      <w:r w:rsidRPr="003C7E62">
        <w:rPr>
          <w:rFonts w:cs="Arial"/>
          <w:iCs/>
          <w:color w:val="auto"/>
          <w:szCs w:val="24"/>
          <w:lang w:val="en-US" w:eastAsia="en-US"/>
        </w:rPr>
        <w:t>Travellers</w:t>
      </w:r>
      <w:proofErr w:type="spellEnd"/>
      <w:r w:rsidRPr="003C7E62">
        <w:rPr>
          <w:rFonts w:cs="Arial"/>
          <w:iCs/>
          <w:color w:val="auto"/>
          <w:szCs w:val="24"/>
          <w:lang w:val="en-US" w:eastAsia="en-US"/>
        </w:rPr>
        <w:t xml:space="preserve"> as defined above. </w:t>
      </w:r>
      <w:r w:rsidRPr="003C7E62">
        <w:rPr>
          <w:rFonts w:cs="Arial"/>
          <w:color w:val="auto"/>
          <w:szCs w:val="24"/>
          <w:lang w:val="en-US" w:eastAsia="en-US"/>
        </w:rPr>
        <w:t>Planning policy for</w:t>
      </w:r>
      <w:r w:rsidRPr="003C7E62">
        <w:rPr>
          <w:rFonts w:cs="Arial"/>
          <w:color w:val="auto"/>
          <w:szCs w:val="24"/>
          <w:lang w:eastAsia="en-US"/>
        </w:rPr>
        <w:t xml:space="preserve"> traveller</w:t>
      </w:r>
      <w:r w:rsidRPr="003C7E62">
        <w:rPr>
          <w:rFonts w:cs="Arial"/>
          <w:color w:val="auto"/>
          <w:szCs w:val="24"/>
          <w:lang w:val="en-US" w:eastAsia="en-US"/>
        </w:rPr>
        <w:t xml:space="preserve"> sites 2015, Department for Communities and Local Government.</w:t>
      </w:r>
      <w:r w:rsidRPr="003C7E62">
        <w:rPr>
          <w:rFonts w:cs="Arial"/>
          <w:color w:val="C00000"/>
          <w:szCs w:val="24"/>
          <w:lang w:val="en-US" w:eastAsia="en-US"/>
        </w:rPr>
        <w:t xml:space="preserve"> </w:t>
      </w:r>
    </w:p>
    <w:p w14:paraId="5A47B065" w14:textId="77777777" w:rsidR="004D690C" w:rsidRPr="003C7E62" w:rsidRDefault="004D690C" w:rsidP="00405C0A">
      <w:pPr>
        <w:keepNext w:val="0"/>
        <w:autoSpaceDE w:val="0"/>
        <w:autoSpaceDN w:val="0"/>
        <w:adjustRightInd w:val="0"/>
        <w:spacing w:before="0"/>
        <w:rPr>
          <w:rFonts w:cs="Arial"/>
          <w:color w:val="000000"/>
          <w:szCs w:val="24"/>
        </w:rPr>
      </w:pPr>
    </w:p>
    <w:p w14:paraId="0B46F946" w14:textId="77777777" w:rsidR="004D690C" w:rsidRPr="003C7E62" w:rsidRDefault="004D690C" w:rsidP="00405C0A">
      <w:pPr>
        <w:keepNext w:val="0"/>
        <w:spacing w:before="0"/>
        <w:rPr>
          <w:rFonts w:cs="Arial"/>
          <w:color w:val="auto"/>
        </w:rPr>
      </w:pPr>
      <w:r w:rsidRPr="003C7E62">
        <w:rPr>
          <w:rFonts w:cs="Arial"/>
          <w:b/>
          <w:color w:val="auto"/>
        </w:rPr>
        <w:t>Waste Local Plan:</w:t>
      </w:r>
      <w:r w:rsidRPr="003C7E62">
        <w:rPr>
          <w:rFonts w:cs="Arial"/>
          <w:color w:val="auto"/>
        </w:rPr>
        <w:t xml:space="preserve"> In Nottinghamshire prepared by the County Council acting as the Authority responsible for waste related issues including disposal, treatment, transfer and recycling within the County.</w:t>
      </w:r>
    </w:p>
    <w:p w14:paraId="3CD59918" w14:textId="77777777" w:rsidR="004D690C" w:rsidRPr="003C7E62" w:rsidRDefault="004D690C" w:rsidP="00405C0A">
      <w:pPr>
        <w:keepNext w:val="0"/>
        <w:spacing w:before="0"/>
        <w:rPr>
          <w:rFonts w:cs="Arial"/>
          <w:color w:val="auto"/>
        </w:rPr>
      </w:pPr>
    </w:p>
    <w:p w14:paraId="695EFD11" w14:textId="77777777" w:rsidR="004D690C" w:rsidRPr="003C7E62" w:rsidRDefault="004D690C" w:rsidP="00405C0A">
      <w:pPr>
        <w:keepNext w:val="0"/>
        <w:spacing w:before="0"/>
        <w:rPr>
          <w:rFonts w:cs="Arial"/>
          <w:color w:val="auto"/>
        </w:rPr>
      </w:pPr>
      <w:r w:rsidRPr="003C7E62">
        <w:rPr>
          <w:rFonts w:cs="Arial"/>
          <w:b/>
          <w:color w:val="auto"/>
        </w:rPr>
        <w:t xml:space="preserve">Wellbeing: </w:t>
      </w:r>
      <w:r w:rsidRPr="003C7E62">
        <w:rPr>
          <w:rFonts w:cs="Arial"/>
          <w:color w:val="auto"/>
        </w:rPr>
        <w:t>See health and wellbeing.</w:t>
      </w:r>
    </w:p>
    <w:p w14:paraId="7C1F5CB9" w14:textId="77777777" w:rsidR="004D690C" w:rsidRPr="003C7E62" w:rsidRDefault="004D690C" w:rsidP="00405C0A">
      <w:pPr>
        <w:keepNext w:val="0"/>
        <w:spacing w:before="0"/>
        <w:rPr>
          <w:rFonts w:cs="Arial"/>
          <w:b/>
          <w:color w:val="auto"/>
        </w:rPr>
      </w:pPr>
    </w:p>
    <w:p w14:paraId="09DB74BE" w14:textId="77777777" w:rsidR="000A31CA" w:rsidRDefault="004D690C" w:rsidP="000A31CA">
      <w:pPr>
        <w:keepNext w:val="0"/>
        <w:spacing w:before="0"/>
        <w:rPr>
          <w:rFonts w:cs="Arial"/>
          <w:iCs/>
          <w:color w:val="auto"/>
        </w:rPr>
      </w:pPr>
      <w:r w:rsidRPr="003C7E62">
        <w:rPr>
          <w:rFonts w:cs="Arial"/>
          <w:b/>
          <w:color w:val="auto"/>
        </w:rPr>
        <w:t>Worklessness:</w:t>
      </w:r>
      <w:r w:rsidRPr="003C7E62">
        <w:rPr>
          <w:rFonts w:cs="Arial"/>
          <w:color w:val="auto"/>
        </w:rPr>
        <w:t xml:space="preserve"> R</w:t>
      </w:r>
      <w:r w:rsidRPr="003C7E62">
        <w:rPr>
          <w:rFonts w:cs="Arial"/>
          <w:iCs/>
          <w:color w:val="auto"/>
        </w:rPr>
        <w:t>efers to people who are unemployed or economically inactive, and who are in receipt of working age benefits.’ (Social Exclusion Unit, 2004).</w:t>
      </w:r>
    </w:p>
    <w:bookmarkEnd w:id="334"/>
    <w:p w14:paraId="66BF6B71" w14:textId="77777777" w:rsidR="000A31CA" w:rsidRDefault="000A31CA" w:rsidP="000A31CA">
      <w:pPr>
        <w:keepNext w:val="0"/>
        <w:spacing w:before="0"/>
        <w:rPr>
          <w:rFonts w:cs="Arial"/>
          <w:iCs/>
          <w:color w:val="auto"/>
        </w:rPr>
      </w:pPr>
    </w:p>
    <w:p w14:paraId="36BDC7B0" w14:textId="77777777" w:rsidR="000A31CA" w:rsidRDefault="000A31CA" w:rsidP="000A31CA">
      <w:pPr>
        <w:keepNext w:val="0"/>
        <w:spacing w:before="0"/>
        <w:rPr>
          <w:rFonts w:cs="Arial"/>
          <w:iCs/>
          <w:color w:val="auto"/>
        </w:rPr>
      </w:pPr>
    </w:p>
    <w:p w14:paraId="5848B4EF" w14:textId="03AA4027" w:rsidR="00DC3F42" w:rsidRDefault="00DC3F42">
      <w:pPr>
        <w:keepNext w:val="0"/>
        <w:spacing w:before="0"/>
        <w:rPr>
          <w:rFonts w:cs="Arial"/>
          <w:iCs/>
          <w:color w:val="auto"/>
        </w:rPr>
      </w:pPr>
      <w:r>
        <w:rPr>
          <w:rFonts w:cs="Arial"/>
          <w:iCs/>
          <w:color w:val="auto"/>
        </w:rPr>
        <w:br w:type="page"/>
      </w:r>
    </w:p>
    <w:p w14:paraId="75BB390E" w14:textId="6447ABC2" w:rsidR="00DC3F42" w:rsidRPr="006B643D" w:rsidRDefault="00DC3F42" w:rsidP="00CF07B9">
      <w:pPr>
        <w:pStyle w:val="Heading1"/>
        <w:rPr>
          <w:color w:val="FF0000"/>
        </w:rPr>
      </w:pPr>
      <w:bookmarkStart w:id="335" w:name="_Toc145511624"/>
      <w:r w:rsidRPr="001E13A6">
        <w:lastRenderedPageBreak/>
        <w:t>Appendix 2 - Five Year Land Supply and Housing Trajectory</w:t>
      </w:r>
      <w:bookmarkEnd w:id="335"/>
      <w:r w:rsidR="006B643D" w:rsidRPr="001E13A6">
        <w:t xml:space="preserve"> </w:t>
      </w:r>
    </w:p>
    <w:p w14:paraId="356BDD07" w14:textId="77777777" w:rsidR="000A31CA" w:rsidRDefault="000A31CA" w:rsidP="000A31CA">
      <w:pPr>
        <w:keepNext w:val="0"/>
        <w:spacing w:before="0"/>
        <w:rPr>
          <w:rFonts w:cs="Arial"/>
          <w:iCs/>
          <w:color w:val="auto"/>
        </w:rPr>
      </w:pPr>
    </w:p>
    <w:p w14:paraId="6109A056" w14:textId="77777777" w:rsidR="003125C6" w:rsidRDefault="003125C6" w:rsidP="00DC3F42">
      <w:pPr>
        <w:keepNext w:val="0"/>
        <w:spacing w:before="0"/>
        <w:rPr>
          <w:rFonts w:cs="Arial"/>
          <w:b/>
          <w:bCs/>
        </w:rPr>
      </w:pPr>
    </w:p>
    <w:p w14:paraId="34BDFE06" w14:textId="3418EBBE" w:rsidR="003125C6" w:rsidRPr="003125C6" w:rsidRDefault="003125C6" w:rsidP="00DC3F42">
      <w:pPr>
        <w:keepNext w:val="0"/>
        <w:spacing w:before="0"/>
        <w:rPr>
          <w:rFonts w:cs="Arial"/>
          <w:b/>
          <w:bCs/>
        </w:rPr>
      </w:pPr>
      <w:r w:rsidRPr="003125C6">
        <w:rPr>
          <w:rFonts w:cs="Arial"/>
          <w:b/>
          <w:bCs/>
        </w:rPr>
        <w:t xml:space="preserve">Five Year Housing Land Supply </w:t>
      </w:r>
      <w:proofErr w:type="gramStart"/>
      <w:r w:rsidR="001E13A6" w:rsidRPr="007D5154">
        <w:rPr>
          <w:rFonts w:cs="Arial"/>
          <w:b/>
          <w:bCs/>
          <w:strike/>
          <w:color w:val="auto"/>
        </w:rPr>
        <w:t>at</w:t>
      </w:r>
      <w:proofErr w:type="gramEnd"/>
      <w:r w:rsidR="001E13A6" w:rsidRPr="007D5154">
        <w:rPr>
          <w:rFonts w:cs="Arial"/>
          <w:b/>
          <w:bCs/>
          <w:strike/>
          <w:color w:val="auto"/>
        </w:rPr>
        <w:t xml:space="preserve"> April 2025</w:t>
      </w:r>
      <w:r w:rsidR="001E13A6" w:rsidRPr="000663FF">
        <w:rPr>
          <w:rFonts w:cs="Arial"/>
          <w:b/>
          <w:bCs/>
          <w:color w:val="auto"/>
        </w:rPr>
        <w:t xml:space="preserve"> </w:t>
      </w:r>
      <w:r w:rsidRPr="000663FF">
        <w:rPr>
          <w:rFonts w:cs="Arial"/>
          <w:b/>
          <w:bCs/>
          <w:color w:val="auto"/>
        </w:rPr>
        <w:t>(</w:t>
      </w:r>
      <w:r w:rsidRPr="003125C6">
        <w:rPr>
          <w:rFonts w:cs="Arial"/>
          <w:b/>
          <w:bCs/>
        </w:rPr>
        <w:t>post adoption)</w:t>
      </w:r>
    </w:p>
    <w:p w14:paraId="25566C7F" w14:textId="77777777" w:rsidR="003125C6" w:rsidRDefault="003125C6" w:rsidP="00DC3F42">
      <w:pPr>
        <w:keepNext w:val="0"/>
        <w:spacing w:before="0"/>
        <w:rPr>
          <w:rFonts w:cs="Arial"/>
        </w:rPr>
      </w:pPr>
    </w:p>
    <w:p w14:paraId="0515F543" w14:textId="0C3077FC" w:rsidR="00DC3F42" w:rsidRDefault="00DC3F42" w:rsidP="00DC3F42">
      <w:pPr>
        <w:keepNext w:val="0"/>
        <w:spacing w:before="0"/>
        <w:rPr>
          <w:rFonts w:cs="Arial"/>
        </w:rPr>
      </w:pPr>
      <w:r w:rsidRPr="007B4977">
        <w:rPr>
          <w:rFonts w:cs="Arial"/>
        </w:rPr>
        <w:t>The National Planning Policy Framework (NPPF) places a duty on Local Planning Authorities to demonstrate a supply of specific deliverable sites sufficient to provide five years’ worth of housing against their requirements</w:t>
      </w:r>
      <w:r w:rsidR="003125C6">
        <w:rPr>
          <w:rFonts w:cs="Arial"/>
        </w:rPr>
        <w:t xml:space="preserve"> (5YHLS)</w:t>
      </w:r>
      <w:r w:rsidRPr="007B4977">
        <w:rPr>
          <w:rFonts w:cs="Arial"/>
        </w:rPr>
        <w:t xml:space="preserve">. </w:t>
      </w:r>
    </w:p>
    <w:p w14:paraId="53BA7127" w14:textId="77777777" w:rsidR="00DC3F42" w:rsidRDefault="00DC3F42" w:rsidP="00DC3F42">
      <w:pPr>
        <w:keepNext w:val="0"/>
        <w:spacing w:before="0"/>
        <w:rPr>
          <w:rFonts w:cs="Arial"/>
        </w:rPr>
      </w:pPr>
    </w:p>
    <w:p w14:paraId="35D97259" w14:textId="4650821B" w:rsidR="00DC3F42" w:rsidRPr="007B4977" w:rsidRDefault="00FA5EDA" w:rsidP="00DC3F42">
      <w:pPr>
        <w:keepNext w:val="0"/>
        <w:spacing w:before="0"/>
        <w:rPr>
          <w:rFonts w:cs="Arial"/>
        </w:rPr>
      </w:pPr>
      <w:r>
        <w:rPr>
          <w:rFonts w:cs="Arial"/>
        </w:rPr>
        <w:t xml:space="preserve">The following calculation refers to a </w:t>
      </w:r>
      <w:proofErr w:type="gramStart"/>
      <w:r>
        <w:rPr>
          <w:rFonts w:cs="Arial"/>
        </w:rPr>
        <w:t>five year</w:t>
      </w:r>
      <w:proofErr w:type="gramEnd"/>
      <w:r>
        <w:rPr>
          <w:rFonts w:cs="Arial"/>
        </w:rPr>
        <w:t xml:space="preserve"> period </w:t>
      </w:r>
      <w:r w:rsidRPr="00CF6F0D">
        <w:rPr>
          <w:rFonts w:cs="Arial"/>
          <w:b/>
          <w:bCs/>
        </w:rPr>
        <w:t>post adoption</w:t>
      </w:r>
      <w:r>
        <w:rPr>
          <w:rFonts w:cs="Arial"/>
        </w:rPr>
        <w:t xml:space="preserve"> to ensure that the Local Plan will meet the requirements of the NPPF.</w:t>
      </w:r>
      <w:r w:rsidR="0073396F">
        <w:rPr>
          <w:rFonts w:cs="Arial"/>
        </w:rPr>
        <w:br/>
      </w:r>
    </w:p>
    <w:p w14:paraId="5E760D60" w14:textId="18A0B8B3" w:rsidR="000A31CA" w:rsidRPr="000663FF" w:rsidRDefault="0073396F" w:rsidP="00BA3F88">
      <w:pPr>
        <w:keepNext w:val="0"/>
        <w:spacing w:before="0"/>
        <w:rPr>
          <w:b/>
          <w:bCs/>
          <w:color w:val="auto"/>
          <w:sz w:val="16"/>
          <w:szCs w:val="16"/>
        </w:rPr>
      </w:pPr>
      <w:r w:rsidRPr="000663FF">
        <w:rPr>
          <w:rFonts w:cs="Arial"/>
          <w:b/>
          <w:bCs/>
          <w:color w:val="auto"/>
          <w:szCs w:val="24"/>
        </w:rPr>
        <w:t>Five Year Housing Requirement (Dwellings)</w:t>
      </w:r>
    </w:p>
    <w:tbl>
      <w:tblPr>
        <w:tblStyle w:val="TableGrid3"/>
        <w:tblW w:w="9072" w:type="dxa"/>
        <w:tblInd w:w="-5" w:type="dxa"/>
        <w:tblLook w:val="04A0" w:firstRow="1" w:lastRow="0" w:firstColumn="1" w:lastColumn="0" w:noHBand="0" w:noVBand="1"/>
      </w:tblPr>
      <w:tblGrid>
        <w:gridCol w:w="7230"/>
        <w:gridCol w:w="1842"/>
      </w:tblGrid>
      <w:tr w:rsidR="000663FF" w:rsidRPr="000663FF" w14:paraId="55AB8997" w14:textId="77777777" w:rsidTr="00BA3F88">
        <w:trPr>
          <w:trHeight w:val="300"/>
        </w:trPr>
        <w:tc>
          <w:tcPr>
            <w:tcW w:w="7230" w:type="dxa"/>
            <w:shd w:val="clear" w:color="auto" w:fill="D9E1F2"/>
            <w:hideMark/>
          </w:tcPr>
          <w:p w14:paraId="2947FBA4" w14:textId="7DC772E5" w:rsidR="001E13A6" w:rsidRPr="000663FF" w:rsidRDefault="001E13A6" w:rsidP="00A44712">
            <w:pPr>
              <w:keepNext w:val="0"/>
              <w:spacing w:before="0"/>
              <w:rPr>
                <w:rFonts w:cs="Arial"/>
                <w:color w:val="auto"/>
                <w:szCs w:val="24"/>
              </w:rPr>
            </w:pPr>
            <w:r w:rsidRPr="000663FF">
              <w:rPr>
                <w:rFonts w:cs="Arial"/>
                <w:color w:val="auto"/>
                <w:szCs w:val="24"/>
              </w:rPr>
              <w:t>Local Housing Need @ 446 dpa x 5 years</w:t>
            </w:r>
          </w:p>
        </w:tc>
        <w:tc>
          <w:tcPr>
            <w:tcW w:w="1842" w:type="dxa"/>
            <w:shd w:val="clear" w:color="auto" w:fill="D9E1F2"/>
            <w:noWrap/>
            <w:hideMark/>
          </w:tcPr>
          <w:p w14:paraId="498D881C" w14:textId="720C1B87" w:rsidR="001E13A6" w:rsidRPr="000663FF" w:rsidRDefault="001E13A6" w:rsidP="00A44712">
            <w:pPr>
              <w:keepNext w:val="0"/>
              <w:spacing w:before="0"/>
              <w:jc w:val="right"/>
              <w:rPr>
                <w:rFonts w:cs="Arial"/>
                <w:color w:val="auto"/>
                <w:szCs w:val="24"/>
              </w:rPr>
            </w:pPr>
            <w:r w:rsidRPr="000663FF">
              <w:rPr>
                <w:rFonts w:cs="Arial"/>
                <w:color w:val="auto"/>
                <w:szCs w:val="24"/>
              </w:rPr>
              <w:t>2230</w:t>
            </w:r>
          </w:p>
        </w:tc>
      </w:tr>
      <w:tr w:rsidR="000663FF" w:rsidRPr="000663FF" w14:paraId="6D7C120E" w14:textId="77777777" w:rsidTr="00BA3F88">
        <w:trPr>
          <w:trHeight w:val="300"/>
        </w:trPr>
        <w:tc>
          <w:tcPr>
            <w:tcW w:w="7230" w:type="dxa"/>
            <w:shd w:val="clear" w:color="auto" w:fill="D9E1F2"/>
            <w:hideMark/>
          </w:tcPr>
          <w:p w14:paraId="30CA4384" w14:textId="3EDB1644" w:rsidR="001E13A6" w:rsidRPr="000663FF" w:rsidRDefault="001E13A6" w:rsidP="00A44712">
            <w:pPr>
              <w:keepNext w:val="0"/>
              <w:spacing w:before="0"/>
              <w:rPr>
                <w:rFonts w:cs="Arial"/>
                <w:color w:val="auto"/>
                <w:szCs w:val="24"/>
              </w:rPr>
            </w:pPr>
            <w:r w:rsidRPr="000663FF">
              <w:rPr>
                <w:rFonts w:cs="Arial"/>
                <w:color w:val="auto"/>
                <w:szCs w:val="24"/>
              </w:rPr>
              <w:t xml:space="preserve">Add </w:t>
            </w:r>
            <w:r w:rsidRPr="00B00CB9">
              <w:rPr>
                <w:rFonts w:cs="Arial"/>
                <w:strike/>
                <w:color w:val="auto"/>
                <w:szCs w:val="24"/>
              </w:rPr>
              <w:t>20</w:t>
            </w:r>
            <w:r w:rsidR="00B00CB9">
              <w:rPr>
                <w:rFonts w:cs="Arial"/>
                <w:color w:val="auto"/>
                <w:szCs w:val="24"/>
              </w:rPr>
              <w:t xml:space="preserve"> </w:t>
            </w:r>
            <w:r w:rsidR="00B00CB9" w:rsidRPr="00F53521">
              <w:rPr>
                <w:rFonts w:cs="Arial"/>
                <w:color w:val="0063B2"/>
                <w:szCs w:val="24"/>
              </w:rPr>
              <w:t>5</w:t>
            </w:r>
            <w:r w:rsidRPr="000663FF">
              <w:rPr>
                <w:rFonts w:cs="Arial"/>
                <w:color w:val="auto"/>
                <w:szCs w:val="24"/>
              </w:rPr>
              <w:t>% buffer</w:t>
            </w:r>
          </w:p>
        </w:tc>
        <w:tc>
          <w:tcPr>
            <w:tcW w:w="1842" w:type="dxa"/>
            <w:shd w:val="clear" w:color="auto" w:fill="D9E1F2"/>
            <w:noWrap/>
            <w:hideMark/>
          </w:tcPr>
          <w:p w14:paraId="5A8CFABD" w14:textId="6EC51EB7" w:rsidR="001E13A6" w:rsidRPr="00B00CB9" w:rsidRDefault="001E13A6" w:rsidP="00A44712">
            <w:pPr>
              <w:keepNext w:val="0"/>
              <w:spacing w:before="0"/>
              <w:jc w:val="right"/>
              <w:rPr>
                <w:rFonts w:cs="Arial"/>
                <w:dstrike/>
                <w:color w:val="auto"/>
                <w:szCs w:val="24"/>
              </w:rPr>
            </w:pPr>
            <w:r w:rsidRPr="00B00CB9">
              <w:rPr>
                <w:rFonts w:cs="Arial"/>
                <w:dstrike/>
                <w:color w:val="auto"/>
                <w:szCs w:val="24"/>
              </w:rPr>
              <w:t>4</w:t>
            </w:r>
            <w:r w:rsidR="00954FA6" w:rsidRPr="00B00CB9">
              <w:rPr>
                <w:rFonts w:cs="Arial"/>
                <w:dstrike/>
                <w:color w:val="auto"/>
                <w:szCs w:val="24"/>
              </w:rPr>
              <w:t>46</w:t>
            </w:r>
            <w:r w:rsidR="00B00CB9" w:rsidRPr="00F53521">
              <w:rPr>
                <w:rFonts w:cs="Arial"/>
                <w:color w:val="0063B2"/>
                <w:szCs w:val="24"/>
              </w:rPr>
              <w:t xml:space="preserve"> 112</w:t>
            </w:r>
          </w:p>
        </w:tc>
      </w:tr>
      <w:tr w:rsidR="00326594" w:rsidRPr="000663FF" w14:paraId="6E8406F9" w14:textId="77777777" w:rsidTr="00BA3F88">
        <w:trPr>
          <w:trHeight w:val="315"/>
        </w:trPr>
        <w:tc>
          <w:tcPr>
            <w:tcW w:w="7230" w:type="dxa"/>
            <w:shd w:val="clear" w:color="auto" w:fill="D9E1F2"/>
          </w:tcPr>
          <w:p w14:paraId="703334F0" w14:textId="4E8236D7" w:rsidR="00326594" w:rsidRPr="00596E15" w:rsidRDefault="00326594" w:rsidP="00326594">
            <w:pPr>
              <w:keepNext w:val="0"/>
              <w:spacing w:before="0"/>
              <w:rPr>
                <w:rFonts w:cs="Arial"/>
                <w:b/>
                <w:bCs/>
                <w:color w:val="2F5496" w:themeColor="accent1" w:themeShade="BF"/>
                <w:szCs w:val="24"/>
              </w:rPr>
            </w:pPr>
            <w:r w:rsidRPr="00596E15">
              <w:rPr>
                <w:color w:val="2F5496" w:themeColor="accent1" w:themeShade="BF"/>
              </w:rPr>
              <w:t>Under delivery year 2023 to 2026</w:t>
            </w:r>
          </w:p>
        </w:tc>
        <w:tc>
          <w:tcPr>
            <w:tcW w:w="1842" w:type="dxa"/>
            <w:shd w:val="clear" w:color="auto" w:fill="D9E1F2"/>
            <w:noWrap/>
          </w:tcPr>
          <w:p w14:paraId="7782C31C" w14:textId="7545790B" w:rsidR="00326594" w:rsidRPr="00596E15" w:rsidRDefault="00326594" w:rsidP="00326594">
            <w:pPr>
              <w:keepNext w:val="0"/>
              <w:spacing w:before="0"/>
              <w:jc w:val="right"/>
              <w:rPr>
                <w:rFonts w:cs="Arial"/>
                <w:b/>
                <w:bCs/>
                <w:strike/>
                <w:color w:val="2F5496" w:themeColor="accent1" w:themeShade="BF"/>
                <w:szCs w:val="24"/>
              </w:rPr>
            </w:pPr>
            <w:r w:rsidRPr="00596E15">
              <w:rPr>
                <w:color w:val="2F5496" w:themeColor="accent1" w:themeShade="BF"/>
              </w:rPr>
              <w:t>0</w:t>
            </w:r>
          </w:p>
        </w:tc>
      </w:tr>
      <w:tr w:rsidR="000663FF" w:rsidRPr="000663FF" w14:paraId="78BDD8E4" w14:textId="77777777" w:rsidTr="00BA3F88">
        <w:trPr>
          <w:trHeight w:val="315"/>
        </w:trPr>
        <w:tc>
          <w:tcPr>
            <w:tcW w:w="7230" w:type="dxa"/>
            <w:shd w:val="clear" w:color="auto" w:fill="D9E1F2"/>
            <w:hideMark/>
          </w:tcPr>
          <w:p w14:paraId="4BCD846B" w14:textId="77777777" w:rsidR="001E13A6" w:rsidRPr="000663FF" w:rsidRDefault="001E13A6" w:rsidP="00A44712">
            <w:pPr>
              <w:keepNext w:val="0"/>
              <w:spacing w:before="0"/>
              <w:rPr>
                <w:rFonts w:cs="Arial"/>
                <w:b/>
                <w:bCs/>
                <w:color w:val="auto"/>
                <w:szCs w:val="24"/>
              </w:rPr>
            </w:pPr>
            <w:r w:rsidRPr="000663FF">
              <w:rPr>
                <w:rFonts w:cs="Arial"/>
                <w:b/>
                <w:bCs/>
                <w:color w:val="auto"/>
                <w:szCs w:val="24"/>
              </w:rPr>
              <w:t xml:space="preserve">Total </w:t>
            </w:r>
            <w:proofErr w:type="gramStart"/>
            <w:r w:rsidRPr="000663FF">
              <w:rPr>
                <w:rFonts w:cs="Arial"/>
                <w:b/>
                <w:bCs/>
                <w:color w:val="auto"/>
                <w:szCs w:val="24"/>
              </w:rPr>
              <w:t>5 year</w:t>
            </w:r>
            <w:proofErr w:type="gramEnd"/>
            <w:r w:rsidRPr="000663FF">
              <w:rPr>
                <w:rFonts w:cs="Arial"/>
                <w:b/>
                <w:bCs/>
                <w:color w:val="auto"/>
                <w:szCs w:val="24"/>
              </w:rPr>
              <w:t xml:space="preserve"> requirement including buffer</w:t>
            </w:r>
          </w:p>
        </w:tc>
        <w:tc>
          <w:tcPr>
            <w:tcW w:w="1842" w:type="dxa"/>
            <w:shd w:val="clear" w:color="auto" w:fill="D9E1F2"/>
            <w:noWrap/>
            <w:hideMark/>
          </w:tcPr>
          <w:p w14:paraId="265DD4EA" w14:textId="07C0EF0B" w:rsidR="001E13A6" w:rsidRPr="00B00CB9" w:rsidRDefault="001E13A6" w:rsidP="00A44712">
            <w:pPr>
              <w:keepNext w:val="0"/>
              <w:spacing w:before="0"/>
              <w:jc w:val="right"/>
              <w:rPr>
                <w:rFonts w:cs="Arial"/>
                <w:b/>
                <w:bCs/>
                <w:color w:val="auto"/>
                <w:szCs w:val="24"/>
              </w:rPr>
            </w:pPr>
            <w:r w:rsidRPr="00B00CB9">
              <w:rPr>
                <w:rFonts w:cs="Arial"/>
                <w:b/>
                <w:bCs/>
                <w:strike/>
                <w:color w:val="auto"/>
                <w:szCs w:val="24"/>
              </w:rPr>
              <w:t>2676</w:t>
            </w:r>
            <w:r w:rsidR="00B00CB9">
              <w:rPr>
                <w:rFonts w:cs="Arial"/>
                <w:b/>
                <w:bCs/>
                <w:color w:val="auto"/>
                <w:szCs w:val="24"/>
              </w:rPr>
              <w:t xml:space="preserve"> </w:t>
            </w:r>
            <w:r w:rsidR="00B00CB9" w:rsidRPr="00F53521">
              <w:rPr>
                <w:rFonts w:cs="Arial"/>
                <w:b/>
                <w:bCs/>
                <w:color w:val="0063B2"/>
                <w:szCs w:val="24"/>
              </w:rPr>
              <w:t xml:space="preserve">2342 </w:t>
            </w:r>
          </w:p>
        </w:tc>
      </w:tr>
      <w:tr w:rsidR="000663FF" w:rsidRPr="000663FF" w14:paraId="5702824C" w14:textId="77777777" w:rsidTr="00BA3F88">
        <w:trPr>
          <w:trHeight w:val="375"/>
        </w:trPr>
        <w:tc>
          <w:tcPr>
            <w:tcW w:w="7230" w:type="dxa"/>
            <w:shd w:val="clear" w:color="auto" w:fill="D9E1F2"/>
            <w:hideMark/>
          </w:tcPr>
          <w:p w14:paraId="26369266" w14:textId="77777777" w:rsidR="001E13A6" w:rsidRPr="000663FF" w:rsidRDefault="001E13A6" w:rsidP="00A44712">
            <w:pPr>
              <w:keepNext w:val="0"/>
              <w:spacing w:before="0"/>
              <w:rPr>
                <w:rFonts w:cs="Arial"/>
                <w:b/>
                <w:bCs/>
                <w:color w:val="auto"/>
                <w:szCs w:val="24"/>
              </w:rPr>
            </w:pPr>
            <w:r w:rsidRPr="000663FF">
              <w:rPr>
                <w:rFonts w:cs="Arial"/>
                <w:b/>
                <w:bCs/>
                <w:color w:val="auto"/>
                <w:szCs w:val="24"/>
              </w:rPr>
              <w:t>Annual requirement including buffer</w:t>
            </w:r>
          </w:p>
        </w:tc>
        <w:tc>
          <w:tcPr>
            <w:tcW w:w="1842" w:type="dxa"/>
            <w:shd w:val="clear" w:color="auto" w:fill="D9E1F2"/>
            <w:noWrap/>
            <w:hideMark/>
          </w:tcPr>
          <w:p w14:paraId="169B185E" w14:textId="738BB123" w:rsidR="001E13A6" w:rsidRPr="00B00CB9" w:rsidRDefault="001E13A6" w:rsidP="00A44712">
            <w:pPr>
              <w:keepNext w:val="0"/>
              <w:spacing w:before="0"/>
              <w:jc w:val="right"/>
              <w:rPr>
                <w:rFonts w:cs="Arial"/>
                <w:b/>
                <w:bCs/>
                <w:strike/>
                <w:color w:val="auto"/>
                <w:szCs w:val="24"/>
              </w:rPr>
            </w:pPr>
            <w:r w:rsidRPr="00B00CB9">
              <w:rPr>
                <w:rFonts w:cs="Arial"/>
                <w:b/>
                <w:bCs/>
                <w:strike/>
                <w:color w:val="auto"/>
                <w:szCs w:val="24"/>
              </w:rPr>
              <w:t>535</w:t>
            </w:r>
            <w:r w:rsidR="00B00CB9">
              <w:rPr>
                <w:rFonts w:cs="Arial"/>
                <w:b/>
                <w:bCs/>
                <w:color w:val="auto"/>
                <w:szCs w:val="24"/>
              </w:rPr>
              <w:t xml:space="preserve"> </w:t>
            </w:r>
            <w:r w:rsidR="00B00CB9" w:rsidRPr="00F53521">
              <w:rPr>
                <w:rFonts w:cs="Arial"/>
                <w:b/>
                <w:bCs/>
                <w:color w:val="0063B2"/>
                <w:szCs w:val="24"/>
              </w:rPr>
              <w:t>468</w:t>
            </w:r>
            <w:r w:rsidR="00B00CB9">
              <w:rPr>
                <w:rFonts w:cs="Arial"/>
                <w:b/>
                <w:bCs/>
                <w:strike/>
                <w:color w:val="auto"/>
                <w:szCs w:val="24"/>
              </w:rPr>
              <w:t xml:space="preserve"> </w:t>
            </w:r>
          </w:p>
        </w:tc>
      </w:tr>
    </w:tbl>
    <w:p w14:paraId="682C272C" w14:textId="77777777" w:rsidR="00BA3F88" w:rsidRDefault="00BA3F88" w:rsidP="00BA3F88">
      <w:pPr>
        <w:keepNext w:val="0"/>
        <w:spacing w:before="0"/>
        <w:rPr>
          <w:rFonts w:cs="Arial"/>
          <w:b/>
          <w:bCs/>
          <w:color w:val="auto"/>
          <w:szCs w:val="24"/>
        </w:rPr>
      </w:pPr>
    </w:p>
    <w:p w14:paraId="203F75C0" w14:textId="68DA6E89" w:rsidR="00FA5EDA" w:rsidRPr="000663FF" w:rsidRDefault="0073396F" w:rsidP="00BA3F88">
      <w:pPr>
        <w:keepNext w:val="0"/>
        <w:spacing w:before="0"/>
        <w:rPr>
          <w:b/>
          <w:bCs/>
          <w:color w:val="auto"/>
          <w:sz w:val="16"/>
          <w:szCs w:val="16"/>
        </w:rPr>
      </w:pPr>
      <w:r w:rsidRPr="000663FF">
        <w:rPr>
          <w:rFonts w:cs="Arial"/>
          <w:b/>
          <w:bCs/>
          <w:color w:val="auto"/>
          <w:szCs w:val="24"/>
        </w:rPr>
        <w:t>Housing Land Supply (Dwellings)</w:t>
      </w:r>
    </w:p>
    <w:tbl>
      <w:tblPr>
        <w:tblStyle w:val="TableGrid3"/>
        <w:tblW w:w="9072" w:type="dxa"/>
        <w:tblInd w:w="-5" w:type="dxa"/>
        <w:tblLook w:val="04A0" w:firstRow="1" w:lastRow="0" w:firstColumn="1" w:lastColumn="0" w:noHBand="0" w:noVBand="1"/>
      </w:tblPr>
      <w:tblGrid>
        <w:gridCol w:w="7230"/>
        <w:gridCol w:w="1842"/>
      </w:tblGrid>
      <w:tr w:rsidR="000663FF" w:rsidRPr="000663FF" w14:paraId="3554167E" w14:textId="77777777" w:rsidTr="00BA3F88">
        <w:trPr>
          <w:trHeight w:val="300"/>
        </w:trPr>
        <w:tc>
          <w:tcPr>
            <w:tcW w:w="7230" w:type="dxa"/>
            <w:shd w:val="clear" w:color="auto" w:fill="B4C6E7"/>
            <w:hideMark/>
          </w:tcPr>
          <w:p w14:paraId="20A37DD5" w14:textId="161EE00F" w:rsidR="001E13A6" w:rsidRPr="00C833BB" w:rsidRDefault="0004606E" w:rsidP="00A44712">
            <w:pPr>
              <w:keepNext w:val="0"/>
              <w:spacing w:before="0"/>
              <w:rPr>
                <w:rFonts w:cs="Arial"/>
                <w:strike/>
                <w:color w:val="4472C4" w:themeColor="accent1"/>
                <w:szCs w:val="24"/>
              </w:rPr>
            </w:pPr>
            <w:r w:rsidRPr="00C833BB">
              <w:rPr>
                <w:rFonts w:cs="Arial"/>
                <w:strike/>
                <w:color w:val="auto"/>
                <w:szCs w:val="24"/>
              </w:rPr>
              <w:t>A</w:t>
            </w:r>
            <w:r w:rsidR="001E13A6" w:rsidRPr="00C833BB">
              <w:rPr>
                <w:rFonts w:cs="Arial"/>
                <w:strike/>
                <w:color w:val="auto"/>
                <w:szCs w:val="24"/>
              </w:rPr>
              <w:t xml:space="preserve">llocations </w:t>
            </w:r>
            <w:r w:rsidRPr="00C833BB">
              <w:rPr>
                <w:rFonts w:cs="Arial"/>
                <w:strike/>
                <w:color w:val="auto"/>
                <w:szCs w:val="24"/>
              </w:rPr>
              <w:t xml:space="preserve">without planning permission </w:t>
            </w:r>
            <w:r w:rsidR="001E13A6" w:rsidRPr="00C833BB">
              <w:rPr>
                <w:rFonts w:cs="Arial"/>
                <w:strike/>
                <w:color w:val="auto"/>
                <w:szCs w:val="24"/>
              </w:rPr>
              <w:t>deliverable within 5 years (202</w:t>
            </w:r>
            <w:r w:rsidRPr="00C833BB">
              <w:rPr>
                <w:rFonts w:cs="Arial"/>
                <w:strike/>
                <w:color w:val="auto"/>
                <w:szCs w:val="24"/>
              </w:rPr>
              <w:t>5</w:t>
            </w:r>
            <w:r w:rsidR="001E13A6" w:rsidRPr="00C833BB">
              <w:rPr>
                <w:rFonts w:cs="Arial"/>
                <w:strike/>
                <w:color w:val="auto"/>
                <w:szCs w:val="24"/>
              </w:rPr>
              <w:t>-20</w:t>
            </w:r>
            <w:r w:rsidRPr="00C833BB">
              <w:rPr>
                <w:rFonts w:cs="Arial"/>
                <w:strike/>
                <w:color w:val="auto"/>
                <w:szCs w:val="24"/>
              </w:rPr>
              <w:t>30</w:t>
            </w:r>
            <w:r w:rsidR="001E13A6" w:rsidRPr="00C833BB">
              <w:rPr>
                <w:rFonts w:cs="Arial"/>
                <w:strike/>
                <w:color w:val="auto"/>
                <w:szCs w:val="24"/>
              </w:rPr>
              <w:t>)</w:t>
            </w:r>
            <w:r w:rsidR="00C833BB">
              <w:rPr>
                <w:rFonts w:cs="Arial"/>
                <w:strike/>
                <w:color w:val="auto"/>
                <w:szCs w:val="24"/>
              </w:rPr>
              <w:t xml:space="preserve"> </w:t>
            </w:r>
            <w:r w:rsidR="00C833BB" w:rsidRPr="00F53521">
              <w:rPr>
                <w:rFonts w:cs="Arial"/>
                <w:color w:val="00509D"/>
                <w:szCs w:val="24"/>
              </w:rPr>
              <w:t>Supply from large sites without planning permission (2026-2031)</w:t>
            </w:r>
          </w:p>
        </w:tc>
        <w:tc>
          <w:tcPr>
            <w:tcW w:w="1842" w:type="dxa"/>
            <w:shd w:val="clear" w:color="auto" w:fill="B4C6E7"/>
            <w:noWrap/>
            <w:hideMark/>
          </w:tcPr>
          <w:p w14:paraId="3B1F2826" w14:textId="196D49C4" w:rsidR="001E13A6" w:rsidRPr="00C833BB" w:rsidRDefault="00954FA6" w:rsidP="00A44712">
            <w:pPr>
              <w:keepNext w:val="0"/>
              <w:spacing w:before="0"/>
              <w:jc w:val="right"/>
              <w:rPr>
                <w:rFonts w:cs="Arial"/>
                <w:strike/>
                <w:color w:val="auto"/>
                <w:sz w:val="22"/>
              </w:rPr>
            </w:pPr>
            <w:r w:rsidRPr="00C833BB">
              <w:rPr>
                <w:rFonts w:cs="Arial"/>
                <w:strike/>
                <w:color w:val="auto"/>
                <w:sz w:val="22"/>
              </w:rPr>
              <w:t>2059</w:t>
            </w:r>
            <w:r w:rsidR="00C833BB">
              <w:rPr>
                <w:rFonts w:cs="Arial"/>
                <w:strike/>
                <w:color w:val="auto"/>
                <w:sz w:val="22"/>
              </w:rPr>
              <w:t xml:space="preserve"> </w:t>
            </w:r>
            <w:r w:rsidR="00C833BB" w:rsidRPr="00596E15">
              <w:rPr>
                <w:rFonts w:cs="Arial"/>
                <w:color w:val="1F4E79" w:themeColor="accent5" w:themeShade="80"/>
                <w:sz w:val="22"/>
              </w:rPr>
              <w:t>716</w:t>
            </w:r>
            <w:r w:rsidR="00C833BB">
              <w:rPr>
                <w:rFonts w:cs="Arial"/>
                <w:strike/>
                <w:color w:val="auto"/>
                <w:sz w:val="22"/>
              </w:rPr>
              <w:t xml:space="preserve"> </w:t>
            </w:r>
          </w:p>
        </w:tc>
      </w:tr>
      <w:tr w:rsidR="000663FF" w:rsidRPr="000663FF" w14:paraId="7A7D6D99" w14:textId="77777777" w:rsidTr="00BA3F88">
        <w:trPr>
          <w:trHeight w:val="300"/>
        </w:trPr>
        <w:tc>
          <w:tcPr>
            <w:tcW w:w="7230" w:type="dxa"/>
            <w:shd w:val="clear" w:color="auto" w:fill="B4C6E7"/>
            <w:hideMark/>
          </w:tcPr>
          <w:p w14:paraId="75EFADB2" w14:textId="035CC578" w:rsidR="001E13A6" w:rsidRPr="00C833BB" w:rsidRDefault="0004606E" w:rsidP="00A44712">
            <w:pPr>
              <w:keepNext w:val="0"/>
              <w:spacing w:before="0"/>
              <w:rPr>
                <w:rFonts w:cs="Arial"/>
                <w:color w:val="auto"/>
                <w:szCs w:val="24"/>
              </w:rPr>
            </w:pPr>
            <w:r w:rsidRPr="000663FF">
              <w:rPr>
                <w:rFonts w:cs="Arial"/>
                <w:color w:val="auto"/>
                <w:szCs w:val="24"/>
              </w:rPr>
              <w:t>P</w:t>
            </w:r>
            <w:r w:rsidR="001E13A6" w:rsidRPr="000663FF">
              <w:rPr>
                <w:rFonts w:cs="Arial"/>
                <w:color w:val="auto"/>
                <w:szCs w:val="24"/>
              </w:rPr>
              <w:t>lanning permissions deliverable within 5 years</w:t>
            </w:r>
            <w:r w:rsidRPr="000663FF">
              <w:rPr>
                <w:rFonts w:cs="Arial"/>
                <w:color w:val="auto"/>
                <w:szCs w:val="24"/>
              </w:rPr>
              <w:t xml:space="preserve"> </w:t>
            </w:r>
            <w:r w:rsidRPr="00C833BB">
              <w:rPr>
                <w:rFonts w:cs="Arial"/>
                <w:strike/>
                <w:color w:val="auto"/>
                <w:szCs w:val="24"/>
              </w:rPr>
              <w:t>(2025-2030</w:t>
            </w:r>
            <w:proofErr w:type="gramStart"/>
            <w:r w:rsidRPr="00C833BB">
              <w:rPr>
                <w:rFonts w:cs="Arial"/>
                <w:strike/>
                <w:color w:val="auto"/>
                <w:szCs w:val="24"/>
              </w:rPr>
              <w:t>)</w:t>
            </w:r>
            <w:r w:rsidR="00C833BB">
              <w:rPr>
                <w:rFonts w:cs="Arial"/>
                <w:color w:val="auto"/>
                <w:szCs w:val="24"/>
              </w:rPr>
              <w:t xml:space="preserve">  </w:t>
            </w:r>
            <w:r w:rsidR="00C833BB" w:rsidRPr="00596E15">
              <w:rPr>
                <w:rFonts w:cs="Arial"/>
                <w:color w:val="1F4E79" w:themeColor="accent5" w:themeShade="80"/>
                <w:szCs w:val="24"/>
              </w:rPr>
              <w:t>(</w:t>
            </w:r>
            <w:proofErr w:type="gramEnd"/>
            <w:r w:rsidR="00C833BB" w:rsidRPr="00596E15">
              <w:rPr>
                <w:rFonts w:cs="Arial"/>
                <w:color w:val="1F4E79" w:themeColor="accent5" w:themeShade="80"/>
                <w:szCs w:val="24"/>
              </w:rPr>
              <w:t>2026-2031)</w:t>
            </w:r>
          </w:p>
        </w:tc>
        <w:tc>
          <w:tcPr>
            <w:tcW w:w="1842" w:type="dxa"/>
            <w:shd w:val="clear" w:color="auto" w:fill="B4C6E7"/>
            <w:noWrap/>
            <w:hideMark/>
          </w:tcPr>
          <w:p w14:paraId="06E78246" w14:textId="05D9BC59" w:rsidR="001E13A6" w:rsidRPr="00C833BB" w:rsidRDefault="0004606E" w:rsidP="00A44712">
            <w:pPr>
              <w:keepNext w:val="0"/>
              <w:spacing w:before="0"/>
              <w:jc w:val="right"/>
              <w:rPr>
                <w:rFonts w:cs="Arial"/>
                <w:color w:val="auto"/>
                <w:sz w:val="22"/>
              </w:rPr>
            </w:pPr>
            <w:proofErr w:type="gramStart"/>
            <w:r w:rsidRPr="00C833BB">
              <w:rPr>
                <w:rFonts w:cs="Arial"/>
                <w:strike/>
                <w:color w:val="auto"/>
                <w:sz w:val="22"/>
              </w:rPr>
              <w:t>1</w:t>
            </w:r>
            <w:r w:rsidR="008D51D6" w:rsidRPr="00C833BB">
              <w:rPr>
                <w:rFonts w:cs="Arial"/>
                <w:strike/>
                <w:color w:val="auto"/>
                <w:sz w:val="22"/>
              </w:rPr>
              <w:t>3</w:t>
            </w:r>
            <w:r w:rsidR="00F33392" w:rsidRPr="00C833BB">
              <w:rPr>
                <w:rFonts w:cs="Arial"/>
                <w:strike/>
                <w:color w:val="auto"/>
                <w:sz w:val="22"/>
              </w:rPr>
              <w:t>32</w:t>
            </w:r>
            <w:r w:rsidR="00C833BB">
              <w:rPr>
                <w:rFonts w:cs="Arial"/>
                <w:color w:val="auto"/>
                <w:sz w:val="22"/>
              </w:rPr>
              <w:t xml:space="preserve">  </w:t>
            </w:r>
            <w:r w:rsidR="00C833BB" w:rsidRPr="00F53521">
              <w:rPr>
                <w:rFonts w:cs="Arial"/>
                <w:color w:val="00509D"/>
                <w:sz w:val="22"/>
              </w:rPr>
              <w:t>1883</w:t>
            </w:r>
            <w:proofErr w:type="gramEnd"/>
          </w:p>
        </w:tc>
      </w:tr>
      <w:tr w:rsidR="000663FF" w:rsidRPr="000663FF" w14:paraId="2A1E992D" w14:textId="77777777" w:rsidTr="00BA3F88">
        <w:trPr>
          <w:trHeight w:val="300"/>
        </w:trPr>
        <w:tc>
          <w:tcPr>
            <w:tcW w:w="7230" w:type="dxa"/>
            <w:shd w:val="clear" w:color="auto" w:fill="B4C6E7"/>
            <w:hideMark/>
          </w:tcPr>
          <w:p w14:paraId="38E2934C" w14:textId="77777777" w:rsidR="001E13A6" w:rsidRPr="000663FF" w:rsidRDefault="001E13A6" w:rsidP="00A44712">
            <w:pPr>
              <w:keepNext w:val="0"/>
              <w:spacing w:before="0"/>
              <w:rPr>
                <w:rFonts w:cs="Arial"/>
                <w:color w:val="auto"/>
                <w:szCs w:val="24"/>
              </w:rPr>
            </w:pPr>
            <w:r w:rsidRPr="000663FF">
              <w:rPr>
                <w:rFonts w:cs="Arial"/>
                <w:color w:val="auto"/>
                <w:szCs w:val="24"/>
              </w:rPr>
              <w:t>Discount applied to permissions based on historic lapse rate</w:t>
            </w:r>
          </w:p>
        </w:tc>
        <w:tc>
          <w:tcPr>
            <w:tcW w:w="1842" w:type="dxa"/>
            <w:shd w:val="clear" w:color="auto" w:fill="B4C6E7" w:themeFill="accent1" w:themeFillTint="66"/>
            <w:noWrap/>
            <w:hideMark/>
          </w:tcPr>
          <w:p w14:paraId="6739A93E" w14:textId="23725519" w:rsidR="001E13A6" w:rsidRPr="000663FF" w:rsidRDefault="001E13A6" w:rsidP="00A44712">
            <w:pPr>
              <w:keepNext w:val="0"/>
              <w:spacing w:before="0"/>
              <w:jc w:val="right"/>
              <w:rPr>
                <w:rFonts w:cs="Arial"/>
                <w:color w:val="auto"/>
                <w:szCs w:val="24"/>
              </w:rPr>
            </w:pPr>
            <w:r w:rsidRPr="000663FF">
              <w:rPr>
                <w:rFonts w:cs="Arial"/>
                <w:color w:val="auto"/>
                <w:szCs w:val="24"/>
              </w:rPr>
              <w:t>-105</w:t>
            </w:r>
          </w:p>
        </w:tc>
      </w:tr>
      <w:tr w:rsidR="000663FF" w:rsidRPr="000663FF" w14:paraId="4FA3AD33" w14:textId="77777777" w:rsidTr="00BA3F88">
        <w:trPr>
          <w:trHeight w:val="300"/>
        </w:trPr>
        <w:tc>
          <w:tcPr>
            <w:tcW w:w="7230" w:type="dxa"/>
            <w:shd w:val="clear" w:color="auto" w:fill="B4C6E7"/>
            <w:hideMark/>
          </w:tcPr>
          <w:p w14:paraId="72E70B2B" w14:textId="77777777" w:rsidR="001E13A6" w:rsidRPr="000663FF" w:rsidRDefault="001E13A6" w:rsidP="00A44712">
            <w:pPr>
              <w:keepNext w:val="0"/>
              <w:spacing w:before="0"/>
              <w:rPr>
                <w:rFonts w:cs="Arial"/>
                <w:color w:val="auto"/>
                <w:szCs w:val="24"/>
              </w:rPr>
            </w:pPr>
            <w:r w:rsidRPr="000663FF">
              <w:rPr>
                <w:rFonts w:cs="Arial"/>
                <w:color w:val="auto"/>
                <w:szCs w:val="24"/>
              </w:rPr>
              <w:t>Permitted Development deliverable within 5 years</w:t>
            </w:r>
          </w:p>
        </w:tc>
        <w:tc>
          <w:tcPr>
            <w:tcW w:w="1842" w:type="dxa"/>
            <w:shd w:val="clear" w:color="auto" w:fill="B4C6E7"/>
            <w:noWrap/>
            <w:hideMark/>
          </w:tcPr>
          <w:p w14:paraId="24A456D3" w14:textId="2F3641CF" w:rsidR="001E13A6" w:rsidRPr="00C833BB" w:rsidRDefault="001E13A6" w:rsidP="00A44712">
            <w:pPr>
              <w:keepNext w:val="0"/>
              <w:spacing w:before="0"/>
              <w:jc w:val="right"/>
              <w:rPr>
                <w:rFonts w:cs="Arial"/>
                <w:color w:val="auto"/>
                <w:szCs w:val="24"/>
              </w:rPr>
            </w:pPr>
            <w:proofErr w:type="gramStart"/>
            <w:r w:rsidRPr="00C833BB">
              <w:rPr>
                <w:rFonts w:cs="Arial"/>
                <w:strike/>
                <w:color w:val="auto"/>
                <w:szCs w:val="24"/>
              </w:rPr>
              <w:t>2</w:t>
            </w:r>
            <w:r w:rsidR="00C833BB" w:rsidRPr="00BA3F88">
              <w:rPr>
                <w:rFonts w:cs="Arial"/>
                <w:color w:val="auto"/>
                <w:szCs w:val="24"/>
              </w:rPr>
              <w:t xml:space="preserve"> </w:t>
            </w:r>
            <w:r w:rsidR="00C833BB" w:rsidRPr="00F53521">
              <w:rPr>
                <w:rFonts w:cs="Arial"/>
                <w:color w:val="00509D"/>
                <w:szCs w:val="24"/>
              </w:rPr>
              <w:t xml:space="preserve"> 0</w:t>
            </w:r>
            <w:proofErr w:type="gramEnd"/>
          </w:p>
        </w:tc>
      </w:tr>
      <w:tr w:rsidR="000663FF" w:rsidRPr="000663FF" w14:paraId="03D562EC" w14:textId="77777777" w:rsidTr="00BA3F88">
        <w:trPr>
          <w:trHeight w:val="360"/>
        </w:trPr>
        <w:tc>
          <w:tcPr>
            <w:tcW w:w="7230" w:type="dxa"/>
            <w:shd w:val="clear" w:color="auto" w:fill="B4C6E7"/>
            <w:hideMark/>
          </w:tcPr>
          <w:p w14:paraId="5538617B" w14:textId="77777777" w:rsidR="001E13A6" w:rsidRPr="000663FF" w:rsidRDefault="001E13A6" w:rsidP="00A44712">
            <w:pPr>
              <w:keepNext w:val="0"/>
              <w:spacing w:before="0"/>
              <w:rPr>
                <w:rFonts w:cs="Arial"/>
                <w:color w:val="auto"/>
                <w:szCs w:val="24"/>
              </w:rPr>
            </w:pPr>
            <w:r w:rsidRPr="000663FF">
              <w:rPr>
                <w:rFonts w:cs="Arial"/>
                <w:color w:val="auto"/>
                <w:szCs w:val="24"/>
              </w:rPr>
              <w:t>Residential Institutions (C2) deliverable within 5 years</w:t>
            </w:r>
            <w:r w:rsidRPr="000663FF">
              <w:rPr>
                <w:rFonts w:cs="Arial"/>
                <w:color w:val="auto"/>
                <w:szCs w:val="24"/>
                <w:vertAlign w:val="superscript"/>
              </w:rPr>
              <w:t>#</w:t>
            </w:r>
          </w:p>
        </w:tc>
        <w:tc>
          <w:tcPr>
            <w:tcW w:w="1842" w:type="dxa"/>
            <w:shd w:val="clear" w:color="auto" w:fill="B4C6E7"/>
            <w:noWrap/>
            <w:hideMark/>
          </w:tcPr>
          <w:p w14:paraId="6F00915C" w14:textId="3063C8B9" w:rsidR="001E13A6" w:rsidRPr="00C833BB" w:rsidRDefault="001E13A6" w:rsidP="00A44712">
            <w:pPr>
              <w:keepNext w:val="0"/>
              <w:spacing w:before="0"/>
              <w:jc w:val="right"/>
              <w:rPr>
                <w:rFonts w:cs="Arial"/>
                <w:color w:val="auto"/>
                <w:szCs w:val="24"/>
              </w:rPr>
            </w:pPr>
            <w:proofErr w:type="gramStart"/>
            <w:r w:rsidRPr="00C833BB">
              <w:rPr>
                <w:rFonts w:cs="Arial"/>
                <w:strike/>
                <w:color w:val="auto"/>
                <w:szCs w:val="24"/>
              </w:rPr>
              <w:t>5</w:t>
            </w:r>
            <w:r w:rsidR="00C833BB">
              <w:rPr>
                <w:rFonts w:cs="Arial"/>
                <w:color w:val="auto"/>
                <w:szCs w:val="24"/>
              </w:rPr>
              <w:t xml:space="preserve">  </w:t>
            </w:r>
            <w:r w:rsidR="00C833BB" w:rsidRPr="00F53521">
              <w:rPr>
                <w:rFonts w:cs="Arial"/>
                <w:color w:val="00509D"/>
                <w:szCs w:val="24"/>
              </w:rPr>
              <w:t>1</w:t>
            </w:r>
            <w:proofErr w:type="gramEnd"/>
          </w:p>
        </w:tc>
      </w:tr>
      <w:tr w:rsidR="000663FF" w:rsidRPr="000663FF" w14:paraId="107F2767" w14:textId="77777777" w:rsidTr="00BA3F88">
        <w:trPr>
          <w:trHeight w:val="300"/>
        </w:trPr>
        <w:tc>
          <w:tcPr>
            <w:tcW w:w="7230" w:type="dxa"/>
            <w:shd w:val="clear" w:color="auto" w:fill="B4C6E7"/>
            <w:hideMark/>
          </w:tcPr>
          <w:p w14:paraId="2C40ABD0" w14:textId="71C046BA" w:rsidR="001E13A6" w:rsidRPr="000663FF" w:rsidRDefault="001E13A6" w:rsidP="00A44712">
            <w:pPr>
              <w:keepNext w:val="0"/>
              <w:spacing w:before="0"/>
              <w:rPr>
                <w:rFonts w:cs="Arial"/>
                <w:color w:val="auto"/>
                <w:szCs w:val="24"/>
              </w:rPr>
            </w:pPr>
            <w:r w:rsidRPr="000663FF">
              <w:rPr>
                <w:rFonts w:cs="Arial"/>
                <w:color w:val="auto"/>
                <w:szCs w:val="24"/>
              </w:rPr>
              <w:t>Small site windfall allowance (2028 to 2030)</w:t>
            </w:r>
          </w:p>
        </w:tc>
        <w:tc>
          <w:tcPr>
            <w:tcW w:w="1842" w:type="dxa"/>
            <w:shd w:val="clear" w:color="auto" w:fill="B4C6E7"/>
            <w:noWrap/>
            <w:hideMark/>
          </w:tcPr>
          <w:p w14:paraId="480C0741" w14:textId="186543E3" w:rsidR="001E13A6" w:rsidRPr="00F53521" w:rsidRDefault="001E13A6" w:rsidP="00A44712">
            <w:pPr>
              <w:keepNext w:val="0"/>
              <w:spacing w:before="0"/>
              <w:jc w:val="right"/>
              <w:rPr>
                <w:rFonts w:cs="Arial"/>
                <w:strike/>
                <w:color w:val="00509D"/>
                <w:szCs w:val="24"/>
              </w:rPr>
            </w:pPr>
            <w:proofErr w:type="gramStart"/>
            <w:r w:rsidRPr="00F53521">
              <w:rPr>
                <w:rFonts w:cs="Arial"/>
                <w:strike/>
                <w:color w:val="00509D"/>
                <w:szCs w:val="24"/>
              </w:rPr>
              <w:t>120</w:t>
            </w:r>
            <w:r w:rsidR="00C833BB" w:rsidRPr="00F53521">
              <w:rPr>
                <w:rFonts w:cs="Arial"/>
                <w:color w:val="00509D"/>
                <w:szCs w:val="24"/>
              </w:rPr>
              <w:t xml:space="preserve">  273</w:t>
            </w:r>
            <w:proofErr w:type="gramEnd"/>
          </w:p>
        </w:tc>
      </w:tr>
      <w:tr w:rsidR="000663FF" w:rsidRPr="000663FF" w14:paraId="2ADC3553" w14:textId="77777777" w:rsidTr="005F7EA0">
        <w:trPr>
          <w:trHeight w:val="555"/>
        </w:trPr>
        <w:tc>
          <w:tcPr>
            <w:tcW w:w="7230" w:type="dxa"/>
            <w:shd w:val="clear" w:color="auto" w:fill="B4C6E7"/>
            <w:hideMark/>
          </w:tcPr>
          <w:p w14:paraId="79174546" w14:textId="23CB613E" w:rsidR="001E13A6" w:rsidRPr="00C833BB" w:rsidRDefault="001E13A6" w:rsidP="00C833BB">
            <w:pPr>
              <w:keepNext w:val="0"/>
              <w:spacing w:before="0"/>
              <w:jc w:val="left"/>
              <w:rPr>
                <w:rFonts w:cs="Arial"/>
                <w:b/>
                <w:bCs/>
                <w:color w:val="auto"/>
                <w:szCs w:val="24"/>
              </w:rPr>
            </w:pPr>
            <w:r w:rsidRPr="000663FF">
              <w:rPr>
                <w:rFonts w:cs="Arial"/>
                <w:b/>
                <w:bCs/>
                <w:color w:val="auto"/>
                <w:szCs w:val="24"/>
              </w:rPr>
              <w:t xml:space="preserve">Total </w:t>
            </w:r>
            <w:r w:rsidR="0004606E" w:rsidRPr="000663FF">
              <w:rPr>
                <w:rFonts w:cs="Arial"/>
                <w:b/>
                <w:bCs/>
                <w:color w:val="auto"/>
                <w:szCs w:val="24"/>
              </w:rPr>
              <w:t xml:space="preserve">deliverable housing land supply </w:t>
            </w:r>
            <w:r w:rsidR="0004606E" w:rsidRPr="00C833BB">
              <w:rPr>
                <w:rFonts w:cs="Arial"/>
                <w:b/>
                <w:bCs/>
                <w:strike/>
                <w:color w:val="auto"/>
                <w:szCs w:val="24"/>
              </w:rPr>
              <w:t>2025-</w:t>
            </w:r>
            <w:proofErr w:type="gramStart"/>
            <w:r w:rsidR="0004606E" w:rsidRPr="00C833BB">
              <w:rPr>
                <w:rFonts w:cs="Arial"/>
                <w:b/>
                <w:bCs/>
                <w:strike/>
                <w:color w:val="auto"/>
                <w:szCs w:val="24"/>
              </w:rPr>
              <w:t>2030</w:t>
            </w:r>
            <w:r w:rsidR="00C833BB">
              <w:rPr>
                <w:rFonts w:cs="Arial"/>
                <w:b/>
                <w:bCs/>
                <w:color w:val="auto"/>
                <w:szCs w:val="24"/>
              </w:rPr>
              <w:t xml:space="preserve">  </w:t>
            </w:r>
            <w:r w:rsidR="00C833BB" w:rsidRPr="00F53521">
              <w:rPr>
                <w:rFonts w:cs="Arial"/>
                <w:b/>
                <w:bCs/>
                <w:color w:val="00509D"/>
                <w:szCs w:val="24"/>
              </w:rPr>
              <w:t>2026</w:t>
            </w:r>
            <w:proofErr w:type="gramEnd"/>
            <w:r w:rsidR="00C833BB" w:rsidRPr="00F53521">
              <w:rPr>
                <w:rFonts w:cs="Arial"/>
                <w:b/>
                <w:bCs/>
                <w:color w:val="00509D"/>
                <w:szCs w:val="24"/>
              </w:rPr>
              <w:t>-2031</w:t>
            </w:r>
          </w:p>
        </w:tc>
        <w:tc>
          <w:tcPr>
            <w:tcW w:w="1842" w:type="dxa"/>
            <w:shd w:val="clear" w:color="auto" w:fill="B4C6E7"/>
            <w:noWrap/>
            <w:hideMark/>
          </w:tcPr>
          <w:p w14:paraId="0CC98ABD" w14:textId="578FAF2D" w:rsidR="001E13A6" w:rsidRPr="00C833BB" w:rsidRDefault="001E13A6" w:rsidP="00A44712">
            <w:pPr>
              <w:keepNext w:val="0"/>
              <w:spacing w:before="0"/>
              <w:jc w:val="right"/>
              <w:rPr>
                <w:rFonts w:cs="Arial"/>
                <w:b/>
                <w:bCs/>
                <w:strike/>
                <w:color w:val="auto"/>
                <w:szCs w:val="24"/>
              </w:rPr>
            </w:pPr>
            <w:r w:rsidRPr="00C833BB">
              <w:rPr>
                <w:rFonts w:cs="Arial"/>
                <w:b/>
                <w:bCs/>
                <w:strike/>
                <w:color w:val="auto"/>
                <w:szCs w:val="24"/>
              </w:rPr>
              <w:t>3</w:t>
            </w:r>
            <w:r w:rsidR="00954FA6" w:rsidRPr="00C833BB">
              <w:rPr>
                <w:rFonts w:cs="Arial"/>
                <w:b/>
                <w:bCs/>
                <w:strike/>
                <w:color w:val="auto"/>
                <w:szCs w:val="24"/>
              </w:rPr>
              <w:t>413</w:t>
            </w:r>
            <w:r w:rsidR="00C833BB" w:rsidRPr="00BA3F88">
              <w:rPr>
                <w:rFonts w:cs="Arial"/>
                <w:b/>
                <w:bCs/>
                <w:color w:val="auto"/>
                <w:szCs w:val="24"/>
              </w:rPr>
              <w:t xml:space="preserve"> </w:t>
            </w:r>
            <w:r w:rsidR="00C833BB" w:rsidRPr="00F53521">
              <w:rPr>
                <w:rFonts w:cs="Arial"/>
                <w:b/>
                <w:bCs/>
                <w:color w:val="00509D"/>
                <w:szCs w:val="24"/>
              </w:rPr>
              <w:t>2768</w:t>
            </w:r>
          </w:p>
        </w:tc>
      </w:tr>
    </w:tbl>
    <w:p w14:paraId="1A47329A" w14:textId="1ECF70DD" w:rsidR="00F325CB" w:rsidRPr="000663FF" w:rsidRDefault="00B5314A" w:rsidP="00BA3F88">
      <w:pPr>
        <w:spacing w:before="0"/>
        <w:rPr>
          <w:b/>
          <w:bCs/>
          <w:color w:val="auto"/>
          <w:sz w:val="16"/>
          <w:szCs w:val="16"/>
        </w:rPr>
      </w:pPr>
      <w:r w:rsidRPr="000663FF">
        <w:rPr>
          <w:rFonts w:cs="Arial"/>
          <w:b/>
          <w:bCs/>
          <w:color w:val="auto"/>
          <w:szCs w:val="24"/>
        </w:rPr>
        <w:t xml:space="preserve">Calculation of </w:t>
      </w:r>
      <w:proofErr w:type="gramStart"/>
      <w:r w:rsidRPr="000663FF">
        <w:rPr>
          <w:rFonts w:cs="Arial"/>
          <w:b/>
          <w:bCs/>
          <w:color w:val="auto"/>
          <w:szCs w:val="24"/>
        </w:rPr>
        <w:t>5 year</w:t>
      </w:r>
      <w:proofErr w:type="gramEnd"/>
      <w:r w:rsidRPr="000663FF">
        <w:rPr>
          <w:rFonts w:cs="Arial"/>
          <w:b/>
          <w:bCs/>
          <w:color w:val="auto"/>
          <w:szCs w:val="24"/>
        </w:rPr>
        <w:t xml:space="preserve"> Housing Land Supply</w:t>
      </w:r>
    </w:p>
    <w:tbl>
      <w:tblPr>
        <w:tblStyle w:val="TableGrid3"/>
        <w:tblW w:w="9072" w:type="dxa"/>
        <w:tblInd w:w="-5" w:type="dxa"/>
        <w:tblLook w:val="04A0" w:firstRow="1" w:lastRow="0" w:firstColumn="1" w:lastColumn="0" w:noHBand="0" w:noVBand="1"/>
      </w:tblPr>
      <w:tblGrid>
        <w:gridCol w:w="7230"/>
        <w:gridCol w:w="1842"/>
      </w:tblGrid>
      <w:tr w:rsidR="000663FF" w:rsidRPr="000663FF" w14:paraId="2D4D6105" w14:textId="77777777" w:rsidTr="00BA3F88">
        <w:trPr>
          <w:trHeight w:val="300"/>
        </w:trPr>
        <w:tc>
          <w:tcPr>
            <w:tcW w:w="7230" w:type="dxa"/>
            <w:shd w:val="clear" w:color="auto" w:fill="D9D9D9"/>
            <w:hideMark/>
          </w:tcPr>
          <w:p w14:paraId="21547EA9" w14:textId="77777777" w:rsidR="00D9165E" w:rsidRPr="000663FF" w:rsidRDefault="00D9165E" w:rsidP="00A44712">
            <w:pPr>
              <w:keepNext w:val="0"/>
              <w:spacing w:before="0"/>
              <w:rPr>
                <w:rFonts w:cs="Arial"/>
                <w:color w:val="auto"/>
                <w:szCs w:val="24"/>
              </w:rPr>
            </w:pPr>
            <w:r w:rsidRPr="000663FF">
              <w:rPr>
                <w:rFonts w:cs="Arial"/>
                <w:color w:val="auto"/>
                <w:szCs w:val="24"/>
              </w:rPr>
              <w:t xml:space="preserve">Deliverable sites for the </w:t>
            </w:r>
            <w:proofErr w:type="gramStart"/>
            <w:r w:rsidRPr="000663FF">
              <w:rPr>
                <w:rFonts w:cs="Arial"/>
                <w:color w:val="auto"/>
                <w:szCs w:val="24"/>
              </w:rPr>
              <w:t>5 year</w:t>
            </w:r>
            <w:proofErr w:type="gramEnd"/>
            <w:r w:rsidRPr="000663FF">
              <w:rPr>
                <w:rFonts w:cs="Arial"/>
                <w:color w:val="auto"/>
                <w:szCs w:val="24"/>
              </w:rPr>
              <w:t xml:space="preserve"> period</w:t>
            </w:r>
          </w:p>
        </w:tc>
        <w:tc>
          <w:tcPr>
            <w:tcW w:w="1842" w:type="dxa"/>
            <w:shd w:val="clear" w:color="auto" w:fill="D9D9D9"/>
            <w:noWrap/>
            <w:hideMark/>
          </w:tcPr>
          <w:p w14:paraId="418BDA95" w14:textId="67FF618F" w:rsidR="00D9165E" w:rsidRPr="00BD39EF" w:rsidRDefault="00D9165E" w:rsidP="00A44712">
            <w:pPr>
              <w:keepNext w:val="0"/>
              <w:spacing w:before="0"/>
              <w:jc w:val="right"/>
              <w:rPr>
                <w:rFonts w:cs="Arial"/>
                <w:strike/>
                <w:color w:val="auto"/>
                <w:szCs w:val="24"/>
              </w:rPr>
            </w:pPr>
            <w:proofErr w:type="gramStart"/>
            <w:r w:rsidRPr="00BD39EF">
              <w:rPr>
                <w:rFonts w:cs="Arial"/>
                <w:strike/>
                <w:color w:val="auto"/>
                <w:szCs w:val="24"/>
              </w:rPr>
              <w:t>3</w:t>
            </w:r>
            <w:r w:rsidR="00954FA6" w:rsidRPr="00BD39EF">
              <w:rPr>
                <w:rFonts w:cs="Arial"/>
                <w:strike/>
                <w:color w:val="auto"/>
                <w:szCs w:val="24"/>
              </w:rPr>
              <w:t>413</w:t>
            </w:r>
            <w:r w:rsidR="00BD39EF" w:rsidRPr="00BA3F88">
              <w:rPr>
                <w:rFonts w:cs="Arial"/>
                <w:color w:val="auto"/>
                <w:szCs w:val="24"/>
              </w:rPr>
              <w:t xml:space="preserve"> </w:t>
            </w:r>
            <w:r w:rsidR="00BD39EF" w:rsidRPr="00BA3F88">
              <w:t xml:space="preserve"> </w:t>
            </w:r>
            <w:r w:rsidR="00BD39EF" w:rsidRPr="00E56F9C">
              <w:rPr>
                <w:color w:val="005EAC"/>
              </w:rPr>
              <w:t>2768</w:t>
            </w:r>
            <w:proofErr w:type="gramEnd"/>
            <w:r w:rsidR="00BD39EF">
              <w:rPr>
                <w:rFonts w:cs="Arial"/>
                <w:strike/>
                <w:color w:val="auto"/>
                <w:szCs w:val="24"/>
              </w:rPr>
              <w:t xml:space="preserve"> </w:t>
            </w:r>
            <w:r w:rsidR="00BD39EF">
              <w:rPr>
                <w:strike/>
              </w:rPr>
              <w:t xml:space="preserve"> </w:t>
            </w:r>
          </w:p>
        </w:tc>
      </w:tr>
      <w:tr w:rsidR="000663FF" w:rsidRPr="000663FF" w14:paraId="133E3E49" w14:textId="77777777" w:rsidTr="00BA3F88">
        <w:trPr>
          <w:trHeight w:val="315"/>
        </w:trPr>
        <w:tc>
          <w:tcPr>
            <w:tcW w:w="7230" w:type="dxa"/>
            <w:shd w:val="clear" w:color="auto" w:fill="D9D9D9"/>
            <w:hideMark/>
          </w:tcPr>
          <w:p w14:paraId="0C8FBCF5" w14:textId="77777777" w:rsidR="00D9165E" w:rsidRPr="000663FF" w:rsidRDefault="00D9165E" w:rsidP="00A44712">
            <w:pPr>
              <w:keepNext w:val="0"/>
              <w:spacing w:before="0"/>
              <w:rPr>
                <w:rFonts w:cs="Arial"/>
                <w:color w:val="auto"/>
                <w:szCs w:val="24"/>
              </w:rPr>
            </w:pPr>
            <w:r w:rsidRPr="000663FF">
              <w:rPr>
                <w:rFonts w:cs="Arial"/>
                <w:color w:val="auto"/>
                <w:szCs w:val="24"/>
              </w:rPr>
              <w:t>Divided by annual requirement for next 5 years</w:t>
            </w:r>
          </w:p>
        </w:tc>
        <w:tc>
          <w:tcPr>
            <w:tcW w:w="1842" w:type="dxa"/>
            <w:shd w:val="clear" w:color="auto" w:fill="D9D9D9"/>
            <w:noWrap/>
            <w:hideMark/>
          </w:tcPr>
          <w:p w14:paraId="0150C911" w14:textId="50CD91DC" w:rsidR="00D9165E" w:rsidRPr="00E56F9C" w:rsidRDefault="00D9165E" w:rsidP="00A44712">
            <w:pPr>
              <w:keepNext w:val="0"/>
              <w:spacing w:before="0"/>
              <w:jc w:val="right"/>
              <w:rPr>
                <w:rFonts w:cs="Arial"/>
                <w:color w:val="005EAC"/>
                <w:szCs w:val="24"/>
              </w:rPr>
            </w:pPr>
            <w:proofErr w:type="gramStart"/>
            <w:r w:rsidRPr="00E56F9C">
              <w:rPr>
                <w:rFonts w:cs="Arial"/>
                <w:strike/>
                <w:color w:val="005EAC"/>
                <w:szCs w:val="24"/>
              </w:rPr>
              <w:t>535</w:t>
            </w:r>
            <w:r w:rsidR="00BD39EF" w:rsidRPr="00E56F9C">
              <w:rPr>
                <w:rFonts w:cs="Arial"/>
                <w:color w:val="005EAC"/>
                <w:szCs w:val="24"/>
              </w:rPr>
              <w:t xml:space="preserve">  468</w:t>
            </w:r>
            <w:proofErr w:type="gramEnd"/>
          </w:p>
        </w:tc>
      </w:tr>
      <w:tr w:rsidR="000663FF" w:rsidRPr="000663FF" w14:paraId="2F0EA5BD" w14:textId="77777777" w:rsidTr="00BA3F88">
        <w:trPr>
          <w:trHeight w:val="330"/>
        </w:trPr>
        <w:tc>
          <w:tcPr>
            <w:tcW w:w="7230" w:type="dxa"/>
            <w:shd w:val="clear" w:color="auto" w:fill="D9D9D9"/>
            <w:hideMark/>
          </w:tcPr>
          <w:p w14:paraId="55E83755" w14:textId="77777777" w:rsidR="00D9165E" w:rsidRPr="000663FF" w:rsidRDefault="00D9165E" w:rsidP="00A44712">
            <w:pPr>
              <w:keepNext w:val="0"/>
              <w:spacing w:before="0"/>
              <w:rPr>
                <w:rFonts w:cs="Arial"/>
                <w:b/>
                <w:bCs/>
                <w:color w:val="auto"/>
                <w:szCs w:val="24"/>
              </w:rPr>
            </w:pPr>
            <w:r w:rsidRPr="000663FF">
              <w:rPr>
                <w:rFonts w:cs="Arial"/>
                <w:b/>
                <w:bCs/>
                <w:color w:val="auto"/>
                <w:szCs w:val="24"/>
              </w:rPr>
              <w:t>Equates in years to</w:t>
            </w:r>
          </w:p>
        </w:tc>
        <w:tc>
          <w:tcPr>
            <w:tcW w:w="1842" w:type="dxa"/>
            <w:shd w:val="clear" w:color="auto" w:fill="D9D9D9"/>
            <w:noWrap/>
            <w:hideMark/>
          </w:tcPr>
          <w:p w14:paraId="489FA1CA" w14:textId="468B5255" w:rsidR="00D9165E" w:rsidRPr="00E56F9C" w:rsidRDefault="008D51D6" w:rsidP="00A44712">
            <w:pPr>
              <w:keepNext w:val="0"/>
              <w:spacing w:before="0"/>
              <w:jc w:val="right"/>
              <w:rPr>
                <w:rFonts w:cs="Arial"/>
                <w:b/>
                <w:bCs/>
                <w:color w:val="005EAC"/>
                <w:szCs w:val="24"/>
              </w:rPr>
            </w:pPr>
            <w:r w:rsidRPr="00E56F9C">
              <w:rPr>
                <w:rFonts w:cs="Arial"/>
                <w:b/>
                <w:bCs/>
                <w:strike/>
                <w:color w:val="005EAC"/>
                <w:szCs w:val="24"/>
              </w:rPr>
              <w:t>6.</w:t>
            </w:r>
            <w:r w:rsidR="00954FA6" w:rsidRPr="00E56F9C">
              <w:rPr>
                <w:rFonts w:cs="Arial"/>
                <w:b/>
                <w:bCs/>
                <w:strike/>
                <w:color w:val="005EAC"/>
                <w:szCs w:val="24"/>
              </w:rPr>
              <w:t>38</w:t>
            </w:r>
            <w:r w:rsidR="00BD39EF" w:rsidRPr="00E56F9C">
              <w:rPr>
                <w:rFonts w:cs="Arial"/>
                <w:b/>
                <w:bCs/>
                <w:color w:val="005EAC"/>
                <w:szCs w:val="24"/>
              </w:rPr>
              <w:t xml:space="preserve"> 5.91</w:t>
            </w:r>
          </w:p>
        </w:tc>
      </w:tr>
      <w:tr w:rsidR="000663FF" w:rsidRPr="000663FF" w14:paraId="3D599A77" w14:textId="77777777" w:rsidTr="00BA3F88">
        <w:trPr>
          <w:trHeight w:val="480"/>
        </w:trPr>
        <w:tc>
          <w:tcPr>
            <w:tcW w:w="7230" w:type="dxa"/>
            <w:shd w:val="clear" w:color="auto" w:fill="D9D9D9"/>
            <w:hideMark/>
          </w:tcPr>
          <w:p w14:paraId="5FF917F4" w14:textId="77777777" w:rsidR="00D9165E" w:rsidRPr="000663FF" w:rsidRDefault="00D9165E" w:rsidP="00A44712">
            <w:pPr>
              <w:keepNext w:val="0"/>
              <w:spacing w:before="0"/>
              <w:rPr>
                <w:rFonts w:cs="Arial"/>
                <w:b/>
                <w:bCs/>
                <w:color w:val="auto"/>
                <w:szCs w:val="24"/>
              </w:rPr>
            </w:pPr>
            <w:r w:rsidRPr="000663FF">
              <w:rPr>
                <w:rFonts w:cs="Arial"/>
                <w:b/>
                <w:bCs/>
                <w:color w:val="auto"/>
                <w:szCs w:val="24"/>
              </w:rPr>
              <w:t>Oversupply (+) or undersupply (-) of dwellings</w:t>
            </w:r>
          </w:p>
        </w:tc>
        <w:tc>
          <w:tcPr>
            <w:tcW w:w="1842" w:type="dxa"/>
            <w:shd w:val="clear" w:color="auto" w:fill="D9D9D9"/>
            <w:noWrap/>
            <w:hideMark/>
          </w:tcPr>
          <w:p w14:paraId="7218D2BD" w14:textId="64488958" w:rsidR="00D9165E" w:rsidRPr="00E56F9C" w:rsidRDefault="00954FA6" w:rsidP="00A44712">
            <w:pPr>
              <w:keepNext w:val="0"/>
              <w:spacing w:before="0"/>
              <w:jc w:val="right"/>
              <w:rPr>
                <w:rFonts w:cs="Arial"/>
                <w:b/>
                <w:bCs/>
                <w:color w:val="005EAC"/>
                <w:szCs w:val="24"/>
              </w:rPr>
            </w:pPr>
            <w:proofErr w:type="gramStart"/>
            <w:r w:rsidRPr="00E56F9C">
              <w:rPr>
                <w:rFonts w:cs="Arial"/>
                <w:b/>
                <w:bCs/>
                <w:strike/>
                <w:color w:val="005EAC"/>
                <w:szCs w:val="24"/>
              </w:rPr>
              <w:t>737</w:t>
            </w:r>
            <w:r w:rsidR="00BD39EF" w:rsidRPr="00E56F9C">
              <w:rPr>
                <w:rFonts w:cs="Arial"/>
                <w:b/>
                <w:bCs/>
                <w:color w:val="005EAC"/>
                <w:szCs w:val="24"/>
              </w:rPr>
              <w:t xml:space="preserve">  427</w:t>
            </w:r>
            <w:proofErr w:type="gramEnd"/>
          </w:p>
        </w:tc>
      </w:tr>
    </w:tbl>
    <w:p w14:paraId="3A866343" w14:textId="5B8D4263" w:rsidR="0073396F" w:rsidRPr="00B5314A" w:rsidRDefault="0073396F" w:rsidP="00BA3F88">
      <w:pPr>
        <w:rPr>
          <w:b/>
          <w:bCs/>
          <w:color w:val="auto"/>
          <w:sz w:val="16"/>
          <w:szCs w:val="16"/>
        </w:rPr>
      </w:pPr>
      <w:r w:rsidRPr="000663FF">
        <w:rPr>
          <w:rFonts w:cs="Arial"/>
          <w:color w:val="auto"/>
          <w:sz w:val="20"/>
          <w:vertAlign w:val="superscript"/>
        </w:rPr>
        <w:t>#</w:t>
      </w:r>
      <w:r w:rsidRPr="000663FF">
        <w:rPr>
          <w:rFonts w:cs="Arial"/>
          <w:color w:val="auto"/>
          <w:sz w:val="20"/>
        </w:rPr>
        <w:t xml:space="preserve"> dwelling equivalent based on planning practice guidance ratio of 1.</w:t>
      </w:r>
      <w:r w:rsidRPr="00BD39EF">
        <w:rPr>
          <w:rFonts w:cs="Arial"/>
          <w:strike/>
          <w:color w:val="auto"/>
          <w:sz w:val="20"/>
        </w:rPr>
        <w:t>8</w:t>
      </w:r>
      <w:r w:rsidR="00BD39EF">
        <w:rPr>
          <w:rFonts w:cs="Arial"/>
          <w:color w:val="auto"/>
          <w:sz w:val="20"/>
        </w:rPr>
        <w:t xml:space="preserve"> </w:t>
      </w:r>
      <w:r w:rsidR="00BD39EF" w:rsidRPr="00BD39EF">
        <w:rPr>
          <w:rFonts w:cs="Arial"/>
          <w:color w:val="0070C0"/>
          <w:sz w:val="20"/>
        </w:rPr>
        <w:t>9</w:t>
      </w:r>
      <w:r w:rsidR="00B5314A">
        <w:rPr>
          <w:rFonts w:cs="Arial"/>
          <w:color w:val="auto"/>
          <w:sz w:val="20"/>
        </w:rPr>
        <w:br/>
      </w:r>
    </w:p>
    <w:p w14:paraId="01BC5458" w14:textId="77777777" w:rsidR="001A1EBE" w:rsidRDefault="001A1EBE" w:rsidP="001A1EBE">
      <w:pPr>
        <w:rPr>
          <w:szCs w:val="24"/>
          <w:u w:val="single"/>
        </w:rPr>
      </w:pPr>
      <w:r w:rsidRPr="00A5524C">
        <w:rPr>
          <w:szCs w:val="24"/>
        </w:rPr>
        <w:t xml:space="preserve">It should be noted that the Council do not ordinarily include a small site windfall allowance in the </w:t>
      </w:r>
      <w:r w:rsidRPr="001A1EBE">
        <w:rPr>
          <w:color w:val="0070C0"/>
          <w:szCs w:val="24"/>
        </w:rPr>
        <w:t xml:space="preserve">first 3 years of the </w:t>
      </w:r>
      <w:r w:rsidRPr="00A5524C">
        <w:rPr>
          <w:szCs w:val="24"/>
        </w:rPr>
        <w:t xml:space="preserve">5YHLS calculation.  However, </w:t>
      </w:r>
      <w:r w:rsidRPr="00A5524C">
        <w:rPr>
          <w:strike/>
          <w:szCs w:val="24"/>
        </w:rPr>
        <w:t>as</w:t>
      </w:r>
      <w:r w:rsidRPr="00A5524C">
        <w:rPr>
          <w:szCs w:val="24"/>
        </w:rPr>
        <w:t xml:space="preserve"> this calculation relates to the post adoption </w:t>
      </w:r>
      <w:proofErr w:type="gramStart"/>
      <w:r w:rsidRPr="00A5524C">
        <w:rPr>
          <w:szCs w:val="24"/>
        </w:rPr>
        <w:t>time period</w:t>
      </w:r>
      <w:proofErr w:type="gramEnd"/>
      <w:r w:rsidRPr="00A5524C">
        <w:rPr>
          <w:szCs w:val="24"/>
        </w:rPr>
        <w:t xml:space="preserve"> </w:t>
      </w:r>
      <w:r w:rsidRPr="00A5524C">
        <w:rPr>
          <w:strike/>
          <w:szCs w:val="24"/>
        </w:rPr>
        <w:t>2025</w:t>
      </w:r>
      <w:r w:rsidRPr="00A5524C">
        <w:rPr>
          <w:szCs w:val="24"/>
        </w:rPr>
        <w:t xml:space="preserve"> </w:t>
      </w:r>
      <w:r w:rsidRPr="001A1EBE">
        <w:rPr>
          <w:color w:val="0070C0"/>
          <w:szCs w:val="24"/>
        </w:rPr>
        <w:t>2026</w:t>
      </w:r>
      <w:r w:rsidRPr="00A5524C">
        <w:rPr>
          <w:szCs w:val="24"/>
        </w:rPr>
        <w:t xml:space="preserve"> to 2030 </w:t>
      </w:r>
      <w:r w:rsidRPr="00DA47AB">
        <w:rPr>
          <w:color w:val="2E74B5" w:themeColor="accent5" w:themeShade="BF"/>
          <w:szCs w:val="24"/>
        </w:rPr>
        <w:t>and</w:t>
      </w:r>
      <w:r w:rsidRPr="00A5524C">
        <w:rPr>
          <w:b/>
          <w:bCs/>
          <w:szCs w:val="24"/>
        </w:rPr>
        <w:t xml:space="preserve"> </w:t>
      </w:r>
      <w:r w:rsidRPr="00A5524C">
        <w:rPr>
          <w:szCs w:val="24"/>
        </w:rPr>
        <w:t>it is appropriate to include a figure for year 2028-</w:t>
      </w:r>
      <w:r w:rsidRPr="00A5524C">
        <w:rPr>
          <w:strike/>
          <w:szCs w:val="24"/>
        </w:rPr>
        <w:t>2030</w:t>
      </w:r>
      <w:r w:rsidRPr="00A5524C">
        <w:rPr>
          <w:szCs w:val="24"/>
        </w:rPr>
        <w:t xml:space="preserve"> </w:t>
      </w:r>
      <w:r w:rsidRPr="001A1EBE">
        <w:rPr>
          <w:color w:val="0070C0"/>
          <w:szCs w:val="24"/>
        </w:rPr>
        <w:t xml:space="preserve">/2029 </w:t>
      </w:r>
      <w:proofErr w:type="gramStart"/>
      <w:r w:rsidRPr="001A1EBE">
        <w:rPr>
          <w:color w:val="0070C0"/>
          <w:szCs w:val="24"/>
        </w:rPr>
        <w:t>as</w:t>
      </w:r>
      <w:r w:rsidRPr="001A1EBE">
        <w:rPr>
          <w:b/>
          <w:bCs/>
          <w:color w:val="0070C0"/>
          <w:szCs w:val="24"/>
        </w:rPr>
        <w:t xml:space="preserve"> </w:t>
      </w:r>
      <w:r w:rsidRPr="001A1EBE">
        <w:rPr>
          <w:strike/>
          <w:color w:val="0070C0"/>
          <w:szCs w:val="24"/>
        </w:rPr>
        <w:t xml:space="preserve"> </w:t>
      </w:r>
      <w:r w:rsidRPr="00A5524C">
        <w:rPr>
          <w:strike/>
          <w:szCs w:val="24"/>
        </w:rPr>
        <w:t>and</w:t>
      </w:r>
      <w:proofErr w:type="gramEnd"/>
      <w:r w:rsidRPr="00A5524C">
        <w:rPr>
          <w:strike/>
          <w:szCs w:val="24"/>
        </w:rPr>
        <w:t xml:space="preserve"> is offset by excluding</w:t>
      </w:r>
      <w:r w:rsidRPr="00A5524C">
        <w:rPr>
          <w:szCs w:val="24"/>
        </w:rPr>
        <w:t xml:space="preserve"> potential delivery from current planning permissions for </w:t>
      </w:r>
      <w:r w:rsidRPr="00A5524C">
        <w:rPr>
          <w:strike/>
          <w:szCs w:val="24"/>
        </w:rPr>
        <w:t>the years 2023-2025</w:t>
      </w:r>
      <w:r w:rsidRPr="00A5524C">
        <w:rPr>
          <w:szCs w:val="24"/>
        </w:rPr>
        <w:t xml:space="preserve"> </w:t>
      </w:r>
      <w:r w:rsidRPr="001A1EBE">
        <w:rPr>
          <w:color w:val="0070C0"/>
          <w:szCs w:val="24"/>
        </w:rPr>
        <w:t>2025/2026 reflect the first year of the actual accounting period but will not be counted.</w:t>
      </w:r>
    </w:p>
    <w:p w14:paraId="46F506FD" w14:textId="01C00778" w:rsidR="00F325CB" w:rsidRPr="00F325CB" w:rsidRDefault="00F325CB" w:rsidP="00F325CB">
      <w:pPr>
        <w:tabs>
          <w:tab w:val="left" w:pos="4140"/>
        </w:tabs>
        <w:rPr>
          <w:szCs w:val="24"/>
        </w:rPr>
        <w:sectPr w:rsidR="00F325CB" w:rsidRPr="00F325CB" w:rsidSect="000A31CA">
          <w:headerReference w:type="default" r:id="rId62"/>
          <w:pgSz w:w="11906" w:h="16838" w:code="9"/>
          <w:pgMar w:top="1258" w:right="1133" w:bottom="1079" w:left="1134" w:header="709" w:footer="709" w:gutter="0"/>
          <w:cols w:space="708"/>
          <w:docGrid w:linePitch="360"/>
        </w:sectPr>
      </w:pPr>
      <w:r w:rsidRPr="000663FF">
        <w:rPr>
          <w:color w:val="auto"/>
          <w:szCs w:val="24"/>
        </w:rPr>
        <w:tab/>
      </w:r>
    </w:p>
    <w:p w14:paraId="4F04B8BE" w14:textId="72A95245" w:rsidR="006C686F" w:rsidRDefault="006C686F" w:rsidP="005B39D2">
      <w:pPr>
        <w:keepNext w:val="0"/>
        <w:autoSpaceDE w:val="0"/>
        <w:autoSpaceDN w:val="0"/>
        <w:adjustRightInd w:val="0"/>
        <w:spacing w:before="0"/>
        <w:rPr>
          <w:b/>
          <w:bCs/>
          <w:color w:val="auto"/>
          <w:sz w:val="28"/>
          <w:szCs w:val="28"/>
        </w:rPr>
      </w:pPr>
      <w:r>
        <w:rPr>
          <w:b/>
          <w:bCs/>
          <w:color w:val="auto"/>
          <w:sz w:val="28"/>
          <w:szCs w:val="28"/>
        </w:rPr>
        <w:lastRenderedPageBreak/>
        <w:t>Anticipated Annual Housing Delivery by Site</w:t>
      </w:r>
    </w:p>
    <w:p w14:paraId="64C61A73" w14:textId="1EF19182" w:rsidR="006C686F" w:rsidRDefault="006C686F" w:rsidP="005B39D2">
      <w:pPr>
        <w:keepNext w:val="0"/>
        <w:autoSpaceDE w:val="0"/>
        <w:autoSpaceDN w:val="0"/>
        <w:adjustRightInd w:val="0"/>
        <w:spacing w:before="0"/>
        <w:rPr>
          <w:b/>
          <w:bCs/>
          <w:color w:val="auto"/>
          <w:sz w:val="28"/>
          <w:szCs w:val="28"/>
        </w:rPr>
      </w:pPr>
    </w:p>
    <w:p w14:paraId="0EC3A567" w14:textId="77777777" w:rsidR="006C686F" w:rsidRPr="006C686F" w:rsidRDefault="006C686F" w:rsidP="006C686F">
      <w:pPr>
        <w:keepNext w:val="0"/>
        <w:spacing w:before="0"/>
        <w:rPr>
          <w:rFonts w:cs="Arial"/>
          <w:color w:val="auto"/>
          <w:szCs w:val="24"/>
        </w:rPr>
      </w:pPr>
      <w:r w:rsidRPr="006C686F">
        <w:rPr>
          <w:rFonts w:cs="Arial"/>
          <w:color w:val="auto"/>
          <w:szCs w:val="24"/>
        </w:rPr>
        <w:t>The following schedule gives details of anticipated delivery on individual sites where the yield exceeds 10 dwellings, together with a summary of delivery on smaller sites.</w:t>
      </w:r>
    </w:p>
    <w:p w14:paraId="3467F900" w14:textId="77777777" w:rsidR="006C686F" w:rsidRDefault="006C686F" w:rsidP="005B39D2">
      <w:pPr>
        <w:keepNext w:val="0"/>
        <w:autoSpaceDE w:val="0"/>
        <w:autoSpaceDN w:val="0"/>
        <w:adjustRightInd w:val="0"/>
        <w:spacing w:before="0"/>
        <w:rPr>
          <w:b/>
          <w:bCs/>
          <w:color w:val="auto"/>
          <w:sz w:val="28"/>
          <w:szCs w:val="28"/>
        </w:rPr>
      </w:pPr>
    </w:p>
    <w:p w14:paraId="6C8413F3" w14:textId="5D5E7FD4" w:rsidR="006C686F" w:rsidRPr="007B2953" w:rsidRDefault="007B2953" w:rsidP="005B39D2">
      <w:pPr>
        <w:keepNext w:val="0"/>
        <w:autoSpaceDE w:val="0"/>
        <w:autoSpaceDN w:val="0"/>
        <w:adjustRightInd w:val="0"/>
        <w:spacing w:before="0"/>
        <w:rPr>
          <w:color w:val="auto"/>
          <w:szCs w:val="24"/>
          <w:u w:val="single"/>
        </w:rPr>
      </w:pPr>
      <w:r w:rsidRPr="007B2953">
        <w:rPr>
          <w:color w:val="auto"/>
          <w:szCs w:val="24"/>
          <w:u w:val="single"/>
        </w:rPr>
        <w:t>Hucknall Area</w:t>
      </w:r>
    </w:p>
    <w:p w14:paraId="0D5AD8B6" w14:textId="139C53B3" w:rsidR="007B2953" w:rsidRDefault="00663568" w:rsidP="005B39D2">
      <w:pPr>
        <w:keepNext w:val="0"/>
        <w:autoSpaceDE w:val="0"/>
        <w:autoSpaceDN w:val="0"/>
        <w:adjustRightInd w:val="0"/>
        <w:spacing w:before="0"/>
        <w:rPr>
          <w:b/>
          <w:bCs/>
          <w:color w:val="auto"/>
          <w:sz w:val="28"/>
          <w:szCs w:val="28"/>
        </w:rPr>
      </w:pPr>
      <w:r>
        <w:rPr>
          <w:b/>
          <w:bCs/>
          <w:noProof/>
          <w:color w:val="auto"/>
          <w:sz w:val="28"/>
          <w:szCs w:val="28"/>
        </w:rPr>
        <mc:AlternateContent>
          <mc:Choice Requires="wps">
            <w:drawing>
              <wp:anchor distT="0" distB="0" distL="114300" distR="114300" simplePos="0" relativeHeight="251658255" behindDoc="0" locked="0" layoutInCell="1" allowOverlap="1" wp14:anchorId="6F43C15B" wp14:editId="667F4FE3">
                <wp:simplePos x="0" y="0"/>
                <wp:positionH relativeFrom="column">
                  <wp:posOffset>-104141</wp:posOffset>
                </wp:positionH>
                <wp:positionV relativeFrom="paragraph">
                  <wp:posOffset>149860</wp:posOffset>
                </wp:positionV>
                <wp:extent cx="13763625" cy="5924550"/>
                <wp:effectExtent l="0" t="0" r="28575" b="19050"/>
                <wp:wrapNone/>
                <wp:docPr id="860647087" name="Straight Connector 1"/>
                <wp:cNvGraphicFramePr/>
                <a:graphic xmlns:a="http://schemas.openxmlformats.org/drawingml/2006/main">
                  <a:graphicData uri="http://schemas.microsoft.com/office/word/2010/wordprocessingShape">
                    <wps:wsp>
                      <wps:cNvCnPr/>
                      <wps:spPr>
                        <a:xfrm>
                          <a:off x="0" y="0"/>
                          <a:ext cx="13763625" cy="59245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arto="http://schemas.microsoft.com/office/word/2006/arto">
            <w:pict>
              <v:line w14:anchorId="0BF925E0" id="Straight Connector 1"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8.2pt,11.8pt" to="1075.55pt,4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" strokecolor="black [3200]" strokeweight="1.5pt">
                <v:stroke joinstyle="miter"/>
              </v:line>
            </w:pict>
          </mc:Fallback>
        </mc:AlternateContent>
      </w:r>
    </w:p>
    <w:p w14:paraId="5E4C31AC" w14:textId="2DB51AEA" w:rsidR="00E10D5A" w:rsidRDefault="00AB4836">
      <w:pPr>
        <w:keepNext w:val="0"/>
        <w:spacing w:before="0"/>
        <w:rPr>
          <w:b/>
          <w:bCs/>
          <w:color w:val="auto"/>
          <w:sz w:val="28"/>
          <w:szCs w:val="28"/>
        </w:rPr>
      </w:pPr>
      <w:r>
        <w:rPr>
          <w:noProof/>
        </w:rPr>
        <mc:AlternateContent>
          <mc:Choice Requires="wpi">
            <w:drawing>
              <wp:anchor distT="0" distB="0" distL="114300" distR="114300" simplePos="0" relativeHeight="251658249" behindDoc="0" locked="0" layoutInCell="1" allowOverlap="1" wp14:anchorId="44C84D6C" wp14:editId="11E17070">
                <wp:simplePos x="0" y="0"/>
                <wp:positionH relativeFrom="column">
                  <wp:posOffset>-313503</wp:posOffset>
                </wp:positionH>
                <wp:positionV relativeFrom="paragraph">
                  <wp:posOffset>-197268</wp:posOffset>
                </wp:positionV>
                <wp:extent cx="14141880" cy="6082560"/>
                <wp:effectExtent l="57150" t="57150" r="50800" b="52070"/>
                <wp:wrapNone/>
                <wp:docPr id="1428016509" name="Ink 4"/>
                <wp:cNvGraphicFramePr/>
                <a:graphic xmlns:a="http://schemas.openxmlformats.org/drawingml/2006/main">
                  <a:graphicData uri="http://schemas.microsoft.com/office/word/2010/wordprocessingInk">
                    <w14:contentPart bwMode="auto" r:id="rId63">
                      <w14:nvContentPartPr>
                        <w14:cNvContentPartPr/>
                      </w14:nvContentPartPr>
                      <w14:xfrm>
                        <a:off x="0" y="0"/>
                        <a:ext cx="14141880" cy="6082560"/>
                      </w14:xfrm>
                    </w14:contentPart>
                  </a:graphicData>
                </a:graphic>
              </wp:anchor>
            </w:drawing>
          </mc:Choice>
          <mc:Fallback xmlns:arto="http://schemas.microsoft.com/office/word/2006/arto">
            <w:pict>
              <v:shapetype w14:anchorId="027F70E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 o:spid="_x0000_s1026" type="#_x0000_t75" style="position:absolute;margin-left:-25.4pt;margin-top:-16.25pt;width:1114.95pt;height:480.4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">
                <v:imagedata r:id="rId68" o:title=""/>
              </v:shape>
            </w:pict>
          </mc:Fallback>
        </mc:AlternateContent>
      </w:r>
      <w:r w:rsidR="003820F9" w:rsidRPr="00AB4836">
        <w:rPr>
          <w:noProof/>
        </w:rPr>
        <w:drawing>
          <wp:inline distT="0" distB="0" distL="0" distR="0" wp14:anchorId="703EA4AD" wp14:editId="1C6F2B73">
            <wp:extent cx="13622670" cy="5816009"/>
            <wp:effectExtent l="0" t="0" r="0" b="0"/>
            <wp:docPr id="728926761" name="Picture 2" descr="Anticipated Annual Housing Delivery by Site - Hucknall Area. Note: this table has been struck out in the proposed modification version of th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26761" name="Picture 2" descr="Anticipated Annual Housing Delivery by Site - Hucknall Area. Note: this table has been struck out in the proposed modification version of the Pla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659474" cy="5831722"/>
                    </a:xfrm>
                    <a:prstGeom prst="rect">
                      <a:avLst/>
                    </a:prstGeom>
                    <a:noFill/>
                    <a:ln>
                      <a:noFill/>
                    </a:ln>
                  </pic:spPr>
                </pic:pic>
              </a:graphicData>
            </a:graphic>
          </wp:inline>
        </w:drawing>
      </w:r>
    </w:p>
    <w:p w14:paraId="03A5ACB6" w14:textId="3B4907A3" w:rsidR="00ED6A06" w:rsidRDefault="004E73DE">
      <w:pPr>
        <w:keepNext w:val="0"/>
        <w:spacing w:before="0"/>
        <w:rPr>
          <w:color w:val="auto"/>
          <w:szCs w:val="24"/>
          <w:u w:val="single"/>
        </w:rPr>
      </w:pPr>
      <w:r>
        <w:rPr>
          <w:color w:val="auto"/>
          <w:szCs w:val="24"/>
          <w:u w:val="single"/>
        </w:rPr>
        <w:br w:type="page"/>
      </w:r>
      <w:r w:rsidR="00ED6A06" w:rsidRPr="00ED6A06">
        <w:rPr>
          <w:noProof/>
        </w:rPr>
        <w:lastRenderedPageBreak/>
        <w:drawing>
          <wp:inline distT="0" distB="0" distL="0" distR="0" wp14:anchorId="78080D48" wp14:editId="5A8F7171">
            <wp:extent cx="13684438" cy="7197505"/>
            <wp:effectExtent l="0" t="0" r="0" b="3810"/>
            <wp:docPr id="1471862403" name="Picture 2" descr="Table showing the status of different sites allocated for housing development in the Hucknall area. Sites below the first yellow row do not have planning permission. Sites below the second yellow row have full or reserved or detailed planning pe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62403" name="Picture 2" descr="Table showing the status of different sites allocated for housing development in the Hucknall area. Sites below the first yellow row do not have planning permission. Sites below the second yellow row have full or reserved or detailed planning permissio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703566" cy="7207566"/>
                    </a:xfrm>
                    <a:prstGeom prst="rect">
                      <a:avLst/>
                    </a:prstGeom>
                    <a:noFill/>
                    <a:ln>
                      <a:noFill/>
                    </a:ln>
                  </pic:spPr>
                </pic:pic>
              </a:graphicData>
            </a:graphic>
          </wp:inline>
        </w:drawing>
      </w:r>
    </w:p>
    <w:p w14:paraId="3D530C6B" w14:textId="77777777" w:rsidR="004E73DE" w:rsidRDefault="004E73DE">
      <w:pPr>
        <w:keepNext w:val="0"/>
        <w:spacing w:before="0"/>
        <w:rPr>
          <w:color w:val="auto"/>
          <w:szCs w:val="24"/>
          <w:u w:val="single"/>
        </w:rPr>
      </w:pPr>
    </w:p>
    <w:p w14:paraId="27950620" w14:textId="77777777" w:rsidR="00ED6A06" w:rsidRDefault="00ED6A06">
      <w:pPr>
        <w:keepNext w:val="0"/>
        <w:spacing w:before="0"/>
        <w:rPr>
          <w:color w:val="auto"/>
          <w:szCs w:val="24"/>
          <w:u w:val="single"/>
        </w:rPr>
      </w:pPr>
      <w:r>
        <w:rPr>
          <w:color w:val="auto"/>
          <w:szCs w:val="24"/>
          <w:u w:val="single"/>
        </w:rPr>
        <w:br w:type="page"/>
      </w:r>
    </w:p>
    <w:p w14:paraId="0694C79D" w14:textId="03712B41" w:rsidR="00E10D5A" w:rsidRPr="00E10D5A" w:rsidRDefault="00E10D5A">
      <w:pPr>
        <w:keepNext w:val="0"/>
        <w:spacing w:before="0"/>
        <w:rPr>
          <w:color w:val="auto"/>
          <w:szCs w:val="24"/>
          <w:u w:val="single"/>
        </w:rPr>
      </w:pPr>
      <w:r w:rsidRPr="00E10D5A">
        <w:rPr>
          <w:color w:val="auto"/>
          <w:szCs w:val="24"/>
          <w:u w:val="single"/>
        </w:rPr>
        <w:lastRenderedPageBreak/>
        <w:t>Kirkby Area</w:t>
      </w:r>
    </w:p>
    <w:p w14:paraId="502860B6" w14:textId="69BA8978" w:rsidR="00E10D5A" w:rsidRDefault="000D2322">
      <w:pPr>
        <w:keepNext w:val="0"/>
        <w:spacing w:before="0"/>
        <w:rPr>
          <w:b/>
          <w:bCs/>
          <w:color w:val="auto"/>
          <w:sz w:val="28"/>
          <w:szCs w:val="28"/>
        </w:rPr>
      </w:pPr>
      <w:r>
        <w:rPr>
          <w:b/>
          <w:bCs/>
          <w:noProof/>
          <w:color w:val="auto"/>
          <w:sz w:val="28"/>
          <w:szCs w:val="28"/>
        </w:rPr>
        <mc:AlternateContent>
          <mc:Choice Requires="wps">
            <w:drawing>
              <wp:anchor distT="0" distB="0" distL="114300" distR="114300" simplePos="0" relativeHeight="251658250" behindDoc="0" locked="0" layoutInCell="1" allowOverlap="1" wp14:anchorId="3438A320" wp14:editId="77164D82">
                <wp:simplePos x="0" y="0"/>
                <wp:positionH relativeFrom="column">
                  <wp:posOffset>-151011</wp:posOffset>
                </wp:positionH>
                <wp:positionV relativeFrom="paragraph">
                  <wp:posOffset>84769</wp:posOffset>
                </wp:positionV>
                <wp:extent cx="14032872" cy="4653482"/>
                <wp:effectExtent l="0" t="0" r="26035" b="33020"/>
                <wp:wrapNone/>
                <wp:docPr id="2060488812" name="Straight Connector 7"/>
                <wp:cNvGraphicFramePr/>
                <a:graphic xmlns:a="http://schemas.openxmlformats.org/drawingml/2006/main">
                  <a:graphicData uri="http://schemas.microsoft.com/office/word/2010/wordprocessingShape">
                    <wps:wsp>
                      <wps:cNvCnPr/>
                      <wps:spPr>
                        <a:xfrm>
                          <a:off x="0" y="0"/>
                          <a:ext cx="14032872" cy="4653482"/>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arto="http://schemas.microsoft.com/office/word/2006/arto">
            <w:pict>
              <v:line w14:anchorId="10767B9D" id="Straight Connector 7"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1.9pt,6.65pt" to="1093.05pt,3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" strokecolor="black [3200]" strokeweight="1.5pt">
                <v:stroke joinstyle="miter"/>
              </v:line>
            </w:pict>
          </mc:Fallback>
        </mc:AlternateContent>
      </w:r>
    </w:p>
    <w:p w14:paraId="189FE8E7" w14:textId="573E41C4" w:rsidR="006C4B5A" w:rsidRDefault="006141BF">
      <w:pPr>
        <w:keepNext w:val="0"/>
        <w:spacing w:before="0"/>
        <w:rPr>
          <w:b/>
          <w:bCs/>
          <w:color w:val="auto"/>
          <w:sz w:val="28"/>
          <w:szCs w:val="28"/>
        </w:rPr>
      </w:pPr>
      <w:r w:rsidRPr="006141BF">
        <w:rPr>
          <w:noProof/>
        </w:rPr>
        <w:drawing>
          <wp:inline distT="0" distB="0" distL="0" distR="0" wp14:anchorId="6822D237" wp14:editId="4E4DAD1A">
            <wp:extent cx="13612095" cy="4446624"/>
            <wp:effectExtent l="19050" t="19050" r="8890" b="11430"/>
            <wp:docPr id="28" name="Picture 28" descr="Table showing the expected housing trajectory for sites in the Kirkby area. Please note that this table has been struck out in the proposed modification version of the Loca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 showing the expected housing trajectory for sites in the Kirkby area. Please note that this table has been struck out in the proposed modification version of the Local Pla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631281" cy="4452891"/>
                    </a:xfrm>
                    <a:prstGeom prst="rect">
                      <a:avLst/>
                    </a:prstGeom>
                    <a:noFill/>
                    <a:ln>
                      <a:solidFill>
                        <a:schemeClr val="tx1"/>
                      </a:solidFill>
                    </a:ln>
                  </pic:spPr>
                </pic:pic>
              </a:graphicData>
            </a:graphic>
          </wp:inline>
        </w:drawing>
      </w:r>
    </w:p>
    <w:p w14:paraId="69F19A98" w14:textId="77FE0C3C" w:rsidR="00B71241" w:rsidRDefault="00AD472B">
      <w:pPr>
        <w:keepNext w:val="0"/>
        <w:spacing w:before="0"/>
        <w:rPr>
          <w:b/>
          <w:bCs/>
          <w:color w:val="auto"/>
          <w:sz w:val="28"/>
          <w:szCs w:val="28"/>
        </w:rPr>
      </w:pPr>
      <w:r>
        <w:rPr>
          <w:b/>
          <w:bCs/>
          <w:color w:val="auto"/>
          <w:sz w:val="28"/>
          <w:szCs w:val="28"/>
        </w:rPr>
        <w:br w:type="page"/>
      </w:r>
      <w:r w:rsidR="00B71241" w:rsidRPr="00B71241">
        <w:rPr>
          <w:noProof/>
        </w:rPr>
        <w:lastRenderedPageBreak/>
        <w:drawing>
          <wp:inline distT="0" distB="0" distL="0" distR="0" wp14:anchorId="03EF616B" wp14:editId="391F73DD">
            <wp:extent cx="13888121" cy="7568697"/>
            <wp:effectExtent l="0" t="0" r="0" b="0"/>
            <wp:docPr id="1584284007" name="Picture 8" descr="Table showing the status of different sites allocated for housing development in the Kirkbyl area. Sites below the second row highlighted in yellow do not have planning pe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84007" name="Picture 8" descr="Table showing the status of different sites allocated for housing development in the Kirkbyl area. Sites below the second row highlighted in yellow do not have planning permissio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906106" cy="7578498"/>
                    </a:xfrm>
                    <a:prstGeom prst="rect">
                      <a:avLst/>
                    </a:prstGeom>
                    <a:noFill/>
                    <a:ln>
                      <a:noFill/>
                    </a:ln>
                  </pic:spPr>
                </pic:pic>
              </a:graphicData>
            </a:graphic>
          </wp:inline>
        </w:drawing>
      </w:r>
    </w:p>
    <w:p w14:paraId="22B25716" w14:textId="77777777" w:rsidR="00AD472B" w:rsidRDefault="00AD472B">
      <w:pPr>
        <w:keepNext w:val="0"/>
        <w:spacing w:before="0"/>
        <w:rPr>
          <w:b/>
          <w:bCs/>
          <w:color w:val="auto"/>
          <w:sz w:val="28"/>
          <w:szCs w:val="28"/>
        </w:rPr>
      </w:pPr>
    </w:p>
    <w:p w14:paraId="414D05D7" w14:textId="77777777" w:rsidR="00B71241" w:rsidRDefault="00B71241">
      <w:pPr>
        <w:keepNext w:val="0"/>
        <w:spacing w:before="0"/>
        <w:rPr>
          <w:color w:val="auto"/>
          <w:szCs w:val="24"/>
          <w:u w:val="single"/>
        </w:rPr>
      </w:pPr>
      <w:r>
        <w:rPr>
          <w:color w:val="auto"/>
          <w:szCs w:val="24"/>
          <w:u w:val="single"/>
        </w:rPr>
        <w:br w:type="page"/>
      </w:r>
    </w:p>
    <w:p w14:paraId="0803D24E" w14:textId="0A40EE2E" w:rsidR="00B71241" w:rsidRDefault="00B71241">
      <w:pPr>
        <w:keepNext w:val="0"/>
        <w:spacing w:before="0"/>
        <w:rPr>
          <w:color w:val="auto"/>
          <w:szCs w:val="24"/>
          <w:u w:val="single"/>
        </w:rPr>
      </w:pPr>
      <w:r w:rsidRPr="00B71241">
        <w:rPr>
          <w:noProof/>
        </w:rPr>
        <w:lastRenderedPageBreak/>
        <w:drawing>
          <wp:inline distT="0" distB="0" distL="0" distR="0" wp14:anchorId="631372A2" wp14:editId="5B12AFC1">
            <wp:extent cx="13575336" cy="4562946"/>
            <wp:effectExtent l="0" t="0" r="7620" b="9525"/>
            <wp:docPr id="1504588609" name="Picture 9" descr="Table showing the status of different sites allocated for housing development in the Kirkby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88609" name="Picture 9" descr="Table showing the status of different sites allocated for housing development in the Kirkby area.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591978" cy="4568540"/>
                    </a:xfrm>
                    <a:prstGeom prst="rect">
                      <a:avLst/>
                    </a:prstGeom>
                    <a:noFill/>
                    <a:ln>
                      <a:noFill/>
                    </a:ln>
                  </pic:spPr>
                </pic:pic>
              </a:graphicData>
            </a:graphic>
          </wp:inline>
        </w:drawing>
      </w:r>
    </w:p>
    <w:p w14:paraId="1F1D4157" w14:textId="77777777" w:rsidR="00B71241" w:rsidRDefault="00B71241">
      <w:pPr>
        <w:keepNext w:val="0"/>
        <w:spacing w:before="0"/>
        <w:rPr>
          <w:color w:val="auto"/>
          <w:szCs w:val="24"/>
          <w:u w:val="single"/>
        </w:rPr>
      </w:pPr>
      <w:r>
        <w:rPr>
          <w:color w:val="auto"/>
          <w:szCs w:val="24"/>
          <w:u w:val="single"/>
        </w:rPr>
        <w:br w:type="page"/>
      </w:r>
    </w:p>
    <w:p w14:paraId="606E10A4" w14:textId="5BCECD12" w:rsidR="00AD472B" w:rsidRPr="00E10D5A" w:rsidRDefault="00863823" w:rsidP="00AD472B">
      <w:pPr>
        <w:keepNext w:val="0"/>
        <w:spacing w:before="0"/>
        <w:rPr>
          <w:color w:val="auto"/>
          <w:szCs w:val="24"/>
          <w:u w:val="single"/>
        </w:rPr>
      </w:pPr>
      <w:r>
        <w:rPr>
          <w:noProof/>
          <w:color w:val="auto"/>
          <w:szCs w:val="24"/>
          <w:u w:val="single"/>
        </w:rPr>
        <w:lastRenderedPageBreak/>
        <mc:AlternateContent>
          <mc:Choice Requires="wps">
            <w:drawing>
              <wp:anchor distT="0" distB="0" distL="114300" distR="114300" simplePos="0" relativeHeight="251658252" behindDoc="0" locked="0" layoutInCell="1" allowOverlap="1" wp14:anchorId="279E25E6" wp14:editId="2AAF26BF">
                <wp:simplePos x="0" y="0"/>
                <wp:positionH relativeFrom="column">
                  <wp:posOffset>-277759</wp:posOffset>
                </wp:positionH>
                <wp:positionV relativeFrom="paragraph">
                  <wp:posOffset>178548</wp:posOffset>
                </wp:positionV>
                <wp:extent cx="14259208" cy="6744832"/>
                <wp:effectExtent l="0" t="0" r="28575" b="37465"/>
                <wp:wrapNone/>
                <wp:docPr id="958744513" name="Straight Connector 13"/>
                <wp:cNvGraphicFramePr/>
                <a:graphic xmlns:a="http://schemas.openxmlformats.org/drawingml/2006/main">
                  <a:graphicData uri="http://schemas.microsoft.com/office/word/2010/wordprocessingShape">
                    <wps:wsp>
                      <wps:cNvCnPr/>
                      <wps:spPr>
                        <a:xfrm>
                          <a:off x="0" y="0"/>
                          <a:ext cx="14259208" cy="6744832"/>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arto="http://schemas.microsoft.com/office/word/2006/arto">
            <w:pict>
              <v:line w14:anchorId="0F86D96A" id="Straight Connector 1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21.85pt,14.05pt" to="1100.9pt,5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" strokecolor="black [3200]" strokeweight="1.5pt">
                <v:stroke joinstyle="miter"/>
              </v:line>
            </w:pict>
          </mc:Fallback>
        </mc:AlternateContent>
      </w:r>
      <w:r w:rsidR="00AD472B" w:rsidRPr="00E936E0">
        <w:rPr>
          <w:color w:val="auto"/>
          <w:szCs w:val="24"/>
          <w:u w:val="single"/>
        </w:rPr>
        <w:t>Sutton Area</w:t>
      </w:r>
    </w:p>
    <w:p w14:paraId="30E51BF3" w14:textId="3EF341D8" w:rsidR="00AD472B" w:rsidRDefault="00AD472B">
      <w:pPr>
        <w:keepNext w:val="0"/>
        <w:spacing w:before="0"/>
        <w:rPr>
          <w:b/>
          <w:bCs/>
          <w:color w:val="auto"/>
          <w:sz w:val="28"/>
          <w:szCs w:val="28"/>
        </w:rPr>
      </w:pPr>
    </w:p>
    <w:p w14:paraId="1531C9C6" w14:textId="71CA3574" w:rsidR="00AD472B" w:rsidRDefault="00FC1551">
      <w:pPr>
        <w:keepNext w:val="0"/>
        <w:spacing w:before="0"/>
        <w:rPr>
          <w:b/>
          <w:bCs/>
          <w:color w:val="auto"/>
          <w:sz w:val="28"/>
          <w:szCs w:val="28"/>
        </w:rPr>
      </w:pPr>
      <w:r w:rsidRPr="00FC1551">
        <w:rPr>
          <w:noProof/>
        </w:rPr>
        <w:drawing>
          <wp:inline distT="0" distB="0" distL="0" distR="0" wp14:anchorId="6098FDEF" wp14:editId="458888DB">
            <wp:extent cx="13806382" cy="6411432"/>
            <wp:effectExtent l="0" t="0" r="5080" b="8890"/>
            <wp:docPr id="1072139779" name="Picture 3" descr="Table showing the expected housing trajectory for sites in the Sutton area. Please note that this table has been struck out in the proposed modification version of the Loca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39779" name="Picture 3" descr="Table showing the expected housing trajectory for sites in the Sutton area. Please note that this table has been struck out in the proposed modification version of the Local Pla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826765" cy="6420898"/>
                    </a:xfrm>
                    <a:prstGeom prst="rect">
                      <a:avLst/>
                    </a:prstGeom>
                    <a:noFill/>
                    <a:ln>
                      <a:noFill/>
                    </a:ln>
                  </pic:spPr>
                </pic:pic>
              </a:graphicData>
            </a:graphic>
          </wp:inline>
        </w:drawing>
      </w:r>
    </w:p>
    <w:p w14:paraId="162F9098" w14:textId="77777777" w:rsidR="00FC1551" w:rsidRDefault="00FC1551">
      <w:pPr>
        <w:keepNext w:val="0"/>
        <w:spacing w:before="0"/>
        <w:rPr>
          <w:b/>
          <w:bCs/>
          <w:color w:val="auto"/>
          <w:sz w:val="28"/>
          <w:szCs w:val="28"/>
        </w:rPr>
      </w:pPr>
    </w:p>
    <w:p w14:paraId="3624C570" w14:textId="77777777" w:rsidR="00FC1551" w:rsidRDefault="00FC1551">
      <w:pPr>
        <w:keepNext w:val="0"/>
        <w:spacing w:before="0"/>
        <w:rPr>
          <w:b/>
          <w:bCs/>
          <w:color w:val="auto"/>
          <w:sz w:val="28"/>
          <w:szCs w:val="28"/>
        </w:rPr>
      </w:pPr>
    </w:p>
    <w:p w14:paraId="7C356B40" w14:textId="1F2C9C89" w:rsidR="00FC1551" w:rsidRDefault="00863823">
      <w:pPr>
        <w:keepNext w:val="0"/>
        <w:spacing w:before="0"/>
        <w:rPr>
          <w:b/>
          <w:bCs/>
          <w:color w:val="auto"/>
          <w:sz w:val="28"/>
          <w:szCs w:val="28"/>
        </w:rPr>
      </w:pPr>
      <w:r>
        <w:rPr>
          <w:noProof/>
        </w:rPr>
        <w:lastRenderedPageBreak/>
        <mc:AlternateContent>
          <mc:Choice Requires="wps">
            <w:drawing>
              <wp:anchor distT="0" distB="0" distL="114300" distR="114300" simplePos="0" relativeHeight="251658251" behindDoc="0" locked="0" layoutInCell="1" allowOverlap="1" wp14:anchorId="0D7E01EC" wp14:editId="0696E8AC">
                <wp:simplePos x="0" y="0"/>
                <wp:positionH relativeFrom="column">
                  <wp:posOffset>-96690</wp:posOffset>
                </wp:positionH>
                <wp:positionV relativeFrom="paragraph">
                  <wp:posOffset>-93056</wp:posOffset>
                </wp:positionV>
                <wp:extent cx="14050978" cy="4608214"/>
                <wp:effectExtent l="0" t="0" r="27305" b="20955"/>
                <wp:wrapNone/>
                <wp:docPr id="1067910736" name="Straight Connector 12"/>
                <wp:cNvGraphicFramePr/>
                <a:graphic xmlns:a="http://schemas.openxmlformats.org/drawingml/2006/main">
                  <a:graphicData uri="http://schemas.microsoft.com/office/word/2010/wordprocessingShape">
                    <wps:wsp>
                      <wps:cNvCnPr/>
                      <wps:spPr>
                        <a:xfrm>
                          <a:off x="0" y="0"/>
                          <a:ext cx="14050978" cy="4608214"/>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arto="http://schemas.microsoft.com/office/word/2006/arto">
            <w:pict>
              <v:line w14:anchorId="6DB6D297" id="Straight Connector 12"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7.6pt,-7.35pt" to="1098.8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" strokecolor="black [3200]" strokeweight="1.5pt">
                <v:stroke joinstyle="miter"/>
              </v:line>
            </w:pict>
          </mc:Fallback>
        </mc:AlternateContent>
      </w:r>
      <w:r w:rsidR="00FC1551" w:rsidRPr="00FC1551">
        <w:rPr>
          <w:noProof/>
        </w:rPr>
        <w:drawing>
          <wp:inline distT="0" distB="0" distL="0" distR="0" wp14:anchorId="4B5A06A5" wp14:editId="1BF90CEF">
            <wp:extent cx="13761245" cy="4635796"/>
            <wp:effectExtent l="0" t="0" r="0" b="0"/>
            <wp:docPr id="1634949642" name="Picture 4" descr="Table showing the expected housing trajectory for sites in the Sutton area. Please note that this table has been struck out in the proposed modification version of the Loca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49642" name="Picture 4" descr="Table showing the expected housing trajectory for sites in the Sutton area. Please note that this table has been struck out in the proposed modification version of the Local Pla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780221" cy="4642188"/>
                    </a:xfrm>
                    <a:prstGeom prst="rect">
                      <a:avLst/>
                    </a:prstGeom>
                    <a:noFill/>
                    <a:ln>
                      <a:noFill/>
                    </a:ln>
                  </pic:spPr>
                </pic:pic>
              </a:graphicData>
            </a:graphic>
          </wp:inline>
        </w:drawing>
      </w:r>
    </w:p>
    <w:p w14:paraId="2A8D51F1" w14:textId="36D5A56B" w:rsidR="00863823" w:rsidRDefault="008B431E">
      <w:pPr>
        <w:keepNext w:val="0"/>
        <w:spacing w:before="0"/>
        <w:rPr>
          <w:b/>
          <w:bCs/>
          <w:color w:val="auto"/>
          <w:sz w:val="28"/>
          <w:szCs w:val="28"/>
        </w:rPr>
      </w:pPr>
      <w:r>
        <w:rPr>
          <w:b/>
          <w:bCs/>
          <w:color w:val="auto"/>
          <w:sz w:val="28"/>
          <w:szCs w:val="28"/>
        </w:rPr>
        <w:br w:type="page"/>
      </w:r>
      <w:r w:rsidR="00863823" w:rsidRPr="00863823">
        <w:rPr>
          <w:noProof/>
        </w:rPr>
        <w:lastRenderedPageBreak/>
        <w:drawing>
          <wp:inline distT="0" distB="0" distL="0" distR="0" wp14:anchorId="326B3366" wp14:editId="1EFB4FA0">
            <wp:extent cx="13753266" cy="7776927"/>
            <wp:effectExtent l="0" t="0" r="1270" b="0"/>
            <wp:docPr id="1284318602" name="Picture 11" descr="Table showing the status of different sites allocated for housing development in the Sutton area. Sites below the second row highlighted in yellow do not have planning pe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18602" name="Picture 11" descr="Table showing the status of different sites allocated for housing development in the Sutton area. Sites below the second row highlighted in yellow do not have planning permissio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777922" cy="7790869"/>
                    </a:xfrm>
                    <a:prstGeom prst="rect">
                      <a:avLst/>
                    </a:prstGeom>
                    <a:noFill/>
                    <a:ln>
                      <a:noFill/>
                    </a:ln>
                  </pic:spPr>
                </pic:pic>
              </a:graphicData>
            </a:graphic>
          </wp:inline>
        </w:drawing>
      </w:r>
    </w:p>
    <w:p w14:paraId="1C1DE4C2" w14:textId="77777777" w:rsidR="008B431E" w:rsidRDefault="008B431E">
      <w:pPr>
        <w:keepNext w:val="0"/>
        <w:spacing w:before="0"/>
        <w:rPr>
          <w:b/>
          <w:bCs/>
          <w:color w:val="auto"/>
          <w:sz w:val="28"/>
          <w:szCs w:val="28"/>
        </w:rPr>
      </w:pPr>
    </w:p>
    <w:p w14:paraId="48B0274B" w14:textId="77777777" w:rsidR="00863823" w:rsidRDefault="00863823">
      <w:pPr>
        <w:keepNext w:val="0"/>
        <w:spacing w:before="0"/>
        <w:rPr>
          <w:color w:val="auto"/>
          <w:szCs w:val="24"/>
          <w:u w:val="single"/>
        </w:rPr>
      </w:pPr>
      <w:r>
        <w:rPr>
          <w:color w:val="auto"/>
          <w:szCs w:val="24"/>
          <w:u w:val="single"/>
        </w:rPr>
        <w:br w:type="page"/>
      </w:r>
    </w:p>
    <w:p w14:paraId="5B6E2382" w14:textId="77777777" w:rsidR="00020E3C" w:rsidRDefault="00020E3C">
      <w:pPr>
        <w:keepNext w:val="0"/>
        <w:spacing w:before="0"/>
        <w:rPr>
          <w:color w:val="auto"/>
          <w:szCs w:val="24"/>
          <w:u w:val="single"/>
        </w:rPr>
      </w:pPr>
      <w:r w:rsidRPr="00020E3C">
        <w:rPr>
          <w:noProof/>
        </w:rPr>
        <w:lastRenderedPageBreak/>
        <w:drawing>
          <wp:inline distT="0" distB="0" distL="0" distR="0" wp14:anchorId="7887A974" wp14:editId="7FD5EDE4">
            <wp:extent cx="13754334" cy="6599976"/>
            <wp:effectExtent l="0" t="0" r="0" b="0"/>
            <wp:docPr id="1880684679" name="Picture 14" descr="Table showing the status of different sites allocated for housing development in the Sutton area. Sites shown on the first six rows do not have planning permission. Sites below the row highlighted in yellow are proposed housing allocations with outline planning pe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84679" name="Picture 14" descr="Table showing the status of different sites allocated for housing development in the Sutton area. Sites shown on the first six rows do not have planning permission. Sites below the row highlighted in yellow are proposed housing allocations with outline planning permissio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781544" cy="6613033"/>
                    </a:xfrm>
                    <a:prstGeom prst="rect">
                      <a:avLst/>
                    </a:prstGeom>
                    <a:noFill/>
                    <a:ln>
                      <a:noFill/>
                    </a:ln>
                  </pic:spPr>
                </pic:pic>
              </a:graphicData>
            </a:graphic>
          </wp:inline>
        </w:drawing>
      </w:r>
    </w:p>
    <w:p w14:paraId="7ADEE146" w14:textId="77777777" w:rsidR="00020E3C" w:rsidRDefault="00020E3C">
      <w:pPr>
        <w:keepNext w:val="0"/>
        <w:spacing w:before="0"/>
        <w:rPr>
          <w:color w:val="auto"/>
          <w:szCs w:val="24"/>
          <w:u w:val="single"/>
        </w:rPr>
      </w:pPr>
      <w:r>
        <w:rPr>
          <w:color w:val="auto"/>
          <w:szCs w:val="24"/>
          <w:u w:val="single"/>
        </w:rPr>
        <w:br w:type="page"/>
      </w:r>
    </w:p>
    <w:p w14:paraId="50EA4688" w14:textId="62231C46" w:rsidR="00020E3C" w:rsidRDefault="00020E3C">
      <w:pPr>
        <w:keepNext w:val="0"/>
        <w:spacing w:before="0"/>
        <w:rPr>
          <w:color w:val="auto"/>
          <w:szCs w:val="24"/>
          <w:u w:val="single"/>
        </w:rPr>
      </w:pPr>
      <w:r w:rsidRPr="00020E3C">
        <w:rPr>
          <w:noProof/>
        </w:rPr>
        <w:lastRenderedPageBreak/>
        <w:drawing>
          <wp:inline distT="0" distB="0" distL="0" distR="0" wp14:anchorId="6E4C952B" wp14:editId="5D3AE45C">
            <wp:extent cx="13688881" cy="7957996"/>
            <wp:effectExtent l="0" t="0" r="8255" b="5080"/>
            <wp:docPr id="1033455048" name="Picture 16" descr="Table showing the status of different sites allocated for housing development in the Sutton area. Sites shown below the row highlighted in yellow are housing allocations with full or reserved or detailed planning pe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55048" name="Picture 16" descr="Table showing the status of different sites allocated for housing development in the Sutton area. Sites shown below the row highlighted in yellow are housing allocations with full or reserved or detailed planning permissio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703831" cy="7966687"/>
                    </a:xfrm>
                    <a:prstGeom prst="rect">
                      <a:avLst/>
                    </a:prstGeom>
                    <a:noFill/>
                    <a:ln>
                      <a:noFill/>
                    </a:ln>
                  </pic:spPr>
                </pic:pic>
              </a:graphicData>
            </a:graphic>
          </wp:inline>
        </w:drawing>
      </w:r>
    </w:p>
    <w:p w14:paraId="1D9C0784" w14:textId="53752A72" w:rsidR="00863823" w:rsidRDefault="00863823">
      <w:pPr>
        <w:keepNext w:val="0"/>
        <w:spacing w:before="0"/>
        <w:rPr>
          <w:color w:val="auto"/>
          <w:szCs w:val="24"/>
          <w:u w:val="single"/>
        </w:rPr>
      </w:pPr>
      <w:r>
        <w:rPr>
          <w:color w:val="auto"/>
          <w:szCs w:val="24"/>
          <w:u w:val="single"/>
        </w:rPr>
        <w:br w:type="page"/>
      </w:r>
    </w:p>
    <w:p w14:paraId="18A18ACA" w14:textId="694C40A9" w:rsidR="00F7468D" w:rsidRPr="00F7468D" w:rsidRDefault="001C4983">
      <w:pPr>
        <w:keepNext w:val="0"/>
        <w:spacing w:before="0"/>
        <w:rPr>
          <w:color w:val="auto"/>
          <w:szCs w:val="24"/>
          <w:u w:val="single"/>
        </w:rPr>
      </w:pPr>
      <w:r>
        <w:rPr>
          <w:noProof/>
          <w:color w:val="auto"/>
          <w:szCs w:val="24"/>
          <w:u w:val="single"/>
        </w:rPr>
        <w:lastRenderedPageBreak/>
        <mc:AlternateContent>
          <mc:Choice Requires="wps">
            <w:drawing>
              <wp:anchor distT="0" distB="0" distL="114300" distR="114300" simplePos="0" relativeHeight="251658253" behindDoc="0" locked="0" layoutInCell="1" allowOverlap="1" wp14:anchorId="2D597F5E" wp14:editId="73E937A8">
                <wp:simplePos x="0" y="0"/>
                <wp:positionH relativeFrom="column">
                  <wp:posOffset>-223439</wp:posOffset>
                </wp:positionH>
                <wp:positionV relativeFrom="paragraph">
                  <wp:posOffset>205708</wp:posOffset>
                </wp:positionV>
                <wp:extent cx="14069085" cy="4888871"/>
                <wp:effectExtent l="0" t="0" r="27940" b="26035"/>
                <wp:wrapNone/>
                <wp:docPr id="1815371575" name="Straight Connector 17"/>
                <wp:cNvGraphicFramePr/>
                <a:graphic xmlns:a="http://schemas.openxmlformats.org/drawingml/2006/main">
                  <a:graphicData uri="http://schemas.microsoft.com/office/word/2010/wordprocessingShape">
                    <wps:wsp>
                      <wps:cNvCnPr/>
                      <wps:spPr>
                        <a:xfrm>
                          <a:off x="0" y="0"/>
                          <a:ext cx="14069085" cy="4888871"/>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arto="http://schemas.microsoft.com/office/word/2006/arto">
            <w:pict>
              <v:line w14:anchorId="3494309B" id="Straight Connector 17"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7.6pt,16.2pt" to="1090.2pt,40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" strokecolor="black [3200]" strokeweight="1.5pt">
                <v:stroke joinstyle="miter"/>
              </v:line>
            </w:pict>
          </mc:Fallback>
        </mc:AlternateContent>
      </w:r>
      <w:proofErr w:type="spellStart"/>
      <w:r w:rsidR="00F7468D" w:rsidRPr="00F7468D">
        <w:rPr>
          <w:color w:val="auto"/>
          <w:szCs w:val="24"/>
          <w:u w:val="single"/>
        </w:rPr>
        <w:t>Selston</w:t>
      </w:r>
      <w:proofErr w:type="spellEnd"/>
      <w:r w:rsidR="00F7468D" w:rsidRPr="00F7468D">
        <w:rPr>
          <w:color w:val="auto"/>
          <w:szCs w:val="24"/>
          <w:u w:val="single"/>
        </w:rPr>
        <w:t xml:space="preserve">, </w:t>
      </w:r>
      <w:proofErr w:type="spellStart"/>
      <w:r w:rsidR="00F7468D" w:rsidRPr="00F7468D">
        <w:rPr>
          <w:color w:val="auto"/>
          <w:szCs w:val="24"/>
          <w:u w:val="single"/>
        </w:rPr>
        <w:t>Jacksdale</w:t>
      </w:r>
      <w:proofErr w:type="spellEnd"/>
      <w:r w:rsidR="00F7468D" w:rsidRPr="00F7468D">
        <w:rPr>
          <w:color w:val="auto"/>
          <w:szCs w:val="24"/>
          <w:u w:val="single"/>
        </w:rPr>
        <w:t>, Underwood Area</w:t>
      </w:r>
    </w:p>
    <w:p w14:paraId="6C006831" w14:textId="77777777" w:rsidR="00F7468D" w:rsidRDefault="00F7468D">
      <w:pPr>
        <w:keepNext w:val="0"/>
        <w:spacing w:before="0"/>
        <w:rPr>
          <w:color w:val="auto"/>
          <w:sz w:val="28"/>
          <w:szCs w:val="28"/>
          <w:u w:val="single"/>
        </w:rPr>
      </w:pPr>
    </w:p>
    <w:p w14:paraId="3DC9FF44" w14:textId="416DCAC5" w:rsidR="00461E90" w:rsidRDefault="00461E90">
      <w:pPr>
        <w:keepNext w:val="0"/>
        <w:spacing w:before="0"/>
        <w:rPr>
          <w:color w:val="auto"/>
          <w:sz w:val="28"/>
          <w:szCs w:val="28"/>
          <w:u w:val="single"/>
        </w:rPr>
      </w:pPr>
      <w:r>
        <w:rPr>
          <w:noProof/>
          <w:color w:val="auto"/>
          <w:sz w:val="28"/>
          <w:szCs w:val="28"/>
          <w:u w:val="single"/>
        </w:rPr>
        <w:drawing>
          <wp:inline distT="0" distB="0" distL="0" distR="0" wp14:anchorId="6CB1EBF0" wp14:editId="7A02FF19">
            <wp:extent cx="13637895" cy="4584700"/>
            <wp:effectExtent l="0" t="0" r="1905" b="6350"/>
            <wp:docPr id="1026731072" name="Picture 1" descr="Table showing the expected housing trajectory for sites in the SRurals (Selston, Jacksdale &amp; Underwood) area. Please note that this table has been struck out in the proposed modification version of the Loca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31072" name="Picture 1" descr="Table showing the expected housing trajectory for sites in the SRurals (Selston, Jacksdale &amp; Underwood) area. Please note that this table has been struck out in the proposed modification version of the Local Pla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637895" cy="4584700"/>
                    </a:xfrm>
                    <a:prstGeom prst="rect">
                      <a:avLst/>
                    </a:prstGeom>
                    <a:noFill/>
                  </pic:spPr>
                </pic:pic>
              </a:graphicData>
            </a:graphic>
          </wp:inline>
        </w:drawing>
      </w:r>
    </w:p>
    <w:p w14:paraId="425470A1" w14:textId="77777777" w:rsidR="00461E90" w:rsidRDefault="00461E90">
      <w:pPr>
        <w:keepNext w:val="0"/>
        <w:spacing w:before="0"/>
        <w:rPr>
          <w:color w:val="auto"/>
          <w:sz w:val="28"/>
          <w:szCs w:val="28"/>
          <w:u w:val="single"/>
        </w:rPr>
      </w:pPr>
    </w:p>
    <w:p w14:paraId="135FA3DD" w14:textId="007C8A32" w:rsidR="00984404" w:rsidRDefault="00984404">
      <w:pPr>
        <w:keepNext w:val="0"/>
        <w:spacing w:before="0"/>
        <w:rPr>
          <w:color w:val="auto"/>
          <w:sz w:val="28"/>
          <w:szCs w:val="28"/>
          <w:u w:val="single"/>
        </w:rPr>
      </w:pPr>
    </w:p>
    <w:p w14:paraId="570F48F2" w14:textId="77777777" w:rsidR="001C4983" w:rsidRDefault="001C4983">
      <w:pPr>
        <w:keepNext w:val="0"/>
        <w:spacing w:before="0"/>
        <w:rPr>
          <w:color w:val="auto"/>
          <w:sz w:val="28"/>
          <w:szCs w:val="28"/>
          <w:u w:val="single"/>
        </w:rPr>
      </w:pPr>
      <w:r>
        <w:rPr>
          <w:color w:val="auto"/>
          <w:sz w:val="28"/>
          <w:szCs w:val="28"/>
          <w:u w:val="single"/>
        </w:rPr>
        <w:br w:type="page"/>
      </w:r>
    </w:p>
    <w:p w14:paraId="22A4A135" w14:textId="286B7250" w:rsidR="001C4983" w:rsidRDefault="00282AF5">
      <w:pPr>
        <w:keepNext w:val="0"/>
        <w:spacing w:before="0"/>
        <w:rPr>
          <w:color w:val="auto"/>
          <w:sz w:val="28"/>
          <w:szCs w:val="28"/>
          <w:u w:val="single"/>
        </w:rPr>
      </w:pPr>
      <w:r w:rsidRPr="00282AF5">
        <w:rPr>
          <w:noProof/>
        </w:rPr>
        <w:lastRenderedPageBreak/>
        <w:drawing>
          <wp:inline distT="0" distB="0" distL="0" distR="0" wp14:anchorId="2736F7FB" wp14:editId="2D8B9EC0">
            <wp:extent cx="13826429" cy="7858408"/>
            <wp:effectExtent l="0" t="0" r="4445" b="0"/>
            <wp:docPr id="1326976869" name="Picture 18" descr="Table showing the status of different sites allocated for housing development in the Rurals (Selston, Jacksdale &amp; Underwood) area. Sites shown below the first row highlighted in yellow do not have planning permission. Sites below the second row highlighted in yellow are housing allocations with full or reserved or detailed planning pe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76869" name="Picture 18" descr="Table showing the status of different sites allocated for housing development in the Rurals (Selston, Jacksdale &amp; Underwood) area. Sites shown below the first row highlighted in yellow do not have planning permission. Sites below the second row highlighted in yellow are housing allocations with full or reserved or detailed planning permissi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836675" cy="7864232"/>
                    </a:xfrm>
                    <a:prstGeom prst="rect">
                      <a:avLst/>
                    </a:prstGeom>
                    <a:noFill/>
                    <a:ln>
                      <a:noFill/>
                    </a:ln>
                  </pic:spPr>
                </pic:pic>
              </a:graphicData>
            </a:graphic>
          </wp:inline>
        </w:drawing>
      </w:r>
    </w:p>
    <w:p w14:paraId="63335129" w14:textId="77777777" w:rsidR="001C4983" w:rsidRDefault="001C4983">
      <w:pPr>
        <w:keepNext w:val="0"/>
        <w:spacing w:before="0"/>
        <w:rPr>
          <w:color w:val="auto"/>
          <w:sz w:val="28"/>
          <w:szCs w:val="28"/>
          <w:u w:val="single"/>
        </w:rPr>
      </w:pPr>
    </w:p>
    <w:p w14:paraId="39ACCB33" w14:textId="20C93CEF" w:rsidR="00984404" w:rsidRDefault="00984404">
      <w:pPr>
        <w:keepNext w:val="0"/>
        <w:spacing w:before="0"/>
        <w:rPr>
          <w:color w:val="auto"/>
          <w:sz w:val="28"/>
          <w:szCs w:val="28"/>
          <w:u w:val="single"/>
        </w:rPr>
      </w:pPr>
      <w:r>
        <w:rPr>
          <w:color w:val="auto"/>
          <w:sz w:val="28"/>
          <w:szCs w:val="28"/>
          <w:u w:val="single"/>
        </w:rPr>
        <w:br w:type="page"/>
      </w:r>
    </w:p>
    <w:p w14:paraId="4D83A514" w14:textId="190277B6" w:rsidR="00D90C26" w:rsidRDefault="00984404">
      <w:pPr>
        <w:keepNext w:val="0"/>
        <w:spacing w:before="0"/>
      </w:pPr>
      <w:r w:rsidRPr="00E936E0">
        <w:rPr>
          <w:color w:val="auto"/>
          <w:szCs w:val="24"/>
          <w:u w:val="single"/>
        </w:rPr>
        <w:lastRenderedPageBreak/>
        <w:t>District Summary</w:t>
      </w:r>
    </w:p>
    <w:p w14:paraId="3519A2F5" w14:textId="24BDFFA8" w:rsidR="002B549C" w:rsidRPr="002B549C" w:rsidRDefault="001D4AC9">
      <w:pPr>
        <w:keepNext w:val="0"/>
        <w:spacing w:before="0"/>
        <w:rPr>
          <w:noProof/>
          <w:sz w:val="16"/>
          <w:szCs w:val="16"/>
        </w:rPr>
      </w:pPr>
      <w:r>
        <w:rPr>
          <w:noProof/>
          <w:sz w:val="16"/>
          <w:szCs w:val="16"/>
        </w:rPr>
        <mc:AlternateContent>
          <mc:Choice Requires="wps">
            <w:drawing>
              <wp:anchor distT="0" distB="0" distL="114300" distR="114300" simplePos="0" relativeHeight="251658254" behindDoc="0" locked="0" layoutInCell="1" allowOverlap="1" wp14:anchorId="28059E68" wp14:editId="67BD857D">
                <wp:simplePos x="0" y="0"/>
                <wp:positionH relativeFrom="column">
                  <wp:posOffset>-132904</wp:posOffset>
                </wp:positionH>
                <wp:positionV relativeFrom="paragraph">
                  <wp:posOffset>66661</wp:posOffset>
                </wp:positionV>
                <wp:extent cx="14032872" cy="5314385"/>
                <wp:effectExtent l="0" t="0" r="26035" b="19685"/>
                <wp:wrapNone/>
                <wp:docPr id="1324240069" name="Straight Connector 20"/>
                <wp:cNvGraphicFramePr/>
                <a:graphic xmlns:a="http://schemas.openxmlformats.org/drawingml/2006/main">
                  <a:graphicData uri="http://schemas.microsoft.com/office/word/2010/wordprocessingShape">
                    <wps:wsp>
                      <wps:cNvCnPr/>
                      <wps:spPr>
                        <a:xfrm>
                          <a:off x="0" y="0"/>
                          <a:ext cx="14032872" cy="531438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arto="http://schemas.microsoft.com/office/word/2006/arto">
            <w:pict>
              <v:line w14:anchorId="2814F779" id="Straight Connector 20"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10.45pt,5.25pt" to="1094.5pt,4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" strokecolor="black [3200]" strokeweight="1.5pt">
                <v:stroke joinstyle="miter"/>
              </v:line>
            </w:pict>
          </mc:Fallback>
        </mc:AlternateContent>
      </w:r>
    </w:p>
    <w:p w14:paraId="0EB742E8" w14:textId="17696235" w:rsidR="00132D2B" w:rsidRPr="002B549C" w:rsidRDefault="00132D2B">
      <w:pPr>
        <w:keepNext w:val="0"/>
        <w:spacing w:before="0"/>
        <w:rPr>
          <w:sz w:val="16"/>
          <w:szCs w:val="16"/>
        </w:rPr>
      </w:pPr>
    </w:p>
    <w:p w14:paraId="4B57B0EE" w14:textId="1DDC9732" w:rsidR="002B549C" w:rsidRPr="002B549C" w:rsidRDefault="00461E90">
      <w:pPr>
        <w:keepNext w:val="0"/>
        <w:spacing w:before="0"/>
        <w:rPr>
          <w:noProof/>
          <w:sz w:val="16"/>
          <w:szCs w:val="16"/>
        </w:rPr>
      </w:pPr>
      <w:r>
        <w:rPr>
          <w:noProof/>
          <w:sz w:val="16"/>
          <w:szCs w:val="16"/>
        </w:rPr>
        <w:drawing>
          <wp:inline distT="0" distB="0" distL="0" distR="0" wp14:anchorId="70611245" wp14:editId="459D6B51">
            <wp:extent cx="13637149" cy="5231219"/>
            <wp:effectExtent l="0" t="0" r="3175" b="7620"/>
            <wp:docPr id="1227717992" name="Picture 2" descr="Table showing total number of dwellings at April 1, 2023, categorized by years since completion, with yearly data from Year 1 (2023/24) to Year 17 (2039/40). Key details include a gradual decrease in dwellings completed over time, highlighted by shaded cells indicating data for Years 1 to 10, with specific counts such as 381 dwellings in Year 1 for 0 years since completion and 870 dwellings in Year 6 for 4 years since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17992" name="Picture 2" descr="Table showing total number of dwellings at April 1, 2023, categorized by years since completion, with yearly data from Year 1 (2023/24) to Year 17 (2039/40). Key details include a gradual decrease in dwellings completed over time, highlighted by shaded cells indicating data for Years 1 to 10, with specific counts such as 381 dwellings in Year 1 for 0 years since completion and 870 dwellings in Year 6 for 4 years since completio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639127" cy="5231978"/>
                    </a:xfrm>
                    <a:prstGeom prst="rect">
                      <a:avLst/>
                    </a:prstGeom>
                    <a:noFill/>
                  </pic:spPr>
                </pic:pic>
              </a:graphicData>
            </a:graphic>
          </wp:inline>
        </w:drawing>
      </w:r>
    </w:p>
    <w:p w14:paraId="6CEF3238" w14:textId="00522F57" w:rsidR="002B549C" w:rsidRPr="002B549C" w:rsidRDefault="002B549C">
      <w:pPr>
        <w:keepNext w:val="0"/>
        <w:spacing w:before="0"/>
        <w:rPr>
          <w:sz w:val="16"/>
          <w:szCs w:val="16"/>
        </w:rPr>
      </w:pPr>
    </w:p>
    <w:p w14:paraId="6FAB942E" w14:textId="0F7EF891" w:rsidR="001D4AC9" w:rsidRDefault="001D4AC9">
      <w:pPr>
        <w:keepNext w:val="0"/>
        <w:spacing w:before="0"/>
      </w:pPr>
      <w:r>
        <w:br w:type="page"/>
      </w:r>
    </w:p>
    <w:p w14:paraId="15129CEF" w14:textId="77777777" w:rsidR="002B549C" w:rsidRDefault="002B549C">
      <w:pPr>
        <w:keepNext w:val="0"/>
        <w:spacing w:before="0"/>
      </w:pPr>
    </w:p>
    <w:tbl>
      <w:tblPr>
        <w:tblW w:w="21742" w:type="dxa"/>
        <w:tblLook w:val="04A0" w:firstRow="1" w:lastRow="0" w:firstColumn="1" w:lastColumn="0" w:noHBand="0" w:noVBand="1"/>
      </w:tblPr>
      <w:tblGrid>
        <w:gridCol w:w="5240"/>
        <w:gridCol w:w="1602"/>
        <w:gridCol w:w="1100"/>
        <w:gridCol w:w="1060"/>
        <w:gridCol w:w="840"/>
        <w:gridCol w:w="840"/>
        <w:gridCol w:w="840"/>
        <w:gridCol w:w="840"/>
        <w:gridCol w:w="980"/>
        <w:gridCol w:w="840"/>
        <w:gridCol w:w="840"/>
        <w:gridCol w:w="840"/>
        <w:gridCol w:w="840"/>
        <w:gridCol w:w="840"/>
        <w:gridCol w:w="840"/>
        <w:gridCol w:w="840"/>
        <w:gridCol w:w="840"/>
        <w:gridCol w:w="840"/>
        <w:gridCol w:w="840"/>
      </w:tblGrid>
      <w:tr w:rsidR="001D4AC9" w:rsidRPr="001D4AC9" w14:paraId="1F496556" w14:textId="77777777" w:rsidTr="001D4AC9">
        <w:trPr>
          <w:trHeight w:val="1040"/>
        </w:trPr>
        <w:tc>
          <w:tcPr>
            <w:tcW w:w="5240" w:type="dxa"/>
            <w:tcBorders>
              <w:top w:val="single" w:sz="4" w:space="0" w:color="auto"/>
              <w:left w:val="single" w:sz="4" w:space="0" w:color="auto"/>
              <w:bottom w:val="single" w:sz="4" w:space="0" w:color="auto"/>
              <w:right w:val="single" w:sz="4" w:space="0" w:color="auto"/>
            </w:tcBorders>
            <w:shd w:val="clear" w:color="000000" w:fill="BFBFBF"/>
            <w:hideMark/>
          </w:tcPr>
          <w:p w14:paraId="71B8FA80" w14:textId="77777777" w:rsidR="001D4AC9" w:rsidRPr="001D4AC9" w:rsidRDefault="001D4AC9" w:rsidP="001D4AC9">
            <w:pPr>
              <w:keepNext w:val="0"/>
              <w:spacing w:before="0"/>
              <w:rPr>
                <w:rFonts w:cs="Arial"/>
                <w:b/>
                <w:bCs/>
                <w:color w:val="0000FF"/>
                <w:sz w:val="20"/>
              </w:rPr>
            </w:pPr>
            <w:r w:rsidRPr="001D4AC9">
              <w:rPr>
                <w:rFonts w:cs="Arial"/>
                <w:b/>
                <w:bCs/>
                <w:color w:val="0000FF"/>
                <w:sz w:val="20"/>
              </w:rPr>
              <w:t>Source</w:t>
            </w:r>
          </w:p>
        </w:tc>
        <w:tc>
          <w:tcPr>
            <w:tcW w:w="1602" w:type="dxa"/>
            <w:tcBorders>
              <w:top w:val="single" w:sz="4" w:space="0" w:color="auto"/>
              <w:left w:val="nil"/>
              <w:bottom w:val="single" w:sz="4" w:space="0" w:color="auto"/>
              <w:right w:val="single" w:sz="4" w:space="0" w:color="auto"/>
            </w:tcBorders>
            <w:shd w:val="clear" w:color="000000" w:fill="BFBFBF"/>
            <w:hideMark/>
          </w:tcPr>
          <w:p w14:paraId="606F044C"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Total number of Dwellings remaining </w:t>
            </w:r>
            <w:proofErr w:type="gramStart"/>
            <w:r w:rsidRPr="001D4AC9">
              <w:rPr>
                <w:rFonts w:cs="Arial"/>
                <w:b/>
                <w:bCs/>
                <w:color w:val="0000FF"/>
                <w:sz w:val="20"/>
              </w:rPr>
              <w:t>at</w:t>
            </w:r>
            <w:proofErr w:type="gramEnd"/>
            <w:r w:rsidRPr="001D4AC9">
              <w:rPr>
                <w:rFonts w:cs="Arial"/>
                <w:b/>
                <w:bCs/>
                <w:color w:val="0000FF"/>
                <w:sz w:val="20"/>
              </w:rPr>
              <w:t xml:space="preserve"> 1st April 2025</w:t>
            </w:r>
          </w:p>
        </w:tc>
        <w:tc>
          <w:tcPr>
            <w:tcW w:w="1100" w:type="dxa"/>
            <w:tcBorders>
              <w:top w:val="single" w:sz="4" w:space="0" w:color="auto"/>
              <w:left w:val="nil"/>
              <w:bottom w:val="single" w:sz="4" w:space="0" w:color="auto"/>
              <w:right w:val="nil"/>
            </w:tcBorders>
            <w:shd w:val="clear" w:color="000000" w:fill="BFBFBF"/>
            <w:hideMark/>
          </w:tcPr>
          <w:p w14:paraId="1E04C4EF"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23/</w:t>
            </w:r>
            <w:proofErr w:type="gramStart"/>
            <w:r w:rsidRPr="001D4AC9">
              <w:rPr>
                <w:rFonts w:cs="Arial"/>
                <w:b/>
                <w:bCs/>
                <w:color w:val="0000FF"/>
                <w:sz w:val="20"/>
              </w:rPr>
              <w:t>24  Actual</w:t>
            </w:r>
            <w:proofErr w:type="gramEnd"/>
            <w:r w:rsidRPr="001D4AC9">
              <w:rPr>
                <w:rFonts w:cs="Arial"/>
                <w:b/>
                <w:bCs/>
                <w:color w:val="0000FF"/>
                <w:sz w:val="20"/>
              </w:rPr>
              <w:t xml:space="preserve"> Delivery</w:t>
            </w:r>
          </w:p>
        </w:tc>
        <w:tc>
          <w:tcPr>
            <w:tcW w:w="1060" w:type="dxa"/>
            <w:tcBorders>
              <w:top w:val="single" w:sz="4" w:space="0" w:color="auto"/>
              <w:left w:val="single" w:sz="4" w:space="0" w:color="auto"/>
              <w:bottom w:val="single" w:sz="4" w:space="0" w:color="auto"/>
              <w:right w:val="nil"/>
            </w:tcBorders>
            <w:shd w:val="clear" w:color="000000" w:fill="BFBFBF"/>
            <w:hideMark/>
          </w:tcPr>
          <w:p w14:paraId="3803B8D3"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24/25   Actual Delivery</w:t>
            </w:r>
          </w:p>
        </w:tc>
        <w:tc>
          <w:tcPr>
            <w:tcW w:w="840" w:type="dxa"/>
            <w:tcBorders>
              <w:top w:val="single" w:sz="4" w:space="0" w:color="auto"/>
              <w:left w:val="single" w:sz="4" w:space="0" w:color="auto"/>
              <w:bottom w:val="single" w:sz="4" w:space="0" w:color="auto"/>
              <w:right w:val="single" w:sz="4" w:space="0" w:color="auto"/>
            </w:tcBorders>
            <w:shd w:val="clear" w:color="000000" w:fill="BFBFBF"/>
            <w:hideMark/>
          </w:tcPr>
          <w:p w14:paraId="01D652BE"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w:t>
            </w:r>
            <w:proofErr w:type="gramStart"/>
            <w:r w:rsidRPr="001D4AC9">
              <w:rPr>
                <w:rFonts w:cs="Arial"/>
                <w:b/>
                <w:bCs/>
                <w:color w:val="0000FF"/>
                <w:sz w:val="20"/>
              </w:rPr>
              <w:t>1  25</w:t>
            </w:r>
            <w:proofErr w:type="gramEnd"/>
            <w:r w:rsidRPr="001D4AC9">
              <w:rPr>
                <w:rFonts w:cs="Arial"/>
                <w:b/>
                <w:bCs/>
                <w:color w:val="0000FF"/>
                <w:sz w:val="20"/>
              </w:rPr>
              <w:t>/26</w:t>
            </w:r>
          </w:p>
        </w:tc>
        <w:tc>
          <w:tcPr>
            <w:tcW w:w="840" w:type="dxa"/>
            <w:tcBorders>
              <w:top w:val="single" w:sz="4" w:space="0" w:color="auto"/>
              <w:left w:val="nil"/>
              <w:bottom w:val="single" w:sz="4" w:space="0" w:color="auto"/>
              <w:right w:val="single" w:sz="4" w:space="0" w:color="auto"/>
            </w:tcBorders>
            <w:shd w:val="clear" w:color="000000" w:fill="BFBFBF"/>
            <w:hideMark/>
          </w:tcPr>
          <w:p w14:paraId="1630FF92"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2 26/27  </w:t>
            </w:r>
          </w:p>
        </w:tc>
        <w:tc>
          <w:tcPr>
            <w:tcW w:w="840" w:type="dxa"/>
            <w:tcBorders>
              <w:top w:val="single" w:sz="4" w:space="0" w:color="auto"/>
              <w:left w:val="nil"/>
              <w:bottom w:val="single" w:sz="4" w:space="0" w:color="auto"/>
              <w:right w:val="single" w:sz="4" w:space="0" w:color="auto"/>
            </w:tcBorders>
            <w:shd w:val="clear" w:color="000000" w:fill="BFBFBF"/>
            <w:hideMark/>
          </w:tcPr>
          <w:p w14:paraId="70C92E86"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3 27/28 </w:t>
            </w:r>
          </w:p>
        </w:tc>
        <w:tc>
          <w:tcPr>
            <w:tcW w:w="840" w:type="dxa"/>
            <w:tcBorders>
              <w:top w:val="single" w:sz="4" w:space="0" w:color="auto"/>
              <w:left w:val="nil"/>
              <w:bottom w:val="single" w:sz="4" w:space="0" w:color="auto"/>
              <w:right w:val="single" w:sz="4" w:space="0" w:color="auto"/>
            </w:tcBorders>
            <w:shd w:val="clear" w:color="000000" w:fill="BFBFBF"/>
            <w:hideMark/>
          </w:tcPr>
          <w:p w14:paraId="710ABB25"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4 28/29 </w:t>
            </w:r>
          </w:p>
        </w:tc>
        <w:tc>
          <w:tcPr>
            <w:tcW w:w="980" w:type="dxa"/>
            <w:tcBorders>
              <w:top w:val="single" w:sz="4" w:space="0" w:color="auto"/>
              <w:left w:val="nil"/>
              <w:bottom w:val="single" w:sz="4" w:space="0" w:color="auto"/>
              <w:right w:val="single" w:sz="4" w:space="0" w:color="auto"/>
            </w:tcBorders>
            <w:shd w:val="clear" w:color="000000" w:fill="BFBFBF"/>
            <w:hideMark/>
          </w:tcPr>
          <w:p w14:paraId="43BA6D02"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5 29/30  </w:t>
            </w:r>
          </w:p>
        </w:tc>
        <w:tc>
          <w:tcPr>
            <w:tcW w:w="840" w:type="dxa"/>
            <w:tcBorders>
              <w:top w:val="single" w:sz="4" w:space="0" w:color="auto"/>
              <w:left w:val="nil"/>
              <w:bottom w:val="single" w:sz="4" w:space="0" w:color="auto"/>
              <w:right w:val="single" w:sz="4" w:space="0" w:color="auto"/>
            </w:tcBorders>
            <w:shd w:val="clear" w:color="000000" w:fill="BFBFBF"/>
            <w:hideMark/>
          </w:tcPr>
          <w:p w14:paraId="61F4B539"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6 30/31   </w:t>
            </w:r>
          </w:p>
        </w:tc>
        <w:tc>
          <w:tcPr>
            <w:tcW w:w="840" w:type="dxa"/>
            <w:tcBorders>
              <w:top w:val="single" w:sz="4" w:space="0" w:color="auto"/>
              <w:left w:val="nil"/>
              <w:bottom w:val="single" w:sz="4" w:space="0" w:color="auto"/>
              <w:right w:val="single" w:sz="4" w:space="0" w:color="auto"/>
            </w:tcBorders>
            <w:shd w:val="clear" w:color="000000" w:fill="BFBFBF"/>
            <w:hideMark/>
          </w:tcPr>
          <w:p w14:paraId="03D94133"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7 31/32    </w:t>
            </w:r>
          </w:p>
        </w:tc>
        <w:tc>
          <w:tcPr>
            <w:tcW w:w="840" w:type="dxa"/>
            <w:tcBorders>
              <w:top w:val="single" w:sz="4" w:space="0" w:color="auto"/>
              <w:left w:val="nil"/>
              <w:bottom w:val="single" w:sz="4" w:space="0" w:color="auto"/>
              <w:right w:val="single" w:sz="4" w:space="0" w:color="auto"/>
            </w:tcBorders>
            <w:shd w:val="clear" w:color="000000" w:fill="BFBFBF"/>
            <w:hideMark/>
          </w:tcPr>
          <w:p w14:paraId="40A6EDCF"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8 32/33  </w:t>
            </w:r>
          </w:p>
        </w:tc>
        <w:tc>
          <w:tcPr>
            <w:tcW w:w="840" w:type="dxa"/>
            <w:tcBorders>
              <w:top w:val="single" w:sz="4" w:space="0" w:color="auto"/>
              <w:left w:val="nil"/>
              <w:bottom w:val="single" w:sz="4" w:space="0" w:color="auto"/>
              <w:right w:val="single" w:sz="4" w:space="0" w:color="auto"/>
            </w:tcBorders>
            <w:shd w:val="clear" w:color="000000" w:fill="BFBFBF"/>
            <w:hideMark/>
          </w:tcPr>
          <w:p w14:paraId="5EFE0573"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9 33/34   </w:t>
            </w:r>
          </w:p>
        </w:tc>
        <w:tc>
          <w:tcPr>
            <w:tcW w:w="840" w:type="dxa"/>
            <w:tcBorders>
              <w:top w:val="single" w:sz="4" w:space="0" w:color="auto"/>
              <w:left w:val="nil"/>
              <w:bottom w:val="single" w:sz="4" w:space="0" w:color="auto"/>
              <w:right w:val="single" w:sz="4" w:space="0" w:color="auto"/>
            </w:tcBorders>
            <w:shd w:val="clear" w:color="000000" w:fill="BFBFBF"/>
            <w:hideMark/>
          </w:tcPr>
          <w:p w14:paraId="5223F228" w14:textId="77777777" w:rsidR="001D4AC9" w:rsidRPr="001D4AC9" w:rsidRDefault="001D4AC9" w:rsidP="001D4AC9">
            <w:pPr>
              <w:keepNext w:val="0"/>
              <w:spacing w:before="0"/>
              <w:jc w:val="center"/>
              <w:rPr>
                <w:rFonts w:cs="Arial"/>
                <w:b/>
                <w:bCs/>
                <w:color w:val="0000FF"/>
                <w:sz w:val="20"/>
              </w:rPr>
            </w:pPr>
            <w:proofErr w:type="gramStart"/>
            <w:r w:rsidRPr="001D4AC9">
              <w:rPr>
                <w:rFonts w:cs="Arial"/>
                <w:b/>
                <w:bCs/>
                <w:color w:val="0000FF"/>
                <w:sz w:val="20"/>
              </w:rPr>
              <w:t>Year  10</w:t>
            </w:r>
            <w:proofErr w:type="gramEnd"/>
            <w:r w:rsidRPr="001D4AC9">
              <w:rPr>
                <w:rFonts w:cs="Arial"/>
                <w:b/>
                <w:bCs/>
                <w:color w:val="0000FF"/>
                <w:sz w:val="20"/>
              </w:rPr>
              <w:t xml:space="preserve"> 34/35   </w:t>
            </w:r>
          </w:p>
        </w:tc>
        <w:tc>
          <w:tcPr>
            <w:tcW w:w="840" w:type="dxa"/>
            <w:tcBorders>
              <w:top w:val="single" w:sz="4" w:space="0" w:color="auto"/>
              <w:left w:val="nil"/>
              <w:bottom w:val="single" w:sz="4" w:space="0" w:color="auto"/>
              <w:right w:val="single" w:sz="4" w:space="0" w:color="auto"/>
            </w:tcBorders>
            <w:shd w:val="clear" w:color="000000" w:fill="BFBFBF"/>
            <w:hideMark/>
          </w:tcPr>
          <w:p w14:paraId="480DB927"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11 35/36 </w:t>
            </w:r>
          </w:p>
        </w:tc>
        <w:tc>
          <w:tcPr>
            <w:tcW w:w="840" w:type="dxa"/>
            <w:tcBorders>
              <w:top w:val="single" w:sz="4" w:space="0" w:color="auto"/>
              <w:left w:val="nil"/>
              <w:bottom w:val="single" w:sz="4" w:space="0" w:color="auto"/>
              <w:right w:val="single" w:sz="4" w:space="0" w:color="auto"/>
            </w:tcBorders>
            <w:shd w:val="clear" w:color="000000" w:fill="BFBFBF"/>
            <w:hideMark/>
          </w:tcPr>
          <w:p w14:paraId="5184F817"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12 36/37   </w:t>
            </w:r>
          </w:p>
        </w:tc>
        <w:tc>
          <w:tcPr>
            <w:tcW w:w="840" w:type="dxa"/>
            <w:tcBorders>
              <w:top w:val="single" w:sz="4" w:space="0" w:color="auto"/>
              <w:left w:val="nil"/>
              <w:bottom w:val="single" w:sz="4" w:space="0" w:color="auto"/>
              <w:right w:val="single" w:sz="4" w:space="0" w:color="auto"/>
            </w:tcBorders>
            <w:shd w:val="clear" w:color="000000" w:fill="BFBFBF"/>
            <w:hideMark/>
          </w:tcPr>
          <w:p w14:paraId="752E6BE9"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13 37/38    </w:t>
            </w:r>
          </w:p>
        </w:tc>
        <w:tc>
          <w:tcPr>
            <w:tcW w:w="840" w:type="dxa"/>
            <w:tcBorders>
              <w:top w:val="single" w:sz="4" w:space="0" w:color="auto"/>
              <w:left w:val="nil"/>
              <w:bottom w:val="single" w:sz="4" w:space="0" w:color="auto"/>
              <w:right w:val="single" w:sz="4" w:space="0" w:color="auto"/>
            </w:tcBorders>
            <w:shd w:val="clear" w:color="000000" w:fill="BFBFBF"/>
            <w:hideMark/>
          </w:tcPr>
          <w:p w14:paraId="10EEB685"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14 38/39  </w:t>
            </w:r>
          </w:p>
        </w:tc>
        <w:tc>
          <w:tcPr>
            <w:tcW w:w="840" w:type="dxa"/>
            <w:tcBorders>
              <w:top w:val="single" w:sz="4" w:space="0" w:color="auto"/>
              <w:left w:val="nil"/>
              <w:bottom w:val="single" w:sz="4" w:space="0" w:color="auto"/>
              <w:right w:val="single" w:sz="4" w:space="0" w:color="auto"/>
            </w:tcBorders>
            <w:shd w:val="clear" w:color="000000" w:fill="BFBFBF"/>
            <w:hideMark/>
          </w:tcPr>
          <w:p w14:paraId="30DCBCF2" w14:textId="77777777" w:rsidR="001D4AC9" w:rsidRPr="001D4AC9" w:rsidRDefault="001D4AC9" w:rsidP="001D4AC9">
            <w:pPr>
              <w:keepNext w:val="0"/>
              <w:spacing w:before="0"/>
              <w:jc w:val="center"/>
              <w:rPr>
                <w:rFonts w:cs="Arial"/>
                <w:b/>
                <w:bCs/>
                <w:color w:val="0000FF"/>
                <w:sz w:val="20"/>
              </w:rPr>
            </w:pPr>
            <w:r w:rsidRPr="001D4AC9">
              <w:rPr>
                <w:rFonts w:cs="Arial"/>
                <w:b/>
                <w:bCs/>
                <w:color w:val="0000FF"/>
                <w:sz w:val="20"/>
              </w:rPr>
              <w:t xml:space="preserve">Year 15 39/40  </w:t>
            </w:r>
          </w:p>
        </w:tc>
      </w:tr>
      <w:tr w:rsidR="001D4AC9" w:rsidRPr="001D4AC9" w14:paraId="72213B0B" w14:textId="77777777" w:rsidTr="001D4AC9">
        <w:trPr>
          <w:trHeight w:val="500"/>
        </w:trPr>
        <w:tc>
          <w:tcPr>
            <w:tcW w:w="5240" w:type="dxa"/>
            <w:tcBorders>
              <w:top w:val="nil"/>
              <w:left w:val="single" w:sz="4" w:space="0" w:color="auto"/>
              <w:bottom w:val="single" w:sz="4" w:space="0" w:color="auto"/>
              <w:right w:val="single" w:sz="4" w:space="0" w:color="auto"/>
            </w:tcBorders>
            <w:noWrap/>
            <w:vAlign w:val="bottom"/>
            <w:hideMark/>
          </w:tcPr>
          <w:p w14:paraId="5DC14A6A" w14:textId="77777777" w:rsidR="001D4AC9" w:rsidRPr="001D4AC9" w:rsidRDefault="001D4AC9" w:rsidP="001D4AC9">
            <w:pPr>
              <w:keepNext w:val="0"/>
              <w:spacing w:before="0"/>
              <w:rPr>
                <w:rFonts w:cs="Arial"/>
                <w:b/>
                <w:bCs/>
                <w:color w:val="0000FF"/>
                <w:szCs w:val="24"/>
              </w:rPr>
            </w:pPr>
            <w:r w:rsidRPr="001D4AC9">
              <w:rPr>
                <w:rFonts w:cs="Arial"/>
                <w:b/>
                <w:bCs/>
                <w:color w:val="0000FF"/>
                <w:szCs w:val="24"/>
              </w:rPr>
              <w:t>All sites with Planning Permission</w:t>
            </w:r>
          </w:p>
        </w:tc>
        <w:tc>
          <w:tcPr>
            <w:tcW w:w="1602" w:type="dxa"/>
            <w:tcBorders>
              <w:top w:val="nil"/>
              <w:left w:val="nil"/>
              <w:bottom w:val="single" w:sz="4" w:space="0" w:color="auto"/>
              <w:right w:val="single" w:sz="4" w:space="0" w:color="auto"/>
            </w:tcBorders>
            <w:noWrap/>
            <w:vAlign w:val="bottom"/>
            <w:hideMark/>
          </w:tcPr>
          <w:p w14:paraId="5B50AAD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2980</w:t>
            </w:r>
          </w:p>
        </w:tc>
        <w:tc>
          <w:tcPr>
            <w:tcW w:w="1100" w:type="dxa"/>
            <w:tcBorders>
              <w:top w:val="nil"/>
              <w:left w:val="nil"/>
              <w:bottom w:val="single" w:sz="4" w:space="0" w:color="auto"/>
              <w:right w:val="single" w:sz="4" w:space="0" w:color="auto"/>
            </w:tcBorders>
            <w:shd w:val="clear" w:color="000000" w:fill="D9D9D9"/>
            <w:noWrap/>
            <w:vAlign w:val="bottom"/>
            <w:hideMark/>
          </w:tcPr>
          <w:p w14:paraId="40B7986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439</w:t>
            </w:r>
          </w:p>
        </w:tc>
        <w:tc>
          <w:tcPr>
            <w:tcW w:w="1060" w:type="dxa"/>
            <w:tcBorders>
              <w:top w:val="nil"/>
              <w:left w:val="nil"/>
              <w:bottom w:val="single" w:sz="4" w:space="0" w:color="auto"/>
              <w:right w:val="nil"/>
            </w:tcBorders>
            <w:shd w:val="clear" w:color="000000" w:fill="D9D9D9"/>
            <w:noWrap/>
            <w:vAlign w:val="bottom"/>
            <w:hideMark/>
          </w:tcPr>
          <w:p w14:paraId="5E5EA97E"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447</w:t>
            </w:r>
          </w:p>
        </w:tc>
        <w:tc>
          <w:tcPr>
            <w:tcW w:w="840" w:type="dxa"/>
            <w:tcBorders>
              <w:top w:val="nil"/>
              <w:left w:val="single" w:sz="4" w:space="0" w:color="auto"/>
              <w:bottom w:val="single" w:sz="4" w:space="0" w:color="auto"/>
              <w:right w:val="single" w:sz="4" w:space="0" w:color="auto"/>
            </w:tcBorders>
            <w:shd w:val="clear" w:color="000000" w:fill="DDEBF7"/>
            <w:noWrap/>
            <w:vAlign w:val="bottom"/>
            <w:hideMark/>
          </w:tcPr>
          <w:p w14:paraId="70992D3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605</w:t>
            </w:r>
          </w:p>
        </w:tc>
        <w:tc>
          <w:tcPr>
            <w:tcW w:w="840" w:type="dxa"/>
            <w:tcBorders>
              <w:top w:val="nil"/>
              <w:left w:val="nil"/>
              <w:bottom w:val="single" w:sz="4" w:space="0" w:color="auto"/>
              <w:right w:val="single" w:sz="4" w:space="0" w:color="auto"/>
            </w:tcBorders>
            <w:shd w:val="clear" w:color="000000" w:fill="DDEBF7"/>
            <w:noWrap/>
            <w:vAlign w:val="bottom"/>
            <w:hideMark/>
          </w:tcPr>
          <w:p w14:paraId="3F67E2FB"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543</w:t>
            </w:r>
          </w:p>
        </w:tc>
        <w:tc>
          <w:tcPr>
            <w:tcW w:w="840" w:type="dxa"/>
            <w:tcBorders>
              <w:top w:val="nil"/>
              <w:left w:val="nil"/>
              <w:bottom w:val="single" w:sz="4" w:space="0" w:color="auto"/>
              <w:right w:val="single" w:sz="4" w:space="0" w:color="auto"/>
            </w:tcBorders>
            <w:shd w:val="clear" w:color="000000" w:fill="DDEBF7"/>
            <w:noWrap/>
            <w:vAlign w:val="bottom"/>
            <w:hideMark/>
          </w:tcPr>
          <w:p w14:paraId="0F7B8EEE"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534</w:t>
            </w:r>
          </w:p>
        </w:tc>
        <w:tc>
          <w:tcPr>
            <w:tcW w:w="840" w:type="dxa"/>
            <w:tcBorders>
              <w:top w:val="nil"/>
              <w:left w:val="nil"/>
              <w:bottom w:val="single" w:sz="4" w:space="0" w:color="auto"/>
              <w:right w:val="single" w:sz="4" w:space="0" w:color="auto"/>
            </w:tcBorders>
            <w:shd w:val="clear" w:color="000000" w:fill="DDEBF7"/>
            <w:noWrap/>
            <w:vAlign w:val="bottom"/>
            <w:hideMark/>
          </w:tcPr>
          <w:p w14:paraId="1226E87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420</w:t>
            </w:r>
          </w:p>
        </w:tc>
        <w:tc>
          <w:tcPr>
            <w:tcW w:w="980" w:type="dxa"/>
            <w:tcBorders>
              <w:top w:val="nil"/>
              <w:left w:val="nil"/>
              <w:bottom w:val="single" w:sz="4" w:space="0" w:color="auto"/>
              <w:right w:val="single" w:sz="4" w:space="0" w:color="auto"/>
            </w:tcBorders>
            <w:shd w:val="clear" w:color="000000" w:fill="DDEBF7"/>
            <w:noWrap/>
            <w:vAlign w:val="bottom"/>
            <w:hideMark/>
          </w:tcPr>
          <w:p w14:paraId="79B143A5"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225</w:t>
            </w:r>
          </w:p>
        </w:tc>
        <w:tc>
          <w:tcPr>
            <w:tcW w:w="840" w:type="dxa"/>
            <w:tcBorders>
              <w:top w:val="nil"/>
              <w:left w:val="nil"/>
              <w:bottom w:val="single" w:sz="4" w:space="0" w:color="auto"/>
              <w:right w:val="single" w:sz="4" w:space="0" w:color="auto"/>
            </w:tcBorders>
            <w:shd w:val="clear" w:color="000000" w:fill="BDD7EE"/>
            <w:noWrap/>
            <w:vAlign w:val="bottom"/>
            <w:hideMark/>
          </w:tcPr>
          <w:p w14:paraId="207CFB0B"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161</w:t>
            </w:r>
          </w:p>
        </w:tc>
        <w:tc>
          <w:tcPr>
            <w:tcW w:w="840" w:type="dxa"/>
            <w:tcBorders>
              <w:top w:val="nil"/>
              <w:left w:val="nil"/>
              <w:bottom w:val="single" w:sz="4" w:space="0" w:color="auto"/>
              <w:right w:val="single" w:sz="4" w:space="0" w:color="auto"/>
            </w:tcBorders>
            <w:shd w:val="clear" w:color="000000" w:fill="BDD7EE"/>
            <w:noWrap/>
            <w:vAlign w:val="bottom"/>
            <w:hideMark/>
          </w:tcPr>
          <w:p w14:paraId="75B7904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137</w:t>
            </w:r>
          </w:p>
        </w:tc>
        <w:tc>
          <w:tcPr>
            <w:tcW w:w="840" w:type="dxa"/>
            <w:tcBorders>
              <w:top w:val="nil"/>
              <w:left w:val="nil"/>
              <w:bottom w:val="single" w:sz="4" w:space="0" w:color="auto"/>
              <w:right w:val="single" w:sz="4" w:space="0" w:color="auto"/>
            </w:tcBorders>
            <w:shd w:val="clear" w:color="000000" w:fill="BDD7EE"/>
            <w:noWrap/>
            <w:vAlign w:val="bottom"/>
            <w:hideMark/>
          </w:tcPr>
          <w:p w14:paraId="1E264E2E"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70</w:t>
            </w:r>
          </w:p>
        </w:tc>
        <w:tc>
          <w:tcPr>
            <w:tcW w:w="840" w:type="dxa"/>
            <w:tcBorders>
              <w:top w:val="nil"/>
              <w:left w:val="nil"/>
              <w:bottom w:val="single" w:sz="4" w:space="0" w:color="auto"/>
              <w:right w:val="single" w:sz="4" w:space="0" w:color="auto"/>
            </w:tcBorders>
            <w:shd w:val="clear" w:color="000000" w:fill="BDD7EE"/>
            <w:noWrap/>
            <w:vAlign w:val="bottom"/>
            <w:hideMark/>
          </w:tcPr>
          <w:p w14:paraId="3E920DA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70</w:t>
            </w:r>
          </w:p>
        </w:tc>
        <w:tc>
          <w:tcPr>
            <w:tcW w:w="840" w:type="dxa"/>
            <w:tcBorders>
              <w:top w:val="nil"/>
              <w:left w:val="nil"/>
              <w:bottom w:val="single" w:sz="4" w:space="0" w:color="auto"/>
              <w:right w:val="single" w:sz="4" w:space="0" w:color="auto"/>
            </w:tcBorders>
            <w:shd w:val="clear" w:color="000000" w:fill="BDD7EE"/>
            <w:noWrap/>
            <w:vAlign w:val="bottom"/>
            <w:hideMark/>
          </w:tcPr>
          <w:p w14:paraId="0422C2C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70</w:t>
            </w:r>
          </w:p>
        </w:tc>
        <w:tc>
          <w:tcPr>
            <w:tcW w:w="840" w:type="dxa"/>
            <w:tcBorders>
              <w:top w:val="nil"/>
              <w:left w:val="nil"/>
              <w:bottom w:val="single" w:sz="4" w:space="0" w:color="auto"/>
              <w:right w:val="single" w:sz="4" w:space="0" w:color="auto"/>
            </w:tcBorders>
            <w:shd w:val="clear" w:color="000000" w:fill="F2F2F2"/>
            <w:noWrap/>
            <w:vAlign w:val="bottom"/>
            <w:hideMark/>
          </w:tcPr>
          <w:p w14:paraId="4497BAA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55</w:t>
            </w:r>
          </w:p>
        </w:tc>
        <w:tc>
          <w:tcPr>
            <w:tcW w:w="840" w:type="dxa"/>
            <w:tcBorders>
              <w:top w:val="nil"/>
              <w:left w:val="nil"/>
              <w:bottom w:val="single" w:sz="4" w:space="0" w:color="auto"/>
              <w:right w:val="single" w:sz="4" w:space="0" w:color="auto"/>
            </w:tcBorders>
            <w:shd w:val="clear" w:color="000000" w:fill="F2F2F2"/>
            <w:noWrap/>
            <w:vAlign w:val="bottom"/>
            <w:hideMark/>
          </w:tcPr>
          <w:p w14:paraId="0BDFF7B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35</w:t>
            </w:r>
          </w:p>
        </w:tc>
        <w:tc>
          <w:tcPr>
            <w:tcW w:w="840" w:type="dxa"/>
            <w:tcBorders>
              <w:top w:val="nil"/>
              <w:left w:val="nil"/>
              <w:bottom w:val="single" w:sz="4" w:space="0" w:color="auto"/>
              <w:right w:val="single" w:sz="4" w:space="0" w:color="auto"/>
            </w:tcBorders>
            <w:shd w:val="clear" w:color="000000" w:fill="F2F2F2"/>
            <w:noWrap/>
            <w:vAlign w:val="bottom"/>
            <w:hideMark/>
          </w:tcPr>
          <w:p w14:paraId="2A2E6ADD"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35</w:t>
            </w:r>
          </w:p>
        </w:tc>
        <w:tc>
          <w:tcPr>
            <w:tcW w:w="840" w:type="dxa"/>
            <w:tcBorders>
              <w:top w:val="nil"/>
              <w:left w:val="nil"/>
              <w:bottom w:val="single" w:sz="4" w:space="0" w:color="auto"/>
              <w:right w:val="single" w:sz="4" w:space="0" w:color="auto"/>
            </w:tcBorders>
            <w:shd w:val="clear" w:color="000000" w:fill="F2F2F2"/>
            <w:noWrap/>
            <w:vAlign w:val="bottom"/>
            <w:hideMark/>
          </w:tcPr>
          <w:p w14:paraId="51C67C25"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20</w:t>
            </w:r>
          </w:p>
        </w:tc>
        <w:tc>
          <w:tcPr>
            <w:tcW w:w="840" w:type="dxa"/>
            <w:tcBorders>
              <w:top w:val="nil"/>
              <w:left w:val="nil"/>
              <w:bottom w:val="single" w:sz="4" w:space="0" w:color="auto"/>
              <w:right w:val="single" w:sz="4" w:space="0" w:color="auto"/>
            </w:tcBorders>
            <w:shd w:val="clear" w:color="000000" w:fill="F2F2F2"/>
            <w:noWrap/>
            <w:vAlign w:val="bottom"/>
            <w:hideMark/>
          </w:tcPr>
          <w:p w14:paraId="46958BCE"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r>
      <w:tr w:rsidR="001D4AC9" w:rsidRPr="001D4AC9" w14:paraId="40372F76"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7FE313B2"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Within 5 years</w:t>
            </w:r>
          </w:p>
        </w:tc>
        <w:tc>
          <w:tcPr>
            <w:tcW w:w="1602" w:type="dxa"/>
            <w:tcBorders>
              <w:top w:val="nil"/>
              <w:left w:val="nil"/>
              <w:bottom w:val="single" w:sz="4" w:space="0" w:color="auto"/>
              <w:right w:val="single" w:sz="4" w:space="0" w:color="auto"/>
            </w:tcBorders>
            <w:noWrap/>
            <w:vAlign w:val="bottom"/>
            <w:hideMark/>
          </w:tcPr>
          <w:p w14:paraId="457799D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1856730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4788834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5B22090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3C1F6A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320A16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5DD283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605B9A9F"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2327</w:t>
            </w:r>
          </w:p>
        </w:tc>
        <w:tc>
          <w:tcPr>
            <w:tcW w:w="840" w:type="dxa"/>
            <w:tcBorders>
              <w:top w:val="nil"/>
              <w:left w:val="nil"/>
              <w:bottom w:val="single" w:sz="4" w:space="0" w:color="auto"/>
              <w:right w:val="single" w:sz="4" w:space="0" w:color="auto"/>
            </w:tcBorders>
            <w:noWrap/>
            <w:vAlign w:val="bottom"/>
            <w:hideMark/>
          </w:tcPr>
          <w:p w14:paraId="3547A6C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8D69C3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C33444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5CFBD1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D9554D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4E4E59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C48CD1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FF1A3A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42040D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465609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r>
      <w:tr w:rsidR="001D4AC9" w:rsidRPr="001D4AC9" w14:paraId="0586FBB6"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20249AF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 years post adoption</w:t>
            </w:r>
          </w:p>
        </w:tc>
        <w:tc>
          <w:tcPr>
            <w:tcW w:w="1602" w:type="dxa"/>
            <w:tcBorders>
              <w:top w:val="nil"/>
              <w:left w:val="nil"/>
              <w:bottom w:val="single" w:sz="4" w:space="0" w:color="auto"/>
              <w:right w:val="single" w:sz="4" w:space="0" w:color="auto"/>
            </w:tcBorders>
            <w:noWrap/>
            <w:vAlign w:val="bottom"/>
            <w:hideMark/>
          </w:tcPr>
          <w:p w14:paraId="375981B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7FD24C1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41BD8C1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1FB4D6E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7A62A3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CAF9F2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879AD8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2F01FDE3" w14:textId="77777777" w:rsidR="001D4AC9" w:rsidRPr="001D4AC9" w:rsidRDefault="001D4AC9" w:rsidP="001D4AC9">
            <w:pPr>
              <w:keepNext w:val="0"/>
              <w:spacing w:before="0"/>
              <w:rPr>
                <w:rFonts w:cs="Arial"/>
                <w:b/>
                <w:bCs/>
                <w:color w:val="0000FF"/>
                <w:sz w:val="20"/>
              </w:rPr>
            </w:pPr>
            <w:r w:rsidRPr="001D4AC9">
              <w:rPr>
                <w:rFonts w:cs="Arial"/>
                <w:b/>
                <w:bCs/>
                <w:color w:val="0000FF"/>
                <w:sz w:val="20"/>
              </w:rPr>
              <w:t> </w:t>
            </w:r>
          </w:p>
        </w:tc>
        <w:tc>
          <w:tcPr>
            <w:tcW w:w="840" w:type="dxa"/>
            <w:tcBorders>
              <w:top w:val="nil"/>
              <w:left w:val="nil"/>
              <w:bottom w:val="single" w:sz="4" w:space="0" w:color="auto"/>
              <w:right w:val="single" w:sz="4" w:space="0" w:color="auto"/>
            </w:tcBorders>
            <w:noWrap/>
            <w:vAlign w:val="bottom"/>
            <w:hideMark/>
          </w:tcPr>
          <w:p w14:paraId="7A75C700"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1883</w:t>
            </w:r>
          </w:p>
        </w:tc>
        <w:tc>
          <w:tcPr>
            <w:tcW w:w="840" w:type="dxa"/>
            <w:tcBorders>
              <w:top w:val="nil"/>
              <w:left w:val="nil"/>
              <w:bottom w:val="single" w:sz="4" w:space="0" w:color="auto"/>
              <w:right w:val="single" w:sz="4" w:space="0" w:color="auto"/>
            </w:tcBorders>
            <w:noWrap/>
            <w:vAlign w:val="bottom"/>
            <w:hideMark/>
          </w:tcPr>
          <w:p w14:paraId="13604D8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08AF7B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E4D8F0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075DDD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4CC14B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402</w:t>
            </w:r>
          </w:p>
        </w:tc>
        <w:tc>
          <w:tcPr>
            <w:tcW w:w="840" w:type="dxa"/>
            <w:tcBorders>
              <w:top w:val="nil"/>
              <w:left w:val="nil"/>
              <w:bottom w:val="single" w:sz="4" w:space="0" w:color="auto"/>
              <w:right w:val="single" w:sz="4" w:space="0" w:color="auto"/>
            </w:tcBorders>
            <w:noWrap/>
            <w:vAlign w:val="bottom"/>
            <w:hideMark/>
          </w:tcPr>
          <w:p w14:paraId="044460C5"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E410B5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05C845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84DA38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90</w:t>
            </w:r>
          </w:p>
        </w:tc>
      </w:tr>
      <w:tr w:rsidR="001D4AC9" w:rsidRPr="001D4AC9" w14:paraId="512B03CE" w14:textId="77777777" w:rsidTr="001D4AC9">
        <w:trPr>
          <w:trHeight w:val="493"/>
        </w:trPr>
        <w:tc>
          <w:tcPr>
            <w:tcW w:w="5240" w:type="dxa"/>
            <w:tcBorders>
              <w:top w:val="nil"/>
              <w:left w:val="single" w:sz="4" w:space="0" w:color="auto"/>
              <w:bottom w:val="single" w:sz="4" w:space="0" w:color="auto"/>
              <w:right w:val="single" w:sz="4" w:space="0" w:color="auto"/>
            </w:tcBorders>
            <w:noWrap/>
            <w:vAlign w:val="bottom"/>
            <w:hideMark/>
          </w:tcPr>
          <w:p w14:paraId="26733927" w14:textId="77777777" w:rsidR="001D4AC9" w:rsidRPr="001D4AC9" w:rsidRDefault="001D4AC9" w:rsidP="001D4AC9">
            <w:pPr>
              <w:keepNext w:val="0"/>
              <w:spacing w:before="0"/>
              <w:rPr>
                <w:rFonts w:cs="Arial"/>
                <w:b/>
                <w:bCs/>
                <w:color w:val="0000FF"/>
                <w:szCs w:val="24"/>
              </w:rPr>
            </w:pPr>
            <w:r w:rsidRPr="001D4AC9">
              <w:rPr>
                <w:rFonts w:cs="Arial"/>
                <w:b/>
                <w:bCs/>
                <w:color w:val="0000FF"/>
                <w:szCs w:val="24"/>
              </w:rPr>
              <w:t>Known PD/Prior Approvals</w:t>
            </w:r>
          </w:p>
        </w:tc>
        <w:tc>
          <w:tcPr>
            <w:tcW w:w="1602" w:type="dxa"/>
            <w:tcBorders>
              <w:top w:val="nil"/>
              <w:left w:val="nil"/>
              <w:bottom w:val="single" w:sz="4" w:space="0" w:color="auto"/>
              <w:right w:val="single" w:sz="4" w:space="0" w:color="auto"/>
            </w:tcBorders>
            <w:noWrap/>
            <w:vAlign w:val="bottom"/>
            <w:hideMark/>
          </w:tcPr>
          <w:p w14:paraId="2D646450"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w:t>
            </w:r>
          </w:p>
        </w:tc>
        <w:tc>
          <w:tcPr>
            <w:tcW w:w="1100" w:type="dxa"/>
            <w:tcBorders>
              <w:top w:val="nil"/>
              <w:left w:val="nil"/>
              <w:bottom w:val="single" w:sz="4" w:space="0" w:color="auto"/>
              <w:right w:val="single" w:sz="4" w:space="0" w:color="auto"/>
            </w:tcBorders>
            <w:shd w:val="clear" w:color="000000" w:fill="D9D9D9"/>
            <w:noWrap/>
            <w:vAlign w:val="bottom"/>
            <w:hideMark/>
          </w:tcPr>
          <w:p w14:paraId="7F690E0D"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14</w:t>
            </w:r>
          </w:p>
        </w:tc>
        <w:tc>
          <w:tcPr>
            <w:tcW w:w="1060" w:type="dxa"/>
            <w:tcBorders>
              <w:top w:val="nil"/>
              <w:left w:val="nil"/>
              <w:bottom w:val="single" w:sz="4" w:space="0" w:color="auto"/>
              <w:right w:val="nil"/>
            </w:tcBorders>
            <w:shd w:val="clear" w:color="000000" w:fill="D9D9D9"/>
            <w:noWrap/>
            <w:vAlign w:val="bottom"/>
            <w:hideMark/>
          </w:tcPr>
          <w:p w14:paraId="7C4D0360"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w:t>
            </w:r>
          </w:p>
        </w:tc>
        <w:tc>
          <w:tcPr>
            <w:tcW w:w="840" w:type="dxa"/>
            <w:tcBorders>
              <w:top w:val="nil"/>
              <w:left w:val="single" w:sz="4" w:space="0" w:color="auto"/>
              <w:bottom w:val="single" w:sz="4" w:space="0" w:color="auto"/>
              <w:right w:val="single" w:sz="4" w:space="0" w:color="auto"/>
            </w:tcBorders>
            <w:shd w:val="clear" w:color="000000" w:fill="DDEBF7"/>
            <w:noWrap/>
            <w:vAlign w:val="bottom"/>
            <w:hideMark/>
          </w:tcPr>
          <w:p w14:paraId="3187876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w:t>
            </w:r>
          </w:p>
        </w:tc>
        <w:tc>
          <w:tcPr>
            <w:tcW w:w="840" w:type="dxa"/>
            <w:tcBorders>
              <w:top w:val="nil"/>
              <w:left w:val="nil"/>
              <w:bottom w:val="single" w:sz="4" w:space="0" w:color="auto"/>
              <w:right w:val="single" w:sz="4" w:space="0" w:color="auto"/>
            </w:tcBorders>
            <w:shd w:val="clear" w:color="000000" w:fill="DDEBF7"/>
            <w:noWrap/>
            <w:vAlign w:val="bottom"/>
            <w:hideMark/>
          </w:tcPr>
          <w:p w14:paraId="3762CBFE"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DDEBF7"/>
            <w:noWrap/>
            <w:vAlign w:val="bottom"/>
            <w:hideMark/>
          </w:tcPr>
          <w:p w14:paraId="6438AAF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DDEBF7"/>
            <w:noWrap/>
            <w:vAlign w:val="bottom"/>
            <w:hideMark/>
          </w:tcPr>
          <w:p w14:paraId="6D046BF9"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980" w:type="dxa"/>
            <w:tcBorders>
              <w:top w:val="nil"/>
              <w:left w:val="nil"/>
              <w:bottom w:val="single" w:sz="4" w:space="0" w:color="auto"/>
              <w:right w:val="single" w:sz="4" w:space="0" w:color="auto"/>
            </w:tcBorders>
            <w:shd w:val="clear" w:color="000000" w:fill="DDEBF7"/>
            <w:noWrap/>
            <w:vAlign w:val="bottom"/>
            <w:hideMark/>
          </w:tcPr>
          <w:p w14:paraId="5DAF14E9"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20C2066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4E7BD257"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7F412D4B"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02738059"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240F919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04518E6D"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47D1AF0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5234B207"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4A9E9481"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40B3EA29"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r>
      <w:tr w:rsidR="001D4AC9" w:rsidRPr="001D4AC9" w14:paraId="34B0B801"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7A3DD8A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Within 5 years</w:t>
            </w:r>
          </w:p>
        </w:tc>
        <w:tc>
          <w:tcPr>
            <w:tcW w:w="1602" w:type="dxa"/>
            <w:tcBorders>
              <w:top w:val="nil"/>
              <w:left w:val="nil"/>
              <w:bottom w:val="single" w:sz="4" w:space="0" w:color="auto"/>
              <w:right w:val="single" w:sz="4" w:space="0" w:color="auto"/>
            </w:tcBorders>
            <w:noWrap/>
            <w:vAlign w:val="bottom"/>
            <w:hideMark/>
          </w:tcPr>
          <w:p w14:paraId="31ADE20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76C3F7B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5703CA0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476B3E2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83C0115"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102753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656CEA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0B431EE3"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1</w:t>
            </w:r>
          </w:p>
        </w:tc>
        <w:tc>
          <w:tcPr>
            <w:tcW w:w="840" w:type="dxa"/>
            <w:tcBorders>
              <w:top w:val="nil"/>
              <w:left w:val="nil"/>
              <w:bottom w:val="single" w:sz="4" w:space="0" w:color="auto"/>
              <w:right w:val="single" w:sz="4" w:space="0" w:color="auto"/>
            </w:tcBorders>
            <w:noWrap/>
            <w:vAlign w:val="bottom"/>
            <w:hideMark/>
          </w:tcPr>
          <w:p w14:paraId="290496C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01804A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476C69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BAD85D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AF4740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F14122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00A15D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DF4127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774949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E75B51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r>
      <w:tr w:rsidR="001D4AC9" w:rsidRPr="001D4AC9" w14:paraId="1DB6AB14"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7A8FBC07"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 years post adoption</w:t>
            </w:r>
          </w:p>
        </w:tc>
        <w:tc>
          <w:tcPr>
            <w:tcW w:w="1602" w:type="dxa"/>
            <w:tcBorders>
              <w:top w:val="nil"/>
              <w:left w:val="nil"/>
              <w:bottom w:val="single" w:sz="4" w:space="0" w:color="auto"/>
              <w:right w:val="single" w:sz="4" w:space="0" w:color="auto"/>
            </w:tcBorders>
            <w:noWrap/>
            <w:vAlign w:val="bottom"/>
            <w:hideMark/>
          </w:tcPr>
          <w:p w14:paraId="772D453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1EC42AF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66B1083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30941E1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D52129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0A12A3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1DC57C5"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4D1FDC5C" w14:textId="77777777" w:rsidR="001D4AC9" w:rsidRPr="001D4AC9" w:rsidRDefault="001D4AC9" w:rsidP="001D4AC9">
            <w:pPr>
              <w:keepNext w:val="0"/>
              <w:spacing w:before="0"/>
              <w:rPr>
                <w:rFonts w:cs="Arial"/>
                <w:b/>
                <w:bCs/>
                <w:color w:val="0000FF"/>
                <w:sz w:val="20"/>
              </w:rPr>
            </w:pPr>
            <w:r w:rsidRPr="001D4AC9">
              <w:rPr>
                <w:rFonts w:cs="Arial"/>
                <w:b/>
                <w:bCs/>
                <w:color w:val="0000FF"/>
                <w:sz w:val="20"/>
              </w:rPr>
              <w:t> </w:t>
            </w:r>
          </w:p>
        </w:tc>
        <w:tc>
          <w:tcPr>
            <w:tcW w:w="840" w:type="dxa"/>
            <w:tcBorders>
              <w:top w:val="nil"/>
              <w:left w:val="nil"/>
              <w:bottom w:val="single" w:sz="4" w:space="0" w:color="auto"/>
              <w:right w:val="single" w:sz="4" w:space="0" w:color="auto"/>
            </w:tcBorders>
            <w:noWrap/>
            <w:vAlign w:val="bottom"/>
            <w:hideMark/>
          </w:tcPr>
          <w:p w14:paraId="5A558D50"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noWrap/>
            <w:vAlign w:val="bottom"/>
            <w:hideMark/>
          </w:tcPr>
          <w:p w14:paraId="1F1B126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C9CBE5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43E3AA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25C59F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BF3BE3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noWrap/>
            <w:vAlign w:val="bottom"/>
            <w:hideMark/>
          </w:tcPr>
          <w:p w14:paraId="30D4C5B5"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DB16B0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A64915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F28725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r>
      <w:tr w:rsidR="001D4AC9" w:rsidRPr="001D4AC9" w14:paraId="222FBFFC" w14:textId="77777777" w:rsidTr="001D4AC9">
        <w:trPr>
          <w:trHeight w:val="540"/>
        </w:trPr>
        <w:tc>
          <w:tcPr>
            <w:tcW w:w="5240" w:type="dxa"/>
            <w:tcBorders>
              <w:top w:val="nil"/>
              <w:left w:val="single" w:sz="4" w:space="0" w:color="auto"/>
              <w:bottom w:val="single" w:sz="4" w:space="0" w:color="auto"/>
              <w:right w:val="single" w:sz="4" w:space="0" w:color="auto"/>
            </w:tcBorders>
            <w:noWrap/>
            <w:vAlign w:val="bottom"/>
            <w:hideMark/>
          </w:tcPr>
          <w:p w14:paraId="03CDD857" w14:textId="77777777" w:rsidR="001D4AC9" w:rsidRPr="001D4AC9" w:rsidRDefault="001D4AC9" w:rsidP="001D4AC9">
            <w:pPr>
              <w:keepNext w:val="0"/>
              <w:spacing w:before="0"/>
              <w:rPr>
                <w:rFonts w:cs="Arial"/>
                <w:color w:val="0000FF"/>
                <w:szCs w:val="24"/>
              </w:rPr>
            </w:pPr>
            <w:r w:rsidRPr="001D4AC9">
              <w:rPr>
                <w:rFonts w:cs="Arial"/>
                <w:b/>
                <w:bCs/>
                <w:color w:val="0000FF"/>
                <w:szCs w:val="24"/>
              </w:rPr>
              <w:t>C2 schemes</w:t>
            </w:r>
            <w:r w:rsidRPr="001D4AC9">
              <w:rPr>
                <w:rFonts w:cs="Arial"/>
                <w:color w:val="0000FF"/>
                <w:szCs w:val="24"/>
              </w:rPr>
              <w:t xml:space="preserve"> (Dwelling </w:t>
            </w:r>
            <w:proofErr w:type="gramStart"/>
            <w:r w:rsidRPr="001D4AC9">
              <w:rPr>
                <w:rFonts w:cs="Arial"/>
                <w:color w:val="0000FF"/>
                <w:szCs w:val="24"/>
              </w:rPr>
              <w:t>equivalent)*</w:t>
            </w:r>
            <w:proofErr w:type="gramEnd"/>
            <w:r w:rsidRPr="001D4AC9">
              <w:rPr>
                <w:rFonts w:cs="Arial"/>
                <w:color w:val="0000FF"/>
                <w:szCs w:val="24"/>
              </w:rPr>
              <w:t>*</w:t>
            </w:r>
          </w:p>
        </w:tc>
        <w:tc>
          <w:tcPr>
            <w:tcW w:w="1602" w:type="dxa"/>
            <w:tcBorders>
              <w:top w:val="nil"/>
              <w:left w:val="nil"/>
              <w:bottom w:val="single" w:sz="4" w:space="0" w:color="auto"/>
              <w:right w:val="single" w:sz="4" w:space="0" w:color="auto"/>
            </w:tcBorders>
            <w:noWrap/>
            <w:vAlign w:val="bottom"/>
            <w:hideMark/>
          </w:tcPr>
          <w:p w14:paraId="0AF12C51"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7</w:t>
            </w:r>
          </w:p>
        </w:tc>
        <w:tc>
          <w:tcPr>
            <w:tcW w:w="1100" w:type="dxa"/>
            <w:tcBorders>
              <w:top w:val="nil"/>
              <w:left w:val="nil"/>
              <w:bottom w:val="single" w:sz="4" w:space="0" w:color="auto"/>
              <w:right w:val="single" w:sz="4" w:space="0" w:color="auto"/>
            </w:tcBorders>
            <w:shd w:val="clear" w:color="000000" w:fill="D9D9D9"/>
            <w:noWrap/>
            <w:vAlign w:val="bottom"/>
            <w:hideMark/>
          </w:tcPr>
          <w:p w14:paraId="613DE76E"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1060" w:type="dxa"/>
            <w:tcBorders>
              <w:top w:val="nil"/>
              <w:left w:val="nil"/>
              <w:bottom w:val="single" w:sz="4" w:space="0" w:color="auto"/>
              <w:right w:val="nil"/>
            </w:tcBorders>
            <w:shd w:val="clear" w:color="000000" w:fill="D9D9D9"/>
            <w:noWrap/>
            <w:vAlign w:val="bottom"/>
            <w:hideMark/>
          </w:tcPr>
          <w:p w14:paraId="1EE4562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w:t>
            </w:r>
          </w:p>
        </w:tc>
        <w:tc>
          <w:tcPr>
            <w:tcW w:w="840" w:type="dxa"/>
            <w:tcBorders>
              <w:top w:val="nil"/>
              <w:left w:val="single" w:sz="4" w:space="0" w:color="auto"/>
              <w:bottom w:val="single" w:sz="4" w:space="0" w:color="auto"/>
              <w:right w:val="single" w:sz="4" w:space="0" w:color="auto"/>
            </w:tcBorders>
            <w:shd w:val="clear" w:color="000000" w:fill="DDEBF7"/>
            <w:noWrap/>
            <w:vAlign w:val="bottom"/>
            <w:hideMark/>
          </w:tcPr>
          <w:p w14:paraId="38CA054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6</w:t>
            </w:r>
          </w:p>
        </w:tc>
        <w:tc>
          <w:tcPr>
            <w:tcW w:w="840" w:type="dxa"/>
            <w:tcBorders>
              <w:top w:val="nil"/>
              <w:left w:val="nil"/>
              <w:bottom w:val="single" w:sz="4" w:space="0" w:color="auto"/>
              <w:right w:val="single" w:sz="4" w:space="0" w:color="auto"/>
            </w:tcBorders>
            <w:shd w:val="clear" w:color="000000" w:fill="DDEBF7"/>
            <w:noWrap/>
            <w:vAlign w:val="bottom"/>
            <w:hideMark/>
          </w:tcPr>
          <w:p w14:paraId="3939A9A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w:t>
            </w:r>
          </w:p>
        </w:tc>
        <w:tc>
          <w:tcPr>
            <w:tcW w:w="840" w:type="dxa"/>
            <w:tcBorders>
              <w:top w:val="nil"/>
              <w:left w:val="nil"/>
              <w:bottom w:val="single" w:sz="4" w:space="0" w:color="auto"/>
              <w:right w:val="single" w:sz="4" w:space="0" w:color="auto"/>
            </w:tcBorders>
            <w:shd w:val="clear" w:color="000000" w:fill="DDEBF7"/>
            <w:noWrap/>
            <w:vAlign w:val="bottom"/>
            <w:hideMark/>
          </w:tcPr>
          <w:p w14:paraId="742EF16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DDEBF7"/>
            <w:noWrap/>
            <w:vAlign w:val="bottom"/>
            <w:hideMark/>
          </w:tcPr>
          <w:p w14:paraId="47EF753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980" w:type="dxa"/>
            <w:tcBorders>
              <w:top w:val="nil"/>
              <w:left w:val="nil"/>
              <w:bottom w:val="single" w:sz="4" w:space="0" w:color="auto"/>
              <w:right w:val="single" w:sz="4" w:space="0" w:color="auto"/>
            </w:tcBorders>
            <w:shd w:val="clear" w:color="000000" w:fill="DDEBF7"/>
            <w:noWrap/>
            <w:vAlign w:val="bottom"/>
            <w:hideMark/>
          </w:tcPr>
          <w:p w14:paraId="4870FB20"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315ED849"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1E9C444F"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6BF551BB"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3D4D544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5AA68CBE"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42723F4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33F229A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6C341772"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25746A5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7E1FBA01"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r>
      <w:tr w:rsidR="001D4AC9" w:rsidRPr="001D4AC9" w14:paraId="55C65229"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1CE4F7B2"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Within 5 years</w:t>
            </w:r>
          </w:p>
        </w:tc>
        <w:tc>
          <w:tcPr>
            <w:tcW w:w="1602" w:type="dxa"/>
            <w:tcBorders>
              <w:top w:val="nil"/>
              <w:left w:val="nil"/>
              <w:bottom w:val="single" w:sz="4" w:space="0" w:color="auto"/>
              <w:right w:val="single" w:sz="4" w:space="0" w:color="auto"/>
            </w:tcBorders>
            <w:noWrap/>
            <w:vAlign w:val="bottom"/>
            <w:hideMark/>
          </w:tcPr>
          <w:p w14:paraId="16FF36A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57DFF64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45F83E0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5F6FDDB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199B38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0886FF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D3D677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67B66A23"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7</w:t>
            </w:r>
          </w:p>
        </w:tc>
        <w:tc>
          <w:tcPr>
            <w:tcW w:w="840" w:type="dxa"/>
            <w:tcBorders>
              <w:top w:val="nil"/>
              <w:left w:val="nil"/>
              <w:bottom w:val="single" w:sz="4" w:space="0" w:color="auto"/>
              <w:right w:val="single" w:sz="4" w:space="0" w:color="auto"/>
            </w:tcBorders>
            <w:noWrap/>
            <w:vAlign w:val="bottom"/>
            <w:hideMark/>
          </w:tcPr>
          <w:p w14:paraId="5C12A5F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274F79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C4B9BB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BA2CF3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FF37EB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B510C3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F4F979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B77595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CAC38F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613844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r>
      <w:tr w:rsidR="001D4AC9" w:rsidRPr="001D4AC9" w14:paraId="04D6ADA7"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344ADBD7"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 years post adoption</w:t>
            </w:r>
          </w:p>
        </w:tc>
        <w:tc>
          <w:tcPr>
            <w:tcW w:w="1602" w:type="dxa"/>
            <w:tcBorders>
              <w:top w:val="nil"/>
              <w:left w:val="nil"/>
              <w:bottom w:val="single" w:sz="4" w:space="0" w:color="auto"/>
              <w:right w:val="single" w:sz="4" w:space="0" w:color="auto"/>
            </w:tcBorders>
            <w:noWrap/>
            <w:vAlign w:val="bottom"/>
            <w:hideMark/>
          </w:tcPr>
          <w:p w14:paraId="36E0A4F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63266E9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546DEAF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17DC5B4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BA6803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D90C9F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6A1E83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3C56891B" w14:textId="77777777" w:rsidR="001D4AC9" w:rsidRPr="001D4AC9" w:rsidRDefault="001D4AC9" w:rsidP="001D4AC9">
            <w:pPr>
              <w:keepNext w:val="0"/>
              <w:spacing w:before="0"/>
              <w:rPr>
                <w:rFonts w:cs="Arial"/>
                <w:b/>
                <w:bCs/>
                <w:color w:val="0000FF"/>
                <w:sz w:val="20"/>
              </w:rPr>
            </w:pPr>
            <w:r w:rsidRPr="001D4AC9">
              <w:rPr>
                <w:rFonts w:cs="Arial"/>
                <w:b/>
                <w:bCs/>
                <w:color w:val="0000FF"/>
                <w:sz w:val="20"/>
              </w:rPr>
              <w:t> </w:t>
            </w:r>
          </w:p>
        </w:tc>
        <w:tc>
          <w:tcPr>
            <w:tcW w:w="840" w:type="dxa"/>
            <w:tcBorders>
              <w:top w:val="nil"/>
              <w:left w:val="nil"/>
              <w:bottom w:val="single" w:sz="4" w:space="0" w:color="auto"/>
              <w:right w:val="single" w:sz="4" w:space="0" w:color="auto"/>
            </w:tcBorders>
            <w:noWrap/>
            <w:vAlign w:val="bottom"/>
            <w:hideMark/>
          </w:tcPr>
          <w:p w14:paraId="5ED6A5D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w:t>
            </w:r>
          </w:p>
        </w:tc>
        <w:tc>
          <w:tcPr>
            <w:tcW w:w="840" w:type="dxa"/>
            <w:tcBorders>
              <w:top w:val="nil"/>
              <w:left w:val="nil"/>
              <w:bottom w:val="single" w:sz="4" w:space="0" w:color="auto"/>
              <w:right w:val="single" w:sz="4" w:space="0" w:color="auto"/>
            </w:tcBorders>
            <w:noWrap/>
            <w:vAlign w:val="bottom"/>
            <w:hideMark/>
          </w:tcPr>
          <w:p w14:paraId="6BA57C40"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noWrap/>
            <w:vAlign w:val="bottom"/>
            <w:hideMark/>
          </w:tcPr>
          <w:p w14:paraId="469C9E35"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16E33F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BCB727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6F38890"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noWrap/>
            <w:vAlign w:val="bottom"/>
            <w:hideMark/>
          </w:tcPr>
          <w:p w14:paraId="07CAE46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DA88F45"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68D13B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D3A68E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r>
      <w:tr w:rsidR="001D4AC9" w:rsidRPr="001D4AC9" w14:paraId="35196C97" w14:textId="77777777" w:rsidTr="001D4AC9">
        <w:trPr>
          <w:trHeight w:val="310"/>
        </w:trPr>
        <w:tc>
          <w:tcPr>
            <w:tcW w:w="5240" w:type="dxa"/>
            <w:tcBorders>
              <w:top w:val="nil"/>
              <w:left w:val="single" w:sz="4" w:space="0" w:color="auto"/>
              <w:bottom w:val="single" w:sz="4" w:space="0" w:color="auto"/>
              <w:right w:val="single" w:sz="4" w:space="0" w:color="auto"/>
            </w:tcBorders>
            <w:noWrap/>
            <w:vAlign w:val="bottom"/>
            <w:hideMark/>
          </w:tcPr>
          <w:p w14:paraId="3AD08356" w14:textId="77777777" w:rsidR="001D4AC9" w:rsidRPr="001D4AC9" w:rsidRDefault="001D4AC9" w:rsidP="001D4AC9">
            <w:pPr>
              <w:keepNext w:val="0"/>
              <w:spacing w:before="0"/>
              <w:rPr>
                <w:rFonts w:cs="Arial"/>
                <w:b/>
                <w:bCs/>
                <w:color w:val="0000FF"/>
                <w:szCs w:val="24"/>
              </w:rPr>
            </w:pPr>
            <w:r w:rsidRPr="001D4AC9">
              <w:rPr>
                <w:rFonts w:cs="Arial"/>
                <w:b/>
                <w:bCs/>
                <w:color w:val="0000FF"/>
                <w:szCs w:val="24"/>
              </w:rPr>
              <w:t>Demolitions with planning permission</w:t>
            </w:r>
          </w:p>
        </w:tc>
        <w:tc>
          <w:tcPr>
            <w:tcW w:w="1602" w:type="dxa"/>
            <w:tcBorders>
              <w:top w:val="nil"/>
              <w:left w:val="nil"/>
              <w:bottom w:val="single" w:sz="4" w:space="0" w:color="auto"/>
              <w:right w:val="single" w:sz="4" w:space="0" w:color="auto"/>
            </w:tcBorders>
            <w:noWrap/>
            <w:vAlign w:val="bottom"/>
            <w:hideMark/>
          </w:tcPr>
          <w:p w14:paraId="6C4B3F6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-3</w:t>
            </w:r>
          </w:p>
        </w:tc>
        <w:tc>
          <w:tcPr>
            <w:tcW w:w="1100" w:type="dxa"/>
            <w:tcBorders>
              <w:top w:val="nil"/>
              <w:left w:val="nil"/>
              <w:bottom w:val="single" w:sz="4" w:space="0" w:color="auto"/>
              <w:right w:val="single" w:sz="4" w:space="0" w:color="auto"/>
            </w:tcBorders>
            <w:shd w:val="clear" w:color="000000" w:fill="D9D9D9"/>
            <w:noWrap/>
            <w:vAlign w:val="bottom"/>
            <w:hideMark/>
          </w:tcPr>
          <w:p w14:paraId="1DCC1EFF"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w:t>
            </w:r>
          </w:p>
        </w:tc>
        <w:tc>
          <w:tcPr>
            <w:tcW w:w="1060" w:type="dxa"/>
            <w:tcBorders>
              <w:top w:val="nil"/>
              <w:left w:val="nil"/>
              <w:bottom w:val="single" w:sz="4" w:space="0" w:color="auto"/>
              <w:right w:val="nil"/>
            </w:tcBorders>
            <w:shd w:val="clear" w:color="000000" w:fill="D9D9D9"/>
            <w:noWrap/>
            <w:vAlign w:val="bottom"/>
            <w:hideMark/>
          </w:tcPr>
          <w:p w14:paraId="3ACDE8B1"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w:t>
            </w:r>
          </w:p>
        </w:tc>
        <w:tc>
          <w:tcPr>
            <w:tcW w:w="840" w:type="dxa"/>
            <w:tcBorders>
              <w:top w:val="nil"/>
              <w:left w:val="single" w:sz="4" w:space="0" w:color="auto"/>
              <w:bottom w:val="single" w:sz="4" w:space="0" w:color="auto"/>
              <w:right w:val="single" w:sz="4" w:space="0" w:color="auto"/>
            </w:tcBorders>
            <w:shd w:val="clear" w:color="000000" w:fill="DDEBF7"/>
            <w:noWrap/>
            <w:vAlign w:val="bottom"/>
            <w:hideMark/>
          </w:tcPr>
          <w:p w14:paraId="08648FCB"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w:t>
            </w:r>
          </w:p>
        </w:tc>
        <w:tc>
          <w:tcPr>
            <w:tcW w:w="840" w:type="dxa"/>
            <w:tcBorders>
              <w:top w:val="nil"/>
              <w:left w:val="nil"/>
              <w:bottom w:val="single" w:sz="4" w:space="0" w:color="auto"/>
              <w:right w:val="single" w:sz="4" w:space="0" w:color="auto"/>
            </w:tcBorders>
            <w:shd w:val="clear" w:color="000000" w:fill="DDEBF7"/>
            <w:noWrap/>
            <w:vAlign w:val="bottom"/>
            <w:hideMark/>
          </w:tcPr>
          <w:p w14:paraId="14ED08C9"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w:t>
            </w:r>
          </w:p>
        </w:tc>
        <w:tc>
          <w:tcPr>
            <w:tcW w:w="840" w:type="dxa"/>
            <w:tcBorders>
              <w:top w:val="nil"/>
              <w:left w:val="nil"/>
              <w:bottom w:val="single" w:sz="4" w:space="0" w:color="auto"/>
              <w:right w:val="single" w:sz="4" w:space="0" w:color="auto"/>
            </w:tcBorders>
            <w:shd w:val="clear" w:color="000000" w:fill="DDEBF7"/>
            <w:noWrap/>
            <w:vAlign w:val="bottom"/>
            <w:hideMark/>
          </w:tcPr>
          <w:p w14:paraId="6476B6A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DDEBF7"/>
            <w:noWrap/>
            <w:vAlign w:val="bottom"/>
            <w:hideMark/>
          </w:tcPr>
          <w:p w14:paraId="394AD26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980" w:type="dxa"/>
            <w:tcBorders>
              <w:top w:val="nil"/>
              <w:left w:val="nil"/>
              <w:bottom w:val="single" w:sz="4" w:space="0" w:color="auto"/>
              <w:right w:val="single" w:sz="4" w:space="0" w:color="auto"/>
            </w:tcBorders>
            <w:shd w:val="clear" w:color="000000" w:fill="DDEBF7"/>
            <w:noWrap/>
            <w:vAlign w:val="bottom"/>
            <w:hideMark/>
          </w:tcPr>
          <w:p w14:paraId="0676A52B"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10AB1DBE"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0FA0C191"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252E8C5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05CB26C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BDD7EE"/>
            <w:noWrap/>
            <w:vAlign w:val="bottom"/>
            <w:hideMark/>
          </w:tcPr>
          <w:p w14:paraId="5D9B37BE"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26B66E9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3FBE1071"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79899A9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2EFD5187"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F2F2F2"/>
            <w:noWrap/>
            <w:vAlign w:val="bottom"/>
            <w:hideMark/>
          </w:tcPr>
          <w:p w14:paraId="472D6F7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r>
      <w:tr w:rsidR="001D4AC9" w:rsidRPr="001D4AC9" w14:paraId="3B4AC1DD"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2B67A03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Within 5 years</w:t>
            </w:r>
          </w:p>
        </w:tc>
        <w:tc>
          <w:tcPr>
            <w:tcW w:w="1602" w:type="dxa"/>
            <w:tcBorders>
              <w:top w:val="nil"/>
              <w:left w:val="nil"/>
              <w:bottom w:val="single" w:sz="4" w:space="0" w:color="auto"/>
              <w:right w:val="single" w:sz="4" w:space="0" w:color="auto"/>
            </w:tcBorders>
            <w:noWrap/>
            <w:vAlign w:val="bottom"/>
            <w:hideMark/>
          </w:tcPr>
          <w:p w14:paraId="417A432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0A6E517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4536E03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6545B15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DB067D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38D514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F74731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416F8F05"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-3</w:t>
            </w:r>
          </w:p>
        </w:tc>
        <w:tc>
          <w:tcPr>
            <w:tcW w:w="840" w:type="dxa"/>
            <w:tcBorders>
              <w:top w:val="nil"/>
              <w:left w:val="nil"/>
              <w:bottom w:val="single" w:sz="4" w:space="0" w:color="auto"/>
              <w:right w:val="single" w:sz="4" w:space="0" w:color="auto"/>
            </w:tcBorders>
            <w:noWrap/>
            <w:vAlign w:val="bottom"/>
            <w:hideMark/>
          </w:tcPr>
          <w:p w14:paraId="6FCE9AF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41BE20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CBA05F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783F17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BD3D53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8A7C7D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7AB798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861D66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C6B2D9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6C1FE6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r>
      <w:tr w:rsidR="001D4AC9" w:rsidRPr="001D4AC9" w14:paraId="472BE543"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3DFC177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 years post adoption</w:t>
            </w:r>
          </w:p>
        </w:tc>
        <w:tc>
          <w:tcPr>
            <w:tcW w:w="1602" w:type="dxa"/>
            <w:tcBorders>
              <w:top w:val="nil"/>
              <w:left w:val="nil"/>
              <w:bottom w:val="single" w:sz="4" w:space="0" w:color="auto"/>
              <w:right w:val="single" w:sz="4" w:space="0" w:color="auto"/>
            </w:tcBorders>
            <w:noWrap/>
            <w:vAlign w:val="bottom"/>
            <w:hideMark/>
          </w:tcPr>
          <w:p w14:paraId="0B1C5A4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59C0959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4C385B8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291B824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F611DB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BBE5D2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108B9A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46C6E15B" w14:textId="77777777" w:rsidR="001D4AC9" w:rsidRPr="001D4AC9" w:rsidRDefault="001D4AC9" w:rsidP="001D4AC9">
            <w:pPr>
              <w:keepNext w:val="0"/>
              <w:spacing w:before="0"/>
              <w:rPr>
                <w:rFonts w:cs="Arial"/>
                <w:b/>
                <w:bCs/>
                <w:color w:val="0000FF"/>
                <w:sz w:val="20"/>
              </w:rPr>
            </w:pPr>
            <w:r w:rsidRPr="001D4AC9">
              <w:rPr>
                <w:rFonts w:cs="Arial"/>
                <w:b/>
                <w:bCs/>
                <w:color w:val="0000FF"/>
                <w:sz w:val="20"/>
              </w:rPr>
              <w:t> </w:t>
            </w:r>
          </w:p>
        </w:tc>
        <w:tc>
          <w:tcPr>
            <w:tcW w:w="840" w:type="dxa"/>
            <w:tcBorders>
              <w:top w:val="nil"/>
              <w:left w:val="nil"/>
              <w:bottom w:val="single" w:sz="4" w:space="0" w:color="auto"/>
              <w:right w:val="single" w:sz="4" w:space="0" w:color="auto"/>
            </w:tcBorders>
            <w:noWrap/>
            <w:vAlign w:val="bottom"/>
            <w:hideMark/>
          </w:tcPr>
          <w:p w14:paraId="56C047E9"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w:t>
            </w:r>
          </w:p>
        </w:tc>
        <w:tc>
          <w:tcPr>
            <w:tcW w:w="840" w:type="dxa"/>
            <w:tcBorders>
              <w:top w:val="nil"/>
              <w:left w:val="nil"/>
              <w:bottom w:val="single" w:sz="4" w:space="0" w:color="auto"/>
              <w:right w:val="single" w:sz="4" w:space="0" w:color="auto"/>
            </w:tcBorders>
            <w:noWrap/>
            <w:vAlign w:val="bottom"/>
            <w:hideMark/>
          </w:tcPr>
          <w:p w14:paraId="2993918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D41F63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68FEC4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A685E7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0FE0DE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noWrap/>
            <w:vAlign w:val="bottom"/>
            <w:hideMark/>
          </w:tcPr>
          <w:p w14:paraId="5D67E94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66D0F9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0FC535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B1747D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r>
      <w:tr w:rsidR="001D4AC9" w:rsidRPr="001D4AC9" w14:paraId="3524B895" w14:textId="77777777" w:rsidTr="001D4AC9">
        <w:trPr>
          <w:trHeight w:val="540"/>
        </w:trPr>
        <w:tc>
          <w:tcPr>
            <w:tcW w:w="5240" w:type="dxa"/>
            <w:tcBorders>
              <w:top w:val="nil"/>
              <w:left w:val="single" w:sz="4" w:space="0" w:color="auto"/>
              <w:bottom w:val="single" w:sz="4" w:space="0" w:color="auto"/>
              <w:right w:val="single" w:sz="4" w:space="0" w:color="auto"/>
            </w:tcBorders>
            <w:noWrap/>
            <w:vAlign w:val="bottom"/>
            <w:hideMark/>
          </w:tcPr>
          <w:p w14:paraId="7A071361" w14:textId="77777777" w:rsidR="001D4AC9" w:rsidRPr="001D4AC9" w:rsidRDefault="001D4AC9" w:rsidP="001D4AC9">
            <w:pPr>
              <w:keepNext w:val="0"/>
              <w:spacing w:before="0"/>
              <w:rPr>
                <w:rFonts w:cs="Arial"/>
                <w:b/>
                <w:bCs/>
                <w:color w:val="0000FF"/>
                <w:szCs w:val="24"/>
              </w:rPr>
            </w:pPr>
            <w:r w:rsidRPr="001D4AC9">
              <w:rPr>
                <w:rFonts w:cs="Arial"/>
                <w:b/>
                <w:bCs/>
                <w:color w:val="0000FF"/>
                <w:szCs w:val="24"/>
              </w:rPr>
              <w:t>Large Sites without Planning Permission (Policy H1)</w:t>
            </w:r>
          </w:p>
        </w:tc>
        <w:tc>
          <w:tcPr>
            <w:tcW w:w="1602" w:type="dxa"/>
            <w:tcBorders>
              <w:top w:val="nil"/>
              <w:left w:val="nil"/>
              <w:bottom w:val="single" w:sz="4" w:space="0" w:color="auto"/>
              <w:right w:val="single" w:sz="4" w:space="0" w:color="auto"/>
            </w:tcBorders>
            <w:noWrap/>
            <w:vAlign w:val="bottom"/>
            <w:hideMark/>
          </w:tcPr>
          <w:p w14:paraId="7C7F5A7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3328</w:t>
            </w:r>
          </w:p>
        </w:tc>
        <w:tc>
          <w:tcPr>
            <w:tcW w:w="1100" w:type="dxa"/>
            <w:tcBorders>
              <w:top w:val="nil"/>
              <w:left w:val="nil"/>
              <w:bottom w:val="single" w:sz="4" w:space="0" w:color="auto"/>
              <w:right w:val="single" w:sz="4" w:space="0" w:color="auto"/>
            </w:tcBorders>
            <w:shd w:val="clear" w:color="000000" w:fill="D9D9D9"/>
            <w:noWrap/>
            <w:vAlign w:val="bottom"/>
            <w:hideMark/>
          </w:tcPr>
          <w:p w14:paraId="3CBF36C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1060" w:type="dxa"/>
            <w:tcBorders>
              <w:top w:val="nil"/>
              <w:left w:val="nil"/>
              <w:bottom w:val="single" w:sz="4" w:space="0" w:color="auto"/>
              <w:right w:val="nil"/>
            </w:tcBorders>
            <w:shd w:val="clear" w:color="000000" w:fill="D9D9D9"/>
            <w:noWrap/>
            <w:vAlign w:val="bottom"/>
            <w:hideMark/>
          </w:tcPr>
          <w:p w14:paraId="0EA4D07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single" w:sz="4" w:space="0" w:color="auto"/>
              <w:bottom w:val="single" w:sz="4" w:space="0" w:color="auto"/>
              <w:right w:val="single" w:sz="4" w:space="0" w:color="auto"/>
            </w:tcBorders>
            <w:shd w:val="clear" w:color="000000" w:fill="DDEBF7"/>
            <w:noWrap/>
            <w:vAlign w:val="bottom"/>
            <w:hideMark/>
          </w:tcPr>
          <w:p w14:paraId="63DD9E0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DDEBF7"/>
            <w:noWrap/>
            <w:vAlign w:val="bottom"/>
            <w:hideMark/>
          </w:tcPr>
          <w:p w14:paraId="48051D22"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44</w:t>
            </w:r>
          </w:p>
        </w:tc>
        <w:tc>
          <w:tcPr>
            <w:tcW w:w="840" w:type="dxa"/>
            <w:tcBorders>
              <w:top w:val="nil"/>
              <w:left w:val="nil"/>
              <w:bottom w:val="single" w:sz="4" w:space="0" w:color="auto"/>
              <w:right w:val="single" w:sz="4" w:space="0" w:color="auto"/>
            </w:tcBorders>
            <w:shd w:val="clear" w:color="000000" w:fill="DDEBF7"/>
            <w:noWrap/>
            <w:vAlign w:val="bottom"/>
            <w:hideMark/>
          </w:tcPr>
          <w:p w14:paraId="073B74F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67</w:t>
            </w:r>
          </w:p>
        </w:tc>
        <w:tc>
          <w:tcPr>
            <w:tcW w:w="840" w:type="dxa"/>
            <w:tcBorders>
              <w:top w:val="nil"/>
              <w:left w:val="nil"/>
              <w:bottom w:val="single" w:sz="4" w:space="0" w:color="auto"/>
              <w:right w:val="single" w:sz="4" w:space="0" w:color="auto"/>
            </w:tcBorders>
            <w:shd w:val="clear" w:color="000000" w:fill="DDEBF7"/>
            <w:noWrap/>
            <w:vAlign w:val="bottom"/>
            <w:hideMark/>
          </w:tcPr>
          <w:p w14:paraId="0F03433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64</w:t>
            </w:r>
          </w:p>
        </w:tc>
        <w:tc>
          <w:tcPr>
            <w:tcW w:w="980" w:type="dxa"/>
            <w:tcBorders>
              <w:top w:val="nil"/>
              <w:left w:val="nil"/>
              <w:bottom w:val="single" w:sz="4" w:space="0" w:color="auto"/>
              <w:right w:val="single" w:sz="4" w:space="0" w:color="auto"/>
            </w:tcBorders>
            <w:shd w:val="clear" w:color="000000" w:fill="DDEBF7"/>
            <w:noWrap/>
            <w:vAlign w:val="bottom"/>
            <w:hideMark/>
          </w:tcPr>
          <w:p w14:paraId="0B361E6D"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161</w:t>
            </w:r>
          </w:p>
        </w:tc>
        <w:tc>
          <w:tcPr>
            <w:tcW w:w="840" w:type="dxa"/>
            <w:tcBorders>
              <w:top w:val="nil"/>
              <w:left w:val="nil"/>
              <w:bottom w:val="single" w:sz="4" w:space="0" w:color="auto"/>
              <w:right w:val="single" w:sz="4" w:space="0" w:color="auto"/>
            </w:tcBorders>
            <w:shd w:val="clear" w:color="000000" w:fill="BDD7EE"/>
            <w:noWrap/>
            <w:vAlign w:val="bottom"/>
            <w:hideMark/>
          </w:tcPr>
          <w:p w14:paraId="3639EAB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380</w:t>
            </w:r>
          </w:p>
        </w:tc>
        <w:tc>
          <w:tcPr>
            <w:tcW w:w="840" w:type="dxa"/>
            <w:tcBorders>
              <w:top w:val="nil"/>
              <w:left w:val="nil"/>
              <w:bottom w:val="single" w:sz="4" w:space="0" w:color="auto"/>
              <w:right w:val="single" w:sz="4" w:space="0" w:color="auto"/>
            </w:tcBorders>
            <w:shd w:val="clear" w:color="000000" w:fill="BDD7EE"/>
            <w:noWrap/>
            <w:vAlign w:val="bottom"/>
            <w:hideMark/>
          </w:tcPr>
          <w:p w14:paraId="66EEC51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375</w:t>
            </w:r>
          </w:p>
        </w:tc>
        <w:tc>
          <w:tcPr>
            <w:tcW w:w="840" w:type="dxa"/>
            <w:tcBorders>
              <w:top w:val="nil"/>
              <w:left w:val="nil"/>
              <w:bottom w:val="single" w:sz="4" w:space="0" w:color="auto"/>
              <w:right w:val="single" w:sz="4" w:space="0" w:color="auto"/>
            </w:tcBorders>
            <w:shd w:val="clear" w:color="000000" w:fill="BDD7EE"/>
            <w:noWrap/>
            <w:vAlign w:val="bottom"/>
            <w:hideMark/>
          </w:tcPr>
          <w:p w14:paraId="710B4C21"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416</w:t>
            </w:r>
          </w:p>
        </w:tc>
        <w:tc>
          <w:tcPr>
            <w:tcW w:w="840" w:type="dxa"/>
            <w:tcBorders>
              <w:top w:val="nil"/>
              <w:left w:val="nil"/>
              <w:bottom w:val="single" w:sz="4" w:space="0" w:color="auto"/>
              <w:right w:val="single" w:sz="4" w:space="0" w:color="auto"/>
            </w:tcBorders>
            <w:shd w:val="clear" w:color="000000" w:fill="BDD7EE"/>
            <w:noWrap/>
            <w:vAlign w:val="bottom"/>
            <w:hideMark/>
          </w:tcPr>
          <w:p w14:paraId="5974933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456</w:t>
            </w:r>
          </w:p>
        </w:tc>
        <w:tc>
          <w:tcPr>
            <w:tcW w:w="840" w:type="dxa"/>
            <w:tcBorders>
              <w:top w:val="nil"/>
              <w:left w:val="nil"/>
              <w:bottom w:val="single" w:sz="4" w:space="0" w:color="auto"/>
              <w:right w:val="single" w:sz="4" w:space="0" w:color="auto"/>
            </w:tcBorders>
            <w:shd w:val="clear" w:color="000000" w:fill="BDD7EE"/>
            <w:noWrap/>
            <w:vAlign w:val="bottom"/>
            <w:hideMark/>
          </w:tcPr>
          <w:p w14:paraId="684056F5"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432</w:t>
            </w:r>
          </w:p>
        </w:tc>
        <w:tc>
          <w:tcPr>
            <w:tcW w:w="840" w:type="dxa"/>
            <w:tcBorders>
              <w:top w:val="nil"/>
              <w:left w:val="nil"/>
              <w:bottom w:val="single" w:sz="4" w:space="0" w:color="auto"/>
              <w:right w:val="single" w:sz="4" w:space="0" w:color="auto"/>
            </w:tcBorders>
            <w:shd w:val="clear" w:color="000000" w:fill="F2F2F2"/>
            <w:noWrap/>
            <w:vAlign w:val="bottom"/>
            <w:hideMark/>
          </w:tcPr>
          <w:p w14:paraId="0754D4C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333</w:t>
            </w:r>
          </w:p>
        </w:tc>
        <w:tc>
          <w:tcPr>
            <w:tcW w:w="840" w:type="dxa"/>
            <w:tcBorders>
              <w:top w:val="nil"/>
              <w:left w:val="nil"/>
              <w:bottom w:val="single" w:sz="4" w:space="0" w:color="auto"/>
              <w:right w:val="single" w:sz="4" w:space="0" w:color="auto"/>
            </w:tcBorders>
            <w:shd w:val="clear" w:color="000000" w:fill="F2F2F2"/>
            <w:noWrap/>
            <w:vAlign w:val="bottom"/>
            <w:hideMark/>
          </w:tcPr>
          <w:p w14:paraId="5C731BE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227</w:t>
            </w:r>
          </w:p>
        </w:tc>
        <w:tc>
          <w:tcPr>
            <w:tcW w:w="840" w:type="dxa"/>
            <w:tcBorders>
              <w:top w:val="nil"/>
              <w:left w:val="nil"/>
              <w:bottom w:val="single" w:sz="4" w:space="0" w:color="auto"/>
              <w:right w:val="single" w:sz="4" w:space="0" w:color="auto"/>
            </w:tcBorders>
            <w:shd w:val="clear" w:color="000000" w:fill="F2F2F2"/>
            <w:noWrap/>
            <w:vAlign w:val="bottom"/>
            <w:hideMark/>
          </w:tcPr>
          <w:p w14:paraId="470319D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210</w:t>
            </w:r>
          </w:p>
        </w:tc>
        <w:tc>
          <w:tcPr>
            <w:tcW w:w="840" w:type="dxa"/>
            <w:tcBorders>
              <w:top w:val="nil"/>
              <w:left w:val="nil"/>
              <w:bottom w:val="single" w:sz="4" w:space="0" w:color="auto"/>
              <w:right w:val="single" w:sz="4" w:space="0" w:color="auto"/>
            </w:tcBorders>
            <w:shd w:val="clear" w:color="000000" w:fill="F2F2F2"/>
            <w:noWrap/>
            <w:vAlign w:val="bottom"/>
            <w:hideMark/>
          </w:tcPr>
          <w:p w14:paraId="5D02C5D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93</w:t>
            </w:r>
          </w:p>
        </w:tc>
        <w:tc>
          <w:tcPr>
            <w:tcW w:w="840" w:type="dxa"/>
            <w:tcBorders>
              <w:top w:val="nil"/>
              <w:left w:val="nil"/>
              <w:bottom w:val="single" w:sz="4" w:space="0" w:color="auto"/>
              <w:right w:val="single" w:sz="4" w:space="0" w:color="auto"/>
            </w:tcBorders>
            <w:shd w:val="clear" w:color="000000" w:fill="F2F2F2"/>
            <w:noWrap/>
            <w:vAlign w:val="bottom"/>
            <w:hideMark/>
          </w:tcPr>
          <w:p w14:paraId="4E6C8B31"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70</w:t>
            </w:r>
          </w:p>
        </w:tc>
      </w:tr>
      <w:tr w:rsidR="001D4AC9" w:rsidRPr="001D4AC9" w14:paraId="0C1646B5"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5CCA078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Within 5 years</w:t>
            </w:r>
          </w:p>
        </w:tc>
        <w:tc>
          <w:tcPr>
            <w:tcW w:w="1602" w:type="dxa"/>
            <w:tcBorders>
              <w:top w:val="nil"/>
              <w:left w:val="nil"/>
              <w:bottom w:val="single" w:sz="4" w:space="0" w:color="auto"/>
              <w:right w:val="single" w:sz="4" w:space="0" w:color="auto"/>
            </w:tcBorders>
            <w:noWrap/>
            <w:vAlign w:val="bottom"/>
            <w:hideMark/>
          </w:tcPr>
          <w:p w14:paraId="4D902A0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2EAA044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4B73ADB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2FDBA0E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7B918A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2F2E0B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AA3622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58F89F25"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336</w:t>
            </w:r>
          </w:p>
        </w:tc>
        <w:tc>
          <w:tcPr>
            <w:tcW w:w="840" w:type="dxa"/>
            <w:tcBorders>
              <w:top w:val="nil"/>
              <w:left w:val="nil"/>
              <w:bottom w:val="single" w:sz="4" w:space="0" w:color="auto"/>
              <w:right w:val="single" w:sz="4" w:space="0" w:color="auto"/>
            </w:tcBorders>
            <w:noWrap/>
            <w:vAlign w:val="bottom"/>
            <w:hideMark/>
          </w:tcPr>
          <w:p w14:paraId="54FE44C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9A072A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B5C83D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73B521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9C7D9B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2F7701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994B1F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87C621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6CBF4E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97E447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r>
      <w:tr w:rsidR="001D4AC9" w:rsidRPr="001D4AC9" w14:paraId="0A7EFF6C"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4DA33252"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 years post adoption</w:t>
            </w:r>
          </w:p>
        </w:tc>
        <w:tc>
          <w:tcPr>
            <w:tcW w:w="1602" w:type="dxa"/>
            <w:tcBorders>
              <w:top w:val="nil"/>
              <w:left w:val="nil"/>
              <w:bottom w:val="single" w:sz="4" w:space="0" w:color="auto"/>
              <w:right w:val="single" w:sz="4" w:space="0" w:color="auto"/>
            </w:tcBorders>
            <w:noWrap/>
            <w:vAlign w:val="bottom"/>
            <w:hideMark/>
          </w:tcPr>
          <w:p w14:paraId="08CE3FD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6B7402F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5CA2416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57B3E28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B058A1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E90622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412A0C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69ADC821" w14:textId="77777777" w:rsidR="001D4AC9" w:rsidRPr="001D4AC9" w:rsidRDefault="001D4AC9" w:rsidP="001D4AC9">
            <w:pPr>
              <w:keepNext w:val="0"/>
              <w:spacing w:before="0"/>
              <w:rPr>
                <w:rFonts w:cs="Arial"/>
                <w:b/>
                <w:bCs/>
                <w:color w:val="0000FF"/>
                <w:sz w:val="20"/>
              </w:rPr>
            </w:pPr>
            <w:r w:rsidRPr="001D4AC9">
              <w:rPr>
                <w:rFonts w:cs="Arial"/>
                <w:b/>
                <w:bCs/>
                <w:color w:val="0000FF"/>
                <w:sz w:val="20"/>
              </w:rPr>
              <w:t> </w:t>
            </w:r>
          </w:p>
        </w:tc>
        <w:tc>
          <w:tcPr>
            <w:tcW w:w="840" w:type="dxa"/>
            <w:tcBorders>
              <w:top w:val="nil"/>
              <w:left w:val="nil"/>
              <w:bottom w:val="single" w:sz="4" w:space="0" w:color="auto"/>
              <w:right w:val="single" w:sz="4" w:space="0" w:color="auto"/>
            </w:tcBorders>
            <w:noWrap/>
            <w:vAlign w:val="bottom"/>
            <w:hideMark/>
          </w:tcPr>
          <w:p w14:paraId="4AE386C9"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716</w:t>
            </w:r>
          </w:p>
        </w:tc>
        <w:tc>
          <w:tcPr>
            <w:tcW w:w="840" w:type="dxa"/>
            <w:tcBorders>
              <w:top w:val="nil"/>
              <w:left w:val="nil"/>
              <w:bottom w:val="single" w:sz="4" w:space="0" w:color="auto"/>
              <w:right w:val="single" w:sz="4" w:space="0" w:color="auto"/>
            </w:tcBorders>
            <w:noWrap/>
            <w:vAlign w:val="bottom"/>
            <w:hideMark/>
          </w:tcPr>
          <w:p w14:paraId="15B69CF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9B0A8A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943620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915032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625FF99"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2012</w:t>
            </w:r>
          </w:p>
        </w:tc>
        <w:tc>
          <w:tcPr>
            <w:tcW w:w="840" w:type="dxa"/>
            <w:tcBorders>
              <w:top w:val="nil"/>
              <w:left w:val="nil"/>
              <w:bottom w:val="single" w:sz="4" w:space="0" w:color="auto"/>
              <w:right w:val="single" w:sz="4" w:space="0" w:color="auto"/>
            </w:tcBorders>
            <w:noWrap/>
            <w:vAlign w:val="bottom"/>
            <w:hideMark/>
          </w:tcPr>
          <w:p w14:paraId="0ACB7F0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3BD4FF5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554979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948D77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600</w:t>
            </w:r>
          </w:p>
        </w:tc>
      </w:tr>
      <w:tr w:rsidR="001D4AC9" w:rsidRPr="001D4AC9" w14:paraId="55BEA46D" w14:textId="77777777" w:rsidTr="001D4AC9">
        <w:trPr>
          <w:trHeight w:val="553"/>
        </w:trPr>
        <w:tc>
          <w:tcPr>
            <w:tcW w:w="5240" w:type="dxa"/>
            <w:tcBorders>
              <w:top w:val="nil"/>
              <w:left w:val="single" w:sz="4" w:space="0" w:color="auto"/>
              <w:bottom w:val="single" w:sz="4" w:space="0" w:color="auto"/>
              <w:right w:val="single" w:sz="4" w:space="0" w:color="auto"/>
            </w:tcBorders>
            <w:noWrap/>
            <w:vAlign w:val="bottom"/>
            <w:hideMark/>
          </w:tcPr>
          <w:p w14:paraId="45198A22" w14:textId="77777777" w:rsidR="001D4AC9" w:rsidRPr="001D4AC9" w:rsidRDefault="001D4AC9" w:rsidP="001D4AC9">
            <w:pPr>
              <w:keepNext w:val="0"/>
              <w:spacing w:before="0"/>
              <w:rPr>
                <w:rFonts w:cs="Arial"/>
                <w:b/>
                <w:bCs/>
                <w:color w:val="0000FF"/>
                <w:szCs w:val="24"/>
              </w:rPr>
            </w:pPr>
            <w:r w:rsidRPr="001D4AC9">
              <w:rPr>
                <w:rFonts w:cs="Arial"/>
                <w:b/>
                <w:bCs/>
                <w:color w:val="0000FF"/>
                <w:szCs w:val="24"/>
              </w:rPr>
              <w:t>Small windfall sites beyond 3 years</w:t>
            </w:r>
          </w:p>
        </w:tc>
        <w:tc>
          <w:tcPr>
            <w:tcW w:w="1602" w:type="dxa"/>
            <w:tcBorders>
              <w:top w:val="nil"/>
              <w:left w:val="nil"/>
              <w:bottom w:val="single" w:sz="4" w:space="0" w:color="auto"/>
              <w:right w:val="single" w:sz="4" w:space="0" w:color="auto"/>
            </w:tcBorders>
            <w:noWrap/>
            <w:vAlign w:val="bottom"/>
            <w:hideMark/>
          </w:tcPr>
          <w:p w14:paraId="7FD5012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1092</w:t>
            </w:r>
          </w:p>
        </w:tc>
        <w:tc>
          <w:tcPr>
            <w:tcW w:w="1100" w:type="dxa"/>
            <w:tcBorders>
              <w:top w:val="nil"/>
              <w:left w:val="nil"/>
              <w:bottom w:val="single" w:sz="4" w:space="0" w:color="auto"/>
              <w:right w:val="single" w:sz="4" w:space="0" w:color="auto"/>
            </w:tcBorders>
            <w:shd w:val="clear" w:color="000000" w:fill="D9D9D9"/>
            <w:noWrap/>
            <w:vAlign w:val="bottom"/>
            <w:hideMark/>
          </w:tcPr>
          <w:p w14:paraId="299A4E5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1060" w:type="dxa"/>
            <w:tcBorders>
              <w:top w:val="nil"/>
              <w:left w:val="nil"/>
              <w:bottom w:val="single" w:sz="4" w:space="0" w:color="auto"/>
              <w:right w:val="nil"/>
            </w:tcBorders>
            <w:shd w:val="clear" w:color="000000" w:fill="D9D9D9"/>
            <w:noWrap/>
            <w:vAlign w:val="bottom"/>
            <w:hideMark/>
          </w:tcPr>
          <w:p w14:paraId="1FBB841F"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single" w:sz="4" w:space="0" w:color="auto"/>
              <w:bottom w:val="single" w:sz="4" w:space="0" w:color="auto"/>
              <w:right w:val="single" w:sz="4" w:space="0" w:color="auto"/>
            </w:tcBorders>
            <w:shd w:val="clear" w:color="000000" w:fill="DDEBF7"/>
            <w:noWrap/>
            <w:vAlign w:val="bottom"/>
            <w:hideMark/>
          </w:tcPr>
          <w:p w14:paraId="77C8550D"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DDEBF7"/>
            <w:noWrap/>
            <w:vAlign w:val="bottom"/>
            <w:hideMark/>
          </w:tcPr>
          <w:p w14:paraId="5B73D1F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DDEBF7"/>
            <w:noWrap/>
            <w:vAlign w:val="bottom"/>
            <w:hideMark/>
          </w:tcPr>
          <w:p w14:paraId="054B403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0</w:t>
            </w:r>
          </w:p>
        </w:tc>
        <w:tc>
          <w:tcPr>
            <w:tcW w:w="840" w:type="dxa"/>
            <w:tcBorders>
              <w:top w:val="nil"/>
              <w:left w:val="nil"/>
              <w:bottom w:val="single" w:sz="4" w:space="0" w:color="auto"/>
              <w:right w:val="single" w:sz="4" w:space="0" w:color="auto"/>
            </w:tcBorders>
            <w:shd w:val="clear" w:color="000000" w:fill="DDEBF7"/>
            <w:noWrap/>
            <w:vAlign w:val="bottom"/>
            <w:hideMark/>
          </w:tcPr>
          <w:p w14:paraId="32EB09A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980" w:type="dxa"/>
            <w:tcBorders>
              <w:top w:val="nil"/>
              <w:left w:val="nil"/>
              <w:bottom w:val="single" w:sz="4" w:space="0" w:color="auto"/>
              <w:right w:val="single" w:sz="4" w:space="0" w:color="auto"/>
            </w:tcBorders>
            <w:shd w:val="clear" w:color="000000" w:fill="DDEBF7"/>
            <w:noWrap/>
            <w:vAlign w:val="bottom"/>
            <w:hideMark/>
          </w:tcPr>
          <w:p w14:paraId="7DDECBD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BDD7EE"/>
            <w:noWrap/>
            <w:vAlign w:val="bottom"/>
            <w:hideMark/>
          </w:tcPr>
          <w:p w14:paraId="673F1ECB"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BDD7EE"/>
            <w:noWrap/>
            <w:vAlign w:val="bottom"/>
            <w:hideMark/>
          </w:tcPr>
          <w:p w14:paraId="7B8D3F5D"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BDD7EE"/>
            <w:noWrap/>
            <w:vAlign w:val="bottom"/>
            <w:hideMark/>
          </w:tcPr>
          <w:p w14:paraId="74C4C905"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BDD7EE"/>
            <w:noWrap/>
            <w:vAlign w:val="bottom"/>
            <w:hideMark/>
          </w:tcPr>
          <w:p w14:paraId="3C60B6EF"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BDD7EE"/>
            <w:noWrap/>
            <w:vAlign w:val="bottom"/>
            <w:hideMark/>
          </w:tcPr>
          <w:p w14:paraId="6556BAE0"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F2F2F2"/>
            <w:noWrap/>
            <w:vAlign w:val="bottom"/>
            <w:hideMark/>
          </w:tcPr>
          <w:p w14:paraId="4B4C0B3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F2F2F2"/>
            <w:noWrap/>
            <w:vAlign w:val="bottom"/>
            <w:hideMark/>
          </w:tcPr>
          <w:p w14:paraId="3F57807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F2F2F2"/>
            <w:noWrap/>
            <w:vAlign w:val="bottom"/>
            <w:hideMark/>
          </w:tcPr>
          <w:p w14:paraId="1AE8519D"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F2F2F2"/>
            <w:noWrap/>
            <w:vAlign w:val="bottom"/>
            <w:hideMark/>
          </w:tcPr>
          <w:p w14:paraId="5D8FBB97"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c>
          <w:tcPr>
            <w:tcW w:w="840" w:type="dxa"/>
            <w:tcBorders>
              <w:top w:val="nil"/>
              <w:left w:val="nil"/>
              <w:bottom w:val="single" w:sz="4" w:space="0" w:color="auto"/>
              <w:right w:val="single" w:sz="4" w:space="0" w:color="auto"/>
            </w:tcBorders>
            <w:shd w:val="clear" w:color="000000" w:fill="F2F2F2"/>
            <w:noWrap/>
            <w:vAlign w:val="bottom"/>
            <w:hideMark/>
          </w:tcPr>
          <w:p w14:paraId="6E1C7B9A"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91</w:t>
            </w:r>
          </w:p>
        </w:tc>
      </w:tr>
      <w:tr w:rsidR="001D4AC9" w:rsidRPr="001D4AC9" w14:paraId="21D3B155" w14:textId="77777777" w:rsidTr="001D4AC9">
        <w:trPr>
          <w:trHeight w:val="270"/>
        </w:trPr>
        <w:tc>
          <w:tcPr>
            <w:tcW w:w="5240" w:type="dxa"/>
            <w:tcBorders>
              <w:top w:val="nil"/>
              <w:left w:val="single" w:sz="4" w:space="0" w:color="auto"/>
              <w:bottom w:val="single" w:sz="4" w:space="0" w:color="auto"/>
              <w:right w:val="single" w:sz="4" w:space="0" w:color="auto"/>
            </w:tcBorders>
            <w:noWrap/>
            <w:vAlign w:val="bottom"/>
            <w:hideMark/>
          </w:tcPr>
          <w:p w14:paraId="0DB6CF94"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Within 5 years</w:t>
            </w:r>
          </w:p>
        </w:tc>
        <w:tc>
          <w:tcPr>
            <w:tcW w:w="1602" w:type="dxa"/>
            <w:tcBorders>
              <w:top w:val="nil"/>
              <w:left w:val="nil"/>
              <w:bottom w:val="single" w:sz="4" w:space="0" w:color="auto"/>
              <w:right w:val="single" w:sz="4" w:space="0" w:color="auto"/>
            </w:tcBorders>
            <w:noWrap/>
            <w:vAlign w:val="bottom"/>
            <w:hideMark/>
          </w:tcPr>
          <w:p w14:paraId="39461C6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51BCB21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4F094DA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32F436E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DEB7A8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DC8B735"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829332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2F9B991D"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182</w:t>
            </w:r>
          </w:p>
        </w:tc>
        <w:tc>
          <w:tcPr>
            <w:tcW w:w="840" w:type="dxa"/>
            <w:tcBorders>
              <w:top w:val="nil"/>
              <w:left w:val="nil"/>
              <w:bottom w:val="single" w:sz="4" w:space="0" w:color="auto"/>
              <w:right w:val="single" w:sz="4" w:space="0" w:color="auto"/>
            </w:tcBorders>
            <w:noWrap/>
            <w:vAlign w:val="bottom"/>
            <w:hideMark/>
          </w:tcPr>
          <w:p w14:paraId="7F4DA76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11B16C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7455802"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A4E39C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60AE36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AC2C00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C4DD60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118FD1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6B27C2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851B68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r>
      <w:tr w:rsidR="001D4AC9" w:rsidRPr="001D4AC9" w14:paraId="1C81179C" w14:textId="77777777" w:rsidTr="001D4AC9">
        <w:trPr>
          <w:trHeight w:val="270"/>
        </w:trPr>
        <w:tc>
          <w:tcPr>
            <w:tcW w:w="5240" w:type="dxa"/>
            <w:tcBorders>
              <w:top w:val="nil"/>
              <w:left w:val="single" w:sz="4" w:space="0" w:color="auto"/>
              <w:bottom w:val="single" w:sz="4" w:space="0" w:color="auto"/>
              <w:right w:val="single" w:sz="4" w:space="0" w:color="auto"/>
            </w:tcBorders>
            <w:noWrap/>
            <w:vAlign w:val="bottom"/>
            <w:hideMark/>
          </w:tcPr>
          <w:p w14:paraId="5146D961"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 years post adoption</w:t>
            </w:r>
          </w:p>
        </w:tc>
        <w:tc>
          <w:tcPr>
            <w:tcW w:w="1602" w:type="dxa"/>
            <w:tcBorders>
              <w:top w:val="nil"/>
              <w:left w:val="nil"/>
              <w:bottom w:val="single" w:sz="4" w:space="0" w:color="auto"/>
              <w:right w:val="single" w:sz="4" w:space="0" w:color="auto"/>
            </w:tcBorders>
            <w:noWrap/>
            <w:vAlign w:val="bottom"/>
            <w:hideMark/>
          </w:tcPr>
          <w:p w14:paraId="260E2D5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08EF1B6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57FC323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011F270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327D54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A2D2FE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293779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2E609728" w14:textId="77777777" w:rsidR="001D4AC9" w:rsidRPr="001D4AC9" w:rsidRDefault="001D4AC9" w:rsidP="001D4AC9">
            <w:pPr>
              <w:keepNext w:val="0"/>
              <w:spacing w:before="0"/>
              <w:rPr>
                <w:rFonts w:cs="Arial"/>
                <w:b/>
                <w:bCs/>
                <w:color w:val="0000FF"/>
                <w:sz w:val="20"/>
              </w:rPr>
            </w:pPr>
            <w:r w:rsidRPr="001D4AC9">
              <w:rPr>
                <w:rFonts w:cs="Arial"/>
                <w:b/>
                <w:bCs/>
                <w:color w:val="0000FF"/>
                <w:sz w:val="20"/>
              </w:rPr>
              <w:t> </w:t>
            </w:r>
          </w:p>
        </w:tc>
        <w:tc>
          <w:tcPr>
            <w:tcW w:w="840" w:type="dxa"/>
            <w:tcBorders>
              <w:top w:val="nil"/>
              <w:left w:val="nil"/>
              <w:bottom w:val="single" w:sz="4" w:space="0" w:color="auto"/>
              <w:right w:val="single" w:sz="4" w:space="0" w:color="auto"/>
            </w:tcBorders>
            <w:noWrap/>
            <w:vAlign w:val="bottom"/>
            <w:hideMark/>
          </w:tcPr>
          <w:p w14:paraId="4A939A32"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273</w:t>
            </w:r>
          </w:p>
        </w:tc>
        <w:tc>
          <w:tcPr>
            <w:tcW w:w="840" w:type="dxa"/>
            <w:tcBorders>
              <w:top w:val="nil"/>
              <w:left w:val="nil"/>
              <w:bottom w:val="single" w:sz="4" w:space="0" w:color="auto"/>
              <w:right w:val="single" w:sz="4" w:space="0" w:color="auto"/>
            </w:tcBorders>
            <w:noWrap/>
            <w:vAlign w:val="bottom"/>
            <w:hideMark/>
          </w:tcPr>
          <w:p w14:paraId="1B8F40A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1AF8A3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655B054"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05A4C4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32CF763"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455</w:t>
            </w:r>
          </w:p>
        </w:tc>
        <w:tc>
          <w:tcPr>
            <w:tcW w:w="840" w:type="dxa"/>
            <w:tcBorders>
              <w:top w:val="nil"/>
              <w:left w:val="nil"/>
              <w:bottom w:val="single" w:sz="4" w:space="0" w:color="auto"/>
              <w:right w:val="single" w:sz="4" w:space="0" w:color="auto"/>
            </w:tcBorders>
            <w:noWrap/>
            <w:vAlign w:val="bottom"/>
            <w:hideMark/>
          </w:tcPr>
          <w:p w14:paraId="4F1B88A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E553F0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7601F1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1D95F267"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364</w:t>
            </w:r>
          </w:p>
        </w:tc>
      </w:tr>
      <w:tr w:rsidR="001D4AC9" w:rsidRPr="001D4AC9" w14:paraId="50E12292" w14:textId="77777777" w:rsidTr="001D4AC9">
        <w:trPr>
          <w:trHeight w:val="493"/>
        </w:trPr>
        <w:tc>
          <w:tcPr>
            <w:tcW w:w="5240" w:type="dxa"/>
            <w:tcBorders>
              <w:top w:val="nil"/>
              <w:left w:val="single" w:sz="4" w:space="0" w:color="auto"/>
              <w:bottom w:val="single" w:sz="4" w:space="0" w:color="auto"/>
              <w:right w:val="single" w:sz="4" w:space="0" w:color="auto"/>
            </w:tcBorders>
            <w:noWrap/>
            <w:vAlign w:val="bottom"/>
            <w:hideMark/>
          </w:tcPr>
          <w:p w14:paraId="1F738C5F" w14:textId="77777777" w:rsidR="001D4AC9" w:rsidRPr="001D4AC9" w:rsidRDefault="001D4AC9" w:rsidP="001D4AC9">
            <w:pPr>
              <w:keepNext w:val="0"/>
              <w:spacing w:before="0"/>
              <w:rPr>
                <w:rFonts w:cs="Arial"/>
                <w:b/>
                <w:bCs/>
                <w:color w:val="0000FF"/>
                <w:szCs w:val="24"/>
              </w:rPr>
            </w:pPr>
            <w:r w:rsidRPr="001D4AC9">
              <w:rPr>
                <w:rFonts w:cs="Arial"/>
                <w:b/>
                <w:bCs/>
                <w:color w:val="0000FF"/>
                <w:szCs w:val="24"/>
              </w:rPr>
              <w:t>ALL DISTRICT SITES</w:t>
            </w:r>
          </w:p>
        </w:tc>
        <w:tc>
          <w:tcPr>
            <w:tcW w:w="1602" w:type="dxa"/>
            <w:tcBorders>
              <w:top w:val="nil"/>
              <w:left w:val="nil"/>
              <w:bottom w:val="single" w:sz="4" w:space="0" w:color="auto"/>
              <w:right w:val="single" w:sz="4" w:space="0" w:color="auto"/>
            </w:tcBorders>
            <w:noWrap/>
            <w:vAlign w:val="bottom"/>
            <w:hideMark/>
          </w:tcPr>
          <w:p w14:paraId="2EDCE40A"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7405</w:t>
            </w:r>
          </w:p>
        </w:tc>
        <w:tc>
          <w:tcPr>
            <w:tcW w:w="1100" w:type="dxa"/>
            <w:tcBorders>
              <w:top w:val="nil"/>
              <w:left w:val="nil"/>
              <w:bottom w:val="single" w:sz="4" w:space="0" w:color="auto"/>
              <w:right w:val="single" w:sz="4" w:space="0" w:color="auto"/>
            </w:tcBorders>
            <w:shd w:val="clear" w:color="000000" w:fill="D9D9D9"/>
            <w:noWrap/>
            <w:vAlign w:val="bottom"/>
            <w:hideMark/>
          </w:tcPr>
          <w:p w14:paraId="6B253111"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452</w:t>
            </w:r>
          </w:p>
        </w:tc>
        <w:tc>
          <w:tcPr>
            <w:tcW w:w="1060" w:type="dxa"/>
            <w:tcBorders>
              <w:top w:val="nil"/>
              <w:left w:val="nil"/>
              <w:bottom w:val="single" w:sz="4" w:space="0" w:color="auto"/>
              <w:right w:val="nil"/>
            </w:tcBorders>
            <w:shd w:val="clear" w:color="000000" w:fill="D9D9D9"/>
            <w:noWrap/>
            <w:vAlign w:val="bottom"/>
            <w:hideMark/>
          </w:tcPr>
          <w:p w14:paraId="0CD8466D"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455</w:t>
            </w:r>
          </w:p>
        </w:tc>
        <w:tc>
          <w:tcPr>
            <w:tcW w:w="840" w:type="dxa"/>
            <w:tcBorders>
              <w:top w:val="nil"/>
              <w:left w:val="single" w:sz="4" w:space="0" w:color="auto"/>
              <w:bottom w:val="single" w:sz="4" w:space="0" w:color="auto"/>
              <w:right w:val="single" w:sz="4" w:space="0" w:color="auto"/>
            </w:tcBorders>
            <w:shd w:val="clear" w:color="000000" w:fill="DDEBF7"/>
            <w:noWrap/>
            <w:vAlign w:val="bottom"/>
            <w:hideMark/>
          </w:tcPr>
          <w:p w14:paraId="601270C7"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610</w:t>
            </w:r>
          </w:p>
        </w:tc>
        <w:tc>
          <w:tcPr>
            <w:tcW w:w="840" w:type="dxa"/>
            <w:tcBorders>
              <w:top w:val="nil"/>
              <w:left w:val="nil"/>
              <w:bottom w:val="single" w:sz="4" w:space="0" w:color="auto"/>
              <w:right w:val="single" w:sz="4" w:space="0" w:color="auto"/>
            </w:tcBorders>
            <w:shd w:val="clear" w:color="000000" w:fill="DDEBF7"/>
            <w:noWrap/>
            <w:vAlign w:val="bottom"/>
            <w:hideMark/>
          </w:tcPr>
          <w:p w14:paraId="3E7D7070"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587</w:t>
            </w:r>
          </w:p>
        </w:tc>
        <w:tc>
          <w:tcPr>
            <w:tcW w:w="840" w:type="dxa"/>
            <w:tcBorders>
              <w:top w:val="nil"/>
              <w:left w:val="nil"/>
              <w:bottom w:val="single" w:sz="4" w:space="0" w:color="auto"/>
              <w:right w:val="single" w:sz="4" w:space="0" w:color="auto"/>
            </w:tcBorders>
            <w:shd w:val="clear" w:color="000000" w:fill="DDEBF7"/>
            <w:noWrap/>
            <w:vAlign w:val="bottom"/>
            <w:hideMark/>
          </w:tcPr>
          <w:p w14:paraId="6D4F52F9"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601</w:t>
            </w:r>
          </w:p>
        </w:tc>
        <w:tc>
          <w:tcPr>
            <w:tcW w:w="840" w:type="dxa"/>
            <w:tcBorders>
              <w:top w:val="nil"/>
              <w:left w:val="nil"/>
              <w:bottom w:val="single" w:sz="4" w:space="0" w:color="auto"/>
              <w:right w:val="single" w:sz="4" w:space="0" w:color="auto"/>
            </w:tcBorders>
            <w:shd w:val="clear" w:color="000000" w:fill="DDEBF7"/>
            <w:noWrap/>
            <w:vAlign w:val="bottom"/>
            <w:hideMark/>
          </w:tcPr>
          <w:p w14:paraId="172F15F1"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575</w:t>
            </w:r>
          </w:p>
        </w:tc>
        <w:tc>
          <w:tcPr>
            <w:tcW w:w="980" w:type="dxa"/>
            <w:tcBorders>
              <w:top w:val="nil"/>
              <w:left w:val="nil"/>
              <w:bottom w:val="single" w:sz="4" w:space="0" w:color="auto"/>
              <w:right w:val="single" w:sz="4" w:space="0" w:color="auto"/>
            </w:tcBorders>
            <w:shd w:val="clear" w:color="000000" w:fill="DDEBF7"/>
            <w:noWrap/>
            <w:vAlign w:val="bottom"/>
            <w:hideMark/>
          </w:tcPr>
          <w:p w14:paraId="04697F38"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477</w:t>
            </w:r>
          </w:p>
        </w:tc>
        <w:tc>
          <w:tcPr>
            <w:tcW w:w="840" w:type="dxa"/>
            <w:tcBorders>
              <w:top w:val="nil"/>
              <w:left w:val="nil"/>
              <w:bottom w:val="single" w:sz="4" w:space="0" w:color="auto"/>
              <w:right w:val="single" w:sz="4" w:space="0" w:color="auto"/>
            </w:tcBorders>
            <w:shd w:val="clear" w:color="000000" w:fill="BDD7EE"/>
            <w:noWrap/>
            <w:vAlign w:val="bottom"/>
            <w:hideMark/>
          </w:tcPr>
          <w:p w14:paraId="5E423174"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632</w:t>
            </w:r>
          </w:p>
        </w:tc>
        <w:tc>
          <w:tcPr>
            <w:tcW w:w="840" w:type="dxa"/>
            <w:tcBorders>
              <w:top w:val="nil"/>
              <w:left w:val="nil"/>
              <w:bottom w:val="single" w:sz="4" w:space="0" w:color="auto"/>
              <w:right w:val="single" w:sz="4" w:space="0" w:color="auto"/>
            </w:tcBorders>
            <w:shd w:val="clear" w:color="000000" w:fill="BDD7EE"/>
            <w:noWrap/>
            <w:vAlign w:val="bottom"/>
            <w:hideMark/>
          </w:tcPr>
          <w:p w14:paraId="2C700C21"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603</w:t>
            </w:r>
          </w:p>
        </w:tc>
        <w:tc>
          <w:tcPr>
            <w:tcW w:w="840" w:type="dxa"/>
            <w:tcBorders>
              <w:top w:val="nil"/>
              <w:left w:val="nil"/>
              <w:bottom w:val="single" w:sz="4" w:space="0" w:color="auto"/>
              <w:right w:val="single" w:sz="4" w:space="0" w:color="auto"/>
            </w:tcBorders>
            <w:shd w:val="clear" w:color="000000" w:fill="BDD7EE"/>
            <w:noWrap/>
            <w:vAlign w:val="bottom"/>
            <w:hideMark/>
          </w:tcPr>
          <w:p w14:paraId="618E116C"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577</w:t>
            </w:r>
          </w:p>
        </w:tc>
        <w:tc>
          <w:tcPr>
            <w:tcW w:w="840" w:type="dxa"/>
            <w:tcBorders>
              <w:top w:val="nil"/>
              <w:left w:val="nil"/>
              <w:bottom w:val="single" w:sz="4" w:space="0" w:color="auto"/>
              <w:right w:val="single" w:sz="4" w:space="0" w:color="auto"/>
            </w:tcBorders>
            <w:shd w:val="clear" w:color="000000" w:fill="BDD7EE"/>
            <w:noWrap/>
            <w:vAlign w:val="bottom"/>
            <w:hideMark/>
          </w:tcPr>
          <w:p w14:paraId="223F485C"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617</w:t>
            </w:r>
          </w:p>
        </w:tc>
        <w:tc>
          <w:tcPr>
            <w:tcW w:w="840" w:type="dxa"/>
            <w:tcBorders>
              <w:top w:val="nil"/>
              <w:left w:val="nil"/>
              <w:bottom w:val="single" w:sz="4" w:space="0" w:color="auto"/>
              <w:right w:val="single" w:sz="4" w:space="0" w:color="auto"/>
            </w:tcBorders>
            <w:shd w:val="clear" w:color="000000" w:fill="BDD7EE"/>
            <w:noWrap/>
            <w:vAlign w:val="bottom"/>
            <w:hideMark/>
          </w:tcPr>
          <w:p w14:paraId="70C7A904"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593</w:t>
            </w:r>
          </w:p>
        </w:tc>
        <w:tc>
          <w:tcPr>
            <w:tcW w:w="840" w:type="dxa"/>
            <w:tcBorders>
              <w:top w:val="nil"/>
              <w:left w:val="nil"/>
              <w:bottom w:val="single" w:sz="4" w:space="0" w:color="auto"/>
              <w:right w:val="single" w:sz="4" w:space="0" w:color="auto"/>
            </w:tcBorders>
            <w:shd w:val="clear" w:color="000000" w:fill="F2F2F2"/>
            <w:noWrap/>
            <w:vAlign w:val="bottom"/>
            <w:hideMark/>
          </w:tcPr>
          <w:p w14:paraId="36ABF61D"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479</w:t>
            </w:r>
          </w:p>
        </w:tc>
        <w:tc>
          <w:tcPr>
            <w:tcW w:w="840" w:type="dxa"/>
            <w:tcBorders>
              <w:top w:val="nil"/>
              <w:left w:val="nil"/>
              <w:bottom w:val="single" w:sz="4" w:space="0" w:color="auto"/>
              <w:right w:val="single" w:sz="4" w:space="0" w:color="auto"/>
            </w:tcBorders>
            <w:shd w:val="clear" w:color="000000" w:fill="F2F2F2"/>
            <w:noWrap/>
            <w:vAlign w:val="bottom"/>
            <w:hideMark/>
          </w:tcPr>
          <w:p w14:paraId="7E0D9385"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353</w:t>
            </w:r>
          </w:p>
        </w:tc>
        <w:tc>
          <w:tcPr>
            <w:tcW w:w="840" w:type="dxa"/>
            <w:tcBorders>
              <w:top w:val="nil"/>
              <w:left w:val="nil"/>
              <w:bottom w:val="single" w:sz="4" w:space="0" w:color="auto"/>
              <w:right w:val="single" w:sz="4" w:space="0" w:color="auto"/>
            </w:tcBorders>
            <w:shd w:val="clear" w:color="000000" w:fill="F2F2F2"/>
            <w:noWrap/>
            <w:vAlign w:val="bottom"/>
            <w:hideMark/>
          </w:tcPr>
          <w:p w14:paraId="69E13F1D"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336</w:t>
            </w:r>
          </w:p>
        </w:tc>
        <w:tc>
          <w:tcPr>
            <w:tcW w:w="840" w:type="dxa"/>
            <w:tcBorders>
              <w:top w:val="nil"/>
              <w:left w:val="nil"/>
              <w:bottom w:val="single" w:sz="4" w:space="0" w:color="auto"/>
              <w:right w:val="single" w:sz="4" w:space="0" w:color="auto"/>
            </w:tcBorders>
            <w:shd w:val="clear" w:color="000000" w:fill="F2F2F2"/>
            <w:noWrap/>
            <w:vAlign w:val="bottom"/>
            <w:hideMark/>
          </w:tcPr>
          <w:p w14:paraId="013F27A9"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204</w:t>
            </w:r>
          </w:p>
        </w:tc>
        <w:tc>
          <w:tcPr>
            <w:tcW w:w="840" w:type="dxa"/>
            <w:tcBorders>
              <w:top w:val="nil"/>
              <w:left w:val="nil"/>
              <w:bottom w:val="single" w:sz="4" w:space="0" w:color="auto"/>
              <w:right w:val="single" w:sz="4" w:space="0" w:color="auto"/>
            </w:tcBorders>
            <w:shd w:val="clear" w:color="000000" w:fill="F2F2F2"/>
            <w:noWrap/>
            <w:vAlign w:val="bottom"/>
            <w:hideMark/>
          </w:tcPr>
          <w:p w14:paraId="6EE135FD"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161</w:t>
            </w:r>
          </w:p>
        </w:tc>
      </w:tr>
      <w:tr w:rsidR="001D4AC9" w:rsidRPr="001D4AC9" w14:paraId="05ED1438"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67F82390"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Within 5 years</w:t>
            </w:r>
          </w:p>
        </w:tc>
        <w:tc>
          <w:tcPr>
            <w:tcW w:w="1602" w:type="dxa"/>
            <w:tcBorders>
              <w:top w:val="nil"/>
              <w:left w:val="nil"/>
              <w:bottom w:val="single" w:sz="4" w:space="0" w:color="auto"/>
              <w:right w:val="single" w:sz="4" w:space="0" w:color="auto"/>
            </w:tcBorders>
            <w:noWrap/>
            <w:vAlign w:val="bottom"/>
            <w:hideMark/>
          </w:tcPr>
          <w:p w14:paraId="35793410"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05CF211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nil"/>
            </w:tcBorders>
            <w:noWrap/>
            <w:vAlign w:val="bottom"/>
            <w:hideMark/>
          </w:tcPr>
          <w:p w14:paraId="7635D3B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single" w:sz="4" w:space="0" w:color="auto"/>
              <w:bottom w:val="single" w:sz="4" w:space="0" w:color="auto"/>
              <w:right w:val="single" w:sz="4" w:space="0" w:color="auto"/>
            </w:tcBorders>
            <w:noWrap/>
            <w:vAlign w:val="bottom"/>
            <w:hideMark/>
          </w:tcPr>
          <w:p w14:paraId="0A08C5B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D95BF0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4CEE05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F8221AE"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4E52FE81" w14:textId="77777777" w:rsidR="001D4AC9" w:rsidRPr="001D4AC9" w:rsidRDefault="001D4AC9" w:rsidP="001D4AC9">
            <w:pPr>
              <w:keepNext w:val="0"/>
              <w:spacing w:before="0"/>
              <w:jc w:val="right"/>
              <w:rPr>
                <w:rFonts w:cs="Arial"/>
                <w:b/>
                <w:bCs/>
                <w:color w:val="0000FF"/>
                <w:sz w:val="20"/>
              </w:rPr>
            </w:pPr>
            <w:r w:rsidRPr="001D4AC9">
              <w:rPr>
                <w:rFonts w:cs="Arial"/>
                <w:b/>
                <w:bCs/>
                <w:color w:val="0000FF"/>
                <w:sz w:val="20"/>
              </w:rPr>
              <w:t>2850</w:t>
            </w:r>
          </w:p>
        </w:tc>
        <w:tc>
          <w:tcPr>
            <w:tcW w:w="840" w:type="dxa"/>
            <w:tcBorders>
              <w:top w:val="nil"/>
              <w:left w:val="nil"/>
              <w:bottom w:val="single" w:sz="4" w:space="0" w:color="auto"/>
              <w:right w:val="single" w:sz="4" w:space="0" w:color="auto"/>
            </w:tcBorders>
            <w:noWrap/>
            <w:vAlign w:val="bottom"/>
            <w:hideMark/>
          </w:tcPr>
          <w:p w14:paraId="60FA831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583D63C"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DBE7D36"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FD64A0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5AE3887F"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5F85DC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431AB5B"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087674D"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592B30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7EA633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r>
      <w:tr w:rsidR="001D4AC9" w:rsidRPr="001D4AC9" w14:paraId="2C9490DA" w14:textId="77777777" w:rsidTr="001D4AC9">
        <w:trPr>
          <w:trHeight w:val="260"/>
        </w:trPr>
        <w:tc>
          <w:tcPr>
            <w:tcW w:w="5240" w:type="dxa"/>
            <w:tcBorders>
              <w:top w:val="nil"/>
              <w:left w:val="single" w:sz="4" w:space="0" w:color="auto"/>
              <w:bottom w:val="single" w:sz="4" w:space="0" w:color="auto"/>
              <w:right w:val="single" w:sz="4" w:space="0" w:color="auto"/>
            </w:tcBorders>
            <w:noWrap/>
            <w:vAlign w:val="bottom"/>
            <w:hideMark/>
          </w:tcPr>
          <w:p w14:paraId="732D56A6"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5 years post adoption</w:t>
            </w:r>
          </w:p>
        </w:tc>
        <w:tc>
          <w:tcPr>
            <w:tcW w:w="1602" w:type="dxa"/>
            <w:tcBorders>
              <w:top w:val="nil"/>
              <w:left w:val="nil"/>
              <w:bottom w:val="single" w:sz="4" w:space="0" w:color="auto"/>
              <w:right w:val="single" w:sz="4" w:space="0" w:color="auto"/>
            </w:tcBorders>
            <w:noWrap/>
            <w:vAlign w:val="bottom"/>
            <w:hideMark/>
          </w:tcPr>
          <w:p w14:paraId="2D6201E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100" w:type="dxa"/>
            <w:tcBorders>
              <w:top w:val="nil"/>
              <w:left w:val="nil"/>
              <w:bottom w:val="single" w:sz="4" w:space="0" w:color="auto"/>
              <w:right w:val="single" w:sz="4" w:space="0" w:color="auto"/>
            </w:tcBorders>
            <w:noWrap/>
            <w:vAlign w:val="bottom"/>
            <w:hideMark/>
          </w:tcPr>
          <w:p w14:paraId="23EF2461"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1060" w:type="dxa"/>
            <w:tcBorders>
              <w:top w:val="nil"/>
              <w:left w:val="nil"/>
              <w:bottom w:val="single" w:sz="4" w:space="0" w:color="auto"/>
              <w:right w:val="single" w:sz="4" w:space="0" w:color="auto"/>
            </w:tcBorders>
            <w:noWrap/>
            <w:vAlign w:val="bottom"/>
            <w:hideMark/>
          </w:tcPr>
          <w:p w14:paraId="28535895"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07A209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8407615"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2BFEAC77"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42B2AD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980" w:type="dxa"/>
            <w:tcBorders>
              <w:top w:val="nil"/>
              <w:left w:val="nil"/>
              <w:bottom w:val="single" w:sz="4" w:space="0" w:color="auto"/>
              <w:right w:val="single" w:sz="4" w:space="0" w:color="auto"/>
            </w:tcBorders>
            <w:noWrap/>
            <w:vAlign w:val="bottom"/>
            <w:hideMark/>
          </w:tcPr>
          <w:p w14:paraId="67178399" w14:textId="77777777" w:rsidR="001D4AC9" w:rsidRPr="001D4AC9" w:rsidRDefault="001D4AC9" w:rsidP="001D4AC9">
            <w:pPr>
              <w:keepNext w:val="0"/>
              <w:spacing w:before="0"/>
              <w:rPr>
                <w:rFonts w:cs="Arial"/>
                <w:b/>
                <w:bCs/>
                <w:color w:val="0000FF"/>
                <w:sz w:val="20"/>
              </w:rPr>
            </w:pPr>
            <w:r w:rsidRPr="001D4AC9">
              <w:rPr>
                <w:rFonts w:cs="Arial"/>
                <w:b/>
                <w:bCs/>
                <w:color w:val="0000FF"/>
                <w:sz w:val="20"/>
              </w:rPr>
              <w:t> </w:t>
            </w:r>
          </w:p>
        </w:tc>
        <w:tc>
          <w:tcPr>
            <w:tcW w:w="840" w:type="dxa"/>
            <w:tcBorders>
              <w:top w:val="nil"/>
              <w:left w:val="nil"/>
              <w:bottom w:val="single" w:sz="4" w:space="0" w:color="auto"/>
              <w:right w:val="single" w:sz="4" w:space="0" w:color="auto"/>
            </w:tcBorders>
            <w:noWrap/>
            <w:vAlign w:val="bottom"/>
            <w:hideMark/>
          </w:tcPr>
          <w:p w14:paraId="0C206A57"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2872</w:t>
            </w:r>
          </w:p>
        </w:tc>
        <w:tc>
          <w:tcPr>
            <w:tcW w:w="840" w:type="dxa"/>
            <w:tcBorders>
              <w:top w:val="nil"/>
              <w:left w:val="nil"/>
              <w:bottom w:val="single" w:sz="4" w:space="0" w:color="auto"/>
              <w:right w:val="single" w:sz="4" w:space="0" w:color="auto"/>
            </w:tcBorders>
            <w:noWrap/>
            <w:vAlign w:val="bottom"/>
            <w:hideMark/>
          </w:tcPr>
          <w:p w14:paraId="529C3258"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D44304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BFD43F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4E249C8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D963D1C"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2869</w:t>
            </w:r>
          </w:p>
        </w:tc>
        <w:tc>
          <w:tcPr>
            <w:tcW w:w="840" w:type="dxa"/>
            <w:tcBorders>
              <w:top w:val="nil"/>
              <w:left w:val="nil"/>
              <w:bottom w:val="single" w:sz="4" w:space="0" w:color="auto"/>
              <w:right w:val="single" w:sz="4" w:space="0" w:color="auto"/>
            </w:tcBorders>
            <w:noWrap/>
            <w:vAlign w:val="bottom"/>
            <w:hideMark/>
          </w:tcPr>
          <w:p w14:paraId="37B3595A"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7677A709"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67500033" w14:textId="77777777" w:rsidR="001D4AC9" w:rsidRPr="001D4AC9" w:rsidRDefault="001D4AC9" w:rsidP="001D4AC9">
            <w:pPr>
              <w:keepNext w:val="0"/>
              <w:spacing w:before="0"/>
              <w:rPr>
                <w:rFonts w:cs="Arial"/>
                <w:color w:val="0000FF"/>
                <w:sz w:val="20"/>
              </w:rPr>
            </w:pPr>
            <w:r w:rsidRPr="001D4AC9">
              <w:rPr>
                <w:rFonts w:cs="Arial"/>
                <w:color w:val="0000FF"/>
                <w:sz w:val="20"/>
              </w:rPr>
              <w:t> </w:t>
            </w:r>
          </w:p>
        </w:tc>
        <w:tc>
          <w:tcPr>
            <w:tcW w:w="840" w:type="dxa"/>
            <w:tcBorders>
              <w:top w:val="nil"/>
              <w:left w:val="nil"/>
              <w:bottom w:val="single" w:sz="4" w:space="0" w:color="auto"/>
              <w:right w:val="single" w:sz="4" w:space="0" w:color="auto"/>
            </w:tcBorders>
            <w:noWrap/>
            <w:vAlign w:val="bottom"/>
            <w:hideMark/>
          </w:tcPr>
          <w:p w14:paraId="03248F28" w14:textId="77777777" w:rsidR="001D4AC9" w:rsidRPr="001D4AC9" w:rsidRDefault="001D4AC9" w:rsidP="001D4AC9">
            <w:pPr>
              <w:keepNext w:val="0"/>
              <w:spacing w:before="0"/>
              <w:jc w:val="right"/>
              <w:rPr>
                <w:rFonts w:cs="Arial"/>
                <w:color w:val="0000FF"/>
                <w:sz w:val="20"/>
              </w:rPr>
            </w:pPr>
            <w:r w:rsidRPr="001D4AC9">
              <w:rPr>
                <w:rFonts w:cs="Arial"/>
                <w:color w:val="0000FF"/>
                <w:sz w:val="20"/>
              </w:rPr>
              <w:t>1054</w:t>
            </w:r>
          </w:p>
        </w:tc>
      </w:tr>
    </w:tbl>
    <w:p w14:paraId="48467535" w14:textId="77777777" w:rsidR="00D90C26" w:rsidRDefault="00D90C26">
      <w:pPr>
        <w:keepNext w:val="0"/>
        <w:spacing w:before="0"/>
        <w:rPr>
          <w:color w:val="auto"/>
          <w:sz w:val="28"/>
          <w:szCs w:val="28"/>
          <w:u w:val="single"/>
        </w:rPr>
      </w:pPr>
    </w:p>
    <w:p w14:paraId="14FCA25B" w14:textId="38ADF031" w:rsidR="007B2953" w:rsidRPr="00F7468D" w:rsidRDefault="007B2953">
      <w:pPr>
        <w:keepNext w:val="0"/>
        <w:spacing w:before="0"/>
        <w:rPr>
          <w:color w:val="auto"/>
          <w:sz w:val="28"/>
          <w:szCs w:val="28"/>
          <w:u w:val="single"/>
        </w:rPr>
      </w:pPr>
      <w:r w:rsidRPr="00F7468D">
        <w:rPr>
          <w:color w:val="auto"/>
          <w:sz w:val="28"/>
          <w:szCs w:val="28"/>
          <w:u w:val="single"/>
        </w:rPr>
        <w:br w:type="page"/>
      </w:r>
    </w:p>
    <w:p w14:paraId="1F2A2B8C" w14:textId="3DDFBD0B" w:rsidR="00C602FD" w:rsidRPr="000663FF" w:rsidRDefault="00A56D9E" w:rsidP="005B39D2">
      <w:pPr>
        <w:keepNext w:val="0"/>
        <w:autoSpaceDE w:val="0"/>
        <w:autoSpaceDN w:val="0"/>
        <w:adjustRightInd w:val="0"/>
        <w:spacing w:before="0"/>
        <w:rPr>
          <w:b/>
          <w:bCs/>
          <w:color w:val="auto"/>
          <w:sz w:val="28"/>
          <w:szCs w:val="28"/>
        </w:rPr>
      </w:pPr>
      <w:r>
        <w:rPr>
          <w:b/>
          <w:bCs/>
          <w:noProof/>
          <w:color w:val="auto"/>
          <w:sz w:val="28"/>
          <w:szCs w:val="28"/>
        </w:rPr>
        <w:lastRenderedPageBreak/>
        <mc:AlternateContent>
          <mc:Choice Requires="wpi">
            <w:drawing>
              <wp:anchor distT="0" distB="0" distL="114300" distR="114300" simplePos="0" relativeHeight="251658242" behindDoc="0" locked="0" layoutInCell="1" allowOverlap="1" wp14:anchorId="4B6417C0" wp14:editId="2807EF48">
                <wp:simplePos x="0" y="0"/>
                <wp:positionH relativeFrom="column">
                  <wp:posOffset>7772915</wp:posOffset>
                </wp:positionH>
                <wp:positionV relativeFrom="paragraph">
                  <wp:posOffset>-521575</wp:posOffset>
                </wp:positionV>
                <wp:extent cx="360" cy="360"/>
                <wp:effectExtent l="57150" t="57150" r="57150" b="57150"/>
                <wp:wrapNone/>
                <wp:docPr id="615013529" name="Ink 1"/>
                <wp:cNvGraphicFramePr/>
                <a:graphic xmlns:a="http://schemas.openxmlformats.org/drawingml/2006/main">
                  <a:graphicData uri="http://schemas.microsoft.com/office/word/2010/wordprocessingInk">
                    <w14:contentPart bwMode="auto" r:id="rId82">
                      <w14:nvContentPartPr>
                        <w14:cNvContentPartPr/>
                      </w14:nvContentPartPr>
                      <w14:xfrm>
                        <a:off x="0" y="0"/>
                        <a:ext cx="360" cy="360"/>
                      </w14:xfrm>
                    </w14:contentPart>
                  </a:graphicData>
                </a:graphic>
              </wp:anchor>
            </w:drawing>
          </mc:Choice>
          <mc:Fallback xmlns:arto="http://schemas.microsoft.com/office/word/2006/arto">
            <w:pict>
              <v:shapetype w14:anchorId="5B8FC9F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s1026" type="#_x0000_t75" style="position:absolute;margin-left:611.35pt;margin-top:-41.75pt;width:1.45pt;height:1.4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">
                <v:imagedata r:id="rId83" o:title=""/>
              </v:shape>
            </w:pict>
          </mc:Fallback>
        </mc:AlternateContent>
      </w:r>
      <w:r w:rsidR="006C686F" w:rsidRPr="003768E4">
        <w:rPr>
          <w:b/>
          <w:bCs/>
          <w:color w:val="auto"/>
          <w:sz w:val="28"/>
          <w:szCs w:val="28"/>
        </w:rPr>
        <w:t xml:space="preserve">Ashfield Housing Trajectory </w:t>
      </w:r>
      <w:r w:rsidR="003768E4" w:rsidRPr="000663FF">
        <w:rPr>
          <w:b/>
          <w:bCs/>
          <w:color w:val="auto"/>
          <w:sz w:val="28"/>
          <w:szCs w:val="28"/>
        </w:rPr>
        <w:t>2023 to 2040</w:t>
      </w:r>
    </w:p>
    <w:p w14:paraId="6FF84C08" w14:textId="0034A79A" w:rsidR="00C602FD" w:rsidRDefault="0086214A" w:rsidP="005B39D2">
      <w:pPr>
        <w:keepNext w:val="0"/>
        <w:autoSpaceDE w:val="0"/>
        <w:autoSpaceDN w:val="0"/>
        <w:adjustRightInd w:val="0"/>
        <w:spacing w:before="0"/>
        <w:rPr>
          <w:b/>
          <w:bCs/>
          <w:color w:val="auto"/>
          <w:sz w:val="28"/>
          <w:szCs w:val="28"/>
        </w:rPr>
      </w:pPr>
      <w:r>
        <w:rPr>
          <w:b/>
          <w:bCs/>
          <w:noProof/>
          <w:color w:val="auto"/>
          <w:sz w:val="28"/>
          <w:szCs w:val="28"/>
        </w:rPr>
        <mc:AlternateContent>
          <mc:Choice Requires="wps">
            <w:drawing>
              <wp:anchor distT="0" distB="0" distL="114300" distR="114300" simplePos="0" relativeHeight="251658248" behindDoc="0" locked="0" layoutInCell="1" allowOverlap="1" wp14:anchorId="7F0E7557" wp14:editId="0F8706C9">
                <wp:simplePos x="0" y="0"/>
                <wp:positionH relativeFrom="column">
                  <wp:posOffset>-138900</wp:posOffset>
                </wp:positionH>
                <wp:positionV relativeFrom="paragraph">
                  <wp:posOffset>245744</wp:posOffset>
                </wp:positionV>
                <wp:extent cx="13882254" cy="8108785"/>
                <wp:effectExtent l="0" t="0" r="24765" b="26035"/>
                <wp:wrapNone/>
                <wp:docPr id="959895428" name="Straight Connector 8"/>
                <wp:cNvGraphicFramePr/>
                <a:graphic xmlns:a="http://schemas.openxmlformats.org/drawingml/2006/main">
                  <a:graphicData uri="http://schemas.microsoft.com/office/word/2010/wordprocessingShape">
                    <wps:wsp>
                      <wps:cNvCnPr/>
                      <wps:spPr>
                        <a:xfrm>
                          <a:off x="0" y="0"/>
                          <a:ext cx="13882254" cy="810878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arto="http://schemas.microsoft.com/office/word/2006/arto">
            <w:pict>
              <v:line w14:anchorId="18949B12" id="Straight Connector 8"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10.95pt,19.35pt" to="1082.15pt,6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" strokecolor="black [3200]" strokeweight="1.5pt">
                <v:stroke joinstyle="miter"/>
              </v:line>
            </w:pict>
          </mc:Fallback>
        </mc:AlternateContent>
      </w:r>
    </w:p>
    <w:p w14:paraId="4414EE39" w14:textId="77777777" w:rsidR="000A31CA" w:rsidRDefault="000A31CA" w:rsidP="005B39D2">
      <w:pPr>
        <w:keepNext w:val="0"/>
        <w:autoSpaceDE w:val="0"/>
        <w:autoSpaceDN w:val="0"/>
        <w:adjustRightInd w:val="0"/>
        <w:spacing w:before="0"/>
        <w:rPr>
          <w:b/>
          <w:bCs/>
          <w:color w:val="auto"/>
          <w:sz w:val="28"/>
          <w:szCs w:val="28"/>
        </w:rPr>
      </w:pPr>
    </w:p>
    <w:p w14:paraId="1B6D63A6" w14:textId="2946A0EB" w:rsidR="006E6C02" w:rsidRDefault="00A56D9E" w:rsidP="005B39D2">
      <w:pPr>
        <w:keepNext w:val="0"/>
        <w:autoSpaceDE w:val="0"/>
        <w:autoSpaceDN w:val="0"/>
        <w:adjustRightInd w:val="0"/>
        <w:spacing w:before="0"/>
        <w:rPr>
          <w:b/>
          <w:bCs/>
          <w:color w:val="auto"/>
          <w:sz w:val="28"/>
          <w:szCs w:val="28"/>
        </w:rPr>
      </w:pPr>
      <w:r>
        <w:rPr>
          <w:b/>
          <w:bCs/>
          <w:strike/>
          <w:noProof/>
          <w:color w:val="auto"/>
          <w:sz w:val="28"/>
          <w:szCs w:val="28"/>
        </w:rPr>
        <mc:AlternateContent>
          <mc:Choice Requires="wpi">
            <w:drawing>
              <wp:anchor distT="0" distB="0" distL="114300" distR="114300" simplePos="0" relativeHeight="251658243" behindDoc="0" locked="0" layoutInCell="1" allowOverlap="1" wp14:anchorId="6218DFE2" wp14:editId="09F44FDF">
                <wp:simplePos x="0" y="0"/>
                <wp:positionH relativeFrom="column">
                  <wp:posOffset>-54656</wp:posOffset>
                </wp:positionH>
                <wp:positionV relativeFrom="paragraph">
                  <wp:posOffset>-163402</wp:posOffset>
                </wp:positionV>
                <wp:extent cx="13653000" cy="8134560"/>
                <wp:effectExtent l="57150" t="57150" r="44450" b="57150"/>
                <wp:wrapNone/>
                <wp:docPr id="2086968630" name="Ink 8"/>
                <wp:cNvGraphicFramePr/>
                <a:graphic xmlns:a="http://schemas.openxmlformats.org/drawingml/2006/main">
                  <a:graphicData uri="http://schemas.microsoft.com/office/word/2010/wordprocessingInk">
                    <w14:contentPart bwMode="auto" r:id="rId84">
                      <w14:nvContentPartPr>
                        <w14:cNvContentPartPr/>
                      </w14:nvContentPartPr>
                      <w14:xfrm>
                        <a:off x="0" y="0"/>
                        <a:ext cx="13653000" cy="8134560"/>
                      </w14:xfrm>
                    </w14:contentPart>
                  </a:graphicData>
                </a:graphic>
              </wp:anchor>
            </w:drawing>
          </mc:Choice>
          <mc:Fallback xmlns:arto="http://schemas.microsoft.com/office/word/2006/arto">
            <w:pict>
              <v:shapetype w14:anchorId="51F0BC8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5pt;margin-top:-13.55pt;width:1076.5pt;height:641.9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">
                <v:imagedata r:id="rId85" o:title=""/>
              </v:shape>
            </w:pict>
          </mc:Fallback>
        </mc:AlternateContent>
      </w:r>
      <w:r w:rsidR="00461E90" w:rsidRPr="00A56D9E">
        <w:rPr>
          <w:b/>
          <w:bCs/>
          <w:strike/>
          <w:noProof/>
          <w:color w:val="auto"/>
          <w:sz w:val="28"/>
          <w:szCs w:val="28"/>
        </w:rPr>
        <w:drawing>
          <wp:inline distT="0" distB="0" distL="0" distR="0" wp14:anchorId="1AFA3CB3" wp14:editId="69BB5C2A">
            <wp:extent cx="13576359" cy="7857461"/>
            <wp:effectExtent l="0" t="0" r="6350" b="0"/>
            <wp:docPr id="1611274667" name="Picture 3" descr="Table displaying housing supply and requirement data from 2017 to 2033, including past completions, projected completions by site size and planning status, small site windfall allowance, and cumulative completions. Color-coded rows highlight key categories such as past completions (orange), projected completions from large and small sites (green and blue shades), and cumulative completions (purple), with annual requirements and management targets noted for monitoring progress against housing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74667" name="Picture 3" descr="Table displaying housing supply and requirement data from 2017 to 2033, including past completions, projected completions by site size and planning status, small site windfall allowance, and cumulative completions. Color-coded rows highlight key categories such as past completions (orange), projected completions from large and small sites (green and blue shades), and cumulative completions (purple), with annual requirements and management targets noted for monitoring progress against housing goal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608230" cy="7875906"/>
                    </a:xfrm>
                    <a:prstGeom prst="rect">
                      <a:avLst/>
                    </a:prstGeom>
                    <a:noFill/>
                  </pic:spPr>
                </pic:pic>
              </a:graphicData>
            </a:graphic>
          </wp:inline>
        </w:drawing>
      </w:r>
    </w:p>
    <w:p w14:paraId="15981664" w14:textId="77777777" w:rsidR="006E6C02" w:rsidRDefault="006E6C02">
      <w:pPr>
        <w:keepNext w:val="0"/>
        <w:spacing w:before="0"/>
        <w:rPr>
          <w:b/>
          <w:bCs/>
          <w:color w:val="auto"/>
          <w:sz w:val="28"/>
          <w:szCs w:val="28"/>
        </w:rPr>
      </w:pPr>
      <w:r>
        <w:rPr>
          <w:b/>
          <w:bCs/>
          <w:color w:val="auto"/>
          <w:sz w:val="28"/>
          <w:szCs w:val="28"/>
        </w:rPr>
        <w:br w:type="page"/>
      </w:r>
    </w:p>
    <w:p w14:paraId="0023EBC4" w14:textId="77777777" w:rsidR="00461E90" w:rsidRDefault="00461E90" w:rsidP="005B39D2">
      <w:pPr>
        <w:keepNext w:val="0"/>
        <w:autoSpaceDE w:val="0"/>
        <w:autoSpaceDN w:val="0"/>
        <w:adjustRightInd w:val="0"/>
        <w:spacing w:before="0"/>
        <w:rPr>
          <w:b/>
          <w:bCs/>
          <w:color w:val="auto"/>
          <w:sz w:val="28"/>
          <w:szCs w:val="28"/>
        </w:rPr>
      </w:pPr>
    </w:p>
    <w:p w14:paraId="2F0743CA" w14:textId="77777777" w:rsidR="006E6C02" w:rsidRDefault="006E6C02" w:rsidP="005B39D2">
      <w:pPr>
        <w:keepNext w:val="0"/>
        <w:autoSpaceDE w:val="0"/>
        <w:autoSpaceDN w:val="0"/>
        <w:adjustRightInd w:val="0"/>
        <w:spacing w:before="0"/>
        <w:rPr>
          <w:b/>
          <w:bCs/>
          <w:color w:val="auto"/>
          <w:sz w:val="28"/>
          <w:szCs w:val="28"/>
        </w:rPr>
      </w:pPr>
    </w:p>
    <w:tbl>
      <w:tblPr>
        <w:tblW w:w="21382" w:type="dxa"/>
        <w:tblLook w:val="04A0" w:firstRow="1" w:lastRow="0" w:firstColumn="1" w:lastColumn="0" w:noHBand="0" w:noVBand="1"/>
      </w:tblPr>
      <w:tblGrid>
        <w:gridCol w:w="3123"/>
        <w:gridCol w:w="1002"/>
        <w:gridCol w:w="1002"/>
        <w:gridCol w:w="1002"/>
        <w:gridCol w:w="1002"/>
        <w:gridCol w:w="1002"/>
        <w:gridCol w:w="1002"/>
        <w:gridCol w:w="1002"/>
        <w:gridCol w:w="1002"/>
        <w:gridCol w:w="1002"/>
        <w:gridCol w:w="1002"/>
        <w:gridCol w:w="1002"/>
        <w:gridCol w:w="1002"/>
        <w:gridCol w:w="1002"/>
        <w:gridCol w:w="1002"/>
        <w:gridCol w:w="1002"/>
        <w:gridCol w:w="1002"/>
        <w:gridCol w:w="1002"/>
        <w:gridCol w:w="1225"/>
      </w:tblGrid>
      <w:tr w:rsidR="001A51EE" w:rsidRPr="001A51EE" w14:paraId="4B8FB6F1" w14:textId="77777777" w:rsidTr="001A51EE">
        <w:trPr>
          <w:trHeight w:val="983"/>
        </w:trPr>
        <w:tc>
          <w:tcPr>
            <w:tcW w:w="3123" w:type="dxa"/>
            <w:tcBorders>
              <w:top w:val="single" w:sz="4" w:space="0" w:color="auto"/>
              <w:left w:val="single" w:sz="4" w:space="0" w:color="auto"/>
              <w:bottom w:val="single" w:sz="4" w:space="0" w:color="auto"/>
              <w:right w:val="nil"/>
            </w:tcBorders>
            <w:shd w:val="clear" w:color="000000" w:fill="C0C0C0"/>
            <w:vAlign w:val="center"/>
            <w:hideMark/>
          </w:tcPr>
          <w:p w14:paraId="2086296C" w14:textId="77777777" w:rsidR="001A51EE" w:rsidRPr="00AE1C9F" w:rsidRDefault="001A51EE" w:rsidP="001A51EE">
            <w:pPr>
              <w:keepNext w:val="0"/>
              <w:spacing w:before="0"/>
              <w:rPr>
                <w:rFonts w:cs="Arial"/>
                <w:b/>
                <w:bCs/>
                <w:color w:val="004D99"/>
                <w:sz w:val="20"/>
              </w:rPr>
            </w:pPr>
            <w:r w:rsidRPr="00AE1C9F">
              <w:rPr>
                <w:rFonts w:cs="Arial"/>
                <w:b/>
                <w:bCs/>
                <w:color w:val="004D99"/>
                <w:sz w:val="20"/>
              </w:rPr>
              <w:t>Housing Supply and Requirement (Dwellings)</w:t>
            </w:r>
          </w:p>
        </w:tc>
        <w:tc>
          <w:tcPr>
            <w:tcW w:w="1002" w:type="dxa"/>
            <w:tcBorders>
              <w:top w:val="single" w:sz="4" w:space="0" w:color="auto"/>
              <w:left w:val="single" w:sz="4" w:space="0" w:color="auto"/>
              <w:bottom w:val="single" w:sz="4" w:space="0" w:color="auto"/>
              <w:right w:val="single" w:sz="4" w:space="0" w:color="auto"/>
            </w:tcBorders>
            <w:shd w:val="clear" w:color="000000" w:fill="C0C0C0"/>
            <w:vAlign w:val="center"/>
            <w:hideMark/>
          </w:tcPr>
          <w:p w14:paraId="55EFE18F"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2023/24</w:t>
            </w:r>
          </w:p>
        </w:tc>
        <w:tc>
          <w:tcPr>
            <w:tcW w:w="1002" w:type="dxa"/>
            <w:tcBorders>
              <w:top w:val="single" w:sz="4" w:space="0" w:color="auto"/>
              <w:left w:val="nil"/>
              <w:bottom w:val="single" w:sz="4" w:space="0" w:color="auto"/>
              <w:right w:val="single" w:sz="8" w:space="0" w:color="auto"/>
            </w:tcBorders>
            <w:shd w:val="clear" w:color="000000" w:fill="C0C0C0"/>
            <w:vAlign w:val="center"/>
            <w:hideMark/>
          </w:tcPr>
          <w:p w14:paraId="6EAD162B"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2024/25</w:t>
            </w:r>
          </w:p>
        </w:tc>
        <w:tc>
          <w:tcPr>
            <w:tcW w:w="1002" w:type="dxa"/>
            <w:tcBorders>
              <w:top w:val="single" w:sz="4" w:space="0" w:color="auto"/>
              <w:left w:val="nil"/>
              <w:bottom w:val="single" w:sz="4" w:space="0" w:color="auto"/>
              <w:right w:val="nil"/>
            </w:tcBorders>
            <w:shd w:val="clear" w:color="000000" w:fill="C0C0C0"/>
            <w:noWrap/>
            <w:vAlign w:val="center"/>
            <w:hideMark/>
          </w:tcPr>
          <w:p w14:paraId="01386D0E"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2025/26</w:t>
            </w:r>
          </w:p>
        </w:tc>
        <w:tc>
          <w:tcPr>
            <w:tcW w:w="1002" w:type="dxa"/>
            <w:tcBorders>
              <w:top w:val="single" w:sz="4" w:space="0" w:color="auto"/>
              <w:left w:val="single" w:sz="4" w:space="0" w:color="auto"/>
              <w:bottom w:val="single" w:sz="4" w:space="0" w:color="auto"/>
              <w:right w:val="nil"/>
            </w:tcBorders>
            <w:shd w:val="clear" w:color="000000" w:fill="C0C0C0"/>
            <w:noWrap/>
            <w:vAlign w:val="center"/>
            <w:hideMark/>
          </w:tcPr>
          <w:p w14:paraId="6CBC6842"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2026/27</w:t>
            </w:r>
          </w:p>
        </w:tc>
        <w:tc>
          <w:tcPr>
            <w:tcW w:w="1002"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2F89255"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2027/28</w:t>
            </w:r>
          </w:p>
        </w:tc>
        <w:tc>
          <w:tcPr>
            <w:tcW w:w="1002" w:type="dxa"/>
            <w:tcBorders>
              <w:top w:val="single" w:sz="4" w:space="0" w:color="auto"/>
              <w:left w:val="nil"/>
              <w:bottom w:val="single" w:sz="4" w:space="0" w:color="auto"/>
              <w:right w:val="single" w:sz="4" w:space="0" w:color="auto"/>
            </w:tcBorders>
            <w:shd w:val="clear" w:color="000000" w:fill="C0C0C0"/>
            <w:noWrap/>
            <w:vAlign w:val="center"/>
            <w:hideMark/>
          </w:tcPr>
          <w:p w14:paraId="65128A8A"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2028/29</w:t>
            </w:r>
          </w:p>
        </w:tc>
        <w:tc>
          <w:tcPr>
            <w:tcW w:w="1002" w:type="dxa"/>
            <w:tcBorders>
              <w:top w:val="single" w:sz="4" w:space="0" w:color="auto"/>
              <w:left w:val="nil"/>
              <w:bottom w:val="single" w:sz="4" w:space="0" w:color="auto"/>
              <w:right w:val="single" w:sz="8" w:space="0" w:color="auto"/>
            </w:tcBorders>
            <w:shd w:val="clear" w:color="000000" w:fill="C0C0C0"/>
            <w:noWrap/>
            <w:vAlign w:val="center"/>
            <w:hideMark/>
          </w:tcPr>
          <w:p w14:paraId="1359AACD"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2029/30</w:t>
            </w:r>
          </w:p>
        </w:tc>
        <w:tc>
          <w:tcPr>
            <w:tcW w:w="1002" w:type="dxa"/>
            <w:tcBorders>
              <w:top w:val="single" w:sz="4" w:space="0" w:color="auto"/>
              <w:left w:val="nil"/>
              <w:bottom w:val="single" w:sz="4" w:space="0" w:color="auto"/>
              <w:right w:val="nil"/>
            </w:tcBorders>
            <w:shd w:val="clear" w:color="000000" w:fill="C0C0C0"/>
            <w:noWrap/>
            <w:vAlign w:val="center"/>
            <w:hideMark/>
          </w:tcPr>
          <w:p w14:paraId="71FA25B4"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2030/31</w:t>
            </w:r>
          </w:p>
        </w:tc>
        <w:tc>
          <w:tcPr>
            <w:tcW w:w="1002" w:type="dxa"/>
            <w:tcBorders>
              <w:top w:val="single" w:sz="4" w:space="0" w:color="auto"/>
              <w:left w:val="single" w:sz="4" w:space="0" w:color="auto"/>
              <w:bottom w:val="single" w:sz="4" w:space="0" w:color="auto"/>
              <w:right w:val="nil"/>
            </w:tcBorders>
            <w:shd w:val="clear" w:color="000000" w:fill="C0C0C0"/>
            <w:noWrap/>
            <w:vAlign w:val="center"/>
            <w:hideMark/>
          </w:tcPr>
          <w:p w14:paraId="2485632D"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2031/32</w:t>
            </w:r>
          </w:p>
        </w:tc>
        <w:tc>
          <w:tcPr>
            <w:tcW w:w="1002"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2C3A87B2"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2032/33</w:t>
            </w:r>
          </w:p>
        </w:tc>
        <w:tc>
          <w:tcPr>
            <w:tcW w:w="1002" w:type="dxa"/>
            <w:tcBorders>
              <w:top w:val="single" w:sz="4" w:space="0" w:color="auto"/>
              <w:left w:val="nil"/>
              <w:bottom w:val="single" w:sz="4" w:space="0" w:color="auto"/>
              <w:right w:val="single" w:sz="4" w:space="0" w:color="auto"/>
            </w:tcBorders>
            <w:shd w:val="clear" w:color="000000" w:fill="C0C0C0"/>
            <w:noWrap/>
            <w:vAlign w:val="center"/>
            <w:hideMark/>
          </w:tcPr>
          <w:p w14:paraId="5C74830A"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2033/34</w:t>
            </w:r>
          </w:p>
        </w:tc>
        <w:tc>
          <w:tcPr>
            <w:tcW w:w="1002" w:type="dxa"/>
            <w:tcBorders>
              <w:top w:val="single" w:sz="4" w:space="0" w:color="auto"/>
              <w:left w:val="nil"/>
              <w:bottom w:val="single" w:sz="4" w:space="0" w:color="auto"/>
              <w:right w:val="single" w:sz="8" w:space="0" w:color="auto"/>
            </w:tcBorders>
            <w:shd w:val="clear" w:color="000000" w:fill="C0C0C0"/>
            <w:noWrap/>
            <w:vAlign w:val="center"/>
            <w:hideMark/>
          </w:tcPr>
          <w:p w14:paraId="7CD40C7E"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2034/35</w:t>
            </w:r>
          </w:p>
        </w:tc>
        <w:tc>
          <w:tcPr>
            <w:tcW w:w="1002" w:type="dxa"/>
            <w:tcBorders>
              <w:top w:val="single" w:sz="4" w:space="0" w:color="auto"/>
              <w:left w:val="nil"/>
              <w:bottom w:val="single" w:sz="4" w:space="0" w:color="auto"/>
              <w:right w:val="nil"/>
            </w:tcBorders>
            <w:shd w:val="clear" w:color="000000" w:fill="C0C0C0"/>
            <w:noWrap/>
            <w:vAlign w:val="center"/>
            <w:hideMark/>
          </w:tcPr>
          <w:p w14:paraId="6DF03342"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2035/36</w:t>
            </w:r>
          </w:p>
        </w:tc>
        <w:tc>
          <w:tcPr>
            <w:tcW w:w="1002" w:type="dxa"/>
            <w:tcBorders>
              <w:top w:val="single" w:sz="4" w:space="0" w:color="auto"/>
              <w:left w:val="single" w:sz="4" w:space="0" w:color="auto"/>
              <w:bottom w:val="single" w:sz="4" w:space="0" w:color="auto"/>
              <w:right w:val="nil"/>
            </w:tcBorders>
            <w:shd w:val="clear" w:color="000000" w:fill="C0C0C0"/>
            <w:noWrap/>
            <w:vAlign w:val="center"/>
            <w:hideMark/>
          </w:tcPr>
          <w:p w14:paraId="32EB63FD"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2036/37</w:t>
            </w:r>
          </w:p>
        </w:tc>
        <w:tc>
          <w:tcPr>
            <w:tcW w:w="1002"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B67A1E0"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2037/38</w:t>
            </w:r>
          </w:p>
        </w:tc>
        <w:tc>
          <w:tcPr>
            <w:tcW w:w="1002" w:type="dxa"/>
            <w:tcBorders>
              <w:top w:val="single" w:sz="4" w:space="0" w:color="auto"/>
              <w:left w:val="nil"/>
              <w:bottom w:val="single" w:sz="4" w:space="0" w:color="auto"/>
              <w:right w:val="single" w:sz="4" w:space="0" w:color="auto"/>
            </w:tcBorders>
            <w:shd w:val="clear" w:color="000000" w:fill="C0C0C0"/>
            <w:noWrap/>
            <w:vAlign w:val="center"/>
            <w:hideMark/>
          </w:tcPr>
          <w:p w14:paraId="21B9D45C"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2038/39</w:t>
            </w:r>
          </w:p>
        </w:tc>
        <w:tc>
          <w:tcPr>
            <w:tcW w:w="1002" w:type="dxa"/>
            <w:tcBorders>
              <w:top w:val="single" w:sz="4" w:space="0" w:color="auto"/>
              <w:left w:val="nil"/>
              <w:bottom w:val="single" w:sz="4" w:space="0" w:color="auto"/>
              <w:right w:val="single" w:sz="8" w:space="0" w:color="auto"/>
            </w:tcBorders>
            <w:shd w:val="clear" w:color="000000" w:fill="C0C0C0"/>
            <w:noWrap/>
            <w:vAlign w:val="center"/>
            <w:hideMark/>
          </w:tcPr>
          <w:p w14:paraId="711499EC"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2039/40</w:t>
            </w:r>
          </w:p>
        </w:tc>
        <w:tc>
          <w:tcPr>
            <w:tcW w:w="1225" w:type="dxa"/>
            <w:tcBorders>
              <w:top w:val="single" w:sz="4" w:space="0" w:color="auto"/>
              <w:left w:val="nil"/>
              <w:bottom w:val="single" w:sz="4" w:space="0" w:color="auto"/>
              <w:right w:val="single" w:sz="4" w:space="0" w:color="auto"/>
            </w:tcBorders>
            <w:shd w:val="clear" w:color="000000" w:fill="C0C0C0"/>
            <w:noWrap/>
            <w:vAlign w:val="center"/>
            <w:hideMark/>
          </w:tcPr>
          <w:p w14:paraId="3E61DE08" w14:textId="77777777" w:rsidR="001A51EE" w:rsidRPr="00AE1C9F" w:rsidRDefault="001A51EE" w:rsidP="001A51EE">
            <w:pPr>
              <w:keepNext w:val="0"/>
              <w:spacing w:before="0"/>
              <w:jc w:val="right"/>
              <w:rPr>
                <w:rFonts w:cs="Arial"/>
                <w:b/>
                <w:bCs/>
                <w:color w:val="004D99"/>
                <w:sz w:val="18"/>
                <w:szCs w:val="18"/>
              </w:rPr>
            </w:pPr>
            <w:r w:rsidRPr="00AE1C9F">
              <w:rPr>
                <w:rFonts w:cs="Arial"/>
                <w:b/>
                <w:bCs/>
                <w:color w:val="004D99"/>
                <w:sz w:val="18"/>
                <w:szCs w:val="18"/>
              </w:rPr>
              <w:t>Total</w:t>
            </w:r>
          </w:p>
        </w:tc>
      </w:tr>
      <w:tr w:rsidR="001A51EE" w:rsidRPr="001A51EE" w14:paraId="342C7062" w14:textId="77777777" w:rsidTr="001A51EE">
        <w:trPr>
          <w:trHeight w:val="828"/>
        </w:trPr>
        <w:tc>
          <w:tcPr>
            <w:tcW w:w="3123" w:type="dxa"/>
            <w:tcBorders>
              <w:top w:val="nil"/>
              <w:left w:val="single" w:sz="4" w:space="0" w:color="auto"/>
              <w:bottom w:val="nil"/>
              <w:right w:val="nil"/>
            </w:tcBorders>
            <w:shd w:val="clear" w:color="000000" w:fill="ED7D31"/>
            <w:vAlign w:val="center"/>
            <w:hideMark/>
          </w:tcPr>
          <w:p w14:paraId="636A13D1" w14:textId="77777777" w:rsidR="001A51EE" w:rsidRPr="004A1E29" w:rsidRDefault="001A51EE" w:rsidP="001A51EE">
            <w:pPr>
              <w:keepNext w:val="0"/>
              <w:spacing w:before="0"/>
              <w:rPr>
                <w:rFonts w:cs="Arial"/>
                <w:b/>
                <w:bCs/>
                <w:color w:val="002E73"/>
                <w:sz w:val="20"/>
              </w:rPr>
            </w:pPr>
            <w:r w:rsidRPr="004A1E29">
              <w:rPr>
                <w:rFonts w:cs="Arial"/>
                <w:b/>
                <w:bCs/>
                <w:color w:val="002E73"/>
                <w:sz w:val="20"/>
              </w:rPr>
              <w:t>Completions from large sites without planning permission</w:t>
            </w:r>
          </w:p>
        </w:tc>
        <w:tc>
          <w:tcPr>
            <w:tcW w:w="1002" w:type="dxa"/>
            <w:tcBorders>
              <w:top w:val="nil"/>
              <w:left w:val="single" w:sz="4" w:space="0" w:color="auto"/>
              <w:bottom w:val="single" w:sz="4" w:space="0" w:color="auto"/>
              <w:right w:val="single" w:sz="4" w:space="0" w:color="auto"/>
            </w:tcBorders>
            <w:shd w:val="clear" w:color="000000" w:fill="ED7D31"/>
            <w:noWrap/>
            <w:vAlign w:val="center"/>
            <w:hideMark/>
          </w:tcPr>
          <w:p w14:paraId="778711B6"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0</w:t>
            </w:r>
          </w:p>
        </w:tc>
        <w:tc>
          <w:tcPr>
            <w:tcW w:w="1002" w:type="dxa"/>
            <w:tcBorders>
              <w:top w:val="nil"/>
              <w:left w:val="nil"/>
              <w:bottom w:val="single" w:sz="4" w:space="0" w:color="auto"/>
              <w:right w:val="single" w:sz="8" w:space="0" w:color="auto"/>
            </w:tcBorders>
            <w:shd w:val="clear" w:color="000000" w:fill="ED7D31"/>
            <w:noWrap/>
            <w:vAlign w:val="center"/>
            <w:hideMark/>
          </w:tcPr>
          <w:p w14:paraId="13BF7CB0"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0</w:t>
            </w:r>
          </w:p>
        </w:tc>
        <w:tc>
          <w:tcPr>
            <w:tcW w:w="1002" w:type="dxa"/>
            <w:tcBorders>
              <w:top w:val="nil"/>
              <w:left w:val="nil"/>
              <w:bottom w:val="single" w:sz="4" w:space="0" w:color="auto"/>
              <w:right w:val="nil"/>
            </w:tcBorders>
            <w:shd w:val="clear" w:color="000000" w:fill="ED7D31"/>
            <w:noWrap/>
            <w:vAlign w:val="center"/>
            <w:hideMark/>
          </w:tcPr>
          <w:p w14:paraId="341F324C"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0</w:t>
            </w:r>
          </w:p>
        </w:tc>
        <w:tc>
          <w:tcPr>
            <w:tcW w:w="1002" w:type="dxa"/>
            <w:tcBorders>
              <w:top w:val="nil"/>
              <w:left w:val="single" w:sz="4" w:space="0" w:color="auto"/>
              <w:bottom w:val="single" w:sz="4" w:space="0" w:color="auto"/>
              <w:right w:val="nil"/>
            </w:tcBorders>
            <w:shd w:val="clear" w:color="000000" w:fill="ED7D31"/>
            <w:noWrap/>
            <w:vAlign w:val="center"/>
            <w:hideMark/>
          </w:tcPr>
          <w:p w14:paraId="2BD95697"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44</w:t>
            </w:r>
          </w:p>
        </w:tc>
        <w:tc>
          <w:tcPr>
            <w:tcW w:w="1002" w:type="dxa"/>
            <w:tcBorders>
              <w:top w:val="nil"/>
              <w:left w:val="single" w:sz="4" w:space="0" w:color="auto"/>
              <w:bottom w:val="single" w:sz="4" w:space="0" w:color="auto"/>
              <w:right w:val="single" w:sz="4" w:space="0" w:color="auto"/>
            </w:tcBorders>
            <w:shd w:val="clear" w:color="000000" w:fill="ED7D31"/>
            <w:noWrap/>
            <w:vAlign w:val="center"/>
            <w:hideMark/>
          </w:tcPr>
          <w:p w14:paraId="4BDBB58C"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67</w:t>
            </w:r>
          </w:p>
        </w:tc>
        <w:tc>
          <w:tcPr>
            <w:tcW w:w="1002" w:type="dxa"/>
            <w:tcBorders>
              <w:top w:val="nil"/>
              <w:left w:val="nil"/>
              <w:bottom w:val="single" w:sz="4" w:space="0" w:color="auto"/>
              <w:right w:val="single" w:sz="4" w:space="0" w:color="auto"/>
            </w:tcBorders>
            <w:shd w:val="clear" w:color="000000" w:fill="ED7D31"/>
            <w:noWrap/>
            <w:vAlign w:val="center"/>
            <w:hideMark/>
          </w:tcPr>
          <w:p w14:paraId="46D09BC4"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64</w:t>
            </w:r>
          </w:p>
        </w:tc>
        <w:tc>
          <w:tcPr>
            <w:tcW w:w="1002" w:type="dxa"/>
            <w:tcBorders>
              <w:top w:val="nil"/>
              <w:left w:val="nil"/>
              <w:bottom w:val="single" w:sz="4" w:space="0" w:color="auto"/>
              <w:right w:val="single" w:sz="8" w:space="0" w:color="auto"/>
            </w:tcBorders>
            <w:shd w:val="clear" w:color="000000" w:fill="ED7D31"/>
            <w:noWrap/>
            <w:vAlign w:val="center"/>
            <w:hideMark/>
          </w:tcPr>
          <w:p w14:paraId="4BF49B39"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161</w:t>
            </w:r>
          </w:p>
        </w:tc>
        <w:tc>
          <w:tcPr>
            <w:tcW w:w="1002" w:type="dxa"/>
            <w:tcBorders>
              <w:top w:val="nil"/>
              <w:left w:val="nil"/>
              <w:bottom w:val="single" w:sz="4" w:space="0" w:color="auto"/>
              <w:right w:val="nil"/>
            </w:tcBorders>
            <w:shd w:val="clear" w:color="000000" w:fill="ED7D31"/>
            <w:noWrap/>
            <w:vAlign w:val="center"/>
            <w:hideMark/>
          </w:tcPr>
          <w:p w14:paraId="01F3BE91"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380</w:t>
            </w:r>
          </w:p>
        </w:tc>
        <w:tc>
          <w:tcPr>
            <w:tcW w:w="1002" w:type="dxa"/>
            <w:tcBorders>
              <w:top w:val="nil"/>
              <w:left w:val="single" w:sz="4" w:space="0" w:color="auto"/>
              <w:bottom w:val="single" w:sz="4" w:space="0" w:color="auto"/>
              <w:right w:val="nil"/>
            </w:tcBorders>
            <w:shd w:val="clear" w:color="000000" w:fill="ED7D31"/>
            <w:noWrap/>
            <w:vAlign w:val="center"/>
            <w:hideMark/>
          </w:tcPr>
          <w:p w14:paraId="7EE26084"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375</w:t>
            </w:r>
          </w:p>
        </w:tc>
        <w:tc>
          <w:tcPr>
            <w:tcW w:w="1002" w:type="dxa"/>
            <w:tcBorders>
              <w:top w:val="nil"/>
              <w:left w:val="single" w:sz="4" w:space="0" w:color="auto"/>
              <w:bottom w:val="single" w:sz="4" w:space="0" w:color="auto"/>
              <w:right w:val="single" w:sz="4" w:space="0" w:color="auto"/>
            </w:tcBorders>
            <w:shd w:val="clear" w:color="000000" w:fill="ED7D31"/>
            <w:noWrap/>
            <w:vAlign w:val="center"/>
            <w:hideMark/>
          </w:tcPr>
          <w:p w14:paraId="4D9DAFBA"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416</w:t>
            </w:r>
          </w:p>
        </w:tc>
        <w:tc>
          <w:tcPr>
            <w:tcW w:w="1002" w:type="dxa"/>
            <w:tcBorders>
              <w:top w:val="nil"/>
              <w:left w:val="nil"/>
              <w:bottom w:val="single" w:sz="4" w:space="0" w:color="auto"/>
              <w:right w:val="single" w:sz="4" w:space="0" w:color="auto"/>
            </w:tcBorders>
            <w:shd w:val="clear" w:color="000000" w:fill="ED7D31"/>
            <w:noWrap/>
            <w:vAlign w:val="center"/>
            <w:hideMark/>
          </w:tcPr>
          <w:p w14:paraId="356B4238"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456</w:t>
            </w:r>
          </w:p>
        </w:tc>
        <w:tc>
          <w:tcPr>
            <w:tcW w:w="1002" w:type="dxa"/>
            <w:tcBorders>
              <w:top w:val="nil"/>
              <w:left w:val="nil"/>
              <w:bottom w:val="single" w:sz="4" w:space="0" w:color="auto"/>
              <w:right w:val="single" w:sz="8" w:space="0" w:color="auto"/>
            </w:tcBorders>
            <w:shd w:val="clear" w:color="000000" w:fill="ED7D31"/>
            <w:noWrap/>
            <w:vAlign w:val="center"/>
            <w:hideMark/>
          </w:tcPr>
          <w:p w14:paraId="6ED83B67"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432</w:t>
            </w:r>
          </w:p>
        </w:tc>
        <w:tc>
          <w:tcPr>
            <w:tcW w:w="1002" w:type="dxa"/>
            <w:tcBorders>
              <w:top w:val="nil"/>
              <w:left w:val="nil"/>
              <w:bottom w:val="single" w:sz="4" w:space="0" w:color="auto"/>
              <w:right w:val="nil"/>
            </w:tcBorders>
            <w:shd w:val="clear" w:color="000000" w:fill="ED7D31"/>
            <w:noWrap/>
            <w:vAlign w:val="center"/>
            <w:hideMark/>
          </w:tcPr>
          <w:p w14:paraId="786BCF2F"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333</w:t>
            </w:r>
          </w:p>
        </w:tc>
        <w:tc>
          <w:tcPr>
            <w:tcW w:w="1002" w:type="dxa"/>
            <w:tcBorders>
              <w:top w:val="nil"/>
              <w:left w:val="single" w:sz="4" w:space="0" w:color="auto"/>
              <w:bottom w:val="single" w:sz="4" w:space="0" w:color="auto"/>
              <w:right w:val="nil"/>
            </w:tcBorders>
            <w:shd w:val="clear" w:color="000000" w:fill="ED7D31"/>
            <w:noWrap/>
            <w:vAlign w:val="center"/>
            <w:hideMark/>
          </w:tcPr>
          <w:p w14:paraId="5AF82626"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227</w:t>
            </w:r>
          </w:p>
        </w:tc>
        <w:tc>
          <w:tcPr>
            <w:tcW w:w="1002" w:type="dxa"/>
            <w:tcBorders>
              <w:top w:val="nil"/>
              <w:left w:val="single" w:sz="4" w:space="0" w:color="auto"/>
              <w:bottom w:val="single" w:sz="4" w:space="0" w:color="auto"/>
              <w:right w:val="single" w:sz="4" w:space="0" w:color="auto"/>
            </w:tcBorders>
            <w:shd w:val="clear" w:color="000000" w:fill="ED7D31"/>
            <w:noWrap/>
            <w:vAlign w:val="center"/>
            <w:hideMark/>
          </w:tcPr>
          <w:p w14:paraId="7CDC652E"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210</w:t>
            </w:r>
          </w:p>
        </w:tc>
        <w:tc>
          <w:tcPr>
            <w:tcW w:w="1002" w:type="dxa"/>
            <w:tcBorders>
              <w:top w:val="nil"/>
              <w:left w:val="nil"/>
              <w:bottom w:val="single" w:sz="4" w:space="0" w:color="auto"/>
              <w:right w:val="single" w:sz="4" w:space="0" w:color="auto"/>
            </w:tcBorders>
            <w:shd w:val="clear" w:color="000000" w:fill="ED7D31"/>
            <w:noWrap/>
            <w:vAlign w:val="center"/>
            <w:hideMark/>
          </w:tcPr>
          <w:p w14:paraId="2E228CB3"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93</w:t>
            </w:r>
          </w:p>
        </w:tc>
        <w:tc>
          <w:tcPr>
            <w:tcW w:w="1002" w:type="dxa"/>
            <w:tcBorders>
              <w:top w:val="nil"/>
              <w:left w:val="nil"/>
              <w:bottom w:val="single" w:sz="4" w:space="0" w:color="auto"/>
              <w:right w:val="single" w:sz="8" w:space="0" w:color="auto"/>
            </w:tcBorders>
            <w:shd w:val="clear" w:color="000000" w:fill="ED7D31"/>
            <w:noWrap/>
            <w:vAlign w:val="center"/>
            <w:hideMark/>
          </w:tcPr>
          <w:p w14:paraId="7E7C7395" w14:textId="77777777" w:rsidR="001A51EE" w:rsidRPr="004A1E29" w:rsidRDefault="001A51EE" w:rsidP="001A51EE">
            <w:pPr>
              <w:keepNext w:val="0"/>
              <w:spacing w:before="0"/>
              <w:jc w:val="right"/>
              <w:rPr>
                <w:rFonts w:cs="Arial"/>
                <w:color w:val="002E73"/>
                <w:sz w:val="20"/>
              </w:rPr>
            </w:pPr>
            <w:r w:rsidRPr="004A1E29">
              <w:rPr>
                <w:rFonts w:cs="Arial"/>
                <w:color w:val="002E73"/>
                <w:sz w:val="20"/>
              </w:rPr>
              <w:t>70</w:t>
            </w:r>
          </w:p>
        </w:tc>
        <w:tc>
          <w:tcPr>
            <w:tcW w:w="1225" w:type="dxa"/>
            <w:tcBorders>
              <w:top w:val="nil"/>
              <w:left w:val="nil"/>
              <w:bottom w:val="single" w:sz="4" w:space="0" w:color="auto"/>
              <w:right w:val="single" w:sz="4" w:space="0" w:color="auto"/>
            </w:tcBorders>
            <w:shd w:val="clear" w:color="000000" w:fill="ED7D31"/>
            <w:noWrap/>
            <w:vAlign w:val="center"/>
            <w:hideMark/>
          </w:tcPr>
          <w:p w14:paraId="076B230D" w14:textId="77777777" w:rsidR="001A51EE" w:rsidRPr="004A1E29" w:rsidRDefault="001A51EE" w:rsidP="001A51EE">
            <w:pPr>
              <w:keepNext w:val="0"/>
              <w:spacing w:before="0"/>
              <w:jc w:val="right"/>
              <w:rPr>
                <w:rFonts w:cs="Arial"/>
                <w:b/>
                <w:bCs/>
                <w:color w:val="002E73"/>
                <w:sz w:val="20"/>
              </w:rPr>
            </w:pPr>
            <w:r w:rsidRPr="004A1E29">
              <w:rPr>
                <w:rFonts w:cs="Arial"/>
                <w:b/>
                <w:bCs/>
                <w:color w:val="002E73"/>
                <w:sz w:val="20"/>
              </w:rPr>
              <w:t>3,328</w:t>
            </w:r>
          </w:p>
        </w:tc>
      </w:tr>
      <w:tr w:rsidR="001A51EE" w:rsidRPr="001A51EE" w14:paraId="3530D6E3" w14:textId="77777777" w:rsidTr="001A51EE">
        <w:trPr>
          <w:trHeight w:val="880"/>
        </w:trPr>
        <w:tc>
          <w:tcPr>
            <w:tcW w:w="3123" w:type="dxa"/>
            <w:tcBorders>
              <w:top w:val="single" w:sz="4" w:space="0" w:color="auto"/>
              <w:left w:val="single" w:sz="4" w:space="0" w:color="auto"/>
              <w:bottom w:val="nil"/>
              <w:right w:val="nil"/>
            </w:tcBorders>
            <w:shd w:val="clear" w:color="000000" w:fill="92D050"/>
            <w:vAlign w:val="center"/>
            <w:hideMark/>
          </w:tcPr>
          <w:p w14:paraId="27E01E18" w14:textId="77777777" w:rsidR="001A51EE" w:rsidRPr="00AE1C9F" w:rsidRDefault="001A51EE" w:rsidP="001A51EE">
            <w:pPr>
              <w:keepNext w:val="0"/>
              <w:spacing w:before="0"/>
              <w:rPr>
                <w:rFonts w:cs="Arial"/>
                <w:b/>
                <w:bCs/>
                <w:color w:val="004C97"/>
                <w:sz w:val="20"/>
              </w:rPr>
            </w:pPr>
            <w:r w:rsidRPr="00AE1C9F">
              <w:rPr>
                <w:rFonts w:cs="Arial"/>
                <w:b/>
                <w:bCs/>
                <w:color w:val="004C97"/>
                <w:sz w:val="20"/>
              </w:rPr>
              <w:t>Completions from large sites with Full planning permission</w:t>
            </w:r>
          </w:p>
        </w:tc>
        <w:tc>
          <w:tcPr>
            <w:tcW w:w="1002" w:type="dxa"/>
            <w:tcBorders>
              <w:top w:val="nil"/>
              <w:left w:val="single" w:sz="4" w:space="0" w:color="auto"/>
              <w:bottom w:val="single" w:sz="4" w:space="0" w:color="auto"/>
              <w:right w:val="single" w:sz="4" w:space="0" w:color="auto"/>
            </w:tcBorders>
            <w:shd w:val="clear" w:color="000000" w:fill="92D050"/>
            <w:noWrap/>
            <w:vAlign w:val="center"/>
            <w:hideMark/>
          </w:tcPr>
          <w:p w14:paraId="5BEF44ED"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353</w:t>
            </w:r>
          </w:p>
        </w:tc>
        <w:tc>
          <w:tcPr>
            <w:tcW w:w="1002" w:type="dxa"/>
            <w:tcBorders>
              <w:top w:val="nil"/>
              <w:left w:val="nil"/>
              <w:bottom w:val="single" w:sz="4" w:space="0" w:color="auto"/>
              <w:right w:val="single" w:sz="8" w:space="0" w:color="auto"/>
            </w:tcBorders>
            <w:shd w:val="clear" w:color="000000" w:fill="92D050"/>
            <w:noWrap/>
            <w:vAlign w:val="center"/>
            <w:hideMark/>
          </w:tcPr>
          <w:p w14:paraId="05341982"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398</w:t>
            </w:r>
          </w:p>
        </w:tc>
        <w:tc>
          <w:tcPr>
            <w:tcW w:w="1002" w:type="dxa"/>
            <w:tcBorders>
              <w:top w:val="nil"/>
              <w:left w:val="nil"/>
              <w:bottom w:val="nil"/>
              <w:right w:val="nil"/>
            </w:tcBorders>
            <w:shd w:val="clear" w:color="000000" w:fill="92D050"/>
            <w:noWrap/>
            <w:vAlign w:val="center"/>
            <w:hideMark/>
          </w:tcPr>
          <w:p w14:paraId="3AC348CC"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532</w:t>
            </w:r>
          </w:p>
        </w:tc>
        <w:tc>
          <w:tcPr>
            <w:tcW w:w="1002" w:type="dxa"/>
            <w:tcBorders>
              <w:top w:val="nil"/>
              <w:left w:val="single" w:sz="4" w:space="0" w:color="auto"/>
              <w:bottom w:val="nil"/>
              <w:right w:val="nil"/>
            </w:tcBorders>
            <w:shd w:val="clear" w:color="000000" w:fill="92D050"/>
            <w:noWrap/>
            <w:vAlign w:val="center"/>
            <w:hideMark/>
          </w:tcPr>
          <w:p w14:paraId="70CC9944"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449</w:t>
            </w:r>
          </w:p>
        </w:tc>
        <w:tc>
          <w:tcPr>
            <w:tcW w:w="1002" w:type="dxa"/>
            <w:tcBorders>
              <w:top w:val="nil"/>
              <w:left w:val="single" w:sz="4" w:space="0" w:color="auto"/>
              <w:bottom w:val="nil"/>
              <w:right w:val="single" w:sz="4" w:space="0" w:color="auto"/>
            </w:tcBorders>
            <w:shd w:val="clear" w:color="000000" w:fill="92D050"/>
            <w:noWrap/>
            <w:vAlign w:val="center"/>
            <w:hideMark/>
          </w:tcPr>
          <w:p w14:paraId="7420B9C4"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441</w:t>
            </w:r>
          </w:p>
        </w:tc>
        <w:tc>
          <w:tcPr>
            <w:tcW w:w="1002" w:type="dxa"/>
            <w:tcBorders>
              <w:top w:val="nil"/>
              <w:left w:val="nil"/>
              <w:bottom w:val="nil"/>
              <w:right w:val="single" w:sz="4" w:space="0" w:color="auto"/>
            </w:tcBorders>
            <w:shd w:val="clear" w:color="000000" w:fill="92D050"/>
            <w:noWrap/>
            <w:vAlign w:val="center"/>
            <w:hideMark/>
          </w:tcPr>
          <w:p w14:paraId="26837BFB"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352</w:t>
            </w:r>
          </w:p>
        </w:tc>
        <w:tc>
          <w:tcPr>
            <w:tcW w:w="1002" w:type="dxa"/>
            <w:tcBorders>
              <w:top w:val="nil"/>
              <w:left w:val="nil"/>
              <w:bottom w:val="nil"/>
              <w:right w:val="single" w:sz="8" w:space="0" w:color="auto"/>
            </w:tcBorders>
            <w:shd w:val="clear" w:color="000000" w:fill="92D050"/>
            <w:noWrap/>
            <w:vAlign w:val="center"/>
            <w:hideMark/>
          </w:tcPr>
          <w:p w14:paraId="1D3815B1"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176</w:t>
            </w:r>
          </w:p>
        </w:tc>
        <w:tc>
          <w:tcPr>
            <w:tcW w:w="1002" w:type="dxa"/>
            <w:tcBorders>
              <w:top w:val="nil"/>
              <w:left w:val="nil"/>
              <w:bottom w:val="nil"/>
              <w:right w:val="nil"/>
            </w:tcBorders>
            <w:shd w:val="clear" w:color="000000" w:fill="92D050"/>
            <w:noWrap/>
            <w:vAlign w:val="center"/>
            <w:hideMark/>
          </w:tcPr>
          <w:p w14:paraId="0BA4E20C"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70</w:t>
            </w:r>
          </w:p>
        </w:tc>
        <w:tc>
          <w:tcPr>
            <w:tcW w:w="1002" w:type="dxa"/>
            <w:tcBorders>
              <w:top w:val="nil"/>
              <w:left w:val="single" w:sz="4" w:space="0" w:color="auto"/>
              <w:bottom w:val="nil"/>
              <w:right w:val="nil"/>
            </w:tcBorders>
            <w:shd w:val="clear" w:color="000000" w:fill="92D050"/>
            <w:noWrap/>
            <w:vAlign w:val="center"/>
            <w:hideMark/>
          </w:tcPr>
          <w:p w14:paraId="4F80A96B"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32</w:t>
            </w:r>
          </w:p>
        </w:tc>
        <w:tc>
          <w:tcPr>
            <w:tcW w:w="1002" w:type="dxa"/>
            <w:tcBorders>
              <w:top w:val="nil"/>
              <w:left w:val="single" w:sz="4" w:space="0" w:color="auto"/>
              <w:bottom w:val="nil"/>
              <w:right w:val="single" w:sz="4" w:space="0" w:color="auto"/>
            </w:tcBorders>
            <w:shd w:val="clear" w:color="000000" w:fill="92D050"/>
            <w:noWrap/>
            <w:vAlign w:val="center"/>
            <w:hideMark/>
          </w:tcPr>
          <w:p w14:paraId="15F05D84"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0</w:t>
            </w:r>
          </w:p>
        </w:tc>
        <w:tc>
          <w:tcPr>
            <w:tcW w:w="1002" w:type="dxa"/>
            <w:tcBorders>
              <w:top w:val="nil"/>
              <w:left w:val="nil"/>
              <w:bottom w:val="nil"/>
              <w:right w:val="single" w:sz="4" w:space="0" w:color="auto"/>
            </w:tcBorders>
            <w:shd w:val="clear" w:color="000000" w:fill="92D050"/>
            <w:noWrap/>
            <w:vAlign w:val="center"/>
            <w:hideMark/>
          </w:tcPr>
          <w:p w14:paraId="41405D28"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0</w:t>
            </w:r>
          </w:p>
        </w:tc>
        <w:tc>
          <w:tcPr>
            <w:tcW w:w="1002" w:type="dxa"/>
            <w:tcBorders>
              <w:top w:val="nil"/>
              <w:left w:val="nil"/>
              <w:bottom w:val="single" w:sz="4" w:space="0" w:color="auto"/>
              <w:right w:val="single" w:sz="8" w:space="0" w:color="auto"/>
            </w:tcBorders>
            <w:shd w:val="clear" w:color="000000" w:fill="92D050"/>
            <w:noWrap/>
            <w:vAlign w:val="center"/>
            <w:hideMark/>
          </w:tcPr>
          <w:p w14:paraId="5D4296F4"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0</w:t>
            </w:r>
          </w:p>
        </w:tc>
        <w:tc>
          <w:tcPr>
            <w:tcW w:w="1002" w:type="dxa"/>
            <w:tcBorders>
              <w:top w:val="nil"/>
              <w:left w:val="nil"/>
              <w:bottom w:val="nil"/>
              <w:right w:val="nil"/>
            </w:tcBorders>
            <w:shd w:val="clear" w:color="000000" w:fill="92D050"/>
            <w:noWrap/>
            <w:vAlign w:val="center"/>
            <w:hideMark/>
          </w:tcPr>
          <w:p w14:paraId="5EA5FD29"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0</w:t>
            </w:r>
          </w:p>
        </w:tc>
        <w:tc>
          <w:tcPr>
            <w:tcW w:w="1002" w:type="dxa"/>
            <w:tcBorders>
              <w:top w:val="nil"/>
              <w:left w:val="single" w:sz="4" w:space="0" w:color="auto"/>
              <w:bottom w:val="nil"/>
              <w:right w:val="nil"/>
            </w:tcBorders>
            <w:shd w:val="clear" w:color="000000" w:fill="92D050"/>
            <w:noWrap/>
            <w:vAlign w:val="center"/>
            <w:hideMark/>
          </w:tcPr>
          <w:p w14:paraId="20EDE4AA"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0</w:t>
            </w:r>
          </w:p>
        </w:tc>
        <w:tc>
          <w:tcPr>
            <w:tcW w:w="1002" w:type="dxa"/>
            <w:tcBorders>
              <w:top w:val="nil"/>
              <w:left w:val="single" w:sz="4" w:space="0" w:color="auto"/>
              <w:bottom w:val="nil"/>
              <w:right w:val="single" w:sz="4" w:space="0" w:color="auto"/>
            </w:tcBorders>
            <w:shd w:val="clear" w:color="000000" w:fill="92D050"/>
            <w:noWrap/>
            <w:vAlign w:val="center"/>
            <w:hideMark/>
          </w:tcPr>
          <w:p w14:paraId="616A0E45"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0</w:t>
            </w:r>
          </w:p>
        </w:tc>
        <w:tc>
          <w:tcPr>
            <w:tcW w:w="1002" w:type="dxa"/>
            <w:tcBorders>
              <w:top w:val="nil"/>
              <w:left w:val="nil"/>
              <w:bottom w:val="nil"/>
              <w:right w:val="single" w:sz="4" w:space="0" w:color="auto"/>
            </w:tcBorders>
            <w:shd w:val="clear" w:color="000000" w:fill="92D050"/>
            <w:noWrap/>
            <w:vAlign w:val="center"/>
            <w:hideMark/>
          </w:tcPr>
          <w:p w14:paraId="3CB255F7"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0</w:t>
            </w:r>
          </w:p>
        </w:tc>
        <w:tc>
          <w:tcPr>
            <w:tcW w:w="1002" w:type="dxa"/>
            <w:tcBorders>
              <w:top w:val="nil"/>
              <w:left w:val="nil"/>
              <w:bottom w:val="nil"/>
              <w:right w:val="single" w:sz="8" w:space="0" w:color="auto"/>
            </w:tcBorders>
            <w:shd w:val="clear" w:color="000000" w:fill="92D050"/>
            <w:noWrap/>
            <w:vAlign w:val="center"/>
            <w:hideMark/>
          </w:tcPr>
          <w:p w14:paraId="2098C9F6" w14:textId="77777777" w:rsidR="001A51EE" w:rsidRPr="00AE1C9F" w:rsidRDefault="001A51EE" w:rsidP="001A51EE">
            <w:pPr>
              <w:keepNext w:val="0"/>
              <w:spacing w:before="0"/>
              <w:jc w:val="right"/>
              <w:rPr>
                <w:rFonts w:cs="Arial"/>
                <w:color w:val="004C97"/>
                <w:sz w:val="20"/>
              </w:rPr>
            </w:pPr>
            <w:r w:rsidRPr="00AE1C9F">
              <w:rPr>
                <w:rFonts w:cs="Arial"/>
                <w:color w:val="004C97"/>
                <w:sz w:val="20"/>
              </w:rPr>
              <w:t>0</w:t>
            </w:r>
          </w:p>
        </w:tc>
        <w:tc>
          <w:tcPr>
            <w:tcW w:w="1225" w:type="dxa"/>
            <w:tcBorders>
              <w:top w:val="nil"/>
              <w:left w:val="nil"/>
              <w:bottom w:val="single" w:sz="4" w:space="0" w:color="auto"/>
              <w:right w:val="single" w:sz="4" w:space="0" w:color="auto"/>
            </w:tcBorders>
            <w:shd w:val="clear" w:color="000000" w:fill="92D050"/>
            <w:noWrap/>
            <w:vAlign w:val="center"/>
            <w:hideMark/>
          </w:tcPr>
          <w:p w14:paraId="2088A50E" w14:textId="77777777" w:rsidR="001A51EE" w:rsidRPr="00AE1C9F" w:rsidRDefault="001A51EE" w:rsidP="001A51EE">
            <w:pPr>
              <w:keepNext w:val="0"/>
              <w:spacing w:before="0"/>
              <w:jc w:val="right"/>
              <w:rPr>
                <w:rFonts w:cs="Arial"/>
                <w:b/>
                <w:bCs/>
                <w:color w:val="004C97"/>
                <w:sz w:val="20"/>
              </w:rPr>
            </w:pPr>
            <w:r w:rsidRPr="00AE1C9F">
              <w:rPr>
                <w:rFonts w:cs="Arial"/>
                <w:b/>
                <w:bCs/>
                <w:color w:val="004C97"/>
                <w:sz w:val="20"/>
              </w:rPr>
              <w:t>2,803</w:t>
            </w:r>
          </w:p>
        </w:tc>
      </w:tr>
      <w:tr w:rsidR="001A51EE" w:rsidRPr="001A51EE" w14:paraId="56413345" w14:textId="77777777" w:rsidTr="00AE1C9F">
        <w:trPr>
          <w:trHeight w:val="586"/>
        </w:trPr>
        <w:tc>
          <w:tcPr>
            <w:tcW w:w="3123" w:type="dxa"/>
            <w:tcBorders>
              <w:top w:val="single" w:sz="4" w:space="0" w:color="auto"/>
              <w:left w:val="single" w:sz="4" w:space="0" w:color="auto"/>
              <w:bottom w:val="nil"/>
              <w:right w:val="nil"/>
            </w:tcBorders>
            <w:shd w:val="clear" w:color="auto" w:fill="6EA846"/>
            <w:vAlign w:val="center"/>
            <w:hideMark/>
          </w:tcPr>
          <w:p w14:paraId="2DB0A346" w14:textId="77777777" w:rsidR="001A51EE" w:rsidRPr="00F53521" w:rsidRDefault="001A51EE" w:rsidP="001A51EE">
            <w:pPr>
              <w:keepNext w:val="0"/>
              <w:spacing w:before="0"/>
              <w:rPr>
                <w:rFonts w:cs="Arial"/>
                <w:b/>
                <w:bCs/>
                <w:color w:val="002C70"/>
                <w:sz w:val="20"/>
              </w:rPr>
            </w:pPr>
            <w:r w:rsidRPr="00F53521">
              <w:rPr>
                <w:rFonts w:cs="Arial"/>
                <w:b/>
                <w:bCs/>
                <w:color w:val="002C70"/>
                <w:sz w:val="20"/>
              </w:rPr>
              <w:t>Completions from large sites with outline planning permission</w:t>
            </w:r>
          </w:p>
        </w:tc>
        <w:tc>
          <w:tcPr>
            <w:tcW w:w="1002" w:type="dxa"/>
            <w:tcBorders>
              <w:top w:val="nil"/>
              <w:left w:val="single" w:sz="4" w:space="0" w:color="auto"/>
              <w:bottom w:val="single" w:sz="4" w:space="0" w:color="auto"/>
              <w:right w:val="single" w:sz="4" w:space="0" w:color="auto"/>
            </w:tcBorders>
            <w:shd w:val="clear" w:color="auto" w:fill="6EA846"/>
            <w:noWrap/>
            <w:vAlign w:val="center"/>
            <w:hideMark/>
          </w:tcPr>
          <w:p w14:paraId="6C7481FA"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0</w:t>
            </w:r>
          </w:p>
        </w:tc>
        <w:tc>
          <w:tcPr>
            <w:tcW w:w="1002" w:type="dxa"/>
            <w:tcBorders>
              <w:top w:val="nil"/>
              <w:left w:val="nil"/>
              <w:bottom w:val="single" w:sz="4" w:space="0" w:color="auto"/>
              <w:right w:val="single" w:sz="8" w:space="0" w:color="auto"/>
            </w:tcBorders>
            <w:shd w:val="clear" w:color="auto" w:fill="6EA846"/>
            <w:noWrap/>
            <w:vAlign w:val="center"/>
            <w:hideMark/>
          </w:tcPr>
          <w:p w14:paraId="4CAB53F2"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0</w:t>
            </w:r>
          </w:p>
        </w:tc>
        <w:tc>
          <w:tcPr>
            <w:tcW w:w="1002" w:type="dxa"/>
            <w:tcBorders>
              <w:top w:val="single" w:sz="4" w:space="0" w:color="auto"/>
              <w:left w:val="nil"/>
              <w:bottom w:val="nil"/>
              <w:right w:val="nil"/>
            </w:tcBorders>
            <w:shd w:val="clear" w:color="auto" w:fill="6EA846"/>
            <w:noWrap/>
            <w:vAlign w:val="center"/>
            <w:hideMark/>
          </w:tcPr>
          <w:p w14:paraId="63C05C21"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0</w:t>
            </w:r>
          </w:p>
        </w:tc>
        <w:tc>
          <w:tcPr>
            <w:tcW w:w="1002" w:type="dxa"/>
            <w:tcBorders>
              <w:top w:val="single" w:sz="4" w:space="0" w:color="auto"/>
              <w:left w:val="single" w:sz="4" w:space="0" w:color="auto"/>
              <w:bottom w:val="nil"/>
              <w:right w:val="nil"/>
            </w:tcBorders>
            <w:shd w:val="clear" w:color="auto" w:fill="6EA846"/>
            <w:noWrap/>
            <w:vAlign w:val="center"/>
            <w:hideMark/>
          </w:tcPr>
          <w:p w14:paraId="659B496F"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0</w:t>
            </w:r>
          </w:p>
        </w:tc>
        <w:tc>
          <w:tcPr>
            <w:tcW w:w="1002" w:type="dxa"/>
            <w:tcBorders>
              <w:top w:val="single" w:sz="4" w:space="0" w:color="auto"/>
              <w:left w:val="single" w:sz="4" w:space="0" w:color="auto"/>
              <w:bottom w:val="nil"/>
              <w:right w:val="single" w:sz="4" w:space="0" w:color="auto"/>
            </w:tcBorders>
            <w:shd w:val="clear" w:color="auto" w:fill="6EA846"/>
            <w:noWrap/>
            <w:vAlign w:val="center"/>
            <w:hideMark/>
          </w:tcPr>
          <w:p w14:paraId="115D134D"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0</w:t>
            </w:r>
          </w:p>
        </w:tc>
        <w:tc>
          <w:tcPr>
            <w:tcW w:w="1002" w:type="dxa"/>
            <w:tcBorders>
              <w:top w:val="single" w:sz="4" w:space="0" w:color="auto"/>
              <w:left w:val="nil"/>
              <w:bottom w:val="nil"/>
              <w:right w:val="single" w:sz="4" w:space="0" w:color="auto"/>
            </w:tcBorders>
            <w:shd w:val="clear" w:color="auto" w:fill="6EA846"/>
            <w:noWrap/>
            <w:vAlign w:val="center"/>
            <w:hideMark/>
          </w:tcPr>
          <w:p w14:paraId="3ABA1AA2"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0</w:t>
            </w:r>
          </w:p>
        </w:tc>
        <w:tc>
          <w:tcPr>
            <w:tcW w:w="1002" w:type="dxa"/>
            <w:tcBorders>
              <w:top w:val="single" w:sz="4" w:space="0" w:color="auto"/>
              <w:left w:val="nil"/>
              <w:bottom w:val="nil"/>
              <w:right w:val="single" w:sz="8" w:space="0" w:color="auto"/>
            </w:tcBorders>
            <w:shd w:val="clear" w:color="auto" w:fill="6EA846"/>
            <w:noWrap/>
            <w:vAlign w:val="center"/>
            <w:hideMark/>
          </w:tcPr>
          <w:p w14:paraId="109C9265"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35</w:t>
            </w:r>
          </w:p>
        </w:tc>
        <w:tc>
          <w:tcPr>
            <w:tcW w:w="1002" w:type="dxa"/>
            <w:tcBorders>
              <w:top w:val="single" w:sz="4" w:space="0" w:color="auto"/>
              <w:left w:val="nil"/>
              <w:bottom w:val="nil"/>
              <w:right w:val="nil"/>
            </w:tcBorders>
            <w:shd w:val="clear" w:color="auto" w:fill="6EA846"/>
            <w:noWrap/>
            <w:vAlign w:val="center"/>
            <w:hideMark/>
          </w:tcPr>
          <w:p w14:paraId="61A8E27D"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91</w:t>
            </w:r>
          </w:p>
        </w:tc>
        <w:tc>
          <w:tcPr>
            <w:tcW w:w="1002" w:type="dxa"/>
            <w:tcBorders>
              <w:top w:val="single" w:sz="4" w:space="0" w:color="auto"/>
              <w:left w:val="single" w:sz="4" w:space="0" w:color="auto"/>
              <w:bottom w:val="nil"/>
              <w:right w:val="nil"/>
            </w:tcBorders>
            <w:shd w:val="clear" w:color="auto" w:fill="6EA846"/>
            <w:noWrap/>
            <w:vAlign w:val="center"/>
            <w:hideMark/>
          </w:tcPr>
          <w:p w14:paraId="2705BF49"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105</w:t>
            </w:r>
          </w:p>
        </w:tc>
        <w:tc>
          <w:tcPr>
            <w:tcW w:w="1002" w:type="dxa"/>
            <w:tcBorders>
              <w:top w:val="single" w:sz="4" w:space="0" w:color="auto"/>
              <w:left w:val="single" w:sz="4" w:space="0" w:color="auto"/>
              <w:bottom w:val="nil"/>
              <w:right w:val="single" w:sz="4" w:space="0" w:color="auto"/>
            </w:tcBorders>
            <w:shd w:val="clear" w:color="auto" w:fill="6EA846"/>
            <w:noWrap/>
            <w:vAlign w:val="center"/>
            <w:hideMark/>
          </w:tcPr>
          <w:p w14:paraId="22882040"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70</w:t>
            </w:r>
          </w:p>
        </w:tc>
        <w:tc>
          <w:tcPr>
            <w:tcW w:w="1002" w:type="dxa"/>
            <w:tcBorders>
              <w:top w:val="single" w:sz="4" w:space="0" w:color="auto"/>
              <w:left w:val="nil"/>
              <w:bottom w:val="nil"/>
              <w:right w:val="single" w:sz="4" w:space="0" w:color="auto"/>
            </w:tcBorders>
            <w:shd w:val="clear" w:color="auto" w:fill="6EA846"/>
            <w:noWrap/>
            <w:vAlign w:val="center"/>
            <w:hideMark/>
          </w:tcPr>
          <w:p w14:paraId="5B49EAB9"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70</w:t>
            </w:r>
          </w:p>
        </w:tc>
        <w:tc>
          <w:tcPr>
            <w:tcW w:w="1002" w:type="dxa"/>
            <w:tcBorders>
              <w:top w:val="nil"/>
              <w:left w:val="nil"/>
              <w:bottom w:val="nil"/>
              <w:right w:val="single" w:sz="8" w:space="0" w:color="auto"/>
            </w:tcBorders>
            <w:shd w:val="clear" w:color="auto" w:fill="6EA846"/>
            <w:noWrap/>
            <w:vAlign w:val="center"/>
            <w:hideMark/>
          </w:tcPr>
          <w:p w14:paraId="3DBEB33E"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70</w:t>
            </w:r>
          </w:p>
        </w:tc>
        <w:tc>
          <w:tcPr>
            <w:tcW w:w="1002" w:type="dxa"/>
            <w:tcBorders>
              <w:top w:val="single" w:sz="4" w:space="0" w:color="auto"/>
              <w:left w:val="nil"/>
              <w:bottom w:val="single" w:sz="4" w:space="0" w:color="auto"/>
              <w:right w:val="nil"/>
            </w:tcBorders>
            <w:shd w:val="clear" w:color="auto" w:fill="6EA846"/>
            <w:noWrap/>
            <w:vAlign w:val="center"/>
            <w:hideMark/>
          </w:tcPr>
          <w:p w14:paraId="57EF2AE9"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55</w:t>
            </w:r>
          </w:p>
        </w:tc>
        <w:tc>
          <w:tcPr>
            <w:tcW w:w="1002" w:type="dxa"/>
            <w:tcBorders>
              <w:top w:val="single" w:sz="4" w:space="0" w:color="auto"/>
              <w:left w:val="single" w:sz="4" w:space="0" w:color="auto"/>
              <w:bottom w:val="single" w:sz="4" w:space="0" w:color="auto"/>
              <w:right w:val="nil"/>
            </w:tcBorders>
            <w:shd w:val="clear" w:color="auto" w:fill="6EA846"/>
            <w:noWrap/>
            <w:vAlign w:val="center"/>
            <w:hideMark/>
          </w:tcPr>
          <w:p w14:paraId="0D4E213D"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35</w:t>
            </w:r>
          </w:p>
        </w:tc>
        <w:tc>
          <w:tcPr>
            <w:tcW w:w="1002" w:type="dxa"/>
            <w:tcBorders>
              <w:top w:val="single" w:sz="4" w:space="0" w:color="auto"/>
              <w:left w:val="single" w:sz="4" w:space="0" w:color="auto"/>
              <w:bottom w:val="single" w:sz="4" w:space="0" w:color="auto"/>
              <w:right w:val="single" w:sz="4" w:space="0" w:color="auto"/>
            </w:tcBorders>
            <w:shd w:val="clear" w:color="auto" w:fill="6EA846"/>
            <w:noWrap/>
            <w:vAlign w:val="center"/>
            <w:hideMark/>
          </w:tcPr>
          <w:p w14:paraId="095DC68E"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35</w:t>
            </w:r>
          </w:p>
        </w:tc>
        <w:tc>
          <w:tcPr>
            <w:tcW w:w="1002" w:type="dxa"/>
            <w:tcBorders>
              <w:top w:val="single" w:sz="4" w:space="0" w:color="auto"/>
              <w:left w:val="nil"/>
              <w:bottom w:val="single" w:sz="4" w:space="0" w:color="auto"/>
              <w:right w:val="single" w:sz="4" w:space="0" w:color="auto"/>
            </w:tcBorders>
            <w:shd w:val="clear" w:color="auto" w:fill="6EA846"/>
            <w:noWrap/>
            <w:vAlign w:val="center"/>
            <w:hideMark/>
          </w:tcPr>
          <w:p w14:paraId="6D96DB33"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20</w:t>
            </w:r>
          </w:p>
        </w:tc>
        <w:tc>
          <w:tcPr>
            <w:tcW w:w="1002" w:type="dxa"/>
            <w:tcBorders>
              <w:top w:val="single" w:sz="4" w:space="0" w:color="auto"/>
              <w:left w:val="nil"/>
              <w:bottom w:val="single" w:sz="4" w:space="0" w:color="auto"/>
              <w:right w:val="single" w:sz="8" w:space="0" w:color="auto"/>
            </w:tcBorders>
            <w:shd w:val="clear" w:color="auto" w:fill="6EA846"/>
            <w:noWrap/>
            <w:vAlign w:val="center"/>
            <w:hideMark/>
          </w:tcPr>
          <w:p w14:paraId="4F641469" w14:textId="77777777" w:rsidR="001A51EE" w:rsidRPr="00F53521" w:rsidRDefault="001A51EE" w:rsidP="001A51EE">
            <w:pPr>
              <w:keepNext w:val="0"/>
              <w:spacing w:before="0"/>
              <w:jc w:val="right"/>
              <w:rPr>
                <w:rFonts w:cs="Arial"/>
                <w:color w:val="002C70"/>
                <w:sz w:val="20"/>
              </w:rPr>
            </w:pPr>
            <w:r w:rsidRPr="00F53521">
              <w:rPr>
                <w:rFonts w:cs="Arial"/>
                <w:color w:val="002C70"/>
                <w:sz w:val="20"/>
              </w:rPr>
              <w:t>0</w:t>
            </w:r>
          </w:p>
        </w:tc>
        <w:tc>
          <w:tcPr>
            <w:tcW w:w="1225" w:type="dxa"/>
            <w:tcBorders>
              <w:top w:val="nil"/>
              <w:left w:val="nil"/>
              <w:bottom w:val="single" w:sz="4" w:space="0" w:color="auto"/>
              <w:right w:val="single" w:sz="4" w:space="0" w:color="auto"/>
            </w:tcBorders>
            <w:shd w:val="clear" w:color="auto" w:fill="6EA846"/>
            <w:noWrap/>
            <w:vAlign w:val="center"/>
            <w:hideMark/>
          </w:tcPr>
          <w:p w14:paraId="4D6FD4BD" w14:textId="77777777" w:rsidR="001A51EE" w:rsidRPr="00F53521" w:rsidRDefault="001A51EE" w:rsidP="001A51EE">
            <w:pPr>
              <w:keepNext w:val="0"/>
              <w:spacing w:before="0"/>
              <w:jc w:val="right"/>
              <w:rPr>
                <w:rFonts w:cs="Arial"/>
                <w:b/>
                <w:bCs/>
                <w:color w:val="002C70"/>
                <w:sz w:val="20"/>
              </w:rPr>
            </w:pPr>
            <w:r w:rsidRPr="00F53521">
              <w:rPr>
                <w:rFonts w:cs="Arial"/>
                <w:b/>
                <w:bCs/>
                <w:color w:val="002C70"/>
                <w:sz w:val="20"/>
              </w:rPr>
              <w:t>586</w:t>
            </w:r>
          </w:p>
        </w:tc>
      </w:tr>
      <w:tr w:rsidR="001A51EE" w:rsidRPr="001A51EE" w14:paraId="0DE42002" w14:textId="77777777" w:rsidTr="00AE1C9F">
        <w:trPr>
          <w:trHeight w:val="724"/>
        </w:trPr>
        <w:tc>
          <w:tcPr>
            <w:tcW w:w="3123" w:type="dxa"/>
            <w:tcBorders>
              <w:top w:val="single" w:sz="4" w:space="0" w:color="auto"/>
              <w:left w:val="single" w:sz="4" w:space="0" w:color="auto"/>
              <w:bottom w:val="nil"/>
              <w:right w:val="nil"/>
            </w:tcBorders>
            <w:shd w:val="clear" w:color="auto" w:fill="69B0F1"/>
            <w:vAlign w:val="center"/>
            <w:hideMark/>
          </w:tcPr>
          <w:p w14:paraId="1E58CB64" w14:textId="77777777" w:rsidR="001A51EE" w:rsidRPr="00CF07B9" w:rsidRDefault="001A51EE" w:rsidP="001A51EE">
            <w:pPr>
              <w:keepNext w:val="0"/>
              <w:spacing w:before="0"/>
              <w:rPr>
                <w:rFonts w:cs="Arial"/>
                <w:b/>
                <w:bCs/>
                <w:color w:val="1F3864" w:themeColor="accent1" w:themeShade="80"/>
                <w:sz w:val="20"/>
              </w:rPr>
            </w:pPr>
            <w:r w:rsidRPr="00CF07B9">
              <w:rPr>
                <w:rFonts w:cs="Arial"/>
                <w:b/>
                <w:bCs/>
                <w:color w:val="1F3864" w:themeColor="accent1" w:themeShade="80"/>
                <w:sz w:val="20"/>
              </w:rPr>
              <w:t>Completions from Small Sites with Full Planning Permission</w:t>
            </w:r>
          </w:p>
        </w:tc>
        <w:tc>
          <w:tcPr>
            <w:tcW w:w="1002" w:type="dxa"/>
            <w:tcBorders>
              <w:top w:val="nil"/>
              <w:left w:val="single" w:sz="4" w:space="0" w:color="auto"/>
              <w:bottom w:val="single" w:sz="4" w:space="0" w:color="auto"/>
              <w:right w:val="single" w:sz="4" w:space="0" w:color="auto"/>
            </w:tcBorders>
            <w:shd w:val="clear" w:color="auto" w:fill="69B0F1"/>
            <w:noWrap/>
            <w:vAlign w:val="center"/>
            <w:hideMark/>
          </w:tcPr>
          <w:p w14:paraId="4F7F6F54"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86</w:t>
            </w:r>
          </w:p>
        </w:tc>
        <w:tc>
          <w:tcPr>
            <w:tcW w:w="1002" w:type="dxa"/>
            <w:tcBorders>
              <w:top w:val="nil"/>
              <w:left w:val="nil"/>
              <w:bottom w:val="single" w:sz="4" w:space="0" w:color="auto"/>
              <w:right w:val="single" w:sz="8" w:space="0" w:color="auto"/>
            </w:tcBorders>
            <w:shd w:val="clear" w:color="auto" w:fill="69B0F1"/>
            <w:noWrap/>
            <w:vAlign w:val="center"/>
            <w:hideMark/>
          </w:tcPr>
          <w:p w14:paraId="66DEC59A"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49</w:t>
            </w:r>
          </w:p>
        </w:tc>
        <w:tc>
          <w:tcPr>
            <w:tcW w:w="1002" w:type="dxa"/>
            <w:tcBorders>
              <w:top w:val="single" w:sz="4" w:space="0" w:color="auto"/>
              <w:left w:val="nil"/>
              <w:bottom w:val="single" w:sz="4" w:space="0" w:color="auto"/>
              <w:right w:val="nil"/>
            </w:tcBorders>
            <w:shd w:val="clear" w:color="auto" w:fill="69B0F1"/>
            <w:noWrap/>
            <w:vAlign w:val="center"/>
            <w:hideMark/>
          </w:tcPr>
          <w:p w14:paraId="0B4F87DB"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73</w:t>
            </w:r>
          </w:p>
        </w:tc>
        <w:tc>
          <w:tcPr>
            <w:tcW w:w="1002" w:type="dxa"/>
            <w:tcBorders>
              <w:top w:val="single" w:sz="4" w:space="0" w:color="auto"/>
              <w:left w:val="single" w:sz="4" w:space="0" w:color="auto"/>
              <w:bottom w:val="single" w:sz="4" w:space="0" w:color="auto"/>
              <w:right w:val="nil"/>
            </w:tcBorders>
            <w:shd w:val="clear" w:color="auto" w:fill="69B0F1"/>
            <w:noWrap/>
            <w:vAlign w:val="center"/>
            <w:hideMark/>
          </w:tcPr>
          <w:p w14:paraId="051B870C"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94</w:t>
            </w:r>
          </w:p>
        </w:tc>
        <w:tc>
          <w:tcPr>
            <w:tcW w:w="1002" w:type="dxa"/>
            <w:tcBorders>
              <w:top w:val="single" w:sz="4" w:space="0" w:color="auto"/>
              <w:left w:val="single" w:sz="4" w:space="0" w:color="auto"/>
              <w:bottom w:val="single" w:sz="4" w:space="0" w:color="auto"/>
              <w:right w:val="single" w:sz="4" w:space="0" w:color="auto"/>
            </w:tcBorders>
            <w:shd w:val="clear" w:color="auto" w:fill="69B0F1"/>
            <w:noWrap/>
            <w:vAlign w:val="center"/>
            <w:hideMark/>
          </w:tcPr>
          <w:p w14:paraId="0C188A77"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93</w:t>
            </w:r>
          </w:p>
        </w:tc>
        <w:tc>
          <w:tcPr>
            <w:tcW w:w="1002" w:type="dxa"/>
            <w:tcBorders>
              <w:top w:val="single" w:sz="4" w:space="0" w:color="auto"/>
              <w:left w:val="nil"/>
              <w:bottom w:val="single" w:sz="4" w:space="0" w:color="auto"/>
              <w:right w:val="single" w:sz="4" w:space="0" w:color="auto"/>
            </w:tcBorders>
            <w:shd w:val="clear" w:color="auto" w:fill="69B0F1"/>
            <w:noWrap/>
            <w:vAlign w:val="center"/>
            <w:hideMark/>
          </w:tcPr>
          <w:p w14:paraId="2484A610"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21</w:t>
            </w:r>
          </w:p>
        </w:tc>
        <w:tc>
          <w:tcPr>
            <w:tcW w:w="1002" w:type="dxa"/>
            <w:tcBorders>
              <w:top w:val="single" w:sz="4" w:space="0" w:color="auto"/>
              <w:left w:val="nil"/>
              <w:bottom w:val="single" w:sz="4" w:space="0" w:color="auto"/>
              <w:right w:val="single" w:sz="8" w:space="0" w:color="auto"/>
            </w:tcBorders>
            <w:shd w:val="clear" w:color="auto" w:fill="69B0F1"/>
            <w:noWrap/>
            <w:vAlign w:val="center"/>
            <w:hideMark/>
          </w:tcPr>
          <w:p w14:paraId="0FE37B72"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3</w:t>
            </w:r>
          </w:p>
        </w:tc>
        <w:tc>
          <w:tcPr>
            <w:tcW w:w="1002" w:type="dxa"/>
            <w:tcBorders>
              <w:top w:val="single" w:sz="4" w:space="0" w:color="auto"/>
              <w:left w:val="nil"/>
              <w:bottom w:val="single" w:sz="4" w:space="0" w:color="auto"/>
              <w:right w:val="nil"/>
            </w:tcBorders>
            <w:shd w:val="clear" w:color="auto" w:fill="69B0F1"/>
            <w:noWrap/>
            <w:vAlign w:val="center"/>
            <w:hideMark/>
          </w:tcPr>
          <w:p w14:paraId="250390C5"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002" w:type="dxa"/>
            <w:tcBorders>
              <w:top w:val="single" w:sz="4" w:space="0" w:color="auto"/>
              <w:left w:val="single" w:sz="4" w:space="0" w:color="auto"/>
              <w:bottom w:val="single" w:sz="4" w:space="0" w:color="auto"/>
              <w:right w:val="nil"/>
            </w:tcBorders>
            <w:shd w:val="clear" w:color="auto" w:fill="69B0F1"/>
            <w:noWrap/>
            <w:vAlign w:val="center"/>
            <w:hideMark/>
          </w:tcPr>
          <w:p w14:paraId="14D58C91"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002" w:type="dxa"/>
            <w:tcBorders>
              <w:top w:val="single" w:sz="4" w:space="0" w:color="auto"/>
              <w:left w:val="single" w:sz="4" w:space="0" w:color="auto"/>
              <w:bottom w:val="single" w:sz="4" w:space="0" w:color="auto"/>
              <w:right w:val="single" w:sz="4" w:space="0" w:color="auto"/>
            </w:tcBorders>
            <w:shd w:val="clear" w:color="auto" w:fill="69B0F1"/>
            <w:noWrap/>
            <w:vAlign w:val="center"/>
            <w:hideMark/>
          </w:tcPr>
          <w:p w14:paraId="5F7E5697"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002" w:type="dxa"/>
            <w:tcBorders>
              <w:top w:val="single" w:sz="4" w:space="0" w:color="auto"/>
              <w:left w:val="nil"/>
              <w:bottom w:val="single" w:sz="4" w:space="0" w:color="auto"/>
              <w:right w:val="single" w:sz="4" w:space="0" w:color="auto"/>
            </w:tcBorders>
            <w:shd w:val="clear" w:color="auto" w:fill="69B0F1"/>
            <w:noWrap/>
            <w:vAlign w:val="center"/>
            <w:hideMark/>
          </w:tcPr>
          <w:p w14:paraId="0CCCB660"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002" w:type="dxa"/>
            <w:tcBorders>
              <w:top w:val="single" w:sz="4" w:space="0" w:color="auto"/>
              <w:left w:val="nil"/>
              <w:bottom w:val="single" w:sz="4" w:space="0" w:color="auto"/>
              <w:right w:val="single" w:sz="8" w:space="0" w:color="auto"/>
            </w:tcBorders>
            <w:shd w:val="clear" w:color="auto" w:fill="69B0F1"/>
            <w:noWrap/>
            <w:vAlign w:val="center"/>
            <w:hideMark/>
          </w:tcPr>
          <w:p w14:paraId="247D3A59"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002" w:type="dxa"/>
            <w:tcBorders>
              <w:top w:val="nil"/>
              <w:left w:val="nil"/>
              <w:bottom w:val="single" w:sz="4" w:space="0" w:color="auto"/>
              <w:right w:val="nil"/>
            </w:tcBorders>
            <w:shd w:val="clear" w:color="auto" w:fill="69B0F1"/>
            <w:noWrap/>
            <w:vAlign w:val="center"/>
            <w:hideMark/>
          </w:tcPr>
          <w:p w14:paraId="73342805"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002" w:type="dxa"/>
            <w:tcBorders>
              <w:top w:val="nil"/>
              <w:left w:val="single" w:sz="4" w:space="0" w:color="auto"/>
              <w:bottom w:val="single" w:sz="4" w:space="0" w:color="auto"/>
              <w:right w:val="nil"/>
            </w:tcBorders>
            <w:shd w:val="clear" w:color="auto" w:fill="69B0F1"/>
            <w:noWrap/>
            <w:vAlign w:val="center"/>
            <w:hideMark/>
          </w:tcPr>
          <w:p w14:paraId="32F030CB"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002" w:type="dxa"/>
            <w:tcBorders>
              <w:top w:val="nil"/>
              <w:left w:val="single" w:sz="4" w:space="0" w:color="auto"/>
              <w:bottom w:val="single" w:sz="4" w:space="0" w:color="auto"/>
              <w:right w:val="single" w:sz="4" w:space="0" w:color="auto"/>
            </w:tcBorders>
            <w:shd w:val="clear" w:color="auto" w:fill="69B0F1"/>
            <w:noWrap/>
            <w:vAlign w:val="center"/>
            <w:hideMark/>
          </w:tcPr>
          <w:p w14:paraId="438CA1A8"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002" w:type="dxa"/>
            <w:tcBorders>
              <w:top w:val="nil"/>
              <w:left w:val="nil"/>
              <w:bottom w:val="single" w:sz="4" w:space="0" w:color="auto"/>
              <w:right w:val="single" w:sz="4" w:space="0" w:color="auto"/>
            </w:tcBorders>
            <w:shd w:val="clear" w:color="auto" w:fill="69B0F1"/>
            <w:noWrap/>
            <w:vAlign w:val="center"/>
            <w:hideMark/>
          </w:tcPr>
          <w:p w14:paraId="05226F92"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002" w:type="dxa"/>
            <w:tcBorders>
              <w:top w:val="nil"/>
              <w:left w:val="nil"/>
              <w:bottom w:val="single" w:sz="4" w:space="0" w:color="auto"/>
              <w:right w:val="single" w:sz="8" w:space="0" w:color="auto"/>
            </w:tcBorders>
            <w:shd w:val="clear" w:color="auto" w:fill="69B0F1"/>
            <w:noWrap/>
            <w:vAlign w:val="center"/>
            <w:hideMark/>
          </w:tcPr>
          <w:p w14:paraId="151ED6BC" w14:textId="77777777" w:rsidR="001A51EE" w:rsidRPr="00211F36" w:rsidRDefault="001A51EE" w:rsidP="001A51EE">
            <w:pPr>
              <w:keepNext w:val="0"/>
              <w:spacing w:before="0"/>
              <w:jc w:val="right"/>
              <w:rPr>
                <w:rFonts w:cs="Arial"/>
                <w:color w:val="003C85"/>
                <w:sz w:val="20"/>
              </w:rPr>
            </w:pPr>
            <w:r w:rsidRPr="00211F36">
              <w:rPr>
                <w:rFonts w:cs="Arial"/>
                <w:color w:val="003C85"/>
                <w:sz w:val="20"/>
              </w:rPr>
              <w:t>0</w:t>
            </w:r>
          </w:p>
        </w:tc>
        <w:tc>
          <w:tcPr>
            <w:tcW w:w="1225" w:type="dxa"/>
            <w:tcBorders>
              <w:top w:val="nil"/>
              <w:left w:val="nil"/>
              <w:bottom w:val="nil"/>
              <w:right w:val="single" w:sz="4" w:space="0" w:color="auto"/>
            </w:tcBorders>
            <w:shd w:val="clear" w:color="auto" w:fill="69B0F1"/>
            <w:noWrap/>
            <w:vAlign w:val="center"/>
            <w:hideMark/>
          </w:tcPr>
          <w:p w14:paraId="5B20A198" w14:textId="77777777" w:rsidR="001A51EE" w:rsidRPr="00211F36" w:rsidRDefault="001A51EE" w:rsidP="001A51EE">
            <w:pPr>
              <w:keepNext w:val="0"/>
              <w:spacing w:before="0"/>
              <w:jc w:val="right"/>
              <w:rPr>
                <w:rFonts w:cs="Arial"/>
                <w:b/>
                <w:bCs/>
                <w:color w:val="003C85"/>
                <w:sz w:val="20"/>
              </w:rPr>
            </w:pPr>
            <w:r w:rsidRPr="00211F36">
              <w:rPr>
                <w:rFonts w:cs="Arial"/>
                <w:b/>
                <w:bCs/>
                <w:color w:val="003C85"/>
                <w:sz w:val="20"/>
              </w:rPr>
              <w:t>419</w:t>
            </w:r>
          </w:p>
        </w:tc>
      </w:tr>
      <w:tr w:rsidR="001A51EE" w:rsidRPr="001A51EE" w14:paraId="405F2F56" w14:textId="77777777" w:rsidTr="001A51EE">
        <w:trPr>
          <w:trHeight w:val="781"/>
        </w:trPr>
        <w:tc>
          <w:tcPr>
            <w:tcW w:w="3123" w:type="dxa"/>
            <w:tcBorders>
              <w:top w:val="single" w:sz="4" w:space="0" w:color="auto"/>
              <w:left w:val="single" w:sz="4" w:space="0" w:color="auto"/>
              <w:bottom w:val="nil"/>
              <w:right w:val="nil"/>
            </w:tcBorders>
            <w:shd w:val="clear" w:color="000000" w:fill="66FFFF"/>
            <w:vAlign w:val="center"/>
            <w:hideMark/>
          </w:tcPr>
          <w:p w14:paraId="03ACB3C3" w14:textId="77777777" w:rsidR="001A51EE" w:rsidRPr="00F53521" w:rsidRDefault="001A51EE" w:rsidP="001A51EE">
            <w:pPr>
              <w:keepNext w:val="0"/>
              <w:spacing w:before="0"/>
              <w:rPr>
                <w:rFonts w:cs="Arial"/>
                <w:b/>
                <w:bCs/>
                <w:color w:val="0069B8"/>
                <w:sz w:val="20"/>
              </w:rPr>
            </w:pPr>
            <w:r w:rsidRPr="00F53521">
              <w:rPr>
                <w:rFonts w:cs="Arial"/>
                <w:b/>
                <w:bCs/>
                <w:color w:val="0069B8"/>
                <w:sz w:val="20"/>
              </w:rPr>
              <w:t>Completions from Small Sites with Outline Planning Permission</w:t>
            </w:r>
          </w:p>
        </w:tc>
        <w:tc>
          <w:tcPr>
            <w:tcW w:w="1002" w:type="dxa"/>
            <w:tcBorders>
              <w:top w:val="nil"/>
              <w:left w:val="single" w:sz="4" w:space="0" w:color="auto"/>
              <w:bottom w:val="single" w:sz="4" w:space="0" w:color="auto"/>
              <w:right w:val="single" w:sz="4" w:space="0" w:color="auto"/>
            </w:tcBorders>
            <w:shd w:val="clear" w:color="000000" w:fill="66FFFF"/>
            <w:noWrap/>
            <w:vAlign w:val="center"/>
            <w:hideMark/>
          </w:tcPr>
          <w:p w14:paraId="1378FAD0"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nil"/>
              <w:bottom w:val="single" w:sz="4" w:space="0" w:color="auto"/>
              <w:right w:val="single" w:sz="8" w:space="0" w:color="auto"/>
            </w:tcBorders>
            <w:shd w:val="clear" w:color="000000" w:fill="66FFFF"/>
            <w:noWrap/>
            <w:vAlign w:val="center"/>
            <w:hideMark/>
          </w:tcPr>
          <w:p w14:paraId="233AAF2B"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nil"/>
              <w:bottom w:val="nil"/>
              <w:right w:val="nil"/>
            </w:tcBorders>
            <w:shd w:val="clear" w:color="000000" w:fill="66FFFF"/>
            <w:noWrap/>
            <w:vAlign w:val="center"/>
            <w:hideMark/>
          </w:tcPr>
          <w:p w14:paraId="1D5EC18A"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single" w:sz="4" w:space="0" w:color="auto"/>
              <w:bottom w:val="nil"/>
              <w:right w:val="nil"/>
            </w:tcBorders>
            <w:shd w:val="clear" w:color="000000" w:fill="66FFFF"/>
            <w:noWrap/>
            <w:vAlign w:val="center"/>
            <w:hideMark/>
          </w:tcPr>
          <w:p w14:paraId="57339875"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single" w:sz="4" w:space="0" w:color="auto"/>
              <w:bottom w:val="nil"/>
              <w:right w:val="single" w:sz="4" w:space="0" w:color="auto"/>
            </w:tcBorders>
            <w:shd w:val="clear" w:color="000000" w:fill="66FFFF"/>
            <w:noWrap/>
            <w:vAlign w:val="center"/>
            <w:hideMark/>
          </w:tcPr>
          <w:p w14:paraId="716CABB9"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nil"/>
              <w:bottom w:val="nil"/>
              <w:right w:val="single" w:sz="4" w:space="0" w:color="auto"/>
            </w:tcBorders>
            <w:shd w:val="clear" w:color="000000" w:fill="66FFFF"/>
            <w:noWrap/>
            <w:vAlign w:val="center"/>
            <w:hideMark/>
          </w:tcPr>
          <w:p w14:paraId="7104D5A2"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47</w:t>
            </w:r>
          </w:p>
        </w:tc>
        <w:tc>
          <w:tcPr>
            <w:tcW w:w="1002" w:type="dxa"/>
            <w:tcBorders>
              <w:top w:val="nil"/>
              <w:left w:val="nil"/>
              <w:bottom w:val="nil"/>
              <w:right w:val="single" w:sz="8" w:space="0" w:color="auto"/>
            </w:tcBorders>
            <w:shd w:val="clear" w:color="000000" w:fill="66FFFF"/>
            <w:noWrap/>
            <w:vAlign w:val="center"/>
            <w:hideMark/>
          </w:tcPr>
          <w:p w14:paraId="6184AAC0"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11</w:t>
            </w:r>
          </w:p>
        </w:tc>
        <w:tc>
          <w:tcPr>
            <w:tcW w:w="1002" w:type="dxa"/>
            <w:tcBorders>
              <w:top w:val="nil"/>
              <w:left w:val="nil"/>
              <w:bottom w:val="nil"/>
              <w:right w:val="nil"/>
            </w:tcBorders>
            <w:shd w:val="clear" w:color="000000" w:fill="66FFFF"/>
            <w:noWrap/>
            <w:vAlign w:val="center"/>
            <w:hideMark/>
          </w:tcPr>
          <w:p w14:paraId="39976E2D"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single" w:sz="4" w:space="0" w:color="auto"/>
              <w:bottom w:val="nil"/>
              <w:right w:val="nil"/>
            </w:tcBorders>
            <w:shd w:val="clear" w:color="000000" w:fill="66FFFF"/>
            <w:noWrap/>
            <w:vAlign w:val="center"/>
            <w:hideMark/>
          </w:tcPr>
          <w:p w14:paraId="016A99CE"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single" w:sz="4" w:space="0" w:color="auto"/>
              <w:bottom w:val="nil"/>
              <w:right w:val="single" w:sz="4" w:space="0" w:color="auto"/>
            </w:tcBorders>
            <w:shd w:val="clear" w:color="000000" w:fill="66FFFF"/>
            <w:noWrap/>
            <w:vAlign w:val="center"/>
            <w:hideMark/>
          </w:tcPr>
          <w:p w14:paraId="719B2510"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nil"/>
              <w:bottom w:val="nil"/>
              <w:right w:val="single" w:sz="4" w:space="0" w:color="auto"/>
            </w:tcBorders>
            <w:shd w:val="clear" w:color="000000" w:fill="66FFFF"/>
            <w:noWrap/>
            <w:vAlign w:val="center"/>
            <w:hideMark/>
          </w:tcPr>
          <w:p w14:paraId="67E9BD9D"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nil"/>
              <w:bottom w:val="nil"/>
              <w:right w:val="single" w:sz="8" w:space="0" w:color="auto"/>
            </w:tcBorders>
            <w:shd w:val="clear" w:color="000000" w:fill="66FFFF"/>
            <w:noWrap/>
            <w:vAlign w:val="center"/>
            <w:hideMark/>
          </w:tcPr>
          <w:p w14:paraId="0D1C1D82"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nil"/>
              <w:bottom w:val="nil"/>
              <w:right w:val="nil"/>
            </w:tcBorders>
            <w:shd w:val="clear" w:color="000000" w:fill="66FFFF"/>
            <w:noWrap/>
            <w:vAlign w:val="center"/>
            <w:hideMark/>
          </w:tcPr>
          <w:p w14:paraId="0AA4C62B"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single" w:sz="4" w:space="0" w:color="auto"/>
              <w:bottom w:val="nil"/>
              <w:right w:val="nil"/>
            </w:tcBorders>
            <w:shd w:val="clear" w:color="000000" w:fill="66FFFF"/>
            <w:noWrap/>
            <w:vAlign w:val="center"/>
            <w:hideMark/>
          </w:tcPr>
          <w:p w14:paraId="6E530D1A"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single" w:sz="4" w:space="0" w:color="auto"/>
              <w:bottom w:val="nil"/>
              <w:right w:val="single" w:sz="4" w:space="0" w:color="auto"/>
            </w:tcBorders>
            <w:shd w:val="clear" w:color="000000" w:fill="66FFFF"/>
            <w:noWrap/>
            <w:vAlign w:val="center"/>
            <w:hideMark/>
          </w:tcPr>
          <w:p w14:paraId="032A821B"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nil"/>
              <w:bottom w:val="nil"/>
              <w:right w:val="single" w:sz="4" w:space="0" w:color="auto"/>
            </w:tcBorders>
            <w:shd w:val="clear" w:color="000000" w:fill="66FFFF"/>
            <w:noWrap/>
            <w:vAlign w:val="center"/>
            <w:hideMark/>
          </w:tcPr>
          <w:p w14:paraId="10CDE967"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002" w:type="dxa"/>
            <w:tcBorders>
              <w:top w:val="nil"/>
              <w:left w:val="nil"/>
              <w:bottom w:val="nil"/>
              <w:right w:val="single" w:sz="8" w:space="0" w:color="auto"/>
            </w:tcBorders>
            <w:shd w:val="clear" w:color="000000" w:fill="66FFFF"/>
            <w:noWrap/>
            <w:vAlign w:val="center"/>
            <w:hideMark/>
          </w:tcPr>
          <w:p w14:paraId="467FD29C" w14:textId="77777777" w:rsidR="001A51EE" w:rsidRPr="00F53521" w:rsidRDefault="001A51EE" w:rsidP="001A51EE">
            <w:pPr>
              <w:keepNext w:val="0"/>
              <w:spacing w:before="0"/>
              <w:jc w:val="right"/>
              <w:rPr>
                <w:rFonts w:cs="Arial"/>
                <w:color w:val="0069B8"/>
                <w:sz w:val="20"/>
              </w:rPr>
            </w:pPr>
            <w:r w:rsidRPr="00F53521">
              <w:rPr>
                <w:rFonts w:cs="Arial"/>
                <w:color w:val="0069B8"/>
                <w:sz w:val="20"/>
              </w:rPr>
              <w:t>0</w:t>
            </w:r>
          </w:p>
        </w:tc>
        <w:tc>
          <w:tcPr>
            <w:tcW w:w="1225" w:type="dxa"/>
            <w:tcBorders>
              <w:top w:val="single" w:sz="4" w:space="0" w:color="auto"/>
              <w:left w:val="nil"/>
              <w:bottom w:val="nil"/>
              <w:right w:val="single" w:sz="4" w:space="0" w:color="auto"/>
            </w:tcBorders>
            <w:shd w:val="clear" w:color="000000" w:fill="66FFFF"/>
            <w:noWrap/>
            <w:vAlign w:val="center"/>
            <w:hideMark/>
          </w:tcPr>
          <w:p w14:paraId="30BF9260" w14:textId="77777777" w:rsidR="001A51EE" w:rsidRPr="00F53521" w:rsidRDefault="001A51EE" w:rsidP="001A51EE">
            <w:pPr>
              <w:keepNext w:val="0"/>
              <w:spacing w:before="0"/>
              <w:jc w:val="right"/>
              <w:rPr>
                <w:rFonts w:cs="Arial"/>
                <w:b/>
                <w:bCs/>
                <w:color w:val="0069B8"/>
                <w:sz w:val="20"/>
              </w:rPr>
            </w:pPr>
            <w:r w:rsidRPr="00F53521">
              <w:rPr>
                <w:rFonts w:cs="Arial"/>
                <w:b/>
                <w:bCs/>
                <w:color w:val="0069B8"/>
                <w:sz w:val="20"/>
              </w:rPr>
              <w:t>58</w:t>
            </w:r>
          </w:p>
        </w:tc>
      </w:tr>
      <w:tr w:rsidR="001A51EE" w:rsidRPr="001A51EE" w14:paraId="0C47D41A" w14:textId="77777777" w:rsidTr="001A51EE">
        <w:trPr>
          <w:trHeight w:val="712"/>
        </w:trPr>
        <w:tc>
          <w:tcPr>
            <w:tcW w:w="3123" w:type="dxa"/>
            <w:tcBorders>
              <w:top w:val="single" w:sz="4" w:space="0" w:color="auto"/>
              <w:left w:val="single" w:sz="4" w:space="0" w:color="auto"/>
              <w:bottom w:val="nil"/>
              <w:right w:val="nil"/>
            </w:tcBorders>
            <w:shd w:val="clear" w:color="000000" w:fill="FFFF00"/>
            <w:vAlign w:val="center"/>
            <w:hideMark/>
          </w:tcPr>
          <w:p w14:paraId="1EA7D481" w14:textId="77777777" w:rsidR="001A51EE" w:rsidRPr="001A51EE" w:rsidRDefault="001A51EE" w:rsidP="001A51EE">
            <w:pPr>
              <w:keepNext w:val="0"/>
              <w:spacing w:before="0"/>
              <w:rPr>
                <w:rFonts w:cs="Arial"/>
                <w:b/>
                <w:bCs/>
                <w:color w:val="0070C0"/>
                <w:sz w:val="20"/>
              </w:rPr>
            </w:pPr>
            <w:r w:rsidRPr="001A51EE">
              <w:rPr>
                <w:rFonts w:cs="Arial"/>
                <w:b/>
                <w:bCs/>
                <w:color w:val="0070C0"/>
                <w:sz w:val="20"/>
              </w:rPr>
              <w:t>Completions from prior approval schemes and PD</w:t>
            </w:r>
          </w:p>
        </w:tc>
        <w:tc>
          <w:tcPr>
            <w:tcW w:w="1002" w:type="dxa"/>
            <w:tcBorders>
              <w:top w:val="nil"/>
              <w:left w:val="single" w:sz="4" w:space="0" w:color="auto"/>
              <w:bottom w:val="single" w:sz="4" w:space="0" w:color="auto"/>
              <w:right w:val="single" w:sz="4" w:space="0" w:color="auto"/>
            </w:tcBorders>
            <w:shd w:val="clear" w:color="000000" w:fill="FFFF00"/>
            <w:noWrap/>
            <w:vAlign w:val="center"/>
            <w:hideMark/>
          </w:tcPr>
          <w:p w14:paraId="27901FAC"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14</w:t>
            </w:r>
          </w:p>
        </w:tc>
        <w:tc>
          <w:tcPr>
            <w:tcW w:w="1002" w:type="dxa"/>
            <w:tcBorders>
              <w:top w:val="nil"/>
              <w:left w:val="nil"/>
              <w:bottom w:val="single" w:sz="4" w:space="0" w:color="auto"/>
              <w:right w:val="single" w:sz="8" w:space="0" w:color="auto"/>
            </w:tcBorders>
            <w:shd w:val="clear" w:color="000000" w:fill="FFFF00"/>
            <w:noWrap/>
            <w:vAlign w:val="center"/>
            <w:hideMark/>
          </w:tcPr>
          <w:p w14:paraId="5F1BD5E9"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5</w:t>
            </w:r>
          </w:p>
        </w:tc>
        <w:tc>
          <w:tcPr>
            <w:tcW w:w="1002" w:type="dxa"/>
            <w:tcBorders>
              <w:top w:val="single" w:sz="4" w:space="0" w:color="auto"/>
              <w:left w:val="nil"/>
              <w:bottom w:val="single" w:sz="4" w:space="0" w:color="auto"/>
              <w:right w:val="nil"/>
            </w:tcBorders>
            <w:shd w:val="clear" w:color="000000" w:fill="FFFF00"/>
            <w:noWrap/>
            <w:vAlign w:val="center"/>
            <w:hideMark/>
          </w:tcPr>
          <w:p w14:paraId="49EA2FF9"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w:t>
            </w:r>
          </w:p>
        </w:tc>
        <w:tc>
          <w:tcPr>
            <w:tcW w:w="1002" w:type="dxa"/>
            <w:tcBorders>
              <w:top w:val="single" w:sz="4" w:space="0" w:color="auto"/>
              <w:left w:val="single" w:sz="4" w:space="0" w:color="auto"/>
              <w:bottom w:val="single" w:sz="4" w:space="0" w:color="auto"/>
              <w:right w:val="nil"/>
            </w:tcBorders>
            <w:shd w:val="clear" w:color="000000" w:fill="FFFF00"/>
            <w:noWrap/>
            <w:vAlign w:val="center"/>
            <w:hideMark/>
          </w:tcPr>
          <w:p w14:paraId="383F459D"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E5E6FEC"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nil"/>
              <w:bottom w:val="single" w:sz="4" w:space="0" w:color="auto"/>
              <w:right w:val="single" w:sz="4" w:space="0" w:color="auto"/>
            </w:tcBorders>
            <w:shd w:val="clear" w:color="000000" w:fill="FFFF00"/>
            <w:noWrap/>
            <w:vAlign w:val="center"/>
            <w:hideMark/>
          </w:tcPr>
          <w:p w14:paraId="37F8B369"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nil"/>
              <w:bottom w:val="single" w:sz="4" w:space="0" w:color="auto"/>
              <w:right w:val="single" w:sz="8" w:space="0" w:color="auto"/>
            </w:tcBorders>
            <w:shd w:val="clear" w:color="000000" w:fill="FFFF00"/>
            <w:noWrap/>
            <w:vAlign w:val="center"/>
            <w:hideMark/>
          </w:tcPr>
          <w:p w14:paraId="5B079497"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nil"/>
              <w:bottom w:val="single" w:sz="4" w:space="0" w:color="auto"/>
              <w:right w:val="nil"/>
            </w:tcBorders>
            <w:shd w:val="clear" w:color="000000" w:fill="FFFF00"/>
            <w:noWrap/>
            <w:vAlign w:val="center"/>
            <w:hideMark/>
          </w:tcPr>
          <w:p w14:paraId="4CDC4FB4"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single" w:sz="4" w:space="0" w:color="auto"/>
              <w:bottom w:val="single" w:sz="4" w:space="0" w:color="auto"/>
              <w:right w:val="nil"/>
            </w:tcBorders>
            <w:shd w:val="clear" w:color="000000" w:fill="FFFF00"/>
            <w:noWrap/>
            <w:vAlign w:val="center"/>
            <w:hideMark/>
          </w:tcPr>
          <w:p w14:paraId="3AEA86FB"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24915D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nil"/>
              <w:bottom w:val="single" w:sz="4" w:space="0" w:color="auto"/>
              <w:right w:val="single" w:sz="4" w:space="0" w:color="auto"/>
            </w:tcBorders>
            <w:shd w:val="clear" w:color="000000" w:fill="FFFF00"/>
            <w:noWrap/>
            <w:vAlign w:val="center"/>
            <w:hideMark/>
          </w:tcPr>
          <w:p w14:paraId="58D6A31A"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nil"/>
              <w:bottom w:val="single" w:sz="4" w:space="0" w:color="auto"/>
              <w:right w:val="single" w:sz="8" w:space="0" w:color="auto"/>
            </w:tcBorders>
            <w:shd w:val="clear" w:color="000000" w:fill="FFFF00"/>
            <w:noWrap/>
            <w:vAlign w:val="center"/>
            <w:hideMark/>
          </w:tcPr>
          <w:p w14:paraId="3D3C14C8"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nil"/>
              <w:bottom w:val="single" w:sz="4" w:space="0" w:color="auto"/>
              <w:right w:val="nil"/>
            </w:tcBorders>
            <w:shd w:val="clear" w:color="000000" w:fill="FFFF00"/>
            <w:noWrap/>
            <w:vAlign w:val="center"/>
            <w:hideMark/>
          </w:tcPr>
          <w:p w14:paraId="44F60B8E"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single" w:sz="4" w:space="0" w:color="auto"/>
              <w:bottom w:val="single" w:sz="4" w:space="0" w:color="auto"/>
              <w:right w:val="nil"/>
            </w:tcBorders>
            <w:shd w:val="clear" w:color="000000" w:fill="FFFF00"/>
            <w:noWrap/>
            <w:vAlign w:val="center"/>
            <w:hideMark/>
          </w:tcPr>
          <w:p w14:paraId="2E262AB1"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940958E"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nil"/>
              <w:bottom w:val="single" w:sz="4" w:space="0" w:color="auto"/>
              <w:right w:val="single" w:sz="4" w:space="0" w:color="auto"/>
            </w:tcBorders>
            <w:shd w:val="clear" w:color="000000" w:fill="FFFF00"/>
            <w:noWrap/>
            <w:vAlign w:val="center"/>
            <w:hideMark/>
          </w:tcPr>
          <w:p w14:paraId="0DB6267B"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002" w:type="dxa"/>
            <w:tcBorders>
              <w:top w:val="single" w:sz="4" w:space="0" w:color="auto"/>
              <w:left w:val="nil"/>
              <w:bottom w:val="single" w:sz="4" w:space="0" w:color="auto"/>
              <w:right w:val="single" w:sz="8" w:space="0" w:color="auto"/>
            </w:tcBorders>
            <w:shd w:val="clear" w:color="000000" w:fill="FFFF00"/>
            <w:noWrap/>
            <w:vAlign w:val="center"/>
            <w:hideMark/>
          </w:tcPr>
          <w:p w14:paraId="1FEEF183"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0</w:t>
            </w:r>
          </w:p>
        </w:tc>
        <w:tc>
          <w:tcPr>
            <w:tcW w:w="1225" w:type="dxa"/>
            <w:tcBorders>
              <w:top w:val="single" w:sz="4" w:space="0" w:color="auto"/>
              <w:left w:val="nil"/>
              <w:bottom w:val="nil"/>
              <w:right w:val="single" w:sz="4" w:space="0" w:color="auto"/>
            </w:tcBorders>
            <w:shd w:val="clear" w:color="000000" w:fill="FFFF00"/>
            <w:noWrap/>
            <w:vAlign w:val="center"/>
            <w:hideMark/>
          </w:tcPr>
          <w:p w14:paraId="2CB3E43D"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20</w:t>
            </w:r>
          </w:p>
        </w:tc>
      </w:tr>
      <w:tr w:rsidR="001A51EE" w:rsidRPr="001A51EE" w14:paraId="2A23DACE" w14:textId="77777777" w:rsidTr="001A51EE">
        <w:trPr>
          <w:trHeight w:val="621"/>
        </w:trPr>
        <w:tc>
          <w:tcPr>
            <w:tcW w:w="3123" w:type="dxa"/>
            <w:tcBorders>
              <w:top w:val="single" w:sz="4" w:space="0" w:color="auto"/>
              <w:left w:val="single" w:sz="4" w:space="0" w:color="auto"/>
              <w:bottom w:val="nil"/>
              <w:right w:val="nil"/>
            </w:tcBorders>
            <w:shd w:val="clear" w:color="000000" w:fill="FFC000"/>
            <w:vAlign w:val="center"/>
            <w:hideMark/>
          </w:tcPr>
          <w:p w14:paraId="3AA0980D" w14:textId="77777777" w:rsidR="001A51EE" w:rsidRPr="004A1E29" w:rsidRDefault="001A51EE" w:rsidP="001A51EE">
            <w:pPr>
              <w:keepNext w:val="0"/>
              <w:spacing w:before="0"/>
              <w:rPr>
                <w:rFonts w:cs="Arial"/>
                <w:b/>
                <w:bCs/>
                <w:color w:val="0054A1"/>
                <w:sz w:val="20"/>
              </w:rPr>
            </w:pPr>
            <w:r w:rsidRPr="004A1E29">
              <w:rPr>
                <w:rFonts w:cs="Arial"/>
                <w:b/>
                <w:bCs/>
                <w:color w:val="0054A1"/>
                <w:sz w:val="20"/>
              </w:rPr>
              <w:t>Completions from C2 schemes</w:t>
            </w:r>
          </w:p>
        </w:tc>
        <w:tc>
          <w:tcPr>
            <w:tcW w:w="1002" w:type="dxa"/>
            <w:tcBorders>
              <w:top w:val="nil"/>
              <w:left w:val="single" w:sz="4" w:space="0" w:color="auto"/>
              <w:bottom w:val="single" w:sz="4" w:space="0" w:color="auto"/>
              <w:right w:val="single" w:sz="4" w:space="0" w:color="auto"/>
            </w:tcBorders>
            <w:shd w:val="clear" w:color="000000" w:fill="FFC000"/>
            <w:noWrap/>
            <w:vAlign w:val="center"/>
            <w:hideMark/>
          </w:tcPr>
          <w:p w14:paraId="3DF603D0"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nil"/>
              <w:bottom w:val="single" w:sz="4" w:space="0" w:color="auto"/>
              <w:right w:val="single" w:sz="8" w:space="0" w:color="auto"/>
            </w:tcBorders>
            <w:shd w:val="clear" w:color="000000" w:fill="FFC000"/>
            <w:noWrap/>
            <w:vAlign w:val="center"/>
            <w:hideMark/>
          </w:tcPr>
          <w:p w14:paraId="21FD1B48"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4</w:t>
            </w:r>
          </w:p>
        </w:tc>
        <w:tc>
          <w:tcPr>
            <w:tcW w:w="1002" w:type="dxa"/>
            <w:tcBorders>
              <w:top w:val="nil"/>
              <w:left w:val="nil"/>
              <w:bottom w:val="single" w:sz="4" w:space="0" w:color="auto"/>
              <w:right w:val="nil"/>
            </w:tcBorders>
            <w:shd w:val="clear" w:color="000000" w:fill="FFC000"/>
            <w:noWrap/>
            <w:vAlign w:val="center"/>
            <w:hideMark/>
          </w:tcPr>
          <w:p w14:paraId="060C4F09"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6</w:t>
            </w:r>
          </w:p>
        </w:tc>
        <w:tc>
          <w:tcPr>
            <w:tcW w:w="1002" w:type="dxa"/>
            <w:tcBorders>
              <w:top w:val="nil"/>
              <w:left w:val="single" w:sz="4" w:space="0" w:color="auto"/>
              <w:bottom w:val="single" w:sz="4" w:space="0" w:color="auto"/>
              <w:right w:val="nil"/>
            </w:tcBorders>
            <w:shd w:val="clear" w:color="000000" w:fill="FFC000"/>
            <w:noWrap/>
            <w:vAlign w:val="center"/>
            <w:hideMark/>
          </w:tcPr>
          <w:p w14:paraId="2140B063"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1</w:t>
            </w:r>
          </w:p>
        </w:tc>
        <w:tc>
          <w:tcPr>
            <w:tcW w:w="1002" w:type="dxa"/>
            <w:tcBorders>
              <w:top w:val="nil"/>
              <w:left w:val="single" w:sz="4" w:space="0" w:color="auto"/>
              <w:bottom w:val="single" w:sz="4" w:space="0" w:color="auto"/>
              <w:right w:val="single" w:sz="4" w:space="0" w:color="auto"/>
            </w:tcBorders>
            <w:shd w:val="clear" w:color="000000" w:fill="FFC000"/>
            <w:noWrap/>
            <w:vAlign w:val="center"/>
            <w:hideMark/>
          </w:tcPr>
          <w:p w14:paraId="49BB8E92"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nil"/>
              <w:bottom w:val="single" w:sz="4" w:space="0" w:color="auto"/>
              <w:right w:val="single" w:sz="4" w:space="0" w:color="auto"/>
            </w:tcBorders>
            <w:shd w:val="clear" w:color="000000" w:fill="FFC000"/>
            <w:noWrap/>
            <w:vAlign w:val="center"/>
            <w:hideMark/>
          </w:tcPr>
          <w:p w14:paraId="3B595141"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nil"/>
              <w:bottom w:val="single" w:sz="4" w:space="0" w:color="auto"/>
              <w:right w:val="single" w:sz="8" w:space="0" w:color="auto"/>
            </w:tcBorders>
            <w:shd w:val="clear" w:color="000000" w:fill="FFC000"/>
            <w:noWrap/>
            <w:vAlign w:val="center"/>
            <w:hideMark/>
          </w:tcPr>
          <w:p w14:paraId="6C8EF8C3"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nil"/>
              <w:bottom w:val="single" w:sz="4" w:space="0" w:color="auto"/>
              <w:right w:val="nil"/>
            </w:tcBorders>
            <w:shd w:val="clear" w:color="000000" w:fill="FFC000"/>
            <w:noWrap/>
            <w:vAlign w:val="center"/>
            <w:hideMark/>
          </w:tcPr>
          <w:p w14:paraId="43EA3BFD"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single" w:sz="4" w:space="0" w:color="auto"/>
              <w:bottom w:val="single" w:sz="4" w:space="0" w:color="auto"/>
              <w:right w:val="nil"/>
            </w:tcBorders>
            <w:shd w:val="clear" w:color="000000" w:fill="FFC000"/>
            <w:noWrap/>
            <w:vAlign w:val="center"/>
            <w:hideMark/>
          </w:tcPr>
          <w:p w14:paraId="0C0C2929"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single" w:sz="4" w:space="0" w:color="auto"/>
              <w:bottom w:val="single" w:sz="4" w:space="0" w:color="auto"/>
              <w:right w:val="single" w:sz="4" w:space="0" w:color="auto"/>
            </w:tcBorders>
            <w:shd w:val="clear" w:color="000000" w:fill="FFC000"/>
            <w:noWrap/>
            <w:vAlign w:val="center"/>
            <w:hideMark/>
          </w:tcPr>
          <w:p w14:paraId="4993D1FA"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nil"/>
              <w:bottom w:val="single" w:sz="4" w:space="0" w:color="auto"/>
              <w:right w:val="single" w:sz="4" w:space="0" w:color="auto"/>
            </w:tcBorders>
            <w:shd w:val="clear" w:color="000000" w:fill="FFC000"/>
            <w:noWrap/>
            <w:vAlign w:val="center"/>
            <w:hideMark/>
          </w:tcPr>
          <w:p w14:paraId="46EB339E"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nil"/>
              <w:bottom w:val="single" w:sz="4" w:space="0" w:color="auto"/>
              <w:right w:val="single" w:sz="8" w:space="0" w:color="auto"/>
            </w:tcBorders>
            <w:shd w:val="clear" w:color="000000" w:fill="FFC000"/>
            <w:noWrap/>
            <w:vAlign w:val="center"/>
            <w:hideMark/>
          </w:tcPr>
          <w:p w14:paraId="48281F65"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nil"/>
              <w:bottom w:val="single" w:sz="4" w:space="0" w:color="auto"/>
              <w:right w:val="nil"/>
            </w:tcBorders>
            <w:shd w:val="clear" w:color="000000" w:fill="FFC000"/>
            <w:noWrap/>
            <w:vAlign w:val="center"/>
            <w:hideMark/>
          </w:tcPr>
          <w:p w14:paraId="46494E37"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single" w:sz="4" w:space="0" w:color="auto"/>
              <w:bottom w:val="single" w:sz="4" w:space="0" w:color="auto"/>
              <w:right w:val="nil"/>
            </w:tcBorders>
            <w:shd w:val="clear" w:color="000000" w:fill="FFC000"/>
            <w:noWrap/>
            <w:vAlign w:val="center"/>
            <w:hideMark/>
          </w:tcPr>
          <w:p w14:paraId="054A7CBC"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single" w:sz="4" w:space="0" w:color="auto"/>
              <w:bottom w:val="single" w:sz="4" w:space="0" w:color="auto"/>
              <w:right w:val="single" w:sz="4" w:space="0" w:color="auto"/>
            </w:tcBorders>
            <w:shd w:val="clear" w:color="000000" w:fill="FFC000"/>
            <w:noWrap/>
            <w:vAlign w:val="center"/>
            <w:hideMark/>
          </w:tcPr>
          <w:p w14:paraId="159FE93A"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nil"/>
              <w:bottom w:val="single" w:sz="4" w:space="0" w:color="auto"/>
              <w:right w:val="single" w:sz="4" w:space="0" w:color="auto"/>
            </w:tcBorders>
            <w:shd w:val="clear" w:color="000000" w:fill="FFC000"/>
            <w:noWrap/>
            <w:vAlign w:val="center"/>
            <w:hideMark/>
          </w:tcPr>
          <w:p w14:paraId="32C32100"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002" w:type="dxa"/>
            <w:tcBorders>
              <w:top w:val="nil"/>
              <w:left w:val="nil"/>
              <w:bottom w:val="single" w:sz="4" w:space="0" w:color="auto"/>
              <w:right w:val="single" w:sz="8" w:space="0" w:color="auto"/>
            </w:tcBorders>
            <w:shd w:val="clear" w:color="000000" w:fill="FFC000"/>
            <w:noWrap/>
            <w:vAlign w:val="center"/>
            <w:hideMark/>
          </w:tcPr>
          <w:p w14:paraId="02D5C90E" w14:textId="77777777" w:rsidR="001A51EE" w:rsidRPr="004A1E29" w:rsidRDefault="001A51EE" w:rsidP="001A51EE">
            <w:pPr>
              <w:keepNext w:val="0"/>
              <w:spacing w:before="0"/>
              <w:jc w:val="right"/>
              <w:rPr>
                <w:rFonts w:cs="Arial"/>
                <w:color w:val="0054A1"/>
                <w:sz w:val="20"/>
              </w:rPr>
            </w:pPr>
            <w:r w:rsidRPr="004A1E29">
              <w:rPr>
                <w:rFonts w:cs="Arial"/>
                <w:color w:val="0054A1"/>
                <w:sz w:val="20"/>
              </w:rPr>
              <w:t>0</w:t>
            </w:r>
          </w:p>
        </w:tc>
        <w:tc>
          <w:tcPr>
            <w:tcW w:w="1225" w:type="dxa"/>
            <w:tcBorders>
              <w:top w:val="single" w:sz="4" w:space="0" w:color="auto"/>
              <w:left w:val="nil"/>
              <w:bottom w:val="nil"/>
              <w:right w:val="single" w:sz="4" w:space="0" w:color="auto"/>
            </w:tcBorders>
            <w:shd w:val="clear" w:color="000000" w:fill="FFC000"/>
            <w:noWrap/>
            <w:vAlign w:val="center"/>
            <w:hideMark/>
          </w:tcPr>
          <w:p w14:paraId="5E8EDF92" w14:textId="77777777" w:rsidR="001A51EE" w:rsidRPr="004A1E29" w:rsidRDefault="001A51EE" w:rsidP="001A51EE">
            <w:pPr>
              <w:keepNext w:val="0"/>
              <w:spacing w:before="0"/>
              <w:jc w:val="right"/>
              <w:rPr>
                <w:rFonts w:cs="Arial"/>
                <w:b/>
                <w:bCs/>
                <w:color w:val="0054A1"/>
                <w:sz w:val="20"/>
              </w:rPr>
            </w:pPr>
            <w:r w:rsidRPr="004A1E29">
              <w:rPr>
                <w:rFonts w:cs="Arial"/>
                <w:b/>
                <w:bCs/>
                <w:color w:val="0054A1"/>
                <w:sz w:val="20"/>
              </w:rPr>
              <w:t>11</w:t>
            </w:r>
          </w:p>
        </w:tc>
      </w:tr>
      <w:tr w:rsidR="001A51EE" w:rsidRPr="001A51EE" w14:paraId="7EC58784" w14:textId="77777777" w:rsidTr="001A51EE">
        <w:trPr>
          <w:trHeight w:val="621"/>
        </w:trPr>
        <w:tc>
          <w:tcPr>
            <w:tcW w:w="3123" w:type="dxa"/>
            <w:tcBorders>
              <w:top w:val="single" w:sz="4" w:space="0" w:color="auto"/>
              <w:left w:val="single" w:sz="4" w:space="0" w:color="auto"/>
              <w:bottom w:val="nil"/>
              <w:right w:val="nil"/>
            </w:tcBorders>
            <w:shd w:val="clear" w:color="000000" w:fill="BFBFBF"/>
            <w:vAlign w:val="center"/>
            <w:hideMark/>
          </w:tcPr>
          <w:p w14:paraId="3C8DD77E" w14:textId="77777777" w:rsidR="001A51EE" w:rsidRPr="00E56F9C" w:rsidRDefault="001A51EE" w:rsidP="001A51EE">
            <w:pPr>
              <w:keepNext w:val="0"/>
              <w:spacing w:before="0"/>
              <w:rPr>
                <w:rFonts w:cs="Arial"/>
                <w:b/>
                <w:bCs/>
                <w:color w:val="004C98"/>
                <w:sz w:val="20"/>
              </w:rPr>
            </w:pPr>
            <w:r w:rsidRPr="00E56F9C">
              <w:rPr>
                <w:rFonts w:cs="Arial"/>
                <w:b/>
                <w:bCs/>
                <w:color w:val="004C98"/>
                <w:sz w:val="20"/>
              </w:rPr>
              <w:t>Demolitions with Planning Permission</w:t>
            </w:r>
          </w:p>
        </w:tc>
        <w:tc>
          <w:tcPr>
            <w:tcW w:w="1002" w:type="dxa"/>
            <w:tcBorders>
              <w:top w:val="nil"/>
              <w:left w:val="single" w:sz="4" w:space="0" w:color="auto"/>
              <w:bottom w:val="single" w:sz="4" w:space="0" w:color="auto"/>
              <w:right w:val="single" w:sz="4" w:space="0" w:color="auto"/>
            </w:tcBorders>
            <w:shd w:val="clear" w:color="000000" w:fill="BFBFBF"/>
            <w:noWrap/>
            <w:vAlign w:val="center"/>
            <w:hideMark/>
          </w:tcPr>
          <w:p w14:paraId="2890E1A1"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-1</w:t>
            </w:r>
          </w:p>
        </w:tc>
        <w:tc>
          <w:tcPr>
            <w:tcW w:w="1002" w:type="dxa"/>
            <w:tcBorders>
              <w:top w:val="nil"/>
              <w:left w:val="nil"/>
              <w:bottom w:val="single" w:sz="4" w:space="0" w:color="auto"/>
              <w:right w:val="single" w:sz="8" w:space="0" w:color="auto"/>
            </w:tcBorders>
            <w:shd w:val="clear" w:color="000000" w:fill="BFBFBF"/>
            <w:noWrap/>
            <w:vAlign w:val="center"/>
            <w:hideMark/>
          </w:tcPr>
          <w:p w14:paraId="592CA3B2"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-1</w:t>
            </w:r>
          </w:p>
        </w:tc>
        <w:tc>
          <w:tcPr>
            <w:tcW w:w="1002" w:type="dxa"/>
            <w:tcBorders>
              <w:top w:val="nil"/>
              <w:left w:val="nil"/>
              <w:bottom w:val="single" w:sz="4" w:space="0" w:color="auto"/>
              <w:right w:val="nil"/>
            </w:tcBorders>
            <w:shd w:val="clear" w:color="000000" w:fill="BFBFBF"/>
            <w:noWrap/>
            <w:vAlign w:val="center"/>
            <w:hideMark/>
          </w:tcPr>
          <w:p w14:paraId="2090C513"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-2</w:t>
            </w:r>
          </w:p>
        </w:tc>
        <w:tc>
          <w:tcPr>
            <w:tcW w:w="1002" w:type="dxa"/>
            <w:tcBorders>
              <w:top w:val="nil"/>
              <w:left w:val="single" w:sz="4" w:space="0" w:color="auto"/>
              <w:bottom w:val="single" w:sz="4" w:space="0" w:color="auto"/>
              <w:right w:val="nil"/>
            </w:tcBorders>
            <w:shd w:val="clear" w:color="000000" w:fill="BFBFBF"/>
            <w:noWrap/>
            <w:vAlign w:val="center"/>
            <w:hideMark/>
          </w:tcPr>
          <w:p w14:paraId="6CE52279"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-1</w:t>
            </w:r>
          </w:p>
        </w:tc>
        <w:tc>
          <w:tcPr>
            <w:tcW w:w="1002" w:type="dxa"/>
            <w:tcBorders>
              <w:top w:val="nil"/>
              <w:left w:val="single" w:sz="4" w:space="0" w:color="auto"/>
              <w:bottom w:val="single" w:sz="4" w:space="0" w:color="auto"/>
              <w:right w:val="single" w:sz="4" w:space="0" w:color="auto"/>
            </w:tcBorders>
            <w:shd w:val="clear" w:color="000000" w:fill="BFBFBF"/>
            <w:noWrap/>
            <w:vAlign w:val="center"/>
            <w:hideMark/>
          </w:tcPr>
          <w:p w14:paraId="2D685B1E"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nil"/>
              <w:bottom w:val="single" w:sz="4" w:space="0" w:color="auto"/>
              <w:right w:val="single" w:sz="4" w:space="0" w:color="auto"/>
            </w:tcBorders>
            <w:shd w:val="clear" w:color="000000" w:fill="BFBFBF"/>
            <w:noWrap/>
            <w:vAlign w:val="center"/>
            <w:hideMark/>
          </w:tcPr>
          <w:p w14:paraId="177C5BC0"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nil"/>
              <w:bottom w:val="single" w:sz="4" w:space="0" w:color="auto"/>
              <w:right w:val="single" w:sz="8" w:space="0" w:color="auto"/>
            </w:tcBorders>
            <w:shd w:val="clear" w:color="000000" w:fill="BFBFBF"/>
            <w:noWrap/>
            <w:vAlign w:val="center"/>
            <w:hideMark/>
          </w:tcPr>
          <w:p w14:paraId="18D8A407"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nil"/>
              <w:bottom w:val="single" w:sz="4" w:space="0" w:color="auto"/>
              <w:right w:val="nil"/>
            </w:tcBorders>
            <w:shd w:val="clear" w:color="000000" w:fill="BFBFBF"/>
            <w:noWrap/>
            <w:vAlign w:val="center"/>
            <w:hideMark/>
          </w:tcPr>
          <w:p w14:paraId="4A195AC3"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single" w:sz="4" w:space="0" w:color="auto"/>
              <w:bottom w:val="nil"/>
              <w:right w:val="nil"/>
            </w:tcBorders>
            <w:shd w:val="clear" w:color="000000" w:fill="BFBFBF"/>
            <w:noWrap/>
            <w:vAlign w:val="center"/>
            <w:hideMark/>
          </w:tcPr>
          <w:p w14:paraId="49BBC9D9"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single" w:sz="4" w:space="0" w:color="auto"/>
              <w:bottom w:val="nil"/>
              <w:right w:val="single" w:sz="4" w:space="0" w:color="auto"/>
            </w:tcBorders>
            <w:shd w:val="clear" w:color="000000" w:fill="BFBFBF"/>
            <w:noWrap/>
            <w:vAlign w:val="center"/>
            <w:hideMark/>
          </w:tcPr>
          <w:p w14:paraId="443B6FF6"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nil"/>
              <w:bottom w:val="nil"/>
              <w:right w:val="single" w:sz="4" w:space="0" w:color="auto"/>
            </w:tcBorders>
            <w:shd w:val="clear" w:color="000000" w:fill="BFBFBF"/>
            <w:noWrap/>
            <w:vAlign w:val="center"/>
            <w:hideMark/>
          </w:tcPr>
          <w:p w14:paraId="3742F9F3"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nil"/>
              <w:bottom w:val="nil"/>
              <w:right w:val="single" w:sz="8" w:space="0" w:color="auto"/>
            </w:tcBorders>
            <w:shd w:val="clear" w:color="000000" w:fill="BFBFBF"/>
            <w:noWrap/>
            <w:vAlign w:val="center"/>
            <w:hideMark/>
          </w:tcPr>
          <w:p w14:paraId="1F7BA0FE"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nil"/>
              <w:bottom w:val="nil"/>
              <w:right w:val="nil"/>
            </w:tcBorders>
            <w:shd w:val="clear" w:color="000000" w:fill="BFBFBF"/>
            <w:noWrap/>
            <w:vAlign w:val="center"/>
            <w:hideMark/>
          </w:tcPr>
          <w:p w14:paraId="64DBEF36"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single" w:sz="4" w:space="0" w:color="auto"/>
              <w:bottom w:val="nil"/>
              <w:right w:val="nil"/>
            </w:tcBorders>
            <w:shd w:val="clear" w:color="000000" w:fill="BFBFBF"/>
            <w:noWrap/>
            <w:vAlign w:val="center"/>
            <w:hideMark/>
          </w:tcPr>
          <w:p w14:paraId="6474DAA2"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single" w:sz="4" w:space="0" w:color="auto"/>
              <w:bottom w:val="nil"/>
              <w:right w:val="single" w:sz="4" w:space="0" w:color="auto"/>
            </w:tcBorders>
            <w:shd w:val="clear" w:color="000000" w:fill="BFBFBF"/>
            <w:noWrap/>
            <w:vAlign w:val="center"/>
            <w:hideMark/>
          </w:tcPr>
          <w:p w14:paraId="71F467E4"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nil"/>
              <w:bottom w:val="nil"/>
              <w:right w:val="single" w:sz="4" w:space="0" w:color="auto"/>
            </w:tcBorders>
            <w:shd w:val="clear" w:color="000000" w:fill="BFBFBF"/>
            <w:noWrap/>
            <w:vAlign w:val="center"/>
            <w:hideMark/>
          </w:tcPr>
          <w:p w14:paraId="48429D60"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002" w:type="dxa"/>
            <w:tcBorders>
              <w:top w:val="nil"/>
              <w:left w:val="nil"/>
              <w:bottom w:val="nil"/>
              <w:right w:val="single" w:sz="8" w:space="0" w:color="auto"/>
            </w:tcBorders>
            <w:shd w:val="clear" w:color="000000" w:fill="BFBFBF"/>
            <w:noWrap/>
            <w:vAlign w:val="center"/>
            <w:hideMark/>
          </w:tcPr>
          <w:p w14:paraId="3E9C35FB" w14:textId="77777777" w:rsidR="001A51EE" w:rsidRPr="00E56F9C" w:rsidRDefault="001A51EE" w:rsidP="001A51EE">
            <w:pPr>
              <w:keepNext w:val="0"/>
              <w:spacing w:before="0"/>
              <w:jc w:val="right"/>
              <w:rPr>
                <w:rFonts w:cs="Arial"/>
                <w:color w:val="004C98"/>
                <w:sz w:val="20"/>
              </w:rPr>
            </w:pPr>
            <w:r w:rsidRPr="00E56F9C">
              <w:rPr>
                <w:rFonts w:cs="Arial"/>
                <w:color w:val="004C98"/>
                <w:sz w:val="20"/>
              </w:rPr>
              <w:t>0</w:t>
            </w:r>
          </w:p>
        </w:tc>
        <w:tc>
          <w:tcPr>
            <w:tcW w:w="1225" w:type="dxa"/>
            <w:tcBorders>
              <w:top w:val="single" w:sz="4" w:space="0" w:color="auto"/>
              <w:left w:val="nil"/>
              <w:bottom w:val="nil"/>
              <w:right w:val="single" w:sz="4" w:space="0" w:color="auto"/>
            </w:tcBorders>
            <w:shd w:val="clear" w:color="000000" w:fill="BFBFBF"/>
            <w:noWrap/>
            <w:vAlign w:val="center"/>
            <w:hideMark/>
          </w:tcPr>
          <w:p w14:paraId="09CFAA50" w14:textId="77777777" w:rsidR="001A51EE" w:rsidRPr="00E56F9C" w:rsidRDefault="001A51EE" w:rsidP="001A51EE">
            <w:pPr>
              <w:keepNext w:val="0"/>
              <w:spacing w:before="0"/>
              <w:jc w:val="right"/>
              <w:rPr>
                <w:rFonts w:cs="Arial"/>
                <w:b/>
                <w:bCs/>
                <w:color w:val="004C98"/>
                <w:sz w:val="20"/>
              </w:rPr>
            </w:pPr>
            <w:r w:rsidRPr="00E56F9C">
              <w:rPr>
                <w:rFonts w:cs="Arial"/>
                <w:b/>
                <w:bCs/>
                <w:color w:val="004C98"/>
                <w:sz w:val="20"/>
              </w:rPr>
              <w:t>-5</w:t>
            </w:r>
          </w:p>
        </w:tc>
      </w:tr>
      <w:tr w:rsidR="001A51EE" w:rsidRPr="001A51EE" w14:paraId="0E2D2342" w14:textId="77777777" w:rsidTr="001A51EE">
        <w:trPr>
          <w:trHeight w:val="586"/>
        </w:trPr>
        <w:tc>
          <w:tcPr>
            <w:tcW w:w="3123" w:type="dxa"/>
            <w:tcBorders>
              <w:top w:val="single" w:sz="4" w:space="0" w:color="auto"/>
              <w:left w:val="single" w:sz="4" w:space="0" w:color="auto"/>
              <w:bottom w:val="nil"/>
              <w:right w:val="nil"/>
            </w:tcBorders>
            <w:shd w:val="clear" w:color="000000" w:fill="CC66FF"/>
            <w:vAlign w:val="center"/>
            <w:hideMark/>
          </w:tcPr>
          <w:p w14:paraId="7AECC597" w14:textId="77777777" w:rsidR="001A51EE" w:rsidRPr="00AE1C9F" w:rsidRDefault="001A51EE" w:rsidP="001A51EE">
            <w:pPr>
              <w:keepNext w:val="0"/>
              <w:spacing w:before="0"/>
              <w:rPr>
                <w:rFonts w:cs="Arial"/>
                <w:b/>
                <w:bCs/>
                <w:color w:val="002669"/>
                <w:sz w:val="20"/>
              </w:rPr>
            </w:pPr>
            <w:r w:rsidRPr="00AE1C9F">
              <w:rPr>
                <w:rFonts w:cs="Arial"/>
                <w:b/>
                <w:bCs/>
                <w:color w:val="002669"/>
                <w:sz w:val="20"/>
              </w:rPr>
              <w:t>Small site windfall allowance</w:t>
            </w:r>
          </w:p>
        </w:tc>
        <w:tc>
          <w:tcPr>
            <w:tcW w:w="1002" w:type="dxa"/>
            <w:tcBorders>
              <w:top w:val="nil"/>
              <w:left w:val="single" w:sz="4" w:space="0" w:color="auto"/>
              <w:bottom w:val="single" w:sz="4" w:space="0" w:color="auto"/>
              <w:right w:val="single" w:sz="4" w:space="0" w:color="auto"/>
            </w:tcBorders>
            <w:shd w:val="clear" w:color="000000" w:fill="CC66FF"/>
            <w:noWrap/>
            <w:vAlign w:val="center"/>
            <w:hideMark/>
          </w:tcPr>
          <w:p w14:paraId="68652EC2"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0</w:t>
            </w:r>
          </w:p>
        </w:tc>
        <w:tc>
          <w:tcPr>
            <w:tcW w:w="1002" w:type="dxa"/>
            <w:tcBorders>
              <w:top w:val="nil"/>
              <w:left w:val="nil"/>
              <w:bottom w:val="single" w:sz="4" w:space="0" w:color="auto"/>
              <w:right w:val="single" w:sz="8" w:space="0" w:color="auto"/>
            </w:tcBorders>
            <w:shd w:val="clear" w:color="000000" w:fill="CC66FF"/>
            <w:noWrap/>
            <w:vAlign w:val="center"/>
            <w:hideMark/>
          </w:tcPr>
          <w:p w14:paraId="0CBFC0E4"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0</w:t>
            </w:r>
          </w:p>
        </w:tc>
        <w:tc>
          <w:tcPr>
            <w:tcW w:w="1002" w:type="dxa"/>
            <w:tcBorders>
              <w:top w:val="nil"/>
              <w:left w:val="nil"/>
              <w:bottom w:val="single" w:sz="4" w:space="0" w:color="auto"/>
              <w:right w:val="nil"/>
            </w:tcBorders>
            <w:shd w:val="clear" w:color="000000" w:fill="CC66FF"/>
            <w:noWrap/>
            <w:vAlign w:val="center"/>
            <w:hideMark/>
          </w:tcPr>
          <w:p w14:paraId="33579A55"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0</w:t>
            </w:r>
          </w:p>
        </w:tc>
        <w:tc>
          <w:tcPr>
            <w:tcW w:w="1002" w:type="dxa"/>
            <w:tcBorders>
              <w:top w:val="nil"/>
              <w:left w:val="single" w:sz="4" w:space="0" w:color="auto"/>
              <w:bottom w:val="single" w:sz="4" w:space="0" w:color="auto"/>
              <w:right w:val="nil"/>
            </w:tcBorders>
            <w:shd w:val="clear" w:color="000000" w:fill="CC66FF"/>
            <w:noWrap/>
            <w:vAlign w:val="center"/>
            <w:hideMark/>
          </w:tcPr>
          <w:p w14:paraId="42C88EDD"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0</w:t>
            </w:r>
          </w:p>
        </w:tc>
        <w:tc>
          <w:tcPr>
            <w:tcW w:w="1002" w:type="dxa"/>
            <w:tcBorders>
              <w:top w:val="nil"/>
              <w:left w:val="single" w:sz="4" w:space="0" w:color="auto"/>
              <w:bottom w:val="single" w:sz="4" w:space="0" w:color="auto"/>
              <w:right w:val="single" w:sz="4" w:space="0" w:color="auto"/>
            </w:tcBorders>
            <w:shd w:val="clear" w:color="000000" w:fill="CC66FF"/>
            <w:noWrap/>
            <w:vAlign w:val="center"/>
            <w:hideMark/>
          </w:tcPr>
          <w:p w14:paraId="231D81EA"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0</w:t>
            </w:r>
          </w:p>
        </w:tc>
        <w:tc>
          <w:tcPr>
            <w:tcW w:w="1002" w:type="dxa"/>
            <w:tcBorders>
              <w:top w:val="nil"/>
              <w:left w:val="nil"/>
              <w:bottom w:val="single" w:sz="4" w:space="0" w:color="auto"/>
              <w:right w:val="single" w:sz="4" w:space="0" w:color="auto"/>
            </w:tcBorders>
            <w:shd w:val="clear" w:color="000000" w:fill="CC66FF"/>
            <w:noWrap/>
            <w:vAlign w:val="center"/>
            <w:hideMark/>
          </w:tcPr>
          <w:p w14:paraId="3E0DA861"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nil"/>
              <w:left w:val="nil"/>
              <w:bottom w:val="single" w:sz="4" w:space="0" w:color="auto"/>
              <w:right w:val="single" w:sz="8" w:space="0" w:color="auto"/>
            </w:tcBorders>
            <w:shd w:val="clear" w:color="000000" w:fill="CC66FF"/>
            <w:noWrap/>
            <w:vAlign w:val="center"/>
            <w:hideMark/>
          </w:tcPr>
          <w:p w14:paraId="2D0157D2"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nil"/>
              <w:left w:val="nil"/>
              <w:bottom w:val="single" w:sz="4" w:space="0" w:color="auto"/>
              <w:right w:val="nil"/>
            </w:tcBorders>
            <w:shd w:val="clear" w:color="000000" w:fill="CC66FF"/>
            <w:noWrap/>
            <w:vAlign w:val="center"/>
            <w:hideMark/>
          </w:tcPr>
          <w:p w14:paraId="2792F12D"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single" w:sz="4" w:space="0" w:color="auto"/>
              <w:left w:val="single" w:sz="4" w:space="0" w:color="auto"/>
              <w:bottom w:val="nil"/>
              <w:right w:val="nil"/>
            </w:tcBorders>
            <w:shd w:val="clear" w:color="000000" w:fill="CC66FF"/>
            <w:noWrap/>
            <w:vAlign w:val="center"/>
            <w:hideMark/>
          </w:tcPr>
          <w:p w14:paraId="4B3B15AD"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single" w:sz="4" w:space="0" w:color="auto"/>
              <w:left w:val="single" w:sz="4" w:space="0" w:color="auto"/>
              <w:bottom w:val="nil"/>
              <w:right w:val="single" w:sz="4" w:space="0" w:color="auto"/>
            </w:tcBorders>
            <w:shd w:val="clear" w:color="000000" w:fill="CC66FF"/>
            <w:noWrap/>
            <w:vAlign w:val="center"/>
            <w:hideMark/>
          </w:tcPr>
          <w:p w14:paraId="34BB6EE1"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single" w:sz="4" w:space="0" w:color="auto"/>
              <w:left w:val="nil"/>
              <w:bottom w:val="nil"/>
              <w:right w:val="single" w:sz="4" w:space="0" w:color="auto"/>
            </w:tcBorders>
            <w:shd w:val="clear" w:color="000000" w:fill="CC66FF"/>
            <w:noWrap/>
            <w:vAlign w:val="center"/>
            <w:hideMark/>
          </w:tcPr>
          <w:p w14:paraId="15999032"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single" w:sz="4" w:space="0" w:color="auto"/>
              <w:left w:val="nil"/>
              <w:bottom w:val="nil"/>
              <w:right w:val="single" w:sz="8" w:space="0" w:color="auto"/>
            </w:tcBorders>
            <w:shd w:val="clear" w:color="000000" w:fill="CC66FF"/>
            <w:noWrap/>
            <w:vAlign w:val="center"/>
            <w:hideMark/>
          </w:tcPr>
          <w:p w14:paraId="3F3D9B91"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single" w:sz="4" w:space="0" w:color="auto"/>
              <w:left w:val="nil"/>
              <w:bottom w:val="nil"/>
              <w:right w:val="nil"/>
            </w:tcBorders>
            <w:shd w:val="clear" w:color="000000" w:fill="CC66FF"/>
            <w:noWrap/>
            <w:vAlign w:val="center"/>
            <w:hideMark/>
          </w:tcPr>
          <w:p w14:paraId="3985D581"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single" w:sz="4" w:space="0" w:color="auto"/>
              <w:left w:val="single" w:sz="4" w:space="0" w:color="auto"/>
              <w:bottom w:val="nil"/>
              <w:right w:val="nil"/>
            </w:tcBorders>
            <w:shd w:val="clear" w:color="000000" w:fill="CC66FF"/>
            <w:noWrap/>
            <w:vAlign w:val="center"/>
            <w:hideMark/>
          </w:tcPr>
          <w:p w14:paraId="5E5C88CF"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single" w:sz="4" w:space="0" w:color="auto"/>
              <w:left w:val="single" w:sz="4" w:space="0" w:color="auto"/>
              <w:bottom w:val="nil"/>
              <w:right w:val="single" w:sz="4" w:space="0" w:color="auto"/>
            </w:tcBorders>
            <w:shd w:val="clear" w:color="000000" w:fill="CC66FF"/>
            <w:noWrap/>
            <w:vAlign w:val="center"/>
            <w:hideMark/>
          </w:tcPr>
          <w:p w14:paraId="1EF949F6"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single" w:sz="4" w:space="0" w:color="auto"/>
              <w:left w:val="nil"/>
              <w:bottom w:val="nil"/>
              <w:right w:val="single" w:sz="4" w:space="0" w:color="auto"/>
            </w:tcBorders>
            <w:shd w:val="clear" w:color="000000" w:fill="CC66FF"/>
            <w:noWrap/>
            <w:vAlign w:val="center"/>
            <w:hideMark/>
          </w:tcPr>
          <w:p w14:paraId="5C973742"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002" w:type="dxa"/>
            <w:tcBorders>
              <w:top w:val="single" w:sz="4" w:space="0" w:color="auto"/>
              <w:left w:val="nil"/>
              <w:bottom w:val="nil"/>
              <w:right w:val="single" w:sz="8" w:space="0" w:color="auto"/>
            </w:tcBorders>
            <w:shd w:val="clear" w:color="000000" w:fill="CC66FF"/>
            <w:noWrap/>
            <w:vAlign w:val="center"/>
            <w:hideMark/>
          </w:tcPr>
          <w:p w14:paraId="302FD776" w14:textId="77777777" w:rsidR="001A51EE" w:rsidRPr="00AE1C9F" w:rsidRDefault="001A51EE" w:rsidP="001A51EE">
            <w:pPr>
              <w:keepNext w:val="0"/>
              <w:spacing w:before="0"/>
              <w:jc w:val="right"/>
              <w:rPr>
                <w:rFonts w:cs="Arial"/>
                <w:color w:val="002669"/>
                <w:sz w:val="20"/>
              </w:rPr>
            </w:pPr>
            <w:r w:rsidRPr="00AE1C9F">
              <w:rPr>
                <w:rFonts w:cs="Arial"/>
                <w:color w:val="002669"/>
                <w:sz w:val="20"/>
              </w:rPr>
              <w:t>91</w:t>
            </w:r>
          </w:p>
        </w:tc>
        <w:tc>
          <w:tcPr>
            <w:tcW w:w="1225" w:type="dxa"/>
            <w:tcBorders>
              <w:top w:val="single" w:sz="4" w:space="0" w:color="auto"/>
              <w:left w:val="nil"/>
              <w:bottom w:val="nil"/>
              <w:right w:val="single" w:sz="4" w:space="0" w:color="auto"/>
            </w:tcBorders>
            <w:shd w:val="clear" w:color="000000" w:fill="CC66FF"/>
            <w:noWrap/>
            <w:vAlign w:val="center"/>
            <w:hideMark/>
          </w:tcPr>
          <w:p w14:paraId="3669A6B4" w14:textId="77777777" w:rsidR="001A51EE" w:rsidRPr="00AE1C9F" w:rsidRDefault="001A51EE" w:rsidP="001A51EE">
            <w:pPr>
              <w:keepNext w:val="0"/>
              <w:spacing w:before="0"/>
              <w:jc w:val="right"/>
              <w:rPr>
                <w:rFonts w:cs="Arial"/>
                <w:b/>
                <w:bCs/>
                <w:color w:val="002669"/>
                <w:sz w:val="20"/>
              </w:rPr>
            </w:pPr>
            <w:r w:rsidRPr="00AE1C9F">
              <w:rPr>
                <w:rFonts w:cs="Arial"/>
                <w:b/>
                <w:bCs/>
                <w:color w:val="002669"/>
                <w:sz w:val="20"/>
              </w:rPr>
              <w:t>1,092</w:t>
            </w:r>
          </w:p>
        </w:tc>
      </w:tr>
      <w:tr w:rsidR="001A51EE" w:rsidRPr="001A51EE" w14:paraId="0AE9A803" w14:textId="77777777" w:rsidTr="001A51EE">
        <w:trPr>
          <w:trHeight w:val="586"/>
        </w:trPr>
        <w:tc>
          <w:tcPr>
            <w:tcW w:w="3123" w:type="dxa"/>
            <w:tcBorders>
              <w:top w:val="single" w:sz="4" w:space="0" w:color="auto"/>
              <w:left w:val="single" w:sz="4" w:space="0" w:color="auto"/>
              <w:bottom w:val="nil"/>
              <w:right w:val="nil"/>
            </w:tcBorders>
            <w:shd w:val="clear" w:color="000000" w:fill="FFFFFF"/>
            <w:vAlign w:val="center"/>
            <w:hideMark/>
          </w:tcPr>
          <w:p w14:paraId="74AE429C" w14:textId="77777777" w:rsidR="001A51EE" w:rsidRPr="001A51EE" w:rsidRDefault="001A51EE" w:rsidP="001A51EE">
            <w:pPr>
              <w:keepNext w:val="0"/>
              <w:spacing w:before="0"/>
              <w:rPr>
                <w:rFonts w:cs="Arial"/>
                <w:b/>
                <w:bCs/>
                <w:color w:val="0070C0"/>
                <w:sz w:val="20"/>
              </w:rPr>
            </w:pPr>
            <w:r w:rsidRPr="001A51EE">
              <w:rPr>
                <w:rFonts w:cs="Arial"/>
                <w:b/>
                <w:bCs/>
                <w:color w:val="0070C0"/>
                <w:sz w:val="20"/>
              </w:rPr>
              <w:t>Cumulative Completions</w:t>
            </w:r>
          </w:p>
        </w:tc>
        <w:tc>
          <w:tcPr>
            <w:tcW w:w="1002" w:type="dxa"/>
            <w:tcBorders>
              <w:top w:val="nil"/>
              <w:left w:val="single" w:sz="4" w:space="0" w:color="auto"/>
              <w:bottom w:val="nil"/>
              <w:right w:val="single" w:sz="4" w:space="0" w:color="auto"/>
            </w:tcBorders>
            <w:noWrap/>
            <w:vAlign w:val="center"/>
            <w:hideMark/>
          </w:tcPr>
          <w:p w14:paraId="5C3E5E3F"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452</w:t>
            </w:r>
          </w:p>
        </w:tc>
        <w:tc>
          <w:tcPr>
            <w:tcW w:w="1002" w:type="dxa"/>
            <w:tcBorders>
              <w:top w:val="nil"/>
              <w:left w:val="nil"/>
              <w:bottom w:val="nil"/>
              <w:right w:val="single" w:sz="8" w:space="0" w:color="auto"/>
            </w:tcBorders>
            <w:noWrap/>
            <w:vAlign w:val="center"/>
            <w:hideMark/>
          </w:tcPr>
          <w:p w14:paraId="5FB26F3A"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907</w:t>
            </w:r>
          </w:p>
        </w:tc>
        <w:tc>
          <w:tcPr>
            <w:tcW w:w="1002" w:type="dxa"/>
            <w:tcBorders>
              <w:top w:val="nil"/>
              <w:left w:val="nil"/>
              <w:bottom w:val="nil"/>
              <w:right w:val="nil"/>
            </w:tcBorders>
            <w:noWrap/>
            <w:vAlign w:val="center"/>
            <w:hideMark/>
          </w:tcPr>
          <w:p w14:paraId="5B61E3D4"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1,517</w:t>
            </w:r>
          </w:p>
        </w:tc>
        <w:tc>
          <w:tcPr>
            <w:tcW w:w="1002" w:type="dxa"/>
            <w:tcBorders>
              <w:top w:val="nil"/>
              <w:left w:val="single" w:sz="4" w:space="0" w:color="auto"/>
              <w:bottom w:val="nil"/>
              <w:right w:val="nil"/>
            </w:tcBorders>
            <w:noWrap/>
            <w:vAlign w:val="center"/>
            <w:hideMark/>
          </w:tcPr>
          <w:p w14:paraId="556E1B19"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2,104</w:t>
            </w:r>
          </w:p>
        </w:tc>
        <w:tc>
          <w:tcPr>
            <w:tcW w:w="1002" w:type="dxa"/>
            <w:tcBorders>
              <w:top w:val="nil"/>
              <w:left w:val="single" w:sz="4" w:space="0" w:color="auto"/>
              <w:bottom w:val="nil"/>
              <w:right w:val="single" w:sz="4" w:space="0" w:color="auto"/>
            </w:tcBorders>
            <w:noWrap/>
            <w:vAlign w:val="center"/>
            <w:hideMark/>
          </w:tcPr>
          <w:p w14:paraId="7C127B2D"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2,705</w:t>
            </w:r>
          </w:p>
        </w:tc>
        <w:tc>
          <w:tcPr>
            <w:tcW w:w="1002" w:type="dxa"/>
            <w:tcBorders>
              <w:top w:val="nil"/>
              <w:left w:val="nil"/>
              <w:bottom w:val="nil"/>
              <w:right w:val="single" w:sz="4" w:space="0" w:color="auto"/>
            </w:tcBorders>
            <w:noWrap/>
            <w:vAlign w:val="center"/>
            <w:hideMark/>
          </w:tcPr>
          <w:p w14:paraId="6C0C592B"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3,280</w:t>
            </w:r>
          </w:p>
        </w:tc>
        <w:tc>
          <w:tcPr>
            <w:tcW w:w="1002" w:type="dxa"/>
            <w:tcBorders>
              <w:top w:val="nil"/>
              <w:left w:val="nil"/>
              <w:bottom w:val="nil"/>
              <w:right w:val="single" w:sz="8" w:space="0" w:color="auto"/>
            </w:tcBorders>
            <w:noWrap/>
            <w:vAlign w:val="center"/>
            <w:hideMark/>
          </w:tcPr>
          <w:p w14:paraId="30C5AF26"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3,757</w:t>
            </w:r>
          </w:p>
        </w:tc>
        <w:tc>
          <w:tcPr>
            <w:tcW w:w="1002" w:type="dxa"/>
            <w:tcBorders>
              <w:top w:val="nil"/>
              <w:left w:val="nil"/>
              <w:bottom w:val="nil"/>
              <w:right w:val="nil"/>
            </w:tcBorders>
            <w:noWrap/>
            <w:vAlign w:val="center"/>
            <w:hideMark/>
          </w:tcPr>
          <w:p w14:paraId="2ADD0745"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4,389</w:t>
            </w:r>
          </w:p>
        </w:tc>
        <w:tc>
          <w:tcPr>
            <w:tcW w:w="1002" w:type="dxa"/>
            <w:tcBorders>
              <w:top w:val="single" w:sz="4" w:space="0" w:color="auto"/>
              <w:left w:val="single" w:sz="4" w:space="0" w:color="auto"/>
              <w:bottom w:val="nil"/>
              <w:right w:val="nil"/>
            </w:tcBorders>
            <w:noWrap/>
            <w:vAlign w:val="center"/>
            <w:hideMark/>
          </w:tcPr>
          <w:p w14:paraId="7C6C99F6"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4,992</w:t>
            </w:r>
          </w:p>
        </w:tc>
        <w:tc>
          <w:tcPr>
            <w:tcW w:w="1002" w:type="dxa"/>
            <w:tcBorders>
              <w:top w:val="single" w:sz="4" w:space="0" w:color="auto"/>
              <w:left w:val="single" w:sz="4" w:space="0" w:color="auto"/>
              <w:bottom w:val="nil"/>
              <w:right w:val="single" w:sz="4" w:space="0" w:color="auto"/>
            </w:tcBorders>
            <w:noWrap/>
            <w:vAlign w:val="center"/>
            <w:hideMark/>
          </w:tcPr>
          <w:p w14:paraId="6D5B5F89"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5,569</w:t>
            </w:r>
          </w:p>
        </w:tc>
        <w:tc>
          <w:tcPr>
            <w:tcW w:w="1002" w:type="dxa"/>
            <w:tcBorders>
              <w:top w:val="single" w:sz="4" w:space="0" w:color="auto"/>
              <w:left w:val="nil"/>
              <w:bottom w:val="nil"/>
              <w:right w:val="single" w:sz="4" w:space="0" w:color="auto"/>
            </w:tcBorders>
            <w:noWrap/>
            <w:vAlign w:val="center"/>
            <w:hideMark/>
          </w:tcPr>
          <w:p w14:paraId="656CFDA2"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6,186</w:t>
            </w:r>
          </w:p>
        </w:tc>
        <w:tc>
          <w:tcPr>
            <w:tcW w:w="1002" w:type="dxa"/>
            <w:tcBorders>
              <w:top w:val="single" w:sz="4" w:space="0" w:color="auto"/>
              <w:left w:val="nil"/>
              <w:bottom w:val="nil"/>
              <w:right w:val="single" w:sz="8" w:space="0" w:color="auto"/>
            </w:tcBorders>
            <w:noWrap/>
            <w:vAlign w:val="center"/>
            <w:hideMark/>
          </w:tcPr>
          <w:p w14:paraId="214B1B3A"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6,779</w:t>
            </w:r>
          </w:p>
        </w:tc>
        <w:tc>
          <w:tcPr>
            <w:tcW w:w="1002" w:type="dxa"/>
            <w:tcBorders>
              <w:top w:val="single" w:sz="4" w:space="0" w:color="auto"/>
              <w:left w:val="nil"/>
              <w:bottom w:val="nil"/>
              <w:right w:val="nil"/>
            </w:tcBorders>
            <w:noWrap/>
            <w:vAlign w:val="center"/>
            <w:hideMark/>
          </w:tcPr>
          <w:p w14:paraId="59603EB6"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7,258</w:t>
            </w:r>
          </w:p>
        </w:tc>
        <w:tc>
          <w:tcPr>
            <w:tcW w:w="1002" w:type="dxa"/>
            <w:tcBorders>
              <w:top w:val="single" w:sz="4" w:space="0" w:color="auto"/>
              <w:left w:val="single" w:sz="4" w:space="0" w:color="auto"/>
              <w:bottom w:val="nil"/>
              <w:right w:val="nil"/>
            </w:tcBorders>
            <w:noWrap/>
            <w:vAlign w:val="center"/>
            <w:hideMark/>
          </w:tcPr>
          <w:p w14:paraId="5C52A043"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7,611</w:t>
            </w:r>
          </w:p>
        </w:tc>
        <w:tc>
          <w:tcPr>
            <w:tcW w:w="1002" w:type="dxa"/>
            <w:tcBorders>
              <w:top w:val="single" w:sz="4" w:space="0" w:color="auto"/>
              <w:left w:val="single" w:sz="4" w:space="0" w:color="auto"/>
              <w:bottom w:val="nil"/>
              <w:right w:val="single" w:sz="4" w:space="0" w:color="auto"/>
            </w:tcBorders>
            <w:noWrap/>
            <w:vAlign w:val="center"/>
            <w:hideMark/>
          </w:tcPr>
          <w:p w14:paraId="68DB0381"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7,947</w:t>
            </w:r>
          </w:p>
        </w:tc>
        <w:tc>
          <w:tcPr>
            <w:tcW w:w="1002" w:type="dxa"/>
            <w:tcBorders>
              <w:top w:val="single" w:sz="4" w:space="0" w:color="auto"/>
              <w:left w:val="nil"/>
              <w:bottom w:val="nil"/>
              <w:right w:val="single" w:sz="4" w:space="0" w:color="auto"/>
            </w:tcBorders>
            <w:noWrap/>
            <w:vAlign w:val="center"/>
            <w:hideMark/>
          </w:tcPr>
          <w:p w14:paraId="35224B8C"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8,151</w:t>
            </w:r>
          </w:p>
        </w:tc>
        <w:tc>
          <w:tcPr>
            <w:tcW w:w="1002" w:type="dxa"/>
            <w:tcBorders>
              <w:top w:val="single" w:sz="4" w:space="0" w:color="auto"/>
              <w:left w:val="nil"/>
              <w:bottom w:val="nil"/>
              <w:right w:val="single" w:sz="8" w:space="0" w:color="auto"/>
            </w:tcBorders>
            <w:noWrap/>
            <w:vAlign w:val="center"/>
            <w:hideMark/>
          </w:tcPr>
          <w:p w14:paraId="7FB911F9"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8,312</w:t>
            </w:r>
          </w:p>
        </w:tc>
        <w:tc>
          <w:tcPr>
            <w:tcW w:w="1225" w:type="dxa"/>
            <w:tcBorders>
              <w:top w:val="single" w:sz="4" w:space="0" w:color="auto"/>
              <w:left w:val="nil"/>
              <w:bottom w:val="single" w:sz="4" w:space="0" w:color="auto"/>
              <w:right w:val="single" w:sz="4" w:space="0" w:color="auto"/>
            </w:tcBorders>
            <w:noWrap/>
            <w:vAlign w:val="center"/>
            <w:hideMark/>
          </w:tcPr>
          <w:p w14:paraId="79F36EAC"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8,312</w:t>
            </w:r>
          </w:p>
        </w:tc>
      </w:tr>
      <w:tr w:rsidR="001A51EE" w:rsidRPr="001A51EE" w14:paraId="2FF090AA" w14:textId="77777777" w:rsidTr="001A51EE">
        <w:trPr>
          <w:trHeight w:val="497"/>
        </w:trPr>
        <w:tc>
          <w:tcPr>
            <w:tcW w:w="3123" w:type="dxa"/>
            <w:tcBorders>
              <w:top w:val="single" w:sz="4" w:space="0" w:color="auto"/>
              <w:left w:val="single" w:sz="4" w:space="0" w:color="auto"/>
              <w:bottom w:val="single" w:sz="4" w:space="0" w:color="auto"/>
              <w:right w:val="nil"/>
            </w:tcBorders>
            <w:vAlign w:val="center"/>
            <w:hideMark/>
          </w:tcPr>
          <w:p w14:paraId="40DF2161" w14:textId="77777777" w:rsidR="001A51EE" w:rsidRPr="001A51EE" w:rsidRDefault="001A51EE" w:rsidP="001A51EE">
            <w:pPr>
              <w:keepNext w:val="0"/>
              <w:spacing w:before="0"/>
              <w:rPr>
                <w:rFonts w:cs="Arial"/>
                <w:b/>
                <w:bCs/>
                <w:color w:val="0070C0"/>
                <w:sz w:val="20"/>
              </w:rPr>
            </w:pPr>
            <w:r w:rsidRPr="001A51EE">
              <w:rPr>
                <w:rFonts w:cs="Arial"/>
                <w:b/>
                <w:bCs/>
                <w:color w:val="0070C0"/>
                <w:sz w:val="20"/>
              </w:rPr>
              <w:t>PLAN</w:t>
            </w:r>
            <w:r w:rsidRPr="001A51EE">
              <w:rPr>
                <w:rFonts w:cs="Arial"/>
                <w:color w:val="0070C0"/>
                <w:sz w:val="20"/>
              </w:rPr>
              <w:t xml:space="preserve"> - Annual requirement</w:t>
            </w:r>
          </w:p>
        </w:tc>
        <w:tc>
          <w:tcPr>
            <w:tcW w:w="1002" w:type="dxa"/>
            <w:tcBorders>
              <w:top w:val="single" w:sz="4" w:space="0" w:color="auto"/>
              <w:left w:val="single" w:sz="4" w:space="0" w:color="auto"/>
              <w:bottom w:val="single" w:sz="4" w:space="0" w:color="auto"/>
              <w:right w:val="single" w:sz="4" w:space="0" w:color="auto"/>
            </w:tcBorders>
            <w:noWrap/>
            <w:vAlign w:val="center"/>
            <w:hideMark/>
          </w:tcPr>
          <w:p w14:paraId="4B10591C"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single" w:sz="8" w:space="0" w:color="auto"/>
            </w:tcBorders>
            <w:noWrap/>
            <w:vAlign w:val="center"/>
            <w:hideMark/>
          </w:tcPr>
          <w:p w14:paraId="4D375CF7"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nil"/>
            </w:tcBorders>
            <w:noWrap/>
            <w:vAlign w:val="center"/>
            <w:hideMark/>
          </w:tcPr>
          <w:p w14:paraId="5FF648BE"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single" w:sz="4" w:space="0" w:color="auto"/>
              <w:bottom w:val="single" w:sz="4" w:space="0" w:color="auto"/>
              <w:right w:val="nil"/>
            </w:tcBorders>
            <w:noWrap/>
            <w:vAlign w:val="center"/>
            <w:hideMark/>
          </w:tcPr>
          <w:p w14:paraId="06519923"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single" w:sz="4" w:space="0" w:color="auto"/>
              <w:bottom w:val="single" w:sz="4" w:space="0" w:color="auto"/>
              <w:right w:val="single" w:sz="4" w:space="0" w:color="auto"/>
            </w:tcBorders>
            <w:noWrap/>
            <w:vAlign w:val="center"/>
            <w:hideMark/>
          </w:tcPr>
          <w:p w14:paraId="036C8DB7"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single" w:sz="4" w:space="0" w:color="auto"/>
            </w:tcBorders>
            <w:noWrap/>
            <w:vAlign w:val="center"/>
            <w:hideMark/>
          </w:tcPr>
          <w:p w14:paraId="76854938"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single" w:sz="8" w:space="0" w:color="auto"/>
            </w:tcBorders>
            <w:noWrap/>
            <w:vAlign w:val="center"/>
            <w:hideMark/>
          </w:tcPr>
          <w:p w14:paraId="7256DBD5"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single" w:sz="4" w:space="0" w:color="auto"/>
            </w:tcBorders>
            <w:noWrap/>
            <w:vAlign w:val="center"/>
            <w:hideMark/>
          </w:tcPr>
          <w:p w14:paraId="093C6934"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nil"/>
            </w:tcBorders>
            <w:noWrap/>
            <w:vAlign w:val="center"/>
            <w:hideMark/>
          </w:tcPr>
          <w:p w14:paraId="6D9C95E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single" w:sz="4" w:space="0" w:color="auto"/>
              <w:bottom w:val="single" w:sz="4" w:space="0" w:color="auto"/>
              <w:right w:val="single" w:sz="4" w:space="0" w:color="auto"/>
            </w:tcBorders>
            <w:noWrap/>
            <w:vAlign w:val="center"/>
            <w:hideMark/>
          </w:tcPr>
          <w:p w14:paraId="2B2EB61A"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single" w:sz="4" w:space="0" w:color="auto"/>
            </w:tcBorders>
            <w:noWrap/>
            <w:vAlign w:val="center"/>
            <w:hideMark/>
          </w:tcPr>
          <w:p w14:paraId="3A0CC382"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single" w:sz="8" w:space="0" w:color="auto"/>
            </w:tcBorders>
            <w:noWrap/>
            <w:vAlign w:val="center"/>
            <w:hideMark/>
          </w:tcPr>
          <w:p w14:paraId="16B537AF"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single" w:sz="4" w:space="0" w:color="auto"/>
            </w:tcBorders>
            <w:noWrap/>
            <w:vAlign w:val="center"/>
            <w:hideMark/>
          </w:tcPr>
          <w:p w14:paraId="4125E5CD"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nil"/>
            </w:tcBorders>
            <w:noWrap/>
            <w:vAlign w:val="center"/>
            <w:hideMark/>
          </w:tcPr>
          <w:p w14:paraId="65EDD046"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single" w:sz="4" w:space="0" w:color="auto"/>
              <w:bottom w:val="single" w:sz="4" w:space="0" w:color="auto"/>
              <w:right w:val="single" w:sz="4" w:space="0" w:color="auto"/>
            </w:tcBorders>
            <w:noWrap/>
            <w:vAlign w:val="center"/>
            <w:hideMark/>
          </w:tcPr>
          <w:p w14:paraId="6F5BEF5C"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single" w:sz="4" w:space="0" w:color="auto"/>
            </w:tcBorders>
            <w:noWrap/>
            <w:vAlign w:val="center"/>
            <w:hideMark/>
          </w:tcPr>
          <w:p w14:paraId="34FA85C6"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single" w:sz="4" w:space="0" w:color="auto"/>
              <w:left w:val="nil"/>
              <w:bottom w:val="single" w:sz="4" w:space="0" w:color="auto"/>
              <w:right w:val="single" w:sz="8" w:space="0" w:color="auto"/>
            </w:tcBorders>
            <w:noWrap/>
            <w:vAlign w:val="center"/>
            <w:hideMark/>
          </w:tcPr>
          <w:p w14:paraId="09EABF65"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225" w:type="dxa"/>
            <w:tcBorders>
              <w:top w:val="nil"/>
              <w:left w:val="nil"/>
              <w:bottom w:val="single" w:sz="4" w:space="0" w:color="auto"/>
              <w:right w:val="single" w:sz="4" w:space="0" w:color="auto"/>
            </w:tcBorders>
            <w:noWrap/>
            <w:vAlign w:val="center"/>
            <w:hideMark/>
          </w:tcPr>
          <w:p w14:paraId="0DBD3D97"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7,582</w:t>
            </w:r>
          </w:p>
        </w:tc>
      </w:tr>
      <w:tr w:rsidR="001A51EE" w:rsidRPr="001A51EE" w14:paraId="16F719D1" w14:textId="77777777" w:rsidTr="001A51EE">
        <w:trPr>
          <w:trHeight w:val="462"/>
        </w:trPr>
        <w:tc>
          <w:tcPr>
            <w:tcW w:w="3123" w:type="dxa"/>
            <w:tcBorders>
              <w:top w:val="nil"/>
              <w:left w:val="single" w:sz="4" w:space="0" w:color="auto"/>
              <w:bottom w:val="single" w:sz="4" w:space="0" w:color="auto"/>
              <w:right w:val="nil"/>
            </w:tcBorders>
            <w:vAlign w:val="center"/>
            <w:hideMark/>
          </w:tcPr>
          <w:p w14:paraId="3AEA962F" w14:textId="77777777" w:rsidR="001A51EE" w:rsidRPr="001A51EE" w:rsidRDefault="001A51EE" w:rsidP="001A51EE">
            <w:pPr>
              <w:keepNext w:val="0"/>
              <w:spacing w:before="0"/>
              <w:rPr>
                <w:rFonts w:cs="Arial"/>
                <w:color w:val="0070C0"/>
                <w:sz w:val="20"/>
              </w:rPr>
            </w:pPr>
            <w:r w:rsidRPr="001A51EE">
              <w:rPr>
                <w:rFonts w:cs="Arial"/>
                <w:color w:val="0070C0"/>
                <w:sz w:val="20"/>
              </w:rPr>
              <w:t>PLAN - Cumulative requirement</w:t>
            </w:r>
          </w:p>
        </w:tc>
        <w:tc>
          <w:tcPr>
            <w:tcW w:w="1002" w:type="dxa"/>
            <w:tcBorders>
              <w:top w:val="nil"/>
              <w:left w:val="single" w:sz="4" w:space="0" w:color="auto"/>
              <w:bottom w:val="single" w:sz="4" w:space="0" w:color="auto"/>
              <w:right w:val="single" w:sz="4" w:space="0" w:color="auto"/>
            </w:tcBorders>
            <w:noWrap/>
            <w:vAlign w:val="center"/>
            <w:hideMark/>
          </w:tcPr>
          <w:p w14:paraId="54906D67"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w:t>
            </w:r>
          </w:p>
        </w:tc>
        <w:tc>
          <w:tcPr>
            <w:tcW w:w="1002" w:type="dxa"/>
            <w:tcBorders>
              <w:top w:val="nil"/>
              <w:left w:val="nil"/>
              <w:bottom w:val="single" w:sz="4" w:space="0" w:color="auto"/>
              <w:right w:val="single" w:sz="8" w:space="0" w:color="auto"/>
            </w:tcBorders>
            <w:noWrap/>
            <w:vAlign w:val="center"/>
            <w:hideMark/>
          </w:tcPr>
          <w:p w14:paraId="43C1EA93"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892</w:t>
            </w:r>
          </w:p>
        </w:tc>
        <w:tc>
          <w:tcPr>
            <w:tcW w:w="1002" w:type="dxa"/>
            <w:tcBorders>
              <w:top w:val="nil"/>
              <w:left w:val="nil"/>
              <w:bottom w:val="single" w:sz="4" w:space="0" w:color="auto"/>
              <w:right w:val="nil"/>
            </w:tcBorders>
            <w:noWrap/>
            <w:vAlign w:val="center"/>
            <w:hideMark/>
          </w:tcPr>
          <w:p w14:paraId="0150E14C"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1,338</w:t>
            </w:r>
          </w:p>
        </w:tc>
        <w:tc>
          <w:tcPr>
            <w:tcW w:w="1002" w:type="dxa"/>
            <w:tcBorders>
              <w:top w:val="nil"/>
              <w:left w:val="single" w:sz="4" w:space="0" w:color="auto"/>
              <w:bottom w:val="single" w:sz="4" w:space="0" w:color="auto"/>
              <w:right w:val="nil"/>
            </w:tcBorders>
            <w:noWrap/>
            <w:vAlign w:val="center"/>
            <w:hideMark/>
          </w:tcPr>
          <w:p w14:paraId="16DFD69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1,784</w:t>
            </w:r>
          </w:p>
        </w:tc>
        <w:tc>
          <w:tcPr>
            <w:tcW w:w="1002" w:type="dxa"/>
            <w:tcBorders>
              <w:top w:val="nil"/>
              <w:left w:val="single" w:sz="4" w:space="0" w:color="auto"/>
              <w:bottom w:val="single" w:sz="4" w:space="0" w:color="auto"/>
              <w:right w:val="single" w:sz="4" w:space="0" w:color="auto"/>
            </w:tcBorders>
            <w:noWrap/>
            <w:vAlign w:val="center"/>
            <w:hideMark/>
          </w:tcPr>
          <w:p w14:paraId="2436FD66"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2,230</w:t>
            </w:r>
          </w:p>
        </w:tc>
        <w:tc>
          <w:tcPr>
            <w:tcW w:w="1002" w:type="dxa"/>
            <w:tcBorders>
              <w:top w:val="nil"/>
              <w:left w:val="nil"/>
              <w:bottom w:val="single" w:sz="4" w:space="0" w:color="auto"/>
              <w:right w:val="single" w:sz="4" w:space="0" w:color="auto"/>
            </w:tcBorders>
            <w:noWrap/>
            <w:vAlign w:val="center"/>
            <w:hideMark/>
          </w:tcPr>
          <w:p w14:paraId="6CA4020A"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2,676</w:t>
            </w:r>
          </w:p>
        </w:tc>
        <w:tc>
          <w:tcPr>
            <w:tcW w:w="1002" w:type="dxa"/>
            <w:tcBorders>
              <w:top w:val="nil"/>
              <w:left w:val="nil"/>
              <w:bottom w:val="single" w:sz="4" w:space="0" w:color="auto"/>
              <w:right w:val="single" w:sz="8" w:space="0" w:color="auto"/>
            </w:tcBorders>
            <w:noWrap/>
            <w:vAlign w:val="center"/>
            <w:hideMark/>
          </w:tcPr>
          <w:p w14:paraId="6AEF22DE"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3,122</w:t>
            </w:r>
          </w:p>
        </w:tc>
        <w:tc>
          <w:tcPr>
            <w:tcW w:w="1002" w:type="dxa"/>
            <w:tcBorders>
              <w:top w:val="nil"/>
              <w:left w:val="nil"/>
              <w:bottom w:val="single" w:sz="4" w:space="0" w:color="auto"/>
              <w:right w:val="nil"/>
            </w:tcBorders>
            <w:noWrap/>
            <w:vAlign w:val="center"/>
            <w:hideMark/>
          </w:tcPr>
          <w:p w14:paraId="73199029"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3,568</w:t>
            </w:r>
          </w:p>
        </w:tc>
        <w:tc>
          <w:tcPr>
            <w:tcW w:w="1002" w:type="dxa"/>
            <w:tcBorders>
              <w:top w:val="nil"/>
              <w:left w:val="single" w:sz="4" w:space="0" w:color="auto"/>
              <w:bottom w:val="single" w:sz="4" w:space="0" w:color="auto"/>
              <w:right w:val="nil"/>
            </w:tcBorders>
            <w:noWrap/>
            <w:vAlign w:val="center"/>
            <w:hideMark/>
          </w:tcPr>
          <w:p w14:paraId="36BC7C4A"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4,014</w:t>
            </w:r>
          </w:p>
        </w:tc>
        <w:tc>
          <w:tcPr>
            <w:tcW w:w="1002" w:type="dxa"/>
            <w:tcBorders>
              <w:top w:val="nil"/>
              <w:left w:val="single" w:sz="4" w:space="0" w:color="auto"/>
              <w:bottom w:val="single" w:sz="4" w:space="0" w:color="auto"/>
              <w:right w:val="single" w:sz="4" w:space="0" w:color="auto"/>
            </w:tcBorders>
            <w:noWrap/>
            <w:vAlign w:val="center"/>
            <w:hideMark/>
          </w:tcPr>
          <w:p w14:paraId="77F90569"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4,460</w:t>
            </w:r>
          </w:p>
        </w:tc>
        <w:tc>
          <w:tcPr>
            <w:tcW w:w="1002" w:type="dxa"/>
            <w:tcBorders>
              <w:top w:val="nil"/>
              <w:left w:val="nil"/>
              <w:bottom w:val="single" w:sz="4" w:space="0" w:color="auto"/>
              <w:right w:val="single" w:sz="4" w:space="0" w:color="auto"/>
            </w:tcBorders>
            <w:noWrap/>
            <w:vAlign w:val="center"/>
            <w:hideMark/>
          </w:tcPr>
          <w:p w14:paraId="275187E1"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4,906</w:t>
            </w:r>
          </w:p>
        </w:tc>
        <w:tc>
          <w:tcPr>
            <w:tcW w:w="1002" w:type="dxa"/>
            <w:tcBorders>
              <w:top w:val="nil"/>
              <w:left w:val="nil"/>
              <w:bottom w:val="single" w:sz="4" w:space="0" w:color="auto"/>
              <w:right w:val="single" w:sz="8" w:space="0" w:color="auto"/>
            </w:tcBorders>
            <w:noWrap/>
            <w:vAlign w:val="center"/>
            <w:hideMark/>
          </w:tcPr>
          <w:p w14:paraId="7DD68A97"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5,352</w:t>
            </w:r>
          </w:p>
        </w:tc>
        <w:tc>
          <w:tcPr>
            <w:tcW w:w="1002" w:type="dxa"/>
            <w:tcBorders>
              <w:top w:val="nil"/>
              <w:left w:val="nil"/>
              <w:bottom w:val="single" w:sz="4" w:space="0" w:color="auto"/>
              <w:right w:val="nil"/>
            </w:tcBorders>
            <w:noWrap/>
            <w:vAlign w:val="center"/>
            <w:hideMark/>
          </w:tcPr>
          <w:p w14:paraId="2A8FCA7A"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5,798</w:t>
            </w:r>
          </w:p>
        </w:tc>
        <w:tc>
          <w:tcPr>
            <w:tcW w:w="1002" w:type="dxa"/>
            <w:tcBorders>
              <w:top w:val="nil"/>
              <w:left w:val="single" w:sz="4" w:space="0" w:color="auto"/>
              <w:bottom w:val="single" w:sz="4" w:space="0" w:color="auto"/>
              <w:right w:val="nil"/>
            </w:tcBorders>
            <w:noWrap/>
            <w:vAlign w:val="center"/>
            <w:hideMark/>
          </w:tcPr>
          <w:p w14:paraId="69577B77"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6,244</w:t>
            </w:r>
          </w:p>
        </w:tc>
        <w:tc>
          <w:tcPr>
            <w:tcW w:w="1002" w:type="dxa"/>
            <w:tcBorders>
              <w:top w:val="nil"/>
              <w:left w:val="single" w:sz="4" w:space="0" w:color="auto"/>
              <w:bottom w:val="single" w:sz="4" w:space="0" w:color="auto"/>
              <w:right w:val="single" w:sz="4" w:space="0" w:color="auto"/>
            </w:tcBorders>
            <w:noWrap/>
            <w:vAlign w:val="center"/>
            <w:hideMark/>
          </w:tcPr>
          <w:p w14:paraId="5C287991"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6,690</w:t>
            </w:r>
          </w:p>
        </w:tc>
        <w:tc>
          <w:tcPr>
            <w:tcW w:w="1002" w:type="dxa"/>
            <w:tcBorders>
              <w:top w:val="nil"/>
              <w:left w:val="nil"/>
              <w:bottom w:val="single" w:sz="4" w:space="0" w:color="auto"/>
              <w:right w:val="single" w:sz="4" w:space="0" w:color="auto"/>
            </w:tcBorders>
            <w:noWrap/>
            <w:vAlign w:val="center"/>
            <w:hideMark/>
          </w:tcPr>
          <w:p w14:paraId="17CC9AC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7,136</w:t>
            </w:r>
          </w:p>
        </w:tc>
        <w:tc>
          <w:tcPr>
            <w:tcW w:w="1002" w:type="dxa"/>
            <w:tcBorders>
              <w:top w:val="nil"/>
              <w:left w:val="nil"/>
              <w:bottom w:val="single" w:sz="4" w:space="0" w:color="auto"/>
              <w:right w:val="single" w:sz="8" w:space="0" w:color="auto"/>
            </w:tcBorders>
            <w:noWrap/>
            <w:vAlign w:val="center"/>
            <w:hideMark/>
          </w:tcPr>
          <w:p w14:paraId="1F5980E2"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7,582</w:t>
            </w:r>
          </w:p>
        </w:tc>
        <w:tc>
          <w:tcPr>
            <w:tcW w:w="1225" w:type="dxa"/>
            <w:tcBorders>
              <w:top w:val="nil"/>
              <w:left w:val="nil"/>
              <w:bottom w:val="single" w:sz="4" w:space="0" w:color="auto"/>
              <w:right w:val="single" w:sz="4" w:space="0" w:color="auto"/>
            </w:tcBorders>
            <w:noWrap/>
            <w:vAlign w:val="center"/>
            <w:hideMark/>
          </w:tcPr>
          <w:p w14:paraId="47B21C5E"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7,582</w:t>
            </w:r>
          </w:p>
        </w:tc>
      </w:tr>
      <w:tr w:rsidR="001A51EE" w:rsidRPr="001A51EE" w14:paraId="7B409540" w14:textId="77777777" w:rsidTr="001A51EE">
        <w:trPr>
          <w:trHeight w:val="690"/>
        </w:trPr>
        <w:tc>
          <w:tcPr>
            <w:tcW w:w="3123" w:type="dxa"/>
            <w:tcBorders>
              <w:top w:val="nil"/>
              <w:left w:val="single" w:sz="4" w:space="0" w:color="auto"/>
              <w:bottom w:val="single" w:sz="4" w:space="0" w:color="auto"/>
              <w:right w:val="nil"/>
            </w:tcBorders>
            <w:vAlign w:val="center"/>
            <w:hideMark/>
          </w:tcPr>
          <w:p w14:paraId="20A62E56" w14:textId="77777777" w:rsidR="001A51EE" w:rsidRPr="001A51EE" w:rsidRDefault="001A51EE" w:rsidP="001A51EE">
            <w:pPr>
              <w:keepNext w:val="0"/>
              <w:spacing w:before="0"/>
              <w:rPr>
                <w:rFonts w:cs="Arial"/>
                <w:b/>
                <w:bCs/>
                <w:color w:val="0070C0"/>
                <w:sz w:val="20"/>
              </w:rPr>
            </w:pPr>
            <w:r w:rsidRPr="001A51EE">
              <w:rPr>
                <w:rFonts w:cs="Arial"/>
                <w:b/>
                <w:bCs/>
                <w:color w:val="0070C0"/>
                <w:sz w:val="20"/>
              </w:rPr>
              <w:t xml:space="preserve">MONITOR - </w:t>
            </w:r>
            <w:r w:rsidRPr="001A51EE">
              <w:rPr>
                <w:rFonts w:cs="Arial"/>
                <w:color w:val="0070C0"/>
                <w:sz w:val="20"/>
              </w:rPr>
              <w:t>No. dwellings above or below cumulative requirement</w:t>
            </w:r>
          </w:p>
        </w:tc>
        <w:tc>
          <w:tcPr>
            <w:tcW w:w="1002" w:type="dxa"/>
            <w:tcBorders>
              <w:top w:val="nil"/>
              <w:left w:val="single" w:sz="4" w:space="0" w:color="auto"/>
              <w:bottom w:val="single" w:sz="4" w:space="0" w:color="auto"/>
              <w:right w:val="single" w:sz="4" w:space="0" w:color="auto"/>
            </w:tcBorders>
            <w:noWrap/>
            <w:vAlign w:val="center"/>
            <w:hideMark/>
          </w:tcPr>
          <w:p w14:paraId="224C50B1"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6</w:t>
            </w:r>
          </w:p>
        </w:tc>
        <w:tc>
          <w:tcPr>
            <w:tcW w:w="1002" w:type="dxa"/>
            <w:tcBorders>
              <w:top w:val="nil"/>
              <w:left w:val="nil"/>
              <w:bottom w:val="single" w:sz="4" w:space="0" w:color="auto"/>
              <w:right w:val="single" w:sz="8" w:space="0" w:color="auto"/>
            </w:tcBorders>
            <w:noWrap/>
            <w:vAlign w:val="center"/>
            <w:hideMark/>
          </w:tcPr>
          <w:p w14:paraId="64C059A9"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15</w:t>
            </w:r>
          </w:p>
        </w:tc>
        <w:tc>
          <w:tcPr>
            <w:tcW w:w="1002" w:type="dxa"/>
            <w:tcBorders>
              <w:top w:val="nil"/>
              <w:left w:val="nil"/>
              <w:bottom w:val="single" w:sz="4" w:space="0" w:color="auto"/>
              <w:right w:val="nil"/>
            </w:tcBorders>
            <w:noWrap/>
            <w:vAlign w:val="center"/>
            <w:hideMark/>
          </w:tcPr>
          <w:p w14:paraId="423C8D8C"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179</w:t>
            </w:r>
          </w:p>
        </w:tc>
        <w:tc>
          <w:tcPr>
            <w:tcW w:w="1002" w:type="dxa"/>
            <w:tcBorders>
              <w:top w:val="nil"/>
              <w:left w:val="single" w:sz="4" w:space="0" w:color="auto"/>
              <w:bottom w:val="single" w:sz="4" w:space="0" w:color="auto"/>
              <w:right w:val="nil"/>
            </w:tcBorders>
            <w:noWrap/>
            <w:vAlign w:val="center"/>
            <w:hideMark/>
          </w:tcPr>
          <w:p w14:paraId="280F15F1"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320</w:t>
            </w:r>
          </w:p>
        </w:tc>
        <w:tc>
          <w:tcPr>
            <w:tcW w:w="1002" w:type="dxa"/>
            <w:tcBorders>
              <w:top w:val="nil"/>
              <w:left w:val="single" w:sz="4" w:space="0" w:color="auto"/>
              <w:bottom w:val="single" w:sz="4" w:space="0" w:color="auto"/>
              <w:right w:val="single" w:sz="4" w:space="0" w:color="auto"/>
            </w:tcBorders>
            <w:noWrap/>
            <w:vAlign w:val="center"/>
            <w:hideMark/>
          </w:tcPr>
          <w:p w14:paraId="65C98F79"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475</w:t>
            </w:r>
          </w:p>
        </w:tc>
        <w:tc>
          <w:tcPr>
            <w:tcW w:w="1002" w:type="dxa"/>
            <w:tcBorders>
              <w:top w:val="nil"/>
              <w:left w:val="nil"/>
              <w:bottom w:val="single" w:sz="4" w:space="0" w:color="auto"/>
              <w:right w:val="single" w:sz="4" w:space="0" w:color="auto"/>
            </w:tcBorders>
            <w:noWrap/>
            <w:vAlign w:val="center"/>
            <w:hideMark/>
          </w:tcPr>
          <w:p w14:paraId="0091F565"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604</w:t>
            </w:r>
          </w:p>
        </w:tc>
        <w:tc>
          <w:tcPr>
            <w:tcW w:w="1002" w:type="dxa"/>
            <w:tcBorders>
              <w:top w:val="nil"/>
              <w:left w:val="nil"/>
              <w:bottom w:val="single" w:sz="4" w:space="0" w:color="auto"/>
              <w:right w:val="single" w:sz="8" w:space="0" w:color="auto"/>
            </w:tcBorders>
            <w:noWrap/>
            <w:vAlign w:val="center"/>
            <w:hideMark/>
          </w:tcPr>
          <w:p w14:paraId="7A7FCE66"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635</w:t>
            </w:r>
          </w:p>
        </w:tc>
        <w:tc>
          <w:tcPr>
            <w:tcW w:w="1002" w:type="dxa"/>
            <w:tcBorders>
              <w:top w:val="nil"/>
              <w:left w:val="nil"/>
              <w:bottom w:val="single" w:sz="4" w:space="0" w:color="auto"/>
              <w:right w:val="nil"/>
            </w:tcBorders>
            <w:noWrap/>
            <w:vAlign w:val="center"/>
            <w:hideMark/>
          </w:tcPr>
          <w:p w14:paraId="141E0D6E"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821</w:t>
            </w:r>
          </w:p>
        </w:tc>
        <w:tc>
          <w:tcPr>
            <w:tcW w:w="1002" w:type="dxa"/>
            <w:tcBorders>
              <w:top w:val="nil"/>
              <w:left w:val="single" w:sz="4" w:space="0" w:color="auto"/>
              <w:bottom w:val="single" w:sz="4" w:space="0" w:color="auto"/>
              <w:right w:val="nil"/>
            </w:tcBorders>
            <w:noWrap/>
            <w:vAlign w:val="center"/>
            <w:hideMark/>
          </w:tcPr>
          <w:p w14:paraId="5FF5E30A"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978</w:t>
            </w:r>
          </w:p>
        </w:tc>
        <w:tc>
          <w:tcPr>
            <w:tcW w:w="1002" w:type="dxa"/>
            <w:tcBorders>
              <w:top w:val="nil"/>
              <w:left w:val="single" w:sz="4" w:space="0" w:color="auto"/>
              <w:bottom w:val="single" w:sz="4" w:space="0" w:color="auto"/>
              <w:right w:val="single" w:sz="4" w:space="0" w:color="auto"/>
            </w:tcBorders>
            <w:noWrap/>
            <w:vAlign w:val="center"/>
            <w:hideMark/>
          </w:tcPr>
          <w:p w14:paraId="7713EBAB"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1,109</w:t>
            </w:r>
          </w:p>
        </w:tc>
        <w:tc>
          <w:tcPr>
            <w:tcW w:w="1002" w:type="dxa"/>
            <w:tcBorders>
              <w:top w:val="nil"/>
              <w:left w:val="nil"/>
              <w:bottom w:val="single" w:sz="4" w:space="0" w:color="auto"/>
              <w:right w:val="single" w:sz="4" w:space="0" w:color="auto"/>
            </w:tcBorders>
            <w:noWrap/>
            <w:vAlign w:val="center"/>
            <w:hideMark/>
          </w:tcPr>
          <w:p w14:paraId="5244F4AF"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1,280</w:t>
            </w:r>
          </w:p>
        </w:tc>
        <w:tc>
          <w:tcPr>
            <w:tcW w:w="1002" w:type="dxa"/>
            <w:tcBorders>
              <w:top w:val="nil"/>
              <w:left w:val="nil"/>
              <w:bottom w:val="single" w:sz="4" w:space="0" w:color="auto"/>
              <w:right w:val="single" w:sz="8" w:space="0" w:color="auto"/>
            </w:tcBorders>
            <w:noWrap/>
            <w:vAlign w:val="center"/>
            <w:hideMark/>
          </w:tcPr>
          <w:p w14:paraId="3A6BB744"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1,427</w:t>
            </w:r>
          </w:p>
        </w:tc>
        <w:tc>
          <w:tcPr>
            <w:tcW w:w="1002" w:type="dxa"/>
            <w:tcBorders>
              <w:top w:val="nil"/>
              <w:left w:val="nil"/>
              <w:bottom w:val="single" w:sz="4" w:space="0" w:color="auto"/>
              <w:right w:val="nil"/>
            </w:tcBorders>
            <w:noWrap/>
            <w:vAlign w:val="center"/>
            <w:hideMark/>
          </w:tcPr>
          <w:p w14:paraId="51626F7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1,460</w:t>
            </w:r>
          </w:p>
        </w:tc>
        <w:tc>
          <w:tcPr>
            <w:tcW w:w="1002" w:type="dxa"/>
            <w:tcBorders>
              <w:top w:val="nil"/>
              <w:left w:val="single" w:sz="4" w:space="0" w:color="auto"/>
              <w:bottom w:val="single" w:sz="4" w:space="0" w:color="auto"/>
              <w:right w:val="nil"/>
            </w:tcBorders>
            <w:noWrap/>
            <w:vAlign w:val="center"/>
            <w:hideMark/>
          </w:tcPr>
          <w:p w14:paraId="4859FD52"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1,367</w:t>
            </w:r>
          </w:p>
        </w:tc>
        <w:tc>
          <w:tcPr>
            <w:tcW w:w="1002" w:type="dxa"/>
            <w:tcBorders>
              <w:top w:val="nil"/>
              <w:left w:val="single" w:sz="4" w:space="0" w:color="auto"/>
              <w:bottom w:val="single" w:sz="4" w:space="0" w:color="auto"/>
              <w:right w:val="single" w:sz="4" w:space="0" w:color="auto"/>
            </w:tcBorders>
            <w:noWrap/>
            <w:vAlign w:val="center"/>
            <w:hideMark/>
          </w:tcPr>
          <w:p w14:paraId="3F580044"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1,257</w:t>
            </w:r>
          </w:p>
        </w:tc>
        <w:tc>
          <w:tcPr>
            <w:tcW w:w="1002" w:type="dxa"/>
            <w:tcBorders>
              <w:top w:val="nil"/>
              <w:left w:val="nil"/>
              <w:bottom w:val="single" w:sz="4" w:space="0" w:color="auto"/>
              <w:right w:val="single" w:sz="4" w:space="0" w:color="auto"/>
            </w:tcBorders>
            <w:noWrap/>
            <w:vAlign w:val="center"/>
            <w:hideMark/>
          </w:tcPr>
          <w:p w14:paraId="2E0F038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1,015</w:t>
            </w:r>
          </w:p>
        </w:tc>
        <w:tc>
          <w:tcPr>
            <w:tcW w:w="1002" w:type="dxa"/>
            <w:tcBorders>
              <w:top w:val="nil"/>
              <w:left w:val="nil"/>
              <w:bottom w:val="single" w:sz="4" w:space="0" w:color="auto"/>
              <w:right w:val="single" w:sz="8" w:space="0" w:color="auto"/>
            </w:tcBorders>
            <w:noWrap/>
            <w:vAlign w:val="center"/>
            <w:hideMark/>
          </w:tcPr>
          <w:p w14:paraId="11061454"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730</w:t>
            </w:r>
          </w:p>
        </w:tc>
        <w:tc>
          <w:tcPr>
            <w:tcW w:w="1225" w:type="dxa"/>
            <w:tcBorders>
              <w:top w:val="nil"/>
              <w:left w:val="nil"/>
              <w:bottom w:val="single" w:sz="4" w:space="0" w:color="auto"/>
              <w:right w:val="single" w:sz="4" w:space="0" w:color="auto"/>
            </w:tcBorders>
            <w:noWrap/>
            <w:vAlign w:val="center"/>
            <w:hideMark/>
          </w:tcPr>
          <w:p w14:paraId="3146914A"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730</w:t>
            </w:r>
          </w:p>
        </w:tc>
      </w:tr>
      <w:tr w:rsidR="001A51EE" w:rsidRPr="001A51EE" w14:paraId="1229F72E" w14:textId="77777777" w:rsidTr="001A51EE">
        <w:trPr>
          <w:trHeight w:val="586"/>
        </w:trPr>
        <w:tc>
          <w:tcPr>
            <w:tcW w:w="3123" w:type="dxa"/>
            <w:tcBorders>
              <w:top w:val="nil"/>
              <w:left w:val="single" w:sz="4" w:space="0" w:color="auto"/>
              <w:bottom w:val="single" w:sz="4" w:space="0" w:color="auto"/>
              <w:right w:val="nil"/>
            </w:tcBorders>
            <w:vAlign w:val="center"/>
            <w:hideMark/>
          </w:tcPr>
          <w:p w14:paraId="77AAC27D" w14:textId="77777777" w:rsidR="001A51EE" w:rsidRPr="001A51EE" w:rsidRDefault="001A51EE" w:rsidP="001A51EE">
            <w:pPr>
              <w:keepNext w:val="0"/>
              <w:spacing w:before="0"/>
              <w:rPr>
                <w:rFonts w:cs="Arial"/>
                <w:b/>
                <w:bCs/>
                <w:color w:val="0070C0"/>
                <w:sz w:val="20"/>
              </w:rPr>
            </w:pPr>
            <w:r w:rsidRPr="001A51EE">
              <w:rPr>
                <w:rFonts w:cs="Arial"/>
                <w:b/>
                <w:bCs/>
                <w:color w:val="0070C0"/>
                <w:sz w:val="20"/>
              </w:rPr>
              <w:t>MANAGE</w:t>
            </w:r>
            <w:r w:rsidRPr="001A51EE">
              <w:rPr>
                <w:rFonts w:cs="Arial"/>
                <w:color w:val="0070C0"/>
                <w:sz w:val="20"/>
              </w:rPr>
              <w:t xml:space="preserve"> - Requirement taking account of past/projected completions</w:t>
            </w:r>
          </w:p>
        </w:tc>
        <w:tc>
          <w:tcPr>
            <w:tcW w:w="1002" w:type="dxa"/>
            <w:tcBorders>
              <w:top w:val="nil"/>
              <w:left w:val="single" w:sz="4" w:space="0" w:color="auto"/>
              <w:bottom w:val="single" w:sz="4" w:space="0" w:color="auto"/>
              <w:right w:val="single" w:sz="4" w:space="0" w:color="auto"/>
            </w:tcBorders>
            <w:vAlign w:val="center"/>
            <w:hideMark/>
          </w:tcPr>
          <w:p w14:paraId="6CF43A8E"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7,130</w:t>
            </w:r>
          </w:p>
        </w:tc>
        <w:tc>
          <w:tcPr>
            <w:tcW w:w="1002" w:type="dxa"/>
            <w:tcBorders>
              <w:top w:val="nil"/>
              <w:left w:val="nil"/>
              <w:bottom w:val="single" w:sz="4" w:space="0" w:color="auto"/>
              <w:right w:val="single" w:sz="8" w:space="0" w:color="auto"/>
            </w:tcBorders>
            <w:vAlign w:val="center"/>
            <w:hideMark/>
          </w:tcPr>
          <w:p w14:paraId="7077513E"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6,675</w:t>
            </w:r>
          </w:p>
        </w:tc>
        <w:tc>
          <w:tcPr>
            <w:tcW w:w="1002" w:type="dxa"/>
            <w:tcBorders>
              <w:top w:val="nil"/>
              <w:left w:val="nil"/>
              <w:bottom w:val="single" w:sz="4" w:space="0" w:color="auto"/>
              <w:right w:val="nil"/>
            </w:tcBorders>
            <w:vAlign w:val="center"/>
            <w:hideMark/>
          </w:tcPr>
          <w:p w14:paraId="2C74BAE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6,065</w:t>
            </w:r>
          </w:p>
        </w:tc>
        <w:tc>
          <w:tcPr>
            <w:tcW w:w="1002" w:type="dxa"/>
            <w:tcBorders>
              <w:top w:val="nil"/>
              <w:left w:val="single" w:sz="4" w:space="0" w:color="auto"/>
              <w:bottom w:val="single" w:sz="4" w:space="0" w:color="auto"/>
              <w:right w:val="nil"/>
            </w:tcBorders>
            <w:vAlign w:val="center"/>
            <w:hideMark/>
          </w:tcPr>
          <w:p w14:paraId="1531E6E3"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5,478</w:t>
            </w:r>
          </w:p>
        </w:tc>
        <w:tc>
          <w:tcPr>
            <w:tcW w:w="1002" w:type="dxa"/>
            <w:tcBorders>
              <w:top w:val="nil"/>
              <w:left w:val="single" w:sz="4" w:space="0" w:color="auto"/>
              <w:bottom w:val="single" w:sz="4" w:space="0" w:color="auto"/>
              <w:right w:val="single" w:sz="4" w:space="0" w:color="auto"/>
            </w:tcBorders>
            <w:vAlign w:val="center"/>
            <w:hideMark/>
          </w:tcPr>
          <w:p w14:paraId="36735F31"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4,877</w:t>
            </w:r>
          </w:p>
        </w:tc>
        <w:tc>
          <w:tcPr>
            <w:tcW w:w="1002" w:type="dxa"/>
            <w:tcBorders>
              <w:top w:val="nil"/>
              <w:left w:val="nil"/>
              <w:bottom w:val="single" w:sz="4" w:space="0" w:color="auto"/>
              <w:right w:val="single" w:sz="4" w:space="0" w:color="auto"/>
            </w:tcBorders>
            <w:vAlign w:val="center"/>
            <w:hideMark/>
          </w:tcPr>
          <w:p w14:paraId="0317B4A5"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4,302</w:t>
            </w:r>
          </w:p>
        </w:tc>
        <w:tc>
          <w:tcPr>
            <w:tcW w:w="1002" w:type="dxa"/>
            <w:tcBorders>
              <w:top w:val="nil"/>
              <w:left w:val="nil"/>
              <w:bottom w:val="single" w:sz="4" w:space="0" w:color="auto"/>
              <w:right w:val="single" w:sz="8" w:space="0" w:color="auto"/>
            </w:tcBorders>
            <w:vAlign w:val="center"/>
            <w:hideMark/>
          </w:tcPr>
          <w:p w14:paraId="3F79C94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3,825</w:t>
            </w:r>
          </w:p>
        </w:tc>
        <w:tc>
          <w:tcPr>
            <w:tcW w:w="1002" w:type="dxa"/>
            <w:tcBorders>
              <w:top w:val="nil"/>
              <w:left w:val="nil"/>
              <w:bottom w:val="single" w:sz="4" w:space="0" w:color="auto"/>
              <w:right w:val="nil"/>
            </w:tcBorders>
            <w:vAlign w:val="center"/>
            <w:hideMark/>
          </w:tcPr>
          <w:p w14:paraId="3E2A75A4"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3,193</w:t>
            </w:r>
          </w:p>
        </w:tc>
        <w:tc>
          <w:tcPr>
            <w:tcW w:w="1002" w:type="dxa"/>
            <w:tcBorders>
              <w:top w:val="nil"/>
              <w:left w:val="single" w:sz="4" w:space="0" w:color="auto"/>
              <w:bottom w:val="single" w:sz="4" w:space="0" w:color="auto"/>
              <w:right w:val="nil"/>
            </w:tcBorders>
            <w:vAlign w:val="center"/>
            <w:hideMark/>
          </w:tcPr>
          <w:p w14:paraId="7DEFF9CE"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2,590</w:t>
            </w:r>
          </w:p>
        </w:tc>
        <w:tc>
          <w:tcPr>
            <w:tcW w:w="1002" w:type="dxa"/>
            <w:tcBorders>
              <w:top w:val="nil"/>
              <w:left w:val="single" w:sz="4" w:space="0" w:color="auto"/>
              <w:bottom w:val="single" w:sz="4" w:space="0" w:color="auto"/>
              <w:right w:val="single" w:sz="4" w:space="0" w:color="auto"/>
            </w:tcBorders>
            <w:vAlign w:val="center"/>
            <w:hideMark/>
          </w:tcPr>
          <w:p w14:paraId="7A4F3CE2"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2,013</w:t>
            </w:r>
          </w:p>
        </w:tc>
        <w:tc>
          <w:tcPr>
            <w:tcW w:w="1002" w:type="dxa"/>
            <w:tcBorders>
              <w:top w:val="nil"/>
              <w:left w:val="nil"/>
              <w:bottom w:val="single" w:sz="4" w:space="0" w:color="auto"/>
              <w:right w:val="single" w:sz="4" w:space="0" w:color="auto"/>
            </w:tcBorders>
            <w:vAlign w:val="center"/>
            <w:hideMark/>
          </w:tcPr>
          <w:p w14:paraId="4CDF9D6A"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1,396</w:t>
            </w:r>
          </w:p>
        </w:tc>
        <w:tc>
          <w:tcPr>
            <w:tcW w:w="1002" w:type="dxa"/>
            <w:tcBorders>
              <w:top w:val="nil"/>
              <w:left w:val="nil"/>
              <w:bottom w:val="single" w:sz="4" w:space="0" w:color="auto"/>
              <w:right w:val="single" w:sz="8" w:space="0" w:color="auto"/>
            </w:tcBorders>
            <w:vAlign w:val="center"/>
            <w:hideMark/>
          </w:tcPr>
          <w:p w14:paraId="39A6DA54"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803</w:t>
            </w:r>
          </w:p>
        </w:tc>
        <w:tc>
          <w:tcPr>
            <w:tcW w:w="1002" w:type="dxa"/>
            <w:tcBorders>
              <w:top w:val="nil"/>
              <w:left w:val="nil"/>
              <w:bottom w:val="single" w:sz="4" w:space="0" w:color="auto"/>
              <w:right w:val="nil"/>
            </w:tcBorders>
            <w:vAlign w:val="center"/>
            <w:hideMark/>
          </w:tcPr>
          <w:p w14:paraId="511294CB"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324</w:t>
            </w:r>
          </w:p>
        </w:tc>
        <w:tc>
          <w:tcPr>
            <w:tcW w:w="1002" w:type="dxa"/>
            <w:tcBorders>
              <w:top w:val="nil"/>
              <w:left w:val="single" w:sz="4" w:space="0" w:color="auto"/>
              <w:bottom w:val="single" w:sz="4" w:space="0" w:color="auto"/>
              <w:right w:val="nil"/>
            </w:tcBorders>
            <w:vAlign w:val="center"/>
            <w:hideMark/>
          </w:tcPr>
          <w:p w14:paraId="50E30623"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-29</w:t>
            </w:r>
          </w:p>
        </w:tc>
        <w:tc>
          <w:tcPr>
            <w:tcW w:w="1002" w:type="dxa"/>
            <w:tcBorders>
              <w:top w:val="nil"/>
              <w:left w:val="single" w:sz="4" w:space="0" w:color="auto"/>
              <w:bottom w:val="single" w:sz="4" w:space="0" w:color="auto"/>
              <w:right w:val="single" w:sz="4" w:space="0" w:color="auto"/>
            </w:tcBorders>
            <w:vAlign w:val="center"/>
            <w:hideMark/>
          </w:tcPr>
          <w:p w14:paraId="306F571D"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-365</w:t>
            </w:r>
          </w:p>
        </w:tc>
        <w:tc>
          <w:tcPr>
            <w:tcW w:w="1002" w:type="dxa"/>
            <w:tcBorders>
              <w:top w:val="nil"/>
              <w:left w:val="nil"/>
              <w:bottom w:val="single" w:sz="4" w:space="0" w:color="auto"/>
              <w:right w:val="single" w:sz="4" w:space="0" w:color="auto"/>
            </w:tcBorders>
            <w:vAlign w:val="center"/>
            <w:hideMark/>
          </w:tcPr>
          <w:p w14:paraId="3A6DCAAD"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-569</w:t>
            </w:r>
          </w:p>
        </w:tc>
        <w:tc>
          <w:tcPr>
            <w:tcW w:w="1002" w:type="dxa"/>
            <w:tcBorders>
              <w:top w:val="nil"/>
              <w:left w:val="nil"/>
              <w:bottom w:val="single" w:sz="4" w:space="0" w:color="auto"/>
              <w:right w:val="single" w:sz="8" w:space="0" w:color="auto"/>
            </w:tcBorders>
            <w:vAlign w:val="center"/>
            <w:hideMark/>
          </w:tcPr>
          <w:p w14:paraId="21053234"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-730</w:t>
            </w:r>
          </w:p>
        </w:tc>
        <w:tc>
          <w:tcPr>
            <w:tcW w:w="1225" w:type="dxa"/>
            <w:tcBorders>
              <w:top w:val="nil"/>
              <w:left w:val="nil"/>
              <w:bottom w:val="single" w:sz="4" w:space="0" w:color="auto"/>
              <w:right w:val="single" w:sz="4" w:space="0" w:color="auto"/>
            </w:tcBorders>
            <w:noWrap/>
            <w:vAlign w:val="center"/>
            <w:hideMark/>
          </w:tcPr>
          <w:p w14:paraId="5F63C92F"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-730</w:t>
            </w:r>
          </w:p>
        </w:tc>
      </w:tr>
      <w:tr w:rsidR="001A51EE" w:rsidRPr="001A51EE" w14:paraId="2E165D97" w14:textId="77777777" w:rsidTr="001A51EE">
        <w:trPr>
          <w:trHeight w:val="724"/>
        </w:trPr>
        <w:tc>
          <w:tcPr>
            <w:tcW w:w="3123" w:type="dxa"/>
            <w:tcBorders>
              <w:top w:val="nil"/>
              <w:left w:val="single" w:sz="4" w:space="0" w:color="auto"/>
              <w:bottom w:val="single" w:sz="8" w:space="0" w:color="auto"/>
              <w:right w:val="nil"/>
            </w:tcBorders>
            <w:vAlign w:val="center"/>
            <w:hideMark/>
          </w:tcPr>
          <w:p w14:paraId="6EFC50C9" w14:textId="77777777" w:rsidR="001A51EE" w:rsidRPr="001A51EE" w:rsidRDefault="001A51EE" w:rsidP="001A51EE">
            <w:pPr>
              <w:keepNext w:val="0"/>
              <w:spacing w:before="0"/>
              <w:rPr>
                <w:rFonts w:cs="Arial"/>
                <w:b/>
                <w:bCs/>
                <w:color w:val="0070C0"/>
                <w:sz w:val="20"/>
              </w:rPr>
            </w:pPr>
            <w:r w:rsidRPr="001A51EE">
              <w:rPr>
                <w:rFonts w:cs="Arial"/>
                <w:b/>
                <w:bCs/>
                <w:color w:val="0070C0"/>
                <w:sz w:val="20"/>
              </w:rPr>
              <w:t>MANAGE</w:t>
            </w:r>
            <w:r w:rsidRPr="001A51EE">
              <w:rPr>
                <w:rFonts w:cs="Arial"/>
                <w:color w:val="0070C0"/>
                <w:sz w:val="20"/>
              </w:rPr>
              <w:t xml:space="preserve"> - Annual requirement taking account of past/projected completions</w:t>
            </w:r>
          </w:p>
        </w:tc>
        <w:tc>
          <w:tcPr>
            <w:tcW w:w="1002" w:type="dxa"/>
            <w:tcBorders>
              <w:top w:val="nil"/>
              <w:left w:val="single" w:sz="4" w:space="0" w:color="auto"/>
              <w:bottom w:val="single" w:sz="8" w:space="0" w:color="auto"/>
              <w:right w:val="single" w:sz="4" w:space="0" w:color="auto"/>
            </w:tcBorders>
            <w:vAlign w:val="center"/>
            <w:hideMark/>
          </w:tcPr>
          <w:p w14:paraId="60B42E3F"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419</w:t>
            </w:r>
          </w:p>
        </w:tc>
        <w:tc>
          <w:tcPr>
            <w:tcW w:w="1002" w:type="dxa"/>
            <w:tcBorders>
              <w:top w:val="nil"/>
              <w:left w:val="nil"/>
              <w:bottom w:val="single" w:sz="8" w:space="0" w:color="auto"/>
              <w:right w:val="single" w:sz="8" w:space="0" w:color="auto"/>
            </w:tcBorders>
            <w:vAlign w:val="center"/>
            <w:hideMark/>
          </w:tcPr>
          <w:p w14:paraId="7B5F1135"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417</w:t>
            </w:r>
          </w:p>
        </w:tc>
        <w:tc>
          <w:tcPr>
            <w:tcW w:w="1002" w:type="dxa"/>
            <w:tcBorders>
              <w:top w:val="nil"/>
              <w:left w:val="nil"/>
              <w:bottom w:val="single" w:sz="8" w:space="0" w:color="auto"/>
              <w:right w:val="nil"/>
            </w:tcBorders>
            <w:vAlign w:val="center"/>
            <w:hideMark/>
          </w:tcPr>
          <w:p w14:paraId="092414CB"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404</w:t>
            </w:r>
          </w:p>
        </w:tc>
        <w:tc>
          <w:tcPr>
            <w:tcW w:w="1002" w:type="dxa"/>
            <w:tcBorders>
              <w:top w:val="nil"/>
              <w:left w:val="single" w:sz="4" w:space="0" w:color="auto"/>
              <w:bottom w:val="single" w:sz="8" w:space="0" w:color="auto"/>
              <w:right w:val="nil"/>
            </w:tcBorders>
            <w:vAlign w:val="center"/>
            <w:hideMark/>
          </w:tcPr>
          <w:p w14:paraId="483E7102"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391</w:t>
            </w:r>
          </w:p>
        </w:tc>
        <w:tc>
          <w:tcPr>
            <w:tcW w:w="1002" w:type="dxa"/>
            <w:tcBorders>
              <w:top w:val="nil"/>
              <w:left w:val="single" w:sz="4" w:space="0" w:color="auto"/>
              <w:bottom w:val="single" w:sz="8" w:space="0" w:color="auto"/>
              <w:right w:val="single" w:sz="4" w:space="0" w:color="auto"/>
            </w:tcBorders>
            <w:vAlign w:val="center"/>
            <w:hideMark/>
          </w:tcPr>
          <w:p w14:paraId="1E823B96"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375</w:t>
            </w:r>
          </w:p>
        </w:tc>
        <w:tc>
          <w:tcPr>
            <w:tcW w:w="1002" w:type="dxa"/>
            <w:tcBorders>
              <w:top w:val="nil"/>
              <w:left w:val="nil"/>
              <w:bottom w:val="single" w:sz="8" w:space="0" w:color="auto"/>
              <w:right w:val="single" w:sz="4" w:space="0" w:color="auto"/>
            </w:tcBorders>
            <w:vAlign w:val="center"/>
            <w:hideMark/>
          </w:tcPr>
          <w:p w14:paraId="0534A583"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359</w:t>
            </w:r>
          </w:p>
        </w:tc>
        <w:tc>
          <w:tcPr>
            <w:tcW w:w="1002" w:type="dxa"/>
            <w:tcBorders>
              <w:top w:val="nil"/>
              <w:left w:val="nil"/>
              <w:bottom w:val="single" w:sz="8" w:space="0" w:color="auto"/>
              <w:right w:val="single" w:sz="8" w:space="0" w:color="auto"/>
            </w:tcBorders>
            <w:vAlign w:val="center"/>
            <w:hideMark/>
          </w:tcPr>
          <w:p w14:paraId="4FBE5906"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348</w:t>
            </w:r>
          </w:p>
        </w:tc>
        <w:tc>
          <w:tcPr>
            <w:tcW w:w="1002" w:type="dxa"/>
            <w:tcBorders>
              <w:top w:val="nil"/>
              <w:left w:val="nil"/>
              <w:bottom w:val="single" w:sz="8" w:space="0" w:color="auto"/>
              <w:right w:val="nil"/>
            </w:tcBorders>
            <w:vAlign w:val="center"/>
            <w:hideMark/>
          </w:tcPr>
          <w:p w14:paraId="546A0B21"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319</w:t>
            </w:r>
          </w:p>
        </w:tc>
        <w:tc>
          <w:tcPr>
            <w:tcW w:w="1002" w:type="dxa"/>
            <w:tcBorders>
              <w:top w:val="nil"/>
              <w:left w:val="single" w:sz="4" w:space="0" w:color="auto"/>
              <w:bottom w:val="single" w:sz="8" w:space="0" w:color="auto"/>
              <w:right w:val="nil"/>
            </w:tcBorders>
            <w:vAlign w:val="center"/>
            <w:hideMark/>
          </w:tcPr>
          <w:p w14:paraId="0339C39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288</w:t>
            </w:r>
          </w:p>
        </w:tc>
        <w:tc>
          <w:tcPr>
            <w:tcW w:w="1002" w:type="dxa"/>
            <w:tcBorders>
              <w:top w:val="nil"/>
              <w:left w:val="single" w:sz="4" w:space="0" w:color="auto"/>
              <w:bottom w:val="single" w:sz="8" w:space="0" w:color="auto"/>
              <w:right w:val="single" w:sz="4" w:space="0" w:color="auto"/>
            </w:tcBorders>
            <w:vAlign w:val="center"/>
            <w:hideMark/>
          </w:tcPr>
          <w:p w14:paraId="5A10253B"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252</w:t>
            </w:r>
          </w:p>
        </w:tc>
        <w:tc>
          <w:tcPr>
            <w:tcW w:w="1002" w:type="dxa"/>
            <w:tcBorders>
              <w:top w:val="nil"/>
              <w:left w:val="nil"/>
              <w:bottom w:val="single" w:sz="8" w:space="0" w:color="auto"/>
              <w:right w:val="single" w:sz="4" w:space="0" w:color="auto"/>
            </w:tcBorders>
            <w:vAlign w:val="center"/>
            <w:hideMark/>
          </w:tcPr>
          <w:p w14:paraId="387131F0"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199</w:t>
            </w:r>
          </w:p>
        </w:tc>
        <w:tc>
          <w:tcPr>
            <w:tcW w:w="1002" w:type="dxa"/>
            <w:tcBorders>
              <w:top w:val="nil"/>
              <w:left w:val="nil"/>
              <w:bottom w:val="single" w:sz="8" w:space="0" w:color="auto"/>
              <w:right w:val="single" w:sz="8" w:space="0" w:color="auto"/>
            </w:tcBorders>
            <w:vAlign w:val="center"/>
            <w:hideMark/>
          </w:tcPr>
          <w:p w14:paraId="69958513"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134</w:t>
            </w:r>
          </w:p>
        </w:tc>
        <w:tc>
          <w:tcPr>
            <w:tcW w:w="1002" w:type="dxa"/>
            <w:tcBorders>
              <w:top w:val="nil"/>
              <w:left w:val="nil"/>
              <w:bottom w:val="single" w:sz="8" w:space="0" w:color="auto"/>
              <w:right w:val="nil"/>
            </w:tcBorders>
            <w:vAlign w:val="center"/>
            <w:hideMark/>
          </w:tcPr>
          <w:p w14:paraId="281F0F48"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65</w:t>
            </w:r>
          </w:p>
        </w:tc>
        <w:tc>
          <w:tcPr>
            <w:tcW w:w="1002" w:type="dxa"/>
            <w:tcBorders>
              <w:top w:val="nil"/>
              <w:left w:val="single" w:sz="4" w:space="0" w:color="auto"/>
              <w:bottom w:val="single" w:sz="8" w:space="0" w:color="auto"/>
              <w:right w:val="nil"/>
            </w:tcBorders>
            <w:vAlign w:val="center"/>
            <w:hideMark/>
          </w:tcPr>
          <w:p w14:paraId="4A9A0DC7"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-7</w:t>
            </w:r>
          </w:p>
        </w:tc>
        <w:tc>
          <w:tcPr>
            <w:tcW w:w="1002" w:type="dxa"/>
            <w:tcBorders>
              <w:top w:val="nil"/>
              <w:left w:val="single" w:sz="4" w:space="0" w:color="auto"/>
              <w:bottom w:val="single" w:sz="8" w:space="0" w:color="auto"/>
              <w:right w:val="single" w:sz="4" w:space="0" w:color="auto"/>
            </w:tcBorders>
            <w:vAlign w:val="center"/>
            <w:hideMark/>
          </w:tcPr>
          <w:p w14:paraId="130F7638"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-122</w:t>
            </w:r>
          </w:p>
        </w:tc>
        <w:tc>
          <w:tcPr>
            <w:tcW w:w="1002" w:type="dxa"/>
            <w:tcBorders>
              <w:top w:val="nil"/>
              <w:left w:val="nil"/>
              <w:bottom w:val="single" w:sz="8" w:space="0" w:color="auto"/>
              <w:right w:val="single" w:sz="4" w:space="0" w:color="auto"/>
            </w:tcBorders>
            <w:vAlign w:val="center"/>
            <w:hideMark/>
          </w:tcPr>
          <w:p w14:paraId="5336FD89"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-285</w:t>
            </w:r>
          </w:p>
        </w:tc>
        <w:tc>
          <w:tcPr>
            <w:tcW w:w="1002" w:type="dxa"/>
            <w:tcBorders>
              <w:top w:val="nil"/>
              <w:left w:val="nil"/>
              <w:bottom w:val="single" w:sz="8" w:space="0" w:color="auto"/>
              <w:right w:val="single" w:sz="8" w:space="0" w:color="auto"/>
            </w:tcBorders>
            <w:vAlign w:val="center"/>
            <w:hideMark/>
          </w:tcPr>
          <w:p w14:paraId="7FA95DA3" w14:textId="77777777" w:rsidR="001A51EE" w:rsidRPr="001A51EE" w:rsidRDefault="001A51EE" w:rsidP="001A51EE">
            <w:pPr>
              <w:keepNext w:val="0"/>
              <w:spacing w:before="0"/>
              <w:jc w:val="right"/>
              <w:rPr>
                <w:rFonts w:cs="Arial"/>
                <w:color w:val="0070C0"/>
                <w:sz w:val="20"/>
              </w:rPr>
            </w:pPr>
            <w:r w:rsidRPr="001A51EE">
              <w:rPr>
                <w:rFonts w:cs="Arial"/>
                <w:color w:val="0070C0"/>
                <w:sz w:val="20"/>
              </w:rPr>
              <w:t>-730</w:t>
            </w:r>
          </w:p>
        </w:tc>
        <w:tc>
          <w:tcPr>
            <w:tcW w:w="1225" w:type="dxa"/>
            <w:tcBorders>
              <w:top w:val="nil"/>
              <w:left w:val="nil"/>
              <w:bottom w:val="single" w:sz="8" w:space="0" w:color="auto"/>
              <w:right w:val="single" w:sz="4" w:space="0" w:color="auto"/>
            </w:tcBorders>
            <w:noWrap/>
            <w:vAlign w:val="center"/>
            <w:hideMark/>
          </w:tcPr>
          <w:p w14:paraId="1F7A337F" w14:textId="77777777" w:rsidR="001A51EE" w:rsidRPr="001A51EE" w:rsidRDefault="001A51EE" w:rsidP="001A51EE">
            <w:pPr>
              <w:keepNext w:val="0"/>
              <w:spacing w:before="0"/>
              <w:jc w:val="right"/>
              <w:rPr>
                <w:rFonts w:cs="Arial"/>
                <w:b/>
                <w:bCs/>
                <w:color w:val="0070C0"/>
                <w:sz w:val="20"/>
              </w:rPr>
            </w:pPr>
            <w:r w:rsidRPr="001A51EE">
              <w:rPr>
                <w:rFonts w:cs="Arial"/>
                <w:b/>
                <w:bCs/>
                <w:color w:val="0070C0"/>
                <w:sz w:val="20"/>
              </w:rPr>
              <w:t>-730</w:t>
            </w:r>
          </w:p>
        </w:tc>
      </w:tr>
    </w:tbl>
    <w:p w14:paraId="3EF071B2" w14:textId="77777777" w:rsidR="006E6C02" w:rsidRDefault="006E6C02" w:rsidP="005B39D2">
      <w:pPr>
        <w:keepNext w:val="0"/>
        <w:autoSpaceDE w:val="0"/>
        <w:autoSpaceDN w:val="0"/>
        <w:adjustRightInd w:val="0"/>
        <w:spacing w:before="0"/>
        <w:rPr>
          <w:b/>
          <w:bCs/>
          <w:color w:val="auto"/>
          <w:sz w:val="28"/>
          <w:szCs w:val="28"/>
        </w:rPr>
        <w:sectPr w:rsidR="006E6C02" w:rsidSect="00461E90">
          <w:headerReference w:type="default" r:id="rId87"/>
          <w:footerReference w:type="default" r:id="rId88"/>
          <w:pgSz w:w="23811" w:h="16838" w:orient="landscape" w:code="8"/>
          <w:pgMar w:top="1134" w:right="1258" w:bottom="1133" w:left="1079" w:header="709" w:footer="709" w:gutter="0"/>
          <w:cols w:space="708"/>
          <w:docGrid w:linePitch="360"/>
        </w:sectPr>
      </w:pPr>
    </w:p>
    <w:p w14:paraId="6DDBDCBA" w14:textId="3EBCF664" w:rsidR="000A31CA" w:rsidRDefault="001A51EE" w:rsidP="005B39D2">
      <w:pPr>
        <w:keepNext w:val="0"/>
        <w:autoSpaceDE w:val="0"/>
        <w:autoSpaceDN w:val="0"/>
        <w:adjustRightInd w:val="0"/>
        <w:spacing w:before="0"/>
        <w:rPr>
          <w:b/>
          <w:bCs/>
          <w:color w:val="auto"/>
          <w:sz w:val="28"/>
          <w:szCs w:val="28"/>
        </w:rPr>
      </w:pPr>
      <w:r>
        <w:rPr>
          <w:noProof/>
        </w:rPr>
        <w:lastRenderedPageBreak/>
        <mc:AlternateContent>
          <mc:Choice Requires="wpi">
            <w:drawing>
              <wp:anchor distT="0" distB="0" distL="114300" distR="114300" simplePos="0" relativeHeight="251658247" behindDoc="0" locked="0" layoutInCell="1" allowOverlap="1" wp14:anchorId="3D1BDF21" wp14:editId="6CDB93AB">
                <wp:simplePos x="0" y="0"/>
                <wp:positionH relativeFrom="column">
                  <wp:posOffset>-26085</wp:posOffset>
                </wp:positionH>
                <wp:positionV relativeFrom="paragraph">
                  <wp:posOffset>67825</wp:posOffset>
                </wp:positionV>
                <wp:extent cx="6121440" cy="8332200"/>
                <wp:effectExtent l="57150" t="57150" r="50800" b="50165"/>
                <wp:wrapNone/>
                <wp:docPr id="2137858093" name="Ink 6"/>
                <wp:cNvGraphicFramePr/>
                <a:graphic xmlns:a="http://schemas.openxmlformats.org/drawingml/2006/main">
                  <a:graphicData uri="http://schemas.microsoft.com/office/word/2010/wordprocessingInk">
                    <w14:contentPart bwMode="auto" r:id="rId89">
                      <w14:nvContentPartPr>
                        <w14:cNvContentPartPr/>
                      </w14:nvContentPartPr>
                      <w14:xfrm>
                        <a:off x="0" y="0"/>
                        <a:ext cx="6121440" cy="8332200"/>
                      </w14:xfrm>
                    </w14:contentPart>
                  </a:graphicData>
                </a:graphic>
              </wp:anchor>
            </w:drawing>
          </mc:Choice>
          <mc:Fallback xmlns:arto="http://schemas.microsoft.com/office/word/2006/arto">
            <w:pict>
              <v:shape w14:anchorId="303C6260" id="Ink 6" o:spid="_x0000_s1026" type="#_x0000_t75" style="position:absolute;margin-left:-2.75pt;margin-top:4.65pt;width:483.4pt;height:657.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">
                <v:imagedata r:id="rId90" o:title=""/>
              </v:shape>
            </w:pict>
          </mc:Fallback>
        </mc:AlternateContent>
      </w:r>
      <w:r>
        <w:rPr>
          <w:noProof/>
        </w:rPr>
        <mc:AlternateContent>
          <mc:Choice Requires="wpi">
            <w:drawing>
              <wp:anchor distT="0" distB="0" distL="114300" distR="114300" simplePos="0" relativeHeight="251658246" behindDoc="0" locked="0" layoutInCell="1" allowOverlap="1" wp14:anchorId="760AED1F" wp14:editId="72452A20">
                <wp:simplePos x="0" y="0"/>
                <wp:positionH relativeFrom="column">
                  <wp:posOffset>5999235</wp:posOffset>
                </wp:positionH>
                <wp:positionV relativeFrom="paragraph">
                  <wp:posOffset>8435305</wp:posOffset>
                </wp:positionV>
                <wp:extent cx="360" cy="360"/>
                <wp:effectExtent l="57150" t="57150" r="57150" b="57150"/>
                <wp:wrapNone/>
                <wp:docPr id="707622936" name="Ink 2"/>
                <wp:cNvGraphicFramePr/>
                <a:graphic xmlns:a="http://schemas.openxmlformats.org/drawingml/2006/main">
                  <a:graphicData uri="http://schemas.microsoft.com/office/word/2010/wordprocessingInk">
                    <w14:contentPart bwMode="auto" r:id="rId91">
                      <w14:nvContentPartPr>
                        <w14:cNvContentPartPr/>
                      </w14:nvContentPartPr>
                      <w14:xfrm>
                        <a:off x="0" y="0"/>
                        <a:ext cx="360" cy="360"/>
                      </w14:xfrm>
                    </w14:contentPart>
                  </a:graphicData>
                </a:graphic>
              </wp:anchor>
            </w:drawing>
          </mc:Choice>
          <mc:Fallback xmlns:arto="http://schemas.microsoft.com/office/word/2006/arto">
            <w:pict>
              <v:shape w14:anchorId="2526AA6F" id="Ink 2" o:spid="_x0000_s1026" type="#_x0000_t75" style="position:absolute;margin-left:471.7pt;margin-top:663.5pt;width:1.45pt;height:1.4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">
                <v:imagedata r:id="rId92" o:title=""/>
              </v:shape>
            </w:pict>
          </mc:Fallback>
        </mc:AlternateContent>
      </w:r>
      <w:r>
        <w:rPr>
          <w:noProof/>
        </w:rPr>
        <mc:AlternateContent>
          <mc:Choice Requires="wpi">
            <w:drawing>
              <wp:anchor distT="0" distB="0" distL="114300" distR="114300" simplePos="0" relativeHeight="251658245" behindDoc="0" locked="0" layoutInCell="1" allowOverlap="1" wp14:anchorId="44EDFC56" wp14:editId="166014CF">
                <wp:simplePos x="0" y="0"/>
                <wp:positionH relativeFrom="column">
                  <wp:posOffset>-145965</wp:posOffset>
                </wp:positionH>
                <wp:positionV relativeFrom="paragraph">
                  <wp:posOffset>46225</wp:posOffset>
                </wp:positionV>
                <wp:extent cx="360" cy="360"/>
                <wp:effectExtent l="57150" t="57150" r="57150" b="57150"/>
                <wp:wrapNone/>
                <wp:docPr id="33869668" name="Ink 1"/>
                <wp:cNvGraphicFramePr/>
                <a:graphic xmlns:a="http://schemas.openxmlformats.org/drawingml/2006/main">
                  <a:graphicData uri="http://schemas.microsoft.com/office/word/2010/wordprocessingInk">
                    <w14:contentPart bwMode="auto" r:id="rId93">
                      <w14:nvContentPartPr>
                        <w14:cNvContentPartPr/>
                      </w14:nvContentPartPr>
                      <w14:xfrm>
                        <a:off x="0" y="0"/>
                        <a:ext cx="360" cy="360"/>
                      </w14:xfrm>
                    </w14:contentPart>
                  </a:graphicData>
                </a:graphic>
              </wp:anchor>
            </w:drawing>
          </mc:Choice>
          <mc:Fallback xmlns:arto="http://schemas.microsoft.com/office/word/2006/arto">
            <w:pict>
              <v:shape w14:anchorId="1FBEBF33" id="Ink 1" o:spid="_x0000_s1026" type="#_x0000_t75" style="position:absolute;margin-left:-12.2pt;margin-top:2.95pt;width:1.45pt;height:1.4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">
                <v:imagedata r:id="rId94" o:title=""/>
              </v:shape>
            </w:pict>
          </mc:Fallback>
        </mc:AlternateContent>
      </w:r>
      <w:r w:rsidR="001841C2">
        <w:rPr>
          <w:noProof/>
        </w:rPr>
        <mc:AlternateContent>
          <mc:Choice Requires="wpi">
            <w:drawing>
              <wp:anchor distT="0" distB="0" distL="114300" distR="114300" simplePos="0" relativeHeight="251658244" behindDoc="0" locked="0" layoutInCell="1" allowOverlap="1" wp14:anchorId="64D62B82" wp14:editId="00571871">
                <wp:simplePos x="0" y="0"/>
                <wp:positionH relativeFrom="column">
                  <wp:posOffset>99953</wp:posOffset>
                </wp:positionH>
                <wp:positionV relativeFrom="paragraph">
                  <wp:posOffset>40031</wp:posOffset>
                </wp:positionV>
                <wp:extent cx="6101640" cy="8497440"/>
                <wp:effectExtent l="57150" t="57150" r="52070" b="56515"/>
                <wp:wrapNone/>
                <wp:docPr id="1452361159" name="Ink 10"/>
                <wp:cNvGraphicFramePr/>
                <a:graphic xmlns:a="http://schemas.openxmlformats.org/drawingml/2006/main">
                  <a:graphicData uri="http://schemas.microsoft.com/office/word/2010/wordprocessingInk">
                    <w14:contentPart bwMode="auto" r:id="rId95">
                      <w14:nvContentPartPr>
                        <w14:cNvContentPartPr/>
                      </w14:nvContentPartPr>
                      <w14:xfrm>
                        <a:off x="0" y="0"/>
                        <a:ext cx="6101640" cy="8497440"/>
                      </w14:xfrm>
                    </w14:contentPart>
                  </a:graphicData>
                </a:graphic>
              </wp:anchor>
            </w:drawing>
          </mc:Choice>
          <mc:Fallback xmlns:arto="http://schemas.microsoft.com/office/word/2006/arto">
            <w:pict>
              <v:shape w14:anchorId="7B71BAFD" id="Ink 10" o:spid="_x0000_s1026" type="#_x0000_t75" style="position:absolute;margin-left:7.15pt;margin-top:2.45pt;width:481.9pt;height:670.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">
                <v:imagedata r:id="rId96" o:title=""/>
              </v:shape>
            </w:pict>
          </mc:Fallback>
        </mc:AlternateContent>
      </w:r>
      <w:r w:rsidR="00461E90">
        <w:rPr>
          <w:noProof/>
        </w:rPr>
        <w:drawing>
          <wp:inline distT="0" distB="0" distL="0" distR="0" wp14:anchorId="3F805F4C" wp14:editId="76CDCEEE">
            <wp:extent cx="5946841" cy="8477316"/>
            <wp:effectExtent l="0" t="0" r="15875" b="0"/>
            <wp:docPr id="72153277" name="Chart 1" descr="Ashfield Housing Trajectory Chart showing expected delivery of new housing against different indicators, including small site windfalls and projected completions from sites with planning permission. It monitors from 2023 up to 2040.&#10;&#10;Please note this chart has been struck through in the proposed modifications version of the Local Plan.">
              <a:extLst xmlns:a="http://schemas.openxmlformats.org/drawingml/2006/main">
                <a:ext uri="{FF2B5EF4-FFF2-40B4-BE49-F238E27FC236}">
                  <a16:creationId xmlns:a16="http://schemas.microsoft.com/office/drawing/2014/main" id="{AC1843B7-C5C4-4DF5-AB61-C42BDEEA2B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72A1638" w14:textId="73004B2E" w:rsidR="001841C2" w:rsidRPr="00AB4836" w:rsidRDefault="001841C2" w:rsidP="00AB4836"/>
    <w:p w14:paraId="5BE3D1C7" w14:textId="1F2D9FFF" w:rsidR="00BE4612" w:rsidRPr="00BE4612" w:rsidRDefault="00BE4612" w:rsidP="00BE4612">
      <w:pPr>
        <w:rPr>
          <w:lang w:eastAsia="en-US"/>
        </w:rPr>
      </w:pPr>
      <w:r>
        <w:rPr>
          <w:noProof/>
        </w:rPr>
        <w:drawing>
          <wp:inline distT="0" distB="0" distL="0" distR="0" wp14:anchorId="345FC850" wp14:editId="75040085">
            <wp:extent cx="5973288" cy="8193974"/>
            <wp:effectExtent l="0" t="0" r="8890" b="17145"/>
            <wp:docPr id="857093104" name="Chart 1" descr="Ashfield Housing Trajectory Chart showing expected delivery of new housing against different indicators, including small site windfalls and projected completions from sites with planning permission. It monitors from 2023 up to 2040.">
              <a:extLst xmlns:a="http://schemas.openxmlformats.org/drawingml/2006/main">
                <a:ext uri="{FF2B5EF4-FFF2-40B4-BE49-F238E27FC236}">
                  <a16:creationId xmlns:a16="http://schemas.microsoft.com/office/drawing/2014/main" id="{AC1843B7-C5C4-4DF5-AB61-C42BDEEA2B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309AF9B1" w14:textId="64A8B4B9" w:rsidR="00F60F32" w:rsidRDefault="00C602FD" w:rsidP="00CF07B9">
      <w:pPr>
        <w:pStyle w:val="Heading1"/>
      </w:pPr>
      <w:r>
        <w:br w:type="page"/>
      </w:r>
      <w:bookmarkStart w:id="336" w:name="_Toc145511633"/>
      <w:bookmarkStart w:id="337" w:name="_Toc145511626"/>
      <w:r w:rsidR="00F60F32" w:rsidRPr="00C602FD">
        <w:lastRenderedPageBreak/>
        <w:t xml:space="preserve">Appendix </w:t>
      </w:r>
      <w:r w:rsidR="00F60F32">
        <w:t>2a</w:t>
      </w:r>
      <w:r w:rsidR="00184119">
        <w:t xml:space="preserve">: </w:t>
      </w:r>
      <w:r w:rsidR="00F60F32">
        <w:t xml:space="preserve">Distribution of New Housing Development (Dwellings) by Settlement Hierarchy - October 2025 </w:t>
      </w:r>
    </w:p>
    <w:p w14:paraId="63865C33" w14:textId="77777777" w:rsidR="006047FC" w:rsidRPr="006047FC" w:rsidRDefault="006047FC" w:rsidP="006047FC">
      <w:pPr>
        <w:rPr>
          <w:lang w:eastAsia="en-US"/>
        </w:rPr>
      </w:pPr>
    </w:p>
    <w:tbl>
      <w:tblPr>
        <w:tblW w:w="10019" w:type="dxa"/>
        <w:tblInd w:w="-147" w:type="dxa"/>
        <w:tblLook w:val="04A0" w:firstRow="1" w:lastRow="0" w:firstColumn="1" w:lastColumn="0" w:noHBand="0" w:noVBand="1"/>
      </w:tblPr>
      <w:tblGrid>
        <w:gridCol w:w="2161"/>
        <w:gridCol w:w="1439"/>
        <w:gridCol w:w="1220"/>
        <w:gridCol w:w="1513"/>
        <w:gridCol w:w="1382"/>
        <w:gridCol w:w="987"/>
        <w:gridCol w:w="1317"/>
      </w:tblGrid>
      <w:tr w:rsidR="00D729CA" w:rsidRPr="00D729CA" w14:paraId="27ECC1AC" w14:textId="77777777" w:rsidTr="006047FC">
        <w:trPr>
          <w:trHeight w:val="1596"/>
        </w:trPr>
        <w:tc>
          <w:tcPr>
            <w:tcW w:w="2161"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4469DAAF" w14:textId="77777777" w:rsidR="00F60F32" w:rsidRPr="00E56F9C" w:rsidRDefault="00F60F32">
            <w:pPr>
              <w:rPr>
                <w:rFonts w:asciiTheme="minorHAnsi" w:hAnsiTheme="minorHAnsi" w:cstheme="minorHAnsi"/>
                <w:color w:val="005EAC"/>
                <w:kern w:val="2"/>
                <w:sz w:val="22"/>
                <w14:ligatures w14:val="standardContextual"/>
              </w:rPr>
            </w:pPr>
            <w:r w:rsidRPr="00E56F9C">
              <w:rPr>
                <w:rFonts w:asciiTheme="minorHAnsi" w:hAnsiTheme="minorHAnsi" w:cstheme="minorHAnsi"/>
                <w:color w:val="005EAC"/>
                <w:kern w:val="2"/>
                <w:sz w:val="22"/>
                <w14:ligatures w14:val="standardContextual"/>
              </w:rPr>
              <w:t>Hierarchy</w:t>
            </w:r>
          </w:p>
        </w:tc>
        <w:tc>
          <w:tcPr>
            <w:tcW w:w="1439" w:type="dxa"/>
            <w:tcBorders>
              <w:top w:val="single" w:sz="4" w:space="0" w:color="auto"/>
              <w:left w:val="nil"/>
              <w:bottom w:val="single" w:sz="4" w:space="0" w:color="auto"/>
              <w:right w:val="single" w:sz="4" w:space="0" w:color="auto"/>
            </w:tcBorders>
            <w:shd w:val="clear" w:color="auto" w:fill="D9D9D9"/>
            <w:vAlign w:val="bottom"/>
            <w:hideMark/>
          </w:tcPr>
          <w:p w14:paraId="2BF74E2E" w14:textId="77777777" w:rsidR="00F60F32" w:rsidRPr="00E56F9C" w:rsidRDefault="00F60F32">
            <w:pPr>
              <w:jc w:val="center"/>
              <w:rPr>
                <w:rFonts w:asciiTheme="minorHAnsi" w:hAnsiTheme="minorHAnsi" w:cstheme="minorHAnsi"/>
                <w:color w:val="005EAC"/>
                <w:kern w:val="2"/>
                <w:sz w:val="22"/>
                <w14:ligatures w14:val="standardContextual"/>
              </w:rPr>
            </w:pPr>
            <w:r w:rsidRPr="00E56F9C">
              <w:rPr>
                <w:rFonts w:asciiTheme="minorHAnsi" w:hAnsiTheme="minorHAnsi" w:cstheme="minorHAnsi"/>
                <w:color w:val="005EAC"/>
                <w:kern w:val="2"/>
                <w:sz w:val="22"/>
                <w14:ligatures w14:val="standardContextual"/>
              </w:rPr>
              <w:t>Net Housing Completions 2023-25</w:t>
            </w:r>
          </w:p>
        </w:tc>
        <w:tc>
          <w:tcPr>
            <w:tcW w:w="1220" w:type="dxa"/>
            <w:tcBorders>
              <w:top w:val="single" w:sz="4" w:space="0" w:color="auto"/>
              <w:left w:val="nil"/>
              <w:bottom w:val="single" w:sz="4" w:space="0" w:color="auto"/>
              <w:right w:val="single" w:sz="4" w:space="0" w:color="auto"/>
            </w:tcBorders>
            <w:shd w:val="clear" w:color="auto" w:fill="D9D9D9"/>
            <w:vAlign w:val="bottom"/>
            <w:hideMark/>
          </w:tcPr>
          <w:p w14:paraId="497F160C" w14:textId="77777777" w:rsidR="00F60F32" w:rsidRPr="00E56F9C" w:rsidRDefault="00F60F32">
            <w:pPr>
              <w:jc w:val="center"/>
              <w:rPr>
                <w:rFonts w:asciiTheme="minorHAnsi" w:hAnsiTheme="minorHAnsi" w:cstheme="minorHAnsi"/>
                <w:color w:val="005EAC"/>
                <w:kern w:val="2"/>
                <w:sz w:val="22"/>
                <w14:ligatures w14:val="standardContextual"/>
              </w:rPr>
            </w:pPr>
            <w:r w:rsidRPr="00E56F9C">
              <w:rPr>
                <w:rFonts w:asciiTheme="minorHAnsi" w:hAnsiTheme="minorHAnsi" w:cstheme="minorHAnsi"/>
                <w:color w:val="005EAC"/>
                <w:kern w:val="2"/>
                <w:sz w:val="22"/>
                <w14:ligatures w14:val="standardContextual"/>
              </w:rPr>
              <w:t>H1 Housing Sites without Planning Permission</w:t>
            </w:r>
          </w:p>
        </w:tc>
        <w:tc>
          <w:tcPr>
            <w:tcW w:w="1513" w:type="dxa"/>
            <w:tcBorders>
              <w:top w:val="single" w:sz="4" w:space="0" w:color="auto"/>
              <w:left w:val="nil"/>
              <w:bottom w:val="single" w:sz="4" w:space="0" w:color="auto"/>
              <w:right w:val="single" w:sz="4" w:space="0" w:color="auto"/>
            </w:tcBorders>
            <w:shd w:val="clear" w:color="auto" w:fill="D9D9D9"/>
            <w:vAlign w:val="bottom"/>
            <w:hideMark/>
          </w:tcPr>
          <w:p w14:paraId="2B7DB44F" w14:textId="496501A8" w:rsidR="00F60F32" w:rsidRPr="00E56F9C" w:rsidRDefault="00F60F32">
            <w:pPr>
              <w:jc w:val="center"/>
              <w:rPr>
                <w:rFonts w:asciiTheme="minorHAnsi" w:hAnsiTheme="minorHAnsi" w:cstheme="minorHAnsi"/>
                <w:color w:val="005EAC"/>
                <w:kern w:val="2"/>
                <w:sz w:val="22"/>
                <w14:ligatures w14:val="standardContextual"/>
              </w:rPr>
            </w:pPr>
            <w:r w:rsidRPr="00E56F9C">
              <w:rPr>
                <w:rFonts w:asciiTheme="minorHAnsi" w:hAnsiTheme="minorHAnsi" w:cstheme="minorHAnsi"/>
                <w:color w:val="005EAC"/>
                <w:kern w:val="2"/>
                <w:sz w:val="22"/>
                <w14:ligatures w14:val="standardContextual"/>
              </w:rPr>
              <w:t xml:space="preserve">H1 sites with a resolution to </w:t>
            </w:r>
            <w:proofErr w:type="gramStart"/>
            <w:r w:rsidRPr="00E56F9C">
              <w:rPr>
                <w:rFonts w:asciiTheme="minorHAnsi" w:hAnsiTheme="minorHAnsi" w:cstheme="minorHAnsi"/>
                <w:color w:val="005EAC"/>
                <w:kern w:val="2"/>
                <w:sz w:val="22"/>
                <w14:ligatures w14:val="standardContextual"/>
              </w:rPr>
              <w:t>grant  permission</w:t>
            </w:r>
            <w:proofErr w:type="gramEnd"/>
            <w:r w:rsidRPr="00E56F9C">
              <w:rPr>
                <w:rFonts w:asciiTheme="minorHAnsi" w:hAnsiTheme="minorHAnsi" w:cstheme="minorHAnsi"/>
                <w:color w:val="005EAC"/>
                <w:kern w:val="2"/>
                <w:sz w:val="22"/>
                <w14:ligatures w14:val="standardContextual"/>
              </w:rPr>
              <w:t xml:space="preserve"> subject to a s106 </w:t>
            </w:r>
          </w:p>
        </w:tc>
        <w:tc>
          <w:tcPr>
            <w:tcW w:w="1382" w:type="dxa"/>
            <w:tcBorders>
              <w:top w:val="single" w:sz="4" w:space="0" w:color="auto"/>
              <w:left w:val="nil"/>
              <w:bottom w:val="single" w:sz="4" w:space="0" w:color="auto"/>
              <w:right w:val="single" w:sz="4" w:space="0" w:color="auto"/>
            </w:tcBorders>
            <w:shd w:val="clear" w:color="auto" w:fill="D9D9D9"/>
            <w:vAlign w:val="bottom"/>
            <w:hideMark/>
          </w:tcPr>
          <w:p w14:paraId="107B0E66" w14:textId="77777777" w:rsidR="00F60F32" w:rsidRPr="00E56F9C" w:rsidRDefault="00F60F32">
            <w:pPr>
              <w:jc w:val="center"/>
              <w:rPr>
                <w:rFonts w:asciiTheme="minorHAnsi" w:hAnsiTheme="minorHAnsi" w:cstheme="minorHAnsi"/>
                <w:color w:val="005EAC"/>
                <w:kern w:val="2"/>
                <w:sz w:val="22"/>
                <w14:ligatures w14:val="standardContextual"/>
              </w:rPr>
            </w:pPr>
            <w:r w:rsidRPr="00E56F9C">
              <w:rPr>
                <w:rFonts w:asciiTheme="minorHAnsi" w:hAnsiTheme="minorHAnsi" w:cstheme="minorHAnsi"/>
                <w:color w:val="005EAC"/>
                <w:kern w:val="2"/>
                <w:sz w:val="22"/>
                <w14:ligatures w14:val="standardContextual"/>
              </w:rPr>
              <w:t>All Housing Sites with Planning Permission</w:t>
            </w:r>
            <w:r w:rsidRPr="00E56F9C">
              <w:rPr>
                <w:rFonts w:asciiTheme="minorHAnsi" w:hAnsiTheme="minorHAnsi" w:cstheme="minorHAnsi"/>
                <w:color w:val="005EAC"/>
                <w:kern w:val="2"/>
                <w:sz w:val="22"/>
                <w:vertAlign w:val="superscript"/>
                <w14:ligatures w14:val="standardContextual"/>
              </w:rPr>
              <w:t>#</w:t>
            </w:r>
          </w:p>
        </w:tc>
        <w:tc>
          <w:tcPr>
            <w:tcW w:w="987" w:type="dxa"/>
            <w:tcBorders>
              <w:top w:val="single" w:sz="4" w:space="0" w:color="auto"/>
              <w:left w:val="nil"/>
              <w:bottom w:val="single" w:sz="4" w:space="0" w:color="auto"/>
              <w:right w:val="single" w:sz="4" w:space="0" w:color="auto"/>
            </w:tcBorders>
            <w:shd w:val="clear" w:color="auto" w:fill="D9D9D9"/>
            <w:vAlign w:val="bottom"/>
            <w:hideMark/>
          </w:tcPr>
          <w:p w14:paraId="5BE40E68" w14:textId="77777777" w:rsidR="00F60F32" w:rsidRPr="00E56F9C" w:rsidRDefault="00F60F32">
            <w:pPr>
              <w:jc w:val="center"/>
              <w:rPr>
                <w:rFonts w:asciiTheme="minorHAnsi" w:hAnsiTheme="minorHAnsi" w:cstheme="minorHAnsi"/>
                <w:color w:val="005EAC"/>
                <w:kern w:val="2"/>
                <w:sz w:val="22"/>
                <w14:ligatures w14:val="standardContextual"/>
              </w:rPr>
            </w:pPr>
            <w:r w:rsidRPr="00E56F9C">
              <w:rPr>
                <w:rFonts w:asciiTheme="minorHAnsi" w:hAnsiTheme="minorHAnsi" w:cstheme="minorHAnsi"/>
                <w:color w:val="005EAC"/>
                <w:kern w:val="2"/>
                <w:sz w:val="22"/>
                <w14:ligatures w14:val="standardContextual"/>
              </w:rPr>
              <w:t>All housing Sites</w:t>
            </w:r>
          </w:p>
        </w:tc>
        <w:tc>
          <w:tcPr>
            <w:tcW w:w="1317" w:type="dxa"/>
            <w:tcBorders>
              <w:top w:val="single" w:sz="4" w:space="0" w:color="auto"/>
              <w:left w:val="nil"/>
              <w:bottom w:val="single" w:sz="4" w:space="0" w:color="auto"/>
              <w:right w:val="single" w:sz="4" w:space="0" w:color="auto"/>
            </w:tcBorders>
            <w:shd w:val="clear" w:color="auto" w:fill="D9D9D9"/>
            <w:vAlign w:val="bottom"/>
            <w:hideMark/>
          </w:tcPr>
          <w:p w14:paraId="5709A431" w14:textId="77777777" w:rsidR="00F60F32" w:rsidRPr="00E56F9C" w:rsidRDefault="00F60F32">
            <w:pPr>
              <w:jc w:val="center"/>
              <w:rPr>
                <w:rFonts w:asciiTheme="minorHAnsi" w:hAnsiTheme="minorHAnsi" w:cstheme="minorHAnsi"/>
                <w:color w:val="005EAC"/>
                <w:kern w:val="2"/>
                <w:sz w:val="22"/>
                <w14:ligatures w14:val="standardContextual"/>
              </w:rPr>
            </w:pPr>
            <w:r w:rsidRPr="00E56F9C">
              <w:rPr>
                <w:rFonts w:asciiTheme="minorHAnsi" w:hAnsiTheme="minorHAnsi" w:cstheme="minorHAnsi"/>
                <w:color w:val="005EAC"/>
                <w:kern w:val="2"/>
                <w:sz w:val="22"/>
                <w14:ligatures w14:val="standardContextual"/>
              </w:rPr>
              <w:t>% Distribution</w:t>
            </w:r>
          </w:p>
        </w:tc>
      </w:tr>
      <w:tr w:rsidR="00D729CA" w:rsidRPr="00D729CA" w14:paraId="5E167DAF" w14:textId="77777777" w:rsidTr="006047FC">
        <w:trPr>
          <w:trHeight w:hRule="exact" w:val="397"/>
        </w:trPr>
        <w:tc>
          <w:tcPr>
            <w:tcW w:w="2161" w:type="dxa"/>
            <w:tcBorders>
              <w:top w:val="nil"/>
              <w:left w:val="single" w:sz="4" w:space="0" w:color="auto"/>
              <w:bottom w:val="single" w:sz="4" w:space="0" w:color="auto"/>
              <w:right w:val="single" w:sz="4" w:space="0" w:color="auto"/>
            </w:tcBorders>
            <w:vAlign w:val="bottom"/>
            <w:hideMark/>
          </w:tcPr>
          <w:p w14:paraId="40CE9D1B"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Main Urban Areas</w:t>
            </w:r>
          </w:p>
        </w:tc>
        <w:tc>
          <w:tcPr>
            <w:tcW w:w="1439" w:type="dxa"/>
            <w:tcBorders>
              <w:top w:val="nil"/>
              <w:left w:val="nil"/>
              <w:bottom w:val="single" w:sz="4" w:space="0" w:color="auto"/>
              <w:right w:val="single" w:sz="4" w:space="0" w:color="auto"/>
            </w:tcBorders>
            <w:vAlign w:val="bottom"/>
            <w:hideMark/>
          </w:tcPr>
          <w:p w14:paraId="516DE26F"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 </w:t>
            </w:r>
          </w:p>
        </w:tc>
        <w:tc>
          <w:tcPr>
            <w:tcW w:w="1220" w:type="dxa"/>
            <w:tcBorders>
              <w:top w:val="nil"/>
              <w:left w:val="nil"/>
              <w:bottom w:val="single" w:sz="4" w:space="0" w:color="auto"/>
              <w:right w:val="single" w:sz="4" w:space="0" w:color="auto"/>
            </w:tcBorders>
            <w:noWrap/>
            <w:vAlign w:val="bottom"/>
            <w:hideMark/>
          </w:tcPr>
          <w:p w14:paraId="7F949D0E"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1513" w:type="dxa"/>
            <w:tcBorders>
              <w:top w:val="nil"/>
              <w:left w:val="nil"/>
              <w:bottom w:val="single" w:sz="4" w:space="0" w:color="auto"/>
              <w:right w:val="single" w:sz="4" w:space="0" w:color="auto"/>
            </w:tcBorders>
            <w:noWrap/>
            <w:vAlign w:val="bottom"/>
            <w:hideMark/>
          </w:tcPr>
          <w:p w14:paraId="035A0F09"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1382" w:type="dxa"/>
            <w:tcBorders>
              <w:top w:val="nil"/>
              <w:left w:val="nil"/>
              <w:bottom w:val="single" w:sz="4" w:space="0" w:color="auto"/>
              <w:right w:val="single" w:sz="4" w:space="0" w:color="auto"/>
            </w:tcBorders>
            <w:noWrap/>
            <w:vAlign w:val="bottom"/>
            <w:hideMark/>
          </w:tcPr>
          <w:p w14:paraId="30FF83F1"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987" w:type="dxa"/>
            <w:tcBorders>
              <w:top w:val="nil"/>
              <w:left w:val="nil"/>
              <w:bottom w:val="single" w:sz="4" w:space="0" w:color="auto"/>
              <w:right w:val="single" w:sz="4" w:space="0" w:color="auto"/>
            </w:tcBorders>
            <w:noWrap/>
            <w:vAlign w:val="bottom"/>
            <w:hideMark/>
          </w:tcPr>
          <w:p w14:paraId="55758CD1"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1317" w:type="dxa"/>
            <w:tcBorders>
              <w:top w:val="nil"/>
              <w:left w:val="nil"/>
              <w:bottom w:val="single" w:sz="4" w:space="0" w:color="auto"/>
              <w:right w:val="single" w:sz="4" w:space="0" w:color="auto"/>
            </w:tcBorders>
            <w:noWrap/>
            <w:vAlign w:val="bottom"/>
            <w:hideMark/>
          </w:tcPr>
          <w:p w14:paraId="19A806B8"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r>
      <w:tr w:rsidR="00D729CA" w:rsidRPr="00D729CA" w14:paraId="502D50CC"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1FE08F4C"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Sutton</w:t>
            </w:r>
          </w:p>
        </w:tc>
        <w:tc>
          <w:tcPr>
            <w:tcW w:w="1439" w:type="dxa"/>
            <w:tcBorders>
              <w:top w:val="nil"/>
              <w:left w:val="nil"/>
              <w:bottom w:val="single" w:sz="4" w:space="0" w:color="auto"/>
              <w:right w:val="single" w:sz="4" w:space="0" w:color="auto"/>
            </w:tcBorders>
            <w:vAlign w:val="bottom"/>
            <w:hideMark/>
          </w:tcPr>
          <w:p w14:paraId="04E61F9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450</w:t>
            </w:r>
          </w:p>
        </w:tc>
        <w:tc>
          <w:tcPr>
            <w:tcW w:w="1220" w:type="dxa"/>
            <w:tcBorders>
              <w:top w:val="nil"/>
              <w:left w:val="nil"/>
              <w:bottom w:val="single" w:sz="4" w:space="0" w:color="auto"/>
              <w:right w:val="single" w:sz="4" w:space="0" w:color="auto"/>
            </w:tcBorders>
            <w:shd w:val="clear" w:color="auto" w:fill="FFFFFF"/>
            <w:noWrap/>
            <w:vAlign w:val="bottom"/>
            <w:hideMark/>
          </w:tcPr>
          <w:p w14:paraId="0B56BA8D"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2065</w:t>
            </w:r>
          </w:p>
        </w:tc>
        <w:tc>
          <w:tcPr>
            <w:tcW w:w="1513" w:type="dxa"/>
            <w:tcBorders>
              <w:top w:val="nil"/>
              <w:left w:val="nil"/>
              <w:bottom w:val="single" w:sz="4" w:space="0" w:color="auto"/>
              <w:right w:val="single" w:sz="4" w:space="0" w:color="auto"/>
            </w:tcBorders>
            <w:noWrap/>
            <w:vAlign w:val="bottom"/>
            <w:hideMark/>
          </w:tcPr>
          <w:p w14:paraId="193F6CC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248</w:t>
            </w:r>
          </w:p>
        </w:tc>
        <w:tc>
          <w:tcPr>
            <w:tcW w:w="1382" w:type="dxa"/>
            <w:tcBorders>
              <w:top w:val="nil"/>
              <w:left w:val="nil"/>
              <w:bottom w:val="single" w:sz="4" w:space="0" w:color="auto"/>
              <w:right w:val="single" w:sz="4" w:space="0" w:color="auto"/>
            </w:tcBorders>
            <w:shd w:val="clear" w:color="auto" w:fill="FFFFFF"/>
            <w:noWrap/>
            <w:vAlign w:val="bottom"/>
            <w:hideMark/>
          </w:tcPr>
          <w:p w14:paraId="313C883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1524</w:t>
            </w:r>
          </w:p>
        </w:tc>
        <w:tc>
          <w:tcPr>
            <w:tcW w:w="987" w:type="dxa"/>
            <w:tcBorders>
              <w:top w:val="nil"/>
              <w:left w:val="nil"/>
              <w:bottom w:val="single" w:sz="4" w:space="0" w:color="auto"/>
              <w:right w:val="single" w:sz="4" w:space="0" w:color="auto"/>
            </w:tcBorders>
            <w:noWrap/>
            <w:vAlign w:val="bottom"/>
            <w:hideMark/>
          </w:tcPr>
          <w:p w14:paraId="7A42D78F"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4287</w:t>
            </w:r>
          </w:p>
        </w:tc>
        <w:tc>
          <w:tcPr>
            <w:tcW w:w="1317" w:type="dxa"/>
            <w:tcBorders>
              <w:top w:val="nil"/>
              <w:left w:val="nil"/>
              <w:bottom w:val="single" w:sz="4" w:space="0" w:color="auto"/>
              <w:right w:val="single" w:sz="4" w:space="0" w:color="auto"/>
            </w:tcBorders>
            <w:noWrap/>
            <w:vAlign w:val="bottom"/>
            <w:hideMark/>
          </w:tcPr>
          <w:p w14:paraId="7154758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52.8%</w:t>
            </w:r>
          </w:p>
        </w:tc>
      </w:tr>
      <w:tr w:rsidR="00D729CA" w:rsidRPr="00D729CA" w14:paraId="45812CC6"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75818815"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Kirkby</w:t>
            </w:r>
          </w:p>
        </w:tc>
        <w:tc>
          <w:tcPr>
            <w:tcW w:w="1439" w:type="dxa"/>
            <w:tcBorders>
              <w:top w:val="nil"/>
              <w:left w:val="nil"/>
              <w:bottom w:val="single" w:sz="4" w:space="0" w:color="auto"/>
              <w:right w:val="single" w:sz="4" w:space="0" w:color="auto"/>
            </w:tcBorders>
            <w:vAlign w:val="bottom"/>
            <w:hideMark/>
          </w:tcPr>
          <w:p w14:paraId="054E960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124</w:t>
            </w:r>
          </w:p>
        </w:tc>
        <w:tc>
          <w:tcPr>
            <w:tcW w:w="1220" w:type="dxa"/>
            <w:tcBorders>
              <w:top w:val="nil"/>
              <w:left w:val="nil"/>
              <w:bottom w:val="single" w:sz="4" w:space="0" w:color="auto"/>
              <w:right w:val="single" w:sz="4" w:space="0" w:color="auto"/>
            </w:tcBorders>
            <w:noWrap/>
            <w:vAlign w:val="bottom"/>
            <w:hideMark/>
          </w:tcPr>
          <w:p w14:paraId="32DD47F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428</w:t>
            </w:r>
          </w:p>
        </w:tc>
        <w:tc>
          <w:tcPr>
            <w:tcW w:w="1513" w:type="dxa"/>
            <w:tcBorders>
              <w:top w:val="nil"/>
              <w:left w:val="nil"/>
              <w:bottom w:val="single" w:sz="4" w:space="0" w:color="auto"/>
              <w:right w:val="single" w:sz="4" w:space="0" w:color="auto"/>
            </w:tcBorders>
            <w:noWrap/>
            <w:vAlign w:val="bottom"/>
            <w:hideMark/>
          </w:tcPr>
          <w:p w14:paraId="6E1E403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38</w:t>
            </w:r>
          </w:p>
        </w:tc>
        <w:tc>
          <w:tcPr>
            <w:tcW w:w="1382" w:type="dxa"/>
            <w:tcBorders>
              <w:top w:val="nil"/>
              <w:left w:val="nil"/>
              <w:bottom w:val="single" w:sz="4" w:space="0" w:color="auto"/>
              <w:right w:val="single" w:sz="4" w:space="0" w:color="auto"/>
            </w:tcBorders>
            <w:shd w:val="clear" w:color="auto" w:fill="FFFFFF"/>
            <w:noWrap/>
            <w:vAlign w:val="bottom"/>
            <w:hideMark/>
          </w:tcPr>
          <w:p w14:paraId="19918EDD"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282</w:t>
            </w:r>
          </w:p>
        </w:tc>
        <w:tc>
          <w:tcPr>
            <w:tcW w:w="987" w:type="dxa"/>
            <w:tcBorders>
              <w:top w:val="nil"/>
              <w:left w:val="nil"/>
              <w:bottom w:val="single" w:sz="4" w:space="0" w:color="auto"/>
              <w:right w:val="single" w:sz="4" w:space="0" w:color="auto"/>
            </w:tcBorders>
            <w:noWrap/>
            <w:vAlign w:val="bottom"/>
            <w:hideMark/>
          </w:tcPr>
          <w:p w14:paraId="00227FE4"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872</w:t>
            </w:r>
          </w:p>
        </w:tc>
        <w:tc>
          <w:tcPr>
            <w:tcW w:w="1317" w:type="dxa"/>
            <w:tcBorders>
              <w:top w:val="nil"/>
              <w:left w:val="nil"/>
              <w:bottom w:val="single" w:sz="4" w:space="0" w:color="auto"/>
              <w:right w:val="single" w:sz="4" w:space="0" w:color="auto"/>
            </w:tcBorders>
            <w:noWrap/>
            <w:vAlign w:val="bottom"/>
            <w:hideMark/>
          </w:tcPr>
          <w:p w14:paraId="46910BDE"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10.7%</w:t>
            </w:r>
          </w:p>
        </w:tc>
      </w:tr>
      <w:tr w:rsidR="00D729CA" w:rsidRPr="00D729CA" w14:paraId="2E6077E7"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079F8A17"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Hucknall</w:t>
            </w:r>
          </w:p>
        </w:tc>
        <w:tc>
          <w:tcPr>
            <w:tcW w:w="1439" w:type="dxa"/>
            <w:tcBorders>
              <w:top w:val="nil"/>
              <w:left w:val="nil"/>
              <w:bottom w:val="single" w:sz="4" w:space="0" w:color="auto"/>
              <w:right w:val="single" w:sz="4" w:space="0" w:color="auto"/>
            </w:tcBorders>
            <w:vAlign w:val="bottom"/>
            <w:hideMark/>
          </w:tcPr>
          <w:p w14:paraId="0E8145E3"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306</w:t>
            </w:r>
          </w:p>
        </w:tc>
        <w:tc>
          <w:tcPr>
            <w:tcW w:w="1220" w:type="dxa"/>
            <w:tcBorders>
              <w:top w:val="nil"/>
              <w:left w:val="nil"/>
              <w:bottom w:val="single" w:sz="4" w:space="0" w:color="auto"/>
              <w:right w:val="single" w:sz="4" w:space="0" w:color="auto"/>
            </w:tcBorders>
            <w:noWrap/>
            <w:vAlign w:val="bottom"/>
            <w:hideMark/>
          </w:tcPr>
          <w:p w14:paraId="1062CB6B"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759</w:t>
            </w:r>
          </w:p>
        </w:tc>
        <w:tc>
          <w:tcPr>
            <w:tcW w:w="1513" w:type="dxa"/>
            <w:tcBorders>
              <w:top w:val="nil"/>
              <w:left w:val="nil"/>
              <w:bottom w:val="single" w:sz="4" w:space="0" w:color="auto"/>
              <w:right w:val="single" w:sz="4" w:space="0" w:color="auto"/>
            </w:tcBorders>
            <w:noWrap/>
            <w:vAlign w:val="bottom"/>
            <w:hideMark/>
          </w:tcPr>
          <w:p w14:paraId="392272F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79A0E57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459</w:t>
            </w:r>
          </w:p>
        </w:tc>
        <w:tc>
          <w:tcPr>
            <w:tcW w:w="987" w:type="dxa"/>
            <w:tcBorders>
              <w:top w:val="nil"/>
              <w:left w:val="nil"/>
              <w:bottom w:val="single" w:sz="4" w:space="0" w:color="auto"/>
              <w:right w:val="single" w:sz="4" w:space="0" w:color="auto"/>
            </w:tcBorders>
            <w:noWrap/>
            <w:vAlign w:val="bottom"/>
            <w:hideMark/>
          </w:tcPr>
          <w:p w14:paraId="2C90C70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1524</w:t>
            </w:r>
          </w:p>
        </w:tc>
        <w:tc>
          <w:tcPr>
            <w:tcW w:w="1317" w:type="dxa"/>
            <w:tcBorders>
              <w:top w:val="nil"/>
              <w:left w:val="nil"/>
              <w:bottom w:val="single" w:sz="4" w:space="0" w:color="auto"/>
              <w:right w:val="single" w:sz="4" w:space="0" w:color="auto"/>
            </w:tcBorders>
            <w:noWrap/>
            <w:vAlign w:val="bottom"/>
            <w:hideMark/>
          </w:tcPr>
          <w:p w14:paraId="492F15B4"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18.8%</w:t>
            </w:r>
          </w:p>
        </w:tc>
      </w:tr>
      <w:tr w:rsidR="00D729CA" w:rsidRPr="00D729CA" w14:paraId="38B458F0"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45E4A6C5" w14:textId="20E157F5"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Adjacent Mansfield</w:t>
            </w:r>
          </w:p>
        </w:tc>
        <w:tc>
          <w:tcPr>
            <w:tcW w:w="1439" w:type="dxa"/>
            <w:tcBorders>
              <w:top w:val="nil"/>
              <w:left w:val="nil"/>
              <w:bottom w:val="single" w:sz="4" w:space="0" w:color="auto"/>
              <w:right w:val="single" w:sz="4" w:space="0" w:color="auto"/>
            </w:tcBorders>
            <w:vAlign w:val="bottom"/>
            <w:hideMark/>
          </w:tcPr>
          <w:p w14:paraId="6FDEA2D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shd w:val="clear" w:color="auto" w:fill="FFFFFF"/>
            <w:noWrap/>
            <w:vAlign w:val="bottom"/>
            <w:hideMark/>
          </w:tcPr>
          <w:p w14:paraId="4B19F2B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3D802906"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458</w:t>
            </w:r>
          </w:p>
        </w:tc>
        <w:tc>
          <w:tcPr>
            <w:tcW w:w="1382" w:type="dxa"/>
            <w:tcBorders>
              <w:top w:val="nil"/>
              <w:left w:val="nil"/>
              <w:bottom w:val="single" w:sz="4" w:space="0" w:color="auto"/>
              <w:right w:val="single" w:sz="4" w:space="0" w:color="auto"/>
            </w:tcBorders>
            <w:shd w:val="clear" w:color="auto" w:fill="FFFFFF"/>
            <w:noWrap/>
            <w:vAlign w:val="bottom"/>
            <w:hideMark/>
          </w:tcPr>
          <w:p w14:paraId="78B291E9"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987" w:type="dxa"/>
            <w:tcBorders>
              <w:top w:val="nil"/>
              <w:left w:val="nil"/>
              <w:bottom w:val="single" w:sz="4" w:space="0" w:color="auto"/>
              <w:right w:val="single" w:sz="4" w:space="0" w:color="auto"/>
            </w:tcBorders>
            <w:noWrap/>
            <w:vAlign w:val="bottom"/>
            <w:hideMark/>
          </w:tcPr>
          <w:p w14:paraId="7594837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458</w:t>
            </w:r>
          </w:p>
        </w:tc>
        <w:tc>
          <w:tcPr>
            <w:tcW w:w="1317" w:type="dxa"/>
            <w:tcBorders>
              <w:top w:val="nil"/>
              <w:left w:val="nil"/>
              <w:bottom w:val="single" w:sz="4" w:space="0" w:color="auto"/>
              <w:right w:val="single" w:sz="4" w:space="0" w:color="auto"/>
            </w:tcBorders>
            <w:noWrap/>
            <w:vAlign w:val="bottom"/>
            <w:hideMark/>
          </w:tcPr>
          <w:p w14:paraId="5D8454C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5.6%</w:t>
            </w:r>
          </w:p>
        </w:tc>
      </w:tr>
      <w:tr w:rsidR="00D729CA" w:rsidRPr="00D729CA" w14:paraId="48A6B117"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79C4CD72"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 xml:space="preserve">Total </w:t>
            </w:r>
          </w:p>
        </w:tc>
        <w:tc>
          <w:tcPr>
            <w:tcW w:w="1439" w:type="dxa"/>
            <w:tcBorders>
              <w:top w:val="nil"/>
              <w:left w:val="nil"/>
              <w:bottom w:val="single" w:sz="4" w:space="0" w:color="auto"/>
              <w:right w:val="single" w:sz="4" w:space="0" w:color="auto"/>
            </w:tcBorders>
            <w:vAlign w:val="bottom"/>
            <w:hideMark/>
          </w:tcPr>
          <w:p w14:paraId="0E0A7B97"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880</w:t>
            </w:r>
          </w:p>
        </w:tc>
        <w:tc>
          <w:tcPr>
            <w:tcW w:w="1220" w:type="dxa"/>
            <w:tcBorders>
              <w:top w:val="nil"/>
              <w:left w:val="nil"/>
              <w:bottom w:val="single" w:sz="4" w:space="0" w:color="auto"/>
              <w:right w:val="single" w:sz="4" w:space="0" w:color="auto"/>
            </w:tcBorders>
            <w:noWrap/>
            <w:vAlign w:val="bottom"/>
            <w:hideMark/>
          </w:tcPr>
          <w:p w14:paraId="4333F5FE"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3252</w:t>
            </w:r>
          </w:p>
        </w:tc>
        <w:tc>
          <w:tcPr>
            <w:tcW w:w="1513" w:type="dxa"/>
            <w:tcBorders>
              <w:top w:val="nil"/>
              <w:left w:val="nil"/>
              <w:bottom w:val="single" w:sz="4" w:space="0" w:color="auto"/>
              <w:right w:val="single" w:sz="4" w:space="0" w:color="auto"/>
            </w:tcBorders>
            <w:noWrap/>
            <w:vAlign w:val="bottom"/>
            <w:hideMark/>
          </w:tcPr>
          <w:p w14:paraId="3B70FC92"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744</w:t>
            </w:r>
          </w:p>
        </w:tc>
        <w:tc>
          <w:tcPr>
            <w:tcW w:w="1382" w:type="dxa"/>
            <w:tcBorders>
              <w:top w:val="nil"/>
              <w:left w:val="nil"/>
              <w:bottom w:val="single" w:sz="4" w:space="0" w:color="auto"/>
              <w:right w:val="single" w:sz="4" w:space="0" w:color="auto"/>
            </w:tcBorders>
            <w:noWrap/>
            <w:vAlign w:val="bottom"/>
            <w:hideMark/>
          </w:tcPr>
          <w:p w14:paraId="78964B12"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2265</w:t>
            </w:r>
          </w:p>
        </w:tc>
        <w:tc>
          <w:tcPr>
            <w:tcW w:w="987" w:type="dxa"/>
            <w:tcBorders>
              <w:top w:val="nil"/>
              <w:left w:val="nil"/>
              <w:bottom w:val="single" w:sz="4" w:space="0" w:color="auto"/>
              <w:right w:val="single" w:sz="4" w:space="0" w:color="auto"/>
            </w:tcBorders>
            <w:noWrap/>
            <w:vAlign w:val="bottom"/>
            <w:hideMark/>
          </w:tcPr>
          <w:p w14:paraId="38CAF02B"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7141</w:t>
            </w:r>
          </w:p>
        </w:tc>
        <w:tc>
          <w:tcPr>
            <w:tcW w:w="1317" w:type="dxa"/>
            <w:tcBorders>
              <w:top w:val="nil"/>
              <w:left w:val="nil"/>
              <w:bottom w:val="single" w:sz="4" w:space="0" w:color="auto"/>
              <w:right w:val="single" w:sz="4" w:space="0" w:color="auto"/>
            </w:tcBorders>
            <w:noWrap/>
            <w:vAlign w:val="bottom"/>
            <w:hideMark/>
          </w:tcPr>
          <w:p w14:paraId="5C6C7A8F"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88%</w:t>
            </w:r>
          </w:p>
        </w:tc>
      </w:tr>
      <w:tr w:rsidR="00D729CA" w:rsidRPr="00D729CA" w14:paraId="36A91797" w14:textId="77777777" w:rsidTr="006047FC">
        <w:trPr>
          <w:trHeight w:hRule="exact" w:val="397"/>
        </w:trPr>
        <w:tc>
          <w:tcPr>
            <w:tcW w:w="2161" w:type="dxa"/>
            <w:tcBorders>
              <w:top w:val="nil"/>
              <w:left w:val="single" w:sz="4" w:space="0" w:color="auto"/>
              <w:bottom w:val="single" w:sz="4" w:space="0" w:color="auto"/>
              <w:right w:val="single" w:sz="4" w:space="0" w:color="auto"/>
            </w:tcBorders>
            <w:vAlign w:val="bottom"/>
            <w:hideMark/>
          </w:tcPr>
          <w:p w14:paraId="3DE4A3D6"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Named Settlements</w:t>
            </w:r>
          </w:p>
        </w:tc>
        <w:tc>
          <w:tcPr>
            <w:tcW w:w="1439" w:type="dxa"/>
            <w:tcBorders>
              <w:top w:val="nil"/>
              <w:left w:val="nil"/>
              <w:bottom w:val="single" w:sz="4" w:space="0" w:color="auto"/>
              <w:right w:val="single" w:sz="4" w:space="0" w:color="auto"/>
            </w:tcBorders>
            <w:vAlign w:val="bottom"/>
            <w:hideMark/>
          </w:tcPr>
          <w:p w14:paraId="076E127A"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1220" w:type="dxa"/>
            <w:tcBorders>
              <w:top w:val="nil"/>
              <w:left w:val="nil"/>
              <w:bottom w:val="single" w:sz="4" w:space="0" w:color="auto"/>
              <w:right w:val="single" w:sz="4" w:space="0" w:color="auto"/>
            </w:tcBorders>
            <w:noWrap/>
            <w:vAlign w:val="bottom"/>
            <w:hideMark/>
          </w:tcPr>
          <w:p w14:paraId="24C77B9C"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1513" w:type="dxa"/>
            <w:tcBorders>
              <w:top w:val="nil"/>
              <w:left w:val="nil"/>
              <w:bottom w:val="single" w:sz="4" w:space="0" w:color="auto"/>
              <w:right w:val="single" w:sz="4" w:space="0" w:color="auto"/>
            </w:tcBorders>
            <w:noWrap/>
            <w:vAlign w:val="bottom"/>
            <w:hideMark/>
          </w:tcPr>
          <w:p w14:paraId="13DDC65F"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1382" w:type="dxa"/>
            <w:tcBorders>
              <w:top w:val="nil"/>
              <w:left w:val="nil"/>
              <w:bottom w:val="single" w:sz="4" w:space="0" w:color="auto"/>
              <w:right w:val="single" w:sz="4" w:space="0" w:color="auto"/>
            </w:tcBorders>
            <w:noWrap/>
            <w:vAlign w:val="bottom"/>
            <w:hideMark/>
          </w:tcPr>
          <w:p w14:paraId="3E0FF4EA"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987" w:type="dxa"/>
            <w:tcBorders>
              <w:top w:val="nil"/>
              <w:left w:val="nil"/>
              <w:bottom w:val="single" w:sz="4" w:space="0" w:color="auto"/>
              <w:right w:val="single" w:sz="4" w:space="0" w:color="auto"/>
            </w:tcBorders>
            <w:noWrap/>
            <w:vAlign w:val="bottom"/>
            <w:hideMark/>
          </w:tcPr>
          <w:p w14:paraId="05339D03"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1317" w:type="dxa"/>
            <w:tcBorders>
              <w:top w:val="nil"/>
              <w:left w:val="nil"/>
              <w:bottom w:val="single" w:sz="4" w:space="0" w:color="auto"/>
              <w:right w:val="single" w:sz="4" w:space="0" w:color="auto"/>
            </w:tcBorders>
            <w:noWrap/>
            <w:vAlign w:val="bottom"/>
            <w:hideMark/>
          </w:tcPr>
          <w:p w14:paraId="281B3410"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r>
      <w:tr w:rsidR="00D729CA" w:rsidRPr="00D729CA" w14:paraId="50219300"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0FFAC42A" w14:textId="77777777" w:rsidR="00F60F32" w:rsidRPr="00D729CA" w:rsidRDefault="00F60F32">
            <w:pPr>
              <w:rPr>
                <w:rFonts w:asciiTheme="minorHAnsi" w:hAnsiTheme="minorHAnsi" w:cstheme="minorHAnsi"/>
                <w:color w:val="0070C0"/>
                <w:kern w:val="2"/>
                <w:sz w:val="22"/>
                <w14:ligatures w14:val="standardContextual"/>
              </w:rPr>
            </w:pPr>
            <w:proofErr w:type="spellStart"/>
            <w:r w:rsidRPr="00D729CA">
              <w:rPr>
                <w:rFonts w:asciiTheme="minorHAnsi" w:hAnsiTheme="minorHAnsi" w:cstheme="minorHAnsi"/>
                <w:color w:val="0070C0"/>
                <w:kern w:val="2"/>
                <w:sz w:val="22"/>
                <w14:ligatures w14:val="standardContextual"/>
              </w:rPr>
              <w:t>Selston</w:t>
            </w:r>
            <w:proofErr w:type="spellEnd"/>
          </w:p>
        </w:tc>
        <w:tc>
          <w:tcPr>
            <w:tcW w:w="1439" w:type="dxa"/>
            <w:tcBorders>
              <w:top w:val="nil"/>
              <w:left w:val="nil"/>
              <w:bottom w:val="single" w:sz="4" w:space="0" w:color="auto"/>
              <w:right w:val="single" w:sz="4" w:space="0" w:color="auto"/>
            </w:tcBorders>
            <w:vAlign w:val="bottom"/>
            <w:hideMark/>
          </w:tcPr>
          <w:p w14:paraId="22443D9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w:t>
            </w:r>
          </w:p>
        </w:tc>
        <w:tc>
          <w:tcPr>
            <w:tcW w:w="1220" w:type="dxa"/>
            <w:tcBorders>
              <w:top w:val="nil"/>
              <w:left w:val="nil"/>
              <w:bottom w:val="single" w:sz="4" w:space="0" w:color="auto"/>
              <w:right w:val="single" w:sz="4" w:space="0" w:color="auto"/>
            </w:tcBorders>
            <w:noWrap/>
            <w:vAlign w:val="bottom"/>
            <w:hideMark/>
          </w:tcPr>
          <w:p w14:paraId="2EFBF53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286</w:t>
            </w:r>
          </w:p>
        </w:tc>
        <w:tc>
          <w:tcPr>
            <w:tcW w:w="1513" w:type="dxa"/>
            <w:tcBorders>
              <w:top w:val="nil"/>
              <w:left w:val="nil"/>
              <w:bottom w:val="single" w:sz="4" w:space="0" w:color="auto"/>
              <w:right w:val="single" w:sz="4" w:space="0" w:color="auto"/>
            </w:tcBorders>
            <w:shd w:val="clear" w:color="auto" w:fill="FFFFFF"/>
            <w:noWrap/>
            <w:vAlign w:val="bottom"/>
            <w:hideMark/>
          </w:tcPr>
          <w:p w14:paraId="12FB28A2"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noWrap/>
            <w:vAlign w:val="bottom"/>
            <w:hideMark/>
          </w:tcPr>
          <w:p w14:paraId="485286A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15</w:t>
            </w:r>
          </w:p>
        </w:tc>
        <w:tc>
          <w:tcPr>
            <w:tcW w:w="987" w:type="dxa"/>
            <w:tcBorders>
              <w:top w:val="nil"/>
              <w:left w:val="nil"/>
              <w:bottom w:val="single" w:sz="4" w:space="0" w:color="auto"/>
              <w:right w:val="single" w:sz="4" w:space="0" w:color="auto"/>
            </w:tcBorders>
            <w:noWrap/>
            <w:vAlign w:val="bottom"/>
            <w:hideMark/>
          </w:tcPr>
          <w:p w14:paraId="21055AB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303</w:t>
            </w:r>
          </w:p>
        </w:tc>
        <w:tc>
          <w:tcPr>
            <w:tcW w:w="1317" w:type="dxa"/>
            <w:tcBorders>
              <w:top w:val="nil"/>
              <w:left w:val="nil"/>
              <w:bottom w:val="single" w:sz="4" w:space="0" w:color="auto"/>
              <w:right w:val="single" w:sz="4" w:space="0" w:color="auto"/>
            </w:tcBorders>
            <w:noWrap/>
            <w:vAlign w:val="bottom"/>
            <w:hideMark/>
          </w:tcPr>
          <w:p w14:paraId="6574E27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3.7%</w:t>
            </w:r>
          </w:p>
        </w:tc>
      </w:tr>
      <w:tr w:rsidR="00D729CA" w:rsidRPr="00D729CA" w14:paraId="0B8991E5"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33114CAE" w14:textId="77777777" w:rsidR="00F60F32" w:rsidRPr="00D729CA" w:rsidRDefault="00F60F32">
            <w:pPr>
              <w:rPr>
                <w:rFonts w:asciiTheme="minorHAnsi" w:hAnsiTheme="minorHAnsi" w:cstheme="minorHAnsi"/>
                <w:color w:val="0070C0"/>
                <w:kern w:val="2"/>
                <w:sz w:val="22"/>
                <w14:ligatures w14:val="standardContextual"/>
              </w:rPr>
            </w:pPr>
            <w:proofErr w:type="spellStart"/>
            <w:r w:rsidRPr="00D729CA">
              <w:rPr>
                <w:rFonts w:asciiTheme="minorHAnsi" w:hAnsiTheme="minorHAnsi" w:cstheme="minorHAnsi"/>
                <w:color w:val="0070C0"/>
                <w:kern w:val="2"/>
                <w:sz w:val="22"/>
                <w14:ligatures w14:val="standardContextual"/>
              </w:rPr>
              <w:t>Jacksdale</w:t>
            </w:r>
            <w:proofErr w:type="spellEnd"/>
          </w:p>
        </w:tc>
        <w:tc>
          <w:tcPr>
            <w:tcW w:w="1439" w:type="dxa"/>
            <w:tcBorders>
              <w:top w:val="nil"/>
              <w:left w:val="nil"/>
              <w:bottom w:val="single" w:sz="4" w:space="0" w:color="auto"/>
              <w:right w:val="single" w:sz="4" w:space="0" w:color="auto"/>
            </w:tcBorders>
            <w:vAlign w:val="bottom"/>
            <w:hideMark/>
          </w:tcPr>
          <w:p w14:paraId="39B7755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noWrap/>
            <w:vAlign w:val="bottom"/>
            <w:hideMark/>
          </w:tcPr>
          <w:p w14:paraId="4E1D8B6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86</w:t>
            </w:r>
          </w:p>
        </w:tc>
        <w:tc>
          <w:tcPr>
            <w:tcW w:w="1513" w:type="dxa"/>
            <w:tcBorders>
              <w:top w:val="nil"/>
              <w:left w:val="nil"/>
              <w:bottom w:val="single" w:sz="4" w:space="0" w:color="auto"/>
              <w:right w:val="single" w:sz="4" w:space="0" w:color="auto"/>
            </w:tcBorders>
            <w:shd w:val="clear" w:color="auto" w:fill="FFFFFF"/>
            <w:noWrap/>
            <w:vAlign w:val="bottom"/>
            <w:hideMark/>
          </w:tcPr>
          <w:p w14:paraId="5E79F7D6"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noWrap/>
            <w:vAlign w:val="bottom"/>
            <w:hideMark/>
          </w:tcPr>
          <w:p w14:paraId="0825AB8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84</w:t>
            </w:r>
          </w:p>
        </w:tc>
        <w:tc>
          <w:tcPr>
            <w:tcW w:w="987" w:type="dxa"/>
            <w:tcBorders>
              <w:top w:val="nil"/>
              <w:left w:val="nil"/>
              <w:bottom w:val="single" w:sz="4" w:space="0" w:color="auto"/>
              <w:right w:val="single" w:sz="4" w:space="0" w:color="auto"/>
            </w:tcBorders>
            <w:noWrap/>
            <w:vAlign w:val="bottom"/>
            <w:hideMark/>
          </w:tcPr>
          <w:p w14:paraId="28322B44"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170</w:t>
            </w:r>
          </w:p>
        </w:tc>
        <w:tc>
          <w:tcPr>
            <w:tcW w:w="1317" w:type="dxa"/>
            <w:tcBorders>
              <w:top w:val="nil"/>
              <w:left w:val="nil"/>
              <w:bottom w:val="single" w:sz="4" w:space="0" w:color="auto"/>
              <w:right w:val="single" w:sz="4" w:space="0" w:color="auto"/>
            </w:tcBorders>
            <w:noWrap/>
            <w:vAlign w:val="bottom"/>
            <w:hideMark/>
          </w:tcPr>
          <w:p w14:paraId="27B2A5A6"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2.1%</w:t>
            </w:r>
          </w:p>
        </w:tc>
      </w:tr>
      <w:tr w:rsidR="00D729CA" w:rsidRPr="00D729CA" w14:paraId="40991CD3"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37AEC7B2"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Underwood</w:t>
            </w:r>
          </w:p>
        </w:tc>
        <w:tc>
          <w:tcPr>
            <w:tcW w:w="1439" w:type="dxa"/>
            <w:tcBorders>
              <w:top w:val="nil"/>
              <w:left w:val="nil"/>
              <w:bottom w:val="single" w:sz="4" w:space="0" w:color="auto"/>
              <w:right w:val="single" w:sz="4" w:space="0" w:color="auto"/>
            </w:tcBorders>
            <w:vAlign w:val="bottom"/>
            <w:hideMark/>
          </w:tcPr>
          <w:p w14:paraId="472FD8C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w:t>
            </w:r>
          </w:p>
        </w:tc>
        <w:tc>
          <w:tcPr>
            <w:tcW w:w="1220" w:type="dxa"/>
            <w:tcBorders>
              <w:top w:val="nil"/>
              <w:left w:val="nil"/>
              <w:bottom w:val="single" w:sz="4" w:space="0" w:color="auto"/>
              <w:right w:val="single" w:sz="4" w:space="0" w:color="auto"/>
            </w:tcBorders>
            <w:noWrap/>
            <w:vAlign w:val="bottom"/>
            <w:hideMark/>
          </w:tcPr>
          <w:p w14:paraId="119BE6FE"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62</w:t>
            </w:r>
          </w:p>
        </w:tc>
        <w:tc>
          <w:tcPr>
            <w:tcW w:w="1513" w:type="dxa"/>
            <w:tcBorders>
              <w:top w:val="nil"/>
              <w:left w:val="nil"/>
              <w:bottom w:val="single" w:sz="4" w:space="0" w:color="auto"/>
              <w:right w:val="single" w:sz="4" w:space="0" w:color="auto"/>
            </w:tcBorders>
            <w:shd w:val="clear" w:color="auto" w:fill="FFFFFF"/>
            <w:noWrap/>
            <w:vAlign w:val="bottom"/>
            <w:hideMark/>
          </w:tcPr>
          <w:p w14:paraId="24F9678E"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noWrap/>
            <w:vAlign w:val="bottom"/>
            <w:hideMark/>
          </w:tcPr>
          <w:p w14:paraId="0F067ECB"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10</w:t>
            </w:r>
          </w:p>
        </w:tc>
        <w:tc>
          <w:tcPr>
            <w:tcW w:w="987" w:type="dxa"/>
            <w:tcBorders>
              <w:top w:val="nil"/>
              <w:left w:val="nil"/>
              <w:bottom w:val="single" w:sz="4" w:space="0" w:color="auto"/>
              <w:right w:val="single" w:sz="4" w:space="0" w:color="auto"/>
            </w:tcBorders>
            <w:noWrap/>
            <w:vAlign w:val="bottom"/>
            <w:hideMark/>
          </w:tcPr>
          <w:p w14:paraId="073ADAD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75</w:t>
            </w:r>
          </w:p>
        </w:tc>
        <w:tc>
          <w:tcPr>
            <w:tcW w:w="1317" w:type="dxa"/>
            <w:tcBorders>
              <w:top w:val="nil"/>
              <w:left w:val="nil"/>
              <w:bottom w:val="single" w:sz="4" w:space="0" w:color="auto"/>
              <w:right w:val="single" w:sz="4" w:space="0" w:color="auto"/>
            </w:tcBorders>
            <w:noWrap/>
            <w:vAlign w:val="bottom"/>
            <w:hideMark/>
          </w:tcPr>
          <w:p w14:paraId="77E8FF5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0.9%</w:t>
            </w:r>
          </w:p>
        </w:tc>
      </w:tr>
      <w:tr w:rsidR="00D729CA" w:rsidRPr="00D729CA" w14:paraId="4FBCDA19"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4CF3B1AE"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Annesley/Newstead</w:t>
            </w:r>
          </w:p>
        </w:tc>
        <w:tc>
          <w:tcPr>
            <w:tcW w:w="1439" w:type="dxa"/>
            <w:tcBorders>
              <w:top w:val="nil"/>
              <w:left w:val="nil"/>
              <w:bottom w:val="single" w:sz="4" w:space="0" w:color="auto"/>
              <w:right w:val="single" w:sz="4" w:space="0" w:color="auto"/>
            </w:tcBorders>
            <w:vAlign w:val="bottom"/>
            <w:hideMark/>
          </w:tcPr>
          <w:p w14:paraId="3BF430AF"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noWrap/>
            <w:vAlign w:val="bottom"/>
            <w:hideMark/>
          </w:tcPr>
          <w:p w14:paraId="21FC869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47</w:t>
            </w:r>
          </w:p>
        </w:tc>
        <w:tc>
          <w:tcPr>
            <w:tcW w:w="1513" w:type="dxa"/>
            <w:tcBorders>
              <w:top w:val="nil"/>
              <w:left w:val="nil"/>
              <w:bottom w:val="single" w:sz="4" w:space="0" w:color="auto"/>
              <w:right w:val="single" w:sz="4" w:space="0" w:color="auto"/>
            </w:tcBorders>
            <w:shd w:val="clear" w:color="auto" w:fill="FFFFFF"/>
            <w:noWrap/>
            <w:vAlign w:val="bottom"/>
            <w:hideMark/>
          </w:tcPr>
          <w:p w14:paraId="6FC305BF"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noWrap/>
            <w:vAlign w:val="bottom"/>
            <w:hideMark/>
          </w:tcPr>
          <w:p w14:paraId="27C05C83"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8</w:t>
            </w:r>
          </w:p>
        </w:tc>
        <w:tc>
          <w:tcPr>
            <w:tcW w:w="987" w:type="dxa"/>
            <w:tcBorders>
              <w:top w:val="nil"/>
              <w:left w:val="nil"/>
              <w:bottom w:val="single" w:sz="4" w:space="0" w:color="auto"/>
              <w:right w:val="single" w:sz="4" w:space="0" w:color="auto"/>
            </w:tcBorders>
            <w:noWrap/>
            <w:vAlign w:val="bottom"/>
            <w:hideMark/>
          </w:tcPr>
          <w:p w14:paraId="19A9C544"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55</w:t>
            </w:r>
          </w:p>
        </w:tc>
        <w:tc>
          <w:tcPr>
            <w:tcW w:w="1317" w:type="dxa"/>
            <w:tcBorders>
              <w:top w:val="nil"/>
              <w:left w:val="nil"/>
              <w:bottom w:val="single" w:sz="4" w:space="0" w:color="auto"/>
              <w:right w:val="single" w:sz="4" w:space="0" w:color="auto"/>
            </w:tcBorders>
            <w:noWrap/>
            <w:vAlign w:val="bottom"/>
            <w:hideMark/>
          </w:tcPr>
          <w:p w14:paraId="2101739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0.7%</w:t>
            </w:r>
          </w:p>
        </w:tc>
      </w:tr>
      <w:tr w:rsidR="00D729CA" w:rsidRPr="00D729CA" w14:paraId="61DA1627"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1B07D44A"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Bestwood Village</w:t>
            </w:r>
          </w:p>
        </w:tc>
        <w:tc>
          <w:tcPr>
            <w:tcW w:w="1439" w:type="dxa"/>
            <w:tcBorders>
              <w:top w:val="nil"/>
              <w:left w:val="nil"/>
              <w:bottom w:val="single" w:sz="4" w:space="0" w:color="auto"/>
              <w:right w:val="single" w:sz="4" w:space="0" w:color="auto"/>
            </w:tcBorders>
            <w:vAlign w:val="bottom"/>
            <w:hideMark/>
          </w:tcPr>
          <w:p w14:paraId="1667E13E"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noWrap/>
            <w:vAlign w:val="bottom"/>
            <w:hideMark/>
          </w:tcPr>
          <w:p w14:paraId="2A38D08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shd w:val="clear" w:color="auto" w:fill="FFFFFF"/>
            <w:noWrap/>
            <w:vAlign w:val="bottom"/>
            <w:hideMark/>
          </w:tcPr>
          <w:p w14:paraId="60A3BB8E"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noWrap/>
            <w:vAlign w:val="bottom"/>
            <w:hideMark/>
          </w:tcPr>
          <w:p w14:paraId="045F168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987" w:type="dxa"/>
            <w:tcBorders>
              <w:top w:val="nil"/>
              <w:left w:val="nil"/>
              <w:bottom w:val="single" w:sz="4" w:space="0" w:color="auto"/>
              <w:right w:val="single" w:sz="4" w:space="0" w:color="auto"/>
            </w:tcBorders>
            <w:noWrap/>
            <w:vAlign w:val="bottom"/>
            <w:hideMark/>
          </w:tcPr>
          <w:p w14:paraId="4EEECCCB"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17" w:type="dxa"/>
            <w:tcBorders>
              <w:top w:val="nil"/>
              <w:left w:val="nil"/>
              <w:bottom w:val="single" w:sz="4" w:space="0" w:color="auto"/>
              <w:right w:val="single" w:sz="4" w:space="0" w:color="auto"/>
            </w:tcBorders>
            <w:noWrap/>
            <w:vAlign w:val="bottom"/>
            <w:hideMark/>
          </w:tcPr>
          <w:p w14:paraId="3A336C9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0.0%</w:t>
            </w:r>
          </w:p>
        </w:tc>
      </w:tr>
      <w:tr w:rsidR="00D729CA" w:rsidRPr="00D729CA" w14:paraId="641D0E53"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0690B794"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Brinsley</w:t>
            </w:r>
          </w:p>
        </w:tc>
        <w:tc>
          <w:tcPr>
            <w:tcW w:w="1439" w:type="dxa"/>
            <w:tcBorders>
              <w:top w:val="nil"/>
              <w:left w:val="nil"/>
              <w:bottom w:val="single" w:sz="4" w:space="0" w:color="auto"/>
              <w:right w:val="single" w:sz="4" w:space="0" w:color="auto"/>
            </w:tcBorders>
            <w:vAlign w:val="bottom"/>
            <w:hideMark/>
          </w:tcPr>
          <w:p w14:paraId="78DF615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noWrap/>
            <w:vAlign w:val="bottom"/>
            <w:hideMark/>
          </w:tcPr>
          <w:p w14:paraId="2CA5FF6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42</w:t>
            </w:r>
          </w:p>
        </w:tc>
        <w:tc>
          <w:tcPr>
            <w:tcW w:w="1513" w:type="dxa"/>
            <w:tcBorders>
              <w:top w:val="nil"/>
              <w:left w:val="nil"/>
              <w:bottom w:val="single" w:sz="4" w:space="0" w:color="auto"/>
              <w:right w:val="single" w:sz="4" w:space="0" w:color="auto"/>
            </w:tcBorders>
            <w:shd w:val="clear" w:color="auto" w:fill="FFFFFF"/>
            <w:noWrap/>
            <w:vAlign w:val="bottom"/>
            <w:hideMark/>
          </w:tcPr>
          <w:p w14:paraId="7743E044"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noWrap/>
            <w:vAlign w:val="bottom"/>
            <w:hideMark/>
          </w:tcPr>
          <w:p w14:paraId="01FF865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987" w:type="dxa"/>
            <w:tcBorders>
              <w:top w:val="nil"/>
              <w:left w:val="nil"/>
              <w:bottom w:val="single" w:sz="4" w:space="0" w:color="auto"/>
              <w:right w:val="single" w:sz="4" w:space="0" w:color="auto"/>
            </w:tcBorders>
            <w:noWrap/>
            <w:vAlign w:val="bottom"/>
            <w:hideMark/>
          </w:tcPr>
          <w:p w14:paraId="42D1985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42</w:t>
            </w:r>
          </w:p>
        </w:tc>
        <w:tc>
          <w:tcPr>
            <w:tcW w:w="1317" w:type="dxa"/>
            <w:tcBorders>
              <w:top w:val="nil"/>
              <w:left w:val="nil"/>
              <w:bottom w:val="single" w:sz="4" w:space="0" w:color="auto"/>
              <w:right w:val="single" w:sz="4" w:space="0" w:color="auto"/>
            </w:tcBorders>
            <w:noWrap/>
            <w:vAlign w:val="bottom"/>
            <w:hideMark/>
          </w:tcPr>
          <w:p w14:paraId="7DCE083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0.5%</w:t>
            </w:r>
          </w:p>
        </w:tc>
      </w:tr>
      <w:tr w:rsidR="00D729CA" w:rsidRPr="00D729CA" w14:paraId="5932B918"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49BB6DC7" w14:textId="77777777" w:rsidR="00F60F32" w:rsidRPr="00D729CA" w:rsidRDefault="00F60F32">
            <w:pPr>
              <w:rPr>
                <w:rFonts w:asciiTheme="minorHAnsi" w:hAnsiTheme="minorHAnsi" w:cstheme="minorHAnsi"/>
                <w:color w:val="0070C0"/>
                <w:kern w:val="2"/>
                <w:sz w:val="22"/>
                <w14:ligatures w14:val="standardContextual"/>
              </w:rPr>
            </w:pPr>
            <w:proofErr w:type="spellStart"/>
            <w:r w:rsidRPr="00D729CA">
              <w:rPr>
                <w:rFonts w:asciiTheme="minorHAnsi" w:hAnsiTheme="minorHAnsi" w:cstheme="minorHAnsi"/>
                <w:color w:val="0070C0"/>
                <w:kern w:val="2"/>
                <w:sz w:val="22"/>
                <w14:ligatures w14:val="standardContextual"/>
              </w:rPr>
              <w:t>Fackley</w:t>
            </w:r>
            <w:proofErr w:type="spellEnd"/>
          </w:p>
        </w:tc>
        <w:tc>
          <w:tcPr>
            <w:tcW w:w="1439" w:type="dxa"/>
            <w:tcBorders>
              <w:top w:val="nil"/>
              <w:left w:val="nil"/>
              <w:bottom w:val="single" w:sz="4" w:space="0" w:color="auto"/>
              <w:right w:val="single" w:sz="4" w:space="0" w:color="auto"/>
            </w:tcBorders>
            <w:vAlign w:val="bottom"/>
            <w:hideMark/>
          </w:tcPr>
          <w:p w14:paraId="366F4D26"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shd w:val="clear" w:color="auto" w:fill="FFFFFF"/>
            <w:noWrap/>
            <w:vAlign w:val="bottom"/>
            <w:hideMark/>
          </w:tcPr>
          <w:p w14:paraId="66EF8D2F"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26</w:t>
            </w:r>
          </w:p>
        </w:tc>
        <w:tc>
          <w:tcPr>
            <w:tcW w:w="1513" w:type="dxa"/>
            <w:tcBorders>
              <w:top w:val="nil"/>
              <w:left w:val="nil"/>
              <w:bottom w:val="single" w:sz="4" w:space="0" w:color="auto"/>
              <w:right w:val="single" w:sz="4" w:space="0" w:color="auto"/>
            </w:tcBorders>
            <w:shd w:val="clear" w:color="auto" w:fill="FFFFFF"/>
            <w:noWrap/>
            <w:vAlign w:val="bottom"/>
            <w:hideMark/>
          </w:tcPr>
          <w:p w14:paraId="0F0830E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noWrap/>
            <w:vAlign w:val="bottom"/>
            <w:hideMark/>
          </w:tcPr>
          <w:p w14:paraId="4847AAF6"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124</w:t>
            </w:r>
          </w:p>
        </w:tc>
        <w:tc>
          <w:tcPr>
            <w:tcW w:w="987" w:type="dxa"/>
            <w:tcBorders>
              <w:top w:val="nil"/>
              <w:left w:val="nil"/>
              <w:bottom w:val="single" w:sz="4" w:space="0" w:color="auto"/>
              <w:right w:val="single" w:sz="4" w:space="0" w:color="auto"/>
            </w:tcBorders>
            <w:noWrap/>
            <w:vAlign w:val="bottom"/>
            <w:hideMark/>
          </w:tcPr>
          <w:p w14:paraId="007671F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150</w:t>
            </w:r>
          </w:p>
        </w:tc>
        <w:tc>
          <w:tcPr>
            <w:tcW w:w="1317" w:type="dxa"/>
            <w:tcBorders>
              <w:top w:val="nil"/>
              <w:left w:val="nil"/>
              <w:bottom w:val="single" w:sz="4" w:space="0" w:color="auto"/>
              <w:right w:val="single" w:sz="4" w:space="0" w:color="auto"/>
            </w:tcBorders>
            <w:noWrap/>
            <w:vAlign w:val="bottom"/>
            <w:hideMark/>
          </w:tcPr>
          <w:p w14:paraId="5AFDE47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1.8%</w:t>
            </w:r>
          </w:p>
        </w:tc>
      </w:tr>
      <w:tr w:rsidR="00D729CA" w:rsidRPr="00D729CA" w14:paraId="5EA9F036"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09F3A96F"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Total</w:t>
            </w:r>
          </w:p>
        </w:tc>
        <w:tc>
          <w:tcPr>
            <w:tcW w:w="1439" w:type="dxa"/>
            <w:tcBorders>
              <w:top w:val="nil"/>
              <w:left w:val="nil"/>
              <w:bottom w:val="single" w:sz="4" w:space="0" w:color="auto"/>
              <w:right w:val="single" w:sz="4" w:space="0" w:color="auto"/>
            </w:tcBorders>
            <w:vAlign w:val="bottom"/>
            <w:hideMark/>
          </w:tcPr>
          <w:p w14:paraId="63B7C763"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5</w:t>
            </w:r>
          </w:p>
        </w:tc>
        <w:tc>
          <w:tcPr>
            <w:tcW w:w="1220" w:type="dxa"/>
            <w:tcBorders>
              <w:top w:val="nil"/>
              <w:left w:val="nil"/>
              <w:bottom w:val="single" w:sz="4" w:space="0" w:color="auto"/>
              <w:right w:val="single" w:sz="4" w:space="0" w:color="auto"/>
            </w:tcBorders>
            <w:noWrap/>
            <w:vAlign w:val="bottom"/>
            <w:hideMark/>
          </w:tcPr>
          <w:p w14:paraId="1C69066C"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549</w:t>
            </w:r>
          </w:p>
        </w:tc>
        <w:tc>
          <w:tcPr>
            <w:tcW w:w="1513" w:type="dxa"/>
            <w:tcBorders>
              <w:top w:val="nil"/>
              <w:left w:val="nil"/>
              <w:bottom w:val="single" w:sz="4" w:space="0" w:color="auto"/>
              <w:right w:val="single" w:sz="4" w:space="0" w:color="auto"/>
            </w:tcBorders>
            <w:noWrap/>
            <w:vAlign w:val="bottom"/>
            <w:hideMark/>
          </w:tcPr>
          <w:p w14:paraId="04280E77"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0</w:t>
            </w:r>
          </w:p>
        </w:tc>
        <w:tc>
          <w:tcPr>
            <w:tcW w:w="1382" w:type="dxa"/>
            <w:tcBorders>
              <w:top w:val="nil"/>
              <w:left w:val="nil"/>
              <w:bottom w:val="single" w:sz="4" w:space="0" w:color="auto"/>
              <w:right w:val="single" w:sz="4" w:space="0" w:color="auto"/>
            </w:tcBorders>
            <w:noWrap/>
            <w:vAlign w:val="bottom"/>
            <w:hideMark/>
          </w:tcPr>
          <w:p w14:paraId="0FBFABAC"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241</w:t>
            </w:r>
          </w:p>
        </w:tc>
        <w:tc>
          <w:tcPr>
            <w:tcW w:w="987" w:type="dxa"/>
            <w:tcBorders>
              <w:top w:val="nil"/>
              <w:left w:val="nil"/>
              <w:bottom w:val="single" w:sz="4" w:space="0" w:color="auto"/>
              <w:right w:val="single" w:sz="4" w:space="0" w:color="auto"/>
            </w:tcBorders>
            <w:noWrap/>
            <w:vAlign w:val="bottom"/>
            <w:hideMark/>
          </w:tcPr>
          <w:p w14:paraId="4729A10D"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795</w:t>
            </w:r>
          </w:p>
        </w:tc>
        <w:tc>
          <w:tcPr>
            <w:tcW w:w="1317" w:type="dxa"/>
            <w:tcBorders>
              <w:top w:val="nil"/>
              <w:left w:val="nil"/>
              <w:bottom w:val="single" w:sz="4" w:space="0" w:color="auto"/>
              <w:right w:val="single" w:sz="4" w:space="0" w:color="auto"/>
            </w:tcBorders>
            <w:noWrap/>
            <w:vAlign w:val="bottom"/>
            <w:hideMark/>
          </w:tcPr>
          <w:p w14:paraId="23145913"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10%</w:t>
            </w:r>
          </w:p>
        </w:tc>
      </w:tr>
      <w:tr w:rsidR="00D729CA" w:rsidRPr="00D729CA" w14:paraId="4BDFC523" w14:textId="77777777" w:rsidTr="006047FC">
        <w:trPr>
          <w:trHeight w:hRule="exact" w:val="397"/>
        </w:trPr>
        <w:tc>
          <w:tcPr>
            <w:tcW w:w="2161" w:type="dxa"/>
            <w:tcBorders>
              <w:top w:val="nil"/>
              <w:left w:val="single" w:sz="4" w:space="0" w:color="auto"/>
              <w:bottom w:val="single" w:sz="4" w:space="0" w:color="auto"/>
              <w:right w:val="single" w:sz="4" w:space="0" w:color="auto"/>
            </w:tcBorders>
            <w:vAlign w:val="bottom"/>
            <w:hideMark/>
          </w:tcPr>
          <w:p w14:paraId="38713E4E"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Remainder of District</w:t>
            </w:r>
          </w:p>
        </w:tc>
        <w:tc>
          <w:tcPr>
            <w:tcW w:w="1439" w:type="dxa"/>
            <w:tcBorders>
              <w:top w:val="nil"/>
              <w:left w:val="nil"/>
              <w:bottom w:val="single" w:sz="4" w:space="0" w:color="auto"/>
              <w:right w:val="single" w:sz="4" w:space="0" w:color="auto"/>
            </w:tcBorders>
            <w:vAlign w:val="bottom"/>
            <w:hideMark/>
          </w:tcPr>
          <w:p w14:paraId="6B700562"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w:t>
            </w:r>
          </w:p>
        </w:tc>
        <w:tc>
          <w:tcPr>
            <w:tcW w:w="1220" w:type="dxa"/>
            <w:tcBorders>
              <w:top w:val="nil"/>
              <w:left w:val="nil"/>
              <w:bottom w:val="single" w:sz="4" w:space="0" w:color="auto"/>
              <w:right w:val="single" w:sz="4" w:space="0" w:color="auto"/>
            </w:tcBorders>
            <w:noWrap/>
            <w:vAlign w:val="bottom"/>
            <w:hideMark/>
          </w:tcPr>
          <w:p w14:paraId="438B72A4"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 </w:t>
            </w:r>
          </w:p>
        </w:tc>
        <w:tc>
          <w:tcPr>
            <w:tcW w:w="1513" w:type="dxa"/>
            <w:tcBorders>
              <w:top w:val="nil"/>
              <w:left w:val="nil"/>
              <w:bottom w:val="single" w:sz="4" w:space="0" w:color="auto"/>
              <w:right w:val="single" w:sz="4" w:space="0" w:color="auto"/>
            </w:tcBorders>
            <w:noWrap/>
            <w:vAlign w:val="bottom"/>
            <w:hideMark/>
          </w:tcPr>
          <w:p w14:paraId="57B9E919"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 </w:t>
            </w:r>
          </w:p>
        </w:tc>
        <w:tc>
          <w:tcPr>
            <w:tcW w:w="1382" w:type="dxa"/>
            <w:tcBorders>
              <w:top w:val="nil"/>
              <w:left w:val="nil"/>
              <w:bottom w:val="single" w:sz="4" w:space="0" w:color="auto"/>
              <w:right w:val="single" w:sz="4" w:space="0" w:color="auto"/>
            </w:tcBorders>
            <w:noWrap/>
            <w:vAlign w:val="bottom"/>
            <w:hideMark/>
          </w:tcPr>
          <w:p w14:paraId="12305706"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 </w:t>
            </w:r>
          </w:p>
        </w:tc>
        <w:tc>
          <w:tcPr>
            <w:tcW w:w="987" w:type="dxa"/>
            <w:tcBorders>
              <w:top w:val="nil"/>
              <w:left w:val="nil"/>
              <w:bottom w:val="single" w:sz="4" w:space="0" w:color="auto"/>
              <w:right w:val="single" w:sz="4" w:space="0" w:color="auto"/>
            </w:tcBorders>
            <w:noWrap/>
            <w:vAlign w:val="bottom"/>
            <w:hideMark/>
          </w:tcPr>
          <w:p w14:paraId="63874D15"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 </w:t>
            </w:r>
          </w:p>
        </w:tc>
        <w:tc>
          <w:tcPr>
            <w:tcW w:w="1317" w:type="dxa"/>
            <w:tcBorders>
              <w:top w:val="nil"/>
              <w:left w:val="nil"/>
              <w:bottom w:val="single" w:sz="4" w:space="0" w:color="auto"/>
              <w:right w:val="single" w:sz="4" w:space="0" w:color="auto"/>
            </w:tcBorders>
            <w:noWrap/>
            <w:vAlign w:val="bottom"/>
            <w:hideMark/>
          </w:tcPr>
          <w:p w14:paraId="58A4F88B"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 </w:t>
            </w:r>
          </w:p>
        </w:tc>
      </w:tr>
      <w:tr w:rsidR="00D729CA" w:rsidRPr="00D729CA" w14:paraId="508303F2"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629AA4FB" w14:textId="7EC9EAB9"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South-east Sutton</w:t>
            </w:r>
          </w:p>
        </w:tc>
        <w:tc>
          <w:tcPr>
            <w:tcW w:w="1439" w:type="dxa"/>
            <w:tcBorders>
              <w:top w:val="nil"/>
              <w:left w:val="nil"/>
              <w:bottom w:val="single" w:sz="4" w:space="0" w:color="auto"/>
              <w:right w:val="single" w:sz="4" w:space="0" w:color="auto"/>
            </w:tcBorders>
            <w:vAlign w:val="bottom"/>
            <w:hideMark/>
          </w:tcPr>
          <w:p w14:paraId="61B8262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w:t>
            </w:r>
          </w:p>
        </w:tc>
        <w:tc>
          <w:tcPr>
            <w:tcW w:w="1220" w:type="dxa"/>
            <w:tcBorders>
              <w:top w:val="nil"/>
              <w:left w:val="nil"/>
              <w:bottom w:val="single" w:sz="4" w:space="0" w:color="auto"/>
              <w:right w:val="single" w:sz="4" w:space="0" w:color="auto"/>
            </w:tcBorders>
            <w:shd w:val="clear" w:color="auto" w:fill="FFFFFF"/>
            <w:noWrap/>
            <w:vAlign w:val="bottom"/>
            <w:hideMark/>
          </w:tcPr>
          <w:p w14:paraId="709C480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shd w:val="clear" w:color="auto" w:fill="FFFFFF"/>
            <w:noWrap/>
            <w:vAlign w:val="bottom"/>
            <w:hideMark/>
          </w:tcPr>
          <w:p w14:paraId="36845F0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0F3D8C32"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18</w:t>
            </w:r>
          </w:p>
        </w:tc>
        <w:tc>
          <w:tcPr>
            <w:tcW w:w="987" w:type="dxa"/>
            <w:tcBorders>
              <w:top w:val="nil"/>
              <w:left w:val="nil"/>
              <w:bottom w:val="single" w:sz="4" w:space="0" w:color="auto"/>
              <w:right w:val="single" w:sz="4" w:space="0" w:color="auto"/>
            </w:tcBorders>
            <w:noWrap/>
            <w:vAlign w:val="bottom"/>
            <w:hideMark/>
          </w:tcPr>
          <w:p w14:paraId="4738240B"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22</w:t>
            </w:r>
          </w:p>
        </w:tc>
        <w:tc>
          <w:tcPr>
            <w:tcW w:w="1317" w:type="dxa"/>
            <w:tcBorders>
              <w:top w:val="nil"/>
              <w:left w:val="nil"/>
              <w:bottom w:val="single" w:sz="4" w:space="0" w:color="auto"/>
              <w:right w:val="single" w:sz="4" w:space="0" w:color="auto"/>
            </w:tcBorders>
            <w:noWrap/>
            <w:vAlign w:val="bottom"/>
            <w:hideMark/>
          </w:tcPr>
          <w:p w14:paraId="4FCB979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0.3%</w:t>
            </w:r>
          </w:p>
        </w:tc>
      </w:tr>
      <w:tr w:rsidR="00D729CA" w:rsidRPr="00D729CA" w14:paraId="6FD9AB82"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4D3B4C6E"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xml:space="preserve">North of Sutton </w:t>
            </w:r>
          </w:p>
        </w:tc>
        <w:tc>
          <w:tcPr>
            <w:tcW w:w="1439" w:type="dxa"/>
            <w:tcBorders>
              <w:top w:val="nil"/>
              <w:left w:val="nil"/>
              <w:bottom w:val="single" w:sz="4" w:space="0" w:color="auto"/>
              <w:right w:val="single" w:sz="4" w:space="0" w:color="auto"/>
            </w:tcBorders>
            <w:vAlign w:val="bottom"/>
            <w:hideMark/>
          </w:tcPr>
          <w:p w14:paraId="76EFF8E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7</w:t>
            </w:r>
          </w:p>
        </w:tc>
        <w:tc>
          <w:tcPr>
            <w:tcW w:w="1220" w:type="dxa"/>
            <w:tcBorders>
              <w:top w:val="nil"/>
              <w:left w:val="nil"/>
              <w:bottom w:val="single" w:sz="4" w:space="0" w:color="auto"/>
              <w:right w:val="single" w:sz="4" w:space="0" w:color="auto"/>
            </w:tcBorders>
            <w:shd w:val="clear" w:color="auto" w:fill="FFFFFF"/>
            <w:noWrap/>
            <w:vAlign w:val="bottom"/>
            <w:hideMark/>
          </w:tcPr>
          <w:p w14:paraId="6F2D2ADB"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32D20B8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90</w:t>
            </w:r>
          </w:p>
        </w:tc>
        <w:tc>
          <w:tcPr>
            <w:tcW w:w="1382" w:type="dxa"/>
            <w:tcBorders>
              <w:top w:val="nil"/>
              <w:left w:val="nil"/>
              <w:bottom w:val="single" w:sz="4" w:space="0" w:color="auto"/>
              <w:right w:val="single" w:sz="4" w:space="0" w:color="auto"/>
            </w:tcBorders>
            <w:shd w:val="clear" w:color="auto" w:fill="FFFFFF"/>
            <w:noWrap/>
            <w:vAlign w:val="bottom"/>
            <w:hideMark/>
          </w:tcPr>
          <w:p w14:paraId="3F10BFD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32</w:t>
            </w:r>
          </w:p>
        </w:tc>
        <w:tc>
          <w:tcPr>
            <w:tcW w:w="987" w:type="dxa"/>
            <w:tcBorders>
              <w:top w:val="nil"/>
              <w:left w:val="nil"/>
              <w:bottom w:val="single" w:sz="4" w:space="0" w:color="auto"/>
              <w:right w:val="single" w:sz="4" w:space="0" w:color="auto"/>
            </w:tcBorders>
            <w:noWrap/>
            <w:vAlign w:val="bottom"/>
            <w:hideMark/>
          </w:tcPr>
          <w:p w14:paraId="009B67E2"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129</w:t>
            </w:r>
          </w:p>
        </w:tc>
        <w:tc>
          <w:tcPr>
            <w:tcW w:w="1317" w:type="dxa"/>
            <w:tcBorders>
              <w:top w:val="nil"/>
              <w:left w:val="nil"/>
              <w:bottom w:val="single" w:sz="4" w:space="0" w:color="auto"/>
              <w:right w:val="single" w:sz="4" w:space="0" w:color="auto"/>
            </w:tcBorders>
            <w:noWrap/>
            <w:vAlign w:val="bottom"/>
            <w:hideMark/>
          </w:tcPr>
          <w:p w14:paraId="64ECE9FE"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1.6%</w:t>
            </w:r>
          </w:p>
        </w:tc>
      </w:tr>
      <w:tr w:rsidR="00D729CA" w:rsidRPr="00D729CA" w14:paraId="7EC62C73"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0C9597A9"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xml:space="preserve">West of Kirkby </w:t>
            </w:r>
          </w:p>
        </w:tc>
        <w:tc>
          <w:tcPr>
            <w:tcW w:w="1439" w:type="dxa"/>
            <w:tcBorders>
              <w:top w:val="nil"/>
              <w:left w:val="nil"/>
              <w:bottom w:val="single" w:sz="4" w:space="0" w:color="auto"/>
              <w:right w:val="single" w:sz="4" w:space="0" w:color="auto"/>
            </w:tcBorders>
            <w:vAlign w:val="bottom"/>
            <w:hideMark/>
          </w:tcPr>
          <w:p w14:paraId="61E7E49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w:t>
            </w:r>
          </w:p>
        </w:tc>
        <w:tc>
          <w:tcPr>
            <w:tcW w:w="1220" w:type="dxa"/>
            <w:tcBorders>
              <w:top w:val="nil"/>
              <w:left w:val="nil"/>
              <w:bottom w:val="single" w:sz="4" w:space="0" w:color="auto"/>
              <w:right w:val="single" w:sz="4" w:space="0" w:color="auto"/>
            </w:tcBorders>
            <w:noWrap/>
            <w:vAlign w:val="bottom"/>
            <w:hideMark/>
          </w:tcPr>
          <w:p w14:paraId="1838750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48EE6C0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7DB3244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w:t>
            </w:r>
          </w:p>
        </w:tc>
        <w:tc>
          <w:tcPr>
            <w:tcW w:w="987" w:type="dxa"/>
            <w:tcBorders>
              <w:top w:val="nil"/>
              <w:left w:val="nil"/>
              <w:bottom w:val="single" w:sz="4" w:space="0" w:color="auto"/>
              <w:right w:val="single" w:sz="4" w:space="0" w:color="auto"/>
            </w:tcBorders>
            <w:noWrap/>
            <w:vAlign w:val="bottom"/>
            <w:hideMark/>
          </w:tcPr>
          <w:p w14:paraId="5C82B80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w:t>
            </w:r>
          </w:p>
        </w:tc>
        <w:tc>
          <w:tcPr>
            <w:tcW w:w="1317" w:type="dxa"/>
            <w:tcBorders>
              <w:top w:val="nil"/>
              <w:left w:val="nil"/>
              <w:bottom w:val="single" w:sz="4" w:space="0" w:color="auto"/>
              <w:right w:val="single" w:sz="4" w:space="0" w:color="auto"/>
            </w:tcBorders>
            <w:noWrap/>
            <w:vAlign w:val="bottom"/>
            <w:hideMark/>
          </w:tcPr>
          <w:p w14:paraId="1DDB3D2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0.0%</w:t>
            </w:r>
          </w:p>
        </w:tc>
      </w:tr>
      <w:tr w:rsidR="00D729CA" w:rsidRPr="00D729CA" w14:paraId="6BC9FF47"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13A440D3"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xml:space="preserve">East of Kirkby </w:t>
            </w:r>
          </w:p>
        </w:tc>
        <w:tc>
          <w:tcPr>
            <w:tcW w:w="1439" w:type="dxa"/>
            <w:tcBorders>
              <w:top w:val="nil"/>
              <w:left w:val="nil"/>
              <w:bottom w:val="single" w:sz="4" w:space="0" w:color="auto"/>
              <w:right w:val="single" w:sz="4" w:space="0" w:color="auto"/>
            </w:tcBorders>
            <w:vAlign w:val="bottom"/>
            <w:hideMark/>
          </w:tcPr>
          <w:p w14:paraId="1F579AA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w:t>
            </w:r>
          </w:p>
        </w:tc>
        <w:tc>
          <w:tcPr>
            <w:tcW w:w="1220" w:type="dxa"/>
            <w:tcBorders>
              <w:top w:val="nil"/>
              <w:left w:val="nil"/>
              <w:bottom w:val="single" w:sz="4" w:space="0" w:color="auto"/>
              <w:right w:val="single" w:sz="4" w:space="0" w:color="auto"/>
            </w:tcBorders>
            <w:noWrap/>
            <w:vAlign w:val="bottom"/>
            <w:hideMark/>
          </w:tcPr>
          <w:p w14:paraId="7ED57EE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5F72CD5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523B956F"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w:t>
            </w:r>
          </w:p>
        </w:tc>
        <w:tc>
          <w:tcPr>
            <w:tcW w:w="987" w:type="dxa"/>
            <w:tcBorders>
              <w:top w:val="nil"/>
              <w:left w:val="nil"/>
              <w:bottom w:val="single" w:sz="4" w:space="0" w:color="auto"/>
              <w:right w:val="single" w:sz="4" w:space="0" w:color="auto"/>
            </w:tcBorders>
            <w:noWrap/>
            <w:vAlign w:val="bottom"/>
            <w:hideMark/>
          </w:tcPr>
          <w:p w14:paraId="52E0AA93"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w:t>
            </w:r>
          </w:p>
        </w:tc>
        <w:tc>
          <w:tcPr>
            <w:tcW w:w="1317" w:type="dxa"/>
            <w:tcBorders>
              <w:top w:val="nil"/>
              <w:left w:val="nil"/>
              <w:bottom w:val="single" w:sz="4" w:space="0" w:color="auto"/>
              <w:right w:val="single" w:sz="4" w:space="0" w:color="auto"/>
            </w:tcBorders>
            <w:noWrap/>
            <w:vAlign w:val="bottom"/>
            <w:hideMark/>
          </w:tcPr>
          <w:p w14:paraId="0FFCAEC9"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0.0%</w:t>
            </w:r>
          </w:p>
        </w:tc>
      </w:tr>
      <w:tr w:rsidR="00D729CA" w:rsidRPr="00D729CA" w14:paraId="58204A0E"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3F5331B7"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xml:space="preserve">South of Kirkby </w:t>
            </w:r>
          </w:p>
        </w:tc>
        <w:tc>
          <w:tcPr>
            <w:tcW w:w="1439" w:type="dxa"/>
            <w:tcBorders>
              <w:top w:val="nil"/>
              <w:left w:val="nil"/>
              <w:bottom w:val="single" w:sz="4" w:space="0" w:color="auto"/>
              <w:right w:val="single" w:sz="4" w:space="0" w:color="auto"/>
            </w:tcBorders>
            <w:vAlign w:val="bottom"/>
            <w:hideMark/>
          </w:tcPr>
          <w:p w14:paraId="75A71B1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vAlign w:val="bottom"/>
            <w:hideMark/>
          </w:tcPr>
          <w:p w14:paraId="26C7F503"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vAlign w:val="bottom"/>
            <w:hideMark/>
          </w:tcPr>
          <w:p w14:paraId="600F4709"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4525010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w:t>
            </w:r>
          </w:p>
        </w:tc>
        <w:tc>
          <w:tcPr>
            <w:tcW w:w="987" w:type="dxa"/>
            <w:tcBorders>
              <w:top w:val="nil"/>
              <w:left w:val="nil"/>
              <w:bottom w:val="single" w:sz="4" w:space="0" w:color="auto"/>
              <w:right w:val="single" w:sz="4" w:space="0" w:color="auto"/>
            </w:tcBorders>
            <w:noWrap/>
            <w:vAlign w:val="bottom"/>
            <w:hideMark/>
          </w:tcPr>
          <w:p w14:paraId="37A564CD"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w:t>
            </w:r>
          </w:p>
        </w:tc>
        <w:tc>
          <w:tcPr>
            <w:tcW w:w="1317" w:type="dxa"/>
            <w:tcBorders>
              <w:top w:val="nil"/>
              <w:left w:val="nil"/>
              <w:bottom w:val="single" w:sz="4" w:space="0" w:color="auto"/>
              <w:right w:val="single" w:sz="4" w:space="0" w:color="auto"/>
            </w:tcBorders>
            <w:noWrap/>
            <w:vAlign w:val="bottom"/>
            <w:hideMark/>
          </w:tcPr>
          <w:p w14:paraId="5F18DE9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0.0%</w:t>
            </w:r>
          </w:p>
        </w:tc>
      </w:tr>
      <w:tr w:rsidR="00D729CA" w:rsidRPr="00D729CA" w14:paraId="6A0704C5"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69C5D6F2"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East of Annesley</w:t>
            </w:r>
          </w:p>
        </w:tc>
        <w:tc>
          <w:tcPr>
            <w:tcW w:w="1439" w:type="dxa"/>
            <w:tcBorders>
              <w:top w:val="nil"/>
              <w:left w:val="nil"/>
              <w:bottom w:val="single" w:sz="4" w:space="0" w:color="auto"/>
              <w:right w:val="single" w:sz="4" w:space="0" w:color="auto"/>
            </w:tcBorders>
            <w:vAlign w:val="bottom"/>
            <w:hideMark/>
          </w:tcPr>
          <w:p w14:paraId="65D3F64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vAlign w:val="bottom"/>
            <w:hideMark/>
          </w:tcPr>
          <w:p w14:paraId="0F9BDF02"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vAlign w:val="bottom"/>
            <w:hideMark/>
          </w:tcPr>
          <w:p w14:paraId="69C701B4"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1299362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w:t>
            </w:r>
          </w:p>
        </w:tc>
        <w:tc>
          <w:tcPr>
            <w:tcW w:w="987" w:type="dxa"/>
            <w:tcBorders>
              <w:top w:val="nil"/>
              <w:left w:val="nil"/>
              <w:bottom w:val="single" w:sz="4" w:space="0" w:color="auto"/>
              <w:right w:val="single" w:sz="4" w:space="0" w:color="auto"/>
            </w:tcBorders>
            <w:noWrap/>
            <w:vAlign w:val="bottom"/>
            <w:hideMark/>
          </w:tcPr>
          <w:p w14:paraId="1ABF2EE4"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w:t>
            </w:r>
          </w:p>
        </w:tc>
        <w:tc>
          <w:tcPr>
            <w:tcW w:w="1317" w:type="dxa"/>
            <w:tcBorders>
              <w:top w:val="nil"/>
              <w:left w:val="nil"/>
              <w:bottom w:val="single" w:sz="4" w:space="0" w:color="auto"/>
              <w:right w:val="single" w:sz="4" w:space="0" w:color="auto"/>
            </w:tcBorders>
            <w:noWrap/>
            <w:vAlign w:val="bottom"/>
            <w:hideMark/>
          </w:tcPr>
          <w:p w14:paraId="3376A790"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0.0%</w:t>
            </w:r>
          </w:p>
        </w:tc>
      </w:tr>
      <w:tr w:rsidR="00D729CA" w:rsidRPr="00D729CA" w14:paraId="6D065160"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2A4EE205"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xml:space="preserve">Jubilee </w:t>
            </w:r>
          </w:p>
        </w:tc>
        <w:tc>
          <w:tcPr>
            <w:tcW w:w="1439" w:type="dxa"/>
            <w:tcBorders>
              <w:top w:val="nil"/>
              <w:left w:val="nil"/>
              <w:bottom w:val="single" w:sz="4" w:space="0" w:color="auto"/>
              <w:right w:val="single" w:sz="4" w:space="0" w:color="auto"/>
            </w:tcBorders>
            <w:vAlign w:val="bottom"/>
            <w:hideMark/>
          </w:tcPr>
          <w:p w14:paraId="2F41953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vAlign w:val="bottom"/>
            <w:hideMark/>
          </w:tcPr>
          <w:p w14:paraId="0206FA3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vAlign w:val="bottom"/>
            <w:hideMark/>
          </w:tcPr>
          <w:p w14:paraId="60B9B42B"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4F41CB8F"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9</w:t>
            </w:r>
          </w:p>
        </w:tc>
        <w:tc>
          <w:tcPr>
            <w:tcW w:w="987" w:type="dxa"/>
            <w:tcBorders>
              <w:top w:val="nil"/>
              <w:left w:val="nil"/>
              <w:bottom w:val="single" w:sz="4" w:space="0" w:color="auto"/>
              <w:right w:val="single" w:sz="4" w:space="0" w:color="auto"/>
            </w:tcBorders>
            <w:noWrap/>
            <w:vAlign w:val="bottom"/>
            <w:hideMark/>
          </w:tcPr>
          <w:p w14:paraId="2A2B1A0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9</w:t>
            </w:r>
          </w:p>
        </w:tc>
        <w:tc>
          <w:tcPr>
            <w:tcW w:w="1317" w:type="dxa"/>
            <w:tcBorders>
              <w:top w:val="nil"/>
              <w:left w:val="nil"/>
              <w:bottom w:val="single" w:sz="4" w:space="0" w:color="auto"/>
              <w:right w:val="single" w:sz="4" w:space="0" w:color="auto"/>
            </w:tcBorders>
            <w:noWrap/>
            <w:vAlign w:val="bottom"/>
            <w:hideMark/>
          </w:tcPr>
          <w:p w14:paraId="529303D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0.1%</w:t>
            </w:r>
          </w:p>
        </w:tc>
      </w:tr>
      <w:tr w:rsidR="00D729CA" w:rsidRPr="00D729CA" w14:paraId="434BEC6C"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266CB1A9"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xml:space="preserve">Noth of </w:t>
            </w:r>
            <w:proofErr w:type="spellStart"/>
            <w:r w:rsidRPr="00D729CA">
              <w:rPr>
                <w:rFonts w:asciiTheme="minorHAnsi" w:hAnsiTheme="minorHAnsi" w:cstheme="minorHAnsi"/>
                <w:color w:val="0070C0"/>
                <w:kern w:val="2"/>
                <w:sz w:val="22"/>
                <w14:ligatures w14:val="standardContextual"/>
              </w:rPr>
              <w:t>Selston</w:t>
            </w:r>
            <w:proofErr w:type="spellEnd"/>
            <w:r w:rsidRPr="00D729CA">
              <w:rPr>
                <w:rFonts w:asciiTheme="minorHAnsi" w:hAnsiTheme="minorHAnsi" w:cstheme="minorHAnsi"/>
                <w:color w:val="0070C0"/>
                <w:kern w:val="2"/>
                <w:sz w:val="22"/>
                <w14:ligatures w14:val="standardContextual"/>
              </w:rPr>
              <w:t xml:space="preserve"> </w:t>
            </w:r>
          </w:p>
        </w:tc>
        <w:tc>
          <w:tcPr>
            <w:tcW w:w="1439" w:type="dxa"/>
            <w:tcBorders>
              <w:top w:val="nil"/>
              <w:left w:val="nil"/>
              <w:bottom w:val="single" w:sz="4" w:space="0" w:color="auto"/>
              <w:right w:val="single" w:sz="4" w:space="0" w:color="auto"/>
            </w:tcBorders>
            <w:vAlign w:val="bottom"/>
            <w:hideMark/>
          </w:tcPr>
          <w:p w14:paraId="32E8558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w:t>
            </w:r>
          </w:p>
        </w:tc>
        <w:tc>
          <w:tcPr>
            <w:tcW w:w="1220" w:type="dxa"/>
            <w:tcBorders>
              <w:top w:val="nil"/>
              <w:left w:val="nil"/>
              <w:bottom w:val="single" w:sz="4" w:space="0" w:color="auto"/>
              <w:right w:val="single" w:sz="4" w:space="0" w:color="auto"/>
            </w:tcBorders>
            <w:noWrap/>
            <w:vAlign w:val="bottom"/>
            <w:hideMark/>
          </w:tcPr>
          <w:p w14:paraId="1625A0D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3C98238F"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3398FB6B"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w:t>
            </w:r>
          </w:p>
        </w:tc>
        <w:tc>
          <w:tcPr>
            <w:tcW w:w="987" w:type="dxa"/>
            <w:tcBorders>
              <w:top w:val="nil"/>
              <w:left w:val="nil"/>
              <w:bottom w:val="single" w:sz="4" w:space="0" w:color="auto"/>
              <w:right w:val="single" w:sz="4" w:space="0" w:color="auto"/>
            </w:tcBorders>
            <w:noWrap/>
            <w:vAlign w:val="bottom"/>
            <w:hideMark/>
          </w:tcPr>
          <w:p w14:paraId="0EF202E1"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w:t>
            </w:r>
          </w:p>
        </w:tc>
        <w:tc>
          <w:tcPr>
            <w:tcW w:w="1317" w:type="dxa"/>
            <w:tcBorders>
              <w:top w:val="nil"/>
              <w:left w:val="nil"/>
              <w:bottom w:val="single" w:sz="4" w:space="0" w:color="auto"/>
              <w:right w:val="single" w:sz="4" w:space="0" w:color="auto"/>
            </w:tcBorders>
            <w:noWrap/>
            <w:vAlign w:val="bottom"/>
            <w:hideMark/>
          </w:tcPr>
          <w:p w14:paraId="75651E6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0.0%</w:t>
            </w:r>
          </w:p>
        </w:tc>
      </w:tr>
      <w:tr w:rsidR="00D729CA" w:rsidRPr="00D729CA" w14:paraId="5C252631"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52B9BC15"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xml:space="preserve">North of </w:t>
            </w:r>
            <w:proofErr w:type="spellStart"/>
            <w:r w:rsidRPr="00D729CA">
              <w:rPr>
                <w:rFonts w:asciiTheme="minorHAnsi" w:hAnsiTheme="minorHAnsi" w:cstheme="minorHAnsi"/>
                <w:color w:val="0070C0"/>
                <w:kern w:val="2"/>
                <w:sz w:val="22"/>
                <w14:ligatures w14:val="standardContextual"/>
              </w:rPr>
              <w:t>Jacksdale</w:t>
            </w:r>
            <w:proofErr w:type="spellEnd"/>
            <w:r w:rsidRPr="00D729CA">
              <w:rPr>
                <w:rFonts w:asciiTheme="minorHAnsi" w:hAnsiTheme="minorHAnsi" w:cstheme="minorHAnsi"/>
                <w:color w:val="0070C0"/>
                <w:kern w:val="2"/>
                <w:sz w:val="22"/>
                <w14:ligatures w14:val="standardContextual"/>
              </w:rPr>
              <w:t xml:space="preserve"> </w:t>
            </w:r>
          </w:p>
        </w:tc>
        <w:tc>
          <w:tcPr>
            <w:tcW w:w="1439" w:type="dxa"/>
            <w:tcBorders>
              <w:top w:val="nil"/>
              <w:left w:val="nil"/>
              <w:bottom w:val="single" w:sz="4" w:space="0" w:color="auto"/>
              <w:right w:val="single" w:sz="4" w:space="0" w:color="auto"/>
            </w:tcBorders>
            <w:vAlign w:val="bottom"/>
            <w:hideMark/>
          </w:tcPr>
          <w:p w14:paraId="3A714B1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noWrap/>
            <w:vAlign w:val="bottom"/>
            <w:hideMark/>
          </w:tcPr>
          <w:p w14:paraId="275AACE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5CA854A3"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40C3E3EE"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987" w:type="dxa"/>
            <w:tcBorders>
              <w:top w:val="nil"/>
              <w:left w:val="nil"/>
              <w:bottom w:val="single" w:sz="4" w:space="0" w:color="auto"/>
              <w:right w:val="single" w:sz="4" w:space="0" w:color="auto"/>
            </w:tcBorders>
            <w:noWrap/>
            <w:vAlign w:val="bottom"/>
            <w:hideMark/>
          </w:tcPr>
          <w:p w14:paraId="360BFED3"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17" w:type="dxa"/>
            <w:tcBorders>
              <w:top w:val="nil"/>
              <w:left w:val="nil"/>
              <w:bottom w:val="single" w:sz="4" w:space="0" w:color="auto"/>
              <w:right w:val="single" w:sz="4" w:space="0" w:color="auto"/>
            </w:tcBorders>
            <w:noWrap/>
            <w:vAlign w:val="bottom"/>
            <w:hideMark/>
          </w:tcPr>
          <w:p w14:paraId="053BA492"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0.0%</w:t>
            </w:r>
          </w:p>
        </w:tc>
      </w:tr>
      <w:tr w:rsidR="00D729CA" w:rsidRPr="00D729CA" w14:paraId="5A3CCBB5"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183705A3" w14:textId="77777777"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xml:space="preserve">East of </w:t>
            </w:r>
            <w:proofErr w:type="spellStart"/>
            <w:r w:rsidRPr="00D729CA">
              <w:rPr>
                <w:rFonts w:asciiTheme="minorHAnsi" w:hAnsiTheme="minorHAnsi" w:cstheme="minorHAnsi"/>
                <w:color w:val="0070C0"/>
                <w:kern w:val="2"/>
                <w:sz w:val="22"/>
                <w14:ligatures w14:val="standardContextual"/>
              </w:rPr>
              <w:t>Jacksdale</w:t>
            </w:r>
            <w:proofErr w:type="spellEnd"/>
            <w:r w:rsidRPr="00D729CA">
              <w:rPr>
                <w:rFonts w:asciiTheme="minorHAnsi" w:hAnsiTheme="minorHAnsi" w:cstheme="minorHAnsi"/>
                <w:color w:val="0070C0"/>
                <w:kern w:val="2"/>
                <w:sz w:val="22"/>
                <w14:ligatures w14:val="standardContextual"/>
              </w:rPr>
              <w:t xml:space="preserve"> </w:t>
            </w:r>
          </w:p>
        </w:tc>
        <w:tc>
          <w:tcPr>
            <w:tcW w:w="1439" w:type="dxa"/>
            <w:tcBorders>
              <w:top w:val="nil"/>
              <w:left w:val="nil"/>
              <w:bottom w:val="single" w:sz="4" w:space="0" w:color="auto"/>
              <w:right w:val="single" w:sz="4" w:space="0" w:color="auto"/>
            </w:tcBorders>
            <w:vAlign w:val="bottom"/>
            <w:hideMark/>
          </w:tcPr>
          <w:p w14:paraId="11DFFDE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2</w:t>
            </w:r>
          </w:p>
        </w:tc>
        <w:tc>
          <w:tcPr>
            <w:tcW w:w="1220" w:type="dxa"/>
            <w:tcBorders>
              <w:top w:val="nil"/>
              <w:left w:val="nil"/>
              <w:bottom w:val="single" w:sz="4" w:space="0" w:color="auto"/>
              <w:right w:val="single" w:sz="4" w:space="0" w:color="auto"/>
            </w:tcBorders>
            <w:noWrap/>
            <w:vAlign w:val="bottom"/>
            <w:hideMark/>
          </w:tcPr>
          <w:p w14:paraId="591C6FE4"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32FD6A07"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3ED94D1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w:t>
            </w:r>
          </w:p>
        </w:tc>
        <w:tc>
          <w:tcPr>
            <w:tcW w:w="987" w:type="dxa"/>
            <w:tcBorders>
              <w:top w:val="nil"/>
              <w:left w:val="nil"/>
              <w:bottom w:val="single" w:sz="4" w:space="0" w:color="auto"/>
              <w:right w:val="single" w:sz="4" w:space="0" w:color="auto"/>
            </w:tcBorders>
            <w:noWrap/>
            <w:vAlign w:val="bottom"/>
            <w:hideMark/>
          </w:tcPr>
          <w:p w14:paraId="316FF859"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5</w:t>
            </w:r>
          </w:p>
        </w:tc>
        <w:tc>
          <w:tcPr>
            <w:tcW w:w="1317" w:type="dxa"/>
            <w:tcBorders>
              <w:top w:val="nil"/>
              <w:left w:val="nil"/>
              <w:bottom w:val="single" w:sz="4" w:space="0" w:color="auto"/>
              <w:right w:val="single" w:sz="4" w:space="0" w:color="auto"/>
            </w:tcBorders>
            <w:noWrap/>
            <w:vAlign w:val="bottom"/>
            <w:hideMark/>
          </w:tcPr>
          <w:p w14:paraId="2F974B9E"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0.1%</w:t>
            </w:r>
          </w:p>
        </w:tc>
      </w:tr>
      <w:tr w:rsidR="00D729CA" w:rsidRPr="00D729CA" w14:paraId="36397008"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695FBA64" w14:textId="77777777" w:rsidR="00F60F32" w:rsidRPr="00D729CA" w:rsidRDefault="00F60F32">
            <w:pPr>
              <w:rPr>
                <w:rFonts w:asciiTheme="minorHAnsi" w:hAnsiTheme="minorHAnsi" w:cstheme="minorHAnsi"/>
                <w:color w:val="0070C0"/>
                <w:kern w:val="2"/>
                <w:sz w:val="22"/>
                <w14:ligatures w14:val="standardContextual"/>
              </w:rPr>
            </w:pPr>
            <w:proofErr w:type="spellStart"/>
            <w:r w:rsidRPr="00D729CA">
              <w:rPr>
                <w:rFonts w:asciiTheme="minorHAnsi" w:hAnsiTheme="minorHAnsi" w:cstheme="minorHAnsi"/>
                <w:color w:val="0070C0"/>
                <w:kern w:val="2"/>
                <w:sz w:val="22"/>
                <w14:ligatures w14:val="standardContextual"/>
              </w:rPr>
              <w:t>Bagthorpe</w:t>
            </w:r>
            <w:proofErr w:type="spellEnd"/>
            <w:r w:rsidRPr="00D729CA">
              <w:rPr>
                <w:rFonts w:asciiTheme="minorHAnsi" w:hAnsiTheme="minorHAnsi" w:cstheme="minorHAnsi"/>
                <w:color w:val="0070C0"/>
                <w:kern w:val="2"/>
                <w:sz w:val="22"/>
                <w14:ligatures w14:val="standardContextual"/>
              </w:rPr>
              <w:t xml:space="preserve"> </w:t>
            </w:r>
          </w:p>
        </w:tc>
        <w:tc>
          <w:tcPr>
            <w:tcW w:w="1439" w:type="dxa"/>
            <w:tcBorders>
              <w:top w:val="nil"/>
              <w:left w:val="nil"/>
              <w:bottom w:val="single" w:sz="4" w:space="0" w:color="auto"/>
              <w:right w:val="single" w:sz="4" w:space="0" w:color="auto"/>
            </w:tcBorders>
            <w:vAlign w:val="bottom"/>
            <w:hideMark/>
          </w:tcPr>
          <w:p w14:paraId="187E6DC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220" w:type="dxa"/>
            <w:tcBorders>
              <w:top w:val="nil"/>
              <w:left w:val="nil"/>
              <w:bottom w:val="single" w:sz="4" w:space="0" w:color="auto"/>
              <w:right w:val="single" w:sz="4" w:space="0" w:color="auto"/>
            </w:tcBorders>
            <w:noWrap/>
            <w:vAlign w:val="bottom"/>
            <w:hideMark/>
          </w:tcPr>
          <w:p w14:paraId="4546A198"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41B21B6F"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68D35BA5"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w:t>
            </w:r>
          </w:p>
        </w:tc>
        <w:tc>
          <w:tcPr>
            <w:tcW w:w="987" w:type="dxa"/>
            <w:tcBorders>
              <w:top w:val="nil"/>
              <w:left w:val="nil"/>
              <w:bottom w:val="single" w:sz="4" w:space="0" w:color="auto"/>
              <w:right w:val="single" w:sz="4" w:space="0" w:color="auto"/>
            </w:tcBorders>
            <w:noWrap/>
            <w:vAlign w:val="bottom"/>
            <w:hideMark/>
          </w:tcPr>
          <w:p w14:paraId="0F6FBF7B"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1</w:t>
            </w:r>
          </w:p>
        </w:tc>
        <w:tc>
          <w:tcPr>
            <w:tcW w:w="1317" w:type="dxa"/>
            <w:tcBorders>
              <w:top w:val="nil"/>
              <w:left w:val="nil"/>
              <w:bottom w:val="single" w:sz="4" w:space="0" w:color="auto"/>
              <w:right w:val="single" w:sz="4" w:space="0" w:color="auto"/>
            </w:tcBorders>
            <w:noWrap/>
            <w:vAlign w:val="bottom"/>
            <w:hideMark/>
          </w:tcPr>
          <w:p w14:paraId="4D1192C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0.0%</w:t>
            </w:r>
          </w:p>
        </w:tc>
      </w:tr>
      <w:tr w:rsidR="00D729CA" w:rsidRPr="00D729CA" w14:paraId="5BC97A1C"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548BA72A" w14:textId="6B8B474C" w:rsidR="00F60F32" w:rsidRPr="00D729CA" w:rsidRDefault="00F60F32">
            <w:pPr>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 xml:space="preserve">South Underwood </w:t>
            </w:r>
          </w:p>
        </w:tc>
        <w:tc>
          <w:tcPr>
            <w:tcW w:w="1439" w:type="dxa"/>
            <w:tcBorders>
              <w:top w:val="nil"/>
              <w:left w:val="nil"/>
              <w:bottom w:val="single" w:sz="4" w:space="0" w:color="auto"/>
              <w:right w:val="single" w:sz="4" w:space="0" w:color="auto"/>
            </w:tcBorders>
            <w:vAlign w:val="bottom"/>
            <w:hideMark/>
          </w:tcPr>
          <w:p w14:paraId="0C98E24F"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3</w:t>
            </w:r>
          </w:p>
        </w:tc>
        <w:tc>
          <w:tcPr>
            <w:tcW w:w="1220" w:type="dxa"/>
            <w:tcBorders>
              <w:top w:val="nil"/>
              <w:left w:val="nil"/>
              <w:bottom w:val="single" w:sz="4" w:space="0" w:color="auto"/>
              <w:right w:val="single" w:sz="4" w:space="0" w:color="auto"/>
            </w:tcBorders>
            <w:noWrap/>
            <w:vAlign w:val="bottom"/>
            <w:hideMark/>
          </w:tcPr>
          <w:p w14:paraId="602EA153"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77EFE8EE"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w:t>
            </w:r>
          </w:p>
        </w:tc>
        <w:tc>
          <w:tcPr>
            <w:tcW w:w="1382" w:type="dxa"/>
            <w:tcBorders>
              <w:top w:val="nil"/>
              <w:left w:val="nil"/>
              <w:bottom w:val="single" w:sz="4" w:space="0" w:color="auto"/>
              <w:right w:val="single" w:sz="4" w:space="0" w:color="auto"/>
            </w:tcBorders>
            <w:shd w:val="clear" w:color="auto" w:fill="FFFFFF"/>
            <w:noWrap/>
            <w:vAlign w:val="bottom"/>
            <w:hideMark/>
          </w:tcPr>
          <w:p w14:paraId="49C7F55C"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4</w:t>
            </w:r>
          </w:p>
        </w:tc>
        <w:tc>
          <w:tcPr>
            <w:tcW w:w="987" w:type="dxa"/>
            <w:tcBorders>
              <w:top w:val="nil"/>
              <w:left w:val="nil"/>
              <w:bottom w:val="single" w:sz="4" w:space="0" w:color="auto"/>
              <w:right w:val="single" w:sz="4" w:space="0" w:color="auto"/>
            </w:tcBorders>
            <w:noWrap/>
            <w:vAlign w:val="bottom"/>
            <w:hideMark/>
          </w:tcPr>
          <w:p w14:paraId="171CB0DA"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7</w:t>
            </w:r>
          </w:p>
        </w:tc>
        <w:tc>
          <w:tcPr>
            <w:tcW w:w="1317" w:type="dxa"/>
            <w:tcBorders>
              <w:top w:val="nil"/>
              <w:left w:val="nil"/>
              <w:bottom w:val="single" w:sz="4" w:space="0" w:color="auto"/>
              <w:right w:val="single" w:sz="4" w:space="0" w:color="auto"/>
            </w:tcBorders>
            <w:noWrap/>
            <w:vAlign w:val="bottom"/>
            <w:hideMark/>
          </w:tcPr>
          <w:p w14:paraId="42B95A49" w14:textId="77777777" w:rsidR="00F60F32" w:rsidRPr="00D729CA" w:rsidRDefault="00F60F32">
            <w:pPr>
              <w:jc w:val="right"/>
              <w:rPr>
                <w:rFonts w:asciiTheme="minorHAnsi" w:hAnsiTheme="minorHAnsi" w:cstheme="minorHAnsi"/>
                <w:color w:val="0070C0"/>
                <w:kern w:val="2"/>
                <w:sz w:val="22"/>
                <w14:ligatures w14:val="standardContextual"/>
              </w:rPr>
            </w:pPr>
            <w:r w:rsidRPr="00D729CA">
              <w:rPr>
                <w:rFonts w:asciiTheme="minorHAnsi" w:hAnsiTheme="minorHAnsi" w:cstheme="minorHAnsi"/>
                <w:color w:val="0070C0"/>
                <w:kern w:val="2"/>
                <w:sz w:val="22"/>
                <w14:ligatures w14:val="standardContextual"/>
              </w:rPr>
              <w:t>0.1%</w:t>
            </w:r>
          </w:p>
        </w:tc>
      </w:tr>
      <w:tr w:rsidR="00D729CA" w:rsidRPr="00D729CA" w14:paraId="3114FC8E" w14:textId="77777777" w:rsidTr="006047FC">
        <w:trPr>
          <w:trHeight w:hRule="exact" w:val="340"/>
        </w:trPr>
        <w:tc>
          <w:tcPr>
            <w:tcW w:w="2161" w:type="dxa"/>
            <w:tcBorders>
              <w:top w:val="nil"/>
              <w:left w:val="single" w:sz="4" w:space="0" w:color="auto"/>
              <w:bottom w:val="single" w:sz="4" w:space="0" w:color="auto"/>
              <w:right w:val="single" w:sz="4" w:space="0" w:color="auto"/>
            </w:tcBorders>
            <w:vAlign w:val="bottom"/>
            <w:hideMark/>
          </w:tcPr>
          <w:p w14:paraId="5B5E6AF9"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 xml:space="preserve">Total </w:t>
            </w:r>
          </w:p>
        </w:tc>
        <w:tc>
          <w:tcPr>
            <w:tcW w:w="1439" w:type="dxa"/>
            <w:tcBorders>
              <w:top w:val="nil"/>
              <w:left w:val="nil"/>
              <w:bottom w:val="single" w:sz="4" w:space="0" w:color="auto"/>
              <w:right w:val="single" w:sz="4" w:space="0" w:color="auto"/>
            </w:tcBorders>
            <w:vAlign w:val="bottom"/>
            <w:hideMark/>
          </w:tcPr>
          <w:p w14:paraId="503AB463"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22</w:t>
            </w:r>
          </w:p>
        </w:tc>
        <w:tc>
          <w:tcPr>
            <w:tcW w:w="1220" w:type="dxa"/>
            <w:tcBorders>
              <w:top w:val="nil"/>
              <w:left w:val="nil"/>
              <w:bottom w:val="single" w:sz="4" w:space="0" w:color="auto"/>
              <w:right w:val="single" w:sz="4" w:space="0" w:color="auto"/>
            </w:tcBorders>
            <w:noWrap/>
            <w:vAlign w:val="bottom"/>
            <w:hideMark/>
          </w:tcPr>
          <w:p w14:paraId="77272350"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0</w:t>
            </w:r>
          </w:p>
        </w:tc>
        <w:tc>
          <w:tcPr>
            <w:tcW w:w="1513" w:type="dxa"/>
            <w:tcBorders>
              <w:top w:val="nil"/>
              <w:left w:val="nil"/>
              <w:bottom w:val="single" w:sz="4" w:space="0" w:color="auto"/>
              <w:right w:val="single" w:sz="4" w:space="0" w:color="auto"/>
            </w:tcBorders>
            <w:noWrap/>
            <w:vAlign w:val="bottom"/>
            <w:hideMark/>
          </w:tcPr>
          <w:p w14:paraId="33829CBD"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90</w:t>
            </w:r>
          </w:p>
        </w:tc>
        <w:tc>
          <w:tcPr>
            <w:tcW w:w="1382" w:type="dxa"/>
            <w:tcBorders>
              <w:top w:val="nil"/>
              <w:left w:val="nil"/>
              <w:bottom w:val="single" w:sz="4" w:space="0" w:color="auto"/>
              <w:right w:val="single" w:sz="4" w:space="0" w:color="auto"/>
            </w:tcBorders>
            <w:noWrap/>
            <w:vAlign w:val="bottom"/>
            <w:hideMark/>
          </w:tcPr>
          <w:p w14:paraId="34C3CF0F"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74</w:t>
            </w:r>
          </w:p>
        </w:tc>
        <w:tc>
          <w:tcPr>
            <w:tcW w:w="987" w:type="dxa"/>
            <w:tcBorders>
              <w:top w:val="nil"/>
              <w:left w:val="nil"/>
              <w:bottom w:val="single" w:sz="4" w:space="0" w:color="auto"/>
              <w:right w:val="single" w:sz="4" w:space="0" w:color="auto"/>
            </w:tcBorders>
            <w:noWrap/>
            <w:vAlign w:val="bottom"/>
            <w:hideMark/>
          </w:tcPr>
          <w:p w14:paraId="56EB4877"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186</w:t>
            </w:r>
          </w:p>
        </w:tc>
        <w:tc>
          <w:tcPr>
            <w:tcW w:w="1317" w:type="dxa"/>
            <w:tcBorders>
              <w:top w:val="nil"/>
              <w:left w:val="nil"/>
              <w:bottom w:val="single" w:sz="4" w:space="0" w:color="auto"/>
              <w:right w:val="single" w:sz="4" w:space="0" w:color="auto"/>
            </w:tcBorders>
            <w:noWrap/>
            <w:vAlign w:val="bottom"/>
            <w:hideMark/>
          </w:tcPr>
          <w:p w14:paraId="1B47EB27"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2%</w:t>
            </w:r>
          </w:p>
        </w:tc>
      </w:tr>
      <w:tr w:rsidR="00D729CA" w:rsidRPr="00D729CA" w14:paraId="2D8B81C4" w14:textId="77777777" w:rsidTr="006047FC">
        <w:trPr>
          <w:trHeight w:hRule="exact" w:val="397"/>
        </w:trPr>
        <w:tc>
          <w:tcPr>
            <w:tcW w:w="2161" w:type="dxa"/>
            <w:tcBorders>
              <w:top w:val="nil"/>
              <w:left w:val="single" w:sz="4" w:space="0" w:color="auto"/>
              <w:bottom w:val="single" w:sz="4" w:space="0" w:color="auto"/>
              <w:right w:val="single" w:sz="4" w:space="0" w:color="auto"/>
            </w:tcBorders>
            <w:vAlign w:val="bottom"/>
            <w:hideMark/>
          </w:tcPr>
          <w:p w14:paraId="0D298EB5" w14:textId="77777777" w:rsidR="00F60F32" w:rsidRPr="00D729CA" w:rsidRDefault="00F60F32">
            <w:pPr>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DISTRICT TOTAL</w:t>
            </w:r>
          </w:p>
        </w:tc>
        <w:tc>
          <w:tcPr>
            <w:tcW w:w="1439" w:type="dxa"/>
            <w:tcBorders>
              <w:top w:val="nil"/>
              <w:left w:val="nil"/>
              <w:bottom w:val="single" w:sz="4" w:space="0" w:color="auto"/>
              <w:right w:val="single" w:sz="4" w:space="0" w:color="auto"/>
            </w:tcBorders>
            <w:noWrap/>
            <w:vAlign w:val="bottom"/>
            <w:hideMark/>
          </w:tcPr>
          <w:p w14:paraId="0E54754C"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907</w:t>
            </w:r>
          </w:p>
        </w:tc>
        <w:tc>
          <w:tcPr>
            <w:tcW w:w="1220" w:type="dxa"/>
            <w:tcBorders>
              <w:top w:val="nil"/>
              <w:left w:val="nil"/>
              <w:bottom w:val="single" w:sz="4" w:space="0" w:color="auto"/>
              <w:right w:val="single" w:sz="4" w:space="0" w:color="auto"/>
            </w:tcBorders>
            <w:noWrap/>
            <w:vAlign w:val="bottom"/>
            <w:hideMark/>
          </w:tcPr>
          <w:p w14:paraId="59249948"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3801</w:t>
            </w:r>
          </w:p>
        </w:tc>
        <w:tc>
          <w:tcPr>
            <w:tcW w:w="1513" w:type="dxa"/>
            <w:tcBorders>
              <w:top w:val="nil"/>
              <w:left w:val="nil"/>
              <w:bottom w:val="single" w:sz="4" w:space="0" w:color="auto"/>
              <w:right w:val="single" w:sz="4" w:space="0" w:color="auto"/>
            </w:tcBorders>
            <w:noWrap/>
            <w:vAlign w:val="bottom"/>
            <w:hideMark/>
          </w:tcPr>
          <w:p w14:paraId="6C195398"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834</w:t>
            </w:r>
          </w:p>
        </w:tc>
        <w:tc>
          <w:tcPr>
            <w:tcW w:w="1382" w:type="dxa"/>
            <w:tcBorders>
              <w:top w:val="nil"/>
              <w:left w:val="nil"/>
              <w:bottom w:val="single" w:sz="4" w:space="0" w:color="auto"/>
              <w:right w:val="single" w:sz="4" w:space="0" w:color="auto"/>
            </w:tcBorders>
            <w:noWrap/>
            <w:vAlign w:val="bottom"/>
            <w:hideMark/>
          </w:tcPr>
          <w:p w14:paraId="22A8D266"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2580</w:t>
            </w:r>
          </w:p>
        </w:tc>
        <w:tc>
          <w:tcPr>
            <w:tcW w:w="987" w:type="dxa"/>
            <w:tcBorders>
              <w:top w:val="nil"/>
              <w:left w:val="nil"/>
              <w:bottom w:val="single" w:sz="4" w:space="0" w:color="auto"/>
              <w:right w:val="single" w:sz="4" w:space="0" w:color="auto"/>
            </w:tcBorders>
            <w:noWrap/>
            <w:vAlign w:val="bottom"/>
            <w:hideMark/>
          </w:tcPr>
          <w:p w14:paraId="419C6759"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8122</w:t>
            </w:r>
          </w:p>
        </w:tc>
        <w:tc>
          <w:tcPr>
            <w:tcW w:w="1317" w:type="dxa"/>
            <w:tcBorders>
              <w:top w:val="nil"/>
              <w:left w:val="nil"/>
              <w:bottom w:val="single" w:sz="4" w:space="0" w:color="auto"/>
              <w:right w:val="single" w:sz="4" w:space="0" w:color="auto"/>
            </w:tcBorders>
            <w:noWrap/>
            <w:vAlign w:val="bottom"/>
            <w:hideMark/>
          </w:tcPr>
          <w:p w14:paraId="2835A86F" w14:textId="77777777" w:rsidR="00F60F32" w:rsidRPr="00D729CA" w:rsidRDefault="00F60F32">
            <w:pPr>
              <w:jc w:val="right"/>
              <w:rPr>
                <w:rFonts w:asciiTheme="minorHAnsi" w:hAnsiTheme="minorHAnsi" w:cstheme="minorHAnsi"/>
                <w:b/>
                <w:bCs/>
                <w:color w:val="0070C0"/>
                <w:kern w:val="2"/>
                <w:sz w:val="22"/>
                <w14:ligatures w14:val="standardContextual"/>
              </w:rPr>
            </w:pPr>
            <w:r w:rsidRPr="00D729CA">
              <w:rPr>
                <w:rFonts w:asciiTheme="minorHAnsi" w:hAnsiTheme="minorHAnsi" w:cstheme="minorHAnsi"/>
                <w:b/>
                <w:bCs/>
                <w:color w:val="0070C0"/>
                <w:kern w:val="2"/>
                <w:sz w:val="22"/>
                <w14:ligatures w14:val="standardContextual"/>
              </w:rPr>
              <w:t>100%</w:t>
            </w:r>
          </w:p>
        </w:tc>
      </w:tr>
    </w:tbl>
    <w:p w14:paraId="5E7A32C6" w14:textId="5BFE1511" w:rsidR="00F60F32" w:rsidRPr="00F60F32" w:rsidRDefault="00F60F32" w:rsidP="00F60F32">
      <w:pPr>
        <w:rPr>
          <w:sz w:val="18"/>
          <w:szCs w:val="18"/>
        </w:rPr>
      </w:pPr>
      <w:r w:rsidRPr="00B71F68">
        <w:rPr>
          <w:color w:val="0070C0"/>
          <w:sz w:val="18"/>
          <w:szCs w:val="18"/>
        </w:rPr>
        <w:t># Including delivery from 3 large sites where s106 was signed post June 2025</w:t>
      </w:r>
      <w:r w:rsidRPr="00F60F32">
        <w:rPr>
          <w:sz w:val="18"/>
          <w:szCs w:val="18"/>
        </w:rPr>
        <w:br w:type="page"/>
      </w:r>
    </w:p>
    <w:p w14:paraId="1F788753" w14:textId="36044FE7" w:rsidR="00497B96" w:rsidRPr="00C602FD" w:rsidRDefault="00497B96" w:rsidP="00CF07B9">
      <w:pPr>
        <w:pStyle w:val="Heading1"/>
      </w:pPr>
      <w:r w:rsidRPr="00C602FD">
        <w:lastRenderedPageBreak/>
        <w:t xml:space="preserve">Appendix </w:t>
      </w:r>
      <w:r>
        <w:t>3</w:t>
      </w:r>
      <w:r w:rsidRPr="00C602FD">
        <w:t xml:space="preserve"> - Environmental Protection – Matters For Consideration In Taking</w:t>
      </w:r>
      <w:r>
        <w:t xml:space="preserve"> </w:t>
      </w:r>
      <w:r w:rsidRPr="00C602FD">
        <w:t>Decisions On Planning Applications</w:t>
      </w:r>
      <w:bookmarkEnd w:id="336"/>
    </w:p>
    <w:p w14:paraId="6DEC46AD" w14:textId="77777777" w:rsidR="00497B96" w:rsidRDefault="00497B96" w:rsidP="00497B96">
      <w:pPr>
        <w:keepNext w:val="0"/>
        <w:autoSpaceDE w:val="0"/>
        <w:autoSpaceDN w:val="0"/>
        <w:adjustRightInd w:val="0"/>
        <w:spacing w:before="0"/>
        <w:rPr>
          <w:rFonts w:cs="Arial"/>
          <w:szCs w:val="24"/>
        </w:rPr>
      </w:pPr>
    </w:p>
    <w:p w14:paraId="1C605EA6" w14:textId="77777777" w:rsidR="00497B96" w:rsidRPr="005B39D2" w:rsidRDefault="00497B96" w:rsidP="00497B96">
      <w:pPr>
        <w:keepNext w:val="0"/>
        <w:autoSpaceDE w:val="0"/>
        <w:autoSpaceDN w:val="0"/>
        <w:adjustRightInd w:val="0"/>
        <w:spacing w:before="0"/>
        <w:rPr>
          <w:rFonts w:cs="Arial"/>
          <w:szCs w:val="24"/>
        </w:rPr>
      </w:pPr>
      <w:r w:rsidRPr="005B39D2">
        <w:rPr>
          <w:rFonts w:cs="Arial"/>
          <w:szCs w:val="24"/>
        </w:rPr>
        <w:t>The following matters (not in any order of importance) should be considered in the</w:t>
      </w:r>
    </w:p>
    <w:p w14:paraId="381BCD43" w14:textId="77777777" w:rsidR="00497B96" w:rsidRPr="00886087" w:rsidRDefault="00497B96" w:rsidP="00497B96">
      <w:pPr>
        <w:keepNext w:val="0"/>
        <w:autoSpaceDE w:val="0"/>
        <w:autoSpaceDN w:val="0"/>
        <w:adjustRightInd w:val="0"/>
        <w:spacing w:before="0"/>
        <w:rPr>
          <w:rFonts w:cs="Arial"/>
          <w:szCs w:val="24"/>
        </w:rPr>
      </w:pPr>
      <w:r w:rsidRPr="005B39D2">
        <w:rPr>
          <w:rFonts w:cs="Arial"/>
          <w:szCs w:val="24"/>
        </w:rPr>
        <w:t>determination of planning applications where pollution considerations arise:</w:t>
      </w:r>
    </w:p>
    <w:p w14:paraId="1D9E5DB5" w14:textId="77777777" w:rsidR="00497B96" w:rsidRPr="00886087" w:rsidRDefault="00497B96" w:rsidP="00497B96">
      <w:pPr>
        <w:keepNext w:val="0"/>
        <w:autoSpaceDE w:val="0"/>
        <w:autoSpaceDN w:val="0"/>
        <w:adjustRightInd w:val="0"/>
        <w:spacing w:before="0"/>
        <w:rPr>
          <w:rFonts w:cs="Arial"/>
          <w:szCs w:val="24"/>
        </w:rPr>
      </w:pPr>
    </w:p>
    <w:p w14:paraId="5F7D9E7A" w14:textId="77777777" w:rsidR="00497B96" w:rsidRDefault="00497B96" w:rsidP="00874A98">
      <w:pPr>
        <w:pStyle w:val="ListParagraph"/>
        <w:numPr>
          <w:ilvl w:val="0"/>
          <w:numId w:val="311"/>
        </w:numPr>
        <w:autoSpaceDE w:val="0"/>
        <w:autoSpaceDN w:val="0"/>
        <w:adjustRightInd w:val="0"/>
        <w:spacing w:after="0" w:line="240" w:lineRule="auto"/>
        <w:ind w:left="357" w:hanging="357"/>
        <w:rPr>
          <w:rFonts w:ascii="Arial" w:hAnsi="Arial" w:cs="Arial"/>
          <w:szCs w:val="24"/>
        </w:rPr>
      </w:pPr>
      <w:r w:rsidRPr="00886087">
        <w:rPr>
          <w:rFonts w:ascii="Arial" w:hAnsi="Arial" w:cs="Arial"/>
          <w:szCs w:val="24"/>
        </w:rPr>
        <w:t>The possible impact of potentially polluting development (both direct and indirect) on land use, including effects on health, the natural environment or general amenity.</w:t>
      </w:r>
    </w:p>
    <w:p w14:paraId="71359139" w14:textId="77777777" w:rsidR="00497B96" w:rsidRPr="00886087" w:rsidRDefault="00497B96" w:rsidP="00497B96">
      <w:pPr>
        <w:pStyle w:val="ListParagraph"/>
        <w:autoSpaceDE w:val="0"/>
        <w:autoSpaceDN w:val="0"/>
        <w:adjustRightInd w:val="0"/>
        <w:spacing w:after="0" w:line="240" w:lineRule="auto"/>
        <w:ind w:left="357"/>
        <w:rPr>
          <w:rFonts w:ascii="Arial" w:hAnsi="Arial" w:cs="Arial"/>
          <w:szCs w:val="24"/>
        </w:rPr>
      </w:pPr>
    </w:p>
    <w:p w14:paraId="2F112EEB" w14:textId="77777777" w:rsidR="00497B96" w:rsidRDefault="00497B96" w:rsidP="00874A98">
      <w:pPr>
        <w:pStyle w:val="ListParagraph"/>
        <w:numPr>
          <w:ilvl w:val="0"/>
          <w:numId w:val="311"/>
        </w:numPr>
        <w:autoSpaceDE w:val="0"/>
        <w:autoSpaceDN w:val="0"/>
        <w:adjustRightInd w:val="0"/>
        <w:spacing w:after="0" w:line="240" w:lineRule="auto"/>
        <w:ind w:left="357" w:hanging="357"/>
        <w:rPr>
          <w:rFonts w:ascii="Arial" w:hAnsi="Arial" w:cs="Arial"/>
          <w:szCs w:val="24"/>
        </w:rPr>
      </w:pPr>
      <w:r w:rsidRPr="00886087">
        <w:rPr>
          <w:rFonts w:ascii="Arial" w:hAnsi="Arial" w:cs="Arial"/>
          <w:szCs w:val="24"/>
        </w:rPr>
        <w:t>The potential sensitivity of the area to adverse effects from pollution, in particular reflected in landscape, the quality of soil, air, and ground and surface waters, nature conservation including Sites of Special Scientific Interest (SSSIs), Protection Areas (SPAs),Wetland of International Importance (RAMSAR sites), and Local Wildlife Sites agricultural land quality, water supply (Source Protection Zones), Special Areas of Conservation (SAC), archaeological designations and the need to protect natural resources.</w:t>
      </w:r>
    </w:p>
    <w:p w14:paraId="4141C6E9" w14:textId="77777777" w:rsidR="00497B96" w:rsidRPr="00886087" w:rsidRDefault="00497B96" w:rsidP="00497B96">
      <w:pPr>
        <w:autoSpaceDE w:val="0"/>
        <w:autoSpaceDN w:val="0"/>
        <w:adjustRightInd w:val="0"/>
        <w:spacing w:before="0"/>
        <w:rPr>
          <w:rFonts w:cs="Arial"/>
          <w:szCs w:val="24"/>
        </w:rPr>
      </w:pPr>
    </w:p>
    <w:p w14:paraId="1378B4CF" w14:textId="77777777" w:rsidR="00497B96" w:rsidRDefault="00497B96" w:rsidP="00874A98">
      <w:pPr>
        <w:pStyle w:val="ListParagraph"/>
        <w:numPr>
          <w:ilvl w:val="0"/>
          <w:numId w:val="311"/>
        </w:numPr>
        <w:autoSpaceDE w:val="0"/>
        <w:autoSpaceDN w:val="0"/>
        <w:adjustRightInd w:val="0"/>
        <w:spacing w:after="0" w:line="240" w:lineRule="auto"/>
        <w:ind w:left="357" w:hanging="357"/>
        <w:rPr>
          <w:rFonts w:ascii="Arial" w:hAnsi="Arial" w:cs="Arial"/>
          <w:szCs w:val="24"/>
        </w:rPr>
      </w:pPr>
      <w:r w:rsidRPr="00886087">
        <w:rPr>
          <w:rFonts w:ascii="Arial" w:hAnsi="Arial" w:cs="Arial"/>
          <w:szCs w:val="24"/>
        </w:rPr>
        <w:t xml:space="preserve">The environmental benefits that the development might bring, </w:t>
      </w:r>
      <w:proofErr w:type="gramStart"/>
      <w:r w:rsidRPr="00886087">
        <w:rPr>
          <w:rFonts w:ascii="Arial" w:hAnsi="Arial" w:cs="Arial"/>
          <w:szCs w:val="24"/>
        </w:rPr>
        <w:t>such as:</w:t>
      </w:r>
      <w:proofErr w:type="gramEnd"/>
      <w:r w:rsidRPr="00886087">
        <w:rPr>
          <w:rFonts w:ascii="Arial" w:hAnsi="Arial" w:cs="Arial"/>
          <w:szCs w:val="24"/>
        </w:rPr>
        <w:t xml:space="preserve"> resulting reductions in the need to travel; – accompanying improvements to transport infrastructure; restoration of former habitats; enhancement or creation of habitats; and the remediation of past contamination.</w:t>
      </w:r>
    </w:p>
    <w:p w14:paraId="18BD2CB6" w14:textId="77777777" w:rsidR="00497B96" w:rsidRPr="00886087" w:rsidRDefault="00497B96" w:rsidP="00497B96">
      <w:pPr>
        <w:pStyle w:val="ListParagraph"/>
        <w:autoSpaceDE w:val="0"/>
        <w:autoSpaceDN w:val="0"/>
        <w:adjustRightInd w:val="0"/>
        <w:spacing w:after="0" w:line="240" w:lineRule="auto"/>
        <w:ind w:left="357"/>
        <w:rPr>
          <w:rFonts w:ascii="Arial" w:hAnsi="Arial" w:cs="Arial"/>
          <w:szCs w:val="24"/>
        </w:rPr>
      </w:pPr>
    </w:p>
    <w:p w14:paraId="2C690ED8" w14:textId="77777777" w:rsidR="00497B96" w:rsidRDefault="00497B96" w:rsidP="00874A98">
      <w:pPr>
        <w:pStyle w:val="ListParagraph"/>
        <w:numPr>
          <w:ilvl w:val="0"/>
          <w:numId w:val="311"/>
        </w:numPr>
        <w:autoSpaceDE w:val="0"/>
        <w:autoSpaceDN w:val="0"/>
        <w:adjustRightInd w:val="0"/>
        <w:spacing w:after="0" w:line="240" w:lineRule="auto"/>
        <w:ind w:left="357" w:hanging="357"/>
        <w:rPr>
          <w:rFonts w:ascii="Arial" w:hAnsi="Arial" w:cs="Arial"/>
          <w:szCs w:val="24"/>
        </w:rPr>
      </w:pPr>
      <w:r w:rsidRPr="00886087">
        <w:rPr>
          <w:rFonts w:ascii="Arial" w:hAnsi="Arial" w:cs="Arial"/>
          <w:szCs w:val="24"/>
        </w:rPr>
        <w:t>The economic and wider social need for development (including potentially polluting development) such as the provision of a product or service, the generation of secondary trade with local businesses, the creation of new jobs and meeting regional or national environmental objectives including: the need to identify land, or establish criteria, for the acceptable location of potentially polluting developments and the availability of alternative sites; and the need to separate necessary but potentially polluting and other land uses (recognising the potential conflict with sustainable development over mixed-use developments) so as to reduce conflicts, for example by identifying where necessary areas around existing sources of pollution (including roads) in which proposed new developments and uses should be carefully considered in terms of their potential as pollution receptors.</w:t>
      </w:r>
    </w:p>
    <w:p w14:paraId="556B4E4F" w14:textId="77777777" w:rsidR="00497B96" w:rsidRPr="00886087" w:rsidRDefault="00497B96" w:rsidP="00497B96">
      <w:pPr>
        <w:autoSpaceDE w:val="0"/>
        <w:autoSpaceDN w:val="0"/>
        <w:adjustRightInd w:val="0"/>
        <w:spacing w:before="0"/>
        <w:rPr>
          <w:rFonts w:cs="Arial"/>
          <w:szCs w:val="24"/>
        </w:rPr>
      </w:pPr>
    </w:p>
    <w:p w14:paraId="10A7FE60"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The existing, and likely future, air quality in an area, including any Air Quality Management Areas (AQMAs) or other areas where air quality is likely to be poor (including the consideration of cumulative impacts of a number of smaller developments on air quality, and the impact of development proposals in rural areas with low existing levels of background air pollution).</w:t>
      </w:r>
    </w:p>
    <w:p w14:paraId="17D65BE7" w14:textId="77777777" w:rsidR="00497B96" w:rsidRPr="00886087" w:rsidRDefault="00497B96" w:rsidP="00497B96">
      <w:pPr>
        <w:autoSpaceDE w:val="0"/>
        <w:autoSpaceDN w:val="0"/>
        <w:adjustRightInd w:val="0"/>
        <w:spacing w:before="0"/>
        <w:rPr>
          <w:rFonts w:cs="Arial"/>
          <w:szCs w:val="24"/>
        </w:rPr>
      </w:pPr>
    </w:p>
    <w:p w14:paraId="15907B25"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 xml:space="preserve">The need for compliance with any statutory environmental quality standards or objectives (including the air quality objectives prescribed by the Air Quality Regulations 2000 and Amending Regulations 2002, the water quality objectives prescribed in EU legislation including the 1991 Urban </w:t>
      </w:r>
      <w:proofErr w:type="gramStart"/>
      <w:r w:rsidRPr="00886087">
        <w:rPr>
          <w:rFonts w:ascii="Arial" w:hAnsi="Arial" w:cs="Arial"/>
          <w:szCs w:val="24"/>
        </w:rPr>
        <w:t>Waste Water</w:t>
      </w:r>
      <w:proofErr w:type="gramEnd"/>
      <w:r w:rsidRPr="00886087">
        <w:rPr>
          <w:rFonts w:ascii="Arial" w:hAnsi="Arial" w:cs="Arial"/>
          <w:szCs w:val="24"/>
        </w:rPr>
        <w:t xml:space="preserve"> Treatment Directive and Nitrate Vulnerable Zones identified under the 1991 Nitrates Directive.</w:t>
      </w:r>
    </w:p>
    <w:p w14:paraId="62D10631" w14:textId="77777777" w:rsidR="00497B96" w:rsidRPr="00886087" w:rsidRDefault="00497B96" w:rsidP="00497B96">
      <w:pPr>
        <w:pStyle w:val="ListParagraph"/>
        <w:rPr>
          <w:rFonts w:ascii="Arial" w:hAnsi="Arial" w:cs="Arial"/>
          <w:szCs w:val="24"/>
        </w:rPr>
      </w:pPr>
    </w:p>
    <w:p w14:paraId="07E77825" w14:textId="77777777" w:rsidR="00497B96" w:rsidRPr="00886087" w:rsidRDefault="00497B96" w:rsidP="00497B96">
      <w:pPr>
        <w:pStyle w:val="ListParagraph"/>
        <w:autoSpaceDE w:val="0"/>
        <w:autoSpaceDN w:val="0"/>
        <w:adjustRightInd w:val="0"/>
        <w:spacing w:after="0" w:line="240" w:lineRule="auto"/>
        <w:ind w:left="360"/>
        <w:rPr>
          <w:rFonts w:ascii="Arial" w:hAnsi="Arial" w:cs="Arial"/>
          <w:szCs w:val="24"/>
        </w:rPr>
      </w:pPr>
    </w:p>
    <w:p w14:paraId="55F8DDF6"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lastRenderedPageBreak/>
        <w:t>The need to ensure that land, after development, is not capable of being determined as contaminated land under Part IIA of the EPA 1990 and that all unacceptable risks have been addressed.</w:t>
      </w:r>
    </w:p>
    <w:p w14:paraId="4767FAE3" w14:textId="77777777" w:rsidR="00497B96" w:rsidRPr="00886087" w:rsidRDefault="00497B96" w:rsidP="00497B96">
      <w:pPr>
        <w:pStyle w:val="ListParagraph"/>
        <w:autoSpaceDE w:val="0"/>
        <w:autoSpaceDN w:val="0"/>
        <w:adjustRightInd w:val="0"/>
        <w:spacing w:after="0" w:line="240" w:lineRule="auto"/>
        <w:ind w:left="360"/>
        <w:rPr>
          <w:rFonts w:ascii="Arial" w:hAnsi="Arial" w:cs="Arial"/>
          <w:szCs w:val="24"/>
        </w:rPr>
      </w:pPr>
    </w:p>
    <w:p w14:paraId="7B10AC1B"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The need to limit and where possible reduce greenhouse gas emissions and take account of potential effects of climate change.</w:t>
      </w:r>
    </w:p>
    <w:p w14:paraId="49A77940" w14:textId="77777777" w:rsidR="00497B96" w:rsidRPr="00886087" w:rsidRDefault="00497B96" w:rsidP="00497B96">
      <w:pPr>
        <w:autoSpaceDE w:val="0"/>
        <w:autoSpaceDN w:val="0"/>
        <w:adjustRightInd w:val="0"/>
        <w:spacing w:before="0"/>
        <w:rPr>
          <w:rFonts w:cs="Arial"/>
          <w:szCs w:val="24"/>
        </w:rPr>
      </w:pPr>
    </w:p>
    <w:p w14:paraId="38E36664"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The possible adverse impacts on water quality and the impact of any possible discharge of effluent or leachates which may pose a threat to surface or underground water resources directly or indirectly through surrounding soil.</w:t>
      </w:r>
    </w:p>
    <w:p w14:paraId="06DBD184" w14:textId="77777777" w:rsidR="00497B96" w:rsidRPr="00886087" w:rsidRDefault="00497B96" w:rsidP="00497B96">
      <w:pPr>
        <w:autoSpaceDE w:val="0"/>
        <w:autoSpaceDN w:val="0"/>
        <w:adjustRightInd w:val="0"/>
        <w:spacing w:before="0"/>
        <w:rPr>
          <w:rFonts w:cs="Arial"/>
          <w:szCs w:val="24"/>
        </w:rPr>
      </w:pPr>
    </w:p>
    <w:p w14:paraId="3A01577F"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The need to make suitable provision for the drainage of surface water.</w:t>
      </w:r>
    </w:p>
    <w:p w14:paraId="608672DC" w14:textId="77777777" w:rsidR="00497B96" w:rsidRPr="00886087" w:rsidRDefault="00497B96" w:rsidP="00497B96">
      <w:pPr>
        <w:autoSpaceDE w:val="0"/>
        <w:autoSpaceDN w:val="0"/>
        <w:adjustRightInd w:val="0"/>
        <w:spacing w:before="0"/>
        <w:rPr>
          <w:rFonts w:cs="Arial"/>
          <w:szCs w:val="24"/>
        </w:rPr>
      </w:pPr>
    </w:p>
    <w:p w14:paraId="20F145F4"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The provision of sewerage and sewage treatment and the availability of existing sewage infrastructure.</w:t>
      </w:r>
    </w:p>
    <w:p w14:paraId="631567EC" w14:textId="77777777" w:rsidR="00497B96" w:rsidRPr="00886087" w:rsidRDefault="00497B96" w:rsidP="00497B96">
      <w:pPr>
        <w:pStyle w:val="ListParagraph"/>
        <w:autoSpaceDE w:val="0"/>
        <w:autoSpaceDN w:val="0"/>
        <w:adjustRightInd w:val="0"/>
        <w:spacing w:after="0" w:line="240" w:lineRule="auto"/>
        <w:ind w:left="360"/>
        <w:rPr>
          <w:rFonts w:ascii="Arial" w:hAnsi="Arial" w:cs="Arial"/>
          <w:szCs w:val="24"/>
        </w:rPr>
      </w:pPr>
    </w:p>
    <w:p w14:paraId="4740B11C"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 xml:space="preserve">Existing action and management plans with a bearing on environmental quality </w:t>
      </w:r>
      <w:proofErr w:type="gramStart"/>
      <w:r w:rsidRPr="00886087">
        <w:rPr>
          <w:rFonts w:ascii="Arial" w:hAnsi="Arial" w:cs="Arial"/>
          <w:szCs w:val="24"/>
        </w:rPr>
        <w:t>including:</w:t>
      </w:r>
      <w:proofErr w:type="gramEnd"/>
      <w:r w:rsidRPr="00886087">
        <w:rPr>
          <w:rFonts w:ascii="Arial" w:hAnsi="Arial" w:cs="Arial"/>
          <w:szCs w:val="24"/>
        </w:rPr>
        <w:t xml:space="preserve"> Air Quality Management Area Action Plans, inspection strategies and programmes for contaminated land, River Basin Management Plans, Catchment Abstraction Management Strategies, Catchment Flood Management Plans, Biodiversity Action Plans Noise Management Plans and Noise Action Plans, Sustainable Community Strategies.</w:t>
      </w:r>
    </w:p>
    <w:p w14:paraId="17D759FD" w14:textId="77777777" w:rsidR="00497B96" w:rsidRPr="00886087" w:rsidRDefault="00497B96" w:rsidP="00497B96">
      <w:pPr>
        <w:autoSpaceDE w:val="0"/>
        <w:autoSpaceDN w:val="0"/>
        <w:adjustRightInd w:val="0"/>
        <w:spacing w:before="0"/>
        <w:rPr>
          <w:rFonts w:cs="Arial"/>
          <w:szCs w:val="24"/>
        </w:rPr>
      </w:pPr>
    </w:p>
    <w:p w14:paraId="3BA3F815"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The possibility that (</w:t>
      </w:r>
      <w:proofErr w:type="gramStart"/>
      <w:r w:rsidRPr="00886087">
        <w:rPr>
          <w:rFonts w:ascii="Arial" w:hAnsi="Arial" w:cs="Arial"/>
          <w:szCs w:val="24"/>
        </w:rPr>
        <w:t>whether or not</w:t>
      </w:r>
      <w:proofErr w:type="gramEnd"/>
      <w:r w:rsidRPr="00886087">
        <w:rPr>
          <w:rFonts w:ascii="Arial" w:hAnsi="Arial" w:cs="Arial"/>
          <w:szCs w:val="24"/>
        </w:rPr>
        <w:t xml:space="preserve"> some aspects of the development are subject to pollution control), emissions of smoke, fumes, gases, dust, steam, smell, vibration or noise from the development might nevertheless be seriously detrimental to amenity in addition to constituting a statutory nuisance under the Environmental Protection Act 1990.</w:t>
      </w:r>
    </w:p>
    <w:p w14:paraId="1C7107CF" w14:textId="77777777" w:rsidR="00497B96" w:rsidRPr="00886087" w:rsidRDefault="00497B96" w:rsidP="00497B96">
      <w:pPr>
        <w:autoSpaceDE w:val="0"/>
        <w:autoSpaceDN w:val="0"/>
        <w:adjustRightInd w:val="0"/>
        <w:spacing w:before="0"/>
        <w:rPr>
          <w:rFonts w:cs="Arial"/>
          <w:szCs w:val="24"/>
        </w:rPr>
      </w:pPr>
    </w:p>
    <w:p w14:paraId="3745634C" w14:textId="77777777" w:rsidR="00497B96"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The possibility that the development might present a Major Accident Hazard under the Control of Major Accident Hazard Regulations 1999 or an unacceptable risk to the health or safety of the public arising from the development.</w:t>
      </w:r>
    </w:p>
    <w:p w14:paraId="7BFF1EF1" w14:textId="77777777" w:rsidR="00497B96" w:rsidRPr="00886087" w:rsidRDefault="00497B96" w:rsidP="00497B96">
      <w:pPr>
        <w:autoSpaceDE w:val="0"/>
        <w:autoSpaceDN w:val="0"/>
        <w:adjustRightInd w:val="0"/>
        <w:spacing w:before="0"/>
        <w:rPr>
          <w:rFonts w:cs="Arial"/>
          <w:szCs w:val="24"/>
        </w:rPr>
      </w:pPr>
    </w:p>
    <w:p w14:paraId="0552F692" w14:textId="77777777" w:rsidR="00497B96" w:rsidRPr="00886087" w:rsidRDefault="00497B96" w:rsidP="00874A98">
      <w:pPr>
        <w:pStyle w:val="ListParagraph"/>
        <w:numPr>
          <w:ilvl w:val="0"/>
          <w:numId w:val="311"/>
        </w:numPr>
        <w:autoSpaceDE w:val="0"/>
        <w:autoSpaceDN w:val="0"/>
        <w:adjustRightInd w:val="0"/>
        <w:spacing w:after="0" w:line="240" w:lineRule="auto"/>
        <w:rPr>
          <w:rFonts w:ascii="Arial" w:hAnsi="Arial" w:cs="Arial"/>
          <w:szCs w:val="24"/>
        </w:rPr>
      </w:pPr>
      <w:r w:rsidRPr="00886087">
        <w:rPr>
          <w:rFonts w:ascii="Arial" w:hAnsi="Arial" w:cs="Arial"/>
          <w:szCs w:val="24"/>
        </w:rPr>
        <w:t>The need to limit and, where possible, reduce the adverse impact of light pollution.</w:t>
      </w:r>
    </w:p>
    <w:p w14:paraId="5AC9EB9F" w14:textId="77777777" w:rsidR="00497B96" w:rsidRPr="00886087" w:rsidRDefault="00497B96" w:rsidP="00497B96">
      <w:pPr>
        <w:keepNext w:val="0"/>
        <w:autoSpaceDE w:val="0"/>
        <w:autoSpaceDN w:val="0"/>
        <w:adjustRightInd w:val="0"/>
        <w:spacing w:before="0"/>
        <w:rPr>
          <w:rFonts w:cs="Arial"/>
          <w:szCs w:val="24"/>
        </w:rPr>
      </w:pPr>
    </w:p>
    <w:p w14:paraId="0F610F87" w14:textId="46E97146" w:rsidR="00497B96" w:rsidRDefault="00497B96">
      <w:pPr>
        <w:keepNext w:val="0"/>
        <w:spacing w:before="0"/>
        <w:rPr>
          <w:rFonts w:cs="Arial"/>
          <w:b/>
          <w:bCs/>
          <w:szCs w:val="24"/>
        </w:rPr>
      </w:pPr>
      <w:r>
        <w:rPr>
          <w:rFonts w:cs="Arial"/>
          <w:b/>
          <w:bCs/>
          <w:szCs w:val="24"/>
        </w:rPr>
        <w:br w:type="page"/>
      </w:r>
    </w:p>
    <w:p w14:paraId="75270DCF" w14:textId="199D5C93" w:rsidR="00D24D66" w:rsidRPr="00967C7D" w:rsidRDefault="004A7713" w:rsidP="00CF07B9">
      <w:pPr>
        <w:pStyle w:val="Heading1"/>
        <w:rPr>
          <w:rFonts w:cs="Arial"/>
        </w:rPr>
      </w:pPr>
      <w:r w:rsidRPr="00967C7D">
        <w:lastRenderedPageBreak/>
        <w:t>Appendix 4 - Wind Energy Opportunities Within Ashfield</w:t>
      </w:r>
      <w:bookmarkEnd w:id="337"/>
      <w:r w:rsidRPr="00967C7D">
        <w:rPr>
          <w:rFonts w:cs="Arial"/>
        </w:rPr>
        <w:t xml:space="preserve"> </w:t>
      </w:r>
    </w:p>
    <w:p w14:paraId="03CC1439" w14:textId="4730760B" w:rsidR="00D24D66" w:rsidRDefault="00D24D66" w:rsidP="005B39D2">
      <w:pPr>
        <w:keepNext w:val="0"/>
        <w:autoSpaceDE w:val="0"/>
        <w:autoSpaceDN w:val="0"/>
        <w:adjustRightInd w:val="0"/>
        <w:spacing w:before="0"/>
        <w:rPr>
          <w:rFonts w:cs="Arial"/>
          <w:b/>
          <w:bCs/>
          <w:szCs w:val="24"/>
        </w:rPr>
      </w:pPr>
    </w:p>
    <w:p w14:paraId="0A46BDAC" w14:textId="7767499A" w:rsidR="00D24D66" w:rsidRDefault="00D24D66" w:rsidP="005B39D2">
      <w:pPr>
        <w:keepNext w:val="0"/>
        <w:autoSpaceDE w:val="0"/>
        <w:autoSpaceDN w:val="0"/>
        <w:adjustRightInd w:val="0"/>
        <w:spacing w:before="0"/>
        <w:rPr>
          <w:rFonts w:cs="Arial"/>
          <w:b/>
          <w:bCs/>
          <w:szCs w:val="24"/>
        </w:rPr>
      </w:pPr>
      <w:r w:rsidRPr="00D24D66">
        <w:rPr>
          <w:rFonts w:cs="Arial"/>
          <w:b/>
          <w:bCs/>
          <w:noProof/>
          <w:szCs w:val="24"/>
        </w:rPr>
        <w:drawing>
          <wp:inline distT="0" distB="0" distL="0" distR="0" wp14:anchorId="47ABEECB" wp14:editId="55F4CF6A">
            <wp:extent cx="5457825" cy="7871637"/>
            <wp:effectExtent l="0" t="0" r="0" b="0"/>
            <wp:docPr id="9" name="Picture 9" descr="Appendix 4 - Wind Energy Opportunities Within Ashfield - East Midlands Renewable Energy Study - Ashfield -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ppendix 4 - Wind Energy Opportunities Within Ashfield - East Midlands Renewable Energy Study - Ashfield - Map"/>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75327" cy="7896880"/>
                    </a:xfrm>
                    <a:prstGeom prst="rect">
                      <a:avLst/>
                    </a:prstGeom>
                    <a:noFill/>
                    <a:ln>
                      <a:noFill/>
                    </a:ln>
                  </pic:spPr>
                </pic:pic>
              </a:graphicData>
            </a:graphic>
          </wp:inline>
        </w:drawing>
      </w:r>
    </w:p>
    <w:p w14:paraId="3A844DBF" w14:textId="319F7AB6" w:rsidR="00D24D66" w:rsidRDefault="00D24D66" w:rsidP="005B39D2">
      <w:pPr>
        <w:keepNext w:val="0"/>
        <w:autoSpaceDE w:val="0"/>
        <w:autoSpaceDN w:val="0"/>
        <w:adjustRightInd w:val="0"/>
        <w:spacing w:before="0"/>
        <w:rPr>
          <w:rFonts w:cs="Arial"/>
          <w:b/>
          <w:bCs/>
          <w:szCs w:val="24"/>
        </w:rPr>
      </w:pPr>
      <w:r>
        <w:rPr>
          <w:rFonts w:cs="Arial"/>
          <w:b/>
          <w:bCs/>
          <w:szCs w:val="24"/>
        </w:rPr>
        <w:br w:type="page"/>
      </w:r>
    </w:p>
    <w:p w14:paraId="5A2D0E0C" w14:textId="03C1B770" w:rsidR="00C602FD" w:rsidRPr="00967C7D" w:rsidRDefault="00C602FD" w:rsidP="00CF07B9">
      <w:pPr>
        <w:pStyle w:val="Heading1"/>
      </w:pPr>
      <w:bookmarkStart w:id="338" w:name="_Toc145511627"/>
      <w:r w:rsidRPr="00967C7D">
        <w:lastRenderedPageBreak/>
        <w:t>Appendix 5 - Agricultural, Forestry and Other Occupational Dwellings</w:t>
      </w:r>
      <w:bookmarkEnd w:id="338"/>
    </w:p>
    <w:p w14:paraId="7E17F5CE" w14:textId="77777777" w:rsidR="00C602FD" w:rsidRDefault="00C602FD" w:rsidP="00C602FD">
      <w:pPr>
        <w:keepNext w:val="0"/>
        <w:autoSpaceDE w:val="0"/>
        <w:autoSpaceDN w:val="0"/>
        <w:adjustRightInd w:val="0"/>
        <w:spacing w:before="0"/>
        <w:rPr>
          <w:rFonts w:cs="Arial"/>
          <w:b/>
          <w:bCs/>
          <w:sz w:val="28"/>
          <w:szCs w:val="28"/>
        </w:rPr>
      </w:pPr>
    </w:p>
    <w:p w14:paraId="7303DB5E"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auto"/>
        </w:rPr>
        <w:t>National planning guidance makes clear that isolated new houses in rural areas require special justification for planning permission to be granted.  One of the few circumstances in which isolated residential development may be justified is when accommodation is required to enable agricultural, forestry and certain other full-time workers to live at, or in the immediate vicinity of, their place of work.  It will often be as convenient and more sustainable for such workers to live in nearby towns or villages, or suitable existing dwellings, so avoiding new and potentially intrusive development in the countryside.  Howev</w:t>
      </w:r>
      <w:r w:rsidRPr="00C602FD">
        <w:rPr>
          <w:rFonts w:cs="Arial"/>
          <w:color w:val="231F20"/>
        </w:rPr>
        <w:t xml:space="preserve">er, there will be some cases where the nature and demands of the work concerned make it essential for one or more people engaged in the enterprise to live at, or very close to, the site of their work.  Whether this is essential in any </w:t>
      </w:r>
      <w:proofErr w:type="gramStart"/>
      <w:r w:rsidRPr="00C602FD">
        <w:rPr>
          <w:rFonts w:cs="Arial"/>
          <w:color w:val="231F20"/>
        </w:rPr>
        <w:t>particular case</w:t>
      </w:r>
      <w:proofErr w:type="gramEnd"/>
      <w:r w:rsidRPr="00C602FD">
        <w:rPr>
          <w:rFonts w:cs="Arial"/>
          <w:color w:val="231F20"/>
        </w:rPr>
        <w:t xml:space="preserve"> will depend on the needs of the enterprise concerned and not on the personal preferences or circumstances of any of the individuals involved.</w:t>
      </w:r>
    </w:p>
    <w:p w14:paraId="76039C82" w14:textId="77777777" w:rsidR="00C602FD" w:rsidRPr="00C602FD" w:rsidRDefault="00C602FD" w:rsidP="00C602FD">
      <w:pPr>
        <w:keepNext w:val="0"/>
        <w:tabs>
          <w:tab w:val="num" w:pos="480"/>
        </w:tabs>
        <w:autoSpaceDE w:val="0"/>
        <w:autoSpaceDN w:val="0"/>
        <w:adjustRightInd w:val="0"/>
        <w:spacing w:before="0"/>
        <w:ind w:left="480" w:hanging="240"/>
        <w:rPr>
          <w:rFonts w:cs="Arial"/>
          <w:color w:val="231F20"/>
        </w:rPr>
      </w:pPr>
    </w:p>
    <w:p w14:paraId="03980EB5"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It is essential that all applications for planning permission for new occupational dwellings in the countryside are scrutinised thoroughly with the aim of detecting attempts to abuse (e.g. through speculative proposals) the concession that the planning system makes for such dwellings.  </w:t>
      </w:r>
      <w:proofErr w:type="gramStart"/>
      <w:r w:rsidRPr="00C602FD">
        <w:rPr>
          <w:rFonts w:cs="Arial"/>
          <w:color w:val="231F20"/>
        </w:rPr>
        <w:t>In particular, it</w:t>
      </w:r>
      <w:proofErr w:type="gramEnd"/>
      <w:r w:rsidRPr="00C602FD">
        <w:rPr>
          <w:rFonts w:cs="Arial"/>
          <w:color w:val="231F20"/>
        </w:rPr>
        <w:t xml:space="preserve"> will be important to establish whether the stated intentions to engage in farming, forestry or any other rural-based enterprise, are genuine, are reasonably likely to materialise and are capable of being sustained for a reasonable </w:t>
      </w:r>
      <w:proofErr w:type="gramStart"/>
      <w:r w:rsidRPr="00C602FD">
        <w:rPr>
          <w:rFonts w:cs="Arial"/>
          <w:color w:val="231F20"/>
        </w:rPr>
        <w:t>period of time</w:t>
      </w:r>
      <w:proofErr w:type="gramEnd"/>
      <w:r w:rsidRPr="00C602FD">
        <w:rPr>
          <w:rFonts w:cs="Arial"/>
          <w:color w:val="231F20"/>
        </w:rPr>
        <w:t>.  It will also be important to establish that the needs of the intended enterprise require one or more of the people engaged in it to live nearby.</w:t>
      </w:r>
    </w:p>
    <w:p w14:paraId="7B78E362" w14:textId="77777777" w:rsidR="00C602FD" w:rsidRPr="00C602FD" w:rsidRDefault="00C602FD" w:rsidP="00C602FD">
      <w:pPr>
        <w:keepNext w:val="0"/>
        <w:tabs>
          <w:tab w:val="num" w:pos="480"/>
        </w:tabs>
        <w:autoSpaceDE w:val="0"/>
        <w:autoSpaceDN w:val="0"/>
        <w:adjustRightInd w:val="0"/>
        <w:spacing w:before="0"/>
        <w:ind w:left="480" w:hanging="240"/>
        <w:rPr>
          <w:rFonts w:cs="Arial"/>
          <w:color w:val="231F20"/>
        </w:rPr>
      </w:pPr>
    </w:p>
    <w:p w14:paraId="67B81831"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New permanent dwellings should only be allowed to support existing agricultural activities on well-established agricultural units, providing:</w:t>
      </w:r>
    </w:p>
    <w:p w14:paraId="1C84F7BB" w14:textId="77777777" w:rsidR="00C602FD" w:rsidRPr="00C602FD" w:rsidRDefault="00C602FD" w:rsidP="00C602FD">
      <w:pPr>
        <w:keepNext w:val="0"/>
        <w:tabs>
          <w:tab w:val="left" w:pos="480"/>
        </w:tabs>
        <w:autoSpaceDE w:val="0"/>
        <w:autoSpaceDN w:val="0"/>
        <w:adjustRightInd w:val="0"/>
        <w:spacing w:before="0"/>
        <w:rPr>
          <w:rFonts w:cs="Arial"/>
          <w:color w:val="231F20"/>
        </w:rPr>
      </w:pPr>
    </w:p>
    <w:p w14:paraId="342071F0" w14:textId="77777777" w:rsidR="00C602FD" w:rsidRPr="00C602FD" w:rsidRDefault="00C602FD" w:rsidP="00874A98">
      <w:pPr>
        <w:keepNext w:val="0"/>
        <w:numPr>
          <w:ilvl w:val="0"/>
          <w:numId w:val="314"/>
        </w:numPr>
        <w:tabs>
          <w:tab w:val="left" w:pos="720"/>
          <w:tab w:val="left" w:pos="1320"/>
        </w:tabs>
        <w:autoSpaceDE w:val="0"/>
        <w:autoSpaceDN w:val="0"/>
        <w:adjustRightInd w:val="0"/>
        <w:spacing w:before="0" w:after="120"/>
        <w:rPr>
          <w:rFonts w:cs="Arial"/>
          <w:color w:val="231F20"/>
        </w:rPr>
      </w:pPr>
      <w:r w:rsidRPr="00C602FD">
        <w:rPr>
          <w:rFonts w:cs="Arial"/>
          <w:color w:val="231F20"/>
        </w:rPr>
        <w:t xml:space="preserve">there is a clearly established </w:t>
      </w:r>
      <w:r w:rsidRPr="00C602FD">
        <w:rPr>
          <w:rFonts w:cs="Arial"/>
          <w:i/>
          <w:iCs/>
          <w:color w:val="231F20"/>
        </w:rPr>
        <w:t>existing</w:t>
      </w:r>
      <w:r w:rsidRPr="00C602FD">
        <w:rPr>
          <w:rFonts w:cs="Arial"/>
          <w:iCs/>
          <w:color w:val="231F20"/>
        </w:rPr>
        <w:t xml:space="preserve"> </w:t>
      </w:r>
      <w:r w:rsidRPr="00C602FD">
        <w:rPr>
          <w:rFonts w:cs="Arial"/>
          <w:color w:val="231F20"/>
        </w:rPr>
        <w:t>functional need (see paragraph 4 below);</w:t>
      </w:r>
    </w:p>
    <w:p w14:paraId="5BBFD615" w14:textId="77777777" w:rsidR="00C602FD" w:rsidRPr="00C602FD" w:rsidRDefault="00C602FD" w:rsidP="00874A98">
      <w:pPr>
        <w:keepNext w:val="0"/>
        <w:numPr>
          <w:ilvl w:val="0"/>
          <w:numId w:val="314"/>
        </w:numPr>
        <w:tabs>
          <w:tab w:val="left" w:pos="720"/>
          <w:tab w:val="left" w:pos="1320"/>
        </w:tabs>
        <w:autoSpaceDE w:val="0"/>
        <w:autoSpaceDN w:val="0"/>
        <w:adjustRightInd w:val="0"/>
        <w:spacing w:before="0" w:after="120"/>
        <w:rPr>
          <w:rFonts w:cs="Arial"/>
          <w:color w:val="231F20"/>
        </w:rPr>
      </w:pPr>
      <w:proofErr w:type="spellStart"/>
      <w:r w:rsidRPr="00C602FD">
        <w:rPr>
          <w:rFonts w:cs="Arial"/>
          <w:color w:val="231F20"/>
        </w:rPr>
        <w:t>the</w:t>
      </w:r>
      <w:proofErr w:type="spellEnd"/>
      <w:r w:rsidRPr="00C602FD">
        <w:rPr>
          <w:rFonts w:cs="Arial"/>
          <w:color w:val="231F20"/>
        </w:rPr>
        <w:t xml:space="preserve"> need relates to a </w:t>
      </w:r>
      <w:r w:rsidRPr="00C602FD">
        <w:rPr>
          <w:rFonts w:cs="Arial"/>
          <w:i/>
          <w:iCs/>
          <w:color w:val="231F20"/>
        </w:rPr>
        <w:t xml:space="preserve">full-time </w:t>
      </w:r>
      <w:r w:rsidRPr="00C602FD">
        <w:rPr>
          <w:rFonts w:cs="Arial"/>
          <w:color w:val="231F20"/>
        </w:rPr>
        <w:t>worker, or one who is primarily employed in agriculture and does not relate to a part-time requirement;</w:t>
      </w:r>
    </w:p>
    <w:p w14:paraId="6984D1EC" w14:textId="77777777" w:rsidR="00C602FD" w:rsidRPr="00C602FD" w:rsidRDefault="00C602FD" w:rsidP="00874A98">
      <w:pPr>
        <w:keepNext w:val="0"/>
        <w:numPr>
          <w:ilvl w:val="0"/>
          <w:numId w:val="314"/>
        </w:numPr>
        <w:tabs>
          <w:tab w:val="left" w:pos="720"/>
          <w:tab w:val="left" w:pos="1320"/>
        </w:tabs>
        <w:autoSpaceDE w:val="0"/>
        <w:autoSpaceDN w:val="0"/>
        <w:adjustRightInd w:val="0"/>
        <w:spacing w:before="0" w:after="120"/>
        <w:rPr>
          <w:rFonts w:cs="Arial"/>
          <w:color w:val="231F20"/>
        </w:rPr>
      </w:pPr>
      <w:r w:rsidRPr="00C602FD">
        <w:rPr>
          <w:rFonts w:cs="Arial"/>
          <w:color w:val="231F20"/>
        </w:rPr>
        <w:t>the unit and the agricultural activity concerned have been established for at least three years, have been profitable for at least one of them, are currently financially sound, and have a clear prospect of remaining so (see paragraph 8 below);</w:t>
      </w:r>
    </w:p>
    <w:p w14:paraId="277632F6" w14:textId="77777777" w:rsidR="00C602FD" w:rsidRPr="00C602FD" w:rsidRDefault="00C602FD" w:rsidP="00874A98">
      <w:pPr>
        <w:keepNext w:val="0"/>
        <w:numPr>
          <w:ilvl w:val="0"/>
          <w:numId w:val="314"/>
        </w:numPr>
        <w:tabs>
          <w:tab w:val="left" w:pos="720"/>
          <w:tab w:val="left" w:pos="1320"/>
        </w:tabs>
        <w:autoSpaceDE w:val="0"/>
        <w:autoSpaceDN w:val="0"/>
        <w:adjustRightInd w:val="0"/>
        <w:spacing w:before="0" w:after="120"/>
        <w:rPr>
          <w:rFonts w:cs="Arial"/>
          <w:color w:val="231F20"/>
        </w:rPr>
      </w:pPr>
      <w:r w:rsidRPr="00C602FD">
        <w:rPr>
          <w:rFonts w:cs="Arial"/>
          <w:color w:val="231F20"/>
        </w:rPr>
        <w:t>the functional need could not be fulfilled by another existing dwelling on the unit, or any other existing accommodation in the area which is suitable and available for occupation by the workers concerned; and</w:t>
      </w:r>
    </w:p>
    <w:p w14:paraId="7C8DD43E" w14:textId="77777777" w:rsidR="00C602FD" w:rsidRPr="00C602FD" w:rsidRDefault="00C602FD" w:rsidP="00874A98">
      <w:pPr>
        <w:keepNext w:val="0"/>
        <w:numPr>
          <w:ilvl w:val="0"/>
          <w:numId w:val="314"/>
        </w:numPr>
        <w:tabs>
          <w:tab w:val="left" w:pos="720"/>
          <w:tab w:val="left" w:pos="1320"/>
        </w:tabs>
        <w:autoSpaceDE w:val="0"/>
        <w:autoSpaceDN w:val="0"/>
        <w:adjustRightInd w:val="0"/>
        <w:spacing w:before="0" w:after="120"/>
        <w:rPr>
          <w:rFonts w:cs="Arial"/>
          <w:color w:val="231F20"/>
        </w:rPr>
      </w:pPr>
      <w:r w:rsidRPr="00C602FD">
        <w:rPr>
          <w:rFonts w:cs="Arial"/>
          <w:color w:val="231F20"/>
        </w:rPr>
        <w:t>other planning requirements, e.g. in relation to access, or impact on the countryside, are satisfied.</w:t>
      </w:r>
    </w:p>
    <w:p w14:paraId="6814364C" w14:textId="77777777" w:rsidR="00C602FD" w:rsidRPr="00C602FD" w:rsidRDefault="00C602FD" w:rsidP="00C602FD">
      <w:pPr>
        <w:keepNext w:val="0"/>
        <w:tabs>
          <w:tab w:val="left" w:pos="480"/>
        </w:tabs>
        <w:autoSpaceDE w:val="0"/>
        <w:autoSpaceDN w:val="0"/>
        <w:adjustRightInd w:val="0"/>
        <w:spacing w:before="0"/>
        <w:rPr>
          <w:rFonts w:cs="Arial"/>
          <w:color w:val="231F20"/>
        </w:rPr>
      </w:pPr>
    </w:p>
    <w:p w14:paraId="6A73F17A"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A functional test is necessary to establish whether it is essential for the proper functioning of the enterprise for one or more workers to be readily available at most times.  Such a requirement might arise, for example, if workers are needed to be on hand day and night: </w:t>
      </w:r>
    </w:p>
    <w:p w14:paraId="127A5D06" w14:textId="77777777" w:rsidR="00C602FD" w:rsidRPr="00C602FD" w:rsidRDefault="00C602FD" w:rsidP="00874A98">
      <w:pPr>
        <w:keepNext w:val="0"/>
        <w:numPr>
          <w:ilvl w:val="0"/>
          <w:numId w:val="315"/>
        </w:numPr>
        <w:autoSpaceDE w:val="0"/>
        <w:autoSpaceDN w:val="0"/>
        <w:adjustRightInd w:val="0"/>
        <w:spacing w:before="0" w:after="120"/>
        <w:rPr>
          <w:rFonts w:cs="Arial"/>
          <w:color w:val="231F20"/>
        </w:rPr>
      </w:pPr>
      <w:r w:rsidRPr="00C602FD">
        <w:rPr>
          <w:rFonts w:cs="Arial"/>
          <w:color w:val="231F20"/>
        </w:rPr>
        <w:t>in case animals or agricultural processes require essential care at short notice;</w:t>
      </w:r>
    </w:p>
    <w:p w14:paraId="7B4F7888" w14:textId="77777777" w:rsidR="00C602FD" w:rsidRPr="00C602FD" w:rsidRDefault="00C602FD" w:rsidP="00874A98">
      <w:pPr>
        <w:keepNext w:val="0"/>
        <w:numPr>
          <w:ilvl w:val="0"/>
          <w:numId w:val="315"/>
        </w:numPr>
        <w:autoSpaceDE w:val="0"/>
        <w:autoSpaceDN w:val="0"/>
        <w:adjustRightInd w:val="0"/>
        <w:spacing w:before="0" w:after="120"/>
        <w:rPr>
          <w:rFonts w:cs="Arial"/>
          <w:color w:val="231F20"/>
        </w:rPr>
      </w:pPr>
      <w:r w:rsidRPr="00C602FD">
        <w:rPr>
          <w:rFonts w:cs="Arial"/>
          <w:color w:val="231F20"/>
        </w:rPr>
        <w:lastRenderedPageBreak/>
        <w:t xml:space="preserve">to deal quickly with emergencies that could otherwise cause serious loss of crops or products, for example, by frost damage or the failure of automatic systems. </w:t>
      </w:r>
    </w:p>
    <w:p w14:paraId="32CFF2F1"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In cases where there is particularly concerned about possible abuse, the Council will investigate the history of the holding to establish the recent pattern of use of land and buildings and whether, for example, any dwellings, or buildings suitable for conversion to dwellings, have recently been sold separately from the farmland concerned.  Such a sale could constitute evidence of lack of agricultural need.</w:t>
      </w:r>
    </w:p>
    <w:p w14:paraId="6EA7D300" w14:textId="77777777" w:rsidR="00C602FD" w:rsidRPr="00C602FD" w:rsidRDefault="00C602FD" w:rsidP="00C602FD">
      <w:pPr>
        <w:keepNext w:val="0"/>
        <w:tabs>
          <w:tab w:val="left" w:pos="480"/>
        </w:tabs>
        <w:autoSpaceDE w:val="0"/>
        <w:autoSpaceDN w:val="0"/>
        <w:adjustRightInd w:val="0"/>
        <w:spacing w:before="0"/>
        <w:ind w:left="360"/>
        <w:rPr>
          <w:rFonts w:cs="Arial"/>
          <w:color w:val="231F20"/>
        </w:rPr>
      </w:pPr>
    </w:p>
    <w:p w14:paraId="3756A3D5"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The protection of livestock from theft or injury by intruders may contribute on animal welfare grounds to the need for a new agricultural dwelling, although it will not by itself be sufficient to justify one.  Requirements arising from food processing, as opposed to agriculture, cannot be used to justify an agricultural dwelling.  Nor can agricultural needs justify the provision of isolated new dwellings as retirement homes for farmers.</w:t>
      </w:r>
    </w:p>
    <w:p w14:paraId="11D7ED89" w14:textId="77777777" w:rsidR="00C602FD" w:rsidRPr="00C602FD" w:rsidRDefault="00C602FD" w:rsidP="00C602FD">
      <w:pPr>
        <w:keepNext w:val="0"/>
        <w:tabs>
          <w:tab w:val="left" w:pos="480"/>
        </w:tabs>
        <w:autoSpaceDE w:val="0"/>
        <w:autoSpaceDN w:val="0"/>
        <w:adjustRightInd w:val="0"/>
        <w:spacing w:before="0"/>
        <w:rPr>
          <w:rFonts w:cs="Arial"/>
          <w:color w:val="231F20"/>
        </w:rPr>
      </w:pPr>
    </w:p>
    <w:p w14:paraId="23C05B5E"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If a functional requirement is established, it will then be necessary to consider the number of workers needed to meet it, for which the scale and nature of the enterprise will be relevant.</w:t>
      </w:r>
    </w:p>
    <w:p w14:paraId="257DDA46" w14:textId="77777777" w:rsidR="00C602FD" w:rsidRPr="00C602FD" w:rsidRDefault="00C602FD" w:rsidP="00C602FD">
      <w:pPr>
        <w:keepNext w:val="0"/>
        <w:tabs>
          <w:tab w:val="left" w:pos="480"/>
        </w:tabs>
        <w:autoSpaceDE w:val="0"/>
        <w:autoSpaceDN w:val="0"/>
        <w:adjustRightInd w:val="0"/>
        <w:spacing w:before="0"/>
        <w:rPr>
          <w:rFonts w:cs="Arial"/>
          <w:color w:val="231F20"/>
        </w:rPr>
      </w:pPr>
    </w:p>
    <w:p w14:paraId="682B80F3" w14:textId="63E9F169"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New permanent accommodation cannot be justified on agricultural </w:t>
      </w:r>
      <w:r w:rsidRPr="00C602FD">
        <w:rPr>
          <w:rFonts w:cs="Arial"/>
          <w:color w:val="231F20"/>
        </w:rPr>
        <w:tab/>
        <w:t xml:space="preserve">grounds unless the farming enterprise is economically viable.  A </w:t>
      </w:r>
      <w:r w:rsidRPr="00C602FD">
        <w:rPr>
          <w:rFonts w:cs="Arial"/>
          <w:i/>
          <w:iCs/>
          <w:color w:val="231F20"/>
        </w:rPr>
        <w:t xml:space="preserve">financial test </w:t>
      </w:r>
      <w:r w:rsidRPr="00C602FD">
        <w:rPr>
          <w:rFonts w:cs="Arial"/>
          <w:color w:val="231F20"/>
        </w:rPr>
        <w:t>is necessary for this purpose, and to provide evidence of the size of dwelling which the unit can sustain.  In applying this test (see paragraph 3(iii) above), the Council will take a realistic approach to the level of profitability, taking account of the nature of the enterprise concerned.  Some enterprises which aim to operate broadly on a subsistence basis, but which nonetheless provide wider benefits (e.g. in managing attractive landscapes or wildlife habitats), can be sustained on relatively low financial returns.</w:t>
      </w:r>
    </w:p>
    <w:p w14:paraId="67FEDC17" w14:textId="77777777" w:rsidR="00C602FD" w:rsidRPr="00C602FD" w:rsidRDefault="00C602FD" w:rsidP="00C602FD">
      <w:pPr>
        <w:keepNext w:val="0"/>
        <w:tabs>
          <w:tab w:val="left" w:pos="480"/>
        </w:tabs>
        <w:autoSpaceDE w:val="0"/>
        <w:autoSpaceDN w:val="0"/>
        <w:adjustRightInd w:val="0"/>
        <w:spacing w:before="0"/>
        <w:rPr>
          <w:rFonts w:cs="Arial"/>
          <w:color w:val="231F20"/>
        </w:rPr>
      </w:pPr>
    </w:p>
    <w:p w14:paraId="374E5B30"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Agricultural dwellings should be of a size commensurate with the established functional requirement.  Dwellings that are unusually large in relation to the agricultural needs of the unit, or unusually expensive </w:t>
      </w:r>
      <w:r w:rsidRPr="00C602FD">
        <w:rPr>
          <w:rFonts w:cs="Arial"/>
          <w:color w:val="231F20"/>
        </w:rPr>
        <w:tab/>
        <w:t>to construct in relation to the income it can sustain in the long-term, should not be permitted.  It is the requirements of the enterprise, rather than those of the owner or occupier, that are relevant in determining the size of dwelling that is appropriate to a particular holding.</w:t>
      </w:r>
    </w:p>
    <w:p w14:paraId="540D0B71" w14:textId="77777777" w:rsidR="00C602FD" w:rsidRPr="00C602FD" w:rsidRDefault="00C602FD" w:rsidP="00C602FD">
      <w:pPr>
        <w:keepNext w:val="0"/>
        <w:tabs>
          <w:tab w:val="left" w:pos="480"/>
        </w:tabs>
        <w:autoSpaceDE w:val="0"/>
        <w:autoSpaceDN w:val="0"/>
        <w:adjustRightInd w:val="0"/>
        <w:spacing w:before="0"/>
        <w:rPr>
          <w:rFonts w:cs="Arial"/>
          <w:color w:val="231F20"/>
        </w:rPr>
      </w:pPr>
    </w:p>
    <w:p w14:paraId="137CC113" w14:textId="37D2D2FF"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The Council will consider making planning permissions subject to conditions removing some of the permitted development rights under part 1 of the Town and Country Planning (General Permitted Development) Order 1995 for development within the curtilage of a dwelling house.  For example, proposed extensions could result in a dwelling whose size exceeded what could be justified by the functional </w:t>
      </w:r>
      <w:proofErr w:type="gramStart"/>
      <w:r w:rsidRPr="00C602FD">
        <w:rPr>
          <w:rFonts w:cs="Arial"/>
          <w:color w:val="231F20"/>
        </w:rPr>
        <w:t>requirement, and</w:t>
      </w:r>
      <w:proofErr w:type="gramEnd"/>
      <w:r w:rsidRPr="00C602FD">
        <w:rPr>
          <w:rFonts w:cs="Arial"/>
          <w:color w:val="231F20"/>
        </w:rPr>
        <w:t xml:space="preserve"> affect the continued viability of maintaining the property for its intended use, given the income that the agricultural unit can sustain.  However, it will always be preferable for such conditions to restrict the use of specific permitted development rights rather than to be drafted in terms which withdraw all those in a Class (see paragraphs 86-90 of the Annex to DOE Circular 11/95).</w:t>
      </w:r>
    </w:p>
    <w:p w14:paraId="3407B345" w14:textId="77777777" w:rsidR="00C602FD" w:rsidRPr="00C602FD" w:rsidRDefault="00C602FD" w:rsidP="00C602FD">
      <w:pPr>
        <w:keepNext w:val="0"/>
        <w:tabs>
          <w:tab w:val="left" w:pos="480"/>
        </w:tabs>
        <w:autoSpaceDE w:val="0"/>
        <w:autoSpaceDN w:val="0"/>
        <w:adjustRightInd w:val="0"/>
        <w:spacing w:before="0"/>
        <w:rPr>
          <w:rFonts w:cs="Arial"/>
          <w:color w:val="231F20"/>
        </w:rPr>
      </w:pPr>
    </w:p>
    <w:p w14:paraId="26752ED7"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Agricultural dwellings should be sited </w:t>
      </w:r>
      <w:proofErr w:type="gramStart"/>
      <w:r w:rsidRPr="00C602FD">
        <w:rPr>
          <w:rFonts w:cs="Arial"/>
          <w:color w:val="231F20"/>
        </w:rPr>
        <w:t>so as to</w:t>
      </w:r>
      <w:proofErr w:type="gramEnd"/>
      <w:r w:rsidRPr="00C602FD">
        <w:rPr>
          <w:rFonts w:cs="Arial"/>
          <w:color w:val="231F20"/>
        </w:rPr>
        <w:t xml:space="preserve"> meet the identified functional need and to be well-related to existing farm buildings, or other dwellings.</w:t>
      </w:r>
    </w:p>
    <w:p w14:paraId="7892C099" w14:textId="77777777" w:rsidR="00C602FD" w:rsidRPr="00C602FD" w:rsidRDefault="00C602FD" w:rsidP="00C602FD">
      <w:pPr>
        <w:keepNext w:val="0"/>
        <w:autoSpaceDE w:val="0"/>
        <w:autoSpaceDN w:val="0"/>
        <w:adjustRightInd w:val="0"/>
        <w:spacing w:before="0"/>
        <w:rPr>
          <w:rFonts w:cs="Arial"/>
          <w:b/>
          <w:bCs/>
          <w:color w:val="231F20"/>
        </w:rPr>
      </w:pPr>
    </w:p>
    <w:p w14:paraId="30F3AD43" w14:textId="77777777" w:rsidR="00C602FD" w:rsidRPr="00C602FD" w:rsidRDefault="00C602FD" w:rsidP="00C602FD">
      <w:pPr>
        <w:keepNext w:val="0"/>
        <w:autoSpaceDE w:val="0"/>
        <w:autoSpaceDN w:val="0"/>
        <w:adjustRightInd w:val="0"/>
        <w:spacing w:before="0"/>
        <w:rPr>
          <w:rFonts w:cs="Arial"/>
          <w:b/>
          <w:bCs/>
          <w:color w:val="231F20"/>
        </w:rPr>
      </w:pPr>
      <w:r w:rsidRPr="00C602FD">
        <w:rPr>
          <w:rFonts w:cs="Arial"/>
          <w:b/>
          <w:bCs/>
          <w:color w:val="231F20"/>
        </w:rPr>
        <w:t>Temporary agricultural dwellings</w:t>
      </w:r>
    </w:p>
    <w:p w14:paraId="0F4AAA9A" w14:textId="77777777" w:rsidR="00C602FD" w:rsidRPr="00C602FD" w:rsidRDefault="00C602FD" w:rsidP="00C602FD">
      <w:pPr>
        <w:keepNext w:val="0"/>
        <w:tabs>
          <w:tab w:val="left" w:pos="480"/>
        </w:tabs>
        <w:autoSpaceDE w:val="0"/>
        <w:autoSpaceDN w:val="0"/>
        <w:adjustRightInd w:val="0"/>
        <w:spacing w:before="0"/>
        <w:rPr>
          <w:rFonts w:cs="Arial"/>
          <w:color w:val="231F20"/>
        </w:rPr>
      </w:pPr>
    </w:p>
    <w:p w14:paraId="3E7F7F75"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If a new dwelling is essential to support a new farming activity, whether on a </w:t>
      </w:r>
      <w:proofErr w:type="gramStart"/>
      <w:r w:rsidRPr="00C602FD">
        <w:rPr>
          <w:rFonts w:cs="Arial"/>
          <w:color w:val="231F20"/>
        </w:rPr>
        <w:t>newly-created</w:t>
      </w:r>
      <w:proofErr w:type="gramEnd"/>
      <w:r w:rsidRPr="00C602FD">
        <w:rPr>
          <w:rFonts w:cs="Arial"/>
          <w:color w:val="231F20"/>
        </w:rPr>
        <w:t xml:space="preserve"> agricultural unit or an established one, it should normally, for the first three years, be provided by a caravan, a wooden structure which can be easily dismantled, or other temporary accommodation.  It should satisfy the following criteria:</w:t>
      </w:r>
    </w:p>
    <w:p w14:paraId="3C49771B" w14:textId="77777777" w:rsidR="00C602FD" w:rsidRPr="00C602FD" w:rsidRDefault="00C602FD" w:rsidP="00C602FD">
      <w:pPr>
        <w:keepNext w:val="0"/>
        <w:tabs>
          <w:tab w:val="left" w:pos="480"/>
        </w:tabs>
        <w:autoSpaceDE w:val="0"/>
        <w:autoSpaceDN w:val="0"/>
        <w:adjustRightInd w:val="0"/>
        <w:spacing w:before="0"/>
        <w:ind w:left="360"/>
        <w:rPr>
          <w:rFonts w:cs="Arial"/>
          <w:color w:val="231F20"/>
        </w:rPr>
      </w:pPr>
    </w:p>
    <w:p w14:paraId="696B2B36" w14:textId="77777777" w:rsidR="00C602FD" w:rsidRPr="00C602FD" w:rsidRDefault="00C602FD" w:rsidP="00874A98">
      <w:pPr>
        <w:keepNext w:val="0"/>
        <w:numPr>
          <w:ilvl w:val="0"/>
          <w:numId w:val="316"/>
        </w:numPr>
        <w:autoSpaceDE w:val="0"/>
        <w:autoSpaceDN w:val="0"/>
        <w:adjustRightInd w:val="0"/>
        <w:spacing w:before="0" w:after="120"/>
        <w:rPr>
          <w:rFonts w:cs="Arial"/>
          <w:color w:val="231F20"/>
        </w:rPr>
      </w:pPr>
      <w:r w:rsidRPr="00C602FD">
        <w:rPr>
          <w:rFonts w:cs="Arial"/>
          <w:color w:val="231F20"/>
        </w:rPr>
        <w:t>clear evidence of a firm intention and ability to develop the enterprise concerned (significant investment in new farm buildings is often a good indication of intentions);</w:t>
      </w:r>
    </w:p>
    <w:p w14:paraId="4F659FBE" w14:textId="77777777" w:rsidR="00C602FD" w:rsidRPr="00C602FD" w:rsidRDefault="00C602FD" w:rsidP="00874A98">
      <w:pPr>
        <w:keepNext w:val="0"/>
        <w:numPr>
          <w:ilvl w:val="0"/>
          <w:numId w:val="316"/>
        </w:numPr>
        <w:autoSpaceDE w:val="0"/>
        <w:autoSpaceDN w:val="0"/>
        <w:adjustRightInd w:val="0"/>
        <w:spacing w:before="0" w:after="120"/>
        <w:rPr>
          <w:rFonts w:cs="Arial"/>
          <w:color w:val="231F20"/>
        </w:rPr>
      </w:pPr>
      <w:r w:rsidRPr="00C602FD">
        <w:rPr>
          <w:rFonts w:cs="Arial"/>
          <w:color w:val="231F20"/>
        </w:rPr>
        <w:t>functional need (see paragraph 4 of this Appendix);</w:t>
      </w:r>
    </w:p>
    <w:p w14:paraId="08AE0FCC" w14:textId="77777777" w:rsidR="00C602FD" w:rsidRPr="00C602FD" w:rsidRDefault="00C602FD" w:rsidP="00874A98">
      <w:pPr>
        <w:keepNext w:val="0"/>
        <w:numPr>
          <w:ilvl w:val="0"/>
          <w:numId w:val="316"/>
        </w:numPr>
        <w:autoSpaceDE w:val="0"/>
        <w:autoSpaceDN w:val="0"/>
        <w:adjustRightInd w:val="0"/>
        <w:spacing w:before="0" w:after="120"/>
        <w:rPr>
          <w:rFonts w:cs="Arial"/>
          <w:color w:val="231F20"/>
        </w:rPr>
      </w:pPr>
      <w:r w:rsidRPr="00C602FD">
        <w:rPr>
          <w:rFonts w:cs="Arial"/>
          <w:color w:val="231F20"/>
        </w:rPr>
        <w:t>clear evidence that the proposed enterprise has been planned on a sound financial basis;</w:t>
      </w:r>
    </w:p>
    <w:p w14:paraId="18A0BB6F" w14:textId="77777777" w:rsidR="00C602FD" w:rsidRPr="00C602FD" w:rsidRDefault="00C602FD" w:rsidP="00874A98">
      <w:pPr>
        <w:keepNext w:val="0"/>
        <w:numPr>
          <w:ilvl w:val="0"/>
          <w:numId w:val="316"/>
        </w:numPr>
        <w:autoSpaceDE w:val="0"/>
        <w:autoSpaceDN w:val="0"/>
        <w:adjustRightInd w:val="0"/>
        <w:spacing w:before="0" w:after="120"/>
        <w:rPr>
          <w:rFonts w:cs="Arial"/>
          <w:color w:val="231F20"/>
        </w:rPr>
      </w:pPr>
      <w:r w:rsidRPr="00C602FD">
        <w:rPr>
          <w:rFonts w:cs="Arial"/>
          <w:color w:val="231F20"/>
        </w:rPr>
        <w:t>the functional need could not be fulfilled by another existing dwelling on the unit, or any other existing accommodation in the area which is suitable and available for occupation by the workers concerned; and</w:t>
      </w:r>
    </w:p>
    <w:p w14:paraId="69435F3F" w14:textId="77777777" w:rsidR="00C602FD" w:rsidRPr="00C602FD" w:rsidRDefault="00C602FD" w:rsidP="00874A98">
      <w:pPr>
        <w:keepNext w:val="0"/>
        <w:numPr>
          <w:ilvl w:val="0"/>
          <w:numId w:val="316"/>
        </w:numPr>
        <w:autoSpaceDE w:val="0"/>
        <w:autoSpaceDN w:val="0"/>
        <w:adjustRightInd w:val="0"/>
        <w:spacing w:before="0" w:after="120"/>
        <w:rPr>
          <w:rFonts w:cs="Arial"/>
          <w:color w:val="231F20"/>
        </w:rPr>
      </w:pPr>
      <w:r w:rsidRPr="00C602FD">
        <w:rPr>
          <w:rFonts w:cs="Arial"/>
          <w:color w:val="231F20"/>
        </w:rPr>
        <w:t>other normal planning requirements, e.g. on siting and access, are satisfied.</w:t>
      </w:r>
    </w:p>
    <w:p w14:paraId="58A9F07E" w14:textId="77777777" w:rsidR="00C602FD" w:rsidRPr="00C602FD" w:rsidRDefault="00C602FD" w:rsidP="00C602FD">
      <w:pPr>
        <w:keepNext w:val="0"/>
        <w:tabs>
          <w:tab w:val="left" w:pos="480"/>
        </w:tabs>
        <w:autoSpaceDE w:val="0"/>
        <w:autoSpaceDN w:val="0"/>
        <w:adjustRightInd w:val="0"/>
        <w:spacing w:before="0"/>
        <w:ind w:left="360"/>
        <w:rPr>
          <w:rFonts w:cs="Arial"/>
          <w:color w:val="231F20"/>
        </w:rPr>
      </w:pPr>
    </w:p>
    <w:p w14:paraId="0A7BEE3D"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If permission for temporary accommodation is granted, permission for a permanent dwelling should not subsequently be given unless the criteria in paragraph 3 above are met.  The Council will make clear the </w:t>
      </w:r>
      <w:r w:rsidRPr="00C602FD">
        <w:rPr>
          <w:rFonts w:cs="Arial"/>
          <w:color w:val="231F20"/>
        </w:rPr>
        <w:tab/>
        <w:t>period for which the temporary permission is granted, the fact that the temporary dwelling will have to be removed, and the requirements that will have to be met if a permanent permission is to be granted.  The Council not normally grant successive extensions to a temporary permission over a period of more than three years, nor should they normally give temporary permissions in locations where they would not permit a permanent dwelling.</w:t>
      </w:r>
    </w:p>
    <w:p w14:paraId="4F6F532E" w14:textId="77777777" w:rsidR="00C602FD" w:rsidRPr="00C602FD" w:rsidRDefault="00C602FD" w:rsidP="00C602FD">
      <w:pPr>
        <w:keepNext w:val="0"/>
        <w:tabs>
          <w:tab w:val="left" w:pos="480"/>
        </w:tabs>
        <w:autoSpaceDE w:val="0"/>
        <w:autoSpaceDN w:val="0"/>
        <w:adjustRightInd w:val="0"/>
        <w:spacing w:before="0"/>
        <w:ind w:left="360"/>
        <w:rPr>
          <w:rFonts w:cs="Arial"/>
          <w:color w:val="231F20"/>
        </w:rPr>
      </w:pPr>
    </w:p>
    <w:p w14:paraId="7CD6EE50" w14:textId="77777777" w:rsidR="00C602FD" w:rsidRPr="00C602FD" w:rsidRDefault="00C602FD" w:rsidP="00C602FD">
      <w:pPr>
        <w:keepNext w:val="0"/>
        <w:autoSpaceDE w:val="0"/>
        <w:autoSpaceDN w:val="0"/>
        <w:adjustRightInd w:val="0"/>
        <w:spacing w:before="0"/>
        <w:rPr>
          <w:rFonts w:cs="Arial"/>
          <w:b/>
          <w:bCs/>
          <w:color w:val="231F20"/>
        </w:rPr>
      </w:pPr>
      <w:r w:rsidRPr="00C602FD">
        <w:rPr>
          <w:rFonts w:cs="Arial"/>
          <w:b/>
          <w:bCs/>
          <w:color w:val="231F20"/>
        </w:rPr>
        <w:t>Forestry dwellings</w:t>
      </w:r>
    </w:p>
    <w:p w14:paraId="5C8174C3" w14:textId="77777777" w:rsidR="00C602FD" w:rsidRPr="00C602FD" w:rsidRDefault="00C602FD" w:rsidP="00C602FD">
      <w:pPr>
        <w:keepNext w:val="0"/>
        <w:tabs>
          <w:tab w:val="left" w:pos="480"/>
        </w:tabs>
        <w:autoSpaceDE w:val="0"/>
        <w:autoSpaceDN w:val="0"/>
        <w:adjustRightInd w:val="0"/>
        <w:spacing w:before="0"/>
        <w:ind w:left="360"/>
        <w:rPr>
          <w:rFonts w:cs="Arial"/>
          <w:color w:val="231F20"/>
        </w:rPr>
      </w:pPr>
    </w:p>
    <w:p w14:paraId="6D6946DC"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The Council will apply the same criteria to applications for forestry dwellings as to those for agricultural dwellings.  The other principles in the advice on agricultural dwellings are equally relevant to forestry dwellings.  Under conventional methods of forestry management, which can involve the use of a peripatetic workforce, new forestry dwellings may not always be justified, except perhaps to service intensive nursery production of trees.</w:t>
      </w:r>
    </w:p>
    <w:p w14:paraId="2DC6A89D" w14:textId="77777777" w:rsidR="00C602FD" w:rsidRPr="00C602FD" w:rsidRDefault="00C602FD" w:rsidP="00967C7D">
      <w:pPr>
        <w:keepNext w:val="0"/>
        <w:tabs>
          <w:tab w:val="left" w:pos="480"/>
        </w:tabs>
        <w:autoSpaceDE w:val="0"/>
        <w:autoSpaceDN w:val="0"/>
        <w:adjustRightInd w:val="0"/>
        <w:spacing w:before="0"/>
        <w:rPr>
          <w:rFonts w:cs="Arial"/>
          <w:color w:val="231F20"/>
        </w:rPr>
      </w:pPr>
    </w:p>
    <w:p w14:paraId="393F601C" w14:textId="77777777" w:rsidR="00C602FD" w:rsidRPr="00C602FD" w:rsidRDefault="00C602FD" w:rsidP="00C602FD">
      <w:pPr>
        <w:keepNext w:val="0"/>
        <w:autoSpaceDE w:val="0"/>
        <w:autoSpaceDN w:val="0"/>
        <w:adjustRightInd w:val="0"/>
        <w:spacing w:before="0"/>
        <w:rPr>
          <w:rFonts w:cs="Arial"/>
          <w:b/>
          <w:bCs/>
          <w:color w:val="231F20"/>
        </w:rPr>
      </w:pPr>
      <w:r w:rsidRPr="00C602FD">
        <w:rPr>
          <w:rFonts w:cs="Arial"/>
          <w:b/>
          <w:bCs/>
          <w:color w:val="231F20"/>
        </w:rPr>
        <w:t>Other Occupational Dwellings</w:t>
      </w:r>
    </w:p>
    <w:p w14:paraId="4F56DA2D" w14:textId="77777777" w:rsidR="00C602FD" w:rsidRPr="00C602FD" w:rsidRDefault="00C602FD" w:rsidP="00C602FD">
      <w:pPr>
        <w:keepNext w:val="0"/>
        <w:tabs>
          <w:tab w:val="left" w:pos="480"/>
        </w:tabs>
        <w:autoSpaceDE w:val="0"/>
        <w:autoSpaceDN w:val="0"/>
        <w:adjustRightInd w:val="0"/>
        <w:spacing w:before="0"/>
        <w:ind w:left="360"/>
        <w:rPr>
          <w:rFonts w:cs="Arial"/>
          <w:color w:val="231F20"/>
        </w:rPr>
      </w:pPr>
    </w:p>
    <w:p w14:paraId="51FCDF8A"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There may also be instances where special justification exists for new isolated dwellings associated with other rural based enterprises.  In these cases, the enterprise itself, including any development necessary for the operation of the enterprise, must be acceptable in planning terms and permitted in that rural location, regardless of the consideration of any proposed associated dwelling.  The Council will apply the same stringent levels of assessment to applications for such new occupational dwellings as they apply to applications for agricultural and forestry workers’ dwellings.  They should therefore apply the same criteria and principles in </w:t>
      </w:r>
      <w:r w:rsidRPr="00C602FD">
        <w:rPr>
          <w:rFonts w:cs="Arial"/>
          <w:color w:val="231F20"/>
        </w:rPr>
        <w:lastRenderedPageBreak/>
        <w:t>paragraphs 3-13 of this Appendix, in a manner and to the extent that they are relevant to the nature of the enterprise concerned.</w:t>
      </w:r>
    </w:p>
    <w:p w14:paraId="6D18A040" w14:textId="77777777" w:rsidR="00C602FD" w:rsidRPr="00C602FD" w:rsidRDefault="00C602FD" w:rsidP="00C602FD">
      <w:pPr>
        <w:keepNext w:val="0"/>
        <w:tabs>
          <w:tab w:val="left" w:pos="480"/>
        </w:tabs>
        <w:autoSpaceDE w:val="0"/>
        <w:autoSpaceDN w:val="0"/>
        <w:adjustRightInd w:val="0"/>
        <w:spacing w:before="0"/>
        <w:ind w:left="360"/>
        <w:rPr>
          <w:rFonts w:cs="Arial"/>
          <w:color w:val="231F20"/>
        </w:rPr>
      </w:pPr>
    </w:p>
    <w:p w14:paraId="64C89F66" w14:textId="77777777" w:rsidR="00C602FD" w:rsidRPr="00C602FD" w:rsidRDefault="00C602FD" w:rsidP="00C602FD">
      <w:pPr>
        <w:keepNext w:val="0"/>
        <w:autoSpaceDE w:val="0"/>
        <w:autoSpaceDN w:val="0"/>
        <w:adjustRightInd w:val="0"/>
        <w:spacing w:before="0"/>
        <w:rPr>
          <w:rFonts w:cs="Arial"/>
          <w:b/>
          <w:bCs/>
          <w:color w:val="231F20"/>
        </w:rPr>
      </w:pPr>
      <w:r w:rsidRPr="00C602FD">
        <w:rPr>
          <w:rFonts w:cs="Arial"/>
          <w:b/>
          <w:bCs/>
          <w:color w:val="231F20"/>
        </w:rPr>
        <w:t>Occupancy Conditions</w:t>
      </w:r>
    </w:p>
    <w:p w14:paraId="7F97F879" w14:textId="77777777" w:rsidR="00C602FD" w:rsidRPr="00C602FD" w:rsidRDefault="00C602FD" w:rsidP="00C602FD">
      <w:pPr>
        <w:keepNext w:val="0"/>
        <w:tabs>
          <w:tab w:val="left" w:pos="480"/>
        </w:tabs>
        <w:autoSpaceDE w:val="0"/>
        <w:autoSpaceDN w:val="0"/>
        <w:adjustRightInd w:val="0"/>
        <w:spacing w:before="0"/>
        <w:ind w:left="360"/>
        <w:rPr>
          <w:rFonts w:cs="Arial"/>
          <w:color w:val="231F20"/>
        </w:rPr>
      </w:pPr>
    </w:p>
    <w:p w14:paraId="042433CB"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Where the need to provide accommodation to enable farm, forestry or other workers to live at or near their place of work has been accepted as providing the special justification required for new, isolated residential development in the countryside, it will be necessary to ensure that the dwellings are kept available for meeting this need for as long as it exists.  For this </w:t>
      </w:r>
      <w:proofErr w:type="gramStart"/>
      <w:r w:rsidRPr="00C602FD">
        <w:rPr>
          <w:rFonts w:cs="Arial"/>
          <w:color w:val="231F20"/>
        </w:rPr>
        <w:t>purpose</w:t>
      </w:r>
      <w:proofErr w:type="gramEnd"/>
      <w:r w:rsidRPr="00C602FD">
        <w:rPr>
          <w:rFonts w:cs="Arial"/>
          <w:color w:val="231F20"/>
        </w:rPr>
        <w:t xml:space="preserve"> planning permission should be made subject to appropriate occupancy conditions.  DOE Circular 11/95 gives further advice and provides model occupancy conditions for agricultural dwellings and for other staff accommodation.  </w:t>
      </w:r>
      <w:r w:rsidRPr="00C602FD">
        <w:rPr>
          <w:rFonts w:cs="Arial"/>
          <w:color w:val="auto"/>
        </w:rPr>
        <w:t xml:space="preserve">This will ensure that the dwelling is not subsequently sold on the open market and ensures that sporadic development is carefully controlled. </w:t>
      </w:r>
    </w:p>
    <w:p w14:paraId="7BE3B3B5" w14:textId="77777777" w:rsidR="00C602FD" w:rsidRPr="00C602FD" w:rsidRDefault="00C602FD" w:rsidP="00C602FD">
      <w:pPr>
        <w:keepNext w:val="0"/>
        <w:tabs>
          <w:tab w:val="left" w:pos="480"/>
        </w:tabs>
        <w:autoSpaceDE w:val="0"/>
        <w:autoSpaceDN w:val="0"/>
        <w:adjustRightInd w:val="0"/>
        <w:spacing w:before="0"/>
        <w:ind w:left="360"/>
        <w:rPr>
          <w:rFonts w:cs="Arial"/>
          <w:color w:val="231F20"/>
        </w:rPr>
      </w:pPr>
    </w:p>
    <w:p w14:paraId="69721319"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auto"/>
        </w:rPr>
        <w:t xml:space="preserve">It will also be necessary to impose an occupancy condition on the existing dwelling where there is an established case for two or more full time workers on a </w:t>
      </w:r>
      <w:r w:rsidRPr="00C602FD">
        <w:rPr>
          <w:rFonts w:cs="Arial"/>
          <w:color w:val="231F20"/>
        </w:rPr>
        <w:t>unit</w:t>
      </w:r>
      <w:r w:rsidRPr="00C602FD">
        <w:rPr>
          <w:rFonts w:cs="Arial"/>
          <w:color w:val="auto"/>
        </w:rPr>
        <w:t>.  Where the existing dwelling does not form part of the planning application then an occupancy condition will be negotiated as part of a legal agreement.</w:t>
      </w:r>
    </w:p>
    <w:p w14:paraId="58539919" w14:textId="77777777" w:rsidR="00C602FD" w:rsidRPr="00C602FD" w:rsidRDefault="00C602FD" w:rsidP="00C602FD">
      <w:pPr>
        <w:keepNext w:val="0"/>
        <w:tabs>
          <w:tab w:val="left" w:pos="480"/>
        </w:tabs>
        <w:autoSpaceDE w:val="0"/>
        <w:autoSpaceDN w:val="0"/>
        <w:adjustRightInd w:val="0"/>
        <w:spacing w:before="0"/>
        <w:rPr>
          <w:rFonts w:cs="Arial"/>
          <w:color w:val="231F20"/>
        </w:rPr>
      </w:pPr>
    </w:p>
    <w:p w14:paraId="1A2526F5" w14:textId="77777777" w:rsidR="00C602FD" w:rsidRPr="00C602FD" w:rsidRDefault="00C602FD" w:rsidP="00874A98">
      <w:pPr>
        <w:keepNext w:val="0"/>
        <w:numPr>
          <w:ilvl w:val="1"/>
          <w:numId w:val="312"/>
        </w:numPr>
        <w:autoSpaceDE w:val="0"/>
        <w:autoSpaceDN w:val="0"/>
        <w:adjustRightInd w:val="0"/>
        <w:spacing w:before="0"/>
        <w:ind w:left="600"/>
        <w:rPr>
          <w:rFonts w:cs="Arial"/>
          <w:color w:val="231F20"/>
        </w:rPr>
      </w:pPr>
      <w:r w:rsidRPr="00C602FD">
        <w:rPr>
          <w:rFonts w:cs="Arial"/>
          <w:color w:val="231F20"/>
        </w:rPr>
        <w:t xml:space="preserve">Changes in the scale and character of farming and forestry may affect the longer-term requirement for dwellings for which permission has been granted subject to an agricultural or forestry occupancy condition.  Such dwellings, and others in the countryside with an occupancy condition attached, should not be kept vacant, nor should their present occupants be unnecessarily obliged to remain in occupation simply by virtue of planning conditions restricting occupancy which have outlived their usefulness.  However, </w:t>
      </w:r>
      <w:proofErr w:type="gramStart"/>
      <w:r w:rsidRPr="00C602FD">
        <w:rPr>
          <w:rFonts w:cs="Arial"/>
          <w:color w:val="231F20"/>
        </w:rPr>
        <w:t>in</w:t>
      </w:r>
      <w:r w:rsidRPr="00C602FD">
        <w:rPr>
          <w:rFonts w:cs="Arial"/>
          <w:color w:val="auto"/>
        </w:rPr>
        <w:t xml:space="preserve"> order to</w:t>
      </w:r>
      <w:proofErr w:type="gramEnd"/>
      <w:r w:rsidRPr="00C602FD">
        <w:rPr>
          <w:rFonts w:cs="Arial"/>
          <w:color w:val="auto"/>
        </w:rPr>
        <w:t xml:space="preserve"> justify the removal of an occupancy condition the applicant must:</w:t>
      </w:r>
    </w:p>
    <w:p w14:paraId="1E543470" w14:textId="77777777" w:rsidR="00C602FD" w:rsidRPr="00C602FD" w:rsidRDefault="00C602FD" w:rsidP="00C602FD">
      <w:pPr>
        <w:keepNext w:val="0"/>
        <w:autoSpaceDE w:val="0"/>
        <w:autoSpaceDN w:val="0"/>
        <w:adjustRightInd w:val="0"/>
        <w:spacing w:before="0"/>
        <w:rPr>
          <w:rFonts w:cs="Arial"/>
          <w:color w:val="auto"/>
          <w:sz w:val="16"/>
        </w:rPr>
      </w:pPr>
      <w:r w:rsidRPr="00C602FD">
        <w:rPr>
          <w:rFonts w:cs="Arial"/>
          <w:color w:val="231F20"/>
        </w:rPr>
        <w:tab/>
      </w:r>
    </w:p>
    <w:p w14:paraId="1F6C5F57" w14:textId="77777777" w:rsidR="00C602FD" w:rsidRPr="00C602FD" w:rsidRDefault="00C602FD" w:rsidP="00874A98">
      <w:pPr>
        <w:keepNext w:val="0"/>
        <w:numPr>
          <w:ilvl w:val="0"/>
          <w:numId w:val="313"/>
        </w:numPr>
        <w:tabs>
          <w:tab w:val="num" w:pos="1200"/>
        </w:tabs>
        <w:autoSpaceDE w:val="0"/>
        <w:autoSpaceDN w:val="0"/>
        <w:adjustRightInd w:val="0"/>
        <w:spacing w:before="0" w:after="120"/>
        <w:ind w:left="1196" w:hanging="238"/>
        <w:rPr>
          <w:rFonts w:cs="Arial"/>
          <w:color w:val="auto"/>
        </w:rPr>
      </w:pPr>
      <w:r w:rsidRPr="00C602FD">
        <w:rPr>
          <w:rFonts w:cs="Arial"/>
          <w:color w:val="auto"/>
        </w:rPr>
        <w:t xml:space="preserve">outline the changes which have occurred since the granting of </w:t>
      </w:r>
      <w:r w:rsidRPr="00C602FD">
        <w:rPr>
          <w:rFonts w:cs="Arial"/>
          <w:color w:val="auto"/>
        </w:rPr>
        <w:tab/>
        <w:t xml:space="preserve">the original permission; a minimum </w:t>
      </w:r>
      <w:proofErr w:type="gramStart"/>
      <w:r w:rsidRPr="00C602FD">
        <w:rPr>
          <w:rFonts w:cs="Arial"/>
          <w:color w:val="auto"/>
        </w:rPr>
        <w:t>time period</w:t>
      </w:r>
      <w:proofErr w:type="gramEnd"/>
      <w:r w:rsidRPr="00C602FD">
        <w:rPr>
          <w:rFonts w:cs="Arial"/>
          <w:color w:val="auto"/>
        </w:rPr>
        <w:t xml:space="preserve"> of 10 years since the granting of the original permission must have elapsed before an application to remove an occupancy condition will be considered;</w:t>
      </w:r>
    </w:p>
    <w:p w14:paraId="1B925E5B" w14:textId="77777777" w:rsidR="00C602FD" w:rsidRPr="00C602FD" w:rsidRDefault="00C602FD" w:rsidP="00874A98">
      <w:pPr>
        <w:keepNext w:val="0"/>
        <w:numPr>
          <w:ilvl w:val="0"/>
          <w:numId w:val="313"/>
        </w:numPr>
        <w:tabs>
          <w:tab w:val="num" w:pos="1200"/>
        </w:tabs>
        <w:autoSpaceDE w:val="0"/>
        <w:autoSpaceDN w:val="0"/>
        <w:adjustRightInd w:val="0"/>
        <w:spacing w:before="0" w:after="120"/>
        <w:ind w:left="1196" w:hanging="238"/>
        <w:rPr>
          <w:rFonts w:cs="Arial"/>
          <w:color w:val="auto"/>
        </w:rPr>
      </w:pPr>
      <w:r w:rsidRPr="00C602FD">
        <w:rPr>
          <w:rFonts w:cs="Arial"/>
          <w:color w:val="auto"/>
        </w:rPr>
        <w:t xml:space="preserve">demonstrate that there is no longer a need for an agricultural/forestry worker’s dwelling on the unit/enterprise or in the area; </w:t>
      </w:r>
    </w:p>
    <w:p w14:paraId="593A830D" w14:textId="2DF55502" w:rsidR="00C602FD" w:rsidRPr="00C602FD" w:rsidRDefault="00C602FD" w:rsidP="00874A98">
      <w:pPr>
        <w:keepNext w:val="0"/>
        <w:numPr>
          <w:ilvl w:val="0"/>
          <w:numId w:val="313"/>
        </w:numPr>
        <w:tabs>
          <w:tab w:val="num" w:pos="1200"/>
        </w:tabs>
        <w:autoSpaceDE w:val="0"/>
        <w:autoSpaceDN w:val="0"/>
        <w:adjustRightInd w:val="0"/>
        <w:spacing w:before="0" w:after="120"/>
        <w:ind w:left="1196" w:hanging="238"/>
        <w:rPr>
          <w:rFonts w:cs="Arial"/>
          <w:color w:val="auto"/>
        </w:rPr>
      </w:pPr>
      <w:r w:rsidRPr="00C602FD">
        <w:rPr>
          <w:rFonts w:cs="Arial"/>
          <w:color w:val="auto"/>
        </w:rPr>
        <w:t>provide documentary evidence to show that an attempt has been made to let or sell the property at a realistic price (less than full market value) for at least one year with the occupancy condition.</w:t>
      </w:r>
    </w:p>
    <w:p w14:paraId="34C27A31" w14:textId="7D7E239A" w:rsidR="00C602FD" w:rsidRDefault="00C602FD" w:rsidP="00C602FD">
      <w:pPr>
        <w:keepNext w:val="0"/>
        <w:autoSpaceDE w:val="0"/>
        <w:autoSpaceDN w:val="0"/>
        <w:adjustRightInd w:val="0"/>
        <w:spacing w:before="0"/>
        <w:rPr>
          <w:rFonts w:cs="Arial"/>
          <w:b/>
          <w:bCs/>
          <w:color w:val="auto"/>
        </w:rPr>
      </w:pPr>
      <w:r w:rsidRPr="00C602FD">
        <w:rPr>
          <w:rFonts w:cs="Arial"/>
          <w:b/>
          <w:bCs/>
          <w:color w:val="auto"/>
        </w:rPr>
        <w:tab/>
      </w:r>
    </w:p>
    <w:p w14:paraId="23D675EE" w14:textId="77777777" w:rsidR="00C602FD" w:rsidRPr="00C602FD" w:rsidRDefault="00C602FD" w:rsidP="00C602FD">
      <w:pPr>
        <w:keepNext w:val="0"/>
        <w:autoSpaceDE w:val="0"/>
        <w:autoSpaceDN w:val="0"/>
        <w:adjustRightInd w:val="0"/>
        <w:spacing w:before="0"/>
        <w:rPr>
          <w:rFonts w:cs="Arial"/>
          <w:b/>
          <w:bCs/>
          <w:color w:val="auto"/>
        </w:rPr>
      </w:pPr>
      <w:r w:rsidRPr="00C602FD">
        <w:rPr>
          <w:rFonts w:cs="Arial"/>
          <w:b/>
          <w:bCs/>
          <w:color w:val="auto"/>
        </w:rPr>
        <w:tab/>
        <w:t>Note:</w:t>
      </w:r>
    </w:p>
    <w:p w14:paraId="7576F3EA" w14:textId="77777777" w:rsidR="00C602FD" w:rsidRPr="00C602FD" w:rsidRDefault="00C602FD" w:rsidP="00C602FD">
      <w:pPr>
        <w:keepNext w:val="0"/>
        <w:autoSpaceDE w:val="0"/>
        <w:autoSpaceDN w:val="0"/>
        <w:adjustRightInd w:val="0"/>
        <w:spacing w:before="0"/>
        <w:rPr>
          <w:rFonts w:cs="Arial"/>
          <w:b/>
          <w:bCs/>
          <w:color w:val="auto"/>
          <w:sz w:val="12"/>
        </w:rPr>
      </w:pPr>
    </w:p>
    <w:p w14:paraId="6F784AA5" w14:textId="77777777" w:rsidR="00C602FD" w:rsidRPr="00C602FD" w:rsidRDefault="00C602FD" w:rsidP="00874A98">
      <w:pPr>
        <w:keepNext w:val="0"/>
        <w:numPr>
          <w:ilvl w:val="1"/>
          <w:numId w:val="313"/>
        </w:numPr>
        <w:tabs>
          <w:tab w:val="num" w:pos="1276"/>
        </w:tabs>
        <w:autoSpaceDE w:val="0"/>
        <w:autoSpaceDN w:val="0"/>
        <w:adjustRightInd w:val="0"/>
        <w:spacing w:before="0" w:after="120"/>
        <w:ind w:left="1276" w:hanging="425"/>
        <w:rPr>
          <w:rFonts w:cs="Arial"/>
          <w:color w:val="231F20"/>
        </w:rPr>
      </w:pPr>
      <w:r w:rsidRPr="00C602FD">
        <w:rPr>
          <w:rFonts w:cs="Arial"/>
          <w:color w:val="auto"/>
        </w:rPr>
        <w:t>The argument that the dwelling is not suitable for an agricultural worker i.e. too large and expensive will not be considered as a relevant issue.</w:t>
      </w:r>
    </w:p>
    <w:p w14:paraId="74D498D8" w14:textId="77777777" w:rsidR="00C602FD" w:rsidRPr="00C602FD" w:rsidRDefault="00C602FD" w:rsidP="00874A98">
      <w:pPr>
        <w:keepNext w:val="0"/>
        <w:numPr>
          <w:ilvl w:val="1"/>
          <w:numId w:val="313"/>
        </w:numPr>
        <w:tabs>
          <w:tab w:val="num" w:pos="1276"/>
        </w:tabs>
        <w:autoSpaceDE w:val="0"/>
        <w:autoSpaceDN w:val="0"/>
        <w:adjustRightInd w:val="0"/>
        <w:spacing w:before="0" w:after="120"/>
        <w:ind w:left="1276" w:hanging="425"/>
        <w:rPr>
          <w:rFonts w:cs="Arial"/>
          <w:color w:val="231F20"/>
        </w:rPr>
      </w:pPr>
      <w:r w:rsidRPr="00C602FD">
        <w:rPr>
          <w:rFonts w:cs="Arial"/>
          <w:color w:val="auto"/>
        </w:rPr>
        <w:t xml:space="preserve">In </w:t>
      </w:r>
      <w:proofErr w:type="gramStart"/>
      <w:r w:rsidRPr="00C602FD">
        <w:rPr>
          <w:rFonts w:cs="Arial"/>
          <w:color w:val="auto"/>
        </w:rPr>
        <w:t>addition</w:t>
      </w:r>
      <w:proofErr w:type="gramEnd"/>
      <w:r w:rsidRPr="00C602FD">
        <w:rPr>
          <w:rFonts w:cs="Arial"/>
          <w:color w:val="auto"/>
        </w:rPr>
        <w:t xml:space="preserve"> personal circumstances will not be relevant as it is the needs of the holding and not the individual which must be the overriding issue.</w:t>
      </w:r>
    </w:p>
    <w:p w14:paraId="1AF88EE2" w14:textId="77777777" w:rsidR="00C602FD" w:rsidRPr="00C602FD" w:rsidRDefault="00C602FD" w:rsidP="00C602FD">
      <w:pPr>
        <w:keepNext w:val="0"/>
        <w:autoSpaceDE w:val="0"/>
        <w:autoSpaceDN w:val="0"/>
        <w:adjustRightInd w:val="0"/>
        <w:spacing w:before="0"/>
        <w:jc w:val="both"/>
        <w:rPr>
          <w:rFonts w:cs="Arial"/>
          <w:b/>
          <w:bCs/>
          <w:color w:val="auto"/>
        </w:rPr>
      </w:pPr>
    </w:p>
    <w:p w14:paraId="0D80DB86" w14:textId="4845244A" w:rsidR="00C602FD" w:rsidRDefault="00C602FD" w:rsidP="00CF07B9">
      <w:pPr>
        <w:pStyle w:val="Heading1"/>
      </w:pPr>
      <w:bookmarkStart w:id="339" w:name="_Toc145511628"/>
      <w:r w:rsidRPr="00C602FD">
        <w:lastRenderedPageBreak/>
        <w:t xml:space="preserve">Appendix 6 - Policy EV4: Green </w:t>
      </w:r>
      <w:r w:rsidR="003A631C" w:rsidRPr="003A631C">
        <w:rPr>
          <w:color w:val="2E74B5" w:themeColor="accent5" w:themeShade="BF"/>
        </w:rPr>
        <w:t xml:space="preserve">and Blue </w:t>
      </w:r>
      <w:r w:rsidRPr="00C602FD">
        <w:t>Infrastructure, Biodiversity and Geo</w:t>
      </w:r>
      <w:r w:rsidR="00F100ED">
        <w:t>diversity</w:t>
      </w:r>
      <w:r w:rsidRPr="00C602FD">
        <w:t xml:space="preserve"> Sites</w:t>
      </w:r>
      <w:bookmarkEnd w:id="339"/>
    </w:p>
    <w:p w14:paraId="1A7CD80F" w14:textId="77777777" w:rsidR="00614ECC" w:rsidRDefault="00614ECC" w:rsidP="00C602FD">
      <w:pPr>
        <w:keepNext w:val="0"/>
        <w:autoSpaceDE w:val="0"/>
        <w:autoSpaceDN w:val="0"/>
        <w:adjustRightInd w:val="0"/>
        <w:spacing w:before="0"/>
        <w:rPr>
          <w:rFonts w:cs="Arial"/>
          <w:b/>
          <w:bCs/>
          <w:color w:val="auto"/>
          <w:szCs w:val="24"/>
        </w:rPr>
      </w:pPr>
    </w:p>
    <w:p w14:paraId="28824335" w14:textId="76FB1C62" w:rsidR="00B5314A" w:rsidRPr="00C602FD" w:rsidRDefault="00B5314A" w:rsidP="00C602FD">
      <w:pPr>
        <w:keepNext w:val="0"/>
        <w:autoSpaceDE w:val="0"/>
        <w:autoSpaceDN w:val="0"/>
        <w:adjustRightInd w:val="0"/>
        <w:spacing w:before="0"/>
        <w:rPr>
          <w:rFonts w:cs="Arial"/>
          <w:b/>
          <w:bCs/>
          <w:szCs w:val="24"/>
        </w:rPr>
      </w:pPr>
      <w:r w:rsidRPr="00C602FD">
        <w:rPr>
          <w:rFonts w:cs="Arial"/>
          <w:b/>
          <w:bCs/>
          <w:color w:val="auto"/>
          <w:szCs w:val="24"/>
        </w:rPr>
        <w:t>Site of Special Scientific Interest (SSSI)</w:t>
      </w:r>
      <w:r>
        <w:rPr>
          <w:rFonts w:cs="Arial"/>
          <w:b/>
          <w:bCs/>
          <w:color w:val="auto"/>
          <w:szCs w:val="24"/>
        </w:rPr>
        <w:br/>
      </w:r>
    </w:p>
    <w:tbl>
      <w:tblPr>
        <w:tblStyle w:val="TableGrid3"/>
        <w:tblW w:w="9696" w:type="dxa"/>
        <w:tblLook w:val="0020" w:firstRow="1" w:lastRow="0" w:firstColumn="0" w:lastColumn="0" w:noHBand="0" w:noVBand="0"/>
      </w:tblPr>
      <w:tblGrid>
        <w:gridCol w:w="992"/>
        <w:gridCol w:w="2325"/>
        <w:gridCol w:w="4822"/>
        <w:gridCol w:w="1557"/>
      </w:tblGrid>
      <w:tr w:rsidR="00B5314A" w:rsidRPr="00C602FD" w14:paraId="0A1C3C0E" w14:textId="77777777" w:rsidTr="006B75FA">
        <w:trPr>
          <w:trHeight w:val="255"/>
        </w:trPr>
        <w:tc>
          <w:tcPr>
            <w:tcW w:w="992" w:type="dxa"/>
            <w:noWrap/>
          </w:tcPr>
          <w:p w14:paraId="4BFE5D36" w14:textId="77777777" w:rsidR="00B5314A" w:rsidRPr="00C602FD" w:rsidRDefault="00B5314A" w:rsidP="009353B1">
            <w:pPr>
              <w:keepNext w:val="0"/>
              <w:spacing w:before="0"/>
              <w:rPr>
                <w:rFonts w:ascii="Calibri" w:hAnsi="Calibri" w:cs="Arial"/>
                <w:b/>
                <w:bCs/>
                <w:color w:val="000000"/>
              </w:rPr>
            </w:pPr>
            <w:r w:rsidRPr="00C602FD">
              <w:rPr>
                <w:rFonts w:ascii="Calibri" w:hAnsi="Calibri" w:cs="Arial"/>
                <w:b/>
                <w:bCs/>
                <w:color w:val="000000"/>
              </w:rPr>
              <w:t>Plan Ref.</w:t>
            </w:r>
          </w:p>
        </w:tc>
        <w:tc>
          <w:tcPr>
            <w:tcW w:w="2325" w:type="dxa"/>
            <w:noWrap/>
          </w:tcPr>
          <w:p w14:paraId="784AC7DE" w14:textId="77777777" w:rsidR="00B5314A" w:rsidRPr="00C602FD" w:rsidRDefault="00B5314A" w:rsidP="009353B1">
            <w:pPr>
              <w:keepNext w:val="0"/>
              <w:spacing w:before="0"/>
              <w:rPr>
                <w:rFonts w:ascii="Calibri" w:hAnsi="Calibri" w:cs="Arial"/>
                <w:b/>
                <w:bCs/>
                <w:color w:val="000000"/>
              </w:rPr>
            </w:pPr>
            <w:r w:rsidRPr="00C602FD">
              <w:rPr>
                <w:rFonts w:ascii="Calibri" w:hAnsi="Calibri" w:cs="Arial"/>
                <w:b/>
                <w:bCs/>
                <w:color w:val="000000"/>
              </w:rPr>
              <w:t>Site Name</w:t>
            </w:r>
          </w:p>
        </w:tc>
        <w:tc>
          <w:tcPr>
            <w:tcW w:w="4822" w:type="dxa"/>
            <w:noWrap/>
          </w:tcPr>
          <w:p w14:paraId="67E27506" w14:textId="77777777" w:rsidR="00B5314A" w:rsidRPr="00C602FD" w:rsidRDefault="00B5314A" w:rsidP="009353B1">
            <w:pPr>
              <w:keepNext w:val="0"/>
              <w:spacing w:before="0"/>
              <w:rPr>
                <w:rFonts w:ascii="Calibri" w:hAnsi="Calibri" w:cs="Arial"/>
                <w:b/>
                <w:bCs/>
                <w:color w:val="000000"/>
              </w:rPr>
            </w:pPr>
            <w:r w:rsidRPr="00C602FD">
              <w:rPr>
                <w:rFonts w:ascii="Calibri" w:hAnsi="Calibri" w:cs="Arial"/>
                <w:b/>
                <w:bCs/>
                <w:color w:val="000000"/>
              </w:rPr>
              <w:t>Description</w:t>
            </w:r>
          </w:p>
        </w:tc>
        <w:tc>
          <w:tcPr>
            <w:tcW w:w="1557" w:type="dxa"/>
            <w:tcBorders>
              <w:bottom w:val="single" w:sz="4" w:space="0" w:color="auto"/>
            </w:tcBorders>
          </w:tcPr>
          <w:p w14:paraId="75B05E3D" w14:textId="50BD99C6" w:rsidR="00B5314A" w:rsidRPr="00C602FD" w:rsidRDefault="006B75FA" w:rsidP="009353B1">
            <w:pPr>
              <w:keepNext w:val="0"/>
              <w:spacing w:before="0"/>
              <w:rPr>
                <w:rFonts w:ascii="Calibri" w:hAnsi="Calibri" w:cs="Arial"/>
                <w:b/>
                <w:bCs/>
                <w:color w:val="000000"/>
              </w:rPr>
            </w:pPr>
            <w:r>
              <w:rPr>
                <w:rFonts w:ascii="Calibri" w:hAnsi="Calibri" w:cs="Arial"/>
                <w:b/>
                <w:bCs/>
                <w:color w:val="000000"/>
              </w:rPr>
              <w:t>Ward</w:t>
            </w:r>
          </w:p>
        </w:tc>
      </w:tr>
      <w:tr w:rsidR="006B75FA" w:rsidRPr="00C602FD" w14:paraId="65E8E47B" w14:textId="77777777" w:rsidTr="000663FF">
        <w:trPr>
          <w:trHeight w:val="255"/>
        </w:trPr>
        <w:tc>
          <w:tcPr>
            <w:tcW w:w="992" w:type="dxa"/>
          </w:tcPr>
          <w:p w14:paraId="6BB54A2A" w14:textId="0AADEF19" w:rsidR="006B75FA" w:rsidRPr="00C602FD" w:rsidRDefault="006B75FA" w:rsidP="006B75FA">
            <w:pPr>
              <w:keepNext w:val="0"/>
              <w:spacing w:before="0"/>
              <w:rPr>
                <w:rFonts w:ascii="Calibri" w:hAnsi="Calibri" w:cs="Arial"/>
                <w:color w:val="000000"/>
                <w:sz w:val="22"/>
              </w:rPr>
            </w:pPr>
            <w:r>
              <w:rPr>
                <w:rFonts w:ascii="Calibri" w:hAnsi="Calibri" w:cs="Arial"/>
                <w:color w:val="000000"/>
                <w:sz w:val="22"/>
              </w:rPr>
              <w:t>EV4sa</w:t>
            </w:r>
          </w:p>
        </w:tc>
        <w:tc>
          <w:tcPr>
            <w:tcW w:w="2325" w:type="dxa"/>
          </w:tcPr>
          <w:p w14:paraId="24EB1A21" w14:textId="66965EFB"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Annesley Woodhouse Quarries</w:t>
            </w:r>
          </w:p>
        </w:tc>
        <w:tc>
          <w:tcPr>
            <w:tcW w:w="4822" w:type="dxa"/>
            <w:noWrap/>
          </w:tcPr>
          <w:p w14:paraId="6A563AFA" w14:textId="31C6A8CA" w:rsidR="006B75FA" w:rsidRPr="00C602FD" w:rsidRDefault="006B75FA" w:rsidP="006B75FA">
            <w:pPr>
              <w:keepNext w:val="0"/>
              <w:spacing w:before="0"/>
              <w:jc w:val="left"/>
              <w:rPr>
                <w:rFonts w:ascii="Calibri" w:hAnsi="Calibri" w:cs="Arial"/>
                <w:color w:val="000000"/>
              </w:rPr>
            </w:pPr>
            <w:r w:rsidRPr="00C602FD">
              <w:rPr>
                <w:rFonts w:ascii="Calibri" w:hAnsi="Calibri" w:cs="Arial"/>
                <w:color w:val="000000"/>
                <w:sz w:val="22"/>
              </w:rPr>
              <w:t>An excellent Magnesian Limestone grassland.</w:t>
            </w:r>
          </w:p>
        </w:tc>
        <w:tc>
          <w:tcPr>
            <w:tcW w:w="1557" w:type="dxa"/>
            <w:tcBorders>
              <w:top w:val="single" w:sz="4" w:space="0" w:color="auto"/>
              <w:left w:val="nil"/>
              <w:bottom w:val="single" w:sz="4" w:space="0" w:color="auto"/>
              <w:right w:val="single" w:sz="4" w:space="0" w:color="auto"/>
            </w:tcBorders>
          </w:tcPr>
          <w:p w14:paraId="0921849B" w14:textId="3D2FB0F0" w:rsidR="006B75FA" w:rsidRPr="00C602FD" w:rsidRDefault="006B75FA" w:rsidP="00E16AB7">
            <w:pPr>
              <w:keepNext w:val="0"/>
              <w:spacing w:before="0"/>
              <w:jc w:val="left"/>
              <w:rPr>
                <w:rFonts w:ascii="Calibri" w:hAnsi="Calibri" w:cs="Arial"/>
                <w:color w:val="000000"/>
              </w:rPr>
            </w:pPr>
            <w:r>
              <w:rPr>
                <w:rFonts w:ascii="Calibri" w:hAnsi="Calibri" w:cs="Calibri"/>
                <w:color w:val="000000"/>
                <w:sz w:val="22"/>
              </w:rPr>
              <w:t>Annesley &amp; Kirkby Woodhouse</w:t>
            </w:r>
          </w:p>
        </w:tc>
      </w:tr>
      <w:tr w:rsidR="006B75FA" w:rsidRPr="00C602FD" w14:paraId="00A001C2" w14:textId="77777777" w:rsidTr="000663FF">
        <w:trPr>
          <w:trHeight w:val="233"/>
        </w:trPr>
        <w:tc>
          <w:tcPr>
            <w:tcW w:w="992" w:type="dxa"/>
          </w:tcPr>
          <w:p w14:paraId="78389C28" w14:textId="7D8156D3"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EV4s</w:t>
            </w:r>
            <w:r>
              <w:rPr>
                <w:rFonts w:ascii="Calibri" w:hAnsi="Calibri" w:cs="Arial"/>
                <w:color w:val="000000"/>
                <w:sz w:val="22"/>
              </w:rPr>
              <w:t>b</w:t>
            </w:r>
          </w:p>
        </w:tc>
        <w:tc>
          <w:tcPr>
            <w:tcW w:w="2325" w:type="dxa"/>
          </w:tcPr>
          <w:p w14:paraId="2ECB97C7" w14:textId="11D208C6" w:rsidR="00614ECC" w:rsidRPr="00C602FD" w:rsidRDefault="006B75FA" w:rsidP="00E14543">
            <w:pPr>
              <w:keepNext w:val="0"/>
              <w:spacing w:before="0"/>
              <w:rPr>
                <w:rFonts w:ascii="Calibri" w:hAnsi="Calibri" w:cs="Arial"/>
                <w:color w:val="000000"/>
                <w:sz w:val="22"/>
              </w:rPr>
            </w:pPr>
            <w:proofErr w:type="spellStart"/>
            <w:r w:rsidRPr="00C602FD">
              <w:rPr>
                <w:rFonts w:ascii="Calibri" w:hAnsi="Calibri" w:cs="Arial"/>
                <w:color w:val="000000"/>
                <w:sz w:val="22"/>
              </w:rPr>
              <w:t>Bagthorpe</w:t>
            </w:r>
            <w:proofErr w:type="spellEnd"/>
            <w:r w:rsidRPr="00C602FD">
              <w:rPr>
                <w:rFonts w:ascii="Calibri" w:hAnsi="Calibri" w:cs="Arial"/>
                <w:color w:val="000000"/>
                <w:sz w:val="22"/>
              </w:rPr>
              <w:t xml:space="preserve"> Meadows</w:t>
            </w:r>
          </w:p>
        </w:tc>
        <w:tc>
          <w:tcPr>
            <w:tcW w:w="4822" w:type="dxa"/>
            <w:noWrap/>
          </w:tcPr>
          <w:p w14:paraId="538A80D6" w14:textId="77777777" w:rsidR="006B75FA" w:rsidRPr="00C602FD" w:rsidRDefault="006B75FA" w:rsidP="006B75FA">
            <w:pPr>
              <w:keepNext w:val="0"/>
              <w:spacing w:before="0"/>
              <w:jc w:val="left"/>
              <w:rPr>
                <w:rFonts w:ascii="Calibri" w:hAnsi="Calibri" w:cs="Arial"/>
                <w:color w:val="000000"/>
              </w:rPr>
            </w:pPr>
            <w:r w:rsidRPr="00C602FD">
              <w:rPr>
                <w:rFonts w:ascii="Calibri" w:hAnsi="Calibri" w:cs="Arial"/>
                <w:color w:val="000000"/>
              </w:rPr>
              <w:t>Lowland acid and neutral grassland.</w:t>
            </w:r>
          </w:p>
        </w:tc>
        <w:tc>
          <w:tcPr>
            <w:tcW w:w="1557" w:type="dxa"/>
            <w:tcBorders>
              <w:top w:val="single" w:sz="4" w:space="0" w:color="auto"/>
              <w:left w:val="nil"/>
              <w:bottom w:val="single" w:sz="4" w:space="0" w:color="auto"/>
              <w:right w:val="single" w:sz="4" w:space="0" w:color="auto"/>
            </w:tcBorders>
          </w:tcPr>
          <w:p w14:paraId="037D7FE4" w14:textId="12827BA8" w:rsidR="006B75FA" w:rsidRPr="00C602FD" w:rsidRDefault="00E14543" w:rsidP="00E16AB7">
            <w:pPr>
              <w:keepNext w:val="0"/>
              <w:spacing w:before="0"/>
              <w:jc w:val="left"/>
              <w:rPr>
                <w:rFonts w:ascii="Calibri" w:hAnsi="Calibri" w:cs="Arial"/>
                <w:color w:val="000000"/>
              </w:rPr>
            </w:pPr>
            <w:r>
              <w:rPr>
                <w:rFonts w:ascii="Calibri" w:hAnsi="Calibri" w:cs="Calibri"/>
                <w:color w:val="000000"/>
                <w:sz w:val="22"/>
              </w:rPr>
              <w:t>U</w:t>
            </w:r>
            <w:r w:rsidR="006B75FA">
              <w:rPr>
                <w:rFonts w:ascii="Calibri" w:hAnsi="Calibri" w:cs="Calibri"/>
                <w:color w:val="000000"/>
                <w:sz w:val="22"/>
              </w:rPr>
              <w:t>nderwood</w:t>
            </w:r>
          </w:p>
        </w:tc>
      </w:tr>
      <w:tr w:rsidR="006B75FA" w:rsidRPr="00C602FD" w14:paraId="751481DE" w14:textId="77777777" w:rsidTr="000663FF">
        <w:trPr>
          <w:trHeight w:val="255"/>
        </w:trPr>
        <w:tc>
          <w:tcPr>
            <w:tcW w:w="992" w:type="dxa"/>
          </w:tcPr>
          <w:p w14:paraId="15701E3C" w14:textId="337A2C8E"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EV4s</w:t>
            </w:r>
            <w:r>
              <w:rPr>
                <w:rFonts w:ascii="Calibri" w:hAnsi="Calibri" w:cs="Arial"/>
                <w:color w:val="000000"/>
                <w:sz w:val="22"/>
              </w:rPr>
              <w:t>c</w:t>
            </w:r>
          </w:p>
        </w:tc>
        <w:tc>
          <w:tcPr>
            <w:tcW w:w="2325" w:type="dxa"/>
          </w:tcPr>
          <w:p w14:paraId="0944A477" w14:textId="77777777"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Bogs Farm Quarry</w:t>
            </w:r>
          </w:p>
        </w:tc>
        <w:tc>
          <w:tcPr>
            <w:tcW w:w="4822" w:type="dxa"/>
            <w:noWrap/>
          </w:tcPr>
          <w:p w14:paraId="29661ED8" w14:textId="77777777" w:rsidR="006B75FA" w:rsidRPr="00C602FD" w:rsidRDefault="006B75FA" w:rsidP="006B75FA">
            <w:pPr>
              <w:keepNext w:val="0"/>
              <w:spacing w:before="0"/>
              <w:jc w:val="left"/>
              <w:rPr>
                <w:rFonts w:ascii="Calibri" w:hAnsi="Calibri" w:cs="Arial"/>
                <w:color w:val="000000"/>
                <w:sz w:val="22"/>
              </w:rPr>
            </w:pPr>
            <w:r w:rsidRPr="00C602FD">
              <w:rPr>
                <w:rFonts w:ascii="Calibri" w:hAnsi="Calibri" w:cs="Arial"/>
                <w:color w:val="000000"/>
                <w:sz w:val="22"/>
              </w:rPr>
              <w:t>Species-rich pools, flushes and grassland developed in a former quarry.</w:t>
            </w:r>
          </w:p>
        </w:tc>
        <w:tc>
          <w:tcPr>
            <w:tcW w:w="1557" w:type="dxa"/>
            <w:tcBorders>
              <w:top w:val="single" w:sz="4" w:space="0" w:color="auto"/>
              <w:left w:val="nil"/>
              <w:bottom w:val="single" w:sz="4" w:space="0" w:color="auto"/>
              <w:right w:val="single" w:sz="4" w:space="0" w:color="auto"/>
            </w:tcBorders>
          </w:tcPr>
          <w:p w14:paraId="4DBA09BD" w14:textId="2489AC18" w:rsidR="006B75FA" w:rsidRPr="00C602FD" w:rsidRDefault="006B75FA" w:rsidP="00E16AB7">
            <w:pPr>
              <w:keepNext w:val="0"/>
              <w:spacing w:before="0"/>
              <w:jc w:val="left"/>
              <w:rPr>
                <w:rFonts w:ascii="Calibri" w:hAnsi="Calibri" w:cs="Arial"/>
                <w:color w:val="000000"/>
                <w:sz w:val="22"/>
              </w:rPr>
            </w:pPr>
            <w:r>
              <w:rPr>
                <w:rFonts w:ascii="Calibri" w:hAnsi="Calibri" w:cs="Calibri"/>
                <w:color w:val="000000"/>
                <w:sz w:val="22"/>
              </w:rPr>
              <w:t>Annesley &amp; Kirkby Woodhouse</w:t>
            </w:r>
          </w:p>
        </w:tc>
      </w:tr>
      <w:tr w:rsidR="006B75FA" w:rsidRPr="00C602FD" w14:paraId="3833585C" w14:textId="77777777" w:rsidTr="000663FF">
        <w:trPr>
          <w:trHeight w:val="255"/>
        </w:trPr>
        <w:tc>
          <w:tcPr>
            <w:tcW w:w="992" w:type="dxa"/>
          </w:tcPr>
          <w:p w14:paraId="2EC720E1" w14:textId="269E7419"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EV4s</w:t>
            </w:r>
            <w:r>
              <w:rPr>
                <w:rFonts w:ascii="Calibri" w:hAnsi="Calibri" w:cs="Arial"/>
                <w:color w:val="000000"/>
                <w:sz w:val="22"/>
              </w:rPr>
              <w:t>d</w:t>
            </w:r>
          </w:p>
        </w:tc>
        <w:tc>
          <w:tcPr>
            <w:tcW w:w="2325" w:type="dxa"/>
          </w:tcPr>
          <w:p w14:paraId="28451BB3" w14:textId="0FC63071"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Bulwell Wood, Hucknall</w:t>
            </w:r>
          </w:p>
        </w:tc>
        <w:tc>
          <w:tcPr>
            <w:tcW w:w="4822" w:type="dxa"/>
            <w:noWrap/>
          </w:tcPr>
          <w:p w14:paraId="7E447232" w14:textId="413D2482" w:rsidR="006B75FA" w:rsidRPr="00C602FD" w:rsidRDefault="006B75FA" w:rsidP="006B75FA">
            <w:pPr>
              <w:keepNext w:val="0"/>
              <w:spacing w:before="0"/>
              <w:jc w:val="left"/>
              <w:rPr>
                <w:rFonts w:ascii="Calibri" w:hAnsi="Calibri" w:cs="Arial"/>
                <w:color w:val="000000"/>
                <w:sz w:val="22"/>
              </w:rPr>
            </w:pPr>
            <w:r w:rsidRPr="00C602FD">
              <w:rPr>
                <w:rFonts w:ascii="Calibri" w:hAnsi="Calibri" w:cs="Arial"/>
                <w:color w:val="000000"/>
                <w:sz w:val="22"/>
              </w:rPr>
              <w:t>An ancient deciduous woodland with a characteristic ground flora.</w:t>
            </w:r>
          </w:p>
        </w:tc>
        <w:tc>
          <w:tcPr>
            <w:tcW w:w="1557" w:type="dxa"/>
            <w:tcBorders>
              <w:top w:val="single" w:sz="4" w:space="0" w:color="auto"/>
              <w:left w:val="nil"/>
              <w:bottom w:val="single" w:sz="4" w:space="0" w:color="auto"/>
              <w:right w:val="single" w:sz="4" w:space="0" w:color="auto"/>
            </w:tcBorders>
          </w:tcPr>
          <w:p w14:paraId="22DDF601" w14:textId="05C5FC09" w:rsidR="006B75FA" w:rsidRPr="00C602FD" w:rsidRDefault="006B75FA" w:rsidP="00E16AB7">
            <w:pPr>
              <w:keepNext w:val="0"/>
              <w:spacing w:before="0"/>
              <w:jc w:val="left"/>
              <w:rPr>
                <w:rFonts w:ascii="Calibri" w:hAnsi="Calibri" w:cs="Arial"/>
                <w:color w:val="000000"/>
                <w:sz w:val="22"/>
              </w:rPr>
            </w:pPr>
            <w:r>
              <w:rPr>
                <w:rFonts w:ascii="Calibri" w:hAnsi="Calibri" w:cs="Calibri"/>
                <w:color w:val="000000"/>
                <w:sz w:val="22"/>
              </w:rPr>
              <w:t>Hucknall West</w:t>
            </w:r>
          </w:p>
        </w:tc>
      </w:tr>
      <w:tr w:rsidR="006B75FA" w:rsidRPr="00C602FD" w14:paraId="2725FE40" w14:textId="77777777" w:rsidTr="000663FF">
        <w:trPr>
          <w:trHeight w:val="255"/>
        </w:trPr>
        <w:tc>
          <w:tcPr>
            <w:tcW w:w="992" w:type="dxa"/>
          </w:tcPr>
          <w:p w14:paraId="1984D2E5" w14:textId="0B2E28FB" w:rsidR="006B75FA" w:rsidRPr="00C602FD" w:rsidRDefault="006B75FA" w:rsidP="006B75FA">
            <w:pPr>
              <w:keepNext w:val="0"/>
              <w:spacing w:before="0"/>
              <w:rPr>
                <w:rFonts w:ascii="Calibri" w:hAnsi="Calibri" w:cs="Arial"/>
                <w:color w:val="000000"/>
                <w:sz w:val="22"/>
              </w:rPr>
            </w:pPr>
            <w:r>
              <w:rPr>
                <w:rFonts w:ascii="Calibri" w:hAnsi="Calibri" w:cs="Arial"/>
                <w:color w:val="000000"/>
                <w:sz w:val="22"/>
              </w:rPr>
              <w:t>EV4se</w:t>
            </w:r>
          </w:p>
        </w:tc>
        <w:tc>
          <w:tcPr>
            <w:tcW w:w="2325" w:type="dxa"/>
          </w:tcPr>
          <w:p w14:paraId="179B6CB7" w14:textId="6678A335"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Dovedale Wood</w:t>
            </w:r>
          </w:p>
        </w:tc>
        <w:tc>
          <w:tcPr>
            <w:tcW w:w="4822" w:type="dxa"/>
            <w:noWrap/>
          </w:tcPr>
          <w:p w14:paraId="40A673EF" w14:textId="3D1A289B"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Broadleaved, mixed and yew woodland.</w:t>
            </w:r>
          </w:p>
        </w:tc>
        <w:tc>
          <w:tcPr>
            <w:tcW w:w="1557" w:type="dxa"/>
            <w:tcBorders>
              <w:top w:val="single" w:sz="4" w:space="0" w:color="auto"/>
              <w:left w:val="nil"/>
              <w:bottom w:val="single" w:sz="4" w:space="0" w:color="auto"/>
              <w:right w:val="single" w:sz="4" w:space="0" w:color="auto"/>
            </w:tcBorders>
          </w:tcPr>
          <w:p w14:paraId="4CBA6E4B" w14:textId="3BEC902C" w:rsidR="006B75FA" w:rsidRPr="00C602FD" w:rsidRDefault="006B75FA" w:rsidP="00E16AB7">
            <w:pPr>
              <w:keepNext w:val="0"/>
              <w:spacing w:before="0"/>
              <w:jc w:val="left"/>
              <w:rPr>
                <w:rFonts w:ascii="Calibri" w:hAnsi="Calibri" w:cs="Arial"/>
                <w:color w:val="000000"/>
                <w:sz w:val="22"/>
              </w:rPr>
            </w:pPr>
            <w:r>
              <w:rPr>
                <w:rFonts w:ascii="Calibri" w:hAnsi="Calibri" w:cs="Calibri"/>
                <w:color w:val="000000"/>
                <w:sz w:val="22"/>
              </w:rPr>
              <w:t>Stanton Hill &amp; Teversal</w:t>
            </w:r>
          </w:p>
        </w:tc>
      </w:tr>
      <w:tr w:rsidR="006B75FA" w:rsidRPr="00C602FD" w14:paraId="4A47F871" w14:textId="77777777" w:rsidTr="000663FF">
        <w:trPr>
          <w:trHeight w:val="255"/>
        </w:trPr>
        <w:tc>
          <w:tcPr>
            <w:tcW w:w="992" w:type="dxa"/>
          </w:tcPr>
          <w:p w14:paraId="24D18CA7" w14:textId="2937A45E"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EV4s</w:t>
            </w:r>
            <w:r>
              <w:rPr>
                <w:rFonts w:ascii="Calibri" w:hAnsi="Calibri" w:cs="Arial"/>
                <w:color w:val="000000"/>
                <w:sz w:val="22"/>
              </w:rPr>
              <w:t>f</w:t>
            </w:r>
          </w:p>
        </w:tc>
        <w:tc>
          <w:tcPr>
            <w:tcW w:w="2325" w:type="dxa"/>
          </w:tcPr>
          <w:p w14:paraId="160DA43C" w14:textId="26B41D93" w:rsidR="006B75FA" w:rsidRPr="00C602FD" w:rsidRDefault="006B75FA" w:rsidP="006B75FA">
            <w:pPr>
              <w:keepNext w:val="0"/>
              <w:spacing w:before="0"/>
              <w:rPr>
                <w:rFonts w:ascii="Calibri" w:hAnsi="Calibri" w:cs="Arial"/>
                <w:color w:val="000000"/>
                <w:sz w:val="22"/>
              </w:rPr>
            </w:pPr>
            <w:proofErr w:type="spellStart"/>
            <w:r w:rsidRPr="00C602FD">
              <w:rPr>
                <w:rFonts w:ascii="Calibri" w:hAnsi="Calibri" w:cs="Arial"/>
                <w:color w:val="000000"/>
                <w:sz w:val="22"/>
              </w:rPr>
              <w:t>Friezeland</w:t>
            </w:r>
            <w:proofErr w:type="spellEnd"/>
            <w:r w:rsidRPr="00C602FD">
              <w:rPr>
                <w:rFonts w:ascii="Calibri" w:hAnsi="Calibri" w:cs="Arial"/>
                <w:color w:val="000000"/>
                <w:sz w:val="22"/>
              </w:rPr>
              <w:t xml:space="preserve"> Grassland</w:t>
            </w:r>
          </w:p>
        </w:tc>
        <w:tc>
          <w:tcPr>
            <w:tcW w:w="4822" w:type="dxa"/>
            <w:noWrap/>
          </w:tcPr>
          <w:p w14:paraId="246242CD" w14:textId="66DF4560" w:rsidR="006B75FA" w:rsidRPr="00C602FD" w:rsidRDefault="006B75FA" w:rsidP="006B75FA">
            <w:pPr>
              <w:keepNext w:val="0"/>
              <w:spacing w:before="0"/>
              <w:jc w:val="left"/>
              <w:rPr>
                <w:rFonts w:ascii="Calibri" w:hAnsi="Calibri" w:cs="Arial"/>
                <w:color w:val="000000"/>
                <w:sz w:val="22"/>
              </w:rPr>
            </w:pPr>
            <w:r w:rsidRPr="00C602FD">
              <w:rPr>
                <w:rFonts w:ascii="Calibri" w:hAnsi="Calibri" w:cs="Arial"/>
                <w:color w:val="000000"/>
                <w:sz w:val="22"/>
              </w:rPr>
              <w:t>An interesting range of habitat types and plant communities developed on disturbed clays and sands.</w:t>
            </w:r>
          </w:p>
        </w:tc>
        <w:tc>
          <w:tcPr>
            <w:tcW w:w="1557" w:type="dxa"/>
            <w:tcBorders>
              <w:top w:val="single" w:sz="4" w:space="0" w:color="auto"/>
              <w:left w:val="nil"/>
              <w:bottom w:val="single" w:sz="4" w:space="0" w:color="auto"/>
              <w:right w:val="single" w:sz="4" w:space="0" w:color="auto"/>
            </w:tcBorders>
          </w:tcPr>
          <w:p w14:paraId="68A9845E" w14:textId="7677342D" w:rsidR="006B75FA" w:rsidRPr="00C602FD" w:rsidRDefault="006B75FA" w:rsidP="00E16AB7">
            <w:pPr>
              <w:keepNext w:val="0"/>
              <w:spacing w:before="0"/>
              <w:jc w:val="left"/>
              <w:rPr>
                <w:rFonts w:ascii="Calibri" w:hAnsi="Calibri" w:cs="Arial"/>
                <w:color w:val="000000"/>
                <w:sz w:val="22"/>
              </w:rPr>
            </w:pPr>
            <w:r>
              <w:rPr>
                <w:rFonts w:ascii="Calibri" w:hAnsi="Calibri" w:cs="Calibri"/>
                <w:color w:val="000000"/>
                <w:sz w:val="22"/>
              </w:rPr>
              <w:t>Underwood</w:t>
            </w:r>
          </w:p>
        </w:tc>
      </w:tr>
      <w:tr w:rsidR="006B75FA" w:rsidRPr="00C602FD" w14:paraId="555B2BAF" w14:textId="77777777" w:rsidTr="000663FF">
        <w:trPr>
          <w:trHeight w:val="255"/>
        </w:trPr>
        <w:tc>
          <w:tcPr>
            <w:tcW w:w="992" w:type="dxa"/>
          </w:tcPr>
          <w:p w14:paraId="4612EF47" w14:textId="3D2E55A1"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EV4s</w:t>
            </w:r>
            <w:r>
              <w:rPr>
                <w:rFonts w:ascii="Calibri" w:hAnsi="Calibri" w:cs="Arial"/>
                <w:color w:val="000000"/>
                <w:sz w:val="22"/>
              </w:rPr>
              <w:t>g</w:t>
            </w:r>
          </w:p>
        </w:tc>
        <w:tc>
          <w:tcPr>
            <w:tcW w:w="2325" w:type="dxa"/>
          </w:tcPr>
          <w:p w14:paraId="5F7243AB" w14:textId="095898DC"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Kirkby Grives</w:t>
            </w:r>
          </w:p>
        </w:tc>
        <w:tc>
          <w:tcPr>
            <w:tcW w:w="4822" w:type="dxa"/>
            <w:noWrap/>
          </w:tcPr>
          <w:p w14:paraId="3D9ADEE6" w14:textId="26ECD4CA" w:rsidR="006B75FA" w:rsidRPr="00C602FD" w:rsidRDefault="006B75FA" w:rsidP="006B75FA">
            <w:pPr>
              <w:keepNext w:val="0"/>
              <w:spacing w:before="0"/>
              <w:jc w:val="left"/>
              <w:rPr>
                <w:rFonts w:ascii="Calibri" w:hAnsi="Calibri" w:cs="Arial"/>
                <w:color w:val="000000"/>
                <w:sz w:val="22"/>
              </w:rPr>
            </w:pPr>
            <w:r w:rsidRPr="00C602FD">
              <w:rPr>
                <w:rFonts w:ascii="Calibri" w:hAnsi="Calibri" w:cs="Arial"/>
                <w:color w:val="000000"/>
                <w:sz w:val="22"/>
              </w:rPr>
              <w:t>Very fine examples of calcareous and more neutral grassland, with scrub and floristically species-rich communities.</w:t>
            </w:r>
          </w:p>
        </w:tc>
        <w:tc>
          <w:tcPr>
            <w:tcW w:w="1557" w:type="dxa"/>
            <w:tcBorders>
              <w:top w:val="single" w:sz="4" w:space="0" w:color="auto"/>
              <w:left w:val="nil"/>
              <w:bottom w:val="single" w:sz="4" w:space="0" w:color="auto"/>
              <w:right w:val="single" w:sz="4" w:space="0" w:color="auto"/>
            </w:tcBorders>
          </w:tcPr>
          <w:p w14:paraId="7965E6FB" w14:textId="2EAC21EC" w:rsidR="006B75FA" w:rsidRPr="00C602FD" w:rsidRDefault="006B75FA" w:rsidP="00E16AB7">
            <w:pPr>
              <w:keepNext w:val="0"/>
              <w:spacing w:before="0"/>
              <w:jc w:val="left"/>
              <w:rPr>
                <w:rFonts w:ascii="Calibri" w:hAnsi="Calibri" w:cs="Arial"/>
                <w:color w:val="000000"/>
                <w:sz w:val="22"/>
              </w:rPr>
            </w:pPr>
            <w:r>
              <w:rPr>
                <w:rFonts w:ascii="Calibri" w:hAnsi="Calibri" w:cs="Calibri"/>
                <w:color w:val="000000"/>
                <w:sz w:val="22"/>
              </w:rPr>
              <w:t>Kirkby Cross &amp; Portland</w:t>
            </w:r>
          </w:p>
        </w:tc>
      </w:tr>
      <w:tr w:rsidR="006B75FA" w:rsidRPr="00C602FD" w14:paraId="1F23B6A7" w14:textId="77777777" w:rsidTr="000663FF">
        <w:trPr>
          <w:trHeight w:val="255"/>
        </w:trPr>
        <w:tc>
          <w:tcPr>
            <w:tcW w:w="992" w:type="dxa"/>
          </w:tcPr>
          <w:p w14:paraId="25A7C632" w14:textId="1E589098" w:rsidR="006B75FA" w:rsidRPr="00C602FD" w:rsidRDefault="006B75FA" w:rsidP="006B75FA">
            <w:pPr>
              <w:keepNext w:val="0"/>
              <w:spacing w:before="0"/>
              <w:rPr>
                <w:rFonts w:ascii="Calibri" w:hAnsi="Calibri" w:cs="Arial"/>
                <w:color w:val="000000"/>
                <w:sz w:val="22"/>
              </w:rPr>
            </w:pPr>
            <w:bookmarkStart w:id="340" w:name="_Hlk83027064"/>
            <w:r w:rsidRPr="00C602FD">
              <w:rPr>
                <w:rFonts w:ascii="Calibri" w:hAnsi="Calibri" w:cs="Arial"/>
                <w:color w:val="000000"/>
                <w:sz w:val="22"/>
              </w:rPr>
              <w:t>EV4s</w:t>
            </w:r>
            <w:r>
              <w:rPr>
                <w:rFonts w:ascii="Calibri" w:hAnsi="Calibri" w:cs="Arial"/>
                <w:color w:val="000000"/>
                <w:sz w:val="22"/>
              </w:rPr>
              <w:t>h</w:t>
            </w:r>
          </w:p>
        </w:tc>
        <w:tc>
          <w:tcPr>
            <w:tcW w:w="2325" w:type="dxa"/>
          </w:tcPr>
          <w:p w14:paraId="306B3C0A" w14:textId="77777777"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Teversal Pastures</w:t>
            </w:r>
          </w:p>
        </w:tc>
        <w:tc>
          <w:tcPr>
            <w:tcW w:w="4822" w:type="dxa"/>
            <w:noWrap/>
          </w:tcPr>
          <w:p w14:paraId="1CEB173D" w14:textId="77777777" w:rsidR="006B75FA" w:rsidRPr="00C602FD" w:rsidRDefault="006B75FA" w:rsidP="006B75FA">
            <w:pPr>
              <w:keepNext w:val="0"/>
              <w:spacing w:before="0"/>
              <w:jc w:val="left"/>
              <w:rPr>
                <w:rFonts w:ascii="Calibri" w:hAnsi="Calibri" w:cs="Arial"/>
                <w:color w:val="000000"/>
                <w:sz w:val="22"/>
              </w:rPr>
            </w:pPr>
            <w:r w:rsidRPr="00C602FD">
              <w:rPr>
                <w:rFonts w:ascii="Calibri" w:hAnsi="Calibri" w:cs="Arial"/>
                <w:color w:val="000000"/>
                <w:sz w:val="22"/>
              </w:rPr>
              <w:t>Excellent neutral grasslands with marsh and wet woodland - of botanical and zoological interest.</w:t>
            </w:r>
          </w:p>
        </w:tc>
        <w:tc>
          <w:tcPr>
            <w:tcW w:w="1557" w:type="dxa"/>
            <w:tcBorders>
              <w:top w:val="single" w:sz="4" w:space="0" w:color="auto"/>
              <w:left w:val="nil"/>
              <w:bottom w:val="single" w:sz="4" w:space="0" w:color="auto"/>
              <w:right w:val="single" w:sz="4" w:space="0" w:color="auto"/>
            </w:tcBorders>
          </w:tcPr>
          <w:p w14:paraId="01E73D34" w14:textId="36944B3B" w:rsidR="006B75FA" w:rsidRPr="00C602FD" w:rsidRDefault="006B75FA" w:rsidP="00E16AB7">
            <w:pPr>
              <w:keepNext w:val="0"/>
              <w:spacing w:before="0"/>
              <w:jc w:val="left"/>
              <w:rPr>
                <w:rFonts w:ascii="Calibri" w:hAnsi="Calibri" w:cs="Arial"/>
                <w:color w:val="000000"/>
                <w:sz w:val="22"/>
              </w:rPr>
            </w:pPr>
            <w:r>
              <w:rPr>
                <w:rFonts w:ascii="Calibri" w:hAnsi="Calibri" w:cs="Calibri"/>
                <w:color w:val="000000"/>
                <w:sz w:val="22"/>
              </w:rPr>
              <w:t>Skegby</w:t>
            </w:r>
          </w:p>
        </w:tc>
      </w:tr>
      <w:tr w:rsidR="006B75FA" w:rsidRPr="00C602FD" w14:paraId="0043AB95" w14:textId="77777777" w:rsidTr="000663FF">
        <w:trPr>
          <w:trHeight w:val="255"/>
        </w:trPr>
        <w:tc>
          <w:tcPr>
            <w:tcW w:w="992" w:type="dxa"/>
          </w:tcPr>
          <w:p w14:paraId="118C2638" w14:textId="63EE1E94"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EV4s</w:t>
            </w:r>
            <w:r>
              <w:rPr>
                <w:rFonts w:ascii="Calibri" w:hAnsi="Calibri" w:cs="Arial"/>
                <w:color w:val="000000"/>
                <w:sz w:val="22"/>
              </w:rPr>
              <w:t>i</w:t>
            </w:r>
          </w:p>
        </w:tc>
        <w:tc>
          <w:tcPr>
            <w:tcW w:w="2325" w:type="dxa"/>
          </w:tcPr>
          <w:p w14:paraId="48A2F2B5" w14:textId="77777777" w:rsidR="006B75FA" w:rsidRPr="00C602FD" w:rsidRDefault="006B75FA" w:rsidP="006B75FA">
            <w:pPr>
              <w:keepNext w:val="0"/>
              <w:spacing w:before="0"/>
              <w:rPr>
                <w:rFonts w:ascii="Calibri" w:hAnsi="Calibri" w:cs="Arial"/>
                <w:color w:val="000000"/>
                <w:sz w:val="22"/>
              </w:rPr>
            </w:pPr>
            <w:r w:rsidRPr="00C602FD">
              <w:rPr>
                <w:rFonts w:ascii="Calibri" w:hAnsi="Calibri" w:cs="Arial"/>
                <w:color w:val="000000"/>
                <w:sz w:val="22"/>
              </w:rPr>
              <w:t>Teversal-</w:t>
            </w:r>
            <w:proofErr w:type="spellStart"/>
            <w:r w:rsidRPr="00C602FD">
              <w:rPr>
                <w:rFonts w:ascii="Calibri" w:hAnsi="Calibri" w:cs="Arial"/>
                <w:color w:val="000000"/>
                <w:sz w:val="22"/>
              </w:rPr>
              <w:t>Pleasley</w:t>
            </w:r>
            <w:proofErr w:type="spellEnd"/>
            <w:r w:rsidRPr="00C602FD">
              <w:rPr>
                <w:rFonts w:ascii="Calibri" w:hAnsi="Calibri" w:cs="Arial"/>
                <w:color w:val="000000"/>
                <w:sz w:val="22"/>
              </w:rPr>
              <w:t xml:space="preserve"> Railway</w:t>
            </w:r>
          </w:p>
        </w:tc>
        <w:tc>
          <w:tcPr>
            <w:tcW w:w="4822" w:type="dxa"/>
            <w:noWrap/>
          </w:tcPr>
          <w:p w14:paraId="2E45E4B8" w14:textId="77777777" w:rsidR="006B75FA" w:rsidRPr="00C602FD" w:rsidRDefault="006B75FA" w:rsidP="006B75FA">
            <w:pPr>
              <w:keepNext w:val="0"/>
              <w:spacing w:before="0"/>
              <w:jc w:val="left"/>
              <w:rPr>
                <w:rFonts w:ascii="Calibri" w:hAnsi="Calibri" w:cs="Arial"/>
                <w:color w:val="000000"/>
                <w:sz w:val="22"/>
              </w:rPr>
            </w:pPr>
            <w:r w:rsidRPr="00C602FD">
              <w:rPr>
                <w:rFonts w:ascii="Calibri" w:hAnsi="Calibri" w:cs="Arial"/>
                <w:color w:val="000000"/>
                <w:sz w:val="22"/>
              </w:rPr>
              <w:t>A range of habitats, with especially valuable calcareous grassland, along a length of railway.</w:t>
            </w:r>
          </w:p>
        </w:tc>
        <w:tc>
          <w:tcPr>
            <w:tcW w:w="1557" w:type="dxa"/>
            <w:tcBorders>
              <w:top w:val="single" w:sz="4" w:space="0" w:color="auto"/>
              <w:left w:val="nil"/>
              <w:bottom w:val="single" w:sz="4" w:space="0" w:color="auto"/>
              <w:right w:val="single" w:sz="4" w:space="0" w:color="auto"/>
            </w:tcBorders>
          </w:tcPr>
          <w:p w14:paraId="4A642DF3" w14:textId="71E4C370" w:rsidR="006B75FA" w:rsidRPr="00C602FD" w:rsidRDefault="006B75FA" w:rsidP="00E16AB7">
            <w:pPr>
              <w:keepNext w:val="0"/>
              <w:spacing w:before="0"/>
              <w:jc w:val="left"/>
              <w:rPr>
                <w:rFonts w:ascii="Calibri" w:hAnsi="Calibri" w:cs="Arial"/>
                <w:color w:val="000000"/>
                <w:sz w:val="22"/>
              </w:rPr>
            </w:pPr>
            <w:r>
              <w:rPr>
                <w:rFonts w:ascii="Calibri" w:hAnsi="Calibri" w:cs="Calibri"/>
                <w:color w:val="000000"/>
                <w:sz w:val="22"/>
              </w:rPr>
              <w:t>Stanton Hill &amp; Teversal</w:t>
            </w:r>
          </w:p>
        </w:tc>
      </w:tr>
      <w:bookmarkEnd w:id="340"/>
    </w:tbl>
    <w:p w14:paraId="0CEA7F58" w14:textId="5A483D05" w:rsidR="00C602FD" w:rsidRDefault="00C602FD" w:rsidP="00C602FD">
      <w:pPr>
        <w:keepNext w:val="0"/>
        <w:autoSpaceDE w:val="0"/>
        <w:autoSpaceDN w:val="0"/>
        <w:adjustRightInd w:val="0"/>
        <w:spacing w:before="0"/>
        <w:rPr>
          <w:rFonts w:cs="Arial"/>
          <w:b/>
          <w:bCs/>
          <w:sz w:val="28"/>
          <w:szCs w:val="28"/>
        </w:rPr>
      </w:pPr>
    </w:p>
    <w:p w14:paraId="2059C43B" w14:textId="22BD66E2" w:rsidR="00B5314A" w:rsidRPr="000663FF" w:rsidRDefault="00B5314A" w:rsidP="00C602FD">
      <w:pPr>
        <w:keepNext w:val="0"/>
        <w:autoSpaceDE w:val="0"/>
        <w:autoSpaceDN w:val="0"/>
        <w:adjustRightInd w:val="0"/>
        <w:spacing w:before="0"/>
        <w:rPr>
          <w:rFonts w:cs="Arial"/>
          <w:b/>
          <w:bCs/>
          <w:color w:val="auto"/>
          <w:szCs w:val="24"/>
        </w:rPr>
      </w:pPr>
      <w:r w:rsidRPr="000663FF">
        <w:rPr>
          <w:rFonts w:cs="Arial"/>
          <w:b/>
          <w:bCs/>
          <w:color w:val="auto"/>
          <w:szCs w:val="24"/>
        </w:rPr>
        <w:t>Local Nature Reserve (LNR)</w:t>
      </w:r>
    </w:p>
    <w:p w14:paraId="5720A135" w14:textId="19D547A5" w:rsidR="003C5064" w:rsidRPr="000663FF" w:rsidRDefault="003C5064" w:rsidP="00C602FD">
      <w:pPr>
        <w:keepNext w:val="0"/>
        <w:autoSpaceDE w:val="0"/>
        <w:autoSpaceDN w:val="0"/>
        <w:adjustRightInd w:val="0"/>
        <w:spacing w:before="0"/>
        <w:rPr>
          <w:rFonts w:cs="Arial"/>
          <w:b/>
          <w:bCs/>
          <w:color w:val="auto"/>
          <w:szCs w:val="24"/>
        </w:rPr>
      </w:pPr>
    </w:p>
    <w:tbl>
      <w:tblPr>
        <w:tblW w:w="9776" w:type="dxa"/>
        <w:tblLook w:val="04A0" w:firstRow="1" w:lastRow="0" w:firstColumn="1" w:lastColumn="0" w:noHBand="0" w:noVBand="1"/>
      </w:tblPr>
      <w:tblGrid>
        <w:gridCol w:w="1009"/>
        <w:gridCol w:w="2388"/>
        <w:gridCol w:w="4678"/>
        <w:gridCol w:w="1701"/>
      </w:tblGrid>
      <w:tr w:rsidR="000663FF" w:rsidRPr="000663FF" w14:paraId="7A77F23A" w14:textId="77777777" w:rsidTr="00A44712">
        <w:trPr>
          <w:trHeight w:val="580"/>
        </w:trPr>
        <w:tc>
          <w:tcPr>
            <w:tcW w:w="1009" w:type="dxa"/>
            <w:tcBorders>
              <w:top w:val="single" w:sz="4" w:space="0" w:color="auto"/>
              <w:left w:val="single" w:sz="4" w:space="0" w:color="auto"/>
              <w:bottom w:val="single" w:sz="4" w:space="0" w:color="auto"/>
              <w:right w:val="single" w:sz="4" w:space="0" w:color="auto"/>
            </w:tcBorders>
            <w:vAlign w:val="bottom"/>
          </w:tcPr>
          <w:p w14:paraId="2EE476C8" w14:textId="77777777" w:rsidR="003C5064" w:rsidRPr="000663FF" w:rsidRDefault="003C5064" w:rsidP="00A44712">
            <w:pPr>
              <w:keepNext w:val="0"/>
              <w:spacing w:before="0"/>
              <w:rPr>
                <w:rFonts w:ascii="Calibri" w:hAnsi="Calibri" w:cs="Calibri"/>
                <w:b/>
                <w:bCs/>
                <w:color w:val="auto"/>
                <w:szCs w:val="24"/>
              </w:rPr>
            </w:pPr>
            <w:r w:rsidRPr="000663FF">
              <w:rPr>
                <w:rFonts w:ascii="Calibri" w:hAnsi="Calibri" w:cs="Calibri"/>
                <w:b/>
                <w:bCs/>
                <w:color w:val="auto"/>
                <w:szCs w:val="24"/>
              </w:rPr>
              <w:t>Plan Ref.</w:t>
            </w:r>
          </w:p>
        </w:tc>
        <w:tc>
          <w:tcPr>
            <w:tcW w:w="2388" w:type="dxa"/>
            <w:tcBorders>
              <w:top w:val="single" w:sz="4" w:space="0" w:color="auto"/>
              <w:left w:val="nil"/>
              <w:bottom w:val="single" w:sz="4" w:space="0" w:color="auto"/>
              <w:right w:val="single" w:sz="4" w:space="0" w:color="auto"/>
            </w:tcBorders>
            <w:vAlign w:val="bottom"/>
          </w:tcPr>
          <w:p w14:paraId="0DADAF13" w14:textId="77777777" w:rsidR="003C5064" w:rsidRPr="000663FF" w:rsidRDefault="003C5064" w:rsidP="00A44712">
            <w:pPr>
              <w:keepNext w:val="0"/>
              <w:spacing w:before="0"/>
              <w:rPr>
                <w:rFonts w:ascii="Calibri" w:hAnsi="Calibri" w:cs="Calibri"/>
                <w:b/>
                <w:bCs/>
                <w:color w:val="auto"/>
                <w:szCs w:val="24"/>
              </w:rPr>
            </w:pPr>
            <w:r w:rsidRPr="000663FF">
              <w:rPr>
                <w:rFonts w:ascii="Calibri" w:hAnsi="Calibri" w:cs="Calibri"/>
                <w:b/>
                <w:bCs/>
                <w:color w:val="auto"/>
                <w:szCs w:val="24"/>
              </w:rPr>
              <w:t>Site Name</w:t>
            </w:r>
          </w:p>
        </w:tc>
        <w:tc>
          <w:tcPr>
            <w:tcW w:w="4678" w:type="dxa"/>
            <w:tcBorders>
              <w:top w:val="single" w:sz="4" w:space="0" w:color="auto"/>
              <w:left w:val="nil"/>
              <w:bottom w:val="single" w:sz="4" w:space="0" w:color="auto"/>
              <w:right w:val="single" w:sz="4" w:space="0" w:color="auto"/>
            </w:tcBorders>
            <w:vAlign w:val="bottom"/>
          </w:tcPr>
          <w:p w14:paraId="5B222C44" w14:textId="77777777" w:rsidR="003C5064" w:rsidRPr="000663FF" w:rsidRDefault="003C5064" w:rsidP="00A44712">
            <w:pPr>
              <w:keepNext w:val="0"/>
              <w:spacing w:before="0"/>
              <w:rPr>
                <w:rFonts w:ascii="Calibri" w:hAnsi="Calibri" w:cs="Calibri"/>
                <w:b/>
                <w:bCs/>
                <w:color w:val="auto"/>
                <w:szCs w:val="24"/>
              </w:rPr>
            </w:pPr>
            <w:r w:rsidRPr="000663FF">
              <w:rPr>
                <w:rFonts w:ascii="Calibri" w:hAnsi="Calibri" w:cs="Calibri"/>
                <w:b/>
                <w:bCs/>
                <w:color w:val="auto"/>
                <w:szCs w:val="24"/>
              </w:rPr>
              <w:t>Description</w:t>
            </w:r>
          </w:p>
        </w:tc>
        <w:tc>
          <w:tcPr>
            <w:tcW w:w="1701" w:type="dxa"/>
            <w:tcBorders>
              <w:top w:val="single" w:sz="4" w:space="0" w:color="auto"/>
              <w:left w:val="nil"/>
              <w:bottom w:val="single" w:sz="4" w:space="0" w:color="auto"/>
              <w:right w:val="single" w:sz="4" w:space="0" w:color="auto"/>
            </w:tcBorders>
            <w:vAlign w:val="bottom"/>
          </w:tcPr>
          <w:p w14:paraId="490907AA" w14:textId="77777777" w:rsidR="003C5064" w:rsidRPr="000663FF" w:rsidRDefault="003C5064" w:rsidP="00A44712">
            <w:pPr>
              <w:keepNext w:val="0"/>
              <w:spacing w:before="0"/>
              <w:rPr>
                <w:rFonts w:ascii="Calibri" w:hAnsi="Calibri" w:cs="Calibri"/>
                <w:b/>
                <w:bCs/>
                <w:color w:val="auto"/>
                <w:szCs w:val="24"/>
              </w:rPr>
            </w:pPr>
            <w:r w:rsidRPr="000663FF">
              <w:rPr>
                <w:rFonts w:ascii="Calibri" w:hAnsi="Calibri" w:cs="Calibri"/>
                <w:b/>
                <w:bCs/>
                <w:color w:val="auto"/>
                <w:szCs w:val="24"/>
              </w:rPr>
              <w:t>Ward</w:t>
            </w:r>
          </w:p>
        </w:tc>
      </w:tr>
      <w:tr w:rsidR="000663FF" w:rsidRPr="000663FF" w14:paraId="0373DE24"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tcPr>
          <w:p w14:paraId="6694835E" w14:textId="18CC38B9" w:rsidR="003C5064" w:rsidRPr="000663FF" w:rsidRDefault="00EA55F8" w:rsidP="00A44712">
            <w:pPr>
              <w:keepNext w:val="0"/>
              <w:spacing w:before="0"/>
              <w:rPr>
                <w:rFonts w:ascii="Calibri" w:hAnsi="Calibri" w:cs="Calibri"/>
                <w:color w:val="auto"/>
                <w:sz w:val="22"/>
                <w:szCs w:val="22"/>
              </w:rPr>
            </w:pPr>
            <w:bookmarkStart w:id="341" w:name="_Hlk121824932"/>
            <w:r w:rsidRPr="000663FF">
              <w:rPr>
                <w:rFonts w:ascii="Calibri" w:hAnsi="Calibri" w:cs="Calibri"/>
                <w:color w:val="auto"/>
                <w:sz w:val="22"/>
                <w:szCs w:val="22"/>
              </w:rPr>
              <w:t>EV4na</w:t>
            </w:r>
          </w:p>
        </w:tc>
        <w:tc>
          <w:tcPr>
            <w:tcW w:w="2388" w:type="dxa"/>
            <w:tcBorders>
              <w:top w:val="single" w:sz="4" w:space="0" w:color="auto"/>
              <w:left w:val="nil"/>
              <w:bottom w:val="single" w:sz="4" w:space="0" w:color="auto"/>
              <w:right w:val="single" w:sz="4" w:space="0" w:color="auto"/>
            </w:tcBorders>
          </w:tcPr>
          <w:p w14:paraId="6A80A75B" w14:textId="633E7D9B" w:rsidR="003C5064" w:rsidRPr="000663FF" w:rsidRDefault="00272D79" w:rsidP="00A44712">
            <w:pPr>
              <w:keepNext w:val="0"/>
              <w:spacing w:before="0"/>
              <w:rPr>
                <w:rFonts w:ascii="Calibri" w:hAnsi="Calibri" w:cs="Calibri"/>
                <w:color w:val="auto"/>
                <w:sz w:val="22"/>
                <w:szCs w:val="22"/>
              </w:rPr>
            </w:pPr>
            <w:r w:rsidRPr="000663FF">
              <w:rPr>
                <w:rFonts w:ascii="Calibri" w:hAnsi="Calibri" w:cs="Calibri"/>
                <w:color w:val="auto"/>
                <w:sz w:val="22"/>
                <w:szCs w:val="22"/>
              </w:rPr>
              <w:t>Brierley Forest Park</w:t>
            </w:r>
          </w:p>
        </w:tc>
        <w:tc>
          <w:tcPr>
            <w:tcW w:w="4678" w:type="dxa"/>
            <w:tcBorders>
              <w:top w:val="single" w:sz="4" w:space="0" w:color="auto"/>
              <w:left w:val="nil"/>
              <w:bottom w:val="single" w:sz="4" w:space="0" w:color="auto"/>
              <w:right w:val="single" w:sz="4" w:space="0" w:color="auto"/>
            </w:tcBorders>
            <w:vAlign w:val="bottom"/>
          </w:tcPr>
          <w:p w14:paraId="64A131B6" w14:textId="2CFA2865" w:rsidR="003C5064" w:rsidRPr="000663FF" w:rsidRDefault="00FC267B" w:rsidP="00A44712">
            <w:pPr>
              <w:keepNext w:val="0"/>
              <w:spacing w:before="0"/>
              <w:rPr>
                <w:rFonts w:asciiTheme="minorHAnsi" w:hAnsiTheme="minorHAnsi" w:cstheme="minorHAnsi"/>
                <w:color w:val="auto"/>
                <w:sz w:val="22"/>
                <w:szCs w:val="22"/>
              </w:rPr>
            </w:pPr>
            <w:r w:rsidRPr="000663FF">
              <w:rPr>
                <w:rFonts w:asciiTheme="minorHAnsi" w:hAnsiTheme="minorHAnsi" w:cstheme="minorHAnsi"/>
                <w:color w:val="auto"/>
                <w:sz w:val="22"/>
                <w:szCs w:val="22"/>
                <w:shd w:val="clear" w:color="auto" w:fill="FFFFFF"/>
              </w:rPr>
              <w:t>A series of plantation woodlands, hay meadows, water bodies, streams and wetland areas.</w:t>
            </w:r>
          </w:p>
        </w:tc>
        <w:tc>
          <w:tcPr>
            <w:tcW w:w="1701" w:type="dxa"/>
            <w:tcBorders>
              <w:top w:val="single" w:sz="4" w:space="0" w:color="auto"/>
              <w:left w:val="nil"/>
              <w:bottom w:val="single" w:sz="4" w:space="0" w:color="auto"/>
              <w:right w:val="single" w:sz="4" w:space="0" w:color="auto"/>
            </w:tcBorders>
          </w:tcPr>
          <w:p w14:paraId="16FD034A" w14:textId="4C1F33B5" w:rsidR="003C5064" w:rsidRPr="000663FF" w:rsidRDefault="00715CE5" w:rsidP="00A44712">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087E0148" w14:textId="77777777" w:rsidTr="000663FF">
        <w:trPr>
          <w:trHeight w:val="580"/>
        </w:trPr>
        <w:tc>
          <w:tcPr>
            <w:tcW w:w="1009" w:type="dxa"/>
            <w:tcBorders>
              <w:top w:val="nil"/>
              <w:left w:val="single" w:sz="4" w:space="0" w:color="auto"/>
              <w:bottom w:val="single" w:sz="4" w:space="0" w:color="auto"/>
              <w:right w:val="single" w:sz="4" w:space="0" w:color="auto"/>
            </w:tcBorders>
          </w:tcPr>
          <w:p w14:paraId="0F1DBDA8" w14:textId="21E68FA3"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EV4nb</w:t>
            </w:r>
          </w:p>
        </w:tc>
        <w:tc>
          <w:tcPr>
            <w:tcW w:w="2388" w:type="dxa"/>
            <w:tcBorders>
              <w:top w:val="nil"/>
              <w:left w:val="nil"/>
              <w:bottom w:val="single" w:sz="4" w:space="0" w:color="auto"/>
              <w:right w:val="single" w:sz="4" w:space="0" w:color="auto"/>
            </w:tcBorders>
          </w:tcPr>
          <w:p w14:paraId="0301A0D0" w14:textId="6A55D340"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Kings Mill Reservoir</w:t>
            </w:r>
          </w:p>
        </w:tc>
        <w:tc>
          <w:tcPr>
            <w:tcW w:w="4678" w:type="dxa"/>
            <w:tcBorders>
              <w:top w:val="nil"/>
              <w:left w:val="nil"/>
              <w:bottom w:val="single" w:sz="4" w:space="0" w:color="auto"/>
              <w:right w:val="single" w:sz="4" w:space="0" w:color="auto"/>
            </w:tcBorders>
            <w:vAlign w:val="bottom"/>
          </w:tcPr>
          <w:p w14:paraId="708309AD" w14:textId="73D960BF" w:rsidR="00715CE5" w:rsidRPr="000663FF" w:rsidRDefault="00FC267B" w:rsidP="00715CE5">
            <w:pPr>
              <w:keepNext w:val="0"/>
              <w:spacing w:before="0"/>
              <w:rPr>
                <w:rFonts w:asciiTheme="minorHAnsi" w:hAnsiTheme="minorHAnsi" w:cstheme="minorHAnsi"/>
                <w:color w:val="auto"/>
                <w:sz w:val="22"/>
                <w:szCs w:val="22"/>
              </w:rPr>
            </w:pPr>
            <w:r w:rsidRPr="000663FF">
              <w:rPr>
                <w:rFonts w:asciiTheme="minorHAnsi" w:hAnsiTheme="minorHAnsi" w:cstheme="minorHAnsi"/>
                <w:color w:val="auto"/>
                <w:sz w:val="22"/>
                <w:szCs w:val="22"/>
              </w:rPr>
              <w:t>A large reservoir and area of natural beauty on the Sutton-in-Ashfield and Mansfield border. It provides a habitat for a wide range of wildlife.</w:t>
            </w:r>
          </w:p>
        </w:tc>
        <w:tc>
          <w:tcPr>
            <w:tcW w:w="1701" w:type="dxa"/>
            <w:tcBorders>
              <w:top w:val="nil"/>
              <w:left w:val="nil"/>
              <w:bottom w:val="single" w:sz="4" w:space="0" w:color="auto"/>
              <w:right w:val="single" w:sz="4" w:space="0" w:color="auto"/>
            </w:tcBorders>
          </w:tcPr>
          <w:p w14:paraId="6E1721F1" w14:textId="60391886"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0663FF" w:rsidRPr="000663FF" w14:paraId="64BE70DC"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tcPr>
          <w:p w14:paraId="6503DBD4" w14:textId="3218CFC6"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EV4nc</w:t>
            </w:r>
          </w:p>
        </w:tc>
        <w:tc>
          <w:tcPr>
            <w:tcW w:w="2388" w:type="dxa"/>
            <w:tcBorders>
              <w:top w:val="single" w:sz="4" w:space="0" w:color="auto"/>
              <w:left w:val="nil"/>
              <w:bottom w:val="single" w:sz="4" w:space="0" w:color="auto"/>
              <w:right w:val="single" w:sz="4" w:space="0" w:color="auto"/>
            </w:tcBorders>
          </w:tcPr>
          <w:p w14:paraId="60154874" w14:textId="26B7BC13"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Portland Park</w:t>
            </w:r>
          </w:p>
        </w:tc>
        <w:tc>
          <w:tcPr>
            <w:tcW w:w="4678" w:type="dxa"/>
            <w:tcBorders>
              <w:top w:val="single" w:sz="4" w:space="0" w:color="auto"/>
              <w:left w:val="nil"/>
              <w:bottom w:val="single" w:sz="4" w:space="0" w:color="auto"/>
              <w:right w:val="single" w:sz="4" w:space="0" w:color="auto"/>
            </w:tcBorders>
            <w:vAlign w:val="bottom"/>
          </w:tcPr>
          <w:p w14:paraId="2B896E52" w14:textId="6AFAEB05" w:rsidR="00715CE5" w:rsidRPr="000663FF" w:rsidRDefault="00FC267B" w:rsidP="00715CE5">
            <w:pPr>
              <w:keepNext w:val="0"/>
              <w:spacing w:before="0"/>
              <w:rPr>
                <w:rFonts w:ascii="Calibri" w:hAnsi="Calibri" w:cs="Calibri"/>
                <w:color w:val="auto"/>
                <w:sz w:val="22"/>
                <w:szCs w:val="22"/>
              </w:rPr>
            </w:pPr>
            <w:r w:rsidRPr="000663FF">
              <w:rPr>
                <w:rFonts w:ascii="Calibri" w:hAnsi="Calibri" w:cs="Calibri"/>
                <w:color w:val="auto"/>
                <w:sz w:val="22"/>
                <w:szCs w:val="22"/>
              </w:rPr>
              <w:t>Located on a band of magnesium limestone</w:t>
            </w:r>
            <w:r w:rsidR="00E14543" w:rsidRPr="000663FF">
              <w:rPr>
                <w:rFonts w:ascii="Calibri" w:hAnsi="Calibri" w:cs="Calibri"/>
                <w:color w:val="auto"/>
                <w:sz w:val="22"/>
                <w:szCs w:val="22"/>
              </w:rPr>
              <w:t xml:space="preserve">, providing woodland with several areas of species rich grassland and </w:t>
            </w:r>
            <w:proofErr w:type="gramStart"/>
            <w:r w:rsidR="00E14543" w:rsidRPr="000663FF">
              <w:rPr>
                <w:rFonts w:ascii="Calibri" w:hAnsi="Calibri" w:cs="Calibri"/>
                <w:color w:val="auto"/>
                <w:sz w:val="22"/>
                <w:szCs w:val="22"/>
              </w:rPr>
              <w:t>a number of</w:t>
            </w:r>
            <w:proofErr w:type="gramEnd"/>
            <w:r w:rsidR="00E14543" w:rsidRPr="000663FF">
              <w:rPr>
                <w:rFonts w:ascii="Calibri" w:hAnsi="Calibri" w:cs="Calibri"/>
                <w:color w:val="auto"/>
                <w:sz w:val="22"/>
                <w:szCs w:val="22"/>
              </w:rPr>
              <w:t xml:space="preserve"> wetland areas.</w:t>
            </w:r>
          </w:p>
        </w:tc>
        <w:tc>
          <w:tcPr>
            <w:tcW w:w="1701" w:type="dxa"/>
            <w:tcBorders>
              <w:top w:val="single" w:sz="4" w:space="0" w:color="auto"/>
              <w:left w:val="nil"/>
              <w:bottom w:val="single" w:sz="4" w:space="0" w:color="auto"/>
              <w:right w:val="single" w:sz="4" w:space="0" w:color="auto"/>
            </w:tcBorders>
          </w:tcPr>
          <w:p w14:paraId="525A1402" w14:textId="2CC406DC"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67497746"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tcPr>
          <w:p w14:paraId="78FC837B" w14:textId="6085B006"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EV4nd</w:t>
            </w:r>
          </w:p>
        </w:tc>
        <w:tc>
          <w:tcPr>
            <w:tcW w:w="2388" w:type="dxa"/>
            <w:tcBorders>
              <w:top w:val="single" w:sz="4" w:space="0" w:color="auto"/>
              <w:left w:val="nil"/>
              <w:bottom w:val="single" w:sz="4" w:space="0" w:color="auto"/>
              <w:right w:val="single" w:sz="4" w:space="0" w:color="auto"/>
            </w:tcBorders>
          </w:tcPr>
          <w:p w14:paraId="0A4D048A" w14:textId="40F5D458"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Teversal/</w:t>
            </w:r>
            <w:proofErr w:type="spellStart"/>
            <w:r w:rsidRPr="000663FF">
              <w:rPr>
                <w:rFonts w:ascii="Calibri" w:hAnsi="Calibri" w:cs="Calibri"/>
                <w:color w:val="auto"/>
                <w:sz w:val="22"/>
                <w:szCs w:val="22"/>
              </w:rPr>
              <w:t>Pleasley</w:t>
            </w:r>
            <w:proofErr w:type="spellEnd"/>
            <w:r w:rsidRPr="000663FF">
              <w:rPr>
                <w:rFonts w:ascii="Calibri" w:hAnsi="Calibri" w:cs="Calibri"/>
                <w:color w:val="auto"/>
                <w:sz w:val="22"/>
                <w:szCs w:val="22"/>
              </w:rPr>
              <w:t xml:space="preserve"> Network (east)</w:t>
            </w:r>
          </w:p>
        </w:tc>
        <w:tc>
          <w:tcPr>
            <w:tcW w:w="4678" w:type="dxa"/>
            <w:tcBorders>
              <w:top w:val="single" w:sz="4" w:space="0" w:color="auto"/>
              <w:left w:val="nil"/>
              <w:bottom w:val="single" w:sz="4" w:space="0" w:color="auto"/>
              <w:right w:val="single" w:sz="4" w:space="0" w:color="auto"/>
            </w:tcBorders>
            <w:vAlign w:val="bottom"/>
          </w:tcPr>
          <w:p w14:paraId="47B3E98A" w14:textId="31FE51A6" w:rsidR="00715CE5" w:rsidRPr="000663FF" w:rsidRDefault="00E14543" w:rsidP="00715CE5">
            <w:pPr>
              <w:keepNext w:val="0"/>
              <w:spacing w:before="0"/>
              <w:rPr>
                <w:rFonts w:asciiTheme="minorHAnsi" w:hAnsiTheme="minorHAnsi" w:cstheme="minorHAnsi"/>
                <w:color w:val="auto"/>
                <w:sz w:val="22"/>
                <w:szCs w:val="22"/>
              </w:rPr>
            </w:pPr>
            <w:r w:rsidRPr="000663FF">
              <w:rPr>
                <w:rFonts w:asciiTheme="minorHAnsi" w:hAnsiTheme="minorHAnsi" w:cstheme="minorHAnsi"/>
                <w:color w:val="auto"/>
                <w:sz w:val="22"/>
                <w:szCs w:val="22"/>
                <w:shd w:val="clear" w:color="auto" w:fill="FFFFFF"/>
              </w:rPr>
              <w:t>An area of mature Oak and Ash woodlands, wildflower meadows, limestone grassland terraces and pools and wetlands.</w:t>
            </w:r>
          </w:p>
        </w:tc>
        <w:tc>
          <w:tcPr>
            <w:tcW w:w="1701" w:type="dxa"/>
            <w:tcBorders>
              <w:top w:val="single" w:sz="4" w:space="0" w:color="auto"/>
              <w:left w:val="nil"/>
              <w:bottom w:val="single" w:sz="4" w:space="0" w:color="auto"/>
              <w:right w:val="single" w:sz="4" w:space="0" w:color="auto"/>
            </w:tcBorders>
          </w:tcPr>
          <w:p w14:paraId="5C1330F1" w14:textId="773F54D6" w:rsidR="00715CE5" w:rsidRPr="000663FF" w:rsidRDefault="00096475" w:rsidP="00715CE5">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4B209C09"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tcPr>
          <w:p w14:paraId="3AE2232F" w14:textId="2D834540"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EV4ne</w:t>
            </w:r>
          </w:p>
        </w:tc>
        <w:tc>
          <w:tcPr>
            <w:tcW w:w="2388" w:type="dxa"/>
            <w:tcBorders>
              <w:top w:val="single" w:sz="4" w:space="0" w:color="auto"/>
              <w:left w:val="nil"/>
              <w:bottom w:val="single" w:sz="4" w:space="0" w:color="auto"/>
              <w:right w:val="single" w:sz="4" w:space="0" w:color="auto"/>
            </w:tcBorders>
          </w:tcPr>
          <w:p w14:paraId="106C9DB7" w14:textId="4AB31EC8"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Teversal/</w:t>
            </w:r>
            <w:proofErr w:type="spellStart"/>
            <w:r w:rsidRPr="000663FF">
              <w:rPr>
                <w:rFonts w:ascii="Calibri" w:hAnsi="Calibri" w:cs="Calibri"/>
                <w:color w:val="auto"/>
                <w:sz w:val="22"/>
                <w:szCs w:val="22"/>
              </w:rPr>
              <w:t>Pleasley</w:t>
            </w:r>
            <w:proofErr w:type="spellEnd"/>
            <w:r w:rsidRPr="000663FF">
              <w:rPr>
                <w:rFonts w:ascii="Calibri" w:hAnsi="Calibri" w:cs="Calibri"/>
                <w:color w:val="auto"/>
                <w:sz w:val="22"/>
                <w:szCs w:val="22"/>
              </w:rPr>
              <w:t xml:space="preserve"> Network (west)</w:t>
            </w:r>
          </w:p>
        </w:tc>
        <w:tc>
          <w:tcPr>
            <w:tcW w:w="4678" w:type="dxa"/>
            <w:tcBorders>
              <w:top w:val="single" w:sz="4" w:space="0" w:color="auto"/>
              <w:left w:val="nil"/>
              <w:bottom w:val="single" w:sz="4" w:space="0" w:color="auto"/>
              <w:right w:val="single" w:sz="4" w:space="0" w:color="auto"/>
            </w:tcBorders>
            <w:vAlign w:val="bottom"/>
          </w:tcPr>
          <w:p w14:paraId="31EB2E94" w14:textId="2567B14E" w:rsidR="00715CE5" w:rsidRPr="000663FF" w:rsidRDefault="00E14543" w:rsidP="00715CE5">
            <w:pPr>
              <w:keepNext w:val="0"/>
              <w:spacing w:before="0"/>
              <w:rPr>
                <w:rFonts w:ascii="Calibri" w:hAnsi="Calibri" w:cs="Calibri"/>
                <w:color w:val="auto"/>
                <w:sz w:val="22"/>
                <w:szCs w:val="22"/>
              </w:rPr>
            </w:pPr>
            <w:r w:rsidRPr="000663FF">
              <w:rPr>
                <w:rFonts w:asciiTheme="minorHAnsi" w:hAnsiTheme="minorHAnsi" w:cstheme="minorHAnsi"/>
                <w:color w:val="auto"/>
                <w:sz w:val="22"/>
                <w:szCs w:val="22"/>
                <w:shd w:val="clear" w:color="auto" w:fill="FFFFFF"/>
              </w:rPr>
              <w:t>An area of mature Oak and Ash woodlands, wildflower meadows, limestone grassland terraces and pools and wetlands.</w:t>
            </w:r>
          </w:p>
        </w:tc>
        <w:tc>
          <w:tcPr>
            <w:tcW w:w="1701" w:type="dxa"/>
            <w:tcBorders>
              <w:top w:val="single" w:sz="4" w:space="0" w:color="auto"/>
              <w:left w:val="nil"/>
              <w:bottom w:val="single" w:sz="4" w:space="0" w:color="auto"/>
              <w:right w:val="single" w:sz="4" w:space="0" w:color="auto"/>
            </w:tcBorders>
          </w:tcPr>
          <w:p w14:paraId="2666A6FA" w14:textId="114452BE" w:rsidR="00715CE5" w:rsidRPr="000663FF" w:rsidRDefault="00096475" w:rsidP="00715CE5">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682F1F09"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tcPr>
          <w:p w14:paraId="7D14297B" w14:textId="0B776643"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EV4nf</w:t>
            </w:r>
          </w:p>
        </w:tc>
        <w:tc>
          <w:tcPr>
            <w:tcW w:w="2388" w:type="dxa"/>
            <w:tcBorders>
              <w:top w:val="single" w:sz="4" w:space="0" w:color="auto"/>
              <w:left w:val="nil"/>
              <w:bottom w:val="single" w:sz="4" w:space="0" w:color="auto"/>
              <w:right w:val="single" w:sz="4" w:space="0" w:color="auto"/>
            </w:tcBorders>
          </w:tcPr>
          <w:p w14:paraId="098849A0" w14:textId="22CD83F6" w:rsidR="00715CE5" w:rsidRPr="000663FF" w:rsidRDefault="00715CE5" w:rsidP="00715CE5">
            <w:pPr>
              <w:keepNext w:val="0"/>
              <w:spacing w:before="0"/>
              <w:rPr>
                <w:rFonts w:ascii="Calibri" w:hAnsi="Calibri" w:cs="Calibri"/>
                <w:color w:val="auto"/>
                <w:sz w:val="22"/>
                <w:szCs w:val="22"/>
              </w:rPr>
            </w:pPr>
            <w:r w:rsidRPr="000663FF">
              <w:rPr>
                <w:rFonts w:ascii="Calibri" w:hAnsi="Calibri" w:cs="Calibri"/>
                <w:color w:val="auto"/>
                <w:sz w:val="22"/>
                <w:szCs w:val="22"/>
              </w:rPr>
              <w:t>Bulwell Hall Park Meadows</w:t>
            </w:r>
          </w:p>
        </w:tc>
        <w:tc>
          <w:tcPr>
            <w:tcW w:w="4678" w:type="dxa"/>
            <w:tcBorders>
              <w:top w:val="single" w:sz="4" w:space="0" w:color="auto"/>
              <w:left w:val="nil"/>
              <w:bottom w:val="single" w:sz="4" w:space="0" w:color="auto"/>
              <w:right w:val="single" w:sz="4" w:space="0" w:color="auto"/>
            </w:tcBorders>
            <w:vAlign w:val="bottom"/>
          </w:tcPr>
          <w:p w14:paraId="4C7D2F01" w14:textId="0B75DB69" w:rsidR="00715CE5" w:rsidRPr="000663FF" w:rsidRDefault="00C9531F" w:rsidP="00715CE5">
            <w:pPr>
              <w:keepNext w:val="0"/>
              <w:spacing w:before="0"/>
              <w:rPr>
                <w:rFonts w:asciiTheme="minorHAnsi" w:hAnsiTheme="minorHAnsi" w:cstheme="minorHAnsi"/>
                <w:color w:val="auto"/>
                <w:sz w:val="22"/>
                <w:szCs w:val="22"/>
              </w:rPr>
            </w:pPr>
            <w:r w:rsidRPr="000663FF">
              <w:rPr>
                <w:rFonts w:asciiTheme="minorHAnsi" w:hAnsiTheme="minorHAnsi" w:cstheme="minorHAnsi"/>
                <w:color w:val="auto"/>
                <w:sz w:val="22"/>
                <w:szCs w:val="22"/>
                <w:shd w:val="clear" w:color="auto" w:fill="FFFFFF"/>
              </w:rPr>
              <w:t>A mix of wildflower meadows, ancient woodland, streams and lake.</w:t>
            </w:r>
          </w:p>
        </w:tc>
        <w:tc>
          <w:tcPr>
            <w:tcW w:w="1701" w:type="dxa"/>
            <w:tcBorders>
              <w:top w:val="single" w:sz="4" w:space="0" w:color="auto"/>
              <w:left w:val="nil"/>
              <w:bottom w:val="single" w:sz="4" w:space="0" w:color="auto"/>
              <w:right w:val="single" w:sz="4" w:space="0" w:color="auto"/>
            </w:tcBorders>
          </w:tcPr>
          <w:p w14:paraId="798115D2" w14:textId="19AE8565" w:rsidR="00715CE5" w:rsidRPr="000663FF" w:rsidRDefault="00096475" w:rsidP="00715CE5">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bookmarkEnd w:id="341"/>
    </w:tbl>
    <w:p w14:paraId="3D277FE4" w14:textId="77777777" w:rsidR="000663FF" w:rsidRDefault="000663FF" w:rsidP="00C602FD">
      <w:pPr>
        <w:keepNext w:val="0"/>
        <w:autoSpaceDE w:val="0"/>
        <w:autoSpaceDN w:val="0"/>
        <w:adjustRightInd w:val="0"/>
        <w:spacing w:before="0"/>
        <w:rPr>
          <w:rFonts w:cs="Arial"/>
          <w:b/>
          <w:bCs/>
          <w:color w:val="auto"/>
          <w:szCs w:val="24"/>
        </w:rPr>
      </w:pPr>
    </w:p>
    <w:p w14:paraId="6FA882DA" w14:textId="5CEAF78B" w:rsidR="003C5064" w:rsidRPr="000663FF" w:rsidRDefault="00614ECC" w:rsidP="00C602FD">
      <w:pPr>
        <w:keepNext w:val="0"/>
        <w:autoSpaceDE w:val="0"/>
        <w:autoSpaceDN w:val="0"/>
        <w:adjustRightInd w:val="0"/>
        <w:spacing w:before="0"/>
        <w:rPr>
          <w:rFonts w:cs="Arial"/>
          <w:b/>
          <w:bCs/>
          <w:color w:val="auto"/>
          <w:szCs w:val="24"/>
        </w:rPr>
      </w:pPr>
      <w:r w:rsidRPr="000663FF">
        <w:rPr>
          <w:rFonts w:cs="Arial"/>
          <w:b/>
          <w:bCs/>
          <w:color w:val="auto"/>
          <w:szCs w:val="24"/>
        </w:rPr>
        <w:t>Local Wildlife Sites (LWS) and Local Geological Sites (LGS)</w:t>
      </w:r>
    </w:p>
    <w:p w14:paraId="10231A7D" w14:textId="77777777" w:rsidR="00B5314A" w:rsidRPr="000663FF" w:rsidRDefault="00B5314A" w:rsidP="00C602FD">
      <w:pPr>
        <w:keepNext w:val="0"/>
        <w:autoSpaceDE w:val="0"/>
        <w:autoSpaceDN w:val="0"/>
        <w:adjustRightInd w:val="0"/>
        <w:spacing w:before="0"/>
        <w:rPr>
          <w:rFonts w:cs="Arial"/>
          <w:b/>
          <w:bCs/>
          <w:color w:val="auto"/>
          <w:sz w:val="28"/>
          <w:szCs w:val="28"/>
        </w:rPr>
      </w:pPr>
    </w:p>
    <w:tbl>
      <w:tblPr>
        <w:tblW w:w="9776" w:type="dxa"/>
        <w:tblLook w:val="04A0" w:firstRow="1" w:lastRow="0" w:firstColumn="1" w:lastColumn="0" w:noHBand="0" w:noVBand="1"/>
      </w:tblPr>
      <w:tblGrid>
        <w:gridCol w:w="1009"/>
        <w:gridCol w:w="2388"/>
        <w:gridCol w:w="4395"/>
        <w:gridCol w:w="1984"/>
      </w:tblGrid>
      <w:tr w:rsidR="000663FF" w:rsidRPr="000663FF" w14:paraId="273B9457"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vAlign w:val="bottom"/>
          </w:tcPr>
          <w:p w14:paraId="549A76D6" w14:textId="37D61CB7" w:rsidR="00FA2CC6" w:rsidRPr="000663FF" w:rsidRDefault="00FA2CC6" w:rsidP="00FA2CC6">
            <w:pPr>
              <w:keepNext w:val="0"/>
              <w:spacing w:before="0"/>
              <w:rPr>
                <w:rFonts w:ascii="Calibri" w:hAnsi="Calibri" w:cs="Calibri"/>
                <w:b/>
                <w:bCs/>
                <w:color w:val="auto"/>
                <w:szCs w:val="24"/>
              </w:rPr>
            </w:pPr>
            <w:bookmarkStart w:id="342" w:name="_Hlk121824351"/>
            <w:r w:rsidRPr="000663FF">
              <w:rPr>
                <w:rFonts w:ascii="Calibri" w:hAnsi="Calibri" w:cs="Calibri"/>
                <w:b/>
                <w:bCs/>
                <w:color w:val="auto"/>
                <w:szCs w:val="24"/>
              </w:rPr>
              <w:t>Plan Ref.</w:t>
            </w:r>
          </w:p>
        </w:tc>
        <w:tc>
          <w:tcPr>
            <w:tcW w:w="2388" w:type="dxa"/>
            <w:tcBorders>
              <w:top w:val="single" w:sz="4" w:space="0" w:color="auto"/>
              <w:left w:val="nil"/>
              <w:bottom w:val="single" w:sz="4" w:space="0" w:color="auto"/>
              <w:right w:val="single" w:sz="4" w:space="0" w:color="auto"/>
            </w:tcBorders>
            <w:vAlign w:val="bottom"/>
          </w:tcPr>
          <w:p w14:paraId="44CDCFCD" w14:textId="3544EDAF" w:rsidR="00FA2CC6" w:rsidRPr="000663FF" w:rsidRDefault="00FA2CC6" w:rsidP="00FA2CC6">
            <w:pPr>
              <w:keepNext w:val="0"/>
              <w:spacing w:before="0"/>
              <w:rPr>
                <w:rFonts w:ascii="Calibri" w:hAnsi="Calibri" w:cs="Calibri"/>
                <w:b/>
                <w:bCs/>
                <w:color w:val="auto"/>
                <w:szCs w:val="24"/>
              </w:rPr>
            </w:pPr>
            <w:r w:rsidRPr="000663FF">
              <w:rPr>
                <w:rFonts w:ascii="Calibri" w:hAnsi="Calibri" w:cs="Calibri"/>
                <w:b/>
                <w:bCs/>
                <w:color w:val="auto"/>
                <w:szCs w:val="24"/>
              </w:rPr>
              <w:t>Site Name</w:t>
            </w:r>
          </w:p>
        </w:tc>
        <w:tc>
          <w:tcPr>
            <w:tcW w:w="4395" w:type="dxa"/>
            <w:tcBorders>
              <w:top w:val="single" w:sz="4" w:space="0" w:color="auto"/>
              <w:left w:val="nil"/>
              <w:bottom w:val="single" w:sz="4" w:space="0" w:color="auto"/>
              <w:right w:val="single" w:sz="4" w:space="0" w:color="auto"/>
            </w:tcBorders>
            <w:vAlign w:val="bottom"/>
          </w:tcPr>
          <w:p w14:paraId="26A9C012" w14:textId="1DF0066F" w:rsidR="00FA2CC6" w:rsidRPr="000663FF" w:rsidRDefault="00FA2CC6" w:rsidP="00FA2CC6">
            <w:pPr>
              <w:keepNext w:val="0"/>
              <w:spacing w:before="0"/>
              <w:rPr>
                <w:rFonts w:ascii="Calibri" w:hAnsi="Calibri" w:cs="Calibri"/>
                <w:b/>
                <w:bCs/>
                <w:color w:val="auto"/>
                <w:szCs w:val="24"/>
              </w:rPr>
            </w:pPr>
            <w:r w:rsidRPr="000663FF">
              <w:rPr>
                <w:rFonts w:ascii="Calibri" w:hAnsi="Calibri" w:cs="Calibri"/>
                <w:b/>
                <w:bCs/>
                <w:color w:val="auto"/>
                <w:szCs w:val="24"/>
              </w:rPr>
              <w:t>Description</w:t>
            </w:r>
          </w:p>
        </w:tc>
        <w:tc>
          <w:tcPr>
            <w:tcW w:w="1984" w:type="dxa"/>
            <w:tcBorders>
              <w:top w:val="single" w:sz="4" w:space="0" w:color="auto"/>
              <w:left w:val="nil"/>
              <w:bottom w:val="single" w:sz="4" w:space="0" w:color="auto"/>
              <w:right w:val="single" w:sz="4" w:space="0" w:color="auto"/>
            </w:tcBorders>
            <w:vAlign w:val="bottom"/>
          </w:tcPr>
          <w:p w14:paraId="593A28C9" w14:textId="07868061" w:rsidR="00FA2CC6" w:rsidRPr="000663FF" w:rsidRDefault="00FA2CC6" w:rsidP="00FA2CC6">
            <w:pPr>
              <w:keepNext w:val="0"/>
              <w:spacing w:before="0"/>
              <w:rPr>
                <w:rFonts w:ascii="Calibri" w:hAnsi="Calibri" w:cs="Calibri"/>
                <w:b/>
                <w:bCs/>
                <w:color w:val="auto"/>
                <w:szCs w:val="24"/>
              </w:rPr>
            </w:pPr>
            <w:r w:rsidRPr="000663FF">
              <w:rPr>
                <w:rFonts w:ascii="Calibri" w:hAnsi="Calibri" w:cs="Calibri"/>
                <w:b/>
                <w:bCs/>
                <w:color w:val="auto"/>
                <w:szCs w:val="24"/>
              </w:rPr>
              <w:t>Ward</w:t>
            </w:r>
          </w:p>
        </w:tc>
      </w:tr>
      <w:tr w:rsidR="000663FF" w:rsidRPr="000663FF" w14:paraId="63E8446A"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6949754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w:t>
            </w:r>
          </w:p>
        </w:tc>
        <w:tc>
          <w:tcPr>
            <w:tcW w:w="2388" w:type="dxa"/>
            <w:tcBorders>
              <w:top w:val="single" w:sz="4" w:space="0" w:color="auto"/>
              <w:left w:val="nil"/>
              <w:bottom w:val="single" w:sz="4" w:space="0" w:color="auto"/>
              <w:right w:val="single" w:sz="4" w:space="0" w:color="auto"/>
            </w:tcBorders>
            <w:hideMark/>
          </w:tcPr>
          <w:p w14:paraId="4225925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Allen's Green Dumble</w:t>
            </w:r>
          </w:p>
        </w:tc>
        <w:tc>
          <w:tcPr>
            <w:tcW w:w="4395" w:type="dxa"/>
            <w:tcBorders>
              <w:top w:val="single" w:sz="4" w:space="0" w:color="auto"/>
              <w:left w:val="nil"/>
              <w:bottom w:val="single" w:sz="4" w:space="0" w:color="auto"/>
              <w:right w:val="single" w:sz="4" w:space="0" w:color="auto"/>
            </w:tcBorders>
            <w:hideMark/>
          </w:tcPr>
          <w:p w14:paraId="366AFF9F" w14:textId="4FB8AEC7"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Steep unmanaged wooded </w:t>
            </w:r>
            <w:proofErr w:type="spellStart"/>
            <w:r w:rsidR="00FA2CC6" w:rsidRPr="000663FF">
              <w:rPr>
                <w:rFonts w:ascii="Calibri" w:hAnsi="Calibri" w:cs="Calibri"/>
                <w:color w:val="auto"/>
                <w:sz w:val="22"/>
                <w:szCs w:val="22"/>
              </w:rPr>
              <w:t>dumble</w:t>
            </w:r>
            <w:proofErr w:type="spellEnd"/>
            <w:r w:rsidR="00FA2CC6" w:rsidRPr="000663FF">
              <w:rPr>
                <w:rFonts w:ascii="Calibri" w:hAnsi="Calibri" w:cs="Calibri"/>
                <w:color w:val="auto"/>
                <w:sz w:val="22"/>
                <w:szCs w:val="22"/>
              </w:rPr>
              <w:t xml:space="preserve"> and coal-measures grassland</w:t>
            </w:r>
          </w:p>
        </w:tc>
        <w:tc>
          <w:tcPr>
            <w:tcW w:w="1984" w:type="dxa"/>
            <w:tcBorders>
              <w:top w:val="single" w:sz="4" w:space="0" w:color="auto"/>
              <w:left w:val="nil"/>
              <w:bottom w:val="single" w:sz="4" w:space="0" w:color="auto"/>
              <w:right w:val="single" w:sz="4" w:space="0" w:color="auto"/>
            </w:tcBorders>
            <w:hideMark/>
          </w:tcPr>
          <w:p w14:paraId="41DD5A91"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Jacksdale</w:t>
            </w:r>
            <w:proofErr w:type="spellEnd"/>
            <w:r w:rsidRPr="000663FF">
              <w:rPr>
                <w:rFonts w:ascii="Calibri" w:hAnsi="Calibri" w:cs="Calibri"/>
                <w:color w:val="auto"/>
                <w:sz w:val="22"/>
                <w:szCs w:val="22"/>
              </w:rPr>
              <w:t xml:space="preserve"> &amp; Westwood</w:t>
            </w:r>
          </w:p>
        </w:tc>
      </w:tr>
      <w:tr w:rsidR="000663FF" w:rsidRPr="000663FF" w14:paraId="75B6DBD3"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60958B3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EV4waa</w:t>
            </w:r>
          </w:p>
        </w:tc>
        <w:tc>
          <w:tcPr>
            <w:tcW w:w="2388" w:type="dxa"/>
            <w:tcBorders>
              <w:top w:val="nil"/>
              <w:left w:val="nil"/>
              <w:bottom w:val="single" w:sz="4" w:space="0" w:color="auto"/>
              <w:right w:val="single" w:sz="4" w:space="0" w:color="auto"/>
            </w:tcBorders>
            <w:hideMark/>
          </w:tcPr>
          <w:p w14:paraId="640BC99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Allen's Green Grassland</w:t>
            </w:r>
          </w:p>
        </w:tc>
        <w:tc>
          <w:tcPr>
            <w:tcW w:w="4395" w:type="dxa"/>
            <w:tcBorders>
              <w:top w:val="nil"/>
              <w:left w:val="nil"/>
              <w:bottom w:val="single" w:sz="4" w:space="0" w:color="auto"/>
              <w:right w:val="single" w:sz="4" w:space="0" w:color="auto"/>
            </w:tcBorders>
            <w:hideMark/>
          </w:tcPr>
          <w:p w14:paraId="3340F680" w14:textId="054E5DAA"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locally species-rich Coal Measures grassland</w:t>
            </w:r>
          </w:p>
        </w:tc>
        <w:tc>
          <w:tcPr>
            <w:tcW w:w="1984" w:type="dxa"/>
            <w:tcBorders>
              <w:top w:val="nil"/>
              <w:left w:val="nil"/>
              <w:bottom w:val="single" w:sz="4" w:space="0" w:color="auto"/>
              <w:right w:val="single" w:sz="4" w:space="0" w:color="auto"/>
            </w:tcBorders>
            <w:hideMark/>
          </w:tcPr>
          <w:p w14:paraId="5E3D6E21"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p>
        </w:tc>
      </w:tr>
      <w:tr w:rsidR="000663FF" w:rsidRPr="000663FF" w14:paraId="49588F4E"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31C26D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EV4wab</w:t>
            </w:r>
          </w:p>
        </w:tc>
        <w:tc>
          <w:tcPr>
            <w:tcW w:w="2388" w:type="dxa"/>
            <w:tcBorders>
              <w:top w:val="nil"/>
              <w:left w:val="nil"/>
              <w:bottom w:val="single" w:sz="4" w:space="0" w:color="auto"/>
              <w:right w:val="single" w:sz="4" w:space="0" w:color="auto"/>
            </w:tcBorders>
            <w:hideMark/>
          </w:tcPr>
          <w:p w14:paraId="6A09C87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Cemetery</w:t>
            </w:r>
          </w:p>
        </w:tc>
        <w:tc>
          <w:tcPr>
            <w:tcW w:w="4395" w:type="dxa"/>
            <w:tcBorders>
              <w:top w:val="nil"/>
              <w:left w:val="nil"/>
              <w:bottom w:val="single" w:sz="4" w:space="0" w:color="auto"/>
              <w:right w:val="single" w:sz="4" w:space="0" w:color="auto"/>
            </w:tcBorders>
            <w:hideMark/>
          </w:tcPr>
          <w:p w14:paraId="145C3AFA" w14:textId="1EA6E82C"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acid grassland community persisting in a cemetery</w:t>
            </w:r>
          </w:p>
        </w:tc>
        <w:tc>
          <w:tcPr>
            <w:tcW w:w="1984" w:type="dxa"/>
            <w:tcBorders>
              <w:top w:val="nil"/>
              <w:left w:val="nil"/>
              <w:bottom w:val="single" w:sz="4" w:space="0" w:color="auto"/>
              <w:right w:val="single" w:sz="4" w:space="0" w:color="auto"/>
            </w:tcBorders>
            <w:hideMark/>
          </w:tcPr>
          <w:p w14:paraId="314F46B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154E0124"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657E7F5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EV4wac</w:t>
            </w:r>
          </w:p>
        </w:tc>
        <w:tc>
          <w:tcPr>
            <w:tcW w:w="2388" w:type="dxa"/>
            <w:tcBorders>
              <w:top w:val="nil"/>
              <w:left w:val="nil"/>
              <w:bottom w:val="single" w:sz="4" w:space="0" w:color="auto"/>
              <w:right w:val="single" w:sz="4" w:space="0" w:color="auto"/>
            </w:tcBorders>
            <w:hideMark/>
          </w:tcPr>
          <w:p w14:paraId="40E8554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Forest</w:t>
            </w:r>
          </w:p>
        </w:tc>
        <w:tc>
          <w:tcPr>
            <w:tcW w:w="4395" w:type="dxa"/>
            <w:tcBorders>
              <w:top w:val="nil"/>
              <w:left w:val="nil"/>
              <w:bottom w:val="single" w:sz="4" w:space="0" w:color="auto"/>
              <w:right w:val="single" w:sz="4" w:space="0" w:color="auto"/>
            </w:tcBorders>
            <w:hideMark/>
          </w:tcPr>
          <w:p w14:paraId="2C1C0D09" w14:textId="0425A6B8"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mixed forestry plantation with a noteworthy and diverse flora</w:t>
            </w:r>
          </w:p>
        </w:tc>
        <w:tc>
          <w:tcPr>
            <w:tcW w:w="1984" w:type="dxa"/>
            <w:tcBorders>
              <w:top w:val="nil"/>
              <w:left w:val="nil"/>
              <w:bottom w:val="single" w:sz="4" w:space="0" w:color="auto"/>
              <w:right w:val="single" w:sz="4" w:space="0" w:color="auto"/>
            </w:tcBorders>
            <w:hideMark/>
          </w:tcPr>
          <w:p w14:paraId="4B2CEB5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bookmarkEnd w:id="342"/>
      <w:tr w:rsidR="000663FF" w:rsidRPr="000663FF" w14:paraId="0B562939" w14:textId="77777777" w:rsidTr="00DC0D18">
        <w:trPr>
          <w:trHeight w:val="617"/>
        </w:trPr>
        <w:tc>
          <w:tcPr>
            <w:tcW w:w="1009" w:type="dxa"/>
            <w:tcBorders>
              <w:top w:val="nil"/>
              <w:left w:val="single" w:sz="4" w:space="0" w:color="auto"/>
              <w:bottom w:val="single" w:sz="4" w:space="0" w:color="auto"/>
              <w:right w:val="single" w:sz="4" w:space="0" w:color="auto"/>
            </w:tcBorders>
            <w:hideMark/>
          </w:tcPr>
          <w:p w14:paraId="6C8E77F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EV4wad</w:t>
            </w:r>
          </w:p>
        </w:tc>
        <w:tc>
          <w:tcPr>
            <w:tcW w:w="2388" w:type="dxa"/>
            <w:tcBorders>
              <w:top w:val="nil"/>
              <w:left w:val="nil"/>
              <w:bottom w:val="single" w:sz="4" w:space="0" w:color="auto"/>
              <w:right w:val="single" w:sz="4" w:space="0" w:color="auto"/>
            </w:tcBorders>
            <w:hideMark/>
          </w:tcPr>
          <w:p w14:paraId="309C961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Park Duck Decoy</w:t>
            </w:r>
          </w:p>
        </w:tc>
        <w:tc>
          <w:tcPr>
            <w:tcW w:w="4395" w:type="dxa"/>
            <w:tcBorders>
              <w:top w:val="nil"/>
              <w:left w:val="nil"/>
              <w:bottom w:val="single" w:sz="4" w:space="0" w:color="auto"/>
              <w:right w:val="single" w:sz="4" w:space="0" w:color="auto"/>
            </w:tcBorders>
            <w:hideMark/>
          </w:tcPr>
          <w:p w14:paraId="0237EC05" w14:textId="27FBD105"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lake with a noteworthy flora, together with a mostly naturally regenerated woodland</w:t>
            </w:r>
          </w:p>
        </w:tc>
        <w:tc>
          <w:tcPr>
            <w:tcW w:w="1984" w:type="dxa"/>
            <w:tcBorders>
              <w:top w:val="nil"/>
              <w:left w:val="nil"/>
              <w:bottom w:val="single" w:sz="4" w:space="0" w:color="auto"/>
              <w:right w:val="single" w:sz="4" w:space="0" w:color="auto"/>
            </w:tcBorders>
            <w:hideMark/>
          </w:tcPr>
          <w:p w14:paraId="36663D9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1F8F3A5B"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37825E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EV4wae</w:t>
            </w:r>
          </w:p>
        </w:tc>
        <w:tc>
          <w:tcPr>
            <w:tcW w:w="2388" w:type="dxa"/>
            <w:tcBorders>
              <w:top w:val="nil"/>
              <w:left w:val="nil"/>
              <w:bottom w:val="single" w:sz="4" w:space="0" w:color="auto"/>
              <w:right w:val="single" w:sz="4" w:space="0" w:color="auto"/>
            </w:tcBorders>
            <w:hideMark/>
          </w:tcPr>
          <w:p w14:paraId="33520F1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Park Pond</w:t>
            </w:r>
          </w:p>
        </w:tc>
        <w:tc>
          <w:tcPr>
            <w:tcW w:w="4395" w:type="dxa"/>
            <w:tcBorders>
              <w:top w:val="nil"/>
              <w:left w:val="nil"/>
              <w:bottom w:val="single" w:sz="4" w:space="0" w:color="auto"/>
              <w:right w:val="single" w:sz="4" w:space="0" w:color="auto"/>
            </w:tcBorders>
            <w:hideMark/>
          </w:tcPr>
          <w:p w14:paraId="6E19C3D6" w14:textId="028E61DF"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relatively large field pond that is rich in aquatic and marginal species</w:t>
            </w:r>
          </w:p>
        </w:tc>
        <w:tc>
          <w:tcPr>
            <w:tcW w:w="1984" w:type="dxa"/>
            <w:tcBorders>
              <w:top w:val="nil"/>
              <w:left w:val="nil"/>
              <w:bottom w:val="single" w:sz="4" w:space="0" w:color="auto"/>
              <w:right w:val="single" w:sz="4" w:space="0" w:color="auto"/>
            </w:tcBorders>
            <w:hideMark/>
          </w:tcPr>
          <w:p w14:paraId="6D7AEAD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237A031C"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54BE743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EV4waf</w:t>
            </w:r>
          </w:p>
        </w:tc>
        <w:tc>
          <w:tcPr>
            <w:tcW w:w="2388" w:type="dxa"/>
            <w:tcBorders>
              <w:top w:val="nil"/>
              <w:left w:val="nil"/>
              <w:bottom w:val="single" w:sz="4" w:space="0" w:color="auto"/>
              <w:right w:val="single" w:sz="4" w:space="0" w:color="auto"/>
            </w:tcBorders>
            <w:hideMark/>
          </w:tcPr>
          <w:p w14:paraId="297D8D4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Pit</w:t>
            </w:r>
          </w:p>
        </w:tc>
        <w:tc>
          <w:tcPr>
            <w:tcW w:w="4395" w:type="dxa"/>
            <w:tcBorders>
              <w:top w:val="nil"/>
              <w:left w:val="nil"/>
              <w:bottom w:val="single" w:sz="4" w:space="0" w:color="auto"/>
              <w:right w:val="single" w:sz="4" w:space="0" w:color="auto"/>
            </w:tcBorders>
            <w:hideMark/>
          </w:tcPr>
          <w:p w14:paraId="50A14C62" w14:textId="2B4D4C34"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diverse site of botanical and zoological importance</w:t>
            </w:r>
          </w:p>
        </w:tc>
        <w:tc>
          <w:tcPr>
            <w:tcW w:w="1984" w:type="dxa"/>
            <w:tcBorders>
              <w:top w:val="nil"/>
              <w:left w:val="nil"/>
              <w:bottom w:val="single" w:sz="4" w:space="0" w:color="auto"/>
              <w:right w:val="single" w:sz="4" w:space="0" w:color="auto"/>
            </w:tcBorders>
            <w:hideMark/>
          </w:tcPr>
          <w:p w14:paraId="56FC2DE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5CBC51BC"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AD61D3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EV4wag</w:t>
            </w:r>
          </w:p>
        </w:tc>
        <w:tc>
          <w:tcPr>
            <w:tcW w:w="2388" w:type="dxa"/>
            <w:tcBorders>
              <w:top w:val="nil"/>
              <w:left w:val="nil"/>
              <w:bottom w:val="single" w:sz="4" w:space="0" w:color="auto"/>
              <w:right w:val="single" w:sz="4" w:space="0" w:color="auto"/>
            </w:tcBorders>
            <w:hideMark/>
          </w:tcPr>
          <w:p w14:paraId="232CA5B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Scarp Grassland</w:t>
            </w:r>
          </w:p>
        </w:tc>
        <w:tc>
          <w:tcPr>
            <w:tcW w:w="4395" w:type="dxa"/>
            <w:tcBorders>
              <w:top w:val="nil"/>
              <w:left w:val="nil"/>
              <w:bottom w:val="single" w:sz="4" w:space="0" w:color="auto"/>
              <w:right w:val="single" w:sz="4" w:space="0" w:color="auto"/>
            </w:tcBorders>
            <w:hideMark/>
          </w:tcPr>
          <w:p w14:paraId="02DE67A7" w14:textId="4F713677"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calcareous grassland</w:t>
            </w:r>
          </w:p>
        </w:tc>
        <w:tc>
          <w:tcPr>
            <w:tcW w:w="1984" w:type="dxa"/>
            <w:tcBorders>
              <w:top w:val="nil"/>
              <w:left w:val="nil"/>
              <w:bottom w:val="single" w:sz="4" w:space="0" w:color="auto"/>
              <w:right w:val="single" w:sz="4" w:space="0" w:color="auto"/>
            </w:tcBorders>
            <w:hideMark/>
          </w:tcPr>
          <w:p w14:paraId="293B230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059DFAD2"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F9889F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EV4wah</w:t>
            </w:r>
          </w:p>
        </w:tc>
        <w:tc>
          <w:tcPr>
            <w:tcW w:w="2388" w:type="dxa"/>
            <w:tcBorders>
              <w:top w:val="nil"/>
              <w:left w:val="nil"/>
              <w:bottom w:val="single" w:sz="4" w:space="0" w:color="auto"/>
              <w:right w:val="single" w:sz="4" w:space="0" w:color="auto"/>
            </w:tcBorders>
            <w:hideMark/>
          </w:tcPr>
          <w:p w14:paraId="59F28FF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Track Verge</w:t>
            </w:r>
          </w:p>
        </w:tc>
        <w:tc>
          <w:tcPr>
            <w:tcW w:w="4395" w:type="dxa"/>
            <w:tcBorders>
              <w:top w:val="nil"/>
              <w:left w:val="nil"/>
              <w:bottom w:val="single" w:sz="4" w:space="0" w:color="auto"/>
              <w:right w:val="single" w:sz="4" w:space="0" w:color="auto"/>
            </w:tcBorders>
            <w:hideMark/>
          </w:tcPr>
          <w:p w14:paraId="4988F302" w14:textId="45436053"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Grassy track verges bounded by species-rich hedgerows</w:t>
            </w:r>
          </w:p>
        </w:tc>
        <w:tc>
          <w:tcPr>
            <w:tcW w:w="1984" w:type="dxa"/>
            <w:tcBorders>
              <w:top w:val="nil"/>
              <w:left w:val="nil"/>
              <w:bottom w:val="single" w:sz="4" w:space="0" w:color="auto"/>
              <w:right w:val="single" w:sz="4" w:space="0" w:color="auto"/>
            </w:tcBorders>
            <w:hideMark/>
          </w:tcPr>
          <w:p w14:paraId="25DF612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108AF1C5"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8ABF6E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EV4wai</w:t>
            </w:r>
          </w:p>
        </w:tc>
        <w:tc>
          <w:tcPr>
            <w:tcW w:w="2388" w:type="dxa"/>
            <w:tcBorders>
              <w:top w:val="nil"/>
              <w:left w:val="nil"/>
              <w:bottom w:val="single" w:sz="4" w:space="0" w:color="auto"/>
              <w:right w:val="single" w:sz="4" w:space="0" w:color="auto"/>
            </w:tcBorders>
            <w:hideMark/>
          </w:tcPr>
          <w:p w14:paraId="182AA5C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Woodhouse Cemetery</w:t>
            </w:r>
          </w:p>
        </w:tc>
        <w:tc>
          <w:tcPr>
            <w:tcW w:w="4395" w:type="dxa"/>
            <w:tcBorders>
              <w:top w:val="nil"/>
              <w:left w:val="nil"/>
              <w:bottom w:val="single" w:sz="4" w:space="0" w:color="auto"/>
              <w:right w:val="single" w:sz="4" w:space="0" w:color="auto"/>
            </w:tcBorders>
            <w:hideMark/>
          </w:tcPr>
          <w:p w14:paraId="372671D3" w14:textId="68BE45A3"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Noteworthy grassland</w:t>
            </w:r>
          </w:p>
        </w:tc>
        <w:tc>
          <w:tcPr>
            <w:tcW w:w="1984" w:type="dxa"/>
            <w:tcBorders>
              <w:top w:val="nil"/>
              <w:left w:val="nil"/>
              <w:bottom w:val="single" w:sz="4" w:space="0" w:color="auto"/>
              <w:right w:val="single" w:sz="4" w:space="0" w:color="auto"/>
            </w:tcBorders>
            <w:hideMark/>
          </w:tcPr>
          <w:p w14:paraId="58E97DC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543421A4"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D69C81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EV4waj</w:t>
            </w:r>
          </w:p>
        </w:tc>
        <w:tc>
          <w:tcPr>
            <w:tcW w:w="2388" w:type="dxa"/>
            <w:tcBorders>
              <w:top w:val="nil"/>
              <w:left w:val="nil"/>
              <w:bottom w:val="single" w:sz="4" w:space="0" w:color="auto"/>
              <w:right w:val="single" w:sz="4" w:space="0" w:color="auto"/>
            </w:tcBorders>
            <w:hideMark/>
          </w:tcPr>
          <w:p w14:paraId="1E2D022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Woodhouse Grassland</w:t>
            </w:r>
          </w:p>
        </w:tc>
        <w:tc>
          <w:tcPr>
            <w:tcW w:w="4395" w:type="dxa"/>
            <w:tcBorders>
              <w:top w:val="nil"/>
              <w:left w:val="nil"/>
              <w:bottom w:val="single" w:sz="4" w:space="0" w:color="auto"/>
              <w:right w:val="single" w:sz="4" w:space="0" w:color="auto"/>
            </w:tcBorders>
            <w:hideMark/>
          </w:tcPr>
          <w:p w14:paraId="3FB9558F" w14:textId="66827400"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fine example of a damp coal measures grassland</w:t>
            </w:r>
          </w:p>
        </w:tc>
        <w:tc>
          <w:tcPr>
            <w:tcW w:w="1984" w:type="dxa"/>
            <w:tcBorders>
              <w:top w:val="nil"/>
              <w:left w:val="nil"/>
              <w:bottom w:val="single" w:sz="4" w:space="0" w:color="auto"/>
              <w:right w:val="single" w:sz="4" w:space="0" w:color="auto"/>
            </w:tcBorders>
            <w:hideMark/>
          </w:tcPr>
          <w:p w14:paraId="4414274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3E4220E2"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6EFB6FA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EV4wak</w:t>
            </w:r>
          </w:p>
        </w:tc>
        <w:tc>
          <w:tcPr>
            <w:tcW w:w="2388" w:type="dxa"/>
            <w:tcBorders>
              <w:top w:val="nil"/>
              <w:left w:val="nil"/>
              <w:bottom w:val="single" w:sz="4" w:space="0" w:color="auto"/>
              <w:right w:val="single" w:sz="4" w:space="0" w:color="auto"/>
            </w:tcBorders>
            <w:hideMark/>
          </w:tcPr>
          <w:p w14:paraId="3EF7937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Woodhouse Pond Grassland</w:t>
            </w:r>
          </w:p>
        </w:tc>
        <w:tc>
          <w:tcPr>
            <w:tcW w:w="4395" w:type="dxa"/>
            <w:tcBorders>
              <w:top w:val="nil"/>
              <w:left w:val="nil"/>
              <w:bottom w:val="single" w:sz="4" w:space="0" w:color="auto"/>
              <w:right w:val="single" w:sz="4" w:space="0" w:color="auto"/>
            </w:tcBorders>
            <w:hideMark/>
          </w:tcPr>
          <w:p w14:paraId="3AE20E3C" w14:textId="35A91285"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Damp grassland with species-rich flushes</w:t>
            </w:r>
          </w:p>
        </w:tc>
        <w:tc>
          <w:tcPr>
            <w:tcW w:w="1984" w:type="dxa"/>
            <w:tcBorders>
              <w:top w:val="nil"/>
              <w:left w:val="nil"/>
              <w:bottom w:val="single" w:sz="4" w:space="0" w:color="auto"/>
              <w:right w:val="single" w:sz="4" w:space="0" w:color="auto"/>
            </w:tcBorders>
            <w:hideMark/>
          </w:tcPr>
          <w:p w14:paraId="0D48D5E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2A097BF2"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9F4598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EV4wal</w:t>
            </w:r>
          </w:p>
        </w:tc>
        <w:tc>
          <w:tcPr>
            <w:tcW w:w="2388" w:type="dxa"/>
            <w:tcBorders>
              <w:top w:val="nil"/>
              <w:left w:val="nil"/>
              <w:bottom w:val="single" w:sz="4" w:space="0" w:color="auto"/>
              <w:right w:val="single" w:sz="4" w:space="0" w:color="auto"/>
            </w:tcBorders>
            <w:hideMark/>
          </w:tcPr>
          <w:p w14:paraId="7E1AE78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Woodhouse Quarry</w:t>
            </w:r>
          </w:p>
        </w:tc>
        <w:tc>
          <w:tcPr>
            <w:tcW w:w="4395" w:type="dxa"/>
            <w:tcBorders>
              <w:top w:val="nil"/>
              <w:left w:val="nil"/>
              <w:bottom w:val="single" w:sz="4" w:space="0" w:color="auto"/>
              <w:right w:val="single" w:sz="4" w:space="0" w:color="auto"/>
            </w:tcBorders>
            <w:hideMark/>
          </w:tcPr>
          <w:p w14:paraId="693035CC" w14:textId="32384F16"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excellent Magnesian Limestone grassland</w:t>
            </w:r>
          </w:p>
        </w:tc>
        <w:tc>
          <w:tcPr>
            <w:tcW w:w="1984" w:type="dxa"/>
            <w:tcBorders>
              <w:top w:val="nil"/>
              <w:left w:val="nil"/>
              <w:bottom w:val="single" w:sz="4" w:space="0" w:color="auto"/>
              <w:right w:val="single" w:sz="4" w:space="0" w:color="auto"/>
            </w:tcBorders>
            <w:hideMark/>
          </w:tcPr>
          <w:p w14:paraId="798CCFB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78325261"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48E4AC1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EV4wam</w:t>
            </w:r>
          </w:p>
        </w:tc>
        <w:tc>
          <w:tcPr>
            <w:tcW w:w="2388" w:type="dxa"/>
            <w:tcBorders>
              <w:top w:val="nil"/>
              <w:left w:val="nil"/>
              <w:bottom w:val="single" w:sz="4" w:space="0" w:color="auto"/>
              <w:right w:val="single" w:sz="4" w:space="0" w:color="auto"/>
            </w:tcBorders>
            <w:hideMark/>
          </w:tcPr>
          <w:p w14:paraId="07AA922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Woodhouse Woodland</w:t>
            </w:r>
          </w:p>
        </w:tc>
        <w:tc>
          <w:tcPr>
            <w:tcW w:w="4395" w:type="dxa"/>
            <w:tcBorders>
              <w:top w:val="nil"/>
              <w:left w:val="nil"/>
              <w:bottom w:val="single" w:sz="4" w:space="0" w:color="auto"/>
              <w:right w:val="single" w:sz="4" w:space="0" w:color="auto"/>
            </w:tcBorders>
            <w:hideMark/>
          </w:tcPr>
          <w:p w14:paraId="35B6751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 mixed woodland with a rich ground flora and wet flush communities</w:t>
            </w:r>
          </w:p>
        </w:tc>
        <w:tc>
          <w:tcPr>
            <w:tcW w:w="1984" w:type="dxa"/>
            <w:tcBorders>
              <w:top w:val="nil"/>
              <w:left w:val="nil"/>
              <w:bottom w:val="single" w:sz="4" w:space="0" w:color="auto"/>
              <w:right w:val="single" w:sz="4" w:space="0" w:color="auto"/>
            </w:tcBorders>
            <w:hideMark/>
          </w:tcPr>
          <w:p w14:paraId="33B66AF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69B4480A"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D8F4C7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EV4wan</w:t>
            </w:r>
          </w:p>
        </w:tc>
        <w:tc>
          <w:tcPr>
            <w:tcW w:w="2388" w:type="dxa"/>
            <w:tcBorders>
              <w:top w:val="nil"/>
              <w:left w:val="nil"/>
              <w:bottom w:val="single" w:sz="4" w:space="0" w:color="auto"/>
              <w:right w:val="single" w:sz="4" w:space="0" w:color="auto"/>
            </w:tcBorders>
            <w:hideMark/>
          </w:tcPr>
          <w:p w14:paraId="3D7593E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Woodland I</w:t>
            </w:r>
          </w:p>
        </w:tc>
        <w:tc>
          <w:tcPr>
            <w:tcW w:w="4395" w:type="dxa"/>
            <w:tcBorders>
              <w:top w:val="nil"/>
              <w:left w:val="nil"/>
              <w:bottom w:val="single" w:sz="4" w:space="0" w:color="auto"/>
              <w:right w:val="single" w:sz="4" w:space="0" w:color="auto"/>
            </w:tcBorders>
            <w:hideMark/>
          </w:tcPr>
          <w:p w14:paraId="62B7C581" w14:textId="353EBF82"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noteworthy mosaic of dry and wet deciduous woodland</w:t>
            </w:r>
          </w:p>
        </w:tc>
        <w:tc>
          <w:tcPr>
            <w:tcW w:w="1984" w:type="dxa"/>
            <w:tcBorders>
              <w:top w:val="nil"/>
              <w:left w:val="nil"/>
              <w:bottom w:val="single" w:sz="4" w:space="0" w:color="auto"/>
              <w:right w:val="single" w:sz="4" w:space="0" w:color="auto"/>
            </w:tcBorders>
            <w:hideMark/>
          </w:tcPr>
          <w:p w14:paraId="3F20D5B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5420AE3C" w14:textId="77777777" w:rsidTr="00DC0D18">
        <w:trPr>
          <w:trHeight w:val="624"/>
        </w:trPr>
        <w:tc>
          <w:tcPr>
            <w:tcW w:w="1009" w:type="dxa"/>
            <w:tcBorders>
              <w:top w:val="single" w:sz="4" w:space="0" w:color="auto"/>
              <w:left w:val="single" w:sz="4" w:space="0" w:color="auto"/>
              <w:bottom w:val="single" w:sz="4" w:space="0" w:color="auto"/>
              <w:right w:val="single" w:sz="4" w:space="0" w:color="auto"/>
            </w:tcBorders>
            <w:hideMark/>
          </w:tcPr>
          <w:p w14:paraId="443C910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EV4wao</w:t>
            </w:r>
          </w:p>
        </w:tc>
        <w:tc>
          <w:tcPr>
            <w:tcW w:w="2388" w:type="dxa"/>
            <w:tcBorders>
              <w:top w:val="single" w:sz="4" w:space="0" w:color="auto"/>
              <w:left w:val="single" w:sz="4" w:space="0" w:color="auto"/>
              <w:bottom w:val="single" w:sz="4" w:space="0" w:color="auto"/>
              <w:right w:val="single" w:sz="4" w:space="0" w:color="auto"/>
            </w:tcBorders>
            <w:hideMark/>
          </w:tcPr>
          <w:p w14:paraId="6295B5B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Woodland II</w:t>
            </w:r>
          </w:p>
        </w:tc>
        <w:tc>
          <w:tcPr>
            <w:tcW w:w="4395" w:type="dxa"/>
            <w:tcBorders>
              <w:top w:val="single" w:sz="4" w:space="0" w:color="auto"/>
              <w:left w:val="single" w:sz="4" w:space="0" w:color="auto"/>
              <w:bottom w:val="single" w:sz="4" w:space="0" w:color="auto"/>
              <w:right w:val="single" w:sz="4" w:space="0" w:color="auto"/>
            </w:tcBorders>
            <w:hideMark/>
          </w:tcPr>
          <w:p w14:paraId="24699323" w14:textId="4345A0C3"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small valley with notable deciduous woodland, flush and aquatic communities</w:t>
            </w:r>
          </w:p>
        </w:tc>
        <w:tc>
          <w:tcPr>
            <w:tcW w:w="1984" w:type="dxa"/>
            <w:tcBorders>
              <w:top w:val="single" w:sz="4" w:space="0" w:color="auto"/>
              <w:left w:val="single" w:sz="4" w:space="0" w:color="auto"/>
              <w:bottom w:val="single" w:sz="4" w:space="0" w:color="auto"/>
              <w:right w:val="single" w:sz="4" w:space="0" w:color="auto"/>
            </w:tcBorders>
            <w:hideMark/>
          </w:tcPr>
          <w:p w14:paraId="013E752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23AE76AB" w14:textId="77777777" w:rsidTr="00DC0D18">
        <w:trPr>
          <w:trHeight w:val="290"/>
        </w:trPr>
        <w:tc>
          <w:tcPr>
            <w:tcW w:w="1009" w:type="dxa"/>
            <w:tcBorders>
              <w:top w:val="single" w:sz="4" w:space="0" w:color="auto"/>
              <w:left w:val="single" w:sz="4" w:space="0" w:color="auto"/>
              <w:bottom w:val="single" w:sz="4" w:space="0" w:color="auto"/>
              <w:right w:val="single" w:sz="4" w:space="0" w:color="auto"/>
            </w:tcBorders>
            <w:hideMark/>
          </w:tcPr>
          <w:p w14:paraId="04C90A9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EV4wap</w:t>
            </w:r>
          </w:p>
        </w:tc>
        <w:tc>
          <w:tcPr>
            <w:tcW w:w="2388" w:type="dxa"/>
            <w:tcBorders>
              <w:top w:val="single" w:sz="4" w:space="0" w:color="auto"/>
              <w:left w:val="nil"/>
              <w:bottom w:val="single" w:sz="4" w:space="0" w:color="auto"/>
              <w:right w:val="single" w:sz="4" w:space="0" w:color="auto"/>
            </w:tcBorders>
            <w:hideMark/>
          </w:tcPr>
          <w:p w14:paraId="2FA728A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Ashfield District By-pass Meadows</w:t>
            </w:r>
          </w:p>
        </w:tc>
        <w:tc>
          <w:tcPr>
            <w:tcW w:w="4395" w:type="dxa"/>
            <w:tcBorders>
              <w:top w:val="single" w:sz="4" w:space="0" w:color="auto"/>
              <w:left w:val="nil"/>
              <w:bottom w:val="single" w:sz="4" w:space="0" w:color="auto"/>
              <w:right w:val="single" w:sz="4" w:space="0" w:color="auto"/>
            </w:tcBorders>
            <w:hideMark/>
          </w:tcPr>
          <w:p w14:paraId="3ACF6F8D" w14:textId="1EA4ACE0"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Herb-rich meadows</w:t>
            </w:r>
          </w:p>
        </w:tc>
        <w:tc>
          <w:tcPr>
            <w:tcW w:w="1984" w:type="dxa"/>
            <w:tcBorders>
              <w:top w:val="single" w:sz="4" w:space="0" w:color="auto"/>
              <w:left w:val="nil"/>
              <w:bottom w:val="single" w:sz="4" w:space="0" w:color="auto"/>
              <w:right w:val="single" w:sz="4" w:space="0" w:color="auto"/>
            </w:tcBorders>
            <w:hideMark/>
          </w:tcPr>
          <w:p w14:paraId="42F748B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Larwood</w:t>
            </w:r>
          </w:p>
        </w:tc>
      </w:tr>
      <w:tr w:rsidR="000663FF" w:rsidRPr="000663FF" w14:paraId="3F3BC6BC"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770B493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EV4waq</w:t>
            </w:r>
          </w:p>
        </w:tc>
        <w:tc>
          <w:tcPr>
            <w:tcW w:w="2388" w:type="dxa"/>
            <w:tcBorders>
              <w:top w:val="nil"/>
              <w:left w:val="nil"/>
              <w:bottom w:val="single" w:sz="4" w:space="0" w:color="auto"/>
              <w:right w:val="single" w:sz="4" w:space="0" w:color="auto"/>
            </w:tcBorders>
            <w:hideMark/>
          </w:tcPr>
          <w:p w14:paraId="07040385"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Bagthorpe</w:t>
            </w:r>
            <w:proofErr w:type="spellEnd"/>
            <w:r w:rsidRPr="000663FF">
              <w:rPr>
                <w:rFonts w:ascii="Calibri" w:hAnsi="Calibri" w:cs="Calibri"/>
                <w:color w:val="auto"/>
                <w:sz w:val="22"/>
                <w:szCs w:val="22"/>
              </w:rPr>
              <w:t xml:space="preserve"> Brook</w:t>
            </w:r>
          </w:p>
        </w:tc>
        <w:tc>
          <w:tcPr>
            <w:tcW w:w="4395" w:type="dxa"/>
            <w:tcBorders>
              <w:top w:val="nil"/>
              <w:left w:val="nil"/>
              <w:bottom w:val="single" w:sz="4" w:space="0" w:color="auto"/>
              <w:right w:val="single" w:sz="4" w:space="0" w:color="auto"/>
            </w:tcBorders>
            <w:hideMark/>
          </w:tcPr>
          <w:p w14:paraId="4007BEA3" w14:textId="2E88C7D2"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brook with species-rich semi-natural woodland, relict coal measures grassland and scrub communitie</w:t>
            </w:r>
            <w:r w:rsidR="00605918" w:rsidRPr="000663FF">
              <w:rPr>
                <w:rFonts w:ascii="Calibri" w:hAnsi="Calibri" w:cs="Calibri"/>
                <w:color w:val="auto"/>
                <w:sz w:val="22"/>
                <w:szCs w:val="22"/>
              </w:rPr>
              <w:t>s</w:t>
            </w:r>
          </w:p>
        </w:tc>
        <w:tc>
          <w:tcPr>
            <w:tcW w:w="1984" w:type="dxa"/>
            <w:tcBorders>
              <w:top w:val="nil"/>
              <w:left w:val="nil"/>
              <w:bottom w:val="single" w:sz="4" w:space="0" w:color="auto"/>
              <w:right w:val="single" w:sz="4" w:space="0" w:color="auto"/>
            </w:tcBorders>
            <w:hideMark/>
          </w:tcPr>
          <w:p w14:paraId="04294B56"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Jacksdale</w:t>
            </w:r>
            <w:proofErr w:type="spellEnd"/>
            <w:r w:rsidRPr="000663FF">
              <w:rPr>
                <w:rFonts w:ascii="Calibri" w:hAnsi="Calibri" w:cs="Calibri"/>
                <w:color w:val="auto"/>
                <w:sz w:val="22"/>
                <w:szCs w:val="22"/>
              </w:rPr>
              <w:t xml:space="preserve"> &amp; Westwood</w:t>
            </w:r>
          </w:p>
        </w:tc>
      </w:tr>
      <w:tr w:rsidR="000663FF" w:rsidRPr="000663FF" w14:paraId="322614F4"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7343DF6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EV4war</w:t>
            </w:r>
          </w:p>
        </w:tc>
        <w:tc>
          <w:tcPr>
            <w:tcW w:w="2388" w:type="dxa"/>
            <w:tcBorders>
              <w:top w:val="nil"/>
              <w:left w:val="nil"/>
              <w:bottom w:val="single" w:sz="4" w:space="0" w:color="auto"/>
              <w:right w:val="single" w:sz="4" w:space="0" w:color="auto"/>
            </w:tcBorders>
            <w:hideMark/>
          </w:tcPr>
          <w:p w14:paraId="0DDD7837"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Bagthorpe</w:t>
            </w:r>
            <w:proofErr w:type="spellEnd"/>
            <w:r w:rsidRPr="000663FF">
              <w:rPr>
                <w:rFonts w:ascii="Calibri" w:hAnsi="Calibri" w:cs="Calibri"/>
                <w:color w:val="auto"/>
                <w:sz w:val="22"/>
                <w:szCs w:val="22"/>
              </w:rPr>
              <w:t xml:space="preserve"> Brook Grassland</w:t>
            </w:r>
          </w:p>
        </w:tc>
        <w:tc>
          <w:tcPr>
            <w:tcW w:w="4395" w:type="dxa"/>
            <w:tcBorders>
              <w:top w:val="nil"/>
              <w:left w:val="nil"/>
              <w:bottom w:val="single" w:sz="4" w:space="0" w:color="auto"/>
              <w:right w:val="single" w:sz="4" w:space="0" w:color="auto"/>
            </w:tcBorders>
            <w:hideMark/>
          </w:tcPr>
          <w:p w14:paraId="04597FB8" w14:textId="506690D7"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coal-measures grassland</w:t>
            </w:r>
          </w:p>
        </w:tc>
        <w:tc>
          <w:tcPr>
            <w:tcW w:w="1984" w:type="dxa"/>
            <w:tcBorders>
              <w:top w:val="nil"/>
              <w:left w:val="nil"/>
              <w:bottom w:val="single" w:sz="4" w:space="0" w:color="auto"/>
              <w:right w:val="single" w:sz="4" w:space="0" w:color="auto"/>
            </w:tcBorders>
            <w:hideMark/>
          </w:tcPr>
          <w:p w14:paraId="78856FFC"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Jacksdale</w:t>
            </w:r>
            <w:proofErr w:type="spellEnd"/>
            <w:r w:rsidRPr="000663FF">
              <w:rPr>
                <w:rFonts w:ascii="Calibri" w:hAnsi="Calibri" w:cs="Calibri"/>
                <w:color w:val="auto"/>
                <w:sz w:val="22"/>
                <w:szCs w:val="22"/>
              </w:rPr>
              <w:t xml:space="preserve"> &amp; Westwood</w:t>
            </w:r>
          </w:p>
        </w:tc>
      </w:tr>
      <w:tr w:rsidR="000663FF" w:rsidRPr="000663FF" w14:paraId="136B6A4E"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79FE989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EV4was</w:t>
            </w:r>
          </w:p>
        </w:tc>
        <w:tc>
          <w:tcPr>
            <w:tcW w:w="2388" w:type="dxa"/>
            <w:tcBorders>
              <w:top w:val="single" w:sz="4" w:space="0" w:color="auto"/>
              <w:left w:val="nil"/>
              <w:bottom w:val="single" w:sz="4" w:space="0" w:color="auto"/>
              <w:right w:val="single" w:sz="4" w:space="0" w:color="auto"/>
            </w:tcBorders>
            <w:hideMark/>
          </w:tcPr>
          <w:p w14:paraId="37311C1F"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Bagthorpe</w:t>
            </w:r>
            <w:proofErr w:type="spellEnd"/>
            <w:r w:rsidRPr="000663FF">
              <w:rPr>
                <w:rFonts w:ascii="Calibri" w:hAnsi="Calibri" w:cs="Calibri"/>
                <w:color w:val="auto"/>
                <w:sz w:val="22"/>
                <w:szCs w:val="22"/>
              </w:rPr>
              <w:t xml:space="preserve"> Grassland</w:t>
            </w:r>
          </w:p>
        </w:tc>
        <w:tc>
          <w:tcPr>
            <w:tcW w:w="4395" w:type="dxa"/>
            <w:tcBorders>
              <w:top w:val="single" w:sz="4" w:space="0" w:color="auto"/>
              <w:left w:val="nil"/>
              <w:bottom w:val="single" w:sz="4" w:space="0" w:color="auto"/>
              <w:right w:val="single" w:sz="4" w:space="0" w:color="auto"/>
            </w:tcBorders>
            <w:hideMark/>
          </w:tcPr>
          <w:p w14:paraId="72109286" w14:textId="09CF61E0"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grassland with an impressive herb and grass content</w:t>
            </w:r>
          </w:p>
        </w:tc>
        <w:tc>
          <w:tcPr>
            <w:tcW w:w="1984" w:type="dxa"/>
            <w:tcBorders>
              <w:top w:val="single" w:sz="4" w:space="0" w:color="auto"/>
              <w:left w:val="nil"/>
              <w:bottom w:val="single" w:sz="4" w:space="0" w:color="auto"/>
              <w:right w:val="single" w:sz="4" w:space="0" w:color="auto"/>
            </w:tcBorders>
            <w:hideMark/>
          </w:tcPr>
          <w:p w14:paraId="00D2008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30144ABD"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1AD9E05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lastRenderedPageBreak/>
              <w:t>EV4wat</w:t>
            </w:r>
          </w:p>
        </w:tc>
        <w:tc>
          <w:tcPr>
            <w:tcW w:w="2388" w:type="dxa"/>
            <w:tcBorders>
              <w:top w:val="single" w:sz="4" w:space="0" w:color="auto"/>
              <w:left w:val="nil"/>
              <w:bottom w:val="single" w:sz="4" w:space="0" w:color="auto"/>
              <w:right w:val="single" w:sz="4" w:space="0" w:color="auto"/>
            </w:tcBorders>
            <w:hideMark/>
          </w:tcPr>
          <w:p w14:paraId="3380632D"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Bagthorpe</w:t>
            </w:r>
            <w:proofErr w:type="spellEnd"/>
            <w:r w:rsidRPr="000663FF">
              <w:rPr>
                <w:rFonts w:ascii="Calibri" w:hAnsi="Calibri" w:cs="Calibri"/>
                <w:color w:val="auto"/>
                <w:sz w:val="22"/>
                <w:szCs w:val="22"/>
              </w:rPr>
              <w:t xml:space="preserve"> Grasslands</w:t>
            </w:r>
          </w:p>
        </w:tc>
        <w:tc>
          <w:tcPr>
            <w:tcW w:w="4395" w:type="dxa"/>
            <w:tcBorders>
              <w:top w:val="single" w:sz="4" w:space="0" w:color="auto"/>
              <w:left w:val="nil"/>
              <w:bottom w:val="single" w:sz="4" w:space="0" w:color="auto"/>
              <w:right w:val="single" w:sz="4" w:space="0" w:color="auto"/>
            </w:tcBorders>
            <w:hideMark/>
          </w:tcPr>
          <w:p w14:paraId="5F699751" w14:textId="73EA72B6"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Traditionally managed grasslands with a rich and varied botanical interest</w:t>
            </w:r>
          </w:p>
        </w:tc>
        <w:tc>
          <w:tcPr>
            <w:tcW w:w="1984" w:type="dxa"/>
            <w:tcBorders>
              <w:top w:val="single" w:sz="4" w:space="0" w:color="auto"/>
              <w:left w:val="nil"/>
              <w:bottom w:val="single" w:sz="4" w:space="0" w:color="auto"/>
              <w:right w:val="single" w:sz="4" w:space="0" w:color="auto"/>
            </w:tcBorders>
            <w:hideMark/>
          </w:tcPr>
          <w:p w14:paraId="70DED81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4A626DAF"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583F5A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EV4wau</w:t>
            </w:r>
          </w:p>
        </w:tc>
        <w:tc>
          <w:tcPr>
            <w:tcW w:w="2388" w:type="dxa"/>
            <w:tcBorders>
              <w:top w:val="nil"/>
              <w:left w:val="nil"/>
              <w:bottom w:val="single" w:sz="4" w:space="0" w:color="auto"/>
              <w:right w:val="single" w:sz="4" w:space="0" w:color="auto"/>
            </w:tcBorders>
            <w:hideMark/>
          </w:tcPr>
          <w:p w14:paraId="0272C11D"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Bagthorpe</w:t>
            </w:r>
            <w:proofErr w:type="spellEnd"/>
            <w:r w:rsidRPr="000663FF">
              <w:rPr>
                <w:rFonts w:ascii="Calibri" w:hAnsi="Calibri" w:cs="Calibri"/>
                <w:color w:val="auto"/>
                <w:sz w:val="22"/>
                <w:szCs w:val="22"/>
              </w:rPr>
              <w:t xml:space="preserve"> Meadow</w:t>
            </w:r>
          </w:p>
        </w:tc>
        <w:tc>
          <w:tcPr>
            <w:tcW w:w="4395" w:type="dxa"/>
            <w:tcBorders>
              <w:top w:val="nil"/>
              <w:left w:val="nil"/>
              <w:bottom w:val="single" w:sz="4" w:space="0" w:color="auto"/>
              <w:right w:val="single" w:sz="4" w:space="0" w:color="auto"/>
            </w:tcBorders>
            <w:hideMark/>
          </w:tcPr>
          <w:p w14:paraId="07671BAD" w14:textId="4529F195"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coal measures type hay meadow</w:t>
            </w:r>
          </w:p>
        </w:tc>
        <w:tc>
          <w:tcPr>
            <w:tcW w:w="1984" w:type="dxa"/>
            <w:tcBorders>
              <w:top w:val="nil"/>
              <w:left w:val="nil"/>
              <w:bottom w:val="single" w:sz="4" w:space="0" w:color="auto"/>
              <w:right w:val="single" w:sz="4" w:space="0" w:color="auto"/>
            </w:tcBorders>
            <w:hideMark/>
          </w:tcPr>
          <w:p w14:paraId="199D80C9"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Jacksdale</w:t>
            </w:r>
            <w:proofErr w:type="spellEnd"/>
            <w:r w:rsidRPr="000663FF">
              <w:rPr>
                <w:rFonts w:ascii="Calibri" w:hAnsi="Calibri" w:cs="Calibri"/>
                <w:color w:val="auto"/>
                <w:sz w:val="22"/>
                <w:szCs w:val="22"/>
              </w:rPr>
              <w:t xml:space="preserve"> &amp; Westwood</w:t>
            </w:r>
          </w:p>
        </w:tc>
      </w:tr>
      <w:tr w:rsidR="000663FF" w:rsidRPr="000663FF" w14:paraId="5F6BA212"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D16B8E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EV4wav</w:t>
            </w:r>
          </w:p>
        </w:tc>
        <w:tc>
          <w:tcPr>
            <w:tcW w:w="2388" w:type="dxa"/>
            <w:tcBorders>
              <w:top w:val="nil"/>
              <w:left w:val="nil"/>
              <w:bottom w:val="single" w:sz="4" w:space="0" w:color="auto"/>
              <w:right w:val="single" w:sz="4" w:space="0" w:color="auto"/>
            </w:tcBorders>
            <w:hideMark/>
          </w:tcPr>
          <w:p w14:paraId="2BBFCA9C"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Bagthorpe</w:t>
            </w:r>
            <w:proofErr w:type="spellEnd"/>
            <w:r w:rsidRPr="000663FF">
              <w:rPr>
                <w:rFonts w:ascii="Calibri" w:hAnsi="Calibri" w:cs="Calibri"/>
                <w:color w:val="auto"/>
                <w:sz w:val="22"/>
                <w:szCs w:val="22"/>
              </w:rPr>
              <w:t xml:space="preserve"> Pastures</w:t>
            </w:r>
          </w:p>
        </w:tc>
        <w:tc>
          <w:tcPr>
            <w:tcW w:w="4395" w:type="dxa"/>
            <w:tcBorders>
              <w:top w:val="nil"/>
              <w:left w:val="nil"/>
              <w:bottom w:val="single" w:sz="4" w:space="0" w:color="auto"/>
              <w:right w:val="single" w:sz="4" w:space="0" w:color="auto"/>
            </w:tcBorders>
            <w:hideMark/>
          </w:tcPr>
          <w:p w14:paraId="77CC9CF5" w14:textId="7525C574"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Notable pastures with an especially valuable stream</w:t>
            </w:r>
          </w:p>
        </w:tc>
        <w:tc>
          <w:tcPr>
            <w:tcW w:w="1984" w:type="dxa"/>
            <w:tcBorders>
              <w:top w:val="nil"/>
              <w:left w:val="nil"/>
              <w:bottom w:val="single" w:sz="4" w:space="0" w:color="auto"/>
              <w:right w:val="single" w:sz="4" w:space="0" w:color="auto"/>
            </w:tcBorders>
            <w:hideMark/>
          </w:tcPr>
          <w:p w14:paraId="7FAE5E7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57846D10"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3F35837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EV4waw</w:t>
            </w:r>
          </w:p>
        </w:tc>
        <w:tc>
          <w:tcPr>
            <w:tcW w:w="2388" w:type="dxa"/>
            <w:tcBorders>
              <w:top w:val="nil"/>
              <w:left w:val="nil"/>
              <w:bottom w:val="single" w:sz="4" w:space="0" w:color="auto"/>
              <w:right w:val="single" w:sz="4" w:space="0" w:color="auto"/>
            </w:tcBorders>
            <w:hideMark/>
          </w:tcPr>
          <w:p w14:paraId="0300B6BC"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Bagthorpe</w:t>
            </w:r>
            <w:proofErr w:type="spellEnd"/>
            <w:r w:rsidRPr="000663FF">
              <w:rPr>
                <w:rFonts w:ascii="Calibri" w:hAnsi="Calibri" w:cs="Calibri"/>
                <w:color w:val="auto"/>
                <w:sz w:val="22"/>
                <w:szCs w:val="22"/>
              </w:rPr>
              <w:t xml:space="preserve"> Plantation</w:t>
            </w:r>
          </w:p>
        </w:tc>
        <w:tc>
          <w:tcPr>
            <w:tcW w:w="4395" w:type="dxa"/>
            <w:tcBorders>
              <w:top w:val="nil"/>
              <w:left w:val="nil"/>
              <w:bottom w:val="single" w:sz="4" w:space="0" w:color="auto"/>
              <w:right w:val="single" w:sz="4" w:space="0" w:color="auto"/>
            </w:tcBorders>
            <w:hideMark/>
          </w:tcPr>
          <w:p w14:paraId="4D6F099C" w14:textId="4514FBA9"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plantation with dry and wet deciduous woodland communities and a notable species diversity</w:t>
            </w:r>
          </w:p>
        </w:tc>
        <w:tc>
          <w:tcPr>
            <w:tcW w:w="1984" w:type="dxa"/>
            <w:tcBorders>
              <w:top w:val="nil"/>
              <w:left w:val="nil"/>
              <w:bottom w:val="single" w:sz="4" w:space="0" w:color="auto"/>
              <w:right w:val="single" w:sz="4" w:space="0" w:color="auto"/>
            </w:tcBorders>
            <w:hideMark/>
          </w:tcPr>
          <w:p w14:paraId="37D0922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33AA1A51" w14:textId="77777777" w:rsidTr="00DC0D18">
        <w:trPr>
          <w:trHeight w:val="669"/>
        </w:trPr>
        <w:tc>
          <w:tcPr>
            <w:tcW w:w="1009" w:type="dxa"/>
            <w:tcBorders>
              <w:top w:val="nil"/>
              <w:left w:val="single" w:sz="4" w:space="0" w:color="auto"/>
              <w:bottom w:val="single" w:sz="4" w:space="0" w:color="auto"/>
              <w:right w:val="single" w:sz="4" w:space="0" w:color="auto"/>
            </w:tcBorders>
            <w:hideMark/>
          </w:tcPr>
          <w:p w14:paraId="0E58D8CE" w14:textId="77777777" w:rsidR="00FA2CC6" w:rsidRPr="00702A30" w:rsidRDefault="00FA2CC6"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EV4wax</w:t>
            </w:r>
          </w:p>
        </w:tc>
        <w:tc>
          <w:tcPr>
            <w:tcW w:w="2388" w:type="dxa"/>
            <w:tcBorders>
              <w:top w:val="nil"/>
              <w:left w:val="nil"/>
              <w:bottom w:val="single" w:sz="4" w:space="0" w:color="auto"/>
              <w:right w:val="single" w:sz="4" w:space="0" w:color="auto"/>
            </w:tcBorders>
            <w:hideMark/>
          </w:tcPr>
          <w:p w14:paraId="01821016" w14:textId="77777777" w:rsidR="00FA2CC6" w:rsidRPr="00702A30" w:rsidRDefault="00FA2CC6"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Bentinck Colliery</w:t>
            </w:r>
          </w:p>
        </w:tc>
        <w:tc>
          <w:tcPr>
            <w:tcW w:w="4395" w:type="dxa"/>
            <w:tcBorders>
              <w:top w:val="nil"/>
              <w:left w:val="nil"/>
              <w:bottom w:val="single" w:sz="4" w:space="0" w:color="auto"/>
              <w:right w:val="single" w:sz="4" w:space="0" w:color="auto"/>
            </w:tcBorders>
            <w:hideMark/>
          </w:tcPr>
          <w:p w14:paraId="75AFC6C6" w14:textId="51075A6F" w:rsidR="00FA2CC6" w:rsidRPr="00702A30" w:rsidRDefault="00DC0D18"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 xml:space="preserve">LWS - </w:t>
            </w:r>
            <w:r w:rsidR="00FA2CC6" w:rsidRPr="00702A30">
              <w:rPr>
                <w:rFonts w:ascii="Calibri" w:hAnsi="Calibri" w:cs="Calibri"/>
                <w:strike/>
                <w:color w:val="auto"/>
                <w:sz w:val="22"/>
                <w:szCs w:val="22"/>
              </w:rPr>
              <w:t>A site supporting a butterfly species of high conservation priority in Nottinghamshire</w:t>
            </w:r>
          </w:p>
        </w:tc>
        <w:tc>
          <w:tcPr>
            <w:tcW w:w="1984" w:type="dxa"/>
            <w:tcBorders>
              <w:top w:val="nil"/>
              <w:left w:val="nil"/>
              <w:bottom w:val="single" w:sz="4" w:space="0" w:color="auto"/>
              <w:right w:val="single" w:sz="4" w:space="0" w:color="auto"/>
            </w:tcBorders>
            <w:hideMark/>
          </w:tcPr>
          <w:p w14:paraId="73698F44" w14:textId="77777777" w:rsidR="00FA2CC6" w:rsidRPr="00702A30" w:rsidRDefault="00FA2CC6"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Annesley &amp; Kirkby Woodhouse</w:t>
            </w:r>
          </w:p>
        </w:tc>
      </w:tr>
      <w:tr w:rsidR="000663FF" w:rsidRPr="000663FF" w14:paraId="476CF621" w14:textId="77777777" w:rsidTr="00DC0D18">
        <w:trPr>
          <w:trHeight w:val="781"/>
        </w:trPr>
        <w:tc>
          <w:tcPr>
            <w:tcW w:w="1009" w:type="dxa"/>
            <w:tcBorders>
              <w:top w:val="nil"/>
              <w:left w:val="single" w:sz="4" w:space="0" w:color="auto"/>
              <w:bottom w:val="single" w:sz="4" w:space="0" w:color="auto"/>
              <w:right w:val="single" w:sz="4" w:space="0" w:color="auto"/>
            </w:tcBorders>
            <w:hideMark/>
          </w:tcPr>
          <w:p w14:paraId="1FC05D9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EV4way</w:t>
            </w:r>
          </w:p>
        </w:tc>
        <w:tc>
          <w:tcPr>
            <w:tcW w:w="2388" w:type="dxa"/>
            <w:tcBorders>
              <w:top w:val="nil"/>
              <w:left w:val="nil"/>
              <w:bottom w:val="single" w:sz="4" w:space="0" w:color="auto"/>
              <w:right w:val="single" w:sz="4" w:space="0" w:color="auto"/>
            </w:tcBorders>
            <w:hideMark/>
          </w:tcPr>
          <w:p w14:paraId="31D2F3E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Bentinck Void</w:t>
            </w:r>
          </w:p>
        </w:tc>
        <w:tc>
          <w:tcPr>
            <w:tcW w:w="4395" w:type="dxa"/>
            <w:tcBorders>
              <w:top w:val="nil"/>
              <w:left w:val="nil"/>
              <w:bottom w:val="single" w:sz="4" w:space="0" w:color="auto"/>
              <w:right w:val="single" w:sz="4" w:space="0" w:color="auto"/>
            </w:tcBorders>
            <w:hideMark/>
          </w:tcPr>
          <w:p w14:paraId="04E37F12" w14:textId="22253E93"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mosaic of habitats of botanical and zoological note on the site of a former mine</w:t>
            </w:r>
          </w:p>
        </w:tc>
        <w:tc>
          <w:tcPr>
            <w:tcW w:w="1984" w:type="dxa"/>
            <w:tcBorders>
              <w:top w:val="nil"/>
              <w:left w:val="nil"/>
              <w:bottom w:val="single" w:sz="4" w:space="0" w:color="auto"/>
              <w:right w:val="single" w:sz="4" w:space="0" w:color="auto"/>
            </w:tcBorders>
            <w:hideMark/>
          </w:tcPr>
          <w:p w14:paraId="268E981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417088AF"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3A2B390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EV4waz</w:t>
            </w:r>
          </w:p>
        </w:tc>
        <w:tc>
          <w:tcPr>
            <w:tcW w:w="2388" w:type="dxa"/>
            <w:tcBorders>
              <w:top w:val="nil"/>
              <w:left w:val="nil"/>
              <w:bottom w:val="single" w:sz="4" w:space="0" w:color="auto"/>
              <w:right w:val="single" w:sz="4" w:space="0" w:color="auto"/>
            </w:tcBorders>
            <w:hideMark/>
          </w:tcPr>
          <w:p w14:paraId="2738017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Blackwell Road Grassland</w:t>
            </w:r>
          </w:p>
        </w:tc>
        <w:tc>
          <w:tcPr>
            <w:tcW w:w="4395" w:type="dxa"/>
            <w:tcBorders>
              <w:top w:val="nil"/>
              <w:left w:val="nil"/>
              <w:bottom w:val="single" w:sz="4" w:space="0" w:color="auto"/>
              <w:right w:val="single" w:sz="4" w:space="0" w:color="auto"/>
            </w:tcBorders>
            <w:hideMark/>
          </w:tcPr>
          <w:p w14:paraId="2A9BE022" w14:textId="09DE569C"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dry grassland community</w:t>
            </w:r>
          </w:p>
        </w:tc>
        <w:tc>
          <w:tcPr>
            <w:tcW w:w="1984" w:type="dxa"/>
            <w:tcBorders>
              <w:top w:val="nil"/>
              <w:left w:val="nil"/>
              <w:bottom w:val="single" w:sz="4" w:space="0" w:color="auto"/>
              <w:right w:val="single" w:sz="4" w:space="0" w:color="auto"/>
            </w:tcBorders>
            <w:hideMark/>
          </w:tcPr>
          <w:p w14:paraId="38F245E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046EC5B4" w14:textId="77777777" w:rsidTr="00DC0D18">
        <w:trPr>
          <w:trHeight w:val="569"/>
        </w:trPr>
        <w:tc>
          <w:tcPr>
            <w:tcW w:w="1009" w:type="dxa"/>
            <w:tcBorders>
              <w:top w:val="nil"/>
              <w:left w:val="single" w:sz="4" w:space="0" w:color="auto"/>
              <w:bottom w:val="single" w:sz="4" w:space="0" w:color="auto"/>
              <w:right w:val="single" w:sz="4" w:space="0" w:color="auto"/>
            </w:tcBorders>
            <w:hideMark/>
          </w:tcPr>
          <w:p w14:paraId="15386C4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w:t>
            </w:r>
          </w:p>
        </w:tc>
        <w:tc>
          <w:tcPr>
            <w:tcW w:w="2388" w:type="dxa"/>
            <w:tcBorders>
              <w:top w:val="nil"/>
              <w:left w:val="nil"/>
              <w:bottom w:val="single" w:sz="4" w:space="0" w:color="auto"/>
              <w:right w:val="single" w:sz="4" w:space="0" w:color="auto"/>
            </w:tcBorders>
            <w:hideMark/>
          </w:tcPr>
          <w:p w14:paraId="309EBD4E" w14:textId="3F905075" w:rsidR="00FA2CC6" w:rsidRPr="000663FF" w:rsidRDefault="004E3652" w:rsidP="00FA2CC6">
            <w:pPr>
              <w:keepNext w:val="0"/>
              <w:spacing w:before="0"/>
              <w:rPr>
                <w:rFonts w:ascii="Calibri" w:hAnsi="Calibri" w:cs="Calibri"/>
                <w:color w:val="auto"/>
                <w:sz w:val="22"/>
                <w:szCs w:val="22"/>
              </w:rPr>
            </w:pPr>
            <w:r w:rsidRPr="000663FF">
              <w:rPr>
                <w:rFonts w:ascii="Calibri" w:hAnsi="Calibri" w:cs="Calibri"/>
                <w:color w:val="auto"/>
                <w:sz w:val="22"/>
                <w:szCs w:val="22"/>
              </w:rPr>
              <w:t>Blenheim</w:t>
            </w:r>
            <w:r w:rsidR="00FA2CC6" w:rsidRPr="000663FF">
              <w:rPr>
                <w:rFonts w:ascii="Calibri" w:hAnsi="Calibri" w:cs="Calibri"/>
                <w:color w:val="auto"/>
                <w:sz w:val="22"/>
                <w:szCs w:val="22"/>
              </w:rPr>
              <w:t xml:space="preserve"> Lane Ponds</w:t>
            </w:r>
          </w:p>
        </w:tc>
        <w:tc>
          <w:tcPr>
            <w:tcW w:w="4395" w:type="dxa"/>
            <w:tcBorders>
              <w:top w:val="nil"/>
              <w:left w:val="nil"/>
              <w:bottom w:val="single" w:sz="4" w:space="0" w:color="auto"/>
              <w:right w:val="single" w:sz="4" w:space="0" w:color="auto"/>
            </w:tcBorders>
            <w:hideMark/>
          </w:tcPr>
          <w:p w14:paraId="54D1272F" w14:textId="31AD63E8"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Species-rich pools surrounded by a noteworthy grassland and newly planted saplings'</w:t>
            </w:r>
          </w:p>
        </w:tc>
        <w:tc>
          <w:tcPr>
            <w:tcW w:w="1984" w:type="dxa"/>
            <w:tcBorders>
              <w:top w:val="nil"/>
              <w:left w:val="nil"/>
              <w:bottom w:val="single" w:sz="4" w:space="0" w:color="auto"/>
              <w:right w:val="single" w:sz="4" w:space="0" w:color="auto"/>
            </w:tcBorders>
            <w:hideMark/>
          </w:tcPr>
          <w:p w14:paraId="76D92BB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463906C5" w14:textId="77777777" w:rsidTr="00DC0D18">
        <w:trPr>
          <w:trHeight w:val="407"/>
        </w:trPr>
        <w:tc>
          <w:tcPr>
            <w:tcW w:w="1009" w:type="dxa"/>
            <w:tcBorders>
              <w:top w:val="nil"/>
              <w:left w:val="single" w:sz="4" w:space="0" w:color="auto"/>
              <w:bottom w:val="single" w:sz="4" w:space="0" w:color="auto"/>
              <w:right w:val="single" w:sz="4" w:space="0" w:color="auto"/>
            </w:tcBorders>
            <w:hideMark/>
          </w:tcPr>
          <w:p w14:paraId="28A3431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EV4wba</w:t>
            </w:r>
          </w:p>
        </w:tc>
        <w:tc>
          <w:tcPr>
            <w:tcW w:w="2388" w:type="dxa"/>
            <w:tcBorders>
              <w:top w:val="nil"/>
              <w:left w:val="nil"/>
              <w:bottom w:val="single" w:sz="4" w:space="0" w:color="auto"/>
              <w:right w:val="single" w:sz="4" w:space="0" w:color="auto"/>
            </w:tcBorders>
            <w:hideMark/>
          </w:tcPr>
          <w:p w14:paraId="1A52764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Blenheim Farm</w:t>
            </w:r>
          </w:p>
        </w:tc>
        <w:tc>
          <w:tcPr>
            <w:tcW w:w="4395" w:type="dxa"/>
            <w:tcBorders>
              <w:top w:val="nil"/>
              <w:left w:val="nil"/>
              <w:bottom w:val="single" w:sz="4" w:space="0" w:color="auto"/>
              <w:right w:val="single" w:sz="4" w:space="0" w:color="auto"/>
            </w:tcBorders>
            <w:hideMark/>
          </w:tcPr>
          <w:p w14:paraId="688FFA86" w14:textId="63DE8ED3"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area of notable calcareous grassland and pond</w:t>
            </w:r>
          </w:p>
        </w:tc>
        <w:tc>
          <w:tcPr>
            <w:tcW w:w="1984" w:type="dxa"/>
            <w:tcBorders>
              <w:top w:val="nil"/>
              <w:left w:val="nil"/>
              <w:bottom w:val="single" w:sz="4" w:space="0" w:color="auto"/>
              <w:right w:val="single" w:sz="4" w:space="0" w:color="auto"/>
            </w:tcBorders>
            <w:hideMark/>
          </w:tcPr>
          <w:p w14:paraId="768ACF2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4456FA98"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4C58F0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EV4wbb</w:t>
            </w:r>
          </w:p>
        </w:tc>
        <w:tc>
          <w:tcPr>
            <w:tcW w:w="2388" w:type="dxa"/>
            <w:tcBorders>
              <w:top w:val="nil"/>
              <w:left w:val="nil"/>
              <w:bottom w:val="single" w:sz="4" w:space="0" w:color="auto"/>
              <w:right w:val="single" w:sz="4" w:space="0" w:color="auto"/>
            </w:tcBorders>
            <w:hideMark/>
          </w:tcPr>
          <w:p w14:paraId="7A0DDD9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Blenheim Lane Grassland</w:t>
            </w:r>
          </w:p>
        </w:tc>
        <w:tc>
          <w:tcPr>
            <w:tcW w:w="4395" w:type="dxa"/>
            <w:tcBorders>
              <w:top w:val="nil"/>
              <w:left w:val="nil"/>
              <w:bottom w:val="single" w:sz="4" w:space="0" w:color="auto"/>
              <w:right w:val="single" w:sz="4" w:space="0" w:color="auto"/>
            </w:tcBorders>
            <w:hideMark/>
          </w:tcPr>
          <w:p w14:paraId="00FB7521" w14:textId="6C1A22CB"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calcareous grassland with a clear stream</w:t>
            </w:r>
          </w:p>
        </w:tc>
        <w:tc>
          <w:tcPr>
            <w:tcW w:w="1984" w:type="dxa"/>
            <w:tcBorders>
              <w:top w:val="nil"/>
              <w:left w:val="nil"/>
              <w:bottom w:val="single" w:sz="4" w:space="0" w:color="auto"/>
              <w:right w:val="single" w:sz="4" w:space="0" w:color="auto"/>
            </w:tcBorders>
            <w:hideMark/>
          </w:tcPr>
          <w:p w14:paraId="49C9232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6E1B2A86"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57D8739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EV4wbc</w:t>
            </w:r>
          </w:p>
        </w:tc>
        <w:tc>
          <w:tcPr>
            <w:tcW w:w="2388" w:type="dxa"/>
            <w:tcBorders>
              <w:top w:val="nil"/>
              <w:left w:val="nil"/>
              <w:bottom w:val="single" w:sz="4" w:space="0" w:color="auto"/>
              <w:right w:val="single" w:sz="4" w:space="0" w:color="auto"/>
            </w:tcBorders>
            <w:hideMark/>
          </w:tcPr>
          <w:p w14:paraId="25D6F73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Blenheim Lane Hedgerows</w:t>
            </w:r>
          </w:p>
        </w:tc>
        <w:tc>
          <w:tcPr>
            <w:tcW w:w="4395" w:type="dxa"/>
            <w:tcBorders>
              <w:top w:val="nil"/>
              <w:left w:val="nil"/>
              <w:bottom w:val="single" w:sz="4" w:space="0" w:color="auto"/>
              <w:right w:val="single" w:sz="4" w:space="0" w:color="auto"/>
            </w:tcBorders>
            <w:hideMark/>
          </w:tcPr>
          <w:p w14:paraId="42D6DBE3" w14:textId="41B5C666"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Hedgerows along a lane supporting notable shrub and tree species</w:t>
            </w:r>
          </w:p>
        </w:tc>
        <w:tc>
          <w:tcPr>
            <w:tcW w:w="1984" w:type="dxa"/>
            <w:tcBorders>
              <w:top w:val="nil"/>
              <w:left w:val="nil"/>
              <w:bottom w:val="single" w:sz="4" w:space="0" w:color="auto"/>
              <w:right w:val="single" w:sz="4" w:space="0" w:color="auto"/>
            </w:tcBorders>
            <w:hideMark/>
          </w:tcPr>
          <w:p w14:paraId="47BE645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29535288"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233B523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EV4wbd</w:t>
            </w:r>
          </w:p>
        </w:tc>
        <w:tc>
          <w:tcPr>
            <w:tcW w:w="2388" w:type="dxa"/>
            <w:tcBorders>
              <w:top w:val="nil"/>
              <w:left w:val="nil"/>
              <w:bottom w:val="single" w:sz="4" w:space="0" w:color="auto"/>
              <w:right w:val="single" w:sz="4" w:space="0" w:color="auto"/>
            </w:tcBorders>
            <w:hideMark/>
          </w:tcPr>
          <w:p w14:paraId="35CEB5D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Blenheim Lane Quarry</w:t>
            </w:r>
          </w:p>
        </w:tc>
        <w:tc>
          <w:tcPr>
            <w:tcW w:w="4395" w:type="dxa"/>
            <w:tcBorders>
              <w:top w:val="nil"/>
              <w:left w:val="nil"/>
              <w:bottom w:val="single" w:sz="4" w:space="0" w:color="auto"/>
              <w:right w:val="single" w:sz="4" w:space="0" w:color="auto"/>
            </w:tcBorders>
            <w:hideMark/>
          </w:tcPr>
          <w:p w14:paraId="5623D8F8" w14:textId="75890C3F"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Former quarry with calcareous grassland and scrub communities</w:t>
            </w:r>
          </w:p>
        </w:tc>
        <w:tc>
          <w:tcPr>
            <w:tcW w:w="1984" w:type="dxa"/>
            <w:tcBorders>
              <w:top w:val="nil"/>
              <w:left w:val="nil"/>
              <w:bottom w:val="single" w:sz="4" w:space="0" w:color="auto"/>
              <w:right w:val="single" w:sz="4" w:space="0" w:color="auto"/>
            </w:tcBorders>
            <w:hideMark/>
          </w:tcPr>
          <w:p w14:paraId="38477B5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3E055180"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7C91FF6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EV4wbe</w:t>
            </w:r>
          </w:p>
        </w:tc>
        <w:tc>
          <w:tcPr>
            <w:tcW w:w="2388" w:type="dxa"/>
            <w:tcBorders>
              <w:top w:val="nil"/>
              <w:left w:val="nil"/>
              <w:bottom w:val="single" w:sz="4" w:space="0" w:color="auto"/>
              <w:right w:val="single" w:sz="4" w:space="0" w:color="auto"/>
            </w:tcBorders>
            <w:hideMark/>
          </w:tcPr>
          <w:p w14:paraId="07FFDDA6"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Blidworth</w:t>
            </w:r>
            <w:proofErr w:type="spellEnd"/>
            <w:r w:rsidRPr="000663FF">
              <w:rPr>
                <w:rFonts w:ascii="Calibri" w:hAnsi="Calibri" w:cs="Calibri"/>
                <w:color w:val="auto"/>
                <w:sz w:val="22"/>
                <w:szCs w:val="22"/>
              </w:rPr>
              <w:t xml:space="preserve"> Road Verge</w:t>
            </w:r>
          </w:p>
        </w:tc>
        <w:tc>
          <w:tcPr>
            <w:tcW w:w="4395" w:type="dxa"/>
            <w:tcBorders>
              <w:top w:val="nil"/>
              <w:left w:val="nil"/>
              <w:bottom w:val="single" w:sz="4" w:space="0" w:color="auto"/>
              <w:right w:val="single" w:sz="4" w:space="0" w:color="auto"/>
            </w:tcBorders>
            <w:hideMark/>
          </w:tcPr>
          <w:p w14:paraId="7DE6EADD" w14:textId="25A7BAE2"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Species-rich grassland along a stretch of road verge</w:t>
            </w:r>
          </w:p>
        </w:tc>
        <w:tc>
          <w:tcPr>
            <w:tcW w:w="1984" w:type="dxa"/>
            <w:tcBorders>
              <w:top w:val="nil"/>
              <w:left w:val="nil"/>
              <w:bottom w:val="single" w:sz="4" w:space="0" w:color="auto"/>
              <w:right w:val="single" w:sz="4" w:space="0" w:color="auto"/>
            </w:tcBorders>
            <w:hideMark/>
          </w:tcPr>
          <w:p w14:paraId="1ECD1E0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Abbey Hill</w:t>
            </w:r>
          </w:p>
        </w:tc>
      </w:tr>
      <w:tr w:rsidR="000663FF" w:rsidRPr="000663FF" w14:paraId="7697EF0E"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6D14715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EV4wbf</w:t>
            </w:r>
          </w:p>
        </w:tc>
        <w:tc>
          <w:tcPr>
            <w:tcW w:w="2388" w:type="dxa"/>
            <w:tcBorders>
              <w:top w:val="nil"/>
              <w:left w:val="nil"/>
              <w:bottom w:val="single" w:sz="4" w:space="0" w:color="auto"/>
              <w:right w:val="single" w:sz="4" w:space="0" w:color="auto"/>
            </w:tcBorders>
            <w:hideMark/>
          </w:tcPr>
          <w:p w14:paraId="444E032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Boar Hill</w:t>
            </w:r>
          </w:p>
        </w:tc>
        <w:tc>
          <w:tcPr>
            <w:tcW w:w="4395" w:type="dxa"/>
            <w:tcBorders>
              <w:top w:val="nil"/>
              <w:left w:val="nil"/>
              <w:bottom w:val="single" w:sz="4" w:space="0" w:color="auto"/>
              <w:right w:val="single" w:sz="4" w:space="0" w:color="auto"/>
            </w:tcBorders>
            <w:hideMark/>
          </w:tcPr>
          <w:p w14:paraId="7FDAFD0C" w14:textId="2EB93C74"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bank of calcareous grassland</w:t>
            </w:r>
          </w:p>
        </w:tc>
        <w:tc>
          <w:tcPr>
            <w:tcW w:w="1984" w:type="dxa"/>
            <w:tcBorders>
              <w:top w:val="nil"/>
              <w:left w:val="nil"/>
              <w:bottom w:val="single" w:sz="4" w:space="0" w:color="auto"/>
              <w:right w:val="single" w:sz="4" w:space="0" w:color="auto"/>
            </w:tcBorders>
            <w:hideMark/>
          </w:tcPr>
          <w:p w14:paraId="0F2AC36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Larwood</w:t>
            </w:r>
          </w:p>
        </w:tc>
      </w:tr>
      <w:tr w:rsidR="000663FF" w:rsidRPr="000663FF" w14:paraId="66EB405C" w14:textId="77777777" w:rsidTr="00DC0D18">
        <w:trPr>
          <w:trHeight w:val="716"/>
        </w:trPr>
        <w:tc>
          <w:tcPr>
            <w:tcW w:w="1009" w:type="dxa"/>
            <w:tcBorders>
              <w:top w:val="nil"/>
              <w:left w:val="single" w:sz="4" w:space="0" w:color="auto"/>
              <w:bottom w:val="single" w:sz="4" w:space="0" w:color="auto"/>
              <w:right w:val="single" w:sz="4" w:space="0" w:color="auto"/>
            </w:tcBorders>
            <w:hideMark/>
          </w:tcPr>
          <w:p w14:paraId="3DBAF0B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EV4wbg</w:t>
            </w:r>
          </w:p>
        </w:tc>
        <w:tc>
          <w:tcPr>
            <w:tcW w:w="2388" w:type="dxa"/>
            <w:tcBorders>
              <w:top w:val="nil"/>
              <w:left w:val="nil"/>
              <w:bottom w:val="single" w:sz="4" w:space="0" w:color="auto"/>
              <w:right w:val="single" w:sz="4" w:space="0" w:color="auto"/>
            </w:tcBorders>
            <w:hideMark/>
          </w:tcPr>
          <w:p w14:paraId="47B13D1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Bogs Farm Quarry</w:t>
            </w:r>
          </w:p>
        </w:tc>
        <w:tc>
          <w:tcPr>
            <w:tcW w:w="4395" w:type="dxa"/>
            <w:tcBorders>
              <w:top w:val="nil"/>
              <w:left w:val="nil"/>
              <w:bottom w:val="single" w:sz="4" w:space="0" w:color="auto"/>
              <w:right w:val="single" w:sz="4" w:space="0" w:color="auto"/>
            </w:tcBorders>
            <w:hideMark/>
          </w:tcPr>
          <w:p w14:paraId="7580DC43" w14:textId="13510B81"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Species-rich pools, flushes and grassland developed in a former quarry</w:t>
            </w:r>
          </w:p>
        </w:tc>
        <w:tc>
          <w:tcPr>
            <w:tcW w:w="1984" w:type="dxa"/>
            <w:tcBorders>
              <w:top w:val="nil"/>
              <w:left w:val="nil"/>
              <w:bottom w:val="single" w:sz="4" w:space="0" w:color="auto"/>
              <w:right w:val="single" w:sz="4" w:space="0" w:color="auto"/>
            </w:tcBorders>
            <w:hideMark/>
          </w:tcPr>
          <w:p w14:paraId="6B8EF8C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6AC6AABA"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6A1107A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EV4wbh</w:t>
            </w:r>
          </w:p>
        </w:tc>
        <w:tc>
          <w:tcPr>
            <w:tcW w:w="2388" w:type="dxa"/>
            <w:tcBorders>
              <w:top w:val="single" w:sz="4" w:space="0" w:color="auto"/>
              <w:left w:val="single" w:sz="4" w:space="0" w:color="auto"/>
              <w:bottom w:val="single" w:sz="4" w:space="0" w:color="auto"/>
              <w:right w:val="single" w:sz="4" w:space="0" w:color="auto"/>
            </w:tcBorders>
            <w:hideMark/>
          </w:tcPr>
          <w:p w14:paraId="2A60542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Border Marsh, Huthwaite</w:t>
            </w:r>
          </w:p>
        </w:tc>
        <w:tc>
          <w:tcPr>
            <w:tcW w:w="4395" w:type="dxa"/>
            <w:tcBorders>
              <w:top w:val="single" w:sz="4" w:space="0" w:color="auto"/>
              <w:left w:val="single" w:sz="4" w:space="0" w:color="auto"/>
              <w:bottom w:val="single" w:sz="4" w:space="0" w:color="auto"/>
              <w:right w:val="single" w:sz="4" w:space="0" w:color="auto"/>
            </w:tcBorders>
            <w:hideMark/>
          </w:tcPr>
          <w:p w14:paraId="4C897A57" w14:textId="529AFB39"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marshy community on the county boundary</w:t>
            </w:r>
          </w:p>
        </w:tc>
        <w:tc>
          <w:tcPr>
            <w:tcW w:w="1984" w:type="dxa"/>
            <w:tcBorders>
              <w:top w:val="single" w:sz="4" w:space="0" w:color="auto"/>
              <w:left w:val="single" w:sz="4" w:space="0" w:color="auto"/>
              <w:bottom w:val="single" w:sz="4" w:space="0" w:color="auto"/>
              <w:right w:val="single" w:sz="4" w:space="0" w:color="auto"/>
            </w:tcBorders>
            <w:hideMark/>
          </w:tcPr>
          <w:p w14:paraId="5127467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33B44371" w14:textId="77777777" w:rsidTr="00DC0D18">
        <w:trPr>
          <w:trHeight w:val="290"/>
        </w:trPr>
        <w:tc>
          <w:tcPr>
            <w:tcW w:w="1009" w:type="dxa"/>
            <w:tcBorders>
              <w:top w:val="single" w:sz="4" w:space="0" w:color="auto"/>
              <w:left w:val="single" w:sz="4" w:space="0" w:color="auto"/>
              <w:bottom w:val="single" w:sz="4" w:space="0" w:color="auto"/>
              <w:right w:val="single" w:sz="4" w:space="0" w:color="auto"/>
            </w:tcBorders>
            <w:hideMark/>
          </w:tcPr>
          <w:p w14:paraId="6290928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EV4wbi</w:t>
            </w:r>
          </w:p>
        </w:tc>
        <w:tc>
          <w:tcPr>
            <w:tcW w:w="2388" w:type="dxa"/>
            <w:tcBorders>
              <w:top w:val="single" w:sz="4" w:space="0" w:color="auto"/>
              <w:left w:val="nil"/>
              <w:bottom w:val="single" w:sz="4" w:space="0" w:color="auto"/>
              <w:right w:val="single" w:sz="4" w:space="0" w:color="auto"/>
            </w:tcBorders>
            <w:hideMark/>
          </w:tcPr>
          <w:p w14:paraId="5F5374D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Brierley Forest Marsh</w:t>
            </w:r>
          </w:p>
        </w:tc>
        <w:tc>
          <w:tcPr>
            <w:tcW w:w="4395" w:type="dxa"/>
            <w:tcBorders>
              <w:top w:val="single" w:sz="4" w:space="0" w:color="auto"/>
              <w:left w:val="nil"/>
              <w:bottom w:val="single" w:sz="4" w:space="0" w:color="auto"/>
              <w:right w:val="single" w:sz="4" w:space="0" w:color="auto"/>
            </w:tcBorders>
            <w:hideMark/>
          </w:tcPr>
          <w:p w14:paraId="1FB6C788" w14:textId="61353E11"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Wet neutral grassland</w:t>
            </w:r>
          </w:p>
        </w:tc>
        <w:tc>
          <w:tcPr>
            <w:tcW w:w="1984" w:type="dxa"/>
            <w:tcBorders>
              <w:top w:val="single" w:sz="4" w:space="0" w:color="auto"/>
              <w:left w:val="nil"/>
              <w:bottom w:val="single" w:sz="4" w:space="0" w:color="auto"/>
              <w:right w:val="single" w:sz="4" w:space="0" w:color="auto"/>
            </w:tcBorders>
            <w:hideMark/>
          </w:tcPr>
          <w:p w14:paraId="42117B4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1D81BDD9"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258C134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EV4wbj</w:t>
            </w:r>
          </w:p>
        </w:tc>
        <w:tc>
          <w:tcPr>
            <w:tcW w:w="2388" w:type="dxa"/>
            <w:tcBorders>
              <w:top w:val="nil"/>
              <w:left w:val="nil"/>
              <w:bottom w:val="single" w:sz="4" w:space="0" w:color="auto"/>
              <w:right w:val="single" w:sz="4" w:space="0" w:color="auto"/>
            </w:tcBorders>
            <w:hideMark/>
          </w:tcPr>
          <w:p w14:paraId="09CD553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Brierley Park Marshy Grassland</w:t>
            </w:r>
          </w:p>
        </w:tc>
        <w:tc>
          <w:tcPr>
            <w:tcW w:w="4395" w:type="dxa"/>
            <w:tcBorders>
              <w:top w:val="nil"/>
              <w:left w:val="nil"/>
              <w:bottom w:val="single" w:sz="4" w:space="0" w:color="auto"/>
              <w:right w:val="single" w:sz="4" w:space="0" w:color="auto"/>
            </w:tcBorders>
            <w:hideMark/>
          </w:tcPr>
          <w:p w14:paraId="254B6D43" w14:textId="425C5404"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interesting and valuable remnant of rough marshy grassland</w:t>
            </w:r>
          </w:p>
        </w:tc>
        <w:tc>
          <w:tcPr>
            <w:tcW w:w="1984" w:type="dxa"/>
            <w:tcBorders>
              <w:top w:val="nil"/>
              <w:left w:val="nil"/>
              <w:bottom w:val="single" w:sz="4" w:space="0" w:color="auto"/>
              <w:right w:val="single" w:sz="4" w:space="0" w:color="auto"/>
            </w:tcBorders>
            <w:hideMark/>
          </w:tcPr>
          <w:p w14:paraId="59AB58F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3C071723"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155D02C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EV4wbk</w:t>
            </w:r>
          </w:p>
        </w:tc>
        <w:tc>
          <w:tcPr>
            <w:tcW w:w="2388" w:type="dxa"/>
            <w:tcBorders>
              <w:top w:val="nil"/>
              <w:left w:val="nil"/>
              <w:bottom w:val="single" w:sz="4" w:space="0" w:color="auto"/>
              <w:right w:val="single" w:sz="4" w:space="0" w:color="auto"/>
            </w:tcBorders>
            <w:hideMark/>
          </w:tcPr>
          <w:p w14:paraId="2C414B9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Brookside Farm Grassland, </w:t>
            </w:r>
            <w:proofErr w:type="spellStart"/>
            <w:r w:rsidRPr="000663FF">
              <w:rPr>
                <w:rFonts w:ascii="Calibri" w:hAnsi="Calibri" w:cs="Calibri"/>
                <w:color w:val="auto"/>
                <w:sz w:val="22"/>
                <w:szCs w:val="22"/>
              </w:rPr>
              <w:t>Bagthorpe</w:t>
            </w:r>
            <w:proofErr w:type="spellEnd"/>
          </w:p>
        </w:tc>
        <w:tc>
          <w:tcPr>
            <w:tcW w:w="4395" w:type="dxa"/>
            <w:tcBorders>
              <w:top w:val="nil"/>
              <w:left w:val="nil"/>
              <w:bottom w:val="single" w:sz="4" w:space="0" w:color="auto"/>
              <w:right w:val="single" w:sz="4" w:space="0" w:color="auto"/>
            </w:tcBorders>
            <w:hideMark/>
          </w:tcPr>
          <w:p w14:paraId="5FFCAC07" w14:textId="103B2E02"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Neutral grassland</w:t>
            </w:r>
          </w:p>
        </w:tc>
        <w:tc>
          <w:tcPr>
            <w:tcW w:w="1984" w:type="dxa"/>
            <w:tcBorders>
              <w:top w:val="nil"/>
              <w:left w:val="nil"/>
              <w:bottom w:val="single" w:sz="4" w:space="0" w:color="auto"/>
              <w:right w:val="single" w:sz="4" w:space="0" w:color="auto"/>
            </w:tcBorders>
            <w:hideMark/>
          </w:tcPr>
          <w:p w14:paraId="7B6064C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097CCB6E"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770F627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EV4wbl</w:t>
            </w:r>
          </w:p>
        </w:tc>
        <w:tc>
          <w:tcPr>
            <w:tcW w:w="2388" w:type="dxa"/>
            <w:tcBorders>
              <w:top w:val="nil"/>
              <w:left w:val="nil"/>
              <w:bottom w:val="single" w:sz="4" w:space="0" w:color="auto"/>
              <w:right w:val="single" w:sz="4" w:space="0" w:color="auto"/>
            </w:tcBorders>
            <w:hideMark/>
          </w:tcPr>
          <w:p w14:paraId="24417DB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Bulwell Hall Park</w:t>
            </w:r>
          </w:p>
        </w:tc>
        <w:tc>
          <w:tcPr>
            <w:tcW w:w="4395" w:type="dxa"/>
            <w:tcBorders>
              <w:top w:val="nil"/>
              <w:left w:val="nil"/>
              <w:bottom w:val="single" w:sz="4" w:space="0" w:color="auto"/>
              <w:right w:val="single" w:sz="4" w:space="0" w:color="auto"/>
            </w:tcBorders>
            <w:hideMark/>
          </w:tcPr>
          <w:p w14:paraId="7F81CE71" w14:textId="4960A9B0"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excellent assemblage of species-rich habitats in a large city park</w:t>
            </w:r>
          </w:p>
        </w:tc>
        <w:tc>
          <w:tcPr>
            <w:tcW w:w="1984" w:type="dxa"/>
            <w:tcBorders>
              <w:top w:val="nil"/>
              <w:left w:val="nil"/>
              <w:bottom w:val="single" w:sz="4" w:space="0" w:color="auto"/>
              <w:right w:val="single" w:sz="4" w:space="0" w:color="auto"/>
            </w:tcBorders>
            <w:hideMark/>
          </w:tcPr>
          <w:p w14:paraId="31D9BEE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7409D446"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139500F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EV4wbm</w:t>
            </w:r>
          </w:p>
        </w:tc>
        <w:tc>
          <w:tcPr>
            <w:tcW w:w="2388" w:type="dxa"/>
            <w:tcBorders>
              <w:top w:val="single" w:sz="4" w:space="0" w:color="auto"/>
              <w:left w:val="nil"/>
              <w:bottom w:val="single" w:sz="4" w:space="0" w:color="auto"/>
              <w:right w:val="single" w:sz="4" w:space="0" w:color="auto"/>
            </w:tcBorders>
            <w:hideMark/>
          </w:tcPr>
          <w:p w14:paraId="5652106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Bulwell Wood and Pond</w:t>
            </w:r>
          </w:p>
        </w:tc>
        <w:tc>
          <w:tcPr>
            <w:tcW w:w="4395" w:type="dxa"/>
            <w:tcBorders>
              <w:top w:val="single" w:sz="4" w:space="0" w:color="auto"/>
              <w:left w:val="nil"/>
              <w:bottom w:val="single" w:sz="4" w:space="0" w:color="auto"/>
              <w:right w:val="single" w:sz="4" w:space="0" w:color="auto"/>
            </w:tcBorders>
            <w:hideMark/>
          </w:tcPr>
          <w:p w14:paraId="254C9DCF" w14:textId="1C5AB02A" w:rsidR="00FA2CC6" w:rsidRPr="000663FF"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ancient deciduous woodland with a characteristic ground flora</w:t>
            </w:r>
          </w:p>
        </w:tc>
        <w:tc>
          <w:tcPr>
            <w:tcW w:w="1984" w:type="dxa"/>
            <w:tcBorders>
              <w:top w:val="single" w:sz="4" w:space="0" w:color="auto"/>
              <w:left w:val="nil"/>
              <w:bottom w:val="single" w:sz="4" w:space="0" w:color="auto"/>
              <w:right w:val="single" w:sz="4" w:space="0" w:color="auto"/>
            </w:tcBorders>
            <w:hideMark/>
          </w:tcPr>
          <w:p w14:paraId="074EC5E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4A97DB11" w14:textId="77777777" w:rsidTr="007D1949">
        <w:trPr>
          <w:trHeight w:val="580"/>
        </w:trPr>
        <w:tc>
          <w:tcPr>
            <w:tcW w:w="1009" w:type="dxa"/>
            <w:tcBorders>
              <w:top w:val="single" w:sz="4" w:space="0" w:color="auto"/>
              <w:left w:val="single" w:sz="4" w:space="0" w:color="auto"/>
              <w:bottom w:val="single" w:sz="4" w:space="0" w:color="auto"/>
              <w:right w:val="single" w:sz="4" w:space="0" w:color="auto"/>
            </w:tcBorders>
            <w:hideMark/>
          </w:tcPr>
          <w:p w14:paraId="3821809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EV4wbn</w:t>
            </w:r>
          </w:p>
        </w:tc>
        <w:tc>
          <w:tcPr>
            <w:tcW w:w="2388" w:type="dxa"/>
            <w:tcBorders>
              <w:top w:val="single" w:sz="4" w:space="0" w:color="auto"/>
              <w:left w:val="nil"/>
              <w:bottom w:val="single" w:sz="4" w:space="0" w:color="auto"/>
              <w:right w:val="single" w:sz="4" w:space="0" w:color="auto"/>
            </w:tcBorders>
            <w:hideMark/>
          </w:tcPr>
          <w:p w14:paraId="784EB76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Cauldwell Brook</w:t>
            </w:r>
          </w:p>
        </w:tc>
        <w:tc>
          <w:tcPr>
            <w:tcW w:w="4395" w:type="dxa"/>
            <w:tcBorders>
              <w:top w:val="single" w:sz="4" w:space="0" w:color="auto"/>
              <w:left w:val="nil"/>
              <w:bottom w:val="single" w:sz="4" w:space="0" w:color="auto"/>
              <w:right w:val="single" w:sz="4" w:space="0" w:color="auto"/>
            </w:tcBorders>
            <w:hideMark/>
          </w:tcPr>
          <w:p w14:paraId="7EDF0478" w14:textId="5BFAC4E8"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length of stream of zoological importance</w:t>
            </w:r>
          </w:p>
        </w:tc>
        <w:tc>
          <w:tcPr>
            <w:tcW w:w="1984" w:type="dxa"/>
            <w:tcBorders>
              <w:top w:val="single" w:sz="4" w:space="0" w:color="auto"/>
              <w:left w:val="nil"/>
              <w:bottom w:val="single" w:sz="4" w:space="0" w:color="auto"/>
              <w:right w:val="single" w:sz="4" w:space="0" w:color="auto"/>
            </w:tcBorders>
            <w:hideMark/>
          </w:tcPr>
          <w:p w14:paraId="4CBB5AD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0663FF" w:rsidRPr="000663FF" w14:paraId="43A6CAE7" w14:textId="77777777" w:rsidTr="007D1949">
        <w:trPr>
          <w:trHeight w:val="580"/>
        </w:trPr>
        <w:tc>
          <w:tcPr>
            <w:tcW w:w="1009" w:type="dxa"/>
            <w:tcBorders>
              <w:top w:val="single" w:sz="4" w:space="0" w:color="auto"/>
              <w:left w:val="single" w:sz="4" w:space="0" w:color="auto"/>
              <w:bottom w:val="single" w:sz="4" w:space="0" w:color="auto"/>
              <w:right w:val="single" w:sz="4" w:space="0" w:color="auto"/>
            </w:tcBorders>
            <w:hideMark/>
          </w:tcPr>
          <w:p w14:paraId="3EBBFE8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lastRenderedPageBreak/>
              <w:t>EV4wbo</w:t>
            </w:r>
          </w:p>
        </w:tc>
        <w:tc>
          <w:tcPr>
            <w:tcW w:w="2388" w:type="dxa"/>
            <w:tcBorders>
              <w:top w:val="single" w:sz="4" w:space="0" w:color="auto"/>
              <w:left w:val="single" w:sz="4" w:space="0" w:color="auto"/>
              <w:bottom w:val="single" w:sz="4" w:space="0" w:color="auto"/>
              <w:right w:val="single" w:sz="4" w:space="0" w:color="auto"/>
            </w:tcBorders>
            <w:hideMark/>
          </w:tcPr>
          <w:p w14:paraId="4D207BB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Cauldwell Brook Marsh</w:t>
            </w:r>
          </w:p>
        </w:tc>
        <w:tc>
          <w:tcPr>
            <w:tcW w:w="4395" w:type="dxa"/>
            <w:tcBorders>
              <w:top w:val="single" w:sz="4" w:space="0" w:color="auto"/>
              <w:left w:val="single" w:sz="4" w:space="0" w:color="auto"/>
              <w:bottom w:val="single" w:sz="4" w:space="0" w:color="auto"/>
              <w:right w:val="single" w:sz="4" w:space="0" w:color="auto"/>
            </w:tcBorders>
            <w:hideMark/>
          </w:tcPr>
          <w:p w14:paraId="72366920" w14:textId="3E60EF7E"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Marshy grassland in willow plantation by tributary of Cauldwell Brook</w:t>
            </w:r>
          </w:p>
        </w:tc>
        <w:tc>
          <w:tcPr>
            <w:tcW w:w="1984" w:type="dxa"/>
            <w:tcBorders>
              <w:top w:val="single" w:sz="4" w:space="0" w:color="auto"/>
              <w:left w:val="single" w:sz="4" w:space="0" w:color="auto"/>
              <w:bottom w:val="single" w:sz="4" w:space="0" w:color="auto"/>
              <w:right w:val="single" w:sz="4" w:space="0" w:color="auto"/>
            </w:tcBorders>
            <w:hideMark/>
          </w:tcPr>
          <w:p w14:paraId="2C6BEE6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0663FF" w:rsidRPr="000663FF" w14:paraId="184554AD" w14:textId="77777777" w:rsidTr="007D1949">
        <w:trPr>
          <w:trHeight w:val="580"/>
        </w:trPr>
        <w:tc>
          <w:tcPr>
            <w:tcW w:w="1009" w:type="dxa"/>
            <w:tcBorders>
              <w:top w:val="single" w:sz="4" w:space="0" w:color="auto"/>
              <w:left w:val="single" w:sz="4" w:space="0" w:color="auto"/>
              <w:bottom w:val="single" w:sz="4" w:space="0" w:color="auto"/>
              <w:right w:val="single" w:sz="4" w:space="0" w:color="auto"/>
            </w:tcBorders>
            <w:hideMark/>
          </w:tcPr>
          <w:p w14:paraId="70C2CAB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EV4wbp</w:t>
            </w:r>
          </w:p>
        </w:tc>
        <w:tc>
          <w:tcPr>
            <w:tcW w:w="2388" w:type="dxa"/>
            <w:tcBorders>
              <w:top w:val="single" w:sz="4" w:space="0" w:color="auto"/>
              <w:left w:val="nil"/>
              <w:bottom w:val="single" w:sz="4" w:space="0" w:color="auto"/>
              <w:right w:val="single" w:sz="4" w:space="0" w:color="auto"/>
            </w:tcBorders>
            <w:hideMark/>
          </w:tcPr>
          <w:p w14:paraId="7BE6F32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Cauldwell Dam and Drain</w:t>
            </w:r>
          </w:p>
        </w:tc>
        <w:tc>
          <w:tcPr>
            <w:tcW w:w="4395" w:type="dxa"/>
            <w:tcBorders>
              <w:top w:val="single" w:sz="4" w:space="0" w:color="auto"/>
              <w:left w:val="nil"/>
              <w:bottom w:val="single" w:sz="4" w:space="0" w:color="auto"/>
              <w:right w:val="single" w:sz="4" w:space="0" w:color="auto"/>
            </w:tcBorders>
            <w:hideMark/>
          </w:tcPr>
          <w:p w14:paraId="660A9C3E" w14:textId="27D08E3D"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pond, marsh and drain with a noteworthy community</w:t>
            </w:r>
          </w:p>
        </w:tc>
        <w:tc>
          <w:tcPr>
            <w:tcW w:w="1984" w:type="dxa"/>
            <w:tcBorders>
              <w:top w:val="single" w:sz="4" w:space="0" w:color="auto"/>
              <w:left w:val="nil"/>
              <w:bottom w:val="single" w:sz="4" w:space="0" w:color="auto"/>
              <w:right w:val="single" w:sz="4" w:space="0" w:color="auto"/>
            </w:tcBorders>
            <w:hideMark/>
          </w:tcPr>
          <w:p w14:paraId="4018F39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0663FF" w:rsidRPr="000663FF" w14:paraId="6BF4B9EC"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6CE378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EV4wbq</w:t>
            </w:r>
          </w:p>
        </w:tc>
        <w:tc>
          <w:tcPr>
            <w:tcW w:w="2388" w:type="dxa"/>
            <w:tcBorders>
              <w:top w:val="nil"/>
              <w:left w:val="nil"/>
              <w:bottom w:val="single" w:sz="4" w:space="0" w:color="auto"/>
              <w:right w:val="single" w:sz="4" w:space="0" w:color="auto"/>
            </w:tcBorders>
            <w:hideMark/>
          </w:tcPr>
          <w:p w14:paraId="203434B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Chesterfield Road Grassland, </w:t>
            </w:r>
            <w:proofErr w:type="spellStart"/>
            <w:r w:rsidRPr="000663FF">
              <w:rPr>
                <w:rFonts w:ascii="Calibri" w:hAnsi="Calibri" w:cs="Calibri"/>
                <w:color w:val="auto"/>
                <w:sz w:val="22"/>
                <w:szCs w:val="22"/>
              </w:rPr>
              <w:t>Whiteborough</w:t>
            </w:r>
            <w:proofErr w:type="spellEnd"/>
          </w:p>
        </w:tc>
        <w:tc>
          <w:tcPr>
            <w:tcW w:w="4395" w:type="dxa"/>
            <w:tcBorders>
              <w:top w:val="nil"/>
              <w:left w:val="nil"/>
              <w:bottom w:val="single" w:sz="4" w:space="0" w:color="auto"/>
              <w:right w:val="single" w:sz="4" w:space="0" w:color="auto"/>
            </w:tcBorders>
            <w:hideMark/>
          </w:tcPr>
          <w:p w14:paraId="0DD73D0E" w14:textId="06ED8F5C"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neutral grassland of note</w:t>
            </w:r>
          </w:p>
        </w:tc>
        <w:tc>
          <w:tcPr>
            <w:tcW w:w="1984" w:type="dxa"/>
            <w:tcBorders>
              <w:top w:val="nil"/>
              <w:left w:val="nil"/>
              <w:bottom w:val="single" w:sz="4" w:space="0" w:color="auto"/>
              <w:right w:val="single" w:sz="4" w:space="0" w:color="auto"/>
            </w:tcBorders>
            <w:hideMark/>
          </w:tcPr>
          <w:p w14:paraId="154DFD2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018D7365" w14:textId="77777777" w:rsidTr="00DC0D18">
        <w:trPr>
          <w:trHeight w:val="680"/>
        </w:trPr>
        <w:tc>
          <w:tcPr>
            <w:tcW w:w="1009" w:type="dxa"/>
            <w:tcBorders>
              <w:top w:val="nil"/>
              <w:left w:val="single" w:sz="4" w:space="0" w:color="auto"/>
              <w:bottom w:val="single" w:sz="4" w:space="0" w:color="auto"/>
              <w:right w:val="single" w:sz="4" w:space="0" w:color="auto"/>
            </w:tcBorders>
            <w:hideMark/>
          </w:tcPr>
          <w:p w14:paraId="268D71E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EV4wbr</w:t>
            </w:r>
          </w:p>
        </w:tc>
        <w:tc>
          <w:tcPr>
            <w:tcW w:w="2388" w:type="dxa"/>
            <w:tcBorders>
              <w:top w:val="nil"/>
              <w:left w:val="nil"/>
              <w:bottom w:val="single" w:sz="4" w:space="0" w:color="auto"/>
              <w:right w:val="single" w:sz="4" w:space="0" w:color="auto"/>
            </w:tcBorders>
            <w:hideMark/>
          </w:tcPr>
          <w:p w14:paraId="1B572C0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Chesterfield Road Pastures, Huthwaite</w:t>
            </w:r>
          </w:p>
        </w:tc>
        <w:tc>
          <w:tcPr>
            <w:tcW w:w="4395" w:type="dxa"/>
            <w:tcBorders>
              <w:top w:val="nil"/>
              <w:left w:val="nil"/>
              <w:bottom w:val="single" w:sz="4" w:space="0" w:color="auto"/>
              <w:right w:val="single" w:sz="4" w:space="0" w:color="auto"/>
            </w:tcBorders>
            <w:hideMark/>
          </w:tcPr>
          <w:p w14:paraId="7A417144" w14:textId="62A15DB0"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network of four grazed pastures with an impressive diversity of community types</w:t>
            </w:r>
          </w:p>
        </w:tc>
        <w:tc>
          <w:tcPr>
            <w:tcW w:w="1984" w:type="dxa"/>
            <w:tcBorders>
              <w:top w:val="nil"/>
              <w:left w:val="nil"/>
              <w:bottom w:val="single" w:sz="4" w:space="0" w:color="auto"/>
              <w:right w:val="single" w:sz="4" w:space="0" w:color="auto"/>
            </w:tcBorders>
            <w:hideMark/>
          </w:tcPr>
          <w:p w14:paraId="3BA344A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5782E2F6"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2A908A1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EV4wbs</w:t>
            </w:r>
          </w:p>
        </w:tc>
        <w:tc>
          <w:tcPr>
            <w:tcW w:w="2388" w:type="dxa"/>
            <w:tcBorders>
              <w:top w:val="nil"/>
              <w:left w:val="nil"/>
              <w:bottom w:val="single" w:sz="4" w:space="0" w:color="auto"/>
              <w:right w:val="single" w:sz="4" w:space="0" w:color="auto"/>
            </w:tcBorders>
            <w:hideMark/>
          </w:tcPr>
          <w:p w14:paraId="060D4D47"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Coppy</w:t>
            </w:r>
            <w:proofErr w:type="spellEnd"/>
            <w:r w:rsidRPr="000663FF">
              <w:rPr>
                <w:rFonts w:ascii="Calibri" w:hAnsi="Calibri" w:cs="Calibri"/>
                <w:color w:val="auto"/>
                <w:sz w:val="22"/>
                <w:szCs w:val="22"/>
              </w:rPr>
              <w:t xml:space="preserve"> Wood</w:t>
            </w:r>
          </w:p>
        </w:tc>
        <w:tc>
          <w:tcPr>
            <w:tcW w:w="4395" w:type="dxa"/>
            <w:tcBorders>
              <w:top w:val="nil"/>
              <w:left w:val="nil"/>
              <w:bottom w:val="single" w:sz="4" w:space="0" w:color="auto"/>
              <w:right w:val="single" w:sz="4" w:space="0" w:color="auto"/>
            </w:tcBorders>
            <w:hideMark/>
          </w:tcPr>
          <w:p w14:paraId="475A4405" w14:textId="63941BA7"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remnant area of ancient woodland with a surviving ground flora</w:t>
            </w:r>
          </w:p>
        </w:tc>
        <w:tc>
          <w:tcPr>
            <w:tcW w:w="1984" w:type="dxa"/>
            <w:tcBorders>
              <w:top w:val="nil"/>
              <w:left w:val="nil"/>
              <w:bottom w:val="single" w:sz="4" w:space="0" w:color="auto"/>
              <w:right w:val="single" w:sz="4" w:space="0" w:color="auto"/>
            </w:tcBorders>
            <w:hideMark/>
          </w:tcPr>
          <w:p w14:paraId="6CF03DE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438FED54"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5349EBE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EV4wbt</w:t>
            </w:r>
          </w:p>
        </w:tc>
        <w:tc>
          <w:tcPr>
            <w:tcW w:w="2388" w:type="dxa"/>
            <w:tcBorders>
              <w:top w:val="nil"/>
              <w:left w:val="nil"/>
              <w:bottom w:val="single" w:sz="4" w:space="0" w:color="auto"/>
              <w:right w:val="single" w:sz="4" w:space="0" w:color="auto"/>
            </w:tcBorders>
            <w:hideMark/>
          </w:tcPr>
          <w:p w14:paraId="55EB01E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County Dumble</w:t>
            </w:r>
          </w:p>
        </w:tc>
        <w:tc>
          <w:tcPr>
            <w:tcW w:w="4395" w:type="dxa"/>
            <w:tcBorders>
              <w:top w:val="nil"/>
              <w:left w:val="nil"/>
              <w:bottom w:val="single" w:sz="4" w:space="0" w:color="auto"/>
              <w:right w:val="single" w:sz="4" w:space="0" w:color="auto"/>
            </w:tcBorders>
            <w:hideMark/>
          </w:tcPr>
          <w:p w14:paraId="33B43190" w14:textId="43F5B307"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wooded stream supporting a noteworthy flora</w:t>
            </w:r>
          </w:p>
        </w:tc>
        <w:tc>
          <w:tcPr>
            <w:tcW w:w="1984" w:type="dxa"/>
            <w:tcBorders>
              <w:top w:val="nil"/>
              <w:left w:val="nil"/>
              <w:bottom w:val="single" w:sz="4" w:space="0" w:color="auto"/>
              <w:right w:val="single" w:sz="4" w:space="0" w:color="auto"/>
            </w:tcBorders>
            <w:hideMark/>
          </w:tcPr>
          <w:p w14:paraId="22DE41D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3D104CE0"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39099C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EV4wbu</w:t>
            </w:r>
          </w:p>
        </w:tc>
        <w:tc>
          <w:tcPr>
            <w:tcW w:w="2388" w:type="dxa"/>
            <w:tcBorders>
              <w:top w:val="nil"/>
              <w:left w:val="nil"/>
              <w:bottom w:val="single" w:sz="4" w:space="0" w:color="auto"/>
              <w:right w:val="single" w:sz="4" w:space="0" w:color="auto"/>
            </w:tcBorders>
            <w:hideMark/>
          </w:tcPr>
          <w:p w14:paraId="5D67BD68"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Coxmoor</w:t>
            </w:r>
            <w:proofErr w:type="spellEnd"/>
            <w:r w:rsidRPr="000663FF">
              <w:rPr>
                <w:rFonts w:ascii="Calibri" w:hAnsi="Calibri" w:cs="Calibri"/>
                <w:color w:val="auto"/>
                <w:sz w:val="22"/>
                <w:szCs w:val="22"/>
              </w:rPr>
              <w:t xml:space="preserve"> Golf Course</w:t>
            </w:r>
          </w:p>
        </w:tc>
        <w:tc>
          <w:tcPr>
            <w:tcW w:w="4395" w:type="dxa"/>
            <w:tcBorders>
              <w:top w:val="nil"/>
              <w:left w:val="nil"/>
              <w:bottom w:val="single" w:sz="4" w:space="0" w:color="auto"/>
              <w:right w:val="single" w:sz="4" w:space="0" w:color="auto"/>
            </w:tcBorders>
            <w:hideMark/>
          </w:tcPr>
          <w:p w14:paraId="6FDA2A60" w14:textId="43E1F9D2"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excellent habitat mosaic with a most impressive flora</w:t>
            </w:r>
          </w:p>
        </w:tc>
        <w:tc>
          <w:tcPr>
            <w:tcW w:w="1984" w:type="dxa"/>
            <w:tcBorders>
              <w:top w:val="nil"/>
              <w:left w:val="nil"/>
              <w:bottom w:val="single" w:sz="4" w:space="0" w:color="auto"/>
              <w:right w:val="single" w:sz="4" w:space="0" w:color="auto"/>
            </w:tcBorders>
            <w:hideMark/>
          </w:tcPr>
          <w:p w14:paraId="1F989EC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0663FF" w:rsidRPr="000663FF" w14:paraId="60D69D21"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5620EA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EV4wbw</w:t>
            </w:r>
          </w:p>
        </w:tc>
        <w:tc>
          <w:tcPr>
            <w:tcW w:w="2388" w:type="dxa"/>
            <w:tcBorders>
              <w:top w:val="nil"/>
              <w:left w:val="nil"/>
              <w:bottom w:val="single" w:sz="4" w:space="0" w:color="auto"/>
              <w:right w:val="single" w:sz="4" w:space="0" w:color="auto"/>
            </w:tcBorders>
            <w:hideMark/>
          </w:tcPr>
          <w:p w14:paraId="0DD82DD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Crossley Avenue Grassland</w:t>
            </w:r>
          </w:p>
        </w:tc>
        <w:tc>
          <w:tcPr>
            <w:tcW w:w="4395" w:type="dxa"/>
            <w:tcBorders>
              <w:top w:val="nil"/>
              <w:left w:val="nil"/>
              <w:bottom w:val="single" w:sz="4" w:space="0" w:color="auto"/>
              <w:right w:val="single" w:sz="4" w:space="0" w:color="auto"/>
            </w:tcBorders>
            <w:hideMark/>
          </w:tcPr>
          <w:p w14:paraId="3963C53C" w14:textId="4F39C4CE"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noteworthy calcareous grassland with a field pond</w:t>
            </w:r>
          </w:p>
        </w:tc>
        <w:tc>
          <w:tcPr>
            <w:tcW w:w="1984" w:type="dxa"/>
            <w:tcBorders>
              <w:top w:val="nil"/>
              <w:left w:val="nil"/>
              <w:bottom w:val="single" w:sz="4" w:space="0" w:color="auto"/>
              <w:right w:val="single" w:sz="4" w:space="0" w:color="auto"/>
            </w:tcBorders>
            <w:hideMark/>
          </w:tcPr>
          <w:p w14:paraId="43925BC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5A22BF27"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13AA0B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EV4wbx</w:t>
            </w:r>
          </w:p>
        </w:tc>
        <w:tc>
          <w:tcPr>
            <w:tcW w:w="2388" w:type="dxa"/>
            <w:tcBorders>
              <w:top w:val="nil"/>
              <w:left w:val="nil"/>
              <w:bottom w:val="single" w:sz="4" w:space="0" w:color="auto"/>
              <w:right w:val="single" w:sz="4" w:space="0" w:color="auto"/>
            </w:tcBorders>
            <w:hideMark/>
          </w:tcPr>
          <w:p w14:paraId="1135897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Davis's Bottom</w:t>
            </w:r>
          </w:p>
        </w:tc>
        <w:tc>
          <w:tcPr>
            <w:tcW w:w="4395" w:type="dxa"/>
            <w:tcBorders>
              <w:top w:val="nil"/>
              <w:left w:val="nil"/>
              <w:bottom w:val="single" w:sz="4" w:space="0" w:color="auto"/>
              <w:right w:val="single" w:sz="4" w:space="0" w:color="auto"/>
            </w:tcBorders>
            <w:hideMark/>
          </w:tcPr>
          <w:p w14:paraId="4DE872E6" w14:textId="0892A080"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valuable woodland with a notable ground flora</w:t>
            </w:r>
          </w:p>
        </w:tc>
        <w:tc>
          <w:tcPr>
            <w:tcW w:w="1984" w:type="dxa"/>
            <w:tcBorders>
              <w:top w:val="nil"/>
              <w:left w:val="nil"/>
              <w:bottom w:val="single" w:sz="4" w:space="0" w:color="auto"/>
              <w:right w:val="single" w:sz="4" w:space="0" w:color="auto"/>
            </w:tcBorders>
            <w:hideMark/>
          </w:tcPr>
          <w:p w14:paraId="698CD05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4C7108A7"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20C119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EV4wby</w:t>
            </w:r>
          </w:p>
        </w:tc>
        <w:tc>
          <w:tcPr>
            <w:tcW w:w="2388" w:type="dxa"/>
            <w:tcBorders>
              <w:top w:val="nil"/>
              <w:left w:val="nil"/>
              <w:bottom w:val="single" w:sz="4" w:space="0" w:color="auto"/>
              <w:right w:val="single" w:sz="4" w:space="0" w:color="auto"/>
            </w:tcBorders>
            <w:hideMark/>
          </w:tcPr>
          <w:p w14:paraId="240A855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Davis's Bottom Grassland</w:t>
            </w:r>
          </w:p>
        </w:tc>
        <w:tc>
          <w:tcPr>
            <w:tcW w:w="4395" w:type="dxa"/>
            <w:tcBorders>
              <w:top w:val="nil"/>
              <w:left w:val="nil"/>
              <w:bottom w:val="single" w:sz="4" w:space="0" w:color="auto"/>
              <w:right w:val="single" w:sz="4" w:space="0" w:color="auto"/>
            </w:tcBorders>
            <w:hideMark/>
          </w:tcPr>
          <w:p w14:paraId="42AA7E7A" w14:textId="7C2412FB"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grassland with a notable species assemblage</w:t>
            </w:r>
          </w:p>
        </w:tc>
        <w:tc>
          <w:tcPr>
            <w:tcW w:w="1984" w:type="dxa"/>
            <w:tcBorders>
              <w:top w:val="nil"/>
              <w:left w:val="nil"/>
              <w:bottom w:val="single" w:sz="4" w:space="0" w:color="auto"/>
              <w:right w:val="single" w:sz="4" w:space="0" w:color="auto"/>
            </w:tcBorders>
            <w:hideMark/>
          </w:tcPr>
          <w:p w14:paraId="21C2E25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1D777834"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2765D69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EV4wbz</w:t>
            </w:r>
          </w:p>
        </w:tc>
        <w:tc>
          <w:tcPr>
            <w:tcW w:w="2388" w:type="dxa"/>
            <w:tcBorders>
              <w:top w:val="nil"/>
              <w:left w:val="nil"/>
              <w:bottom w:val="single" w:sz="4" w:space="0" w:color="auto"/>
              <w:right w:val="single" w:sz="4" w:space="0" w:color="auto"/>
            </w:tcBorders>
            <w:hideMark/>
          </w:tcPr>
          <w:p w14:paraId="08E65C9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Davis's Bottom Pasture</w:t>
            </w:r>
          </w:p>
        </w:tc>
        <w:tc>
          <w:tcPr>
            <w:tcW w:w="4395" w:type="dxa"/>
            <w:tcBorders>
              <w:top w:val="nil"/>
              <w:left w:val="nil"/>
              <w:bottom w:val="single" w:sz="4" w:space="0" w:color="auto"/>
              <w:right w:val="single" w:sz="4" w:space="0" w:color="auto"/>
            </w:tcBorders>
            <w:hideMark/>
          </w:tcPr>
          <w:p w14:paraId="087AB864" w14:textId="0EF92823"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Two through-grazed grasslands with an excellent herb-rich sward showing calcareous and Coal Measure</w:t>
            </w:r>
          </w:p>
        </w:tc>
        <w:tc>
          <w:tcPr>
            <w:tcW w:w="1984" w:type="dxa"/>
            <w:tcBorders>
              <w:top w:val="nil"/>
              <w:left w:val="nil"/>
              <w:bottom w:val="single" w:sz="4" w:space="0" w:color="auto"/>
              <w:right w:val="single" w:sz="4" w:space="0" w:color="auto"/>
            </w:tcBorders>
            <w:hideMark/>
          </w:tcPr>
          <w:p w14:paraId="67009C4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205E9588"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B4B2FC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w:t>
            </w:r>
          </w:p>
        </w:tc>
        <w:tc>
          <w:tcPr>
            <w:tcW w:w="2388" w:type="dxa"/>
            <w:tcBorders>
              <w:top w:val="nil"/>
              <w:left w:val="nil"/>
              <w:bottom w:val="single" w:sz="4" w:space="0" w:color="auto"/>
              <w:right w:val="single" w:sz="4" w:space="0" w:color="auto"/>
            </w:tcBorders>
            <w:hideMark/>
          </w:tcPr>
          <w:p w14:paraId="5E7459FA"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Dawgate's</w:t>
            </w:r>
            <w:proofErr w:type="spellEnd"/>
            <w:r w:rsidRPr="000663FF">
              <w:rPr>
                <w:rFonts w:ascii="Calibri" w:hAnsi="Calibri" w:cs="Calibri"/>
                <w:color w:val="auto"/>
                <w:sz w:val="22"/>
                <w:szCs w:val="22"/>
              </w:rPr>
              <w:t xml:space="preserve"> Lane Grassland</w:t>
            </w:r>
          </w:p>
        </w:tc>
        <w:tc>
          <w:tcPr>
            <w:tcW w:w="4395" w:type="dxa"/>
            <w:tcBorders>
              <w:top w:val="nil"/>
              <w:left w:val="nil"/>
              <w:bottom w:val="single" w:sz="4" w:space="0" w:color="auto"/>
              <w:right w:val="single" w:sz="4" w:space="0" w:color="auto"/>
            </w:tcBorders>
            <w:hideMark/>
          </w:tcPr>
          <w:p w14:paraId="30ACBB9D" w14:textId="0785916C"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Steep, unimproved grassland with a noteworthy sward</w:t>
            </w:r>
          </w:p>
        </w:tc>
        <w:tc>
          <w:tcPr>
            <w:tcW w:w="1984" w:type="dxa"/>
            <w:tcBorders>
              <w:top w:val="nil"/>
              <w:left w:val="nil"/>
              <w:bottom w:val="single" w:sz="4" w:space="0" w:color="auto"/>
              <w:right w:val="single" w:sz="4" w:space="0" w:color="auto"/>
            </w:tcBorders>
            <w:hideMark/>
          </w:tcPr>
          <w:p w14:paraId="6DA6502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7AEB8479" w14:textId="77777777" w:rsidTr="00DC0D18">
        <w:trPr>
          <w:trHeight w:val="637"/>
        </w:trPr>
        <w:tc>
          <w:tcPr>
            <w:tcW w:w="1009" w:type="dxa"/>
            <w:tcBorders>
              <w:top w:val="single" w:sz="4" w:space="0" w:color="auto"/>
              <w:left w:val="single" w:sz="4" w:space="0" w:color="auto"/>
              <w:bottom w:val="single" w:sz="4" w:space="0" w:color="auto"/>
              <w:right w:val="single" w:sz="4" w:space="0" w:color="auto"/>
            </w:tcBorders>
            <w:hideMark/>
          </w:tcPr>
          <w:p w14:paraId="679B4B7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EV4wca</w:t>
            </w:r>
          </w:p>
        </w:tc>
        <w:tc>
          <w:tcPr>
            <w:tcW w:w="2388" w:type="dxa"/>
            <w:tcBorders>
              <w:top w:val="single" w:sz="4" w:space="0" w:color="auto"/>
              <w:left w:val="single" w:sz="4" w:space="0" w:color="auto"/>
              <w:bottom w:val="single" w:sz="4" w:space="0" w:color="auto"/>
              <w:right w:val="single" w:sz="4" w:space="0" w:color="auto"/>
            </w:tcBorders>
            <w:hideMark/>
          </w:tcPr>
          <w:p w14:paraId="4BAACB87"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Dobpark</w:t>
            </w:r>
            <w:proofErr w:type="spellEnd"/>
            <w:r w:rsidRPr="000663FF">
              <w:rPr>
                <w:rFonts w:ascii="Calibri" w:hAnsi="Calibri" w:cs="Calibri"/>
                <w:color w:val="auto"/>
                <w:sz w:val="22"/>
                <w:szCs w:val="22"/>
              </w:rPr>
              <w:t xml:space="preserve"> Grassland</w:t>
            </w:r>
          </w:p>
        </w:tc>
        <w:tc>
          <w:tcPr>
            <w:tcW w:w="4395" w:type="dxa"/>
            <w:tcBorders>
              <w:top w:val="single" w:sz="4" w:space="0" w:color="auto"/>
              <w:left w:val="single" w:sz="4" w:space="0" w:color="auto"/>
              <w:bottom w:val="single" w:sz="4" w:space="0" w:color="auto"/>
              <w:right w:val="single" w:sz="4" w:space="0" w:color="auto"/>
            </w:tcBorders>
            <w:hideMark/>
          </w:tcPr>
          <w:p w14:paraId="724ED5D4" w14:textId="2A289362"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Remnant area of pastures incorporating some notable marshy areas</w:t>
            </w:r>
          </w:p>
        </w:tc>
        <w:tc>
          <w:tcPr>
            <w:tcW w:w="1984" w:type="dxa"/>
            <w:tcBorders>
              <w:top w:val="single" w:sz="4" w:space="0" w:color="auto"/>
              <w:left w:val="single" w:sz="4" w:space="0" w:color="auto"/>
              <w:bottom w:val="single" w:sz="4" w:space="0" w:color="auto"/>
              <w:right w:val="single" w:sz="4" w:space="0" w:color="auto"/>
            </w:tcBorders>
            <w:hideMark/>
          </w:tcPr>
          <w:p w14:paraId="556E136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57003D17"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3846144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EV4wcb</w:t>
            </w:r>
          </w:p>
        </w:tc>
        <w:tc>
          <w:tcPr>
            <w:tcW w:w="2388" w:type="dxa"/>
            <w:tcBorders>
              <w:top w:val="single" w:sz="4" w:space="0" w:color="auto"/>
              <w:left w:val="nil"/>
              <w:bottom w:val="single" w:sz="4" w:space="0" w:color="auto"/>
              <w:right w:val="single" w:sz="4" w:space="0" w:color="auto"/>
            </w:tcBorders>
            <w:hideMark/>
          </w:tcPr>
          <w:p w14:paraId="738517F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Dovedale Farm Field Bank</w:t>
            </w:r>
          </w:p>
        </w:tc>
        <w:tc>
          <w:tcPr>
            <w:tcW w:w="4395" w:type="dxa"/>
            <w:tcBorders>
              <w:top w:val="single" w:sz="4" w:space="0" w:color="auto"/>
              <w:left w:val="nil"/>
              <w:bottom w:val="single" w:sz="4" w:space="0" w:color="auto"/>
              <w:right w:val="single" w:sz="4" w:space="0" w:color="auto"/>
            </w:tcBorders>
            <w:hideMark/>
          </w:tcPr>
          <w:p w14:paraId="53F4A08A" w14:textId="71AAE473"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grassland bank</w:t>
            </w:r>
          </w:p>
        </w:tc>
        <w:tc>
          <w:tcPr>
            <w:tcW w:w="1984" w:type="dxa"/>
            <w:tcBorders>
              <w:top w:val="single" w:sz="4" w:space="0" w:color="auto"/>
              <w:left w:val="nil"/>
              <w:bottom w:val="single" w:sz="4" w:space="0" w:color="auto"/>
              <w:right w:val="single" w:sz="4" w:space="0" w:color="auto"/>
            </w:tcBorders>
            <w:hideMark/>
          </w:tcPr>
          <w:p w14:paraId="6ABFB14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1F6ED2DE" w14:textId="77777777" w:rsidTr="00DC0D18">
        <w:trPr>
          <w:trHeight w:val="617"/>
        </w:trPr>
        <w:tc>
          <w:tcPr>
            <w:tcW w:w="1009" w:type="dxa"/>
            <w:tcBorders>
              <w:top w:val="nil"/>
              <w:left w:val="single" w:sz="4" w:space="0" w:color="auto"/>
              <w:bottom w:val="single" w:sz="4" w:space="0" w:color="auto"/>
              <w:right w:val="single" w:sz="4" w:space="0" w:color="auto"/>
            </w:tcBorders>
            <w:hideMark/>
          </w:tcPr>
          <w:p w14:paraId="3F348ED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EV4wcc</w:t>
            </w:r>
          </w:p>
        </w:tc>
        <w:tc>
          <w:tcPr>
            <w:tcW w:w="2388" w:type="dxa"/>
            <w:tcBorders>
              <w:top w:val="nil"/>
              <w:left w:val="nil"/>
              <w:bottom w:val="single" w:sz="4" w:space="0" w:color="auto"/>
              <w:right w:val="single" w:sz="4" w:space="0" w:color="auto"/>
            </w:tcBorders>
            <w:hideMark/>
          </w:tcPr>
          <w:p w14:paraId="5E57E49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Dovedale Wood</w:t>
            </w:r>
          </w:p>
        </w:tc>
        <w:tc>
          <w:tcPr>
            <w:tcW w:w="4395" w:type="dxa"/>
            <w:tcBorders>
              <w:top w:val="nil"/>
              <w:left w:val="nil"/>
              <w:bottom w:val="single" w:sz="4" w:space="0" w:color="auto"/>
              <w:right w:val="single" w:sz="4" w:space="0" w:color="auto"/>
            </w:tcBorders>
            <w:hideMark/>
          </w:tcPr>
          <w:p w14:paraId="6CE9F1BC" w14:textId="440B056A"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ancient deciduous woodland with an excellent ground flora and invertebrate interest</w:t>
            </w:r>
          </w:p>
        </w:tc>
        <w:tc>
          <w:tcPr>
            <w:tcW w:w="1984" w:type="dxa"/>
            <w:tcBorders>
              <w:top w:val="nil"/>
              <w:left w:val="nil"/>
              <w:bottom w:val="single" w:sz="4" w:space="0" w:color="auto"/>
              <w:right w:val="single" w:sz="4" w:space="0" w:color="auto"/>
            </w:tcBorders>
            <w:hideMark/>
          </w:tcPr>
          <w:p w14:paraId="65EBBAE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27B03842"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799C4E0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EV4wcd</w:t>
            </w:r>
          </w:p>
        </w:tc>
        <w:tc>
          <w:tcPr>
            <w:tcW w:w="2388" w:type="dxa"/>
            <w:tcBorders>
              <w:top w:val="nil"/>
              <w:left w:val="nil"/>
              <w:bottom w:val="single" w:sz="4" w:space="0" w:color="auto"/>
              <w:right w:val="single" w:sz="4" w:space="0" w:color="auto"/>
            </w:tcBorders>
            <w:hideMark/>
          </w:tcPr>
          <w:p w14:paraId="7C6AA2B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Dovedale Wood Grassland</w:t>
            </w:r>
          </w:p>
        </w:tc>
        <w:tc>
          <w:tcPr>
            <w:tcW w:w="4395" w:type="dxa"/>
            <w:tcBorders>
              <w:top w:val="nil"/>
              <w:left w:val="nil"/>
              <w:bottom w:val="single" w:sz="4" w:space="0" w:color="auto"/>
              <w:right w:val="single" w:sz="4" w:space="0" w:color="auto"/>
            </w:tcBorders>
            <w:hideMark/>
          </w:tcPr>
          <w:p w14:paraId="21F1DCB1" w14:textId="75DB943D"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floristically rich grassland with Coal Measures indicator species</w:t>
            </w:r>
          </w:p>
        </w:tc>
        <w:tc>
          <w:tcPr>
            <w:tcW w:w="1984" w:type="dxa"/>
            <w:tcBorders>
              <w:top w:val="nil"/>
              <w:left w:val="nil"/>
              <w:bottom w:val="single" w:sz="4" w:space="0" w:color="auto"/>
              <w:right w:val="single" w:sz="4" w:space="0" w:color="auto"/>
            </w:tcBorders>
            <w:hideMark/>
          </w:tcPr>
          <w:p w14:paraId="56AC366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71B60AF7" w14:textId="77777777" w:rsidTr="00A41302">
        <w:trPr>
          <w:trHeight w:val="290"/>
        </w:trPr>
        <w:tc>
          <w:tcPr>
            <w:tcW w:w="1009" w:type="dxa"/>
            <w:tcBorders>
              <w:top w:val="nil"/>
              <w:left w:val="single" w:sz="4" w:space="0" w:color="auto"/>
              <w:bottom w:val="single" w:sz="4" w:space="0" w:color="auto"/>
              <w:right w:val="single" w:sz="4" w:space="0" w:color="auto"/>
            </w:tcBorders>
            <w:hideMark/>
          </w:tcPr>
          <w:p w14:paraId="2E6AF4D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EV4wce</w:t>
            </w:r>
          </w:p>
        </w:tc>
        <w:tc>
          <w:tcPr>
            <w:tcW w:w="2388" w:type="dxa"/>
            <w:tcBorders>
              <w:top w:val="nil"/>
              <w:left w:val="nil"/>
              <w:bottom w:val="single" w:sz="4" w:space="0" w:color="auto"/>
              <w:right w:val="single" w:sz="4" w:space="0" w:color="auto"/>
            </w:tcBorders>
            <w:hideMark/>
          </w:tcPr>
          <w:p w14:paraId="583FFD80"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Dumbles</w:t>
            </w:r>
            <w:proofErr w:type="spellEnd"/>
            <w:r w:rsidRPr="000663FF">
              <w:rPr>
                <w:rFonts w:ascii="Calibri" w:hAnsi="Calibri" w:cs="Calibri"/>
                <w:color w:val="auto"/>
                <w:sz w:val="22"/>
                <w:szCs w:val="22"/>
              </w:rPr>
              <w:t xml:space="preserve"> Bungalow Grassland</w:t>
            </w:r>
          </w:p>
        </w:tc>
        <w:tc>
          <w:tcPr>
            <w:tcW w:w="4395" w:type="dxa"/>
            <w:tcBorders>
              <w:top w:val="nil"/>
              <w:left w:val="nil"/>
              <w:bottom w:val="single" w:sz="4" w:space="0" w:color="auto"/>
              <w:right w:val="single" w:sz="4" w:space="0" w:color="auto"/>
            </w:tcBorders>
            <w:hideMark/>
          </w:tcPr>
          <w:p w14:paraId="29ECFB15" w14:textId="03D2D51C"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coal-measures grassland</w:t>
            </w:r>
          </w:p>
        </w:tc>
        <w:tc>
          <w:tcPr>
            <w:tcW w:w="1984" w:type="dxa"/>
            <w:tcBorders>
              <w:top w:val="nil"/>
              <w:left w:val="nil"/>
              <w:bottom w:val="single" w:sz="4" w:space="0" w:color="auto"/>
              <w:right w:val="single" w:sz="4" w:space="0" w:color="auto"/>
            </w:tcBorders>
            <w:hideMark/>
          </w:tcPr>
          <w:p w14:paraId="0369177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Larwood</w:t>
            </w:r>
          </w:p>
        </w:tc>
      </w:tr>
      <w:tr w:rsidR="000663FF" w:rsidRPr="000663FF" w14:paraId="162EACD8" w14:textId="77777777" w:rsidTr="000663FF">
        <w:trPr>
          <w:trHeight w:val="543"/>
        </w:trPr>
        <w:tc>
          <w:tcPr>
            <w:tcW w:w="1009" w:type="dxa"/>
            <w:tcBorders>
              <w:top w:val="single" w:sz="4" w:space="0" w:color="auto"/>
              <w:left w:val="single" w:sz="4" w:space="0" w:color="auto"/>
              <w:bottom w:val="single" w:sz="4" w:space="0" w:color="auto"/>
              <w:right w:val="single" w:sz="4" w:space="0" w:color="auto"/>
            </w:tcBorders>
            <w:hideMark/>
          </w:tcPr>
          <w:p w14:paraId="6FCFA4A8" w14:textId="77777777" w:rsidR="00FA2CC6" w:rsidRPr="00702A30" w:rsidRDefault="00FA2CC6"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EV4wcf</w:t>
            </w:r>
          </w:p>
        </w:tc>
        <w:tc>
          <w:tcPr>
            <w:tcW w:w="2388" w:type="dxa"/>
            <w:tcBorders>
              <w:top w:val="single" w:sz="4" w:space="0" w:color="auto"/>
              <w:left w:val="nil"/>
              <w:bottom w:val="single" w:sz="4" w:space="0" w:color="auto"/>
              <w:right w:val="single" w:sz="4" w:space="0" w:color="auto"/>
            </w:tcBorders>
            <w:hideMark/>
          </w:tcPr>
          <w:p w14:paraId="0BECB5D9" w14:textId="77777777" w:rsidR="00FA2CC6" w:rsidRPr="00702A30" w:rsidRDefault="00FA2CC6" w:rsidP="00FA2CC6">
            <w:pPr>
              <w:keepNext w:val="0"/>
              <w:spacing w:before="0"/>
              <w:rPr>
                <w:rFonts w:ascii="Calibri" w:hAnsi="Calibri" w:cs="Calibri"/>
                <w:strike/>
                <w:color w:val="auto"/>
                <w:sz w:val="22"/>
                <w:szCs w:val="22"/>
              </w:rPr>
            </w:pPr>
            <w:proofErr w:type="spellStart"/>
            <w:r w:rsidRPr="00702A30">
              <w:rPr>
                <w:rFonts w:ascii="Calibri" w:hAnsi="Calibri" w:cs="Calibri"/>
                <w:strike/>
                <w:color w:val="auto"/>
                <w:sz w:val="22"/>
                <w:szCs w:val="22"/>
              </w:rPr>
              <w:t>Eelhole</w:t>
            </w:r>
            <w:proofErr w:type="spellEnd"/>
            <w:r w:rsidRPr="00702A30">
              <w:rPr>
                <w:rFonts w:ascii="Calibri" w:hAnsi="Calibri" w:cs="Calibri"/>
                <w:strike/>
                <w:color w:val="auto"/>
                <w:sz w:val="22"/>
                <w:szCs w:val="22"/>
              </w:rPr>
              <w:t xml:space="preserve"> Wood</w:t>
            </w:r>
          </w:p>
        </w:tc>
        <w:tc>
          <w:tcPr>
            <w:tcW w:w="4395" w:type="dxa"/>
            <w:tcBorders>
              <w:top w:val="single" w:sz="4" w:space="0" w:color="auto"/>
              <w:left w:val="nil"/>
              <w:bottom w:val="single" w:sz="4" w:space="0" w:color="auto"/>
              <w:right w:val="single" w:sz="4" w:space="0" w:color="auto"/>
            </w:tcBorders>
            <w:hideMark/>
          </w:tcPr>
          <w:p w14:paraId="13090034" w14:textId="4A464AD8" w:rsidR="00FA2CC6" w:rsidRPr="00702A30" w:rsidRDefault="00A41302"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 xml:space="preserve">LWS - </w:t>
            </w:r>
            <w:r w:rsidR="00FA2CC6" w:rsidRPr="00702A30">
              <w:rPr>
                <w:rFonts w:ascii="Calibri" w:hAnsi="Calibri" w:cs="Calibri"/>
                <w:strike/>
                <w:color w:val="auto"/>
                <w:sz w:val="22"/>
                <w:szCs w:val="22"/>
              </w:rPr>
              <w:t>A valuable, deciduous woodland with areas of open acidic and grassland in an urban setting</w:t>
            </w:r>
          </w:p>
        </w:tc>
        <w:tc>
          <w:tcPr>
            <w:tcW w:w="1984" w:type="dxa"/>
            <w:tcBorders>
              <w:top w:val="single" w:sz="4" w:space="0" w:color="auto"/>
              <w:left w:val="nil"/>
              <w:bottom w:val="single" w:sz="4" w:space="0" w:color="auto"/>
              <w:right w:val="single" w:sz="4" w:space="0" w:color="auto"/>
            </w:tcBorders>
            <w:hideMark/>
          </w:tcPr>
          <w:p w14:paraId="5B599179" w14:textId="77777777" w:rsidR="00FA2CC6" w:rsidRPr="00702A30" w:rsidRDefault="00FA2CC6"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Hucknall West</w:t>
            </w:r>
          </w:p>
        </w:tc>
      </w:tr>
      <w:tr w:rsidR="000663FF" w:rsidRPr="000663FF" w14:paraId="76BE26CF"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17A9A4C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EV4wcg</w:t>
            </w:r>
          </w:p>
        </w:tc>
        <w:tc>
          <w:tcPr>
            <w:tcW w:w="2388" w:type="dxa"/>
            <w:tcBorders>
              <w:top w:val="single" w:sz="4" w:space="0" w:color="auto"/>
              <w:left w:val="nil"/>
              <w:bottom w:val="single" w:sz="4" w:space="0" w:color="auto"/>
              <w:right w:val="single" w:sz="4" w:space="0" w:color="auto"/>
            </w:tcBorders>
            <w:hideMark/>
          </w:tcPr>
          <w:p w14:paraId="6224072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Erewash Grassland</w:t>
            </w:r>
          </w:p>
        </w:tc>
        <w:tc>
          <w:tcPr>
            <w:tcW w:w="4395" w:type="dxa"/>
            <w:tcBorders>
              <w:top w:val="single" w:sz="4" w:space="0" w:color="auto"/>
              <w:left w:val="nil"/>
              <w:bottom w:val="single" w:sz="4" w:space="0" w:color="auto"/>
              <w:right w:val="single" w:sz="4" w:space="0" w:color="auto"/>
            </w:tcBorders>
            <w:hideMark/>
          </w:tcPr>
          <w:p w14:paraId="1B32D289" w14:textId="05B218BD"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Neutral grassland</w:t>
            </w:r>
          </w:p>
        </w:tc>
        <w:tc>
          <w:tcPr>
            <w:tcW w:w="1984" w:type="dxa"/>
            <w:tcBorders>
              <w:top w:val="single" w:sz="4" w:space="0" w:color="auto"/>
              <w:left w:val="nil"/>
              <w:bottom w:val="single" w:sz="4" w:space="0" w:color="auto"/>
              <w:right w:val="single" w:sz="4" w:space="0" w:color="auto"/>
            </w:tcBorders>
            <w:hideMark/>
          </w:tcPr>
          <w:p w14:paraId="07C39F2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038A8ACF" w14:textId="77777777" w:rsidTr="009D6858">
        <w:trPr>
          <w:trHeight w:val="580"/>
        </w:trPr>
        <w:tc>
          <w:tcPr>
            <w:tcW w:w="1009" w:type="dxa"/>
            <w:tcBorders>
              <w:top w:val="single" w:sz="4" w:space="0" w:color="auto"/>
              <w:left w:val="single" w:sz="4" w:space="0" w:color="auto"/>
              <w:bottom w:val="single" w:sz="4" w:space="0" w:color="auto"/>
              <w:right w:val="single" w:sz="4" w:space="0" w:color="auto"/>
            </w:tcBorders>
            <w:hideMark/>
          </w:tcPr>
          <w:p w14:paraId="77E3CC8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EV4wch</w:t>
            </w:r>
          </w:p>
        </w:tc>
        <w:tc>
          <w:tcPr>
            <w:tcW w:w="2388" w:type="dxa"/>
            <w:tcBorders>
              <w:top w:val="single" w:sz="4" w:space="0" w:color="auto"/>
              <w:left w:val="nil"/>
              <w:bottom w:val="single" w:sz="4" w:space="0" w:color="auto"/>
              <w:right w:val="single" w:sz="4" w:space="0" w:color="auto"/>
            </w:tcBorders>
            <w:hideMark/>
          </w:tcPr>
          <w:p w14:paraId="7929740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Erewash Meadow 1 Kirkby Grives</w:t>
            </w:r>
          </w:p>
        </w:tc>
        <w:tc>
          <w:tcPr>
            <w:tcW w:w="4395" w:type="dxa"/>
            <w:tcBorders>
              <w:top w:val="single" w:sz="4" w:space="0" w:color="auto"/>
              <w:left w:val="nil"/>
              <w:bottom w:val="single" w:sz="4" w:space="0" w:color="auto"/>
              <w:right w:val="single" w:sz="4" w:space="0" w:color="auto"/>
            </w:tcBorders>
            <w:hideMark/>
          </w:tcPr>
          <w:p w14:paraId="465665C0" w14:textId="1C6BBD17"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hay meadow</w:t>
            </w:r>
          </w:p>
        </w:tc>
        <w:tc>
          <w:tcPr>
            <w:tcW w:w="1984" w:type="dxa"/>
            <w:tcBorders>
              <w:top w:val="single" w:sz="4" w:space="0" w:color="auto"/>
              <w:left w:val="nil"/>
              <w:bottom w:val="single" w:sz="4" w:space="0" w:color="auto"/>
              <w:right w:val="single" w:sz="4" w:space="0" w:color="auto"/>
            </w:tcBorders>
            <w:hideMark/>
          </w:tcPr>
          <w:p w14:paraId="7B8A4BC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74E3EF7E" w14:textId="77777777" w:rsidTr="009D6858">
        <w:trPr>
          <w:trHeight w:val="580"/>
        </w:trPr>
        <w:tc>
          <w:tcPr>
            <w:tcW w:w="1009" w:type="dxa"/>
            <w:tcBorders>
              <w:top w:val="single" w:sz="4" w:space="0" w:color="auto"/>
              <w:left w:val="single" w:sz="4" w:space="0" w:color="auto"/>
              <w:bottom w:val="single" w:sz="4" w:space="0" w:color="auto"/>
              <w:right w:val="single" w:sz="4" w:space="0" w:color="auto"/>
            </w:tcBorders>
            <w:hideMark/>
          </w:tcPr>
          <w:p w14:paraId="74FBD59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EV4wci</w:t>
            </w:r>
          </w:p>
        </w:tc>
        <w:tc>
          <w:tcPr>
            <w:tcW w:w="2388" w:type="dxa"/>
            <w:tcBorders>
              <w:top w:val="single" w:sz="4" w:space="0" w:color="auto"/>
              <w:left w:val="single" w:sz="4" w:space="0" w:color="auto"/>
              <w:bottom w:val="single" w:sz="4" w:space="0" w:color="auto"/>
              <w:right w:val="single" w:sz="4" w:space="0" w:color="auto"/>
            </w:tcBorders>
            <w:hideMark/>
          </w:tcPr>
          <w:p w14:paraId="7C3D794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Erewash Meadow, Portland Park</w:t>
            </w:r>
          </w:p>
        </w:tc>
        <w:tc>
          <w:tcPr>
            <w:tcW w:w="4395" w:type="dxa"/>
            <w:tcBorders>
              <w:top w:val="single" w:sz="4" w:space="0" w:color="auto"/>
              <w:left w:val="single" w:sz="4" w:space="0" w:color="auto"/>
              <w:bottom w:val="single" w:sz="4" w:space="0" w:color="auto"/>
              <w:right w:val="single" w:sz="4" w:space="0" w:color="auto"/>
            </w:tcBorders>
            <w:hideMark/>
          </w:tcPr>
          <w:p w14:paraId="5D63D74A" w14:textId="6C41D832"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hay meadow with a coal measures grassland flora</w:t>
            </w:r>
          </w:p>
        </w:tc>
        <w:tc>
          <w:tcPr>
            <w:tcW w:w="1984" w:type="dxa"/>
            <w:tcBorders>
              <w:top w:val="single" w:sz="4" w:space="0" w:color="auto"/>
              <w:left w:val="single" w:sz="4" w:space="0" w:color="auto"/>
              <w:bottom w:val="single" w:sz="4" w:space="0" w:color="auto"/>
              <w:right w:val="single" w:sz="4" w:space="0" w:color="auto"/>
            </w:tcBorders>
            <w:hideMark/>
          </w:tcPr>
          <w:p w14:paraId="5A471B0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513BED06" w14:textId="77777777" w:rsidTr="009D6858">
        <w:trPr>
          <w:trHeight w:val="580"/>
        </w:trPr>
        <w:tc>
          <w:tcPr>
            <w:tcW w:w="1009" w:type="dxa"/>
            <w:tcBorders>
              <w:top w:val="single" w:sz="4" w:space="0" w:color="auto"/>
              <w:left w:val="single" w:sz="4" w:space="0" w:color="auto"/>
              <w:bottom w:val="single" w:sz="4" w:space="0" w:color="auto"/>
              <w:right w:val="single" w:sz="4" w:space="0" w:color="auto"/>
            </w:tcBorders>
            <w:hideMark/>
          </w:tcPr>
          <w:p w14:paraId="6767B7D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lastRenderedPageBreak/>
              <w:t>EV4wcj</w:t>
            </w:r>
          </w:p>
        </w:tc>
        <w:tc>
          <w:tcPr>
            <w:tcW w:w="2388" w:type="dxa"/>
            <w:tcBorders>
              <w:top w:val="single" w:sz="4" w:space="0" w:color="auto"/>
              <w:left w:val="nil"/>
              <w:bottom w:val="single" w:sz="4" w:space="0" w:color="auto"/>
              <w:right w:val="single" w:sz="4" w:space="0" w:color="auto"/>
            </w:tcBorders>
            <w:hideMark/>
          </w:tcPr>
          <w:p w14:paraId="1103E7A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Farley's Disused Railway</w:t>
            </w:r>
          </w:p>
        </w:tc>
        <w:tc>
          <w:tcPr>
            <w:tcW w:w="4395" w:type="dxa"/>
            <w:tcBorders>
              <w:top w:val="single" w:sz="4" w:space="0" w:color="auto"/>
              <w:left w:val="nil"/>
              <w:bottom w:val="single" w:sz="4" w:space="0" w:color="auto"/>
              <w:right w:val="single" w:sz="4" w:space="0" w:color="auto"/>
            </w:tcBorders>
            <w:hideMark/>
          </w:tcPr>
          <w:p w14:paraId="5DDACEE1" w14:textId="350FE2E3"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valuable wooded and scrubby habitat with a most interesting flora</w:t>
            </w:r>
          </w:p>
        </w:tc>
        <w:tc>
          <w:tcPr>
            <w:tcW w:w="1984" w:type="dxa"/>
            <w:tcBorders>
              <w:top w:val="single" w:sz="4" w:space="0" w:color="auto"/>
              <w:left w:val="nil"/>
              <w:bottom w:val="single" w:sz="4" w:space="0" w:color="auto"/>
              <w:right w:val="single" w:sz="4" w:space="0" w:color="auto"/>
            </w:tcBorders>
            <w:hideMark/>
          </w:tcPr>
          <w:p w14:paraId="2E3F661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59E3DAFB"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0300DE4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EV4wck</w:t>
            </w:r>
          </w:p>
        </w:tc>
        <w:tc>
          <w:tcPr>
            <w:tcW w:w="2388" w:type="dxa"/>
            <w:tcBorders>
              <w:top w:val="nil"/>
              <w:left w:val="nil"/>
              <w:bottom w:val="single" w:sz="4" w:space="0" w:color="auto"/>
              <w:right w:val="single" w:sz="4" w:space="0" w:color="auto"/>
            </w:tcBorders>
            <w:hideMark/>
          </w:tcPr>
          <w:p w14:paraId="535B9D6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Farley's Grassland</w:t>
            </w:r>
          </w:p>
        </w:tc>
        <w:tc>
          <w:tcPr>
            <w:tcW w:w="4395" w:type="dxa"/>
            <w:tcBorders>
              <w:top w:val="nil"/>
              <w:left w:val="nil"/>
              <w:bottom w:val="single" w:sz="4" w:space="0" w:color="auto"/>
              <w:right w:val="single" w:sz="4" w:space="0" w:color="auto"/>
            </w:tcBorders>
            <w:hideMark/>
          </w:tcPr>
          <w:p w14:paraId="7CB39725" w14:textId="3D7FE785"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coal measures grassland</w:t>
            </w:r>
          </w:p>
        </w:tc>
        <w:tc>
          <w:tcPr>
            <w:tcW w:w="1984" w:type="dxa"/>
            <w:tcBorders>
              <w:top w:val="nil"/>
              <w:left w:val="nil"/>
              <w:bottom w:val="single" w:sz="4" w:space="0" w:color="auto"/>
              <w:right w:val="single" w:sz="4" w:space="0" w:color="auto"/>
            </w:tcBorders>
            <w:hideMark/>
          </w:tcPr>
          <w:p w14:paraId="10BA65E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South</w:t>
            </w:r>
          </w:p>
        </w:tc>
      </w:tr>
      <w:tr w:rsidR="000663FF" w:rsidRPr="000663FF" w14:paraId="0AC29F77"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554B26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EV4wcl</w:t>
            </w:r>
          </w:p>
        </w:tc>
        <w:tc>
          <w:tcPr>
            <w:tcW w:w="2388" w:type="dxa"/>
            <w:tcBorders>
              <w:top w:val="nil"/>
              <w:left w:val="nil"/>
              <w:bottom w:val="single" w:sz="4" w:space="0" w:color="auto"/>
              <w:right w:val="single" w:sz="4" w:space="0" w:color="auto"/>
            </w:tcBorders>
            <w:hideMark/>
          </w:tcPr>
          <w:p w14:paraId="6D4C6CAF"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Felley</w:t>
            </w:r>
            <w:proofErr w:type="spellEnd"/>
            <w:r w:rsidRPr="000663FF">
              <w:rPr>
                <w:rFonts w:ascii="Calibri" w:hAnsi="Calibri" w:cs="Calibri"/>
                <w:color w:val="auto"/>
                <w:sz w:val="22"/>
                <w:szCs w:val="22"/>
              </w:rPr>
              <w:t xml:space="preserve"> Brook</w:t>
            </w:r>
          </w:p>
        </w:tc>
        <w:tc>
          <w:tcPr>
            <w:tcW w:w="4395" w:type="dxa"/>
            <w:tcBorders>
              <w:top w:val="nil"/>
              <w:left w:val="nil"/>
              <w:bottom w:val="single" w:sz="4" w:space="0" w:color="auto"/>
              <w:right w:val="single" w:sz="4" w:space="0" w:color="auto"/>
            </w:tcBorders>
            <w:hideMark/>
          </w:tcPr>
          <w:p w14:paraId="27F264EB" w14:textId="6EE1B6F9" w:rsidR="00FA2CC6" w:rsidRPr="000663FF" w:rsidRDefault="00A41302"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stream of zoological note</w:t>
            </w:r>
          </w:p>
        </w:tc>
        <w:tc>
          <w:tcPr>
            <w:tcW w:w="1984" w:type="dxa"/>
            <w:tcBorders>
              <w:top w:val="nil"/>
              <w:left w:val="nil"/>
              <w:bottom w:val="single" w:sz="4" w:space="0" w:color="auto"/>
              <w:right w:val="single" w:sz="4" w:space="0" w:color="auto"/>
            </w:tcBorders>
            <w:hideMark/>
          </w:tcPr>
          <w:p w14:paraId="1916623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330EC458"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676C56A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EV4wcm</w:t>
            </w:r>
          </w:p>
        </w:tc>
        <w:tc>
          <w:tcPr>
            <w:tcW w:w="2388" w:type="dxa"/>
            <w:tcBorders>
              <w:top w:val="nil"/>
              <w:left w:val="nil"/>
              <w:bottom w:val="single" w:sz="4" w:space="0" w:color="auto"/>
              <w:right w:val="single" w:sz="4" w:space="0" w:color="auto"/>
            </w:tcBorders>
            <w:hideMark/>
          </w:tcPr>
          <w:p w14:paraId="7E98BA5F" w14:textId="77777777" w:rsidR="00FA2CC6" w:rsidRDefault="00914A38" w:rsidP="00FA2CC6">
            <w:pPr>
              <w:keepNext w:val="0"/>
              <w:spacing w:before="0"/>
              <w:rPr>
                <w:rFonts w:ascii="Calibri" w:hAnsi="Calibri" w:cs="Calibri"/>
                <w:color w:val="auto"/>
                <w:sz w:val="22"/>
                <w:szCs w:val="22"/>
              </w:rPr>
            </w:pPr>
            <w:r>
              <w:rPr>
                <w:rFonts w:ascii="Calibri" w:hAnsi="Calibri" w:cs="Calibri"/>
                <w:color w:val="auto"/>
                <w:sz w:val="22"/>
                <w:szCs w:val="22"/>
              </w:rPr>
              <w:t xml:space="preserve">LWS - </w:t>
            </w:r>
            <w:proofErr w:type="spellStart"/>
            <w:r w:rsidR="00FA2CC6" w:rsidRPr="000663FF">
              <w:rPr>
                <w:rFonts w:ascii="Calibri" w:hAnsi="Calibri" w:cs="Calibri"/>
                <w:color w:val="auto"/>
                <w:sz w:val="22"/>
                <w:szCs w:val="22"/>
              </w:rPr>
              <w:t>Felley</w:t>
            </w:r>
            <w:proofErr w:type="spellEnd"/>
            <w:r w:rsidR="00FA2CC6" w:rsidRPr="000663FF">
              <w:rPr>
                <w:rFonts w:ascii="Calibri" w:hAnsi="Calibri" w:cs="Calibri"/>
                <w:color w:val="auto"/>
                <w:sz w:val="22"/>
                <w:szCs w:val="22"/>
              </w:rPr>
              <w:t xml:space="preserve"> Brook Wood</w:t>
            </w:r>
          </w:p>
          <w:p w14:paraId="4244DD8B" w14:textId="7DAFA515" w:rsidR="002C3E00" w:rsidRPr="000663FF" w:rsidRDefault="002C3E00" w:rsidP="00FA2CC6">
            <w:pPr>
              <w:keepNext w:val="0"/>
              <w:spacing w:before="0"/>
              <w:rPr>
                <w:rFonts w:ascii="Calibri" w:hAnsi="Calibri" w:cs="Calibri"/>
                <w:color w:val="auto"/>
                <w:sz w:val="22"/>
                <w:szCs w:val="22"/>
              </w:rPr>
            </w:pPr>
            <w:r w:rsidRPr="00032183">
              <w:rPr>
                <w:rFonts w:ascii="Calibri" w:hAnsi="Calibri" w:cs="Calibri"/>
                <w:color w:val="0070C0"/>
                <w:sz w:val="22"/>
                <w:szCs w:val="22"/>
              </w:rPr>
              <w:t xml:space="preserve">LGS – </w:t>
            </w:r>
            <w:proofErr w:type="spellStart"/>
            <w:r w:rsidRPr="00032183">
              <w:rPr>
                <w:rFonts w:ascii="Calibri" w:hAnsi="Calibri" w:cs="Calibri"/>
                <w:color w:val="0070C0"/>
                <w:sz w:val="22"/>
                <w:szCs w:val="22"/>
              </w:rPr>
              <w:t>Beauvale</w:t>
            </w:r>
            <w:proofErr w:type="spellEnd"/>
            <w:r w:rsidRPr="00032183">
              <w:rPr>
                <w:rFonts w:ascii="Calibri" w:hAnsi="Calibri" w:cs="Calibri"/>
                <w:color w:val="0070C0"/>
                <w:sz w:val="22"/>
                <w:szCs w:val="22"/>
              </w:rPr>
              <w:t xml:space="preserve"> Brook</w:t>
            </w:r>
          </w:p>
        </w:tc>
        <w:tc>
          <w:tcPr>
            <w:tcW w:w="4395" w:type="dxa"/>
            <w:tcBorders>
              <w:top w:val="nil"/>
              <w:left w:val="nil"/>
              <w:bottom w:val="single" w:sz="4" w:space="0" w:color="auto"/>
              <w:right w:val="single" w:sz="4" w:space="0" w:color="auto"/>
            </w:tcBorders>
            <w:hideMark/>
          </w:tcPr>
          <w:p w14:paraId="5DF68F3F" w14:textId="77777777" w:rsidR="00FA2CC6" w:rsidRDefault="00DC0D18"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w:t>
            </w:r>
            <w:r w:rsidRPr="00032183">
              <w:rPr>
                <w:rFonts w:ascii="Calibri" w:hAnsi="Calibri" w:cs="Calibri"/>
                <w:strike/>
                <w:color w:val="auto"/>
                <w:sz w:val="22"/>
                <w:szCs w:val="22"/>
              </w:rPr>
              <w:t>&amp; LGS</w:t>
            </w:r>
            <w:r w:rsidRPr="000663FF">
              <w:rPr>
                <w:rFonts w:ascii="Calibri" w:hAnsi="Calibri" w:cs="Calibri"/>
                <w:color w:val="auto"/>
                <w:sz w:val="22"/>
                <w:szCs w:val="22"/>
              </w:rPr>
              <w:t xml:space="preserve"> - </w:t>
            </w:r>
            <w:r w:rsidR="00FA2CC6" w:rsidRPr="000663FF">
              <w:rPr>
                <w:rFonts w:ascii="Calibri" w:hAnsi="Calibri" w:cs="Calibri"/>
                <w:color w:val="auto"/>
                <w:sz w:val="22"/>
                <w:szCs w:val="22"/>
              </w:rPr>
              <w:t>A semi-natural riparian woodland with a notable ground flora</w:t>
            </w:r>
          </w:p>
          <w:p w14:paraId="179F2010" w14:textId="65EE2F87" w:rsidR="00032183" w:rsidRPr="00032183" w:rsidRDefault="00032183" w:rsidP="00032183">
            <w:pPr>
              <w:rPr>
                <w:rFonts w:asciiTheme="minorHAnsi" w:hAnsiTheme="minorHAnsi" w:cstheme="minorHAnsi"/>
                <w:color w:val="0070C0"/>
                <w:sz w:val="22"/>
                <w:szCs w:val="22"/>
              </w:rPr>
            </w:pPr>
            <w:r>
              <w:rPr>
                <w:rFonts w:asciiTheme="minorHAnsi" w:hAnsiTheme="minorHAnsi" w:cstheme="minorHAnsi"/>
                <w:color w:val="0070C0"/>
                <w:sz w:val="22"/>
                <w:szCs w:val="22"/>
              </w:rPr>
              <w:t xml:space="preserve">LGS - </w:t>
            </w:r>
            <w:r w:rsidRPr="00032183">
              <w:rPr>
                <w:rFonts w:asciiTheme="minorHAnsi" w:hAnsiTheme="minorHAnsi" w:cstheme="minorHAnsi"/>
                <w:color w:val="0070C0"/>
                <w:sz w:val="22"/>
                <w:szCs w:val="22"/>
              </w:rPr>
              <w:t xml:space="preserve">An exposure of Pennine Middle Coal Measures mudstones, siltstones and shales with fossils  </w:t>
            </w:r>
          </w:p>
          <w:p w14:paraId="66F40306" w14:textId="6187B8AD" w:rsidR="00032183" w:rsidRPr="000663FF" w:rsidRDefault="00032183" w:rsidP="00FA2CC6">
            <w:pPr>
              <w:keepNext w:val="0"/>
              <w:spacing w:before="0"/>
              <w:rPr>
                <w:rFonts w:ascii="Calibri" w:hAnsi="Calibri" w:cs="Calibri"/>
                <w:color w:val="auto"/>
                <w:sz w:val="22"/>
                <w:szCs w:val="22"/>
              </w:rPr>
            </w:pPr>
          </w:p>
        </w:tc>
        <w:tc>
          <w:tcPr>
            <w:tcW w:w="1984" w:type="dxa"/>
            <w:tcBorders>
              <w:top w:val="nil"/>
              <w:left w:val="nil"/>
              <w:bottom w:val="single" w:sz="4" w:space="0" w:color="auto"/>
              <w:right w:val="single" w:sz="4" w:space="0" w:color="auto"/>
            </w:tcBorders>
            <w:hideMark/>
          </w:tcPr>
          <w:p w14:paraId="3A24DBB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43D46177"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588F1FE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EV4wcn</w:t>
            </w:r>
          </w:p>
        </w:tc>
        <w:tc>
          <w:tcPr>
            <w:tcW w:w="2388" w:type="dxa"/>
            <w:tcBorders>
              <w:top w:val="nil"/>
              <w:left w:val="nil"/>
              <w:bottom w:val="single" w:sz="4" w:space="0" w:color="auto"/>
              <w:right w:val="single" w:sz="4" w:space="0" w:color="auto"/>
            </w:tcBorders>
            <w:hideMark/>
          </w:tcPr>
          <w:p w14:paraId="05C8137A"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Felley</w:t>
            </w:r>
            <w:proofErr w:type="spellEnd"/>
            <w:r w:rsidRPr="000663FF">
              <w:rPr>
                <w:rFonts w:ascii="Calibri" w:hAnsi="Calibri" w:cs="Calibri"/>
                <w:color w:val="auto"/>
                <w:sz w:val="22"/>
                <w:szCs w:val="22"/>
              </w:rPr>
              <w:t xml:space="preserve"> Dumble</w:t>
            </w:r>
          </w:p>
        </w:tc>
        <w:tc>
          <w:tcPr>
            <w:tcW w:w="4395" w:type="dxa"/>
            <w:tcBorders>
              <w:top w:val="nil"/>
              <w:left w:val="nil"/>
              <w:bottom w:val="single" w:sz="4" w:space="0" w:color="auto"/>
              <w:right w:val="single" w:sz="4" w:space="0" w:color="auto"/>
            </w:tcBorders>
            <w:hideMark/>
          </w:tcPr>
          <w:p w14:paraId="679FDD06" w14:textId="5B7DB1B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good habitat mosaic of woodland, scrub, banks, stream and pond with a noteworthy flora</w:t>
            </w:r>
          </w:p>
        </w:tc>
        <w:tc>
          <w:tcPr>
            <w:tcW w:w="1984" w:type="dxa"/>
            <w:tcBorders>
              <w:top w:val="nil"/>
              <w:left w:val="nil"/>
              <w:bottom w:val="single" w:sz="4" w:space="0" w:color="auto"/>
              <w:right w:val="single" w:sz="4" w:space="0" w:color="auto"/>
            </w:tcBorders>
            <w:hideMark/>
          </w:tcPr>
          <w:p w14:paraId="7AEF27B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2F5698EF"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45ABE9F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EV4wco</w:t>
            </w:r>
          </w:p>
        </w:tc>
        <w:tc>
          <w:tcPr>
            <w:tcW w:w="2388" w:type="dxa"/>
            <w:tcBorders>
              <w:top w:val="nil"/>
              <w:left w:val="nil"/>
              <w:bottom w:val="single" w:sz="4" w:space="0" w:color="auto"/>
              <w:right w:val="single" w:sz="4" w:space="0" w:color="auto"/>
            </w:tcBorders>
            <w:hideMark/>
          </w:tcPr>
          <w:p w14:paraId="6F3BC3D4"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Felley</w:t>
            </w:r>
            <w:proofErr w:type="spellEnd"/>
            <w:r w:rsidRPr="000663FF">
              <w:rPr>
                <w:rFonts w:ascii="Calibri" w:hAnsi="Calibri" w:cs="Calibri"/>
                <w:color w:val="auto"/>
                <w:sz w:val="22"/>
                <w:szCs w:val="22"/>
              </w:rPr>
              <w:t xml:space="preserve"> Mill Pond</w:t>
            </w:r>
          </w:p>
        </w:tc>
        <w:tc>
          <w:tcPr>
            <w:tcW w:w="4395" w:type="dxa"/>
            <w:tcBorders>
              <w:top w:val="nil"/>
              <w:left w:val="nil"/>
              <w:bottom w:val="single" w:sz="4" w:space="0" w:color="auto"/>
              <w:right w:val="single" w:sz="4" w:space="0" w:color="auto"/>
            </w:tcBorders>
            <w:hideMark/>
          </w:tcPr>
          <w:p w14:paraId="62D49C11" w14:textId="0016C725"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drying pool with woodland and damp grassland</w:t>
            </w:r>
          </w:p>
        </w:tc>
        <w:tc>
          <w:tcPr>
            <w:tcW w:w="1984" w:type="dxa"/>
            <w:tcBorders>
              <w:top w:val="nil"/>
              <w:left w:val="nil"/>
              <w:bottom w:val="single" w:sz="4" w:space="0" w:color="auto"/>
              <w:right w:val="single" w:sz="4" w:space="0" w:color="auto"/>
            </w:tcBorders>
            <w:hideMark/>
          </w:tcPr>
          <w:p w14:paraId="1174225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0A8BAC50" w14:textId="77777777" w:rsidTr="00DC0D18">
        <w:trPr>
          <w:trHeight w:val="441"/>
        </w:trPr>
        <w:tc>
          <w:tcPr>
            <w:tcW w:w="1009" w:type="dxa"/>
            <w:tcBorders>
              <w:top w:val="nil"/>
              <w:left w:val="single" w:sz="4" w:space="0" w:color="auto"/>
              <w:bottom w:val="single" w:sz="4" w:space="0" w:color="auto"/>
              <w:right w:val="single" w:sz="4" w:space="0" w:color="auto"/>
            </w:tcBorders>
            <w:hideMark/>
          </w:tcPr>
          <w:p w14:paraId="2835D22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EV4wcp</w:t>
            </w:r>
          </w:p>
        </w:tc>
        <w:tc>
          <w:tcPr>
            <w:tcW w:w="2388" w:type="dxa"/>
            <w:tcBorders>
              <w:top w:val="nil"/>
              <w:left w:val="nil"/>
              <w:bottom w:val="single" w:sz="4" w:space="0" w:color="auto"/>
              <w:right w:val="single" w:sz="4" w:space="0" w:color="auto"/>
            </w:tcBorders>
            <w:hideMark/>
          </w:tcPr>
          <w:p w14:paraId="33CD01E2"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Felley</w:t>
            </w:r>
            <w:proofErr w:type="spellEnd"/>
            <w:r w:rsidRPr="000663FF">
              <w:rPr>
                <w:rFonts w:ascii="Calibri" w:hAnsi="Calibri" w:cs="Calibri"/>
                <w:color w:val="auto"/>
                <w:sz w:val="22"/>
                <w:szCs w:val="22"/>
              </w:rPr>
              <w:t xml:space="preserve"> Priory Pond</w:t>
            </w:r>
          </w:p>
        </w:tc>
        <w:tc>
          <w:tcPr>
            <w:tcW w:w="4395" w:type="dxa"/>
            <w:tcBorders>
              <w:top w:val="nil"/>
              <w:left w:val="nil"/>
              <w:bottom w:val="single" w:sz="4" w:space="0" w:color="auto"/>
              <w:right w:val="single" w:sz="4" w:space="0" w:color="auto"/>
            </w:tcBorders>
            <w:hideMark/>
          </w:tcPr>
          <w:p w14:paraId="5ACE0667" w14:textId="04E282E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pond with a notable aquatic and bankside flora</w:t>
            </w:r>
          </w:p>
        </w:tc>
        <w:tc>
          <w:tcPr>
            <w:tcW w:w="1984" w:type="dxa"/>
            <w:tcBorders>
              <w:top w:val="nil"/>
              <w:left w:val="nil"/>
              <w:bottom w:val="single" w:sz="4" w:space="0" w:color="auto"/>
              <w:right w:val="single" w:sz="4" w:space="0" w:color="auto"/>
            </w:tcBorders>
            <w:hideMark/>
          </w:tcPr>
          <w:p w14:paraId="2CD88C5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14ED3919"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2B5E24F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EV4wcq</w:t>
            </w:r>
          </w:p>
        </w:tc>
        <w:tc>
          <w:tcPr>
            <w:tcW w:w="2388" w:type="dxa"/>
            <w:tcBorders>
              <w:top w:val="nil"/>
              <w:left w:val="nil"/>
              <w:bottom w:val="single" w:sz="4" w:space="0" w:color="auto"/>
              <w:right w:val="single" w:sz="4" w:space="0" w:color="auto"/>
            </w:tcBorders>
            <w:hideMark/>
          </w:tcPr>
          <w:p w14:paraId="55BD28D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Forest Road Grassland</w:t>
            </w:r>
          </w:p>
        </w:tc>
        <w:tc>
          <w:tcPr>
            <w:tcW w:w="4395" w:type="dxa"/>
            <w:tcBorders>
              <w:top w:val="nil"/>
              <w:left w:val="nil"/>
              <w:bottom w:val="single" w:sz="4" w:space="0" w:color="auto"/>
              <w:right w:val="single" w:sz="4" w:space="0" w:color="auto"/>
            </w:tcBorders>
            <w:hideMark/>
          </w:tcPr>
          <w:p w14:paraId="54D5A044" w14:textId="00C39A35"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 rich coal measures grassland</w:t>
            </w:r>
          </w:p>
        </w:tc>
        <w:tc>
          <w:tcPr>
            <w:tcW w:w="1984" w:type="dxa"/>
            <w:tcBorders>
              <w:top w:val="nil"/>
              <w:left w:val="nil"/>
              <w:bottom w:val="single" w:sz="4" w:space="0" w:color="auto"/>
              <w:right w:val="single" w:sz="4" w:space="0" w:color="auto"/>
            </w:tcBorders>
            <w:hideMark/>
          </w:tcPr>
          <w:p w14:paraId="227245D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2B4537EA" w14:textId="77777777" w:rsidTr="00DC0D18">
        <w:trPr>
          <w:trHeight w:val="573"/>
        </w:trPr>
        <w:tc>
          <w:tcPr>
            <w:tcW w:w="1009" w:type="dxa"/>
            <w:tcBorders>
              <w:top w:val="nil"/>
              <w:left w:val="single" w:sz="4" w:space="0" w:color="auto"/>
              <w:bottom w:val="single" w:sz="4" w:space="0" w:color="auto"/>
              <w:right w:val="single" w:sz="4" w:space="0" w:color="auto"/>
            </w:tcBorders>
            <w:hideMark/>
          </w:tcPr>
          <w:p w14:paraId="6BB42336" w14:textId="77777777" w:rsidR="00FA2CC6" w:rsidRPr="00702A30" w:rsidRDefault="00FA2CC6"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EV4wcr</w:t>
            </w:r>
          </w:p>
        </w:tc>
        <w:tc>
          <w:tcPr>
            <w:tcW w:w="2388" w:type="dxa"/>
            <w:tcBorders>
              <w:top w:val="nil"/>
              <w:left w:val="nil"/>
              <w:bottom w:val="single" w:sz="4" w:space="0" w:color="auto"/>
              <w:right w:val="single" w:sz="4" w:space="0" w:color="auto"/>
            </w:tcBorders>
            <w:hideMark/>
          </w:tcPr>
          <w:p w14:paraId="78B7B21E" w14:textId="77777777" w:rsidR="00FA2CC6" w:rsidRPr="00702A30" w:rsidRDefault="00FA2CC6"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Fountain Dale</w:t>
            </w:r>
          </w:p>
        </w:tc>
        <w:tc>
          <w:tcPr>
            <w:tcW w:w="4395" w:type="dxa"/>
            <w:tcBorders>
              <w:top w:val="nil"/>
              <w:left w:val="nil"/>
              <w:bottom w:val="single" w:sz="4" w:space="0" w:color="auto"/>
              <w:right w:val="single" w:sz="4" w:space="0" w:color="auto"/>
            </w:tcBorders>
            <w:hideMark/>
          </w:tcPr>
          <w:p w14:paraId="3A39317E" w14:textId="6AFF8151" w:rsidR="00FA2CC6" w:rsidRPr="00702A30" w:rsidRDefault="007A1A00"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 xml:space="preserve">LWS - </w:t>
            </w:r>
            <w:r w:rsidR="00FA2CC6" w:rsidRPr="00702A30">
              <w:rPr>
                <w:rFonts w:ascii="Calibri" w:hAnsi="Calibri" w:cs="Calibri"/>
                <w:strike/>
                <w:color w:val="auto"/>
                <w:sz w:val="22"/>
                <w:szCs w:val="22"/>
              </w:rPr>
              <w:t>A damp, open valley woodland with drying out fish pools, and clearings of an acidic character</w:t>
            </w:r>
          </w:p>
        </w:tc>
        <w:tc>
          <w:tcPr>
            <w:tcW w:w="1984" w:type="dxa"/>
            <w:tcBorders>
              <w:top w:val="nil"/>
              <w:left w:val="nil"/>
              <w:bottom w:val="single" w:sz="4" w:space="0" w:color="auto"/>
              <w:right w:val="single" w:sz="4" w:space="0" w:color="auto"/>
            </w:tcBorders>
            <w:hideMark/>
          </w:tcPr>
          <w:p w14:paraId="3F2C8DB5" w14:textId="77777777" w:rsidR="00FA2CC6" w:rsidRPr="00702A30" w:rsidRDefault="00FA2CC6" w:rsidP="00FA2CC6">
            <w:pPr>
              <w:keepNext w:val="0"/>
              <w:spacing w:before="0"/>
              <w:rPr>
                <w:rFonts w:ascii="Calibri" w:hAnsi="Calibri" w:cs="Calibri"/>
                <w:strike/>
                <w:color w:val="auto"/>
                <w:sz w:val="22"/>
                <w:szCs w:val="22"/>
              </w:rPr>
            </w:pPr>
            <w:r w:rsidRPr="00702A30">
              <w:rPr>
                <w:rFonts w:ascii="Calibri" w:hAnsi="Calibri" w:cs="Calibri"/>
                <w:strike/>
                <w:color w:val="auto"/>
                <w:sz w:val="22"/>
                <w:szCs w:val="22"/>
              </w:rPr>
              <w:t>Sutton Junction &amp; Harlow Wood</w:t>
            </w:r>
          </w:p>
        </w:tc>
      </w:tr>
      <w:tr w:rsidR="000663FF" w:rsidRPr="000663FF" w14:paraId="4D3FFA3B"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97ED9B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EV4wcs</w:t>
            </w:r>
          </w:p>
        </w:tc>
        <w:tc>
          <w:tcPr>
            <w:tcW w:w="2388" w:type="dxa"/>
            <w:tcBorders>
              <w:top w:val="nil"/>
              <w:left w:val="nil"/>
              <w:bottom w:val="single" w:sz="4" w:space="0" w:color="auto"/>
              <w:right w:val="single" w:sz="4" w:space="0" w:color="auto"/>
            </w:tcBorders>
            <w:hideMark/>
          </w:tcPr>
          <w:p w14:paraId="3272DC75"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Franderground</w:t>
            </w:r>
            <w:proofErr w:type="spellEnd"/>
            <w:r w:rsidRPr="000663FF">
              <w:rPr>
                <w:rFonts w:ascii="Calibri" w:hAnsi="Calibri" w:cs="Calibri"/>
                <w:color w:val="auto"/>
                <w:sz w:val="22"/>
                <w:szCs w:val="22"/>
              </w:rPr>
              <w:t xml:space="preserve"> Farm Disused Railway</w:t>
            </w:r>
          </w:p>
        </w:tc>
        <w:tc>
          <w:tcPr>
            <w:tcW w:w="4395" w:type="dxa"/>
            <w:tcBorders>
              <w:top w:val="nil"/>
              <w:left w:val="nil"/>
              <w:bottom w:val="single" w:sz="4" w:space="0" w:color="auto"/>
              <w:right w:val="single" w:sz="4" w:space="0" w:color="auto"/>
            </w:tcBorders>
            <w:hideMark/>
          </w:tcPr>
          <w:p w14:paraId="7B8036F6" w14:textId="6710F28F"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wooded disused railway with a notable flora</w:t>
            </w:r>
          </w:p>
        </w:tc>
        <w:tc>
          <w:tcPr>
            <w:tcW w:w="1984" w:type="dxa"/>
            <w:tcBorders>
              <w:top w:val="nil"/>
              <w:left w:val="nil"/>
              <w:bottom w:val="single" w:sz="4" w:space="0" w:color="auto"/>
              <w:right w:val="single" w:sz="4" w:space="0" w:color="auto"/>
            </w:tcBorders>
            <w:hideMark/>
          </w:tcPr>
          <w:p w14:paraId="00C97FF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Larwood</w:t>
            </w:r>
          </w:p>
        </w:tc>
      </w:tr>
      <w:tr w:rsidR="000663FF" w:rsidRPr="000663FF" w14:paraId="65F17773" w14:textId="77777777" w:rsidTr="00DC0D18">
        <w:trPr>
          <w:trHeight w:val="870"/>
        </w:trPr>
        <w:tc>
          <w:tcPr>
            <w:tcW w:w="1009" w:type="dxa"/>
            <w:tcBorders>
              <w:top w:val="single" w:sz="4" w:space="0" w:color="auto"/>
              <w:left w:val="single" w:sz="4" w:space="0" w:color="auto"/>
              <w:bottom w:val="single" w:sz="4" w:space="0" w:color="auto"/>
              <w:right w:val="single" w:sz="4" w:space="0" w:color="auto"/>
            </w:tcBorders>
            <w:hideMark/>
          </w:tcPr>
          <w:p w14:paraId="2A6F83C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EV4wct</w:t>
            </w:r>
          </w:p>
        </w:tc>
        <w:tc>
          <w:tcPr>
            <w:tcW w:w="2388" w:type="dxa"/>
            <w:tcBorders>
              <w:top w:val="single" w:sz="4" w:space="0" w:color="auto"/>
              <w:left w:val="single" w:sz="4" w:space="0" w:color="auto"/>
              <w:bottom w:val="single" w:sz="4" w:space="0" w:color="auto"/>
              <w:right w:val="single" w:sz="4" w:space="0" w:color="auto"/>
            </w:tcBorders>
            <w:hideMark/>
          </w:tcPr>
          <w:p w14:paraId="132010AA"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Freizeland</w:t>
            </w:r>
            <w:proofErr w:type="spellEnd"/>
            <w:r w:rsidRPr="000663FF">
              <w:rPr>
                <w:rFonts w:ascii="Calibri" w:hAnsi="Calibri" w:cs="Calibri"/>
                <w:color w:val="auto"/>
                <w:sz w:val="22"/>
                <w:szCs w:val="22"/>
              </w:rPr>
              <w:t xml:space="preserve"> Grassland</w:t>
            </w:r>
          </w:p>
        </w:tc>
        <w:tc>
          <w:tcPr>
            <w:tcW w:w="4395" w:type="dxa"/>
            <w:tcBorders>
              <w:top w:val="single" w:sz="4" w:space="0" w:color="auto"/>
              <w:left w:val="single" w:sz="4" w:space="0" w:color="auto"/>
              <w:bottom w:val="single" w:sz="4" w:space="0" w:color="auto"/>
              <w:right w:val="single" w:sz="4" w:space="0" w:color="auto"/>
            </w:tcBorders>
            <w:hideMark/>
          </w:tcPr>
          <w:p w14:paraId="502BFE48" w14:textId="10364DF7"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interesting range of habitat types and plant communities developed on disturbed clays and sands</w:t>
            </w:r>
          </w:p>
        </w:tc>
        <w:tc>
          <w:tcPr>
            <w:tcW w:w="1984" w:type="dxa"/>
            <w:tcBorders>
              <w:top w:val="single" w:sz="4" w:space="0" w:color="auto"/>
              <w:left w:val="single" w:sz="4" w:space="0" w:color="auto"/>
              <w:bottom w:val="single" w:sz="4" w:space="0" w:color="auto"/>
              <w:right w:val="single" w:sz="4" w:space="0" w:color="auto"/>
            </w:tcBorders>
            <w:hideMark/>
          </w:tcPr>
          <w:p w14:paraId="42C6F6A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43D35624" w14:textId="77777777" w:rsidTr="00DC0D18">
        <w:trPr>
          <w:trHeight w:val="290"/>
        </w:trPr>
        <w:tc>
          <w:tcPr>
            <w:tcW w:w="1009" w:type="dxa"/>
            <w:tcBorders>
              <w:top w:val="single" w:sz="4" w:space="0" w:color="auto"/>
              <w:left w:val="single" w:sz="4" w:space="0" w:color="auto"/>
              <w:bottom w:val="single" w:sz="4" w:space="0" w:color="auto"/>
              <w:right w:val="single" w:sz="4" w:space="0" w:color="auto"/>
            </w:tcBorders>
            <w:hideMark/>
          </w:tcPr>
          <w:p w14:paraId="7B80709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EV4wcu</w:t>
            </w:r>
          </w:p>
        </w:tc>
        <w:tc>
          <w:tcPr>
            <w:tcW w:w="2388" w:type="dxa"/>
            <w:tcBorders>
              <w:top w:val="single" w:sz="4" w:space="0" w:color="auto"/>
              <w:left w:val="nil"/>
              <w:bottom w:val="single" w:sz="4" w:space="0" w:color="auto"/>
              <w:right w:val="single" w:sz="4" w:space="0" w:color="auto"/>
            </w:tcBorders>
            <w:hideMark/>
          </w:tcPr>
          <w:p w14:paraId="096CF7D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Fulwood Grassland</w:t>
            </w:r>
          </w:p>
        </w:tc>
        <w:tc>
          <w:tcPr>
            <w:tcW w:w="4395" w:type="dxa"/>
            <w:tcBorders>
              <w:top w:val="single" w:sz="4" w:space="0" w:color="auto"/>
              <w:left w:val="nil"/>
              <w:bottom w:val="single" w:sz="4" w:space="0" w:color="auto"/>
              <w:right w:val="single" w:sz="4" w:space="0" w:color="auto"/>
            </w:tcBorders>
            <w:hideMark/>
          </w:tcPr>
          <w:p w14:paraId="346D1E51" w14:textId="0E59B36E"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Damp coal-measures grassland</w:t>
            </w:r>
          </w:p>
        </w:tc>
        <w:tc>
          <w:tcPr>
            <w:tcW w:w="1984" w:type="dxa"/>
            <w:tcBorders>
              <w:top w:val="single" w:sz="4" w:space="0" w:color="auto"/>
              <w:left w:val="nil"/>
              <w:bottom w:val="single" w:sz="4" w:space="0" w:color="auto"/>
              <w:right w:val="single" w:sz="4" w:space="0" w:color="auto"/>
            </w:tcBorders>
            <w:hideMark/>
          </w:tcPr>
          <w:p w14:paraId="5930E52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Ashfields</w:t>
            </w:r>
          </w:p>
        </w:tc>
      </w:tr>
      <w:tr w:rsidR="000663FF" w:rsidRPr="000663FF" w14:paraId="619B3DBF"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1D9C888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EV4wcv</w:t>
            </w:r>
          </w:p>
        </w:tc>
        <w:tc>
          <w:tcPr>
            <w:tcW w:w="2388" w:type="dxa"/>
            <w:tcBorders>
              <w:top w:val="nil"/>
              <w:left w:val="nil"/>
              <w:bottom w:val="single" w:sz="4" w:space="0" w:color="auto"/>
              <w:right w:val="single" w:sz="4" w:space="0" w:color="auto"/>
            </w:tcBorders>
            <w:hideMark/>
          </w:tcPr>
          <w:p w14:paraId="192EA10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Fulwood Grassland II</w:t>
            </w:r>
          </w:p>
        </w:tc>
        <w:tc>
          <w:tcPr>
            <w:tcW w:w="4395" w:type="dxa"/>
            <w:tcBorders>
              <w:top w:val="nil"/>
              <w:left w:val="nil"/>
              <w:bottom w:val="single" w:sz="4" w:space="0" w:color="auto"/>
              <w:right w:val="single" w:sz="4" w:space="0" w:color="auto"/>
            </w:tcBorders>
            <w:hideMark/>
          </w:tcPr>
          <w:p w14:paraId="2CE33D71" w14:textId="22454D5E"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noteworthy hay meadow</w:t>
            </w:r>
          </w:p>
        </w:tc>
        <w:tc>
          <w:tcPr>
            <w:tcW w:w="1984" w:type="dxa"/>
            <w:tcBorders>
              <w:top w:val="nil"/>
              <w:left w:val="nil"/>
              <w:bottom w:val="single" w:sz="4" w:space="0" w:color="auto"/>
              <w:right w:val="single" w:sz="4" w:space="0" w:color="auto"/>
            </w:tcBorders>
            <w:hideMark/>
          </w:tcPr>
          <w:p w14:paraId="24B8D39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Larwood</w:t>
            </w:r>
          </w:p>
        </w:tc>
      </w:tr>
      <w:tr w:rsidR="000663FF" w:rsidRPr="000663FF" w14:paraId="2520A91D" w14:textId="77777777" w:rsidTr="00DC0D18">
        <w:trPr>
          <w:trHeight w:val="354"/>
        </w:trPr>
        <w:tc>
          <w:tcPr>
            <w:tcW w:w="1009" w:type="dxa"/>
            <w:tcBorders>
              <w:top w:val="single" w:sz="4" w:space="0" w:color="auto"/>
              <w:left w:val="single" w:sz="4" w:space="0" w:color="auto"/>
              <w:bottom w:val="single" w:sz="4" w:space="0" w:color="auto"/>
              <w:right w:val="single" w:sz="4" w:space="0" w:color="auto"/>
            </w:tcBorders>
            <w:hideMark/>
          </w:tcPr>
          <w:p w14:paraId="1B9CB11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EV4wcw</w:t>
            </w:r>
          </w:p>
        </w:tc>
        <w:tc>
          <w:tcPr>
            <w:tcW w:w="2388" w:type="dxa"/>
            <w:tcBorders>
              <w:top w:val="single" w:sz="4" w:space="0" w:color="auto"/>
              <w:left w:val="single" w:sz="4" w:space="0" w:color="auto"/>
              <w:bottom w:val="single" w:sz="4" w:space="0" w:color="auto"/>
              <w:right w:val="single" w:sz="4" w:space="0" w:color="auto"/>
            </w:tcBorders>
            <w:hideMark/>
          </w:tcPr>
          <w:p w14:paraId="6541832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Fulwood Grassland III</w:t>
            </w:r>
          </w:p>
        </w:tc>
        <w:tc>
          <w:tcPr>
            <w:tcW w:w="4395" w:type="dxa"/>
            <w:tcBorders>
              <w:top w:val="single" w:sz="4" w:space="0" w:color="auto"/>
              <w:left w:val="single" w:sz="4" w:space="0" w:color="auto"/>
              <w:bottom w:val="single" w:sz="4" w:space="0" w:color="auto"/>
              <w:right w:val="single" w:sz="4" w:space="0" w:color="auto"/>
            </w:tcBorders>
            <w:hideMark/>
          </w:tcPr>
          <w:p w14:paraId="1D50A4C4" w14:textId="57B5D0C9"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traditionally managed coal measures grassland</w:t>
            </w:r>
          </w:p>
        </w:tc>
        <w:tc>
          <w:tcPr>
            <w:tcW w:w="1984" w:type="dxa"/>
            <w:tcBorders>
              <w:top w:val="single" w:sz="4" w:space="0" w:color="auto"/>
              <w:left w:val="single" w:sz="4" w:space="0" w:color="auto"/>
              <w:bottom w:val="single" w:sz="4" w:space="0" w:color="auto"/>
              <w:right w:val="single" w:sz="4" w:space="0" w:color="auto"/>
            </w:tcBorders>
            <w:hideMark/>
          </w:tcPr>
          <w:p w14:paraId="39CDBEE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Larwood</w:t>
            </w:r>
          </w:p>
        </w:tc>
      </w:tr>
      <w:tr w:rsidR="000663FF" w:rsidRPr="000663FF" w14:paraId="62308B04"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71047C2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EV4wcx</w:t>
            </w:r>
          </w:p>
        </w:tc>
        <w:tc>
          <w:tcPr>
            <w:tcW w:w="2388" w:type="dxa"/>
            <w:tcBorders>
              <w:top w:val="single" w:sz="4" w:space="0" w:color="auto"/>
              <w:left w:val="nil"/>
              <w:bottom w:val="single" w:sz="4" w:space="0" w:color="auto"/>
              <w:right w:val="single" w:sz="4" w:space="0" w:color="auto"/>
            </w:tcBorders>
            <w:hideMark/>
          </w:tcPr>
          <w:p w14:paraId="541C9E7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Fulwood Meadow</w:t>
            </w:r>
          </w:p>
        </w:tc>
        <w:tc>
          <w:tcPr>
            <w:tcW w:w="4395" w:type="dxa"/>
            <w:tcBorders>
              <w:top w:val="single" w:sz="4" w:space="0" w:color="auto"/>
              <w:left w:val="nil"/>
              <w:bottom w:val="single" w:sz="4" w:space="0" w:color="auto"/>
              <w:right w:val="single" w:sz="4" w:space="0" w:color="auto"/>
            </w:tcBorders>
            <w:hideMark/>
          </w:tcPr>
          <w:p w14:paraId="68F92103" w14:textId="75178D5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base-rich unimproved neutral grassland with a noteworthy flora</w:t>
            </w:r>
          </w:p>
        </w:tc>
        <w:tc>
          <w:tcPr>
            <w:tcW w:w="1984" w:type="dxa"/>
            <w:tcBorders>
              <w:top w:val="single" w:sz="4" w:space="0" w:color="auto"/>
              <w:left w:val="nil"/>
              <w:bottom w:val="single" w:sz="4" w:space="0" w:color="auto"/>
              <w:right w:val="single" w:sz="4" w:space="0" w:color="auto"/>
            </w:tcBorders>
            <w:hideMark/>
          </w:tcPr>
          <w:p w14:paraId="387456B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Larwood</w:t>
            </w:r>
          </w:p>
        </w:tc>
      </w:tr>
      <w:tr w:rsidR="000663FF" w:rsidRPr="000663FF" w14:paraId="610864F0"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7B520A0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EV4wcy</w:t>
            </w:r>
          </w:p>
        </w:tc>
        <w:tc>
          <w:tcPr>
            <w:tcW w:w="2388" w:type="dxa"/>
            <w:tcBorders>
              <w:top w:val="nil"/>
              <w:left w:val="nil"/>
              <w:bottom w:val="single" w:sz="4" w:space="0" w:color="auto"/>
              <w:right w:val="single" w:sz="4" w:space="0" w:color="auto"/>
            </w:tcBorders>
            <w:hideMark/>
          </w:tcPr>
          <w:p w14:paraId="15582FE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Glasswork Grassland, Kirkby-in-Ashfield District</w:t>
            </w:r>
          </w:p>
        </w:tc>
        <w:tc>
          <w:tcPr>
            <w:tcW w:w="4395" w:type="dxa"/>
            <w:tcBorders>
              <w:top w:val="nil"/>
              <w:left w:val="nil"/>
              <w:bottom w:val="single" w:sz="4" w:space="0" w:color="auto"/>
              <w:right w:val="single" w:sz="4" w:space="0" w:color="auto"/>
            </w:tcBorders>
            <w:hideMark/>
          </w:tcPr>
          <w:p w14:paraId="7333482C" w14:textId="2396A9D6"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magnesian limestone grassland community</w:t>
            </w:r>
          </w:p>
        </w:tc>
        <w:tc>
          <w:tcPr>
            <w:tcW w:w="1984" w:type="dxa"/>
            <w:tcBorders>
              <w:top w:val="nil"/>
              <w:left w:val="nil"/>
              <w:bottom w:val="single" w:sz="4" w:space="0" w:color="auto"/>
              <w:right w:val="single" w:sz="4" w:space="0" w:color="auto"/>
            </w:tcBorders>
            <w:hideMark/>
          </w:tcPr>
          <w:p w14:paraId="1164BF3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247F90BD"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A1541B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EV4wcz</w:t>
            </w:r>
          </w:p>
        </w:tc>
        <w:tc>
          <w:tcPr>
            <w:tcW w:w="2388" w:type="dxa"/>
            <w:tcBorders>
              <w:top w:val="nil"/>
              <w:left w:val="nil"/>
              <w:bottom w:val="single" w:sz="4" w:space="0" w:color="auto"/>
              <w:right w:val="single" w:sz="4" w:space="0" w:color="auto"/>
            </w:tcBorders>
            <w:hideMark/>
          </w:tcPr>
          <w:p w14:paraId="3C873DA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Halfmoon Plantation</w:t>
            </w:r>
          </w:p>
        </w:tc>
        <w:tc>
          <w:tcPr>
            <w:tcW w:w="4395" w:type="dxa"/>
            <w:tcBorders>
              <w:top w:val="nil"/>
              <w:left w:val="nil"/>
              <w:bottom w:val="single" w:sz="4" w:space="0" w:color="auto"/>
              <w:right w:val="single" w:sz="4" w:space="0" w:color="auto"/>
            </w:tcBorders>
            <w:hideMark/>
          </w:tcPr>
          <w:p w14:paraId="2B56367F" w14:textId="65FE3F32"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valuable habitat mosaic of woodland, scrub, and acidic grassland</w:t>
            </w:r>
          </w:p>
        </w:tc>
        <w:tc>
          <w:tcPr>
            <w:tcW w:w="1984" w:type="dxa"/>
            <w:tcBorders>
              <w:top w:val="nil"/>
              <w:left w:val="nil"/>
              <w:bottom w:val="single" w:sz="4" w:space="0" w:color="auto"/>
              <w:right w:val="single" w:sz="4" w:space="0" w:color="auto"/>
            </w:tcBorders>
            <w:hideMark/>
          </w:tcPr>
          <w:p w14:paraId="25756A6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Kingsway</w:t>
            </w:r>
          </w:p>
        </w:tc>
      </w:tr>
      <w:tr w:rsidR="000663FF" w:rsidRPr="000663FF" w14:paraId="09D17B54"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4CE079A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w:t>
            </w:r>
          </w:p>
        </w:tc>
        <w:tc>
          <w:tcPr>
            <w:tcW w:w="2388" w:type="dxa"/>
            <w:tcBorders>
              <w:top w:val="nil"/>
              <w:left w:val="nil"/>
              <w:bottom w:val="single" w:sz="4" w:space="0" w:color="auto"/>
              <w:right w:val="single" w:sz="4" w:space="0" w:color="auto"/>
            </w:tcBorders>
            <w:hideMark/>
          </w:tcPr>
          <w:p w14:paraId="5AA7D11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Hall Green Grassland</w:t>
            </w:r>
          </w:p>
        </w:tc>
        <w:tc>
          <w:tcPr>
            <w:tcW w:w="4395" w:type="dxa"/>
            <w:tcBorders>
              <w:top w:val="nil"/>
              <w:left w:val="nil"/>
              <w:bottom w:val="single" w:sz="4" w:space="0" w:color="auto"/>
              <w:right w:val="single" w:sz="4" w:space="0" w:color="auto"/>
            </w:tcBorders>
            <w:hideMark/>
          </w:tcPr>
          <w:p w14:paraId="730D1587" w14:textId="65CB53CD"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classic Coal Measures grassland</w:t>
            </w:r>
          </w:p>
        </w:tc>
        <w:tc>
          <w:tcPr>
            <w:tcW w:w="1984" w:type="dxa"/>
            <w:tcBorders>
              <w:top w:val="nil"/>
              <w:left w:val="nil"/>
              <w:bottom w:val="single" w:sz="4" w:space="0" w:color="auto"/>
              <w:right w:val="single" w:sz="4" w:space="0" w:color="auto"/>
            </w:tcBorders>
            <w:hideMark/>
          </w:tcPr>
          <w:p w14:paraId="57FFC265"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p>
        </w:tc>
      </w:tr>
      <w:tr w:rsidR="000663FF" w:rsidRPr="000663FF" w14:paraId="79534AEB" w14:textId="77777777" w:rsidTr="007A1A00">
        <w:trPr>
          <w:trHeight w:val="580"/>
        </w:trPr>
        <w:tc>
          <w:tcPr>
            <w:tcW w:w="1009" w:type="dxa"/>
            <w:tcBorders>
              <w:top w:val="nil"/>
              <w:left w:val="single" w:sz="4" w:space="0" w:color="auto"/>
              <w:bottom w:val="single" w:sz="4" w:space="0" w:color="auto"/>
              <w:right w:val="single" w:sz="4" w:space="0" w:color="auto"/>
            </w:tcBorders>
            <w:hideMark/>
          </w:tcPr>
          <w:p w14:paraId="447508C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EV4wda</w:t>
            </w:r>
          </w:p>
        </w:tc>
        <w:tc>
          <w:tcPr>
            <w:tcW w:w="2388" w:type="dxa"/>
            <w:tcBorders>
              <w:top w:val="nil"/>
              <w:left w:val="nil"/>
              <w:bottom w:val="single" w:sz="4" w:space="0" w:color="auto"/>
              <w:right w:val="single" w:sz="4" w:space="0" w:color="auto"/>
            </w:tcBorders>
            <w:hideMark/>
          </w:tcPr>
          <w:p w14:paraId="58DF7EA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Hall Green Meadow</w:t>
            </w:r>
          </w:p>
        </w:tc>
        <w:tc>
          <w:tcPr>
            <w:tcW w:w="4395" w:type="dxa"/>
            <w:tcBorders>
              <w:top w:val="nil"/>
              <w:left w:val="nil"/>
              <w:bottom w:val="single" w:sz="4" w:space="0" w:color="auto"/>
              <w:right w:val="single" w:sz="4" w:space="0" w:color="auto"/>
            </w:tcBorders>
            <w:hideMark/>
          </w:tcPr>
          <w:p w14:paraId="110AD93D" w14:textId="445ADC3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large, unimproved coal measures type hay meadow</w:t>
            </w:r>
          </w:p>
        </w:tc>
        <w:tc>
          <w:tcPr>
            <w:tcW w:w="1984" w:type="dxa"/>
            <w:tcBorders>
              <w:top w:val="nil"/>
              <w:left w:val="nil"/>
              <w:bottom w:val="single" w:sz="4" w:space="0" w:color="auto"/>
              <w:right w:val="single" w:sz="4" w:space="0" w:color="auto"/>
            </w:tcBorders>
            <w:hideMark/>
          </w:tcPr>
          <w:p w14:paraId="683CA358"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p>
        </w:tc>
      </w:tr>
      <w:tr w:rsidR="000663FF" w:rsidRPr="000663FF" w14:paraId="1FF29137"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0B6E256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EV4wdb</w:t>
            </w:r>
          </w:p>
        </w:tc>
        <w:tc>
          <w:tcPr>
            <w:tcW w:w="2388" w:type="dxa"/>
            <w:tcBorders>
              <w:top w:val="single" w:sz="4" w:space="0" w:color="auto"/>
              <w:left w:val="nil"/>
              <w:bottom w:val="single" w:sz="4" w:space="0" w:color="auto"/>
              <w:right w:val="single" w:sz="4" w:space="0" w:color="auto"/>
            </w:tcBorders>
            <w:hideMark/>
          </w:tcPr>
          <w:p w14:paraId="1B9E19B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Hamilton Hill</w:t>
            </w:r>
          </w:p>
        </w:tc>
        <w:tc>
          <w:tcPr>
            <w:tcW w:w="4395" w:type="dxa"/>
            <w:tcBorders>
              <w:top w:val="single" w:sz="4" w:space="0" w:color="auto"/>
              <w:left w:val="nil"/>
              <w:bottom w:val="single" w:sz="4" w:space="0" w:color="auto"/>
              <w:right w:val="single" w:sz="4" w:space="0" w:color="auto"/>
            </w:tcBorders>
            <w:hideMark/>
          </w:tcPr>
          <w:p w14:paraId="1B4D62E4" w14:textId="6CBF8777"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A remnant acid grassland on </w:t>
            </w:r>
            <w:proofErr w:type="spellStart"/>
            <w:proofErr w:type="gramStart"/>
            <w:r w:rsidR="00FA2CC6" w:rsidRPr="000663FF">
              <w:rPr>
                <w:rFonts w:ascii="Calibri" w:hAnsi="Calibri" w:cs="Calibri"/>
                <w:color w:val="auto"/>
                <w:sz w:val="22"/>
                <w:szCs w:val="22"/>
              </w:rPr>
              <w:t>a</w:t>
            </w:r>
            <w:proofErr w:type="spellEnd"/>
            <w:proofErr w:type="gramEnd"/>
            <w:r w:rsidR="00FA2CC6" w:rsidRPr="000663FF">
              <w:rPr>
                <w:rFonts w:ascii="Calibri" w:hAnsi="Calibri" w:cs="Calibri"/>
                <w:color w:val="auto"/>
                <w:sz w:val="22"/>
                <w:szCs w:val="22"/>
              </w:rPr>
              <w:t xml:space="preserve"> isolated hill</w:t>
            </w:r>
          </w:p>
        </w:tc>
        <w:tc>
          <w:tcPr>
            <w:tcW w:w="1984" w:type="dxa"/>
            <w:tcBorders>
              <w:top w:val="single" w:sz="4" w:space="0" w:color="auto"/>
              <w:left w:val="nil"/>
              <w:bottom w:val="single" w:sz="4" w:space="0" w:color="auto"/>
              <w:right w:val="single" w:sz="4" w:space="0" w:color="auto"/>
            </w:tcBorders>
            <w:hideMark/>
          </w:tcPr>
          <w:p w14:paraId="02D77D6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0663FF" w:rsidRPr="000663FF" w14:paraId="5330205B"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37B9B8A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EV4wdc</w:t>
            </w:r>
          </w:p>
        </w:tc>
        <w:tc>
          <w:tcPr>
            <w:tcW w:w="2388" w:type="dxa"/>
            <w:tcBorders>
              <w:top w:val="single" w:sz="4" w:space="0" w:color="auto"/>
              <w:left w:val="nil"/>
              <w:bottom w:val="single" w:sz="4" w:space="0" w:color="auto"/>
              <w:right w:val="single" w:sz="4" w:space="0" w:color="auto"/>
            </w:tcBorders>
            <w:hideMark/>
          </w:tcPr>
          <w:p w14:paraId="6AEEE9EA"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Handstubbing's</w:t>
            </w:r>
            <w:proofErr w:type="spellEnd"/>
            <w:r w:rsidRPr="000663FF">
              <w:rPr>
                <w:rFonts w:ascii="Calibri" w:hAnsi="Calibri" w:cs="Calibri"/>
                <w:color w:val="auto"/>
                <w:sz w:val="22"/>
                <w:szCs w:val="22"/>
              </w:rPr>
              <w:t xml:space="preserve"> Meadows</w:t>
            </w:r>
          </w:p>
        </w:tc>
        <w:tc>
          <w:tcPr>
            <w:tcW w:w="4395" w:type="dxa"/>
            <w:tcBorders>
              <w:top w:val="single" w:sz="4" w:space="0" w:color="auto"/>
              <w:left w:val="nil"/>
              <w:bottom w:val="single" w:sz="4" w:space="0" w:color="auto"/>
              <w:right w:val="single" w:sz="4" w:space="0" w:color="auto"/>
            </w:tcBorders>
            <w:hideMark/>
          </w:tcPr>
          <w:p w14:paraId="6A9095C4" w14:textId="1865217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series of hay -cut species rich neutral grasslands</w:t>
            </w:r>
          </w:p>
        </w:tc>
        <w:tc>
          <w:tcPr>
            <w:tcW w:w="1984" w:type="dxa"/>
            <w:tcBorders>
              <w:top w:val="single" w:sz="4" w:space="0" w:color="auto"/>
              <w:left w:val="nil"/>
              <w:bottom w:val="single" w:sz="4" w:space="0" w:color="auto"/>
              <w:right w:val="single" w:sz="4" w:space="0" w:color="auto"/>
            </w:tcBorders>
            <w:hideMark/>
          </w:tcPr>
          <w:p w14:paraId="47CE5F70"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p>
        </w:tc>
      </w:tr>
      <w:tr w:rsidR="000663FF" w:rsidRPr="000663FF" w14:paraId="01AFCE98"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785626A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EV4wdd</w:t>
            </w:r>
          </w:p>
        </w:tc>
        <w:tc>
          <w:tcPr>
            <w:tcW w:w="2388" w:type="dxa"/>
            <w:tcBorders>
              <w:top w:val="single" w:sz="4" w:space="0" w:color="auto"/>
              <w:left w:val="nil"/>
              <w:bottom w:val="single" w:sz="4" w:space="0" w:color="auto"/>
              <w:right w:val="single" w:sz="4" w:space="0" w:color="auto"/>
            </w:tcBorders>
            <w:hideMark/>
          </w:tcPr>
          <w:p w14:paraId="1C15246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Hardwick Farm Grasslands</w:t>
            </w:r>
          </w:p>
        </w:tc>
        <w:tc>
          <w:tcPr>
            <w:tcW w:w="4395" w:type="dxa"/>
            <w:tcBorders>
              <w:top w:val="single" w:sz="4" w:space="0" w:color="auto"/>
              <w:left w:val="nil"/>
              <w:bottom w:val="single" w:sz="4" w:space="0" w:color="auto"/>
              <w:right w:val="single" w:sz="4" w:space="0" w:color="auto"/>
            </w:tcBorders>
            <w:hideMark/>
          </w:tcPr>
          <w:p w14:paraId="7222D13E" w14:textId="7AC0B3C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Large area of neutral grassland</w:t>
            </w:r>
          </w:p>
        </w:tc>
        <w:tc>
          <w:tcPr>
            <w:tcW w:w="1984" w:type="dxa"/>
            <w:tcBorders>
              <w:top w:val="single" w:sz="4" w:space="0" w:color="auto"/>
              <w:left w:val="nil"/>
              <w:bottom w:val="single" w:sz="4" w:space="0" w:color="auto"/>
              <w:right w:val="single" w:sz="4" w:space="0" w:color="auto"/>
            </w:tcBorders>
            <w:hideMark/>
          </w:tcPr>
          <w:p w14:paraId="3CC2367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36905908" w14:textId="77777777" w:rsidTr="00A055C8">
        <w:trPr>
          <w:trHeight w:val="580"/>
        </w:trPr>
        <w:tc>
          <w:tcPr>
            <w:tcW w:w="1009" w:type="dxa"/>
            <w:tcBorders>
              <w:top w:val="nil"/>
              <w:left w:val="single" w:sz="4" w:space="0" w:color="auto"/>
              <w:bottom w:val="single" w:sz="4" w:space="0" w:color="auto"/>
              <w:right w:val="single" w:sz="4" w:space="0" w:color="auto"/>
            </w:tcBorders>
            <w:hideMark/>
          </w:tcPr>
          <w:p w14:paraId="5095578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lastRenderedPageBreak/>
              <w:t>EV4wde</w:t>
            </w:r>
          </w:p>
        </w:tc>
        <w:tc>
          <w:tcPr>
            <w:tcW w:w="2388" w:type="dxa"/>
            <w:tcBorders>
              <w:top w:val="nil"/>
              <w:left w:val="nil"/>
              <w:bottom w:val="single" w:sz="4" w:space="0" w:color="auto"/>
              <w:right w:val="single" w:sz="4" w:space="0" w:color="auto"/>
            </w:tcBorders>
            <w:hideMark/>
          </w:tcPr>
          <w:p w14:paraId="0C4B229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Harlow Wood</w:t>
            </w:r>
          </w:p>
        </w:tc>
        <w:tc>
          <w:tcPr>
            <w:tcW w:w="4395" w:type="dxa"/>
            <w:tcBorders>
              <w:top w:val="nil"/>
              <w:left w:val="nil"/>
              <w:bottom w:val="single" w:sz="4" w:space="0" w:color="auto"/>
              <w:right w:val="single" w:sz="4" w:space="0" w:color="auto"/>
            </w:tcBorders>
            <w:hideMark/>
          </w:tcPr>
          <w:p w14:paraId="397A0DB0" w14:textId="4DBCECCC"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extensive coniferous plantation with a noteworthy flora</w:t>
            </w:r>
          </w:p>
        </w:tc>
        <w:tc>
          <w:tcPr>
            <w:tcW w:w="1984" w:type="dxa"/>
            <w:tcBorders>
              <w:top w:val="nil"/>
              <w:left w:val="nil"/>
              <w:bottom w:val="single" w:sz="4" w:space="0" w:color="auto"/>
              <w:right w:val="single" w:sz="4" w:space="0" w:color="auto"/>
            </w:tcBorders>
            <w:hideMark/>
          </w:tcPr>
          <w:p w14:paraId="1A6BD9D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0663FF" w:rsidRPr="000663FF" w14:paraId="11047A40" w14:textId="77777777" w:rsidTr="00A055C8">
        <w:trPr>
          <w:trHeight w:val="485"/>
        </w:trPr>
        <w:tc>
          <w:tcPr>
            <w:tcW w:w="1009" w:type="dxa"/>
            <w:tcBorders>
              <w:top w:val="single" w:sz="4" w:space="0" w:color="auto"/>
              <w:left w:val="single" w:sz="4" w:space="0" w:color="auto"/>
              <w:bottom w:val="single" w:sz="4" w:space="0" w:color="auto"/>
              <w:right w:val="single" w:sz="4" w:space="0" w:color="auto"/>
            </w:tcBorders>
            <w:hideMark/>
          </w:tcPr>
          <w:p w14:paraId="5AB4588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EV4wdf</w:t>
            </w:r>
          </w:p>
        </w:tc>
        <w:tc>
          <w:tcPr>
            <w:tcW w:w="2388" w:type="dxa"/>
            <w:tcBorders>
              <w:top w:val="single" w:sz="4" w:space="0" w:color="auto"/>
              <w:left w:val="single" w:sz="4" w:space="0" w:color="auto"/>
              <w:bottom w:val="single" w:sz="4" w:space="0" w:color="auto"/>
              <w:right w:val="single" w:sz="4" w:space="0" w:color="auto"/>
            </w:tcBorders>
            <w:hideMark/>
          </w:tcPr>
          <w:p w14:paraId="53B51DF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Heald's Wood</w:t>
            </w:r>
          </w:p>
        </w:tc>
        <w:tc>
          <w:tcPr>
            <w:tcW w:w="4395" w:type="dxa"/>
            <w:tcBorders>
              <w:top w:val="single" w:sz="4" w:space="0" w:color="auto"/>
              <w:left w:val="single" w:sz="4" w:space="0" w:color="auto"/>
              <w:bottom w:val="single" w:sz="4" w:space="0" w:color="auto"/>
              <w:right w:val="single" w:sz="4" w:space="0" w:color="auto"/>
            </w:tcBorders>
            <w:hideMark/>
          </w:tcPr>
          <w:p w14:paraId="664B6E49" w14:textId="63D52759"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ancient semi-natural woodland with a species-rich ground flora on a steep North facing slope</w:t>
            </w:r>
          </w:p>
        </w:tc>
        <w:tc>
          <w:tcPr>
            <w:tcW w:w="1984" w:type="dxa"/>
            <w:tcBorders>
              <w:top w:val="single" w:sz="4" w:space="0" w:color="auto"/>
              <w:left w:val="single" w:sz="4" w:space="0" w:color="auto"/>
              <w:bottom w:val="single" w:sz="4" w:space="0" w:color="auto"/>
              <w:right w:val="single" w:sz="4" w:space="0" w:color="auto"/>
            </w:tcBorders>
            <w:hideMark/>
          </w:tcPr>
          <w:p w14:paraId="76D2D36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3DA4EC1D" w14:textId="77777777" w:rsidTr="00A055C8">
        <w:trPr>
          <w:trHeight w:val="580"/>
        </w:trPr>
        <w:tc>
          <w:tcPr>
            <w:tcW w:w="1009" w:type="dxa"/>
            <w:tcBorders>
              <w:top w:val="single" w:sz="4" w:space="0" w:color="auto"/>
              <w:left w:val="single" w:sz="4" w:space="0" w:color="auto"/>
              <w:bottom w:val="single" w:sz="4" w:space="0" w:color="auto"/>
              <w:right w:val="single" w:sz="4" w:space="0" w:color="auto"/>
            </w:tcBorders>
            <w:hideMark/>
          </w:tcPr>
          <w:p w14:paraId="73D2915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EV4wdg</w:t>
            </w:r>
          </w:p>
        </w:tc>
        <w:tc>
          <w:tcPr>
            <w:tcW w:w="2388" w:type="dxa"/>
            <w:tcBorders>
              <w:top w:val="single" w:sz="4" w:space="0" w:color="auto"/>
              <w:left w:val="nil"/>
              <w:bottom w:val="single" w:sz="4" w:space="0" w:color="auto"/>
              <w:right w:val="single" w:sz="4" w:space="0" w:color="auto"/>
            </w:tcBorders>
            <w:hideMark/>
          </w:tcPr>
          <w:p w14:paraId="701E70E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Heald's Wood Grassland</w:t>
            </w:r>
          </w:p>
        </w:tc>
        <w:tc>
          <w:tcPr>
            <w:tcW w:w="4395" w:type="dxa"/>
            <w:tcBorders>
              <w:top w:val="single" w:sz="4" w:space="0" w:color="auto"/>
              <w:left w:val="nil"/>
              <w:bottom w:val="single" w:sz="4" w:space="0" w:color="auto"/>
              <w:right w:val="single" w:sz="4" w:space="0" w:color="auto"/>
            </w:tcBorders>
            <w:hideMark/>
          </w:tcPr>
          <w:p w14:paraId="5ADE0DAE" w14:textId="035367FD"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calcicole grassland community</w:t>
            </w:r>
          </w:p>
        </w:tc>
        <w:tc>
          <w:tcPr>
            <w:tcW w:w="1984" w:type="dxa"/>
            <w:tcBorders>
              <w:top w:val="single" w:sz="4" w:space="0" w:color="auto"/>
              <w:left w:val="nil"/>
              <w:bottom w:val="single" w:sz="4" w:space="0" w:color="auto"/>
              <w:right w:val="single" w:sz="4" w:space="0" w:color="auto"/>
            </w:tcBorders>
            <w:hideMark/>
          </w:tcPr>
          <w:p w14:paraId="13BFBC3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4133FD3C"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7B02F5B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EV4wdh</w:t>
            </w:r>
          </w:p>
        </w:tc>
        <w:tc>
          <w:tcPr>
            <w:tcW w:w="2388" w:type="dxa"/>
            <w:tcBorders>
              <w:top w:val="nil"/>
              <w:left w:val="nil"/>
              <w:bottom w:val="single" w:sz="4" w:space="0" w:color="auto"/>
              <w:right w:val="single" w:sz="4" w:space="0" w:color="auto"/>
            </w:tcBorders>
            <w:hideMark/>
          </w:tcPr>
          <w:p w14:paraId="3B995DE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Heatherdale Pond</w:t>
            </w:r>
          </w:p>
        </w:tc>
        <w:tc>
          <w:tcPr>
            <w:tcW w:w="4395" w:type="dxa"/>
            <w:tcBorders>
              <w:top w:val="nil"/>
              <w:left w:val="nil"/>
              <w:bottom w:val="single" w:sz="4" w:space="0" w:color="auto"/>
              <w:right w:val="single" w:sz="4" w:space="0" w:color="auto"/>
            </w:tcBorders>
            <w:hideMark/>
          </w:tcPr>
          <w:p w14:paraId="05B31F8A" w14:textId="31C9028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pond with a noteworthy aquatic flora and a complementary wooded fringe</w:t>
            </w:r>
          </w:p>
        </w:tc>
        <w:tc>
          <w:tcPr>
            <w:tcW w:w="1984" w:type="dxa"/>
            <w:tcBorders>
              <w:top w:val="nil"/>
              <w:left w:val="nil"/>
              <w:bottom w:val="single" w:sz="4" w:space="0" w:color="auto"/>
              <w:right w:val="single" w:sz="4" w:space="0" w:color="auto"/>
            </w:tcBorders>
            <w:hideMark/>
          </w:tcPr>
          <w:p w14:paraId="43CD975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1FCC1C77"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286C0B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EV4wdi</w:t>
            </w:r>
          </w:p>
        </w:tc>
        <w:tc>
          <w:tcPr>
            <w:tcW w:w="2388" w:type="dxa"/>
            <w:tcBorders>
              <w:top w:val="nil"/>
              <w:left w:val="nil"/>
              <w:bottom w:val="single" w:sz="4" w:space="0" w:color="auto"/>
              <w:right w:val="single" w:sz="4" w:space="0" w:color="auto"/>
            </w:tcBorders>
            <w:hideMark/>
          </w:tcPr>
          <w:p w14:paraId="069BDEC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Herod's Hill Grassland</w:t>
            </w:r>
          </w:p>
        </w:tc>
        <w:tc>
          <w:tcPr>
            <w:tcW w:w="4395" w:type="dxa"/>
            <w:tcBorders>
              <w:top w:val="nil"/>
              <w:left w:val="nil"/>
              <w:bottom w:val="single" w:sz="4" w:space="0" w:color="auto"/>
              <w:right w:val="single" w:sz="4" w:space="0" w:color="auto"/>
            </w:tcBorders>
            <w:hideMark/>
          </w:tcPr>
          <w:p w14:paraId="24BD8DC0" w14:textId="077359B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Well-established, species-rich pastures</w:t>
            </w:r>
          </w:p>
        </w:tc>
        <w:tc>
          <w:tcPr>
            <w:tcW w:w="1984" w:type="dxa"/>
            <w:tcBorders>
              <w:top w:val="nil"/>
              <w:left w:val="nil"/>
              <w:bottom w:val="single" w:sz="4" w:space="0" w:color="auto"/>
              <w:right w:val="single" w:sz="4" w:space="0" w:color="auto"/>
            </w:tcBorders>
            <w:hideMark/>
          </w:tcPr>
          <w:p w14:paraId="16F3BDF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4717CD73"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746CCDF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EV4wdj</w:t>
            </w:r>
          </w:p>
        </w:tc>
        <w:tc>
          <w:tcPr>
            <w:tcW w:w="2388" w:type="dxa"/>
            <w:tcBorders>
              <w:top w:val="nil"/>
              <w:left w:val="nil"/>
              <w:bottom w:val="single" w:sz="4" w:space="0" w:color="auto"/>
              <w:right w:val="single" w:sz="4" w:space="0" w:color="auto"/>
            </w:tcBorders>
            <w:hideMark/>
          </w:tcPr>
          <w:p w14:paraId="0D2779C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High Park Wood</w:t>
            </w:r>
          </w:p>
        </w:tc>
        <w:tc>
          <w:tcPr>
            <w:tcW w:w="4395" w:type="dxa"/>
            <w:tcBorders>
              <w:top w:val="nil"/>
              <w:left w:val="nil"/>
              <w:bottom w:val="single" w:sz="4" w:space="0" w:color="auto"/>
              <w:right w:val="single" w:sz="4" w:space="0" w:color="auto"/>
            </w:tcBorders>
            <w:hideMark/>
          </w:tcPr>
          <w:p w14:paraId="3E77AA20" w14:textId="6F460D22"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predominantly coniferous plantation with deciduous portions and numerous species-rich pockets</w:t>
            </w:r>
          </w:p>
        </w:tc>
        <w:tc>
          <w:tcPr>
            <w:tcW w:w="1984" w:type="dxa"/>
            <w:tcBorders>
              <w:top w:val="nil"/>
              <w:left w:val="nil"/>
              <w:bottom w:val="single" w:sz="4" w:space="0" w:color="auto"/>
              <w:right w:val="single" w:sz="4" w:space="0" w:color="auto"/>
            </w:tcBorders>
            <w:hideMark/>
          </w:tcPr>
          <w:p w14:paraId="0FC6578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05195BDD" w14:textId="77777777" w:rsidTr="00DC0D18">
        <w:trPr>
          <w:trHeight w:val="549"/>
        </w:trPr>
        <w:tc>
          <w:tcPr>
            <w:tcW w:w="1009" w:type="dxa"/>
            <w:tcBorders>
              <w:top w:val="nil"/>
              <w:left w:val="single" w:sz="4" w:space="0" w:color="auto"/>
              <w:bottom w:val="single" w:sz="4" w:space="0" w:color="auto"/>
              <w:right w:val="single" w:sz="4" w:space="0" w:color="auto"/>
            </w:tcBorders>
            <w:hideMark/>
          </w:tcPr>
          <w:p w14:paraId="7731899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EV4wdk</w:t>
            </w:r>
          </w:p>
        </w:tc>
        <w:tc>
          <w:tcPr>
            <w:tcW w:w="2388" w:type="dxa"/>
            <w:tcBorders>
              <w:top w:val="nil"/>
              <w:left w:val="nil"/>
              <w:bottom w:val="single" w:sz="4" w:space="0" w:color="auto"/>
              <w:right w:val="single" w:sz="4" w:space="0" w:color="auto"/>
            </w:tcBorders>
            <w:hideMark/>
          </w:tcPr>
          <w:p w14:paraId="42787DBC"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Hollinwell</w:t>
            </w:r>
            <w:proofErr w:type="spellEnd"/>
            <w:r w:rsidRPr="000663FF">
              <w:rPr>
                <w:rFonts w:ascii="Calibri" w:hAnsi="Calibri" w:cs="Calibri"/>
                <w:color w:val="auto"/>
                <w:sz w:val="22"/>
                <w:szCs w:val="22"/>
              </w:rPr>
              <w:t xml:space="preserve"> Golf Course</w:t>
            </w:r>
          </w:p>
        </w:tc>
        <w:tc>
          <w:tcPr>
            <w:tcW w:w="4395" w:type="dxa"/>
            <w:tcBorders>
              <w:top w:val="nil"/>
              <w:left w:val="nil"/>
              <w:bottom w:val="single" w:sz="4" w:space="0" w:color="auto"/>
              <w:right w:val="single" w:sz="4" w:space="0" w:color="auto"/>
            </w:tcBorders>
            <w:hideMark/>
          </w:tcPr>
          <w:p w14:paraId="237C7655" w14:textId="71A1418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An extensive area incorporating </w:t>
            </w:r>
            <w:proofErr w:type="gramStart"/>
            <w:r w:rsidR="00FA2CC6" w:rsidRPr="000663FF">
              <w:rPr>
                <w:rFonts w:ascii="Calibri" w:hAnsi="Calibri" w:cs="Calibri"/>
                <w:color w:val="auto"/>
                <w:sz w:val="22"/>
                <w:szCs w:val="22"/>
              </w:rPr>
              <w:t>a number of</w:t>
            </w:r>
            <w:proofErr w:type="gramEnd"/>
            <w:r w:rsidR="00FA2CC6" w:rsidRPr="000663FF">
              <w:rPr>
                <w:rFonts w:ascii="Calibri" w:hAnsi="Calibri" w:cs="Calibri"/>
                <w:color w:val="auto"/>
                <w:sz w:val="22"/>
                <w:szCs w:val="22"/>
              </w:rPr>
              <w:t xml:space="preserve"> acidic habitat types with characteristic species</w:t>
            </w:r>
          </w:p>
        </w:tc>
        <w:tc>
          <w:tcPr>
            <w:tcW w:w="1984" w:type="dxa"/>
            <w:tcBorders>
              <w:top w:val="nil"/>
              <w:left w:val="nil"/>
              <w:bottom w:val="single" w:sz="4" w:space="0" w:color="auto"/>
              <w:right w:val="single" w:sz="4" w:space="0" w:color="auto"/>
            </w:tcBorders>
            <w:hideMark/>
          </w:tcPr>
          <w:p w14:paraId="78D456F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Kingsway</w:t>
            </w:r>
          </w:p>
        </w:tc>
      </w:tr>
      <w:tr w:rsidR="000663FF" w:rsidRPr="000663FF" w14:paraId="0272C845"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8E5D2D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EV4wdl</w:t>
            </w:r>
          </w:p>
        </w:tc>
        <w:tc>
          <w:tcPr>
            <w:tcW w:w="2388" w:type="dxa"/>
            <w:tcBorders>
              <w:top w:val="nil"/>
              <w:left w:val="nil"/>
              <w:bottom w:val="single" w:sz="4" w:space="0" w:color="auto"/>
              <w:right w:val="single" w:sz="4" w:space="0" w:color="auto"/>
            </w:tcBorders>
            <w:hideMark/>
          </w:tcPr>
          <w:p w14:paraId="63D5C29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Holly Hill, </w:t>
            </w:r>
            <w:proofErr w:type="spellStart"/>
            <w:r w:rsidRPr="000663FF">
              <w:rPr>
                <w:rFonts w:ascii="Calibri" w:hAnsi="Calibri" w:cs="Calibri"/>
                <w:color w:val="auto"/>
                <w:sz w:val="22"/>
                <w:szCs w:val="22"/>
              </w:rPr>
              <w:t>Selston</w:t>
            </w:r>
            <w:proofErr w:type="spellEnd"/>
          </w:p>
        </w:tc>
        <w:tc>
          <w:tcPr>
            <w:tcW w:w="4395" w:type="dxa"/>
            <w:tcBorders>
              <w:top w:val="nil"/>
              <w:left w:val="nil"/>
              <w:bottom w:val="single" w:sz="4" w:space="0" w:color="auto"/>
              <w:right w:val="single" w:sz="4" w:space="0" w:color="auto"/>
            </w:tcBorders>
            <w:hideMark/>
          </w:tcPr>
          <w:p w14:paraId="1A960D52" w14:textId="525C76C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interesting area of scrub with coal measure grassland</w:t>
            </w:r>
          </w:p>
        </w:tc>
        <w:tc>
          <w:tcPr>
            <w:tcW w:w="1984" w:type="dxa"/>
            <w:tcBorders>
              <w:top w:val="nil"/>
              <w:left w:val="nil"/>
              <w:bottom w:val="single" w:sz="4" w:space="0" w:color="auto"/>
              <w:right w:val="single" w:sz="4" w:space="0" w:color="auto"/>
            </w:tcBorders>
            <w:hideMark/>
          </w:tcPr>
          <w:p w14:paraId="0989B1B3"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p>
        </w:tc>
      </w:tr>
      <w:tr w:rsidR="000663FF" w:rsidRPr="000663FF" w14:paraId="3C6666B6" w14:textId="77777777" w:rsidTr="00DC0D18">
        <w:trPr>
          <w:trHeight w:val="640"/>
        </w:trPr>
        <w:tc>
          <w:tcPr>
            <w:tcW w:w="1009" w:type="dxa"/>
            <w:tcBorders>
              <w:top w:val="single" w:sz="4" w:space="0" w:color="auto"/>
              <w:left w:val="single" w:sz="4" w:space="0" w:color="auto"/>
              <w:bottom w:val="single" w:sz="4" w:space="0" w:color="auto"/>
              <w:right w:val="single" w:sz="4" w:space="0" w:color="auto"/>
            </w:tcBorders>
            <w:hideMark/>
          </w:tcPr>
          <w:p w14:paraId="0879A0F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EV4wdm</w:t>
            </w:r>
          </w:p>
        </w:tc>
        <w:tc>
          <w:tcPr>
            <w:tcW w:w="2388" w:type="dxa"/>
            <w:tcBorders>
              <w:top w:val="single" w:sz="4" w:space="0" w:color="auto"/>
              <w:left w:val="single" w:sz="4" w:space="0" w:color="auto"/>
              <w:bottom w:val="single" w:sz="4" w:space="0" w:color="auto"/>
              <w:right w:val="single" w:sz="4" w:space="0" w:color="auto"/>
            </w:tcBorders>
            <w:hideMark/>
          </w:tcPr>
          <w:p w14:paraId="3D1FCE9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Airfield</w:t>
            </w:r>
          </w:p>
        </w:tc>
        <w:tc>
          <w:tcPr>
            <w:tcW w:w="4395" w:type="dxa"/>
            <w:tcBorders>
              <w:top w:val="single" w:sz="4" w:space="0" w:color="auto"/>
              <w:left w:val="single" w:sz="4" w:space="0" w:color="auto"/>
              <w:bottom w:val="single" w:sz="4" w:space="0" w:color="auto"/>
              <w:right w:val="single" w:sz="4" w:space="0" w:color="auto"/>
            </w:tcBorders>
            <w:hideMark/>
          </w:tcPr>
          <w:p w14:paraId="08443DB4" w14:textId="404628F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significant area of species-rich calcareous and base-rich neutral grassland</w:t>
            </w:r>
          </w:p>
        </w:tc>
        <w:tc>
          <w:tcPr>
            <w:tcW w:w="1984" w:type="dxa"/>
            <w:tcBorders>
              <w:top w:val="single" w:sz="4" w:space="0" w:color="auto"/>
              <w:left w:val="single" w:sz="4" w:space="0" w:color="auto"/>
              <w:bottom w:val="single" w:sz="4" w:space="0" w:color="auto"/>
              <w:right w:val="single" w:sz="4" w:space="0" w:color="auto"/>
            </w:tcBorders>
            <w:hideMark/>
          </w:tcPr>
          <w:p w14:paraId="3CFFCCF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4C43F88B" w14:textId="77777777" w:rsidTr="00DC0D18">
        <w:trPr>
          <w:trHeight w:val="447"/>
        </w:trPr>
        <w:tc>
          <w:tcPr>
            <w:tcW w:w="1009" w:type="dxa"/>
            <w:tcBorders>
              <w:top w:val="single" w:sz="4" w:space="0" w:color="auto"/>
              <w:left w:val="single" w:sz="4" w:space="0" w:color="auto"/>
              <w:bottom w:val="single" w:sz="4" w:space="0" w:color="auto"/>
              <w:right w:val="single" w:sz="4" w:space="0" w:color="auto"/>
            </w:tcBorders>
            <w:hideMark/>
          </w:tcPr>
          <w:p w14:paraId="3F7F253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EV4wdn</w:t>
            </w:r>
          </w:p>
        </w:tc>
        <w:tc>
          <w:tcPr>
            <w:tcW w:w="2388" w:type="dxa"/>
            <w:tcBorders>
              <w:top w:val="single" w:sz="4" w:space="0" w:color="auto"/>
              <w:left w:val="nil"/>
              <w:bottom w:val="single" w:sz="4" w:space="0" w:color="auto"/>
              <w:right w:val="single" w:sz="4" w:space="0" w:color="auto"/>
            </w:tcBorders>
            <w:hideMark/>
          </w:tcPr>
          <w:p w14:paraId="0BC290C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Colliery Site</w:t>
            </w:r>
          </w:p>
        </w:tc>
        <w:tc>
          <w:tcPr>
            <w:tcW w:w="4395" w:type="dxa"/>
            <w:tcBorders>
              <w:top w:val="single" w:sz="4" w:space="0" w:color="auto"/>
              <w:left w:val="nil"/>
              <w:bottom w:val="single" w:sz="4" w:space="0" w:color="auto"/>
              <w:right w:val="single" w:sz="4" w:space="0" w:color="auto"/>
            </w:tcBorders>
            <w:hideMark/>
          </w:tcPr>
          <w:p w14:paraId="423A1E08" w14:textId="5E9EF9D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Landscaped colliery spoil, colonised by plants of nutrient poor habitats with areas of tree planting</w:t>
            </w:r>
          </w:p>
        </w:tc>
        <w:tc>
          <w:tcPr>
            <w:tcW w:w="1984" w:type="dxa"/>
            <w:tcBorders>
              <w:top w:val="single" w:sz="4" w:space="0" w:color="auto"/>
              <w:left w:val="nil"/>
              <w:bottom w:val="single" w:sz="4" w:space="0" w:color="auto"/>
              <w:right w:val="single" w:sz="4" w:space="0" w:color="auto"/>
            </w:tcBorders>
            <w:hideMark/>
          </w:tcPr>
          <w:p w14:paraId="4A9EE1A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North</w:t>
            </w:r>
          </w:p>
        </w:tc>
      </w:tr>
      <w:tr w:rsidR="000663FF" w:rsidRPr="000663FF" w14:paraId="4D53C9AE" w14:textId="77777777" w:rsidTr="00DC0D18">
        <w:trPr>
          <w:trHeight w:val="611"/>
        </w:trPr>
        <w:tc>
          <w:tcPr>
            <w:tcW w:w="1009" w:type="dxa"/>
            <w:tcBorders>
              <w:top w:val="nil"/>
              <w:left w:val="single" w:sz="4" w:space="0" w:color="auto"/>
              <w:bottom w:val="single" w:sz="4" w:space="0" w:color="auto"/>
              <w:right w:val="single" w:sz="4" w:space="0" w:color="auto"/>
            </w:tcBorders>
            <w:hideMark/>
          </w:tcPr>
          <w:p w14:paraId="66A2D8C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EV4wdo</w:t>
            </w:r>
          </w:p>
        </w:tc>
        <w:tc>
          <w:tcPr>
            <w:tcW w:w="2388" w:type="dxa"/>
            <w:tcBorders>
              <w:top w:val="nil"/>
              <w:left w:val="nil"/>
              <w:bottom w:val="single" w:sz="4" w:space="0" w:color="auto"/>
              <w:right w:val="single" w:sz="4" w:space="0" w:color="auto"/>
            </w:tcBorders>
            <w:hideMark/>
          </w:tcPr>
          <w:p w14:paraId="1062C31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Disused Railways</w:t>
            </w:r>
          </w:p>
        </w:tc>
        <w:tc>
          <w:tcPr>
            <w:tcW w:w="4395" w:type="dxa"/>
            <w:tcBorders>
              <w:top w:val="nil"/>
              <w:left w:val="nil"/>
              <w:bottom w:val="single" w:sz="4" w:space="0" w:color="auto"/>
              <w:right w:val="single" w:sz="4" w:space="0" w:color="auto"/>
            </w:tcBorders>
            <w:hideMark/>
          </w:tcPr>
          <w:p w14:paraId="37E38580" w14:textId="13E403C7"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valuable length of disused railways with a notable, characteristic community</w:t>
            </w:r>
          </w:p>
        </w:tc>
        <w:tc>
          <w:tcPr>
            <w:tcW w:w="1984" w:type="dxa"/>
            <w:tcBorders>
              <w:top w:val="nil"/>
              <w:left w:val="nil"/>
              <w:bottom w:val="single" w:sz="4" w:space="0" w:color="auto"/>
              <w:right w:val="single" w:sz="4" w:space="0" w:color="auto"/>
            </w:tcBorders>
            <w:hideMark/>
          </w:tcPr>
          <w:p w14:paraId="2E855D2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52C4B99E"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226D059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EV4wdp</w:t>
            </w:r>
          </w:p>
        </w:tc>
        <w:tc>
          <w:tcPr>
            <w:tcW w:w="2388" w:type="dxa"/>
            <w:tcBorders>
              <w:top w:val="nil"/>
              <w:left w:val="nil"/>
              <w:bottom w:val="single" w:sz="4" w:space="0" w:color="auto"/>
              <w:right w:val="single" w:sz="4" w:space="0" w:color="auto"/>
            </w:tcBorders>
            <w:hideMark/>
          </w:tcPr>
          <w:p w14:paraId="4B7CECA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Huthwaite </w:t>
            </w:r>
            <w:proofErr w:type="spellStart"/>
            <w:r w:rsidRPr="000663FF">
              <w:rPr>
                <w:rFonts w:ascii="Calibri" w:hAnsi="Calibri" w:cs="Calibri"/>
                <w:color w:val="auto"/>
                <w:sz w:val="22"/>
                <w:szCs w:val="22"/>
              </w:rPr>
              <w:t>Commonside</w:t>
            </w:r>
            <w:proofErr w:type="spellEnd"/>
            <w:r w:rsidRPr="000663FF">
              <w:rPr>
                <w:rFonts w:ascii="Calibri" w:hAnsi="Calibri" w:cs="Calibri"/>
                <w:color w:val="auto"/>
                <w:sz w:val="22"/>
                <w:szCs w:val="22"/>
              </w:rPr>
              <w:t xml:space="preserve"> Industrial Estate Grassland (III)</w:t>
            </w:r>
          </w:p>
        </w:tc>
        <w:tc>
          <w:tcPr>
            <w:tcW w:w="4395" w:type="dxa"/>
            <w:tcBorders>
              <w:top w:val="nil"/>
              <w:left w:val="nil"/>
              <w:bottom w:val="single" w:sz="4" w:space="0" w:color="auto"/>
              <w:right w:val="single" w:sz="4" w:space="0" w:color="auto"/>
            </w:tcBorders>
            <w:hideMark/>
          </w:tcPr>
          <w:p w14:paraId="128F278C" w14:textId="2D71AC2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Remnant coal-measures grassland</w:t>
            </w:r>
          </w:p>
        </w:tc>
        <w:tc>
          <w:tcPr>
            <w:tcW w:w="1984" w:type="dxa"/>
            <w:tcBorders>
              <w:top w:val="nil"/>
              <w:left w:val="nil"/>
              <w:bottom w:val="single" w:sz="4" w:space="0" w:color="auto"/>
              <w:right w:val="single" w:sz="4" w:space="0" w:color="auto"/>
            </w:tcBorders>
            <w:hideMark/>
          </w:tcPr>
          <w:p w14:paraId="18ECE2C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116EB51C"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6011CD9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EV4wdq</w:t>
            </w:r>
          </w:p>
        </w:tc>
        <w:tc>
          <w:tcPr>
            <w:tcW w:w="2388" w:type="dxa"/>
            <w:tcBorders>
              <w:top w:val="nil"/>
              <w:left w:val="nil"/>
              <w:bottom w:val="single" w:sz="4" w:space="0" w:color="auto"/>
              <w:right w:val="single" w:sz="4" w:space="0" w:color="auto"/>
            </w:tcBorders>
            <w:hideMark/>
          </w:tcPr>
          <w:p w14:paraId="260A23D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Grassland</w:t>
            </w:r>
          </w:p>
        </w:tc>
        <w:tc>
          <w:tcPr>
            <w:tcW w:w="4395" w:type="dxa"/>
            <w:tcBorders>
              <w:top w:val="nil"/>
              <w:left w:val="nil"/>
              <w:bottom w:val="single" w:sz="4" w:space="0" w:color="auto"/>
              <w:right w:val="single" w:sz="4" w:space="0" w:color="auto"/>
            </w:tcBorders>
            <w:hideMark/>
          </w:tcPr>
          <w:p w14:paraId="6E0D5866" w14:textId="7CE548B9"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noteworthy meadow with both dry, acidic and neutral grassland communities</w:t>
            </w:r>
          </w:p>
        </w:tc>
        <w:tc>
          <w:tcPr>
            <w:tcW w:w="1984" w:type="dxa"/>
            <w:tcBorders>
              <w:top w:val="nil"/>
              <w:left w:val="nil"/>
              <w:bottom w:val="single" w:sz="4" w:space="0" w:color="auto"/>
              <w:right w:val="single" w:sz="4" w:space="0" w:color="auto"/>
            </w:tcBorders>
            <w:hideMark/>
          </w:tcPr>
          <w:p w14:paraId="11053FD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771BC4C1" w14:textId="77777777" w:rsidTr="00DC0D18">
        <w:trPr>
          <w:trHeight w:val="637"/>
        </w:trPr>
        <w:tc>
          <w:tcPr>
            <w:tcW w:w="1009" w:type="dxa"/>
            <w:tcBorders>
              <w:top w:val="single" w:sz="4" w:space="0" w:color="auto"/>
              <w:left w:val="single" w:sz="4" w:space="0" w:color="auto"/>
              <w:bottom w:val="single" w:sz="4" w:space="0" w:color="auto"/>
              <w:right w:val="single" w:sz="4" w:space="0" w:color="auto"/>
            </w:tcBorders>
            <w:hideMark/>
          </w:tcPr>
          <w:p w14:paraId="5F26A7C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EV4wdr</w:t>
            </w:r>
          </w:p>
        </w:tc>
        <w:tc>
          <w:tcPr>
            <w:tcW w:w="2388" w:type="dxa"/>
            <w:tcBorders>
              <w:top w:val="single" w:sz="4" w:space="0" w:color="auto"/>
              <w:left w:val="single" w:sz="4" w:space="0" w:color="auto"/>
              <w:bottom w:val="single" w:sz="4" w:space="0" w:color="auto"/>
              <w:right w:val="single" w:sz="4" w:space="0" w:color="auto"/>
            </w:tcBorders>
            <w:hideMark/>
          </w:tcPr>
          <w:p w14:paraId="68FF1E0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Meadow</w:t>
            </w:r>
          </w:p>
        </w:tc>
        <w:tc>
          <w:tcPr>
            <w:tcW w:w="4395" w:type="dxa"/>
            <w:tcBorders>
              <w:top w:val="single" w:sz="4" w:space="0" w:color="auto"/>
              <w:left w:val="single" w:sz="4" w:space="0" w:color="auto"/>
              <w:bottom w:val="single" w:sz="4" w:space="0" w:color="auto"/>
              <w:right w:val="single" w:sz="4" w:space="0" w:color="auto"/>
            </w:tcBorders>
            <w:hideMark/>
          </w:tcPr>
          <w:p w14:paraId="1E302792" w14:textId="0323E024"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mosaic of coal-measures grassland, base-rich flushes and mature scrub along a stream</w:t>
            </w:r>
          </w:p>
        </w:tc>
        <w:tc>
          <w:tcPr>
            <w:tcW w:w="1984" w:type="dxa"/>
            <w:tcBorders>
              <w:top w:val="single" w:sz="4" w:space="0" w:color="auto"/>
              <w:left w:val="single" w:sz="4" w:space="0" w:color="auto"/>
              <w:bottom w:val="single" w:sz="4" w:space="0" w:color="auto"/>
              <w:right w:val="single" w:sz="4" w:space="0" w:color="auto"/>
            </w:tcBorders>
            <w:hideMark/>
          </w:tcPr>
          <w:p w14:paraId="386ADFE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3E08D8D4"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7F58104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EV4wds</w:t>
            </w:r>
          </w:p>
        </w:tc>
        <w:tc>
          <w:tcPr>
            <w:tcW w:w="2388" w:type="dxa"/>
            <w:tcBorders>
              <w:top w:val="single" w:sz="4" w:space="0" w:color="auto"/>
              <w:left w:val="nil"/>
              <w:bottom w:val="single" w:sz="4" w:space="0" w:color="auto"/>
              <w:right w:val="single" w:sz="4" w:space="0" w:color="auto"/>
            </w:tcBorders>
            <w:hideMark/>
          </w:tcPr>
          <w:p w14:paraId="707570D8"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Jacksdale</w:t>
            </w:r>
            <w:proofErr w:type="spellEnd"/>
            <w:r w:rsidRPr="000663FF">
              <w:rPr>
                <w:rFonts w:ascii="Calibri" w:hAnsi="Calibri" w:cs="Calibri"/>
                <w:color w:val="auto"/>
                <w:sz w:val="22"/>
                <w:szCs w:val="22"/>
              </w:rPr>
              <w:t xml:space="preserve"> Meadow East</w:t>
            </w:r>
          </w:p>
        </w:tc>
        <w:tc>
          <w:tcPr>
            <w:tcW w:w="4395" w:type="dxa"/>
            <w:tcBorders>
              <w:top w:val="single" w:sz="4" w:space="0" w:color="auto"/>
              <w:left w:val="nil"/>
              <w:bottom w:val="single" w:sz="4" w:space="0" w:color="auto"/>
              <w:right w:val="single" w:sz="4" w:space="0" w:color="auto"/>
            </w:tcBorders>
            <w:hideMark/>
          </w:tcPr>
          <w:p w14:paraId="647714D0" w14:textId="125A6D2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hay meadow</w:t>
            </w:r>
          </w:p>
        </w:tc>
        <w:tc>
          <w:tcPr>
            <w:tcW w:w="1984" w:type="dxa"/>
            <w:tcBorders>
              <w:top w:val="single" w:sz="4" w:space="0" w:color="auto"/>
              <w:left w:val="nil"/>
              <w:bottom w:val="single" w:sz="4" w:space="0" w:color="auto"/>
              <w:right w:val="single" w:sz="4" w:space="0" w:color="auto"/>
            </w:tcBorders>
            <w:hideMark/>
          </w:tcPr>
          <w:p w14:paraId="476663A0"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Jacksdale</w:t>
            </w:r>
            <w:proofErr w:type="spellEnd"/>
            <w:r w:rsidRPr="000663FF">
              <w:rPr>
                <w:rFonts w:ascii="Calibri" w:hAnsi="Calibri" w:cs="Calibri"/>
                <w:color w:val="auto"/>
                <w:sz w:val="22"/>
                <w:szCs w:val="22"/>
              </w:rPr>
              <w:t xml:space="preserve"> &amp; Westwood</w:t>
            </w:r>
          </w:p>
        </w:tc>
      </w:tr>
      <w:tr w:rsidR="000663FF" w:rsidRPr="000663FF" w14:paraId="19E54D05" w14:textId="77777777" w:rsidTr="007A1A00">
        <w:trPr>
          <w:trHeight w:val="580"/>
        </w:trPr>
        <w:tc>
          <w:tcPr>
            <w:tcW w:w="1009" w:type="dxa"/>
            <w:tcBorders>
              <w:top w:val="nil"/>
              <w:left w:val="single" w:sz="4" w:space="0" w:color="auto"/>
              <w:bottom w:val="single" w:sz="4" w:space="0" w:color="auto"/>
              <w:right w:val="single" w:sz="4" w:space="0" w:color="auto"/>
            </w:tcBorders>
            <w:hideMark/>
          </w:tcPr>
          <w:p w14:paraId="7472FF7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EV4wdt</w:t>
            </w:r>
          </w:p>
        </w:tc>
        <w:tc>
          <w:tcPr>
            <w:tcW w:w="2388" w:type="dxa"/>
            <w:tcBorders>
              <w:top w:val="nil"/>
              <w:left w:val="nil"/>
              <w:bottom w:val="single" w:sz="4" w:space="0" w:color="auto"/>
              <w:right w:val="single" w:sz="4" w:space="0" w:color="auto"/>
            </w:tcBorders>
            <w:hideMark/>
          </w:tcPr>
          <w:p w14:paraId="7ABFC99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King's Mill Reservoir</w:t>
            </w:r>
          </w:p>
        </w:tc>
        <w:tc>
          <w:tcPr>
            <w:tcW w:w="4395" w:type="dxa"/>
            <w:tcBorders>
              <w:top w:val="nil"/>
              <w:left w:val="nil"/>
              <w:bottom w:val="single" w:sz="4" w:space="0" w:color="auto"/>
              <w:right w:val="single" w:sz="4" w:space="0" w:color="auto"/>
            </w:tcBorders>
            <w:hideMark/>
          </w:tcPr>
          <w:p w14:paraId="2AA52016" w14:textId="321AC4E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valuable water body for fauna and flora</w:t>
            </w:r>
          </w:p>
        </w:tc>
        <w:tc>
          <w:tcPr>
            <w:tcW w:w="1984" w:type="dxa"/>
            <w:tcBorders>
              <w:top w:val="nil"/>
              <w:left w:val="nil"/>
              <w:bottom w:val="single" w:sz="4" w:space="0" w:color="auto"/>
              <w:right w:val="single" w:sz="4" w:space="0" w:color="auto"/>
            </w:tcBorders>
            <w:hideMark/>
          </w:tcPr>
          <w:p w14:paraId="1BCCC66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0663FF" w:rsidRPr="000663FF" w14:paraId="1FDE76C9"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0CC8713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EV4wdu</w:t>
            </w:r>
          </w:p>
        </w:tc>
        <w:tc>
          <w:tcPr>
            <w:tcW w:w="2388" w:type="dxa"/>
            <w:tcBorders>
              <w:top w:val="single" w:sz="4" w:space="0" w:color="auto"/>
              <w:left w:val="nil"/>
              <w:bottom w:val="single" w:sz="4" w:space="0" w:color="auto"/>
              <w:right w:val="single" w:sz="4" w:space="0" w:color="auto"/>
            </w:tcBorders>
            <w:hideMark/>
          </w:tcPr>
          <w:p w14:paraId="00AD026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Kirby Bentinck Colliery Yard</w:t>
            </w:r>
          </w:p>
        </w:tc>
        <w:tc>
          <w:tcPr>
            <w:tcW w:w="4395" w:type="dxa"/>
            <w:tcBorders>
              <w:top w:val="single" w:sz="4" w:space="0" w:color="auto"/>
              <w:left w:val="nil"/>
              <w:bottom w:val="single" w:sz="4" w:space="0" w:color="auto"/>
              <w:right w:val="single" w:sz="4" w:space="0" w:color="auto"/>
            </w:tcBorders>
            <w:hideMark/>
          </w:tcPr>
          <w:p w14:paraId="08413F8C" w14:textId="480141FD"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Colliery yard of botanical interest</w:t>
            </w:r>
          </w:p>
        </w:tc>
        <w:tc>
          <w:tcPr>
            <w:tcW w:w="1984" w:type="dxa"/>
            <w:tcBorders>
              <w:top w:val="single" w:sz="4" w:space="0" w:color="auto"/>
              <w:left w:val="nil"/>
              <w:bottom w:val="single" w:sz="4" w:space="0" w:color="auto"/>
              <w:right w:val="single" w:sz="4" w:space="0" w:color="auto"/>
            </w:tcBorders>
            <w:hideMark/>
          </w:tcPr>
          <w:p w14:paraId="4A2F9E7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2A0CFE80"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347FC67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EV4wdv</w:t>
            </w:r>
          </w:p>
        </w:tc>
        <w:tc>
          <w:tcPr>
            <w:tcW w:w="2388" w:type="dxa"/>
            <w:tcBorders>
              <w:top w:val="single" w:sz="4" w:space="0" w:color="auto"/>
              <w:left w:val="nil"/>
              <w:bottom w:val="single" w:sz="4" w:space="0" w:color="auto"/>
              <w:right w:val="single" w:sz="4" w:space="0" w:color="auto"/>
            </w:tcBorders>
            <w:hideMark/>
          </w:tcPr>
          <w:p w14:paraId="24ED03E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Bentinck Dismantled Railway</w:t>
            </w:r>
          </w:p>
        </w:tc>
        <w:tc>
          <w:tcPr>
            <w:tcW w:w="4395" w:type="dxa"/>
            <w:tcBorders>
              <w:top w:val="single" w:sz="4" w:space="0" w:color="auto"/>
              <w:left w:val="nil"/>
              <w:bottom w:val="single" w:sz="4" w:space="0" w:color="auto"/>
              <w:right w:val="single" w:sz="4" w:space="0" w:color="auto"/>
            </w:tcBorders>
            <w:hideMark/>
          </w:tcPr>
          <w:p w14:paraId="33BC158E" w14:textId="74C4E25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mosaic of scrub and grassland with diverse calcicole species</w:t>
            </w:r>
          </w:p>
        </w:tc>
        <w:tc>
          <w:tcPr>
            <w:tcW w:w="1984" w:type="dxa"/>
            <w:tcBorders>
              <w:top w:val="single" w:sz="4" w:space="0" w:color="auto"/>
              <w:left w:val="nil"/>
              <w:bottom w:val="single" w:sz="4" w:space="0" w:color="auto"/>
              <w:right w:val="single" w:sz="4" w:space="0" w:color="auto"/>
            </w:tcBorders>
            <w:hideMark/>
          </w:tcPr>
          <w:p w14:paraId="5193B17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6788F1FB"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4F8C322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EV4wdw</w:t>
            </w:r>
          </w:p>
        </w:tc>
        <w:tc>
          <w:tcPr>
            <w:tcW w:w="2388" w:type="dxa"/>
            <w:tcBorders>
              <w:top w:val="single" w:sz="4" w:space="0" w:color="auto"/>
              <w:left w:val="nil"/>
              <w:bottom w:val="single" w:sz="4" w:space="0" w:color="auto"/>
              <w:right w:val="single" w:sz="4" w:space="0" w:color="auto"/>
            </w:tcBorders>
            <w:hideMark/>
          </w:tcPr>
          <w:p w14:paraId="506D61E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Bentinck Dismantled Railway Spoil</w:t>
            </w:r>
          </w:p>
        </w:tc>
        <w:tc>
          <w:tcPr>
            <w:tcW w:w="4395" w:type="dxa"/>
            <w:tcBorders>
              <w:top w:val="single" w:sz="4" w:space="0" w:color="auto"/>
              <w:left w:val="nil"/>
              <w:bottom w:val="single" w:sz="4" w:space="0" w:color="auto"/>
              <w:right w:val="single" w:sz="4" w:space="0" w:color="auto"/>
            </w:tcBorders>
            <w:hideMark/>
          </w:tcPr>
          <w:p w14:paraId="0F51C34C" w14:textId="402C903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naturally vegetated spoil heap and valuable dismantled railway habitat</w:t>
            </w:r>
          </w:p>
        </w:tc>
        <w:tc>
          <w:tcPr>
            <w:tcW w:w="1984" w:type="dxa"/>
            <w:tcBorders>
              <w:top w:val="single" w:sz="4" w:space="0" w:color="auto"/>
              <w:left w:val="nil"/>
              <w:bottom w:val="single" w:sz="4" w:space="0" w:color="auto"/>
              <w:right w:val="single" w:sz="4" w:space="0" w:color="auto"/>
            </w:tcBorders>
            <w:hideMark/>
          </w:tcPr>
          <w:p w14:paraId="4EBDEF0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274CEA67" w14:textId="77777777" w:rsidTr="00A055C8">
        <w:trPr>
          <w:trHeight w:val="580"/>
        </w:trPr>
        <w:tc>
          <w:tcPr>
            <w:tcW w:w="1009" w:type="dxa"/>
            <w:tcBorders>
              <w:top w:val="nil"/>
              <w:left w:val="single" w:sz="4" w:space="0" w:color="auto"/>
              <w:bottom w:val="single" w:sz="4" w:space="0" w:color="auto"/>
              <w:right w:val="single" w:sz="4" w:space="0" w:color="auto"/>
            </w:tcBorders>
            <w:hideMark/>
          </w:tcPr>
          <w:p w14:paraId="0BB81AB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lastRenderedPageBreak/>
              <w:t>EV4wdx</w:t>
            </w:r>
          </w:p>
        </w:tc>
        <w:tc>
          <w:tcPr>
            <w:tcW w:w="2388" w:type="dxa"/>
            <w:tcBorders>
              <w:top w:val="nil"/>
              <w:left w:val="nil"/>
              <w:bottom w:val="single" w:sz="4" w:space="0" w:color="auto"/>
              <w:right w:val="single" w:sz="4" w:space="0" w:color="auto"/>
            </w:tcBorders>
            <w:hideMark/>
          </w:tcPr>
          <w:p w14:paraId="30E624A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Bentinck Erewash Meadow</w:t>
            </w:r>
          </w:p>
        </w:tc>
        <w:tc>
          <w:tcPr>
            <w:tcW w:w="4395" w:type="dxa"/>
            <w:tcBorders>
              <w:top w:val="nil"/>
              <w:left w:val="nil"/>
              <w:bottom w:val="single" w:sz="4" w:space="0" w:color="auto"/>
              <w:right w:val="single" w:sz="4" w:space="0" w:color="auto"/>
            </w:tcBorders>
            <w:hideMark/>
          </w:tcPr>
          <w:p w14:paraId="08197876" w14:textId="08A5F2E4"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Neutral grassland with permanent wet areas supporting notable species</w:t>
            </w:r>
          </w:p>
        </w:tc>
        <w:tc>
          <w:tcPr>
            <w:tcW w:w="1984" w:type="dxa"/>
            <w:tcBorders>
              <w:top w:val="nil"/>
              <w:left w:val="nil"/>
              <w:bottom w:val="single" w:sz="4" w:space="0" w:color="auto"/>
              <w:right w:val="single" w:sz="4" w:space="0" w:color="auto"/>
            </w:tcBorders>
            <w:hideMark/>
          </w:tcPr>
          <w:p w14:paraId="542EED2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2144DFA8" w14:textId="77777777" w:rsidTr="00A055C8">
        <w:trPr>
          <w:trHeight w:val="580"/>
        </w:trPr>
        <w:tc>
          <w:tcPr>
            <w:tcW w:w="1009" w:type="dxa"/>
            <w:tcBorders>
              <w:top w:val="single" w:sz="4" w:space="0" w:color="auto"/>
              <w:left w:val="single" w:sz="4" w:space="0" w:color="auto"/>
              <w:bottom w:val="single" w:sz="4" w:space="0" w:color="auto"/>
              <w:right w:val="single" w:sz="4" w:space="0" w:color="auto"/>
            </w:tcBorders>
            <w:hideMark/>
          </w:tcPr>
          <w:p w14:paraId="4CC9473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EV4wdy</w:t>
            </w:r>
          </w:p>
        </w:tc>
        <w:tc>
          <w:tcPr>
            <w:tcW w:w="2388" w:type="dxa"/>
            <w:tcBorders>
              <w:top w:val="single" w:sz="4" w:space="0" w:color="auto"/>
              <w:left w:val="single" w:sz="4" w:space="0" w:color="auto"/>
              <w:bottom w:val="single" w:sz="4" w:space="0" w:color="auto"/>
              <w:right w:val="single" w:sz="4" w:space="0" w:color="auto"/>
            </w:tcBorders>
            <w:hideMark/>
          </w:tcPr>
          <w:p w14:paraId="60BDBBA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Bentinck Grassland</w:t>
            </w:r>
          </w:p>
        </w:tc>
        <w:tc>
          <w:tcPr>
            <w:tcW w:w="4395" w:type="dxa"/>
            <w:tcBorders>
              <w:top w:val="single" w:sz="4" w:space="0" w:color="auto"/>
              <w:left w:val="single" w:sz="4" w:space="0" w:color="auto"/>
              <w:bottom w:val="single" w:sz="4" w:space="0" w:color="auto"/>
              <w:right w:val="single" w:sz="4" w:space="0" w:color="auto"/>
            </w:tcBorders>
            <w:hideMark/>
          </w:tcPr>
          <w:p w14:paraId="69D40799" w14:textId="06AEBB63"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once-typical grassland of grazed hay meadows</w:t>
            </w:r>
          </w:p>
        </w:tc>
        <w:tc>
          <w:tcPr>
            <w:tcW w:w="1984" w:type="dxa"/>
            <w:tcBorders>
              <w:top w:val="single" w:sz="4" w:space="0" w:color="auto"/>
              <w:left w:val="single" w:sz="4" w:space="0" w:color="auto"/>
              <w:bottom w:val="single" w:sz="4" w:space="0" w:color="auto"/>
              <w:right w:val="single" w:sz="4" w:space="0" w:color="auto"/>
            </w:tcBorders>
            <w:hideMark/>
          </w:tcPr>
          <w:p w14:paraId="063458F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0015E1FA" w14:textId="77777777" w:rsidTr="00A055C8">
        <w:trPr>
          <w:trHeight w:val="580"/>
        </w:trPr>
        <w:tc>
          <w:tcPr>
            <w:tcW w:w="1009" w:type="dxa"/>
            <w:tcBorders>
              <w:top w:val="single" w:sz="4" w:space="0" w:color="auto"/>
              <w:left w:val="single" w:sz="4" w:space="0" w:color="auto"/>
              <w:bottom w:val="single" w:sz="4" w:space="0" w:color="auto"/>
              <w:right w:val="single" w:sz="4" w:space="0" w:color="auto"/>
            </w:tcBorders>
            <w:hideMark/>
          </w:tcPr>
          <w:p w14:paraId="6A44FC2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EV4wdz</w:t>
            </w:r>
          </w:p>
        </w:tc>
        <w:tc>
          <w:tcPr>
            <w:tcW w:w="2388" w:type="dxa"/>
            <w:tcBorders>
              <w:top w:val="single" w:sz="4" w:space="0" w:color="auto"/>
              <w:left w:val="nil"/>
              <w:bottom w:val="single" w:sz="4" w:space="0" w:color="auto"/>
              <w:right w:val="single" w:sz="4" w:space="0" w:color="auto"/>
            </w:tcBorders>
            <w:hideMark/>
          </w:tcPr>
          <w:p w14:paraId="738A795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Dismantled Railway</w:t>
            </w:r>
          </w:p>
        </w:tc>
        <w:tc>
          <w:tcPr>
            <w:tcW w:w="4395" w:type="dxa"/>
            <w:tcBorders>
              <w:top w:val="single" w:sz="4" w:space="0" w:color="auto"/>
              <w:left w:val="nil"/>
              <w:bottom w:val="single" w:sz="4" w:space="0" w:color="auto"/>
              <w:right w:val="single" w:sz="4" w:space="0" w:color="auto"/>
            </w:tcBorders>
            <w:hideMark/>
          </w:tcPr>
          <w:p w14:paraId="225E3DF9" w14:textId="785783C0"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scrubby dismantled railway with a notable calcicolous grassland community</w:t>
            </w:r>
          </w:p>
        </w:tc>
        <w:tc>
          <w:tcPr>
            <w:tcW w:w="1984" w:type="dxa"/>
            <w:tcBorders>
              <w:top w:val="single" w:sz="4" w:space="0" w:color="auto"/>
              <w:left w:val="nil"/>
              <w:bottom w:val="single" w:sz="4" w:space="0" w:color="auto"/>
              <w:right w:val="single" w:sz="4" w:space="0" w:color="auto"/>
            </w:tcBorders>
            <w:hideMark/>
          </w:tcPr>
          <w:p w14:paraId="147C500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Larwood</w:t>
            </w:r>
          </w:p>
        </w:tc>
      </w:tr>
      <w:tr w:rsidR="000663FF" w:rsidRPr="000663FF" w14:paraId="449F2BF9"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628ADC5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w:t>
            </w:r>
          </w:p>
        </w:tc>
        <w:tc>
          <w:tcPr>
            <w:tcW w:w="2388" w:type="dxa"/>
            <w:tcBorders>
              <w:top w:val="nil"/>
              <w:left w:val="nil"/>
              <w:bottom w:val="single" w:sz="4" w:space="0" w:color="auto"/>
              <w:right w:val="single" w:sz="4" w:space="0" w:color="auto"/>
            </w:tcBorders>
            <w:hideMark/>
          </w:tcPr>
          <w:p w14:paraId="0434732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Grives Grassland</w:t>
            </w:r>
          </w:p>
        </w:tc>
        <w:tc>
          <w:tcPr>
            <w:tcW w:w="4395" w:type="dxa"/>
            <w:tcBorders>
              <w:top w:val="nil"/>
              <w:left w:val="nil"/>
              <w:bottom w:val="single" w:sz="4" w:space="0" w:color="auto"/>
              <w:right w:val="single" w:sz="4" w:space="0" w:color="auto"/>
            </w:tcBorders>
            <w:hideMark/>
          </w:tcPr>
          <w:p w14:paraId="6B32ED25" w14:textId="50666532"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rough, damp, notable grassland</w:t>
            </w:r>
          </w:p>
        </w:tc>
        <w:tc>
          <w:tcPr>
            <w:tcW w:w="1984" w:type="dxa"/>
            <w:tcBorders>
              <w:top w:val="nil"/>
              <w:left w:val="nil"/>
              <w:bottom w:val="single" w:sz="4" w:space="0" w:color="auto"/>
              <w:right w:val="single" w:sz="4" w:space="0" w:color="auto"/>
            </w:tcBorders>
            <w:hideMark/>
          </w:tcPr>
          <w:p w14:paraId="1BC08AF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0454B762"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2966C2E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EV4wea</w:t>
            </w:r>
          </w:p>
        </w:tc>
        <w:tc>
          <w:tcPr>
            <w:tcW w:w="2388" w:type="dxa"/>
            <w:tcBorders>
              <w:top w:val="nil"/>
              <w:left w:val="nil"/>
              <w:bottom w:val="single" w:sz="4" w:space="0" w:color="auto"/>
              <w:right w:val="single" w:sz="4" w:space="0" w:color="auto"/>
            </w:tcBorders>
            <w:hideMark/>
          </w:tcPr>
          <w:p w14:paraId="774AF314" w14:textId="77777777" w:rsidR="00FA2CC6" w:rsidRDefault="00780E66" w:rsidP="00FA2CC6">
            <w:pPr>
              <w:keepNext w:val="0"/>
              <w:spacing w:before="0"/>
              <w:rPr>
                <w:rFonts w:ascii="Calibri" w:hAnsi="Calibri" w:cs="Calibri"/>
                <w:color w:val="auto"/>
                <w:sz w:val="22"/>
                <w:szCs w:val="22"/>
              </w:rPr>
            </w:pPr>
            <w:r w:rsidRPr="00780E66">
              <w:rPr>
                <w:rFonts w:ascii="Calibri" w:hAnsi="Calibri" w:cs="Calibri"/>
                <w:color w:val="0070C0"/>
                <w:sz w:val="22"/>
                <w:szCs w:val="22"/>
              </w:rPr>
              <w:t xml:space="preserve">LWS - </w:t>
            </w:r>
            <w:r w:rsidR="00FA2CC6" w:rsidRPr="000663FF">
              <w:rPr>
                <w:rFonts w:ascii="Calibri" w:hAnsi="Calibri" w:cs="Calibri"/>
                <w:color w:val="auto"/>
                <w:sz w:val="22"/>
                <w:szCs w:val="22"/>
              </w:rPr>
              <w:t>Kirkby Grives I</w:t>
            </w:r>
          </w:p>
          <w:p w14:paraId="6650E546" w14:textId="035FBD5A" w:rsidR="00780E66" w:rsidRPr="000663FF" w:rsidRDefault="00780E66" w:rsidP="00FA2CC6">
            <w:pPr>
              <w:keepNext w:val="0"/>
              <w:spacing w:before="0"/>
              <w:rPr>
                <w:rFonts w:ascii="Calibri" w:hAnsi="Calibri" w:cs="Calibri"/>
                <w:color w:val="auto"/>
                <w:sz w:val="22"/>
                <w:szCs w:val="22"/>
              </w:rPr>
            </w:pPr>
            <w:r w:rsidRPr="00780E66">
              <w:rPr>
                <w:rFonts w:ascii="Calibri" w:hAnsi="Calibri" w:cs="Calibri"/>
                <w:color w:val="0070C0"/>
                <w:sz w:val="22"/>
                <w:szCs w:val="22"/>
              </w:rPr>
              <w:t xml:space="preserve">LGS </w:t>
            </w:r>
            <w:r w:rsidR="00616F65">
              <w:rPr>
                <w:rFonts w:ascii="Calibri" w:hAnsi="Calibri" w:cs="Calibri"/>
                <w:color w:val="0070C0"/>
                <w:sz w:val="22"/>
                <w:szCs w:val="22"/>
              </w:rPr>
              <w:t>-</w:t>
            </w:r>
            <w:r w:rsidRPr="00780E66">
              <w:rPr>
                <w:rFonts w:ascii="Calibri" w:hAnsi="Calibri" w:cs="Calibri"/>
                <w:color w:val="0070C0"/>
                <w:sz w:val="22"/>
                <w:szCs w:val="22"/>
              </w:rPr>
              <w:t xml:space="preserve"> Lindley’s Lane Railway Cutting</w:t>
            </w:r>
          </w:p>
        </w:tc>
        <w:tc>
          <w:tcPr>
            <w:tcW w:w="4395" w:type="dxa"/>
            <w:tcBorders>
              <w:top w:val="nil"/>
              <w:left w:val="nil"/>
              <w:bottom w:val="single" w:sz="4" w:space="0" w:color="auto"/>
              <w:right w:val="single" w:sz="4" w:space="0" w:color="auto"/>
            </w:tcBorders>
            <w:hideMark/>
          </w:tcPr>
          <w:p w14:paraId="6DA46750" w14:textId="77777777" w:rsidR="00FA2CC6"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w:t>
            </w:r>
            <w:r w:rsidRPr="00780E66">
              <w:rPr>
                <w:rFonts w:ascii="Calibri" w:hAnsi="Calibri" w:cs="Calibri"/>
                <w:strike/>
                <w:color w:val="auto"/>
                <w:sz w:val="22"/>
                <w:szCs w:val="22"/>
              </w:rPr>
              <w:t>&amp; LGS</w:t>
            </w:r>
            <w:r w:rsidRPr="000663FF">
              <w:rPr>
                <w:rFonts w:ascii="Calibri" w:hAnsi="Calibri" w:cs="Calibri"/>
                <w:color w:val="auto"/>
                <w:sz w:val="22"/>
                <w:szCs w:val="22"/>
              </w:rPr>
              <w:t xml:space="preserve"> - </w:t>
            </w:r>
            <w:r w:rsidR="00FA2CC6" w:rsidRPr="000663FF">
              <w:rPr>
                <w:rFonts w:ascii="Calibri" w:hAnsi="Calibri" w:cs="Calibri"/>
                <w:color w:val="auto"/>
                <w:sz w:val="22"/>
                <w:szCs w:val="22"/>
              </w:rPr>
              <w:t>Very fine examples of calcareous and more neutral grassland, with scrub and floristically species</w:t>
            </w:r>
            <w:r w:rsidR="00780E66">
              <w:rPr>
                <w:rFonts w:ascii="Calibri" w:hAnsi="Calibri" w:cs="Calibri"/>
                <w:color w:val="auto"/>
                <w:sz w:val="22"/>
                <w:szCs w:val="22"/>
              </w:rPr>
              <w:t>.</w:t>
            </w:r>
          </w:p>
          <w:p w14:paraId="48788CD7" w14:textId="3B656497" w:rsidR="00780E66" w:rsidRPr="000663FF" w:rsidRDefault="00616F65" w:rsidP="00FA2CC6">
            <w:pPr>
              <w:keepNext w:val="0"/>
              <w:spacing w:before="0"/>
              <w:rPr>
                <w:rFonts w:ascii="Calibri" w:hAnsi="Calibri" w:cs="Calibri"/>
                <w:color w:val="auto"/>
                <w:sz w:val="22"/>
                <w:szCs w:val="22"/>
              </w:rPr>
            </w:pPr>
            <w:r w:rsidRPr="00616F65">
              <w:rPr>
                <w:rFonts w:ascii="Calibri" w:hAnsi="Calibri" w:cs="Calibri"/>
                <w:color w:val="0070C0"/>
                <w:sz w:val="22"/>
                <w:szCs w:val="22"/>
              </w:rPr>
              <w:t xml:space="preserve">LGS - </w:t>
            </w:r>
            <w:r w:rsidRPr="00616F65">
              <w:rPr>
                <w:rFonts w:asciiTheme="minorHAnsi" w:hAnsiTheme="minorHAnsi" w:cstheme="minorHAnsi"/>
                <w:color w:val="0070C0"/>
                <w:sz w:val="22"/>
                <w:szCs w:val="22"/>
              </w:rPr>
              <w:t xml:space="preserve">Old railway cutting now a footpath </w:t>
            </w:r>
            <w:proofErr w:type="gramStart"/>
            <w:r w:rsidRPr="00616F65">
              <w:rPr>
                <w:rFonts w:asciiTheme="minorHAnsi" w:hAnsiTheme="minorHAnsi" w:cstheme="minorHAnsi"/>
                <w:color w:val="0070C0"/>
                <w:sz w:val="22"/>
                <w:szCs w:val="22"/>
              </w:rPr>
              <w:t>with  exposures</w:t>
            </w:r>
            <w:proofErr w:type="gramEnd"/>
            <w:r w:rsidRPr="00616F65">
              <w:rPr>
                <w:rFonts w:asciiTheme="minorHAnsi" w:hAnsiTheme="minorHAnsi" w:cstheme="minorHAnsi"/>
                <w:color w:val="0070C0"/>
                <w:sz w:val="22"/>
                <w:szCs w:val="22"/>
              </w:rPr>
              <w:t xml:space="preserve"> on either side of the cutting of sandy dolostone, quite overgrown in places but accessible</w:t>
            </w:r>
          </w:p>
        </w:tc>
        <w:tc>
          <w:tcPr>
            <w:tcW w:w="1984" w:type="dxa"/>
            <w:tcBorders>
              <w:top w:val="nil"/>
              <w:left w:val="nil"/>
              <w:bottom w:val="single" w:sz="4" w:space="0" w:color="auto"/>
              <w:right w:val="single" w:sz="4" w:space="0" w:color="auto"/>
            </w:tcBorders>
            <w:hideMark/>
          </w:tcPr>
          <w:p w14:paraId="53BFE8D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101CE5D8"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410BE95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EV4web</w:t>
            </w:r>
          </w:p>
        </w:tc>
        <w:tc>
          <w:tcPr>
            <w:tcW w:w="2388" w:type="dxa"/>
            <w:tcBorders>
              <w:top w:val="nil"/>
              <w:left w:val="nil"/>
              <w:bottom w:val="single" w:sz="4" w:space="0" w:color="auto"/>
              <w:right w:val="single" w:sz="4" w:space="0" w:color="auto"/>
            </w:tcBorders>
            <w:hideMark/>
          </w:tcPr>
          <w:p w14:paraId="0102A38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Grives Grasslands</w:t>
            </w:r>
          </w:p>
        </w:tc>
        <w:tc>
          <w:tcPr>
            <w:tcW w:w="4395" w:type="dxa"/>
            <w:tcBorders>
              <w:top w:val="nil"/>
              <w:left w:val="nil"/>
              <w:bottom w:val="single" w:sz="4" w:space="0" w:color="auto"/>
              <w:right w:val="single" w:sz="4" w:space="0" w:color="auto"/>
            </w:tcBorders>
            <w:hideMark/>
          </w:tcPr>
          <w:p w14:paraId="5D48BA2D" w14:textId="0345002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Two horse grazed grasslands with wet and dry areas</w:t>
            </w:r>
          </w:p>
        </w:tc>
        <w:tc>
          <w:tcPr>
            <w:tcW w:w="1984" w:type="dxa"/>
            <w:tcBorders>
              <w:top w:val="nil"/>
              <w:left w:val="nil"/>
              <w:bottom w:val="single" w:sz="4" w:space="0" w:color="auto"/>
              <w:right w:val="single" w:sz="4" w:space="0" w:color="auto"/>
            </w:tcBorders>
            <w:hideMark/>
          </w:tcPr>
          <w:p w14:paraId="4A1B306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52897BF0"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FAA3DB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EV4wec</w:t>
            </w:r>
          </w:p>
        </w:tc>
        <w:tc>
          <w:tcPr>
            <w:tcW w:w="2388" w:type="dxa"/>
            <w:tcBorders>
              <w:top w:val="nil"/>
              <w:left w:val="nil"/>
              <w:bottom w:val="single" w:sz="4" w:space="0" w:color="auto"/>
              <w:right w:val="single" w:sz="4" w:space="0" w:color="auto"/>
            </w:tcBorders>
            <w:hideMark/>
          </w:tcPr>
          <w:p w14:paraId="010DD8A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Grives II</w:t>
            </w:r>
          </w:p>
        </w:tc>
        <w:tc>
          <w:tcPr>
            <w:tcW w:w="4395" w:type="dxa"/>
            <w:tcBorders>
              <w:top w:val="nil"/>
              <w:left w:val="nil"/>
              <w:bottom w:val="single" w:sz="4" w:space="0" w:color="auto"/>
              <w:right w:val="single" w:sz="4" w:space="0" w:color="auto"/>
            </w:tcBorders>
            <w:hideMark/>
          </w:tcPr>
          <w:p w14:paraId="0B3CD28A" w14:textId="09240C4D"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very fine calcareous grassland</w:t>
            </w:r>
          </w:p>
        </w:tc>
        <w:tc>
          <w:tcPr>
            <w:tcW w:w="1984" w:type="dxa"/>
            <w:tcBorders>
              <w:top w:val="nil"/>
              <w:left w:val="nil"/>
              <w:bottom w:val="single" w:sz="4" w:space="0" w:color="auto"/>
              <w:right w:val="single" w:sz="4" w:space="0" w:color="auto"/>
            </w:tcBorders>
            <w:hideMark/>
          </w:tcPr>
          <w:p w14:paraId="3765AC2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60B4BF46"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7F6497C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EV4wed</w:t>
            </w:r>
          </w:p>
        </w:tc>
        <w:tc>
          <w:tcPr>
            <w:tcW w:w="2388" w:type="dxa"/>
            <w:tcBorders>
              <w:top w:val="single" w:sz="4" w:space="0" w:color="auto"/>
              <w:left w:val="single" w:sz="4" w:space="0" w:color="auto"/>
              <w:bottom w:val="single" w:sz="4" w:space="0" w:color="auto"/>
              <w:right w:val="single" w:sz="4" w:space="0" w:color="auto"/>
            </w:tcBorders>
            <w:hideMark/>
          </w:tcPr>
          <w:p w14:paraId="511F953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Wasteland</w:t>
            </w:r>
          </w:p>
        </w:tc>
        <w:tc>
          <w:tcPr>
            <w:tcW w:w="4395" w:type="dxa"/>
            <w:tcBorders>
              <w:top w:val="single" w:sz="4" w:space="0" w:color="auto"/>
              <w:left w:val="single" w:sz="4" w:space="0" w:color="auto"/>
              <w:bottom w:val="single" w:sz="4" w:space="0" w:color="auto"/>
              <w:right w:val="single" w:sz="4" w:space="0" w:color="auto"/>
            </w:tcBorders>
            <w:hideMark/>
          </w:tcPr>
          <w:p w14:paraId="43AC5CC9" w14:textId="2942A32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LWS – I</w:t>
            </w:r>
            <w:r w:rsidR="00FA2CC6" w:rsidRPr="000663FF">
              <w:rPr>
                <w:rFonts w:ascii="Calibri" w:hAnsi="Calibri" w:cs="Calibri"/>
                <w:color w:val="auto"/>
                <w:sz w:val="22"/>
                <w:szCs w:val="22"/>
              </w:rPr>
              <w:t>nteresting</w:t>
            </w:r>
            <w:r w:rsidRPr="000663FF">
              <w:rPr>
                <w:rFonts w:ascii="Calibri" w:hAnsi="Calibri" w:cs="Calibri"/>
                <w:color w:val="auto"/>
                <w:sz w:val="22"/>
                <w:szCs w:val="22"/>
              </w:rPr>
              <w:t>,</w:t>
            </w:r>
            <w:r w:rsidR="00FA2CC6" w:rsidRPr="000663FF">
              <w:rPr>
                <w:rFonts w:ascii="Calibri" w:hAnsi="Calibri" w:cs="Calibri"/>
                <w:color w:val="auto"/>
                <w:sz w:val="22"/>
                <w:szCs w:val="22"/>
              </w:rPr>
              <w:t xml:space="preserve"> neglected grasslands with </w:t>
            </w:r>
            <w:proofErr w:type="gramStart"/>
            <w:r w:rsidR="00FA2CC6" w:rsidRPr="000663FF">
              <w:rPr>
                <w:rFonts w:ascii="Calibri" w:hAnsi="Calibri" w:cs="Calibri"/>
                <w:color w:val="auto"/>
                <w:sz w:val="22"/>
                <w:szCs w:val="22"/>
              </w:rPr>
              <w:t>a number of</w:t>
            </w:r>
            <w:proofErr w:type="gramEnd"/>
            <w:r w:rsidR="00FA2CC6" w:rsidRPr="000663FF">
              <w:rPr>
                <w:rFonts w:ascii="Calibri" w:hAnsi="Calibri" w:cs="Calibri"/>
                <w:color w:val="auto"/>
                <w:sz w:val="22"/>
                <w:szCs w:val="22"/>
              </w:rPr>
              <w:t xml:space="preserve"> notable plant species</w:t>
            </w:r>
          </w:p>
        </w:tc>
        <w:tc>
          <w:tcPr>
            <w:tcW w:w="1984" w:type="dxa"/>
            <w:tcBorders>
              <w:top w:val="single" w:sz="4" w:space="0" w:color="auto"/>
              <w:left w:val="single" w:sz="4" w:space="0" w:color="auto"/>
              <w:bottom w:val="single" w:sz="4" w:space="0" w:color="auto"/>
              <w:right w:val="single" w:sz="4" w:space="0" w:color="auto"/>
            </w:tcBorders>
            <w:hideMark/>
          </w:tcPr>
          <w:p w14:paraId="467063E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Greenwood &amp; Summit</w:t>
            </w:r>
          </w:p>
        </w:tc>
      </w:tr>
      <w:tr w:rsidR="000663FF" w:rsidRPr="000663FF" w14:paraId="54FDDFB9" w14:textId="77777777" w:rsidTr="00DC0D18">
        <w:trPr>
          <w:trHeight w:val="870"/>
        </w:trPr>
        <w:tc>
          <w:tcPr>
            <w:tcW w:w="1009" w:type="dxa"/>
            <w:tcBorders>
              <w:top w:val="single" w:sz="4" w:space="0" w:color="auto"/>
              <w:left w:val="single" w:sz="4" w:space="0" w:color="auto"/>
              <w:bottom w:val="single" w:sz="4" w:space="0" w:color="auto"/>
              <w:right w:val="single" w:sz="4" w:space="0" w:color="auto"/>
            </w:tcBorders>
            <w:hideMark/>
          </w:tcPr>
          <w:p w14:paraId="111AC90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EV4wee</w:t>
            </w:r>
          </w:p>
        </w:tc>
        <w:tc>
          <w:tcPr>
            <w:tcW w:w="2388" w:type="dxa"/>
            <w:tcBorders>
              <w:top w:val="single" w:sz="4" w:space="0" w:color="auto"/>
              <w:left w:val="nil"/>
              <w:bottom w:val="single" w:sz="4" w:space="0" w:color="auto"/>
              <w:right w:val="single" w:sz="4" w:space="0" w:color="auto"/>
            </w:tcBorders>
            <w:hideMark/>
          </w:tcPr>
          <w:p w14:paraId="4B9F014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Woodhouse Bank</w:t>
            </w:r>
          </w:p>
        </w:tc>
        <w:tc>
          <w:tcPr>
            <w:tcW w:w="4395" w:type="dxa"/>
            <w:tcBorders>
              <w:top w:val="single" w:sz="4" w:space="0" w:color="auto"/>
              <w:left w:val="nil"/>
              <w:bottom w:val="single" w:sz="4" w:space="0" w:color="auto"/>
              <w:right w:val="single" w:sz="4" w:space="0" w:color="auto"/>
            </w:tcBorders>
            <w:hideMark/>
          </w:tcPr>
          <w:p w14:paraId="2E003A83" w14:textId="4A573E6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steep bank clothed in ruderal vegetation with a notable calcareous community</w:t>
            </w:r>
          </w:p>
        </w:tc>
        <w:tc>
          <w:tcPr>
            <w:tcW w:w="1984" w:type="dxa"/>
            <w:tcBorders>
              <w:top w:val="single" w:sz="4" w:space="0" w:color="auto"/>
              <w:left w:val="nil"/>
              <w:bottom w:val="single" w:sz="4" w:space="0" w:color="auto"/>
              <w:right w:val="single" w:sz="4" w:space="0" w:color="auto"/>
            </w:tcBorders>
            <w:hideMark/>
          </w:tcPr>
          <w:p w14:paraId="59D17EE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109F9A07" w14:textId="77777777" w:rsidTr="00DC0D18">
        <w:trPr>
          <w:trHeight w:val="892"/>
        </w:trPr>
        <w:tc>
          <w:tcPr>
            <w:tcW w:w="1009" w:type="dxa"/>
            <w:tcBorders>
              <w:top w:val="nil"/>
              <w:left w:val="single" w:sz="4" w:space="0" w:color="auto"/>
              <w:bottom w:val="single" w:sz="4" w:space="0" w:color="auto"/>
              <w:right w:val="single" w:sz="4" w:space="0" w:color="auto"/>
            </w:tcBorders>
            <w:hideMark/>
          </w:tcPr>
          <w:p w14:paraId="2A7C8F7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EV4wef</w:t>
            </w:r>
          </w:p>
        </w:tc>
        <w:tc>
          <w:tcPr>
            <w:tcW w:w="2388" w:type="dxa"/>
            <w:tcBorders>
              <w:top w:val="nil"/>
              <w:left w:val="nil"/>
              <w:bottom w:val="single" w:sz="4" w:space="0" w:color="auto"/>
              <w:right w:val="single" w:sz="4" w:space="0" w:color="auto"/>
            </w:tcBorders>
            <w:hideMark/>
          </w:tcPr>
          <w:p w14:paraId="0798276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Woodhouse Grassland</w:t>
            </w:r>
          </w:p>
        </w:tc>
        <w:tc>
          <w:tcPr>
            <w:tcW w:w="4395" w:type="dxa"/>
            <w:tcBorders>
              <w:top w:val="nil"/>
              <w:left w:val="nil"/>
              <w:bottom w:val="single" w:sz="4" w:space="0" w:color="auto"/>
              <w:right w:val="single" w:sz="4" w:space="0" w:color="auto"/>
            </w:tcBorders>
            <w:hideMark/>
          </w:tcPr>
          <w:p w14:paraId="732CD1EA" w14:textId="10027D2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scarp grassland, incorporating unimproved dry calcareous and damp neutral grassland,</w:t>
            </w:r>
          </w:p>
        </w:tc>
        <w:tc>
          <w:tcPr>
            <w:tcW w:w="1984" w:type="dxa"/>
            <w:tcBorders>
              <w:top w:val="nil"/>
              <w:left w:val="nil"/>
              <w:bottom w:val="single" w:sz="4" w:space="0" w:color="auto"/>
              <w:right w:val="single" w:sz="4" w:space="0" w:color="auto"/>
            </w:tcBorders>
            <w:hideMark/>
          </w:tcPr>
          <w:p w14:paraId="197DF7F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3A006EC6"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55E4AE5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EV4weg</w:t>
            </w:r>
          </w:p>
        </w:tc>
        <w:tc>
          <w:tcPr>
            <w:tcW w:w="2388" w:type="dxa"/>
            <w:tcBorders>
              <w:top w:val="nil"/>
              <w:left w:val="nil"/>
              <w:bottom w:val="single" w:sz="4" w:space="0" w:color="auto"/>
              <w:right w:val="single" w:sz="4" w:space="0" w:color="auto"/>
            </w:tcBorders>
            <w:hideMark/>
          </w:tcPr>
          <w:p w14:paraId="410161D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Woodhouse Limestone Grassland</w:t>
            </w:r>
          </w:p>
        </w:tc>
        <w:tc>
          <w:tcPr>
            <w:tcW w:w="4395" w:type="dxa"/>
            <w:tcBorders>
              <w:top w:val="nil"/>
              <w:left w:val="nil"/>
              <w:bottom w:val="single" w:sz="4" w:space="0" w:color="auto"/>
              <w:right w:val="single" w:sz="4" w:space="0" w:color="auto"/>
            </w:tcBorders>
            <w:hideMark/>
          </w:tcPr>
          <w:p w14:paraId="6D12BF28" w14:textId="4A889C7C"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calcareous bank</w:t>
            </w:r>
          </w:p>
        </w:tc>
        <w:tc>
          <w:tcPr>
            <w:tcW w:w="1984" w:type="dxa"/>
            <w:tcBorders>
              <w:top w:val="nil"/>
              <w:left w:val="nil"/>
              <w:bottom w:val="single" w:sz="4" w:space="0" w:color="auto"/>
              <w:right w:val="single" w:sz="4" w:space="0" w:color="auto"/>
            </w:tcBorders>
            <w:hideMark/>
          </w:tcPr>
          <w:p w14:paraId="033C43C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0F4B8722"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DA6811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EV4weh</w:t>
            </w:r>
          </w:p>
        </w:tc>
        <w:tc>
          <w:tcPr>
            <w:tcW w:w="2388" w:type="dxa"/>
            <w:tcBorders>
              <w:top w:val="nil"/>
              <w:left w:val="nil"/>
              <w:bottom w:val="single" w:sz="4" w:space="0" w:color="auto"/>
              <w:right w:val="single" w:sz="4" w:space="0" w:color="auto"/>
            </w:tcBorders>
            <w:hideMark/>
          </w:tcPr>
          <w:p w14:paraId="37B3340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Lady Spencer's Wood</w:t>
            </w:r>
          </w:p>
        </w:tc>
        <w:tc>
          <w:tcPr>
            <w:tcW w:w="4395" w:type="dxa"/>
            <w:tcBorders>
              <w:top w:val="nil"/>
              <w:left w:val="nil"/>
              <w:bottom w:val="single" w:sz="4" w:space="0" w:color="auto"/>
              <w:right w:val="single" w:sz="4" w:space="0" w:color="auto"/>
            </w:tcBorders>
            <w:hideMark/>
          </w:tcPr>
          <w:p w14:paraId="70E10215" w14:textId="75E80DEC"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Deciduous woodland with a noteworthy ground flora</w:t>
            </w:r>
          </w:p>
        </w:tc>
        <w:tc>
          <w:tcPr>
            <w:tcW w:w="1984" w:type="dxa"/>
            <w:tcBorders>
              <w:top w:val="nil"/>
              <w:left w:val="nil"/>
              <w:bottom w:val="single" w:sz="4" w:space="0" w:color="auto"/>
              <w:right w:val="single" w:sz="4" w:space="0" w:color="auto"/>
            </w:tcBorders>
            <w:hideMark/>
          </w:tcPr>
          <w:p w14:paraId="0319C94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52CAB99E"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5F8BCAC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EV4wei</w:t>
            </w:r>
          </w:p>
        </w:tc>
        <w:tc>
          <w:tcPr>
            <w:tcW w:w="2388" w:type="dxa"/>
            <w:tcBorders>
              <w:top w:val="nil"/>
              <w:left w:val="nil"/>
              <w:bottom w:val="single" w:sz="4" w:space="0" w:color="auto"/>
              <w:right w:val="single" w:sz="4" w:space="0" w:color="auto"/>
            </w:tcBorders>
            <w:hideMark/>
          </w:tcPr>
          <w:p w14:paraId="10EEA08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Langton Marshy Grassland</w:t>
            </w:r>
          </w:p>
        </w:tc>
        <w:tc>
          <w:tcPr>
            <w:tcW w:w="4395" w:type="dxa"/>
            <w:tcBorders>
              <w:top w:val="nil"/>
              <w:left w:val="nil"/>
              <w:bottom w:val="single" w:sz="4" w:space="0" w:color="auto"/>
              <w:right w:val="single" w:sz="4" w:space="0" w:color="auto"/>
            </w:tcBorders>
            <w:hideMark/>
          </w:tcPr>
          <w:p w14:paraId="2D909D3B" w14:textId="0194D65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Interesting marsh, swamp, and damp grasslands - of both botanical and zoological interest</w:t>
            </w:r>
          </w:p>
        </w:tc>
        <w:tc>
          <w:tcPr>
            <w:tcW w:w="1984" w:type="dxa"/>
            <w:tcBorders>
              <w:top w:val="nil"/>
              <w:left w:val="nil"/>
              <w:bottom w:val="single" w:sz="4" w:space="0" w:color="auto"/>
              <w:right w:val="single" w:sz="4" w:space="0" w:color="auto"/>
            </w:tcBorders>
            <w:hideMark/>
          </w:tcPr>
          <w:p w14:paraId="1FEC998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153C1596"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463FB99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EV4wej</w:t>
            </w:r>
          </w:p>
        </w:tc>
        <w:tc>
          <w:tcPr>
            <w:tcW w:w="2388" w:type="dxa"/>
            <w:tcBorders>
              <w:top w:val="single" w:sz="4" w:space="0" w:color="auto"/>
              <w:left w:val="single" w:sz="4" w:space="0" w:color="auto"/>
              <w:bottom w:val="single" w:sz="4" w:space="0" w:color="auto"/>
              <w:right w:val="single" w:sz="4" w:space="0" w:color="auto"/>
            </w:tcBorders>
            <w:hideMark/>
          </w:tcPr>
          <w:p w14:paraId="15C0A65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Langton Meadow</w:t>
            </w:r>
          </w:p>
        </w:tc>
        <w:tc>
          <w:tcPr>
            <w:tcW w:w="4395" w:type="dxa"/>
            <w:tcBorders>
              <w:top w:val="single" w:sz="4" w:space="0" w:color="auto"/>
              <w:left w:val="single" w:sz="4" w:space="0" w:color="auto"/>
              <w:bottom w:val="single" w:sz="4" w:space="0" w:color="auto"/>
              <w:right w:val="single" w:sz="4" w:space="0" w:color="auto"/>
            </w:tcBorders>
            <w:hideMark/>
          </w:tcPr>
          <w:p w14:paraId="1ABAE799" w14:textId="7C7A452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Coal Measures grassland</w:t>
            </w:r>
          </w:p>
        </w:tc>
        <w:tc>
          <w:tcPr>
            <w:tcW w:w="1984" w:type="dxa"/>
            <w:tcBorders>
              <w:top w:val="single" w:sz="4" w:space="0" w:color="auto"/>
              <w:left w:val="single" w:sz="4" w:space="0" w:color="auto"/>
              <w:bottom w:val="single" w:sz="4" w:space="0" w:color="auto"/>
              <w:right w:val="single" w:sz="4" w:space="0" w:color="auto"/>
            </w:tcBorders>
            <w:hideMark/>
          </w:tcPr>
          <w:p w14:paraId="0F5399B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455381D2"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3D14DFC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EV4wek</w:t>
            </w:r>
          </w:p>
        </w:tc>
        <w:tc>
          <w:tcPr>
            <w:tcW w:w="2388" w:type="dxa"/>
            <w:tcBorders>
              <w:top w:val="single" w:sz="4" w:space="0" w:color="auto"/>
              <w:left w:val="nil"/>
              <w:bottom w:val="single" w:sz="4" w:space="0" w:color="auto"/>
              <w:right w:val="single" w:sz="4" w:space="0" w:color="auto"/>
            </w:tcBorders>
            <w:hideMark/>
          </w:tcPr>
          <w:p w14:paraId="64D8B4CB"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Linby</w:t>
            </w:r>
            <w:proofErr w:type="spellEnd"/>
            <w:r w:rsidRPr="000663FF">
              <w:rPr>
                <w:rFonts w:ascii="Calibri" w:hAnsi="Calibri" w:cs="Calibri"/>
                <w:color w:val="auto"/>
                <w:sz w:val="22"/>
                <w:szCs w:val="22"/>
              </w:rPr>
              <w:t xml:space="preserve"> Colliery Railway</w:t>
            </w:r>
          </w:p>
        </w:tc>
        <w:tc>
          <w:tcPr>
            <w:tcW w:w="4395" w:type="dxa"/>
            <w:tcBorders>
              <w:top w:val="single" w:sz="4" w:space="0" w:color="auto"/>
              <w:left w:val="nil"/>
              <w:bottom w:val="single" w:sz="4" w:space="0" w:color="auto"/>
              <w:right w:val="single" w:sz="4" w:space="0" w:color="auto"/>
            </w:tcBorders>
            <w:hideMark/>
          </w:tcPr>
          <w:p w14:paraId="689CCD19" w14:textId="79BC6453"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interesting community developed on cinder and ballast</w:t>
            </w:r>
          </w:p>
        </w:tc>
        <w:tc>
          <w:tcPr>
            <w:tcW w:w="1984" w:type="dxa"/>
            <w:tcBorders>
              <w:top w:val="single" w:sz="4" w:space="0" w:color="auto"/>
              <w:left w:val="nil"/>
              <w:bottom w:val="single" w:sz="4" w:space="0" w:color="auto"/>
              <w:right w:val="single" w:sz="4" w:space="0" w:color="auto"/>
            </w:tcBorders>
            <w:hideMark/>
          </w:tcPr>
          <w:p w14:paraId="627533D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North</w:t>
            </w:r>
          </w:p>
        </w:tc>
      </w:tr>
      <w:tr w:rsidR="000663FF" w:rsidRPr="000663FF" w14:paraId="13258E44"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2FA83BA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EV4wel</w:t>
            </w:r>
          </w:p>
        </w:tc>
        <w:tc>
          <w:tcPr>
            <w:tcW w:w="2388" w:type="dxa"/>
            <w:tcBorders>
              <w:top w:val="nil"/>
              <w:left w:val="nil"/>
              <w:bottom w:val="single" w:sz="4" w:space="0" w:color="auto"/>
              <w:right w:val="single" w:sz="4" w:space="0" w:color="auto"/>
            </w:tcBorders>
            <w:hideMark/>
          </w:tcPr>
          <w:p w14:paraId="6404E11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Little </w:t>
            </w:r>
            <w:proofErr w:type="spellStart"/>
            <w:r w:rsidRPr="000663FF">
              <w:rPr>
                <w:rFonts w:ascii="Calibri" w:hAnsi="Calibri" w:cs="Calibri"/>
                <w:color w:val="auto"/>
                <w:sz w:val="22"/>
                <w:szCs w:val="22"/>
              </w:rPr>
              <w:t>Dawsgate's</w:t>
            </w:r>
            <w:proofErr w:type="spellEnd"/>
            <w:r w:rsidRPr="000663FF">
              <w:rPr>
                <w:rFonts w:ascii="Calibri" w:hAnsi="Calibri" w:cs="Calibri"/>
                <w:color w:val="auto"/>
                <w:sz w:val="22"/>
                <w:szCs w:val="22"/>
              </w:rPr>
              <w:t xml:space="preserve"> Wood</w:t>
            </w:r>
          </w:p>
        </w:tc>
        <w:tc>
          <w:tcPr>
            <w:tcW w:w="4395" w:type="dxa"/>
            <w:tcBorders>
              <w:top w:val="nil"/>
              <w:left w:val="nil"/>
              <w:bottom w:val="single" w:sz="4" w:space="0" w:color="auto"/>
              <w:right w:val="single" w:sz="4" w:space="0" w:color="auto"/>
            </w:tcBorders>
            <w:hideMark/>
          </w:tcPr>
          <w:p w14:paraId="2A3AFE87" w14:textId="4B61BEF6"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deciduous plantation woodland with a remnant ground flora</w:t>
            </w:r>
          </w:p>
        </w:tc>
        <w:tc>
          <w:tcPr>
            <w:tcW w:w="1984" w:type="dxa"/>
            <w:tcBorders>
              <w:top w:val="nil"/>
              <w:left w:val="nil"/>
              <w:bottom w:val="single" w:sz="4" w:space="0" w:color="auto"/>
              <w:right w:val="single" w:sz="4" w:space="0" w:color="auto"/>
            </w:tcBorders>
            <w:hideMark/>
          </w:tcPr>
          <w:p w14:paraId="3443411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6BC65355"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22CF77E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EV4wem</w:t>
            </w:r>
          </w:p>
        </w:tc>
        <w:tc>
          <w:tcPr>
            <w:tcW w:w="2388" w:type="dxa"/>
            <w:tcBorders>
              <w:top w:val="nil"/>
              <w:left w:val="nil"/>
              <w:bottom w:val="single" w:sz="4" w:space="0" w:color="auto"/>
              <w:right w:val="single" w:sz="4" w:space="0" w:color="auto"/>
            </w:tcBorders>
            <w:hideMark/>
          </w:tcPr>
          <w:p w14:paraId="0C38CC4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Little Oak Plantation</w:t>
            </w:r>
          </w:p>
        </w:tc>
        <w:tc>
          <w:tcPr>
            <w:tcW w:w="4395" w:type="dxa"/>
            <w:tcBorders>
              <w:top w:val="nil"/>
              <w:left w:val="nil"/>
              <w:bottom w:val="single" w:sz="4" w:space="0" w:color="auto"/>
              <w:right w:val="single" w:sz="4" w:space="0" w:color="auto"/>
            </w:tcBorders>
            <w:hideMark/>
          </w:tcPr>
          <w:p w14:paraId="7A010845" w14:textId="7FE7B21D"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Plantation woodland supporting a noteworthy ground flora</w:t>
            </w:r>
          </w:p>
        </w:tc>
        <w:tc>
          <w:tcPr>
            <w:tcW w:w="1984" w:type="dxa"/>
            <w:tcBorders>
              <w:top w:val="nil"/>
              <w:left w:val="nil"/>
              <w:bottom w:val="single" w:sz="4" w:space="0" w:color="auto"/>
              <w:right w:val="single" w:sz="4" w:space="0" w:color="auto"/>
            </w:tcBorders>
            <w:hideMark/>
          </w:tcPr>
          <w:p w14:paraId="14A7286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62157D2B"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277C22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EV4wen</w:t>
            </w:r>
          </w:p>
        </w:tc>
        <w:tc>
          <w:tcPr>
            <w:tcW w:w="2388" w:type="dxa"/>
            <w:tcBorders>
              <w:top w:val="nil"/>
              <w:left w:val="nil"/>
              <w:bottom w:val="single" w:sz="4" w:space="0" w:color="auto"/>
              <w:right w:val="single" w:sz="4" w:space="0" w:color="auto"/>
            </w:tcBorders>
            <w:hideMark/>
          </w:tcPr>
          <w:p w14:paraId="375FA60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Long Hill Disused Pit</w:t>
            </w:r>
          </w:p>
        </w:tc>
        <w:tc>
          <w:tcPr>
            <w:tcW w:w="4395" w:type="dxa"/>
            <w:tcBorders>
              <w:top w:val="nil"/>
              <w:left w:val="nil"/>
              <w:bottom w:val="single" w:sz="4" w:space="0" w:color="auto"/>
              <w:right w:val="single" w:sz="4" w:space="0" w:color="auto"/>
            </w:tcBorders>
            <w:hideMark/>
          </w:tcPr>
          <w:p w14:paraId="6B7181A1" w14:textId="76A8FF10"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Once typical dry grassland commun</w:t>
            </w:r>
            <w:r w:rsidR="00DC0D18" w:rsidRPr="000663FF">
              <w:rPr>
                <w:rFonts w:ascii="Calibri" w:hAnsi="Calibri" w:cs="Calibri"/>
                <w:color w:val="auto"/>
                <w:sz w:val="22"/>
                <w:szCs w:val="22"/>
              </w:rPr>
              <w:t>it</w:t>
            </w:r>
            <w:r w:rsidR="00FA2CC6" w:rsidRPr="000663FF">
              <w:rPr>
                <w:rFonts w:ascii="Calibri" w:hAnsi="Calibri" w:cs="Calibri"/>
                <w:color w:val="auto"/>
                <w:sz w:val="22"/>
                <w:szCs w:val="22"/>
              </w:rPr>
              <w:t>ies on disused workings</w:t>
            </w:r>
          </w:p>
        </w:tc>
        <w:tc>
          <w:tcPr>
            <w:tcW w:w="1984" w:type="dxa"/>
            <w:tcBorders>
              <w:top w:val="nil"/>
              <w:left w:val="nil"/>
              <w:bottom w:val="single" w:sz="4" w:space="0" w:color="auto"/>
              <w:right w:val="single" w:sz="4" w:space="0" w:color="auto"/>
            </w:tcBorders>
            <w:hideMark/>
          </w:tcPr>
          <w:p w14:paraId="7C86FFE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178F1D63" w14:textId="77777777" w:rsidTr="000663FF">
        <w:trPr>
          <w:trHeight w:val="290"/>
        </w:trPr>
        <w:tc>
          <w:tcPr>
            <w:tcW w:w="1009" w:type="dxa"/>
            <w:tcBorders>
              <w:top w:val="nil"/>
              <w:left w:val="single" w:sz="4" w:space="0" w:color="auto"/>
              <w:bottom w:val="single" w:sz="4" w:space="0" w:color="auto"/>
              <w:right w:val="single" w:sz="4" w:space="0" w:color="auto"/>
            </w:tcBorders>
            <w:hideMark/>
          </w:tcPr>
          <w:p w14:paraId="6D6FB28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EV4weo</w:t>
            </w:r>
          </w:p>
        </w:tc>
        <w:tc>
          <w:tcPr>
            <w:tcW w:w="2388" w:type="dxa"/>
            <w:tcBorders>
              <w:top w:val="nil"/>
              <w:left w:val="nil"/>
              <w:bottom w:val="single" w:sz="4" w:space="0" w:color="auto"/>
              <w:right w:val="single" w:sz="4" w:space="0" w:color="auto"/>
            </w:tcBorders>
            <w:hideMark/>
          </w:tcPr>
          <w:p w14:paraId="712027E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Long Hill Meadow</w:t>
            </w:r>
          </w:p>
        </w:tc>
        <w:tc>
          <w:tcPr>
            <w:tcW w:w="4395" w:type="dxa"/>
            <w:tcBorders>
              <w:top w:val="nil"/>
              <w:left w:val="nil"/>
              <w:bottom w:val="single" w:sz="4" w:space="0" w:color="auto"/>
              <w:right w:val="single" w:sz="4" w:space="0" w:color="auto"/>
            </w:tcBorders>
            <w:hideMark/>
          </w:tcPr>
          <w:p w14:paraId="79A79A5D" w14:textId="4C4E04D2"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damp species-rich meadow</w:t>
            </w:r>
          </w:p>
        </w:tc>
        <w:tc>
          <w:tcPr>
            <w:tcW w:w="1984" w:type="dxa"/>
            <w:tcBorders>
              <w:top w:val="nil"/>
              <w:left w:val="nil"/>
              <w:bottom w:val="single" w:sz="4" w:space="0" w:color="auto"/>
              <w:right w:val="single" w:sz="4" w:space="0" w:color="auto"/>
            </w:tcBorders>
            <w:hideMark/>
          </w:tcPr>
          <w:p w14:paraId="2DD9CCB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0663FF" w:rsidRPr="000663FF" w14:paraId="6F89C0FE"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68672C7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EV4wep</w:t>
            </w:r>
          </w:p>
        </w:tc>
        <w:tc>
          <w:tcPr>
            <w:tcW w:w="2388" w:type="dxa"/>
            <w:tcBorders>
              <w:top w:val="single" w:sz="4" w:space="0" w:color="auto"/>
              <w:left w:val="nil"/>
              <w:bottom w:val="single" w:sz="4" w:space="0" w:color="auto"/>
              <w:right w:val="single" w:sz="4" w:space="0" w:color="auto"/>
            </w:tcBorders>
            <w:hideMark/>
          </w:tcPr>
          <w:p w14:paraId="5920BDD8"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Longside</w:t>
            </w:r>
            <w:proofErr w:type="spellEnd"/>
            <w:r w:rsidRPr="000663FF">
              <w:rPr>
                <w:rFonts w:ascii="Calibri" w:hAnsi="Calibri" w:cs="Calibri"/>
                <w:color w:val="auto"/>
                <w:sz w:val="22"/>
                <w:szCs w:val="22"/>
              </w:rPr>
              <w:t xml:space="preserve"> Farm Grassland</w:t>
            </w:r>
          </w:p>
        </w:tc>
        <w:tc>
          <w:tcPr>
            <w:tcW w:w="4395" w:type="dxa"/>
            <w:tcBorders>
              <w:top w:val="single" w:sz="4" w:space="0" w:color="auto"/>
              <w:left w:val="nil"/>
              <w:bottom w:val="single" w:sz="4" w:space="0" w:color="auto"/>
              <w:right w:val="single" w:sz="4" w:space="0" w:color="auto"/>
            </w:tcBorders>
            <w:hideMark/>
          </w:tcPr>
          <w:p w14:paraId="581FFCA8" w14:textId="681BB77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Two hay meadows and a pasture with diverse floras</w:t>
            </w:r>
          </w:p>
        </w:tc>
        <w:tc>
          <w:tcPr>
            <w:tcW w:w="1984" w:type="dxa"/>
            <w:tcBorders>
              <w:top w:val="single" w:sz="4" w:space="0" w:color="auto"/>
              <w:left w:val="nil"/>
              <w:bottom w:val="single" w:sz="4" w:space="0" w:color="auto"/>
              <w:right w:val="single" w:sz="4" w:space="0" w:color="auto"/>
            </w:tcBorders>
            <w:hideMark/>
          </w:tcPr>
          <w:p w14:paraId="5E2C962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423AE706" w14:textId="77777777" w:rsidTr="000663FF">
        <w:trPr>
          <w:trHeight w:val="870"/>
        </w:trPr>
        <w:tc>
          <w:tcPr>
            <w:tcW w:w="1009" w:type="dxa"/>
            <w:tcBorders>
              <w:top w:val="single" w:sz="4" w:space="0" w:color="auto"/>
              <w:left w:val="single" w:sz="4" w:space="0" w:color="auto"/>
              <w:bottom w:val="single" w:sz="4" w:space="0" w:color="auto"/>
              <w:right w:val="single" w:sz="4" w:space="0" w:color="auto"/>
            </w:tcBorders>
            <w:hideMark/>
          </w:tcPr>
          <w:p w14:paraId="12BDB42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lastRenderedPageBreak/>
              <w:t>EV4weq</w:t>
            </w:r>
          </w:p>
        </w:tc>
        <w:tc>
          <w:tcPr>
            <w:tcW w:w="2388" w:type="dxa"/>
            <w:tcBorders>
              <w:top w:val="single" w:sz="4" w:space="0" w:color="auto"/>
              <w:left w:val="nil"/>
              <w:bottom w:val="single" w:sz="4" w:space="0" w:color="auto"/>
              <w:right w:val="single" w:sz="4" w:space="0" w:color="auto"/>
            </w:tcBorders>
            <w:hideMark/>
          </w:tcPr>
          <w:p w14:paraId="12B51AF5"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Maghole</w:t>
            </w:r>
            <w:proofErr w:type="spellEnd"/>
            <w:r w:rsidRPr="000663FF">
              <w:rPr>
                <w:rFonts w:ascii="Calibri" w:hAnsi="Calibri" w:cs="Calibri"/>
                <w:color w:val="auto"/>
                <w:sz w:val="22"/>
                <w:szCs w:val="22"/>
              </w:rPr>
              <w:t xml:space="preserve"> Brook and Ashfield District Dumble</w:t>
            </w:r>
          </w:p>
        </w:tc>
        <w:tc>
          <w:tcPr>
            <w:tcW w:w="4395" w:type="dxa"/>
            <w:tcBorders>
              <w:top w:val="single" w:sz="4" w:space="0" w:color="auto"/>
              <w:left w:val="nil"/>
              <w:bottom w:val="single" w:sz="4" w:space="0" w:color="auto"/>
              <w:right w:val="single" w:sz="4" w:space="0" w:color="auto"/>
            </w:tcBorders>
            <w:hideMark/>
          </w:tcPr>
          <w:p w14:paraId="48D7D3DD" w14:textId="0A594B03"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A stream and </w:t>
            </w:r>
            <w:proofErr w:type="spellStart"/>
            <w:r w:rsidR="00FA2CC6" w:rsidRPr="000663FF">
              <w:rPr>
                <w:rFonts w:ascii="Calibri" w:hAnsi="Calibri" w:cs="Calibri"/>
                <w:color w:val="auto"/>
                <w:sz w:val="22"/>
                <w:szCs w:val="22"/>
              </w:rPr>
              <w:t>dumble</w:t>
            </w:r>
            <w:proofErr w:type="spellEnd"/>
            <w:r w:rsidR="00FA2CC6" w:rsidRPr="000663FF">
              <w:rPr>
                <w:rFonts w:ascii="Calibri" w:hAnsi="Calibri" w:cs="Calibri"/>
                <w:color w:val="auto"/>
                <w:sz w:val="22"/>
                <w:szCs w:val="22"/>
              </w:rPr>
              <w:t xml:space="preserve"> with their associated woodland and sections of interesting ground flora</w:t>
            </w:r>
          </w:p>
        </w:tc>
        <w:tc>
          <w:tcPr>
            <w:tcW w:w="1984" w:type="dxa"/>
            <w:tcBorders>
              <w:top w:val="single" w:sz="4" w:space="0" w:color="auto"/>
              <w:left w:val="nil"/>
              <w:bottom w:val="single" w:sz="4" w:space="0" w:color="auto"/>
              <w:right w:val="single" w:sz="4" w:space="0" w:color="auto"/>
            </w:tcBorders>
            <w:hideMark/>
          </w:tcPr>
          <w:p w14:paraId="1AE79B3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Larwood</w:t>
            </w:r>
          </w:p>
        </w:tc>
      </w:tr>
      <w:tr w:rsidR="000663FF" w:rsidRPr="000663FF" w14:paraId="29248A57" w14:textId="77777777" w:rsidTr="00A055C8">
        <w:trPr>
          <w:trHeight w:val="580"/>
        </w:trPr>
        <w:tc>
          <w:tcPr>
            <w:tcW w:w="1009" w:type="dxa"/>
            <w:tcBorders>
              <w:top w:val="nil"/>
              <w:left w:val="single" w:sz="4" w:space="0" w:color="auto"/>
              <w:bottom w:val="single" w:sz="4" w:space="0" w:color="auto"/>
              <w:right w:val="single" w:sz="4" w:space="0" w:color="auto"/>
            </w:tcBorders>
            <w:hideMark/>
          </w:tcPr>
          <w:p w14:paraId="68BD9AA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EV4wer</w:t>
            </w:r>
          </w:p>
        </w:tc>
        <w:tc>
          <w:tcPr>
            <w:tcW w:w="2388" w:type="dxa"/>
            <w:tcBorders>
              <w:top w:val="nil"/>
              <w:left w:val="nil"/>
              <w:bottom w:val="single" w:sz="4" w:space="0" w:color="auto"/>
              <w:right w:val="single" w:sz="4" w:space="0" w:color="auto"/>
            </w:tcBorders>
            <w:hideMark/>
          </w:tcPr>
          <w:p w14:paraId="4CE40CA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Mawkin Lane Grassland</w:t>
            </w:r>
          </w:p>
        </w:tc>
        <w:tc>
          <w:tcPr>
            <w:tcW w:w="4395" w:type="dxa"/>
            <w:tcBorders>
              <w:top w:val="nil"/>
              <w:left w:val="nil"/>
              <w:bottom w:val="single" w:sz="4" w:space="0" w:color="auto"/>
              <w:right w:val="single" w:sz="4" w:space="0" w:color="auto"/>
            </w:tcBorders>
            <w:hideMark/>
          </w:tcPr>
          <w:p w14:paraId="63C758A2" w14:textId="1E9F6737"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Notable coal-measures grassland</w:t>
            </w:r>
          </w:p>
        </w:tc>
        <w:tc>
          <w:tcPr>
            <w:tcW w:w="1984" w:type="dxa"/>
            <w:tcBorders>
              <w:top w:val="nil"/>
              <w:left w:val="nil"/>
              <w:bottom w:val="single" w:sz="4" w:space="0" w:color="auto"/>
              <w:right w:val="single" w:sz="4" w:space="0" w:color="auto"/>
            </w:tcBorders>
            <w:hideMark/>
          </w:tcPr>
          <w:p w14:paraId="71A02E7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27B185D9" w14:textId="77777777" w:rsidTr="00A055C8">
        <w:trPr>
          <w:trHeight w:val="580"/>
        </w:trPr>
        <w:tc>
          <w:tcPr>
            <w:tcW w:w="1009" w:type="dxa"/>
            <w:tcBorders>
              <w:top w:val="single" w:sz="4" w:space="0" w:color="auto"/>
              <w:left w:val="single" w:sz="4" w:space="0" w:color="auto"/>
              <w:bottom w:val="single" w:sz="4" w:space="0" w:color="auto"/>
              <w:right w:val="single" w:sz="4" w:space="0" w:color="auto"/>
            </w:tcBorders>
            <w:hideMark/>
          </w:tcPr>
          <w:p w14:paraId="79DBFB1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EV4wes</w:t>
            </w:r>
          </w:p>
        </w:tc>
        <w:tc>
          <w:tcPr>
            <w:tcW w:w="2388" w:type="dxa"/>
            <w:tcBorders>
              <w:top w:val="single" w:sz="4" w:space="0" w:color="auto"/>
              <w:left w:val="single" w:sz="4" w:space="0" w:color="auto"/>
              <w:bottom w:val="single" w:sz="4" w:space="0" w:color="auto"/>
              <w:right w:val="single" w:sz="4" w:space="0" w:color="auto"/>
            </w:tcBorders>
            <w:hideMark/>
          </w:tcPr>
          <w:p w14:paraId="073D09F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Mawkin's Lane</w:t>
            </w:r>
          </w:p>
        </w:tc>
        <w:tc>
          <w:tcPr>
            <w:tcW w:w="4395" w:type="dxa"/>
            <w:tcBorders>
              <w:top w:val="single" w:sz="4" w:space="0" w:color="auto"/>
              <w:left w:val="single" w:sz="4" w:space="0" w:color="auto"/>
              <w:bottom w:val="single" w:sz="4" w:space="0" w:color="auto"/>
              <w:right w:val="single" w:sz="4" w:space="0" w:color="auto"/>
            </w:tcBorders>
            <w:hideMark/>
          </w:tcPr>
          <w:p w14:paraId="4BB2E878" w14:textId="64477A80"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green path with a notable community</w:t>
            </w:r>
          </w:p>
        </w:tc>
        <w:tc>
          <w:tcPr>
            <w:tcW w:w="1984" w:type="dxa"/>
            <w:tcBorders>
              <w:top w:val="single" w:sz="4" w:space="0" w:color="auto"/>
              <w:left w:val="single" w:sz="4" w:space="0" w:color="auto"/>
              <w:bottom w:val="single" w:sz="4" w:space="0" w:color="auto"/>
              <w:right w:val="single" w:sz="4" w:space="0" w:color="auto"/>
            </w:tcBorders>
            <w:hideMark/>
          </w:tcPr>
          <w:p w14:paraId="298D2AD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30B273BC" w14:textId="77777777" w:rsidTr="00A055C8">
        <w:trPr>
          <w:trHeight w:val="870"/>
        </w:trPr>
        <w:tc>
          <w:tcPr>
            <w:tcW w:w="1009" w:type="dxa"/>
            <w:tcBorders>
              <w:top w:val="single" w:sz="4" w:space="0" w:color="auto"/>
              <w:left w:val="single" w:sz="4" w:space="0" w:color="auto"/>
              <w:bottom w:val="single" w:sz="4" w:space="0" w:color="auto"/>
              <w:right w:val="single" w:sz="4" w:space="0" w:color="auto"/>
            </w:tcBorders>
            <w:hideMark/>
          </w:tcPr>
          <w:p w14:paraId="6068A67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EV4wet</w:t>
            </w:r>
          </w:p>
        </w:tc>
        <w:tc>
          <w:tcPr>
            <w:tcW w:w="2388" w:type="dxa"/>
            <w:tcBorders>
              <w:top w:val="single" w:sz="4" w:space="0" w:color="auto"/>
              <w:left w:val="nil"/>
              <w:bottom w:val="single" w:sz="4" w:space="0" w:color="auto"/>
              <w:right w:val="single" w:sz="4" w:space="0" w:color="auto"/>
            </w:tcBorders>
            <w:hideMark/>
          </w:tcPr>
          <w:p w14:paraId="29C69B1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Middle Brook and Millington Springs</w:t>
            </w:r>
          </w:p>
        </w:tc>
        <w:tc>
          <w:tcPr>
            <w:tcW w:w="4395" w:type="dxa"/>
            <w:tcBorders>
              <w:top w:val="single" w:sz="4" w:space="0" w:color="auto"/>
              <w:left w:val="nil"/>
              <w:bottom w:val="single" w:sz="4" w:space="0" w:color="auto"/>
              <w:right w:val="single" w:sz="4" w:space="0" w:color="auto"/>
            </w:tcBorders>
            <w:hideMark/>
          </w:tcPr>
          <w:p w14:paraId="4337965F" w14:textId="2533725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Large area of replanted woodland with an ancient woodland flora along a stream</w:t>
            </w:r>
          </w:p>
        </w:tc>
        <w:tc>
          <w:tcPr>
            <w:tcW w:w="1984" w:type="dxa"/>
            <w:tcBorders>
              <w:top w:val="single" w:sz="4" w:space="0" w:color="auto"/>
              <w:left w:val="nil"/>
              <w:bottom w:val="single" w:sz="4" w:space="0" w:color="auto"/>
              <w:right w:val="single" w:sz="4" w:space="0" w:color="auto"/>
            </w:tcBorders>
            <w:hideMark/>
          </w:tcPr>
          <w:p w14:paraId="4690810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4852FD2F"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490EC1B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EV4weu</w:t>
            </w:r>
          </w:p>
        </w:tc>
        <w:tc>
          <w:tcPr>
            <w:tcW w:w="2388" w:type="dxa"/>
            <w:tcBorders>
              <w:top w:val="nil"/>
              <w:left w:val="nil"/>
              <w:bottom w:val="single" w:sz="4" w:space="0" w:color="auto"/>
              <w:right w:val="single" w:sz="4" w:space="0" w:color="auto"/>
            </w:tcBorders>
            <w:hideMark/>
          </w:tcPr>
          <w:p w14:paraId="562B9D0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Middlebrook Grassland</w:t>
            </w:r>
          </w:p>
        </w:tc>
        <w:tc>
          <w:tcPr>
            <w:tcW w:w="4395" w:type="dxa"/>
            <w:tcBorders>
              <w:top w:val="nil"/>
              <w:left w:val="nil"/>
              <w:bottom w:val="single" w:sz="4" w:space="0" w:color="auto"/>
              <w:right w:val="single" w:sz="4" w:space="0" w:color="auto"/>
            </w:tcBorders>
            <w:hideMark/>
          </w:tcPr>
          <w:p w14:paraId="623494F9" w14:textId="41B563E5"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good species-rich example of a Coal Measures type grassland</w:t>
            </w:r>
          </w:p>
        </w:tc>
        <w:tc>
          <w:tcPr>
            <w:tcW w:w="1984" w:type="dxa"/>
            <w:tcBorders>
              <w:top w:val="nil"/>
              <w:left w:val="nil"/>
              <w:bottom w:val="single" w:sz="4" w:space="0" w:color="auto"/>
              <w:right w:val="single" w:sz="4" w:space="0" w:color="auto"/>
            </w:tcBorders>
            <w:hideMark/>
          </w:tcPr>
          <w:p w14:paraId="1643F67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4F64DE81"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2C7D8A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EV4wev</w:t>
            </w:r>
          </w:p>
        </w:tc>
        <w:tc>
          <w:tcPr>
            <w:tcW w:w="2388" w:type="dxa"/>
            <w:tcBorders>
              <w:top w:val="nil"/>
              <w:left w:val="nil"/>
              <w:bottom w:val="single" w:sz="4" w:space="0" w:color="auto"/>
              <w:right w:val="single" w:sz="4" w:space="0" w:color="auto"/>
            </w:tcBorders>
            <w:hideMark/>
          </w:tcPr>
          <w:p w14:paraId="37CE693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Middlebrook Meadow</w:t>
            </w:r>
          </w:p>
        </w:tc>
        <w:tc>
          <w:tcPr>
            <w:tcW w:w="4395" w:type="dxa"/>
            <w:tcBorders>
              <w:top w:val="nil"/>
              <w:left w:val="nil"/>
              <w:bottom w:val="single" w:sz="4" w:space="0" w:color="auto"/>
              <w:right w:val="single" w:sz="4" w:space="0" w:color="auto"/>
            </w:tcBorders>
            <w:hideMark/>
          </w:tcPr>
          <w:p w14:paraId="04A621F8" w14:textId="66C6133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classic Coal Measures type community</w:t>
            </w:r>
          </w:p>
        </w:tc>
        <w:tc>
          <w:tcPr>
            <w:tcW w:w="1984" w:type="dxa"/>
            <w:tcBorders>
              <w:top w:val="nil"/>
              <w:left w:val="nil"/>
              <w:bottom w:val="single" w:sz="4" w:space="0" w:color="auto"/>
              <w:right w:val="single" w:sz="4" w:space="0" w:color="auto"/>
            </w:tcBorders>
            <w:hideMark/>
          </w:tcPr>
          <w:p w14:paraId="7471DE2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70148A6F" w14:textId="77777777" w:rsidTr="00DC0D18">
        <w:trPr>
          <w:trHeight w:val="290"/>
        </w:trPr>
        <w:tc>
          <w:tcPr>
            <w:tcW w:w="1009" w:type="dxa"/>
            <w:tcBorders>
              <w:top w:val="single" w:sz="4" w:space="0" w:color="auto"/>
              <w:left w:val="single" w:sz="4" w:space="0" w:color="auto"/>
              <w:bottom w:val="single" w:sz="4" w:space="0" w:color="auto"/>
              <w:right w:val="single" w:sz="4" w:space="0" w:color="auto"/>
            </w:tcBorders>
            <w:hideMark/>
          </w:tcPr>
          <w:p w14:paraId="6BB8CE6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EV4wew</w:t>
            </w:r>
          </w:p>
        </w:tc>
        <w:tc>
          <w:tcPr>
            <w:tcW w:w="2388" w:type="dxa"/>
            <w:tcBorders>
              <w:top w:val="single" w:sz="4" w:space="0" w:color="auto"/>
              <w:left w:val="single" w:sz="4" w:space="0" w:color="auto"/>
              <w:bottom w:val="single" w:sz="4" w:space="0" w:color="auto"/>
              <w:right w:val="single" w:sz="4" w:space="0" w:color="auto"/>
            </w:tcBorders>
            <w:hideMark/>
          </w:tcPr>
          <w:p w14:paraId="2BD359E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Mill Lake Pasture, Bestwood</w:t>
            </w:r>
          </w:p>
        </w:tc>
        <w:tc>
          <w:tcPr>
            <w:tcW w:w="4395" w:type="dxa"/>
            <w:tcBorders>
              <w:top w:val="single" w:sz="4" w:space="0" w:color="auto"/>
              <w:left w:val="single" w:sz="4" w:space="0" w:color="auto"/>
              <w:bottom w:val="single" w:sz="4" w:space="0" w:color="auto"/>
              <w:right w:val="single" w:sz="4" w:space="0" w:color="auto"/>
            </w:tcBorders>
            <w:hideMark/>
          </w:tcPr>
          <w:p w14:paraId="662DB389" w14:textId="57DB382F"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valuable damp riverside pasture</w:t>
            </w:r>
          </w:p>
        </w:tc>
        <w:tc>
          <w:tcPr>
            <w:tcW w:w="1984" w:type="dxa"/>
            <w:tcBorders>
              <w:top w:val="single" w:sz="4" w:space="0" w:color="auto"/>
              <w:left w:val="single" w:sz="4" w:space="0" w:color="auto"/>
              <w:bottom w:val="single" w:sz="4" w:space="0" w:color="auto"/>
              <w:right w:val="single" w:sz="4" w:space="0" w:color="auto"/>
            </w:tcBorders>
            <w:hideMark/>
          </w:tcPr>
          <w:p w14:paraId="024D71D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South</w:t>
            </w:r>
          </w:p>
        </w:tc>
      </w:tr>
      <w:tr w:rsidR="000663FF" w:rsidRPr="000663FF" w14:paraId="0E3B90AD" w14:textId="77777777" w:rsidTr="00DC0D18">
        <w:trPr>
          <w:trHeight w:val="290"/>
        </w:trPr>
        <w:tc>
          <w:tcPr>
            <w:tcW w:w="1009" w:type="dxa"/>
            <w:tcBorders>
              <w:top w:val="single" w:sz="4" w:space="0" w:color="auto"/>
              <w:left w:val="single" w:sz="4" w:space="0" w:color="auto"/>
              <w:bottom w:val="single" w:sz="4" w:space="0" w:color="auto"/>
              <w:right w:val="single" w:sz="4" w:space="0" w:color="auto"/>
            </w:tcBorders>
            <w:hideMark/>
          </w:tcPr>
          <w:p w14:paraId="5F0FBBE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EV4wex</w:t>
            </w:r>
          </w:p>
        </w:tc>
        <w:tc>
          <w:tcPr>
            <w:tcW w:w="2388" w:type="dxa"/>
            <w:tcBorders>
              <w:top w:val="single" w:sz="4" w:space="0" w:color="auto"/>
              <w:left w:val="nil"/>
              <w:bottom w:val="single" w:sz="4" w:space="0" w:color="auto"/>
              <w:right w:val="single" w:sz="4" w:space="0" w:color="auto"/>
            </w:tcBorders>
            <w:hideMark/>
          </w:tcPr>
          <w:p w14:paraId="79A8C6A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Mill Lake Swamp</w:t>
            </w:r>
          </w:p>
        </w:tc>
        <w:tc>
          <w:tcPr>
            <w:tcW w:w="4395" w:type="dxa"/>
            <w:tcBorders>
              <w:top w:val="single" w:sz="4" w:space="0" w:color="auto"/>
              <w:left w:val="nil"/>
              <w:bottom w:val="single" w:sz="4" w:space="0" w:color="auto"/>
              <w:right w:val="single" w:sz="4" w:space="0" w:color="auto"/>
            </w:tcBorders>
            <w:hideMark/>
          </w:tcPr>
          <w:p w14:paraId="5ADA4C9C" w14:textId="100746CF"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valuable tall swamp habitat</w:t>
            </w:r>
          </w:p>
        </w:tc>
        <w:tc>
          <w:tcPr>
            <w:tcW w:w="1984" w:type="dxa"/>
            <w:tcBorders>
              <w:top w:val="single" w:sz="4" w:space="0" w:color="auto"/>
              <w:left w:val="nil"/>
              <w:bottom w:val="single" w:sz="4" w:space="0" w:color="auto"/>
              <w:right w:val="single" w:sz="4" w:space="0" w:color="auto"/>
            </w:tcBorders>
            <w:hideMark/>
          </w:tcPr>
          <w:p w14:paraId="03B9E96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South</w:t>
            </w:r>
          </w:p>
        </w:tc>
      </w:tr>
      <w:tr w:rsidR="000663FF" w:rsidRPr="000663FF" w14:paraId="05BF91F7"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E29ED2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EV4wey</w:t>
            </w:r>
          </w:p>
        </w:tc>
        <w:tc>
          <w:tcPr>
            <w:tcW w:w="2388" w:type="dxa"/>
            <w:tcBorders>
              <w:top w:val="nil"/>
              <w:left w:val="nil"/>
              <w:bottom w:val="single" w:sz="4" w:space="0" w:color="auto"/>
              <w:right w:val="single" w:sz="4" w:space="0" w:color="auto"/>
            </w:tcBorders>
            <w:hideMark/>
          </w:tcPr>
          <w:p w14:paraId="497CB74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Mill Lakes, Bestwood</w:t>
            </w:r>
          </w:p>
        </w:tc>
        <w:tc>
          <w:tcPr>
            <w:tcW w:w="4395" w:type="dxa"/>
            <w:tcBorders>
              <w:top w:val="nil"/>
              <w:left w:val="nil"/>
              <w:bottom w:val="single" w:sz="4" w:space="0" w:color="auto"/>
              <w:right w:val="single" w:sz="4" w:space="0" w:color="auto"/>
            </w:tcBorders>
            <w:hideMark/>
          </w:tcPr>
          <w:p w14:paraId="508F25A2" w14:textId="02341D9D"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landscaped lake with a good range of species</w:t>
            </w:r>
          </w:p>
        </w:tc>
        <w:tc>
          <w:tcPr>
            <w:tcW w:w="1984" w:type="dxa"/>
            <w:tcBorders>
              <w:top w:val="nil"/>
              <w:left w:val="nil"/>
              <w:bottom w:val="single" w:sz="4" w:space="0" w:color="auto"/>
              <w:right w:val="single" w:sz="4" w:space="0" w:color="auto"/>
            </w:tcBorders>
            <w:hideMark/>
          </w:tcPr>
          <w:p w14:paraId="1EA39CB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South</w:t>
            </w:r>
          </w:p>
        </w:tc>
      </w:tr>
      <w:tr w:rsidR="000663FF" w:rsidRPr="000663FF" w14:paraId="7A1128F9"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214F6BC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EV4wez</w:t>
            </w:r>
          </w:p>
        </w:tc>
        <w:tc>
          <w:tcPr>
            <w:tcW w:w="2388" w:type="dxa"/>
            <w:tcBorders>
              <w:top w:val="nil"/>
              <w:left w:val="nil"/>
              <w:bottom w:val="single" w:sz="4" w:space="0" w:color="auto"/>
              <w:right w:val="single" w:sz="4" w:space="0" w:color="auto"/>
            </w:tcBorders>
            <w:hideMark/>
          </w:tcPr>
          <w:p w14:paraId="7EE669D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Millington Springs Grassland</w:t>
            </w:r>
          </w:p>
        </w:tc>
        <w:tc>
          <w:tcPr>
            <w:tcW w:w="4395" w:type="dxa"/>
            <w:tcBorders>
              <w:top w:val="nil"/>
              <w:left w:val="nil"/>
              <w:bottom w:val="single" w:sz="4" w:space="0" w:color="auto"/>
              <w:right w:val="single" w:sz="4" w:space="0" w:color="auto"/>
            </w:tcBorders>
            <w:hideMark/>
          </w:tcPr>
          <w:p w14:paraId="68782271" w14:textId="2460BC2C"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good species-rich example of a damp Coal Measures type grassland</w:t>
            </w:r>
          </w:p>
        </w:tc>
        <w:tc>
          <w:tcPr>
            <w:tcW w:w="1984" w:type="dxa"/>
            <w:tcBorders>
              <w:top w:val="nil"/>
              <w:left w:val="nil"/>
              <w:bottom w:val="single" w:sz="4" w:space="0" w:color="auto"/>
              <w:right w:val="single" w:sz="4" w:space="0" w:color="auto"/>
            </w:tcBorders>
            <w:hideMark/>
          </w:tcPr>
          <w:p w14:paraId="63CE3D4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65DCA0F9"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7F5DDF6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w:t>
            </w:r>
          </w:p>
        </w:tc>
        <w:tc>
          <w:tcPr>
            <w:tcW w:w="2388" w:type="dxa"/>
            <w:tcBorders>
              <w:top w:val="nil"/>
              <w:left w:val="nil"/>
              <w:bottom w:val="single" w:sz="4" w:space="0" w:color="auto"/>
              <w:right w:val="single" w:sz="4" w:space="0" w:color="auto"/>
            </w:tcBorders>
            <w:hideMark/>
          </w:tcPr>
          <w:p w14:paraId="4F50518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Moor Road Disused Railway, Bestwood</w:t>
            </w:r>
          </w:p>
        </w:tc>
        <w:tc>
          <w:tcPr>
            <w:tcW w:w="4395" w:type="dxa"/>
            <w:tcBorders>
              <w:top w:val="nil"/>
              <w:left w:val="nil"/>
              <w:bottom w:val="single" w:sz="4" w:space="0" w:color="auto"/>
              <w:right w:val="single" w:sz="4" w:space="0" w:color="auto"/>
            </w:tcBorders>
            <w:hideMark/>
          </w:tcPr>
          <w:p w14:paraId="575388AB" w14:textId="2E1F96F0"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interesting length of disused railway vegetated by dense scrub and a notable herb community</w:t>
            </w:r>
          </w:p>
        </w:tc>
        <w:tc>
          <w:tcPr>
            <w:tcW w:w="1984" w:type="dxa"/>
            <w:tcBorders>
              <w:top w:val="nil"/>
              <w:left w:val="nil"/>
              <w:bottom w:val="single" w:sz="4" w:space="0" w:color="auto"/>
              <w:right w:val="single" w:sz="4" w:space="0" w:color="auto"/>
            </w:tcBorders>
            <w:hideMark/>
          </w:tcPr>
          <w:p w14:paraId="3AAEFAE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South</w:t>
            </w:r>
          </w:p>
        </w:tc>
      </w:tr>
      <w:tr w:rsidR="000663FF" w:rsidRPr="000663FF" w14:paraId="054AECB5"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5C18529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EV4wfa</w:t>
            </w:r>
          </w:p>
        </w:tc>
        <w:tc>
          <w:tcPr>
            <w:tcW w:w="2388" w:type="dxa"/>
            <w:tcBorders>
              <w:top w:val="nil"/>
              <w:left w:val="nil"/>
              <w:bottom w:val="single" w:sz="4" w:space="0" w:color="auto"/>
              <w:right w:val="single" w:sz="4" w:space="0" w:color="auto"/>
            </w:tcBorders>
            <w:hideMark/>
          </w:tcPr>
          <w:p w14:paraId="2C2628E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Morning Springs</w:t>
            </w:r>
          </w:p>
        </w:tc>
        <w:tc>
          <w:tcPr>
            <w:tcW w:w="4395" w:type="dxa"/>
            <w:tcBorders>
              <w:top w:val="nil"/>
              <w:left w:val="nil"/>
              <w:bottom w:val="single" w:sz="4" w:space="0" w:color="auto"/>
              <w:right w:val="single" w:sz="4" w:space="0" w:color="auto"/>
            </w:tcBorders>
            <w:hideMark/>
          </w:tcPr>
          <w:p w14:paraId="4EFCE869" w14:textId="0CEE5373"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coniferous plantation with deciduous areas and species-rich pockets</w:t>
            </w:r>
          </w:p>
        </w:tc>
        <w:tc>
          <w:tcPr>
            <w:tcW w:w="1984" w:type="dxa"/>
            <w:tcBorders>
              <w:top w:val="nil"/>
              <w:left w:val="nil"/>
              <w:bottom w:val="single" w:sz="4" w:space="0" w:color="auto"/>
              <w:right w:val="single" w:sz="4" w:space="0" w:color="auto"/>
            </w:tcBorders>
            <w:hideMark/>
          </w:tcPr>
          <w:p w14:paraId="576CD59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74AC446C"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26678FF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EV4wfb</w:t>
            </w:r>
          </w:p>
        </w:tc>
        <w:tc>
          <w:tcPr>
            <w:tcW w:w="2388" w:type="dxa"/>
            <w:tcBorders>
              <w:top w:val="nil"/>
              <w:left w:val="nil"/>
              <w:bottom w:val="single" w:sz="4" w:space="0" w:color="auto"/>
              <w:right w:val="single" w:sz="4" w:space="0" w:color="auto"/>
            </w:tcBorders>
            <w:hideMark/>
          </w:tcPr>
          <w:p w14:paraId="6E0B5AC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Moseley Spring</w:t>
            </w:r>
          </w:p>
        </w:tc>
        <w:tc>
          <w:tcPr>
            <w:tcW w:w="4395" w:type="dxa"/>
            <w:tcBorders>
              <w:top w:val="nil"/>
              <w:left w:val="nil"/>
              <w:bottom w:val="single" w:sz="4" w:space="0" w:color="auto"/>
              <w:right w:val="single" w:sz="4" w:space="0" w:color="auto"/>
            </w:tcBorders>
            <w:hideMark/>
          </w:tcPr>
          <w:p w14:paraId="44A7B41B" w14:textId="2E042996"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damp acid woodland</w:t>
            </w:r>
          </w:p>
        </w:tc>
        <w:tc>
          <w:tcPr>
            <w:tcW w:w="1984" w:type="dxa"/>
            <w:tcBorders>
              <w:top w:val="nil"/>
              <w:left w:val="nil"/>
              <w:bottom w:val="single" w:sz="4" w:space="0" w:color="auto"/>
              <w:right w:val="single" w:sz="4" w:space="0" w:color="auto"/>
            </w:tcBorders>
            <w:hideMark/>
          </w:tcPr>
          <w:p w14:paraId="70B541D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Kingsway</w:t>
            </w:r>
          </w:p>
        </w:tc>
      </w:tr>
      <w:tr w:rsidR="000663FF" w:rsidRPr="000663FF" w14:paraId="14BC0856"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FC9E9B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EV4wfc</w:t>
            </w:r>
          </w:p>
        </w:tc>
        <w:tc>
          <w:tcPr>
            <w:tcW w:w="2388" w:type="dxa"/>
            <w:tcBorders>
              <w:top w:val="nil"/>
              <w:left w:val="nil"/>
              <w:bottom w:val="single" w:sz="4" w:space="0" w:color="auto"/>
              <w:right w:val="single" w:sz="4" w:space="0" w:color="auto"/>
            </w:tcBorders>
            <w:hideMark/>
          </w:tcPr>
          <w:p w14:paraId="5018869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New Hucknall Sidings Grasslands</w:t>
            </w:r>
          </w:p>
        </w:tc>
        <w:tc>
          <w:tcPr>
            <w:tcW w:w="4395" w:type="dxa"/>
            <w:tcBorders>
              <w:top w:val="nil"/>
              <w:left w:val="nil"/>
              <w:bottom w:val="single" w:sz="4" w:space="0" w:color="auto"/>
              <w:right w:val="single" w:sz="4" w:space="0" w:color="auto"/>
            </w:tcBorders>
            <w:hideMark/>
          </w:tcPr>
          <w:p w14:paraId="57EF6E7F" w14:textId="7DEDBAB2"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A valuable series of grasslands with </w:t>
            </w:r>
            <w:proofErr w:type="gramStart"/>
            <w:r w:rsidR="00FA2CC6" w:rsidRPr="000663FF">
              <w:rPr>
                <w:rFonts w:ascii="Calibri" w:hAnsi="Calibri" w:cs="Calibri"/>
                <w:color w:val="auto"/>
                <w:sz w:val="22"/>
                <w:szCs w:val="22"/>
              </w:rPr>
              <w:t>a number of</w:t>
            </w:r>
            <w:proofErr w:type="gramEnd"/>
            <w:r w:rsidR="00FA2CC6" w:rsidRPr="000663FF">
              <w:rPr>
                <w:rFonts w:ascii="Calibri" w:hAnsi="Calibri" w:cs="Calibri"/>
                <w:color w:val="auto"/>
                <w:sz w:val="22"/>
                <w:szCs w:val="22"/>
              </w:rPr>
              <w:t xml:space="preserve"> notable species</w:t>
            </w:r>
          </w:p>
        </w:tc>
        <w:tc>
          <w:tcPr>
            <w:tcW w:w="1984" w:type="dxa"/>
            <w:tcBorders>
              <w:top w:val="nil"/>
              <w:left w:val="nil"/>
              <w:bottom w:val="single" w:sz="4" w:space="0" w:color="auto"/>
              <w:right w:val="single" w:sz="4" w:space="0" w:color="auto"/>
            </w:tcBorders>
            <w:hideMark/>
          </w:tcPr>
          <w:p w14:paraId="176EE7B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6908E018"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0C988F3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EV4wfd</w:t>
            </w:r>
          </w:p>
        </w:tc>
        <w:tc>
          <w:tcPr>
            <w:tcW w:w="2388" w:type="dxa"/>
            <w:tcBorders>
              <w:top w:val="single" w:sz="4" w:space="0" w:color="auto"/>
              <w:left w:val="single" w:sz="4" w:space="0" w:color="auto"/>
              <w:bottom w:val="single" w:sz="4" w:space="0" w:color="auto"/>
              <w:right w:val="single" w:sz="4" w:space="0" w:color="auto"/>
            </w:tcBorders>
            <w:hideMark/>
          </w:tcPr>
          <w:p w14:paraId="53BA8E10"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Newboundmill</w:t>
            </w:r>
            <w:proofErr w:type="spellEnd"/>
            <w:r w:rsidRPr="000663FF">
              <w:rPr>
                <w:rFonts w:ascii="Calibri" w:hAnsi="Calibri" w:cs="Calibri"/>
                <w:color w:val="auto"/>
                <w:sz w:val="22"/>
                <w:szCs w:val="22"/>
              </w:rPr>
              <w:t xml:space="preserve"> and </w:t>
            </w:r>
            <w:proofErr w:type="spellStart"/>
            <w:r w:rsidRPr="000663FF">
              <w:rPr>
                <w:rFonts w:ascii="Calibri" w:hAnsi="Calibri" w:cs="Calibri"/>
                <w:color w:val="auto"/>
                <w:sz w:val="22"/>
                <w:szCs w:val="22"/>
              </w:rPr>
              <w:t>Blackholme</w:t>
            </w:r>
            <w:proofErr w:type="spellEnd"/>
            <w:r w:rsidRPr="000663FF">
              <w:rPr>
                <w:rFonts w:ascii="Calibri" w:hAnsi="Calibri" w:cs="Calibri"/>
                <w:color w:val="auto"/>
                <w:sz w:val="22"/>
                <w:szCs w:val="22"/>
              </w:rPr>
              <w:t xml:space="preserve"> Woods</w:t>
            </w:r>
          </w:p>
        </w:tc>
        <w:tc>
          <w:tcPr>
            <w:tcW w:w="4395" w:type="dxa"/>
            <w:tcBorders>
              <w:top w:val="single" w:sz="4" w:space="0" w:color="auto"/>
              <w:left w:val="single" w:sz="4" w:space="0" w:color="auto"/>
              <w:bottom w:val="single" w:sz="4" w:space="0" w:color="auto"/>
              <w:right w:val="single" w:sz="4" w:space="0" w:color="auto"/>
            </w:tcBorders>
            <w:hideMark/>
          </w:tcPr>
          <w:p w14:paraId="36E8E34A" w14:textId="70BC2BE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Wet species-rich deciduous woodland</w:t>
            </w:r>
          </w:p>
        </w:tc>
        <w:tc>
          <w:tcPr>
            <w:tcW w:w="1984" w:type="dxa"/>
            <w:tcBorders>
              <w:top w:val="single" w:sz="4" w:space="0" w:color="auto"/>
              <w:left w:val="single" w:sz="4" w:space="0" w:color="auto"/>
              <w:bottom w:val="single" w:sz="4" w:space="0" w:color="auto"/>
              <w:right w:val="single" w:sz="4" w:space="0" w:color="auto"/>
            </w:tcBorders>
            <w:hideMark/>
          </w:tcPr>
          <w:p w14:paraId="1F6461C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249D2D1D"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1489E4C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EV4wfe</w:t>
            </w:r>
          </w:p>
        </w:tc>
        <w:tc>
          <w:tcPr>
            <w:tcW w:w="2388" w:type="dxa"/>
            <w:tcBorders>
              <w:top w:val="single" w:sz="4" w:space="0" w:color="auto"/>
              <w:left w:val="nil"/>
              <w:bottom w:val="single" w:sz="4" w:space="0" w:color="auto"/>
              <w:right w:val="single" w:sz="4" w:space="0" w:color="auto"/>
            </w:tcBorders>
            <w:hideMark/>
          </w:tcPr>
          <w:p w14:paraId="091A0A3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Newstead Park (including River Leen System)</w:t>
            </w:r>
          </w:p>
        </w:tc>
        <w:tc>
          <w:tcPr>
            <w:tcW w:w="4395" w:type="dxa"/>
            <w:tcBorders>
              <w:top w:val="single" w:sz="4" w:space="0" w:color="auto"/>
              <w:left w:val="nil"/>
              <w:bottom w:val="single" w:sz="4" w:space="0" w:color="auto"/>
              <w:right w:val="single" w:sz="4" w:space="0" w:color="auto"/>
            </w:tcBorders>
            <w:hideMark/>
          </w:tcPr>
          <w:p w14:paraId="4705F595" w14:textId="24204743"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impressive variety of habitats of faunal and floral importance</w:t>
            </w:r>
          </w:p>
        </w:tc>
        <w:tc>
          <w:tcPr>
            <w:tcW w:w="1984" w:type="dxa"/>
            <w:tcBorders>
              <w:top w:val="single" w:sz="4" w:space="0" w:color="auto"/>
              <w:left w:val="nil"/>
              <w:bottom w:val="single" w:sz="4" w:space="0" w:color="auto"/>
              <w:right w:val="single" w:sz="4" w:space="0" w:color="auto"/>
            </w:tcBorders>
            <w:hideMark/>
          </w:tcPr>
          <w:p w14:paraId="4AAB31A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Kingsway</w:t>
            </w:r>
          </w:p>
        </w:tc>
      </w:tr>
      <w:tr w:rsidR="000663FF" w:rsidRPr="000663FF" w14:paraId="6277242C"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CD869A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EV4wff</w:t>
            </w:r>
          </w:p>
        </w:tc>
        <w:tc>
          <w:tcPr>
            <w:tcW w:w="2388" w:type="dxa"/>
            <w:tcBorders>
              <w:top w:val="nil"/>
              <w:left w:val="nil"/>
              <w:bottom w:val="single" w:sz="4" w:space="0" w:color="auto"/>
              <w:right w:val="single" w:sz="4" w:space="0" w:color="auto"/>
            </w:tcBorders>
            <w:hideMark/>
          </w:tcPr>
          <w:p w14:paraId="555A2DB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Newstead Robin Hood Line</w:t>
            </w:r>
          </w:p>
        </w:tc>
        <w:tc>
          <w:tcPr>
            <w:tcW w:w="4395" w:type="dxa"/>
            <w:tcBorders>
              <w:top w:val="nil"/>
              <w:left w:val="nil"/>
              <w:bottom w:val="single" w:sz="4" w:space="0" w:color="auto"/>
              <w:right w:val="single" w:sz="4" w:space="0" w:color="auto"/>
            </w:tcBorders>
            <w:hideMark/>
          </w:tcPr>
          <w:p w14:paraId="7F99B872" w14:textId="055A8DE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site supporting a butterfly species of principle importance</w:t>
            </w:r>
          </w:p>
        </w:tc>
        <w:tc>
          <w:tcPr>
            <w:tcW w:w="1984" w:type="dxa"/>
            <w:tcBorders>
              <w:top w:val="nil"/>
              <w:left w:val="nil"/>
              <w:bottom w:val="single" w:sz="4" w:space="0" w:color="auto"/>
              <w:right w:val="single" w:sz="4" w:space="0" w:color="auto"/>
            </w:tcBorders>
            <w:hideMark/>
          </w:tcPr>
          <w:p w14:paraId="4745F93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642A7A6D" w14:textId="77777777" w:rsidTr="007A1A00">
        <w:trPr>
          <w:trHeight w:val="824"/>
        </w:trPr>
        <w:tc>
          <w:tcPr>
            <w:tcW w:w="1009" w:type="dxa"/>
            <w:tcBorders>
              <w:top w:val="nil"/>
              <w:left w:val="single" w:sz="4" w:space="0" w:color="auto"/>
              <w:bottom w:val="single" w:sz="4" w:space="0" w:color="auto"/>
              <w:right w:val="single" w:sz="4" w:space="0" w:color="auto"/>
            </w:tcBorders>
            <w:hideMark/>
          </w:tcPr>
          <w:p w14:paraId="0FB3A0B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EV4wfg</w:t>
            </w:r>
          </w:p>
        </w:tc>
        <w:tc>
          <w:tcPr>
            <w:tcW w:w="2388" w:type="dxa"/>
            <w:tcBorders>
              <w:top w:val="nil"/>
              <w:left w:val="nil"/>
              <w:bottom w:val="single" w:sz="4" w:space="0" w:color="auto"/>
              <w:right w:val="single" w:sz="4" w:space="0" w:color="auto"/>
            </w:tcBorders>
            <w:hideMark/>
          </w:tcPr>
          <w:p w14:paraId="7929B2E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Norwood Plantation</w:t>
            </w:r>
          </w:p>
        </w:tc>
        <w:tc>
          <w:tcPr>
            <w:tcW w:w="4395" w:type="dxa"/>
            <w:tcBorders>
              <w:top w:val="nil"/>
              <w:left w:val="nil"/>
              <w:bottom w:val="single" w:sz="4" w:space="0" w:color="auto"/>
              <w:right w:val="single" w:sz="4" w:space="0" w:color="auto"/>
            </w:tcBorders>
            <w:hideMark/>
          </w:tcPr>
          <w:p w14:paraId="4FC0E54A" w14:textId="12E0ABB2"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sizeable deciduous woodland, grassland, streamside flush communities and some noteworthy species</w:t>
            </w:r>
          </w:p>
        </w:tc>
        <w:tc>
          <w:tcPr>
            <w:tcW w:w="1984" w:type="dxa"/>
            <w:tcBorders>
              <w:top w:val="nil"/>
              <w:left w:val="nil"/>
              <w:bottom w:val="single" w:sz="4" w:space="0" w:color="auto"/>
              <w:right w:val="single" w:sz="4" w:space="0" w:color="auto"/>
            </w:tcBorders>
            <w:hideMark/>
          </w:tcPr>
          <w:p w14:paraId="3629298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52C8B360" w14:textId="77777777" w:rsidTr="007A1A00">
        <w:trPr>
          <w:trHeight w:val="580"/>
        </w:trPr>
        <w:tc>
          <w:tcPr>
            <w:tcW w:w="1009" w:type="dxa"/>
            <w:tcBorders>
              <w:top w:val="single" w:sz="4" w:space="0" w:color="auto"/>
              <w:left w:val="single" w:sz="4" w:space="0" w:color="auto"/>
              <w:bottom w:val="single" w:sz="4" w:space="0" w:color="auto"/>
              <w:right w:val="single" w:sz="4" w:space="0" w:color="auto"/>
            </w:tcBorders>
            <w:hideMark/>
          </w:tcPr>
          <w:p w14:paraId="4CA7A0C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EV4wfh</w:t>
            </w:r>
          </w:p>
        </w:tc>
        <w:tc>
          <w:tcPr>
            <w:tcW w:w="2388" w:type="dxa"/>
            <w:tcBorders>
              <w:top w:val="single" w:sz="4" w:space="0" w:color="auto"/>
              <w:left w:val="nil"/>
              <w:bottom w:val="single" w:sz="4" w:space="0" w:color="auto"/>
              <w:right w:val="single" w:sz="4" w:space="0" w:color="auto"/>
            </w:tcBorders>
            <w:hideMark/>
          </w:tcPr>
          <w:p w14:paraId="55CF014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Oak Plantation, Annesley</w:t>
            </w:r>
          </w:p>
        </w:tc>
        <w:tc>
          <w:tcPr>
            <w:tcW w:w="4395" w:type="dxa"/>
            <w:tcBorders>
              <w:top w:val="single" w:sz="4" w:space="0" w:color="auto"/>
              <w:left w:val="nil"/>
              <w:bottom w:val="single" w:sz="4" w:space="0" w:color="auto"/>
              <w:right w:val="single" w:sz="4" w:space="0" w:color="auto"/>
            </w:tcBorders>
            <w:hideMark/>
          </w:tcPr>
          <w:p w14:paraId="0171C41D" w14:textId="50277506"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interesting woodland with a noteworthy ground flora</w:t>
            </w:r>
          </w:p>
        </w:tc>
        <w:tc>
          <w:tcPr>
            <w:tcW w:w="1984" w:type="dxa"/>
            <w:tcBorders>
              <w:top w:val="single" w:sz="4" w:space="0" w:color="auto"/>
              <w:left w:val="nil"/>
              <w:bottom w:val="single" w:sz="4" w:space="0" w:color="auto"/>
              <w:right w:val="single" w:sz="4" w:space="0" w:color="auto"/>
            </w:tcBorders>
            <w:hideMark/>
          </w:tcPr>
          <w:p w14:paraId="047D378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71CC3FB7"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7896541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EV4wfi</w:t>
            </w:r>
          </w:p>
        </w:tc>
        <w:tc>
          <w:tcPr>
            <w:tcW w:w="2388" w:type="dxa"/>
            <w:tcBorders>
              <w:top w:val="single" w:sz="4" w:space="0" w:color="auto"/>
              <w:left w:val="nil"/>
              <w:bottom w:val="single" w:sz="4" w:space="0" w:color="auto"/>
              <w:right w:val="single" w:sz="4" w:space="0" w:color="auto"/>
            </w:tcBorders>
            <w:hideMark/>
          </w:tcPr>
          <w:p w14:paraId="3A247AE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Papplewick Ponds</w:t>
            </w:r>
          </w:p>
        </w:tc>
        <w:tc>
          <w:tcPr>
            <w:tcW w:w="4395" w:type="dxa"/>
            <w:tcBorders>
              <w:top w:val="single" w:sz="4" w:space="0" w:color="auto"/>
              <w:left w:val="nil"/>
              <w:bottom w:val="single" w:sz="4" w:space="0" w:color="auto"/>
              <w:right w:val="single" w:sz="4" w:space="0" w:color="auto"/>
            </w:tcBorders>
            <w:hideMark/>
          </w:tcPr>
          <w:p w14:paraId="248CB316" w14:textId="5187FC92"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Interesting subsidence ponds with some valuable peripheral habitats</w:t>
            </w:r>
          </w:p>
        </w:tc>
        <w:tc>
          <w:tcPr>
            <w:tcW w:w="1984" w:type="dxa"/>
            <w:tcBorders>
              <w:top w:val="single" w:sz="4" w:space="0" w:color="auto"/>
              <w:left w:val="nil"/>
              <w:bottom w:val="single" w:sz="4" w:space="0" w:color="auto"/>
              <w:right w:val="single" w:sz="4" w:space="0" w:color="auto"/>
            </w:tcBorders>
            <w:hideMark/>
          </w:tcPr>
          <w:p w14:paraId="44BF166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North</w:t>
            </w:r>
          </w:p>
        </w:tc>
      </w:tr>
      <w:tr w:rsidR="000663FF" w:rsidRPr="000663FF" w14:paraId="02F0AB46"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43B553C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EV4wfj</w:t>
            </w:r>
          </w:p>
        </w:tc>
        <w:tc>
          <w:tcPr>
            <w:tcW w:w="2388" w:type="dxa"/>
            <w:tcBorders>
              <w:top w:val="single" w:sz="4" w:space="0" w:color="auto"/>
              <w:left w:val="nil"/>
              <w:bottom w:val="single" w:sz="4" w:space="0" w:color="auto"/>
              <w:right w:val="single" w:sz="4" w:space="0" w:color="auto"/>
            </w:tcBorders>
            <w:hideMark/>
          </w:tcPr>
          <w:p w14:paraId="1E5CD74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Park Forest, Annesley</w:t>
            </w:r>
          </w:p>
        </w:tc>
        <w:tc>
          <w:tcPr>
            <w:tcW w:w="4395" w:type="dxa"/>
            <w:tcBorders>
              <w:top w:val="single" w:sz="4" w:space="0" w:color="auto"/>
              <w:left w:val="nil"/>
              <w:bottom w:val="single" w:sz="4" w:space="0" w:color="auto"/>
              <w:right w:val="single" w:sz="4" w:space="0" w:color="auto"/>
            </w:tcBorders>
            <w:hideMark/>
          </w:tcPr>
          <w:p w14:paraId="6ABBD000" w14:textId="68F15AF5"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A mixed forestry plantation on </w:t>
            </w:r>
            <w:proofErr w:type="spellStart"/>
            <w:proofErr w:type="gramStart"/>
            <w:r w:rsidR="00FA2CC6" w:rsidRPr="000663FF">
              <w:rPr>
                <w:rFonts w:ascii="Calibri" w:hAnsi="Calibri" w:cs="Calibri"/>
                <w:color w:val="auto"/>
                <w:sz w:val="22"/>
                <w:szCs w:val="22"/>
              </w:rPr>
              <w:t>a</w:t>
            </w:r>
            <w:proofErr w:type="spellEnd"/>
            <w:proofErr w:type="gramEnd"/>
            <w:r w:rsidR="00FA2CC6" w:rsidRPr="000663FF">
              <w:rPr>
                <w:rFonts w:ascii="Calibri" w:hAnsi="Calibri" w:cs="Calibri"/>
                <w:color w:val="auto"/>
                <w:sz w:val="22"/>
                <w:szCs w:val="22"/>
              </w:rPr>
              <w:t xml:space="preserve"> ancient woodland site</w:t>
            </w:r>
          </w:p>
        </w:tc>
        <w:tc>
          <w:tcPr>
            <w:tcW w:w="1984" w:type="dxa"/>
            <w:tcBorders>
              <w:top w:val="single" w:sz="4" w:space="0" w:color="auto"/>
              <w:left w:val="nil"/>
              <w:bottom w:val="single" w:sz="4" w:space="0" w:color="auto"/>
              <w:right w:val="single" w:sz="4" w:space="0" w:color="auto"/>
            </w:tcBorders>
            <w:hideMark/>
          </w:tcPr>
          <w:p w14:paraId="422790F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2F1EDB4E"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65E74C9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lastRenderedPageBreak/>
              <w:t>EV4wfk</w:t>
            </w:r>
          </w:p>
        </w:tc>
        <w:tc>
          <w:tcPr>
            <w:tcW w:w="2388" w:type="dxa"/>
            <w:tcBorders>
              <w:top w:val="single" w:sz="4" w:space="0" w:color="auto"/>
              <w:left w:val="nil"/>
              <w:bottom w:val="single" w:sz="4" w:space="0" w:color="auto"/>
              <w:right w:val="single" w:sz="4" w:space="0" w:color="auto"/>
            </w:tcBorders>
            <w:hideMark/>
          </w:tcPr>
          <w:p w14:paraId="7572CEA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Pinxton Lane</w:t>
            </w:r>
          </w:p>
        </w:tc>
        <w:tc>
          <w:tcPr>
            <w:tcW w:w="4395" w:type="dxa"/>
            <w:tcBorders>
              <w:top w:val="single" w:sz="4" w:space="0" w:color="auto"/>
              <w:left w:val="nil"/>
              <w:bottom w:val="single" w:sz="4" w:space="0" w:color="auto"/>
              <w:right w:val="single" w:sz="4" w:space="0" w:color="auto"/>
            </w:tcBorders>
            <w:hideMark/>
          </w:tcPr>
          <w:p w14:paraId="506E75D8" w14:textId="0E3B54C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roadside verge supporting an interesting flora</w:t>
            </w:r>
          </w:p>
        </w:tc>
        <w:tc>
          <w:tcPr>
            <w:tcW w:w="1984" w:type="dxa"/>
            <w:tcBorders>
              <w:top w:val="single" w:sz="4" w:space="0" w:color="auto"/>
              <w:left w:val="nil"/>
              <w:bottom w:val="single" w:sz="4" w:space="0" w:color="auto"/>
              <w:right w:val="single" w:sz="4" w:space="0" w:color="auto"/>
            </w:tcBorders>
            <w:hideMark/>
          </w:tcPr>
          <w:p w14:paraId="38ABBA8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267F536F"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4DCFFD2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EV4wfl</w:t>
            </w:r>
          </w:p>
        </w:tc>
        <w:tc>
          <w:tcPr>
            <w:tcW w:w="2388" w:type="dxa"/>
            <w:tcBorders>
              <w:top w:val="nil"/>
              <w:left w:val="nil"/>
              <w:bottom w:val="single" w:sz="4" w:space="0" w:color="auto"/>
              <w:right w:val="single" w:sz="4" w:space="0" w:color="auto"/>
            </w:tcBorders>
            <w:hideMark/>
          </w:tcPr>
          <w:p w14:paraId="3F2F9563" w14:textId="3D768213"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Pinxton Road Grasslands, Bentinck</w:t>
            </w:r>
          </w:p>
        </w:tc>
        <w:tc>
          <w:tcPr>
            <w:tcW w:w="4395" w:type="dxa"/>
            <w:tcBorders>
              <w:top w:val="nil"/>
              <w:left w:val="nil"/>
              <w:bottom w:val="single" w:sz="4" w:space="0" w:color="auto"/>
              <w:right w:val="single" w:sz="4" w:space="0" w:color="auto"/>
            </w:tcBorders>
            <w:hideMark/>
          </w:tcPr>
          <w:p w14:paraId="1F82D71A" w14:textId="152F2B3C"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group of species-rich grasslands</w:t>
            </w:r>
          </w:p>
        </w:tc>
        <w:tc>
          <w:tcPr>
            <w:tcW w:w="1984" w:type="dxa"/>
            <w:tcBorders>
              <w:top w:val="nil"/>
              <w:left w:val="nil"/>
              <w:bottom w:val="single" w:sz="4" w:space="0" w:color="auto"/>
              <w:right w:val="single" w:sz="4" w:space="0" w:color="auto"/>
            </w:tcBorders>
            <w:hideMark/>
          </w:tcPr>
          <w:p w14:paraId="7982B5A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5AE35515" w14:textId="77777777" w:rsidTr="00A055C8">
        <w:trPr>
          <w:trHeight w:val="580"/>
        </w:trPr>
        <w:tc>
          <w:tcPr>
            <w:tcW w:w="1009" w:type="dxa"/>
            <w:tcBorders>
              <w:top w:val="nil"/>
              <w:left w:val="single" w:sz="4" w:space="0" w:color="auto"/>
              <w:bottom w:val="single" w:sz="4" w:space="0" w:color="auto"/>
              <w:right w:val="single" w:sz="4" w:space="0" w:color="auto"/>
            </w:tcBorders>
            <w:hideMark/>
          </w:tcPr>
          <w:p w14:paraId="7DB090B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EV4wfm</w:t>
            </w:r>
          </w:p>
        </w:tc>
        <w:tc>
          <w:tcPr>
            <w:tcW w:w="2388" w:type="dxa"/>
            <w:tcBorders>
              <w:top w:val="nil"/>
              <w:left w:val="nil"/>
              <w:bottom w:val="single" w:sz="4" w:space="0" w:color="auto"/>
              <w:right w:val="single" w:sz="4" w:space="0" w:color="auto"/>
            </w:tcBorders>
            <w:hideMark/>
          </w:tcPr>
          <w:p w14:paraId="79AD33BE"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Pleasley</w:t>
            </w:r>
            <w:proofErr w:type="spellEnd"/>
            <w:r w:rsidRPr="000663FF">
              <w:rPr>
                <w:rFonts w:ascii="Calibri" w:hAnsi="Calibri" w:cs="Calibri"/>
                <w:color w:val="auto"/>
                <w:sz w:val="22"/>
                <w:szCs w:val="22"/>
              </w:rPr>
              <w:t xml:space="preserve"> Road Grassland</w:t>
            </w:r>
          </w:p>
        </w:tc>
        <w:tc>
          <w:tcPr>
            <w:tcW w:w="4395" w:type="dxa"/>
            <w:tcBorders>
              <w:top w:val="nil"/>
              <w:left w:val="nil"/>
              <w:bottom w:val="single" w:sz="4" w:space="0" w:color="auto"/>
              <w:right w:val="single" w:sz="4" w:space="0" w:color="auto"/>
            </w:tcBorders>
            <w:hideMark/>
          </w:tcPr>
          <w:p w14:paraId="04A6E9C0" w14:textId="4D9A5C56"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damp neutral grassland with notable species</w:t>
            </w:r>
          </w:p>
        </w:tc>
        <w:tc>
          <w:tcPr>
            <w:tcW w:w="1984" w:type="dxa"/>
            <w:tcBorders>
              <w:top w:val="nil"/>
              <w:left w:val="nil"/>
              <w:bottom w:val="single" w:sz="4" w:space="0" w:color="auto"/>
              <w:right w:val="single" w:sz="4" w:space="0" w:color="auto"/>
            </w:tcBorders>
            <w:hideMark/>
          </w:tcPr>
          <w:p w14:paraId="1262299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306E1342" w14:textId="77777777" w:rsidTr="00A055C8">
        <w:trPr>
          <w:trHeight w:val="580"/>
        </w:trPr>
        <w:tc>
          <w:tcPr>
            <w:tcW w:w="1009" w:type="dxa"/>
            <w:tcBorders>
              <w:top w:val="single" w:sz="4" w:space="0" w:color="auto"/>
              <w:left w:val="single" w:sz="4" w:space="0" w:color="auto"/>
              <w:bottom w:val="single" w:sz="4" w:space="0" w:color="auto"/>
              <w:right w:val="single" w:sz="4" w:space="0" w:color="auto"/>
            </w:tcBorders>
            <w:hideMark/>
          </w:tcPr>
          <w:p w14:paraId="5E43F9C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EV4wfn</w:t>
            </w:r>
          </w:p>
        </w:tc>
        <w:tc>
          <w:tcPr>
            <w:tcW w:w="2388" w:type="dxa"/>
            <w:tcBorders>
              <w:top w:val="single" w:sz="4" w:space="0" w:color="auto"/>
              <w:left w:val="single" w:sz="4" w:space="0" w:color="auto"/>
              <w:bottom w:val="single" w:sz="4" w:space="0" w:color="auto"/>
              <w:right w:val="single" w:sz="4" w:space="0" w:color="auto"/>
            </w:tcBorders>
            <w:hideMark/>
          </w:tcPr>
          <w:p w14:paraId="70D2C18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Pye Hill Marshy Grassland</w:t>
            </w:r>
          </w:p>
        </w:tc>
        <w:tc>
          <w:tcPr>
            <w:tcW w:w="4395" w:type="dxa"/>
            <w:tcBorders>
              <w:top w:val="single" w:sz="4" w:space="0" w:color="auto"/>
              <w:left w:val="single" w:sz="4" w:space="0" w:color="auto"/>
              <w:bottom w:val="single" w:sz="4" w:space="0" w:color="auto"/>
              <w:right w:val="single" w:sz="4" w:space="0" w:color="auto"/>
            </w:tcBorders>
            <w:hideMark/>
          </w:tcPr>
          <w:p w14:paraId="60583223" w14:textId="35D52A48"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interesting marshy field with locally characteristic grassland species</w:t>
            </w:r>
          </w:p>
        </w:tc>
        <w:tc>
          <w:tcPr>
            <w:tcW w:w="1984" w:type="dxa"/>
            <w:tcBorders>
              <w:top w:val="single" w:sz="4" w:space="0" w:color="auto"/>
              <w:left w:val="single" w:sz="4" w:space="0" w:color="auto"/>
              <w:bottom w:val="single" w:sz="4" w:space="0" w:color="auto"/>
              <w:right w:val="single" w:sz="4" w:space="0" w:color="auto"/>
            </w:tcBorders>
            <w:hideMark/>
          </w:tcPr>
          <w:p w14:paraId="3288428E"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Jacksdale</w:t>
            </w:r>
            <w:proofErr w:type="spellEnd"/>
            <w:r w:rsidRPr="000663FF">
              <w:rPr>
                <w:rFonts w:ascii="Calibri" w:hAnsi="Calibri" w:cs="Calibri"/>
                <w:color w:val="auto"/>
                <w:sz w:val="22"/>
                <w:szCs w:val="22"/>
              </w:rPr>
              <w:t xml:space="preserve"> &amp; Westwood</w:t>
            </w:r>
          </w:p>
        </w:tc>
      </w:tr>
      <w:tr w:rsidR="000663FF" w:rsidRPr="000663FF" w14:paraId="0CFAE81E" w14:textId="77777777" w:rsidTr="00A055C8">
        <w:trPr>
          <w:trHeight w:val="363"/>
        </w:trPr>
        <w:tc>
          <w:tcPr>
            <w:tcW w:w="1009" w:type="dxa"/>
            <w:tcBorders>
              <w:top w:val="single" w:sz="4" w:space="0" w:color="auto"/>
              <w:left w:val="single" w:sz="4" w:space="0" w:color="auto"/>
              <w:bottom w:val="single" w:sz="4" w:space="0" w:color="auto"/>
              <w:right w:val="single" w:sz="4" w:space="0" w:color="auto"/>
            </w:tcBorders>
            <w:hideMark/>
          </w:tcPr>
          <w:p w14:paraId="09E5A45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EV4wfo</w:t>
            </w:r>
          </w:p>
        </w:tc>
        <w:tc>
          <w:tcPr>
            <w:tcW w:w="2388" w:type="dxa"/>
            <w:tcBorders>
              <w:top w:val="single" w:sz="4" w:space="0" w:color="auto"/>
              <w:left w:val="nil"/>
              <w:bottom w:val="single" w:sz="4" w:space="0" w:color="auto"/>
              <w:right w:val="single" w:sz="4" w:space="0" w:color="auto"/>
            </w:tcBorders>
            <w:hideMark/>
          </w:tcPr>
          <w:p w14:paraId="49DF786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River Leen</w:t>
            </w:r>
          </w:p>
        </w:tc>
        <w:tc>
          <w:tcPr>
            <w:tcW w:w="4395" w:type="dxa"/>
            <w:tcBorders>
              <w:top w:val="single" w:sz="4" w:space="0" w:color="auto"/>
              <w:left w:val="nil"/>
              <w:bottom w:val="single" w:sz="4" w:space="0" w:color="auto"/>
              <w:right w:val="single" w:sz="4" w:space="0" w:color="auto"/>
            </w:tcBorders>
            <w:hideMark/>
          </w:tcPr>
          <w:p w14:paraId="1D19C6A1" w14:textId="4DC3DA3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stretch of river of zoological importance</w:t>
            </w:r>
          </w:p>
        </w:tc>
        <w:tc>
          <w:tcPr>
            <w:tcW w:w="1984" w:type="dxa"/>
            <w:tcBorders>
              <w:top w:val="single" w:sz="4" w:space="0" w:color="auto"/>
              <w:left w:val="nil"/>
              <w:bottom w:val="single" w:sz="4" w:space="0" w:color="auto"/>
              <w:right w:val="single" w:sz="4" w:space="0" w:color="auto"/>
            </w:tcBorders>
            <w:hideMark/>
          </w:tcPr>
          <w:p w14:paraId="00E5DA7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North</w:t>
            </w:r>
          </w:p>
        </w:tc>
      </w:tr>
      <w:tr w:rsidR="000663FF" w:rsidRPr="000663FF" w14:paraId="7AF24A00"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10A7750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EV4wfp</w:t>
            </w:r>
          </w:p>
        </w:tc>
        <w:tc>
          <w:tcPr>
            <w:tcW w:w="2388" w:type="dxa"/>
            <w:tcBorders>
              <w:top w:val="single" w:sz="4" w:space="0" w:color="auto"/>
              <w:left w:val="single" w:sz="4" w:space="0" w:color="auto"/>
              <w:bottom w:val="single" w:sz="4" w:space="0" w:color="auto"/>
              <w:right w:val="single" w:sz="4" w:space="0" w:color="auto"/>
            </w:tcBorders>
            <w:hideMark/>
          </w:tcPr>
          <w:p w14:paraId="03427B3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River Leen (Part)</w:t>
            </w:r>
          </w:p>
        </w:tc>
        <w:tc>
          <w:tcPr>
            <w:tcW w:w="4395" w:type="dxa"/>
            <w:tcBorders>
              <w:top w:val="single" w:sz="4" w:space="0" w:color="auto"/>
              <w:left w:val="single" w:sz="4" w:space="0" w:color="auto"/>
              <w:bottom w:val="single" w:sz="4" w:space="0" w:color="auto"/>
              <w:right w:val="single" w:sz="4" w:space="0" w:color="auto"/>
            </w:tcBorders>
            <w:hideMark/>
          </w:tcPr>
          <w:p w14:paraId="287E6029" w14:textId="6D97ED9C"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City section of a river with important plant and animal communities</w:t>
            </w:r>
          </w:p>
        </w:tc>
        <w:tc>
          <w:tcPr>
            <w:tcW w:w="1984" w:type="dxa"/>
            <w:tcBorders>
              <w:top w:val="single" w:sz="4" w:space="0" w:color="auto"/>
              <w:left w:val="single" w:sz="4" w:space="0" w:color="auto"/>
              <w:bottom w:val="single" w:sz="4" w:space="0" w:color="auto"/>
              <w:right w:val="single" w:sz="4" w:space="0" w:color="auto"/>
            </w:tcBorders>
            <w:hideMark/>
          </w:tcPr>
          <w:p w14:paraId="133BDF4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South</w:t>
            </w:r>
          </w:p>
        </w:tc>
      </w:tr>
      <w:tr w:rsidR="000663FF" w:rsidRPr="000663FF" w14:paraId="68B48E24"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3C0DCCF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EV4wfq</w:t>
            </w:r>
          </w:p>
        </w:tc>
        <w:tc>
          <w:tcPr>
            <w:tcW w:w="2388" w:type="dxa"/>
            <w:tcBorders>
              <w:top w:val="single" w:sz="4" w:space="0" w:color="auto"/>
              <w:left w:val="nil"/>
              <w:bottom w:val="single" w:sz="4" w:space="0" w:color="auto"/>
              <w:right w:val="single" w:sz="4" w:space="0" w:color="auto"/>
            </w:tcBorders>
            <w:hideMark/>
          </w:tcPr>
          <w:p w14:paraId="787CCB4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River Leen Pastures, Bestwood</w:t>
            </w:r>
          </w:p>
        </w:tc>
        <w:tc>
          <w:tcPr>
            <w:tcW w:w="4395" w:type="dxa"/>
            <w:tcBorders>
              <w:top w:val="single" w:sz="4" w:space="0" w:color="auto"/>
              <w:left w:val="nil"/>
              <w:bottom w:val="single" w:sz="4" w:space="0" w:color="auto"/>
              <w:right w:val="single" w:sz="4" w:space="0" w:color="auto"/>
            </w:tcBorders>
            <w:hideMark/>
          </w:tcPr>
          <w:p w14:paraId="668EB7A2" w14:textId="78837440"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Fine pastures with an unusual and valuable species composition</w:t>
            </w:r>
          </w:p>
        </w:tc>
        <w:tc>
          <w:tcPr>
            <w:tcW w:w="1984" w:type="dxa"/>
            <w:tcBorders>
              <w:top w:val="single" w:sz="4" w:space="0" w:color="auto"/>
              <w:left w:val="nil"/>
              <w:bottom w:val="single" w:sz="4" w:space="0" w:color="auto"/>
              <w:right w:val="single" w:sz="4" w:space="0" w:color="auto"/>
            </w:tcBorders>
            <w:hideMark/>
          </w:tcPr>
          <w:p w14:paraId="0C27AA1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South</w:t>
            </w:r>
          </w:p>
        </w:tc>
      </w:tr>
      <w:tr w:rsidR="000663FF" w:rsidRPr="000663FF" w14:paraId="48B62A30"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71BDE2D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EV4wfr</w:t>
            </w:r>
          </w:p>
        </w:tc>
        <w:tc>
          <w:tcPr>
            <w:tcW w:w="2388" w:type="dxa"/>
            <w:tcBorders>
              <w:top w:val="nil"/>
              <w:left w:val="nil"/>
              <w:bottom w:val="single" w:sz="4" w:space="0" w:color="auto"/>
              <w:right w:val="single" w:sz="4" w:space="0" w:color="auto"/>
            </w:tcBorders>
            <w:hideMark/>
          </w:tcPr>
          <w:p w14:paraId="1CB4B4F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River Meden - </w:t>
            </w:r>
            <w:proofErr w:type="spellStart"/>
            <w:r w:rsidRPr="000663FF">
              <w:rPr>
                <w:rFonts w:ascii="Calibri" w:hAnsi="Calibri" w:cs="Calibri"/>
                <w:color w:val="auto"/>
                <w:sz w:val="22"/>
                <w:szCs w:val="22"/>
              </w:rPr>
              <w:t>Newboundmill</w:t>
            </w:r>
            <w:proofErr w:type="spellEnd"/>
            <w:r w:rsidRPr="000663FF">
              <w:rPr>
                <w:rFonts w:ascii="Calibri" w:hAnsi="Calibri" w:cs="Calibri"/>
                <w:color w:val="auto"/>
                <w:sz w:val="22"/>
                <w:szCs w:val="22"/>
              </w:rPr>
              <w:t xml:space="preserve"> Bridge</w:t>
            </w:r>
          </w:p>
        </w:tc>
        <w:tc>
          <w:tcPr>
            <w:tcW w:w="4395" w:type="dxa"/>
            <w:tcBorders>
              <w:top w:val="nil"/>
              <w:left w:val="nil"/>
              <w:bottom w:val="single" w:sz="4" w:space="0" w:color="auto"/>
              <w:right w:val="single" w:sz="4" w:space="0" w:color="auto"/>
            </w:tcBorders>
            <w:hideMark/>
          </w:tcPr>
          <w:p w14:paraId="5B90280C" w14:textId="660FC1BF"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section of the River Meden of interest for Water beetles</w:t>
            </w:r>
          </w:p>
        </w:tc>
        <w:tc>
          <w:tcPr>
            <w:tcW w:w="1984" w:type="dxa"/>
            <w:tcBorders>
              <w:top w:val="nil"/>
              <w:left w:val="nil"/>
              <w:bottom w:val="single" w:sz="4" w:space="0" w:color="auto"/>
              <w:right w:val="single" w:sz="4" w:space="0" w:color="auto"/>
            </w:tcBorders>
            <w:hideMark/>
          </w:tcPr>
          <w:p w14:paraId="445D41E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254663DA"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F7D432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EV4wfs</w:t>
            </w:r>
          </w:p>
        </w:tc>
        <w:tc>
          <w:tcPr>
            <w:tcW w:w="2388" w:type="dxa"/>
            <w:tcBorders>
              <w:top w:val="nil"/>
              <w:left w:val="nil"/>
              <w:bottom w:val="single" w:sz="4" w:space="0" w:color="auto"/>
              <w:right w:val="single" w:sz="4" w:space="0" w:color="auto"/>
            </w:tcBorders>
            <w:hideMark/>
          </w:tcPr>
          <w:p w14:paraId="53865FE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River Meden Grassland, Skegby</w:t>
            </w:r>
          </w:p>
        </w:tc>
        <w:tc>
          <w:tcPr>
            <w:tcW w:w="4395" w:type="dxa"/>
            <w:tcBorders>
              <w:top w:val="nil"/>
              <w:left w:val="nil"/>
              <w:bottom w:val="single" w:sz="4" w:space="0" w:color="auto"/>
              <w:right w:val="single" w:sz="4" w:space="0" w:color="auto"/>
            </w:tcBorders>
            <w:hideMark/>
          </w:tcPr>
          <w:p w14:paraId="651ACD61" w14:textId="05889807"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Sloping grassland with species-rich calcareous banks</w:t>
            </w:r>
          </w:p>
        </w:tc>
        <w:tc>
          <w:tcPr>
            <w:tcW w:w="1984" w:type="dxa"/>
            <w:tcBorders>
              <w:top w:val="nil"/>
              <w:left w:val="nil"/>
              <w:bottom w:val="single" w:sz="4" w:space="0" w:color="auto"/>
              <w:right w:val="single" w:sz="4" w:space="0" w:color="auto"/>
            </w:tcBorders>
            <w:hideMark/>
          </w:tcPr>
          <w:p w14:paraId="5045EA9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5193642A"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18715B5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EV4wft</w:t>
            </w:r>
          </w:p>
        </w:tc>
        <w:tc>
          <w:tcPr>
            <w:tcW w:w="2388" w:type="dxa"/>
            <w:tcBorders>
              <w:top w:val="nil"/>
              <w:left w:val="nil"/>
              <w:bottom w:val="single" w:sz="4" w:space="0" w:color="auto"/>
              <w:right w:val="single" w:sz="4" w:space="0" w:color="auto"/>
            </w:tcBorders>
            <w:hideMark/>
          </w:tcPr>
          <w:p w14:paraId="4FCAEF5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Robin Hood Hills</w:t>
            </w:r>
          </w:p>
        </w:tc>
        <w:tc>
          <w:tcPr>
            <w:tcW w:w="4395" w:type="dxa"/>
            <w:tcBorders>
              <w:top w:val="nil"/>
              <w:left w:val="nil"/>
              <w:bottom w:val="single" w:sz="4" w:space="0" w:color="auto"/>
              <w:right w:val="single" w:sz="4" w:space="0" w:color="auto"/>
            </w:tcBorders>
            <w:hideMark/>
          </w:tcPr>
          <w:p w14:paraId="374C3C9D" w14:textId="23690A5D"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large area of acidic woodland, extensive bracken and notable heath communities on South facing slo</w:t>
            </w:r>
            <w:r w:rsidR="007A34B9" w:rsidRPr="000663FF">
              <w:rPr>
                <w:rFonts w:ascii="Calibri" w:hAnsi="Calibri" w:cs="Calibri"/>
                <w:color w:val="auto"/>
                <w:sz w:val="22"/>
                <w:szCs w:val="22"/>
              </w:rPr>
              <w:t>pe</w:t>
            </w:r>
          </w:p>
        </w:tc>
        <w:tc>
          <w:tcPr>
            <w:tcW w:w="1984" w:type="dxa"/>
            <w:tcBorders>
              <w:top w:val="nil"/>
              <w:left w:val="nil"/>
              <w:bottom w:val="single" w:sz="4" w:space="0" w:color="auto"/>
              <w:right w:val="single" w:sz="4" w:space="0" w:color="auto"/>
            </w:tcBorders>
            <w:hideMark/>
          </w:tcPr>
          <w:p w14:paraId="02BE176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0663FF" w:rsidRPr="000663FF" w14:paraId="3D7C2C0B"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E76722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EV4wfu</w:t>
            </w:r>
          </w:p>
        </w:tc>
        <w:tc>
          <w:tcPr>
            <w:tcW w:w="2388" w:type="dxa"/>
            <w:tcBorders>
              <w:top w:val="nil"/>
              <w:left w:val="nil"/>
              <w:bottom w:val="single" w:sz="4" w:space="0" w:color="auto"/>
              <w:right w:val="single" w:sz="4" w:space="0" w:color="auto"/>
            </w:tcBorders>
            <w:hideMark/>
          </w:tcPr>
          <w:p w14:paraId="410548C9" w14:textId="039E20D8" w:rsidR="00FA2CC6" w:rsidRPr="000663FF" w:rsidRDefault="00E44914" w:rsidP="00FA2CC6">
            <w:pPr>
              <w:keepNext w:val="0"/>
              <w:spacing w:before="0"/>
              <w:rPr>
                <w:rFonts w:ascii="Calibri" w:hAnsi="Calibri" w:cs="Calibri"/>
                <w:color w:val="auto"/>
                <w:sz w:val="22"/>
                <w:szCs w:val="22"/>
              </w:rPr>
            </w:pPr>
            <w:r w:rsidRPr="000663FF">
              <w:rPr>
                <w:rFonts w:ascii="Calibri" w:hAnsi="Calibri" w:cs="Calibri"/>
                <w:color w:val="auto"/>
                <w:sz w:val="22"/>
                <w:szCs w:val="22"/>
              </w:rPr>
              <w:t>Hucknall Dismantled Railway</w:t>
            </w:r>
          </w:p>
        </w:tc>
        <w:tc>
          <w:tcPr>
            <w:tcW w:w="4395" w:type="dxa"/>
            <w:tcBorders>
              <w:top w:val="nil"/>
              <w:left w:val="nil"/>
              <w:bottom w:val="single" w:sz="4" w:space="0" w:color="auto"/>
              <w:right w:val="single" w:sz="4" w:space="0" w:color="auto"/>
            </w:tcBorders>
            <w:hideMark/>
          </w:tcPr>
          <w:p w14:paraId="02C616F9" w14:textId="113A9397"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w:t>
            </w:r>
            <w:r w:rsidR="007A34B9" w:rsidRPr="000663FF">
              <w:rPr>
                <w:rFonts w:ascii="Calibri" w:hAnsi="Calibri" w:cs="Calibri"/>
                <w:color w:val="auto"/>
                <w:sz w:val="22"/>
                <w:szCs w:val="22"/>
              </w:rPr>
              <w:t>–</w:t>
            </w:r>
            <w:r w:rsidRPr="000663FF">
              <w:rPr>
                <w:rFonts w:ascii="Calibri" w:hAnsi="Calibri" w:cs="Calibri"/>
                <w:color w:val="auto"/>
                <w:sz w:val="22"/>
                <w:szCs w:val="22"/>
              </w:rPr>
              <w:t xml:space="preserve"> </w:t>
            </w:r>
            <w:r w:rsidR="007A34B9" w:rsidRPr="000663FF">
              <w:rPr>
                <w:rFonts w:ascii="Calibri" w:hAnsi="Calibri" w:cs="Calibri"/>
                <w:color w:val="auto"/>
                <w:sz w:val="22"/>
                <w:szCs w:val="22"/>
              </w:rPr>
              <w:t>A dismantled railway with a characteristic flora</w:t>
            </w:r>
          </w:p>
        </w:tc>
        <w:tc>
          <w:tcPr>
            <w:tcW w:w="1984" w:type="dxa"/>
            <w:tcBorders>
              <w:top w:val="nil"/>
              <w:left w:val="nil"/>
              <w:bottom w:val="single" w:sz="4" w:space="0" w:color="auto"/>
              <w:right w:val="single" w:sz="4" w:space="0" w:color="auto"/>
            </w:tcBorders>
            <w:hideMark/>
          </w:tcPr>
          <w:p w14:paraId="046BFAA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4F1126E3" w14:textId="77777777" w:rsidTr="00DC0D18">
        <w:trPr>
          <w:trHeight w:val="423"/>
        </w:trPr>
        <w:tc>
          <w:tcPr>
            <w:tcW w:w="1009" w:type="dxa"/>
            <w:tcBorders>
              <w:top w:val="nil"/>
              <w:left w:val="single" w:sz="4" w:space="0" w:color="auto"/>
              <w:bottom w:val="single" w:sz="4" w:space="0" w:color="auto"/>
              <w:right w:val="single" w:sz="4" w:space="0" w:color="auto"/>
            </w:tcBorders>
            <w:hideMark/>
          </w:tcPr>
          <w:p w14:paraId="5FB27C2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EV4wfv</w:t>
            </w:r>
          </w:p>
        </w:tc>
        <w:tc>
          <w:tcPr>
            <w:tcW w:w="2388" w:type="dxa"/>
            <w:tcBorders>
              <w:top w:val="nil"/>
              <w:left w:val="nil"/>
              <w:bottom w:val="single" w:sz="4" w:space="0" w:color="auto"/>
              <w:right w:val="single" w:sz="4" w:space="0" w:color="auto"/>
            </w:tcBorders>
            <w:hideMark/>
          </w:tcPr>
          <w:p w14:paraId="5D50B5E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Rosemary Hill Pasture</w:t>
            </w:r>
          </w:p>
        </w:tc>
        <w:tc>
          <w:tcPr>
            <w:tcW w:w="4395" w:type="dxa"/>
            <w:tcBorders>
              <w:top w:val="nil"/>
              <w:left w:val="nil"/>
              <w:bottom w:val="single" w:sz="4" w:space="0" w:color="auto"/>
              <w:right w:val="single" w:sz="4" w:space="0" w:color="auto"/>
            </w:tcBorders>
            <w:hideMark/>
          </w:tcPr>
          <w:p w14:paraId="7C5E8C45" w14:textId="002AFF9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Notable pastures with a basic influence</w:t>
            </w:r>
          </w:p>
        </w:tc>
        <w:tc>
          <w:tcPr>
            <w:tcW w:w="1984" w:type="dxa"/>
            <w:tcBorders>
              <w:top w:val="nil"/>
              <w:left w:val="nil"/>
              <w:bottom w:val="single" w:sz="4" w:space="0" w:color="auto"/>
              <w:right w:val="single" w:sz="4" w:space="0" w:color="auto"/>
            </w:tcBorders>
            <w:hideMark/>
          </w:tcPr>
          <w:p w14:paraId="523825DB"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p>
        </w:tc>
      </w:tr>
      <w:tr w:rsidR="000663FF" w:rsidRPr="000663FF" w14:paraId="6C4EBE55" w14:textId="77777777" w:rsidTr="00DC0D18">
        <w:trPr>
          <w:trHeight w:val="637"/>
        </w:trPr>
        <w:tc>
          <w:tcPr>
            <w:tcW w:w="1009" w:type="dxa"/>
            <w:tcBorders>
              <w:top w:val="single" w:sz="4" w:space="0" w:color="auto"/>
              <w:left w:val="single" w:sz="4" w:space="0" w:color="auto"/>
              <w:bottom w:val="single" w:sz="4" w:space="0" w:color="auto"/>
              <w:right w:val="single" w:sz="4" w:space="0" w:color="auto"/>
            </w:tcBorders>
            <w:hideMark/>
          </w:tcPr>
          <w:p w14:paraId="600DB49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EV4wfw</w:t>
            </w:r>
          </w:p>
        </w:tc>
        <w:tc>
          <w:tcPr>
            <w:tcW w:w="2388" w:type="dxa"/>
            <w:tcBorders>
              <w:top w:val="single" w:sz="4" w:space="0" w:color="auto"/>
              <w:left w:val="single" w:sz="4" w:space="0" w:color="auto"/>
              <w:bottom w:val="single" w:sz="4" w:space="0" w:color="auto"/>
              <w:right w:val="single" w:sz="4" w:space="0" w:color="auto"/>
            </w:tcBorders>
            <w:hideMark/>
          </w:tcPr>
          <w:p w14:paraId="08D70FA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School Road Pasture, </w:t>
            </w:r>
            <w:proofErr w:type="spellStart"/>
            <w:r w:rsidRPr="000663FF">
              <w:rPr>
                <w:rFonts w:ascii="Calibri" w:hAnsi="Calibri" w:cs="Calibri"/>
                <w:color w:val="auto"/>
                <w:sz w:val="22"/>
                <w:szCs w:val="22"/>
              </w:rPr>
              <w:t>Bagthorpe</w:t>
            </w:r>
            <w:proofErr w:type="spellEnd"/>
          </w:p>
        </w:tc>
        <w:tc>
          <w:tcPr>
            <w:tcW w:w="4395" w:type="dxa"/>
            <w:tcBorders>
              <w:top w:val="single" w:sz="4" w:space="0" w:color="auto"/>
              <w:left w:val="single" w:sz="4" w:space="0" w:color="auto"/>
              <w:bottom w:val="single" w:sz="4" w:space="0" w:color="auto"/>
              <w:right w:val="single" w:sz="4" w:space="0" w:color="auto"/>
            </w:tcBorders>
            <w:hideMark/>
          </w:tcPr>
          <w:p w14:paraId="3D8055FB" w14:textId="0C9C7AE9"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interesting pasture and stream,</w:t>
            </w:r>
            <w:r w:rsidR="00DC0D18" w:rsidRPr="000663FF">
              <w:rPr>
                <w:rFonts w:ascii="Calibri" w:hAnsi="Calibri" w:cs="Calibri"/>
                <w:color w:val="auto"/>
                <w:sz w:val="22"/>
                <w:szCs w:val="22"/>
              </w:rPr>
              <w:t xml:space="preserve"> </w:t>
            </w:r>
            <w:r w:rsidR="00FA2CC6" w:rsidRPr="000663FF">
              <w:rPr>
                <w:rFonts w:ascii="Calibri" w:hAnsi="Calibri" w:cs="Calibri"/>
                <w:color w:val="auto"/>
                <w:sz w:val="22"/>
                <w:szCs w:val="22"/>
              </w:rPr>
              <w:t>showing an excellent species-diversity</w:t>
            </w:r>
          </w:p>
        </w:tc>
        <w:tc>
          <w:tcPr>
            <w:tcW w:w="1984" w:type="dxa"/>
            <w:tcBorders>
              <w:top w:val="single" w:sz="4" w:space="0" w:color="auto"/>
              <w:left w:val="single" w:sz="4" w:space="0" w:color="auto"/>
              <w:bottom w:val="single" w:sz="4" w:space="0" w:color="auto"/>
              <w:right w:val="single" w:sz="4" w:space="0" w:color="auto"/>
            </w:tcBorders>
            <w:hideMark/>
          </w:tcPr>
          <w:p w14:paraId="7F6F4FA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4FCF6E79"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23E8C3F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EV4wfx</w:t>
            </w:r>
          </w:p>
        </w:tc>
        <w:tc>
          <w:tcPr>
            <w:tcW w:w="2388" w:type="dxa"/>
            <w:tcBorders>
              <w:top w:val="single" w:sz="4" w:space="0" w:color="auto"/>
              <w:left w:val="nil"/>
              <w:bottom w:val="single" w:sz="4" w:space="0" w:color="auto"/>
              <w:right w:val="single" w:sz="4" w:space="0" w:color="auto"/>
            </w:tcBorders>
            <w:hideMark/>
          </w:tcPr>
          <w:p w14:paraId="33B34CD3"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r w:rsidRPr="000663FF">
              <w:rPr>
                <w:rFonts w:ascii="Calibri" w:hAnsi="Calibri" w:cs="Calibri"/>
                <w:color w:val="auto"/>
                <w:sz w:val="22"/>
                <w:szCs w:val="22"/>
              </w:rPr>
              <w:t xml:space="preserve"> Common Grasslands</w:t>
            </w:r>
          </w:p>
        </w:tc>
        <w:tc>
          <w:tcPr>
            <w:tcW w:w="4395" w:type="dxa"/>
            <w:tcBorders>
              <w:top w:val="single" w:sz="4" w:space="0" w:color="auto"/>
              <w:left w:val="nil"/>
              <w:bottom w:val="single" w:sz="4" w:space="0" w:color="auto"/>
              <w:right w:val="single" w:sz="4" w:space="0" w:color="auto"/>
            </w:tcBorders>
            <w:hideMark/>
          </w:tcPr>
          <w:p w14:paraId="00970FED" w14:textId="6A23E674"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valuable pocket of grasslands with especially notable flush communities</w:t>
            </w:r>
          </w:p>
        </w:tc>
        <w:tc>
          <w:tcPr>
            <w:tcW w:w="1984" w:type="dxa"/>
            <w:tcBorders>
              <w:top w:val="single" w:sz="4" w:space="0" w:color="auto"/>
              <w:left w:val="nil"/>
              <w:bottom w:val="single" w:sz="4" w:space="0" w:color="auto"/>
              <w:right w:val="single" w:sz="4" w:space="0" w:color="auto"/>
            </w:tcBorders>
            <w:hideMark/>
          </w:tcPr>
          <w:p w14:paraId="3E4A9F56"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p>
        </w:tc>
      </w:tr>
      <w:tr w:rsidR="000663FF" w:rsidRPr="000663FF" w14:paraId="061200B5"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63CE012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EV4wfy</w:t>
            </w:r>
          </w:p>
        </w:tc>
        <w:tc>
          <w:tcPr>
            <w:tcW w:w="2388" w:type="dxa"/>
            <w:tcBorders>
              <w:top w:val="nil"/>
              <w:left w:val="nil"/>
              <w:bottom w:val="single" w:sz="4" w:space="0" w:color="auto"/>
              <w:right w:val="single" w:sz="4" w:space="0" w:color="auto"/>
            </w:tcBorders>
            <w:hideMark/>
          </w:tcPr>
          <w:p w14:paraId="710F3644"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r w:rsidRPr="000663FF">
              <w:rPr>
                <w:rFonts w:ascii="Calibri" w:hAnsi="Calibri" w:cs="Calibri"/>
                <w:color w:val="auto"/>
                <w:sz w:val="22"/>
                <w:szCs w:val="22"/>
              </w:rPr>
              <w:t xml:space="preserve"> Golf Course</w:t>
            </w:r>
          </w:p>
        </w:tc>
        <w:tc>
          <w:tcPr>
            <w:tcW w:w="4395" w:type="dxa"/>
            <w:tcBorders>
              <w:top w:val="nil"/>
              <w:left w:val="nil"/>
              <w:bottom w:val="single" w:sz="4" w:space="0" w:color="auto"/>
              <w:right w:val="single" w:sz="4" w:space="0" w:color="auto"/>
            </w:tcBorders>
            <w:hideMark/>
          </w:tcPr>
          <w:p w14:paraId="6FA1CDA1" w14:textId="7E4CE5FD"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Grassland, scrub and wetland communities of conservation interest</w:t>
            </w:r>
          </w:p>
        </w:tc>
        <w:tc>
          <w:tcPr>
            <w:tcW w:w="1984" w:type="dxa"/>
            <w:tcBorders>
              <w:top w:val="nil"/>
              <w:left w:val="nil"/>
              <w:bottom w:val="single" w:sz="4" w:space="0" w:color="auto"/>
              <w:right w:val="single" w:sz="4" w:space="0" w:color="auto"/>
            </w:tcBorders>
            <w:hideMark/>
          </w:tcPr>
          <w:p w14:paraId="2D5A8E4E"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p>
        </w:tc>
      </w:tr>
      <w:tr w:rsidR="000663FF" w:rsidRPr="000663FF" w14:paraId="3DDE4FB9"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7BB1E65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EV4wfz</w:t>
            </w:r>
          </w:p>
        </w:tc>
        <w:tc>
          <w:tcPr>
            <w:tcW w:w="2388" w:type="dxa"/>
            <w:tcBorders>
              <w:top w:val="nil"/>
              <w:left w:val="nil"/>
              <w:bottom w:val="single" w:sz="4" w:space="0" w:color="auto"/>
              <w:right w:val="single" w:sz="4" w:space="0" w:color="auto"/>
            </w:tcBorders>
            <w:hideMark/>
          </w:tcPr>
          <w:p w14:paraId="72DE4F20"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r w:rsidRPr="000663FF">
              <w:rPr>
                <w:rFonts w:ascii="Calibri" w:hAnsi="Calibri" w:cs="Calibri"/>
                <w:color w:val="auto"/>
                <w:sz w:val="22"/>
                <w:szCs w:val="22"/>
              </w:rPr>
              <w:t xml:space="preserve"> Grassland (I)</w:t>
            </w:r>
          </w:p>
        </w:tc>
        <w:tc>
          <w:tcPr>
            <w:tcW w:w="4395" w:type="dxa"/>
            <w:tcBorders>
              <w:top w:val="nil"/>
              <w:left w:val="nil"/>
              <w:bottom w:val="single" w:sz="4" w:space="0" w:color="auto"/>
              <w:right w:val="single" w:sz="4" w:space="0" w:color="auto"/>
            </w:tcBorders>
            <w:hideMark/>
          </w:tcPr>
          <w:p w14:paraId="558E6F64" w14:textId="67202779"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little-managed, species-rich grassland</w:t>
            </w:r>
          </w:p>
        </w:tc>
        <w:tc>
          <w:tcPr>
            <w:tcW w:w="1984" w:type="dxa"/>
            <w:tcBorders>
              <w:top w:val="nil"/>
              <w:left w:val="nil"/>
              <w:bottom w:val="single" w:sz="4" w:space="0" w:color="auto"/>
              <w:right w:val="single" w:sz="4" w:space="0" w:color="auto"/>
            </w:tcBorders>
            <w:hideMark/>
          </w:tcPr>
          <w:p w14:paraId="5454376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4A3B9ACB"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14A535D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w:t>
            </w:r>
          </w:p>
        </w:tc>
        <w:tc>
          <w:tcPr>
            <w:tcW w:w="2388" w:type="dxa"/>
            <w:tcBorders>
              <w:top w:val="nil"/>
              <w:left w:val="nil"/>
              <w:bottom w:val="single" w:sz="4" w:space="0" w:color="auto"/>
              <w:right w:val="single" w:sz="4" w:space="0" w:color="auto"/>
            </w:tcBorders>
            <w:hideMark/>
          </w:tcPr>
          <w:p w14:paraId="211027F8"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r w:rsidRPr="000663FF">
              <w:rPr>
                <w:rFonts w:ascii="Calibri" w:hAnsi="Calibri" w:cs="Calibri"/>
                <w:color w:val="auto"/>
                <w:sz w:val="22"/>
                <w:szCs w:val="22"/>
              </w:rPr>
              <w:t xml:space="preserve"> Grassland (II)</w:t>
            </w:r>
          </w:p>
        </w:tc>
        <w:tc>
          <w:tcPr>
            <w:tcW w:w="4395" w:type="dxa"/>
            <w:tcBorders>
              <w:top w:val="nil"/>
              <w:left w:val="nil"/>
              <w:bottom w:val="single" w:sz="4" w:space="0" w:color="auto"/>
              <w:right w:val="single" w:sz="4" w:space="0" w:color="auto"/>
            </w:tcBorders>
            <w:hideMark/>
          </w:tcPr>
          <w:p w14:paraId="03DA0FEB" w14:textId="579743DE"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grassland community</w:t>
            </w:r>
          </w:p>
        </w:tc>
        <w:tc>
          <w:tcPr>
            <w:tcW w:w="1984" w:type="dxa"/>
            <w:tcBorders>
              <w:top w:val="nil"/>
              <w:left w:val="nil"/>
              <w:bottom w:val="single" w:sz="4" w:space="0" w:color="auto"/>
              <w:right w:val="single" w:sz="4" w:space="0" w:color="auto"/>
            </w:tcBorders>
            <w:hideMark/>
          </w:tcPr>
          <w:p w14:paraId="5FA14E0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48BE8BBD"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6BAE2A5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EV4wga</w:t>
            </w:r>
          </w:p>
        </w:tc>
        <w:tc>
          <w:tcPr>
            <w:tcW w:w="2388" w:type="dxa"/>
            <w:tcBorders>
              <w:top w:val="nil"/>
              <w:left w:val="nil"/>
              <w:bottom w:val="single" w:sz="4" w:space="0" w:color="auto"/>
              <w:right w:val="single" w:sz="4" w:space="0" w:color="auto"/>
            </w:tcBorders>
            <w:hideMark/>
          </w:tcPr>
          <w:p w14:paraId="139A7E0F"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r w:rsidRPr="000663FF">
              <w:rPr>
                <w:rFonts w:ascii="Calibri" w:hAnsi="Calibri" w:cs="Calibri"/>
                <w:color w:val="auto"/>
                <w:sz w:val="22"/>
                <w:szCs w:val="22"/>
              </w:rPr>
              <w:t xml:space="preserve"> Meadow</w:t>
            </w:r>
          </w:p>
        </w:tc>
        <w:tc>
          <w:tcPr>
            <w:tcW w:w="4395" w:type="dxa"/>
            <w:tcBorders>
              <w:top w:val="nil"/>
              <w:left w:val="nil"/>
              <w:bottom w:val="single" w:sz="4" w:space="0" w:color="auto"/>
              <w:right w:val="single" w:sz="4" w:space="0" w:color="auto"/>
            </w:tcBorders>
            <w:hideMark/>
          </w:tcPr>
          <w:p w14:paraId="28E2B914" w14:textId="61137F9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traditionally managed species-rich coal measures type grassland</w:t>
            </w:r>
          </w:p>
        </w:tc>
        <w:tc>
          <w:tcPr>
            <w:tcW w:w="1984" w:type="dxa"/>
            <w:tcBorders>
              <w:top w:val="nil"/>
              <w:left w:val="nil"/>
              <w:bottom w:val="single" w:sz="4" w:space="0" w:color="auto"/>
              <w:right w:val="single" w:sz="4" w:space="0" w:color="auto"/>
            </w:tcBorders>
            <w:hideMark/>
          </w:tcPr>
          <w:p w14:paraId="1CE2ED83"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Selston</w:t>
            </w:r>
            <w:proofErr w:type="spellEnd"/>
          </w:p>
        </w:tc>
      </w:tr>
      <w:tr w:rsidR="000663FF" w:rsidRPr="000663FF" w14:paraId="2D39D5B2"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5103A0A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EV4wgb</w:t>
            </w:r>
          </w:p>
        </w:tc>
        <w:tc>
          <w:tcPr>
            <w:tcW w:w="2388" w:type="dxa"/>
            <w:tcBorders>
              <w:top w:val="nil"/>
              <w:left w:val="nil"/>
              <w:bottom w:val="single" w:sz="4" w:space="0" w:color="auto"/>
              <w:right w:val="single" w:sz="4" w:space="0" w:color="auto"/>
            </w:tcBorders>
            <w:hideMark/>
          </w:tcPr>
          <w:p w14:paraId="133651E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Silverhill Colliery</w:t>
            </w:r>
          </w:p>
        </w:tc>
        <w:tc>
          <w:tcPr>
            <w:tcW w:w="4395" w:type="dxa"/>
            <w:tcBorders>
              <w:top w:val="nil"/>
              <w:left w:val="nil"/>
              <w:bottom w:val="single" w:sz="4" w:space="0" w:color="auto"/>
              <w:right w:val="single" w:sz="4" w:space="0" w:color="auto"/>
            </w:tcBorders>
            <w:hideMark/>
          </w:tcPr>
          <w:p w14:paraId="25F1BA3B" w14:textId="44131CA0"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Former colliery site of botanical and zoological interest</w:t>
            </w:r>
          </w:p>
        </w:tc>
        <w:tc>
          <w:tcPr>
            <w:tcW w:w="1984" w:type="dxa"/>
            <w:tcBorders>
              <w:top w:val="nil"/>
              <w:left w:val="nil"/>
              <w:bottom w:val="single" w:sz="4" w:space="0" w:color="auto"/>
              <w:right w:val="single" w:sz="4" w:space="0" w:color="auto"/>
            </w:tcBorders>
            <w:hideMark/>
          </w:tcPr>
          <w:p w14:paraId="458227B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19C1211D" w14:textId="77777777" w:rsidTr="007A1A00">
        <w:trPr>
          <w:trHeight w:val="580"/>
        </w:trPr>
        <w:tc>
          <w:tcPr>
            <w:tcW w:w="1009" w:type="dxa"/>
            <w:tcBorders>
              <w:top w:val="nil"/>
              <w:left w:val="single" w:sz="4" w:space="0" w:color="auto"/>
              <w:bottom w:val="single" w:sz="4" w:space="0" w:color="auto"/>
              <w:right w:val="single" w:sz="4" w:space="0" w:color="auto"/>
            </w:tcBorders>
            <w:hideMark/>
          </w:tcPr>
          <w:p w14:paraId="1EC7D51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EV4wgc</w:t>
            </w:r>
          </w:p>
        </w:tc>
        <w:tc>
          <w:tcPr>
            <w:tcW w:w="2388" w:type="dxa"/>
            <w:tcBorders>
              <w:top w:val="nil"/>
              <w:left w:val="nil"/>
              <w:bottom w:val="single" w:sz="4" w:space="0" w:color="auto"/>
              <w:right w:val="single" w:sz="4" w:space="0" w:color="auto"/>
            </w:tcBorders>
            <w:hideMark/>
          </w:tcPr>
          <w:p w14:paraId="7345F15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Silverhill Lane</w:t>
            </w:r>
          </w:p>
        </w:tc>
        <w:tc>
          <w:tcPr>
            <w:tcW w:w="4395" w:type="dxa"/>
            <w:tcBorders>
              <w:top w:val="nil"/>
              <w:left w:val="nil"/>
              <w:bottom w:val="single" w:sz="4" w:space="0" w:color="auto"/>
              <w:right w:val="single" w:sz="4" w:space="0" w:color="auto"/>
            </w:tcBorders>
            <w:hideMark/>
          </w:tcPr>
          <w:p w14:paraId="5D48CD0E" w14:textId="2C3DEC42"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An attractive cutting with tall, botanically interesting, </w:t>
            </w:r>
            <w:proofErr w:type="spellStart"/>
            <w:r w:rsidR="00FA2CC6" w:rsidRPr="000663FF">
              <w:rPr>
                <w:rFonts w:ascii="Calibri" w:hAnsi="Calibri" w:cs="Calibri"/>
                <w:color w:val="auto"/>
                <w:sz w:val="22"/>
                <w:szCs w:val="22"/>
              </w:rPr>
              <w:t>hedgebanks</w:t>
            </w:r>
            <w:proofErr w:type="spellEnd"/>
          </w:p>
        </w:tc>
        <w:tc>
          <w:tcPr>
            <w:tcW w:w="1984" w:type="dxa"/>
            <w:tcBorders>
              <w:top w:val="nil"/>
              <w:left w:val="nil"/>
              <w:bottom w:val="single" w:sz="4" w:space="0" w:color="auto"/>
              <w:right w:val="single" w:sz="4" w:space="0" w:color="auto"/>
            </w:tcBorders>
            <w:hideMark/>
          </w:tcPr>
          <w:p w14:paraId="4CEF775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395839DE" w14:textId="77777777" w:rsidTr="007A1A00">
        <w:trPr>
          <w:trHeight w:val="569"/>
        </w:trPr>
        <w:tc>
          <w:tcPr>
            <w:tcW w:w="1009" w:type="dxa"/>
            <w:tcBorders>
              <w:top w:val="single" w:sz="4" w:space="0" w:color="auto"/>
              <w:left w:val="single" w:sz="4" w:space="0" w:color="auto"/>
              <w:bottom w:val="single" w:sz="4" w:space="0" w:color="auto"/>
              <w:right w:val="single" w:sz="4" w:space="0" w:color="auto"/>
            </w:tcBorders>
            <w:hideMark/>
          </w:tcPr>
          <w:p w14:paraId="2120225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EV4wgd</w:t>
            </w:r>
          </w:p>
        </w:tc>
        <w:tc>
          <w:tcPr>
            <w:tcW w:w="2388" w:type="dxa"/>
            <w:tcBorders>
              <w:top w:val="single" w:sz="4" w:space="0" w:color="auto"/>
              <w:left w:val="nil"/>
              <w:bottom w:val="single" w:sz="4" w:space="0" w:color="auto"/>
              <w:right w:val="single" w:sz="4" w:space="0" w:color="auto"/>
            </w:tcBorders>
            <w:hideMark/>
          </w:tcPr>
          <w:p w14:paraId="68D21E0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 Disused Quarry I</w:t>
            </w:r>
          </w:p>
        </w:tc>
        <w:tc>
          <w:tcPr>
            <w:tcW w:w="4395" w:type="dxa"/>
            <w:tcBorders>
              <w:top w:val="single" w:sz="4" w:space="0" w:color="auto"/>
              <w:left w:val="nil"/>
              <w:bottom w:val="single" w:sz="4" w:space="0" w:color="auto"/>
              <w:right w:val="single" w:sz="4" w:space="0" w:color="auto"/>
            </w:tcBorders>
            <w:hideMark/>
          </w:tcPr>
          <w:p w14:paraId="5FD7A646" w14:textId="5E9D7A6A"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Species-rich calcareous community on the lower exposures of a disused quarry</w:t>
            </w:r>
          </w:p>
        </w:tc>
        <w:tc>
          <w:tcPr>
            <w:tcW w:w="1984" w:type="dxa"/>
            <w:tcBorders>
              <w:top w:val="single" w:sz="4" w:space="0" w:color="auto"/>
              <w:left w:val="nil"/>
              <w:bottom w:val="single" w:sz="4" w:space="0" w:color="auto"/>
              <w:right w:val="single" w:sz="4" w:space="0" w:color="auto"/>
            </w:tcBorders>
            <w:hideMark/>
          </w:tcPr>
          <w:p w14:paraId="6F12A53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The Dales</w:t>
            </w:r>
          </w:p>
        </w:tc>
      </w:tr>
      <w:tr w:rsidR="000663FF" w:rsidRPr="000663FF" w14:paraId="0F526A48" w14:textId="77777777" w:rsidTr="007A1A00">
        <w:trPr>
          <w:trHeight w:val="549"/>
        </w:trPr>
        <w:tc>
          <w:tcPr>
            <w:tcW w:w="1009" w:type="dxa"/>
            <w:tcBorders>
              <w:top w:val="single" w:sz="4" w:space="0" w:color="auto"/>
              <w:left w:val="single" w:sz="4" w:space="0" w:color="auto"/>
              <w:bottom w:val="single" w:sz="4" w:space="0" w:color="auto"/>
              <w:right w:val="single" w:sz="4" w:space="0" w:color="auto"/>
            </w:tcBorders>
            <w:hideMark/>
          </w:tcPr>
          <w:p w14:paraId="08B0D73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EV4wge</w:t>
            </w:r>
          </w:p>
        </w:tc>
        <w:tc>
          <w:tcPr>
            <w:tcW w:w="2388" w:type="dxa"/>
            <w:tcBorders>
              <w:top w:val="single" w:sz="4" w:space="0" w:color="auto"/>
              <w:left w:val="nil"/>
              <w:bottom w:val="single" w:sz="4" w:space="0" w:color="auto"/>
              <w:right w:val="single" w:sz="4" w:space="0" w:color="auto"/>
            </w:tcBorders>
            <w:hideMark/>
          </w:tcPr>
          <w:p w14:paraId="033DED9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 Disused Quarry III</w:t>
            </w:r>
          </w:p>
        </w:tc>
        <w:tc>
          <w:tcPr>
            <w:tcW w:w="4395" w:type="dxa"/>
            <w:tcBorders>
              <w:top w:val="single" w:sz="4" w:space="0" w:color="auto"/>
              <w:left w:val="nil"/>
              <w:bottom w:val="single" w:sz="4" w:space="0" w:color="auto"/>
              <w:right w:val="single" w:sz="4" w:space="0" w:color="auto"/>
            </w:tcBorders>
            <w:hideMark/>
          </w:tcPr>
          <w:p w14:paraId="79D1918C" w14:textId="2842AFCB"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A mosaic of neutral and species-rich calcareous grassland in </w:t>
            </w:r>
            <w:proofErr w:type="spellStart"/>
            <w:proofErr w:type="gramStart"/>
            <w:r w:rsidR="00FA2CC6" w:rsidRPr="000663FF">
              <w:rPr>
                <w:rFonts w:ascii="Calibri" w:hAnsi="Calibri" w:cs="Calibri"/>
                <w:color w:val="auto"/>
                <w:sz w:val="22"/>
                <w:szCs w:val="22"/>
              </w:rPr>
              <w:t>a</w:t>
            </w:r>
            <w:proofErr w:type="spellEnd"/>
            <w:proofErr w:type="gramEnd"/>
            <w:r w:rsidR="00FA2CC6" w:rsidRPr="000663FF">
              <w:rPr>
                <w:rFonts w:ascii="Calibri" w:hAnsi="Calibri" w:cs="Calibri"/>
                <w:color w:val="auto"/>
                <w:sz w:val="22"/>
                <w:szCs w:val="22"/>
              </w:rPr>
              <w:t xml:space="preserve"> abandoned quarry</w:t>
            </w:r>
          </w:p>
        </w:tc>
        <w:tc>
          <w:tcPr>
            <w:tcW w:w="1984" w:type="dxa"/>
            <w:tcBorders>
              <w:top w:val="single" w:sz="4" w:space="0" w:color="auto"/>
              <w:left w:val="nil"/>
              <w:bottom w:val="single" w:sz="4" w:space="0" w:color="auto"/>
              <w:right w:val="single" w:sz="4" w:space="0" w:color="auto"/>
            </w:tcBorders>
            <w:hideMark/>
          </w:tcPr>
          <w:p w14:paraId="77C9AF2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The Dales</w:t>
            </w:r>
          </w:p>
        </w:tc>
      </w:tr>
      <w:tr w:rsidR="000663FF" w:rsidRPr="000663FF" w14:paraId="15BE1730" w14:textId="77777777" w:rsidTr="000663FF">
        <w:trPr>
          <w:trHeight w:val="580"/>
        </w:trPr>
        <w:tc>
          <w:tcPr>
            <w:tcW w:w="1009" w:type="dxa"/>
            <w:tcBorders>
              <w:top w:val="nil"/>
              <w:left w:val="single" w:sz="4" w:space="0" w:color="auto"/>
              <w:bottom w:val="single" w:sz="4" w:space="0" w:color="auto"/>
              <w:right w:val="single" w:sz="4" w:space="0" w:color="auto"/>
            </w:tcBorders>
            <w:hideMark/>
          </w:tcPr>
          <w:p w14:paraId="67C3F54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EV4wgf</w:t>
            </w:r>
          </w:p>
        </w:tc>
        <w:tc>
          <w:tcPr>
            <w:tcW w:w="2388" w:type="dxa"/>
            <w:tcBorders>
              <w:top w:val="nil"/>
              <w:left w:val="nil"/>
              <w:bottom w:val="single" w:sz="4" w:space="0" w:color="auto"/>
              <w:right w:val="single" w:sz="4" w:space="0" w:color="auto"/>
            </w:tcBorders>
            <w:hideMark/>
          </w:tcPr>
          <w:p w14:paraId="63A60D5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 Grassland II</w:t>
            </w:r>
          </w:p>
        </w:tc>
        <w:tc>
          <w:tcPr>
            <w:tcW w:w="4395" w:type="dxa"/>
            <w:tcBorders>
              <w:top w:val="nil"/>
              <w:left w:val="nil"/>
              <w:bottom w:val="single" w:sz="4" w:space="0" w:color="auto"/>
              <w:right w:val="single" w:sz="4" w:space="0" w:color="auto"/>
            </w:tcBorders>
            <w:hideMark/>
          </w:tcPr>
          <w:p w14:paraId="745BC828" w14:textId="215EC2EF"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damp grassland with a valuable collection of herbs</w:t>
            </w:r>
          </w:p>
        </w:tc>
        <w:tc>
          <w:tcPr>
            <w:tcW w:w="1984" w:type="dxa"/>
            <w:tcBorders>
              <w:top w:val="nil"/>
              <w:left w:val="nil"/>
              <w:bottom w:val="single" w:sz="4" w:space="0" w:color="auto"/>
              <w:right w:val="single" w:sz="4" w:space="0" w:color="auto"/>
            </w:tcBorders>
            <w:hideMark/>
          </w:tcPr>
          <w:p w14:paraId="001A8DC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305E3035" w14:textId="77777777" w:rsidTr="000663FF">
        <w:trPr>
          <w:trHeight w:val="290"/>
        </w:trPr>
        <w:tc>
          <w:tcPr>
            <w:tcW w:w="1009" w:type="dxa"/>
            <w:tcBorders>
              <w:top w:val="single" w:sz="4" w:space="0" w:color="auto"/>
              <w:left w:val="single" w:sz="4" w:space="0" w:color="auto"/>
              <w:bottom w:val="single" w:sz="4" w:space="0" w:color="auto"/>
              <w:right w:val="single" w:sz="4" w:space="0" w:color="auto"/>
            </w:tcBorders>
            <w:hideMark/>
          </w:tcPr>
          <w:p w14:paraId="388C44A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EV4wgg</w:t>
            </w:r>
          </w:p>
        </w:tc>
        <w:tc>
          <w:tcPr>
            <w:tcW w:w="2388" w:type="dxa"/>
            <w:tcBorders>
              <w:top w:val="single" w:sz="4" w:space="0" w:color="auto"/>
              <w:left w:val="nil"/>
              <w:bottom w:val="single" w:sz="4" w:space="0" w:color="auto"/>
              <w:right w:val="single" w:sz="4" w:space="0" w:color="auto"/>
            </w:tcBorders>
            <w:hideMark/>
          </w:tcPr>
          <w:p w14:paraId="7831EBE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 Grassland III</w:t>
            </w:r>
          </w:p>
        </w:tc>
        <w:tc>
          <w:tcPr>
            <w:tcW w:w="4395" w:type="dxa"/>
            <w:tcBorders>
              <w:top w:val="single" w:sz="4" w:space="0" w:color="auto"/>
              <w:left w:val="nil"/>
              <w:bottom w:val="single" w:sz="4" w:space="0" w:color="auto"/>
              <w:right w:val="single" w:sz="4" w:space="0" w:color="auto"/>
            </w:tcBorders>
            <w:hideMark/>
          </w:tcPr>
          <w:p w14:paraId="2E33BBEF" w14:textId="058BF6A6"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valuable wet meadow</w:t>
            </w:r>
          </w:p>
        </w:tc>
        <w:tc>
          <w:tcPr>
            <w:tcW w:w="1984" w:type="dxa"/>
            <w:tcBorders>
              <w:top w:val="single" w:sz="4" w:space="0" w:color="auto"/>
              <w:left w:val="nil"/>
              <w:bottom w:val="single" w:sz="4" w:space="0" w:color="auto"/>
              <w:right w:val="single" w:sz="4" w:space="0" w:color="auto"/>
            </w:tcBorders>
            <w:hideMark/>
          </w:tcPr>
          <w:p w14:paraId="11BD908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199F9702"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286C3EB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lastRenderedPageBreak/>
              <w:t>EV4wgh</w:t>
            </w:r>
          </w:p>
        </w:tc>
        <w:tc>
          <w:tcPr>
            <w:tcW w:w="2388" w:type="dxa"/>
            <w:tcBorders>
              <w:top w:val="single" w:sz="4" w:space="0" w:color="auto"/>
              <w:left w:val="nil"/>
              <w:bottom w:val="single" w:sz="4" w:space="0" w:color="auto"/>
              <w:right w:val="single" w:sz="4" w:space="0" w:color="auto"/>
            </w:tcBorders>
            <w:hideMark/>
          </w:tcPr>
          <w:p w14:paraId="5BADD32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 Junction Grassland</w:t>
            </w:r>
          </w:p>
        </w:tc>
        <w:tc>
          <w:tcPr>
            <w:tcW w:w="4395" w:type="dxa"/>
            <w:tcBorders>
              <w:top w:val="single" w:sz="4" w:space="0" w:color="auto"/>
              <w:left w:val="nil"/>
              <w:bottom w:val="single" w:sz="4" w:space="0" w:color="auto"/>
              <w:right w:val="single" w:sz="4" w:space="0" w:color="auto"/>
            </w:tcBorders>
            <w:hideMark/>
          </w:tcPr>
          <w:p w14:paraId="368B8578" w14:textId="6581DF92"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linear hay meadow with characteristic species</w:t>
            </w:r>
          </w:p>
        </w:tc>
        <w:tc>
          <w:tcPr>
            <w:tcW w:w="1984" w:type="dxa"/>
            <w:tcBorders>
              <w:top w:val="single" w:sz="4" w:space="0" w:color="auto"/>
              <w:left w:val="nil"/>
              <w:bottom w:val="single" w:sz="4" w:space="0" w:color="auto"/>
              <w:right w:val="single" w:sz="4" w:space="0" w:color="auto"/>
            </w:tcBorders>
            <w:hideMark/>
          </w:tcPr>
          <w:p w14:paraId="218C2CC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1B4BC638"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A70D5B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EV4wgi</w:t>
            </w:r>
          </w:p>
        </w:tc>
        <w:tc>
          <w:tcPr>
            <w:tcW w:w="2388" w:type="dxa"/>
            <w:tcBorders>
              <w:top w:val="nil"/>
              <w:left w:val="nil"/>
              <w:bottom w:val="single" w:sz="4" w:space="0" w:color="auto"/>
              <w:right w:val="single" w:sz="4" w:space="0" w:color="auto"/>
            </w:tcBorders>
            <w:hideMark/>
          </w:tcPr>
          <w:p w14:paraId="75C45500" w14:textId="65BBD44B" w:rsidR="00FA2CC6" w:rsidRPr="00805F35" w:rsidRDefault="00FA2CC6" w:rsidP="00FA2CC6">
            <w:pPr>
              <w:keepNext w:val="0"/>
              <w:spacing w:before="0"/>
              <w:rPr>
                <w:rFonts w:ascii="Calibri" w:hAnsi="Calibri" w:cs="Calibri"/>
                <w:color w:val="auto"/>
                <w:sz w:val="22"/>
                <w:szCs w:val="22"/>
              </w:rPr>
            </w:pPr>
            <w:r w:rsidRPr="00805F35">
              <w:rPr>
                <w:rFonts w:ascii="Calibri" w:hAnsi="Calibri" w:cs="Calibri"/>
                <w:color w:val="auto"/>
                <w:sz w:val="22"/>
                <w:szCs w:val="22"/>
              </w:rPr>
              <w:t>Skegby Railway Cutting</w:t>
            </w:r>
          </w:p>
        </w:tc>
        <w:tc>
          <w:tcPr>
            <w:tcW w:w="4395" w:type="dxa"/>
            <w:tcBorders>
              <w:top w:val="nil"/>
              <w:left w:val="nil"/>
              <w:bottom w:val="single" w:sz="4" w:space="0" w:color="auto"/>
              <w:right w:val="single" w:sz="4" w:space="0" w:color="auto"/>
            </w:tcBorders>
            <w:hideMark/>
          </w:tcPr>
          <w:p w14:paraId="07FDDAB0" w14:textId="19EA97D1" w:rsidR="00FA2CC6" w:rsidRPr="000663FF" w:rsidRDefault="007A1A00"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&amp; LGS - </w:t>
            </w:r>
            <w:r w:rsidR="00FA2CC6" w:rsidRPr="000663FF">
              <w:rPr>
                <w:rFonts w:ascii="Calibri" w:hAnsi="Calibri" w:cs="Calibri"/>
                <w:color w:val="auto"/>
                <w:sz w:val="22"/>
                <w:szCs w:val="22"/>
              </w:rPr>
              <w:t>A good exposure of Lower Magnesian Limestone with botanical interest</w:t>
            </w:r>
          </w:p>
        </w:tc>
        <w:tc>
          <w:tcPr>
            <w:tcW w:w="1984" w:type="dxa"/>
            <w:tcBorders>
              <w:top w:val="nil"/>
              <w:left w:val="nil"/>
              <w:bottom w:val="single" w:sz="4" w:space="0" w:color="auto"/>
              <w:right w:val="single" w:sz="4" w:space="0" w:color="auto"/>
            </w:tcBorders>
            <w:hideMark/>
          </w:tcPr>
          <w:p w14:paraId="30BB44D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The Dales</w:t>
            </w:r>
          </w:p>
        </w:tc>
      </w:tr>
      <w:tr w:rsidR="000663FF" w:rsidRPr="000663FF" w14:paraId="45EEEE5D"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44FFFFF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EV4wgj</w:t>
            </w:r>
          </w:p>
        </w:tc>
        <w:tc>
          <w:tcPr>
            <w:tcW w:w="2388" w:type="dxa"/>
            <w:tcBorders>
              <w:top w:val="single" w:sz="4" w:space="0" w:color="auto"/>
              <w:left w:val="single" w:sz="4" w:space="0" w:color="auto"/>
              <w:bottom w:val="single" w:sz="4" w:space="0" w:color="auto"/>
              <w:right w:val="single" w:sz="4" w:space="0" w:color="auto"/>
            </w:tcBorders>
            <w:hideMark/>
          </w:tcPr>
          <w:p w14:paraId="2C0BE50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 Railway Grassland</w:t>
            </w:r>
          </w:p>
        </w:tc>
        <w:tc>
          <w:tcPr>
            <w:tcW w:w="4395" w:type="dxa"/>
            <w:tcBorders>
              <w:top w:val="single" w:sz="4" w:space="0" w:color="auto"/>
              <w:left w:val="single" w:sz="4" w:space="0" w:color="auto"/>
              <w:bottom w:val="single" w:sz="4" w:space="0" w:color="auto"/>
              <w:right w:val="single" w:sz="4" w:space="0" w:color="auto"/>
            </w:tcBorders>
            <w:hideMark/>
          </w:tcPr>
          <w:p w14:paraId="5F5EE549" w14:textId="426AD6C1"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grassland with an impressive herb content</w:t>
            </w:r>
          </w:p>
        </w:tc>
        <w:tc>
          <w:tcPr>
            <w:tcW w:w="1984" w:type="dxa"/>
            <w:tcBorders>
              <w:top w:val="single" w:sz="4" w:space="0" w:color="auto"/>
              <w:left w:val="single" w:sz="4" w:space="0" w:color="auto"/>
              <w:bottom w:val="single" w:sz="4" w:space="0" w:color="auto"/>
              <w:right w:val="single" w:sz="4" w:space="0" w:color="auto"/>
            </w:tcBorders>
            <w:hideMark/>
          </w:tcPr>
          <w:p w14:paraId="568EF8E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4369F906" w14:textId="77777777" w:rsidTr="00DC0D18">
        <w:trPr>
          <w:trHeight w:val="290"/>
        </w:trPr>
        <w:tc>
          <w:tcPr>
            <w:tcW w:w="1009" w:type="dxa"/>
            <w:tcBorders>
              <w:top w:val="single" w:sz="4" w:space="0" w:color="auto"/>
              <w:left w:val="single" w:sz="4" w:space="0" w:color="auto"/>
              <w:bottom w:val="single" w:sz="4" w:space="0" w:color="auto"/>
              <w:right w:val="single" w:sz="4" w:space="0" w:color="auto"/>
            </w:tcBorders>
            <w:hideMark/>
          </w:tcPr>
          <w:p w14:paraId="7A3B2DB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EV4wgk</w:t>
            </w:r>
          </w:p>
        </w:tc>
        <w:tc>
          <w:tcPr>
            <w:tcW w:w="2388" w:type="dxa"/>
            <w:tcBorders>
              <w:top w:val="single" w:sz="4" w:space="0" w:color="auto"/>
              <w:left w:val="nil"/>
              <w:bottom w:val="single" w:sz="4" w:space="0" w:color="auto"/>
              <w:right w:val="single" w:sz="4" w:space="0" w:color="auto"/>
            </w:tcBorders>
            <w:hideMark/>
          </w:tcPr>
          <w:p w14:paraId="4B55ADB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 Railway Grassland III</w:t>
            </w:r>
          </w:p>
        </w:tc>
        <w:tc>
          <w:tcPr>
            <w:tcW w:w="4395" w:type="dxa"/>
            <w:tcBorders>
              <w:top w:val="single" w:sz="4" w:space="0" w:color="auto"/>
              <w:left w:val="nil"/>
              <w:bottom w:val="single" w:sz="4" w:space="0" w:color="auto"/>
              <w:right w:val="single" w:sz="4" w:space="0" w:color="auto"/>
            </w:tcBorders>
            <w:hideMark/>
          </w:tcPr>
          <w:p w14:paraId="30F5C5B5" w14:textId="17BD877A"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noteworthy calcareous grassland.</w:t>
            </w:r>
          </w:p>
        </w:tc>
        <w:tc>
          <w:tcPr>
            <w:tcW w:w="1984" w:type="dxa"/>
            <w:tcBorders>
              <w:top w:val="single" w:sz="4" w:space="0" w:color="auto"/>
              <w:left w:val="nil"/>
              <w:bottom w:val="single" w:sz="4" w:space="0" w:color="auto"/>
              <w:right w:val="single" w:sz="4" w:space="0" w:color="auto"/>
            </w:tcBorders>
            <w:hideMark/>
          </w:tcPr>
          <w:p w14:paraId="5FAE792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6F94ECD7"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538335B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EV4wgl</w:t>
            </w:r>
          </w:p>
        </w:tc>
        <w:tc>
          <w:tcPr>
            <w:tcW w:w="2388" w:type="dxa"/>
            <w:tcBorders>
              <w:top w:val="nil"/>
              <w:left w:val="nil"/>
              <w:bottom w:val="single" w:sz="4" w:space="0" w:color="auto"/>
              <w:right w:val="single" w:sz="4" w:space="0" w:color="auto"/>
            </w:tcBorders>
            <w:hideMark/>
          </w:tcPr>
          <w:p w14:paraId="6BAFB15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 Riparian Woodland</w:t>
            </w:r>
          </w:p>
        </w:tc>
        <w:tc>
          <w:tcPr>
            <w:tcW w:w="4395" w:type="dxa"/>
            <w:tcBorders>
              <w:top w:val="nil"/>
              <w:left w:val="nil"/>
              <w:bottom w:val="single" w:sz="4" w:space="0" w:color="auto"/>
              <w:right w:val="single" w:sz="4" w:space="0" w:color="auto"/>
            </w:tcBorders>
            <w:hideMark/>
          </w:tcPr>
          <w:p w14:paraId="4E3297D1" w14:textId="607F407C"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A grassland, short length of stream and a pond with a </w:t>
            </w:r>
            <w:r w:rsidR="000663FF" w:rsidRPr="000663FF">
              <w:rPr>
                <w:rFonts w:ascii="Calibri" w:hAnsi="Calibri" w:cs="Calibri"/>
                <w:color w:val="auto"/>
                <w:sz w:val="22"/>
                <w:szCs w:val="22"/>
              </w:rPr>
              <w:t>well-developed</w:t>
            </w:r>
            <w:r w:rsidR="00FA2CC6" w:rsidRPr="000663FF">
              <w:rPr>
                <w:rFonts w:ascii="Calibri" w:hAnsi="Calibri" w:cs="Calibri"/>
                <w:color w:val="auto"/>
                <w:sz w:val="22"/>
                <w:szCs w:val="22"/>
              </w:rPr>
              <w:t xml:space="preserve"> submerged and marginal aquatic</w:t>
            </w:r>
          </w:p>
        </w:tc>
        <w:tc>
          <w:tcPr>
            <w:tcW w:w="1984" w:type="dxa"/>
            <w:tcBorders>
              <w:top w:val="nil"/>
              <w:left w:val="nil"/>
              <w:bottom w:val="single" w:sz="4" w:space="0" w:color="auto"/>
              <w:right w:val="single" w:sz="4" w:space="0" w:color="auto"/>
            </w:tcBorders>
            <w:hideMark/>
          </w:tcPr>
          <w:p w14:paraId="05F6FEA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40D130E8"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3F4EE49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EV4wgm</w:t>
            </w:r>
          </w:p>
        </w:tc>
        <w:tc>
          <w:tcPr>
            <w:tcW w:w="2388" w:type="dxa"/>
            <w:tcBorders>
              <w:top w:val="nil"/>
              <w:left w:val="nil"/>
              <w:bottom w:val="single" w:sz="4" w:space="0" w:color="auto"/>
              <w:right w:val="single" w:sz="4" w:space="0" w:color="auto"/>
            </w:tcBorders>
            <w:hideMark/>
          </w:tcPr>
          <w:p w14:paraId="50A3A79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Skegby to </w:t>
            </w:r>
            <w:proofErr w:type="spellStart"/>
            <w:r w:rsidRPr="000663FF">
              <w:rPr>
                <w:rFonts w:ascii="Calibri" w:hAnsi="Calibri" w:cs="Calibri"/>
                <w:color w:val="auto"/>
                <w:sz w:val="22"/>
                <w:szCs w:val="22"/>
              </w:rPr>
              <w:t>Pleasley</w:t>
            </w:r>
            <w:proofErr w:type="spellEnd"/>
            <w:r w:rsidRPr="000663FF">
              <w:rPr>
                <w:rFonts w:ascii="Calibri" w:hAnsi="Calibri" w:cs="Calibri"/>
                <w:color w:val="auto"/>
                <w:sz w:val="22"/>
                <w:szCs w:val="22"/>
              </w:rPr>
              <w:t xml:space="preserve"> Railway</w:t>
            </w:r>
          </w:p>
        </w:tc>
        <w:tc>
          <w:tcPr>
            <w:tcW w:w="4395" w:type="dxa"/>
            <w:tcBorders>
              <w:top w:val="nil"/>
              <w:left w:val="nil"/>
              <w:bottom w:val="single" w:sz="4" w:space="0" w:color="auto"/>
              <w:right w:val="single" w:sz="4" w:space="0" w:color="auto"/>
            </w:tcBorders>
            <w:hideMark/>
          </w:tcPr>
          <w:p w14:paraId="3161B4BC" w14:textId="5A05BC50"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range of habitats developed on a disused railway, including some excellent species-rich grassland</w:t>
            </w:r>
          </w:p>
        </w:tc>
        <w:tc>
          <w:tcPr>
            <w:tcW w:w="1984" w:type="dxa"/>
            <w:tcBorders>
              <w:top w:val="nil"/>
              <w:left w:val="nil"/>
              <w:bottom w:val="single" w:sz="4" w:space="0" w:color="auto"/>
              <w:right w:val="single" w:sz="4" w:space="0" w:color="auto"/>
            </w:tcBorders>
            <w:hideMark/>
          </w:tcPr>
          <w:p w14:paraId="0C5F587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786EB135"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44E1B2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EV4wgn</w:t>
            </w:r>
          </w:p>
        </w:tc>
        <w:tc>
          <w:tcPr>
            <w:tcW w:w="2388" w:type="dxa"/>
            <w:tcBorders>
              <w:top w:val="nil"/>
              <w:left w:val="nil"/>
              <w:bottom w:val="single" w:sz="4" w:space="0" w:color="auto"/>
              <w:right w:val="single" w:sz="4" w:space="0" w:color="auto"/>
            </w:tcBorders>
            <w:hideMark/>
          </w:tcPr>
          <w:p w14:paraId="3374B66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Spring Farm Meadows, Huthwaite</w:t>
            </w:r>
          </w:p>
        </w:tc>
        <w:tc>
          <w:tcPr>
            <w:tcW w:w="4395" w:type="dxa"/>
            <w:tcBorders>
              <w:top w:val="nil"/>
              <w:left w:val="nil"/>
              <w:bottom w:val="single" w:sz="4" w:space="0" w:color="auto"/>
              <w:right w:val="single" w:sz="4" w:space="0" w:color="auto"/>
            </w:tcBorders>
            <w:hideMark/>
          </w:tcPr>
          <w:p w14:paraId="1F877F31" w14:textId="291628E6"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sequence of species-rich hay meadows</w:t>
            </w:r>
          </w:p>
        </w:tc>
        <w:tc>
          <w:tcPr>
            <w:tcW w:w="1984" w:type="dxa"/>
            <w:tcBorders>
              <w:top w:val="nil"/>
              <w:left w:val="nil"/>
              <w:bottom w:val="single" w:sz="4" w:space="0" w:color="auto"/>
              <w:right w:val="single" w:sz="4" w:space="0" w:color="auto"/>
            </w:tcBorders>
            <w:hideMark/>
          </w:tcPr>
          <w:p w14:paraId="2C273D7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09979C8A"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4991456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EV4wgo</w:t>
            </w:r>
          </w:p>
        </w:tc>
        <w:tc>
          <w:tcPr>
            <w:tcW w:w="2388" w:type="dxa"/>
            <w:tcBorders>
              <w:top w:val="nil"/>
              <w:left w:val="nil"/>
              <w:bottom w:val="single" w:sz="4" w:space="0" w:color="auto"/>
              <w:right w:val="single" w:sz="4" w:space="0" w:color="auto"/>
            </w:tcBorders>
            <w:hideMark/>
          </w:tcPr>
          <w:p w14:paraId="6521342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Spring Farm Pasture, Huthwaite</w:t>
            </w:r>
          </w:p>
        </w:tc>
        <w:tc>
          <w:tcPr>
            <w:tcW w:w="4395" w:type="dxa"/>
            <w:tcBorders>
              <w:top w:val="nil"/>
              <w:left w:val="nil"/>
              <w:bottom w:val="single" w:sz="4" w:space="0" w:color="auto"/>
              <w:right w:val="single" w:sz="4" w:space="0" w:color="auto"/>
            </w:tcBorders>
            <w:hideMark/>
          </w:tcPr>
          <w:p w14:paraId="45DA6F92" w14:textId="522BBF3E"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long-established and notably species-rich grassland community</w:t>
            </w:r>
          </w:p>
        </w:tc>
        <w:tc>
          <w:tcPr>
            <w:tcW w:w="1984" w:type="dxa"/>
            <w:tcBorders>
              <w:top w:val="nil"/>
              <w:left w:val="nil"/>
              <w:bottom w:val="single" w:sz="4" w:space="0" w:color="auto"/>
              <w:right w:val="single" w:sz="4" w:space="0" w:color="auto"/>
            </w:tcBorders>
            <w:hideMark/>
          </w:tcPr>
          <w:p w14:paraId="67F6FEB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71BF9404" w14:textId="77777777" w:rsidTr="00DC0D18">
        <w:trPr>
          <w:trHeight w:val="559"/>
        </w:trPr>
        <w:tc>
          <w:tcPr>
            <w:tcW w:w="1009" w:type="dxa"/>
            <w:tcBorders>
              <w:top w:val="nil"/>
              <w:left w:val="single" w:sz="4" w:space="0" w:color="auto"/>
              <w:bottom w:val="single" w:sz="4" w:space="0" w:color="auto"/>
              <w:right w:val="single" w:sz="4" w:space="0" w:color="auto"/>
            </w:tcBorders>
            <w:hideMark/>
          </w:tcPr>
          <w:p w14:paraId="185D019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EV4wgp</w:t>
            </w:r>
          </w:p>
        </w:tc>
        <w:tc>
          <w:tcPr>
            <w:tcW w:w="2388" w:type="dxa"/>
            <w:tcBorders>
              <w:top w:val="nil"/>
              <w:left w:val="nil"/>
              <w:bottom w:val="single" w:sz="4" w:space="0" w:color="auto"/>
              <w:right w:val="single" w:sz="4" w:space="0" w:color="auto"/>
            </w:tcBorders>
            <w:hideMark/>
          </w:tcPr>
          <w:p w14:paraId="4314000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Spring Wood, Stanton Hill</w:t>
            </w:r>
          </w:p>
        </w:tc>
        <w:tc>
          <w:tcPr>
            <w:tcW w:w="4395" w:type="dxa"/>
            <w:tcBorders>
              <w:top w:val="nil"/>
              <w:left w:val="nil"/>
              <w:bottom w:val="single" w:sz="4" w:space="0" w:color="auto"/>
              <w:right w:val="single" w:sz="4" w:space="0" w:color="auto"/>
            </w:tcBorders>
            <w:hideMark/>
          </w:tcPr>
          <w:p w14:paraId="715239D9" w14:textId="7354967F"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Deciduous woodland and scrub in a shallow valley with noteworthy wet areas and ponds</w:t>
            </w:r>
          </w:p>
        </w:tc>
        <w:tc>
          <w:tcPr>
            <w:tcW w:w="1984" w:type="dxa"/>
            <w:tcBorders>
              <w:top w:val="nil"/>
              <w:left w:val="nil"/>
              <w:bottom w:val="single" w:sz="4" w:space="0" w:color="auto"/>
              <w:right w:val="single" w:sz="4" w:space="0" w:color="auto"/>
            </w:tcBorders>
            <w:hideMark/>
          </w:tcPr>
          <w:p w14:paraId="7A823F3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7AE3F55A"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5D9E4D7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EV4wgq</w:t>
            </w:r>
          </w:p>
        </w:tc>
        <w:tc>
          <w:tcPr>
            <w:tcW w:w="2388" w:type="dxa"/>
            <w:tcBorders>
              <w:top w:val="nil"/>
              <w:left w:val="nil"/>
              <w:bottom w:val="single" w:sz="4" w:space="0" w:color="auto"/>
              <w:right w:val="single" w:sz="4" w:space="0" w:color="auto"/>
            </w:tcBorders>
            <w:hideMark/>
          </w:tcPr>
          <w:p w14:paraId="1D0EE3B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Springfield Cottage Grasslands</w:t>
            </w:r>
          </w:p>
        </w:tc>
        <w:tc>
          <w:tcPr>
            <w:tcW w:w="4395" w:type="dxa"/>
            <w:tcBorders>
              <w:top w:val="nil"/>
              <w:left w:val="nil"/>
              <w:bottom w:val="single" w:sz="4" w:space="0" w:color="auto"/>
              <w:right w:val="single" w:sz="4" w:space="0" w:color="auto"/>
            </w:tcBorders>
            <w:hideMark/>
          </w:tcPr>
          <w:p w14:paraId="5F42A544" w14:textId="0F1E7256"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fine series of little-improved, species-rich grasslands</w:t>
            </w:r>
          </w:p>
        </w:tc>
        <w:tc>
          <w:tcPr>
            <w:tcW w:w="1984" w:type="dxa"/>
            <w:tcBorders>
              <w:top w:val="nil"/>
              <w:left w:val="nil"/>
              <w:bottom w:val="single" w:sz="4" w:space="0" w:color="auto"/>
              <w:right w:val="single" w:sz="4" w:space="0" w:color="auto"/>
            </w:tcBorders>
            <w:hideMark/>
          </w:tcPr>
          <w:p w14:paraId="1ACB0DF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72803EC2"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6486D1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EV4wgr</w:t>
            </w:r>
          </w:p>
        </w:tc>
        <w:tc>
          <w:tcPr>
            <w:tcW w:w="2388" w:type="dxa"/>
            <w:tcBorders>
              <w:top w:val="nil"/>
              <w:left w:val="nil"/>
              <w:bottom w:val="single" w:sz="4" w:space="0" w:color="auto"/>
              <w:right w:val="single" w:sz="4" w:space="0" w:color="auto"/>
            </w:tcBorders>
            <w:hideMark/>
          </w:tcPr>
          <w:p w14:paraId="738ECF4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Springfield Grassland Ext</w:t>
            </w:r>
          </w:p>
        </w:tc>
        <w:tc>
          <w:tcPr>
            <w:tcW w:w="4395" w:type="dxa"/>
            <w:tcBorders>
              <w:top w:val="nil"/>
              <w:left w:val="nil"/>
              <w:bottom w:val="single" w:sz="4" w:space="0" w:color="auto"/>
              <w:right w:val="single" w:sz="4" w:space="0" w:color="auto"/>
            </w:tcBorders>
            <w:hideMark/>
          </w:tcPr>
          <w:p w14:paraId="48B26CD2" w14:textId="1E150BCF"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Neutral grassland of note</w:t>
            </w:r>
          </w:p>
        </w:tc>
        <w:tc>
          <w:tcPr>
            <w:tcW w:w="1984" w:type="dxa"/>
            <w:tcBorders>
              <w:top w:val="nil"/>
              <w:left w:val="nil"/>
              <w:bottom w:val="single" w:sz="4" w:space="0" w:color="auto"/>
              <w:right w:val="single" w:sz="4" w:space="0" w:color="auto"/>
            </w:tcBorders>
            <w:hideMark/>
          </w:tcPr>
          <w:p w14:paraId="00059DB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35FFCF1C"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3CF48B0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EV4wgs</w:t>
            </w:r>
          </w:p>
        </w:tc>
        <w:tc>
          <w:tcPr>
            <w:tcW w:w="2388" w:type="dxa"/>
            <w:tcBorders>
              <w:top w:val="single" w:sz="4" w:space="0" w:color="auto"/>
              <w:left w:val="single" w:sz="4" w:space="0" w:color="auto"/>
              <w:bottom w:val="single" w:sz="4" w:space="0" w:color="auto"/>
              <w:right w:val="single" w:sz="4" w:space="0" w:color="auto"/>
            </w:tcBorders>
            <w:hideMark/>
          </w:tcPr>
          <w:p w14:paraId="0C87024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 Helen's Grassland</w:t>
            </w:r>
          </w:p>
        </w:tc>
        <w:tc>
          <w:tcPr>
            <w:tcW w:w="4395" w:type="dxa"/>
            <w:tcBorders>
              <w:top w:val="single" w:sz="4" w:space="0" w:color="auto"/>
              <w:left w:val="single" w:sz="4" w:space="0" w:color="auto"/>
              <w:bottom w:val="single" w:sz="4" w:space="0" w:color="auto"/>
              <w:right w:val="single" w:sz="4" w:space="0" w:color="auto"/>
            </w:tcBorders>
            <w:hideMark/>
          </w:tcPr>
          <w:p w14:paraId="326F6377" w14:textId="2872D161"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noteworthy horse grazed semi-improved neutral grassland</w:t>
            </w:r>
          </w:p>
        </w:tc>
        <w:tc>
          <w:tcPr>
            <w:tcW w:w="1984" w:type="dxa"/>
            <w:tcBorders>
              <w:top w:val="single" w:sz="4" w:space="0" w:color="auto"/>
              <w:left w:val="single" w:sz="4" w:space="0" w:color="auto"/>
              <w:bottom w:val="single" w:sz="4" w:space="0" w:color="auto"/>
              <w:right w:val="single" w:sz="4" w:space="0" w:color="auto"/>
            </w:tcBorders>
            <w:hideMark/>
          </w:tcPr>
          <w:p w14:paraId="7647A7D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Kirkby Cross &amp; Portland</w:t>
            </w:r>
          </w:p>
        </w:tc>
      </w:tr>
      <w:tr w:rsidR="000663FF" w:rsidRPr="000663FF" w14:paraId="264E9273"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31B9288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EV4wgt</w:t>
            </w:r>
          </w:p>
        </w:tc>
        <w:tc>
          <w:tcPr>
            <w:tcW w:w="2388" w:type="dxa"/>
            <w:tcBorders>
              <w:top w:val="single" w:sz="4" w:space="0" w:color="auto"/>
              <w:left w:val="nil"/>
              <w:bottom w:val="single" w:sz="4" w:space="0" w:color="auto"/>
              <w:right w:val="single" w:sz="4" w:space="0" w:color="auto"/>
            </w:tcBorders>
            <w:hideMark/>
          </w:tcPr>
          <w:p w14:paraId="2754CE9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Stanley Farm Grasslands</w:t>
            </w:r>
          </w:p>
        </w:tc>
        <w:tc>
          <w:tcPr>
            <w:tcW w:w="4395" w:type="dxa"/>
            <w:tcBorders>
              <w:top w:val="single" w:sz="4" w:space="0" w:color="auto"/>
              <w:left w:val="nil"/>
              <w:bottom w:val="single" w:sz="4" w:space="0" w:color="auto"/>
              <w:right w:val="single" w:sz="4" w:space="0" w:color="auto"/>
            </w:tcBorders>
            <w:hideMark/>
          </w:tcPr>
          <w:p w14:paraId="7B852607" w14:textId="57D72D29"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Species-rich Coal Measures grasslands along a tree-lined stream</w:t>
            </w:r>
          </w:p>
        </w:tc>
        <w:tc>
          <w:tcPr>
            <w:tcW w:w="1984" w:type="dxa"/>
            <w:tcBorders>
              <w:top w:val="single" w:sz="4" w:space="0" w:color="auto"/>
              <w:left w:val="nil"/>
              <w:bottom w:val="single" w:sz="4" w:space="0" w:color="auto"/>
              <w:right w:val="single" w:sz="4" w:space="0" w:color="auto"/>
            </w:tcBorders>
            <w:hideMark/>
          </w:tcPr>
          <w:p w14:paraId="3E10D1D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0FC94285"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2F5516D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EV4wgu</w:t>
            </w:r>
          </w:p>
        </w:tc>
        <w:tc>
          <w:tcPr>
            <w:tcW w:w="2388" w:type="dxa"/>
            <w:tcBorders>
              <w:top w:val="nil"/>
              <w:left w:val="nil"/>
              <w:bottom w:val="single" w:sz="4" w:space="0" w:color="auto"/>
              <w:right w:val="single" w:sz="4" w:space="0" w:color="auto"/>
            </w:tcBorders>
            <w:hideMark/>
          </w:tcPr>
          <w:p w14:paraId="6E5A713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Stanley Grange Grassland</w:t>
            </w:r>
          </w:p>
        </w:tc>
        <w:tc>
          <w:tcPr>
            <w:tcW w:w="4395" w:type="dxa"/>
            <w:tcBorders>
              <w:top w:val="nil"/>
              <w:left w:val="nil"/>
              <w:bottom w:val="single" w:sz="4" w:space="0" w:color="auto"/>
              <w:right w:val="single" w:sz="4" w:space="0" w:color="auto"/>
            </w:tcBorders>
            <w:hideMark/>
          </w:tcPr>
          <w:p w14:paraId="1EB5A0B9" w14:textId="74EC5D33"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Species-rich coal-measures grassland</w:t>
            </w:r>
          </w:p>
        </w:tc>
        <w:tc>
          <w:tcPr>
            <w:tcW w:w="1984" w:type="dxa"/>
            <w:tcBorders>
              <w:top w:val="nil"/>
              <w:left w:val="nil"/>
              <w:bottom w:val="single" w:sz="4" w:space="0" w:color="auto"/>
              <w:right w:val="single" w:sz="4" w:space="0" w:color="auto"/>
            </w:tcBorders>
            <w:hideMark/>
          </w:tcPr>
          <w:p w14:paraId="38E3A1F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324A2134"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709AE3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EV4wgv</w:t>
            </w:r>
          </w:p>
        </w:tc>
        <w:tc>
          <w:tcPr>
            <w:tcW w:w="2388" w:type="dxa"/>
            <w:tcBorders>
              <w:top w:val="nil"/>
              <w:left w:val="nil"/>
              <w:bottom w:val="single" w:sz="4" w:space="0" w:color="auto"/>
              <w:right w:val="single" w:sz="4" w:space="0" w:color="auto"/>
            </w:tcBorders>
            <w:hideMark/>
          </w:tcPr>
          <w:p w14:paraId="096DAC9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Stanley Grasslands</w:t>
            </w:r>
          </w:p>
        </w:tc>
        <w:tc>
          <w:tcPr>
            <w:tcW w:w="4395" w:type="dxa"/>
            <w:tcBorders>
              <w:top w:val="nil"/>
              <w:left w:val="nil"/>
              <w:bottom w:val="single" w:sz="4" w:space="0" w:color="auto"/>
              <w:right w:val="single" w:sz="4" w:space="0" w:color="auto"/>
            </w:tcBorders>
            <w:hideMark/>
          </w:tcPr>
          <w:p w14:paraId="4F837F5D" w14:textId="2AC06F88"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unimproved coal measures type grassland</w:t>
            </w:r>
          </w:p>
        </w:tc>
        <w:tc>
          <w:tcPr>
            <w:tcW w:w="1984" w:type="dxa"/>
            <w:tcBorders>
              <w:top w:val="nil"/>
              <w:left w:val="nil"/>
              <w:bottom w:val="single" w:sz="4" w:space="0" w:color="auto"/>
              <w:right w:val="single" w:sz="4" w:space="0" w:color="auto"/>
            </w:tcBorders>
            <w:hideMark/>
          </w:tcPr>
          <w:p w14:paraId="02B9F07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690399FF" w14:textId="77777777" w:rsidTr="00D15A9D">
        <w:trPr>
          <w:trHeight w:val="870"/>
        </w:trPr>
        <w:tc>
          <w:tcPr>
            <w:tcW w:w="1009" w:type="dxa"/>
            <w:tcBorders>
              <w:top w:val="nil"/>
              <w:left w:val="single" w:sz="4" w:space="0" w:color="auto"/>
              <w:bottom w:val="single" w:sz="4" w:space="0" w:color="auto"/>
              <w:right w:val="single" w:sz="4" w:space="0" w:color="auto"/>
            </w:tcBorders>
            <w:hideMark/>
          </w:tcPr>
          <w:p w14:paraId="60E88EE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EV4wgw</w:t>
            </w:r>
          </w:p>
        </w:tc>
        <w:tc>
          <w:tcPr>
            <w:tcW w:w="2388" w:type="dxa"/>
            <w:tcBorders>
              <w:top w:val="nil"/>
              <w:left w:val="nil"/>
              <w:bottom w:val="single" w:sz="4" w:space="0" w:color="auto"/>
              <w:right w:val="single" w:sz="4" w:space="0" w:color="auto"/>
            </w:tcBorders>
            <w:hideMark/>
          </w:tcPr>
          <w:p w14:paraId="54BFEC1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Colliery Dismantled Railway Line</w:t>
            </w:r>
          </w:p>
        </w:tc>
        <w:tc>
          <w:tcPr>
            <w:tcW w:w="4395" w:type="dxa"/>
            <w:tcBorders>
              <w:top w:val="nil"/>
              <w:left w:val="nil"/>
              <w:bottom w:val="single" w:sz="4" w:space="0" w:color="auto"/>
              <w:right w:val="single" w:sz="4" w:space="0" w:color="auto"/>
            </w:tcBorders>
            <w:hideMark/>
          </w:tcPr>
          <w:p w14:paraId="61D03D70" w14:textId="33836D94"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mosaic of scrub, relict grassland and track-bed flora along a dismantled railway line</w:t>
            </w:r>
          </w:p>
        </w:tc>
        <w:tc>
          <w:tcPr>
            <w:tcW w:w="1984" w:type="dxa"/>
            <w:tcBorders>
              <w:top w:val="nil"/>
              <w:left w:val="nil"/>
              <w:bottom w:val="single" w:sz="4" w:space="0" w:color="auto"/>
              <w:right w:val="single" w:sz="4" w:space="0" w:color="auto"/>
            </w:tcBorders>
            <w:hideMark/>
          </w:tcPr>
          <w:p w14:paraId="0CD1D5C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10EB6D98" w14:textId="77777777" w:rsidTr="00D15A9D">
        <w:trPr>
          <w:trHeight w:val="580"/>
        </w:trPr>
        <w:tc>
          <w:tcPr>
            <w:tcW w:w="1009" w:type="dxa"/>
            <w:tcBorders>
              <w:top w:val="single" w:sz="4" w:space="0" w:color="auto"/>
              <w:left w:val="single" w:sz="4" w:space="0" w:color="auto"/>
              <w:bottom w:val="single" w:sz="4" w:space="0" w:color="auto"/>
              <w:right w:val="single" w:sz="4" w:space="0" w:color="auto"/>
            </w:tcBorders>
            <w:hideMark/>
          </w:tcPr>
          <w:p w14:paraId="4A37AFE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EV4wgx</w:t>
            </w:r>
          </w:p>
        </w:tc>
        <w:tc>
          <w:tcPr>
            <w:tcW w:w="2388" w:type="dxa"/>
            <w:tcBorders>
              <w:top w:val="single" w:sz="4" w:space="0" w:color="auto"/>
              <w:left w:val="nil"/>
              <w:bottom w:val="single" w:sz="4" w:space="0" w:color="auto"/>
              <w:right w:val="single" w:sz="4" w:space="0" w:color="auto"/>
            </w:tcBorders>
            <w:hideMark/>
          </w:tcPr>
          <w:p w14:paraId="55639904" w14:textId="178E4607" w:rsidR="00FA2CC6" w:rsidRPr="000663FF" w:rsidRDefault="00FA2CC6" w:rsidP="00FA2CC6">
            <w:pPr>
              <w:keepNext w:val="0"/>
              <w:spacing w:before="0"/>
              <w:rPr>
                <w:rFonts w:ascii="Calibri" w:hAnsi="Calibri" w:cs="Calibri"/>
                <w:color w:val="auto"/>
                <w:sz w:val="22"/>
                <w:szCs w:val="22"/>
              </w:rPr>
            </w:pPr>
            <w:r w:rsidRPr="002F678F">
              <w:rPr>
                <w:rFonts w:ascii="Calibri" w:hAnsi="Calibri" w:cs="Calibri"/>
                <w:strike/>
                <w:color w:val="auto"/>
                <w:sz w:val="22"/>
                <w:szCs w:val="22"/>
              </w:rPr>
              <w:t>Stanton Hill Colliery Spoil</w:t>
            </w:r>
            <w:r w:rsidR="002F678F">
              <w:rPr>
                <w:rFonts w:ascii="Calibri" w:hAnsi="Calibri" w:cs="Calibri"/>
                <w:color w:val="auto"/>
                <w:sz w:val="22"/>
                <w:szCs w:val="22"/>
              </w:rPr>
              <w:t xml:space="preserve"> </w:t>
            </w:r>
            <w:r w:rsidR="002F678F" w:rsidRPr="002F678F">
              <w:rPr>
                <w:rFonts w:ascii="Calibri" w:hAnsi="Calibri" w:cs="Calibri"/>
                <w:color w:val="0070C0"/>
                <w:sz w:val="22"/>
                <w:szCs w:val="22"/>
              </w:rPr>
              <w:t>Stanton Hill Relict Grassland</w:t>
            </w:r>
          </w:p>
        </w:tc>
        <w:tc>
          <w:tcPr>
            <w:tcW w:w="4395" w:type="dxa"/>
            <w:tcBorders>
              <w:top w:val="single" w:sz="4" w:space="0" w:color="auto"/>
              <w:left w:val="nil"/>
              <w:bottom w:val="single" w:sz="4" w:space="0" w:color="auto"/>
              <w:right w:val="single" w:sz="4" w:space="0" w:color="auto"/>
            </w:tcBorders>
            <w:hideMark/>
          </w:tcPr>
          <w:p w14:paraId="68F20A77" w14:textId="5AC06F24" w:rsidR="00FA2CC6" w:rsidRPr="00D92FCA"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986644">
              <w:rPr>
                <w:rFonts w:ascii="Calibri" w:hAnsi="Calibri" w:cs="Calibri"/>
                <w:strike/>
                <w:color w:val="auto"/>
                <w:sz w:val="22"/>
                <w:szCs w:val="22"/>
              </w:rPr>
              <w:t>Colliery spoil with a collection of rare and notable species</w:t>
            </w:r>
            <w:r w:rsidR="00D92FCA">
              <w:rPr>
                <w:rFonts w:ascii="Calibri" w:hAnsi="Calibri" w:cs="Calibri"/>
                <w:color w:val="auto"/>
                <w:sz w:val="22"/>
                <w:szCs w:val="22"/>
              </w:rPr>
              <w:t xml:space="preserve"> </w:t>
            </w:r>
            <w:proofErr w:type="gramStart"/>
            <w:r w:rsidR="00D92FCA" w:rsidRPr="00D92FCA">
              <w:rPr>
                <w:rFonts w:ascii="Calibri" w:hAnsi="Calibri" w:cs="Calibri"/>
                <w:color w:val="0070C0"/>
                <w:sz w:val="22"/>
                <w:szCs w:val="22"/>
              </w:rPr>
              <w:t>An</w:t>
            </w:r>
            <w:proofErr w:type="gramEnd"/>
            <w:r w:rsidR="00D92FCA" w:rsidRPr="00D92FCA">
              <w:rPr>
                <w:rFonts w:ascii="Calibri" w:hAnsi="Calibri" w:cs="Calibri"/>
                <w:color w:val="0070C0"/>
                <w:sz w:val="22"/>
                <w:szCs w:val="22"/>
              </w:rPr>
              <w:t xml:space="preserve"> unimproved calcareous grassland with a noteworthy flora</w:t>
            </w:r>
          </w:p>
        </w:tc>
        <w:tc>
          <w:tcPr>
            <w:tcW w:w="1984" w:type="dxa"/>
            <w:tcBorders>
              <w:top w:val="single" w:sz="4" w:space="0" w:color="auto"/>
              <w:left w:val="nil"/>
              <w:bottom w:val="single" w:sz="4" w:space="0" w:color="auto"/>
              <w:right w:val="single" w:sz="4" w:space="0" w:color="auto"/>
            </w:tcBorders>
            <w:hideMark/>
          </w:tcPr>
          <w:p w14:paraId="2888532B"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Carsic</w:t>
            </w:r>
            <w:proofErr w:type="spellEnd"/>
          </w:p>
        </w:tc>
      </w:tr>
      <w:tr w:rsidR="000663FF" w:rsidRPr="000663FF" w14:paraId="4FA09754" w14:textId="77777777" w:rsidTr="00D15A9D">
        <w:trPr>
          <w:trHeight w:val="580"/>
        </w:trPr>
        <w:tc>
          <w:tcPr>
            <w:tcW w:w="1009" w:type="dxa"/>
            <w:tcBorders>
              <w:top w:val="single" w:sz="4" w:space="0" w:color="auto"/>
              <w:left w:val="single" w:sz="4" w:space="0" w:color="auto"/>
              <w:bottom w:val="single" w:sz="4" w:space="0" w:color="auto"/>
              <w:right w:val="single" w:sz="4" w:space="0" w:color="auto"/>
            </w:tcBorders>
            <w:hideMark/>
          </w:tcPr>
          <w:p w14:paraId="32D812F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EV4wgy</w:t>
            </w:r>
          </w:p>
        </w:tc>
        <w:tc>
          <w:tcPr>
            <w:tcW w:w="2388" w:type="dxa"/>
            <w:tcBorders>
              <w:top w:val="single" w:sz="4" w:space="0" w:color="auto"/>
              <w:left w:val="nil"/>
              <w:bottom w:val="single" w:sz="4" w:space="0" w:color="auto"/>
              <w:right w:val="single" w:sz="4" w:space="0" w:color="auto"/>
            </w:tcBorders>
            <w:hideMark/>
          </w:tcPr>
          <w:p w14:paraId="265BA6A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EV4whGrasslands</w:t>
            </w:r>
          </w:p>
        </w:tc>
        <w:tc>
          <w:tcPr>
            <w:tcW w:w="4395" w:type="dxa"/>
            <w:tcBorders>
              <w:top w:val="single" w:sz="4" w:space="0" w:color="auto"/>
              <w:left w:val="nil"/>
              <w:bottom w:val="single" w:sz="4" w:space="0" w:color="auto"/>
              <w:right w:val="single" w:sz="4" w:space="0" w:color="auto"/>
            </w:tcBorders>
            <w:hideMark/>
          </w:tcPr>
          <w:p w14:paraId="25144ABA" w14:textId="74386702" w:rsidR="00FA2CC6" w:rsidRPr="000663FF" w:rsidRDefault="00D15A9D"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 xml:space="preserve">Grasslands with </w:t>
            </w:r>
            <w:proofErr w:type="gramStart"/>
            <w:r w:rsidR="00FA2CC6" w:rsidRPr="000663FF">
              <w:rPr>
                <w:rFonts w:ascii="Calibri" w:hAnsi="Calibri" w:cs="Calibri"/>
                <w:color w:val="auto"/>
                <w:sz w:val="22"/>
                <w:szCs w:val="22"/>
              </w:rPr>
              <w:t>a number of</w:t>
            </w:r>
            <w:proofErr w:type="gramEnd"/>
            <w:r w:rsidR="00FA2CC6" w:rsidRPr="000663FF">
              <w:rPr>
                <w:rFonts w:ascii="Calibri" w:hAnsi="Calibri" w:cs="Calibri"/>
                <w:color w:val="auto"/>
                <w:sz w:val="22"/>
                <w:szCs w:val="22"/>
              </w:rPr>
              <w:t xml:space="preserve"> notable species</w:t>
            </w:r>
          </w:p>
        </w:tc>
        <w:tc>
          <w:tcPr>
            <w:tcW w:w="1984" w:type="dxa"/>
            <w:tcBorders>
              <w:top w:val="single" w:sz="4" w:space="0" w:color="auto"/>
              <w:left w:val="nil"/>
              <w:bottom w:val="single" w:sz="4" w:space="0" w:color="auto"/>
              <w:right w:val="single" w:sz="4" w:space="0" w:color="auto"/>
            </w:tcBorders>
            <w:hideMark/>
          </w:tcPr>
          <w:p w14:paraId="16838C0D"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The Dales</w:t>
            </w:r>
          </w:p>
        </w:tc>
      </w:tr>
      <w:tr w:rsidR="000663FF" w:rsidRPr="000663FF" w14:paraId="26E76594" w14:textId="77777777" w:rsidTr="00D15A9D">
        <w:trPr>
          <w:trHeight w:val="618"/>
        </w:trPr>
        <w:tc>
          <w:tcPr>
            <w:tcW w:w="1009" w:type="dxa"/>
            <w:tcBorders>
              <w:top w:val="single" w:sz="4" w:space="0" w:color="auto"/>
              <w:left w:val="single" w:sz="4" w:space="0" w:color="auto"/>
              <w:bottom w:val="single" w:sz="4" w:space="0" w:color="auto"/>
              <w:right w:val="single" w:sz="4" w:space="0" w:color="auto"/>
            </w:tcBorders>
            <w:hideMark/>
          </w:tcPr>
          <w:p w14:paraId="5EDA4BB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EV4wgz</w:t>
            </w:r>
          </w:p>
        </w:tc>
        <w:tc>
          <w:tcPr>
            <w:tcW w:w="2388" w:type="dxa"/>
            <w:tcBorders>
              <w:top w:val="single" w:sz="4" w:space="0" w:color="auto"/>
              <w:left w:val="nil"/>
              <w:bottom w:val="single" w:sz="4" w:space="0" w:color="auto"/>
              <w:right w:val="single" w:sz="4" w:space="0" w:color="auto"/>
            </w:tcBorders>
            <w:hideMark/>
          </w:tcPr>
          <w:p w14:paraId="7798131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Grassland I</w:t>
            </w:r>
          </w:p>
        </w:tc>
        <w:tc>
          <w:tcPr>
            <w:tcW w:w="4395" w:type="dxa"/>
            <w:tcBorders>
              <w:top w:val="single" w:sz="4" w:space="0" w:color="auto"/>
              <w:left w:val="nil"/>
              <w:bottom w:val="single" w:sz="4" w:space="0" w:color="auto"/>
              <w:right w:val="single" w:sz="4" w:space="0" w:color="auto"/>
            </w:tcBorders>
            <w:hideMark/>
          </w:tcPr>
          <w:p w14:paraId="2020F7C7" w14:textId="4AB7F17C"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Damp and wet neutral grassland with notable herbs characteristic of inundation communities</w:t>
            </w:r>
          </w:p>
        </w:tc>
        <w:tc>
          <w:tcPr>
            <w:tcW w:w="1984" w:type="dxa"/>
            <w:tcBorders>
              <w:top w:val="single" w:sz="4" w:space="0" w:color="auto"/>
              <w:left w:val="nil"/>
              <w:bottom w:val="single" w:sz="4" w:space="0" w:color="auto"/>
              <w:right w:val="single" w:sz="4" w:space="0" w:color="auto"/>
            </w:tcBorders>
            <w:hideMark/>
          </w:tcPr>
          <w:p w14:paraId="2BCE5D8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4910A6CC" w14:textId="77777777" w:rsidTr="000663FF">
        <w:trPr>
          <w:trHeight w:val="580"/>
        </w:trPr>
        <w:tc>
          <w:tcPr>
            <w:tcW w:w="1009" w:type="dxa"/>
            <w:tcBorders>
              <w:top w:val="nil"/>
              <w:left w:val="single" w:sz="4" w:space="0" w:color="auto"/>
              <w:bottom w:val="single" w:sz="4" w:space="0" w:color="auto"/>
              <w:right w:val="single" w:sz="4" w:space="0" w:color="auto"/>
            </w:tcBorders>
            <w:hideMark/>
          </w:tcPr>
          <w:p w14:paraId="1630AE9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w:t>
            </w:r>
          </w:p>
        </w:tc>
        <w:tc>
          <w:tcPr>
            <w:tcW w:w="2388" w:type="dxa"/>
            <w:tcBorders>
              <w:top w:val="nil"/>
              <w:left w:val="nil"/>
              <w:bottom w:val="single" w:sz="4" w:space="0" w:color="auto"/>
              <w:right w:val="single" w:sz="4" w:space="0" w:color="auto"/>
            </w:tcBorders>
            <w:hideMark/>
          </w:tcPr>
          <w:p w14:paraId="64A5B54F"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Relict Grassland</w:t>
            </w:r>
          </w:p>
        </w:tc>
        <w:tc>
          <w:tcPr>
            <w:tcW w:w="4395" w:type="dxa"/>
            <w:tcBorders>
              <w:top w:val="nil"/>
              <w:left w:val="nil"/>
              <w:bottom w:val="single" w:sz="4" w:space="0" w:color="auto"/>
              <w:right w:val="single" w:sz="4" w:space="0" w:color="auto"/>
            </w:tcBorders>
            <w:hideMark/>
          </w:tcPr>
          <w:p w14:paraId="44298039" w14:textId="2122FEBE"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unimproved calcareous grassland with a noteworthy flora</w:t>
            </w:r>
          </w:p>
        </w:tc>
        <w:tc>
          <w:tcPr>
            <w:tcW w:w="1984" w:type="dxa"/>
            <w:tcBorders>
              <w:top w:val="nil"/>
              <w:left w:val="nil"/>
              <w:bottom w:val="single" w:sz="4" w:space="0" w:color="auto"/>
              <w:right w:val="single" w:sz="4" w:space="0" w:color="auto"/>
            </w:tcBorders>
            <w:hideMark/>
          </w:tcPr>
          <w:p w14:paraId="0728F376"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Carsic</w:t>
            </w:r>
            <w:proofErr w:type="spellEnd"/>
          </w:p>
        </w:tc>
      </w:tr>
      <w:tr w:rsidR="000663FF" w:rsidRPr="000663FF" w14:paraId="12663866" w14:textId="77777777" w:rsidTr="000663FF">
        <w:trPr>
          <w:trHeight w:val="396"/>
        </w:trPr>
        <w:tc>
          <w:tcPr>
            <w:tcW w:w="1009" w:type="dxa"/>
            <w:tcBorders>
              <w:top w:val="single" w:sz="4" w:space="0" w:color="auto"/>
              <w:left w:val="single" w:sz="4" w:space="0" w:color="auto"/>
              <w:bottom w:val="single" w:sz="4" w:space="0" w:color="auto"/>
              <w:right w:val="single" w:sz="4" w:space="0" w:color="auto"/>
            </w:tcBorders>
            <w:hideMark/>
          </w:tcPr>
          <w:p w14:paraId="1EDBAB0A" w14:textId="77777777" w:rsidR="00FA2CC6" w:rsidRPr="005942FA" w:rsidRDefault="00FA2CC6" w:rsidP="00FA2CC6">
            <w:pPr>
              <w:keepNext w:val="0"/>
              <w:spacing w:before="0"/>
              <w:rPr>
                <w:rFonts w:ascii="Calibri" w:hAnsi="Calibri" w:cs="Calibri"/>
                <w:strike/>
                <w:color w:val="auto"/>
                <w:sz w:val="22"/>
                <w:szCs w:val="22"/>
              </w:rPr>
            </w:pPr>
            <w:r w:rsidRPr="005942FA">
              <w:rPr>
                <w:rFonts w:ascii="Calibri" w:hAnsi="Calibri" w:cs="Calibri"/>
                <w:strike/>
                <w:color w:val="auto"/>
                <w:sz w:val="22"/>
                <w:szCs w:val="22"/>
              </w:rPr>
              <w:lastRenderedPageBreak/>
              <w:t>EV4wha</w:t>
            </w:r>
          </w:p>
        </w:tc>
        <w:tc>
          <w:tcPr>
            <w:tcW w:w="2388" w:type="dxa"/>
            <w:tcBorders>
              <w:top w:val="single" w:sz="4" w:space="0" w:color="auto"/>
              <w:left w:val="nil"/>
              <w:bottom w:val="single" w:sz="4" w:space="0" w:color="auto"/>
              <w:right w:val="single" w:sz="4" w:space="0" w:color="auto"/>
            </w:tcBorders>
            <w:hideMark/>
          </w:tcPr>
          <w:p w14:paraId="6C3D6AAF" w14:textId="77777777" w:rsidR="00FA2CC6" w:rsidRPr="005942FA" w:rsidRDefault="00FA2CC6" w:rsidP="00FA2CC6">
            <w:pPr>
              <w:keepNext w:val="0"/>
              <w:spacing w:before="0"/>
              <w:rPr>
                <w:rFonts w:ascii="Calibri" w:hAnsi="Calibri" w:cs="Calibri"/>
                <w:strike/>
                <w:color w:val="auto"/>
                <w:sz w:val="22"/>
                <w:szCs w:val="22"/>
              </w:rPr>
            </w:pPr>
            <w:proofErr w:type="spellStart"/>
            <w:r w:rsidRPr="005942FA">
              <w:rPr>
                <w:rFonts w:ascii="Calibri" w:hAnsi="Calibri" w:cs="Calibri"/>
                <w:strike/>
                <w:color w:val="auto"/>
                <w:sz w:val="22"/>
                <w:szCs w:val="22"/>
              </w:rPr>
              <w:t>Starth</w:t>
            </w:r>
            <w:proofErr w:type="spellEnd"/>
            <w:r w:rsidRPr="005942FA">
              <w:rPr>
                <w:rFonts w:ascii="Calibri" w:hAnsi="Calibri" w:cs="Calibri"/>
                <w:strike/>
                <w:color w:val="auto"/>
                <w:sz w:val="22"/>
                <w:szCs w:val="22"/>
              </w:rPr>
              <w:t xml:space="preserve"> Wood</w:t>
            </w:r>
          </w:p>
        </w:tc>
        <w:tc>
          <w:tcPr>
            <w:tcW w:w="4395" w:type="dxa"/>
            <w:tcBorders>
              <w:top w:val="single" w:sz="4" w:space="0" w:color="auto"/>
              <w:left w:val="nil"/>
              <w:bottom w:val="single" w:sz="4" w:space="0" w:color="auto"/>
              <w:right w:val="single" w:sz="4" w:space="0" w:color="auto"/>
            </w:tcBorders>
            <w:hideMark/>
          </w:tcPr>
          <w:p w14:paraId="0B32A36E" w14:textId="56937186" w:rsidR="00FA2CC6" w:rsidRPr="005942FA" w:rsidRDefault="00F57CF6" w:rsidP="00FA2CC6">
            <w:pPr>
              <w:keepNext w:val="0"/>
              <w:spacing w:before="0"/>
              <w:rPr>
                <w:rFonts w:ascii="Calibri" w:hAnsi="Calibri" w:cs="Calibri"/>
                <w:strike/>
                <w:color w:val="auto"/>
                <w:sz w:val="22"/>
                <w:szCs w:val="22"/>
              </w:rPr>
            </w:pPr>
            <w:r w:rsidRPr="005942FA">
              <w:rPr>
                <w:rFonts w:ascii="Calibri" w:hAnsi="Calibri" w:cs="Calibri"/>
                <w:strike/>
                <w:color w:val="auto"/>
                <w:sz w:val="22"/>
                <w:szCs w:val="22"/>
              </w:rPr>
              <w:t xml:space="preserve">LWS - </w:t>
            </w:r>
            <w:r w:rsidR="00FA2CC6" w:rsidRPr="005942FA">
              <w:rPr>
                <w:rFonts w:ascii="Calibri" w:hAnsi="Calibri" w:cs="Calibri"/>
                <w:strike/>
                <w:color w:val="auto"/>
                <w:sz w:val="22"/>
                <w:szCs w:val="22"/>
              </w:rPr>
              <w:t>Species-rich deciduous coppice with standards</w:t>
            </w:r>
          </w:p>
        </w:tc>
        <w:tc>
          <w:tcPr>
            <w:tcW w:w="1984" w:type="dxa"/>
            <w:tcBorders>
              <w:top w:val="single" w:sz="4" w:space="0" w:color="auto"/>
              <w:left w:val="nil"/>
              <w:bottom w:val="single" w:sz="4" w:space="0" w:color="auto"/>
              <w:right w:val="single" w:sz="4" w:space="0" w:color="auto"/>
            </w:tcBorders>
            <w:hideMark/>
          </w:tcPr>
          <w:p w14:paraId="30B45D26" w14:textId="77777777" w:rsidR="00FA2CC6" w:rsidRPr="005942FA" w:rsidRDefault="00FA2CC6" w:rsidP="00FA2CC6">
            <w:pPr>
              <w:keepNext w:val="0"/>
              <w:spacing w:before="0"/>
              <w:rPr>
                <w:rFonts w:ascii="Calibri" w:hAnsi="Calibri" w:cs="Calibri"/>
                <w:strike/>
                <w:color w:val="auto"/>
                <w:sz w:val="22"/>
                <w:szCs w:val="22"/>
              </w:rPr>
            </w:pPr>
            <w:r w:rsidRPr="005942FA">
              <w:rPr>
                <w:rFonts w:ascii="Calibri" w:hAnsi="Calibri" w:cs="Calibri"/>
                <w:strike/>
                <w:color w:val="auto"/>
                <w:sz w:val="22"/>
                <w:szCs w:val="22"/>
              </w:rPr>
              <w:t>Hucknall West</w:t>
            </w:r>
          </w:p>
        </w:tc>
      </w:tr>
      <w:tr w:rsidR="000663FF" w:rsidRPr="000663FF" w14:paraId="5ACEF607" w14:textId="77777777" w:rsidTr="000663FF">
        <w:trPr>
          <w:trHeight w:val="290"/>
        </w:trPr>
        <w:tc>
          <w:tcPr>
            <w:tcW w:w="1009" w:type="dxa"/>
            <w:tcBorders>
              <w:top w:val="single" w:sz="4" w:space="0" w:color="auto"/>
              <w:left w:val="single" w:sz="4" w:space="0" w:color="auto"/>
              <w:bottom w:val="single" w:sz="4" w:space="0" w:color="auto"/>
              <w:right w:val="single" w:sz="4" w:space="0" w:color="auto"/>
            </w:tcBorders>
            <w:hideMark/>
          </w:tcPr>
          <w:p w14:paraId="768E605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EV4whb</w:t>
            </w:r>
          </w:p>
        </w:tc>
        <w:tc>
          <w:tcPr>
            <w:tcW w:w="2388" w:type="dxa"/>
            <w:tcBorders>
              <w:top w:val="single" w:sz="4" w:space="0" w:color="auto"/>
              <w:left w:val="nil"/>
              <w:bottom w:val="single" w:sz="4" w:space="0" w:color="auto"/>
              <w:right w:val="single" w:sz="4" w:space="0" w:color="auto"/>
            </w:tcBorders>
            <w:hideMark/>
          </w:tcPr>
          <w:p w14:paraId="4F13E2A5"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Strawberry Bank Meadow</w:t>
            </w:r>
          </w:p>
        </w:tc>
        <w:tc>
          <w:tcPr>
            <w:tcW w:w="4395" w:type="dxa"/>
            <w:tcBorders>
              <w:top w:val="single" w:sz="4" w:space="0" w:color="auto"/>
              <w:left w:val="nil"/>
              <w:bottom w:val="single" w:sz="4" w:space="0" w:color="auto"/>
              <w:right w:val="single" w:sz="4" w:space="0" w:color="auto"/>
            </w:tcBorders>
            <w:hideMark/>
          </w:tcPr>
          <w:p w14:paraId="48EAAE61" w14:textId="71770BDA"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hay meadow</w:t>
            </w:r>
          </w:p>
        </w:tc>
        <w:tc>
          <w:tcPr>
            <w:tcW w:w="1984" w:type="dxa"/>
            <w:tcBorders>
              <w:top w:val="single" w:sz="4" w:space="0" w:color="auto"/>
              <w:left w:val="nil"/>
              <w:bottom w:val="single" w:sz="4" w:space="0" w:color="auto"/>
              <w:right w:val="single" w:sz="4" w:space="0" w:color="auto"/>
            </w:tcBorders>
            <w:hideMark/>
          </w:tcPr>
          <w:p w14:paraId="6E30A24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0BEF6592"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50C1623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EV4whc</w:t>
            </w:r>
          </w:p>
        </w:tc>
        <w:tc>
          <w:tcPr>
            <w:tcW w:w="2388" w:type="dxa"/>
            <w:tcBorders>
              <w:top w:val="single" w:sz="4" w:space="0" w:color="auto"/>
              <w:left w:val="single" w:sz="4" w:space="0" w:color="auto"/>
              <w:bottom w:val="single" w:sz="4" w:space="0" w:color="auto"/>
              <w:right w:val="single" w:sz="4" w:space="0" w:color="auto"/>
            </w:tcBorders>
            <w:hideMark/>
          </w:tcPr>
          <w:p w14:paraId="25E141CE" w14:textId="77777777" w:rsidR="00FA2CC6" w:rsidRPr="000663FF" w:rsidRDefault="00FA2CC6"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Stubbinghill</w:t>
            </w:r>
            <w:proofErr w:type="spellEnd"/>
            <w:r w:rsidRPr="000663FF">
              <w:rPr>
                <w:rFonts w:ascii="Calibri" w:hAnsi="Calibri" w:cs="Calibri"/>
                <w:color w:val="auto"/>
                <w:sz w:val="22"/>
                <w:szCs w:val="22"/>
              </w:rPr>
              <w:t xml:space="preserve"> Farm Meadow</w:t>
            </w:r>
          </w:p>
        </w:tc>
        <w:tc>
          <w:tcPr>
            <w:tcW w:w="4395" w:type="dxa"/>
            <w:tcBorders>
              <w:top w:val="single" w:sz="4" w:space="0" w:color="auto"/>
              <w:left w:val="single" w:sz="4" w:space="0" w:color="auto"/>
              <w:bottom w:val="single" w:sz="4" w:space="0" w:color="auto"/>
              <w:right w:val="single" w:sz="4" w:space="0" w:color="auto"/>
            </w:tcBorders>
            <w:hideMark/>
          </w:tcPr>
          <w:p w14:paraId="4DA6384D" w14:textId="7F0E92CB"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meadow with a particularly valuable sloping portion</w:t>
            </w:r>
          </w:p>
        </w:tc>
        <w:tc>
          <w:tcPr>
            <w:tcW w:w="1984" w:type="dxa"/>
            <w:tcBorders>
              <w:top w:val="single" w:sz="4" w:space="0" w:color="auto"/>
              <w:left w:val="single" w:sz="4" w:space="0" w:color="auto"/>
              <w:bottom w:val="single" w:sz="4" w:space="0" w:color="auto"/>
              <w:right w:val="single" w:sz="4" w:space="0" w:color="auto"/>
            </w:tcBorders>
            <w:hideMark/>
          </w:tcPr>
          <w:p w14:paraId="7CCAD23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2F25A51C" w14:textId="77777777" w:rsidTr="007D1949">
        <w:trPr>
          <w:trHeight w:val="580"/>
        </w:trPr>
        <w:tc>
          <w:tcPr>
            <w:tcW w:w="1009" w:type="dxa"/>
            <w:tcBorders>
              <w:top w:val="single" w:sz="4" w:space="0" w:color="auto"/>
              <w:left w:val="single" w:sz="4" w:space="0" w:color="auto"/>
              <w:bottom w:val="single" w:sz="4" w:space="0" w:color="auto"/>
              <w:right w:val="single" w:sz="4" w:space="0" w:color="auto"/>
            </w:tcBorders>
            <w:hideMark/>
          </w:tcPr>
          <w:p w14:paraId="7A18409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EV4whd</w:t>
            </w:r>
          </w:p>
        </w:tc>
        <w:tc>
          <w:tcPr>
            <w:tcW w:w="2388" w:type="dxa"/>
            <w:tcBorders>
              <w:top w:val="single" w:sz="4" w:space="0" w:color="auto"/>
              <w:left w:val="nil"/>
              <w:bottom w:val="single" w:sz="4" w:space="0" w:color="auto"/>
              <w:right w:val="single" w:sz="4" w:space="0" w:color="auto"/>
            </w:tcBorders>
            <w:hideMark/>
          </w:tcPr>
          <w:p w14:paraId="0F71F32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Sunnyside Farm Meadows</w:t>
            </w:r>
          </w:p>
        </w:tc>
        <w:tc>
          <w:tcPr>
            <w:tcW w:w="4395" w:type="dxa"/>
            <w:tcBorders>
              <w:top w:val="single" w:sz="4" w:space="0" w:color="auto"/>
              <w:left w:val="nil"/>
              <w:bottom w:val="single" w:sz="4" w:space="0" w:color="auto"/>
              <w:right w:val="single" w:sz="4" w:space="0" w:color="auto"/>
            </w:tcBorders>
            <w:hideMark/>
          </w:tcPr>
          <w:p w14:paraId="218A48BC" w14:textId="56250426"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fine sequence of variously wet and dry grasslands</w:t>
            </w:r>
          </w:p>
        </w:tc>
        <w:tc>
          <w:tcPr>
            <w:tcW w:w="1984" w:type="dxa"/>
            <w:tcBorders>
              <w:top w:val="single" w:sz="4" w:space="0" w:color="auto"/>
              <w:left w:val="nil"/>
              <w:bottom w:val="single" w:sz="4" w:space="0" w:color="auto"/>
              <w:right w:val="single" w:sz="4" w:space="0" w:color="auto"/>
            </w:tcBorders>
            <w:hideMark/>
          </w:tcPr>
          <w:p w14:paraId="511509C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7A3FEEC0" w14:textId="77777777" w:rsidTr="007D1949">
        <w:trPr>
          <w:trHeight w:val="580"/>
        </w:trPr>
        <w:tc>
          <w:tcPr>
            <w:tcW w:w="1009" w:type="dxa"/>
            <w:tcBorders>
              <w:top w:val="single" w:sz="4" w:space="0" w:color="auto"/>
              <w:left w:val="single" w:sz="4" w:space="0" w:color="auto"/>
              <w:bottom w:val="single" w:sz="4" w:space="0" w:color="auto"/>
              <w:right w:val="single" w:sz="4" w:space="0" w:color="auto"/>
            </w:tcBorders>
            <w:hideMark/>
          </w:tcPr>
          <w:p w14:paraId="523C006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EV4whe</w:t>
            </w:r>
          </w:p>
        </w:tc>
        <w:tc>
          <w:tcPr>
            <w:tcW w:w="2388" w:type="dxa"/>
            <w:tcBorders>
              <w:top w:val="single" w:sz="4" w:space="0" w:color="auto"/>
              <w:left w:val="single" w:sz="4" w:space="0" w:color="auto"/>
              <w:bottom w:val="single" w:sz="4" w:space="0" w:color="auto"/>
              <w:right w:val="single" w:sz="4" w:space="0" w:color="auto"/>
            </w:tcBorders>
            <w:hideMark/>
          </w:tcPr>
          <w:p w14:paraId="62E787F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Sutton-in-Ashfield District Grassland</w:t>
            </w:r>
          </w:p>
        </w:tc>
        <w:tc>
          <w:tcPr>
            <w:tcW w:w="4395" w:type="dxa"/>
            <w:tcBorders>
              <w:top w:val="single" w:sz="4" w:space="0" w:color="auto"/>
              <w:left w:val="single" w:sz="4" w:space="0" w:color="auto"/>
              <w:bottom w:val="single" w:sz="4" w:space="0" w:color="auto"/>
              <w:right w:val="single" w:sz="4" w:space="0" w:color="auto"/>
            </w:tcBorders>
            <w:hideMark/>
          </w:tcPr>
          <w:p w14:paraId="6757084F" w14:textId="651D02DD"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grassland with damp and dry parts</w:t>
            </w:r>
          </w:p>
        </w:tc>
        <w:tc>
          <w:tcPr>
            <w:tcW w:w="1984" w:type="dxa"/>
            <w:tcBorders>
              <w:top w:val="single" w:sz="4" w:space="0" w:color="auto"/>
              <w:left w:val="single" w:sz="4" w:space="0" w:color="auto"/>
              <w:bottom w:val="single" w:sz="4" w:space="0" w:color="auto"/>
              <w:right w:val="single" w:sz="4" w:space="0" w:color="auto"/>
            </w:tcBorders>
            <w:hideMark/>
          </w:tcPr>
          <w:p w14:paraId="10E69DC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Huthwaite &amp; Brierley</w:t>
            </w:r>
          </w:p>
        </w:tc>
      </w:tr>
      <w:tr w:rsidR="000663FF" w:rsidRPr="000663FF" w14:paraId="14656109" w14:textId="77777777" w:rsidTr="007D1949">
        <w:trPr>
          <w:trHeight w:val="580"/>
        </w:trPr>
        <w:tc>
          <w:tcPr>
            <w:tcW w:w="1009" w:type="dxa"/>
            <w:tcBorders>
              <w:top w:val="single" w:sz="4" w:space="0" w:color="auto"/>
              <w:left w:val="single" w:sz="4" w:space="0" w:color="auto"/>
              <w:bottom w:val="single" w:sz="4" w:space="0" w:color="auto"/>
              <w:right w:val="single" w:sz="4" w:space="0" w:color="auto"/>
            </w:tcBorders>
            <w:hideMark/>
          </w:tcPr>
          <w:p w14:paraId="01B72793"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EV4whf</w:t>
            </w:r>
          </w:p>
        </w:tc>
        <w:tc>
          <w:tcPr>
            <w:tcW w:w="2388" w:type="dxa"/>
            <w:tcBorders>
              <w:top w:val="single" w:sz="4" w:space="0" w:color="auto"/>
              <w:left w:val="nil"/>
              <w:bottom w:val="single" w:sz="4" w:space="0" w:color="auto"/>
              <w:right w:val="single" w:sz="4" w:space="0" w:color="auto"/>
            </w:tcBorders>
            <w:hideMark/>
          </w:tcPr>
          <w:p w14:paraId="6A75F490"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Teversal Cemetery</w:t>
            </w:r>
          </w:p>
        </w:tc>
        <w:tc>
          <w:tcPr>
            <w:tcW w:w="4395" w:type="dxa"/>
            <w:tcBorders>
              <w:top w:val="single" w:sz="4" w:space="0" w:color="auto"/>
              <w:left w:val="nil"/>
              <w:bottom w:val="single" w:sz="4" w:space="0" w:color="auto"/>
              <w:right w:val="single" w:sz="4" w:space="0" w:color="auto"/>
            </w:tcBorders>
            <w:hideMark/>
          </w:tcPr>
          <w:p w14:paraId="4A342110" w14:textId="2503C90E"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species-rich calcareous grassland within a cemetery</w:t>
            </w:r>
          </w:p>
        </w:tc>
        <w:tc>
          <w:tcPr>
            <w:tcW w:w="1984" w:type="dxa"/>
            <w:tcBorders>
              <w:top w:val="single" w:sz="4" w:space="0" w:color="auto"/>
              <w:left w:val="nil"/>
              <w:bottom w:val="single" w:sz="4" w:space="0" w:color="auto"/>
              <w:right w:val="single" w:sz="4" w:space="0" w:color="auto"/>
            </w:tcBorders>
            <w:hideMark/>
          </w:tcPr>
          <w:p w14:paraId="4CE5511B"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47618EB9" w14:textId="77777777" w:rsidTr="00DC0D18">
        <w:trPr>
          <w:trHeight w:val="563"/>
        </w:trPr>
        <w:tc>
          <w:tcPr>
            <w:tcW w:w="1009" w:type="dxa"/>
            <w:tcBorders>
              <w:top w:val="nil"/>
              <w:left w:val="single" w:sz="4" w:space="0" w:color="auto"/>
              <w:bottom w:val="single" w:sz="4" w:space="0" w:color="auto"/>
              <w:right w:val="single" w:sz="4" w:space="0" w:color="auto"/>
            </w:tcBorders>
            <w:hideMark/>
          </w:tcPr>
          <w:p w14:paraId="1048632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EV4whg</w:t>
            </w:r>
          </w:p>
        </w:tc>
        <w:tc>
          <w:tcPr>
            <w:tcW w:w="2388" w:type="dxa"/>
            <w:tcBorders>
              <w:top w:val="nil"/>
              <w:left w:val="nil"/>
              <w:bottom w:val="single" w:sz="4" w:space="0" w:color="auto"/>
              <w:right w:val="single" w:sz="4" w:space="0" w:color="auto"/>
            </w:tcBorders>
            <w:hideMark/>
          </w:tcPr>
          <w:p w14:paraId="44106A38"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Teversal Disused Railway</w:t>
            </w:r>
          </w:p>
        </w:tc>
        <w:tc>
          <w:tcPr>
            <w:tcW w:w="4395" w:type="dxa"/>
            <w:tcBorders>
              <w:top w:val="nil"/>
              <w:left w:val="nil"/>
              <w:bottom w:val="single" w:sz="4" w:space="0" w:color="auto"/>
              <w:right w:val="single" w:sz="4" w:space="0" w:color="auto"/>
            </w:tcBorders>
            <w:hideMark/>
          </w:tcPr>
          <w:p w14:paraId="44C7AFC6" w14:textId="0B17672B"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interesting stretch of disused railway with a particularly notable calcicolous community</w:t>
            </w:r>
          </w:p>
        </w:tc>
        <w:tc>
          <w:tcPr>
            <w:tcW w:w="1984" w:type="dxa"/>
            <w:tcBorders>
              <w:top w:val="nil"/>
              <w:left w:val="nil"/>
              <w:bottom w:val="single" w:sz="4" w:space="0" w:color="auto"/>
              <w:right w:val="single" w:sz="4" w:space="0" w:color="auto"/>
            </w:tcBorders>
            <w:hideMark/>
          </w:tcPr>
          <w:p w14:paraId="3BAF1912"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0ABB63FA"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04AD181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EV4whh</w:t>
            </w:r>
          </w:p>
        </w:tc>
        <w:tc>
          <w:tcPr>
            <w:tcW w:w="2388" w:type="dxa"/>
            <w:tcBorders>
              <w:top w:val="nil"/>
              <w:left w:val="nil"/>
              <w:bottom w:val="single" w:sz="4" w:space="0" w:color="auto"/>
              <w:right w:val="single" w:sz="4" w:space="0" w:color="auto"/>
            </w:tcBorders>
            <w:hideMark/>
          </w:tcPr>
          <w:p w14:paraId="7F82E04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Teversal Flush</w:t>
            </w:r>
          </w:p>
        </w:tc>
        <w:tc>
          <w:tcPr>
            <w:tcW w:w="4395" w:type="dxa"/>
            <w:tcBorders>
              <w:top w:val="nil"/>
              <w:left w:val="nil"/>
              <w:bottom w:val="single" w:sz="4" w:space="0" w:color="auto"/>
              <w:right w:val="single" w:sz="4" w:space="0" w:color="auto"/>
            </w:tcBorders>
            <w:hideMark/>
          </w:tcPr>
          <w:p w14:paraId="5AE22801" w14:textId="1BDD90B3"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notable base-rich wet flush community</w:t>
            </w:r>
          </w:p>
        </w:tc>
        <w:tc>
          <w:tcPr>
            <w:tcW w:w="1984" w:type="dxa"/>
            <w:tcBorders>
              <w:top w:val="nil"/>
              <w:left w:val="nil"/>
              <w:bottom w:val="single" w:sz="4" w:space="0" w:color="auto"/>
              <w:right w:val="single" w:sz="4" w:space="0" w:color="auto"/>
            </w:tcBorders>
            <w:hideMark/>
          </w:tcPr>
          <w:p w14:paraId="31259B1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5298BC3F" w14:textId="77777777" w:rsidTr="00DC0D18">
        <w:trPr>
          <w:trHeight w:val="513"/>
        </w:trPr>
        <w:tc>
          <w:tcPr>
            <w:tcW w:w="1009" w:type="dxa"/>
            <w:tcBorders>
              <w:top w:val="nil"/>
              <w:left w:val="single" w:sz="4" w:space="0" w:color="auto"/>
              <w:bottom w:val="single" w:sz="4" w:space="0" w:color="auto"/>
              <w:right w:val="single" w:sz="4" w:space="0" w:color="auto"/>
            </w:tcBorders>
            <w:hideMark/>
          </w:tcPr>
          <w:p w14:paraId="51F71E26"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EV4whi</w:t>
            </w:r>
          </w:p>
        </w:tc>
        <w:tc>
          <w:tcPr>
            <w:tcW w:w="2388" w:type="dxa"/>
            <w:tcBorders>
              <w:top w:val="nil"/>
              <w:left w:val="nil"/>
              <w:bottom w:val="single" w:sz="4" w:space="0" w:color="auto"/>
              <w:right w:val="single" w:sz="4" w:space="0" w:color="auto"/>
            </w:tcBorders>
            <w:hideMark/>
          </w:tcPr>
          <w:p w14:paraId="104C77B7"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Teversal Pastures</w:t>
            </w:r>
          </w:p>
        </w:tc>
        <w:tc>
          <w:tcPr>
            <w:tcW w:w="4395" w:type="dxa"/>
            <w:tcBorders>
              <w:top w:val="nil"/>
              <w:left w:val="nil"/>
              <w:bottom w:val="single" w:sz="4" w:space="0" w:color="auto"/>
              <w:right w:val="single" w:sz="4" w:space="0" w:color="auto"/>
            </w:tcBorders>
            <w:hideMark/>
          </w:tcPr>
          <w:p w14:paraId="60996E23" w14:textId="1E04DFB9"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Excellent neutral grasslands with marsh and wet woodland - of botanical and zoological interest</w:t>
            </w:r>
          </w:p>
        </w:tc>
        <w:tc>
          <w:tcPr>
            <w:tcW w:w="1984" w:type="dxa"/>
            <w:tcBorders>
              <w:top w:val="nil"/>
              <w:left w:val="nil"/>
              <w:bottom w:val="single" w:sz="4" w:space="0" w:color="auto"/>
              <w:right w:val="single" w:sz="4" w:space="0" w:color="auto"/>
            </w:tcBorders>
            <w:hideMark/>
          </w:tcPr>
          <w:p w14:paraId="79231991"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r w:rsidR="000663FF" w:rsidRPr="000663FF" w14:paraId="6764022F" w14:textId="77777777" w:rsidTr="00DC0D18">
        <w:trPr>
          <w:trHeight w:val="625"/>
        </w:trPr>
        <w:tc>
          <w:tcPr>
            <w:tcW w:w="1009" w:type="dxa"/>
            <w:tcBorders>
              <w:top w:val="nil"/>
              <w:left w:val="single" w:sz="4" w:space="0" w:color="auto"/>
              <w:bottom w:val="single" w:sz="4" w:space="0" w:color="auto"/>
              <w:right w:val="single" w:sz="4" w:space="0" w:color="auto"/>
            </w:tcBorders>
            <w:hideMark/>
          </w:tcPr>
          <w:p w14:paraId="487A9E5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EV4whj</w:t>
            </w:r>
          </w:p>
        </w:tc>
        <w:tc>
          <w:tcPr>
            <w:tcW w:w="2388" w:type="dxa"/>
            <w:tcBorders>
              <w:top w:val="nil"/>
              <w:left w:val="nil"/>
              <w:bottom w:val="single" w:sz="4" w:space="0" w:color="auto"/>
              <w:right w:val="single" w:sz="4" w:space="0" w:color="auto"/>
            </w:tcBorders>
            <w:hideMark/>
          </w:tcPr>
          <w:p w14:paraId="231A620E"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Teversal to </w:t>
            </w:r>
            <w:proofErr w:type="spellStart"/>
            <w:r w:rsidRPr="000663FF">
              <w:rPr>
                <w:rFonts w:ascii="Calibri" w:hAnsi="Calibri" w:cs="Calibri"/>
                <w:color w:val="auto"/>
                <w:sz w:val="22"/>
                <w:szCs w:val="22"/>
              </w:rPr>
              <w:t>Pleasley</w:t>
            </w:r>
            <w:proofErr w:type="spellEnd"/>
            <w:r w:rsidRPr="000663FF">
              <w:rPr>
                <w:rFonts w:ascii="Calibri" w:hAnsi="Calibri" w:cs="Calibri"/>
                <w:color w:val="auto"/>
                <w:sz w:val="22"/>
                <w:szCs w:val="22"/>
              </w:rPr>
              <w:t xml:space="preserve"> Railway</w:t>
            </w:r>
          </w:p>
        </w:tc>
        <w:tc>
          <w:tcPr>
            <w:tcW w:w="4395" w:type="dxa"/>
            <w:tcBorders>
              <w:top w:val="nil"/>
              <w:left w:val="nil"/>
              <w:bottom w:val="single" w:sz="4" w:space="0" w:color="auto"/>
              <w:right w:val="single" w:sz="4" w:space="0" w:color="auto"/>
            </w:tcBorders>
            <w:hideMark/>
          </w:tcPr>
          <w:p w14:paraId="463067C3" w14:textId="3C0774A1"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range of habitats, with especially valuable calcareous grassland, along a length of railway</w:t>
            </w:r>
          </w:p>
        </w:tc>
        <w:tc>
          <w:tcPr>
            <w:tcW w:w="1984" w:type="dxa"/>
            <w:tcBorders>
              <w:top w:val="nil"/>
              <w:left w:val="nil"/>
              <w:bottom w:val="single" w:sz="4" w:space="0" w:color="auto"/>
              <w:right w:val="single" w:sz="4" w:space="0" w:color="auto"/>
            </w:tcBorders>
            <w:hideMark/>
          </w:tcPr>
          <w:p w14:paraId="4A0971EA"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0663FF" w:rsidRPr="000663FF" w14:paraId="17FF2E29" w14:textId="77777777" w:rsidTr="00DC0D18">
        <w:trPr>
          <w:trHeight w:val="870"/>
        </w:trPr>
        <w:tc>
          <w:tcPr>
            <w:tcW w:w="1009" w:type="dxa"/>
            <w:tcBorders>
              <w:top w:val="nil"/>
              <w:left w:val="single" w:sz="4" w:space="0" w:color="auto"/>
              <w:bottom w:val="single" w:sz="4" w:space="0" w:color="auto"/>
              <w:right w:val="single" w:sz="4" w:space="0" w:color="auto"/>
            </w:tcBorders>
            <w:hideMark/>
          </w:tcPr>
          <w:p w14:paraId="02B4BFA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EV4whk</w:t>
            </w:r>
          </w:p>
        </w:tc>
        <w:tc>
          <w:tcPr>
            <w:tcW w:w="2388" w:type="dxa"/>
            <w:tcBorders>
              <w:top w:val="nil"/>
              <w:left w:val="nil"/>
              <w:bottom w:val="single" w:sz="4" w:space="0" w:color="auto"/>
              <w:right w:val="single" w:sz="4" w:space="0" w:color="auto"/>
            </w:tcBorders>
            <w:hideMark/>
          </w:tcPr>
          <w:p w14:paraId="6B297029"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Thieves Wood</w:t>
            </w:r>
          </w:p>
        </w:tc>
        <w:tc>
          <w:tcPr>
            <w:tcW w:w="4395" w:type="dxa"/>
            <w:tcBorders>
              <w:top w:val="nil"/>
              <w:left w:val="nil"/>
              <w:bottom w:val="single" w:sz="4" w:space="0" w:color="auto"/>
              <w:right w:val="single" w:sz="4" w:space="0" w:color="auto"/>
            </w:tcBorders>
            <w:hideMark/>
          </w:tcPr>
          <w:p w14:paraId="2FC0D6D3" w14:textId="051215B7"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An extensive coniferous plantation with ancient deciduous portions and an interesting flora and fau</w:t>
            </w:r>
            <w:r w:rsidR="00005C63" w:rsidRPr="000663FF">
              <w:rPr>
                <w:rFonts w:ascii="Calibri" w:hAnsi="Calibri" w:cs="Calibri"/>
                <w:color w:val="auto"/>
                <w:sz w:val="22"/>
                <w:szCs w:val="22"/>
              </w:rPr>
              <w:t>na</w:t>
            </w:r>
          </w:p>
        </w:tc>
        <w:tc>
          <w:tcPr>
            <w:tcW w:w="1984" w:type="dxa"/>
            <w:tcBorders>
              <w:top w:val="nil"/>
              <w:left w:val="nil"/>
              <w:bottom w:val="single" w:sz="4" w:space="0" w:color="auto"/>
              <w:right w:val="single" w:sz="4" w:space="0" w:color="auto"/>
            </w:tcBorders>
            <w:hideMark/>
          </w:tcPr>
          <w:p w14:paraId="13FE25D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0663FF" w:rsidRPr="000663FF" w14:paraId="27641843"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39A8814"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EV4whl</w:t>
            </w:r>
          </w:p>
        </w:tc>
        <w:tc>
          <w:tcPr>
            <w:tcW w:w="2388" w:type="dxa"/>
            <w:tcBorders>
              <w:top w:val="nil"/>
              <w:left w:val="nil"/>
              <w:bottom w:val="single" w:sz="4" w:space="0" w:color="auto"/>
              <w:right w:val="single" w:sz="4" w:space="0" w:color="auto"/>
            </w:tcBorders>
            <w:hideMark/>
          </w:tcPr>
          <w:p w14:paraId="4A632F0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 Football Ground</w:t>
            </w:r>
          </w:p>
        </w:tc>
        <w:tc>
          <w:tcPr>
            <w:tcW w:w="4395" w:type="dxa"/>
            <w:tcBorders>
              <w:top w:val="nil"/>
              <w:left w:val="nil"/>
              <w:bottom w:val="single" w:sz="4" w:space="0" w:color="auto"/>
              <w:right w:val="single" w:sz="4" w:space="0" w:color="auto"/>
            </w:tcBorders>
            <w:hideMark/>
          </w:tcPr>
          <w:p w14:paraId="5A10B9A6" w14:textId="21D7BD10" w:rsidR="00FA2CC6" w:rsidRPr="000663FF" w:rsidRDefault="00F57CF6"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w:t>
            </w:r>
            <w:r w:rsidR="00FA2CC6" w:rsidRPr="000663FF">
              <w:rPr>
                <w:rFonts w:ascii="Calibri" w:hAnsi="Calibri" w:cs="Calibri"/>
                <w:color w:val="auto"/>
                <w:sz w:val="22"/>
                <w:szCs w:val="22"/>
              </w:rPr>
              <w:t>A football pitch flanked by notable damp areas</w:t>
            </w:r>
          </w:p>
        </w:tc>
        <w:tc>
          <w:tcPr>
            <w:tcW w:w="1984" w:type="dxa"/>
            <w:tcBorders>
              <w:top w:val="nil"/>
              <w:left w:val="nil"/>
              <w:bottom w:val="single" w:sz="4" w:space="0" w:color="auto"/>
              <w:right w:val="single" w:sz="4" w:space="0" w:color="auto"/>
            </w:tcBorders>
            <w:hideMark/>
          </w:tcPr>
          <w:p w14:paraId="4EAEEA6C" w14:textId="77777777" w:rsidR="00FA2CC6" w:rsidRPr="000663FF" w:rsidRDefault="00FA2CC6" w:rsidP="00FA2CC6">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0663FF" w:rsidRPr="000663FF" w14:paraId="41C8C0FE" w14:textId="77777777" w:rsidTr="00DC0D18">
        <w:trPr>
          <w:trHeight w:val="290"/>
        </w:trPr>
        <w:tc>
          <w:tcPr>
            <w:tcW w:w="1009" w:type="dxa"/>
            <w:tcBorders>
              <w:top w:val="nil"/>
              <w:left w:val="single" w:sz="4" w:space="0" w:color="auto"/>
              <w:bottom w:val="single" w:sz="4" w:space="0" w:color="auto"/>
              <w:right w:val="single" w:sz="4" w:space="0" w:color="auto"/>
            </w:tcBorders>
          </w:tcPr>
          <w:p w14:paraId="1C884488" w14:textId="475F46A5" w:rsidR="00315937" w:rsidRPr="000663FF" w:rsidRDefault="00315937" w:rsidP="00FA2CC6">
            <w:pPr>
              <w:keepNext w:val="0"/>
              <w:spacing w:before="0"/>
              <w:rPr>
                <w:rFonts w:ascii="Calibri" w:hAnsi="Calibri" w:cs="Calibri"/>
                <w:color w:val="auto"/>
                <w:sz w:val="22"/>
                <w:szCs w:val="22"/>
              </w:rPr>
            </w:pPr>
            <w:r w:rsidRPr="000663FF">
              <w:rPr>
                <w:rFonts w:ascii="Calibri" w:hAnsi="Calibri" w:cs="Calibri"/>
                <w:color w:val="auto"/>
                <w:sz w:val="22"/>
                <w:szCs w:val="22"/>
              </w:rPr>
              <w:t>EV4whm</w:t>
            </w:r>
          </w:p>
        </w:tc>
        <w:tc>
          <w:tcPr>
            <w:tcW w:w="2388" w:type="dxa"/>
            <w:tcBorders>
              <w:top w:val="nil"/>
              <w:left w:val="nil"/>
              <w:bottom w:val="single" w:sz="4" w:space="0" w:color="auto"/>
              <w:right w:val="single" w:sz="4" w:space="0" w:color="auto"/>
            </w:tcBorders>
          </w:tcPr>
          <w:p w14:paraId="32B9DDF0" w14:textId="2DE20B67" w:rsidR="00315937" w:rsidRPr="000663FF" w:rsidRDefault="00315937" w:rsidP="00FA2CC6">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Sheepwash</w:t>
            </w:r>
            <w:proofErr w:type="spellEnd"/>
            <w:r w:rsidRPr="000663FF">
              <w:rPr>
                <w:rFonts w:ascii="Calibri" w:hAnsi="Calibri" w:cs="Calibri"/>
                <w:color w:val="auto"/>
                <w:sz w:val="22"/>
                <w:szCs w:val="22"/>
              </w:rPr>
              <w:t xml:space="preserve"> </w:t>
            </w:r>
            <w:r w:rsidR="000123E5" w:rsidRPr="000663FF">
              <w:rPr>
                <w:rFonts w:ascii="Calibri" w:hAnsi="Calibri" w:cs="Calibri"/>
                <w:color w:val="auto"/>
                <w:sz w:val="22"/>
                <w:szCs w:val="22"/>
              </w:rPr>
              <w:t>Lane</w:t>
            </w:r>
          </w:p>
        </w:tc>
        <w:tc>
          <w:tcPr>
            <w:tcW w:w="4395" w:type="dxa"/>
            <w:tcBorders>
              <w:top w:val="nil"/>
              <w:left w:val="nil"/>
              <w:bottom w:val="single" w:sz="4" w:space="0" w:color="auto"/>
              <w:right w:val="single" w:sz="4" w:space="0" w:color="auto"/>
            </w:tcBorders>
          </w:tcPr>
          <w:p w14:paraId="1F84136F" w14:textId="257119DA" w:rsidR="00315937" w:rsidRPr="000663FF" w:rsidRDefault="00315937" w:rsidP="00FA2CC6">
            <w:pPr>
              <w:keepNext w:val="0"/>
              <w:spacing w:before="0"/>
              <w:rPr>
                <w:rFonts w:ascii="Calibri" w:hAnsi="Calibri" w:cs="Calibri"/>
                <w:color w:val="auto"/>
                <w:sz w:val="22"/>
                <w:szCs w:val="22"/>
              </w:rPr>
            </w:pPr>
            <w:r w:rsidRPr="000663FF">
              <w:rPr>
                <w:rFonts w:ascii="Calibri" w:hAnsi="Calibri" w:cs="Calibri"/>
                <w:color w:val="auto"/>
                <w:sz w:val="22"/>
                <w:szCs w:val="22"/>
              </w:rPr>
              <w:t xml:space="preserve">LGS </w:t>
            </w:r>
            <w:r w:rsidR="000123E5" w:rsidRPr="000663FF">
              <w:rPr>
                <w:rFonts w:ascii="Calibri" w:hAnsi="Calibri" w:cs="Calibri"/>
                <w:color w:val="auto"/>
                <w:sz w:val="22"/>
                <w:szCs w:val="22"/>
              </w:rPr>
              <w:t>–</w:t>
            </w:r>
            <w:r w:rsidRPr="000663FF">
              <w:rPr>
                <w:rFonts w:ascii="Calibri" w:hAnsi="Calibri" w:cs="Calibri"/>
                <w:color w:val="auto"/>
                <w:sz w:val="22"/>
                <w:szCs w:val="22"/>
              </w:rPr>
              <w:t xml:space="preserve"> </w:t>
            </w:r>
            <w:r w:rsidR="00042D67" w:rsidRPr="000663FF">
              <w:rPr>
                <w:rFonts w:ascii="Calibri" w:hAnsi="Calibri" w:cs="Calibri"/>
                <w:color w:val="auto"/>
                <w:sz w:val="22"/>
                <w:szCs w:val="22"/>
              </w:rPr>
              <w:t xml:space="preserve">An old disused quarry and road cutting. The exposure is composed of buff/pink sandy dolostone, parallel bedded and nodular in places.  </w:t>
            </w:r>
          </w:p>
        </w:tc>
        <w:tc>
          <w:tcPr>
            <w:tcW w:w="1984" w:type="dxa"/>
            <w:tcBorders>
              <w:top w:val="nil"/>
              <w:left w:val="nil"/>
              <w:bottom w:val="single" w:sz="4" w:space="0" w:color="auto"/>
              <w:right w:val="single" w:sz="4" w:space="0" w:color="auto"/>
            </w:tcBorders>
          </w:tcPr>
          <w:p w14:paraId="28EA5B99" w14:textId="51F3F577" w:rsidR="00315937" w:rsidRPr="000663FF" w:rsidRDefault="000123E5" w:rsidP="00FA2CC6">
            <w:pPr>
              <w:keepNext w:val="0"/>
              <w:spacing w:before="0"/>
              <w:rPr>
                <w:rFonts w:ascii="Calibri" w:hAnsi="Calibri" w:cs="Calibri"/>
                <w:color w:val="auto"/>
                <w:sz w:val="22"/>
                <w:szCs w:val="22"/>
              </w:rPr>
            </w:pPr>
            <w:r w:rsidRPr="000663FF">
              <w:rPr>
                <w:rFonts w:ascii="Calibri" w:hAnsi="Calibri" w:cs="Calibri"/>
                <w:color w:val="auto"/>
                <w:sz w:val="22"/>
                <w:szCs w:val="22"/>
              </w:rPr>
              <w:t>Sutton Junction &amp; Harlow Wood</w:t>
            </w:r>
          </w:p>
        </w:tc>
      </w:tr>
      <w:tr w:rsidR="007D1949" w:rsidRPr="000663FF" w14:paraId="6CFE86B3" w14:textId="77777777" w:rsidTr="00DC0D18">
        <w:trPr>
          <w:trHeight w:val="290"/>
        </w:trPr>
        <w:tc>
          <w:tcPr>
            <w:tcW w:w="1009" w:type="dxa"/>
            <w:tcBorders>
              <w:top w:val="nil"/>
              <w:left w:val="single" w:sz="4" w:space="0" w:color="auto"/>
              <w:bottom w:val="single" w:sz="4" w:space="0" w:color="auto"/>
              <w:right w:val="single" w:sz="4" w:space="0" w:color="auto"/>
            </w:tcBorders>
          </w:tcPr>
          <w:p w14:paraId="5D501800" w14:textId="77777777" w:rsidR="007D1949" w:rsidRPr="007A7C27" w:rsidRDefault="007D1949" w:rsidP="007D1949">
            <w:pPr>
              <w:keepNext w:val="0"/>
              <w:spacing w:before="0"/>
              <w:rPr>
                <w:rFonts w:ascii="Calibri" w:hAnsi="Calibri" w:cs="Calibri"/>
                <w:strike/>
                <w:color w:val="auto"/>
                <w:sz w:val="22"/>
                <w:szCs w:val="22"/>
              </w:rPr>
            </w:pPr>
            <w:r w:rsidRPr="007A7C27">
              <w:rPr>
                <w:rFonts w:ascii="Calibri" w:hAnsi="Calibri" w:cs="Calibri"/>
                <w:strike/>
                <w:color w:val="auto"/>
                <w:sz w:val="22"/>
                <w:szCs w:val="22"/>
              </w:rPr>
              <w:t>EV4wbw</w:t>
            </w:r>
          </w:p>
          <w:p w14:paraId="5594EAC2" w14:textId="64B597FB" w:rsidR="007D1949" w:rsidRPr="007A7C27" w:rsidRDefault="007D1949" w:rsidP="007D1949">
            <w:pPr>
              <w:keepNext w:val="0"/>
              <w:spacing w:before="0"/>
              <w:rPr>
                <w:rFonts w:ascii="Calibri" w:hAnsi="Calibri" w:cs="Calibri"/>
                <w:color w:val="auto"/>
                <w:sz w:val="22"/>
                <w:szCs w:val="22"/>
              </w:rPr>
            </w:pPr>
            <w:r w:rsidRPr="007A7C27">
              <w:rPr>
                <w:rFonts w:ascii="Calibri" w:hAnsi="Calibri" w:cs="Calibri"/>
                <w:color w:val="0070C0"/>
                <w:sz w:val="22"/>
                <w:szCs w:val="22"/>
              </w:rPr>
              <w:t>EV4whn</w:t>
            </w:r>
          </w:p>
        </w:tc>
        <w:tc>
          <w:tcPr>
            <w:tcW w:w="2388" w:type="dxa"/>
            <w:tcBorders>
              <w:top w:val="nil"/>
              <w:left w:val="nil"/>
              <w:bottom w:val="single" w:sz="4" w:space="0" w:color="auto"/>
              <w:right w:val="single" w:sz="4" w:space="0" w:color="auto"/>
            </w:tcBorders>
          </w:tcPr>
          <w:p w14:paraId="4CFEE6BF" w14:textId="25946C2D" w:rsidR="007D1949" w:rsidRPr="007A7C27" w:rsidRDefault="007D1949" w:rsidP="007D1949">
            <w:pPr>
              <w:keepNext w:val="0"/>
              <w:spacing w:before="0"/>
              <w:rPr>
                <w:rFonts w:ascii="Calibri" w:hAnsi="Calibri" w:cs="Calibri"/>
                <w:color w:val="auto"/>
                <w:sz w:val="22"/>
                <w:szCs w:val="22"/>
              </w:rPr>
            </w:pPr>
            <w:r w:rsidRPr="007A7C27">
              <w:rPr>
                <w:rFonts w:ascii="Calibri" w:hAnsi="Calibri" w:cs="Calibri"/>
                <w:color w:val="auto"/>
                <w:sz w:val="22"/>
                <w:szCs w:val="22"/>
              </w:rPr>
              <w:t>Crossley Plantation</w:t>
            </w:r>
          </w:p>
        </w:tc>
        <w:tc>
          <w:tcPr>
            <w:tcW w:w="4395" w:type="dxa"/>
            <w:tcBorders>
              <w:top w:val="nil"/>
              <w:left w:val="nil"/>
              <w:bottom w:val="single" w:sz="4" w:space="0" w:color="auto"/>
              <w:right w:val="single" w:sz="4" w:space="0" w:color="auto"/>
            </w:tcBorders>
          </w:tcPr>
          <w:p w14:paraId="69E71828" w14:textId="4A06B4B7" w:rsidR="007D1949" w:rsidRPr="007A7C27" w:rsidRDefault="007D1949" w:rsidP="007D1949">
            <w:pPr>
              <w:keepNext w:val="0"/>
              <w:spacing w:before="0"/>
              <w:rPr>
                <w:rFonts w:ascii="Calibri" w:hAnsi="Calibri" w:cs="Calibri"/>
                <w:color w:val="auto"/>
                <w:sz w:val="22"/>
                <w:szCs w:val="22"/>
              </w:rPr>
            </w:pPr>
            <w:r w:rsidRPr="007A7C27">
              <w:rPr>
                <w:rFonts w:ascii="Calibri" w:hAnsi="Calibri" w:cs="Calibri"/>
                <w:color w:val="auto"/>
                <w:sz w:val="22"/>
                <w:szCs w:val="22"/>
              </w:rPr>
              <w:t>LWS - A mature neglected plantation site with a very rich ground flora</w:t>
            </w:r>
          </w:p>
        </w:tc>
        <w:tc>
          <w:tcPr>
            <w:tcW w:w="1984" w:type="dxa"/>
            <w:tcBorders>
              <w:top w:val="nil"/>
              <w:left w:val="nil"/>
              <w:bottom w:val="single" w:sz="4" w:space="0" w:color="auto"/>
              <w:right w:val="single" w:sz="4" w:space="0" w:color="auto"/>
            </w:tcBorders>
          </w:tcPr>
          <w:p w14:paraId="6196B083" w14:textId="7E4FBD6C" w:rsidR="007D1949" w:rsidRPr="007A7C27" w:rsidRDefault="007D1949" w:rsidP="007D1949">
            <w:pPr>
              <w:keepNext w:val="0"/>
              <w:spacing w:before="0"/>
              <w:rPr>
                <w:rFonts w:ascii="Calibri" w:hAnsi="Calibri" w:cs="Calibri"/>
                <w:color w:val="auto"/>
                <w:sz w:val="22"/>
                <w:szCs w:val="22"/>
              </w:rPr>
            </w:pPr>
            <w:r w:rsidRPr="007A7C27">
              <w:rPr>
                <w:rFonts w:ascii="Calibri" w:hAnsi="Calibri" w:cs="Calibri"/>
                <w:color w:val="auto"/>
                <w:sz w:val="22"/>
                <w:szCs w:val="22"/>
              </w:rPr>
              <w:t>Stanton Hill &amp; Teversal</w:t>
            </w:r>
          </w:p>
        </w:tc>
      </w:tr>
      <w:tr w:rsidR="00EF23FE" w:rsidRPr="000663FF" w14:paraId="658DCC9D" w14:textId="77777777" w:rsidTr="00DC0D18">
        <w:trPr>
          <w:trHeight w:val="290"/>
        </w:trPr>
        <w:tc>
          <w:tcPr>
            <w:tcW w:w="1009" w:type="dxa"/>
            <w:tcBorders>
              <w:top w:val="nil"/>
              <w:left w:val="single" w:sz="4" w:space="0" w:color="auto"/>
              <w:bottom w:val="single" w:sz="4" w:space="0" w:color="auto"/>
              <w:right w:val="single" w:sz="4" w:space="0" w:color="auto"/>
            </w:tcBorders>
          </w:tcPr>
          <w:p w14:paraId="4BB2A44A" w14:textId="635200D9" w:rsidR="00EF23FE" w:rsidRPr="007A7C27" w:rsidRDefault="001E611A" w:rsidP="007D1949">
            <w:pPr>
              <w:keepNext w:val="0"/>
              <w:spacing w:before="0"/>
              <w:rPr>
                <w:rFonts w:ascii="Calibri" w:hAnsi="Calibri" w:cs="Calibri"/>
                <w:color w:val="0070C0"/>
                <w:sz w:val="22"/>
                <w:szCs w:val="22"/>
              </w:rPr>
            </w:pPr>
            <w:r w:rsidRPr="007A7C27">
              <w:rPr>
                <w:rFonts w:ascii="Calibri" w:hAnsi="Calibri" w:cs="Calibri"/>
                <w:color w:val="0070C0"/>
                <w:sz w:val="22"/>
                <w:szCs w:val="22"/>
              </w:rPr>
              <w:t>EV4who</w:t>
            </w:r>
          </w:p>
        </w:tc>
        <w:tc>
          <w:tcPr>
            <w:tcW w:w="2388" w:type="dxa"/>
            <w:tcBorders>
              <w:top w:val="nil"/>
              <w:left w:val="nil"/>
              <w:bottom w:val="single" w:sz="4" w:space="0" w:color="auto"/>
              <w:right w:val="single" w:sz="4" w:space="0" w:color="auto"/>
            </w:tcBorders>
          </w:tcPr>
          <w:p w14:paraId="1F557F54" w14:textId="2526EEDB" w:rsidR="00EF23FE" w:rsidRPr="007A7C27" w:rsidRDefault="001E611A" w:rsidP="007D1949">
            <w:pPr>
              <w:keepNext w:val="0"/>
              <w:spacing w:before="0"/>
              <w:rPr>
                <w:rFonts w:asciiTheme="minorHAnsi" w:hAnsiTheme="minorHAnsi" w:cstheme="minorHAnsi"/>
                <w:color w:val="auto"/>
                <w:sz w:val="22"/>
                <w:szCs w:val="22"/>
              </w:rPr>
            </w:pPr>
            <w:r w:rsidRPr="007A7C27">
              <w:rPr>
                <w:rFonts w:asciiTheme="minorHAnsi" w:hAnsiTheme="minorHAnsi" w:cstheme="minorHAnsi"/>
                <w:color w:val="0070C0"/>
                <w:sz w:val="22"/>
                <w:szCs w:val="22"/>
              </w:rPr>
              <w:t>Hucknall Dismantled Railway</w:t>
            </w:r>
          </w:p>
        </w:tc>
        <w:tc>
          <w:tcPr>
            <w:tcW w:w="4395" w:type="dxa"/>
            <w:tcBorders>
              <w:top w:val="nil"/>
              <w:left w:val="nil"/>
              <w:bottom w:val="single" w:sz="4" w:space="0" w:color="auto"/>
              <w:right w:val="single" w:sz="4" w:space="0" w:color="auto"/>
            </w:tcBorders>
          </w:tcPr>
          <w:p w14:paraId="2E028831" w14:textId="47F1D917" w:rsidR="00EF23FE" w:rsidRPr="007A7C27" w:rsidRDefault="0034448B" w:rsidP="001C357B">
            <w:pPr>
              <w:rPr>
                <w:rFonts w:ascii="Calibri" w:hAnsi="Calibri" w:cs="Calibri"/>
                <w:color w:val="0070C0"/>
                <w:sz w:val="22"/>
                <w:szCs w:val="22"/>
              </w:rPr>
            </w:pPr>
            <w:r w:rsidRPr="007A7C27">
              <w:rPr>
                <w:rFonts w:ascii="Calibri" w:hAnsi="Calibri" w:cs="Calibri"/>
                <w:color w:val="0070C0"/>
                <w:sz w:val="22"/>
                <w:szCs w:val="22"/>
              </w:rPr>
              <w:t xml:space="preserve">LWS - </w:t>
            </w:r>
            <w:r w:rsidR="00476885" w:rsidRPr="007A7C27">
              <w:rPr>
                <w:rFonts w:asciiTheme="minorHAnsi" w:hAnsiTheme="minorHAnsi" w:cstheme="minorHAnsi"/>
                <w:color w:val="0070C0"/>
                <w:sz w:val="22"/>
                <w:szCs w:val="22"/>
              </w:rPr>
              <w:t xml:space="preserve">A dismantled railway with a </w:t>
            </w:r>
            <w:r w:rsidR="004A5491" w:rsidRPr="007A7C27">
              <w:rPr>
                <w:rFonts w:asciiTheme="minorHAnsi" w:hAnsiTheme="minorHAnsi" w:cstheme="minorHAnsi"/>
                <w:color w:val="0070C0"/>
                <w:sz w:val="22"/>
                <w:szCs w:val="22"/>
              </w:rPr>
              <w:t>characteristic</w:t>
            </w:r>
            <w:r w:rsidR="00476885" w:rsidRPr="007A7C27">
              <w:rPr>
                <w:rFonts w:asciiTheme="minorHAnsi" w:hAnsiTheme="minorHAnsi" w:cstheme="minorHAnsi"/>
                <w:color w:val="0070C0"/>
                <w:sz w:val="22"/>
                <w:szCs w:val="22"/>
              </w:rPr>
              <w:t xml:space="preserve"> flora </w:t>
            </w:r>
          </w:p>
        </w:tc>
        <w:tc>
          <w:tcPr>
            <w:tcW w:w="1984" w:type="dxa"/>
            <w:tcBorders>
              <w:top w:val="nil"/>
              <w:left w:val="nil"/>
              <w:bottom w:val="single" w:sz="4" w:space="0" w:color="auto"/>
              <w:right w:val="single" w:sz="4" w:space="0" w:color="auto"/>
            </w:tcBorders>
          </w:tcPr>
          <w:p w14:paraId="322F8F00" w14:textId="59F9E99E" w:rsidR="00EF23FE" w:rsidRPr="007A7C27" w:rsidRDefault="001C357B" w:rsidP="007D1949">
            <w:pPr>
              <w:keepNext w:val="0"/>
              <w:spacing w:before="0"/>
              <w:rPr>
                <w:rFonts w:ascii="Calibri" w:hAnsi="Calibri" w:cs="Calibri"/>
                <w:color w:val="0070C0"/>
                <w:sz w:val="22"/>
                <w:szCs w:val="22"/>
              </w:rPr>
            </w:pPr>
            <w:r w:rsidRPr="007A7C27">
              <w:rPr>
                <w:rFonts w:asciiTheme="minorHAnsi" w:hAnsiTheme="minorHAnsi" w:cstheme="minorHAnsi"/>
                <w:color w:val="0070C0"/>
                <w:sz w:val="22"/>
                <w:szCs w:val="22"/>
              </w:rPr>
              <w:t>Hucknall North</w:t>
            </w:r>
          </w:p>
        </w:tc>
      </w:tr>
      <w:tr w:rsidR="00EF23FE" w:rsidRPr="000663FF" w14:paraId="31303D03" w14:textId="77777777" w:rsidTr="00DC0D18">
        <w:trPr>
          <w:trHeight w:val="290"/>
        </w:trPr>
        <w:tc>
          <w:tcPr>
            <w:tcW w:w="1009" w:type="dxa"/>
            <w:tcBorders>
              <w:top w:val="nil"/>
              <w:left w:val="single" w:sz="4" w:space="0" w:color="auto"/>
              <w:bottom w:val="single" w:sz="4" w:space="0" w:color="auto"/>
              <w:right w:val="single" w:sz="4" w:space="0" w:color="auto"/>
            </w:tcBorders>
          </w:tcPr>
          <w:p w14:paraId="3A569A62" w14:textId="58FA2737" w:rsidR="00EF23FE" w:rsidRPr="007A7C27" w:rsidRDefault="001E611A" w:rsidP="007D1949">
            <w:pPr>
              <w:keepNext w:val="0"/>
              <w:spacing w:before="0"/>
              <w:rPr>
                <w:rFonts w:ascii="Calibri" w:hAnsi="Calibri" w:cs="Calibri"/>
                <w:color w:val="0070C0"/>
                <w:sz w:val="22"/>
                <w:szCs w:val="22"/>
              </w:rPr>
            </w:pPr>
            <w:r w:rsidRPr="007A7C27">
              <w:rPr>
                <w:rFonts w:ascii="Calibri" w:hAnsi="Calibri" w:cs="Calibri"/>
                <w:color w:val="0070C0"/>
                <w:sz w:val="22"/>
                <w:szCs w:val="22"/>
              </w:rPr>
              <w:t>EV4whp</w:t>
            </w:r>
          </w:p>
        </w:tc>
        <w:tc>
          <w:tcPr>
            <w:tcW w:w="2388" w:type="dxa"/>
            <w:tcBorders>
              <w:top w:val="nil"/>
              <w:left w:val="nil"/>
              <w:bottom w:val="single" w:sz="4" w:space="0" w:color="auto"/>
              <w:right w:val="single" w:sz="4" w:space="0" w:color="auto"/>
            </w:tcBorders>
          </w:tcPr>
          <w:p w14:paraId="276D7B84" w14:textId="6457AA6B" w:rsidR="00EF23FE" w:rsidRPr="007A7C27" w:rsidRDefault="000E45F7" w:rsidP="007D1949">
            <w:pPr>
              <w:keepNext w:val="0"/>
              <w:spacing w:before="0"/>
              <w:rPr>
                <w:rFonts w:asciiTheme="minorHAnsi" w:hAnsiTheme="minorHAnsi" w:cstheme="minorHAnsi"/>
                <w:color w:val="auto"/>
                <w:sz w:val="22"/>
                <w:szCs w:val="22"/>
              </w:rPr>
            </w:pPr>
            <w:r w:rsidRPr="007A7C27">
              <w:rPr>
                <w:rFonts w:asciiTheme="minorHAnsi" w:hAnsiTheme="minorHAnsi" w:cstheme="minorHAnsi"/>
                <w:color w:val="0070C0"/>
                <w:sz w:val="22"/>
                <w:szCs w:val="22"/>
              </w:rPr>
              <w:t>Annesley Pit</w:t>
            </w:r>
          </w:p>
        </w:tc>
        <w:tc>
          <w:tcPr>
            <w:tcW w:w="4395" w:type="dxa"/>
            <w:tcBorders>
              <w:top w:val="nil"/>
              <w:left w:val="nil"/>
              <w:bottom w:val="single" w:sz="4" w:space="0" w:color="auto"/>
              <w:right w:val="single" w:sz="4" w:space="0" w:color="auto"/>
            </w:tcBorders>
          </w:tcPr>
          <w:p w14:paraId="2E284F98" w14:textId="44A3229F" w:rsidR="00EF23FE" w:rsidRPr="007A7C27" w:rsidRDefault="0034448B" w:rsidP="004A5491">
            <w:pPr>
              <w:rPr>
                <w:rFonts w:ascii="Calibri" w:hAnsi="Calibri" w:cs="Calibri"/>
                <w:color w:val="0070C0"/>
                <w:sz w:val="22"/>
                <w:szCs w:val="22"/>
              </w:rPr>
            </w:pPr>
            <w:r w:rsidRPr="007A7C27">
              <w:rPr>
                <w:rFonts w:ascii="Calibri" w:hAnsi="Calibri" w:cs="Calibri"/>
                <w:color w:val="0070C0"/>
                <w:sz w:val="22"/>
                <w:szCs w:val="22"/>
              </w:rPr>
              <w:t xml:space="preserve">LWS - </w:t>
            </w:r>
            <w:r w:rsidR="001C357B" w:rsidRPr="007A7C27">
              <w:rPr>
                <w:rFonts w:asciiTheme="minorHAnsi" w:hAnsiTheme="minorHAnsi" w:cstheme="minorHAnsi"/>
                <w:color w:val="0070C0"/>
                <w:sz w:val="22"/>
                <w:szCs w:val="22"/>
              </w:rPr>
              <w:t>A diverse site of botanical and zoological importance</w:t>
            </w:r>
            <w:r w:rsidR="004A5491" w:rsidRPr="007A7C27">
              <w:rPr>
                <w:rFonts w:asciiTheme="minorHAnsi" w:hAnsiTheme="minorHAnsi" w:cstheme="minorHAnsi"/>
                <w:color w:val="0070C0"/>
                <w:sz w:val="22"/>
                <w:szCs w:val="22"/>
              </w:rPr>
              <w:t xml:space="preserve"> </w:t>
            </w:r>
          </w:p>
        </w:tc>
        <w:tc>
          <w:tcPr>
            <w:tcW w:w="1984" w:type="dxa"/>
            <w:tcBorders>
              <w:top w:val="nil"/>
              <w:left w:val="nil"/>
              <w:bottom w:val="single" w:sz="4" w:space="0" w:color="auto"/>
              <w:right w:val="single" w:sz="4" w:space="0" w:color="auto"/>
            </w:tcBorders>
          </w:tcPr>
          <w:p w14:paraId="5B824F7C" w14:textId="07132580" w:rsidR="00EF23FE" w:rsidRPr="007A7C27" w:rsidRDefault="004A5491" w:rsidP="004A5491">
            <w:pPr>
              <w:rPr>
                <w:rFonts w:asciiTheme="minorHAnsi" w:hAnsiTheme="minorHAnsi" w:cstheme="minorHAnsi"/>
                <w:color w:val="0070C0"/>
                <w:sz w:val="22"/>
                <w:szCs w:val="22"/>
              </w:rPr>
            </w:pPr>
            <w:r w:rsidRPr="007A7C27">
              <w:rPr>
                <w:rFonts w:asciiTheme="minorHAnsi" w:hAnsiTheme="minorHAnsi" w:cstheme="minorHAnsi"/>
                <w:color w:val="0070C0"/>
                <w:sz w:val="22"/>
                <w:szCs w:val="22"/>
              </w:rPr>
              <w:t>Annesley &amp; Kirkby Woodhouse</w:t>
            </w:r>
          </w:p>
        </w:tc>
      </w:tr>
      <w:tr w:rsidR="007D1949" w:rsidRPr="000663FF" w14:paraId="6D542920"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460392D0"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EV4wi</w:t>
            </w:r>
          </w:p>
        </w:tc>
        <w:tc>
          <w:tcPr>
            <w:tcW w:w="2388" w:type="dxa"/>
            <w:tcBorders>
              <w:top w:val="nil"/>
              <w:left w:val="nil"/>
              <w:bottom w:val="single" w:sz="4" w:space="0" w:color="auto"/>
              <w:right w:val="single" w:sz="4" w:space="0" w:color="auto"/>
            </w:tcBorders>
            <w:hideMark/>
          </w:tcPr>
          <w:p w14:paraId="1224128D"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Underwood Grassland</w:t>
            </w:r>
          </w:p>
        </w:tc>
        <w:tc>
          <w:tcPr>
            <w:tcW w:w="4395" w:type="dxa"/>
            <w:tcBorders>
              <w:top w:val="nil"/>
              <w:left w:val="nil"/>
              <w:bottom w:val="single" w:sz="4" w:space="0" w:color="auto"/>
              <w:right w:val="single" w:sz="4" w:space="0" w:color="auto"/>
            </w:tcBorders>
            <w:hideMark/>
          </w:tcPr>
          <w:p w14:paraId="0CE86EA9" w14:textId="6C7CCF66"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Grasslands with a noteworthy sward</w:t>
            </w:r>
          </w:p>
        </w:tc>
        <w:tc>
          <w:tcPr>
            <w:tcW w:w="1984" w:type="dxa"/>
            <w:tcBorders>
              <w:top w:val="nil"/>
              <w:left w:val="nil"/>
              <w:bottom w:val="single" w:sz="4" w:space="0" w:color="auto"/>
              <w:right w:val="single" w:sz="4" w:space="0" w:color="auto"/>
            </w:tcBorders>
            <w:hideMark/>
          </w:tcPr>
          <w:p w14:paraId="4BEA0F27"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7D1949" w:rsidRPr="000663FF" w14:paraId="1A105FEA"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50BAA849"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EV4wj</w:t>
            </w:r>
          </w:p>
        </w:tc>
        <w:tc>
          <w:tcPr>
            <w:tcW w:w="2388" w:type="dxa"/>
            <w:tcBorders>
              <w:top w:val="single" w:sz="4" w:space="0" w:color="auto"/>
              <w:left w:val="single" w:sz="4" w:space="0" w:color="auto"/>
              <w:bottom w:val="single" w:sz="4" w:space="0" w:color="auto"/>
              <w:right w:val="single" w:sz="4" w:space="0" w:color="auto"/>
            </w:tcBorders>
            <w:hideMark/>
          </w:tcPr>
          <w:p w14:paraId="23D6D582"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Underwood Meadow</w:t>
            </w:r>
          </w:p>
        </w:tc>
        <w:tc>
          <w:tcPr>
            <w:tcW w:w="4395" w:type="dxa"/>
            <w:tcBorders>
              <w:top w:val="single" w:sz="4" w:space="0" w:color="auto"/>
              <w:left w:val="single" w:sz="4" w:space="0" w:color="auto"/>
              <w:bottom w:val="single" w:sz="4" w:space="0" w:color="auto"/>
              <w:right w:val="single" w:sz="4" w:space="0" w:color="auto"/>
            </w:tcBorders>
            <w:hideMark/>
          </w:tcPr>
          <w:p w14:paraId="03C99FAB" w14:textId="0B2D6BED"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small unimproved hay meadow with a rich diversity of characteristic species</w:t>
            </w:r>
          </w:p>
        </w:tc>
        <w:tc>
          <w:tcPr>
            <w:tcW w:w="1984" w:type="dxa"/>
            <w:tcBorders>
              <w:top w:val="single" w:sz="4" w:space="0" w:color="auto"/>
              <w:left w:val="single" w:sz="4" w:space="0" w:color="auto"/>
              <w:bottom w:val="single" w:sz="4" w:space="0" w:color="auto"/>
              <w:right w:val="single" w:sz="4" w:space="0" w:color="auto"/>
            </w:tcBorders>
            <w:hideMark/>
          </w:tcPr>
          <w:p w14:paraId="68FF0284"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7D1949" w:rsidRPr="000663FF" w14:paraId="009571F5"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013C654F"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EV4wk</w:t>
            </w:r>
          </w:p>
        </w:tc>
        <w:tc>
          <w:tcPr>
            <w:tcW w:w="2388" w:type="dxa"/>
            <w:tcBorders>
              <w:top w:val="single" w:sz="4" w:space="0" w:color="auto"/>
              <w:left w:val="nil"/>
              <w:bottom w:val="single" w:sz="4" w:space="0" w:color="auto"/>
              <w:right w:val="single" w:sz="4" w:space="0" w:color="auto"/>
            </w:tcBorders>
            <w:hideMark/>
          </w:tcPr>
          <w:p w14:paraId="05073E40"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Underwood Meadows</w:t>
            </w:r>
          </w:p>
        </w:tc>
        <w:tc>
          <w:tcPr>
            <w:tcW w:w="4395" w:type="dxa"/>
            <w:tcBorders>
              <w:top w:val="single" w:sz="4" w:space="0" w:color="auto"/>
              <w:left w:val="nil"/>
              <w:bottom w:val="single" w:sz="4" w:space="0" w:color="auto"/>
              <w:right w:val="single" w:sz="4" w:space="0" w:color="auto"/>
            </w:tcBorders>
            <w:hideMark/>
          </w:tcPr>
          <w:p w14:paraId="01EBD9B9" w14:textId="68921DEA"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Herb-rich meadows with an especially important stream</w:t>
            </w:r>
          </w:p>
        </w:tc>
        <w:tc>
          <w:tcPr>
            <w:tcW w:w="1984" w:type="dxa"/>
            <w:tcBorders>
              <w:top w:val="single" w:sz="4" w:space="0" w:color="auto"/>
              <w:left w:val="nil"/>
              <w:bottom w:val="single" w:sz="4" w:space="0" w:color="auto"/>
              <w:right w:val="single" w:sz="4" w:space="0" w:color="auto"/>
            </w:tcBorders>
            <w:hideMark/>
          </w:tcPr>
          <w:p w14:paraId="500C3D38"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7D1949" w:rsidRPr="000663FF" w14:paraId="02CBB1D3" w14:textId="77777777" w:rsidTr="00DC0D18">
        <w:trPr>
          <w:trHeight w:val="622"/>
        </w:trPr>
        <w:tc>
          <w:tcPr>
            <w:tcW w:w="1009" w:type="dxa"/>
            <w:tcBorders>
              <w:top w:val="nil"/>
              <w:left w:val="single" w:sz="4" w:space="0" w:color="auto"/>
              <w:bottom w:val="single" w:sz="4" w:space="0" w:color="auto"/>
              <w:right w:val="single" w:sz="4" w:space="0" w:color="auto"/>
            </w:tcBorders>
            <w:hideMark/>
          </w:tcPr>
          <w:p w14:paraId="0041662D"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EV4wl</w:t>
            </w:r>
          </w:p>
        </w:tc>
        <w:tc>
          <w:tcPr>
            <w:tcW w:w="2388" w:type="dxa"/>
            <w:tcBorders>
              <w:top w:val="nil"/>
              <w:left w:val="nil"/>
              <w:bottom w:val="single" w:sz="4" w:space="0" w:color="auto"/>
              <w:right w:val="single" w:sz="4" w:space="0" w:color="auto"/>
            </w:tcBorders>
            <w:hideMark/>
          </w:tcPr>
          <w:p w14:paraId="67F9793B"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Underwood Plantation</w:t>
            </w:r>
          </w:p>
        </w:tc>
        <w:tc>
          <w:tcPr>
            <w:tcW w:w="4395" w:type="dxa"/>
            <w:tcBorders>
              <w:top w:val="nil"/>
              <w:left w:val="nil"/>
              <w:bottom w:val="single" w:sz="4" w:space="0" w:color="auto"/>
              <w:right w:val="single" w:sz="4" w:space="0" w:color="auto"/>
            </w:tcBorders>
            <w:hideMark/>
          </w:tcPr>
          <w:p w14:paraId="68ACAA34" w14:textId="48928A66"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Coniferous plantation with notable acidic flushes, tall wetland herb communities and acidic fen</w:t>
            </w:r>
          </w:p>
        </w:tc>
        <w:tc>
          <w:tcPr>
            <w:tcW w:w="1984" w:type="dxa"/>
            <w:tcBorders>
              <w:top w:val="nil"/>
              <w:left w:val="nil"/>
              <w:bottom w:val="single" w:sz="4" w:space="0" w:color="auto"/>
              <w:right w:val="single" w:sz="4" w:space="0" w:color="auto"/>
            </w:tcBorders>
            <w:hideMark/>
          </w:tcPr>
          <w:p w14:paraId="430A7232"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7D1949" w:rsidRPr="000663FF" w14:paraId="5C4DD492"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5B718DF8"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EV4wm</w:t>
            </w:r>
          </w:p>
        </w:tc>
        <w:tc>
          <w:tcPr>
            <w:tcW w:w="2388" w:type="dxa"/>
            <w:tcBorders>
              <w:top w:val="nil"/>
              <w:left w:val="nil"/>
              <w:bottom w:val="single" w:sz="4" w:space="0" w:color="auto"/>
              <w:right w:val="single" w:sz="4" w:space="0" w:color="auto"/>
            </w:tcBorders>
            <w:hideMark/>
          </w:tcPr>
          <w:p w14:paraId="2E604448" w14:textId="77777777" w:rsidR="007D1949" w:rsidRPr="000663FF" w:rsidRDefault="007D1949" w:rsidP="007D1949">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Washdyke</w:t>
            </w:r>
            <w:proofErr w:type="spellEnd"/>
            <w:r w:rsidRPr="000663FF">
              <w:rPr>
                <w:rFonts w:ascii="Calibri" w:hAnsi="Calibri" w:cs="Calibri"/>
                <w:color w:val="auto"/>
                <w:sz w:val="22"/>
                <w:szCs w:val="22"/>
              </w:rPr>
              <w:t xml:space="preserve"> Lane Hedges</w:t>
            </w:r>
          </w:p>
        </w:tc>
        <w:tc>
          <w:tcPr>
            <w:tcW w:w="4395" w:type="dxa"/>
            <w:tcBorders>
              <w:top w:val="nil"/>
              <w:left w:val="nil"/>
              <w:bottom w:val="single" w:sz="4" w:space="0" w:color="auto"/>
              <w:right w:val="single" w:sz="4" w:space="0" w:color="auto"/>
            </w:tcBorders>
            <w:hideMark/>
          </w:tcPr>
          <w:p w14:paraId="3E2838D3" w14:textId="38D45694"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Shrub-rich hedges</w:t>
            </w:r>
          </w:p>
        </w:tc>
        <w:tc>
          <w:tcPr>
            <w:tcW w:w="1984" w:type="dxa"/>
            <w:tcBorders>
              <w:top w:val="nil"/>
              <w:left w:val="nil"/>
              <w:bottom w:val="single" w:sz="4" w:space="0" w:color="auto"/>
              <w:right w:val="single" w:sz="4" w:space="0" w:color="auto"/>
            </w:tcBorders>
            <w:hideMark/>
          </w:tcPr>
          <w:p w14:paraId="2818D91C"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7D1949" w:rsidRPr="000663FF" w14:paraId="436E1663" w14:textId="77777777" w:rsidTr="00F57CF6">
        <w:trPr>
          <w:trHeight w:val="580"/>
        </w:trPr>
        <w:tc>
          <w:tcPr>
            <w:tcW w:w="1009" w:type="dxa"/>
            <w:tcBorders>
              <w:top w:val="nil"/>
              <w:left w:val="single" w:sz="4" w:space="0" w:color="auto"/>
              <w:bottom w:val="single" w:sz="4" w:space="0" w:color="auto"/>
              <w:right w:val="single" w:sz="4" w:space="0" w:color="auto"/>
            </w:tcBorders>
            <w:hideMark/>
          </w:tcPr>
          <w:p w14:paraId="30E0D73B"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lastRenderedPageBreak/>
              <w:t>EV4wn</w:t>
            </w:r>
          </w:p>
        </w:tc>
        <w:tc>
          <w:tcPr>
            <w:tcW w:w="2388" w:type="dxa"/>
            <w:tcBorders>
              <w:top w:val="nil"/>
              <w:left w:val="nil"/>
              <w:bottom w:val="single" w:sz="4" w:space="0" w:color="auto"/>
              <w:right w:val="single" w:sz="4" w:space="0" w:color="auto"/>
            </w:tcBorders>
            <w:hideMark/>
          </w:tcPr>
          <w:p w14:paraId="3CADC561" w14:textId="77777777" w:rsidR="007D1949" w:rsidRPr="000663FF" w:rsidRDefault="007D1949" w:rsidP="007D1949">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Watnall</w:t>
            </w:r>
            <w:proofErr w:type="spellEnd"/>
            <w:r w:rsidRPr="000663FF">
              <w:rPr>
                <w:rFonts w:ascii="Calibri" w:hAnsi="Calibri" w:cs="Calibri"/>
                <w:color w:val="auto"/>
                <w:sz w:val="22"/>
                <w:szCs w:val="22"/>
              </w:rPr>
              <w:t xml:space="preserve"> Coppice East</w:t>
            </w:r>
          </w:p>
        </w:tc>
        <w:tc>
          <w:tcPr>
            <w:tcW w:w="4395" w:type="dxa"/>
            <w:tcBorders>
              <w:top w:val="nil"/>
              <w:left w:val="nil"/>
              <w:bottom w:val="single" w:sz="4" w:space="0" w:color="auto"/>
              <w:right w:val="single" w:sz="4" w:space="0" w:color="auto"/>
            </w:tcBorders>
            <w:hideMark/>
          </w:tcPr>
          <w:p w14:paraId="7179F6FF" w14:textId="450A3858"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deciduous woodland with an impressive flora</w:t>
            </w:r>
          </w:p>
        </w:tc>
        <w:tc>
          <w:tcPr>
            <w:tcW w:w="1984" w:type="dxa"/>
            <w:tcBorders>
              <w:top w:val="nil"/>
              <w:left w:val="nil"/>
              <w:bottom w:val="single" w:sz="4" w:space="0" w:color="auto"/>
              <w:right w:val="single" w:sz="4" w:space="0" w:color="auto"/>
            </w:tcBorders>
            <w:hideMark/>
          </w:tcPr>
          <w:p w14:paraId="6F058FE4"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7D1949" w:rsidRPr="000663FF" w14:paraId="47ADD179" w14:textId="77777777" w:rsidTr="00F57CF6">
        <w:trPr>
          <w:trHeight w:val="580"/>
        </w:trPr>
        <w:tc>
          <w:tcPr>
            <w:tcW w:w="1009" w:type="dxa"/>
            <w:tcBorders>
              <w:top w:val="single" w:sz="4" w:space="0" w:color="auto"/>
              <w:left w:val="single" w:sz="4" w:space="0" w:color="auto"/>
              <w:bottom w:val="single" w:sz="4" w:space="0" w:color="auto"/>
              <w:right w:val="single" w:sz="4" w:space="0" w:color="auto"/>
            </w:tcBorders>
            <w:hideMark/>
          </w:tcPr>
          <w:p w14:paraId="715DB7D7"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EV4wo</w:t>
            </w:r>
          </w:p>
        </w:tc>
        <w:tc>
          <w:tcPr>
            <w:tcW w:w="2388" w:type="dxa"/>
            <w:tcBorders>
              <w:top w:val="single" w:sz="4" w:space="0" w:color="auto"/>
              <w:left w:val="nil"/>
              <w:bottom w:val="single" w:sz="4" w:space="0" w:color="auto"/>
              <w:right w:val="single" w:sz="4" w:space="0" w:color="auto"/>
            </w:tcBorders>
            <w:hideMark/>
          </w:tcPr>
          <w:p w14:paraId="3362B82E"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Weaver's Lane Grassland</w:t>
            </w:r>
          </w:p>
        </w:tc>
        <w:tc>
          <w:tcPr>
            <w:tcW w:w="4395" w:type="dxa"/>
            <w:tcBorders>
              <w:top w:val="single" w:sz="4" w:space="0" w:color="auto"/>
              <w:left w:val="nil"/>
              <w:bottom w:val="single" w:sz="4" w:space="0" w:color="auto"/>
              <w:right w:val="single" w:sz="4" w:space="0" w:color="auto"/>
            </w:tcBorders>
            <w:hideMark/>
          </w:tcPr>
          <w:p w14:paraId="6D4086F6" w14:textId="342053DF"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notable neutral grassland</w:t>
            </w:r>
          </w:p>
        </w:tc>
        <w:tc>
          <w:tcPr>
            <w:tcW w:w="1984" w:type="dxa"/>
            <w:tcBorders>
              <w:top w:val="single" w:sz="4" w:space="0" w:color="auto"/>
              <w:left w:val="nil"/>
              <w:bottom w:val="single" w:sz="4" w:space="0" w:color="auto"/>
              <w:right w:val="single" w:sz="4" w:space="0" w:color="auto"/>
            </w:tcBorders>
            <w:hideMark/>
          </w:tcPr>
          <w:p w14:paraId="5F868BCB"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7D1949" w:rsidRPr="000663FF" w14:paraId="1C8879AC"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7249E9EB"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EV4wp</w:t>
            </w:r>
          </w:p>
        </w:tc>
        <w:tc>
          <w:tcPr>
            <w:tcW w:w="2388" w:type="dxa"/>
            <w:tcBorders>
              <w:top w:val="single" w:sz="4" w:space="0" w:color="auto"/>
              <w:left w:val="nil"/>
              <w:bottom w:val="single" w:sz="4" w:space="0" w:color="auto"/>
              <w:right w:val="single" w:sz="4" w:space="0" w:color="auto"/>
            </w:tcBorders>
            <w:hideMark/>
          </w:tcPr>
          <w:p w14:paraId="189FC9D8"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Weaver's Lane Verge</w:t>
            </w:r>
          </w:p>
        </w:tc>
        <w:tc>
          <w:tcPr>
            <w:tcW w:w="4395" w:type="dxa"/>
            <w:tcBorders>
              <w:top w:val="single" w:sz="4" w:space="0" w:color="auto"/>
              <w:left w:val="nil"/>
              <w:bottom w:val="single" w:sz="4" w:space="0" w:color="auto"/>
              <w:right w:val="single" w:sz="4" w:space="0" w:color="auto"/>
            </w:tcBorders>
            <w:hideMark/>
          </w:tcPr>
          <w:p w14:paraId="450F257B" w14:textId="573E6BED"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Notable calcareous communities adjacent to a track</w:t>
            </w:r>
          </w:p>
        </w:tc>
        <w:tc>
          <w:tcPr>
            <w:tcW w:w="1984" w:type="dxa"/>
            <w:tcBorders>
              <w:top w:val="single" w:sz="4" w:space="0" w:color="auto"/>
              <w:left w:val="nil"/>
              <w:bottom w:val="single" w:sz="4" w:space="0" w:color="auto"/>
              <w:right w:val="single" w:sz="4" w:space="0" w:color="auto"/>
            </w:tcBorders>
            <w:hideMark/>
          </w:tcPr>
          <w:p w14:paraId="711DBA7E"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7D1949" w:rsidRPr="000663FF" w14:paraId="4FC39FB5"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3AB085BD"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EV4wq</w:t>
            </w:r>
          </w:p>
        </w:tc>
        <w:tc>
          <w:tcPr>
            <w:tcW w:w="2388" w:type="dxa"/>
            <w:tcBorders>
              <w:top w:val="single" w:sz="4" w:space="0" w:color="auto"/>
              <w:left w:val="nil"/>
              <w:bottom w:val="single" w:sz="4" w:space="0" w:color="auto"/>
              <w:right w:val="single" w:sz="4" w:space="0" w:color="auto"/>
            </w:tcBorders>
            <w:hideMark/>
          </w:tcPr>
          <w:p w14:paraId="21077DBA"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Westwood Bents Corner</w:t>
            </w:r>
          </w:p>
        </w:tc>
        <w:tc>
          <w:tcPr>
            <w:tcW w:w="4395" w:type="dxa"/>
            <w:tcBorders>
              <w:top w:val="single" w:sz="4" w:space="0" w:color="auto"/>
              <w:left w:val="nil"/>
              <w:bottom w:val="single" w:sz="4" w:space="0" w:color="auto"/>
              <w:right w:val="single" w:sz="4" w:space="0" w:color="auto"/>
            </w:tcBorders>
            <w:hideMark/>
          </w:tcPr>
          <w:p w14:paraId="376F08C9" w14:textId="1DA4EF51"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noteworthy coal-measures grassland</w:t>
            </w:r>
          </w:p>
        </w:tc>
        <w:tc>
          <w:tcPr>
            <w:tcW w:w="1984" w:type="dxa"/>
            <w:tcBorders>
              <w:top w:val="single" w:sz="4" w:space="0" w:color="auto"/>
              <w:left w:val="nil"/>
              <w:bottom w:val="single" w:sz="4" w:space="0" w:color="auto"/>
              <w:right w:val="single" w:sz="4" w:space="0" w:color="auto"/>
            </w:tcBorders>
            <w:hideMark/>
          </w:tcPr>
          <w:p w14:paraId="39B0D40C" w14:textId="77777777" w:rsidR="007D1949" w:rsidRPr="000663FF" w:rsidRDefault="007D1949" w:rsidP="007D1949">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Jacksdale</w:t>
            </w:r>
            <w:proofErr w:type="spellEnd"/>
            <w:r w:rsidRPr="000663FF">
              <w:rPr>
                <w:rFonts w:ascii="Calibri" w:hAnsi="Calibri" w:cs="Calibri"/>
                <w:color w:val="auto"/>
                <w:sz w:val="22"/>
                <w:szCs w:val="22"/>
              </w:rPr>
              <w:t xml:space="preserve"> &amp; Westwood</w:t>
            </w:r>
          </w:p>
        </w:tc>
      </w:tr>
      <w:tr w:rsidR="007D1949" w:rsidRPr="000663FF" w14:paraId="703B6351" w14:textId="77777777" w:rsidTr="000663FF">
        <w:trPr>
          <w:trHeight w:val="580"/>
        </w:trPr>
        <w:tc>
          <w:tcPr>
            <w:tcW w:w="1009" w:type="dxa"/>
            <w:tcBorders>
              <w:top w:val="single" w:sz="4" w:space="0" w:color="auto"/>
              <w:left w:val="single" w:sz="4" w:space="0" w:color="auto"/>
              <w:bottom w:val="single" w:sz="4" w:space="0" w:color="auto"/>
              <w:right w:val="single" w:sz="4" w:space="0" w:color="auto"/>
            </w:tcBorders>
            <w:hideMark/>
          </w:tcPr>
          <w:p w14:paraId="1ED2CA4F"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EV4wr</w:t>
            </w:r>
          </w:p>
        </w:tc>
        <w:tc>
          <w:tcPr>
            <w:tcW w:w="2388" w:type="dxa"/>
            <w:tcBorders>
              <w:top w:val="single" w:sz="4" w:space="0" w:color="auto"/>
              <w:left w:val="nil"/>
              <w:bottom w:val="single" w:sz="4" w:space="0" w:color="auto"/>
              <w:right w:val="single" w:sz="4" w:space="0" w:color="auto"/>
            </w:tcBorders>
            <w:hideMark/>
          </w:tcPr>
          <w:p w14:paraId="17A7ED3A"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Wharf Yard Bank, Kirkby Woodhouse</w:t>
            </w:r>
          </w:p>
        </w:tc>
        <w:tc>
          <w:tcPr>
            <w:tcW w:w="4395" w:type="dxa"/>
            <w:tcBorders>
              <w:top w:val="single" w:sz="4" w:space="0" w:color="auto"/>
              <w:left w:val="nil"/>
              <w:bottom w:val="single" w:sz="4" w:space="0" w:color="auto"/>
              <w:right w:val="single" w:sz="4" w:space="0" w:color="auto"/>
            </w:tcBorders>
            <w:hideMark/>
          </w:tcPr>
          <w:p w14:paraId="20448A36" w14:textId="7F2A87B4"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herb-rich, calcareous bank</w:t>
            </w:r>
          </w:p>
        </w:tc>
        <w:tc>
          <w:tcPr>
            <w:tcW w:w="1984" w:type="dxa"/>
            <w:tcBorders>
              <w:top w:val="single" w:sz="4" w:space="0" w:color="auto"/>
              <w:left w:val="nil"/>
              <w:bottom w:val="single" w:sz="4" w:space="0" w:color="auto"/>
              <w:right w:val="single" w:sz="4" w:space="0" w:color="auto"/>
            </w:tcBorders>
            <w:hideMark/>
          </w:tcPr>
          <w:p w14:paraId="0076FFAE"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7D1949" w:rsidRPr="000663FF" w14:paraId="60E02510" w14:textId="77777777" w:rsidTr="00DC0D18">
        <w:trPr>
          <w:trHeight w:val="580"/>
        </w:trPr>
        <w:tc>
          <w:tcPr>
            <w:tcW w:w="1009" w:type="dxa"/>
            <w:tcBorders>
              <w:top w:val="single" w:sz="4" w:space="0" w:color="auto"/>
              <w:left w:val="single" w:sz="4" w:space="0" w:color="auto"/>
              <w:bottom w:val="single" w:sz="4" w:space="0" w:color="auto"/>
              <w:right w:val="single" w:sz="4" w:space="0" w:color="auto"/>
            </w:tcBorders>
            <w:hideMark/>
          </w:tcPr>
          <w:p w14:paraId="315E019B"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EV4ws</w:t>
            </w:r>
          </w:p>
        </w:tc>
        <w:tc>
          <w:tcPr>
            <w:tcW w:w="2388" w:type="dxa"/>
            <w:tcBorders>
              <w:top w:val="single" w:sz="4" w:space="0" w:color="auto"/>
              <w:left w:val="single" w:sz="4" w:space="0" w:color="auto"/>
              <w:bottom w:val="single" w:sz="4" w:space="0" w:color="auto"/>
              <w:right w:val="single" w:sz="4" w:space="0" w:color="auto"/>
            </w:tcBorders>
            <w:hideMark/>
          </w:tcPr>
          <w:p w14:paraId="7E705AF7" w14:textId="77777777" w:rsidR="007D1949" w:rsidRPr="000663FF" w:rsidRDefault="007D1949" w:rsidP="007D1949">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Whiteborough</w:t>
            </w:r>
            <w:proofErr w:type="spellEnd"/>
            <w:r w:rsidRPr="000663FF">
              <w:rPr>
                <w:rFonts w:ascii="Calibri" w:hAnsi="Calibri" w:cs="Calibri"/>
                <w:color w:val="auto"/>
                <w:sz w:val="22"/>
                <w:szCs w:val="22"/>
              </w:rPr>
              <w:t xml:space="preserve"> Farm Pasture</w:t>
            </w:r>
          </w:p>
        </w:tc>
        <w:tc>
          <w:tcPr>
            <w:tcW w:w="4395" w:type="dxa"/>
            <w:tcBorders>
              <w:top w:val="single" w:sz="4" w:space="0" w:color="auto"/>
              <w:left w:val="single" w:sz="4" w:space="0" w:color="auto"/>
              <w:bottom w:val="single" w:sz="4" w:space="0" w:color="auto"/>
              <w:right w:val="single" w:sz="4" w:space="0" w:color="auto"/>
            </w:tcBorders>
            <w:hideMark/>
          </w:tcPr>
          <w:p w14:paraId="375EB6C2" w14:textId="2FF25819"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well-established pasture with a notable plant community</w:t>
            </w:r>
          </w:p>
        </w:tc>
        <w:tc>
          <w:tcPr>
            <w:tcW w:w="1984" w:type="dxa"/>
            <w:tcBorders>
              <w:top w:val="single" w:sz="4" w:space="0" w:color="auto"/>
              <w:left w:val="single" w:sz="4" w:space="0" w:color="auto"/>
              <w:bottom w:val="single" w:sz="4" w:space="0" w:color="auto"/>
              <w:right w:val="single" w:sz="4" w:space="0" w:color="auto"/>
            </w:tcBorders>
            <w:hideMark/>
          </w:tcPr>
          <w:p w14:paraId="47960239"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7D1949" w:rsidRPr="000663FF" w14:paraId="0D2FC97A" w14:textId="77777777" w:rsidTr="00DC0D18">
        <w:trPr>
          <w:trHeight w:val="637"/>
        </w:trPr>
        <w:tc>
          <w:tcPr>
            <w:tcW w:w="1009" w:type="dxa"/>
            <w:tcBorders>
              <w:top w:val="single" w:sz="4" w:space="0" w:color="auto"/>
              <w:left w:val="single" w:sz="4" w:space="0" w:color="auto"/>
              <w:bottom w:val="single" w:sz="4" w:space="0" w:color="auto"/>
              <w:right w:val="single" w:sz="4" w:space="0" w:color="auto"/>
            </w:tcBorders>
            <w:hideMark/>
          </w:tcPr>
          <w:p w14:paraId="11FAC748"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EV4wt</w:t>
            </w:r>
          </w:p>
        </w:tc>
        <w:tc>
          <w:tcPr>
            <w:tcW w:w="2388" w:type="dxa"/>
            <w:tcBorders>
              <w:top w:val="single" w:sz="4" w:space="0" w:color="auto"/>
              <w:left w:val="nil"/>
              <w:bottom w:val="single" w:sz="4" w:space="0" w:color="auto"/>
              <w:right w:val="single" w:sz="4" w:space="0" w:color="auto"/>
            </w:tcBorders>
            <w:hideMark/>
          </w:tcPr>
          <w:p w14:paraId="5CBBE148" w14:textId="77777777" w:rsidR="007D1949" w:rsidRPr="000663FF" w:rsidRDefault="007D1949" w:rsidP="007D1949">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Whiteborough</w:t>
            </w:r>
            <w:proofErr w:type="spellEnd"/>
            <w:r w:rsidRPr="000663FF">
              <w:rPr>
                <w:rFonts w:ascii="Calibri" w:hAnsi="Calibri" w:cs="Calibri"/>
                <w:color w:val="auto"/>
                <w:sz w:val="22"/>
                <w:szCs w:val="22"/>
              </w:rPr>
              <w:t xml:space="preserve"> Railway</w:t>
            </w:r>
          </w:p>
        </w:tc>
        <w:tc>
          <w:tcPr>
            <w:tcW w:w="4395" w:type="dxa"/>
            <w:tcBorders>
              <w:top w:val="single" w:sz="4" w:space="0" w:color="auto"/>
              <w:left w:val="nil"/>
              <w:bottom w:val="single" w:sz="4" w:space="0" w:color="auto"/>
              <w:right w:val="single" w:sz="4" w:space="0" w:color="auto"/>
            </w:tcBorders>
            <w:hideMark/>
          </w:tcPr>
          <w:p w14:paraId="2EBE75FA" w14:textId="0F57A219"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 xml:space="preserve">LWS - An interesting stretch of active railway with a grassland community of </w:t>
            </w:r>
            <w:proofErr w:type="gramStart"/>
            <w:r w:rsidRPr="000663FF">
              <w:rPr>
                <w:rFonts w:ascii="Calibri" w:hAnsi="Calibri" w:cs="Calibri"/>
                <w:color w:val="auto"/>
                <w:sz w:val="22"/>
                <w:szCs w:val="22"/>
              </w:rPr>
              <w:t>particular note</w:t>
            </w:r>
            <w:proofErr w:type="gramEnd"/>
          </w:p>
        </w:tc>
        <w:tc>
          <w:tcPr>
            <w:tcW w:w="1984" w:type="dxa"/>
            <w:tcBorders>
              <w:top w:val="single" w:sz="4" w:space="0" w:color="auto"/>
              <w:left w:val="nil"/>
              <w:bottom w:val="single" w:sz="4" w:space="0" w:color="auto"/>
              <w:right w:val="single" w:sz="4" w:space="0" w:color="auto"/>
            </w:tcBorders>
            <w:hideMark/>
          </w:tcPr>
          <w:p w14:paraId="5BC0C419"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Stanton Hill &amp; Teversal</w:t>
            </w:r>
          </w:p>
        </w:tc>
      </w:tr>
      <w:tr w:rsidR="007D1949" w:rsidRPr="000663FF" w14:paraId="4D685FAF"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7D51115A" w14:textId="77777777" w:rsidR="007D1949" w:rsidRPr="00BB6CAF" w:rsidRDefault="007D1949" w:rsidP="007D1949">
            <w:pPr>
              <w:keepNext w:val="0"/>
              <w:spacing w:before="0"/>
              <w:rPr>
                <w:rFonts w:ascii="Calibri" w:hAnsi="Calibri" w:cs="Calibri"/>
                <w:strike/>
                <w:color w:val="auto"/>
                <w:sz w:val="22"/>
                <w:szCs w:val="22"/>
              </w:rPr>
            </w:pPr>
            <w:r w:rsidRPr="00BB6CAF">
              <w:rPr>
                <w:rFonts w:ascii="Calibri" w:hAnsi="Calibri" w:cs="Calibri"/>
                <w:strike/>
                <w:color w:val="auto"/>
                <w:sz w:val="22"/>
                <w:szCs w:val="22"/>
              </w:rPr>
              <w:t>EV4wu</w:t>
            </w:r>
          </w:p>
        </w:tc>
        <w:tc>
          <w:tcPr>
            <w:tcW w:w="2388" w:type="dxa"/>
            <w:tcBorders>
              <w:top w:val="nil"/>
              <w:left w:val="nil"/>
              <w:bottom w:val="single" w:sz="4" w:space="0" w:color="auto"/>
              <w:right w:val="single" w:sz="4" w:space="0" w:color="auto"/>
            </w:tcBorders>
            <w:hideMark/>
          </w:tcPr>
          <w:p w14:paraId="2A13A734" w14:textId="77777777" w:rsidR="007D1949" w:rsidRPr="00BB6CAF" w:rsidRDefault="007D1949" w:rsidP="007D1949">
            <w:pPr>
              <w:keepNext w:val="0"/>
              <w:spacing w:before="0"/>
              <w:rPr>
                <w:rFonts w:ascii="Calibri" w:hAnsi="Calibri" w:cs="Calibri"/>
                <w:strike/>
                <w:color w:val="auto"/>
                <w:sz w:val="22"/>
                <w:szCs w:val="22"/>
              </w:rPr>
            </w:pPr>
            <w:proofErr w:type="spellStart"/>
            <w:r w:rsidRPr="00BB6CAF">
              <w:rPr>
                <w:rFonts w:ascii="Calibri" w:hAnsi="Calibri" w:cs="Calibri"/>
                <w:strike/>
                <w:color w:val="auto"/>
                <w:sz w:val="22"/>
                <w:szCs w:val="22"/>
              </w:rPr>
              <w:t>Wighay</w:t>
            </w:r>
            <w:proofErr w:type="spellEnd"/>
            <w:r w:rsidRPr="00BB6CAF">
              <w:rPr>
                <w:rFonts w:ascii="Calibri" w:hAnsi="Calibri" w:cs="Calibri"/>
                <w:strike/>
                <w:color w:val="auto"/>
                <w:sz w:val="22"/>
                <w:szCs w:val="22"/>
              </w:rPr>
              <w:t xml:space="preserve"> Road Grassland</w:t>
            </w:r>
          </w:p>
        </w:tc>
        <w:tc>
          <w:tcPr>
            <w:tcW w:w="4395" w:type="dxa"/>
            <w:tcBorders>
              <w:top w:val="nil"/>
              <w:left w:val="nil"/>
              <w:bottom w:val="single" w:sz="4" w:space="0" w:color="auto"/>
              <w:right w:val="single" w:sz="4" w:space="0" w:color="auto"/>
            </w:tcBorders>
            <w:hideMark/>
          </w:tcPr>
          <w:p w14:paraId="4F0232F5" w14:textId="0EA948B9" w:rsidR="007D1949" w:rsidRPr="00BB6CAF" w:rsidRDefault="007D1949" w:rsidP="007D1949">
            <w:pPr>
              <w:keepNext w:val="0"/>
              <w:spacing w:before="0"/>
              <w:rPr>
                <w:rFonts w:ascii="Calibri" w:hAnsi="Calibri" w:cs="Calibri"/>
                <w:strike/>
                <w:color w:val="auto"/>
                <w:sz w:val="22"/>
                <w:szCs w:val="22"/>
              </w:rPr>
            </w:pPr>
            <w:r w:rsidRPr="00BB6CAF">
              <w:rPr>
                <w:rFonts w:ascii="Calibri" w:hAnsi="Calibri" w:cs="Calibri"/>
                <w:strike/>
                <w:color w:val="auto"/>
                <w:sz w:val="22"/>
                <w:szCs w:val="22"/>
              </w:rPr>
              <w:t>LWS - A base-rich grassland with a notable flora</w:t>
            </w:r>
          </w:p>
        </w:tc>
        <w:tc>
          <w:tcPr>
            <w:tcW w:w="1984" w:type="dxa"/>
            <w:tcBorders>
              <w:top w:val="nil"/>
              <w:left w:val="nil"/>
              <w:bottom w:val="single" w:sz="4" w:space="0" w:color="auto"/>
              <w:right w:val="single" w:sz="4" w:space="0" w:color="auto"/>
            </w:tcBorders>
            <w:hideMark/>
          </w:tcPr>
          <w:p w14:paraId="2269BC45" w14:textId="77777777" w:rsidR="007D1949" w:rsidRPr="00BB6CAF" w:rsidRDefault="007D1949" w:rsidP="007D1949">
            <w:pPr>
              <w:keepNext w:val="0"/>
              <w:spacing w:before="0"/>
              <w:rPr>
                <w:rFonts w:ascii="Calibri" w:hAnsi="Calibri" w:cs="Calibri"/>
                <w:strike/>
                <w:color w:val="auto"/>
                <w:sz w:val="22"/>
                <w:szCs w:val="22"/>
              </w:rPr>
            </w:pPr>
            <w:r w:rsidRPr="00BB6CAF">
              <w:rPr>
                <w:rFonts w:ascii="Calibri" w:hAnsi="Calibri" w:cs="Calibri"/>
                <w:strike/>
                <w:color w:val="auto"/>
                <w:sz w:val="22"/>
                <w:szCs w:val="22"/>
              </w:rPr>
              <w:t>Hucknall North</w:t>
            </w:r>
          </w:p>
        </w:tc>
      </w:tr>
      <w:tr w:rsidR="007D1949" w:rsidRPr="000663FF" w14:paraId="44BDCA04"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382B9464"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EV4wv</w:t>
            </w:r>
          </w:p>
        </w:tc>
        <w:tc>
          <w:tcPr>
            <w:tcW w:w="2388" w:type="dxa"/>
            <w:tcBorders>
              <w:top w:val="nil"/>
              <w:left w:val="nil"/>
              <w:bottom w:val="single" w:sz="4" w:space="0" w:color="auto"/>
              <w:right w:val="single" w:sz="4" w:space="0" w:color="auto"/>
            </w:tcBorders>
            <w:hideMark/>
          </w:tcPr>
          <w:p w14:paraId="7AE895AB" w14:textId="77777777" w:rsidR="007D1949" w:rsidRPr="000663FF" w:rsidRDefault="007D1949" w:rsidP="007D1949">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Wighay</w:t>
            </w:r>
            <w:proofErr w:type="spellEnd"/>
            <w:r w:rsidRPr="000663FF">
              <w:rPr>
                <w:rFonts w:ascii="Calibri" w:hAnsi="Calibri" w:cs="Calibri"/>
                <w:color w:val="auto"/>
                <w:sz w:val="22"/>
                <w:szCs w:val="22"/>
              </w:rPr>
              <w:t xml:space="preserve"> Wood</w:t>
            </w:r>
          </w:p>
        </w:tc>
        <w:tc>
          <w:tcPr>
            <w:tcW w:w="4395" w:type="dxa"/>
            <w:tcBorders>
              <w:top w:val="nil"/>
              <w:left w:val="nil"/>
              <w:bottom w:val="single" w:sz="4" w:space="0" w:color="auto"/>
              <w:right w:val="single" w:sz="4" w:space="0" w:color="auto"/>
            </w:tcBorders>
            <w:hideMark/>
          </w:tcPr>
          <w:p w14:paraId="47C2BD0D" w14:textId="478A795B"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mixed woodland that retains some interest</w:t>
            </w:r>
          </w:p>
        </w:tc>
        <w:tc>
          <w:tcPr>
            <w:tcW w:w="1984" w:type="dxa"/>
            <w:tcBorders>
              <w:top w:val="nil"/>
              <w:left w:val="nil"/>
              <w:bottom w:val="single" w:sz="4" w:space="0" w:color="auto"/>
              <w:right w:val="single" w:sz="4" w:space="0" w:color="auto"/>
            </w:tcBorders>
            <w:hideMark/>
          </w:tcPr>
          <w:p w14:paraId="14DB8659"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7D1949" w:rsidRPr="000663FF" w14:paraId="0ABEA5E9"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3FFBD272"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EV4ww</w:t>
            </w:r>
          </w:p>
        </w:tc>
        <w:tc>
          <w:tcPr>
            <w:tcW w:w="2388" w:type="dxa"/>
            <w:tcBorders>
              <w:top w:val="nil"/>
              <w:left w:val="nil"/>
              <w:bottom w:val="single" w:sz="4" w:space="0" w:color="auto"/>
              <w:right w:val="single" w:sz="4" w:space="0" w:color="auto"/>
            </w:tcBorders>
            <w:hideMark/>
          </w:tcPr>
          <w:p w14:paraId="3AC534D5" w14:textId="77777777" w:rsidR="007D1949" w:rsidRPr="000663FF" w:rsidRDefault="007D1949" w:rsidP="007D1949">
            <w:pPr>
              <w:keepNext w:val="0"/>
              <w:spacing w:before="0"/>
              <w:rPr>
                <w:rFonts w:ascii="Calibri" w:hAnsi="Calibri" w:cs="Calibri"/>
                <w:color w:val="auto"/>
                <w:sz w:val="22"/>
                <w:szCs w:val="22"/>
              </w:rPr>
            </w:pPr>
            <w:proofErr w:type="spellStart"/>
            <w:r w:rsidRPr="000663FF">
              <w:rPr>
                <w:rFonts w:ascii="Calibri" w:hAnsi="Calibri" w:cs="Calibri"/>
                <w:color w:val="auto"/>
                <w:sz w:val="22"/>
                <w:szCs w:val="22"/>
              </w:rPr>
              <w:t>Wighay</w:t>
            </w:r>
            <w:proofErr w:type="spellEnd"/>
            <w:r w:rsidRPr="000663FF">
              <w:rPr>
                <w:rFonts w:ascii="Calibri" w:hAnsi="Calibri" w:cs="Calibri"/>
                <w:color w:val="auto"/>
                <w:sz w:val="22"/>
                <w:szCs w:val="22"/>
              </w:rPr>
              <w:t xml:space="preserve"> Wood Stream</w:t>
            </w:r>
          </w:p>
        </w:tc>
        <w:tc>
          <w:tcPr>
            <w:tcW w:w="4395" w:type="dxa"/>
            <w:tcBorders>
              <w:top w:val="nil"/>
              <w:left w:val="nil"/>
              <w:bottom w:val="single" w:sz="4" w:space="0" w:color="auto"/>
              <w:right w:val="single" w:sz="4" w:space="0" w:color="auto"/>
            </w:tcBorders>
            <w:hideMark/>
          </w:tcPr>
          <w:p w14:paraId="3A88ABEA" w14:textId="265E672F"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rich woodland lining a clear stream</w:t>
            </w:r>
          </w:p>
        </w:tc>
        <w:tc>
          <w:tcPr>
            <w:tcW w:w="1984" w:type="dxa"/>
            <w:tcBorders>
              <w:top w:val="nil"/>
              <w:left w:val="nil"/>
              <w:bottom w:val="single" w:sz="4" w:space="0" w:color="auto"/>
              <w:right w:val="single" w:sz="4" w:space="0" w:color="auto"/>
            </w:tcBorders>
            <w:hideMark/>
          </w:tcPr>
          <w:p w14:paraId="2838165D"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Hucknall West</w:t>
            </w:r>
          </w:p>
        </w:tc>
      </w:tr>
      <w:tr w:rsidR="007D1949" w:rsidRPr="000663FF" w14:paraId="7592A83A"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4EEF90FE"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EV4wx</w:t>
            </w:r>
          </w:p>
        </w:tc>
        <w:tc>
          <w:tcPr>
            <w:tcW w:w="2388" w:type="dxa"/>
            <w:tcBorders>
              <w:top w:val="nil"/>
              <w:left w:val="nil"/>
              <w:bottom w:val="single" w:sz="4" w:space="0" w:color="auto"/>
              <w:right w:val="single" w:sz="4" w:space="0" w:color="auto"/>
            </w:tcBorders>
            <w:hideMark/>
          </w:tcPr>
          <w:p w14:paraId="579A46B3"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William Wood</w:t>
            </w:r>
          </w:p>
        </w:tc>
        <w:tc>
          <w:tcPr>
            <w:tcW w:w="4395" w:type="dxa"/>
            <w:tcBorders>
              <w:top w:val="nil"/>
              <w:left w:val="nil"/>
              <w:bottom w:val="single" w:sz="4" w:space="0" w:color="auto"/>
              <w:right w:val="single" w:sz="4" w:space="0" w:color="auto"/>
            </w:tcBorders>
            <w:hideMark/>
          </w:tcPr>
          <w:p w14:paraId="5497267B" w14:textId="3B26CBAE"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mature deciduous woodland with a noteworthy ground flora</w:t>
            </w:r>
          </w:p>
        </w:tc>
        <w:tc>
          <w:tcPr>
            <w:tcW w:w="1984" w:type="dxa"/>
            <w:tcBorders>
              <w:top w:val="nil"/>
              <w:left w:val="nil"/>
              <w:bottom w:val="single" w:sz="4" w:space="0" w:color="auto"/>
              <w:right w:val="single" w:sz="4" w:space="0" w:color="auto"/>
            </w:tcBorders>
            <w:hideMark/>
          </w:tcPr>
          <w:p w14:paraId="45AC1446"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Annesley &amp; Kirkby Woodhouse</w:t>
            </w:r>
          </w:p>
        </w:tc>
      </w:tr>
      <w:tr w:rsidR="007D1949" w:rsidRPr="000663FF" w14:paraId="5E69E6E6" w14:textId="77777777" w:rsidTr="00DC0D18">
        <w:trPr>
          <w:trHeight w:val="290"/>
        </w:trPr>
        <w:tc>
          <w:tcPr>
            <w:tcW w:w="1009" w:type="dxa"/>
            <w:tcBorders>
              <w:top w:val="nil"/>
              <w:left w:val="single" w:sz="4" w:space="0" w:color="auto"/>
              <w:bottom w:val="single" w:sz="4" w:space="0" w:color="auto"/>
              <w:right w:val="single" w:sz="4" w:space="0" w:color="auto"/>
            </w:tcBorders>
            <w:hideMark/>
          </w:tcPr>
          <w:p w14:paraId="164CC15E"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EV4wy</w:t>
            </w:r>
          </w:p>
        </w:tc>
        <w:tc>
          <w:tcPr>
            <w:tcW w:w="2388" w:type="dxa"/>
            <w:tcBorders>
              <w:top w:val="nil"/>
              <w:left w:val="nil"/>
              <w:bottom w:val="single" w:sz="4" w:space="0" w:color="auto"/>
              <w:right w:val="single" w:sz="4" w:space="0" w:color="auto"/>
            </w:tcBorders>
            <w:hideMark/>
          </w:tcPr>
          <w:p w14:paraId="19A2F636"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Winter Close Grassland, New Brinsley</w:t>
            </w:r>
          </w:p>
        </w:tc>
        <w:tc>
          <w:tcPr>
            <w:tcW w:w="4395" w:type="dxa"/>
            <w:tcBorders>
              <w:top w:val="nil"/>
              <w:left w:val="nil"/>
              <w:bottom w:val="single" w:sz="4" w:space="0" w:color="auto"/>
              <w:right w:val="single" w:sz="4" w:space="0" w:color="auto"/>
            </w:tcBorders>
            <w:hideMark/>
          </w:tcPr>
          <w:p w14:paraId="1BCC3EE6" w14:textId="5A609D96"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Neutral grassland</w:t>
            </w:r>
          </w:p>
        </w:tc>
        <w:tc>
          <w:tcPr>
            <w:tcW w:w="1984" w:type="dxa"/>
            <w:tcBorders>
              <w:top w:val="nil"/>
              <w:left w:val="nil"/>
              <w:bottom w:val="single" w:sz="4" w:space="0" w:color="auto"/>
              <w:right w:val="single" w:sz="4" w:space="0" w:color="auto"/>
            </w:tcBorders>
            <w:hideMark/>
          </w:tcPr>
          <w:p w14:paraId="0595C9C3"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Underwood</w:t>
            </w:r>
          </w:p>
        </w:tc>
      </w:tr>
      <w:tr w:rsidR="007D1949" w:rsidRPr="000663FF" w14:paraId="593264DE" w14:textId="77777777" w:rsidTr="00DC0D18">
        <w:trPr>
          <w:trHeight w:val="580"/>
        </w:trPr>
        <w:tc>
          <w:tcPr>
            <w:tcW w:w="1009" w:type="dxa"/>
            <w:tcBorders>
              <w:top w:val="nil"/>
              <w:left w:val="single" w:sz="4" w:space="0" w:color="auto"/>
              <w:bottom w:val="single" w:sz="4" w:space="0" w:color="auto"/>
              <w:right w:val="single" w:sz="4" w:space="0" w:color="auto"/>
            </w:tcBorders>
            <w:hideMark/>
          </w:tcPr>
          <w:p w14:paraId="1FCBF414"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EV4wz</w:t>
            </w:r>
          </w:p>
        </w:tc>
        <w:tc>
          <w:tcPr>
            <w:tcW w:w="2388" w:type="dxa"/>
            <w:tcBorders>
              <w:top w:val="nil"/>
              <w:left w:val="nil"/>
              <w:bottom w:val="single" w:sz="4" w:space="0" w:color="auto"/>
              <w:right w:val="single" w:sz="4" w:space="0" w:color="auto"/>
            </w:tcBorders>
            <w:hideMark/>
          </w:tcPr>
          <w:p w14:paraId="6E5F53AB"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Woodhouse Lane Quarry</w:t>
            </w:r>
          </w:p>
        </w:tc>
        <w:tc>
          <w:tcPr>
            <w:tcW w:w="4395" w:type="dxa"/>
            <w:tcBorders>
              <w:top w:val="nil"/>
              <w:left w:val="nil"/>
              <w:bottom w:val="single" w:sz="4" w:space="0" w:color="auto"/>
              <w:right w:val="single" w:sz="4" w:space="0" w:color="auto"/>
            </w:tcBorders>
            <w:hideMark/>
          </w:tcPr>
          <w:p w14:paraId="5A19ADFF" w14:textId="57CEFF59"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LWS - A calcareous grassland and scrub on an old quarry site</w:t>
            </w:r>
          </w:p>
        </w:tc>
        <w:tc>
          <w:tcPr>
            <w:tcW w:w="1984" w:type="dxa"/>
            <w:tcBorders>
              <w:top w:val="nil"/>
              <w:left w:val="nil"/>
              <w:bottom w:val="single" w:sz="4" w:space="0" w:color="auto"/>
              <w:right w:val="single" w:sz="4" w:space="0" w:color="auto"/>
            </w:tcBorders>
            <w:hideMark/>
          </w:tcPr>
          <w:p w14:paraId="2634F89D" w14:textId="77777777" w:rsidR="007D1949" w:rsidRPr="000663FF" w:rsidRDefault="007D1949" w:rsidP="007D1949">
            <w:pPr>
              <w:keepNext w:val="0"/>
              <w:spacing w:before="0"/>
              <w:rPr>
                <w:rFonts w:ascii="Calibri" w:hAnsi="Calibri" w:cs="Calibri"/>
                <w:color w:val="auto"/>
                <w:sz w:val="22"/>
                <w:szCs w:val="22"/>
              </w:rPr>
            </w:pPr>
            <w:r w:rsidRPr="000663FF">
              <w:rPr>
                <w:rFonts w:ascii="Calibri" w:hAnsi="Calibri" w:cs="Calibri"/>
                <w:color w:val="auto"/>
                <w:sz w:val="22"/>
                <w:szCs w:val="22"/>
              </w:rPr>
              <w:t>Skegby</w:t>
            </w:r>
          </w:p>
        </w:tc>
      </w:tr>
    </w:tbl>
    <w:p w14:paraId="2EECB683" w14:textId="1D191D3D" w:rsidR="00C602FD" w:rsidRPr="000663FF" w:rsidRDefault="00C602FD" w:rsidP="00C602FD">
      <w:pPr>
        <w:keepNext w:val="0"/>
        <w:autoSpaceDE w:val="0"/>
        <w:autoSpaceDN w:val="0"/>
        <w:adjustRightInd w:val="0"/>
        <w:spacing w:before="0"/>
        <w:rPr>
          <w:rFonts w:cs="Arial"/>
          <w:b/>
          <w:bCs/>
          <w:color w:val="auto"/>
          <w:sz w:val="28"/>
          <w:szCs w:val="28"/>
        </w:rPr>
      </w:pPr>
      <w:r w:rsidRPr="000663FF">
        <w:rPr>
          <w:rFonts w:cs="Arial"/>
          <w:i/>
          <w:color w:val="auto"/>
          <w:szCs w:val="24"/>
        </w:rPr>
        <w:br w:type="page"/>
      </w:r>
    </w:p>
    <w:p w14:paraId="23724C25" w14:textId="03400B02" w:rsidR="00C602FD" w:rsidRPr="00967C7D" w:rsidRDefault="00C602FD" w:rsidP="00CF07B9">
      <w:pPr>
        <w:pStyle w:val="Heading1"/>
      </w:pPr>
      <w:bookmarkStart w:id="343" w:name="_Toc145511629"/>
      <w:r w:rsidRPr="00967C7D">
        <w:lastRenderedPageBreak/>
        <w:t>Appendix 7- Policy EV5: Protection of Green Spaces and Recreational Facilities</w:t>
      </w:r>
      <w:bookmarkEnd w:id="343"/>
    </w:p>
    <w:p w14:paraId="56B56C7D" w14:textId="77777777" w:rsidR="00C602FD" w:rsidRDefault="00C602FD" w:rsidP="00C602FD">
      <w:pPr>
        <w:keepNext w:val="0"/>
        <w:autoSpaceDE w:val="0"/>
        <w:autoSpaceDN w:val="0"/>
        <w:adjustRightInd w:val="0"/>
        <w:spacing w:before="0"/>
        <w:rPr>
          <w:rFonts w:cs="Arial"/>
          <w:b/>
          <w:bCs/>
          <w:sz w:val="28"/>
          <w:szCs w:val="28"/>
        </w:rPr>
      </w:pPr>
    </w:p>
    <w:p w14:paraId="7E5C5A91" w14:textId="77777777" w:rsidR="00967C7D" w:rsidRPr="00967C7D" w:rsidRDefault="00967C7D" w:rsidP="00967C7D">
      <w:pPr>
        <w:keepNext w:val="0"/>
        <w:spacing w:before="0"/>
        <w:jc w:val="both"/>
        <w:rPr>
          <w:rFonts w:cs="Arial"/>
          <w:b/>
          <w:color w:val="auto"/>
        </w:rPr>
      </w:pPr>
      <w:r w:rsidRPr="00967C7D">
        <w:rPr>
          <w:rFonts w:cs="Arial"/>
          <w:b/>
          <w:color w:val="auto"/>
        </w:rPr>
        <w:t>Green Spaces and Recreational Facilities</w:t>
      </w:r>
    </w:p>
    <w:p w14:paraId="380B6BFB" w14:textId="77777777" w:rsidR="00967C7D" w:rsidRPr="00967C7D" w:rsidRDefault="00967C7D" w:rsidP="00967C7D">
      <w:pPr>
        <w:keepNext w:val="0"/>
        <w:spacing w:before="0"/>
        <w:jc w:val="both"/>
        <w:rPr>
          <w:rFonts w:cs="Arial"/>
          <w:b/>
          <w:color w:val="auto"/>
        </w:rPr>
      </w:pPr>
    </w:p>
    <w:tbl>
      <w:tblPr>
        <w:tblStyle w:val="TableGrid3"/>
        <w:tblW w:w="9357" w:type="dxa"/>
        <w:tblLook w:val="0020" w:firstRow="1" w:lastRow="0" w:firstColumn="0" w:lastColumn="0" w:noHBand="0" w:noVBand="0"/>
      </w:tblPr>
      <w:tblGrid>
        <w:gridCol w:w="1280"/>
        <w:gridCol w:w="6230"/>
        <w:gridCol w:w="1847"/>
      </w:tblGrid>
      <w:tr w:rsidR="00967C7D" w:rsidRPr="00967C7D" w14:paraId="52D8F12A" w14:textId="77777777" w:rsidTr="00B5314A">
        <w:trPr>
          <w:trHeight w:val="555"/>
        </w:trPr>
        <w:tc>
          <w:tcPr>
            <w:tcW w:w="1280" w:type="dxa"/>
          </w:tcPr>
          <w:p w14:paraId="293A470A" w14:textId="77777777" w:rsidR="00967C7D" w:rsidRPr="00967C7D" w:rsidRDefault="00967C7D" w:rsidP="00967C7D">
            <w:pPr>
              <w:keepNext w:val="0"/>
              <w:spacing w:before="0"/>
              <w:rPr>
                <w:rFonts w:cs="Arial"/>
                <w:b/>
                <w:bCs/>
                <w:color w:val="auto"/>
                <w:sz w:val="20"/>
              </w:rPr>
            </w:pPr>
            <w:r w:rsidRPr="00967C7D">
              <w:rPr>
                <w:rFonts w:cs="Arial"/>
                <w:b/>
                <w:bCs/>
                <w:color w:val="auto"/>
                <w:sz w:val="20"/>
              </w:rPr>
              <w:t>Local Plan Reference</w:t>
            </w:r>
          </w:p>
        </w:tc>
        <w:tc>
          <w:tcPr>
            <w:tcW w:w="6230" w:type="dxa"/>
            <w:noWrap/>
          </w:tcPr>
          <w:p w14:paraId="3BC40FB8" w14:textId="77777777" w:rsidR="00967C7D" w:rsidRPr="00967C7D" w:rsidRDefault="00967C7D" w:rsidP="00967C7D">
            <w:pPr>
              <w:keepNext w:val="0"/>
              <w:spacing w:before="0"/>
              <w:rPr>
                <w:rFonts w:cs="Arial"/>
                <w:b/>
                <w:bCs/>
                <w:color w:val="auto"/>
                <w:sz w:val="20"/>
              </w:rPr>
            </w:pPr>
            <w:r w:rsidRPr="00967C7D">
              <w:rPr>
                <w:rFonts w:cs="Arial"/>
                <w:b/>
                <w:bCs/>
                <w:color w:val="auto"/>
                <w:sz w:val="20"/>
              </w:rPr>
              <w:t>Site Name</w:t>
            </w:r>
          </w:p>
        </w:tc>
        <w:tc>
          <w:tcPr>
            <w:tcW w:w="1847" w:type="dxa"/>
            <w:noWrap/>
          </w:tcPr>
          <w:p w14:paraId="6B9BCB73" w14:textId="77777777" w:rsidR="00967C7D" w:rsidRPr="00967C7D" w:rsidRDefault="00967C7D" w:rsidP="00967C7D">
            <w:pPr>
              <w:keepNext w:val="0"/>
              <w:spacing w:before="0"/>
              <w:rPr>
                <w:rFonts w:cs="Arial"/>
                <w:b/>
                <w:bCs/>
                <w:color w:val="auto"/>
                <w:sz w:val="20"/>
              </w:rPr>
            </w:pPr>
            <w:r w:rsidRPr="00967C7D">
              <w:rPr>
                <w:rFonts w:cs="Arial"/>
                <w:b/>
                <w:bCs/>
                <w:color w:val="auto"/>
                <w:sz w:val="20"/>
              </w:rPr>
              <w:t>Sheet</w:t>
            </w:r>
          </w:p>
        </w:tc>
      </w:tr>
      <w:tr w:rsidR="00967C7D" w:rsidRPr="00967C7D" w14:paraId="1105FD48" w14:textId="77777777" w:rsidTr="00B5314A">
        <w:trPr>
          <w:trHeight w:val="284"/>
        </w:trPr>
        <w:tc>
          <w:tcPr>
            <w:tcW w:w="1280" w:type="dxa"/>
          </w:tcPr>
          <w:p w14:paraId="67A8B1CC" w14:textId="77777777" w:rsidR="00967C7D" w:rsidRPr="00967C7D" w:rsidRDefault="00967C7D" w:rsidP="00967C7D">
            <w:pPr>
              <w:keepNext w:val="0"/>
              <w:spacing w:before="0"/>
              <w:rPr>
                <w:rFonts w:cs="Arial"/>
                <w:bCs/>
                <w:color w:val="auto"/>
                <w:sz w:val="20"/>
              </w:rPr>
            </w:pPr>
            <w:r w:rsidRPr="00967C7D">
              <w:rPr>
                <w:rFonts w:cs="Arial"/>
                <w:bCs/>
                <w:color w:val="auto"/>
                <w:sz w:val="20"/>
              </w:rPr>
              <w:t>EV5/1</w:t>
            </w:r>
          </w:p>
        </w:tc>
        <w:tc>
          <w:tcPr>
            <w:tcW w:w="6230" w:type="dxa"/>
            <w:noWrap/>
          </w:tcPr>
          <w:p w14:paraId="4DB9BB45" w14:textId="77777777" w:rsidR="00967C7D" w:rsidRPr="00967C7D" w:rsidRDefault="00967C7D" w:rsidP="00967C7D">
            <w:pPr>
              <w:keepNext w:val="0"/>
              <w:spacing w:before="0"/>
              <w:rPr>
                <w:rFonts w:cs="Arial"/>
                <w:bCs/>
                <w:color w:val="auto"/>
                <w:sz w:val="20"/>
              </w:rPr>
            </w:pPr>
            <w:r w:rsidRPr="00967C7D">
              <w:rPr>
                <w:rFonts w:cs="Arial"/>
                <w:bCs/>
                <w:color w:val="auto"/>
                <w:sz w:val="20"/>
              </w:rPr>
              <w:t>Hucknall Bypass Embankment - South</w:t>
            </w:r>
          </w:p>
        </w:tc>
        <w:tc>
          <w:tcPr>
            <w:tcW w:w="1847" w:type="dxa"/>
            <w:noWrap/>
          </w:tcPr>
          <w:p w14:paraId="69522FF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AFDCCD7" w14:textId="77777777" w:rsidTr="00B5314A">
        <w:trPr>
          <w:trHeight w:val="284"/>
        </w:trPr>
        <w:tc>
          <w:tcPr>
            <w:tcW w:w="1280" w:type="dxa"/>
          </w:tcPr>
          <w:p w14:paraId="2DD266A2" w14:textId="77777777" w:rsidR="00967C7D" w:rsidRPr="00967C7D" w:rsidRDefault="00967C7D" w:rsidP="00967C7D">
            <w:pPr>
              <w:keepNext w:val="0"/>
              <w:spacing w:before="0"/>
              <w:rPr>
                <w:rFonts w:cs="Arial"/>
                <w:bCs/>
                <w:color w:val="auto"/>
                <w:sz w:val="20"/>
              </w:rPr>
            </w:pPr>
            <w:r w:rsidRPr="00967C7D">
              <w:rPr>
                <w:rFonts w:cs="Arial"/>
                <w:bCs/>
                <w:color w:val="auto"/>
                <w:sz w:val="20"/>
              </w:rPr>
              <w:t>EV5/2</w:t>
            </w:r>
          </w:p>
        </w:tc>
        <w:tc>
          <w:tcPr>
            <w:tcW w:w="6230" w:type="dxa"/>
            <w:noWrap/>
          </w:tcPr>
          <w:p w14:paraId="7BB82685" w14:textId="77777777" w:rsidR="00967C7D" w:rsidRPr="00967C7D" w:rsidRDefault="00967C7D" w:rsidP="00967C7D">
            <w:pPr>
              <w:keepNext w:val="0"/>
              <w:spacing w:before="0"/>
              <w:rPr>
                <w:rFonts w:cs="Arial"/>
                <w:bCs/>
                <w:color w:val="auto"/>
                <w:sz w:val="20"/>
              </w:rPr>
            </w:pPr>
            <w:r w:rsidRPr="00967C7D">
              <w:rPr>
                <w:rFonts w:cs="Arial"/>
                <w:bCs/>
                <w:color w:val="auto"/>
                <w:sz w:val="20"/>
              </w:rPr>
              <w:t>Hucknall Lane Nature Area</w:t>
            </w:r>
          </w:p>
        </w:tc>
        <w:tc>
          <w:tcPr>
            <w:tcW w:w="1847" w:type="dxa"/>
            <w:noWrap/>
          </w:tcPr>
          <w:p w14:paraId="62AABC1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37F6E10" w14:textId="77777777" w:rsidTr="00B5314A">
        <w:trPr>
          <w:trHeight w:val="284"/>
        </w:trPr>
        <w:tc>
          <w:tcPr>
            <w:tcW w:w="1280" w:type="dxa"/>
          </w:tcPr>
          <w:p w14:paraId="05A826D5" w14:textId="77777777" w:rsidR="00967C7D" w:rsidRPr="00967C7D" w:rsidRDefault="00967C7D" w:rsidP="00967C7D">
            <w:pPr>
              <w:keepNext w:val="0"/>
              <w:spacing w:before="0"/>
              <w:rPr>
                <w:rFonts w:cs="Arial"/>
                <w:bCs/>
                <w:color w:val="auto"/>
                <w:sz w:val="20"/>
              </w:rPr>
            </w:pPr>
            <w:r w:rsidRPr="00967C7D">
              <w:rPr>
                <w:rFonts w:cs="Arial"/>
                <w:bCs/>
                <w:color w:val="auto"/>
                <w:sz w:val="20"/>
              </w:rPr>
              <w:t>EV5/3</w:t>
            </w:r>
          </w:p>
        </w:tc>
        <w:tc>
          <w:tcPr>
            <w:tcW w:w="6230" w:type="dxa"/>
            <w:noWrap/>
          </w:tcPr>
          <w:p w14:paraId="1EE65AE0" w14:textId="77777777" w:rsidR="00967C7D" w:rsidRPr="00967C7D" w:rsidRDefault="00967C7D" w:rsidP="00967C7D">
            <w:pPr>
              <w:keepNext w:val="0"/>
              <w:spacing w:before="0"/>
              <w:rPr>
                <w:rFonts w:cs="Arial"/>
                <w:bCs/>
                <w:color w:val="auto"/>
                <w:sz w:val="20"/>
              </w:rPr>
            </w:pPr>
            <w:r w:rsidRPr="00967C7D">
              <w:rPr>
                <w:rFonts w:cs="Arial"/>
                <w:bCs/>
                <w:color w:val="auto"/>
                <w:sz w:val="20"/>
              </w:rPr>
              <w:t>Shelton Avenue</w:t>
            </w:r>
          </w:p>
        </w:tc>
        <w:tc>
          <w:tcPr>
            <w:tcW w:w="1847" w:type="dxa"/>
            <w:noWrap/>
          </w:tcPr>
          <w:p w14:paraId="0638FE46"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7187491" w14:textId="77777777" w:rsidTr="00B5314A">
        <w:trPr>
          <w:trHeight w:val="284"/>
        </w:trPr>
        <w:tc>
          <w:tcPr>
            <w:tcW w:w="1280" w:type="dxa"/>
          </w:tcPr>
          <w:p w14:paraId="5AAE4336" w14:textId="77777777" w:rsidR="00967C7D" w:rsidRPr="00967C7D" w:rsidRDefault="00967C7D" w:rsidP="00967C7D">
            <w:pPr>
              <w:keepNext w:val="0"/>
              <w:spacing w:before="0"/>
              <w:rPr>
                <w:rFonts w:cs="Arial"/>
                <w:bCs/>
                <w:color w:val="auto"/>
                <w:sz w:val="20"/>
              </w:rPr>
            </w:pPr>
            <w:r w:rsidRPr="00967C7D">
              <w:rPr>
                <w:rFonts w:cs="Arial"/>
                <w:bCs/>
                <w:color w:val="auto"/>
                <w:sz w:val="20"/>
              </w:rPr>
              <w:t>EV5/4</w:t>
            </w:r>
          </w:p>
        </w:tc>
        <w:tc>
          <w:tcPr>
            <w:tcW w:w="6230" w:type="dxa"/>
            <w:noWrap/>
          </w:tcPr>
          <w:p w14:paraId="6A5561EE" w14:textId="77777777" w:rsidR="00967C7D" w:rsidRPr="00967C7D" w:rsidRDefault="00967C7D" w:rsidP="00967C7D">
            <w:pPr>
              <w:keepNext w:val="0"/>
              <w:spacing w:before="0"/>
              <w:rPr>
                <w:rFonts w:cs="Arial"/>
                <w:bCs/>
                <w:color w:val="auto"/>
                <w:sz w:val="20"/>
              </w:rPr>
            </w:pPr>
            <w:r w:rsidRPr="00967C7D">
              <w:rPr>
                <w:rFonts w:cs="Arial"/>
                <w:bCs/>
                <w:color w:val="auto"/>
                <w:sz w:val="20"/>
              </w:rPr>
              <w:t>Rolls Royce Sports Ground</w:t>
            </w:r>
          </w:p>
        </w:tc>
        <w:tc>
          <w:tcPr>
            <w:tcW w:w="1847" w:type="dxa"/>
            <w:noWrap/>
          </w:tcPr>
          <w:p w14:paraId="689AD634"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04003D" w:rsidRPr="00967C7D" w14:paraId="6BF387E1" w14:textId="77777777" w:rsidTr="00B5314A">
        <w:trPr>
          <w:trHeight w:val="284"/>
        </w:trPr>
        <w:tc>
          <w:tcPr>
            <w:tcW w:w="1280" w:type="dxa"/>
          </w:tcPr>
          <w:p w14:paraId="767AC346" w14:textId="5EA8BBDE" w:rsidR="0004003D" w:rsidRPr="00967C7D" w:rsidRDefault="0004003D" w:rsidP="00967C7D">
            <w:pPr>
              <w:keepNext w:val="0"/>
              <w:spacing w:before="0"/>
              <w:rPr>
                <w:rFonts w:cs="Arial"/>
                <w:bCs/>
                <w:color w:val="auto"/>
                <w:sz w:val="20"/>
              </w:rPr>
            </w:pPr>
            <w:r>
              <w:rPr>
                <w:rFonts w:cs="Arial"/>
                <w:bCs/>
                <w:color w:val="auto"/>
                <w:sz w:val="20"/>
              </w:rPr>
              <w:t>EV5/5</w:t>
            </w:r>
          </w:p>
        </w:tc>
        <w:tc>
          <w:tcPr>
            <w:tcW w:w="6230" w:type="dxa"/>
            <w:noWrap/>
          </w:tcPr>
          <w:p w14:paraId="5EA25B86" w14:textId="599A095A" w:rsidR="0004003D" w:rsidRPr="00967C7D" w:rsidRDefault="0004003D" w:rsidP="00967C7D">
            <w:pPr>
              <w:keepNext w:val="0"/>
              <w:spacing w:before="0"/>
              <w:rPr>
                <w:rFonts w:cs="Arial"/>
                <w:bCs/>
                <w:color w:val="auto"/>
                <w:sz w:val="20"/>
              </w:rPr>
            </w:pPr>
            <w:r>
              <w:rPr>
                <w:rFonts w:cs="Arial"/>
                <w:bCs/>
                <w:color w:val="auto"/>
                <w:sz w:val="20"/>
              </w:rPr>
              <w:t>Garden Road</w:t>
            </w:r>
          </w:p>
        </w:tc>
        <w:tc>
          <w:tcPr>
            <w:tcW w:w="1847" w:type="dxa"/>
            <w:noWrap/>
          </w:tcPr>
          <w:p w14:paraId="159E10B4" w14:textId="5A4E7F96" w:rsidR="0004003D" w:rsidRPr="00967C7D" w:rsidRDefault="0004003D" w:rsidP="00967C7D">
            <w:pPr>
              <w:keepNext w:val="0"/>
              <w:spacing w:before="0"/>
              <w:rPr>
                <w:rFonts w:cs="Arial"/>
                <w:bCs/>
                <w:color w:val="auto"/>
                <w:sz w:val="20"/>
              </w:rPr>
            </w:pPr>
            <w:r>
              <w:rPr>
                <w:rFonts w:cs="Arial"/>
                <w:bCs/>
                <w:color w:val="auto"/>
                <w:sz w:val="20"/>
              </w:rPr>
              <w:t>South Sheet</w:t>
            </w:r>
          </w:p>
        </w:tc>
      </w:tr>
      <w:tr w:rsidR="00967C7D" w:rsidRPr="00967C7D" w14:paraId="260F4811" w14:textId="77777777" w:rsidTr="00B5314A">
        <w:trPr>
          <w:trHeight w:val="284"/>
        </w:trPr>
        <w:tc>
          <w:tcPr>
            <w:tcW w:w="1280" w:type="dxa"/>
          </w:tcPr>
          <w:p w14:paraId="0C9CE3DD" w14:textId="77777777" w:rsidR="00967C7D" w:rsidRPr="00967C7D" w:rsidRDefault="00967C7D" w:rsidP="00967C7D">
            <w:pPr>
              <w:keepNext w:val="0"/>
              <w:spacing w:before="0"/>
              <w:rPr>
                <w:rFonts w:cs="Arial"/>
                <w:bCs/>
                <w:color w:val="auto"/>
                <w:sz w:val="20"/>
              </w:rPr>
            </w:pPr>
            <w:r w:rsidRPr="00967C7D">
              <w:rPr>
                <w:rFonts w:cs="Arial"/>
                <w:bCs/>
                <w:color w:val="auto"/>
                <w:sz w:val="20"/>
              </w:rPr>
              <w:t>EV5/6</w:t>
            </w:r>
          </w:p>
        </w:tc>
        <w:tc>
          <w:tcPr>
            <w:tcW w:w="6230" w:type="dxa"/>
            <w:noWrap/>
          </w:tcPr>
          <w:p w14:paraId="79DE4144" w14:textId="77777777" w:rsidR="00967C7D" w:rsidRPr="00967C7D" w:rsidRDefault="00967C7D" w:rsidP="00967C7D">
            <w:pPr>
              <w:keepNext w:val="0"/>
              <w:spacing w:before="0"/>
              <w:rPr>
                <w:rFonts w:cs="Arial"/>
                <w:bCs/>
                <w:color w:val="auto"/>
                <w:sz w:val="20"/>
              </w:rPr>
            </w:pPr>
            <w:r w:rsidRPr="00967C7D">
              <w:rPr>
                <w:rFonts w:cs="Arial"/>
                <w:bCs/>
                <w:color w:val="auto"/>
                <w:sz w:val="20"/>
              </w:rPr>
              <w:t>Astral Grove</w:t>
            </w:r>
          </w:p>
        </w:tc>
        <w:tc>
          <w:tcPr>
            <w:tcW w:w="1847" w:type="dxa"/>
            <w:noWrap/>
          </w:tcPr>
          <w:p w14:paraId="5E7ABF7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81C3294" w14:textId="77777777" w:rsidTr="00B5314A">
        <w:trPr>
          <w:trHeight w:val="284"/>
        </w:trPr>
        <w:tc>
          <w:tcPr>
            <w:tcW w:w="1280" w:type="dxa"/>
          </w:tcPr>
          <w:p w14:paraId="334C6AE0" w14:textId="77777777" w:rsidR="00967C7D" w:rsidRPr="00967C7D" w:rsidRDefault="00967C7D" w:rsidP="00967C7D">
            <w:pPr>
              <w:keepNext w:val="0"/>
              <w:spacing w:before="0"/>
              <w:rPr>
                <w:rFonts w:cs="Arial"/>
                <w:bCs/>
                <w:color w:val="auto"/>
                <w:sz w:val="20"/>
              </w:rPr>
            </w:pPr>
            <w:r w:rsidRPr="00967C7D">
              <w:rPr>
                <w:rFonts w:cs="Arial"/>
                <w:bCs/>
                <w:color w:val="auto"/>
                <w:sz w:val="20"/>
              </w:rPr>
              <w:t>EV5/7</w:t>
            </w:r>
          </w:p>
        </w:tc>
        <w:tc>
          <w:tcPr>
            <w:tcW w:w="6230" w:type="dxa"/>
            <w:noWrap/>
          </w:tcPr>
          <w:p w14:paraId="15ACDDC8" w14:textId="77777777" w:rsidR="00967C7D" w:rsidRPr="00967C7D" w:rsidRDefault="00967C7D" w:rsidP="00967C7D">
            <w:pPr>
              <w:keepNext w:val="0"/>
              <w:spacing w:before="0"/>
              <w:rPr>
                <w:rFonts w:cs="Arial"/>
                <w:bCs/>
                <w:color w:val="auto"/>
                <w:sz w:val="20"/>
              </w:rPr>
            </w:pPr>
            <w:r w:rsidRPr="00967C7D">
              <w:rPr>
                <w:rFonts w:cs="Arial"/>
                <w:bCs/>
                <w:color w:val="auto"/>
                <w:sz w:val="20"/>
              </w:rPr>
              <w:t>Lancaster Road</w:t>
            </w:r>
          </w:p>
        </w:tc>
        <w:tc>
          <w:tcPr>
            <w:tcW w:w="1847" w:type="dxa"/>
            <w:noWrap/>
          </w:tcPr>
          <w:p w14:paraId="23C5034C"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15342CC" w14:textId="77777777" w:rsidTr="00B5314A">
        <w:trPr>
          <w:trHeight w:val="284"/>
        </w:trPr>
        <w:tc>
          <w:tcPr>
            <w:tcW w:w="1280" w:type="dxa"/>
          </w:tcPr>
          <w:p w14:paraId="4CCD4BE7" w14:textId="77777777" w:rsidR="00967C7D" w:rsidRPr="00967C7D" w:rsidRDefault="00967C7D" w:rsidP="00967C7D">
            <w:pPr>
              <w:keepNext w:val="0"/>
              <w:spacing w:before="0"/>
              <w:rPr>
                <w:rFonts w:cs="Arial"/>
                <w:bCs/>
                <w:color w:val="auto"/>
                <w:sz w:val="20"/>
              </w:rPr>
            </w:pPr>
            <w:r w:rsidRPr="00967C7D">
              <w:rPr>
                <w:rFonts w:cs="Arial"/>
                <w:bCs/>
                <w:color w:val="auto"/>
                <w:sz w:val="20"/>
              </w:rPr>
              <w:t>EV5/8</w:t>
            </w:r>
          </w:p>
        </w:tc>
        <w:tc>
          <w:tcPr>
            <w:tcW w:w="6230" w:type="dxa"/>
            <w:noWrap/>
          </w:tcPr>
          <w:p w14:paraId="7AE5CB95"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Fields off </w:t>
            </w:r>
            <w:proofErr w:type="spellStart"/>
            <w:r w:rsidRPr="00967C7D">
              <w:rPr>
                <w:rFonts w:cs="Arial"/>
                <w:bCs/>
                <w:color w:val="auto"/>
                <w:sz w:val="20"/>
              </w:rPr>
              <w:t>Farleys</w:t>
            </w:r>
            <w:proofErr w:type="spellEnd"/>
            <w:r w:rsidRPr="00967C7D">
              <w:rPr>
                <w:rFonts w:cs="Arial"/>
                <w:bCs/>
                <w:color w:val="auto"/>
                <w:sz w:val="20"/>
              </w:rPr>
              <w:t xml:space="preserve"> Lane</w:t>
            </w:r>
          </w:p>
        </w:tc>
        <w:tc>
          <w:tcPr>
            <w:tcW w:w="1847" w:type="dxa"/>
            <w:noWrap/>
          </w:tcPr>
          <w:p w14:paraId="5CC01E32"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04124336" w14:textId="77777777" w:rsidTr="00B5314A">
        <w:trPr>
          <w:trHeight w:val="284"/>
        </w:trPr>
        <w:tc>
          <w:tcPr>
            <w:tcW w:w="1280" w:type="dxa"/>
          </w:tcPr>
          <w:p w14:paraId="023675C3" w14:textId="77777777" w:rsidR="00967C7D" w:rsidRPr="00967C7D" w:rsidRDefault="00967C7D" w:rsidP="00967C7D">
            <w:pPr>
              <w:keepNext w:val="0"/>
              <w:spacing w:before="0"/>
              <w:rPr>
                <w:rFonts w:cs="Arial"/>
                <w:bCs/>
                <w:color w:val="auto"/>
                <w:sz w:val="20"/>
              </w:rPr>
            </w:pPr>
            <w:r w:rsidRPr="00967C7D">
              <w:rPr>
                <w:rFonts w:cs="Arial"/>
                <w:bCs/>
                <w:color w:val="auto"/>
                <w:sz w:val="20"/>
              </w:rPr>
              <w:t>EV5/9</w:t>
            </w:r>
          </w:p>
        </w:tc>
        <w:tc>
          <w:tcPr>
            <w:tcW w:w="6230" w:type="dxa"/>
            <w:noWrap/>
          </w:tcPr>
          <w:p w14:paraId="7E5071A8" w14:textId="77777777" w:rsidR="00967C7D" w:rsidRPr="00967C7D" w:rsidRDefault="00967C7D" w:rsidP="00967C7D">
            <w:pPr>
              <w:keepNext w:val="0"/>
              <w:spacing w:before="0"/>
              <w:rPr>
                <w:rFonts w:cs="Arial"/>
                <w:bCs/>
                <w:color w:val="auto"/>
                <w:sz w:val="20"/>
              </w:rPr>
            </w:pPr>
            <w:r w:rsidRPr="00967C7D">
              <w:rPr>
                <w:rFonts w:cs="Arial"/>
                <w:bCs/>
                <w:color w:val="auto"/>
                <w:sz w:val="20"/>
              </w:rPr>
              <w:t>Kingsway Gardens</w:t>
            </w:r>
          </w:p>
        </w:tc>
        <w:tc>
          <w:tcPr>
            <w:tcW w:w="1847" w:type="dxa"/>
            <w:noWrap/>
          </w:tcPr>
          <w:p w14:paraId="6F254699"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1177BF9" w14:textId="77777777" w:rsidTr="00B5314A">
        <w:trPr>
          <w:trHeight w:val="284"/>
        </w:trPr>
        <w:tc>
          <w:tcPr>
            <w:tcW w:w="1280" w:type="dxa"/>
          </w:tcPr>
          <w:p w14:paraId="4BA92A2F" w14:textId="77777777" w:rsidR="00967C7D" w:rsidRPr="00967C7D" w:rsidRDefault="00967C7D" w:rsidP="00967C7D">
            <w:pPr>
              <w:keepNext w:val="0"/>
              <w:spacing w:before="0"/>
              <w:rPr>
                <w:rFonts w:cs="Arial"/>
                <w:bCs/>
                <w:color w:val="auto"/>
                <w:sz w:val="20"/>
              </w:rPr>
            </w:pPr>
            <w:r w:rsidRPr="00967C7D">
              <w:rPr>
                <w:rFonts w:cs="Arial"/>
                <w:bCs/>
                <w:color w:val="auto"/>
                <w:sz w:val="20"/>
              </w:rPr>
              <w:t>EV5/10</w:t>
            </w:r>
          </w:p>
        </w:tc>
        <w:tc>
          <w:tcPr>
            <w:tcW w:w="6230" w:type="dxa"/>
            <w:noWrap/>
          </w:tcPr>
          <w:p w14:paraId="33C4366D" w14:textId="77777777" w:rsidR="00967C7D" w:rsidRPr="00967C7D" w:rsidRDefault="00967C7D" w:rsidP="00967C7D">
            <w:pPr>
              <w:keepNext w:val="0"/>
              <w:spacing w:before="0"/>
              <w:rPr>
                <w:rFonts w:cs="Arial"/>
                <w:bCs/>
                <w:color w:val="auto"/>
                <w:sz w:val="20"/>
              </w:rPr>
            </w:pPr>
            <w:r w:rsidRPr="00967C7D">
              <w:rPr>
                <w:rFonts w:cs="Arial"/>
                <w:bCs/>
                <w:color w:val="auto"/>
                <w:sz w:val="20"/>
              </w:rPr>
              <w:t>Mill Lakes</w:t>
            </w:r>
          </w:p>
        </w:tc>
        <w:tc>
          <w:tcPr>
            <w:tcW w:w="1847" w:type="dxa"/>
            <w:noWrap/>
          </w:tcPr>
          <w:p w14:paraId="0968B5EA"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EF25525" w14:textId="77777777" w:rsidTr="00B5314A">
        <w:trPr>
          <w:trHeight w:val="284"/>
        </w:trPr>
        <w:tc>
          <w:tcPr>
            <w:tcW w:w="1280" w:type="dxa"/>
          </w:tcPr>
          <w:p w14:paraId="4CFBA825" w14:textId="77777777" w:rsidR="00967C7D" w:rsidRPr="00967C7D" w:rsidRDefault="00967C7D" w:rsidP="00967C7D">
            <w:pPr>
              <w:keepNext w:val="0"/>
              <w:spacing w:before="0"/>
              <w:rPr>
                <w:rFonts w:cs="Arial"/>
                <w:bCs/>
                <w:color w:val="auto"/>
                <w:sz w:val="20"/>
              </w:rPr>
            </w:pPr>
            <w:r w:rsidRPr="00967C7D">
              <w:rPr>
                <w:rFonts w:cs="Arial"/>
                <w:bCs/>
                <w:color w:val="auto"/>
                <w:sz w:val="20"/>
              </w:rPr>
              <w:t>EV5/11</w:t>
            </w:r>
          </w:p>
        </w:tc>
        <w:tc>
          <w:tcPr>
            <w:tcW w:w="6230" w:type="dxa"/>
            <w:noWrap/>
          </w:tcPr>
          <w:p w14:paraId="6D6E5F1E" w14:textId="77777777" w:rsidR="00967C7D" w:rsidRPr="00967C7D" w:rsidRDefault="00967C7D" w:rsidP="00967C7D">
            <w:pPr>
              <w:keepNext w:val="0"/>
              <w:spacing w:before="0"/>
              <w:rPr>
                <w:rFonts w:cs="Arial"/>
                <w:bCs/>
                <w:color w:val="auto"/>
                <w:sz w:val="20"/>
              </w:rPr>
            </w:pPr>
            <w:r w:rsidRPr="00967C7D">
              <w:rPr>
                <w:rFonts w:cs="Arial"/>
                <w:bCs/>
                <w:color w:val="auto"/>
                <w:sz w:val="20"/>
              </w:rPr>
              <w:t>Farm Avenue Fields</w:t>
            </w:r>
          </w:p>
        </w:tc>
        <w:tc>
          <w:tcPr>
            <w:tcW w:w="1847" w:type="dxa"/>
            <w:noWrap/>
          </w:tcPr>
          <w:p w14:paraId="3E43ED45"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31D2E9A" w14:textId="77777777" w:rsidTr="00B5314A">
        <w:trPr>
          <w:trHeight w:val="284"/>
        </w:trPr>
        <w:tc>
          <w:tcPr>
            <w:tcW w:w="1280" w:type="dxa"/>
          </w:tcPr>
          <w:p w14:paraId="41B9478E" w14:textId="77777777" w:rsidR="00967C7D" w:rsidRPr="00967C7D" w:rsidRDefault="00967C7D" w:rsidP="00967C7D">
            <w:pPr>
              <w:keepNext w:val="0"/>
              <w:spacing w:before="0"/>
              <w:rPr>
                <w:rFonts w:cs="Arial"/>
                <w:bCs/>
                <w:color w:val="auto"/>
                <w:sz w:val="20"/>
              </w:rPr>
            </w:pPr>
            <w:r w:rsidRPr="00967C7D">
              <w:rPr>
                <w:rFonts w:cs="Arial"/>
                <w:bCs/>
                <w:color w:val="auto"/>
                <w:sz w:val="20"/>
              </w:rPr>
              <w:t>EV5/12</w:t>
            </w:r>
          </w:p>
        </w:tc>
        <w:tc>
          <w:tcPr>
            <w:tcW w:w="6230" w:type="dxa"/>
            <w:noWrap/>
          </w:tcPr>
          <w:p w14:paraId="7BFAE7A0" w14:textId="77777777" w:rsidR="00967C7D" w:rsidRPr="00967C7D" w:rsidRDefault="00967C7D" w:rsidP="00967C7D">
            <w:pPr>
              <w:keepNext w:val="0"/>
              <w:spacing w:before="0"/>
              <w:rPr>
                <w:rFonts w:cs="Arial"/>
                <w:bCs/>
                <w:color w:val="auto"/>
                <w:sz w:val="20"/>
              </w:rPr>
            </w:pPr>
            <w:r w:rsidRPr="00967C7D">
              <w:rPr>
                <w:rFonts w:cs="Arial"/>
                <w:bCs/>
                <w:color w:val="auto"/>
                <w:sz w:val="20"/>
              </w:rPr>
              <w:t>Edgewood School and Leisure Centre Playing Fields</w:t>
            </w:r>
          </w:p>
        </w:tc>
        <w:tc>
          <w:tcPr>
            <w:tcW w:w="1847" w:type="dxa"/>
            <w:noWrap/>
          </w:tcPr>
          <w:p w14:paraId="6394EB8B"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202233B1" w14:textId="77777777" w:rsidTr="00B5314A">
        <w:trPr>
          <w:trHeight w:val="284"/>
        </w:trPr>
        <w:tc>
          <w:tcPr>
            <w:tcW w:w="1280" w:type="dxa"/>
          </w:tcPr>
          <w:p w14:paraId="7191B47E" w14:textId="77777777" w:rsidR="00967C7D" w:rsidRPr="00967C7D" w:rsidRDefault="00967C7D" w:rsidP="00967C7D">
            <w:pPr>
              <w:keepNext w:val="0"/>
              <w:spacing w:before="0"/>
              <w:rPr>
                <w:rFonts w:cs="Arial"/>
                <w:bCs/>
                <w:color w:val="auto"/>
                <w:sz w:val="20"/>
              </w:rPr>
            </w:pPr>
            <w:r w:rsidRPr="00967C7D">
              <w:rPr>
                <w:rFonts w:cs="Arial"/>
                <w:bCs/>
                <w:color w:val="auto"/>
                <w:sz w:val="20"/>
              </w:rPr>
              <w:t>EV5/13</w:t>
            </w:r>
          </w:p>
        </w:tc>
        <w:tc>
          <w:tcPr>
            <w:tcW w:w="6230" w:type="dxa"/>
            <w:noWrap/>
          </w:tcPr>
          <w:p w14:paraId="7DC62AD9" w14:textId="77777777" w:rsidR="00967C7D" w:rsidRPr="00967C7D" w:rsidRDefault="00967C7D" w:rsidP="00967C7D">
            <w:pPr>
              <w:keepNext w:val="0"/>
              <w:spacing w:before="0"/>
              <w:rPr>
                <w:rFonts w:cs="Arial"/>
                <w:bCs/>
                <w:color w:val="auto"/>
                <w:sz w:val="20"/>
              </w:rPr>
            </w:pPr>
            <w:r w:rsidRPr="00967C7D">
              <w:rPr>
                <w:rFonts w:cs="Arial"/>
                <w:bCs/>
                <w:color w:val="auto"/>
                <w:sz w:val="20"/>
              </w:rPr>
              <w:t>Lime Tree Road Recreation Ground</w:t>
            </w:r>
          </w:p>
        </w:tc>
        <w:tc>
          <w:tcPr>
            <w:tcW w:w="1847" w:type="dxa"/>
            <w:noWrap/>
          </w:tcPr>
          <w:p w14:paraId="3666C862"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39C6005" w14:textId="77777777" w:rsidTr="00B5314A">
        <w:trPr>
          <w:trHeight w:val="284"/>
        </w:trPr>
        <w:tc>
          <w:tcPr>
            <w:tcW w:w="1280" w:type="dxa"/>
          </w:tcPr>
          <w:p w14:paraId="5B25C9D7" w14:textId="77777777" w:rsidR="00967C7D" w:rsidRPr="00967C7D" w:rsidRDefault="00967C7D" w:rsidP="00967C7D">
            <w:pPr>
              <w:keepNext w:val="0"/>
              <w:spacing w:before="0"/>
              <w:rPr>
                <w:rFonts w:cs="Arial"/>
                <w:bCs/>
                <w:color w:val="auto"/>
                <w:sz w:val="20"/>
              </w:rPr>
            </w:pPr>
            <w:r w:rsidRPr="00967C7D">
              <w:rPr>
                <w:rFonts w:cs="Arial"/>
                <w:bCs/>
                <w:color w:val="auto"/>
                <w:sz w:val="20"/>
              </w:rPr>
              <w:t>EV5/14</w:t>
            </w:r>
          </w:p>
        </w:tc>
        <w:tc>
          <w:tcPr>
            <w:tcW w:w="6230" w:type="dxa"/>
            <w:noWrap/>
          </w:tcPr>
          <w:p w14:paraId="53BD3451" w14:textId="77777777" w:rsidR="00967C7D" w:rsidRPr="00967C7D" w:rsidRDefault="00967C7D" w:rsidP="00967C7D">
            <w:pPr>
              <w:keepNext w:val="0"/>
              <w:spacing w:before="0"/>
              <w:rPr>
                <w:rFonts w:cs="Arial"/>
                <w:bCs/>
                <w:color w:val="auto"/>
                <w:sz w:val="20"/>
              </w:rPr>
            </w:pPr>
            <w:r w:rsidRPr="00967C7D">
              <w:rPr>
                <w:rFonts w:cs="Arial"/>
                <w:bCs/>
                <w:color w:val="auto"/>
                <w:sz w:val="20"/>
              </w:rPr>
              <w:t>Ruffs Drive/Robin Hood Drive</w:t>
            </w:r>
          </w:p>
        </w:tc>
        <w:tc>
          <w:tcPr>
            <w:tcW w:w="1847" w:type="dxa"/>
            <w:noWrap/>
          </w:tcPr>
          <w:p w14:paraId="1C8CE0E5"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76F2DE4" w14:textId="77777777" w:rsidTr="00B5314A">
        <w:trPr>
          <w:trHeight w:val="284"/>
        </w:trPr>
        <w:tc>
          <w:tcPr>
            <w:tcW w:w="1280" w:type="dxa"/>
          </w:tcPr>
          <w:p w14:paraId="011C8DD1" w14:textId="77777777" w:rsidR="00967C7D" w:rsidRPr="00967C7D" w:rsidRDefault="00967C7D" w:rsidP="00967C7D">
            <w:pPr>
              <w:keepNext w:val="0"/>
              <w:spacing w:before="0"/>
              <w:rPr>
                <w:rFonts w:cs="Arial"/>
                <w:bCs/>
                <w:color w:val="auto"/>
                <w:sz w:val="20"/>
              </w:rPr>
            </w:pPr>
            <w:r w:rsidRPr="00967C7D">
              <w:rPr>
                <w:rFonts w:cs="Arial"/>
                <w:bCs/>
                <w:color w:val="auto"/>
                <w:sz w:val="20"/>
              </w:rPr>
              <w:t>EV5/15</w:t>
            </w:r>
          </w:p>
        </w:tc>
        <w:tc>
          <w:tcPr>
            <w:tcW w:w="6230" w:type="dxa"/>
            <w:noWrap/>
          </w:tcPr>
          <w:p w14:paraId="3F7930EA" w14:textId="77777777" w:rsidR="00967C7D" w:rsidRPr="00967C7D" w:rsidRDefault="00967C7D" w:rsidP="00967C7D">
            <w:pPr>
              <w:keepNext w:val="0"/>
              <w:spacing w:before="0"/>
              <w:rPr>
                <w:rFonts w:cs="Arial"/>
                <w:bCs/>
                <w:color w:val="auto"/>
                <w:sz w:val="20"/>
              </w:rPr>
            </w:pPr>
            <w:r w:rsidRPr="00967C7D">
              <w:rPr>
                <w:rFonts w:cs="Arial"/>
                <w:bCs/>
                <w:color w:val="auto"/>
                <w:sz w:val="20"/>
              </w:rPr>
              <w:t>Nabbs Lane Park</w:t>
            </w:r>
          </w:p>
        </w:tc>
        <w:tc>
          <w:tcPr>
            <w:tcW w:w="1847" w:type="dxa"/>
            <w:noWrap/>
          </w:tcPr>
          <w:p w14:paraId="27565E5F"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C6A6BF5" w14:textId="77777777" w:rsidTr="00B5314A">
        <w:trPr>
          <w:trHeight w:val="284"/>
        </w:trPr>
        <w:tc>
          <w:tcPr>
            <w:tcW w:w="1280" w:type="dxa"/>
          </w:tcPr>
          <w:p w14:paraId="3F405354" w14:textId="77777777" w:rsidR="00967C7D" w:rsidRPr="00967C7D" w:rsidRDefault="00967C7D" w:rsidP="00967C7D">
            <w:pPr>
              <w:keepNext w:val="0"/>
              <w:spacing w:before="0"/>
              <w:rPr>
                <w:rFonts w:cs="Arial"/>
                <w:bCs/>
                <w:color w:val="auto"/>
                <w:sz w:val="20"/>
              </w:rPr>
            </w:pPr>
            <w:r w:rsidRPr="00967C7D">
              <w:rPr>
                <w:rFonts w:cs="Arial"/>
                <w:bCs/>
                <w:color w:val="auto"/>
                <w:sz w:val="20"/>
              </w:rPr>
              <w:t>EV5/16</w:t>
            </w:r>
          </w:p>
        </w:tc>
        <w:tc>
          <w:tcPr>
            <w:tcW w:w="6230" w:type="dxa"/>
            <w:noWrap/>
          </w:tcPr>
          <w:p w14:paraId="21C98CA4"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Farleys</w:t>
            </w:r>
            <w:proofErr w:type="spellEnd"/>
            <w:r w:rsidRPr="00967C7D">
              <w:rPr>
                <w:rFonts w:cs="Arial"/>
                <w:bCs/>
                <w:color w:val="auto"/>
                <w:sz w:val="20"/>
              </w:rPr>
              <w:t xml:space="preserve"> Lane</w:t>
            </w:r>
          </w:p>
        </w:tc>
        <w:tc>
          <w:tcPr>
            <w:tcW w:w="1847" w:type="dxa"/>
            <w:noWrap/>
          </w:tcPr>
          <w:p w14:paraId="4C254239"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292C6A0C" w14:textId="77777777" w:rsidTr="00B5314A">
        <w:trPr>
          <w:trHeight w:val="284"/>
        </w:trPr>
        <w:tc>
          <w:tcPr>
            <w:tcW w:w="1280" w:type="dxa"/>
          </w:tcPr>
          <w:p w14:paraId="29BC7B62" w14:textId="77777777" w:rsidR="00967C7D" w:rsidRPr="00967C7D" w:rsidRDefault="00967C7D" w:rsidP="00967C7D">
            <w:pPr>
              <w:keepNext w:val="0"/>
              <w:spacing w:before="0"/>
              <w:rPr>
                <w:rFonts w:cs="Arial"/>
                <w:bCs/>
                <w:color w:val="auto"/>
                <w:sz w:val="20"/>
              </w:rPr>
            </w:pPr>
            <w:r w:rsidRPr="00967C7D">
              <w:rPr>
                <w:rFonts w:cs="Arial"/>
                <w:bCs/>
                <w:color w:val="auto"/>
                <w:sz w:val="20"/>
              </w:rPr>
              <w:t>EV5/17</w:t>
            </w:r>
          </w:p>
        </w:tc>
        <w:tc>
          <w:tcPr>
            <w:tcW w:w="6230" w:type="dxa"/>
            <w:noWrap/>
          </w:tcPr>
          <w:p w14:paraId="3ED62F3A" w14:textId="77777777" w:rsidR="00967C7D" w:rsidRPr="00967C7D" w:rsidRDefault="00967C7D" w:rsidP="00967C7D">
            <w:pPr>
              <w:keepNext w:val="0"/>
              <w:spacing w:before="0"/>
              <w:rPr>
                <w:rFonts w:cs="Arial"/>
                <w:bCs/>
                <w:color w:val="auto"/>
                <w:sz w:val="20"/>
              </w:rPr>
            </w:pPr>
            <w:r w:rsidRPr="00967C7D">
              <w:rPr>
                <w:rFonts w:cs="Arial"/>
                <w:bCs/>
                <w:color w:val="auto"/>
                <w:sz w:val="20"/>
              </w:rPr>
              <w:t>Broomhill School Playing Fields</w:t>
            </w:r>
          </w:p>
        </w:tc>
        <w:tc>
          <w:tcPr>
            <w:tcW w:w="1847" w:type="dxa"/>
            <w:noWrap/>
          </w:tcPr>
          <w:p w14:paraId="39DE88A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8570849" w14:textId="77777777" w:rsidTr="00B5314A">
        <w:trPr>
          <w:trHeight w:val="284"/>
        </w:trPr>
        <w:tc>
          <w:tcPr>
            <w:tcW w:w="1280" w:type="dxa"/>
          </w:tcPr>
          <w:p w14:paraId="27ED14DE" w14:textId="77777777" w:rsidR="00967C7D" w:rsidRPr="00967C7D" w:rsidRDefault="00967C7D" w:rsidP="00967C7D">
            <w:pPr>
              <w:keepNext w:val="0"/>
              <w:spacing w:before="0"/>
              <w:rPr>
                <w:rFonts w:cs="Arial"/>
                <w:bCs/>
                <w:color w:val="auto"/>
                <w:sz w:val="20"/>
              </w:rPr>
            </w:pPr>
            <w:r w:rsidRPr="00967C7D">
              <w:rPr>
                <w:rFonts w:cs="Arial"/>
                <w:bCs/>
                <w:color w:val="auto"/>
                <w:sz w:val="20"/>
              </w:rPr>
              <w:t>EV5/18</w:t>
            </w:r>
          </w:p>
        </w:tc>
        <w:tc>
          <w:tcPr>
            <w:tcW w:w="6230" w:type="dxa"/>
            <w:noWrap/>
          </w:tcPr>
          <w:p w14:paraId="4D465F91" w14:textId="77777777" w:rsidR="00967C7D" w:rsidRPr="00967C7D" w:rsidRDefault="00967C7D" w:rsidP="00967C7D">
            <w:pPr>
              <w:keepNext w:val="0"/>
              <w:spacing w:before="0"/>
              <w:rPr>
                <w:rFonts w:cs="Arial"/>
                <w:bCs/>
                <w:color w:val="auto"/>
                <w:sz w:val="20"/>
              </w:rPr>
            </w:pPr>
            <w:r w:rsidRPr="00967C7D">
              <w:rPr>
                <w:rFonts w:cs="Arial"/>
                <w:bCs/>
                <w:color w:val="auto"/>
                <w:sz w:val="20"/>
              </w:rPr>
              <w:t>Jenny Burton Way</w:t>
            </w:r>
          </w:p>
        </w:tc>
        <w:tc>
          <w:tcPr>
            <w:tcW w:w="1847" w:type="dxa"/>
            <w:noWrap/>
          </w:tcPr>
          <w:p w14:paraId="1FCD0C2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E7FF06D" w14:textId="77777777" w:rsidTr="00B5314A">
        <w:trPr>
          <w:trHeight w:val="284"/>
        </w:trPr>
        <w:tc>
          <w:tcPr>
            <w:tcW w:w="1280" w:type="dxa"/>
          </w:tcPr>
          <w:p w14:paraId="5DE59822" w14:textId="77777777" w:rsidR="00967C7D" w:rsidRPr="00967C7D" w:rsidRDefault="00967C7D" w:rsidP="00967C7D">
            <w:pPr>
              <w:keepNext w:val="0"/>
              <w:spacing w:before="0"/>
              <w:rPr>
                <w:rFonts w:cs="Arial"/>
                <w:bCs/>
                <w:color w:val="auto"/>
                <w:sz w:val="20"/>
              </w:rPr>
            </w:pPr>
            <w:r w:rsidRPr="00967C7D">
              <w:rPr>
                <w:rFonts w:cs="Arial"/>
                <w:bCs/>
                <w:color w:val="auto"/>
                <w:sz w:val="20"/>
              </w:rPr>
              <w:t>EV5/19</w:t>
            </w:r>
          </w:p>
        </w:tc>
        <w:tc>
          <w:tcPr>
            <w:tcW w:w="6230" w:type="dxa"/>
            <w:noWrap/>
          </w:tcPr>
          <w:p w14:paraId="4C0A325B"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Salterford</w:t>
            </w:r>
            <w:proofErr w:type="spellEnd"/>
            <w:r w:rsidRPr="00967C7D">
              <w:rPr>
                <w:rFonts w:cs="Arial"/>
                <w:bCs/>
                <w:color w:val="auto"/>
                <w:sz w:val="20"/>
              </w:rPr>
              <w:t xml:space="preserve"> Road Open Space</w:t>
            </w:r>
          </w:p>
        </w:tc>
        <w:tc>
          <w:tcPr>
            <w:tcW w:w="1847" w:type="dxa"/>
            <w:noWrap/>
          </w:tcPr>
          <w:p w14:paraId="3E3ABD6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28AA31C2" w14:textId="77777777" w:rsidTr="00B5314A">
        <w:trPr>
          <w:trHeight w:val="284"/>
        </w:trPr>
        <w:tc>
          <w:tcPr>
            <w:tcW w:w="1280" w:type="dxa"/>
          </w:tcPr>
          <w:p w14:paraId="3D377CA9" w14:textId="77777777" w:rsidR="00967C7D" w:rsidRPr="00967C7D" w:rsidRDefault="00967C7D" w:rsidP="00967C7D">
            <w:pPr>
              <w:keepNext w:val="0"/>
              <w:spacing w:before="0"/>
              <w:rPr>
                <w:rFonts w:cs="Arial"/>
                <w:bCs/>
                <w:color w:val="auto"/>
                <w:sz w:val="20"/>
              </w:rPr>
            </w:pPr>
            <w:r w:rsidRPr="00967C7D">
              <w:rPr>
                <w:rFonts w:cs="Arial"/>
                <w:bCs/>
                <w:color w:val="auto"/>
                <w:sz w:val="20"/>
              </w:rPr>
              <w:t>EV5/20</w:t>
            </w:r>
          </w:p>
        </w:tc>
        <w:tc>
          <w:tcPr>
            <w:tcW w:w="6230" w:type="dxa"/>
            <w:noWrap/>
          </w:tcPr>
          <w:p w14:paraId="14B62B00" w14:textId="77777777" w:rsidR="00967C7D" w:rsidRPr="00967C7D" w:rsidRDefault="00967C7D" w:rsidP="00967C7D">
            <w:pPr>
              <w:keepNext w:val="0"/>
              <w:spacing w:before="0"/>
              <w:rPr>
                <w:rFonts w:cs="Arial"/>
                <w:bCs/>
                <w:color w:val="auto"/>
                <w:sz w:val="20"/>
              </w:rPr>
            </w:pPr>
            <w:r w:rsidRPr="00967C7D">
              <w:rPr>
                <w:rFonts w:cs="Arial"/>
                <w:bCs/>
                <w:color w:val="auto"/>
                <w:sz w:val="20"/>
              </w:rPr>
              <w:t>Aerial Way</w:t>
            </w:r>
          </w:p>
        </w:tc>
        <w:tc>
          <w:tcPr>
            <w:tcW w:w="1847" w:type="dxa"/>
            <w:noWrap/>
          </w:tcPr>
          <w:p w14:paraId="2B9C5D0B"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2E4C1C1" w14:textId="77777777" w:rsidTr="00B5314A">
        <w:trPr>
          <w:trHeight w:val="284"/>
        </w:trPr>
        <w:tc>
          <w:tcPr>
            <w:tcW w:w="1280" w:type="dxa"/>
          </w:tcPr>
          <w:p w14:paraId="2443B340" w14:textId="77777777" w:rsidR="00967C7D" w:rsidRPr="00967C7D" w:rsidRDefault="00967C7D" w:rsidP="00967C7D">
            <w:pPr>
              <w:keepNext w:val="0"/>
              <w:spacing w:before="0"/>
              <w:rPr>
                <w:rFonts w:cs="Arial"/>
                <w:bCs/>
                <w:color w:val="auto"/>
                <w:sz w:val="20"/>
              </w:rPr>
            </w:pPr>
            <w:r w:rsidRPr="00967C7D">
              <w:rPr>
                <w:rFonts w:cs="Arial"/>
                <w:bCs/>
                <w:color w:val="auto"/>
                <w:sz w:val="20"/>
              </w:rPr>
              <w:t>EV5/21</w:t>
            </w:r>
          </w:p>
        </w:tc>
        <w:tc>
          <w:tcPr>
            <w:tcW w:w="6230" w:type="dxa"/>
            <w:noWrap/>
          </w:tcPr>
          <w:p w14:paraId="54405492" w14:textId="77777777" w:rsidR="00967C7D" w:rsidRPr="00967C7D" w:rsidRDefault="00967C7D" w:rsidP="00967C7D">
            <w:pPr>
              <w:keepNext w:val="0"/>
              <w:spacing w:before="0"/>
              <w:rPr>
                <w:rFonts w:cs="Arial"/>
                <w:bCs/>
                <w:color w:val="auto"/>
                <w:sz w:val="20"/>
              </w:rPr>
            </w:pPr>
            <w:r w:rsidRPr="00967C7D">
              <w:rPr>
                <w:rFonts w:cs="Arial"/>
                <w:bCs/>
                <w:color w:val="auto"/>
                <w:sz w:val="20"/>
              </w:rPr>
              <w:t>Hucknall Cemetery</w:t>
            </w:r>
          </w:p>
        </w:tc>
        <w:tc>
          <w:tcPr>
            <w:tcW w:w="1847" w:type="dxa"/>
            <w:noWrap/>
          </w:tcPr>
          <w:p w14:paraId="42F95954"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7C57D0F" w14:textId="77777777" w:rsidTr="00B5314A">
        <w:trPr>
          <w:trHeight w:val="284"/>
        </w:trPr>
        <w:tc>
          <w:tcPr>
            <w:tcW w:w="1280" w:type="dxa"/>
          </w:tcPr>
          <w:p w14:paraId="4CEA0BF0" w14:textId="77777777" w:rsidR="00967C7D" w:rsidRPr="00967C7D" w:rsidRDefault="00967C7D" w:rsidP="00967C7D">
            <w:pPr>
              <w:keepNext w:val="0"/>
              <w:spacing w:before="0"/>
              <w:rPr>
                <w:rFonts w:cs="Arial"/>
                <w:bCs/>
                <w:color w:val="auto"/>
                <w:sz w:val="20"/>
              </w:rPr>
            </w:pPr>
            <w:r w:rsidRPr="00967C7D">
              <w:rPr>
                <w:rFonts w:cs="Arial"/>
                <w:bCs/>
                <w:color w:val="auto"/>
                <w:sz w:val="20"/>
              </w:rPr>
              <w:t>EV5/22</w:t>
            </w:r>
          </w:p>
        </w:tc>
        <w:tc>
          <w:tcPr>
            <w:tcW w:w="6230" w:type="dxa"/>
            <w:noWrap/>
          </w:tcPr>
          <w:p w14:paraId="49D8D5B9" w14:textId="77777777" w:rsidR="00967C7D" w:rsidRPr="00967C7D" w:rsidRDefault="00967C7D" w:rsidP="00967C7D">
            <w:pPr>
              <w:keepNext w:val="0"/>
              <w:spacing w:before="0"/>
              <w:rPr>
                <w:rFonts w:cs="Arial"/>
                <w:bCs/>
                <w:color w:val="auto"/>
                <w:sz w:val="20"/>
              </w:rPr>
            </w:pPr>
            <w:r w:rsidRPr="00967C7D">
              <w:rPr>
                <w:rFonts w:cs="Arial"/>
                <w:bCs/>
                <w:color w:val="auto"/>
                <w:sz w:val="20"/>
              </w:rPr>
              <w:t>Butlers Hill Recreation Ground</w:t>
            </w:r>
          </w:p>
        </w:tc>
        <w:tc>
          <w:tcPr>
            <w:tcW w:w="1847" w:type="dxa"/>
            <w:noWrap/>
          </w:tcPr>
          <w:p w14:paraId="1E8BE463"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CD3F48A" w14:textId="77777777" w:rsidTr="00B5314A">
        <w:trPr>
          <w:trHeight w:val="284"/>
        </w:trPr>
        <w:tc>
          <w:tcPr>
            <w:tcW w:w="1280" w:type="dxa"/>
          </w:tcPr>
          <w:p w14:paraId="6E5B9325" w14:textId="77777777" w:rsidR="00967C7D" w:rsidRPr="00967C7D" w:rsidRDefault="00967C7D" w:rsidP="00967C7D">
            <w:pPr>
              <w:keepNext w:val="0"/>
              <w:spacing w:before="0"/>
              <w:rPr>
                <w:rFonts w:cs="Arial"/>
                <w:bCs/>
                <w:color w:val="auto"/>
                <w:sz w:val="20"/>
              </w:rPr>
            </w:pPr>
            <w:r w:rsidRPr="00967C7D">
              <w:rPr>
                <w:rFonts w:cs="Arial"/>
                <w:bCs/>
                <w:color w:val="auto"/>
                <w:sz w:val="20"/>
              </w:rPr>
              <w:t>EV5/23</w:t>
            </w:r>
          </w:p>
        </w:tc>
        <w:tc>
          <w:tcPr>
            <w:tcW w:w="6230" w:type="dxa"/>
            <w:noWrap/>
          </w:tcPr>
          <w:p w14:paraId="4A28E575" w14:textId="77777777" w:rsidR="00967C7D" w:rsidRPr="00967C7D" w:rsidRDefault="00967C7D" w:rsidP="00967C7D">
            <w:pPr>
              <w:keepNext w:val="0"/>
              <w:spacing w:before="0"/>
              <w:rPr>
                <w:rFonts w:cs="Arial"/>
                <w:bCs/>
                <w:color w:val="auto"/>
                <w:sz w:val="20"/>
              </w:rPr>
            </w:pPr>
            <w:r w:rsidRPr="00967C7D">
              <w:rPr>
                <w:rFonts w:cs="Arial"/>
                <w:bCs/>
                <w:color w:val="auto"/>
                <w:sz w:val="20"/>
              </w:rPr>
              <w:t>Titchfield Park</w:t>
            </w:r>
          </w:p>
        </w:tc>
        <w:tc>
          <w:tcPr>
            <w:tcW w:w="1847" w:type="dxa"/>
            <w:noWrap/>
          </w:tcPr>
          <w:p w14:paraId="1DF78C74"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4D3F214" w14:textId="77777777" w:rsidTr="00B5314A">
        <w:trPr>
          <w:trHeight w:val="284"/>
        </w:trPr>
        <w:tc>
          <w:tcPr>
            <w:tcW w:w="1280" w:type="dxa"/>
          </w:tcPr>
          <w:p w14:paraId="2A592707" w14:textId="77777777" w:rsidR="00967C7D" w:rsidRPr="00967C7D" w:rsidRDefault="00967C7D" w:rsidP="00967C7D">
            <w:pPr>
              <w:keepNext w:val="0"/>
              <w:spacing w:before="0"/>
              <w:rPr>
                <w:rFonts w:cs="Arial"/>
                <w:bCs/>
                <w:color w:val="auto"/>
                <w:sz w:val="20"/>
              </w:rPr>
            </w:pPr>
            <w:r w:rsidRPr="00967C7D">
              <w:rPr>
                <w:rFonts w:cs="Arial"/>
                <w:bCs/>
                <w:color w:val="auto"/>
                <w:sz w:val="20"/>
              </w:rPr>
              <w:t>EV5/24</w:t>
            </w:r>
          </w:p>
        </w:tc>
        <w:tc>
          <w:tcPr>
            <w:tcW w:w="6230" w:type="dxa"/>
            <w:noWrap/>
          </w:tcPr>
          <w:p w14:paraId="393B09AA" w14:textId="77777777" w:rsidR="00967C7D" w:rsidRPr="00967C7D" w:rsidRDefault="00967C7D" w:rsidP="00967C7D">
            <w:pPr>
              <w:keepNext w:val="0"/>
              <w:spacing w:before="0"/>
              <w:rPr>
                <w:rFonts w:cs="Arial"/>
                <w:bCs/>
                <w:color w:val="auto"/>
                <w:sz w:val="20"/>
              </w:rPr>
            </w:pPr>
            <w:r w:rsidRPr="00967C7D">
              <w:rPr>
                <w:rFonts w:cs="Arial"/>
                <w:bCs/>
                <w:color w:val="auto"/>
                <w:sz w:val="20"/>
              </w:rPr>
              <w:t>Land off Totnes Close</w:t>
            </w:r>
          </w:p>
        </w:tc>
        <w:tc>
          <w:tcPr>
            <w:tcW w:w="1847" w:type="dxa"/>
            <w:noWrap/>
          </w:tcPr>
          <w:p w14:paraId="28EE9B98"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B480AE8" w14:textId="77777777" w:rsidTr="00B5314A">
        <w:trPr>
          <w:trHeight w:val="284"/>
        </w:trPr>
        <w:tc>
          <w:tcPr>
            <w:tcW w:w="1280" w:type="dxa"/>
          </w:tcPr>
          <w:p w14:paraId="31FADDA1" w14:textId="77777777" w:rsidR="00967C7D" w:rsidRPr="00967C7D" w:rsidRDefault="00967C7D" w:rsidP="00967C7D">
            <w:pPr>
              <w:keepNext w:val="0"/>
              <w:spacing w:before="0"/>
              <w:rPr>
                <w:rFonts w:cs="Arial"/>
                <w:bCs/>
                <w:color w:val="auto"/>
                <w:sz w:val="20"/>
              </w:rPr>
            </w:pPr>
            <w:r w:rsidRPr="00967C7D">
              <w:rPr>
                <w:rFonts w:cs="Arial"/>
                <w:bCs/>
                <w:color w:val="auto"/>
                <w:sz w:val="20"/>
              </w:rPr>
              <w:t>EV5/25</w:t>
            </w:r>
          </w:p>
        </w:tc>
        <w:tc>
          <w:tcPr>
            <w:tcW w:w="6230" w:type="dxa"/>
            <w:noWrap/>
          </w:tcPr>
          <w:p w14:paraId="001546B4" w14:textId="77777777" w:rsidR="00967C7D" w:rsidRPr="00967C7D" w:rsidRDefault="00967C7D" w:rsidP="00967C7D">
            <w:pPr>
              <w:keepNext w:val="0"/>
              <w:spacing w:before="0"/>
              <w:rPr>
                <w:rFonts w:cs="Arial"/>
                <w:bCs/>
                <w:color w:val="auto"/>
                <w:sz w:val="20"/>
              </w:rPr>
            </w:pPr>
            <w:r w:rsidRPr="00967C7D">
              <w:rPr>
                <w:rFonts w:cs="Arial"/>
                <w:bCs/>
                <w:color w:val="auto"/>
                <w:sz w:val="20"/>
              </w:rPr>
              <w:t>The Holgate Comprehensive School Playing Fields</w:t>
            </w:r>
          </w:p>
        </w:tc>
        <w:tc>
          <w:tcPr>
            <w:tcW w:w="1847" w:type="dxa"/>
            <w:noWrap/>
          </w:tcPr>
          <w:p w14:paraId="4B46195E"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A2B670B" w14:textId="77777777" w:rsidTr="00B5314A">
        <w:trPr>
          <w:trHeight w:val="284"/>
        </w:trPr>
        <w:tc>
          <w:tcPr>
            <w:tcW w:w="1280" w:type="dxa"/>
          </w:tcPr>
          <w:p w14:paraId="75D75300" w14:textId="77777777" w:rsidR="00967C7D" w:rsidRPr="00967C7D" w:rsidRDefault="00967C7D" w:rsidP="00967C7D">
            <w:pPr>
              <w:keepNext w:val="0"/>
              <w:spacing w:before="0"/>
              <w:rPr>
                <w:rFonts w:cs="Arial"/>
                <w:bCs/>
                <w:color w:val="auto"/>
                <w:sz w:val="20"/>
              </w:rPr>
            </w:pPr>
            <w:r w:rsidRPr="00967C7D">
              <w:rPr>
                <w:rFonts w:cs="Arial"/>
                <w:bCs/>
                <w:color w:val="auto"/>
                <w:sz w:val="20"/>
              </w:rPr>
              <w:t>EV5/26</w:t>
            </w:r>
          </w:p>
        </w:tc>
        <w:tc>
          <w:tcPr>
            <w:tcW w:w="6230" w:type="dxa"/>
            <w:noWrap/>
          </w:tcPr>
          <w:p w14:paraId="60981657"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Rollestone</w:t>
            </w:r>
            <w:proofErr w:type="spellEnd"/>
            <w:r w:rsidRPr="00967C7D">
              <w:rPr>
                <w:rFonts w:cs="Arial"/>
                <w:bCs/>
                <w:color w:val="auto"/>
                <w:sz w:val="20"/>
              </w:rPr>
              <w:t xml:space="preserve"> to Tiverton Close</w:t>
            </w:r>
          </w:p>
        </w:tc>
        <w:tc>
          <w:tcPr>
            <w:tcW w:w="1847" w:type="dxa"/>
            <w:noWrap/>
          </w:tcPr>
          <w:p w14:paraId="459E04D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C1CBF62" w14:textId="77777777" w:rsidTr="00B5314A">
        <w:trPr>
          <w:trHeight w:val="284"/>
        </w:trPr>
        <w:tc>
          <w:tcPr>
            <w:tcW w:w="1280" w:type="dxa"/>
          </w:tcPr>
          <w:p w14:paraId="4E1CF5C6" w14:textId="77777777" w:rsidR="00967C7D" w:rsidRPr="00967C7D" w:rsidRDefault="00967C7D" w:rsidP="00967C7D">
            <w:pPr>
              <w:keepNext w:val="0"/>
              <w:spacing w:before="0"/>
              <w:rPr>
                <w:rFonts w:cs="Arial"/>
                <w:bCs/>
                <w:color w:val="auto"/>
                <w:sz w:val="20"/>
              </w:rPr>
            </w:pPr>
            <w:r w:rsidRPr="00967C7D">
              <w:rPr>
                <w:rFonts w:cs="Arial"/>
                <w:bCs/>
                <w:color w:val="auto"/>
                <w:sz w:val="20"/>
              </w:rPr>
              <w:t>EV5/27</w:t>
            </w:r>
          </w:p>
        </w:tc>
        <w:tc>
          <w:tcPr>
            <w:tcW w:w="6230" w:type="dxa"/>
            <w:noWrap/>
          </w:tcPr>
          <w:p w14:paraId="480D9288" w14:textId="77777777" w:rsidR="00967C7D" w:rsidRPr="00967C7D" w:rsidRDefault="00967C7D" w:rsidP="00967C7D">
            <w:pPr>
              <w:keepNext w:val="0"/>
              <w:spacing w:before="0"/>
              <w:rPr>
                <w:rFonts w:cs="Arial"/>
                <w:bCs/>
                <w:color w:val="auto"/>
                <w:sz w:val="20"/>
              </w:rPr>
            </w:pPr>
            <w:r w:rsidRPr="00967C7D">
              <w:rPr>
                <w:rFonts w:cs="Arial"/>
                <w:bCs/>
                <w:color w:val="auto"/>
                <w:sz w:val="20"/>
              </w:rPr>
              <w:t>Field End of High Leys Road</w:t>
            </w:r>
          </w:p>
        </w:tc>
        <w:tc>
          <w:tcPr>
            <w:tcW w:w="1847" w:type="dxa"/>
            <w:noWrap/>
          </w:tcPr>
          <w:p w14:paraId="4BBB50EF"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CFE83A0" w14:textId="77777777" w:rsidTr="00B5314A">
        <w:trPr>
          <w:trHeight w:val="284"/>
        </w:trPr>
        <w:tc>
          <w:tcPr>
            <w:tcW w:w="1280" w:type="dxa"/>
          </w:tcPr>
          <w:p w14:paraId="25E6F549" w14:textId="77777777" w:rsidR="00967C7D" w:rsidRPr="00967C7D" w:rsidRDefault="00967C7D" w:rsidP="00967C7D">
            <w:pPr>
              <w:keepNext w:val="0"/>
              <w:spacing w:before="0"/>
              <w:rPr>
                <w:rFonts w:cs="Arial"/>
                <w:bCs/>
                <w:color w:val="auto"/>
                <w:sz w:val="20"/>
              </w:rPr>
            </w:pPr>
            <w:r w:rsidRPr="00967C7D">
              <w:rPr>
                <w:rFonts w:cs="Arial"/>
                <w:bCs/>
                <w:color w:val="auto"/>
                <w:sz w:val="20"/>
              </w:rPr>
              <w:t>EV5/28</w:t>
            </w:r>
          </w:p>
        </w:tc>
        <w:tc>
          <w:tcPr>
            <w:tcW w:w="6230" w:type="dxa"/>
            <w:noWrap/>
          </w:tcPr>
          <w:p w14:paraId="285CAD8A" w14:textId="77777777" w:rsidR="00967C7D" w:rsidRPr="00967C7D" w:rsidRDefault="00967C7D" w:rsidP="00967C7D">
            <w:pPr>
              <w:keepNext w:val="0"/>
              <w:spacing w:before="0"/>
              <w:rPr>
                <w:rFonts w:cs="Arial"/>
                <w:bCs/>
                <w:color w:val="auto"/>
                <w:sz w:val="20"/>
              </w:rPr>
            </w:pPr>
            <w:r w:rsidRPr="00967C7D">
              <w:rPr>
                <w:rFonts w:cs="Arial"/>
                <w:bCs/>
                <w:color w:val="auto"/>
                <w:sz w:val="20"/>
              </w:rPr>
              <w:t>Polperro Lagoon</w:t>
            </w:r>
          </w:p>
        </w:tc>
        <w:tc>
          <w:tcPr>
            <w:tcW w:w="1847" w:type="dxa"/>
            <w:noWrap/>
          </w:tcPr>
          <w:p w14:paraId="067A4D92"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EA9C6A1" w14:textId="77777777" w:rsidTr="00B5314A">
        <w:trPr>
          <w:trHeight w:val="284"/>
        </w:trPr>
        <w:tc>
          <w:tcPr>
            <w:tcW w:w="1280" w:type="dxa"/>
          </w:tcPr>
          <w:p w14:paraId="6B0C63B2" w14:textId="77777777" w:rsidR="00967C7D" w:rsidRPr="00967C7D" w:rsidRDefault="00967C7D" w:rsidP="00967C7D">
            <w:pPr>
              <w:keepNext w:val="0"/>
              <w:spacing w:before="0"/>
              <w:rPr>
                <w:rFonts w:cs="Arial"/>
                <w:bCs/>
                <w:color w:val="auto"/>
                <w:sz w:val="20"/>
              </w:rPr>
            </w:pPr>
            <w:r w:rsidRPr="00967C7D">
              <w:rPr>
                <w:rFonts w:cs="Arial"/>
                <w:bCs/>
                <w:color w:val="auto"/>
                <w:sz w:val="20"/>
              </w:rPr>
              <w:t>EV5/29</w:t>
            </w:r>
          </w:p>
        </w:tc>
        <w:tc>
          <w:tcPr>
            <w:tcW w:w="6230" w:type="dxa"/>
            <w:noWrap/>
          </w:tcPr>
          <w:p w14:paraId="555983F2" w14:textId="77777777" w:rsidR="00967C7D" w:rsidRPr="00967C7D" w:rsidRDefault="00967C7D" w:rsidP="00967C7D">
            <w:pPr>
              <w:keepNext w:val="0"/>
              <w:spacing w:before="0"/>
              <w:rPr>
                <w:rFonts w:cs="Arial"/>
                <w:bCs/>
                <w:color w:val="auto"/>
                <w:sz w:val="20"/>
              </w:rPr>
            </w:pPr>
            <w:r w:rsidRPr="00967C7D">
              <w:rPr>
                <w:rFonts w:cs="Arial"/>
                <w:bCs/>
                <w:color w:val="auto"/>
                <w:sz w:val="20"/>
              </w:rPr>
              <w:t>The Holgate Comprehensive School Open Area</w:t>
            </w:r>
          </w:p>
        </w:tc>
        <w:tc>
          <w:tcPr>
            <w:tcW w:w="1847" w:type="dxa"/>
            <w:noWrap/>
          </w:tcPr>
          <w:p w14:paraId="6627C47C"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41199B4" w14:textId="77777777" w:rsidTr="00B5314A">
        <w:trPr>
          <w:trHeight w:val="284"/>
        </w:trPr>
        <w:tc>
          <w:tcPr>
            <w:tcW w:w="1280" w:type="dxa"/>
          </w:tcPr>
          <w:p w14:paraId="7067F34F" w14:textId="77777777" w:rsidR="00967C7D" w:rsidRPr="00967C7D" w:rsidRDefault="00967C7D" w:rsidP="00967C7D">
            <w:pPr>
              <w:keepNext w:val="0"/>
              <w:spacing w:before="0"/>
              <w:rPr>
                <w:rFonts w:cs="Arial"/>
                <w:bCs/>
                <w:color w:val="auto"/>
                <w:sz w:val="20"/>
              </w:rPr>
            </w:pPr>
            <w:r w:rsidRPr="00967C7D">
              <w:rPr>
                <w:rFonts w:cs="Arial"/>
                <w:bCs/>
                <w:color w:val="auto"/>
                <w:sz w:val="20"/>
              </w:rPr>
              <w:t>EV5/30</w:t>
            </w:r>
          </w:p>
        </w:tc>
        <w:tc>
          <w:tcPr>
            <w:tcW w:w="6230" w:type="dxa"/>
            <w:noWrap/>
          </w:tcPr>
          <w:p w14:paraId="5EEE15F5" w14:textId="77777777" w:rsidR="00967C7D" w:rsidRPr="00967C7D" w:rsidRDefault="00967C7D" w:rsidP="00967C7D">
            <w:pPr>
              <w:keepNext w:val="0"/>
              <w:spacing w:before="0"/>
              <w:rPr>
                <w:rFonts w:cs="Arial"/>
                <w:bCs/>
                <w:color w:val="auto"/>
                <w:sz w:val="20"/>
              </w:rPr>
            </w:pPr>
            <w:r w:rsidRPr="00967C7D">
              <w:rPr>
                <w:rFonts w:cs="Arial"/>
                <w:bCs/>
                <w:color w:val="auto"/>
                <w:sz w:val="20"/>
              </w:rPr>
              <w:t>Annie Holgate School Playing Field</w:t>
            </w:r>
          </w:p>
        </w:tc>
        <w:tc>
          <w:tcPr>
            <w:tcW w:w="1847" w:type="dxa"/>
            <w:noWrap/>
          </w:tcPr>
          <w:p w14:paraId="6ECD465F"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8315656" w14:textId="77777777" w:rsidTr="00B5314A">
        <w:trPr>
          <w:trHeight w:val="284"/>
        </w:trPr>
        <w:tc>
          <w:tcPr>
            <w:tcW w:w="1280" w:type="dxa"/>
          </w:tcPr>
          <w:p w14:paraId="42427D82" w14:textId="77777777" w:rsidR="00967C7D" w:rsidRPr="00967C7D" w:rsidRDefault="00967C7D" w:rsidP="00967C7D">
            <w:pPr>
              <w:keepNext w:val="0"/>
              <w:spacing w:before="0"/>
              <w:rPr>
                <w:rFonts w:cs="Arial"/>
                <w:bCs/>
                <w:color w:val="auto"/>
                <w:sz w:val="20"/>
              </w:rPr>
            </w:pPr>
            <w:r w:rsidRPr="00967C7D">
              <w:rPr>
                <w:rFonts w:cs="Arial"/>
                <w:bCs/>
                <w:color w:val="auto"/>
                <w:sz w:val="20"/>
              </w:rPr>
              <w:t>EV5/31</w:t>
            </w:r>
          </w:p>
        </w:tc>
        <w:tc>
          <w:tcPr>
            <w:tcW w:w="6230" w:type="dxa"/>
            <w:noWrap/>
          </w:tcPr>
          <w:p w14:paraId="0BD5CC61" w14:textId="77777777" w:rsidR="00967C7D" w:rsidRPr="00967C7D" w:rsidRDefault="00967C7D" w:rsidP="00967C7D">
            <w:pPr>
              <w:keepNext w:val="0"/>
              <w:spacing w:before="0"/>
              <w:rPr>
                <w:rFonts w:cs="Arial"/>
                <w:bCs/>
                <w:color w:val="auto"/>
                <w:sz w:val="20"/>
              </w:rPr>
            </w:pPr>
            <w:r w:rsidRPr="00967C7D">
              <w:rPr>
                <w:rFonts w:cs="Arial"/>
                <w:bCs/>
                <w:color w:val="auto"/>
                <w:sz w:val="20"/>
              </w:rPr>
              <w:t>Common Farm</w:t>
            </w:r>
          </w:p>
        </w:tc>
        <w:tc>
          <w:tcPr>
            <w:tcW w:w="1847" w:type="dxa"/>
            <w:noWrap/>
          </w:tcPr>
          <w:p w14:paraId="240E6B26"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D768527" w14:textId="77777777" w:rsidTr="00B5314A">
        <w:trPr>
          <w:trHeight w:val="284"/>
        </w:trPr>
        <w:tc>
          <w:tcPr>
            <w:tcW w:w="1280" w:type="dxa"/>
          </w:tcPr>
          <w:p w14:paraId="77CA10A8" w14:textId="77777777" w:rsidR="00967C7D" w:rsidRPr="00967C7D" w:rsidRDefault="00967C7D" w:rsidP="00967C7D">
            <w:pPr>
              <w:keepNext w:val="0"/>
              <w:spacing w:before="0"/>
              <w:rPr>
                <w:rFonts w:cs="Arial"/>
                <w:bCs/>
                <w:color w:val="auto"/>
                <w:sz w:val="20"/>
              </w:rPr>
            </w:pPr>
            <w:r w:rsidRPr="00967C7D">
              <w:rPr>
                <w:rFonts w:cs="Arial"/>
                <w:bCs/>
                <w:color w:val="auto"/>
                <w:sz w:val="20"/>
              </w:rPr>
              <w:t>EV5/32</w:t>
            </w:r>
          </w:p>
        </w:tc>
        <w:tc>
          <w:tcPr>
            <w:tcW w:w="6230" w:type="dxa"/>
            <w:noWrap/>
          </w:tcPr>
          <w:p w14:paraId="1DEE010F" w14:textId="77777777" w:rsidR="00967C7D" w:rsidRPr="00967C7D" w:rsidRDefault="00967C7D" w:rsidP="00967C7D">
            <w:pPr>
              <w:keepNext w:val="0"/>
              <w:spacing w:before="0"/>
              <w:rPr>
                <w:rFonts w:cs="Arial"/>
                <w:bCs/>
                <w:color w:val="auto"/>
                <w:sz w:val="20"/>
              </w:rPr>
            </w:pPr>
            <w:r w:rsidRPr="00967C7D">
              <w:rPr>
                <w:rFonts w:cs="Arial"/>
                <w:bCs/>
                <w:color w:val="auto"/>
                <w:sz w:val="20"/>
              </w:rPr>
              <w:t>Wigwam Lane Open Area</w:t>
            </w:r>
          </w:p>
        </w:tc>
        <w:tc>
          <w:tcPr>
            <w:tcW w:w="1847" w:type="dxa"/>
            <w:noWrap/>
          </w:tcPr>
          <w:p w14:paraId="4EAB5206"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BEC50CB" w14:textId="77777777" w:rsidTr="00B5314A">
        <w:trPr>
          <w:trHeight w:val="284"/>
        </w:trPr>
        <w:tc>
          <w:tcPr>
            <w:tcW w:w="1280" w:type="dxa"/>
          </w:tcPr>
          <w:p w14:paraId="66DEDBE4" w14:textId="77777777" w:rsidR="00967C7D" w:rsidRPr="00967C7D" w:rsidRDefault="00967C7D" w:rsidP="00967C7D">
            <w:pPr>
              <w:keepNext w:val="0"/>
              <w:spacing w:before="0"/>
              <w:rPr>
                <w:rFonts w:cs="Arial"/>
                <w:bCs/>
                <w:color w:val="auto"/>
                <w:sz w:val="20"/>
              </w:rPr>
            </w:pPr>
            <w:r w:rsidRPr="00967C7D">
              <w:rPr>
                <w:rFonts w:cs="Arial"/>
                <w:bCs/>
                <w:color w:val="auto"/>
                <w:sz w:val="20"/>
              </w:rPr>
              <w:t>EV5/33</w:t>
            </w:r>
          </w:p>
        </w:tc>
        <w:tc>
          <w:tcPr>
            <w:tcW w:w="6230" w:type="dxa"/>
            <w:noWrap/>
          </w:tcPr>
          <w:p w14:paraId="0EA6B8E9" w14:textId="77777777" w:rsidR="00967C7D" w:rsidRPr="00967C7D" w:rsidRDefault="00967C7D" w:rsidP="00967C7D">
            <w:pPr>
              <w:keepNext w:val="0"/>
              <w:spacing w:before="0"/>
              <w:rPr>
                <w:rFonts w:cs="Arial"/>
                <w:bCs/>
                <w:color w:val="auto"/>
                <w:sz w:val="20"/>
              </w:rPr>
            </w:pPr>
            <w:r w:rsidRPr="00967C7D">
              <w:rPr>
                <w:rFonts w:cs="Arial"/>
                <w:bCs/>
                <w:color w:val="auto"/>
                <w:sz w:val="20"/>
              </w:rPr>
              <w:t>Leen Valley Golf Course</w:t>
            </w:r>
          </w:p>
        </w:tc>
        <w:tc>
          <w:tcPr>
            <w:tcW w:w="1847" w:type="dxa"/>
            <w:noWrap/>
          </w:tcPr>
          <w:p w14:paraId="2D107885"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F78DA9A" w14:textId="77777777" w:rsidTr="00B5314A">
        <w:trPr>
          <w:trHeight w:val="284"/>
        </w:trPr>
        <w:tc>
          <w:tcPr>
            <w:tcW w:w="1280" w:type="dxa"/>
          </w:tcPr>
          <w:p w14:paraId="63E46AB7" w14:textId="77777777" w:rsidR="00967C7D" w:rsidRPr="00967C7D" w:rsidRDefault="00967C7D" w:rsidP="00967C7D">
            <w:pPr>
              <w:keepNext w:val="0"/>
              <w:spacing w:before="0"/>
              <w:rPr>
                <w:rFonts w:cs="Arial"/>
                <w:bCs/>
                <w:color w:val="auto"/>
                <w:sz w:val="20"/>
              </w:rPr>
            </w:pPr>
            <w:r w:rsidRPr="00967C7D">
              <w:rPr>
                <w:rFonts w:cs="Arial"/>
                <w:bCs/>
                <w:color w:val="auto"/>
                <w:sz w:val="20"/>
              </w:rPr>
              <w:t>EV5/34</w:t>
            </w:r>
          </w:p>
        </w:tc>
        <w:tc>
          <w:tcPr>
            <w:tcW w:w="6230" w:type="dxa"/>
            <w:noWrap/>
          </w:tcPr>
          <w:p w14:paraId="4CDEC8C5" w14:textId="77777777" w:rsidR="00967C7D" w:rsidRPr="00967C7D" w:rsidRDefault="00967C7D" w:rsidP="00967C7D">
            <w:pPr>
              <w:keepNext w:val="0"/>
              <w:spacing w:before="0"/>
              <w:rPr>
                <w:rFonts w:cs="Arial"/>
                <w:bCs/>
                <w:color w:val="auto"/>
                <w:sz w:val="20"/>
              </w:rPr>
            </w:pPr>
            <w:r w:rsidRPr="00967C7D">
              <w:rPr>
                <w:rFonts w:cs="Arial"/>
                <w:bCs/>
                <w:color w:val="auto"/>
                <w:sz w:val="20"/>
              </w:rPr>
              <w:t>Garden Road</w:t>
            </w:r>
          </w:p>
        </w:tc>
        <w:tc>
          <w:tcPr>
            <w:tcW w:w="1847" w:type="dxa"/>
            <w:noWrap/>
          </w:tcPr>
          <w:p w14:paraId="19C902B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D6DB92D" w14:textId="77777777" w:rsidTr="00B5314A">
        <w:trPr>
          <w:trHeight w:val="284"/>
        </w:trPr>
        <w:tc>
          <w:tcPr>
            <w:tcW w:w="1280" w:type="dxa"/>
          </w:tcPr>
          <w:p w14:paraId="6A67166B" w14:textId="77777777" w:rsidR="00967C7D" w:rsidRPr="00967C7D" w:rsidRDefault="00967C7D" w:rsidP="00967C7D">
            <w:pPr>
              <w:keepNext w:val="0"/>
              <w:spacing w:before="0"/>
              <w:rPr>
                <w:rFonts w:cs="Arial"/>
                <w:bCs/>
                <w:color w:val="auto"/>
                <w:sz w:val="20"/>
              </w:rPr>
            </w:pPr>
            <w:r w:rsidRPr="00967C7D">
              <w:rPr>
                <w:rFonts w:cs="Arial"/>
                <w:bCs/>
                <w:color w:val="auto"/>
                <w:sz w:val="20"/>
              </w:rPr>
              <w:t>EV5/35</w:t>
            </w:r>
          </w:p>
        </w:tc>
        <w:tc>
          <w:tcPr>
            <w:tcW w:w="6230" w:type="dxa"/>
            <w:noWrap/>
          </w:tcPr>
          <w:p w14:paraId="0FD3E3DC" w14:textId="77777777" w:rsidR="00967C7D" w:rsidRPr="00967C7D" w:rsidRDefault="00967C7D" w:rsidP="00967C7D">
            <w:pPr>
              <w:keepNext w:val="0"/>
              <w:spacing w:before="0"/>
              <w:rPr>
                <w:rFonts w:cs="Arial"/>
                <w:bCs/>
                <w:color w:val="auto"/>
                <w:sz w:val="20"/>
              </w:rPr>
            </w:pPr>
            <w:r w:rsidRPr="00967C7D">
              <w:rPr>
                <w:rFonts w:cs="Arial"/>
                <w:bCs/>
                <w:color w:val="auto"/>
                <w:sz w:val="20"/>
              </w:rPr>
              <w:t>Wood Lane</w:t>
            </w:r>
          </w:p>
        </w:tc>
        <w:tc>
          <w:tcPr>
            <w:tcW w:w="1847" w:type="dxa"/>
            <w:noWrap/>
          </w:tcPr>
          <w:p w14:paraId="4ED9325B"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29D1429" w14:textId="77777777" w:rsidTr="00B5314A">
        <w:trPr>
          <w:trHeight w:val="284"/>
        </w:trPr>
        <w:tc>
          <w:tcPr>
            <w:tcW w:w="1280" w:type="dxa"/>
          </w:tcPr>
          <w:p w14:paraId="7565F7AB" w14:textId="77777777" w:rsidR="00967C7D" w:rsidRPr="00967C7D" w:rsidRDefault="00967C7D" w:rsidP="00967C7D">
            <w:pPr>
              <w:keepNext w:val="0"/>
              <w:spacing w:before="0"/>
              <w:rPr>
                <w:rFonts w:cs="Arial"/>
                <w:bCs/>
                <w:color w:val="auto"/>
                <w:sz w:val="20"/>
              </w:rPr>
            </w:pPr>
            <w:r w:rsidRPr="00967C7D">
              <w:rPr>
                <w:rFonts w:cs="Arial"/>
                <w:bCs/>
                <w:color w:val="auto"/>
                <w:sz w:val="20"/>
              </w:rPr>
              <w:t>EV5/36</w:t>
            </w:r>
          </w:p>
        </w:tc>
        <w:tc>
          <w:tcPr>
            <w:tcW w:w="6230" w:type="dxa"/>
            <w:noWrap/>
          </w:tcPr>
          <w:p w14:paraId="63DB52EE" w14:textId="77777777" w:rsidR="00967C7D" w:rsidRPr="00967C7D" w:rsidRDefault="00967C7D" w:rsidP="00967C7D">
            <w:pPr>
              <w:keepNext w:val="0"/>
              <w:spacing w:before="0"/>
              <w:rPr>
                <w:rFonts w:cs="Arial"/>
                <w:bCs/>
                <w:color w:val="auto"/>
                <w:sz w:val="20"/>
              </w:rPr>
            </w:pPr>
            <w:r w:rsidRPr="00967C7D">
              <w:rPr>
                <w:rFonts w:cs="Arial"/>
                <w:bCs/>
                <w:color w:val="auto"/>
                <w:sz w:val="20"/>
              </w:rPr>
              <w:t>St Mary Magdalen's Church Cemetery</w:t>
            </w:r>
          </w:p>
        </w:tc>
        <w:tc>
          <w:tcPr>
            <w:tcW w:w="1847" w:type="dxa"/>
            <w:noWrap/>
          </w:tcPr>
          <w:p w14:paraId="70095F62"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27C355D" w14:textId="77777777" w:rsidTr="00B5314A">
        <w:trPr>
          <w:trHeight w:val="284"/>
        </w:trPr>
        <w:tc>
          <w:tcPr>
            <w:tcW w:w="1280" w:type="dxa"/>
          </w:tcPr>
          <w:p w14:paraId="4F1B2F8D" w14:textId="77777777" w:rsidR="00967C7D" w:rsidRPr="00967C7D" w:rsidRDefault="00967C7D" w:rsidP="00967C7D">
            <w:pPr>
              <w:keepNext w:val="0"/>
              <w:spacing w:before="0"/>
              <w:rPr>
                <w:rFonts w:cs="Arial"/>
                <w:bCs/>
                <w:color w:val="auto"/>
                <w:sz w:val="20"/>
              </w:rPr>
            </w:pPr>
            <w:r w:rsidRPr="00967C7D">
              <w:rPr>
                <w:rFonts w:cs="Arial"/>
                <w:bCs/>
                <w:color w:val="auto"/>
                <w:sz w:val="20"/>
              </w:rPr>
              <w:t>EV5/37</w:t>
            </w:r>
          </w:p>
        </w:tc>
        <w:tc>
          <w:tcPr>
            <w:tcW w:w="6230" w:type="dxa"/>
            <w:noWrap/>
          </w:tcPr>
          <w:p w14:paraId="60FC1913"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Whyburn</w:t>
            </w:r>
            <w:proofErr w:type="spellEnd"/>
            <w:r w:rsidRPr="00967C7D">
              <w:rPr>
                <w:rFonts w:cs="Arial"/>
                <w:bCs/>
                <w:color w:val="auto"/>
                <w:sz w:val="20"/>
              </w:rPr>
              <w:t xml:space="preserve"> Primary School Playing Field</w:t>
            </w:r>
          </w:p>
        </w:tc>
        <w:tc>
          <w:tcPr>
            <w:tcW w:w="1847" w:type="dxa"/>
            <w:noWrap/>
          </w:tcPr>
          <w:p w14:paraId="425ADA79"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2B17BE84" w14:textId="77777777" w:rsidTr="00B5314A">
        <w:trPr>
          <w:trHeight w:val="284"/>
        </w:trPr>
        <w:tc>
          <w:tcPr>
            <w:tcW w:w="1280" w:type="dxa"/>
          </w:tcPr>
          <w:p w14:paraId="62180FB8" w14:textId="77777777" w:rsidR="00967C7D" w:rsidRPr="00967C7D" w:rsidRDefault="00967C7D" w:rsidP="00967C7D">
            <w:pPr>
              <w:keepNext w:val="0"/>
              <w:spacing w:before="0"/>
              <w:rPr>
                <w:rFonts w:cs="Arial"/>
                <w:bCs/>
                <w:color w:val="auto"/>
                <w:sz w:val="20"/>
              </w:rPr>
            </w:pPr>
            <w:r w:rsidRPr="00967C7D">
              <w:rPr>
                <w:rFonts w:cs="Arial"/>
                <w:bCs/>
                <w:color w:val="auto"/>
                <w:sz w:val="20"/>
              </w:rPr>
              <w:t>EV5/38</w:t>
            </w:r>
          </w:p>
        </w:tc>
        <w:tc>
          <w:tcPr>
            <w:tcW w:w="6230" w:type="dxa"/>
            <w:noWrap/>
          </w:tcPr>
          <w:p w14:paraId="501FE501" w14:textId="77777777" w:rsidR="00967C7D" w:rsidRPr="00967C7D" w:rsidRDefault="00967C7D" w:rsidP="00967C7D">
            <w:pPr>
              <w:keepNext w:val="0"/>
              <w:spacing w:before="0"/>
              <w:rPr>
                <w:rFonts w:cs="Arial"/>
                <w:bCs/>
                <w:color w:val="auto"/>
                <w:sz w:val="20"/>
              </w:rPr>
            </w:pPr>
            <w:r w:rsidRPr="00967C7D">
              <w:rPr>
                <w:rFonts w:cs="Arial"/>
                <w:bCs/>
                <w:color w:val="auto"/>
                <w:sz w:val="20"/>
              </w:rPr>
              <w:t>Greenwood Vale</w:t>
            </w:r>
          </w:p>
        </w:tc>
        <w:tc>
          <w:tcPr>
            <w:tcW w:w="1847" w:type="dxa"/>
            <w:noWrap/>
          </w:tcPr>
          <w:p w14:paraId="72A1251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15A5B4E" w14:textId="77777777" w:rsidTr="00B5314A">
        <w:trPr>
          <w:trHeight w:val="284"/>
        </w:trPr>
        <w:tc>
          <w:tcPr>
            <w:tcW w:w="1280" w:type="dxa"/>
          </w:tcPr>
          <w:p w14:paraId="48F4906A" w14:textId="77777777" w:rsidR="00967C7D" w:rsidRPr="00967C7D" w:rsidRDefault="00967C7D" w:rsidP="00967C7D">
            <w:pPr>
              <w:keepNext w:val="0"/>
              <w:spacing w:before="0"/>
              <w:rPr>
                <w:rFonts w:cs="Arial"/>
                <w:bCs/>
                <w:color w:val="auto"/>
                <w:sz w:val="20"/>
              </w:rPr>
            </w:pPr>
            <w:r w:rsidRPr="00967C7D">
              <w:rPr>
                <w:rFonts w:cs="Arial"/>
                <w:bCs/>
                <w:color w:val="auto"/>
                <w:sz w:val="20"/>
              </w:rPr>
              <w:t>EV5/39</w:t>
            </w:r>
          </w:p>
        </w:tc>
        <w:tc>
          <w:tcPr>
            <w:tcW w:w="6230" w:type="dxa"/>
            <w:noWrap/>
          </w:tcPr>
          <w:p w14:paraId="695510C4" w14:textId="77777777" w:rsidR="00967C7D" w:rsidRPr="00967C7D" w:rsidRDefault="00967C7D" w:rsidP="00967C7D">
            <w:pPr>
              <w:keepNext w:val="0"/>
              <w:spacing w:before="0"/>
              <w:rPr>
                <w:rFonts w:cs="Arial"/>
                <w:bCs/>
                <w:color w:val="auto"/>
                <w:sz w:val="20"/>
              </w:rPr>
            </w:pPr>
            <w:r w:rsidRPr="00967C7D">
              <w:rPr>
                <w:rFonts w:cs="Arial"/>
                <w:bCs/>
                <w:color w:val="auto"/>
                <w:sz w:val="20"/>
              </w:rPr>
              <w:t>Wigwam Lane Playing Field</w:t>
            </w:r>
          </w:p>
        </w:tc>
        <w:tc>
          <w:tcPr>
            <w:tcW w:w="1847" w:type="dxa"/>
            <w:noWrap/>
          </w:tcPr>
          <w:p w14:paraId="7F711C5F"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33495DE" w14:textId="77777777" w:rsidTr="00B5314A">
        <w:trPr>
          <w:trHeight w:val="284"/>
        </w:trPr>
        <w:tc>
          <w:tcPr>
            <w:tcW w:w="1280" w:type="dxa"/>
          </w:tcPr>
          <w:p w14:paraId="726D7D4D" w14:textId="77777777" w:rsidR="00967C7D" w:rsidRPr="00967C7D" w:rsidRDefault="00967C7D" w:rsidP="00967C7D">
            <w:pPr>
              <w:keepNext w:val="0"/>
              <w:spacing w:before="0"/>
              <w:rPr>
                <w:rFonts w:cs="Arial"/>
                <w:bCs/>
                <w:color w:val="auto"/>
                <w:sz w:val="20"/>
              </w:rPr>
            </w:pPr>
            <w:r w:rsidRPr="00967C7D">
              <w:rPr>
                <w:rFonts w:cs="Arial"/>
                <w:bCs/>
                <w:color w:val="auto"/>
                <w:sz w:val="20"/>
              </w:rPr>
              <w:lastRenderedPageBreak/>
              <w:t>EV5/40</w:t>
            </w:r>
          </w:p>
        </w:tc>
        <w:tc>
          <w:tcPr>
            <w:tcW w:w="6230" w:type="dxa"/>
            <w:noWrap/>
          </w:tcPr>
          <w:p w14:paraId="6D6CD520" w14:textId="77777777" w:rsidR="00967C7D" w:rsidRPr="00967C7D" w:rsidRDefault="00967C7D" w:rsidP="00967C7D">
            <w:pPr>
              <w:keepNext w:val="0"/>
              <w:spacing w:before="0"/>
              <w:rPr>
                <w:rFonts w:cs="Arial"/>
                <w:bCs/>
                <w:color w:val="auto"/>
                <w:sz w:val="20"/>
              </w:rPr>
            </w:pPr>
            <w:r w:rsidRPr="00967C7D">
              <w:rPr>
                <w:rFonts w:cs="Arial"/>
                <w:bCs/>
                <w:color w:val="auto"/>
                <w:sz w:val="20"/>
              </w:rPr>
              <w:t>Albert Street Recreation Ground</w:t>
            </w:r>
          </w:p>
        </w:tc>
        <w:tc>
          <w:tcPr>
            <w:tcW w:w="1847" w:type="dxa"/>
            <w:noWrap/>
          </w:tcPr>
          <w:p w14:paraId="03392B08"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DC9B352" w14:textId="77777777" w:rsidTr="00B5314A">
        <w:trPr>
          <w:trHeight w:val="284"/>
        </w:trPr>
        <w:tc>
          <w:tcPr>
            <w:tcW w:w="1280" w:type="dxa"/>
          </w:tcPr>
          <w:p w14:paraId="536635D3" w14:textId="77777777" w:rsidR="00967C7D" w:rsidRPr="00967C7D" w:rsidRDefault="00967C7D" w:rsidP="00967C7D">
            <w:pPr>
              <w:keepNext w:val="0"/>
              <w:spacing w:before="0"/>
              <w:rPr>
                <w:rFonts w:cs="Arial"/>
                <w:bCs/>
                <w:color w:val="auto"/>
                <w:sz w:val="20"/>
              </w:rPr>
            </w:pPr>
            <w:r w:rsidRPr="00967C7D">
              <w:rPr>
                <w:rFonts w:cs="Arial"/>
                <w:bCs/>
                <w:color w:val="auto"/>
                <w:sz w:val="20"/>
              </w:rPr>
              <w:t>EV5/41</w:t>
            </w:r>
          </w:p>
        </w:tc>
        <w:tc>
          <w:tcPr>
            <w:tcW w:w="6230" w:type="dxa"/>
            <w:noWrap/>
          </w:tcPr>
          <w:p w14:paraId="132BB7C5" w14:textId="77777777" w:rsidR="00967C7D" w:rsidRPr="00967C7D" w:rsidRDefault="00967C7D" w:rsidP="00967C7D">
            <w:pPr>
              <w:keepNext w:val="0"/>
              <w:spacing w:before="0"/>
              <w:rPr>
                <w:rFonts w:cs="Arial"/>
                <w:bCs/>
                <w:color w:val="auto"/>
                <w:sz w:val="20"/>
              </w:rPr>
            </w:pPr>
            <w:r w:rsidRPr="00967C7D">
              <w:rPr>
                <w:rFonts w:cs="Arial"/>
                <w:bCs/>
                <w:color w:val="auto"/>
                <w:sz w:val="20"/>
              </w:rPr>
              <w:t>Papplewick Lane Football Pitches</w:t>
            </w:r>
          </w:p>
        </w:tc>
        <w:tc>
          <w:tcPr>
            <w:tcW w:w="1847" w:type="dxa"/>
            <w:noWrap/>
          </w:tcPr>
          <w:p w14:paraId="0F35CB6C"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96741FF" w14:textId="77777777" w:rsidTr="00B5314A">
        <w:trPr>
          <w:trHeight w:val="284"/>
        </w:trPr>
        <w:tc>
          <w:tcPr>
            <w:tcW w:w="1280" w:type="dxa"/>
          </w:tcPr>
          <w:p w14:paraId="5DF11665" w14:textId="77777777" w:rsidR="00967C7D" w:rsidRPr="00967C7D" w:rsidRDefault="00967C7D" w:rsidP="00967C7D">
            <w:pPr>
              <w:keepNext w:val="0"/>
              <w:spacing w:before="0"/>
              <w:rPr>
                <w:rFonts w:cs="Arial"/>
                <w:bCs/>
                <w:color w:val="auto"/>
                <w:sz w:val="20"/>
              </w:rPr>
            </w:pPr>
            <w:r w:rsidRPr="00967C7D">
              <w:rPr>
                <w:rFonts w:cs="Arial"/>
                <w:bCs/>
                <w:color w:val="auto"/>
                <w:sz w:val="20"/>
              </w:rPr>
              <w:t>EV5/42</w:t>
            </w:r>
          </w:p>
        </w:tc>
        <w:tc>
          <w:tcPr>
            <w:tcW w:w="6230" w:type="dxa"/>
            <w:noWrap/>
          </w:tcPr>
          <w:p w14:paraId="04F51715" w14:textId="77777777" w:rsidR="00967C7D" w:rsidRPr="00967C7D" w:rsidRDefault="00967C7D" w:rsidP="00967C7D">
            <w:pPr>
              <w:keepNext w:val="0"/>
              <w:spacing w:before="0"/>
              <w:rPr>
                <w:rFonts w:cs="Arial"/>
                <w:bCs/>
                <w:color w:val="auto"/>
                <w:sz w:val="20"/>
              </w:rPr>
            </w:pPr>
            <w:r w:rsidRPr="00967C7D">
              <w:rPr>
                <w:rFonts w:cs="Arial"/>
                <w:bCs/>
                <w:color w:val="auto"/>
                <w:sz w:val="20"/>
              </w:rPr>
              <w:t>Papplewick Leen Corridor</w:t>
            </w:r>
          </w:p>
        </w:tc>
        <w:tc>
          <w:tcPr>
            <w:tcW w:w="1847" w:type="dxa"/>
            <w:noWrap/>
          </w:tcPr>
          <w:p w14:paraId="498333CE"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9D7FA73" w14:textId="77777777" w:rsidTr="00B5314A">
        <w:trPr>
          <w:trHeight w:val="284"/>
        </w:trPr>
        <w:tc>
          <w:tcPr>
            <w:tcW w:w="1280" w:type="dxa"/>
          </w:tcPr>
          <w:p w14:paraId="195BBD83" w14:textId="77777777" w:rsidR="00967C7D" w:rsidRPr="00967C7D" w:rsidRDefault="00967C7D" w:rsidP="00967C7D">
            <w:pPr>
              <w:keepNext w:val="0"/>
              <w:spacing w:before="0"/>
              <w:rPr>
                <w:rFonts w:cs="Arial"/>
                <w:bCs/>
                <w:color w:val="auto"/>
                <w:sz w:val="20"/>
              </w:rPr>
            </w:pPr>
            <w:r w:rsidRPr="00967C7D">
              <w:rPr>
                <w:rFonts w:cs="Arial"/>
                <w:bCs/>
                <w:color w:val="auto"/>
                <w:sz w:val="20"/>
              </w:rPr>
              <w:t>EV5/43</w:t>
            </w:r>
          </w:p>
        </w:tc>
        <w:tc>
          <w:tcPr>
            <w:tcW w:w="6230" w:type="dxa"/>
            <w:noWrap/>
          </w:tcPr>
          <w:p w14:paraId="6F821750" w14:textId="77777777" w:rsidR="00967C7D" w:rsidRPr="00967C7D" w:rsidRDefault="00967C7D" w:rsidP="00967C7D">
            <w:pPr>
              <w:keepNext w:val="0"/>
              <w:spacing w:before="0"/>
              <w:rPr>
                <w:rFonts w:cs="Arial"/>
                <w:bCs/>
                <w:color w:val="auto"/>
                <w:sz w:val="20"/>
              </w:rPr>
            </w:pPr>
            <w:r w:rsidRPr="00967C7D">
              <w:rPr>
                <w:rFonts w:cs="Arial"/>
                <w:bCs/>
                <w:color w:val="auto"/>
                <w:sz w:val="20"/>
              </w:rPr>
              <w:t>Hucknall National Junior School Playing Field</w:t>
            </w:r>
          </w:p>
        </w:tc>
        <w:tc>
          <w:tcPr>
            <w:tcW w:w="1847" w:type="dxa"/>
            <w:noWrap/>
          </w:tcPr>
          <w:p w14:paraId="6CC55843"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905C388" w14:textId="77777777" w:rsidTr="00B5314A">
        <w:trPr>
          <w:trHeight w:val="284"/>
        </w:trPr>
        <w:tc>
          <w:tcPr>
            <w:tcW w:w="1280" w:type="dxa"/>
          </w:tcPr>
          <w:p w14:paraId="1DAFEE36" w14:textId="77777777" w:rsidR="00967C7D" w:rsidRPr="00967C7D" w:rsidRDefault="00967C7D" w:rsidP="00967C7D">
            <w:pPr>
              <w:keepNext w:val="0"/>
              <w:spacing w:before="0"/>
              <w:rPr>
                <w:rFonts w:cs="Arial"/>
                <w:bCs/>
                <w:color w:val="auto"/>
                <w:sz w:val="20"/>
              </w:rPr>
            </w:pPr>
            <w:r w:rsidRPr="00967C7D">
              <w:rPr>
                <w:rFonts w:cs="Arial"/>
                <w:bCs/>
                <w:color w:val="auto"/>
                <w:sz w:val="20"/>
              </w:rPr>
              <w:t>EV5/44</w:t>
            </w:r>
          </w:p>
        </w:tc>
        <w:tc>
          <w:tcPr>
            <w:tcW w:w="6230" w:type="dxa"/>
            <w:noWrap/>
          </w:tcPr>
          <w:p w14:paraId="01525EB2"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Washdyke</w:t>
            </w:r>
            <w:proofErr w:type="spellEnd"/>
            <w:r w:rsidRPr="00967C7D">
              <w:rPr>
                <w:rFonts w:cs="Arial"/>
                <w:bCs/>
                <w:color w:val="auto"/>
                <w:sz w:val="20"/>
              </w:rPr>
              <w:t xml:space="preserve"> Lane Recreation Ground/</w:t>
            </w:r>
            <w:proofErr w:type="spellStart"/>
            <w:r w:rsidRPr="00967C7D">
              <w:rPr>
                <w:rFonts w:cs="Arial"/>
                <w:bCs/>
                <w:color w:val="auto"/>
                <w:sz w:val="20"/>
              </w:rPr>
              <w:t>Wighay</w:t>
            </w:r>
            <w:proofErr w:type="spellEnd"/>
            <w:r w:rsidRPr="00967C7D">
              <w:rPr>
                <w:rFonts w:cs="Arial"/>
                <w:bCs/>
                <w:color w:val="auto"/>
                <w:sz w:val="20"/>
              </w:rPr>
              <w:t xml:space="preserve"> Park</w:t>
            </w:r>
          </w:p>
        </w:tc>
        <w:tc>
          <w:tcPr>
            <w:tcW w:w="1847" w:type="dxa"/>
            <w:noWrap/>
          </w:tcPr>
          <w:p w14:paraId="5007744E"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4DA2F91" w14:textId="77777777" w:rsidTr="00B5314A">
        <w:trPr>
          <w:trHeight w:val="284"/>
        </w:trPr>
        <w:tc>
          <w:tcPr>
            <w:tcW w:w="1280" w:type="dxa"/>
          </w:tcPr>
          <w:p w14:paraId="7D2B0C9F" w14:textId="77777777" w:rsidR="00967C7D" w:rsidRPr="00967C7D" w:rsidRDefault="00967C7D" w:rsidP="00967C7D">
            <w:pPr>
              <w:keepNext w:val="0"/>
              <w:spacing w:before="0"/>
              <w:rPr>
                <w:rFonts w:cs="Arial"/>
                <w:bCs/>
                <w:color w:val="auto"/>
                <w:sz w:val="20"/>
              </w:rPr>
            </w:pPr>
            <w:r w:rsidRPr="00967C7D">
              <w:rPr>
                <w:rFonts w:cs="Arial"/>
                <w:bCs/>
                <w:color w:val="auto"/>
                <w:sz w:val="20"/>
              </w:rPr>
              <w:t>EV5/45</w:t>
            </w:r>
          </w:p>
        </w:tc>
        <w:tc>
          <w:tcPr>
            <w:tcW w:w="6230" w:type="dxa"/>
            <w:noWrap/>
          </w:tcPr>
          <w:p w14:paraId="77903641" w14:textId="77777777" w:rsidR="00967C7D" w:rsidRPr="00967C7D" w:rsidRDefault="00967C7D" w:rsidP="00967C7D">
            <w:pPr>
              <w:keepNext w:val="0"/>
              <w:spacing w:before="0"/>
              <w:rPr>
                <w:rFonts w:cs="Arial"/>
                <w:bCs/>
                <w:color w:val="auto"/>
                <w:sz w:val="20"/>
              </w:rPr>
            </w:pPr>
            <w:r w:rsidRPr="00967C7D">
              <w:rPr>
                <w:rFonts w:cs="Arial"/>
                <w:bCs/>
                <w:color w:val="auto"/>
                <w:sz w:val="20"/>
              </w:rPr>
              <w:t>Field at Leen Mills School</w:t>
            </w:r>
          </w:p>
        </w:tc>
        <w:tc>
          <w:tcPr>
            <w:tcW w:w="1847" w:type="dxa"/>
            <w:noWrap/>
          </w:tcPr>
          <w:p w14:paraId="727E5D9C"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29F2894" w14:textId="77777777" w:rsidTr="00B5314A">
        <w:trPr>
          <w:trHeight w:val="284"/>
        </w:trPr>
        <w:tc>
          <w:tcPr>
            <w:tcW w:w="1280" w:type="dxa"/>
          </w:tcPr>
          <w:p w14:paraId="715FBE4A" w14:textId="77777777" w:rsidR="00967C7D" w:rsidRPr="00967C7D" w:rsidRDefault="00967C7D" w:rsidP="00967C7D">
            <w:pPr>
              <w:keepNext w:val="0"/>
              <w:spacing w:before="0"/>
              <w:rPr>
                <w:rFonts w:cs="Arial"/>
                <w:bCs/>
                <w:color w:val="auto"/>
                <w:sz w:val="20"/>
              </w:rPr>
            </w:pPr>
            <w:r w:rsidRPr="00967C7D">
              <w:rPr>
                <w:rFonts w:cs="Arial"/>
                <w:bCs/>
                <w:color w:val="auto"/>
                <w:sz w:val="20"/>
              </w:rPr>
              <w:t>EV5/46</w:t>
            </w:r>
          </w:p>
        </w:tc>
        <w:tc>
          <w:tcPr>
            <w:tcW w:w="6230" w:type="dxa"/>
            <w:noWrap/>
          </w:tcPr>
          <w:p w14:paraId="01141D64" w14:textId="77777777" w:rsidR="00967C7D" w:rsidRPr="00967C7D" w:rsidRDefault="00967C7D" w:rsidP="00967C7D">
            <w:pPr>
              <w:keepNext w:val="0"/>
              <w:spacing w:before="0"/>
              <w:rPr>
                <w:rFonts w:cs="Arial"/>
                <w:bCs/>
                <w:color w:val="auto"/>
                <w:sz w:val="20"/>
              </w:rPr>
            </w:pPr>
            <w:r w:rsidRPr="00967C7D">
              <w:rPr>
                <w:rFonts w:cs="Arial"/>
                <w:bCs/>
                <w:color w:val="auto"/>
                <w:sz w:val="20"/>
              </w:rPr>
              <w:t>Leen Mills School Playing Fields</w:t>
            </w:r>
          </w:p>
        </w:tc>
        <w:tc>
          <w:tcPr>
            <w:tcW w:w="1847" w:type="dxa"/>
            <w:noWrap/>
          </w:tcPr>
          <w:p w14:paraId="7BB82638"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37B4237" w14:textId="77777777" w:rsidTr="00B5314A">
        <w:trPr>
          <w:trHeight w:val="284"/>
        </w:trPr>
        <w:tc>
          <w:tcPr>
            <w:tcW w:w="1280" w:type="dxa"/>
          </w:tcPr>
          <w:p w14:paraId="0EE4B346" w14:textId="77777777" w:rsidR="00967C7D" w:rsidRPr="00967C7D" w:rsidRDefault="00967C7D" w:rsidP="00967C7D">
            <w:pPr>
              <w:keepNext w:val="0"/>
              <w:spacing w:before="0"/>
              <w:rPr>
                <w:rFonts w:cs="Arial"/>
                <w:bCs/>
                <w:color w:val="auto"/>
                <w:sz w:val="20"/>
              </w:rPr>
            </w:pPr>
            <w:r w:rsidRPr="00967C7D">
              <w:rPr>
                <w:rFonts w:cs="Arial"/>
                <w:bCs/>
                <w:color w:val="auto"/>
                <w:sz w:val="20"/>
              </w:rPr>
              <w:t>EV5/47</w:t>
            </w:r>
          </w:p>
        </w:tc>
        <w:tc>
          <w:tcPr>
            <w:tcW w:w="6230" w:type="dxa"/>
            <w:noWrap/>
          </w:tcPr>
          <w:p w14:paraId="76BE416B" w14:textId="77777777" w:rsidR="00967C7D" w:rsidRPr="00967C7D" w:rsidRDefault="00967C7D" w:rsidP="00967C7D">
            <w:pPr>
              <w:keepNext w:val="0"/>
              <w:spacing w:before="0"/>
              <w:rPr>
                <w:rFonts w:cs="Arial"/>
                <w:bCs/>
                <w:color w:val="auto"/>
                <w:sz w:val="20"/>
              </w:rPr>
            </w:pPr>
            <w:r w:rsidRPr="00967C7D">
              <w:rPr>
                <w:rFonts w:cs="Arial"/>
                <w:bCs/>
                <w:color w:val="auto"/>
                <w:sz w:val="20"/>
              </w:rPr>
              <w:t>Bishops Way Walk</w:t>
            </w:r>
          </w:p>
        </w:tc>
        <w:tc>
          <w:tcPr>
            <w:tcW w:w="1847" w:type="dxa"/>
            <w:noWrap/>
          </w:tcPr>
          <w:p w14:paraId="7BE0A086"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4D9E2FC" w14:textId="77777777" w:rsidTr="00B5314A">
        <w:trPr>
          <w:trHeight w:val="284"/>
        </w:trPr>
        <w:tc>
          <w:tcPr>
            <w:tcW w:w="1280" w:type="dxa"/>
          </w:tcPr>
          <w:p w14:paraId="5AA83CD4" w14:textId="77777777" w:rsidR="00967C7D" w:rsidRPr="00967C7D" w:rsidRDefault="00967C7D" w:rsidP="00967C7D">
            <w:pPr>
              <w:keepNext w:val="0"/>
              <w:spacing w:before="0"/>
              <w:rPr>
                <w:rFonts w:cs="Arial"/>
                <w:bCs/>
                <w:color w:val="auto"/>
                <w:sz w:val="20"/>
              </w:rPr>
            </w:pPr>
            <w:r w:rsidRPr="00967C7D">
              <w:rPr>
                <w:rFonts w:cs="Arial"/>
                <w:bCs/>
                <w:color w:val="auto"/>
                <w:sz w:val="20"/>
              </w:rPr>
              <w:t>EV5/48</w:t>
            </w:r>
          </w:p>
        </w:tc>
        <w:tc>
          <w:tcPr>
            <w:tcW w:w="6230" w:type="dxa"/>
            <w:noWrap/>
          </w:tcPr>
          <w:p w14:paraId="03326CCF" w14:textId="77777777" w:rsidR="00967C7D" w:rsidRPr="00967C7D" w:rsidRDefault="00967C7D" w:rsidP="00967C7D">
            <w:pPr>
              <w:keepNext w:val="0"/>
              <w:spacing w:before="0"/>
              <w:rPr>
                <w:rFonts w:cs="Arial"/>
                <w:bCs/>
                <w:color w:val="auto"/>
                <w:sz w:val="20"/>
              </w:rPr>
            </w:pPr>
            <w:r w:rsidRPr="00967C7D">
              <w:rPr>
                <w:rFonts w:cs="Arial"/>
                <w:bCs/>
                <w:color w:val="auto"/>
                <w:sz w:val="20"/>
              </w:rPr>
              <w:t>Boatswain Drive</w:t>
            </w:r>
          </w:p>
        </w:tc>
        <w:tc>
          <w:tcPr>
            <w:tcW w:w="1847" w:type="dxa"/>
            <w:noWrap/>
          </w:tcPr>
          <w:p w14:paraId="4084E1DE"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EF819E5" w14:textId="77777777" w:rsidTr="00B5314A">
        <w:trPr>
          <w:trHeight w:val="284"/>
        </w:trPr>
        <w:tc>
          <w:tcPr>
            <w:tcW w:w="1280" w:type="dxa"/>
          </w:tcPr>
          <w:p w14:paraId="75E5A626" w14:textId="77777777" w:rsidR="00967C7D" w:rsidRPr="00967C7D" w:rsidRDefault="00967C7D" w:rsidP="00967C7D">
            <w:pPr>
              <w:keepNext w:val="0"/>
              <w:spacing w:before="0"/>
              <w:rPr>
                <w:rFonts w:cs="Arial"/>
                <w:bCs/>
                <w:color w:val="auto"/>
                <w:sz w:val="20"/>
              </w:rPr>
            </w:pPr>
            <w:r w:rsidRPr="00967C7D">
              <w:rPr>
                <w:rFonts w:cs="Arial"/>
                <w:bCs/>
                <w:color w:val="auto"/>
                <w:sz w:val="20"/>
              </w:rPr>
              <w:t>EV5/49</w:t>
            </w:r>
          </w:p>
        </w:tc>
        <w:tc>
          <w:tcPr>
            <w:tcW w:w="6230" w:type="dxa"/>
            <w:noWrap/>
          </w:tcPr>
          <w:p w14:paraId="06240063" w14:textId="77777777" w:rsidR="00967C7D" w:rsidRPr="00967C7D" w:rsidRDefault="00967C7D" w:rsidP="00967C7D">
            <w:pPr>
              <w:keepNext w:val="0"/>
              <w:spacing w:before="0"/>
              <w:rPr>
                <w:rFonts w:cs="Arial"/>
                <w:bCs/>
                <w:color w:val="auto"/>
                <w:sz w:val="20"/>
              </w:rPr>
            </w:pPr>
            <w:r w:rsidRPr="00967C7D">
              <w:rPr>
                <w:rFonts w:cs="Arial"/>
                <w:bCs/>
                <w:color w:val="auto"/>
                <w:sz w:val="20"/>
              </w:rPr>
              <w:t>Dob Park</w:t>
            </w:r>
          </w:p>
        </w:tc>
        <w:tc>
          <w:tcPr>
            <w:tcW w:w="1847" w:type="dxa"/>
            <w:noWrap/>
          </w:tcPr>
          <w:p w14:paraId="2E2F7DC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410D31A" w14:textId="77777777" w:rsidTr="00B5314A">
        <w:trPr>
          <w:trHeight w:val="284"/>
        </w:trPr>
        <w:tc>
          <w:tcPr>
            <w:tcW w:w="1280" w:type="dxa"/>
          </w:tcPr>
          <w:p w14:paraId="3F065CA7" w14:textId="77777777" w:rsidR="00967C7D" w:rsidRPr="00967C7D" w:rsidRDefault="00967C7D" w:rsidP="00967C7D">
            <w:pPr>
              <w:keepNext w:val="0"/>
              <w:spacing w:before="0"/>
              <w:rPr>
                <w:rFonts w:cs="Arial"/>
                <w:bCs/>
                <w:color w:val="auto"/>
                <w:sz w:val="20"/>
              </w:rPr>
            </w:pPr>
            <w:r w:rsidRPr="00967C7D">
              <w:rPr>
                <w:rFonts w:cs="Arial"/>
                <w:bCs/>
                <w:color w:val="auto"/>
                <w:sz w:val="20"/>
              </w:rPr>
              <w:t>EV5/50</w:t>
            </w:r>
          </w:p>
        </w:tc>
        <w:tc>
          <w:tcPr>
            <w:tcW w:w="6230" w:type="dxa"/>
            <w:noWrap/>
          </w:tcPr>
          <w:p w14:paraId="721D533F" w14:textId="77777777" w:rsidR="00967C7D" w:rsidRPr="00967C7D" w:rsidRDefault="00967C7D" w:rsidP="00967C7D">
            <w:pPr>
              <w:keepNext w:val="0"/>
              <w:spacing w:before="0"/>
              <w:rPr>
                <w:rFonts w:cs="Arial"/>
                <w:bCs/>
                <w:color w:val="auto"/>
                <w:sz w:val="20"/>
              </w:rPr>
            </w:pPr>
            <w:r w:rsidRPr="00967C7D">
              <w:rPr>
                <w:rFonts w:cs="Arial"/>
                <w:bCs/>
                <w:color w:val="auto"/>
                <w:sz w:val="20"/>
              </w:rPr>
              <w:t>Holy Cross Primary School Playing Fields</w:t>
            </w:r>
          </w:p>
        </w:tc>
        <w:tc>
          <w:tcPr>
            <w:tcW w:w="1847" w:type="dxa"/>
            <w:noWrap/>
          </w:tcPr>
          <w:p w14:paraId="6A0F9D42"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83B82A0" w14:textId="77777777" w:rsidTr="00B5314A">
        <w:trPr>
          <w:trHeight w:val="284"/>
        </w:trPr>
        <w:tc>
          <w:tcPr>
            <w:tcW w:w="1280" w:type="dxa"/>
          </w:tcPr>
          <w:p w14:paraId="447F7C63" w14:textId="77777777" w:rsidR="00967C7D" w:rsidRPr="00967C7D" w:rsidRDefault="00967C7D" w:rsidP="00967C7D">
            <w:pPr>
              <w:keepNext w:val="0"/>
              <w:spacing w:before="0"/>
              <w:rPr>
                <w:rFonts w:cs="Arial"/>
                <w:bCs/>
                <w:color w:val="auto"/>
                <w:sz w:val="20"/>
              </w:rPr>
            </w:pPr>
            <w:r w:rsidRPr="00967C7D">
              <w:rPr>
                <w:rFonts w:cs="Arial"/>
                <w:bCs/>
                <w:color w:val="auto"/>
                <w:sz w:val="20"/>
              </w:rPr>
              <w:t>EV5/51</w:t>
            </w:r>
          </w:p>
        </w:tc>
        <w:tc>
          <w:tcPr>
            <w:tcW w:w="6230" w:type="dxa"/>
            <w:noWrap/>
          </w:tcPr>
          <w:p w14:paraId="69D3CA30" w14:textId="77777777" w:rsidR="00967C7D" w:rsidRPr="00967C7D" w:rsidRDefault="00967C7D" w:rsidP="00967C7D">
            <w:pPr>
              <w:keepNext w:val="0"/>
              <w:spacing w:before="0"/>
              <w:rPr>
                <w:rFonts w:cs="Arial"/>
                <w:bCs/>
                <w:color w:val="auto"/>
                <w:sz w:val="20"/>
              </w:rPr>
            </w:pPr>
            <w:r w:rsidRPr="00967C7D">
              <w:rPr>
                <w:rFonts w:cs="Arial"/>
                <w:bCs/>
                <w:color w:val="auto"/>
                <w:sz w:val="20"/>
              </w:rPr>
              <w:t>Barbara Square/ Coronation Road Footpath</w:t>
            </w:r>
          </w:p>
        </w:tc>
        <w:tc>
          <w:tcPr>
            <w:tcW w:w="1847" w:type="dxa"/>
            <w:noWrap/>
          </w:tcPr>
          <w:p w14:paraId="7D0086AC"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6FA2D39" w14:textId="77777777" w:rsidTr="00B5314A">
        <w:trPr>
          <w:trHeight w:val="284"/>
        </w:trPr>
        <w:tc>
          <w:tcPr>
            <w:tcW w:w="1280" w:type="dxa"/>
          </w:tcPr>
          <w:p w14:paraId="3E0EFDA1" w14:textId="77777777" w:rsidR="00967C7D" w:rsidRPr="00967C7D" w:rsidRDefault="00967C7D" w:rsidP="00967C7D">
            <w:pPr>
              <w:keepNext w:val="0"/>
              <w:spacing w:before="0"/>
              <w:rPr>
                <w:rFonts w:cs="Arial"/>
                <w:bCs/>
                <w:color w:val="auto"/>
                <w:sz w:val="20"/>
              </w:rPr>
            </w:pPr>
            <w:r w:rsidRPr="00967C7D">
              <w:rPr>
                <w:rFonts w:cs="Arial"/>
                <w:bCs/>
                <w:color w:val="auto"/>
                <w:sz w:val="20"/>
              </w:rPr>
              <w:t>EV5/52</w:t>
            </w:r>
          </w:p>
        </w:tc>
        <w:tc>
          <w:tcPr>
            <w:tcW w:w="6230" w:type="dxa"/>
            <w:noWrap/>
          </w:tcPr>
          <w:p w14:paraId="6024EA98" w14:textId="77777777" w:rsidR="00967C7D" w:rsidRPr="00967C7D" w:rsidRDefault="00967C7D" w:rsidP="00967C7D">
            <w:pPr>
              <w:keepNext w:val="0"/>
              <w:spacing w:before="0"/>
              <w:rPr>
                <w:rFonts w:cs="Arial"/>
                <w:bCs/>
                <w:color w:val="auto"/>
                <w:sz w:val="20"/>
              </w:rPr>
            </w:pPr>
            <w:r w:rsidRPr="00967C7D">
              <w:rPr>
                <w:rFonts w:cs="Arial"/>
                <w:bCs/>
                <w:color w:val="auto"/>
                <w:sz w:val="20"/>
              </w:rPr>
              <w:t>The National School Playing Fields</w:t>
            </w:r>
          </w:p>
        </w:tc>
        <w:tc>
          <w:tcPr>
            <w:tcW w:w="1847" w:type="dxa"/>
            <w:noWrap/>
          </w:tcPr>
          <w:p w14:paraId="0348B2A6"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4134703" w14:textId="77777777" w:rsidTr="00B5314A">
        <w:trPr>
          <w:trHeight w:val="284"/>
        </w:trPr>
        <w:tc>
          <w:tcPr>
            <w:tcW w:w="1280" w:type="dxa"/>
          </w:tcPr>
          <w:p w14:paraId="16A5AFEA" w14:textId="77777777" w:rsidR="00967C7D" w:rsidRPr="00967C7D" w:rsidRDefault="00967C7D" w:rsidP="00967C7D">
            <w:pPr>
              <w:keepNext w:val="0"/>
              <w:spacing w:before="0"/>
              <w:rPr>
                <w:rFonts w:cs="Arial"/>
                <w:bCs/>
                <w:color w:val="auto"/>
                <w:sz w:val="20"/>
              </w:rPr>
            </w:pPr>
            <w:r w:rsidRPr="00967C7D">
              <w:rPr>
                <w:rFonts w:cs="Arial"/>
                <w:bCs/>
                <w:color w:val="auto"/>
                <w:sz w:val="20"/>
              </w:rPr>
              <w:t>EV5/53</w:t>
            </w:r>
          </w:p>
        </w:tc>
        <w:tc>
          <w:tcPr>
            <w:tcW w:w="6230" w:type="dxa"/>
            <w:noWrap/>
          </w:tcPr>
          <w:p w14:paraId="6D5A6412" w14:textId="77777777" w:rsidR="00967C7D" w:rsidRPr="00967C7D" w:rsidRDefault="00967C7D" w:rsidP="00967C7D">
            <w:pPr>
              <w:keepNext w:val="0"/>
              <w:spacing w:before="0"/>
              <w:rPr>
                <w:rFonts w:cs="Arial"/>
                <w:bCs/>
                <w:color w:val="auto"/>
                <w:sz w:val="20"/>
              </w:rPr>
            </w:pPr>
            <w:r w:rsidRPr="00967C7D">
              <w:rPr>
                <w:rFonts w:cs="Arial"/>
                <w:bCs/>
                <w:color w:val="auto"/>
                <w:sz w:val="20"/>
              </w:rPr>
              <w:t>The Ranges</w:t>
            </w:r>
          </w:p>
        </w:tc>
        <w:tc>
          <w:tcPr>
            <w:tcW w:w="1847" w:type="dxa"/>
            <w:noWrap/>
          </w:tcPr>
          <w:p w14:paraId="3FBDEBFE"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392EFD3" w14:textId="77777777" w:rsidTr="00B5314A">
        <w:trPr>
          <w:trHeight w:val="284"/>
        </w:trPr>
        <w:tc>
          <w:tcPr>
            <w:tcW w:w="1280" w:type="dxa"/>
          </w:tcPr>
          <w:p w14:paraId="229832D5" w14:textId="77777777" w:rsidR="00967C7D" w:rsidRPr="00967C7D" w:rsidRDefault="00967C7D" w:rsidP="00967C7D">
            <w:pPr>
              <w:keepNext w:val="0"/>
              <w:spacing w:before="0"/>
              <w:rPr>
                <w:rFonts w:cs="Arial"/>
                <w:bCs/>
                <w:color w:val="auto"/>
                <w:sz w:val="20"/>
              </w:rPr>
            </w:pPr>
            <w:r w:rsidRPr="00967C7D">
              <w:rPr>
                <w:rFonts w:cs="Arial"/>
                <w:bCs/>
                <w:color w:val="auto"/>
                <w:sz w:val="20"/>
              </w:rPr>
              <w:t>EV5/54</w:t>
            </w:r>
          </w:p>
        </w:tc>
        <w:tc>
          <w:tcPr>
            <w:tcW w:w="6230" w:type="dxa"/>
            <w:noWrap/>
          </w:tcPr>
          <w:p w14:paraId="43E2C8DB" w14:textId="77777777" w:rsidR="00967C7D" w:rsidRPr="00967C7D" w:rsidRDefault="00967C7D" w:rsidP="00967C7D">
            <w:pPr>
              <w:keepNext w:val="0"/>
              <w:spacing w:before="0"/>
              <w:rPr>
                <w:rFonts w:cs="Arial"/>
                <w:bCs/>
                <w:color w:val="auto"/>
                <w:sz w:val="20"/>
              </w:rPr>
            </w:pPr>
            <w:r w:rsidRPr="00967C7D">
              <w:rPr>
                <w:rFonts w:cs="Arial"/>
                <w:bCs/>
                <w:color w:val="auto"/>
                <w:sz w:val="20"/>
              </w:rPr>
              <w:t>Church Lane Cycle Way</w:t>
            </w:r>
          </w:p>
        </w:tc>
        <w:tc>
          <w:tcPr>
            <w:tcW w:w="1847" w:type="dxa"/>
            <w:noWrap/>
          </w:tcPr>
          <w:p w14:paraId="6E404B3A"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13DE5D5" w14:textId="77777777" w:rsidTr="00B5314A">
        <w:trPr>
          <w:trHeight w:val="284"/>
        </w:trPr>
        <w:tc>
          <w:tcPr>
            <w:tcW w:w="1280" w:type="dxa"/>
          </w:tcPr>
          <w:p w14:paraId="27073FF4" w14:textId="77777777" w:rsidR="00967C7D" w:rsidRPr="00967C7D" w:rsidRDefault="00967C7D" w:rsidP="00967C7D">
            <w:pPr>
              <w:keepNext w:val="0"/>
              <w:spacing w:before="0"/>
              <w:rPr>
                <w:rFonts w:cs="Arial"/>
                <w:bCs/>
                <w:color w:val="auto"/>
                <w:sz w:val="20"/>
              </w:rPr>
            </w:pPr>
            <w:r w:rsidRPr="00967C7D">
              <w:rPr>
                <w:rFonts w:cs="Arial"/>
                <w:bCs/>
                <w:color w:val="auto"/>
                <w:sz w:val="20"/>
              </w:rPr>
              <w:t>EV5/55</w:t>
            </w:r>
          </w:p>
        </w:tc>
        <w:tc>
          <w:tcPr>
            <w:tcW w:w="6230" w:type="dxa"/>
            <w:noWrap/>
          </w:tcPr>
          <w:p w14:paraId="5C2D465C" w14:textId="77777777" w:rsidR="00967C7D" w:rsidRPr="00967C7D" w:rsidRDefault="00967C7D" w:rsidP="00967C7D">
            <w:pPr>
              <w:keepNext w:val="0"/>
              <w:spacing w:before="0"/>
              <w:rPr>
                <w:rFonts w:cs="Arial"/>
                <w:bCs/>
                <w:color w:val="auto"/>
                <w:sz w:val="20"/>
              </w:rPr>
            </w:pPr>
            <w:r w:rsidRPr="00967C7D">
              <w:rPr>
                <w:rFonts w:cs="Arial"/>
                <w:bCs/>
                <w:color w:val="auto"/>
                <w:sz w:val="20"/>
              </w:rPr>
              <w:t>Grange Cottage Woods</w:t>
            </w:r>
          </w:p>
        </w:tc>
        <w:tc>
          <w:tcPr>
            <w:tcW w:w="1847" w:type="dxa"/>
            <w:noWrap/>
          </w:tcPr>
          <w:p w14:paraId="4FF125A4"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01B08459" w14:textId="77777777" w:rsidTr="00B5314A">
        <w:trPr>
          <w:trHeight w:val="284"/>
        </w:trPr>
        <w:tc>
          <w:tcPr>
            <w:tcW w:w="1280" w:type="dxa"/>
          </w:tcPr>
          <w:p w14:paraId="6EA713BD" w14:textId="77777777" w:rsidR="00967C7D" w:rsidRPr="00967C7D" w:rsidRDefault="00967C7D" w:rsidP="00967C7D">
            <w:pPr>
              <w:keepNext w:val="0"/>
              <w:spacing w:before="0"/>
              <w:rPr>
                <w:rFonts w:cs="Arial"/>
                <w:bCs/>
                <w:color w:val="auto"/>
                <w:sz w:val="20"/>
              </w:rPr>
            </w:pPr>
            <w:r w:rsidRPr="00967C7D">
              <w:rPr>
                <w:rFonts w:cs="Arial"/>
                <w:bCs/>
                <w:color w:val="auto"/>
                <w:sz w:val="20"/>
              </w:rPr>
              <w:t>EV5/56</w:t>
            </w:r>
          </w:p>
        </w:tc>
        <w:tc>
          <w:tcPr>
            <w:tcW w:w="6230" w:type="dxa"/>
            <w:noWrap/>
          </w:tcPr>
          <w:p w14:paraId="1AAD2124" w14:textId="77777777" w:rsidR="00967C7D" w:rsidRPr="00967C7D" w:rsidRDefault="00967C7D" w:rsidP="00967C7D">
            <w:pPr>
              <w:keepNext w:val="0"/>
              <w:spacing w:before="0"/>
              <w:rPr>
                <w:rFonts w:cs="Arial"/>
                <w:bCs/>
                <w:color w:val="auto"/>
                <w:sz w:val="20"/>
              </w:rPr>
            </w:pPr>
            <w:r w:rsidRPr="00967C7D">
              <w:rPr>
                <w:rFonts w:cs="Arial"/>
                <w:bCs/>
                <w:color w:val="auto"/>
                <w:sz w:val="20"/>
              </w:rPr>
              <w:t>Church Lane</w:t>
            </w:r>
          </w:p>
        </w:tc>
        <w:tc>
          <w:tcPr>
            <w:tcW w:w="1847" w:type="dxa"/>
            <w:noWrap/>
          </w:tcPr>
          <w:p w14:paraId="7EDD0FB5"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4AE2701" w14:textId="77777777" w:rsidTr="00B5314A">
        <w:trPr>
          <w:trHeight w:val="284"/>
        </w:trPr>
        <w:tc>
          <w:tcPr>
            <w:tcW w:w="1280" w:type="dxa"/>
          </w:tcPr>
          <w:p w14:paraId="6BD20BE4" w14:textId="77777777" w:rsidR="00967C7D" w:rsidRPr="00967C7D" w:rsidRDefault="00967C7D" w:rsidP="00967C7D">
            <w:pPr>
              <w:keepNext w:val="0"/>
              <w:spacing w:before="0"/>
              <w:rPr>
                <w:rFonts w:cs="Arial"/>
                <w:bCs/>
                <w:color w:val="auto"/>
                <w:sz w:val="20"/>
              </w:rPr>
            </w:pPr>
            <w:r w:rsidRPr="00967C7D">
              <w:rPr>
                <w:rFonts w:cs="Arial"/>
                <w:bCs/>
                <w:color w:val="auto"/>
                <w:sz w:val="20"/>
              </w:rPr>
              <w:t>EV5/57</w:t>
            </w:r>
          </w:p>
        </w:tc>
        <w:tc>
          <w:tcPr>
            <w:tcW w:w="6230" w:type="dxa"/>
            <w:noWrap/>
          </w:tcPr>
          <w:p w14:paraId="741F278F" w14:textId="77777777" w:rsidR="00967C7D" w:rsidRPr="00967C7D" w:rsidRDefault="00967C7D" w:rsidP="00967C7D">
            <w:pPr>
              <w:keepNext w:val="0"/>
              <w:spacing w:before="0"/>
              <w:rPr>
                <w:rFonts w:cs="Arial"/>
                <w:bCs/>
                <w:color w:val="auto"/>
                <w:sz w:val="20"/>
              </w:rPr>
            </w:pPr>
            <w:r w:rsidRPr="00967C7D">
              <w:rPr>
                <w:rFonts w:cs="Arial"/>
                <w:bCs/>
                <w:color w:val="auto"/>
                <w:sz w:val="20"/>
              </w:rPr>
              <w:t>Church Lane Open Space</w:t>
            </w:r>
          </w:p>
        </w:tc>
        <w:tc>
          <w:tcPr>
            <w:tcW w:w="1847" w:type="dxa"/>
            <w:noWrap/>
          </w:tcPr>
          <w:p w14:paraId="6A3D81EC"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F29347B" w14:textId="77777777" w:rsidTr="00B5314A">
        <w:trPr>
          <w:trHeight w:val="284"/>
        </w:trPr>
        <w:tc>
          <w:tcPr>
            <w:tcW w:w="1280" w:type="dxa"/>
          </w:tcPr>
          <w:p w14:paraId="381B3D43" w14:textId="77777777" w:rsidR="00967C7D" w:rsidRPr="00967C7D" w:rsidRDefault="00967C7D" w:rsidP="00967C7D">
            <w:pPr>
              <w:keepNext w:val="0"/>
              <w:spacing w:before="0"/>
              <w:rPr>
                <w:rFonts w:cs="Arial"/>
                <w:bCs/>
                <w:color w:val="auto"/>
                <w:sz w:val="20"/>
              </w:rPr>
            </w:pPr>
            <w:r w:rsidRPr="00967C7D">
              <w:rPr>
                <w:rFonts w:cs="Arial"/>
                <w:bCs/>
                <w:color w:val="auto"/>
                <w:sz w:val="20"/>
              </w:rPr>
              <w:t>EV5/58</w:t>
            </w:r>
          </w:p>
        </w:tc>
        <w:tc>
          <w:tcPr>
            <w:tcW w:w="6230" w:type="dxa"/>
            <w:noWrap/>
          </w:tcPr>
          <w:p w14:paraId="0809FC66" w14:textId="77777777" w:rsidR="00967C7D" w:rsidRPr="00967C7D" w:rsidRDefault="00967C7D" w:rsidP="00967C7D">
            <w:pPr>
              <w:keepNext w:val="0"/>
              <w:spacing w:before="0"/>
              <w:rPr>
                <w:rFonts w:cs="Arial"/>
                <w:bCs/>
                <w:color w:val="auto"/>
                <w:sz w:val="20"/>
              </w:rPr>
            </w:pPr>
            <w:r w:rsidRPr="00967C7D">
              <w:rPr>
                <w:rFonts w:cs="Arial"/>
                <w:bCs/>
                <w:color w:val="auto"/>
                <w:sz w:val="20"/>
              </w:rPr>
              <w:t>Fields off Winter Close/ Cordy Lane</w:t>
            </w:r>
          </w:p>
        </w:tc>
        <w:tc>
          <w:tcPr>
            <w:tcW w:w="1847" w:type="dxa"/>
            <w:noWrap/>
          </w:tcPr>
          <w:p w14:paraId="02248C5B"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2CB84B64" w14:textId="77777777" w:rsidTr="00B5314A">
        <w:trPr>
          <w:trHeight w:val="284"/>
        </w:trPr>
        <w:tc>
          <w:tcPr>
            <w:tcW w:w="1280" w:type="dxa"/>
          </w:tcPr>
          <w:p w14:paraId="7ACF4014" w14:textId="77777777" w:rsidR="00967C7D" w:rsidRPr="00967C7D" w:rsidRDefault="00967C7D" w:rsidP="00967C7D">
            <w:pPr>
              <w:keepNext w:val="0"/>
              <w:spacing w:before="0"/>
              <w:rPr>
                <w:rFonts w:cs="Arial"/>
                <w:bCs/>
                <w:color w:val="auto"/>
                <w:sz w:val="20"/>
              </w:rPr>
            </w:pPr>
            <w:r w:rsidRPr="00967C7D">
              <w:rPr>
                <w:rFonts w:cs="Arial"/>
                <w:bCs/>
                <w:color w:val="auto"/>
                <w:sz w:val="20"/>
              </w:rPr>
              <w:t>EV5/59</w:t>
            </w:r>
          </w:p>
        </w:tc>
        <w:tc>
          <w:tcPr>
            <w:tcW w:w="6230" w:type="dxa"/>
            <w:noWrap/>
          </w:tcPr>
          <w:p w14:paraId="7BDA3799"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Felley</w:t>
            </w:r>
            <w:proofErr w:type="spellEnd"/>
            <w:r w:rsidRPr="00967C7D">
              <w:rPr>
                <w:rFonts w:cs="Arial"/>
                <w:bCs/>
                <w:color w:val="auto"/>
                <w:sz w:val="20"/>
              </w:rPr>
              <w:t xml:space="preserve"> Wood</w:t>
            </w:r>
          </w:p>
        </w:tc>
        <w:tc>
          <w:tcPr>
            <w:tcW w:w="1847" w:type="dxa"/>
            <w:noWrap/>
          </w:tcPr>
          <w:p w14:paraId="7D93DDFE"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0439821" w14:textId="77777777" w:rsidTr="00B5314A">
        <w:trPr>
          <w:trHeight w:val="284"/>
        </w:trPr>
        <w:tc>
          <w:tcPr>
            <w:tcW w:w="1280" w:type="dxa"/>
          </w:tcPr>
          <w:p w14:paraId="35310762" w14:textId="77777777" w:rsidR="00967C7D" w:rsidRPr="00967C7D" w:rsidRDefault="00967C7D" w:rsidP="00967C7D">
            <w:pPr>
              <w:keepNext w:val="0"/>
              <w:spacing w:before="0"/>
              <w:rPr>
                <w:rFonts w:cs="Arial"/>
                <w:bCs/>
                <w:color w:val="auto"/>
                <w:sz w:val="20"/>
              </w:rPr>
            </w:pPr>
            <w:r w:rsidRPr="00967C7D">
              <w:rPr>
                <w:rFonts w:cs="Arial"/>
                <w:bCs/>
                <w:color w:val="auto"/>
                <w:sz w:val="20"/>
              </w:rPr>
              <w:t>EV5/60</w:t>
            </w:r>
          </w:p>
        </w:tc>
        <w:tc>
          <w:tcPr>
            <w:tcW w:w="6230" w:type="dxa"/>
            <w:noWrap/>
          </w:tcPr>
          <w:p w14:paraId="34F4FC17" w14:textId="77777777" w:rsidR="00967C7D" w:rsidRPr="00967C7D" w:rsidRDefault="00967C7D" w:rsidP="00967C7D">
            <w:pPr>
              <w:keepNext w:val="0"/>
              <w:spacing w:before="0"/>
              <w:rPr>
                <w:rFonts w:cs="Arial"/>
                <w:bCs/>
                <w:color w:val="auto"/>
                <w:sz w:val="20"/>
              </w:rPr>
            </w:pPr>
            <w:r w:rsidRPr="00967C7D">
              <w:rPr>
                <w:rFonts w:cs="Arial"/>
                <w:bCs/>
                <w:color w:val="auto"/>
                <w:sz w:val="20"/>
              </w:rPr>
              <w:t>Underwood Church of England School Playing Field</w:t>
            </w:r>
          </w:p>
        </w:tc>
        <w:tc>
          <w:tcPr>
            <w:tcW w:w="1847" w:type="dxa"/>
            <w:noWrap/>
          </w:tcPr>
          <w:p w14:paraId="3577CEC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1BAE528" w14:textId="77777777" w:rsidTr="00B5314A">
        <w:trPr>
          <w:trHeight w:val="284"/>
        </w:trPr>
        <w:tc>
          <w:tcPr>
            <w:tcW w:w="1280" w:type="dxa"/>
          </w:tcPr>
          <w:p w14:paraId="4C3017E8" w14:textId="77777777" w:rsidR="00967C7D" w:rsidRPr="00967C7D" w:rsidRDefault="00967C7D" w:rsidP="00967C7D">
            <w:pPr>
              <w:keepNext w:val="0"/>
              <w:spacing w:before="0"/>
              <w:rPr>
                <w:rFonts w:cs="Arial"/>
                <w:bCs/>
                <w:color w:val="auto"/>
                <w:sz w:val="20"/>
              </w:rPr>
            </w:pPr>
            <w:r w:rsidRPr="00967C7D">
              <w:rPr>
                <w:rFonts w:cs="Arial"/>
                <w:bCs/>
                <w:color w:val="auto"/>
                <w:sz w:val="20"/>
              </w:rPr>
              <w:t>EV5/61</w:t>
            </w:r>
          </w:p>
        </w:tc>
        <w:tc>
          <w:tcPr>
            <w:tcW w:w="6230" w:type="dxa"/>
            <w:noWrap/>
          </w:tcPr>
          <w:p w14:paraId="6C120B07" w14:textId="77777777" w:rsidR="00967C7D" w:rsidRPr="00967C7D" w:rsidRDefault="00967C7D" w:rsidP="00967C7D">
            <w:pPr>
              <w:keepNext w:val="0"/>
              <w:spacing w:before="0"/>
              <w:rPr>
                <w:rFonts w:cs="Arial"/>
                <w:bCs/>
                <w:color w:val="auto"/>
                <w:sz w:val="20"/>
              </w:rPr>
            </w:pPr>
            <w:r w:rsidRPr="00967C7D">
              <w:rPr>
                <w:rFonts w:cs="Arial"/>
                <w:bCs/>
                <w:color w:val="auto"/>
                <w:sz w:val="20"/>
              </w:rPr>
              <w:t>Alfreton Road Cricket Ground</w:t>
            </w:r>
          </w:p>
        </w:tc>
        <w:tc>
          <w:tcPr>
            <w:tcW w:w="1847" w:type="dxa"/>
            <w:noWrap/>
          </w:tcPr>
          <w:p w14:paraId="0B3DED07"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418C88E" w14:textId="77777777" w:rsidTr="00B5314A">
        <w:trPr>
          <w:trHeight w:val="284"/>
        </w:trPr>
        <w:tc>
          <w:tcPr>
            <w:tcW w:w="1280" w:type="dxa"/>
          </w:tcPr>
          <w:p w14:paraId="59F61189" w14:textId="77777777" w:rsidR="00967C7D" w:rsidRPr="00967C7D" w:rsidRDefault="00967C7D" w:rsidP="00967C7D">
            <w:pPr>
              <w:keepNext w:val="0"/>
              <w:spacing w:before="0"/>
              <w:rPr>
                <w:rFonts w:cs="Arial"/>
                <w:bCs/>
                <w:color w:val="auto"/>
                <w:sz w:val="20"/>
              </w:rPr>
            </w:pPr>
            <w:r w:rsidRPr="00967C7D">
              <w:rPr>
                <w:rFonts w:cs="Arial"/>
                <w:bCs/>
                <w:color w:val="auto"/>
                <w:sz w:val="20"/>
              </w:rPr>
              <w:t>EV5/62</w:t>
            </w:r>
          </w:p>
        </w:tc>
        <w:tc>
          <w:tcPr>
            <w:tcW w:w="6230" w:type="dxa"/>
            <w:noWrap/>
          </w:tcPr>
          <w:p w14:paraId="500BA516"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Fields off </w:t>
            </w:r>
            <w:proofErr w:type="spellStart"/>
            <w:r w:rsidRPr="00967C7D">
              <w:rPr>
                <w:rFonts w:cs="Arial"/>
                <w:bCs/>
                <w:color w:val="auto"/>
                <w:sz w:val="20"/>
              </w:rPr>
              <w:t>Felley</w:t>
            </w:r>
            <w:proofErr w:type="spellEnd"/>
            <w:r w:rsidRPr="00967C7D">
              <w:rPr>
                <w:rFonts w:cs="Arial"/>
                <w:bCs/>
                <w:color w:val="auto"/>
                <w:sz w:val="20"/>
              </w:rPr>
              <w:t xml:space="preserve"> Mill Lane</w:t>
            </w:r>
          </w:p>
        </w:tc>
        <w:tc>
          <w:tcPr>
            <w:tcW w:w="1847" w:type="dxa"/>
            <w:noWrap/>
          </w:tcPr>
          <w:p w14:paraId="69C9218B"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042FE3D2" w14:textId="77777777" w:rsidTr="00B5314A">
        <w:trPr>
          <w:trHeight w:val="284"/>
        </w:trPr>
        <w:tc>
          <w:tcPr>
            <w:tcW w:w="1280" w:type="dxa"/>
          </w:tcPr>
          <w:p w14:paraId="25D2E17B" w14:textId="77777777" w:rsidR="00967C7D" w:rsidRPr="00967C7D" w:rsidRDefault="00967C7D" w:rsidP="00967C7D">
            <w:pPr>
              <w:keepNext w:val="0"/>
              <w:spacing w:before="0"/>
              <w:rPr>
                <w:rFonts w:cs="Arial"/>
                <w:bCs/>
                <w:color w:val="auto"/>
                <w:sz w:val="20"/>
              </w:rPr>
            </w:pPr>
            <w:r w:rsidRPr="00967C7D">
              <w:rPr>
                <w:rFonts w:cs="Arial"/>
                <w:bCs/>
                <w:color w:val="auto"/>
                <w:sz w:val="20"/>
              </w:rPr>
              <w:t>EV5/63</w:t>
            </w:r>
          </w:p>
        </w:tc>
        <w:tc>
          <w:tcPr>
            <w:tcW w:w="6230" w:type="dxa"/>
            <w:noWrap/>
          </w:tcPr>
          <w:p w14:paraId="2620E2C2" w14:textId="77777777" w:rsidR="00967C7D" w:rsidRPr="00967C7D" w:rsidRDefault="00967C7D" w:rsidP="00967C7D">
            <w:pPr>
              <w:keepNext w:val="0"/>
              <w:spacing w:before="0"/>
              <w:rPr>
                <w:rFonts w:cs="Arial"/>
                <w:bCs/>
                <w:color w:val="auto"/>
                <w:sz w:val="20"/>
              </w:rPr>
            </w:pPr>
            <w:r w:rsidRPr="00967C7D">
              <w:rPr>
                <w:rFonts w:cs="Arial"/>
                <w:bCs/>
                <w:color w:val="auto"/>
                <w:sz w:val="20"/>
              </w:rPr>
              <w:t>South of Main Road, Underwood Hill Recreation Ground</w:t>
            </w:r>
          </w:p>
        </w:tc>
        <w:tc>
          <w:tcPr>
            <w:tcW w:w="1847" w:type="dxa"/>
            <w:noWrap/>
          </w:tcPr>
          <w:p w14:paraId="56A7F35C"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A8B2AAA" w14:textId="77777777" w:rsidTr="00B5314A">
        <w:trPr>
          <w:trHeight w:val="284"/>
        </w:trPr>
        <w:tc>
          <w:tcPr>
            <w:tcW w:w="1280" w:type="dxa"/>
          </w:tcPr>
          <w:p w14:paraId="3C43A922" w14:textId="77777777" w:rsidR="00967C7D" w:rsidRPr="00967C7D" w:rsidRDefault="00967C7D" w:rsidP="00967C7D">
            <w:pPr>
              <w:keepNext w:val="0"/>
              <w:spacing w:before="0"/>
              <w:rPr>
                <w:rFonts w:cs="Arial"/>
                <w:bCs/>
                <w:color w:val="auto"/>
                <w:sz w:val="20"/>
              </w:rPr>
            </w:pPr>
            <w:r w:rsidRPr="00967C7D">
              <w:rPr>
                <w:rFonts w:cs="Arial"/>
                <w:bCs/>
                <w:color w:val="auto"/>
                <w:sz w:val="20"/>
              </w:rPr>
              <w:t>EV5/64</w:t>
            </w:r>
          </w:p>
        </w:tc>
        <w:tc>
          <w:tcPr>
            <w:tcW w:w="6230" w:type="dxa"/>
            <w:noWrap/>
          </w:tcPr>
          <w:p w14:paraId="0ABC5FE3" w14:textId="77777777" w:rsidR="00967C7D" w:rsidRPr="00967C7D" w:rsidRDefault="00967C7D" w:rsidP="00967C7D">
            <w:pPr>
              <w:keepNext w:val="0"/>
              <w:spacing w:before="0"/>
              <w:rPr>
                <w:rFonts w:cs="Arial"/>
                <w:bCs/>
                <w:color w:val="auto"/>
                <w:sz w:val="20"/>
              </w:rPr>
            </w:pPr>
            <w:r w:rsidRPr="00967C7D">
              <w:rPr>
                <w:rFonts w:cs="Arial"/>
                <w:bCs/>
                <w:color w:val="auto"/>
                <w:sz w:val="20"/>
              </w:rPr>
              <w:t>St Michael and All Angels Church Cemetery</w:t>
            </w:r>
          </w:p>
        </w:tc>
        <w:tc>
          <w:tcPr>
            <w:tcW w:w="1847" w:type="dxa"/>
            <w:noWrap/>
          </w:tcPr>
          <w:p w14:paraId="77B73578"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037BE26" w14:textId="77777777" w:rsidTr="00B5314A">
        <w:trPr>
          <w:trHeight w:val="284"/>
        </w:trPr>
        <w:tc>
          <w:tcPr>
            <w:tcW w:w="1280" w:type="dxa"/>
          </w:tcPr>
          <w:p w14:paraId="57F08F27" w14:textId="77777777" w:rsidR="00967C7D" w:rsidRPr="00967C7D" w:rsidRDefault="00967C7D" w:rsidP="00967C7D">
            <w:pPr>
              <w:keepNext w:val="0"/>
              <w:spacing w:before="0"/>
              <w:rPr>
                <w:rFonts w:cs="Arial"/>
                <w:bCs/>
                <w:color w:val="auto"/>
                <w:sz w:val="20"/>
              </w:rPr>
            </w:pPr>
            <w:r w:rsidRPr="00967C7D">
              <w:rPr>
                <w:rFonts w:cs="Arial"/>
                <w:bCs/>
                <w:color w:val="auto"/>
                <w:sz w:val="20"/>
              </w:rPr>
              <w:t>EV5/65</w:t>
            </w:r>
          </w:p>
        </w:tc>
        <w:tc>
          <w:tcPr>
            <w:tcW w:w="6230" w:type="dxa"/>
            <w:noWrap/>
          </w:tcPr>
          <w:p w14:paraId="42B0AB60"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Church Lane Recreation Ground, </w:t>
            </w:r>
            <w:proofErr w:type="spellStart"/>
            <w:r w:rsidRPr="00967C7D">
              <w:rPr>
                <w:rFonts w:cs="Arial"/>
                <w:bCs/>
                <w:color w:val="auto"/>
                <w:sz w:val="20"/>
              </w:rPr>
              <w:t>Friezeland</w:t>
            </w:r>
            <w:proofErr w:type="spellEnd"/>
          </w:p>
        </w:tc>
        <w:tc>
          <w:tcPr>
            <w:tcW w:w="1847" w:type="dxa"/>
            <w:noWrap/>
          </w:tcPr>
          <w:p w14:paraId="0EAB6469"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5129291" w14:textId="77777777" w:rsidTr="00B5314A">
        <w:trPr>
          <w:trHeight w:val="284"/>
        </w:trPr>
        <w:tc>
          <w:tcPr>
            <w:tcW w:w="1280" w:type="dxa"/>
          </w:tcPr>
          <w:p w14:paraId="5586A5E0" w14:textId="77777777" w:rsidR="00967C7D" w:rsidRPr="00967C7D" w:rsidRDefault="00967C7D" w:rsidP="00967C7D">
            <w:pPr>
              <w:keepNext w:val="0"/>
              <w:spacing w:before="0"/>
              <w:rPr>
                <w:rFonts w:cs="Arial"/>
                <w:bCs/>
                <w:color w:val="auto"/>
                <w:sz w:val="20"/>
              </w:rPr>
            </w:pPr>
            <w:r w:rsidRPr="00967C7D">
              <w:rPr>
                <w:rFonts w:cs="Arial"/>
                <w:bCs/>
                <w:color w:val="auto"/>
                <w:sz w:val="20"/>
              </w:rPr>
              <w:t>EV5/66</w:t>
            </w:r>
          </w:p>
        </w:tc>
        <w:tc>
          <w:tcPr>
            <w:tcW w:w="6230" w:type="dxa"/>
            <w:noWrap/>
          </w:tcPr>
          <w:p w14:paraId="299655B2" w14:textId="77777777" w:rsidR="00967C7D" w:rsidRPr="00967C7D" w:rsidRDefault="00967C7D" w:rsidP="00967C7D">
            <w:pPr>
              <w:keepNext w:val="0"/>
              <w:spacing w:before="0"/>
              <w:rPr>
                <w:rFonts w:cs="Arial"/>
                <w:bCs/>
                <w:color w:val="auto"/>
                <w:sz w:val="20"/>
              </w:rPr>
            </w:pPr>
            <w:r w:rsidRPr="00967C7D">
              <w:rPr>
                <w:rFonts w:cs="Arial"/>
                <w:bCs/>
                <w:color w:val="auto"/>
                <w:sz w:val="20"/>
              </w:rPr>
              <w:t>Underwood Football Club</w:t>
            </w:r>
          </w:p>
        </w:tc>
        <w:tc>
          <w:tcPr>
            <w:tcW w:w="1847" w:type="dxa"/>
            <w:noWrap/>
          </w:tcPr>
          <w:p w14:paraId="076266E8"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EF46C2E" w14:textId="77777777" w:rsidTr="00B5314A">
        <w:trPr>
          <w:trHeight w:val="284"/>
        </w:trPr>
        <w:tc>
          <w:tcPr>
            <w:tcW w:w="1280" w:type="dxa"/>
          </w:tcPr>
          <w:p w14:paraId="148DBF09" w14:textId="77777777" w:rsidR="00967C7D" w:rsidRPr="00967C7D" w:rsidRDefault="00967C7D" w:rsidP="00967C7D">
            <w:pPr>
              <w:keepNext w:val="0"/>
              <w:spacing w:before="0"/>
              <w:rPr>
                <w:rFonts w:cs="Arial"/>
                <w:bCs/>
                <w:color w:val="auto"/>
                <w:sz w:val="20"/>
              </w:rPr>
            </w:pPr>
            <w:r w:rsidRPr="00967C7D">
              <w:rPr>
                <w:rFonts w:cs="Arial"/>
                <w:bCs/>
                <w:color w:val="auto"/>
                <w:sz w:val="20"/>
              </w:rPr>
              <w:t>EV5/67</w:t>
            </w:r>
          </w:p>
        </w:tc>
        <w:tc>
          <w:tcPr>
            <w:tcW w:w="6230" w:type="dxa"/>
            <w:noWrap/>
          </w:tcPr>
          <w:p w14:paraId="1CE68780"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Bagthorpe</w:t>
            </w:r>
            <w:proofErr w:type="spellEnd"/>
            <w:r w:rsidRPr="00967C7D">
              <w:rPr>
                <w:rFonts w:cs="Arial"/>
                <w:bCs/>
                <w:color w:val="auto"/>
                <w:sz w:val="20"/>
              </w:rPr>
              <w:t xml:space="preserve"> Primary School Playing Field</w:t>
            </w:r>
          </w:p>
        </w:tc>
        <w:tc>
          <w:tcPr>
            <w:tcW w:w="1847" w:type="dxa"/>
            <w:noWrap/>
          </w:tcPr>
          <w:p w14:paraId="52E8FB1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40C12DC" w14:textId="77777777" w:rsidTr="00B5314A">
        <w:trPr>
          <w:trHeight w:val="284"/>
        </w:trPr>
        <w:tc>
          <w:tcPr>
            <w:tcW w:w="1280" w:type="dxa"/>
          </w:tcPr>
          <w:p w14:paraId="11E6F29C" w14:textId="77777777" w:rsidR="00967C7D" w:rsidRPr="00967C7D" w:rsidRDefault="00967C7D" w:rsidP="00967C7D">
            <w:pPr>
              <w:keepNext w:val="0"/>
              <w:spacing w:before="0"/>
              <w:rPr>
                <w:rFonts w:cs="Arial"/>
                <w:bCs/>
                <w:color w:val="auto"/>
                <w:sz w:val="20"/>
              </w:rPr>
            </w:pPr>
            <w:r w:rsidRPr="00967C7D">
              <w:rPr>
                <w:rFonts w:cs="Arial"/>
                <w:bCs/>
                <w:color w:val="auto"/>
                <w:sz w:val="20"/>
              </w:rPr>
              <w:t>EV5/68</w:t>
            </w:r>
          </w:p>
        </w:tc>
        <w:tc>
          <w:tcPr>
            <w:tcW w:w="6230" w:type="dxa"/>
            <w:noWrap/>
          </w:tcPr>
          <w:p w14:paraId="63F6129A" w14:textId="77777777" w:rsidR="00967C7D" w:rsidRPr="00967C7D" w:rsidRDefault="00967C7D" w:rsidP="00967C7D">
            <w:pPr>
              <w:keepNext w:val="0"/>
              <w:spacing w:before="0"/>
              <w:rPr>
                <w:rFonts w:cs="Arial"/>
                <w:bCs/>
                <w:color w:val="auto"/>
                <w:sz w:val="20"/>
              </w:rPr>
            </w:pPr>
            <w:r w:rsidRPr="00967C7D">
              <w:rPr>
                <w:rFonts w:cs="Arial"/>
                <w:bCs/>
                <w:color w:val="auto"/>
                <w:sz w:val="20"/>
              </w:rPr>
              <w:t>Fields at Millington Springs</w:t>
            </w:r>
          </w:p>
        </w:tc>
        <w:tc>
          <w:tcPr>
            <w:tcW w:w="1847" w:type="dxa"/>
            <w:noWrap/>
          </w:tcPr>
          <w:p w14:paraId="7234862B"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6CF4487" w14:textId="77777777" w:rsidTr="00B5314A">
        <w:trPr>
          <w:trHeight w:val="284"/>
        </w:trPr>
        <w:tc>
          <w:tcPr>
            <w:tcW w:w="1280" w:type="dxa"/>
          </w:tcPr>
          <w:p w14:paraId="3E3C69D9" w14:textId="77777777" w:rsidR="00967C7D" w:rsidRPr="00967C7D" w:rsidRDefault="00967C7D" w:rsidP="00967C7D">
            <w:pPr>
              <w:keepNext w:val="0"/>
              <w:spacing w:before="0"/>
              <w:rPr>
                <w:rFonts w:cs="Arial"/>
                <w:bCs/>
                <w:color w:val="auto"/>
                <w:sz w:val="20"/>
              </w:rPr>
            </w:pPr>
            <w:r w:rsidRPr="00967C7D">
              <w:rPr>
                <w:rFonts w:cs="Arial"/>
                <w:bCs/>
                <w:color w:val="auto"/>
                <w:sz w:val="20"/>
              </w:rPr>
              <w:t>EV5/69</w:t>
            </w:r>
          </w:p>
        </w:tc>
        <w:tc>
          <w:tcPr>
            <w:tcW w:w="6230" w:type="dxa"/>
            <w:noWrap/>
          </w:tcPr>
          <w:p w14:paraId="2EB58133"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Jacksdale</w:t>
            </w:r>
            <w:proofErr w:type="spellEnd"/>
            <w:r w:rsidRPr="00967C7D">
              <w:rPr>
                <w:rFonts w:cs="Arial"/>
                <w:bCs/>
                <w:color w:val="auto"/>
                <w:sz w:val="20"/>
              </w:rPr>
              <w:t xml:space="preserve"> Nature Reserve</w:t>
            </w:r>
          </w:p>
        </w:tc>
        <w:tc>
          <w:tcPr>
            <w:tcW w:w="1847" w:type="dxa"/>
            <w:noWrap/>
          </w:tcPr>
          <w:p w14:paraId="042A536E"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137DEF2" w14:textId="77777777" w:rsidTr="00B5314A">
        <w:trPr>
          <w:trHeight w:val="284"/>
        </w:trPr>
        <w:tc>
          <w:tcPr>
            <w:tcW w:w="1280" w:type="dxa"/>
          </w:tcPr>
          <w:p w14:paraId="3884D745" w14:textId="77777777" w:rsidR="00967C7D" w:rsidRPr="00967C7D" w:rsidRDefault="00967C7D" w:rsidP="00967C7D">
            <w:pPr>
              <w:keepNext w:val="0"/>
              <w:spacing w:before="0"/>
              <w:rPr>
                <w:rFonts w:cs="Arial"/>
                <w:bCs/>
                <w:color w:val="auto"/>
                <w:sz w:val="20"/>
              </w:rPr>
            </w:pPr>
            <w:r w:rsidRPr="00967C7D">
              <w:rPr>
                <w:rFonts w:cs="Arial"/>
                <w:bCs/>
                <w:color w:val="auto"/>
                <w:sz w:val="20"/>
              </w:rPr>
              <w:t>EV5/70</w:t>
            </w:r>
          </w:p>
        </w:tc>
        <w:tc>
          <w:tcPr>
            <w:tcW w:w="6230" w:type="dxa"/>
            <w:noWrap/>
          </w:tcPr>
          <w:p w14:paraId="5B433EF1"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Land at Miners Welfare Club </w:t>
            </w:r>
            <w:proofErr w:type="spellStart"/>
            <w:r w:rsidRPr="00967C7D">
              <w:rPr>
                <w:rFonts w:cs="Arial"/>
                <w:bCs/>
                <w:color w:val="auto"/>
                <w:sz w:val="20"/>
              </w:rPr>
              <w:t>Jacksdale</w:t>
            </w:r>
            <w:proofErr w:type="spellEnd"/>
          </w:p>
        </w:tc>
        <w:tc>
          <w:tcPr>
            <w:tcW w:w="1847" w:type="dxa"/>
            <w:noWrap/>
          </w:tcPr>
          <w:p w14:paraId="3DD28B54"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5941741" w14:textId="77777777" w:rsidTr="00B5314A">
        <w:trPr>
          <w:trHeight w:val="284"/>
        </w:trPr>
        <w:tc>
          <w:tcPr>
            <w:tcW w:w="1280" w:type="dxa"/>
          </w:tcPr>
          <w:p w14:paraId="6770C40D" w14:textId="77777777" w:rsidR="00967C7D" w:rsidRPr="00967C7D" w:rsidRDefault="00967C7D" w:rsidP="00967C7D">
            <w:pPr>
              <w:keepNext w:val="0"/>
              <w:spacing w:before="0"/>
              <w:rPr>
                <w:rFonts w:cs="Arial"/>
                <w:bCs/>
                <w:color w:val="auto"/>
                <w:sz w:val="20"/>
              </w:rPr>
            </w:pPr>
            <w:r w:rsidRPr="00967C7D">
              <w:rPr>
                <w:rFonts w:cs="Arial"/>
                <w:bCs/>
                <w:color w:val="auto"/>
                <w:sz w:val="20"/>
              </w:rPr>
              <w:t>EV5/71</w:t>
            </w:r>
          </w:p>
        </w:tc>
        <w:tc>
          <w:tcPr>
            <w:tcW w:w="6230" w:type="dxa"/>
            <w:noWrap/>
          </w:tcPr>
          <w:p w14:paraId="6C1E1444" w14:textId="77777777" w:rsidR="00967C7D" w:rsidRPr="00967C7D" w:rsidRDefault="00967C7D" w:rsidP="00967C7D">
            <w:pPr>
              <w:keepNext w:val="0"/>
              <w:spacing w:before="0"/>
              <w:rPr>
                <w:rFonts w:cs="Arial"/>
                <w:bCs/>
                <w:color w:val="auto"/>
                <w:sz w:val="20"/>
              </w:rPr>
            </w:pPr>
            <w:r w:rsidRPr="00967C7D">
              <w:rPr>
                <w:rFonts w:cs="Arial"/>
                <w:bCs/>
                <w:color w:val="auto"/>
                <w:sz w:val="20"/>
              </w:rPr>
              <w:t>Main Road Recreation Ground</w:t>
            </w:r>
          </w:p>
        </w:tc>
        <w:tc>
          <w:tcPr>
            <w:tcW w:w="1847" w:type="dxa"/>
            <w:noWrap/>
          </w:tcPr>
          <w:p w14:paraId="58FC63F8"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EFB362C" w14:textId="77777777" w:rsidTr="00B5314A">
        <w:trPr>
          <w:trHeight w:val="284"/>
        </w:trPr>
        <w:tc>
          <w:tcPr>
            <w:tcW w:w="1280" w:type="dxa"/>
          </w:tcPr>
          <w:p w14:paraId="7D4D039C" w14:textId="77777777" w:rsidR="00967C7D" w:rsidRPr="00967C7D" w:rsidRDefault="00967C7D" w:rsidP="00967C7D">
            <w:pPr>
              <w:keepNext w:val="0"/>
              <w:spacing w:before="0"/>
              <w:rPr>
                <w:rFonts w:cs="Arial"/>
                <w:bCs/>
                <w:color w:val="auto"/>
                <w:sz w:val="20"/>
              </w:rPr>
            </w:pPr>
            <w:r w:rsidRPr="00967C7D">
              <w:rPr>
                <w:rFonts w:cs="Arial"/>
                <w:bCs/>
                <w:color w:val="auto"/>
                <w:sz w:val="20"/>
              </w:rPr>
              <w:t>EV5/72</w:t>
            </w:r>
          </w:p>
        </w:tc>
        <w:tc>
          <w:tcPr>
            <w:tcW w:w="6230" w:type="dxa"/>
            <w:noWrap/>
          </w:tcPr>
          <w:p w14:paraId="0E906033" w14:textId="77777777" w:rsidR="00967C7D" w:rsidRPr="00967C7D" w:rsidRDefault="00967C7D" w:rsidP="00967C7D">
            <w:pPr>
              <w:keepNext w:val="0"/>
              <w:spacing w:before="0"/>
              <w:rPr>
                <w:rFonts w:cs="Arial"/>
                <w:bCs/>
                <w:color w:val="auto"/>
                <w:sz w:val="20"/>
              </w:rPr>
            </w:pPr>
            <w:r w:rsidRPr="00967C7D">
              <w:rPr>
                <w:rFonts w:cs="Arial"/>
                <w:bCs/>
                <w:color w:val="auto"/>
                <w:sz w:val="20"/>
              </w:rPr>
              <w:t>Wharf Green</w:t>
            </w:r>
          </w:p>
        </w:tc>
        <w:tc>
          <w:tcPr>
            <w:tcW w:w="1847" w:type="dxa"/>
            <w:noWrap/>
          </w:tcPr>
          <w:p w14:paraId="53C746FD"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B7DCF39" w14:textId="77777777" w:rsidTr="00B5314A">
        <w:trPr>
          <w:trHeight w:val="284"/>
        </w:trPr>
        <w:tc>
          <w:tcPr>
            <w:tcW w:w="1280" w:type="dxa"/>
          </w:tcPr>
          <w:p w14:paraId="2659FCCB" w14:textId="77777777" w:rsidR="00967C7D" w:rsidRPr="00967C7D" w:rsidRDefault="00967C7D" w:rsidP="00967C7D">
            <w:pPr>
              <w:keepNext w:val="0"/>
              <w:spacing w:before="0"/>
              <w:rPr>
                <w:rFonts w:cs="Arial"/>
                <w:bCs/>
                <w:color w:val="auto"/>
                <w:sz w:val="20"/>
              </w:rPr>
            </w:pPr>
            <w:r w:rsidRPr="00967C7D">
              <w:rPr>
                <w:rFonts w:cs="Arial"/>
                <w:bCs/>
                <w:color w:val="auto"/>
                <w:sz w:val="20"/>
              </w:rPr>
              <w:t>EV5/73</w:t>
            </w:r>
          </w:p>
        </w:tc>
        <w:tc>
          <w:tcPr>
            <w:tcW w:w="6230" w:type="dxa"/>
            <w:noWrap/>
          </w:tcPr>
          <w:p w14:paraId="6543C42C" w14:textId="77777777" w:rsidR="00967C7D" w:rsidRPr="00967C7D" w:rsidRDefault="00967C7D" w:rsidP="00967C7D">
            <w:pPr>
              <w:keepNext w:val="0"/>
              <w:spacing w:before="0"/>
              <w:rPr>
                <w:rFonts w:cs="Arial"/>
                <w:bCs/>
                <w:color w:val="auto"/>
                <w:sz w:val="20"/>
              </w:rPr>
            </w:pPr>
            <w:r w:rsidRPr="00967C7D">
              <w:rPr>
                <w:rFonts w:cs="Arial"/>
                <w:bCs/>
                <w:color w:val="auto"/>
                <w:sz w:val="20"/>
              </w:rPr>
              <w:t>Pye Hill Road</w:t>
            </w:r>
          </w:p>
        </w:tc>
        <w:tc>
          <w:tcPr>
            <w:tcW w:w="1847" w:type="dxa"/>
            <w:noWrap/>
          </w:tcPr>
          <w:p w14:paraId="73C9B04F"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0BC0A4A8" w14:textId="77777777" w:rsidTr="00B5314A">
        <w:trPr>
          <w:trHeight w:val="284"/>
        </w:trPr>
        <w:tc>
          <w:tcPr>
            <w:tcW w:w="1280" w:type="dxa"/>
          </w:tcPr>
          <w:p w14:paraId="44836F62" w14:textId="77777777" w:rsidR="00967C7D" w:rsidRPr="00967C7D" w:rsidRDefault="00967C7D" w:rsidP="00967C7D">
            <w:pPr>
              <w:keepNext w:val="0"/>
              <w:spacing w:before="0"/>
              <w:rPr>
                <w:rFonts w:cs="Arial"/>
                <w:bCs/>
                <w:color w:val="auto"/>
                <w:sz w:val="20"/>
              </w:rPr>
            </w:pPr>
            <w:r w:rsidRPr="00967C7D">
              <w:rPr>
                <w:rFonts w:cs="Arial"/>
                <w:bCs/>
                <w:color w:val="auto"/>
                <w:sz w:val="20"/>
              </w:rPr>
              <w:t>EV5/74</w:t>
            </w:r>
          </w:p>
        </w:tc>
        <w:tc>
          <w:tcPr>
            <w:tcW w:w="6230" w:type="dxa"/>
            <w:noWrap/>
          </w:tcPr>
          <w:p w14:paraId="0154ECDB" w14:textId="77777777" w:rsidR="00967C7D" w:rsidRPr="00967C7D" w:rsidRDefault="00967C7D" w:rsidP="00967C7D">
            <w:pPr>
              <w:keepNext w:val="0"/>
              <w:spacing w:before="0"/>
              <w:rPr>
                <w:rFonts w:cs="Arial"/>
                <w:bCs/>
                <w:color w:val="auto"/>
                <w:sz w:val="20"/>
              </w:rPr>
            </w:pPr>
            <w:r w:rsidRPr="00967C7D">
              <w:rPr>
                <w:rFonts w:cs="Arial"/>
                <w:bCs/>
                <w:color w:val="auto"/>
                <w:sz w:val="20"/>
              </w:rPr>
              <w:t>Westwood Recreation Ground</w:t>
            </w:r>
          </w:p>
        </w:tc>
        <w:tc>
          <w:tcPr>
            <w:tcW w:w="1847" w:type="dxa"/>
            <w:noWrap/>
          </w:tcPr>
          <w:p w14:paraId="320F3067"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7F1482A" w14:textId="77777777" w:rsidTr="00B5314A">
        <w:trPr>
          <w:trHeight w:val="284"/>
        </w:trPr>
        <w:tc>
          <w:tcPr>
            <w:tcW w:w="1280" w:type="dxa"/>
          </w:tcPr>
          <w:p w14:paraId="787979B6" w14:textId="77777777" w:rsidR="00967C7D" w:rsidRPr="00967C7D" w:rsidRDefault="00967C7D" w:rsidP="00967C7D">
            <w:pPr>
              <w:keepNext w:val="0"/>
              <w:spacing w:before="0"/>
              <w:rPr>
                <w:rFonts w:cs="Arial"/>
                <w:bCs/>
                <w:color w:val="auto"/>
                <w:sz w:val="20"/>
              </w:rPr>
            </w:pPr>
            <w:r w:rsidRPr="00967C7D">
              <w:rPr>
                <w:rFonts w:cs="Arial"/>
                <w:bCs/>
                <w:color w:val="auto"/>
                <w:sz w:val="20"/>
              </w:rPr>
              <w:t>EV5/75</w:t>
            </w:r>
          </w:p>
        </w:tc>
        <w:tc>
          <w:tcPr>
            <w:tcW w:w="6230" w:type="dxa"/>
            <w:noWrap/>
          </w:tcPr>
          <w:p w14:paraId="673F37E8" w14:textId="77777777" w:rsidR="00967C7D" w:rsidRPr="00967C7D" w:rsidRDefault="00967C7D" w:rsidP="00967C7D">
            <w:pPr>
              <w:keepNext w:val="0"/>
              <w:spacing w:before="0"/>
              <w:rPr>
                <w:rFonts w:cs="Arial"/>
                <w:bCs/>
                <w:color w:val="auto"/>
                <w:sz w:val="20"/>
              </w:rPr>
            </w:pPr>
            <w:r w:rsidRPr="00967C7D">
              <w:rPr>
                <w:rFonts w:cs="Arial"/>
                <w:bCs/>
                <w:color w:val="auto"/>
                <w:sz w:val="20"/>
              </w:rPr>
              <w:t>Fields at Pye Hill</w:t>
            </w:r>
          </w:p>
        </w:tc>
        <w:tc>
          <w:tcPr>
            <w:tcW w:w="1847" w:type="dxa"/>
            <w:noWrap/>
          </w:tcPr>
          <w:p w14:paraId="7F50C06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5680E16" w14:textId="77777777" w:rsidTr="00B5314A">
        <w:trPr>
          <w:trHeight w:val="284"/>
        </w:trPr>
        <w:tc>
          <w:tcPr>
            <w:tcW w:w="1280" w:type="dxa"/>
          </w:tcPr>
          <w:p w14:paraId="5E6A6812" w14:textId="77777777" w:rsidR="00967C7D" w:rsidRPr="00967C7D" w:rsidRDefault="00967C7D" w:rsidP="00967C7D">
            <w:pPr>
              <w:keepNext w:val="0"/>
              <w:spacing w:before="0"/>
              <w:rPr>
                <w:rFonts w:cs="Arial"/>
                <w:bCs/>
                <w:color w:val="auto"/>
                <w:sz w:val="20"/>
              </w:rPr>
            </w:pPr>
            <w:r w:rsidRPr="00967C7D">
              <w:rPr>
                <w:rFonts w:cs="Arial"/>
                <w:bCs/>
                <w:color w:val="auto"/>
                <w:sz w:val="20"/>
              </w:rPr>
              <w:t>EV5/76</w:t>
            </w:r>
          </w:p>
        </w:tc>
        <w:tc>
          <w:tcPr>
            <w:tcW w:w="6230" w:type="dxa"/>
            <w:noWrap/>
          </w:tcPr>
          <w:p w14:paraId="33275B33"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Pye Hill </w:t>
            </w:r>
          </w:p>
        </w:tc>
        <w:tc>
          <w:tcPr>
            <w:tcW w:w="1847" w:type="dxa"/>
            <w:noWrap/>
          </w:tcPr>
          <w:p w14:paraId="07E27325"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01FE63C7" w14:textId="77777777" w:rsidTr="00B5314A">
        <w:trPr>
          <w:trHeight w:val="284"/>
        </w:trPr>
        <w:tc>
          <w:tcPr>
            <w:tcW w:w="1280" w:type="dxa"/>
          </w:tcPr>
          <w:p w14:paraId="53F12BF2" w14:textId="77777777" w:rsidR="00967C7D" w:rsidRPr="00967C7D" w:rsidRDefault="00967C7D" w:rsidP="00967C7D">
            <w:pPr>
              <w:keepNext w:val="0"/>
              <w:spacing w:before="0"/>
              <w:rPr>
                <w:rFonts w:cs="Arial"/>
                <w:bCs/>
                <w:color w:val="auto"/>
                <w:sz w:val="20"/>
              </w:rPr>
            </w:pPr>
            <w:r w:rsidRPr="00967C7D">
              <w:rPr>
                <w:rFonts w:cs="Arial"/>
                <w:bCs/>
                <w:color w:val="auto"/>
                <w:sz w:val="20"/>
              </w:rPr>
              <w:t>EV5/77</w:t>
            </w:r>
          </w:p>
        </w:tc>
        <w:tc>
          <w:tcPr>
            <w:tcW w:w="6230" w:type="dxa"/>
            <w:noWrap/>
          </w:tcPr>
          <w:p w14:paraId="662FC777" w14:textId="77777777" w:rsidR="00967C7D" w:rsidRPr="00967C7D" w:rsidRDefault="00967C7D" w:rsidP="00967C7D">
            <w:pPr>
              <w:keepNext w:val="0"/>
              <w:spacing w:before="0"/>
              <w:rPr>
                <w:rFonts w:cs="Arial"/>
                <w:bCs/>
                <w:color w:val="auto"/>
                <w:sz w:val="20"/>
              </w:rPr>
            </w:pPr>
            <w:r w:rsidRPr="00967C7D">
              <w:rPr>
                <w:rFonts w:cs="Arial"/>
                <w:bCs/>
                <w:color w:val="auto"/>
                <w:sz w:val="20"/>
              </w:rPr>
              <w:t>Nottingham Road Recreation Ground</w:t>
            </w:r>
          </w:p>
        </w:tc>
        <w:tc>
          <w:tcPr>
            <w:tcW w:w="1847" w:type="dxa"/>
            <w:noWrap/>
          </w:tcPr>
          <w:p w14:paraId="5204174A"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028157B" w14:textId="77777777" w:rsidTr="00B5314A">
        <w:trPr>
          <w:trHeight w:val="284"/>
        </w:trPr>
        <w:tc>
          <w:tcPr>
            <w:tcW w:w="1280" w:type="dxa"/>
          </w:tcPr>
          <w:p w14:paraId="1746805E" w14:textId="77777777" w:rsidR="00967C7D" w:rsidRPr="00967C7D" w:rsidRDefault="00967C7D" w:rsidP="00967C7D">
            <w:pPr>
              <w:keepNext w:val="0"/>
              <w:spacing w:before="0"/>
              <w:rPr>
                <w:rFonts w:cs="Arial"/>
                <w:bCs/>
                <w:color w:val="auto"/>
                <w:sz w:val="20"/>
              </w:rPr>
            </w:pPr>
            <w:r w:rsidRPr="00967C7D">
              <w:rPr>
                <w:rFonts w:cs="Arial"/>
                <w:bCs/>
                <w:color w:val="auto"/>
                <w:sz w:val="20"/>
              </w:rPr>
              <w:t>EV5/78</w:t>
            </w:r>
          </w:p>
        </w:tc>
        <w:tc>
          <w:tcPr>
            <w:tcW w:w="6230" w:type="dxa"/>
            <w:noWrap/>
          </w:tcPr>
          <w:p w14:paraId="06B75D09"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Selston</w:t>
            </w:r>
            <w:proofErr w:type="spellEnd"/>
            <w:r w:rsidRPr="00967C7D">
              <w:rPr>
                <w:rFonts w:cs="Arial"/>
                <w:bCs/>
                <w:color w:val="auto"/>
                <w:sz w:val="20"/>
              </w:rPr>
              <w:t xml:space="preserve"> Par 3 Golf Course</w:t>
            </w:r>
          </w:p>
        </w:tc>
        <w:tc>
          <w:tcPr>
            <w:tcW w:w="1847" w:type="dxa"/>
            <w:noWrap/>
          </w:tcPr>
          <w:p w14:paraId="4378E64E"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84EBD06" w14:textId="77777777" w:rsidTr="00B5314A">
        <w:trPr>
          <w:trHeight w:val="284"/>
        </w:trPr>
        <w:tc>
          <w:tcPr>
            <w:tcW w:w="1280" w:type="dxa"/>
          </w:tcPr>
          <w:p w14:paraId="6CCCCCAC" w14:textId="77777777" w:rsidR="00967C7D" w:rsidRPr="00967C7D" w:rsidRDefault="00967C7D" w:rsidP="00967C7D">
            <w:pPr>
              <w:keepNext w:val="0"/>
              <w:spacing w:before="0"/>
              <w:rPr>
                <w:rFonts w:cs="Arial"/>
                <w:bCs/>
                <w:color w:val="auto"/>
                <w:sz w:val="20"/>
              </w:rPr>
            </w:pPr>
            <w:r w:rsidRPr="00967C7D">
              <w:rPr>
                <w:rFonts w:cs="Arial"/>
                <w:bCs/>
                <w:color w:val="auto"/>
                <w:sz w:val="20"/>
              </w:rPr>
              <w:t>EV5/79</w:t>
            </w:r>
          </w:p>
        </w:tc>
        <w:tc>
          <w:tcPr>
            <w:tcW w:w="6230" w:type="dxa"/>
            <w:noWrap/>
          </w:tcPr>
          <w:p w14:paraId="07D4DD25" w14:textId="77777777" w:rsidR="00967C7D" w:rsidRPr="00967C7D" w:rsidRDefault="00967C7D" w:rsidP="00967C7D">
            <w:pPr>
              <w:keepNext w:val="0"/>
              <w:spacing w:before="0"/>
              <w:rPr>
                <w:rFonts w:cs="Arial"/>
                <w:bCs/>
                <w:color w:val="auto"/>
                <w:sz w:val="20"/>
              </w:rPr>
            </w:pPr>
            <w:r w:rsidRPr="00967C7D">
              <w:rPr>
                <w:rFonts w:cs="Arial"/>
                <w:bCs/>
                <w:color w:val="auto"/>
                <w:sz w:val="20"/>
              </w:rPr>
              <w:t>Green Well Park</w:t>
            </w:r>
          </w:p>
        </w:tc>
        <w:tc>
          <w:tcPr>
            <w:tcW w:w="1847" w:type="dxa"/>
            <w:noWrap/>
          </w:tcPr>
          <w:p w14:paraId="0C349542"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21A2E2FD" w14:textId="77777777" w:rsidTr="00B5314A">
        <w:trPr>
          <w:trHeight w:val="284"/>
        </w:trPr>
        <w:tc>
          <w:tcPr>
            <w:tcW w:w="1280" w:type="dxa"/>
          </w:tcPr>
          <w:p w14:paraId="5FB663EC" w14:textId="77777777" w:rsidR="00967C7D" w:rsidRPr="00967C7D" w:rsidRDefault="00967C7D" w:rsidP="00967C7D">
            <w:pPr>
              <w:keepNext w:val="0"/>
              <w:spacing w:before="0"/>
              <w:rPr>
                <w:rFonts w:cs="Arial"/>
                <w:bCs/>
                <w:color w:val="auto"/>
                <w:sz w:val="20"/>
              </w:rPr>
            </w:pPr>
            <w:r w:rsidRPr="00967C7D">
              <w:rPr>
                <w:rFonts w:cs="Arial"/>
                <w:bCs/>
                <w:color w:val="auto"/>
                <w:sz w:val="20"/>
              </w:rPr>
              <w:t>EV5/80</w:t>
            </w:r>
          </w:p>
        </w:tc>
        <w:tc>
          <w:tcPr>
            <w:tcW w:w="6230" w:type="dxa"/>
            <w:noWrap/>
          </w:tcPr>
          <w:p w14:paraId="73243F48"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Selston</w:t>
            </w:r>
            <w:proofErr w:type="spellEnd"/>
            <w:r w:rsidRPr="00967C7D">
              <w:rPr>
                <w:rFonts w:cs="Arial"/>
                <w:bCs/>
                <w:color w:val="auto"/>
                <w:sz w:val="20"/>
              </w:rPr>
              <w:t xml:space="preserve"> High School Playing Field (south)</w:t>
            </w:r>
          </w:p>
        </w:tc>
        <w:tc>
          <w:tcPr>
            <w:tcW w:w="1847" w:type="dxa"/>
            <w:noWrap/>
          </w:tcPr>
          <w:p w14:paraId="509C923C"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44649E0" w14:textId="77777777" w:rsidTr="00B5314A">
        <w:trPr>
          <w:trHeight w:val="284"/>
        </w:trPr>
        <w:tc>
          <w:tcPr>
            <w:tcW w:w="1280" w:type="dxa"/>
          </w:tcPr>
          <w:p w14:paraId="00EAB990" w14:textId="77777777" w:rsidR="00967C7D" w:rsidRPr="00967C7D" w:rsidRDefault="00967C7D" w:rsidP="00967C7D">
            <w:pPr>
              <w:keepNext w:val="0"/>
              <w:spacing w:before="0"/>
              <w:rPr>
                <w:rFonts w:cs="Arial"/>
                <w:bCs/>
                <w:color w:val="auto"/>
                <w:sz w:val="20"/>
              </w:rPr>
            </w:pPr>
            <w:r w:rsidRPr="00967C7D">
              <w:rPr>
                <w:rFonts w:cs="Arial"/>
                <w:bCs/>
                <w:color w:val="auto"/>
                <w:sz w:val="20"/>
              </w:rPr>
              <w:t>EV5/81</w:t>
            </w:r>
          </w:p>
        </w:tc>
        <w:tc>
          <w:tcPr>
            <w:tcW w:w="6230" w:type="dxa"/>
            <w:noWrap/>
          </w:tcPr>
          <w:p w14:paraId="47DD7EE3" w14:textId="77777777" w:rsidR="00967C7D" w:rsidRPr="00967C7D" w:rsidRDefault="00967C7D" w:rsidP="00967C7D">
            <w:pPr>
              <w:keepNext w:val="0"/>
              <w:spacing w:before="0"/>
              <w:rPr>
                <w:rFonts w:cs="Arial"/>
                <w:bCs/>
                <w:color w:val="auto"/>
                <w:sz w:val="20"/>
              </w:rPr>
            </w:pPr>
            <w:r w:rsidRPr="00967C7D">
              <w:rPr>
                <w:rFonts w:cs="Arial"/>
                <w:bCs/>
                <w:color w:val="auto"/>
                <w:sz w:val="20"/>
              </w:rPr>
              <w:t>The Hills</w:t>
            </w:r>
          </w:p>
        </w:tc>
        <w:tc>
          <w:tcPr>
            <w:tcW w:w="1847" w:type="dxa"/>
            <w:noWrap/>
          </w:tcPr>
          <w:p w14:paraId="17599F7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F3013D4" w14:textId="77777777" w:rsidTr="00B5314A">
        <w:trPr>
          <w:trHeight w:val="284"/>
        </w:trPr>
        <w:tc>
          <w:tcPr>
            <w:tcW w:w="1280" w:type="dxa"/>
          </w:tcPr>
          <w:p w14:paraId="778D0D6F" w14:textId="77777777" w:rsidR="00967C7D" w:rsidRPr="00967C7D" w:rsidRDefault="00967C7D" w:rsidP="00967C7D">
            <w:pPr>
              <w:keepNext w:val="0"/>
              <w:spacing w:before="0"/>
              <w:rPr>
                <w:rFonts w:cs="Arial"/>
                <w:bCs/>
                <w:color w:val="auto"/>
                <w:sz w:val="20"/>
              </w:rPr>
            </w:pPr>
            <w:r w:rsidRPr="00967C7D">
              <w:rPr>
                <w:rFonts w:cs="Arial"/>
                <w:bCs/>
                <w:color w:val="auto"/>
                <w:sz w:val="20"/>
              </w:rPr>
              <w:t>EV5/82</w:t>
            </w:r>
          </w:p>
        </w:tc>
        <w:tc>
          <w:tcPr>
            <w:tcW w:w="6230" w:type="dxa"/>
            <w:noWrap/>
          </w:tcPr>
          <w:p w14:paraId="79494D36" w14:textId="77777777" w:rsidR="00967C7D" w:rsidRPr="00967C7D" w:rsidRDefault="00967C7D" w:rsidP="00967C7D">
            <w:pPr>
              <w:keepNext w:val="0"/>
              <w:spacing w:before="0"/>
              <w:rPr>
                <w:rFonts w:cs="Arial"/>
                <w:bCs/>
                <w:color w:val="auto"/>
                <w:sz w:val="20"/>
              </w:rPr>
            </w:pPr>
            <w:r w:rsidRPr="00967C7D">
              <w:rPr>
                <w:rFonts w:cs="Arial"/>
                <w:bCs/>
                <w:color w:val="auto"/>
                <w:sz w:val="20"/>
              </w:rPr>
              <w:t>Green Farm Road Recreation Ground</w:t>
            </w:r>
          </w:p>
        </w:tc>
        <w:tc>
          <w:tcPr>
            <w:tcW w:w="1847" w:type="dxa"/>
            <w:noWrap/>
          </w:tcPr>
          <w:p w14:paraId="0C24146B"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1A3224C" w14:textId="77777777" w:rsidTr="00B5314A">
        <w:trPr>
          <w:trHeight w:val="284"/>
        </w:trPr>
        <w:tc>
          <w:tcPr>
            <w:tcW w:w="1280" w:type="dxa"/>
          </w:tcPr>
          <w:p w14:paraId="52758661" w14:textId="77777777" w:rsidR="00967C7D" w:rsidRPr="00967C7D" w:rsidRDefault="00967C7D" w:rsidP="00967C7D">
            <w:pPr>
              <w:keepNext w:val="0"/>
              <w:spacing w:before="0"/>
              <w:rPr>
                <w:rFonts w:cs="Arial"/>
                <w:bCs/>
                <w:color w:val="auto"/>
                <w:sz w:val="20"/>
              </w:rPr>
            </w:pPr>
            <w:r w:rsidRPr="00967C7D">
              <w:rPr>
                <w:rFonts w:cs="Arial"/>
                <w:bCs/>
                <w:color w:val="auto"/>
                <w:sz w:val="20"/>
              </w:rPr>
              <w:t>EV5/83</w:t>
            </w:r>
          </w:p>
        </w:tc>
        <w:tc>
          <w:tcPr>
            <w:tcW w:w="6230" w:type="dxa"/>
            <w:noWrap/>
          </w:tcPr>
          <w:p w14:paraId="01B11354" w14:textId="77777777" w:rsidR="00967C7D" w:rsidRPr="00967C7D" w:rsidRDefault="00967C7D" w:rsidP="00967C7D">
            <w:pPr>
              <w:keepNext w:val="0"/>
              <w:spacing w:before="0"/>
              <w:rPr>
                <w:rFonts w:cs="Arial"/>
                <w:bCs/>
                <w:color w:val="auto"/>
                <w:sz w:val="20"/>
              </w:rPr>
            </w:pPr>
            <w:r w:rsidRPr="00967C7D">
              <w:rPr>
                <w:rFonts w:cs="Arial"/>
                <w:bCs/>
                <w:color w:val="auto"/>
                <w:sz w:val="20"/>
              </w:rPr>
              <w:t>Alexander Avenue</w:t>
            </w:r>
          </w:p>
        </w:tc>
        <w:tc>
          <w:tcPr>
            <w:tcW w:w="1847" w:type="dxa"/>
            <w:noWrap/>
          </w:tcPr>
          <w:p w14:paraId="013F3A1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F5D63F1" w14:textId="77777777" w:rsidTr="00B5314A">
        <w:trPr>
          <w:trHeight w:val="284"/>
        </w:trPr>
        <w:tc>
          <w:tcPr>
            <w:tcW w:w="1280" w:type="dxa"/>
          </w:tcPr>
          <w:p w14:paraId="1A67AE13" w14:textId="77777777" w:rsidR="00967C7D" w:rsidRPr="00967C7D" w:rsidRDefault="00967C7D" w:rsidP="00967C7D">
            <w:pPr>
              <w:keepNext w:val="0"/>
              <w:spacing w:before="0"/>
              <w:rPr>
                <w:rFonts w:cs="Arial"/>
                <w:bCs/>
                <w:color w:val="auto"/>
                <w:sz w:val="20"/>
              </w:rPr>
            </w:pPr>
            <w:r w:rsidRPr="00967C7D">
              <w:rPr>
                <w:rFonts w:cs="Arial"/>
                <w:bCs/>
                <w:color w:val="auto"/>
                <w:sz w:val="20"/>
              </w:rPr>
              <w:t>EV5/84</w:t>
            </w:r>
          </w:p>
        </w:tc>
        <w:tc>
          <w:tcPr>
            <w:tcW w:w="6230" w:type="dxa"/>
            <w:noWrap/>
          </w:tcPr>
          <w:p w14:paraId="168DC7ED"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Selston</w:t>
            </w:r>
            <w:proofErr w:type="spellEnd"/>
            <w:r w:rsidRPr="00967C7D">
              <w:rPr>
                <w:rFonts w:cs="Arial"/>
                <w:bCs/>
                <w:color w:val="auto"/>
                <w:sz w:val="20"/>
              </w:rPr>
              <w:t xml:space="preserve"> Parish Hall</w:t>
            </w:r>
          </w:p>
        </w:tc>
        <w:tc>
          <w:tcPr>
            <w:tcW w:w="1847" w:type="dxa"/>
            <w:noWrap/>
          </w:tcPr>
          <w:p w14:paraId="583B8B57"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68B32EE" w14:textId="77777777" w:rsidTr="00B5314A">
        <w:trPr>
          <w:trHeight w:val="284"/>
        </w:trPr>
        <w:tc>
          <w:tcPr>
            <w:tcW w:w="1280" w:type="dxa"/>
          </w:tcPr>
          <w:p w14:paraId="3CCFFE80" w14:textId="77777777" w:rsidR="00967C7D" w:rsidRPr="00967C7D" w:rsidRDefault="00967C7D" w:rsidP="00967C7D">
            <w:pPr>
              <w:keepNext w:val="0"/>
              <w:spacing w:before="0"/>
              <w:rPr>
                <w:rFonts w:cs="Arial"/>
                <w:bCs/>
                <w:color w:val="auto"/>
                <w:sz w:val="20"/>
              </w:rPr>
            </w:pPr>
            <w:r w:rsidRPr="00967C7D">
              <w:rPr>
                <w:rFonts w:cs="Arial"/>
                <w:bCs/>
                <w:color w:val="auto"/>
                <w:sz w:val="20"/>
              </w:rPr>
              <w:t>EV5/85</w:t>
            </w:r>
          </w:p>
        </w:tc>
        <w:tc>
          <w:tcPr>
            <w:tcW w:w="6230" w:type="dxa"/>
            <w:noWrap/>
          </w:tcPr>
          <w:p w14:paraId="12634859"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Selston</w:t>
            </w:r>
            <w:proofErr w:type="spellEnd"/>
            <w:r w:rsidRPr="00967C7D">
              <w:rPr>
                <w:rFonts w:cs="Arial"/>
                <w:bCs/>
                <w:color w:val="auto"/>
                <w:sz w:val="20"/>
              </w:rPr>
              <w:t xml:space="preserve"> High School Playing Field (north)</w:t>
            </w:r>
          </w:p>
        </w:tc>
        <w:tc>
          <w:tcPr>
            <w:tcW w:w="1847" w:type="dxa"/>
            <w:noWrap/>
          </w:tcPr>
          <w:p w14:paraId="05DB3BA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7E35263" w14:textId="77777777" w:rsidTr="00B5314A">
        <w:trPr>
          <w:trHeight w:val="284"/>
        </w:trPr>
        <w:tc>
          <w:tcPr>
            <w:tcW w:w="1280" w:type="dxa"/>
          </w:tcPr>
          <w:p w14:paraId="652DAB13" w14:textId="77777777" w:rsidR="00967C7D" w:rsidRPr="00967C7D" w:rsidRDefault="00967C7D" w:rsidP="00967C7D">
            <w:pPr>
              <w:keepNext w:val="0"/>
              <w:spacing w:before="0"/>
              <w:rPr>
                <w:rFonts w:cs="Arial"/>
                <w:bCs/>
                <w:color w:val="auto"/>
                <w:sz w:val="20"/>
              </w:rPr>
            </w:pPr>
            <w:r w:rsidRPr="00967C7D">
              <w:rPr>
                <w:rFonts w:cs="Arial"/>
                <w:bCs/>
                <w:color w:val="auto"/>
                <w:sz w:val="20"/>
              </w:rPr>
              <w:t>EV5/86</w:t>
            </w:r>
          </w:p>
        </w:tc>
        <w:tc>
          <w:tcPr>
            <w:tcW w:w="6230" w:type="dxa"/>
            <w:noWrap/>
          </w:tcPr>
          <w:p w14:paraId="2408F735" w14:textId="77777777" w:rsidR="00967C7D" w:rsidRPr="00967C7D" w:rsidRDefault="00967C7D" w:rsidP="00967C7D">
            <w:pPr>
              <w:keepNext w:val="0"/>
              <w:spacing w:before="0"/>
              <w:rPr>
                <w:rFonts w:cs="Arial"/>
                <w:bCs/>
                <w:color w:val="auto"/>
                <w:sz w:val="20"/>
              </w:rPr>
            </w:pPr>
            <w:r w:rsidRPr="00967C7D">
              <w:rPr>
                <w:rFonts w:cs="Arial"/>
                <w:bCs/>
                <w:color w:val="auto"/>
                <w:sz w:val="20"/>
              </w:rPr>
              <w:t>Valentine Avenue Play Area</w:t>
            </w:r>
          </w:p>
        </w:tc>
        <w:tc>
          <w:tcPr>
            <w:tcW w:w="1847" w:type="dxa"/>
            <w:noWrap/>
          </w:tcPr>
          <w:p w14:paraId="07007709"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F57312E" w14:textId="77777777" w:rsidTr="00B5314A">
        <w:trPr>
          <w:trHeight w:val="284"/>
        </w:trPr>
        <w:tc>
          <w:tcPr>
            <w:tcW w:w="1280" w:type="dxa"/>
          </w:tcPr>
          <w:p w14:paraId="26DC69B2" w14:textId="77777777" w:rsidR="00967C7D" w:rsidRPr="00967C7D" w:rsidRDefault="00967C7D" w:rsidP="00967C7D">
            <w:pPr>
              <w:keepNext w:val="0"/>
              <w:spacing w:before="0"/>
              <w:rPr>
                <w:rFonts w:cs="Arial"/>
                <w:bCs/>
                <w:color w:val="auto"/>
                <w:sz w:val="20"/>
              </w:rPr>
            </w:pPr>
            <w:r w:rsidRPr="00967C7D">
              <w:rPr>
                <w:rFonts w:cs="Arial"/>
                <w:bCs/>
                <w:color w:val="auto"/>
                <w:sz w:val="20"/>
              </w:rPr>
              <w:lastRenderedPageBreak/>
              <w:t>EV5/87</w:t>
            </w:r>
          </w:p>
        </w:tc>
        <w:tc>
          <w:tcPr>
            <w:tcW w:w="6230" w:type="dxa"/>
            <w:noWrap/>
          </w:tcPr>
          <w:p w14:paraId="70CFA14F" w14:textId="77777777" w:rsidR="00967C7D" w:rsidRPr="00967C7D" w:rsidRDefault="00967C7D" w:rsidP="00967C7D">
            <w:pPr>
              <w:keepNext w:val="0"/>
              <w:spacing w:before="0"/>
              <w:rPr>
                <w:rFonts w:cs="Arial"/>
                <w:bCs/>
                <w:color w:val="auto"/>
                <w:sz w:val="20"/>
              </w:rPr>
            </w:pPr>
            <w:r w:rsidRPr="00967C7D">
              <w:rPr>
                <w:rFonts w:cs="Arial"/>
                <w:bCs/>
                <w:color w:val="auto"/>
                <w:sz w:val="20"/>
              </w:rPr>
              <w:t>Holly Hill School Playing Field</w:t>
            </w:r>
          </w:p>
        </w:tc>
        <w:tc>
          <w:tcPr>
            <w:tcW w:w="1847" w:type="dxa"/>
            <w:noWrap/>
          </w:tcPr>
          <w:p w14:paraId="686C571F"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BB71171" w14:textId="77777777" w:rsidTr="00B5314A">
        <w:trPr>
          <w:trHeight w:val="284"/>
        </w:trPr>
        <w:tc>
          <w:tcPr>
            <w:tcW w:w="1280" w:type="dxa"/>
          </w:tcPr>
          <w:p w14:paraId="6F068148" w14:textId="77777777" w:rsidR="00967C7D" w:rsidRPr="00967C7D" w:rsidRDefault="00967C7D" w:rsidP="00967C7D">
            <w:pPr>
              <w:keepNext w:val="0"/>
              <w:spacing w:before="0"/>
              <w:rPr>
                <w:rFonts w:cs="Arial"/>
                <w:bCs/>
                <w:color w:val="auto"/>
                <w:sz w:val="20"/>
              </w:rPr>
            </w:pPr>
            <w:r w:rsidRPr="00967C7D">
              <w:rPr>
                <w:rFonts w:cs="Arial"/>
                <w:bCs/>
                <w:color w:val="auto"/>
                <w:sz w:val="20"/>
              </w:rPr>
              <w:t>EV5/88</w:t>
            </w:r>
          </w:p>
        </w:tc>
        <w:tc>
          <w:tcPr>
            <w:tcW w:w="6230" w:type="dxa"/>
            <w:noWrap/>
          </w:tcPr>
          <w:p w14:paraId="679AA39C" w14:textId="77777777" w:rsidR="00967C7D" w:rsidRPr="00967C7D" w:rsidRDefault="00967C7D" w:rsidP="00967C7D">
            <w:pPr>
              <w:keepNext w:val="0"/>
              <w:spacing w:before="0"/>
              <w:rPr>
                <w:rFonts w:cs="Arial"/>
                <w:bCs/>
                <w:color w:val="auto"/>
                <w:sz w:val="20"/>
              </w:rPr>
            </w:pPr>
            <w:r w:rsidRPr="00967C7D">
              <w:rPr>
                <w:rFonts w:cs="Arial"/>
                <w:bCs/>
                <w:color w:val="auto"/>
                <w:sz w:val="20"/>
              </w:rPr>
              <w:t>St Helen's Church</w:t>
            </w:r>
          </w:p>
        </w:tc>
        <w:tc>
          <w:tcPr>
            <w:tcW w:w="1847" w:type="dxa"/>
            <w:noWrap/>
          </w:tcPr>
          <w:p w14:paraId="32838CA3"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153454D" w14:textId="77777777" w:rsidTr="00B5314A">
        <w:trPr>
          <w:trHeight w:val="284"/>
        </w:trPr>
        <w:tc>
          <w:tcPr>
            <w:tcW w:w="1280" w:type="dxa"/>
          </w:tcPr>
          <w:p w14:paraId="39252026" w14:textId="77777777" w:rsidR="00967C7D" w:rsidRPr="00967C7D" w:rsidRDefault="00967C7D" w:rsidP="00967C7D">
            <w:pPr>
              <w:keepNext w:val="0"/>
              <w:spacing w:before="0"/>
              <w:rPr>
                <w:rFonts w:cs="Arial"/>
                <w:bCs/>
                <w:color w:val="auto"/>
                <w:sz w:val="20"/>
              </w:rPr>
            </w:pPr>
            <w:r w:rsidRPr="00967C7D">
              <w:rPr>
                <w:rFonts w:cs="Arial"/>
                <w:bCs/>
                <w:color w:val="auto"/>
                <w:sz w:val="20"/>
              </w:rPr>
              <w:t>EV5/89</w:t>
            </w:r>
          </w:p>
        </w:tc>
        <w:tc>
          <w:tcPr>
            <w:tcW w:w="6230" w:type="dxa"/>
            <w:noWrap/>
          </w:tcPr>
          <w:p w14:paraId="604F34A2" w14:textId="77777777" w:rsidR="00967C7D" w:rsidRPr="00967C7D" w:rsidRDefault="00967C7D" w:rsidP="00967C7D">
            <w:pPr>
              <w:keepNext w:val="0"/>
              <w:spacing w:before="0"/>
              <w:rPr>
                <w:rFonts w:cs="Arial"/>
                <w:bCs/>
                <w:color w:val="auto"/>
                <w:sz w:val="20"/>
              </w:rPr>
            </w:pPr>
            <w:r w:rsidRPr="00967C7D">
              <w:rPr>
                <w:rFonts w:cs="Arial"/>
                <w:bCs/>
                <w:color w:val="auto"/>
                <w:sz w:val="20"/>
              </w:rPr>
              <w:t>Portland Road</w:t>
            </w:r>
          </w:p>
        </w:tc>
        <w:tc>
          <w:tcPr>
            <w:tcW w:w="1847" w:type="dxa"/>
            <w:noWrap/>
          </w:tcPr>
          <w:p w14:paraId="59A31B18"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1776E0B" w14:textId="77777777" w:rsidTr="00B5314A">
        <w:trPr>
          <w:trHeight w:val="284"/>
        </w:trPr>
        <w:tc>
          <w:tcPr>
            <w:tcW w:w="1280" w:type="dxa"/>
          </w:tcPr>
          <w:p w14:paraId="52969627" w14:textId="77777777" w:rsidR="00967C7D" w:rsidRPr="00967C7D" w:rsidRDefault="00967C7D" w:rsidP="00967C7D">
            <w:pPr>
              <w:keepNext w:val="0"/>
              <w:spacing w:before="0"/>
              <w:rPr>
                <w:rFonts w:cs="Arial"/>
                <w:bCs/>
                <w:color w:val="auto"/>
                <w:sz w:val="20"/>
              </w:rPr>
            </w:pPr>
            <w:r w:rsidRPr="00967C7D">
              <w:rPr>
                <w:rFonts w:cs="Arial"/>
                <w:bCs/>
                <w:color w:val="auto"/>
                <w:sz w:val="20"/>
              </w:rPr>
              <w:t>EV5/90</w:t>
            </w:r>
          </w:p>
        </w:tc>
        <w:tc>
          <w:tcPr>
            <w:tcW w:w="6230" w:type="dxa"/>
            <w:noWrap/>
          </w:tcPr>
          <w:p w14:paraId="760B47AE" w14:textId="77777777" w:rsidR="00967C7D" w:rsidRPr="00967C7D" w:rsidRDefault="00967C7D" w:rsidP="00967C7D">
            <w:pPr>
              <w:keepNext w:val="0"/>
              <w:spacing w:before="0"/>
              <w:rPr>
                <w:rFonts w:cs="Arial"/>
                <w:bCs/>
                <w:color w:val="auto"/>
                <w:sz w:val="20"/>
              </w:rPr>
            </w:pPr>
            <w:r w:rsidRPr="00967C7D">
              <w:rPr>
                <w:rFonts w:cs="Arial"/>
                <w:bCs/>
                <w:color w:val="auto"/>
                <w:sz w:val="20"/>
              </w:rPr>
              <w:t>Jubilee Recreation Ground</w:t>
            </w:r>
          </w:p>
        </w:tc>
        <w:tc>
          <w:tcPr>
            <w:tcW w:w="1847" w:type="dxa"/>
            <w:noWrap/>
          </w:tcPr>
          <w:p w14:paraId="29C9E588"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DD537FD" w14:textId="77777777" w:rsidTr="00B5314A">
        <w:trPr>
          <w:trHeight w:val="284"/>
        </w:trPr>
        <w:tc>
          <w:tcPr>
            <w:tcW w:w="1280" w:type="dxa"/>
          </w:tcPr>
          <w:p w14:paraId="1DC57B75" w14:textId="77777777" w:rsidR="00967C7D" w:rsidRPr="00967C7D" w:rsidRDefault="00967C7D" w:rsidP="00967C7D">
            <w:pPr>
              <w:keepNext w:val="0"/>
              <w:spacing w:before="0"/>
              <w:rPr>
                <w:rFonts w:cs="Arial"/>
                <w:bCs/>
                <w:color w:val="auto"/>
                <w:sz w:val="20"/>
              </w:rPr>
            </w:pPr>
            <w:r w:rsidRPr="00967C7D">
              <w:rPr>
                <w:rFonts w:cs="Arial"/>
                <w:bCs/>
                <w:color w:val="auto"/>
                <w:sz w:val="20"/>
              </w:rPr>
              <w:t>EV5/91</w:t>
            </w:r>
          </w:p>
        </w:tc>
        <w:tc>
          <w:tcPr>
            <w:tcW w:w="6230" w:type="dxa"/>
            <w:noWrap/>
          </w:tcPr>
          <w:p w14:paraId="3C1DFAB7"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New </w:t>
            </w:r>
            <w:proofErr w:type="spellStart"/>
            <w:r w:rsidRPr="00967C7D">
              <w:rPr>
                <w:rFonts w:cs="Arial"/>
                <w:bCs/>
                <w:color w:val="auto"/>
                <w:sz w:val="20"/>
              </w:rPr>
              <w:t>Selston</w:t>
            </w:r>
            <w:proofErr w:type="spellEnd"/>
            <w:r w:rsidRPr="00967C7D">
              <w:rPr>
                <w:rFonts w:cs="Arial"/>
                <w:bCs/>
                <w:color w:val="auto"/>
                <w:sz w:val="20"/>
              </w:rPr>
              <w:t xml:space="preserve"> Recreation Ground</w:t>
            </w:r>
          </w:p>
        </w:tc>
        <w:tc>
          <w:tcPr>
            <w:tcW w:w="1847" w:type="dxa"/>
            <w:noWrap/>
          </w:tcPr>
          <w:p w14:paraId="652815B2"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9178B31" w14:textId="77777777" w:rsidTr="00B5314A">
        <w:trPr>
          <w:trHeight w:val="284"/>
        </w:trPr>
        <w:tc>
          <w:tcPr>
            <w:tcW w:w="1280" w:type="dxa"/>
          </w:tcPr>
          <w:p w14:paraId="07D1B516" w14:textId="77777777" w:rsidR="00967C7D" w:rsidRPr="00967C7D" w:rsidRDefault="00967C7D" w:rsidP="00967C7D">
            <w:pPr>
              <w:keepNext w:val="0"/>
              <w:spacing w:before="0"/>
              <w:rPr>
                <w:rFonts w:cs="Arial"/>
                <w:bCs/>
                <w:color w:val="auto"/>
                <w:sz w:val="20"/>
              </w:rPr>
            </w:pPr>
            <w:r w:rsidRPr="00967C7D">
              <w:rPr>
                <w:rFonts w:cs="Arial"/>
                <w:bCs/>
                <w:color w:val="auto"/>
                <w:sz w:val="20"/>
              </w:rPr>
              <w:t>EV5/92</w:t>
            </w:r>
          </w:p>
        </w:tc>
        <w:tc>
          <w:tcPr>
            <w:tcW w:w="6230" w:type="dxa"/>
            <w:noWrap/>
          </w:tcPr>
          <w:p w14:paraId="131CCE1C" w14:textId="77777777" w:rsidR="00967C7D" w:rsidRPr="00967C7D" w:rsidRDefault="00967C7D" w:rsidP="00967C7D">
            <w:pPr>
              <w:keepNext w:val="0"/>
              <w:spacing w:before="0"/>
              <w:rPr>
                <w:rFonts w:cs="Arial"/>
                <w:bCs/>
                <w:color w:val="auto"/>
                <w:sz w:val="20"/>
              </w:rPr>
            </w:pPr>
            <w:r w:rsidRPr="00967C7D">
              <w:rPr>
                <w:rFonts w:cs="Arial"/>
                <w:bCs/>
                <w:color w:val="auto"/>
                <w:sz w:val="20"/>
              </w:rPr>
              <w:t>Annesley Wood</w:t>
            </w:r>
          </w:p>
        </w:tc>
        <w:tc>
          <w:tcPr>
            <w:tcW w:w="1847" w:type="dxa"/>
            <w:noWrap/>
          </w:tcPr>
          <w:p w14:paraId="531BB5BA"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051BF014" w14:textId="77777777" w:rsidTr="00B5314A">
        <w:trPr>
          <w:trHeight w:val="284"/>
        </w:trPr>
        <w:tc>
          <w:tcPr>
            <w:tcW w:w="1280" w:type="dxa"/>
          </w:tcPr>
          <w:p w14:paraId="4743C2D9" w14:textId="77777777" w:rsidR="00967C7D" w:rsidRPr="00967C7D" w:rsidRDefault="00967C7D" w:rsidP="00967C7D">
            <w:pPr>
              <w:keepNext w:val="0"/>
              <w:spacing w:before="0"/>
              <w:rPr>
                <w:rFonts w:cs="Arial"/>
                <w:bCs/>
                <w:color w:val="auto"/>
                <w:sz w:val="20"/>
              </w:rPr>
            </w:pPr>
            <w:r w:rsidRPr="00967C7D">
              <w:rPr>
                <w:rFonts w:cs="Arial"/>
                <w:bCs/>
                <w:color w:val="auto"/>
                <w:sz w:val="20"/>
              </w:rPr>
              <w:t>EV5/93</w:t>
            </w:r>
          </w:p>
        </w:tc>
        <w:tc>
          <w:tcPr>
            <w:tcW w:w="6230" w:type="dxa"/>
            <w:noWrap/>
          </w:tcPr>
          <w:p w14:paraId="0D96D5D4" w14:textId="77777777" w:rsidR="00967C7D" w:rsidRPr="00967C7D" w:rsidRDefault="00967C7D" w:rsidP="00967C7D">
            <w:pPr>
              <w:keepNext w:val="0"/>
              <w:spacing w:before="0"/>
              <w:rPr>
                <w:rFonts w:cs="Arial"/>
                <w:bCs/>
                <w:color w:val="auto"/>
                <w:sz w:val="20"/>
              </w:rPr>
            </w:pPr>
            <w:r w:rsidRPr="00967C7D">
              <w:rPr>
                <w:rFonts w:cs="Arial"/>
                <w:bCs/>
                <w:color w:val="auto"/>
                <w:sz w:val="20"/>
              </w:rPr>
              <w:t>Annesley Church</w:t>
            </w:r>
          </w:p>
        </w:tc>
        <w:tc>
          <w:tcPr>
            <w:tcW w:w="1847" w:type="dxa"/>
            <w:noWrap/>
          </w:tcPr>
          <w:p w14:paraId="6E95D51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F2DBB73" w14:textId="77777777" w:rsidTr="00B5314A">
        <w:trPr>
          <w:trHeight w:val="284"/>
        </w:trPr>
        <w:tc>
          <w:tcPr>
            <w:tcW w:w="1280" w:type="dxa"/>
          </w:tcPr>
          <w:p w14:paraId="1BD5EF55" w14:textId="77777777" w:rsidR="00967C7D" w:rsidRPr="00967C7D" w:rsidRDefault="00967C7D" w:rsidP="00967C7D">
            <w:pPr>
              <w:keepNext w:val="0"/>
              <w:spacing w:before="0"/>
              <w:rPr>
                <w:rFonts w:cs="Arial"/>
                <w:bCs/>
                <w:color w:val="auto"/>
                <w:sz w:val="20"/>
              </w:rPr>
            </w:pPr>
            <w:r w:rsidRPr="00967C7D">
              <w:rPr>
                <w:rFonts w:cs="Arial"/>
                <w:bCs/>
                <w:color w:val="auto"/>
                <w:sz w:val="20"/>
              </w:rPr>
              <w:t>EV5/94</w:t>
            </w:r>
          </w:p>
        </w:tc>
        <w:tc>
          <w:tcPr>
            <w:tcW w:w="6230" w:type="dxa"/>
            <w:noWrap/>
          </w:tcPr>
          <w:p w14:paraId="794B4EF7" w14:textId="77777777" w:rsidR="00967C7D" w:rsidRPr="00967C7D" w:rsidRDefault="00967C7D" w:rsidP="00967C7D">
            <w:pPr>
              <w:keepNext w:val="0"/>
              <w:spacing w:before="0"/>
              <w:rPr>
                <w:rFonts w:cs="Arial"/>
                <w:bCs/>
                <w:color w:val="auto"/>
                <w:sz w:val="20"/>
              </w:rPr>
            </w:pPr>
            <w:r w:rsidRPr="00967C7D">
              <w:rPr>
                <w:rFonts w:cs="Arial"/>
                <w:bCs/>
                <w:color w:val="auto"/>
                <w:sz w:val="20"/>
              </w:rPr>
              <w:t>Hucknall Road</w:t>
            </w:r>
          </w:p>
        </w:tc>
        <w:tc>
          <w:tcPr>
            <w:tcW w:w="1847" w:type="dxa"/>
            <w:noWrap/>
          </w:tcPr>
          <w:p w14:paraId="592157AF"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95EBB72" w14:textId="77777777" w:rsidTr="00B5314A">
        <w:trPr>
          <w:trHeight w:val="284"/>
        </w:trPr>
        <w:tc>
          <w:tcPr>
            <w:tcW w:w="1280" w:type="dxa"/>
          </w:tcPr>
          <w:p w14:paraId="487D13AD" w14:textId="77777777" w:rsidR="00967C7D" w:rsidRPr="00967C7D" w:rsidRDefault="00967C7D" w:rsidP="00967C7D">
            <w:pPr>
              <w:keepNext w:val="0"/>
              <w:spacing w:before="0"/>
              <w:rPr>
                <w:rFonts w:cs="Arial"/>
                <w:bCs/>
                <w:color w:val="auto"/>
                <w:sz w:val="20"/>
              </w:rPr>
            </w:pPr>
            <w:r w:rsidRPr="00967C7D">
              <w:rPr>
                <w:rFonts w:cs="Arial"/>
                <w:bCs/>
                <w:color w:val="auto"/>
                <w:sz w:val="20"/>
              </w:rPr>
              <w:t>EV5/95</w:t>
            </w:r>
          </w:p>
        </w:tc>
        <w:tc>
          <w:tcPr>
            <w:tcW w:w="6230" w:type="dxa"/>
            <w:noWrap/>
          </w:tcPr>
          <w:p w14:paraId="0168B914" w14:textId="77777777" w:rsidR="00967C7D" w:rsidRPr="00967C7D" w:rsidRDefault="00967C7D" w:rsidP="00967C7D">
            <w:pPr>
              <w:keepNext w:val="0"/>
              <w:spacing w:before="0"/>
              <w:rPr>
                <w:rFonts w:cs="Arial"/>
                <w:bCs/>
                <w:color w:val="auto"/>
                <w:sz w:val="20"/>
              </w:rPr>
            </w:pPr>
            <w:r w:rsidRPr="00967C7D">
              <w:rPr>
                <w:rFonts w:cs="Arial"/>
                <w:bCs/>
                <w:color w:val="auto"/>
                <w:sz w:val="20"/>
              </w:rPr>
              <w:t>Sherwood Business Park Lakes</w:t>
            </w:r>
          </w:p>
        </w:tc>
        <w:tc>
          <w:tcPr>
            <w:tcW w:w="1847" w:type="dxa"/>
            <w:noWrap/>
          </w:tcPr>
          <w:p w14:paraId="2990F6F4"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700C0F17" w14:textId="77777777" w:rsidTr="00B5314A">
        <w:trPr>
          <w:trHeight w:val="284"/>
        </w:trPr>
        <w:tc>
          <w:tcPr>
            <w:tcW w:w="1280" w:type="dxa"/>
          </w:tcPr>
          <w:p w14:paraId="0249CA5D" w14:textId="77777777" w:rsidR="00967C7D" w:rsidRPr="00967C7D" w:rsidRDefault="00967C7D" w:rsidP="00967C7D">
            <w:pPr>
              <w:keepNext w:val="0"/>
              <w:spacing w:before="0"/>
              <w:rPr>
                <w:rFonts w:cs="Arial"/>
                <w:bCs/>
                <w:color w:val="auto"/>
                <w:sz w:val="20"/>
              </w:rPr>
            </w:pPr>
            <w:r w:rsidRPr="00967C7D">
              <w:rPr>
                <w:rFonts w:cs="Arial"/>
                <w:bCs/>
                <w:color w:val="auto"/>
                <w:sz w:val="20"/>
              </w:rPr>
              <w:t>EV5/96</w:t>
            </w:r>
          </w:p>
        </w:tc>
        <w:tc>
          <w:tcPr>
            <w:tcW w:w="6230" w:type="dxa"/>
            <w:noWrap/>
          </w:tcPr>
          <w:p w14:paraId="63E50795" w14:textId="77777777" w:rsidR="00967C7D" w:rsidRPr="00967C7D" w:rsidRDefault="00967C7D" w:rsidP="00967C7D">
            <w:pPr>
              <w:keepNext w:val="0"/>
              <w:spacing w:before="0"/>
              <w:rPr>
                <w:rFonts w:cs="Arial"/>
                <w:bCs/>
                <w:color w:val="auto"/>
                <w:sz w:val="20"/>
              </w:rPr>
            </w:pPr>
            <w:r w:rsidRPr="00967C7D">
              <w:rPr>
                <w:rFonts w:cs="Arial"/>
                <w:bCs/>
                <w:color w:val="auto"/>
                <w:sz w:val="20"/>
              </w:rPr>
              <w:t>Playground opposite Newstead School</w:t>
            </w:r>
          </w:p>
        </w:tc>
        <w:tc>
          <w:tcPr>
            <w:tcW w:w="1847" w:type="dxa"/>
            <w:noWrap/>
          </w:tcPr>
          <w:p w14:paraId="6460C901"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8385ACA" w14:textId="77777777" w:rsidTr="00B5314A">
        <w:trPr>
          <w:trHeight w:val="284"/>
        </w:trPr>
        <w:tc>
          <w:tcPr>
            <w:tcW w:w="1280" w:type="dxa"/>
          </w:tcPr>
          <w:p w14:paraId="19ABDC7E" w14:textId="77777777" w:rsidR="00967C7D" w:rsidRPr="00967C7D" w:rsidRDefault="00967C7D" w:rsidP="00967C7D">
            <w:pPr>
              <w:keepNext w:val="0"/>
              <w:spacing w:before="0"/>
              <w:rPr>
                <w:rFonts w:cs="Arial"/>
                <w:bCs/>
                <w:color w:val="auto"/>
                <w:sz w:val="20"/>
              </w:rPr>
            </w:pPr>
            <w:r w:rsidRPr="00967C7D">
              <w:rPr>
                <w:rFonts w:cs="Arial"/>
                <w:bCs/>
                <w:color w:val="auto"/>
                <w:sz w:val="20"/>
              </w:rPr>
              <w:t>EV5/97</w:t>
            </w:r>
          </w:p>
        </w:tc>
        <w:tc>
          <w:tcPr>
            <w:tcW w:w="6230" w:type="dxa"/>
            <w:noWrap/>
          </w:tcPr>
          <w:p w14:paraId="7136A06B" w14:textId="77777777" w:rsidR="00967C7D" w:rsidRPr="00967C7D" w:rsidRDefault="00967C7D" w:rsidP="00967C7D">
            <w:pPr>
              <w:keepNext w:val="0"/>
              <w:spacing w:before="0"/>
              <w:rPr>
                <w:rFonts w:cs="Arial"/>
                <w:bCs/>
                <w:color w:val="auto"/>
                <w:sz w:val="20"/>
              </w:rPr>
            </w:pPr>
            <w:r w:rsidRPr="00967C7D">
              <w:rPr>
                <w:rFonts w:cs="Arial"/>
                <w:bCs/>
                <w:color w:val="auto"/>
                <w:sz w:val="20"/>
              </w:rPr>
              <w:t>Oak Field Woods</w:t>
            </w:r>
          </w:p>
        </w:tc>
        <w:tc>
          <w:tcPr>
            <w:tcW w:w="1847" w:type="dxa"/>
            <w:noWrap/>
          </w:tcPr>
          <w:p w14:paraId="57B5101F"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863967D" w14:textId="77777777" w:rsidTr="00B5314A">
        <w:trPr>
          <w:trHeight w:val="284"/>
        </w:trPr>
        <w:tc>
          <w:tcPr>
            <w:tcW w:w="1280" w:type="dxa"/>
          </w:tcPr>
          <w:p w14:paraId="04FFD5F2" w14:textId="77777777" w:rsidR="00967C7D" w:rsidRPr="00967C7D" w:rsidRDefault="00967C7D" w:rsidP="00967C7D">
            <w:pPr>
              <w:keepNext w:val="0"/>
              <w:spacing w:before="0"/>
              <w:rPr>
                <w:rFonts w:cs="Arial"/>
                <w:bCs/>
                <w:color w:val="auto"/>
                <w:sz w:val="20"/>
              </w:rPr>
            </w:pPr>
            <w:r w:rsidRPr="00967C7D">
              <w:rPr>
                <w:rFonts w:cs="Arial"/>
                <w:bCs/>
                <w:color w:val="auto"/>
                <w:sz w:val="20"/>
              </w:rPr>
              <w:t>EV5/98</w:t>
            </w:r>
          </w:p>
        </w:tc>
        <w:tc>
          <w:tcPr>
            <w:tcW w:w="6230" w:type="dxa"/>
            <w:noWrap/>
          </w:tcPr>
          <w:p w14:paraId="65BF613B" w14:textId="77777777" w:rsidR="00967C7D" w:rsidRPr="00967C7D" w:rsidRDefault="00967C7D" w:rsidP="00967C7D">
            <w:pPr>
              <w:keepNext w:val="0"/>
              <w:spacing w:before="0"/>
              <w:rPr>
                <w:rFonts w:cs="Arial"/>
                <w:bCs/>
                <w:color w:val="auto"/>
                <w:sz w:val="20"/>
              </w:rPr>
            </w:pPr>
            <w:r w:rsidRPr="00967C7D">
              <w:rPr>
                <w:rFonts w:cs="Arial"/>
                <w:bCs/>
                <w:color w:val="auto"/>
                <w:sz w:val="20"/>
              </w:rPr>
              <w:t>Annesley Woods</w:t>
            </w:r>
          </w:p>
        </w:tc>
        <w:tc>
          <w:tcPr>
            <w:tcW w:w="1847" w:type="dxa"/>
            <w:noWrap/>
          </w:tcPr>
          <w:p w14:paraId="7A01F6BC"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F97A17" w:rsidRPr="00967C7D" w14:paraId="7D4020CD" w14:textId="77777777" w:rsidTr="00B5314A">
        <w:trPr>
          <w:trHeight w:val="284"/>
        </w:trPr>
        <w:tc>
          <w:tcPr>
            <w:tcW w:w="1280" w:type="dxa"/>
          </w:tcPr>
          <w:p w14:paraId="3576172D" w14:textId="6E184392" w:rsidR="00F97A17" w:rsidRPr="00967C7D" w:rsidRDefault="00F97A17" w:rsidP="00967C7D">
            <w:pPr>
              <w:keepNext w:val="0"/>
              <w:spacing w:before="0"/>
              <w:rPr>
                <w:rFonts w:cs="Arial"/>
                <w:bCs/>
                <w:color w:val="auto"/>
                <w:sz w:val="20"/>
              </w:rPr>
            </w:pPr>
            <w:r>
              <w:rPr>
                <w:rFonts w:cs="Arial"/>
                <w:bCs/>
                <w:color w:val="auto"/>
                <w:sz w:val="20"/>
              </w:rPr>
              <w:t>EV5/99</w:t>
            </w:r>
          </w:p>
        </w:tc>
        <w:tc>
          <w:tcPr>
            <w:tcW w:w="6230" w:type="dxa"/>
            <w:noWrap/>
          </w:tcPr>
          <w:p w14:paraId="0E63E601" w14:textId="20DF0401" w:rsidR="00F97A17" w:rsidRPr="00F97A17" w:rsidRDefault="00F97A17" w:rsidP="00967C7D">
            <w:pPr>
              <w:keepNext w:val="0"/>
              <w:spacing w:before="0"/>
              <w:rPr>
                <w:rFonts w:cs="Arial"/>
                <w:bCs/>
                <w:color w:val="auto"/>
                <w:sz w:val="20"/>
                <w:szCs w:val="20"/>
              </w:rPr>
            </w:pPr>
            <w:r w:rsidRPr="00F97A17">
              <w:rPr>
                <w:rFonts w:cs="Arial"/>
                <w:sz w:val="20"/>
                <w:szCs w:val="20"/>
              </w:rPr>
              <w:t>Patagonia Green</w:t>
            </w:r>
          </w:p>
        </w:tc>
        <w:tc>
          <w:tcPr>
            <w:tcW w:w="1847" w:type="dxa"/>
            <w:noWrap/>
          </w:tcPr>
          <w:p w14:paraId="297B60DF" w14:textId="60A79D3D" w:rsidR="00F97A17" w:rsidRPr="00967C7D" w:rsidRDefault="00F97A17" w:rsidP="00967C7D">
            <w:pPr>
              <w:keepNext w:val="0"/>
              <w:spacing w:before="0"/>
              <w:rPr>
                <w:rFonts w:cs="Arial"/>
                <w:bCs/>
                <w:color w:val="auto"/>
                <w:sz w:val="20"/>
              </w:rPr>
            </w:pPr>
            <w:r>
              <w:rPr>
                <w:rFonts w:cs="Arial"/>
                <w:bCs/>
                <w:color w:val="auto"/>
                <w:sz w:val="20"/>
              </w:rPr>
              <w:t>South Sheet</w:t>
            </w:r>
          </w:p>
        </w:tc>
      </w:tr>
      <w:tr w:rsidR="00967C7D" w:rsidRPr="00967C7D" w14:paraId="7B669563" w14:textId="77777777" w:rsidTr="00B5314A">
        <w:trPr>
          <w:trHeight w:val="284"/>
        </w:trPr>
        <w:tc>
          <w:tcPr>
            <w:tcW w:w="1280" w:type="dxa"/>
          </w:tcPr>
          <w:p w14:paraId="14C3D5E8" w14:textId="77777777" w:rsidR="00967C7D" w:rsidRPr="00967C7D" w:rsidRDefault="00967C7D" w:rsidP="00967C7D">
            <w:pPr>
              <w:keepNext w:val="0"/>
              <w:spacing w:before="0"/>
              <w:rPr>
                <w:rFonts w:cs="Arial"/>
                <w:bCs/>
                <w:color w:val="auto"/>
                <w:sz w:val="20"/>
              </w:rPr>
            </w:pPr>
            <w:r w:rsidRPr="00967C7D">
              <w:rPr>
                <w:rFonts w:cs="Arial"/>
                <w:bCs/>
                <w:color w:val="auto"/>
                <w:sz w:val="20"/>
              </w:rPr>
              <w:t>EV5/100</w:t>
            </w:r>
          </w:p>
        </w:tc>
        <w:tc>
          <w:tcPr>
            <w:tcW w:w="6230" w:type="dxa"/>
            <w:noWrap/>
          </w:tcPr>
          <w:p w14:paraId="37F1EA71" w14:textId="77777777" w:rsidR="00967C7D" w:rsidRPr="00967C7D" w:rsidRDefault="00967C7D" w:rsidP="00967C7D">
            <w:pPr>
              <w:keepNext w:val="0"/>
              <w:spacing w:before="0"/>
              <w:rPr>
                <w:rFonts w:cs="Arial"/>
                <w:bCs/>
                <w:color w:val="auto"/>
                <w:sz w:val="20"/>
              </w:rPr>
            </w:pPr>
            <w:r w:rsidRPr="00967C7D">
              <w:rPr>
                <w:rFonts w:cs="Arial"/>
                <w:bCs/>
                <w:color w:val="auto"/>
                <w:sz w:val="20"/>
              </w:rPr>
              <w:t>Acacia Avenue Recreation Ground</w:t>
            </w:r>
          </w:p>
        </w:tc>
        <w:tc>
          <w:tcPr>
            <w:tcW w:w="1847" w:type="dxa"/>
            <w:noWrap/>
          </w:tcPr>
          <w:p w14:paraId="56BBBDA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E79F7A4" w14:textId="77777777" w:rsidTr="00B5314A">
        <w:trPr>
          <w:trHeight w:val="284"/>
        </w:trPr>
        <w:tc>
          <w:tcPr>
            <w:tcW w:w="1280" w:type="dxa"/>
          </w:tcPr>
          <w:p w14:paraId="297DF73E" w14:textId="77777777" w:rsidR="00967C7D" w:rsidRPr="00967C7D" w:rsidRDefault="00967C7D" w:rsidP="00967C7D">
            <w:pPr>
              <w:keepNext w:val="0"/>
              <w:spacing w:before="0"/>
              <w:rPr>
                <w:rFonts w:cs="Arial"/>
                <w:bCs/>
                <w:color w:val="auto"/>
                <w:sz w:val="20"/>
              </w:rPr>
            </w:pPr>
            <w:r w:rsidRPr="00967C7D">
              <w:rPr>
                <w:rFonts w:cs="Arial"/>
                <w:bCs/>
                <w:color w:val="auto"/>
                <w:sz w:val="20"/>
              </w:rPr>
              <w:t>EV5/101</w:t>
            </w:r>
          </w:p>
        </w:tc>
        <w:tc>
          <w:tcPr>
            <w:tcW w:w="6230" w:type="dxa"/>
            <w:noWrap/>
          </w:tcPr>
          <w:p w14:paraId="6082DE29" w14:textId="77777777" w:rsidR="00967C7D" w:rsidRPr="00967C7D" w:rsidRDefault="00967C7D" w:rsidP="00967C7D">
            <w:pPr>
              <w:keepNext w:val="0"/>
              <w:spacing w:before="0"/>
              <w:rPr>
                <w:rFonts w:cs="Arial"/>
                <w:bCs/>
                <w:color w:val="auto"/>
                <w:sz w:val="20"/>
              </w:rPr>
            </w:pPr>
            <w:r w:rsidRPr="00967C7D">
              <w:rPr>
                <w:rFonts w:cs="Arial"/>
                <w:bCs/>
                <w:color w:val="auto"/>
                <w:sz w:val="20"/>
              </w:rPr>
              <w:t>Annesley Primary School Playing Field</w:t>
            </w:r>
          </w:p>
        </w:tc>
        <w:tc>
          <w:tcPr>
            <w:tcW w:w="1847" w:type="dxa"/>
            <w:noWrap/>
          </w:tcPr>
          <w:p w14:paraId="1791C687"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41B6601" w14:textId="77777777" w:rsidTr="00B5314A">
        <w:trPr>
          <w:trHeight w:val="284"/>
        </w:trPr>
        <w:tc>
          <w:tcPr>
            <w:tcW w:w="1280" w:type="dxa"/>
          </w:tcPr>
          <w:p w14:paraId="381E3D2C" w14:textId="77777777" w:rsidR="00967C7D" w:rsidRPr="00967C7D" w:rsidRDefault="00967C7D" w:rsidP="00967C7D">
            <w:pPr>
              <w:keepNext w:val="0"/>
              <w:spacing w:before="0"/>
              <w:rPr>
                <w:rFonts w:cs="Arial"/>
                <w:bCs/>
                <w:color w:val="auto"/>
                <w:sz w:val="20"/>
              </w:rPr>
            </w:pPr>
            <w:r w:rsidRPr="00967C7D">
              <w:rPr>
                <w:rFonts w:cs="Arial"/>
                <w:bCs/>
                <w:color w:val="auto"/>
                <w:sz w:val="20"/>
              </w:rPr>
              <w:t>EV5/102</w:t>
            </w:r>
          </w:p>
        </w:tc>
        <w:tc>
          <w:tcPr>
            <w:tcW w:w="6230" w:type="dxa"/>
            <w:noWrap/>
          </w:tcPr>
          <w:p w14:paraId="7B1D9EB7"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Nuncargate</w:t>
            </w:r>
            <w:proofErr w:type="spellEnd"/>
            <w:r w:rsidRPr="00967C7D">
              <w:rPr>
                <w:rFonts w:cs="Arial"/>
                <w:bCs/>
                <w:color w:val="auto"/>
                <w:sz w:val="20"/>
              </w:rPr>
              <w:t xml:space="preserve"> Recreation Ground</w:t>
            </w:r>
          </w:p>
        </w:tc>
        <w:tc>
          <w:tcPr>
            <w:tcW w:w="1847" w:type="dxa"/>
            <w:noWrap/>
          </w:tcPr>
          <w:p w14:paraId="3A5EDB9A"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09A4D9E" w14:textId="77777777" w:rsidTr="00B5314A">
        <w:trPr>
          <w:trHeight w:val="284"/>
        </w:trPr>
        <w:tc>
          <w:tcPr>
            <w:tcW w:w="1280" w:type="dxa"/>
          </w:tcPr>
          <w:p w14:paraId="0A252403" w14:textId="77777777" w:rsidR="00967C7D" w:rsidRPr="00967C7D" w:rsidRDefault="00967C7D" w:rsidP="00967C7D">
            <w:pPr>
              <w:keepNext w:val="0"/>
              <w:spacing w:before="0"/>
              <w:rPr>
                <w:rFonts w:cs="Arial"/>
                <w:bCs/>
                <w:color w:val="auto"/>
                <w:sz w:val="20"/>
              </w:rPr>
            </w:pPr>
            <w:r w:rsidRPr="00967C7D">
              <w:rPr>
                <w:rFonts w:cs="Arial"/>
                <w:bCs/>
                <w:color w:val="auto"/>
                <w:sz w:val="20"/>
              </w:rPr>
              <w:t>EV5/103</w:t>
            </w:r>
          </w:p>
        </w:tc>
        <w:tc>
          <w:tcPr>
            <w:tcW w:w="6230" w:type="dxa"/>
            <w:noWrap/>
          </w:tcPr>
          <w:p w14:paraId="4DE32CEE"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Nuncargate</w:t>
            </w:r>
            <w:proofErr w:type="spellEnd"/>
            <w:r w:rsidRPr="00967C7D">
              <w:rPr>
                <w:rFonts w:cs="Arial"/>
                <w:bCs/>
                <w:color w:val="auto"/>
                <w:sz w:val="20"/>
              </w:rPr>
              <w:t xml:space="preserve"> Road Cricket Field</w:t>
            </w:r>
          </w:p>
        </w:tc>
        <w:tc>
          <w:tcPr>
            <w:tcW w:w="1847" w:type="dxa"/>
            <w:noWrap/>
          </w:tcPr>
          <w:p w14:paraId="1F3F75E3"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F2DF44B" w14:textId="77777777" w:rsidTr="00B5314A">
        <w:trPr>
          <w:trHeight w:val="284"/>
        </w:trPr>
        <w:tc>
          <w:tcPr>
            <w:tcW w:w="1280" w:type="dxa"/>
          </w:tcPr>
          <w:p w14:paraId="1AA0A388" w14:textId="77777777" w:rsidR="00967C7D" w:rsidRPr="00967C7D" w:rsidRDefault="00967C7D" w:rsidP="00967C7D">
            <w:pPr>
              <w:keepNext w:val="0"/>
              <w:spacing w:before="0"/>
              <w:rPr>
                <w:rFonts w:cs="Arial"/>
                <w:bCs/>
                <w:color w:val="auto"/>
                <w:sz w:val="20"/>
              </w:rPr>
            </w:pPr>
            <w:r w:rsidRPr="00967C7D">
              <w:rPr>
                <w:rFonts w:cs="Arial"/>
                <w:bCs/>
                <w:color w:val="auto"/>
                <w:sz w:val="20"/>
              </w:rPr>
              <w:t>EV5/104</w:t>
            </w:r>
          </w:p>
        </w:tc>
        <w:tc>
          <w:tcPr>
            <w:tcW w:w="6230" w:type="dxa"/>
            <w:noWrap/>
          </w:tcPr>
          <w:p w14:paraId="1FAE58EC" w14:textId="77777777" w:rsidR="00967C7D" w:rsidRPr="00967C7D" w:rsidRDefault="00967C7D" w:rsidP="00967C7D">
            <w:pPr>
              <w:keepNext w:val="0"/>
              <w:spacing w:before="0"/>
              <w:rPr>
                <w:rFonts w:cs="Arial"/>
                <w:bCs/>
                <w:color w:val="auto"/>
                <w:sz w:val="20"/>
              </w:rPr>
            </w:pPr>
            <w:r w:rsidRPr="00967C7D">
              <w:rPr>
                <w:rFonts w:cs="Arial"/>
                <w:bCs/>
                <w:color w:val="auto"/>
                <w:sz w:val="20"/>
              </w:rPr>
              <w:t>Annesley Cutting</w:t>
            </w:r>
          </w:p>
        </w:tc>
        <w:tc>
          <w:tcPr>
            <w:tcW w:w="1847" w:type="dxa"/>
            <w:noWrap/>
          </w:tcPr>
          <w:p w14:paraId="7E961844"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115107DD" w14:textId="77777777" w:rsidTr="00B5314A">
        <w:trPr>
          <w:trHeight w:val="284"/>
        </w:trPr>
        <w:tc>
          <w:tcPr>
            <w:tcW w:w="1280" w:type="dxa"/>
          </w:tcPr>
          <w:p w14:paraId="0101CA60" w14:textId="77777777" w:rsidR="00967C7D" w:rsidRPr="00967C7D" w:rsidRDefault="00967C7D" w:rsidP="00967C7D">
            <w:pPr>
              <w:keepNext w:val="0"/>
              <w:spacing w:before="0"/>
              <w:rPr>
                <w:rFonts w:cs="Arial"/>
                <w:bCs/>
                <w:color w:val="auto"/>
                <w:sz w:val="20"/>
              </w:rPr>
            </w:pPr>
            <w:r w:rsidRPr="00967C7D">
              <w:rPr>
                <w:rFonts w:cs="Arial"/>
                <w:bCs/>
                <w:color w:val="auto"/>
                <w:sz w:val="20"/>
              </w:rPr>
              <w:t>EV5/105</w:t>
            </w:r>
          </w:p>
        </w:tc>
        <w:tc>
          <w:tcPr>
            <w:tcW w:w="6230" w:type="dxa"/>
            <w:noWrap/>
          </w:tcPr>
          <w:p w14:paraId="3CBD7248" w14:textId="77777777" w:rsidR="00967C7D" w:rsidRPr="00967C7D" w:rsidRDefault="00967C7D" w:rsidP="00967C7D">
            <w:pPr>
              <w:keepNext w:val="0"/>
              <w:spacing w:before="0"/>
              <w:rPr>
                <w:rFonts w:cs="Arial"/>
                <w:bCs/>
                <w:color w:val="auto"/>
                <w:sz w:val="20"/>
              </w:rPr>
            </w:pPr>
            <w:r w:rsidRPr="00967C7D">
              <w:rPr>
                <w:rFonts w:cs="Arial"/>
                <w:bCs/>
                <w:color w:val="auto"/>
                <w:sz w:val="20"/>
              </w:rPr>
              <w:t>New Annesley Green, Byron Road</w:t>
            </w:r>
          </w:p>
        </w:tc>
        <w:tc>
          <w:tcPr>
            <w:tcW w:w="1847" w:type="dxa"/>
            <w:noWrap/>
          </w:tcPr>
          <w:p w14:paraId="4AD610D8"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4F71B3DA" w14:textId="77777777" w:rsidTr="00B5314A">
        <w:trPr>
          <w:trHeight w:val="284"/>
        </w:trPr>
        <w:tc>
          <w:tcPr>
            <w:tcW w:w="1280" w:type="dxa"/>
          </w:tcPr>
          <w:p w14:paraId="6CA75125" w14:textId="77777777" w:rsidR="00967C7D" w:rsidRPr="00967C7D" w:rsidRDefault="00967C7D" w:rsidP="00967C7D">
            <w:pPr>
              <w:keepNext w:val="0"/>
              <w:spacing w:before="0"/>
              <w:rPr>
                <w:rFonts w:cs="Arial"/>
                <w:bCs/>
                <w:color w:val="auto"/>
                <w:sz w:val="20"/>
              </w:rPr>
            </w:pPr>
            <w:r w:rsidRPr="00967C7D">
              <w:rPr>
                <w:rFonts w:cs="Arial"/>
                <w:bCs/>
                <w:color w:val="auto"/>
                <w:sz w:val="20"/>
              </w:rPr>
              <w:t>EV5/106</w:t>
            </w:r>
          </w:p>
        </w:tc>
        <w:tc>
          <w:tcPr>
            <w:tcW w:w="6230" w:type="dxa"/>
            <w:noWrap/>
          </w:tcPr>
          <w:p w14:paraId="69E0EA8E" w14:textId="77777777" w:rsidR="00967C7D" w:rsidRPr="00967C7D" w:rsidRDefault="00967C7D" w:rsidP="00967C7D">
            <w:pPr>
              <w:keepNext w:val="0"/>
              <w:spacing w:before="0"/>
              <w:rPr>
                <w:rFonts w:cs="Arial"/>
                <w:bCs/>
                <w:color w:val="auto"/>
                <w:sz w:val="20"/>
              </w:rPr>
            </w:pPr>
            <w:r w:rsidRPr="00967C7D">
              <w:rPr>
                <w:rFonts w:cs="Arial"/>
                <w:bCs/>
                <w:color w:val="auto"/>
                <w:sz w:val="20"/>
              </w:rPr>
              <w:t>New Annesley Recreation Ground</w:t>
            </w:r>
          </w:p>
        </w:tc>
        <w:tc>
          <w:tcPr>
            <w:tcW w:w="1847" w:type="dxa"/>
            <w:noWrap/>
          </w:tcPr>
          <w:p w14:paraId="74933C0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24C26A2" w14:textId="77777777" w:rsidTr="00B5314A">
        <w:trPr>
          <w:trHeight w:val="284"/>
        </w:trPr>
        <w:tc>
          <w:tcPr>
            <w:tcW w:w="1280" w:type="dxa"/>
          </w:tcPr>
          <w:p w14:paraId="580D82BE" w14:textId="77777777" w:rsidR="00967C7D" w:rsidRPr="00967C7D" w:rsidRDefault="00967C7D" w:rsidP="00967C7D">
            <w:pPr>
              <w:keepNext w:val="0"/>
              <w:spacing w:before="0"/>
              <w:rPr>
                <w:rFonts w:cs="Arial"/>
                <w:bCs/>
                <w:color w:val="auto"/>
                <w:sz w:val="20"/>
              </w:rPr>
            </w:pPr>
            <w:r w:rsidRPr="00967C7D">
              <w:rPr>
                <w:rFonts w:cs="Arial"/>
                <w:bCs/>
                <w:color w:val="auto"/>
                <w:sz w:val="20"/>
              </w:rPr>
              <w:t>EV5/107</w:t>
            </w:r>
          </w:p>
        </w:tc>
        <w:tc>
          <w:tcPr>
            <w:tcW w:w="6230" w:type="dxa"/>
            <w:noWrap/>
          </w:tcPr>
          <w:p w14:paraId="195D96FB" w14:textId="77777777" w:rsidR="00967C7D" w:rsidRPr="00967C7D" w:rsidRDefault="00967C7D" w:rsidP="00967C7D">
            <w:pPr>
              <w:keepNext w:val="0"/>
              <w:spacing w:before="0"/>
              <w:rPr>
                <w:rFonts w:cs="Arial"/>
                <w:bCs/>
                <w:color w:val="auto"/>
                <w:sz w:val="20"/>
              </w:rPr>
            </w:pPr>
            <w:r w:rsidRPr="00967C7D">
              <w:rPr>
                <w:rFonts w:cs="Arial"/>
                <w:bCs/>
                <w:color w:val="auto"/>
                <w:sz w:val="20"/>
              </w:rPr>
              <w:t>Annesley Parish Millennium Garden</w:t>
            </w:r>
          </w:p>
        </w:tc>
        <w:tc>
          <w:tcPr>
            <w:tcW w:w="1847" w:type="dxa"/>
            <w:noWrap/>
          </w:tcPr>
          <w:p w14:paraId="3675DA80"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B2BAEAE" w14:textId="77777777" w:rsidTr="00B5314A">
        <w:trPr>
          <w:trHeight w:val="284"/>
        </w:trPr>
        <w:tc>
          <w:tcPr>
            <w:tcW w:w="1280" w:type="dxa"/>
          </w:tcPr>
          <w:p w14:paraId="1E72EF4B" w14:textId="77777777" w:rsidR="00967C7D" w:rsidRPr="00967C7D" w:rsidRDefault="00967C7D" w:rsidP="00967C7D">
            <w:pPr>
              <w:keepNext w:val="0"/>
              <w:spacing w:before="0"/>
              <w:rPr>
                <w:rFonts w:cs="Arial"/>
                <w:bCs/>
                <w:color w:val="auto"/>
                <w:sz w:val="20"/>
              </w:rPr>
            </w:pPr>
            <w:r w:rsidRPr="00967C7D">
              <w:rPr>
                <w:rFonts w:cs="Arial"/>
                <w:bCs/>
                <w:color w:val="auto"/>
                <w:sz w:val="20"/>
              </w:rPr>
              <w:t>EV5/108</w:t>
            </w:r>
          </w:p>
        </w:tc>
        <w:tc>
          <w:tcPr>
            <w:tcW w:w="6230" w:type="dxa"/>
            <w:noWrap/>
          </w:tcPr>
          <w:p w14:paraId="3A52CCF0" w14:textId="77777777" w:rsidR="00967C7D" w:rsidRPr="00967C7D" w:rsidRDefault="00967C7D" w:rsidP="00967C7D">
            <w:pPr>
              <w:keepNext w:val="0"/>
              <w:spacing w:before="0"/>
              <w:rPr>
                <w:rFonts w:cs="Arial"/>
                <w:bCs/>
                <w:color w:val="auto"/>
                <w:sz w:val="20"/>
              </w:rPr>
            </w:pPr>
            <w:r w:rsidRPr="00967C7D">
              <w:rPr>
                <w:rFonts w:cs="Arial"/>
                <w:bCs/>
                <w:color w:val="auto"/>
                <w:sz w:val="20"/>
              </w:rPr>
              <w:t>Kirkby Woodhouse Cemetery</w:t>
            </w:r>
          </w:p>
        </w:tc>
        <w:tc>
          <w:tcPr>
            <w:tcW w:w="1847" w:type="dxa"/>
            <w:noWrap/>
          </w:tcPr>
          <w:p w14:paraId="158CF1FA"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5B03C84F" w14:textId="77777777" w:rsidTr="00B5314A">
        <w:trPr>
          <w:trHeight w:val="284"/>
        </w:trPr>
        <w:tc>
          <w:tcPr>
            <w:tcW w:w="1280" w:type="dxa"/>
          </w:tcPr>
          <w:p w14:paraId="35D91F28" w14:textId="77777777" w:rsidR="00967C7D" w:rsidRPr="00967C7D" w:rsidRDefault="00967C7D" w:rsidP="00967C7D">
            <w:pPr>
              <w:keepNext w:val="0"/>
              <w:spacing w:before="0"/>
              <w:rPr>
                <w:rFonts w:cs="Arial"/>
                <w:bCs/>
                <w:color w:val="auto"/>
                <w:sz w:val="20"/>
              </w:rPr>
            </w:pPr>
            <w:r w:rsidRPr="00967C7D">
              <w:rPr>
                <w:rFonts w:cs="Arial"/>
                <w:bCs/>
                <w:color w:val="auto"/>
                <w:sz w:val="20"/>
              </w:rPr>
              <w:t>EV5/109</w:t>
            </w:r>
          </w:p>
        </w:tc>
        <w:tc>
          <w:tcPr>
            <w:tcW w:w="6230" w:type="dxa"/>
            <w:noWrap/>
          </w:tcPr>
          <w:p w14:paraId="658D021E" w14:textId="77777777" w:rsidR="00967C7D" w:rsidRPr="00967C7D" w:rsidRDefault="00967C7D" w:rsidP="00967C7D">
            <w:pPr>
              <w:keepNext w:val="0"/>
              <w:spacing w:before="0"/>
              <w:rPr>
                <w:rFonts w:cs="Arial"/>
                <w:bCs/>
                <w:color w:val="auto"/>
                <w:sz w:val="20"/>
              </w:rPr>
            </w:pPr>
            <w:r w:rsidRPr="00967C7D">
              <w:rPr>
                <w:rFonts w:cs="Arial"/>
                <w:bCs/>
                <w:color w:val="auto"/>
                <w:sz w:val="20"/>
              </w:rPr>
              <w:t>Skegby Road Recreation Ground</w:t>
            </w:r>
          </w:p>
        </w:tc>
        <w:tc>
          <w:tcPr>
            <w:tcW w:w="1847" w:type="dxa"/>
            <w:noWrap/>
          </w:tcPr>
          <w:p w14:paraId="6D9728C4"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22E1F079" w14:textId="77777777" w:rsidTr="00B5314A">
        <w:trPr>
          <w:trHeight w:val="284"/>
        </w:trPr>
        <w:tc>
          <w:tcPr>
            <w:tcW w:w="1280" w:type="dxa"/>
          </w:tcPr>
          <w:p w14:paraId="3B286820" w14:textId="77777777" w:rsidR="00967C7D" w:rsidRPr="00967C7D" w:rsidRDefault="00967C7D" w:rsidP="00967C7D">
            <w:pPr>
              <w:keepNext w:val="0"/>
              <w:spacing w:before="0"/>
              <w:rPr>
                <w:rFonts w:cs="Arial"/>
                <w:bCs/>
                <w:color w:val="auto"/>
                <w:sz w:val="20"/>
              </w:rPr>
            </w:pPr>
            <w:r w:rsidRPr="00967C7D">
              <w:rPr>
                <w:rFonts w:cs="Arial"/>
                <w:bCs/>
                <w:color w:val="auto"/>
                <w:sz w:val="20"/>
              </w:rPr>
              <w:t>EV5/110</w:t>
            </w:r>
          </w:p>
        </w:tc>
        <w:tc>
          <w:tcPr>
            <w:tcW w:w="6230" w:type="dxa"/>
            <w:noWrap/>
          </w:tcPr>
          <w:p w14:paraId="182F5CE8" w14:textId="77777777" w:rsidR="00967C7D" w:rsidRPr="00967C7D" w:rsidRDefault="00967C7D" w:rsidP="00967C7D">
            <w:pPr>
              <w:keepNext w:val="0"/>
              <w:spacing w:before="0"/>
              <w:rPr>
                <w:rFonts w:cs="Arial"/>
                <w:bCs/>
                <w:color w:val="auto"/>
                <w:sz w:val="20"/>
              </w:rPr>
            </w:pPr>
            <w:r w:rsidRPr="00967C7D">
              <w:rPr>
                <w:rFonts w:cs="Arial"/>
                <w:bCs/>
                <w:color w:val="auto"/>
                <w:sz w:val="20"/>
              </w:rPr>
              <w:t>Kirkby Woodhouse Playing Field</w:t>
            </w:r>
          </w:p>
        </w:tc>
        <w:tc>
          <w:tcPr>
            <w:tcW w:w="1847" w:type="dxa"/>
            <w:noWrap/>
          </w:tcPr>
          <w:p w14:paraId="6C0BFC7B"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034E86BC" w14:textId="77777777" w:rsidTr="00B5314A">
        <w:trPr>
          <w:trHeight w:val="284"/>
        </w:trPr>
        <w:tc>
          <w:tcPr>
            <w:tcW w:w="1280" w:type="dxa"/>
          </w:tcPr>
          <w:p w14:paraId="50D31A1D" w14:textId="77777777" w:rsidR="00967C7D" w:rsidRPr="00967C7D" w:rsidRDefault="00967C7D" w:rsidP="00967C7D">
            <w:pPr>
              <w:keepNext w:val="0"/>
              <w:spacing w:before="0"/>
              <w:rPr>
                <w:rFonts w:cs="Arial"/>
                <w:bCs/>
                <w:color w:val="auto"/>
                <w:sz w:val="20"/>
              </w:rPr>
            </w:pPr>
            <w:r w:rsidRPr="00967C7D">
              <w:rPr>
                <w:rFonts w:cs="Arial"/>
                <w:bCs/>
                <w:color w:val="auto"/>
                <w:sz w:val="20"/>
              </w:rPr>
              <w:t>EV5/111</w:t>
            </w:r>
          </w:p>
        </w:tc>
        <w:tc>
          <w:tcPr>
            <w:tcW w:w="6230" w:type="dxa"/>
            <w:noWrap/>
          </w:tcPr>
          <w:p w14:paraId="4D9DA14D"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Broadoak</w:t>
            </w:r>
            <w:proofErr w:type="spellEnd"/>
            <w:r w:rsidRPr="00967C7D">
              <w:rPr>
                <w:rFonts w:cs="Arial"/>
                <w:bCs/>
                <w:color w:val="auto"/>
                <w:sz w:val="20"/>
              </w:rPr>
              <w:t xml:space="preserve"> Park</w:t>
            </w:r>
          </w:p>
        </w:tc>
        <w:tc>
          <w:tcPr>
            <w:tcW w:w="1847" w:type="dxa"/>
            <w:noWrap/>
          </w:tcPr>
          <w:p w14:paraId="3341EDDA"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08C8A776" w14:textId="77777777" w:rsidTr="00B5314A">
        <w:trPr>
          <w:trHeight w:val="284"/>
        </w:trPr>
        <w:tc>
          <w:tcPr>
            <w:tcW w:w="1280" w:type="dxa"/>
          </w:tcPr>
          <w:p w14:paraId="76939929" w14:textId="77777777" w:rsidR="00967C7D" w:rsidRPr="00967C7D" w:rsidRDefault="00967C7D" w:rsidP="00967C7D">
            <w:pPr>
              <w:keepNext w:val="0"/>
              <w:spacing w:before="0"/>
              <w:rPr>
                <w:rFonts w:cs="Arial"/>
                <w:bCs/>
                <w:color w:val="auto"/>
                <w:sz w:val="20"/>
              </w:rPr>
            </w:pPr>
            <w:r w:rsidRPr="00967C7D">
              <w:rPr>
                <w:rFonts w:cs="Arial"/>
                <w:bCs/>
                <w:color w:val="auto"/>
                <w:sz w:val="20"/>
              </w:rPr>
              <w:t>EV5/112</w:t>
            </w:r>
          </w:p>
        </w:tc>
        <w:tc>
          <w:tcPr>
            <w:tcW w:w="6230" w:type="dxa"/>
            <w:noWrap/>
          </w:tcPr>
          <w:p w14:paraId="1767A2F3" w14:textId="77777777" w:rsidR="00967C7D" w:rsidRPr="00967C7D" w:rsidRDefault="00967C7D" w:rsidP="00967C7D">
            <w:pPr>
              <w:keepNext w:val="0"/>
              <w:spacing w:before="0"/>
              <w:rPr>
                <w:rFonts w:cs="Arial"/>
                <w:bCs/>
                <w:color w:val="auto"/>
                <w:sz w:val="20"/>
              </w:rPr>
            </w:pPr>
            <w:r w:rsidRPr="00967C7D">
              <w:rPr>
                <w:rFonts w:cs="Arial"/>
                <w:bCs/>
                <w:color w:val="auto"/>
                <w:sz w:val="20"/>
              </w:rPr>
              <w:t>Park Forest</w:t>
            </w:r>
          </w:p>
        </w:tc>
        <w:tc>
          <w:tcPr>
            <w:tcW w:w="1847" w:type="dxa"/>
            <w:noWrap/>
          </w:tcPr>
          <w:p w14:paraId="7DE301CA"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62221424" w14:textId="77777777" w:rsidTr="00B5314A">
        <w:trPr>
          <w:trHeight w:val="284"/>
        </w:trPr>
        <w:tc>
          <w:tcPr>
            <w:tcW w:w="1280" w:type="dxa"/>
          </w:tcPr>
          <w:p w14:paraId="14CCFDC3" w14:textId="77777777" w:rsidR="00967C7D" w:rsidRPr="00967C7D" w:rsidRDefault="00967C7D" w:rsidP="00967C7D">
            <w:pPr>
              <w:keepNext w:val="0"/>
              <w:spacing w:before="0"/>
              <w:rPr>
                <w:rFonts w:cs="Arial"/>
                <w:bCs/>
                <w:color w:val="auto"/>
                <w:sz w:val="20"/>
              </w:rPr>
            </w:pPr>
            <w:r w:rsidRPr="00967C7D">
              <w:rPr>
                <w:rFonts w:cs="Arial"/>
                <w:bCs/>
                <w:color w:val="auto"/>
                <w:sz w:val="20"/>
              </w:rPr>
              <w:t>EV5/113</w:t>
            </w:r>
          </w:p>
        </w:tc>
        <w:tc>
          <w:tcPr>
            <w:tcW w:w="6230" w:type="dxa"/>
            <w:noWrap/>
          </w:tcPr>
          <w:p w14:paraId="172FD58B" w14:textId="77777777" w:rsidR="00967C7D" w:rsidRPr="00967C7D" w:rsidRDefault="00967C7D" w:rsidP="00967C7D">
            <w:pPr>
              <w:keepNext w:val="0"/>
              <w:spacing w:before="0"/>
              <w:rPr>
                <w:rFonts w:cs="Arial"/>
                <w:bCs/>
                <w:color w:val="auto"/>
                <w:sz w:val="20"/>
              </w:rPr>
            </w:pPr>
            <w:r w:rsidRPr="00967C7D">
              <w:rPr>
                <w:rFonts w:cs="Arial"/>
                <w:bCs/>
                <w:color w:val="auto"/>
                <w:sz w:val="20"/>
              </w:rPr>
              <w:t>Notts Golf Club</w:t>
            </w:r>
          </w:p>
        </w:tc>
        <w:tc>
          <w:tcPr>
            <w:tcW w:w="1847" w:type="dxa"/>
            <w:noWrap/>
          </w:tcPr>
          <w:p w14:paraId="211FF5B6"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D23ED9F" w14:textId="77777777" w:rsidTr="00B5314A">
        <w:trPr>
          <w:trHeight w:val="284"/>
        </w:trPr>
        <w:tc>
          <w:tcPr>
            <w:tcW w:w="1280" w:type="dxa"/>
          </w:tcPr>
          <w:p w14:paraId="506B9ECA" w14:textId="77777777" w:rsidR="00967C7D" w:rsidRPr="00967C7D" w:rsidRDefault="00967C7D" w:rsidP="00967C7D">
            <w:pPr>
              <w:keepNext w:val="0"/>
              <w:spacing w:before="0"/>
              <w:rPr>
                <w:rFonts w:cs="Arial"/>
                <w:bCs/>
                <w:color w:val="auto"/>
                <w:sz w:val="20"/>
              </w:rPr>
            </w:pPr>
            <w:r w:rsidRPr="00967C7D">
              <w:rPr>
                <w:rFonts w:cs="Arial"/>
                <w:bCs/>
                <w:color w:val="auto"/>
                <w:sz w:val="20"/>
              </w:rPr>
              <w:t>EV5/114</w:t>
            </w:r>
          </w:p>
        </w:tc>
        <w:tc>
          <w:tcPr>
            <w:tcW w:w="6230" w:type="dxa"/>
            <w:noWrap/>
          </w:tcPr>
          <w:p w14:paraId="4BB792EF" w14:textId="77777777" w:rsidR="00967C7D" w:rsidRPr="00967C7D" w:rsidRDefault="00967C7D" w:rsidP="00967C7D">
            <w:pPr>
              <w:keepNext w:val="0"/>
              <w:spacing w:before="0"/>
              <w:rPr>
                <w:rFonts w:cs="Arial"/>
                <w:bCs/>
                <w:color w:val="auto"/>
                <w:sz w:val="20"/>
              </w:rPr>
            </w:pPr>
            <w:r w:rsidRPr="00967C7D">
              <w:rPr>
                <w:rFonts w:cs="Arial"/>
                <w:bCs/>
                <w:color w:val="auto"/>
                <w:sz w:val="20"/>
              </w:rPr>
              <w:t>Kirkby Forest</w:t>
            </w:r>
          </w:p>
        </w:tc>
        <w:tc>
          <w:tcPr>
            <w:tcW w:w="1847" w:type="dxa"/>
            <w:noWrap/>
          </w:tcPr>
          <w:p w14:paraId="5C8CB5B6"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B6FB714" w14:textId="77777777" w:rsidTr="00B5314A">
        <w:trPr>
          <w:trHeight w:val="284"/>
        </w:trPr>
        <w:tc>
          <w:tcPr>
            <w:tcW w:w="1280" w:type="dxa"/>
          </w:tcPr>
          <w:p w14:paraId="065FB2D3" w14:textId="77777777" w:rsidR="00967C7D" w:rsidRPr="00967C7D" w:rsidRDefault="00967C7D" w:rsidP="00967C7D">
            <w:pPr>
              <w:keepNext w:val="0"/>
              <w:spacing w:before="0"/>
              <w:rPr>
                <w:rFonts w:cs="Arial"/>
                <w:bCs/>
                <w:color w:val="auto"/>
                <w:sz w:val="20"/>
              </w:rPr>
            </w:pPr>
            <w:r w:rsidRPr="00967C7D">
              <w:rPr>
                <w:rFonts w:cs="Arial"/>
                <w:bCs/>
                <w:color w:val="auto"/>
                <w:sz w:val="20"/>
              </w:rPr>
              <w:t>EV5/115</w:t>
            </w:r>
          </w:p>
        </w:tc>
        <w:tc>
          <w:tcPr>
            <w:tcW w:w="6230" w:type="dxa"/>
            <w:noWrap/>
          </w:tcPr>
          <w:p w14:paraId="205BF5C3" w14:textId="77777777" w:rsidR="00967C7D" w:rsidRPr="00967C7D" w:rsidRDefault="00967C7D" w:rsidP="00967C7D">
            <w:pPr>
              <w:keepNext w:val="0"/>
              <w:spacing w:before="0"/>
              <w:rPr>
                <w:rFonts w:cs="Arial"/>
                <w:bCs/>
                <w:color w:val="auto"/>
                <w:sz w:val="20"/>
              </w:rPr>
            </w:pPr>
            <w:r w:rsidRPr="00967C7D">
              <w:rPr>
                <w:rFonts w:cs="Arial"/>
                <w:bCs/>
                <w:color w:val="auto"/>
                <w:sz w:val="20"/>
              </w:rPr>
              <w:t>Portland Park</w:t>
            </w:r>
          </w:p>
        </w:tc>
        <w:tc>
          <w:tcPr>
            <w:tcW w:w="1847" w:type="dxa"/>
            <w:noWrap/>
          </w:tcPr>
          <w:p w14:paraId="02EFFAA8"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B5BA6C6" w14:textId="77777777" w:rsidTr="00B5314A">
        <w:trPr>
          <w:trHeight w:val="284"/>
        </w:trPr>
        <w:tc>
          <w:tcPr>
            <w:tcW w:w="1280" w:type="dxa"/>
          </w:tcPr>
          <w:p w14:paraId="17CF4F04" w14:textId="77777777" w:rsidR="00967C7D" w:rsidRPr="00967C7D" w:rsidRDefault="00967C7D" w:rsidP="00967C7D">
            <w:pPr>
              <w:keepNext w:val="0"/>
              <w:spacing w:before="0"/>
              <w:rPr>
                <w:rFonts w:cs="Arial"/>
                <w:bCs/>
                <w:color w:val="auto"/>
                <w:sz w:val="20"/>
              </w:rPr>
            </w:pPr>
            <w:r w:rsidRPr="00967C7D">
              <w:rPr>
                <w:rFonts w:cs="Arial"/>
                <w:bCs/>
                <w:color w:val="auto"/>
                <w:sz w:val="20"/>
              </w:rPr>
              <w:t>EV5/116</w:t>
            </w:r>
          </w:p>
        </w:tc>
        <w:tc>
          <w:tcPr>
            <w:tcW w:w="6230" w:type="dxa"/>
            <w:noWrap/>
          </w:tcPr>
          <w:p w14:paraId="07170148" w14:textId="77777777" w:rsidR="00967C7D" w:rsidRPr="00967C7D" w:rsidRDefault="00967C7D" w:rsidP="00967C7D">
            <w:pPr>
              <w:keepNext w:val="0"/>
              <w:spacing w:before="0"/>
              <w:rPr>
                <w:rFonts w:cs="Arial"/>
                <w:bCs/>
                <w:color w:val="auto"/>
                <w:sz w:val="20"/>
              </w:rPr>
            </w:pPr>
            <w:r w:rsidRPr="00967C7D">
              <w:rPr>
                <w:rFonts w:cs="Arial"/>
                <w:bCs/>
                <w:color w:val="auto"/>
                <w:sz w:val="20"/>
              </w:rPr>
              <w:t>Kingsway Cemetery (Newest)</w:t>
            </w:r>
          </w:p>
        </w:tc>
        <w:tc>
          <w:tcPr>
            <w:tcW w:w="1847" w:type="dxa"/>
            <w:noWrap/>
          </w:tcPr>
          <w:p w14:paraId="1898DCCF"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31EE944" w14:textId="77777777" w:rsidTr="00B5314A">
        <w:trPr>
          <w:trHeight w:val="284"/>
        </w:trPr>
        <w:tc>
          <w:tcPr>
            <w:tcW w:w="1280" w:type="dxa"/>
          </w:tcPr>
          <w:p w14:paraId="4619CEE6" w14:textId="77777777" w:rsidR="00967C7D" w:rsidRPr="00967C7D" w:rsidRDefault="00967C7D" w:rsidP="00967C7D">
            <w:pPr>
              <w:keepNext w:val="0"/>
              <w:spacing w:before="0"/>
              <w:rPr>
                <w:rFonts w:cs="Arial"/>
                <w:bCs/>
                <w:color w:val="auto"/>
                <w:sz w:val="20"/>
              </w:rPr>
            </w:pPr>
            <w:r w:rsidRPr="00967C7D">
              <w:rPr>
                <w:rFonts w:cs="Arial"/>
                <w:bCs/>
                <w:color w:val="auto"/>
                <w:sz w:val="20"/>
              </w:rPr>
              <w:t>EV5/117</w:t>
            </w:r>
          </w:p>
        </w:tc>
        <w:tc>
          <w:tcPr>
            <w:tcW w:w="6230" w:type="dxa"/>
            <w:noWrap/>
          </w:tcPr>
          <w:p w14:paraId="672326A4" w14:textId="77777777" w:rsidR="00967C7D" w:rsidRPr="00967C7D" w:rsidRDefault="00967C7D" w:rsidP="00967C7D">
            <w:pPr>
              <w:keepNext w:val="0"/>
              <w:spacing w:before="0"/>
              <w:rPr>
                <w:rFonts w:cs="Arial"/>
                <w:bCs/>
                <w:color w:val="auto"/>
                <w:sz w:val="20"/>
              </w:rPr>
            </w:pPr>
            <w:r w:rsidRPr="00967C7D">
              <w:rPr>
                <w:rFonts w:cs="Arial"/>
                <w:bCs/>
                <w:color w:val="auto"/>
                <w:sz w:val="20"/>
              </w:rPr>
              <w:t>Kingsway School Playing Field</w:t>
            </w:r>
          </w:p>
        </w:tc>
        <w:tc>
          <w:tcPr>
            <w:tcW w:w="1847" w:type="dxa"/>
            <w:noWrap/>
          </w:tcPr>
          <w:p w14:paraId="4A8E60A8"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2ED6F90" w14:textId="77777777" w:rsidTr="00B5314A">
        <w:trPr>
          <w:trHeight w:val="284"/>
        </w:trPr>
        <w:tc>
          <w:tcPr>
            <w:tcW w:w="1280" w:type="dxa"/>
          </w:tcPr>
          <w:p w14:paraId="63E7C68B" w14:textId="77777777" w:rsidR="00967C7D" w:rsidRPr="00967C7D" w:rsidRDefault="00967C7D" w:rsidP="00967C7D">
            <w:pPr>
              <w:keepNext w:val="0"/>
              <w:spacing w:before="0"/>
              <w:rPr>
                <w:rFonts w:cs="Arial"/>
                <w:bCs/>
                <w:color w:val="auto"/>
                <w:sz w:val="20"/>
              </w:rPr>
            </w:pPr>
            <w:r w:rsidRPr="00967C7D">
              <w:rPr>
                <w:rFonts w:cs="Arial"/>
                <w:bCs/>
                <w:color w:val="auto"/>
                <w:sz w:val="20"/>
              </w:rPr>
              <w:t>EV5/118</w:t>
            </w:r>
          </w:p>
        </w:tc>
        <w:tc>
          <w:tcPr>
            <w:tcW w:w="6230" w:type="dxa"/>
            <w:noWrap/>
          </w:tcPr>
          <w:p w14:paraId="4DB8B177" w14:textId="77777777" w:rsidR="00967C7D" w:rsidRPr="00967C7D" w:rsidRDefault="00967C7D" w:rsidP="00967C7D">
            <w:pPr>
              <w:keepNext w:val="0"/>
              <w:spacing w:before="0"/>
              <w:rPr>
                <w:rFonts w:cs="Arial"/>
                <w:bCs/>
                <w:color w:val="auto"/>
                <w:sz w:val="20"/>
              </w:rPr>
            </w:pPr>
            <w:r w:rsidRPr="00967C7D">
              <w:rPr>
                <w:rFonts w:cs="Arial"/>
                <w:bCs/>
                <w:color w:val="auto"/>
                <w:sz w:val="20"/>
              </w:rPr>
              <w:t>Footpath adjacent Kingsway Park</w:t>
            </w:r>
          </w:p>
        </w:tc>
        <w:tc>
          <w:tcPr>
            <w:tcW w:w="1847" w:type="dxa"/>
            <w:noWrap/>
          </w:tcPr>
          <w:p w14:paraId="417CFC7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3F6AC21" w14:textId="77777777" w:rsidTr="00B5314A">
        <w:trPr>
          <w:trHeight w:val="284"/>
        </w:trPr>
        <w:tc>
          <w:tcPr>
            <w:tcW w:w="1280" w:type="dxa"/>
          </w:tcPr>
          <w:p w14:paraId="19DDD276" w14:textId="77777777" w:rsidR="00967C7D" w:rsidRPr="00967C7D" w:rsidRDefault="00967C7D" w:rsidP="00967C7D">
            <w:pPr>
              <w:keepNext w:val="0"/>
              <w:spacing w:before="0"/>
              <w:rPr>
                <w:rFonts w:cs="Arial"/>
                <w:bCs/>
                <w:color w:val="auto"/>
                <w:sz w:val="20"/>
              </w:rPr>
            </w:pPr>
            <w:r w:rsidRPr="00967C7D">
              <w:rPr>
                <w:rFonts w:cs="Arial"/>
                <w:bCs/>
                <w:color w:val="auto"/>
                <w:sz w:val="20"/>
              </w:rPr>
              <w:t>EV5/119</w:t>
            </w:r>
          </w:p>
        </w:tc>
        <w:tc>
          <w:tcPr>
            <w:tcW w:w="6230" w:type="dxa"/>
            <w:noWrap/>
          </w:tcPr>
          <w:p w14:paraId="6DDFC91D" w14:textId="77777777" w:rsidR="00967C7D" w:rsidRPr="00967C7D" w:rsidRDefault="00967C7D" w:rsidP="00967C7D">
            <w:pPr>
              <w:keepNext w:val="0"/>
              <w:spacing w:before="0"/>
              <w:rPr>
                <w:rFonts w:cs="Arial"/>
                <w:bCs/>
                <w:color w:val="auto"/>
                <w:sz w:val="20"/>
              </w:rPr>
            </w:pPr>
            <w:r w:rsidRPr="00967C7D">
              <w:rPr>
                <w:rFonts w:cs="Arial"/>
                <w:bCs/>
                <w:color w:val="auto"/>
                <w:sz w:val="20"/>
              </w:rPr>
              <w:t>Portland Park Extension</w:t>
            </w:r>
          </w:p>
        </w:tc>
        <w:tc>
          <w:tcPr>
            <w:tcW w:w="1847" w:type="dxa"/>
            <w:noWrap/>
          </w:tcPr>
          <w:p w14:paraId="3D334BFB"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5591AAB" w14:textId="77777777" w:rsidTr="00B5314A">
        <w:trPr>
          <w:trHeight w:val="284"/>
        </w:trPr>
        <w:tc>
          <w:tcPr>
            <w:tcW w:w="1280" w:type="dxa"/>
          </w:tcPr>
          <w:p w14:paraId="593666EC" w14:textId="77777777" w:rsidR="00967C7D" w:rsidRPr="00967C7D" w:rsidRDefault="00967C7D" w:rsidP="00967C7D">
            <w:pPr>
              <w:keepNext w:val="0"/>
              <w:spacing w:before="0"/>
              <w:rPr>
                <w:rFonts w:cs="Arial"/>
                <w:bCs/>
                <w:color w:val="auto"/>
                <w:sz w:val="20"/>
              </w:rPr>
            </w:pPr>
            <w:r w:rsidRPr="00967C7D">
              <w:rPr>
                <w:rFonts w:cs="Arial"/>
                <w:bCs/>
                <w:color w:val="auto"/>
                <w:sz w:val="20"/>
              </w:rPr>
              <w:t>EV5/120</w:t>
            </w:r>
          </w:p>
        </w:tc>
        <w:tc>
          <w:tcPr>
            <w:tcW w:w="6230" w:type="dxa"/>
            <w:noWrap/>
          </w:tcPr>
          <w:p w14:paraId="17174C2B"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Land at </w:t>
            </w:r>
            <w:proofErr w:type="spellStart"/>
            <w:r w:rsidRPr="00967C7D">
              <w:rPr>
                <w:rFonts w:cs="Arial"/>
                <w:bCs/>
                <w:color w:val="auto"/>
                <w:sz w:val="20"/>
              </w:rPr>
              <w:t>Studfold</w:t>
            </w:r>
            <w:proofErr w:type="spellEnd"/>
            <w:r w:rsidRPr="00967C7D">
              <w:rPr>
                <w:rFonts w:cs="Arial"/>
                <w:bCs/>
                <w:color w:val="auto"/>
                <w:sz w:val="20"/>
              </w:rPr>
              <w:t xml:space="preserve"> farm</w:t>
            </w:r>
          </w:p>
        </w:tc>
        <w:tc>
          <w:tcPr>
            <w:tcW w:w="1847" w:type="dxa"/>
            <w:noWrap/>
          </w:tcPr>
          <w:p w14:paraId="73D1DEB1"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16DA165" w14:textId="77777777" w:rsidTr="00B5314A">
        <w:trPr>
          <w:trHeight w:val="284"/>
        </w:trPr>
        <w:tc>
          <w:tcPr>
            <w:tcW w:w="1280" w:type="dxa"/>
          </w:tcPr>
          <w:p w14:paraId="56610163" w14:textId="77777777" w:rsidR="00967C7D" w:rsidRPr="00967C7D" w:rsidRDefault="00967C7D" w:rsidP="00967C7D">
            <w:pPr>
              <w:keepNext w:val="0"/>
              <w:spacing w:before="0"/>
              <w:rPr>
                <w:rFonts w:cs="Arial"/>
                <w:bCs/>
                <w:color w:val="auto"/>
                <w:sz w:val="20"/>
              </w:rPr>
            </w:pPr>
            <w:r w:rsidRPr="00967C7D">
              <w:rPr>
                <w:rFonts w:cs="Arial"/>
                <w:bCs/>
                <w:color w:val="auto"/>
                <w:sz w:val="20"/>
              </w:rPr>
              <w:t>EV5/121</w:t>
            </w:r>
          </w:p>
        </w:tc>
        <w:tc>
          <w:tcPr>
            <w:tcW w:w="6230" w:type="dxa"/>
            <w:noWrap/>
          </w:tcPr>
          <w:p w14:paraId="627F290D" w14:textId="77777777" w:rsidR="00967C7D" w:rsidRPr="00967C7D" w:rsidRDefault="00967C7D" w:rsidP="00967C7D">
            <w:pPr>
              <w:keepNext w:val="0"/>
              <w:spacing w:before="0"/>
              <w:rPr>
                <w:rFonts w:cs="Arial"/>
                <w:bCs/>
                <w:color w:val="auto"/>
                <w:sz w:val="20"/>
              </w:rPr>
            </w:pPr>
            <w:r w:rsidRPr="00967C7D">
              <w:rPr>
                <w:rFonts w:cs="Arial"/>
                <w:bCs/>
                <w:color w:val="auto"/>
                <w:sz w:val="20"/>
              </w:rPr>
              <w:t>Old Kingsway Cemetery</w:t>
            </w:r>
          </w:p>
        </w:tc>
        <w:tc>
          <w:tcPr>
            <w:tcW w:w="1847" w:type="dxa"/>
            <w:noWrap/>
          </w:tcPr>
          <w:p w14:paraId="4356BBC1"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37E0C7D" w14:textId="77777777" w:rsidTr="00B5314A">
        <w:trPr>
          <w:trHeight w:val="284"/>
        </w:trPr>
        <w:tc>
          <w:tcPr>
            <w:tcW w:w="1280" w:type="dxa"/>
          </w:tcPr>
          <w:p w14:paraId="15D58812" w14:textId="77777777" w:rsidR="00967C7D" w:rsidRPr="00967C7D" w:rsidRDefault="00967C7D" w:rsidP="00967C7D">
            <w:pPr>
              <w:keepNext w:val="0"/>
              <w:spacing w:before="0"/>
              <w:rPr>
                <w:rFonts w:cs="Arial"/>
                <w:bCs/>
                <w:color w:val="auto"/>
                <w:sz w:val="20"/>
              </w:rPr>
            </w:pPr>
            <w:r w:rsidRPr="00967C7D">
              <w:rPr>
                <w:rFonts w:cs="Arial"/>
                <w:bCs/>
                <w:color w:val="auto"/>
                <w:sz w:val="20"/>
              </w:rPr>
              <w:t>EV5/122</w:t>
            </w:r>
          </w:p>
        </w:tc>
        <w:tc>
          <w:tcPr>
            <w:tcW w:w="6230" w:type="dxa"/>
            <w:noWrap/>
          </w:tcPr>
          <w:p w14:paraId="3BD1CF10" w14:textId="77777777" w:rsidR="00967C7D" w:rsidRPr="00967C7D" w:rsidRDefault="00967C7D" w:rsidP="00967C7D">
            <w:pPr>
              <w:keepNext w:val="0"/>
              <w:spacing w:before="0"/>
              <w:rPr>
                <w:rFonts w:cs="Arial"/>
                <w:bCs/>
                <w:color w:val="auto"/>
                <w:sz w:val="20"/>
              </w:rPr>
            </w:pPr>
            <w:r w:rsidRPr="00967C7D">
              <w:rPr>
                <w:rFonts w:cs="Arial"/>
                <w:bCs/>
                <w:color w:val="auto"/>
                <w:sz w:val="20"/>
              </w:rPr>
              <w:t>Kingsway Park</w:t>
            </w:r>
          </w:p>
        </w:tc>
        <w:tc>
          <w:tcPr>
            <w:tcW w:w="1847" w:type="dxa"/>
            <w:noWrap/>
          </w:tcPr>
          <w:p w14:paraId="7B017F5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1363900" w14:textId="77777777" w:rsidTr="00B5314A">
        <w:trPr>
          <w:trHeight w:val="284"/>
        </w:trPr>
        <w:tc>
          <w:tcPr>
            <w:tcW w:w="1280" w:type="dxa"/>
          </w:tcPr>
          <w:p w14:paraId="15B1C498" w14:textId="77777777" w:rsidR="00967C7D" w:rsidRPr="00967C7D" w:rsidRDefault="00967C7D" w:rsidP="00967C7D">
            <w:pPr>
              <w:keepNext w:val="0"/>
              <w:spacing w:before="0"/>
              <w:rPr>
                <w:rFonts w:cs="Arial"/>
                <w:bCs/>
                <w:color w:val="auto"/>
                <w:sz w:val="20"/>
              </w:rPr>
            </w:pPr>
            <w:r w:rsidRPr="00967C7D">
              <w:rPr>
                <w:rFonts w:cs="Arial"/>
                <w:bCs/>
                <w:color w:val="auto"/>
                <w:sz w:val="20"/>
              </w:rPr>
              <w:t>EV5/123</w:t>
            </w:r>
          </w:p>
        </w:tc>
        <w:tc>
          <w:tcPr>
            <w:tcW w:w="6230" w:type="dxa"/>
            <w:noWrap/>
          </w:tcPr>
          <w:p w14:paraId="5FCFC300" w14:textId="77777777" w:rsidR="00967C7D" w:rsidRPr="00967C7D" w:rsidRDefault="00967C7D" w:rsidP="00967C7D">
            <w:pPr>
              <w:keepNext w:val="0"/>
              <w:spacing w:before="0"/>
              <w:rPr>
                <w:rFonts w:cs="Arial"/>
                <w:bCs/>
                <w:color w:val="auto"/>
                <w:sz w:val="20"/>
              </w:rPr>
            </w:pPr>
            <w:r w:rsidRPr="00967C7D">
              <w:rPr>
                <w:rFonts w:cs="Arial"/>
                <w:bCs/>
                <w:color w:val="auto"/>
                <w:sz w:val="20"/>
              </w:rPr>
              <w:t>Mayfield Recreation Ground</w:t>
            </w:r>
          </w:p>
        </w:tc>
        <w:tc>
          <w:tcPr>
            <w:tcW w:w="1847" w:type="dxa"/>
            <w:noWrap/>
          </w:tcPr>
          <w:p w14:paraId="4078B14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8C38B61" w14:textId="77777777" w:rsidTr="00B5314A">
        <w:trPr>
          <w:trHeight w:val="284"/>
        </w:trPr>
        <w:tc>
          <w:tcPr>
            <w:tcW w:w="1280" w:type="dxa"/>
          </w:tcPr>
          <w:p w14:paraId="48359C07" w14:textId="77777777" w:rsidR="00967C7D" w:rsidRPr="00967C7D" w:rsidRDefault="00967C7D" w:rsidP="00967C7D">
            <w:pPr>
              <w:keepNext w:val="0"/>
              <w:spacing w:before="0"/>
              <w:rPr>
                <w:rFonts w:cs="Arial"/>
                <w:bCs/>
                <w:color w:val="auto"/>
                <w:sz w:val="20"/>
              </w:rPr>
            </w:pPr>
            <w:r w:rsidRPr="00967C7D">
              <w:rPr>
                <w:rFonts w:cs="Arial"/>
                <w:bCs/>
                <w:color w:val="auto"/>
                <w:sz w:val="20"/>
              </w:rPr>
              <w:t>EV5/124</w:t>
            </w:r>
          </w:p>
        </w:tc>
        <w:tc>
          <w:tcPr>
            <w:tcW w:w="6230" w:type="dxa"/>
            <w:noWrap/>
          </w:tcPr>
          <w:p w14:paraId="4BAF8917" w14:textId="77777777" w:rsidR="00967C7D" w:rsidRPr="00967C7D" w:rsidRDefault="00967C7D" w:rsidP="00967C7D">
            <w:pPr>
              <w:keepNext w:val="0"/>
              <w:spacing w:before="0"/>
              <w:rPr>
                <w:rFonts w:cs="Arial"/>
                <w:bCs/>
                <w:color w:val="auto"/>
                <w:sz w:val="20"/>
              </w:rPr>
            </w:pPr>
            <w:r w:rsidRPr="00967C7D">
              <w:rPr>
                <w:rFonts w:cs="Arial"/>
                <w:bCs/>
                <w:color w:val="auto"/>
                <w:sz w:val="20"/>
              </w:rPr>
              <w:t>Church Hill Cemetery</w:t>
            </w:r>
          </w:p>
        </w:tc>
        <w:tc>
          <w:tcPr>
            <w:tcW w:w="1847" w:type="dxa"/>
            <w:noWrap/>
          </w:tcPr>
          <w:p w14:paraId="282B1B5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DC4E0AA" w14:textId="77777777" w:rsidTr="00B5314A">
        <w:trPr>
          <w:trHeight w:val="284"/>
        </w:trPr>
        <w:tc>
          <w:tcPr>
            <w:tcW w:w="1280" w:type="dxa"/>
          </w:tcPr>
          <w:p w14:paraId="20C6CE60" w14:textId="77777777" w:rsidR="00967C7D" w:rsidRPr="00967C7D" w:rsidRDefault="00967C7D" w:rsidP="00967C7D">
            <w:pPr>
              <w:keepNext w:val="0"/>
              <w:spacing w:before="0"/>
              <w:rPr>
                <w:rFonts w:cs="Arial"/>
                <w:bCs/>
                <w:color w:val="auto"/>
                <w:sz w:val="20"/>
              </w:rPr>
            </w:pPr>
            <w:r w:rsidRPr="00967C7D">
              <w:rPr>
                <w:rFonts w:cs="Arial"/>
                <w:bCs/>
                <w:color w:val="auto"/>
                <w:sz w:val="20"/>
              </w:rPr>
              <w:t>EV5/125</w:t>
            </w:r>
          </w:p>
        </w:tc>
        <w:tc>
          <w:tcPr>
            <w:tcW w:w="6230" w:type="dxa"/>
            <w:noWrap/>
          </w:tcPr>
          <w:p w14:paraId="05E7ECF4"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Lindleys</w:t>
            </w:r>
            <w:proofErr w:type="spellEnd"/>
            <w:r w:rsidRPr="00967C7D">
              <w:rPr>
                <w:rFonts w:cs="Arial"/>
                <w:bCs/>
                <w:color w:val="auto"/>
                <w:sz w:val="20"/>
              </w:rPr>
              <w:t xml:space="preserve"> Lane Footpath</w:t>
            </w:r>
          </w:p>
        </w:tc>
        <w:tc>
          <w:tcPr>
            <w:tcW w:w="1847" w:type="dxa"/>
            <w:noWrap/>
          </w:tcPr>
          <w:p w14:paraId="2D7A0956"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AEA3E46" w14:textId="77777777" w:rsidTr="00B5314A">
        <w:trPr>
          <w:trHeight w:val="284"/>
        </w:trPr>
        <w:tc>
          <w:tcPr>
            <w:tcW w:w="1280" w:type="dxa"/>
          </w:tcPr>
          <w:p w14:paraId="44EBAAFB" w14:textId="77777777" w:rsidR="00967C7D" w:rsidRPr="00967C7D" w:rsidRDefault="00967C7D" w:rsidP="00967C7D">
            <w:pPr>
              <w:keepNext w:val="0"/>
              <w:spacing w:before="0"/>
              <w:rPr>
                <w:rFonts w:cs="Arial"/>
                <w:bCs/>
                <w:color w:val="auto"/>
                <w:sz w:val="20"/>
              </w:rPr>
            </w:pPr>
            <w:r w:rsidRPr="00967C7D">
              <w:rPr>
                <w:rFonts w:cs="Arial"/>
                <w:bCs/>
                <w:color w:val="auto"/>
                <w:sz w:val="20"/>
              </w:rPr>
              <w:t>EV5/126</w:t>
            </w:r>
          </w:p>
        </w:tc>
        <w:tc>
          <w:tcPr>
            <w:tcW w:w="6230" w:type="dxa"/>
            <w:noWrap/>
          </w:tcPr>
          <w:p w14:paraId="200B3521" w14:textId="77777777" w:rsidR="00967C7D" w:rsidRPr="00967C7D" w:rsidRDefault="00967C7D" w:rsidP="00967C7D">
            <w:pPr>
              <w:keepNext w:val="0"/>
              <w:spacing w:before="0"/>
              <w:rPr>
                <w:rFonts w:cs="Arial"/>
                <w:bCs/>
                <w:color w:val="auto"/>
                <w:sz w:val="20"/>
              </w:rPr>
            </w:pPr>
            <w:r w:rsidRPr="00967C7D">
              <w:rPr>
                <w:rFonts w:cs="Arial"/>
                <w:bCs/>
                <w:color w:val="auto"/>
                <w:sz w:val="20"/>
              </w:rPr>
              <w:t>Land at Lane End</w:t>
            </w:r>
          </w:p>
        </w:tc>
        <w:tc>
          <w:tcPr>
            <w:tcW w:w="1847" w:type="dxa"/>
            <w:noWrap/>
          </w:tcPr>
          <w:p w14:paraId="6901F393"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32771CD" w14:textId="77777777" w:rsidTr="00B5314A">
        <w:trPr>
          <w:trHeight w:val="284"/>
        </w:trPr>
        <w:tc>
          <w:tcPr>
            <w:tcW w:w="1280" w:type="dxa"/>
          </w:tcPr>
          <w:p w14:paraId="5763BE2C" w14:textId="77777777" w:rsidR="00967C7D" w:rsidRPr="00967C7D" w:rsidRDefault="00967C7D" w:rsidP="00967C7D">
            <w:pPr>
              <w:keepNext w:val="0"/>
              <w:spacing w:before="0"/>
              <w:rPr>
                <w:rFonts w:cs="Arial"/>
                <w:bCs/>
                <w:color w:val="auto"/>
                <w:sz w:val="20"/>
              </w:rPr>
            </w:pPr>
            <w:r w:rsidRPr="00967C7D">
              <w:rPr>
                <w:rFonts w:cs="Arial"/>
                <w:bCs/>
                <w:color w:val="auto"/>
                <w:sz w:val="20"/>
              </w:rPr>
              <w:t>EV5/127</w:t>
            </w:r>
          </w:p>
        </w:tc>
        <w:tc>
          <w:tcPr>
            <w:tcW w:w="6230" w:type="dxa"/>
            <w:noWrap/>
          </w:tcPr>
          <w:p w14:paraId="28838769" w14:textId="77777777" w:rsidR="00967C7D" w:rsidRPr="00967C7D" w:rsidRDefault="00967C7D" w:rsidP="00967C7D">
            <w:pPr>
              <w:keepNext w:val="0"/>
              <w:spacing w:before="0"/>
              <w:rPr>
                <w:rFonts w:cs="Arial"/>
                <w:bCs/>
                <w:color w:val="auto"/>
                <w:sz w:val="20"/>
              </w:rPr>
            </w:pPr>
            <w:r w:rsidRPr="00967C7D">
              <w:rPr>
                <w:rFonts w:cs="Arial"/>
                <w:bCs/>
                <w:color w:val="auto"/>
                <w:sz w:val="20"/>
              </w:rPr>
              <w:t>Kirkby College Playing Field</w:t>
            </w:r>
          </w:p>
        </w:tc>
        <w:tc>
          <w:tcPr>
            <w:tcW w:w="1847" w:type="dxa"/>
            <w:noWrap/>
          </w:tcPr>
          <w:p w14:paraId="58EE906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7804BFA" w14:textId="77777777" w:rsidTr="00B5314A">
        <w:trPr>
          <w:trHeight w:val="284"/>
        </w:trPr>
        <w:tc>
          <w:tcPr>
            <w:tcW w:w="1280" w:type="dxa"/>
          </w:tcPr>
          <w:p w14:paraId="2B4594E6" w14:textId="77777777" w:rsidR="00967C7D" w:rsidRPr="00967C7D" w:rsidRDefault="00967C7D" w:rsidP="00967C7D">
            <w:pPr>
              <w:keepNext w:val="0"/>
              <w:spacing w:before="0"/>
              <w:rPr>
                <w:rFonts w:cs="Arial"/>
                <w:bCs/>
                <w:color w:val="auto"/>
                <w:sz w:val="20"/>
              </w:rPr>
            </w:pPr>
            <w:r w:rsidRPr="00967C7D">
              <w:rPr>
                <w:rFonts w:cs="Arial"/>
                <w:bCs/>
                <w:color w:val="auto"/>
                <w:sz w:val="20"/>
              </w:rPr>
              <w:t>EV5/128</w:t>
            </w:r>
          </w:p>
        </w:tc>
        <w:tc>
          <w:tcPr>
            <w:tcW w:w="6230" w:type="dxa"/>
            <w:noWrap/>
          </w:tcPr>
          <w:p w14:paraId="276E03B6"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Lindleys</w:t>
            </w:r>
            <w:proofErr w:type="spellEnd"/>
            <w:r w:rsidRPr="00967C7D">
              <w:rPr>
                <w:rFonts w:cs="Arial"/>
                <w:bCs/>
                <w:color w:val="auto"/>
                <w:sz w:val="20"/>
              </w:rPr>
              <w:t xml:space="preserve"> Lane to </w:t>
            </w:r>
            <w:proofErr w:type="spellStart"/>
            <w:r w:rsidRPr="00967C7D">
              <w:rPr>
                <w:rFonts w:cs="Arial"/>
                <w:bCs/>
                <w:color w:val="auto"/>
                <w:sz w:val="20"/>
              </w:rPr>
              <w:t>Studfold</w:t>
            </w:r>
            <w:proofErr w:type="spellEnd"/>
            <w:r w:rsidRPr="00967C7D">
              <w:rPr>
                <w:rFonts w:cs="Arial"/>
                <w:bCs/>
                <w:color w:val="auto"/>
                <w:sz w:val="20"/>
              </w:rPr>
              <w:t xml:space="preserve"> Farm Footpath</w:t>
            </w:r>
          </w:p>
        </w:tc>
        <w:tc>
          <w:tcPr>
            <w:tcW w:w="1847" w:type="dxa"/>
            <w:noWrap/>
          </w:tcPr>
          <w:p w14:paraId="429133E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94FEA88" w14:textId="77777777" w:rsidTr="00B5314A">
        <w:trPr>
          <w:trHeight w:val="284"/>
        </w:trPr>
        <w:tc>
          <w:tcPr>
            <w:tcW w:w="1280" w:type="dxa"/>
          </w:tcPr>
          <w:p w14:paraId="6FEF9EB8" w14:textId="77777777" w:rsidR="00967C7D" w:rsidRPr="00967C7D" w:rsidRDefault="00967C7D" w:rsidP="00967C7D">
            <w:pPr>
              <w:keepNext w:val="0"/>
              <w:spacing w:before="0"/>
              <w:rPr>
                <w:rFonts w:cs="Arial"/>
                <w:bCs/>
                <w:color w:val="auto"/>
                <w:sz w:val="20"/>
              </w:rPr>
            </w:pPr>
            <w:r w:rsidRPr="00967C7D">
              <w:rPr>
                <w:rFonts w:cs="Arial"/>
                <w:bCs/>
                <w:color w:val="auto"/>
                <w:sz w:val="20"/>
              </w:rPr>
              <w:t>EV5/129</w:t>
            </w:r>
          </w:p>
        </w:tc>
        <w:tc>
          <w:tcPr>
            <w:tcW w:w="6230" w:type="dxa"/>
            <w:noWrap/>
          </w:tcPr>
          <w:p w14:paraId="56A8DE12"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St </w:t>
            </w:r>
            <w:proofErr w:type="spellStart"/>
            <w:r w:rsidRPr="00967C7D">
              <w:rPr>
                <w:rFonts w:cs="Arial"/>
                <w:bCs/>
                <w:color w:val="auto"/>
                <w:sz w:val="20"/>
              </w:rPr>
              <w:t>Wilfreds</w:t>
            </w:r>
            <w:proofErr w:type="spellEnd"/>
            <w:r w:rsidRPr="00967C7D">
              <w:rPr>
                <w:rFonts w:cs="Arial"/>
                <w:bCs/>
                <w:color w:val="auto"/>
                <w:sz w:val="20"/>
              </w:rPr>
              <w:t xml:space="preserve"> Church Cemetery</w:t>
            </w:r>
          </w:p>
        </w:tc>
        <w:tc>
          <w:tcPr>
            <w:tcW w:w="1847" w:type="dxa"/>
            <w:noWrap/>
          </w:tcPr>
          <w:p w14:paraId="275C41A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32125B9" w14:textId="77777777" w:rsidTr="00B5314A">
        <w:trPr>
          <w:trHeight w:val="284"/>
        </w:trPr>
        <w:tc>
          <w:tcPr>
            <w:tcW w:w="1280" w:type="dxa"/>
          </w:tcPr>
          <w:p w14:paraId="29E519BB" w14:textId="77777777" w:rsidR="00967C7D" w:rsidRPr="00967C7D" w:rsidRDefault="00967C7D" w:rsidP="00967C7D">
            <w:pPr>
              <w:keepNext w:val="0"/>
              <w:spacing w:before="0"/>
              <w:rPr>
                <w:rFonts w:cs="Arial"/>
                <w:bCs/>
                <w:color w:val="auto"/>
                <w:sz w:val="20"/>
              </w:rPr>
            </w:pPr>
            <w:r w:rsidRPr="00967C7D">
              <w:rPr>
                <w:rFonts w:cs="Arial"/>
                <w:bCs/>
                <w:color w:val="auto"/>
                <w:sz w:val="20"/>
              </w:rPr>
              <w:t>EV5/130</w:t>
            </w:r>
          </w:p>
        </w:tc>
        <w:tc>
          <w:tcPr>
            <w:tcW w:w="6230" w:type="dxa"/>
            <w:noWrap/>
          </w:tcPr>
          <w:p w14:paraId="5518E8DC" w14:textId="77777777" w:rsidR="00967C7D" w:rsidRPr="00967C7D" w:rsidRDefault="00967C7D" w:rsidP="00967C7D">
            <w:pPr>
              <w:keepNext w:val="0"/>
              <w:spacing w:before="0"/>
              <w:rPr>
                <w:rFonts w:cs="Arial"/>
                <w:bCs/>
                <w:color w:val="auto"/>
                <w:sz w:val="20"/>
              </w:rPr>
            </w:pPr>
            <w:r w:rsidRPr="00967C7D">
              <w:rPr>
                <w:rFonts w:cs="Arial"/>
                <w:bCs/>
                <w:color w:val="auto"/>
                <w:sz w:val="20"/>
              </w:rPr>
              <w:t>Lime Street</w:t>
            </w:r>
          </w:p>
        </w:tc>
        <w:tc>
          <w:tcPr>
            <w:tcW w:w="1847" w:type="dxa"/>
            <w:noWrap/>
          </w:tcPr>
          <w:p w14:paraId="37AA162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31E7706" w14:textId="77777777" w:rsidTr="00B5314A">
        <w:trPr>
          <w:trHeight w:val="284"/>
        </w:trPr>
        <w:tc>
          <w:tcPr>
            <w:tcW w:w="1280" w:type="dxa"/>
          </w:tcPr>
          <w:p w14:paraId="79B0E339" w14:textId="77777777" w:rsidR="00967C7D" w:rsidRPr="00967C7D" w:rsidRDefault="00967C7D" w:rsidP="00967C7D">
            <w:pPr>
              <w:keepNext w:val="0"/>
              <w:spacing w:before="0"/>
              <w:rPr>
                <w:rFonts w:cs="Arial"/>
                <w:bCs/>
                <w:color w:val="auto"/>
                <w:sz w:val="20"/>
              </w:rPr>
            </w:pPr>
            <w:r w:rsidRPr="00967C7D">
              <w:rPr>
                <w:rFonts w:cs="Arial"/>
                <w:bCs/>
                <w:color w:val="auto"/>
                <w:sz w:val="20"/>
              </w:rPr>
              <w:t>EV5/131</w:t>
            </w:r>
          </w:p>
        </w:tc>
        <w:tc>
          <w:tcPr>
            <w:tcW w:w="6230" w:type="dxa"/>
            <w:noWrap/>
          </w:tcPr>
          <w:p w14:paraId="120A0AAE" w14:textId="77777777" w:rsidR="00967C7D" w:rsidRPr="00967C7D" w:rsidRDefault="00967C7D" w:rsidP="00967C7D">
            <w:pPr>
              <w:keepNext w:val="0"/>
              <w:spacing w:before="0"/>
              <w:rPr>
                <w:rFonts w:cs="Arial"/>
                <w:bCs/>
                <w:color w:val="auto"/>
                <w:sz w:val="20"/>
              </w:rPr>
            </w:pPr>
            <w:r w:rsidRPr="00967C7D">
              <w:rPr>
                <w:rFonts w:cs="Arial"/>
                <w:bCs/>
                <w:color w:val="auto"/>
                <w:sz w:val="20"/>
              </w:rPr>
              <w:t>Titchfield Park</w:t>
            </w:r>
          </w:p>
        </w:tc>
        <w:tc>
          <w:tcPr>
            <w:tcW w:w="1847" w:type="dxa"/>
            <w:noWrap/>
          </w:tcPr>
          <w:p w14:paraId="26486A3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AE37112" w14:textId="77777777" w:rsidTr="00B5314A">
        <w:trPr>
          <w:trHeight w:val="284"/>
        </w:trPr>
        <w:tc>
          <w:tcPr>
            <w:tcW w:w="1280" w:type="dxa"/>
          </w:tcPr>
          <w:p w14:paraId="02C8F4E1" w14:textId="77777777" w:rsidR="00967C7D" w:rsidRPr="00967C7D" w:rsidRDefault="00967C7D" w:rsidP="00967C7D">
            <w:pPr>
              <w:keepNext w:val="0"/>
              <w:spacing w:before="0"/>
              <w:rPr>
                <w:rFonts w:cs="Arial"/>
                <w:bCs/>
                <w:color w:val="auto"/>
                <w:sz w:val="20"/>
              </w:rPr>
            </w:pPr>
            <w:r w:rsidRPr="00967C7D">
              <w:rPr>
                <w:rFonts w:cs="Arial"/>
                <w:bCs/>
                <w:color w:val="auto"/>
                <w:sz w:val="20"/>
              </w:rPr>
              <w:t>EV5/132</w:t>
            </w:r>
          </w:p>
        </w:tc>
        <w:tc>
          <w:tcPr>
            <w:tcW w:w="6230" w:type="dxa"/>
            <w:noWrap/>
          </w:tcPr>
          <w:p w14:paraId="72670B17" w14:textId="77777777" w:rsidR="00967C7D" w:rsidRPr="00967C7D" w:rsidRDefault="00967C7D" w:rsidP="00967C7D">
            <w:pPr>
              <w:keepNext w:val="0"/>
              <w:spacing w:before="0"/>
              <w:rPr>
                <w:rFonts w:cs="Arial"/>
                <w:bCs/>
                <w:color w:val="auto"/>
                <w:sz w:val="20"/>
              </w:rPr>
            </w:pPr>
            <w:r w:rsidRPr="00967C7D">
              <w:rPr>
                <w:rFonts w:cs="Arial"/>
                <w:bCs/>
                <w:color w:val="auto"/>
                <w:sz w:val="20"/>
              </w:rPr>
              <w:t>Orchard Primary and Nursery School Playing Field</w:t>
            </w:r>
          </w:p>
        </w:tc>
        <w:tc>
          <w:tcPr>
            <w:tcW w:w="1847" w:type="dxa"/>
            <w:noWrap/>
          </w:tcPr>
          <w:p w14:paraId="762169C4"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2D30393" w14:textId="77777777" w:rsidTr="00B5314A">
        <w:trPr>
          <w:trHeight w:val="284"/>
        </w:trPr>
        <w:tc>
          <w:tcPr>
            <w:tcW w:w="1280" w:type="dxa"/>
          </w:tcPr>
          <w:p w14:paraId="0275BCE6" w14:textId="77777777" w:rsidR="00967C7D" w:rsidRPr="00967C7D" w:rsidRDefault="00967C7D" w:rsidP="00967C7D">
            <w:pPr>
              <w:keepNext w:val="0"/>
              <w:spacing w:before="0"/>
              <w:rPr>
                <w:rFonts w:cs="Arial"/>
                <w:bCs/>
                <w:color w:val="auto"/>
                <w:sz w:val="20"/>
              </w:rPr>
            </w:pPr>
            <w:r w:rsidRPr="00967C7D">
              <w:rPr>
                <w:rFonts w:cs="Arial"/>
                <w:bCs/>
                <w:color w:val="auto"/>
                <w:sz w:val="20"/>
              </w:rPr>
              <w:t>EV5/133</w:t>
            </w:r>
          </w:p>
        </w:tc>
        <w:tc>
          <w:tcPr>
            <w:tcW w:w="6230" w:type="dxa"/>
            <w:noWrap/>
          </w:tcPr>
          <w:p w14:paraId="79DC72AE" w14:textId="77777777" w:rsidR="00967C7D" w:rsidRPr="00967C7D" w:rsidRDefault="00967C7D" w:rsidP="00967C7D">
            <w:pPr>
              <w:keepNext w:val="0"/>
              <w:spacing w:before="0"/>
              <w:rPr>
                <w:rFonts w:cs="Arial"/>
                <w:bCs/>
                <w:color w:val="auto"/>
                <w:sz w:val="20"/>
              </w:rPr>
            </w:pPr>
            <w:r w:rsidRPr="00967C7D">
              <w:rPr>
                <w:rFonts w:cs="Arial"/>
                <w:bCs/>
                <w:color w:val="auto"/>
                <w:sz w:val="20"/>
              </w:rPr>
              <w:t>Morven Park</w:t>
            </w:r>
          </w:p>
        </w:tc>
        <w:tc>
          <w:tcPr>
            <w:tcW w:w="1847" w:type="dxa"/>
            <w:noWrap/>
          </w:tcPr>
          <w:p w14:paraId="19288716"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108BCB9" w14:textId="77777777" w:rsidTr="00B5314A">
        <w:trPr>
          <w:trHeight w:val="284"/>
        </w:trPr>
        <w:tc>
          <w:tcPr>
            <w:tcW w:w="1280" w:type="dxa"/>
          </w:tcPr>
          <w:p w14:paraId="343CFB2A" w14:textId="77777777" w:rsidR="00967C7D" w:rsidRPr="00967C7D" w:rsidRDefault="00967C7D" w:rsidP="00967C7D">
            <w:pPr>
              <w:keepNext w:val="0"/>
              <w:spacing w:before="0"/>
              <w:rPr>
                <w:rFonts w:cs="Arial"/>
                <w:bCs/>
                <w:color w:val="auto"/>
                <w:sz w:val="20"/>
              </w:rPr>
            </w:pPr>
            <w:r w:rsidRPr="00967C7D">
              <w:rPr>
                <w:rFonts w:cs="Arial"/>
                <w:bCs/>
                <w:color w:val="auto"/>
                <w:sz w:val="20"/>
              </w:rPr>
              <w:lastRenderedPageBreak/>
              <w:t>EV5/134</w:t>
            </w:r>
          </w:p>
        </w:tc>
        <w:tc>
          <w:tcPr>
            <w:tcW w:w="6230" w:type="dxa"/>
            <w:noWrap/>
          </w:tcPr>
          <w:p w14:paraId="227C4F27"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Bracken Hill and </w:t>
            </w:r>
            <w:proofErr w:type="spellStart"/>
            <w:r w:rsidRPr="00967C7D">
              <w:rPr>
                <w:rFonts w:cs="Arial"/>
                <w:bCs/>
                <w:color w:val="auto"/>
                <w:sz w:val="20"/>
              </w:rPr>
              <w:t>Coxmoor</w:t>
            </w:r>
            <w:proofErr w:type="spellEnd"/>
            <w:r w:rsidRPr="00967C7D">
              <w:rPr>
                <w:rFonts w:cs="Arial"/>
                <w:bCs/>
                <w:color w:val="auto"/>
                <w:sz w:val="20"/>
              </w:rPr>
              <w:t xml:space="preserve"> Primary School Field</w:t>
            </w:r>
          </w:p>
        </w:tc>
        <w:tc>
          <w:tcPr>
            <w:tcW w:w="1847" w:type="dxa"/>
            <w:noWrap/>
          </w:tcPr>
          <w:p w14:paraId="15F55D4B"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1A6D0C7" w14:textId="77777777" w:rsidTr="00B5314A">
        <w:trPr>
          <w:trHeight w:val="284"/>
        </w:trPr>
        <w:tc>
          <w:tcPr>
            <w:tcW w:w="1280" w:type="dxa"/>
          </w:tcPr>
          <w:p w14:paraId="473CBAB5" w14:textId="77777777" w:rsidR="00967C7D" w:rsidRPr="00967C7D" w:rsidRDefault="00967C7D" w:rsidP="00967C7D">
            <w:pPr>
              <w:keepNext w:val="0"/>
              <w:spacing w:before="0"/>
              <w:rPr>
                <w:rFonts w:cs="Arial"/>
                <w:bCs/>
                <w:color w:val="auto"/>
                <w:sz w:val="20"/>
              </w:rPr>
            </w:pPr>
            <w:r w:rsidRPr="00967C7D">
              <w:rPr>
                <w:rFonts w:cs="Arial"/>
                <w:bCs/>
                <w:color w:val="auto"/>
                <w:sz w:val="20"/>
              </w:rPr>
              <w:t>EV5/135</w:t>
            </w:r>
          </w:p>
        </w:tc>
        <w:tc>
          <w:tcPr>
            <w:tcW w:w="6230" w:type="dxa"/>
            <w:noWrap/>
          </w:tcPr>
          <w:p w14:paraId="7FD37FC0" w14:textId="77777777" w:rsidR="00967C7D" w:rsidRPr="00967C7D" w:rsidRDefault="00967C7D" w:rsidP="00967C7D">
            <w:pPr>
              <w:keepNext w:val="0"/>
              <w:spacing w:before="0"/>
              <w:rPr>
                <w:rFonts w:cs="Arial"/>
                <w:bCs/>
                <w:color w:val="auto"/>
                <w:sz w:val="20"/>
              </w:rPr>
            </w:pPr>
            <w:r w:rsidRPr="00967C7D">
              <w:rPr>
                <w:rFonts w:cs="Arial"/>
                <w:bCs/>
                <w:color w:val="auto"/>
                <w:sz w:val="20"/>
              </w:rPr>
              <w:t>Jeffries School Field</w:t>
            </w:r>
          </w:p>
        </w:tc>
        <w:tc>
          <w:tcPr>
            <w:tcW w:w="1847" w:type="dxa"/>
            <w:noWrap/>
          </w:tcPr>
          <w:p w14:paraId="6FD8F7C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5621FD4" w14:textId="77777777" w:rsidTr="00B5314A">
        <w:trPr>
          <w:trHeight w:val="284"/>
        </w:trPr>
        <w:tc>
          <w:tcPr>
            <w:tcW w:w="1280" w:type="dxa"/>
          </w:tcPr>
          <w:p w14:paraId="27A45EC0" w14:textId="77777777" w:rsidR="00967C7D" w:rsidRPr="00967C7D" w:rsidRDefault="00967C7D" w:rsidP="00967C7D">
            <w:pPr>
              <w:keepNext w:val="0"/>
              <w:spacing w:before="0"/>
              <w:rPr>
                <w:rFonts w:cs="Arial"/>
                <w:bCs/>
                <w:color w:val="auto"/>
                <w:sz w:val="20"/>
              </w:rPr>
            </w:pPr>
            <w:r w:rsidRPr="00967C7D">
              <w:rPr>
                <w:rFonts w:cs="Arial"/>
                <w:bCs/>
                <w:color w:val="auto"/>
                <w:sz w:val="20"/>
              </w:rPr>
              <w:t>EV5/136</w:t>
            </w:r>
          </w:p>
        </w:tc>
        <w:tc>
          <w:tcPr>
            <w:tcW w:w="6230" w:type="dxa"/>
            <w:noWrap/>
          </w:tcPr>
          <w:p w14:paraId="67D3BA59" w14:textId="77777777" w:rsidR="00967C7D" w:rsidRPr="00967C7D" w:rsidRDefault="00967C7D" w:rsidP="00967C7D">
            <w:pPr>
              <w:keepNext w:val="0"/>
              <w:spacing w:before="0"/>
              <w:rPr>
                <w:rFonts w:cs="Arial"/>
                <w:bCs/>
                <w:color w:val="auto"/>
                <w:sz w:val="20"/>
              </w:rPr>
            </w:pPr>
            <w:r w:rsidRPr="00967C7D">
              <w:rPr>
                <w:rFonts w:cs="Arial"/>
                <w:bCs/>
                <w:color w:val="auto"/>
                <w:sz w:val="20"/>
              </w:rPr>
              <w:t>BRSA Football Ground</w:t>
            </w:r>
          </w:p>
        </w:tc>
        <w:tc>
          <w:tcPr>
            <w:tcW w:w="1847" w:type="dxa"/>
            <w:noWrap/>
          </w:tcPr>
          <w:p w14:paraId="40A0D6ED"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9E3409B" w14:textId="77777777" w:rsidTr="00B5314A">
        <w:trPr>
          <w:trHeight w:val="284"/>
        </w:trPr>
        <w:tc>
          <w:tcPr>
            <w:tcW w:w="1280" w:type="dxa"/>
          </w:tcPr>
          <w:p w14:paraId="506C1122" w14:textId="77777777" w:rsidR="00967C7D" w:rsidRPr="00967C7D" w:rsidRDefault="00967C7D" w:rsidP="00967C7D">
            <w:pPr>
              <w:keepNext w:val="0"/>
              <w:spacing w:before="0"/>
              <w:rPr>
                <w:rFonts w:cs="Arial"/>
                <w:bCs/>
                <w:color w:val="auto"/>
                <w:sz w:val="20"/>
              </w:rPr>
            </w:pPr>
            <w:r w:rsidRPr="00967C7D">
              <w:rPr>
                <w:rFonts w:cs="Arial"/>
                <w:bCs/>
                <w:color w:val="auto"/>
                <w:sz w:val="20"/>
              </w:rPr>
              <w:t>EV5/137</w:t>
            </w:r>
          </w:p>
        </w:tc>
        <w:tc>
          <w:tcPr>
            <w:tcW w:w="6230" w:type="dxa"/>
            <w:noWrap/>
          </w:tcPr>
          <w:p w14:paraId="5CDA2EC6" w14:textId="77777777" w:rsidR="00967C7D" w:rsidRPr="00967C7D" w:rsidRDefault="00967C7D" w:rsidP="00967C7D">
            <w:pPr>
              <w:keepNext w:val="0"/>
              <w:spacing w:before="0"/>
              <w:rPr>
                <w:rFonts w:cs="Arial"/>
                <w:bCs/>
                <w:color w:val="auto"/>
                <w:sz w:val="20"/>
              </w:rPr>
            </w:pPr>
            <w:r w:rsidRPr="00967C7D">
              <w:rPr>
                <w:rFonts w:cs="Arial"/>
                <w:bCs/>
                <w:color w:val="auto"/>
                <w:sz w:val="20"/>
              </w:rPr>
              <w:t>Ashfield Drive</w:t>
            </w:r>
          </w:p>
        </w:tc>
        <w:tc>
          <w:tcPr>
            <w:tcW w:w="1847" w:type="dxa"/>
            <w:noWrap/>
          </w:tcPr>
          <w:p w14:paraId="39415193"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7C90429" w14:textId="77777777" w:rsidTr="00B5314A">
        <w:trPr>
          <w:trHeight w:val="284"/>
        </w:trPr>
        <w:tc>
          <w:tcPr>
            <w:tcW w:w="1280" w:type="dxa"/>
          </w:tcPr>
          <w:p w14:paraId="3E3249BC" w14:textId="77777777" w:rsidR="00967C7D" w:rsidRPr="00967C7D" w:rsidRDefault="00967C7D" w:rsidP="00967C7D">
            <w:pPr>
              <w:keepNext w:val="0"/>
              <w:spacing w:before="0"/>
              <w:rPr>
                <w:rFonts w:cs="Arial"/>
                <w:bCs/>
                <w:color w:val="auto"/>
                <w:sz w:val="20"/>
              </w:rPr>
            </w:pPr>
            <w:r w:rsidRPr="00967C7D">
              <w:rPr>
                <w:rFonts w:cs="Arial"/>
                <w:bCs/>
                <w:color w:val="auto"/>
                <w:sz w:val="20"/>
              </w:rPr>
              <w:t>EV5/138</w:t>
            </w:r>
          </w:p>
        </w:tc>
        <w:tc>
          <w:tcPr>
            <w:tcW w:w="6230" w:type="dxa"/>
            <w:noWrap/>
          </w:tcPr>
          <w:p w14:paraId="2A437974" w14:textId="77777777" w:rsidR="00967C7D" w:rsidRPr="00967C7D" w:rsidRDefault="00967C7D" w:rsidP="00967C7D">
            <w:pPr>
              <w:keepNext w:val="0"/>
              <w:spacing w:before="0"/>
              <w:rPr>
                <w:rFonts w:cs="Arial"/>
                <w:bCs/>
                <w:color w:val="auto"/>
                <w:sz w:val="20"/>
              </w:rPr>
            </w:pPr>
            <w:r w:rsidRPr="00967C7D">
              <w:rPr>
                <w:rFonts w:cs="Arial"/>
                <w:bCs/>
                <w:color w:val="auto"/>
                <w:sz w:val="20"/>
              </w:rPr>
              <w:t>Sutton Road Miners Welfare</w:t>
            </w:r>
          </w:p>
        </w:tc>
        <w:tc>
          <w:tcPr>
            <w:tcW w:w="1847" w:type="dxa"/>
            <w:noWrap/>
          </w:tcPr>
          <w:p w14:paraId="79972DE8"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6D23A7D" w14:textId="77777777" w:rsidTr="00B5314A">
        <w:trPr>
          <w:trHeight w:val="284"/>
        </w:trPr>
        <w:tc>
          <w:tcPr>
            <w:tcW w:w="1280" w:type="dxa"/>
          </w:tcPr>
          <w:p w14:paraId="35B15B82" w14:textId="77777777" w:rsidR="00967C7D" w:rsidRPr="00967C7D" w:rsidRDefault="00967C7D" w:rsidP="00967C7D">
            <w:pPr>
              <w:keepNext w:val="0"/>
              <w:spacing w:before="0"/>
              <w:rPr>
                <w:rFonts w:cs="Arial"/>
                <w:bCs/>
                <w:color w:val="auto"/>
                <w:sz w:val="20"/>
              </w:rPr>
            </w:pPr>
            <w:r w:rsidRPr="00967C7D">
              <w:rPr>
                <w:rFonts w:cs="Arial"/>
                <w:bCs/>
                <w:color w:val="auto"/>
                <w:sz w:val="20"/>
              </w:rPr>
              <w:t>EV5/139</w:t>
            </w:r>
          </w:p>
        </w:tc>
        <w:tc>
          <w:tcPr>
            <w:tcW w:w="6230" w:type="dxa"/>
            <w:noWrap/>
          </w:tcPr>
          <w:p w14:paraId="7010500F" w14:textId="77777777" w:rsidR="00967C7D" w:rsidRPr="00967C7D" w:rsidRDefault="00967C7D" w:rsidP="00967C7D">
            <w:pPr>
              <w:keepNext w:val="0"/>
              <w:spacing w:before="0"/>
              <w:rPr>
                <w:rFonts w:cs="Arial"/>
                <w:bCs/>
                <w:color w:val="auto"/>
                <w:sz w:val="20"/>
              </w:rPr>
            </w:pPr>
            <w:r w:rsidRPr="00967C7D">
              <w:rPr>
                <w:rFonts w:cs="Arial"/>
                <w:bCs/>
                <w:color w:val="auto"/>
                <w:sz w:val="20"/>
              </w:rPr>
              <w:t>Warwick Close</w:t>
            </w:r>
          </w:p>
        </w:tc>
        <w:tc>
          <w:tcPr>
            <w:tcW w:w="1847" w:type="dxa"/>
            <w:noWrap/>
          </w:tcPr>
          <w:p w14:paraId="3CDC3461"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F8C0C09" w14:textId="77777777" w:rsidTr="00B5314A">
        <w:trPr>
          <w:trHeight w:val="284"/>
        </w:trPr>
        <w:tc>
          <w:tcPr>
            <w:tcW w:w="1280" w:type="dxa"/>
          </w:tcPr>
          <w:p w14:paraId="2A1AB1AA" w14:textId="77777777" w:rsidR="00967C7D" w:rsidRPr="00967C7D" w:rsidRDefault="00967C7D" w:rsidP="00967C7D">
            <w:pPr>
              <w:keepNext w:val="0"/>
              <w:spacing w:before="0"/>
              <w:rPr>
                <w:rFonts w:cs="Arial"/>
                <w:bCs/>
                <w:color w:val="auto"/>
                <w:sz w:val="20"/>
              </w:rPr>
            </w:pPr>
            <w:r w:rsidRPr="00967C7D">
              <w:rPr>
                <w:rFonts w:cs="Arial"/>
                <w:bCs/>
                <w:color w:val="auto"/>
                <w:sz w:val="20"/>
              </w:rPr>
              <w:t>EV5/140</w:t>
            </w:r>
          </w:p>
        </w:tc>
        <w:tc>
          <w:tcPr>
            <w:tcW w:w="6230" w:type="dxa"/>
            <w:noWrap/>
          </w:tcPr>
          <w:p w14:paraId="5D1EA1F2" w14:textId="77777777" w:rsidR="00967C7D" w:rsidRPr="00967C7D" w:rsidRDefault="00967C7D" w:rsidP="00967C7D">
            <w:pPr>
              <w:keepNext w:val="0"/>
              <w:spacing w:before="0"/>
              <w:rPr>
                <w:rFonts w:cs="Arial"/>
                <w:bCs/>
                <w:color w:val="auto"/>
                <w:sz w:val="20"/>
              </w:rPr>
            </w:pPr>
            <w:r w:rsidRPr="00967C7D">
              <w:rPr>
                <w:rFonts w:cs="Arial"/>
                <w:bCs/>
                <w:color w:val="auto"/>
                <w:sz w:val="20"/>
              </w:rPr>
              <w:t>Southwell Lane to Rowan Drive Footpath</w:t>
            </w:r>
          </w:p>
        </w:tc>
        <w:tc>
          <w:tcPr>
            <w:tcW w:w="1847" w:type="dxa"/>
            <w:noWrap/>
          </w:tcPr>
          <w:p w14:paraId="7B379CE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2C8BDA2C" w14:textId="77777777" w:rsidTr="00B5314A">
        <w:trPr>
          <w:trHeight w:val="284"/>
        </w:trPr>
        <w:tc>
          <w:tcPr>
            <w:tcW w:w="1280" w:type="dxa"/>
          </w:tcPr>
          <w:p w14:paraId="5AB68A50" w14:textId="77777777" w:rsidR="00967C7D" w:rsidRPr="00967C7D" w:rsidRDefault="00967C7D" w:rsidP="00967C7D">
            <w:pPr>
              <w:keepNext w:val="0"/>
              <w:spacing w:before="0"/>
              <w:rPr>
                <w:rFonts w:cs="Arial"/>
                <w:bCs/>
                <w:color w:val="auto"/>
                <w:sz w:val="20"/>
              </w:rPr>
            </w:pPr>
            <w:r w:rsidRPr="00967C7D">
              <w:rPr>
                <w:rFonts w:cs="Arial"/>
                <w:bCs/>
                <w:color w:val="auto"/>
                <w:sz w:val="20"/>
              </w:rPr>
              <w:t>EV5/141</w:t>
            </w:r>
          </w:p>
        </w:tc>
        <w:tc>
          <w:tcPr>
            <w:tcW w:w="6230" w:type="dxa"/>
            <w:noWrap/>
          </w:tcPr>
          <w:p w14:paraId="27E4FF1F" w14:textId="77777777" w:rsidR="00967C7D" w:rsidRPr="00967C7D" w:rsidRDefault="00967C7D" w:rsidP="00967C7D">
            <w:pPr>
              <w:keepNext w:val="0"/>
              <w:spacing w:before="0"/>
              <w:rPr>
                <w:rFonts w:cs="Arial"/>
                <w:bCs/>
                <w:color w:val="auto"/>
                <w:sz w:val="20"/>
              </w:rPr>
            </w:pPr>
            <w:r w:rsidRPr="00967C7D">
              <w:rPr>
                <w:rFonts w:cs="Arial"/>
                <w:bCs/>
                <w:color w:val="auto"/>
                <w:sz w:val="20"/>
              </w:rPr>
              <w:t>Land at rear of Ashfield Community Hospital</w:t>
            </w:r>
          </w:p>
        </w:tc>
        <w:tc>
          <w:tcPr>
            <w:tcW w:w="1847" w:type="dxa"/>
            <w:noWrap/>
          </w:tcPr>
          <w:p w14:paraId="171C1CD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728539F" w14:textId="77777777" w:rsidTr="00B5314A">
        <w:trPr>
          <w:trHeight w:val="284"/>
        </w:trPr>
        <w:tc>
          <w:tcPr>
            <w:tcW w:w="1280" w:type="dxa"/>
          </w:tcPr>
          <w:p w14:paraId="0C3D90F2" w14:textId="77777777" w:rsidR="00967C7D" w:rsidRPr="00967C7D" w:rsidRDefault="00967C7D" w:rsidP="00967C7D">
            <w:pPr>
              <w:keepNext w:val="0"/>
              <w:spacing w:before="0"/>
              <w:rPr>
                <w:rFonts w:cs="Arial"/>
                <w:bCs/>
                <w:color w:val="auto"/>
                <w:sz w:val="20"/>
              </w:rPr>
            </w:pPr>
            <w:r w:rsidRPr="00967C7D">
              <w:rPr>
                <w:rFonts w:cs="Arial"/>
                <w:bCs/>
                <w:color w:val="auto"/>
                <w:sz w:val="20"/>
              </w:rPr>
              <w:t>EV5/142</w:t>
            </w:r>
          </w:p>
        </w:tc>
        <w:tc>
          <w:tcPr>
            <w:tcW w:w="6230" w:type="dxa"/>
            <w:noWrap/>
          </w:tcPr>
          <w:p w14:paraId="30EE47EA" w14:textId="77777777" w:rsidR="00967C7D" w:rsidRPr="00967C7D" w:rsidRDefault="00967C7D" w:rsidP="00967C7D">
            <w:pPr>
              <w:keepNext w:val="0"/>
              <w:spacing w:before="0"/>
              <w:rPr>
                <w:rFonts w:cs="Arial"/>
                <w:bCs/>
                <w:color w:val="auto"/>
                <w:sz w:val="20"/>
              </w:rPr>
            </w:pPr>
            <w:r w:rsidRPr="00967C7D">
              <w:rPr>
                <w:rFonts w:cs="Arial"/>
                <w:bCs/>
                <w:color w:val="auto"/>
                <w:sz w:val="20"/>
              </w:rPr>
              <w:t>West Park</w:t>
            </w:r>
          </w:p>
        </w:tc>
        <w:tc>
          <w:tcPr>
            <w:tcW w:w="1847" w:type="dxa"/>
            <w:noWrap/>
          </w:tcPr>
          <w:p w14:paraId="4049B818"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19E8218" w14:textId="77777777" w:rsidTr="00B5314A">
        <w:trPr>
          <w:trHeight w:val="284"/>
        </w:trPr>
        <w:tc>
          <w:tcPr>
            <w:tcW w:w="1280" w:type="dxa"/>
          </w:tcPr>
          <w:p w14:paraId="111CF1FA" w14:textId="77777777" w:rsidR="00967C7D" w:rsidRPr="00967C7D" w:rsidRDefault="00967C7D" w:rsidP="00967C7D">
            <w:pPr>
              <w:keepNext w:val="0"/>
              <w:spacing w:before="0"/>
              <w:rPr>
                <w:rFonts w:cs="Arial"/>
                <w:bCs/>
                <w:color w:val="auto"/>
                <w:sz w:val="20"/>
              </w:rPr>
            </w:pPr>
            <w:r w:rsidRPr="00967C7D">
              <w:rPr>
                <w:rFonts w:cs="Arial"/>
                <w:bCs/>
                <w:color w:val="auto"/>
                <w:sz w:val="20"/>
              </w:rPr>
              <w:t>EV5/143</w:t>
            </w:r>
          </w:p>
        </w:tc>
        <w:tc>
          <w:tcPr>
            <w:tcW w:w="6230" w:type="dxa"/>
            <w:noWrap/>
          </w:tcPr>
          <w:p w14:paraId="1E7BB6EC" w14:textId="77777777" w:rsidR="00967C7D" w:rsidRPr="00967C7D" w:rsidRDefault="00967C7D" w:rsidP="00967C7D">
            <w:pPr>
              <w:keepNext w:val="0"/>
              <w:spacing w:before="0"/>
              <w:rPr>
                <w:rFonts w:cs="Arial"/>
                <w:bCs/>
                <w:color w:val="auto"/>
                <w:sz w:val="20"/>
              </w:rPr>
            </w:pPr>
            <w:r w:rsidRPr="00967C7D">
              <w:rPr>
                <w:rFonts w:cs="Arial"/>
                <w:bCs/>
                <w:color w:val="auto"/>
                <w:sz w:val="20"/>
              </w:rPr>
              <w:t>Summit Centre Open Space</w:t>
            </w:r>
          </w:p>
        </w:tc>
        <w:tc>
          <w:tcPr>
            <w:tcW w:w="1847" w:type="dxa"/>
            <w:noWrap/>
          </w:tcPr>
          <w:p w14:paraId="0B2550EE"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DE9EDE6" w14:textId="77777777" w:rsidTr="00B5314A">
        <w:trPr>
          <w:trHeight w:val="284"/>
        </w:trPr>
        <w:tc>
          <w:tcPr>
            <w:tcW w:w="1280" w:type="dxa"/>
          </w:tcPr>
          <w:p w14:paraId="28F19F13" w14:textId="77777777" w:rsidR="00967C7D" w:rsidRPr="00967C7D" w:rsidRDefault="00967C7D" w:rsidP="00967C7D">
            <w:pPr>
              <w:keepNext w:val="0"/>
              <w:spacing w:before="0"/>
              <w:rPr>
                <w:rFonts w:cs="Arial"/>
                <w:bCs/>
                <w:color w:val="auto"/>
                <w:sz w:val="20"/>
              </w:rPr>
            </w:pPr>
            <w:r w:rsidRPr="00967C7D">
              <w:rPr>
                <w:rFonts w:cs="Arial"/>
                <w:bCs/>
                <w:color w:val="auto"/>
                <w:sz w:val="20"/>
              </w:rPr>
              <w:t>EV5/144</w:t>
            </w:r>
          </w:p>
        </w:tc>
        <w:tc>
          <w:tcPr>
            <w:tcW w:w="6230" w:type="dxa"/>
            <w:noWrap/>
          </w:tcPr>
          <w:p w14:paraId="587052E6"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Coxmoor</w:t>
            </w:r>
            <w:proofErr w:type="spellEnd"/>
            <w:r w:rsidRPr="00967C7D">
              <w:rPr>
                <w:rFonts w:cs="Arial"/>
                <w:bCs/>
                <w:color w:val="auto"/>
                <w:sz w:val="20"/>
              </w:rPr>
              <w:t xml:space="preserve"> Plantation</w:t>
            </w:r>
          </w:p>
        </w:tc>
        <w:tc>
          <w:tcPr>
            <w:tcW w:w="1847" w:type="dxa"/>
            <w:noWrap/>
          </w:tcPr>
          <w:p w14:paraId="682927D4"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17DE00E" w14:textId="77777777" w:rsidTr="00B5314A">
        <w:trPr>
          <w:trHeight w:val="284"/>
        </w:trPr>
        <w:tc>
          <w:tcPr>
            <w:tcW w:w="1280" w:type="dxa"/>
          </w:tcPr>
          <w:p w14:paraId="62584A06" w14:textId="77777777" w:rsidR="00967C7D" w:rsidRPr="00967C7D" w:rsidRDefault="00967C7D" w:rsidP="00967C7D">
            <w:pPr>
              <w:keepNext w:val="0"/>
              <w:spacing w:before="0"/>
              <w:rPr>
                <w:rFonts w:cs="Arial"/>
                <w:bCs/>
                <w:color w:val="auto"/>
                <w:sz w:val="20"/>
              </w:rPr>
            </w:pPr>
            <w:r w:rsidRPr="00967C7D">
              <w:rPr>
                <w:rFonts w:cs="Arial"/>
                <w:bCs/>
                <w:color w:val="auto"/>
                <w:sz w:val="20"/>
              </w:rPr>
              <w:t>EV5/145</w:t>
            </w:r>
          </w:p>
        </w:tc>
        <w:tc>
          <w:tcPr>
            <w:tcW w:w="6230" w:type="dxa"/>
            <w:noWrap/>
          </w:tcPr>
          <w:p w14:paraId="701CAE3B" w14:textId="77777777" w:rsidR="00967C7D" w:rsidRPr="00967C7D" w:rsidRDefault="00967C7D" w:rsidP="00967C7D">
            <w:pPr>
              <w:keepNext w:val="0"/>
              <w:spacing w:before="0"/>
              <w:rPr>
                <w:rFonts w:cs="Arial"/>
                <w:bCs/>
                <w:color w:val="auto"/>
                <w:sz w:val="20"/>
              </w:rPr>
            </w:pPr>
            <w:r w:rsidRPr="00967C7D">
              <w:rPr>
                <w:rFonts w:cs="Arial"/>
                <w:bCs/>
                <w:color w:val="auto"/>
                <w:sz w:val="20"/>
              </w:rPr>
              <w:t>Forster Street</w:t>
            </w:r>
          </w:p>
        </w:tc>
        <w:tc>
          <w:tcPr>
            <w:tcW w:w="1847" w:type="dxa"/>
            <w:noWrap/>
          </w:tcPr>
          <w:p w14:paraId="1754F66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FB31B47" w14:textId="77777777" w:rsidTr="00B5314A">
        <w:trPr>
          <w:trHeight w:val="284"/>
        </w:trPr>
        <w:tc>
          <w:tcPr>
            <w:tcW w:w="1280" w:type="dxa"/>
          </w:tcPr>
          <w:p w14:paraId="45093E9F" w14:textId="77777777" w:rsidR="00967C7D" w:rsidRPr="00967C7D" w:rsidRDefault="00967C7D" w:rsidP="00967C7D">
            <w:pPr>
              <w:keepNext w:val="0"/>
              <w:spacing w:before="0"/>
              <w:rPr>
                <w:rFonts w:cs="Arial"/>
                <w:bCs/>
                <w:color w:val="auto"/>
                <w:sz w:val="20"/>
              </w:rPr>
            </w:pPr>
            <w:r w:rsidRPr="00967C7D">
              <w:rPr>
                <w:rFonts w:cs="Arial"/>
                <w:bCs/>
                <w:color w:val="auto"/>
                <w:sz w:val="20"/>
              </w:rPr>
              <w:t>EV5/146</w:t>
            </w:r>
          </w:p>
        </w:tc>
        <w:tc>
          <w:tcPr>
            <w:tcW w:w="6230" w:type="dxa"/>
            <w:noWrap/>
          </w:tcPr>
          <w:p w14:paraId="0EB422D2" w14:textId="77777777" w:rsidR="00967C7D" w:rsidRPr="00967C7D" w:rsidRDefault="00967C7D" w:rsidP="00967C7D">
            <w:pPr>
              <w:keepNext w:val="0"/>
              <w:spacing w:before="0"/>
              <w:rPr>
                <w:rFonts w:cs="Arial"/>
                <w:bCs/>
                <w:color w:val="auto"/>
                <w:sz w:val="20"/>
              </w:rPr>
            </w:pPr>
            <w:r w:rsidRPr="00967C7D">
              <w:rPr>
                <w:rFonts w:cs="Arial"/>
                <w:bCs/>
                <w:color w:val="auto"/>
                <w:sz w:val="20"/>
              </w:rPr>
              <w:t>Coniston Road</w:t>
            </w:r>
          </w:p>
        </w:tc>
        <w:tc>
          <w:tcPr>
            <w:tcW w:w="1847" w:type="dxa"/>
            <w:noWrap/>
          </w:tcPr>
          <w:p w14:paraId="2FA88996"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A330FAF" w14:textId="77777777" w:rsidTr="00B5314A">
        <w:trPr>
          <w:trHeight w:val="284"/>
        </w:trPr>
        <w:tc>
          <w:tcPr>
            <w:tcW w:w="1280" w:type="dxa"/>
          </w:tcPr>
          <w:p w14:paraId="452A6030" w14:textId="77777777" w:rsidR="00967C7D" w:rsidRPr="00967C7D" w:rsidRDefault="00967C7D" w:rsidP="00967C7D">
            <w:pPr>
              <w:keepNext w:val="0"/>
              <w:spacing w:before="0"/>
              <w:rPr>
                <w:rFonts w:cs="Arial"/>
                <w:bCs/>
                <w:color w:val="auto"/>
                <w:sz w:val="20"/>
              </w:rPr>
            </w:pPr>
            <w:r w:rsidRPr="00967C7D">
              <w:rPr>
                <w:rFonts w:cs="Arial"/>
                <w:bCs/>
                <w:color w:val="auto"/>
                <w:sz w:val="20"/>
              </w:rPr>
              <w:t>EV5/147</w:t>
            </w:r>
          </w:p>
        </w:tc>
        <w:tc>
          <w:tcPr>
            <w:tcW w:w="6230" w:type="dxa"/>
            <w:noWrap/>
          </w:tcPr>
          <w:p w14:paraId="05B8F2C6" w14:textId="77777777" w:rsidR="00967C7D" w:rsidRPr="00967C7D" w:rsidRDefault="00967C7D" w:rsidP="00967C7D">
            <w:pPr>
              <w:keepNext w:val="0"/>
              <w:spacing w:before="0"/>
              <w:rPr>
                <w:rFonts w:cs="Arial"/>
                <w:bCs/>
                <w:color w:val="auto"/>
                <w:sz w:val="20"/>
              </w:rPr>
            </w:pPr>
            <w:r w:rsidRPr="00967C7D">
              <w:rPr>
                <w:rFonts w:cs="Arial"/>
                <w:bCs/>
                <w:color w:val="auto"/>
                <w:sz w:val="20"/>
              </w:rPr>
              <w:t>Southwell Close</w:t>
            </w:r>
          </w:p>
        </w:tc>
        <w:tc>
          <w:tcPr>
            <w:tcW w:w="1847" w:type="dxa"/>
            <w:noWrap/>
          </w:tcPr>
          <w:p w14:paraId="2346478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E0CA192" w14:textId="77777777" w:rsidTr="00B5314A">
        <w:trPr>
          <w:trHeight w:val="284"/>
        </w:trPr>
        <w:tc>
          <w:tcPr>
            <w:tcW w:w="1280" w:type="dxa"/>
          </w:tcPr>
          <w:p w14:paraId="73EDA043" w14:textId="77777777" w:rsidR="00967C7D" w:rsidRPr="00967C7D" w:rsidRDefault="00967C7D" w:rsidP="00967C7D">
            <w:pPr>
              <w:keepNext w:val="0"/>
              <w:spacing w:before="0"/>
              <w:rPr>
                <w:rFonts w:cs="Arial"/>
                <w:bCs/>
                <w:color w:val="auto"/>
                <w:sz w:val="20"/>
              </w:rPr>
            </w:pPr>
            <w:r w:rsidRPr="00967C7D">
              <w:rPr>
                <w:rFonts w:cs="Arial"/>
                <w:bCs/>
                <w:color w:val="auto"/>
                <w:sz w:val="20"/>
              </w:rPr>
              <w:t>EV5/148</w:t>
            </w:r>
          </w:p>
        </w:tc>
        <w:tc>
          <w:tcPr>
            <w:tcW w:w="6230" w:type="dxa"/>
            <w:noWrap/>
          </w:tcPr>
          <w:p w14:paraId="7E2A158F" w14:textId="77777777" w:rsidR="00967C7D" w:rsidRPr="00967C7D" w:rsidRDefault="00967C7D" w:rsidP="00967C7D">
            <w:pPr>
              <w:keepNext w:val="0"/>
              <w:spacing w:before="0"/>
              <w:rPr>
                <w:rFonts w:cs="Arial"/>
                <w:bCs/>
                <w:color w:val="auto"/>
                <w:sz w:val="20"/>
              </w:rPr>
            </w:pPr>
            <w:r w:rsidRPr="00967C7D">
              <w:rPr>
                <w:rFonts w:cs="Arial"/>
                <w:bCs/>
                <w:color w:val="auto"/>
                <w:sz w:val="20"/>
              </w:rPr>
              <w:t>Acorn View</w:t>
            </w:r>
          </w:p>
        </w:tc>
        <w:tc>
          <w:tcPr>
            <w:tcW w:w="1847" w:type="dxa"/>
            <w:noWrap/>
          </w:tcPr>
          <w:p w14:paraId="2F8A0C75"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F0E0ED9" w14:textId="77777777" w:rsidTr="00B5314A">
        <w:trPr>
          <w:trHeight w:val="284"/>
        </w:trPr>
        <w:tc>
          <w:tcPr>
            <w:tcW w:w="1280" w:type="dxa"/>
          </w:tcPr>
          <w:p w14:paraId="259F394E" w14:textId="77777777" w:rsidR="00967C7D" w:rsidRPr="00967C7D" w:rsidRDefault="00967C7D" w:rsidP="00967C7D">
            <w:pPr>
              <w:keepNext w:val="0"/>
              <w:spacing w:before="0"/>
              <w:rPr>
                <w:rFonts w:cs="Arial"/>
                <w:bCs/>
                <w:color w:val="auto"/>
                <w:sz w:val="20"/>
              </w:rPr>
            </w:pPr>
            <w:r w:rsidRPr="00967C7D">
              <w:rPr>
                <w:rFonts w:cs="Arial"/>
                <w:bCs/>
                <w:color w:val="auto"/>
                <w:sz w:val="20"/>
              </w:rPr>
              <w:t>EV5/149</w:t>
            </w:r>
          </w:p>
        </w:tc>
        <w:tc>
          <w:tcPr>
            <w:tcW w:w="6230" w:type="dxa"/>
            <w:noWrap/>
          </w:tcPr>
          <w:p w14:paraId="686621F3" w14:textId="77777777" w:rsidR="00967C7D" w:rsidRPr="00967C7D" w:rsidRDefault="00967C7D" w:rsidP="00967C7D">
            <w:pPr>
              <w:keepNext w:val="0"/>
              <w:spacing w:before="0"/>
              <w:rPr>
                <w:rFonts w:cs="Arial"/>
                <w:bCs/>
                <w:color w:val="auto"/>
                <w:sz w:val="20"/>
              </w:rPr>
            </w:pPr>
            <w:r w:rsidRPr="00967C7D">
              <w:rPr>
                <w:rFonts w:cs="Arial"/>
                <w:bCs/>
                <w:color w:val="auto"/>
                <w:sz w:val="20"/>
              </w:rPr>
              <w:t>Chapel Street/Lindrick Road (Footpath)</w:t>
            </w:r>
          </w:p>
        </w:tc>
        <w:tc>
          <w:tcPr>
            <w:tcW w:w="1847" w:type="dxa"/>
            <w:noWrap/>
          </w:tcPr>
          <w:p w14:paraId="31316575"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DE80767" w14:textId="77777777" w:rsidTr="00B5314A">
        <w:trPr>
          <w:trHeight w:val="284"/>
        </w:trPr>
        <w:tc>
          <w:tcPr>
            <w:tcW w:w="1280" w:type="dxa"/>
          </w:tcPr>
          <w:p w14:paraId="695C7066" w14:textId="77777777" w:rsidR="00967C7D" w:rsidRPr="00967C7D" w:rsidRDefault="00967C7D" w:rsidP="00967C7D">
            <w:pPr>
              <w:keepNext w:val="0"/>
              <w:spacing w:before="0"/>
              <w:rPr>
                <w:rFonts w:cs="Arial"/>
                <w:bCs/>
                <w:color w:val="auto"/>
                <w:sz w:val="20"/>
              </w:rPr>
            </w:pPr>
            <w:r w:rsidRPr="00967C7D">
              <w:rPr>
                <w:rFonts w:cs="Arial"/>
                <w:bCs/>
                <w:color w:val="auto"/>
                <w:sz w:val="20"/>
              </w:rPr>
              <w:t>EV5/150</w:t>
            </w:r>
          </w:p>
        </w:tc>
        <w:tc>
          <w:tcPr>
            <w:tcW w:w="6230" w:type="dxa"/>
            <w:noWrap/>
          </w:tcPr>
          <w:p w14:paraId="1A50E388" w14:textId="77777777" w:rsidR="00967C7D" w:rsidRPr="00967C7D" w:rsidRDefault="00967C7D" w:rsidP="00967C7D">
            <w:pPr>
              <w:keepNext w:val="0"/>
              <w:spacing w:before="0"/>
              <w:rPr>
                <w:rFonts w:cs="Arial"/>
                <w:bCs/>
                <w:color w:val="auto"/>
                <w:sz w:val="20"/>
              </w:rPr>
            </w:pPr>
            <w:r w:rsidRPr="00967C7D">
              <w:rPr>
                <w:rFonts w:cs="Arial"/>
                <w:bCs/>
                <w:color w:val="auto"/>
                <w:sz w:val="20"/>
              </w:rPr>
              <w:t>Beacon Drive</w:t>
            </w:r>
          </w:p>
        </w:tc>
        <w:tc>
          <w:tcPr>
            <w:tcW w:w="1847" w:type="dxa"/>
            <w:noWrap/>
          </w:tcPr>
          <w:p w14:paraId="2C359028"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20952E6" w14:textId="77777777" w:rsidTr="00B5314A">
        <w:trPr>
          <w:trHeight w:val="284"/>
        </w:trPr>
        <w:tc>
          <w:tcPr>
            <w:tcW w:w="1280" w:type="dxa"/>
          </w:tcPr>
          <w:p w14:paraId="6970CF16" w14:textId="77777777" w:rsidR="00967C7D" w:rsidRPr="00967C7D" w:rsidRDefault="00967C7D" w:rsidP="00967C7D">
            <w:pPr>
              <w:keepNext w:val="0"/>
              <w:spacing w:before="0"/>
              <w:rPr>
                <w:rFonts w:cs="Arial"/>
                <w:bCs/>
                <w:color w:val="auto"/>
                <w:sz w:val="20"/>
              </w:rPr>
            </w:pPr>
            <w:r w:rsidRPr="00967C7D">
              <w:rPr>
                <w:rFonts w:cs="Arial"/>
                <w:bCs/>
                <w:color w:val="auto"/>
                <w:sz w:val="20"/>
              </w:rPr>
              <w:t>EV5/151</w:t>
            </w:r>
          </w:p>
        </w:tc>
        <w:tc>
          <w:tcPr>
            <w:tcW w:w="6230" w:type="dxa"/>
            <w:noWrap/>
          </w:tcPr>
          <w:p w14:paraId="27C56293" w14:textId="77777777" w:rsidR="00967C7D" w:rsidRPr="00967C7D" w:rsidRDefault="00967C7D" w:rsidP="00967C7D">
            <w:pPr>
              <w:keepNext w:val="0"/>
              <w:spacing w:before="0"/>
              <w:rPr>
                <w:rFonts w:cs="Arial"/>
                <w:bCs/>
                <w:color w:val="auto"/>
                <w:sz w:val="20"/>
              </w:rPr>
            </w:pPr>
            <w:r w:rsidRPr="00967C7D">
              <w:rPr>
                <w:rFonts w:cs="Arial"/>
                <w:bCs/>
                <w:color w:val="auto"/>
                <w:sz w:val="20"/>
              </w:rPr>
              <w:t>Greenwood Primary and Nursery School Field</w:t>
            </w:r>
          </w:p>
        </w:tc>
        <w:tc>
          <w:tcPr>
            <w:tcW w:w="1847" w:type="dxa"/>
            <w:noWrap/>
          </w:tcPr>
          <w:p w14:paraId="5A63643D"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9785920" w14:textId="77777777" w:rsidTr="00B5314A">
        <w:trPr>
          <w:trHeight w:val="284"/>
        </w:trPr>
        <w:tc>
          <w:tcPr>
            <w:tcW w:w="1280" w:type="dxa"/>
          </w:tcPr>
          <w:p w14:paraId="2ABE1A1F" w14:textId="77777777" w:rsidR="00967C7D" w:rsidRPr="00967C7D" w:rsidRDefault="00967C7D" w:rsidP="00967C7D">
            <w:pPr>
              <w:keepNext w:val="0"/>
              <w:spacing w:before="0"/>
              <w:rPr>
                <w:rFonts w:cs="Arial"/>
                <w:bCs/>
                <w:color w:val="auto"/>
                <w:sz w:val="20"/>
              </w:rPr>
            </w:pPr>
            <w:r w:rsidRPr="00967C7D">
              <w:rPr>
                <w:rFonts w:cs="Arial"/>
                <w:bCs/>
                <w:color w:val="auto"/>
                <w:sz w:val="20"/>
              </w:rPr>
              <w:t>EV5/152</w:t>
            </w:r>
          </w:p>
        </w:tc>
        <w:tc>
          <w:tcPr>
            <w:tcW w:w="6230" w:type="dxa"/>
            <w:noWrap/>
          </w:tcPr>
          <w:p w14:paraId="59FCE58F" w14:textId="77777777" w:rsidR="00967C7D" w:rsidRPr="00967C7D" w:rsidRDefault="00967C7D" w:rsidP="00967C7D">
            <w:pPr>
              <w:keepNext w:val="0"/>
              <w:spacing w:before="0"/>
              <w:rPr>
                <w:rFonts w:cs="Arial"/>
                <w:bCs/>
                <w:color w:val="auto"/>
                <w:sz w:val="20"/>
              </w:rPr>
            </w:pPr>
            <w:r w:rsidRPr="00967C7D">
              <w:rPr>
                <w:rFonts w:cs="Arial"/>
                <w:bCs/>
                <w:color w:val="auto"/>
                <w:sz w:val="20"/>
              </w:rPr>
              <w:t>Rowan Drive</w:t>
            </w:r>
          </w:p>
        </w:tc>
        <w:tc>
          <w:tcPr>
            <w:tcW w:w="1847" w:type="dxa"/>
            <w:noWrap/>
          </w:tcPr>
          <w:p w14:paraId="55FF9808"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9721BFF" w14:textId="77777777" w:rsidTr="00B5314A">
        <w:trPr>
          <w:trHeight w:val="284"/>
        </w:trPr>
        <w:tc>
          <w:tcPr>
            <w:tcW w:w="1280" w:type="dxa"/>
          </w:tcPr>
          <w:p w14:paraId="290001E2" w14:textId="77777777" w:rsidR="00967C7D" w:rsidRPr="00967C7D" w:rsidRDefault="00967C7D" w:rsidP="00967C7D">
            <w:pPr>
              <w:keepNext w:val="0"/>
              <w:spacing w:before="0"/>
              <w:rPr>
                <w:rFonts w:cs="Arial"/>
                <w:bCs/>
                <w:color w:val="auto"/>
                <w:sz w:val="20"/>
              </w:rPr>
            </w:pPr>
            <w:r w:rsidRPr="00967C7D">
              <w:rPr>
                <w:rFonts w:cs="Arial"/>
                <w:bCs/>
                <w:color w:val="auto"/>
                <w:sz w:val="20"/>
              </w:rPr>
              <w:t>EV5/153</w:t>
            </w:r>
          </w:p>
        </w:tc>
        <w:tc>
          <w:tcPr>
            <w:tcW w:w="6230" w:type="dxa"/>
            <w:noWrap/>
          </w:tcPr>
          <w:p w14:paraId="00550C1A" w14:textId="77777777" w:rsidR="00967C7D" w:rsidRPr="00967C7D" w:rsidRDefault="00967C7D" w:rsidP="00967C7D">
            <w:pPr>
              <w:keepNext w:val="0"/>
              <w:spacing w:before="0"/>
              <w:rPr>
                <w:rFonts w:cs="Arial"/>
                <w:bCs/>
                <w:color w:val="auto"/>
                <w:sz w:val="20"/>
              </w:rPr>
            </w:pPr>
            <w:r w:rsidRPr="00967C7D">
              <w:rPr>
                <w:rFonts w:cs="Arial"/>
                <w:bCs/>
                <w:color w:val="auto"/>
                <w:sz w:val="20"/>
              </w:rPr>
              <w:t>David Street</w:t>
            </w:r>
          </w:p>
        </w:tc>
        <w:tc>
          <w:tcPr>
            <w:tcW w:w="1847" w:type="dxa"/>
            <w:noWrap/>
          </w:tcPr>
          <w:p w14:paraId="59BE027B"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006787D" w14:textId="77777777" w:rsidTr="00B5314A">
        <w:trPr>
          <w:trHeight w:val="284"/>
        </w:trPr>
        <w:tc>
          <w:tcPr>
            <w:tcW w:w="1280" w:type="dxa"/>
          </w:tcPr>
          <w:p w14:paraId="59A902C4" w14:textId="77777777" w:rsidR="00967C7D" w:rsidRPr="00967C7D" w:rsidRDefault="00967C7D" w:rsidP="00967C7D">
            <w:pPr>
              <w:keepNext w:val="0"/>
              <w:spacing w:before="0"/>
              <w:rPr>
                <w:rFonts w:cs="Arial"/>
                <w:bCs/>
                <w:color w:val="auto"/>
                <w:sz w:val="20"/>
              </w:rPr>
            </w:pPr>
            <w:r w:rsidRPr="00967C7D">
              <w:rPr>
                <w:rFonts w:cs="Arial"/>
                <w:bCs/>
                <w:color w:val="auto"/>
                <w:sz w:val="20"/>
              </w:rPr>
              <w:t>EV5/154</w:t>
            </w:r>
          </w:p>
        </w:tc>
        <w:tc>
          <w:tcPr>
            <w:tcW w:w="6230" w:type="dxa"/>
            <w:noWrap/>
          </w:tcPr>
          <w:p w14:paraId="43DC0014" w14:textId="77777777" w:rsidR="00967C7D" w:rsidRPr="00967C7D" w:rsidRDefault="00967C7D" w:rsidP="00967C7D">
            <w:pPr>
              <w:keepNext w:val="0"/>
              <w:spacing w:before="0"/>
              <w:rPr>
                <w:rFonts w:cs="Arial"/>
                <w:bCs/>
                <w:color w:val="auto"/>
                <w:sz w:val="20"/>
              </w:rPr>
            </w:pPr>
            <w:r w:rsidRPr="00967C7D">
              <w:rPr>
                <w:rFonts w:cs="Arial"/>
                <w:bCs/>
                <w:color w:val="auto"/>
                <w:sz w:val="20"/>
              </w:rPr>
              <w:t>Sutton Middle Lane</w:t>
            </w:r>
          </w:p>
        </w:tc>
        <w:tc>
          <w:tcPr>
            <w:tcW w:w="1847" w:type="dxa"/>
            <w:noWrap/>
          </w:tcPr>
          <w:p w14:paraId="69FBE82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4A42FAF" w14:textId="77777777" w:rsidTr="00B5314A">
        <w:trPr>
          <w:trHeight w:val="284"/>
        </w:trPr>
        <w:tc>
          <w:tcPr>
            <w:tcW w:w="1280" w:type="dxa"/>
          </w:tcPr>
          <w:p w14:paraId="13491619" w14:textId="77777777" w:rsidR="00967C7D" w:rsidRPr="00967C7D" w:rsidRDefault="00967C7D" w:rsidP="00967C7D">
            <w:pPr>
              <w:keepNext w:val="0"/>
              <w:spacing w:before="0"/>
              <w:rPr>
                <w:rFonts w:cs="Arial"/>
                <w:bCs/>
                <w:color w:val="auto"/>
                <w:sz w:val="20"/>
              </w:rPr>
            </w:pPr>
            <w:r w:rsidRPr="00967C7D">
              <w:rPr>
                <w:rFonts w:cs="Arial"/>
                <w:bCs/>
                <w:color w:val="auto"/>
                <w:sz w:val="20"/>
              </w:rPr>
              <w:t>EV5/155</w:t>
            </w:r>
          </w:p>
        </w:tc>
        <w:tc>
          <w:tcPr>
            <w:tcW w:w="6230" w:type="dxa"/>
            <w:noWrap/>
          </w:tcPr>
          <w:p w14:paraId="75E189E2" w14:textId="77777777" w:rsidR="00967C7D" w:rsidRPr="00967C7D" w:rsidRDefault="00967C7D" w:rsidP="00967C7D">
            <w:pPr>
              <w:keepNext w:val="0"/>
              <w:spacing w:before="0"/>
              <w:rPr>
                <w:rFonts w:cs="Arial"/>
                <w:bCs/>
                <w:color w:val="auto"/>
                <w:sz w:val="20"/>
              </w:rPr>
            </w:pPr>
            <w:r w:rsidRPr="00967C7D">
              <w:rPr>
                <w:rFonts w:cs="Arial"/>
                <w:bCs/>
                <w:color w:val="auto"/>
                <w:sz w:val="20"/>
              </w:rPr>
              <w:t>Summerfields Road</w:t>
            </w:r>
          </w:p>
        </w:tc>
        <w:tc>
          <w:tcPr>
            <w:tcW w:w="1847" w:type="dxa"/>
            <w:noWrap/>
          </w:tcPr>
          <w:p w14:paraId="6873919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9C1ADA4" w14:textId="77777777" w:rsidTr="00B5314A">
        <w:trPr>
          <w:trHeight w:val="284"/>
        </w:trPr>
        <w:tc>
          <w:tcPr>
            <w:tcW w:w="1280" w:type="dxa"/>
          </w:tcPr>
          <w:p w14:paraId="19C61568" w14:textId="77777777" w:rsidR="00967C7D" w:rsidRPr="00967C7D" w:rsidRDefault="00967C7D" w:rsidP="00967C7D">
            <w:pPr>
              <w:keepNext w:val="0"/>
              <w:spacing w:before="0"/>
              <w:rPr>
                <w:rFonts w:cs="Arial"/>
                <w:bCs/>
                <w:color w:val="auto"/>
                <w:sz w:val="20"/>
              </w:rPr>
            </w:pPr>
            <w:r w:rsidRPr="00967C7D">
              <w:rPr>
                <w:rFonts w:cs="Arial"/>
                <w:bCs/>
                <w:color w:val="auto"/>
                <w:sz w:val="20"/>
              </w:rPr>
              <w:t>EV5/156</w:t>
            </w:r>
          </w:p>
        </w:tc>
        <w:tc>
          <w:tcPr>
            <w:tcW w:w="6230" w:type="dxa"/>
            <w:noWrap/>
          </w:tcPr>
          <w:p w14:paraId="5F2FFF89" w14:textId="77777777" w:rsidR="00967C7D" w:rsidRPr="00967C7D" w:rsidRDefault="00967C7D" w:rsidP="00967C7D">
            <w:pPr>
              <w:keepNext w:val="0"/>
              <w:spacing w:before="0"/>
              <w:rPr>
                <w:rFonts w:cs="Arial"/>
                <w:bCs/>
                <w:color w:val="auto"/>
                <w:sz w:val="20"/>
              </w:rPr>
            </w:pPr>
            <w:r w:rsidRPr="00967C7D">
              <w:rPr>
                <w:rFonts w:cs="Arial"/>
                <w:bCs/>
                <w:color w:val="auto"/>
                <w:sz w:val="20"/>
              </w:rPr>
              <w:t>Ashfield Comprehensive School Field</w:t>
            </w:r>
          </w:p>
        </w:tc>
        <w:tc>
          <w:tcPr>
            <w:tcW w:w="1847" w:type="dxa"/>
            <w:noWrap/>
          </w:tcPr>
          <w:p w14:paraId="4F6B12EB"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D28946E" w14:textId="77777777" w:rsidTr="00B5314A">
        <w:trPr>
          <w:trHeight w:val="284"/>
        </w:trPr>
        <w:tc>
          <w:tcPr>
            <w:tcW w:w="1280" w:type="dxa"/>
          </w:tcPr>
          <w:p w14:paraId="762F5879" w14:textId="77777777" w:rsidR="00967C7D" w:rsidRPr="00967C7D" w:rsidRDefault="00967C7D" w:rsidP="00967C7D">
            <w:pPr>
              <w:keepNext w:val="0"/>
              <w:spacing w:before="0"/>
              <w:rPr>
                <w:rFonts w:cs="Arial"/>
                <w:bCs/>
                <w:color w:val="auto"/>
                <w:sz w:val="20"/>
              </w:rPr>
            </w:pPr>
            <w:r w:rsidRPr="00967C7D">
              <w:rPr>
                <w:rFonts w:cs="Arial"/>
                <w:bCs/>
                <w:color w:val="auto"/>
                <w:sz w:val="20"/>
              </w:rPr>
              <w:t>EV5/157</w:t>
            </w:r>
          </w:p>
        </w:tc>
        <w:tc>
          <w:tcPr>
            <w:tcW w:w="6230" w:type="dxa"/>
            <w:noWrap/>
          </w:tcPr>
          <w:p w14:paraId="11620961" w14:textId="77777777" w:rsidR="00967C7D" w:rsidRPr="00967C7D" w:rsidRDefault="00967C7D" w:rsidP="00967C7D">
            <w:pPr>
              <w:keepNext w:val="0"/>
              <w:spacing w:before="0"/>
              <w:rPr>
                <w:rFonts w:cs="Arial"/>
                <w:bCs/>
                <w:color w:val="auto"/>
                <w:sz w:val="20"/>
              </w:rPr>
            </w:pPr>
            <w:r w:rsidRPr="00967C7D">
              <w:rPr>
                <w:rFonts w:cs="Arial"/>
                <w:bCs/>
                <w:color w:val="auto"/>
                <w:sz w:val="20"/>
              </w:rPr>
              <w:t>Orchid Close</w:t>
            </w:r>
          </w:p>
        </w:tc>
        <w:tc>
          <w:tcPr>
            <w:tcW w:w="1847" w:type="dxa"/>
            <w:noWrap/>
          </w:tcPr>
          <w:p w14:paraId="790E859B"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3CCA6F6" w14:textId="77777777" w:rsidTr="00B5314A">
        <w:trPr>
          <w:trHeight w:val="284"/>
        </w:trPr>
        <w:tc>
          <w:tcPr>
            <w:tcW w:w="1280" w:type="dxa"/>
          </w:tcPr>
          <w:p w14:paraId="58D30305" w14:textId="77777777" w:rsidR="00967C7D" w:rsidRPr="00967C7D" w:rsidRDefault="00967C7D" w:rsidP="00967C7D">
            <w:pPr>
              <w:keepNext w:val="0"/>
              <w:spacing w:before="0"/>
              <w:rPr>
                <w:rFonts w:cs="Arial"/>
                <w:bCs/>
                <w:color w:val="auto"/>
                <w:sz w:val="20"/>
              </w:rPr>
            </w:pPr>
            <w:r w:rsidRPr="00967C7D">
              <w:rPr>
                <w:rFonts w:cs="Arial"/>
                <w:bCs/>
                <w:color w:val="auto"/>
                <w:sz w:val="20"/>
              </w:rPr>
              <w:t>EV5/158</w:t>
            </w:r>
          </w:p>
        </w:tc>
        <w:tc>
          <w:tcPr>
            <w:tcW w:w="6230" w:type="dxa"/>
            <w:noWrap/>
          </w:tcPr>
          <w:p w14:paraId="3227C676" w14:textId="77777777" w:rsidR="00967C7D" w:rsidRPr="00967C7D" w:rsidRDefault="00967C7D" w:rsidP="00967C7D">
            <w:pPr>
              <w:keepNext w:val="0"/>
              <w:spacing w:before="0"/>
              <w:rPr>
                <w:rFonts w:cs="Arial"/>
                <w:bCs/>
                <w:color w:val="auto"/>
                <w:sz w:val="20"/>
              </w:rPr>
            </w:pPr>
            <w:r w:rsidRPr="00967C7D">
              <w:rPr>
                <w:rFonts w:cs="Arial"/>
                <w:bCs/>
                <w:color w:val="auto"/>
                <w:sz w:val="20"/>
              </w:rPr>
              <w:t>Penny Emma Way (South)</w:t>
            </w:r>
          </w:p>
        </w:tc>
        <w:tc>
          <w:tcPr>
            <w:tcW w:w="1847" w:type="dxa"/>
            <w:noWrap/>
          </w:tcPr>
          <w:p w14:paraId="3AF5691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F609F7D" w14:textId="77777777" w:rsidTr="00B5314A">
        <w:trPr>
          <w:trHeight w:val="284"/>
        </w:trPr>
        <w:tc>
          <w:tcPr>
            <w:tcW w:w="1280" w:type="dxa"/>
          </w:tcPr>
          <w:p w14:paraId="0D2E19E4" w14:textId="77777777" w:rsidR="00967C7D" w:rsidRPr="00967C7D" w:rsidRDefault="00967C7D" w:rsidP="00967C7D">
            <w:pPr>
              <w:keepNext w:val="0"/>
              <w:spacing w:before="0"/>
              <w:rPr>
                <w:rFonts w:cs="Arial"/>
                <w:bCs/>
                <w:color w:val="auto"/>
                <w:sz w:val="20"/>
              </w:rPr>
            </w:pPr>
            <w:r w:rsidRPr="00967C7D">
              <w:rPr>
                <w:rFonts w:cs="Arial"/>
                <w:bCs/>
                <w:color w:val="auto"/>
                <w:sz w:val="20"/>
              </w:rPr>
              <w:t>EV5/159</w:t>
            </w:r>
          </w:p>
        </w:tc>
        <w:tc>
          <w:tcPr>
            <w:tcW w:w="6230" w:type="dxa"/>
            <w:noWrap/>
          </w:tcPr>
          <w:p w14:paraId="3CA3F04F" w14:textId="77777777" w:rsidR="00967C7D" w:rsidRPr="00967C7D" w:rsidRDefault="00967C7D" w:rsidP="00967C7D">
            <w:pPr>
              <w:keepNext w:val="0"/>
              <w:spacing w:before="0"/>
              <w:rPr>
                <w:rFonts w:cs="Arial"/>
                <w:bCs/>
                <w:color w:val="auto"/>
                <w:sz w:val="20"/>
              </w:rPr>
            </w:pPr>
            <w:r w:rsidRPr="00967C7D">
              <w:rPr>
                <w:rFonts w:cs="Arial"/>
                <w:bCs/>
                <w:color w:val="auto"/>
                <w:sz w:val="20"/>
              </w:rPr>
              <w:t>Kirkby Summit West</w:t>
            </w:r>
          </w:p>
        </w:tc>
        <w:tc>
          <w:tcPr>
            <w:tcW w:w="1847" w:type="dxa"/>
            <w:noWrap/>
          </w:tcPr>
          <w:p w14:paraId="7846CE2D"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251974F7" w14:textId="77777777" w:rsidTr="00B5314A">
        <w:trPr>
          <w:trHeight w:val="284"/>
        </w:trPr>
        <w:tc>
          <w:tcPr>
            <w:tcW w:w="1280" w:type="dxa"/>
          </w:tcPr>
          <w:p w14:paraId="48D36416" w14:textId="77777777" w:rsidR="00967C7D" w:rsidRPr="00967C7D" w:rsidRDefault="00967C7D" w:rsidP="00967C7D">
            <w:pPr>
              <w:keepNext w:val="0"/>
              <w:spacing w:before="0"/>
              <w:rPr>
                <w:rFonts w:cs="Arial"/>
                <w:bCs/>
                <w:color w:val="auto"/>
                <w:sz w:val="20"/>
              </w:rPr>
            </w:pPr>
            <w:r w:rsidRPr="00967C7D">
              <w:rPr>
                <w:rFonts w:cs="Arial"/>
                <w:bCs/>
                <w:color w:val="auto"/>
                <w:sz w:val="20"/>
              </w:rPr>
              <w:t>EV5/160</w:t>
            </w:r>
          </w:p>
        </w:tc>
        <w:tc>
          <w:tcPr>
            <w:tcW w:w="6230" w:type="dxa"/>
            <w:noWrap/>
          </w:tcPr>
          <w:p w14:paraId="70B38C7C" w14:textId="77777777" w:rsidR="00967C7D" w:rsidRPr="00967C7D" w:rsidRDefault="00967C7D" w:rsidP="00967C7D">
            <w:pPr>
              <w:keepNext w:val="0"/>
              <w:spacing w:before="0"/>
              <w:rPr>
                <w:rFonts w:cs="Arial"/>
                <w:bCs/>
                <w:color w:val="auto"/>
                <w:sz w:val="20"/>
              </w:rPr>
            </w:pPr>
            <w:r w:rsidRPr="00967C7D">
              <w:rPr>
                <w:rFonts w:cs="Arial"/>
                <w:bCs/>
                <w:color w:val="auto"/>
                <w:sz w:val="20"/>
              </w:rPr>
              <w:t>Swans Ground</w:t>
            </w:r>
          </w:p>
        </w:tc>
        <w:tc>
          <w:tcPr>
            <w:tcW w:w="1847" w:type="dxa"/>
            <w:noWrap/>
          </w:tcPr>
          <w:p w14:paraId="332171D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5CFBBE0" w14:textId="77777777" w:rsidTr="00B5314A">
        <w:trPr>
          <w:trHeight w:val="284"/>
        </w:trPr>
        <w:tc>
          <w:tcPr>
            <w:tcW w:w="1280" w:type="dxa"/>
          </w:tcPr>
          <w:p w14:paraId="5CA8E71E" w14:textId="77777777" w:rsidR="00967C7D" w:rsidRPr="00967C7D" w:rsidRDefault="00967C7D" w:rsidP="00967C7D">
            <w:pPr>
              <w:keepNext w:val="0"/>
              <w:spacing w:before="0"/>
              <w:rPr>
                <w:rFonts w:cs="Arial"/>
                <w:bCs/>
                <w:color w:val="auto"/>
                <w:sz w:val="20"/>
              </w:rPr>
            </w:pPr>
            <w:r w:rsidRPr="00967C7D">
              <w:rPr>
                <w:rFonts w:cs="Arial"/>
                <w:bCs/>
                <w:color w:val="auto"/>
                <w:sz w:val="20"/>
              </w:rPr>
              <w:t>EV5/161</w:t>
            </w:r>
          </w:p>
        </w:tc>
        <w:tc>
          <w:tcPr>
            <w:tcW w:w="6230" w:type="dxa"/>
            <w:noWrap/>
          </w:tcPr>
          <w:p w14:paraId="56B75D5D" w14:textId="77777777" w:rsidR="00967C7D" w:rsidRPr="00967C7D" w:rsidRDefault="00967C7D" w:rsidP="00967C7D">
            <w:pPr>
              <w:keepNext w:val="0"/>
              <w:spacing w:before="0"/>
              <w:rPr>
                <w:rFonts w:cs="Arial"/>
                <w:bCs/>
                <w:color w:val="auto"/>
                <w:sz w:val="20"/>
              </w:rPr>
            </w:pPr>
            <w:r w:rsidRPr="00967C7D">
              <w:rPr>
                <w:rFonts w:cs="Arial"/>
                <w:bCs/>
                <w:color w:val="auto"/>
                <w:sz w:val="20"/>
              </w:rPr>
              <w:t>Maun Valley</w:t>
            </w:r>
          </w:p>
        </w:tc>
        <w:tc>
          <w:tcPr>
            <w:tcW w:w="1847" w:type="dxa"/>
            <w:noWrap/>
          </w:tcPr>
          <w:p w14:paraId="53858F1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5ABEA87" w14:textId="77777777" w:rsidTr="00B5314A">
        <w:trPr>
          <w:trHeight w:val="284"/>
        </w:trPr>
        <w:tc>
          <w:tcPr>
            <w:tcW w:w="1280" w:type="dxa"/>
          </w:tcPr>
          <w:p w14:paraId="4D675BA3" w14:textId="77777777" w:rsidR="00967C7D" w:rsidRPr="00967C7D" w:rsidRDefault="00967C7D" w:rsidP="00967C7D">
            <w:pPr>
              <w:keepNext w:val="0"/>
              <w:spacing w:before="0"/>
              <w:rPr>
                <w:rFonts w:cs="Arial"/>
                <w:bCs/>
                <w:color w:val="auto"/>
                <w:sz w:val="20"/>
              </w:rPr>
            </w:pPr>
            <w:r w:rsidRPr="00967C7D">
              <w:rPr>
                <w:rFonts w:cs="Arial"/>
                <w:bCs/>
                <w:color w:val="auto"/>
                <w:sz w:val="20"/>
              </w:rPr>
              <w:t>EV5/162</w:t>
            </w:r>
          </w:p>
        </w:tc>
        <w:tc>
          <w:tcPr>
            <w:tcW w:w="6230" w:type="dxa"/>
            <w:noWrap/>
          </w:tcPr>
          <w:p w14:paraId="11335F33" w14:textId="77777777" w:rsidR="00967C7D" w:rsidRPr="00967C7D" w:rsidRDefault="00967C7D" w:rsidP="00967C7D">
            <w:pPr>
              <w:keepNext w:val="0"/>
              <w:spacing w:before="0"/>
              <w:rPr>
                <w:rFonts w:cs="Arial"/>
                <w:bCs/>
                <w:color w:val="auto"/>
                <w:sz w:val="20"/>
              </w:rPr>
            </w:pPr>
            <w:r w:rsidRPr="00967C7D">
              <w:rPr>
                <w:rFonts w:cs="Arial"/>
                <w:bCs/>
                <w:color w:val="auto"/>
                <w:sz w:val="20"/>
              </w:rPr>
              <w:t>Orchid Drive</w:t>
            </w:r>
          </w:p>
        </w:tc>
        <w:tc>
          <w:tcPr>
            <w:tcW w:w="1847" w:type="dxa"/>
            <w:noWrap/>
          </w:tcPr>
          <w:p w14:paraId="7AD7D8F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83D7267" w14:textId="77777777" w:rsidTr="00B5314A">
        <w:trPr>
          <w:trHeight w:val="284"/>
        </w:trPr>
        <w:tc>
          <w:tcPr>
            <w:tcW w:w="1280" w:type="dxa"/>
          </w:tcPr>
          <w:p w14:paraId="6F5112AF" w14:textId="77777777" w:rsidR="00967C7D" w:rsidRPr="00967C7D" w:rsidRDefault="00967C7D" w:rsidP="00967C7D">
            <w:pPr>
              <w:keepNext w:val="0"/>
              <w:spacing w:before="0"/>
              <w:rPr>
                <w:rFonts w:cs="Arial"/>
                <w:bCs/>
                <w:color w:val="auto"/>
                <w:sz w:val="20"/>
              </w:rPr>
            </w:pPr>
            <w:r w:rsidRPr="00967C7D">
              <w:rPr>
                <w:rFonts w:cs="Arial"/>
                <w:bCs/>
                <w:color w:val="auto"/>
                <w:sz w:val="20"/>
              </w:rPr>
              <w:t>EV5/163</w:t>
            </w:r>
          </w:p>
        </w:tc>
        <w:tc>
          <w:tcPr>
            <w:tcW w:w="6230" w:type="dxa"/>
            <w:noWrap/>
          </w:tcPr>
          <w:p w14:paraId="1446B505" w14:textId="77777777" w:rsidR="00967C7D" w:rsidRPr="00967C7D" w:rsidRDefault="00967C7D" w:rsidP="00967C7D">
            <w:pPr>
              <w:keepNext w:val="0"/>
              <w:spacing w:before="0"/>
              <w:rPr>
                <w:rFonts w:cs="Arial"/>
                <w:bCs/>
                <w:color w:val="auto"/>
                <w:sz w:val="20"/>
              </w:rPr>
            </w:pPr>
            <w:r w:rsidRPr="00967C7D">
              <w:rPr>
                <w:rFonts w:cs="Arial"/>
                <w:bCs/>
                <w:color w:val="auto"/>
                <w:sz w:val="20"/>
              </w:rPr>
              <w:t>Thieves Wood</w:t>
            </w:r>
          </w:p>
        </w:tc>
        <w:tc>
          <w:tcPr>
            <w:tcW w:w="1847" w:type="dxa"/>
            <w:noWrap/>
          </w:tcPr>
          <w:p w14:paraId="779B3497"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09E1E78" w14:textId="77777777" w:rsidTr="00B5314A">
        <w:trPr>
          <w:trHeight w:val="284"/>
        </w:trPr>
        <w:tc>
          <w:tcPr>
            <w:tcW w:w="1280" w:type="dxa"/>
          </w:tcPr>
          <w:p w14:paraId="085AA27A" w14:textId="77777777" w:rsidR="00967C7D" w:rsidRPr="00967C7D" w:rsidRDefault="00967C7D" w:rsidP="00967C7D">
            <w:pPr>
              <w:keepNext w:val="0"/>
              <w:spacing w:before="0"/>
              <w:rPr>
                <w:rFonts w:cs="Arial"/>
                <w:bCs/>
                <w:color w:val="auto"/>
                <w:sz w:val="20"/>
              </w:rPr>
            </w:pPr>
            <w:r w:rsidRPr="00967C7D">
              <w:rPr>
                <w:rFonts w:cs="Arial"/>
                <w:bCs/>
                <w:color w:val="auto"/>
                <w:sz w:val="20"/>
              </w:rPr>
              <w:t>EV5/164</w:t>
            </w:r>
          </w:p>
        </w:tc>
        <w:tc>
          <w:tcPr>
            <w:tcW w:w="6230" w:type="dxa"/>
            <w:noWrap/>
          </w:tcPr>
          <w:p w14:paraId="1817D99F" w14:textId="77777777" w:rsidR="00967C7D" w:rsidRPr="00967C7D" w:rsidRDefault="00967C7D" w:rsidP="00967C7D">
            <w:pPr>
              <w:keepNext w:val="0"/>
              <w:spacing w:before="0"/>
              <w:rPr>
                <w:rFonts w:cs="Arial"/>
                <w:bCs/>
                <w:color w:val="auto"/>
                <w:sz w:val="20"/>
              </w:rPr>
            </w:pPr>
            <w:r w:rsidRPr="00967C7D">
              <w:rPr>
                <w:rFonts w:cs="Arial"/>
                <w:bCs/>
                <w:color w:val="auto"/>
                <w:sz w:val="20"/>
              </w:rPr>
              <w:t>Harlow Wood</w:t>
            </w:r>
          </w:p>
        </w:tc>
        <w:tc>
          <w:tcPr>
            <w:tcW w:w="1847" w:type="dxa"/>
            <w:noWrap/>
          </w:tcPr>
          <w:p w14:paraId="66045E2F"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BFAF120" w14:textId="77777777" w:rsidTr="00B5314A">
        <w:trPr>
          <w:trHeight w:val="284"/>
        </w:trPr>
        <w:tc>
          <w:tcPr>
            <w:tcW w:w="1280" w:type="dxa"/>
          </w:tcPr>
          <w:p w14:paraId="5D03C2ED" w14:textId="77777777" w:rsidR="00967C7D" w:rsidRPr="00967C7D" w:rsidRDefault="00967C7D" w:rsidP="00967C7D">
            <w:pPr>
              <w:keepNext w:val="0"/>
              <w:spacing w:before="0"/>
              <w:rPr>
                <w:rFonts w:cs="Arial"/>
                <w:bCs/>
                <w:color w:val="auto"/>
                <w:sz w:val="20"/>
              </w:rPr>
            </w:pPr>
            <w:r w:rsidRPr="00967C7D">
              <w:rPr>
                <w:rFonts w:cs="Arial"/>
                <w:bCs/>
                <w:color w:val="auto"/>
                <w:sz w:val="20"/>
              </w:rPr>
              <w:t>EV5/165</w:t>
            </w:r>
          </w:p>
        </w:tc>
        <w:tc>
          <w:tcPr>
            <w:tcW w:w="6230" w:type="dxa"/>
            <w:noWrap/>
          </w:tcPr>
          <w:p w14:paraId="7459D610" w14:textId="77777777" w:rsidR="00967C7D" w:rsidRPr="00967C7D" w:rsidRDefault="00967C7D" w:rsidP="00967C7D">
            <w:pPr>
              <w:keepNext w:val="0"/>
              <w:spacing w:before="0"/>
              <w:rPr>
                <w:rFonts w:cs="Arial"/>
                <w:bCs/>
                <w:color w:val="auto"/>
                <w:sz w:val="20"/>
              </w:rPr>
            </w:pPr>
            <w:r w:rsidRPr="00967C7D">
              <w:rPr>
                <w:rFonts w:cs="Arial"/>
                <w:bCs/>
                <w:color w:val="auto"/>
                <w:sz w:val="20"/>
              </w:rPr>
              <w:t>Fields opposite Orchard Way and A38</w:t>
            </w:r>
          </w:p>
        </w:tc>
        <w:tc>
          <w:tcPr>
            <w:tcW w:w="1847" w:type="dxa"/>
            <w:noWrap/>
          </w:tcPr>
          <w:p w14:paraId="35760718"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9563231" w14:textId="77777777" w:rsidTr="00B5314A">
        <w:trPr>
          <w:trHeight w:val="284"/>
        </w:trPr>
        <w:tc>
          <w:tcPr>
            <w:tcW w:w="1280" w:type="dxa"/>
          </w:tcPr>
          <w:p w14:paraId="3500FE17" w14:textId="77777777" w:rsidR="00967C7D" w:rsidRPr="00967C7D" w:rsidRDefault="00967C7D" w:rsidP="00967C7D">
            <w:pPr>
              <w:keepNext w:val="0"/>
              <w:spacing w:before="0"/>
              <w:rPr>
                <w:rFonts w:cs="Arial"/>
                <w:bCs/>
                <w:color w:val="auto"/>
                <w:sz w:val="20"/>
              </w:rPr>
            </w:pPr>
            <w:r w:rsidRPr="00967C7D">
              <w:rPr>
                <w:rFonts w:cs="Arial"/>
                <w:bCs/>
                <w:color w:val="auto"/>
                <w:sz w:val="20"/>
              </w:rPr>
              <w:t>EV5/166</w:t>
            </w:r>
          </w:p>
        </w:tc>
        <w:tc>
          <w:tcPr>
            <w:tcW w:w="6230" w:type="dxa"/>
            <w:noWrap/>
          </w:tcPr>
          <w:p w14:paraId="02208B4E"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Coxmoor</w:t>
            </w:r>
            <w:proofErr w:type="spellEnd"/>
            <w:r w:rsidRPr="00967C7D">
              <w:rPr>
                <w:rFonts w:cs="Arial"/>
                <w:bCs/>
                <w:color w:val="auto"/>
                <w:sz w:val="20"/>
              </w:rPr>
              <w:t xml:space="preserve"> Golf Course</w:t>
            </w:r>
          </w:p>
        </w:tc>
        <w:tc>
          <w:tcPr>
            <w:tcW w:w="1847" w:type="dxa"/>
            <w:noWrap/>
          </w:tcPr>
          <w:p w14:paraId="358CE5B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B52A41" w:rsidRPr="00967C7D" w14:paraId="0B7679BA" w14:textId="77777777" w:rsidTr="00B5314A">
        <w:trPr>
          <w:trHeight w:val="284"/>
        </w:trPr>
        <w:tc>
          <w:tcPr>
            <w:tcW w:w="1280" w:type="dxa"/>
          </w:tcPr>
          <w:p w14:paraId="199C4583" w14:textId="26F5D231" w:rsidR="00B52A41" w:rsidRPr="00967C7D" w:rsidRDefault="00B52A41" w:rsidP="00967C7D">
            <w:pPr>
              <w:keepNext w:val="0"/>
              <w:spacing w:before="0"/>
              <w:rPr>
                <w:rFonts w:cs="Arial"/>
                <w:bCs/>
                <w:color w:val="auto"/>
                <w:sz w:val="20"/>
              </w:rPr>
            </w:pPr>
            <w:r>
              <w:rPr>
                <w:rFonts w:cs="Arial"/>
                <w:bCs/>
                <w:color w:val="auto"/>
                <w:sz w:val="20"/>
              </w:rPr>
              <w:t>EV5/167</w:t>
            </w:r>
          </w:p>
        </w:tc>
        <w:tc>
          <w:tcPr>
            <w:tcW w:w="6230" w:type="dxa"/>
            <w:noWrap/>
          </w:tcPr>
          <w:p w14:paraId="1B236877" w14:textId="75C55B29" w:rsidR="00B52A41" w:rsidRPr="00967C7D" w:rsidRDefault="00B52A41" w:rsidP="00967C7D">
            <w:pPr>
              <w:keepNext w:val="0"/>
              <w:spacing w:before="0"/>
              <w:rPr>
                <w:rFonts w:cs="Arial"/>
                <w:bCs/>
                <w:color w:val="auto"/>
                <w:sz w:val="20"/>
              </w:rPr>
            </w:pPr>
            <w:r>
              <w:rPr>
                <w:rFonts w:cs="Arial"/>
                <w:bCs/>
                <w:color w:val="auto"/>
                <w:sz w:val="20"/>
              </w:rPr>
              <w:t>Clare Road</w:t>
            </w:r>
          </w:p>
        </w:tc>
        <w:tc>
          <w:tcPr>
            <w:tcW w:w="1847" w:type="dxa"/>
            <w:noWrap/>
          </w:tcPr>
          <w:p w14:paraId="386B67B6" w14:textId="76C41291" w:rsidR="00B52A41" w:rsidRPr="00967C7D" w:rsidRDefault="00B52A41" w:rsidP="00967C7D">
            <w:pPr>
              <w:keepNext w:val="0"/>
              <w:spacing w:before="0"/>
              <w:rPr>
                <w:rFonts w:cs="Arial"/>
                <w:bCs/>
                <w:color w:val="auto"/>
                <w:sz w:val="20"/>
              </w:rPr>
            </w:pPr>
            <w:r>
              <w:rPr>
                <w:rFonts w:cs="Arial"/>
                <w:bCs/>
                <w:color w:val="auto"/>
                <w:sz w:val="20"/>
              </w:rPr>
              <w:t>North Street</w:t>
            </w:r>
          </w:p>
        </w:tc>
      </w:tr>
      <w:tr w:rsidR="00967C7D" w:rsidRPr="00967C7D" w14:paraId="4B1C58EE" w14:textId="77777777" w:rsidTr="00B5314A">
        <w:trPr>
          <w:trHeight w:val="284"/>
        </w:trPr>
        <w:tc>
          <w:tcPr>
            <w:tcW w:w="1280" w:type="dxa"/>
          </w:tcPr>
          <w:p w14:paraId="7AD06AEC" w14:textId="77777777" w:rsidR="00967C7D" w:rsidRPr="00967C7D" w:rsidRDefault="00967C7D" w:rsidP="00967C7D">
            <w:pPr>
              <w:keepNext w:val="0"/>
              <w:spacing w:before="0"/>
              <w:rPr>
                <w:rFonts w:cs="Arial"/>
                <w:bCs/>
                <w:color w:val="auto"/>
                <w:sz w:val="20"/>
              </w:rPr>
            </w:pPr>
            <w:r w:rsidRPr="00967C7D">
              <w:rPr>
                <w:rFonts w:cs="Arial"/>
                <w:bCs/>
                <w:color w:val="auto"/>
                <w:sz w:val="20"/>
              </w:rPr>
              <w:t>EV5/168</w:t>
            </w:r>
          </w:p>
        </w:tc>
        <w:tc>
          <w:tcPr>
            <w:tcW w:w="6230" w:type="dxa"/>
            <w:noWrap/>
          </w:tcPr>
          <w:p w14:paraId="28A2D9F2" w14:textId="77777777" w:rsidR="00967C7D" w:rsidRPr="00967C7D" w:rsidRDefault="00967C7D" w:rsidP="00967C7D">
            <w:pPr>
              <w:keepNext w:val="0"/>
              <w:spacing w:before="0"/>
              <w:rPr>
                <w:rFonts w:cs="Arial"/>
                <w:bCs/>
                <w:color w:val="auto"/>
                <w:sz w:val="20"/>
              </w:rPr>
            </w:pPr>
            <w:r w:rsidRPr="00967C7D">
              <w:rPr>
                <w:rFonts w:cs="Arial"/>
                <w:bCs/>
                <w:color w:val="auto"/>
                <w:sz w:val="20"/>
              </w:rPr>
              <w:t>Leamington County Primary School Field</w:t>
            </w:r>
          </w:p>
        </w:tc>
        <w:tc>
          <w:tcPr>
            <w:tcW w:w="1847" w:type="dxa"/>
            <w:noWrap/>
          </w:tcPr>
          <w:p w14:paraId="0A8FD64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3481D3B" w14:textId="77777777" w:rsidTr="00B5314A">
        <w:trPr>
          <w:trHeight w:val="284"/>
        </w:trPr>
        <w:tc>
          <w:tcPr>
            <w:tcW w:w="1280" w:type="dxa"/>
          </w:tcPr>
          <w:p w14:paraId="198C74F6" w14:textId="77777777" w:rsidR="00967C7D" w:rsidRPr="00967C7D" w:rsidRDefault="00967C7D" w:rsidP="00967C7D">
            <w:pPr>
              <w:keepNext w:val="0"/>
              <w:spacing w:before="0"/>
              <w:rPr>
                <w:rFonts w:cs="Arial"/>
                <w:bCs/>
                <w:color w:val="auto"/>
                <w:sz w:val="20"/>
              </w:rPr>
            </w:pPr>
            <w:r w:rsidRPr="00967C7D">
              <w:rPr>
                <w:rFonts w:cs="Arial"/>
                <w:bCs/>
                <w:color w:val="auto"/>
                <w:sz w:val="20"/>
              </w:rPr>
              <w:t>EV5/169</w:t>
            </w:r>
          </w:p>
        </w:tc>
        <w:tc>
          <w:tcPr>
            <w:tcW w:w="6230" w:type="dxa"/>
            <w:noWrap/>
          </w:tcPr>
          <w:p w14:paraId="3C6FB452" w14:textId="77777777" w:rsidR="00967C7D" w:rsidRPr="00967C7D" w:rsidRDefault="00967C7D" w:rsidP="00967C7D">
            <w:pPr>
              <w:keepNext w:val="0"/>
              <w:spacing w:before="0"/>
              <w:rPr>
                <w:rFonts w:cs="Arial"/>
                <w:bCs/>
                <w:color w:val="auto"/>
                <w:sz w:val="20"/>
              </w:rPr>
            </w:pPr>
            <w:r w:rsidRPr="00967C7D">
              <w:rPr>
                <w:rFonts w:cs="Arial"/>
                <w:bCs/>
                <w:color w:val="auto"/>
                <w:sz w:val="20"/>
              </w:rPr>
              <w:t>Lynton Drive footpath</w:t>
            </w:r>
          </w:p>
        </w:tc>
        <w:tc>
          <w:tcPr>
            <w:tcW w:w="1847" w:type="dxa"/>
            <w:noWrap/>
          </w:tcPr>
          <w:p w14:paraId="2465750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C51F044" w14:textId="77777777" w:rsidTr="00B5314A">
        <w:trPr>
          <w:trHeight w:val="284"/>
        </w:trPr>
        <w:tc>
          <w:tcPr>
            <w:tcW w:w="1280" w:type="dxa"/>
          </w:tcPr>
          <w:p w14:paraId="60965266" w14:textId="77777777" w:rsidR="00967C7D" w:rsidRPr="00967C7D" w:rsidRDefault="00967C7D" w:rsidP="00967C7D">
            <w:pPr>
              <w:keepNext w:val="0"/>
              <w:spacing w:before="0"/>
              <w:rPr>
                <w:rFonts w:cs="Arial"/>
                <w:bCs/>
                <w:color w:val="auto"/>
                <w:sz w:val="20"/>
              </w:rPr>
            </w:pPr>
            <w:r w:rsidRPr="00967C7D">
              <w:rPr>
                <w:rFonts w:cs="Arial"/>
                <w:bCs/>
                <w:color w:val="auto"/>
                <w:sz w:val="20"/>
              </w:rPr>
              <w:t>EV5/170</w:t>
            </w:r>
          </w:p>
        </w:tc>
        <w:tc>
          <w:tcPr>
            <w:tcW w:w="6230" w:type="dxa"/>
            <w:noWrap/>
          </w:tcPr>
          <w:p w14:paraId="01E3F776" w14:textId="77777777" w:rsidR="00967C7D" w:rsidRPr="00967C7D" w:rsidRDefault="00967C7D" w:rsidP="00967C7D">
            <w:pPr>
              <w:keepNext w:val="0"/>
              <w:spacing w:before="0"/>
              <w:rPr>
                <w:rFonts w:cs="Arial"/>
                <w:bCs/>
                <w:color w:val="auto"/>
                <w:sz w:val="20"/>
              </w:rPr>
            </w:pPr>
            <w:r w:rsidRPr="00967C7D">
              <w:rPr>
                <w:rFonts w:cs="Arial"/>
                <w:bCs/>
                <w:color w:val="auto"/>
                <w:sz w:val="20"/>
              </w:rPr>
              <w:t>Ashfield Park</w:t>
            </w:r>
          </w:p>
        </w:tc>
        <w:tc>
          <w:tcPr>
            <w:tcW w:w="1847" w:type="dxa"/>
            <w:noWrap/>
          </w:tcPr>
          <w:p w14:paraId="21992CA1"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97A3EA3" w14:textId="77777777" w:rsidTr="00B5314A">
        <w:trPr>
          <w:trHeight w:val="284"/>
        </w:trPr>
        <w:tc>
          <w:tcPr>
            <w:tcW w:w="1280" w:type="dxa"/>
          </w:tcPr>
          <w:p w14:paraId="3E7B07AB" w14:textId="77777777" w:rsidR="00967C7D" w:rsidRPr="00967C7D" w:rsidRDefault="00967C7D" w:rsidP="00967C7D">
            <w:pPr>
              <w:keepNext w:val="0"/>
              <w:spacing w:before="0"/>
              <w:rPr>
                <w:rFonts w:cs="Arial"/>
                <w:bCs/>
                <w:color w:val="auto"/>
                <w:sz w:val="20"/>
              </w:rPr>
            </w:pPr>
            <w:r w:rsidRPr="00967C7D">
              <w:rPr>
                <w:rFonts w:cs="Arial"/>
                <w:bCs/>
                <w:color w:val="auto"/>
                <w:sz w:val="20"/>
              </w:rPr>
              <w:t>EV5/171</w:t>
            </w:r>
          </w:p>
        </w:tc>
        <w:tc>
          <w:tcPr>
            <w:tcW w:w="6230" w:type="dxa"/>
            <w:noWrap/>
          </w:tcPr>
          <w:p w14:paraId="10E1EFFC" w14:textId="77777777" w:rsidR="00967C7D" w:rsidRPr="00967C7D" w:rsidRDefault="00967C7D" w:rsidP="00967C7D">
            <w:pPr>
              <w:keepNext w:val="0"/>
              <w:spacing w:before="0"/>
              <w:rPr>
                <w:rFonts w:cs="Arial"/>
                <w:bCs/>
                <w:color w:val="auto"/>
                <w:sz w:val="20"/>
              </w:rPr>
            </w:pPr>
            <w:r w:rsidRPr="00967C7D">
              <w:rPr>
                <w:rFonts w:cs="Arial"/>
                <w:bCs/>
                <w:color w:val="auto"/>
                <w:sz w:val="20"/>
              </w:rPr>
              <w:t>Hill Top View Open Space</w:t>
            </w:r>
          </w:p>
        </w:tc>
        <w:tc>
          <w:tcPr>
            <w:tcW w:w="1847" w:type="dxa"/>
            <w:noWrap/>
          </w:tcPr>
          <w:p w14:paraId="46C0474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3093905" w14:textId="77777777" w:rsidTr="00B5314A">
        <w:trPr>
          <w:trHeight w:val="284"/>
        </w:trPr>
        <w:tc>
          <w:tcPr>
            <w:tcW w:w="1280" w:type="dxa"/>
          </w:tcPr>
          <w:p w14:paraId="41C1CBA1" w14:textId="77777777" w:rsidR="00967C7D" w:rsidRPr="00967C7D" w:rsidRDefault="00967C7D" w:rsidP="00967C7D">
            <w:pPr>
              <w:keepNext w:val="0"/>
              <w:spacing w:before="0"/>
              <w:rPr>
                <w:rFonts w:cs="Arial"/>
                <w:bCs/>
                <w:color w:val="auto"/>
                <w:sz w:val="20"/>
              </w:rPr>
            </w:pPr>
            <w:r w:rsidRPr="00967C7D">
              <w:rPr>
                <w:rFonts w:cs="Arial"/>
                <w:bCs/>
                <w:color w:val="auto"/>
                <w:sz w:val="20"/>
              </w:rPr>
              <w:t>EV5/172</w:t>
            </w:r>
          </w:p>
        </w:tc>
        <w:tc>
          <w:tcPr>
            <w:tcW w:w="6230" w:type="dxa"/>
            <w:noWrap/>
          </w:tcPr>
          <w:p w14:paraId="42ADC637" w14:textId="77777777" w:rsidR="00967C7D" w:rsidRPr="00967C7D" w:rsidRDefault="00967C7D" w:rsidP="00967C7D">
            <w:pPr>
              <w:keepNext w:val="0"/>
              <w:spacing w:before="0"/>
              <w:rPr>
                <w:rFonts w:cs="Arial"/>
                <w:bCs/>
                <w:color w:val="auto"/>
                <w:sz w:val="20"/>
              </w:rPr>
            </w:pPr>
            <w:r w:rsidRPr="00967C7D">
              <w:rPr>
                <w:rFonts w:cs="Arial"/>
                <w:bCs/>
                <w:color w:val="auto"/>
                <w:sz w:val="20"/>
              </w:rPr>
              <w:t>Lynton Drive</w:t>
            </w:r>
          </w:p>
        </w:tc>
        <w:tc>
          <w:tcPr>
            <w:tcW w:w="1847" w:type="dxa"/>
            <w:noWrap/>
          </w:tcPr>
          <w:p w14:paraId="1F9A06F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FF37C04" w14:textId="77777777" w:rsidTr="00B5314A">
        <w:trPr>
          <w:trHeight w:val="284"/>
        </w:trPr>
        <w:tc>
          <w:tcPr>
            <w:tcW w:w="1280" w:type="dxa"/>
          </w:tcPr>
          <w:p w14:paraId="43DD5D1E" w14:textId="77777777" w:rsidR="00967C7D" w:rsidRPr="00967C7D" w:rsidRDefault="00967C7D" w:rsidP="00967C7D">
            <w:pPr>
              <w:keepNext w:val="0"/>
              <w:spacing w:before="0"/>
              <w:rPr>
                <w:rFonts w:cs="Arial"/>
                <w:bCs/>
                <w:color w:val="auto"/>
                <w:sz w:val="20"/>
              </w:rPr>
            </w:pPr>
            <w:r w:rsidRPr="00967C7D">
              <w:rPr>
                <w:rFonts w:cs="Arial"/>
                <w:bCs/>
                <w:color w:val="auto"/>
                <w:sz w:val="20"/>
              </w:rPr>
              <w:t>EV5/173</w:t>
            </w:r>
          </w:p>
        </w:tc>
        <w:tc>
          <w:tcPr>
            <w:tcW w:w="6230" w:type="dxa"/>
            <w:noWrap/>
          </w:tcPr>
          <w:p w14:paraId="1E4A1BBF"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Twinyards</w:t>
            </w:r>
            <w:proofErr w:type="spellEnd"/>
            <w:r w:rsidRPr="00967C7D">
              <w:rPr>
                <w:rFonts w:cs="Arial"/>
                <w:bCs/>
                <w:color w:val="auto"/>
                <w:sz w:val="20"/>
              </w:rPr>
              <w:t xml:space="preserve"> Close Footpath</w:t>
            </w:r>
          </w:p>
        </w:tc>
        <w:tc>
          <w:tcPr>
            <w:tcW w:w="1847" w:type="dxa"/>
            <w:noWrap/>
          </w:tcPr>
          <w:p w14:paraId="1C172BAE"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931B738" w14:textId="77777777" w:rsidTr="00B5314A">
        <w:trPr>
          <w:trHeight w:val="284"/>
        </w:trPr>
        <w:tc>
          <w:tcPr>
            <w:tcW w:w="1280" w:type="dxa"/>
          </w:tcPr>
          <w:p w14:paraId="7AE97C11" w14:textId="77777777" w:rsidR="00967C7D" w:rsidRPr="00967C7D" w:rsidRDefault="00967C7D" w:rsidP="00967C7D">
            <w:pPr>
              <w:keepNext w:val="0"/>
              <w:spacing w:before="0"/>
              <w:rPr>
                <w:rFonts w:cs="Arial"/>
                <w:bCs/>
                <w:color w:val="auto"/>
                <w:sz w:val="20"/>
              </w:rPr>
            </w:pPr>
            <w:r w:rsidRPr="00967C7D">
              <w:rPr>
                <w:rFonts w:cs="Arial"/>
                <w:bCs/>
                <w:color w:val="auto"/>
                <w:sz w:val="20"/>
              </w:rPr>
              <w:t>EV5/174</w:t>
            </w:r>
          </w:p>
        </w:tc>
        <w:tc>
          <w:tcPr>
            <w:tcW w:w="6230" w:type="dxa"/>
            <w:noWrap/>
          </w:tcPr>
          <w:p w14:paraId="6A49977A" w14:textId="77777777" w:rsidR="00967C7D" w:rsidRPr="00967C7D" w:rsidRDefault="00967C7D" w:rsidP="00967C7D">
            <w:pPr>
              <w:keepNext w:val="0"/>
              <w:spacing w:before="0"/>
              <w:rPr>
                <w:rFonts w:cs="Arial"/>
                <w:bCs/>
                <w:color w:val="auto"/>
                <w:sz w:val="20"/>
              </w:rPr>
            </w:pPr>
            <w:r w:rsidRPr="00967C7D">
              <w:rPr>
                <w:rFonts w:cs="Arial"/>
                <w:bCs/>
                <w:color w:val="auto"/>
                <w:sz w:val="20"/>
              </w:rPr>
              <w:t>Calladine Open Space</w:t>
            </w:r>
          </w:p>
        </w:tc>
        <w:tc>
          <w:tcPr>
            <w:tcW w:w="1847" w:type="dxa"/>
            <w:noWrap/>
          </w:tcPr>
          <w:p w14:paraId="2445148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2A3FAC5" w14:textId="77777777" w:rsidTr="00B5314A">
        <w:trPr>
          <w:trHeight w:val="284"/>
        </w:trPr>
        <w:tc>
          <w:tcPr>
            <w:tcW w:w="1280" w:type="dxa"/>
          </w:tcPr>
          <w:p w14:paraId="534EA4F4" w14:textId="77777777" w:rsidR="00967C7D" w:rsidRPr="00967C7D" w:rsidRDefault="00967C7D" w:rsidP="00967C7D">
            <w:pPr>
              <w:keepNext w:val="0"/>
              <w:spacing w:before="0"/>
              <w:rPr>
                <w:rFonts w:cs="Arial"/>
                <w:bCs/>
                <w:color w:val="auto"/>
                <w:sz w:val="20"/>
              </w:rPr>
            </w:pPr>
            <w:r w:rsidRPr="00967C7D">
              <w:rPr>
                <w:rFonts w:cs="Arial"/>
                <w:bCs/>
                <w:color w:val="auto"/>
                <w:sz w:val="20"/>
              </w:rPr>
              <w:t>EV5/175</w:t>
            </w:r>
          </w:p>
        </w:tc>
        <w:tc>
          <w:tcPr>
            <w:tcW w:w="6230" w:type="dxa"/>
            <w:noWrap/>
          </w:tcPr>
          <w:p w14:paraId="0B1AF4AB" w14:textId="77777777" w:rsidR="00967C7D" w:rsidRPr="00967C7D" w:rsidRDefault="00967C7D" w:rsidP="00967C7D">
            <w:pPr>
              <w:keepNext w:val="0"/>
              <w:spacing w:before="0"/>
              <w:rPr>
                <w:rFonts w:cs="Arial"/>
                <w:bCs/>
                <w:color w:val="auto"/>
                <w:sz w:val="20"/>
              </w:rPr>
            </w:pPr>
            <w:r w:rsidRPr="00967C7D">
              <w:rPr>
                <w:rFonts w:cs="Arial"/>
                <w:bCs/>
                <w:color w:val="auto"/>
                <w:sz w:val="20"/>
              </w:rPr>
              <w:t>Taylor Crescent Recreation Ground</w:t>
            </w:r>
          </w:p>
        </w:tc>
        <w:tc>
          <w:tcPr>
            <w:tcW w:w="1847" w:type="dxa"/>
            <w:noWrap/>
          </w:tcPr>
          <w:p w14:paraId="2428F74D"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E827E05" w14:textId="77777777" w:rsidTr="00B5314A">
        <w:trPr>
          <w:trHeight w:val="284"/>
        </w:trPr>
        <w:tc>
          <w:tcPr>
            <w:tcW w:w="1280" w:type="dxa"/>
          </w:tcPr>
          <w:p w14:paraId="77D84170" w14:textId="77777777" w:rsidR="00967C7D" w:rsidRPr="00967C7D" w:rsidRDefault="00967C7D" w:rsidP="00967C7D">
            <w:pPr>
              <w:keepNext w:val="0"/>
              <w:spacing w:before="0"/>
              <w:rPr>
                <w:rFonts w:cs="Arial"/>
                <w:bCs/>
                <w:color w:val="auto"/>
                <w:sz w:val="20"/>
              </w:rPr>
            </w:pPr>
            <w:r w:rsidRPr="00967C7D">
              <w:rPr>
                <w:rFonts w:cs="Arial"/>
                <w:bCs/>
                <w:color w:val="auto"/>
                <w:sz w:val="20"/>
              </w:rPr>
              <w:t>EV5/176</w:t>
            </w:r>
          </w:p>
        </w:tc>
        <w:tc>
          <w:tcPr>
            <w:tcW w:w="6230" w:type="dxa"/>
            <w:noWrap/>
          </w:tcPr>
          <w:p w14:paraId="3E5358C7"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Roundhills</w:t>
            </w:r>
            <w:proofErr w:type="spellEnd"/>
            <w:r w:rsidRPr="00967C7D">
              <w:rPr>
                <w:rFonts w:cs="Arial"/>
                <w:bCs/>
                <w:color w:val="auto"/>
                <w:sz w:val="20"/>
              </w:rPr>
              <w:t xml:space="preserve"> Recreation Ground</w:t>
            </w:r>
          </w:p>
        </w:tc>
        <w:tc>
          <w:tcPr>
            <w:tcW w:w="1847" w:type="dxa"/>
            <w:noWrap/>
          </w:tcPr>
          <w:p w14:paraId="1E81A42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F4C4A5F" w14:textId="77777777" w:rsidTr="00B5314A">
        <w:trPr>
          <w:trHeight w:val="284"/>
        </w:trPr>
        <w:tc>
          <w:tcPr>
            <w:tcW w:w="1280" w:type="dxa"/>
          </w:tcPr>
          <w:p w14:paraId="1F298592" w14:textId="77777777" w:rsidR="00967C7D" w:rsidRPr="00967C7D" w:rsidRDefault="00967C7D" w:rsidP="00967C7D">
            <w:pPr>
              <w:keepNext w:val="0"/>
              <w:spacing w:before="0"/>
              <w:rPr>
                <w:rFonts w:cs="Arial"/>
                <w:bCs/>
                <w:color w:val="auto"/>
                <w:sz w:val="20"/>
              </w:rPr>
            </w:pPr>
            <w:r w:rsidRPr="00967C7D">
              <w:rPr>
                <w:rFonts w:cs="Arial"/>
                <w:bCs/>
                <w:color w:val="auto"/>
                <w:sz w:val="20"/>
              </w:rPr>
              <w:t>EV5/177</w:t>
            </w:r>
          </w:p>
        </w:tc>
        <w:tc>
          <w:tcPr>
            <w:tcW w:w="6230" w:type="dxa"/>
            <w:noWrap/>
          </w:tcPr>
          <w:p w14:paraId="16F60058" w14:textId="77777777" w:rsidR="00967C7D" w:rsidRPr="00967C7D" w:rsidRDefault="00967C7D" w:rsidP="00967C7D">
            <w:pPr>
              <w:keepNext w:val="0"/>
              <w:spacing w:before="0"/>
              <w:rPr>
                <w:rFonts w:cs="Arial"/>
                <w:bCs/>
                <w:color w:val="auto"/>
                <w:sz w:val="20"/>
              </w:rPr>
            </w:pPr>
            <w:r w:rsidRPr="00967C7D">
              <w:rPr>
                <w:rFonts w:cs="Arial"/>
                <w:bCs/>
                <w:color w:val="auto"/>
                <w:sz w:val="20"/>
              </w:rPr>
              <w:t>Cow Pasture Lane Recreation Ground</w:t>
            </w:r>
          </w:p>
        </w:tc>
        <w:tc>
          <w:tcPr>
            <w:tcW w:w="1847" w:type="dxa"/>
            <w:noWrap/>
          </w:tcPr>
          <w:p w14:paraId="7677DC53"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27D2387" w14:textId="77777777" w:rsidTr="00B5314A">
        <w:trPr>
          <w:trHeight w:val="284"/>
        </w:trPr>
        <w:tc>
          <w:tcPr>
            <w:tcW w:w="1280" w:type="dxa"/>
          </w:tcPr>
          <w:p w14:paraId="5CCDFFD8" w14:textId="77777777" w:rsidR="00967C7D" w:rsidRPr="00967C7D" w:rsidRDefault="00967C7D" w:rsidP="00967C7D">
            <w:pPr>
              <w:keepNext w:val="0"/>
              <w:spacing w:before="0"/>
              <w:rPr>
                <w:rFonts w:cs="Arial"/>
                <w:bCs/>
                <w:color w:val="auto"/>
                <w:sz w:val="20"/>
              </w:rPr>
            </w:pPr>
            <w:r w:rsidRPr="00967C7D">
              <w:rPr>
                <w:rFonts w:cs="Arial"/>
                <w:bCs/>
                <w:color w:val="auto"/>
                <w:sz w:val="20"/>
              </w:rPr>
              <w:t>EV5/178</w:t>
            </w:r>
          </w:p>
        </w:tc>
        <w:tc>
          <w:tcPr>
            <w:tcW w:w="6230" w:type="dxa"/>
            <w:noWrap/>
          </w:tcPr>
          <w:p w14:paraId="65DCD982" w14:textId="77777777" w:rsidR="00967C7D" w:rsidRPr="00967C7D" w:rsidRDefault="00967C7D" w:rsidP="00967C7D">
            <w:pPr>
              <w:keepNext w:val="0"/>
              <w:spacing w:before="0"/>
              <w:rPr>
                <w:rFonts w:cs="Arial"/>
                <w:bCs/>
                <w:color w:val="auto"/>
                <w:sz w:val="20"/>
              </w:rPr>
            </w:pPr>
            <w:r w:rsidRPr="00967C7D">
              <w:rPr>
                <w:rFonts w:cs="Arial"/>
                <w:bCs/>
                <w:color w:val="auto"/>
                <w:sz w:val="20"/>
              </w:rPr>
              <w:t>Calladine Pond and Open Space</w:t>
            </w:r>
          </w:p>
        </w:tc>
        <w:tc>
          <w:tcPr>
            <w:tcW w:w="1847" w:type="dxa"/>
            <w:noWrap/>
          </w:tcPr>
          <w:p w14:paraId="64913A7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AAD9F41" w14:textId="77777777" w:rsidTr="00B5314A">
        <w:trPr>
          <w:trHeight w:val="284"/>
        </w:trPr>
        <w:tc>
          <w:tcPr>
            <w:tcW w:w="1280" w:type="dxa"/>
          </w:tcPr>
          <w:p w14:paraId="05C8B748" w14:textId="77777777" w:rsidR="00967C7D" w:rsidRPr="00967C7D" w:rsidRDefault="00967C7D" w:rsidP="00967C7D">
            <w:pPr>
              <w:keepNext w:val="0"/>
              <w:spacing w:before="0"/>
              <w:rPr>
                <w:rFonts w:cs="Arial"/>
                <w:bCs/>
                <w:color w:val="auto"/>
                <w:sz w:val="20"/>
              </w:rPr>
            </w:pPr>
            <w:r w:rsidRPr="00967C7D">
              <w:rPr>
                <w:rFonts w:cs="Arial"/>
                <w:bCs/>
                <w:color w:val="auto"/>
                <w:sz w:val="20"/>
              </w:rPr>
              <w:t>EV5/179</w:t>
            </w:r>
          </w:p>
        </w:tc>
        <w:tc>
          <w:tcPr>
            <w:tcW w:w="6230" w:type="dxa"/>
            <w:noWrap/>
          </w:tcPr>
          <w:p w14:paraId="002BF258"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Mapplewells</w:t>
            </w:r>
            <w:proofErr w:type="spellEnd"/>
            <w:r w:rsidRPr="00967C7D">
              <w:rPr>
                <w:rFonts w:cs="Arial"/>
                <w:bCs/>
                <w:color w:val="auto"/>
                <w:sz w:val="20"/>
              </w:rPr>
              <w:t xml:space="preserve"> School Playing Field</w:t>
            </w:r>
          </w:p>
        </w:tc>
        <w:tc>
          <w:tcPr>
            <w:tcW w:w="1847" w:type="dxa"/>
            <w:noWrap/>
          </w:tcPr>
          <w:p w14:paraId="30FCBB63"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4B90A06" w14:textId="77777777" w:rsidTr="00B5314A">
        <w:trPr>
          <w:trHeight w:val="284"/>
        </w:trPr>
        <w:tc>
          <w:tcPr>
            <w:tcW w:w="1280" w:type="dxa"/>
          </w:tcPr>
          <w:p w14:paraId="21C3641F" w14:textId="77777777" w:rsidR="00967C7D" w:rsidRPr="00967C7D" w:rsidRDefault="00967C7D" w:rsidP="00967C7D">
            <w:pPr>
              <w:keepNext w:val="0"/>
              <w:spacing w:before="0"/>
              <w:rPr>
                <w:rFonts w:cs="Arial"/>
                <w:bCs/>
                <w:color w:val="auto"/>
                <w:sz w:val="20"/>
              </w:rPr>
            </w:pPr>
            <w:r w:rsidRPr="00967C7D">
              <w:rPr>
                <w:rFonts w:cs="Arial"/>
                <w:bCs/>
                <w:color w:val="auto"/>
                <w:sz w:val="20"/>
              </w:rPr>
              <w:t>EV5/180</w:t>
            </w:r>
          </w:p>
        </w:tc>
        <w:tc>
          <w:tcPr>
            <w:tcW w:w="6230" w:type="dxa"/>
            <w:noWrap/>
          </w:tcPr>
          <w:p w14:paraId="5FE4B521"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Land to rear of </w:t>
            </w:r>
            <w:proofErr w:type="spellStart"/>
            <w:r w:rsidRPr="00967C7D">
              <w:rPr>
                <w:rFonts w:cs="Arial"/>
                <w:bCs/>
                <w:color w:val="auto"/>
                <w:sz w:val="20"/>
              </w:rPr>
              <w:t>Crowtrees</w:t>
            </w:r>
            <w:proofErr w:type="spellEnd"/>
            <w:r w:rsidRPr="00967C7D">
              <w:rPr>
                <w:rFonts w:cs="Arial"/>
                <w:bCs/>
                <w:color w:val="auto"/>
                <w:sz w:val="20"/>
              </w:rPr>
              <w:t xml:space="preserve"> Drive</w:t>
            </w:r>
          </w:p>
        </w:tc>
        <w:tc>
          <w:tcPr>
            <w:tcW w:w="1847" w:type="dxa"/>
            <w:noWrap/>
          </w:tcPr>
          <w:p w14:paraId="640591D8"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8C68802" w14:textId="77777777" w:rsidTr="00B5314A">
        <w:trPr>
          <w:trHeight w:val="284"/>
        </w:trPr>
        <w:tc>
          <w:tcPr>
            <w:tcW w:w="1280" w:type="dxa"/>
          </w:tcPr>
          <w:p w14:paraId="09C25A01" w14:textId="77777777" w:rsidR="00967C7D" w:rsidRPr="00967C7D" w:rsidRDefault="00967C7D" w:rsidP="00967C7D">
            <w:pPr>
              <w:keepNext w:val="0"/>
              <w:spacing w:before="0"/>
              <w:rPr>
                <w:rFonts w:cs="Arial"/>
                <w:bCs/>
                <w:color w:val="auto"/>
                <w:sz w:val="20"/>
              </w:rPr>
            </w:pPr>
            <w:r w:rsidRPr="00967C7D">
              <w:rPr>
                <w:rFonts w:cs="Arial"/>
                <w:bCs/>
                <w:color w:val="auto"/>
                <w:sz w:val="20"/>
              </w:rPr>
              <w:lastRenderedPageBreak/>
              <w:t>EV5/181</w:t>
            </w:r>
          </w:p>
        </w:tc>
        <w:tc>
          <w:tcPr>
            <w:tcW w:w="6230" w:type="dxa"/>
            <w:noWrap/>
          </w:tcPr>
          <w:p w14:paraId="00039955" w14:textId="77777777" w:rsidR="00967C7D" w:rsidRPr="00967C7D" w:rsidRDefault="00967C7D" w:rsidP="00967C7D">
            <w:pPr>
              <w:keepNext w:val="0"/>
              <w:spacing w:before="0"/>
              <w:rPr>
                <w:rFonts w:cs="Arial"/>
                <w:bCs/>
                <w:color w:val="auto"/>
                <w:sz w:val="20"/>
              </w:rPr>
            </w:pPr>
            <w:r w:rsidRPr="00967C7D">
              <w:rPr>
                <w:rFonts w:cs="Arial"/>
                <w:bCs/>
                <w:color w:val="auto"/>
                <w:sz w:val="20"/>
              </w:rPr>
              <w:t>Oakleaf Crescent</w:t>
            </w:r>
          </w:p>
        </w:tc>
        <w:tc>
          <w:tcPr>
            <w:tcW w:w="1847" w:type="dxa"/>
            <w:noWrap/>
          </w:tcPr>
          <w:p w14:paraId="251DF18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392D985" w14:textId="77777777" w:rsidTr="00B5314A">
        <w:trPr>
          <w:trHeight w:val="284"/>
        </w:trPr>
        <w:tc>
          <w:tcPr>
            <w:tcW w:w="1280" w:type="dxa"/>
          </w:tcPr>
          <w:p w14:paraId="435C611F" w14:textId="77777777" w:rsidR="00967C7D" w:rsidRPr="00967C7D" w:rsidRDefault="00967C7D" w:rsidP="00967C7D">
            <w:pPr>
              <w:keepNext w:val="0"/>
              <w:spacing w:before="0"/>
              <w:rPr>
                <w:rFonts w:cs="Arial"/>
                <w:bCs/>
                <w:color w:val="auto"/>
                <w:sz w:val="20"/>
              </w:rPr>
            </w:pPr>
            <w:r w:rsidRPr="00967C7D">
              <w:rPr>
                <w:rFonts w:cs="Arial"/>
                <w:bCs/>
                <w:color w:val="auto"/>
                <w:sz w:val="20"/>
              </w:rPr>
              <w:t>EV5/182</w:t>
            </w:r>
          </w:p>
        </w:tc>
        <w:tc>
          <w:tcPr>
            <w:tcW w:w="6230" w:type="dxa"/>
            <w:noWrap/>
          </w:tcPr>
          <w:p w14:paraId="4A06C0C9" w14:textId="77777777" w:rsidR="00967C7D" w:rsidRPr="00967C7D" w:rsidRDefault="00967C7D" w:rsidP="00967C7D">
            <w:pPr>
              <w:keepNext w:val="0"/>
              <w:spacing w:before="0"/>
              <w:rPr>
                <w:rFonts w:cs="Arial"/>
                <w:bCs/>
                <w:color w:val="auto"/>
                <w:sz w:val="20"/>
              </w:rPr>
            </w:pPr>
            <w:r w:rsidRPr="00967C7D">
              <w:rPr>
                <w:rFonts w:cs="Arial"/>
                <w:bCs/>
                <w:color w:val="auto"/>
                <w:sz w:val="20"/>
              </w:rPr>
              <w:t>Kirkby Folly Road</w:t>
            </w:r>
          </w:p>
        </w:tc>
        <w:tc>
          <w:tcPr>
            <w:tcW w:w="1847" w:type="dxa"/>
            <w:noWrap/>
          </w:tcPr>
          <w:p w14:paraId="001EAB0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DFFB9FD" w14:textId="77777777" w:rsidTr="00B5314A">
        <w:trPr>
          <w:trHeight w:val="284"/>
        </w:trPr>
        <w:tc>
          <w:tcPr>
            <w:tcW w:w="1280" w:type="dxa"/>
          </w:tcPr>
          <w:p w14:paraId="23AF97D7" w14:textId="77777777" w:rsidR="00967C7D" w:rsidRPr="00967C7D" w:rsidRDefault="00967C7D" w:rsidP="00967C7D">
            <w:pPr>
              <w:keepNext w:val="0"/>
              <w:spacing w:before="0"/>
              <w:rPr>
                <w:rFonts w:cs="Arial"/>
                <w:bCs/>
                <w:color w:val="auto"/>
                <w:sz w:val="20"/>
              </w:rPr>
            </w:pPr>
            <w:r w:rsidRPr="00967C7D">
              <w:rPr>
                <w:rFonts w:cs="Arial"/>
                <w:bCs/>
                <w:color w:val="auto"/>
                <w:sz w:val="20"/>
              </w:rPr>
              <w:t>EV5/183</w:t>
            </w:r>
          </w:p>
        </w:tc>
        <w:tc>
          <w:tcPr>
            <w:tcW w:w="6230" w:type="dxa"/>
            <w:noWrap/>
          </w:tcPr>
          <w:p w14:paraId="2260D0C6" w14:textId="77777777" w:rsidR="00967C7D" w:rsidRPr="00967C7D" w:rsidRDefault="00967C7D" w:rsidP="00967C7D">
            <w:pPr>
              <w:keepNext w:val="0"/>
              <w:spacing w:before="0"/>
              <w:rPr>
                <w:rFonts w:cs="Arial"/>
                <w:bCs/>
                <w:color w:val="auto"/>
                <w:sz w:val="20"/>
              </w:rPr>
            </w:pPr>
            <w:r w:rsidRPr="00967C7D">
              <w:rPr>
                <w:rFonts w:cs="Arial"/>
                <w:bCs/>
                <w:color w:val="auto"/>
                <w:sz w:val="20"/>
              </w:rPr>
              <w:t>Cauldwell Wood</w:t>
            </w:r>
          </w:p>
        </w:tc>
        <w:tc>
          <w:tcPr>
            <w:tcW w:w="1847" w:type="dxa"/>
            <w:noWrap/>
          </w:tcPr>
          <w:p w14:paraId="77360236"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B043310" w14:textId="77777777" w:rsidTr="00B5314A">
        <w:trPr>
          <w:trHeight w:val="284"/>
        </w:trPr>
        <w:tc>
          <w:tcPr>
            <w:tcW w:w="1280" w:type="dxa"/>
          </w:tcPr>
          <w:p w14:paraId="1AE977D2" w14:textId="77777777" w:rsidR="00967C7D" w:rsidRPr="00967C7D" w:rsidRDefault="00967C7D" w:rsidP="00967C7D">
            <w:pPr>
              <w:keepNext w:val="0"/>
              <w:spacing w:before="0"/>
              <w:rPr>
                <w:rFonts w:cs="Arial"/>
                <w:bCs/>
                <w:color w:val="auto"/>
                <w:sz w:val="20"/>
              </w:rPr>
            </w:pPr>
            <w:r w:rsidRPr="00967C7D">
              <w:rPr>
                <w:rFonts w:cs="Arial"/>
                <w:bCs/>
                <w:color w:val="auto"/>
                <w:sz w:val="20"/>
              </w:rPr>
              <w:t>EV5/185</w:t>
            </w:r>
          </w:p>
        </w:tc>
        <w:tc>
          <w:tcPr>
            <w:tcW w:w="6230" w:type="dxa"/>
            <w:noWrap/>
          </w:tcPr>
          <w:p w14:paraId="09A66EC9" w14:textId="77777777" w:rsidR="00967C7D" w:rsidRPr="00967C7D" w:rsidRDefault="00967C7D" w:rsidP="00967C7D">
            <w:pPr>
              <w:keepNext w:val="0"/>
              <w:spacing w:before="0"/>
              <w:rPr>
                <w:rFonts w:cs="Arial"/>
                <w:bCs/>
                <w:color w:val="auto"/>
                <w:sz w:val="20"/>
              </w:rPr>
            </w:pPr>
            <w:r w:rsidRPr="00967C7D">
              <w:rPr>
                <w:rFonts w:cs="Arial"/>
                <w:bCs/>
                <w:color w:val="auto"/>
                <w:sz w:val="20"/>
              </w:rPr>
              <w:t>Charnwood Street Recreation Ground</w:t>
            </w:r>
          </w:p>
        </w:tc>
        <w:tc>
          <w:tcPr>
            <w:tcW w:w="1847" w:type="dxa"/>
            <w:noWrap/>
          </w:tcPr>
          <w:p w14:paraId="50F4D10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612A1E9" w14:textId="77777777" w:rsidTr="00B5314A">
        <w:trPr>
          <w:trHeight w:val="284"/>
        </w:trPr>
        <w:tc>
          <w:tcPr>
            <w:tcW w:w="1280" w:type="dxa"/>
          </w:tcPr>
          <w:p w14:paraId="4B27E320" w14:textId="77777777" w:rsidR="00967C7D" w:rsidRPr="00967C7D" w:rsidRDefault="00967C7D" w:rsidP="00967C7D">
            <w:pPr>
              <w:keepNext w:val="0"/>
              <w:spacing w:before="0"/>
              <w:rPr>
                <w:rFonts w:cs="Arial"/>
                <w:bCs/>
                <w:color w:val="auto"/>
                <w:sz w:val="20"/>
              </w:rPr>
            </w:pPr>
            <w:r w:rsidRPr="00967C7D">
              <w:rPr>
                <w:rFonts w:cs="Arial"/>
                <w:bCs/>
                <w:color w:val="auto"/>
                <w:sz w:val="20"/>
              </w:rPr>
              <w:t>EV5/186</w:t>
            </w:r>
          </w:p>
        </w:tc>
        <w:tc>
          <w:tcPr>
            <w:tcW w:w="6230" w:type="dxa"/>
            <w:noWrap/>
          </w:tcPr>
          <w:p w14:paraId="54411532" w14:textId="77777777" w:rsidR="00967C7D" w:rsidRPr="00967C7D" w:rsidRDefault="00967C7D" w:rsidP="00967C7D">
            <w:pPr>
              <w:keepNext w:val="0"/>
              <w:spacing w:before="0"/>
              <w:rPr>
                <w:rFonts w:cs="Arial"/>
                <w:bCs/>
                <w:color w:val="auto"/>
                <w:sz w:val="20"/>
              </w:rPr>
            </w:pPr>
            <w:r w:rsidRPr="00967C7D">
              <w:rPr>
                <w:rFonts w:cs="Arial"/>
                <w:bCs/>
                <w:color w:val="auto"/>
                <w:sz w:val="20"/>
              </w:rPr>
              <w:t>Peveril Drive</w:t>
            </w:r>
          </w:p>
        </w:tc>
        <w:tc>
          <w:tcPr>
            <w:tcW w:w="1847" w:type="dxa"/>
            <w:noWrap/>
          </w:tcPr>
          <w:p w14:paraId="5FD6FF7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845B0E2" w14:textId="77777777" w:rsidTr="00B5314A">
        <w:trPr>
          <w:trHeight w:val="284"/>
        </w:trPr>
        <w:tc>
          <w:tcPr>
            <w:tcW w:w="1280" w:type="dxa"/>
          </w:tcPr>
          <w:p w14:paraId="23DA5E42" w14:textId="77777777" w:rsidR="00967C7D" w:rsidRPr="00967C7D" w:rsidRDefault="00967C7D" w:rsidP="00967C7D">
            <w:pPr>
              <w:keepNext w:val="0"/>
              <w:spacing w:before="0"/>
              <w:rPr>
                <w:rFonts w:cs="Arial"/>
                <w:bCs/>
                <w:color w:val="auto"/>
                <w:sz w:val="20"/>
              </w:rPr>
            </w:pPr>
            <w:r w:rsidRPr="00967C7D">
              <w:rPr>
                <w:rFonts w:cs="Arial"/>
                <w:bCs/>
                <w:color w:val="auto"/>
                <w:sz w:val="20"/>
              </w:rPr>
              <w:t>EV5/187</w:t>
            </w:r>
          </w:p>
        </w:tc>
        <w:tc>
          <w:tcPr>
            <w:tcW w:w="6230" w:type="dxa"/>
            <w:noWrap/>
          </w:tcPr>
          <w:p w14:paraId="0B5ED210" w14:textId="77777777" w:rsidR="00967C7D" w:rsidRPr="00967C7D" w:rsidRDefault="00967C7D" w:rsidP="00967C7D">
            <w:pPr>
              <w:keepNext w:val="0"/>
              <w:spacing w:before="0"/>
              <w:rPr>
                <w:rFonts w:cs="Arial"/>
                <w:bCs/>
                <w:color w:val="auto"/>
                <w:sz w:val="20"/>
              </w:rPr>
            </w:pPr>
            <w:r w:rsidRPr="00967C7D">
              <w:rPr>
                <w:rFonts w:cs="Arial"/>
                <w:bCs/>
                <w:color w:val="auto"/>
                <w:sz w:val="20"/>
              </w:rPr>
              <w:t>The Lawns</w:t>
            </w:r>
          </w:p>
        </w:tc>
        <w:tc>
          <w:tcPr>
            <w:tcW w:w="1847" w:type="dxa"/>
            <w:noWrap/>
          </w:tcPr>
          <w:p w14:paraId="4FAD593F"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6903320" w14:textId="77777777" w:rsidTr="00B5314A">
        <w:trPr>
          <w:trHeight w:val="284"/>
        </w:trPr>
        <w:tc>
          <w:tcPr>
            <w:tcW w:w="1280" w:type="dxa"/>
          </w:tcPr>
          <w:p w14:paraId="349FB6A1" w14:textId="77777777" w:rsidR="00967C7D" w:rsidRPr="00967C7D" w:rsidRDefault="00967C7D" w:rsidP="00967C7D">
            <w:pPr>
              <w:keepNext w:val="0"/>
              <w:spacing w:before="0"/>
              <w:rPr>
                <w:rFonts w:cs="Arial"/>
                <w:bCs/>
                <w:color w:val="auto"/>
                <w:sz w:val="20"/>
              </w:rPr>
            </w:pPr>
            <w:r w:rsidRPr="00967C7D">
              <w:rPr>
                <w:rFonts w:cs="Arial"/>
                <w:bCs/>
                <w:color w:val="auto"/>
                <w:sz w:val="20"/>
              </w:rPr>
              <w:t>EV5/188</w:t>
            </w:r>
          </w:p>
        </w:tc>
        <w:tc>
          <w:tcPr>
            <w:tcW w:w="6230" w:type="dxa"/>
            <w:noWrap/>
          </w:tcPr>
          <w:p w14:paraId="6E2E00DF" w14:textId="77777777" w:rsidR="00967C7D" w:rsidRPr="00967C7D" w:rsidRDefault="00967C7D" w:rsidP="00967C7D">
            <w:pPr>
              <w:keepNext w:val="0"/>
              <w:spacing w:before="0"/>
              <w:rPr>
                <w:rFonts w:cs="Arial"/>
                <w:bCs/>
                <w:color w:val="auto"/>
                <w:sz w:val="20"/>
              </w:rPr>
            </w:pPr>
            <w:r w:rsidRPr="00967C7D">
              <w:rPr>
                <w:rFonts w:cs="Arial"/>
                <w:bCs/>
                <w:color w:val="auto"/>
                <w:sz w:val="20"/>
              </w:rPr>
              <w:t>Maun Way - Kingsmill Road East</w:t>
            </w:r>
          </w:p>
        </w:tc>
        <w:tc>
          <w:tcPr>
            <w:tcW w:w="1847" w:type="dxa"/>
            <w:noWrap/>
          </w:tcPr>
          <w:p w14:paraId="75E468A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349DFAE" w14:textId="77777777" w:rsidTr="00B5314A">
        <w:trPr>
          <w:trHeight w:val="284"/>
        </w:trPr>
        <w:tc>
          <w:tcPr>
            <w:tcW w:w="1280" w:type="dxa"/>
          </w:tcPr>
          <w:p w14:paraId="750625B8" w14:textId="77777777" w:rsidR="00967C7D" w:rsidRPr="00967C7D" w:rsidRDefault="00967C7D" w:rsidP="00967C7D">
            <w:pPr>
              <w:keepNext w:val="0"/>
              <w:spacing w:before="0"/>
              <w:rPr>
                <w:rFonts w:cs="Arial"/>
                <w:bCs/>
                <w:color w:val="auto"/>
                <w:sz w:val="20"/>
              </w:rPr>
            </w:pPr>
            <w:r w:rsidRPr="00967C7D">
              <w:rPr>
                <w:rFonts w:cs="Arial"/>
                <w:bCs/>
                <w:color w:val="auto"/>
                <w:sz w:val="20"/>
              </w:rPr>
              <w:t>EV5/189</w:t>
            </w:r>
          </w:p>
        </w:tc>
        <w:tc>
          <w:tcPr>
            <w:tcW w:w="6230" w:type="dxa"/>
            <w:noWrap/>
          </w:tcPr>
          <w:p w14:paraId="07E1EE8C" w14:textId="77777777" w:rsidR="00967C7D" w:rsidRPr="00967C7D" w:rsidRDefault="00967C7D" w:rsidP="00967C7D">
            <w:pPr>
              <w:keepNext w:val="0"/>
              <w:spacing w:before="0"/>
              <w:rPr>
                <w:rFonts w:cs="Arial"/>
                <w:bCs/>
                <w:color w:val="auto"/>
                <w:sz w:val="20"/>
              </w:rPr>
            </w:pPr>
            <w:r w:rsidRPr="00967C7D">
              <w:rPr>
                <w:rFonts w:cs="Arial"/>
                <w:bCs/>
                <w:color w:val="auto"/>
                <w:sz w:val="20"/>
              </w:rPr>
              <w:t>St Mary Magdalen's Church Cemetery</w:t>
            </w:r>
          </w:p>
        </w:tc>
        <w:tc>
          <w:tcPr>
            <w:tcW w:w="1847" w:type="dxa"/>
            <w:noWrap/>
          </w:tcPr>
          <w:p w14:paraId="01891727"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DEF36F1" w14:textId="77777777" w:rsidTr="00B5314A">
        <w:trPr>
          <w:trHeight w:val="284"/>
        </w:trPr>
        <w:tc>
          <w:tcPr>
            <w:tcW w:w="1280" w:type="dxa"/>
          </w:tcPr>
          <w:p w14:paraId="4416C5A4" w14:textId="77777777" w:rsidR="00967C7D" w:rsidRPr="00967C7D" w:rsidRDefault="00967C7D" w:rsidP="00967C7D">
            <w:pPr>
              <w:keepNext w:val="0"/>
              <w:spacing w:before="0"/>
              <w:rPr>
                <w:rFonts w:cs="Arial"/>
                <w:bCs/>
                <w:color w:val="auto"/>
                <w:sz w:val="20"/>
              </w:rPr>
            </w:pPr>
            <w:r w:rsidRPr="00967C7D">
              <w:rPr>
                <w:rFonts w:cs="Arial"/>
                <w:bCs/>
                <w:color w:val="auto"/>
                <w:sz w:val="20"/>
              </w:rPr>
              <w:t>EV5/190</w:t>
            </w:r>
          </w:p>
        </w:tc>
        <w:tc>
          <w:tcPr>
            <w:tcW w:w="6230" w:type="dxa"/>
            <w:noWrap/>
          </w:tcPr>
          <w:p w14:paraId="38A90918" w14:textId="77777777" w:rsidR="00967C7D" w:rsidRPr="00967C7D" w:rsidRDefault="00967C7D" w:rsidP="00967C7D">
            <w:pPr>
              <w:keepNext w:val="0"/>
              <w:spacing w:before="0"/>
              <w:rPr>
                <w:rFonts w:cs="Arial"/>
                <w:bCs/>
                <w:color w:val="auto"/>
                <w:sz w:val="20"/>
              </w:rPr>
            </w:pPr>
            <w:r w:rsidRPr="00967C7D">
              <w:rPr>
                <w:rFonts w:cs="Arial"/>
                <w:bCs/>
                <w:color w:val="auto"/>
                <w:sz w:val="20"/>
              </w:rPr>
              <w:t>Hosiery Mills Football Ground</w:t>
            </w:r>
          </w:p>
        </w:tc>
        <w:tc>
          <w:tcPr>
            <w:tcW w:w="1847" w:type="dxa"/>
            <w:noWrap/>
          </w:tcPr>
          <w:p w14:paraId="47CEA726"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93FABE1" w14:textId="77777777" w:rsidTr="00B5314A">
        <w:trPr>
          <w:trHeight w:val="284"/>
        </w:trPr>
        <w:tc>
          <w:tcPr>
            <w:tcW w:w="1280" w:type="dxa"/>
          </w:tcPr>
          <w:p w14:paraId="3D1BA919" w14:textId="77777777" w:rsidR="00967C7D" w:rsidRPr="00967C7D" w:rsidRDefault="00967C7D" w:rsidP="00967C7D">
            <w:pPr>
              <w:keepNext w:val="0"/>
              <w:spacing w:before="0"/>
              <w:rPr>
                <w:rFonts w:cs="Arial"/>
                <w:bCs/>
                <w:color w:val="auto"/>
                <w:sz w:val="20"/>
              </w:rPr>
            </w:pPr>
            <w:r w:rsidRPr="00967C7D">
              <w:rPr>
                <w:rFonts w:cs="Arial"/>
                <w:bCs/>
                <w:color w:val="auto"/>
                <w:sz w:val="20"/>
              </w:rPr>
              <w:t>EV5/191</w:t>
            </w:r>
          </w:p>
        </w:tc>
        <w:tc>
          <w:tcPr>
            <w:tcW w:w="6230" w:type="dxa"/>
            <w:noWrap/>
          </w:tcPr>
          <w:p w14:paraId="6932ECFC" w14:textId="77777777" w:rsidR="00967C7D" w:rsidRPr="00967C7D" w:rsidRDefault="00967C7D" w:rsidP="00967C7D">
            <w:pPr>
              <w:keepNext w:val="0"/>
              <w:spacing w:before="0"/>
              <w:rPr>
                <w:rFonts w:cs="Arial"/>
                <w:bCs/>
                <w:color w:val="auto"/>
                <w:sz w:val="20"/>
              </w:rPr>
            </w:pPr>
            <w:r w:rsidRPr="00967C7D">
              <w:rPr>
                <w:rFonts w:cs="Arial"/>
                <w:bCs/>
                <w:color w:val="auto"/>
                <w:sz w:val="20"/>
              </w:rPr>
              <w:t>Sutton Cemetery</w:t>
            </w:r>
          </w:p>
        </w:tc>
        <w:tc>
          <w:tcPr>
            <w:tcW w:w="1847" w:type="dxa"/>
            <w:noWrap/>
          </w:tcPr>
          <w:p w14:paraId="61BA75A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367F163" w14:textId="77777777" w:rsidTr="00B5314A">
        <w:trPr>
          <w:trHeight w:val="284"/>
        </w:trPr>
        <w:tc>
          <w:tcPr>
            <w:tcW w:w="1280" w:type="dxa"/>
          </w:tcPr>
          <w:p w14:paraId="2AB1C363" w14:textId="77777777" w:rsidR="00967C7D" w:rsidRPr="00967C7D" w:rsidRDefault="00967C7D" w:rsidP="00967C7D">
            <w:pPr>
              <w:keepNext w:val="0"/>
              <w:spacing w:before="0"/>
              <w:rPr>
                <w:rFonts w:cs="Arial"/>
                <w:bCs/>
                <w:color w:val="auto"/>
                <w:sz w:val="20"/>
              </w:rPr>
            </w:pPr>
            <w:r w:rsidRPr="00967C7D">
              <w:rPr>
                <w:rFonts w:cs="Arial"/>
                <w:bCs/>
                <w:color w:val="auto"/>
                <w:sz w:val="20"/>
              </w:rPr>
              <w:t>EV5/192</w:t>
            </w:r>
          </w:p>
        </w:tc>
        <w:tc>
          <w:tcPr>
            <w:tcW w:w="6230" w:type="dxa"/>
            <w:noWrap/>
          </w:tcPr>
          <w:p w14:paraId="00A16EFB" w14:textId="77777777" w:rsidR="00967C7D" w:rsidRPr="00967C7D" w:rsidRDefault="00967C7D" w:rsidP="00967C7D">
            <w:pPr>
              <w:keepNext w:val="0"/>
              <w:spacing w:before="0"/>
              <w:rPr>
                <w:rFonts w:cs="Arial"/>
                <w:bCs/>
                <w:color w:val="auto"/>
                <w:sz w:val="20"/>
              </w:rPr>
            </w:pPr>
            <w:r w:rsidRPr="00967C7D">
              <w:rPr>
                <w:rFonts w:cs="Arial"/>
                <w:bCs/>
                <w:color w:val="auto"/>
                <w:sz w:val="20"/>
              </w:rPr>
              <w:t>Hosiery Mills Cricket Ground</w:t>
            </w:r>
          </w:p>
        </w:tc>
        <w:tc>
          <w:tcPr>
            <w:tcW w:w="1847" w:type="dxa"/>
            <w:noWrap/>
          </w:tcPr>
          <w:p w14:paraId="4C2B47A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EFBD058" w14:textId="77777777" w:rsidTr="00B5314A">
        <w:trPr>
          <w:trHeight w:val="284"/>
        </w:trPr>
        <w:tc>
          <w:tcPr>
            <w:tcW w:w="1280" w:type="dxa"/>
          </w:tcPr>
          <w:p w14:paraId="35A4389C" w14:textId="77777777" w:rsidR="00967C7D" w:rsidRPr="00967C7D" w:rsidRDefault="00967C7D" w:rsidP="00967C7D">
            <w:pPr>
              <w:keepNext w:val="0"/>
              <w:spacing w:before="0"/>
              <w:rPr>
                <w:rFonts w:cs="Arial"/>
                <w:bCs/>
                <w:color w:val="auto"/>
                <w:sz w:val="20"/>
              </w:rPr>
            </w:pPr>
            <w:r w:rsidRPr="00967C7D">
              <w:rPr>
                <w:rFonts w:cs="Arial"/>
                <w:bCs/>
                <w:color w:val="auto"/>
                <w:sz w:val="20"/>
              </w:rPr>
              <w:t>EV5/193</w:t>
            </w:r>
          </w:p>
        </w:tc>
        <w:tc>
          <w:tcPr>
            <w:tcW w:w="6230" w:type="dxa"/>
            <w:noWrap/>
          </w:tcPr>
          <w:p w14:paraId="781C83BF" w14:textId="77777777" w:rsidR="00967C7D" w:rsidRPr="00967C7D" w:rsidRDefault="00967C7D" w:rsidP="00967C7D">
            <w:pPr>
              <w:keepNext w:val="0"/>
              <w:spacing w:before="0"/>
              <w:rPr>
                <w:rFonts w:cs="Arial"/>
                <w:bCs/>
                <w:color w:val="auto"/>
                <w:sz w:val="20"/>
              </w:rPr>
            </w:pPr>
            <w:r w:rsidRPr="00967C7D">
              <w:rPr>
                <w:rFonts w:cs="Arial"/>
                <w:bCs/>
                <w:color w:val="auto"/>
                <w:sz w:val="20"/>
              </w:rPr>
              <w:t>Maun Way - Kingsmill Link</w:t>
            </w:r>
          </w:p>
        </w:tc>
        <w:tc>
          <w:tcPr>
            <w:tcW w:w="1847" w:type="dxa"/>
            <w:noWrap/>
          </w:tcPr>
          <w:p w14:paraId="78F736B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2AC102E" w14:textId="77777777" w:rsidTr="00B5314A">
        <w:trPr>
          <w:trHeight w:val="284"/>
        </w:trPr>
        <w:tc>
          <w:tcPr>
            <w:tcW w:w="1280" w:type="dxa"/>
          </w:tcPr>
          <w:p w14:paraId="5D749828" w14:textId="77777777" w:rsidR="00967C7D" w:rsidRPr="00967C7D" w:rsidRDefault="00967C7D" w:rsidP="00967C7D">
            <w:pPr>
              <w:keepNext w:val="0"/>
              <w:spacing w:before="0"/>
              <w:rPr>
                <w:rFonts w:cs="Arial"/>
                <w:bCs/>
                <w:color w:val="auto"/>
                <w:sz w:val="20"/>
              </w:rPr>
            </w:pPr>
            <w:r w:rsidRPr="00967C7D">
              <w:rPr>
                <w:rFonts w:cs="Arial"/>
                <w:bCs/>
                <w:color w:val="auto"/>
                <w:sz w:val="20"/>
              </w:rPr>
              <w:t>EV5/194</w:t>
            </w:r>
          </w:p>
        </w:tc>
        <w:tc>
          <w:tcPr>
            <w:tcW w:w="6230" w:type="dxa"/>
            <w:noWrap/>
          </w:tcPr>
          <w:p w14:paraId="5CFE2EB7" w14:textId="77777777" w:rsidR="00967C7D" w:rsidRPr="00967C7D" w:rsidRDefault="00967C7D" w:rsidP="00967C7D">
            <w:pPr>
              <w:keepNext w:val="0"/>
              <w:spacing w:before="0"/>
              <w:rPr>
                <w:rFonts w:cs="Arial"/>
                <w:bCs/>
                <w:color w:val="auto"/>
                <w:sz w:val="20"/>
              </w:rPr>
            </w:pPr>
            <w:r w:rsidRPr="00967C7D">
              <w:rPr>
                <w:rFonts w:cs="Arial"/>
                <w:bCs/>
                <w:color w:val="auto"/>
                <w:sz w:val="20"/>
              </w:rPr>
              <w:t>Jubilee Road</w:t>
            </w:r>
          </w:p>
        </w:tc>
        <w:tc>
          <w:tcPr>
            <w:tcW w:w="1847" w:type="dxa"/>
            <w:noWrap/>
          </w:tcPr>
          <w:p w14:paraId="1E5309CF"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96539F9" w14:textId="77777777" w:rsidTr="00B5314A">
        <w:trPr>
          <w:trHeight w:val="284"/>
        </w:trPr>
        <w:tc>
          <w:tcPr>
            <w:tcW w:w="1280" w:type="dxa"/>
          </w:tcPr>
          <w:p w14:paraId="4DF5A793" w14:textId="77777777" w:rsidR="00967C7D" w:rsidRPr="00967C7D" w:rsidRDefault="00967C7D" w:rsidP="00967C7D">
            <w:pPr>
              <w:keepNext w:val="0"/>
              <w:spacing w:before="0"/>
              <w:rPr>
                <w:rFonts w:cs="Arial"/>
                <w:bCs/>
                <w:color w:val="auto"/>
                <w:sz w:val="20"/>
              </w:rPr>
            </w:pPr>
            <w:r w:rsidRPr="00967C7D">
              <w:rPr>
                <w:rFonts w:cs="Arial"/>
                <w:bCs/>
                <w:color w:val="auto"/>
                <w:sz w:val="20"/>
              </w:rPr>
              <w:t>EV5/195</w:t>
            </w:r>
          </w:p>
        </w:tc>
        <w:tc>
          <w:tcPr>
            <w:tcW w:w="6230" w:type="dxa"/>
            <w:noWrap/>
          </w:tcPr>
          <w:p w14:paraId="642A9DC6" w14:textId="77777777" w:rsidR="00967C7D" w:rsidRPr="00967C7D" w:rsidRDefault="00967C7D" w:rsidP="00967C7D">
            <w:pPr>
              <w:keepNext w:val="0"/>
              <w:spacing w:before="0"/>
              <w:rPr>
                <w:rFonts w:cs="Arial"/>
                <w:bCs/>
                <w:color w:val="auto"/>
                <w:sz w:val="20"/>
              </w:rPr>
            </w:pPr>
            <w:r w:rsidRPr="00967C7D">
              <w:rPr>
                <w:rFonts w:cs="Arial"/>
                <w:bCs/>
                <w:color w:val="auto"/>
                <w:sz w:val="20"/>
              </w:rPr>
              <w:t>St Mary's Primary School Playing Field</w:t>
            </w:r>
          </w:p>
        </w:tc>
        <w:tc>
          <w:tcPr>
            <w:tcW w:w="1847" w:type="dxa"/>
            <w:noWrap/>
          </w:tcPr>
          <w:p w14:paraId="51F399EF"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B1ABE71" w14:textId="77777777" w:rsidTr="00B5314A">
        <w:trPr>
          <w:trHeight w:val="284"/>
        </w:trPr>
        <w:tc>
          <w:tcPr>
            <w:tcW w:w="1280" w:type="dxa"/>
          </w:tcPr>
          <w:p w14:paraId="0B6DB843" w14:textId="77777777" w:rsidR="00967C7D" w:rsidRPr="00967C7D" w:rsidRDefault="00967C7D" w:rsidP="00967C7D">
            <w:pPr>
              <w:keepNext w:val="0"/>
              <w:spacing w:before="0"/>
              <w:rPr>
                <w:rFonts w:cs="Arial"/>
                <w:bCs/>
                <w:color w:val="auto"/>
                <w:sz w:val="20"/>
              </w:rPr>
            </w:pPr>
            <w:r w:rsidRPr="00967C7D">
              <w:rPr>
                <w:rFonts w:cs="Arial"/>
                <w:bCs/>
                <w:color w:val="auto"/>
                <w:sz w:val="20"/>
              </w:rPr>
              <w:t>EV5/196</w:t>
            </w:r>
          </w:p>
        </w:tc>
        <w:tc>
          <w:tcPr>
            <w:tcW w:w="6230" w:type="dxa"/>
            <w:noWrap/>
          </w:tcPr>
          <w:p w14:paraId="0B429BAA" w14:textId="77777777" w:rsidR="00967C7D" w:rsidRPr="00967C7D" w:rsidRDefault="00967C7D" w:rsidP="00967C7D">
            <w:pPr>
              <w:keepNext w:val="0"/>
              <w:spacing w:before="0"/>
              <w:rPr>
                <w:rFonts w:cs="Arial"/>
                <w:bCs/>
                <w:color w:val="auto"/>
                <w:sz w:val="20"/>
              </w:rPr>
            </w:pPr>
            <w:r w:rsidRPr="00967C7D">
              <w:rPr>
                <w:rFonts w:cs="Arial"/>
                <w:bCs/>
                <w:color w:val="auto"/>
                <w:sz w:val="20"/>
              </w:rPr>
              <w:t>Hillocks School Playing Field</w:t>
            </w:r>
          </w:p>
        </w:tc>
        <w:tc>
          <w:tcPr>
            <w:tcW w:w="1847" w:type="dxa"/>
            <w:noWrap/>
          </w:tcPr>
          <w:p w14:paraId="155A7A83"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0F505B4" w14:textId="77777777" w:rsidTr="00B5314A">
        <w:trPr>
          <w:trHeight w:val="284"/>
        </w:trPr>
        <w:tc>
          <w:tcPr>
            <w:tcW w:w="1280" w:type="dxa"/>
          </w:tcPr>
          <w:p w14:paraId="5C08E07F" w14:textId="77777777" w:rsidR="00967C7D" w:rsidRPr="00967C7D" w:rsidRDefault="00967C7D" w:rsidP="00967C7D">
            <w:pPr>
              <w:keepNext w:val="0"/>
              <w:spacing w:before="0"/>
              <w:rPr>
                <w:rFonts w:cs="Arial"/>
                <w:bCs/>
                <w:color w:val="auto"/>
                <w:sz w:val="20"/>
              </w:rPr>
            </w:pPr>
            <w:r w:rsidRPr="00967C7D">
              <w:rPr>
                <w:rFonts w:cs="Arial"/>
                <w:bCs/>
                <w:color w:val="auto"/>
                <w:sz w:val="20"/>
              </w:rPr>
              <w:t>EV5/197</w:t>
            </w:r>
          </w:p>
        </w:tc>
        <w:tc>
          <w:tcPr>
            <w:tcW w:w="6230" w:type="dxa"/>
            <w:noWrap/>
          </w:tcPr>
          <w:p w14:paraId="5B99541B" w14:textId="77777777" w:rsidR="00967C7D" w:rsidRPr="00967C7D" w:rsidRDefault="00967C7D" w:rsidP="00967C7D">
            <w:pPr>
              <w:keepNext w:val="0"/>
              <w:spacing w:before="0"/>
              <w:rPr>
                <w:rFonts w:cs="Arial"/>
                <w:bCs/>
                <w:color w:val="auto"/>
                <w:sz w:val="20"/>
              </w:rPr>
            </w:pPr>
            <w:r w:rsidRPr="00967C7D">
              <w:rPr>
                <w:rFonts w:cs="Arial"/>
                <w:bCs/>
                <w:color w:val="auto"/>
                <w:sz w:val="20"/>
              </w:rPr>
              <w:t>Springwood View Close</w:t>
            </w:r>
          </w:p>
        </w:tc>
        <w:tc>
          <w:tcPr>
            <w:tcW w:w="1847" w:type="dxa"/>
            <w:noWrap/>
          </w:tcPr>
          <w:p w14:paraId="243C8633"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BE53F0A" w14:textId="77777777" w:rsidTr="00B5314A">
        <w:trPr>
          <w:trHeight w:val="284"/>
        </w:trPr>
        <w:tc>
          <w:tcPr>
            <w:tcW w:w="1280" w:type="dxa"/>
          </w:tcPr>
          <w:p w14:paraId="12E8A68E" w14:textId="77777777" w:rsidR="00967C7D" w:rsidRPr="00967C7D" w:rsidRDefault="00967C7D" w:rsidP="00967C7D">
            <w:pPr>
              <w:keepNext w:val="0"/>
              <w:spacing w:before="0"/>
              <w:rPr>
                <w:rFonts w:cs="Arial"/>
                <w:bCs/>
                <w:color w:val="auto"/>
                <w:sz w:val="20"/>
              </w:rPr>
            </w:pPr>
            <w:r w:rsidRPr="00967C7D">
              <w:rPr>
                <w:rFonts w:cs="Arial"/>
                <w:bCs/>
                <w:color w:val="auto"/>
                <w:sz w:val="20"/>
              </w:rPr>
              <w:t>EV5/198</w:t>
            </w:r>
          </w:p>
        </w:tc>
        <w:tc>
          <w:tcPr>
            <w:tcW w:w="6230" w:type="dxa"/>
            <w:noWrap/>
          </w:tcPr>
          <w:p w14:paraId="024A591A"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Priestsic</w:t>
            </w:r>
            <w:proofErr w:type="spellEnd"/>
            <w:r w:rsidRPr="00967C7D">
              <w:rPr>
                <w:rFonts w:cs="Arial"/>
                <w:bCs/>
                <w:color w:val="auto"/>
                <w:sz w:val="20"/>
              </w:rPr>
              <w:t xml:space="preserve"> Road Recreation Ground</w:t>
            </w:r>
          </w:p>
        </w:tc>
        <w:tc>
          <w:tcPr>
            <w:tcW w:w="1847" w:type="dxa"/>
            <w:noWrap/>
          </w:tcPr>
          <w:p w14:paraId="7948E0CE"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BE46401" w14:textId="77777777" w:rsidTr="00B5314A">
        <w:trPr>
          <w:trHeight w:val="284"/>
        </w:trPr>
        <w:tc>
          <w:tcPr>
            <w:tcW w:w="1280" w:type="dxa"/>
          </w:tcPr>
          <w:p w14:paraId="24B04B4F" w14:textId="77777777" w:rsidR="00967C7D" w:rsidRPr="00967C7D" w:rsidRDefault="00967C7D" w:rsidP="00967C7D">
            <w:pPr>
              <w:keepNext w:val="0"/>
              <w:spacing w:before="0"/>
              <w:rPr>
                <w:rFonts w:cs="Arial"/>
                <w:bCs/>
                <w:color w:val="auto"/>
                <w:sz w:val="20"/>
              </w:rPr>
            </w:pPr>
            <w:r w:rsidRPr="00967C7D">
              <w:rPr>
                <w:rFonts w:cs="Arial"/>
                <w:bCs/>
                <w:color w:val="auto"/>
                <w:sz w:val="20"/>
              </w:rPr>
              <w:t>EV5/199</w:t>
            </w:r>
          </w:p>
        </w:tc>
        <w:tc>
          <w:tcPr>
            <w:tcW w:w="6230" w:type="dxa"/>
            <w:noWrap/>
          </w:tcPr>
          <w:p w14:paraId="1A45E61A"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Priestic</w:t>
            </w:r>
            <w:proofErr w:type="spellEnd"/>
            <w:r w:rsidRPr="00967C7D">
              <w:rPr>
                <w:rFonts w:cs="Arial"/>
                <w:bCs/>
                <w:color w:val="auto"/>
                <w:sz w:val="20"/>
              </w:rPr>
              <w:t xml:space="preserve"> Primary School Field</w:t>
            </w:r>
          </w:p>
        </w:tc>
        <w:tc>
          <w:tcPr>
            <w:tcW w:w="1847" w:type="dxa"/>
            <w:noWrap/>
          </w:tcPr>
          <w:p w14:paraId="0699231B"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5C2F942" w14:textId="77777777" w:rsidTr="00B5314A">
        <w:trPr>
          <w:trHeight w:val="284"/>
        </w:trPr>
        <w:tc>
          <w:tcPr>
            <w:tcW w:w="1280" w:type="dxa"/>
          </w:tcPr>
          <w:p w14:paraId="43DD3FBF" w14:textId="77777777" w:rsidR="00967C7D" w:rsidRPr="00967C7D" w:rsidRDefault="00967C7D" w:rsidP="00967C7D">
            <w:pPr>
              <w:keepNext w:val="0"/>
              <w:spacing w:before="0"/>
              <w:rPr>
                <w:rFonts w:cs="Arial"/>
                <w:bCs/>
                <w:color w:val="auto"/>
                <w:sz w:val="20"/>
              </w:rPr>
            </w:pPr>
            <w:r w:rsidRPr="00967C7D">
              <w:rPr>
                <w:rFonts w:cs="Arial"/>
                <w:bCs/>
                <w:color w:val="auto"/>
                <w:sz w:val="20"/>
              </w:rPr>
              <w:t>EV5/200</w:t>
            </w:r>
          </w:p>
        </w:tc>
        <w:tc>
          <w:tcPr>
            <w:tcW w:w="6230" w:type="dxa"/>
            <w:noWrap/>
          </w:tcPr>
          <w:p w14:paraId="19E363DF" w14:textId="77777777" w:rsidR="00967C7D" w:rsidRPr="00967C7D" w:rsidRDefault="00967C7D" w:rsidP="00967C7D">
            <w:pPr>
              <w:keepNext w:val="0"/>
              <w:spacing w:before="0"/>
              <w:rPr>
                <w:rFonts w:cs="Arial"/>
                <w:bCs/>
                <w:color w:val="auto"/>
                <w:sz w:val="20"/>
              </w:rPr>
            </w:pPr>
            <w:r w:rsidRPr="00967C7D">
              <w:rPr>
                <w:rFonts w:cs="Arial"/>
                <w:bCs/>
                <w:color w:val="auto"/>
                <w:sz w:val="20"/>
              </w:rPr>
              <w:t>Pretty Polly Sports Ground</w:t>
            </w:r>
          </w:p>
        </w:tc>
        <w:tc>
          <w:tcPr>
            <w:tcW w:w="1847" w:type="dxa"/>
            <w:noWrap/>
          </w:tcPr>
          <w:p w14:paraId="437B218D"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A5CB9AB" w14:textId="77777777" w:rsidTr="00B5314A">
        <w:trPr>
          <w:trHeight w:val="284"/>
        </w:trPr>
        <w:tc>
          <w:tcPr>
            <w:tcW w:w="1280" w:type="dxa"/>
          </w:tcPr>
          <w:p w14:paraId="03E14D6B" w14:textId="77777777" w:rsidR="00967C7D" w:rsidRPr="00967C7D" w:rsidRDefault="00967C7D" w:rsidP="00967C7D">
            <w:pPr>
              <w:keepNext w:val="0"/>
              <w:spacing w:before="0"/>
              <w:rPr>
                <w:rFonts w:cs="Arial"/>
                <w:bCs/>
                <w:color w:val="auto"/>
                <w:sz w:val="20"/>
              </w:rPr>
            </w:pPr>
            <w:r w:rsidRPr="00967C7D">
              <w:rPr>
                <w:rFonts w:cs="Arial"/>
                <w:bCs/>
                <w:color w:val="auto"/>
                <w:sz w:val="20"/>
              </w:rPr>
              <w:t>EV5/201</w:t>
            </w:r>
          </w:p>
        </w:tc>
        <w:tc>
          <w:tcPr>
            <w:tcW w:w="6230" w:type="dxa"/>
            <w:noWrap/>
          </w:tcPr>
          <w:p w14:paraId="7563BFAF"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Carsic</w:t>
            </w:r>
            <w:proofErr w:type="spellEnd"/>
            <w:r w:rsidRPr="00967C7D">
              <w:rPr>
                <w:rFonts w:cs="Arial"/>
                <w:bCs/>
                <w:color w:val="auto"/>
                <w:sz w:val="20"/>
              </w:rPr>
              <w:t xml:space="preserve"> School Playing Field</w:t>
            </w:r>
          </w:p>
        </w:tc>
        <w:tc>
          <w:tcPr>
            <w:tcW w:w="1847" w:type="dxa"/>
            <w:noWrap/>
          </w:tcPr>
          <w:p w14:paraId="0EBD972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22578320" w14:textId="77777777" w:rsidTr="00B5314A">
        <w:trPr>
          <w:trHeight w:val="284"/>
        </w:trPr>
        <w:tc>
          <w:tcPr>
            <w:tcW w:w="1280" w:type="dxa"/>
          </w:tcPr>
          <w:p w14:paraId="724B8A51" w14:textId="77777777" w:rsidR="00967C7D" w:rsidRPr="00967C7D" w:rsidRDefault="00967C7D" w:rsidP="00967C7D">
            <w:pPr>
              <w:keepNext w:val="0"/>
              <w:spacing w:before="0"/>
              <w:rPr>
                <w:rFonts w:cs="Arial"/>
                <w:bCs/>
                <w:color w:val="auto"/>
                <w:sz w:val="20"/>
              </w:rPr>
            </w:pPr>
            <w:r w:rsidRPr="00967C7D">
              <w:rPr>
                <w:rFonts w:cs="Arial"/>
                <w:bCs/>
                <w:color w:val="auto"/>
                <w:sz w:val="20"/>
              </w:rPr>
              <w:t>EV5/202</w:t>
            </w:r>
          </w:p>
        </w:tc>
        <w:tc>
          <w:tcPr>
            <w:tcW w:w="6230" w:type="dxa"/>
            <w:noWrap/>
          </w:tcPr>
          <w:p w14:paraId="57064447" w14:textId="77777777" w:rsidR="00967C7D" w:rsidRPr="00967C7D" w:rsidRDefault="00967C7D" w:rsidP="00967C7D">
            <w:pPr>
              <w:keepNext w:val="0"/>
              <w:spacing w:before="0"/>
              <w:rPr>
                <w:rFonts w:cs="Arial"/>
                <w:bCs/>
                <w:color w:val="auto"/>
                <w:sz w:val="20"/>
              </w:rPr>
            </w:pPr>
            <w:r w:rsidRPr="00967C7D">
              <w:rPr>
                <w:rFonts w:cs="Arial"/>
                <w:bCs/>
                <w:color w:val="auto"/>
                <w:sz w:val="20"/>
              </w:rPr>
              <w:t>Westbourne Road</w:t>
            </w:r>
          </w:p>
        </w:tc>
        <w:tc>
          <w:tcPr>
            <w:tcW w:w="1847" w:type="dxa"/>
            <w:noWrap/>
          </w:tcPr>
          <w:p w14:paraId="26764591"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D986518" w14:textId="77777777" w:rsidTr="00B5314A">
        <w:trPr>
          <w:trHeight w:val="284"/>
        </w:trPr>
        <w:tc>
          <w:tcPr>
            <w:tcW w:w="1280" w:type="dxa"/>
          </w:tcPr>
          <w:p w14:paraId="124E25FD" w14:textId="77777777" w:rsidR="00967C7D" w:rsidRPr="00967C7D" w:rsidRDefault="00967C7D" w:rsidP="00967C7D">
            <w:pPr>
              <w:keepNext w:val="0"/>
              <w:spacing w:before="0"/>
              <w:rPr>
                <w:rFonts w:cs="Arial"/>
                <w:bCs/>
                <w:color w:val="auto"/>
                <w:sz w:val="20"/>
              </w:rPr>
            </w:pPr>
            <w:r w:rsidRPr="00967C7D">
              <w:rPr>
                <w:rFonts w:cs="Arial"/>
                <w:bCs/>
                <w:color w:val="auto"/>
                <w:sz w:val="20"/>
              </w:rPr>
              <w:t>EV5/203</w:t>
            </w:r>
          </w:p>
        </w:tc>
        <w:tc>
          <w:tcPr>
            <w:tcW w:w="6230" w:type="dxa"/>
            <w:noWrap/>
          </w:tcPr>
          <w:p w14:paraId="5B1419B3" w14:textId="77777777" w:rsidR="00967C7D" w:rsidRPr="00967C7D" w:rsidRDefault="00967C7D" w:rsidP="00967C7D">
            <w:pPr>
              <w:keepNext w:val="0"/>
              <w:spacing w:before="0"/>
              <w:rPr>
                <w:rFonts w:cs="Arial"/>
                <w:bCs/>
                <w:color w:val="auto"/>
                <w:sz w:val="20"/>
              </w:rPr>
            </w:pPr>
            <w:r w:rsidRPr="00967C7D">
              <w:rPr>
                <w:rFonts w:cs="Arial"/>
                <w:bCs/>
                <w:color w:val="auto"/>
                <w:sz w:val="20"/>
              </w:rPr>
              <w:t>Westbourne Road</w:t>
            </w:r>
          </w:p>
        </w:tc>
        <w:tc>
          <w:tcPr>
            <w:tcW w:w="1847" w:type="dxa"/>
            <w:noWrap/>
          </w:tcPr>
          <w:p w14:paraId="2D2ACA1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325373C" w14:textId="77777777" w:rsidTr="00B5314A">
        <w:trPr>
          <w:trHeight w:val="284"/>
        </w:trPr>
        <w:tc>
          <w:tcPr>
            <w:tcW w:w="1280" w:type="dxa"/>
          </w:tcPr>
          <w:p w14:paraId="3A6B2A27" w14:textId="77777777" w:rsidR="00967C7D" w:rsidRPr="00967C7D" w:rsidRDefault="00967C7D" w:rsidP="00967C7D">
            <w:pPr>
              <w:keepNext w:val="0"/>
              <w:spacing w:before="0"/>
              <w:rPr>
                <w:rFonts w:cs="Arial"/>
                <w:bCs/>
                <w:color w:val="auto"/>
                <w:sz w:val="20"/>
              </w:rPr>
            </w:pPr>
            <w:r w:rsidRPr="00967C7D">
              <w:rPr>
                <w:rFonts w:cs="Arial"/>
                <w:bCs/>
                <w:color w:val="auto"/>
                <w:sz w:val="20"/>
              </w:rPr>
              <w:t>EV5/204</w:t>
            </w:r>
          </w:p>
        </w:tc>
        <w:tc>
          <w:tcPr>
            <w:tcW w:w="6230" w:type="dxa"/>
            <w:noWrap/>
          </w:tcPr>
          <w:p w14:paraId="3C3CEB3E" w14:textId="77777777" w:rsidR="00967C7D" w:rsidRPr="00967C7D" w:rsidRDefault="00967C7D" w:rsidP="00967C7D">
            <w:pPr>
              <w:keepNext w:val="0"/>
              <w:spacing w:before="0"/>
              <w:rPr>
                <w:rFonts w:cs="Arial"/>
                <w:bCs/>
                <w:color w:val="auto"/>
                <w:sz w:val="20"/>
              </w:rPr>
            </w:pPr>
            <w:r w:rsidRPr="00967C7D">
              <w:rPr>
                <w:rFonts w:cs="Arial"/>
                <w:bCs/>
                <w:color w:val="auto"/>
                <w:sz w:val="20"/>
              </w:rPr>
              <w:t>John Davies School Playing Field</w:t>
            </w:r>
          </w:p>
        </w:tc>
        <w:tc>
          <w:tcPr>
            <w:tcW w:w="1847" w:type="dxa"/>
            <w:noWrap/>
          </w:tcPr>
          <w:p w14:paraId="0819718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096AA72" w14:textId="77777777" w:rsidTr="00B5314A">
        <w:trPr>
          <w:trHeight w:val="284"/>
        </w:trPr>
        <w:tc>
          <w:tcPr>
            <w:tcW w:w="1280" w:type="dxa"/>
          </w:tcPr>
          <w:p w14:paraId="55C4E7EA" w14:textId="77777777" w:rsidR="00967C7D" w:rsidRPr="00967C7D" w:rsidRDefault="00967C7D" w:rsidP="00967C7D">
            <w:pPr>
              <w:keepNext w:val="0"/>
              <w:spacing w:before="0"/>
              <w:rPr>
                <w:rFonts w:cs="Arial"/>
                <w:bCs/>
                <w:color w:val="auto"/>
                <w:sz w:val="20"/>
              </w:rPr>
            </w:pPr>
            <w:r w:rsidRPr="00967C7D">
              <w:rPr>
                <w:rFonts w:cs="Arial"/>
                <w:bCs/>
                <w:color w:val="auto"/>
                <w:sz w:val="20"/>
              </w:rPr>
              <w:t>EV5/205</w:t>
            </w:r>
          </w:p>
        </w:tc>
        <w:tc>
          <w:tcPr>
            <w:tcW w:w="6230" w:type="dxa"/>
            <w:noWrap/>
          </w:tcPr>
          <w:p w14:paraId="7E01E428" w14:textId="77777777" w:rsidR="00967C7D" w:rsidRPr="00967C7D" w:rsidRDefault="00967C7D" w:rsidP="00967C7D">
            <w:pPr>
              <w:keepNext w:val="0"/>
              <w:spacing w:before="0"/>
              <w:rPr>
                <w:rFonts w:cs="Arial"/>
                <w:bCs/>
                <w:color w:val="auto"/>
                <w:sz w:val="20"/>
              </w:rPr>
            </w:pPr>
            <w:r w:rsidRPr="00967C7D">
              <w:rPr>
                <w:rFonts w:cs="Arial"/>
                <w:bCs/>
                <w:color w:val="auto"/>
                <w:sz w:val="20"/>
              </w:rPr>
              <w:t>Sowter Avenue</w:t>
            </w:r>
          </w:p>
        </w:tc>
        <w:tc>
          <w:tcPr>
            <w:tcW w:w="1847" w:type="dxa"/>
            <w:noWrap/>
          </w:tcPr>
          <w:p w14:paraId="299ABECE"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89A6F4E" w14:textId="77777777" w:rsidTr="00B5314A">
        <w:trPr>
          <w:trHeight w:val="284"/>
        </w:trPr>
        <w:tc>
          <w:tcPr>
            <w:tcW w:w="1280" w:type="dxa"/>
          </w:tcPr>
          <w:p w14:paraId="1F15A771" w14:textId="77777777" w:rsidR="00967C7D" w:rsidRPr="00967C7D" w:rsidRDefault="00967C7D" w:rsidP="00967C7D">
            <w:pPr>
              <w:keepNext w:val="0"/>
              <w:spacing w:before="0"/>
              <w:rPr>
                <w:rFonts w:cs="Arial"/>
                <w:bCs/>
                <w:color w:val="auto"/>
                <w:sz w:val="20"/>
              </w:rPr>
            </w:pPr>
            <w:r w:rsidRPr="00967C7D">
              <w:rPr>
                <w:rFonts w:cs="Arial"/>
                <w:bCs/>
                <w:color w:val="auto"/>
                <w:sz w:val="20"/>
              </w:rPr>
              <w:t>EV5/206</w:t>
            </w:r>
          </w:p>
        </w:tc>
        <w:tc>
          <w:tcPr>
            <w:tcW w:w="6230" w:type="dxa"/>
            <w:noWrap/>
          </w:tcPr>
          <w:p w14:paraId="1CC54D3B"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Rear of </w:t>
            </w:r>
            <w:proofErr w:type="spellStart"/>
            <w:r w:rsidRPr="00967C7D">
              <w:rPr>
                <w:rFonts w:cs="Arial"/>
                <w:bCs/>
                <w:color w:val="auto"/>
                <w:sz w:val="20"/>
              </w:rPr>
              <w:t>Shortwood</w:t>
            </w:r>
            <w:proofErr w:type="spellEnd"/>
            <w:r w:rsidRPr="00967C7D">
              <w:rPr>
                <w:rFonts w:cs="Arial"/>
                <w:bCs/>
                <w:color w:val="auto"/>
                <w:sz w:val="20"/>
              </w:rPr>
              <w:t xml:space="preserve"> Avenue</w:t>
            </w:r>
          </w:p>
        </w:tc>
        <w:tc>
          <w:tcPr>
            <w:tcW w:w="1847" w:type="dxa"/>
            <w:noWrap/>
          </w:tcPr>
          <w:p w14:paraId="5830863B" w14:textId="77777777" w:rsidR="00967C7D" w:rsidRPr="00967C7D" w:rsidRDefault="00967C7D" w:rsidP="00967C7D">
            <w:pPr>
              <w:keepNext w:val="0"/>
              <w:spacing w:before="0"/>
              <w:rPr>
                <w:rFonts w:cs="Arial"/>
                <w:bCs/>
                <w:color w:val="auto"/>
                <w:sz w:val="20"/>
              </w:rPr>
            </w:pPr>
            <w:r w:rsidRPr="00967C7D">
              <w:rPr>
                <w:rFonts w:cs="Arial"/>
                <w:bCs/>
                <w:color w:val="auto"/>
                <w:sz w:val="20"/>
              </w:rPr>
              <w:t>South Sheet</w:t>
            </w:r>
          </w:p>
        </w:tc>
      </w:tr>
      <w:tr w:rsidR="00967C7D" w:rsidRPr="00967C7D" w14:paraId="38E549D0" w14:textId="77777777" w:rsidTr="00B5314A">
        <w:trPr>
          <w:trHeight w:val="284"/>
        </w:trPr>
        <w:tc>
          <w:tcPr>
            <w:tcW w:w="1280" w:type="dxa"/>
          </w:tcPr>
          <w:p w14:paraId="37ACF66D" w14:textId="77777777" w:rsidR="00967C7D" w:rsidRPr="00967C7D" w:rsidRDefault="00967C7D" w:rsidP="00967C7D">
            <w:pPr>
              <w:keepNext w:val="0"/>
              <w:spacing w:before="0"/>
              <w:rPr>
                <w:rFonts w:cs="Arial"/>
                <w:bCs/>
                <w:color w:val="auto"/>
                <w:sz w:val="20"/>
              </w:rPr>
            </w:pPr>
            <w:r w:rsidRPr="00967C7D">
              <w:rPr>
                <w:rFonts w:cs="Arial"/>
                <w:bCs/>
                <w:color w:val="auto"/>
                <w:sz w:val="20"/>
              </w:rPr>
              <w:t>EV5/207</w:t>
            </w:r>
          </w:p>
        </w:tc>
        <w:tc>
          <w:tcPr>
            <w:tcW w:w="6230" w:type="dxa"/>
            <w:noWrap/>
          </w:tcPr>
          <w:p w14:paraId="01768D71" w14:textId="77777777" w:rsidR="00967C7D" w:rsidRPr="00967C7D" w:rsidRDefault="00967C7D" w:rsidP="00967C7D">
            <w:pPr>
              <w:keepNext w:val="0"/>
              <w:spacing w:before="0"/>
              <w:rPr>
                <w:rFonts w:cs="Arial"/>
                <w:bCs/>
                <w:color w:val="auto"/>
                <w:sz w:val="20"/>
              </w:rPr>
            </w:pPr>
            <w:r w:rsidRPr="00967C7D">
              <w:rPr>
                <w:rFonts w:cs="Arial"/>
                <w:bCs/>
                <w:color w:val="auto"/>
                <w:sz w:val="20"/>
              </w:rPr>
              <w:t>Kingsmill Reservoir</w:t>
            </w:r>
          </w:p>
        </w:tc>
        <w:tc>
          <w:tcPr>
            <w:tcW w:w="1847" w:type="dxa"/>
            <w:noWrap/>
          </w:tcPr>
          <w:p w14:paraId="3C1CD35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71DC748" w14:textId="77777777" w:rsidTr="00B5314A">
        <w:trPr>
          <w:trHeight w:val="284"/>
        </w:trPr>
        <w:tc>
          <w:tcPr>
            <w:tcW w:w="1280" w:type="dxa"/>
          </w:tcPr>
          <w:p w14:paraId="4F4D8A40" w14:textId="77777777" w:rsidR="00967C7D" w:rsidRPr="00967C7D" w:rsidRDefault="00967C7D" w:rsidP="00967C7D">
            <w:pPr>
              <w:keepNext w:val="0"/>
              <w:spacing w:before="0"/>
              <w:rPr>
                <w:rFonts w:cs="Arial"/>
                <w:bCs/>
                <w:color w:val="auto"/>
                <w:sz w:val="20"/>
              </w:rPr>
            </w:pPr>
            <w:r w:rsidRPr="00967C7D">
              <w:rPr>
                <w:rFonts w:cs="Arial"/>
                <w:bCs/>
                <w:color w:val="auto"/>
                <w:sz w:val="20"/>
              </w:rPr>
              <w:t>EV5/208</w:t>
            </w:r>
          </w:p>
        </w:tc>
        <w:tc>
          <w:tcPr>
            <w:tcW w:w="6230" w:type="dxa"/>
            <w:noWrap/>
          </w:tcPr>
          <w:p w14:paraId="6CBDA359" w14:textId="77777777" w:rsidR="00967C7D" w:rsidRPr="00967C7D" w:rsidRDefault="00967C7D" w:rsidP="00967C7D">
            <w:pPr>
              <w:keepNext w:val="0"/>
              <w:spacing w:before="0"/>
              <w:rPr>
                <w:rFonts w:cs="Arial"/>
                <w:bCs/>
                <w:color w:val="auto"/>
                <w:sz w:val="20"/>
              </w:rPr>
            </w:pPr>
            <w:r w:rsidRPr="00967C7D">
              <w:rPr>
                <w:rFonts w:cs="Arial"/>
                <w:bCs/>
                <w:color w:val="auto"/>
                <w:sz w:val="20"/>
              </w:rPr>
              <w:t>The Oval</w:t>
            </w:r>
          </w:p>
        </w:tc>
        <w:tc>
          <w:tcPr>
            <w:tcW w:w="1847" w:type="dxa"/>
            <w:noWrap/>
          </w:tcPr>
          <w:p w14:paraId="42306EF7"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C03CE60" w14:textId="77777777" w:rsidTr="00B5314A">
        <w:trPr>
          <w:trHeight w:val="284"/>
        </w:trPr>
        <w:tc>
          <w:tcPr>
            <w:tcW w:w="1280" w:type="dxa"/>
          </w:tcPr>
          <w:p w14:paraId="2C72EEEC" w14:textId="77777777" w:rsidR="00967C7D" w:rsidRPr="00967C7D" w:rsidRDefault="00967C7D" w:rsidP="00967C7D">
            <w:pPr>
              <w:keepNext w:val="0"/>
              <w:spacing w:before="0"/>
              <w:rPr>
                <w:rFonts w:cs="Arial"/>
                <w:bCs/>
                <w:color w:val="auto"/>
                <w:sz w:val="20"/>
              </w:rPr>
            </w:pPr>
            <w:r w:rsidRPr="00967C7D">
              <w:rPr>
                <w:rFonts w:cs="Arial"/>
                <w:bCs/>
                <w:color w:val="auto"/>
                <w:sz w:val="20"/>
              </w:rPr>
              <w:t>EV5/209</w:t>
            </w:r>
          </w:p>
        </w:tc>
        <w:tc>
          <w:tcPr>
            <w:tcW w:w="6230" w:type="dxa"/>
            <w:noWrap/>
          </w:tcPr>
          <w:p w14:paraId="50449E70"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Stoneyford</w:t>
            </w:r>
            <w:proofErr w:type="spellEnd"/>
            <w:r w:rsidRPr="00967C7D">
              <w:rPr>
                <w:rFonts w:cs="Arial"/>
                <w:bCs/>
                <w:color w:val="auto"/>
                <w:sz w:val="20"/>
              </w:rPr>
              <w:t xml:space="preserve"> Road Trail - South</w:t>
            </w:r>
          </w:p>
        </w:tc>
        <w:tc>
          <w:tcPr>
            <w:tcW w:w="1847" w:type="dxa"/>
            <w:noWrap/>
          </w:tcPr>
          <w:p w14:paraId="737F0C3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421867E" w14:textId="77777777" w:rsidTr="00B5314A">
        <w:trPr>
          <w:trHeight w:val="284"/>
        </w:trPr>
        <w:tc>
          <w:tcPr>
            <w:tcW w:w="1280" w:type="dxa"/>
          </w:tcPr>
          <w:p w14:paraId="69112E96" w14:textId="77777777" w:rsidR="00967C7D" w:rsidRPr="00967C7D" w:rsidRDefault="00967C7D" w:rsidP="00967C7D">
            <w:pPr>
              <w:keepNext w:val="0"/>
              <w:spacing w:before="0"/>
              <w:rPr>
                <w:rFonts w:cs="Arial"/>
                <w:bCs/>
                <w:color w:val="auto"/>
                <w:sz w:val="20"/>
              </w:rPr>
            </w:pPr>
            <w:r w:rsidRPr="00967C7D">
              <w:rPr>
                <w:rFonts w:cs="Arial"/>
                <w:bCs/>
                <w:color w:val="auto"/>
                <w:sz w:val="20"/>
              </w:rPr>
              <w:t>EV5/210</w:t>
            </w:r>
          </w:p>
        </w:tc>
        <w:tc>
          <w:tcPr>
            <w:tcW w:w="6230" w:type="dxa"/>
            <w:noWrap/>
          </w:tcPr>
          <w:p w14:paraId="5335181E" w14:textId="77777777" w:rsidR="00967C7D" w:rsidRPr="00967C7D" w:rsidRDefault="00967C7D" w:rsidP="00967C7D">
            <w:pPr>
              <w:keepNext w:val="0"/>
              <w:spacing w:before="0"/>
              <w:rPr>
                <w:rFonts w:cs="Arial"/>
                <w:bCs/>
                <w:color w:val="auto"/>
                <w:sz w:val="20"/>
              </w:rPr>
            </w:pPr>
            <w:r w:rsidRPr="00967C7D">
              <w:rPr>
                <w:rFonts w:cs="Arial"/>
                <w:bCs/>
                <w:color w:val="auto"/>
                <w:sz w:val="20"/>
              </w:rPr>
              <w:t>Lawrence Crescent</w:t>
            </w:r>
          </w:p>
        </w:tc>
        <w:tc>
          <w:tcPr>
            <w:tcW w:w="1847" w:type="dxa"/>
            <w:noWrap/>
          </w:tcPr>
          <w:p w14:paraId="36EB18C1"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57936F7" w14:textId="77777777" w:rsidTr="00B5314A">
        <w:trPr>
          <w:trHeight w:val="284"/>
        </w:trPr>
        <w:tc>
          <w:tcPr>
            <w:tcW w:w="1280" w:type="dxa"/>
          </w:tcPr>
          <w:p w14:paraId="45317C92" w14:textId="77777777" w:rsidR="00967C7D" w:rsidRPr="00967C7D" w:rsidRDefault="00967C7D" w:rsidP="00967C7D">
            <w:pPr>
              <w:keepNext w:val="0"/>
              <w:spacing w:before="0"/>
              <w:rPr>
                <w:rFonts w:cs="Arial"/>
                <w:bCs/>
                <w:color w:val="auto"/>
                <w:sz w:val="20"/>
              </w:rPr>
            </w:pPr>
            <w:r w:rsidRPr="00967C7D">
              <w:rPr>
                <w:rFonts w:cs="Arial"/>
                <w:bCs/>
                <w:color w:val="auto"/>
                <w:sz w:val="20"/>
              </w:rPr>
              <w:t>EV5/211</w:t>
            </w:r>
          </w:p>
        </w:tc>
        <w:tc>
          <w:tcPr>
            <w:tcW w:w="6230" w:type="dxa"/>
            <w:noWrap/>
          </w:tcPr>
          <w:p w14:paraId="1684BCFE"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Stoneyford</w:t>
            </w:r>
            <w:proofErr w:type="spellEnd"/>
            <w:r w:rsidRPr="00967C7D">
              <w:rPr>
                <w:rFonts w:cs="Arial"/>
                <w:bCs/>
                <w:color w:val="auto"/>
                <w:sz w:val="20"/>
              </w:rPr>
              <w:t xml:space="preserve"> Road Recreation Ground</w:t>
            </w:r>
          </w:p>
        </w:tc>
        <w:tc>
          <w:tcPr>
            <w:tcW w:w="1847" w:type="dxa"/>
            <w:noWrap/>
          </w:tcPr>
          <w:p w14:paraId="7D53087A"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A25E9EC" w14:textId="77777777" w:rsidTr="00B5314A">
        <w:trPr>
          <w:trHeight w:val="284"/>
        </w:trPr>
        <w:tc>
          <w:tcPr>
            <w:tcW w:w="1280" w:type="dxa"/>
          </w:tcPr>
          <w:p w14:paraId="463E8B4E" w14:textId="77777777" w:rsidR="00967C7D" w:rsidRPr="00967C7D" w:rsidRDefault="00967C7D" w:rsidP="00967C7D">
            <w:pPr>
              <w:keepNext w:val="0"/>
              <w:spacing w:before="0"/>
              <w:rPr>
                <w:rFonts w:cs="Arial"/>
                <w:bCs/>
                <w:color w:val="auto"/>
                <w:sz w:val="20"/>
              </w:rPr>
            </w:pPr>
            <w:r w:rsidRPr="00967C7D">
              <w:rPr>
                <w:rFonts w:cs="Arial"/>
                <w:bCs/>
                <w:color w:val="auto"/>
                <w:sz w:val="20"/>
              </w:rPr>
              <w:t>EV5/212</w:t>
            </w:r>
          </w:p>
        </w:tc>
        <w:tc>
          <w:tcPr>
            <w:tcW w:w="6230" w:type="dxa"/>
            <w:noWrap/>
          </w:tcPr>
          <w:p w14:paraId="687306A0" w14:textId="77777777" w:rsidR="00967C7D" w:rsidRPr="00967C7D" w:rsidRDefault="00967C7D" w:rsidP="00967C7D">
            <w:pPr>
              <w:keepNext w:val="0"/>
              <w:spacing w:before="0"/>
              <w:rPr>
                <w:rFonts w:cs="Arial"/>
                <w:bCs/>
                <w:color w:val="auto"/>
                <w:sz w:val="20"/>
              </w:rPr>
            </w:pPr>
            <w:r w:rsidRPr="00967C7D">
              <w:rPr>
                <w:rFonts w:cs="Arial"/>
                <w:bCs/>
                <w:color w:val="auto"/>
                <w:sz w:val="20"/>
              </w:rPr>
              <w:t>Brierley Forest Park</w:t>
            </w:r>
          </w:p>
        </w:tc>
        <w:tc>
          <w:tcPr>
            <w:tcW w:w="1847" w:type="dxa"/>
            <w:noWrap/>
          </w:tcPr>
          <w:p w14:paraId="1FD2196B"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E25D843" w14:textId="77777777" w:rsidTr="00B5314A">
        <w:trPr>
          <w:trHeight w:val="284"/>
        </w:trPr>
        <w:tc>
          <w:tcPr>
            <w:tcW w:w="1280" w:type="dxa"/>
          </w:tcPr>
          <w:p w14:paraId="7B8BEA95" w14:textId="77777777" w:rsidR="00967C7D" w:rsidRPr="00967C7D" w:rsidRDefault="00967C7D" w:rsidP="00967C7D">
            <w:pPr>
              <w:keepNext w:val="0"/>
              <w:spacing w:before="0"/>
              <w:rPr>
                <w:rFonts w:cs="Arial"/>
                <w:bCs/>
                <w:color w:val="auto"/>
                <w:sz w:val="20"/>
              </w:rPr>
            </w:pPr>
            <w:r w:rsidRPr="00967C7D">
              <w:rPr>
                <w:rFonts w:cs="Arial"/>
                <w:bCs/>
                <w:color w:val="auto"/>
                <w:sz w:val="20"/>
              </w:rPr>
              <w:t>EV5/213</w:t>
            </w:r>
          </w:p>
        </w:tc>
        <w:tc>
          <w:tcPr>
            <w:tcW w:w="6230" w:type="dxa"/>
            <w:noWrap/>
          </w:tcPr>
          <w:p w14:paraId="41B34CE4" w14:textId="77777777" w:rsidR="00967C7D" w:rsidRPr="00967C7D" w:rsidRDefault="00967C7D" w:rsidP="00967C7D">
            <w:pPr>
              <w:keepNext w:val="0"/>
              <w:spacing w:before="0"/>
              <w:rPr>
                <w:rFonts w:cs="Arial"/>
                <w:bCs/>
                <w:color w:val="auto"/>
                <w:sz w:val="20"/>
              </w:rPr>
            </w:pPr>
            <w:r w:rsidRPr="00967C7D">
              <w:rPr>
                <w:rFonts w:cs="Arial"/>
                <w:bCs/>
                <w:color w:val="auto"/>
                <w:sz w:val="20"/>
              </w:rPr>
              <w:t>Hill Crescent</w:t>
            </w:r>
          </w:p>
        </w:tc>
        <w:tc>
          <w:tcPr>
            <w:tcW w:w="1847" w:type="dxa"/>
            <w:noWrap/>
          </w:tcPr>
          <w:p w14:paraId="16999CE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6D435FE" w14:textId="77777777" w:rsidTr="00B5314A">
        <w:trPr>
          <w:trHeight w:val="284"/>
        </w:trPr>
        <w:tc>
          <w:tcPr>
            <w:tcW w:w="1280" w:type="dxa"/>
          </w:tcPr>
          <w:p w14:paraId="2CE6439B" w14:textId="77777777" w:rsidR="00967C7D" w:rsidRPr="00967C7D" w:rsidRDefault="00967C7D" w:rsidP="00967C7D">
            <w:pPr>
              <w:keepNext w:val="0"/>
              <w:spacing w:before="0"/>
              <w:rPr>
                <w:rFonts w:cs="Arial"/>
                <w:bCs/>
                <w:color w:val="auto"/>
                <w:sz w:val="20"/>
              </w:rPr>
            </w:pPr>
            <w:r w:rsidRPr="00967C7D">
              <w:rPr>
                <w:rFonts w:cs="Arial"/>
                <w:bCs/>
                <w:color w:val="auto"/>
                <w:sz w:val="20"/>
              </w:rPr>
              <w:t>EV5/214</w:t>
            </w:r>
          </w:p>
        </w:tc>
        <w:tc>
          <w:tcPr>
            <w:tcW w:w="6230" w:type="dxa"/>
            <w:noWrap/>
          </w:tcPr>
          <w:p w14:paraId="18BC4CCE"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Dalestorth</w:t>
            </w:r>
            <w:proofErr w:type="spellEnd"/>
            <w:r w:rsidRPr="00967C7D">
              <w:rPr>
                <w:rFonts w:cs="Arial"/>
                <w:bCs/>
                <w:color w:val="auto"/>
                <w:sz w:val="20"/>
              </w:rPr>
              <w:t xml:space="preserve"> School Playing Field</w:t>
            </w:r>
          </w:p>
        </w:tc>
        <w:tc>
          <w:tcPr>
            <w:tcW w:w="1847" w:type="dxa"/>
            <w:noWrap/>
          </w:tcPr>
          <w:p w14:paraId="0ADB36DB"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8326066" w14:textId="77777777" w:rsidTr="00B5314A">
        <w:trPr>
          <w:trHeight w:val="284"/>
        </w:trPr>
        <w:tc>
          <w:tcPr>
            <w:tcW w:w="1280" w:type="dxa"/>
          </w:tcPr>
          <w:p w14:paraId="66282138" w14:textId="77777777" w:rsidR="00967C7D" w:rsidRPr="00967C7D" w:rsidRDefault="00967C7D" w:rsidP="00967C7D">
            <w:pPr>
              <w:keepNext w:val="0"/>
              <w:spacing w:before="0"/>
              <w:rPr>
                <w:rFonts w:cs="Arial"/>
                <w:bCs/>
                <w:color w:val="auto"/>
                <w:sz w:val="20"/>
              </w:rPr>
            </w:pPr>
            <w:r w:rsidRPr="00967C7D">
              <w:rPr>
                <w:rFonts w:cs="Arial"/>
                <w:bCs/>
                <w:color w:val="auto"/>
                <w:sz w:val="20"/>
              </w:rPr>
              <w:t>EV5/215</w:t>
            </w:r>
          </w:p>
        </w:tc>
        <w:tc>
          <w:tcPr>
            <w:tcW w:w="6230" w:type="dxa"/>
            <w:noWrap/>
          </w:tcPr>
          <w:p w14:paraId="2C8F5A48" w14:textId="77777777" w:rsidR="00967C7D" w:rsidRPr="00967C7D" w:rsidRDefault="00967C7D" w:rsidP="00967C7D">
            <w:pPr>
              <w:keepNext w:val="0"/>
              <w:spacing w:before="0"/>
              <w:rPr>
                <w:rFonts w:cs="Arial"/>
                <w:bCs/>
                <w:color w:val="auto"/>
                <w:sz w:val="20"/>
              </w:rPr>
            </w:pPr>
            <w:r w:rsidRPr="00967C7D">
              <w:rPr>
                <w:rFonts w:cs="Arial"/>
                <w:bCs/>
                <w:color w:val="auto"/>
                <w:sz w:val="20"/>
              </w:rPr>
              <w:t>Cosgrove Avenue footpath</w:t>
            </w:r>
          </w:p>
        </w:tc>
        <w:tc>
          <w:tcPr>
            <w:tcW w:w="1847" w:type="dxa"/>
            <w:noWrap/>
          </w:tcPr>
          <w:p w14:paraId="12873614"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FFA3FAE" w14:textId="77777777" w:rsidTr="00B5314A">
        <w:trPr>
          <w:trHeight w:val="284"/>
        </w:trPr>
        <w:tc>
          <w:tcPr>
            <w:tcW w:w="1280" w:type="dxa"/>
          </w:tcPr>
          <w:p w14:paraId="6FA91FAA" w14:textId="77777777" w:rsidR="00967C7D" w:rsidRPr="00967C7D" w:rsidRDefault="00967C7D" w:rsidP="00967C7D">
            <w:pPr>
              <w:keepNext w:val="0"/>
              <w:spacing w:before="0"/>
              <w:rPr>
                <w:rFonts w:cs="Arial"/>
                <w:bCs/>
                <w:color w:val="auto"/>
                <w:sz w:val="20"/>
              </w:rPr>
            </w:pPr>
            <w:r w:rsidRPr="00967C7D">
              <w:rPr>
                <w:rFonts w:cs="Arial"/>
                <w:bCs/>
                <w:color w:val="auto"/>
                <w:sz w:val="20"/>
              </w:rPr>
              <w:t>EV5/216</w:t>
            </w:r>
          </w:p>
        </w:tc>
        <w:tc>
          <w:tcPr>
            <w:tcW w:w="6230" w:type="dxa"/>
            <w:noWrap/>
          </w:tcPr>
          <w:p w14:paraId="4630AB34" w14:textId="77777777" w:rsidR="00967C7D" w:rsidRPr="00967C7D" w:rsidRDefault="00967C7D" w:rsidP="00967C7D">
            <w:pPr>
              <w:keepNext w:val="0"/>
              <w:spacing w:before="0"/>
              <w:rPr>
                <w:rFonts w:cs="Arial"/>
                <w:bCs/>
                <w:color w:val="auto"/>
                <w:sz w:val="20"/>
              </w:rPr>
            </w:pPr>
            <w:r w:rsidRPr="00967C7D">
              <w:rPr>
                <w:rFonts w:cs="Arial"/>
                <w:bCs/>
                <w:color w:val="auto"/>
                <w:sz w:val="20"/>
              </w:rPr>
              <w:t>Cosgrove Avenue Open Space</w:t>
            </w:r>
          </w:p>
        </w:tc>
        <w:tc>
          <w:tcPr>
            <w:tcW w:w="1847" w:type="dxa"/>
            <w:noWrap/>
          </w:tcPr>
          <w:p w14:paraId="5424B9D7"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281FD79" w14:textId="77777777" w:rsidTr="00B5314A">
        <w:trPr>
          <w:trHeight w:val="284"/>
        </w:trPr>
        <w:tc>
          <w:tcPr>
            <w:tcW w:w="1280" w:type="dxa"/>
          </w:tcPr>
          <w:p w14:paraId="5E69B021" w14:textId="77777777" w:rsidR="00967C7D" w:rsidRPr="00967C7D" w:rsidRDefault="00967C7D" w:rsidP="00967C7D">
            <w:pPr>
              <w:keepNext w:val="0"/>
              <w:spacing w:before="0"/>
              <w:rPr>
                <w:rFonts w:cs="Arial"/>
                <w:bCs/>
                <w:color w:val="auto"/>
                <w:sz w:val="20"/>
              </w:rPr>
            </w:pPr>
            <w:r w:rsidRPr="00967C7D">
              <w:rPr>
                <w:rFonts w:cs="Arial"/>
                <w:bCs/>
                <w:color w:val="auto"/>
                <w:sz w:val="20"/>
              </w:rPr>
              <w:t>EV5/217</w:t>
            </w:r>
          </w:p>
        </w:tc>
        <w:tc>
          <w:tcPr>
            <w:tcW w:w="6230" w:type="dxa"/>
            <w:noWrap/>
          </w:tcPr>
          <w:p w14:paraId="1796CB7D"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Quarrydale</w:t>
            </w:r>
            <w:proofErr w:type="spellEnd"/>
            <w:r w:rsidRPr="00967C7D">
              <w:rPr>
                <w:rFonts w:cs="Arial"/>
                <w:bCs/>
                <w:color w:val="auto"/>
                <w:sz w:val="20"/>
              </w:rPr>
              <w:t xml:space="preserve"> Road Recreation Ground</w:t>
            </w:r>
          </w:p>
        </w:tc>
        <w:tc>
          <w:tcPr>
            <w:tcW w:w="1847" w:type="dxa"/>
            <w:noWrap/>
          </w:tcPr>
          <w:p w14:paraId="0F094AA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185C9FD" w14:textId="77777777" w:rsidTr="00B5314A">
        <w:trPr>
          <w:trHeight w:val="284"/>
        </w:trPr>
        <w:tc>
          <w:tcPr>
            <w:tcW w:w="1280" w:type="dxa"/>
          </w:tcPr>
          <w:p w14:paraId="7FE6011E" w14:textId="77777777" w:rsidR="00967C7D" w:rsidRPr="00967C7D" w:rsidRDefault="00967C7D" w:rsidP="00967C7D">
            <w:pPr>
              <w:keepNext w:val="0"/>
              <w:spacing w:before="0"/>
              <w:rPr>
                <w:rFonts w:cs="Arial"/>
                <w:bCs/>
                <w:color w:val="auto"/>
                <w:sz w:val="20"/>
              </w:rPr>
            </w:pPr>
            <w:r w:rsidRPr="00967C7D">
              <w:rPr>
                <w:rFonts w:cs="Arial"/>
                <w:bCs/>
                <w:color w:val="auto"/>
                <w:sz w:val="20"/>
              </w:rPr>
              <w:t>EV5/218</w:t>
            </w:r>
          </w:p>
        </w:tc>
        <w:tc>
          <w:tcPr>
            <w:tcW w:w="6230" w:type="dxa"/>
            <w:noWrap/>
          </w:tcPr>
          <w:p w14:paraId="35C5C6F9"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Quarrydale</w:t>
            </w:r>
            <w:proofErr w:type="spellEnd"/>
            <w:r w:rsidRPr="00967C7D">
              <w:rPr>
                <w:rFonts w:cs="Arial"/>
                <w:bCs/>
                <w:color w:val="auto"/>
                <w:sz w:val="20"/>
              </w:rPr>
              <w:t xml:space="preserve"> Comprehensive School Playing Field</w:t>
            </w:r>
          </w:p>
        </w:tc>
        <w:tc>
          <w:tcPr>
            <w:tcW w:w="1847" w:type="dxa"/>
            <w:noWrap/>
          </w:tcPr>
          <w:p w14:paraId="7F6F07A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4073E22" w14:textId="77777777" w:rsidTr="00B5314A">
        <w:trPr>
          <w:trHeight w:val="284"/>
        </w:trPr>
        <w:tc>
          <w:tcPr>
            <w:tcW w:w="1280" w:type="dxa"/>
          </w:tcPr>
          <w:p w14:paraId="64A2E8D1" w14:textId="77777777" w:rsidR="00967C7D" w:rsidRPr="00967C7D" w:rsidRDefault="00967C7D" w:rsidP="00967C7D">
            <w:pPr>
              <w:keepNext w:val="0"/>
              <w:spacing w:before="0"/>
              <w:rPr>
                <w:rFonts w:cs="Arial"/>
                <w:bCs/>
                <w:color w:val="auto"/>
                <w:sz w:val="20"/>
              </w:rPr>
            </w:pPr>
            <w:r w:rsidRPr="00967C7D">
              <w:rPr>
                <w:rFonts w:cs="Arial"/>
                <w:bCs/>
                <w:color w:val="auto"/>
                <w:sz w:val="20"/>
              </w:rPr>
              <w:t>EV5/219</w:t>
            </w:r>
          </w:p>
        </w:tc>
        <w:tc>
          <w:tcPr>
            <w:tcW w:w="6230" w:type="dxa"/>
            <w:noWrap/>
          </w:tcPr>
          <w:p w14:paraId="58CA8812" w14:textId="77777777" w:rsidR="00967C7D" w:rsidRPr="00967C7D" w:rsidRDefault="00967C7D" w:rsidP="00967C7D">
            <w:pPr>
              <w:keepNext w:val="0"/>
              <w:spacing w:before="0"/>
              <w:rPr>
                <w:rFonts w:cs="Arial"/>
                <w:bCs/>
                <w:color w:val="auto"/>
                <w:sz w:val="20"/>
              </w:rPr>
            </w:pPr>
            <w:r w:rsidRPr="00967C7D">
              <w:rPr>
                <w:rFonts w:cs="Arial"/>
                <w:bCs/>
                <w:color w:val="auto"/>
                <w:sz w:val="20"/>
              </w:rPr>
              <w:t>Stamper Crescent Recreation Ground</w:t>
            </w:r>
          </w:p>
        </w:tc>
        <w:tc>
          <w:tcPr>
            <w:tcW w:w="1847" w:type="dxa"/>
            <w:noWrap/>
          </w:tcPr>
          <w:p w14:paraId="6CD2F4D3"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3B96A22" w14:textId="77777777" w:rsidTr="00B5314A">
        <w:trPr>
          <w:trHeight w:val="284"/>
        </w:trPr>
        <w:tc>
          <w:tcPr>
            <w:tcW w:w="1280" w:type="dxa"/>
          </w:tcPr>
          <w:p w14:paraId="54E78561" w14:textId="77777777" w:rsidR="00967C7D" w:rsidRPr="00967C7D" w:rsidRDefault="00967C7D" w:rsidP="00967C7D">
            <w:pPr>
              <w:keepNext w:val="0"/>
              <w:spacing w:before="0"/>
              <w:rPr>
                <w:rFonts w:cs="Arial"/>
                <w:bCs/>
                <w:color w:val="auto"/>
                <w:sz w:val="20"/>
              </w:rPr>
            </w:pPr>
            <w:r w:rsidRPr="00967C7D">
              <w:rPr>
                <w:rFonts w:cs="Arial"/>
                <w:bCs/>
                <w:color w:val="auto"/>
                <w:sz w:val="20"/>
              </w:rPr>
              <w:t>EV5/220</w:t>
            </w:r>
          </w:p>
        </w:tc>
        <w:tc>
          <w:tcPr>
            <w:tcW w:w="6230" w:type="dxa"/>
            <w:noWrap/>
          </w:tcPr>
          <w:p w14:paraId="50F4AAC9" w14:textId="77777777" w:rsidR="00967C7D" w:rsidRPr="00967C7D" w:rsidRDefault="00967C7D" w:rsidP="00967C7D">
            <w:pPr>
              <w:keepNext w:val="0"/>
              <w:spacing w:before="0"/>
              <w:rPr>
                <w:rFonts w:cs="Arial"/>
                <w:bCs/>
                <w:color w:val="auto"/>
                <w:sz w:val="20"/>
              </w:rPr>
            </w:pPr>
            <w:r w:rsidRPr="00967C7D">
              <w:rPr>
                <w:rFonts w:cs="Arial"/>
                <w:bCs/>
                <w:color w:val="auto"/>
                <w:sz w:val="20"/>
              </w:rPr>
              <w:t>St Andrew's Church of England School Playing Field</w:t>
            </w:r>
          </w:p>
        </w:tc>
        <w:tc>
          <w:tcPr>
            <w:tcW w:w="1847" w:type="dxa"/>
            <w:noWrap/>
          </w:tcPr>
          <w:p w14:paraId="5548C4F9"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65FCB0C" w14:textId="77777777" w:rsidTr="00B5314A">
        <w:trPr>
          <w:trHeight w:val="284"/>
        </w:trPr>
        <w:tc>
          <w:tcPr>
            <w:tcW w:w="1280" w:type="dxa"/>
          </w:tcPr>
          <w:p w14:paraId="5B2986D9" w14:textId="77777777" w:rsidR="00967C7D" w:rsidRPr="00967C7D" w:rsidRDefault="00967C7D" w:rsidP="00967C7D">
            <w:pPr>
              <w:keepNext w:val="0"/>
              <w:spacing w:before="0"/>
              <w:rPr>
                <w:rFonts w:cs="Arial"/>
                <w:bCs/>
                <w:color w:val="auto"/>
                <w:sz w:val="20"/>
              </w:rPr>
            </w:pPr>
            <w:r w:rsidRPr="00967C7D">
              <w:rPr>
                <w:rFonts w:cs="Arial"/>
                <w:bCs/>
                <w:color w:val="auto"/>
                <w:sz w:val="20"/>
              </w:rPr>
              <w:t>EV5/221</w:t>
            </w:r>
          </w:p>
        </w:tc>
        <w:tc>
          <w:tcPr>
            <w:tcW w:w="6230" w:type="dxa"/>
            <w:noWrap/>
          </w:tcPr>
          <w:p w14:paraId="63270D45" w14:textId="77777777" w:rsidR="00967C7D" w:rsidRPr="00967C7D" w:rsidRDefault="00967C7D" w:rsidP="00967C7D">
            <w:pPr>
              <w:keepNext w:val="0"/>
              <w:spacing w:before="0"/>
              <w:rPr>
                <w:rFonts w:cs="Arial"/>
                <w:bCs/>
                <w:color w:val="auto"/>
                <w:sz w:val="20"/>
              </w:rPr>
            </w:pPr>
            <w:r w:rsidRPr="00967C7D">
              <w:rPr>
                <w:rFonts w:cs="Arial"/>
                <w:bCs/>
                <w:color w:val="auto"/>
                <w:sz w:val="20"/>
              </w:rPr>
              <w:t>Saville Road</w:t>
            </w:r>
          </w:p>
        </w:tc>
        <w:tc>
          <w:tcPr>
            <w:tcW w:w="1847" w:type="dxa"/>
            <w:noWrap/>
          </w:tcPr>
          <w:p w14:paraId="6C34F31F"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63D567C" w14:textId="77777777" w:rsidTr="00B5314A">
        <w:trPr>
          <w:trHeight w:val="284"/>
        </w:trPr>
        <w:tc>
          <w:tcPr>
            <w:tcW w:w="1280" w:type="dxa"/>
          </w:tcPr>
          <w:p w14:paraId="63FD5CA8" w14:textId="77777777" w:rsidR="00967C7D" w:rsidRPr="00967C7D" w:rsidRDefault="00967C7D" w:rsidP="00967C7D">
            <w:pPr>
              <w:keepNext w:val="0"/>
              <w:spacing w:before="0"/>
              <w:rPr>
                <w:rFonts w:cs="Arial"/>
                <w:bCs/>
                <w:color w:val="auto"/>
                <w:sz w:val="20"/>
              </w:rPr>
            </w:pPr>
            <w:r w:rsidRPr="00967C7D">
              <w:rPr>
                <w:rFonts w:cs="Arial"/>
                <w:bCs/>
                <w:color w:val="auto"/>
                <w:sz w:val="20"/>
              </w:rPr>
              <w:t>EV5/222</w:t>
            </w:r>
          </w:p>
        </w:tc>
        <w:tc>
          <w:tcPr>
            <w:tcW w:w="6230" w:type="dxa"/>
            <w:noWrap/>
          </w:tcPr>
          <w:p w14:paraId="09D875F2" w14:textId="77777777" w:rsidR="00967C7D" w:rsidRPr="00967C7D" w:rsidRDefault="00967C7D" w:rsidP="00967C7D">
            <w:pPr>
              <w:keepNext w:val="0"/>
              <w:spacing w:before="0"/>
              <w:rPr>
                <w:rFonts w:cs="Arial"/>
                <w:bCs/>
                <w:color w:val="auto"/>
                <w:sz w:val="20"/>
              </w:rPr>
            </w:pPr>
            <w:r w:rsidRPr="00967C7D">
              <w:rPr>
                <w:rFonts w:cs="Arial"/>
                <w:bCs/>
                <w:color w:val="auto"/>
                <w:sz w:val="20"/>
              </w:rPr>
              <w:t>Nunn Brook</w:t>
            </w:r>
          </w:p>
        </w:tc>
        <w:tc>
          <w:tcPr>
            <w:tcW w:w="1847" w:type="dxa"/>
            <w:noWrap/>
          </w:tcPr>
          <w:p w14:paraId="50318161"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779365C" w14:textId="77777777" w:rsidTr="00B5314A">
        <w:trPr>
          <w:trHeight w:val="284"/>
        </w:trPr>
        <w:tc>
          <w:tcPr>
            <w:tcW w:w="1280" w:type="dxa"/>
          </w:tcPr>
          <w:p w14:paraId="4A2B8A45" w14:textId="77777777" w:rsidR="00967C7D" w:rsidRPr="00967C7D" w:rsidRDefault="00967C7D" w:rsidP="00967C7D">
            <w:pPr>
              <w:keepNext w:val="0"/>
              <w:spacing w:before="0"/>
              <w:rPr>
                <w:rFonts w:cs="Arial"/>
                <w:bCs/>
                <w:color w:val="auto"/>
                <w:sz w:val="20"/>
              </w:rPr>
            </w:pPr>
            <w:r w:rsidRPr="00967C7D">
              <w:rPr>
                <w:rFonts w:cs="Arial"/>
                <w:bCs/>
                <w:color w:val="auto"/>
                <w:sz w:val="20"/>
              </w:rPr>
              <w:t>EV5/223</w:t>
            </w:r>
          </w:p>
        </w:tc>
        <w:tc>
          <w:tcPr>
            <w:tcW w:w="6230" w:type="dxa"/>
            <w:noWrap/>
          </w:tcPr>
          <w:p w14:paraId="03644DE4" w14:textId="77777777" w:rsidR="00967C7D" w:rsidRPr="00967C7D" w:rsidRDefault="00967C7D" w:rsidP="00967C7D">
            <w:pPr>
              <w:keepNext w:val="0"/>
              <w:spacing w:before="0"/>
              <w:rPr>
                <w:rFonts w:cs="Arial"/>
                <w:bCs/>
                <w:color w:val="auto"/>
                <w:sz w:val="20"/>
              </w:rPr>
            </w:pPr>
            <w:r w:rsidRPr="00967C7D">
              <w:rPr>
                <w:rFonts w:cs="Arial"/>
                <w:bCs/>
                <w:color w:val="auto"/>
                <w:sz w:val="20"/>
              </w:rPr>
              <w:t>Rookery Park</w:t>
            </w:r>
          </w:p>
        </w:tc>
        <w:tc>
          <w:tcPr>
            <w:tcW w:w="1847" w:type="dxa"/>
            <w:noWrap/>
          </w:tcPr>
          <w:p w14:paraId="3A0CC89E"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015568E" w14:textId="77777777" w:rsidTr="00B5314A">
        <w:trPr>
          <w:trHeight w:val="284"/>
        </w:trPr>
        <w:tc>
          <w:tcPr>
            <w:tcW w:w="1280" w:type="dxa"/>
          </w:tcPr>
          <w:p w14:paraId="20271C8C" w14:textId="77777777" w:rsidR="00967C7D" w:rsidRPr="00967C7D" w:rsidRDefault="00967C7D" w:rsidP="00967C7D">
            <w:pPr>
              <w:keepNext w:val="0"/>
              <w:spacing w:before="0"/>
              <w:rPr>
                <w:rFonts w:cs="Arial"/>
                <w:bCs/>
                <w:color w:val="auto"/>
                <w:sz w:val="20"/>
              </w:rPr>
            </w:pPr>
            <w:r w:rsidRPr="00967C7D">
              <w:rPr>
                <w:rFonts w:cs="Arial"/>
                <w:bCs/>
                <w:color w:val="auto"/>
                <w:sz w:val="20"/>
              </w:rPr>
              <w:t>EV5/224</w:t>
            </w:r>
          </w:p>
        </w:tc>
        <w:tc>
          <w:tcPr>
            <w:tcW w:w="6230" w:type="dxa"/>
            <w:noWrap/>
          </w:tcPr>
          <w:p w14:paraId="177EF862" w14:textId="77777777" w:rsidR="00967C7D" w:rsidRPr="00967C7D" w:rsidRDefault="00967C7D" w:rsidP="00967C7D">
            <w:pPr>
              <w:keepNext w:val="0"/>
              <w:spacing w:before="0"/>
              <w:rPr>
                <w:rFonts w:cs="Arial"/>
                <w:bCs/>
                <w:color w:val="auto"/>
                <w:sz w:val="20"/>
              </w:rPr>
            </w:pPr>
            <w:r w:rsidRPr="00967C7D">
              <w:rPr>
                <w:rFonts w:cs="Arial"/>
                <w:bCs/>
                <w:color w:val="auto"/>
                <w:sz w:val="20"/>
              </w:rPr>
              <w:t>Field off Sudbury Drive</w:t>
            </w:r>
          </w:p>
        </w:tc>
        <w:tc>
          <w:tcPr>
            <w:tcW w:w="1847" w:type="dxa"/>
            <w:noWrap/>
          </w:tcPr>
          <w:p w14:paraId="7D0B930D"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163D8FC" w14:textId="77777777" w:rsidTr="00B5314A">
        <w:trPr>
          <w:trHeight w:val="284"/>
        </w:trPr>
        <w:tc>
          <w:tcPr>
            <w:tcW w:w="1280" w:type="dxa"/>
          </w:tcPr>
          <w:p w14:paraId="0DA650BE" w14:textId="77777777" w:rsidR="00967C7D" w:rsidRPr="00967C7D" w:rsidRDefault="00967C7D" w:rsidP="00967C7D">
            <w:pPr>
              <w:keepNext w:val="0"/>
              <w:spacing w:before="0"/>
              <w:rPr>
                <w:rFonts w:cs="Arial"/>
                <w:bCs/>
                <w:color w:val="auto"/>
                <w:sz w:val="20"/>
              </w:rPr>
            </w:pPr>
            <w:r w:rsidRPr="00967C7D">
              <w:rPr>
                <w:rFonts w:cs="Arial"/>
                <w:bCs/>
                <w:color w:val="auto"/>
                <w:sz w:val="20"/>
              </w:rPr>
              <w:t>EV5/225</w:t>
            </w:r>
          </w:p>
        </w:tc>
        <w:tc>
          <w:tcPr>
            <w:tcW w:w="6230" w:type="dxa"/>
            <w:noWrap/>
          </w:tcPr>
          <w:p w14:paraId="4074439E" w14:textId="77777777" w:rsidR="00967C7D" w:rsidRPr="00967C7D" w:rsidRDefault="00967C7D" w:rsidP="00967C7D">
            <w:pPr>
              <w:keepNext w:val="0"/>
              <w:spacing w:before="0"/>
              <w:rPr>
                <w:rFonts w:cs="Arial"/>
                <w:bCs/>
                <w:color w:val="auto"/>
                <w:sz w:val="20"/>
              </w:rPr>
            </w:pPr>
            <w:r w:rsidRPr="00967C7D">
              <w:rPr>
                <w:rFonts w:cs="Arial"/>
                <w:bCs/>
                <w:color w:val="auto"/>
                <w:sz w:val="20"/>
              </w:rPr>
              <w:t>Huthwaite Cemetery</w:t>
            </w:r>
          </w:p>
        </w:tc>
        <w:tc>
          <w:tcPr>
            <w:tcW w:w="1847" w:type="dxa"/>
            <w:noWrap/>
          </w:tcPr>
          <w:p w14:paraId="4752DFE3"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38DFF2A" w14:textId="77777777" w:rsidTr="00B5314A">
        <w:trPr>
          <w:trHeight w:val="284"/>
        </w:trPr>
        <w:tc>
          <w:tcPr>
            <w:tcW w:w="1280" w:type="dxa"/>
          </w:tcPr>
          <w:p w14:paraId="7E882D5C" w14:textId="77777777" w:rsidR="00967C7D" w:rsidRPr="00967C7D" w:rsidRDefault="00967C7D" w:rsidP="00967C7D">
            <w:pPr>
              <w:keepNext w:val="0"/>
              <w:spacing w:before="0"/>
              <w:rPr>
                <w:rFonts w:cs="Arial"/>
                <w:bCs/>
                <w:color w:val="auto"/>
                <w:sz w:val="20"/>
              </w:rPr>
            </w:pPr>
            <w:r w:rsidRPr="00967C7D">
              <w:rPr>
                <w:rFonts w:cs="Arial"/>
                <w:bCs/>
                <w:color w:val="auto"/>
                <w:sz w:val="20"/>
              </w:rPr>
              <w:t>EV5/226</w:t>
            </w:r>
          </w:p>
        </w:tc>
        <w:tc>
          <w:tcPr>
            <w:tcW w:w="6230" w:type="dxa"/>
            <w:noWrap/>
          </w:tcPr>
          <w:p w14:paraId="49411F41" w14:textId="77777777" w:rsidR="00967C7D" w:rsidRPr="00967C7D" w:rsidRDefault="00967C7D" w:rsidP="00967C7D">
            <w:pPr>
              <w:keepNext w:val="0"/>
              <w:spacing w:before="0"/>
              <w:rPr>
                <w:rFonts w:cs="Arial"/>
                <w:bCs/>
                <w:color w:val="auto"/>
                <w:sz w:val="20"/>
              </w:rPr>
            </w:pPr>
            <w:r w:rsidRPr="00967C7D">
              <w:rPr>
                <w:rFonts w:cs="Arial"/>
                <w:bCs/>
                <w:color w:val="auto"/>
                <w:sz w:val="20"/>
              </w:rPr>
              <w:t>Huthwaite Welfare Park</w:t>
            </w:r>
          </w:p>
        </w:tc>
        <w:tc>
          <w:tcPr>
            <w:tcW w:w="1847" w:type="dxa"/>
            <w:noWrap/>
          </w:tcPr>
          <w:p w14:paraId="6258CBC4"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2A9828BC" w14:textId="77777777" w:rsidTr="00B5314A">
        <w:trPr>
          <w:trHeight w:val="284"/>
        </w:trPr>
        <w:tc>
          <w:tcPr>
            <w:tcW w:w="1280" w:type="dxa"/>
          </w:tcPr>
          <w:p w14:paraId="7982A361" w14:textId="77777777" w:rsidR="00967C7D" w:rsidRPr="00967C7D" w:rsidRDefault="00967C7D" w:rsidP="00967C7D">
            <w:pPr>
              <w:keepNext w:val="0"/>
              <w:spacing w:before="0"/>
              <w:rPr>
                <w:rFonts w:cs="Arial"/>
                <w:bCs/>
                <w:color w:val="auto"/>
                <w:sz w:val="20"/>
              </w:rPr>
            </w:pPr>
            <w:r w:rsidRPr="00967C7D">
              <w:rPr>
                <w:rFonts w:cs="Arial"/>
                <w:bCs/>
                <w:color w:val="auto"/>
                <w:sz w:val="20"/>
              </w:rPr>
              <w:t>EV5/227</w:t>
            </w:r>
          </w:p>
        </w:tc>
        <w:tc>
          <w:tcPr>
            <w:tcW w:w="6230" w:type="dxa"/>
            <w:noWrap/>
          </w:tcPr>
          <w:p w14:paraId="23C2B820" w14:textId="77777777" w:rsidR="00967C7D" w:rsidRPr="00967C7D" w:rsidRDefault="00967C7D" w:rsidP="00967C7D">
            <w:pPr>
              <w:keepNext w:val="0"/>
              <w:spacing w:before="0"/>
              <w:rPr>
                <w:rFonts w:cs="Arial"/>
                <w:bCs/>
                <w:color w:val="auto"/>
                <w:sz w:val="20"/>
              </w:rPr>
            </w:pPr>
            <w:r w:rsidRPr="00967C7D">
              <w:rPr>
                <w:rFonts w:cs="Arial"/>
                <w:bCs/>
                <w:color w:val="auto"/>
                <w:sz w:val="20"/>
              </w:rPr>
              <w:t>Strawberry Bank (2)</w:t>
            </w:r>
          </w:p>
        </w:tc>
        <w:tc>
          <w:tcPr>
            <w:tcW w:w="1847" w:type="dxa"/>
            <w:noWrap/>
          </w:tcPr>
          <w:p w14:paraId="001E6F15"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3B8BD25" w14:textId="77777777" w:rsidTr="00B5314A">
        <w:trPr>
          <w:trHeight w:val="284"/>
        </w:trPr>
        <w:tc>
          <w:tcPr>
            <w:tcW w:w="1280" w:type="dxa"/>
          </w:tcPr>
          <w:p w14:paraId="2A5F7F4E" w14:textId="77777777" w:rsidR="00967C7D" w:rsidRPr="00967C7D" w:rsidRDefault="00967C7D" w:rsidP="00967C7D">
            <w:pPr>
              <w:keepNext w:val="0"/>
              <w:spacing w:before="0"/>
              <w:rPr>
                <w:rFonts w:cs="Arial"/>
                <w:bCs/>
                <w:color w:val="auto"/>
                <w:sz w:val="20"/>
              </w:rPr>
            </w:pPr>
            <w:r w:rsidRPr="00967C7D">
              <w:rPr>
                <w:rFonts w:cs="Arial"/>
                <w:bCs/>
                <w:color w:val="auto"/>
                <w:sz w:val="20"/>
              </w:rPr>
              <w:t>EV5/229</w:t>
            </w:r>
          </w:p>
        </w:tc>
        <w:tc>
          <w:tcPr>
            <w:tcW w:w="6230" w:type="dxa"/>
            <w:noWrap/>
          </w:tcPr>
          <w:p w14:paraId="2CA38E62" w14:textId="77777777" w:rsidR="00967C7D" w:rsidRPr="00967C7D" w:rsidRDefault="00967C7D" w:rsidP="00967C7D">
            <w:pPr>
              <w:keepNext w:val="0"/>
              <w:spacing w:before="0"/>
              <w:rPr>
                <w:rFonts w:cs="Arial"/>
                <w:bCs/>
                <w:color w:val="auto"/>
                <w:sz w:val="20"/>
              </w:rPr>
            </w:pPr>
            <w:r w:rsidRPr="00967C7D">
              <w:rPr>
                <w:rFonts w:cs="Arial"/>
                <w:bCs/>
                <w:color w:val="auto"/>
                <w:sz w:val="20"/>
              </w:rPr>
              <w:t>Woodland Avenue</w:t>
            </w:r>
          </w:p>
        </w:tc>
        <w:tc>
          <w:tcPr>
            <w:tcW w:w="1847" w:type="dxa"/>
            <w:noWrap/>
          </w:tcPr>
          <w:p w14:paraId="1999FE2D"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E940229" w14:textId="77777777" w:rsidTr="00B5314A">
        <w:trPr>
          <w:trHeight w:val="284"/>
        </w:trPr>
        <w:tc>
          <w:tcPr>
            <w:tcW w:w="1280" w:type="dxa"/>
          </w:tcPr>
          <w:p w14:paraId="213D0225" w14:textId="77777777" w:rsidR="00967C7D" w:rsidRPr="00967C7D" w:rsidRDefault="00967C7D" w:rsidP="00967C7D">
            <w:pPr>
              <w:keepNext w:val="0"/>
              <w:spacing w:before="0"/>
              <w:rPr>
                <w:rFonts w:cs="Arial"/>
                <w:bCs/>
                <w:color w:val="auto"/>
                <w:sz w:val="20"/>
              </w:rPr>
            </w:pPr>
            <w:r w:rsidRPr="00967C7D">
              <w:rPr>
                <w:rFonts w:cs="Arial"/>
                <w:bCs/>
                <w:color w:val="auto"/>
                <w:sz w:val="20"/>
              </w:rPr>
              <w:lastRenderedPageBreak/>
              <w:t>EV5/230</w:t>
            </w:r>
          </w:p>
        </w:tc>
        <w:tc>
          <w:tcPr>
            <w:tcW w:w="6230" w:type="dxa"/>
            <w:noWrap/>
          </w:tcPr>
          <w:p w14:paraId="3C8806C8"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Fackley</w:t>
            </w:r>
            <w:proofErr w:type="spellEnd"/>
            <w:r w:rsidRPr="00967C7D">
              <w:rPr>
                <w:rFonts w:cs="Arial"/>
                <w:bCs/>
                <w:color w:val="auto"/>
                <w:sz w:val="20"/>
              </w:rPr>
              <w:t xml:space="preserve"> Way Open Space</w:t>
            </w:r>
          </w:p>
        </w:tc>
        <w:tc>
          <w:tcPr>
            <w:tcW w:w="1847" w:type="dxa"/>
            <w:noWrap/>
          </w:tcPr>
          <w:p w14:paraId="4978E91E"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76F23C6" w14:textId="77777777" w:rsidTr="00B5314A">
        <w:trPr>
          <w:trHeight w:val="284"/>
        </w:trPr>
        <w:tc>
          <w:tcPr>
            <w:tcW w:w="1280" w:type="dxa"/>
          </w:tcPr>
          <w:p w14:paraId="4F23A5B3" w14:textId="77777777" w:rsidR="00967C7D" w:rsidRPr="00967C7D" w:rsidRDefault="00967C7D" w:rsidP="00967C7D">
            <w:pPr>
              <w:keepNext w:val="0"/>
              <w:spacing w:before="0"/>
              <w:rPr>
                <w:rFonts w:cs="Arial"/>
                <w:bCs/>
                <w:color w:val="auto"/>
                <w:sz w:val="20"/>
              </w:rPr>
            </w:pPr>
            <w:r w:rsidRPr="00967C7D">
              <w:rPr>
                <w:rFonts w:cs="Arial"/>
                <w:bCs/>
                <w:color w:val="auto"/>
                <w:sz w:val="20"/>
              </w:rPr>
              <w:t>EV5/231</w:t>
            </w:r>
          </w:p>
        </w:tc>
        <w:tc>
          <w:tcPr>
            <w:tcW w:w="6230" w:type="dxa"/>
            <w:noWrap/>
          </w:tcPr>
          <w:p w14:paraId="2598B6D2" w14:textId="77777777" w:rsidR="00967C7D" w:rsidRPr="00967C7D" w:rsidRDefault="00967C7D" w:rsidP="00967C7D">
            <w:pPr>
              <w:keepNext w:val="0"/>
              <w:spacing w:before="0"/>
              <w:rPr>
                <w:rFonts w:cs="Arial"/>
                <w:bCs/>
                <w:color w:val="auto"/>
                <w:sz w:val="20"/>
              </w:rPr>
            </w:pPr>
            <w:r w:rsidRPr="00967C7D">
              <w:rPr>
                <w:rFonts w:cs="Arial"/>
                <w:bCs/>
                <w:color w:val="auto"/>
                <w:sz w:val="20"/>
              </w:rPr>
              <w:t>Brand Lane</w:t>
            </w:r>
          </w:p>
        </w:tc>
        <w:tc>
          <w:tcPr>
            <w:tcW w:w="1847" w:type="dxa"/>
            <w:noWrap/>
          </w:tcPr>
          <w:p w14:paraId="6EAA5441"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4EB66C3" w14:textId="77777777" w:rsidTr="00B5314A">
        <w:trPr>
          <w:trHeight w:val="284"/>
        </w:trPr>
        <w:tc>
          <w:tcPr>
            <w:tcW w:w="1280" w:type="dxa"/>
          </w:tcPr>
          <w:p w14:paraId="1DBC149C" w14:textId="77777777" w:rsidR="00967C7D" w:rsidRPr="00967C7D" w:rsidRDefault="00967C7D" w:rsidP="00967C7D">
            <w:pPr>
              <w:keepNext w:val="0"/>
              <w:spacing w:before="0"/>
              <w:rPr>
                <w:rFonts w:cs="Arial"/>
                <w:bCs/>
                <w:color w:val="auto"/>
                <w:sz w:val="20"/>
              </w:rPr>
            </w:pPr>
            <w:r w:rsidRPr="00967C7D">
              <w:rPr>
                <w:rFonts w:cs="Arial"/>
                <w:bCs/>
                <w:color w:val="auto"/>
                <w:sz w:val="20"/>
              </w:rPr>
              <w:t>EV5/232</w:t>
            </w:r>
          </w:p>
        </w:tc>
        <w:tc>
          <w:tcPr>
            <w:tcW w:w="6230" w:type="dxa"/>
            <w:noWrap/>
          </w:tcPr>
          <w:p w14:paraId="536F688E" w14:textId="77777777" w:rsidR="00967C7D" w:rsidRPr="00967C7D" w:rsidRDefault="00967C7D" w:rsidP="00967C7D">
            <w:pPr>
              <w:keepNext w:val="0"/>
              <w:spacing w:before="0"/>
              <w:rPr>
                <w:rFonts w:cs="Arial"/>
                <w:bCs/>
                <w:color w:val="auto"/>
                <w:sz w:val="20"/>
              </w:rPr>
            </w:pPr>
            <w:r w:rsidRPr="00967C7D">
              <w:rPr>
                <w:rFonts w:cs="Arial"/>
                <w:bCs/>
                <w:color w:val="auto"/>
                <w:sz w:val="20"/>
              </w:rPr>
              <w:t>Wharf Road Hill</w:t>
            </w:r>
          </w:p>
        </w:tc>
        <w:tc>
          <w:tcPr>
            <w:tcW w:w="1847" w:type="dxa"/>
            <w:noWrap/>
          </w:tcPr>
          <w:p w14:paraId="740AFF27"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27CFE5C9" w14:textId="77777777" w:rsidTr="00B5314A">
        <w:trPr>
          <w:trHeight w:val="284"/>
        </w:trPr>
        <w:tc>
          <w:tcPr>
            <w:tcW w:w="1280" w:type="dxa"/>
          </w:tcPr>
          <w:p w14:paraId="35D240C0" w14:textId="77777777" w:rsidR="00967C7D" w:rsidRPr="00967C7D" w:rsidRDefault="00967C7D" w:rsidP="00967C7D">
            <w:pPr>
              <w:keepNext w:val="0"/>
              <w:spacing w:before="0"/>
              <w:rPr>
                <w:rFonts w:cs="Arial"/>
                <w:bCs/>
                <w:color w:val="auto"/>
                <w:sz w:val="20"/>
              </w:rPr>
            </w:pPr>
            <w:r w:rsidRPr="00967C7D">
              <w:rPr>
                <w:rFonts w:cs="Arial"/>
                <w:bCs/>
                <w:color w:val="auto"/>
                <w:sz w:val="20"/>
              </w:rPr>
              <w:t>EV5/233</w:t>
            </w:r>
          </w:p>
        </w:tc>
        <w:tc>
          <w:tcPr>
            <w:tcW w:w="6230" w:type="dxa"/>
            <w:noWrap/>
          </w:tcPr>
          <w:p w14:paraId="5E0ACD88"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Healdswood</w:t>
            </w:r>
            <w:proofErr w:type="spellEnd"/>
            <w:r w:rsidRPr="00967C7D">
              <w:rPr>
                <w:rFonts w:cs="Arial"/>
                <w:bCs/>
                <w:color w:val="auto"/>
                <w:sz w:val="20"/>
              </w:rPr>
              <w:t xml:space="preserve"> Recreation Ground</w:t>
            </w:r>
          </w:p>
        </w:tc>
        <w:tc>
          <w:tcPr>
            <w:tcW w:w="1847" w:type="dxa"/>
            <w:noWrap/>
          </w:tcPr>
          <w:p w14:paraId="5F7BB4B1"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F7D6895" w14:textId="77777777" w:rsidTr="00B5314A">
        <w:trPr>
          <w:trHeight w:val="284"/>
        </w:trPr>
        <w:tc>
          <w:tcPr>
            <w:tcW w:w="1280" w:type="dxa"/>
          </w:tcPr>
          <w:p w14:paraId="6DAF10AE" w14:textId="77777777" w:rsidR="00967C7D" w:rsidRPr="00967C7D" w:rsidRDefault="00967C7D" w:rsidP="00967C7D">
            <w:pPr>
              <w:keepNext w:val="0"/>
              <w:spacing w:before="0"/>
              <w:rPr>
                <w:rFonts w:cs="Arial"/>
                <w:bCs/>
                <w:color w:val="auto"/>
                <w:sz w:val="20"/>
              </w:rPr>
            </w:pPr>
            <w:r w:rsidRPr="00967C7D">
              <w:rPr>
                <w:rFonts w:cs="Arial"/>
                <w:bCs/>
                <w:color w:val="auto"/>
                <w:sz w:val="20"/>
              </w:rPr>
              <w:t>EV5/234</w:t>
            </w:r>
          </w:p>
        </w:tc>
        <w:tc>
          <w:tcPr>
            <w:tcW w:w="6230" w:type="dxa"/>
            <w:noWrap/>
          </w:tcPr>
          <w:p w14:paraId="701FDA0B" w14:textId="77777777" w:rsidR="00967C7D" w:rsidRPr="00967C7D" w:rsidRDefault="00967C7D" w:rsidP="00967C7D">
            <w:pPr>
              <w:keepNext w:val="0"/>
              <w:spacing w:before="0"/>
              <w:rPr>
                <w:rFonts w:cs="Arial"/>
                <w:bCs/>
                <w:color w:val="auto"/>
                <w:sz w:val="20"/>
              </w:rPr>
            </w:pPr>
            <w:r w:rsidRPr="00967C7D">
              <w:rPr>
                <w:rFonts w:cs="Arial"/>
                <w:bCs/>
                <w:color w:val="auto"/>
                <w:sz w:val="20"/>
              </w:rPr>
              <w:t>Meden Bank</w:t>
            </w:r>
          </w:p>
        </w:tc>
        <w:tc>
          <w:tcPr>
            <w:tcW w:w="1847" w:type="dxa"/>
            <w:noWrap/>
          </w:tcPr>
          <w:p w14:paraId="10FCDB8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2413E779" w14:textId="77777777" w:rsidTr="00B5314A">
        <w:trPr>
          <w:trHeight w:val="284"/>
        </w:trPr>
        <w:tc>
          <w:tcPr>
            <w:tcW w:w="1280" w:type="dxa"/>
          </w:tcPr>
          <w:p w14:paraId="192206FB" w14:textId="77777777" w:rsidR="00967C7D" w:rsidRPr="00967C7D" w:rsidRDefault="00967C7D" w:rsidP="00967C7D">
            <w:pPr>
              <w:keepNext w:val="0"/>
              <w:spacing w:before="0"/>
              <w:rPr>
                <w:rFonts w:cs="Arial"/>
                <w:bCs/>
                <w:color w:val="auto"/>
                <w:sz w:val="20"/>
              </w:rPr>
            </w:pPr>
            <w:r w:rsidRPr="00967C7D">
              <w:rPr>
                <w:rFonts w:cs="Arial"/>
                <w:bCs/>
                <w:color w:val="auto"/>
                <w:sz w:val="20"/>
              </w:rPr>
              <w:t>EV5/235</w:t>
            </w:r>
          </w:p>
        </w:tc>
        <w:tc>
          <w:tcPr>
            <w:tcW w:w="6230" w:type="dxa"/>
            <w:noWrap/>
          </w:tcPr>
          <w:p w14:paraId="49727F69" w14:textId="77777777" w:rsidR="00967C7D" w:rsidRPr="00967C7D" w:rsidRDefault="00967C7D" w:rsidP="00967C7D">
            <w:pPr>
              <w:keepNext w:val="0"/>
              <w:spacing w:before="0"/>
              <w:rPr>
                <w:rFonts w:cs="Arial"/>
                <w:bCs/>
                <w:color w:val="auto"/>
                <w:sz w:val="20"/>
              </w:rPr>
            </w:pPr>
            <w:r w:rsidRPr="00967C7D">
              <w:rPr>
                <w:rFonts w:cs="Arial"/>
                <w:bCs/>
                <w:color w:val="auto"/>
                <w:sz w:val="20"/>
              </w:rPr>
              <w:t>Skegby Hall</w:t>
            </w:r>
          </w:p>
        </w:tc>
        <w:tc>
          <w:tcPr>
            <w:tcW w:w="1847" w:type="dxa"/>
            <w:noWrap/>
          </w:tcPr>
          <w:p w14:paraId="488EA9C6"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2787384C" w14:textId="77777777" w:rsidTr="00B5314A">
        <w:trPr>
          <w:trHeight w:val="284"/>
        </w:trPr>
        <w:tc>
          <w:tcPr>
            <w:tcW w:w="1280" w:type="dxa"/>
          </w:tcPr>
          <w:p w14:paraId="2AA3DEEE" w14:textId="77777777" w:rsidR="00967C7D" w:rsidRPr="00967C7D" w:rsidRDefault="00967C7D" w:rsidP="00967C7D">
            <w:pPr>
              <w:keepNext w:val="0"/>
              <w:spacing w:before="0"/>
              <w:rPr>
                <w:rFonts w:cs="Arial"/>
                <w:bCs/>
                <w:color w:val="auto"/>
                <w:sz w:val="20"/>
              </w:rPr>
            </w:pPr>
            <w:r w:rsidRPr="00967C7D">
              <w:rPr>
                <w:rFonts w:cs="Arial"/>
                <w:bCs/>
                <w:color w:val="auto"/>
                <w:sz w:val="20"/>
              </w:rPr>
              <w:t>EV5/236</w:t>
            </w:r>
          </w:p>
        </w:tc>
        <w:tc>
          <w:tcPr>
            <w:tcW w:w="6230" w:type="dxa"/>
            <w:noWrap/>
          </w:tcPr>
          <w:p w14:paraId="6BAC1F5C"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Stoneyford</w:t>
            </w:r>
            <w:proofErr w:type="spellEnd"/>
            <w:r w:rsidRPr="00967C7D">
              <w:rPr>
                <w:rFonts w:cs="Arial"/>
                <w:bCs/>
                <w:color w:val="auto"/>
                <w:sz w:val="20"/>
              </w:rPr>
              <w:t xml:space="preserve"> Trail</w:t>
            </w:r>
          </w:p>
        </w:tc>
        <w:tc>
          <w:tcPr>
            <w:tcW w:w="1847" w:type="dxa"/>
            <w:noWrap/>
          </w:tcPr>
          <w:p w14:paraId="453BF087"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62D2337" w14:textId="77777777" w:rsidTr="00B5314A">
        <w:trPr>
          <w:trHeight w:val="284"/>
        </w:trPr>
        <w:tc>
          <w:tcPr>
            <w:tcW w:w="1280" w:type="dxa"/>
          </w:tcPr>
          <w:p w14:paraId="09877981" w14:textId="77777777" w:rsidR="00967C7D" w:rsidRPr="00967C7D" w:rsidRDefault="00967C7D" w:rsidP="00967C7D">
            <w:pPr>
              <w:keepNext w:val="0"/>
              <w:spacing w:before="0"/>
              <w:rPr>
                <w:rFonts w:cs="Arial"/>
                <w:bCs/>
                <w:color w:val="auto"/>
                <w:sz w:val="20"/>
              </w:rPr>
            </w:pPr>
            <w:r w:rsidRPr="00967C7D">
              <w:rPr>
                <w:rFonts w:cs="Arial"/>
                <w:bCs/>
                <w:color w:val="auto"/>
                <w:sz w:val="20"/>
              </w:rPr>
              <w:t>EV5/237</w:t>
            </w:r>
          </w:p>
        </w:tc>
        <w:tc>
          <w:tcPr>
            <w:tcW w:w="6230" w:type="dxa"/>
            <w:noWrap/>
          </w:tcPr>
          <w:p w14:paraId="2D4CFEB0" w14:textId="77777777" w:rsidR="00967C7D" w:rsidRPr="00967C7D" w:rsidRDefault="00967C7D" w:rsidP="00967C7D">
            <w:pPr>
              <w:keepNext w:val="0"/>
              <w:spacing w:before="0"/>
              <w:rPr>
                <w:rFonts w:cs="Arial"/>
                <w:bCs/>
                <w:color w:val="auto"/>
                <w:sz w:val="20"/>
              </w:rPr>
            </w:pPr>
            <w:r w:rsidRPr="00967C7D">
              <w:rPr>
                <w:rFonts w:cs="Arial"/>
                <w:bCs/>
                <w:color w:val="auto"/>
                <w:sz w:val="20"/>
              </w:rPr>
              <w:t>St Andrews Church</w:t>
            </w:r>
          </w:p>
        </w:tc>
        <w:tc>
          <w:tcPr>
            <w:tcW w:w="1847" w:type="dxa"/>
            <w:noWrap/>
          </w:tcPr>
          <w:p w14:paraId="7DD381F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3290877" w14:textId="77777777" w:rsidTr="00B5314A">
        <w:trPr>
          <w:trHeight w:val="284"/>
        </w:trPr>
        <w:tc>
          <w:tcPr>
            <w:tcW w:w="1280" w:type="dxa"/>
          </w:tcPr>
          <w:p w14:paraId="7CACCA05" w14:textId="77777777" w:rsidR="00967C7D" w:rsidRPr="00967C7D" w:rsidRDefault="00967C7D" w:rsidP="00967C7D">
            <w:pPr>
              <w:keepNext w:val="0"/>
              <w:spacing w:before="0"/>
              <w:rPr>
                <w:rFonts w:cs="Arial"/>
                <w:bCs/>
                <w:color w:val="auto"/>
                <w:sz w:val="20"/>
              </w:rPr>
            </w:pPr>
            <w:r w:rsidRPr="00967C7D">
              <w:rPr>
                <w:rFonts w:cs="Arial"/>
                <w:bCs/>
                <w:color w:val="auto"/>
                <w:sz w:val="20"/>
              </w:rPr>
              <w:t>EV5/238</w:t>
            </w:r>
          </w:p>
        </w:tc>
        <w:tc>
          <w:tcPr>
            <w:tcW w:w="6230" w:type="dxa"/>
            <w:noWrap/>
          </w:tcPr>
          <w:p w14:paraId="0BCF283E" w14:textId="77777777" w:rsidR="00967C7D" w:rsidRPr="00967C7D" w:rsidRDefault="00967C7D" w:rsidP="00967C7D">
            <w:pPr>
              <w:keepNext w:val="0"/>
              <w:spacing w:before="0"/>
              <w:rPr>
                <w:rFonts w:cs="Arial"/>
                <w:bCs/>
                <w:color w:val="auto"/>
                <w:sz w:val="20"/>
              </w:rPr>
            </w:pPr>
            <w:r w:rsidRPr="00967C7D">
              <w:rPr>
                <w:rFonts w:cs="Arial"/>
                <w:bCs/>
                <w:color w:val="auto"/>
                <w:sz w:val="20"/>
              </w:rPr>
              <w:t>Skegby Quarries</w:t>
            </w:r>
          </w:p>
        </w:tc>
        <w:tc>
          <w:tcPr>
            <w:tcW w:w="1847" w:type="dxa"/>
            <w:noWrap/>
          </w:tcPr>
          <w:p w14:paraId="254780E8"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3FD13D5F" w14:textId="77777777" w:rsidTr="00B5314A">
        <w:trPr>
          <w:trHeight w:val="284"/>
        </w:trPr>
        <w:tc>
          <w:tcPr>
            <w:tcW w:w="1280" w:type="dxa"/>
          </w:tcPr>
          <w:p w14:paraId="1836A250" w14:textId="77777777" w:rsidR="00967C7D" w:rsidRPr="00967C7D" w:rsidRDefault="00967C7D" w:rsidP="00967C7D">
            <w:pPr>
              <w:keepNext w:val="0"/>
              <w:spacing w:before="0"/>
              <w:rPr>
                <w:rFonts w:cs="Arial"/>
                <w:bCs/>
                <w:color w:val="auto"/>
                <w:sz w:val="20"/>
              </w:rPr>
            </w:pPr>
            <w:r w:rsidRPr="00967C7D">
              <w:rPr>
                <w:rFonts w:cs="Arial"/>
                <w:bCs/>
                <w:color w:val="auto"/>
                <w:sz w:val="20"/>
              </w:rPr>
              <w:t>EV5/239</w:t>
            </w:r>
          </w:p>
        </w:tc>
        <w:tc>
          <w:tcPr>
            <w:tcW w:w="6230" w:type="dxa"/>
            <w:noWrap/>
          </w:tcPr>
          <w:p w14:paraId="02FD8BD1" w14:textId="77777777" w:rsidR="00967C7D" w:rsidRPr="00967C7D" w:rsidRDefault="00967C7D" w:rsidP="00967C7D">
            <w:pPr>
              <w:keepNext w:val="0"/>
              <w:spacing w:before="0"/>
              <w:rPr>
                <w:rFonts w:cs="Arial"/>
                <w:bCs/>
                <w:color w:val="auto"/>
                <w:sz w:val="20"/>
              </w:rPr>
            </w:pPr>
            <w:r w:rsidRPr="00967C7D">
              <w:rPr>
                <w:rFonts w:cs="Arial"/>
                <w:bCs/>
                <w:color w:val="auto"/>
                <w:sz w:val="20"/>
              </w:rPr>
              <w:t>Skegby Junior Academy Playing Field</w:t>
            </w:r>
          </w:p>
        </w:tc>
        <w:tc>
          <w:tcPr>
            <w:tcW w:w="1847" w:type="dxa"/>
            <w:noWrap/>
          </w:tcPr>
          <w:p w14:paraId="53E97F9B"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9BCA09A" w14:textId="77777777" w:rsidTr="00B5314A">
        <w:trPr>
          <w:trHeight w:val="284"/>
        </w:trPr>
        <w:tc>
          <w:tcPr>
            <w:tcW w:w="1280" w:type="dxa"/>
          </w:tcPr>
          <w:p w14:paraId="592C2ABF" w14:textId="77777777" w:rsidR="00967C7D" w:rsidRPr="00967C7D" w:rsidRDefault="00967C7D" w:rsidP="00967C7D">
            <w:pPr>
              <w:keepNext w:val="0"/>
              <w:spacing w:before="0"/>
              <w:rPr>
                <w:rFonts w:cs="Arial"/>
                <w:bCs/>
                <w:color w:val="auto"/>
                <w:sz w:val="20"/>
              </w:rPr>
            </w:pPr>
            <w:r w:rsidRPr="00967C7D">
              <w:rPr>
                <w:rFonts w:cs="Arial"/>
                <w:bCs/>
                <w:color w:val="auto"/>
                <w:sz w:val="20"/>
              </w:rPr>
              <w:t>EV5/240</w:t>
            </w:r>
          </w:p>
        </w:tc>
        <w:tc>
          <w:tcPr>
            <w:tcW w:w="6230" w:type="dxa"/>
            <w:noWrap/>
          </w:tcPr>
          <w:p w14:paraId="0E70B4EF" w14:textId="77777777" w:rsidR="00967C7D" w:rsidRPr="00967C7D" w:rsidRDefault="00967C7D" w:rsidP="00967C7D">
            <w:pPr>
              <w:keepNext w:val="0"/>
              <w:spacing w:before="0"/>
              <w:rPr>
                <w:rFonts w:cs="Arial"/>
                <w:bCs/>
                <w:color w:val="auto"/>
                <w:sz w:val="20"/>
              </w:rPr>
            </w:pPr>
            <w:r w:rsidRPr="00967C7D">
              <w:rPr>
                <w:rFonts w:cs="Arial"/>
                <w:bCs/>
                <w:color w:val="auto"/>
                <w:sz w:val="20"/>
              </w:rPr>
              <w:t>Teversal Grange Sports Ground</w:t>
            </w:r>
          </w:p>
        </w:tc>
        <w:tc>
          <w:tcPr>
            <w:tcW w:w="1847" w:type="dxa"/>
            <w:noWrap/>
          </w:tcPr>
          <w:p w14:paraId="14D9FC9C"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474763EF" w14:textId="77777777" w:rsidTr="00B5314A">
        <w:trPr>
          <w:trHeight w:val="284"/>
        </w:trPr>
        <w:tc>
          <w:tcPr>
            <w:tcW w:w="1280" w:type="dxa"/>
          </w:tcPr>
          <w:p w14:paraId="2469E2B4" w14:textId="77777777" w:rsidR="00967C7D" w:rsidRPr="00967C7D" w:rsidRDefault="00967C7D" w:rsidP="00967C7D">
            <w:pPr>
              <w:keepNext w:val="0"/>
              <w:spacing w:before="0"/>
              <w:rPr>
                <w:rFonts w:cs="Arial"/>
                <w:bCs/>
                <w:color w:val="auto"/>
                <w:sz w:val="20"/>
              </w:rPr>
            </w:pPr>
            <w:r w:rsidRPr="00967C7D">
              <w:rPr>
                <w:rFonts w:cs="Arial"/>
                <w:bCs/>
                <w:color w:val="auto"/>
                <w:sz w:val="20"/>
              </w:rPr>
              <w:t>EV5/241</w:t>
            </w:r>
          </w:p>
        </w:tc>
        <w:tc>
          <w:tcPr>
            <w:tcW w:w="6230" w:type="dxa"/>
            <w:noWrap/>
          </w:tcPr>
          <w:p w14:paraId="0D2AD40F" w14:textId="77777777" w:rsidR="00967C7D" w:rsidRPr="00967C7D" w:rsidRDefault="00967C7D" w:rsidP="00967C7D">
            <w:pPr>
              <w:keepNext w:val="0"/>
              <w:spacing w:before="0"/>
              <w:rPr>
                <w:rFonts w:cs="Arial"/>
                <w:bCs/>
                <w:color w:val="auto"/>
                <w:sz w:val="20"/>
              </w:rPr>
            </w:pPr>
            <w:r w:rsidRPr="00967C7D">
              <w:rPr>
                <w:rFonts w:cs="Arial"/>
                <w:bCs/>
                <w:color w:val="auto"/>
                <w:sz w:val="20"/>
              </w:rPr>
              <w:t>Teversal Football Ground</w:t>
            </w:r>
          </w:p>
        </w:tc>
        <w:tc>
          <w:tcPr>
            <w:tcW w:w="1847" w:type="dxa"/>
            <w:noWrap/>
          </w:tcPr>
          <w:p w14:paraId="3F15ED8F"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0E2EEF1D" w14:textId="77777777" w:rsidTr="00B5314A">
        <w:trPr>
          <w:trHeight w:val="284"/>
        </w:trPr>
        <w:tc>
          <w:tcPr>
            <w:tcW w:w="1280" w:type="dxa"/>
          </w:tcPr>
          <w:p w14:paraId="18D1B1A0" w14:textId="77777777" w:rsidR="00967C7D" w:rsidRPr="00967C7D" w:rsidRDefault="00967C7D" w:rsidP="00967C7D">
            <w:pPr>
              <w:keepNext w:val="0"/>
              <w:spacing w:before="0"/>
              <w:rPr>
                <w:rFonts w:cs="Arial"/>
                <w:bCs/>
                <w:color w:val="auto"/>
                <w:sz w:val="20"/>
              </w:rPr>
            </w:pPr>
            <w:r w:rsidRPr="00967C7D">
              <w:rPr>
                <w:rFonts w:cs="Arial"/>
                <w:bCs/>
                <w:color w:val="auto"/>
                <w:sz w:val="20"/>
              </w:rPr>
              <w:t>EV5/242</w:t>
            </w:r>
          </w:p>
        </w:tc>
        <w:tc>
          <w:tcPr>
            <w:tcW w:w="6230" w:type="dxa"/>
            <w:noWrap/>
          </w:tcPr>
          <w:p w14:paraId="3F980CE2" w14:textId="77777777" w:rsidR="00967C7D" w:rsidRPr="00967C7D" w:rsidRDefault="00967C7D" w:rsidP="00967C7D">
            <w:pPr>
              <w:keepNext w:val="0"/>
              <w:spacing w:before="0"/>
              <w:rPr>
                <w:rFonts w:cs="Arial"/>
                <w:bCs/>
                <w:color w:val="auto"/>
                <w:sz w:val="20"/>
              </w:rPr>
            </w:pPr>
            <w:r w:rsidRPr="00967C7D">
              <w:rPr>
                <w:rFonts w:cs="Arial"/>
                <w:bCs/>
                <w:color w:val="auto"/>
                <w:sz w:val="20"/>
              </w:rPr>
              <w:t>Teversal Trail - Skegby to Teversal</w:t>
            </w:r>
          </w:p>
        </w:tc>
        <w:tc>
          <w:tcPr>
            <w:tcW w:w="1847" w:type="dxa"/>
            <w:noWrap/>
          </w:tcPr>
          <w:p w14:paraId="4733181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1710C6FA" w14:textId="77777777" w:rsidTr="00B5314A">
        <w:trPr>
          <w:trHeight w:val="284"/>
        </w:trPr>
        <w:tc>
          <w:tcPr>
            <w:tcW w:w="1280" w:type="dxa"/>
          </w:tcPr>
          <w:p w14:paraId="3997E215" w14:textId="77777777" w:rsidR="00967C7D" w:rsidRPr="00967C7D" w:rsidRDefault="00967C7D" w:rsidP="00967C7D">
            <w:pPr>
              <w:keepNext w:val="0"/>
              <w:spacing w:before="0"/>
              <w:rPr>
                <w:rFonts w:cs="Arial"/>
                <w:bCs/>
                <w:color w:val="auto"/>
                <w:sz w:val="20"/>
              </w:rPr>
            </w:pPr>
            <w:r w:rsidRPr="00967C7D">
              <w:rPr>
                <w:rFonts w:cs="Arial"/>
                <w:bCs/>
                <w:color w:val="auto"/>
                <w:sz w:val="20"/>
              </w:rPr>
              <w:t>EV5/243</w:t>
            </w:r>
          </w:p>
        </w:tc>
        <w:tc>
          <w:tcPr>
            <w:tcW w:w="6230" w:type="dxa"/>
            <w:noWrap/>
          </w:tcPr>
          <w:p w14:paraId="12C92276" w14:textId="77777777" w:rsidR="00967C7D" w:rsidRPr="00967C7D" w:rsidRDefault="00967C7D" w:rsidP="00967C7D">
            <w:pPr>
              <w:keepNext w:val="0"/>
              <w:spacing w:before="0"/>
              <w:rPr>
                <w:rFonts w:cs="Arial"/>
                <w:bCs/>
                <w:color w:val="auto"/>
                <w:sz w:val="20"/>
              </w:rPr>
            </w:pPr>
            <w:proofErr w:type="spellStart"/>
            <w:r w:rsidRPr="00967C7D">
              <w:rPr>
                <w:rFonts w:cs="Arial"/>
                <w:bCs/>
                <w:color w:val="auto"/>
                <w:sz w:val="20"/>
              </w:rPr>
              <w:t>Pleasley</w:t>
            </w:r>
            <w:proofErr w:type="spellEnd"/>
            <w:r w:rsidRPr="00967C7D">
              <w:rPr>
                <w:rFonts w:cs="Arial"/>
                <w:bCs/>
                <w:color w:val="auto"/>
                <w:sz w:val="20"/>
              </w:rPr>
              <w:t xml:space="preserve"> to Teversal Footpath</w:t>
            </w:r>
          </w:p>
        </w:tc>
        <w:tc>
          <w:tcPr>
            <w:tcW w:w="1847" w:type="dxa"/>
            <w:noWrap/>
          </w:tcPr>
          <w:p w14:paraId="493BD2BF"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33CF75E" w14:textId="77777777" w:rsidTr="00B5314A">
        <w:trPr>
          <w:trHeight w:val="284"/>
        </w:trPr>
        <w:tc>
          <w:tcPr>
            <w:tcW w:w="1280" w:type="dxa"/>
          </w:tcPr>
          <w:p w14:paraId="79AE1346" w14:textId="77777777" w:rsidR="00967C7D" w:rsidRPr="00967C7D" w:rsidRDefault="00967C7D" w:rsidP="00967C7D">
            <w:pPr>
              <w:keepNext w:val="0"/>
              <w:spacing w:before="0"/>
              <w:rPr>
                <w:rFonts w:cs="Arial"/>
                <w:bCs/>
                <w:color w:val="auto"/>
                <w:sz w:val="20"/>
              </w:rPr>
            </w:pPr>
            <w:r w:rsidRPr="00967C7D">
              <w:rPr>
                <w:rFonts w:cs="Arial"/>
                <w:bCs/>
                <w:color w:val="auto"/>
                <w:sz w:val="20"/>
              </w:rPr>
              <w:t>EV5/244</w:t>
            </w:r>
          </w:p>
        </w:tc>
        <w:tc>
          <w:tcPr>
            <w:tcW w:w="6230" w:type="dxa"/>
            <w:noWrap/>
          </w:tcPr>
          <w:p w14:paraId="262655F3" w14:textId="77777777" w:rsidR="00967C7D" w:rsidRPr="00967C7D" w:rsidRDefault="00967C7D" w:rsidP="00967C7D">
            <w:pPr>
              <w:keepNext w:val="0"/>
              <w:spacing w:before="0"/>
              <w:rPr>
                <w:rFonts w:cs="Arial"/>
                <w:bCs/>
                <w:color w:val="auto"/>
                <w:sz w:val="20"/>
              </w:rPr>
            </w:pPr>
            <w:r w:rsidRPr="00967C7D">
              <w:rPr>
                <w:rFonts w:cs="Arial"/>
                <w:bCs/>
                <w:color w:val="auto"/>
                <w:sz w:val="20"/>
              </w:rPr>
              <w:t>Teversal Recreation Ground</w:t>
            </w:r>
          </w:p>
        </w:tc>
        <w:tc>
          <w:tcPr>
            <w:tcW w:w="1847" w:type="dxa"/>
            <w:noWrap/>
          </w:tcPr>
          <w:p w14:paraId="27BC05F3"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24A0A96" w14:textId="77777777" w:rsidTr="00B5314A">
        <w:trPr>
          <w:trHeight w:val="284"/>
        </w:trPr>
        <w:tc>
          <w:tcPr>
            <w:tcW w:w="1280" w:type="dxa"/>
          </w:tcPr>
          <w:p w14:paraId="04EAC4EB" w14:textId="77777777" w:rsidR="00967C7D" w:rsidRPr="00967C7D" w:rsidRDefault="00967C7D" w:rsidP="00967C7D">
            <w:pPr>
              <w:keepNext w:val="0"/>
              <w:spacing w:before="0"/>
              <w:rPr>
                <w:rFonts w:cs="Arial"/>
                <w:bCs/>
                <w:color w:val="auto"/>
                <w:sz w:val="20"/>
              </w:rPr>
            </w:pPr>
            <w:r w:rsidRPr="00967C7D">
              <w:rPr>
                <w:rFonts w:cs="Arial"/>
                <w:bCs/>
                <w:color w:val="auto"/>
                <w:sz w:val="20"/>
              </w:rPr>
              <w:t>EV5/245</w:t>
            </w:r>
          </w:p>
        </w:tc>
        <w:tc>
          <w:tcPr>
            <w:tcW w:w="6230" w:type="dxa"/>
            <w:noWrap/>
          </w:tcPr>
          <w:p w14:paraId="3D9110E9" w14:textId="77777777" w:rsidR="00967C7D" w:rsidRPr="00967C7D" w:rsidRDefault="00967C7D" w:rsidP="00967C7D">
            <w:pPr>
              <w:keepNext w:val="0"/>
              <w:spacing w:before="0"/>
              <w:rPr>
                <w:rFonts w:cs="Arial"/>
                <w:bCs/>
                <w:color w:val="auto"/>
                <w:sz w:val="20"/>
              </w:rPr>
            </w:pPr>
            <w:r w:rsidRPr="00967C7D">
              <w:rPr>
                <w:rFonts w:cs="Arial"/>
                <w:bCs/>
                <w:color w:val="auto"/>
                <w:sz w:val="20"/>
              </w:rPr>
              <w:t>Silverhill Country Park</w:t>
            </w:r>
          </w:p>
        </w:tc>
        <w:tc>
          <w:tcPr>
            <w:tcW w:w="1847" w:type="dxa"/>
            <w:noWrap/>
          </w:tcPr>
          <w:p w14:paraId="0142949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741471DE" w14:textId="77777777" w:rsidTr="00B5314A">
        <w:trPr>
          <w:trHeight w:val="284"/>
        </w:trPr>
        <w:tc>
          <w:tcPr>
            <w:tcW w:w="1280" w:type="dxa"/>
          </w:tcPr>
          <w:p w14:paraId="1D851821" w14:textId="77777777" w:rsidR="00967C7D" w:rsidRPr="00967C7D" w:rsidRDefault="00967C7D" w:rsidP="00967C7D">
            <w:pPr>
              <w:keepNext w:val="0"/>
              <w:spacing w:before="0"/>
              <w:rPr>
                <w:rFonts w:cs="Arial"/>
                <w:bCs/>
                <w:color w:val="auto"/>
                <w:sz w:val="20"/>
              </w:rPr>
            </w:pPr>
            <w:r w:rsidRPr="00967C7D">
              <w:rPr>
                <w:rFonts w:cs="Arial"/>
                <w:bCs/>
                <w:color w:val="auto"/>
                <w:sz w:val="20"/>
              </w:rPr>
              <w:t>EV5/246</w:t>
            </w:r>
          </w:p>
        </w:tc>
        <w:tc>
          <w:tcPr>
            <w:tcW w:w="6230" w:type="dxa"/>
            <w:noWrap/>
          </w:tcPr>
          <w:p w14:paraId="15FB5DC4"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Teversal Trail - Skegby to </w:t>
            </w:r>
            <w:proofErr w:type="spellStart"/>
            <w:r w:rsidRPr="00967C7D">
              <w:rPr>
                <w:rFonts w:cs="Arial"/>
                <w:bCs/>
                <w:color w:val="auto"/>
                <w:sz w:val="20"/>
              </w:rPr>
              <w:t>Pleasley</w:t>
            </w:r>
            <w:proofErr w:type="spellEnd"/>
          </w:p>
        </w:tc>
        <w:tc>
          <w:tcPr>
            <w:tcW w:w="1847" w:type="dxa"/>
            <w:noWrap/>
          </w:tcPr>
          <w:p w14:paraId="6748EF62"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5C75D97C" w14:textId="77777777" w:rsidTr="00B5314A">
        <w:trPr>
          <w:trHeight w:val="284"/>
        </w:trPr>
        <w:tc>
          <w:tcPr>
            <w:tcW w:w="1280" w:type="dxa"/>
          </w:tcPr>
          <w:p w14:paraId="4F6147BC" w14:textId="77777777" w:rsidR="00967C7D" w:rsidRPr="00967C7D" w:rsidRDefault="00967C7D" w:rsidP="00967C7D">
            <w:pPr>
              <w:keepNext w:val="0"/>
              <w:spacing w:before="0"/>
              <w:rPr>
                <w:rFonts w:cs="Arial"/>
                <w:bCs/>
                <w:color w:val="auto"/>
                <w:sz w:val="20"/>
              </w:rPr>
            </w:pPr>
            <w:r w:rsidRPr="00967C7D">
              <w:rPr>
                <w:rFonts w:cs="Arial"/>
                <w:bCs/>
                <w:color w:val="auto"/>
                <w:sz w:val="20"/>
              </w:rPr>
              <w:t>EV5/247</w:t>
            </w:r>
          </w:p>
        </w:tc>
        <w:tc>
          <w:tcPr>
            <w:tcW w:w="6230" w:type="dxa"/>
            <w:noWrap/>
          </w:tcPr>
          <w:p w14:paraId="6209DB53" w14:textId="77777777" w:rsidR="00967C7D" w:rsidRPr="00967C7D" w:rsidRDefault="00967C7D" w:rsidP="00967C7D">
            <w:pPr>
              <w:keepNext w:val="0"/>
              <w:spacing w:before="0"/>
              <w:rPr>
                <w:rFonts w:cs="Arial"/>
                <w:bCs/>
                <w:color w:val="auto"/>
                <w:sz w:val="20"/>
              </w:rPr>
            </w:pPr>
            <w:r w:rsidRPr="00967C7D">
              <w:rPr>
                <w:rFonts w:cs="Arial"/>
                <w:bCs/>
                <w:color w:val="auto"/>
                <w:sz w:val="20"/>
              </w:rPr>
              <w:t xml:space="preserve">Teversal to </w:t>
            </w:r>
            <w:proofErr w:type="spellStart"/>
            <w:r w:rsidRPr="00967C7D">
              <w:rPr>
                <w:rFonts w:cs="Arial"/>
                <w:bCs/>
                <w:color w:val="auto"/>
                <w:sz w:val="20"/>
              </w:rPr>
              <w:t>Blackholme</w:t>
            </w:r>
            <w:proofErr w:type="spellEnd"/>
          </w:p>
        </w:tc>
        <w:tc>
          <w:tcPr>
            <w:tcW w:w="1847" w:type="dxa"/>
            <w:noWrap/>
          </w:tcPr>
          <w:p w14:paraId="2F2FEBCD"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26E9F9AC" w14:textId="77777777" w:rsidTr="00B5314A">
        <w:trPr>
          <w:trHeight w:val="284"/>
        </w:trPr>
        <w:tc>
          <w:tcPr>
            <w:tcW w:w="1280" w:type="dxa"/>
          </w:tcPr>
          <w:p w14:paraId="302544DC" w14:textId="77777777" w:rsidR="00967C7D" w:rsidRPr="00967C7D" w:rsidRDefault="00967C7D" w:rsidP="00967C7D">
            <w:pPr>
              <w:keepNext w:val="0"/>
              <w:spacing w:before="0"/>
              <w:rPr>
                <w:rFonts w:cs="Arial"/>
                <w:bCs/>
                <w:color w:val="auto"/>
                <w:sz w:val="20"/>
              </w:rPr>
            </w:pPr>
            <w:r w:rsidRPr="00967C7D">
              <w:rPr>
                <w:rFonts w:cs="Arial"/>
                <w:bCs/>
                <w:color w:val="auto"/>
                <w:sz w:val="20"/>
              </w:rPr>
              <w:t>EV5/248</w:t>
            </w:r>
          </w:p>
        </w:tc>
        <w:tc>
          <w:tcPr>
            <w:tcW w:w="6230" w:type="dxa"/>
            <w:noWrap/>
          </w:tcPr>
          <w:p w14:paraId="20CF8B75" w14:textId="2D4047D1" w:rsidR="00967C7D" w:rsidRPr="00967C7D" w:rsidRDefault="00967C7D" w:rsidP="00737B22">
            <w:pPr>
              <w:keepNext w:val="0"/>
              <w:tabs>
                <w:tab w:val="left" w:pos="2235"/>
              </w:tabs>
              <w:spacing w:before="0"/>
              <w:rPr>
                <w:rFonts w:cs="Arial"/>
                <w:bCs/>
                <w:color w:val="auto"/>
                <w:sz w:val="20"/>
              </w:rPr>
            </w:pPr>
            <w:r w:rsidRPr="00967C7D">
              <w:rPr>
                <w:rFonts w:cs="Arial"/>
                <w:bCs/>
                <w:color w:val="auto"/>
                <w:sz w:val="20"/>
              </w:rPr>
              <w:t>Hardwick Fields</w:t>
            </w:r>
            <w:r w:rsidR="00737B22">
              <w:rPr>
                <w:rFonts w:cs="Arial"/>
                <w:bCs/>
                <w:color w:val="auto"/>
                <w:sz w:val="20"/>
              </w:rPr>
              <w:tab/>
            </w:r>
          </w:p>
        </w:tc>
        <w:tc>
          <w:tcPr>
            <w:tcW w:w="1847" w:type="dxa"/>
            <w:noWrap/>
          </w:tcPr>
          <w:p w14:paraId="5525D1AF"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967C7D" w:rsidRPr="00967C7D" w14:paraId="694073E5" w14:textId="77777777" w:rsidTr="00B5314A">
        <w:trPr>
          <w:trHeight w:val="284"/>
        </w:trPr>
        <w:tc>
          <w:tcPr>
            <w:tcW w:w="1280" w:type="dxa"/>
          </w:tcPr>
          <w:p w14:paraId="791BFFD1" w14:textId="77777777" w:rsidR="00967C7D" w:rsidRPr="00967C7D" w:rsidRDefault="00967C7D" w:rsidP="00967C7D">
            <w:pPr>
              <w:keepNext w:val="0"/>
              <w:spacing w:before="0"/>
              <w:rPr>
                <w:rFonts w:cs="Arial"/>
                <w:bCs/>
                <w:color w:val="auto"/>
                <w:sz w:val="20"/>
              </w:rPr>
            </w:pPr>
            <w:r w:rsidRPr="00967C7D">
              <w:rPr>
                <w:rFonts w:cs="Arial"/>
                <w:bCs/>
                <w:color w:val="auto"/>
                <w:sz w:val="20"/>
              </w:rPr>
              <w:t>EV5/249</w:t>
            </w:r>
          </w:p>
        </w:tc>
        <w:tc>
          <w:tcPr>
            <w:tcW w:w="6230" w:type="dxa"/>
            <w:noWrap/>
          </w:tcPr>
          <w:p w14:paraId="4231E7F1" w14:textId="77777777" w:rsidR="00967C7D" w:rsidRPr="00967C7D" w:rsidRDefault="00967C7D" w:rsidP="00967C7D">
            <w:pPr>
              <w:keepNext w:val="0"/>
              <w:spacing w:before="0"/>
              <w:rPr>
                <w:rFonts w:cs="Arial"/>
                <w:bCs/>
                <w:color w:val="auto"/>
                <w:sz w:val="20"/>
              </w:rPr>
            </w:pPr>
            <w:r w:rsidRPr="00967C7D">
              <w:rPr>
                <w:rFonts w:cs="Arial"/>
                <w:bCs/>
                <w:color w:val="auto"/>
                <w:sz w:val="20"/>
              </w:rPr>
              <w:t>Lady Spencer's Wood</w:t>
            </w:r>
          </w:p>
        </w:tc>
        <w:tc>
          <w:tcPr>
            <w:tcW w:w="1847" w:type="dxa"/>
            <w:noWrap/>
          </w:tcPr>
          <w:p w14:paraId="0F9BDB80" w14:textId="77777777" w:rsidR="00967C7D" w:rsidRPr="00967C7D" w:rsidRDefault="00967C7D" w:rsidP="00967C7D">
            <w:pPr>
              <w:keepNext w:val="0"/>
              <w:spacing w:before="0"/>
              <w:rPr>
                <w:rFonts w:cs="Arial"/>
                <w:bCs/>
                <w:color w:val="auto"/>
                <w:sz w:val="20"/>
              </w:rPr>
            </w:pPr>
            <w:r w:rsidRPr="00967C7D">
              <w:rPr>
                <w:rFonts w:cs="Arial"/>
                <w:bCs/>
                <w:color w:val="auto"/>
                <w:sz w:val="20"/>
              </w:rPr>
              <w:t>North Sheet</w:t>
            </w:r>
          </w:p>
        </w:tc>
      </w:tr>
      <w:tr w:rsidR="000B6AA8" w:rsidRPr="00967C7D" w14:paraId="202B472F" w14:textId="77777777" w:rsidTr="00B5314A">
        <w:trPr>
          <w:trHeight w:val="284"/>
        </w:trPr>
        <w:tc>
          <w:tcPr>
            <w:tcW w:w="1280" w:type="dxa"/>
          </w:tcPr>
          <w:p w14:paraId="777A6F47" w14:textId="00910528" w:rsidR="000B6AA8" w:rsidRPr="00967C7D" w:rsidRDefault="000B6AA8" w:rsidP="00967C7D">
            <w:pPr>
              <w:keepNext w:val="0"/>
              <w:spacing w:before="0"/>
              <w:rPr>
                <w:rFonts w:cs="Arial"/>
                <w:bCs/>
                <w:color w:val="auto"/>
                <w:sz w:val="20"/>
              </w:rPr>
            </w:pPr>
            <w:r>
              <w:rPr>
                <w:rFonts w:cs="Arial"/>
                <w:bCs/>
                <w:color w:val="auto"/>
                <w:sz w:val="20"/>
              </w:rPr>
              <w:t>EV5/250</w:t>
            </w:r>
          </w:p>
        </w:tc>
        <w:tc>
          <w:tcPr>
            <w:tcW w:w="6230" w:type="dxa"/>
            <w:noWrap/>
          </w:tcPr>
          <w:p w14:paraId="2F0BE9BC" w14:textId="61CBCE19" w:rsidR="000B6AA8" w:rsidRPr="00967C7D" w:rsidRDefault="000B6AA8" w:rsidP="00967C7D">
            <w:pPr>
              <w:keepNext w:val="0"/>
              <w:spacing w:before="0"/>
              <w:rPr>
                <w:rFonts w:cs="Arial"/>
                <w:bCs/>
                <w:color w:val="auto"/>
                <w:sz w:val="20"/>
              </w:rPr>
            </w:pPr>
            <w:r>
              <w:rPr>
                <w:rFonts w:cs="Arial"/>
                <w:bCs/>
                <w:color w:val="auto"/>
                <w:sz w:val="20"/>
              </w:rPr>
              <w:t>Shepherd Street</w:t>
            </w:r>
          </w:p>
        </w:tc>
        <w:tc>
          <w:tcPr>
            <w:tcW w:w="1847" w:type="dxa"/>
            <w:noWrap/>
          </w:tcPr>
          <w:p w14:paraId="77129D59" w14:textId="314058C6" w:rsidR="000B6AA8" w:rsidRPr="00967C7D" w:rsidRDefault="000B6AA8" w:rsidP="00967C7D">
            <w:pPr>
              <w:keepNext w:val="0"/>
              <w:spacing w:before="0"/>
              <w:rPr>
                <w:rFonts w:cs="Arial"/>
                <w:bCs/>
                <w:color w:val="auto"/>
                <w:sz w:val="20"/>
              </w:rPr>
            </w:pPr>
            <w:r>
              <w:rPr>
                <w:rFonts w:cs="Arial"/>
                <w:bCs/>
                <w:color w:val="auto"/>
                <w:sz w:val="20"/>
              </w:rPr>
              <w:t>South Sheet</w:t>
            </w:r>
          </w:p>
        </w:tc>
      </w:tr>
      <w:tr w:rsidR="000B6AA8" w:rsidRPr="00967C7D" w14:paraId="6DBF33B4" w14:textId="77777777" w:rsidTr="00B5314A">
        <w:trPr>
          <w:trHeight w:val="284"/>
        </w:trPr>
        <w:tc>
          <w:tcPr>
            <w:tcW w:w="1280" w:type="dxa"/>
          </w:tcPr>
          <w:p w14:paraId="6B29C6C1" w14:textId="67A4D71D" w:rsidR="000B6AA8" w:rsidRPr="00967C7D" w:rsidRDefault="000B6AA8" w:rsidP="00967C7D">
            <w:pPr>
              <w:keepNext w:val="0"/>
              <w:spacing w:before="0"/>
              <w:rPr>
                <w:rFonts w:cs="Arial"/>
                <w:bCs/>
                <w:color w:val="auto"/>
                <w:sz w:val="20"/>
              </w:rPr>
            </w:pPr>
            <w:r>
              <w:rPr>
                <w:rFonts w:cs="Arial"/>
                <w:bCs/>
                <w:color w:val="auto"/>
                <w:sz w:val="20"/>
              </w:rPr>
              <w:t>EV5/251</w:t>
            </w:r>
          </w:p>
        </w:tc>
        <w:tc>
          <w:tcPr>
            <w:tcW w:w="6230" w:type="dxa"/>
            <w:noWrap/>
          </w:tcPr>
          <w:p w14:paraId="3CBAC423" w14:textId="765FA75A" w:rsidR="000B6AA8" w:rsidRPr="00967C7D" w:rsidRDefault="000B6AA8" w:rsidP="00967C7D">
            <w:pPr>
              <w:keepNext w:val="0"/>
              <w:spacing w:before="0"/>
              <w:rPr>
                <w:rFonts w:cs="Arial"/>
                <w:bCs/>
                <w:color w:val="auto"/>
                <w:sz w:val="20"/>
              </w:rPr>
            </w:pPr>
            <w:r>
              <w:rPr>
                <w:rFonts w:cs="Arial"/>
                <w:bCs/>
                <w:color w:val="auto"/>
                <w:sz w:val="20"/>
              </w:rPr>
              <w:t>Airfield Way</w:t>
            </w:r>
          </w:p>
        </w:tc>
        <w:tc>
          <w:tcPr>
            <w:tcW w:w="1847" w:type="dxa"/>
            <w:noWrap/>
          </w:tcPr>
          <w:p w14:paraId="64034D73" w14:textId="573AB06F" w:rsidR="000B6AA8" w:rsidRPr="00967C7D" w:rsidRDefault="000B6AA8" w:rsidP="00967C7D">
            <w:pPr>
              <w:keepNext w:val="0"/>
              <w:spacing w:before="0"/>
              <w:rPr>
                <w:rFonts w:cs="Arial"/>
                <w:bCs/>
                <w:color w:val="auto"/>
                <w:sz w:val="20"/>
              </w:rPr>
            </w:pPr>
            <w:r>
              <w:rPr>
                <w:rFonts w:cs="Arial"/>
                <w:bCs/>
                <w:color w:val="auto"/>
                <w:sz w:val="20"/>
              </w:rPr>
              <w:t>South Sheet</w:t>
            </w:r>
          </w:p>
        </w:tc>
      </w:tr>
      <w:tr w:rsidR="000B6AA8" w:rsidRPr="00967C7D" w14:paraId="58D4C235" w14:textId="77777777" w:rsidTr="00B5314A">
        <w:trPr>
          <w:trHeight w:val="284"/>
        </w:trPr>
        <w:tc>
          <w:tcPr>
            <w:tcW w:w="1280" w:type="dxa"/>
          </w:tcPr>
          <w:p w14:paraId="4A37A93C" w14:textId="76B5A626" w:rsidR="000B6AA8" w:rsidRPr="00967C7D" w:rsidRDefault="000B6AA8" w:rsidP="00967C7D">
            <w:pPr>
              <w:keepNext w:val="0"/>
              <w:spacing w:before="0"/>
              <w:rPr>
                <w:rFonts w:cs="Arial"/>
                <w:bCs/>
                <w:color w:val="auto"/>
                <w:sz w:val="20"/>
              </w:rPr>
            </w:pPr>
            <w:r>
              <w:rPr>
                <w:rFonts w:cs="Arial"/>
                <w:bCs/>
                <w:color w:val="auto"/>
                <w:sz w:val="20"/>
              </w:rPr>
              <w:t>EV5/252</w:t>
            </w:r>
          </w:p>
        </w:tc>
        <w:tc>
          <w:tcPr>
            <w:tcW w:w="6230" w:type="dxa"/>
            <w:noWrap/>
          </w:tcPr>
          <w:p w14:paraId="5464342B" w14:textId="0B5E1F35" w:rsidR="000B6AA8" w:rsidRPr="00967C7D" w:rsidRDefault="000B6AA8" w:rsidP="00967C7D">
            <w:pPr>
              <w:keepNext w:val="0"/>
              <w:spacing w:before="0"/>
              <w:rPr>
                <w:rFonts w:cs="Arial"/>
                <w:bCs/>
                <w:color w:val="auto"/>
                <w:sz w:val="20"/>
              </w:rPr>
            </w:pPr>
            <w:proofErr w:type="spellStart"/>
            <w:r>
              <w:rPr>
                <w:rFonts w:cs="Arial"/>
                <w:bCs/>
                <w:color w:val="auto"/>
                <w:sz w:val="20"/>
              </w:rPr>
              <w:t>Kenbrook</w:t>
            </w:r>
            <w:proofErr w:type="spellEnd"/>
            <w:r>
              <w:rPr>
                <w:rFonts w:cs="Arial"/>
                <w:bCs/>
                <w:color w:val="auto"/>
                <w:sz w:val="20"/>
              </w:rPr>
              <w:t xml:space="preserve"> Road</w:t>
            </w:r>
          </w:p>
        </w:tc>
        <w:tc>
          <w:tcPr>
            <w:tcW w:w="1847" w:type="dxa"/>
            <w:noWrap/>
          </w:tcPr>
          <w:p w14:paraId="23323981" w14:textId="527515A5" w:rsidR="000B6AA8" w:rsidRPr="00967C7D" w:rsidRDefault="000B6AA8" w:rsidP="00967C7D">
            <w:pPr>
              <w:keepNext w:val="0"/>
              <w:spacing w:before="0"/>
              <w:rPr>
                <w:rFonts w:cs="Arial"/>
                <w:bCs/>
                <w:color w:val="auto"/>
                <w:sz w:val="20"/>
              </w:rPr>
            </w:pPr>
            <w:r>
              <w:rPr>
                <w:rFonts w:cs="Arial"/>
                <w:bCs/>
                <w:color w:val="auto"/>
                <w:sz w:val="20"/>
              </w:rPr>
              <w:t>South Sheet</w:t>
            </w:r>
          </w:p>
        </w:tc>
      </w:tr>
      <w:tr w:rsidR="000B6AA8" w:rsidRPr="00967C7D" w14:paraId="494D81C5" w14:textId="77777777" w:rsidTr="00B5314A">
        <w:trPr>
          <w:trHeight w:val="284"/>
        </w:trPr>
        <w:tc>
          <w:tcPr>
            <w:tcW w:w="1280" w:type="dxa"/>
          </w:tcPr>
          <w:p w14:paraId="0A5E2A96" w14:textId="28F0347F" w:rsidR="000B6AA8" w:rsidRPr="00967C7D" w:rsidRDefault="000B6AA8" w:rsidP="00967C7D">
            <w:pPr>
              <w:keepNext w:val="0"/>
              <w:spacing w:before="0"/>
              <w:rPr>
                <w:rFonts w:cs="Arial"/>
                <w:bCs/>
                <w:color w:val="auto"/>
                <w:sz w:val="20"/>
              </w:rPr>
            </w:pPr>
            <w:r>
              <w:rPr>
                <w:rFonts w:cs="Arial"/>
                <w:bCs/>
                <w:color w:val="auto"/>
                <w:sz w:val="20"/>
              </w:rPr>
              <w:t>EV5/253</w:t>
            </w:r>
          </w:p>
        </w:tc>
        <w:tc>
          <w:tcPr>
            <w:tcW w:w="6230" w:type="dxa"/>
            <w:noWrap/>
          </w:tcPr>
          <w:p w14:paraId="59947762" w14:textId="49D199D7" w:rsidR="000B6AA8" w:rsidRPr="00967C7D" w:rsidRDefault="000B6AA8" w:rsidP="00967C7D">
            <w:pPr>
              <w:keepNext w:val="0"/>
              <w:spacing w:before="0"/>
              <w:rPr>
                <w:rFonts w:cs="Arial"/>
                <w:bCs/>
                <w:color w:val="auto"/>
                <w:sz w:val="20"/>
              </w:rPr>
            </w:pPr>
            <w:r>
              <w:rPr>
                <w:rFonts w:cs="Arial"/>
                <w:bCs/>
                <w:color w:val="auto"/>
                <w:sz w:val="20"/>
              </w:rPr>
              <w:t>Red Kite Close</w:t>
            </w:r>
          </w:p>
        </w:tc>
        <w:tc>
          <w:tcPr>
            <w:tcW w:w="1847" w:type="dxa"/>
            <w:noWrap/>
          </w:tcPr>
          <w:p w14:paraId="2FB4E1F7" w14:textId="30A220DF" w:rsidR="000B6AA8" w:rsidRPr="00967C7D" w:rsidRDefault="000B6AA8" w:rsidP="00967C7D">
            <w:pPr>
              <w:keepNext w:val="0"/>
              <w:spacing w:before="0"/>
              <w:rPr>
                <w:rFonts w:cs="Arial"/>
                <w:bCs/>
                <w:color w:val="auto"/>
                <w:sz w:val="20"/>
              </w:rPr>
            </w:pPr>
            <w:r>
              <w:rPr>
                <w:rFonts w:cs="Arial"/>
                <w:bCs/>
                <w:color w:val="auto"/>
                <w:sz w:val="20"/>
              </w:rPr>
              <w:t>South Sheet</w:t>
            </w:r>
          </w:p>
        </w:tc>
      </w:tr>
      <w:tr w:rsidR="000B6AA8" w:rsidRPr="00967C7D" w14:paraId="40BD4E69" w14:textId="77777777" w:rsidTr="00B5314A">
        <w:trPr>
          <w:trHeight w:val="284"/>
        </w:trPr>
        <w:tc>
          <w:tcPr>
            <w:tcW w:w="1280" w:type="dxa"/>
          </w:tcPr>
          <w:p w14:paraId="0134A208" w14:textId="6345EA3B" w:rsidR="000B6AA8" w:rsidRPr="00967C7D" w:rsidRDefault="000B6AA8" w:rsidP="00967C7D">
            <w:pPr>
              <w:keepNext w:val="0"/>
              <w:spacing w:before="0"/>
              <w:rPr>
                <w:rFonts w:cs="Arial"/>
                <w:bCs/>
                <w:color w:val="auto"/>
                <w:sz w:val="20"/>
              </w:rPr>
            </w:pPr>
            <w:r>
              <w:rPr>
                <w:rFonts w:cs="Arial"/>
                <w:bCs/>
                <w:color w:val="auto"/>
                <w:sz w:val="20"/>
              </w:rPr>
              <w:t>EV5/254</w:t>
            </w:r>
          </w:p>
        </w:tc>
        <w:tc>
          <w:tcPr>
            <w:tcW w:w="6230" w:type="dxa"/>
            <w:noWrap/>
          </w:tcPr>
          <w:p w14:paraId="5B38C0FB" w14:textId="4C05CBB8" w:rsidR="000B6AA8" w:rsidRPr="00967C7D" w:rsidRDefault="000B6AA8" w:rsidP="00967C7D">
            <w:pPr>
              <w:keepNext w:val="0"/>
              <w:spacing w:before="0"/>
              <w:rPr>
                <w:rFonts w:cs="Arial"/>
                <w:bCs/>
                <w:color w:val="auto"/>
                <w:sz w:val="20"/>
              </w:rPr>
            </w:pPr>
            <w:proofErr w:type="spellStart"/>
            <w:r>
              <w:rPr>
                <w:rFonts w:cs="Arial"/>
                <w:bCs/>
                <w:color w:val="auto"/>
                <w:sz w:val="20"/>
              </w:rPr>
              <w:t>Emporer’s</w:t>
            </w:r>
            <w:proofErr w:type="spellEnd"/>
            <w:r>
              <w:rPr>
                <w:rFonts w:cs="Arial"/>
                <w:bCs/>
                <w:color w:val="auto"/>
                <w:sz w:val="20"/>
              </w:rPr>
              <w:t xml:space="preserve"> Way</w:t>
            </w:r>
          </w:p>
        </w:tc>
        <w:tc>
          <w:tcPr>
            <w:tcW w:w="1847" w:type="dxa"/>
            <w:noWrap/>
          </w:tcPr>
          <w:p w14:paraId="2B50403E" w14:textId="1320CE27" w:rsidR="000B6AA8" w:rsidRPr="00967C7D" w:rsidRDefault="000B6AA8" w:rsidP="00967C7D">
            <w:pPr>
              <w:keepNext w:val="0"/>
              <w:spacing w:before="0"/>
              <w:rPr>
                <w:rFonts w:cs="Arial"/>
                <w:bCs/>
                <w:color w:val="auto"/>
                <w:sz w:val="20"/>
              </w:rPr>
            </w:pPr>
            <w:r>
              <w:rPr>
                <w:rFonts w:cs="Arial"/>
                <w:bCs/>
                <w:color w:val="auto"/>
                <w:sz w:val="20"/>
              </w:rPr>
              <w:t>South Sheet</w:t>
            </w:r>
          </w:p>
        </w:tc>
      </w:tr>
      <w:tr w:rsidR="000B6AA8" w:rsidRPr="00967C7D" w14:paraId="2CF03109" w14:textId="77777777" w:rsidTr="00B5314A">
        <w:trPr>
          <w:trHeight w:val="284"/>
        </w:trPr>
        <w:tc>
          <w:tcPr>
            <w:tcW w:w="1280" w:type="dxa"/>
          </w:tcPr>
          <w:p w14:paraId="366E8518" w14:textId="495C8C94" w:rsidR="000B6AA8" w:rsidRDefault="000B6AA8" w:rsidP="00967C7D">
            <w:pPr>
              <w:keepNext w:val="0"/>
              <w:spacing w:before="0"/>
              <w:rPr>
                <w:rFonts w:cs="Arial"/>
                <w:bCs/>
                <w:color w:val="auto"/>
                <w:sz w:val="20"/>
              </w:rPr>
            </w:pPr>
            <w:r>
              <w:rPr>
                <w:rFonts w:cs="Arial"/>
                <w:bCs/>
                <w:color w:val="auto"/>
                <w:sz w:val="20"/>
              </w:rPr>
              <w:t>EV5/255</w:t>
            </w:r>
          </w:p>
        </w:tc>
        <w:tc>
          <w:tcPr>
            <w:tcW w:w="6230" w:type="dxa"/>
            <w:noWrap/>
          </w:tcPr>
          <w:p w14:paraId="48F4B073" w14:textId="7E021B48" w:rsidR="000B6AA8" w:rsidRPr="00967C7D" w:rsidRDefault="000B6AA8" w:rsidP="00967C7D">
            <w:pPr>
              <w:keepNext w:val="0"/>
              <w:spacing w:before="0"/>
              <w:rPr>
                <w:rFonts w:cs="Arial"/>
                <w:bCs/>
                <w:color w:val="auto"/>
                <w:sz w:val="20"/>
              </w:rPr>
            </w:pPr>
            <w:r>
              <w:rPr>
                <w:rFonts w:cs="Arial"/>
                <w:bCs/>
                <w:color w:val="auto"/>
                <w:sz w:val="20"/>
              </w:rPr>
              <w:t>Snowdrop Close</w:t>
            </w:r>
          </w:p>
        </w:tc>
        <w:tc>
          <w:tcPr>
            <w:tcW w:w="1847" w:type="dxa"/>
            <w:noWrap/>
          </w:tcPr>
          <w:p w14:paraId="6E221799" w14:textId="48ED5C52" w:rsidR="000B6AA8" w:rsidRPr="00967C7D" w:rsidRDefault="000B6AA8" w:rsidP="00967C7D">
            <w:pPr>
              <w:keepNext w:val="0"/>
              <w:spacing w:before="0"/>
              <w:rPr>
                <w:rFonts w:cs="Arial"/>
                <w:bCs/>
                <w:color w:val="auto"/>
                <w:sz w:val="20"/>
              </w:rPr>
            </w:pPr>
            <w:r>
              <w:rPr>
                <w:rFonts w:cs="Arial"/>
                <w:bCs/>
                <w:color w:val="auto"/>
                <w:sz w:val="20"/>
              </w:rPr>
              <w:t>South Sheet</w:t>
            </w:r>
          </w:p>
        </w:tc>
      </w:tr>
    </w:tbl>
    <w:p w14:paraId="3DE9E0C9" w14:textId="77777777" w:rsidR="00C602FD" w:rsidRDefault="00C602FD" w:rsidP="00C602FD">
      <w:pPr>
        <w:keepNext w:val="0"/>
        <w:autoSpaceDE w:val="0"/>
        <w:autoSpaceDN w:val="0"/>
        <w:adjustRightInd w:val="0"/>
        <w:spacing w:before="0"/>
        <w:rPr>
          <w:rFonts w:cs="Arial"/>
          <w:b/>
          <w:bCs/>
          <w:sz w:val="28"/>
          <w:szCs w:val="28"/>
        </w:rPr>
      </w:pPr>
    </w:p>
    <w:p w14:paraId="41AC00D1" w14:textId="169DB91E" w:rsidR="00C602FD" w:rsidRDefault="00C602FD" w:rsidP="00C602FD">
      <w:pPr>
        <w:keepNext w:val="0"/>
        <w:autoSpaceDE w:val="0"/>
        <w:autoSpaceDN w:val="0"/>
        <w:adjustRightInd w:val="0"/>
        <w:spacing w:before="0"/>
        <w:rPr>
          <w:rFonts w:cs="Arial"/>
          <w:b/>
          <w:bCs/>
          <w:sz w:val="28"/>
          <w:szCs w:val="28"/>
        </w:rPr>
      </w:pPr>
      <w:r>
        <w:rPr>
          <w:rFonts w:cs="Arial"/>
          <w:b/>
          <w:bCs/>
          <w:sz w:val="28"/>
          <w:szCs w:val="28"/>
        </w:rPr>
        <w:br w:type="page"/>
      </w:r>
    </w:p>
    <w:p w14:paraId="72DFDE36" w14:textId="5061594F" w:rsidR="00C602FD" w:rsidRPr="00967C7D" w:rsidRDefault="00C602FD" w:rsidP="00CF07B9">
      <w:pPr>
        <w:pStyle w:val="Heading1"/>
      </w:pPr>
      <w:bookmarkStart w:id="344" w:name="_Toc145511630"/>
      <w:r w:rsidRPr="00967C7D">
        <w:lastRenderedPageBreak/>
        <w:t>Appendix 8 - Policy EV6: Trees, Woodlands and Hedgerows</w:t>
      </w:r>
      <w:bookmarkEnd w:id="344"/>
    </w:p>
    <w:p w14:paraId="23C48B82" w14:textId="77777777" w:rsidR="00967C7D" w:rsidRPr="00967C7D" w:rsidRDefault="00967C7D" w:rsidP="00C602FD">
      <w:pPr>
        <w:keepNext w:val="0"/>
        <w:autoSpaceDE w:val="0"/>
        <w:autoSpaceDN w:val="0"/>
        <w:adjustRightInd w:val="0"/>
        <w:spacing w:before="0"/>
        <w:rPr>
          <w:rFonts w:cs="Arial"/>
          <w:sz w:val="28"/>
          <w:szCs w:val="28"/>
        </w:rPr>
      </w:pPr>
    </w:p>
    <w:p w14:paraId="186E2149" w14:textId="77777777" w:rsidR="00967C7D" w:rsidRPr="00967C7D" w:rsidRDefault="00967C7D" w:rsidP="00967C7D">
      <w:pPr>
        <w:keepNext w:val="0"/>
        <w:shd w:val="clear" w:color="auto" w:fill="FFFFFF"/>
        <w:tabs>
          <w:tab w:val="left" w:pos="0"/>
        </w:tabs>
        <w:spacing w:before="0"/>
        <w:ind w:left="1451" w:hanging="1451"/>
        <w:jc w:val="both"/>
        <w:rPr>
          <w:rFonts w:cs="Arial"/>
          <w:color w:val="auto"/>
        </w:rPr>
      </w:pPr>
      <w:r w:rsidRPr="00967C7D">
        <w:rPr>
          <w:rFonts w:cs="Arial"/>
          <w:b/>
          <w:color w:val="auto"/>
        </w:rPr>
        <w:t>Ancient Woodland Sites</w:t>
      </w:r>
    </w:p>
    <w:p w14:paraId="53FFA2DE" w14:textId="77777777" w:rsidR="00967C7D" w:rsidRPr="00967C7D" w:rsidRDefault="00967C7D" w:rsidP="00967C7D">
      <w:pPr>
        <w:keepNext w:val="0"/>
        <w:shd w:val="clear" w:color="auto" w:fill="FFFFFF"/>
        <w:tabs>
          <w:tab w:val="left" w:pos="0"/>
        </w:tabs>
        <w:spacing w:before="0"/>
        <w:ind w:left="1451" w:hanging="1451"/>
        <w:jc w:val="both"/>
        <w:rPr>
          <w:rFonts w:cs="Arial"/>
          <w:color w:val="auto"/>
        </w:rPr>
      </w:pPr>
    </w:p>
    <w:tbl>
      <w:tblPr>
        <w:tblStyle w:val="TableGrid3"/>
        <w:tblW w:w="9067" w:type="dxa"/>
        <w:tblLook w:val="04A0" w:firstRow="1" w:lastRow="0" w:firstColumn="1" w:lastColumn="0" w:noHBand="0" w:noVBand="1"/>
      </w:tblPr>
      <w:tblGrid>
        <w:gridCol w:w="1271"/>
        <w:gridCol w:w="5528"/>
        <w:gridCol w:w="2268"/>
      </w:tblGrid>
      <w:tr w:rsidR="00967C7D" w:rsidRPr="00967C7D" w14:paraId="198DCDBE" w14:textId="77777777" w:rsidTr="0047268B">
        <w:trPr>
          <w:trHeight w:val="420"/>
        </w:trPr>
        <w:tc>
          <w:tcPr>
            <w:tcW w:w="1271" w:type="dxa"/>
            <w:shd w:val="clear" w:color="auto" w:fill="D9D9D9" w:themeFill="background1" w:themeFillShade="D9"/>
            <w:noWrap/>
            <w:hideMark/>
          </w:tcPr>
          <w:p w14:paraId="61878F5B" w14:textId="474D1CB4" w:rsidR="00967C7D" w:rsidRPr="00967C7D" w:rsidRDefault="00F02029" w:rsidP="00967C7D">
            <w:pPr>
              <w:keepNext w:val="0"/>
              <w:spacing w:before="0"/>
              <w:rPr>
                <w:rFonts w:ascii="Calibri" w:hAnsi="Calibri" w:cs="Arial"/>
                <w:b/>
                <w:bCs/>
                <w:color w:val="000000"/>
                <w:szCs w:val="24"/>
              </w:rPr>
            </w:pPr>
            <w:r>
              <w:rPr>
                <w:rFonts w:ascii="Calibri" w:hAnsi="Calibri" w:cs="Arial"/>
                <w:b/>
                <w:bCs/>
                <w:color w:val="000000"/>
                <w:szCs w:val="24"/>
              </w:rPr>
              <w:t xml:space="preserve">Local </w:t>
            </w:r>
            <w:r w:rsidR="00967C7D" w:rsidRPr="00967C7D">
              <w:rPr>
                <w:rFonts w:ascii="Calibri" w:hAnsi="Calibri" w:cs="Arial"/>
                <w:b/>
                <w:bCs/>
                <w:color w:val="000000"/>
                <w:szCs w:val="24"/>
              </w:rPr>
              <w:t>Plan Ref</w:t>
            </w:r>
            <w:r>
              <w:rPr>
                <w:rFonts w:ascii="Calibri" w:hAnsi="Calibri" w:cs="Arial"/>
                <w:b/>
                <w:bCs/>
                <w:color w:val="000000"/>
                <w:szCs w:val="24"/>
              </w:rPr>
              <w:t>erence</w:t>
            </w:r>
          </w:p>
        </w:tc>
        <w:tc>
          <w:tcPr>
            <w:tcW w:w="5528" w:type="dxa"/>
            <w:shd w:val="clear" w:color="auto" w:fill="D9D9D9" w:themeFill="background1" w:themeFillShade="D9"/>
            <w:noWrap/>
            <w:hideMark/>
          </w:tcPr>
          <w:p w14:paraId="28936DA7" w14:textId="77777777" w:rsidR="00967C7D" w:rsidRPr="00967C7D" w:rsidRDefault="00967C7D" w:rsidP="00967C7D">
            <w:pPr>
              <w:keepNext w:val="0"/>
              <w:spacing w:before="0"/>
              <w:rPr>
                <w:rFonts w:ascii="Calibri" w:hAnsi="Calibri" w:cs="Arial"/>
                <w:b/>
                <w:bCs/>
                <w:color w:val="000000"/>
                <w:szCs w:val="24"/>
              </w:rPr>
            </w:pPr>
            <w:r w:rsidRPr="00967C7D">
              <w:rPr>
                <w:rFonts w:ascii="Calibri" w:hAnsi="Calibri" w:cs="Arial"/>
                <w:b/>
                <w:bCs/>
                <w:color w:val="000000"/>
                <w:szCs w:val="24"/>
              </w:rPr>
              <w:t>Site Name</w:t>
            </w:r>
          </w:p>
        </w:tc>
        <w:tc>
          <w:tcPr>
            <w:tcW w:w="2268" w:type="dxa"/>
            <w:shd w:val="clear" w:color="auto" w:fill="D9D9D9" w:themeFill="background1" w:themeFillShade="D9"/>
            <w:noWrap/>
            <w:hideMark/>
          </w:tcPr>
          <w:p w14:paraId="3AE2601B" w14:textId="4AFC0821" w:rsidR="00967C7D" w:rsidRPr="00967C7D" w:rsidRDefault="0047268B" w:rsidP="00967C7D">
            <w:pPr>
              <w:keepNext w:val="0"/>
              <w:spacing w:before="0"/>
              <w:rPr>
                <w:rFonts w:ascii="Calibri" w:hAnsi="Calibri" w:cs="Arial"/>
                <w:b/>
                <w:bCs/>
                <w:color w:val="000000"/>
                <w:szCs w:val="24"/>
              </w:rPr>
            </w:pPr>
            <w:r>
              <w:rPr>
                <w:rFonts w:ascii="Calibri" w:hAnsi="Calibri" w:cs="Arial"/>
                <w:b/>
                <w:bCs/>
                <w:color w:val="000000"/>
                <w:szCs w:val="24"/>
              </w:rPr>
              <w:t>Policies Map</w:t>
            </w:r>
          </w:p>
        </w:tc>
      </w:tr>
      <w:tr w:rsidR="00967C7D" w:rsidRPr="00967C7D" w14:paraId="6B3630F1" w14:textId="77777777" w:rsidTr="0047268B">
        <w:trPr>
          <w:trHeight w:val="420"/>
        </w:trPr>
        <w:tc>
          <w:tcPr>
            <w:tcW w:w="1271" w:type="dxa"/>
            <w:noWrap/>
            <w:hideMark/>
          </w:tcPr>
          <w:p w14:paraId="701AB502"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EV6a</w:t>
            </w:r>
          </w:p>
        </w:tc>
        <w:tc>
          <w:tcPr>
            <w:tcW w:w="5528" w:type="dxa"/>
            <w:noWrap/>
            <w:hideMark/>
          </w:tcPr>
          <w:p w14:paraId="4B9EF667" w14:textId="77777777" w:rsidR="00967C7D" w:rsidRPr="00967C7D" w:rsidRDefault="00967C7D" w:rsidP="00967C7D">
            <w:pPr>
              <w:keepNext w:val="0"/>
              <w:spacing w:before="0"/>
              <w:rPr>
                <w:rFonts w:ascii="Calibri" w:hAnsi="Calibri" w:cs="Arial"/>
                <w:color w:val="000000"/>
                <w:szCs w:val="24"/>
              </w:rPr>
            </w:pPr>
            <w:proofErr w:type="spellStart"/>
            <w:r w:rsidRPr="00967C7D">
              <w:rPr>
                <w:rFonts w:ascii="Calibri" w:hAnsi="Calibri" w:cs="Arial"/>
                <w:color w:val="000000"/>
                <w:szCs w:val="24"/>
              </w:rPr>
              <w:t>Healds</w:t>
            </w:r>
            <w:proofErr w:type="spellEnd"/>
            <w:r w:rsidRPr="00967C7D">
              <w:rPr>
                <w:rFonts w:ascii="Calibri" w:hAnsi="Calibri" w:cs="Arial"/>
                <w:color w:val="000000"/>
                <w:szCs w:val="24"/>
              </w:rPr>
              <w:t xml:space="preserve"> Wood</w:t>
            </w:r>
          </w:p>
        </w:tc>
        <w:tc>
          <w:tcPr>
            <w:tcW w:w="2268" w:type="dxa"/>
            <w:noWrap/>
            <w:hideMark/>
          </w:tcPr>
          <w:p w14:paraId="2C5F9DD1"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North Sheet</w:t>
            </w:r>
          </w:p>
        </w:tc>
      </w:tr>
      <w:tr w:rsidR="00967C7D" w:rsidRPr="00967C7D" w14:paraId="6D8BC0C8" w14:textId="77777777" w:rsidTr="0047268B">
        <w:trPr>
          <w:trHeight w:val="420"/>
        </w:trPr>
        <w:tc>
          <w:tcPr>
            <w:tcW w:w="1271" w:type="dxa"/>
            <w:noWrap/>
            <w:hideMark/>
          </w:tcPr>
          <w:p w14:paraId="19007B79"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EV6b</w:t>
            </w:r>
          </w:p>
        </w:tc>
        <w:tc>
          <w:tcPr>
            <w:tcW w:w="5528" w:type="dxa"/>
            <w:noWrap/>
            <w:hideMark/>
          </w:tcPr>
          <w:p w14:paraId="428D966A"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Bloomer Wood</w:t>
            </w:r>
          </w:p>
        </w:tc>
        <w:tc>
          <w:tcPr>
            <w:tcW w:w="2268" w:type="dxa"/>
            <w:noWrap/>
            <w:hideMark/>
          </w:tcPr>
          <w:p w14:paraId="4CD048F5"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North Sheet</w:t>
            </w:r>
          </w:p>
        </w:tc>
      </w:tr>
      <w:tr w:rsidR="00967C7D" w:rsidRPr="00967C7D" w14:paraId="4C5E4C28" w14:textId="77777777" w:rsidTr="0047268B">
        <w:trPr>
          <w:trHeight w:val="420"/>
        </w:trPr>
        <w:tc>
          <w:tcPr>
            <w:tcW w:w="1271" w:type="dxa"/>
            <w:noWrap/>
            <w:hideMark/>
          </w:tcPr>
          <w:p w14:paraId="256FBA6F"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EV6c</w:t>
            </w:r>
          </w:p>
        </w:tc>
        <w:tc>
          <w:tcPr>
            <w:tcW w:w="5528" w:type="dxa"/>
            <w:noWrap/>
            <w:hideMark/>
          </w:tcPr>
          <w:p w14:paraId="4A4FFEE1"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Bulwell Wood</w:t>
            </w:r>
          </w:p>
        </w:tc>
        <w:tc>
          <w:tcPr>
            <w:tcW w:w="2268" w:type="dxa"/>
            <w:noWrap/>
            <w:hideMark/>
          </w:tcPr>
          <w:p w14:paraId="79F1CD4F"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South Sheet</w:t>
            </w:r>
          </w:p>
        </w:tc>
      </w:tr>
      <w:tr w:rsidR="00967C7D" w:rsidRPr="00967C7D" w14:paraId="3BBBBB0B" w14:textId="77777777" w:rsidTr="0047268B">
        <w:trPr>
          <w:trHeight w:val="420"/>
        </w:trPr>
        <w:tc>
          <w:tcPr>
            <w:tcW w:w="1271" w:type="dxa"/>
            <w:noWrap/>
            <w:hideMark/>
          </w:tcPr>
          <w:p w14:paraId="589C6921"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EV6d</w:t>
            </w:r>
          </w:p>
        </w:tc>
        <w:tc>
          <w:tcPr>
            <w:tcW w:w="5528" w:type="dxa"/>
            <w:noWrap/>
            <w:hideMark/>
          </w:tcPr>
          <w:p w14:paraId="037A0596" w14:textId="77777777" w:rsidR="00967C7D" w:rsidRPr="00967C7D" w:rsidRDefault="00967C7D" w:rsidP="00967C7D">
            <w:pPr>
              <w:keepNext w:val="0"/>
              <w:spacing w:before="0"/>
              <w:rPr>
                <w:rFonts w:ascii="Calibri" w:hAnsi="Calibri" w:cs="Arial"/>
                <w:color w:val="000000"/>
                <w:szCs w:val="24"/>
              </w:rPr>
            </w:pPr>
            <w:proofErr w:type="spellStart"/>
            <w:r w:rsidRPr="00967C7D">
              <w:rPr>
                <w:rFonts w:ascii="Calibri" w:hAnsi="Calibri" w:cs="Arial"/>
                <w:color w:val="000000"/>
                <w:szCs w:val="24"/>
              </w:rPr>
              <w:t>Dawgates</w:t>
            </w:r>
            <w:proofErr w:type="spellEnd"/>
            <w:r w:rsidRPr="00967C7D">
              <w:rPr>
                <w:rFonts w:ascii="Calibri" w:hAnsi="Calibri" w:cs="Arial"/>
                <w:color w:val="000000"/>
                <w:szCs w:val="24"/>
              </w:rPr>
              <w:t xml:space="preserve"> Wood 1</w:t>
            </w:r>
          </w:p>
        </w:tc>
        <w:tc>
          <w:tcPr>
            <w:tcW w:w="2268" w:type="dxa"/>
            <w:noWrap/>
            <w:hideMark/>
          </w:tcPr>
          <w:p w14:paraId="7B3502DC"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North Sheet</w:t>
            </w:r>
          </w:p>
        </w:tc>
      </w:tr>
      <w:tr w:rsidR="00967C7D" w:rsidRPr="00967C7D" w14:paraId="58985823" w14:textId="77777777" w:rsidTr="0047268B">
        <w:trPr>
          <w:trHeight w:val="420"/>
        </w:trPr>
        <w:tc>
          <w:tcPr>
            <w:tcW w:w="1271" w:type="dxa"/>
            <w:noWrap/>
            <w:hideMark/>
          </w:tcPr>
          <w:p w14:paraId="2C03580F"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EV6e</w:t>
            </w:r>
          </w:p>
        </w:tc>
        <w:tc>
          <w:tcPr>
            <w:tcW w:w="5528" w:type="dxa"/>
            <w:noWrap/>
            <w:hideMark/>
          </w:tcPr>
          <w:p w14:paraId="175600BB"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Dovedale Wood</w:t>
            </w:r>
          </w:p>
        </w:tc>
        <w:tc>
          <w:tcPr>
            <w:tcW w:w="2268" w:type="dxa"/>
            <w:noWrap/>
            <w:hideMark/>
          </w:tcPr>
          <w:p w14:paraId="5966D222"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North Sheet</w:t>
            </w:r>
          </w:p>
        </w:tc>
      </w:tr>
      <w:tr w:rsidR="00967C7D" w:rsidRPr="00967C7D" w14:paraId="13CEF657" w14:textId="77777777" w:rsidTr="0047268B">
        <w:trPr>
          <w:trHeight w:val="420"/>
        </w:trPr>
        <w:tc>
          <w:tcPr>
            <w:tcW w:w="1271" w:type="dxa"/>
            <w:noWrap/>
            <w:hideMark/>
          </w:tcPr>
          <w:p w14:paraId="677A253B"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EV6f</w:t>
            </w:r>
          </w:p>
        </w:tc>
        <w:tc>
          <w:tcPr>
            <w:tcW w:w="5528" w:type="dxa"/>
            <w:noWrap/>
            <w:hideMark/>
          </w:tcPr>
          <w:p w14:paraId="53F34590"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High Park Wood</w:t>
            </w:r>
          </w:p>
        </w:tc>
        <w:tc>
          <w:tcPr>
            <w:tcW w:w="2268" w:type="dxa"/>
            <w:noWrap/>
            <w:hideMark/>
          </w:tcPr>
          <w:p w14:paraId="36C08C31"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South Sheet</w:t>
            </w:r>
          </w:p>
        </w:tc>
      </w:tr>
      <w:tr w:rsidR="00967C7D" w:rsidRPr="00967C7D" w14:paraId="73F5C9D4" w14:textId="77777777" w:rsidTr="0047268B">
        <w:trPr>
          <w:trHeight w:val="420"/>
        </w:trPr>
        <w:tc>
          <w:tcPr>
            <w:tcW w:w="1271" w:type="dxa"/>
            <w:noWrap/>
            <w:hideMark/>
          </w:tcPr>
          <w:p w14:paraId="05CD2679"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EV6g</w:t>
            </w:r>
          </w:p>
        </w:tc>
        <w:tc>
          <w:tcPr>
            <w:tcW w:w="5528" w:type="dxa"/>
            <w:noWrap/>
            <w:hideMark/>
          </w:tcPr>
          <w:p w14:paraId="2A49B2A5"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Little Oak Plantation</w:t>
            </w:r>
          </w:p>
        </w:tc>
        <w:tc>
          <w:tcPr>
            <w:tcW w:w="2268" w:type="dxa"/>
            <w:noWrap/>
            <w:hideMark/>
          </w:tcPr>
          <w:p w14:paraId="685730BE"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South Sheet</w:t>
            </w:r>
          </w:p>
        </w:tc>
      </w:tr>
      <w:tr w:rsidR="00967C7D" w:rsidRPr="00967C7D" w14:paraId="0633F756" w14:textId="77777777" w:rsidTr="0047268B">
        <w:trPr>
          <w:trHeight w:val="420"/>
        </w:trPr>
        <w:tc>
          <w:tcPr>
            <w:tcW w:w="1271" w:type="dxa"/>
            <w:noWrap/>
            <w:hideMark/>
          </w:tcPr>
          <w:p w14:paraId="374CBDEE"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EV6h</w:t>
            </w:r>
          </w:p>
        </w:tc>
        <w:tc>
          <w:tcPr>
            <w:tcW w:w="5528" w:type="dxa"/>
            <w:noWrap/>
            <w:hideMark/>
          </w:tcPr>
          <w:p w14:paraId="161F2D4E"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Millington Springs</w:t>
            </w:r>
          </w:p>
        </w:tc>
        <w:tc>
          <w:tcPr>
            <w:tcW w:w="2268" w:type="dxa"/>
            <w:noWrap/>
            <w:hideMark/>
          </w:tcPr>
          <w:p w14:paraId="4519B4A5"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South Sheet</w:t>
            </w:r>
          </w:p>
        </w:tc>
      </w:tr>
      <w:tr w:rsidR="00967C7D" w:rsidRPr="00967C7D" w14:paraId="0EAE04C5" w14:textId="77777777" w:rsidTr="0047268B">
        <w:trPr>
          <w:trHeight w:val="420"/>
        </w:trPr>
        <w:tc>
          <w:tcPr>
            <w:tcW w:w="1271" w:type="dxa"/>
            <w:noWrap/>
            <w:hideMark/>
          </w:tcPr>
          <w:p w14:paraId="12A4461B"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EV6i</w:t>
            </w:r>
          </w:p>
        </w:tc>
        <w:tc>
          <w:tcPr>
            <w:tcW w:w="5528" w:type="dxa"/>
            <w:noWrap/>
            <w:hideMark/>
          </w:tcPr>
          <w:p w14:paraId="43224590" w14:textId="77777777" w:rsidR="00967C7D" w:rsidRPr="00967C7D" w:rsidRDefault="00967C7D" w:rsidP="00967C7D">
            <w:pPr>
              <w:keepNext w:val="0"/>
              <w:spacing w:before="0"/>
              <w:rPr>
                <w:rFonts w:ascii="Calibri" w:hAnsi="Calibri" w:cs="Arial"/>
                <w:color w:val="000000"/>
                <w:szCs w:val="24"/>
              </w:rPr>
            </w:pPr>
            <w:proofErr w:type="spellStart"/>
            <w:r w:rsidRPr="00967C7D">
              <w:rPr>
                <w:rFonts w:ascii="Calibri" w:hAnsi="Calibri" w:cs="Arial"/>
                <w:color w:val="000000"/>
                <w:szCs w:val="24"/>
              </w:rPr>
              <w:t>Normanshill</w:t>
            </w:r>
            <w:proofErr w:type="spellEnd"/>
            <w:r w:rsidRPr="00967C7D">
              <w:rPr>
                <w:rFonts w:ascii="Calibri" w:hAnsi="Calibri" w:cs="Arial"/>
                <w:color w:val="000000"/>
                <w:szCs w:val="24"/>
              </w:rPr>
              <w:t>/ Thieves Wood</w:t>
            </w:r>
          </w:p>
        </w:tc>
        <w:tc>
          <w:tcPr>
            <w:tcW w:w="2268" w:type="dxa"/>
            <w:noWrap/>
            <w:hideMark/>
          </w:tcPr>
          <w:p w14:paraId="14D3714B"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North Sheet</w:t>
            </w:r>
          </w:p>
        </w:tc>
      </w:tr>
      <w:tr w:rsidR="00967C7D" w:rsidRPr="00967C7D" w14:paraId="7824F66A" w14:textId="77777777" w:rsidTr="0047268B">
        <w:trPr>
          <w:trHeight w:val="420"/>
        </w:trPr>
        <w:tc>
          <w:tcPr>
            <w:tcW w:w="1271" w:type="dxa"/>
            <w:noWrap/>
            <w:hideMark/>
          </w:tcPr>
          <w:p w14:paraId="44F9A7B9"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EV6j</w:t>
            </w:r>
          </w:p>
        </w:tc>
        <w:tc>
          <w:tcPr>
            <w:tcW w:w="5528" w:type="dxa"/>
            <w:noWrap/>
            <w:hideMark/>
          </w:tcPr>
          <w:p w14:paraId="38A439DA"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Norwood</w:t>
            </w:r>
          </w:p>
        </w:tc>
        <w:tc>
          <w:tcPr>
            <w:tcW w:w="2268" w:type="dxa"/>
            <w:noWrap/>
            <w:hideMark/>
          </w:tcPr>
          <w:p w14:paraId="0F4C2B47"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North Sheet</w:t>
            </w:r>
          </w:p>
        </w:tc>
      </w:tr>
      <w:tr w:rsidR="00967C7D" w:rsidRPr="00967C7D" w14:paraId="05F8CEC6" w14:textId="77777777" w:rsidTr="0047268B">
        <w:trPr>
          <w:trHeight w:val="420"/>
        </w:trPr>
        <w:tc>
          <w:tcPr>
            <w:tcW w:w="1271" w:type="dxa"/>
            <w:noWrap/>
            <w:hideMark/>
          </w:tcPr>
          <w:p w14:paraId="3D0E467B"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EV6k</w:t>
            </w:r>
          </w:p>
        </w:tc>
        <w:tc>
          <w:tcPr>
            <w:tcW w:w="5528" w:type="dxa"/>
            <w:noWrap/>
            <w:hideMark/>
          </w:tcPr>
          <w:p w14:paraId="67B2ADD4"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 xml:space="preserve">The </w:t>
            </w:r>
            <w:proofErr w:type="spellStart"/>
            <w:r w:rsidRPr="00967C7D">
              <w:rPr>
                <w:rFonts w:ascii="Calibri" w:hAnsi="Calibri" w:cs="Arial"/>
                <w:color w:val="000000"/>
                <w:szCs w:val="24"/>
              </w:rPr>
              <w:t>Dumbles</w:t>
            </w:r>
            <w:proofErr w:type="spellEnd"/>
          </w:p>
        </w:tc>
        <w:tc>
          <w:tcPr>
            <w:tcW w:w="2268" w:type="dxa"/>
            <w:noWrap/>
            <w:hideMark/>
          </w:tcPr>
          <w:p w14:paraId="4CC3935A" w14:textId="77777777" w:rsidR="00967C7D" w:rsidRPr="00967C7D" w:rsidRDefault="00967C7D" w:rsidP="00967C7D">
            <w:pPr>
              <w:keepNext w:val="0"/>
              <w:spacing w:before="0"/>
              <w:rPr>
                <w:rFonts w:ascii="Calibri" w:hAnsi="Calibri" w:cs="Arial"/>
                <w:color w:val="000000"/>
                <w:szCs w:val="24"/>
              </w:rPr>
            </w:pPr>
            <w:r w:rsidRPr="00967C7D">
              <w:rPr>
                <w:rFonts w:ascii="Calibri" w:hAnsi="Calibri" w:cs="Arial"/>
                <w:color w:val="000000"/>
                <w:szCs w:val="24"/>
              </w:rPr>
              <w:t>North Sheet</w:t>
            </w:r>
          </w:p>
        </w:tc>
      </w:tr>
    </w:tbl>
    <w:p w14:paraId="6CD2BC27" w14:textId="77777777" w:rsidR="00967C7D" w:rsidRPr="00967C7D" w:rsidRDefault="00967C7D" w:rsidP="00C602FD">
      <w:pPr>
        <w:keepNext w:val="0"/>
        <w:autoSpaceDE w:val="0"/>
        <w:autoSpaceDN w:val="0"/>
        <w:adjustRightInd w:val="0"/>
        <w:spacing w:before="0"/>
        <w:rPr>
          <w:rFonts w:cs="Arial"/>
          <w:sz w:val="28"/>
          <w:szCs w:val="28"/>
        </w:rPr>
      </w:pPr>
    </w:p>
    <w:p w14:paraId="56DCCA70" w14:textId="1A73F034" w:rsidR="00C602FD" w:rsidRDefault="00C602FD" w:rsidP="00C602FD">
      <w:pPr>
        <w:keepNext w:val="0"/>
        <w:autoSpaceDE w:val="0"/>
        <w:autoSpaceDN w:val="0"/>
        <w:adjustRightInd w:val="0"/>
        <w:spacing w:before="0"/>
        <w:rPr>
          <w:rFonts w:cs="Arial"/>
          <w:b/>
          <w:bCs/>
          <w:sz w:val="28"/>
          <w:szCs w:val="28"/>
        </w:rPr>
      </w:pPr>
      <w:r>
        <w:rPr>
          <w:rFonts w:cs="Arial"/>
          <w:b/>
          <w:bCs/>
          <w:sz w:val="28"/>
          <w:szCs w:val="28"/>
        </w:rPr>
        <w:br w:type="page"/>
      </w:r>
    </w:p>
    <w:p w14:paraId="115CB55B" w14:textId="64266AC9" w:rsidR="00C602FD" w:rsidRPr="00C602FD" w:rsidRDefault="00C602FD" w:rsidP="00CF07B9">
      <w:pPr>
        <w:pStyle w:val="Heading1"/>
      </w:pPr>
      <w:bookmarkStart w:id="345" w:name="_Toc145511631"/>
      <w:bookmarkStart w:id="346" w:name="_Hlk82187894"/>
      <w:r w:rsidRPr="00C602FD">
        <w:lastRenderedPageBreak/>
        <w:t>Appendix 9 - Policy EV7: Provision and Protection of Allotments</w:t>
      </w:r>
      <w:bookmarkEnd w:id="345"/>
    </w:p>
    <w:bookmarkEnd w:id="346"/>
    <w:p w14:paraId="1F739E30" w14:textId="77777777" w:rsidR="00C602FD" w:rsidRDefault="00C602FD" w:rsidP="00C602FD">
      <w:pPr>
        <w:keepNext w:val="0"/>
        <w:autoSpaceDE w:val="0"/>
        <w:autoSpaceDN w:val="0"/>
        <w:adjustRightInd w:val="0"/>
        <w:spacing w:before="0"/>
        <w:rPr>
          <w:rFonts w:cs="Arial"/>
          <w:b/>
          <w:bCs/>
          <w:sz w:val="28"/>
          <w:szCs w:val="28"/>
        </w:rPr>
      </w:pPr>
    </w:p>
    <w:p w14:paraId="52EA27C0" w14:textId="77777777" w:rsidR="00967C7D" w:rsidRPr="00967C7D" w:rsidRDefault="00967C7D" w:rsidP="00967C7D">
      <w:pPr>
        <w:keepNext w:val="0"/>
        <w:spacing w:before="0"/>
        <w:jc w:val="both"/>
        <w:rPr>
          <w:rFonts w:cs="Arial"/>
          <w:b/>
          <w:color w:val="auto"/>
        </w:rPr>
      </w:pPr>
      <w:r w:rsidRPr="00967C7D">
        <w:rPr>
          <w:rFonts w:cs="Arial"/>
          <w:b/>
          <w:color w:val="auto"/>
        </w:rPr>
        <w:t xml:space="preserve">Allotments </w:t>
      </w:r>
    </w:p>
    <w:p w14:paraId="7C03CACF" w14:textId="77777777" w:rsidR="00967C7D" w:rsidRPr="00967C7D" w:rsidRDefault="00967C7D" w:rsidP="00967C7D">
      <w:pPr>
        <w:keepNext w:val="0"/>
        <w:spacing w:before="0"/>
        <w:jc w:val="both"/>
        <w:rPr>
          <w:rFonts w:cs="Arial"/>
          <w:b/>
          <w:color w:val="auto"/>
        </w:rPr>
      </w:pPr>
    </w:p>
    <w:tbl>
      <w:tblPr>
        <w:tblStyle w:val="TableGrid3"/>
        <w:tblW w:w="0" w:type="auto"/>
        <w:tblLook w:val="01E0" w:firstRow="1" w:lastRow="1" w:firstColumn="1" w:lastColumn="1" w:noHBand="0" w:noVBand="0"/>
      </w:tblPr>
      <w:tblGrid>
        <w:gridCol w:w="2280"/>
        <w:gridCol w:w="3720"/>
        <w:gridCol w:w="3079"/>
      </w:tblGrid>
      <w:tr w:rsidR="00967C7D" w:rsidRPr="00967C7D" w14:paraId="2E7864F9" w14:textId="77777777" w:rsidTr="0047268B">
        <w:tc>
          <w:tcPr>
            <w:tcW w:w="2280" w:type="dxa"/>
            <w:shd w:val="clear" w:color="auto" w:fill="D9D9D9" w:themeFill="background1" w:themeFillShade="D9"/>
          </w:tcPr>
          <w:p w14:paraId="38887424" w14:textId="55ACA3C0" w:rsidR="00967C7D" w:rsidRPr="00967C7D" w:rsidRDefault="00967C7D" w:rsidP="0047268B">
            <w:pPr>
              <w:keepNext w:val="0"/>
              <w:spacing w:before="0"/>
              <w:jc w:val="left"/>
              <w:rPr>
                <w:rFonts w:cs="Arial"/>
                <w:b/>
                <w:color w:val="auto"/>
              </w:rPr>
            </w:pPr>
            <w:r w:rsidRPr="00967C7D">
              <w:rPr>
                <w:rFonts w:cs="Arial"/>
                <w:b/>
                <w:color w:val="auto"/>
              </w:rPr>
              <w:t>Local Plan Ref</w:t>
            </w:r>
            <w:r w:rsidR="00F02029">
              <w:rPr>
                <w:rFonts w:cs="Arial"/>
                <w:b/>
                <w:color w:val="auto"/>
              </w:rPr>
              <w:t>erence</w:t>
            </w:r>
          </w:p>
        </w:tc>
        <w:tc>
          <w:tcPr>
            <w:tcW w:w="3720" w:type="dxa"/>
            <w:shd w:val="clear" w:color="auto" w:fill="D9D9D9" w:themeFill="background1" w:themeFillShade="D9"/>
          </w:tcPr>
          <w:p w14:paraId="053741C6" w14:textId="77777777" w:rsidR="00967C7D" w:rsidRDefault="00967C7D" w:rsidP="0047268B">
            <w:pPr>
              <w:keepNext w:val="0"/>
              <w:spacing w:before="0"/>
              <w:jc w:val="left"/>
              <w:rPr>
                <w:rFonts w:cs="Arial"/>
                <w:b/>
                <w:color w:val="auto"/>
              </w:rPr>
            </w:pPr>
            <w:r w:rsidRPr="00967C7D">
              <w:rPr>
                <w:rFonts w:cs="Arial"/>
                <w:b/>
                <w:color w:val="auto"/>
              </w:rPr>
              <w:t>Allotment Name</w:t>
            </w:r>
          </w:p>
          <w:p w14:paraId="65DC562D" w14:textId="77DA1A7E" w:rsidR="0047268B" w:rsidRPr="00967C7D" w:rsidRDefault="0047268B" w:rsidP="0047268B">
            <w:pPr>
              <w:keepNext w:val="0"/>
              <w:spacing w:before="0"/>
              <w:jc w:val="left"/>
              <w:rPr>
                <w:rFonts w:cs="Arial"/>
                <w:b/>
                <w:color w:val="auto"/>
              </w:rPr>
            </w:pPr>
          </w:p>
        </w:tc>
        <w:tc>
          <w:tcPr>
            <w:tcW w:w="3079" w:type="dxa"/>
            <w:shd w:val="clear" w:color="auto" w:fill="D9D9D9" w:themeFill="background1" w:themeFillShade="D9"/>
          </w:tcPr>
          <w:p w14:paraId="50E2F907" w14:textId="77777777" w:rsidR="00967C7D" w:rsidRPr="00967C7D" w:rsidRDefault="00967C7D" w:rsidP="0047268B">
            <w:pPr>
              <w:keepNext w:val="0"/>
              <w:spacing w:before="0"/>
              <w:jc w:val="left"/>
              <w:rPr>
                <w:rFonts w:cs="Arial"/>
                <w:b/>
                <w:color w:val="auto"/>
              </w:rPr>
            </w:pPr>
            <w:r w:rsidRPr="00967C7D">
              <w:rPr>
                <w:rFonts w:cs="Arial"/>
                <w:b/>
                <w:color w:val="auto"/>
              </w:rPr>
              <w:t>Location</w:t>
            </w:r>
          </w:p>
        </w:tc>
      </w:tr>
      <w:tr w:rsidR="00967C7D" w:rsidRPr="00967C7D" w14:paraId="065EB30E" w14:textId="77777777" w:rsidTr="00B5314A">
        <w:tc>
          <w:tcPr>
            <w:tcW w:w="2280" w:type="dxa"/>
          </w:tcPr>
          <w:p w14:paraId="77A1FAC1" w14:textId="4A0EC0A5" w:rsidR="00967C7D" w:rsidRPr="00967C7D" w:rsidRDefault="00967C7D" w:rsidP="00967C7D">
            <w:pPr>
              <w:keepNext w:val="0"/>
              <w:spacing w:before="0"/>
              <w:rPr>
                <w:rFonts w:cs="Arial"/>
                <w:color w:val="auto"/>
              </w:rPr>
            </w:pPr>
            <w:bookmarkStart w:id="347" w:name="_Hlk121835378"/>
            <w:r w:rsidRPr="00967C7D">
              <w:rPr>
                <w:rFonts w:cs="Arial"/>
                <w:color w:val="auto"/>
              </w:rPr>
              <w:t>EV7 H</w:t>
            </w:r>
            <w:r w:rsidR="00AD154B">
              <w:rPr>
                <w:rFonts w:cs="Arial"/>
                <w:color w:val="auto"/>
              </w:rPr>
              <w:t>a</w:t>
            </w:r>
          </w:p>
        </w:tc>
        <w:tc>
          <w:tcPr>
            <w:tcW w:w="3720" w:type="dxa"/>
          </w:tcPr>
          <w:p w14:paraId="1C1DA897" w14:textId="77777777" w:rsidR="00967C7D" w:rsidRPr="00967C7D" w:rsidRDefault="00967C7D" w:rsidP="00967C7D">
            <w:pPr>
              <w:keepNext w:val="0"/>
              <w:spacing w:before="0"/>
              <w:rPr>
                <w:rFonts w:cs="Arial"/>
                <w:color w:val="auto"/>
              </w:rPr>
            </w:pPr>
            <w:r w:rsidRPr="00967C7D">
              <w:rPr>
                <w:rFonts w:cs="Arial"/>
                <w:color w:val="auto"/>
              </w:rPr>
              <w:t>Butlers Hill</w:t>
            </w:r>
          </w:p>
        </w:tc>
        <w:tc>
          <w:tcPr>
            <w:tcW w:w="3079" w:type="dxa"/>
          </w:tcPr>
          <w:p w14:paraId="38D960AE" w14:textId="77777777" w:rsidR="00967C7D" w:rsidRPr="00967C7D" w:rsidRDefault="00967C7D" w:rsidP="00967C7D">
            <w:pPr>
              <w:keepNext w:val="0"/>
              <w:spacing w:before="0"/>
              <w:rPr>
                <w:rFonts w:cs="Arial"/>
                <w:color w:val="auto"/>
              </w:rPr>
            </w:pPr>
            <w:r w:rsidRPr="00967C7D">
              <w:rPr>
                <w:rFonts w:cs="Arial"/>
                <w:color w:val="auto"/>
              </w:rPr>
              <w:t>Hucknall</w:t>
            </w:r>
          </w:p>
        </w:tc>
      </w:tr>
      <w:tr w:rsidR="00967C7D" w:rsidRPr="00967C7D" w14:paraId="5C5BC402" w14:textId="77777777" w:rsidTr="00B5314A">
        <w:trPr>
          <w:trHeight w:val="30"/>
        </w:trPr>
        <w:tc>
          <w:tcPr>
            <w:tcW w:w="2280" w:type="dxa"/>
          </w:tcPr>
          <w:p w14:paraId="7A07CA44" w14:textId="542EBA61" w:rsidR="00967C7D" w:rsidRPr="00967C7D" w:rsidRDefault="00967C7D" w:rsidP="00967C7D">
            <w:pPr>
              <w:keepNext w:val="0"/>
              <w:spacing w:before="0"/>
              <w:rPr>
                <w:rFonts w:cs="Arial"/>
                <w:color w:val="auto"/>
              </w:rPr>
            </w:pPr>
            <w:r w:rsidRPr="00967C7D">
              <w:rPr>
                <w:rFonts w:cs="Arial"/>
                <w:color w:val="auto"/>
              </w:rPr>
              <w:t>EV7 H</w:t>
            </w:r>
            <w:r w:rsidR="00AD154B">
              <w:rPr>
                <w:rFonts w:cs="Arial"/>
                <w:color w:val="auto"/>
              </w:rPr>
              <w:t>b</w:t>
            </w:r>
          </w:p>
        </w:tc>
        <w:tc>
          <w:tcPr>
            <w:tcW w:w="3720" w:type="dxa"/>
          </w:tcPr>
          <w:p w14:paraId="17E79D06" w14:textId="77777777" w:rsidR="00967C7D" w:rsidRPr="00967C7D" w:rsidRDefault="00967C7D" w:rsidP="00967C7D">
            <w:pPr>
              <w:keepNext w:val="0"/>
              <w:spacing w:before="0"/>
              <w:rPr>
                <w:rFonts w:cs="Arial"/>
                <w:strike/>
                <w:color w:val="auto"/>
              </w:rPr>
            </w:pPr>
            <w:r w:rsidRPr="00967C7D">
              <w:rPr>
                <w:rFonts w:cs="Arial"/>
                <w:color w:val="auto"/>
              </w:rPr>
              <w:t>High Leys</w:t>
            </w:r>
          </w:p>
        </w:tc>
        <w:tc>
          <w:tcPr>
            <w:tcW w:w="3079" w:type="dxa"/>
          </w:tcPr>
          <w:p w14:paraId="2B7FAEA5" w14:textId="77777777" w:rsidR="00967C7D" w:rsidRPr="00967C7D" w:rsidRDefault="00967C7D" w:rsidP="00967C7D">
            <w:pPr>
              <w:keepNext w:val="0"/>
              <w:spacing w:before="0"/>
              <w:rPr>
                <w:rFonts w:cs="Arial"/>
                <w:color w:val="auto"/>
              </w:rPr>
            </w:pPr>
            <w:r w:rsidRPr="00967C7D">
              <w:rPr>
                <w:rFonts w:cs="Arial"/>
                <w:color w:val="auto"/>
              </w:rPr>
              <w:t>Hucknall</w:t>
            </w:r>
          </w:p>
        </w:tc>
      </w:tr>
      <w:tr w:rsidR="00967C7D" w:rsidRPr="00967C7D" w14:paraId="5412BB91" w14:textId="77777777" w:rsidTr="00B5314A">
        <w:trPr>
          <w:trHeight w:val="30"/>
        </w:trPr>
        <w:tc>
          <w:tcPr>
            <w:tcW w:w="2280" w:type="dxa"/>
          </w:tcPr>
          <w:p w14:paraId="477B7949" w14:textId="65A23050"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H</w:t>
            </w:r>
            <w:r w:rsidR="00AD154B">
              <w:rPr>
                <w:rFonts w:cs="Arial"/>
                <w:color w:val="auto"/>
              </w:rPr>
              <w:t>c</w:t>
            </w:r>
            <w:proofErr w:type="spellEnd"/>
          </w:p>
        </w:tc>
        <w:tc>
          <w:tcPr>
            <w:tcW w:w="3720" w:type="dxa"/>
          </w:tcPr>
          <w:p w14:paraId="66E8C952" w14:textId="77777777" w:rsidR="00967C7D" w:rsidRPr="00967C7D" w:rsidRDefault="00967C7D" w:rsidP="00967C7D">
            <w:pPr>
              <w:keepNext w:val="0"/>
              <w:spacing w:before="0"/>
              <w:rPr>
                <w:rFonts w:cs="Arial"/>
                <w:color w:val="auto"/>
              </w:rPr>
            </w:pPr>
            <w:smartTag w:uri="urn:schemas-microsoft-com:office:smarttags" w:element="Street">
              <w:smartTag w:uri="urn:schemas-microsoft-com:office:smarttags" w:element="address">
                <w:r w:rsidRPr="00967C7D">
                  <w:rPr>
                    <w:rFonts w:cs="Arial"/>
                    <w:color w:val="auto"/>
                  </w:rPr>
                  <w:t>Wood Lane</w:t>
                </w:r>
              </w:smartTag>
            </w:smartTag>
            <w:r w:rsidRPr="00967C7D">
              <w:rPr>
                <w:rFonts w:cs="Arial"/>
                <w:color w:val="auto"/>
              </w:rPr>
              <w:t>/A611</w:t>
            </w:r>
          </w:p>
        </w:tc>
        <w:tc>
          <w:tcPr>
            <w:tcW w:w="3079" w:type="dxa"/>
          </w:tcPr>
          <w:p w14:paraId="0B804CE6" w14:textId="77777777" w:rsidR="00967C7D" w:rsidRPr="00967C7D" w:rsidRDefault="00967C7D" w:rsidP="00967C7D">
            <w:pPr>
              <w:keepNext w:val="0"/>
              <w:spacing w:before="0"/>
              <w:rPr>
                <w:rFonts w:cs="Arial"/>
                <w:color w:val="auto"/>
              </w:rPr>
            </w:pPr>
            <w:r w:rsidRPr="00967C7D">
              <w:rPr>
                <w:rFonts w:cs="Arial"/>
                <w:color w:val="auto"/>
              </w:rPr>
              <w:t>Hucknall</w:t>
            </w:r>
          </w:p>
        </w:tc>
      </w:tr>
      <w:tr w:rsidR="00967C7D" w:rsidRPr="00967C7D" w14:paraId="009C4CDA" w14:textId="77777777" w:rsidTr="00B5314A">
        <w:trPr>
          <w:trHeight w:val="20"/>
        </w:trPr>
        <w:tc>
          <w:tcPr>
            <w:tcW w:w="2280" w:type="dxa"/>
          </w:tcPr>
          <w:p w14:paraId="6DB2835D" w14:textId="7D1719B5"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H</w:t>
            </w:r>
            <w:r w:rsidR="00AD154B">
              <w:rPr>
                <w:rFonts w:cs="Arial"/>
                <w:color w:val="auto"/>
              </w:rPr>
              <w:t>d</w:t>
            </w:r>
            <w:proofErr w:type="spellEnd"/>
          </w:p>
        </w:tc>
        <w:tc>
          <w:tcPr>
            <w:tcW w:w="3720" w:type="dxa"/>
          </w:tcPr>
          <w:p w14:paraId="746670E1" w14:textId="77777777" w:rsidR="00967C7D" w:rsidRPr="00967C7D" w:rsidRDefault="00967C7D" w:rsidP="00967C7D">
            <w:pPr>
              <w:keepNext w:val="0"/>
              <w:spacing w:before="0"/>
              <w:rPr>
                <w:rFonts w:cs="Arial"/>
                <w:color w:val="auto"/>
              </w:rPr>
            </w:pPr>
            <w:r w:rsidRPr="00967C7D">
              <w:rPr>
                <w:rFonts w:cs="Arial"/>
                <w:color w:val="auto"/>
              </w:rPr>
              <w:t>Wigwam Lane</w:t>
            </w:r>
          </w:p>
        </w:tc>
        <w:tc>
          <w:tcPr>
            <w:tcW w:w="3079" w:type="dxa"/>
          </w:tcPr>
          <w:p w14:paraId="19056FBC" w14:textId="77777777" w:rsidR="00967C7D" w:rsidRPr="00967C7D" w:rsidRDefault="00967C7D" w:rsidP="00967C7D">
            <w:pPr>
              <w:keepNext w:val="0"/>
              <w:spacing w:before="0"/>
              <w:rPr>
                <w:rFonts w:cs="Arial"/>
                <w:color w:val="auto"/>
              </w:rPr>
            </w:pPr>
            <w:r w:rsidRPr="00967C7D">
              <w:rPr>
                <w:rFonts w:cs="Arial"/>
                <w:color w:val="auto"/>
              </w:rPr>
              <w:t>Hucknall</w:t>
            </w:r>
          </w:p>
        </w:tc>
      </w:tr>
      <w:tr w:rsidR="00967C7D" w:rsidRPr="00967C7D" w14:paraId="48656CDE" w14:textId="77777777" w:rsidTr="00B5314A">
        <w:trPr>
          <w:trHeight w:val="20"/>
        </w:trPr>
        <w:tc>
          <w:tcPr>
            <w:tcW w:w="2280" w:type="dxa"/>
          </w:tcPr>
          <w:p w14:paraId="073CFA9A" w14:textId="579D7C45" w:rsidR="00967C7D" w:rsidRPr="00967C7D" w:rsidRDefault="00967C7D" w:rsidP="00967C7D">
            <w:pPr>
              <w:keepNext w:val="0"/>
              <w:spacing w:before="0"/>
              <w:rPr>
                <w:rFonts w:cs="Arial"/>
                <w:color w:val="auto"/>
              </w:rPr>
            </w:pPr>
            <w:r w:rsidRPr="00967C7D">
              <w:rPr>
                <w:rFonts w:cs="Arial"/>
                <w:color w:val="auto"/>
              </w:rPr>
              <w:t>EV7 H</w:t>
            </w:r>
            <w:r w:rsidR="00AD154B">
              <w:rPr>
                <w:rFonts w:cs="Arial"/>
                <w:color w:val="auto"/>
              </w:rPr>
              <w:t>e</w:t>
            </w:r>
          </w:p>
        </w:tc>
        <w:tc>
          <w:tcPr>
            <w:tcW w:w="3720" w:type="dxa"/>
          </w:tcPr>
          <w:p w14:paraId="49668A49" w14:textId="77777777" w:rsidR="00967C7D" w:rsidRPr="00967C7D" w:rsidRDefault="00967C7D" w:rsidP="00967C7D">
            <w:pPr>
              <w:keepNext w:val="0"/>
              <w:spacing w:before="0"/>
              <w:rPr>
                <w:rFonts w:cs="Arial"/>
                <w:color w:val="auto"/>
              </w:rPr>
            </w:pPr>
            <w:proofErr w:type="spellStart"/>
            <w:smartTag w:uri="urn:schemas-microsoft-com:office:smarttags" w:element="Street">
              <w:smartTag w:uri="urn:schemas-microsoft-com:office:smarttags" w:element="address">
                <w:r w:rsidRPr="00967C7D">
                  <w:rPr>
                    <w:rFonts w:cs="Arial"/>
                    <w:color w:val="auto"/>
                  </w:rPr>
                  <w:t>Linby</w:t>
                </w:r>
                <w:proofErr w:type="spellEnd"/>
                <w:r w:rsidRPr="00967C7D">
                  <w:rPr>
                    <w:rFonts w:cs="Arial"/>
                    <w:color w:val="auto"/>
                  </w:rPr>
                  <w:t xml:space="preserve"> Road East</w:t>
                </w:r>
              </w:smartTag>
            </w:smartTag>
          </w:p>
        </w:tc>
        <w:tc>
          <w:tcPr>
            <w:tcW w:w="3079" w:type="dxa"/>
          </w:tcPr>
          <w:p w14:paraId="7DD3FB87" w14:textId="77777777" w:rsidR="00967C7D" w:rsidRPr="00967C7D" w:rsidRDefault="00967C7D" w:rsidP="00967C7D">
            <w:pPr>
              <w:keepNext w:val="0"/>
              <w:spacing w:before="0"/>
              <w:rPr>
                <w:rFonts w:cs="Arial"/>
                <w:color w:val="auto"/>
              </w:rPr>
            </w:pPr>
            <w:r w:rsidRPr="00967C7D">
              <w:rPr>
                <w:rFonts w:cs="Arial"/>
                <w:color w:val="auto"/>
              </w:rPr>
              <w:t>Hucknall</w:t>
            </w:r>
          </w:p>
        </w:tc>
      </w:tr>
      <w:tr w:rsidR="00967C7D" w:rsidRPr="00967C7D" w14:paraId="46DB3731" w14:textId="77777777" w:rsidTr="00B5314A">
        <w:trPr>
          <w:trHeight w:val="20"/>
        </w:trPr>
        <w:tc>
          <w:tcPr>
            <w:tcW w:w="2280" w:type="dxa"/>
          </w:tcPr>
          <w:p w14:paraId="760E602E" w14:textId="774A5DD0" w:rsidR="00967C7D" w:rsidRPr="00967C7D" w:rsidRDefault="00967C7D" w:rsidP="00967C7D">
            <w:pPr>
              <w:keepNext w:val="0"/>
              <w:spacing w:before="0"/>
              <w:rPr>
                <w:rFonts w:cs="Arial"/>
                <w:color w:val="auto"/>
              </w:rPr>
            </w:pPr>
            <w:r w:rsidRPr="00967C7D">
              <w:rPr>
                <w:rFonts w:cs="Arial"/>
                <w:color w:val="auto"/>
              </w:rPr>
              <w:t>EV7 H</w:t>
            </w:r>
            <w:r w:rsidR="00AD154B">
              <w:rPr>
                <w:rFonts w:cs="Arial"/>
                <w:color w:val="auto"/>
              </w:rPr>
              <w:t>f</w:t>
            </w:r>
          </w:p>
        </w:tc>
        <w:tc>
          <w:tcPr>
            <w:tcW w:w="3720" w:type="dxa"/>
          </w:tcPr>
          <w:p w14:paraId="208CB541" w14:textId="77777777" w:rsidR="00967C7D" w:rsidRPr="00967C7D" w:rsidRDefault="00967C7D" w:rsidP="00967C7D">
            <w:pPr>
              <w:keepNext w:val="0"/>
              <w:spacing w:before="0"/>
              <w:rPr>
                <w:rFonts w:cs="Arial"/>
                <w:color w:val="auto"/>
              </w:rPr>
            </w:pPr>
            <w:r w:rsidRPr="00967C7D">
              <w:rPr>
                <w:rFonts w:cs="Arial"/>
                <w:color w:val="auto"/>
              </w:rPr>
              <w:t>St Mary’s Way</w:t>
            </w:r>
          </w:p>
        </w:tc>
        <w:tc>
          <w:tcPr>
            <w:tcW w:w="3079" w:type="dxa"/>
          </w:tcPr>
          <w:p w14:paraId="511251DC" w14:textId="77777777" w:rsidR="00967C7D" w:rsidRPr="00967C7D" w:rsidRDefault="00967C7D" w:rsidP="00967C7D">
            <w:pPr>
              <w:keepNext w:val="0"/>
              <w:spacing w:before="0"/>
              <w:rPr>
                <w:rFonts w:cs="Arial"/>
                <w:color w:val="auto"/>
              </w:rPr>
            </w:pPr>
            <w:r w:rsidRPr="00967C7D">
              <w:rPr>
                <w:rFonts w:cs="Arial"/>
                <w:color w:val="auto"/>
              </w:rPr>
              <w:t>Hucknall</w:t>
            </w:r>
          </w:p>
        </w:tc>
      </w:tr>
      <w:tr w:rsidR="00967C7D" w:rsidRPr="00967C7D" w14:paraId="13FE08B5" w14:textId="77777777" w:rsidTr="00B5314A">
        <w:trPr>
          <w:trHeight w:val="20"/>
        </w:trPr>
        <w:tc>
          <w:tcPr>
            <w:tcW w:w="2280" w:type="dxa"/>
          </w:tcPr>
          <w:p w14:paraId="62E13D92" w14:textId="790EB2B1" w:rsidR="00967C7D" w:rsidRPr="00967C7D" w:rsidRDefault="00967C7D" w:rsidP="00967C7D">
            <w:pPr>
              <w:keepNext w:val="0"/>
              <w:spacing w:before="0"/>
              <w:rPr>
                <w:rFonts w:cs="Arial"/>
                <w:color w:val="auto"/>
              </w:rPr>
            </w:pPr>
            <w:r w:rsidRPr="00967C7D">
              <w:rPr>
                <w:rFonts w:cs="Arial"/>
                <w:color w:val="auto"/>
              </w:rPr>
              <w:t>EV7 H</w:t>
            </w:r>
            <w:r w:rsidR="00AD154B">
              <w:rPr>
                <w:rFonts w:cs="Arial"/>
                <w:color w:val="auto"/>
              </w:rPr>
              <w:t>g</w:t>
            </w:r>
          </w:p>
        </w:tc>
        <w:tc>
          <w:tcPr>
            <w:tcW w:w="3720" w:type="dxa"/>
          </w:tcPr>
          <w:p w14:paraId="76040405" w14:textId="77777777" w:rsidR="00967C7D" w:rsidRPr="00967C7D" w:rsidRDefault="00967C7D" w:rsidP="00967C7D">
            <w:pPr>
              <w:keepNext w:val="0"/>
              <w:spacing w:before="0"/>
              <w:rPr>
                <w:rFonts w:cs="Arial"/>
                <w:color w:val="auto"/>
              </w:rPr>
            </w:pPr>
            <w:proofErr w:type="spellStart"/>
            <w:r w:rsidRPr="00967C7D">
              <w:rPr>
                <w:rFonts w:cs="Arial"/>
                <w:color w:val="auto"/>
              </w:rPr>
              <w:t>Wighay</w:t>
            </w:r>
            <w:proofErr w:type="spellEnd"/>
          </w:p>
        </w:tc>
        <w:tc>
          <w:tcPr>
            <w:tcW w:w="3079" w:type="dxa"/>
          </w:tcPr>
          <w:p w14:paraId="131B28EF" w14:textId="77777777" w:rsidR="00967C7D" w:rsidRPr="00967C7D" w:rsidRDefault="00967C7D" w:rsidP="00967C7D">
            <w:pPr>
              <w:keepNext w:val="0"/>
              <w:spacing w:before="0"/>
              <w:rPr>
                <w:rFonts w:cs="Arial"/>
                <w:color w:val="auto"/>
              </w:rPr>
            </w:pPr>
            <w:r w:rsidRPr="00967C7D">
              <w:rPr>
                <w:rFonts w:cs="Arial"/>
                <w:color w:val="auto"/>
              </w:rPr>
              <w:t>Hucknall</w:t>
            </w:r>
          </w:p>
        </w:tc>
      </w:tr>
      <w:tr w:rsidR="00967C7D" w:rsidRPr="00967C7D" w14:paraId="53A6F2D9" w14:textId="77777777" w:rsidTr="00B5314A">
        <w:trPr>
          <w:trHeight w:val="20"/>
        </w:trPr>
        <w:tc>
          <w:tcPr>
            <w:tcW w:w="2280" w:type="dxa"/>
          </w:tcPr>
          <w:p w14:paraId="13A0BDDB" w14:textId="09A15EA2"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H</w:t>
            </w:r>
            <w:r w:rsidR="00AD154B">
              <w:rPr>
                <w:rFonts w:cs="Arial"/>
                <w:color w:val="auto"/>
              </w:rPr>
              <w:t>h</w:t>
            </w:r>
            <w:proofErr w:type="spellEnd"/>
          </w:p>
        </w:tc>
        <w:tc>
          <w:tcPr>
            <w:tcW w:w="3720" w:type="dxa"/>
          </w:tcPr>
          <w:p w14:paraId="18A03395" w14:textId="77777777" w:rsidR="00967C7D" w:rsidRPr="00967C7D" w:rsidRDefault="00967C7D" w:rsidP="00967C7D">
            <w:pPr>
              <w:keepNext w:val="0"/>
              <w:spacing w:before="0"/>
              <w:rPr>
                <w:rFonts w:cs="Arial"/>
                <w:color w:val="auto"/>
              </w:rPr>
            </w:pPr>
            <w:proofErr w:type="spellStart"/>
            <w:r w:rsidRPr="00967C7D">
              <w:rPr>
                <w:rFonts w:cs="Arial"/>
                <w:color w:val="auto"/>
              </w:rPr>
              <w:t>Washdyke</w:t>
            </w:r>
            <w:proofErr w:type="spellEnd"/>
            <w:r w:rsidRPr="00967C7D">
              <w:rPr>
                <w:rFonts w:cs="Arial"/>
                <w:color w:val="auto"/>
              </w:rPr>
              <w:t xml:space="preserve"> Lane </w:t>
            </w:r>
          </w:p>
        </w:tc>
        <w:tc>
          <w:tcPr>
            <w:tcW w:w="3079" w:type="dxa"/>
          </w:tcPr>
          <w:p w14:paraId="54E7975F" w14:textId="77777777" w:rsidR="00967C7D" w:rsidRPr="00967C7D" w:rsidRDefault="00967C7D" w:rsidP="00967C7D">
            <w:pPr>
              <w:keepNext w:val="0"/>
              <w:spacing w:before="0"/>
              <w:rPr>
                <w:rFonts w:cs="Arial"/>
                <w:color w:val="auto"/>
              </w:rPr>
            </w:pPr>
            <w:r w:rsidRPr="00967C7D">
              <w:rPr>
                <w:rFonts w:cs="Arial"/>
                <w:color w:val="auto"/>
              </w:rPr>
              <w:t>Hucknall</w:t>
            </w:r>
          </w:p>
        </w:tc>
      </w:tr>
      <w:bookmarkEnd w:id="347"/>
      <w:tr w:rsidR="00967C7D" w:rsidRPr="00967C7D" w14:paraId="638B628D" w14:textId="77777777" w:rsidTr="00B5314A">
        <w:trPr>
          <w:trHeight w:val="20"/>
        </w:trPr>
        <w:tc>
          <w:tcPr>
            <w:tcW w:w="2280" w:type="dxa"/>
          </w:tcPr>
          <w:p w14:paraId="46BF58C8" w14:textId="77777777" w:rsidR="00967C7D" w:rsidRPr="00967C7D" w:rsidRDefault="00967C7D" w:rsidP="00967C7D">
            <w:pPr>
              <w:keepNext w:val="0"/>
              <w:spacing w:before="0"/>
              <w:rPr>
                <w:rFonts w:cs="Arial"/>
                <w:color w:val="auto"/>
              </w:rPr>
            </w:pPr>
          </w:p>
        </w:tc>
        <w:tc>
          <w:tcPr>
            <w:tcW w:w="3720" w:type="dxa"/>
          </w:tcPr>
          <w:p w14:paraId="35BDC45A" w14:textId="77777777" w:rsidR="00967C7D" w:rsidRPr="00967C7D" w:rsidRDefault="00967C7D" w:rsidP="00967C7D">
            <w:pPr>
              <w:keepNext w:val="0"/>
              <w:spacing w:before="0"/>
              <w:rPr>
                <w:rFonts w:cs="Arial"/>
                <w:color w:val="auto"/>
              </w:rPr>
            </w:pPr>
          </w:p>
        </w:tc>
        <w:tc>
          <w:tcPr>
            <w:tcW w:w="3079" w:type="dxa"/>
          </w:tcPr>
          <w:p w14:paraId="4C22866A" w14:textId="77777777" w:rsidR="00967C7D" w:rsidRPr="00967C7D" w:rsidRDefault="00967C7D" w:rsidP="00967C7D">
            <w:pPr>
              <w:keepNext w:val="0"/>
              <w:spacing w:before="0"/>
              <w:rPr>
                <w:rFonts w:cs="Arial"/>
                <w:color w:val="auto"/>
              </w:rPr>
            </w:pPr>
          </w:p>
        </w:tc>
      </w:tr>
      <w:tr w:rsidR="00967C7D" w:rsidRPr="00967C7D" w14:paraId="1B3B51DB" w14:textId="77777777" w:rsidTr="00B5314A">
        <w:trPr>
          <w:trHeight w:val="20"/>
        </w:trPr>
        <w:tc>
          <w:tcPr>
            <w:tcW w:w="2280" w:type="dxa"/>
          </w:tcPr>
          <w:p w14:paraId="7550B773" w14:textId="77777777" w:rsidR="00967C7D" w:rsidRPr="00967C7D" w:rsidRDefault="00967C7D" w:rsidP="00967C7D">
            <w:pPr>
              <w:keepNext w:val="0"/>
              <w:spacing w:before="0"/>
              <w:rPr>
                <w:rFonts w:cs="Arial"/>
                <w:color w:val="auto"/>
              </w:rPr>
            </w:pPr>
            <w:r w:rsidRPr="00967C7D">
              <w:rPr>
                <w:rFonts w:cs="Arial"/>
                <w:color w:val="auto"/>
              </w:rPr>
              <w:t>EV7 Va</w:t>
            </w:r>
          </w:p>
        </w:tc>
        <w:tc>
          <w:tcPr>
            <w:tcW w:w="3720" w:type="dxa"/>
          </w:tcPr>
          <w:p w14:paraId="349ABD20" w14:textId="77777777" w:rsidR="00967C7D" w:rsidRPr="00967C7D" w:rsidRDefault="00967C7D" w:rsidP="00967C7D">
            <w:pPr>
              <w:keepNext w:val="0"/>
              <w:spacing w:before="0"/>
              <w:rPr>
                <w:rFonts w:cs="Arial"/>
                <w:color w:val="auto"/>
              </w:rPr>
            </w:pPr>
            <w:proofErr w:type="spellStart"/>
            <w:smartTag w:uri="urn:schemas-microsoft-com:office:smarttags" w:element="Street">
              <w:smartTag w:uri="urn:schemas-microsoft-com:office:smarttags" w:element="address">
                <w:r w:rsidRPr="00967C7D">
                  <w:rPr>
                    <w:rFonts w:cs="Arial"/>
                    <w:color w:val="auto"/>
                  </w:rPr>
                  <w:t>Plainspot</w:t>
                </w:r>
                <w:proofErr w:type="spellEnd"/>
                <w:r w:rsidRPr="00967C7D">
                  <w:rPr>
                    <w:rFonts w:cs="Arial"/>
                    <w:color w:val="auto"/>
                  </w:rPr>
                  <w:t xml:space="preserve"> Road</w:t>
                </w:r>
              </w:smartTag>
            </w:smartTag>
          </w:p>
        </w:tc>
        <w:tc>
          <w:tcPr>
            <w:tcW w:w="3079" w:type="dxa"/>
          </w:tcPr>
          <w:p w14:paraId="2F564254" w14:textId="77777777" w:rsidR="00967C7D" w:rsidRPr="00967C7D" w:rsidRDefault="00967C7D" w:rsidP="00967C7D">
            <w:pPr>
              <w:keepNext w:val="0"/>
              <w:spacing w:before="0"/>
              <w:rPr>
                <w:rFonts w:cs="Arial"/>
                <w:color w:val="auto"/>
              </w:rPr>
            </w:pPr>
            <w:r w:rsidRPr="00967C7D">
              <w:rPr>
                <w:rFonts w:cs="Arial"/>
                <w:color w:val="auto"/>
              </w:rPr>
              <w:t>Brinsley</w:t>
            </w:r>
          </w:p>
        </w:tc>
      </w:tr>
      <w:tr w:rsidR="00967C7D" w:rsidRPr="00967C7D" w14:paraId="4D0DA654" w14:textId="77777777" w:rsidTr="00B5314A">
        <w:trPr>
          <w:trHeight w:val="20"/>
        </w:trPr>
        <w:tc>
          <w:tcPr>
            <w:tcW w:w="2280" w:type="dxa"/>
          </w:tcPr>
          <w:p w14:paraId="4DC00105" w14:textId="77777777"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Vb</w:t>
            </w:r>
            <w:proofErr w:type="spellEnd"/>
          </w:p>
        </w:tc>
        <w:tc>
          <w:tcPr>
            <w:tcW w:w="3720" w:type="dxa"/>
          </w:tcPr>
          <w:p w14:paraId="59F3FB13" w14:textId="77777777" w:rsidR="00967C7D" w:rsidRPr="00967C7D" w:rsidRDefault="00967C7D" w:rsidP="00967C7D">
            <w:pPr>
              <w:keepNext w:val="0"/>
              <w:spacing w:before="0"/>
              <w:rPr>
                <w:rFonts w:cs="Arial"/>
                <w:color w:val="auto"/>
              </w:rPr>
            </w:pPr>
            <w:r w:rsidRPr="00967C7D">
              <w:rPr>
                <w:rFonts w:cs="Arial"/>
                <w:color w:val="auto"/>
              </w:rPr>
              <w:t xml:space="preserve">Cordy Lane </w:t>
            </w:r>
          </w:p>
        </w:tc>
        <w:tc>
          <w:tcPr>
            <w:tcW w:w="3079" w:type="dxa"/>
          </w:tcPr>
          <w:p w14:paraId="7FF3F512" w14:textId="77777777" w:rsidR="00967C7D" w:rsidRPr="00967C7D" w:rsidRDefault="00967C7D" w:rsidP="00967C7D">
            <w:pPr>
              <w:keepNext w:val="0"/>
              <w:spacing w:before="0"/>
              <w:rPr>
                <w:rFonts w:cs="Arial"/>
                <w:color w:val="auto"/>
              </w:rPr>
            </w:pPr>
            <w:r w:rsidRPr="00967C7D">
              <w:rPr>
                <w:rFonts w:cs="Arial"/>
                <w:color w:val="auto"/>
              </w:rPr>
              <w:t>Underwood</w:t>
            </w:r>
          </w:p>
        </w:tc>
      </w:tr>
      <w:tr w:rsidR="00967C7D" w:rsidRPr="00967C7D" w14:paraId="101EE7C5" w14:textId="77777777" w:rsidTr="00B5314A">
        <w:trPr>
          <w:trHeight w:val="20"/>
        </w:trPr>
        <w:tc>
          <w:tcPr>
            <w:tcW w:w="2280" w:type="dxa"/>
          </w:tcPr>
          <w:p w14:paraId="1FB2C8D9" w14:textId="77777777"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Vc</w:t>
            </w:r>
            <w:proofErr w:type="spellEnd"/>
          </w:p>
        </w:tc>
        <w:tc>
          <w:tcPr>
            <w:tcW w:w="3720" w:type="dxa"/>
          </w:tcPr>
          <w:p w14:paraId="28CFE8A0" w14:textId="77777777" w:rsidR="00967C7D" w:rsidRPr="00967C7D" w:rsidRDefault="00967C7D" w:rsidP="00967C7D">
            <w:pPr>
              <w:keepNext w:val="0"/>
              <w:spacing w:before="0"/>
              <w:rPr>
                <w:rFonts w:cs="Arial"/>
                <w:color w:val="auto"/>
              </w:rPr>
            </w:pPr>
            <w:r w:rsidRPr="00967C7D">
              <w:rPr>
                <w:rFonts w:cs="Arial"/>
                <w:color w:val="auto"/>
              </w:rPr>
              <w:t>School Road</w:t>
            </w:r>
          </w:p>
        </w:tc>
        <w:tc>
          <w:tcPr>
            <w:tcW w:w="3079" w:type="dxa"/>
          </w:tcPr>
          <w:p w14:paraId="4B1C1A04" w14:textId="77777777" w:rsidR="00967C7D" w:rsidRPr="00967C7D" w:rsidRDefault="00967C7D" w:rsidP="00967C7D">
            <w:pPr>
              <w:keepNext w:val="0"/>
              <w:spacing w:before="0"/>
              <w:rPr>
                <w:rFonts w:cs="Arial"/>
                <w:color w:val="auto"/>
              </w:rPr>
            </w:pPr>
            <w:proofErr w:type="spellStart"/>
            <w:r w:rsidRPr="00967C7D">
              <w:rPr>
                <w:rFonts w:cs="Arial"/>
                <w:color w:val="auto"/>
              </w:rPr>
              <w:t>Bagthorpe</w:t>
            </w:r>
            <w:proofErr w:type="spellEnd"/>
          </w:p>
        </w:tc>
      </w:tr>
      <w:tr w:rsidR="00967C7D" w:rsidRPr="00967C7D" w14:paraId="696A711A" w14:textId="77777777" w:rsidTr="00B5314A">
        <w:trPr>
          <w:trHeight w:val="20"/>
        </w:trPr>
        <w:tc>
          <w:tcPr>
            <w:tcW w:w="2280" w:type="dxa"/>
          </w:tcPr>
          <w:p w14:paraId="0CAE1BA7" w14:textId="77777777"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Vd</w:t>
            </w:r>
            <w:proofErr w:type="spellEnd"/>
          </w:p>
        </w:tc>
        <w:tc>
          <w:tcPr>
            <w:tcW w:w="3720" w:type="dxa"/>
          </w:tcPr>
          <w:p w14:paraId="0E679A28" w14:textId="77777777" w:rsidR="00967C7D" w:rsidRPr="00967C7D" w:rsidRDefault="00967C7D" w:rsidP="00967C7D">
            <w:pPr>
              <w:keepNext w:val="0"/>
              <w:spacing w:before="0"/>
              <w:rPr>
                <w:rFonts w:cs="Arial"/>
                <w:color w:val="auto"/>
              </w:rPr>
            </w:pPr>
            <w:smartTag w:uri="urn:schemas-microsoft-com:office:smarttags" w:element="place">
              <w:smartTag w:uri="urn:schemas-microsoft-com:office:smarttags" w:element="PlaceName">
                <w:r w:rsidRPr="00967C7D">
                  <w:rPr>
                    <w:rFonts w:cs="Arial"/>
                    <w:color w:val="auto"/>
                  </w:rPr>
                  <w:t>Westwood</w:t>
                </w:r>
              </w:smartTag>
              <w:r w:rsidRPr="00967C7D">
                <w:rPr>
                  <w:rFonts w:cs="Arial"/>
                  <w:color w:val="auto"/>
                </w:rPr>
                <w:t xml:space="preserve"> </w:t>
              </w:r>
              <w:smartTag w:uri="urn:schemas-microsoft-com:office:smarttags" w:element="PlaceType">
                <w:r w:rsidRPr="00967C7D">
                  <w:rPr>
                    <w:rFonts w:cs="Arial"/>
                    <w:color w:val="auto"/>
                  </w:rPr>
                  <w:t>Gardens</w:t>
                </w:r>
              </w:smartTag>
            </w:smartTag>
          </w:p>
        </w:tc>
        <w:tc>
          <w:tcPr>
            <w:tcW w:w="3079" w:type="dxa"/>
          </w:tcPr>
          <w:p w14:paraId="3791A4C2" w14:textId="77777777" w:rsidR="00967C7D" w:rsidRPr="00967C7D" w:rsidRDefault="00967C7D" w:rsidP="00967C7D">
            <w:pPr>
              <w:keepNext w:val="0"/>
              <w:spacing w:before="0"/>
              <w:rPr>
                <w:rFonts w:cs="Arial"/>
                <w:color w:val="auto"/>
              </w:rPr>
            </w:pPr>
            <w:r w:rsidRPr="00967C7D">
              <w:rPr>
                <w:rFonts w:cs="Arial"/>
                <w:color w:val="auto"/>
              </w:rPr>
              <w:t>Westwood</w:t>
            </w:r>
          </w:p>
        </w:tc>
      </w:tr>
      <w:tr w:rsidR="00967C7D" w:rsidRPr="00967C7D" w14:paraId="12FCDFEC" w14:textId="77777777" w:rsidTr="00B5314A">
        <w:trPr>
          <w:trHeight w:val="20"/>
        </w:trPr>
        <w:tc>
          <w:tcPr>
            <w:tcW w:w="2280" w:type="dxa"/>
          </w:tcPr>
          <w:p w14:paraId="3381EF5A" w14:textId="77777777" w:rsidR="00967C7D" w:rsidRPr="00967C7D" w:rsidRDefault="00967C7D" w:rsidP="00967C7D">
            <w:pPr>
              <w:keepNext w:val="0"/>
              <w:spacing w:before="0"/>
              <w:rPr>
                <w:rFonts w:cs="Arial"/>
                <w:color w:val="auto"/>
              </w:rPr>
            </w:pPr>
            <w:r w:rsidRPr="00967C7D">
              <w:rPr>
                <w:rFonts w:cs="Arial"/>
                <w:color w:val="auto"/>
              </w:rPr>
              <w:t>EV7 Ve</w:t>
            </w:r>
          </w:p>
        </w:tc>
        <w:tc>
          <w:tcPr>
            <w:tcW w:w="3720" w:type="dxa"/>
          </w:tcPr>
          <w:p w14:paraId="1AC821AB" w14:textId="77777777" w:rsidR="00967C7D" w:rsidRPr="00967C7D" w:rsidRDefault="00967C7D" w:rsidP="00967C7D">
            <w:pPr>
              <w:keepNext w:val="0"/>
              <w:spacing w:before="0"/>
              <w:rPr>
                <w:rFonts w:cs="Arial"/>
                <w:color w:val="auto"/>
              </w:rPr>
            </w:pPr>
            <w:smartTag w:uri="urn:schemas-microsoft-com:office:smarttags" w:element="Street">
              <w:smartTag w:uri="urn:schemas-microsoft-com:office:smarttags" w:element="address">
                <w:r w:rsidRPr="00967C7D">
                  <w:rPr>
                    <w:rFonts w:cs="Arial"/>
                    <w:color w:val="auto"/>
                  </w:rPr>
                  <w:t>Nottingham Road</w:t>
                </w:r>
              </w:smartTag>
            </w:smartTag>
          </w:p>
        </w:tc>
        <w:tc>
          <w:tcPr>
            <w:tcW w:w="3079" w:type="dxa"/>
          </w:tcPr>
          <w:p w14:paraId="0AC06C06" w14:textId="77777777" w:rsidR="00967C7D" w:rsidRPr="00967C7D" w:rsidRDefault="00967C7D" w:rsidP="00967C7D">
            <w:pPr>
              <w:keepNext w:val="0"/>
              <w:spacing w:before="0"/>
              <w:rPr>
                <w:rFonts w:cs="Arial"/>
                <w:color w:val="auto"/>
              </w:rPr>
            </w:pPr>
            <w:proofErr w:type="spellStart"/>
            <w:r w:rsidRPr="00967C7D">
              <w:rPr>
                <w:rFonts w:cs="Arial"/>
                <w:color w:val="auto"/>
              </w:rPr>
              <w:t>Selston</w:t>
            </w:r>
            <w:proofErr w:type="spellEnd"/>
          </w:p>
        </w:tc>
      </w:tr>
      <w:tr w:rsidR="00967C7D" w:rsidRPr="00967C7D" w14:paraId="2FC89668" w14:textId="77777777" w:rsidTr="00B5314A">
        <w:trPr>
          <w:trHeight w:val="20"/>
        </w:trPr>
        <w:tc>
          <w:tcPr>
            <w:tcW w:w="2280" w:type="dxa"/>
          </w:tcPr>
          <w:p w14:paraId="0A272DFD" w14:textId="77777777"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Vf</w:t>
            </w:r>
            <w:proofErr w:type="spellEnd"/>
          </w:p>
        </w:tc>
        <w:tc>
          <w:tcPr>
            <w:tcW w:w="3720" w:type="dxa"/>
          </w:tcPr>
          <w:p w14:paraId="1C1C00CE" w14:textId="77777777" w:rsidR="00967C7D" w:rsidRPr="00967C7D" w:rsidRDefault="00967C7D" w:rsidP="00967C7D">
            <w:pPr>
              <w:keepNext w:val="0"/>
              <w:spacing w:before="0"/>
              <w:rPr>
                <w:rFonts w:cs="Arial"/>
                <w:color w:val="auto"/>
              </w:rPr>
            </w:pPr>
            <w:smartTag w:uri="urn:schemas-microsoft-com:office:smarttags" w:element="Street">
              <w:smartTag w:uri="urn:schemas-microsoft-com:office:smarttags" w:element="address">
                <w:r w:rsidRPr="00967C7D">
                  <w:rPr>
                    <w:rFonts w:cs="Arial"/>
                    <w:color w:val="auto"/>
                  </w:rPr>
                  <w:t>Mansfield Road</w:t>
                </w:r>
              </w:smartTag>
            </w:smartTag>
          </w:p>
        </w:tc>
        <w:tc>
          <w:tcPr>
            <w:tcW w:w="3079" w:type="dxa"/>
          </w:tcPr>
          <w:p w14:paraId="795793A8" w14:textId="77777777" w:rsidR="00967C7D" w:rsidRPr="00967C7D" w:rsidRDefault="00967C7D" w:rsidP="00967C7D">
            <w:pPr>
              <w:keepNext w:val="0"/>
              <w:spacing w:before="0"/>
              <w:rPr>
                <w:rFonts w:cs="Arial"/>
                <w:color w:val="auto"/>
              </w:rPr>
            </w:pPr>
            <w:proofErr w:type="spellStart"/>
            <w:r w:rsidRPr="00967C7D">
              <w:rPr>
                <w:rFonts w:cs="Arial"/>
                <w:color w:val="auto"/>
              </w:rPr>
              <w:t>Selston</w:t>
            </w:r>
            <w:proofErr w:type="spellEnd"/>
          </w:p>
        </w:tc>
      </w:tr>
      <w:tr w:rsidR="00967C7D" w:rsidRPr="00967C7D" w14:paraId="5C71DD62" w14:textId="77777777" w:rsidTr="00B5314A">
        <w:trPr>
          <w:trHeight w:val="20"/>
        </w:trPr>
        <w:tc>
          <w:tcPr>
            <w:tcW w:w="2280" w:type="dxa"/>
          </w:tcPr>
          <w:p w14:paraId="3D3EEFB8" w14:textId="77777777" w:rsidR="00967C7D" w:rsidRPr="00967C7D" w:rsidRDefault="00967C7D" w:rsidP="00967C7D">
            <w:pPr>
              <w:keepNext w:val="0"/>
              <w:spacing w:before="0"/>
              <w:rPr>
                <w:rFonts w:cs="Arial"/>
                <w:color w:val="auto"/>
              </w:rPr>
            </w:pPr>
          </w:p>
        </w:tc>
        <w:tc>
          <w:tcPr>
            <w:tcW w:w="3720" w:type="dxa"/>
          </w:tcPr>
          <w:p w14:paraId="327F3AD0" w14:textId="77777777" w:rsidR="00967C7D" w:rsidRPr="00967C7D" w:rsidRDefault="00967C7D" w:rsidP="00967C7D">
            <w:pPr>
              <w:keepNext w:val="0"/>
              <w:spacing w:before="0"/>
              <w:rPr>
                <w:rFonts w:cs="Arial"/>
                <w:color w:val="auto"/>
              </w:rPr>
            </w:pPr>
          </w:p>
        </w:tc>
        <w:tc>
          <w:tcPr>
            <w:tcW w:w="3079" w:type="dxa"/>
          </w:tcPr>
          <w:p w14:paraId="560016A7" w14:textId="77777777" w:rsidR="00967C7D" w:rsidRPr="00967C7D" w:rsidRDefault="00967C7D" w:rsidP="00967C7D">
            <w:pPr>
              <w:keepNext w:val="0"/>
              <w:spacing w:before="0"/>
              <w:rPr>
                <w:rFonts w:cs="Arial"/>
                <w:color w:val="auto"/>
              </w:rPr>
            </w:pPr>
          </w:p>
        </w:tc>
      </w:tr>
      <w:tr w:rsidR="00967C7D" w:rsidRPr="00967C7D" w14:paraId="47A4A64C" w14:textId="77777777" w:rsidTr="00B5314A">
        <w:trPr>
          <w:trHeight w:val="20"/>
        </w:trPr>
        <w:tc>
          <w:tcPr>
            <w:tcW w:w="2280" w:type="dxa"/>
          </w:tcPr>
          <w:p w14:paraId="1746D4D7" w14:textId="77777777" w:rsidR="00967C7D" w:rsidRPr="00967C7D" w:rsidRDefault="00967C7D" w:rsidP="00967C7D">
            <w:pPr>
              <w:keepNext w:val="0"/>
              <w:spacing w:before="0"/>
              <w:rPr>
                <w:rFonts w:cs="Arial"/>
                <w:color w:val="auto"/>
              </w:rPr>
            </w:pPr>
            <w:r w:rsidRPr="00967C7D">
              <w:rPr>
                <w:rFonts w:cs="Arial"/>
                <w:color w:val="auto"/>
              </w:rPr>
              <w:t>EV7 Ka</w:t>
            </w:r>
          </w:p>
        </w:tc>
        <w:tc>
          <w:tcPr>
            <w:tcW w:w="3720" w:type="dxa"/>
          </w:tcPr>
          <w:p w14:paraId="13600696" w14:textId="77777777" w:rsidR="00967C7D" w:rsidRPr="00967C7D" w:rsidRDefault="00967C7D" w:rsidP="00967C7D">
            <w:pPr>
              <w:keepNext w:val="0"/>
              <w:spacing w:before="0"/>
              <w:rPr>
                <w:rFonts w:cs="Arial"/>
                <w:color w:val="auto"/>
              </w:rPr>
            </w:pPr>
            <w:smartTag w:uri="urn:schemas-microsoft-com:office:smarttags" w:element="Street">
              <w:smartTag w:uri="urn:schemas-microsoft-com:office:smarttags" w:element="address">
                <w:r w:rsidRPr="00967C7D">
                  <w:rPr>
                    <w:rFonts w:cs="Arial"/>
                    <w:color w:val="auto"/>
                  </w:rPr>
                  <w:t>Wesley Street</w:t>
                </w:r>
              </w:smartTag>
            </w:smartTag>
          </w:p>
        </w:tc>
        <w:tc>
          <w:tcPr>
            <w:tcW w:w="3079" w:type="dxa"/>
          </w:tcPr>
          <w:p w14:paraId="65E97119" w14:textId="77777777" w:rsidR="00967C7D" w:rsidRPr="00967C7D" w:rsidRDefault="00967C7D" w:rsidP="00967C7D">
            <w:pPr>
              <w:keepNext w:val="0"/>
              <w:spacing w:before="0"/>
              <w:rPr>
                <w:rFonts w:cs="Arial"/>
                <w:color w:val="auto"/>
              </w:rPr>
            </w:pPr>
            <w:r w:rsidRPr="00967C7D">
              <w:rPr>
                <w:rFonts w:cs="Arial"/>
                <w:color w:val="auto"/>
              </w:rPr>
              <w:t>Annesley Woodhouse</w:t>
            </w:r>
          </w:p>
        </w:tc>
      </w:tr>
      <w:tr w:rsidR="00967C7D" w:rsidRPr="00967C7D" w14:paraId="5125ED37" w14:textId="77777777" w:rsidTr="00B5314A">
        <w:trPr>
          <w:trHeight w:val="20"/>
        </w:trPr>
        <w:tc>
          <w:tcPr>
            <w:tcW w:w="2280" w:type="dxa"/>
          </w:tcPr>
          <w:p w14:paraId="128C7FC3" w14:textId="77777777"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Kb</w:t>
            </w:r>
            <w:proofErr w:type="spellEnd"/>
          </w:p>
        </w:tc>
        <w:tc>
          <w:tcPr>
            <w:tcW w:w="3720" w:type="dxa"/>
          </w:tcPr>
          <w:p w14:paraId="330E20A0" w14:textId="77777777" w:rsidR="00967C7D" w:rsidRPr="00967C7D" w:rsidRDefault="00967C7D" w:rsidP="00967C7D">
            <w:pPr>
              <w:keepNext w:val="0"/>
              <w:spacing w:before="0"/>
              <w:rPr>
                <w:rFonts w:cs="Arial"/>
                <w:color w:val="auto"/>
              </w:rPr>
            </w:pPr>
            <w:r w:rsidRPr="00967C7D">
              <w:rPr>
                <w:rFonts w:cs="Arial"/>
                <w:color w:val="auto"/>
              </w:rPr>
              <w:t>Sherwood Rise</w:t>
            </w:r>
          </w:p>
        </w:tc>
        <w:tc>
          <w:tcPr>
            <w:tcW w:w="3079" w:type="dxa"/>
          </w:tcPr>
          <w:p w14:paraId="40066A39" w14:textId="77777777" w:rsidR="00967C7D" w:rsidRPr="00967C7D" w:rsidRDefault="00967C7D" w:rsidP="00967C7D">
            <w:pPr>
              <w:keepNext w:val="0"/>
              <w:spacing w:before="0"/>
              <w:rPr>
                <w:rFonts w:cs="Arial"/>
                <w:color w:val="auto"/>
              </w:rPr>
            </w:pPr>
            <w:r w:rsidRPr="00967C7D">
              <w:rPr>
                <w:rFonts w:cs="Arial"/>
                <w:color w:val="auto"/>
              </w:rPr>
              <w:t>Annesley Woodhouse</w:t>
            </w:r>
          </w:p>
        </w:tc>
      </w:tr>
      <w:tr w:rsidR="00967C7D" w:rsidRPr="00967C7D" w14:paraId="2572BAD6" w14:textId="77777777" w:rsidTr="00B5314A">
        <w:trPr>
          <w:trHeight w:val="20"/>
        </w:trPr>
        <w:tc>
          <w:tcPr>
            <w:tcW w:w="2280" w:type="dxa"/>
          </w:tcPr>
          <w:p w14:paraId="370A2F06" w14:textId="77777777" w:rsidR="00967C7D" w:rsidRPr="00967C7D" w:rsidRDefault="00967C7D" w:rsidP="00967C7D">
            <w:pPr>
              <w:keepNext w:val="0"/>
              <w:spacing w:before="0"/>
              <w:rPr>
                <w:rFonts w:cs="Arial"/>
                <w:color w:val="auto"/>
              </w:rPr>
            </w:pPr>
            <w:r w:rsidRPr="00967C7D">
              <w:rPr>
                <w:rFonts w:cs="Arial"/>
                <w:color w:val="auto"/>
              </w:rPr>
              <w:t>EV7 Kc</w:t>
            </w:r>
          </w:p>
        </w:tc>
        <w:tc>
          <w:tcPr>
            <w:tcW w:w="3720" w:type="dxa"/>
          </w:tcPr>
          <w:p w14:paraId="1CBABD11" w14:textId="77777777" w:rsidR="00967C7D" w:rsidRPr="00967C7D" w:rsidRDefault="00967C7D" w:rsidP="00967C7D">
            <w:pPr>
              <w:keepNext w:val="0"/>
              <w:spacing w:before="0"/>
              <w:rPr>
                <w:rFonts w:cs="Arial"/>
                <w:color w:val="auto"/>
              </w:rPr>
            </w:pPr>
            <w:r w:rsidRPr="00967C7D">
              <w:rPr>
                <w:rFonts w:cs="Arial"/>
                <w:color w:val="auto"/>
              </w:rPr>
              <w:t>Recreation Road</w:t>
            </w:r>
          </w:p>
        </w:tc>
        <w:tc>
          <w:tcPr>
            <w:tcW w:w="3079" w:type="dxa"/>
          </w:tcPr>
          <w:p w14:paraId="42F3FE62" w14:textId="77777777" w:rsidR="00967C7D" w:rsidRPr="00967C7D" w:rsidRDefault="00967C7D" w:rsidP="00967C7D">
            <w:pPr>
              <w:keepNext w:val="0"/>
              <w:spacing w:before="0"/>
              <w:rPr>
                <w:rFonts w:cs="Arial"/>
                <w:color w:val="auto"/>
              </w:rPr>
            </w:pPr>
            <w:r w:rsidRPr="00967C7D">
              <w:rPr>
                <w:rFonts w:cs="Arial"/>
                <w:color w:val="auto"/>
              </w:rPr>
              <w:t>Annesley</w:t>
            </w:r>
          </w:p>
        </w:tc>
      </w:tr>
      <w:tr w:rsidR="00967C7D" w:rsidRPr="00967C7D" w14:paraId="045EC67B" w14:textId="77777777" w:rsidTr="00B5314A">
        <w:trPr>
          <w:trHeight w:val="20"/>
        </w:trPr>
        <w:tc>
          <w:tcPr>
            <w:tcW w:w="2280" w:type="dxa"/>
          </w:tcPr>
          <w:p w14:paraId="3D76774A" w14:textId="77777777"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Kd</w:t>
            </w:r>
            <w:proofErr w:type="spellEnd"/>
          </w:p>
        </w:tc>
        <w:tc>
          <w:tcPr>
            <w:tcW w:w="3720" w:type="dxa"/>
          </w:tcPr>
          <w:p w14:paraId="04CB19AB" w14:textId="77777777" w:rsidR="00967C7D" w:rsidRPr="00967C7D" w:rsidRDefault="00967C7D" w:rsidP="00967C7D">
            <w:pPr>
              <w:keepNext w:val="0"/>
              <w:spacing w:before="0"/>
              <w:rPr>
                <w:rFonts w:cs="Arial"/>
                <w:color w:val="auto"/>
              </w:rPr>
            </w:pPr>
            <w:r w:rsidRPr="00967C7D">
              <w:rPr>
                <w:rFonts w:cs="Arial"/>
                <w:color w:val="auto"/>
              </w:rPr>
              <w:t>Kingsway</w:t>
            </w:r>
          </w:p>
        </w:tc>
        <w:tc>
          <w:tcPr>
            <w:tcW w:w="3079" w:type="dxa"/>
          </w:tcPr>
          <w:p w14:paraId="7EA4690B" w14:textId="77777777" w:rsidR="00967C7D" w:rsidRPr="00967C7D" w:rsidRDefault="00967C7D" w:rsidP="00967C7D">
            <w:pPr>
              <w:keepNext w:val="0"/>
              <w:spacing w:before="0"/>
              <w:rPr>
                <w:rFonts w:cs="Arial"/>
                <w:color w:val="auto"/>
              </w:rPr>
            </w:pPr>
            <w:r w:rsidRPr="00967C7D">
              <w:rPr>
                <w:rFonts w:cs="Arial"/>
                <w:color w:val="auto"/>
              </w:rPr>
              <w:t>Kirkby</w:t>
            </w:r>
          </w:p>
        </w:tc>
      </w:tr>
      <w:tr w:rsidR="00967C7D" w:rsidRPr="00967C7D" w14:paraId="7BC4B816" w14:textId="77777777" w:rsidTr="00B5314A">
        <w:trPr>
          <w:trHeight w:val="20"/>
        </w:trPr>
        <w:tc>
          <w:tcPr>
            <w:tcW w:w="2280" w:type="dxa"/>
          </w:tcPr>
          <w:p w14:paraId="42F11D59" w14:textId="77777777" w:rsidR="00967C7D" w:rsidRPr="00967C7D" w:rsidRDefault="00967C7D" w:rsidP="00967C7D">
            <w:pPr>
              <w:keepNext w:val="0"/>
              <w:spacing w:before="0"/>
              <w:rPr>
                <w:rFonts w:cs="Arial"/>
                <w:color w:val="auto"/>
              </w:rPr>
            </w:pPr>
            <w:r w:rsidRPr="00967C7D">
              <w:rPr>
                <w:rFonts w:cs="Arial"/>
                <w:color w:val="auto"/>
              </w:rPr>
              <w:t>EV7 Ke</w:t>
            </w:r>
          </w:p>
        </w:tc>
        <w:tc>
          <w:tcPr>
            <w:tcW w:w="3720" w:type="dxa"/>
          </w:tcPr>
          <w:p w14:paraId="36FFAFCE" w14:textId="77777777" w:rsidR="00967C7D" w:rsidRPr="00967C7D" w:rsidRDefault="00967C7D" w:rsidP="00967C7D">
            <w:pPr>
              <w:keepNext w:val="0"/>
              <w:spacing w:before="0"/>
              <w:rPr>
                <w:rFonts w:cs="Arial"/>
                <w:color w:val="auto"/>
              </w:rPr>
            </w:pPr>
            <w:r w:rsidRPr="00967C7D">
              <w:rPr>
                <w:rFonts w:cs="Arial"/>
                <w:color w:val="auto"/>
              </w:rPr>
              <w:t>Church Gardens</w:t>
            </w:r>
          </w:p>
        </w:tc>
        <w:tc>
          <w:tcPr>
            <w:tcW w:w="3079" w:type="dxa"/>
          </w:tcPr>
          <w:p w14:paraId="0A084ED3" w14:textId="77777777" w:rsidR="00967C7D" w:rsidRPr="00967C7D" w:rsidRDefault="00967C7D" w:rsidP="00967C7D">
            <w:pPr>
              <w:keepNext w:val="0"/>
              <w:spacing w:before="0"/>
              <w:rPr>
                <w:rFonts w:cs="Arial"/>
                <w:color w:val="auto"/>
              </w:rPr>
            </w:pPr>
            <w:r w:rsidRPr="00967C7D">
              <w:rPr>
                <w:rFonts w:cs="Arial"/>
                <w:color w:val="auto"/>
              </w:rPr>
              <w:t>Kirkby</w:t>
            </w:r>
          </w:p>
        </w:tc>
      </w:tr>
      <w:tr w:rsidR="00967C7D" w:rsidRPr="00967C7D" w14:paraId="6A407420" w14:textId="77777777" w:rsidTr="00B5314A">
        <w:trPr>
          <w:trHeight w:val="20"/>
        </w:trPr>
        <w:tc>
          <w:tcPr>
            <w:tcW w:w="2280" w:type="dxa"/>
          </w:tcPr>
          <w:p w14:paraId="44D7101D" w14:textId="77777777"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Kf</w:t>
            </w:r>
            <w:proofErr w:type="spellEnd"/>
          </w:p>
        </w:tc>
        <w:tc>
          <w:tcPr>
            <w:tcW w:w="3720" w:type="dxa"/>
          </w:tcPr>
          <w:p w14:paraId="09920693" w14:textId="77777777" w:rsidR="00967C7D" w:rsidRPr="00967C7D" w:rsidRDefault="00967C7D" w:rsidP="00967C7D">
            <w:pPr>
              <w:keepNext w:val="0"/>
              <w:spacing w:before="0"/>
              <w:rPr>
                <w:rFonts w:cs="Arial"/>
                <w:color w:val="auto"/>
              </w:rPr>
            </w:pPr>
            <w:r w:rsidRPr="00967C7D">
              <w:rPr>
                <w:rFonts w:cs="Arial"/>
                <w:color w:val="auto"/>
              </w:rPr>
              <w:t>Diamond Avenue</w:t>
            </w:r>
          </w:p>
        </w:tc>
        <w:tc>
          <w:tcPr>
            <w:tcW w:w="3079" w:type="dxa"/>
          </w:tcPr>
          <w:p w14:paraId="4212E74E" w14:textId="77777777" w:rsidR="00967C7D" w:rsidRPr="00967C7D" w:rsidRDefault="00967C7D" w:rsidP="00967C7D">
            <w:pPr>
              <w:keepNext w:val="0"/>
              <w:spacing w:before="0"/>
              <w:rPr>
                <w:rFonts w:cs="Arial"/>
                <w:color w:val="auto"/>
              </w:rPr>
            </w:pPr>
            <w:r w:rsidRPr="00967C7D">
              <w:rPr>
                <w:rFonts w:cs="Arial"/>
                <w:color w:val="auto"/>
              </w:rPr>
              <w:t>Kirkby</w:t>
            </w:r>
          </w:p>
        </w:tc>
      </w:tr>
      <w:tr w:rsidR="00967C7D" w:rsidRPr="00967C7D" w14:paraId="656D4C45" w14:textId="77777777" w:rsidTr="00B5314A">
        <w:trPr>
          <w:trHeight w:val="20"/>
        </w:trPr>
        <w:tc>
          <w:tcPr>
            <w:tcW w:w="2280" w:type="dxa"/>
          </w:tcPr>
          <w:p w14:paraId="45B3D2D4" w14:textId="77777777" w:rsidR="00967C7D" w:rsidRPr="00967C7D" w:rsidRDefault="00967C7D" w:rsidP="00967C7D">
            <w:pPr>
              <w:keepNext w:val="0"/>
              <w:spacing w:before="0"/>
              <w:rPr>
                <w:rFonts w:cs="Arial"/>
                <w:color w:val="auto"/>
              </w:rPr>
            </w:pPr>
            <w:r w:rsidRPr="00967C7D">
              <w:rPr>
                <w:rFonts w:cs="Arial"/>
                <w:color w:val="auto"/>
              </w:rPr>
              <w:t>EV7 Kg</w:t>
            </w:r>
          </w:p>
        </w:tc>
        <w:tc>
          <w:tcPr>
            <w:tcW w:w="3720" w:type="dxa"/>
          </w:tcPr>
          <w:p w14:paraId="1EABFBBD" w14:textId="77777777" w:rsidR="00967C7D" w:rsidRPr="00967C7D" w:rsidRDefault="00967C7D" w:rsidP="00967C7D">
            <w:pPr>
              <w:keepNext w:val="0"/>
              <w:spacing w:before="0"/>
              <w:rPr>
                <w:rFonts w:cs="Arial"/>
                <w:color w:val="auto"/>
              </w:rPr>
            </w:pPr>
            <w:r w:rsidRPr="00967C7D">
              <w:rPr>
                <w:rFonts w:cs="Arial"/>
                <w:color w:val="auto"/>
              </w:rPr>
              <w:t>Harcourt Street</w:t>
            </w:r>
          </w:p>
        </w:tc>
        <w:tc>
          <w:tcPr>
            <w:tcW w:w="3079" w:type="dxa"/>
          </w:tcPr>
          <w:p w14:paraId="46E54AA4" w14:textId="77777777" w:rsidR="00967C7D" w:rsidRPr="00967C7D" w:rsidRDefault="00967C7D" w:rsidP="00967C7D">
            <w:pPr>
              <w:keepNext w:val="0"/>
              <w:spacing w:before="0"/>
              <w:rPr>
                <w:rFonts w:cs="Arial"/>
                <w:color w:val="auto"/>
              </w:rPr>
            </w:pPr>
            <w:r w:rsidRPr="00967C7D">
              <w:rPr>
                <w:rFonts w:cs="Arial"/>
                <w:color w:val="auto"/>
              </w:rPr>
              <w:t>Kirkby</w:t>
            </w:r>
          </w:p>
        </w:tc>
      </w:tr>
      <w:tr w:rsidR="00967C7D" w:rsidRPr="00967C7D" w14:paraId="7E02DCB4" w14:textId="77777777" w:rsidTr="00B5314A">
        <w:trPr>
          <w:trHeight w:val="20"/>
        </w:trPr>
        <w:tc>
          <w:tcPr>
            <w:tcW w:w="2280" w:type="dxa"/>
          </w:tcPr>
          <w:p w14:paraId="2D13D2FA" w14:textId="77777777" w:rsidR="00967C7D" w:rsidRPr="00967C7D" w:rsidRDefault="00967C7D" w:rsidP="00967C7D">
            <w:pPr>
              <w:keepNext w:val="0"/>
              <w:spacing w:before="0"/>
              <w:rPr>
                <w:rFonts w:cs="Arial"/>
                <w:color w:val="auto"/>
              </w:rPr>
            </w:pPr>
            <w:r w:rsidRPr="00967C7D">
              <w:rPr>
                <w:rFonts w:cs="Arial"/>
                <w:color w:val="auto"/>
              </w:rPr>
              <w:t>EV7 Kh</w:t>
            </w:r>
          </w:p>
        </w:tc>
        <w:tc>
          <w:tcPr>
            <w:tcW w:w="3720" w:type="dxa"/>
          </w:tcPr>
          <w:p w14:paraId="6C91877A" w14:textId="77777777" w:rsidR="00967C7D" w:rsidRPr="00967C7D" w:rsidRDefault="00967C7D" w:rsidP="00967C7D">
            <w:pPr>
              <w:keepNext w:val="0"/>
              <w:spacing w:before="0"/>
              <w:rPr>
                <w:rFonts w:cs="Arial"/>
                <w:color w:val="auto"/>
              </w:rPr>
            </w:pPr>
            <w:r w:rsidRPr="00967C7D">
              <w:rPr>
                <w:rFonts w:cs="Arial"/>
                <w:color w:val="auto"/>
              </w:rPr>
              <w:t>California, Cowpasture Lane</w:t>
            </w:r>
          </w:p>
        </w:tc>
        <w:tc>
          <w:tcPr>
            <w:tcW w:w="3079" w:type="dxa"/>
          </w:tcPr>
          <w:p w14:paraId="2607382D" w14:textId="77777777" w:rsidR="00967C7D" w:rsidRPr="00967C7D" w:rsidRDefault="00967C7D" w:rsidP="00967C7D">
            <w:pPr>
              <w:keepNext w:val="0"/>
              <w:spacing w:before="0"/>
              <w:rPr>
                <w:rFonts w:cs="Arial"/>
                <w:color w:val="auto"/>
              </w:rPr>
            </w:pPr>
            <w:r w:rsidRPr="00967C7D">
              <w:rPr>
                <w:rFonts w:cs="Arial"/>
                <w:color w:val="auto"/>
              </w:rPr>
              <w:t>Kirkby</w:t>
            </w:r>
          </w:p>
        </w:tc>
      </w:tr>
      <w:tr w:rsidR="00967C7D" w:rsidRPr="00967C7D" w14:paraId="6E8FCDBA" w14:textId="77777777" w:rsidTr="00B5314A">
        <w:trPr>
          <w:trHeight w:val="20"/>
        </w:trPr>
        <w:tc>
          <w:tcPr>
            <w:tcW w:w="2280" w:type="dxa"/>
          </w:tcPr>
          <w:p w14:paraId="4ED9D4BC" w14:textId="77777777" w:rsidR="00967C7D" w:rsidRPr="00967C7D" w:rsidRDefault="00967C7D" w:rsidP="00967C7D">
            <w:pPr>
              <w:keepNext w:val="0"/>
              <w:spacing w:before="0"/>
              <w:rPr>
                <w:rFonts w:cs="Arial"/>
                <w:color w:val="auto"/>
              </w:rPr>
            </w:pPr>
            <w:r w:rsidRPr="00967C7D">
              <w:rPr>
                <w:rFonts w:cs="Arial"/>
                <w:color w:val="auto"/>
              </w:rPr>
              <w:t>EV7 Ki</w:t>
            </w:r>
          </w:p>
        </w:tc>
        <w:tc>
          <w:tcPr>
            <w:tcW w:w="3720" w:type="dxa"/>
          </w:tcPr>
          <w:p w14:paraId="15C30724" w14:textId="77777777" w:rsidR="00967C7D" w:rsidRPr="00967C7D" w:rsidRDefault="00967C7D" w:rsidP="00967C7D">
            <w:pPr>
              <w:keepNext w:val="0"/>
              <w:spacing w:before="0"/>
              <w:rPr>
                <w:rFonts w:cs="Arial"/>
                <w:color w:val="auto"/>
              </w:rPr>
            </w:pPr>
            <w:r w:rsidRPr="00967C7D">
              <w:rPr>
                <w:rFonts w:cs="Arial"/>
                <w:color w:val="auto"/>
              </w:rPr>
              <w:t>Sutton Road</w:t>
            </w:r>
          </w:p>
        </w:tc>
        <w:tc>
          <w:tcPr>
            <w:tcW w:w="3079" w:type="dxa"/>
          </w:tcPr>
          <w:p w14:paraId="75F5B78F" w14:textId="77777777" w:rsidR="00967C7D" w:rsidRPr="00967C7D" w:rsidRDefault="00967C7D" w:rsidP="00967C7D">
            <w:pPr>
              <w:keepNext w:val="0"/>
              <w:spacing w:before="0"/>
              <w:rPr>
                <w:rFonts w:cs="Arial"/>
                <w:color w:val="auto"/>
              </w:rPr>
            </w:pPr>
            <w:r w:rsidRPr="00967C7D">
              <w:rPr>
                <w:rFonts w:cs="Arial"/>
                <w:color w:val="auto"/>
              </w:rPr>
              <w:t>Kirkby</w:t>
            </w:r>
          </w:p>
        </w:tc>
      </w:tr>
      <w:tr w:rsidR="00967C7D" w:rsidRPr="00967C7D" w14:paraId="229F2995" w14:textId="77777777" w:rsidTr="00B5314A">
        <w:trPr>
          <w:trHeight w:val="27"/>
        </w:trPr>
        <w:tc>
          <w:tcPr>
            <w:tcW w:w="2280" w:type="dxa"/>
          </w:tcPr>
          <w:p w14:paraId="1DD43E40" w14:textId="77777777" w:rsidR="00967C7D" w:rsidRPr="00967C7D" w:rsidRDefault="00967C7D" w:rsidP="00967C7D">
            <w:pPr>
              <w:keepNext w:val="0"/>
              <w:spacing w:before="0"/>
              <w:rPr>
                <w:rFonts w:cs="Arial"/>
                <w:color w:val="auto"/>
              </w:rPr>
            </w:pPr>
          </w:p>
        </w:tc>
        <w:tc>
          <w:tcPr>
            <w:tcW w:w="3720" w:type="dxa"/>
          </w:tcPr>
          <w:p w14:paraId="7264E374" w14:textId="77777777" w:rsidR="00967C7D" w:rsidRPr="00967C7D" w:rsidRDefault="00967C7D" w:rsidP="00967C7D">
            <w:pPr>
              <w:keepNext w:val="0"/>
              <w:spacing w:before="0"/>
              <w:rPr>
                <w:rFonts w:cs="Arial"/>
                <w:color w:val="auto"/>
              </w:rPr>
            </w:pPr>
          </w:p>
        </w:tc>
        <w:tc>
          <w:tcPr>
            <w:tcW w:w="3079" w:type="dxa"/>
          </w:tcPr>
          <w:p w14:paraId="2376E0EA" w14:textId="77777777" w:rsidR="00967C7D" w:rsidRPr="00967C7D" w:rsidRDefault="00967C7D" w:rsidP="00967C7D">
            <w:pPr>
              <w:keepNext w:val="0"/>
              <w:spacing w:before="0"/>
              <w:rPr>
                <w:rFonts w:cs="Arial"/>
                <w:color w:val="auto"/>
              </w:rPr>
            </w:pPr>
          </w:p>
        </w:tc>
      </w:tr>
      <w:tr w:rsidR="00967C7D" w:rsidRPr="00967C7D" w14:paraId="1C283107" w14:textId="77777777" w:rsidTr="00B5314A">
        <w:trPr>
          <w:trHeight w:val="27"/>
        </w:trPr>
        <w:tc>
          <w:tcPr>
            <w:tcW w:w="2280" w:type="dxa"/>
          </w:tcPr>
          <w:p w14:paraId="4F0AF1ED" w14:textId="77777777" w:rsidR="00967C7D" w:rsidRPr="00967C7D" w:rsidRDefault="00967C7D" w:rsidP="00967C7D">
            <w:pPr>
              <w:keepNext w:val="0"/>
              <w:spacing w:before="0"/>
              <w:rPr>
                <w:rFonts w:cs="Arial"/>
                <w:color w:val="auto"/>
              </w:rPr>
            </w:pPr>
            <w:r w:rsidRPr="00967C7D">
              <w:rPr>
                <w:rFonts w:cs="Arial"/>
                <w:color w:val="auto"/>
              </w:rPr>
              <w:t>EV7 Sa</w:t>
            </w:r>
          </w:p>
        </w:tc>
        <w:tc>
          <w:tcPr>
            <w:tcW w:w="3720" w:type="dxa"/>
          </w:tcPr>
          <w:p w14:paraId="71EFDECC" w14:textId="77777777" w:rsidR="00967C7D" w:rsidRPr="00967C7D" w:rsidRDefault="00967C7D" w:rsidP="00967C7D">
            <w:pPr>
              <w:keepNext w:val="0"/>
              <w:spacing w:before="0"/>
              <w:rPr>
                <w:rFonts w:cs="Arial"/>
                <w:color w:val="auto"/>
              </w:rPr>
            </w:pPr>
            <w:proofErr w:type="spellStart"/>
            <w:r w:rsidRPr="00967C7D">
              <w:rPr>
                <w:rFonts w:cs="Arial"/>
                <w:color w:val="auto"/>
              </w:rPr>
              <w:t>Willowbridge</w:t>
            </w:r>
            <w:proofErr w:type="spellEnd"/>
          </w:p>
        </w:tc>
        <w:tc>
          <w:tcPr>
            <w:tcW w:w="3079" w:type="dxa"/>
          </w:tcPr>
          <w:p w14:paraId="1A431FD0" w14:textId="77777777" w:rsidR="00967C7D" w:rsidRPr="00967C7D" w:rsidRDefault="00967C7D" w:rsidP="00967C7D">
            <w:pPr>
              <w:keepNext w:val="0"/>
              <w:spacing w:before="0"/>
              <w:rPr>
                <w:rFonts w:cs="Arial"/>
                <w:color w:val="auto"/>
              </w:rPr>
            </w:pPr>
            <w:r w:rsidRPr="00967C7D">
              <w:rPr>
                <w:rFonts w:cs="Arial"/>
                <w:color w:val="auto"/>
              </w:rPr>
              <w:t>Sutton</w:t>
            </w:r>
          </w:p>
        </w:tc>
      </w:tr>
      <w:tr w:rsidR="00967C7D" w:rsidRPr="00967C7D" w14:paraId="26B260AA" w14:textId="77777777" w:rsidTr="00B5314A">
        <w:trPr>
          <w:trHeight w:val="27"/>
        </w:trPr>
        <w:tc>
          <w:tcPr>
            <w:tcW w:w="2280" w:type="dxa"/>
          </w:tcPr>
          <w:p w14:paraId="4CED9170" w14:textId="77777777" w:rsidR="00967C7D" w:rsidRPr="00967C7D" w:rsidRDefault="00967C7D" w:rsidP="00967C7D">
            <w:pPr>
              <w:keepNext w:val="0"/>
              <w:spacing w:before="0"/>
              <w:rPr>
                <w:rFonts w:cs="Arial"/>
                <w:color w:val="auto"/>
              </w:rPr>
            </w:pPr>
            <w:r w:rsidRPr="00967C7D">
              <w:rPr>
                <w:rFonts w:cs="Arial"/>
                <w:color w:val="auto"/>
              </w:rPr>
              <w:t>EV7 Sb</w:t>
            </w:r>
          </w:p>
        </w:tc>
        <w:tc>
          <w:tcPr>
            <w:tcW w:w="3720" w:type="dxa"/>
          </w:tcPr>
          <w:p w14:paraId="50F162DB" w14:textId="77777777" w:rsidR="00967C7D" w:rsidRPr="00967C7D" w:rsidRDefault="00967C7D" w:rsidP="00967C7D">
            <w:pPr>
              <w:keepNext w:val="0"/>
              <w:spacing w:before="0"/>
              <w:rPr>
                <w:rFonts w:cs="Arial"/>
                <w:color w:val="auto"/>
              </w:rPr>
            </w:pPr>
            <w:smartTag w:uri="urn:schemas-microsoft-com:office:smarttags" w:element="place">
              <w:smartTag w:uri="urn:schemas-microsoft-com:office:smarttags" w:element="PlaceName">
                <w:r w:rsidRPr="00967C7D">
                  <w:rPr>
                    <w:rFonts w:cs="Arial"/>
                    <w:color w:val="auto"/>
                  </w:rPr>
                  <w:t>Jubilee</w:t>
                </w:r>
              </w:smartTag>
              <w:r w:rsidRPr="00967C7D">
                <w:rPr>
                  <w:rFonts w:cs="Arial"/>
                  <w:color w:val="auto"/>
                </w:rPr>
                <w:t xml:space="preserve"> </w:t>
              </w:r>
              <w:smartTag w:uri="urn:schemas-microsoft-com:office:smarttags" w:element="PlaceType">
                <w:r w:rsidRPr="00967C7D">
                  <w:rPr>
                    <w:rFonts w:cs="Arial"/>
                    <w:color w:val="auto"/>
                  </w:rPr>
                  <w:t>Gardens</w:t>
                </w:r>
              </w:smartTag>
            </w:smartTag>
          </w:p>
        </w:tc>
        <w:tc>
          <w:tcPr>
            <w:tcW w:w="3079" w:type="dxa"/>
          </w:tcPr>
          <w:p w14:paraId="576A5E59" w14:textId="77777777" w:rsidR="00967C7D" w:rsidRPr="00967C7D" w:rsidRDefault="00967C7D" w:rsidP="00967C7D">
            <w:pPr>
              <w:keepNext w:val="0"/>
              <w:spacing w:before="0"/>
              <w:rPr>
                <w:rFonts w:cs="Arial"/>
                <w:color w:val="auto"/>
              </w:rPr>
            </w:pPr>
            <w:r w:rsidRPr="00967C7D">
              <w:rPr>
                <w:rFonts w:cs="Arial"/>
                <w:color w:val="auto"/>
              </w:rPr>
              <w:t>Sutton</w:t>
            </w:r>
          </w:p>
        </w:tc>
      </w:tr>
      <w:tr w:rsidR="00967C7D" w:rsidRPr="00967C7D" w14:paraId="140E2448" w14:textId="77777777" w:rsidTr="00B5314A">
        <w:trPr>
          <w:trHeight w:val="27"/>
        </w:trPr>
        <w:tc>
          <w:tcPr>
            <w:tcW w:w="2280" w:type="dxa"/>
          </w:tcPr>
          <w:p w14:paraId="2433158D" w14:textId="77777777" w:rsidR="00967C7D" w:rsidRPr="00967C7D" w:rsidRDefault="00967C7D" w:rsidP="00967C7D">
            <w:pPr>
              <w:keepNext w:val="0"/>
              <w:spacing w:before="0"/>
              <w:rPr>
                <w:rFonts w:cs="Arial"/>
                <w:color w:val="auto"/>
              </w:rPr>
            </w:pPr>
            <w:r w:rsidRPr="00967C7D">
              <w:rPr>
                <w:rFonts w:cs="Arial"/>
                <w:color w:val="auto"/>
              </w:rPr>
              <w:t>EV7 Sc</w:t>
            </w:r>
          </w:p>
        </w:tc>
        <w:tc>
          <w:tcPr>
            <w:tcW w:w="3720" w:type="dxa"/>
          </w:tcPr>
          <w:p w14:paraId="56CE9A1D" w14:textId="77777777" w:rsidR="00967C7D" w:rsidRPr="00967C7D" w:rsidRDefault="00967C7D" w:rsidP="00967C7D">
            <w:pPr>
              <w:keepNext w:val="0"/>
              <w:spacing w:before="0"/>
              <w:rPr>
                <w:rFonts w:cs="Arial"/>
                <w:color w:val="auto"/>
              </w:rPr>
            </w:pPr>
            <w:smartTag w:uri="urn:schemas-microsoft-com:office:smarttags" w:element="Street">
              <w:smartTag w:uri="urn:schemas-microsoft-com:office:smarttags" w:element="address">
                <w:r w:rsidRPr="00967C7D">
                  <w:rPr>
                    <w:rFonts w:cs="Arial"/>
                    <w:color w:val="auto"/>
                  </w:rPr>
                  <w:t>Mill Lane</w:t>
                </w:r>
              </w:smartTag>
            </w:smartTag>
          </w:p>
        </w:tc>
        <w:tc>
          <w:tcPr>
            <w:tcW w:w="3079" w:type="dxa"/>
          </w:tcPr>
          <w:p w14:paraId="4EFB26D9" w14:textId="77777777" w:rsidR="00967C7D" w:rsidRPr="00967C7D" w:rsidRDefault="00967C7D" w:rsidP="00967C7D">
            <w:pPr>
              <w:keepNext w:val="0"/>
              <w:spacing w:before="0"/>
              <w:rPr>
                <w:rFonts w:cs="Arial"/>
                <w:color w:val="auto"/>
              </w:rPr>
            </w:pPr>
            <w:r w:rsidRPr="00967C7D">
              <w:rPr>
                <w:rFonts w:cs="Arial"/>
                <w:color w:val="auto"/>
              </w:rPr>
              <w:t>Huthwaite</w:t>
            </w:r>
          </w:p>
        </w:tc>
      </w:tr>
      <w:tr w:rsidR="00967C7D" w:rsidRPr="00967C7D" w14:paraId="5904A1BD" w14:textId="77777777" w:rsidTr="00B5314A">
        <w:trPr>
          <w:trHeight w:val="90"/>
        </w:trPr>
        <w:tc>
          <w:tcPr>
            <w:tcW w:w="2280" w:type="dxa"/>
          </w:tcPr>
          <w:p w14:paraId="7D92A2A3" w14:textId="77777777" w:rsidR="00967C7D" w:rsidRPr="00967C7D" w:rsidRDefault="00967C7D" w:rsidP="00967C7D">
            <w:pPr>
              <w:keepNext w:val="0"/>
              <w:spacing w:before="0"/>
              <w:rPr>
                <w:rFonts w:cs="Arial"/>
                <w:color w:val="auto"/>
              </w:rPr>
            </w:pPr>
            <w:r w:rsidRPr="00967C7D">
              <w:rPr>
                <w:rFonts w:cs="Arial"/>
                <w:color w:val="auto"/>
              </w:rPr>
              <w:t>EV7 Sd</w:t>
            </w:r>
          </w:p>
        </w:tc>
        <w:tc>
          <w:tcPr>
            <w:tcW w:w="3720" w:type="dxa"/>
          </w:tcPr>
          <w:p w14:paraId="7D76482A" w14:textId="77777777" w:rsidR="00967C7D" w:rsidRPr="00967C7D" w:rsidRDefault="00967C7D" w:rsidP="00967C7D">
            <w:pPr>
              <w:keepNext w:val="0"/>
              <w:spacing w:before="0"/>
              <w:rPr>
                <w:rFonts w:cs="Arial"/>
                <w:color w:val="auto"/>
              </w:rPr>
            </w:pPr>
            <w:r w:rsidRPr="00967C7D">
              <w:rPr>
                <w:rFonts w:cs="Arial"/>
                <w:color w:val="auto"/>
              </w:rPr>
              <w:t>Garden Gap</w:t>
            </w:r>
          </w:p>
        </w:tc>
        <w:tc>
          <w:tcPr>
            <w:tcW w:w="3079" w:type="dxa"/>
          </w:tcPr>
          <w:p w14:paraId="3DBB6453" w14:textId="77777777" w:rsidR="00967C7D" w:rsidRPr="00967C7D" w:rsidRDefault="00967C7D" w:rsidP="00967C7D">
            <w:pPr>
              <w:keepNext w:val="0"/>
              <w:spacing w:before="0"/>
              <w:rPr>
                <w:rFonts w:cs="Arial"/>
                <w:color w:val="auto"/>
              </w:rPr>
            </w:pPr>
            <w:r w:rsidRPr="00967C7D">
              <w:rPr>
                <w:rFonts w:cs="Arial"/>
                <w:color w:val="auto"/>
              </w:rPr>
              <w:t>Huthwaite</w:t>
            </w:r>
          </w:p>
        </w:tc>
      </w:tr>
      <w:tr w:rsidR="00967C7D" w:rsidRPr="00967C7D" w14:paraId="02D48D85" w14:textId="77777777" w:rsidTr="00B5314A">
        <w:trPr>
          <w:trHeight w:val="90"/>
        </w:trPr>
        <w:tc>
          <w:tcPr>
            <w:tcW w:w="2280" w:type="dxa"/>
          </w:tcPr>
          <w:p w14:paraId="21BDA47B" w14:textId="77777777" w:rsidR="00967C7D" w:rsidRPr="00967C7D" w:rsidRDefault="00967C7D" w:rsidP="00967C7D">
            <w:pPr>
              <w:keepNext w:val="0"/>
              <w:spacing w:before="0"/>
              <w:rPr>
                <w:rFonts w:cs="Arial"/>
                <w:color w:val="auto"/>
              </w:rPr>
            </w:pPr>
            <w:r w:rsidRPr="00967C7D">
              <w:rPr>
                <w:rFonts w:cs="Arial"/>
                <w:color w:val="auto"/>
              </w:rPr>
              <w:t>EV7 Se</w:t>
            </w:r>
          </w:p>
        </w:tc>
        <w:tc>
          <w:tcPr>
            <w:tcW w:w="3720" w:type="dxa"/>
          </w:tcPr>
          <w:p w14:paraId="035BCDD7" w14:textId="77777777" w:rsidR="00967C7D" w:rsidRPr="00967C7D" w:rsidRDefault="00967C7D" w:rsidP="00967C7D">
            <w:pPr>
              <w:keepNext w:val="0"/>
              <w:spacing w:before="0"/>
              <w:rPr>
                <w:rFonts w:cs="Arial"/>
                <w:color w:val="auto"/>
              </w:rPr>
            </w:pPr>
            <w:proofErr w:type="spellStart"/>
            <w:r w:rsidRPr="00967C7D">
              <w:rPr>
                <w:rFonts w:cs="Arial"/>
                <w:color w:val="auto"/>
              </w:rPr>
              <w:t>Carsic</w:t>
            </w:r>
            <w:proofErr w:type="spellEnd"/>
          </w:p>
        </w:tc>
        <w:tc>
          <w:tcPr>
            <w:tcW w:w="3079" w:type="dxa"/>
          </w:tcPr>
          <w:p w14:paraId="73F46BB2" w14:textId="77777777" w:rsidR="00967C7D" w:rsidRPr="00967C7D" w:rsidRDefault="00967C7D" w:rsidP="00967C7D">
            <w:pPr>
              <w:keepNext w:val="0"/>
              <w:spacing w:before="0"/>
              <w:rPr>
                <w:rFonts w:cs="Arial"/>
                <w:color w:val="auto"/>
              </w:rPr>
            </w:pPr>
            <w:r w:rsidRPr="00967C7D">
              <w:rPr>
                <w:rFonts w:cs="Arial"/>
                <w:color w:val="auto"/>
              </w:rPr>
              <w:t>Sutton</w:t>
            </w:r>
          </w:p>
        </w:tc>
      </w:tr>
      <w:tr w:rsidR="00967C7D" w:rsidRPr="00967C7D" w14:paraId="47721B8F" w14:textId="77777777" w:rsidTr="00B5314A">
        <w:trPr>
          <w:trHeight w:val="27"/>
        </w:trPr>
        <w:tc>
          <w:tcPr>
            <w:tcW w:w="2280" w:type="dxa"/>
          </w:tcPr>
          <w:p w14:paraId="2F45D28D" w14:textId="77777777" w:rsidR="00967C7D" w:rsidRPr="00967C7D" w:rsidRDefault="00967C7D" w:rsidP="00967C7D">
            <w:pPr>
              <w:keepNext w:val="0"/>
              <w:spacing w:before="0"/>
              <w:rPr>
                <w:rFonts w:cs="Arial"/>
                <w:color w:val="auto"/>
              </w:rPr>
            </w:pPr>
            <w:r w:rsidRPr="00967C7D">
              <w:rPr>
                <w:rFonts w:cs="Arial"/>
                <w:color w:val="auto"/>
              </w:rPr>
              <w:t>EV7 Sf</w:t>
            </w:r>
          </w:p>
        </w:tc>
        <w:tc>
          <w:tcPr>
            <w:tcW w:w="3720" w:type="dxa"/>
          </w:tcPr>
          <w:p w14:paraId="24AB3DA6" w14:textId="77777777" w:rsidR="00967C7D" w:rsidRPr="00967C7D" w:rsidRDefault="00967C7D" w:rsidP="00967C7D">
            <w:pPr>
              <w:keepNext w:val="0"/>
              <w:spacing w:before="0"/>
              <w:rPr>
                <w:rFonts w:cs="Arial"/>
                <w:color w:val="auto"/>
              </w:rPr>
            </w:pPr>
            <w:r w:rsidRPr="00967C7D">
              <w:rPr>
                <w:rFonts w:cs="Arial"/>
                <w:color w:val="auto"/>
              </w:rPr>
              <w:t>Lane End</w:t>
            </w:r>
          </w:p>
        </w:tc>
        <w:tc>
          <w:tcPr>
            <w:tcW w:w="3079" w:type="dxa"/>
          </w:tcPr>
          <w:p w14:paraId="5868CC4A" w14:textId="77777777" w:rsidR="00967C7D" w:rsidRPr="00967C7D" w:rsidRDefault="00967C7D" w:rsidP="00967C7D">
            <w:pPr>
              <w:keepNext w:val="0"/>
              <w:spacing w:before="0"/>
              <w:rPr>
                <w:rFonts w:cs="Arial"/>
                <w:color w:val="auto"/>
              </w:rPr>
            </w:pPr>
            <w:r w:rsidRPr="00967C7D">
              <w:rPr>
                <w:rFonts w:cs="Arial"/>
                <w:color w:val="auto"/>
              </w:rPr>
              <w:t>Sutton</w:t>
            </w:r>
          </w:p>
        </w:tc>
      </w:tr>
      <w:tr w:rsidR="00967C7D" w:rsidRPr="00967C7D" w14:paraId="439893AA" w14:textId="77777777" w:rsidTr="00B5314A">
        <w:trPr>
          <w:trHeight w:val="27"/>
        </w:trPr>
        <w:tc>
          <w:tcPr>
            <w:tcW w:w="2280" w:type="dxa"/>
          </w:tcPr>
          <w:p w14:paraId="7F980D45" w14:textId="77777777" w:rsidR="00967C7D" w:rsidRPr="00967C7D" w:rsidRDefault="00967C7D" w:rsidP="00967C7D">
            <w:pPr>
              <w:keepNext w:val="0"/>
              <w:spacing w:before="0"/>
              <w:rPr>
                <w:rFonts w:cs="Arial"/>
                <w:color w:val="auto"/>
              </w:rPr>
            </w:pPr>
            <w:r w:rsidRPr="00967C7D">
              <w:rPr>
                <w:rFonts w:cs="Arial"/>
                <w:color w:val="auto"/>
              </w:rPr>
              <w:t>EV7 Sg</w:t>
            </w:r>
          </w:p>
        </w:tc>
        <w:tc>
          <w:tcPr>
            <w:tcW w:w="3720" w:type="dxa"/>
          </w:tcPr>
          <w:p w14:paraId="0742057C" w14:textId="77777777" w:rsidR="00967C7D" w:rsidRPr="00967C7D" w:rsidRDefault="00967C7D" w:rsidP="00967C7D">
            <w:pPr>
              <w:keepNext w:val="0"/>
              <w:spacing w:before="0"/>
              <w:rPr>
                <w:rFonts w:cs="Arial"/>
                <w:color w:val="auto"/>
              </w:rPr>
            </w:pPr>
            <w:r w:rsidRPr="00967C7D">
              <w:rPr>
                <w:rFonts w:cs="Arial"/>
                <w:color w:val="auto"/>
              </w:rPr>
              <w:t>Wharf Road</w:t>
            </w:r>
          </w:p>
        </w:tc>
        <w:tc>
          <w:tcPr>
            <w:tcW w:w="3079" w:type="dxa"/>
          </w:tcPr>
          <w:p w14:paraId="0AD90B71" w14:textId="77777777" w:rsidR="00967C7D" w:rsidRPr="00967C7D" w:rsidRDefault="00967C7D" w:rsidP="00967C7D">
            <w:pPr>
              <w:keepNext w:val="0"/>
              <w:spacing w:before="0"/>
              <w:rPr>
                <w:rFonts w:cs="Arial"/>
                <w:color w:val="auto"/>
              </w:rPr>
            </w:pPr>
            <w:r w:rsidRPr="00967C7D">
              <w:rPr>
                <w:rFonts w:cs="Arial"/>
                <w:color w:val="auto"/>
              </w:rPr>
              <w:t>Stanton Hill</w:t>
            </w:r>
          </w:p>
        </w:tc>
      </w:tr>
      <w:tr w:rsidR="00967C7D" w:rsidRPr="00967C7D" w14:paraId="0B11DBA7" w14:textId="77777777" w:rsidTr="00B5314A">
        <w:trPr>
          <w:trHeight w:val="27"/>
        </w:trPr>
        <w:tc>
          <w:tcPr>
            <w:tcW w:w="2280" w:type="dxa"/>
          </w:tcPr>
          <w:p w14:paraId="4F65C1A4" w14:textId="77777777" w:rsidR="00967C7D" w:rsidRPr="00967C7D" w:rsidRDefault="00967C7D" w:rsidP="00967C7D">
            <w:pPr>
              <w:keepNext w:val="0"/>
              <w:spacing w:before="0"/>
              <w:rPr>
                <w:rFonts w:cs="Arial"/>
                <w:color w:val="auto"/>
              </w:rPr>
            </w:pPr>
            <w:r w:rsidRPr="00967C7D">
              <w:rPr>
                <w:rFonts w:cs="Arial"/>
                <w:color w:val="auto"/>
              </w:rPr>
              <w:t xml:space="preserve">EV7 </w:t>
            </w:r>
            <w:proofErr w:type="spellStart"/>
            <w:r w:rsidRPr="00967C7D">
              <w:rPr>
                <w:rFonts w:cs="Arial"/>
                <w:color w:val="auto"/>
              </w:rPr>
              <w:t>Sh</w:t>
            </w:r>
            <w:proofErr w:type="spellEnd"/>
          </w:p>
        </w:tc>
        <w:tc>
          <w:tcPr>
            <w:tcW w:w="3720" w:type="dxa"/>
          </w:tcPr>
          <w:p w14:paraId="0DC2851A" w14:textId="77777777" w:rsidR="00967C7D" w:rsidRPr="00967C7D" w:rsidRDefault="00967C7D" w:rsidP="00967C7D">
            <w:pPr>
              <w:keepNext w:val="0"/>
              <w:spacing w:before="0"/>
              <w:rPr>
                <w:rFonts w:cs="Arial"/>
                <w:color w:val="auto"/>
              </w:rPr>
            </w:pPr>
            <w:r w:rsidRPr="00967C7D">
              <w:rPr>
                <w:rFonts w:cs="Arial"/>
                <w:color w:val="auto"/>
              </w:rPr>
              <w:t>New Lane</w:t>
            </w:r>
          </w:p>
        </w:tc>
        <w:tc>
          <w:tcPr>
            <w:tcW w:w="3079" w:type="dxa"/>
          </w:tcPr>
          <w:p w14:paraId="7A78E5B9" w14:textId="77777777" w:rsidR="00967C7D" w:rsidRPr="00967C7D" w:rsidRDefault="00967C7D" w:rsidP="00967C7D">
            <w:pPr>
              <w:keepNext w:val="0"/>
              <w:spacing w:before="0"/>
              <w:rPr>
                <w:rFonts w:cs="Arial"/>
                <w:color w:val="auto"/>
              </w:rPr>
            </w:pPr>
            <w:r w:rsidRPr="00967C7D">
              <w:rPr>
                <w:rFonts w:cs="Arial"/>
                <w:color w:val="auto"/>
              </w:rPr>
              <w:t>Stanton Hill</w:t>
            </w:r>
          </w:p>
        </w:tc>
      </w:tr>
      <w:tr w:rsidR="009442F6" w:rsidRPr="00967C7D" w14:paraId="23F779E8" w14:textId="77777777" w:rsidTr="00B5314A">
        <w:trPr>
          <w:trHeight w:val="27"/>
        </w:trPr>
        <w:tc>
          <w:tcPr>
            <w:tcW w:w="2280" w:type="dxa"/>
          </w:tcPr>
          <w:p w14:paraId="2ECA9993" w14:textId="28E0E509" w:rsidR="009442F6" w:rsidRPr="009442F6" w:rsidRDefault="009442F6" w:rsidP="00967C7D">
            <w:pPr>
              <w:keepNext w:val="0"/>
              <w:spacing w:before="0"/>
              <w:rPr>
                <w:rFonts w:cs="Arial"/>
                <w:color w:val="0070C0"/>
              </w:rPr>
            </w:pPr>
            <w:r>
              <w:rPr>
                <w:rFonts w:cs="Arial"/>
                <w:color w:val="0070C0"/>
              </w:rPr>
              <w:t>EV7 Si</w:t>
            </w:r>
          </w:p>
        </w:tc>
        <w:tc>
          <w:tcPr>
            <w:tcW w:w="3720" w:type="dxa"/>
          </w:tcPr>
          <w:p w14:paraId="2D72642F" w14:textId="25A59C6E" w:rsidR="009442F6" w:rsidRPr="009442F6" w:rsidRDefault="009442F6" w:rsidP="00967C7D">
            <w:pPr>
              <w:keepNext w:val="0"/>
              <w:spacing w:before="0"/>
              <w:rPr>
                <w:rFonts w:cs="Arial"/>
                <w:color w:val="0070C0"/>
              </w:rPr>
            </w:pPr>
            <w:r w:rsidRPr="009442F6">
              <w:rPr>
                <w:rFonts w:cs="Arial"/>
                <w:color w:val="0070C0"/>
              </w:rPr>
              <w:t>Brand Lane</w:t>
            </w:r>
          </w:p>
        </w:tc>
        <w:tc>
          <w:tcPr>
            <w:tcW w:w="3079" w:type="dxa"/>
          </w:tcPr>
          <w:p w14:paraId="187A395E" w14:textId="789446FE" w:rsidR="009442F6" w:rsidRPr="009442F6" w:rsidRDefault="009442F6" w:rsidP="00967C7D">
            <w:pPr>
              <w:keepNext w:val="0"/>
              <w:spacing w:before="0"/>
              <w:rPr>
                <w:rFonts w:cs="Arial"/>
                <w:color w:val="0070C0"/>
              </w:rPr>
            </w:pPr>
            <w:r w:rsidRPr="009442F6">
              <w:rPr>
                <w:rFonts w:cs="Arial"/>
                <w:color w:val="0070C0"/>
              </w:rPr>
              <w:t>Stanton Hill</w:t>
            </w:r>
          </w:p>
        </w:tc>
      </w:tr>
    </w:tbl>
    <w:p w14:paraId="58355C12" w14:textId="77777777" w:rsidR="00C602FD" w:rsidRDefault="00C602FD" w:rsidP="00C602FD">
      <w:pPr>
        <w:keepNext w:val="0"/>
        <w:autoSpaceDE w:val="0"/>
        <w:autoSpaceDN w:val="0"/>
        <w:adjustRightInd w:val="0"/>
        <w:spacing w:before="0"/>
        <w:rPr>
          <w:rFonts w:cs="Arial"/>
          <w:b/>
          <w:bCs/>
          <w:sz w:val="28"/>
          <w:szCs w:val="28"/>
        </w:rPr>
      </w:pPr>
    </w:p>
    <w:p w14:paraId="0AD5E1D8" w14:textId="72073842" w:rsidR="00C602FD" w:rsidRDefault="00C602FD" w:rsidP="00C602FD">
      <w:pPr>
        <w:keepNext w:val="0"/>
        <w:autoSpaceDE w:val="0"/>
        <w:autoSpaceDN w:val="0"/>
        <w:adjustRightInd w:val="0"/>
        <w:spacing w:before="0"/>
        <w:rPr>
          <w:rFonts w:cs="Arial"/>
          <w:b/>
          <w:bCs/>
          <w:sz w:val="28"/>
          <w:szCs w:val="28"/>
        </w:rPr>
      </w:pPr>
      <w:r>
        <w:rPr>
          <w:rFonts w:cs="Arial"/>
          <w:b/>
          <w:bCs/>
          <w:sz w:val="28"/>
          <w:szCs w:val="28"/>
        </w:rPr>
        <w:br w:type="page"/>
      </w:r>
    </w:p>
    <w:p w14:paraId="2CA621BA" w14:textId="121A0246" w:rsidR="00C602FD" w:rsidRPr="00C602FD" w:rsidRDefault="00C602FD" w:rsidP="00CF07B9">
      <w:pPr>
        <w:pStyle w:val="Heading1"/>
      </w:pPr>
      <w:bookmarkStart w:id="348" w:name="_Toc145511632"/>
      <w:r w:rsidRPr="00C602FD">
        <w:lastRenderedPageBreak/>
        <w:t>Appendix 10 - Policy EV9 – The Historic Environment</w:t>
      </w:r>
      <w:bookmarkEnd w:id="348"/>
    </w:p>
    <w:p w14:paraId="2A3E7DDB" w14:textId="65B2A329" w:rsidR="00C602FD" w:rsidRDefault="00C602FD" w:rsidP="005B39D2">
      <w:pPr>
        <w:keepNext w:val="0"/>
        <w:autoSpaceDE w:val="0"/>
        <w:autoSpaceDN w:val="0"/>
        <w:adjustRightInd w:val="0"/>
        <w:spacing w:before="0"/>
        <w:rPr>
          <w:rFonts w:cs="Arial"/>
          <w:b/>
          <w:bCs/>
          <w:szCs w:val="24"/>
        </w:rPr>
      </w:pPr>
    </w:p>
    <w:p w14:paraId="211EDCA0" w14:textId="77777777" w:rsidR="00B5314A" w:rsidRPr="00967C7D" w:rsidRDefault="00B5314A" w:rsidP="00B5314A">
      <w:pPr>
        <w:keepNext w:val="0"/>
        <w:spacing w:before="0"/>
        <w:ind w:left="426"/>
        <w:jc w:val="both"/>
        <w:rPr>
          <w:rFonts w:cs="Arial"/>
          <w:b/>
          <w:color w:val="auto"/>
          <w:szCs w:val="24"/>
          <w:lang w:eastAsia="en-US"/>
        </w:rPr>
      </w:pPr>
      <w:r w:rsidRPr="00967C7D">
        <w:rPr>
          <w:rFonts w:cs="Arial"/>
          <w:b/>
          <w:color w:val="auto"/>
          <w:szCs w:val="24"/>
          <w:lang w:eastAsia="en-US"/>
        </w:rPr>
        <w:t>Scheduled Monuments</w:t>
      </w:r>
    </w:p>
    <w:p w14:paraId="112A5C2D" w14:textId="77777777" w:rsidR="00B5314A" w:rsidRDefault="00B5314A" w:rsidP="005B39D2">
      <w:pPr>
        <w:keepNext w:val="0"/>
        <w:autoSpaceDE w:val="0"/>
        <w:autoSpaceDN w:val="0"/>
        <w:adjustRightInd w:val="0"/>
        <w:spacing w:before="0"/>
        <w:rPr>
          <w:rFonts w:cs="Arial"/>
          <w:b/>
          <w:bCs/>
          <w:szCs w:val="24"/>
        </w:rPr>
      </w:pPr>
    </w:p>
    <w:tbl>
      <w:tblPr>
        <w:tblStyle w:val="TableGrid3"/>
        <w:tblW w:w="8880" w:type="dxa"/>
        <w:tblInd w:w="421" w:type="dxa"/>
        <w:tblLayout w:type="fixed"/>
        <w:tblLook w:val="0020" w:firstRow="1" w:lastRow="0" w:firstColumn="0" w:lastColumn="0" w:noHBand="0" w:noVBand="0"/>
      </w:tblPr>
      <w:tblGrid>
        <w:gridCol w:w="1418"/>
        <w:gridCol w:w="7462"/>
      </w:tblGrid>
      <w:tr w:rsidR="00967C7D" w:rsidRPr="00967C7D" w14:paraId="0A8B94B6" w14:textId="77777777" w:rsidTr="00F02029">
        <w:trPr>
          <w:trHeight w:val="610"/>
        </w:trPr>
        <w:tc>
          <w:tcPr>
            <w:tcW w:w="1418" w:type="dxa"/>
            <w:shd w:val="clear" w:color="auto" w:fill="D9D9D9" w:themeFill="background1" w:themeFillShade="D9"/>
          </w:tcPr>
          <w:p w14:paraId="00D4C264" w14:textId="193EBC27" w:rsidR="00967C7D" w:rsidRPr="00967C7D" w:rsidRDefault="00F02029" w:rsidP="00967C7D">
            <w:pPr>
              <w:keepNext w:val="0"/>
              <w:spacing w:before="0"/>
              <w:rPr>
                <w:rFonts w:cs="Arial"/>
                <w:b/>
                <w:color w:val="auto"/>
              </w:rPr>
            </w:pPr>
            <w:r>
              <w:rPr>
                <w:rFonts w:cs="Arial"/>
                <w:b/>
                <w:color w:val="auto"/>
              </w:rPr>
              <w:t xml:space="preserve">Local </w:t>
            </w:r>
            <w:r w:rsidR="00967C7D" w:rsidRPr="00967C7D">
              <w:rPr>
                <w:rFonts w:cs="Arial"/>
                <w:b/>
                <w:color w:val="auto"/>
              </w:rPr>
              <w:t>Plan Ref</w:t>
            </w:r>
            <w:r>
              <w:rPr>
                <w:rFonts w:cs="Arial"/>
                <w:b/>
                <w:color w:val="auto"/>
              </w:rPr>
              <w:t>erence</w:t>
            </w:r>
            <w:r w:rsidR="00967C7D" w:rsidRPr="00967C7D">
              <w:rPr>
                <w:rFonts w:cs="Arial"/>
                <w:b/>
                <w:color w:val="auto"/>
              </w:rPr>
              <w:t xml:space="preserve"> </w:t>
            </w:r>
          </w:p>
        </w:tc>
        <w:tc>
          <w:tcPr>
            <w:tcW w:w="7462" w:type="dxa"/>
            <w:shd w:val="clear" w:color="auto" w:fill="D9D9D9" w:themeFill="background1" w:themeFillShade="D9"/>
          </w:tcPr>
          <w:p w14:paraId="7D323797" w14:textId="77777777" w:rsidR="00967C7D" w:rsidRPr="00967C7D" w:rsidRDefault="00967C7D" w:rsidP="00967C7D">
            <w:pPr>
              <w:keepNext w:val="0"/>
              <w:spacing w:before="0"/>
              <w:rPr>
                <w:rFonts w:cs="Arial"/>
                <w:b/>
                <w:color w:val="auto"/>
              </w:rPr>
            </w:pPr>
            <w:r w:rsidRPr="00967C7D">
              <w:rPr>
                <w:rFonts w:cs="Arial"/>
                <w:b/>
                <w:color w:val="auto"/>
              </w:rPr>
              <w:t>Site Name</w:t>
            </w:r>
          </w:p>
        </w:tc>
      </w:tr>
      <w:tr w:rsidR="00967C7D" w:rsidRPr="00967C7D" w14:paraId="755D920A" w14:textId="77777777" w:rsidTr="002D38F3">
        <w:trPr>
          <w:trHeight w:val="851"/>
        </w:trPr>
        <w:tc>
          <w:tcPr>
            <w:tcW w:w="1418" w:type="dxa"/>
            <w:vAlign w:val="center"/>
          </w:tcPr>
          <w:p w14:paraId="27D4D054" w14:textId="77777777" w:rsidR="00967C7D" w:rsidRPr="00967C7D" w:rsidRDefault="00967C7D" w:rsidP="00967C7D">
            <w:pPr>
              <w:keepNext w:val="0"/>
              <w:spacing w:before="0"/>
              <w:rPr>
                <w:rFonts w:cs="Arial"/>
                <w:color w:val="auto"/>
              </w:rPr>
            </w:pPr>
            <w:r w:rsidRPr="00967C7D">
              <w:rPr>
                <w:rFonts w:cs="Arial"/>
                <w:color w:val="auto"/>
              </w:rPr>
              <w:t xml:space="preserve">EV10 Aa </w:t>
            </w:r>
          </w:p>
        </w:tc>
        <w:tc>
          <w:tcPr>
            <w:tcW w:w="7462" w:type="dxa"/>
            <w:vAlign w:val="center"/>
          </w:tcPr>
          <w:p w14:paraId="2A48E190" w14:textId="77777777" w:rsidR="00967C7D" w:rsidRPr="00967C7D" w:rsidRDefault="00967C7D" w:rsidP="00967C7D">
            <w:pPr>
              <w:keepNext w:val="0"/>
              <w:spacing w:before="0"/>
              <w:rPr>
                <w:rFonts w:cs="Arial"/>
                <w:color w:val="auto"/>
              </w:rPr>
            </w:pPr>
          </w:p>
          <w:p w14:paraId="490209E2" w14:textId="77777777" w:rsidR="00967C7D" w:rsidRPr="00967C7D" w:rsidRDefault="00967C7D" w:rsidP="00967C7D">
            <w:pPr>
              <w:keepNext w:val="0"/>
              <w:spacing w:before="0"/>
              <w:rPr>
                <w:rFonts w:cs="Arial"/>
                <w:color w:val="auto"/>
              </w:rPr>
            </w:pPr>
            <w:r w:rsidRPr="00967C7D">
              <w:rPr>
                <w:rFonts w:cs="Arial"/>
                <w:color w:val="auto"/>
              </w:rPr>
              <w:t xml:space="preserve">Remains of Old Manor House, Skegby, Sutton-in-Ashfield. </w:t>
            </w:r>
          </w:p>
          <w:p w14:paraId="6E420242" w14:textId="77777777" w:rsidR="00967C7D" w:rsidRPr="00967C7D" w:rsidRDefault="00967C7D" w:rsidP="00967C7D">
            <w:pPr>
              <w:keepNext w:val="0"/>
              <w:spacing w:before="0"/>
              <w:rPr>
                <w:rFonts w:cs="Arial"/>
                <w:color w:val="auto"/>
              </w:rPr>
            </w:pPr>
          </w:p>
        </w:tc>
      </w:tr>
      <w:tr w:rsidR="00967C7D" w:rsidRPr="00967C7D" w14:paraId="247DCB6A" w14:textId="77777777" w:rsidTr="002D38F3">
        <w:trPr>
          <w:trHeight w:val="851"/>
        </w:trPr>
        <w:tc>
          <w:tcPr>
            <w:tcW w:w="1418" w:type="dxa"/>
            <w:vAlign w:val="center"/>
          </w:tcPr>
          <w:p w14:paraId="21B87169" w14:textId="77777777" w:rsidR="00967C7D" w:rsidRPr="00967C7D" w:rsidRDefault="00967C7D" w:rsidP="00967C7D">
            <w:pPr>
              <w:keepNext w:val="0"/>
              <w:spacing w:before="60" w:after="60"/>
              <w:rPr>
                <w:rFonts w:cs="Arial"/>
                <w:color w:val="auto"/>
              </w:rPr>
            </w:pPr>
            <w:r w:rsidRPr="00967C7D">
              <w:rPr>
                <w:rFonts w:cs="Arial"/>
                <w:color w:val="auto"/>
              </w:rPr>
              <w:t xml:space="preserve">EV10 Ab </w:t>
            </w:r>
          </w:p>
        </w:tc>
        <w:tc>
          <w:tcPr>
            <w:tcW w:w="7462" w:type="dxa"/>
            <w:vAlign w:val="center"/>
          </w:tcPr>
          <w:p w14:paraId="3BE392A6" w14:textId="77777777" w:rsidR="00967C7D" w:rsidRPr="00967C7D" w:rsidRDefault="00967C7D" w:rsidP="00967C7D">
            <w:pPr>
              <w:keepNext w:val="0"/>
              <w:spacing w:before="60" w:after="60"/>
              <w:rPr>
                <w:rFonts w:cs="Arial"/>
                <w:color w:val="auto"/>
              </w:rPr>
            </w:pPr>
            <w:r w:rsidRPr="00967C7D">
              <w:rPr>
                <w:rFonts w:cs="Arial"/>
                <w:color w:val="auto"/>
              </w:rPr>
              <w:t>Market Cross, Kirkby Cross, Kirkby-in-Ashfield.</w:t>
            </w:r>
          </w:p>
        </w:tc>
      </w:tr>
      <w:tr w:rsidR="00967C7D" w:rsidRPr="00967C7D" w14:paraId="74485BFD" w14:textId="77777777" w:rsidTr="002D38F3">
        <w:trPr>
          <w:trHeight w:val="851"/>
        </w:trPr>
        <w:tc>
          <w:tcPr>
            <w:tcW w:w="1418" w:type="dxa"/>
            <w:vAlign w:val="center"/>
          </w:tcPr>
          <w:p w14:paraId="08F16493" w14:textId="77777777" w:rsidR="00967C7D" w:rsidRPr="00967C7D" w:rsidRDefault="00967C7D" w:rsidP="00967C7D">
            <w:pPr>
              <w:keepNext w:val="0"/>
              <w:spacing w:before="60" w:after="60"/>
              <w:rPr>
                <w:rFonts w:cs="Arial"/>
                <w:color w:val="auto"/>
              </w:rPr>
            </w:pPr>
            <w:r w:rsidRPr="00967C7D">
              <w:rPr>
                <w:rFonts w:cs="Arial"/>
                <w:color w:val="auto"/>
              </w:rPr>
              <w:t>EV10 Ac</w:t>
            </w:r>
          </w:p>
        </w:tc>
        <w:tc>
          <w:tcPr>
            <w:tcW w:w="7462" w:type="dxa"/>
            <w:vAlign w:val="center"/>
          </w:tcPr>
          <w:p w14:paraId="2FABFE52" w14:textId="77777777" w:rsidR="00967C7D" w:rsidRPr="00967C7D" w:rsidRDefault="00967C7D" w:rsidP="00967C7D">
            <w:pPr>
              <w:keepNext w:val="0"/>
              <w:spacing w:before="60" w:after="60"/>
              <w:rPr>
                <w:rFonts w:cs="Arial"/>
                <w:color w:val="auto"/>
              </w:rPr>
            </w:pPr>
            <w:proofErr w:type="gramStart"/>
            <w:r w:rsidRPr="00967C7D">
              <w:rPr>
                <w:rFonts w:cs="Arial"/>
                <w:color w:val="auto"/>
              </w:rPr>
              <w:t>Fish Ponds</w:t>
            </w:r>
            <w:proofErr w:type="gramEnd"/>
            <w:r w:rsidRPr="00967C7D">
              <w:rPr>
                <w:rFonts w:cs="Arial"/>
                <w:color w:val="auto"/>
              </w:rPr>
              <w:t xml:space="preserve"> 220m East of St. Wilfred’s Church, Kirkby Cross, Kirkby-in- Ashfield.</w:t>
            </w:r>
          </w:p>
        </w:tc>
      </w:tr>
      <w:tr w:rsidR="00967C7D" w:rsidRPr="00967C7D" w14:paraId="718F0ED7" w14:textId="77777777" w:rsidTr="002D38F3">
        <w:trPr>
          <w:trHeight w:val="851"/>
        </w:trPr>
        <w:tc>
          <w:tcPr>
            <w:tcW w:w="1418" w:type="dxa"/>
            <w:vAlign w:val="center"/>
          </w:tcPr>
          <w:p w14:paraId="16FDEEB3" w14:textId="77777777" w:rsidR="00967C7D" w:rsidRPr="00967C7D" w:rsidRDefault="00967C7D" w:rsidP="00967C7D">
            <w:pPr>
              <w:keepNext w:val="0"/>
              <w:spacing w:before="60" w:after="60"/>
              <w:rPr>
                <w:rFonts w:cs="Arial"/>
                <w:color w:val="auto"/>
              </w:rPr>
            </w:pPr>
            <w:r w:rsidRPr="00967C7D">
              <w:rPr>
                <w:rFonts w:cs="Arial"/>
                <w:color w:val="auto"/>
              </w:rPr>
              <w:t xml:space="preserve">EV10 Ad </w:t>
            </w:r>
          </w:p>
        </w:tc>
        <w:tc>
          <w:tcPr>
            <w:tcW w:w="7462" w:type="dxa"/>
            <w:vAlign w:val="center"/>
          </w:tcPr>
          <w:p w14:paraId="26BB112F" w14:textId="77777777" w:rsidR="00967C7D" w:rsidRPr="00967C7D" w:rsidRDefault="00967C7D" w:rsidP="00967C7D">
            <w:pPr>
              <w:keepNext w:val="0"/>
              <w:spacing w:before="60" w:after="60"/>
              <w:rPr>
                <w:rFonts w:cs="Arial"/>
                <w:color w:val="auto"/>
              </w:rPr>
            </w:pPr>
            <w:r w:rsidRPr="00967C7D">
              <w:rPr>
                <w:rFonts w:cs="Arial"/>
                <w:color w:val="auto"/>
              </w:rPr>
              <w:t>Castle Hill, Annesley.</w:t>
            </w:r>
          </w:p>
        </w:tc>
      </w:tr>
      <w:tr w:rsidR="00967C7D" w:rsidRPr="00967C7D" w14:paraId="089F6CBB" w14:textId="77777777" w:rsidTr="002D38F3">
        <w:trPr>
          <w:trHeight w:val="851"/>
        </w:trPr>
        <w:tc>
          <w:tcPr>
            <w:tcW w:w="1418" w:type="dxa"/>
            <w:vAlign w:val="center"/>
          </w:tcPr>
          <w:p w14:paraId="183934FC" w14:textId="77777777" w:rsidR="00967C7D" w:rsidRPr="00967C7D" w:rsidRDefault="00967C7D" w:rsidP="00967C7D">
            <w:pPr>
              <w:keepNext w:val="0"/>
              <w:spacing w:before="60" w:after="60"/>
              <w:rPr>
                <w:rFonts w:cs="Arial"/>
                <w:color w:val="auto"/>
              </w:rPr>
            </w:pPr>
            <w:r w:rsidRPr="00967C7D">
              <w:rPr>
                <w:rFonts w:cs="Arial"/>
                <w:color w:val="auto"/>
              </w:rPr>
              <w:t>EV10 Ae</w:t>
            </w:r>
          </w:p>
        </w:tc>
        <w:tc>
          <w:tcPr>
            <w:tcW w:w="7462" w:type="dxa"/>
            <w:vAlign w:val="center"/>
          </w:tcPr>
          <w:p w14:paraId="65B26A28" w14:textId="77777777" w:rsidR="00967C7D" w:rsidRPr="00967C7D" w:rsidRDefault="00967C7D" w:rsidP="00967C7D">
            <w:pPr>
              <w:keepNext w:val="0"/>
              <w:spacing w:before="60" w:after="60"/>
              <w:rPr>
                <w:rFonts w:cs="Arial"/>
                <w:color w:val="auto"/>
              </w:rPr>
            </w:pPr>
            <w:r w:rsidRPr="00967C7D">
              <w:rPr>
                <w:rFonts w:cs="Arial"/>
                <w:color w:val="auto"/>
              </w:rPr>
              <w:t xml:space="preserve">All Saints Church, Annesley. </w:t>
            </w:r>
          </w:p>
        </w:tc>
      </w:tr>
      <w:tr w:rsidR="00967C7D" w:rsidRPr="00967C7D" w14:paraId="1839F923" w14:textId="77777777" w:rsidTr="002D38F3">
        <w:trPr>
          <w:trHeight w:val="851"/>
        </w:trPr>
        <w:tc>
          <w:tcPr>
            <w:tcW w:w="1418" w:type="dxa"/>
            <w:vAlign w:val="center"/>
          </w:tcPr>
          <w:p w14:paraId="671B007F" w14:textId="77777777" w:rsidR="00967C7D" w:rsidRPr="00967C7D" w:rsidRDefault="00967C7D" w:rsidP="00967C7D">
            <w:pPr>
              <w:keepNext w:val="0"/>
              <w:spacing w:before="60" w:after="60"/>
              <w:rPr>
                <w:rFonts w:cs="Arial"/>
                <w:color w:val="auto"/>
              </w:rPr>
            </w:pPr>
            <w:r w:rsidRPr="00967C7D">
              <w:rPr>
                <w:rFonts w:cs="Arial"/>
                <w:color w:val="auto"/>
              </w:rPr>
              <w:t xml:space="preserve">EV10 </w:t>
            </w:r>
            <w:proofErr w:type="spellStart"/>
            <w:r w:rsidRPr="00967C7D">
              <w:rPr>
                <w:rFonts w:cs="Arial"/>
                <w:color w:val="auto"/>
              </w:rPr>
              <w:t>Af</w:t>
            </w:r>
            <w:proofErr w:type="spellEnd"/>
            <w:r w:rsidRPr="00967C7D">
              <w:rPr>
                <w:rFonts w:cs="Arial"/>
                <w:color w:val="auto"/>
              </w:rPr>
              <w:t xml:space="preserve"> </w:t>
            </w:r>
          </w:p>
        </w:tc>
        <w:tc>
          <w:tcPr>
            <w:tcW w:w="7462" w:type="dxa"/>
            <w:vAlign w:val="center"/>
          </w:tcPr>
          <w:p w14:paraId="11EEFBAE" w14:textId="77777777" w:rsidR="00967C7D" w:rsidRPr="00967C7D" w:rsidRDefault="00967C7D" w:rsidP="00967C7D">
            <w:pPr>
              <w:keepNext w:val="0"/>
              <w:spacing w:before="60" w:after="60"/>
              <w:rPr>
                <w:rFonts w:cs="Arial"/>
                <w:color w:val="auto"/>
              </w:rPr>
            </w:pPr>
            <w:proofErr w:type="gramStart"/>
            <w:r w:rsidRPr="00967C7D">
              <w:rPr>
                <w:rFonts w:cs="Arial"/>
                <w:color w:val="auto"/>
              </w:rPr>
              <w:t>Fish Ponds</w:t>
            </w:r>
            <w:proofErr w:type="gramEnd"/>
            <w:r w:rsidRPr="00967C7D">
              <w:rPr>
                <w:rFonts w:cs="Arial"/>
                <w:color w:val="auto"/>
              </w:rPr>
              <w:t xml:space="preserve">, South of </w:t>
            </w:r>
            <w:proofErr w:type="spellStart"/>
            <w:r w:rsidRPr="00967C7D">
              <w:rPr>
                <w:rFonts w:cs="Arial"/>
                <w:color w:val="auto"/>
              </w:rPr>
              <w:t>Damstead</w:t>
            </w:r>
            <w:proofErr w:type="spellEnd"/>
            <w:r w:rsidRPr="00967C7D">
              <w:rPr>
                <w:rFonts w:cs="Arial"/>
                <w:color w:val="auto"/>
              </w:rPr>
              <w:t xml:space="preserve"> Farm, Annesley. </w:t>
            </w:r>
          </w:p>
        </w:tc>
      </w:tr>
      <w:tr w:rsidR="00967C7D" w:rsidRPr="00967C7D" w14:paraId="6F06F15D" w14:textId="77777777" w:rsidTr="002D38F3">
        <w:trPr>
          <w:trHeight w:val="851"/>
        </w:trPr>
        <w:tc>
          <w:tcPr>
            <w:tcW w:w="1418" w:type="dxa"/>
            <w:vAlign w:val="center"/>
          </w:tcPr>
          <w:p w14:paraId="03176CAA" w14:textId="77777777" w:rsidR="00967C7D" w:rsidRPr="00967C7D" w:rsidRDefault="00967C7D" w:rsidP="00967C7D">
            <w:pPr>
              <w:keepNext w:val="0"/>
              <w:spacing w:before="60" w:after="60"/>
              <w:rPr>
                <w:rFonts w:cs="Arial"/>
                <w:color w:val="auto"/>
              </w:rPr>
            </w:pPr>
            <w:r w:rsidRPr="00967C7D">
              <w:rPr>
                <w:rFonts w:cs="Arial"/>
                <w:color w:val="auto"/>
              </w:rPr>
              <w:t xml:space="preserve">EV10 Ag </w:t>
            </w:r>
          </w:p>
        </w:tc>
        <w:tc>
          <w:tcPr>
            <w:tcW w:w="7462" w:type="dxa"/>
            <w:vAlign w:val="center"/>
          </w:tcPr>
          <w:p w14:paraId="34B06B08" w14:textId="77777777" w:rsidR="00967C7D" w:rsidRPr="00967C7D" w:rsidRDefault="00967C7D" w:rsidP="00967C7D">
            <w:pPr>
              <w:keepNext w:val="0"/>
              <w:spacing w:before="60" w:after="60"/>
              <w:rPr>
                <w:rFonts w:cs="Arial"/>
                <w:color w:val="auto"/>
              </w:rPr>
            </w:pPr>
            <w:r w:rsidRPr="00967C7D">
              <w:rPr>
                <w:rFonts w:cs="Arial"/>
                <w:color w:val="auto"/>
              </w:rPr>
              <w:t>Castle Hill Fortified Manor, South of St Wilfred’s Church, Kirkby-in-Ashfield.</w:t>
            </w:r>
          </w:p>
        </w:tc>
      </w:tr>
      <w:tr w:rsidR="00967C7D" w:rsidRPr="00967C7D" w14:paraId="61B68A0B" w14:textId="77777777" w:rsidTr="002D38F3">
        <w:trPr>
          <w:trHeight w:val="851"/>
        </w:trPr>
        <w:tc>
          <w:tcPr>
            <w:tcW w:w="1418" w:type="dxa"/>
            <w:vAlign w:val="center"/>
          </w:tcPr>
          <w:p w14:paraId="78667D5C" w14:textId="77777777" w:rsidR="00967C7D" w:rsidRPr="00967C7D" w:rsidRDefault="00967C7D" w:rsidP="00967C7D">
            <w:pPr>
              <w:keepNext w:val="0"/>
              <w:spacing w:before="60" w:after="60"/>
              <w:rPr>
                <w:rFonts w:cs="Arial"/>
                <w:color w:val="auto"/>
              </w:rPr>
            </w:pPr>
            <w:r w:rsidRPr="00967C7D">
              <w:rPr>
                <w:rFonts w:cs="Arial"/>
                <w:color w:val="auto"/>
              </w:rPr>
              <w:t xml:space="preserve">EV10 Ah </w:t>
            </w:r>
          </w:p>
        </w:tc>
        <w:tc>
          <w:tcPr>
            <w:tcW w:w="7462" w:type="dxa"/>
            <w:vAlign w:val="center"/>
          </w:tcPr>
          <w:p w14:paraId="0EE426F0" w14:textId="77777777" w:rsidR="00967C7D" w:rsidRPr="00967C7D" w:rsidRDefault="00967C7D" w:rsidP="00967C7D">
            <w:pPr>
              <w:keepNext w:val="0"/>
              <w:spacing w:before="60" w:after="60"/>
              <w:rPr>
                <w:rFonts w:cs="Arial"/>
                <w:color w:val="auto"/>
              </w:rPr>
            </w:pPr>
            <w:r w:rsidRPr="00967C7D">
              <w:rPr>
                <w:rFonts w:cs="Arial"/>
                <w:color w:val="auto"/>
              </w:rPr>
              <w:t>Mound on Hamilton Hill, Sutton-in-Ashfield.</w:t>
            </w:r>
          </w:p>
        </w:tc>
      </w:tr>
      <w:tr w:rsidR="00967C7D" w:rsidRPr="00967C7D" w14:paraId="364915F7" w14:textId="77777777" w:rsidTr="002D38F3">
        <w:trPr>
          <w:trHeight w:val="851"/>
        </w:trPr>
        <w:tc>
          <w:tcPr>
            <w:tcW w:w="1418" w:type="dxa"/>
            <w:vAlign w:val="center"/>
          </w:tcPr>
          <w:p w14:paraId="32DAC56D" w14:textId="77777777" w:rsidR="00967C7D" w:rsidRPr="00967C7D" w:rsidRDefault="00967C7D" w:rsidP="00967C7D">
            <w:pPr>
              <w:keepNext w:val="0"/>
              <w:spacing w:before="60" w:after="60"/>
              <w:rPr>
                <w:rFonts w:cs="Arial"/>
                <w:color w:val="auto"/>
              </w:rPr>
            </w:pPr>
            <w:r w:rsidRPr="00967C7D">
              <w:rPr>
                <w:rFonts w:cs="Arial"/>
                <w:color w:val="auto"/>
              </w:rPr>
              <w:t>EV10 Ai</w:t>
            </w:r>
          </w:p>
        </w:tc>
        <w:tc>
          <w:tcPr>
            <w:tcW w:w="7462" w:type="dxa"/>
            <w:vAlign w:val="center"/>
          </w:tcPr>
          <w:p w14:paraId="0DD4C2FD" w14:textId="77777777" w:rsidR="00967C7D" w:rsidRPr="00967C7D" w:rsidRDefault="00967C7D" w:rsidP="00967C7D">
            <w:pPr>
              <w:keepNext w:val="0"/>
              <w:spacing w:before="60" w:after="60"/>
              <w:rPr>
                <w:rFonts w:cs="Arial"/>
                <w:color w:val="auto"/>
              </w:rPr>
            </w:pPr>
            <w:r w:rsidRPr="00967C7D">
              <w:rPr>
                <w:rFonts w:cs="Arial"/>
                <w:color w:val="auto"/>
              </w:rPr>
              <w:t xml:space="preserve">Wansley Hall Manorial Site, </w:t>
            </w:r>
            <w:proofErr w:type="spellStart"/>
            <w:r w:rsidRPr="00967C7D">
              <w:rPr>
                <w:rFonts w:cs="Arial"/>
                <w:color w:val="auto"/>
              </w:rPr>
              <w:t>Bagthorpe</w:t>
            </w:r>
            <w:proofErr w:type="spellEnd"/>
            <w:r w:rsidRPr="00967C7D">
              <w:rPr>
                <w:rFonts w:cs="Arial"/>
                <w:color w:val="auto"/>
              </w:rPr>
              <w:t>.</w:t>
            </w:r>
          </w:p>
        </w:tc>
      </w:tr>
    </w:tbl>
    <w:p w14:paraId="7D1278D7" w14:textId="27C7504A" w:rsidR="004466EB" w:rsidRDefault="004466EB" w:rsidP="005B39D2">
      <w:pPr>
        <w:keepNext w:val="0"/>
        <w:autoSpaceDE w:val="0"/>
        <w:autoSpaceDN w:val="0"/>
        <w:adjustRightInd w:val="0"/>
        <w:spacing w:before="0"/>
        <w:rPr>
          <w:rFonts w:cs="Arial"/>
          <w:szCs w:val="24"/>
        </w:rPr>
      </w:pPr>
    </w:p>
    <w:p w14:paraId="245FDF4E" w14:textId="77777777" w:rsidR="004466EB" w:rsidRDefault="004466EB">
      <w:pPr>
        <w:keepNext w:val="0"/>
        <w:spacing w:before="0"/>
        <w:rPr>
          <w:rFonts w:cs="Arial"/>
          <w:szCs w:val="24"/>
        </w:rPr>
      </w:pPr>
      <w:r>
        <w:rPr>
          <w:rFonts w:cs="Arial"/>
          <w:szCs w:val="24"/>
        </w:rPr>
        <w:br w:type="page"/>
      </w:r>
    </w:p>
    <w:p w14:paraId="08282872" w14:textId="77777777" w:rsidR="004466EB" w:rsidRPr="005437C6" w:rsidRDefault="004466EB" w:rsidP="00CF07B9">
      <w:pPr>
        <w:pStyle w:val="Heading1"/>
      </w:pPr>
      <w:r w:rsidRPr="005437C6">
        <w:lastRenderedPageBreak/>
        <w:t>Appendix 11 - Policy H1 – Housing allocations</w:t>
      </w:r>
    </w:p>
    <w:p w14:paraId="07A46161" w14:textId="77777777" w:rsidR="004466EB" w:rsidRPr="005437C6" w:rsidRDefault="004466EB" w:rsidP="004466EB">
      <w:pPr>
        <w:keepNext w:val="0"/>
        <w:autoSpaceDE w:val="0"/>
        <w:autoSpaceDN w:val="0"/>
        <w:adjustRightInd w:val="0"/>
        <w:spacing w:before="0"/>
        <w:rPr>
          <w:rFonts w:cs="Arial"/>
          <w:b/>
          <w:bCs/>
          <w:color w:val="0070C0"/>
          <w:szCs w:val="24"/>
        </w:rPr>
      </w:pPr>
    </w:p>
    <w:p w14:paraId="4838700C" w14:textId="77777777" w:rsidR="004466EB" w:rsidRPr="005437C6" w:rsidRDefault="004466EB" w:rsidP="004466EB">
      <w:pPr>
        <w:keepNext w:val="0"/>
        <w:spacing w:before="0"/>
        <w:ind w:left="426"/>
        <w:jc w:val="both"/>
        <w:rPr>
          <w:rFonts w:cs="Arial"/>
          <w:b/>
          <w:color w:val="0070C0"/>
          <w:szCs w:val="24"/>
          <w:lang w:eastAsia="en-US"/>
        </w:rPr>
      </w:pPr>
      <w:r w:rsidRPr="005437C6">
        <w:rPr>
          <w:rFonts w:cs="Arial"/>
          <w:b/>
          <w:color w:val="0070C0"/>
          <w:szCs w:val="24"/>
          <w:lang w:eastAsia="en-US"/>
        </w:rPr>
        <w:t>Concise Housing Site Masterplans</w:t>
      </w:r>
    </w:p>
    <w:p w14:paraId="382F63D6" w14:textId="77777777" w:rsidR="004466EB" w:rsidRPr="005437C6" w:rsidRDefault="004466EB" w:rsidP="004466EB">
      <w:pPr>
        <w:keepNext w:val="0"/>
        <w:autoSpaceDE w:val="0"/>
        <w:autoSpaceDN w:val="0"/>
        <w:adjustRightInd w:val="0"/>
        <w:spacing w:before="0"/>
        <w:rPr>
          <w:rFonts w:cs="Arial"/>
          <w:b/>
          <w:bCs/>
          <w:color w:val="0070C0"/>
          <w:szCs w:val="24"/>
        </w:rPr>
      </w:pPr>
    </w:p>
    <w:tbl>
      <w:tblPr>
        <w:tblStyle w:val="TableGrid3"/>
        <w:tblW w:w="8880" w:type="dxa"/>
        <w:tblInd w:w="421" w:type="dxa"/>
        <w:tblLayout w:type="fixed"/>
        <w:tblLook w:val="0020" w:firstRow="1" w:lastRow="0" w:firstColumn="0" w:lastColumn="0" w:noHBand="0" w:noVBand="0"/>
      </w:tblPr>
      <w:tblGrid>
        <w:gridCol w:w="1418"/>
        <w:gridCol w:w="7462"/>
      </w:tblGrid>
      <w:tr w:rsidR="005437C6" w:rsidRPr="005437C6" w14:paraId="32BBC780" w14:textId="77777777">
        <w:trPr>
          <w:trHeight w:val="610"/>
        </w:trPr>
        <w:tc>
          <w:tcPr>
            <w:tcW w:w="1418" w:type="dxa"/>
            <w:shd w:val="clear" w:color="auto" w:fill="D9D9D9" w:themeFill="background1" w:themeFillShade="D9"/>
          </w:tcPr>
          <w:p w14:paraId="0D15DCAA" w14:textId="77777777" w:rsidR="004466EB" w:rsidRPr="00E56F9C" w:rsidRDefault="004466EB">
            <w:pPr>
              <w:keepNext w:val="0"/>
              <w:spacing w:before="0"/>
              <w:rPr>
                <w:rFonts w:cs="Arial"/>
                <w:b/>
                <w:color w:val="005EAC"/>
              </w:rPr>
            </w:pPr>
            <w:r w:rsidRPr="00E56F9C">
              <w:rPr>
                <w:rFonts w:cs="Arial"/>
                <w:b/>
                <w:color w:val="005EAC"/>
              </w:rPr>
              <w:t xml:space="preserve">Local Plan Reference </w:t>
            </w:r>
          </w:p>
        </w:tc>
        <w:tc>
          <w:tcPr>
            <w:tcW w:w="7462" w:type="dxa"/>
            <w:shd w:val="clear" w:color="auto" w:fill="D9D9D9" w:themeFill="background1" w:themeFillShade="D9"/>
          </w:tcPr>
          <w:p w14:paraId="1ABF2A05" w14:textId="77777777" w:rsidR="004466EB" w:rsidRPr="00E56F9C" w:rsidRDefault="004466EB">
            <w:pPr>
              <w:keepNext w:val="0"/>
              <w:spacing w:before="0"/>
              <w:rPr>
                <w:rFonts w:cs="Arial"/>
                <w:b/>
                <w:color w:val="005EAC"/>
              </w:rPr>
            </w:pPr>
            <w:r w:rsidRPr="00E56F9C">
              <w:rPr>
                <w:rFonts w:cs="Arial"/>
                <w:b/>
                <w:color w:val="005EAC"/>
              </w:rPr>
              <w:t>Site Name</w:t>
            </w:r>
          </w:p>
        </w:tc>
      </w:tr>
      <w:tr w:rsidR="005437C6" w:rsidRPr="005437C6" w14:paraId="6C1E121A" w14:textId="77777777">
        <w:trPr>
          <w:trHeight w:val="851"/>
        </w:trPr>
        <w:tc>
          <w:tcPr>
            <w:tcW w:w="1418" w:type="dxa"/>
            <w:vAlign w:val="center"/>
          </w:tcPr>
          <w:p w14:paraId="3310EC98" w14:textId="77777777" w:rsidR="004466EB" w:rsidRPr="005437C6" w:rsidRDefault="004466EB">
            <w:pPr>
              <w:keepNext w:val="0"/>
              <w:spacing w:before="60" w:after="60"/>
              <w:rPr>
                <w:rFonts w:cs="Arial"/>
                <w:color w:val="0070C0"/>
              </w:rPr>
            </w:pPr>
            <w:r w:rsidRPr="005437C6">
              <w:rPr>
                <w:rFonts w:cs="Arial"/>
                <w:color w:val="0070C0"/>
              </w:rPr>
              <w:t xml:space="preserve"> H1Hc</w:t>
            </w:r>
          </w:p>
        </w:tc>
        <w:tc>
          <w:tcPr>
            <w:tcW w:w="7462" w:type="dxa"/>
            <w:vAlign w:val="center"/>
          </w:tcPr>
          <w:p w14:paraId="2B5161B4" w14:textId="77777777" w:rsidR="004466EB" w:rsidRPr="005437C6" w:rsidRDefault="004466EB">
            <w:pPr>
              <w:keepNext w:val="0"/>
              <w:spacing w:before="60" w:after="60"/>
              <w:rPr>
                <w:rFonts w:cs="Arial"/>
                <w:color w:val="0070C0"/>
              </w:rPr>
            </w:pPr>
            <w:r w:rsidRPr="005437C6">
              <w:rPr>
                <w:rFonts w:cs="Arial"/>
                <w:color w:val="0070C0"/>
              </w:rPr>
              <w:t>Land north of A611 / South of Broomhill Farm, Hucknall</w:t>
            </w:r>
          </w:p>
        </w:tc>
      </w:tr>
      <w:tr w:rsidR="005437C6" w:rsidRPr="005437C6" w14:paraId="668959B1" w14:textId="77777777">
        <w:trPr>
          <w:trHeight w:val="851"/>
        </w:trPr>
        <w:tc>
          <w:tcPr>
            <w:tcW w:w="1418" w:type="dxa"/>
            <w:vAlign w:val="center"/>
          </w:tcPr>
          <w:p w14:paraId="58A955DF" w14:textId="7CD4BC48" w:rsidR="004466EB" w:rsidRPr="005437C6" w:rsidRDefault="00E44687">
            <w:pPr>
              <w:keepNext w:val="0"/>
              <w:spacing w:before="60" w:after="60"/>
              <w:rPr>
                <w:rFonts w:cs="Arial"/>
                <w:color w:val="0070C0"/>
              </w:rPr>
            </w:pPr>
            <w:r>
              <w:rPr>
                <w:rFonts w:cs="Arial"/>
                <w:color w:val="0070C0"/>
              </w:rPr>
              <w:t xml:space="preserve"> </w:t>
            </w:r>
            <w:r w:rsidR="004466EB" w:rsidRPr="005437C6">
              <w:rPr>
                <w:rFonts w:cs="Arial"/>
                <w:color w:val="0070C0"/>
              </w:rPr>
              <w:t>H1Hd</w:t>
            </w:r>
          </w:p>
        </w:tc>
        <w:tc>
          <w:tcPr>
            <w:tcW w:w="7462" w:type="dxa"/>
            <w:vAlign w:val="center"/>
          </w:tcPr>
          <w:p w14:paraId="73503189" w14:textId="77777777" w:rsidR="004466EB" w:rsidRPr="005437C6" w:rsidRDefault="004466EB">
            <w:pPr>
              <w:keepNext w:val="0"/>
              <w:spacing w:before="60" w:after="60"/>
              <w:rPr>
                <w:rFonts w:cs="Arial"/>
                <w:color w:val="0070C0"/>
              </w:rPr>
            </w:pPr>
            <w:r w:rsidRPr="005437C6">
              <w:rPr>
                <w:rFonts w:cs="Arial"/>
                <w:color w:val="0070C0"/>
              </w:rPr>
              <w:t xml:space="preserve">Land adjoining Stubbing Wood Farm, </w:t>
            </w:r>
            <w:proofErr w:type="spellStart"/>
            <w:r w:rsidRPr="005437C6">
              <w:rPr>
                <w:rFonts w:cs="Arial"/>
                <w:color w:val="0070C0"/>
              </w:rPr>
              <w:t>Watnall</w:t>
            </w:r>
            <w:proofErr w:type="spellEnd"/>
            <w:r w:rsidRPr="005437C6">
              <w:rPr>
                <w:rFonts w:cs="Arial"/>
                <w:color w:val="0070C0"/>
              </w:rPr>
              <w:t xml:space="preserve"> Road, Hucknall</w:t>
            </w:r>
          </w:p>
        </w:tc>
      </w:tr>
      <w:tr w:rsidR="005437C6" w:rsidRPr="005437C6" w14:paraId="02CDFD06" w14:textId="77777777">
        <w:trPr>
          <w:trHeight w:val="851"/>
        </w:trPr>
        <w:tc>
          <w:tcPr>
            <w:tcW w:w="1418" w:type="dxa"/>
            <w:vAlign w:val="center"/>
          </w:tcPr>
          <w:p w14:paraId="3E42BE22" w14:textId="08480581" w:rsidR="004466EB" w:rsidRPr="005437C6" w:rsidRDefault="00E44687">
            <w:pPr>
              <w:keepNext w:val="0"/>
              <w:spacing w:before="60" w:after="60"/>
              <w:rPr>
                <w:rFonts w:cs="Arial"/>
                <w:color w:val="0070C0"/>
              </w:rPr>
            </w:pPr>
            <w:r>
              <w:rPr>
                <w:rFonts w:cs="Arial"/>
                <w:color w:val="0070C0"/>
              </w:rPr>
              <w:t xml:space="preserve"> </w:t>
            </w:r>
            <w:r w:rsidR="004466EB" w:rsidRPr="005437C6">
              <w:rPr>
                <w:rFonts w:cs="Arial"/>
                <w:color w:val="0070C0"/>
              </w:rPr>
              <w:t>H1Si</w:t>
            </w:r>
          </w:p>
        </w:tc>
        <w:tc>
          <w:tcPr>
            <w:tcW w:w="7462" w:type="dxa"/>
            <w:vAlign w:val="center"/>
          </w:tcPr>
          <w:p w14:paraId="2184E83C" w14:textId="77777777" w:rsidR="004466EB" w:rsidRPr="005437C6" w:rsidRDefault="004466EB">
            <w:pPr>
              <w:keepNext w:val="0"/>
              <w:spacing w:before="60" w:after="60"/>
              <w:rPr>
                <w:rFonts w:cs="Arial"/>
                <w:color w:val="0070C0"/>
              </w:rPr>
            </w:pPr>
            <w:r w:rsidRPr="005437C6">
              <w:rPr>
                <w:rFonts w:cs="Arial"/>
                <w:color w:val="0070C0"/>
              </w:rPr>
              <w:t>Rear Kingsmill Hospital</w:t>
            </w:r>
          </w:p>
        </w:tc>
      </w:tr>
      <w:tr w:rsidR="005437C6" w:rsidRPr="005437C6" w14:paraId="308B8B1C" w14:textId="77777777">
        <w:trPr>
          <w:trHeight w:val="851"/>
        </w:trPr>
        <w:tc>
          <w:tcPr>
            <w:tcW w:w="1418" w:type="dxa"/>
            <w:vAlign w:val="center"/>
          </w:tcPr>
          <w:p w14:paraId="33707DA3" w14:textId="4E07D657" w:rsidR="004466EB" w:rsidRPr="005437C6" w:rsidRDefault="00E44687">
            <w:pPr>
              <w:keepNext w:val="0"/>
              <w:spacing w:before="60" w:after="60"/>
              <w:rPr>
                <w:rFonts w:cs="Arial"/>
                <w:color w:val="0070C0"/>
              </w:rPr>
            </w:pPr>
            <w:r>
              <w:rPr>
                <w:rFonts w:cs="Arial"/>
                <w:color w:val="0070C0"/>
              </w:rPr>
              <w:t xml:space="preserve"> </w:t>
            </w:r>
            <w:r w:rsidR="004466EB" w:rsidRPr="005437C6">
              <w:rPr>
                <w:rFonts w:cs="Arial"/>
                <w:color w:val="0070C0"/>
              </w:rPr>
              <w:t>H1Sk</w:t>
            </w:r>
          </w:p>
        </w:tc>
        <w:tc>
          <w:tcPr>
            <w:tcW w:w="7462" w:type="dxa"/>
            <w:vAlign w:val="center"/>
          </w:tcPr>
          <w:p w14:paraId="7D90A15E" w14:textId="77777777" w:rsidR="004466EB" w:rsidRPr="005437C6" w:rsidRDefault="004466EB">
            <w:pPr>
              <w:keepNext w:val="0"/>
              <w:spacing w:before="60" w:after="60"/>
              <w:rPr>
                <w:rFonts w:cs="Arial"/>
                <w:color w:val="0070C0"/>
              </w:rPr>
            </w:pPr>
            <w:r w:rsidRPr="005437C6">
              <w:rPr>
                <w:rFonts w:cs="Arial"/>
                <w:color w:val="0070C0"/>
              </w:rPr>
              <w:t>Sunnyside Farm, Blackwell Road, Huthwaite</w:t>
            </w:r>
          </w:p>
        </w:tc>
      </w:tr>
      <w:tr w:rsidR="005437C6" w:rsidRPr="005437C6" w14:paraId="02AF5FF3" w14:textId="77777777">
        <w:trPr>
          <w:trHeight w:val="851"/>
        </w:trPr>
        <w:tc>
          <w:tcPr>
            <w:tcW w:w="1418" w:type="dxa"/>
            <w:vAlign w:val="center"/>
          </w:tcPr>
          <w:p w14:paraId="746483AA" w14:textId="1DB6B574" w:rsidR="004466EB" w:rsidRPr="005437C6" w:rsidRDefault="00E44687">
            <w:pPr>
              <w:keepNext w:val="0"/>
              <w:spacing w:before="60" w:after="60"/>
              <w:rPr>
                <w:rFonts w:cs="Arial"/>
                <w:color w:val="0070C0"/>
              </w:rPr>
            </w:pPr>
            <w:r>
              <w:rPr>
                <w:rFonts w:cs="Arial"/>
                <w:color w:val="0070C0"/>
              </w:rPr>
              <w:t xml:space="preserve"> </w:t>
            </w:r>
            <w:r w:rsidR="004466EB" w:rsidRPr="005437C6">
              <w:rPr>
                <w:rFonts w:cs="Arial"/>
                <w:color w:val="0070C0"/>
              </w:rPr>
              <w:t>H1Ss</w:t>
            </w:r>
          </w:p>
        </w:tc>
        <w:tc>
          <w:tcPr>
            <w:tcW w:w="7462" w:type="dxa"/>
            <w:vAlign w:val="center"/>
          </w:tcPr>
          <w:p w14:paraId="4F1C106F" w14:textId="77777777" w:rsidR="004466EB" w:rsidRPr="005437C6" w:rsidRDefault="004466EB">
            <w:pPr>
              <w:keepNext w:val="0"/>
              <w:spacing w:before="60" w:after="60"/>
              <w:rPr>
                <w:rFonts w:cs="Arial"/>
                <w:color w:val="0070C0"/>
              </w:rPr>
            </w:pPr>
            <w:r w:rsidRPr="005437C6">
              <w:rPr>
                <w:rFonts w:cs="Arial"/>
                <w:color w:val="0070C0"/>
              </w:rPr>
              <w:t>Land East of A6075 Beck Lane, Skegby</w:t>
            </w:r>
          </w:p>
        </w:tc>
      </w:tr>
    </w:tbl>
    <w:p w14:paraId="1D0096CA" w14:textId="77777777" w:rsidR="004466EB" w:rsidRPr="005437C6" w:rsidRDefault="004466EB" w:rsidP="004466EB">
      <w:pPr>
        <w:keepNext w:val="0"/>
        <w:autoSpaceDE w:val="0"/>
        <w:autoSpaceDN w:val="0"/>
        <w:adjustRightInd w:val="0"/>
        <w:spacing w:before="0"/>
        <w:rPr>
          <w:rFonts w:cs="Arial"/>
          <w:color w:val="0070C0"/>
          <w:szCs w:val="24"/>
        </w:rPr>
      </w:pPr>
    </w:p>
    <w:p w14:paraId="3AA58EFD" w14:textId="77777777" w:rsidR="004466EB" w:rsidRPr="005437C6" w:rsidRDefault="004466EB" w:rsidP="004466EB">
      <w:pPr>
        <w:keepNext w:val="0"/>
        <w:autoSpaceDE w:val="0"/>
        <w:autoSpaceDN w:val="0"/>
        <w:adjustRightInd w:val="0"/>
        <w:spacing w:before="0"/>
        <w:rPr>
          <w:rFonts w:cs="Arial"/>
          <w:color w:val="0070C0"/>
          <w:szCs w:val="24"/>
        </w:rPr>
      </w:pPr>
    </w:p>
    <w:p w14:paraId="7C6B54F3" w14:textId="77777777" w:rsidR="004466EB" w:rsidRPr="005437C6" w:rsidRDefault="004466EB" w:rsidP="004466EB">
      <w:pPr>
        <w:pStyle w:val="ListParagraph"/>
        <w:autoSpaceDE w:val="0"/>
        <w:autoSpaceDN w:val="0"/>
        <w:adjustRightInd w:val="0"/>
        <w:rPr>
          <w:rFonts w:cs="Arial"/>
          <w:b/>
          <w:bCs/>
          <w:color w:val="0070C0"/>
          <w:szCs w:val="24"/>
        </w:rPr>
      </w:pPr>
    </w:p>
    <w:p w14:paraId="3CA6F4B3" w14:textId="77777777" w:rsidR="004466EB" w:rsidRPr="005437C6" w:rsidRDefault="004466EB" w:rsidP="004466EB">
      <w:pPr>
        <w:autoSpaceDE w:val="0"/>
        <w:autoSpaceDN w:val="0"/>
        <w:adjustRightInd w:val="0"/>
        <w:rPr>
          <w:rFonts w:cs="Arial"/>
          <w:color w:val="0070C0"/>
          <w:szCs w:val="24"/>
        </w:rPr>
        <w:sectPr w:rsidR="004466EB" w:rsidRPr="005437C6" w:rsidSect="004466EB">
          <w:headerReference w:type="default" r:id="rId100"/>
          <w:footerReference w:type="default" r:id="rId101"/>
          <w:pgSz w:w="11906" w:h="16838" w:code="9"/>
          <w:pgMar w:top="1258" w:right="1133" w:bottom="1079" w:left="1134" w:header="709" w:footer="709" w:gutter="0"/>
          <w:cols w:space="708"/>
          <w:docGrid w:linePitch="360"/>
        </w:sectPr>
      </w:pPr>
    </w:p>
    <w:p w14:paraId="6C064BC5" w14:textId="77777777" w:rsidR="004466EB" w:rsidRPr="005437C6" w:rsidRDefault="004466EB" w:rsidP="004466EB">
      <w:pPr>
        <w:keepNext w:val="0"/>
        <w:autoSpaceDE w:val="0"/>
        <w:autoSpaceDN w:val="0"/>
        <w:adjustRightInd w:val="0"/>
        <w:spacing w:before="0"/>
        <w:rPr>
          <w:rFonts w:cs="Arial"/>
          <w:b/>
          <w:bCs/>
          <w:color w:val="0070C0"/>
          <w:szCs w:val="24"/>
        </w:rPr>
      </w:pPr>
    </w:p>
    <w:p w14:paraId="4895AF1D"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t>Residential Masterplan</w:t>
      </w:r>
    </w:p>
    <w:p w14:paraId="316BD0C4"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t xml:space="preserve">H1Hb - </w:t>
      </w:r>
      <w:proofErr w:type="spellStart"/>
      <w:r w:rsidRPr="005437C6">
        <w:rPr>
          <w:rFonts w:eastAsia="Calibri" w:cs="Arial"/>
          <w:b/>
          <w:bCs/>
          <w:color w:val="0070C0"/>
          <w:szCs w:val="24"/>
          <w:lang w:eastAsia="en-US"/>
        </w:rPr>
        <w:t>Linby</w:t>
      </w:r>
      <w:proofErr w:type="spellEnd"/>
      <w:r w:rsidRPr="005437C6">
        <w:rPr>
          <w:rFonts w:eastAsia="Calibri" w:cs="Arial"/>
          <w:b/>
          <w:bCs/>
          <w:color w:val="0070C0"/>
          <w:szCs w:val="24"/>
          <w:lang w:eastAsia="en-US"/>
        </w:rPr>
        <w:t xml:space="preserve"> Boarding Kennels, East of Church Lane</w:t>
      </w:r>
    </w:p>
    <w:p w14:paraId="1034B1E4"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509944A1" w14:textId="77777777" w:rsidR="004466EB" w:rsidRPr="005437C6" w:rsidRDefault="004466EB" w:rsidP="004466EB">
      <w:pPr>
        <w:keepNext w:val="0"/>
        <w:spacing w:before="0" w:after="160" w:line="276" w:lineRule="auto"/>
        <w:jc w:val="both"/>
        <w:rPr>
          <w:rFonts w:eastAsia="Calibri" w:cs="Arial"/>
          <w:color w:val="0070C0"/>
          <w:szCs w:val="24"/>
          <w:lang w:eastAsia="en-US"/>
        </w:rPr>
      </w:pPr>
      <w:r w:rsidRPr="005437C6">
        <w:rPr>
          <w:rFonts w:eastAsia="Calibri" w:cs="Arial"/>
          <w:color w:val="0070C0"/>
          <w:szCs w:val="24"/>
          <w:lang w:eastAsia="en-US"/>
        </w:rPr>
        <w:t xml:space="preserve">This concise masterplan is intended to help guide the design of future development alongside the Local Plan and Neighbourhood Plan policies, and relevant Supplementary Planning Documents (SPDs) / Council Guidance Notes. </w:t>
      </w:r>
    </w:p>
    <w:p w14:paraId="22EAB54C"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2139F22A"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color w:val="0070C0"/>
          <w:szCs w:val="24"/>
          <w:lang w:eastAsia="en-US"/>
        </w:rPr>
        <w:t>Site Location and Surrounding Area</w:t>
      </w:r>
    </w:p>
    <w:tbl>
      <w:tblPr>
        <w:tblStyle w:val="TableGrid1"/>
        <w:tblW w:w="0" w:type="auto"/>
        <w:tblLook w:val="04A0" w:firstRow="1" w:lastRow="0" w:firstColumn="1" w:lastColumn="0" w:noHBand="0" w:noVBand="1"/>
      </w:tblPr>
      <w:tblGrid>
        <w:gridCol w:w="1865"/>
        <w:gridCol w:w="2884"/>
        <w:gridCol w:w="2369"/>
        <w:gridCol w:w="2511"/>
      </w:tblGrid>
      <w:tr w:rsidR="005437C6" w:rsidRPr="005437C6" w14:paraId="7A901CCF" w14:textId="77777777">
        <w:trPr>
          <w:trHeight w:val="514"/>
        </w:trPr>
        <w:tc>
          <w:tcPr>
            <w:tcW w:w="2003" w:type="dxa"/>
            <w:shd w:val="clear" w:color="auto" w:fill="D9D9D9"/>
          </w:tcPr>
          <w:p w14:paraId="470BE8A9"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Name: </w:t>
            </w:r>
          </w:p>
        </w:tc>
        <w:tc>
          <w:tcPr>
            <w:tcW w:w="3095" w:type="dxa"/>
          </w:tcPr>
          <w:p w14:paraId="2EE96619" w14:textId="77777777" w:rsidR="004466EB" w:rsidRPr="005437C6" w:rsidRDefault="004466EB">
            <w:pPr>
              <w:keepNext w:val="0"/>
              <w:spacing w:before="0" w:line="276" w:lineRule="auto"/>
              <w:rPr>
                <w:rFonts w:cs="Arial"/>
                <w:b/>
                <w:bCs/>
                <w:color w:val="0070C0"/>
                <w:szCs w:val="24"/>
              </w:rPr>
            </w:pPr>
            <w:proofErr w:type="spellStart"/>
            <w:r w:rsidRPr="005437C6">
              <w:rPr>
                <w:rFonts w:cs="Arial"/>
                <w:color w:val="0070C0"/>
                <w:szCs w:val="24"/>
              </w:rPr>
              <w:t>Linby</w:t>
            </w:r>
            <w:proofErr w:type="spellEnd"/>
            <w:r w:rsidRPr="005437C6">
              <w:rPr>
                <w:rFonts w:cs="Arial"/>
                <w:color w:val="0070C0"/>
                <w:szCs w:val="24"/>
              </w:rPr>
              <w:t xml:space="preserve"> Boarding Kennels</w:t>
            </w:r>
          </w:p>
        </w:tc>
        <w:tc>
          <w:tcPr>
            <w:tcW w:w="2466" w:type="dxa"/>
            <w:shd w:val="clear" w:color="auto" w:fill="D9D9D9"/>
          </w:tcPr>
          <w:p w14:paraId="4AFEAA98"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Allocation Ref:  </w:t>
            </w:r>
          </w:p>
        </w:tc>
        <w:tc>
          <w:tcPr>
            <w:tcW w:w="2178" w:type="dxa"/>
          </w:tcPr>
          <w:p w14:paraId="26E35712"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H1Hb</w:t>
            </w:r>
          </w:p>
        </w:tc>
      </w:tr>
      <w:tr w:rsidR="005437C6" w:rsidRPr="005437C6" w14:paraId="39A31C33" w14:textId="77777777">
        <w:trPr>
          <w:trHeight w:val="619"/>
        </w:trPr>
        <w:tc>
          <w:tcPr>
            <w:tcW w:w="2003" w:type="dxa"/>
            <w:shd w:val="clear" w:color="auto" w:fill="D9D9D9"/>
          </w:tcPr>
          <w:p w14:paraId="05AE3826"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Total Area:  </w:t>
            </w:r>
          </w:p>
        </w:tc>
        <w:tc>
          <w:tcPr>
            <w:tcW w:w="3095" w:type="dxa"/>
          </w:tcPr>
          <w:p w14:paraId="07ACC287" w14:textId="77777777" w:rsidR="004466EB" w:rsidRPr="005437C6" w:rsidRDefault="004466EB">
            <w:pPr>
              <w:keepNext w:val="0"/>
              <w:spacing w:before="0" w:line="276" w:lineRule="auto"/>
              <w:rPr>
                <w:rFonts w:cs="Arial"/>
                <w:color w:val="0070C0"/>
                <w:szCs w:val="24"/>
              </w:rPr>
            </w:pPr>
            <w:r w:rsidRPr="005437C6">
              <w:rPr>
                <w:rFonts w:cs="Arial"/>
                <w:color w:val="0070C0"/>
                <w:szCs w:val="24"/>
              </w:rPr>
              <w:t>3.32ha</w:t>
            </w:r>
          </w:p>
        </w:tc>
        <w:tc>
          <w:tcPr>
            <w:tcW w:w="2466" w:type="dxa"/>
            <w:shd w:val="clear" w:color="auto" w:fill="D9D9D9"/>
          </w:tcPr>
          <w:p w14:paraId="09AF7BC7"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Net Residential Development Area:  </w:t>
            </w:r>
          </w:p>
        </w:tc>
        <w:tc>
          <w:tcPr>
            <w:tcW w:w="2178" w:type="dxa"/>
          </w:tcPr>
          <w:p w14:paraId="2C2C46C1" w14:textId="77777777" w:rsidR="004466EB" w:rsidRPr="005437C6" w:rsidRDefault="004466EB">
            <w:pPr>
              <w:keepNext w:val="0"/>
              <w:spacing w:before="0" w:line="276" w:lineRule="auto"/>
              <w:rPr>
                <w:rFonts w:cs="Arial"/>
                <w:color w:val="0070C0"/>
                <w:szCs w:val="24"/>
              </w:rPr>
            </w:pPr>
            <w:r w:rsidRPr="005437C6">
              <w:rPr>
                <w:rFonts w:cs="Arial"/>
                <w:color w:val="0070C0"/>
                <w:szCs w:val="24"/>
              </w:rPr>
              <w:t>1.44ha</w:t>
            </w:r>
          </w:p>
        </w:tc>
      </w:tr>
      <w:tr w:rsidR="005437C6" w:rsidRPr="005437C6" w14:paraId="30D1648E" w14:textId="77777777">
        <w:trPr>
          <w:trHeight w:val="619"/>
        </w:trPr>
        <w:tc>
          <w:tcPr>
            <w:tcW w:w="2003" w:type="dxa"/>
            <w:shd w:val="clear" w:color="auto" w:fill="D9D9D9"/>
          </w:tcPr>
          <w:p w14:paraId="417DB24F"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OS Grid Ref:  </w:t>
            </w:r>
          </w:p>
        </w:tc>
        <w:tc>
          <w:tcPr>
            <w:tcW w:w="3095" w:type="dxa"/>
          </w:tcPr>
          <w:p w14:paraId="0E2E5C1D" w14:textId="77777777" w:rsidR="004466EB" w:rsidRPr="005437C6" w:rsidRDefault="004466EB">
            <w:pPr>
              <w:keepNext w:val="0"/>
              <w:spacing w:before="0" w:line="276" w:lineRule="auto"/>
              <w:rPr>
                <w:rFonts w:cs="Arial"/>
                <w:color w:val="0070C0"/>
                <w:szCs w:val="24"/>
              </w:rPr>
            </w:pPr>
            <w:r w:rsidRPr="005437C6">
              <w:rPr>
                <w:rFonts w:cs="Arial"/>
                <w:color w:val="0070C0"/>
                <w:szCs w:val="24"/>
              </w:rPr>
              <w:t>453707.78, 350644.598</w:t>
            </w:r>
          </w:p>
        </w:tc>
        <w:tc>
          <w:tcPr>
            <w:tcW w:w="2466" w:type="dxa"/>
            <w:shd w:val="clear" w:color="auto" w:fill="D9D9D9"/>
          </w:tcPr>
          <w:p w14:paraId="23908F17"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Potential Yield:  </w:t>
            </w:r>
          </w:p>
        </w:tc>
        <w:tc>
          <w:tcPr>
            <w:tcW w:w="2178" w:type="dxa"/>
          </w:tcPr>
          <w:p w14:paraId="7BCE34ED"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43 dwellings</w:t>
            </w:r>
          </w:p>
        </w:tc>
      </w:tr>
      <w:tr w:rsidR="005437C6" w:rsidRPr="005437C6" w14:paraId="2BCFD657" w14:textId="77777777">
        <w:trPr>
          <w:trHeight w:val="619"/>
        </w:trPr>
        <w:tc>
          <w:tcPr>
            <w:tcW w:w="2003" w:type="dxa"/>
            <w:shd w:val="clear" w:color="auto" w:fill="D9D9D9"/>
          </w:tcPr>
          <w:p w14:paraId="6C0B6A2F"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Ward:  </w:t>
            </w:r>
          </w:p>
        </w:tc>
        <w:tc>
          <w:tcPr>
            <w:tcW w:w="3095" w:type="dxa"/>
          </w:tcPr>
          <w:p w14:paraId="0CF57BAC" w14:textId="77777777" w:rsidR="004466EB" w:rsidRPr="005437C6" w:rsidRDefault="004466EB">
            <w:pPr>
              <w:keepNext w:val="0"/>
              <w:spacing w:before="0" w:line="276" w:lineRule="auto"/>
              <w:rPr>
                <w:rFonts w:cs="Arial"/>
                <w:color w:val="0070C0"/>
                <w:szCs w:val="24"/>
              </w:rPr>
            </w:pPr>
            <w:r w:rsidRPr="005437C6">
              <w:rPr>
                <w:rFonts w:cs="Arial"/>
                <w:color w:val="0070C0"/>
                <w:szCs w:val="24"/>
              </w:rPr>
              <w:t>Hucknall North</w:t>
            </w:r>
          </w:p>
        </w:tc>
        <w:tc>
          <w:tcPr>
            <w:tcW w:w="2466" w:type="dxa"/>
            <w:shd w:val="clear" w:color="auto" w:fill="D9D9D9"/>
          </w:tcPr>
          <w:p w14:paraId="40962CDB"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Greenfield/ Brownfield:  </w:t>
            </w:r>
          </w:p>
        </w:tc>
        <w:tc>
          <w:tcPr>
            <w:tcW w:w="2178" w:type="dxa"/>
          </w:tcPr>
          <w:p w14:paraId="5C43B050"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Brownfield/Greenfield</w:t>
            </w:r>
          </w:p>
        </w:tc>
      </w:tr>
    </w:tbl>
    <w:p w14:paraId="5F5E82F2"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47D278B9"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noProof/>
          <w:color w:val="0070C0"/>
          <w:szCs w:val="22"/>
          <w:lang w:eastAsia="en-US"/>
        </w:rPr>
        <w:drawing>
          <wp:inline distT="0" distB="0" distL="0" distR="0" wp14:anchorId="799B316A" wp14:editId="51C3B33B">
            <wp:extent cx="5970588" cy="4219575"/>
            <wp:effectExtent l="0" t="0" r="0" b="0"/>
            <wp:docPr id="15494821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82167" name="Picture 1">
                      <a:extLst>
                        <a:ext uri="{C183D7F6-B498-43B3-948B-1728B52AA6E4}">
                          <adec:decorative xmlns:adec="http://schemas.microsoft.com/office/drawing/2017/decorative" val="1"/>
                        </a:ext>
                      </a:extLs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74508" cy="4222346"/>
                    </a:xfrm>
                    <a:prstGeom prst="rect">
                      <a:avLst/>
                    </a:prstGeom>
                    <a:noFill/>
                    <a:ln>
                      <a:noFill/>
                    </a:ln>
                  </pic:spPr>
                </pic:pic>
              </a:graphicData>
            </a:graphic>
          </wp:inline>
        </w:drawing>
      </w:r>
    </w:p>
    <w:p w14:paraId="706E1FE1"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4BC9F04D" w14:textId="77777777" w:rsidR="004466EB" w:rsidRPr="005437C6" w:rsidRDefault="004466EB" w:rsidP="004466EB">
      <w:pPr>
        <w:keepNext w:val="0"/>
        <w:spacing w:before="0" w:after="160" w:line="276" w:lineRule="auto"/>
        <w:rPr>
          <w:rFonts w:eastAsia="Calibri" w:cs="Arial"/>
          <w:color w:val="0070C0"/>
          <w:szCs w:val="24"/>
          <w:lang w:eastAsia="en-US"/>
        </w:rPr>
      </w:pPr>
      <w:r w:rsidRPr="005437C6">
        <w:rPr>
          <w:rFonts w:eastAsia="Calibri" w:cs="Arial"/>
          <w:color w:val="0070C0"/>
          <w:szCs w:val="24"/>
          <w:lang w:eastAsia="en-US"/>
        </w:rPr>
        <w:t>The site is located adjacent to the existing urban area of Hucknall and is contained by Church Lane to the west, and Hayden Lane to the east. The northern boundary of the site forms part of the district boundary with Gedling. Existing kennel buildings and associated structures occupy the northern part of the site, alongside a dwelling that is mostly within the Gedling administrative area. The topography gently slopes north to south.</w:t>
      </w:r>
      <w:r w:rsidRPr="005437C6">
        <w:rPr>
          <w:rFonts w:eastAsia="Calibri"/>
          <w:color w:val="0070C0"/>
          <w:szCs w:val="22"/>
          <w:lang w:eastAsia="en-US"/>
        </w:rPr>
        <w:t xml:space="preserve"> There are </w:t>
      </w:r>
      <w:r w:rsidRPr="005437C6">
        <w:rPr>
          <w:rFonts w:eastAsia="Calibri" w:cs="Arial"/>
          <w:color w:val="0070C0"/>
          <w:szCs w:val="24"/>
          <w:lang w:eastAsia="en-US"/>
        </w:rPr>
        <w:t>mature hedgerows to the east and west, and some mature trees on site.</w:t>
      </w:r>
    </w:p>
    <w:p w14:paraId="1D1493AA" w14:textId="77777777" w:rsidR="004466EB" w:rsidRPr="005437C6" w:rsidRDefault="004466EB" w:rsidP="004466EB">
      <w:pPr>
        <w:keepNext w:val="0"/>
        <w:spacing w:before="0" w:after="160" w:line="276" w:lineRule="auto"/>
        <w:rPr>
          <w:rFonts w:eastAsia="Calibri" w:cs="Arial"/>
          <w:color w:val="0070C0"/>
          <w:szCs w:val="24"/>
          <w:lang w:eastAsia="en-US"/>
        </w:rPr>
      </w:pPr>
      <w:r w:rsidRPr="005437C6">
        <w:rPr>
          <w:rFonts w:eastAsia="Calibri" w:cs="Arial"/>
          <w:color w:val="0070C0"/>
          <w:szCs w:val="24"/>
          <w:lang w:eastAsia="en-US"/>
        </w:rPr>
        <w:t>The site is within walking distance (800m/10 minutes) of local services including</w:t>
      </w:r>
      <w:r w:rsidRPr="005437C6">
        <w:rPr>
          <w:rFonts w:eastAsia="Calibri"/>
          <w:color w:val="0070C0"/>
          <w:szCs w:val="22"/>
          <w:lang w:eastAsia="en-US"/>
        </w:rPr>
        <w:t xml:space="preserve"> a post office and bus stop</w:t>
      </w:r>
      <w:r w:rsidRPr="005437C6">
        <w:rPr>
          <w:rFonts w:eastAsia="Calibri" w:cs="Arial"/>
          <w:color w:val="0070C0"/>
          <w:szCs w:val="24"/>
          <w:lang w:eastAsia="en-US"/>
        </w:rPr>
        <w:t>. The existing bus stop (hourly daytime service) also enables access to a supermarket and retail area. (within 30mins travel time). The site is within 480m (6mins) of a natural green space.  Part of the site is within 1000 m of a destination park (Albert Street Recreation Ground). There is also a cricket ground adjacent to the southern boundary of the site.</w:t>
      </w:r>
    </w:p>
    <w:p w14:paraId="3971A47E" w14:textId="77777777" w:rsidR="004466EB" w:rsidRPr="005437C6" w:rsidRDefault="004466EB" w:rsidP="004466EB">
      <w:pPr>
        <w:keepNext w:val="0"/>
        <w:spacing w:before="0" w:after="160" w:line="276" w:lineRule="auto"/>
        <w:rPr>
          <w:rFonts w:eastAsia="Calibri" w:cs="Arial"/>
          <w:color w:val="0070C0"/>
          <w:szCs w:val="24"/>
          <w:lang w:eastAsia="en-US"/>
        </w:rPr>
      </w:pPr>
    </w:p>
    <w:p w14:paraId="57C05767" w14:textId="77777777" w:rsidR="004466EB" w:rsidRPr="005437C6" w:rsidRDefault="004466EB" w:rsidP="004466EB">
      <w:pPr>
        <w:keepNext w:val="0"/>
        <w:autoSpaceDE w:val="0"/>
        <w:autoSpaceDN w:val="0"/>
        <w:adjustRightInd w:val="0"/>
        <w:spacing w:before="0" w:line="276" w:lineRule="auto"/>
        <w:rPr>
          <w:rFonts w:eastAsia="Calibri" w:cs="Arial"/>
          <w:b/>
          <w:bCs/>
          <w:color w:val="0070C0"/>
          <w:szCs w:val="24"/>
          <w:lang w:eastAsia="en-US"/>
        </w:rPr>
      </w:pPr>
      <w:r w:rsidRPr="005437C6">
        <w:rPr>
          <w:rFonts w:eastAsia="Calibri" w:cs="Arial"/>
          <w:b/>
          <w:bCs/>
          <w:color w:val="0070C0"/>
          <w:szCs w:val="24"/>
          <w:lang w:eastAsia="en-US"/>
        </w:rPr>
        <w:t>Existing Characteristics, Development Opportunities and Requirements</w:t>
      </w:r>
    </w:p>
    <w:p w14:paraId="08E5FE43"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7A57FCC5"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bookmarkStart w:id="349" w:name="_Hlk147850445"/>
      <w:r w:rsidRPr="005437C6">
        <w:rPr>
          <w:rFonts w:eastAsia="Calibri" w:cs="Arial"/>
          <w:color w:val="0070C0"/>
          <w:szCs w:val="24"/>
          <w:lang w:eastAsia="en-US"/>
        </w:rPr>
        <w:t xml:space="preserve">The site contains </w:t>
      </w:r>
      <w:proofErr w:type="gramStart"/>
      <w:r w:rsidRPr="005437C6">
        <w:rPr>
          <w:rFonts w:eastAsia="Calibri" w:cs="Arial"/>
          <w:color w:val="0070C0"/>
          <w:szCs w:val="24"/>
          <w:lang w:eastAsia="en-US"/>
        </w:rPr>
        <w:t>a number of</w:t>
      </w:r>
      <w:proofErr w:type="gramEnd"/>
      <w:r w:rsidRPr="005437C6">
        <w:rPr>
          <w:rFonts w:eastAsia="Calibri" w:cs="Arial"/>
          <w:color w:val="0070C0"/>
          <w:szCs w:val="24"/>
          <w:lang w:eastAsia="en-US"/>
        </w:rPr>
        <w:t xml:space="preserve"> characteristics, features and constraints that future development must consider. Key Local Plan Policy requirements for this site are set out </w:t>
      </w:r>
      <w:proofErr w:type="gramStart"/>
      <w:r w:rsidRPr="005437C6">
        <w:rPr>
          <w:rFonts w:eastAsia="Calibri" w:cs="Arial"/>
          <w:color w:val="0070C0"/>
          <w:szCs w:val="24"/>
          <w:lang w:eastAsia="en-US"/>
        </w:rPr>
        <w:t>below,</w:t>
      </w:r>
      <w:proofErr w:type="gramEnd"/>
      <w:r w:rsidRPr="005437C6">
        <w:rPr>
          <w:rFonts w:eastAsia="Calibri" w:cs="Arial"/>
          <w:color w:val="0070C0"/>
          <w:szCs w:val="24"/>
          <w:lang w:eastAsia="en-US"/>
        </w:rPr>
        <w:t xml:space="preserve"> however it should be noted that the Local Plan should be read </w:t>
      </w:r>
      <w:proofErr w:type="gramStart"/>
      <w:r w:rsidRPr="005437C6">
        <w:rPr>
          <w:rFonts w:eastAsia="Calibri" w:cs="Arial"/>
          <w:color w:val="0070C0"/>
          <w:szCs w:val="24"/>
          <w:lang w:eastAsia="en-US"/>
        </w:rPr>
        <w:t>as a whole including</w:t>
      </w:r>
      <w:proofErr w:type="gramEnd"/>
      <w:r w:rsidRPr="005437C6">
        <w:rPr>
          <w:rFonts w:eastAsia="Calibri" w:cs="Arial"/>
          <w:color w:val="0070C0"/>
          <w:szCs w:val="24"/>
          <w:lang w:eastAsia="en-US"/>
        </w:rPr>
        <w:t xml:space="preserve"> any other relevant policies. </w:t>
      </w:r>
    </w:p>
    <w:p w14:paraId="1C8906C2"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4FD4F740"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Contributions towards local infrastructure that is needed to support the development will be negotiated through a Section 106 legal agreement.  Where appropriate, the Council will seek contributions for education, health, libraries, waste and transport infrastructure in consultation with the County Council, NHS Nottingham and Nottinghamshire Integrated Care Board (ICB).  Contributions towards other infrastructure and facilities will be considered on a site-by-site basis, and may include:</w:t>
      </w:r>
    </w:p>
    <w:p w14:paraId="381E239F"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77496EA3"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 xml:space="preserve">the regeneration of town centres; </w:t>
      </w:r>
    </w:p>
    <w:p w14:paraId="57266849"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provision of appropriate sport and recreation facilities, new and improved open space, improving quality and access to green and blue infrastructure;</w:t>
      </w:r>
    </w:p>
    <w:p w14:paraId="777BA922"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conservation and enhancement of the historic environment;</w:t>
      </w:r>
    </w:p>
    <w:p w14:paraId="5E147DC7"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tackling climate change including flooding or water quality;</w:t>
      </w:r>
    </w:p>
    <w:p w14:paraId="532A2205"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cross-boundary infrastructure to help deliver and mitigate the effects of development;</w:t>
      </w:r>
    </w:p>
    <w:p w14:paraId="1267F4C8"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supporting service infrastructure.</w:t>
      </w:r>
      <w:bookmarkEnd w:id="349"/>
    </w:p>
    <w:p w14:paraId="392663C4"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tbl>
      <w:tblPr>
        <w:tblStyle w:val="TableGrid1"/>
        <w:tblW w:w="0" w:type="auto"/>
        <w:tblLook w:val="04A0" w:firstRow="1" w:lastRow="0" w:firstColumn="1" w:lastColumn="0" w:noHBand="0" w:noVBand="1"/>
      </w:tblPr>
      <w:tblGrid>
        <w:gridCol w:w="2254"/>
        <w:gridCol w:w="7375"/>
      </w:tblGrid>
      <w:tr w:rsidR="005437C6" w:rsidRPr="005437C6" w14:paraId="66A18963" w14:textId="77777777">
        <w:tc>
          <w:tcPr>
            <w:tcW w:w="2263" w:type="dxa"/>
            <w:shd w:val="clear" w:color="auto" w:fill="D9D9D9"/>
          </w:tcPr>
          <w:p w14:paraId="10CE1825"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Location, Design &amp; Density</w:t>
            </w:r>
          </w:p>
          <w:p w14:paraId="4D80F0EC"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Policies:</w:t>
            </w:r>
          </w:p>
          <w:p w14:paraId="66A77163" w14:textId="77777777" w:rsidR="004466EB" w:rsidRPr="00E56F9C" w:rsidRDefault="004466EB">
            <w:pPr>
              <w:keepNext w:val="0"/>
              <w:spacing w:before="0" w:line="276" w:lineRule="auto"/>
              <w:rPr>
                <w:rFonts w:cs="Arial"/>
                <w:color w:val="005EAC"/>
                <w:sz w:val="22"/>
              </w:rPr>
            </w:pPr>
            <w:r w:rsidRPr="00E56F9C">
              <w:rPr>
                <w:rFonts w:cs="Arial"/>
                <w:color w:val="005EAC"/>
                <w:sz w:val="22"/>
              </w:rPr>
              <w:t>S2, S3, S5, S9, S12, S13, S14</w:t>
            </w:r>
          </w:p>
          <w:p w14:paraId="1A7195F9" w14:textId="77777777" w:rsidR="004466EB" w:rsidRPr="00E56F9C" w:rsidRDefault="004466EB">
            <w:pPr>
              <w:keepNext w:val="0"/>
              <w:spacing w:before="0" w:line="276" w:lineRule="auto"/>
              <w:rPr>
                <w:rFonts w:cs="Arial"/>
                <w:color w:val="005EAC"/>
                <w:sz w:val="22"/>
              </w:rPr>
            </w:pPr>
            <w:r w:rsidRPr="00E56F9C">
              <w:rPr>
                <w:rFonts w:cs="Arial"/>
                <w:color w:val="005EAC"/>
                <w:sz w:val="22"/>
              </w:rPr>
              <w:lastRenderedPageBreak/>
              <w:t>Development Management Policies:</w:t>
            </w:r>
          </w:p>
          <w:p w14:paraId="12932409"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CC1, EV6, EV9, H7, SD2, SD3, SD9, SD10</w:t>
            </w:r>
          </w:p>
        </w:tc>
        <w:tc>
          <w:tcPr>
            <w:tcW w:w="7479" w:type="dxa"/>
          </w:tcPr>
          <w:p w14:paraId="31DA380D"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lastRenderedPageBreak/>
              <w:t xml:space="preserve">The site is located on the fringe of the main urban area of Hucknall, and so development should ensure a lower density in line with Local Plan policy. </w:t>
            </w:r>
          </w:p>
          <w:p w14:paraId="1BA508D7" w14:textId="77777777" w:rsidR="004466EB" w:rsidRPr="005437C6" w:rsidRDefault="004466EB">
            <w:pPr>
              <w:keepNext w:val="0"/>
              <w:autoSpaceDE w:val="0"/>
              <w:autoSpaceDN w:val="0"/>
              <w:adjustRightInd w:val="0"/>
              <w:spacing w:before="0" w:line="276" w:lineRule="auto"/>
              <w:rPr>
                <w:rFonts w:cs="Arial"/>
                <w:color w:val="0070C0"/>
                <w:szCs w:val="24"/>
              </w:rPr>
            </w:pPr>
          </w:p>
          <w:p w14:paraId="2550E9D6"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lastRenderedPageBreak/>
              <w:t>The site is adjacent to existing residential development and requires the following design considerations:</w:t>
            </w:r>
          </w:p>
          <w:p w14:paraId="2C278664" w14:textId="77777777" w:rsidR="004466EB" w:rsidRPr="005437C6" w:rsidRDefault="004466EB">
            <w:pPr>
              <w:keepNext w:val="0"/>
              <w:autoSpaceDE w:val="0"/>
              <w:autoSpaceDN w:val="0"/>
              <w:adjustRightInd w:val="0"/>
              <w:spacing w:before="0" w:line="276" w:lineRule="auto"/>
              <w:rPr>
                <w:rFonts w:cs="Arial"/>
                <w:color w:val="0070C0"/>
                <w:szCs w:val="24"/>
              </w:rPr>
            </w:pPr>
          </w:p>
          <w:p w14:paraId="035B8765" w14:textId="77777777" w:rsidR="004466EB" w:rsidRPr="005437C6" w:rsidRDefault="004466EB" w:rsidP="004466EB">
            <w:pPr>
              <w:keepNext w:val="0"/>
              <w:numPr>
                <w:ilvl w:val="0"/>
                <w:numId w:val="360"/>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Ensure minimum privacy distances are applied between existing and new properties.</w:t>
            </w:r>
          </w:p>
          <w:p w14:paraId="6965D1BB" w14:textId="77777777" w:rsidR="004466EB" w:rsidRPr="005437C6" w:rsidRDefault="004466EB" w:rsidP="004466EB">
            <w:pPr>
              <w:keepNext w:val="0"/>
              <w:numPr>
                <w:ilvl w:val="0"/>
                <w:numId w:val="360"/>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Create pedestrian links to existing residential communities, where possible.</w:t>
            </w:r>
          </w:p>
          <w:p w14:paraId="022BDAF0" w14:textId="77777777" w:rsidR="004466EB" w:rsidRPr="005437C6" w:rsidRDefault="004466EB" w:rsidP="004466EB">
            <w:pPr>
              <w:keepNext w:val="0"/>
              <w:numPr>
                <w:ilvl w:val="0"/>
                <w:numId w:val="360"/>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Orientation, roof type and scale of built form should be reflective of the local vernacular and appear integrated into its surroundings.</w:t>
            </w:r>
          </w:p>
          <w:p w14:paraId="677AE128" w14:textId="77777777" w:rsidR="004466EB" w:rsidRPr="005437C6" w:rsidRDefault="004466EB">
            <w:pPr>
              <w:keepNext w:val="0"/>
              <w:autoSpaceDE w:val="0"/>
              <w:autoSpaceDN w:val="0"/>
              <w:adjustRightInd w:val="0"/>
              <w:spacing w:before="0" w:line="276" w:lineRule="auto"/>
              <w:rPr>
                <w:rFonts w:cs="Arial"/>
                <w:color w:val="0070C0"/>
                <w:szCs w:val="24"/>
              </w:rPr>
            </w:pPr>
          </w:p>
          <w:p w14:paraId="701CAFAB"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The site frontages should also be enhanced through the following:</w:t>
            </w:r>
          </w:p>
          <w:p w14:paraId="178C38CC" w14:textId="77777777" w:rsidR="004466EB" w:rsidRPr="005437C6" w:rsidRDefault="004466EB">
            <w:pPr>
              <w:keepNext w:val="0"/>
              <w:autoSpaceDE w:val="0"/>
              <w:autoSpaceDN w:val="0"/>
              <w:adjustRightInd w:val="0"/>
              <w:spacing w:before="0" w:line="276" w:lineRule="auto"/>
              <w:rPr>
                <w:rFonts w:cs="Arial"/>
                <w:color w:val="0070C0"/>
                <w:szCs w:val="24"/>
              </w:rPr>
            </w:pPr>
          </w:p>
          <w:p w14:paraId="796B9F61" w14:textId="77777777" w:rsidR="004466EB" w:rsidRPr="005437C6" w:rsidRDefault="004466EB" w:rsidP="004466EB">
            <w:pPr>
              <w:keepNext w:val="0"/>
              <w:numPr>
                <w:ilvl w:val="0"/>
                <w:numId w:val="361"/>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Appropriate landscaping and visual interest alongside site boundaries.</w:t>
            </w:r>
          </w:p>
          <w:p w14:paraId="30CE5210" w14:textId="77777777" w:rsidR="004466EB" w:rsidRPr="005437C6" w:rsidRDefault="004466EB" w:rsidP="004466EB">
            <w:pPr>
              <w:keepNext w:val="0"/>
              <w:numPr>
                <w:ilvl w:val="0"/>
                <w:numId w:val="361"/>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Materials and boundary treatments should be of a high-quality design to create a positive visual contribution.</w:t>
            </w:r>
          </w:p>
          <w:p w14:paraId="762EF32C" w14:textId="77777777" w:rsidR="004466EB" w:rsidRPr="005437C6" w:rsidRDefault="004466EB">
            <w:pPr>
              <w:keepNext w:val="0"/>
              <w:autoSpaceDE w:val="0"/>
              <w:autoSpaceDN w:val="0"/>
              <w:adjustRightInd w:val="0"/>
              <w:spacing w:before="0" w:line="276" w:lineRule="auto"/>
              <w:rPr>
                <w:rFonts w:cs="Arial"/>
                <w:color w:val="0070C0"/>
                <w:szCs w:val="24"/>
              </w:rPr>
            </w:pPr>
          </w:p>
          <w:p w14:paraId="0233C424"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 xml:space="preserve">Given the proximity to </w:t>
            </w:r>
            <w:proofErr w:type="spellStart"/>
            <w:r w:rsidRPr="005437C6">
              <w:rPr>
                <w:rFonts w:cs="Arial"/>
                <w:color w:val="0070C0"/>
                <w:szCs w:val="24"/>
              </w:rPr>
              <w:t>Linby</w:t>
            </w:r>
            <w:proofErr w:type="spellEnd"/>
            <w:r w:rsidRPr="005437C6">
              <w:rPr>
                <w:rFonts w:cs="Arial"/>
                <w:color w:val="0070C0"/>
                <w:szCs w:val="24"/>
              </w:rPr>
              <w:t xml:space="preserve"> Conservation Area a landscape buffer should be introduced along the northern boundary of the site to minimise any potential impacts.</w:t>
            </w:r>
          </w:p>
          <w:p w14:paraId="16F854F3" w14:textId="77777777" w:rsidR="004466EB" w:rsidRPr="005437C6" w:rsidRDefault="004466EB">
            <w:pPr>
              <w:keepNext w:val="0"/>
              <w:autoSpaceDE w:val="0"/>
              <w:autoSpaceDN w:val="0"/>
              <w:adjustRightInd w:val="0"/>
              <w:spacing w:before="0" w:line="276" w:lineRule="auto"/>
              <w:rPr>
                <w:rFonts w:cs="Arial"/>
                <w:color w:val="0070C0"/>
                <w:szCs w:val="24"/>
              </w:rPr>
            </w:pPr>
          </w:p>
          <w:p w14:paraId="4FDFA6C6"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 xml:space="preserve">The design and layout should be carefully considered such that it will not create conflict between the residential development and adjacent cricket club. </w:t>
            </w:r>
          </w:p>
          <w:p w14:paraId="520DE91F" w14:textId="77777777" w:rsidR="004466EB" w:rsidRPr="005437C6" w:rsidRDefault="004466EB">
            <w:pPr>
              <w:autoSpaceDE w:val="0"/>
              <w:autoSpaceDN w:val="0"/>
              <w:adjustRightInd w:val="0"/>
              <w:contextualSpacing/>
              <w:rPr>
                <w:rFonts w:eastAsia="Arial"/>
                <w:iCs/>
                <w:color w:val="0070C0"/>
              </w:rPr>
            </w:pPr>
          </w:p>
          <w:p w14:paraId="7AB53961" w14:textId="77777777" w:rsidR="004466EB" w:rsidRPr="005437C6" w:rsidRDefault="004466EB">
            <w:pPr>
              <w:autoSpaceDE w:val="0"/>
              <w:autoSpaceDN w:val="0"/>
              <w:adjustRightInd w:val="0"/>
              <w:contextualSpacing/>
              <w:rPr>
                <w:rFonts w:eastAsia="Arial"/>
                <w:iCs/>
                <w:color w:val="0070C0"/>
              </w:rPr>
            </w:pPr>
            <w:r w:rsidRPr="005437C6">
              <w:rPr>
                <w:rFonts w:eastAsia="Arial"/>
                <w:iCs/>
                <w:color w:val="0070C0"/>
              </w:rPr>
              <w:t xml:space="preserve">To support the Council’s Playing Pitch Strategy (2023) and the long-term future of sports provision in Hucknall, there will be a requirement for a cricket/junior football pitch to be provided on the site. Hucknall Cricket Club which adjoins the site to the south have a good club infrastructure and facilities, however they lack the pitches needed to expand and grow.  At the time of writing the club is using pitches outside of the district to facilitate demand.  </w:t>
            </w:r>
          </w:p>
          <w:p w14:paraId="15672664" w14:textId="77777777" w:rsidR="004466EB" w:rsidRPr="005437C6" w:rsidRDefault="004466EB">
            <w:pPr>
              <w:autoSpaceDE w:val="0"/>
              <w:autoSpaceDN w:val="0"/>
              <w:adjustRightInd w:val="0"/>
              <w:contextualSpacing/>
              <w:rPr>
                <w:rFonts w:eastAsia="Arial"/>
                <w:b/>
                <w:bCs/>
                <w:iCs/>
                <w:color w:val="0070C0"/>
              </w:rPr>
            </w:pPr>
          </w:p>
          <w:p w14:paraId="31389063"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 xml:space="preserve">Reference should be made to the Ashfield Playing Pitch Strategy 2023-2027, which sets out further information on specific demand. This is available from the </w:t>
            </w:r>
            <w:hyperlink r:id="rId103" w:history="1">
              <w:r w:rsidRPr="005437C6">
                <w:rPr>
                  <w:rFonts w:cs="Arial"/>
                  <w:color w:val="0070C0"/>
                  <w:szCs w:val="24"/>
                  <w:u w:val="single"/>
                </w:rPr>
                <w:t>Local Plan Examination Submission Documents</w:t>
              </w:r>
            </w:hyperlink>
            <w:r w:rsidRPr="005437C6">
              <w:rPr>
                <w:rFonts w:cs="Arial"/>
                <w:color w:val="0070C0"/>
                <w:szCs w:val="24"/>
              </w:rPr>
              <w:t>.</w:t>
            </w:r>
          </w:p>
          <w:p w14:paraId="6207F96F" w14:textId="77777777" w:rsidR="004466EB" w:rsidRPr="005437C6" w:rsidRDefault="004466EB">
            <w:pPr>
              <w:keepNext w:val="0"/>
              <w:autoSpaceDE w:val="0"/>
              <w:autoSpaceDN w:val="0"/>
              <w:adjustRightInd w:val="0"/>
              <w:spacing w:before="0" w:line="276" w:lineRule="auto"/>
              <w:rPr>
                <w:rFonts w:cs="Arial"/>
                <w:color w:val="0070C0"/>
                <w:szCs w:val="24"/>
              </w:rPr>
            </w:pPr>
          </w:p>
          <w:p w14:paraId="66F8FE80"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Any future development scheme would be expected to deliver a minimum density of 30 dwellings / ha in this location.</w:t>
            </w:r>
          </w:p>
          <w:p w14:paraId="794852E8" w14:textId="77777777" w:rsidR="004466EB" w:rsidRPr="005437C6" w:rsidRDefault="004466EB">
            <w:pPr>
              <w:keepNext w:val="0"/>
              <w:autoSpaceDE w:val="0"/>
              <w:autoSpaceDN w:val="0"/>
              <w:adjustRightInd w:val="0"/>
              <w:spacing w:before="0" w:line="276" w:lineRule="auto"/>
              <w:rPr>
                <w:rFonts w:cs="Arial"/>
                <w:color w:val="0070C0"/>
                <w:szCs w:val="24"/>
              </w:rPr>
            </w:pPr>
          </w:p>
        </w:tc>
      </w:tr>
      <w:tr w:rsidR="005437C6" w:rsidRPr="005437C6" w14:paraId="02915B51" w14:textId="77777777">
        <w:tc>
          <w:tcPr>
            <w:tcW w:w="2263" w:type="dxa"/>
            <w:shd w:val="clear" w:color="auto" w:fill="D9D9D9"/>
          </w:tcPr>
          <w:p w14:paraId="5E208596"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lastRenderedPageBreak/>
              <w:t>Addressing Climate Change</w:t>
            </w:r>
          </w:p>
          <w:p w14:paraId="20B1B78B" w14:textId="77777777" w:rsidR="004466EB" w:rsidRPr="00E56F9C" w:rsidRDefault="004466EB">
            <w:pPr>
              <w:keepNext w:val="0"/>
              <w:spacing w:before="0" w:line="276" w:lineRule="auto"/>
              <w:rPr>
                <w:rFonts w:cs="Arial"/>
                <w:color w:val="005EAC"/>
                <w:sz w:val="22"/>
              </w:rPr>
            </w:pPr>
            <w:r w:rsidRPr="00E56F9C">
              <w:rPr>
                <w:rFonts w:cs="Arial"/>
                <w:color w:val="005EAC"/>
                <w:sz w:val="22"/>
              </w:rPr>
              <w:lastRenderedPageBreak/>
              <w:t>Strategic Policy: S3</w:t>
            </w:r>
          </w:p>
          <w:p w14:paraId="5CDB0020" w14:textId="77777777" w:rsidR="004466EB" w:rsidRPr="00E56F9C" w:rsidRDefault="004466EB">
            <w:pPr>
              <w:keepNext w:val="0"/>
              <w:spacing w:before="0" w:line="276" w:lineRule="auto"/>
              <w:rPr>
                <w:rFonts w:cs="Arial"/>
                <w:color w:val="005EAC"/>
                <w:sz w:val="22"/>
              </w:rPr>
            </w:pPr>
          </w:p>
          <w:p w14:paraId="58A0A10B" w14:textId="77777777" w:rsidR="004466EB" w:rsidRPr="00E56F9C" w:rsidRDefault="004466EB">
            <w:pPr>
              <w:keepNext w:val="0"/>
              <w:spacing w:before="0" w:line="276" w:lineRule="auto"/>
              <w:rPr>
                <w:rFonts w:cs="Arial"/>
                <w:color w:val="005EAC"/>
                <w:sz w:val="22"/>
              </w:rPr>
            </w:pPr>
            <w:r w:rsidRPr="00E56F9C">
              <w:rPr>
                <w:rFonts w:cs="Arial"/>
                <w:color w:val="005EAC"/>
                <w:sz w:val="22"/>
              </w:rPr>
              <w:t>Development Management Policies:</w:t>
            </w:r>
          </w:p>
          <w:p w14:paraId="254EFF89"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CC1, CC2, CC3, SD4, SD10</w:t>
            </w:r>
          </w:p>
        </w:tc>
        <w:tc>
          <w:tcPr>
            <w:tcW w:w="7479" w:type="dxa"/>
          </w:tcPr>
          <w:p w14:paraId="62ADEAC2" w14:textId="77777777" w:rsidR="004466EB" w:rsidRPr="005437C6" w:rsidRDefault="004466EB">
            <w:pPr>
              <w:keepNext w:val="0"/>
              <w:spacing w:before="0" w:after="160" w:line="252" w:lineRule="auto"/>
              <w:rPr>
                <w:color w:val="0070C0"/>
                <w:u w:val="single"/>
              </w:rPr>
            </w:pPr>
            <w:r w:rsidRPr="005437C6">
              <w:rPr>
                <w:rFonts w:cs="Arial"/>
                <w:color w:val="0070C0"/>
                <w:szCs w:val="24"/>
              </w:rPr>
              <w:lastRenderedPageBreak/>
              <w:t xml:space="preserve">Development must reflect the Council’s approach to becoming net-zero carbon by 2050, and accord with the Council’s planning </w:t>
            </w:r>
            <w:r w:rsidRPr="005437C6">
              <w:rPr>
                <w:rFonts w:cs="Arial"/>
                <w:color w:val="0070C0"/>
                <w:szCs w:val="24"/>
              </w:rPr>
              <w:lastRenderedPageBreak/>
              <w:t xml:space="preserve">guidance on this aspect, which is available on the website: </w:t>
            </w:r>
            <w:hyperlink r:id="rId104" w:history="1">
              <w:r w:rsidRPr="005437C6">
                <w:rPr>
                  <w:color w:val="0070C0"/>
                  <w:u w:val="single"/>
                </w:rPr>
                <w:t>Ashfield District Council Supplementary Planning Documents and Guidance</w:t>
              </w:r>
            </w:hyperlink>
          </w:p>
          <w:p w14:paraId="4513F2F6" w14:textId="77777777" w:rsidR="004466EB" w:rsidRPr="005437C6" w:rsidRDefault="004466EB">
            <w:pPr>
              <w:keepNext w:val="0"/>
              <w:spacing w:before="0" w:after="160" w:line="252" w:lineRule="auto"/>
              <w:rPr>
                <w:rFonts w:cs="Arial"/>
                <w:color w:val="0070C0"/>
                <w:szCs w:val="24"/>
              </w:rPr>
            </w:pPr>
            <w:r w:rsidRPr="005437C6">
              <w:rPr>
                <w:rFonts w:cs="Arial"/>
                <w:color w:val="0070C0"/>
                <w:szCs w:val="24"/>
              </w:rPr>
              <w:t>Key elements to consider include:</w:t>
            </w:r>
          </w:p>
          <w:p w14:paraId="295CA315" w14:textId="77777777" w:rsidR="004466EB" w:rsidRPr="005437C6" w:rsidRDefault="004466EB" w:rsidP="004466EB">
            <w:pPr>
              <w:keepNext w:val="0"/>
              <w:numPr>
                <w:ilvl w:val="0"/>
                <w:numId w:val="363"/>
              </w:numPr>
              <w:spacing w:before="0"/>
              <w:contextualSpacing/>
              <w:jc w:val="both"/>
              <w:rPr>
                <w:rFonts w:cs="Arial"/>
                <w:color w:val="0070C0"/>
                <w:szCs w:val="24"/>
              </w:rPr>
            </w:pPr>
            <w:r w:rsidRPr="005437C6">
              <w:rPr>
                <w:rFonts w:cs="Arial"/>
                <w:color w:val="0070C0"/>
                <w:szCs w:val="24"/>
              </w:rPr>
              <w:t>Orientation of buildings to achieve maximum solar gain and integration of solar panels.</w:t>
            </w:r>
          </w:p>
          <w:p w14:paraId="61E91CB1" w14:textId="77777777" w:rsidR="004466EB" w:rsidRPr="005437C6" w:rsidRDefault="004466EB" w:rsidP="004466EB">
            <w:pPr>
              <w:keepNext w:val="0"/>
              <w:numPr>
                <w:ilvl w:val="0"/>
                <w:numId w:val="363"/>
              </w:numPr>
              <w:spacing w:before="0"/>
              <w:contextualSpacing/>
              <w:jc w:val="both"/>
              <w:rPr>
                <w:rFonts w:cs="Arial"/>
                <w:color w:val="0070C0"/>
                <w:szCs w:val="24"/>
              </w:rPr>
            </w:pPr>
            <w:r w:rsidRPr="005437C6">
              <w:rPr>
                <w:rFonts w:cs="Arial"/>
                <w:color w:val="0070C0"/>
                <w:szCs w:val="24"/>
              </w:rPr>
              <w:t xml:space="preserve">Planting street trees and other street planting to soften the impact of car parking, help improve air quality and contribute to biodiversity.  </w:t>
            </w:r>
          </w:p>
          <w:p w14:paraId="46FE97C1" w14:textId="77777777" w:rsidR="004466EB" w:rsidRPr="005437C6" w:rsidRDefault="004466EB" w:rsidP="004466EB">
            <w:pPr>
              <w:keepNext w:val="0"/>
              <w:numPr>
                <w:ilvl w:val="0"/>
                <w:numId w:val="363"/>
              </w:numPr>
              <w:spacing w:before="0"/>
              <w:contextualSpacing/>
              <w:jc w:val="both"/>
              <w:rPr>
                <w:rFonts w:cs="Arial"/>
                <w:color w:val="0070C0"/>
                <w:szCs w:val="24"/>
              </w:rPr>
            </w:pPr>
            <w:r w:rsidRPr="005437C6">
              <w:rPr>
                <w:rFonts w:cs="Arial"/>
                <w:color w:val="0070C0"/>
                <w:szCs w:val="24"/>
              </w:rPr>
              <w:t>Incorporate rainwater harvesting.</w:t>
            </w:r>
          </w:p>
          <w:p w14:paraId="30109EB5" w14:textId="77777777" w:rsidR="004466EB" w:rsidRPr="005437C6" w:rsidRDefault="004466EB" w:rsidP="004466EB">
            <w:pPr>
              <w:keepNext w:val="0"/>
              <w:numPr>
                <w:ilvl w:val="0"/>
                <w:numId w:val="363"/>
              </w:numPr>
              <w:spacing w:before="0"/>
              <w:contextualSpacing/>
              <w:jc w:val="both"/>
              <w:rPr>
                <w:rFonts w:cs="Arial"/>
                <w:color w:val="0070C0"/>
                <w:szCs w:val="24"/>
              </w:rPr>
            </w:pPr>
            <w:r w:rsidRPr="005437C6">
              <w:rPr>
                <w:rFonts w:cs="Arial"/>
                <w:color w:val="0070C0"/>
                <w:szCs w:val="24"/>
              </w:rPr>
              <w:t xml:space="preserve">Provide green space to minimising the increased risk of flooding from all sources </w:t>
            </w:r>
            <w:proofErr w:type="gramStart"/>
            <w:r w:rsidRPr="005437C6">
              <w:rPr>
                <w:rFonts w:cs="Arial"/>
                <w:color w:val="0070C0"/>
                <w:szCs w:val="24"/>
              </w:rPr>
              <w:t>through the use of</w:t>
            </w:r>
            <w:proofErr w:type="gramEnd"/>
            <w:r w:rsidRPr="005437C6">
              <w:rPr>
                <w:rFonts w:cs="Arial"/>
                <w:color w:val="0070C0"/>
                <w:szCs w:val="24"/>
              </w:rPr>
              <w:t xml:space="preserve"> Sustainable Urban Drainage systems (SUDs). </w:t>
            </w:r>
          </w:p>
          <w:p w14:paraId="08A54632" w14:textId="77777777" w:rsidR="004466EB" w:rsidRPr="005437C6" w:rsidRDefault="004466EB" w:rsidP="004466EB">
            <w:pPr>
              <w:keepNext w:val="0"/>
              <w:numPr>
                <w:ilvl w:val="0"/>
                <w:numId w:val="363"/>
              </w:numPr>
              <w:spacing w:before="0"/>
              <w:contextualSpacing/>
              <w:jc w:val="both"/>
              <w:rPr>
                <w:rFonts w:cs="Arial"/>
                <w:color w:val="0070C0"/>
                <w:szCs w:val="24"/>
              </w:rPr>
            </w:pPr>
            <w:r w:rsidRPr="005437C6">
              <w:rPr>
                <w:rFonts w:cs="Arial"/>
                <w:color w:val="0070C0"/>
                <w:szCs w:val="24"/>
              </w:rPr>
              <w:t>Other forms of low carbon technology, such as air source or ground source heat pumps.</w:t>
            </w:r>
          </w:p>
          <w:p w14:paraId="4782A7BB" w14:textId="77777777" w:rsidR="004466EB" w:rsidRPr="005437C6" w:rsidRDefault="004466EB" w:rsidP="004466EB">
            <w:pPr>
              <w:keepNext w:val="0"/>
              <w:numPr>
                <w:ilvl w:val="0"/>
                <w:numId w:val="363"/>
              </w:numPr>
              <w:spacing w:before="0"/>
              <w:contextualSpacing/>
              <w:jc w:val="both"/>
              <w:rPr>
                <w:rFonts w:cs="Arial"/>
                <w:color w:val="0070C0"/>
                <w:szCs w:val="24"/>
              </w:rPr>
            </w:pPr>
            <w:r w:rsidRPr="005437C6">
              <w:rPr>
                <w:rFonts w:cs="Arial"/>
                <w:color w:val="0070C0"/>
                <w:szCs w:val="24"/>
              </w:rPr>
              <w:t>The provision of electric vehicles charging points.</w:t>
            </w:r>
          </w:p>
          <w:p w14:paraId="7A699A48" w14:textId="77777777" w:rsidR="004466EB" w:rsidRPr="005437C6" w:rsidRDefault="004466EB" w:rsidP="004466EB">
            <w:pPr>
              <w:keepNext w:val="0"/>
              <w:numPr>
                <w:ilvl w:val="0"/>
                <w:numId w:val="363"/>
              </w:numPr>
              <w:spacing w:before="0"/>
              <w:contextualSpacing/>
              <w:jc w:val="both"/>
              <w:rPr>
                <w:rFonts w:cs="Arial"/>
                <w:color w:val="0070C0"/>
                <w:szCs w:val="24"/>
              </w:rPr>
            </w:pPr>
            <w:r w:rsidRPr="005437C6">
              <w:rPr>
                <w:rFonts w:eastAsia="Arial" w:cs="Arial"/>
                <w:bCs/>
                <w:color w:val="0070C0"/>
              </w:rPr>
              <w:t>Implementation of water efficiency measures to minimise water consumption, to achieve a requirement of not exceeding 110 litres per person per day.</w:t>
            </w:r>
          </w:p>
          <w:p w14:paraId="4050A4D5" w14:textId="77777777" w:rsidR="004466EB" w:rsidRPr="005437C6" w:rsidRDefault="004466EB" w:rsidP="004466EB">
            <w:pPr>
              <w:keepNext w:val="0"/>
              <w:numPr>
                <w:ilvl w:val="0"/>
                <w:numId w:val="363"/>
              </w:numPr>
              <w:spacing w:before="0"/>
              <w:contextualSpacing/>
              <w:jc w:val="both"/>
              <w:rPr>
                <w:rFonts w:cs="Arial"/>
                <w:color w:val="0070C0"/>
                <w:szCs w:val="24"/>
              </w:rPr>
            </w:pPr>
            <w:r w:rsidRPr="005437C6">
              <w:rPr>
                <w:rFonts w:cs="Arial"/>
                <w:color w:val="0070C0"/>
                <w:szCs w:val="24"/>
              </w:rPr>
              <w:t>Sustainable waste management by providing space for recycling and composting.</w:t>
            </w:r>
          </w:p>
          <w:p w14:paraId="70D04FC6" w14:textId="77777777" w:rsidR="004466EB" w:rsidRPr="005437C6" w:rsidRDefault="004466EB">
            <w:pPr>
              <w:keepNext w:val="0"/>
              <w:spacing w:before="0"/>
              <w:rPr>
                <w:rFonts w:cs="Arial"/>
                <w:color w:val="0070C0"/>
                <w:szCs w:val="24"/>
              </w:rPr>
            </w:pPr>
          </w:p>
        </w:tc>
      </w:tr>
      <w:tr w:rsidR="005437C6" w:rsidRPr="005437C6" w14:paraId="07BDFC6E" w14:textId="77777777">
        <w:tc>
          <w:tcPr>
            <w:tcW w:w="2263" w:type="dxa"/>
            <w:shd w:val="clear" w:color="auto" w:fill="D9D9D9"/>
          </w:tcPr>
          <w:p w14:paraId="1D68D39F"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lastRenderedPageBreak/>
              <w:t>Access &amp; Transport</w:t>
            </w:r>
          </w:p>
          <w:p w14:paraId="598B4025"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Policies: S2, S9, S10</w:t>
            </w:r>
          </w:p>
          <w:p w14:paraId="4E28C3ED" w14:textId="77777777" w:rsidR="004466EB" w:rsidRPr="00E56F9C" w:rsidRDefault="004466EB">
            <w:pPr>
              <w:keepNext w:val="0"/>
              <w:spacing w:before="0" w:line="276" w:lineRule="auto"/>
              <w:rPr>
                <w:rFonts w:cs="Arial"/>
                <w:color w:val="005EAC"/>
                <w:sz w:val="22"/>
              </w:rPr>
            </w:pPr>
          </w:p>
          <w:p w14:paraId="0CF137F0" w14:textId="77777777" w:rsidR="004466EB" w:rsidRPr="00E56F9C" w:rsidRDefault="004466EB">
            <w:pPr>
              <w:keepNext w:val="0"/>
              <w:spacing w:before="0" w:line="276" w:lineRule="auto"/>
              <w:rPr>
                <w:rFonts w:cs="Arial"/>
                <w:color w:val="005EAC"/>
                <w:sz w:val="22"/>
              </w:rPr>
            </w:pPr>
            <w:r w:rsidRPr="00E56F9C">
              <w:rPr>
                <w:rFonts w:cs="Arial"/>
                <w:color w:val="005EAC"/>
                <w:sz w:val="22"/>
              </w:rPr>
              <w:t>Development Management Policies:</w:t>
            </w:r>
          </w:p>
          <w:p w14:paraId="1CFBA7B0"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SD2, SD5, SD10, SD11</w:t>
            </w:r>
          </w:p>
        </w:tc>
        <w:tc>
          <w:tcPr>
            <w:tcW w:w="7479" w:type="dxa"/>
          </w:tcPr>
          <w:p w14:paraId="7D5CD8EF" w14:textId="77777777" w:rsidR="004466EB" w:rsidRPr="005437C6" w:rsidRDefault="004466EB">
            <w:pPr>
              <w:keepNext w:val="0"/>
              <w:autoSpaceDE w:val="0"/>
              <w:autoSpaceDN w:val="0"/>
              <w:adjustRightInd w:val="0"/>
              <w:spacing w:before="0" w:line="276" w:lineRule="auto"/>
              <w:ind w:left="325"/>
              <w:contextualSpacing/>
              <w:rPr>
                <w:rFonts w:cs="Arial"/>
                <w:color w:val="0070C0"/>
                <w:szCs w:val="24"/>
              </w:rPr>
            </w:pPr>
            <w:r w:rsidRPr="005437C6">
              <w:rPr>
                <w:rFonts w:cs="Arial"/>
                <w:color w:val="0070C0"/>
                <w:szCs w:val="24"/>
              </w:rPr>
              <w:t>NCC Highways Requirements:</w:t>
            </w:r>
          </w:p>
          <w:p w14:paraId="6DFB4C65" w14:textId="77777777" w:rsidR="004466EB" w:rsidRPr="005437C6" w:rsidRDefault="004466EB">
            <w:pPr>
              <w:keepNext w:val="0"/>
              <w:autoSpaceDE w:val="0"/>
              <w:autoSpaceDN w:val="0"/>
              <w:adjustRightInd w:val="0"/>
              <w:spacing w:before="0" w:line="276" w:lineRule="auto"/>
              <w:ind w:left="325"/>
              <w:contextualSpacing/>
              <w:rPr>
                <w:rFonts w:cs="Arial"/>
                <w:color w:val="0070C0"/>
                <w:szCs w:val="24"/>
              </w:rPr>
            </w:pPr>
          </w:p>
          <w:p w14:paraId="5CAEBD65" w14:textId="77777777" w:rsidR="004466EB" w:rsidRPr="005437C6" w:rsidRDefault="004466EB" w:rsidP="004466EB">
            <w:pPr>
              <w:keepNext w:val="0"/>
              <w:numPr>
                <w:ilvl w:val="0"/>
                <w:numId w:val="359"/>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Church Lane is a narrow rural road that will require widening into the site.</w:t>
            </w:r>
          </w:p>
          <w:p w14:paraId="36A4AB87" w14:textId="77777777" w:rsidR="004466EB" w:rsidRPr="005437C6" w:rsidRDefault="004466EB" w:rsidP="004466EB">
            <w:pPr>
              <w:keepNext w:val="0"/>
              <w:numPr>
                <w:ilvl w:val="0"/>
                <w:numId w:val="359"/>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Internal layouts &amp; external interface design must focus on the Department for Transport's LTN1/20 design for cycle infrastructure to integrate cycling with highway improvements and new developments.</w:t>
            </w:r>
          </w:p>
          <w:p w14:paraId="665519BB" w14:textId="77777777" w:rsidR="004466EB" w:rsidRPr="005437C6" w:rsidRDefault="004466EB" w:rsidP="004466EB">
            <w:pPr>
              <w:keepNext w:val="0"/>
              <w:numPr>
                <w:ilvl w:val="0"/>
                <w:numId w:val="359"/>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 xml:space="preserve">A supporting Transport Assessment (TA) that identifies the transportation implications of a new development will be required. This must include measures that will be provided to deal with the anticipated impacts of the scheme in relation to all forms of travel. Provision of offsite improvements to encourage active travel should be an essential part of the TA (e.g., provision of frequent real-time bus stop/shelter facilities). </w:t>
            </w:r>
          </w:p>
          <w:p w14:paraId="69C903E8" w14:textId="77777777" w:rsidR="004466EB" w:rsidRPr="005437C6" w:rsidRDefault="004466EB" w:rsidP="004466EB">
            <w:pPr>
              <w:keepNext w:val="0"/>
              <w:numPr>
                <w:ilvl w:val="0"/>
                <w:numId w:val="359"/>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Separate to any local remedial / mitigation measures identified as part of a Transport Assessment, a financial strategic contribution may be applicable per dwelling house to deal with the overall cumulative growth and impact on existing infrastructure.</w:t>
            </w:r>
          </w:p>
          <w:p w14:paraId="5FA7C77A" w14:textId="77777777" w:rsidR="004466EB" w:rsidRPr="005437C6" w:rsidRDefault="004466EB" w:rsidP="004466EB">
            <w:pPr>
              <w:keepNext w:val="0"/>
              <w:numPr>
                <w:ilvl w:val="0"/>
                <w:numId w:val="359"/>
              </w:numPr>
              <w:autoSpaceDE w:val="0"/>
              <w:autoSpaceDN w:val="0"/>
              <w:adjustRightInd w:val="0"/>
              <w:spacing w:before="0" w:line="276" w:lineRule="auto"/>
              <w:contextualSpacing/>
              <w:jc w:val="both"/>
              <w:rPr>
                <w:rFonts w:cs="Arial"/>
                <w:color w:val="0070C0"/>
                <w:szCs w:val="24"/>
              </w:rPr>
            </w:pPr>
            <w:r w:rsidRPr="005437C6">
              <w:rPr>
                <w:rFonts w:cs="Arial"/>
                <w:color w:val="0070C0"/>
                <w:szCs w:val="24"/>
              </w:rPr>
              <w:t xml:space="preserve">Parking provision will be crucial to the success and safe operation of this development. Parking standards are based </w:t>
            </w:r>
            <w:r w:rsidRPr="005437C6">
              <w:rPr>
                <w:rFonts w:cs="Arial"/>
                <w:color w:val="0070C0"/>
                <w:szCs w:val="24"/>
              </w:rPr>
              <w:lastRenderedPageBreak/>
              <w:t>on minimum standards and parking spaces/service areas provided must be robustly justified/evidence based on surveys of comparable sites. Disproportionate use of tandem parking to meet standards will not be accepted as research shows these arrangements are invariably under used causing parking displacement to the public highway.</w:t>
            </w:r>
          </w:p>
          <w:p w14:paraId="429C7840" w14:textId="77777777" w:rsidR="004466EB" w:rsidRPr="005437C6" w:rsidRDefault="004466EB">
            <w:pPr>
              <w:keepNext w:val="0"/>
              <w:autoSpaceDE w:val="0"/>
              <w:autoSpaceDN w:val="0"/>
              <w:adjustRightInd w:val="0"/>
              <w:spacing w:before="0" w:line="276" w:lineRule="auto"/>
              <w:ind w:left="325"/>
              <w:contextualSpacing/>
              <w:rPr>
                <w:rFonts w:cs="Arial"/>
                <w:color w:val="0070C0"/>
                <w:szCs w:val="24"/>
              </w:rPr>
            </w:pPr>
          </w:p>
        </w:tc>
      </w:tr>
      <w:tr w:rsidR="005437C6" w:rsidRPr="005437C6" w14:paraId="5E53CE1D" w14:textId="77777777">
        <w:tc>
          <w:tcPr>
            <w:tcW w:w="2263" w:type="dxa"/>
            <w:shd w:val="clear" w:color="auto" w:fill="D9D9D9"/>
          </w:tcPr>
          <w:p w14:paraId="1E89BEE3"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lastRenderedPageBreak/>
              <w:t>Rights of Way</w:t>
            </w:r>
          </w:p>
        </w:tc>
        <w:tc>
          <w:tcPr>
            <w:tcW w:w="7479" w:type="dxa"/>
          </w:tcPr>
          <w:p w14:paraId="256CC36A" w14:textId="77777777" w:rsidR="004466EB" w:rsidRPr="005437C6" w:rsidRDefault="004466EB">
            <w:pPr>
              <w:keepNext w:val="0"/>
              <w:spacing w:before="0" w:line="276" w:lineRule="auto"/>
              <w:rPr>
                <w:rFonts w:cs="Arial"/>
                <w:color w:val="0070C0"/>
                <w:szCs w:val="24"/>
              </w:rPr>
            </w:pPr>
            <w:r w:rsidRPr="005437C6">
              <w:rPr>
                <w:rFonts w:cs="Arial"/>
                <w:color w:val="0070C0"/>
                <w:szCs w:val="24"/>
              </w:rPr>
              <w:t>No rights of way are located on or adjacent to the site.</w:t>
            </w:r>
          </w:p>
          <w:p w14:paraId="58916EC8" w14:textId="77777777" w:rsidR="004466EB" w:rsidRPr="005437C6" w:rsidRDefault="004466EB">
            <w:pPr>
              <w:keepNext w:val="0"/>
              <w:spacing w:before="0" w:line="276" w:lineRule="auto"/>
              <w:rPr>
                <w:rFonts w:cs="Arial"/>
                <w:color w:val="0070C0"/>
                <w:szCs w:val="24"/>
              </w:rPr>
            </w:pPr>
          </w:p>
        </w:tc>
      </w:tr>
      <w:tr w:rsidR="005437C6" w:rsidRPr="005437C6" w14:paraId="25ED9D72" w14:textId="77777777">
        <w:tc>
          <w:tcPr>
            <w:tcW w:w="2263" w:type="dxa"/>
            <w:shd w:val="clear" w:color="auto" w:fill="D9D9D9"/>
          </w:tcPr>
          <w:p w14:paraId="5017181C"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Topography &amp; Landscape Character</w:t>
            </w:r>
          </w:p>
          <w:p w14:paraId="2104C164"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Policy: S13</w:t>
            </w:r>
          </w:p>
          <w:p w14:paraId="4E7BDD4A" w14:textId="77777777" w:rsidR="004466EB" w:rsidRPr="00E56F9C" w:rsidRDefault="004466EB">
            <w:pPr>
              <w:keepNext w:val="0"/>
              <w:spacing w:before="0" w:line="276" w:lineRule="auto"/>
              <w:rPr>
                <w:rFonts w:cs="Arial"/>
                <w:color w:val="005EAC"/>
                <w:sz w:val="22"/>
              </w:rPr>
            </w:pPr>
          </w:p>
          <w:p w14:paraId="00E5300F" w14:textId="77777777" w:rsidR="004466EB" w:rsidRPr="00E56F9C" w:rsidRDefault="004466EB">
            <w:pPr>
              <w:keepNext w:val="0"/>
              <w:spacing w:before="0" w:line="276" w:lineRule="auto"/>
              <w:rPr>
                <w:rFonts w:cs="Arial"/>
                <w:color w:val="005EAC"/>
                <w:sz w:val="22"/>
              </w:rPr>
            </w:pPr>
            <w:r w:rsidRPr="00E56F9C">
              <w:rPr>
                <w:rFonts w:cs="Arial"/>
                <w:color w:val="005EAC"/>
                <w:sz w:val="22"/>
              </w:rPr>
              <w:t>Development Management Policies:</w:t>
            </w:r>
          </w:p>
          <w:p w14:paraId="7371708F"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EV4, EV6, EV10, SD2</w:t>
            </w:r>
          </w:p>
        </w:tc>
        <w:tc>
          <w:tcPr>
            <w:tcW w:w="7479" w:type="dxa"/>
          </w:tcPr>
          <w:p w14:paraId="61F8183B"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No specific topographical constraints are identified with this site.</w:t>
            </w:r>
          </w:p>
          <w:p w14:paraId="05C68599" w14:textId="77777777" w:rsidR="004466EB" w:rsidRPr="005437C6" w:rsidRDefault="004466EB">
            <w:pPr>
              <w:keepNext w:val="0"/>
              <w:autoSpaceDE w:val="0"/>
              <w:autoSpaceDN w:val="0"/>
              <w:adjustRightInd w:val="0"/>
              <w:spacing w:before="0" w:line="276" w:lineRule="auto"/>
              <w:rPr>
                <w:rFonts w:cs="Arial"/>
                <w:color w:val="0070C0"/>
                <w:szCs w:val="24"/>
              </w:rPr>
            </w:pPr>
          </w:p>
          <w:p w14:paraId="2C000338" w14:textId="77777777" w:rsidR="004466EB" w:rsidRPr="005437C6" w:rsidRDefault="004466EB">
            <w:pPr>
              <w:keepNext w:val="0"/>
              <w:spacing w:before="0"/>
              <w:jc w:val="both"/>
              <w:rPr>
                <w:color w:val="0070C0"/>
              </w:rPr>
            </w:pPr>
            <w:r w:rsidRPr="005437C6">
              <w:rPr>
                <w:color w:val="0070C0"/>
              </w:rPr>
              <w:t>Mature hedgerows and trees are an important characteristic of the site and form several boundaries. Development must strengthen and protect existing mature boundary hedgerows around the site by gapping up and planting additional hedgerow trees, where appropriate.</w:t>
            </w:r>
          </w:p>
          <w:p w14:paraId="17883D82" w14:textId="77777777" w:rsidR="004466EB" w:rsidRPr="005437C6" w:rsidRDefault="004466EB">
            <w:pPr>
              <w:keepNext w:val="0"/>
              <w:spacing w:before="0"/>
              <w:jc w:val="both"/>
              <w:rPr>
                <w:color w:val="0070C0"/>
              </w:rPr>
            </w:pPr>
          </w:p>
          <w:p w14:paraId="60AC669D"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 xml:space="preserve">The Greater Nottingham Landscape Assessment identifies the site as lying within character area ML017 </w:t>
            </w:r>
            <w:proofErr w:type="spellStart"/>
            <w:r w:rsidRPr="005437C6">
              <w:rPr>
                <w:rFonts w:cs="Arial"/>
                <w:color w:val="0070C0"/>
                <w:szCs w:val="24"/>
              </w:rPr>
              <w:t>Linby</w:t>
            </w:r>
            <w:proofErr w:type="spellEnd"/>
            <w:r w:rsidRPr="005437C6">
              <w:rPr>
                <w:rFonts w:cs="Arial"/>
                <w:color w:val="0070C0"/>
                <w:szCs w:val="24"/>
              </w:rPr>
              <w:t xml:space="preserve"> Wooded Farmland.</w:t>
            </w:r>
            <w:r w:rsidRPr="005437C6">
              <w:rPr>
                <w:color w:val="0070C0"/>
              </w:rPr>
              <w:t xml:space="preserve"> </w:t>
            </w:r>
            <w:r w:rsidRPr="005437C6">
              <w:rPr>
                <w:rFonts w:cs="Arial"/>
                <w:color w:val="0070C0"/>
                <w:szCs w:val="24"/>
              </w:rPr>
              <w:t>The condition of the landscape is MODERATE. The landscape has a MODERATE character strength. The overall landscape strategy is ENHANCE.</w:t>
            </w:r>
          </w:p>
          <w:p w14:paraId="50E96C53" w14:textId="77777777" w:rsidR="004466EB" w:rsidRPr="005437C6" w:rsidRDefault="004466EB">
            <w:pPr>
              <w:keepNext w:val="0"/>
              <w:autoSpaceDE w:val="0"/>
              <w:autoSpaceDN w:val="0"/>
              <w:adjustRightInd w:val="0"/>
              <w:spacing w:before="0" w:line="276" w:lineRule="auto"/>
              <w:rPr>
                <w:rFonts w:cs="Arial"/>
                <w:color w:val="0070C0"/>
                <w:szCs w:val="24"/>
              </w:rPr>
            </w:pPr>
          </w:p>
        </w:tc>
      </w:tr>
      <w:tr w:rsidR="005437C6" w:rsidRPr="005437C6" w14:paraId="3D5B6649" w14:textId="77777777">
        <w:tc>
          <w:tcPr>
            <w:tcW w:w="2263" w:type="dxa"/>
            <w:shd w:val="clear" w:color="auto" w:fill="D9D9D9"/>
          </w:tcPr>
          <w:p w14:paraId="27BDEA78"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Ground Stability &amp; Contamination</w:t>
            </w:r>
          </w:p>
          <w:p w14:paraId="3BD8BF15"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Policy: S2</w:t>
            </w:r>
          </w:p>
          <w:p w14:paraId="05275908" w14:textId="77777777" w:rsidR="004466EB" w:rsidRPr="00E56F9C" w:rsidRDefault="004466EB">
            <w:pPr>
              <w:keepNext w:val="0"/>
              <w:spacing w:before="0" w:line="276" w:lineRule="auto"/>
              <w:rPr>
                <w:rFonts w:cs="Arial"/>
                <w:color w:val="005EAC"/>
                <w:sz w:val="22"/>
              </w:rPr>
            </w:pPr>
          </w:p>
          <w:p w14:paraId="518F378F"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Development Management Policies: SD8</w:t>
            </w:r>
          </w:p>
        </w:tc>
        <w:tc>
          <w:tcPr>
            <w:tcW w:w="7479" w:type="dxa"/>
          </w:tcPr>
          <w:p w14:paraId="7E5356DE" w14:textId="77777777" w:rsidR="004466EB" w:rsidRPr="005437C6" w:rsidRDefault="004466EB">
            <w:pPr>
              <w:keepNext w:val="0"/>
              <w:spacing w:before="0" w:line="276" w:lineRule="auto"/>
              <w:rPr>
                <w:rFonts w:cs="Arial"/>
                <w:color w:val="0070C0"/>
                <w:szCs w:val="24"/>
              </w:rPr>
            </w:pPr>
            <w:r w:rsidRPr="005437C6">
              <w:rPr>
                <w:rFonts w:cs="Arial"/>
                <w:color w:val="0070C0"/>
                <w:szCs w:val="24"/>
              </w:rPr>
              <w:t>There are no known ground stability issues.  It is located within a Coal Low Risk Area.</w:t>
            </w:r>
          </w:p>
          <w:p w14:paraId="5E386E65" w14:textId="77777777" w:rsidR="004466EB" w:rsidRPr="005437C6" w:rsidRDefault="004466EB">
            <w:pPr>
              <w:keepNext w:val="0"/>
              <w:spacing w:before="0" w:line="276" w:lineRule="auto"/>
              <w:rPr>
                <w:rFonts w:cs="Arial"/>
                <w:color w:val="0070C0"/>
                <w:szCs w:val="24"/>
              </w:rPr>
            </w:pPr>
          </w:p>
          <w:p w14:paraId="35EFFA53" w14:textId="77777777" w:rsidR="004466EB" w:rsidRPr="005437C6" w:rsidRDefault="004466EB">
            <w:pPr>
              <w:keepNext w:val="0"/>
              <w:spacing w:before="0" w:line="276" w:lineRule="auto"/>
              <w:rPr>
                <w:rFonts w:cs="Arial"/>
                <w:color w:val="0070C0"/>
                <w:szCs w:val="24"/>
              </w:rPr>
            </w:pPr>
            <w:r w:rsidRPr="005437C6">
              <w:rPr>
                <w:rFonts w:cs="Arial"/>
                <w:color w:val="0070C0"/>
                <w:szCs w:val="24"/>
              </w:rPr>
              <w:t>No known contamination issues. There is an</w:t>
            </w:r>
            <w:r w:rsidRPr="005437C6">
              <w:rPr>
                <w:color w:val="0070C0"/>
              </w:rPr>
              <w:t xml:space="preserve"> o</w:t>
            </w:r>
            <w:r w:rsidRPr="005437C6">
              <w:rPr>
                <w:rFonts w:cs="Arial"/>
                <w:color w:val="0070C0"/>
                <w:szCs w:val="24"/>
              </w:rPr>
              <w:t>ld quarry immediately adjacent to the north.</w:t>
            </w:r>
          </w:p>
          <w:p w14:paraId="52630FA1" w14:textId="77777777" w:rsidR="004466EB" w:rsidRPr="005437C6" w:rsidRDefault="004466EB">
            <w:pPr>
              <w:keepNext w:val="0"/>
              <w:tabs>
                <w:tab w:val="left" w:pos="900"/>
              </w:tabs>
              <w:spacing w:before="0"/>
              <w:jc w:val="both"/>
              <w:rPr>
                <w:rFonts w:cs="Arial"/>
                <w:color w:val="0070C0"/>
                <w:szCs w:val="24"/>
              </w:rPr>
            </w:pPr>
          </w:p>
        </w:tc>
      </w:tr>
      <w:tr w:rsidR="005437C6" w:rsidRPr="005437C6" w14:paraId="22A84DA9" w14:textId="77777777">
        <w:tc>
          <w:tcPr>
            <w:tcW w:w="2263" w:type="dxa"/>
            <w:shd w:val="clear" w:color="auto" w:fill="D9D9D9"/>
          </w:tcPr>
          <w:p w14:paraId="766FCD57"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Flood Risk</w:t>
            </w:r>
          </w:p>
          <w:p w14:paraId="3A25861B"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Policy: S3</w:t>
            </w:r>
          </w:p>
          <w:p w14:paraId="4C968B41" w14:textId="77777777" w:rsidR="004466EB" w:rsidRPr="00E56F9C" w:rsidRDefault="004466EB">
            <w:pPr>
              <w:keepNext w:val="0"/>
              <w:spacing w:before="0" w:line="276" w:lineRule="auto"/>
              <w:rPr>
                <w:rFonts w:cs="Arial"/>
                <w:color w:val="005EAC"/>
                <w:sz w:val="22"/>
              </w:rPr>
            </w:pPr>
          </w:p>
          <w:p w14:paraId="46692776"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Development Management Policies: CC3</w:t>
            </w:r>
          </w:p>
        </w:tc>
        <w:tc>
          <w:tcPr>
            <w:tcW w:w="7479" w:type="dxa"/>
          </w:tcPr>
          <w:p w14:paraId="4B1BB475" w14:textId="77777777" w:rsidR="004466EB" w:rsidRPr="005437C6" w:rsidRDefault="004466EB">
            <w:pPr>
              <w:keepNext w:val="0"/>
              <w:spacing w:before="0" w:line="276" w:lineRule="auto"/>
              <w:rPr>
                <w:rFonts w:cs="Arial"/>
                <w:color w:val="0070C0"/>
                <w:szCs w:val="24"/>
              </w:rPr>
            </w:pPr>
            <w:r w:rsidRPr="005437C6">
              <w:rPr>
                <w:rFonts w:cs="Arial"/>
                <w:color w:val="0070C0"/>
                <w:szCs w:val="24"/>
              </w:rPr>
              <w:t>The site lies within flood zone 1, there is a low risk of flooding.</w:t>
            </w:r>
          </w:p>
          <w:p w14:paraId="00E6B723" w14:textId="77777777" w:rsidR="004466EB" w:rsidRPr="005437C6" w:rsidRDefault="004466EB">
            <w:pPr>
              <w:keepNext w:val="0"/>
              <w:spacing w:before="0" w:line="276" w:lineRule="auto"/>
              <w:rPr>
                <w:rFonts w:cs="Arial"/>
                <w:color w:val="0070C0"/>
                <w:szCs w:val="24"/>
              </w:rPr>
            </w:pPr>
          </w:p>
          <w:p w14:paraId="2E0C69E5" w14:textId="77777777" w:rsidR="004466EB" w:rsidRPr="005437C6" w:rsidRDefault="004466EB">
            <w:pPr>
              <w:keepNext w:val="0"/>
              <w:spacing w:before="0" w:line="276" w:lineRule="auto"/>
              <w:rPr>
                <w:rFonts w:cs="Arial"/>
                <w:color w:val="0070C0"/>
                <w:szCs w:val="24"/>
              </w:rPr>
            </w:pPr>
            <w:r w:rsidRPr="005437C6">
              <w:rPr>
                <w:rFonts w:cs="Arial"/>
                <w:color w:val="0070C0"/>
                <w:szCs w:val="24"/>
              </w:rPr>
              <w:t xml:space="preserve">There is a small area of high and medium risk surface water to the south-eastern part of the site. </w:t>
            </w:r>
          </w:p>
          <w:p w14:paraId="2D47482A" w14:textId="77777777" w:rsidR="004466EB" w:rsidRPr="005437C6" w:rsidRDefault="004466EB">
            <w:pPr>
              <w:keepNext w:val="0"/>
              <w:spacing w:before="0" w:line="276" w:lineRule="auto"/>
              <w:rPr>
                <w:rFonts w:cs="Arial"/>
                <w:color w:val="0070C0"/>
                <w:szCs w:val="24"/>
              </w:rPr>
            </w:pPr>
          </w:p>
        </w:tc>
      </w:tr>
      <w:tr w:rsidR="005437C6" w:rsidRPr="005437C6" w14:paraId="7AA362B8" w14:textId="77777777">
        <w:tc>
          <w:tcPr>
            <w:tcW w:w="2263" w:type="dxa"/>
            <w:shd w:val="clear" w:color="auto" w:fill="D9D9D9"/>
          </w:tcPr>
          <w:p w14:paraId="2DB818C9"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Heritage and Archaeology</w:t>
            </w:r>
          </w:p>
          <w:p w14:paraId="0A9BA4B0"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Policy: S14</w:t>
            </w:r>
          </w:p>
          <w:p w14:paraId="10099E9D" w14:textId="77777777" w:rsidR="004466EB" w:rsidRPr="00E56F9C" w:rsidRDefault="004466EB">
            <w:pPr>
              <w:keepNext w:val="0"/>
              <w:spacing w:before="0" w:line="276" w:lineRule="auto"/>
              <w:rPr>
                <w:rFonts w:cs="Arial"/>
                <w:color w:val="005EAC"/>
                <w:sz w:val="22"/>
              </w:rPr>
            </w:pPr>
          </w:p>
          <w:p w14:paraId="5C169E60"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Development Management Policy: EV9</w:t>
            </w:r>
          </w:p>
        </w:tc>
        <w:tc>
          <w:tcPr>
            <w:tcW w:w="7479" w:type="dxa"/>
          </w:tcPr>
          <w:p w14:paraId="6AC6A6F2" w14:textId="77777777" w:rsidR="004466EB" w:rsidRPr="005437C6" w:rsidRDefault="004466EB">
            <w:pPr>
              <w:keepNext w:val="0"/>
              <w:autoSpaceDE w:val="0"/>
              <w:autoSpaceDN w:val="0"/>
              <w:adjustRightInd w:val="0"/>
              <w:spacing w:before="0"/>
              <w:rPr>
                <w:rFonts w:eastAsia="Arial" w:cs="Arial"/>
                <w:iCs/>
                <w:color w:val="0070C0"/>
                <w:szCs w:val="24"/>
              </w:rPr>
            </w:pPr>
            <w:r w:rsidRPr="005437C6">
              <w:rPr>
                <w:rFonts w:eastAsia="Arial" w:cs="Arial"/>
                <w:iCs/>
                <w:color w:val="0070C0"/>
                <w:szCs w:val="24"/>
              </w:rPr>
              <w:t xml:space="preserve">The site adjoins </w:t>
            </w:r>
            <w:proofErr w:type="spellStart"/>
            <w:r w:rsidRPr="005437C6">
              <w:rPr>
                <w:rFonts w:eastAsia="Arial" w:cs="Arial"/>
                <w:iCs/>
                <w:color w:val="0070C0"/>
                <w:szCs w:val="24"/>
              </w:rPr>
              <w:t>Linby</w:t>
            </w:r>
            <w:proofErr w:type="spellEnd"/>
            <w:r w:rsidRPr="005437C6">
              <w:rPr>
                <w:rFonts w:eastAsia="Arial" w:cs="Arial"/>
                <w:iCs/>
                <w:color w:val="0070C0"/>
                <w:szCs w:val="24"/>
              </w:rPr>
              <w:t xml:space="preserve"> Conservation Area in Gedling Borough to the North and forms part of the visual influence area of the conservation area, which is the setting for the Grade II* Listed Church of St. Michael.  Consideration will need to be given to this aspect and the layout of the site prior to submitting a planning application. </w:t>
            </w:r>
          </w:p>
          <w:p w14:paraId="61FF80CE" w14:textId="77777777" w:rsidR="004466EB" w:rsidRPr="005437C6" w:rsidRDefault="004466EB">
            <w:pPr>
              <w:keepNext w:val="0"/>
              <w:autoSpaceDE w:val="0"/>
              <w:autoSpaceDN w:val="0"/>
              <w:adjustRightInd w:val="0"/>
              <w:spacing w:before="0"/>
              <w:rPr>
                <w:rFonts w:eastAsia="Arial" w:cs="Arial"/>
                <w:iCs/>
                <w:color w:val="0070C0"/>
                <w:szCs w:val="24"/>
              </w:rPr>
            </w:pPr>
          </w:p>
          <w:p w14:paraId="21FD5872" w14:textId="77777777" w:rsidR="004466EB" w:rsidRPr="005437C6" w:rsidRDefault="004466EB">
            <w:pPr>
              <w:keepNext w:val="0"/>
              <w:autoSpaceDE w:val="0"/>
              <w:autoSpaceDN w:val="0"/>
              <w:adjustRightInd w:val="0"/>
              <w:spacing w:before="0"/>
              <w:rPr>
                <w:rFonts w:eastAsia="Arial" w:cs="Arial"/>
                <w:iCs/>
                <w:color w:val="0070C0"/>
                <w:szCs w:val="24"/>
              </w:rPr>
            </w:pPr>
            <w:r w:rsidRPr="005437C6">
              <w:rPr>
                <w:rFonts w:eastAsia="Arial" w:cs="Arial"/>
                <w:iCs/>
                <w:color w:val="0070C0"/>
                <w:szCs w:val="24"/>
              </w:rPr>
              <w:t xml:space="preserve">A Heritage Statement should be submitted that provides a proportionate assessment of the significance of the heritage assets, and where appropriate its setting, and an assessment of </w:t>
            </w:r>
            <w:r w:rsidRPr="005437C6">
              <w:rPr>
                <w:rFonts w:eastAsia="Arial" w:cs="Arial"/>
                <w:iCs/>
                <w:color w:val="0070C0"/>
                <w:szCs w:val="24"/>
              </w:rPr>
              <w:lastRenderedPageBreak/>
              <w:t>the impact of the proposal on the significance.  As a minimum, the Heritage Statement should cover the following:</w:t>
            </w:r>
          </w:p>
          <w:p w14:paraId="0F36DFB0" w14:textId="77777777" w:rsidR="004466EB" w:rsidRPr="005437C6" w:rsidRDefault="004466EB" w:rsidP="004466EB">
            <w:pPr>
              <w:keepNext w:val="0"/>
              <w:numPr>
                <w:ilvl w:val="0"/>
                <w:numId w:val="364"/>
              </w:numPr>
              <w:autoSpaceDE w:val="0"/>
              <w:autoSpaceDN w:val="0"/>
              <w:adjustRightInd w:val="0"/>
              <w:spacing w:before="0"/>
              <w:contextualSpacing/>
              <w:jc w:val="both"/>
              <w:rPr>
                <w:rFonts w:eastAsia="Arial" w:cs="Arial"/>
                <w:iCs/>
                <w:color w:val="0070C0"/>
                <w:szCs w:val="24"/>
              </w:rPr>
            </w:pPr>
            <w:r w:rsidRPr="005437C6">
              <w:rPr>
                <w:rFonts w:eastAsia="Arial" w:cs="Arial"/>
                <w:iCs/>
                <w:color w:val="0070C0"/>
                <w:szCs w:val="24"/>
              </w:rPr>
              <w:t>describe and assess the significance of the asset(s) and/or its setting;</w:t>
            </w:r>
          </w:p>
          <w:p w14:paraId="47302759" w14:textId="77777777" w:rsidR="004466EB" w:rsidRPr="005437C6" w:rsidRDefault="004466EB" w:rsidP="004466EB">
            <w:pPr>
              <w:keepNext w:val="0"/>
              <w:numPr>
                <w:ilvl w:val="0"/>
                <w:numId w:val="364"/>
              </w:numPr>
              <w:autoSpaceDE w:val="0"/>
              <w:autoSpaceDN w:val="0"/>
              <w:adjustRightInd w:val="0"/>
              <w:spacing w:before="0"/>
              <w:contextualSpacing/>
              <w:jc w:val="both"/>
              <w:rPr>
                <w:rFonts w:eastAsia="Arial" w:cs="Arial"/>
                <w:iCs/>
                <w:color w:val="0070C0"/>
                <w:szCs w:val="24"/>
              </w:rPr>
            </w:pPr>
            <w:r w:rsidRPr="005437C6">
              <w:rPr>
                <w:rFonts w:eastAsia="Arial" w:cs="Arial"/>
                <w:iCs/>
                <w:color w:val="0070C0"/>
                <w:szCs w:val="24"/>
              </w:rPr>
              <w:t>identify the impact of works on the special character of the asset(s); and</w:t>
            </w:r>
          </w:p>
          <w:p w14:paraId="1D6254F4" w14:textId="77777777" w:rsidR="004466EB" w:rsidRPr="005437C6" w:rsidRDefault="004466EB" w:rsidP="004466EB">
            <w:pPr>
              <w:keepNext w:val="0"/>
              <w:numPr>
                <w:ilvl w:val="0"/>
                <w:numId w:val="364"/>
              </w:numPr>
              <w:autoSpaceDE w:val="0"/>
              <w:autoSpaceDN w:val="0"/>
              <w:adjustRightInd w:val="0"/>
              <w:spacing w:before="0"/>
              <w:contextualSpacing/>
              <w:jc w:val="both"/>
              <w:rPr>
                <w:rFonts w:eastAsia="Arial" w:cs="Arial"/>
                <w:iCs/>
                <w:color w:val="0070C0"/>
                <w:szCs w:val="24"/>
              </w:rPr>
            </w:pPr>
            <w:r w:rsidRPr="005437C6">
              <w:rPr>
                <w:rFonts w:eastAsia="Arial" w:cs="Arial"/>
                <w:iCs/>
                <w:color w:val="0070C0"/>
                <w:szCs w:val="24"/>
              </w:rPr>
              <w:t>provide a clear justification for the works, especially if these would harm the asset(s) or its setting, so that the harm can be weighed against public benefit.</w:t>
            </w:r>
          </w:p>
          <w:p w14:paraId="6061E363" w14:textId="77777777" w:rsidR="004466EB" w:rsidRPr="005437C6" w:rsidRDefault="004466EB">
            <w:pPr>
              <w:keepNext w:val="0"/>
              <w:autoSpaceDE w:val="0"/>
              <w:autoSpaceDN w:val="0"/>
              <w:adjustRightInd w:val="0"/>
              <w:spacing w:before="0"/>
              <w:rPr>
                <w:rFonts w:eastAsia="Arial" w:cs="Arial"/>
                <w:iCs/>
                <w:color w:val="0070C0"/>
                <w:szCs w:val="24"/>
              </w:rPr>
            </w:pPr>
          </w:p>
          <w:p w14:paraId="265D497F" w14:textId="77777777" w:rsidR="004466EB" w:rsidRPr="005437C6" w:rsidRDefault="004466EB">
            <w:pPr>
              <w:keepNext w:val="0"/>
              <w:autoSpaceDE w:val="0"/>
              <w:autoSpaceDN w:val="0"/>
              <w:adjustRightInd w:val="0"/>
              <w:spacing w:before="0"/>
              <w:rPr>
                <w:rFonts w:eastAsia="Arial" w:cs="Arial"/>
                <w:iCs/>
                <w:color w:val="0070C0"/>
                <w:szCs w:val="24"/>
              </w:rPr>
            </w:pPr>
            <w:r w:rsidRPr="005437C6">
              <w:rPr>
                <w:rFonts w:eastAsia="Arial" w:cs="Arial"/>
                <w:iCs/>
                <w:color w:val="0070C0"/>
                <w:szCs w:val="24"/>
              </w:rPr>
              <w:t xml:space="preserve">Historic England’s Good Practice Advice Note 2: Managing Significance in Decision-Taking in the Historic Environment, and </w:t>
            </w:r>
            <w:proofErr w:type="gramStart"/>
            <w:r w:rsidRPr="005437C6">
              <w:rPr>
                <w:rFonts w:eastAsia="Arial" w:cs="Arial"/>
                <w:iCs/>
                <w:color w:val="0070C0"/>
                <w:szCs w:val="24"/>
              </w:rPr>
              <w:t>Good</w:t>
            </w:r>
            <w:proofErr w:type="gramEnd"/>
            <w:r w:rsidRPr="005437C6">
              <w:rPr>
                <w:rFonts w:eastAsia="Arial" w:cs="Arial"/>
                <w:iCs/>
                <w:color w:val="0070C0"/>
                <w:szCs w:val="24"/>
              </w:rPr>
              <w:t xml:space="preserve"> practice Advice Note 3: The Setting of Heritage Assets, provide advice on how to undertake a Heritage Statement.</w:t>
            </w:r>
          </w:p>
          <w:p w14:paraId="63D962A1" w14:textId="77777777" w:rsidR="004466EB" w:rsidRPr="005437C6" w:rsidRDefault="004466EB">
            <w:pPr>
              <w:keepNext w:val="0"/>
              <w:autoSpaceDE w:val="0"/>
              <w:autoSpaceDN w:val="0"/>
              <w:adjustRightInd w:val="0"/>
              <w:spacing w:before="0"/>
              <w:rPr>
                <w:rFonts w:eastAsia="Arial" w:cs="Arial"/>
                <w:iCs/>
                <w:color w:val="0070C0"/>
                <w:szCs w:val="24"/>
              </w:rPr>
            </w:pPr>
          </w:p>
          <w:p w14:paraId="25A99DFF" w14:textId="77777777" w:rsidR="004466EB" w:rsidRPr="005437C6" w:rsidRDefault="004466EB">
            <w:pPr>
              <w:keepNext w:val="0"/>
              <w:autoSpaceDE w:val="0"/>
              <w:autoSpaceDN w:val="0"/>
              <w:adjustRightInd w:val="0"/>
              <w:spacing w:before="0"/>
              <w:rPr>
                <w:rFonts w:eastAsia="Arial" w:cs="Arial"/>
                <w:iCs/>
                <w:color w:val="0070C0"/>
                <w:szCs w:val="24"/>
              </w:rPr>
            </w:pPr>
            <w:r w:rsidRPr="005437C6">
              <w:rPr>
                <w:rFonts w:eastAsia="Arial" w:cs="Arial"/>
                <w:iCs/>
                <w:color w:val="0070C0"/>
                <w:szCs w:val="24"/>
              </w:rPr>
              <w:t xml:space="preserve">In addition, given the site’s location on the periphery of a medieval village and the existence of medieval terracing to the north, the presence of medieval remains cannot be completely ruled out.  Further archaeological evaluation work will be required, beginning with a Desk Based Assessment (DBA), </w:t>
            </w:r>
            <w:r w:rsidRPr="005437C6">
              <w:rPr>
                <w:rFonts w:cs="Arial"/>
                <w:color w:val="0070C0"/>
              </w:rPr>
              <w:t>to ascertain the extent and level of survival of archaeological remains within the site</w:t>
            </w:r>
            <w:r w:rsidRPr="005437C6">
              <w:rPr>
                <w:rFonts w:eastAsia="Arial" w:cs="Arial"/>
                <w:iCs/>
                <w:color w:val="0070C0"/>
                <w:szCs w:val="24"/>
              </w:rPr>
              <w:t>. Geophysical investigation and targeted trial trenching are a</w:t>
            </w:r>
            <w:r w:rsidRPr="005437C6">
              <w:rPr>
                <w:color w:val="0070C0"/>
              </w:rPr>
              <w:t xml:space="preserve">lso </w:t>
            </w:r>
            <w:r w:rsidRPr="005437C6">
              <w:rPr>
                <w:rFonts w:eastAsia="Arial" w:cs="Arial"/>
                <w:iCs/>
                <w:color w:val="0070C0"/>
                <w:szCs w:val="24"/>
              </w:rPr>
              <w:t>recommended. This will inform the need for mitigation.</w:t>
            </w:r>
          </w:p>
          <w:p w14:paraId="771EFB80" w14:textId="77777777" w:rsidR="004466EB" w:rsidRPr="005437C6" w:rsidRDefault="004466EB">
            <w:pPr>
              <w:keepNext w:val="0"/>
              <w:autoSpaceDE w:val="0"/>
              <w:autoSpaceDN w:val="0"/>
              <w:adjustRightInd w:val="0"/>
              <w:spacing w:before="0"/>
              <w:rPr>
                <w:rFonts w:cs="Arial"/>
                <w:color w:val="0070C0"/>
                <w:szCs w:val="24"/>
              </w:rPr>
            </w:pPr>
          </w:p>
        </w:tc>
      </w:tr>
      <w:tr w:rsidR="005437C6" w:rsidRPr="005437C6" w14:paraId="07D51446" w14:textId="77777777">
        <w:tc>
          <w:tcPr>
            <w:tcW w:w="2263" w:type="dxa"/>
            <w:shd w:val="clear" w:color="auto" w:fill="D9D9D9"/>
          </w:tcPr>
          <w:p w14:paraId="690F2B8C"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lastRenderedPageBreak/>
              <w:t>Green Infrastructure &amp; Biodiversity</w:t>
            </w:r>
          </w:p>
          <w:p w14:paraId="060679B2"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Policy: S13</w:t>
            </w:r>
          </w:p>
          <w:p w14:paraId="4177615A" w14:textId="77777777" w:rsidR="004466EB" w:rsidRPr="00E56F9C" w:rsidRDefault="004466EB">
            <w:pPr>
              <w:keepNext w:val="0"/>
              <w:spacing w:before="0" w:line="276" w:lineRule="auto"/>
              <w:rPr>
                <w:rFonts w:cs="Arial"/>
                <w:color w:val="005EAC"/>
                <w:sz w:val="22"/>
              </w:rPr>
            </w:pPr>
          </w:p>
          <w:p w14:paraId="1BDEA2AC"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Development Management Policies: EV4, EV6</w:t>
            </w:r>
          </w:p>
        </w:tc>
        <w:tc>
          <w:tcPr>
            <w:tcW w:w="7479" w:type="dxa"/>
          </w:tcPr>
          <w:p w14:paraId="47136651" w14:textId="77777777" w:rsidR="004466EB" w:rsidRPr="005437C6" w:rsidRDefault="004466EB">
            <w:pPr>
              <w:keepNext w:val="0"/>
              <w:spacing w:before="0" w:line="276" w:lineRule="auto"/>
              <w:rPr>
                <w:rFonts w:cs="Arial"/>
                <w:color w:val="0070C0"/>
                <w:szCs w:val="24"/>
              </w:rPr>
            </w:pPr>
            <w:r w:rsidRPr="005437C6">
              <w:rPr>
                <w:rFonts w:cs="Arial"/>
                <w:color w:val="0070C0"/>
                <w:szCs w:val="24"/>
              </w:rPr>
              <w:t>No Nationally Designated Natural Assets on or adjacent to the site.</w:t>
            </w:r>
          </w:p>
          <w:p w14:paraId="4E49165B" w14:textId="77777777" w:rsidR="004466EB" w:rsidRPr="005437C6" w:rsidRDefault="004466EB">
            <w:pPr>
              <w:keepNext w:val="0"/>
              <w:spacing w:before="0" w:line="276" w:lineRule="auto"/>
              <w:rPr>
                <w:rFonts w:cs="Arial"/>
                <w:color w:val="0070C0"/>
                <w:szCs w:val="24"/>
              </w:rPr>
            </w:pPr>
            <w:r w:rsidRPr="005437C6">
              <w:rPr>
                <w:rFonts w:cs="Arial"/>
                <w:color w:val="0070C0"/>
                <w:szCs w:val="24"/>
              </w:rPr>
              <w:t xml:space="preserve">Local Wildlife Site - </w:t>
            </w:r>
            <w:proofErr w:type="spellStart"/>
            <w:r w:rsidRPr="005437C6">
              <w:rPr>
                <w:rFonts w:cs="Arial"/>
                <w:color w:val="0070C0"/>
                <w:szCs w:val="24"/>
              </w:rPr>
              <w:t>Linby</w:t>
            </w:r>
            <w:proofErr w:type="spellEnd"/>
            <w:r w:rsidRPr="005437C6">
              <w:rPr>
                <w:rFonts w:cs="Arial"/>
                <w:color w:val="0070C0"/>
                <w:szCs w:val="24"/>
              </w:rPr>
              <w:t xml:space="preserve"> Paddock is adjacent to the northern boundary of the site. Protected species surveys will be required.</w:t>
            </w:r>
          </w:p>
          <w:p w14:paraId="64EB6E3C" w14:textId="77777777" w:rsidR="004466EB" w:rsidRPr="005437C6" w:rsidRDefault="004466EB">
            <w:pPr>
              <w:keepNext w:val="0"/>
              <w:autoSpaceDE w:val="0"/>
              <w:autoSpaceDN w:val="0"/>
              <w:adjustRightInd w:val="0"/>
              <w:spacing w:before="0" w:line="276" w:lineRule="auto"/>
              <w:rPr>
                <w:rFonts w:cs="Arial"/>
                <w:color w:val="0070C0"/>
                <w:szCs w:val="24"/>
              </w:rPr>
            </w:pPr>
          </w:p>
          <w:p w14:paraId="36F0D115"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 xml:space="preserve">In respect of this site the Council will require a minimum Biodiversity Net Gain (BNG) of 10%. </w:t>
            </w:r>
            <w:r w:rsidRPr="005437C6">
              <w:rPr>
                <w:color w:val="0070C0"/>
              </w:rPr>
              <w:t xml:space="preserve">Biodiversity should be delivered on site in the first instance via habitat creation/enhancement, or by using off-site gains where necessary. As a last resort, biodiversity credits may be purchased where sufficient gains cannot be achieved on or off-site. </w:t>
            </w:r>
            <w:r w:rsidRPr="005437C6">
              <w:rPr>
                <w:rFonts w:cs="Arial"/>
                <w:color w:val="0070C0"/>
                <w:szCs w:val="24"/>
              </w:rPr>
              <w:t xml:space="preserve"> </w:t>
            </w:r>
          </w:p>
          <w:p w14:paraId="4F91F1F0" w14:textId="77777777" w:rsidR="004466EB" w:rsidRPr="005437C6" w:rsidRDefault="004466EB">
            <w:pPr>
              <w:keepNext w:val="0"/>
              <w:autoSpaceDE w:val="0"/>
              <w:autoSpaceDN w:val="0"/>
              <w:adjustRightInd w:val="0"/>
              <w:spacing w:before="0" w:line="276" w:lineRule="auto"/>
              <w:rPr>
                <w:rFonts w:cs="Arial"/>
                <w:color w:val="0070C0"/>
                <w:szCs w:val="24"/>
              </w:rPr>
            </w:pPr>
          </w:p>
          <w:p w14:paraId="2CFB5FD4"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Development must comply with the Developer Guide to Biodiversity and Nature Conservation 2022, which sets out the Council’s expectations in respect of BNG, alongside mandatory requirements for protected sites.</w:t>
            </w:r>
          </w:p>
          <w:p w14:paraId="4298011C" w14:textId="77777777" w:rsidR="004466EB" w:rsidRPr="005437C6" w:rsidRDefault="004466EB">
            <w:pPr>
              <w:keepNext w:val="0"/>
              <w:autoSpaceDE w:val="0"/>
              <w:autoSpaceDN w:val="0"/>
              <w:adjustRightInd w:val="0"/>
              <w:spacing w:before="0" w:line="276" w:lineRule="auto"/>
              <w:rPr>
                <w:rFonts w:cs="Arial"/>
                <w:color w:val="0070C0"/>
                <w:szCs w:val="24"/>
              </w:rPr>
            </w:pPr>
          </w:p>
          <w:p w14:paraId="5C6F78BF" w14:textId="77777777" w:rsidR="004466EB" w:rsidRPr="005437C6" w:rsidRDefault="004466EB">
            <w:pPr>
              <w:keepNext w:val="0"/>
              <w:spacing w:before="0"/>
              <w:rPr>
                <w:color w:val="0070C0"/>
                <w:u w:val="single"/>
              </w:rPr>
            </w:pPr>
            <w:r w:rsidRPr="005437C6">
              <w:rPr>
                <w:rFonts w:cs="Arial"/>
                <w:color w:val="0070C0"/>
                <w:szCs w:val="24"/>
              </w:rPr>
              <w:t xml:space="preserve">The Developer Guide can be viewed on the Council’s website: </w:t>
            </w:r>
            <w:hyperlink r:id="rId105" w:history="1">
              <w:r w:rsidRPr="005437C6">
                <w:rPr>
                  <w:color w:val="0070C0"/>
                  <w:u w:val="single"/>
                </w:rPr>
                <w:t>Ashfield District Council Supplementary Planning Documents and Guidance</w:t>
              </w:r>
            </w:hyperlink>
          </w:p>
          <w:p w14:paraId="3B780E9B" w14:textId="77777777" w:rsidR="004466EB" w:rsidRPr="005437C6" w:rsidRDefault="004466EB">
            <w:pPr>
              <w:keepNext w:val="0"/>
              <w:spacing w:before="0" w:line="276" w:lineRule="auto"/>
              <w:rPr>
                <w:rFonts w:cs="Arial"/>
                <w:color w:val="0070C0"/>
                <w:szCs w:val="24"/>
              </w:rPr>
            </w:pPr>
          </w:p>
        </w:tc>
      </w:tr>
      <w:tr w:rsidR="005437C6" w:rsidRPr="005437C6" w14:paraId="267A9C34" w14:textId="77777777">
        <w:tc>
          <w:tcPr>
            <w:tcW w:w="2263" w:type="dxa"/>
            <w:shd w:val="clear" w:color="auto" w:fill="D9D9D9"/>
          </w:tcPr>
          <w:p w14:paraId="14776B3E"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Utilities</w:t>
            </w:r>
          </w:p>
          <w:p w14:paraId="4459EAA3"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Policy: S2</w:t>
            </w:r>
          </w:p>
          <w:p w14:paraId="488B4322" w14:textId="77777777" w:rsidR="004466EB" w:rsidRPr="00E56F9C" w:rsidRDefault="004466EB">
            <w:pPr>
              <w:keepNext w:val="0"/>
              <w:spacing w:before="0" w:line="276" w:lineRule="auto"/>
              <w:rPr>
                <w:rFonts w:cs="Arial"/>
                <w:color w:val="005EAC"/>
                <w:sz w:val="22"/>
              </w:rPr>
            </w:pPr>
          </w:p>
          <w:p w14:paraId="219B59FA"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lastRenderedPageBreak/>
              <w:t>Development Management Policy: CC2</w:t>
            </w:r>
          </w:p>
        </w:tc>
        <w:tc>
          <w:tcPr>
            <w:tcW w:w="7479" w:type="dxa"/>
          </w:tcPr>
          <w:p w14:paraId="5FD79181" w14:textId="77777777" w:rsidR="004466EB" w:rsidRPr="005437C6" w:rsidRDefault="004466EB">
            <w:pPr>
              <w:keepNext w:val="0"/>
              <w:spacing w:before="0" w:line="276" w:lineRule="auto"/>
              <w:rPr>
                <w:rFonts w:cs="Arial"/>
                <w:color w:val="0070C0"/>
                <w:szCs w:val="24"/>
              </w:rPr>
            </w:pPr>
            <w:r w:rsidRPr="005437C6">
              <w:rPr>
                <w:rFonts w:cs="Arial"/>
                <w:color w:val="0070C0"/>
                <w:szCs w:val="24"/>
              </w:rPr>
              <w:lastRenderedPageBreak/>
              <w:t>Seven Trent Water:</w:t>
            </w:r>
          </w:p>
          <w:p w14:paraId="6BF5D8DA" w14:textId="77777777" w:rsidR="004466EB" w:rsidRPr="005437C6" w:rsidRDefault="004466EB" w:rsidP="004466EB">
            <w:pPr>
              <w:keepNext w:val="0"/>
              <w:numPr>
                <w:ilvl w:val="0"/>
                <w:numId w:val="358"/>
              </w:numPr>
              <w:spacing w:before="0" w:line="276" w:lineRule="auto"/>
              <w:jc w:val="both"/>
              <w:rPr>
                <w:rFonts w:cs="Arial"/>
                <w:color w:val="0070C0"/>
                <w:szCs w:val="24"/>
              </w:rPr>
            </w:pPr>
            <w:r w:rsidRPr="005437C6">
              <w:rPr>
                <w:rFonts w:cs="Arial"/>
                <w:color w:val="0070C0"/>
                <w:szCs w:val="24"/>
              </w:rPr>
              <w:lastRenderedPageBreak/>
              <w:t>Potential Impact on Foul Sewer Infrastructure - Network Improvements may be required.</w:t>
            </w:r>
          </w:p>
          <w:p w14:paraId="518D1EFA" w14:textId="77777777" w:rsidR="004466EB" w:rsidRPr="005437C6" w:rsidRDefault="004466EB" w:rsidP="004466EB">
            <w:pPr>
              <w:keepNext w:val="0"/>
              <w:numPr>
                <w:ilvl w:val="0"/>
                <w:numId w:val="358"/>
              </w:numPr>
              <w:spacing w:before="0" w:line="276" w:lineRule="auto"/>
              <w:jc w:val="both"/>
              <w:rPr>
                <w:rFonts w:cs="Arial"/>
                <w:color w:val="0070C0"/>
                <w:szCs w:val="24"/>
              </w:rPr>
            </w:pPr>
            <w:r w:rsidRPr="005437C6">
              <w:rPr>
                <w:rFonts w:cs="Arial"/>
                <w:color w:val="0070C0"/>
                <w:szCs w:val="24"/>
              </w:rPr>
              <w:t>Potential Impact on Surface Water Sewer Infrastructure - Network Improvements may be required.</w:t>
            </w:r>
          </w:p>
          <w:p w14:paraId="2DEA395C" w14:textId="77777777" w:rsidR="004466EB" w:rsidRPr="005437C6" w:rsidRDefault="004466EB">
            <w:pPr>
              <w:keepNext w:val="0"/>
              <w:spacing w:before="0" w:line="276" w:lineRule="auto"/>
              <w:rPr>
                <w:rFonts w:cs="Arial"/>
                <w:color w:val="0070C0"/>
                <w:szCs w:val="24"/>
              </w:rPr>
            </w:pPr>
          </w:p>
          <w:p w14:paraId="0DA73E6A" w14:textId="77777777" w:rsidR="004466EB" w:rsidRPr="005437C6" w:rsidRDefault="004466EB">
            <w:pPr>
              <w:keepNext w:val="0"/>
              <w:spacing w:before="0" w:line="276" w:lineRule="auto"/>
              <w:rPr>
                <w:rFonts w:cs="Arial"/>
                <w:color w:val="0070C0"/>
                <w:szCs w:val="24"/>
              </w:rPr>
            </w:pPr>
            <w:r w:rsidRPr="005437C6">
              <w:rPr>
                <w:rFonts w:cs="Arial"/>
                <w:color w:val="0070C0"/>
                <w:szCs w:val="24"/>
              </w:rPr>
              <w:t>Access to other utilities is generally assumed to be non-constrained.</w:t>
            </w:r>
          </w:p>
          <w:p w14:paraId="641220A1" w14:textId="77777777" w:rsidR="004466EB" w:rsidRPr="005437C6" w:rsidRDefault="004466EB">
            <w:pPr>
              <w:keepNext w:val="0"/>
              <w:spacing w:before="0" w:line="276" w:lineRule="auto"/>
              <w:rPr>
                <w:rFonts w:cs="Arial"/>
                <w:color w:val="0070C0"/>
                <w:szCs w:val="24"/>
              </w:rPr>
            </w:pPr>
          </w:p>
        </w:tc>
      </w:tr>
      <w:tr w:rsidR="005437C6" w:rsidRPr="005437C6" w14:paraId="570D4E6C" w14:textId="77777777">
        <w:tc>
          <w:tcPr>
            <w:tcW w:w="2263" w:type="dxa"/>
            <w:shd w:val="clear" w:color="auto" w:fill="D9D9D9"/>
          </w:tcPr>
          <w:p w14:paraId="48C736F4"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lastRenderedPageBreak/>
              <w:t>Public Open Space Requirements</w:t>
            </w:r>
          </w:p>
          <w:p w14:paraId="1D941419"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Policy: S12</w:t>
            </w:r>
          </w:p>
          <w:p w14:paraId="54D3B44F" w14:textId="77777777" w:rsidR="004466EB" w:rsidRPr="00E56F9C" w:rsidRDefault="004466EB">
            <w:pPr>
              <w:keepNext w:val="0"/>
              <w:spacing w:before="0" w:line="276" w:lineRule="auto"/>
              <w:rPr>
                <w:rFonts w:cs="Arial"/>
                <w:color w:val="005EAC"/>
                <w:sz w:val="22"/>
              </w:rPr>
            </w:pPr>
          </w:p>
          <w:p w14:paraId="58B92180"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Development Management Policies: H5, SD5</w:t>
            </w:r>
          </w:p>
        </w:tc>
        <w:tc>
          <w:tcPr>
            <w:tcW w:w="7479" w:type="dxa"/>
          </w:tcPr>
          <w:p w14:paraId="51470D6E"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 xml:space="preserve">The site should accommodate a minimum of </w:t>
            </w:r>
            <w:r w:rsidRPr="005437C6">
              <w:rPr>
                <w:rFonts w:cs="Arial"/>
                <w:b/>
                <w:bCs/>
                <w:color w:val="0070C0"/>
                <w:szCs w:val="24"/>
              </w:rPr>
              <w:t xml:space="preserve">10% </w:t>
            </w:r>
            <w:r w:rsidRPr="005437C6">
              <w:rPr>
                <w:rFonts w:cs="Arial"/>
                <w:color w:val="0070C0"/>
                <w:szCs w:val="24"/>
              </w:rPr>
              <w:t xml:space="preserve">recreational space for community use, approximately </w:t>
            </w:r>
            <w:r w:rsidRPr="005437C6">
              <w:rPr>
                <w:rFonts w:cs="Arial"/>
                <w:b/>
                <w:bCs/>
                <w:color w:val="0070C0"/>
                <w:szCs w:val="24"/>
              </w:rPr>
              <w:t xml:space="preserve">0.33ha </w:t>
            </w:r>
            <w:r w:rsidRPr="005437C6">
              <w:rPr>
                <w:rFonts w:cs="Arial"/>
                <w:color w:val="0070C0"/>
                <w:szCs w:val="24"/>
              </w:rPr>
              <w:t xml:space="preserve">from all phases of development. </w:t>
            </w:r>
          </w:p>
          <w:p w14:paraId="2DDB1E50" w14:textId="77777777" w:rsidR="004466EB" w:rsidRPr="005437C6" w:rsidRDefault="004466EB">
            <w:pPr>
              <w:keepNext w:val="0"/>
              <w:autoSpaceDE w:val="0"/>
              <w:autoSpaceDN w:val="0"/>
              <w:adjustRightInd w:val="0"/>
              <w:spacing w:before="0" w:line="276" w:lineRule="auto"/>
              <w:rPr>
                <w:rFonts w:cs="Arial"/>
                <w:color w:val="0070C0"/>
                <w:szCs w:val="24"/>
              </w:rPr>
            </w:pPr>
          </w:p>
          <w:p w14:paraId="4A26A560"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 xml:space="preserve">As noted in the ‘Location, Design &amp; Density’ section, </w:t>
            </w:r>
            <w:r w:rsidRPr="005437C6">
              <w:rPr>
                <w:rFonts w:eastAsia="Arial"/>
                <w:iCs/>
                <w:color w:val="0070C0"/>
              </w:rPr>
              <w:t>a cricket/junior football pitch should be provided on site. Please see the concept plan overleaf.</w:t>
            </w:r>
          </w:p>
          <w:p w14:paraId="47A32433" w14:textId="77777777" w:rsidR="004466EB" w:rsidRPr="005437C6" w:rsidRDefault="004466EB">
            <w:pPr>
              <w:keepNext w:val="0"/>
              <w:autoSpaceDE w:val="0"/>
              <w:autoSpaceDN w:val="0"/>
              <w:adjustRightInd w:val="0"/>
              <w:spacing w:before="0" w:line="276" w:lineRule="auto"/>
              <w:rPr>
                <w:rFonts w:cs="Arial"/>
                <w:color w:val="0070C0"/>
                <w:szCs w:val="24"/>
              </w:rPr>
            </w:pPr>
          </w:p>
          <w:p w14:paraId="58B08793" w14:textId="77777777" w:rsidR="004466EB" w:rsidRPr="005437C6" w:rsidRDefault="004466EB">
            <w:pPr>
              <w:keepNext w:val="0"/>
              <w:autoSpaceDE w:val="0"/>
              <w:autoSpaceDN w:val="0"/>
              <w:adjustRightInd w:val="0"/>
              <w:spacing w:before="0" w:line="276" w:lineRule="auto"/>
              <w:rPr>
                <w:rFonts w:cs="Arial"/>
                <w:color w:val="0070C0"/>
                <w:szCs w:val="24"/>
              </w:rPr>
            </w:pPr>
            <w:r w:rsidRPr="005437C6">
              <w:rPr>
                <w:rFonts w:cs="Arial"/>
                <w:color w:val="0070C0"/>
                <w:szCs w:val="24"/>
              </w:rPr>
              <w:t>A contribution towards public realm improvements may also be sought from this site in line with Local Plan policy.</w:t>
            </w:r>
          </w:p>
          <w:p w14:paraId="074E0472" w14:textId="77777777" w:rsidR="004466EB" w:rsidRPr="005437C6" w:rsidRDefault="004466EB">
            <w:pPr>
              <w:keepNext w:val="0"/>
              <w:autoSpaceDE w:val="0"/>
              <w:autoSpaceDN w:val="0"/>
              <w:adjustRightInd w:val="0"/>
              <w:spacing w:before="0" w:line="276" w:lineRule="auto"/>
              <w:rPr>
                <w:rFonts w:cs="Arial"/>
                <w:color w:val="0070C0"/>
                <w:szCs w:val="24"/>
              </w:rPr>
            </w:pPr>
          </w:p>
        </w:tc>
      </w:tr>
      <w:tr w:rsidR="005437C6" w:rsidRPr="005437C6" w14:paraId="36D19AA6" w14:textId="77777777">
        <w:tc>
          <w:tcPr>
            <w:tcW w:w="2263" w:type="dxa"/>
            <w:shd w:val="clear" w:color="auto" w:fill="D9D9D9"/>
          </w:tcPr>
          <w:p w14:paraId="34866A3D"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Affordable Housing</w:t>
            </w:r>
          </w:p>
          <w:p w14:paraId="23A67A4F" w14:textId="77777777" w:rsidR="004466EB" w:rsidRPr="00E56F9C" w:rsidRDefault="004466EB">
            <w:pPr>
              <w:keepNext w:val="0"/>
              <w:spacing w:before="0" w:line="276" w:lineRule="auto"/>
              <w:rPr>
                <w:rFonts w:cs="Arial"/>
                <w:color w:val="005EAC"/>
                <w:sz w:val="22"/>
              </w:rPr>
            </w:pPr>
            <w:r w:rsidRPr="00E56F9C">
              <w:rPr>
                <w:rFonts w:cs="Arial"/>
                <w:color w:val="005EAC"/>
                <w:sz w:val="22"/>
              </w:rPr>
              <w:t>Strategic Policy: S7</w:t>
            </w:r>
          </w:p>
          <w:p w14:paraId="44AEDB80" w14:textId="77777777" w:rsidR="004466EB" w:rsidRPr="00E56F9C" w:rsidRDefault="004466EB">
            <w:pPr>
              <w:keepNext w:val="0"/>
              <w:spacing w:before="0" w:line="276" w:lineRule="auto"/>
              <w:rPr>
                <w:rFonts w:cs="Arial"/>
                <w:color w:val="005EAC"/>
                <w:sz w:val="22"/>
              </w:rPr>
            </w:pPr>
          </w:p>
          <w:p w14:paraId="03279D30" w14:textId="77777777" w:rsidR="004466EB" w:rsidRPr="00E56F9C" w:rsidRDefault="004466EB">
            <w:pPr>
              <w:keepNext w:val="0"/>
              <w:spacing w:before="0" w:line="276" w:lineRule="auto"/>
              <w:rPr>
                <w:rFonts w:cs="Arial"/>
                <w:b/>
                <w:bCs/>
                <w:color w:val="005EAC"/>
                <w:szCs w:val="24"/>
              </w:rPr>
            </w:pPr>
            <w:r w:rsidRPr="00E56F9C">
              <w:rPr>
                <w:rFonts w:cs="Arial"/>
                <w:color w:val="005EAC"/>
                <w:sz w:val="22"/>
              </w:rPr>
              <w:t>Development Management Policy: H3, SD5</w:t>
            </w:r>
          </w:p>
        </w:tc>
        <w:tc>
          <w:tcPr>
            <w:tcW w:w="7479" w:type="dxa"/>
          </w:tcPr>
          <w:p w14:paraId="21C5EC31" w14:textId="77777777" w:rsidR="004466EB" w:rsidRPr="005437C6" w:rsidRDefault="004466EB">
            <w:pPr>
              <w:keepNext w:val="0"/>
              <w:spacing w:before="0" w:line="276" w:lineRule="auto"/>
              <w:jc w:val="both"/>
              <w:rPr>
                <w:rFonts w:cs="Arial"/>
                <w:color w:val="0070C0"/>
                <w:szCs w:val="24"/>
              </w:rPr>
            </w:pPr>
            <w:r w:rsidRPr="005437C6">
              <w:rPr>
                <w:rFonts w:cs="Arial"/>
                <w:color w:val="0070C0"/>
                <w:szCs w:val="24"/>
              </w:rPr>
              <w:t>A minimum of 25% affordable housing will be required on this site.</w:t>
            </w:r>
          </w:p>
          <w:p w14:paraId="4102DEA8" w14:textId="77777777" w:rsidR="004466EB" w:rsidRPr="005437C6" w:rsidRDefault="004466EB">
            <w:pPr>
              <w:keepNext w:val="0"/>
              <w:autoSpaceDE w:val="0"/>
              <w:autoSpaceDN w:val="0"/>
              <w:adjustRightInd w:val="0"/>
              <w:spacing w:before="0"/>
              <w:ind w:right="284"/>
              <w:rPr>
                <w:color w:val="0070C0"/>
                <w:szCs w:val="24"/>
              </w:rPr>
            </w:pPr>
          </w:p>
          <w:p w14:paraId="2624AF1F" w14:textId="77777777" w:rsidR="004466EB" w:rsidRPr="005437C6" w:rsidRDefault="004466EB">
            <w:pPr>
              <w:keepNext w:val="0"/>
              <w:autoSpaceDE w:val="0"/>
              <w:autoSpaceDN w:val="0"/>
              <w:adjustRightInd w:val="0"/>
              <w:spacing w:before="0"/>
              <w:ind w:right="284"/>
              <w:rPr>
                <w:color w:val="0070C0"/>
                <w:szCs w:val="24"/>
              </w:rPr>
            </w:pPr>
            <w:r w:rsidRPr="005437C6">
              <w:rPr>
                <w:color w:val="0070C0"/>
                <w:szCs w:val="24"/>
              </w:rPr>
              <w:t>Tenure mix should be identified through discussions with the local authority.  The starting point will be based on delivery of:</w:t>
            </w:r>
          </w:p>
          <w:p w14:paraId="685EF4CD" w14:textId="77777777" w:rsidR="004466EB" w:rsidRPr="005437C6" w:rsidRDefault="004466EB">
            <w:pPr>
              <w:keepNext w:val="0"/>
              <w:autoSpaceDE w:val="0"/>
              <w:autoSpaceDN w:val="0"/>
              <w:adjustRightInd w:val="0"/>
              <w:spacing w:before="0"/>
              <w:ind w:left="357" w:right="284"/>
              <w:jc w:val="both"/>
              <w:rPr>
                <w:color w:val="0070C0"/>
                <w:szCs w:val="24"/>
              </w:rPr>
            </w:pPr>
          </w:p>
          <w:p w14:paraId="1DE253B0" w14:textId="77777777" w:rsidR="004466EB" w:rsidRPr="005437C6" w:rsidRDefault="004466EB" w:rsidP="004466EB">
            <w:pPr>
              <w:keepNext w:val="0"/>
              <w:numPr>
                <w:ilvl w:val="0"/>
                <w:numId w:val="330"/>
              </w:numPr>
              <w:autoSpaceDE w:val="0"/>
              <w:autoSpaceDN w:val="0"/>
              <w:adjustRightInd w:val="0"/>
              <w:spacing w:before="0" w:after="200" w:line="276" w:lineRule="auto"/>
              <w:ind w:left="608" w:right="284" w:hanging="284"/>
              <w:contextualSpacing/>
              <w:jc w:val="both"/>
              <w:rPr>
                <w:rFonts w:cs="Arial"/>
                <w:color w:val="0070C0"/>
                <w:szCs w:val="24"/>
              </w:rPr>
            </w:pPr>
            <w:r w:rsidRPr="005437C6">
              <w:rPr>
                <w:rFonts w:cs="Arial"/>
                <w:color w:val="0070C0"/>
                <w:szCs w:val="24"/>
              </w:rPr>
              <w:t>25% Shared ownership/discounted homes for sale,</w:t>
            </w:r>
          </w:p>
          <w:p w14:paraId="0EB13A0B" w14:textId="77777777" w:rsidR="004466EB" w:rsidRPr="005437C6" w:rsidRDefault="004466EB" w:rsidP="004466EB">
            <w:pPr>
              <w:keepNext w:val="0"/>
              <w:numPr>
                <w:ilvl w:val="0"/>
                <w:numId w:val="330"/>
              </w:numPr>
              <w:autoSpaceDE w:val="0"/>
              <w:autoSpaceDN w:val="0"/>
              <w:adjustRightInd w:val="0"/>
              <w:spacing w:before="0" w:after="200" w:line="276" w:lineRule="auto"/>
              <w:ind w:left="608" w:right="284" w:hanging="284"/>
              <w:contextualSpacing/>
              <w:jc w:val="both"/>
              <w:rPr>
                <w:rFonts w:cs="Arial"/>
                <w:color w:val="0070C0"/>
                <w:szCs w:val="24"/>
              </w:rPr>
            </w:pPr>
            <w:r w:rsidRPr="005437C6">
              <w:rPr>
                <w:rFonts w:cs="Arial"/>
                <w:color w:val="0070C0"/>
                <w:szCs w:val="24"/>
              </w:rPr>
              <w:t>25% Social Rents, and</w:t>
            </w:r>
          </w:p>
          <w:p w14:paraId="400C66D4" w14:textId="77777777" w:rsidR="004466EB" w:rsidRPr="005437C6" w:rsidRDefault="004466EB" w:rsidP="004466EB">
            <w:pPr>
              <w:keepNext w:val="0"/>
              <w:numPr>
                <w:ilvl w:val="0"/>
                <w:numId w:val="330"/>
              </w:numPr>
              <w:autoSpaceDE w:val="0"/>
              <w:autoSpaceDN w:val="0"/>
              <w:adjustRightInd w:val="0"/>
              <w:spacing w:before="0" w:after="200" w:line="276" w:lineRule="auto"/>
              <w:ind w:left="608" w:right="284" w:hanging="284"/>
              <w:contextualSpacing/>
              <w:jc w:val="both"/>
              <w:rPr>
                <w:rFonts w:cs="Arial"/>
                <w:color w:val="0070C0"/>
                <w:szCs w:val="24"/>
              </w:rPr>
            </w:pPr>
            <w:r w:rsidRPr="005437C6">
              <w:rPr>
                <w:rFonts w:cs="Arial"/>
                <w:color w:val="0070C0"/>
                <w:szCs w:val="24"/>
              </w:rPr>
              <w:t>50% Affordable Rents.</w:t>
            </w:r>
          </w:p>
        </w:tc>
      </w:tr>
    </w:tbl>
    <w:p w14:paraId="22269EA9"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3EA17064"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5261929B"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04421BD4"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77324D7C"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5FD37419"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4E19CC35"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4EBBE106"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18B47FDE"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5F9A3592"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45D74D14"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noProof/>
          <w:color w:val="0070C0"/>
          <w:szCs w:val="24"/>
          <w:lang w:eastAsia="en-US"/>
        </w:rPr>
        <w:lastRenderedPageBreak/>
        <w:drawing>
          <wp:inline distT="0" distB="0" distL="0" distR="0" wp14:anchorId="5BBFC4DC" wp14:editId="66F0115F">
            <wp:extent cx="6030167" cy="8621328"/>
            <wp:effectExtent l="0" t="0" r="8890" b="8890"/>
            <wp:docPr id="2025038940" name="Picture 1" descr="Design considerations for allocation H1Hb, Linby Boarding Ken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38940" name="Picture 1" descr="Design considerations for allocation H1Hb, Linby Boarding Kennels"/>
                    <pic:cNvPicPr/>
                  </pic:nvPicPr>
                  <pic:blipFill>
                    <a:blip r:embed="rId106"/>
                    <a:stretch>
                      <a:fillRect/>
                    </a:stretch>
                  </pic:blipFill>
                  <pic:spPr>
                    <a:xfrm>
                      <a:off x="0" y="0"/>
                      <a:ext cx="6030167" cy="8621328"/>
                    </a:xfrm>
                    <a:prstGeom prst="rect">
                      <a:avLst/>
                    </a:prstGeom>
                  </pic:spPr>
                </pic:pic>
              </a:graphicData>
            </a:graphic>
          </wp:inline>
        </w:drawing>
      </w:r>
    </w:p>
    <w:p w14:paraId="6FB4D39A"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lastRenderedPageBreak/>
        <w:t>Residential Masterplan</w:t>
      </w:r>
    </w:p>
    <w:p w14:paraId="0726B05D"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bookmarkStart w:id="350" w:name="_Hlk212109126"/>
      <w:r w:rsidRPr="005437C6">
        <w:rPr>
          <w:rFonts w:eastAsia="Calibri" w:cs="Arial"/>
          <w:b/>
          <w:bCs/>
          <w:color w:val="0070C0"/>
          <w:szCs w:val="24"/>
          <w:lang w:eastAsia="en-US"/>
        </w:rPr>
        <w:t>H1Hc - Land North of A611/South of Broomhill Farm</w:t>
      </w:r>
    </w:p>
    <w:bookmarkEnd w:id="350"/>
    <w:p w14:paraId="7248852C" w14:textId="77777777" w:rsidR="004466EB" w:rsidRPr="005437C6" w:rsidRDefault="004466EB" w:rsidP="004466EB">
      <w:pPr>
        <w:keepNext w:val="0"/>
        <w:spacing w:before="0" w:after="160" w:line="276" w:lineRule="auto"/>
        <w:jc w:val="both"/>
        <w:rPr>
          <w:rFonts w:eastAsia="Calibri" w:cs="Arial"/>
          <w:color w:val="0070C0"/>
          <w:szCs w:val="24"/>
          <w:lang w:eastAsia="en-US"/>
        </w:rPr>
      </w:pPr>
      <w:r w:rsidRPr="005437C6">
        <w:rPr>
          <w:rFonts w:eastAsia="Calibri" w:cs="Arial"/>
          <w:color w:val="0070C0"/>
          <w:szCs w:val="24"/>
          <w:lang w:eastAsia="en-US"/>
        </w:rPr>
        <w:t xml:space="preserve">This concise masterplan is intended to help guide the design of future development alongside the Local Plan </w:t>
      </w:r>
      <w:bookmarkStart w:id="351" w:name="_Hlk212634920"/>
      <w:r w:rsidRPr="005437C6">
        <w:rPr>
          <w:rFonts w:eastAsia="Calibri" w:cs="Arial"/>
          <w:color w:val="0070C0"/>
          <w:szCs w:val="24"/>
          <w:lang w:eastAsia="en-US"/>
        </w:rPr>
        <w:t xml:space="preserve">and Neighbourhood Plan policies, </w:t>
      </w:r>
      <w:bookmarkEnd w:id="351"/>
      <w:r w:rsidRPr="005437C6">
        <w:rPr>
          <w:rFonts w:eastAsia="Calibri" w:cs="Arial"/>
          <w:color w:val="0070C0"/>
          <w:szCs w:val="24"/>
          <w:lang w:eastAsia="en-US"/>
        </w:rPr>
        <w:t xml:space="preserve">and relevant Supplementary Planning Documents (SPDs)/ Council Guidance Notes. </w:t>
      </w:r>
    </w:p>
    <w:p w14:paraId="6329DB53"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57CFE02F"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color w:val="0070C0"/>
          <w:szCs w:val="24"/>
          <w:lang w:eastAsia="en-US"/>
        </w:rPr>
        <w:t>Site Location and Surrounding Area</w:t>
      </w:r>
    </w:p>
    <w:tbl>
      <w:tblPr>
        <w:tblStyle w:val="TableGrid2"/>
        <w:tblW w:w="0" w:type="auto"/>
        <w:tblLook w:val="04A0" w:firstRow="1" w:lastRow="0" w:firstColumn="1" w:lastColumn="0" w:noHBand="0" w:noVBand="1"/>
      </w:tblPr>
      <w:tblGrid>
        <w:gridCol w:w="1975"/>
        <w:gridCol w:w="3053"/>
        <w:gridCol w:w="2446"/>
        <w:gridCol w:w="2155"/>
      </w:tblGrid>
      <w:tr w:rsidR="005437C6" w:rsidRPr="005437C6" w14:paraId="6D1F773E" w14:textId="77777777">
        <w:trPr>
          <w:trHeight w:val="514"/>
        </w:trPr>
        <w:tc>
          <w:tcPr>
            <w:tcW w:w="2003" w:type="dxa"/>
            <w:shd w:val="clear" w:color="auto" w:fill="D9D9D9"/>
          </w:tcPr>
          <w:p w14:paraId="5CD84D87"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Name: </w:t>
            </w:r>
          </w:p>
        </w:tc>
        <w:tc>
          <w:tcPr>
            <w:tcW w:w="3095" w:type="dxa"/>
          </w:tcPr>
          <w:p w14:paraId="712327CE" w14:textId="77777777" w:rsidR="004466EB" w:rsidRPr="005437C6" w:rsidRDefault="004466EB">
            <w:pPr>
              <w:keepNext w:val="0"/>
              <w:spacing w:before="0" w:line="276" w:lineRule="auto"/>
              <w:rPr>
                <w:rFonts w:cs="Arial"/>
                <w:color w:val="0070C0"/>
                <w:szCs w:val="24"/>
              </w:rPr>
            </w:pPr>
            <w:r w:rsidRPr="005437C6">
              <w:rPr>
                <w:rFonts w:cs="Arial"/>
                <w:color w:val="0070C0"/>
                <w:szCs w:val="24"/>
              </w:rPr>
              <w:t>Land North of A611/South of Broomhill Farm</w:t>
            </w:r>
          </w:p>
        </w:tc>
        <w:tc>
          <w:tcPr>
            <w:tcW w:w="2466" w:type="dxa"/>
            <w:shd w:val="clear" w:color="auto" w:fill="D9D9D9"/>
          </w:tcPr>
          <w:p w14:paraId="6CBAFC06"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Allocation Ref:  </w:t>
            </w:r>
          </w:p>
        </w:tc>
        <w:tc>
          <w:tcPr>
            <w:tcW w:w="2178" w:type="dxa"/>
          </w:tcPr>
          <w:p w14:paraId="5C636B7D"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H1Hc</w:t>
            </w:r>
          </w:p>
        </w:tc>
      </w:tr>
      <w:tr w:rsidR="005437C6" w:rsidRPr="005437C6" w14:paraId="0535F2AF" w14:textId="77777777">
        <w:trPr>
          <w:trHeight w:val="619"/>
        </w:trPr>
        <w:tc>
          <w:tcPr>
            <w:tcW w:w="2003" w:type="dxa"/>
            <w:shd w:val="clear" w:color="auto" w:fill="D9D9D9"/>
          </w:tcPr>
          <w:p w14:paraId="6B2E87BF"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Total Area:  </w:t>
            </w:r>
          </w:p>
        </w:tc>
        <w:tc>
          <w:tcPr>
            <w:tcW w:w="3095" w:type="dxa"/>
          </w:tcPr>
          <w:p w14:paraId="731A9EE6" w14:textId="77777777" w:rsidR="004466EB" w:rsidRPr="005437C6" w:rsidRDefault="004466EB">
            <w:pPr>
              <w:keepNext w:val="0"/>
              <w:spacing w:before="0" w:line="276" w:lineRule="auto"/>
              <w:rPr>
                <w:rFonts w:cs="Arial"/>
                <w:color w:val="0070C0"/>
                <w:szCs w:val="24"/>
              </w:rPr>
            </w:pPr>
            <w:r w:rsidRPr="005437C6">
              <w:rPr>
                <w:rFonts w:cs="Arial"/>
                <w:color w:val="0070C0"/>
                <w:szCs w:val="24"/>
              </w:rPr>
              <w:t>31.02 ha</w:t>
            </w:r>
          </w:p>
        </w:tc>
        <w:tc>
          <w:tcPr>
            <w:tcW w:w="2466" w:type="dxa"/>
            <w:shd w:val="clear" w:color="auto" w:fill="D9D9D9"/>
          </w:tcPr>
          <w:p w14:paraId="5F4EC8C7"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Net Residential Development Area:  </w:t>
            </w:r>
          </w:p>
        </w:tc>
        <w:tc>
          <w:tcPr>
            <w:tcW w:w="2178" w:type="dxa"/>
          </w:tcPr>
          <w:p w14:paraId="6C79516F" w14:textId="77777777" w:rsidR="004466EB" w:rsidRPr="005437C6" w:rsidRDefault="004466EB">
            <w:pPr>
              <w:keepNext w:val="0"/>
              <w:spacing w:before="0" w:line="276" w:lineRule="auto"/>
              <w:rPr>
                <w:rFonts w:cs="Arial"/>
                <w:color w:val="0070C0"/>
                <w:szCs w:val="24"/>
              </w:rPr>
            </w:pPr>
            <w:r w:rsidRPr="005437C6">
              <w:rPr>
                <w:rFonts w:cs="Arial"/>
                <w:color w:val="0070C0"/>
                <w:szCs w:val="24"/>
              </w:rPr>
              <w:t>14.68 ha</w:t>
            </w:r>
          </w:p>
        </w:tc>
      </w:tr>
      <w:tr w:rsidR="005437C6" w:rsidRPr="005437C6" w14:paraId="677B010A" w14:textId="77777777">
        <w:trPr>
          <w:trHeight w:val="619"/>
        </w:trPr>
        <w:tc>
          <w:tcPr>
            <w:tcW w:w="2003" w:type="dxa"/>
            <w:shd w:val="clear" w:color="auto" w:fill="D9D9D9"/>
          </w:tcPr>
          <w:p w14:paraId="01ABD1A9"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OS Grid Ref:  </w:t>
            </w:r>
          </w:p>
        </w:tc>
        <w:tc>
          <w:tcPr>
            <w:tcW w:w="3095" w:type="dxa"/>
          </w:tcPr>
          <w:p w14:paraId="3796E8B5" w14:textId="77777777" w:rsidR="004466EB" w:rsidRPr="005437C6" w:rsidRDefault="004466EB">
            <w:pPr>
              <w:keepNext w:val="0"/>
              <w:spacing w:before="0" w:line="276" w:lineRule="auto"/>
              <w:rPr>
                <w:rFonts w:cs="Arial"/>
                <w:color w:val="0070C0"/>
                <w:szCs w:val="24"/>
              </w:rPr>
            </w:pPr>
            <w:r w:rsidRPr="005437C6">
              <w:rPr>
                <w:rFonts w:cs="Arial"/>
                <w:color w:val="0070C0"/>
                <w:szCs w:val="24"/>
              </w:rPr>
              <w:t>453866.774, 347511.85</w:t>
            </w:r>
          </w:p>
        </w:tc>
        <w:tc>
          <w:tcPr>
            <w:tcW w:w="2466" w:type="dxa"/>
            <w:shd w:val="clear" w:color="auto" w:fill="D9D9D9"/>
          </w:tcPr>
          <w:p w14:paraId="336A36F5"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Potential Yield:  </w:t>
            </w:r>
          </w:p>
        </w:tc>
        <w:tc>
          <w:tcPr>
            <w:tcW w:w="2178" w:type="dxa"/>
          </w:tcPr>
          <w:p w14:paraId="0CCB1F43"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 xml:space="preserve">499 dwellings </w:t>
            </w:r>
          </w:p>
        </w:tc>
      </w:tr>
      <w:tr w:rsidR="005437C6" w:rsidRPr="005437C6" w14:paraId="7715FB5C" w14:textId="77777777">
        <w:trPr>
          <w:trHeight w:val="619"/>
        </w:trPr>
        <w:tc>
          <w:tcPr>
            <w:tcW w:w="2003" w:type="dxa"/>
            <w:shd w:val="clear" w:color="auto" w:fill="D9D9D9"/>
          </w:tcPr>
          <w:p w14:paraId="74E3C335"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Ward:  </w:t>
            </w:r>
          </w:p>
        </w:tc>
        <w:tc>
          <w:tcPr>
            <w:tcW w:w="3095" w:type="dxa"/>
          </w:tcPr>
          <w:p w14:paraId="60C4BBA4"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Hucknall South</w:t>
            </w:r>
          </w:p>
        </w:tc>
        <w:tc>
          <w:tcPr>
            <w:tcW w:w="2466" w:type="dxa"/>
            <w:shd w:val="clear" w:color="auto" w:fill="D9D9D9"/>
          </w:tcPr>
          <w:p w14:paraId="765F784A"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Greenfield/ Brownfield:  </w:t>
            </w:r>
          </w:p>
        </w:tc>
        <w:tc>
          <w:tcPr>
            <w:tcW w:w="2178" w:type="dxa"/>
          </w:tcPr>
          <w:p w14:paraId="4796966F"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Greenfield</w:t>
            </w:r>
          </w:p>
        </w:tc>
      </w:tr>
    </w:tbl>
    <w:p w14:paraId="2158ECDD"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6B839840"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noProof/>
          <w:color w:val="0070C0"/>
          <w:szCs w:val="22"/>
          <w:lang w:eastAsia="en-US"/>
        </w:rPr>
        <w:drawing>
          <wp:inline distT="0" distB="0" distL="0" distR="0" wp14:anchorId="22D76778" wp14:editId="3CA92708">
            <wp:extent cx="6192520" cy="4376420"/>
            <wp:effectExtent l="0" t="0" r="0" b="5080"/>
            <wp:docPr id="1407933967" name="Picture 1" descr="A aerial view of a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933967" name="Picture 1" descr="A aerial view of a lan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92520" cy="4376420"/>
                    </a:xfrm>
                    <a:prstGeom prst="rect">
                      <a:avLst/>
                    </a:prstGeom>
                    <a:noFill/>
                    <a:ln>
                      <a:noFill/>
                    </a:ln>
                  </pic:spPr>
                </pic:pic>
              </a:graphicData>
            </a:graphic>
          </wp:inline>
        </w:drawing>
      </w:r>
    </w:p>
    <w:p w14:paraId="3274B168" w14:textId="77777777" w:rsidR="004466EB" w:rsidRPr="005437C6" w:rsidRDefault="004466EB" w:rsidP="004466EB">
      <w:pPr>
        <w:keepNext w:val="0"/>
        <w:autoSpaceDE w:val="0"/>
        <w:autoSpaceDN w:val="0"/>
        <w:adjustRightInd w:val="0"/>
        <w:spacing w:before="0"/>
        <w:rPr>
          <w:rFonts w:eastAsia="Calibri" w:cs="Arial"/>
          <w:color w:val="0070C0"/>
          <w:szCs w:val="24"/>
          <w:lang w:eastAsia="en-US"/>
        </w:rPr>
      </w:pPr>
      <w:r w:rsidRPr="005437C6">
        <w:rPr>
          <w:rFonts w:eastAsia="Calibri" w:cs="Arial"/>
          <w:color w:val="0070C0"/>
          <w:szCs w:val="24"/>
          <w:lang w:eastAsia="en-US"/>
        </w:rPr>
        <w:lastRenderedPageBreak/>
        <w:t xml:space="preserve">The site is a greenfield site comprising farmland and a small number of gardens. Across the site there are </w:t>
      </w:r>
      <w:proofErr w:type="gramStart"/>
      <w:r w:rsidRPr="005437C6">
        <w:rPr>
          <w:rFonts w:eastAsia="Calibri" w:cs="Arial"/>
          <w:color w:val="0070C0"/>
          <w:szCs w:val="24"/>
          <w:lang w:eastAsia="en-US"/>
        </w:rPr>
        <w:t>a number of</w:t>
      </w:r>
      <w:proofErr w:type="gramEnd"/>
      <w:r w:rsidRPr="005437C6">
        <w:rPr>
          <w:rFonts w:eastAsia="Calibri" w:cs="Arial"/>
          <w:color w:val="0070C0"/>
          <w:szCs w:val="24"/>
          <w:lang w:eastAsia="en-US"/>
        </w:rPr>
        <w:t xml:space="preserve"> mature trees and hedgerows, which act as ‘green </w:t>
      </w:r>
      <w:proofErr w:type="gramStart"/>
      <w:r w:rsidRPr="005437C6">
        <w:rPr>
          <w:rFonts w:eastAsia="Calibri" w:cs="Arial"/>
          <w:color w:val="0070C0"/>
          <w:szCs w:val="24"/>
          <w:lang w:eastAsia="en-US"/>
        </w:rPr>
        <w:t>buffers’</w:t>
      </w:r>
      <w:proofErr w:type="gramEnd"/>
      <w:r w:rsidRPr="005437C6">
        <w:rPr>
          <w:rFonts w:eastAsia="Calibri" w:cs="Arial"/>
          <w:color w:val="0070C0"/>
          <w:szCs w:val="24"/>
          <w:lang w:eastAsia="en-US"/>
        </w:rPr>
        <w:t xml:space="preserve"> and landscape features that add to the character of the wider area. </w:t>
      </w:r>
    </w:p>
    <w:p w14:paraId="41C6BAD2" w14:textId="77777777" w:rsidR="004466EB" w:rsidRPr="005437C6" w:rsidRDefault="004466EB" w:rsidP="004466EB">
      <w:pPr>
        <w:keepNext w:val="0"/>
        <w:autoSpaceDE w:val="0"/>
        <w:autoSpaceDN w:val="0"/>
        <w:adjustRightInd w:val="0"/>
        <w:spacing w:before="0"/>
        <w:rPr>
          <w:rFonts w:eastAsia="Calibri" w:cs="Arial"/>
          <w:color w:val="0070C0"/>
          <w:szCs w:val="24"/>
          <w:lang w:eastAsia="en-US"/>
        </w:rPr>
      </w:pPr>
    </w:p>
    <w:p w14:paraId="7FF9F489" w14:textId="77777777" w:rsidR="004466EB" w:rsidRPr="005437C6" w:rsidRDefault="004466EB" w:rsidP="004466EB">
      <w:pPr>
        <w:keepNext w:val="0"/>
        <w:autoSpaceDE w:val="0"/>
        <w:autoSpaceDN w:val="0"/>
        <w:adjustRightInd w:val="0"/>
        <w:spacing w:before="0" w:line="276" w:lineRule="auto"/>
        <w:rPr>
          <w:rFonts w:eastAsia="Calibri"/>
          <w:color w:val="0070C0"/>
          <w:szCs w:val="24"/>
          <w:lang w:eastAsia="en-US"/>
        </w:rPr>
      </w:pPr>
      <w:r w:rsidRPr="005437C6">
        <w:rPr>
          <w:rFonts w:eastAsia="Calibri"/>
          <w:color w:val="0070C0"/>
          <w:szCs w:val="24"/>
          <w:lang w:eastAsia="en-US"/>
        </w:rPr>
        <w:t>The A611 forms a strong boundary at the south of the site, screened by mature hedgerows. To the north the site comprises a disused allotment site and is adjacent to an additional housing allocation – H1Hn. To the east and west are existing residential communities, predominantly comprising 2 storey dwellings, which future development must effectively integrate with.</w:t>
      </w:r>
    </w:p>
    <w:p w14:paraId="33271B57" w14:textId="77777777" w:rsidR="004466EB" w:rsidRPr="005437C6" w:rsidRDefault="004466EB" w:rsidP="004466EB">
      <w:pPr>
        <w:keepNext w:val="0"/>
        <w:autoSpaceDE w:val="0"/>
        <w:autoSpaceDN w:val="0"/>
        <w:adjustRightInd w:val="0"/>
        <w:spacing w:before="0" w:line="276" w:lineRule="auto"/>
        <w:rPr>
          <w:rFonts w:eastAsia="Calibri" w:cs="Arial"/>
          <w:color w:val="0070C0"/>
          <w:sz w:val="28"/>
          <w:szCs w:val="28"/>
          <w:highlight w:val="yellow"/>
          <w:lang w:eastAsia="en-US"/>
        </w:rPr>
      </w:pPr>
    </w:p>
    <w:p w14:paraId="7E509DE9"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 xml:space="preserve">There is currently no existing access to local services by walking (within 800m / 10 minutes). There are also limited public transport connections (within 30 minutes travel time), as is outside the core hourly/half hourly public transport network. However, the housing yield may generate the provision of bus services. </w:t>
      </w:r>
    </w:p>
    <w:p w14:paraId="75C6F485"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6C9F7C56"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It is within 480m (6mins) of a natural green space and a neighbourhood park with a play area. Most of the site is within 1000m of a destination park – Titchfield.</w:t>
      </w:r>
    </w:p>
    <w:p w14:paraId="3D71F058" w14:textId="77777777" w:rsidR="004466EB" w:rsidRPr="005437C6" w:rsidRDefault="004466EB" w:rsidP="004466EB">
      <w:pPr>
        <w:keepNext w:val="0"/>
        <w:spacing w:before="0" w:after="160" w:line="276" w:lineRule="auto"/>
        <w:rPr>
          <w:rFonts w:eastAsia="Calibri" w:cs="Arial"/>
          <w:color w:val="0070C0"/>
          <w:szCs w:val="24"/>
          <w:lang w:eastAsia="en-US"/>
        </w:rPr>
      </w:pPr>
    </w:p>
    <w:p w14:paraId="571E389C" w14:textId="77777777" w:rsidR="004466EB" w:rsidRPr="005437C6" w:rsidRDefault="004466EB" w:rsidP="004466EB">
      <w:pPr>
        <w:keepNext w:val="0"/>
        <w:autoSpaceDE w:val="0"/>
        <w:autoSpaceDN w:val="0"/>
        <w:adjustRightInd w:val="0"/>
        <w:spacing w:before="0" w:line="276" w:lineRule="auto"/>
        <w:rPr>
          <w:rFonts w:eastAsia="Calibri" w:cs="Arial"/>
          <w:b/>
          <w:bCs/>
          <w:color w:val="0070C0"/>
          <w:szCs w:val="24"/>
          <w:lang w:eastAsia="en-US"/>
        </w:rPr>
      </w:pPr>
      <w:r w:rsidRPr="005437C6">
        <w:rPr>
          <w:rFonts w:eastAsia="Calibri" w:cs="Arial"/>
          <w:b/>
          <w:bCs/>
          <w:color w:val="0070C0"/>
          <w:szCs w:val="24"/>
          <w:lang w:eastAsia="en-US"/>
        </w:rPr>
        <w:t>Existing Characteristics, Development Opportunities and Requirements</w:t>
      </w:r>
    </w:p>
    <w:p w14:paraId="3D6E8DF1"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55482526"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 xml:space="preserve">The site contains </w:t>
      </w:r>
      <w:proofErr w:type="gramStart"/>
      <w:r w:rsidRPr="005437C6">
        <w:rPr>
          <w:rFonts w:eastAsia="Calibri" w:cs="Arial"/>
          <w:color w:val="0070C0"/>
          <w:szCs w:val="24"/>
          <w:lang w:eastAsia="en-US"/>
        </w:rPr>
        <w:t>a number of</w:t>
      </w:r>
      <w:proofErr w:type="gramEnd"/>
      <w:r w:rsidRPr="005437C6">
        <w:rPr>
          <w:rFonts w:eastAsia="Calibri" w:cs="Arial"/>
          <w:color w:val="0070C0"/>
          <w:szCs w:val="24"/>
          <w:lang w:eastAsia="en-US"/>
        </w:rPr>
        <w:t xml:space="preserve"> characteristics, features and constraints that future development must consider. Key Local Plan Policy requirements for this site are set out </w:t>
      </w:r>
      <w:proofErr w:type="gramStart"/>
      <w:r w:rsidRPr="005437C6">
        <w:rPr>
          <w:rFonts w:eastAsia="Calibri" w:cs="Arial"/>
          <w:color w:val="0070C0"/>
          <w:szCs w:val="24"/>
          <w:lang w:eastAsia="en-US"/>
        </w:rPr>
        <w:t>below,</w:t>
      </w:r>
      <w:proofErr w:type="gramEnd"/>
      <w:r w:rsidRPr="005437C6">
        <w:rPr>
          <w:rFonts w:eastAsia="Calibri" w:cs="Arial"/>
          <w:color w:val="0070C0"/>
          <w:szCs w:val="24"/>
          <w:lang w:eastAsia="en-US"/>
        </w:rPr>
        <w:t xml:space="preserve"> however it should be noted that the Local Plan should be read </w:t>
      </w:r>
      <w:proofErr w:type="gramStart"/>
      <w:r w:rsidRPr="005437C6">
        <w:rPr>
          <w:rFonts w:eastAsia="Calibri" w:cs="Arial"/>
          <w:color w:val="0070C0"/>
          <w:szCs w:val="24"/>
          <w:lang w:eastAsia="en-US"/>
        </w:rPr>
        <w:t>as a whole including</w:t>
      </w:r>
      <w:proofErr w:type="gramEnd"/>
      <w:r w:rsidRPr="005437C6">
        <w:rPr>
          <w:rFonts w:eastAsia="Calibri" w:cs="Arial"/>
          <w:color w:val="0070C0"/>
          <w:szCs w:val="24"/>
          <w:lang w:eastAsia="en-US"/>
        </w:rPr>
        <w:t xml:space="preserve"> any other relevant policies. </w:t>
      </w:r>
    </w:p>
    <w:p w14:paraId="4BC61166"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089653CB"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Contributions towards local infrastructure that is needed to support the development will be negotiated through a Section 106 legal agreement. Where appropriate, the Council will seek contributions for education, health, libraries, waste and transport infrastructure in consultation with the County Council, NHS Nottingham and Nottinghamshire Integrated Care Board (ICB).  Contributions towards other infrastructure and facilities will be considered on a site-by-site basis, and may include:</w:t>
      </w:r>
    </w:p>
    <w:p w14:paraId="0A194F24"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07FDDAFE"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 xml:space="preserve">the regeneration of town centres; </w:t>
      </w:r>
    </w:p>
    <w:p w14:paraId="30C6FD9E"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provision of appropriate sport and recreation facilities, new and improved open space, improving quality and access to green and blue infrastructure;</w:t>
      </w:r>
    </w:p>
    <w:p w14:paraId="5CFC6AD7"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conservation and enhancement of the historic environment;</w:t>
      </w:r>
    </w:p>
    <w:p w14:paraId="5A9BAF24"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tackling climate change including flooding or water quality;</w:t>
      </w:r>
    </w:p>
    <w:p w14:paraId="219AEDA5"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cross-boundary infrastructure to help deliver and mitigate the effects of development;</w:t>
      </w:r>
    </w:p>
    <w:p w14:paraId="4F9B8631"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supporting service infrastructure.</w:t>
      </w:r>
    </w:p>
    <w:p w14:paraId="1C77E8EF"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3F2FD837"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29868315"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tbl>
      <w:tblPr>
        <w:tblStyle w:val="TableGrid2"/>
        <w:tblW w:w="0" w:type="auto"/>
        <w:tblLook w:val="04A0" w:firstRow="1" w:lastRow="0" w:firstColumn="1" w:lastColumn="0" w:noHBand="0" w:noVBand="1"/>
      </w:tblPr>
      <w:tblGrid>
        <w:gridCol w:w="2254"/>
        <w:gridCol w:w="7375"/>
      </w:tblGrid>
      <w:tr w:rsidR="005437C6" w:rsidRPr="005437C6" w14:paraId="67C0520E" w14:textId="77777777">
        <w:tc>
          <w:tcPr>
            <w:tcW w:w="2263" w:type="dxa"/>
            <w:shd w:val="clear" w:color="auto" w:fill="D9D9D9"/>
          </w:tcPr>
          <w:p w14:paraId="285F92F3"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Location, Design &amp; Density</w:t>
            </w:r>
          </w:p>
          <w:p w14:paraId="75953157" w14:textId="77777777" w:rsidR="004466EB" w:rsidRPr="00E56F9C" w:rsidRDefault="004466EB" w:rsidP="00E44687">
            <w:pPr>
              <w:keepNext w:val="0"/>
              <w:spacing w:before="0" w:line="276" w:lineRule="auto"/>
              <w:jc w:val="left"/>
              <w:rPr>
                <w:rFonts w:cs="Arial"/>
                <w:b/>
                <w:bCs/>
                <w:color w:val="005EAC"/>
                <w:szCs w:val="24"/>
              </w:rPr>
            </w:pPr>
          </w:p>
          <w:p w14:paraId="7792D83A"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Policies:</w:t>
            </w:r>
          </w:p>
          <w:p w14:paraId="577E3290"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S2, S3, S5, S9, S12, S13, S14</w:t>
            </w:r>
          </w:p>
          <w:p w14:paraId="1F66A424" w14:textId="77777777" w:rsidR="004466EB" w:rsidRPr="00E56F9C" w:rsidRDefault="004466EB" w:rsidP="00E44687">
            <w:pPr>
              <w:keepNext w:val="0"/>
              <w:spacing w:before="0" w:line="276" w:lineRule="auto"/>
              <w:jc w:val="left"/>
              <w:rPr>
                <w:rFonts w:cs="Arial"/>
                <w:color w:val="005EAC"/>
                <w:sz w:val="22"/>
              </w:rPr>
            </w:pPr>
          </w:p>
          <w:p w14:paraId="3FB3CD26"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6FD1FD00"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CC1, EV6, EV9, H7, SD2, SD3, SD9, SD10</w:t>
            </w:r>
          </w:p>
        </w:tc>
        <w:tc>
          <w:tcPr>
            <w:tcW w:w="7479" w:type="dxa"/>
          </w:tcPr>
          <w:p w14:paraId="65E3CCC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site requires effective master planning to form a comprehensive development proposal that connects to the adjacent housing allocation (H1Hn) and avoids the development of smaller parcels in isolation from one another.</w:t>
            </w:r>
          </w:p>
          <w:p w14:paraId="6F34D293"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587F4624"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 following design considerations should be </w:t>
            </w:r>
            <w:proofErr w:type="gramStart"/>
            <w:r w:rsidRPr="005437C6">
              <w:rPr>
                <w:rFonts w:cs="Arial"/>
                <w:color w:val="0070C0"/>
                <w:szCs w:val="24"/>
              </w:rPr>
              <w:t>taken into account</w:t>
            </w:r>
            <w:proofErr w:type="gramEnd"/>
            <w:r w:rsidRPr="005437C6">
              <w:rPr>
                <w:rFonts w:cs="Arial"/>
                <w:color w:val="0070C0"/>
                <w:szCs w:val="24"/>
              </w:rPr>
              <w:t>:</w:t>
            </w:r>
          </w:p>
          <w:p w14:paraId="25B2ACEB"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52A0850B" w14:textId="77777777" w:rsidR="004466EB" w:rsidRPr="005437C6" w:rsidRDefault="004466EB" w:rsidP="00E44687">
            <w:pPr>
              <w:keepNext w:val="0"/>
              <w:numPr>
                <w:ilvl w:val="0"/>
                <w:numId w:val="36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Appropriate landscaping and visual interest alongside site boundaries.</w:t>
            </w:r>
          </w:p>
          <w:p w14:paraId="731CD062" w14:textId="77777777" w:rsidR="004466EB" w:rsidRPr="005437C6" w:rsidRDefault="004466EB" w:rsidP="00E44687">
            <w:pPr>
              <w:keepNext w:val="0"/>
              <w:numPr>
                <w:ilvl w:val="0"/>
                <w:numId w:val="36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Materials and boundary treatments should be of a high-quality design to create a positive visual contribution.</w:t>
            </w:r>
          </w:p>
          <w:p w14:paraId="33733431" w14:textId="77777777" w:rsidR="004466EB" w:rsidRPr="005437C6" w:rsidRDefault="004466EB" w:rsidP="00E44687">
            <w:pPr>
              <w:keepNext w:val="0"/>
              <w:numPr>
                <w:ilvl w:val="0"/>
                <w:numId w:val="36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Consideration should be given to the orientation, roof type and scale of built form to ensure development appears integrated into its surroundings and reflective of the local vernacular.</w:t>
            </w:r>
          </w:p>
          <w:p w14:paraId="65A6078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2D7C9E9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 A611 adjoins the </w:t>
            </w:r>
            <w:proofErr w:type="gramStart"/>
            <w:r w:rsidRPr="005437C6">
              <w:rPr>
                <w:rFonts w:cs="Arial"/>
                <w:color w:val="0070C0"/>
                <w:szCs w:val="24"/>
              </w:rPr>
              <w:t>site</w:t>
            </w:r>
            <w:proofErr w:type="gramEnd"/>
            <w:r w:rsidRPr="005437C6">
              <w:rPr>
                <w:rFonts w:cs="Arial"/>
                <w:color w:val="0070C0"/>
                <w:szCs w:val="24"/>
              </w:rPr>
              <w:t xml:space="preserve"> and mitigation measures may be required.</w:t>
            </w:r>
          </w:p>
          <w:p w14:paraId="20DBDB32"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2D74E1AF"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Given various site constraints, the net residential developable area has been reduced to approximately 47% of the total site area.</w:t>
            </w:r>
          </w:p>
          <w:p w14:paraId="7802CC37"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5974860" w14:textId="00DDB32E"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Any future development scheme would be expected to deliver a minimum density of 34 dwellings / ha in this location.</w:t>
            </w:r>
          </w:p>
        </w:tc>
      </w:tr>
      <w:tr w:rsidR="005437C6" w:rsidRPr="005437C6" w14:paraId="5CFEDE3A" w14:textId="77777777">
        <w:tc>
          <w:tcPr>
            <w:tcW w:w="2263" w:type="dxa"/>
            <w:shd w:val="clear" w:color="auto" w:fill="D9D9D9"/>
          </w:tcPr>
          <w:p w14:paraId="5818D25A"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Addressing Climate Change</w:t>
            </w:r>
          </w:p>
          <w:p w14:paraId="4B4ABCC8" w14:textId="77777777" w:rsidR="004466EB" w:rsidRPr="00E56F9C" w:rsidRDefault="004466EB" w:rsidP="00E44687">
            <w:pPr>
              <w:keepNext w:val="0"/>
              <w:spacing w:before="0" w:line="276" w:lineRule="auto"/>
              <w:jc w:val="left"/>
              <w:rPr>
                <w:rFonts w:cs="Arial"/>
                <w:b/>
                <w:bCs/>
                <w:color w:val="005EAC"/>
                <w:szCs w:val="24"/>
              </w:rPr>
            </w:pPr>
          </w:p>
          <w:p w14:paraId="0D3928B0"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S3</w:t>
            </w:r>
          </w:p>
          <w:p w14:paraId="64DAAE38" w14:textId="77777777" w:rsidR="004466EB" w:rsidRPr="00E56F9C" w:rsidRDefault="004466EB" w:rsidP="00E44687">
            <w:pPr>
              <w:keepNext w:val="0"/>
              <w:spacing w:before="0" w:line="276" w:lineRule="auto"/>
              <w:jc w:val="left"/>
              <w:rPr>
                <w:rFonts w:cs="Arial"/>
                <w:color w:val="005EAC"/>
                <w:sz w:val="22"/>
              </w:rPr>
            </w:pPr>
          </w:p>
          <w:p w14:paraId="345A82B8"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0F55A7A9"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CC1, CC2, CC3, SD4, SD10</w:t>
            </w:r>
          </w:p>
        </w:tc>
        <w:tc>
          <w:tcPr>
            <w:tcW w:w="7479" w:type="dxa"/>
          </w:tcPr>
          <w:p w14:paraId="640DB790" w14:textId="77777777" w:rsidR="004466EB" w:rsidRPr="005437C6" w:rsidRDefault="004466EB" w:rsidP="00E44687">
            <w:pPr>
              <w:keepNext w:val="0"/>
              <w:spacing w:before="0" w:after="160" w:line="252" w:lineRule="auto"/>
              <w:jc w:val="left"/>
              <w:rPr>
                <w:color w:val="0070C0"/>
                <w:u w:val="single"/>
              </w:rPr>
            </w:pPr>
            <w:r w:rsidRPr="005437C6">
              <w:rPr>
                <w:rFonts w:cs="Arial"/>
                <w:color w:val="0070C0"/>
                <w:szCs w:val="24"/>
              </w:rPr>
              <w:t xml:space="preserve">Development must reflect the Council’s approach to becoming net-zero carbon by 2050, and accord with the Council’s planning guidance on this aspect, which is available on the website: </w:t>
            </w:r>
            <w:hyperlink r:id="rId108" w:history="1">
              <w:r w:rsidRPr="005437C6">
                <w:rPr>
                  <w:color w:val="0070C0"/>
                  <w:u w:val="single"/>
                </w:rPr>
                <w:t>Ashfield District Council Supplementary Planning Documents and Guidance</w:t>
              </w:r>
            </w:hyperlink>
          </w:p>
          <w:p w14:paraId="7D47FFDA" w14:textId="77777777" w:rsidR="004466EB" w:rsidRPr="005437C6" w:rsidRDefault="004466EB" w:rsidP="00E44687">
            <w:pPr>
              <w:keepNext w:val="0"/>
              <w:spacing w:before="0" w:after="160" w:line="252" w:lineRule="auto"/>
              <w:jc w:val="left"/>
              <w:rPr>
                <w:rFonts w:cs="Arial"/>
                <w:color w:val="0070C0"/>
                <w:szCs w:val="24"/>
              </w:rPr>
            </w:pPr>
            <w:r w:rsidRPr="005437C6">
              <w:rPr>
                <w:rFonts w:cs="Arial"/>
                <w:color w:val="0070C0"/>
                <w:szCs w:val="24"/>
              </w:rPr>
              <w:t>Key elements to consider include:</w:t>
            </w:r>
          </w:p>
          <w:p w14:paraId="4E2F47A7"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Orientation of buildings to achieve maximum solar gain and integration of solar panels.</w:t>
            </w:r>
          </w:p>
          <w:p w14:paraId="06DCBC72"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 xml:space="preserve">Planting street trees and other street planting to soften the impact of car parking, help improve air quality and contribute to biodiversity.  </w:t>
            </w:r>
          </w:p>
          <w:p w14:paraId="5D360EAB"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Incorporate rainwater harvesting.</w:t>
            </w:r>
          </w:p>
          <w:p w14:paraId="7DDDAB3B"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 xml:space="preserve">Provide green space to minimising the increased risk of flooding from all sources </w:t>
            </w:r>
            <w:proofErr w:type="gramStart"/>
            <w:r w:rsidRPr="005437C6">
              <w:rPr>
                <w:rFonts w:cs="Arial"/>
                <w:color w:val="0070C0"/>
                <w:szCs w:val="24"/>
              </w:rPr>
              <w:t>through the use of</w:t>
            </w:r>
            <w:proofErr w:type="gramEnd"/>
            <w:r w:rsidRPr="005437C6">
              <w:rPr>
                <w:rFonts w:cs="Arial"/>
                <w:color w:val="0070C0"/>
                <w:szCs w:val="24"/>
              </w:rPr>
              <w:t xml:space="preserve"> SUDs. </w:t>
            </w:r>
          </w:p>
          <w:p w14:paraId="3BFEF2F7"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Other forms of low carbon technology, such as air source or ground source heat pumps.</w:t>
            </w:r>
          </w:p>
          <w:p w14:paraId="3EBBC360"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The provision of electric vehicles charging points.</w:t>
            </w:r>
          </w:p>
          <w:p w14:paraId="444304F4"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eastAsia="Arial" w:cs="Arial"/>
                <w:bCs/>
                <w:color w:val="0070C0"/>
              </w:rPr>
              <w:t>Implementation of water efficiency measures to minimise water consumption, to achieve a requirement of not exceeding 110 litres per person per day.</w:t>
            </w:r>
          </w:p>
          <w:p w14:paraId="6066A618" w14:textId="4A4C9FE2"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lastRenderedPageBreak/>
              <w:t>Sustainable waste management should be considered by providing space for recycling and composting.</w:t>
            </w:r>
          </w:p>
        </w:tc>
      </w:tr>
      <w:tr w:rsidR="005437C6" w:rsidRPr="005437C6" w14:paraId="37BAA07A" w14:textId="77777777">
        <w:tc>
          <w:tcPr>
            <w:tcW w:w="2263" w:type="dxa"/>
            <w:shd w:val="clear" w:color="auto" w:fill="D9D9D9"/>
          </w:tcPr>
          <w:p w14:paraId="38A04C69"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Access &amp; Transport</w:t>
            </w:r>
          </w:p>
          <w:p w14:paraId="78A01CDA" w14:textId="77777777" w:rsidR="004466EB" w:rsidRPr="00E56F9C" w:rsidRDefault="004466EB" w:rsidP="00E44687">
            <w:pPr>
              <w:keepNext w:val="0"/>
              <w:spacing w:before="0" w:line="276" w:lineRule="auto"/>
              <w:jc w:val="left"/>
              <w:rPr>
                <w:rFonts w:cs="Arial"/>
                <w:b/>
                <w:bCs/>
                <w:color w:val="005EAC"/>
                <w:szCs w:val="24"/>
              </w:rPr>
            </w:pPr>
          </w:p>
          <w:p w14:paraId="317FC6B1"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Policies: S2, S9, S10</w:t>
            </w:r>
          </w:p>
          <w:p w14:paraId="0DF63292" w14:textId="77777777" w:rsidR="004466EB" w:rsidRPr="00E56F9C" w:rsidRDefault="004466EB" w:rsidP="00E44687">
            <w:pPr>
              <w:keepNext w:val="0"/>
              <w:spacing w:before="0" w:line="276" w:lineRule="auto"/>
              <w:jc w:val="left"/>
              <w:rPr>
                <w:rFonts w:cs="Arial"/>
                <w:color w:val="005EAC"/>
                <w:sz w:val="22"/>
              </w:rPr>
            </w:pPr>
          </w:p>
          <w:p w14:paraId="38FEBC58"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1F8C4361"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SD2, SD5, SD10, SD11</w:t>
            </w:r>
          </w:p>
        </w:tc>
        <w:tc>
          <w:tcPr>
            <w:tcW w:w="7479" w:type="dxa"/>
          </w:tcPr>
          <w:p w14:paraId="630197AF"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NCC Highways Requirements:</w:t>
            </w:r>
          </w:p>
          <w:p w14:paraId="4F24FE4C" w14:textId="77777777" w:rsidR="004466EB" w:rsidRPr="005437C6" w:rsidRDefault="004466EB" w:rsidP="00E44687">
            <w:pPr>
              <w:keepNext w:val="0"/>
              <w:numPr>
                <w:ilvl w:val="0"/>
                <w:numId w:val="36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 xml:space="preserve">A </w:t>
            </w:r>
            <w:proofErr w:type="spellStart"/>
            <w:r w:rsidRPr="005437C6">
              <w:rPr>
                <w:rFonts w:cs="Arial"/>
                <w:color w:val="0070C0"/>
                <w:szCs w:val="24"/>
              </w:rPr>
              <w:t>masterplanning</w:t>
            </w:r>
            <w:proofErr w:type="spellEnd"/>
            <w:r w:rsidRPr="005437C6">
              <w:rPr>
                <w:rFonts w:cs="Arial"/>
                <w:color w:val="0070C0"/>
                <w:szCs w:val="24"/>
              </w:rPr>
              <w:t xml:space="preserve"> access strategy with multiple access junctions onto Victoria Way, Jackson Road, </w:t>
            </w:r>
            <w:proofErr w:type="spellStart"/>
            <w:r w:rsidRPr="005437C6">
              <w:rPr>
                <w:rFonts w:cs="Arial"/>
                <w:color w:val="0070C0"/>
                <w:szCs w:val="24"/>
              </w:rPr>
              <w:t>Farleys</w:t>
            </w:r>
            <w:proofErr w:type="spellEnd"/>
            <w:r w:rsidRPr="005437C6">
              <w:rPr>
                <w:rFonts w:cs="Arial"/>
                <w:color w:val="0070C0"/>
                <w:szCs w:val="24"/>
              </w:rPr>
              <w:t xml:space="preserve"> Lane, Hucknall Lane and Hucknall Bypass will be required. </w:t>
            </w:r>
          </w:p>
          <w:p w14:paraId="593C8EC3" w14:textId="77777777" w:rsidR="004466EB" w:rsidRPr="005437C6" w:rsidRDefault="004466EB" w:rsidP="00E44687">
            <w:pPr>
              <w:keepNext w:val="0"/>
              <w:numPr>
                <w:ilvl w:val="0"/>
                <w:numId w:val="36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The site will require two looped access roads; one served from the A611 and one from Nottingham Road, connected via a bus and emergency access only.</w:t>
            </w:r>
          </w:p>
          <w:p w14:paraId="033DB0ED" w14:textId="77777777" w:rsidR="004466EB" w:rsidRPr="005437C6" w:rsidRDefault="004466EB" w:rsidP="00E44687">
            <w:pPr>
              <w:keepNext w:val="0"/>
              <w:numPr>
                <w:ilvl w:val="0"/>
                <w:numId w:val="36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Segregated enhanced pedestrian/cyclist routes should be integral to the development.</w:t>
            </w:r>
          </w:p>
          <w:p w14:paraId="70B91EA7" w14:textId="77777777" w:rsidR="004466EB" w:rsidRPr="005437C6" w:rsidRDefault="004466EB" w:rsidP="00E44687">
            <w:pPr>
              <w:keepNext w:val="0"/>
              <w:numPr>
                <w:ilvl w:val="0"/>
                <w:numId w:val="36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 xml:space="preserve">The developer will be expected to maximise opportunities to provide new sustainable transport options which create less-car dependant settlements. The core road network must be designed to a target speed of 20 mph and form a continuous link from Nottingham Road to Hucknall Lane. This is likely to require a major 4th arm junction constructing onto the existing island on Hucknall Lane, opposite </w:t>
            </w:r>
            <w:proofErr w:type="spellStart"/>
            <w:r w:rsidRPr="005437C6">
              <w:rPr>
                <w:rFonts w:cs="Arial"/>
                <w:color w:val="0070C0"/>
                <w:szCs w:val="24"/>
              </w:rPr>
              <w:t>Doreys</w:t>
            </w:r>
            <w:proofErr w:type="spellEnd"/>
            <w:r w:rsidRPr="005437C6">
              <w:rPr>
                <w:rFonts w:cs="Arial"/>
                <w:color w:val="0070C0"/>
                <w:szCs w:val="24"/>
              </w:rPr>
              <w:t xml:space="preserve"> Way.</w:t>
            </w:r>
          </w:p>
          <w:p w14:paraId="08D9F378" w14:textId="77777777" w:rsidR="004466EB" w:rsidRPr="005437C6" w:rsidRDefault="004466EB" w:rsidP="00E44687">
            <w:pPr>
              <w:keepNext w:val="0"/>
              <w:numPr>
                <w:ilvl w:val="0"/>
                <w:numId w:val="36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Internal layouts &amp; external interface design must focus on the Department for Transport's LTN1/20 design for cycle infrastructure to integrate cycling with highway improvements and new developments.</w:t>
            </w:r>
          </w:p>
          <w:p w14:paraId="2C5E044F" w14:textId="77777777" w:rsidR="004466EB" w:rsidRPr="005437C6" w:rsidRDefault="004466EB" w:rsidP="00E44687">
            <w:pPr>
              <w:keepNext w:val="0"/>
              <w:numPr>
                <w:ilvl w:val="0"/>
                <w:numId w:val="36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 xml:space="preserve">A supporting Transport Assessment (TA) that identifies the transportation implications of a new development will be required. This must include measures that will be provided to deal with the anticipated impacts of the scheme in relation to all forms of travel. Provision of offsite improvements to encourage active travel should be an essential part of the TA (e.g., provision of frequent real-time bus stop/shelter facilities). </w:t>
            </w:r>
          </w:p>
          <w:p w14:paraId="2DD809A4" w14:textId="77777777" w:rsidR="004466EB" w:rsidRPr="005437C6" w:rsidRDefault="004466EB" w:rsidP="00E44687">
            <w:pPr>
              <w:keepNext w:val="0"/>
              <w:numPr>
                <w:ilvl w:val="0"/>
                <w:numId w:val="36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Separate to any local remedial / mitigation measures identified as part of a TA, a financial strategic contribution may be applicable per dwelling house to deal with the overall cumulative growth &amp; impact on existing infrastructure.</w:t>
            </w:r>
          </w:p>
          <w:p w14:paraId="53F6A23B" w14:textId="77777777" w:rsidR="004466EB" w:rsidRPr="005437C6" w:rsidRDefault="004466EB" w:rsidP="00E44687">
            <w:pPr>
              <w:keepNext w:val="0"/>
              <w:numPr>
                <w:ilvl w:val="0"/>
                <w:numId w:val="36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Parking provision will be crucial to the success and safe operation of this development. Parking standards are based on minimum standards and parking spaces/service areas provided must be robustly justified/evidence based on surveys of comparable sites. Disproportionate use of tandem parking to meet standards will not be accepted as research shows these arrangements are invariably under used causing parking displacement to the public highway.</w:t>
            </w:r>
          </w:p>
        </w:tc>
      </w:tr>
      <w:tr w:rsidR="005437C6" w:rsidRPr="005437C6" w14:paraId="725EEF8B" w14:textId="77777777">
        <w:tc>
          <w:tcPr>
            <w:tcW w:w="2263" w:type="dxa"/>
            <w:shd w:val="clear" w:color="auto" w:fill="D9D9D9"/>
          </w:tcPr>
          <w:p w14:paraId="0DAB4981"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Rights of Way</w:t>
            </w:r>
          </w:p>
          <w:p w14:paraId="7F2FA3E4" w14:textId="77777777" w:rsidR="004466EB" w:rsidRPr="00E56F9C" w:rsidRDefault="004466EB" w:rsidP="00E44687">
            <w:pPr>
              <w:keepNext w:val="0"/>
              <w:spacing w:before="0" w:line="276" w:lineRule="auto"/>
              <w:jc w:val="left"/>
              <w:rPr>
                <w:rFonts w:cs="Arial"/>
                <w:b/>
                <w:bCs/>
                <w:color w:val="005EAC"/>
                <w:szCs w:val="24"/>
              </w:rPr>
            </w:pPr>
          </w:p>
          <w:p w14:paraId="61AF4D59" w14:textId="77777777" w:rsidR="004466EB" w:rsidRPr="00E56F9C" w:rsidRDefault="004466EB" w:rsidP="00E44687">
            <w:pPr>
              <w:keepNext w:val="0"/>
              <w:spacing w:before="0" w:line="276" w:lineRule="auto"/>
              <w:jc w:val="left"/>
              <w:rPr>
                <w:rFonts w:cs="Arial"/>
                <w:b/>
                <w:bCs/>
                <w:color w:val="005EAC"/>
                <w:szCs w:val="24"/>
              </w:rPr>
            </w:pPr>
          </w:p>
        </w:tc>
        <w:tc>
          <w:tcPr>
            <w:tcW w:w="7479" w:type="dxa"/>
          </w:tcPr>
          <w:p w14:paraId="1D374259"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Hucknall FP40 crosses the site.  Hucknall BW30 is adjacent to the west boundary of the site (</w:t>
            </w:r>
            <w:proofErr w:type="spellStart"/>
            <w:r w:rsidRPr="005437C6">
              <w:rPr>
                <w:rFonts w:cs="Arial"/>
                <w:color w:val="0070C0"/>
                <w:szCs w:val="24"/>
              </w:rPr>
              <w:t>Farleys</w:t>
            </w:r>
            <w:proofErr w:type="spellEnd"/>
            <w:r w:rsidRPr="005437C6">
              <w:rPr>
                <w:rFonts w:cs="Arial"/>
                <w:color w:val="0070C0"/>
                <w:szCs w:val="24"/>
              </w:rPr>
              <w:t xml:space="preserve"> Lane).</w:t>
            </w:r>
          </w:p>
          <w:p w14:paraId="6BF92333" w14:textId="77777777" w:rsidR="004466EB" w:rsidRPr="005437C6" w:rsidRDefault="004466EB" w:rsidP="00E44687">
            <w:pPr>
              <w:keepNext w:val="0"/>
              <w:spacing w:before="0" w:line="276" w:lineRule="auto"/>
              <w:jc w:val="left"/>
              <w:rPr>
                <w:rFonts w:cs="Arial"/>
                <w:color w:val="0070C0"/>
                <w:szCs w:val="24"/>
              </w:rPr>
            </w:pPr>
          </w:p>
          <w:p w14:paraId="4FC857AF" w14:textId="77777777" w:rsidR="004466EB" w:rsidRPr="005437C6" w:rsidRDefault="004466EB" w:rsidP="00E44687">
            <w:pPr>
              <w:keepNext w:val="0"/>
              <w:spacing w:before="0" w:after="160" w:line="252" w:lineRule="auto"/>
              <w:jc w:val="left"/>
              <w:rPr>
                <w:rFonts w:cs="Arial"/>
                <w:color w:val="0070C0"/>
                <w:szCs w:val="24"/>
              </w:rPr>
            </w:pPr>
            <w:r w:rsidRPr="005437C6">
              <w:rPr>
                <w:rFonts w:cs="Arial"/>
                <w:color w:val="0070C0"/>
                <w:szCs w:val="24"/>
              </w:rPr>
              <w:t>Key elements to consider include:</w:t>
            </w:r>
          </w:p>
          <w:p w14:paraId="53D8ADAA" w14:textId="77777777" w:rsidR="004466EB" w:rsidRPr="005437C6" w:rsidRDefault="004466EB" w:rsidP="00E44687">
            <w:pPr>
              <w:keepNext w:val="0"/>
              <w:numPr>
                <w:ilvl w:val="0"/>
                <w:numId w:val="369"/>
              </w:numPr>
              <w:spacing w:before="0" w:line="276" w:lineRule="auto"/>
              <w:contextualSpacing/>
              <w:jc w:val="left"/>
              <w:rPr>
                <w:rFonts w:cs="Arial"/>
                <w:color w:val="0070C0"/>
                <w:szCs w:val="24"/>
              </w:rPr>
            </w:pPr>
            <w:r w:rsidRPr="005437C6">
              <w:rPr>
                <w:rFonts w:cs="Arial"/>
                <w:color w:val="0070C0"/>
                <w:szCs w:val="24"/>
              </w:rPr>
              <w:t>Existing rights of way need to be retained.</w:t>
            </w:r>
          </w:p>
          <w:p w14:paraId="3A8B2B79" w14:textId="77777777" w:rsidR="004466EB" w:rsidRPr="005437C6" w:rsidRDefault="004466EB" w:rsidP="00E44687">
            <w:pPr>
              <w:keepNext w:val="0"/>
              <w:numPr>
                <w:ilvl w:val="0"/>
                <w:numId w:val="369"/>
              </w:numPr>
              <w:spacing w:before="0" w:line="276" w:lineRule="auto"/>
              <w:contextualSpacing/>
              <w:jc w:val="left"/>
              <w:rPr>
                <w:rFonts w:cs="Arial"/>
                <w:color w:val="0070C0"/>
                <w:szCs w:val="24"/>
              </w:rPr>
            </w:pPr>
            <w:r w:rsidRPr="005437C6">
              <w:rPr>
                <w:rFonts w:cs="Arial"/>
                <w:color w:val="0070C0"/>
                <w:szCs w:val="24"/>
              </w:rPr>
              <w:t>Create pedestrian links to existing residential communities, where possible.</w:t>
            </w:r>
          </w:p>
          <w:p w14:paraId="080F9D33" w14:textId="77777777" w:rsidR="004466EB" w:rsidRPr="005437C6" w:rsidRDefault="004466EB" w:rsidP="00E44687">
            <w:pPr>
              <w:keepNext w:val="0"/>
              <w:numPr>
                <w:ilvl w:val="0"/>
                <w:numId w:val="369"/>
              </w:numPr>
              <w:spacing w:before="0" w:line="276" w:lineRule="auto"/>
              <w:contextualSpacing/>
              <w:jc w:val="left"/>
              <w:rPr>
                <w:rFonts w:cs="Arial"/>
                <w:color w:val="0070C0"/>
                <w:szCs w:val="24"/>
              </w:rPr>
            </w:pPr>
            <w:r w:rsidRPr="005437C6">
              <w:rPr>
                <w:rFonts w:cs="Arial"/>
                <w:color w:val="0070C0"/>
                <w:szCs w:val="24"/>
              </w:rPr>
              <w:t>Secure a good quality pedestrian/ cycle link through the proposed development.</w:t>
            </w:r>
          </w:p>
          <w:p w14:paraId="5A0E51A4" w14:textId="77777777" w:rsidR="004466EB" w:rsidRPr="005437C6" w:rsidRDefault="004466EB" w:rsidP="00E44687">
            <w:pPr>
              <w:keepNext w:val="0"/>
              <w:spacing w:before="0" w:line="276" w:lineRule="auto"/>
              <w:jc w:val="left"/>
              <w:rPr>
                <w:rFonts w:cs="Arial"/>
                <w:color w:val="0070C0"/>
                <w:szCs w:val="24"/>
              </w:rPr>
            </w:pPr>
          </w:p>
        </w:tc>
      </w:tr>
      <w:tr w:rsidR="005437C6" w:rsidRPr="005437C6" w14:paraId="5B03ECBC" w14:textId="77777777">
        <w:tc>
          <w:tcPr>
            <w:tcW w:w="2263" w:type="dxa"/>
            <w:shd w:val="clear" w:color="auto" w:fill="D9D9D9"/>
          </w:tcPr>
          <w:p w14:paraId="3F18A813"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Topography &amp; Landscape Character</w:t>
            </w:r>
          </w:p>
          <w:p w14:paraId="2FF4AF0E" w14:textId="77777777" w:rsidR="004466EB" w:rsidRPr="00E56F9C" w:rsidRDefault="004466EB" w:rsidP="00E44687">
            <w:pPr>
              <w:keepNext w:val="0"/>
              <w:spacing w:before="0" w:line="276" w:lineRule="auto"/>
              <w:jc w:val="left"/>
              <w:rPr>
                <w:rFonts w:cs="Arial"/>
                <w:b/>
                <w:bCs/>
                <w:color w:val="005EAC"/>
                <w:szCs w:val="24"/>
              </w:rPr>
            </w:pPr>
          </w:p>
          <w:p w14:paraId="58EC70DE"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S13</w:t>
            </w:r>
          </w:p>
          <w:p w14:paraId="01B2EB1D" w14:textId="77777777" w:rsidR="004466EB" w:rsidRPr="00E56F9C" w:rsidRDefault="004466EB" w:rsidP="00E44687">
            <w:pPr>
              <w:keepNext w:val="0"/>
              <w:spacing w:before="0" w:line="276" w:lineRule="auto"/>
              <w:jc w:val="left"/>
              <w:rPr>
                <w:rFonts w:cs="Arial"/>
                <w:color w:val="005EAC"/>
                <w:sz w:val="22"/>
              </w:rPr>
            </w:pPr>
          </w:p>
          <w:p w14:paraId="47F271AE"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3AFFF841"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EV4, EV6, EV10, SD2</w:t>
            </w:r>
          </w:p>
        </w:tc>
        <w:tc>
          <w:tcPr>
            <w:tcW w:w="7479" w:type="dxa"/>
          </w:tcPr>
          <w:p w14:paraId="08E3B08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No specific topographical constraints are identified with this site. While the topography is gently sloping, there is a former railway embankment set within part of the site.</w:t>
            </w:r>
          </w:p>
          <w:p w14:paraId="21F7050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C87BD6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Mature hedgerows and trees are an important characteristic of the site and form </w:t>
            </w:r>
            <w:proofErr w:type="gramStart"/>
            <w:r w:rsidRPr="005437C6">
              <w:rPr>
                <w:rFonts w:cs="Arial"/>
                <w:color w:val="0070C0"/>
                <w:szCs w:val="24"/>
              </w:rPr>
              <w:t>a number of</w:t>
            </w:r>
            <w:proofErr w:type="gramEnd"/>
            <w:r w:rsidRPr="005437C6">
              <w:rPr>
                <w:rFonts w:cs="Arial"/>
                <w:color w:val="0070C0"/>
                <w:szCs w:val="24"/>
              </w:rPr>
              <w:t xml:space="preserve"> boundaries.</w:t>
            </w:r>
            <w:r w:rsidRPr="005437C6">
              <w:rPr>
                <w:color w:val="0070C0"/>
              </w:rPr>
              <w:t xml:space="preserve"> </w:t>
            </w:r>
            <w:r w:rsidRPr="005437C6">
              <w:rPr>
                <w:rFonts w:cs="Arial"/>
                <w:color w:val="0070C0"/>
                <w:szCs w:val="24"/>
              </w:rPr>
              <w:t>Development must strengthen and protect existing mature boundary hedgerows around the site by gapping up and planting additional hedgerow trees, where appropriate. In addition to this, there are two important trees within the centre of the site, which must be retained.</w:t>
            </w:r>
          </w:p>
          <w:p w14:paraId="1E7AABB5"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776E3C15" w14:textId="2E22EBB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Greater Nottingham Landscape Assessment identifies the site as lying within character area ML018 River Leen Corridor.</w:t>
            </w:r>
            <w:r w:rsidRPr="005437C6">
              <w:rPr>
                <w:color w:val="0070C0"/>
              </w:rPr>
              <w:t xml:space="preserve"> </w:t>
            </w:r>
            <w:r w:rsidRPr="005437C6">
              <w:rPr>
                <w:rFonts w:cs="Arial"/>
                <w:color w:val="0070C0"/>
                <w:szCs w:val="24"/>
              </w:rPr>
              <w:t>The condition of the landscape is MODERATE.  Overall, the strength of character is MODERATE.  The overall landscape strategy is ENHANCE.</w:t>
            </w:r>
          </w:p>
        </w:tc>
      </w:tr>
      <w:tr w:rsidR="005437C6" w:rsidRPr="005437C6" w14:paraId="2485644E" w14:textId="77777777">
        <w:tc>
          <w:tcPr>
            <w:tcW w:w="2263" w:type="dxa"/>
            <w:shd w:val="clear" w:color="auto" w:fill="D9D9D9"/>
          </w:tcPr>
          <w:p w14:paraId="409DD2EC"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Ground Stability &amp; Contamination</w:t>
            </w:r>
          </w:p>
        </w:tc>
        <w:tc>
          <w:tcPr>
            <w:tcW w:w="7479" w:type="dxa"/>
          </w:tcPr>
          <w:p w14:paraId="01B16D6C"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Likely ground stability issues. There is a major fault line running north-south across the western part of site. This will need to be considered as part of a detailed ground investigation to validate its status and assess any potential implications for the development.</w:t>
            </w:r>
          </w:p>
          <w:p w14:paraId="0EBF78DE" w14:textId="77777777" w:rsidR="004466EB" w:rsidRPr="005437C6" w:rsidRDefault="004466EB" w:rsidP="00E44687">
            <w:pPr>
              <w:keepNext w:val="0"/>
              <w:spacing w:before="0" w:line="276" w:lineRule="auto"/>
              <w:jc w:val="left"/>
              <w:rPr>
                <w:rFonts w:cs="Arial"/>
                <w:color w:val="0070C0"/>
                <w:szCs w:val="24"/>
              </w:rPr>
            </w:pPr>
          </w:p>
          <w:p w14:paraId="628C8BB4"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It is located within a Coal Low Risk Area.  </w:t>
            </w:r>
          </w:p>
          <w:p w14:paraId="44D86BEE" w14:textId="77777777" w:rsidR="004466EB" w:rsidRPr="005437C6" w:rsidRDefault="004466EB" w:rsidP="00E44687">
            <w:pPr>
              <w:keepNext w:val="0"/>
              <w:spacing w:before="0" w:line="276" w:lineRule="auto"/>
              <w:jc w:val="left"/>
              <w:rPr>
                <w:rFonts w:cs="Arial"/>
                <w:color w:val="0070C0"/>
                <w:szCs w:val="24"/>
              </w:rPr>
            </w:pPr>
          </w:p>
          <w:p w14:paraId="59BF8CB2" w14:textId="5E639A4A"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No known contamination issues.</w:t>
            </w:r>
          </w:p>
        </w:tc>
      </w:tr>
      <w:tr w:rsidR="005437C6" w:rsidRPr="005437C6" w14:paraId="54445CC4" w14:textId="77777777">
        <w:tc>
          <w:tcPr>
            <w:tcW w:w="2263" w:type="dxa"/>
            <w:shd w:val="clear" w:color="auto" w:fill="D9D9D9"/>
          </w:tcPr>
          <w:p w14:paraId="2C65BD6F"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Flood Risk</w:t>
            </w:r>
          </w:p>
          <w:p w14:paraId="56210E89" w14:textId="77777777" w:rsidR="004466EB" w:rsidRPr="00E56F9C" w:rsidRDefault="004466EB" w:rsidP="00E44687">
            <w:pPr>
              <w:keepNext w:val="0"/>
              <w:spacing w:before="0" w:line="276" w:lineRule="auto"/>
              <w:jc w:val="left"/>
              <w:rPr>
                <w:rFonts w:cs="Arial"/>
                <w:b/>
                <w:bCs/>
                <w:color w:val="005EAC"/>
                <w:szCs w:val="24"/>
              </w:rPr>
            </w:pPr>
          </w:p>
          <w:p w14:paraId="4D3774FC"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S2</w:t>
            </w:r>
          </w:p>
          <w:p w14:paraId="638FD1DE" w14:textId="77777777" w:rsidR="004466EB" w:rsidRPr="00E56F9C" w:rsidRDefault="004466EB" w:rsidP="00E44687">
            <w:pPr>
              <w:keepNext w:val="0"/>
              <w:spacing w:before="0" w:line="276" w:lineRule="auto"/>
              <w:jc w:val="left"/>
              <w:rPr>
                <w:rFonts w:cs="Arial"/>
                <w:color w:val="005EAC"/>
                <w:sz w:val="22"/>
              </w:rPr>
            </w:pPr>
          </w:p>
          <w:p w14:paraId="1F732830"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SD8</w:t>
            </w:r>
          </w:p>
        </w:tc>
        <w:tc>
          <w:tcPr>
            <w:tcW w:w="7479" w:type="dxa"/>
          </w:tcPr>
          <w:p w14:paraId="1FD97A8D"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 site lies within flood zone 1, there is a low risk of flooding.</w:t>
            </w:r>
          </w:p>
          <w:p w14:paraId="753F4724" w14:textId="77777777" w:rsidR="004466EB" w:rsidRPr="005437C6" w:rsidRDefault="004466EB" w:rsidP="00E44687">
            <w:pPr>
              <w:keepNext w:val="0"/>
              <w:spacing w:before="0" w:line="276" w:lineRule="auto"/>
              <w:jc w:val="left"/>
              <w:rPr>
                <w:rFonts w:cs="Arial"/>
                <w:color w:val="0070C0"/>
                <w:szCs w:val="24"/>
              </w:rPr>
            </w:pPr>
          </w:p>
          <w:p w14:paraId="67A23126" w14:textId="726D18F6"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There are </w:t>
            </w:r>
            <w:proofErr w:type="gramStart"/>
            <w:r w:rsidRPr="005437C6">
              <w:rPr>
                <w:rFonts w:cs="Arial"/>
                <w:color w:val="0070C0"/>
                <w:szCs w:val="24"/>
              </w:rPr>
              <w:t>a number of</w:t>
            </w:r>
            <w:proofErr w:type="gramEnd"/>
            <w:r w:rsidRPr="005437C6">
              <w:rPr>
                <w:rFonts w:cs="Arial"/>
                <w:color w:val="0070C0"/>
                <w:szCs w:val="24"/>
              </w:rPr>
              <w:t xml:space="preserve"> areas of, typically, low risk surface water on the site.  A potential flow of surface water crosses the site from Farley Lane south easterly to the A611. It is suggested that Sustainable Urban Drainage systems (SUDs) be installed in the south-east corner of the site to help manage the increased risk of surface water flooding.</w:t>
            </w:r>
          </w:p>
        </w:tc>
      </w:tr>
      <w:tr w:rsidR="005437C6" w:rsidRPr="005437C6" w14:paraId="5CFA772E" w14:textId="77777777">
        <w:tc>
          <w:tcPr>
            <w:tcW w:w="2263" w:type="dxa"/>
            <w:shd w:val="clear" w:color="auto" w:fill="D9D9D9"/>
          </w:tcPr>
          <w:p w14:paraId="5DA79C80"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Heritage and Archaeology</w:t>
            </w:r>
          </w:p>
          <w:p w14:paraId="022BB76A" w14:textId="77777777" w:rsidR="004466EB" w:rsidRPr="00E56F9C" w:rsidRDefault="004466EB" w:rsidP="00E44687">
            <w:pPr>
              <w:keepNext w:val="0"/>
              <w:spacing w:before="0" w:line="276" w:lineRule="auto"/>
              <w:jc w:val="left"/>
              <w:rPr>
                <w:rFonts w:cs="Arial"/>
                <w:b/>
                <w:bCs/>
                <w:color w:val="005EAC"/>
                <w:szCs w:val="24"/>
              </w:rPr>
            </w:pPr>
          </w:p>
          <w:p w14:paraId="622819F9"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S14</w:t>
            </w:r>
          </w:p>
          <w:p w14:paraId="377955B4" w14:textId="77777777" w:rsidR="004466EB" w:rsidRPr="00E56F9C" w:rsidRDefault="004466EB" w:rsidP="00E44687">
            <w:pPr>
              <w:keepNext w:val="0"/>
              <w:spacing w:before="0" w:line="276" w:lineRule="auto"/>
              <w:jc w:val="left"/>
              <w:rPr>
                <w:rFonts w:cs="Arial"/>
                <w:color w:val="005EAC"/>
                <w:sz w:val="22"/>
              </w:rPr>
            </w:pPr>
          </w:p>
          <w:p w14:paraId="44D9A89E"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EV9</w:t>
            </w:r>
          </w:p>
        </w:tc>
        <w:tc>
          <w:tcPr>
            <w:tcW w:w="7479" w:type="dxa"/>
          </w:tcPr>
          <w:p w14:paraId="6D268126"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There </w:t>
            </w:r>
            <w:proofErr w:type="gramStart"/>
            <w:r w:rsidRPr="005437C6">
              <w:rPr>
                <w:rFonts w:cs="Arial"/>
                <w:color w:val="0070C0"/>
                <w:szCs w:val="24"/>
              </w:rPr>
              <w:t>are</w:t>
            </w:r>
            <w:proofErr w:type="gramEnd"/>
            <w:r w:rsidRPr="005437C6">
              <w:rPr>
                <w:rFonts w:cs="Arial"/>
                <w:color w:val="0070C0"/>
                <w:szCs w:val="24"/>
              </w:rPr>
              <w:t xml:space="preserve"> no heritage assets identified on or adjacent to the site. </w:t>
            </w:r>
          </w:p>
          <w:p w14:paraId="79358124"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4A8497A" w14:textId="77777777" w:rsidR="004466EB" w:rsidRPr="005437C6" w:rsidRDefault="004466EB" w:rsidP="00E44687">
            <w:pPr>
              <w:keepNext w:val="0"/>
              <w:autoSpaceDE w:val="0"/>
              <w:autoSpaceDN w:val="0"/>
              <w:adjustRightInd w:val="0"/>
              <w:spacing w:before="0"/>
              <w:jc w:val="left"/>
              <w:rPr>
                <w:rFonts w:eastAsia="Arial" w:cs="Arial"/>
                <w:iCs/>
                <w:color w:val="0070C0"/>
                <w:szCs w:val="24"/>
              </w:rPr>
            </w:pPr>
            <w:r w:rsidRPr="005437C6">
              <w:rPr>
                <w:rFonts w:cs="Arial"/>
                <w:color w:val="0070C0"/>
                <w:szCs w:val="24"/>
              </w:rPr>
              <w:t>There is a potential for buried archaeological remains within the site, as such</w:t>
            </w:r>
            <w:r w:rsidRPr="005437C6">
              <w:rPr>
                <w:rFonts w:eastAsia="Arial" w:cs="Arial"/>
                <w:iCs/>
                <w:color w:val="0070C0"/>
                <w:szCs w:val="24"/>
              </w:rPr>
              <w:t xml:space="preserve"> a Desk Based Assessment (DBA) </w:t>
            </w:r>
            <w:r w:rsidRPr="005437C6">
              <w:rPr>
                <w:rFonts w:eastAsia="Arial"/>
                <w:iCs/>
                <w:color w:val="0070C0"/>
              </w:rPr>
              <w:t>will be required</w:t>
            </w:r>
            <w:r w:rsidRPr="005437C6">
              <w:rPr>
                <w:rFonts w:eastAsia="Arial" w:cs="Arial"/>
                <w:iCs/>
                <w:color w:val="0070C0"/>
                <w:szCs w:val="24"/>
              </w:rPr>
              <w:t xml:space="preserve"> </w:t>
            </w:r>
            <w:r w:rsidRPr="005437C6">
              <w:rPr>
                <w:rFonts w:cs="Arial"/>
                <w:color w:val="0070C0"/>
              </w:rPr>
              <w:t>to ascertain the extent and level of survival of any archaeological remains</w:t>
            </w:r>
            <w:r w:rsidRPr="005437C6">
              <w:rPr>
                <w:rFonts w:eastAsia="Arial" w:cs="Arial"/>
                <w:iCs/>
                <w:color w:val="0070C0"/>
                <w:szCs w:val="24"/>
              </w:rPr>
              <w:t xml:space="preserve">.  </w:t>
            </w:r>
          </w:p>
          <w:p w14:paraId="1717897E" w14:textId="77777777" w:rsidR="004466EB" w:rsidRPr="005437C6" w:rsidRDefault="004466EB" w:rsidP="00E44687">
            <w:pPr>
              <w:keepNext w:val="0"/>
              <w:autoSpaceDE w:val="0"/>
              <w:autoSpaceDN w:val="0"/>
              <w:adjustRightInd w:val="0"/>
              <w:spacing w:before="0"/>
              <w:jc w:val="left"/>
              <w:rPr>
                <w:rFonts w:eastAsia="Arial"/>
                <w:iCs/>
                <w:color w:val="0070C0"/>
              </w:rPr>
            </w:pPr>
          </w:p>
          <w:p w14:paraId="5D7B445C" w14:textId="30E8EA31" w:rsidR="004466EB" w:rsidRPr="005437C6" w:rsidRDefault="004466EB" w:rsidP="00E44687">
            <w:pPr>
              <w:keepNext w:val="0"/>
              <w:autoSpaceDE w:val="0"/>
              <w:autoSpaceDN w:val="0"/>
              <w:adjustRightInd w:val="0"/>
              <w:spacing w:before="0"/>
              <w:jc w:val="left"/>
              <w:rPr>
                <w:rFonts w:cs="Arial"/>
                <w:color w:val="0070C0"/>
                <w:szCs w:val="24"/>
              </w:rPr>
            </w:pPr>
            <w:r w:rsidRPr="005437C6">
              <w:rPr>
                <w:rFonts w:eastAsia="Arial" w:cs="Arial"/>
                <w:iCs/>
                <w:color w:val="0070C0"/>
                <w:szCs w:val="24"/>
              </w:rPr>
              <w:t>Depending on the results of the DBA further archaeological investigations may be warranted, including a geophysical survey and targeted trial trenching, where necessary.  This work will inform the need for mitigation.</w:t>
            </w:r>
          </w:p>
        </w:tc>
      </w:tr>
      <w:tr w:rsidR="005437C6" w:rsidRPr="005437C6" w14:paraId="5F99916B" w14:textId="77777777">
        <w:tc>
          <w:tcPr>
            <w:tcW w:w="2263" w:type="dxa"/>
            <w:shd w:val="clear" w:color="auto" w:fill="D9D9D9"/>
          </w:tcPr>
          <w:p w14:paraId="0FBAFFEC"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Green Infrastructure &amp; Biodiversity</w:t>
            </w:r>
          </w:p>
          <w:p w14:paraId="13F8BCE8" w14:textId="77777777" w:rsidR="004466EB" w:rsidRPr="00E56F9C" w:rsidRDefault="004466EB" w:rsidP="00E44687">
            <w:pPr>
              <w:keepNext w:val="0"/>
              <w:spacing w:before="0" w:line="276" w:lineRule="auto"/>
              <w:jc w:val="left"/>
              <w:rPr>
                <w:rFonts w:cs="Arial"/>
                <w:b/>
                <w:bCs/>
                <w:color w:val="005EAC"/>
                <w:szCs w:val="24"/>
              </w:rPr>
            </w:pPr>
          </w:p>
          <w:p w14:paraId="4873BE49"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S13</w:t>
            </w:r>
          </w:p>
          <w:p w14:paraId="1B57E497" w14:textId="77777777" w:rsidR="004466EB" w:rsidRPr="00E56F9C" w:rsidRDefault="004466EB" w:rsidP="00E44687">
            <w:pPr>
              <w:keepNext w:val="0"/>
              <w:spacing w:before="0" w:line="276" w:lineRule="auto"/>
              <w:jc w:val="left"/>
              <w:rPr>
                <w:rFonts w:cs="Arial"/>
                <w:color w:val="005EAC"/>
                <w:sz w:val="22"/>
              </w:rPr>
            </w:pPr>
          </w:p>
          <w:p w14:paraId="15E9482E"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EV4, EV6</w:t>
            </w:r>
          </w:p>
        </w:tc>
        <w:tc>
          <w:tcPr>
            <w:tcW w:w="7479" w:type="dxa"/>
          </w:tcPr>
          <w:p w14:paraId="3182BF97"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No Nationally Designated Natural Assets on or adjacent to the site.</w:t>
            </w:r>
          </w:p>
          <w:p w14:paraId="7FFCC424"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There are two locally designated natural assets on site; Local Wildlife Sites (LWS) Farley’s Grassland (3.42ha) and Farley’s Disused Railway (0.69ha). </w:t>
            </w:r>
          </w:p>
          <w:p w14:paraId="1EFD9370" w14:textId="77777777" w:rsidR="004466EB" w:rsidRPr="005437C6" w:rsidRDefault="004466EB" w:rsidP="00E44687">
            <w:pPr>
              <w:keepNext w:val="0"/>
              <w:spacing w:before="0" w:line="276" w:lineRule="auto"/>
              <w:jc w:val="left"/>
              <w:rPr>
                <w:rFonts w:cs="Arial"/>
                <w:color w:val="0070C0"/>
                <w:szCs w:val="24"/>
              </w:rPr>
            </w:pPr>
          </w:p>
          <w:p w14:paraId="010DFAFF"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Part of the site comprising and extending beyond the LWS </w:t>
            </w:r>
            <w:proofErr w:type="spellStart"/>
            <w:r w:rsidRPr="005437C6">
              <w:rPr>
                <w:rFonts w:cs="Arial"/>
                <w:color w:val="0070C0"/>
                <w:szCs w:val="24"/>
              </w:rPr>
              <w:t>Farleys</w:t>
            </w:r>
            <w:proofErr w:type="spellEnd"/>
            <w:r w:rsidRPr="005437C6">
              <w:rPr>
                <w:rFonts w:cs="Arial"/>
                <w:color w:val="0070C0"/>
                <w:szCs w:val="24"/>
              </w:rPr>
              <w:t xml:space="preserve"> Disused Railway is a priority habitat – deciduous woodland under Natural Environment &amp; Rural Community Act 2006, Section 41.</w:t>
            </w:r>
          </w:p>
          <w:p w14:paraId="1062AACF" w14:textId="77777777" w:rsidR="004466EB" w:rsidRPr="005437C6" w:rsidRDefault="004466EB" w:rsidP="00E44687">
            <w:pPr>
              <w:keepNext w:val="0"/>
              <w:spacing w:before="0" w:line="276" w:lineRule="auto"/>
              <w:jc w:val="left"/>
              <w:rPr>
                <w:rFonts w:cs="Arial"/>
                <w:color w:val="0070C0"/>
                <w:szCs w:val="24"/>
              </w:rPr>
            </w:pPr>
          </w:p>
          <w:p w14:paraId="343F7415"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In respect of this site the Council will require a minimum Biodiversity Net gain (BNG) of 10%. Biodiversity should be delivered on site in the first instance via habitat creation/enhancement, or by using off-site gains where necessary. As a last resort, biodiversity credits may be purchased where sufficient gains cannot be achieved on or off-site.  </w:t>
            </w:r>
          </w:p>
          <w:p w14:paraId="01552768" w14:textId="77777777" w:rsidR="004466EB" w:rsidRPr="005437C6" w:rsidRDefault="004466EB" w:rsidP="00E44687">
            <w:pPr>
              <w:keepNext w:val="0"/>
              <w:spacing w:before="0" w:line="276" w:lineRule="auto"/>
              <w:jc w:val="left"/>
              <w:rPr>
                <w:rFonts w:cs="Arial"/>
                <w:color w:val="0070C0"/>
                <w:szCs w:val="24"/>
              </w:rPr>
            </w:pPr>
          </w:p>
          <w:p w14:paraId="3AD56D7A"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The quarry and LWS are of important interest and have potential to act as a Habitat Bank for BNG on-site opportunities. It is to be retained for a mandatory 10% net gain. The Local Nature Reserve Bulwell Hall Park and to the east Bestwood Park, which is an important part of the Leen Valley, to be ecologically connected using hedgerows and woodland planting, </w:t>
            </w:r>
            <w:proofErr w:type="gramStart"/>
            <w:r w:rsidRPr="005437C6">
              <w:rPr>
                <w:rFonts w:cs="Arial"/>
                <w:color w:val="0070C0"/>
                <w:szCs w:val="24"/>
              </w:rPr>
              <w:t>taking into account</w:t>
            </w:r>
            <w:proofErr w:type="gramEnd"/>
            <w:r w:rsidRPr="005437C6">
              <w:rPr>
                <w:rFonts w:cs="Arial"/>
                <w:color w:val="0070C0"/>
                <w:szCs w:val="24"/>
              </w:rPr>
              <w:t xml:space="preserve"> the large amount of Priority Deciduous woodland surrounding the site.  Consideration should be given to SUDS schemes that will protect the Leen Valley, which are important wetland areas, from unwanted run-off, with ponds and marsh to enhance opportunities for birds, and the LNR </w:t>
            </w:r>
            <w:proofErr w:type="spellStart"/>
            <w:r w:rsidRPr="005437C6">
              <w:rPr>
                <w:rFonts w:cs="Arial"/>
                <w:color w:val="0070C0"/>
                <w:szCs w:val="24"/>
              </w:rPr>
              <w:t>Moorbridge</w:t>
            </w:r>
            <w:proofErr w:type="spellEnd"/>
            <w:r w:rsidRPr="005437C6">
              <w:rPr>
                <w:rFonts w:cs="Arial"/>
                <w:color w:val="0070C0"/>
                <w:szCs w:val="24"/>
              </w:rPr>
              <w:t xml:space="preserve"> Pond and Springfield Corner.</w:t>
            </w:r>
          </w:p>
          <w:p w14:paraId="28D5B55B" w14:textId="77777777" w:rsidR="004466EB" w:rsidRPr="005437C6" w:rsidRDefault="004466EB" w:rsidP="00E44687">
            <w:pPr>
              <w:keepNext w:val="0"/>
              <w:spacing w:before="0" w:line="276" w:lineRule="auto"/>
              <w:jc w:val="left"/>
              <w:rPr>
                <w:rFonts w:cs="Arial"/>
                <w:color w:val="0070C0"/>
                <w:szCs w:val="24"/>
              </w:rPr>
            </w:pPr>
          </w:p>
          <w:p w14:paraId="299B2B18"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Development must also comply with the Developer Guide to Biodiversity and Nature Conservation 2022, which sets out the Council’s expectations in respect of Biodiversity Net Gain, alongside mandatory requirements for protected sites. </w:t>
            </w:r>
          </w:p>
          <w:p w14:paraId="40D0F2B0" w14:textId="77777777" w:rsidR="004466EB" w:rsidRPr="005437C6" w:rsidRDefault="004466EB" w:rsidP="00E44687">
            <w:pPr>
              <w:keepNext w:val="0"/>
              <w:spacing w:before="0" w:line="276" w:lineRule="auto"/>
              <w:jc w:val="left"/>
              <w:rPr>
                <w:rFonts w:cs="Arial"/>
                <w:color w:val="0070C0"/>
                <w:szCs w:val="24"/>
              </w:rPr>
            </w:pPr>
          </w:p>
          <w:p w14:paraId="2AFB21E8" w14:textId="77777777" w:rsidR="004466EB" w:rsidRPr="005437C6" w:rsidRDefault="004466EB" w:rsidP="00E44687">
            <w:pPr>
              <w:keepNext w:val="0"/>
              <w:spacing w:before="0" w:line="276" w:lineRule="auto"/>
              <w:jc w:val="left"/>
              <w:rPr>
                <w:color w:val="0070C0"/>
                <w:u w:val="single"/>
              </w:rPr>
            </w:pPr>
            <w:r w:rsidRPr="005437C6">
              <w:rPr>
                <w:rFonts w:cs="Arial"/>
                <w:color w:val="0070C0"/>
                <w:szCs w:val="24"/>
              </w:rPr>
              <w:lastRenderedPageBreak/>
              <w:t xml:space="preserve">The Developer Guide can be viewed on the Council’s website:  </w:t>
            </w:r>
            <w:hyperlink r:id="rId109" w:history="1">
              <w:r w:rsidRPr="005437C6">
                <w:rPr>
                  <w:color w:val="0070C0"/>
                  <w:u w:val="single"/>
                </w:rPr>
                <w:t>Ashfield District Council Supplementary Planning Documents and Guidance</w:t>
              </w:r>
            </w:hyperlink>
          </w:p>
          <w:p w14:paraId="7F507E32" w14:textId="77777777" w:rsidR="004466EB" w:rsidRPr="005437C6" w:rsidRDefault="004466EB" w:rsidP="00E44687">
            <w:pPr>
              <w:keepNext w:val="0"/>
              <w:spacing w:before="0" w:line="276" w:lineRule="auto"/>
              <w:jc w:val="left"/>
              <w:rPr>
                <w:rFonts w:cs="Arial"/>
                <w:color w:val="0070C0"/>
                <w:szCs w:val="24"/>
              </w:rPr>
            </w:pPr>
          </w:p>
          <w:p w14:paraId="4E0637DA"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The boundary of part of the site includes some of TPO 168. </w:t>
            </w:r>
          </w:p>
        </w:tc>
      </w:tr>
      <w:tr w:rsidR="005437C6" w:rsidRPr="005437C6" w14:paraId="62382142" w14:textId="77777777">
        <w:tc>
          <w:tcPr>
            <w:tcW w:w="2263" w:type="dxa"/>
            <w:shd w:val="clear" w:color="auto" w:fill="D9D9D9"/>
          </w:tcPr>
          <w:p w14:paraId="216C8CF1"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Utilities</w:t>
            </w:r>
          </w:p>
          <w:p w14:paraId="5C67AF93" w14:textId="77777777" w:rsidR="004466EB" w:rsidRPr="00E56F9C" w:rsidRDefault="004466EB" w:rsidP="00E44687">
            <w:pPr>
              <w:keepNext w:val="0"/>
              <w:spacing w:before="0" w:line="276" w:lineRule="auto"/>
              <w:jc w:val="left"/>
              <w:rPr>
                <w:rFonts w:cs="Arial"/>
                <w:b/>
                <w:bCs/>
                <w:color w:val="005EAC"/>
                <w:szCs w:val="24"/>
              </w:rPr>
            </w:pPr>
          </w:p>
          <w:p w14:paraId="10C772D2"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S2</w:t>
            </w:r>
          </w:p>
          <w:p w14:paraId="4E8CA2A7" w14:textId="77777777" w:rsidR="004466EB" w:rsidRPr="00E56F9C" w:rsidRDefault="004466EB" w:rsidP="00E44687">
            <w:pPr>
              <w:keepNext w:val="0"/>
              <w:spacing w:before="0" w:line="276" w:lineRule="auto"/>
              <w:jc w:val="left"/>
              <w:rPr>
                <w:rFonts w:cs="Arial"/>
                <w:color w:val="005EAC"/>
                <w:sz w:val="22"/>
              </w:rPr>
            </w:pPr>
          </w:p>
          <w:p w14:paraId="0448BBA3"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CC2</w:t>
            </w:r>
          </w:p>
        </w:tc>
        <w:tc>
          <w:tcPr>
            <w:tcW w:w="7479" w:type="dxa"/>
          </w:tcPr>
          <w:p w14:paraId="7552FCF5"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Seven Trent Water:</w:t>
            </w:r>
          </w:p>
          <w:p w14:paraId="0BBF2B4F" w14:textId="77777777" w:rsidR="004466EB" w:rsidRPr="005437C6" w:rsidRDefault="004466EB" w:rsidP="00E44687">
            <w:pPr>
              <w:keepNext w:val="0"/>
              <w:numPr>
                <w:ilvl w:val="0"/>
                <w:numId w:val="358"/>
              </w:numPr>
              <w:spacing w:before="0" w:line="276" w:lineRule="auto"/>
              <w:ind w:left="466"/>
              <w:jc w:val="left"/>
              <w:rPr>
                <w:rFonts w:cs="Arial"/>
                <w:color w:val="0070C0"/>
                <w:szCs w:val="24"/>
              </w:rPr>
            </w:pPr>
            <w:r w:rsidRPr="005437C6">
              <w:rPr>
                <w:rFonts w:cs="Arial"/>
                <w:color w:val="0070C0"/>
                <w:szCs w:val="24"/>
              </w:rPr>
              <w:t>Potential Impact on Foul Sewer Infrastructure - Network Improvements likely to be required.</w:t>
            </w:r>
          </w:p>
          <w:p w14:paraId="3FED232E" w14:textId="77777777" w:rsidR="004466EB" w:rsidRPr="005437C6" w:rsidRDefault="004466EB" w:rsidP="00E44687">
            <w:pPr>
              <w:keepNext w:val="0"/>
              <w:numPr>
                <w:ilvl w:val="0"/>
                <w:numId w:val="358"/>
              </w:numPr>
              <w:spacing w:before="0" w:line="276" w:lineRule="auto"/>
              <w:ind w:left="466"/>
              <w:jc w:val="left"/>
              <w:rPr>
                <w:rFonts w:cs="Arial"/>
                <w:color w:val="0070C0"/>
                <w:szCs w:val="24"/>
              </w:rPr>
            </w:pPr>
            <w:r w:rsidRPr="005437C6">
              <w:rPr>
                <w:rFonts w:cs="Arial"/>
                <w:color w:val="0070C0"/>
                <w:szCs w:val="24"/>
              </w:rPr>
              <w:t>Potential Impact on Surface Water Sewer Infrastructure - Network Improvements may be required.</w:t>
            </w:r>
          </w:p>
          <w:p w14:paraId="076B7F5F" w14:textId="77777777" w:rsidR="004466EB" w:rsidRPr="005437C6" w:rsidRDefault="004466EB" w:rsidP="00E44687">
            <w:pPr>
              <w:keepNext w:val="0"/>
              <w:spacing w:before="0" w:line="276" w:lineRule="auto"/>
              <w:jc w:val="left"/>
              <w:rPr>
                <w:rFonts w:cs="Arial"/>
                <w:color w:val="0070C0"/>
                <w:szCs w:val="24"/>
              </w:rPr>
            </w:pPr>
          </w:p>
          <w:p w14:paraId="420202F4"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Access to other utilities is generally assumed to be non-constrained.</w:t>
            </w:r>
          </w:p>
        </w:tc>
      </w:tr>
      <w:tr w:rsidR="005437C6" w:rsidRPr="005437C6" w14:paraId="102303D4" w14:textId="77777777">
        <w:tc>
          <w:tcPr>
            <w:tcW w:w="2263" w:type="dxa"/>
            <w:shd w:val="clear" w:color="auto" w:fill="D9D9D9"/>
          </w:tcPr>
          <w:p w14:paraId="1E60B9EB"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Public Open Space Requirements</w:t>
            </w:r>
          </w:p>
          <w:p w14:paraId="7FC93725" w14:textId="77777777" w:rsidR="004466EB" w:rsidRPr="00E56F9C" w:rsidRDefault="004466EB" w:rsidP="00E44687">
            <w:pPr>
              <w:keepNext w:val="0"/>
              <w:spacing w:before="0" w:line="276" w:lineRule="auto"/>
              <w:jc w:val="left"/>
              <w:rPr>
                <w:rFonts w:cs="Arial"/>
                <w:b/>
                <w:bCs/>
                <w:color w:val="005EAC"/>
                <w:szCs w:val="24"/>
              </w:rPr>
            </w:pPr>
          </w:p>
          <w:p w14:paraId="65559148"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S12</w:t>
            </w:r>
          </w:p>
          <w:p w14:paraId="1EB36754" w14:textId="77777777" w:rsidR="004466EB" w:rsidRPr="00E56F9C" w:rsidRDefault="004466EB" w:rsidP="00E44687">
            <w:pPr>
              <w:keepNext w:val="0"/>
              <w:spacing w:before="0" w:line="276" w:lineRule="auto"/>
              <w:jc w:val="left"/>
              <w:rPr>
                <w:rFonts w:cs="Arial"/>
                <w:color w:val="005EAC"/>
                <w:sz w:val="22"/>
              </w:rPr>
            </w:pPr>
          </w:p>
          <w:p w14:paraId="638FB1C5"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H5, SD5</w:t>
            </w:r>
          </w:p>
        </w:tc>
        <w:tc>
          <w:tcPr>
            <w:tcW w:w="7479" w:type="dxa"/>
          </w:tcPr>
          <w:p w14:paraId="1AA3AB82"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 site should accommodate a minimum of </w:t>
            </w:r>
            <w:r w:rsidRPr="005437C6">
              <w:rPr>
                <w:rFonts w:cs="Arial"/>
                <w:b/>
                <w:bCs/>
                <w:color w:val="0070C0"/>
                <w:szCs w:val="24"/>
              </w:rPr>
              <w:t>10%</w:t>
            </w:r>
            <w:r w:rsidRPr="005437C6">
              <w:rPr>
                <w:rFonts w:cs="Arial"/>
                <w:color w:val="0070C0"/>
                <w:szCs w:val="24"/>
              </w:rPr>
              <w:t xml:space="preserve"> public open space, approximately </w:t>
            </w:r>
            <w:r w:rsidRPr="005437C6">
              <w:rPr>
                <w:rFonts w:cs="Arial"/>
                <w:b/>
                <w:bCs/>
                <w:color w:val="0070C0"/>
                <w:szCs w:val="24"/>
              </w:rPr>
              <w:t xml:space="preserve">3.1ha </w:t>
            </w:r>
            <w:r w:rsidRPr="005437C6">
              <w:rPr>
                <w:rFonts w:cs="Arial"/>
                <w:color w:val="0070C0"/>
                <w:szCs w:val="24"/>
              </w:rPr>
              <w:t>from all phases of development. This may take the form of:</w:t>
            </w:r>
          </w:p>
          <w:p w14:paraId="13F76502"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Informal recreational open space</w:t>
            </w:r>
          </w:p>
          <w:p w14:paraId="14EABBD8"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Outdoor sports facilities</w:t>
            </w:r>
          </w:p>
          <w:p w14:paraId="0C351734"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Play space</w:t>
            </w:r>
          </w:p>
          <w:p w14:paraId="6BC7CF2C"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Cemeteries</w:t>
            </w:r>
          </w:p>
          <w:p w14:paraId="6B63CE68"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Allotments</w:t>
            </w:r>
          </w:p>
          <w:p w14:paraId="6EF25CB2"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Natural spaces</w:t>
            </w:r>
          </w:p>
          <w:p w14:paraId="62DB0EAD"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Areas of public realm</w:t>
            </w:r>
          </w:p>
          <w:p w14:paraId="08CEDFF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037397E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Development of the site would result in the loss of the disused allotments located off Lime Tree Road. The demand for allotment plots is set out in the Allotment Survey 2025 Technical Paper, which indicates there is an under-provision of allotments in Hucknall. It is therefore expected that new allotments would be provided on site</w:t>
            </w:r>
          </w:p>
          <w:p w14:paraId="0497F64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DA64EA0" w14:textId="055BE18F"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A contribution towards public realm improvements may also be sought from this site in line with Local Plan policy.</w:t>
            </w:r>
          </w:p>
        </w:tc>
      </w:tr>
      <w:tr w:rsidR="005437C6" w:rsidRPr="005437C6" w14:paraId="00500F38" w14:textId="77777777">
        <w:tc>
          <w:tcPr>
            <w:tcW w:w="2263" w:type="dxa"/>
            <w:shd w:val="clear" w:color="auto" w:fill="D9D9D9"/>
          </w:tcPr>
          <w:p w14:paraId="2A569C3B"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Affordable Housing</w:t>
            </w:r>
          </w:p>
          <w:p w14:paraId="57B45075" w14:textId="77777777" w:rsidR="004466EB" w:rsidRPr="00E56F9C" w:rsidRDefault="004466EB" w:rsidP="00E44687">
            <w:pPr>
              <w:keepNext w:val="0"/>
              <w:spacing w:before="0" w:line="276" w:lineRule="auto"/>
              <w:jc w:val="left"/>
              <w:rPr>
                <w:rFonts w:cs="Arial"/>
                <w:b/>
                <w:bCs/>
                <w:color w:val="005EAC"/>
                <w:szCs w:val="24"/>
              </w:rPr>
            </w:pPr>
          </w:p>
          <w:p w14:paraId="3B7F8E38"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S7</w:t>
            </w:r>
          </w:p>
          <w:p w14:paraId="277FBB88" w14:textId="77777777" w:rsidR="004466EB" w:rsidRPr="00E56F9C" w:rsidRDefault="004466EB" w:rsidP="00E44687">
            <w:pPr>
              <w:keepNext w:val="0"/>
              <w:spacing w:before="0" w:line="276" w:lineRule="auto"/>
              <w:jc w:val="left"/>
              <w:rPr>
                <w:rFonts w:cs="Arial"/>
                <w:color w:val="005EAC"/>
                <w:sz w:val="22"/>
              </w:rPr>
            </w:pPr>
          </w:p>
          <w:p w14:paraId="6A4A2B4B"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H3, SD5</w:t>
            </w:r>
          </w:p>
        </w:tc>
        <w:tc>
          <w:tcPr>
            <w:tcW w:w="7479" w:type="dxa"/>
          </w:tcPr>
          <w:p w14:paraId="3A6BC2C0"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A minimum of 25% affordable housing will be required on this site.</w:t>
            </w:r>
          </w:p>
          <w:p w14:paraId="531B05CF" w14:textId="77777777" w:rsidR="004466EB" w:rsidRPr="005437C6" w:rsidRDefault="004466EB" w:rsidP="00E44687">
            <w:pPr>
              <w:keepNext w:val="0"/>
              <w:autoSpaceDE w:val="0"/>
              <w:autoSpaceDN w:val="0"/>
              <w:adjustRightInd w:val="0"/>
              <w:spacing w:before="0"/>
              <w:ind w:right="284"/>
              <w:jc w:val="left"/>
              <w:rPr>
                <w:color w:val="0070C0"/>
                <w:szCs w:val="24"/>
              </w:rPr>
            </w:pPr>
          </w:p>
          <w:p w14:paraId="4EBAA9AB" w14:textId="77777777" w:rsidR="004466EB" w:rsidRPr="005437C6" w:rsidRDefault="004466EB" w:rsidP="00E44687">
            <w:pPr>
              <w:keepNext w:val="0"/>
              <w:autoSpaceDE w:val="0"/>
              <w:autoSpaceDN w:val="0"/>
              <w:adjustRightInd w:val="0"/>
              <w:spacing w:before="0"/>
              <w:ind w:right="284"/>
              <w:jc w:val="left"/>
              <w:rPr>
                <w:color w:val="0070C0"/>
                <w:szCs w:val="24"/>
              </w:rPr>
            </w:pPr>
            <w:r w:rsidRPr="005437C6">
              <w:rPr>
                <w:color w:val="0070C0"/>
                <w:szCs w:val="24"/>
              </w:rPr>
              <w:t>Tenure mix should be identified through discussions with the local authority.  The starting point will be based on delivery of:</w:t>
            </w:r>
          </w:p>
          <w:p w14:paraId="6A0BEC4C" w14:textId="77777777" w:rsidR="004466EB" w:rsidRPr="005437C6" w:rsidRDefault="004466EB" w:rsidP="00E44687">
            <w:pPr>
              <w:keepNext w:val="0"/>
              <w:autoSpaceDE w:val="0"/>
              <w:autoSpaceDN w:val="0"/>
              <w:adjustRightInd w:val="0"/>
              <w:spacing w:before="0"/>
              <w:ind w:left="357" w:right="284"/>
              <w:jc w:val="left"/>
              <w:rPr>
                <w:color w:val="0070C0"/>
                <w:szCs w:val="24"/>
              </w:rPr>
            </w:pPr>
          </w:p>
          <w:p w14:paraId="6674FE04"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rPr>
            </w:pPr>
            <w:r w:rsidRPr="005437C6">
              <w:rPr>
                <w:rFonts w:cs="Arial"/>
                <w:color w:val="0070C0"/>
                <w:szCs w:val="24"/>
              </w:rPr>
              <w:t>25% Shared ownership/discounted homes for sale,</w:t>
            </w:r>
          </w:p>
          <w:p w14:paraId="3141DA90"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rPr>
            </w:pPr>
            <w:r w:rsidRPr="005437C6">
              <w:rPr>
                <w:rFonts w:cs="Arial"/>
                <w:color w:val="0070C0"/>
                <w:szCs w:val="24"/>
              </w:rPr>
              <w:t>25% Social Rents, and</w:t>
            </w:r>
          </w:p>
          <w:p w14:paraId="466A8A7F"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rPr>
            </w:pPr>
            <w:r w:rsidRPr="005437C6">
              <w:rPr>
                <w:rFonts w:cs="Arial"/>
                <w:color w:val="0070C0"/>
                <w:szCs w:val="24"/>
              </w:rPr>
              <w:t>50% Affordable Rents.</w:t>
            </w:r>
          </w:p>
        </w:tc>
      </w:tr>
    </w:tbl>
    <w:p w14:paraId="1A648C19"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1E5F49C4"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489DAC44"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noProof/>
          <w:color w:val="0070C0"/>
          <w:szCs w:val="24"/>
          <w:lang w:eastAsia="en-US"/>
        </w:rPr>
        <w:lastRenderedPageBreak/>
        <w:drawing>
          <wp:inline distT="0" distB="0" distL="0" distR="0" wp14:anchorId="404B3FD6" wp14:editId="21DCDE18">
            <wp:extent cx="8684184" cy="6119536"/>
            <wp:effectExtent l="5715" t="0" r="8890" b="8890"/>
            <wp:docPr id="1542887854" name="Picture 1" descr="Design considerations for allocation H1Hc - Broomhill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87854" name="Picture 1" descr="Design considerations for allocation H1Hc - Broomhill Farm"/>
                    <pic:cNvPicPr/>
                  </pic:nvPicPr>
                  <pic:blipFill>
                    <a:blip r:embed="rId110"/>
                    <a:stretch>
                      <a:fillRect/>
                    </a:stretch>
                  </pic:blipFill>
                  <pic:spPr>
                    <a:xfrm rot="16200000">
                      <a:off x="0" y="0"/>
                      <a:ext cx="8749088" cy="6165272"/>
                    </a:xfrm>
                    <a:prstGeom prst="rect">
                      <a:avLst/>
                    </a:prstGeom>
                  </pic:spPr>
                </pic:pic>
              </a:graphicData>
            </a:graphic>
          </wp:inline>
        </w:drawing>
      </w:r>
    </w:p>
    <w:p w14:paraId="63E6845E"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lastRenderedPageBreak/>
        <w:t>Residential Masterplan</w:t>
      </w:r>
    </w:p>
    <w:p w14:paraId="1D70F7EC"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t>H1Hd - Land Adjacent Stubbing Wood Farm, Hucknall</w:t>
      </w:r>
    </w:p>
    <w:p w14:paraId="11E3D02F"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6BB65E6F" w14:textId="77777777" w:rsidR="004466EB" w:rsidRPr="005437C6" w:rsidRDefault="004466EB" w:rsidP="004466EB">
      <w:pPr>
        <w:keepNext w:val="0"/>
        <w:spacing w:before="0" w:after="160" w:line="276" w:lineRule="auto"/>
        <w:jc w:val="both"/>
        <w:rPr>
          <w:rFonts w:eastAsia="Calibri" w:cs="Arial"/>
          <w:color w:val="0070C0"/>
          <w:szCs w:val="24"/>
          <w:lang w:eastAsia="en-US"/>
        </w:rPr>
      </w:pPr>
      <w:r w:rsidRPr="005437C6">
        <w:rPr>
          <w:rFonts w:eastAsia="Calibri" w:cs="Arial"/>
          <w:color w:val="0070C0"/>
          <w:szCs w:val="24"/>
          <w:lang w:eastAsia="en-US"/>
        </w:rPr>
        <w:t xml:space="preserve">This concise masterplan is intended to help guide the design of future development alongside the Local Plan and Neighbourhood Plan policies, and relevant Supplementary Planning Documents (SPDs)/ Council Guidance Notes. </w:t>
      </w:r>
    </w:p>
    <w:p w14:paraId="4E51AD7A"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2E79038D"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color w:val="0070C0"/>
          <w:szCs w:val="24"/>
          <w:lang w:eastAsia="en-US"/>
        </w:rPr>
        <w:t>Site Location and Surrounding Area</w:t>
      </w:r>
    </w:p>
    <w:tbl>
      <w:tblPr>
        <w:tblStyle w:val="TableGrid4"/>
        <w:tblW w:w="0" w:type="auto"/>
        <w:tblLook w:val="04A0" w:firstRow="1" w:lastRow="0" w:firstColumn="1" w:lastColumn="0" w:noHBand="0" w:noVBand="1"/>
      </w:tblPr>
      <w:tblGrid>
        <w:gridCol w:w="1976"/>
        <w:gridCol w:w="3052"/>
        <w:gridCol w:w="2446"/>
        <w:gridCol w:w="2155"/>
      </w:tblGrid>
      <w:tr w:rsidR="005437C6" w:rsidRPr="005437C6" w14:paraId="75B0455F" w14:textId="77777777">
        <w:trPr>
          <w:trHeight w:val="514"/>
        </w:trPr>
        <w:tc>
          <w:tcPr>
            <w:tcW w:w="2003" w:type="dxa"/>
            <w:shd w:val="clear" w:color="auto" w:fill="D9D9D9"/>
          </w:tcPr>
          <w:p w14:paraId="738A1714"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Name: </w:t>
            </w:r>
          </w:p>
        </w:tc>
        <w:tc>
          <w:tcPr>
            <w:tcW w:w="3095" w:type="dxa"/>
          </w:tcPr>
          <w:p w14:paraId="13A458D3"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Land Adjacent Stubbing Wood Farm</w:t>
            </w:r>
          </w:p>
        </w:tc>
        <w:tc>
          <w:tcPr>
            <w:tcW w:w="2466" w:type="dxa"/>
            <w:shd w:val="clear" w:color="auto" w:fill="D9D9D9"/>
          </w:tcPr>
          <w:p w14:paraId="22F04230"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Allocation Ref:  </w:t>
            </w:r>
          </w:p>
        </w:tc>
        <w:tc>
          <w:tcPr>
            <w:tcW w:w="2178" w:type="dxa"/>
          </w:tcPr>
          <w:p w14:paraId="7627F35E"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H1Hd</w:t>
            </w:r>
          </w:p>
        </w:tc>
      </w:tr>
      <w:tr w:rsidR="005437C6" w:rsidRPr="005437C6" w14:paraId="2D7615D7" w14:textId="77777777">
        <w:trPr>
          <w:trHeight w:val="619"/>
        </w:trPr>
        <w:tc>
          <w:tcPr>
            <w:tcW w:w="2003" w:type="dxa"/>
            <w:shd w:val="clear" w:color="auto" w:fill="D9D9D9"/>
          </w:tcPr>
          <w:p w14:paraId="066240D5"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Total Area:  </w:t>
            </w:r>
          </w:p>
        </w:tc>
        <w:tc>
          <w:tcPr>
            <w:tcW w:w="3095" w:type="dxa"/>
          </w:tcPr>
          <w:p w14:paraId="025DCD7A" w14:textId="77777777" w:rsidR="004466EB" w:rsidRPr="005437C6" w:rsidRDefault="004466EB">
            <w:pPr>
              <w:keepNext w:val="0"/>
              <w:spacing w:before="0" w:line="276" w:lineRule="auto"/>
              <w:rPr>
                <w:rFonts w:cs="Arial"/>
                <w:color w:val="0070C0"/>
                <w:szCs w:val="24"/>
              </w:rPr>
            </w:pPr>
            <w:r w:rsidRPr="005437C6">
              <w:rPr>
                <w:rFonts w:cs="Arial"/>
                <w:color w:val="0070C0"/>
                <w:szCs w:val="24"/>
              </w:rPr>
              <w:t>8.82ha</w:t>
            </w:r>
          </w:p>
        </w:tc>
        <w:tc>
          <w:tcPr>
            <w:tcW w:w="2466" w:type="dxa"/>
            <w:shd w:val="clear" w:color="auto" w:fill="D9D9D9"/>
          </w:tcPr>
          <w:p w14:paraId="63A0673B"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Net Residential Development Area:  </w:t>
            </w:r>
          </w:p>
        </w:tc>
        <w:tc>
          <w:tcPr>
            <w:tcW w:w="2178" w:type="dxa"/>
          </w:tcPr>
          <w:p w14:paraId="1BA53F32" w14:textId="77777777" w:rsidR="004466EB" w:rsidRPr="005437C6" w:rsidRDefault="004466EB">
            <w:pPr>
              <w:keepNext w:val="0"/>
              <w:spacing w:before="0" w:line="276" w:lineRule="auto"/>
              <w:rPr>
                <w:rFonts w:cs="Arial"/>
                <w:color w:val="0070C0"/>
                <w:szCs w:val="24"/>
              </w:rPr>
            </w:pPr>
            <w:r w:rsidRPr="005437C6">
              <w:rPr>
                <w:rFonts w:cs="Arial"/>
                <w:color w:val="0070C0"/>
                <w:szCs w:val="24"/>
              </w:rPr>
              <w:t>6.61ha</w:t>
            </w:r>
          </w:p>
        </w:tc>
      </w:tr>
      <w:tr w:rsidR="005437C6" w:rsidRPr="005437C6" w14:paraId="5CB1AF56" w14:textId="77777777">
        <w:trPr>
          <w:trHeight w:val="619"/>
        </w:trPr>
        <w:tc>
          <w:tcPr>
            <w:tcW w:w="2003" w:type="dxa"/>
            <w:shd w:val="clear" w:color="auto" w:fill="D9D9D9"/>
          </w:tcPr>
          <w:p w14:paraId="2630A72F"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OS Grid Ref:  </w:t>
            </w:r>
          </w:p>
        </w:tc>
        <w:tc>
          <w:tcPr>
            <w:tcW w:w="3095" w:type="dxa"/>
          </w:tcPr>
          <w:p w14:paraId="338A73E4" w14:textId="77777777" w:rsidR="004466EB" w:rsidRPr="005437C6" w:rsidRDefault="004466EB">
            <w:pPr>
              <w:keepNext w:val="0"/>
              <w:spacing w:before="0" w:line="276" w:lineRule="auto"/>
              <w:rPr>
                <w:rFonts w:cs="Arial"/>
                <w:color w:val="0070C0"/>
                <w:szCs w:val="24"/>
              </w:rPr>
            </w:pPr>
            <w:r w:rsidRPr="005437C6">
              <w:rPr>
                <w:rFonts w:cs="Arial"/>
                <w:color w:val="0070C0"/>
                <w:szCs w:val="24"/>
              </w:rPr>
              <w:t>451677.3, 347215.722</w:t>
            </w:r>
          </w:p>
        </w:tc>
        <w:tc>
          <w:tcPr>
            <w:tcW w:w="2466" w:type="dxa"/>
            <w:shd w:val="clear" w:color="auto" w:fill="D9D9D9"/>
          </w:tcPr>
          <w:p w14:paraId="618CC60C"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Potential Yield:  </w:t>
            </w:r>
          </w:p>
        </w:tc>
        <w:tc>
          <w:tcPr>
            <w:tcW w:w="2178" w:type="dxa"/>
          </w:tcPr>
          <w:p w14:paraId="70969A7D"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 xml:space="preserve">198 dwellings </w:t>
            </w:r>
          </w:p>
        </w:tc>
      </w:tr>
      <w:tr w:rsidR="005437C6" w:rsidRPr="005437C6" w14:paraId="1580ACF1" w14:textId="77777777">
        <w:trPr>
          <w:trHeight w:val="619"/>
        </w:trPr>
        <w:tc>
          <w:tcPr>
            <w:tcW w:w="2003" w:type="dxa"/>
            <w:shd w:val="clear" w:color="auto" w:fill="D9D9D9"/>
          </w:tcPr>
          <w:p w14:paraId="27A04EE2"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Ward:  </w:t>
            </w:r>
          </w:p>
        </w:tc>
        <w:tc>
          <w:tcPr>
            <w:tcW w:w="3095" w:type="dxa"/>
          </w:tcPr>
          <w:p w14:paraId="4BFF095F"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Hucknall West</w:t>
            </w:r>
          </w:p>
        </w:tc>
        <w:tc>
          <w:tcPr>
            <w:tcW w:w="2466" w:type="dxa"/>
            <w:shd w:val="clear" w:color="auto" w:fill="D9D9D9"/>
          </w:tcPr>
          <w:p w14:paraId="1217501D"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Greenfield/ Brownfield:  </w:t>
            </w:r>
          </w:p>
        </w:tc>
        <w:tc>
          <w:tcPr>
            <w:tcW w:w="2178" w:type="dxa"/>
          </w:tcPr>
          <w:p w14:paraId="236930C5"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Greenfield</w:t>
            </w:r>
          </w:p>
        </w:tc>
      </w:tr>
    </w:tbl>
    <w:p w14:paraId="047755F2" w14:textId="77777777" w:rsidR="004466EB" w:rsidRPr="005437C6" w:rsidRDefault="004466EB" w:rsidP="004466EB">
      <w:pPr>
        <w:keepNext w:val="0"/>
        <w:tabs>
          <w:tab w:val="left" w:pos="5805"/>
        </w:tabs>
        <w:spacing w:before="0" w:after="160" w:line="276" w:lineRule="auto"/>
        <w:jc w:val="both"/>
        <w:rPr>
          <w:rFonts w:eastAsia="Calibri" w:cs="Arial"/>
          <w:b/>
          <w:bCs/>
          <w:color w:val="0070C0"/>
          <w:szCs w:val="24"/>
          <w:lang w:eastAsia="en-US"/>
        </w:rPr>
      </w:pPr>
    </w:p>
    <w:p w14:paraId="7128E7D3"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noProof/>
          <w:color w:val="0070C0"/>
          <w:szCs w:val="22"/>
          <w:lang w:eastAsia="en-US"/>
        </w:rPr>
        <w:drawing>
          <wp:inline distT="0" distB="0" distL="0" distR="0" wp14:anchorId="31410108" wp14:editId="25D1603B">
            <wp:extent cx="6317561" cy="4447946"/>
            <wp:effectExtent l="0" t="0" r="762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334400" cy="4459801"/>
                    </a:xfrm>
                    <a:prstGeom prst="rect">
                      <a:avLst/>
                    </a:prstGeom>
                    <a:noFill/>
                    <a:ln>
                      <a:noFill/>
                    </a:ln>
                  </pic:spPr>
                </pic:pic>
              </a:graphicData>
            </a:graphic>
          </wp:inline>
        </w:drawing>
      </w:r>
    </w:p>
    <w:p w14:paraId="49526B5C"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lastRenderedPageBreak/>
        <w:t xml:space="preserve">This site is located to the north of </w:t>
      </w:r>
      <w:proofErr w:type="spellStart"/>
      <w:r w:rsidRPr="005437C6">
        <w:rPr>
          <w:rFonts w:eastAsia="Calibri" w:cs="Arial"/>
          <w:color w:val="0070C0"/>
          <w:szCs w:val="24"/>
          <w:lang w:eastAsia="en-US"/>
        </w:rPr>
        <w:t>Watnall</w:t>
      </w:r>
      <w:proofErr w:type="spellEnd"/>
      <w:r w:rsidRPr="005437C6">
        <w:rPr>
          <w:rFonts w:eastAsia="Calibri" w:cs="Arial"/>
          <w:color w:val="0070C0"/>
          <w:szCs w:val="24"/>
          <w:lang w:eastAsia="en-US"/>
        </w:rPr>
        <w:t xml:space="preserve"> Road (B6009), with adjacent residential areas to the east and south. It currently comprises open fields with associated farm buildings on site. The site is relatively flat, benefits from a strong hedgerow boundary around the southern section and mature trees towards the northern west of the site, together with the district boundary with Broxtowe.</w:t>
      </w:r>
    </w:p>
    <w:p w14:paraId="79ED7CDD"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26DC1F53"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The site is within 800m of an existing bus stop (half hourly AM, half hourly PM peak and daytime hourly service) which enables access to a local supermarket (within 30mins travel time). Parts of the site is within 480m (6 mins) from a neighbourhood park and the whole of the site is within 1000 m of a destination park – Merlin Park.</w:t>
      </w:r>
    </w:p>
    <w:p w14:paraId="65AA8280" w14:textId="77777777" w:rsidR="004466EB" w:rsidRPr="005437C6" w:rsidRDefault="004466EB" w:rsidP="004466EB">
      <w:pPr>
        <w:keepNext w:val="0"/>
        <w:spacing w:before="0" w:after="160" w:line="276" w:lineRule="auto"/>
        <w:rPr>
          <w:rFonts w:eastAsia="Calibri" w:cs="Arial"/>
          <w:color w:val="0070C0"/>
          <w:szCs w:val="24"/>
          <w:lang w:eastAsia="en-US"/>
        </w:rPr>
      </w:pPr>
    </w:p>
    <w:p w14:paraId="595D500D" w14:textId="77777777" w:rsidR="004466EB" w:rsidRPr="005437C6" w:rsidRDefault="004466EB" w:rsidP="004466EB">
      <w:pPr>
        <w:keepNext w:val="0"/>
        <w:autoSpaceDE w:val="0"/>
        <w:autoSpaceDN w:val="0"/>
        <w:adjustRightInd w:val="0"/>
        <w:spacing w:before="0" w:line="276" w:lineRule="auto"/>
        <w:rPr>
          <w:rFonts w:eastAsia="Calibri" w:cs="Arial"/>
          <w:b/>
          <w:bCs/>
          <w:color w:val="0070C0"/>
          <w:szCs w:val="24"/>
          <w:lang w:eastAsia="en-US"/>
        </w:rPr>
      </w:pPr>
      <w:r w:rsidRPr="005437C6">
        <w:rPr>
          <w:rFonts w:eastAsia="Calibri" w:cs="Arial"/>
          <w:b/>
          <w:bCs/>
          <w:color w:val="0070C0"/>
          <w:szCs w:val="24"/>
          <w:lang w:eastAsia="en-US"/>
        </w:rPr>
        <w:t>Existing Characteristics, Development Opportunities and Requirements</w:t>
      </w:r>
    </w:p>
    <w:p w14:paraId="6BD4DD9C"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6046902C"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 xml:space="preserve">The site contains </w:t>
      </w:r>
      <w:proofErr w:type="gramStart"/>
      <w:r w:rsidRPr="005437C6">
        <w:rPr>
          <w:rFonts w:eastAsia="Calibri" w:cs="Arial"/>
          <w:color w:val="0070C0"/>
          <w:szCs w:val="24"/>
          <w:lang w:eastAsia="en-US"/>
        </w:rPr>
        <w:t>a number of</w:t>
      </w:r>
      <w:proofErr w:type="gramEnd"/>
      <w:r w:rsidRPr="005437C6">
        <w:rPr>
          <w:rFonts w:eastAsia="Calibri" w:cs="Arial"/>
          <w:color w:val="0070C0"/>
          <w:szCs w:val="24"/>
          <w:lang w:eastAsia="en-US"/>
        </w:rPr>
        <w:t xml:space="preserve"> characteristics, features and constraints that future development must consider. Key Local Plan Policy requirements for this site are set out </w:t>
      </w:r>
      <w:proofErr w:type="gramStart"/>
      <w:r w:rsidRPr="005437C6">
        <w:rPr>
          <w:rFonts w:eastAsia="Calibri" w:cs="Arial"/>
          <w:color w:val="0070C0"/>
          <w:szCs w:val="24"/>
          <w:lang w:eastAsia="en-US"/>
        </w:rPr>
        <w:t>below,</w:t>
      </w:r>
      <w:proofErr w:type="gramEnd"/>
      <w:r w:rsidRPr="005437C6">
        <w:rPr>
          <w:rFonts w:eastAsia="Calibri" w:cs="Arial"/>
          <w:color w:val="0070C0"/>
          <w:szCs w:val="24"/>
          <w:lang w:eastAsia="en-US"/>
        </w:rPr>
        <w:t xml:space="preserve"> however it should be noted that the Local Plan should be read </w:t>
      </w:r>
      <w:proofErr w:type="gramStart"/>
      <w:r w:rsidRPr="005437C6">
        <w:rPr>
          <w:rFonts w:eastAsia="Calibri" w:cs="Arial"/>
          <w:color w:val="0070C0"/>
          <w:szCs w:val="24"/>
          <w:lang w:eastAsia="en-US"/>
        </w:rPr>
        <w:t>as a whole including</w:t>
      </w:r>
      <w:proofErr w:type="gramEnd"/>
      <w:r w:rsidRPr="005437C6">
        <w:rPr>
          <w:rFonts w:eastAsia="Calibri" w:cs="Arial"/>
          <w:color w:val="0070C0"/>
          <w:szCs w:val="24"/>
          <w:lang w:eastAsia="en-US"/>
        </w:rPr>
        <w:t xml:space="preserve"> any other relevant policies. </w:t>
      </w:r>
    </w:p>
    <w:p w14:paraId="0E15D469"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76826D40"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Contributions towards local infrastructure that is needed to support the development will be negotiated through a Section 106 legal agreement.  Where appropriate, the Council will seek contributions for education, health, libraries, waste, and transport infrastructure in consultation with the County Council, NHS Nottingham and Nottinghamshire Integrated Care Board (ICB).  Contributions towards other infrastructure and facilities will be considered on a site-by-site basis, and may include:</w:t>
      </w:r>
    </w:p>
    <w:p w14:paraId="04A6176E"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72DD8F14"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 xml:space="preserve">the regeneration of town centres; </w:t>
      </w:r>
    </w:p>
    <w:p w14:paraId="38C6F458"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provision of appropriate sport and recreation facilities, new and improved open space, improving quality and access to green and blue infrastructure;</w:t>
      </w:r>
    </w:p>
    <w:p w14:paraId="43989408"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conservation and enhancement of the historic environment;</w:t>
      </w:r>
    </w:p>
    <w:p w14:paraId="4F73DC5C"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tackling climate change including flooding or water quality;</w:t>
      </w:r>
    </w:p>
    <w:p w14:paraId="2AD98D04"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cross-boundary infrastructure to help deliver and mitigate the effects of development;</w:t>
      </w:r>
    </w:p>
    <w:p w14:paraId="770392E3"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supporting service infrastructure.</w:t>
      </w:r>
    </w:p>
    <w:p w14:paraId="5F2716C2"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tbl>
      <w:tblPr>
        <w:tblStyle w:val="TableGrid4"/>
        <w:tblW w:w="0" w:type="auto"/>
        <w:tblLook w:val="04A0" w:firstRow="1" w:lastRow="0" w:firstColumn="1" w:lastColumn="0" w:noHBand="0" w:noVBand="1"/>
      </w:tblPr>
      <w:tblGrid>
        <w:gridCol w:w="2254"/>
        <w:gridCol w:w="7375"/>
      </w:tblGrid>
      <w:tr w:rsidR="005437C6" w:rsidRPr="005437C6" w14:paraId="624B0A56" w14:textId="77777777">
        <w:tc>
          <w:tcPr>
            <w:tcW w:w="2263" w:type="dxa"/>
            <w:shd w:val="clear" w:color="auto" w:fill="D9D9D9"/>
          </w:tcPr>
          <w:p w14:paraId="79A0F9E6"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Location, Design &amp; Density</w:t>
            </w:r>
          </w:p>
          <w:p w14:paraId="2F9FDC33"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Policies:</w:t>
            </w:r>
          </w:p>
          <w:p w14:paraId="22CF5CE2"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S2, S3, S5, S9, S12, S13, S14</w:t>
            </w:r>
          </w:p>
          <w:p w14:paraId="082B011A" w14:textId="77777777" w:rsidR="004466EB" w:rsidRPr="00E56F9C" w:rsidRDefault="004466EB" w:rsidP="00E44687">
            <w:pPr>
              <w:keepNext w:val="0"/>
              <w:spacing w:before="0" w:line="276" w:lineRule="auto"/>
              <w:jc w:val="left"/>
              <w:rPr>
                <w:rFonts w:cs="Arial"/>
                <w:color w:val="005EAC"/>
                <w:sz w:val="22"/>
              </w:rPr>
            </w:pPr>
          </w:p>
          <w:p w14:paraId="74D6025B"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51255AF0"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lastRenderedPageBreak/>
              <w:t>CC1, EV6, EV9, H1, H7, SD2, SD3, SD9, SD10</w:t>
            </w:r>
          </w:p>
        </w:tc>
        <w:tc>
          <w:tcPr>
            <w:tcW w:w="7479" w:type="dxa"/>
          </w:tcPr>
          <w:p w14:paraId="211E8906"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lastRenderedPageBreak/>
              <w:t xml:space="preserve">The site is located on the fringe of the main urban area of Hucknall, and so development should ensure a lower density in line with Local Plan policy. </w:t>
            </w:r>
          </w:p>
          <w:p w14:paraId="2B7B6ADF"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38BFAFA0"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It is adjacent to existing residential development and requires the following design considerations:</w:t>
            </w:r>
          </w:p>
          <w:p w14:paraId="0F9865F0" w14:textId="77777777" w:rsidR="004466EB" w:rsidRPr="005437C6" w:rsidRDefault="004466EB" w:rsidP="00E44687">
            <w:pPr>
              <w:keepNext w:val="0"/>
              <w:numPr>
                <w:ilvl w:val="0"/>
                <w:numId w:val="372"/>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Ensure minimum privacy distances are applied between existing and new properties.</w:t>
            </w:r>
          </w:p>
          <w:p w14:paraId="648B4F00" w14:textId="77777777" w:rsidR="004466EB" w:rsidRPr="005437C6" w:rsidRDefault="004466EB" w:rsidP="00E44687">
            <w:pPr>
              <w:keepNext w:val="0"/>
              <w:numPr>
                <w:ilvl w:val="0"/>
                <w:numId w:val="372"/>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lastRenderedPageBreak/>
              <w:t>Create pedestrian links to existing residential communities, where possible.</w:t>
            </w:r>
          </w:p>
          <w:p w14:paraId="4F629049" w14:textId="77777777" w:rsidR="004466EB" w:rsidRPr="005437C6" w:rsidRDefault="004466EB" w:rsidP="00E44687">
            <w:pPr>
              <w:keepNext w:val="0"/>
              <w:numPr>
                <w:ilvl w:val="0"/>
                <w:numId w:val="372"/>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Orientation, roof type and scale of built form should be reflective of the local vernacular and appear integrated into its surroundings.</w:t>
            </w:r>
          </w:p>
          <w:p w14:paraId="13461FD5"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043FE3A8"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site frontages should also be enhanced through the following:</w:t>
            </w:r>
          </w:p>
          <w:p w14:paraId="75BA7E32" w14:textId="77777777" w:rsidR="004466EB" w:rsidRPr="005437C6" w:rsidRDefault="004466EB" w:rsidP="00E44687">
            <w:pPr>
              <w:keepNext w:val="0"/>
              <w:numPr>
                <w:ilvl w:val="0"/>
                <w:numId w:val="373"/>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Appropriate landscaping and visual interest alongside site boundaries.</w:t>
            </w:r>
          </w:p>
          <w:p w14:paraId="0E8841BF" w14:textId="77777777" w:rsidR="004466EB" w:rsidRPr="005437C6" w:rsidRDefault="004466EB" w:rsidP="00E44687">
            <w:pPr>
              <w:keepNext w:val="0"/>
              <w:numPr>
                <w:ilvl w:val="0"/>
                <w:numId w:val="373"/>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Materials and boundary treatments should be of a high-quality design to create a positive visual contribution.</w:t>
            </w:r>
          </w:p>
          <w:p w14:paraId="1C4F0059"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DCD2682"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Any future development scheme would be expected to deliver a minimum density of 30 dwellings / ha in this location. Higher density may be appropriate towards the western edge of the site.</w:t>
            </w:r>
          </w:p>
        </w:tc>
      </w:tr>
      <w:tr w:rsidR="005437C6" w:rsidRPr="005437C6" w14:paraId="113EE6A5" w14:textId="77777777">
        <w:tc>
          <w:tcPr>
            <w:tcW w:w="2263" w:type="dxa"/>
            <w:shd w:val="clear" w:color="auto" w:fill="D9D9D9"/>
          </w:tcPr>
          <w:p w14:paraId="73D87F86"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Addressing Climate Change</w:t>
            </w:r>
          </w:p>
          <w:p w14:paraId="53A1224D"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S3</w:t>
            </w:r>
          </w:p>
          <w:p w14:paraId="67ADD018" w14:textId="77777777" w:rsidR="004466EB" w:rsidRPr="00E56F9C" w:rsidRDefault="004466EB" w:rsidP="00E44687">
            <w:pPr>
              <w:keepNext w:val="0"/>
              <w:spacing w:before="0" w:line="276" w:lineRule="auto"/>
              <w:jc w:val="left"/>
              <w:rPr>
                <w:rFonts w:cs="Arial"/>
                <w:color w:val="005EAC"/>
                <w:sz w:val="22"/>
              </w:rPr>
            </w:pPr>
          </w:p>
          <w:p w14:paraId="121506AF"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4BAE1282"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CC1, CC2, CC3, SD4, SD10</w:t>
            </w:r>
          </w:p>
        </w:tc>
        <w:tc>
          <w:tcPr>
            <w:tcW w:w="7479" w:type="dxa"/>
          </w:tcPr>
          <w:p w14:paraId="7008E223" w14:textId="77777777" w:rsidR="004466EB" w:rsidRPr="005437C6" w:rsidRDefault="004466EB" w:rsidP="00E44687">
            <w:pPr>
              <w:keepNext w:val="0"/>
              <w:spacing w:before="0" w:after="160" w:line="252" w:lineRule="auto"/>
              <w:jc w:val="left"/>
              <w:rPr>
                <w:color w:val="0070C0"/>
                <w:u w:val="single"/>
              </w:rPr>
            </w:pPr>
            <w:r w:rsidRPr="005437C6">
              <w:rPr>
                <w:rFonts w:cs="Arial"/>
                <w:color w:val="0070C0"/>
                <w:szCs w:val="24"/>
              </w:rPr>
              <w:t xml:space="preserve">Development must reflect the Council’s approach to becoming net-zero carbon by 2050, and accord with the Council’s planning guidance on this aspect, which is available on the website: </w:t>
            </w:r>
            <w:hyperlink r:id="rId112" w:history="1">
              <w:r w:rsidRPr="005437C6">
                <w:rPr>
                  <w:color w:val="0070C0"/>
                  <w:u w:val="single"/>
                </w:rPr>
                <w:t>Ashfield District Council Supplementary Planning Documents and Guidance</w:t>
              </w:r>
            </w:hyperlink>
          </w:p>
          <w:p w14:paraId="1FD83B8C" w14:textId="77777777" w:rsidR="004466EB" w:rsidRPr="005437C6" w:rsidRDefault="004466EB" w:rsidP="00E44687">
            <w:pPr>
              <w:keepNext w:val="0"/>
              <w:spacing w:before="0" w:after="160" w:line="252" w:lineRule="auto"/>
              <w:jc w:val="left"/>
              <w:rPr>
                <w:rFonts w:cs="Arial"/>
                <w:color w:val="0070C0"/>
                <w:szCs w:val="24"/>
              </w:rPr>
            </w:pPr>
            <w:r w:rsidRPr="005437C6">
              <w:rPr>
                <w:rFonts w:cs="Arial"/>
                <w:color w:val="0070C0"/>
                <w:szCs w:val="24"/>
              </w:rPr>
              <w:t>Key elements to consider include:</w:t>
            </w:r>
          </w:p>
          <w:p w14:paraId="457133D0"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Orientation of buildings to achieve maximum solar gain and integration of solar panels.</w:t>
            </w:r>
          </w:p>
          <w:p w14:paraId="22DD971E"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 xml:space="preserve">Planting street trees and other street planting to soften the impact of car parking, help improve air quality and contribute to biodiversity.  </w:t>
            </w:r>
          </w:p>
          <w:p w14:paraId="29FB2A99"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Incorporate rainwater harvesting.</w:t>
            </w:r>
          </w:p>
          <w:p w14:paraId="239DFB1D"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 xml:space="preserve">Provide green space to minimising the increased risk of flooding from all sources </w:t>
            </w:r>
            <w:proofErr w:type="gramStart"/>
            <w:r w:rsidRPr="005437C6">
              <w:rPr>
                <w:rFonts w:cs="Arial"/>
                <w:color w:val="0070C0"/>
                <w:szCs w:val="24"/>
              </w:rPr>
              <w:t>through the use of</w:t>
            </w:r>
            <w:proofErr w:type="gramEnd"/>
            <w:r w:rsidRPr="005437C6">
              <w:rPr>
                <w:rFonts w:cs="Arial"/>
                <w:color w:val="0070C0"/>
                <w:szCs w:val="24"/>
              </w:rPr>
              <w:t xml:space="preserve"> SUDs. </w:t>
            </w:r>
          </w:p>
          <w:p w14:paraId="7EB73E9B"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Other forms of low carbon technology, such as air source or ground source heat pumps.</w:t>
            </w:r>
          </w:p>
          <w:p w14:paraId="56E9AD8E"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The provision of electric vehicles charging points.</w:t>
            </w:r>
          </w:p>
          <w:p w14:paraId="5DB3F421"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eastAsia="Arial" w:cs="Arial"/>
                <w:bCs/>
                <w:color w:val="0070C0"/>
              </w:rPr>
              <w:t>Implementation of water efficiency measures to minimise water consumption, to achieve a requirement of not exceeding 110 litres per person per day.</w:t>
            </w:r>
          </w:p>
          <w:p w14:paraId="5BA98422" w14:textId="77777777" w:rsidR="004466EB" w:rsidRPr="005437C6" w:rsidRDefault="004466EB" w:rsidP="00E44687">
            <w:pPr>
              <w:keepNext w:val="0"/>
              <w:numPr>
                <w:ilvl w:val="0"/>
                <w:numId w:val="367"/>
              </w:numPr>
              <w:spacing w:before="0"/>
              <w:contextualSpacing/>
              <w:jc w:val="left"/>
              <w:rPr>
                <w:rFonts w:cs="Arial"/>
                <w:color w:val="0070C0"/>
                <w:szCs w:val="24"/>
              </w:rPr>
            </w:pPr>
            <w:r w:rsidRPr="005437C6">
              <w:rPr>
                <w:rFonts w:cs="Arial"/>
                <w:color w:val="0070C0"/>
                <w:szCs w:val="24"/>
              </w:rPr>
              <w:t>Sustainable waste management should be considered by providing space for recycling and composting.</w:t>
            </w:r>
          </w:p>
        </w:tc>
      </w:tr>
      <w:tr w:rsidR="005437C6" w:rsidRPr="005437C6" w14:paraId="300D8F66" w14:textId="77777777">
        <w:tc>
          <w:tcPr>
            <w:tcW w:w="2263" w:type="dxa"/>
            <w:shd w:val="clear" w:color="auto" w:fill="D9D9D9"/>
          </w:tcPr>
          <w:p w14:paraId="3522F6B3"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Access &amp; Transport</w:t>
            </w:r>
          </w:p>
          <w:p w14:paraId="195EF1B1"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Policies: S2, S9, S10</w:t>
            </w:r>
          </w:p>
          <w:p w14:paraId="6A6AE3C6" w14:textId="77777777" w:rsidR="004466EB" w:rsidRPr="00E56F9C" w:rsidRDefault="004466EB" w:rsidP="00E44687">
            <w:pPr>
              <w:keepNext w:val="0"/>
              <w:spacing w:before="0" w:line="276" w:lineRule="auto"/>
              <w:jc w:val="left"/>
              <w:rPr>
                <w:rFonts w:cs="Arial"/>
                <w:color w:val="005EAC"/>
                <w:sz w:val="22"/>
              </w:rPr>
            </w:pPr>
          </w:p>
          <w:p w14:paraId="21B0FFEB"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1E569DCF" w14:textId="77777777" w:rsidR="004466EB" w:rsidRPr="00E56F9C" w:rsidRDefault="004466EB" w:rsidP="00E44687">
            <w:pPr>
              <w:keepNext w:val="0"/>
              <w:spacing w:before="0" w:line="276" w:lineRule="auto"/>
              <w:jc w:val="left"/>
              <w:rPr>
                <w:rFonts w:cs="Arial"/>
                <w:color w:val="005EAC"/>
                <w:szCs w:val="24"/>
              </w:rPr>
            </w:pPr>
            <w:r w:rsidRPr="00E56F9C">
              <w:rPr>
                <w:rFonts w:cs="Arial"/>
                <w:color w:val="005EAC"/>
                <w:sz w:val="22"/>
              </w:rPr>
              <w:lastRenderedPageBreak/>
              <w:t>SD2, SD5, SD10, SD11</w:t>
            </w:r>
          </w:p>
        </w:tc>
        <w:tc>
          <w:tcPr>
            <w:tcW w:w="7479" w:type="dxa"/>
          </w:tcPr>
          <w:p w14:paraId="7BF0D3F4"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lastRenderedPageBreak/>
              <w:t>NCC Highways Requirements:</w:t>
            </w:r>
          </w:p>
          <w:p w14:paraId="6109442D" w14:textId="77777777" w:rsidR="004466EB" w:rsidRPr="005437C6" w:rsidRDefault="004466EB" w:rsidP="00E44687">
            <w:pPr>
              <w:keepNext w:val="0"/>
              <w:numPr>
                <w:ilvl w:val="0"/>
                <w:numId w:val="374"/>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 xml:space="preserve">This will require two points of access onto </w:t>
            </w:r>
            <w:proofErr w:type="spellStart"/>
            <w:r w:rsidRPr="005437C6">
              <w:rPr>
                <w:rFonts w:cs="Arial"/>
                <w:color w:val="0070C0"/>
                <w:szCs w:val="24"/>
              </w:rPr>
              <w:t>Watnall</w:t>
            </w:r>
            <w:proofErr w:type="spellEnd"/>
            <w:r w:rsidRPr="005437C6">
              <w:rPr>
                <w:rFonts w:cs="Arial"/>
                <w:color w:val="0070C0"/>
                <w:szCs w:val="24"/>
              </w:rPr>
              <w:t xml:space="preserve"> Road and Lancaster Road. </w:t>
            </w:r>
          </w:p>
          <w:p w14:paraId="3B895D32" w14:textId="77777777" w:rsidR="004466EB" w:rsidRPr="005437C6" w:rsidRDefault="004466EB" w:rsidP="00E44687">
            <w:pPr>
              <w:keepNext w:val="0"/>
              <w:numPr>
                <w:ilvl w:val="0"/>
                <w:numId w:val="374"/>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 xml:space="preserve">The main road corridor should be looped suitable for buses and interconnected throughout. </w:t>
            </w:r>
          </w:p>
          <w:p w14:paraId="1FC921C1" w14:textId="77777777" w:rsidR="004466EB" w:rsidRPr="005437C6" w:rsidRDefault="004466EB" w:rsidP="00E44687">
            <w:pPr>
              <w:keepNext w:val="0"/>
              <w:numPr>
                <w:ilvl w:val="0"/>
                <w:numId w:val="374"/>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 xml:space="preserve">Segregated enhanced pedestrian/cyclist routes should be integral to the development.  </w:t>
            </w:r>
          </w:p>
          <w:p w14:paraId="0220B3BF" w14:textId="77777777" w:rsidR="004466EB" w:rsidRPr="005437C6" w:rsidRDefault="004466EB" w:rsidP="00E44687">
            <w:pPr>
              <w:keepNext w:val="0"/>
              <w:numPr>
                <w:ilvl w:val="0"/>
                <w:numId w:val="374"/>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lastRenderedPageBreak/>
              <w:t>The developer will be expected to maximise opportunities to provide new sustainable transport options which create less-car dependant settlements.</w:t>
            </w:r>
          </w:p>
          <w:p w14:paraId="3B9C5691" w14:textId="77777777" w:rsidR="004466EB" w:rsidRPr="005437C6" w:rsidRDefault="004466EB" w:rsidP="00E44687">
            <w:pPr>
              <w:keepNext w:val="0"/>
              <w:numPr>
                <w:ilvl w:val="0"/>
                <w:numId w:val="374"/>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Internal layouts &amp; external interface design must focus on the Department for Transport's LTN1/20 design for cycle infrastructure to integrate cycling with highway improvements and new developments.</w:t>
            </w:r>
          </w:p>
          <w:p w14:paraId="77B1CAA6" w14:textId="77777777" w:rsidR="004466EB" w:rsidRPr="005437C6" w:rsidRDefault="004466EB" w:rsidP="00E44687">
            <w:pPr>
              <w:keepNext w:val="0"/>
              <w:numPr>
                <w:ilvl w:val="0"/>
                <w:numId w:val="374"/>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 xml:space="preserve">A supporting Transport Assessment (TA) that identifies the transportation implications of a new development will be required. This must include measures that will be provided to deal with the anticipated impacts of the scheme in relation to all forms of travel. Provision of offsite improvements to encourage active travel should be an essential part of the TA (e.g., provision of frequent real-time bus stop/shelter facilities). </w:t>
            </w:r>
          </w:p>
          <w:p w14:paraId="7AB82834" w14:textId="77777777" w:rsidR="004466EB" w:rsidRPr="005437C6" w:rsidRDefault="004466EB" w:rsidP="00E44687">
            <w:pPr>
              <w:keepNext w:val="0"/>
              <w:numPr>
                <w:ilvl w:val="0"/>
                <w:numId w:val="374"/>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Separate to any local remedial / mitigation measures identified as part of a Transport Assessment, a financial strategic contribution may be applicable per dwelling house, to deal with the overall cumulative growth &amp; impact on existing infrastructure.</w:t>
            </w:r>
          </w:p>
          <w:p w14:paraId="05EB544C" w14:textId="77777777" w:rsidR="004466EB" w:rsidRPr="005437C6" w:rsidRDefault="004466EB" w:rsidP="00E44687">
            <w:pPr>
              <w:keepNext w:val="0"/>
              <w:numPr>
                <w:ilvl w:val="0"/>
                <w:numId w:val="374"/>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Parking provision will be crucial to the success and safe operation of this development. Parking standards are based on minimum standards and parking spaces/service areas provided must be robustly justified/evidence based on surveys of comparable sites. Disproportionate use of tandem parking to meet standards will not be accepted as research shows these arrangements are invariably under used causing parking displacement to the public highway.</w:t>
            </w:r>
          </w:p>
        </w:tc>
      </w:tr>
      <w:tr w:rsidR="005437C6" w:rsidRPr="005437C6" w14:paraId="48928818" w14:textId="77777777">
        <w:tc>
          <w:tcPr>
            <w:tcW w:w="2263" w:type="dxa"/>
            <w:shd w:val="clear" w:color="auto" w:fill="D9D9D9"/>
          </w:tcPr>
          <w:p w14:paraId="134300D8"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Rights of Way</w:t>
            </w:r>
          </w:p>
        </w:tc>
        <w:tc>
          <w:tcPr>
            <w:tcW w:w="7479" w:type="dxa"/>
          </w:tcPr>
          <w:p w14:paraId="403B9366" w14:textId="62A763E0" w:rsidR="004466EB" w:rsidRPr="005437C6" w:rsidRDefault="004466EB" w:rsidP="005B464E">
            <w:pPr>
              <w:keepNext w:val="0"/>
              <w:spacing w:before="0" w:line="276" w:lineRule="auto"/>
              <w:jc w:val="left"/>
              <w:rPr>
                <w:rFonts w:cs="Arial"/>
                <w:color w:val="0070C0"/>
                <w:szCs w:val="24"/>
              </w:rPr>
            </w:pPr>
            <w:r w:rsidRPr="005437C6">
              <w:rPr>
                <w:rFonts w:cs="Arial"/>
                <w:color w:val="0070C0"/>
                <w:szCs w:val="24"/>
              </w:rPr>
              <w:t>No rights of way are located on or adjacent to the site.</w:t>
            </w:r>
          </w:p>
        </w:tc>
      </w:tr>
      <w:tr w:rsidR="005437C6" w:rsidRPr="005437C6" w14:paraId="7FEA677F" w14:textId="77777777">
        <w:tc>
          <w:tcPr>
            <w:tcW w:w="2263" w:type="dxa"/>
            <w:shd w:val="clear" w:color="auto" w:fill="D9D9D9"/>
          </w:tcPr>
          <w:p w14:paraId="387BEAF8"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Topography &amp; Landscape Character</w:t>
            </w:r>
          </w:p>
          <w:p w14:paraId="04F1F54D"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S13</w:t>
            </w:r>
          </w:p>
          <w:p w14:paraId="515C5035" w14:textId="77777777" w:rsidR="004466EB" w:rsidRPr="00E56F9C" w:rsidRDefault="004466EB" w:rsidP="00E44687">
            <w:pPr>
              <w:keepNext w:val="0"/>
              <w:spacing w:before="0" w:line="276" w:lineRule="auto"/>
              <w:jc w:val="left"/>
              <w:rPr>
                <w:rFonts w:cs="Arial"/>
                <w:color w:val="005EAC"/>
                <w:sz w:val="22"/>
              </w:rPr>
            </w:pPr>
          </w:p>
          <w:p w14:paraId="5D7DD4CC"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3F598441"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EV4, EV6, EV10, SD2</w:t>
            </w:r>
          </w:p>
        </w:tc>
        <w:tc>
          <w:tcPr>
            <w:tcW w:w="7479" w:type="dxa"/>
          </w:tcPr>
          <w:p w14:paraId="68338BE6"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No specific topographical constraints are identified with this site.</w:t>
            </w:r>
          </w:p>
          <w:p w14:paraId="1C8AF20A"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9742A4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Mature hedgerows and trees are an important characteristic of the site and form </w:t>
            </w:r>
            <w:proofErr w:type="gramStart"/>
            <w:r w:rsidRPr="005437C6">
              <w:rPr>
                <w:rFonts w:cs="Arial"/>
                <w:color w:val="0070C0"/>
                <w:szCs w:val="24"/>
              </w:rPr>
              <w:t>a number of</w:t>
            </w:r>
            <w:proofErr w:type="gramEnd"/>
            <w:r w:rsidRPr="005437C6">
              <w:rPr>
                <w:rFonts w:cs="Arial"/>
                <w:color w:val="0070C0"/>
                <w:szCs w:val="24"/>
              </w:rPr>
              <w:t xml:space="preserve"> boundaries. Development must strengthen and protect existing mature boundary hedgerows around the site by gapping up and planting additional hedgerow trees, where appropriate.</w:t>
            </w:r>
          </w:p>
          <w:p w14:paraId="18877616"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EBAD0D6" w14:textId="39F4DF53" w:rsidR="004466EB" w:rsidRPr="005437C6" w:rsidRDefault="004466EB" w:rsidP="009B0758">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Greater Nottingham Landscape Assessment identifies the site as lying within character area ML018 River Leen Corridor.</w:t>
            </w:r>
            <w:r w:rsidRPr="005437C6">
              <w:rPr>
                <w:color w:val="0070C0"/>
              </w:rPr>
              <w:t xml:space="preserve"> </w:t>
            </w:r>
            <w:r w:rsidRPr="005437C6">
              <w:rPr>
                <w:rFonts w:cs="Arial"/>
                <w:color w:val="0070C0"/>
                <w:szCs w:val="24"/>
              </w:rPr>
              <w:t>The condition of the landscape is MODERATE.  Overall, the strength of character is MODERATE.  The overall landscape strategy is ENHANCE.</w:t>
            </w:r>
          </w:p>
        </w:tc>
      </w:tr>
      <w:tr w:rsidR="005437C6" w:rsidRPr="005437C6" w14:paraId="2F7E23A0" w14:textId="77777777">
        <w:tc>
          <w:tcPr>
            <w:tcW w:w="2263" w:type="dxa"/>
            <w:shd w:val="clear" w:color="auto" w:fill="D9D9D9"/>
          </w:tcPr>
          <w:p w14:paraId="5E917775"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Ground Stability and Contamination</w:t>
            </w:r>
          </w:p>
          <w:p w14:paraId="0DA0BB51"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S2</w:t>
            </w:r>
          </w:p>
          <w:p w14:paraId="6A3ED6E8"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SD8</w:t>
            </w:r>
          </w:p>
        </w:tc>
        <w:tc>
          <w:tcPr>
            <w:tcW w:w="7479" w:type="dxa"/>
          </w:tcPr>
          <w:p w14:paraId="07C7833D"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There are no known ground stability issues. It is located within a Coal Low Risk Area.</w:t>
            </w:r>
          </w:p>
          <w:p w14:paraId="0C025F6E" w14:textId="77777777" w:rsidR="004466EB" w:rsidRPr="005437C6" w:rsidRDefault="004466EB" w:rsidP="00E44687">
            <w:pPr>
              <w:keepNext w:val="0"/>
              <w:spacing w:before="0" w:line="276" w:lineRule="auto"/>
              <w:jc w:val="left"/>
              <w:rPr>
                <w:rFonts w:cs="Arial"/>
                <w:color w:val="0070C0"/>
                <w:szCs w:val="24"/>
              </w:rPr>
            </w:pPr>
          </w:p>
          <w:p w14:paraId="5213AF24"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No known contamination issues. There is a former landfill located 20m to the south.  </w:t>
            </w:r>
          </w:p>
          <w:p w14:paraId="5832CA0C" w14:textId="77777777" w:rsidR="004466EB" w:rsidRPr="005437C6" w:rsidRDefault="004466EB" w:rsidP="00E44687">
            <w:pPr>
              <w:keepNext w:val="0"/>
              <w:spacing w:before="0"/>
              <w:jc w:val="left"/>
              <w:rPr>
                <w:rFonts w:cs="Arial"/>
                <w:color w:val="0070C0"/>
                <w:szCs w:val="24"/>
              </w:rPr>
            </w:pPr>
          </w:p>
        </w:tc>
      </w:tr>
      <w:tr w:rsidR="005437C6" w:rsidRPr="005437C6" w14:paraId="6895E0F7" w14:textId="77777777">
        <w:tc>
          <w:tcPr>
            <w:tcW w:w="2263" w:type="dxa"/>
            <w:shd w:val="clear" w:color="auto" w:fill="D9D9D9"/>
          </w:tcPr>
          <w:p w14:paraId="15296EDE"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Flood Risk</w:t>
            </w:r>
          </w:p>
          <w:p w14:paraId="718F07E6"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S3</w:t>
            </w:r>
          </w:p>
          <w:p w14:paraId="172EE6D0" w14:textId="77777777" w:rsidR="004466EB" w:rsidRPr="00E56F9C" w:rsidRDefault="004466EB" w:rsidP="00E44687">
            <w:pPr>
              <w:keepNext w:val="0"/>
              <w:spacing w:before="0" w:line="276" w:lineRule="auto"/>
              <w:jc w:val="left"/>
              <w:rPr>
                <w:rFonts w:cs="Arial"/>
                <w:color w:val="005EAC"/>
                <w:sz w:val="22"/>
              </w:rPr>
            </w:pPr>
          </w:p>
          <w:p w14:paraId="7D596E89"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CC3</w:t>
            </w:r>
          </w:p>
        </w:tc>
        <w:tc>
          <w:tcPr>
            <w:tcW w:w="7479" w:type="dxa"/>
          </w:tcPr>
          <w:p w14:paraId="6AF267B7"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The site lies within Flood Zone </w:t>
            </w:r>
            <w:proofErr w:type="gramStart"/>
            <w:r w:rsidRPr="005437C6">
              <w:rPr>
                <w:rFonts w:cs="Arial"/>
                <w:color w:val="0070C0"/>
                <w:szCs w:val="24"/>
              </w:rPr>
              <w:t>1,</w:t>
            </w:r>
            <w:proofErr w:type="gramEnd"/>
            <w:r w:rsidRPr="005437C6">
              <w:rPr>
                <w:rFonts w:cs="Arial"/>
                <w:color w:val="0070C0"/>
                <w:szCs w:val="24"/>
              </w:rPr>
              <w:t xml:space="preserve"> there is a low risk of flooding.</w:t>
            </w:r>
          </w:p>
          <w:p w14:paraId="7081D1B0" w14:textId="77777777" w:rsidR="004466EB" w:rsidRPr="005437C6" w:rsidRDefault="004466EB" w:rsidP="00E44687">
            <w:pPr>
              <w:keepNext w:val="0"/>
              <w:spacing w:before="0" w:line="276" w:lineRule="auto"/>
              <w:jc w:val="left"/>
              <w:rPr>
                <w:rFonts w:cs="Arial"/>
                <w:color w:val="0070C0"/>
                <w:szCs w:val="24"/>
              </w:rPr>
            </w:pPr>
          </w:p>
          <w:p w14:paraId="3F5630AB"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Parts of the site are subject to surface water flooding.  The southern part of the site close to </w:t>
            </w:r>
            <w:proofErr w:type="spellStart"/>
            <w:r w:rsidRPr="005437C6">
              <w:rPr>
                <w:rFonts w:cs="Arial"/>
                <w:color w:val="0070C0"/>
                <w:szCs w:val="24"/>
              </w:rPr>
              <w:t>Watnall</w:t>
            </w:r>
            <w:proofErr w:type="spellEnd"/>
            <w:r w:rsidRPr="005437C6">
              <w:rPr>
                <w:rFonts w:cs="Arial"/>
                <w:color w:val="0070C0"/>
                <w:szCs w:val="24"/>
              </w:rPr>
              <w:t xml:space="preserve"> Road is identified as a significant area at a high risk of flooding. This will require suitable mitigation.</w:t>
            </w:r>
          </w:p>
        </w:tc>
      </w:tr>
      <w:tr w:rsidR="005437C6" w:rsidRPr="005437C6" w14:paraId="31EA780F" w14:textId="77777777">
        <w:tc>
          <w:tcPr>
            <w:tcW w:w="2263" w:type="dxa"/>
            <w:shd w:val="clear" w:color="auto" w:fill="D9D9D9"/>
          </w:tcPr>
          <w:p w14:paraId="58E4638F"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Heritage and Archaeology</w:t>
            </w:r>
          </w:p>
          <w:p w14:paraId="4CCC3A24"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S14</w:t>
            </w:r>
          </w:p>
          <w:p w14:paraId="51DF6512" w14:textId="77777777" w:rsidR="004466EB" w:rsidRPr="00E56F9C" w:rsidRDefault="004466EB" w:rsidP="00E44687">
            <w:pPr>
              <w:keepNext w:val="0"/>
              <w:spacing w:before="0" w:line="276" w:lineRule="auto"/>
              <w:jc w:val="left"/>
              <w:rPr>
                <w:rFonts w:cs="Arial"/>
                <w:color w:val="005EAC"/>
                <w:sz w:val="22"/>
              </w:rPr>
            </w:pPr>
          </w:p>
          <w:p w14:paraId="02355642"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EV9</w:t>
            </w:r>
          </w:p>
        </w:tc>
        <w:tc>
          <w:tcPr>
            <w:tcW w:w="7479" w:type="dxa"/>
          </w:tcPr>
          <w:p w14:paraId="533AD8F9"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There are two Listed Buildings (both Grade II) and three Locally Listed Buildings within the study area.  There are two further non-designated assets identified in the Nottinghamshire Historic Environment Record (HER).</w:t>
            </w:r>
          </w:p>
          <w:p w14:paraId="631650D0"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key heritage assets are as follows:</w:t>
            </w:r>
          </w:p>
          <w:p w14:paraId="6A2738B1" w14:textId="77777777" w:rsidR="004466EB" w:rsidRPr="005437C6" w:rsidRDefault="004466EB" w:rsidP="00E44687">
            <w:pPr>
              <w:keepNext w:val="0"/>
              <w:numPr>
                <w:ilvl w:val="0"/>
                <w:numId w:val="370"/>
              </w:numPr>
              <w:autoSpaceDE w:val="0"/>
              <w:autoSpaceDN w:val="0"/>
              <w:adjustRightInd w:val="0"/>
              <w:spacing w:before="0" w:line="276" w:lineRule="auto"/>
              <w:ind w:left="466"/>
              <w:contextualSpacing/>
              <w:jc w:val="left"/>
              <w:rPr>
                <w:rFonts w:cs="Arial"/>
                <w:color w:val="0070C0"/>
                <w:szCs w:val="24"/>
              </w:rPr>
            </w:pPr>
            <w:r w:rsidRPr="005437C6">
              <w:rPr>
                <w:rFonts w:cs="Arial"/>
                <w:color w:val="0070C0"/>
                <w:szCs w:val="24"/>
              </w:rPr>
              <w:t>Grade II Battle Headquarters – Medium Significance</w:t>
            </w:r>
          </w:p>
          <w:p w14:paraId="7DB6C52D" w14:textId="77777777" w:rsidR="004466EB" w:rsidRPr="005437C6" w:rsidRDefault="004466EB" w:rsidP="00E44687">
            <w:pPr>
              <w:keepNext w:val="0"/>
              <w:numPr>
                <w:ilvl w:val="0"/>
                <w:numId w:val="371"/>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Development would cause less than substantial harm to the tower. However, without knowing the extent of subterranean chambers underneath the tower, development within the site could inadvertently cause substantial harm to the asset.</w:t>
            </w:r>
          </w:p>
          <w:p w14:paraId="67B7383F" w14:textId="77777777" w:rsidR="004466EB" w:rsidRPr="005437C6" w:rsidRDefault="004466EB" w:rsidP="00E44687">
            <w:pPr>
              <w:keepNext w:val="0"/>
              <w:numPr>
                <w:ilvl w:val="0"/>
                <w:numId w:val="371"/>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Potential opportunity to enhance the heritage asset through the provision of interpretation board and allowing public access.</w:t>
            </w:r>
          </w:p>
          <w:p w14:paraId="3E257796" w14:textId="77777777" w:rsidR="004466EB" w:rsidRPr="005437C6" w:rsidRDefault="004466EB" w:rsidP="00E44687">
            <w:pPr>
              <w:keepNext w:val="0"/>
              <w:numPr>
                <w:ilvl w:val="0"/>
                <w:numId w:val="370"/>
              </w:numPr>
              <w:autoSpaceDE w:val="0"/>
              <w:autoSpaceDN w:val="0"/>
              <w:adjustRightInd w:val="0"/>
              <w:spacing w:before="0" w:line="276" w:lineRule="auto"/>
              <w:ind w:left="466"/>
              <w:contextualSpacing/>
              <w:jc w:val="left"/>
              <w:rPr>
                <w:rFonts w:cs="Arial"/>
                <w:color w:val="0070C0"/>
                <w:szCs w:val="24"/>
              </w:rPr>
            </w:pPr>
            <w:r w:rsidRPr="005437C6">
              <w:rPr>
                <w:rFonts w:cs="Arial"/>
                <w:color w:val="0070C0"/>
                <w:szCs w:val="24"/>
              </w:rPr>
              <w:t>Grade II Hangars 1 &amp; 2 at K &amp; M Hauliers – Medium Significance</w:t>
            </w:r>
          </w:p>
          <w:p w14:paraId="3E698272" w14:textId="77777777" w:rsidR="004466EB" w:rsidRPr="005437C6" w:rsidRDefault="004466EB" w:rsidP="00E44687">
            <w:pPr>
              <w:keepNext w:val="0"/>
              <w:numPr>
                <w:ilvl w:val="0"/>
                <w:numId w:val="371"/>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Development of the site will not harm the setting or significance of the assets.</w:t>
            </w:r>
          </w:p>
          <w:p w14:paraId="47A3B26B" w14:textId="77777777" w:rsidR="004466EB" w:rsidRPr="005437C6" w:rsidRDefault="004466EB" w:rsidP="00E44687">
            <w:pPr>
              <w:keepNext w:val="0"/>
              <w:numPr>
                <w:ilvl w:val="0"/>
                <w:numId w:val="370"/>
              </w:numPr>
              <w:autoSpaceDE w:val="0"/>
              <w:autoSpaceDN w:val="0"/>
              <w:adjustRightInd w:val="0"/>
              <w:spacing w:before="0" w:line="276" w:lineRule="auto"/>
              <w:ind w:left="466"/>
              <w:contextualSpacing/>
              <w:jc w:val="left"/>
              <w:rPr>
                <w:rFonts w:cs="Arial"/>
                <w:color w:val="0070C0"/>
                <w:szCs w:val="24"/>
              </w:rPr>
            </w:pPr>
            <w:r w:rsidRPr="005437C6">
              <w:rPr>
                <w:rFonts w:cs="Arial"/>
                <w:color w:val="0070C0"/>
                <w:szCs w:val="24"/>
              </w:rPr>
              <w:t>Locally Listed Guardhouse at Former RAF Hucknall, Motor Garages and Workshops at Former RAF Hucknall, and Shops and Store at Former RAF Hucknall – Low Significance</w:t>
            </w:r>
          </w:p>
          <w:p w14:paraId="6E008D75" w14:textId="77777777" w:rsidR="004466EB" w:rsidRPr="005437C6" w:rsidRDefault="004466EB" w:rsidP="00E44687">
            <w:pPr>
              <w:keepNext w:val="0"/>
              <w:numPr>
                <w:ilvl w:val="0"/>
                <w:numId w:val="371"/>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The site is located at such a distance from the assets and is screened from intervening built form and vegetation that any development will not impact the significance and setting of the assets.</w:t>
            </w:r>
          </w:p>
          <w:p w14:paraId="263FB27F" w14:textId="77777777" w:rsidR="004466EB" w:rsidRPr="005437C6" w:rsidRDefault="004466EB" w:rsidP="00E44687">
            <w:pPr>
              <w:keepNext w:val="0"/>
              <w:autoSpaceDE w:val="0"/>
              <w:autoSpaceDN w:val="0"/>
              <w:adjustRightInd w:val="0"/>
              <w:spacing w:before="0"/>
              <w:jc w:val="left"/>
              <w:rPr>
                <w:rFonts w:eastAsia="Arial" w:cs="Arial"/>
                <w:iCs/>
                <w:color w:val="0070C0"/>
              </w:rPr>
            </w:pPr>
          </w:p>
          <w:p w14:paraId="74AF88AD" w14:textId="77777777" w:rsidR="004466EB" w:rsidRPr="005437C6" w:rsidRDefault="004466EB" w:rsidP="00E44687">
            <w:pPr>
              <w:keepNext w:val="0"/>
              <w:autoSpaceDE w:val="0"/>
              <w:autoSpaceDN w:val="0"/>
              <w:adjustRightInd w:val="0"/>
              <w:spacing w:before="0"/>
              <w:jc w:val="left"/>
              <w:rPr>
                <w:rFonts w:eastAsia="Arial" w:cs="Arial"/>
                <w:iCs/>
                <w:color w:val="0070C0"/>
                <w:szCs w:val="24"/>
              </w:rPr>
            </w:pPr>
            <w:r w:rsidRPr="005437C6">
              <w:rPr>
                <w:rFonts w:eastAsia="Arial" w:cs="Arial"/>
                <w:iCs/>
                <w:color w:val="0070C0"/>
              </w:rPr>
              <w:t>A Heritage Statement should be submitted that provides a proportionate assessment of the significance of the heritage assets, and where appropriate its setting, and an assessment of the impact of the proposal on the significance.  As a minimum, the Heritage Statement should cover the following:</w:t>
            </w:r>
          </w:p>
          <w:p w14:paraId="0D1B4D30"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cs="Arial"/>
                <w:iCs/>
                <w:color w:val="0070C0"/>
              </w:rPr>
            </w:pPr>
            <w:r w:rsidRPr="005437C6">
              <w:rPr>
                <w:rFonts w:eastAsia="Arial" w:cs="Arial"/>
                <w:iCs/>
                <w:color w:val="0070C0"/>
              </w:rPr>
              <w:lastRenderedPageBreak/>
              <w:t>describe and assess the significance of the asset(s) and/or its setting;</w:t>
            </w:r>
          </w:p>
          <w:p w14:paraId="6B6CD31F"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cs="Arial"/>
                <w:iCs/>
                <w:color w:val="0070C0"/>
              </w:rPr>
            </w:pPr>
            <w:r w:rsidRPr="005437C6">
              <w:rPr>
                <w:rFonts w:eastAsia="Arial" w:cs="Arial"/>
                <w:iCs/>
                <w:color w:val="0070C0"/>
              </w:rPr>
              <w:t>identify the impact of works on the special character of the asset(s); and</w:t>
            </w:r>
          </w:p>
          <w:p w14:paraId="48EC3E4D"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cs="Arial"/>
                <w:iCs/>
                <w:color w:val="0070C0"/>
              </w:rPr>
            </w:pPr>
            <w:r w:rsidRPr="005437C6">
              <w:rPr>
                <w:rFonts w:eastAsia="Arial" w:cs="Arial"/>
                <w:iCs/>
                <w:color w:val="0070C0"/>
              </w:rPr>
              <w:t>provide a clear justification for the works, especially if these would harm the asset(s) or its setting, so that the harm can be weighed against public benefit.</w:t>
            </w:r>
          </w:p>
          <w:p w14:paraId="2A1EFB7F" w14:textId="77777777" w:rsidR="004466EB" w:rsidRPr="005437C6" w:rsidRDefault="004466EB" w:rsidP="00E44687">
            <w:pPr>
              <w:keepNext w:val="0"/>
              <w:autoSpaceDE w:val="0"/>
              <w:autoSpaceDN w:val="0"/>
              <w:adjustRightInd w:val="0"/>
              <w:spacing w:before="0"/>
              <w:jc w:val="left"/>
              <w:rPr>
                <w:rFonts w:eastAsia="Arial" w:cs="Arial"/>
                <w:iCs/>
                <w:color w:val="0070C0"/>
              </w:rPr>
            </w:pPr>
          </w:p>
          <w:p w14:paraId="01A303B8" w14:textId="77777777" w:rsidR="004466EB" w:rsidRPr="005437C6" w:rsidRDefault="004466EB" w:rsidP="00E44687">
            <w:pPr>
              <w:keepNext w:val="0"/>
              <w:autoSpaceDE w:val="0"/>
              <w:autoSpaceDN w:val="0"/>
              <w:adjustRightInd w:val="0"/>
              <w:spacing w:before="0"/>
              <w:jc w:val="left"/>
              <w:rPr>
                <w:rFonts w:eastAsia="Arial" w:cs="Arial"/>
                <w:iCs/>
                <w:color w:val="0070C0"/>
              </w:rPr>
            </w:pPr>
            <w:r w:rsidRPr="005437C6">
              <w:rPr>
                <w:rFonts w:eastAsia="Arial" w:cs="Arial"/>
                <w:iCs/>
                <w:color w:val="0070C0"/>
              </w:rPr>
              <w:t xml:space="preserve">Historic England’s Good Practice Advice Note 2: Managing Significance in Decision-Taking in the Historic Environment, and </w:t>
            </w:r>
            <w:proofErr w:type="gramStart"/>
            <w:r w:rsidRPr="005437C6">
              <w:rPr>
                <w:rFonts w:eastAsia="Arial" w:cs="Arial"/>
                <w:iCs/>
                <w:color w:val="0070C0"/>
              </w:rPr>
              <w:t>Good</w:t>
            </w:r>
            <w:proofErr w:type="gramEnd"/>
            <w:r w:rsidRPr="005437C6">
              <w:rPr>
                <w:rFonts w:eastAsia="Arial" w:cs="Arial"/>
                <w:iCs/>
                <w:color w:val="0070C0"/>
              </w:rPr>
              <w:t xml:space="preserve"> practice Advice Note 3: The Setting of Heritage Assets, provide advice on how to undertake a Heritage Statement.</w:t>
            </w:r>
          </w:p>
          <w:p w14:paraId="65D24F6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503C3C84"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Within the north of the site, there is a high potential for buried archaeological remains associated with the Battle Headquarters. The southern portion of the site has a low to moderate potential for buried archaeology.  Further evaluation through desk-based assessment, geophysical survey and trial trenching is recommended to ascertain the extent and level of survival of archaeological remains within the broader site. </w:t>
            </w:r>
            <w:proofErr w:type="gramStart"/>
            <w:r w:rsidRPr="005437C6">
              <w:rPr>
                <w:rFonts w:cs="Arial"/>
                <w:color w:val="0070C0"/>
                <w:szCs w:val="24"/>
              </w:rPr>
              <w:t>In particular, ground-penetrating</w:t>
            </w:r>
            <w:proofErr w:type="gramEnd"/>
            <w:r w:rsidRPr="005437C6">
              <w:rPr>
                <w:rFonts w:cs="Arial"/>
                <w:color w:val="0070C0"/>
                <w:szCs w:val="24"/>
              </w:rPr>
              <w:t xml:space="preserve"> radar is recommended, along with a metal detecting survey, in the vicinity of the military infrastructure.</w:t>
            </w:r>
          </w:p>
        </w:tc>
      </w:tr>
      <w:tr w:rsidR="005437C6" w:rsidRPr="005437C6" w14:paraId="5BCD2E28" w14:textId="77777777">
        <w:tc>
          <w:tcPr>
            <w:tcW w:w="2263" w:type="dxa"/>
            <w:shd w:val="clear" w:color="auto" w:fill="D9D9D9"/>
          </w:tcPr>
          <w:p w14:paraId="0B0CA4B4"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Green Infrastructure &amp; Biodiversity</w:t>
            </w:r>
          </w:p>
          <w:p w14:paraId="7F174B47" w14:textId="77777777" w:rsidR="004466EB" w:rsidRPr="00E56F9C" w:rsidRDefault="004466EB" w:rsidP="00E44687">
            <w:pPr>
              <w:keepNext w:val="0"/>
              <w:spacing w:before="0" w:line="276" w:lineRule="auto"/>
              <w:jc w:val="left"/>
              <w:rPr>
                <w:rFonts w:cs="Arial"/>
                <w:b/>
                <w:bCs/>
                <w:color w:val="005EAC"/>
                <w:szCs w:val="24"/>
              </w:rPr>
            </w:pPr>
          </w:p>
          <w:p w14:paraId="3BAFE458"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S13</w:t>
            </w:r>
          </w:p>
          <w:p w14:paraId="65D7E00E" w14:textId="77777777" w:rsidR="004466EB" w:rsidRPr="00E56F9C" w:rsidRDefault="004466EB" w:rsidP="00E44687">
            <w:pPr>
              <w:keepNext w:val="0"/>
              <w:spacing w:before="0" w:line="276" w:lineRule="auto"/>
              <w:jc w:val="left"/>
              <w:rPr>
                <w:rFonts w:cs="Arial"/>
                <w:color w:val="005EAC"/>
                <w:sz w:val="22"/>
              </w:rPr>
            </w:pPr>
          </w:p>
          <w:p w14:paraId="25BB5BFE"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EV4, EV6</w:t>
            </w:r>
          </w:p>
        </w:tc>
        <w:tc>
          <w:tcPr>
            <w:tcW w:w="7479" w:type="dxa"/>
          </w:tcPr>
          <w:p w14:paraId="1FC4F020"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There are no nationally Designated Natural Assets on or adjacent to the site.</w:t>
            </w:r>
          </w:p>
          <w:p w14:paraId="613CAEB9" w14:textId="77777777" w:rsidR="004466EB" w:rsidRPr="005437C6" w:rsidRDefault="004466EB" w:rsidP="00E44687">
            <w:pPr>
              <w:keepNext w:val="0"/>
              <w:spacing w:before="0" w:line="276" w:lineRule="auto"/>
              <w:jc w:val="left"/>
              <w:rPr>
                <w:rFonts w:cs="Arial"/>
                <w:color w:val="0070C0"/>
                <w:szCs w:val="24"/>
              </w:rPr>
            </w:pPr>
          </w:p>
          <w:p w14:paraId="1E15EF5B" w14:textId="163D3500" w:rsidR="009B0758" w:rsidRDefault="004466EB" w:rsidP="00E44687">
            <w:pPr>
              <w:keepNext w:val="0"/>
              <w:spacing w:before="0" w:line="276" w:lineRule="auto"/>
              <w:jc w:val="left"/>
              <w:rPr>
                <w:rFonts w:cs="Arial"/>
                <w:color w:val="0070C0"/>
                <w:szCs w:val="24"/>
              </w:rPr>
            </w:pPr>
            <w:proofErr w:type="spellStart"/>
            <w:r w:rsidRPr="005437C6">
              <w:rPr>
                <w:rFonts w:cs="Arial"/>
                <w:color w:val="0070C0"/>
                <w:szCs w:val="24"/>
              </w:rPr>
              <w:t>Starth</w:t>
            </w:r>
            <w:proofErr w:type="spellEnd"/>
            <w:r w:rsidRPr="005437C6">
              <w:rPr>
                <w:rFonts w:cs="Arial"/>
                <w:color w:val="0070C0"/>
                <w:szCs w:val="24"/>
              </w:rPr>
              <w:t xml:space="preserve"> Wood adjacent to </w:t>
            </w:r>
            <w:r w:rsidR="00735790" w:rsidRPr="00735790">
              <w:rPr>
                <w:rFonts w:cs="Arial"/>
                <w:b/>
                <w:bCs/>
                <w:color w:val="0070C0"/>
                <w:szCs w:val="24"/>
              </w:rPr>
              <w:t>the western</w:t>
            </w:r>
            <w:r w:rsidR="00735790">
              <w:rPr>
                <w:rFonts w:cs="Arial"/>
                <w:color w:val="0070C0"/>
                <w:szCs w:val="24"/>
              </w:rPr>
              <w:t xml:space="preserve"> </w:t>
            </w:r>
            <w:r w:rsidRPr="005437C6">
              <w:rPr>
                <w:rFonts w:cs="Arial"/>
                <w:color w:val="0070C0"/>
                <w:szCs w:val="24"/>
              </w:rPr>
              <w:t>part of the site</w:t>
            </w:r>
            <w:r w:rsidR="00735790">
              <w:rPr>
                <w:rFonts w:cs="Arial"/>
                <w:color w:val="0070C0"/>
                <w:szCs w:val="24"/>
              </w:rPr>
              <w:t xml:space="preserve"> </w:t>
            </w:r>
            <w:r w:rsidR="00735790" w:rsidRPr="00735790">
              <w:rPr>
                <w:rFonts w:cs="Arial"/>
                <w:b/>
                <w:bCs/>
                <w:color w:val="0070C0"/>
                <w:szCs w:val="24"/>
              </w:rPr>
              <w:t>(shown on the masterplan as a sensitive landscape buffer)</w:t>
            </w:r>
            <w:r w:rsidRPr="005437C6">
              <w:rPr>
                <w:rFonts w:cs="Arial"/>
                <w:color w:val="0070C0"/>
                <w:szCs w:val="24"/>
              </w:rPr>
              <w:t xml:space="preserve"> is identified as an ancient and semi natural woodland.  It is also a Local Wildlife Site. Under the Natural Environment &amp; Rural Community Act 2006 Section 41 </w:t>
            </w:r>
            <w:proofErr w:type="spellStart"/>
            <w:r w:rsidRPr="005437C6">
              <w:rPr>
                <w:rFonts w:cs="Arial"/>
                <w:color w:val="0070C0"/>
                <w:szCs w:val="24"/>
              </w:rPr>
              <w:t>Starth</w:t>
            </w:r>
            <w:proofErr w:type="spellEnd"/>
            <w:r w:rsidRPr="005437C6">
              <w:rPr>
                <w:rFonts w:cs="Arial"/>
                <w:color w:val="0070C0"/>
                <w:szCs w:val="24"/>
              </w:rPr>
              <w:t xml:space="preserve"> Wood is identified as a Priority Habitat – deciduous woodland. </w:t>
            </w:r>
            <w:r w:rsidR="00735790" w:rsidRPr="00735790">
              <w:rPr>
                <w:rFonts w:cs="Arial"/>
                <w:b/>
                <w:bCs/>
                <w:color w:val="0070C0"/>
                <w:szCs w:val="24"/>
              </w:rPr>
              <w:t xml:space="preserve">An appropriate design scheme will need to </w:t>
            </w:r>
            <w:proofErr w:type="gramStart"/>
            <w:r w:rsidR="00735790" w:rsidRPr="00735790">
              <w:rPr>
                <w:rFonts w:cs="Arial"/>
                <w:b/>
                <w:bCs/>
                <w:color w:val="0070C0"/>
                <w:szCs w:val="24"/>
              </w:rPr>
              <w:t>take into account</w:t>
            </w:r>
            <w:proofErr w:type="gramEnd"/>
            <w:r w:rsidR="00735790" w:rsidRPr="00735790">
              <w:rPr>
                <w:rFonts w:cs="Arial"/>
                <w:b/>
                <w:bCs/>
                <w:color w:val="0070C0"/>
                <w:szCs w:val="24"/>
              </w:rPr>
              <w:t xml:space="preserve"> any impacts on the adjoining </w:t>
            </w:r>
            <w:proofErr w:type="spellStart"/>
            <w:r w:rsidR="00735790" w:rsidRPr="00735790">
              <w:rPr>
                <w:rFonts w:cs="Arial"/>
                <w:b/>
                <w:bCs/>
                <w:color w:val="0070C0"/>
                <w:szCs w:val="24"/>
              </w:rPr>
              <w:t>Starth</w:t>
            </w:r>
            <w:proofErr w:type="spellEnd"/>
            <w:r w:rsidR="00735790" w:rsidRPr="00735790">
              <w:rPr>
                <w:rFonts w:cs="Arial"/>
                <w:b/>
                <w:bCs/>
                <w:color w:val="0070C0"/>
                <w:szCs w:val="24"/>
              </w:rPr>
              <w:t xml:space="preserve"> Wood Ancient Woodland and Local Wildlife Site.</w:t>
            </w:r>
          </w:p>
          <w:p w14:paraId="7DFA0040" w14:textId="77777777" w:rsidR="009B0758" w:rsidRDefault="009B0758" w:rsidP="00E44687">
            <w:pPr>
              <w:keepNext w:val="0"/>
              <w:spacing w:before="0" w:line="276" w:lineRule="auto"/>
              <w:jc w:val="left"/>
              <w:rPr>
                <w:rFonts w:cs="Arial"/>
                <w:color w:val="0070C0"/>
                <w:szCs w:val="24"/>
              </w:rPr>
            </w:pPr>
          </w:p>
          <w:p w14:paraId="7007EAC3" w14:textId="795E3C56" w:rsidR="004466EB" w:rsidRPr="00735790" w:rsidRDefault="004466EB" w:rsidP="00E44687">
            <w:pPr>
              <w:keepNext w:val="0"/>
              <w:spacing w:before="0" w:line="276" w:lineRule="auto"/>
              <w:jc w:val="left"/>
              <w:rPr>
                <w:rFonts w:cs="Arial"/>
                <w:strike/>
                <w:color w:val="0070C0"/>
                <w:szCs w:val="24"/>
              </w:rPr>
            </w:pPr>
            <w:r w:rsidRPr="005437C6">
              <w:rPr>
                <w:rFonts w:cs="Arial"/>
                <w:color w:val="0070C0"/>
                <w:szCs w:val="24"/>
              </w:rPr>
              <w:t xml:space="preserve">A landscape buffer should be implemented on the northwest boundary of the site </w:t>
            </w:r>
            <w:r w:rsidR="00735790" w:rsidRPr="00735790">
              <w:rPr>
                <w:rFonts w:cs="Arial"/>
                <w:b/>
                <w:bCs/>
                <w:color w:val="0070C0"/>
                <w:szCs w:val="24"/>
              </w:rPr>
              <w:t>to mitigate harm to the Green Belt and to provide a long-term defensible boundary.</w:t>
            </w:r>
            <w:r w:rsidR="00735790">
              <w:rPr>
                <w:rFonts w:cs="Arial"/>
                <w:b/>
                <w:bCs/>
                <w:color w:val="0070C0"/>
                <w:szCs w:val="24"/>
              </w:rPr>
              <w:t xml:space="preserve"> </w:t>
            </w:r>
            <w:r w:rsidRPr="00735790">
              <w:rPr>
                <w:rFonts w:cs="Arial"/>
                <w:strike/>
                <w:color w:val="0070C0"/>
                <w:szCs w:val="24"/>
              </w:rPr>
              <w:t>to mitigate impacts from the development on the ancient woodland.</w:t>
            </w:r>
          </w:p>
          <w:p w14:paraId="7AC628D5"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F196619" w14:textId="77777777" w:rsidR="004466EB" w:rsidRPr="005437C6" w:rsidRDefault="004466EB" w:rsidP="00E44687">
            <w:pPr>
              <w:keepNext w:val="0"/>
              <w:autoSpaceDE w:val="0"/>
              <w:autoSpaceDN w:val="0"/>
              <w:adjustRightInd w:val="0"/>
              <w:spacing w:before="0" w:line="276" w:lineRule="auto"/>
              <w:jc w:val="left"/>
              <w:rPr>
                <w:color w:val="0070C0"/>
              </w:rPr>
            </w:pPr>
            <w:r w:rsidRPr="005437C6">
              <w:rPr>
                <w:rFonts w:cs="Arial"/>
                <w:color w:val="0070C0"/>
                <w:szCs w:val="24"/>
              </w:rPr>
              <w:t xml:space="preserve">In respect of this site the Council will require a minimum Biodiversity Net Gain (BNG) of 10%. </w:t>
            </w:r>
            <w:r w:rsidRPr="005437C6">
              <w:rPr>
                <w:color w:val="0070C0"/>
              </w:rPr>
              <w:t xml:space="preserve">Biodiversity should be delivered on site in the first instance via habitat creation/enhancement, or by using off-site gains where necessary. </w:t>
            </w:r>
            <w:r w:rsidRPr="005437C6">
              <w:rPr>
                <w:color w:val="0070C0"/>
              </w:rPr>
              <w:lastRenderedPageBreak/>
              <w:t>As a last resort, biodiversity credits may be purchased where sufficient gains cannot be achieved on or off-site.</w:t>
            </w:r>
          </w:p>
          <w:p w14:paraId="2C6E8428" w14:textId="77777777" w:rsidR="004466EB" w:rsidRPr="005437C6" w:rsidRDefault="004466EB" w:rsidP="00E44687">
            <w:pPr>
              <w:keepNext w:val="0"/>
              <w:autoSpaceDE w:val="0"/>
              <w:autoSpaceDN w:val="0"/>
              <w:adjustRightInd w:val="0"/>
              <w:spacing w:before="0" w:line="276" w:lineRule="auto"/>
              <w:jc w:val="left"/>
              <w:rPr>
                <w:color w:val="0070C0"/>
              </w:rPr>
            </w:pPr>
          </w:p>
          <w:p w14:paraId="26D0B96A"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Development must also comply with the Developer Guide to Biodiversity and Nature Conservation 2022, which sets out the Council’s expectations in respect of Biodiversity Net Gain, alongside mandatory requirements for protected sites.</w:t>
            </w:r>
          </w:p>
          <w:p w14:paraId="3065EAE7" w14:textId="77777777" w:rsidR="004466EB" w:rsidRPr="005437C6" w:rsidRDefault="004466EB" w:rsidP="00E44687">
            <w:pPr>
              <w:keepNext w:val="0"/>
              <w:spacing w:before="0" w:line="276" w:lineRule="auto"/>
              <w:jc w:val="left"/>
              <w:rPr>
                <w:rFonts w:cs="Arial"/>
                <w:color w:val="0070C0"/>
                <w:szCs w:val="24"/>
              </w:rPr>
            </w:pPr>
          </w:p>
          <w:p w14:paraId="50F18020"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 Developer Guide can be viewed on the Council’s website: </w:t>
            </w:r>
            <w:hyperlink r:id="rId113" w:history="1">
              <w:r w:rsidRPr="005437C6">
                <w:rPr>
                  <w:color w:val="0070C0"/>
                  <w:u w:val="single"/>
                </w:rPr>
                <w:t>Ashfield District Council Supplementary Planning Documents and Guidance</w:t>
              </w:r>
            </w:hyperlink>
          </w:p>
        </w:tc>
      </w:tr>
      <w:tr w:rsidR="005437C6" w:rsidRPr="005437C6" w14:paraId="33B056D4" w14:textId="77777777">
        <w:tc>
          <w:tcPr>
            <w:tcW w:w="2263" w:type="dxa"/>
            <w:shd w:val="clear" w:color="auto" w:fill="D9D9D9"/>
          </w:tcPr>
          <w:p w14:paraId="697088E6"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Utilities</w:t>
            </w:r>
          </w:p>
          <w:p w14:paraId="1D40CDA0" w14:textId="77777777" w:rsidR="004466EB" w:rsidRPr="00E56F9C" w:rsidRDefault="004466EB" w:rsidP="00E44687">
            <w:pPr>
              <w:keepNext w:val="0"/>
              <w:spacing w:before="0" w:line="276" w:lineRule="auto"/>
              <w:jc w:val="left"/>
              <w:rPr>
                <w:rFonts w:cs="Arial"/>
                <w:b/>
                <w:bCs/>
                <w:color w:val="005EAC"/>
                <w:szCs w:val="24"/>
              </w:rPr>
            </w:pPr>
          </w:p>
          <w:p w14:paraId="5A1D4672"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S2</w:t>
            </w:r>
          </w:p>
          <w:p w14:paraId="30245CA8" w14:textId="77777777" w:rsidR="004466EB" w:rsidRPr="00E56F9C" w:rsidRDefault="004466EB" w:rsidP="00E44687">
            <w:pPr>
              <w:keepNext w:val="0"/>
              <w:spacing w:before="0" w:line="276" w:lineRule="auto"/>
              <w:jc w:val="left"/>
              <w:rPr>
                <w:rFonts w:cs="Arial"/>
                <w:color w:val="005EAC"/>
                <w:sz w:val="22"/>
              </w:rPr>
            </w:pPr>
          </w:p>
          <w:p w14:paraId="7E035951"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CC2</w:t>
            </w:r>
          </w:p>
        </w:tc>
        <w:tc>
          <w:tcPr>
            <w:tcW w:w="7479" w:type="dxa"/>
          </w:tcPr>
          <w:p w14:paraId="618672C8"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Seven Trent Water:</w:t>
            </w:r>
          </w:p>
          <w:p w14:paraId="3B25BCAF" w14:textId="77777777" w:rsidR="004466EB" w:rsidRPr="005437C6" w:rsidRDefault="004466EB" w:rsidP="00E44687">
            <w:pPr>
              <w:keepNext w:val="0"/>
              <w:numPr>
                <w:ilvl w:val="0"/>
                <w:numId w:val="358"/>
              </w:numPr>
              <w:spacing w:before="0" w:line="276" w:lineRule="auto"/>
              <w:ind w:left="466"/>
              <w:jc w:val="left"/>
              <w:rPr>
                <w:rFonts w:cs="Arial"/>
                <w:color w:val="0070C0"/>
                <w:szCs w:val="24"/>
              </w:rPr>
            </w:pPr>
            <w:r w:rsidRPr="005437C6">
              <w:rPr>
                <w:rFonts w:cs="Arial"/>
                <w:color w:val="0070C0"/>
                <w:szCs w:val="24"/>
              </w:rPr>
              <w:t>Potential Impact on Foul Sewer Infrastructure - Network Improvements likely to be required.</w:t>
            </w:r>
          </w:p>
          <w:p w14:paraId="31C458D2" w14:textId="77777777" w:rsidR="004466EB" w:rsidRPr="005437C6" w:rsidRDefault="004466EB" w:rsidP="00E44687">
            <w:pPr>
              <w:keepNext w:val="0"/>
              <w:numPr>
                <w:ilvl w:val="0"/>
                <w:numId w:val="358"/>
              </w:numPr>
              <w:spacing w:before="0" w:line="276" w:lineRule="auto"/>
              <w:ind w:left="466"/>
              <w:jc w:val="left"/>
              <w:rPr>
                <w:rFonts w:cs="Arial"/>
                <w:color w:val="0070C0"/>
                <w:szCs w:val="24"/>
              </w:rPr>
            </w:pPr>
            <w:r w:rsidRPr="005437C6">
              <w:rPr>
                <w:rFonts w:cs="Arial"/>
                <w:color w:val="0070C0"/>
                <w:szCs w:val="24"/>
              </w:rPr>
              <w:t>Potential Impact on Surface Water Sewer Infrastructure - Network Improvements unlikely to be required.</w:t>
            </w:r>
          </w:p>
          <w:p w14:paraId="5490428F" w14:textId="77777777" w:rsidR="004466EB" w:rsidRPr="005437C6" w:rsidRDefault="004466EB" w:rsidP="00E44687">
            <w:pPr>
              <w:keepNext w:val="0"/>
              <w:spacing w:before="0" w:line="276" w:lineRule="auto"/>
              <w:jc w:val="left"/>
              <w:rPr>
                <w:rFonts w:cs="Arial"/>
                <w:color w:val="0070C0"/>
                <w:szCs w:val="24"/>
              </w:rPr>
            </w:pPr>
          </w:p>
          <w:p w14:paraId="3D5652B9"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No insurmountable issues are foreseen.  </w:t>
            </w:r>
          </w:p>
        </w:tc>
      </w:tr>
      <w:tr w:rsidR="005437C6" w:rsidRPr="005437C6" w14:paraId="79CFAF8E" w14:textId="77777777">
        <w:tc>
          <w:tcPr>
            <w:tcW w:w="2263" w:type="dxa"/>
            <w:shd w:val="clear" w:color="auto" w:fill="D9D9D9"/>
          </w:tcPr>
          <w:p w14:paraId="0EFFD1C5"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Public Open Space Requirements</w:t>
            </w:r>
          </w:p>
          <w:p w14:paraId="071F2260" w14:textId="77777777" w:rsidR="004466EB" w:rsidRPr="00E56F9C" w:rsidRDefault="004466EB" w:rsidP="00E44687">
            <w:pPr>
              <w:keepNext w:val="0"/>
              <w:spacing w:before="0" w:line="276" w:lineRule="auto"/>
              <w:jc w:val="left"/>
              <w:rPr>
                <w:rFonts w:cs="Arial"/>
                <w:b/>
                <w:bCs/>
                <w:color w:val="005EAC"/>
                <w:szCs w:val="24"/>
              </w:rPr>
            </w:pPr>
          </w:p>
          <w:p w14:paraId="50766C01"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S12</w:t>
            </w:r>
          </w:p>
          <w:p w14:paraId="6A1A45DE" w14:textId="77777777" w:rsidR="004466EB" w:rsidRPr="00E56F9C" w:rsidRDefault="004466EB" w:rsidP="00E44687">
            <w:pPr>
              <w:keepNext w:val="0"/>
              <w:spacing w:before="0" w:line="276" w:lineRule="auto"/>
              <w:jc w:val="left"/>
              <w:rPr>
                <w:rFonts w:cs="Arial"/>
                <w:color w:val="005EAC"/>
                <w:sz w:val="22"/>
              </w:rPr>
            </w:pPr>
          </w:p>
          <w:p w14:paraId="0CF737E2"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H5, SD5</w:t>
            </w:r>
          </w:p>
        </w:tc>
        <w:tc>
          <w:tcPr>
            <w:tcW w:w="7479" w:type="dxa"/>
          </w:tcPr>
          <w:p w14:paraId="0327919A"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 site should accommodate a minimum of </w:t>
            </w:r>
            <w:r w:rsidRPr="005437C6">
              <w:rPr>
                <w:rFonts w:cs="Arial"/>
                <w:b/>
                <w:bCs/>
                <w:color w:val="0070C0"/>
                <w:szCs w:val="24"/>
              </w:rPr>
              <w:t xml:space="preserve">10% </w:t>
            </w:r>
            <w:r w:rsidRPr="005437C6">
              <w:rPr>
                <w:rFonts w:cs="Arial"/>
                <w:color w:val="0070C0"/>
                <w:szCs w:val="24"/>
              </w:rPr>
              <w:t xml:space="preserve">recreational space for community use, approximately </w:t>
            </w:r>
            <w:r w:rsidRPr="005437C6">
              <w:rPr>
                <w:rFonts w:cs="Arial"/>
                <w:b/>
                <w:bCs/>
                <w:color w:val="0070C0"/>
                <w:szCs w:val="24"/>
              </w:rPr>
              <w:t xml:space="preserve">0.88ha </w:t>
            </w:r>
            <w:r w:rsidRPr="005437C6">
              <w:rPr>
                <w:rFonts w:cs="Arial"/>
                <w:color w:val="0070C0"/>
                <w:szCs w:val="24"/>
              </w:rPr>
              <w:t>from all phases of development. This may take the form of:</w:t>
            </w:r>
          </w:p>
          <w:p w14:paraId="2584E7C1"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Informal recreational open space</w:t>
            </w:r>
          </w:p>
          <w:p w14:paraId="76BBAF13"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Outdoor sports facilities</w:t>
            </w:r>
          </w:p>
          <w:p w14:paraId="1938758C"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Play space</w:t>
            </w:r>
          </w:p>
          <w:p w14:paraId="26024943"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Cemeteries</w:t>
            </w:r>
          </w:p>
          <w:p w14:paraId="40C15B2B"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Allotments</w:t>
            </w:r>
          </w:p>
          <w:p w14:paraId="54D35391"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Natural spaces</w:t>
            </w:r>
          </w:p>
          <w:p w14:paraId="4A39BE70" w14:textId="77777777" w:rsidR="004466EB" w:rsidRPr="005437C6" w:rsidRDefault="004466EB" w:rsidP="00E44687">
            <w:pPr>
              <w:keepNext w:val="0"/>
              <w:numPr>
                <w:ilvl w:val="0"/>
                <w:numId w:val="365"/>
              </w:numPr>
              <w:spacing w:before="0"/>
              <w:jc w:val="left"/>
              <w:rPr>
                <w:color w:val="0070C0"/>
                <w:szCs w:val="24"/>
              </w:rPr>
            </w:pPr>
            <w:r w:rsidRPr="005437C6">
              <w:rPr>
                <w:color w:val="0070C0"/>
                <w:szCs w:val="24"/>
              </w:rPr>
              <w:t>Areas of public realm</w:t>
            </w:r>
          </w:p>
          <w:p w14:paraId="244BA395"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04CF5D4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On site park/recreation ground with a neighbourhood play area and neighbourhood young people’s area to be provided on site. This space should be overlooked by development to aid security and encourage activity.</w:t>
            </w:r>
          </w:p>
          <w:p w14:paraId="22393D17"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08E950D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A contribution towards public realm improvements may also be sought from this site in line with Local Plan policy.</w:t>
            </w:r>
          </w:p>
        </w:tc>
      </w:tr>
      <w:tr w:rsidR="005437C6" w:rsidRPr="005437C6" w14:paraId="4A303BEB" w14:textId="77777777">
        <w:tc>
          <w:tcPr>
            <w:tcW w:w="2263" w:type="dxa"/>
            <w:shd w:val="clear" w:color="auto" w:fill="D9D9D9"/>
          </w:tcPr>
          <w:p w14:paraId="2F8EDE29"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Affordable Housing</w:t>
            </w:r>
          </w:p>
          <w:p w14:paraId="16EDA33D" w14:textId="77777777" w:rsidR="004466EB" w:rsidRPr="00E56F9C" w:rsidRDefault="004466EB" w:rsidP="00E44687">
            <w:pPr>
              <w:keepNext w:val="0"/>
              <w:spacing w:before="0" w:line="276" w:lineRule="auto"/>
              <w:jc w:val="left"/>
              <w:rPr>
                <w:rFonts w:cs="Arial"/>
                <w:b/>
                <w:bCs/>
                <w:color w:val="005EAC"/>
                <w:szCs w:val="24"/>
              </w:rPr>
            </w:pPr>
          </w:p>
          <w:p w14:paraId="359C148E"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S7</w:t>
            </w:r>
          </w:p>
          <w:p w14:paraId="3FCD6AAC" w14:textId="77777777" w:rsidR="004466EB" w:rsidRPr="00E56F9C" w:rsidRDefault="004466EB" w:rsidP="00E44687">
            <w:pPr>
              <w:keepNext w:val="0"/>
              <w:spacing w:before="0" w:line="276" w:lineRule="auto"/>
              <w:jc w:val="left"/>
              <w:rPr>
                <w:rFonts w:cs="Arial"/>
                <w:color w:val="005EAC"/>
                <w:sz w:val="22"/>
              </w:rPr>
            </w:pPr>
          </w:p>
          <w:p w14:paraId="46820F37"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H3, SD5</w:t>
            </w:r>
          </w:p>
        </w:tc>
        <w:tc>
          <w:tcPr>
            <w:tcW w:w="7479" w:type="dxa"/>
          </w:tcPr>
          <w:p w14:paraId="068E9CCE"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A minimum of 25% affordable housing will be required on this site.</w:t>
            </w:r>
          </w:p>
          <w:p w14:paraId="28224CED" w14:textId="77777777" w:rsidR="004466EB" w:rsidRPr="005437C6" w:rsidRDefault="004466EB" w:rsidP="00E44687">
            <w:pPr>
              <w:keepNext w:val="0"/>
              <w:autoSpaceDE w:val="0"/>
              <w:autoSpaceDN w:val="0"/>
              <w:adjustRightInd w:val="0"/>
              <w:spacing w:before="0"/>
              <w:ind w:right="284"/>
              <w:jc w:val="left"/>
              <w:rPr>
                <w:color w:val="0070C0"/>
                <w:szCs w:val="24"/>
              </w:rPr>
            </w:pPr>
          </w:p>
          <w:p w14:paraId="46EDDB84" w14:textId="77777777" w:rsidR="004466EB" w:rsidRPr="005437C6" w:rsidRDefault="004466EB" w:rsidP="00E44687">
            <w:pPr>
              <w:keepNext w:val="0"/>
              <w:autoSpaceDE w:val="0"/>
              <w:autoSpaceDN w:val="0"/>
              <w:adjustRightInd w:val="0"/>
              <w:spacing w:before="0"/>
              <w:ind w:right="284"/>
              <w:jc w:val="left"/>
              <w:rPr>
                <w:color w:val="0070C0"/>
                <w:szCs w:val="24"/>
              </w:rPr>
            </w:pPr>
            <w:r w:rsidRPr="005437C6">
              <w:rPr>
                <w:color w:val="0070C0"/>
                <w:szCs w:val="24"/>
              </w:rPr>
              <w:t>Tenure mix should be identified through discussions with the local authority.  The starting point will be based on delivery of:</w:t>
            </w:r>
          </w:p>
          <w:p w14:paraId="2E0B325E" w14:textId="77777777" w:rsidR="004466EB" w:rsidRPr="005437C6" w:rsidRDefault="004466EB" w:rsidP="00E44687">
            <w:pPr>
              <w:keepNext w:val="0"/>
              <w:autoSpaceDE w:val="0"/>
              <w:autoSpaceDN w:val="0"/>
              <w:adjustRightInd w:val="0"/>
              <w:spacing w:before="0"/>
              <w:ind w:left="357" w:right="284"/>
              <w:jc w:val="left"/>
              <w:rPr>
                <w:color w:val="0070C0"/>
                <w:szCs w:val="24"/>
              </w:rPr>
            </w:pPr>
          </w:p>
          <w:p w14:paraId="7E980AB3"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rPr>
            </w:pPr>
            <w:r w:rsidRPr="005437C6">
              <w:rPr>
                <w:rFonts w:cs="Arial"/>
                <w:color w:val="0070C0"/>
                <w:szCs w:val="24"/>
              </w:rPr>
              <w:t>25% Shared ownership/discounted homes for sale,</w:t>
            </w:r>
          </w:p>
          <w:p w14:paraId="29DF6AF7"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rPr>
            </w:pPr>
            <w:r w:rsidRPr="005437C6">
              <w:rPr>
                <w:rFonts w:cs="Arial"/>
                <w:color w:val="0070C0"/>
                <w:szCs w:val="24"/>
              </w:rPr>
              <w:t>25% Social Rents, and</w:t>
            </w:r>
          </w:p>
          <w:p w14:paraId="7B175BF8"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rPr>
            </w:pPr>
            <w:r w:rsidRPr="005437C6">
              <w:rPr>
                <w:rFonts w:cs="Arial"/>
                <w:color w:val="0070C0"/>
                <w:szCs w:val="24"/>
              </w:rPr>
              <w:t>50% Affordable Rents.</w:t>
            </w:r>
          </w:p>
        </w:tc>
      </w:tr>
    </w:tbl>
    <w:p w14:paraId="7F58DF75"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noProof/>
          <w:color w:val="0070C0"/>
          <w:szCs w:val="24"/>
          <w:lang w:eastAsia="en-US"/>
        </w:rPr>
        <w:lastRenderedPageBreak/>
        <w:drawing>
          <wp:inline distT="0" distB="0" distL="0" distR="0" wp14:anchorId="6C65867B" wp14:editId="0DE50EBA">
            <wp:extent cx="6049219" cy="8592749"/>
            <wp:effectExtent l="0" t="0" r="8890" b="0"/>
            <wp:docPr id="204542830" name="Picture 1" descr="Design considerations for allocation H1Hd - Stubbing Wood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2830" name="Picture 1" descr="Design considerations for allocation H1Hd - Stubbing Wood Farm"/>
                    <pic:cNvPicPr/>
                  </pic:nvPicPr>
                  <pic:blipFill>
                    <a:blip r:embed="rId114"/>
                    <a:stretch>
                      <a:fillRect/>
                    </a:stretch>
                  </pic:blipFill>
                  <pic:spPr>
                    <a:xfrm>
                      <a:off x="0" y="0"/>
                      <a:ext cx="6049219" cy="8592749"/>
                    </a:xfrm>
                    <a:prstGeom prst="rect">
                      <a:avLst/>
                    </a:prstGeom>
                  </pic:spPr>
                </pic:pic>
              </a:graphicData>
            </a:graphic>
          </wp:inline>
        </w:drawing>
      </w:r>
    </w:p>
    <w:p w14:paraId="0F8184F7"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lastRenderedPageBreak/>
        <w:t>Residential Masterplan</w:t>
      </w:r>
    </w:p>
    <w:p w14:paraId="76D6BC23"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t>H1Si - Rear of Kingsmill Hospital</w:t>
      </w:r>
    </w:p>
    <w:p w14:paraId="26FC84B3"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407B95C7" w14:textId="77777777" w:rsidR="004466EB" w:rsidRPr="005437C6" w:rsidRDefault="004466EB" w:rsidP="004466EB">
      <w:pPr>
        <w:keepNext w:val="0"/>
        <w:spacing w:before="0" w:after="160" w:line="276" w:lineRule="auto"/>
        <w:jc w:val="both"/>
        <w:rPr>
          <w:rFonts w:eastAsia="Calibri" w:cs="Arial"/>
          <w:color w:val="0070C0"/>
          <w:szCs w:val="24"/>
          <w:lang w:eastAsia="en-US"/>
        </w:rPr>
      </w:pPr>
      <w:r w:rsidRPr="005437C6">
        <w:rPr>
          <w:rFonts w:eastAsia="Calibri" w:cs="Arial"/>
          <w:color w:val="0070C0"/>
          <w:szCs w:val="24"/>
          <w:lang w:eastAsia="en-US"/>
        </w:rPr>
        <w:t xml:space="preserve">This concise masterplan is intended to help guide the design of future development alongside the Local Plan and Neighbourhood Plan policies, and relevant Supplementary Planning Documents (SPDs)/ Council Guidance Notes. </w:t>
      </w:r>
    </w:p>
    <w:p w14:paraId="602DC975"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5796895C"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color w:val="0070C0"/>
          <w:szCs w:val="24"/>
          <w:lang w:eastAsia="en-US"/>
        </w:rPr>
        <w:t>Site Location and Surrounding Area</w:t>
      </w:r>
    </w:p>
    <w:tbl>
      <w:tblPr>
        <w:tblStyle w:val="TableGrid5"/>
        <w:tblW w:w="0" w:type="auto"/>
        <w:tblLook w:val="04A0" w:firstRow="1" w:lastRow="0" w:firstColumn="1" w:lastColumn="0" w:noHBand="0" w:noVBand="1"/>
      </w:tblPr>
      <w:tblGrid>
        <w:gridCol w:w="2003"/>
        <w:gridCol w:w="3034"/>
        <w:gridCol w:w="2442"/>
        <w:gridCol w:w="2150"/>
      </w:tblGrid>
      <w:tr w:rsidR="005437C6" w:rsidRPr="005437C6" w14:paraId="62A8E8FF" w14:textId="77777777">
        <w:trPr>
          <w:trHeight w:val="514"/>
        </w:trPr>
        <w:tc>
          <w:tcPr>
            <w:tcW w:w="2003" w:type="dxa"/>
            <w:shd w:val="clear" w:color="auto" w:fill="D9D9D9"/>
          </w:tcPr>
          <w:p w14:paraId="452071ED"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Name: </w:t>
            </w:r>
          </w:p>
        </w:tc>
        <w:tc>
          <w:tcPr>
            <w:tcW w:w="3095" w:type="dxa"/>
          </w:tcPr>
          <w:p w14:paraId="08BF7355"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Rear of Kingsmill Hospital</w:t>
            </w:r>
          </w:p>
        </w:tc>
        <w:tc>
          <w:tcPr>
            <w:tcW w:w="2466" w:type="dxa"/>
            <w:shd w:val="clear" w:color="auto" w:fill="D9D9D9"/>
          </w:tcPr>
          <w:p w14:paraId="33B83C60"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Allocation Ref:  </w:t>
            </w:r>
          </w:p>
        </w:tc>
        <w:tc>
          <w:tcPr>
            <w:tcW w:w="2178" w:type="dxa"/>
          </w:tcPr>
          <w:p w14:paraId="3DF10711"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H1Si</w:t>
            </w:r>
          </w:p>
        </w:tc>
      </w:tr>
      <w:tr w:rsidR="005437C6" w:rsidRPr="005437C6" w14:paraId="56BC0EB8" w14:textId="77777777">
        <w:trPr>
          <w:trHeight w:val="619"/>
        </w:trPr>
        <w:tc>
          <w:tcPr>
            <w:tcW w:w="2003" w:type="dxa"/>
            <w:shd w:val="clear" w:color="auto" w:fill="D9D9D9"/>
          </w:tcPr>
          <w:p w14:paraId="04FF65F7"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Total Area:  </w:t>
            </w:r>
          </w:p>
        </w:tc>
        <w:tc>
          <w:tcPr>
            <w:tcW w:w="3095" w:type="dxa"/>
          </w:tcPr>
          <w:p w14:paraId="54F77AB6"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14.64 ha</w:t>
            </w:r>
          </w:p>
        </w:tc>
        <w:tc>
          <w:tcPr>
            <w:tcW w:w="2466" w:type="dxa"/>
            <w:shd w:val="clear" w:color="auto" w:fill="D9D9D9"/>
          </w:tcPr>
          <w:p w14:paraId="352B8AFC"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Net Residential Development Area:  </w:t>
            </w:r>
          </w:p>
        </w:tc>
        <w:tc>
          <w:tcPr>
            <w:tcW w:w="2178" w:type="dxa"/>
          </w:tcPr>
          <w:p w14:paraId="627FAA7B"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 xml:space="preserve">8.78Ha </w:t>
            </w:r>
          </w:p>
        </w:tc>
      </w:tr>
      <w:tr w:rsidR="005437C6" w:rsidRPr="005437C6" w14:paraId="449EBDD2" w14:textId="77777777">
        <w:trPr>
          <w:trHeight w:val="619"/>
        </w:trPr>
        <w:tc>
          <w:tcPr>
            <w:tcW w:w="2003" w:type="dxa"/>
            <w:shd w:val="clear" w:color="auto" w:fill="D9D9D9"/>
          </w:tcPr>
          <w:p w14:paraId="078D811D"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OS Grid Ref:  </w:t>
            </w:r>
          </w:p>
        </w:tc>
        <w:tc>
          <w:tcPr>
            <w:tcW w:w="3095" w:type="dxa"/>
          </w:tcPr>
          <w:p w14:paraId="5A9EE7F6"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450981, 360310</w:t>
            </w:r>
          </w:p>
        </w:tc>
        <w:tc>
          <w:tcPr>
            <w:tcW w:w="2466" w:type="dxa"/>
            <w:shd w:val="clear" w:color="auto" w:fill="D9D9D9"/>
          </w:tcPr>
          <w:p w14:paraId="1D35AB93"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Potential Yield:  </w:t>
            </w:r>
          </w:p>
        </w:tc>
        <w:tc>
          <w:tcPr>
            <w:tcW w:w="2178" w:type="dxa"/>
          </w:tcPr>
          <w:p w14:paraId="2F03ECC3"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 xml:space="preserve">264 dwellings </w:t>
            </w:r>
          </w:p>
        </w:tc>
      </w:tr>
      <w:tr w:rsidR="005437C6" w:rsidRPr="005437C6" w14:paraId="0A8C4625" w14:textId="77777777">
        <w:trPr>
          <w:trHeight w:val="619"/>
        </w:trPr>
        <w:tc>
          <w:tcPr>
            <w:tcW w:w="2003" w:type="dxa"/>
            <w:shd w:val="clear" w:color="auto" w:fill="D9D9D9"/>
          </w:tcPr>
          <w:p w14:paraId="18E4F7FC"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Neighbourhood Plan Area:  </w:t>
            </w:r>
          </w:p>
        </w:tc>
        <w:tc>
          <w:tcPr>
            <w:tcW w:w="3095" w:type="dxa"/>
          </w:tcPr>
          <w:p w14:paraId="230A3818"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Teversal, Stanton Hill and Skegby</w:t>
            </w:r>
          </w:p>
        </w:tc>
        <w:tc>
          <w:tcPr>
            <w:tcW w:w="2466" w:type="dxa"/>
            <w:shd w:val="clear" w:color="auto" w:fill="D9D9D9"/>
          </w:tcPr>
          <w:p w14:paraId="5A16B760"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Greenfield/ Brownfield:  </w:t>
            </w:r>
          </w:p>
        </w:tc>
        <w:tc>
          <w:tcPr>
            <w:tcW w:w="2178" w:type="dxa"/>
          </w:tcPr>
          <w:p w14:paraId="3485C2BB"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Greenfield</w:t>
            </w:r>
          </w:p>
        </w:tc>
      </w:tr>
    </w:tbl>
    <w:p w14:paraId="426BB47C"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38F7D7FB"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noProof/>
          <w:color w:val="0070C0"/>
          <w:szCs w:val="24"/>
          <w:lang w:eastAsia="en-US"/>
        </w:rPr>
        <w:drawing>
          <wp:inline distT="0" distB="0" distL="0" distR="0" wp14:anchorId="2772BABB" wp14:editId="77726482">
            <wp:extent cx="6192520" cy="4352290"/>
            <wp:effectExtent l="0" t="0" r="0" b="0"/>
            <wp:docPr id="1978183754" name="Picture 1978183754"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pic:cNvPicPr/>
                  </pic:nvPicPr>
                  <pic:blipFill>
                    <a:blip r:embed="rId115"/>
                    <a:stretch>
                      <a:fillRect/>
                    </a:stretch>
                  </pic:blipFill>
                  <pic:spPr>
                    <a:xfrm>
                      <a:off x="0" y="0"/>
                      <a:ext cx="6192520" cy="4352290"/>
                    </a:xfrm>
                    <a:prstGeom prst="rect">
                      <a:avLst/>
                    </a:prstGeom>
                  </pic:spPr>
                </pic:pic>
              </a:graphicData>
            </a:graphic>
          </wp:inline>
        </w:drawing>
      </w:r>
    </w:p>
    <w:p w14:paraId="17259758"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lastRenderedPageBreak/>
        <w:t xml:space="preserve">This site is located south off Skegby Lane (B6014), adjacent to Kings Mill Hospital which lies to the south-east. The northern part of the site is currently in use as a horticultural nursery, with buildings and a compound located off Skegby Lane. The site benefits from mature hedgerow boundaries, with groups of mature trees particularly towards the centre of the site. The site is undulating, slopes down towards the hospital and is contained in a shallow dip between land to the east (in Mansfield District) and Kings Mill Road East (A6075) to the west. </w:t>
      </w:r>
    </w:p>
    <w:p w14:paraId="182BD8AC"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6523FFD2" w14:textId="77777777" w:rsidR="004466EB" w:rsidRPr="005437C6" w:rsidRDefault="004466EB" w:rsidP="004466EB">
      <w:pPr>
        <w:keepNext w:val="0"/>
        <w:spacing w:before="0" w:after="160" w:line="276" w:lineRule="auto"/>
        <w:rPr>
          <w:rFonts w:eastAsia="Calibri" w:cs="Arial"/>
          <w:color w:val="0070C0"/>
          <w:szCs w:val="24"/>
          <w:lang w:eastAsia="en-US"/>
        </w:rPr>
      </w:pPr>
      <w:r w:rsidRPr="005437C6">
        <w:rPr>
          <w:rFonts w:eastAsia="Calibri" w:cs="Arial"/>
          <w:color w:val="0070C0"/>
          <w:szCs w:val="24"/>
          <w:lang w:eastAsia="en-US"/>
        </w:rPr>
        <w:t xml:space="preserve">The site is within 800m of an existing bus stop (daytime hourly service) which enables access to Secondary School, Further Education College, Supermarket, Retail Area and Hospital (within 30mins travel time). Part of the site is within 480m (6mins) of a neighbourhood park </w:t>
      </w:r>
      <w:proofErr w:type="gramStart"/>
      <w:r w:rsidRPr="005437C6">
        <w:rPr>
          <w:rFonts w:eastAsia="Calibri" w:cs="Arial"/>
          <w:color w:val="0070C0"/>
          <w:szCs w:val="24"/>
          <w:lang w:eastAsia="en-US"/>
        </w:rPr>
        <w:t>and also</w:t>
      </w:r>
      <w:proofErr w:type="gramEnd"/>
      <w:r w:rsidRPr="005437C6">
        <w:rPr>
          <w:rFonts w:eastAsia="Calibri" w:cs="Arial"/>
          <w:color w:val="0070C0"/>
          <w:szCs w:val="24"/>
          <w:lang w:eastAsia="en-US"/>
        </w:rPr>
        <w:t xml:space="preserve"> within 1000m of a destination park (Stamper Crescent Recreation Ground).</w:t>
      </w:r>
    </w:p>
    <w:p w14:paraId="311A041D" w14:textId="77777777" w:rsidR="004466EB" w:rsidRPr="005437C6" w:rsidRDefault="004466EB" w:rsidP="004466EB">
      <w:pPr>
        <w:keepNext w:val="0"/>
        <w:autoSpaceDE w:val="0"/>
        <w:autoSpaceDN w:val="0"/>
        <w:adjustRightInd w:val="0"/>
        <w:spacing w:before="0" w:line="276" w:lineRule="auto"/>
        <w:rPr>
          <w:rFonts w:eastAsia="Calibri" w:cs="Arial"/>
          <w:b/>
          <w:bCs/>
          <w:color w:val="0070C0"/>
          <w:szCs w:val="24"/>
          <w:lang w:eastAsia="en-US"/>
        </w:rPr>
      </w:pPr>
    </w:p>
    <w:p w14:paraId="4E1CAACB" w14:textId="77777777" w:rsidR="004466EB" w:rsidRPr="005437C6" w:rsidRDefault="004466EB" w:rsidP="004466EB">
      <w:pPr>
        <w:keepNext w:val="0"/>
        <w:autoSpaceDE w:val="0"/>
        <w:autoSpaceDN w:val="0"/>
        <w:adjustRightInd w:val="0"/>
        <w:spacing w:before="0" w:line="276" w:lineRule="auto"/>
        <w:rPr>
          <w:rFonts w:eastAsia="Calibri" w:cs="Arial"/>
          <w:b/>
          <w:bCs/>
          <w:color w:val="0070C0"/>
          <w:szCs w:val="24"/>
          <w:lang w:eastAsia="en-US"/>
        </w:rPr>
      </w:pPr>
      <w:r w:rsidRPr="005437C6">
        <w:rPr>
          <w:rFonts w:eastAsia="Calibri" w:cs="Arial"/>
          <w:b/>
          <w:bCs/>
          <w:color w:val="0070C0"/>
          <w:szCs w:val="24"/>
          <w:lang w:eastAsia="en-US"/>
        </w:rPr>
        <w:t>Existing Characteristics, Development Opportunities and Requirements</w:t>
      </w:r>
    </w:p>
    <w:p w14:paraId="3CD11AEB"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3D0275CC"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 xml:space="preserve">The site contains </w:t>
      </w:r>
      <w:proofErr w:type="gramStart"/>
      <w:r w:rsidRPr="005437C6">
        <w:rPr>
          <w:rFonts w:eastAsia="Calibri" w:cs="Arial"/>
          <w:color w:val="0070C0"/>
          <w:szCs w:val="24"/>
          <w:lang w:eastAsia="en-US"/>
        </w:rPr>
        <w:t>a number of</w:t>
      </w:r>
      <w:proofErr w:type="gramEnd"/>
      <w:r w:rsidRPr="005437C6">
        <w:rPr>
          <w:rFonts w:eastAsia="Calibri" w:cs="Arial"/>
          <w:color w:val="0070C0"/>
          <w:szCs w:val="24"/>
          <w:lang w:eastAsia="en-US"/>
        </w:rPr>
        <w:t xml:space="preserve"> characteristics, features and constraints that future development must consider. Key Local Plan Policy requirements for this site are set out </w:t>
      </w:r>
      <w:proofErr w:type="gramStart"/>
      <w:r w:rsidRPr="005437C6">
        <w:rPr>
          <w:rFonts w:eastAsia="Calibri" w:cs="Arial"/>
          <w:color w:val="0070C0"/>
          <w:szCs w:val="24"/>
          <w:lang w:eastAsia="en-US"/>
        </w:rPr>
        <w:t>below,</w:t>
      </w:r>
      <w:proofErr w:type="gramEnd"/>
      <w:r w:rsidRPr="005437C6">
        <w:rPr>
          <w:rFonts w:eastAsia="Calibri" w:cs="Arial"/>
          <w:color w:val="0070C0"/>
          <w:szCs w:val="24"/>
          <w:lang w:eastAsia="en-US"/>
        </w:rPr>
        <w:t xml:space="preserve"> however it should be noted that the Local Plan should be read </w:t>
      </w:r>
      <w:proofErr w:type="gramStart"/>
      <w:r w:rsidRPr="005437C6">
        <w:rPr>
          <w:rFonts w:eastAsia="Calibri" w:cs="Arial"/>
          <w:color w:val="0070C0"/>
          <w:szCs w:val="24"/>
          <w:lang w:eastAsia="en-US"/>
        </w:rPr>
        <w:t>as a whole including</w:t>
      </w:r>
      <w:proofErr w:type="gramEnd"/>
      <w:r w:rsidRPr="005437C6">
        <w:rPr>
          <w:rFonts w:eastAsia="Calibri" w:cs="Arial"/>
          <w:color w:val="0070C0"/>
          <w:szCs w:val="24"/>
          <w:lang w:eastAsia="en-US"/>
        </w:rPr>
        <w:t xml:space="preserve"> any other relevant policies. </w:t>
      </w:r>
    </w:p>
    <w:p w14:paraId="226DF771"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6FBA65D7"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Contributions towards local infrastructure that is needed to support the development will be negotiated through a Section 106 legal agreement.  Where appropriate, the Council will seek contributions for education, health, libraries, waste and transport infrastructure in consultation with the County Council, NHS Nottingham and Nottinghamshire Integrated Care Board (ICB).  Contributions towards other infrastructure and facilities will be considered on a site-by-site basis, and may include:</w:t>
      </w:r>
    </w:p>
    <w:p w14:paraId="5CE1E75C"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617590CF"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 xml:space="preserve">the regeneration of town centres; </w:t>
      </w:r>
    </w:p>
    <w:p w14:paraId="76412D9D"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provision of appropriate sport and recreation facilities, new and improved open space, improving quality and access to green and blue infrastructure;</w:t>
      </w:r>
    </w:p>
    <w:p w14:paraId="3D7FC6C3"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conservation and enhancement of the historic environment;</w:t>
      </w:r>
    </w:p>
    <w:p w14:paraId="69F901E0"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tackling climate change including flooding or water quality;</w:t>
      </w:r>
    </w:p>
    <w:p w14:paraId="10C9E2D1"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cross-boundary infrastructure to help deliver and mitigate the effects of development;</w:t>
      </w:r>
    </w:p>
    <w:p w14:paraId="2C0F29BE"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supporting service infrastructure.</w:t>
      </w:r>
    </w:p>
    <w:p w14:paraId="5CC1323E"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tbl>
      <w:tblPr>
        <w:tblStyle w:val="TableGrid5"/>
        <w:tblW w:w="0" w:type="auto"/>
        <w:tblLook w:val="04A0" w:firstRow="1" w:lastRow="0" w:firstColumn="1" w:lastColumn="0" w:noHBand="0" w:noVBand="1"/>
      </w:tblPr>
      <w:tblGrid>
        <w:gridCol w:w="2255"/>
        <w:gridCol w:w="7374"/>
      </w:tblGrid>
      <w:tr w:rsidR="005437C6" w:rsidRPr="005437C6" w14:paraId="2DD36960" w14:textId="77777777">
        <w:tc>
          <w:tcPr>
            <w:tcW w:w="2263" w:type="dxa"/>
            <w:shd w:val="clear" w:color="auto" w:fill="D9D9D9"/>
          </w:tcPr>
          <w:p w14:paraId="7AB154A7" w14:textId="77777777" w:rsidR="004466EB" w:rsidRPr="00E56F9C" w:rsidRDefault="004466EB" w:rsidP="00E44687">
            <w:pPr>
              <w:keepNext w:val="0"/>
              <w:autoSpaceDE w:val="0"/>
              <w:autoSpaceDN w:val="0"/>
              <w:adjustRightInd w:val="0"/>
              <w:spacing w:before="0" w:line="276" w:lineRule="auto"/>
              <w:jc w:val="left"/>
              <w:rPr>
                <w:rFonts w:cs="Arial"/>
                <w:color w:val="005EAC"/>
                <w:szCs w:val="24"/>
              </w:rPr>
            </w:pPr>
            <w:r w:rsidRPr="00E56F9C">
              <w:rPr>
                <w:rFonts w:cs="Arial"/>
                <w:b/>
                <w:bCs/>
                <w:color w:val="005EAC"/>
                <w:szCs w:val="24"/>
              </w:rPr>
              <w:t>Location, Design &amp; Density</w:t>
            </w:r>
          </w:p>
          <w:p w14:paraId="00098C99" w14:textId="77777777" w:rsidR="004466EB" w:rsidRPr="00E56F9C" w:rsidRDefault="004466EB" w:rsidP="00E44687">
            <w:pPr>
              <w:keepNext w:val="0"/>
              <w:spacing w:before="0" w:line="276" w:lineRule="auto"/>
              <w:jc w:val="left"/>
              <w:rPr>
                <w:rFonts w:cs="Arial"/>
                <w:b/>
                <w:bCs/>
                <w:color w:val="005EAC"/>
                <w:szCs w:val="24"/>
              </w:rPr>
            </w:pPr>
          </w:p>
          <w:p w14:paraId="09637BDD"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Policies:</w:t>
            </w:r>
          </w:p>
          <w:p w14:paraId="48937C31"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S2, S3, S5, S9, S12, S13, S14</w:t>
            </w:r>
          </w:p>
          <w:p w14:paraId="5D10400E" w14:textId="77777777" w:rsidR="004466EB" w:rsidRPr="00E56F9C" w:rsidRDefault="004466EB" w:rsidP="00E44687">
            <w:pPr>
              <w:keepNext w:val="0"/>
              <w:spacing w:before="0" w:line="276" w:lineRule="auto"/>
              <w:jc w:val="left"/>
              <w:rPr>
                <w:rFonts w:cs="Arial"/>
                <w:color w:val="005EAC"/>
                <w:sz w:val="22"/>
              </w:rPr>
            </w:pPr>
          </w:p>
          <w:p w14:paraId="5376420F"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lastRenderedPageBreak/>
              <w:t>Development Management Policies:</w:t>
            </w:r>
          </w:p>
          <w:p w14:paraId="7AD125A4" w14:textId="77777777" w:rsidR="004466EB" w:rsidRPr="00E56F9C" w:rsidRDefault="004466EB" w:rsidP="00E44687">
            <w:pPr>
              <w:keepNext w:val="0"/>
              <w:spacing w:before="0" w:line="276" w:lineRule="auto"/>
              <w:jc w:val="left"/>
              <w:rPr>
                <w:rFonts w:cs="Arial"/>
                <w:color w:val="005EAC"/>
                <w:szCs w:val="24"/>
              </w:rPr>
            </w:pPr>
            <w:r w:rsidRPr="00E56F9C">
              <w:rPr>
                <w:rFonts w:cs="Arial"/>
                <w:color w:val="005EAC"/>
                <w:sz w:val="22"/>
              </w:rPr>
              <w:t>CC1, EV6, EV9, H7, SD2, SD3, SD9, SD10</w:t>
            </w:r>
          </w:p>
        </w:tc>
        <w:tc>
          <w:tcPr>
            <w:tcW w:w="7479" w:type="dxa"/>
          </w:tcPr>
          <w:p w14:paraId="449E0FDF"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lastRenderedPageBreak/>
              <w:t>The site occupies a location at the junction of Kings Mill Road and Skegby Lane, with prominent frontage along both routes.</w:t>
            </w:r>
          </w:p>
          <w:p w14:paraId="7ED3AB42"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95E0D99"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development should integrate into the existing community of Skegby and provide a positive contribution to the area, including:</w:t>
            </w:r>
          </w:p>
          <w:p w14:paraId="483C5B8E"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4E914089" w14:textId="77777777" w:rsidR="004466EB" w:rsidRPr="005437C6" w:rsidRDefault="004466EB" w:rsidP="00E44687">
            <w:pPr>
              <w:keepNext w:val="0"/>
              <w:numPr>
                <w:ilvl w:val="0"/>
                <w:numId w:val="380"/>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lastRenderedPageBreak/>
              <w:t>Outwood-looking development with views from Skegby Lane.</w:t>
            </w:r>
          </w:p>
          <w:p w14:paraId="35659B77" w14:textId="77777777" w:rsidR="004466EB" w:rsidRPr="005437C6" w:rsidRDefault="004466EB" w:rsidP="00E44687">
            <w:pPr>
              <w:keepNext w:val="0"/>
              <w:numPr>
                <w:ilvl w:val="0"/>
                <w:numId w:val="379"/>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Appropriate mix of landscaping and screening measures to mitigate any noise impacts from the A617 (Kings Mill Road East).</w:t>
            </w:r>
          </w:p>
          <w:p w14:paraId="1609F9F4" w14:textId="77777777" w:rsidR="004466EB" w:rsidRPr="005437C6" w:rsidRDefault="004466EB" w:rsidP="00E44687">
            <w:pPr>
              <w:keepNext w:val="0"/>
              <w:numPr>
                <w:ilvl w:val="0"/>
                <w:numId w:val="379"/>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 xml:space="preserve">Potential to create a </w:t>
            </w:r>
            <w:proofErr w:type="gramStart"/>
            <w:r w:rsidRPr="005437C6">
              <w:rPr>
                <w:rFonts w:cs="Arial"/>
                <w:color w:val="0070C0"/>
                <w:szCs w:val="24"/>
              </w:rPr>
              <w:t>focal-point</w:t>
            </w:r>
            <w:proofErr w:type="gramEnd"/>
            <w:r w:rsidRPr="005437C6">
              <w:rPr>
                <w:rFonts w:cs="Arial"/>
                <w:color w:val="0070C0"/>
                <w:szCs w:val="24"/>
              </w:rPr>
              <w:t>.</w:t>
            </w:r>
          </w:p>
          <w:p w14:paraId="17C6B154" w14:textId="77777777" w:rsidR="004466EB" w:rsidRPr="005437C6" w:rsidRDefault="004466EB" w:rsidP="00E44687">
            <w:pPr>
              <w:keepNext w:val="0"/>
              <w:spacing w:before="0" w:line="276" w:lineRule="auto"/>
              <w:jc w:val="left"/>
              <w:rPr>
                <w:rFonts w:cs="Arial"/>
                <w:color w:val="0070C0"/>
                <w:szCs w:val="24"/>
              </w:rPr>
            </w:pPr>
          </w:p>
          <w:p w14:paraId="3C8D9305"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 site lies adjacent to Kings Mill Hospital and requires:</w:t>
            </w:r>
          </w:p>
          <w:p w14:paraId="1E4E06CD" w14:textId="77777777" w:rsidR="004466EB" w:rsidRPr="005437C6" w:rsidRDefault="004466EB" w:rsidP="00E44687">
            <w:pPr>
              <w:keepNext w:val="0"/>
              <w:spacing w:before="0" w:line="276" w:lineRule="auto"/>
              <w:jc w:val="left"/>
              <w:rPr>
                <w:rFonts w:cs="Arial"/>
                <w:color w:val="0070C0"/>
                <w:szCs w:val="24"/>
              </w:rPr>
            </w:pPr>
          </w:p>
          <w:p w14:paraId="3267B419" w14:textId="77777777" w:rsidR="004466EB" w:rsidRPr="005437C6" w:rsidRDefault="004466EB" w:rsidP="00E44687">
            <w:pPr>
              <w:keepNext w:val="0"/>
              <w:numPr>
                <w:ilvl w:val="0"/>
                <w:numId w:val="37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Appropriate privacy distance and landscape buffer between the hospital and future development to reduce conflict between the different uses.</w:t>
            </w:r>
          </w:p>
          <w:p w14:paraId="4F7503D0" w14:textId="77777777" w:rsidR="004466EB" w:rsidRPr="005437C6" w:rsidRDefault="004466EB" w:rsidP="00E44687">
            <w:pPr>
              <w:keepNext w:val="0"/>
              <w:numPr>
                <w:ilvl w:val="0"/>
                <w:numId w:val="378"/>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Pedestrian access between the site and the nearby hospital should be created where feasible.</w:t>
            </w:r>
          </w:p>
          <w:p w14:paraId="57202F82"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08CB6C1E"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Land to the east of the site is allocated for housing development within the Mansfield District Local Plan 2013-2033. There is the opportunity to create pedestrian and cycle links into the neighbouring authority allocation.</w:t>
            </w:r>
          </w:p>
          <w:p w14:paraId="7EFF5ED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25E72552"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Any future development scheme would be expected to deliver a minimum density of 30 dwellings / ha in this location.</w:t>
            </w:r>
          </w:p>
          <w:p w14:paraId="2F8F76F5" w14:textId="77777777" w:rsidR="004466EB" w:rsidRPr="005437C6" w:rsidRDefault="004466EB" w:rsidP="00E44687">
            <w:pPr>
              <w:keepNext w:val="0"/>
              <w:autoSpaceDE w:val="0"/>
              <w:autoSpaceDN w:val="0"/>
              <w:adjustRightInd w:val="0"/>
              <w:spacing w:before="0" w:line="276" w:lineRule="auto"/>
              <w:ind w:left="95"/>
              <w:jc w:val="left"/>
              <w:rPr>
                <w:rFonts w:cs="Arial"/>
                <w:color w:val="0070C0"/>
                <w:szCs w:val="24"/>
              </w:rPr>
            </w:pPr>
          </w:p>
        </w:tc>
      </w:tr>
      <w:tr w:rsidR="005437C6" w:rsidRPr="005437C6" w14:paraId="0315E98F" w14:textId="77777777">
        <w:tc>
          <w:tcPr>
            <w:tcW w:w="2263" w:type="dxa"/>
            <w:shd w:val="clear" w:color="auto" w:fill="D9D9D9"/>
          </w:tcPr>
          <w:p w14:paraId="227E4F95"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Addressing Climate Change</w:t>
            </w:r>
          </w:p>
          <w:p w14:paraId="62BFDA73" w14:textId="77777777" w:rsidR="004466EB" w:rsidRPr="00E56F9C" w:rsidRDefault="004466EB" w:rsidP="00E44687">
            <w:pPr>
              <w:keepNext w:val="0"/>
              <w:spacing w:before="0" w:line="276" w:lineRule="auto"/>
              <w:jc w:val="left"/>
              <w:rPr>
                <w:rFonts w:cs="Arial"/>
                <w:b/>
                <w:bCs/>
                <w:color w:val="005EAC"/>
                <w:szCs w:val="24"/>
              </w:rPr>
            </w:pPr>
          </w:p>
          <w:p w14:paraId="752C4704"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S3</w:t>
            </w:r>
          </w:p>
          <w:p w14:paraId="3EAD4B1B" w14:textId="77777777" w:rsidR="004466EB" w:rsidRPr="00E56F9C" w:rsidRDefault="004466EB" w:rsidP="00E44687">
            <w:pPr>
              <w:keepNext w:val="0"/>
              <w:spacing w:before="0" w:line="276" w:lineRule="auto"/>
              <w:jc w:val="left"/>
              <w:rPr>
                <w:rFonts w:cs="Arial"/>
                <w:color w:val="005EAC"/>
                <w:sz w:val="22"/>
              </w:rPr>
            </w:pPr>
          </w:p>
          <w:p w14:paraId="19271EF5"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0CDB4FCF"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CC1, CC2, CC3, SD4, SD10</w:t>
            </w:r>
          </w:p>
        </w:tc>
        <w:tc>
          <w:tcPr>
            <w:tcW w:w="7479" w:type="dxa"/>
          </w:tcPr>
          <w:p w14:paraId="54917185" w14:textId="77777777" w:rsidR="004466EB" w:rsidRPr="005437C6" w:rsidRDefault="004466EB" w:rsidP="00E44687">
            <w:pPr>
              <w:keepNext w:val="0"/>
              <w:spacing w:before="0" w:after="160" w:line="252" w:lineRule="auto"/>
              <w:jc w:val="left"/>
              <w:rPr>
                <w:color w:val="0070C0"/>
                <w:u w:val="single"/>
              </w:rPr>
            </w:pPr>
            <w:r w:rsidRPr="005437C6">
              <w:rPr>
                <w:rFonts w:cs="Arial"/>
                <w:color w:val="0070C0"/>
                <w:szCs w:val="24"/>
              </w:rPr>
              <w:t xml:space="preserve">Development must reflect the Council’s approach to becoming net-zero carbon by 2050, and accord with the Council’s planning guidance on this aspect, which is available on the website: </w:t>
            </w:r>
            <w:hyperlink r:id="rId116" w:history="1">
              <w:r w:rsidRPr="005437C6">
                <w:rPr>
                  <w:color w:val="0070C0"/>
                  <w:u w:val="single"/>
                </w:rPr>
                <w:t>Ashfield District Council Supplementary Planning Documents and Guidance</w:t>
              </w:r>
            </w:hyperlink>
          </w:p>
          <w:p w14:paraId="6ABCD36E" w14:textId="77777777" w:rsidR="004466EB" w:rsidRPr="005437C6" w:rsidRDefault="004466EB" w:rsidP="00E44687">
            <w:pPr>
              <w:keepNext w:val="0"/>
              <w:spacing w:before="0" w:after="160" w:line="252" w:lineRule="auto"/>
              <w:jc w:val="left"/>
              <w:rPr>
                <w:rFonts w:cs="Arial"/>
                <w:color w:val="0070C0"/>
                <w:szCs w:val="24"/>
              </w:rPr>
            </w:pPr>
            <w:r w:rsidRPr="005437C6">
              <w:rPr>
                <w:rFonts w:cs="Arial"/>
                <w:color w:val="0070C0"/>
                <w:szCs w:val="24"/>
              </w:rPr>
              <w:t>Key elements to consider include:</w:t>
            </w:r>
          </w:p>
          <w:p w14:paraId="6908142D" w14:textId="77777777" w:rsidR="004466EB" w:rsidRPr="005437C6" w:rsidRDefault="004466EB" w:rsidP="00E44687">
            <w:pPr>
              <w:keepNext w:val="0"/>
              <w:numPr>
                <w:ilvl w:val="0"/>
                <w:numId w:val="377"/>
              </w:numPr>
              <w:spacing w:before="0"/>
              <w:contextualSpacing/>
              <w:jc w:val="left"/>
              <w:rPr>
                <w:rFonts w:cs="Arial"/>
                <w:color w:val="0070C0"/>
                <w:szCs w:val="24"/>
              </w:rPr>
            </w:pPr>
            <w:r w:rsidRPr="005437C6">
              <w:rPr>
                <w:rFonts w:cs="Arial"/>
                <w:color w:val="0070C0"/>
                <w:szCs w:val="24"/>
              </w:rPr>
              <w:t>Orientation of buildings to achieve maximum solar gain and integration of solar panels.</w:t>
            </w:r>
          </w:p>
          <w:p w14:paraId="75FAEDCB" w14:textId="77777777" w:rsidR="004466EB" w:rsidRPr="005437C6" w:rsidRDefault="004466EB" w:rsidP="00E44687">
            <w:pPr>
              <w:keepNext w:val="0"/>
              <w:numPr>
                <w:ilvl w:val="0"/>
                <w:numId w:val="377"/>
              </w:numPr>
              <w:spacing w:before="0"/>
              <w:contextualSpacing/>
              <w:jc w:val="left"/>
              <w:rPr>
                <w:rFonts w:cs="Arial"/>
                <w:color w:val="0070C0"/>
                <w:szCs w:val="24"/>
              </w:rPr>
            </w:pPr>
            <w:r w:rsidRPr="005437C6">
              <w:rPr>
                <w:rFonts w:cs="Arial"/>
                <w:color w:val="0070C0"/>
                <w:szCs w:val="24"/>
              </w:rPr>
              <w:t xml:space="preserve">Planting street trees and other street planting to soften the impact of car parking, help improve air quality and contribute to biodiversity.  </w:t>
            </w:r>
          </w:p>
          <w:p w14:paraId="368170B8" w14:textId="77777777" w:rsidR="004466EB" w:rsidRPr="005437C6" w:rsidRDefault="004466EB" w:rsidP="00E44687">
            <w:pPr>
              <w:keepNext w:val="0"/>
              <w:numPr>
                <w:ilvl w:val="0"/>
                <w:numId w:val="377"/>
              </w:numPr>
              <w:spacing w:before="0"/>
              <w:contextualSpacing/>
              <w:jc w:val="left"/>
              <w:rPr>
                <w:rFonts w:cs="Arial"/>
                <w:color w:val="0070C0"/>
                <w:szCs w:val="24"/>
              </w:rPr>
            </w:pPr>
            <w:r w:rsidRPr="005437C6">
              <w:rPr>
                <w:rFonts w:cs="Arial"/>
                <w:color w:val="0070C0"/>
                <w:szCs w:val="24"/>
              </w:rPr>
              <w:t>Incorporate rainwater harvesting.</w:t>
            </w:r>
          </w:p>
          <w:p w14:paraId="1ECE12F2" w14:textId="77777777" w:rsidR="004466EB" w:rsidRPr="005437C6" w:rsidRDefault="004466EB" w:rsidP="00E44687">
            <w:pPr>
              <w:keepNext w:val="0"/>
              <w:numPr>
                <w:ilvl w:val="0"/>
                <w:numId w:val="377"/>
              </w:numPr>
              <w:spacing w:before="0"/>
              <w:contextualSpacing/>
              <w:jc w:val="left"/>
              <w:rPr>
                <w:rFonts w:cs="Arial"/>
                <w:color w:val="0070C0"/>
                <w:szCs w:val="24"/>
              </w:rPr>
            </w:pPr>
            <w:r w:rsidRPr="005437C6">
              <w:rPr>
                <w:rFonts w:cs="Arial"/>
                <w:color w:val="0070C0"/>
                <w:szCs w:val="24"/>
              </w:rPr>
              <w:t xml:space="preserve">Provide green space to minimising the increased risk of flooding from all sources </w:t>
            </w:r>
            <w:proofErr w:type="gramStart"/>
            <w:r w:rsidRPr="005437C6">
              <w:rPr>
                <w:rFonts w:cs="Arial"/>
                <w:color w:val="0070C0"/>
                <w:szCs w:val="24"/>
              </w:rPr>
              <w:t>through the use of</w:t>
            </w:r>
            <w:proofErr w:type="gramEnd"/>
            <w:r w:rsidRPr="005437C6">
              <w:rPr>
                <w:rFonts w:cs="Arial"/>
                <w:color w:val="0070C0"/>
                <w:szCs w:val="24"/>
              </w:rPr>
              <w:t xml:space="preserve"> SUDs. </w:t>
            </w:r>
          </w:p>
          <w:p w14:paraId="62B9880E" w14:textId="77777777" w:rsidR="004466EB" w:rsidRPr="005437C6" w:rsidRDefault="004466EB" w:rsidP="00E44687">
            <w:pPr>
              <w:keepNext w:val="0"/>
              <w:numPr>
                <w:ilvl w:val="0"/>
                <w:numId w:val="377"/>
              </w:numPr>
              <w:spacing w:before="0"/>
              <w:contextualSpacing/>
              <w:jc w:val="left"/>
              <w:rPr>
                <w:rFonts w:cs="Arial"/>
                <w:color w:val="0070C0"/>
                <w:szCs w:val="24"/>
              </w:rPr>
            </w:pPr>
            <w:r w:rsidRPr="005437C6">
              <w:rPr>
                <w:rFonts w:cs="Arial"/>
                <w:color w:val="0070C0"/>
                <w:szCs w:val="24"/>
              </w:rPr>
              <w:t>Other forms of low carbon technology, such as air source or ground source heat pumps.</w:t>
            </w:r>
          </w:p>
          <w:p w14:paraId="02A57F7E" w14:textId="77777777" w:rsidR="004466EB" w:rsidRPr="005437C6" w:rsidRDefault="004466EB" w:rsidP="00E44687">
            <w:pPr>
              <w:keepNext w:val="0"/>
              <w:numPr>
                <w:ilvl w:val="0"/>
                <w:numId w:val="377"/>
              </w:numPr>
              <w:spacing w:before="0"/>
              <w:contextualSpacing/>
              <w:jc w:val="left"/>
              <w:rPr>
                <w:rFonts w:cs="Arial"/>
                <w:color w:val="0070C0"/>
                <w:szCs w:val="24"/>
              </w:rPr>
            </w:pPr>
            <w:r w:rsidRPr="005437C6">
              <w:rPr>
                <w:rFonts w:cs="Arial"/>
                <w:color w:val="0070C0"/>
                <w:szCs w:val="24"/>
              </w:rPr>
              <w:t>The provision of electric vehicles charging points.</w:t>
            </w:r>
          </w:p>
          <w:p w14:paraId="2218C8A9" w14:textId="77777777" w:rsidR="004466EB" w:rsidRPr="005437C6" w:rsidRDefault="004466EB" w:rsidP="00E44687">
            <w:pPr>
              <w:keepNext w:val="0"/>
              <w:numPr>
                <w:ilvl w:val="0"/>
                <w:numId w:val="377"/>
              </w:numPr>
              <w:spacing w:before="0"/>
              <w:contextualSpacing/>
              <w:jc w:val="left"/>
              <w:rPr>
                <w:rFonts w:cs="Arial"/>
                <w:color w:val="0070C0"/>
                <w:szCs w:val="24"/>
              </w:rPr>
            </w:pPr>
            <w:r w:rsidRPr="005437C6">
              <w:rPr>
                <w:rFonts w:eastAsia="Arial" w:cs="Arial"/>
                <w:bCs/>
                <w:color w:val="0070C0"/>
              </w:rPr>
              <w:t>Implementation of water efficiency measures to minimise water consumption, to achieve a requirement of not exceeding 110 litres per person per day.</w:t>
            </w:r>
          </w:p>
          <w:p w14:paraId="2BD6C49A" w14:textId="77777777" w:rsidR="004466EB" w:rsidRPr="005437C6" w:rsidRDefault="004466EB" w:rsidP="00E44687">
            <w:pPr>
              <w:keepNext w:val="0"/>
              <w:numPr>
                <w:ilvl w:val="0"/>
                <w:numId w:val="377"/>
              </w:numPr>
              <w:spacing w:before="0"/>
              <w:contextualSpacing/>
              <w:jc w:val="left"/>
              <w:rPr>
                <w:rFonts w:cs="Arial"/>
                <w:color w:val="0070C0"/>
                <w:szCs w:val="24"/>
              </w:rPr>
            </w:pPr>
            <w:r w:rsidRPr="005437C6">
              <w:rPr>
                <w:rFonts w:cs="Arial"/>
                <w:color w:val="0070C0"/>
                <w:szCs w:val="24"/>
              </w:rPr>
              <w:t>Sustainable waste management by providing space for recycling and composting.</w:t>
            </w:r>
          </w:p>
          <w:p w14:paraId="6941242E" w14:textId="77777777" w:rsidR="004466EB" w:rsidRPr="005437C6" w:rsidRDefault="004466EB" w:rsidP="00E44687">
            <w:pPr>
              <w:keepNext w:val="0"/>
              <w:spacing w:before="0"/>
              <w:jc w:val="left"/>
              <w:rPr>
                <w:rFonts w:cs="Arial"/>
                <w:color w:val="0070C0"/>
                <w:szCs w:val="24"/>
              </w:rPr>
            </w:pPr>
          </w:p>
        </w:tc>
      </w:tr>
      <w:tr w:rsidR="005437C6" w:rsidRPr="005437C6" w14:paraId="05C24059" w14:textId="77777777">
        <w:tc>
          <w:tcPr>
            <w:tcW w:w="2263" w:type="dxa"/>
            <w:shd w:val="clear" w:color="auto" w:fill="D9D9D9"/>
          </w:tcPr>
          <w:p w14:paraId="7AADB530"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 xml:space="preserve">Access &amp; Transport </w:t>
            </w:r>
          </w:p>
          <w:p w14:paraId="750CF304" w14:textId="77777777" w:rsidR="004466EB" w:rsidRPr="00E56F9C" w:rsidRDefault="004466EB" w:rsidP="00E44687">
            <w:pPr>
              <w:keepNext w:val="0"/>
              <w:spacing w:before="0" w:line="276" w:lineRule="auto"/>
              <w:jc w:val="left"/>
              <w:rPr>
                <w:rFonts w:cs="Arial"/>
                <w:color w:val="005EAC"/>
                <w:szCs w:val="24"/>
              </w:rPr>
            </w:pPr>
          </w:p>
          <w:p w14:paraId="0CD3C5AF"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Policies: S2, S9, S10</w:t>
            </w:r>
          </w:p>
          <w:p w14:paraId="33538D56" w14:textId="77777777" w:rsidR="004466EB" w:rsidRPr="00E56F9C" w:rsidRDefault="004466EB" w:rsidP="00E44687">
            <w:pPr>
              <w:keepNext w:val="0"/>
              <w:spacing w:before="0" w:line="276" w:lineRule="auto"/>
              <w:jc w:val="left"/>
              <w:rPr>
                <w:rFonts w:cs="Arial"/>
                <w:color w:val="005EAC"/>
                <w:sz w:val="22"/>
              </w:rPr>
            </w:pPr>
          </w:p>
          <w:p w14:paraId="2761F004"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73417FC6" w14:textId="77777777" w:rsidR="004466EB" w:rsidRPr="00E56F9C" w:rsidRDefault="004466EB" w:rsidP="00E44687">
            <w:pPr>
              <w:keepNext w:val="0"/>
              <w:spacing w:before="0" w:line="276" w:lineRule="auto"/>
              <w:jc w:val="left"/>
              <w:rPr>
                <w:rFonts w:cs="Arial"/>
                <w:color w:val="005EAC"/>
                <w:szCs w:val="24"/>
              </w:rPr>
            </w:pPr>
            <w:r w:rsidRPr="00E56F9C">
              <w:rPr>
                <w:rFonts w:cs="Arial"/>
                <w:color w:val="005EAC"/>
                <w:sz w:val="22"/>
              </w:rPr>
              <w:t>SD2, SD5, SD10, SD11</w:t>
            </w:r>
          </w:p>
        </w:tc>
        <w:tc>
          <w:tcPr>
            <w:tcW w:w="7479" w:type="dxa"/>
          </w:tcPr>
          <w:p w14:paraId="32CFC338"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NCC Highways requirements:</w:t>
            </w:r>
          </w:p>
          <w:p w14:paraId="67811196" w14:textId="77777777" w:rsidR="004466EB" w:rsidRPr="005437C6" w:rsidRDefault="004466EB" w:rsidP="00E44687">
            <w:pPr>
              <w:keepNext w:val="0"/>
              <w:spacing w:before="0" w:line="276" w:lineRule="auto"/>
              <w:jc w:val="left"/>
              <w:rPr>
                <w:rFonts w:cs="Arial"/>
                <w:color w:val="0070C0"/>
                <w:szCs w:val="24"/>
              </w:rPr>
            </w:pPr>
          </w:p>
          <w:p w14:paraId="5D8C83F4" w14:textId="77777777" w:rsidR="004466EB" w:rsidRPr="005437C6" w:rsidRDefault="004466EB" w:rsidP="00E44687">
            <w:pPr>
              <w:keepNext w:val="0"/>
              <w:numPr>
                <w:ilvl w:val="0"/>
                <w:numId w:val="375"/>
              </w:numPr>
              <w:spacing w:before="0" w:line="276" w:lineRule="auto"/>
              <w:contextualSpacing/>
              <w:jc w:val="left"/>
              <w:rPr>
                <w:rFonts w:cs="Arial"/>
                <w:color w:val="0070C0"/>
                <w:szCs w:val="24"/>
              </w:rPr>
            </w:pPr>
            <w:r w:rsidRPr="005437C6">
              <w:rPr>
                <w:rFonts w:cs="Arial"/>
                <w:color w:val="0070C0"/>
                <w:szCs w:val="24"/>
              </w:rPr>
              <w:t>Vehicular access onto Kings Mill Road East will not be permitted. Two inter-linked points of access will be required on Skegby Lane, with significant highway, footway, cycleway and lane flaring improvements for this scale of development.</w:t>
            </w:r>
          </w:p>
          <w:p w14:paraId="72AF0706" w14:textId="77777777" w:rsidR="004466EB" w:rsidRPr="005437C6" w:rsidRDefault="004466EB" w:rsidP="00E44687">
            <w:pPr>
              <w:keepNext w:val="0"/>
              <w:numPr>
                <w:ilvl w:val="0"/>
                <w:numId w:val="375"/>
              </w:numPr>
              <w:spacing w:before="0" w:line="276" w:lineRule="auto"/>
              <w:contextualSpacing/>
              <w:jc w:val="left"/>
              <w:rPr>
                <w:rFonts w:cs="Arial"/>
                <w:color w:val="0070C0"/>
                <w:szCs w:val="24"/>
              </w:rPr>
            </w:pPr>
            <w:r w:rsidRPr="005437C6">
              <w:rPr>
                <w:color w:val="0070C0"/>
              </w:rPr>
              <w:t>Internal layouts and external interface design must focus on the Department for Transport's LTN1/20 design for cycle infrastructure to integrate cycling with highway improvements and new developments.</w:t>
            </w:r>
          </w:p>
          <w:p w14:paraId="3FAD53C9" w14:textId="77777777" w:rsidR="004466EB" w:rsidRPr="005437C6" w:rsidRDefault="004466EB" w:rsidP="00E44687">
            <w:pPr>
              <w:keepNext w:val="0"/>
              <w:numPr>
                <w:ilvl w:val="0"/>
                <w:numId w:val="375"/>
              </w:numPr>
              <w:spacing w:before="0" w:line="276" w:lineRule="auto"/>
              <w:contextualSpacing/>
              <w:jc w:val="left"/>
              <w:rPr>
                <w:rFonts w:cs="Arial"/>
                <w:color w:val="0070C0"/>
                <w:szCs w:val="24"/>
              </w:rPr>
            </w:pPr>
            <w:r w:rsidRPr="005437C6">
              <w:rPr>
                <w:color w:val="0070C0"/>
              </w:rPr>
              <w:t xml:space="preserve">A supporting Transport Assessment (TA) that identifies the transportation implications of a new development will be required. This must include measures that will be provided to deal with the anticipated impacts of the scheme in relation to all forms of travel. Provision of offsite improvements to encourage active travel should be an essential part of the TA (e.g., provision of frequent real-time bus stop/shelter facilities). </w:t>
            </w:r>
          </w:p>
          <w:p w14:paraId="7774215B" w14:textId="77777777" w:rsidR="004466EB" w:rsidRPr="005437C6" w:rsidRDefault="004466EB" w:rsidP="00E44687">
            <w:pPr>
              <w:keepNext w:val="0"/>
              <w:numPr>
                <w:ilvl w:val="0"/>
                <w:numId w:val="375"/>
              </w:numPr>
              <w:spacing w:before="0" w:line="276" w:lineRule="auto"/>
              <w:contextualSpacing/>
              <w:jc w:val="left"/>
              <w:rPr>
                <w:rFonts w:cs="Arial"/>
                <w:color w:val="0070C0"/>
                <w:szCs w:val="24"/>
              </w:rPr>
            </w:pPr>
            <w:r w:rsidRPr="005437C6">
              <w:rPr>
                <w:rFonts w:cs="Arial"/>
                <w:color w:val="0070C0"/>
                <w:szCs w:val="24"/>
              </w:rPr>
              <w:t xml:space="preserve">Separate to any local remedial / mitigation measures identified as part of a TA, a financial strategic contribution may be applicable per dwelling house, </w:t>
            </w:r>
            <w:r w:rsidRPr="005437C6">
              <w:rPr>
                <w:color w:val="0070C0"/>
              </w:rPr>
              <w:t>to deal with the overall cumulative growth and impact on existing infrastructure.</w:t>
            </w:r>
          </w:p>
          <w:p w14:paraId="3D308A02" w14:textId="77777777" w:rsidR="004466EB" w:rsidRPr="005437C6" w:rsidRDefault="004466EB" w:rsidP="00E44687">
            <w:pPr>
              <w:keepNext w:val="0"/>
              <w:numPr>
                <w:ilvl w:val="0"/>
                <w:numId w:val="375"/>
              </w:numPr>
              <w:spacing w:before="0" w:line="276" w:lineRule="auto"/>
              <w:contextualSpacing/>
              <w:jc w:val="left"/>
              <w:rPr>
                <w:rFonts w:cs="Arial"/>
                <w:color w:val="0070C0"/>
                <w:szCs w:val="24"/>
              </w:rPr>
            </w:pPr>
            <w:r w:rsidRPr="005437C6">
              <w:rPr>
                <w:rFonts w:cs="Arial"/>
                <w:color w:val="0070C0"/>
                <w:szCs w:val="24"/>
              </w:rPr>
              <w:t>Parking provision will be crucial to the success and safe operation of this development. Parking standards are based on minimum standards and parking spaces/service areas provided must be robustly justified/evidence based on surveys of comparable sites. Disproportionate use of tandem parking to meet standards will not be accepted as research shows these arrangements are invariably under used causing parking displacement to the public highway.</w:t>
            </w:r>
          </w:p>
          <w:p w14:paraId="0A2B4293"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38A5BEB2"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National Cycle Route runs along Kings Mill Road East, to the west of the site. Development must:</w:t>
            </w:r>
          </w:p>
          <w:p w14:paraId="49917C78"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6D60DE35" w14:textId="77777777" w:rsidR="004466EB" w:rsidRPr="005437C6" w:rsidRDefault="004466EB" w:rsidP="00E44687">
            <w:pPr>
              <w:keepNext w:val="0"/>
              <w:numPr>
                <w:ilvl w:val="0"/>
                <w:numId w:val="37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Acknowledge /overlook this key route and create links to it.</w:t>
            </w:r>
          </w:p>
          <w:p w14:paraId="3839968F" w14:textId="77777777" w:rsidR="004466EB" w:rsidRPr="005437C6" w:rsidRDefault="004466EB" w:rsidP="00E44687">
            <w:pPr>
              <w:keepNext w:val="0"/>
              <w:numPr>
                <w:ilvl w:val="0"/>
                <w:numId w:val="37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Enhance pedestrian and cycling permeability through the provision of new routes through the site.</w:t>
            </w:r>
          </w:p>
          <w:p w14:paraId="1451B6CE" w14:textId="77777777" w:rsidR="004466EB" w:rsidRPr="005437C6" w:rsidRDefault="004466EB" w:rsidP="00E44687">
            <w:pPr>
              <w:keepNext w:val="0"/>
              <w:numPr>
                <w:ilvl w:val="0"/>
                <w:numId w:val="37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Comply with ADC’s adopted Green and Blue Infrastructure and Biodiversity Strategy, 2022 – 2032.</w:t>
            </w:r>
          </w:p>
          <w:p w14:paraId="1DDEC1EC" w14:textId="77777777" w:rsidR="004466EB" w:rsidRPr="005437C6" w:rsidRDefault="004466EB" w:rsidP="00E44687">
            <w:pPr>
              <w:keepNext w:val="0"/>
              <w:autoSpaceDE w:val="0"/>
              <w:autoSpaceDN w:val="0"/>
              <w:adjustRightInd w:val="0"/>
              <w:spacing w:before="0" w:line="276" w:lineRule="auto"/>
              <w:ind w:left="720"/>
              <w:contextualSpacing/>
              <w:jc w:val="left"/>
              <w:rPr>
                <w:rFonts w:cs="Arial"/>
                <w:color w:val="0070C0"/>
                <w:szCs w:val="24"/>
              </w:rPr>
            </w:pPr>
          </w:p>
        </w:tc>
      </w:tr>
      <w:tr w:rsidR="005437C6" w:rsidRPr="005437C6" w14:paraId="2A3F5A3B" w14:textId="77777777">
        <w:tc>
          <w:tcPr>
            <w:tcW w:w="2263" w:type="dxa"/>
            <w:shd w:val="clear" w:color="auto" w:fill="D9D9D9"/>
          </w:tcPr>
          <w:p w14:paraId="082B3FFF"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Rights of Way</w:t>
            </w:r>
          </w:p>
        </w:tc>
        <w:tc>
          <w:tcPr>
            <w:tcW w:w="7479" w:type="dxa"/>
          </w:tcPr>
          <w:p w14:paraId="7E42CCCF"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No existing rights of way on or adjacent to the site.</w:t>
            </w:r>
          </w:p>
          <w:p w14:paraId="63B823B9" w14:textId="77777777" w:rsidR="004466EB" w:rsidRPr="005437C6" w:rsidRDefault="004466EB" w:rsidP="00E44687">
            <w:pPr>
              <w:keepNext w:val="0"/>
              <w:spacing w:before="0" w:line="276" w:lineRule="auto"/>
              <w:jc w:val="left"/>
              <w:rPr>
                <w:rFonts w:cs="Arial"/>
                <w:color w:val="0070C0"/>
                <w:szCs w:val="24"/>
              </w:rPr>
            </w:pPr>
          </w:p>
        </w:tc>
      </w:tr>
      <w:tr w:rsidR="005437C6" w:rsidRPr="005437C6" w14:paraId="6040DE36" w14:textId="77777777">
        <w:tc>
          <w:tcPr>
            <w:tcW w:w="2263" w:type="dxa"/>
            <w:shd w:val="clear" w:color="auto" w:fill="D9D9D9"/>
          </w:tcPr>
          <w:p w14:paraId="5B756418"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Topography &amp; Landscape Character</w:t>
            </w:r>
          </w:p>
          <w:p w14:paraId="418DE4AE" w14:textId="77777777" w:rsidR="004466EB" w:rsidRPr="00E56F9C" w:rsidRDefault="004466EB" w:rsidP="00E44687">
            <w:pPr>
              <w:keepNext w:val="0"/>
              <w:spacing w:before="0" w:line="276" w:lineRule="auto"/>
              <w:jc w:val="left"/>
              <w:rPr>
                <w:rFonts w:cs="Arial"/>
                <w:b/>
                <w:bCs/>
                <w:color w:val="005EAC"/>
                <w:szCs w:val="24"/>
              </w:rPr>
            </w:pPr>
          </w:p>
          <w:p w14:paraId="7B8AB9A1"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S13</w:t>
            </w:r>
          </w:p>
          <w:p w14:paraId="14004E33" w14:textId="77777777" w:rsidR="004466EB" w:rsidRPr="00E56F9C" w:rsidRDefault="004466EB" w:rsidP="00E44687">
            <w:pPr>
              <w:keepNext w:val="0"/>
              <w:spacing w:before="0" w:line="276" w:lineRule="auto"/>
              <w:jc w:val="left"/>
              <w:rPr>
                <w:rFonts w:cs="Arial"/>
                <w:color w:val="005EAC"/>
                <w:sz w:val="22"/>
              </w:rPr>
            </w:pPr>
          </w:p>
          <w:p w14:paraId="6AC4C5FA"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19EC04A7"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EV4, EV6, EV10, SD2</w:t>
            </w:r>
          </w:p>
        </w:tc>
        <w:tc>
          <w:tcPr>
            <w:tcW w:w="7479" w:type="dxa"/>
          </w:tcPr>
          <w:p w14:paraId="0E7B45A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site is very undulating and slopes towards the hospital. There will be topographical constraints to overcome during design/construction stages.</w:t>
            </w:r>
          </w:p>
          <w:p w14:paraId="2A2CAA82"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0E95FA99" w14:textId="77777777" w:rsidR="004466EB" w:rsidRPr="005437C6" w:rsidRDefault="004466EB" w:rsidP="00E44687">
            <w:pPr>
              <w:keepNext w:val="0"/>
              <w:spacing w:before="0"/>
              <w:jc w:val="left"/>
              <w:rPr>
                <w:color w:val="0070C0"/>
              </w:rPr>
            </w:pPr>
            <w:r w:rsidRPr="005437C6">
              <w:rPr>
                <w:rFonts w:cs="Arial"/>
                <w:color w:val="0070C0"/>
                <w:szCs w:val="24"/>
              </w:rPr>
              <w:t xml:space="preserve">Mature hedgerows and trees are an important characteristic of the site and form </w:t>
            </w:r>
            <w:proofErr w:type="gramStart"/>
            <w:r w:rsidRPr="005437C6">
              <w:rPr>
                <w:rFonts w:cs="Arial"/>
                <w:color w:val="0070C0"/>
                <w:szCs w:val="24"/>
              </w:rPr>
              <w:t>a number of</w:t>
            </w:r>
            <w:proofErr w:type="gramEnd"/>
            <w:r w:rsidRPr="005437C6">
              <w:rPr>
                <w:rFonts w:cs="Arial"/>
                <w:color w:val="0070C0"/>
                <w:szCs w:val="24"/>
              </w:rPr>
              <w:t xml:space="preserve"> boundaries.</w:t>
            </w:r>
            <w:r w:rsidRPr="005437C6">
              <w:rPr>
                <w:color w:val="0070C0"/>
              </w:rPr>
              <w:t xml:space="preserve"> Development must strengthen and protect existing mature boundary hedgerows around the site by gapping up and planting additional hedgerow trees, where appropriate.</w:t>
            </w:r>
          </w:p>
          <w:p w14:paraId="2ABB69FE" w14:textId="77777777" w:rsidR="004466EB" w:rsidRPr="005437C6" w:rsidRDefault="004466EB" w:rsidP="00E44687">
            <w:pPr>
              <w:keepNext w:val="0"/>
              <w:spacing w:before="0"/>
              <w:jc w:val="left"/>
              <w:rPr>
                <w:color w:val="0070C0"/>
              </w:rPr>
            </w:pPr>
          </w:p>
          <w:p w14:paraId="72DE07C4"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northern part of the site benefits from long distance view southwards towards Hamilton Hill skyline. Development should ensure these views are successfully utilised and retained.</w:t>
            </w:r>
          </w:p>
          <w:p w14:paraId="4ADCE9E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8054A5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Greater Nottingham Landscape Assessment identifies the site as lying within character area ML023 Skegby Plateau. The landscape condition is GOOD. The character strength of the area is STRONG.  The overall landscape strategy is CONSERVE.</w:t>
            </w:r>
          </w:p>
          <w:p w14:paraId="1E027B4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 </w:t>
            </w:r>
          </w:p>
        </w:tc>
      </w:tr>
      <w:tr w:rsidR="005437C6" w:rsidRPr="005437C6" w14:paraId="374B0E3E" w14:textId="77777777">
        <w:tc>
          <w:tcPr>
            <w:tcW w:w="2263" w:type="dxa"/>
            <w:shd w:val="clear" w:color="auto" w:fill="D9D9D9"/>
          </w:tcPr>
          <w:p w14:paraId="3399A206"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Ground Stability &amp; Contamination</w:t>
            </w:r>
          </w:p>
          <w:p w14:paraId="27E982F1"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S2</w:t>
            </w:r>
          </w:p>
          <w:p w14:paraId="44512B52" w14:textId="77777777" w:rsidR="004466EB" w:rsidRPr="00E56F9C" w:rsidRDefault="004466EB" w:rsidP="00E44687">
            <w:pPr>
              <w:keepNext w:val="0"/>
              <w:spacing w:before="0" w:line="276" w:lineRule="auto"/>
              <w:jc w:val="left"/>
              <w:rPr>
                <w:rFonts w:cs="Arial"/>
                <w:color w:val="005EAC"/>
                <w:sz w:val="22"/>
              </w:rPr>
            </w:pPr>
          </w:p>
          <w:p w14:paraId="78F7C579"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SD8</w:t>
            </w:r>
          </w:p>
        </w:tc>
        <w:tc>
          <w:tcPr>
            <w:tcW w:w="7479" w:type="dxa"/>
          </w:tcPr>
          <w:p w14:paraId="545FA73F"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No known ground stability issues.  It is located within a Coal Low Risk Area for development.</w:t>
            </w:r>
          </w:p>
          <w:p w14:paraId="749FF220" w14:textId="77777777" w:rsidR="004466EB" w:rsidRPr="005437C6" w:rsidRDefault="004466EB" w:rsidP="00E44687">
            <w:pPr>
              <w:keepNext w:val="0"/>
              <w:spacing w:before="0" w:line="276" w:lineRule="auto"/>
              <w:jc w:val="left"/>
              <w:rPr>
                <w:rFonts w:cs="Arial"/>
                <w:color w:val="0070C0"/>
                <w:szCs w:val="24"/>
              </w:rPr>
            </w:pPr>
          </w:p>
          <w:p w14:paraId="3718B873"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No known contamination, however, a small part of the site to the south is within 250 m of a landfill site.</w:t>
            </w:r>
            <w:r w:rsidRPr="005437C6">
              <w:rPr>
                <w:rFonts w:cs="Arial"/>
                <w:color w:val="0070C0"/>
                <w:szCs w:val="24"/>
              </w:rPr>
              <w:tab/>
            </w:r>
          </w:p>
          <w:p w14:paraId="4A68F350" w14:textId="77777777" w:rsidR="004466EB" w:rsidRPr="005437C6" w:rsidRDefault="004466EB" w:rsidP="00E44687">
            <w:pPr>
              <w:keepNext w:val="0"/>
              <w:spacing w:before="0"/>
              <w:jc w:val="left"/>
              <w:rPr>
                <w:rFonts w:cs="Arial"/>
                <w:color w:val="0070C0"/>
                <w:szCs w:val="24"/>
              </w:rPr>
            </w:pPr>
          </w:p>
        </w:tc>
      </w:tr>
      <w:tr w:rsidR="005437C6" w:rsidRPr="005437C6" w14:paraId="3E466A3D" w14:textId="77777777">
        <w:tc>
          <w:tcPr>
            <w:tcW w:w="2263" w:type="dxa"/>
            <w:shd w:val="clear" w:color="auto" w:fill="D9D9D9"/>
          </w:tcPr>
          <w:p w14:paraId="556E339E"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Flood Risk</w:t>
            </w:r>
          </w:p>
          <w:p w14:paraId="7FBF1F18"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S3</w:t>
            </w:r>
          </w:p>
          <w:p w14:paraId="6218CEBB" w14:textId="77777777" w:rsidR="004466EB" w:rsidRPr="00E56F9C" w:rsidRDefault="004466EB" w:rsidP="00E44687">
            <w:pPr>
              <w:keepNext w:val="0"/>
              <w:spacing w:before="0" w:line="276" w:lineRule="auto"/>
              <w:jc w:val="left"/>
              <w:rPr>
                <w:rFonts w:cs="Arial"/>
                <w:color w:val="005EAC"/>
                <w:sz w:val="22"/>
              </w:rPr>
            </w:pPr>
          </w:p>
          <w:p w14:paraId="6CBFD53D"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CC3</w:t>
            </w:r>
            <w:r w:rsidRPr="00E56F9C">
              <w:rPr>
                <w:rFonts w:cs="Arial"/>
                <w:color w:val="005EAC"/>
                <w:szCs w:val="24"/>
              </w:rPr>
              <w:t xml:space="preserve"> </w:t>
            </w:r>
          </w:p>
        </w:tc>
        <w:tc>
          <w:tcPr>
            <w:tcW w:w="7479" w:type="dxa"/>
          </w:tcPr>
          <w:p w14:paraId="1664884A"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 site is located within Flood Zone 1 - Low level of flood risk.</w:t>
            </w:r>
          </w:p>
          <w:p w14:paraId="29CD2D91" w14:textId="77777777" w:rsidR="004466EB" w:rsidRPr="005437C6" w:rsidRDefault="004466EB" w:rsidP="00E44687">
            <w:pPr>
              <w:keepNext w:val="0"/>
              <w:spacing w:before="0" w:line="276" w:lineRule="auto"/>
              <w:jc w:val="left"/>
              <w:rPr>
                <w:rFonts w:cs="Arial"/>
                <w:color w:val="0070C0"/>
                <w:szCs w:val="24"/>
              </w:rPr>
            </w:pPr>
          </w:p>
          <w:p w14:paraId="3F59CD5F"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There two small areas of low risk from surface water flooding and three isolated pockets of high risk.</w:t>
            </w:r>
          </w:p>
          <w:p w14:paraId="73288A1A" w14:textId="77777777" w:rsidR="004466EB" w:rsidRPr="005437C6" w:rsidRDefault="004466EB" w:rsidP="00E44687">
            <w:pPr>
              <w:keepNext w:val="0"/>
              <w:spacing w:before="0" w:line="276" w:lineRule="auto"/>
              <w:jc w:val="left"/>
              <w:rPr>
                <w:rFonts w:cs="Arial"/>
                <w:color w:val="0070C0"/>
                <w:szCs w:val="24"/>
              </w:rPr>
            </w:pPr>
          </w:p>
          <w:p w14:paraId="75470A6B"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There is a pond close to the western edge of the site. This area may be suitable for a Sustainable Urban Drainage (SUDs) scheme.</w:t>
            </w:r>
          </w:p>
          <w:p w14:paraId="41679831" w14:textId="77777777" w:rsidR="004466EB" w:rsidRPr="005437C6" w:rsidRDefault="004466EB" w:rsidP="00E44687">
            <w:pPr>
              <w:keepNext w:val="0"/>
              <w:spacing w:before="0" w:line="276" w:lineRule="auto"/>
              <w:jc w:val="left"/>
              <w:rPr>
                <w:rFonts w:cs="Arial"/>
                <w:color w:val="0070C0"/>
                <w:szCs w:val="24"/>
              </w:rPr>
            </w:pPr>
          </w:p>
        </w:tc>
      </w:tr>
      <w:tr w:rsidR="005437C6" w:rsidRPr="005437C6" w14:paraId="11B86BF2" w14:textId="77777777">
        <w:tc>
          <w:tcPr>
            <w:tcW w:w="2263" w:type="dxa"/>
            <w:shd w:val="clear" w:color="auto" w:fill="D9D9D9"/>
          </w:tcPr>
          <w:p w14:paraId="2E668937"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Heritage and Archaeology</w:t>
            </w:r>
          </w:p>
          <w:p w14:paraId="2EAAE1C4" w14:textId="77777777" w:rsidR="004466EB" w:rsidRPr="00E56F9C" w:rsidRDefault="004466EB" w:rsidP="00E44687">
            <w:pPr>
              <w:keepNext w:val="0"/>
              <w:spacing w:before="0" w:line="276" w:lineRule="auto"/>
              <w:jc w:val="left"/>
              <w:rPr>
                <w:rFonts w:cs="Arial"/>
                <w:b/>
                <w:bCs/>
                <w:color w:val="005EAC"/>
                <w:szCs w:val="24"/>
              </w:rPr>
            </w:pPr>
          </w:p>
          <w:p w14:paraId="6CA3ED6C"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S14</w:t>
            </w:r>
          </w:p>
          <w:p w14:paraId="67D8448A" w14:textId="77777777" w:rsidR="004466EB" w:rsidRPr="00E56F9C" w:rsidRDefault="004466EB" w:rsidP="00E44687">
            <w:pPr>
              <w:keepNext w:val="0"/>
              <w:spacing w:before="0" w:line="276" w:lineRule="auto"/>
              <w:jc w:val="left"/>
              <w:rPr>
                <w:rFonts w:cs="Arial"/>
                <w:color w:val="005EAC"/>
                <w:sz w:val="22"/>
              </w:rPr>
            </w:pPr>
          </w:p>
          <w:p w14:paraId="6ECA4928"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EV9</w:t>
            </w:r>
          </w:p>
        </w:tc>
        <w:tc>
          <w:tcPr>
            <w:tcW w:w="7479" w:type="dxa"/>
          </w:tcPr>
          <w:p w14:paraId="61657A5E" w14:textId="77777777" w:rsidR="004466EB" w:rsidRPr="005437C6" w:rsidRDefault="004466EB" w:rsidP="00E44687">
            <w:pPr>
              <w:keepNext w:val="0"/>
              <w:autoSpaceDE w:val="0"/>
              <w:autoSpaceDN w:val="0"/>
              <w:adjustRightInd w:val="0"/>
              <w:spacing w:before="0"/>
              <w:jc w:val="left"/>
              <w:rPr>
                <w:rFonts w:cs="Arial"/>
                <w:color w:val="0070C0"/>
              </w:rPr>
            </w:pPr>
            <w:r w:rsidRPr="005437C6">
              <w:rPr>
                <w:rFonts w:cs="Arial"/>
                <w:color w:val="0070C0"/>
              </w:rPr>
              <w:t xml:space="preserve">The site is located across the road from the Grade II Listed </w:t>
            </w:r>
            <w:proofErr w:type="spellStart"/>
            <w:r w:rsidRPr="005437C6">
              <w:rPr>
                <w:rFonts w:cs="Arial"/>
                <w:color w:val="0070C0"/>
              </w:rPr>
              <w:t>Dalestorth</w:t>
            </w:r>
            <w:proofErr w:type="spellEnd"/>
            <w:r w:rsidRPr="005437C6">
              <w:rPr>
                <w:rFonts w:cs="Arial"/>
                <w:color w:val="0070C0"/>
              </w:rPr>
              <w:t xml:space="preserve"> House, c. 55m to the south.  The trees to the south of Skegby Lane should be retained and supplemented where necessary </w:t>
            </w:r>
            <w:proofErr w:type="gramStart"/>
            <w:r w:rsidRPr="005437C6">
              <w:rPr>
                <w:rFonts w:cs="Arial"/>
                <w:color w:val="0070C0"/>
              </w:rPr>
              <w:t>in order to</w:t>
            </w:r>
            <w:proofErr w:type="gramEnd"/>
            <w:r w:rsidRPr="005437C6">
              <w:rPr>
                <w:rFonts w:cs="Arial"/>
                <w:color w:val="0070C0"/>
              </w:rPr>
              <w:t xml:space="preserve"> provide an important green buffer between the site and the asset.  </w:t>
            </w:r>
          </w:p>
          <w:p w14:paraId="0D14454A" w14:textId="77777777" w:rsidR="004466EB" w:rsidRPr="005437C6" w:rsidRDefault="004466EB" w:rsidP="00E44687">
            <w:pPr>
              <w:keepNext w:val="0"/>
              <w:autoSpaceDE w:val="0"/>
              <w:autoSpaceDN w:val="0"/>
              <w:adjustRightInd w:val="0"/>
              <w:spacing w:before="0"/>
              <w:jc w:val="left"/>
              <w:rPr>
                <w:rFonts w:cs="Arial"/>
                <w:color w:val="0070C0"/>
              </w:rPr>
            </w:pPr>
          </w:p>
          <w:p w14:paraId="5DB2D2E4" w14:textId="77777777" w:rsidR="004466EB" w:rsidRPr="005437C6" w:rsidRDefault="004466EB" w:rsidP="00E44687">
            <w:pPr>
              <w:keepNext w:val="0"/>
              <w:autoSpaceDE w:val="0"/>
              <w:autoSpaceDN w:val="0"/>
              <w:adjustRightInd w:val="0"/>
              <w:spacing w:before="0"/>
              <w:jc w:val="left"/>
              <w:rPr>
                <w:rFonts w:cs="Arial"/>
                <w:color w:val="0070C0"/>
                <w:szCs w:val="24"/>
              </w:rPr>
            </w:pPr>
            <w:r w:rsidRPr="005437C6">
              <w:rPr>
                <w:rFonts w:cs="Arial"/>
                <w:color w:val="0070C0"/>
                <w:szCs w:val="24"/>
              </w:rPr>
              <w:t xml:space="preserve">The southern field has already been subject to development and to archaeological investigation comprising geophysical survey, archaeological evaluation and watching brief undertaken between </w:t>
            </w:r>
            <w:r w:rsidRPr="005437C6">
              <w:rPr>
                <w:rFonts w:cs="Arial"/>
                <w:color w:val="0070C0"/>
                <w:szCs w:val="24"/>
              </w:rPr>
              <w:lastRenderedPageBreak/>
              <w:t xml:space="preserve">2005 and 2006. The geophysical survey identified multiple anomalies prompting a combination of archaeological evaluation and watching brief in the western portion of the field. </w:t>
            </w:r>
          </w:p>
          <w:p w14:paraId="305158B5" w14:textId="77777777" w:rsidR="004466EB" w:rsidRPr="005437C6" w:rsidRDefault="004466EB" w:rsidP="00E44687">
            <w:pPr>
              <w:keepNext w:val="0"/>
              <w:autoSpaceDE w:val="0"/>
              <w:autoSpaceDN w:val="0"/>
              <w:adjustRightInd w:val="0"/>
              <w:spacing w:before="0"/>
              <w:jc w:val="left"/>
              <w:rPr>
                <w:rFonts w:cs="Arial"/>
                <w:color w:val="0070C0"/>
                <w:szCs w:val="24"/>
              </w:rPr>
            </w:pPr>
          </w:p>
          <w:p w14:paraId="3BC4F677" w14:textId="77777777" w:rsidR="004466EB" w:rsidRPr="005437C6" w:rsidRDefault="004466EB" w:rsidP="00E44687">
            <w:pPr>
              <w:keepNext w:val="0"/>
              <w:autoSpaceDE w:val="0"/>
              <w:autoSpaceDN w:val="0"/>
              <w:adjustRightInd w:val="0"/>
              <w:spacing w:before="0"/>
              <w:jc w:val="left"/>
              <w:rPr>
                <w:rFonts w:cs="Arial"/>
                <w:color w:val="0070C0"/>
                <w:szCs w:val="24"/>
              </w:rPr>
            </w:pPr>
            <w:r w:rsidRPr="005437C6">
              <w:rPr>
                <w:rFonts w:cs="Arial"/>
                <w:color w:val="0070C0"/>
                <w:szCs w:val="24"/>
              </w:rPr>
              <w:t>The results identified substantial bioturbation from woodland cleared in the 19th century, a brick-lined well, and post-medieval field boundaries. Many of the anomalies were identified as vehicle tracks which might have been a result of the woodland clearance or routes to and from the former World War II hospital.</w:t>
            </w:r>
          </w:p>
          <w:p w14:paraId="0E2FFD7D" w14:textId="77777777" w:rsidR="004466EB" w:rsidRPr="005437C6" w:rsidRDefault="004466EB" w:rsidP="00E44687">
            <w:pPr>
              <w:keepNext w:val="0"/>
              <w:autoSpaceDE w:val="0"/>
              <w:autoSpaceDN w:val="0"/>
              <w:adjustRightInd w:val="0"/>
              <w:spacing w:before="0"/>
              <w:jc w:val="left"/>
              <w:rPr>
                <w:rFonts w:cs="Arial"/>
                <w:color w:val="0070C0"/>
                <w:szCs w:val="24"/>
              </w:rPr>
            </w:pPr>
          </w:p>
          <w:p w14:paraId="621C581C" w14:textId="77777777" w:rsidR="004466EB" w:rsidRPr="005437C6" w:rsidRDefault="004466EB" w:rsidP="00E44687">
            <w:pPr>
              <w:keepNext w:val="0"/>
              <w:autoSpaceDE w:val="0"/>
              <w:autoSpaceDN w:val="0"/>
              <w:adjustRightInd w:val="0"/>
              <w:spacing w:before="0"/>
              <w:jc w:val="left"/>
              <w:rPr>
                <w:rFonts w:eastAsia="Arial"/>
                <w:iCs/>
                <w:color w:val="0070C0"/>
                <w:szCs w:val="24"/>
              </w:rPr>
            </w:pPr>
            <w:r w:rsidRPr="005437C6">
              <w:rPr>
                <w:rFonts w:eastAsia="Arial"/>
                <w:iCs/>
                <w:color w:val="0070C0"/>
              </w:rPr>
              <w:t>A Heritage Statement should be submitted that provides a proportionate assessment of the significance of the heritage assets, and where appropriate its setting, and an assessment of the impact of the proposal on the significance.  As a minimum, the Heritage Statement should cover the following:</w:t>
            </w:r>
          </w:p>
          <w:p w14:paraId="746D10BF"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iCs/>
                <w:color w:val="0070C0"/>
              </w:rPr>
            </w:pPr>
            <w:r w:rsidRPr="005437C6">
              <w:rPr>
                <w:rFonts w:eastAsia="Arial"/>
                <w:iCs/>
                <w:color w:val="0070C0"/>
              </w:rPr>
              <w:t>describe and assess the significance of the asset(s) and/or its setting;</w:t>
            </w:r>
          </w:p>
          <w:p w14:paraId="172862C7"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iCs/>
                <w:color w:val="0070C0"/>
              </w:rPr>
            </w:pPr>
            <w:r w:rsidRPr="005437C6">
              <w:rPr>
                <w:rFonts w:eastAsia="Arial"/>
                <w:iCs/>
                <w:color w:val="0070C0"/>
              </w:rPr>
              <w:t>identify the impact of works on the special character of the asset(s); and</w:t>
            </w:r>
          </w:p>
          <w:p w14:paraId="03623BA5"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iCs/>
                <w:color w:val="0070C0"/>
              </w:rPr>
            </w:pPr>
            <w:r w:rsidRPr="005437C6">
              <w:rPr>
                <w:rFonts w:eastAsia="Arial"/>
                <w:iCs/>
                <w:color w:val="0070C0"/>
              </w:rPr>
              <w:t>provide a clear justification for the works, especially if these would harm the asset(s) or its setting, so that the harm can be weighed against public benefit.</w:t>
            </w:r>
          </w:p>
          <w:p w14:paraId="6A96EA20" w14:textId="77777777" w:rsidR="004466EB" w:rsidRPr="005437C6" w:rsidRDefault="004466EB" w:rsidP="00E44687">
            <w:pPr>
              <w:keepNext w:val="0"/>
              <w:autoSpaceDE w:val="0"/>
              <w:autoSpaceDN w:val="0"/>
              <w:adjustRightInd w:val="0"/>
              <w:spacing w:before="0"/>
              <w:jc w:val="left"/>
              <w:rPr>
                <w:rFonts w:eastAsia="Arial"/>
                <w:iCs/>
                <w:color w:val="0070C0"/>
              </w:rPr>
            </w:pPr>
          </w:p>
          <w:p w14:paraId="3AA0CEE0" w14:textId="77777777" w:rsidR="004466EB" w:rsidRPr="005437C6" w:rsidRDefault="004466EB" w:rsidP="00E44687">
            <w:pPr>
              <w:keepNext w:val="0"/>
              <w:autoSpaceDE w:val="0"/>
              <w:autoSpaceDN w:val="0"/>
              <w:adjustRightInd w:val="0"/>
              <w:spacing w:before="0"/>
              <w:jc w:val="left"/>
              <w:rPr>
                <w:rFonts w:eastAsia="Arial"/>
                <w:iCs/>
                <w:color w:val="0070C0"/>
              </w:rPr>
            </w:pPr>
            <w:r w:rsidRPr="005437C6">
              <w:rPr>
                <w:rFonts w:eastAsia="Arial"/>
                <w:iCs/>
                <w:color w:val="0070C0"/>
              </w:rPr>
              <w:t xml:space="preserve">Historic England’s Good Practice Advice Note 2: Managing Significance in Decision-Taking in the Historic Environment, and </w:t>
            </w:r>
            <w:proofErr w:type="gramStart"/>
            <w:r w:rsidRPr="005437C6">
              <w:rPr>
                <w:rFonts w:eastAsia="Arial"/>
                <w:iCs/>
                <w:color w:val="0070C0"/>
              </w:rPr>
              <w:t>Good</w:t>
            </w:r>
            <w:proofErr w:type="gramEnd"/>
            <w:r w:rsidRPr="005437C6">
              <w:rPr>
                <w:rFonts w:eastAsia="Arial"/>
                <w:iCs/>
                <w:color w:val="0070C0"/>
              </w:rPr>
              <w:t xml:space="preserve"> practice Advice Note 3: The Setting of Heritage Assets, provide advice on how to undertake a Heritage Statement.</w:t>
            </w:r>
          </w:p>
          <w:p w14:paraId="462D4DE0" w14:textId="77777777" w:rsidR="004466EB" w:rsidRPr="005437C6" w:rsidRDefault="004466EB" w:rsidP="00E44687">
            <w:pPr>
              <w:keepNext w:val="0"/>
              <w:autoSpaceDE w:val="0"/>
              <w:autoSpaceDN w:val="0"/>
              <w:adjustRightInd w:val="0"/>
              <w:spacing w:before="0"/>
              <w:jc w:val="left"/>
              <w:rPr>
                <w:rFonts w:cs="Arial"/>
                <w:color w:val="0070C0"/>
                <w:szCs w:val="24"/>
              </w:rPr>
            </w:pPr>
          </w:p>
          <w:p w14:paraId="531176CC" w14:textId="77777777" w:rsidR="004466EB" w:rsidRPr="005437C6" w:rsidRDefault="004466EB" w:rsidP="00E44687">
            <w:pPr>
              <w:keepNext w:val="0"/>
              <w:autoSpaceDE w:val="0"/>
              <w:autoSpaceDN w:val="0"/>
              <w:adjustRightInd w:val="0"/>
              <w:spacing w:before="0"/>
              <w:jc w:val="left"/>
              <w:rPr>
                <w:rFonts w:cs="Arial"/>
                <w:color w:val="0070C0"/>
                <w:szCs w:val="24"/>
              </w:rPr>
            </w:pPr>
            <w:r w:rsidRPr="005437C6">
              <w:rPr>
                <w:rFonts w:cs="Arial"/>
                <w:color w:val="0070C0"/>
                <w:szCs w:val="24"/>
              </w:rPr>
              <w:t>There is no further archaeological potential within the southern field. Depending on the scale of proposed development within the northern and the eastern fields, a desk-based assessment and geophysical survey followed by targeted archaeological evaluation is recommended.</w:t>
            </w:r>
          </w:p>
          <w:p w14:paraId="60074394" w14:textId="77777777" w:rsidR="004466EB" w:rsidRPr="005437C6" w:rsidRDefault="004466EB" w:rsidP="00E44687">
            <w:pPr>
              <w:keepNext w:val="0"/>
              <w:autoSpaceDE w:val="0"/>
              <w:autoSpaceDN w:val="0"/>
              <w:adjustRightInd w:val="0"/>
              <w:spacing w:before="0"/>
              <w:jc w:val="left"/>
              <w:rPr>
                <w:rFonts w:cs="Arial"/>
                <w:color w:val="0070C0"/>
                <w:szCs w:val="24"/>
              </w:rPr>
            </w:pPr>
          </w:p>
        </w:tc>
      </w:tr>
      <w:tr w:rsidR="005437C6" w:rsidRPr="005437C6" w14:paraId="2AC803E1" w14:textId="77777777">
        <w:tc>
          <w:tcPr>
            <w:tcW w:w="2263" w:type="dxa"/>
            <w:shd w:val="clear" w:color="auto" w:fill="D9D9D9"/>
          </w:tcPr>
          <w:p w14:paraId="6B11DAF5"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Green Infrastructure &amp; Biodiversity</w:t>
            </w:r>
          </w:p>
          <w:p w14:paraId="2709E41D" w14:textId="77777777" w:rsidR="004466EB" w:rsidRPr="00E56F9C" w:rsidRDefault="004466EB" w:rsidP="00E44687">
            <w:pPr>
              <w:keepNext w:val="0"/>
              <w:spacing w:before="0" w:line="276" w:lineRule="auto"/>
              <w:jc w:val="left"/>
              <w:rPr>
                <w:rFonts w:cs="Arial"/>
                <w:b/>
                <w:bCs/>
                <w:color w:val="005EAC"/>
                <w:szCs w:val="24"/>
              </w:rPr>
            </w:pPr>
          </w:p>
          <w:p w14:paraId="4180F0CC"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S13</w:t>
            </w:r>
          </w:p>
          <w:p w14:paraId="0AA287CC" w14:textId="77777777" w:rsidR="004466EB" w:rsidRPr="00E56F9C" w:rsidRDefault="004466EB" w:rsidP="00E44687">
            <w:pPr>
              <w:keepNext w:val="0"/>
              <w:spacing w:before="0" w:line="276" w:lineRule="auto"/>
              <w:jc w:val="left"/>
              <w:rPr>
                <w:rFonts w:cs="Arial"/>
                <w:color w:val="005EAC"/>
                <w:sz w:val="22"/>
              </w:rPr>
            </w:pPr>
          </w:p>
          <w:p w14:paraId="18404DBE"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EV4, EV6</w:t>
            </w:r>
          </w:p>
        </w:tc>
        <w:tc>
          <w:tcPr>
            <w:tcW w:w="7479" w:type="dxa"/>
          </w:tcPr>
          <w:p w14:paraId="75F32113"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No Locally or Nationally Designated Natural Assets on or adjacent the site.</w:t>
            </w:r>
          </w:p>
          <w:p w14:paraId="0B48D8CE" w14:textId="77777777" w:rsidR="004466EB" w:rsidRPr="005437C6" w:rsidRDefault="004466EB" w:rsidP="00E44687">
            <w:pPr>
              <w:keepNext w:val="0"/>
              <w:spacing w:before="0" w:line="276" w:lineRule="auto"/>
              <w:jc w:val="left"/>
              <w:rPr>
                <w:rFonts w:cs="Arial"/>
                <w:color w:val="0070C0"/>
                <w:szCs w:val="24"/>
              </w:rPr>
            </w:pPr>
          </w:p>
          <w:p w14:paraId="04B216E7"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In respect of this site the Council will require a minimum Biodiversity Net Gain (BNG) of 10%. Biodiversity should be delivered on site in the first instance via habitat creation/enhancement, or by using off-site gains where necessary. As a last resort, biodiversity credits may be purchased where sufficient gains cannot be achieved on or off-site. </w:t>
            </w:r>
          </w:p>
          <w:p w14:paraId="3F255B02" w14:textId="77777777" w:rsidR="004466EB" w:rsidRPr="005437C6" w:rsidRDefault="004466EB" w:rsidP="00E44687">
            <w:pPr>
              <w:keepNext w:val="0"/>
              <w:spacing w:before="0" w:line="276" w:lineRule="auto"/>
              <w:jc w:val="left"/>
              <w:rPr>
                <w:rFonts w:cs="Arial"/>
                <w:color w:val="0070C0"/>
                <w:szCs w:val="24"/>
              </w:rPr>
            </w:pPr>
          </w:p>
          <w:p w14:paraId="17213352"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 xml:space="preserve">Development must also comply with the Developer Guide to Biodiversity and Nature Conservation 2022, which sets out the </w:t>
            </w:r>
            <w:r w:rsidRPr="005437C6">
              <w:rPr>
                <w:rFonts w:cs="Arial"/>
                <w:color w:val="0070C0"/>
                <w:szCs w:val="24"/>
              </w:rPr>
              <w:lastRenderedPageBreak/>
              <w:t>Council’s expectations in respect of Biodiversity Net Gain, alongside mandatory requirements for protected sites.</w:t>
            </w:r>
          </w:p>
          <w:p w14:paraId="6FBA913A" w14:textId="77777777" w:rsidR="004466EB" w:rsidRPr="005437C6" w:rsidRDefault="004466EB" w:rsidP="00E44687">
            <w:pPr>
              <w:keepNext w:val="0"/>
              <w:spacing w:before="0" w:line="276" w:lineRule="auto"/>
              <w:jc w:val="left"/>
              <w:rPr>
                <w:rFonts w:cs="Arial"/>
                <w:color w:val="0070C0"/>
                <w:szCs w:val="24"/>
              </w:rPr>
            </w:pPr>
          </w:p>
          <w:p w14:paraId="63624000" w14:textId="77777777" w:rsidR="004466EB" w:rsidRPr="005437C6" w:rsidRDefault="004466EB" w:rsidP="00E44687">
            <w:pPr>
              <w:keepNext w:val="0"/>
              <w:autoSpaceDE w:val="0"/>
              <w:autoSpaceDN w:val="0"/>
              <w:adjustRightInd w:val="0"/>
              <w:spacing w:before="0" w:line="276" w:lineRule="auto"/>
              <w:jc w:val="left"/>
              <w:rPr>
                <w:color w:val="0070C0"/>
                <w:u w:val="single"/>
              </w:rPr>
            </w:pPr>
            <w:r w:rsidRPr="005437C6">
              <w:rPr>
                <w:rFonts w:cs="Arial"/>
                <w:color w:val="0070C0"/>
                <w:szCs w:val="24"/>
              </w:rPr>
              <w:t xml:space="preserve">The Developer Guide can be viewed on the Council’s website: </w:t>
            </w:r>
            <w:hyperlink r:id="rId117" w:history="1">
              <w:r w:rsidRPr="005437C6">
                <w:rPr>
                  <w:color w:val="0070C0"/>
                  <w:u w:val="single"/>
                </w:rPr>
                <w:t>Ashfield District Council Supplementary Planning Documents and Guidance</w:t>
              </w:r>
            </w:hyperlink>
          </w:p>
          <w:p w14:paraId="4B3E296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tc>
      </w:tr>
      <w:tr w:rsidR="005437C6" w:rsidRPr="005437C6" w14:paraId="1AE18272" w14:textId="77777777">
        <w:tc>
          <w:tcPr>
            <w:tcW w:w="2263" w:type="dxa"/>
            <w:shd w:val="clear" w:color="auto" w:fill="D9D9D9"/>
          </w:tcPr>
          <w:p w14:paraId="56499AF0"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Utilities</w:t>
            </w:r>
          </w:p>
          <w:p w14:paraId="60C9DEF9" w14:textId="77777777" w:rsidR="004466EB" w:rsidRPr="00E56F9C" w:rsidRDefault="004466EB" w:rsidP="00E44687">
            <w:pPr>
              <w:keepNext w:val="0"/>
              <w:spacing w:before="0" w:line="276" w:lineRule="auto"/>
              <w:jc w:val="left"/>
              <w:rPr>
                <w:rFonts w:cs="Arial"/>
                <w:b/>
                <w:bCs/>
                <w:color w:val="005EAC"/>
                <w:szCs w:val="24"/>
              </w:rPr>
            </w:pPr>
          </w:p>
          <w:p w14:paraId="3B7BE4FA"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S2</w:t>
            </w:r>
          </w:p>
          <w:p w14:paraId="1B0C2197" w14:textId="77777777" w:rsidR="004466EB" w:rsidRPr="00E56F9C" w:rsidRDefault="004466EB" w:rsidP="00E44687">
            <w:pPr>
              <w:keepNext w:val="0"/>
              <w:spacing w:before="0" w:line="276" w:lineRule="auto"/>
              <w:jc w:val="left"/>
              <w:rPr>
                <w:rFonts w:cs="Arial"/>
                <w:color w:val="005EAC"/>
                <w:sz w:val="22"/>
              </w:rPr>
            </w:pPr>
          </w:p>
          <w:p w14:paraId="3B715E5F"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CC2</w:t>
            </w:r>
          </w:p>
        </w:tc>
        <w:tc>
          <w:tcPr>
            <w:tcW w:w="7479" w:type="dxa"/>
          </w:tcPr>
          <w:p w14:paraId="073E250D"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Seven Trent Water:</w:t>
            </w:r>
          </w:p>
          <w:p w14:paraId="76202296" w14:textId="77777777" w:rsidR="004466EB" w:rsidRPr="005437C6" w:rsidRDefault="004466EB" w:rsidP="00E44687">
            <w:pPr>
              <w:keepNext w:val="0"/>
              <w:spacing w:before="0" w:line="276" w:lineRule="auto"/>
              <w:jc w:val="left"/>
              <w:rPr>
                <w:rFonts w:cs="Arial"/>
                <w:color w:val="0070C0"/>
                <w:szCs w:val="24"/>
              </w:rPr>
            </w:pPr>
          </w:p>
          <w:p w14:paraId="49DBBD8B" w14:textId="77777777" w:rsidR="004466EB" w:rsidRPr="005437C6" w:rsidRDefault="004466EB" w:rsidP="00E44687">
            <w:pPr>
              <w:keepNext w:val="0"/>
              <w:numPr>
                <w:ilvl w:val="0"/>
                <w:numId w:val="358"/>
              </w:numPr>
              <w:spacing w:before="0" w:line="276" w:lineRule="auto"/>
              <w:ind w:left="466" w:hanging="283"/>
              <w:contextualSpacing/>
              <w:jc w:val="left"/>
              <w:rPr>
                <w:rFonts w:cs="Arial"/>
                <w:color w:val="0070C0"/>
                <w:szCs w:val="24"/>
              </w:rPr>
            </w:pPr>
            <w:r w:rsidRPr="005437C6">
              <w:rPr>
                <w:rFonts w:cs="Arial"/>
                <w:color w:val="0070C0"/>
                <w:szCs w:val="24"/>
              </w:rPr>
              <w:t>Potential Impact on Foul Sewer Infrastructure - Network Improvements may be required.</w:t>
            </w:r>
          </w:p>
          <w:p w14:paraId="0E034A73" w14:textId="77777777" w:rsidR="004466EB" w:rsidRPr="005437C6" w:rsidRDefault="004466EB" w:rsidP="00E44687">
            <w:pPr>
              <w:keepNext w:val="0"/>
              <w:numPr>
                <w:ilvl w:val="0"/>
                <w:numId w:val="358"/>
              </w:numPr>
              <w:spacing w:before="0" w:line="276" w:lineRule="auto"/>
              <w:ind w:left="466" w:hanging="283"/>
              <w:contextualSpacing/>
              <w:jc w:val="left"/>
              <w:rPr>
                <w:rFonts w:cs="Arial"/>
                <w:color w:val="0070C0"/>
                <w:szCs w:val="24"/>
              </w:rPr>
            </w:pPr>
            <w:r w:rsidRPr="005437C6">
              <w:rPr>
                <w:rFonts w:cs="Arial"/>
                <w:color w:val="0070C0"/>
                <w:szCs w:val="24"/>
              </w:rPr>
              <w:t>Potential Impact on Surface Water Sewer Infrastructure - Network Improvements may be required.</w:t>
            </w:r>
          </w:p>
          <w:p w14:paraId="2F4BE629" w14:textId="77777777" w:rsidR="004466EB" w:rsidRPr="005437C6" w:rsidRDefault="004466EB" w:rsidP="00E44687">
            <w:pPr>
              <w:keepNext w:val="0"/>
              <w:spacing w:before="0" w:line="276" w:lineRule="auto"/>
              <w:jc w:val="left"/>
              <w:rPr>
                <w:rFonts w:cs="Arial"/>
                <w:color w:val="0070C0"/>
                <w:szCs w:val="24"/>
              </w:rPr>
            </w:pPr>
          </w:p>
          <w:p w14:paraId="0DC97835"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Access to other utilities is generally assumed to be non-constrained.</w:t>
            </w:r>
          </w:p>
          <w:p w14:paraId="05153D68" w14:textId="77777777" w:rsidR="004466EB" w:rsidRPr="005437C6" w:rsidRDefault="004466EB" w:rsidP="00E44687">
            <w:pPr>
              <w:keepNext w:val="0"/>
              <w:spacing w:before="0" w:line="276" w:lineRule="auto"/>
              <w:jc w:val="left"/>
              <w:rPr>
                <w:rFonts w:cs="Arial"/>
                <w:color w:val="0070C0"/>
                <w:szCs w:val="24"/>
              </w:rPr>
            </w:pPr>
          </w:p>
        </w:tc>
      </w:tr>
      <w:tr w:rsidR="005437C6" w:rsidRPr="005437C6" w14:paraId="04610C4C" w14:textId="77777777">
        <w:tc>
          <w:tcPr>
            <w:tcW w:w="2263" w:type="dxa"/>
            <w:shd w:val="clear" w:color="auto" w:fill="D9D9D9"/>
          </w:tcPr>
          <w:p w14:paraId="585603B6"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Public Open Space Requirements</w:t>
            </w:r>
          </w:p>
          <w:p w14:paraId="76D95513" w14:textId="77777777" w:rsidR="004466EB" w:rsidRPr="00E56F9C" w:rsidRDefault="004466EB" w:rsidP="00E44687">
            <w:pPr>
              <w:keepNext w:val="0"/>
              <w:spacing w:before="0" w:line="276" w:lineRule="auto"/>
              <w:jc w:val="left"/>
              <w:rPr>
                <w:rFonts w:cs="Arial"/>
                <w:b/>
                <w:bCs/>
                <w:color w:val="005EAC"/>
                <w:szCs w:val="24"/>
              </w:rPr>
            </w:pPr>
          </w:p>
          <w:p w14:paraId="0AA1B2B1"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S12</w:t>
            </w:r>
          </w:p>
          <w:p w14:paraId="7850DC48" w14:textId="77777777" w:rsidR="004466EB" w:rsidRPr="00E56F9C" w:rsidRDefault="004466EB" w:rsidP="00E44687">
            <w:pPr>
              <w:keepNext w:val="0"/>
              <w:spacing w:before="0" w:line="276" w:lineRule="auto"/>
              <w:jc w:val="left"/>
              <w:rPr>
                <w:rFonts w:cs="Arial"/>
                <w:color w:val="005EAC"/>
                <w:sz w:val="22"/>
              </w:rPr>
            </w:pPr>
          </w:p>
          <w:p w14:paraId="511FA7E6" w14:textId="77777777" w:rsidR="004466EB" w:rsidRPr="00E56F9C" w:rsidRDefault="004466EB" w:rsidP="00E44687">
            <w:pPr>
              <w:keepNext w:val="0"/>
              <w:spacing w:before="0" w:line="276" w:lineRule="auto"/>
              <w:jc w:val="left"/>
              <w:rPr>
                <w:rFonts w:cs="Arial"/>
                <w:color w:val="005EAC"/>
                <w:szCs w:val="24"/>
              </w:rPr>
            </w:pPr>
            <w:r w:rsidRPr="00E56F9C">
              <w:rPr>
                <w:rFonts w:cs="Arial"/>
                <w:color w:val="005EAC"/>
                <w:sz w:val="22"/>
              </w:rPr>
              <w:t>Development Management Policies: H5, SD5</w:t>
            </w:r>
          </w:p>
        </w:tc>
        <w:tc>
          <w:tcPr>
            <w:tcW w:w="7479" w:type="dxa"/>
          </w:tcPr>
          <w:p w14:paraId="4678F234"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 site should accommodate a minimum of </w:t>
            </w:r>
            <w:r w:rsidRPr="005437C6">
              <w:rPr>
                <w:rFonts w:cs="Arial"/>
                <w:b/>
                <w:bCs/>
                <w:color w:val="0070C0"/>
                <w:szCs w:val="24"/>
              </w:rPr>
              <w:t xml:space="preserve">10% </w:t>
            </w:r>
            <w:r w:rsidRPr="005437C6">
              <w:rPr>
                <w:rFonts w:cs="Arial"/>
                <w:color w:val="0070C0"/>
                <w:szCs w:val="24"/>
              </w:rPr>
              <w:t xml:space="preserve">recreational space for community use, approximately </w:t>
            </w:r>
            <w:r w:rsidRPr="005437C6">
              <w:rPr>
                <w:rFonts w:cs="Arial"/>
                <w:b/>
                <w:bCs/>
                <w:color w:val="0070C0"/>
                <w:szCs w:val="24"/>
              </w:rPr>
              <w:t>1.46</w:t>
            </w:r>
            <w:r w:rsidRPr="005437C6">
              <w:rPr>
                <w:rFonts w:cs="Arial"/>
                <w:color w:val="0070C0"/>
                <w:szCs w:val="24"/>
              </w:rPr>
              <w:t xml:space="preserve"> </w:t>
            </w:r>
            <w:r w:rsidRPr="005437C6">
              <w:rPr>
                <w:rFonts w:cs="Arial"/>
                <w:b/>
                <w:bCs/>
                <w:color w:val="0070C0"/>
                <w:szCs w:val="24"/>
              </w:rPr>
              <w:t xml:space="preserve">ha </w:t>
            </w:r>
            <w:r w:rsidRPr="005437C6">
              <w:rPr>
                <w:rFonts w:cs="Arial"/>
                <w:color w:val="0070C0"/>
                <w:szCs w:val="24"/>
              </w:rPr>
              <w:t>from all phases of Development. This may take the form of:</w:t>
            </w:r>
          </w:p>
          <w:p w14:paraId="28F091F4"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301C080C"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Informal recreational open space</w:t>
            </w:r>
          </w:p>
          <w:p w14:paraId="3E6D75FF"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Outdoor sports facilities</w:t>
            </w:r>
          </w:p>
          <w:p w14:paraId="085495FA"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Play space</w:t>
            </w:r>
          </w:p>
          <w:p w14:paraId="300A3F3C"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Cemeteries</w:t>
            </w:r>
          </w:p>
          <w:p w14:paraId="1428A91B"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Allotments</w:t>
            </w:r>
          </w:p>
          <w:p w14:paraId="76EC2F25"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Natural spaces</w:t>
            </w:r>
          </w:p>
          <w:p w14:paraId="5DD9A370"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Areas of public realm</w:t>
            </w:r>
          </w:p>
          <w:p w14:paraId="015FE96A" w14:textId="77777777" w:rsidR="004466EB" w:rsidRPr="005437C6" w:rsidRDefault="004466EB" w:rsidP="00E44687">
            <w:pPr>
              <w:keepNext w:val="0"/>
              <w:spacing w:before="0" w:line="276" w:lineRule="auto"/>
              <w:jc w:val="left"/>
              <w:rPr>
                <w:rFonts w:cs="Arial"/>
                <w:color w:val="0070C0"/>
                <w:szCs w:val="24"/>
              </w:rPr>
            </w:pPr>
          </w:p>
          <w:p w14:paraId="578A464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On site park/recreation ground with a neighbourhood play area and neighbourhood young people’s area to be provided on site. This space should be overlooked by development to aid security and encourage activity.</w:t>
            </w:r>
          </w:p>
          <w:p w14:paraId="6EB7B3B0"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87569B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A contribution towards public realm improvements may also be sought from this site in line with Local Plan policy.</w:t>
            </w:r>
          </w:p>
          <w:p w14:paraId="6B645D6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tc>
      </w:tr>
    </w:tbl>
    <w:p w14:paraId="1A217017"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27BF634A"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noProof/>
          <w:color w:val="0070C0"/>
          <w:szCs w:val="24"/>
          <w:lang w:eastAsia="en-US"/>
        </w:rPr>
        <w:lastRenderedPageBreak/>
        <w:drawing>
          <wp:inline distT="0" distB="0" distL="0" distR="0" wp14:anchorId="7A86C17D" wp14:editId="1EB9D8C4">
            <wp:extent cx="6106377" cy="8745170"/>
            <wp:effectExtent l="0" t="0" r="8890" b="0"/>
            <wp:docPr id="719529917" name="Picture 1" descr="Design considerations for allocation H1Si - North of Kingsmill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29917" name="Picture 1" descr="Design considerations for allocation H1Si - North of Kingsmill Hospital"/>
                    <pic:cNvPicPr/>
                  </pic:nvPicPr>
                  <pic:blipFill>
                    <a:blip r:embed="rId118"/>
                    <a:stretch>
                      <a:fillRect/>
                    </a:stretch>
                  </pic:blipFill>
                  <pic:spPr>
                    <a:xfrm>
                      <a:off x="0" y="0"/>
                      <a:ext cx="6106377" cy="8745170"/>
                    </a:xfrm>
                    <a:prstGeom prst="rect">
                      <a:avLst/>
                    </a:prstGeom>
                  </pic:spPr>
                </pic:pic>
              </a:graphicData>
            </a:graphic>
          </wp:inline>
        </w:drawing>
      </w:r>
    </w:p>
    <w:p w14:paraId="7450CD58"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lastRenderedPageBreak/>
        <w:t>Residential Masterplan</w:t>
      </w:r>
    </w:p>
    <w:p w14:paraId="5AE2A366"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t>H1Sk - Sunnyside Farm</w:t>
      </w:r>
    </w:p>
    <w:p w14:paraId="43A378C4"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715CC294" w14:textId="77777777" w:rsidR="004466EB" w:rsidRPr="005437C6" w:rsidRDefault="004466EB" w:rsidP="004466EB">
      <w:pPr>
        <w:keepNext w:val="0"/>
        <w:spacing w:before="0" w:after="160" w:line="276" w:lineRule="auto"/>
        <w:jc w:val="both"/>
        <w:rPr>
          <w:rFonts w:eastAsia="Calibri" w:cs="Arial"/>
          <w:color w:val="0070C0"/>
          <w:szCs w:val="24"/>
          <w:lang w:eastAsia="en-US"/>
        </w:rPr>
      </w:pPr>
      <w:r w:rsidRPr="005437C6">
        <w:rPr>
          <w:rFonts w:eastAsia="Calibri" w:cs="Arial"/>
          <w:color w:val="0070C0"/>
          <w:szCs w:val="24"/>
          <w:lang w:eastAsia="en-US"/>
        </w:rPr>
        <w:t xml:space="preserve">This concise masterplan is intended to help guide the design of future development alongside the Local Plan and Neighbourhood Plan policies, and relevant Supplementary Planning Documents (SPDs)/ Council Guidance Notes. </w:t>
      </w:r>
    </w:p>
    <w:p w14:paraId="0EA19DA2"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6928F8AF"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color w:val="0070C0"/>
          <w:szCs w:val="24"/>
          <w:lang w:eastAsia="en-US"/>
        </w:rPr>
        <w:t>Site Location and Surrounding Area</w:t>
      </w:r>
    </w:p>
    <w:tbl>
      <w:tblPr>
        <w:tblStyle w:val="TableGrid6"/>
        <w:tblW w:w="0" w:type="auto"/>
        <w:tblLook w:val="04A0" w:firstRow="1" w:lastRow="0" w:firstColumn="1" w:lastColumn="0" w:noHBand="0" w:noVBand="1"/>
      </w:tblPr>
      <w:tblGrid>
        <w:gridCol w:w="1975"/>
        <w:gridCol w:w="3053"/>
        <w:gridCol w:w="2446"/>
        <w:gridCol w:w="2155"/>
      </w:tblGrid>
      <w:tr w:rsidR="005437C6" w:rsidRPr="005437C6" w14:paraId="45249D0E" w14:textId="77777777">
        <w:trPr>
          <w:trHeight w:val="514"/>
        </w:trPr>
        <w:tc>
          <w:tcPr>
            <w:tcW w:w="2003" w:type="dxa"/>
            <w:shd w:val="clear" w:color="auto" w:fill="D9D9D9"/>
          </w:tcPr>
          <w:p w14:paraId="63D9518D"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Name: </w:t>
            </w:r>
          </w:p>
        </w:tc>
        <w:tc>
          <w:tcPr>
            <w:tcW w:w="3095" w:type="dxa"/>
          </w:tcPr>
          <w:p w14:paraId="231A715B"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Sunnyside Farm</w:t>
            </w:r>
          </w:p>
        </w:tc>
        <w:tc>
          <w:tcPr>
            <w:tcW w:w="2466" w:type="dxa"/>
            <w:shd w:val="clear" w:color="auto" w:fill="D9D9D9"/>
          </w:tcPr>
          <w:p w14:paraId="487B6F73"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Site Allocation Ref:  </w:t>
            </w:r>
          </w:p>
        </w:tc>
        <w:tc>
          <w:tcPr>
            <w:tcW w:w="2178" w:type="dxa"/>
          </w:tcPr>
          <w:p w14:paraId="426F5BE1"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H1Sk</w:t>
            </w:r>
          </w:p>
        </w:tc>
      </w:tr>
      <w:tr w:rsidR="005437C6" w:rsidRPr="005437C6" w14:paraId="3403056B" w14:textId="77777777">
        <w:trPr>
          <w:trHeight w:val="619"/>
        </w:trPr>
        <w:tc>
          <w:tcPr>
            <w:tcW w:w="2003" w:type="dxa"/>
            <w:shd w:val="clear" w:color="auto" w:fill="D9D9D9"/>
          </w:tcPr>
          <w:p w14:paraId="28AA0584"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Total Area:  </w:t>
            </w:r>
          </w:p>
        </w:tc>
        <w:tc>
          <w:tcPr>
            <w:tcW w:w="3095" w:type="dxa"/>
          </w:tcPr>
          <w:p w14:paraId="1DA27438" w14:textId="77777777" w:rsidR="004466EB" w:rsidRPr="005437C6" w:rsidRDefault="004466EB">
            <w:pPr>
              <w:keepNext w:val="0"/>
              <w:spacing w:before="0" w:line="276" w:lineRule="auto"/>
              <w:rPr>
                <w:rFonts w:cs="Arial"/>
                <w:color w:val="0070C0"/>
                <w:szCs w:val="24"/>
              </w:rPr>
            </w:pPr>
            <w:r w:rsidRPr="005437C6">
              <w:rPr>
                <w:rFonts w:cs="Arial"/>
                <w:color w:val="0070C0"/>
                <w:szCs w:val="24"/>
              </w:rPr>
              <w:t>18.89ha</w:t>
            </w:r>
          </w:p>
        </w:tc>
        <w:tc>
          <w:tcPr>
            <w:tcW w:w="2466" w:type="dxa"/>
            <w:shd w:val="clear" w:color="auto" w:fill="D9D9D9"/>
          </w:tcPr>
          <w:p w14:paraId="7C5144F5"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Net Residential Development Area:  </w:t>
            </w:r>
          </w:p>
        </w:tc>
        <w:tc>
          <w:tcPr>
            <w:tcW w:w="2178" w:type="dxa"/>
          </w:tcPr>
          <w:p w14:paraId="54CF692F" w14:textId="77777777" w:rsidR="004466EB" w:rsidRPr="005437C6" w:rsidRDefault="004466EB">
            <w:pPr>
              <w:keepNext w:val="0"/>
              <w:spacing w:before="0" w:line="276" w:lineRule="auto"/>
              <w:rPr>
                <w:rFonts w:cs="Arial"/>
                <w:color w:val="0070C0"/>
                <w:szCs w:val="24"/>
              </w:rPr>
            </w:pPr>
            <w:r w:rsidRPr="005437C6">
              <w:rPr>
                <w:rFonts w:cs="Arial"/>
                <w:color w:val="0070C0"/>
                <w:szCs w:val="24"/>
              </w:rPr>
              <w:t>11.17ha</w:t>
            </w:r>
          </w:p>
        </w:tc>
      </w:tr>
      <w:tr w:rsidR="005437C6" w:rsidRPr="005437C6" w14:paraId="5CCEB624" w14:textId="77777777">
        <w:trPr>
          <w:trHeight w:val="619"/>
        </w:trPr>
        <w:tc>
          <w:tcPr>
            <w:tcW w:w="2003" w:type="dxa"/>
            <w:shd w:val="clear" w:color="auto" w:fill="D9D9D9"/>
          </w:tcPr>
          <w:p w14:paraId="72F3AF70"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OS Grid Ref:  </w:t>
            </w:r>
          </w:p>
        </w:tc>
        <w:tc>
          <w:tcPr>
            <w:tcW w:w="3095" w:type="dxa"/>
          </w:tcPr>
          <w:p w14:paraId="099E462A" w14:textId="77777777" w:rsidR="004466EB" w:rsidRPr="005437C6" w:rsidRDefault="004466EB">
            <w:pPr>
              <w:keepNext w:val="0"/>
              <w:spacing w:before="0" w:line="276" w:lineRule="auto"/>
              <w:rPr>
                <w:rFonts w:cs="Arial"/>
                <w:color w:val="0070C0"/>
                <w:szCs w:val="24"/>
              </w:rPr>
            </w:pPr>
            <w:r w:rsidRPr="005437C6">
              <w:rPr>
                <w:rFonts w:cs="Arial"/>
                <w:color w:val="0070C0"/>
                <w:szCs w:val="24"/>
              </w:rPr>
              <w:t>446018.735, 359331.378</w:t>
            </w:r>
          </w:p>
        </w:tc>
        <w:tc>
          <w:tcPr>
            <w:tcW w:w="2466" w:type="dxa"/>
            <w:shd w:val="clear" w:color="auto" w:fill="D9D9D9"/>
          </w:tcPr>
          <w:p w14:paraId="17F67115"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Potential Yield:  </w:t>
            </w:r>
          </w:p>
        </w:tc>
        <w:tc>
          <w:tcPr>
            <w:tcW w:w="2178" w:type="dxa"/>
          </w:tcPr>
          <w:p w14:paraId="645CF277"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350 dwellings</w:t>
            </w:r>
          </w:p>
        </w:tc>
      </w:tr>
      <w:tr w:rsidR="005437C6" w:rsidRPr="005437C6" w14:paraId="59FCF673" w14:textId="77777777">
        <w:trPr>
          <w:trHeight w:val="619"/>
        </w:trPr>
        <w:tc>
          <w:tcPr>
            <w:tcW w:w="2003" w:type="dxa"/>
            <w:shd w:val="clear" w:color="auto" w:fill="D9D9D9"/>
          </w:tcPr>
          <w:p w14:paraId="012E6709"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Ward:  </w:t>
            </w:r>
          </w:p>
        </w:tc>
        <w:tc>
          <w:tcPr>
            <w:tcW w:w="3095" w:type="dxa"/>
          </w:tcPr>
          <w:p w14:paraId="6C338395"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Huthwaite &amp; Brierley</w:t>
            </w:r>
          </w:p>
        </w:tc>
        <w:tc>
          <w:tcPr>
            <w:tcW w:w="2466" w:type="dxa"/>
            <w:shd w:val="clear" w:color="auto" w:fill="D9D9D9"/>
          </w:tcPr>
          <w:p w14:paraId="0F4BD7A1" w14:textId="77777777" w:rsidR="004466EB" w:rsidRPr="00E56F9C" w:rsidRDefault="004466EB">
            <w:pPr>
              <w:keepNext w:val="0"/>
              <w:spacing w:before="0" w:line="276" w:lineRule="auto"/>
              <w:rPr>
                <w:rFonts w:cs="Arial"/>
                <w:b/>
                <w:bCs/>
                <w:color w:val="005EAC"/>
                <w:szCs w:val="24"/>
              </w:rPr>
            </w:pPr>
            <w:r w:rsidRPr="00E56F9C">
              <w:rPr>
                <w:rFonts w:cs="Arial"/>
                <w:b/>
                <w:bCs/>
                <w:color w:val="005EAC"/>
                <w:szCs w:val="24"/>
              </w:rPr>
              <w:t xml:space="preserve">Greenfield/ Brownfield:  </w:t>
            </w:r>
          </w:p>
        </w:tc>
        <w:tc>
          <w:tcPr>
            <w:tcW w:w="2178" w:type="dxa"/>
          </w:tcPr>
          <w:p w14:paraId="6B9BFB1A" w14:textId="77777777" w:rsidR="004466EB" w:rsidRPr="005437C6" w:rsidRDefault="004466EB">
            <w:pPr>
              <w:keepNext w:val="0"/>
              <w:spacing w:before="0" w:line="276" w:lineRule="auto"/>
              <w:rPr>
                <w:rFonts w:cs="Arial"/>
                <w:b/>
                <w:bCs/>
                <w:color w:val="0070C0"/>
                <w:szCs w:val="24"/>
              </w:rPr>
            </w:pPr>
            <w:r w:rsidRPr="005437C6">
              <w:rPr>
                <w:rFonts w:cs="Arial"/>
                <w:color w:val="0070C0"/>
                <w:szCs w:val="24"/>
              </w:rPr>
              <w:t>Greenfield</w:t>
            </w:r>
          </w:p>
        </w:tc>
      </w:tr>
    </w:tbl>
    <w:p w14:paraId="58878A18"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62C99F45"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noProof/>
          <w:color w:val="0070C0"/>
          <w:szCs w:val="22"/>
          <w:lang w:eastAsia="en-US"/>
        </w:rPr>
        <w:drawing>
          <wp:inline distT="0" distB="0" distL="0" distR="0" wp14:anchorId="5ABD9086" wp14:editId="355E3CCC">
            <wp:extent cx="6305550" cy="4439490"/>
            <wp:effectExtent l="0" t="0" r="0" b="0"/>
            <wp:docPr id="1426552454" name="Picture 1426552454" descr="A aerial view of a farm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aerial view of a farm lan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312943" cy="4444695"/>
                    </a:xfrm>
                    <a:prstGeom prst="rect">
                      <a:avLst/>
                    </a:prstGeom>
                    <a:noFill/>
                    <a:ln>
                      <a:noFill/>
                    </a:ln>
                  </pic:spPr>
                </pic:pic>
              </a:graphicData>
            </a:graphic>
          </wp:inline>
        </w:drawing>
      </w:r>
    </w:p>
    <w:p w14:paraId="6BF01120" w14:textId="77777777" w:rsidR="004466EB" w:rsidRPr="005437C6" w:rsidRDefault="004466EB" w:rsidP="004466EB">
      <w:pPr>
        <w:keepNext w:val="0"/>
        <w:spacing w:before="0" w:after="160" w:line="276" w:lineRule="auto"/>
        <w:rPr>
          <w:rFonts w:eastAsia="Calibri" w:cs="Arial"/>
          <w:color w:val="0070C0"/>
          <w:szCs w:val="24"/>
          <w:lang w:eastAsia="en-US"/>
        </w:rPr>
      </w:pPr>
      <w:r w:rsidRPr="005437C6">
        <w:rPr>
          <w:rFonts w:eastAsia="Calibri" w:cs="Arial"/>
          <w:color w:val="0070C0"/>
          <w:szCs w:val="24"/>
          <w:lang w:eastAsia="en-US"/>
        </w:rPr>
        <w:lastRenderedPageBreak/>
        <w:t xml:space="preserve">The site is predominantly undeveloped countryside with a farmhouse and related buildings located off Blackwell Road (B6026) to the south. There are residential properties to the north located on Chesterfield Road and employment to the south off Blackwell Road. A variety of mature trees and hedgerow boundaries are located on the site. </w:t>
      </w:r>
    </w:p>
    <w:p w14:paraId="73CDEA83"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There is currently no existing access to local services by walking (within 800m / 10 minutes). There are also limited public transport connections (within 30 minutes travel time), as is outside the core hourly/half hourly public transport network.</w:t>
      </w:r>
    </w:p>
    <w:p w14:paraId="3DAAA764"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56E46E49"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 xml:space="preserve">The northern part of the site is within 480 m (6 mins) of a neighbourhood park.  </w:t>
      </w:r>
      <w:proofErr w:type="gramStart"/>
      <w:r w:rsidRPr="005437C6">
        <w:rPr>
          <w:rFonts w:eastAsia="Calibri" w:cs="Arial"/>
          <w:color w:val="0070C0"/>
          <w:szCs w:val="24"/>
          <w:lang w:eastAsia="en-US"/>
        </w:rPr>
        <w:t>The majority of</w:t>
      </w:r>
      <w:proofErr w:type="gramEnd"/>
      <w:r w:rsidRPr="005437C6">
        <w:rPr>
          <w:rFonts w:eastAsia="Calibri" w:cs="Arial"/>
          <w:color w:val="0070C0"/>
          <w:szCs w:val="24"/>
          <w:lang w:eastAsia="en-US"/>
        </w:rPr>
        <w:t xml:space="preserve"> the site is within 1000 m of a destination park – Huthwaite Welfare Grounds.</w:t>
      </w:r>
    </w:p>
    <w:p w14:paraId="1467C0E3"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6B5F7A30" w14:textId="77777777" w:rsidR="004466EB" w:rsidRPr="005437C6" w:rsidRDefault="004466EB" w:rsidP="004466EB">
      <w:pPr>
        <w:keepNext w:val="0"/>
        <w:autoSpaceDE w:val="0"/>
        <w:autoSpaceDN w:val="0"/>
        <w:adjustRightInd w:val="0"/>
        <w:spacing w:before="0" w:line="276" w:lineRule="auto"/>
        <w:rPr>
          <w:rFonts w:eastAsia="Calibri" w:cs="Arial"/>
          <w:b/>
          <w:bCs/>
          <w:color w:val="0070C0"/>
          <w:szCs w:val="24"/>
          <w:lang w:eastAsia="en-US"/>
        </w:rPr>
      </w:pPr>
      <w:r w:rsidRPr="005437C6">
        <w:rPr>
          <w:rFonts w:eastAsia="Calibri" w:cs="Arial"/>
          <w:b/>
          <w:bCs/>
          <w:color w:val="0070C0"/>
          <w:szCs w:val="24"/>
          <w:lang w:eastAsia="en-US"/>
        </w:rPr>
        <w:t>Existing Characteristics, Development Opportunities and Requirements</w:t>
      </w:r>
    </w:p>
    <w:p w14:paraId="48DF6658"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3D660ED1"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 xml:space="preserve">The site contains </w:t>
      </w:r>
      <w:proofErr w:type="gramStart"/>
      <w:r w:rsidRPr="005437C6">
        <w:rPr>
          <w:rFonts w:eastAsia="Calibri" w:cs="Arial"/>
          <w:color w:val="0070C0"/>
          <w:szCs w:val="24"/>
          <w:lang w:eastAsia="en-US"/>
        </w:rPr>
        <w:t>a number of</w:t>
      </w:r>
      <w:proofErr w:type="gramEnd"/>
      <w:r w:rsidRPr="005437C6">
        <w:rPr>
          <w:rFonts w:eastAsia="Calibri" w:cs="Arial"/>
          <w:color w:val="0070C0"/>
          <w:szCs w:val="24"/>
          <w:lang w:eastAsia="en-US"/>
        </w:rPr>
        <w:t xml:space="preserve"> characteristics, features and constraints that future development must consider. Key Local Plan Policy requirements for this site are set out </w:t>
      </w:r>
      <w:proofErr w:type="gramStart"/>
      <w:r w:rsidRPr="005437C6">
        <w:rPr>
          <w:rFonts w:eastAsia="Calibri" w:cs="Arial"/>
          <w:color w:val="0070C0"/>
          <w:szCs w:val="24"/>
          <w:lang w:eastAsia="en-US"/>
        </w:rPr>
        <w:t>below,</w:t>
      </w:r>
      <w:proofErr w:type="gramEnd"/>
      <w:r w:rsidRPr="005437C6">
        <w:rPr>
          <w:rFonts w:eastAsia="Calibri" w:cs="Arial"/>
          <w:color w:val="0070C0"/>
          <w:szCs w:val="24"/>
          <w:lang w:eastAsia="en-US"/>
        </w:rPr>
        <w:t xml:space="preserve"> however it should be noted that the Local Plan should be read </w:t>
      </w:r>
      <w:proofErr w:type="gramStart"/>
      <w:r w:rsidRPr="005437C6">
        <w:rPr>
          <w:rFonts w:eastAsia="Calibri" w:cs="Arial"/>
          <w:color w:val="0070C0"/>
          <w:szCs w:val="24"/>
          <w:lang w:eastAsia="en-US"/>
        </w:rPr>
        <w:t>as a whole including</w:t>
      </w:r>
      <w:proofErr w:type="gramEnd"/>
      <w:r w:rsidRPr="005437C6">
        <w:rPr>
          <w:rFonts w:eastAsia="Calibri" w:cs="Arial"/>
          <w:color w:val="0070C0"/>
          <w:szCs w:val="24"/>
          <w:lang w:eastAsia="en-US"/>
        </w:rPr>
        <w:t xml:space="preserve"> any other relevant policies. </w:t>
      </w:r>
    </w:p>
    <w:p w14:paraId="0F534165"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08006E86"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Contributions towards local infrastructure that is needed to support the development will be negotiated through a Section 106 legal agreement.  Where appropriate, the Council will seek contributions for education, health, libraries, waste and transport infrastructure in consultation with the County Council, NHS Nottingham and Nottinghamshire Integrated Care Board (ICB).  Contributions towards other infrastructure and facilities will be considered on a site-by-site basis, and may include:</w:t>
      </w:r>
    </w:p>
    <w:p w14:paraId="139CD250"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023D136B"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 xml:space="preserve">the regeneration of town centres; </w:t>
      </w:r>
    </w:p>
    <w:p w14:paraId="7C1EA6DD"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provision of appropriate sport and recreation facilities, new and improved open space, improving quality and access to green and blue infrastructure;</w:t>
      </w:r>
    </w:p>
    <w:p w14:paraId="3EF478EE"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conservation and enhancement of the historic environment;</w:t>
      </w:r>
    </w:p>
    <w:p w14:paraId="43D00A9E"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tackling climate change including flooding or water quality;</w:t>
      </w:r>
    </w:p>
    <w:p w14:paraId="1F34262B"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cross-boundary infrastructure to help deliver and mitigate the effects of development;</w:t>
      </w:r>
    </w:p>
    <w:p w14:paraId="2EA90023"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supporting service infrastructure.</w:t>
      </w:r>
    </w:p>
    <w:p w14:paraId="24770141"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tbl>
      <w:tblPr>
        <w:tblStyle w:val="TableGrid6"/>
        <w:tblW w:w="0" w:type="auto"/>
        <w:tblLook w:val="04A0" w:firstRow="1" w:lastRow="0" w:firstColumn="1" w:lastColumn="0" w:noHBand="0" w:noVBand="1"/>
      </w:tblPr>
      <w:tblGrid>
        <w:gridCol w:w="2254"/>
        <w:gridCol w:w="7375"/>
      </w:tblGrid>
      <w:tr w:rsidR="005437C6" w:rsidRPr="005437C6" w14:paraId="0F6125A2" w14:textId="77777777">
        <w:tc>
          <w:tcPr>
            <w:tcW w:w="2263" w:type="dxa"/>
            <w:shd w:val="clear" w:color="auto" w:fill="D9D9D9"/>
          </w:tcPr>
          <w:p w14:paraId="0477D97B"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Location, Design &amp; Density</w:t>
            </w:r>
          </w:p>
          <w:p w14:paraId="04DF0660" w14:textId="77777777" w:rsidR="004466EB" w:rsidRPr="00E56F9C" w:rsidRDefault="004466EB" w:rsidP="00E44687">
            <w:pPr>
              <w:keepNext w:val="0"/>
              <w:spacing w:before="0" w:line="276" w:lineRule="auto"/>
              <w:jc w:val="left"/>
              <w:rPr>
                <w:rFonts w:cs="Arial"/>
                <w:b/>
                <w:bCs/>
                <w:color w:val="005EAC"/>
                <w:szCs w:val="24"/>
              </w:rPr>
            </w:pPr>
          </w:p>
          <w:p w14:paraId="7B04374F"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Policies:</w:t>
            </w:r>
          </w:p>
          <w:p w14:paraId="6BCAD8DE"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S2, S3, S5, S9, S12, S13, S14</w:t>
            </w:r>
          </w:p>
          <w:p w14:paraId="5FEEB090" w14:textId="77777777" w:rsidR="004466EB" w:rsidRPr="00E56F9C" w:rsidRDefault="004466EB" w:rsidP="00E44687">
            <w:pPr>
              <w:keepNext w:val="0"/>
              <w:spacing w:before="0" w:line="276" w:lineRule="auto"/>
              <w:jc w:val="left"/>
              <w:rPr>
                <w:rFonts w:cs="Arial"/>
                <w:color w:val="005EAC"/>
                <w:sz w:val="22"/>
              </w:rPr>
            </w:pPr>
          </w:p>
          <w:p w14:paraId="62F85E26"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6D40CFD6"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lastRenderedPageBreak/>
              <w:t>CC1, EV6, EV9, H7, SD2, SD3, SD9, SD10</w:t>
            </w:r>
          </w:p>
        </w:tc>
        <w:tc>
          <w:tcPr>
            <w:tcW w:w="7479" w:type="dxa"/>
          </w:tcPr>
          <w:p w14:paraId="6A72447E"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lastRenderedPageBreak/>
              <w:t xml:space="preserve">The site is located on the urban fringe of Huthwaite, and so development should ensure a lower density in line with Local Plan policy. </w:t>
            </w:r>
          </w:p>
          <w:p w14:paraId="3CBA8A70"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5B5DBD68"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There is opportunity to enhance the frontage on Blackwell Road through the following:</w:t>
            </w:r>
          </w:p>
          <w:p w14:paraId="36382D00"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24233A42" w14:textId="77777777" w:rsidR="004466EB" w:rsidRPr="005437C6" w:rsidRDefault="004466EB" w:rsidP="00E44687">
            <w:pPr>
              <w:keepNext w:val="0"/>
              <w:numPr>
                <w:ilvl w:val="0"/>
                <w:numId w:val="381"/>
              </w:numPr>
              <w:autoSpaceDE w:val="0"/>
              <w:autoSpaceDN w:val="0"/>
              <w:adjustRightInd w:val="0"/>
              <w:spacing w:before="0" w:line="276" w:lineRule="auto"/>
              <w:jc w:val="left"/>
              <w:rPr>
                <w:rFonts w:cs="Arial"/>
                <w:color w:val="0070C0"/>
                <w:szCs w:val="24"/>
              </w:rPr>
            </w:pPr>
            <w:r w:rsidRPr="005437C6">
              <w:rPr>
                <w:rFonts w:cs="Arial"/>
                <w:color w:val="0070C0"/>
                <w:szCs w:val="24"/>
              </w:rPr>
              <w:t>Appropriate landscaping and visual interest alongside site boundaries.</w:t>
            </w:r>
          </w:p>
          <w:p w14:paraId="767EC6F9" w14:textId="77777777" w:rsidR="004466EB" w:rsidRPr="005437C6" w:rsidRDefault="004466EB" w:rsidP="00E44687">
            <w:pPr>
              <w:keepNext w:val="0"/>
              <w:numPr>
                <w:ilvl w:val="0"/>
                <w:numId w:val="381"/>
              </w:numPr>
              <w:autoSpaceDE w:val="0"/>
              <w:autoSpaceDN w:val="0"/>
              <w:adjustRightInd w:val="0"/>
              <w:spacing w:before="0" w:line="276" w:lineRule="auto"/>
              <w:jc w:val="left"/>
              <w:rPr>
                <w:rFonts w:cs="Arial"/>
                <w:color w:val="0070C0"/>
                <w:szCs w:val="24"/>
              </w:rPr>
            </w:pPr>
            <w:r w:rsidRPr="005437C6">
              <w:rPr>
                <w:rFonts w:cs="Arial"/>
                <w:color w:val="0070C0"/>
                <w:szCs w:val="24"/>
              </w:rPr>
              <w:lastRenderedPageBreak/>
              <w:t>Materials and boundary treatments should be of a high-quality design to create a positive visual contribution.</w:t>
            </w:r>
          </w:p>
          <w:p w14:paraId="78A425DB" w14:textId="77777777" w:rsidR="004466EB" w:rsidRPr="005437C6" w:rsidRDefault="004466EB" w:rsidP="00E44687">
            <w:pPr>
              <w:keepNext w:val="0"/>
              <w:numPr>
                <w:ilvl w:val="0"/>
                <w:numId w:val="381"/>
              </w:numPr>
              <w:autoSpaceDE w:val="0"/>
              <w:autoSpaceDN w:val="0"/>
              <w:adjustRightInd w:val="0"/>
              <w:spacing w:before="0" w:line="276" w:lineRule="auto"/>
              <w:jc w:val="left"/>
              <w:rPr>
                <w:rFonts w:cs="Arial"/>
                <w:color w:val="0070C0"/>
                <w:szCs w:val="24"/>
              </w:rPr>
            </w:pPr>
            <w:r w:rsidRPr="005437C6">
              <w:rPr>
                <w:rFonts w:cs="Arial"/>
                <w:color w:val="0070C0"/>
                <w:szCs w:val="24"/>
              </w:rPr>
              <w:t>Consideration should be given to the orientation, roof type and scale of built form to ensure development appears integrated into its surroundings and reflective of the local vernacular.</w:t>
            </w:r>
          </w:p>
          <w:p w14:paraId="4C4D35DF" w14:textId="77777777" w:rsidR="004466EB" w:rsidRPr="005437C6" w:rsidRDefault="004466EB" w:rsidP="00E44687">
            <w:pPr>
              <w:keepNext w:val="0"/>
              <w:numPr>
                <w:ilvl w:val="0"/>
                <w:numId w:val="381"/>
              </w:numPr>
              <w:autoSpaceDE w:val="0"/>
              <w:autoSpaceDN w:val="0"/>
              <w:adjustRightInd w:val="0"/>
              <w:spacing w:before="0" w:line="276" w:lineRule="auto"/>
              <w:jc w:val="left"/>
              <w:rPr>
                <w:rFonts w:cs="Arial"/>
                <w:color w:val="0070C0"/>
                <w:szCs w:val="24"/>
              </w:rPr>
            </w:pPr>
            <w:r w:rsidRPr="005437C6">
              <w:rPr>
                <w:rFonts w:cs="Arial"/>
                <w:color w:val="0070C0"/>
                <w:szCs w:val="24"/>
              </w:rPr>
              <w:t>House types will need to be tailored to fit within the specific topographical features and wider landscape of the site.</w:t>
            </w:r>
          </w:p>
          <w:p w14:paraId="49189AD5"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4FF8A9A8"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There are dog kennels on the opposite side of Blackwell Road which may require specific </w:t>
            </w:r>
            <w:proofErr w:type="gramStart"/>
            <w:r w:rsidRPr="005437C6">
              <w:rPr>
                <w:rFonts w:cs="Arial"/>
                <w:color w:val="0070C0"/>
                <w:szCs w:val="24"/>
              </w:rPr>
              <w:t>on site</w:t>
            </w:r>
            <w:proofErr w:type="gramEnd"/>
            <w:r w:rsidRPr="005437C6">
              <w:rPr>
                <w:rFonts w:cs="Arial"/>
                <w:color w:val="0070C0"/>
                <w:szCs w:val="24"/>
              </w:rPr>
              <w:t xml:space="preserve"> mitigation.</w:t>
            </w:r>
          </w:p>
          <w:p w14:paraId="1191686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125FE1A3"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Any future development scheme would be expected to deliver a minimum density of 30 dwellings / ha in this location.</w:t>
            </w:r>
          </w:p>
          <w:p w14:paraId="035FDAFF"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tc>
      </w:tr>
      <w:tr w:rsidR="005437C6" w:rsidRPr="005437C6" w14:paraId="2E643878" w14:textId="77777777">
        <w:tc>
          <w:tcPr>
            <w:tcW w:w="2263" w:type="dxa"/>
            <w:shd w:val="clear" w:color="auto" w:fill="D9D9D9"/>
          </w:tcPr>
          <w:p w14:paraId="1CED65C9"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Addressing Climate Change</w:t>
            </w:r>
          </w:p>
          <w:p w14:paraId="5A6690C2" w14:textId="77777777" w:rsidR="004466EB" w:rsidRPr="00E56F9C" w:rsidRDefault="004466EB" w:rsidP="00E44687">
            <w:pPr>
              <w:keepNext w:val="0"/>
              <w:spacing w:before="0" w:line="276" w:lineRule="auto"/>
              <w:jc w:val="left"/>
              <w:rPr>
                <w:rFonts w:cs="Arial"/>
                <w:b/>
                <w:bCs/>
                <w:color w:val="005EAC"/>
                <w:szCs w:val="24"/>
              </w:rPr>
            </w:pPr>
          </w:p>
          <w:p w14:paraId="2BCC39EB"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S3</w:t>
            </w:r>
          </w:p>
          <w:p w14:paraId="54D6C53C" w14:textId="77777777" w:rsidR="004466EB" w:rsidRPr="00E56F9C" w:rsidRDefault="004466EB" w:rsidP="00E44687">
            <w:pPr>
              <w:keepNext w:val="0"/>
              <w:spacing w:before="0" w:line="276" w:lineRule="auto"/>
              <w:jc w:val="left"/>
              <w:rPr>
                <w:rFonts w:cs="Arial"/>
                <w:color w:val="005EAC"/>
                <w:sz w:val="22"/>
              </w:rPr>
            </w:pPr>
          </w:p>
          <w:p w14:paraId="4E5978F8"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5982AAB1"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CC1, CC2, CC3, SD4, SD10</w:t>
            </w:r>
          </w:p>
        </w:tc>
        <w:tc>
          <w:tcPr>
            <w:tcW w:w="7479" w:type="dxa"/>
          </w:tcPr>
          <w:p w14:paraId="04DB3806" w14:textId="77777777" w:rsidR="004466EB" w:rsidRPr="005437C6" w:rsidRDefault="004466EB" w:rsidP="00E44687">
            <w:pPr>
              <w:keepNext w:val="0"/>
              <w:spacing w:before="0" w:after="160" w:line="252" w:lineRule="auto"/>
              <w:jc w:val="left"/>
              <w:rPr>
                <w:color w:val="0070C0"/>
              </w:rPr>
            </w:pPr>
            <w:r w:rsidRPr="005437C6">
              <w:rPr>
                <w:rFonts w:cs="Arial"/>
                <w:color w:val="0070C0"/>
                <w:szCs w:val="24"/>
              </w:rPr>
              <w:t xml:space="preserve">Development must reflect the Council’s approach to becoming net-zero carbon by 2050, and accord with the Council’s planning guidance on this aspect, which is available on the website: </w:t>
            </w:r>
            <w:hyperlink r:id="rId120" w:history="1">
              <w:r w:rsidRPr="005437C6">
                <w:rPr>
                  <w:rFonts w:cs="Arial"/>
                  <w:color w:val="0070C0"/>
                  <w:szCs w:val="24"/>
                  <w:u w:val="single"/>
                </w:rPr>
                <w:t>Ashfield District Council Supplementary Planning Documents and Guidance</w:t>
              </w:r>
            </w:hyperlink>
          </w:p>
          <w:p w14:paraId="6900EAFC" w14:textId="77777777" w:rsidR="004466EB" w:rsidRPr="005437C6" w:rsidRDefault="004466EB" w:rsidP="00E44687">
            <w:pPr>
              <w:keepNext w:val="0"/>
              <w:spacing w:before="0" w:after="160" w:line="252" w:lineRule="auto"/>
              <w:jc w:val="left"/>
              <w:rPr>
                <w:rFonts w:cs="Arial"/>
                <w:color w:val="0070C0"/>
                <w:szCs w:val="24"/>
              </w:rPr>
            </w:pPr>
            <w:r w:rsidRPr="005437C6">
              <w:rPr>
                <w:rFonts w:cs="Arial"/>
                <w:color w:val="0070C0"/>
                <w:szCs w:val="24"/>
              </w:rPr>
              <w:t>Key elements to consider include:</w:t>
            </w:r>
          </w:p>
          <w:p w14:paraId="6343B736"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Orientation of buildings to achieve maximum solar gain and integration of solar panels.</w:t>
            </w:r>
          </w:p>
          <w:p w14:paraId="37D88183"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 xml:space="preserve">Planting street trees and other street planting to soften the impact of car parking, help improve air quality and contribute to biodiversity.  </w:t>
            </w:r>
          </w:p>
          <w:p w14:paraId="07ED51D7"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Incorporate rainwater harvesting.</w:t>
            </w:r>
          </w:p>
          <w:p w14:paraId="36695104"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 xml:space="preserve">Provide green space to minimising the increased risk of flooding from all sources </w:t>
            </w:r>
            <w:proofErr w:type="gramStart"/>
            <w:r w:rsidRPr="005437C6">
              <w:rPr>
                <w:rFonts w:cs="Arial"/>
                <w:color w:val="0070C0"/>
                <w:szCs w:val="24"/>
              </w:rPr>
              <w:t>through the use of</w:t>
            </w:r>
            <w:proofErr w:type="gramEnd"/>
            <w:r w:rsidRPr="005437C6">
              <w:rPr>
                <w:rFonts w:cs="Arial"/>
                <w:color w:val="0070C0"/>
                <w:szCs w:val="24"/>
              </w:rPr>
              <w:t xml:space="preserve"> Sustainable Urban drainage (SUDs). </w:t>
            </w:r>
          </w:p>
          <w:p w14:paraId="0155CADE"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Other forms of low carbon technology, such as air source or ground source heat pumps.</w:t>
            </w:r>
          </w:p>
          <w:p w14:paraId="535453E7"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The provision of electric vehicle charging points.</w:t>
            </w:r>
          </w:p>
          <w:p w14:paraId="6523BA08"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eastAsia="Arial" w:cs="Arial"/>
                <w:bCs/>
                <w:color w:val="0070C0"/>
              </w:rPr>
              <w:t>Implementation of water efficiency measures to minimise water consumption, to achieve a requirement of not exceeding 110 litres per person per day.</w:t>
            </w:r>
          </w:p>
          <w:p w14:paraId="26A4A68A"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Sustainable waste management by providing space for recycling and composting</w:t>
            </w:r>
          </w:p>
          <w:p w14:paraId="1595C99D" w14:textId="77777777" w:rsidR="004466EB" w:rsidRPr="005437C6" w:rsidRDefault="004466EB" w:rsidP="00E44687">
            <w:pPr>
              <w:keepNext w:val="0"/>
              <w:spacing w:before="0"/>
              <w:jc w:val="left"/>
              <w:rPr>
                <w:rFonts w:cs="Arial"/>
                <w:color w:val="0070C0"/>
                <w:szCs w:val="24"/>
              </w:rPr>
            </w:pPr>
          </w:p>
        </w:tc>
      </w:tr>
      <w:tr w:rsidR="005437C6" w:rsidRPr="005437C6" w14:paraId="364B1C47" w14:textId="77777777">
        <w:tc>
          <w:tcPr>
            <w:tcW w:w="2263" w:type="dxa"/>
            <w:shd w:val="clear" w:color="auto" w:fill="D9D9D9"/>
          </w:tcPr>
          <w:p w14:paraId="55D7226B"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Access &amp; Transport</w:t>
            </w:r>
          </w:p>
          <w:p w14:paraId="39504002" w14:textId="77777777" w:rsidR="004466EB" w:rsidRPr="00E56F9C" w:rsidRDefault="004466EB" w:rsidP="00E44687">
            <w:pPr>
              <w:keepNext w:val="0"/>
              <w:spacing w:before="0" w:line="276" w:lineRule="auto"/>
              <w:jc w:val="left"/>
              <w:rPr>
                <w:rFonts w:cs="Arial"/>
                <w:b/>
                <w:bCs/>
                <w:color w:val="005EAC"/>
                <w:szCs w:val="24"/>
              </w:rPr>
            </w:pPr>
          </w:p>
          <w:p w14:paraId="56B45E19"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Policies: S2, S9, S10</w:t>
            </w:r>
          </w:p>
          <w:p w14:paraId="608AC8F6" w14:textId="77777777" w:rsidR="004466EB" w:rsidRPr="00E56F9C" w:rsidRDefault="004466EB" w:rsidP="00E44687">
            <w:pPr>
              <w:keepNext w:val="0"/>
              <w:spacing w:before="0" w:line="276" w:lineRule="auto"/>
              <w:jc w:val="left"/>
              <w:rPr>
                <w:rFonts w:cs="Arial"/>
                <w:color w:val="005EAC"/>
                <w:sz w:val="22"/>
              </w:rPr>
            </w:pPr>
          </w:p>
          <w:p w14:paraId="474C6414"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lastRenderedPageBreak/>
              <w:t>Development Management Policies:</w:t>
            </w:r>
          </w:p>
          <w:p w14:paraId="58A81D85"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SD2, SD5, SD10, SD11</w:t>
            </w:r>
          </w:p>
        </w:tc>
        <w:tc>
          <w:tcPr>
            <w:tcW w:w="7479" w:type="dxa"/>
          </w:tcPr>
          <w:p w14:paraId="4481516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lastRenderedPageBreak/>
              <w:t>NCC Highways Requirements:</w:t>
            </w:r>
          </w:p>
          <w:p w14:paraId="301BDCD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37F30AF4" w14:textId="77777777" w:rsidR="004466EB" w:rsidRPr="005437C6" w:rsidRDefault="004466EB" w:rsidP="00E44687">
            <w:pPr>
              <w:keepNext w:val="0"/>
              <w:numPr>
                <w:ilvl w:val="0"/>
                <w:numId w:val="38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This will require 2 points of access off Blackwell Road linked to looped spine road suitable for bus access.</w:t>
            </w:r>
          </w:p>
          <w:p w14:paraId="01F801FE" w14:textId="77777777" w:rsidR="004466EB" w:rsidRPr="005437C6" w:rsidRDefault="004466EB" w:rsidP="00E44687">
            <w:pPr>
              <w:keepNext w:val="0"/>
              <w:numPr>
                <w:ilvl w:val="0"/>
                <w:numId w:val="38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lastRenderedPageBreak/>
              <w:t>Internal layouts &amp; external interface design must focus on the Department for Transport's LTN1/20 design for cycle infrastructure to integrate cycling with highway improvements and new developments.</w:t>
            </w:r>
          </w:p>
          <w:p w14:paraId="22712E77" w14:textId="77777777" w:rsidR="004466EB" w:rsidRPr="005437C6" w:rsidRDefault="004466EB" w:rsidP="00E44687">
            <w:pPr>
              <w:keepNext w:val="0"/>
              <w:numPr>
                <w:ilvl w:val="0"/>
                <w:numId w:val="38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 xml:space="preserve">A supporting Transport Assessment (TA) that identifies the transportation implications of a new development will be required. This must include measures that will be provided to deal with the anticipated impacts of the scheme in relation to all forms of travel. Provision of offsite improvements to encourage active travel should be an essential part of the TA (e.g., provision of frequent real-time bus stop/shelter facilities). </w:t>
            </w:r>
          </w:p>
          <w:p w14:paraId="6B103FC1" w14:textId="77777777" w:rsidR="004466EB" w:rsidRPr="005437C6" w:rsidRDefault="004466EB" w:rsidP="00E44687">
            <w:pPr>
              <w:keepNext w:val="0"/>
              <w:numPr>
                <w:ilvl w:val="0"/>
                <w:numId w:val="38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Separate to any local remedial / mitigation measures identified as part of a Transport Assessment, a financial strategic contribution may be applicable per dwelling house to deal with the overall cumulative growth &amp; impact on existing infrastructure.</w:t>
            </w:r>
          </w:p>
          <w:p w14:paraId="696ACC9E" w14:textId="77777777" w:rsidR="004466EB" w:rsidRPr="005437C6" w:rsidRDefault="004466EB" w:rsidP="00E44687">
            <w:pPr>
              <w:keepNext w:val="0"/>
              <w:numPr>
                <w:ilvl w:val="0"/>
                <w:numId w:val="386"/>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Parking provision will be crucial to the success and safe operation of this development. Parking standards are based on minimum standards and parking spaces/service areas provided must be robustly justified/evidence based on surveys of comparable sites. Disproportionate use of tandem parking to meet standards will not be accepted as research shows these arrangements are invariably under used causing parking displacement to the public highway.</w:t>
            </w:r>
          </w:p>
          <w:p w14:paraId="4138ACD4"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tc>
      </w:tr>
      <w:tr w:rsidR="005437C6" w:rsidRPr="005437C6" w14:paraId="5A67A225" w14:textId="77777777">
        <w:tc>
          <w:tcPr>
            <w:tcW w:w="2263" w:type="dxa"/>
            <w:shd w:val="clear" w:color="auto" w:fill="D9D9D9"/>
          </w:tcPr>
          <w:p w14:paraId="7A88B2C5"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Rights of Way</w:t>
            </w:r>
          </w:p>
        </w:tc>
        <w:tc>
          <w:tcPr>
            <w:tcW w:w="7479" w:type="dxa"/>
          </w:tcPr>
          <w:p w14:paraId="693F2DBE"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Right of way Sutton in Ashfield FP29 crosses the site from east to west.</w:t>
            </w:r>
          </w:p>
          <w:p w14:paraId="37CACDBB" w14:textId="77777777" w:rsidR="004466EB" w:rsidRPr="005437C6" w:rsidRDefault="004466EB" w:rsidP="00E44687">
            <w:pPr>
              <w:keepNext w:val="0"/>
              <w:spacing w:before="0" w:line="276" w:lineRule="auto"/>
              <w:jc w:val="left"/>
              <w:rPr>
                <w:rFonts w:cs="Arial"/>
                <w:color w:val="0070C0"/>
                <w:szCs w:val="24"/>
              </w:rPr>
            </w:pPr>
          </w:p>
          <w:p w14:paraId="7A435480"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Key elements to consider include:</w:t>
            </w:r>
          </w:p>
          <w:p w14:paraId="040D9CFA" w14:textId="77777777" w:rsidR="004466EB" w:rsidRPr="005437C6" w:rsidRDefault="004466EB" w:rsidP="00E44687">
            <w:pPr>
              <w:keepNext w:val="0"/>
              <w:spacing w:before="0" w:line="276" w:lineRule="auto"/>
              <w:jc w:val="left"/>
              <w:rPr>
                <w:rFonts w:cs="Arial"/>
                <w:color w:val="0070C0"/>
                <w:szCs w:val="24"/>
              </w:rPr>
            </w:pPr>
          </w:p>
          <w:p w14:paraId="194BDAA5" w14:textId="77777777" w:rsidR="004466EB" w:rsidRPr="005437C6" w:rsidRDefault="004466EB" w:rsidP="00E44687">
            <w:pPr>
              <w:keepNext w:val="0"/>
              <w:numPr>
                <w:ilvl w:val="0"/>
                <w:numId w:val="382"/>
              </w:numPr>
              <w:spacing w:before="0" w:line="276" w:lineRule="auto"/>
              <w:contextualSpacing/>
              <w:jc w:val="left"/>
              <w:rPr>
                <w:rFonts w:cs="Arial"/>
                <w:color w:val="0070C0"/>
                <w:szCs w:val="24"/>
              </w:rPr>
            </w:pPr>
            <w:r w:rsidRPr="005437C6">
              <w:rPr>
                <w:rFonts w:cs="Arial"/>
                <w:color w:val="0070C0"/>
                <w:szCs w:val="24"/>
              </w:rPr>
              <w:t>Existing rights of way need to be retained.</w:t>
            </w:r>
          </w:p>
          <w:p w14:paraId="0E0FABC9" w14:textId="77777777" w:rsidR="004466EB" w:rsidRPr="005437C6" w:rsidRDefault="004466EB" w:rsidP="00E44687">
            <w:pPr>
              <w:keepNext w:val="0"/>
              <w:numPr>
                <w:ilvl w:val="0"/>
                <w:numId w:val="382"/>
              </w:numPr>
              <w:spacing w:before="0" w:line="276" w:lineRule="auto"/>
              <w:contextualSpacing/>
              <w:jc w:val="left"/>
              <w:rPr>
                <w:rFonts w:cs="Arial"/>
                <w:color w:val="0070C0"/>
                <w:szCs w:val="24"/>
              </w:rPr>
            </w:pPr>
            <w:r w:rsidRPr="005437C6">
              <w:rPr>
                <w:rFonts w:cs="Arial"/>
                <w:color w:val="0070C0"/>
                <w:szCs w:val="24"/>
              </w:rPr>
              <w:t>Create pedestrian links to existing residential communities, where possible.</w:t>
            </w:r>
          </w:p>
          <w:p w14:paraId="0A3DE835" w14:textId="77777777" w:rsidR="004466EB" w:rsidRPr="005437C6" w:rsidRDefault="004466EB" w:rsidP="00E44687">
            <w:pPr>
              <w:keepNext w:val="0"/>
              <w:numPr>
                <w:ilvl w:val="0"/>
                <w:numId w:val="382"/>
              </w:numPr>
              <w:spacing w:before="0" w:line="276" w:lineRule="auto"/>
              <w:contextualSpacing/>
              <w:jc w:val="left"/>
              <w:rPr>
                <w:rFonts w:cs="Arial"/>
                <w:color w:val="0070C0"/>
                <w:szCs w:val="24"/>
              </w:rPr>
            </w:pPr>
            <w:r w:rsidRPr="005437C6">
              <w:rPr>
                <w:rFonts w:cs="Arial"/>
                <w:color w:val="0070C0"/>
                <w:szCs w:val="24"/>
              </w:rPr>
              <w:t>Secure a good quality pedestrian/ cycle link through the proposed development. Connections should be made to Strawberry Bank to the north.</w:t>
            </w:r>
          </w:p>
          <w:p w14:paraId="0401F6D9" w14:textId="77777777" w:rsidR="004466EB" w:rsidRPr="005437C6" w:rsidRDefault="004466EB" w:rsidP="00E44687">
            <w:pPr>
              <w:keepNext w:val="0"/>
              <w:spacing w:before="0" w:line="276" w:lineRule="auto"/>
              <w:ind w:left="720"/>
              <w:contextualSpacing/>
              <w:jc w:val="left"/>
              <w:rPr>
                <w:rFonts w:cs="Arial"/>
                <w:color w:val="0070C0"/>
                <w:szCs w:val="24"/>
              </w:rPr>
            </w:pPr>
          </w:p>
        </w:tc>
      </w:tr>
      <w:tr w:rsidR="005437C6" w:rsidRPr="005437C6" w14:paraId="4A732EBE" w14:textId="77777777">
        <w:tc>
          <w:tcPr>
            <w:tcW w:w="2263" w:type="dxa"/>
            <w:shd w:val="clear" w:color="auto" w:fill="D9D9D9"/>
          </w:tcPr>
          <w:p w14:paraId="54C451F0"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Topography &amp; Landscape Character</w:t>
            </w:r>
          </w:p>
          <w:p w14:paraId="0A883EA1" w14:textId="77777777" w:rsidR="004466EB" w:rsidRPr="00E56F9C" w:rsidRDefault="004466EB" w:rsidP="00E44687">
            <w:pPr>
              <w:keepNext w:val="0"/>
              <w:spacing w:before="0" w:line="276" w:lineRule="auto"/>
              <w:jc w:val="left"/>
              <w:rPr>
                <w:rFonts w:cs="Arial"/>
                <w:b/>
                <w:bCs/>
                <w:color w:val="005EAC"/>
                <w:szCs w:val="24"/>
              </w:rPr>
            </w:pPr>
          </w:p>
          <w:p w14:paraId="27D7632F"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S13</w:t>
            </w:r>
          </w:p>
          <w:p w14:paraId="0D04BA80" w14:textId="77777777" w:rsidR="004466EB" w:rsidRPr="00E56F9C" w:rsidRDefault="004466EB" w:rsidP="00E44687">
            <w:pPr>
              <w:keepNext w:val="0"/>
              <w:spacing w:before="0" w:line="276" w:lineRule="auto"/>
              <w:jc w:val="left"/>
              <w:rPr>
                <w:rFonts w:cs="Arial"/>
                <w:color w:val="005EAC"/>
                <w:sz w:val="22"/>
              </w:rPr>
            </w:pPr>
          </w:p>
          <w:p w14:paraId="09736B5D"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Development Management Policies:</w:t>
            </w:r>
          </w:p>
          <w:p w14:paraId="2BEA7E5E"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EV4, EV6, EV10, SD2</w:t>
            </w:r>
          </w:p>
        </w:tc>
        <w:tc>
          <w:tcPr>
            <w:tcW w:w="7479" w:type="dxa"/>
          </w:tcPr>
          <w:p w14:paraId="5DFE9CBC"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lastRenderedPageBreak/>
              <w:t>There will be topographical constraints to overcome during design/construction stages. In particular, the north section of the site is very steep and potentially unsuitable for development.</w:t>
            </w:r>
          </w:p>
          <w:p w14:paraId="0BCFC82B"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3D3ED45E" w14:textId="77777777" w:rsidR="004466EB" w:rsidRPr="005437C6" w:rsidRDefault="004466EB" w:rsidP="00E44687">
            <w:pPr>
              <w:keepNext w:val="0"/>
              <w:spacing w:before="0"/>
              <w:jc w:val="left"/>
              <w:rPr>
                <w:color w:val="0070C0"/>
              </w:rPr>
            </w:pPr>
            <w:r w:rsidRPr="005437C6">
              <w:rPr>
                <w:rFonts w:cs="Arial"/>
                <w:color w:val="0070C0"/>
                <w:szCs w:val="24"/>
              </w:rPr>
              <w:lastRenderedPageBreak/>
              <w:t xml:space="preserve">Mature hedgerows and trees are an important characteristic of the site and form </w:t>
            </w:r>
            <w:proofErr w:type="gramStart"/>
            <w:r w:rsidRPr="005437C6">
              <w:rPr>
                <w:rFonts w:cs="Arial"/>
                <w:color w:val="0070C0"/>
                <w:szCs w:val="24"/>
              </w:rPr>
              <w:t>a number of</w:t>
            </w:r>
            <w:proofErr w:type="gramEnd"/>
            <w:r w:rsidRPr="005437C6">
              <w:rPr>
                <w:rFonts w:cs="Arial"/>
                <w:color w:val="0070C0"/>
                <w:szCs w:val="24"/>
              </w:rPr>
              <w:t xml:space="preserve"> boundaries, denoting historic field patterns in this location.</w:t>
            </w:r>
            <w:r w:rsidRPr="005437C6">
              <w:rPr>
                <w:color w:val="0070C0"/>
              </w:rPr>
              <w:t xml:space="preserve"> </w:t>
            </w:r>
          </w:p>
          <w:p w14:paraId="2E65DD36" w14:textId="77777777" w:rsidR="004466EB" w:rsidRPr="005437C6" w:rsidRDefault="004466EB" w:rsidP="00E44687">
            <w:pPr>
              <w:keepNext w:val="0"/>
              <w:spacing w:before="0"/>
              <w:jc w:val="left"/>
              <w:rPr>
                <w:color w:val="0070C0"/>
              </w:rPr>
            </w:pPr>
          </w:p>
          <w:p w14:paraId="14E429E6" w14:textId="77777777" w:rsidR="004466EB" w:rsidRPr="005437C6" w:rsidRDefault="004466EB" w:rsidP="00E44687">
            <w:pPr>
              <w:keepNext w:val="0"/>
              <w:spacing w:before="0"/>
              <w:jc w:val="left"/>
              <w:rPr>
                <w:color w:val="0070C0"/>
              </w:rPr>
            </w:pPr>
            <w:r w:rsidRPr="005437C6">
              <w:rPr>
                <w:color w:val="0070C0"/>
              </w:rPr>
              <w:t xml:space="preserve">An assessment should be undertaken of the existing hedgerows to determine the condition and inform plans for their retention. Where hedgerows are proposed to be removed, these should be replaced within the site for example by strengthening existing boundaries. </w:t>
            </w:r>
          </w:p>
          <w:p w14:paraId="102828C3" w14:textId="77777777" w:rsidR="004466EB" w:rsidRPr="005437C6" w:rsidRDefault="004466EB" w:rsidP="00E44687">
            <w:pPr>
              <w:keepNext w:val="0"/>
              <w:spacing w:before="0"/>
              <w:jc w:val="left"/>
              <w:rPr>
                <w:color w:val="0070C0"/>
              </w:rPr>
            </w:pPr>
          </w:p>
          <w:p w14:paraId="6FB069E6"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 Greater Nottingham Landscape Assessment identifies the site as lying within character area NC07 Stanley and Silverhill.</w:t>
            </w:r>
            <w:r w:rsidRPr="005437C6">
              <w:rPr>
                <w:color w:val="0070C0"/>
              </w:rPr>
              <w:t xml:space="preserve"> </w:t>
            </w:r>
            <w:r w:rsidRPr="005437C6">
              <w:rPr>
                <w:rFonts w:cs="Arial"/>
                <w:color w:val="0070C0"/>
                <w:szCs w:val="24"/>
              </w:rPr>
              <w:t>The landscape condition is GOOD.  The strength of character of this area is MODERATE. The overall landscape strategy is CONSERVE and ENHANCE.</w:t>
            </w:r>
          </w:p>
          <w:p w14:paraId="5DDB8B13"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tc>
      </w:tr>
      <w:tr w:rsidR="005437C6" w:rsidRPr="005437C6" w14:paraId="4FF224DE" w14:textId="77777777">
        <w:tc>
          <w:tcPr>
            <w:tcW w:w="2263" w:type="dxa"/>
            <w:shd w:val="clear" w:color="auto" w:fill="D9D9D9"/>
          </w:tcPr>
          <w:p w14:paraId="3FD51CDE"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Ground Stability &amp; Contamination</w:t>
            </w:r>
          </w:p>
          <w:p w14:paraId="6DC1556D" w14:textId="77777777" w:rsidR="004466EB" w:rsidRPr="00E56F9C" w:rsidRDefault="004466EB" w:rsidP="00E44687">
            <w:pPr>
              <w:keepNext w:val="0"/>
              <w:spacing w:before="0" w:line="276" w:lineRule="auto"/>
              <w:jc w:val="left"/>
              <w:rPr>
                <w:rFonts w:cs="Arial"/>
                <w:b/>
                <w:bCs/>
                <w:color w:val="005EAC"/>
                <w:szCs w:val="24"/>
              </w:rPr>
            </w:pPr>
          </w:p>
          <w:p w14:paraId="2CF71C34"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S2</w:t>
            </w:r>
          </w:p>
          <w:p w14:paraId="1F01B60F" w14:textId="77777777" w:rsidR="004466EB" w:rsidRPr="00E56F9C" w:rsidRDefault="004466EB" w:rsidP="00E44687">
            <w:pPr>
              <w:keepNext w:val="0"/>
              <w:spacing w:before="0" w:line="276" w:lineRule="auto"/>
              <w:jc w:val="left"/>
              <w:rPr>
                <w:rFonts w:cs="Arial"/>
                <w:color w:val="005EAC"/>
                <w:sz w:val="22"/>
              </w:rPr>
            </w:pPr>
          </w:p>
          <w:p w14:paraId="1FB215A6"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SD8</w:t>
            </w:r>
          </w:p>
        </w:tc>
        <w:tc>
          <w:tcPr>
            <w:tcW w:w="7479" w:type="dxa"/>
          </w:tcPr>
          <w:p w14:paraId="0DF53DA0"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Likely ground stability issues - Fault lines shown running across centre of site and north part of site.  Ground stability could be of more significance in localised areas and requires geotechnical investigations.</w:t>
            </w:r>
          </w:p>
          <w:p w14:paraId="1449DF12" w14:textId="77777777" w:rsidR="004466EB" w:rsidRPr="005437C6" w:rsidRDefault="004466EB" w:rsidP="00E44687">
            <w:pPr>
              <w:keepNext w:val="0"/>
              <w:spacing w:before="0" w:line="276" w:lineRule="auto"/>
              <w:jc w:val="left"/>
              <w:rPr>
                <w:rFonts w:cs="Arial"/>
                <w:color w:val="0070C0"/>
                <w:szCs w:val="24"/>
              </w:rPr>
            </w:pPr>
          </w:p>
          <w:p w14:paraId="70FF7500"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Mine shafts run across the site.</w:t>
            </w:r>
          </w:p>
          <w:p w14:paraId="13387B70" w14:textId="77777777" w:rsidR="004466EB" w:rsidRPr="005437C6" w:rsidRDefault="004466EB" w:rsidP="00E44687">
            <w:pPr>
              <w:keepNext w:val="0"/>
              <w:spacing w:before="0" w:line="276" w:lineRule="auto"/>
              <w:jc w:val="left"/>
              <w:rPr>
                <w:rFonts w:cs="Arial"/>
                <w:color w:val="0070C0"/>
                <w:szCs w:val="24"/>
              </w:rPr>
            </w:pPr>
          </w:p>
          <w:p w14:paraId="78E423AB"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 southern part of the site is largely located in a Coal High Risk Area. The site is also within a mineral consultation area.</w:t>
            </w:r>
          </w:p>
          <w:p w14:paraId="633948DC" w14:textId="77777777" w:rsidR="004466EB" w:rsidRPr="005437C6" w:rsidRDefault="004466EB" w:rsidP="00E44687">
            <w:pPr>
              <w:keepNext w:val="0"/>
              <w:spacing w:before="0" w:line="276" w:lineRule="auto"/>
              <w:jc w:val="left"/>
              <w:rPr>
                <w:rFonts w:cs="Arial"/>
                <w:color w:val="0070C0"/>
                <w:szCs w:val="24"/>
              </w:rPr>
            </w:pPr>
          </w:p>
          <w:p w14:paraId="27AD15F0"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Likely existence of contamination - Historical Ordnance Survey plans show much of this site to be Greenfield. The exception being a former Brick Yard and filled clay pits in centre of site. A former Colliery and Spoil Tip is shown on the southern part of the site.</w:t>
            </w:r>
          </w:p>
          <w:p w14:paraId="362F4EE3" w14:textId="77777777" w:rsidR="004466EB" w:rsidRPr="005437C6" w:rsidRDefault="004466EB" w:rsidP="00E44687">
            <w:pPr>
              <w:keepNext w:val="0"/>
              <w:spacing w:before="0" w:line="276" w:lineRule="auto"/>
              <w:jc w:val="left"/>
              <w:rPr>
                <w:rFonts w:cs="Arial"/>
                <w:color w:val="0070C0"/>
                <w:szCs w:val="24"/>
              </w:rPr>
            </w:pPr>
          </w:p>
        </w:tc>
      </w:tr>
      <w:tr w:rsidR="005437C6" w:rsidRPr="005437C6" w14:paraId="036BA4D5" w14:textId="77777777">
        <w:tc>
          <w:tcPr>
            <w:tcW w:w="2263" w:type="dxa"/>
            <w:shd w:val="clear" w:color="auto" w:fill="D9D9D9"/>
          </w:tcPr>
          <w:p w14:paraId="177D40A7"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Flood Risk</w:t>
            </w:r>
          </w:p>
          <w:p w14:paraId="3B25FEA4" w14:textId="77777777" w:rsidR="004466EB" w:rsidRPr="00E56F9C" w:rsidRDefault="004466EB" w:rsidP="00E44687">
            <w:pPr>
              <w:keepNext w:val="0"/>
              <w:spacing w:before="0" w:line="276" w:lineRule="auto"/>
              <w:jc w:val="left"/>
              <w:rPr>
                <w:rFonts w:cs="Arial"/>
                <w:b/>
                <w:bCs/>
                <w:color w:val="005EAC"/>
                <w:szCs w:val="24"/>
              </w:rPr>
            </w:pPr>
          </w:p>
          <w:p w14:paraId="3BA6A75B"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S3</w:t>
            </w:r>
          </w:p>
          <w:p w14:paraId="036F165E" w14:textId="77777777" w:rsidR="004466EB" w:rsidRPr="00E56F9C" w:rsidRDefault="004466EB" w:rsidP="00E44687">
            <w:pPr>
              <w:keepNext w:val="0"/>
              <w:spacing w:before="0" w:line="276" w:lineRule="auto"/>
              <w:jc w:val="left"/>
              <w:rPr>
                <w:rFonts w:cs="Arial"/>
                <w:color w:val="005EAC"/>
                <w:sz w:val="22"/>
              </w:rPr>
            </w:pPr>
          </w:p>
          <w:p w14:paraId="57B9D27D"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CC3</w:t>
            </w:r>
          </w:p>
        </w:tc>
        <w:tc>
          <w:tcPr>
            <w:tcW w:w="7479" w:type="dxa"/>
          </w:tcPr>
          <w:p w14:paraId="0ECCE40C"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 site lies within flood zone 1, there is a low risk of flooding.</w:t>
            </w:r>
          </w:p>
          <w:p w14:paraId="655563A5" w14:textId="77777777" w:rsidR="004466EB" w:rsidRPr="005437C6" w:rsidRDefault="004466EB" w:rsidP="00E44687">
            <w:pPr>
              <w:keepNext w:val="0"/>
              <w:spacing w:before="0" w:line="276" w:lineRule="auto"/>
              <w:jc w:val="left"/>
              <w:rPr>
                <w:rFonts w:cs="Arial"/>
                <w:color w:val="0070C0"/>
                <w:szCs w:val="24"/>
              </w:rPr>
            </w:pPr>
          </w:p>
          <w:p w14:paraId="17DC8F21"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There are limited areas of high and low risk surface water flows, approximately from north to south, across the site, which will require mitigation in places.</w:t>
            </w:r>
          </w:p>
        </w:tc>
      </w:tr>
      <w:tr w:rsidR="005437C6" w:rsidRPr="005437C6" w14:paraId="352090D8" w14:textId="77777777">
        <w:tc>
          <w:tcPr>
            <w:tcW w:w="2263" w:type="dxa"/>
            <w:shd w:val="clear" w:color="auto" w:fill="D9D9D9"/>
          </w:tcPr>
          <w:p w14:paraId="539F2990"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Heritage and Archaeology</w:t>
            </w:r>
          </w:p>
          <w:p w14:paraId="1C0A5D45" w14:textId="77777777" w:rsidR="004466EB" w:rsidRPr="00E56F9C" w:rsidRDefault="004466EB" w:rsidP="00E44687">
            <w:pPr>
              <w:keepNext w:val="0"/>
              <w:spacing w:before="0" w:line="276" w:lineRule="auto"/>
              <w:jc w:val="left"/>
              <w:rPr>
                <w:rFonts w:cs="Arial"/>
                <w:b/>
                <w:bCs/>
                <w:color w:val="005EAC"/>
                <w:szCs w:val="24"/>
              </w:rPr>
            </w:pPr>
          </w:p>
          <w:p w14:paraId="54A8DF61"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S14</w:t>
            </w:r>
          </w:p>
          <w:p w14:paraId="6D8E78BB" w14:textId="77777777" w:rsidR="004466EB" w:rsidRPr="00E56F9C" w:rsidRDefault="004466EB" w:rsidP="00E44687">
            <w:pPr>
              <w:keepNext w:val="0"/>
              <w:spacing w:before="0" w:line="276" w:lineRule="auto"/>
              <w:jc w:val="left"/>
              <w:rPr>
                <w:rFonts w:cs="Arial"/>
                <w:color w:val="005EAC"/>
                <w:sz w:val="22"/>
              </w:rPr>
            </w:pPr>
          </w:p>
          <w:p w14:paraId="0DBA9EBD"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EV9</w:t>
            </w:r>
          </w:p>
        </w:tc>
        <w:tc>
          <w:tcPr>
            <w:tcW w:w="7479" w:type="dxa"/>
          </w:tcPr>
          <w:p w14:paraId="4B68756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There are two non-designated heritage assets within proximity to the site:</w:t>
            </w:r>
          </w:p>
          <w:p w14:paraId="016DBC5B"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69DF95CB" w14:textId="77777777" w:rsidR="004466EB" w:rsidRPr="005437C6" w:rsidRDefault="004466EB" w:rsidP="00E44687">
            <w:pPr>
              <w:keepNext w:val="0"/>
              <w:numPr>
                <w:ilvl w:val="0"/>
                <w:numId w:val="385"/>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t>Strawberry Bank, to the north, believed to be one of the highest points in Nottinghamshire, which overlooks a valley. Archaeological surveys have located the remains of an ancient Hill Fort on this site.</w:t>
            </w:r>
          </w:p>
          <w:p w14:paraId="4182896E" w14:textId="77777777" w:rsidR="004466EB" w:rsidRPr="005437C6" w:rsidRDefault="004466EB" w:rsidP="00E44687">
            <w:pPr>
              <w:keepNext w:val="0"/>
              <w:numPr>
                <w:ilvl w:val="0"/>
                <w:numId w:val="385"/>
              </w:numPr>
              <w:autoSpaceDE w:val="0"/>
              <w:autoSpaceDN w:val="0"/>
              <w:adjustRightInd w:val="0"/>
              <w:spacing w:before="0" w:line="276" w:lineRule="auto"/>
              <w:contextualSpacing/>
              <w:jc w:val="left"/>
              <w:rPr>
                <w:rFonts w:cs="Arial"/>
                <w:color w:val="0070C0"/>
                <w:szCs w:val="24"/>
              </w:rPr>
            </w:pPr>
            <w:r w:rsidRPr="005437C6">
              <w:rPr>
                <w:rFonts w:cs="Arial"/>
                <w:color w:val="0070C0"/>
                <w:szCs w:val="24"/>
              </w:rPr>
              <w:lastRenderedPageBreak/>
              <w:t>The Miner’s Arms, south off Blackwell Road. A former public house now converted to residential use.</w:t>
            </w:r>
          </w:p>
          <w:p w14:paraId="47DF097E"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527BFA05" w14:textId="77777777" w:rsidR="004466EB" w:rsidRPr="005437C6" w:rsidRDefault="004466EB" w:rsidP="00E44687">
            <w:pPr>
              <w:keepNext w:val="0"/>
              <w:autoSpaceDE w:val="0"/>
              <w:autoSpaceDN w:val="0"/>
              <w:adjustRightInd w:val="0"/>
              <w:spacing w:before="0"/>
              <w:jc w:val="left"/>
              <w:rPr>
                <w:rFonts w:eastAsia="Arial"/>
                <w:iCs/>
                <w:color w:val="0070C0"/>
                <w:szCs w:val="24"/>
              </w:rPr>
            </w:pPr>
            <w:r w:rsidRPr="005437C6">
              <w:rPr>
                <w:rFonts w:eastAsia="Arial"/>
                <w:iCs/>
                <w:color w:val="0070C0"/>
              </w:rPr>
              <w:t>A Heritage Statement should be submitted that provides a proportionate assessment of the significance of the heritage assets, and where appropriate its setting, and an assessment of the impact of the proposal on the significance.  As a minimum, the Heritage Statement should cover the following:</w:t>
            </w:r>
          </w:p>
          <w:p w14:paraId="79336416"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iCs/>
                <w:color w:val="0070C0"/>
              </w:rPr>
            </w:pPr>
            <w:r w:rsidRPr="005437C6">
              <w:rPr>
                <w:rFonts w:eastAsia="Arial"/>
                <w:iCs/>
                <w:color w:val="0070C0"/>
              </w:rPr>
              <w:t>describe and assess the significance of the asset(s) and/or its setting;</w:t>
            </w:r>
          </w:p>
          <w:p w14:paraId="43938AC4"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iCs/>
                <w:color w:val="0070C0"/>
              </w:rPr>
            </w:pPr>
            <w:r w:rsidRPr="005437C6">
              <w:rPr>
                <w:rFonts w:eastAsia="Arial"/>
                <w:iCs/>
                <w:color w:val="0070C0"/>
              </w:rPr>
              <w:t>identify the impact of works on the special character of the asset(s); and</w:t>
            </w:r>
          </w:p>
          <w:p w14:paraId="0E3F54E7" w14:textId="77777777" w:rsidR="004466EB" w:rsidRPr="005437C6" w:rsidRDefault="004466EB" w:rsidP="00E44687">
            <w:pPr>
              <w:keepNext w:val="0"/>
              <w:numPr>
                <w:ilvl w:val="0"/>
                <w:numId w:val="364"/>
              </w:numPr>
              <w:spacing w:before="0"/>
              <w:contextualSpacing/>
              <w:jc w:val="left"/>
              <w:rPr>
                <w:rFonts w:eastAsia="Arial"/>
                <w:iCs/>
                <w:color w:val="0070C0"/>
              </w:rPr>
            </w:pPr>
            <w:r w:rsidRPr="005437C6">
              <w:rPr>
                <w:rFonts w:eastAsia="Arial"/>
                <w:iCs/>
                <w:color w:val="0070C0"/>
              </w:rPr>
              <w:t>provide a clear justification for the works, especially if these would harm the asset(s) or its setting, so that the harm can be weighed against public benefit.</w:t>
            </w:r>
          </w:p>
          <w:p w14:paraId="2EA8D146" w14:textId="77777777" w:rsidR="004466EB" w:rsidRPr="005437C6" w:rsidRDefault="004466EB" w:rsidP="00E44687">
            <w:pPr>
              <w:keepNext w:val="0"/>
              <w:autoSpaceDE w:val="0"/>
              <w:autoSpaceDN w:val="0"/>
              <w:adjustRightInd w:val="0"/>
              <w:spacing w:before="0"/>
              <w:jc w:val="left"/>
              <w:rPr>
                <w:rFonts w:eastAsia="Arial"/>
                <w:iCs/>
                <w:color w:val="0070C0"/>
              </w:rPr>
            </w:pPr>
          </w:p>
          <w:p w14:paraId="1D713C7B" w14:textId="77777777" w:rsidR="004466EB" w:rsidRPr="005437C6" w:rsidRDefault="004466EB" w:rsidP="00E44687">
            <w:pPr>
              <w:keepNext w:val="0"/>
              <w:autoSpaceDE w:val="0"/>
              <w:autoSpaceDN w:val="0"/>
              <w:adjustRightInd w:val="0"/>
              <w:spacing w:before="0"/>
              <w:jc w:val="left"/>
              <w:rPr>
                <w:rFonts w:eastAsia="Arial"/>
                <w:iCs/>
                <w:color w:val="0070C0"/>
              </w:rPr>
            </w:pPr>
            <w:r w:rsidRPr="005437C6">
              <w:rPr>
                <w:rFonts w:eastAsia="Arial"/>
                <w:iCs/>
                <w:color w:val="0070C0"/>
              </w:rPr>
              <w:t xml:space="preserve">Historic England’s Good Practice Advice Note 2: Managing Significance in Decision-Taking in the Historic Environment, and </w:t>
            </w:r>
            <w:proofErr w:type="gramStart"/>
            <w:r w:rsidRPr="005437C6">
              <w:rPr>
                <w:rFonts w:eastAsia="Arial"/>
                <w:iCs/>
                <w:color w:val="0070C0"/>
              </w:rPr>
              <w:t>Good</w:t>
            </w:r>
            <w:proofErr w:type="gramEnd"/>
            <w:r w:rsidRPr="005437C6">
              <w:rPr>
                <w:rFonts w:eastAsia="Arial"/>
                <w:iCs/>
                <w:color w:val="0070C0"/>
              </w:rPr>
              <w:t xml:space="preserve"> practice Advice Note 3: The Setting of Heritage Assets, provide advice on how to undertake a Heritage Statement.</w:t>
            </w:r>
          </w:p>
          <w:p w14:paraId="1C29EA3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0F0A136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Careful use of wildlife corridors and landscaping should be used to minimise any harm to nearby heritage assets. The development should provide a scheme of interpretation for Strawberry Bank in the north and allow unimpeded views from the elevated position.</w:t>
            </w:r>
          </w:p>
          <w:p w14:paraId="1097E3D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2E0D4FA8"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 site is within the Meden Valley Character Analysis of Hardwick Hall Setting Study (National Trust 2016).  It identifies that views of Hardwick Hall are generally restricted by topography.  However, the area provides a useful rural landscape buffer between Hardwick and Sutton in Ashfield. The study can be viewed on the </w:t>
            </w:r>
            <w:hyperlink r:id="rId121" w:history="1">
              <w:r w:rsidRPr="005437C6">
                <w:rPr>
                  <w:rFonts w:cs="Arial"/>
                  <w:color w:val="0070C0"/>
                  <w:szCs w:val="24"/>
                  <w:u w:val="single"/>
                </w:rPr>
                <w:t>Local Plan Submission Documents</w:t>
              </w:r>
            </w:hyperlink>
            <w:r w:rsidRPr="005437C6">
              <w:rPr>
                <w:rFonts w:cs="Arial"/>
                <w:color w:val="0070C0"/>
                <w:szCs w:val="24"/>
              </w:rPr>
              <w:t xml:space="preserve"> page.</w:t>
            </w:r>
          </w:p>
          <w:p w14:paraId="4FB5A69D"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06C5B2ED" w14:textId="77777777" w:rsidR="004466EB" w:rsidRPr="005437C6" w:rsidRDefault="004466EB" w:rsidP="00E44687">
            <w:pPr>
              <w:keepNext w:val="0"/>
              <w:autoSpaceDE w:val="0"/>
              <w:autoSpaceDN w:val="0"/>
              <w:adjustRightInd w:val="0"/>
              <w:spacing w:before="0"/>
              <w:jc w:val="left"/>
              <w:rPr>
                <w:rFonts w:ascii="Calibri" w:hAnsi="Calibri" w:cs="Arial"/>
                <w:bCs/>
                <w:color w:val="0070C0"/>
              </w:rPr>
            </w:pPr>
            <w:r w:rsidRPr="005437C6">
              <w:rPr>
                <w:rFonts w:cs="Arial"/>
                <w:color w:val="0070C0"/>
                <w:szCs w:val="24"/>
              </w:rPr>
              <w:t xml:space="preserve">There is a potential for buried archaeological remains within the site, as such a </w:t>
            </w:r>
            <w:r w:rsidRPr="005437C6">
              <w:rPr>
                <w:rFonts w:eastAsia="Arial" w:cs="Arial"/>
                <w:iCs/>
                <w:color w:val="0070C0"/>
                <w:szCs w:val="24"/>
              </w:rPr>
              <w:t>Desk Based Assessment (DBA) s</w:t>
            </w:r>
            <w:r w:rsidRPr="005437C6">
              <w:rPr>
                <w:rFonts w:eastAsia="Arial"/>
                <w:iCs/>
                <w:color w:val="0070C0"/>
              </w:rPr>
              <w:t>hould be carried out to</w:t>
            </w:r>
            <w:r w:rsidRPr="005437C6">
              <w:rPr>
                <w:rFonts w:cs="Arial"/>
                <w:color w:val="0070C0"/>
              </w:rPr>
              <w:t xml:space="preserve"> ascertain the extent and level of survival of archaeological remains</w:t>
            </w:r>
            <w:r w:rsidRPr="005437C6">
              <w:rPr>
                <w:rFonts w:eastAsia="Arial" w:cs="Arial"/>
                <w:iCs/>
                <w:color w:val="0070C0"/>
                <w:szCs w:val="24"/>
              </w:rPr>
              <w:t>.  Depending on the results of the DBA further archaeological investigations may be warranted, including a geophysical survey and targeted trial trenching, where necessary.  This work will inform the need for mitigation.</w:t>
            </w:r>
          </w:p>
          <w:p w14:paraId="696DD210"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highlight w:val="yellow"/>
              </w:rPr>
              <w:t xml:space="preserve"> </w:t>
            </w:r>
          </w:p>
        </w:tc>
      </w:tr>
      <w:tr w:rsidR="005437C6" w:rsidRPr="005437C6" w14:paraId="420C22C1" w14:textId="77777777">
        <w:tc>
          <w:tcPr>
            <w:tcW w:w="2263" w:type="dxa"/>
            <w:shd w:val="clear" w:color="auto" w:fill="D9D9D9"/>
          </w:tcPr>
          <w:p w14:paraId="3D6190ED"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Green Infrastructure &amp; Biodiversity</w:t>
            </w:r>
          </w:p>
          <w:p w14:paraId="6301A17F" w14:textId="77777777" w:rsidR="004466EB" w:rsidRPr="00E56F9C" w:rsidRDefault="004466EB" w:rsidP="00E44687">
            <w:pPr>
              <w:keepNext w:val="0"/>
              <w:spacing w:before="0" w:line="276" w:lineRule="auto"/>
              <w:jc w:val="left"/>
              <w:rPr>
                <w:rFonts w:cs="Arial"/>
                <w:b/>
                <w:bCs/>
                <w:color w:val="005EAC"/>
                <w:szCs w:val="24"/>
              </w:rPr>
            </w:pPr>
          </w:p>
          <w:p w14:paraId="509D7754"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S13</w:t>
            </w:r>
          </w:p>
          <w:p w14:paraId="43F7A476" w14:textId="77777777" w:rsidR="004466EB" w:rsidRPr="00E56F9C" w:rsidRDefault="004466EB" w:rsidP="00E44687">
            <w:pPr>
              <w:keepNext w:val="0"/>
              <w:spacing w:before="0" w:line="276" w:lineRule="auto"/>
              <w:jc w:val="left"/>
              <w:rPr>
                <w:rFonts w:cs="Arial"/>
                <w:color w:val="005EAC"/>
                <w:sz w:val="22"/>
              </w:rPr>
            </w:pPr>
          </w:p>
          <w:p w14:paraId="0E6D1FA2"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EV4, EV6</w:t>
            </w:r>
          </w:p>
        </w:tc>
        <w:tc>
          <w:tcPr>
            <w:tcW w:w="7479" w:type="dxa"/>
          </w:tcPr>
          <w:p w14:paraId="0B633863"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lastRenderedPageBreak/>
              <w:t>There are several sites of nature conservation interest in or near the site, including:</w:t>
            </w:r>
          </w:p>
          <w:p w14:paraId="7876D9B8" w14:textId="77777777" w:rsidR="004466EB" w:rsidRPr="005437C6" w:rsidRDefault="004466EB" w:rsidP="00E44687">
            <w:pPr>
              <w:keepNext w:val="0"/>
              <w:numPr>
                <w:ilvl w:val="0"/>
                <w:numId w:val="383"/>
              </w:numPr>
              <w:spacing w:before="0" w:line="276" w:lineRule="auto"/>
              <w:contextualSpacing/>
              <w:jc w:val="left"/>
              <w:rPr>
                <w:rFonts w:cs="Arial"/>
                <w:color w:val="0070C0"/>
                <w:szCs w:val="24"/>
              </w:rPr>
            </w:pPr>
            <w:r w:rsidRPr="005437C6">
              <w:rPr>
                <w:rFonts w:cs="Arial"/>
                <w:color w:val="0070C0"/>
                <w:szCs w:val="24"/>
              </w:rPr>
              <w:t xml:space="preserve">Local Wildlife Sites (LWS) Huthwaite Grassland, Strawberry Bank Meadow and Blackwell Road Grassland are located on the site.  </w:t>
            </w:r>
          </w:p>
          <w:p w14:paraId="028B6B0C" w14:textId="77777777" w:rsidR="004466EB" w:rsidRPr="005437C6" w:rsidRDefault="004466EB" w:rsidP="00E44687">
            <w:pPr>
              <w:keepNext w:val="0"/>
              <w:numPr>
                <w:ilvl w:val="0"/>
                <w:numId w:val="383"/>
              </w:numPr>
              <w:spacing w:before="0" w:line="276" w:lineRule="auto"/>
              <w:contextualSpacing/>
              <w:jc w:val="left"/>
              <w:rPr>
                <w:rFonts w:cs="Arial"/>
                <w:color w:val="0070C0"/>
                <w:szCs w:val="24"/>
              </w:rPr>
            </w:pPr>
            <w:r w:rsidRPr="005437C6">
              <w:rPr>
                <w:rFonts w:cs="Arial"/>
                <w:color w:val="0070C0"/>
                <w:szCs w:val="24"/>
              </w:rPr>
              <w:lastRenderedPageBreak/>
              <w:t xml:space="preserve">Adjacent to the site are LWS including Spring Farm Meadows, Sunnyside Farm Meadows, and Chesterfield Road Pastures.  </w:t>
            </w:r>
          </w:p>
          <w:p w14:paraId="399660EF" w14:textId="77777777" w:rsidR="004466EB" w:rsidRPr="005437C6" w:rsidRDefault="004466EB" w:rsidP="00E44687">
            <w:pPr>
              <w:keepNext w:val="0"/>
              <w:spacing w:before="0" w:line="276" w:lineRule="auto"/>
              <w:jc w:val="left"/>
              <w:rPr>
                <w:rFonts w:cs="Arial"/>
                <w:color w:val="0070C0"/>
                <w:szCs w:val="24"/>
              </w:rPr>
            </w:pPr>
          </w:p>
          <w:p w14:paraId="591185CB"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Part of site under the Natural Environment &amp; Rural Community Act 2006, Section 41 is identified as a Priority Habitat – Good quality semi-improved grassland.</w:t>
            </w:r>
          </w:p>
          <w:p w14:paraId="1046ACD8" w14:textId="77777777" w:rsidR="004466EB" w:rsidRPr="005437C6" w:rsidRDefault="004466EB" w:rsidP="00E44687">
            <w:pPr>
              <w:keepNext w:val="0"/>
              <w:spacing w:before="0" w:line="276" w:lineRule="auto"/>
              <w:jc w:val="left"/>
              <w:rPr>
                <w:rFonts w:cs="Arial"/>
                <w:color w:val="0070C0"/>
                <w:szCs w:val="24"/>
              </w:rPr>
            </w:pPr>
          </w:p>
          <w:p w14:paraId="026183C2"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In respect of this site the Council will require a minimum Biodiversity Net Gain (BNG) of 10%. Biodiversity should be delivered on site in the first instance via habitat creation/enhancement, or by using off-site gains where necessary. As a last resort, biodiversity credits may be purchased where sufficient gains cannot be achieved on or off-site.</w:t>
            </w:r>
          </w:p>
          <w:p w14:paraId="7208602C" w14:textId="77777777" w:rsidR="004466EB" w:rsidRPr="005437C6" w:rsidRDefault="004466EB" w:rsidP="00E44687">
            <w:pPr>
              <w:keepNext w:val="0"/>
              <w:spacing w:before="0" w:line="276" w:lineRule="auto"/>
              <w:jc w:val="left"/>
              <w:rPr>
                <w:rFonts w:cs="Arial"/>
                <w:color w:val="0070C0"/>
                <w:szCs w:val="24"/>
              </w:rPr>
            </w:pPr>
          </w:p>
          <w:p w14:paraId="465E68C1"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The LWS on-site are</w:t>
            </w:r>
            <w:r w:rsidRPr="005437C6">
              <w:rPr>
                <w:color w:val="0070C0"/>
              </w:rPr>
              <w:t xml:space="preserve"> to be </w:t>
            </w:r>
            <w:proofErr w:type="gramStart"/>
            <w:r w:rsidRPr="005437C6">
              <w:rPr>
                <w:color w:val="0070C0"/>
              </w:rPr>
              <w:t>retained</w:t>
            </w:r>
            <w:proofErr w:type="gramEnd"/>
            <w:r w:rsidRPr="005437C6">
              <w:rPr>
                <w:color w:val="0070C0"/>
              </w:rPr>
              <w:t xml:space="preserve"> and enhancement created that will provide connectivity between ecological areas in the form of hedgerows, woodland and grassland. The site provides an opportunity to provide on-site 10% net gain in this area and additional net gain on the Local Nature Reserve Brierley Forest Park.</w:t>
            </w:r>
          </w:p>
          <w:p w14:paraId="2EE58CC1" w14:textId="77777777" w:rsidR="004466EB" w:rsidRPr="005437C6" w:rsidRDefault="004466EB" w:rsidP="00E44687">
            <w:pPr>
              <w:keepNext w:val="0"/>
              <w:spacing w:before="0" w:line="276" w:lineRule="auto"/>
              <w:jc w:val="left"/>
              <w:rPr>
                <w:rFonts w:cs="Arial"/>
                <w:color w:val="0070C0"/>
                <w:szCs w:val="24"/>
              </w:rPr>
            </w:pPr>
          </w:p>
          <w:p w14:paraId="37559D62"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Development must also comply with the Developer Guide to Biodiversity and Nature Conservation 2022, which sets out the Council’s expectations in respect of Biodiversity Net Gain, alongside mandatory requirements for protected sites.</w:t>
            </w:r>
          </w:p>
          <w:p w14:paraId="6A838733" w14:textId="77777777" w:rsidR="004466EB" w:rsidRPr="005437C6" w:rsidRDefault="004466EB" w:rsidP="00E44687">
            <w:pPr>
              <w:keepNext w:val="0"/>
              <w:spacing w:before="0" w:line="276" w:lineRule="auto"/>
              <w:jc w:val="left"/>
              <w:rPr>
                <w:rFonts w:cs="Arial"/>
                <w:color w:val="0070C0"/>
                <w:szCs w:val="24"/>
              </w:rPr>
            </w:pPr>
          </w:p>
          <w:p w14:paraId="52E69E1F" w14:textId="77777777" w:rsidR="004466EB" w:rsidRPr="005437C6" w:rsidRDefault="004466EB" w:rsidP="00E44687">
            <w:pPr>
              <w:keepNext w:val="0"/>
              <w:autoSpaceDE w:val="0"/>
              <w:autoSpaceDN w:val="0"/>
              <w:adjustRightInd w:val="0"/>
              <w:spacing w:before="0" w:line="276" w:lineRule="auto"/>
              <w:jc w:val="left"/>
              <w:rPr>
                <w:color w:val="0070C0"/>
              </w:rPr>
            </w:pPr>
            <w:r w:rsidRPr="005437C6">
              <w:rPr>
                <w:rFonts w:cs="Arial"/>
                <w:color w:val="0070C0"/>
                <w:szCs w:val="24"/>
              </w:rPr>
              <w:t xml:space="preserve">The Developer Guide can be viewed on the Council’s website: </w:t>
            </w:r>
          </w:p>
          <w:p w14:paraId="744CE8FF" w14:textId="77777777" w:rsidR="004466EB" w:rsidRPr="005437C6" w:rsidRDefault="004466EB" w:rsidP="00E44687">
            <w:pPr>
              <w:keepNext w:val="0"/>
              <w:autoSpaceDE w:val="0"/>
              <w:autoSpaceDN w:val="0"/>
              <w:adjustRightInd w:val="0"/>
              <w:spacing w:before="0" w:line="276" w:lineRule="auto"/>
              <w:jc w:val="left"/>
              <w:rPr>
                <w:rFonts w:cs="Arial"/>
                <w:color w:val="0070C0"/>
                <w:szCs w:val="24"/>
                <w:u w:val="single"/>
              </w:rPr>
            </w:pPr>
            <w:r w:rsidRPr="005437C6">
              <w:rPr>
                <w:rFonts w:cs="Arial"/>
                <w:color w:val="0070C0"/>
                <w:szCs w:val="24"/>
              </w:rPr>
              <w:fldChar w:fldCharType="begin"/>
            </w:r>
            <w:r w:rsidRPr="005437C6">
              <w:rPr>
                <w:rFonts w:cs="Arial"/>
                <w:color w:val="0070C0"/>
                <w:szCs w:val="24"/>
              </w:rPr>
              <w:instrText>HYPERLINK "https://www.ashfield.gov.uk/planning-and-building-control/supplementary-planning-documents-and-guidance/"</w:instrText>
            </w:r>
            <w:r w:rsidRPr="005437C6">
              <w:rPr>
                <w:rFonts w:cs="Arial"/>
                <w:color w:val="0070C0"/>
                <w:szCs w:val="24"/>
              </w:rPr>
            </w:r>
            <w:r w:rsidRPr="005437C6">
              <w:rPr>
                <w:rFonts w:cs="Arial"/>
                <w:color w:val="0070C0"/>
                <w:szCs w:val="24"/>
              </w:rPr>
              <w:fldChar w:fldCharType="separate"/>
            </w:r>
            <w:r w:rsidRPr="005437C6">
              <w:rPr>
                <w:rFonts w:cs="Arial"/>
                <w:color w:val="0070C0"/>
                <w:szCs w:val="24"/>
                <w:u w:val="single"/>
              </w:rPr>
              <w:t>Ashfield District Council Supplementary Planning Documents and Guidance</w:t>
            </w:r>
          </w:p>
          <w:p w14:paraId="45936164"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fldChar w:fldCharType="end"/>
            </w:r>
          </w:p>
        </w:tc>
      </w:tr>
      <w:tr w:rsidR="005437C6" w:rsidRPr="005437C6" w14:paraId="58DC89EE" w14:textId="77777777">
        <w:tc>
          <w:tcPr>
            <w:tcW w:w="2263" w:type="dxa"/>
            <w:shd w:val="clear" w:color="auto" w:fill="D9D9D9"/>
          </w:tcPr>
          <w:p w14:paraId="669E0F64"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Utilities</w:t>
            </w:r>
          </w:p>
          <w:p w14:paraId="58C161E4" w14:textId="77777777" w:rsidR="004466EB" w:rsidRPr="00E56F9C" w:rsidRDefault="004466EB" w:rsidP="00E44687">
            <w:pPr>
              <w:keepNext w:val="0"/>
              <w:spacing w:before="0" w:line="276" w:lineRule="auto"/>
              <w:jc w:val="left"/>
              <w:rPr>
                <w:rFonts w:cs="Arial"/>
                <w:b/>
                <w:bCs/>
                <w:color w:val="005EAC"/>
                <w:szCs w:val="24"/>
              </w:rPr>
            </w:pPr>
          </w:p>
          <w:p w14:paraId="0DD55D9E"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S2</w:t>
            </w:r>
          </w:p>
          <w:p w14:paraId="4D753E8E" w14:textId="77777777" w:rsidR="004466EB" w:rsidRPr="00E56F9C" w:rsidRDefault="004466EB" w:rsidP="00E44687">
            <w:pPr>
              <w:keepNext w:val="0"/>
              <w:spacing w:before="0" w:line="276" w:lineRule="auto"/>
              <w:jc w:val="left"/>
              <w:rPr>
                <w:rFonts w:cs="Arial"/>
                <w:color w:val="005EAC"/>
                <w:sz w:val="22"/>
              </w:rPr>
            </w:pPr>
          </w:p>
          <w:p w14:paraId="25EDA45B"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CC2</w:t>
            </w:r>
          </w:p>
        </w:tc>
        <w:tc>
          <w:tcPr>
            <w:tcW w:w="7479" w:type="dxa"/>
          </w:tcPr>
          <w:p w14:paraId="28C6F793"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Seven Trent Water:</w:t>
            </w:r>
          </w:p>
          <w:p w14:paraId="741484F0" w14:textId="77777777" w:rsidR="004466EB" w:rsidRPr="005437C6" w:rsidRDefault="004466EB" w:rsidP="00E44687">
            <w:pPr>
              <w:keepNext w:val="0"/>
              <w:spacing w:before="0"/>
              <w:jc w:val="left"/>
              <w:rPr>
                <w:rFonts w:cs="Arial"/>
                <w:color w:val="0070C0"/>
                <w:szCs w:val="24"/>
              </w:rPr>
            </w:pPr>
          </w:p>
          <w:p w14:paraId="523CD06A" w14:textId="77777777" w:rsidR="004466EB" w:rsidRPr="005437C6" w:rsidRDefault="004466EB" w:rsidP="00E44687">
            <w:pPr>
              <w:keepNext w:val="0"/>
              <w:numPr>
                <w:ilvl w:val="0"/>
                <w:numId w:val="358"/>
              </w:numPr>
              <w:spacing w:before="0" w:line="276" w:lineRule="auto"/>
              <w:ind w:left="459"/>
              <w:jc w:val="left"/>
              <w:rPr>
                <w:rFonts w:cs="Arial"/>
                <w:color w:val="0070C0"/>
                <w:szCs w:val="24"/>
              </w:rPr>
            </w:pPr>
            <w:r w:rsidRPr="005437C6">
              <w:rPr>
                <w:rFonts w:cs="Arial"/>
                <w:color w:val="0070C0"/>
                <w:szCs w:val="24"/>
              </w:rPr>
              <w:t>Potential Impact on Foul Sewer Infrastructure - Network Improvements may be required.</w:t>
            </w:r>
          </w:p>
          <w:p w14:paraId="02145BA3" w14:textId="77777777" w:rsidR="004466EB" w:rsidRPr="005437C6" w:rsidRDefault="004466EB" w:rsidP="00E44687">
            <w:pPr>
              <w:keepNext w:val="0"/>
              <w:numPr>
                <w:ilvl w:val="0"/>
                <w:numId w:val="358"/>
              </w:numPr>
              <w:spacing w:before="0" w:line="276" w:lineRule="auto"/>
              <w:ind w:left="459"/>
              <w:jc w:val="left"/>
              <w:rPr>
                <w:rFonts w:cs="Arial"/>
                <w:color w:val="0070C0"/>
                <w:szCs w:val="24"/>
              </w:rPr>
            </w:pPr>
            <w:r w:rsidRPr="005437C6">
              <w:rPr>
                <w:rFonts w:cs="Arial"/>
                <w:color w:val="0070C0"/>
                <w:szCs w:val="24"/>
              </w:rPr>
              <w:t>Potential Impact on Surface Water Sewer Infrastructure - Network Improvements unlikely to be required.</w:t>
            </w:r>
          </w:p>
          <w:p w14:paraId="620C299F" w14:textId="77777777" w:rsidR="004466EB" w:rsidRPr="005437C6" w:rsidRDefault="004466EB" w:rsidP="00E44687">
            <w:pPr>
              <w:keepNext w:val="0"/>
              <w:spacing w:before="0" w:line="276" w:lineRule="auto"/>
              <w:ind w:left="459"/>
              <w:jc w:val="left"/>
              <w:rPr>
                <w:rFonts w:cs="Arial"/>
                <w:color w:val="0070C0"/>
                <w:szCs w:val="24"/>
              </w:rPr>
            </w:pPr>
          </w:p>
          <w:p w14:paraId="07A59574"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Access to other utilities is generally assumed to be non-constrained.</w:t>
            </w:r>
          </w:p>
          <w:p w14:paraId="766341B4" w14:textId="77777777" w:rsidR="004466EB" w:rsidRPr="005437C6" w:rsidRDefault="004466EB" w:rsidP="00E44687">
            <w:pPr>
              <w:keepNext w:val="0"/>
              <w:spacing w:before="0" w:line="276" w:lineRule="auto"/>
              <w:jc w:val="left"/>
              <w:rPr>
                <w:rFonts w:cs="Arial"/>
                <w:color w:val="0070C0"/>
                <w:szCs w:val="24"/>
              </w:rPr>
            </w:pPr>
          </w:p>
        </w:tc>
      </w:tr>
      <w:tr w:rsidR="005437C6" w:rsidRPr="005437C6" w14:paraId="27D17F08" w14:textId="77777777">
        <w:tc>
          <w:tcPr>
            <w:tcW w:w="2263" w:type="dxa"/>
            <w:shd w:val="clear" w:color="auto" w:fill="D9D9D9"/>
          </w:tcPr>
          <w:p w14:paraId="1FA44CE6"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lastRenderedPageBreak/>
              <w:t>Public Open Space Requirements</w:t>
            </w:r>
          </w:p>
          <w:p w14:paraId="7D26DA6F" w14:textId="77777777" w:rsidR="004466EB" w:rsidRPr="00E56F9C" w:rsidRDefault="004466EB" w:rsidP="00E44687">
            <w:pPr>
              <w:keepNext w:val="0"/>
              <w:spacing w:before="0" w:line="276" w:lineRule="auto"/>
              <w:jc w:val="left"/>
              <w:rPr>
                <w:rFonts w:cs="Arial"/>
                <w:b/>
                <w:bCs/>
                <w:color w:val="005EAC"/>
                <w:szCs w:val="24"/>
              </w:rPr>
            </w:pPr>
          </w:p>
          <w:p w14:paraId="5696CE15"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S12</w:t>
            </w:r>
          </w:p>
          <w:p w14:paraId="726CDBE9" w14:textId="77777777" w:rsidR="004466EB" w:rsidRPr="00E56F9C" w:rsidRDefault="004466EB" w:rsidP="00E44687">
            <w:pPr>
              <w:keepNext w:val="0"/>
              <w:spacing w:before="0" w:line="276" w:lineRule="auto"/>
              <w:jc w:val="left"/>
              <w:rPr>
                <w:rFonts w:cs="Arial"/>
                <w:color w:val="005EAC"/>
                <w:sz w:val="22"/>
              </w:rPr>
            </w:pPr>
          </w:p>
          <w:p w14:paraId="553D6325"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Policies: H5, SD5</w:t>
            </w:r>
          </w:p>
        </w:tc>
        <w:tc>
          <w:tcPr>
            <w:tcW w:w="7479" w:type="dxa"/>
          </w:tcPr>
          <w:p w14:paraId="2F1152B1"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 xml:space="preserve">The site should accommodate a minimum of </w:t>
            </w:r>
            <w:r w:rsidRPr="005437C6">
              <w:rPr>
                <w:rFonts w:cs="Arial"/>
                <w:b/>
                <w:bCs/>
                <w:color w:val="0070C0"/>
                <w:szCs w:val="24"/>
              </w:rPr>
              <w:t xml:space="preserve">10% </w:t>
            </w:r>
            <w:r w:rsidRPr="005437C6">
              <w:rPr>
                <w:rFonts w:cs="Arial"/>
                <w:color w:val="0070C0"/>
                <w:szCs w:val="24"/>
              </w:rPr>
              <w:t xml:space="preserve">recreational space for community use, approximately </w:t>
            </w:r>
            <w:r w:rsidRPr="005437C6">
              <w:rPr>
                <w:rFonts w:cs="Arial"/>
                <w:b/>
                <w:bCs/>
                <w:color w:val="0070C0"/>
                <w:szCs w:val="24"/>
              </w:rPr>
              <w:t xml:space="preserve">1.89ha </w:t>
            </w:r>
            <w:r w:rsidRPr="005437C6">
              <w:rPr>
                <w:rFonts w:cs="Arial"/>
                <w:color w:val="0070C0"/>
                <w:szCs w:val="24"/>
              </w:rPr>
              <w:t>from all phases of development. This may take the form of:</w:t>
            </w:r>
          </w:p>
          <w:p w14:paraId="469E1862"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3A1A3767"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Informal recreational open space</w:t>
            </w:r>
          </w:p>
          <w:p w14:paraId="1ACC2F0E"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Outdoor sports facilities</w:t>
            </w:r>
          </w:p>
          <w:p w14:paraId="2635EE40"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Play space</w:t>
            </w:r>
          </w:p>
          <w:p w14:paraId="7E01CFA2"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Cemeteries</w:t>
            </w:r>
          </w:p>
          <w:p w14:paraId="26877782"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Allotments</w:t>
            </w:r>
          </w:p>
          <w:p w14:paraId="3600813B"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Natural spaces</w:t>
            </w:r>
          </w:p>
          <w:p w14:paraId="4C6A8774"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rPr>
            </w:pPr>
            <w:r w:rsidRPr="005437C6">
              <w:rPr>
                <w:rFonts w:cs="Arial"/>
                <w:color w:val="0070C0"/>
                <w:szCs w:val="24"/>
              </w:rPr>
              <w:t>Areas of public realm</w:t>
            </w:r>
          </w:p>
          <w:p w14:paraId="2DDB50DF"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51BA4BC9"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On site park/recreation ground with a neighbourhood play area and neighbourhood young people’s area to be provided on site. This space should be overlooked by development to aid security and encourage activity.</w:t>
            </w:r>
          </w:p>
          <w:p w14:paraId="72FA3083"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p w14:paraId="03241146"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r w:rsidRPr="005437C6">
              <w:rPr>
                <w:rFonts w:cs="Arial"/>
                <w:color w:val="0070C0"/>
                <w:szCs w:val="24"/>
              </w:rPr>
              <w:t>A contribution towards public realm improvements may also be sought from this site in line with Local plan policy.</w:t>
            </w:r>
          </w:p>
          <w:p w14:paraId="19B74B53" w14:textId="77777777" w:rsidR="004466EB" w:rsidRPr="005437C6" w:rsidRDefault="004466EB" w:rsidP="00E44687">
            <w:pPr>
              <w:keepNext w:val="0"/>
              <w:autoSpaceDE w:val="0"/>
              <w:autoSpaceDN w:val="0"/>
              <w:adjustRightInd w:val="0"/>
              <w:spacing w:before="0" w:line="276" w:lineRule="auto"/>
              <w:jc w:val="left"/>
              <w:rPr>
                <w:rFonts w:cs="Arial"/>
                <w:color w:val="0070C0"/>
                <w:szCs w:val="24"/>
              </w:rPr>
            </w:pPr>
          </w:p>
        </w:tc>
      </w:tr>
      <w:tr w:rsidR="005437C6" w:rsidRPr="005437C6" w14:paraId="688E0CC6" w14:textId="77777777">
        <w:tc>
          <w:tcPr>
            <w:tcW w:w="2263" w:type="dxa"/>
            <w:shd w:val="clear" w:color="auto" w:fill="D9D9D9"/>
          </w:tcPr>
          <w:p w14:paraId="2B031226" w14:textId="77777777" w:rsidR="004466EB" w:rsidRPr="00E56F9C" w:rsidRDefault="004466EB" w:rsidP="00E44687">
            <w:pPr>
              <w:keepNext w:val="0"/>
              <w:spacing w:before="0" w:line="276" w:lineRule="auto"/>
              <w:jc w:val="left"/>
              <w:rPr>
                <w:rFonts w:cs="Arial"/>
                <w:b/>
                <w:bCs/>
                <w:color w:val="005EAC"/>
                <w:szCs w:val="24"/>
              </w:rPr>
            </w:pPr>
            <w:r w:rsidRPr="00E56F9C">
              <w:rPr>
                <w:rFonts w:cs="Arial"/>
                <w:b/>
                <w:bCs/>
                <w:color w:val="005EAC"/>
                <w:szCs w:val="24"/>
              </w:rPr>
              <w:t>Affordable Housing</w:t>
            </w:r>
          </w:p>
          <w:p w14:paraId="2FDC1725" w14:textId="77777777" w:rsidR="004466EB" w:rsidRPr="00E56F9C" w:rsidRDefault="004466EB" w:rsidP="00E44687">
            <w:pPr>
              <w:keepNext w:val="0"/>
              <w:spacing w:before="0" w:line="276" w:lineRule="auto"/>
              <w:jc w:val="left"/>
              <w:rPr>
                <w:rFonts w:cs="Arial"/>
                <w:b/>
                <w:bCs/>
                <w:color w:val="005EAC"/>
                <w:szCs w:val="24"/>
              </w:rPr>
            </w:pPr>
          </w:p>
          <w:p w14:paraId="2970AA07" w14:textId="77777777" w:rsidR="004466EB" w:rsidRPr="00E56F9C" w:rsidRDefault="004466EB" w:rsidP="00E44687">
            <w:pPr>
              <w:keepNext w:val="0"/>
              <w:spacing w:before="0" w:line="276" w:lineRule="auto"/>
              <w:jc w:val="left"/>
              <w:rPr>
                <w:rFonts w:cs="Arial"/>
                <w:color w:val="005EAC"/>
                <w:sz w:val="22"/>
              </w:rPr>
            </w:pPr>
            <w:r w:rsidRPr="00E56F9C">
              <w:rPr>
                <w:rFonts w:cs="Arial"/>
                <w:color w:val="005EAC"/>
                <w:sz w:val="22"/>
              </w:rPr>
              <w:t>Strategic Policy: S7</w:t>
            </w:r>
          </w:p>
          <w:p w14:paraId="6237A23C" w14:textId="77777777" w:rsidR="004466EB" w:rsidRPr="00E56F9C" w:rsidRDefault="004466EB" w:rsidP="00E44687">
            <w:pPr>
              <w:keepNext w:val="0"/>
              <w:spacing w:before="0" w:line="276" w:lineRule="auto"/>
              <w:jc w:val="left"/>
              <w:rPr>
                <w:rFonts w:cs="Arial"/>
                <w:color w:val="005EAC"/>
                <w:sz w:val="22"/>
              </w:rPr>
            </w:pPr>
          </w:p>
          <w:p w14:paraId="0B57D3E2" w14:textId="77777777" w:rsidR="004466EB" w:rsidRPr="00E56F9C" w:rsidRDefault="004466EB" w:rsidP="00E44687">
            <w:pPr>
              <w:keepNext w:val="0"/>
              <w:spacing w:before="0" w:line="276" w:lineRule="auto"/>
              <w:jc w:val="left"/>
              <w:rPr>
                <w:rFonts w:cs="Arial"/>
                <w:b/>
                <w:bCs/>
                <w:color w:val="005EAC"/>
                <w:szCs w:val="24"/>
              </w:rPr>
            </w:pPr>
            <w:r w:rsidRPr="00E56F9C">
              <w:rPr>
                <w:rFonts w:cs="Arial"/>
                <w:color w:val="005EAC"/>
                <w:sz w:val="22"/>
              </w:rPr>
              <w:t>Development Management Policy: H3, SD5</w:t>
            </w:r>
          </w:p>
        </w:tc>
        <w:tc>
          <w:tcPr>
            <w:tcW w:w="7479" w:type="dxa"/>
          </w:tcPr>
          <w:p w14:paraId="436830C9" w14:textId="77777777" w:rsidR="004466EB" w:rsidRPr="005437C6" w:rsidRDefault="004466EB" w:rsidP="00E44687">
            <w:pPr>
              <w:keepNext w:val="0"/>
              <w:spacing w:before="0" w:line="276" w:lineRule="auto"/>
              <w:jc w:val="left"/>
              <w:rPr>
                <w:rFonts w:cs="Arial"/>
                <w:color w:val="0070C0"/>
                <w:szCs w:val="24"/>
              </w:rPr>
            </w:pPr>
            <w:r w:rsidRPr="005437C6">
              <w:rPr>
                <w:rFonts w:cs="Arial"/>
                <w:color w:val="0070C0"/>
                <w:szCs w:val="24"/>
              </w:rPr>
              <w:t>A minimum of 25% affordable housing will be required on this site.</w:t>
            </w:r>
          </w:p>
          <w:p w14:paraId="0F2464E4" w14:textId="77777777" w:rsidR="004466EB" w:rsidRPr="005437C6" w:rsidRDefault="004466EB" w:rsidP="00E44687">
            <w:pPr>
              <w:keepNext w:val="0"/>
              <w:autoSpaceDE w:val="0"/>
              <w:autoSpaceDN w:val="0"/>
              <w:adjustRightInd w:val="0"/>
              <w:spacing w:before="0"/>
              <w:ind w:right="284"/>
              <w:jc w:val="left"/>
              <w:rPr>
                <w:color w:val="0070C0"/>
                <w:szCs w:val="24"/>
              </w:rPr>
            </w:pPr>
          </w:p>
          <w:p w14:paraId="023F3874" w14:textId="77777777" w:rsidR="004466EB" w:rsidRPr="005437C6" w:rsidRDefault="004466EB" w:rsidP="00E44687">
            <w:pPr>
              <w:keepNext w:val="0"/>
              <w:autoSpaceDE w:val="0"/>
              <w:autoSpaceDN w:val="0"/>
              <w:adjustRightInd w:val="0"/>
              <w:spacing w:before="0"/>
              <w:ind w:right="284"/>
              <w:jc w:val="left"/>
              <w:rPr>
                <w:color w:val="0070C0"/>
                <w:szCs w:val="24"/>
              </w:rPr>
            </w:pPr>
            <w:r w:rsidRPr="005437C6">
              <w:rPr>
                <w:color w:val="0070C0"/>
                <w:szCs w:val="24"/>
              </w:rPr>
              <w:t>Tenure mix should be identified through discussions with the local authority.  The starting point will be based on delivery of:</w:t>
            </w:r>
          </w:p>
          <w:p w14:paraId="4E656167" w14:textId="77777777" w:rsidR="004466EB" w:rsidRPr="005437C6" w:rsidRDefault="004466EB" w:rsidP="00E44687">
            <w:pPr>
              <w:keepNext w:val="0"/>
              <w:autoSpaceDE w:val="0"/>
              <w:autoSpaceDN w:val="0"/>
              <w:adjustRightInd w:val="0"/>
              <w:spacing w:before="0"/>
              <w:ind w:left="357" w:right="284"/>
              <w:jc w:val="left"/>
              <w:rPr>
                <w:color w:val="0070C0"/>
                <w:szCs w:val="24"/>
              </w:rPr>
            </w:pPr>
          </w:p>
          <w:p w14:paraId="22568D28"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rPr>
            </w:pPr>
            <w:r w:rsidRPr="005437C6">
              <w:rPr>
                <w:rFonts w:cs="Arial"/>
                <w:color w:val="0070C0"/>
                <w:szCs w:val="24"/>
              </w:rPr>
              <w:t>25% Shared ownership/discounted homes for sale,</w:t>
            </w:r>
          </w:p>
          <w:p w14:paraId="6D71EEC0"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rPr>
            </w:pPr>
            <w:r w:rsidRPr="005437C6">
              <w:rPr>
                <w:rFonts w:cs="Arial"/>
                <w:color w:val="0070C0"/>
                <w:szCs w:val="24"/>
              </w:rPr>
              <w:t>25% Social Rents, and</w:t>
            </w:r>
          </w:p>
          <w:p w14:paraId="46E136EF"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rPr>
            </w:pPr>
            <w:r w:rsidRPr="005437C6">
              <w:rPr>
                <w:rFonts w:cs="Arial"/>
                <w:color w:val="0070C0"/>
                <w:szCs w:val="24"/>
              </w:rPr>
              <w:t>50% Affordable Rents.</w:t>
            </w:r>
          </w:p>
          <w:p w14:paraId="490539FA" w14:textId="77777777" w:rsidR="004466EB" w:rsidRPr="005437C6" w:rsidRDefault="004466EB" w:rsidP="00E44687">
            <w:pPr>
              <w:keepNext w:val="0"/>
              <w:spacing w:before="0" w:line="276" w:lineRule="auto"/>
              <w:jc w:val="left"/>
              <w:rPr>
                <w:rFonts w:cs="Arial"/>
                <w:color w:val="0070C0"/>
                <w:szCs w:val="24"/>
              </w:rPr>
            </w:pPr>
          </w:p>
        </w:tc>
      </w:tr>
    </w:tbl>
    <w:p w14:paraId="2C8D09C8" w14:textId="77777777" w:rsidR="004466EB" w:rsidRPr="005437C6" w:rsidRDefault="004466EB" w:rsidP="00E44687">
      <w:pPr>
        <w:keepNext w:val="0"/>
        <w:spacing w:before="0" w:after="160" w:line="276" w:lineRule="auto"/>
        <w:rPr>
          <w:rFonts w:eastAsia="Calibri" w:cs="Arial"/>
          <w:b/>
          <w:bCs/>
          <w:color w:val="0070C0"/>
          <w:szCs w:val="24"/>
          <w:lang w:eastAsia="en-US"/>
        </w:rPr>
      </w:pPr>
    </w:p>
    <w:p w14:paraId="1717366F" w14:textId="77777777" w:rsidR="004466EB" w:rsidRPr="005437C6" w:rsidRDefault="004466EB" w:rsidP="00E44687">
      <w:pPr>
        <w:keepNext w:val="0"/>
        <w:spacing w:before="0" w:after="160" w:line="276" w:lineRule="auto"/>
        <w:rPr>
          <w:rFonts w:eastAsia="Calibri" w:cs="Arial"/>
          <w:b/>
          <w:bCs/>
          <w:color w:val="0070C0"/>
          <w:szCs w:val="24"/>
          <w:lang w:eastAsia="en-US"/>
        </w:rPr>
      </w:pPr>
    </w:p>
    <w:p w14:paraId="5090461F"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noProof/>
          <w:color w:val="0070C0"/>
          <w:szCs w:val="24"/>
          <w:lang w:eastAsia="en-US"/>
        </w:rPr>
        <w:lastRenderedPageBreak/>
        <w:drawing>
          <wp:inline distT="0" distB="0" distL="0" distR="0" wp14:anchorId="7B4F28F6" wp14:editId="26E350D1">
            <wp:extent cx="6115904" cy="8640381"/>
            <wp:effectExtent l="0" t="0" r="0" b="8890"/>
            <wp:docPr id="1066697878" name="Picture 1" descr="Design considerations for allocation H1Sk - Sunnyside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97878" name="Picture 1" descr="Design considerations for allocation H1Sk - Sunnyside Farm"/>
                    <pic:cNvPicPr/>
                  </pic:nvPicPr>
                  <pic:blipFill>
                    <a:blip r:embed="rId122"/>
                    <a:stretch>
                      <a:fillRect/>
                    </a:stretch>
                  </pic:blipFill>
                  <pic:spPr>
                    <a:xfrm>
                      <a:off x="0" y="0"/>
                      <a:ext cx="6115904" cy="8640381"/>
                    </a:xfrm>
                    <a:prstGeom prst="rect">
                      <a:avLst/>
                    </a:prstGeom>
                  </pic:spPr>
                </pic:pic>
              </a:graphicData>
            </a:graphic>
          </wp:inline>
        </w:drawing>
      </w:r>
    </w:p>
    <w:p w14:paraId="49DF0168"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lastRenderedPageBreak/>
        <w:t>Residential Masterplan</w:t>
      </w:r>
    </w:p>
    <w:p w14:paraId="0B45CD13" w14:textId="77777777" w:rsidR="004466EB" w:rsidRPr="005437C6" w:rsidRDefault="004466EB" w:rsidP="004466EB">
      <w:pPr>
        <w:keepNext w:val="0"/>
        <w:spacing w:before="0" w:after="160" w:line="276" w:lineRule="auto"/>
        <w:jc w:val="center"/>
        <w:rPr>
          <w:rFonts w:eastAsia="Calibri" w:cs="Arial"/>
          <w:b/>
          <w:bCs/>
          <w:color w:val="0070C0"/>
          <w:szCs w:val="24"/>
          <w:lang w:eastAsia="en-US"/>
        </w:rPr>
      </w:pPr>
      <w:r w:rsidRPr="005437C6">
        <w:rPr>
          <w:rFonts w:eastAsia="Calibri" w:cs="Arial"/>
          <w:b/>
          <w:bCs/>
          <w:color w:val="0070C0"/>
          <w:szCs w:val="24"/>
          <w:lang w:eastAsia="en-US"/>
        </w:rPr>
        <w:t>H1Ss - Land East of Beck Lane</w:t>
      </w:r>
    </w:p>
    <w:p w14:paraId="0FD900A9"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12FB1410" w14:textId="77777777" w:rsidR="004466EB" w:rsidRPr="005437C6" w:rsidRDefault="004466EB" w:rsidP="004466EB">
      <w:pPr>
        <w:keepNext w:val="0"/>
        <w:spacing w:before="0" w:after="160" w:line="276" w:lineRule="auto"/>
        <w:jc w:val="both"/>
        <w:rPr>
          <w:rFonts w:eastAsia="Calibri" w:cs="Arial"/>
          <w:color w:val="0070C0"/>
          <w:szCs w:val="24"/>
          <w:lang w:eastAsia="en-US"/>
        </w:rPr>
      </w:pPr>
      <w:r w:rsidRPr="005437C6">
        <w:rPr>
          <w:rFonts w:eastAsia="Calibri" w:cs="Arial"/>
          <w:color w:val="0070C0"/>
          <w:szCs w:val="24"/>
          <w:lang w:eastAsia="en-US"/>
        </w:rPr>
        <w:t xml:space="preserve">This concise masterplan is intended to help guide the design of future development alongside the Local Plan and Neighbourhood Plan policies, and relevant Supplementary Planning Documents (SPDs)/ Council Guidance Notes. </w:t>
      </w:r>
    </w:p>
    <w:p w14:paraId="453D53EC" w14:textId="77777777" w:rsidR="004466EB" w:rsidRPr="005437C6" w:rsidRDefault="004466EB" w:rsidP="004466EB">
      <w:pPr>
        <w:keepNext w:val="0"/>
        <w:spacing w:before="0" w:after="160" w:line="276" w:lineRule="auto"/>
        <w:jc w:val="both"/>
        <w:rPr>
          <w:rFonts w:eastAsia="Calibri" w:cs="Arial"/>
          <w:color w:val="0070C0"/>
          <w:szCs w:val="24"/>
          <w:lang w:eastAsia="en-US"/>
        </w:rPr>
      </w:pPr>
    </w:p>
    <w:p w14:paraId="5CC961B8"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r w:rsidRPr="005437C6">
        <w:rPr>
          <w:rFonts w:eastAsia="Calibri" w:cs="Arial"/>
          <w:b/>
          <w:bCs/>
          <w:color w:val="0070C0"/>
          <w:szCs w:val="24"/>
          <w:lang w:eastAsia="en-US"/>
        </w:rPr>
        <w:t>Site Location and Surrounding Area</w:t>
      </w:r>
    </w:p>
    <w:tbl>
      <w:tblPr>
        <w:tblStyle w:val="TableGrid7"/>
        <w:tblW w:w="0" w:type="auto"/>
        <w:tblLook w:val="04A0" w:firstRow="1" w:lastRow="0" w:firstColumn="1" w:lastColumn="0" w:noHBand="0" w:noVBand="1"/>
      </w:tblPr>
      <w:tblGrid>
        <w:gridCol w:w="2003"/>
        <w:gridCol w:w="3034"/>
        <w:gridCol w:w="2442"/>
        <w:gridCol w:w="2150"/>
      </w:tblGrid>
      <w:tr w:rsidR="005437C6" w:rsidRPr="005437C6" w14:paraId="20ED712B" w14:textId="77777777">
        <w:trPr>
          <w:trHeight w:val="514"/>
        </w:trPr>
        <w:tc>
          <w:tcPr>
            <w:tcW w:w="2003" w:type="dxa"/>
            <w:shd w:val="clear" w:color="auto" w:fill="D9D9D9"/>
          </w:tcPr>
          <w:p w14:paraId="34B6B9A5" w14:textId="77777777" w:rsidR="004466EB" w:rsidRPr="00E56F9C" w:rsidRDefault="004466EB">
            <w:pPr>
              <w:keepNext w:val="0"/>
              <w:spacing w:before="0" w:line="276" w:lineRule="auto"/>
              <w:rPr>
                <w:rFonts w:cs="Arial"/>
                <w:b/>
                <w:bCs/>
                <w:color w:val="005EAC"/>
                <w:szCs w:val="24"/>
                <w:lang w:eastAsia="en-US"/>
              </w:rPr>
            </w:pPr>
            <w:r w:rsidRPr="00E56F9C">
              <w:rPr>
                <w:rFonts w:cs="Arial"/>
                <w:b/>
                <w:bCs/>
                <w:color w:val="005EAC"/>
                <w:szCs w:val="24"/>
                <w:lang w:eastAsia="en-US"/>
              </w:rPr>
              <w:t xml:space="preserve">Site Name: </w:t>
            </w:r>
          </w:p>
        </w:tc>
        <w:tc>
          <w:tcPr>
            <w:tcW w:w="3095" w:type="dxa"/>
          </w:tcPr>
          <w:p w14:paraId="60FCB4B3" w14:textId="77777777" w:rsidR="004466EB" w:rsidRPr="005437C6" w:rsidRDefault="004466EB">
            <w:pPr>
              <w:keepNext w:val="0"/>
              <w:spacing w:before="0" w:line="276" w:lineRule="auto"/>
              <w:rPr>
                <w:rFonts w:cs="Arial"/>
                <w:b/>
                <w:bCs/>
                <w:color w:val="0070C0"/>
                <w:szCs w:val="24"/>
                <w:lang w:eastAsia="en-US"/>
              </w:rPr>
            </w:pPr>
            <w:r w:rsidRPr="005437C6">
              <w:rPr>
                <w:rFonts w:cs="Arial"/>
                <w:color w:val="0070C0"/>
                <w:szCs w:val="24"/>
                <w:lang w:eastAsia="en-US"/>
              </w:rPr>
              <w:t>Land East of Beck Lane</w:t>
            </w:r>
          </w:p>
        </w:tc>
        <w:tc>
          <w:tcPr>
            <w:tcW w:w="2466" w:type="dxa"/>
            <w:shd w:val="clear" w:color="auto" w:fill="D9D9D9"/>
          </w:tcPr>
          <w:p w14:paraId="59AD14FC" w14:textId="77777777" w:rsidR="004466EB" w:rsidRPr="00E56F9C" w:rsidRDefault="004466EB">
            <w:pPr>
              <w:keepNext w:val="0"/>
              <w:spacing w:before="0" w:line="276" w:lineRule="auto"/>
              <w:rPr>
                <w:rFonts w:cs="Arial"/>
                <w:b/>
                <w:bCs/>
                <w:color w:val="005EAC"/>
                <w:szCs w:val="24"/>
                <w:lang w:eastAsia="en-US"/>
              </w:rPr>
            </w:pPr>
            <w:r w:rsidRPr="00E56F9C">
              <w:rPr>
                <w:rFonts w:cs="Arial"/>
                <w:b/>
                <w:bCs/>
                <w:color w:val="005EAC"/>
                <w:szCs w:val="24"/>
                <w:lang w:eastAsia="en-US"/>
              </w:rPr>
              <w:t xml:space="preserve">Site Allocation Ref:  </w:t>
            </w:r>
          </w:p>
        </w:tc>
        <w:tc>
          <w:tcPr>
            <w:tcW w:w="2178" w:type="dxa"/>
          </w:tcPr>
          <w:p w14:paraId="600AFF35" w14:textId="77777777" w:rsidR="004466EB" w:rsidRPr="005437C6" w:rsidRDefault="004466EB">
            <w:pPr>
              <w:keepNext w:val="0"/>
              <w:spacing w:before="0" w:line="276" w:lineRule="auto"/>
              <w:rPr>
                <w:rFonts w:cs="Arial"/>
                <w:b/>
                <w:bCs/>
                <w:color w:val="0070C0"/>
                <w:szCs w:val="24"/>
                <w:lang w:eastAsia="en-US"/>
              </w:rPr>
            </w:pPr>
            <w:r w:rsidRPr="005437C6">
              <w:rPr>
                <w:rFonts w:cs="Arial"/>
                <w:color w:val="0070C0"/>
                <w:szCs w:val="24"/>
                <w:lang w:eastAsia="en-US"/>
              </w:rPr>
              <w:t>H1Ss</w:t>
            </w:r>
          </w:p>
        </w:tc>
      </w:tr>
      <w:tr w:rsidR="005437C6" w:rsidRPr="005437C6" w14:paraId="3AB53863" w14:textId="77777777">
        <w:trPr>
          <w:trHeight w:val="619"/>
        </w:trPr>
        <w:tc>
          <w:tcPr>
            <w:tcW w:w="2003" w:type="dxa"/>
            <w:shd w:val="clear" w:color="auto" w:fill="D9D9D9"/>
          </w:tcPr>
          <w:p w14:paraId="501B3B16" w14:textId="77777777" w:rsidR="004466EB" w:rsidRPr="00E56F9C" w:rsidRDefault="004466EB">
            <w:pPr>
              <w:keepNext w:val="0"/>
              <w:spacing w:before="0" w:line="276" w:lineRule="auto"/>
              <w:rPr>
                <w:rFonts w:cs="Arial"/>
                <w:b/>
                <w:bCs/>
                <w:color w:val="005EAC"/>
                <w:szCs w:val="24"/>
                <w:lang w:eastAsia="en-US"/>
              </w:rPr>
            </w:pPr>
            <w:r w:rsidRPr="00E56F9C">
              <w:rPr>
                <w:rFonts w:cs="Arial"/>
                <w:b/>
                <w:bCs/>
                <w:color w:val="005EAC"/>
                <w:szCs w:val="24"/>
                <w:lang w:eastAsia="en-US"/>
              </w:rPr>
              <w:t xml:space="preserve">Total Area:  </w:t>
            </w:r>
          </w:p>
        </w:tc>
        <w:tc>
          <w:tcPr>
            <w:tcW w:w="3095" w:type="dxa"/>
          </w:tcPr>
          <w:p w14:paraId="3FB6AB3C" w14:textId="77777777" w:rsidR="004466EB" w:rsidRPr="005437C6" w:rsidRDefault="004466EB">
            <w:pPr>
              <w:keepNext w:val="0"/>
              <w:spacing w:before="0" w:line="276" w:lineRule="auto"/>
              <w:rPr>
                <w:rFonts w:cs="Arial"/>
                <w:color w:val="0070C0"/>
                <w:szCs w:val="24"/>
                <w:lang w:eastAsia="en-US"/>
              </w:rPr>
            </w:pPr>
            <w:r w:rsidRPr="005437C6">
              <w:rPr>
                <w:rFonts w:cs="Arial"/>
                <w:color w:val="0070C0"/>
                <w:szCs w:val="24"/>
                <w:lang w:eastAsia="en-US"/>
              </w:rPr>
              <w:t>11.8ha</w:t>
            </w:r>
          </w:p>
        </w:tc>
        <w:tc>
          <w:tcPr>
            <w:tcW w:w="2466" w:type="dxa"/>
            <w:shd w:val="clear" w:color="auto" w:fill="D9D9D9"/>
          </w:tcPr>
          <w:p w14:paraId="5DD3FA61" w14:textId="77777777" w:rsidR="004466EB" w:rsidRPr="00E56F9C" w:rsidRDefault="004466EB">
            <w:pPr>
              <w:keepNext w:val="0"/>
              <w:spacing w:before="0" w:line="276" w:lineRule="auto"/>
              <w:rPr>
                <w:rFonts w:cs="Arial"/>
                <w:b/>
                <w:bCs/>
                <w:color w:val="005EAC"/>
                <w:szCs w:val="24"/>
                <w:lang w:eastAsia="en-US"/>
              </w:rPr>
            </w:pPr>
            <w:r w:rsidRPr="00E56F9C">
              <w:rPr>
                <w:rFonts w:cs="Arial"/>
                <w:b/>
                <w:bCs/>
                <w:color w:val="005EAC"/>
                <w:szCs w:val="24"/>
                <w:lang w:eastAsia="en-US"/>
              </w:rPr>
              <w:t xml:space="preserve">Net Residential Development Area:  </w:t>
            </w:r>
          </w:p>
        </w:tc>
        <w:tc>
          <w:tcPr>
            <w:tcW w:w="2178" w:type="dxa"/>
          </w:tcPr>
          <w:p w14:paraId="2839566C" w14:textId="77777777" w:rsidR="004466EB" w:rsidRPr="005437C6" w:rsidRDefault="004466EB">
            <w:pPr>
              <w:keepNext w:val="0"/>
              <w:spacing w:before="0" w:line="276" w:lineRule="auto"/>
              <w:rPr>
                <w:rFonts w:cs="Arial"/>
                <w:color w:val="0070C0"/>
                <w:szCs w:val="24"/>
                <w:lang w:eastAsia="en-US"/>
              </w:rPr>
            </w:pPr>
            <w:r w:rsidRPr="005437C6">
              <w:rPr>
                <w:rFonts w:cs="Arial"/>
                <w:color w:val="0070C0"/>
                <w:szCs w:val="24"/>
                <w:lang w:eastAsia="en-US"/>
              </w:rPr>
              <w:t>7.08ha</w:t>
            </w:r>
          </w:p>
        </w:tc>
      </w:tr>
      <w:tr w:rsidR="005437C6" w:rsidRPr="005437C6" w14:paraId="0AFF7BF0" w14:textId="77777777">
        <w:trPr>
          <w:trHeight w:val="619"/>
        </w:trPr>
        <w:tc>
          <w:tcPr>
            <w:tcW w:w="2003" w:type="dxa"/>
            <w:shd w:val="clear" w:color="auto" w:fill="D9D9D9"/>
          </w:tcPr>
          <w:p w14:paraId="55410EEC" w14:textId="77777777" w:rsidR="004466EB" w:rsidRPr="00E56F9C" w:rsidRDefault="004466EB">
            <w:pPr>
              <w:keepNext w:val="0"/>
              <w:spacing w:before="0" w:line="276" w:lineRule="auto"/>
              <w:rPr>
                <w:rFonts w:cs="Arial"/>
                <w:b/>
                <w:bCs/>
                <w:color w:val="005EAC"/>
                <w:szCs w:val="24"/>
                <w:lang w:eastAsia="en-US"/>
              </w:rPr>
            </w:pPr>
            <w:r w:rsidRPr="00E56F9C">
              <w:rPr>
                <w:rFonts w:cs="Arial"/>
                <w:b/>
                <w:bCs/>
                <w:color w:val="005EAC"/>
                <w:szCs w:val="24"/>
                <w:lang w:eastAsia="en-US"/>
              </w:rPr>
              <w:t xml:space="preserve">OS Grid Ref:  </w:t>
            </w:r>
          </w:p>
        </w:tc>
        <w:tc>
          <w:tcPr>
            <w:tcW w:w="3095" w:type="dxa"/>
          </w:tcPr>
          <w:p w14:paraId="3BE64F39" w14:textId="77777777" w:rsidR="004466EB" w:rsidRPr="005437C6" w:rsidRDefault="004466EB">
            <w:pPr>
              <w:keepNext w:val="0"/>
              <w:spacing w:before="0" w:line="276" w:lineRule="auto"/>
              <w:rPr>
                <w:rFonts w:cs="Arial"/>
                <w:color w:val="0070C0"/>
                <w:szCs w:val="24"/>
                <w:lang w:eastAsia="en-US"/>
              </w:rPr>
            </w:pPr>
            <w:r w:rsidRPr="005437C6">
              <w:rPr>
                <w:rFonts w:cs="Arial"/>
                <w:color w:val="0070C0"/>
                <w:szCs w:val="24"/>
                <w:lang w:eastAsia="en-US"/>
              </w:rPr>
              <w:t>450895, 360905</w:t>
            </w:r>
          </w:p>
        </w:tc>
        <w:tc>
          <w:tcPr>
            <w:tcW w:w="2466" w:type="dxa"/>
            <w:shd w:val="clear" w:color="auto" w:fill="D9D9D9"/>
          </w:tcPr>
          <w:p w14:paraId="0D7A0F3C" w14:textId="77777777" w:rsidR="004466EB" w:rsidRPr="00E56F9C" w:rsidRDefault="004466EB">
            <w:pPr>
              <w:keepNext w:val="0"/>
              <w:spacing w:before="0" w:line="276" w:lineRule="auto"/>
              <w:rPr>
                <w:rFonts w:cs="Arial"/>
                <w:b/>
                <w:bCs/>
                <w:color w:val="005EAC"/>
                <w:szCs w:val="24"/>
                <w:lang w:eastAsia="en-US"/>
              </w:rPr>
            </w:pPr>
            <w:r w:rsidRPr="00E56F9C">
              <w:rPr>
                <w:rFonts w:cs="Arial"/>
                <w:b/>
                <w:bCs/>
                <w:color w:val="005EAC"/>
                <w:szCs w:val="24"/>
                <w:lang w:eastAsia="en-US"/>
              </w:rPr>
              <w:t xml:space="preserve">Potential Yield:  </w:t>
            </w:r>
          </w:p>
        </w:tc>
        <w:tc>
          <w:tcPr>
            <w:tcW w:w="2178" w:type="dxa"/>
          </w:tcPr>
          <w:p w14:paraId="1EA715E4" w14:textId="0770FF7C" w:rsidR="004466EB" w:rsidRPr="005437C6" w:rsidRDefault="004466EB">
            <w:pPr>
              <w:keepNext w:val="0"/>
              <w:spacing w:before="0" w:line="276" w:lineRule="auto"/>
              <w:rPr>
                <w:rFonts w:cs="Arial"/>
                <w:b/>
                <w:bCs/>
                <w:color w:val="0070C0"/>
                <w:szCs w:val="24"/>
                <w:lang w:eastAsia="en-US"/>
              </w:rPr>
            </w:pPr>
            <w:r w:rsidRPr="005437C6">
              <w:rPr>
                <w:rFonts w:cs="Arial"/>
                <w:color w:val="0070C0"/>
                <w:szCs w:val="24"/>
                <w:lang w:eastAsia="en-US"/>
              </w:rPr>
              <w:t>2</w:t>
            </w:r>
            <w:r w:rsidR="002B2A0F">
              <w:rPr>
                <w:rFonts w:cs="Arial"/>
                <w:color w:val="0070C0"/>
                <w:szCs w:val="24"/>
                <w:lang w:eastAsia="en-US"/>
              </w:rPr>
              <w:t>30</w:t>
            </w:r>
            <w:r w:rsidRPr="005437C6">
              <w:rPr>
                <w:rFonts w:cs="Arial"/>
                <w:color w:val="0070C0"/>
                <w:szCs w:val="24"/>
                <w:lang w:eastAsia="en-US"/>
              </w:rPr>
              <w:t xml:space="preserve"> dwellings </w:t>
            </w:r>
          </w:p>
        </w:tc>
      </w:tr>
      <w:tr w:rsidR="005437C6" w:rsidRPr="005437C6" w14:paraId="486C556D" w14:textId="77777777">
        <w:trPr>
          <w:trHeight w:val="619"/>
        </w:trPr>
        <w:tc>
          <w:tcPr>
            <w:tcW w:w="2003" w:type="dxa"/>
            <w:shd w:val="clear" w:color="auto" w:fill="D9D9D9"/>
          </w:tcPr>
          <w:p w14:paraId="06424AD5" w14:textId="77777777" w:rsidR="004466EB" w:rsidRPr="00E56F9C" w:rsidRDefault="004466EB">
            <w:pPr>
              <w:keepNext w:val="0"/>
              <w:spacing w:before="0" w:line="276" w:lineRule="auto"/>
              <w:rPr>
                <w:rFonts w:cs="Arial"/>
                <w:b/>
                <w:bCs/>
                <w:color w:val="005EAC"/>
                <w:szCs w:val="24"/>
                <w:lang w:eastAsia="en-US"/>
              </w:rPr>
            </w:pPr>
            <w:r w:rsidRPr="00E56F9C">
              <w:rPr>
                <w:rFonts w:cs="Arial"/>
                <w:b/>
                <w:bCs/>
                <w:color w:val="005EAC"/>
                <w:szCs w:val="24"/>
                <w:lang w:eastAsia="en-US"/>
              </w:rPr>
              <w:t xml:space="preserve">Neighbourhood Plan Area:  </w:t>
            </w:r>
          </w:p>
        </w:tc>
        <w:tc>
          <w:tcPr>
            <w:tcW w:w="3095" w:type="dxa"/>
          </w:tcPr>
          <w:p w14:paraId="383D7A09" w14:textId="77777777" w:rsidR="004466EB" w:rsidRPr="005437C6" w:rsidRDefault="004466EB">
            <w:pPr>
              <w:keepNext w:val="0"/>
              <w:spacing w:before="0" w:line="276" w:lineRule="auto"/>
              <w:rPr>
                <w:rFonts w:cs="Arial"/>
                <w:b/>
                <w:bCs/>
                <w:color w:val="0070C0"/>
                <w:szCs w:val="24"/>
                <w:lang w:eastAsia="en-US"/>
              </w:rPr>
            </w:pPr>
            <w:r w:rsidRPr="005437C6">
              <w:rPr>
                <w:rFonts w:cs="Arial"/>
                <w:color w:val="0070C0"/>
                <w:szCs w:val="24"/>
                <w:lang w:eastAsia="en-US"/>
              </w:rPr>
              <w:t>Teversal, Stanton Hill and Skegby</w:t>
            </w:r>
          </w:p>
        </w:tc>
        <w:tc>
          <w:tcPr>
            <w:tcW w:w="2466" w:type="dxa"/>
            <w:shd w:val="clear" w:color="auto" w:fill="D9D9D9"/>
          </w:tcPr>
          <w:p w14:paraId="297F8F00" w14:textId="77777777" w:rsidR="004466EB" w:rsidRPr="00E56F9C" w:rsidRDefault="004466EB">
            <w:pPr>
              <w:keepNext w:val="0"/>
              <w:spacing w:before="0" w:line="276" w:lineRule="auto"/>
              <w:rPr>
                <w:rFonts w:cs="Arial"/>
                <w:b/>
                <w:bCs/>
                <w:color w:val="005EAC"/>
                <w:szCs w:val="24"/>
                <w:lang w:eastAsia="en-US"/>
              </w:rPr>
            </w:pPr>
            <w:r w:rsidRPr="00E56F9C">
              <w:rPr>
                <w:rFonts w:cs="Arial"/>
                <w:b/>
                <w:bCs/>
                <w:color w:val="005EAC"/>
                <w:szCs w:val="24"/>
                <w:lang w:eastAsia="en-US"/>
              </w:rPr>
              <w:t xml:space="preserve">Greenfield/ Brownfield:  </w:t>
            </w:r>
          </w:p>
        </w:tc>
        <w:tc>
          <w:tcPr>
            <w:tcW w:w="2178" w:type="dxa"/>
          </w:tcPr>
          <w:p w14:paraId="1D9DC3C6" w14:textId="77777777" w:rsidR="004466EB" w:rsidRPr="005437C6" w:rsidRDefault="004466EB">
            <w:pPr>
              <w:keepNext w:val="0"/>
              <w:spacing w:before="0" w:line="276" w:lineRule="auto"/>
              <w:rPr>
                <w:rFonts w:cs="Arial"/>
                <w:b/>
                <w:bCs/>
                <w:color w:val="0070C0"/>
                <w:szCs w:val="24"/>
                <w:lang w:eastAsia="en-US"/>
              </w:rPr>
            </w:pPr>
            <w:r w:rsidRPr="005437C6">
              <w:rPr>
                <w:rFonts w:cs="Arial"/>
                <w:color w:val="0070C0"/>
                <w:szCs w:val="24"/>
                <w:lang w:eastAsia="en-US"/>
              </w:rPr>
              <w:t>Greenfield</w:t>
            </w:r>
          </w:p>
        </w:tc>
      </w:tr>
    </w:tbl>
    <w:p w14:paraId="7F160FE9" w14:textId="77777777" w:rsidR="004466EB" w:rsidRPr="005437C6" w:rsidRDefault="004466EB" w:rsidP="004466EB">
      <w:pPr>
        <w:keepNext w:val="0"/>
        <w:spacing w:before="0" w:after="160" w:line="276" w:lineRule="auto"/>
        <w:jc w:val="both"/>
        <w:rPr>
          <w:rFonts w:eastAsia="Calibri" w:cs="Arial"/>
          <w:b/>
          <w:bCs/>
          <w:color w:val="0070C0"/>
          <w:szCs w:val="24"/>
          <w:lang w:eastAsia="en-US"/>
        </w:rPr>
      </w:pPr>
    </w:p>
    <w:p w14:paraId="0C6D4B45" w14:textId="77777777" w:rsidR="004466EB" w:rsidRPr="00B209B5" w:rsidRDefault="004466EB" w:rsidP="004466EB">
      <w:pPr>
        <w:keepNext w:val="0"/>
        <w:spacing w:before="0" w:after="160" w:line="276" w:lineRule="auto"/>
        <w:jc w:val="both"/>
        <w:rPr>
          <w:rFonts w:eastAsia="Calibri" w:cs="Arial"/>
          <w:b/>
          <w:bCs/>
          <w:color w:val="auto"/>
          <w:szCs w:val="24"/>
          <w:lang w:eastAsia="en-US"/>
        </w:rPr>
      </w:pPr>
      <w:r w:rsidRPr="00B209B5">
        <w:rPr>
          <w:rFonts w:eastAsia="Calibri"/>
          <w:noProof/>
          <w:color w:val="auto"/>
          <w:szCs w:val="22"/>
          <w:lang w:eastAsia="en-US"/>
        </w:rPr>
        <w:drawing>
          <wp:inline distT="0" distB="0" distL="0" distR="0" wp14:anchorId="79A027AE" wp14:editId="101F428A">
            <wp:extent cx="6192520" cy="4359910"/>
            <wp:effectExtent l="0" t="0" r="0" b="2540"/>
            <wp:docPr id="1768392903" name="Picture 1768392903" descr="Aerial view of the si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erial view of the site&#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92520" cy="4359910"/>
                    </a:xfrm>
                    <a:prstGeom prst="rect">
                      <a:avLst/>
                    </a:prstGeom>
                    <a:noFill/>
                    <a:ln>
                      <a:noFill/>
                    </a:ln>
                  </pic:spPr>
                </pic:pic>
              </a:graphicData>
            </a:graphic>
          </wp:inline>
        </w:drawing>
      </w:r>
    </w:p>
    <w:p w14:paraId="57ED3FA7" w14:textId="77777777" w:rsidR="004466EB" w:rsidRPr="005437C6" w:rsidRDefault="004466EB" w:rsidP="004466EB">
      <w:pPr>
        <w:keepNext w:val="0"/>
        <w:spacing w:before="0" w:after="160" w:line="276" w:lineRule="auto"/>
        <w:jc w:val="both"/>
        <w:rPr>
          <w:rFonts w:eastAsia="Calibri" w:cs="Arial"/>
          <w:color w:val="0070C0"/>
          <w:szCs w:val="24"/>
          <w:lang w:eastAsia="en-US"/>
        </w:rPr>
      </w:pPr>
      <w:r w:rsidRPr="005437C6">
        <w:rPr>
          <w:rFonts w:eastAsia="Calibri" w:cs="Arial"/>
          <w:color w:val="0070C0"/>
          <w:szCs w:val="24"/>
          <w:lang w:eastAsia="en-US"/>
        </w:rPr>
        <w:lastRenderedPageBreak/>
        <w:t>The site is located east of Beck Lane (A6075) and comprises arable fields with an existing farm access track to Ashland Farm running east-west through the central part of the site. Local facilities and services as well as residential properties which form part of the community of Skegby are located to the south and south-west of the site. The eastern edge of the site forms the district boundary with Mansfield District Council with the main urban area of Mansfield further to the east.</w:t>
      </w:r>
    </w:p>
    <w:p w14:paraId="43AFBC3D" w14:textId="77777777" w:rsidR="004466EB" w:rsidRPr="005437C6" w:rsidRDefault="004466EB" w:rsidP="004466EB">
      <w:pPr>
        <w:keepNext w:val="0"/>
        <w:spacing w:before="0" w:after="160" w:line="276" w:lineRule="auto"/>
        <w:jc w:val="both"/>
        <w:rPr>
          <w:rFonts w:eastAsia="Calibri" w:cs="Arial"/>
          <w:color w:val="0070C0"/>
          <w:szCs w:val="24"/>
          <w:lang w:eastAsia="en-US"/>
        </w:rPr>
      </w:pPr>
      <w:r w:rsidRPr="005437C6">
        <w:rPr>
          <w:rFonts w:eastAsia="Calibri" w:cs="Arial"/>
          <w:color w:val="0070C0"/>
          <w:szCs w:val="24"/>
          <w:lang w:eastAsia="en-US"/>
        </w:rPr>
        <w:t>There is currently no access to an existing bus service within 800m of the site, however the site on the opposite side of Beck Lane (housing allocation H1Saa) has planning permission with an agreement in place to extend a bus service into that site. The southwestern part is within 1000m of a destination park (Stamper Crescent Recreation Ground).</w:t>
      </w:r>
    </w:p>
    <w:p w14:paraId="47D55071" w14:textId="77777777" w:rsidR="004466EB" w:rsidRPr="005437C6" w:rsidRDefault="004466EB" w:rsidP="004466EB">
      <w:pPr>
        <w:keepNext w:val="0"/>
        <w:spacing w:before="0" w:after="160" w:line="276" w:lineRule="auto"/>
        <w:rPr>
          <w:rFonts w:eastAsia="Calibri" w:cs="Arial"/>
          <w:color w:val="0070C0"/>
          <w:szCs w:val="24"/>
          <w:lang w:eastAsia="en-US"/>
        </w:rPr>
      </w:pPr>
    </w:p>
    <w:p w14:paraId="5D7BE88C" w14:textId="77777777" w:rsidR="004466EB" w:rsidRPr="005437C6" w:rsidRDefault="004466EB" w:rsidP="004466EB">
      <w:pPr>
        <w:keepNext w:val="0"/>
        <w:autoSpaceDE w:val="0"/>
        <w:autoSpaceDN w:val="0"/>
        <w:adjustRightInd w:val="0"/>
        <w:spacing w:before="0" w:line="276" w:lineRule="auto"/>
        <w:rPr>
          <w:rFonts w:eastAsia="Calibri" w:cs="Arial"/>
          <w:b/>
          <w:bCs/>
          <w:color w:val="0070C0"/>
          <w:szCs w:val="24"/>
          <w:lang w:eastAsia="en-US"/>
        </w:rPr>
      </w:pPr>
      <w:r w:rsidRPr="005437C6">
        <w:rPr>
          <w:rFonts w:eastAsia="Calibri" w:cs="Arial"/>
          <w:b/>
          <w:bCs/>
          <w:color w:val="0070C0"/>
          <w:szCs w:val="24"/>
          <w:lang w:eastAsia="en-US"/>
        </w:rPr>
        <w:t>Existing Characteristics, Development Opportunities and Requirements</w:t>
      </w:r>
    </w:p>
    <w:p w14:paraId="75953978"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78CA9F09"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 xml:space="preserve">The site contains </w:t>
      </w:r>
      <w:proofErr w:type="gramStart"/>
      <w:r w:rsidRPr="005437C6">
        <w:rPr>
          <w:rFonts w:eastAsia="Calibri" w:cs="Arial"/>
          <w:color w:val="0070C0"/>
          <w:szCs w:val="24"/>
          <w:lang w:eastAsia="en-US"/>
        </w:rPr>
        <w:t>a number of</w:t>
      </w:r>
      <w:proofErr w:type="gramEnd"/>
      <w:r w:rsidRPr="005437C6">
        <w:rPr>
          <w:rFonts w:eastAsia="Calibri" w:cs="Arial"/>
          <w:color w:val="0070C0"/>
          <w:szCs w:val="24"/>
          <w:lang w:eastAsia="en-US"/>
        </w:rPr>
        <w:t xml:space="preserve"> characteristics, features and constraints that future development must consider. Key Local Plan Policy requirements for this site are set out </w:t>
      </w:r>
      <w:proofErr w:type="gramStart"/>
      <w:r w:rsidRPr="005437C6">
        <w:rPr>
          <w:rFonts w:eastAsia="Calibri" w:cs="Arial"/>
          <w:color w:val="0070C0"/>
          <w:szCs w:val="24"/>
          <w:lang w:eastAsia="en-US"/>
        </w:rPr>
        <w:t>below,</w:t>
      </w:r>
      <w:proofErr w:type="gramEnd"/>
      <w:r w:rsidRPr="005437C6">
        <w:rPr>
          <w:rFonts w:eastAsia="Calibri" w:cs="Arial"/>
          <w:color w:val="0070C0"/>
          <w:szCs w:val="24"/>
          <w:lang w:eastAsia="en-US"/>
        </w:rPr>
        <w:t xml:space="preserve"> however it should be noted that the Local Plan should be read </w:t>
      </w:r>
      <w:proofErr w:type="gramStart"/>
      <w:r w:rsidRPr="005437C6">
        <w:rPr>
          <w:rFonts w:eastAsia="Calibri" w:cs="Arial"/>
          <w:color w:val="0070C0"/>
          <w:szCs w:val="24"/>
          <w:lang w:eastAsia="en-US"/>
        </w:rPr>
        <w:t>as a whole including</w:t>
      </w:r>
      <w:proofErr w:type="gramEnd"/>
      <w:r w:rsidRPr="005437C6">
        <w:rPr>
          <w:rFonts w:eastAsia="Calibri" w:cs="Arial"/>
          <w:color w:val="0070C0"/>
          <w:szCs w:val="24"/>
          <w:lang w:eastAsia="en-US"/>
        </w:rPr>
        <w:t xml:space="preserve"> any other relevant policies. </w:t>
      </w:r>
    </w:p>
    <w:p w14:paraId="10441296" w14:textId="77777777" w:rsidR="004466EB" w:rsidRPr="005437C6" w:rsidRDefault="004466EB" w:rsidP="004466EB">
      <w:pPr>
        <w:keepNext w:val="0"/>
        <w:tabs>
          <w:tab w:val="left" w:pos="2850"/>
        </w:tabs>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ab/>
      </w:r>
    </w:p>
    <w:p w14:paraId="1E89B0C7"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r w:rsidRPr="005437C6">
        <w:rPr>
          <w:rFonts w:eastAsia="Calibri" w:cs="Arial"/>
          <w:color w:val="0070C0"/>
          <w:szCs w:val="24"/>
          <w:lang w:eastAsia="en-US"/>
        </w:rPr>
        <w:t>Contributions towards local infrastructure that is needed to support the development will be negotiated through a Section 106 legal agreement.  Where appropriate, the Council will seek contributions for education, health, libraries, waste and transport infrastructure in consultation with the County Council, NHS Nottingham and Nottinghamshire Integrated Care Board (ICB).  Contributions towards other infrastructure and facilities will be considered on a site-by-site basis, and may include:</w:t>
      </w:r>
    </w:p>
    <w:p w14:paraId="234F832F"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p w14:paraId="3C686117"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 xml:space="preserve">the regeneration of town centres; </w:t>
      </w:r>
    </w:p>
    <w:p w14:paraId="0B617FFB"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provision of appropriate sport and recreation facilities, new and improved open space, improving quality and access to green and blue infrastructure;</w:t>
      </w:r>
    </w:p>
    <w:p w14:paraId="367784BE"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the conservation and enhancement of the historic environment;</w:t>
      </w:r>
    </w:p>
    <w:p w14:paraId="222C4E95"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tackling climate change including flooding or water quality;</w:t>
      </w:r>
    </w:p>
    <w:p w14:paraId="18CF70A4"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cross-boundary infrastructure to help deliver and mitigate the effects of development;</w:t>
      </w:r>
    </w:p>
    <w:p w14:paraId="6920F421" w14:textId="77777777" w:rsidR="004466EB" w:rsidRPr="005437C6" w:rsidRDefault="004466EB" w:rsidP="004466EB">
      <w:pPr>
        <w:keepNext w:val="0"/>
        <w:numPr>
          <w:ilvl w:val="0"/>
          <w:numId w:val="362"/>
        </w:numPr>
        <w:autoSpaceDE w:val="0"/>
        <w:autoSpaceDN w:val="0"/>
        <w:adjustRightInd w:val="0"/>
        <w:spacing w:before="0" w:after="160" w:line="276" w:lineRule="auto"/>
        <w:contextualSpacing/>
        <w:jc w:val="both"/>
        <w:rPr>
          <w:rFonts w:eastAsia="Calibri" w:cs="Arial"/>
          <w:color w:val="0070C0"/>
          <w:szCs w:val="24"/>
          <w:lang w:eastAsia="en-US"/>
        </w:rPr>
      </w:pPr>
      <w:r w:rsidRPr="005437C6">
        <w:rPr>
          <w:rFonts w:eastAsia="Calibri" w:cs="Arial"/>
          <w:color w:val="0070C0"/>
          <w:szCs w:val="24"/>
          <w:lang w:eastAsia="en-US"/>
        </w:rPr>
        <w:t>supporting service infrastructure.</w:t>
      </w:r>
    </w:p>
    <w:p w14:paraId="30428ACE" w14:textId="77777777" w:rsidR="004466EB" w:rsidRPr="005437C6" w:rsidRDefault="004466EB" w:rsidP="004466EB">
      <w:pPr>
        <w:keepNext w:val="0"/>
        <w:autoSpaceDE w:val="0"/>
        <w:autoSpaceDN w:val="0"/>
        <w:adjustRightInd w:val="0"/>
        <w:spacing w:before="0" w:line="276" w:lineRule="auto"/>
        <w:rPr>
          <w:rFonts w:eastAsia="Calibri" w:cs="Arial"/>
          <w:color w:val="0070C0"/>
          <w:szCs w:val="24"/>
          <w:lang w:eastAsia="en-US"/>
        </w:rPr>
      </w:pPr>
    </w:p>
    <w:tbl>
      <w:tblPr>
        <w:tblStyle w:val="TableGrid7"/>
        <w:tblW w:w="0" w:type="auto"/>
        <w:tblLook w:val="04A0" w:firstRow="1" w:lastRow="0" w:firstColumn="1" w:lastColumn="0" w:noHBand="0" w:noVBand="1"/>
      </w:tblPr>
      <w:tblGrid>
        <w:gridCol w:w="2254"/>
        <w:gridCol w:w="7375"/>
      </w:tblGrid>
      <w:tr w:rsidR="005437C6" w:rsidRPr="005437C6" w14:paraId="2272A309" w14:textId="77777777">
        <w:tc>
          <w:tcPr>
            <w:tcW w:w="2263" w:type="dxa"/>
            <w:shd w:val="clear" w:color="auto" w:fill="D9D9D9"/>
          </w:tcPr>
          <w:p w14:paraId="03D3BB22"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t>Location, Design &amp; Density</w:t>
            </w:r>
          </w:p>
          <w:p w14:paraId="6CBEC6F7" w14:textId="77777777" w:rsidR="004466EB" w:rsidRPr="00E56F9C" w:rsidRDefault="004466EB" w:rsidP="00E44687">
            <w:pPr>
              <w:keepNext w:val="0"/>
              <w:spacing w:before="0" w:line="276" w:lineRule="auto"/>
              <w:jc w:val="left"/>
              <w:rPr>
                <w:rFonts w:cs="Arial"/>
                <w:b/>
                <w:bCs/>
                <w:color w:val="005EAC"/>
                <w:szCs w:val="24"/>
                <w:lang w:eastAsia="en-US"/>
              </w:rPr>
            </w:pPr>
          </w:p>
          <w:p w14:paraId="6DE3D3BC"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Policies:</w:t>
            </w:r>
          </w:p>
          <w:p w14:paraId="583EC39D"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S2, S3, S5, S9, S12, S13, S14</w:t>
            </w:r>
          </w:p>
          <w:p w14:paraId="7AE342A9" w14:textId="77777777" w:rsidR="004466EB" w:rsidRPr="00E56F9C" w:rsidRDefault="004466EB" w:rsidP="00E44687">
            <w:pPr>
              <w:keepNext w:val="0"/>
              <w:spacing w:before="0" w:line="276" w:lineRule="auto"/>
              <w:jc w:val="left"/>
              <w:rPr>
                <w:rFonts w:cs="Arial"/>
                <w:color w:val="005EAC"/>
                <w:sz w:val="22"/>
                <w:lang w:eastAsia="en-US"/>
              </w:rPr>
            </w:pPr>
          </w:p>
          <w:p w14:paraId="7B814B6C"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lastRenderedPageBreak/>
              <w:t>Development Management Policies:</w:t>
            </w:r>
          </w:p>
          <w:p w14:paraId="2A375C28"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CC1, EV6, EV9, H7, SD2, SD3, SD9, SD10</w:t>
            </w:r>
          </w:p>
        </w:tc>
        <w:tc>
          <w:tcPr>
            <w:tcW w:w="7479" w:type="dxa"/>
          </w:tcPr>
          <w:p w14:paraId="28D72FFE"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lastRenderedPageBreak/>
              <w:t>Beck Lane serves as a main arterial route linking Skegby with areas to the north. Development must successfully utilise and acknowledge the opportunity to create a strong frontage along this busy section of road through the following:</w:t>
            </w:r>
          </w:p>
          <w:p w14:paraId="6258E55C"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0763DC35" w14:textId="77777777" w:rsidR="004466EB" w:rsidRPr="005437C6" w:rsidRDefault="004466EB" w:rsidP="00E44687">
            <w:pPr>
              <w:keepNext w:val="0"/>
              <w:numPr>
                <w:ilvl w:val="0"/>
                <w:numId w:val="388"/>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t>Appropriate landscaping and visual interest alongside site boundaries.</w:t>
            </w:r>
          </w:p>
          <w:p w14:paraId="1D03924E" w14:textId="77777777" w:rsidR="004466EB" w:rsidRPr="005437C6" w:rsidRDefault="004466EB" w:rsidP="00E44687">
            <w:pPr>
              <w:keepNext w:val="0"/>
              <w:numPr>
                <w:ilvl w:val="0"/>
                <w:numId w:val="388"/>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lastRenderedPageBreak/>
              <w:t>Materials and boundary treatments should be of a high-quality design to create a positive visual contribution.</w:t>
            </w:r>
          </w:p>
          <w:p w14:paraId="2D1084E4" w14:textId="77777777" w:rsidR="004466EB" w:rsidRPr="005437C6" w:rsidRDefault="004466EB" w:rsidP="00E44687">
            <w:pPr>
              <w:keepNext w:val="0"/>
              <w:numPr>
                <w:ilvl w:val="0"/>
                <w:numId w:val="388"/>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t>Consideration should be given to the orientation, roof type and scale of built form to ensure development appears integrated into its surroundings and reflective of the local vernacular.</w:t>
            </w:r>
          </w:p>
          <w:p w14:paraId="6DC6EE66"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478A5F31" w14:textId="78AD3236"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Any future development scheme would be expected to deliver a minimum density of 30 dwellings / ha in this location.</w:t>
            </w:r>
          </w:p>
        </w:tc>
      </w:tr>
      <w:tr w:rsidR="005437C6" w:rsidRPr="005437C6" w14:paraId="328DAE09" w14:textId="77777777">
        <w:tc>
          <w:tcPr>
            <w:tcW w:w="2263" w:type="dxa"/>
            <w:shd w:val="clear" w:color="auto" w:fill="D9D9D9"/>
          </w:tcPr>
          <w:p w14:paraId="22E547A5"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lastRenderedPageBreak/>
              <w:t>Addressing Climate Change</w:t>
            </w:r>
          </w:p>
          <w:p w14:paraId="50FA4155" w14:textId="77777777" w:rsidR="004466EB" w:rsidRPr="00E56F9C" w:rsidRDefault="004466EB" w:rsidP="00E44687">
            <w:pPr>
              <w:keepNext w:val="0"/>
              <w:spacing w:before="0" w:line="276" w:lineRule="auto"/>
              <w:jc w:val="left"/>
              <w:rPr>
                <w:rFonts w:cs="Arial"/>
                <w:b/>
                <w:bCs/>
                <w:color w:val="005EAC"/>
                <w:szCs w:val="24"/>
                <w:lang w:eastAsia="en-US"/>
              </w:rPr>
            </w:pPr>
          </w:p>
          <w:p w14:paraId="2BA94328"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Policy: S3</w:t>
            </w:r>
          </w:p>
          <w:p w14:paraId="178210E1" w14:textId="77777777" w:rsidR="004466EB" w:rsidRPr="00E56F9C" w:rsidRDefault="004466EB" w:rsidP="00E44687">
            <w:pPr>
              <w:keepNext w:val="0"/>
              <w:spacing w:before="0" w:line="276" w:lineRule="auto"/>
              <w:jc w:val="left"/>
              <w:rPr>
                <w:rFonts w:cs="Arial"/>
                <w:color w:val="005EAC"/>
                <w:sz w:val="22"/>
                <w:lang w:eastAsia="en-US"/>
              </w:rPr>
            </w:pPr>
          </w:p>
          <w:p w14:paraId="73CE35D1"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Development Management Policies:</w:t>
            </w:r>
          </w:p>
          <w:p w14:paraId="48F387F7"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CC1, CC2, CC3, SD4, SD10</w:t>
            </w:r>
          </w:p>
        </w:tc>
        <w:tc>
          <w:tcPr>
            <w:tcW w:w="7479" w:type="dxa"/>
          </w:tcPr>
          <w:p w14:paraId="41B3DE14" w14:textId="77777777" w:rsidR="004466EB" w:rsidRPr="005437C6" w:rsidRDefault="004466EB" w:rsidP="00E44687">
            <w:pPr>
              <w:keepNext w:val="0"/>
              <w:spacing w:before="0" w:after="160" w:line="252" w:lineRule="auto"/>
              <w:jc w:val="left"/>
              <w:rPr>
                <w:rFonts w:cs="Arial"/>
                <w:color w:val="0070C0"/>
                <w:szCs w:val="24"/>
                <w:u w:val="single"/>
              </w:rPr>
            </w:pPr>
            <w:r w:rsidRPr="005437C6">
              <w:rPr>
                <w:rFonts w:cs="Arial"/>
                <w:color w:val="0070C0"/>
                <w:szCs w:val="24"/>
              </w:rPr>
              <w:t xml:space="preserve">Development must reflect the Council’s approach to becoming net-zero carbon by 2050, and accord with the Council’s planning guidance on this aspect, which is available on the website: </w:t>
            </w:r>
            <w:hyperlink r:id="rId124" w:history="1">
              <w:r w:rsidRPr="005437C6">
                <w:rPr>
                  <w:rFonts w:cs="Arial"/>
                  <w:color w:val="0070C0"/>
                  <w:szCs w:val="24"/>
                  <w:u w:val="single"/>
                </w:rPr>
                <w:t>Ashfield District Council Supplementary Planning Documents and Guidance</w:t>
              </w:r>
            </w:hyperlink>
          </w:p>
          <w:p w14:paraId="2C5B8CD1" w14:textId="77777777" w:rsidR="004466EB" w:rsidRPr="005437C6" w:rsidRDefault="004466EB" w:rsidP="00E44687">
            <w:pPr>
              <w:keepNext w:val="0"/>
              <w:spacing w:before="0" w:after="160" w:line="252" w:lineRule="auto"/>
              <w:jc w:val="left"/>
              <w:rPr>
                <w:rFonts w:cs="Arial"/>
                <w:color w:val="0070C0"/>
                <w:szCs w:val="24"/>
              </w:rPr>
            </w:pPr>
            <w:r w:rsidRPr="005437C6">
              <w:rPr>
                <w:rFonts w:cs="Arial"/>
                <w:color w:val="0070C0"/>
                <w:szCs w:val="24"/>
              </w:rPr>
              <w:t>Key elements to consider include:</w:t>
            </w:r>
          </w:p>
          <w:p w14:paraId="4F3608D0"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Orientation of buildings to achieve maximum solar gain and integration of solar panels.</w:t>
            </w:r>
          </w:p>
          <w:p w14:paraId="66FCFA10"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lang w:eastAsia="en-US"/>
              </w:rPr>
              <w:t xml:space="preserve">Planting street trees and other street planting to soften the impact of car parking, help improve air quality and contribute to biodiversity.  </w:t>
            </w:r>
          </w:p>
          <w:p w14:paraId="1212243D"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Incorporate rainwater harvesting.</w:t>
            </w:r>
          </w:p>
          <w:p w14:paraId="5D04E544"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rPr>
              <w:t>Provide g</w:t>
            </w:r>
            <w:r w:rsidRPr="005437C6">
              <w:rPr>
                <w:rFonts w:cs="Arial"/>
                <w:color w:val="0070C0"/>
                <w:szCs w:val="24"/>
                <w:lang w:eastAsia="en-US"/>
              </w:rPr>
              <w:t xml:space="preserve">reen space to minimising the increased risk of flooding from all sources </w:t>
            </w:r>
            <w:proofErr w:type="gramStart"/>
            <w:r w:rsidRPr="005437C6">
              <w:rPr>
                <w:rFonts w:cs="Arial"/>
                <w:color w:val="0070C0"/>
                <w:szCs w:val="24"/>
                <w:lang w:eastAsia="en-US"/>
              </w:rPr>
              <w:t>through the use of</w:t>
            </w:r>
            <w:proofErr w:type="gramEnd"/>
            <w:r w:rsidRPr="005437C6">
              <w:rPr>
                <w:rFonts w:cs="Arial"/>
                <w:color w:val="0070C0"/>
                <w:szCs w:val="24"/>
                <w:lang w:eastAsia="en-US"/>
              </w:rPr>
              <w:t xml:space="preserve"> SUDs. </w:t>
            </w:r>
          </w:p>
          <w:p w14:paraId="1FDC48E2"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lang w:eastAsia="en-US"/>
              </w:rPr>
              <w:t>Other forms of low carbon technology, such as air source or ground source heat pumps.</w:t>
            </w:r>
          </w:p>
          <w:p w14:paraId="60E4BE25"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lang w:eastAsia="en-US"/>
              </w:rPr>
              <w:t>The provision of electric vehicle charging points.</w:t>
            </w:r>
          </w:p>
          <w:p w14:paraId="425F8C8C"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eastAsia="Arial" w:cs="Arial"/>
                <w:bCs/>
                <w:color w:val="0070C0"/>
                <w:lang w:eastAsia="en-US"/>
              </w:rPr>
              <w:t>Implementation of water efficiency measures to minimise water consumption, to achieve a requirement of not exceeding 110 litres per person per day.</w:t>
            </w:r>
          </w:p>
          <w:p w14:paraId="669FC168" w14:textId="77777777" w:rsidR="004466EB" w:rsidRPr="005437C6" w:rsidRDefault="004466EB" w:rsidP="00E44687">
            <w:pPr>
              <w:keepNext w:val="0"/>
              <w:numPr>
                <w:ilvl w:val="0"/>
                <w:numId w:val="384"/>
              </w:numPr>
              <w:spacing w:before="0" w:after="160" w:line="252" w:lineRule="auto"/>
              <w:contextualSpacing/>
              <w:jc w:val="left"/>
              <w:rPr>
                <w:rFonts w:cs="Arial"/>
                <w:color w:val="0070C0"/>
                <w:szCs w:val="24"/>
              </w:rPr>
            </w:pPr>
            <w:r w:rsidRPr="005437C6">
              <w:rPr>
                <w:rFonts w:cs="Arial"/>
                <w:color w:val="0070C0"/>
                <w:szCs w:val="24"/>
                <w:lang w:eastAsia="en-US"/>
              </w:rPr>
              <w:t>Sustainable waste management by providing space for recycling and composting.</w:t>
            </w:r>
          </w:p>
          <w:p w14:paraId="19CB97DD"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tc>
      </w:tr>
      <w:tr w:rsidR="005437C6" w:rsidRPr="005437C6" w14:paraId="2A03763F" w14:textId="77777777">
        <w:tc>
          <w:tcPr>
            <w:tcW w:w="2263" w:type="dxa"/>
            <w:shd w:val="clear" w:color="auto" w:fill="D9D9D9"/>
          </w:tcPr>
          <w:p w14:paraId="005A6451"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t>Access &amp; Transport</w:t>
            </w:r>
          </w:p>
          <w:p w14:paraId="26C7311F" w14:textId="77777777" w:rsidR="004466EB" w:rsidRPr="00E56F9C" w:rsidRDefault="004466EB" w:rsidP="00E44687">
            <w:pPr>
              <w:keepNext w:val="0"/>
              <w:spacing w:before="0" w:line="276" w:lineRule="auto"/>
              <w:jc w:val="left"/>
              <w:rPr>
                <w:rFonts w:cs="Arial"/>
                <w:b/>
                <w:bCs/>
                <w:color w:val="005EAC"/>
                <w:szCs w:val="24"/>
                <w:lang w:eastAsia="en-US"/>
              </w:rPr>
            </w:pPr>
          </w:p>
          <w:p w14:paraId="42B446DB"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Policies: S2, S9, S10</w:t>
            </w:r>
          </w:p>
          <w:p w14:paraId="190F2A8F" w14:textId="77777777" w:rsidR="004466EB" w:rsidRPr="00E56F9C" w:rsidRDefault="004466EB" w:rsidP="00E44687">
            <w:pPr>
              <w:keepNext w:val="0"/>
              <w:spacing w:before="0" w:line="276" w:lineRule="auto"/>
              <w:jc w:val="left"/>
              <w:rPr>
                <w:rFonts w:cs="Arial"/>
                <w:color w:val="005EAC"/>
                <w:sz w:val="22"/>
                <w:lang w:eastAsia="en-US"/>
              </w:rPr>
            </w:pPr>
          </w:p>
          <w:p w14:paraId="75E0721C"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Development Management Policies:</w:t>
            </w:r>
          </w:p>
          <w:p w14:paraId="3E8684EC"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SD2, SD5, SD10, SD11</w:t>
            </w:r>
          </w:p>
        </w:tc>
        <w:tc>
          <w:tcPr>
            <w:tcW w:w="7479" w:type="dxa"/>
          </w:tcPr>
          <w:p w14:paraId="49A6292D"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NCC Highways Requirements:</w:t>
            </w:r>
          </w:p>
          <w:p w14:paraId="06867C37"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70580DCA" w14:textId="77777777" w:rsidR="004466EB" w:rsidRPr="005437C6" w:rsidRDefault="004466EB" w:rsidP="00E44687">
            <w:pPr>
              <w:keepNext w:val="0"/>
              <w:numPr>
                <w:ilvl w:val="0"/>
                <w:numId w:val="389"/>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t>The site should have at least 2 points of access, to assist with dispersing concentration of traffic flows.</w:t>
            </w:r>
          </w:p>
          <w:p w14:paraId="7D15E6FB" w14:textId="77777777" w:rsidR="004466EB" w:rsidRPr="005437C6" w:rsidRDefault="004466EB" w:rsidP="00E44687">
            <w:pPr>
              <w:keepNext w:val="0"/>
              <w:numPr>
                <w:ilvl w:val="0"/>
                <w:numId w:val="389"/>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t xml:space="preserve">Future mitigation at key junctions along the MARR will be significant high-cost engineering works and will require acquisition of 3rd party land, which will be the main difficulty in trying to deliver any beneficial mitigation works.  </w:t>
            </w:r>
          </w:p>
          <w:p w14:paraId="4C4B1AE7" w14:textId="77777777" w:rsidR="004466EB" w:rsidRPr="005437C6" w:rsidRDefault="004466EB" w:rsidP="00E44687">
            <w:pPr>
              <w:keepNext w:val="0"/>
              <w:numPr>
                <w:ilvl w:val="0"/>
                <w:numId w:val="389"/>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t>Internal layouts &amp; external interface design must focus on the Department for Transport's LTN1/20 design for cycle infrastructure to integrate cycling with highway improvements and new developments.</w:t>
            </w:r>
          </w:p>
          <w:p w14:paraId="7853E329" w14:textId="77777777" w:rsidR="004466EB" w:rsidRPr="005437C6" w:rsidRDefault="004466EB" w:rsidP="00E44687">
            <w:pPr>
              <w:keepNext w:val="0"/>
              <w:numPr>
                <w:ilvl w:val="0"/>
                <w:numId w:val="389"/>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lastRenderedPageBreak/>
              <w:t xml:space="preserve">A supporting Transport Assessment (TA) that identifies the transportation implications of a new development will be required. This must include measures that will be provided to deal with the anticipated impacts of the scheme in relation to all forms of travel. Provision of offsite improvements to encourage active travel should be an essential part of the TA (e.g., provision of frequent real-time bus stop/shelter facilities). </w:t>
            </w:r>
          </w:p>
          <w:p w14:paraId="453E9487" w14:textId="77777777" w:rsidR="004466EB" w:rsidRPr="005437C6" w:rsidRDefault="004466EB" w:rsidP="00E44687">
            <w:pPr>
              <w:keepNext w:val="0"/>
              <w:numPr>
                <w:ilvl w:val="0"/>
                <w:numId w:val="389"/>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t>Separate to any local remedial / mitigation measures identified as part of a Transport Assessment, a financial strategic contribution may be applicable per dwelling house, to deal with the overall cumulative growth &amp; impact on existing infrastructure.</w:t>
            </w:r>
          </w:p>
          <w:p w14:paraId="0CD4E9F8" w14:textId="77777777" w:rsidR="004466EB" w:rsidRPr="005437C6" w:rsidRDefault="004466EB" w:rsidP="00E44687">
            <w:pPr>
              <w:keepNext w:val="0"/>
              <w:numPr>
                <w:ilvl w:val="0"/>
                <w:numId w:val="389"/>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t>Parking provision will be crucial to the success and safe operation of this development. Parking standards are based on minimum standards and parking spaces/service areas provided must be robustly justified/evidence based on surveys of comparable sites. Disproportionate use of tandem parking to meet standards will not be accepted as research shows these arrangements are invariably under used causing parking displacement to the public highway.</w:t>
            </w:r>
          </w:p>
          <w:p w14:paraId="5F208A49" w14:textId="77777777" w:rsidR="004466EB" w:rsidRPr="005437C6" w:rsidRDefault="004466EB" w:rsidP="00E44687">
            <w:pPr>
              <w:keepNext w:val="0"/>
              <w:numPr>
                <w:ilvl w:val="0"/>
                <w:numId w:val="389"/>
              </w:numPr>
              <w:autoSpaceDE w:val="0"/>
              <w:autoSpaceDN w:val="0"/>
              <w:adjustRightInd w:val="0"/>
              <w:spacing w:before="0" w:line="276" w:lineRule="auto"/>
              <w:contextualSpacing/>
              <w:jc w:val="left"/>
              <w:rPr>
                <w:rFonts w:cs="Arial"/>
                <w:color w:val="0070C0"/>
                <w:szCs w:val="24"/>
                <w:lang w:eastAsia="en-US"/>
              </w:rPr>
            </w:pPr>
            <w:r w:rsidRPr="005437C6">
              <w:rPr>
                <w:rFonts w:cs="Arial"/>
                <w:color w:val="0070C0"/>
                <w:szCs w:val="24"/>
                <w:lang w:eastAsia="en-US"/>
              </w:rPr>
              <w:t>There is a significant development in this area, either proposed or consented. Therefore, it is expected there will be considerable cumulative impact along the strategic movement corridors which will restrict further development unless appropriate mitigation is provided.</w:t>
            </w:r>
          </w:p>
          <w:p w14:paraId="7E65FF63" w14:textId="77777777" w:rsidR="004466EB" w:rsidRPr="005437C6" w:rsidRDefault="004466EB" w:rsidP="00E44687">
            <w:pPr>
              <w:keepNext w:val="0"/>
              <w:autoSpaceDE w:val="0"/>
              <w:autoSpaceDN w:val="0"/>
              <w:adjustRightInd w:val="0"/>
              <w:spacing w:before="0" w:line="276" w:lineRule="auto"/>
              <w:ind w:left="720"/>
              <w:contextualSpacing/>
              <w:jc w:val="left"/>
              <w:rPr>
                <w:rFonts w:cs="Arial"/>
                <w:color w:val="0070C0"/>
                <w:szCs w:val="24"/>
                <w:lang w:eastAsia="en-US"/>
              </w:rPr>
            </w:pPr>
          </w:p>
        </w:tc>
      </w:tr>
      <w:tr w:rsidR="005437C6" w:rsidRPr="005437C6" w14:paraId="735EE021" w14:textId="77777777">
        <w:tc>
          <w:tcPr>
            <w:tcW w:w="2263" w:type="dxa"/>
            <w:shd w:val="clear" w:color="auto" w:fill="D9D9D9"/>
          </w:tcPr>
          <w:p w14:paraId="61DC1D56"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lastRenderedPageBreak/>
              <w:t>Rights of Way</w:t>
            </w:r>
          </w:p>
        </w:tc>
        <w:tc>
          <w:tcPr>
            <w:tcW w:w="7479" w:type="dxa"/>
          </w:tcPr>
          <w:p w14:paraId="545E4CE6"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One right of way crosses the site (FP73).</w:t>
            </w:r>
          </w:p>
          <w:p w14:paraId="40B8F988" w14:textId="77777777" w:rsidR="004466EB" w:rsidRPr="005437C6" w:rsidRDefault="004466EB" w:rsidP="00E44687">
            <w:pPr>
              <w:keepNext w:val="0"/>
              <w:spacing w:before="0" w:line="276" w:lineRule="auto"/>
              <w:jc w:val="left"/>
              <w:rPr>
                <w:rFonts w:cs="Arial"/>
                <w:color w:val="0070C0"/>
                <w:szCs w:val="24"/>
                <w:lang w:eastAsia="en-US"/>
              </w:rPr>
            </w:pPr>
          </w:p>
          <w:p w14:paraId="1349B86A" w14:textId="77777777" w:rsidR="004466EB" w:rsidRPr="005437C6" w:rsidRDefault="004466EB" w:rsidP="00E44687">
            <w:pPr>
              <w:keepNext w:val="0"/>
              <w:spacing w:before="0" w:after="160" w:line="252" w:lineRule="auto"/>
              <w:jc w:val="left"/>
              <w:rPr>
                <w:rFonts w:cs="Arial"/>
                <w:color w:val="0070C0"/>
                <w:szCs w:val="24"/>
              </w:rPr>
            </w:pPr>
            <w:r w:rsidRPr="005437C6">
              <w:rPr>
                <w:rFonts w:cs="Arial"/>
                <w:color w:val="0070C0"/>
                <w:szCs w:val="24"/>
              </w:rPr>
              <w:t>Key elements to consider include:</w:t>
            </w:r>
          </w:p>
          <w:p w14:paraId="0E348477" w14:textId="77777777" w:rsidR="004466EB" w:rsidRPr="005437C6" w:rsidRDefault="004466EB" w:rsidP="00E44687">
            <w:pPr>
              <w:keepNext w:val="0"/>
              <w:numPr>
                <w:ilvl w:val="0"/>
                <w:numId w:val="387"/>
              </w:numPr>
              <w:spacing w:before="0" w:line="276" w:lineRule="auto"/>
              <w:contextualSpacing/>
              <w:jc w:val="left"/>
              <w:rPr>
                <w:rFonts w:cs="Arial"/>
                <w:color w:val="0070C0"/>
                <w:szCs w:val="24"/>
                <w:lang w:eastAsia="en-US"/>
              </w:rPr>
            </w:pPr>
            <w:r w:rsidRPr="005437C6">
              <w:rPr>
                <w:rFonts w:cs="Arial"/>
                <w:color w:val="0070C0"/>
                <w:szCs w:val="24"/>
                <w:lang w:eastAsia="en-US"/>
              </w:rPr>
              <w:t>Existing rights of way need to be retained.</w:t>
            </w:r>
          </w:p>
          <w:p w14:paraId="0FCA876D" w14:textId="77777777" w:rsidR="004466EB" w:rsidRPr="005437C6" w:rsidRDefault="004466EB" w:rsidP="00E44687">
            <w:pPr>
              <w:keepNext w:val="0"/>
              <w:numPr>
                <w:ilvl w:val="0"/>
                <w:numId w:val="387"/>
              </w:numPr>
              <w:spacing w:before="0" w:line="276" w:lineRule="auto"/>
              <w:contextualSpacing/>
              <w:jc w:val="left"/>
              <w:rPr>
                <w:rFonts w:cs="Arial"/>
                <w:color w:val="0070C0"/>
                <w:szCs w:val="24"/>
                <w:lang w:eastAsia="en-US"/>
              </w:rPr>
            </w:pPr>
            <w:r w:rsidRPr="005437C6">
              <w:rPr>
                <w:rFonts w:cs="Arial"/>
                <w:color w:val="0070C0"/>
                <w:szCs w:val="24"/>
                <w:lang w:eastAsia="en-US"/>
              </w:rPr>
              <w:t>Create pedestrian links to existing residential communities, where possible.</w:t>
            </w:r>
          </w:p>
          <w:p w14:paraId="67BA0AEE" w14:textId="77777777" w:rsidR="004466EB" w:rsidRPr="005437C6" w:rsidRDefault="004466EB" w:rsidP="00E44687">
            <w:pPr>
              <w:keepNext w:val="0"/>
              <w:numPr>
                <w:ilvl w:val="0"/>
                <w:numId w:val="387"/>
              </w:numPr>
              <w:spacing w:before="0" w:line="276" w:lineRule="auto"/>
              <w:contextualSpacing/>
              <w:jc w:val="left"/>
              <w:rPr>
                <w:rFonts w:cs="Arial"/>
                <w:color w:val="0070C0"/>
                <w:szCs w:val="24"/>
                <w:lang w:eastAsia="en-US"/>
              </w:rPr>
            </w:pPr>
            <w:r w:rsidRPr="005437C6">
              <w:rPr>
                <w:rFonts w:cs="Arial"/>
                <w:color w:val="0070C0"/>
                <w:szCs w:val="24"/>
                <w:lang w:eastAsia="en-US"/>
              </w:rPr>
              <w:t>Secure a good quality pedestrian/ cycle link through the proposed development. This should take the form of a winding course from the bottom of the site that connects to the existing right of way in the northern part.</w:t>
            </w:r>
          </w:p>
          <w:p w14:paraId="67423E5A" w14:textId="77777777" w:rsidR="004466EB" w:rsidRPr="005437C6" w:rsidRDefault="004466EB" w:rsidP="00E44687">
            <w:pPr>
              <w:keepNext w:val="0"/>
              <w:spacing w:before="0" w:line="276" w:lineRule="auto"/>
              <w:jc w:val="left"/>
              <w:rPr>
                <w:rFonts w:cs="Arial"/>
                <w:color w:val="0070C0"/>
                <w:szCs w:val="24"/>
                <w:lang w:eastAsia="en-US"/>
              </w:rPr>
            </w:pPr>
          </w:p>
        </w:tc>
      </w:tr>
      <w:tr w:rsidR="005437C6" w:rsidRPr="005437C6" w14:paraId="1B9520C5" w14:textId="77777777">
        <w:tc>
          <w:tcPr>
            <w:tcW w:w="2263" w:type="dxa"/>
            <w:shd w:val="clear" w:color="auto" w:fill="D9D9D9"/>
          </w:tcPr>
          <w:p w14:paraId="19C93F3D"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t>Topography &amp; Landscape Character</w:t>
            </w:r>
          </w:p>
          <w:p w14:paraId="588BB457" w14:textId="77777777" w:rsidR="004466EB" w:rsidRPr="00E56F9C" w:rsidRDefault="004466EB" w:rsidP="00E44687">
            <w:pPr>
              <w:keepNext w:val="0"/>
              <w:spacing w:before="0" w:line="276" w:lineRule="auto"/>
              <w:jc w:val="left"/>
              <w:rPr>
                <w:rFonts w:cs="Arial"/>
                <w:b/>
                <w:bCs/>
                <w:color w:val="005EAC"/>
                <w:szCs w:val="24"/>
                <w:lang w:eastAsia="en-US"/>
              </w:rPr>
            </w:pPr>
          </w:p>
          <w:p w14:paraId="02925BC1"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lastRenderedPageBreak/>
              <w:t>Strategic Policy: S13</w:t>
            </w:r>
          </w:p>
          <w:p w14:paraId="43D6AF0A" w14:textId="77777777" w:rsidR="004466EB" w:rsidRPr="00E56F9C" w:rsidRDefault="004466EB" w:rsidP="00E44687">
            <w:pPr>
              <w:keepNext w:val="0"/>
              <w:spacing w:before="0" w:line="276" w:lineRule="auto"/>
              <w:jc w:val="left"/>
              <w:rPr>
                <w:rFonts w:cs="Arial"/>
                <w:color w:val="005EAC"/>
                <w:sz w:val="22"/>
                <w:lang w:eastAsia="en-US"/>
              </w:rPr>
            </w:pPr>
          </w:p>
          <w:p w14:paraId="1E05E7C2"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Development Management Policies:</w:t>
            </w:r>
          </w:p>
          <w:p w14:paraId="6398AEC7"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EV4, EV6, EV10, SD2</w:t>
            </w:r>
          </w:p>
        </w:tc>
        <w:tc>
          <w:tcPr>
            <w:tcW w:w="7479" w:type="dxa"/>
          </w:tcPr>
          <w:p w14:paraId="7375F60F"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lastRenderedPageBreak/>
              <w:t>No specific topographical constraints are identified with this site.</w:t>
            </w:r>
          </w:p>
          <w:p w14:paraId="0F6DA1A0" w14:textId="77777777" w:rsidR="004466EB" w:rsidRPr="005437C6" w:rsidRDefault="004466EB" w:rsidP="00E44687">
            <w:pPr>
              <w:keepNext w:val="0"/>
              <w:autoSpaceDE w:val="0"/>
              <w:autoSpaceDN w:val="0"/>
              <w:adjustRightInd w:val="0"/>
              <w:spacing w:before="0" w:line="276" w:lineRule="auto"/>
              <w:ind w:left="720"/>
              <w:jc w:val="left"/>
              <w:rPr>
                <w:rFonts w:cs="Arial"/>
                <w:color w:val="0070C0"/>
                <w:szCs w:val="24"/>
                <w:lang w:eastAsia="en-US"/>
              </w:rPr>
            </w:pPr>
          </w:p>
          <w:p w14:paraId="7BDE3A7B"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lastRenderedPageBreak/>
              <w:t>Development must strengthen and protect existing mature boundary hedgerows around the site by gapping up and planting additional hedgerow trees, where appropriate.</w:t>
            </w:r>
          </w:p>
          <w:p w14:paraId="17768C34" w14:textId="77777777" w:rsidR="004466EB" w:rsidRPr="005437C6" w:rsidRDefault="004466EB" w:rsidP="00E44687">
            <w:pPr>
              <w:keepNext w:val="0"/>
              <w:spacing w:before="0" w:line="276" w:lineRule="auto"/>
              <w:jc w:val="left"/>
              <w:rPr>
                <w:rFonts w:cs="Arial"/>
                <w:color w:val="0070C0"/>
                <w:szCs w:val="24"/>
                <w:lang w:eastAsia="en-US"/>
              </w:rPr>
            </w:pPr>
          </w:p>
          <w:p w14:paraId="39ED62C2"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The Greater Nottingham Landscape Assessment identifies the site as lying within character area ML023 Skegby Plateau. The landscape condition is GOOD. The character strength of the area is STRONG.  The overall landscape strategy is CONSERVE.</w:t>
            </w:r>
          </w:p>
          <w:p w14:paraId="62F28B55"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3B468626" w14:textId="5E2CA08E" w:rsidR="004466EB" w:rsidRPr="005437C6" w:rsidRDefault="004466EB" w:rsidP="009B0758">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Views out over the agricultural landscape (north and east) are strongly typical of the broad landscape plateau and are of good visual quality.</w:t>
            </w:r>
            <w:r w:rsidRPr="005437C6">
              <w:rPr>
                <w:color w:val="0070C0"/>
                <w:lang w:eastAsia="en-US"/>
              </w:rPr>
              <w:t xml:space="preserve"> </w:t>
            </w:r>
            <w:r w:rsidRPr="005437C6">
              <w:rPr>
                <w:rFonts w:cs="Arial"/>
                <w:color w:val="0070C0"/>
                <w:szCs w:val="24"/>
                <w:lang w:eastAsia="en-US"/>
              </w:rPr>
              <w:t>Development should ensure these views are successfully utilised and retained.</w:t>
            </w:r>
          </w:p>
        </w:tc>
      </w:tr>
      <w:tr w:rsidR="005437C6" w:rsidRPr="005437C6" w14:paraId="0BC21C1E" w14:textId="77777777">
        <w:tc>
          <w:tcPr>
            <w:tcW w:w="2263" w:type="dxa"/>
            <w:shd w:val="clear" w:color="auto" w:fill="D9D9D9"/>
          </w:tcPr>
          <w:p w14:paraId="4316EB8D"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lastRenderedPageBreak/>
              <w:t>Ground Stability &amp; Contamination</w:t>
            </w:r>
          </w:p>
          <w:p w14:paraId="61574CB9" w14:textId="77777777" w:rsidR="004466EB" w:rsidRPr="00E56F9C" w:rsidRDefault="004466EB" w:rsidP="00E44687">
            <w:pPr>
              <w:keepNext w:val="0"/>
              <w:spacing w:before="0" w:line="276" w:lineRule="auto"/>
              <w:jc w:val="left"/>
              <w:rPr>
                <w:rFonts w:cs="Arial"/>
                <w:b/>
                <w:bCs/>
                <w:color w:val="005EAC"/>
                <w:szCs w:val="24"/>
                <w:lang w:eastAsia="en-US"/>
              </w:rPr>
            </w:pPr>
          </w:p>
          <w:p w14:paraId="6D274080"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Policy: S2</w:t>
            </w:r>
          </w:p>
          <w:p w14:paraId="15E272E7" w14:textId="77777777" w:rsidR="004466EB" w:rsidRPr="00E56F9C" w:rsidRDefault="004466EB" w:rsidP="00E44687">
            <w:pPr>
              <w:keepNext w:val="0"/>
              <w:spacing w:before="0" w:line="276" w:lineRule="auto"/>
              <w:jc w:val="left"/>
              <w:rPr>
                <w:rFonts w:cs="Arial"/>
                <w:color w:val="005EAC"/>
                <w:sz w:val="22"/>
                <w:lang w:eastAsia="en-US"/>
              </w:rPr>
            </w:pPr>
          </w:p>
          <w:p w14:paraId="2B5EB9E6"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Development Management Policies: SD8</w:t>
            </w:r>
          </w:p>
        </w:tc>
        <w:tc>
          <w:tcPr>
            <w:tcW w:w="7479" w:type="dxa"/>
          </w:tcPr>
          <w:p w14:paraId="6C0E65F3"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 xml:space="preserve">No known ground stability issues </w:t>
            </w:r>
            <w:r w:rsidRPr="005437C6">
              <w:rPr>
                <w:rFonts w:ascii="Cambria Math" w:hAnsi="Cambria Math" w:cs="Cambria Math"/>
                <w:color w:val="0070C0"/>
                <w:szCs w:val="24"/>
                <w:lang w:eastAsia="en-US"/>
              </w:rPr>
              <w:t>‐</w:t>
            </w:r>
            <w:r w:rsidRPr="005437C6">
              <w:rPr>
                <w:rFonts w:cs="Arial"/>
                <w:color w:val="0070C0"/>
                <w:szCs w:val="24"/>
                <w:lang w:eastAsia="en-US"/>
              </w:rPr>
              <w:t xml:space="preserve"> A small pond is shown near the</w:t>
            </w:r>
          </w:p>
          <w:p w14:paraId="7F69FA5C"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centre of the site from pre 1880 to c.1970. Later plans show this pond filled in to surrounding ground levels so localised unconsolidated ground should be anticipated here.</w:t>
            </w:r>
          </w:p>
          <w:p w14:paraId="1FB68898" w14:textId="77777777" w:rsidR="004466EB" w:rsidRPr="005437C6" w:rsidRDefault="004466EB" w:rsidP="00E44687">
            <w:pPr>
              <w:keepNext w:val="0"/>
              <w:spacing w:before="0" w:line="276" w:lineRule="auto"/>
              <w:jc w:val="left"/>
              <w:rPr>
                <w:rFonts w:cs="Arial"/>
                <w:color w:val="0070C0"/>
                <w:szCs w:val="24"/>
                <w:lang w:eastAsia="en-US"/>
              </w:rPr>
            </w:pPr>
          </w:p>
          <w:p w14:paraId="38A2FBB9"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No known contamination. Prolonged use of fertilizers can cause a build</w:t>
            </w:r>
            <w:r w:rsidRPr="005437C6">
              <w:rPr>
                <w:rFonts w:ascii="Cambria Math" w:hAnsi="Cambria Math" w:cs="Cambria Math"/>
                <w:color w:val="0070C0"/>
                <w:szCs w:val="24"/>
                <w:lang w:eastAsia="en-US"/>
              </w:rPr>
              <w:t>‐</w:t>
            </w:r>
            <w:r w:rsidRPr="005437C6">
              <w:rPr>
                <w:rFonts w:cs="Arial"/>
                <w:color w:val="0070C0"/>
                <w:szCs w:val="24"/>
                <w:lang w:eastAsia="en-US"/>
              </w:rPr>
              <w:t>up of some heavy metals in the topsoil which may need some limited chemical analysis before re</w:t>
            </w:r>
            <w:r w:rsidRPr="005437C6">
              <w:rPr>
                <w:rFonts w:ascii="Cambria Math" w:hAnsi="Cambria Math" w:cs="Cambria Math"/>
                <w:color w:val="0070C0"/>
                <w:szCs w:val="24"/>
                <w:lang w:eastAsia="en-US"/>
              </w:rPr>
              <w:t>‐</w:t>
            </w:r>
            <w:r w:rsidRPr="005437C6">
              <w:rPr>
                <w:rFonts w:cs="Arial"/>
                <w:color w:val="0070C0"/>
                <w:szCs w:val="24"/>
                <w:lang w:eastAsia="en-US"/>
              </w:rPr>
              <w:t>using in domestic gardens.</w:t>
            </w:r>
          </w:p>
          <w:p w14:paraId="5F9FAD24" w14:textId="77777777" w:rsidR="004466EB" w:rsidRPr="005437C6" w:rsidRDefault="004466EB" w:rsidP="00E44687">
            <w:pPr>
              <w:keepNext w:val="0"/>
              <w:spacing w:before="0" w:line="276" w:lineRule="auto"/>
              <w:jc w:val="left"/>
              <w:rPr>
                <w:rFonts w:cs="Arial"/>
                <w:color w:val="0070C0"/>
                <w:szCs w:val="24"/>
                <w:lang w:eastAsia="en-US"/>
              </w:rPr>
            </w:pPr>
          </w:p>
        </w:tc>
      </w:tr>
      <w:tr w:rsidR="005437C6" w:rsidRPr="005437C6" w14:paraId="0CADD316" w14:textId="77777777">
        <w:tc>
          <w:tcPr>
            <w:tcW w:w="2263" w:type="dxa"/>
            <w:shd w:val="clear" w:color="auto" w:fill="D9D9D9"/>
          </w:tcPr>
          <w:p w14:paraId="30BD5CCD"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t>Flood Risk</w:t>
            </w:r>
          </w:p>
          <w:p w14:paraId="6B9DFD43" w14:textId="77777777" w:rsidR="004466EB" w:rsidRPr="00E56F9C" w:rsidRDefault="004466EB" w:rsidP="00E44687">
            <w:pPr>
              <w:keepNext w:val="0"/>
              <w:spacing w:before="0" w:line="276" w:lineRule="auto"/>
              <w:jc w:val="left"/>
              <w:rPr>
                <w:rFonts w:cs="Arial"/>
                <w:b/>
                <w:bCs/>
                <w:color w:val="005EAC"/>
                <w:szCs w:val="24"/>
                <w:lang w:eastAsia="en-US"/>
              </w:rPr>
            </w:pPr>
          </w:p>
          <w:p w14:paraId="2709D68C"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Policy: S3</w:t>
            </w:r>
          </w:p>
          <w:p w14:paraId="3F787F38" w14:textId="77777777" w:rsidR="004466EB" w:rsidRPr="00E56F9C" w:rsidRDefault="004466EB" w:rsidP="00E44687">
            <w:pPr>
              <w:keepNext w:val="0"/>
              <w:spacing w:before="0" w:line="276" w:lineRule="auto"/>
              <w:jc w:val="left"/>
              <w:rPr>
                <w:rFonts w:cs="Arial"/>
                <w:color w:val="005EAC"/>
                <w:sz w:val="22"/>
                <w:lang w:eastAsia="en-US"/>
              </w:rPr>
            </w:pPr>
          </w:p>
          <w:p w14:paraId="0CB55054"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Development Management Policies: CC3</w:t>
            </w:r>
          </w:p>
        </w:tc>
        <w:tc>
          <w:tcPr>
            <w:tcW w:w="7479" w:type="dxa"/>
          </w:tcPr>
          <w:p w14:paraId="22D756D9"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There is an area of high-risk surface water flooding over and</w:t>
            </w:r>
          </w:p>
          <w:p w14:paraId="3A2B7C61"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adjacent to the access track to Ashfields Farm, which will require mitigation.</w:t>
            </w:r>
          </w:p>
          <w:p w14:paraId="314F5BE6" w14:textId="77777777" w:rsidR="004466EB" w:rsidRPr="005437C6" w:rsidRDefault="004466EB" w:rsidP="00E44687">
            <w:pPr>
              <w:keepNext w:val="0"/>
              <w:spacing w:before="0" w:line="276" w:lineRule="auto"/>
              <w:jc w:val="left"/>
              <w:rPr>
                <w:rFonts w:cs="Arial"/>
                <w:color w:val="0070C0"/>
                <w:szCs w:val="24"/>
                <w:lang w:eastAsia="en-US"/>
              </w:rPr>
            </w:pPr>
          </w:p>
          <w:p w14:paraId="4C85450B"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Network improvements to accommodate surface water is likely to be required.</w:t>
            </w:r>
          </w:p>
          <w:p w14:paraId="2FB6A392" w14:textId="77777777" w:rsidR="004466EB" w:rsidRPr="005437C6" w:rsidRDefault="004466EB" w:rsidP="00E44687">
            <w:pPr>
              <w:keepNext w:val="0"/>
              <w:spacing w:before="0" w:line="276" w:lineRule="auto"/>
              <w:jc w:val="left"/>
              <w:rPr>
                <w:rFonts w:cs="Arial"/>
                <w:color w:val="0070C0"/>
                <w:szCs w:val="24"/>
                <w:lang w:eastAsia="en-US"/>
              </w:rPr>
            </w:pPr>
          </w:p>
        </w:tc>
      </w:tr>
      <w:tr w:rsidR="005437C6" w:rsidRPr="005437C6" w14:paraId="12A4C2FE" w14:textId="77777777">
        <w:tc>
          <w:tcPr>
            <w:tcW w:w="2263" w:type="dxa"/>
            <w:shd w:val="clear" w:color="auto" w:fill="D9D9D9"/>
          </w:tcPr>
          <w:p w14:paraId="0387AB91"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t>Heritage and Archaeology</w:t>
            </w:r>
          </w:p>
          <w:p w14:paraId="06CD927A" w14:textId="77777777" w:rsidR="004466EB" w:rsidRPr="00E56F9C" w:rsidRDefault="004466EB" w:rsidP="00E44687">
            <w:pPr>
              <w:keepNext w:val="0"/>
              <w:spacing w:before="0" w:line="276" w:lineRule="auto"/>
              <w:jc w:val="left"/>
              <w:rPr>
                <w:rFonts w:cs="Arial"/>
                <w:b/>
                <w:bCs/>
                <w:color w:val="005EAC"/>
                <w:szCs w:val="24"/>
                <w:lang w:eastAsia="en-US"/>
              </w:rPr>
            </w:pPr>
          </w:p>
          <w:p w14:paraId="1778F9A9"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Policy: S14</w:t>
            </w:r>
          </w:p>
          <w:p w14:paraId="170E89BC" w14:textId="77777777" w:rsidR="004466EB" w:rsidRPr="00E56F9C" w:rsidRDefault="004466EB" w:rsidP="00E44687">
            <w:pPr>
              <w:keepNext w:val="0"/>
              <w:spacing w:before="0" w:line="276" w:lineRule="auto"/>
              <w:jc w:val="left"/>
              <w:rPr>
                <w:rFonts w:cs="Arial"/>
                <w:color w:val="005EAC"/>
                <w:sz w:val="22"/>
                <w:lang w:eastAsia="en-US"/>
              </w:rPr>
            </w:pPr>
          </w:p>
          <w:p w14:paraId="23C6B3C3"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Development Management Policy: EV9</w:t>
            </w:r>
          </w:p>
        </w:tc>
        <w:tc>
          <w:tcPr>
            <w:tcW w:w="7479" w:type="dxa"/>
          </w:tcPr>
          <w:p w14:paraId="18EAF7BD"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 xml:space="preserve">The Grade II Listed </w:t>
            </w:r>
            <w:proofErr w:type="spellStart"/>
            <w:r w:rsidRPr="005437C6">
              <w:rPr>
                <w:rFonts w:cs="Arial"/>
                <w:color w:val="0070C0"/>
                <w:szCs w:val="24"/>
                <w:lang w:eastAsia="en-US"/>
              </w:rPr>
              <w:t>Dalestorth</w:t>
            </w:r>
            <w:proofErr w:type="spellEnd"/>
            <w:r w:rsidRPr="005437C6">
              <w:rPr>
                <w:rFonts w:cs="Arial"/>
                <w:color w:val="0070C0"/>
                <w:szCs w:val="24"/>
                <w:lang w:eastAsia="en-US"/>
              </w:rPr>
              <w:t xml:space="preserve"> House lies at the junction of Beck Lane / Skegby Lane to the south of the site. This is screened by trees located just outside of the site boundaries.</w:t>
            </w:r>
          </w:p>
          <w:p w14:paraId="092ED479"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6499CC05" w14:textId="77777777" w:rsidR="004466EB" w:rsidRPr="005437C6" w:rsidRDefault="004466EB" w:rsidP="00E44687">
            <w:pPr>
              <w:keepNext w:val="0"/>
              <w:autoSpaceDE w:val="0"/>
              <w:autoSpaceDN w:val="0"/>
              <w:adjustRightInd w:val="0"/>
              <w:spacing w:before="0"/>
              <w:jc w:val="left"/>
              <w:rPr>
                <w:rFonts w:eastAsia="Arial"/>
                <w:iCs/>
                <w:color w:val="0070C0"/>
                <w:szCs w:val="24"/>
                <w:lang w:eastAsia="en-US"/>
              </w:rPr>
            </w:pPr>
            <w:r w:rsidRPr="005437C6">
              <w:rPr>
                <w:rFonts w:eastAsia="Arial"/>
                <w:iCs/>
                <w:color w:val="0070C0"/>
                <w:lang w:eastAsia="en-US"/>
              </w:rPr>
              <w:t>A Heritage Statement should be submitted that provides a proportionate assessment of the significance of the heritage assets, and where appropriate its setting, and an assessment of the impact of the proposal on the significance.  As a minimum, the Heritage Statement should cover the following:</w:t>
            </w:r>
          </w:p>
          <w:p w14:paraId="7B34C024"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iCs/>
                <w:color w:val="0070C0"/>
                <w:lang w:eastAsia="en-US"/>
              </w:rPr>
            </w:pPr>
            <w:r w:rsidRPr="005437C6">
              <w:rPr>
                <w:rFonts w:eastAsia="Arial"/>
                <w:iCs/>
                <w:color w:val="0070C0"/>
                <w:lang w:eastAsia="en-US"/>
              </w:rPr>
              <w:t>describe and assess the significance of the asset(s) and/or its setting;</w:t>
            </w:r>
          </w:p>
          <w:p w14:paraId="31BC2D99"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iCs/>
                <w:color w:val="0070C0"/>
                <w:lang w:eastAsia="en-US"/>
              </w:rPr>
            </w:pPr>
            <w:r w:rsidRPr="005437C6">
              <w:rPr>
                <w:rFonts w:eastAsia="Arial"/>
                <w:iCs/>
                <w:color w:val="0070C0"/>
                <w:lang w:eastAsia="en-US"/>
              </w:rPr>
              <w:t>identify the impact of works on the special character of the asset(s); and</w:t>
            </w:r>
          </w:p>
          <w:p w14:paraId="1B2E1EA0" w14:textId="77777777" w:rsidR="004466EB" w:rsidRPr="005437C6" w:rsidRDefault="004466EB" w:rsidP="00E44687">
            <w:pPr>
              <w:keepNext w:val="0"/>
              <w:numPr>
                <w:ilvl w:val="0"/>
                <w:numId w:val="364"/>
              </w:numPr>
              <w:autoSpaceDE w:val="0"/>
              <w:autoSpaceDN w:val="0"/>
              <w:adjustRightInd w:val="0"/>
              <w:spacing w:before="0"/>
              <w:contextualSpacing/>
              <w:jc w:val="left"/>
              <w:rPr>
                <w:rFonts w:eastAsia="Arial"/>
                <w:iCs/>
                <w:color w:val="0070C0"/>
                <w:lang w:eastAsia="en-US"/>
              </w:rPr>
            </w:pPr>
            <w:r w:rsidRPr="005437C6">
              <w:rPr>
                <w:rFonts w:eastAsia="Arial"/>
                <w:iCs/>
                <w:color w:val="0070C0"/>
                <w:lang w:eastAsia="en-US"/>
              </w:rPr>
              <w:lastRenderedPageBreak/>
              <w:t>provide a clear justification for the works, especially if these would harm the asset(s) or its setting, so that the harm can be weighed against public benefit.</w:t>
            </w:r>
          </w:p>
          <w:p w14:paraId="5359A402" w14:textId="77777777" w:rsidR="004466EB" w:rsidRPr="005437C6" w:rsidRDefault="004466EB" w:rsidP="00E44687">
            <w:pPr>
              <w:keepNext w:val="0"/>
              <w:autoSpaceDE w:val="0"/>
              <w:autoSpaceDN w:val="0"/>
              <w:adjustRightInd w:val="0"/>
              <w:spacing w:before="0"/>
              <w:jc w:val="left"/>
              <w:rPr>
                <w:rFonts w:eastAsia="Arial"/>
                <w:iCs/>
                <w:color w:val="0070C0"/>
                <w:lang w:eastAsia="en-US"/>
              </w:rPr>
            </w:pPr>
          </w:p>
          <w:p w14:paraId="30F5D04C" w14:textId="77777777" w:rsidR="004466EB" w:rsidRPr="005437C6" w:rsidRDefault="004466EB" w:rsidP="00E44687">
            <w:pPr>
              <w:keepNext w:val="0"/>
              <w:autoSpaceDE w:val="0"/>
              <w:autoSpaceDN w:val="0"/>
              <w:adjustRightInd w:val="0"/>
              <w:spacing w:before="0"/>
              <w:jc w:val="left"/>
              <w:rPr>
                <w:rFonts w:eastAsia="Arial"/>
                <w:iCs/>
                <w:color w:val="0070C0"/>
                <w:lang w:eastAsia="en-US"/>
              </w:rPr>
            </w:pPr>
            <w:r w:rsidRPr="005437C6">
              <w:rPr>
                <w:rFonts w:eastAsia="Arial"/>
                <w:iCs/>
                <w:color w:val="0070C0"/>
                <w:lang w:eastAsia="en-US"/>
              </w:rPr>
              <w:t xml:space="preserve">Historic England’s Good Practice Advice Note 2: Managing Significance in Decision-Taking in the Historic Environment, and </w:t>
            </w:r>
            <w:proofErr w:type="gramStart"/>
            <w:r w:rsidRPr="005437C6">
              <w:rPr>
                <w:rFonts w:eastAsia="Arial"/>
                <w:iCs/>
                <w:color w:val="0070C0"/>
                <w:lang w:eastAsia="en-US"/>
              </w:rPr>
              <w:t>Good</w:t>
            </w:r>
            <w:proofErr w:type="gramEnd"/>
            <w:r w:rsidRPr="005437C6">
              <w:rPr>
                <w:rFonts w:eastAsia="Arial"/>
                <w:iCs/>
                <w:color w:val="0070C0"/>
                <w:lang w:eastAsia="en-US"/>
              </w:rPr>
              <w:t xml:space="preserve"> practice Advice Note 3: The Setting of Heritage Assets, provide advice on how to undertake a Heritage Statement.</w:t>
            </w:r>
          </w:p>
          <w:p w14:paraId="6144B8D7"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24740A04"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Cropmarks in the immediate vicinity comprise the remains of a ring ditch, enclosure, and pit alignment (HER L4089) located in a field c. 80m to the west beyond Beck Lane, and the remains of a rectangular enclosure (HER L4088) immediately adjacent to the south-east corner of the site. In addition, the remains of three Bronze Age ring ditches with associated cremation burials were excavated south of those identified cropmarks located c. 25m west of the site (ULAS 2021). These were identified as part of a scheme of archaeological works conducted as part of a residential development on Beck Lane (V/2021/0089).</w:t>
            </w:r>
          </w:p>
          <w:p w14:paraId="12B1033D"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2BD5EF16"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Post-medieval mining activity is also indicated to the north and the north-east of the site with a possible bell pit (L7057) and two further possible sites (L7057 and L7062).</w:t>
            </w:r>
          </w:p>
          <w:p w14:paraId="4941F41C"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023EBD34"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 xml:space="preserve">Overall, the presence of cropmarks and positively identified archaeological remains in the vicinity suggests that there is a high potential for buried archaeological remains within the site. Consequently, a </w:t>
            </w:r>
            <w:proofErr w:type="gramStart"/>
            <w:r w:rsidRPr="005437C6">
              <w:rPr>
                <w:rFonts w:cs="Arial"/>
                <w:color w:val="0070C0"/>
                <w:szCs w:val="24"/>
                <w:lang w:eastAsia="en-US"/>
              </w:rPr>
              <w:t>desk based</w:t>
            </w:r>
            <w:proofErr w:type="gramEnd"/>
            <w:r w:rsidRPr="005437C6">
              <w:rPr>
                <w:rFonts w:cs="Arial"/>
                <w:color w:val="0070C0"/>
                <w:szCs w:val="24"/>
                <w:lang w:eastAsia="en-US"/>
              </w:rPr>
              <w:t xml:space="preserve"> assessment, geophysical survey and trial trenching to ascertain the extent of any below-ground archaeological remains is recommended.</w:t>
            </w:r>
          </w:p>
          <w:p w14:paraId="3BED1E00"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tc>
      </w:tr>
      <w:tr w:rsidR="005437C6" w:rsidRPr="005437C6" w14:paraId="0173B59E" w14:textId="77777777">
        <w:tc>
          <w:tcPr>
            <w:tcW w:w="2263" w:type="dxa"/>
            <w:shd w:val="clear" w:color="auto" w:fill="D9D9D9"/>
          </w:tcPr>
          <w:p w14:paraId="55D93E59"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lastRenderedPageBreak/>
              <w:t>Green Infrastructure &amp; Biodiversity</w:t>
            </w:r>
          </w:p>
          <w:p w14:paraId="0A39BF64" w14:textId="77777777" w:rsidR="004466EB" w:rsidRPr="00E56F9C" w:rsidRDefault="004466EB" w:rsidP="00E44687">
            <w:pPr>
              <w:keepNext w:val="0"/>
              <w:spacing w:before="0" w:line="276" w:lineRule="auto"/>
              <w:jc w:val="left"/>
              <w:rPr>
                <w:rFonts w:cs="Arial"/>
                <w:b/>
                <w:bCs/>
                <w:color w:val="005EAC"/>
                <w:szCs w:val="24"/>
                <w:lang w:eastAsia="en-US"/>
              </w:rPr>
            </w:pPr>
          </w:p>
          <w:p w14:paraId="647017BF"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Policy: S13</w:t>
            </w:r>
          </w:p>
          <w:p w14:paraId="3B4BF1F9" w14:textId="77777777" w:rsidR="004466EB" w:rsidRPr="00E56F9C" w:rsidRDefault="004466EB" w:rsidP="00E44687">
            <w:pPr>
              <w:keepNext w:val="0"/>
              <w:spacing w:before="0" w:line="276" w:lineRule="auto"/>
              <w:jc w:val="left"/>
              <w:rPr>
                <w:rFonts w:cs="Arial"/>
                <w:color w:val="005EAC"/>
                <w:sz w:val="22"/>
                <w:lang w:eastAsia="en-US"/>
              </w:rPr>
            </w:pPr>
          </w:p>
          <w:p w14:paraId="6B8EB366"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Development Management Policies: EV4, EV6</w:t>
            </w:r>
          </w:p>
        </w:tc>
        <w:tc>
          <w:tcPr>
            <w:tcW w:w="7479" w:type="dxa"/>
          </w:tcPr>
          <w:p w14:paraId="5C853701"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No Locally or Nationally Designated Natural Assets on or adjacent site.</w:t>
            </w:r>
          </w:p>
          <w:p w14:paraId="7D9C1161" w14:textId="77777777" w:rsidR="004466EB" w:rsidRPr="005437C6" w:rsidRDefault="004466EB" w:rsidP="00E44687">
            <w:pPr>
              <w:keepNext w:val="0"/>
              <w:spacing w:before="0" w:line="276" w:lineRule="auto"/>
              <w:jc w:val="left"/>
              <w:rPr>
                <w:rFonts w:cs="Arial"/>
                <w:color w:val="0070C0"/>
                <w:szCs w:val="24"/>
                <w:lang w:eastAsia="en-US"/>
              </w:rPr>
            </w:pPr>
          </w:p>
          <w:p w14:paraId="6753A548"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In respect of this site the Council will require a minimum Biodiversity Net Gain (BNG) of 10%. Biodiversity should be delivered on site in the first instance via habitat creation/enhancement, or by using off-site gains where necessary. As a last resort, biodiversity credits may be purchased where sufficient gains cannot be achieved on or off-site.</w:t>
            </w:r>
          </w:p>
          <w:p w14:paraId="0EF89C7E" w14:textId="77777777" w:rsidR="004466EB" w:rsidRPr="005437C6" w:rsidRDefault="004466EB" w:rsidP="00E44687">
            <w:pPr>
              <w:keepNext w:val="0"/>
              <w:spacing w:before="0" w:line="276" w:lineRule="auto"/>
              <w:jc w:val="left"/>
              <w:rPr>
                <w:rFonts w:cs="Arial"/>
                <w:color w:val="0070C0"/>
                <w:szCs w:val="24"/>
                <w:lang w:eastAsia="en-US"/>
              </w:rPr>
            </w:pPr>
          </w:p>
          <w:p w14:paraId="72983F60"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 xml:space="preserve">Development must also comply with the Developer Guide to Biodiversity and Nature Conservation 2022, which sets out the </w:t>
            </w:r>
            <w:r w:rsidRPr="005437C6">
              <w:rPr>
                <w:rFonts w:cs="Arial"/>
                <w:color w:val="0070C0"/>
                <w:szCs w:val="24"/>
                <w:lang w:eastAsia="en-US"/>
              </w:rPr>
              <w:lastRenderedPageBreak/>
              <w:t>Council’s expectations in respect of Biodiversity Net Gain, alongside mandatory requirements for protected sites.</w:t>
            </w:r>
          </w:p>
          <w:p w14:paraId="55C42927"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616BB0EE" w14:textId="77777777" w:rsidR="004466EB" w:rsidRPr="005437C6" w:rsidRDefault="004466EB" w:rsidP="00E44687">
            <w:pPr>
              <w:keepNext w:val="0"/>
              <w:autoSpaceDE w:val="0"/>
              <w:autoSpaceDN w:val="0"/>
              <w:adjustRightInd w:val="0"/>
              <w:spacing w:before="0" w:line="276" w:lineRule="auto"/>
              <w:jc w:val="left"/>
              <w:rPr>
                <w:rFonts w:cs="Arial"/>
                <w:color w:val="0070C0"/>
                <w:szCs w:val="24"/>
                <w:u w:val="single"/>
              </w:rPr>
            </w:pPr>
            <w:r w:rsidRPr="005437C6">
              <w:rPr>
                <w:rFonts w:cs="Arial"/>
                <w:color w:val="0070C0"/>
                <w:szCs w:val="24"/>
                <w:lang w:eastAsia="en-US"/>
              </w:rPr>
              <w:t xml:space="preserve">The Developer Guide can be viewed on the Council’s website: </w:t>
            </w:r>
            <w:hyperlink r:id="rId125" w:history="1">
              <w:r w:rsidRPr="005437C6">
                <w:rPr>
                  <w:rFonts w:cs="Arial"/>
                  <w:color w:val="0070C0"/>
                  <w:szCs w:val="24"/>
                  <w:u w:val="single"/>
                </w:rPr>
                <w:t>Ashfield District Council Supplementary Planning Documents and Guidance</w:t>
              </w:r>
            </w:hyperlink>
          </w:p>
          <w:p w14:paraId="7B6F8CA6" w14:textId="77777777" w:rsidR="004466EB" w:rsidRPr="005437C6" w:rsidRDefault="004466EB" w:rsidP="00E44687">
            <w:pPr>
              <w:keepNext w:val="0"/>
              <w:spacing w:before="0" w:line="276" w:lineRule="auto"/>
              <w:jc w:val="left"/>
              <w:rPr>
                <w:rFonts w:cs="Arial"/>
                <w:color w:val="0070C0"/>
                <w:szCs w:val="24"/>
                <w:lang w:eastAsia="en-US"/>
              </w:rPr>
            </w:pPr>
          </w:p>
        </w:tc>
      </w:tr>
      <w:tr w:rsidR="005437C6" w:rsidRPr="005437C6" w14:paraId="4801BAAC" w14:textId="77777777">
        <w:tc>
          <w:tcPr>
            <w:tcW w:w="2263" w:type="dxa"/>
            <w:shd w:val="clear" w:color="auto" w:fill="D9D9D9"/>
          </w:tcPr>
          <w:p w14:paraId="4F0B24DF"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lastRenderedPageBreak/>
              <w:t>Utilities</w:t>
            </w:r>
          </w:p>
          <w:p w14:paraId="79925ADF" w14:textId="77777777" w:rsidR="004466EB" w:rsidRPr="00E56F9C" w:rsidRDefault="004466EB" w:rsidP="00E44687">
            <w:pPr>
              <w:keepNext w:val="0"/>
              <w:spacing w:before="0" w:line="276" w:lineRule="auto"/>
              <w:jc w:val="left"/>
              <w:rPr>
                <w:rFonts w:cs="Arial"/>
                <w:b/>
                <w:bCs/>
                <w:color w:val="005EAC"/>
                <w:szCs w:val="24"/>
                <w:lang w:eastAsia="en-US"/>
              </w:rPr>
            </w:pPr>
          </w:p>
          <w:p w14:paraId="7EB51CD6"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Policy: S2</w:t>
            </w:r>
          </w:p>
          <w:p w14:paraId="05203974" w14:textId="77777777" w:rsidR="004466EB" w:rsidRPr="00E56F9C" w:rsidRDefault="004466EB" w:rsidP="00E44687">
            <w:pPr>
              <w:keepNext w:val="0"/>
              <w:spacing w:before="0" w:line="276" w:lineRule="auto"/>
              <w:jc w:val="left"/>
              <w:rPr>
                <w:rFonts w:cs="Arial"/>
                <w:color w:val="005EAC"/>
                <w:sz w:val="22"/>
                <w:lang w:eastAsia="en-US"/>
              </w:rPr>
            </w:pPr>
          </w:p>
          <w:p w14:paraId="4048C66C"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Development Management Policy: CC2</w:t>
            </w:r>
          </w:p>
        </w:tc>
        <w:tc>
          <w:tcPr>
            <w:tcW w:w="7479" w:type="dxa"/>
          </w:tcPr>
          <w:p w14:paraId="42F0E850"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Seven Trent Water:</w:t>
            </w:r>
          </w:p>
          <w:p w14:paraId="2F0D1F0E" w14:textId="77777777" w:rsidR="004466EB" w:rsidRPr="005437C6" w:rsidRDefault="004466EB" w:rsidP="00E44687">
            <w:pPr>
              <w:keepNext w:val="0"/>
              <w:numPr>
                <w:ilvl w:val="0"/>
                <w:numId w:val="358"/>
              </w:numPr>
              <w:spacing w:before="0" w:line="276" w:lineRule="auto"/>
              <w:jc w:val="left"/>
              <w:rPr>
                <w:rFonts w:cs="Arial"/>
                <w:color w:val="0070C0"/>
                <w:szCs w:val="24"/>
                <w:lang w:eastAsia="en-US"/>
              </w:rPr>
            </w:pPr>
            <w:r w:rsidRPr="005437C6">
              <w:rPr>
                <w:rFonts w:cs="Arial"/>
                <w:color w:val="0070C0"/>
                <w:szCs w:val="24"/>
                <w:lang w:eastAsia="en-US"/>
              </w:rPr>
              <w:t>Potential Impact on Foul Sewer Infrastructure - Network Improvements may be required.</w:t>
            </w:r>
          </w:p>
          <w:p w14:paraId="256D1555" w14:textId="77777777" w:rsidR="004466EB" w:rsidRPr="005437C6" w:rsidRDefault="004466EB" w:rsidP="00E44687">
            <w:pPr>
              <w:keepNext w:val="0"/>
              <w:numPr>
                <w:ilvl w:val="0"/>
                <w:numId w:val="358"/>
              </w:numPr>
              <w:spacing w:before="0" w:line="276" w:lineRule="auto"/>
              <w:jc w:val="left"/>
              <w:rPr>
                <w:rFonts w:cs="Arial"/>
                <w:color w:val="0070C0"/>
                <w:szCs w:val="24"/>
                <w:lang w:eastAsia="en-US"/>
              </w:rPr>
            </w:pPr>
            <w:r w:rsidRPr="005437C6">
              <w:rPr>
                <w:rFonts w:cs="Arial"/>
                <w:color w:val="0070C0"/>
                <w:szCs w:val="24"/>
                <w:lang w:eastAsia="en-US"/>
              </w:rPr>
              <w:t>Potential Impact on Surface Water Sewer Infrastructure - Network Improvements likely to be required.</w:t>
            </w:r>
          </w:p>
          <w:p w14:paraId="64D82F06" w14:textId="77777777" w:rsidR="004466EB" w:rsidRPr="005437C6" w:rsidRDefault="004466EB" w:rsidP="00E44687">
            <w:pPr>
              <w:keepNext w:val="0"/>
              <w:spacing w:before="0" w:line="276" w:lineRule="auto"/>
              <w:jc w:val="left"/>
              <w:rPr>
                <w:rFonts w:cs="Arial"/>
                <w:color w:val="0070C0"/>
                <w:szCs w:val="24"/>
                <w:lang w:eastAsia="en-US"/>
              </w:rPr>
            </w:pPr>
          </w:p>
          <w:p w14:paraId="5490EE84"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Access to other utilities is generally assumed to be non-constrained.</w:t>
            </w:r>
          </w:p>
          <w:p w14:paraId="571B2906" w14:textId="77777777" w:rsidR="004466EB" w:rsidRPr="005437C6" w:rsidRDefault="004466EB" w:rsidP="00E44687">
            <w:pPr>
              <w:keepNext w:val="0"/>
              <w:spacing w:before="0" w:line="276" w:lineRule="auto"/>
              <w:jc w:val="left"/>
              <w:rPr>
                <w:rFonts w:cs="Arial"/>
                <w:color w:val="0070C0"/>
                <w:szCs w:val="24"/>
                <w:lang w:eastAsia="en-US"/>
              </w:rPr>
            </w:pPr>
          </w:p>
        </w:tc>
      </w:tr>
      <w:tr w:rsidR="005437C6" w:rsidRPr="005437C6" w14:paraId="68211981" w14:textId="77777777">
        <w:tc>
          <w:tcPr>
            <w:tcW w:w="2263" w:type="dxa"/>
            <w:shd w:val="clear" w:color="auto" w:fill="D9D9D9"/>
          </w:tcPr>
          <w:p w14:paraId="05633D1E"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t>Public Open Space Requirements</w:t>
            </w:r>
          </w:p>
          <w:p w14:paraId="4B2C5933" w14:textId="77777777" w:rsidR="004466EB" w:rsidRPr="00E56F9C" w:rsidRDefault="004466EB" w:rsidP="00E44687">
            <w:pPr>
              <w:keepNext w:val="0"/>
              <w:spacing w:before="0" w:line="276" w:lineRule="auto"/>
              <w:jc w:val="left"/>
              <w:rPr>
                <w:rFonts w:cs="Arial"/>
                <w:b/>
                <w:bCs/>
                <w:color w:val="005EAC"/>
                <w:szCs w:val="24"/>
                <w:lang w:eastAsia="en-US"/>
              </w:rPr>
            </w:pPr>
          </w:p>
          <w:p w14:paraId="7F66E74B"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Policy: S12</w:t>
            </w:r>
          </w:p>
          <w:p w14:paraId="29C42C6C" w14:textId="77777777" w:rsidR="004466EB" w:rsidRPr="00E56F9C" w:rsidRDefault="004466EB" w:rsidP="00E44687">
            <w:pPr>
              <w:keepNext w:val="0"/>
              <w:spacing w:before="0" w:line="276" w:lineRule="auto"/>
              <w:jc w:val="left"/>
              <w:rPr>
                <w:rFonts w:cs="Arial"/>
                <w:color w:val="005EAC"/>
                <w:sz w:val="22"/>
                <w:lang w:eastAsia="en-US"/>
              </w:rPr>
            </w:pPr>
          </w:p>
          <w:p w14:paraId="65E8EE98"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Development Management Policies: H5, SD5</w:t>
            </w:r>
          </w:p>
        </w:tc>
        <w:tc>
          <w:tcPr>
            <w:tcW w:w="7479" w:type="dxa"/>
          </w:tcPr>
          <w:p w14:paraId="3416225F"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 xml:space="preserve">The site should accommodate a minimum of </w:t>
            </w:r>
            <w:r w:rsidRPr="005437C6">
              <w:rPr>
                <w:rFonts w:cs="Arial"/>
                <w:b/>
                <w:bCs/>
                <w:color w:val="0070C0"/>
                <w:szCs w:val="24"/>
                <w:lang w:eastAsia="en-US"/>
              </w:rPr>
              <w:t xml:space="preserve">10% </w:t>
            </w:r>
            <w:r w:rsidRPr="005437C6">
              <w:rPr>
                <w:rFonts w:cs="Arial"/>
                <w:color w:val="0070C0"/>
                <w:szCs w:val="24"/>
                <w:lang w:eastAsia="en-US"/>
              </w:rPr>
              <w:t xml:space="preserve">recreational space for community use, approximately </w:t>
            </w:r>
            <w:r w:rsidRPr="005437C6">
              <w:rPr>
                <w:rFonts w:cs="Arial"/>
                <w:b/>
                <w:bCs/>
                <w:color w:val="0070C0"/>
                <w:szCs w:val="24"/>
                <w:lang w:eastAsia="en-US"/>
              </w:rPr>
              <w:t xml:space="preserve">1.18ha </w:t>
            </w:r>
            <w:r w:rsidRPr="005437C6">
              <w:rPr>
                <w:rFonts w:cs="Arial"/>
                <w:color w:val="0070C0"/>
                <w:szCs w:val="24"/>
                <w:lang w:eastAsia="en-US"/>
              </w:rPr>
              <w:t>from all phases of development. This may take the form of:</w:t>
            </w:r>
          </w:p>
          <w:p w14:paraId="50317898"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14EC3025"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Informal recreational open space</w:t>
            </w:r>
          </w:p>
          <w:p w14:paraId="43FFB583"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Outdoor sports facilities</w:t>
            </w:r>
          </w:p>
          <w:p w14:paraId="43E333AA"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Play space</w:t>
            </w:r>
          </w:p>
          <w:p w14:paraId="7E41C8C3"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Cemeteries</w:t>
            </w:r>
          </w:p>
          <w:p w14:paraId="3CBFD009"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Allotments</w:t>
            </w:r>
          </w:p>
          <w:p w14:paraId="259CB207"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Natural spaces</w:t>
            </w:r>
          </w:p>
          <w:p w14:paraId="07667855" w14:textId="77777777" w:rsidR="004466EB" w:rsidRPr="005437C6" w:rsidRDefault="004466EB" w:rsidP="00E44687">
            <w:pPr>
              <w:keepNext w:val="0"/>
              <w:numPr>
                <w:ilvl w:val="0"/>
                <w:numId w:val="365"/>
              </w:numPr>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Areas of public realm</w:t>
            </w:r>
          </w:p>
          <w:p w14:paraId="01231ACB"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3AC77CEB"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On site park/recreation ground with a neighbourhood play area and neighbourhood young people’s area to be provided on site. This space should be overlooked by development to aid security and encourage activity.</w:t>
            </w:r>
          </w:p>
          <w:p w14:paraId="12100C6E" w14:textId="7777777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p>
          <w:p w14:paraId="47717EFA" w14:textId="7BD00AD7" w:rsidR="004466EB" w:rsidRPr="005437C6" w:rsidRDefault="004466EB" w:rsidP="00E44687">
            <w:pPr>
              <w:keepNext w:val="0"/>
              <w:autoSpaceDE w:val="0"/>
              <w:autoSpaceDN w:val="0"/>
              <w:adjustRightInd w:val="0"/>
              <w:spacing w:before="0" w:line="276" w:lineRule="auto"/>
              <w:jc w:val="left"/>
              <w:rPr>
                <w:rFonts w:cs="Arial"/>
                <w:color w:val="0070C0"/>
                <w:szCs w:val="24"/>
                <w:lang w:eastAsia="en-US"/>
              </w:rPr>
            </w:pPr>
            <w:r w:rsidRPr="005437C6">
              <w:rPr>
                <w:rFonts w:cs="Arial"/>
                <w:color w:val="0070C0"/>
                <w:szCs w:val="24"/>
                <w:lang w:eastAsia="en-US"/>
              </w:rPr>
              <w:t>A contribution towards public realm improvements may also be sought from this site in line with Local Plan policy.</w:t>
            </w:r>
          </w:p>
        </w:tc>
      </w:tr>
      <w:tr w:rsidR="005437C6" w:rsidRPr="005437C6" w14:paraId="02AB583A" w14:textId="77777777">
        <w:tc>
          <w:tcPr>
            <w:tcW w:w="2263" w:type="dxa"/>
            <w:shd w:val="clear" w:color="auto" w:fill="D9D9D9"/>
          </w:tcPr>
          <w:p w14:paraId="58DC5E27"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b/>
                <w:bCs/>
                <w:color w:val="005EAC"/>
                <w:szCs w:val="24"/>
                <w:lang w:eastAsia="en-US"/>
              </w:rPr>
              <w:t>Affordable Housing</w:t>
            </w:r>
          </w:p>
          <w:p w14:paraId="1914D46A" w14:textId="77777777" w:rsidR="004466EB" w:rsidRPr="00E56F9C" w:rsidRDefault="004466EB" w:rsidP="00E44687">
            <w:pPr>
              <w:keepNext w:val="0"/>
              <w:spacing w:before="0" w:line="276" w:lineRule="auto"/>
              <w:jc w:val="left"/>
              <w:rPr>
                <w:rFonts w:cs="Arial"/>
                <w:b/>
                <w:bCs/>
                <w:color w:val="005EAC"/>
                <w:szCs w:val="24"/>
                <w:lang w:eastAsia="en-US"/>
              </w:rPr>
            </w:pPr>
          </w:p>
          <w:p w14:paraId="4F259C9B" w14:textId="77777777" w:rsidR="004466EB" w:rsidRPr="00E56F9C" w:rsidRDefault="004466EB" w:rsidP="00E44687">
            <w:pPr>
              <w:keepNext w:val="0"/>
              <w:spacing w:before="0" w:line="276" w:lineRule="auto"/>
              <w:jc w:val="left"/>
              <w:rPr>
                <w:rFonts w:cs="Arial"/>
                <w:color w:val="005EAC"/>
                <w:sz w:val="22"/>
                <w:lang w:eastAsia="en-US"/>
              </w:rPr>
            </w:pPr>
            <w:r w:rsidRPr="00E56F9C">
              <w:rPr>
                <w:rFonts w:cs="Arial"/>
                <w:color w:val="005EAC"/>
                <w:sz w:val="22"/>
                <w:lang w:eastAsia="en-US"/>
              </w:rPr>
              <w:t>Strategic Policy: S7</w:t>
            </w:r>
          </w:p>
          <w:p w14:paraId="70F5C5B1" w14:textId="77777777" w:rsidR="004466EB" w:rsidRPr="00E56F9C" w:rsidRDefault="004466EB" w:rsidP="00E44687">
            <w:pPr>
              <w:keepNext w:val="0"/>
              <w:spacing w:before="0" w:line="276" w:lineRule="auto"/>
              <w:jc w:val="left"/>
              <w:rPr>
                <w:rFonts w:cs="Arial"/>
                <w:color w:val="005EAC"/>
                <w:sz w:val="22"/>
                <w:lang w:eastAsia="en-US"/>
              </w:rPr>
            </w:pPr>
          </w:p>
          <w:p w14:paraId="1FADF9E9" w14:textId="77777777" w:rsidR="004466EB" w:rsidRPr="00E56F9C" w:rsidRDefault="004466EB" w:rsidP="00E44687">
            <w:pPr>
              <w:keepNext w:val="0"/>
              <w:spacing w:before="0" w:line="276" w:lineRule="auto"/>
              <w:jc w:val="left"/>
              <w:rPr>
                <w:rFonts w:cs="Arial"/>
                <w:b/>
                <w:bCs/>
                <w:color w:val="005EAC"/>
                <w:szCs w:val="24"/>
                <w:lang w:eastAsia="en-US"/>
              </w:rPr>
            </w:pPr>
            <w:r w:rsidRPr="00E56F9C">
              <w:rPr>
                <w:rFonts w:cs="Arial"/>
                <w:color w:val="005EAC"/>
                <w:sz w:val="22"/>
                <w:lang w:eastAsia="en-US"/>
              </w:rPr>
              <w:t>Development Management Policy: H3, SD5</w:t>
            </w:r>
          </w:p>
        </w:tc>
        <w:tc>
          <w:tcPr>
            <w:tcW w:w="7479" w:type="dxa"/>
          </w:tcPr>
          <w:p w14:paraId="7059149E" w14:textId="77777777" w:rsidR="004466EB" w:rsidRPr="005437C6" w:rsidRDefault="004466EB" w:rsidP="00E44687">
            <w:pPr>
              <w:keepNext w:val="0"/>
              <w:spacing w:before="0" w:line="276" w:lineRule="auto"/>
              <w:jc w:val="left"/>
              <w:rPr>
                <w:rFonts w:cs="Arial"/>
                <w:color w:val="0070C0"/>
                <w:szCs w:val="24"/>
                <w:lang w:eastAsia="en-US"/>
              </w:rPr>
            </w:pPr>
            <w:r w:rsidRPr="005437C6">
              <w:rPr>
                <w:rFonts w:cs="Arial"/>
                <w:color w:val="0070C0"/>
                <w:szCs w:val="24"/>
                <w:lang w:eastAsia="en-US"/>
              </w:rPr>
              <w:t>A minimum of 25% affordable housing will be required on this site.</w:t>
            </w:r>
          </w:p>
          <w:p w14:paraId="2478DB59" w14:textId="77777777" w:rsidR="004466EB" w:rsidRPr="005437C6" w:rsidRDefault="004466EB" w:rsidP="00E44687">
            <w:pPr>
              <w:keepNext w:val="0"/>
              <w:autoSpaceDE w:val="0"/>
              <w:autoSpaceDN w:val="0"/>
              <w:adjustRightInd w:val="0"/>
              <w:spacing w:before="0"/>
              <w:ind w:right="284"/>
              <w:jc w:val="left"/>
              <w:rPr>
                <w:color w:val="0070C0"/>
                <w:szCs w:val="24"/>
                <w:lang w:eastAsia="en-US"/>
              </w:rPr>
            </w:pPr>
          </w:p>
          <w:p w14:paraId="4B83B92D" w14:textId="77777777" w:rsidR="004466EB" w:rsidRPr="005437C6" w:rsidRDefault="004466EB" w:rsidP="00E44687">
            <w:pPr>
              <w:keepNext w:val="0"/>
              <w:autoSpaceDE w:val="0"/>
              <w:autoSpaceDN w:val="0"/>
              <w:adjustRightInd w:val="0"/>
              <w:spacing w:before="0"/>
              <w:ind w:right="284"/>
              <w:jc w:val="left"/>
              <w:rPr>
                <w:color w:val="0070C0"/>
                <w:szCs w:val="24"/>
                <w:lang w:eastAsia="en-US"/>
              </w:rPr>
            </w:pPr>
            <w:r w:rsidRPr="005437C6">
              <w:rPr>
                <w:color w:val="0070C0"/>
                <w:szCs w:val="24"/>
                <w:lang w:eastAsia="en-US"/>
              </w:rPr>
              <w:t>Tenure mix should be identified through discussions with the local authority.  The starting point will be based on delivery of:</w:t>
            </w:r>
          </w:p>
          <w:p w14:paraId="1763D701" w14:textId="77777777" w:rsidR="004466EB" w:rsidRPr="005437C6" w:rsidRDefault="004466EB" w:rsidP="00E44687">
            <w:pPr>
              <w:keepNext w:val="0"/>
              <w:autoSpaceDE w:val="0"/>
              <w:autoSpaceDN w:val="0"/>
              <w:adjustRightInd w:val="0"/>
              <w:spacing w:before="0"/>
              <w:ind w:left="357" w:right="284"/>
              <w:jc w:val="left"/>
              <w:rPr>
                <w:color w:val="0070C0"/>
                <w:szCs w:val="24"/>
                <w:lang w:eastAsia="en-US"/>
              </w:rPr>
            </w:pPr>
          </w:p>
          <w:p w14:paraId="6C3C0B2A"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lang w:eastAsia="en-US"/>
              </w:rPr>
            </w:pPr>
            <w:r w:rsidRPr="005437C6">
              <w:rPr>
                <w:rFonts w:cs="Arial"/>
                <w:color w:val="0070C0"/>
                <w:szCs w:val="24"/>
                <w:lang w:eastAsia="en-US"/>
              </w:rPr>
              <w:t>25% Shared ownership/discounted homes for sale,</w:t>
            </w:r>
          </w:p>
          <w:p w14:paraId="5685473D"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lang w:eastAsia="en-US"/>
              </w:rPr>
            </w:pPr>
            <w:r w:rsidRPr="005437C6">
              <w:rPr>
                <w:rFonts w:cs="Arial"/>
                <w:color w:val="0070C0"/>
                <w:szCs w:val="24"/>
                <w:lang w:eastAsia="en-US"/>
              </w:rPr>
              <w:t>25% Social Rents, and</w:t>
            </w:r>
          </w:p>
          <w:p w14:paraId="520AC819" w14:textId="77777777" w:rsidR="004466EB" w:rsidRPr="005437C6" w:rsidRDefault="004466EB" w:rsidP="00E44687">
            <w:pPr>
              <w:keepNext w:val="0"/>
              <w:numPr>
                <w:ilvl w:val="0"/>
                <w:numId w:val="330"/>
              </w:numPr>
              <w:autoSpaceDE w:val="0"/>
              <w:autoSpaceDN w:val="0"/>
              <w:adjustRightInd w:val="0"/>
              <w:spacing w:before="0" w:after="200" w:line="276" w:lineRule="auto"/>
              <w:ind w:left="608" w:right="284" w:hanging="284"/>
              <w:contextualSpacing/>
              <w:jc w:val="left"/>
              <w:rPr>
                <w:rFonts w:cs="Arial"/>
                <w:color w:val="0070C0"/>
                <w:szCs w:val="24"/>
                <w:lang w:eastAsia="en-US"/>
              </w:rPr>
            </w:pPr>
            <w:r w:rsidRPr="005437C6">
              <w:rPr>
                <w:rFonts w:cs="Arial"/>
                <w:color w:val="0070C0"/>
                <w:szCs w:val="24"/>
                <w:lang w:eastAsia="en-US"/>
              </w:rPr>
              <w:t>50% Affordable Rents.</w:t>
            </w:r>
          </w:p>
        </w:tc>
      </w:tr>
    </w:tbl>
    <w:p w14:paraId="146EAE99" w14:textId="77777777" w:rsidR="00B0709C" w:rsidRDefault="004466EB" w:rsidP="004466EB">
      <w:pPr>
        <w:keepNext w:val="0"/>
        <w:spacing w:before="0" w:after="160" w:line="276" w:lineRule="auto"/>
        <w:jc w:val="both"/>
        <w:rPr>
          <w:rFonts w:eastAsia="Calibri" w:cs="Arial"/>
          <w:b/>
          <w:bCs/>
          <w:color w:val="0070C0"/>
          <w:szCs w:val="24"/>
          <w:lang w:eastAsia="en-US"/>
        </w:rPr>
        <w:sectPr w:rsidR="00B0709C" w:rsidSect="000A31CA">
          <w:headerReference w:type="default" r:id="rId126"/>
          <w:footerReference w:type="default" r:id="rId127"/>
          <w:pgSz w:w="11906" w:h="16838" w:code="9"/>
          <w:pgMar w:top="1258" w:right="1133" w:bottom="1079" w:left="1134" w:header="709" w:footer="709" w:gutter="0"/>
          <w:cols w:space="708"/>
          <w:docGrid w:linePitch="360"/>
        </w:sectPr>
      </w:pPr>
      <w:r w:rsidRPr="005437C6">
        <w:rPr>
          <w:rFonts w:eastAsia="Calibri" w:cs="Arial"/>
          <w:b/>
          <w:bCs/>
          <w:noProof/>
          <w:color w:val="0070C0"/>
          <w:szCs w:val="24"/>
          <w:lang w:eastAsia="en-US"/>
        </w:rPr>
        <w:lastRenderedPageBreak/>
        <w:drawing>
          <wp:inline distT="0" distB="0" distL="0" distR="0" wp14:anchorId="1A485338" wp14:editId="63AD4FD4">
            <wp:extent cx="6058746" cy="8611802"/>
            <wp:effectExtent l="0" t="0" r="0" b="0"/>
            <wp:docPr id="1267052258" name="Picture 1" descr="Design considerations for allocation H1Ss - East of Beck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52258" name="Picture 1" descr="Design considerations for allocation H1Ss - East of Beck Lane"/>
                    <pic:cNvPicPr/>
                  </pic:nvPicPr>
                  <pic:blipFill>
                    <a:blip r:embed="rId128"/>
                    <a:stretch>
                      <a:fillRect/>
                    </a:stretch>
                  </pic:blipFill>
                  <pic:spPr>
                    <a:xfrm>
                      <a:off x="0" y="0"/>
                      <a:ext cx="6058746" cy="8611802"/>
                    </a:xfrm>
                    <a:prstGeom prst="rect">
                      <a:avLst/>
                    </a:prstGeom>
                  </pic:spPr>
                </pic:pic>
              </a:graphicData>
            </a:graphic>
          </wp:inline>
        </w:drawing>
      </w:r>
    </w:p>
    <w:p w14:paraId="2ABC44D1" w14:textId="0EC8F6C3" w:rsidR="00B22DEE" w:rsidRPr="003445EE" w:rsidRDefault="00AF280E" w:rsidP="00CF07B9">
      <w:pPr>
        <w:pStyle w:val="Heading1"/>
      </w:pPr>
      <w:r w:rsidRPr="005437C6">
        <w:lastRenderedPageBreak/>
        <w:t xml:space="preserve">Appendix 12: </w:t>
      </w:r>
      <w:r w:rsidR="003445EE">
        <w:t xml:space="preserve">Local Plan </w:t>
      </w:r>
      <w:r w:rsidRPr="005437C6">
        <w:t>Monitoring Framework</w:t>
      </w:r>
    </w:p>
    <w:p w14:paraId="13A8CDB6" w14:textId="77777777" w:rsidR="00B22DEE" w:rsidRDefault="00B22DEE" w:rsidP="00B22DEE"/>
    <w:p w14:paraId="4DE8730B" w14:textId="77777777" w:rsidR="00B22DEE" w:rsidRPr="003445EE" w:rsidRDefault="00B22DEE" w:rsidP="00B22DEE">
      <w:pPr>
        <w:rPr>
          <w:color w:val="0070C0"/>
        </w:rPr>
      </w:pPr>
      <w:r w:rsidRPr="003445EE">
        <w:rPr>
          <w:color w:val="0070C0"/>
        </w:rPr>
        <w:t xml:space="preserve">The aim of the monitoring framework is to provide a robust approach to ensuring the strategy, objectives and policies of the Local Plan for Ashfield are being implemented correctly and that in doing so they are having the required effect. </w:t>
      </w:r>
    </w:p>
    <w:p w14:paraId="6992421D" w14:textId="77777777" w:rsidR="00B22DEE" w:rsidRPr="003445EE" w:rsidRDefault="00B22DEE" w:rsidP="00B22DEE">
      <w:pPr>
        <w:rPr>
          <w:color w:val="0070C0"/>
        </w:rPr>
      </w:pPr>
      <w:r w:rsidRPr="003445EE">
        <w:rPr>
          <w:color w:val="0070C0"/>
        </w:rPr>
        <w:t>The formal monitoring of the Local Plan and other Development Plan Documents will take the form of an Annual Monitoring Report (AMR) which gives an overview of the progress being made in all areas.  Separately, more detailed monitoring reports are produced for housing, employment and retail for the financial year end annually.</w:t>
      </w:r>
    </w:p>
    <w:p w14:paraId="2AFF3990" w14:textId="77777777" w:rsidR="00B22DEE" w:rsidRDefault="00B22DEE" w:rsidP="00B22DEE">
      <w:pPr>
        <w:sectPr w:rsidR="00B22DEE" w:rsidSect="00B22DEE">
          <w:pgSz w:w="11906" w:h="16838"/>
          <w:pgMar w:top="1440" w:right="1077" w:bottom="1440" w:left="1077" w:header="709" w:footer="709" w:gutter="0"/>
          <w:cols w:space="720"/>
        </w:sectPr>
      </w:pPr>
    </w:p>
    <w:tbl>
      <w:tblPr>
        <w:tblStyle w:val="TableGrid"/>
        <w:tblW w:w="14029" w:type="dxa"/>
        <w:tblLook w:val="04A0" w:firstRow="1" w:lastRow="0" w:firstColumn="1" w:lastColumn="0" w:noHBand="0" w:noVBand="1"/>
      </w:tblPr>
      <w:tblGrid>
        <w:gridCol w:w="1838"/>
        <w:gridCol w:w="3544"/>
        <w:gridCol w:w="4394"/>
        <w:gridCol w:w="4253"/>
      </w:tblGrid>
      <w:tr w:rsidR="00ED28AA" w:rsidRPr="00ED28AA" w14:paraId="2FB5913D" w14:textId="77777777">
        <w:trPr>
          <w:trHeight w:val="630"/>
        </w:trPr>
        <w:tc>
          <w:tcPr>
            <w:tcW w:w="14029" w:type="dxa"/>
            <w:gridSpan w:val="4"/>
            <w:tcBorders>
              <w:top w:val="single" w:sz="4" w:space="0" w:color="auto"/>
              <w:left w:val="single" w:sz="4" w:space="0" w:color="auto"/>
              <w:bottom w:val="single" w:sz="4" w:space="0" w:color="auto"/>
              <w:right w:val="single" w:sz="4" w:space="0" w:color="auto"/>
            </w:tcBorders>
            <w:shd w:val="clear" w:color="auto" w:fill="E7E6E6" w:themeFill="background2"/>
          </w:tcPr>
          <w:p w14:paraId="1DCF2B1C" w14:textId="4E787223" w:rsidR="001479E6" w:rsidRPr="00E56F9C" w:rsidRDefault="001479E6">
            <w:pPr>
              <w:rPr>
                <w:b/>
                <w:bCs/>
                <w:color w:val="0067B6"/>
              </w:rPr>
            </w:pPr>
            <w:r w:rsidRPr="00E56F9C">
              <w:rPr>
                <w:b/>
                <w:bCs/>
                <w:color w:val="0067B6"/>
              </w:rPr>
              <w:lastRenderedPageBreak/>
              <w:t>Strategic policies</w:t>
            </w:r>
          </w:p>
        </w:tc>
      </w:tr>
      <w:tr w:rsidR="00ED28AA" w:rsidRPr="00ED28AA" w14:paraId="5EF078CE" w14:textId="77777777">
        <w:trPr>
          <w:trHeight w:val="630"/>
        </w:trPr>
        <w:tc>
          <w:tcPr>
            <w:tcW w:w="18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7FA1101" w14:textId="77777777" w:rsidR="00B22DEE" w:rsidRPr="00E56F9C" w:rsidRDefault="00B22DEE">
            <w:pPr>
              <w:rPr>
                <w:b/>
                <w:bCs/>
                <w:color w:val="0067B6"/>
                <w:sz w:val="22"/>
              </w:rPr>
            </w:pPr>
            <w:r w:rsidRPr="00E56F9C">
              <w:rPr>
                <w:b/>
                <w:bCs/>
                <w:color w:val="0067B6"/>
                <w:sz w:val="22"/>
              </w:rPr>
              <w:t>Policy</w:t>
            </w:r>
          </w:p>
        </w:tc>
        <w:tc>
          <w:tcPr>
            <w:tcW w:w="3544"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F6B3D29" w14:textId="77777777" w:rsidR="00B22DEE" w:rsidRPr="00E56F9C" w:rsidRDefault="00B22DEE">
            <w:pPr>
              <w:rPr>
                <w:b/>
                <w:bCs/>
                <w:color w:val="0067B6"/>
                <w:sz w:val="22"/>
              </w:rPr>
            </w:pPr>
            <w:r w:rsidRPr="00E56F9C">
              <w:rPr>
                <w:b/>
                <w:bCs/>
                <w:color w:val="0067B6"/>
                <w:sz w:val="22"/>
              </w:rPr>
              <w:t>Indicator</w:t>
            </w:r>
          </w:p>
        </w:tc>
        <w:tc>
          <w:tcPr>
            <w:tcW w:w="4394"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0163A04" w14:textId="77777777" w:rsidR="00B22DEE" w:rsidRPr="00E56F9C" w:rsidRDefault="00B22DEE">
            <w:pPr>
              <w:rPr>
                <w:b/>
                <w:bCs/>
                <w:color w:val="0067B6"/>
                <w:sz w:val="22"/>
              </w:rPr>
            </w:pPr>
            <w:r w:rsidRPr="00E56F9C">
              <w:rPr>
                <w:b/>
                <w:bCs/>
                <w:color w:val="0067B6"/>
                <w:sz w:val="22"/>
              </w:rPr>
              <w:t>Target</w:t>
            </w:r>
          </w:p>
        </w:tc>
        <w:tc>
          <w:tcPr>
            <w:tcW w:w="425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FBC8969" w14:textId="77777777" w:rsidR="00B22DEE" w:rsidRPr="00E56F9C" w:rsidRDefault="00B22DEE">
            <w:pPr>
              <w:rPr>
                <w:b/>
                <w:bCs/>
                <w:color w:val="0067B6"/>
                <w:sz w:val="22"/>
              </w:rPr>
            </w:pPr>
            <w:r w:rsidRPr="00E56F9C">
              <w:rPr>
                <w:b/>
                <w:bCs/>
                <w:color w:val="0067B6"/>
                <w:sz w:val="22"/>
              </w:rPr>
              <w:t>Actions if target not met</w:t>
            </w:r>
          </w:p>
        </w:tc>
      </w:tr>
      <w:tr w:rsidR="00ED28AA" w:rsidRPr="00ED28AA" w14:paraId="0F0A30A5"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4A5753BF" w14:textId="77777777" w:rsidR="00B22DEE" w:rsidRPr="00ED28AA" w:rsidRDefault="00B22DEE">
            <w:pPr>
              <w:rPr>
                <w:color w:val="0070C0"/>
                <w:sz w:val="22"/>
              </w:rPr>
            </w:pPr>
            <w:r w:rsidRPr="00ED28AA">
              <w:rPr>
                <w:color w:val="0070C0"/>
                <w:sz w:val="22"/>
              </w:rPr>
              <w:t>Strategic Policy S1: Spatial Strategy to Deliver the Vision</w:t>
            </w:r>
          </w:p>
        </w:tc>
        <w:tc>
          <w:tcPr>
            <w:tcW w:w="3544" w:type="dxa"/>
            <w:tcBorders>
              <w:top w:val="single" w:sz="4" w:space="0" w:color="auto"/>
              <w:left w:val="single" w:sz="4" w:space="0" w:color="auto"/>
              <w:bottom w:val="single" w:sz="4" w:space="0" w:color="auto"/>
              <w:right w:val="single" w:sz="4" w:space="0" w:color="auto"/>
            </w:tcBorders>
          </w:tcPr>
          <w:p w14:paraId="1334A938" w14:textId="77777777" w:rsidR="00B22DEE" w:rsidRPr="00ED28AA" w:rsidRDefault="00B22DEE">
            <w:pPr>
              <w:rPr>
                <w:color w:val="0070C0"/>
                <w:sz w:val="22"/>
              </w:rPr>
            </w:pPr>
            <w:r w:rsidRPr="00ED28AA">
              <w:rPr>
                <w:color w:val="0070C0"/>
                <w:sz w:val="22"/>
              </w:rPr>
              <w:t xml:space="preserve">Indicators for S1 are assessed against the other policies of the Local Plan to determine whether sustainable growth is being achieved across the </w:t>
            </w:r>
            <w:proofErr w:type="gramStart"/>
            <w:r w:rsidRPr="00ED28AA">
              <w:rPr>
                <w:color w:val="0070C0"/>
                <w:sz w:val="22"/>
              </w:rPr>
              <w:t>District</w:t>
            </w:r>
            <w:proofErr w:type="gramEnd"/>
          </w:p>
          <w:p w14:paraId="664C9339" w14:textId="77777777" w:rsidR="00B22DEE" w:rsidRPr="00ED28AA" w:rsidRDefault="00B22DEE">
            <w:pPr>
              <w:rPr>
                <w:color w:val="0070C0"/>
                <w:sz w:val="22"/>
              </w:rPr>
            </w:pPr>
          </w:p>
          <w:p w14:paraId="22B8CF4B" w14:textId="77777777" w:rsidR="00B22DEE" w:rsidRPr="00ED28AA" w:rsidRDefault="00B22DEE">
            <w:pPr>
              <w:rPr>
                <w:color w:val="0070C0"/>
                <w:sz w:val="22"/>
              </w:rPr>
            </w:pPr>
            <w:r w:rsidRPr="00ED28AA">
              <w:rPr>
                <w:color w:val="0070C0"/>
                <w:sz w:val="22"/>
              </w:rPr>
              <w:t>Monitor distribution of new development by settlement hierarchy</w:t>
            </w:r>
          </w:p>
        </w:tc>
        <w:tc>
          <w:tcPr>
            <w:tcW w:w="4394" w:type="dxa"/>
            <w:tcBorders>
              <w:top w:val="single" w:sz="4" w:space="0" w:color="auto"/>
              <w:left w:val="single" w:sz="4" w:space="0" w:color="auto"/>
              <w:bottom w:val="single" w:sz="4" w:space="0" w:color="auto"/>
              <w:right w:val="single" w:sz="4" w:space="0" w:color="auto"/>
            </w:tcBorders>
          </w:tcPr>
          <w:p w14:paraId="26F54511" w14:textId="77777777" w:rsidR="00B22DEE" w:rsidRPr="00ED28AA" w:rsidRDefault="00B22DEE">
            <w:pPr>
              <w:rPr>
                <w:color w:val="0070C0"/>
                <w:sz w:val="22"/>
              </w:rPr>
            </w:pPr>
            <w:r w:rsidRPr="00ED28AA">
              <w:rPr>
                <w:color w:val="0070C0"/>
                <w:sz w:val="22"/>
              </w:rPr>
              <w:t>Through the monitoring framework an overall strategic conclusion could be reached each year as to whether the spatial strategy and vision is being met.</w:t>
            </w:r>
          </w:p>
          <w:p w14:paraId="2A676855" w14:textId="77777777" w:rsidR="00B22DEE" w:rsidRPr="00ED28AA" w:rsidRDefault="00B22DEE">
            <w:pPr>
              <w:rPr>
                <w:color w:val="0070C0"/>
                <w:sz w:val="22"/>
              </w:rPr>
            </w:pPr>
          </w:p>
          <w:p w14:paraId="7601E071" w14:textId="77777777" w:rsidR="00B22DEE" w:rsidRPr="00ED28AA" w:rsidRDefault="00B22DEE">
            <w:pPr>
              <w:rPr>
                <w:color w:val="0070C0"/>
                <w:sz w:val="22"/>
              </w:rPr>
            </w:pPr>
            <w:r w:rsidRPr="00ED28AA">
              <w:rPr>
                <w:color w:val="0070C0"/>
                <w:sz w:val="22"/>
              </w:rPr>
              <w:t>Ensure new development is being delivered consistent with settlement hierarchy.</w:t>
            </w:r>
          </w:p>
        </w:tc>
        <w:tc>
          <w:tcPr>
            <w:tcW w:w="4253" w:type="dxa"/>
            <w:tcBorders>
              <w:top w:val="single" w:sz="4" w:space="0" w:color="auto"/>
              <w:left w:val="single" w:sz="4" w:space="0" w:color="auto"/>
              <w:bottom w:val="single" w:sz="4" w:space="0" w:color="auto"/>
              <w:right w:val="single" w:sz="4" w:space="0" w:color="auto"/>
            </w:tcBorders>
            <w:hideMark/>
          </w:tcPr>
          <w:p w14:paraId="410C46F0" w14:textId="77777777" w:rsidR="00B22DEE" w:rsidRPr="00ED28AA" w:rsidRDefault="00B22DEE">
            <w:pPr>
              <w:rPr>
                <w:color w:val="0070C0"/>
                <w:sz w:val="22"/>
              </w:rPr>
            </w:pPr>
            <w:r w:rsidRPr="00ED28AA">
              <w:rPr>
                <w:color w:val="0070C0"/>
                <w:sz w:val="22"/>
              </w:rPr>
              <w:t>See specific policies in respect of housing, employment, economy, transport &amp; environment.</w:t>
            </w:r>
          </w:p>
        </w:tc>
      </w:tr>
      <w:tr w:rsidR="00ED28AA" w:rsidRPr="00ED28AA" w14:paraId="21314487" w14:textId="77777777">
        <w:trPr>
          <w:trHeight w:val="810"/>
        </w:trPr>
        <w:tc>
          <w:tcPr>
            <w:tcW w:w="1838" w:type="dxa"/>
            <w:tcBorders>
              <w:top w:val="single" w:sz="4" w:space="0" w:color="auto"/>
              <w:left w:val="single" w:sz="4" w:space="0" w:color="auto"/>
              <w:bottom w:val="single" w:sz="4" w:space="0" w:color="auto"/>
              <w:right w:val="single" w:sz="4" w:space="0" w:color="auto"/>
            </w:tcBorders>
            <w:hideMark/>
          </w:tcPr>
          <w:p w14:paraId="14F8DA0C" w14:textId="77777777" w:rsidR="00B22DEE" w:rsidRPr="00ED28AA" w:rsidRDefault="00B22DEE">
            <w:pPr>
              <w:rPr>
                <w:color w:val="0070C0"/>
                <w:sz w:val="22"/>
              </w:rPr>
            </w:pPr>
            <w:r w:rsidRPr="00ED28AA">
              <w:rPr>
                <w:color w:val="0070C0"/>
                <w:sz w:val="22"/>
              </w:rPr>
              <w:t>Strategic Policy S2: Achieving Sustainable Development</w:t>
            </w:r>
          </w:p>
        </w:tc>
        <w:tc>
          <w:tcPr>
            <w:tcW w:w="3544" w:type="dxa"/>
            <w:tcBorders>
              <w:top w:val="single" w:sz="4" w:space="0" w:color="auto"/>
              <w:left w:val="single" w:sz="4" w:space="0" w:color="auto"/>
              <w:bottom w:val="single" w:sz="4" w:space="0" w:color="auto"/>
              <w:right w:val="single" w:sz="4" w:space="0" w:color="auto"/>
            </w:tcBorders>
            <w:hideMark/>
          </w:tcPr>
          <w:p w14:paraId="29D1C95D" w14:textId="77777777" w:rsidR="00B22DEE" w:rsidRPr="00ED28AA" w:rsidRDefault="00B22DEE">
            <w:pPr>
              <w:rPr>
                <w:color w:val="0070C0"/>
                <w:sz w:val="22"/>
              </w:rPr>
            </w:pPr>
            <w:r w:rsidRPr="00ED28AA">
              <w:rPr>
                <w:color w:val="0070C0"/>
                <w:sz w:val="22"/>
              </w:rPr>
              <w:t>N/A</w:t>
            </w:r>
          </w:p>
        </w:tc>
        <w:tc>
          <w:tcPr>
            <w:tcW w:w="4394" w:type="dxa"/>
            <w:tcBorders>
              <w:top w:val="single" w:sz="4" w:space="0" w:color="auto"/>
              <w:left w:val="single" w:sz="4" w:space="0" w:color="auto"/>
              <w:bottom w:val="single" w:sz="4" w:space="0" w:color="auto"/>
              <w:right w:val="single" w:sz="4" w:space="0" w:color="auto"/>
            </w:tcBorders>
            <w:hideMark/>
          </w:tcPr>
          <w:p w14:paraId="7026C7CE" w14:textId="77777777" w:rsidR="00B22DEE" w:rsidRPr="00ED28AA" w:rsidRDefault="00B22DEE">
            <w:pPr>
              <w:rPr>
                <w:color w:val="0070C0"/>
                <w:sz w:val="22"/>
              </w:rPr>
            </w:pPr>
            <w:r w:rsidRPr="00ED28AA">
              <w:rPr>
                <w:color w:val="0070C0"/>
                <w:sz w:val="22"/>
              </w:rPr>
              <w:t>Presumption in favour of sustainable development. There are no specific measurable targets against this policy.</w:t>
            </w:r>
          </w:p>
        </w:tc>
        <w:tc>
          <w:tcPr>
            <w:tcW w:w="4253" w:type="dxa"/>
            <w:tcBorders>
              <w:top w:val="single" w:sz="4" w:space="0" w:color="auto"/>
              <w:left w:val="single" w:sz="4" w:space="0" w:color="auto"/>
              <w:bottom w:val="single" w:sz="4" w:space="0" w:color="auto"/>
              <w:right w:val="single" w:sz="4" w:space="0" w:color="auto"/>
            </w:tcBorders>
            <w:hideMark/>
          </w:tcPr>
          <w:p w14:paraId="1ACC0D91" w14:textId="77777777" w:rsidR="00B22DEE" w:rsidRPr="00ED28AA" w:rsidRDefault="00B22DEE">
            <w:pPr>
              <w:rPr>
                <w:color w:val="0070C0"/>
                <w:sz w:val="22"/>
              </w:rPr>
            </w:pPr>
            <w:r w:rsidRPr="00ED28AA">
              <w:rPr>
                <w:color w:val="0070C0"/>
                <w:sz w:val="22"/>
              </w:rPr>
              <w:t>N/A</w:t>
            </w:r>
          </w:p>
        </w:tc>
      </w:tr>
      <w:tr w:rsidR="00ED28AA" w:rsidRPr="00ED28AA" w14:paraId="072F0DFC"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7A1EA224" w14:textId="77777777" w:rsidR="00B22DEE" w:rsidRPr="00ED28AA" w:rsidRDefault="00B22DEE">
            <w:pPr>
              <w:rPr>
                <w:color w:val="0070C0"/>
                <w:sz w:val="22"/>
              </w:rPr>
            </w:pPr>
            <w:r w:rsidRPr="00ED28AA">
              <w:rPr>
                <w:color w:val="0070C0"/>
                <w:sz w:val="22"/>
              </w:rPr>
              <w:t>Strategic Policy S3: Meeting the Challenge of Climate Change</w:t>
            </w:r>
          </w:p>
        </w:tc>
        <w:tc>
          <w:tcPr>
            <w:tcW w:w="3544" w:type="dxa"/>
            <w:tcBorders>
              <w:top w:val="single" w:sz="4" w:space="0" w:color="auto"/>
              <w:left w:val="single" w:sz="4" w:space="0" w:color="auto"/>
              <w:bottom w:val="single" w:sz="4" w:space="0" w:color="auto"/>
              <w:right w:val="single" w:sz="4" w:space="0" w:color="auto"/>
            </w:tcBorders>
            <w:hideMark/>
          </w:tcPr>
          <w:p w14:paraId="043F3AA4" w14:textId="77777777" w:rsidR="00B22DEE" w:rsidRPr="00ED28AA" w:rsidRDefault="00B22DEE">
            <w:pPr>
              <w:rPr>
                <w:color w:val="0070C0"/>
                <w:sz w:val="22"/>
              </w:rPr>
            </w:pPr>
            <w:r w:rsidRPr="00ED28AA">
              <w:rPr>
                <w:color w:val="0070C0"/>
                <w:sz w:val="22"/>
              </w:rPr>
              <w:t>Indicators within individual policies CC1, CC2 &amp; CC3 provide monitoring of policies relating to climate change</w:t>
            </w:r>
          </w:p>
        </w:tc>
        <w:tc>
          <w:tcPr>
            <w:tcW w:w="4394" w:type="dxa"/>
            <w:tcBorders>
              <w:top w:val="single" w:sz="4" w:space="0" w:color="auto"/>
              <w:left w:val="single" w:sz="4" w:space="0" w:color="auto"/>
              <w:bottom w:val="single" w:sz="4" w:space="0" w:color="auto"/>
              <w:right w:val="single" w:sz="4" w:space="0" w:color="auto"/>
            </w:tcBorders>
          </w:tcPr>
          <w:p w14:paraId="08B946ED" w14:textId="77777777" w:rsidR="00B22DEE" w:rsidRPr="00ED28AA" w:rsidRDefault="00B22DEE">
            <w:pPr>
              <w:rPr>
                <w:color w:val="0070C0"/>
                <w:sz w:val="22"/>
              </w:rPr>
            </w:pPr>
            <w:r w:rsidRPr="00ED28AA">
              <w:rPr>
                <w:color w:val="0070C0"/>
                <w:sz w:val="22"/>
              </w:rPr>
              <w:t xml:space="preserve">Prioritise climate change in all planning decisions to mitigate and adapt to the effects of climate change. </w:t>
            </w:r>
          </w:p>
          <w:p w14:paraId="46E29F0E" w14:textId="77777777" w:rsidR="00B22DEE" w:rsidRPr="00ED28AA" w:rsidRDefault="00B22DEE">
            <w:pPr>
              <w:rPr>
                <w:color w:val="0070C0"/>
                <w:sz w:val="22"/>
              </w:rPr>
            </w:pPr>
          </w:p>
          <w:p w14:paraId="7EFCB552" w14:textId="77777777" w:rsidR="00B22DEE" w:rsidRPr="00ED28AA" w:rsidRDefault="00B22DEE">
            <w:pPr>
              <w:rPr>
                <w:color w:val="0070C0"/>
                <w:sz w:val="22"/>
              </w:rPr>
            </w:pPr>
            <w:r w:rsidRPr="00ED28AA">
              <w:rPr>
                <w:color w:val="0070C0"/>
                <w:sz w:val="22"/>
              </w:rPr>
              <w:t xml:space="preserve">Deliver reduction in the </w:t>
            </w:r>
            <w:proofErr w:type="gramStart"/>
            <w:r w:rsidRPr="00ED28AA">
              <w:rPr>
                <w:color w:val="0070C0"/>
                <w:sz w:val="22"/>
              </w:rPr>
              <w:t>District’s</w:t>
            </w:r>
            <w:proofErr w:type="gramEnd"/>
            <w:r w:rsidRPr="00ED28AA">
              <w:rPr>
                <w:color w:val="0070C0"/>
                <w:sz w:val="22"/>
              </w:rPr>
              <w:t xml:space="preserve"> carbon footprint.</w:t>
            </w:r>
          </w:p>
        </w:tc>
        <w:tc>
          <w:tcPr>
            <w:tcW w:w="4253" w:type="dxa"/>
            <w:tcBorders>
              <w:top w:val="single" w:sz="4" w:space="0" w:color="auto"/>
              <w:left w:val="single" w:sz="4" w:space="0" w:color="auto"/>
              <w:bottom w:val="single" w:sz="4" w:space="0" w:color="auto"/>
              <w:right w:val="single" w:sz="4" w:space="0" w:color="auto"/>
            </w:tcBorders>
            <w:hideMark/>
          </w:tcPr>
          <w:p w14:paraId="3FC517CE" w14:textId="77777777" w:rsidR="00B22DEE" w:rsidRPr="00ED28AA" w:rsidRDefault="00B22DEE">
            <w:pPr>
              <w:rPr>
                <w:color w:val="0070C0"/>
                <w:sz w:val="22"/>
              </w:rPr>
            </w:pPr>
            <w:r w:rsidRPr="00ED28AA">
              <w:rPr>
                <w:color w:val="0070C0"/>
                <w:sz w:val="22"/>
              </w:rPr>
              <w:t>Review implementation of policy and existing Planning Guidance - Climate Change document.</w:t>
            </w:r>
          </w:p>
        </w:tc>
      </w:tr>
      <w:tr w:rsidR="00ED28AA" w:rsidRPr="00ED28AA" w14:paraId="3ABD972F"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33382F59" w14:textId="77777777" w:rsidR="00B22DEE" w:rsidRPr="00ED28AA" w:rsidRDefault="00B22DEE">
            <w:pPr>
              <w:rPr>
                <w:color w:val="0070C0"/>
                <w:sz w:val="22"/>
              </w:rPr>
            </w:pPr>
            <w:r w:rsidRPr="00ED28AA">
              <w:rPr>
                <w:color w:val="0070C0"/>
                <w:sz w:val="22"/>
              </w:rPr>
              <w:t>Strategic Policy S4: Green Belt</w:t>
            </w:r>
          </w:p>
        </w:tc>
        <w:tc>
          <w:tcPr>
            <w:tcW w:w="3544" w:type="dxa"/>
            <w:tcBorders>
              <w:top w:val="single" w:sz="4" w:space="0" w:color="auto"/>
              <w:left w:val="single" w:sz="4" w:space="0" w:color="auto"/>
              <w:bottom w:val="single" w:sz="4" w:space="0" w:color="auto"/>
              <w:right w:val="single" w:sz="4" w:space="0" w:color="auto"/>
            </w:tcBorders>
            <w:hideMark/>
          </w:tcPr>
          <w:p w14:paraId="0D7D4905" w14:textId="77777777" w:rsidR="00B22DEE" w:rsidRPr="00ED28AA" w:rsidRDefault="00B22DEE">
            <w:pPr>
              <w:rPr>
                <w:color w:val="0070C0"/>
                <w:sz w:val="22"/>
              </w:rPr>
            </w:pPr>
            <w:r w:rsidRPr="00ED28AA">
              <w:rPr>
                <w:color w:val="0070C0"/>
                <w:sz w:val="22"/>
              </w:rPr>
              <w:t>Indicators within individual policies EV1 &amp; EV3 provide monitoring of policies relating to Green Belt</w:t>
            </w:r>
          </w:p>
        </w:tc>
        <w:tc>
          <w:tcPr>
            <w:tcW w:w="4394" w:type="dxa"/>
            <w:tcBorders>
              <w:top w:val="single" w:sz="4" w:space="0" w:color="auto"/>
              <w:left w:val="single" w:sz="4" w:space="0" w:color="auto"/>
              <w:bottom w:val="single" w:sz="4" w:space="0" w:color="auto"/>
              <w:right w:val="single" w:sz="4" w:space="0" w:color="auto"/>
            </w:tcBorders>
            <w:hideMark/>
          </w:tcPr>
          <w:p w14:paraId="1A66F692" w14:textId="77777777" w:rsidR="00B22DEE" w:rsidRPr="00ED28AA" w:rsidRDefault="00B22DEE">
            <w:pPr>
              <w:rPr>
                <w:color w:val="0070C0"/>
                <w:sz w:val="22"/>
              </w:rPr>
            </w:pPr>
            <w:r w:rsidRPr="00ED28AA">
              <w:rPr>
                <w:color w:val="0070C0"/>
                <w:sz w:val="22"/>
              </w:rPr>
              <w:t>Protect Green Belt land from all inappropriate development.</w:t>
            </w:r>
          </w:p>
        </w:tc>
        <w:tc>
          <w:tcPr>
            <w:tcW w:w="4253" w:type="dxa"/>
            <w:tcBorders>
              <w:top w:val="single" w:sz="4" w:space="0" w:color="auto"/>
              <w:left w:val="single" w:sz="4" w:space="0" w:color="auto"/>
              <w:bottom w:val="single" w:sz="4" w:space="0" w:color="auto"/>
              <w:right w:val="single" w:sz="4" w:space="0" w:color="auto"/>
            </w:tcBorders>
          </w:tcPr>
          <w:p w14:paraId="7B0E09E4" w14:textId="77777777" w:rsidR="00B22DEE" w:rsidRPr="00ED28AA" w:rsidRDefault="00B22DEE">
            <w:pPr>
              <w:rPr>
                <w:color w:val="0070C0"/>
                <w:sz w:val="22"/>
              </w:rPr>
            </w:pPr>
            <w:r w:rsidRPr="00ED28AA">
              <w:rPr>
                <w:color w:val="0070C0"/>
                <w:sz w:val="22"/>
              </w:rPr>
              <w:t>Review of the Local Plan.</w:t>
            </w:r>
          </w:p>
          <w:p w14:paraId="649E5B46" w14:textId="77777777" w:rsidR="00B22DEE" w:rsidRPr="00ED28AA" w:rsidRDefault="00B22DEE">
            <w:pPr>
              <w:rPr>
                <w:color w:val="0070C0"/>
                <w:sz w:val="22"/>
              </w:rPr>
            </w:pPr>
          </w:p>
          <w:p w14:paraId="2A20788E" w14:textId="77777777" w:rsidR="00B22DEE" w:rsidRPr="00ED28AA" w:rsidRDefault="00B22DEE">
            <w:pPr>
              <w:rPr>
                <w:color w:val="0070C0"/>
                <w:sz w:val="22"/>
              </w:rPr>
            </w:pPr>
            <w:r w:rsidRPr="00ED28AA">
              <w:rPr>
                <w:color w:val="0070C0"/>
                <w:sz w:val="22"/>
              </w:rPr>
              <w:t>Conduct review of Green Belt land to ensure areas continue to meet essential purposes as set out in the NPPF.</w:t>
            </w:r>
          </w:p>
        </w:tc>
      </w:tr>
      <w:tr w:rsidR="00ED28AA" w:rsidRPr="00ED28AA" w14:paraId="4A547D1D"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165DB760" w14:textId="77777777" w:rsidR="00B22DEE" w:rsidRPr="00ED28AA" w:rsidRDefault="00B22DEE">
            <w:pPr>
              <w:rPr>
                <w:color w:val="0070C0"/>
                <w:sz w:val="22"/>
              </w:rPr>
            </w:pPr>
            <w:r w:rsidRPr="00ED28AA">
              <w:rPr>
                <w:color w:val="0070C0"/>
                <w:sz w:val="22"/>
              </w:rPr>
              <w:lastRenderedPageBreak/>
              <w:t>Strategic Policy S5: High Quality Buildings and Places through Place Making and Design</w:t>
            </w:r>
          </w:p>
        </w:tc>
        <w:tc>
          <w:tcPr>
            <w:tcW w:w="3544" w:type="dxa"/>
            <w:tcBorders>
              <w:top w:val="single" w:sz="4" w:space="0" w:color="auto"/>
              <w:left w:val="single" w:sz="4" w:space="0" w:color="auto"/>
              <w:bottom w:val="single" w:sz="4" w:space="0" w:color="auto"/>
              <w:right w:val="single" w:sz="4" w:space="0" w:color="auto"/>
            </w:tcBorders>
          </w:tcPr>
          <w:p w14:paraId="2450946D" w14:textId="77777777" w:rsidR="00B22DEE" w:rsidRPr="00ED28AA" w:rsidRDefault="00B22DEE">
            <w:pPr>
              <w:rPr>
                <w:color w:val="0070C0"/>
                <w:sz w:val="22"/>
              </w:rPr>
            </w:pPr>
            <w:r w:rsidRPr="00ED28AA">
              <w:rPr>
                <w:color w:val="0070C0"/>
                <w:sz w:val="22"/>
              </w:rPr>
              <w:t>Indicators within individual policies contained in Chapter 9 of the Local Plan all provide monitoring in respect of design.</w:t>
            </w:r>
          </w:p>
          <w:p w14:paraId="425AD611" w14:textId="77777777" w:rsidR="00B22DEE" w:rsidRPr="00ED28AA" w:rsidRDefault="00B22DEE">
            <w:pPr>
              <w:rPr>
                <w:color w:val="0070C0"/>
                <w:sz w:val="22"/>
              </w:rPr>
            </w:pPr>
          </w:p>
          <w:p w14:paraId="31D3140E" w14:textId="77777777" w:rsidR="00B22DEE" w:rsidRPr="00ED28AA" w:rsidRDefault="00B22DEE">
            <w:pPr>
              <w:rPr>
                <w:color w:val="0070C0"/>
                <w:sz w:val="22"/>
              </w:rPr>
            </w:pPr>
            <w:r w:rsidRPr="00ED28AA">
              <w:rPr>
                <w:color w:val="0070C0"/>
                <w:sz w:val="22"/>
              </w:rPr>
              <w:t>Approvals contrary to policy</w:t>
            </w:r>
          </w:p>
          <w:p w14:paraId="0898AD4F" w14:textId="77777777" w:rsidR="00B22DEE" w:rsidRPr="00ED28AA" w:rsidRDefault="00B22DEE">
            <w:pPr>
              <w:rPr>
                <w:color w:val="0070C0"/>
                <w:sz w:val="22"/>
              </w:rPr>
            </w:pPr>
          </w:p>
        </w:tc>
        <w:tc>
          <w:tcPr>
            <w:tcW w:w="4394" w:type="dxa"/>
            <w:tcBorders>
              <w:top w:val="single" w:sz="4" w:space="0" w:color="auto"/>
              <w:left w:val="single" w:sz="4" w:space="0" w:color="auto"/>
              <w:bottom w:val="single" w:sz="4" w:space="0" w:color="auto"/>
              <w:right w:val="single" w:sz="4" w:space="0" w:color="auto"/>
            </w:tcBorders>
            <w:hideMark/>
          </w:tcPr>
          <w:p w14:paraId="643D547D" w14:textId="77777777" w:rsidR="00B22DEE" w:rsidRPr="00ED28AA" w:rsidRDefault="00B22DEE">
            <w:pPr>
              <w:rPr>
                <w:color w:val="0070C0"/>
                <w:sz w:val="22"/>
              </w:rPr>
            </w:pPr>
            <w:r w:rsidRPr="00ED28AA">
              <w:rPr>
                <w:color w:val="0070C0"/>
                <w:sz w:val="22"/>
              </w:rPr>
              <w:t>Ensure all development achieves high quality design and contributes to good placemaking.</w:t>
            </w:r>
          </w:p>
        </w:tc>
        <w:tc>
          <w:tcPr>
            <w:tcW w:w="4253" w:type="dxa"/>
            <w:tcBorders>
              <w:top w:val="single" w:sz="4" w:space="0" w:color="auto"/>
              <w:left w:val="single" w:sz="4" w:space="0" w:color="auto"/>
              <w:bottom w:val="single" w:sz="4" w:space="0" w:color="auto"/>
              <w:right w:val="single" w:sz="4" w:space="0" w:color="auto"/>
            </w:tcBorders>
          </w:tcPr>
          <w:p w14:paraId="1FDF205F" w14:textId="77777777" w:rsidR="00B22DEE" w:rsidRPr="00ED28AA" w:rsidRDefault="00B22DEE">
            <w:pPr>
              <w:rPr>
                <w:color w:val="0070C0"/>
                <w:sz w:val="22"/>
              </w:rPr>
            </w:pPr>
            <w:r w:rsidRPr="00ED28AA">
              <w:rPr>
                <w:color w:val="0070C0"/>
                <w:sz w:val="22"/>
              </w:rPr>
              <w:t>Review implementation of policy on inappropriate approvals.</w:t>
            </w:r>
          </w:p>
          <w:p w14:paraId="4DE991A3" w14:textId="77777777" w:rsidR="00B22DEE" w:rsidRPr="00ED28AA" w:rsidRDefault="00B22DEE">
            <w:pPr>
              <w:rPr>
                <w:color w:val="0070C0"/>
                <w:sz w:val="22"/>
              </w:rPr>
            </w:pPr>
          </w:p>
          <w:p w14:paraId="1484EBBD" w14:textId="77777777" w:rsidR="00B22DEE" w:rsidRPr="00ED28AA" w:rsidRDefault="00B22DEE">
            <w:pPr>
              <w:rPr>
                <w:color w:val="0070C0"/>
                <w:sz w:val="22"/>
              </w:rPr>
            </w:pPr>
            <w:r w:rsidRPr="00ED28AA">
              <w:rPr>
                <w:color w:val="0070C0"/>
                <w:sz w:val="22"/>
              </w:rPr>
              <w:t>Produce / update design codes and other policy documents to promote good design and placemaking.</w:t>
            </w:r>
          </w:p>
        </w:tc>
      </w:tr>
      <w:tr w:rsidR="00ED28AA" w:rsidRPr="00ED28AA" w14:paraId="388A016B"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7E2A6DAB" w14:textId="77777777" w:rsidR="00B22DEE" w:rsidRPr="00ED28AA" w:rsidRDefault="00B22DEE">
            <w:pPr>
              <w:rPr>
                <w:color w:val="0070C0"/>
                <w:sz w:val="22"/>
              </w:rPr>
            </w:pPr>
            <w:r w:rsidRPr="00ED28AA">
              <w:rPr>
                <w:color w:val="0070C0"/>
                <w:sz w:val="22"/>
              </w:rPr>
              <w:t>Strategic Policy S6: Meeting Future Needs – Strategic Employment Allocation at Junction 27 M1 Motorway</w:t>
            </w:r>
          </w:p>
        </w:tc>
        <w:tc>
          <w:tcPr>
            <w:tcW w:w="3544" w:type="dxa"/>
            <w:tcBorders>
              <w:top w:val="single" w:sz="4" w:space="0" w:color="auto"/>
              <w:left w:val="single" w:sz="4" w:space="0" w:color="auto"/>
              <w:bottom w:val="single" w:sz="4" w:space="0" w:color="auto"/>
              <w:right w:val="single" w:sz="4" w:space="0" w:color="auto"/>
            </w:tcBorders>
            <w:hideMark/>
          </w:tcPr>
          <w:p w14:paraId="3CBE26BE" w14:textId="77777777" w:rsidR="00B22DEE" w:rsidRPr="00ED28AA" w:rsidRDefault="00B22DEE">
            <w:pPr>
              <w:rPr>
                <w:color w:val="0070C0"/>
                <w:sz w:val="22"/>
              </w:rPr>
            </w:pPr>
            <w:r w:rsidRPr="00ED28AA">
              <w:rPr>
                <w:color w:val="0070C0"/>
                <w:sz w:val="22"/>
              </w:rPr>
              <w:t>Completion of employment development at two strategic sites off Junction 27, M1 Motorway, Annesley</w:t>
            </w:r>
          </w:p>
        </w:tc>
        <w:tc>
          <w:tcPr>
            <w:tcW w:w="4394" w:type="dxa"/>
            <w:tcBorders>
              <w:top w:val="single" w:sz="4" w:space="0" w:color="auto"/>
              <w:left w:val="single" w:sz="4" w:space="0" w:color="auto"/>
              <w:bottom w:val="single" w:sz="4" w:space="0" w:color="auto"/>
              <w:right w:val="single" w:sz="4" w:space="0" w:color="auto"/>
            </w:tcBorders>
            <w:hideMark/>
          </w:tcPr>
          <w:p w14:paraId="65E116F8" w14:textId="77777777" w:rsidR="00B22DEE" w:rsidRPr="00ED28AA" w:rsidRDefault="00B22DEE">
            <w:pPr>
              <w:rPr>
                <w:color w:val="0070C0"/>
                <w:sz w:val="22"/>
              </w:rPr>
            </w:pPr>
            <w:r w:rsidRPr="00ED28AA">
              <w:rPr>
                <w:color w:val="0070C0"/>
                <w:sz w:val="22"/>
              </w:rPr>
              <w:t>North-east site to comprise gross area of 20.47 hectares (approx.), south-east site to comprise gross area of 25 hectares (approx.). Sites to contain employment uses to meet regional need for logistics.</w:t>
            </w:r>
          </w:p>
        </w:tc>
        <w:tc>
          <w:tcPr>
            <w:tcW w:w="4253" w:type="dxa"/>
            <w:tcBorders>
              <w:top w:val="single" w:sz="4" w:space="0" w:color="auto"/>
              <w:left w:val="single" w:sz="4" w:space="0" w:color="auto"/>
              <w:bottom w:val="single" w:sz="4" w:space="0" w:color="auto"/>
              <w:right w:val="single" w:sz="4" w:space="0" w:color="auto"/>
            </w:tcBorders>
          </w:tcPr>
          <w:p w14:paraId="073B2108" w14:textId="77777777" w:rsidR="00B22DEE" w:rsidRPr="00ED28AA" w:rsidRDefault="00B22DEE">
            <w:pPr>
              <w:rPr>
                <w:color w:val="0070C0"/>
                <w:sz w:val="22"/>
              </w:rPr>
            </w:pPr>
            <w:r w:rsidRPr="00ED28AA">
              <w:rPr>
                <w:color w:val="0070C0"/>
                <w:sz w:val="22"/>
              </w:rPr>
              <w:t>Contact landowners / developers to understand reasons for why development is not coming forward.</w:t>
            </w:r>
          </w:p>
          <w:p w14:paraId="026EE9D4" w14:textId="77777777" w:rsidR="00B22DEE" w:rsidRPr="00ED28AA" w:rsidRDefault="00B22DEE">
            <w:pPr>
              <w:rPr>
                <w:color w:val="0070C0"/>
                <w:sz w:val="22"/>
              </w:rPr>
            </w:pPr>
          </w:p>
          <w:p w14:paraId="740D2D26" w14:textId="77777777" w:rsidR="00B22DEE" w:rsidRPr="00ED28AA" w:rsidRDefault="00B22DEE">
            <w:pPr>
              <w:rPr>
                <w:color w:val="0070C0"/>
                <w:sz w:val="22"/>
              </w:rPr>
            </w:pPr>
            <w:r w:rsidRPr="00ED28AA">
              <w:rPr>
                <w:color w:val="0070C0"/>
                <w:sz w:val="22"/>
              </w:rPr>
              <w:t>Work with key stakeholders and consultees to overcome potential issues that might be affecting delivery.</w:t>
            </w:r>
          </w:p>
        </w:tc>
      </w:tr>
      <w:tr w:rsidR="00ED28AA" w:rsidRPr="00ED28AA" w14:paraId="795D9986"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216544F5" w14:textId="77777777" w:rsidR="00B22DEE" w:rsidRPr="00ED28AA" w:rsidRDefault="00B22DEE">
            <w:pPr>
              <w:rPr>
                <w:color w:val="0070C0"/>
                <w:sz w:val="22"/>
              </w:rPr>
            </w:pPr>
            <w:r w:rsidRPr="00ED28AA">
              <w:rPr>
                <w:color w:val="0070C0"/>
                <w:sz w:val="22"/>
              </w:rPr>
              <w:t>Strategic Policy S7: Meeting Future Housing Provision</w:t>
            </w:r>
          </w:p>
        </w:tc>
        <w:tc>
          <w:tcPr>
            <w:tcW w:w="3544" w:type="dxa"/>
            <w:tcBorders>
              <w:top w:val="single" w:sz="4" w:space="0" w:color="auto"/>
              <w:left w:val="single" w:sz="4" w:space="0" w:color="auto"/>
              <w:bottom w:val="single" w:sz="4" w:space="0" w:color="auto"/>
              <w:right w:val="single" w:sz="4" w:space="0" w:color="auto"/>
            </w:tcBorders>
          </w:tcPr>
          <w:p w14:paraId="451331BC" w14:textId="77777777" w:rsidR="00B22DEE" w:rsidRPr="00ED28AA" w:rsidRDefault="00B22DEE">
            <w:pPr>
              <w:rPr>
                <w:color w:val="0070C0"/>
                <w:sz w:val="22"/>
              </w:rPr>
            </w:pPr>
            <w:r w:rsidRPr="00ED28AA">
              <w:rPr>
                <w:color w:val="0070C0"/>
                <w:sz w:val="22"/>
              </w:rPr>
              <w:t xml:space="preserve">Net completed dwellings, affordable homes, adaptable homes, custom/self-build, new Gypsy/Traveller Pitches, new Travelling </w:t>
            </w:r>
            <w:proofErr w:type="spellStart"/>
            <w:r w:rsidRPr="00ED28AA">
              <w:rPr>
                <w:color w:val="0070C0"/>
                <w:sz w:val="22"/>
              </w:rPr>
              <w:t>Showpeople’s</w:t>
            </w:r>
            <w:proofErr w:type="spellEnd"/>
            <w:r w:rsidRPr="00ED28AA">
              <w:rPr>
                <w:color w:val="0070C0"/>
                <w:sz w:val="22"/>
              </w:rPr>
              <w:t xml:space="preserve"> plots</w:t>
            </w:r>
          </w:p>
          <w:p w14:paraId="0C67E51F" w14:textId="77777777" w:rsidR="00B22DEE" w:rsidRPr="00ED28AA" w:rsidRDefault="00B22DEE">
            <w:pPr>
              <w:rPr>
                <w:color w:val="0070C0"/>
                <w:sz w:val="22"/>
              </w:rPr>
            </w:pPr>
          </w:p>
          <w:p w14:paraId="08CD985A" w14:textId="77777777" w:rsidR="00B22DEE" w:rsidRPr="00ED28AA" w:rsidRDefault="00B22DEE">
            <w:pPr>
              <w:rPr>
                <w:color w:val="0070C0"/>
                <w:sz w:val="22"/>
              </w:rPr>
            </w:pPr>
            <w:r w:rsidRPr="00ED28AA">
              <w:rPr>
                <w:color w:val="0070C0"/>
                <w:sz w:val="22"/>
              </w:rPr>
              <w:t>Five Year Housing Land Supply</w:t>
            </w:r>
          </w:p>
          <w:p w14:paraId="525A701D" w14:textId="77777777" w:rsidR="00B22DEE" w:rsidRPr="00ED28AA" w:rsidRDefault="00B22DEE">
            <w:pPr>
              <w:rPr>
                <w:color w:val="0070C0"/>
                <w:sz w:val="22"/>
              </w:rPr>
            </w:pPr>
          </w:p>
          <w:p w14:paraId="728BE3F2" w14:textId="77777777" w:rsidR="00B22DEE" w:rsidRPr="00ED28AA" w:rsidRDefault="00B22DEE">
            <w:pPr>
              <w:rPr>
                <w:color w:val="0070C0"/>
                <w:sz w:val="22"/>
              </w:rPr>
            </w:pPr>
            <w:r w:rsidRPr="00ED28AA">
              <w:rPr>
                <w:color w:val="0070C0"/>
                <w:sz w:val="22"/>
              </w:rPr>
              <w:t>Housing Delivery Test results</w:t>
            </w:r>
          </w:p>
          <w:p w14:paraId="7BB4ABD4" w14:textId="77777777" w:rsidR="00B22DEE" w:rsidRPr="00ED28AA" w:rsidRDefault="00B22DEE">
            <w:pPr>
              <w:rPr>
                <w:color w:val="0070C0"/>
                <w:sz w:val="22"/>
              </w:rPr>
            </w:pPr>
          </w:p>
          <w:p w14:paraId="5D30DA07" w14:textId="77777777" w:rsidR="00B22DEE" w:rsidRPr="00ED28AA" w:rsidRDefault="00B22DEE">
            <w:pPr>
              <w:rPr>
                <w:color w:val="0070C0"/>
                <w:sz w:val="22"/>
              </w:rPr>
            </w:pPr>
            <w:r w:rsidRPr="00ED28AA">
              <w:rPr>
                <w:color w:val="0070C0"/>
                <w:sz w:val="22"/>
              </w:rPr>
              <w:t>Indicators within individual policies H1, H2, H2a, H3, H4 &amp; H6 to meet future provision</w:t>
            </w:r>
          </w:p>
        </w:tc>
        <w:tc>
          <w:tcPr>
            <w:tcW w:w="4394" w:type="dxa"/>
            <w:tcBorders>
              <w:top w:val="single" w:sz="4" w:space="0" w:color="auto"/>
              <w:left w:val="single" w:sz="4" w:space="0" w:color="auto"/>
              <w:bottom w:val="single" w:sz="4" w:space="0" w:color="auto"/>
              <w:right w:val="single" w:sz="4" w:space="0" w:color="auto"/>
            </w:tcBorders>
          </w:tcPr>
          <w:p w14:paraId="36291BAE" w14:textId="77777777" w:rsidR="00B22DEE" w:rsidRPr="00ED28AA" w:rsidRDefault="00B22DEE">
            <w:pPr>
              <w:rPr>
                <w:color w:val="0070C0"/>
                <w:sz w:val="22"/>
              </w:rPr>
            </w:pPr>
            <w:r w:rsidRPr="00ED28AA">
              <w:rPr>
                <w:color w:val="0070C0"/>
                <w:sz w:val="22"/>
              </w:rPr>
              <w:t>Deliver a minimum of 7,582 dwellings within the plan period in line with the spatial strategy.</w:t>
            </w:r>
          </w:p>
          <w:p w14:paraId="6217B395" w14:textId="77777777" w:rsidR="00B22DEE" w:rsidRPr="00ED28AA" w:rsidRDefault="00B22DEE">
            <w:pPr>
              <w:rPr>
                <w:color w:val="0070C0"/>
                <w:sz w:val="22"/>
              </w:rPr>
            </w:pPr>
          </w:p>
          <w:p w14:paraId="42513F02" w14:textId="77777777" w:rsidR="00B22DEE" w:rsidRPr="00ED28AA" w:rsidRDefault="00B22DEE">
            <w:pPr>
              <w:rPr>
                <w:color w:val="0070C0"/>
                <w:sz w:val="22"/>
              </w:rPr>
            </w:pPr>
            <w:r w:rsidRPr="00ED28AA">
              <w:rPr>
                <w:color w:val="0070C0"/>
                <w:sz w:val="22"/>
              </w:rPr>
              <w:t>Deliver a minimum of 446 dwellings per annum on average.</w:t>
            </w:r>
          </w:p>
          <w:p w14:paraId="41EB0E70" w14:textId="77777777" w:rsidR="00B22DEE" w:rsidRPr="00ED28AA" w:rsidRDefault="00B22DEE">
            <w:pPr>
              <w:rPr>
                <w:color w:val="0070C0"/>
                <w:sz w:val="22"/>
              </w:rPr>
            </w:pPr>
          </w:p>
          <w:p w14:paraId="7195A8F0" w14:textId="77777777" w:rsidR="00B22DEE" w:rsidRPr="00ED28AA" w:rsidRDefault="00B22DEE">
            <w:pPr>
              <w:rPr>
                <w:color w:val="0070C0"/>
                <w:sz w:val="22"/>
              </w:rPr>
            </w:pPr>
            <w:r w:rsidRPr="00ED28AA">
              <w:rPr>
                <w:color w:val="0070C0"/>
                <w:sz w:val="22"/>
              </w:rPr>
              <w:t>Deliver a suitable mix of housing needed for different groups in the community.</w:t>
            </w:r>
          </w:p>
          <w:p w14:paraId="157EFF9E" w14:textId="77777777" w:rsidR="00B22DEE" w:rsidRPr="00ED28AA" w:rsidRDefault="00B22DEE">
            <w:pPr>
              <w:rPr>
                <w:color w:val="0070C0"/>
                <w:sz w:val="22"/>
              </w:rPr>
            </w:pPr>
          </w:p>
          <w:p w14:paraId="442110C3" w14:textId="77777777" w:rsidR="00B22DEE" w:rsidRPr="00ED28AA" w:rsidRDefault="00B22DEE">
            <w:pPr>
              <w:rPr>
                <w:color w:val="0070C0"/>
                <w:sz w:val="22"/>
              </w:rPr>
            </w:pPr>
            <w:r w:rsidRPr="00ED28AA">
              <w:rPr>
                <w:color w:val="0070C0"/>
                <w:sz w:val="22"/>
              </w:rPr>
              <w:t xml:space="preserve">Deliver Gypsy, Traveller and Travelling </w:t>
            </w:r>
            <w:proofErr w:type="spellStart"/>
            <w:r w:rsidRPr="00ED28AA">
              <w:rPr>
                <w:color w:val="0070C0"/>
                <w:sz w:val="22"/>
              </w:rPr>
              <w:t>Showpeople’s</w:t>
            </w:r>
            <w:proofErr w:type="spellEnd"/>
            <w:r w:rsidRPr="00ED28AA">
              <w:rPr>
                <w:color w:val="0070C0"/>
                <w:sz w:val="22"/>
              </w:rPr>
              <w:t xml:space="preserve"> accommodation to meet minimum identified needs of 4 pitches/ 14 plots.</w:t>
            </w:r>
          </w:p>
        </w:tc>
        <w:tc>
          <w:tcPr>
            <w:tcW w:w="4253" w:type="dxa"/>
            <w:tcBorders>
              <w:top w:val="single" w:sz="4" w:space="0" w:color="auto"/>
              <w:left w:val="single" w:sz="4" w:space="0" w:color="auto"/>
              <w:bottom w:val="single" w:sz="4" w:space="0" w:color="auto"/>
              <w:right w:val="single" w:sz="4" w:space="0" w:color="auto"/>
            </w:tcBorders>
          </w:tcPr>
          <w:p w14:paraId="438CE3CE" w14:textId="77777777" w:rsidR="00B22DEE" w:rsidRPr="00ED28AA" w:rsidRDefault="00B22DEE">
            <w:pPr>
              <w:rPr>
                <w:color w:val="0070C0"/>
                <w:sz w:val="22"/>
              </w:rPr>
            </w:pPr>
            <w:r w:rsidRPr="00ED28AA">
              <w:rPr>
                <w:color w:val="0070C0"/>
                <w:sz w:val="22"/>
              </w:rPr>
              <w:t>Review sources of housing supply.</w:t>
            </w:r>
          </w:p>
          <w:p w14:paraId="0F0C1CF2" w14:textId="77777777" w:rsidR="00B22DEE" w:rsidRPr="00ED28AA" w:rsidRDefault="00B22DEE">
            <w:pPr>
              <w:rPr>
                <w:color w:val="0070C0"/>
                <w:sz w:val="22"/>
              </w:rPr>
            </w:pPr>
          </w:p>
          <w:p w14:paraId="5EBF31D9" w14:textId="77777777" w:rsidR="00B22DEE" w:rsidRPr="00ED28AA" w:rsidRDefault="00B22DEE">
            <w:pPr>
              <w:rPr>
                <w:color w:val="0070C0"/>
                <w:sz w:val="22"/>
              </w:rPr>
            </w:pPr>
            <w:r w:rsidRPr="00ED28AA">
              <w:rPr>
                <w:color w:val="0070C0"/>
                <w:sz w:val="22"/>
              </w:rPr>
              <w:t>Review of the Local Plan.</w:t>
            </w:r>
          </w:p>
          <w:p w14:paraId="67E84C0A" w14:textId="77777777" w:rsidR="00B22DEE" w:rsidRPr="00ED28AA" w:rsidRDefault="00B22DEE">
            <w:pPr>
              <w:rPr>
                <w:color w:val="0070C0"/>
                <w:sz w:val="22"/>
              </w:rPr>
            </w:pPr>
          </w:p>
          <w:p w14:paraId="55B9FF49" w14:textId="77777777" w:rsidR="00B22DEE" w:rsidRPr="00ED28AA" w:rsidRDefault="00B22DEE">
            <w:pPr>
              <w:rPr>
                <w:color w:val="0070C0"/>
                <w:sz w:val="22"/>
              </w:rPr>
            </w:pPr>
            <w:r w:rsidRPr="00ED28AA">
              <w:rPr>
                <w:color w:val="0070C0"/>
                <w:sz w:val="22"/>
              </w:rPr>
              <w:t>Consider producing additional guidance or supplementary plans to address specific housing requirements, e.g. affordable housing, self builds.</w:t>
            </w:r>
          </w:p>
          <w:p w14:paraId="5B8383B0" w14:textId="77777777" w:rsidR="00B22DEE" w:rsidRPr="00ED28AA" w:rsidRDefault="00B22DEE">
            <w:pPr>
              <w:rPr>
                <w:color w:val="0070C0"/>
                <w:sz w:val="22"/>
              </w:rPr>
            </w:pPr>
          </w:p>
          <w:p w14:paraId="5F5FCD8E" w14:textId="77777777" w:rsidR="00B22DEE" w:rsidRPr="00ED28AA" w:rsidRDefault="00B22DEE">
            <w:pPr>
              <w:rPr>
                <w:color w:val="0070C0"/>
                <w:sz w:val="22"/>
              </w:rPr>
            </w:pPr>
            <w:r w:rsidRPr="00ED28AA">
              <w:rPr>
                <w:color w:val="0070C0"/>
                <w:sz w:val="22"/>
              </w:rPr>
              <w:t>Approach landowners/developers in respect of stalled sites to ascertain why sites are not being brought forward as expected.</w:t>
            </w:r>
          </w:p>
        </w:tc>
      </w:tr>
      <w:tr w:rsidR="00ED28AA" w:rsidRPr="00ED28AA" w14:paraId="10E2E84E"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68D5E615" w14:textId="77777777" w:rsidR="00B22DEE" w:rsidRPr="00ED28AA" w:rsidRDefault="00B22DEE">
            <w:pPr>
              <w:rPr>
                <w:color w:val="0070C0"/>
                <w:sz w:val="22"/>
              </w:rPr>
            </w:pPr>
            <w:r w:rsidRPr="00ED28AA">
              <w:rPr>
                <w:color w:val="0070C0"/>
                <w:sz w:val="22"/>
              </w:rPr>
              <w:lastRenderedPageBreak/>
              <w:t>Strategic Policy S8: Delivering Economic Opportunities</w:t>
            </w:r>
          </w:p>
        </w:tc>
        <w:tc>
          <w:tcPr>
            <w:tcW w:w="3544" w:type="dxa"/>
            <w:tcBorders>
              <w:top w:val="single" w:sz="4" w:space="0" w:color="auto"/>
              <w:left w:val="single" w:sz="4" w:space="0" w:color="auto"/>
              <w:bottom w:val="single" w:sz="4" w:space="0" w:color="auto"/>
              <w:right w:val="single" w:sz="4" w:space="0" w:color="auto"/>
            </w:tcBorders>
          </w:tcPr>
          <w:p w14:paraId="70E895DB" w14:textId="77777777" w:rsidR="00B22DEE" w:rsidRPr="00ED28AA" w:rsidRDefault="00B22DEE">
            <w:pPr>
              <w:rPr>
                <w:color w:val="0070C0"/>
                <w:sz w:val="22"/>
              </w:rPr>
            </w:pPr>
            <w:r w:rsidRPr="00ED28AA">
              <w:rPr>
                <w:color w:val="0070C0"/>
                <w:sz w:val="22"/>
              </w:rPr>
              <w:t>% of working age adults in employment / unemployment</w:t>
            </w:r>
          </w:p>
          <w:p w14:paraId="25C9F7C8" w14:textId="77777777" w:rsidR="00B22DEE" w:rsidRPr="00ED28AA" w:rsidRDefault="00B22DEE">
            <w:pPr>
              <w:rPr>
                <w:color w:val="0070C0"/>
                <w:sz w:val="22"/>
              </w:rPr>
            </w:pPr>
          </w:p>
          <w:p w14:paraId="50338BFF" w14:textId="77777777" w:rsidR="00B22DEE" w:rsidRPr="00ED28AA" w:rsidRDefault="00B22DEE">
            <w:pPr>
              <w:rPr>
                <w:color w:val="0070C0"/>
                <w:sz w:val="22"/>
              </w:rPr>
            </w:pPr>
            <w:r w:rsidRPr="00ED28AA">
              <w:rPr>
                <w:color w:val="0070C0"/>
                <w:sz w:val="22"/>
              </w:rPr>
              <w:t>Number of jobs (full time equivalent) created on employment sites</w:t>
            </w:r>
          </w:p>
          <w:p w14:paraId="648E9565" w14:textId="77777777" w:rsidR="00B22DEE" w:rsidRPr="00ED28AA" w:rsidRDefault="00B22DEE">
            <w:pPr>
              <w:rPr>
                <w:color w:val="0070C0"/>
                <w:sz w:val="22"/>
              </w:rPr>
            </w:pPr>
          </w:p>
          <w:p w14:paraId="4D0622C6" w14:textId="77777777" w:rsidR="00B22DEE" w:rsidRPr="00ED28AA" w:rsidRDefault="00B22DEE">
            <w:pPr>
              <w:rPr>
                <w:color w:val="0070C0"/>
                <w:sz w:val="22"/>
              </w:rPr>
            </w:pPr>
            <w:r w:rsidRPr="00ED28AA">
              <w:rPr>
                <w:color w:val="0070C0"/>
                <w:sz w:val="22"/>
              </w:rPr>
              <w:t>Number of tourism developments approved</w:t>
            </w:r>
          </w:p>
          <w:p w14:paraId="7F70F306" w14:textId="77777777" w:rsidR="00B22DEE" w:rsidRPr="00ED28AA" w:rsidRDefault="00B22DEE">
            <w:pPr>
              <w:rPr>
                <w:color w:val="0070C0"/>
                <w:sz w:val="22"/>
              </w:rPr>
            </w:pPr>
          </w:p>
          <w:p w14:paraId="7D31E66D" w14:textId="57B79ED6" w:rsidR="00B22DEE" w:rsidRPr="00ED28AA" w:rsidRDefault="00B22DEE" w:rsidP="003445EE">
            <w:pPr>
              <w:rPr>
                <w:color w:val="0070C0"/>
                <w:sz w:val="22"/>
              </w:rPr>
            </w:pPr>
            <w:r w:rsidRPr="00ED28AA">
              <w:rPr>
                <w:color w:val="0070C0"/>
                <w:sz w:val="22"/>
              </w:rPr>
              <w:t>Indicators within individual policies EM1, EM2, EM3, EM4 &amp; EM5</w:t>
            </w:r>
          </w:p>
        </w:tc>
        <w:tc>
          <w:tcPr>
            <w:tcW w:w="4394" w:type="dxa"/>
            <w:tcBorders>
              <w:top w:val="single" w:sz="4" w:space="0" w:color="auto"/>
              <w:left w:val="single" w:sz="4" w:space="0" w:color="auto"/>
              <w:bottom w:val="single" w:sz="4" w:space="0" w:color="auto"/>
              <w:right w:val="single" w:sz="4" w:space="0" w:color="auto"/>
            </w:tcBorders>
          </w:tcPr>
          <w:p w14:paraId="7E61E140" w14:textId="77777777" w:rsidR="00B22DEE" w:rsidRPr="00ED28AA" w:rsidRDefault="00B22DEE">
            <w:pPr>
              <w:rPr>
                <w:color w:val="0070C0"/>
                <w:sz w:val="22"/>
              </w:rPr>
            </w:pPr>
            <w:r w:rsidRPr="00ED28AA">
              <w:rPr>
                <w:color w:val="0070C0"/>
                <w:sz w:val="22"/>
              </w:rPr>
              <w:t>Provide 81 hectares of employment land within the plan period.</w:t>
            </w:r>
          </w:p>
          <w:p w14:paraId="0C0B459F" w14:textId="77777777" w:rsidR="00B22DEE" w:rsidRPr="00ED28AA" w:rsidRDefault="00B22DEE">
            <w:pPr>
              <w:rPr>
                <w:color w:val="0070C0"/>
                <w:sz w:val="22"/>
              </w:rPr>
            </w:pPr>
          </w:p>
          <w:p w14:paraId="277A917F" w14:textId="77777777" w:rsidR="00B22DEE" w:rsidRPr="00ED28AA" w:rsidRDefault="00B22DEE">
            <w:pPr>
              <w:rPr>
                <w:color w:val="0070C0"/>
                <w:sz w:val="22"/>
              </w:rPr>
            </w:pPr>
            <w:r w:rsidRPr="00ED28AA">
              <w:rPr>
                <w:color w:val="0070C0"/>
                <w:sz w:val="22"/>
              </w:rPr>
              <w:t xml:space="preserve">Promote economic growth by supporting businesses, providing jobs, reducing low wages and improving skill levels in the </w:t>
            </w:r>
            <w:proofErr w:type="gramStart"/>
            <w:r w:rsidRPr="00ED28AA">
              <w:rPr>
                <w:color w:val="0070C0"/>
                <w:sz w:val="22"/>
              </w:rPr>
              <w:t>District</w:t>
            </w:r>
            <w:proofErr w:type="gramEnd"/>
            <w:r w:rsidRPr="00ED28AA">
              <w:rPr>
                <w:color w:val="0070C0"/>
                <w:sz w:val="22"/>
              </w:rPr>
              <w:t>.</w:t>
            </w:r>
          </w:p>
        </w:tc>
        <w:tc>
          <w:tcPr>
            <w:tcW w:w="4253" w:type="dxa"/>
            <w:tcBorders>
              <w:top w:val="single" w:sz="4" w:space="0" w:color="auto"/>
              <w:left w:val="single" w:sz="4" w:space="0" w:color="auto"/>
              <w:bottom w:val="single" w:sz="4" w:space="0" w:color="auto"/>
              <w:right w:val="single" w:sz="4" w:space="0" w:color="auto"/>
            </w:tcBorders>
          </w:tcPr>
          <w:p w14:paraId="242C7979" w14:textId="77777777" w:rsidR="00B22DEE" w:rsidRPr="00ED28AA" w:rsidRDefault="00B22DEE">
            <w:pPr>
              <w:rPr>
                <w:color w:val="0070C0"/>
                <w:sz w:val="22"/>
              </w:rPr>
            </w:pPr>
            <w:r w:rsidRPr="00ED28AA">
              <w:rPr>
                <w:color w:val="0070C0"/>
                <w:sz w:val="22"/>
              </w:rPr>
              <w:t>Contact landowners / developers to understand reasons for why development is not coming forward and overcome issues.</w:t>
            </w:r>
          </w:p>
          <w:p w14:paraId="593CE39C" w14:textId="77777777" w:rsidR="00B22DEE" w:rsidRPr="00ED28AA" w:rsidRDefault="00B22DEE">
            <w:pPr>
              <w:rPr>
                <w:color w:val="0070C0"/>
                <w:sz w:val="22"/>
              </w:rPr>
            </w:pPr>
          </w:p>
          <w:p w14:paraId="0FF4AA8C" w14:textId="77777777" w:rsidR="00B22DEE" w:rsidRPr="00ED28AA" w:rsidRDefault="00B22DEE">
            <w:pPr>
              <w:rPr>
                <w:color w:val="0070C0"/>
                <w:sz w:val="22"/>
              </w:rPr>
            </w:pPr>
            <w:r w:rsidRPr="00ED28AA">
              <w:rPr>
                <w:color w:val="0070C0"/>
                <w:sz w:val="22"/>
              </w:rPr>
              <w:t xml:space="preserve">Work with the Council’s Economic Development Team as well as external organisations including local businesses, education &amp; training providers and public sector bodies to promote jobs and economic growth in the </w:t>
            </w:r>
            <w:proofErr w:type="gramStart"/>
            <w:r w:rsidRPr="00ED28AA">
              <w:rPr>
                <w:color w:val="0070C0"/>
                <w:sz w:val="22"/>
              </w:rPr>
              <w:t>District</w:t>
            </w:r>
            <w:proofErr w:type="gramEnd"/>
            <w:r w:rsidRPr="00ED28AA">
              <w:rPr>
                <w:color w:val="0070C0"/>
                <w:sz w:val="22"/>
              </w:rPr>
              <w:t>.</w:t>
            </w:r>
          </w:p>
          <w:p w14:paraId="383F6C4A" w14:textId="77777777" w:rsidR="00B22DEE" w:rsidRPr="00ED28AA" w:rsidRDefault="00B22DEE">
            <w:pPr>
              <w:rPr>
                <w:color w:val="0070C0"/>
                <w:sz w:val="22"/>
              </w:rPr>
            </w:pPr>
          </w:p>
          <w:p w14:paraId="742A2BE5" w14:textId="77777777" w:rsidR="00B22DEE" w:rsidRPr="00ED28AA" w:rsidRDefault="00B22DEE">
            <w:pPr>
              <w:rPr>
                <w:color w:val="0070C0"/>
                <w:sz w:val="22"/>
              </w:rPr>
            </w:pPr>
            <w:r w:rsidRPr="00ED28AA">
              <w:rPr>
                <w:color w:val="0070C0"/>
                <w:sz w:val="22"/>
              </w:rPr>
              <w:t>Review of the Local Plan.</w:t>
            </w:r>
          </w:p>
        </w:tc>
      </w:tr>
      <w:tr w:rsidR="00ED28AA" w:rsidRPr="00ED28AA" w14:paraId="5AEA2832"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6BF6B267" w14:textId="77777777" w:rsidR="00B22DEE" w:rsidRPr="00ED28AA" w:rsidRDefault="00B22DEE">
            <w:pPr>
              <w:rPr>
                <w:color w:val="0070C0"/>
                <w:sz w:val="22"/>
              </w:rPr>
            </w:pPr>
            <w:r w:rsidRPr="00ED28AA">
              <w:rPr>
                <w:color w:val="0070C0"/>
                <w:sz w:val="22"/>
              </w:rPr>
              <w:t>Strategic Policy S9: Aligning Growth and Infrastructure</w:t>
            </w:r>
          </w:p>
        </w:tc>
        <w:tc>
          <w:tcPr>
            <w:tcW w:w="3544" w:type="dxa"/>
            <w:tcBorders>
              <w:top w:val="single" w:sz="4" w:space="0" w:color="auto"/>
              <w:left w:val="single" w:sz="4" w:space="0" w:color="auto"/>
              <w:bottom w:val="single" w:sz="4" w:space="0" w:color="auto"/>
              <w:right w:val="single" w:sz="4" w:space="0" w:color="auto"/>
            </w:tcBorders>
          </w:tcPr>
          <w:p w14:paraId="722710DA" w14:textId="77777777" w:rsidR="00B22DEE" w:rsidRPr="00ED28AA" w:rsidRDefault="00B22DEE">
            <w:pPr>
              <w:rPr>
                <w:color w:val="0070C0"/>
                <w:sz w:val="22"/>
              </w:rPr>
            </w:pPr>
            <w:r w:rsidRPr="00ED28AA">
              <w:rPr>
                <w:color w:val="0070C0"/>
                <w:sz w:val="22"/>
              </w:rPr>
              <w:t>S106 commitments from signed agreements towards:</w:t>
            </w:r>
          </w:p>
          <w:p w14:paraId="5FBE69B7" w14:textId="77777777" w:rsidR="00B22DEE" w:rsidRPr="00ED28AA" w:rsidRDefault="00B22DEE" w:rsidP="00B22DEE">
            <w:pPr>
              <w:pStyle w:val="ListParagraph"/>
              <w:numPr>
                <w:ilvl w:val="0"/>
                <w:numId w:val="391"/>
              </w:numPr>
              <w:spacing w:after="0" w:line="240" w:lineRule="auto"/>
              <w:rPr>
                <w:color w:val="0070C0"/>
                <w:sz w:val="22"/>
                <w:szCs w:val="20"/>
              </w:rPr>
            </w:pPr>
            <w:r w:rsidRPr="00ED28AA">
              <w:rPr>
                <w:color w:val="0070C0"/>
                <w:sz w:val="22"/>
                <w:szCs w:val="20"/>
              </w:rPr>
              <w:t>Broadband</w:t>
            </w:r>
          </w:p>
          <w:p w14:paraId="26EA6853" w14:textId="77777777" w:rsidR="00B22DEE" w:rsidRPr="00ED28AA" w:rsidRDefault="00B22DEE" w:rsidP="00B22DEE">
            <w:pPr>
              <w:pStyle w:val="ListParagraph"/>
              <w:numPr>
                <w:ilvl w:val="0"/>
                <w:numId w:val="391"/>
              </w:numPr>
              <w:spacing w:after="0" w:line="240" w:lineRule="auto"/>
              <w:rPr>
                <w:color w:val="0070C0"/>
                <w:sz w:val="22"/>
                <w:szCs w:val="20"/>
              </w:rPr>
            </w:pPr>
            <w:r w:rsidRPr="00ED28AA">
              <w:rPr>
                <w:color w:val="0070C0"/>
                <w:sz w:val="22"/>
                <w:szCs w:val="20"/>
              </w:rPr>
              <w:t>Education</w:t>
            </w:r>
          </w:p>
          <w:p w14:paraId="09B0FFA3" w14:textId="77777777" w:rsidR="00B22DEE" w:rsidRPr="00ED28AA" w:rsidRDefault="00B22DEE" w:rsidP="00B22DEE">
            <w:pPr>
              <w:pStyle w:val="ListParagraph"/>
              <w:numPr>
                <w:ilvl w:val="0"/>
                <w:numId w:val="391"/>
              </w:numPr>
              <w:spacing w:after="0" w:line="240" w:lineRule="auto"/>
              <w:rPr>
                <w:color w:val="0070C0"/>
                <w:sz w:val="22"/>
                <w:szCs w:val="20"/>
              </w:rPr>
            </w:pPr>
            <w:r w:rsidRPr="00ED28AA">
              <w:rPr>
                <w:color w:val="0070C0"/>
                <w:sz w:val="22"/>
                <w:szCs w:val="20"/>
              </w:rPr>
              <w:t>Healthcare</w:t>
            </w:r>
          </w:p>
          <w:p w14:paraId="664BCEA1" w14:textId="77777777" w:rsidR="00B22DEE" w:rsidRPr="00ED28AA" w:rsidRDefault="00B22DEE" w:rsidP="00B22DEE">
            <w:pPr>
              <w:pStyle w:val="ListParagraph"/>
              <w:numPr>
                <w:ilvl w:val="0"/>
                <w:numId w:val="391"/>
              </w:numPr>
              <w:spacing w:after="0" w:line="240" w:lineRule="auto"/>
              <w:rPr>
                <w:color w:val="0070C0"/>
                <w:sz w:val="22"/>
                <w:szCs w:val="20"/>
              </w:rPr>
            </w:pPr>
            <w:r w:rsidRPr="00ED28AA">
              <w:rPr>
                <w:color w:val="0070C0"/>
                <w:sz w:val="22"/>
                <w:szCs w:val="20"/>
              </w:rPr>
              <w:t>Public Open Space</w:t>
            </w:r>
          </w:p>
          <w:p w14:paraId="0542DC18" w14:textId="77777777" w:rsidR="00B22DEE" w:rsidRPr="00ED28AA" w:rsidRDefault="00B22DEE" w:rsidP="00B22DEE">
            <w:pPr>
              <w:pStyle w:val="ListParagraph"/>
              <w:numPr>
                <w:ilvl w:val="0"/>
                <w:numId w:val="391"/>
              </w:numPr>
              <w:spacing w:after="0" w:line="240" w:lineRule="auto"/>
              <w:rPr>
                <w:color w:val="0070C0"/>
                <w:sz w:val="22"/>
                <w:szCs w:val="20"/>
              </w:rPr>
            </w:pPr>
            <w:r w:rsidRPr="00ED28AA">
              <w:rPr>
                <w:color w:val="0070C0"/>
                <w:sz w:val="22"/>
                <w:szCs w:val="20"/>
              </w:rPr>
              <w:t>Public Realm</w:t>
            </w:r>
          </w:p>
          <w:p w14:paraId="710243E1" w14:textId="77777777" w:rsidR="00B22DEE" w:rsidRPr="00ED28AA" w:rsidRDefault="00B22DEE" w:rsidP="00B22DEE">
            <w:pPr>
              <w:pStyle w:val="ListParagraph"/>
              <w:numPr>
                <w:ilvl w:val="0"/>
                <w:numId w:val="391"/>
              </w:numPr>
              <w:spacing w:after="0" w:line="240" w:lineRule="auto"/>
              <w:rPr>
                <w:color w:val="0070C0"/>
                <w:sz w:val="22"/>
                <w:szCs w:val="20"/>
              </w:rPr>
            </w:pPr>
            <w:r w:rsidRPr="00ED28AA">
              <w:rPr>
                <w:color w:val="0070C0"/>
                <w:sz w:val="22"/>
                <w:szCs w:val="20"/>
              </w:rPr>
              <w:t>Transport</w:t>
            </w:r>
          </w:p>
          <w:p w14:paraId="4E461D39" w14:textId="77777777" w:rsidR="00B22DEE" w:rsidRPr="00ED28AA" w:rsidRDefault="00B22DEE">
            <w:pPr>
              <w:tabs>
                <w:tab w:val="left" w:pos="780"/>
              </w:tabs>
              <w:rPr>
                <w:color w:val="0070C0"/>
                <w:sz w:val="22"/>
              </w:rPr>
            </w:pPr>
            <w:r w:rsidRPr="00ED28AA">
              <w:rPr>
                <w:color w:val="0070C0"/>
                <w:sz w:val="22"/>
              </w:rPr>
              <w:t>Progress towards priorities in the Infrastructure Delivery Plan (IDP)</w:t>
            </w:r>
          </w:p>
        </w:tc>
        <w:tc>
          <w:tcPr>
            <w:tcW w:w="4394" w:type="dxa"/>
            <w:tcBorders>
              <w:top w:val="single" w:sz="4" w:space="0" w:color="auto"/>
              <w:left w:val="single" w:sz="4" w:space="0" w:color="auto"/>
              <w:bottom w:val="single" w:sz="4" w:space="0" w:color="auto"/>
              <w:right w:val="single" w:sz="4" w:space="0" w:color="auto"/>
            </w:tcBorders>
          </w:tcPr>
          <w:p w14:paraId="72DC0406" w14:textId="77777777" w:rsidR="00B22DEE" w:rsidRPr="00ED28AA" w:rsidRDefault="00B22DEE">
            <w:pPr>
              <w:rPr>
                <w:color w:val="0070C0"/>
                <w:sz w:val="22"/>
              </w:rPr>
            </w:pPr>
            <w:r w:rsidRPr="00ED28AA">
              <w:rPr>
                <w:color w:val="0070C0"/>
                <w:sz w:val="22"/>
              </w:rPr>
              <w:t xml:space="preserve">Facilitate the delivery of economic, social and environmental infrastructure to support sustainable development in the </w:t>
            </w:r>
            <w:proofErr w:type="gramStart"/>
            <w:r w:rsidRPr="00ED28AA">
              <w:rPr>
                <w:color w:val="0070C0"/>
                <w:sz w:val="22"/>
              </w:rPr>
              <w:t>District</w:t>
            </w:r>
            <w:proofErr w:type="gramEnd"/>
            <w:r w:rsidRPr="00ED28AA">
              <w:rPr>
                <w:color w:val="0070C0"/>
                <w:sz w:val="22"/>
              </w:rPr>
              <w:t>.</w:t>
            </w:r>
          </w:p>
          <w:p w14:paraId="7D933EBB" w14:textId="77777777" w:rsidR="00B22DEE" w:rsidRPr="00ED28AA" w:rsidRDefault="00B22DEE">
            <w:pPr>
              <w:rPr>
                <w:color w:val="0070C0"/>
                <w:sz w:val="22"/>
              </w:rPr>
            </w:pPr>
          </w:p>
          <w:p w14:paraId="14DA8326" w14:textId="77777777" w:rsidR="00B22DEE" w:rsidRPr="00ED28AA" w:rsidRDefault="00B22DEE">
            <w:pPr>
              <w:rPr>
                <w:color w:val="0070C0"/>
                <w:sz w:val="22"/>
              </w:rPr>
            </w:pPr>
            <w:r w:rsidRPr="00ED28AA">
              <w:rPr>
                <w:color w:val="0070C0"/>
                <w:sz w:val="22"/>
              </w:rPr>
              <w:t>In line with the IDP.</w:t>
            </w:r>
          </w:p>
        </w:tc>
        <w:tc>
          <w:tcPr>
            <w:tcW w:w="4253" w:type="dxa"/>
            <w:tcBorders>
              <w:top w:val="single" w:sz="4" w:space="0" w:color="auto"/>
              <w:left w:val="single" w:sz="4" w:space="0" w:color="auto"/>
              <w:bottom w:val="single" w:sz="4" w:space="0" w:color="auto"/>
              <w:right w:val="single" w:sz="4" w:space="0" w:color="auto"/>
            </w:tcBorders>
          </w:tcPr>
          <w:p w14:paraId="1DE5FBFC" w14:textId="77777777" w:rsidR="00B22DEE" w:rsidRPr="00ED28AA" w:rsidRDefault="00B22DEE">
            <w:pPr>
              <w:rPr>
                <w:color w:val="0070C0"/>
                <w:sz w:val="22"/>
              </w:rPr>
            </w:pPr>
            <w:r w:rsidRPr="00ED28AA">
              <w:rPr>
                <w:color w:val="0070C0"/>
                <w:sz w:val="22"/>
              </w:rPr>
              <w:t>Review priorities in the IDP.</w:t>
            </w:r>
          </w:p>
          <w:p w14:paraId="1B00A859" w14:textId="77777777" w:rsidR="00B22DEE" w:rsidRPr="00ED28AA" w:rsidRDefault="00B22DEE">
            <w:pPr>
              <w:rPr>
                <w:color w:val="0070C0"/>
                <w:sz w:val="22"/>
              </w:rPr>
            </w:pPr>
          </w:p>
          <w:p w14:paraId="034721D9" w14:textId="77777777" w:rsidR="00B22DEE" w:rsidRPr="00ED28AA" w:rsidRDefault="00B22DEE">
            <w:pPr>
              <w:rPr>
                <w:color w:val="0070C0"/>
                <w:sz w:val="22"/>
              </w:rPr>
            </w:pPr>
            <w:r w:rsidRPr="00ED28AA">
              <w:rPr>
                <w:color w:val="0070C0"/>
                <w:sz w:val="22"/>
              </w:rPr>
              <w:t>Work closely with Clinical Commissioning Group, County Council, Education providers and other stakeholders to review requirements and funding sources.</w:t>
            </w:r>
          </w:p>
        </w:tc>
      </w:tr>
      <w:tr w:rsidR="00ED28AA" w:rsidRPr="00ED28AA" w14:paraId="07119575"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554B5E83" w14:textId="77777777" w:rsidR="00B22DEE" w:rsidRPr="00ED28AA" w:rsidRDefault="00B22DEE">
            <w:pPr>
              <w:rPr>
                <w:color w:val="0070C0"/>
                <w:sz w:val="22"/>
              </w:rPr>
            </w:pPr>
            <w:r w:rsidRPr="00ED28AA">
              <w:rPr>
                <w:color w:val="0070C0"/>
                <w:sz w:val="22"/>
              </w:rPr>
              <w:lastRenderedPageBreak/>
              <w:t>Strategic Policy S10: Improving Transport Infrastructure</w:t>
            </w:r>
          </w:p>
        </w:tc>
        <w:tc>
          <w:tcPr>
            <w:tcW w:w="3544" w:type="dxa"/>
            <w:tcBorders>
              <w:top w:val="single" w:sz="4" w:space="0" w:color="auto"/>
              <w:left w:val="single" w:sz="4" w:space="0" w:color="auto"/>
              <w:bottom w:val="single" w:sz="4" w:space="0" w:color="auto"/>
              <w:right w:val="single" w:sz="4" w:space="0" w:color="auto"/>
            </w:tcBorders>
          </w:tcPr>
          <w:p w14:paraId="47759C1C" w14:textId="77777777" w:rsidR="00B22DEE" w:rsidRPr="00ED28AA" w:rsidRDefault="00B22DEE">
            <w:pPr>
              <w:rPr>
                <w:color w:val="0070C0"/>
                <w:sz w:val="22"/>
              </w:rPr>
            </w:pPr>
            <w:r w:rsidRPr="00ED28AA">
              <w:rPr>
                <w:color w:val="0070C0"/>
                <w:sz w:val="22"/>
              </w:rPr>
              <w:t>S106 commitments from signed agreements towards transport infrastructure</w:t>
            </w:r>
          </w:p>
          <w:p w14:paraId="05F2B3D2" w14:textId="77777777" w:rsidR="00B22DEE" w:rsidRPr="00ED28AA" w:rsidRDefault="00B22DEE">
            <w:pPr>
              <w:rPr>
                <w:color w:val="0070C0"/>
                <w:sz w:val="22"/>
              </w:rPr>
            </w:pPr>
          </w:p>
          <w:p w14:paraId="4AE92401" w14:textId="77777777" w:rsidR="00B22DEE" w:rsidRPr="00ED28AA" w:rsidRDefault="00B22DEE">
            <w:pPr>
              <w:rPr>
                <w:color w:val="0070C0"/>
                <w:sz w:val="22"/>
              </w:rPr>
            </w:pPr>
            <w:r w:rsidRPr="00ED28AA">
              <w:rPr>
                <w:color w:val="0070C0"/>
                <w:sz w:val="22"/>
              </w:rPr>
              <w:t xml:space="preserve">Scores for parts of the </w:t>
            </w:r>
            <w:proofErr w:type="gramStart"/>
            <w:r w:rsidRPr="00ED28AA">
              <w:rPr>
                <w:color w:val="0070C0"/>
                <w:sz w:val="22"/>
              </w:rPr>
              <w:t>District</w:t>
            </w:r>
            <w:proofErr w:type="gramEnd"/>
            <w:r w:rsidRPr="00ED28AA">
              <w:rPr>
                <w:color w:val="0070C0"/>
                <w:sz w:val="22"/>
              </w:rPr>
              <w:t xml:space="preserve"> as set out in the Department for Transport Connectivity Tool</w:t>
            </w:r>
          </w:p>
          <w:p w14:paraId="6D17145A" w14:textId="77777777" w:rsidR="00B22DEE" w:rsidRPr="00ED28AA" w:rsidRDefault="00B22DEE">
            <w:pPr>
              <w:rPr>
                <w:color w:val="0070C0"/>
                <w:sz w:val="22"/>
              </w:rPr>
            </w:pPr>
          </w:p>
          <w:p w14:paraId="2974A04E" w14:textId="77777777" w:rsidR="00B22DEE" w:rsidRPr="00ED28AA" w:rsidRDefault="00B22DEE">
            <w:pPr>
              <w:rPr>
                <w:color w:val="0070C0"/>
                <w:sz w:val="22"/>
              </w:rPr>
            </w:pPr>
            <w:r w:rsidRPr="00ED28AA">
              <w:rPr>
                <w:color w:val="0070C0"/>
                <w:sz w:val="22"/>
              </w:rPr>
              <w:t>Frequency of bus routes &amp; services.</w:t>
            </w:r>
          </w:p>
          <w:p w14:paraId="7A36A17B" w14:textId="77777777" w:rsidR="00B22DEE" w:rsidRPr="00ED28AA" w:rsidRDefault="00B22DEE">
            <w:pPr>
              <w:rPr>
                <w:color w:val="0070C0"/>
                <w:sz w:val="22"/>
              </w:rPr>
            </w:pPr>
          </w:p>
          <w:p w14:paraId="1CDDE106" w14:textId="77777777" w:rsidR="00B22DEE" w:rsidRPr="00ED28AA" w:rsidRDefault="00B22DEE">
            <w:pPr>
              <w:rPr>
                <w:color w:val="0070C0"/>
                <w:sz w:val="22"/>
              </w:rPr>
            </w:pPr>
            <w:r w:rsidRPr="00ED28AA">
              <w:rPr>
                <w:color w:val="0070C0"/>
                <w:sz w:val="22"/>
              </w:rPr>
              <w:t>Delivery of named transport improvements as set out in policy S10 &amp; in the IDP</w:t>
            </w:r>
          </w:p>
        </w:tc>
        <w:tc>
          <w:tcPr>
            <w:tcW w:w="4394" w:type="dxa"/>
            <w:tcBorders>
              <w:top w:val="single" w:sz="4" w:space="0" w:color="auto"/>
              <w:left w:val="single" w:sz="4" w:space="0" w:color="auto"/>
              <w:bottom w:val="single" w:sz="4" w:space="0" w:color="auto"/>
              <w:right w:val="single" w:sz="4" w:space="0" w:color="auto"/>
            </w:tcBorders>
          </w:tcPr>
          <w:p w14:paraId="070E680B" w14:textId="77777777" w:rsidR="00B22DEE" w:rsidRPr="00ED28AA" w:rsidRDefault="00B22DEE">
            <w:pPr>
              <w:rPr>
                <w:color w:val="0070C0"/>
                <w:sz w:val="22"/>
              </w:rPr>
            </w:pPr>
            <w:r w:rsidRPr="00ED28AA">
              <w:rPr>
                <w:color w:val="0070C0"/>
                <w:sz w:val="22"/>
              </w:rPr>
              <w:t xml:space="preserve">Improve transport infrastructure </w:t>
            </w:r>
            <w:proofErr w:type="gramStart"/>
            <w:r w:rsidRPr="00ED28AA">
              <w:rPr>
                <w:color w:val="0070C0"/>
                <w:sz w:val="22"/>
              </w:rPr>
              <w:t>in order to</w:t>
            </w:r>
            <w:proofErr w:type="gramEnd"/>
            <w:r w:rsidRPr="00ED28AA">
              <w:rPr>
                <w:color w:val="0070C0"/>
                <w:sz w:val="22"/>
              </w:rPr>
              <w:t xml:space="preserve"> promote travel choice and reduce reliance on the private car.</w:t>
            </w:r>
          </w:p>
          <w:p w14:paraId="4EBA1EB3" w14:textId="77777777" w:rsidR="00B22DEE" w:rsidRPr="00ED28AA" w:rsidRDefault="00B22DEE">
            <w:pPr>
              <w:rPr>
                <w:color w:val="0070C0"/>
                <w:sz w:val="22"/>
              </w:rPr>
            </w:pPr>
          </w:p>
          <w:p w14:paraId="5538956A" w14:textId="77777777" w:rsidR="00B22DEE" w:rsidRPr="00ED28AA" w:rsidRDefault="00B22DEE">
            <w:pPr>
              <w:rPr>
                <w:color w:val="0070C0"/>
                <w:sz w:val="22"/>
              </w:rPr>
            </w:pPr>
            <w:r w:rsidRPr="00ED28AA">
              <w:rPr>
                <w:color w:val="0070C0"/>
                <w:sz w:val="22"/>
              </w:rPr>
              <w:t>In line with the IDP.</w:t>
            </w:r>
          </w:p>
        </w:tc>
        <w:tc>
          <w:tcPr>
            <w:tcW w:w="4253" w:type="dxa"/>
            <w:tcBorders>
              <w:top w:val="single" w:sz="4" w:space="0" w:color="auto"/>
              <w:left w:val="single" w:sz="4" w:space="0" w:color="auto"/>
              <w:bottom w:val="single" w:sz="4" w:space="0" w:color="auto"/>
              <w:right w:val="single" w:sz="4" w:space="0" w:color="auto"/>
            </w:tcBorders>
          </w:tcPr>
          <w:p w14:paraId="76C8DBEC" w14:textId="77777777" w:rsidR="00B22DEE" w:rsidRPr="00ED28AA" w:rsidRDefault="00B22DEE">
            <w:pPr>
              <w:rPr>
                <w:color w:val="0070C0"/>
                <w:sz w:val="22"/>
              </w:rPr>
            </w:pPr>
            <w:r w:rsidRPr="00ED28AA">
              <w:rPr>
                <w:color w:val="0070C0"/>
                <w:sz w:val="22"/>
              </w:rPr>
              <w:t>Review priorities in the IDP.</w:t>
            </w:r>
          </w:p>
          <w:p w14:paraId="12A9D377" w14:textId="77777777" w:rsidR="00B22DEE" w:rsidRPr="00ED28AA" w:rsidRDefault="00B22DEE">
            <w:pPr>
              <w:rPr>
                <w:color w:val="0070C0"/>
                <w:sz w:val="22"/>
              </w:rPr>
            </w:pPr>
          </w:p>
          <w:p w14:paraId="182230E8" w14:textId="77777777" w:rsidR="00B22DEE" w:rsidRPr="00ED28AA" w:rsidRDefault="00B22DEE">
            <w:pPr>
              <w:rPr>
                <w:color w:val="0070C0"/>
                <w:sz w:val="22"/>
              </w:rPr>
            </w:pPr>
            <w:r w:rsidRPr="00ED28AA">
              <w:rPr>
                <w:color w:val="0070C0"/>
                <w:sz w:val="22"/>
              </w:rPr>
              <w:t>Work with transport colleagues at County Council to understand issues restricting investment and maximise transport improvements.</w:t>
            </w:r>
          </w:p>
          <w:p w14:paraId="72BB025B" w14:textId="77777777" w:rsidR="00B22DEE" w:rsidRPr="00ED28AA" w:rsidRDefault="00B22DEE">
            <w:pPr>
              <w:rPr>
                <w:color w:val="0070C0"/>
                <w:sz w:val="22"/>
              </w:rPr>
            </w:pPr>
          </w:p>
          <w:p w14:paraId="0B56413E" w14:textId="77777777" w:rsidR="00B22DEE" w:rsidRPr="00ED28AA" w:rsidRDefault="00B22DEE">
            <w:pPr>
              <w:rPr>
                <w:color w:val="0070C0"/>
                <w:sz w:val="22"/>
              </w:rPr>
            </w:pPr>
            <w:r w:rsidRPr="00ED28AA">
              <w:rPr>
                <w:color w:val="0070C0"/>
                <w:sz w:val="22"/>
              </w:rPr>
              <w:t>Review potential funding sources for transport, including from developer contributions.</w:t>
            </w:r>
          </w:p>
        </w:tc>
      </w:tr>
      <w:tr w:rsidR="00ED28AA" w:rsidRPr="00ED28AA" w14:paraId="6A84CBA3"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489F6A3E" w14:textId="77777777" w:rsidR="00B22DEE" w:rsidRPr="00ED28AA" w:rsidRDefault="00B22DEE">
            <w:pPr>
              <w:rPr>
                <w:color w:val="0070C0"/>
                <w:sz w:val="22"/>
              </w:rPr>
            </w:pPr>
            <w:r w:rsidRPr="00ED28AA">
              <w:rPr>
                <w:color w:val="0070C0"/>
                <w:sz w:val="22"/>
              </w:rPr>
              <w:t>Strategic Policy S11: Vibrant Town Centres</w:t>
            </w:r>
          </w:p>
        </w:tc>
        <w:tc>
          <w:tcPr>
            <w:tcW w:w="3544" w:type="dxa"/>
            <w:tcBorders>
              <w:top w:val="single" w:sz="4" w:space="0" w:color="auto"/>
              <w:left w:val="single" w:sz="4" w:space="0" w:color="auto"/>
              <w:bottom w:val="single" w:sz="4" w:space="0" w:color="auto"/>
              <w:right w:val="single" w:sz="4" w:space="0" w:color="auto"/>
            </w:tcBorders>
          </w:tcPr>
          <w:p w14:paraId="26BBA3F7" w14:textId="77777777" w:rsidR="00B22DEE" w:rsidRPr="00ED28AA" w:rsidRDefault="00B22DEE">
            <w:pPr>
              <w:rPr>
                <w:color w:val="0070C0"/>
                <w:sz w:val="22"/>
              </w:rPr>
            </w:pPr>
            <w:r w:rsidRPr="00ED28AA">
              <w:rPr>
                <w:color w:val="0070C0"/>
                <w:sz w:val="22"/>
              </w:rPr>
              <w:t>Retail vacancy rate in town centres, local centres and shopping parades</w:t>
            </w:r>
          </w:p>
          <w:p w14:paraId="078E1399" w14:textId="77777777" w:rsidR="00B22DEE" w:rsidRPr="00ED28AA" w:rsidRDefault="00B22DEE">
            <w:pPr>
              <w:rPr>
                <w:color w:val="0070C0"/>
                <w:sz w:val="22"/>
              </w:rPr>
            </w:pPr>
          </w:p>
          <w:p w14:paraId="70929864" w14:textId="77777777" w:rsidR="00B22DEE" w:rsidRPr="00ED28AA" w:rsidRDefault="00B22DEE">
            <w:pPr>
              <w:rPr>
                <w:color w:val="0070C0"/>
                <w:sz w:val="22"/>
              </w:rPr>
            </w:pPr>
            <w:r w:rsidRPr="00ED28AA">
              <w:rPr>
                <w:color w:val="0070C0"/>
                <w:sz w:val="22"/>
              </w:rPr>
              <w:t>Progress towards achieving objectives as set out in Hucknall, Kirkby and Sutton Town Centre Masterplans</w:t>
            </w:r>
          </w:p>
          <w:p w14:paraId="42ED1CEE" w14:textId="77777777" w:rsidR="00B22DEE" w:rsidRPr="00ED28AA" w:rsidRDefault="00B22DEE">
            <w:pPr>
              <w:rPr>
                <w:color w:val="0070C0"/>
                <w:sz w:val="22"/>
              </w:rPr>
            </w:pPr>
          </w:p>
          <w:p w14:paraId="1D7B9FD1" w14:textId="77777777" w:rsidR="00B22DEE" w:rsidRPr="00ED28AA" w:rsidRDefault="00B22DEE">
            <w:pPr>
              <w:rPr>
                <w:color w:val="0070C0"/>
                <w:sz w:val="22"/>
              </w:rPr>
            </w:pPr>
            <w:r w:rsidRPr="00ED28AA">
              <w:rPr>
                <w:color w:val="0070C0"/>
                <w:sz w:val="22"/>
              </w:rPr>
              <w:t>Indicators within individual policies SH1, SH2 &amp; SH3</w:t>
            </w:r>
          </w:p>
        </w:tc>
        <w:tc>
          <w:tcPr>
            <w:tcW w:w="4394" w:type="dxa"/>
            <w:tcBorders>
              <w:top w:val="single" w:sz="4" w:space="0" w:color="auto"/>
              <w:left w:val="single" w:sz="4" w:space="0" w:color="auto"/>
              <w:bottom w:val="single" w:sz="4" w:space="0" w:color="auto"/>
              <w:right w:val="single" w:sz="4" w:space="0" w:color="auto"/>
            </w:tcBorders>
          </w:tcPr>
          <w:p w14:paraId="2AAEE819" w14:textId="77777777" w:rsidR="00B22DEE" w:rsidRPr="00ED28AA" w:rsidRDefault="00B22DEE">
            <w:pPr>
              <w:rPr>
                <w:color w:val="0070C0"/>
                <w:sz w:val="22"/>
              </w:rPr>
            </w:pPr>
            <w:r w:rsidRPr="00ED28AA">
              <w:rPr>
                <w:color w:val="0070C0"/>
                <w:sz w:val="22"/>
              </w:rPr>
              <w:t>Decrease in vacancy rates across town centres, local centres and shopping parades.</w:t>
            </w:r>
          </w:p>
          <w:p w14:paraId="130AD263" w14:textId="77777777" w:rsidR="00B22DEE" w:rsidRPr="00ED28AA" w:rsidRDefault="00B22DEE">
            <w:pPr>
              <w:rPr>
                <w:color w:val="0070C0"/>
                <w:sz w:val="22"/>
              </w:rPr>
            </w:pPr>
          </w:p>
          <w:p w14:paraId="2135E87F" w14:textId="77777777" w:rsidR="00B22DEE" w:rsidRPr="00ED28AA" w:rsidRDefault="00B22DEE">
            <w:pPr>
              <w:rPr>
                <w:color w:val="0070C0"/>
                <w:sz w:val="22"/>
              </w:rPr>
            </w:pPr>
            <w:r w:rsidRPr="00ED28AA">
              <w:rPr>
                <w:color w:val="0070C0"/>
                <w:sz w:val="22"/>
              </w:rPr>
              <w:t>All designated areas will have a good level of vitality and viability by 2040.</w:t>
            </w:r>
          </w:p>
        </w:tc>
        <w:tc>
          <w:tcPr>
            <w:tcW w:w="4253" w:type="dxa"/>
            <w:tcBorders>
              <w:top w:val="single" w:sz="4" w:space="0" w:color="auto"/>
              <w:left w:val="single" w:sz="4" w:space="0" w:color="auto"/>
              <w:bottom w:val="single" w:sz="4" w:space="0" w:color="auto"/>
              <w:right w:val="single" w:sz="4" w:space="0" w:color="auto"/>
            </w:tcBorders>
          </w:tcPr>
          <w:p w14:paraId="2C252362" w14:textId="77777777" w:rsidR="00B22DEE" w:rsidRPr="00ED28AA" w:rsidRDefault="00B22DEE">
            <w:pPr>
              <w:rPr>
                <w:color w:val="0070C0"/>
                <w:sz w:val="22"/>
              </w:rPr>
            </w:pPr>
            <w:r w:rsidRPr="00ED28AA">
              <w:rPr>
                <w:color w:val="0070C0"/>
                <w:sz w:val="22"/>
              </w:rPr>
              <w:t>Work with Economic Development and Regeneration colleagues to explore how to promote sustainable growth in town centre areas.</w:t>
            </w:r>
          </w:p>
          <w:p w14:paraId="27CB38E0" w14:textId="77777777" w:rsidR="00B22DEE" w:rsidRPr="00ED28AA" w:rsidRDefault="00B22DEE">
            <w:pPr>
              <w:rPr>
                <w:color w:val="0070C0"/>
                <w:sz w:val="22"/>
              </w:rPr>
            </w:pPr>
          </w:p>
          <w:p w14:paraId="3A51ADC9" w14:textId="77777777" w:rsidR="00B22DEE" w:rsidRPr="00ED28AA" w:rsidRDefault="00B22DEE">
            <w:pPr>
              <w:rPr>
                <w:color w:val="0070C0"/>
                <w:sz w:val="22"/>
              </w:rPr>
            </w:pPr>
            <w:r w:rsidRPr="00ED28AA">
              <w:rPr>
                <w:color w:val="0070C0"/>
                <w:sz w:val="22"/>
              </w:rPr>
              <w:t>Review of the Local Plan and town centre masterplan documents.</w:t>
            </w:r>
          </w:p>
        </w:tc>
      </w:tr>
      <w:tr w:rsidR="00ED28AA" w:rsidRPr="00ED28AA" w14:paraId="0AD01C72"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03852155" w14:textId="77777777" w:rsidR="00B22DEE" w:rsidRPr="00ED28AA" w:rsidRDefault="00B22DEE">
            <w:pPr>
              <w:rPr>
                <w:color w:val="0070C0"/>
                <w:sz w:val="22"/>
              </w:rPr>
            </w:pPr>
            <w:r w:rsidRPr="00ED28AA">
              <w:rPr>
                <w:color w:val="0070C0"/>
                <w:sz w:val="22"/>
              </w:rPr>
              <w:lastRenderedPageBreak/>
              <w:t>Strategic Policy S12: Tackling Health Inequalities and Facilitating Healthier Lifestyles</w:t>
            </w:r>
          </w:p>
        </w:tc>
        <w:tc>
          <w:tcPr>
            <w:tcW w:w="3544" w:type="dxa"/>
            <w:tcBorders>
              <w:top w:val="single" w:sz="4" w:space="0" w:color="auto"/>
              <w:left w:val="single" w:sz="4" w:space="0" w:color="auto"/>
              <w:bottom w:val="single" w:sz="4" w:space="0" w:color="auto"/>
              <w:right w:val="single" w:sz="4" w:space="0" w:color="auto"/>
            </w:tcBorders>
            <w:hideMark/>
          </w:tcPr>
          <w:p w14:paraId="255C69AF" w14:textId="77777777" w:rsidR="00B22DEE" w:rsidRPr="00ED28AA" w:rsidRDefault="00B22DEE">
            <w:pPr>
              <w:rPr>
                <w:color w:val="0070C0"/>
                <w:sz w:val="22"/>
              </w:rPr>
            </w:pPr>
            <w:r w:rsidRPr="00ED28AA">
              <w:rPr>
                <w:color w:val="0070C0"/>
                <w:sz w:val="22"/>
              </w:rPr>
              <w:t xml:space="preserve">Indicators across the monitoring framework can be used to collectively determine whether health inequalities are being addressed. </w:t>
            </w:r>
          </w:p>
        </w:tc>
        <w:tc>
          <w:tcPr>
            <w:tcW w:w="4394" w:type="dxa"/>
            <w:tcBorders>
              <w:top w:val="single" w:sz="4" w:space="0" w:color="auto"/>
              <w:left w:val="single" w:sz="4" w:space="0" w:color="auto"/>
              <w:bottom w:val="single" w:sz="4" w:space="0" w:color="auto"/>
              <w:right w:val="single" w:sz="4" w:space="0" w:color="auto"/>
            </w:tcBorders>
            <w:hideMark/>
          </w:tcPr>
          <w:p w14:paraId="654F3411" w14:textId="77777777" w:rsidR="00B22DEE" w:rsidRPr="00ED28AA" w:rsidRDefault="00B22DEE">
            <w:pPr>
              <w:rPr>
                <w:color w:val="0070C0"/>
                <w:sz w:val="22"/>
              </w:rPr>
            </w:pPr>
            <w:r w:rsidRPr="00ED28AA">
              <w:rPr>
                <w:color w:val="0070C0"/>
                <w:sz w:val="22"/>
              </w:rPr>
              <w:t>Health and wellbeing issues are complex and are cross-cutting across the Local Plan. Policies should result in improved health and wellbeing across the plan period.</w:t>
            </w:r>
          </w:p>
        </w:tc>
        <w:tc>
          <w:tcPr>
            <w:tcW w:w="4253" w:type="dxa"/>
            <w:tcBorders>
              <w:top w:val="single" w:sz="4" w:space="0" w:color="auto"/>
              <w:left w:val="single" w:sz="4" w:space="0" w:color="auto"/>
              <w:bottom w:val="single" w:sz="4" w:space="0" w:color="auto"/>
              <w:right w:val="single" w:sz="4" w:space="0" w:color="auto"/>
            </w:tcBorders>
            <w:hideMark/>
          </w:tcPr>
          <w:p w14:paraId="2A8D53AF" w14:textId="77777777" w:rsidR="00B22DEE" w:rsidRPr="00ED28AA" w:rsidRDefault="00B22DEE">
            <w:pPr>
              <w:rPr>
                <w:color w:val="0070C0"/>
                <w:sz w:val="22"/>
              </w:rPr>
            </w:pPr>
            <w:r w:rsidRPr="00ED28AA">
              <w:rPr>
                <w:color w:val="0070C0"/>
                <w:sz w:val="22"/>
              </w:rPr>
              <w:t>Review of the Local Plan.</w:t>
            </w:r>
          </w:p>
        </w:tc>
      </w:tr>
      <w:tr w:rsidR="00ED28AA" w:rsidRPr="00ED28AA" w14:paraId="012D84F1"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6C2E543A" w14:textId="77777777" w:rsidR="00B22DEE" w:rsidRPr="00ED28AA" w:rsidRDefault="00B22DEE">
            <w:pPr>
              <w:rPr>
                <w:color w:val="0070C0"/>
                <w:sz w:val="22"/>
              </w:rPr>
            </w:pPr>
            <w:r w:rsidRPr="00ED28AA">
              <w:rPr>
                <w:color w:val="0070C0"/>
                <w:sz w:val="22"/>
              </w:rPr>
              <w:t>Strategic Policy S13: Protecting and Enhancing Our Green and Blue Infrastructure and Natural Environment</w:t>
            </w:r>
          </w:p>
        </w:tc>
        <w:tc>
          <w:tcPr>
            <w:tcW w:w="3544" w:type="dxa"/>
            <w:tcBorders>
              <w:top w:val="single" w:sz="4" w:space="0" w:color="auto"/>
              <w:left w:val="single" w:sz="4" w:space="0" w:color="auto"/>
              <w:bottom w:val="single" w:sz="4" w:space="0" w:color="auto"/>
              <w:right w:val="single" w:sz="4" w:space="0" w:color="auto"/>
            </w:tcBorders>
            <w:hideMark/>
          </w:tcPr>
          <w:p w14:paraId="486224F0" w14:textId="77777777" w:rsidR="00B22DEE" w:rsidRPr="00ED28AA" w:rsidRDefault="00B22DEE">
            <w:pPr>
              <w:rPr>
                <w:color w:val="0070C0"/>
                <w:sz w:val="22"/>
              </w:rPr>
            </w:pPr>
            <w:r w:rsidRPr="00ED28AA">
              <w:rPr>
                <w:color w:val="0070C0"/>
                <w:sz w:val="22"/>
              </w:rPr>
              <w:t>Delivery against the District’s Biodiversity Opportunity Maps, the Local Nature Recovery Strategy (LNRS) for Nottingham and Nottinghamshire, and the Green and Blue Infrastructure Strategy</w:t>
            </w:r>
          </w:p>
        </w:tc>
        <w:tc>
          <w:tcPr>
            <w:tcW w:w="4394" w:type="dxa"/>
            <w:tcBorders>
              <w:top w:val="single" w:sz="4" w:space="0" w:color="auto"/>
              <w:left w:val="single" w:sz="4" w:space="0" w:color="auto"/>
              <w:bottom w:val="single" w:sz="4" w:space="0" w:color="auto"/>
              <w:right w:val="single" w:sz="4" w:space="0" w:color="auto"/>
            </w:tcBorders>
          </w:tcPr>
          <w:p w14:paraId="782FEC5E" w14:textId="77777777" w:rsidR="00B22DEE" w:rsidRPr="00ED28AA" w:rsidRDefault="00B22DEE">
            <w:pPr>
              <w:rPr>
                <w:color w:val="0070C0"/>
                <w:sz w:val="22"/>
              </w:rPr>
            </w:pPr>
            <w:r w:rsidRPr="00ED28AA">
              <w:rPr>
                <w:color w:val="0070C0"/>
                <w:sz w:val="22"/>
              </w:rPr>
              <w:t xml:space="preserve">Protect, conserve and enhance the </w:t>
            </w:r>
            <w:proofErr w:type="gramStart"/>
            <w:r w:rsidRPr="00ED28AA">
              <w:rPr>
                <w:color w:val="0070C0"/>
                <w:sz w:val="22"/>
              </w:rPr>
              <w:t>District’s</w:t>
            </w:r>
            <w:proofErr w:type="gramEnd"/>
            <w:r w:rsidRPr="00ED28AA">
              <w:rPr>
                <w:color w:val="0070C0"/>
                <w:sz w:val="22"/>
              </w:rPr>
              <w:t xml:space="preserve"> natural environment.</w:t>
            </w:r>
          </w:p>
          <w:p w14:paraId="618BC28A" w14:textId="77777777" w:rsidR="00B22DEE" w:rsidRPr="00ED28AA" w:rsidRDefault="00B22DEE">
            <w:pPr>
              <w:rPr>
                <w:color w:val="0070C0"/>
                <w:sz w:val="22"/>
              </w:rPr>
            </w:pPr>
          </w:p>
          <w:p w14:paraId="49B313A8" w14:textId="77777777" w:rsidR="00B22DEE" w:rsidRPr="00ED28AA" w:rsidRDefault="00B22DEE">
            <w:pPr>
              <w:rPr>
                <w:color w:val="0070C0"/>
                <w:sz w:val="22"/>
              </w:rPr>
            </w:pPr>
            <w:r w:rsidRPr="00ED28AA">
              <w:rPr>
                <w:color w:val="0070C0"/>
                <w:sz w:val="22"/>
              </w:rPr>
              <w:t>Specific measures are set out in the Biodiversity Opportunity Maps, the LNRS and the Green &amp; Blue Infrastructure and Biodiversity Strategy.</w:t>
            </w:r>
          </w:p>
        </w:tc>
        <w:tc>
          <w:tcPr>
            <w:tcW w:w="4253" w:type="dxa"/>
            <w:tcBorders>
              <w:top w:val="single" w:sz="4" w:space="0" w:color="auto"/>
              <w:left w:val="single" w:sz="4" w:space="0" w:color="auto"/>
              <w:bottom w:val="single" w:sz="4" w:space="0" w:color="auto"/>
              <w:right w:val="single" w:sz="4" w:space="0" w:color="auto"/>
            </w:tcBorders>
          </w:tcPr>
          <w:p w14:paraId="7605E09B" w14:textId="77777777" w:rsidR="00B22DEE" w:rsidRPr="00ED28AA" w:rsidRDefault="00B22DEE">
            <w:pPr>
              <w:rPr>
                <w:color w:val="0070C0"/>
                <w:sz w:val="22"/>
              </w:rPr>
            </w:pPr>
            <w:r w:rsidRPr="00ED28AA">
              <w:rPr>
                <w:color w:val="0070C0"/>
                <w:sz w:val="22"/>
              </w:rPr>
              <w:t>Review of the Local Plan.</w:t>
            </w:r>
          </w:p>
          <w:p w14:paraId="5A868C93" w14:textId="77777777" w:rsidR="00B22DEE" w:rsidRPr="00ED28AA" w:rsidRDefault="00B22DEE">
            <w:pPr>
              <w:rPr>
                <w:color w:val="0070C0"/>
                <w:sz w:val="22"/>
              </w:rPr>
            </w:pPr>
          </w:p>
          <w:p w14:paraId="76CBBD63" w14:textId="77777777" w:rsidR="00B22DEE" w:rsidRPr="00ED28AA" w:rsidRDefault="00B22DEE">
            <w:pPr>
              <w:rPr>
                <w:color w:val="0070C0"/>
                <w:sz w:val="22"/>
              </w:rPr>
            </w:pPr>
            <w:r w:rsidRPr="00ED28AA">
              <w:rPr>
                <w:color w:val="0070C0"/>
                <w:sz w:val="22"/>
              </w:rPr>
              <w:t>Work with other public bodies and key stakeholders to review the LNRS and other strategies to maximise their effectiveness.</w:t>
            </w:r>
          </w:p>
        </w:tc>
      </w:tr>
      <w:tr w:rsidR="00ED28AA" w:rsidRPr="00ED28AA" w14:paraId="6D5D430D"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4A51BC56" w14:textId="77777777" w:rsidR="00B22DEE" w:rsidRPr="00ED28AA" w:rsidRDefault="00B22DEE">
            <w:pPr>
              <w:rPr>
                <w:color w:val="0070C0"/>
                <w:sz w:val="22"/>
              </w:rPr>
            </w:pPr>
            <w:r w:rsidRPr="00ED28AA">
              <w:rPr>
                <w:color w:val="0070C0"/>
                <w:sz w:val="22"/>
              </w:rPr>
              <w:t>Strategic Policy S14: Conserving and Enhancing Our Historic Environment</w:t>
            </w:r>
          </w:p>
        </w:tc>
        <w:tc>
          <w:tcPr>
            <w:tcW w:w="3544" w:type="dxa"/>
            <w:tcBorders>
              <w:top w:val="single" w:sz="4" w:space="0" w:color="auto"/>
              <w:left w:val="single" w:sz="4" w:space="0" w:color="auto"/>
              <w:bottom w:val="single" w:sz="4" w:space="0" w:color="auto"/>
              <w:right w:val="single" w:sz="4" w:space="0" w:color="auto"/>
            </w:tcBorders>
          </w:tcPr>
          <w:p w14:paraId="3CB2FE38" w14:textId="77777777" w:rsidR="00B22DEE" w:rsidRPr="00ED28AA" w:rsidRDefault="00B22DEE">
            <w:pPr>
              <w:rPr>
                <w:color w:val="0070C0"/>
                <w:sz w:val="22"/>
              </w:rPr>
            </w:pPr>
            <w:r w:rsidRPr="00ED28AA">
              <w:rPr>
                <w:color w:val="0070C0"/>
                <w:sz w:val="22"/>
              </w:rPr>
              <w:t xml:space="preserve">Number of Heritage Assets on the Buildings </w:t>
            </w:r>
            <w:proofErr w:type="gramStart"/>
            <w:r w:rsidRPr="00ED28AA">
              <w:rPr>
                <w:color w:val="0070C0"/>
                <w:sz w:val="22"/>
              </w:rPr>
              <w:t>At</w:t>
            </w:r>
            <w:proofErr w:type="gramEnd"/>
            <w:r w:rsidRPr="00ED28AA">
              <w:rPr>
                <w:color w:val="0070C0"/>
                <w:sz w:val="22"/>
              </w:rPr>
              <w:t xml:space="preserve"> Risk Register</w:t>
            </w:r>
          </w:p>
          <w:p w14:paraId="39CF7A85" w14:textId="77777777" w:rsidR="00B22DEE" w:rsidRPr="00ED28AA" w:rsidRDefault="00B22DEE">
            <w:pPr>
              <w:rPr>
                <w:color w:val="0070C0"/>
                <w:sz w:val="22"/>
              </w:rPr>
            </w:pPr>
          </w:p>
          <w:p w14:paraId="679C016D" w14:textId="77777777" w:rsidR="00B22DEE" w:rsidRPr="00ED28AA" w:rsidRDefault="00B22DEE">
            <w:pPr>
              <w:rPr>
                <w:color w:val="0070C0"/>
                <w:sz w:val="22"/>
              </w:rPr>
            </w:pPr>
            <w:r w:rsidRPr="00ED28AA">
              <w:rPr>
                <w:color w:val="0070C0"/>
                <w:sz w:val="22"/>
              </w:rPr>
              <w:t>Indicators within individual policies EV9, EV10 &amp; SD2</w:t>
            </w:r>
          </w:p>
        </w:tc>
        <w:tc>
          <w:tcPr>
            <w:tcW w:w="4394" w:type="dxa"/>
            <w:tcBorders>
              <w:top w:val="single" w:sz="4" w:space="0" w:color="auto"/>
              <w:left w:val="single" w:sz="4" w:space="0" w:color="auto"/>
              <w:bottom w:val="single" w:sz="4" w:space="0" w:color="auto"/>
              <w:right w:val="single" w:sz="4" w:space="0" w:color="auto"/>
            </w:tcBorders>
          </w:tcPr>
          <w:p w14:paraId="66EFACE1" w14:textId="77777777" w:rsidR="00B22DEE" w:rsidRPr="00ED28AA" w:rsidRDefault="00B22DEE">
            <w:pPr>
              <w:rPr>
                <w:color w:val="0070C0"/>
                <w:sz w:val="22"/>
              </w:rPr>
            </w:pPr>
            <w:r w:rsidRPr="00ED28AA">
              <w:rPr>
                <w:color w:val="0070C0"/>
                <w:sz w:val="22"/>
              </w:rPr>
              <w:t xml:space="preserve">No increase to the number of Heritage Assets on the Buildings </w:t>
            </w:r>
            <w:proofErr w:type="gramStart"/>
            <w:r w:rsidRPr="00ED28AA">
              <w:rPr>
                <w:color w:val="0070C0"/>
                <w:sz w:val="22"/>
              </w:rPr>
              <w:t>At</w:t>
            </w:r>
            <w:proofErr w:type="gramEnd"/>
            <w:r w:rsidRPr="00ED28AA">
              <w:rPr>
                <w:color w:val="0070C0"/>
                <w:sz w:val="22"/>
              </w:rPr>
              <w:t xml:space="preserve"> Risk Register</w:t>
            </w:r>
          </w:p>
          <w:p w14:paraId="13C81E5D" w14:textId="77777777" w:rsidR="00B22DEE" w:rsidRPr="00ED28AA" w:rsidRDefault="00B22DEE">
            <w:pPr>
              <w:rPr>
                <w:color w:val="0070C0"/>
                <w:sz w:val="22"/>
              </w:rPr>
            </w:pPr>
          </w:p>
          <w:p w14:paraId="7F419B77" w14:textId="77777777" w:rsidR="00B22DEE" w:rsidRPr="00ED28AA" w:rsidRDefault="00B22DEE">
            <w:pPr>
              <w:rPr>
                <w:color w:val="0070C0"/>
                <w:sz w:val="22"/>
              </w:rPr>
            </w:pPr>
            <w:r w:rsidRPr="00ED28AA">
              <w:rPr>
                <w:color w:val="0070C0"/>
                <w:sz w:val="22"/>
              </w:rPr>
              <w:t>No loss/delisting of Listed Buildings, Registered Parks &amp; Gardens, Conservation Areas, Scheduled Monuments status.</w:t>
            </w:r>
          </w:p>
          <w:p w14:paraId="12F62197" w14:textId="77777777" w:rsidR="00B22DEE" w:rsidRPr="00ED28AA" w:rsidRDefault="00B22DEE">
            <w:pPr>
              <w:rPr>
                <w:color w:val="0070C0"/>
                <w:sz w:val="22"/>
              </w:rPr>
            </w:pPr>
          </w:p>
        </w:tc>
        <w:tc>
          <w:tcPr>
            <w:tcW w:w="4253" w:type="dxa"/>
            <w:tcBorders>
              <w:top w:val="single" w:sz="4" w:space="0" w:color="auto"/>
              <w:left w:val="single" w:sz="4" w:space="0" w:color="auto"/>
              <w:bottom w:val="single" w:sz="4" w:space="0" w:color="auto"/>
              <w:right w:val="single" w:sz="4" w:space="0" w:color="auto"/>
            </w:tcBorders>
            <w:hideMark/>
          </w:tcPr>
          <w:p w14:paraId="07734CFD" w14:textId="77777777" w:rsidR="00B22DEE" w:rsidRPr="00ED28AA" w:rsidRDefault="00B22DEE">
            <w:pPr>
              <w:rPr>
                <w:color w:val="0070C0"/>
                <w:sz w:val="22"/>
              </w:rPr>
            </w:pPr>
            <w:r w:rsidRPr="00ED28AA">
              <w:rPr>
                <w:color w:val="0070C0"/>
                <w:sz w:val="22"/>
              </w:rPr>
              <w:t>Review of the Local Plan, Conservation Area Appraisals and Local Heritage List.</w:t>
            </w:r>
          </w:p>
        </w:tc>
      </w:tr>
      <w:tr w:rsidR="00ED28AA" w:rsidRPr="00ED28AA" w14:paraId="35ECD0CB" w14:textId="77777777">
        <w:trPr>
          <w:trHeight w:val="988"/>
        </w:trPr>
        <w:tc>
          <w:tcPr>
            <w:tcW w:w="1838" w:type="dxa"/>
            <w:tcBorders>
              <w:top w:val="single" w:sz="4" w:space="0" w:color="auto"/>
              <w:left w:val="single" w:sz="4" w:space="0" w:color="auto"/>
              <w:bottom w:val="single" w:sz="4" w:space="0" w:color="auto"/>
              <w:right w:val="single" w:sz="4" w:space="0" w:color="auto"/>
            </w:tcBorders>
            <w:hideMark/>
          </w:tcPr>
          <w:p w14:paraId="2DE22BF5" w14:textId="77777777" w:rsidR="00B22DEE" w:rsidRPr="00ED28AA" w:rsidRDefault="00B22DEE">
            <w:pPr>
              <w:rPr>
                <w:color w:val="0070C0"/>
                <w:sz w:val="22"/>
              </w:rPr>
            </w:pPr>
            <w:r w:rsidRPr="00ED28AA">
              <w:rPr>
                <w:color w:val="0070C0"/>
                <w:sz w:val="22"/>
              </w:rPr>
              <w:t>Strategic Policy S15: Safeguarding Mineral Resources</w:t>
            </w:r>
          </w:p>
        </w:tc>
        <w:tc>
          <w:tcPr>
            <w:tcW w:w="3544" w:type="dxa"/>
            <w:tcBorders>
              <w:top w:val="single" w:sz="4" w:space="0" w:color="auto"/>
              <w:left w:val="single" w:sz="4" w:space="0" w:color="auto"/>
              <w:bottom w:val="single" w:sz="4" w:space="0" w:color="auto"/>
              <w:right w:val="single" w:sz="4" w:space="0" w:color="auto"/>
            </w:tcBorders>
            <w:hideMark/>
          </w:tcPr>
          <w:p w14:paraId="58BD0E93" w14:textId="77777777" w:rsidR="00B22DEE" w:rsidRPr="00ED28AA" w:rsidRDefault="00B22DEE">
            <w:pPr>
              <w:rPr>
                <w:color w:val="0070C0"/>
                <w:sz w:val="22"/>
              </w:rPr>
            </w:pPr>
            <w:r w:rsidRPr="00ED28AA">
              <w:rPr>
                <w:color w:val="0070C0"/>
                <w:sz w:val="22"/>
              </w:rPr>
              <w:t>Approvals within Minerals Safeguarded Areas</w:t>
            </w:r>
          </w:p>
        </w:tc>
        <w:tc>
          <w:tcPr>
            <w:tcW w:w="4394" w:type="dxa"/>
            <w:tcBorders>
              <w:top w:val="single" w:sz="4" w:space="0" w:color="auto"/>
              <w:left w:val="single" w:sz="4" w:space="0" w:color="auto"/>
              <w:bottom w:val="single" w:sz="4" w:space="0" w:color="auto"/>
              <w:right w:val="single" w:sz="4" w:space="0" w:color="auto"/>
            </w:tcBorders>
            <w:hideMark/>
          </w:tcPr>
          <w:p w14:paraId="67E4FC8F" w14:textId="77777777" w:rsidR="00B22DEE" w:rsidRPr="00ED28AA" w:rsidRDefault="00B22DEE">
            <w:pPr>
              <w:rPr>
                <w:color w:val="0070C0"/>
                <w:sz w:val="22"/>
              </w:rPr>
            </w:pPr>
            <w:r w:rsidRPr="00ED28AA">
              <w:rPr>
                <w:color w:val="0070C0"/>
                <w:sz w:val="22"/>
              </w:rPr>
              <w:t>All development approved should conform with mineral safeguarding policies in the Nottinghamshire Minerals Local Plan.</w:t>
            </w:r>
          </w:p>
        </w:tc>
        <w:tc>
          <w:tcPr>
            <w:tcW w:w="4253" w:type="dxa"/>
            <w:tcBorders>
              <w:top w:val="single" w:sz="4" w:space="0" w:color="auto"/>
              <w:left w:val="single" w:sz="4" w:space="0" w:color="auto"/>
              <w:bottom w:val="single" w:sz="4" w:space="0" w:color="auto"/>
              <w:right w:val="single" w:sz="4" w:space="0" w:color="auto"/>
            </w:tcBorders>
            <w:hideMark/>
          </w:tcPr>
          <w:p w14:paraId="56B9EE03" w14:textId="77777777" w:rsidR="00B22DEE" w:rsidRPr="00ED28AA" w:rsidRDefault="00B22DEE">
            <w:pPr>
              <w:rPr>
                <w:color w:val="0070C0"/>
                <w:sz w:val="22"/>
              </w:rPr>
            </w:pPr>
            <w:r w:rsidRPr="00ED28AA">
              <w:rPr>
                <w:color w:val="0070C0"/>
                <w:sz w:val="22"/>
              </w:rPr>
              <w:t>Work with colleagues at Nottinghamshire County Council to ensure effective implementation of policy.</w:t>
            </w:r>
          </w:p>
        </w:tc>
      </w:tr>
    </w:tbl>
    <w:p w14:paraId="73F92496" w14:textId="77777777" w:rsidR="006339A2" w:rsidRPr="00ED28AA" w:rsidRDefault="006339A2" w:rsidP="00B22DEE">
      <w:pPr>
        <w:rPr>
          <w:b/>
          <w:bCs/>
          <w:color w:val="0070C0"/>
        </w:rPr>
      </w:pPr>
    </w:p>
    <w:tbl>
      <w:tblPr>
        <w:tblStyle w:val="TableGrid"/>
        <w:tblW w:w="14454" w:type="dxa"/>
        <w:tblLook w:val="04A0" w:firstRow="1" w:lastRow="0" w:firstColumn="1" w:lastColumn="0" w:noHBand="0" w:noVBand="1"/>
      </w:tblPr>
      <w:tblGrid>
        <w:gridCol w:w="1838"/>
        <w:gridCol w:w="17"/>
        <w:gridCol w:w="3527"/>
        <w:gridCol w:w="13"/>
        <w:gridCol w:w="4381"/>
        <w:gridCol w:w="6"/>
        <w:gridCol w:w="4672"/>
      </w:tblGrid>
      <w:tr w:rsidR="00ED28AA" w:rsidRPr="00ED28AA" w14:paraId="1FE8BEF9" w14:textId="77777777" w:rsidTr="003767A6">
        <w:trPr>
          <w:trHeight w:val="630"/>
        </w:trPr>
        <w:tc>
          <w:tcPr>
            <w:tcW w:w="14454" w:type="dxa"/>
            <w:gridSpan w:val="7"/>
            <w:tcBorders>
              <w:top w:val="single" w:sz="4" w:space="0" w:color="auto"/>
              <w:left w:val="single" w:sz="4" w:space="0" w:color="auto"/>
              <w:bottom w:val="single" w:sz="4" w:space="0" w:color="auto"/>
              <w:right w:val="single" w:sz="4" w:space="0" w:color="auto"/>
            </w:tcBorders>
            <w:shd w:val="clear" w:color="auto" w:fill="E7E6E6" w:themeFill="background2"/>
          </w:tcPr>
          <w:p w14:paraId="4299C35E" w14:textId="5AD5B22B" w:rsidR="00A1220B" w:rsidRPr="00E56F9C" w:rsidRDefault="00A1220B">
            <w:pPr>
              <w:rPr>
                <w:b/>
                <w:bCs/>
                <w:color w:val="0067B6"/>
                <w:sz w:val="22"/>
              </w:rPr>
            </w:pPr>
            <w:r w:rsidRPr="00E56F9C">
              <w:rPr>
                <w:b/>
                <w:bCs/>
                <w:color w:val="0067B6"/>
              </w:rPr>
              <w:lastRenderedPageBreak/>
              <w:t>Meeting the challenge of climate change and adapting to its effects</w:t>
            </w:r>
          </w:p>
        </w:tc>
      </w:tr>
      <w:tr w:rsidR="00ED28AA" w:rsidRPr="00ED28AA" w14:paraId="29D793B4" w14:textId="77777777" w:rsidTr="003767A6">
        <w:trPr>
          <w:trHeight w:val="630"/>
        </w:trPr>
        <w:tc>
          <w:tcPr>
            <w:tcW w:w="18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066EFC3" w14:textId="77777777" w:rsidR="00B22DEE" w:rsidRPr="00E56F9C" w:rsidRDefault="00B22DEE">
            <w:pPr>
              <w:rPr>
                <w:b/>
                <w:bCs/>
                <w:color w:val="0067B6"/>
                <w:sz w:val="22"/>
              </w:rPr>
            </w:pPr>
            <w:r w:rsidRPr="00E56F9C">
              <w:rPr>
                <w:b/>
                <w:bCs/>
                <w:color w:val="0067B6"/>
                <w:sz w:val="22"/>
              </w:rPr>
              <w:t>Policy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5808D844" w14:textId="77777777" w:rsidR="00B22DEE" w:rsidRPr="00E56F9C" w:rsidRDefault="00B22DEE">
            <w:pPr>
              <w:rPr>
                <w:b/>
                <w:bCs/>
                <w:color w:val="0067B6"/>
                <w:sz w:val="22"/>
              </w:rPr>
            </w:pPr>
            <w:r w:rsidRPr="00E56F9C">
              <w:rPr>
                <w:b/>
                <w:bCs/>
                <w:color w:val="0067B6"/>
                <w:sz w:val="22"/>
              </w:rPr>
              <w:t>Indicator</w:t>
            </w:r>
          </w:p>
        </w:tc>
        <w:tc>
          <w:tcPr>
            <w:tcW w:w="439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65D8D08" w14:textId="77777777" w:rsidR="00B22DEE" w:rsidRPr="00E56F9C" w:rsidRDefault="00B22DEE">
            <w:pPr>
              <w:rPr>
                <w:b/>
                <w:bCs/>
                <w:color w:val="0067B6"/>
                <w:sz w:val="22"/>
              </w:rPr>
            </w:pPr>
            <w:r w:rsidRPr="00E56F9C">
              <w:rPr>
                <w:b/>
                <w:bCs/>
                <w:color w:val="0067B6"/>
                <w:sz w:val="22"/>
              </w:rPr>
              <w:t>Target</w:t>
            </w:r>
          </w:p>
        </w:tc>
        <w:tc>
          <w:tcPr>
            <w:tcW w:w="467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DF84E10" w14:textId="77777777" w:rsidR="00B22DEE" w:rsidRPr="00E56F9C" w:rsidRDefault="00B22DEE">
            <w:pPr>
              <w:rPr>
                <w:b/>
                <w:bCs/>
                <w:color w:val="0067B6"/>
                <w:sz w:val="22"/>
              </w:rPr>
            </w:pPr>
            <w:r w:rsidRPr="00E56F9C">
              <w:rPr>
                <w:b/>
                <w:bCs/>
                <w:color w:val="0067B6"/>
                <w:sz w:val="22"/>
              </w:rPr>
              <w:t>Actions if target not met</w:t>
            </w:r>
          </w:p>
        </w:tc>
      </w:tr>
      <w:tr w:rsidR="00ED28AA" w:rsidRPr="00ED28AA" w14:paraId="1819039E"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4E4A3CB4" w14:textId="77777777" w:rsidR="00B22DEE" w:rsidRPr="00ED28AA" w:rsidRDefault="00B22DEE">
            <w:pPr>
              <w:rPr>
                <w:color w:val="0070C0"/>
                <w:sz w:val="22"/>
              </w:rPr>
            </w:pPr>
            <w:r w:rsidRPr="00ED28AA">
              <w:rPr>
                <w:color w:val="0070C0"/>
                <w:sz w:val="22"/>
              </w:rPr>
              <w:t>CC1: Zero/Low Carbon Developments and Decentralised, Renewable, Low Carbon Energy Generation</w:t>
            </w:r>
          </w:p>
        </w:tc>
        <w:tc>
          <w:tcPr>
            <w:tcW w:w="3544" w:type="dxa"/>
            <w:gridSpan w:val="2"/>
            <w:tcBorders>
              <w:top w:val="single" w:sz="4" w:space="0" w:color="auto"/>
              <w:left w:val="single" w:sz="4" w:space="0" w:color="auto"/>
              <w:bottom w:val="single" w:sz="4" w:space="0" w:color="auto"/>
              <w:right w:val="single" w:sz="4" w:space="0" w:color="auto"/>
            </w:tcBorders>
          </w:tcPr>
          <w:p w14:paraId="110796D7" w14:textId="77777777" w:rsidR="00B22DEE" w:rsidRPr="00ED28AA" w:rsidRDefault="00B22DEE">
            <w:pPr>
              <w:rPr>
                <w:color w:val="0070C0"/>
                <w:sz w:val="22"/>
              </w:rPr>
            </w:pPr>
            <w:r w:rsidRPr="00ED28AA">
              <w:rPr>
                <w:color w:val="0070C0"/>
                <w:sz w:val="22"/>
              </w:rPr>
              <w:t>Number of applications</w:t>
            </w:r>
          </w:p>
          <w:p w14:paraId="6B327A96" w14:textId="77777777" w:rsidR="00B22DEE" w:rsidRPr="00ED28AA" w:rsidRDefault="00B22DEE">
            <w:pPr>
              <w:rPr>
                <w:color w:val="0070C0"/>
                <w:sz w:val="22"/>
              </w:rPr>
            </w:pPr>
            <w:r w:rsidRPr="00ED28AA">
              <w:rPr>
                <w:color w:val="0070C0"/>
                <w:sz w:val="22"/>
              </w:rPr>
              <w:t>approved for decentralised, low carbon and renewable energy development</w:t>
            </w:r>
          </w:p>
          <w:p w14:paraId="0A95CD73" w14:textId="77777777" w:rsidR="00B22DEE" w:rsidRPr="00ED28AA" w:rsidRDefault="00B22DEE">
            <w:pPr>
              <w:rPr>
                <w:color w:val="0070C0"/>
                <w:sz w:val="22"/>
              </w:rPr>
            </w:pPr>
          </w:p>
          <w:p w14:paraId="2FF7591E" w14:textId="77777777" w:rsidR="00B22DEE" w:rsidRPr="00ED28AA" w:rsidRDefault="00B22DEE">
            <w:pPr>
              <w:rPr>
                <w:color w:val="0070C0"/>
                <w:sz w:val="22"/>
              </w:rPr>
            </w:pPr>
            <w:r w:rsidRPr="00ED28AA">
              <w:rPr>
                <w:color w:val="0070C0"/>
                <w:sz w:val="22"/>
              </w:rPr>
              <w:t>Number of non-residential developments over 1000 sqm or more achieving BREEAM ‘excellent’ standard</w:t>
            </w:r>
          </w:p>
          <w:p w14:paraId="3F22B169" w14:textId="77777777" w:rsidR="00B22DEE" w:rsidRPr="00ED28AA" w:rsidRDefault="00B22DEE">
            <w:pPr>
              <w:rPr>
                <w:color w:val="0070C0"/>
                <w:sz w:val="22"/>
              </w:rPr>
            </w:pPr>
          </w:p>
          <w:p w14:paraId="30FCD6FF" w14:textId="77777777" w:rsidR="00B22DEE" w:rsidRPr="00ED28AA" w:rsidRDefault="00B22DEE">
            <w:pPr>
              <w:rPr>
                <w:color w:val="0070C0"/>
                <w:sz w:val="22"/>
              </w:rPr>
            </w:pPr>
            <w:r w:rsidRPr="00ED28AA">
              <w:rPr>
                <w:color w:val="0070C0"/>
                <w:sz w:val="22"/>
              </w:rPr>
              <w:t>Number of electric vehicle charge points included on new major development</w:t>
            </w:r>
          </w:p>
          <w:p w14:paraId="6ED0C3E9" w14:textId="77777777" w:rsidR="00B22DEE" w:rsidRPr="00ED28AA" w:rsidRDefault="00B22DEE">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tcPr>
          <w:p w14:paraId="59F8A23A" w14:textId="77777777" w:rsidR="00B22DEE" w:rsidRPr="00ED28AA" w:rsidRDefault="00B22DEE">
            <w:pPr>
              <w:rPr>
                <w:color w:val="0070C0"/>
                <w:sz w:val="22"/>
              </w:rPr>
            </w:pPr>
            <w:r w:rsidRPr="00ED28AA">
              <w:rPr>
                <w:color w:val="0070C0"/>
                <w:sz w:val="22"/>
              </w:rPr>
              <w:t>Increase in appropriate decentralised, low carbon and renewable energy development.</w:t>
            </w:r>
          </w:p>
          <w:p w14:paraId="32746A28" w14:textId="77777777" w:rsidR="00B22DEE" w:rsidRPr="00ED28AA" w:rsidRDefault="00B22DEE">
            <w:pPr>
              <w:rPr>
                <w:color w:val="0070C0"/>
                <w:sz w:val="22"/>
              </w:rPr>
            </w:pPr>
          </w:p>
          <w:p w14:paraId="37194744" w14:textId="77777777" w:rsidR="00B22DEE" w:rsidRPr="00ED28AA" w:rsidRDefault="00B22DEE">
            <w:pPr>
              <w:rPr>
                <w:color w:val="0070C0"/>
                <w:sz w:val="22"/>
              </w:rPr>
            </w:pPr>
          </w:p>
          <w:p w14:paraId="5FCFC129" w14:textId="77777777" w:rsidR="00B22DEE" w:rsidRPr="00ED28AA" w:rsidRDefault="00B22DEE">
            <w:pPr>
              <w:rPr>
                <w:color w:val="0070C0"/>
                <w:sz w:val="22"/>
              </w:rPr>
            </w:pPr>
            <w:r w:rsidRPr="00ED28AA">
              <w:rPr>
                <w:color w:val="0070C0"/>
                <w:sz w:val="22"/>
              </w:rPr>
              <w:t xml:space="preserve">Be on track to bring greenhouse gas emissions in the </w:t>
            </w:r>
            <w:proofErr w:type="gramStart"/>
            <w:r w:rsidRPr="00ED28AA">
              <w:rPr>
                <w:color w:val="0070C0"/>
                <w:sz w:val="22"/>
              </w:rPr>
              <w:t>District</w:t>
            </w:r>
            <w:proofErr w:type="gramEnd"/>
            <w:r w:rsidRPr="00ED28AA">
              <w:rPr>
                <w:color w:val="0070C0"/>
                <w:sz w:val="22"/>
              </w:rPr>
              <w:t xml:space="preserve"> to zero by 2050.</w:t>
            </w:r>
          </w:p>
          <w:p w14:paraId="40322A58" w14:textId="77777777" w:rsidR="00B22DEE" w:rsidRPr="00ED28AA" w:rsidRDefault="00B22DEE">
            <w:pPr>
              <w:rPr>
                <w:color w:val="0070C0"/>
                <w:sz w:val="22"/>
              </w:rPr>
            </w:pPr>
          </w:p>
          <w:p w14:paraId="5F8F53C0" w14:textId="77777777" w:rsidR="00B22DEE" w:rsidRPr="00ED28AA" w:rsidRDefault="00B22DEE">
            <w:pPr>
              <w:rPr>
                <w:color w:val="0070C0"/>
                <w:sz w:val="22"/>
              </w:rPr>
            </w:pPr>
          </w:p>
          <w:p w14:paraId="188CC82A" w14:textId="77777777" w:rsidR="00B22DEE" w:rsidRPr="00ED28AA" w:rsidRDefault="00B22DEE">
            <w:pPr>
              <w:rPr>
                <w:color w:val="0070C0"/>
                <w:sz w:val="22"/>
              </w:rPr>
            </w:pPr>
          </w:p>
          <w:p w14:paraId="6BE7BDCF" w14:textId="77777777" w:rsidR="00B22DEE" w:rsidRPr="00ED28AA" w:rsidRDefault="00B22DEE">
            <w:pPr>
              <w:rPr>
                <w:color w:val="0070C0"/>
                <w:sz w:val="22"/>
              </w:rPr>
            </w:pPr>
            <w:r w:rsidRPr="00ED28AA">
              <w:rPr>
                <w:color w:val="0070C0"/>
                <w:sz w:val="22"/>
              </w:rPr>
              <w:t xml:space="preserve">Increase in number of electrical vehicle charge points installed in the </w:t>
            </w:r>
            <w:proofErr w:type="gramStart"/>
            <w:r w:rsidRPr="00ED28AA">
              <w:rPr>
                <w:color w:val="0070C0"/>
                <w:sz w:val="22"/>
              </w:rPr>
              <w:t>District</w:t>
            </w:r>
            <w:proofErr w:type="gramEnd"/>
            <w:r w:rsidRPr="00ED28AA">
              <w:rPr>
                <w:color w:val="0070C0"/>
                <w:sz w:val="22"/>
              </w:rPr>
              <w:t>.</w:t>
            </w:r>
          </w:p>
        </w:tc>
        <w:tc>
          <w:tcPr>
            <w:tcW w:w="4678" w:type="dxa"/>
            <w:gridSpan w:val="2"/>
            <w:tcBorders>
              <w:top w:val="single" w:sz="4" w:space="0" w:color="auto"/>
              <w:left w:val="single" w:sz="4" w:space="0" w:color="auto"/>
              <w:bottom w:val="single" w:sz="4" w:space="0" w:color="auto"/>
              <w:right w:val="single" w:sz="4" w:space="0" w:color="auto"/>
            </w:tcBorders>
          </w:tcPr>
          <w:p w14:paraId="3469A423" w14:textId="77777777" w:rsidR="00B22DEE" w:rsidRPr="00ED28AA" w:rsidRDefault="00B22DEE">
            <w:pPr>
              <w:rPr>
                <w:color w:val="0070C0"/>
                <w:sz w:val="22"/>
              </w:rPr>
            </w:pPr>
            <w:r w:rsidRPr="00ED28AA">
              <w:rPr>
                <w:color w:val="0070C0"/>
                <w:sz w:val="22"/>
              </w:rPr>
              <w:t>Review implementation of policy and existing Planning Guidance - Climate Change document.</w:t>
            </w:r>
          </w:p>
          <w:p w14:paraId="53CAA8F5" w14:textId="77777777" w:rsidR="00B22DEE" w:rsidRPr="00ED28AA" w:rsidRDefault="00B22DEE">
            <w:pPr>
              <w:rPr>
                <w:color w:val="0070C0"/>
                <w:sz w:val="22"/>
              </w:rPr>
            </w:pPr>
          </w:p>
          <w:p w14:paraId="20C09B78" w14:textId="77777777" w:rsidR="00B22DEE" w:rsidRPr="00ED28AA" w:rsidRDefault="00B22DEE">
            <w:pPr>
              <w:rPr>
                <w:color w:val="0070C0"/>
                <w:sz w:val="22"/>
              </w:rPr>
            </w:pPr>
            <w:r w:rsidRPr="00ED28AA">
              <w:rPr>
                <w:color w:val="0070C0"/>
                <w:sz w:val="22"/>
              </w:rPr>
              <w:t>Proactively manage applications to ensure measures to address climate change are included and approved wherever possible.</w:t>
            </w:r>
          </w:p>
        </w:tc>
      </w:tr>
      <w:tr w:rsidR="00ED28AA" w:rsidRPr="00ED28AA" w14:paraId="738CFC70"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12AC80A5" w14:textId="77777777" w:rsidR="00B22DEE" w:rsidRPr="00ED28AA" w:rsidRDefault="00B22DEE">
            <w:pPr>
              <w:rPr>
                <w:color w:val="0070C0"/>
                <w:sz w:val="22"/>
              </w:rPr>
            </w:pPr>
            <w:r w:rsidRPr="00ED28AA">
              <w:rPr>
                <w:color w:val="0070C0"/>
                <w:sz w:val="22"/>
              </w:rPr>
              <w:t>CC2: Water Resource Management</w:t>
            </w:r>
          </w:p>
        </w:tc>
        <w:tc>
          <w:tcPr>
            <w:tcW w:w="3544" w:type="dxa"/>
            <w:gridSpan w:val="2"/>
            <w:tcBorders>
              <w:top w:val="single" w:sz="4" w:space="0" w:color="auto"/>
              <w:left w:val="single" w:sz="4" w:space="0" w:color="auto"/>
              <w:bottom w:val="single" w:sz="4" w:space="0" w:color="auto"/>
              <w:right w:val="single" w:sz="4" w:space="0" w:color="auto"/>
            </w:tcBorders>
          </w:tcPr>
          <w:p w14:paraId="7ECFEEEA" w14:textId="77777777" w:rsidR="00B22DEE" w:rsidRPr="00ED28AA" w:rsidRDefault="00B22DEE">
            <w:pPr>
              <w:rPr>
                <w:color w:val="0070C0"/>
                <w:sz w:val="22"/>
              </w:rPr>
            </w:pPr>
            <w:r w:rsidRPr="00ED28AA">
              <w:rPr>
                <w:color w:val="0070C0"/>
                <w:sz w:val="22"/>
              </w:rPr>
              <w:t>Status of waterbodies as reported in the Humber River Basin Management Plans and Catchment Plans</w:t>
            </w:r>
          </w:p>
          <w:p w14:paraId="0A0D70F6" w14:textId="77777777" w:rsidR="00B22DEE" w:rsidRPr="00ED28AA" w:rsidRDefault="00B22DEE">
            <w:pPr>
              <w:rPr>
                <w:color w:val="0070C0"/>
                <w:sz w:val="22"/>
              </w:rPr>
            </w:pPr>
          </w:p>
          <w:p w14:paraId="40B33AD9" w14:textId="77777777" w:rsidR="00B22DEE" w:rsidRPr="00ED28AA" w:rsidRDefault="00B22DEE">
            <w:pPr>
              <w:rPr>
                <w:color w:val="0070C0"/>
                <w:sz w:val="22"/>
              </w:rPr>
            </w:pPr>
            <w:r w:rsidRPr="00ED28AA">
              <w:rPr>
                <w:color w:val="0070C0"/>
                <w:sz w:val="22"/>
              </w:rPr>
              <w:t>Number of non-residential developments over 1000 sqm or more achieving BREEAM ‘excellent’ standard</w:t>
            </w:r>
          </w:p>
        </w:tc>
        <w:tc>
          <w:tcPr>
            <w:tcW w:w="4394" w:type="dxa"/>
            <w:gridSpan w:val="2"/>
            <w:tcBorders>
              <w:top w:val="single" w:sz="4" w:space="0" w:color="auto"/>
              <w:left w:val="single" w:sz="4" w:space="0" w:color="auto"/>
              <w:bottom w:val="single" w:sz="4" w:space="0" w:color="auto"/>
              <w:right w:val="single" w:sz="4" w:space="0" w:color="auto"/>
            </w:tcBorders>
          </w:tcPr>
          <w:p w14:paraId="36E57A7D" w14:textId="77777777" w:rsidR="00B22DEE" w:rsidRPr="00ED28AA" w:rsidRDefault="00B22DEE">
            <w:pPr>
              <w:rPr>
                <w:color w:val="0070C0"/>
                <w:sz w:val="22"/>
              </w:rPr>
            </w:pPr>
            <w:r w:rsidRPr="00ED28AA">
              <w:rPr>
                <w:color w:val="0070C0"/>
                <w:sz w:val="22"/>
              </w:rPr>
              <w:t>In line with objectives of Humber River Basin Management Plans and the Water Framework Directive, to protect and improve water quality.</w:t>
            </w:r>
          </w:p>
          <w:p w14:paraId="1C98D738" w14:textId="77777777" w:rsidR="00B22DEE" w:rsidRPr="00ED28AA" w:rsidRDefault="00B22DEE">
            <w:pPr>
              <w:rPr>
                <w:color w:val="0070C0"/>
                <w:sz w:val="22"/>
              </w:rPr>
            </w:pPr>
          </w:p>
          <w:p w14:paraId="2E852F99" w14:textId="77777777" w:rsidR="00B22DEE" w:rsidRPr="00ED28AA" w:rsidRDefault="00B22DEE">
            <w:pPr>
              <w:rPr>
                <w:color w:val="0070C0"/>
                <w:sz w:val="22"/>
              </w:rPr>
            </w:pPr>
            <w:r w:rsidRPr="00ED28AA">
              <w:rPr>
                <w:color w:val="0070C0"/>
                <w:sz w:val="22"/>
              </w:rPr>
              <w:t>Ensure water efficiency measures are installed on all new developments.</w:t>
            </w:r>
          </w:p>
        </w:tc>
        <w:tc>
          <w:tcPr>
            <w:tcW w:w="4678" w:type="dxa"/>
            <w:gridSpan w:val="2"/>
            <w:tcBorders>
              <w:top w:val="single" w:sz="4" w:space="0" w:color="auto"/>
              <w:left w:val="single" w:sz="4" w:space="0" w:color="auto"/>
              <w:bottom w:val="single" w:sz="4" w:space="0" w:color="auto"/>
              <w:right w:val="single" w:sz="4" w:space="0" w:color="auto"/>
            </w:tcBorders>
          </w:tcPr>
          <w:p w14:paraId="467FD986" w14:textId="77777777" w:rsidR="00B22DEE" w:rsidRPr="00ED28AA" w:rsidRDefault="00B22DEE">
            <w:pPr>
              <w:rPr>
                <w:color w:val="0070C0"/>
                <w:sz w:val="22"/>
              </w:rPr>
            </w:pPr>
            <w:r w:rsidRPr="00ED28AA">
              <w:rPr>
                <w:color w:val="0070C0"/>
                <w:sz w:val="22"/>
              </w:rPr>
              <w:t xml:space="preserve">Work with the Environment Agency (EA), Severn Trent Water and other key stakeholders to explore measures to improve water resource management in the </w:t>
            </w:r>
            <w:proofErr w:type="gramStart"/>
            <w:r w:rsidRPr="00ED28AA">
              <w:rPr>
                <w:color w:val="0070C0"/>
                <w:sz w:val="22"/>
              </w:rPr>
              <w:t>District</w:t>
            </w:r>
            <w:proofErr w:type="gramEnd"/>
            <w:r w:rsidRPr="00ED28AA">
              <w:rPr>
                <w:color w:val="0070C0"/>
                <w:sz w:val="22"/>
              </w:rPr>
              <w:t>.</w:t>
            </w:r>
          </w:p>
          <w:p w14:paraId="31C8B476" w14:textId="77777777" w:rsidR="00B22DEE" w:rsidRPr="00ED28AA" w:rsidRDefault="00B22DEE">
            <w:pPr>
              <w:rPr>
                <w:color w:val="0070C0"/>
                <w:sz w:val="22"/>
              </w:rPr>
            </w:pPr>
          </w:p>
          <w:p w14:paraId="7BBFD0FB" w14:textId="77777777" w:rsidR="00B22DEE" w:rsidRPr="00ED28AA" w:rsidRDefault="00B22DEE">
            <w:pPr>
              <w:rPr>
                <w:color w:val="0070C0"/>
                <w:sz w:val="22"/>
              </w:rPr>
            </w:pPr>
            <w:r w:rsidRPr="00ED28AA">
              <w:rPr>
                <w:color w:val="0070C0"/>
                <w:sz w:val="22"/>
              </w:rPr>
              <w:t>Review existing policy and consider production of separate guidance if required.</w:t>
            </w:r>
          </w:p>
          <w:p w14:paraId="08C11D48" w14:textId="77777777" w:rsidR="00B22DEE" w:rsidRPr="00ED28AA" w:rsidRDefault="00B22DEE">
            <w:pPr>
              <w:rPr>
                <w:color w:val="0070C0"/>
                <w:sz w:val="22"/>
              </w:rPr>
            </w:pPr>
          </w:p>
        </w:tc>
      </w:tr>
      <w:tr w:rsidR="00ED28AA" w:rsidRPr="00ED28AA" w14:paraId="62FEBF6F"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02BD581E" w14:textId="77777777" w:rsidR="00B22DEE" w:rsidRPr="00ED28AA" w:rsidRDefault="00B22DEE">
            <w:pPr>
              <w:rPr>
                <w:color w:val="0070C0"/>
                <w:sz w:val="22"/>
              </w:rPr>
            </w:pPr>
            <w:r w:rsidRPr="00ED28AA">
              <w:rPr>
                <w:color w:val="0070C0"/>
                <w:sz w:val="22"/>
              </w:rPr>
              <w:lastRenderedPageBreak/>
              <w:t>CC3: Flood Risk and Sustainable Drainage Systems (</w:t>
            </w:r>
            <w:proofErr w:type="spellStart"/>
            <w:r w:rsidRPr="00ED28AA">
              <w:rPr>
                <w:color w:val="0070C0"/>
                <w:sz w:val="22"/>
              </w:rPr>
              <w:t>SuDs</w:t>
            </w:r>
            <w:proofErr w:type="spellEnd"/>
            <w:r w:rsidRPr="00ED28AA">
              <w:rPr>
                <w:color w:val="0070C0"/>
                <w:sz w:val="22"/>
              </w:rPr>
              <w:t>)</w:t>
            </w:r>
          </w:p>
        </w:tc>
        <w:tc>
          <w:tcPr>
            <w:tcW w:w="3544" w:type="dxa"/>
            <w:gridSpan w:val="2"/>
            <w:tcBorders>
              <w:top w:val="single" w:sz="4" w:space="0" w:color="auto"/>
              <w:left w:val="single" w:sz="4" w:space="0" w:color="auto"/>
              <w:bottom w:val="single" w:sz="4" w:space="0" w:color="auto"/>
              <w:right w:val="single" w:sz="4" w:space="0" w:color="auto"/>
            </w:tcBorders>
          </w:tcPr>
          <w:p w14:paraId="34EA1B17" w14:textId="77777777" w:rsidR="00B22DEE" w:rsidRPr="00ED28AA" w:rsidRDefault="00B22DEE">
            <w:pPr>
              <w:rPr>
                <w:color w:val="0070C0"/>
                <w:sz w:val="22"/>
              </w:rPr>
            </w:pPr>
            <w:r w:rsidRPr="00ED28AA">
              <w:rPr>
                <w:color w:val="0070C0"/>
                <w:sz w:val="22"/>
              </w:rPr>
              <w:t>Number of planning applications granted contrary to EA/Lead Local Flood Authority advice</w:t>
            </w:r>
          </w:p>
          <w:p w14:paraId="141E10EF" w14:textId="77777777" w:rsidR="00B22DEE" w:rsidRPr="00ED28AA" w:rsidRDefault="00B22DEE">
            <w:pPr>
              <w:rPr>
                <w:color w:val="0070C0"/>
                <w:sz w:val="22"/>
              </w:rPr>
            </w:pPr>
          </w:p>
          <w:p w14:paraId="607C678E" w14:textId="77777777" w:rsidR="00B22DEE" w:rsidRPr="00ED28AA" w:rsidRDefault="00B22DEE">
            <w:pPr>
              <w:rPr>
                <w:color w:val="0070C0"/>
                <w:sz w:val="22"/>
              </w:rPr>
            </w:pPr>
            <w:r w:rsidRPr="00ED28AA">
              <w:rPr>
                <w:color w:val="0070C0"/>
                <w:sz w:val="22"/>
              </w:rPr>
              <w:t xml:space="preserve">Number of major applications approved with conditions and/or legal agreements related to </w:t>
            </w:r>
            <w:proofErr w:type="spellStart"/>
            <w:r w:rsidRPr="00ED28AA">
              <w:rPr>
                <w:color w:val="0070C0"/>
                <w:sz w:val="22"/>
              </w:rPr>
              <w:t>SuDs</w:t>
            </w:r>
            <w:proofErr w:type="spellEnd"/>
          </w:p>
        </w:tc>
        <w:tc>
          <w:tcPr>
            <w:tcW w:w="4394" w:type="dxa"/>
            <w:gridSpan w:val="2"/>
            <w:tcBorders>
              <w:top w:val="single" w:sz="4" w:space="0" w:color="auto"/>
              <w:left w:val="single" w:sz="4" w:space="0" w:color="auto"/>
              <w:bottom w:val="single" w:sz="4" w:space="0" w:color="auto"/>
              <w:right w:val="single" w:sz="4" w:space="0" w:color="auto"/>
            </w:tcBorders>
          </w:tcPr>
          <w:p w14:paraId="1F9D9E69" w14:textId="77777777" w:rsidR="00B22DEE" w:rsidRPr="00ED28AA" w:rsidRDefault="00B22DEE">
            <w:pPr>
              <w:rPr>
                <w:color w:val="0070C0"/>
                <w:sz w:val="22"/>
              </w:rPr>
            </w:pPr>
            <w:r w:rsidRPr="00ED28AA">
              <w:rPr>
                <w:color w:val="0070C0"/>
                <w:sz w:val="22"/>
              </w:rPr>
              <w:t>No applications to be granted contrary to EA/Lead Local Flood Authority advice.</w:t>
            </w:r>
          </w:p>
          <w:p w14:paraId="7CD2E43A" w14:textId="77777777" w:rsidR="00B22DEE" w:rsidRPr="00ED28AA" w:rsidRDefault="00B22DEE">
            <w:pPr>
              <w:rPr>
                <w:color w:val="0070C0"/>
                <w:sz w:val="22"/>
              </w:rPr>
            </w:pPr>
          </w:p>
          <w:p w14:paraId="7B585277" w14:textId="08666DEE" w:rsidR="00B22DEE" w:rsidRPr="00ED28AA" w:rsidRDefault="00B22DEE">
            <w:pPr>
              <w:rPr>
                <w:color w:val="0070C0"/>
                <w:sz w:val="22"/>
              </w:rPr>
            </w:pPr>
            <w:r w:rsidRPr="00ED28AA">
              <w:rPr>
                <w:color w:val="0070C0"/>
                <w:sz w:val="22"/>
              </w:rPr>
              <w:t>Manage flood risk and ensure no new development is put at an adverse risk of flooding.</w:t>
            </w:r>
          </w:p>
          <w:p w14:paraId="0660971F" w14:textId="77777777" w:rsidR="00B22DEE" w:rsidRPr="00ED28AA" w:rsidRDefault="00B22DEE">
            <w:pPr>
              <w:rPr>
                <w:color w:val="0070C0"/>
                <w:sz w:val="22"/>
              </w:rPr>
            </w:pPr>
          </w:p>
        </w:tc>
        <w:tc>
          <w:tcPr>
            <w:tcW w:w="4678" w:type="dxa"/>
            <w:gridSpan w:val="2"/>
            <w:tcBorders>
              <w:top w:val="single" w:sz="4" w:space="0" w:color="auto"/>
              <w:left w:val="single" w:sz="4" w:space="0" w:color="auto"/>
              <w:bottom w:val="single" w:sz="4" w:space="0" w:color="auto"/>
              <w:right w:val="single" w:sz="4" w:space="0" w:color="auto"/>
            </w:tcBorders>
          </w:tcPr>
          <w:p w14:paraId="4292255A" w14:textId="77777777" w:rsidR="00B22DEE" w:rsidRPr="00ED28AA" w:rsidRDefault="00B22DEE">
            <w:pPr>
              <w:rPr>
                <w:color w:val="0070C0"/>
                <w:sz w:val="22"/>
              </w:rPr>
            </w:pPr>
            <w:r w:rsidRPr="00ED28AA">
              <w:rPr>
                <w:color w:val="0070C0"/>
                <w:sz w:val="22"/>
              </w:rPr>
              <w:t>Work with EA and Local Lead Flood Authority to ensure effective implementation of policy</w:t>
            </w:r>
          </w:p>
          <w:p w14:paraId="7BAFC429" w14:textId="77777777" w:rsidR="00B22DEE" w:rsidRPr="00ED28AA" w:rsidRDefault="00B22DEE">
            <w:pPr>
              <w:rPr>
                <w:color w:val="0070C0"/>
                <w:sz w:val="22"/>
              </w:rPr>
            </w:pPr>
          </w:p>
          <w:p w14:paraId="21054A43" w14:textId="77777777" w:rsidR="00B22DEE" w:rsidRPr="00ED28AA" w:rsidRDefault="00B22DEE">
            <w:pPr>
              <w:rPr>
                <w:color w:val="0070C0"/>
                <w:sz w:val="22"/>
              </w:rPr>
            </w:pPr>
            <w:r w:rsidRPr="00ED28AA">
              <w:rPr>
                <w:color w:val="0070C0"/>
                <w:sz w:val="22"/>
              </w:rPr>
              <w:t>Review existing policy and consider production of separate guidance if required.</w:t>
            </w:r>
          </w:p>
        </w:tc>
      </w:tr>
      <w:tr w:rsidR="00ED28AA" w:rsidRPr="00ED28AA" w14:paraId="339073D5" w14:textId="77777777" w:rsidTr="003767A6">
        <w:trPr>
          <w:trHeight w:val="630"/>
        </w:trPr>
        <w:tc>
          <w:tcPr>
            <w:tcW w:w="14454" w:type="dxa"/>
            <w:gridSpan w:val="7"/>
            <w:tcBorders>
              <w:top w:val="single" w:sz="4" w:space="0" w:color="auto"/>
              <w:left w:val="single" w:sz="4" w:space="0" w:color="auto"/>
              <w:bottom w:val="single" w:sz="4" w:space="0" w:color="auto"/>
              <w:right w:val="single" w:sz="4" w:space="0" w:color="auto"/>
            </w:tcBorders>
            <w:shd w:val="clear" w:color="auto" w:fill="E7E6E6" w:themeFill="background2"/>
          </w:tcPr>
          <w:p w14:paraId="0AA33E0F" w14:textId="4629F7CA" w:rsidR="00A1220B" w:rsidRPr="00E56F9C" w:rsidRDefault="00A1220B">
            <w:pPr>
              <w:rPr>
                <w:b/>
                <w:bCs/>
                <w:color w:val="0067B6"/>
                <w:sz w:val="22"/>
              </w:rPr>
            </w:pPr>
            <w:r w:rsidRPr="00E56F9C">
              <w:rPr>
                <w:b/>
                <w:bCs/>
                <w:color w:val="0067B6"/>
              </w:rPr>
              <w:t>Protecting and enhancing Ashfield’s character through its natural environment and heritage</w:t>
            </w:r>
          </w:p>
        </w:tc>
      </w:tr>
      <w:tr w:rsidR="00ED28AA" w:rsidRPr="00ED28AA" w14:paraId="305434D7" w14:textId="77777777" w:rsidTr="003767A6">
        <w:trPr>
          <w:trHeight w:val="630"/>
        </w:trPr>
        <w:tc>
          <w:tcPr>
            <w:tcW w:w="18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5BEE2D5" w14:textId="77777777" w:rsidR="00B22DEE" w:rsidRPr="00E56F9C" w:rsidRDefault="00B22DEE">
            <w:pPr>
              <w:rPr>
                <w:b/>
                <w:bCs/>
                <w:color w:val="0067B6"/>
                <w:sz w:val="22"/>
              </w:rPr>
            </w:pPr>
            <w:r w:rsidRPr="00E56F9C">
              <w:rPr>
                <w:b/>
                <w:bCs/>
                <w:color w:val="0067B6"/>
                <w:sz w:val="22"/>
              </w:rPr>
              <w:t>Policy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710D840" w14:textId="77777777" w:rsidR="00B22DEE" w:rsidRPr="00E56F9C" w:rsidRDefault="00B22DEE">
            <w:pPr>
              <w:rPr>
                <w:b/>
                <w:bCs/>
                <w:color w:val="0067B6"/>
                <w:sz w:val="22"/>
              </w:rPr>
            </w:pPr>
            <w:r w:rsidRPr="00E56F9C">
              <w:rPr>
                <w:b/>
                <w:bCs/>
                <w:color w:val="0067B6"/>
                <w:sz w:val="22"/>
              </w:rPr>
              <w:t>Indicator</w:t>
            </w:r>
          </w:p>
        </w:tc>
        <w:tc>
          <w:tcPr>
            <w:tcW w:w="439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4C44E50B" w14:textId="77777777" w:rsidR="00B22DEE" w:rsidRPr="00E56F9C" w:rsidRDefault="00B22DEE">
            <w:pPr>
              <w:rPr>
                <w:b/>
                <w:bCs/>
                <w:color w:val="0067B6"/>
                <w:sz w:val="22"/>
              </w:rPr>
            </w:pPr>
            <w:r w:rsidRPr="00E56F9C">
              <w:rPr>
                <w:b/>
                <w:bCs/>
                <w:color w:val="0067B6"/>
                <w:sz w:val="22"/>
              </w:rPr>
              <w:t>Target</w:t>
            </w:r>
          </w:p>
        </w:tc>
        <w:tc>
          <w:tcPr>
            <w:tcW w:w="467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A13B004" w14:textId="77777777" w:rsidR="00B22DEE" w:rsidRPr="00E56F9C" w:rsidRDefault="00B22DEE">
            <w:pPr>
              <w:rPr>
                <w:b/>
                <w:bCs/>
                <w:color w:val="0067B6"/>
                <w:sz w:val="22"/>
              </w:rPr>
            </w:pPr>
            <w:r w:rsidRPr="00E56F9C">
              <w:rPr>
                <w:b/>
                <w:bCs/>
                <w:color w:val="0067B6"/>
                <w:sz w:val="22"/>
              </w:rPr>
              <w:t>Actions if target not met</w:t>
            </w:r>
          </w:p>
        </w:tc>
      </w:tr>
      <w:tr w:rsidR="00ED28AA" w:rsidRPr="00ED28AA" w14:paraId="1FFAF3F1"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297BD61A" w14:textId="77777777" w:rsidR="00B22DEE" w:rsidRPr="00ED28AA" w:rsidRDefault="00B22DEE">
            <w:pPr>
              <w:rPr>
                <w:color w:val="0070C0"/>
                <w:sz w:val="22"/>
              </w:rPr>
            </w:pPr>
            <w:r w:rsidRPr="00ED28AA">
              <w:rPr>
                <w:color w:val="0070C0"/>
                <w:sz w:val="22"/>
              </w:rPr>
              <w:t>EV1: Green Belt</w:t>
            </w:r>
          </w:p>
        </w:tc>
        <w:tc>
          <w:tcPr>
            <w:tcW w:w="3544" w:type="dxa"/>
            <w:gridSpan w:val="2"/>
            <w:tcBorders>
              <w:top w:val="single" w:sz="4" w:space="0" w:color="auto"/>
              <w:left w:val="single" w:sz="4" w:space="0" w:color="auto"/>
              <w:bottom w:val="single" w:sz="4" w:space="0" w:color="auto"/>
              <w:right w:val="single" w:sz="4" w:space="0" w:color="auto"/>
            </w:tcBorders>
          </w:tcPr>
          <w:p w14:paraId="0ED16D8D" w14:textId="77777777" w:rsidR="00B22DEE" w:rsidRPr="00ED28AA" w:rsidRDefault="00B22DEE">
            <w:pPr>
              <w:rPr>
                <w:color w:val="0070C0"/>
                <w:sz w:val="22"/>
              </w:rPr>
            </w:pPr>
            <w:r w:rsidRPr="00ED28AA">
              <w:rPr>
                <w:color w:val="0070C0"/>
                <w:sz w:val="22"/>
              </w:rPr>
              <w:t>Number of planning applications approved within the Green Belt contrary to policy exceptions.</w:t>
            </w:r>
          </w:p>
          <w:p w14:paraId="1364865A" w14:textId="77777777" w:rsidR="00B22DEE" w:rsidRPr="00ED28AA" w:rsidRDefault="00B22DEE">
            <w:pPr>
              <w:rPr>
                <w:color w:val="0070C0"/>
                <w:sz w:val="22"/>
              </w:rPr>
            </w:pPr>
          </w:p>
          <w:p w14:paraId="5B125790" w14:textId="77777777" w:rsidR="00B22DEE" w:rsidRDefault="00B22DEE" w:rsidP="00E9429B">
            <w:pPr>
              <w:rPr>
                <w:color w:val="0070C0"/>
                <w:sz w:val="22"/>
              </w:rPr>
            </w:pPr>
            <w:r w:rsidRPr="00ED28AA">
              <w:rPr>
                <w:color w:val="0070C0"/>
                <w:sz w:val="22"/>
              </w:rPr>
              <w:t>Developments allowed on appeal which were refused contrary to policy.</w:t>
            </w:r>
          </w:p>
          <w:p w14:paraId="44B6EB72" w14:textId="798B3321" w:rsidR="00E9429B" w:rsidRPr="00ED28AA" w:rsidRDefault="00E9429B" w:rsidP="00E9429B">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hideMark/>
          </w:tcPr>
          <w:p w14:paraId="38734ACF" w14:textId="77777777" w:rsidR="00B22DEE" w:rsidRPr="00ED28AA" w:rsidRDefault="00B22DEE">
            <w:pPr>
              <w:rPr>
                <w:color w:val="0070C0"/>
                <w:sz w:val="22"/>
              </w:rPr>
            </w:pPr>
            <w:r w:rsidRPr="00ED28AA">
              <w:rPr>
                <w:color w:val="0070C0"/>
                <w:sz w:val="22"/>
              </w:rPr>
              <w:t>No inappropriate approvals in the Green Belt.</w:t>
            </w:r>
          </w:p>
        </w:tc>
        <w:tc>
          <w:tcPr>
            <w:tcW w:w="4678" w:type="dxa"/>
            <w:gridSpan w:val="2"/>
            <w:tcBorders>
              <w:top w:val="single" w:sz="4" w:space="0" w:color="auto"/>
              <w:left w:val="single" w:sz="4" w:space="0" w:color="auto"/>
              <w:bottom w:val="single" w:sz="4" w:space="0" w:color="auto"/>
              <w:right w:val="single" w:sz="4" w:space="0" w:color="auto"/>
            </w:tcBorders>
            <w:hideMark/>
          </w:tcPr>
          <w:p w14:paraId="3A09AB3C" w14:textId="77777777" w:rsidR="00B22DEE" w:rsidRPr="00ED28AA" w:rsidRDefault="00B22DEE">
            <w:pPr>
              <w:rPr>
                <w:color w:val="0070C0"/>
                <w:sz w:val="22"/>
              </w:rPr>
            </w:pPr>
            <w:r w:rsidRPr="00ED28AA">
              <w:rPr>
                <w:color w:val="0070C0"/>
                <w:sz w:val="22"/>
              </w:rPr>
              <w:t>Review implementation of policy on inappropriate approvals.</w:t>
            </w:r>
          </w:p>
        </w:tc>
      </w:tr>
      <w:tr w:rsidR="00ED28AA" w:rsidRPr="00ED28AA" w14:paraId="21FA5B33"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796D218A" w14:textId="77777777" w:rsidR="00B22DEE" w:rsidRPr="00ED28AA" w:rsidRDefault="00B22DEE">
            <w:pPr>
              <w:rPr>
                <w:color w:val="0070C0"/>
                <w:sz w:val="22"/>
              </w:rPr>
            </w:pPr>
            <w:r w:rsidRPr="00ED28AA">
              <w:rPr>
                <w:color w:val="0070C0"/>
                <w:sz w:val="22"/>
              </w:rPr>
              <w:t>EV2: Countryside</w:t>
            </w:r>
          </w:p>
        </w:tc>
        <w:tc>
          <w:tcPr>
            <w:tcW w:w="3544" w:type="dxa"/>
            <w:gridSpan w:val="2"/>
            <w:tcBorders>
              <w:top w:val="single" w:sz="4" w:space="0" w:color="auto"/>
              <w:left w:val="single" w:sz="4" w:space="0" w:color="auto"/>
              <w:bottom w:val="single" w:sz="4" w:space="0" w:color="auto"/>
              <w:right w:val="single" w:sz="4" w:space="0" w:color="auto"/>
            </w:tcBorders>
          </w:tcPr>
          <w:p w14:paraId="6AACA5CA" w14:textId="77777777" w:rsidR="00B22DEE" w:rsidRPr="00ED28AA" w:rsidRDefault="00B22DEE">
            <w:pPr>
              <w:rPr>
                <w:color w:val="0070C0"/>
                <w:sz w:val="22"/>
              </w:rPr>
            </w:pPr>
            <w:r w:rsidRPr="00ED28AA">
              <w:rPr>
                <w:color w:val="0070C0"/>
                <w:sz w:val="22"/>
              </w:rPr>
              <w:t>Number of planning applications approved within the Countryside contrary to policy exceptions.</w:t>
            </w:r>
          </w:p>
          <w:p w14:paraId="7C611D8E" w14:textId="77777777" w:rsidR="00B22DEE" w:rsidRPr="00ED28AA" w:rsidRDefault="00B22DEE">
            <w:pPr>
              <w:rPr>
                <w:color w:val="0070C0"/>
                <w:sz w:val="22"/>
              </w:rPr>
            </w:pPr>
          </w:p>
          <w:p w14:paraId="34B7D55C" w14:textId="77777777" w:rsidR="00B22DEE" w:rsidRPr="00ED28AA" w:rsidRDefault="00B22DEE">
            <w:pPr>
              <w:rPr>
                <w:color w:val="0070C0"/>
                <w:sz w:val="22"/>
              </w:rPr>
            </w:pPr>
            <w:r w:rsidRPr="00ED28AA">
              <w:rPr>
                <w:color w:val="0070C0"/>
                <w:sz w:val="22"/>
              </w:rPr>
              <w:t>Developments allowed on appeal which were refused contrary to policy.</w:t>
            </w:r>
          </w:p>
          <w:p w14:paraId="0B80FF2B" w14:textId="77777777" w:rsidR="00B22DEE" w:rsidRPr="00ED28AA" w:rsidRDefault="00B22DEE">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hideMark/>
          </w:tcPr>
          <w:p w14:paraId="6EC9D8CE" w14:textId="77777777" w:rsidR="00B22DEE" w:rsidRPr="00ED28AA" w:rsidRDefault="00B22DEE">
            <w:pPr>
              <w:rPr>
                <w:color w:val="0070C0"/>
                <w:sz w:val="22"/>
              </w:rPr>
            </w:pPr>
            <w:r w:rsidRPr="00ED28AA">
              <w:rPr>
                <w:color w:val="0070C0"/>
                <w:sz w:val="22"/>
              </w:rPr>
              <w:t>No inappropriate approvals in designated countryside.</w:t>
            </w:r>
          </w:p>
        </w:tc>
        <w:tc>
          <w:tcPr>
            <w:tcW w:w="4678" w:type="dxa"/>
            <w:gridSpan w:val="2"/>
            <w:tcBorders>
              <w:top w:val="single" w:sz="4" w:space="0" w:color="auto"/>
              <w:left w:val="single" w:sz="4" w:space="0" w:color="auto"/>
              <w:bottom w:val="single" w:sz="4" w:space="0" w:color="auto"/>
              <w:right w:val="single" w:sz="4" w:space="0" w:color="auto"/>
            </w:tcBorders>
            <w:hideMark/>
          </w:tcPr>
          <w:p w14:paraId="508F3BEA" w14:textId="77777777" w:rsidR="00B22DEE" w:rsidRPr="00ED28AA" w:rsidRDefault="00B22DEE">
            <w:pPr>
              <w:rPr>
                <w:color w:val="0070C0"/>
                <w:sz w:val="22"/>
              </w:rPr>
            </w:pPr>
            <w:r w:rsidRPr="00ED28AA">
              <w:rPr>
                <w:color w:val="0070C0"/>
                <w:sz w:val="22"/>
              </w:rPr>
              <w:t>Review implementation of policy on inappropriate approvals.</w:t>
            </w:r>
          </w:p>
        </w:tc>
      </w:tr>
      <w:tr w:rsidR="00ED28AA" w:rsidRPr="00ED28AA" w14:paraId="2778A138"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1C89692E" w14:textId="77777777" w:rsidR="00B22DEE" w:rsidRPr="00ED28AA" w:rsidRDefault="00B22DEE">
            <w:pPr>
              <w:rPr>
                <w:color w:val="0070C0"/>
                <w:sz w:val="22"/>
              </w:rPr>
            </w:pPr>
            <w:r w:rsidRPr="00ED28AA">
              <w:rPr>
                <w:color w:val="0070C0"/>
                <w:sz w:val="22"/>
              </w:rPr>
              <w:lastRenderedPageBreak/>
              <w:t>EV3: Re-use of Buildings in the Green Belt and Countryside</w:t>
            </w:r>
          </w:p>
        </w:tc>
        <w:tc>
          <w:tcPr>
            <w:tcW w:w="3544" w:type="dxa"/>
            <w:gridSpan w:val="2"/>
            <w:tcBorders>
              <w:top w:val="single" w:sz="4" w:space="0" w:color="auto"/>
              <w:left w:val="single" w:sz="4" w:space="0" w:color="auto"/>
              <w:bottom w:val="single" w:sz="4" w:space="0" w:color="auto"/>
              <w:right w:val="single" w:sz="4" w:space="0" w:color="auto"/>
            </w:tcBorders>
          </w:tcPr>
          <w:p w14:paraId="5E94BF48" w14:textId="77777777" w:rsidR="00B22DEE" w:rsidRPr="00ED28AA" w:rsidRDefault="00B22DEE">
            <w:pPr>
              <w:rPr>
                <w:color w:val="0070C0"/>
                <w:sz w:val="22"/>
              </w:rPr>
            </w:pPr>
            <w:r w:rsidRPr="00ED28AA">
              <w:rPr>
                <w:color w:val="0070C0"/>
                <w:sz w:val="22"/>
              </w:rPr>
              <w:t>Number of planning applications approved for re-use of buildings within the Green Belt / Countryside for residential development &amp; non-residential development</w:t>
            </w:r>
          </w:p>
          <w:p w14:paraId="0B7B287E" w14:textId="77777777" w:rsidR="00B22DEE" w:rsidRPr="00ED28AA" w:rsidRDefault="00B22DEE">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hideMark/>
          </w:tcPr>
          <w:p w14:paraId="0ECD1C81" w14:textId="77777777" w:rsidR="00B22DEE" w:rsidRPr="00ED28AA" w:rsidRDefault="00B22DEE">
            <w:pPr>
              <w:rPr>
                <w:color w:val="0070C0"/>
                <w:sz w:val="22"/>
              </w:rPr>
            </w:pPr>
            <w:r w:rsidRPr="00ED28AA">
              <w:rPr>
                <w:color w:val="0070C0"/>
                <w:sz w:val="22"/>
              </w:rPr>
              <w:t>No inappropriate approvals.</w:t>
            </w:r>
          </w:p>
        </w:tc>
        <w:tc>
          <w:tcPr>
            <w:tcW w:w="4678" w:type="dxa"/>
            <w:gridSpan w:val="2"/>
            <w:tcBorders>
              <w:top w:val="single" w:sz="4" w:space="0" w:color="auto"/>
              <w:left w:val="single" w:sz="4" w:space="0" w:color="auto"/>
              <w:bottom w:val="single" w:sz="4" w:space="0" w:color="auto"/>
              <w:right w:val="single" w:sz="4" w:space="0" w:color="auto"/>
            </w:tcBorders>
            <w:hideMark/>
          </w:tcPr>
          <w:p w14:paraId="6DCB3336" w14:textId="77777777" w:rsidR="00B22DEE" w:rsidRPr="00ED28AA" w:rsidRDefault="00B22DEE">
            <w:pPr>
              <w:rPr>
                <w:color w:val="0070C0"/>
                <w:sz w:val="22"/>
              </w:rPr>
            </w:pPr>
            <w:r w:rsidRPr="00ED28AA">
              <w:rPr>
                <w:color w:val="0070C0"/>
                <w:sz w:val="22"/>
              </w:rPr>
              <w:t>Review implementation of policy and consider production of separate guidance if required.</w:t>
            </w:r>
          </w:p>
        </w:tc>
      </w:tr>
      <w:tr w:rsidR="00ED28AA" w:rsidRPr="00ED28AA" w14:paraId="697C9AD7"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00D4B1A6" w14:textId="77777777" w:rsidR="00B22DEE" w:rsidRPr="00ED28AA" w:rsidRDefault="00B22DEE">
            <w:pPr>
              <w:rPr>
                <w:color w:val="0070C0"/>
                <w:sz w:val="22"/>
              </w:rPr>
            </w:pPr>
            <w:r w:rsidRPr="00ED28AA">
              <w:rPr>
                <w:color w:val="0070C0"/>
                <w:sz w:val="22"/>
              </w:rPr>
              <w:t>EV4: Green and Blue Infrastructure, Biodiversity and Geodiversity</w:t>
            </w:r>
          </w:p>
        </w:tc>
        <w:tc>
          <w:tcPr>
            <w:tcW w:w="3544" w:type="dxa"/>
            <w:gridSpan w:val="2"/>
            <w:tcBorders>
              <w:top w:val="single" w:sz="4" w:space="0" w:color="auto"/>
              <w:left w:val="single" w:sz="4" w:space="0" w:color="auto"/>
              <w:bottom w:val="single" w:sz="4" w:space="0" w:color="auto"/>
              <w:right w:val="single" w:sz="4" w:space="0" w:color="auto"/>
            </w:tcBorders>
          </w:tcPr>
          <w:p w14:paraId="7AAFD7DC" w14:textId="77777777" w:rsidR="00B22DEE" w:rsidRPr="00ED28AA" w:rsidRDefault="00B22DEE">
            <w:pPr>
              <w:rPr>
                <w:color w:val="0070C0"/>
                <w:sz w:val="22"/>
              </w:rPr>
            </w:pPr>
            <w:r w:rsidRPr="00ED28AA">
              <w:rPr>
                <w:color w:val="0070C0"/>
                <w:sz w:val="22"/>
              </w:rPr>
              <w:t>Monitoring of green and blue infrastructure, and biodiversity importance</w:t>
            </w:r>
          </w:p>
          <w:p w14:paraId="46F919B8" w14:textId="77777777" w:rsidR="00B22DEE" w:rsidRPr="00ED28AA" w:rsidRDefault="00B22DEE">
            <w:pPr>
              <w:rPr>
                <w:color w:val="0070C0"/>
                <w:sz w:val="22"/>
              </w:rPr>
            </w:pPr>
          </w:p>
          <w:p w14:paraId="5D5C8487" w14:textId="77777777" w:rsidR="00B22DEE" w:rsidRPr="00ED28AA" w:rsidRDefault="00B22DEE">
            <w:pPr>
              <w:rPr>
                <w:color w:val="0070C0"/>
                <w:sz w:val="22"/>
              </w:rPr>
            </w:pPr>
            <w:r w:rsidRPr="00ED28AA">
              <w:rPr>
                <w:color w:val="0070C0"/>
                <w:sz w:val="22"/>
              </w:rPr>
              <w:t>Loss /creation of green and blue infrastructure and areas of biodiversity importance</w:t>
            </w:r>
          </w:p>
          <w:p w14:paraId="41552355" w14:textId="77777777" w:rsidR="00B22DEE" w:rsidRPr="00ED28AA" w:rsidRDefault="00B22DEE">
            <w:pPr>
              <w:rPr>
                <w:color w:val="0070C0"/>
                <w:sz w:val="22"/>
              </w:rPr>
            </w:pPr>
          </w:p>
          <w:p w14:paraId="7A394A1E" w14:textId="77777777" w:rsidR="00B22DEE" w:rsidRPr="00ED28AA" w:rsidRDefault="00B22DEE">
            <w:pPr>
              <w:rPr>
                <w:color w:val="0070C0"/>
                <w:sz w:val="22"/>
              </w:rPr>
            </w:pPr>
            <w:r w:rsidRPr="00ED28AA">
              <w:rPr>
                <w:color w:val="0070C0"/>
                <w:sz w:val="22"/>
              </w:rPr>
              <w:t>Amount of biodiversity net gain (BNG) delivered by development both on and off site</w:t>
            </w:r>
          </w:p>
          <w:p w14:paraId="02DD63BA" w14:textId="77777777" w:rsidR="00B22DEE" w:rsidRPr="00ED28AA" w:rsidRDefault="00B22DEE">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tcPr>
          <w:p w14:paraId="02478FBF" w14:textId="77777777" w:rsidR="00B22DEE" w:rsidRPr="00ED28AA" w:rsidRDefault="00B22DEE">
            <w:pPr>
              <w:rPr>
                <w:color w:val="0070C0"/>
                <w:sz w:val="22"/>
              </w:rPr>
            </w:pPr>
            <w:r w:rsidRPr="00ED28AA">
              <w:rPr>
                <w:color w:val="0070C0"/>
                <w:sz w:val="22"/>
              </w:rPr>
              <w:t xml:space="preserve">No loss of green and blue infrastructure.  </w:t>
            </w:r>
          </w:p>
          <w:p w14:paraId="0E623635" w14:textId="77777777" w:rsidR="00B22DEE" w:rsidRPr="00ED28AA" w:rsidRDefault="00B22DEE">
            <w:pPr>
              <w:rPr>
                <w:color w:val="0070C0"/>
                <w:sz w:val="22"/>
              </w:rPr>
            </w:pPr>
          </w:p>
          <w:p w14:paraId="68C652FB" w14:textId="77777777" w:rsidR="00B22DEE" w:rsidRPr="00ED28AA" w:rsidRDefault="00B22DEE">
            <w:pPr>
              <w:rPr>
                <w:color w:val="0070C0"/>
                <w:sz w:val="22"/>
              </w:rPr>
            </w:pPr>
            <w:r w:rsidRPr="00ED28AA">
              <w:rPr>
                <w:color w:val="0070C0"/>
                <w:sz w:val="22"/>
              </w:rPr>
              <w:t>No net loss in areas of biodiversity importance</w:t>
            </w:r>
          </w:p>
          <w:p w14:paraId="1B6A678F" w14:textId="77777777" w:rsidR="00B22DEE" w:rsidRPr="00ED28AA" w:rsidRDefault="00B22DEE">
            <w:pPr>
              <w:rPr>
                <w:color w:val="0070C0"/>
                <w:sz w:val="22"/>
              </w:rPr>
            </w:pPr>
          </w:p>
          <w:p w14:paraId="5C138A53" w14:textId="77777777" w:rsidR="00B22DEE" w:rsidRPr="00ED28AA" w:rsidRDefault="00B22DEE">
            <w:pPr>
              <w:rPr>
                <w:color w:val="0070C0"/>
                <w:sz w:val="22"/>
              </w:rPr>
            </w:pPr>
            <w:r w:rsidRPr="00ED28AA">
              <w:rPr>
                <w:color w:val="0070C0"/>
                <w:sz w:val="22"/>
              </w:rPr>
              <w:t>10% minimum biodiversity net gain achieved on all development proposals except for limited circumstances as set out in policy.</w:t>
            </w:r>
          </w:p>
        </w:tc>
        <w:tc>
          <w:tcPr>
            <w:tcW w:w="4678" w:type="dxa"/>
            <w:gridSpan w:val="2"/>
            <w:tcBorders>
              <w:top w:val="single" w:sz="4" w:space="0" w:color="auto"/>
              <w:left w:val="single" w:sz="4" w:space="0" w:color="auto"/>
              <w:bottom w:val="single" w:sz="4" w:space="0" w:color="auto"/>
              <w:right w:val="single" w:sz="4" w:space="0" w:color="auto"/>
            </w:tcBorders>
          </w:tcPr>
          <w:p w14:paraId="74AE86E3" w14:textId="77777777" w:rsidR="00B22DEE" w:rsidRPr="00ED28AA" w:rsidRDefault="00B22DEE">
            <w:pPr>
              <w:rPr>
                <w:color w:val="0070C0"/>
                <w:sz w:val="22"/>
              </w:rPr>
            </w:pPr>
            <w:r w:rsidRPr="00ED28AA">
              <w:rPr>
                <w:color w:val="0070C0"/>
                <w:sz w:val="22"/>
              </w:rPr>
              <w:t>Review of the Local Plan</w:t>
            </w:r>
          </w:p>
          <w:p w14:paraId="6679B284" w14:textId="77777777" w:rsidR="00B22DEE" w:rsidRPr="00ED28AA" w:rsidRDefault="00B22DEE">
            <w:pPr>
              <w:rPr>
                <w:color w:val="0070C0"/>
                <w:sz w:val="22"/>
              </w:rPr>
            </w:pPr>
          </w:p>
          <w:p w14:paraId="65C25C20" w14:textId="77777777" w:rsidR="00B22DEE" w:rsidRPr="00ED28AA" w:rsidRDefault="00B22DEE">
            <w:pPr>
              <w:rPr>
                <w:color w:val="0070C0"/>
                <w:sz w:val="22"/>
              </w:rPr>
            </w:pPr>
            <w:r w:rsidRPr="00ED28AA">
              <w:rPr>
                <w:color w:val="0070C0"/>
                <w:sz w:val="22"/>
              </w:rPr>
              <w:t xml:space="preserve">Work with other public bodies and key stakeholders to review plans and strategies to maximise effectiveness. </w:t>
            </w:r>
          </w:p>
          <w:p w14:paraId="6C552039" w14:textId="77777777" w:rsidR="00B22DEE" w:rsidRPr="00ED28AA" w:rsidRDefault="00B22DEE">
            <w:pPr>
              <w:rPr>
                <w:color w:val="0070C0"/>
                <w:sz w:val="22"/>
              </w:rPr>
            </w:pPr>
          </w:p>
          <w:p w14:paraId="18C21A6E" w14:textId="77777777" w:rsidR="00B22DEE" w:rsidRPr="00ED28AA" w:rsidRDefault="00B22DEE">
            <w:pPr>
              <w:rPr>
                <w:color w:val="0070C0"/>
                <w:sz w:val="22"/>
              </w:rPr>
            </w:pPr>
            <w:r w:rsidRPr="00ED28AA">
              <w:rPr>
                <w:color w:val="0070C0"/>
                <w:sz w:val="22"/>
              </w:rPr>
              <w:t>Work with landowners, developers and other stakeholders to secure the delivery of BNG arising from development.</w:t>
            </w:r>
          </w:p>
        </w:tc>
      </w:tr>
      <w:tr w:rsidR="00ED28AA" w:rsidRPr="00ED28AA" w14:paraId="3357B0B3"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6C4D22BD" w14:textId="77777777" w:rsidR="00B22DEE" w:rsidRPr="00ED28AA" w:rsidRDefault="00B22DEE">
            <w:pPr>
              <w:rPr>
                <w:color w:val="0070C0"/>
                <w:sz w:val="22"/>
              </w:rPr>
            </w:pPr>
            <w:r w:rsidRPr="00ED28AA">
              <w:rPr>
                <w:color w:val="0070C0"/>
                <w:sz w:val="22"/>
              </w:rPr>
              <w:t>EV5: Protection of Green Spaces and Recreation Facilities</w:t>
            </w:r>
          </w:p>
        </w:tc>
        <w:tc>
          <w:tcPr>
            <w:tcW w:w="3544" w:type="dxa"/>
            <w:gridSpan w:val="2"/>
            <w:tcBorders>
              <w:top w:val="single" w:sz="4" w:space="0" w:color="auto"/>
              <w:left w:val="single" w:sz="4" w:space="0" w:color="auto"/>
              <w:bottom w:val="single" w:sz="4" w:space="0" w:color="auto"/>
              <w:right w:val="single" w:sz="4" w:space="0" w:color="auto"/>
            </w:tcBorders>
            <w:hideMark/>
          </w:tcPr>
          <w:p w14:paraId="663A976E" w14:textId="77777777" w:rsidR="00B22DEE" w:rsidRPr="00ED28AA" w:rsidRDefault="00B22DEE">
            <w:pPr>
              <w:rPr>
                <w:color w:val="0070C0"/>
                <w:sz w:val="22"/>
              </w:rPr>
            </w:pPr>
            <w:r w:rsidRPr="00ED28AA">
              <w:rPr>
                <w:color w:val="0070C0"/>
                <w:sz w:val="22"/>
              </w:rPr>
              <w:t>Number of planning applications approved resulting in loss or partial loss of green space / recreation facilities, and % contrary to policy.</w:t>
            </w:r>
          </w:p>
        </w:tc>
        <w:tc>
          <w:tcPr>
            <w:tcW w:w="4394" w:type="dxa"/>
            <w:gridSpan w:val="2"/>
            <w:tcBorders>
              <w:top w:val="single" w:sz="4" w:space="0" w:color="auto"/>
              <w:left w:val="single" w:sz="4" w:space="0" w:color="auto"/>
              <w:bottom w:val="single" w:sz="4" w:space="0" w:color="auto"/>
              <w:right w:val="single" w:sz="4" w:space="0" w:color="auto"/>
            </w:tcBorders>
          </w:tcPr>
          <w:p w14:paraId="70D05104" w14:textId="77777777" w:rsidR="00B22DEE" w:rsidRPr="00ED28AA" w:rsidRDefault="00B22DEE">
            <w:pPr>
              <w:rPr>
                <w:color w:val="0070C0"/>
                <w:sz w:val="22"/>
              </w:rPr>
            </w:pPr>
            <w:r w:rsidRPr="00ED28AA">
              <w:rPr>
                <w:color w:val="0070C0"/>
                <w:sz w:val="22"/>
              </w:rPr>
              <w:t>Protect green spaces and recreation facilities from any loss, except for in limited circumstances as set out in policy.</w:t>
            </w:r>
          </w:p>
          <w:p w14:paraId="02C1028A" w14:textId="77777777" w:rsidR="00B22DEE" w:rsidRPr="00ED28AA" w:rsidRDefault="00B22DEE">
            <w:pPr>
              <w:rPr>
                <w:color w:val="0070C0"/>
                <w:sz w:val="22"/>
              </w:rPr>
            </w:pPr>
          </w:p>
          <w:p w14:paraId="418B13D1" w14:textId="77777777" w:rsidR="00B22DEE" w:rsidRPr="00ED28AA" w:rsidRDefault="00B22DEE">
            <w:pPr>
              <w:rPr>
                <w:color w:val="0070C0"/>
                <w:sz w:val="22"/>
              </w:rPr>
            </w:pPr>
            <w:r w:rsidRPr="00ED28AA">
              <w:rPr>
                <w:color w:val="0070C0"/>
                <w:sz w:val="22"/>
              </w:rPr>
              <w:t>No approvals contrary to policy.</w:t>
            </w:r>
          </w:p>
        </w:tc>
        <w:tc>
          <w:tcPr>
            <w:tcW w:w="4678" w:type="dxa"/>
            <w:gridSpan w:val="2"/>
            <w:tcBorders>
              <w:top w:val="single" w:sz="4" w:space="0" w:color="auto"/>
              <w:left w:val="single" w:sz="4" w:space="0" w:color="auto"/>
              <w:bottom w:val="single" w:sz="4" w:space="0" w:color="auto"/>
              <w:right w:val="single" w:sz="4" w:space="0" w:color="auto"/>
            </w:tcBorders>
          </w:tcPr>
          <w:p w14:paraId="0F840ECD" w14:textId="77777777" w:rsidR="00B22DEE" w:rsidRPr="00ED28AA" w:rsidRDefault="00B22DEE">
            <w:pPr>
              <w:rPr>
                <w:color w:val="0070C0"/>
                <w:sz w:val="22"/>
              </w:rPr>
            </w:pPr>
            <w:r w:rsidRPr="00ED28AA">
              <w:rPr>
                <w:color w:val="0070C0"/>
                <w:sz w:val="22"/>
              </w:rPr>
              <w:t>Work with colleagues in Regeneration to understand provision of existing green spaces and recreation facilities in district.</w:t>
            </w:r>
          </w:p>
          <w:p w14:paraId="583878BB" w14:textId="77777777" w:rsidR="00B22DEE" w:rsidRPr="00ED28AA" w:rsidRDefault="00B22DEE">
            <w:pPr>
              <w:rPr>
                <w:color w:val="0070C0"/>
                <w:sz w:val="22"/>
              </w:rPr>
            </w:pPr>
          </w:p>
          <w:p w14:paraId="097C88DC" w14:textId="77777777" w:rsidR="00B22DEE" w:rsidRPr="00ED28AA" w:rsidRDefault="00B22DEE">
            <w:pPr>
              <w:rPr>
                <w:color w:val="0070C0"/>
                <w:sz w:val="22"/>
              </w:rPr>
            </w:pPr>
            <w:r w:rsidRPr="00ED28AA">
              <w:rPr>
                <w:color w:val="0070C0"/>
                <w:sz w:val="22"/>
              </w:rPr>
              <w:t>Where loss or partial loss is permitted, ensure replacement provision is provided.</w:t>
            </w:r>
          </w:p>
          <w:p w14:paraId="099B1B1E" w14:textId="77777777" w:rsidR="00B22DEE" w:rsidRPr="00ED28AA" w:rsidRDefault="00B22DEE">
            <w:pPr>
              <w:rPr>
                <w:color w:val="0070C0"/>
                <w:sz w:val="22"/>
              </w:rPr>
            </w:pPr>
          </w:p>
          <w:p w14:paraId="1E6C1469" w14:textId="77777777" w:rsidR="00B22DEE" w:rsidRPr="00ED28AA" w:rsidRDefault="00B22DEE">
            <w:pPr>
              <w:rPr>
                <w:color w:val="0070C0"/>
                <w:sz w:val="22"/>
              </w:rPr>
            </w:pPr>
            <w:r w:rsidRPr="00ED28AA">
              <w:rPr>
                <w:color w:val="0070C0"/>
                <w:sz w:val="22"/>
              </w:rPr>
              <w:t>Review implementation of policy and designation of existing spaces / facilities.</w:t>
            </w:r>
          </w:p>
        </w:tc>
      </w:tr>
      <w:tr w:rsidR="00ED28AA" w:rsidRPr="00ED28AA" w14:paraId="7CE6368E"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4622917A" w14:textId="77777777" w:rsidR="00B22DEE" w:rsidRPr="00ED28AA" w:rsidRDefault="00B22DEE">
            <w:pPr>
              <w:rPr>
                <w:color w:val="0070C0"/>
                <w:sz w:val="22"/>
              </w:rPr>
            </w:pPr>
            <w:r w:rsidRPr="00ED28AA">
              <w:rPr>
                <w:color w:val="0070C0"/>
                <w:sz w:val="22"/>
              </w:rPr>
              <w:lastRenderedPageBreak/>
              <w:t>EV6: Trees, Woodlands and Hedgerows</w:t>
            </w:r>
          </w:p>
        </w:tc>
        <w:tc>
          <w:tcPr>
            <w:tcW w:w="3544" w:type="dxa"/>
            <w:gridSpan w:val="2"/>
            <w:tcBorders>
              <w:top w:val="single" w:sz="4" w:space="0" w:color="auto"/>
              <w:left w:val="single" w:sz="4" w:space="0" w:color="auto"/>
              <w:bottom w:val="single" w:sz="4" w:space="0" w:color="auto"/>
              <w:right w:val="single" w:sz="4" w:space="0" w:color="auto"/>
            </w:tcBorders>
          </w:tcPr>
          <w:p w14:paraId="3733D5FB" w14:textId="77777777" w:rsidR="00B22DEE" w:rsidRPr="00ED28AA" w:rsidRDefault="00B22DEE">
            <w:pPr>
              <w:rPr>
                <w:color w:val="0070C0"/>
                <w:sz w:val="22"/>
              </w:rPr>
            </w:pPr>
            <w:r w:rsidRPr="00ED28AA">
              <w:rPr>
                <w:color w:val="0070C0"/>
                <w:sz w:val="22"/>
              </w:rPr>
              <w:t>Monitoring of Ancient Woodland</w:t>
            </w:r>
          </w:p>
          <w:p w14:paraId="5AA4BDCC" w14:textId="77777777" w:rsidR="00B22DEE" w:rsidRPr="00ED28AA" w:rsidRDefault="00B22DEE">
            <w:pPr>
              <w:rPr>
                <w:color w:val="0070C0"/>
                <w:sz w:val="22"/>
              </w:rPr>
            </w:pPr>
          </w:p>
          <w:p w14:paraId="7D121D1D" w14:textId="77777777" w:rsidR="00B22DEE" w:rsidRPr="00ED28AA" w:rsidRDefault="00B22DEE">
            <w:pPr>
              <w:rPr>
                <w:color w:val="0070C0"/>
                <w:sz w:val="22"/>
              </w:rPr>
            </w:pPr>
            <w:r w:rsidRPr="00ED28AA">
              <w:rPr>
                <w:color w:val="0070C0"/>
                <w:sz w:val="22"/>
              </w:rPr>
              <w:t>Number of planning applications approved resulting in loss of ancient or veteran trees</w:t>
            </w:r>
          </w:p>
          <w:p w14:paraId="3AF3D1DA" w14:textId="77777777" w:rsidR="00B22DEE" w:rsidRPr="00ED28AA" w:rsidRDefault="00B22DEE">
            <w:pPr>
              <w:rPr>
                <w:color w:val="0070C0"/>
                <w:sz w:val="22"/>
              </w:rPr>
            </w:pPr>
          </w:p>
          <w:p w14:paraId="36C67CD3" w14:textId="77777777" w:rsidR="00B22DEE" w:rsidRPr="00ED28AA" w:rsidRDefault="00B22DEE">
            <w:pPr>
              <w:rPr>
                <w:color w:val="0070C0"/>
                <w:sz w:val="22"/>
              </w:rPr>
            </w:pPr>
            <w:r w:rsidRPr="00ED28AA">
              <w:rPr>
                <w:color w:val="0070C0"/>
                <w:sz w:val="22"/>
              </w:rPr>
              <w:t>Replacement tree planting delivered as part of approved schemes.</w:t>
            </w:r>
          </w:p>
        </w:tc>
        <w:tc>
          <w:tcPr>
            <w:tcW w:w="4394" w:type="dxa"/>
            <w:gridSpan w:val="2"/>
            <w:tcBorders>
              <w:top w:val="single" w:sz="4" w:space="0" w:color="auto"/>
              <w:left w:val="single" w:sz="4" w:space="0" w:color="auto"/>
              <w:bottom w:val="single" w:sz="4" w:space="0" w:color="auto"/>
              <w:right w:val="single" w:sz="4" w:space="0" w:color="auto"/>
            </w:tcBorders>
          </w:tcPr>
          <w:p w14:paraId="77AF8251" w14:textId="77777777" w:rsidR="00B22DEE" w:rsidRPr="00ED28AA" w:rsidRDefault="00B22DEE">
            <w:pPr>
              <w:rPr>
                <w:color w:val="0070C0"/>
                <w:sz w:val="22"/>
              </w:rPr>
            </w:pPr>
            <w:r w:rsidRPr="00ED28AA">
              <w:rPr>
                <w:color w:val="0070C0"/>
                <w:sz w:val="22"/>
              </w:rPr>
              <w:t>No loss of Ancient Woodland</w:t>
            </w:r>
          </w:p>
          <w:p w14:paraId="23274B33" w14:textId="77777777" w:rsidR="00B22DEE" w:rsidRPr="00ED28AA" w:rsidRDefault="00B22DEE">
            <w:pPr>
              <w:rPr>
                <w:color w:val="0070C0"/>
                <w:sz w:val="22"/>
              </w:rPr>
            </w:pPr>
          </w:p>
          <w:p w14:paraId="357C9B0D" w14:textId="77777777" w:rsidR="00B22DEE" w:rsidRPr="00ED28AA" w:rsidRDefault="00B22DEE">
            <w:pPr>
              <w:rPr>
                <w:color w:val="0070C0"/>
                <w:sz w:val="22"/>
              </w:rPr>
            </w:pPr>
            <w:r w:rsidRPr="00ED28AA">
              <w:rPr>
                <w:color w:val="0070C0"/>
                <w:sz w:val="22"/>
              </w:rPr>
              <w:t>No loss of ancient or veteran trees</w:t>
            </w:r>
          </w:p>
          <w:p w14:paraId="08550C0E" w14:textId="77777777" w:rsidR="00B22DEE" w:rsidRPr="00ED28AA" w:rsidRDefault="00B22DEE">
            <w:pPr>
              <w:rPr>
                <w:color w:val="0070C0"/>
                <w:sz w:val="22"/>
              </w:rPr>
            </w:pPr>
          </w:p>
          <w:p w14:paraId="41BC2FC1" w14:textId="77777777" w:rsidR="00B22DEE" w:rsidRPr="00ED28AA" w:rsidRDefault="00B22DEE">
            <w:pPr>
              <w:rPr>
                <w:color w:val="0070C0"/>
                <w:sz w:val="22"/>
              </w:rPr>
            </w:pPr>
          </w:p>
          <w:p w14:paraId="6B80E191" w14:textId="77777777" w:rsidR="00B22DEE" w:rsidRPr="00ED28AA" w:rsidRDefault="00B22DEE">
            <w:pPr>
              <w:rPr>
                <w:color w:val="0070C0"/>
                <w:sz w:val="22"/>
              </w:rPr>
            </w:pPr>
            <w:r w:rsidRPr="00ED28AA">
              <w:rPr>
                <w:color w:val="0070C0"/>
                <w:sz w:val="22"/>
              </w:rPr>
              <w:t>2 replacement trees of an appropriate species and size to be delivered for every 1 lost.</w:t>
            </w:r>
          </w:p>
        </w:tc>
        <w:tc>
          <w:tcPr>
            <w:tcW w:w="4678" w:type="dxa"/>
            <w:gridSpan w:val="2"/>
            <w:tcBorders>
              <w:top w:val="single" w:sz="4" w:space="0" w:color="auto"/>
              <w:left w:val="single" w:sz="4" w:space="0" w:color="auto"/>
              <w:bottom w:val="single" w:sz="4" w:space="0" w:color="auto"/>
              <w:right w:val="single" w:sz="4" w:space="0" w:color="auto"/>
            </w:tcBorders>
          </w:tcPr>
          <w:p w14:paraId="4A5A6B71" w14:textId="77777777" w:rsidR="00B22DEE" w:rsidRPr="00ED28AA" w:rsidRDefault="00B22DEE">
            <w:pPr>
              <w:rPr>
                <w:color w:val="0070C0"/>
                <w:sz w:val="22"/>
              </w:rPr>
            </w:pPr>
            <w:r w:rsidRPr="00ED28AA">
              <w:rPr>
                <w:color w:val="0070C0"/>
                <w:sz w:val="22"/>
              </w:rPr>
              <w:t>Work with partners, developers and landowners to understand barriers to protection/enhancement of trees.</w:t>
            </w:r>
          </w:p>
          <w:p w14:paraId="09D899F5" w14:textId="77777777" w:rsidR="00B22DEE" w:rsidRPr="00ED28AA" w:rsidRDefault="00B22DEE">
            <w:pPr>
              <w:rPr>
                <w:color w:val="0070C0"/>
                <w:sz w:val="22"/>
              </w:rPr>
            </w:pPr>
          </w:p>
          <w:p w14:paraId="5596FF8E" w14:textId="77777777" w:rsidR="00B22DEE" w:rsidRPr="00ED28AA" w:rsidRDefault="00B22DEE">
            <w:pPr>
              <w:rPr>
                <w:color w:val="0070C0"/>
                <w:sz w:val="22"/>
              </w:rPr>
            </w:pPr>
            <w:r w:rsidRPr="00ED28AA">
              <w:rPr>
                <w:color w:val="0070C0"/>
                <w:sz w:val="22"/>
              </w:rPr>
              <w:t>Review implementation of policy and consider production of separate guidance if required.</w:t>
            </w:r>
          </w:p>
          <w:p w14:paraId="1CD6C33B" w14:textId="77777777" w:rsidR="00B22DEE" w:rsidRPr="00ED28AA" w:rsidRDefault="00B22DEE">
            <w:pPr>
              <w:rPr>
                <w:color w:val="0070C0"/>
                <w:sz w:val="22"/>
              </w:rPr>
            </w:pPr>
          </w:p>
          <w:p w14:paraId="760C5D56" w14:textId="77777777" w:rsidR="00B22DEE" w:rsidRPr="00ED28AA" w:rsidRDefault="00B22DEE">
            <w:pPr>
              <w:rPr>
                <w:color w:val="0070C0"/>
                <w:sz w:val="22"/>
              </w:rPr>
            </w:pPr>
          </w:p>
          <w:p w14:paraId="5365A134" w14:textId="77777777" w:rsidR="00B22DEE" w:rsidRPr="00ED28AA" w:rsidRDefault="00B22DEE">
            <w:pPr>
              <w:rPr>
                <w:color w:val="0070C0"/>
                <w:sz w:val="22"/>
              </w:rPr>
            </w:pPr>
          </w:p>
        </w:tc>
      </w:tr>
      <w:tr w:rsidR="00ED28AA" w:rsidRPr="00ED28AA" w14:paraId="17B0B581" w14:textId="77777777" w:rsidTr="003767A6">
        <w:trPr>
          <w:trHeight w:val="842"/>
        </w:trPr>
        <w:tc>
          <w:tcPr>
            <w:tcW w:w="1838" w:type="dxa"/>
            <w:tcBorders>
              <w:top w:val="single" w:sz="4" w:space="0" w:color="auto"/>
              <w:left w:val="single" w:sz="4" w:space="0" w:color="auto"/>
              <w:bottom w:val="single" w:sz="4" w:space="0" w:color="auto"/>
              <w:right w:val="single" w:sz="4" w:space="0" w:color="auto"/>
            </w:tcBorders>
            <w:hideMark/>
          </w:tcPr>
          <w:p w14:paraId="0C63EE73" w14:textId="77777777" w:rsidR="00B22DEE" w:rsidRPr="00ED28AA" w:rsidRDefault="00B22DEE">
            <w:pPr>
              <w:rPr>
                <w:color w:val="0070C0"/>
                <w:sz w:val="22"/>
              </w:rPr>
            </w:pPr>
            <w:r w:rsidRPr="00ED28AA">
              <w:rPr>
                <w:color w:val="0070C0"/>
                <w:sz w:val="22"/>
              </w:rPr>
              <w:t>EV7: Provision and Protection of Allotments</w:t>
            </w:r>
          </w:p>
        </w:tc>
        <w:tc>
          <w:tcPr>
            <w:tcW w:w="3544" w:type="dxa"/>
            <w:gridSpan w:val="2"/>
            <w:tcBorders>
              <w:top w:val="single" w:sz="4" w:space="0" w:color="auto"/>
              <w:left w:val="single" w:sz="4" w:space="0" w:color="auto"/>
              <w:bottom w:val="single" w:sz="4" w:space="0" w:color="auto"/>
              <w:right w:val="single" w:sz="4" w:space="0" w:color="auto"/>
            </w:tcBorders>
          </w:tcPr>
          <w:p w14:paraId="70BF6F5E" w14:textId="77777777" w:rsidR="00B22DEE" w:rsidRPr="00ED28AA" w:rsidRDefault="00B22DEE">
            <w:pPr>
              <w:rPr>
                <w:color w:val="0070C0"/>
                <w:sz w:val="22"/>
              </w:rPr>
            </w:pPr>
            <w:r w:rsidRPr="00ED28AA">
              <w:rPr>
                <w:color w:val="0070C0"/>
                <w:sz w:val="22"/>
              </w:rPr>
              <w:t xml:space="preserve">Existing provision and demand for allotments across the </w:t>
            </w:r>
            <w:proofErr w:type="gramStart"/>
            <w:r w:rsidRPr="00ED28AA">
              <w:rPr>
                <w:color w:val="0070C0"/>
                <w:sz w:val="22"/>
              </w:rPr>
              <w:t>District</w:t>
            </w:r>
            <w:proofErr w:type="gramEnd"/>
            <w:r w:rsidRPr="00ED28AA">
              <w:rPr>
                <w:color w:val="0070C0"/>
                <w:sz w:val="22"/>
              </w:rPr>
              <w:t>.</w:t>
            </w:r>
          </w:p>
          <w:p w14:paraId="7B204ED3" w14:textId="77777777" w:rsidR="00B22DEE" w:rsidRPr="00ED28AA" w:rsidRDefault="00B22DEE">
            <w:pPr>
              <w:rPr>
                <w:color w:val="0070C0"/>
                <w:sz w:val="22"/>
              </w:rPr>
            </w:pPr>
          </w:p>
          <w:p w14:paraId="217CE13A" w14:textId="77777777" w:rsidR="00B22DEE" w:rsidRPr="00ED28AA" w:rsidRDefault="00B22DEE">
            <w:pPr>
              <w:rPr>
                <w:color w:val="0070C0"/>
                <w:sz w:val="22"/>
              </w:rPr>
            </w:pPr>
            <w:r w:rsidRPr="00ED28AA">
              <w:rPr>
                <w:color w:val="0070C0"/>
                <w:sz w:val="22"/>
              </w:rPr>
              <w:t>Number of planning applications approved resulting in the loss of land used for allotments</w:t>
            </w:r>
          </w:p>
        </w:tc>
        <w:tc>
          <w:tcPr>
            <w:tcW w:w="4394" w:type="dxa"/>
            <w:gridSpan w:val="2"/>
            <w:tcBorders>
              <w:top w:val="single" w:sz="4" w:space="0" w:color="auto"/>
              <w:left w:val="single" w:sz="4" w:space="0" w:color="auto"/>
              <w:bottom w:val="single" w:sz="4" w:space="0" w:color="auto"/>
              <w:right w:val="single" w:sz="4" w:space="0" w:color="auto"/>
            </w:tcBorders>
            <w:hideMark/>
          </w:tcPr>
          <w:p w14:paraId="4ED92930" w14:textId="77777777" w:rsidR="00B22DEE" w:rsidRPr="00ED28AA" w:rsidRDefault="00B22DEE">
            <w:pPr>
              <w:rPr>
                <w:color w:val="0070C0"/>
                <w:sz w:val="22"/>
              </w:rPr>
            </w:pPr>
            <w:r w:rsidRPr="00ED28AA">
              <w:rPr>
                <w:color w:val="0070C0"/>
                <w:sz w:val="22"/>
              </w:rPr>
              <w:t>Safeguard existing allotment sites and ensure need for allotments is being met, in line with Allotment Technical Paper.</w:t>
            </w:r>
          </w:p>
        </w:tc>
        <w:tc>
          <w:tcPr>
            <w:tcW w:w="4678" w:type="dxa"/>
            <w:gridSpan w:val="2"/>
            <w:tcBorders>
              <w:top w:val="single" w:sz="4" w:space="0" w:color="auto"/>
              <w:left w:val="single" w:sz="4" w:space="0" w:color="auto"/>
              <w:bottom w:val="single" w:sz="4" w:space="0" w:color="auto"/>
              <w:right w:val="single" w:sz="4" w:space="0" w:color="auto"/>
            </w:tcBorders>
          </w:tcPr>
          <w:p w14:paraId="7C0DFC56" w14:textId="77777777" w:rsidR="00B22DEE" w:rsidRPr="00ED28AA" w:rsidRDefault="00B22DEE">
            <w:pPr>
              <w:rPr>
                <w:color w:val="0070C0"/>
                <w:sz w:val="22"/>
              </w:rPr>
            </w:pPr>
            <w:r w:rsidRPr="00ED28AA">
              <w:rPr>
                <w:color w:val="0070C0"/>
                <w:sz w:val="22"/>
              </w:rPr>
              <w:t>Update Allotment Technical Paper to understand demand.</w:t>
            </w:r>
          </w:p>
          <w:p w14:paraId="3F9670A5" w14:textId="77777777" w:rsidR="00B22DEE" w:rsidRPr="00ED28AA" w:rsidRDefault="00B22DEE">
            <w:pPr>
              <w:rPr>
                <w:color w:val="0070C0"/>
                <w:sz w:val="22"/>
              </w:rPr>
            </w:pPr>
          </w:p>
          <w:p w14:paraId="096C3818" w14:textId="77777777" w:rsidR="00B22DEE" w:rsidRPr="00ED28AA" w:rsidRDefault="00B22DEE">
            <w:pPr>
              <w:rPr>
                <w:color w:val="0070C0"/>
                <w:sz w:val="22"/>
              </w:rPr>
            </w:pPr>
            <w:r w:rsidRPr="00ED28AA">
              <w:rPr>
                <w:color w:val="0070C0"/>
                <w:sz w:val="22"/>
              </w:rPr>
              <w:t>Work with developers/landowners to deliver new allotments where required.</w:t>
            </w:r>
          </w:p>
        </w:tc>
      </w:tr>
      <w:tr w:rsidR="00ED28AA" w:rsidRPr="00ED28AA" w14:paraId="00CAF088"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712FE5F5" w14:textId="77777777" w:rsidR="00B22DEE" w:rsidRPr="00ED28AA" w:rsidRDefault="00B22DEE">
            <w:pPr>
              <w:rPr>
                <w:color w:val="0070C0"/>
                <w:sz w:val="22"/>
              </w:rPr>
            </w:pPr>
            <w:r w:rsidRPr="00ED28AA">
              <w:rPr>
                <w:color w:val="0070C0"/>
                <w:sz w:val="22"/>
              </w:rPr>
              <w:t>EV8: Agricultural Land Quality</w:t>
            </w:r>
          </w:p>
        </w:tc>
        <w:tc>
          <w:tcPr>
            <w:tcW w:w="3544" w:type="dxa"/>
            <w:gridSpan w:val="2"/>
            <w:tcBorders>
              <w:top w:val="single" w:sz="4" w:space="0" w:color="auto"/>
              <w:left w:val="single" w:sz="4" w:space="0" w:color="auto"/>
              <w:bottom w:val="single" w:sz="4" w:space="0" w:color="auto"/>
              <w:right w:val="single" w:sz="4" w:space="0" w:color="auto"/>
            </w:tcBorders>
            <w:hideMark/>
          </w:tcPr>
          <w:p w14:paraId="5595EEE0" w14:textId="77777777" w:rsidR="00B22DEE" w:rsidRPr="00ED28AA" w:rsidRDefault="00B22DEE">
            <w:pPr>
              <w:rPr>
                <w:color w:val="0070C0"/>
                <w:sz w:val="22"/>
              </w:rPr>
            </w:pPr>
            <w:r w:rsidRPr="00ED28AA">
              <w:rPr>
                <w:color w:val="0070C0"/>
                <w:sz w:val="22"/>
              </w:rPr>
              <w:t>Number of planning applications approved on best and most versatile agricultural land</w:t>
            </w:r>
          </w:p>
        </w:tc>
        <w:tc>
          <w:tcPr>
            <w:tcW w:w="4394" w:type="dxa"/>
            <w:gridSpan w:val="2"/>
            <w:tcBorders>
              <w:top w:val="single" w:sz="4" w:space="0" w:color="auto"/>
              <w:left w:val="single" w:sz="4" w:space="0" w:color="auto"/>
              <w:bottom w:val="single" w:sz="4" w:space="0" w:color="auto"/>
              <w:right w:val="single" w:sz="4" w:space="0" w:color="auto"/>
            </w:tcBorders>
            <w:hideMark/>
          </w:tcPr>
          <w:p w14:paraId="73F9DF6A" w14:textId="77777777" w:rsidR="00B22DEE" w:rsidRPr="00ED28AA" w:rsidRDefault="00B22DEE">
            <w:pPr>
              <w:rPr>
                <w:color w:val="0070C0"/>
                <w:sz w:val="22"/>
              </w:rPr>
            </w:pPr>
            <w:r w:rsidRPr="00ED28AA">
              <w:rPr>
                <w:color w:val="0070C0"/>
                <w:sz w:val="22"/>
              </w:rPr>
              <w:t>Conserve best and most versatile land and minimise any loss.</w:t>
            </w:r>
          </w:p>
        </w:tc>
        <w:tc>
          <w:tcPr>
            <w:tcW w:w="4678" w:type="dxa"/>
            <w:gridSpan w:val="2"/>
            <w:tcBorders>
              <w:top w:val="single" w:sz="4" w:space="0" w:color="auto"/>
              <w:left w:val="single" w:sz="4" w:space="0" w:color="auto"/>
              <w:bottom w:val="single" w:sz="4" w:space="0" w:color="auto"/>
              <w:right w:val="single" w:sz="4" w:space="0" w:color="auto"/>
            </w:tcBorders>
          </w:tcPr>
          <w:p w14:paraId="53FCCFC1" w14:textId="77777777" w:rsidR="00B22DEE" w:rsidRPr="00ED28AA" w:rsidRDefault="00B22DEE">
            <w:pPr>
              <w:rPr>
                <w:color w:val="0070C0"/>
                <w:sz w:val="22"/>
              </w:rPr>
            </w:pPr>
            <w:r w:rsidRPr="00ED28AA">
              <w:rPr>
                <w:color w:val="0070C0"/>
                <w:sz w:val="22"/>
              </w:rPr>
              <w:t>Work with developers/landowners to direct proposals to lower quality land wherever possible.</w:t>
            </w:r>
          </w:p>
          <w:p w14:paraId="24BB0ED5" w14:textId="77777777" w:rsidR="00B22DEE" w:rsidRPr="00ED28AA" w:rsidRDefault="00B22DEE">
            <w:pPr>
              <w:rPr>
                <w:color w:val="0070C0"/>
                <w:sz w:val="22"/>
              </w:rPr>
            </w:pPr>
          </w:p>
          <w:p w14:paraId="59DC753B" w14:textId="77777777" w:rsidR="00B22DEE" w:rsidRDefault="00B22DEE">
            <w:pPr>
              <w:rPr>
                <w:color w:val="0070C0"/>
                <w:sz w:val="22"/>
              </w:rPr>
            </w:pPr>
            <w:r w:rsidRPr="00ED28AA">
              <w:rPr>
                <w:color w:val="0070C0"/>
                <w:sz w:val="22"/>
              </w:rPr>
              <w:t>Review implementation of policy.</w:t>
            </w:r>
          </w:p>
          <w:p w14:paraId="45783BF2" w14:textId="77777777" w:rsidR="00E9429B" w:rsidRDefault="00E9429B">
            <w:pPr>
              <w:rPr>
                <w:color w:val="0070C0"/>
                <w:sz w:val="22"/>
              </w:rPr>
            </w:pPr>
          </w:p>
          <w:p w14:paraId="3734D48D" w14:textId="77777777" w:rsidR="00E9429B" w:rsidRPr="00ED28AA" w:rsidRDefault="00E9429B">
            <w:pPr>
              <w:rPr>
                <w:color w:val="0070C0"/>
                <w:sz w:val="22"/>
              </w:rPr>
            </w:pPr>
          </w:p>
        </w:tc>
      </w:tr>
      <w:tr w:rsidR="00ED28AA" w:rsidRPr="00ED28AA" w14:paraId="37B9E8F8"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047A3394" w14:textId="77777777" w:rsidR="00B22DEE" w:rsidRPr="00ED28AA" w:rsidRDefault="00B22DEE">
            <w:pPr>
              <w:rPr>
                <w:color w:val="0070C0"/>
                <w:sz w:val="22"/>
              </w:rPr>
            </w:pPr>
            <w:r w:rsidRPr="00ED28AA">
              <w:rPr>
                <w:color w:val="0070C0"/>
                <w:sz w:val="22"/>
              </w:rPr>
              <w:lastRenderedPageBreak/>
              <w:t>EV9: The Historic Environment</w:t>
            </w:r>
          </w:p>
        </w:tc>
        <w:tc>
          <w:tcPr>
            <w:tcW w:w="3544" w:type="dxa"/>
            <w:gridSpan w:val="2"/>
            <w:tcBorders>
              <w:top w:val="single" w:sz="4" w:space="0" w:color="auto"/>
              <w:left w:val="single" w:sz="4" w:space="0" w:color="auto"/>
              <w:bottom w:val="single" w:sz="4" w:space="0" w:color="auto"/>
              <w:right w:val="single" w:sz="4" w:space="0" w:color="auto"/>
            </w:tcBorders>
          </w:tcPr>
          <w:p w14:paraId="5F1961A6" w14:textId="77777777" w:rsidR="00B22DEE" w:rsidRPr="00ED28AA" w:rsidRDefault="00B22DEE">
            <w:pPr>
              <w:rPr>
                <w:color w:val="0070C0"/>
                <w:sz w:val="22"/>
              </w:rPr>
            </w:pPr>
            <w:r w:rsidRPr="00ED28AA">
              <w:rPr>
                <w:color w:val="0070C0"/>
                <w:sz w:val="22"/>
              </w:rPr>
              <w:t xml:space="preserve">Conservation Areas covered by an up-to-date appraisal </w:t>
            </w:r>
          </w:p>
          <w:p w14:paraId="6BC3FB12" w14:textId="77777777" w:rsidR="00B22DEE" w:rsidRPr="00ED28AA" w:rsidRDefault="00B22DEE">
            <w:pPr>
              <w:rPr>
                <w:color w:val="0070C0"/>
                <w:sz w:val="22"/>
              </w:rPr>
            </w:pPr>
          </w:p>
          <w:p w14:paraId="5883D35B" w14:textId="77777777" w:rsidR="00B22DEE" w:rsidRPr="00ED28AA" w:rsidRDefault="00B22DEE">
            <w:pPr>
              <w:rPr>
                <w:color w:val="0070C0"/>
                <w:sz w:val="22"/>
              </w:rPr>
            </w:pPr>
            <w:r w:rsidRPr="00ED28AA">
              <w:rPr>
                <w:color w:val="0070C0"/>
                <w:sz w:val="22"/>
              </w:rPr>
              <w:t>Number of planning applications approved contrary to policy</w:t>
            </w:r>
          </w:p>
          <w:p w14:paraId="5450209A" w14:textId="77777777" w:rsidR="00B22DEE" w:rsidRPr="00ED28AA" w:rsidRDefault="00B22DEE">
            <w:pPr>
              <w:rPr>
                <w:color w:val="0070C0"/>
                <w:sz w:val="22"/>
              </w:rPr>
            </w:pPr>
          </w:p>
          <w:p w14:paraId="33E73570" w14:textId="77777777" w:rsidR="00B22DEE" w:rsidRDefault="00B22DEE">
            <w:pPr>
              <w:rPr>
                <w:color w:val="0070C0"/>
                <w:sz w:val="22"/>
              </w:rPr>
            </w:pPr>
            <w:r w:rsidRPr="00ED28AA">
              <w:rPr>
                <w:color w:val="0070C0"/>
                <w:sz w:val="22"/>
              </w:rPr>
              <w:t>Developments allowed on appeal which were refused contrary to policy</w:t>
            </w:r>
          </w:p>
          <w:p w14:paraId="20FF85EB" w14:textId="77777777" w:rsidR="00E9429B" w:rsidRPr="00ED28AA" w:rsidRDefault="00E9429B">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tcPr>
          <w:p w14:paraId="05C15746" w14:textId="77777777" w:rsidR="00B22DEE" w:rsidRPr="00ED28AA" w:rsidRDefault="00B22DEE">
            <w:pPr>
              <w:rPr>
                <w:color w:val="0070C0"/>
                <w:sz w:val="22"/>
              </w:rPr>
            </w:pPr>
            <w:r w:rsidRPr="00ED28AA">
              <w:rPr>
                <w:color w:val="0070C0"/>
                <w:sz w:val="22"/>
              </w:rPr>
              <w:t>All Conservation Areas to have an up-to-date appraisal.</w:t>
            </w:r>
          </w:p>
          <w:p w14:paraId="653DD62B" w14:textId="77777777" w:rsidR="00B22DEE" w:rsidRPr="00ED28AA" w:rsidRDefault="00B22DEE">
            <w:pPr>
              <w:rPr>
                <w:color w:val="0070C0"/>
                <w:sz w:val="22"/>
              </w:rPr>
            </w:pPr>
          </w:p>
          <w:p w14:paraId="104E233D" w14:textId="77777777" w:rsidR="00B22DEE" w:rsidRPr="00ED28AA" w:rsidRDefault="00B22DEE">
            <w:pPr>
              <w:rPr>
                <w:color w:val="0070C0"/>
                <w:sz w:val="22"/>
              </w:rPr>
            </w:pPr>
            <w:r w:rsidRPr="00ED28AA">
              <w:rPr>
                <w:color w:val="0070C0"/>
                <w:sz w:val="22"/>
              </w:rPr>
              <w:t>All planning applications affecting heritage assets should be approved in line with policy requirements.</w:t>
            </w:r>
          </w:p>
        </w:tc>
        <w:tc>
          <w:tcPr>
            <w:tcW w:w="4678" w:type="dxa"/>
            <w:gridSpan w:val="2"/>
            <w:tcBorders>
              <w:top w:val="single" w:sz="4" w:space="0" w:color="auto"/>
              <w:left w:val="single" w:sz="4" w:space="0" w:color="auto"/>
              <w:bottom w:val="single" w:sz="4" w:space="0" w:color="auto"/>
              <w:right w:val="single" w:sz="4" w:space="0" w:color="auto"/>
            </w:tcBorders>
          </w:tcPr>
          <w:p w14:paraId="20AA990E" w14:textId="77777777" w:rsidR="00B22DEE" w:rsidRPr="00ED28AA" w:rsidRDefault="00B22DEE">
            <w:pPr>
              <w:rPr>
                <w:color w:val="0070C0"/>
                <w:sz w:val="22"/>
              </w:rPr>
            </w:pPr>
            <w:r w:rsidRPr="00ED28AA">
              <w:rPr>
                <w:color w:val="0070C0"/>
                <w:sz w:val="22"/>
              </w:rPr>
              <w:t>Review of the Local Plan, Conservation Area Appraisals and Local Heritage List.</w:t>
            </w:r>
          </w:p>
          <w:p w14:paraId="4BBE62E9" w14:textId="77777777" w:rsidR="00B22DEE" w:rsidRPr="00ED28AA" w:rsidRDefault="00B22DEE">
            <w:pPr>
              <w:rPr>
                <w:color w:val="0070C0"/>
                <w:sz w:val="22"/>
              </w:rPr>
            </w:pPr>
          </w:p>
          <w:p w14:paraId="61E560A8" w14:textId="77777777" w:rsidR="00B22DEE" w:rsidRPr="00ED28AA" w:rsidRDefault="00B22DEE">
            <w:pPr>
              <w:rPr>
                <w:color w:val="0070C0"/>
                <w:sz w:val="22"/>
              </w:rPr>
            </w:pPr>
            <w:r w:rsidRPr="00ED28AA">
              <w:rPr>
                <w:color w:val="0070C0"/>
                <w:sz w:val="22"/>
              </w:rPr>
              <w:t>Review implementation of policy and consider production of separate guidance if required.</w:t>
            </w:r>
          </w:p>
        </w:tc>
      </w:tr>
      <w:tr w:rsidR="00ED28AA" w:rsidRPr="00ED28AA" w14:paraId="047372F1"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722B470F" w14:textId="77777777" w:rsidR="00B22DEE" w:rsidRPr="00ED28AA" w:rsidRDefault="00B22DEE">
            <w:pPr>
              <w:rPr>
                <w:color w:val="0070C0"/>
                <w:sz w:val="22"/>
              </w:rPr>
            </w:pPr>
            <w:r w:rsidRPr="00ED28AA">
              <w:rPr>
                <w:color w:val="0070C0"/>
                <w:sz w:val="22"/>
              </w:rPr>
              <w:t>EV10: Protection and Enhancement of Landscape Character</w:t>
            </w:r>
          </w:p>
        </w:tc>
        <w:tc>
          <w:tcPr>
            <w:tcW w:w="3544" w:type="dxa"/>
            <w:gridSpan w:val="2"/>
            <w:tcBorders>
              <w:top w:val="single" w:sz="4" w:space="0" w:color="auto"/>
              <w:left w:val="single" w:sz="4" w:space="0" w:color="auto"/>
              <w:bottom w:val="single" w:sz="4" w:space="0" w:color="auto"/>
              <w:right w:val="single" w:sz="4" w:space="0" w:color="auto"/>
            </w:tcBorders>
            <w:hideMark/>
          </w:tcPr>
          <w:p w14:paraId="015209E8" w14:textId="77777777" w:rsidR="00B22DEE" w:rsidRPr="00ED28AA" w:rsidRDefault="00B22DEE">
            <w:pPr>
              <w:rPr>
                <w:color w:val="0070C0"/>
                <w:sz w:val="22"/>
              </w:rPr>
            </w:pPr>
            <w:r w:rsidRPr="00ED28AA">
              <w:rPr>
                <w:color w:val="0070C0"/>
                <w:sz w:val="22"/>
              </w:rPr>
              <w:t>Number of planning applications approved contrary to policy</w:t>
            </w:r>
          </w:p>
        </w:tc>
        <w:tc>
          <w:tcPr>
            <w:tcW w:w="4394" w:type="dxa"/>
            <w:gridSpan w:val="2"/>
            <w:tcBorders>
              <w:top w:val="single" w:sz="4" w:space="0" w:color="auto"/>
              <w:left w:val="single" w:sz="4" w:space="0" w:color="auto"/>
              <w:bottom w:val="single" w:sz="4" w:space="0" w:color="auto"/>
              <w:right w:val="single" w:sz="4" w:space="0" w:color="auto"/>
            </w:tcBorders>
            <w:hideMark/>
          </w:tcPr>
          <w:p w14:paraId="4352BBB5" w14:textId="77777777" w:rsidR="00B22DEE" w:rsidRPr="00ED28AA" w:rsidRDefault="00B22DEE">
            <w:pPr>
              <w:rPr>
                <w:color w:val="0070C0"/>
                <w:sz w:val="22"/>
              </w:rPr>
            </w:pPr>
            <w:r w:rsidRPr="00ED28AA">
              <w:rPr>
                <w:color w:val="0070C0"/>
                <w:sz w:val="22"/>
              </w:rPr>
              <w:t>No approvals granted contrary to the policy.</w:t>
            </w:r>
          </w:p>
        </w:tc>
        <w:tc>
          <w:tcPr>
            <w:tcW w:w="4678" w:type="dxa"/>
            <w:gridSpan w:val="2"/>
            <w:tcBorders>
              <w:top w:val="single" w:sz="4" w:space="0" w:color="auto"/>
              <w:left w:val="single" w:sz="4" w:space="0" w:color="auto"/>
              <w:bottom w:val="single" w:sz="4" w:space="0" w:color="auto"/>
              <w:right w:val="single" w:sz="4" w:space="0" w:color="auto"/>
            </w:tcBorders>
          </w:tcPr>
          <w:p w14:paraId="57F7F1F6" w14:textId="77777777" w:rsidR="00B22DEE" w:rsidRPr="00ED28AA" w:rsidRDefault="00B22DEE">
            <w:pPr>
              <w:rPr>
                <w:color w:val="0070C0"/>
                <w:sz w:val="22"/>
              </w:rPr>
            </w:pPr>
            <w:r w:rsidRPr="00ED28AA">
              <w:rPr>
                <w:color w:val="0070C0"/>
                <w:sz w:val="22"/>
              </w:rPr>
              <w:t>Review implementation of policy.</w:t>
            </w:r>
          </w:p>
          <w:p w14:paraId="5E0A3C30" w14:textId="77777777" w:rsidR="00B22DEE" w:rsidRPr="00ED28AA" w:rsidRDefault="00B22DEE">
            <w:pPr>
              <w:rPr>
                <w:color w:val="0070C0"/>
                <w:sz w:val="22"/>
              </w:rPr>
            </w:pPr>
          </w:p>
          <w:p w14:paraId="49B3E4C3" w14:textId="77777777" w:rsidR="00B22DEE" w:rsidRDefault="00B22DEE">
            <w:pPr>
              <w:rPr>
                <w:color w:val="0070C0"/>
                <w:sz w:val="22"/>
              </w:rPr>
            </w:pPr>
            <w:r w:rsidRPr="00ED28AA">
              <w:rPr>
                <w:color w:val="0070C0"/>
                <w:sz w:val="22"/>
              </w:rPr>
              <w:t>Work with landowners, developers and other stakeholders to understand barriers to protection/enhancement of the landscape.</w:t>
            </w:r>
          </w:p>
          <w:p w14:paraId="5B400303" w14:textId="77777777" w:rsidR="00E9429B" w:rsidRPr="00ED28AA" w:rsidRDefault="00E9429B">
            <w:pPr>
              <w:rPr>
                <w:color w:val="0070C0"/>
                <w:sz w:val="22"/>
              </w:rPr>
            </w:pPr>
          </w:p>
          <w:p w14:paraId="155BF930" w14:textId="77777777" w:rsidR="00B22DEE" w:rsidRPr="00ED28AA" w:rsidRDefault="00B22DEE">
            <w:pPr>
              <w:rPr>
                <w:color w:val="0070C0"/>
                <w:sz w:val="22"/>
              </w:rPr>
            </w:pPr>
          </w:p>
        </w:tc>
      </w:tr>
      <w:tr w:rsidR="00ED28AA" w:rsidRPr="00ED28AA" w14:paraId="6EB096D8" w14:textId="77777777" w:rsidTr="00E9429B">
        <w:trPr>
          <w:trHeight w:val="630"/>
        </w:trPr>
        <w:tc>
          <w:tcPr>
            <w:tcW w:w="14454" w:type="dxa"/>
            <w:gridSpan w:val="7"/>
            <w:tcBorders>
              <w:top w:val="single" w:sz="4" w:space="0" w:color="auto"/>
              <w:left w:val="single" w:sz="4" w:space="0" w:color="auto"/>
              <w:bottom w:val="single" w:sz="4" w:space="0" w:color="auto"/>
              <w:right w:val="single" w:sz="4" w:space="0" w:color="auto"/>
            </w:tcBorders>
            <w:shd w:val="clear" w:color="auto" w:fill="E7E6E6" w:themeFill="background2"/>
          </w:tcPr>
          <w:p w14:paraId="3FB06F74" w14:textId="4A4321DF" w:rsidR="001C41BA" w:rsidRPr="00E56F9C" w:rsidRDefault="001C41BA">
            <w:pPr>
              <w:rPr>
                <w:b/>
                <w:bCs/>
                <w:color w:val="0067B6"/>
                <w:sz w:val="22"/>
              </w:rPr>
            </w:pPr>
            <w:r w:rsidRPr="00E56F9C">
              <w:rPr>
                <w:b/>
                <w:bCs/>
                <w:color w:val="0067B6"/>
              </w:rPr>
              <w:t>Meeting local housing needs and aspirations</w:t>
            </w:r>
          </w:p>
        </w:tc>
      </w:tr>
      <w:tr w:rsidR="00ED28AA" w:rsidRPr="00ED28AA" w14:paraId="4B418424" w14:textId="77777777" w:rsidTr="00E9429B">
        <w:trPr>
          <w:trHeight w:val="630"/>
        </w:trPr>
        <w:tc>
          <w:tcPr>
            <w:tcW w:w="18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7CC83A2" w14:textId="77777777" w:rsidR="00B22DEE" w:rsidRPr="00E56F9C" w:rsidRDefault="00B22DEE">
            <w:pPr>
              <w:rPr>
                <w:b/>
                <w:bCs/>
                <w:color w:val="0067B6"/>
                <w:sz w:val="22"/>
              </w:rPr>
            </w:pPr>
            <w:r w:rsidRPr="00E56F9C">
              <w:rPr>
                <w:b/>
                <w:bCs/>
                <w:color w:val="0067B6"/>
                <w:sz w:val="22"/>
              </w:rPr>
              <w:t>Policy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1BE2A9AE" w14:textId="77777777" w:rsidR="00B22DEE" w:rsidRPr="00E56F9C" w:rsidRDefault="00B22DEE">
            <w:pPr>
              <w:rPr>
                <w:b/>
                <w:bCs/>
                <w:color w:val="0067B6"/>
                <w:sz w:val="22"/>
              </w:rPr>
            </w:pPr>
            <w:r w:rsidRPr="00E56F9C">
              <w:rPr>
                <w:b/>
                <w:bCs/>
                <w:color w:val="0067B6"/>
                <w:sz w:val="22"/>
              </w:rPr>
              <w:t>Indicator</w:t>
            </w:r>
          </w:p>
        </w:tc>
        <w:tc>
          <w:tcPr>
            <w:tcW w:w="439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1944B28" w14:textId="77777777" w:rsidR="00B22DEE" w:rsidRPr="00E56F9C" w:rsidRDefault="00B22DEE">
            <w:pPr>
              <w:rPr>
                <w:b/>
                <w:bCs/>
                <w:color w:val="0067B6"/>
                <w:sz w:val="22"/>
              </w:rPr>
            </w:pPr>
            <w:r w:rsidRPr="00E56F9C">
              <w:rPr>
                <w:b/>
                <w:bCs/>
                <w:color w:val="0067B6"/>
                <w:sz w:val="22"/>
              </w:rPr>
              <w:t>Target</w:t>
            </w:r>
          </w:p>
        </w:tc>
        <w:tc>
          <w:tcPr>
            <w:tcW w:w="467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11141A4C" w14:textId="77777777" w:rsidR="00B22DEE" w:rsidRPr="00E56F9C" w:rsidRDefault="00B22DEE">
            <w:pPr>
              <w:rPr>
                <w:b/>
                <w:bCs/>
                <w:color w:val="0067B6"/>
                <w:sz w:val="22"/>
              </w:rPr>
            </w:pPr>
            <w:r w:rsidRPr="00E56F9C">
              <w:rPr>
                <w:b/>
                <w:bCs/>
                <w:color w:val="0067B6"/>
                <w:sz w:val="22"/>
              </w:rPr>
              <w:t>Actions if target not met</w:t>
            </w:r>
          </w:p>
        </w:tc>
      </w:tr>
      <w:tr w:rsidR="00ED28AA" w:rsidRPr="00ED28AA" w14:paraId="2051A681" w14:textId="77777777" w:rsidTr="00E9429B">
        <w:trPr>
          <w:trHeight w:val="988"/>
        </w:trPr>
        <w:tc>
          <w:tcPr>
            <w:tcW w:w="1838" w:type="dxa"/>
            <w:tcBorders>
              <w:top w:val="single" w:sz="4" w:space="0" w:color="auto"/>
              <w:left w:val="single" w:sz="4" w:space="0" w:color="auto"/>
              <w:bottom w:val="single" w:sz="4" w:space="0" w:color="auto"/>
              <w:right w:val="single" w:sz="4" w:space="0" w:color="auto"/>
            </w:tcBorders>
            <w:hideMark/>
          </w:tcPr>
          <w:p w14:paraId="2B772B33" w14:textId="77777777" w:rsidR="00B22DEE" w:rsidRPr="00ED28AA" w:rsidRDefault="00B22DEE">
            <w:pPr>
              <w:rPr>
                <w:color w:val="0070C0"/>
                <w:sz w:val="22"/>
              </w:rPr>
            </w:pPr>
            <w:r w:rsidRPr="00ED28AA">
              <w:rPr>
                <w:color w:val="0070C0"/>
                <w:sz w:val="22"/>
              </w:rPr>
              <w:lastRenderedPageBreak/>
              <w:t>H1: Housing Site Allocations</w:t>
            </w:r>
          </w:p>
        </w:tc>
        <w:tc>
          <w:tcPr>
            <w:tcW w:w="3544" w:type="dxa"/>
            <w:gridSpan w:val="2"/>
            <w:tcBorders>
              <w:top w:val="single" w:sz="4" w:space="0" w:color="auto"/>
              <w:left w:val="single" w:sz="4" w:space="0" w:color="auto"/>
              <w:bottom w:val="single" w:sz="4" w:space="0" w:color="auto"/>
              <w:right w:val="single" w:sz="4" w:space="0" w:color="auto"/>
            </w:tcBorders>
          </w:tcPr>
          <w:p w14:paraId="15C1205E" w14:textId="77777777" w:rsidR="00B22DEE" w:rsidRPr="00ED28AA" w:rsidRDefault="00B22DEE">
            <w:pPr>
              <w:rPr>
                <w:color w:val="0070C0"/>
                <w:sz w:val="22"/>
              </w:rPr>
            </w:pPr>
            <w:r w:rsidRPr="00ED28AA">
              <w:rPr>
                <w:color w:val="0070C0"/>
                <w:sz w:val="22"/>
              </w:rPr>
              <w:t xml:space="preserve">Progress with delivery of allocated sites at key stages, </w:t>
            </w:r>
            <w:proofErr w:type="spellStart"/>
            <w:r w:rsidRPr="00ED28AA">
              <w:rPr>
                <w:color w:val="0070C0"/>
                <w:sz w:val="22"/>
              </w:rPr>
              <w:t>e.g</w:t>
            </w:r>
            <w:proofErr w:type="spellEnd"/>
            <w:r w:rsidRPr="00ED28AA">
              <w:rPr>
                <w:color w:val="0070C0"/>
                <w:sz w:val="22"/>
              </w:rPr>
              <w:t>:</w:t>
            </w:r>
          </w:p>
          <w:p w14:paraId="2D036BA6" w14:textId="77777777" w:rsidR="00B22DEE" w:rsidRPr="00ED28AA" w:rsidRDefault="00B22DEE" w:rsidP="00B22DEE">
            <w:pPr>
              <w:pStyle w:val="ListParagraph"/>
              <w:numPr>
                <w:ilvl w:val="0"/>
                <w:numId w:val="392"/>
              </w:numPr>
              <w:spacing w:after="0" w:line="240" w:lineRule="auto"/>
              <w:rPr>
                <w:color w:val="0070C0"/>
                <w:sz w:val="22"/>
                <w:szCs w:val="20"/>
              </w:rPr>
            </w:pPr>
            <w:r w:rsidRPr="00ED28AA">
              <w:rPr>
                <w:color w:val="0070C0"/>
                <w:sz w:val="22"/>
                <w:szCs w:val="20"/>
              </w:rPr>
              <w:t>Application submission</w:t>
            </w:r>
          </w:p>
          <w:p w14:paraId="77458D4D" w14:textId="77777777" w:rsidR="00B22DEE" w:rsidRPr="00ED28AA" w:rsidRDefault="00B22DEE" w:rsidP="00B22DEE">
            <w:pPr>
              <w:pStyle w:val="ListParagraph"/>
              <w:numPr>
                <w:ilvl w:val="0"/>
                <w:numId w:val="392"/>
              </w:numPr>
              <w:spacing w:after="0" w:line="240" w:lineRule="auto"/>
              <w:rPr>
                <w:color w:val="0070C0"/>
                <w:sz w:val="22"/>
                <w:szCs w:val="20"/>
              </w:rPr>
            </w:pPr>
            <w:r w:rsidRPr="00ED28AA">
              <w:rPr>
                <w:color w:val="0070C0"/>
                <w:sz w:val="22"/>
                <w:szCs w:val="20"/>
              </w:rPr>
              <w:t>Application determination</w:t>
            </w:r>
          </w:p>
          <w:p w14:paraId="424AC68C" w14:textId="77777777" w:rsidR="00B22DEE" w:rsidRPr="00ED28AA" w:rsidRDefault="00B22DEE" w:rsidP="00B22DEE">
            <w:pPr>
              <w:pStyle w:val="ListParagraph"/>
              <w:numPr>
                <w:ilvl w:val="0"/>
                <w:numId w:val="392"/>
              </w:numPr>
              <w:spacing w:after="0" w:line="240" w:lineRule="auto"/>
              <w:rPr>
                <w:color w:val="0070C0"/>
                <w:sz w:val="22"/>
                <w:szCs w:val="20"/>
              </w:rPr>
            </w:pPr>
            <w:r w:rsidRPr="00ED28AA">
              <w:rPr>
                <w:color w:val="0070C0"/>
                <w:sz w:val="22"/>
                <w:szCs w:val="20"/>
              </w:rPr>
              <w:t>Discharge of conditions</w:t>
            </w:r>
          </w:p>
          <w:p w14:paraId="49AFC133" w14:textId="77777777" w:rsidR="00B22DEE" w:rsidRPr="00ED28AA" w:rsidRDefault="00B22DEE" w:rsidP="00B22DEE">
            <w:pPr>
              <w:pStyle w:val="ListParagraph"/>
              <w:numPr>
                <w:ilvl w:val="0"/>
                <w:numId w:val="392"/>
              </w:numPr>
              <w:spacing w:after="0" w:line="240" w:lineRule="auto"/>
              <w:rPr>
                <w:color w:val="0070C0"/>
                <w:sz w:val="22"/>
                <w:szCs w:val="20"/>
              </w:rPr>
            </w:pPr>
            <w:r w:rsidRPr="00ED28AA">
              <w:rPr>
                <w:color w:val="0070C0"/>
                <w:sz w:val="22"/>
                <w:szCs w:val="20"/>
              </w:rPr>
              <w:t>Commencement of works</w:t>
            </w:r>
          </w:p>
          <w:p w14:paraId="7693A148" w14:textId="77777777" w:rsidR="00B22DEE" w:rsidRPr="00ED28AA" w:rsidRDefault="00B22DEE" w:rsidP="00B22DEE">
            <w:pPr>
              <w:pStyle w:val="ListParagraph"/>
              <w:numPr>
                <w:ilvl w:val="0"/>
                <w:numId w:val="392"/>
              </w:numPr>
              <w:spacing w:after="0" w:line="240" w:lineRule="auto"/>
              <w:rPr>
                <w:color w:val="0070C0"/>
                <w:sz w:val="22"/>
                <w:szCs w:val="20"/>
              </w:rPr>
            </w:pPr>
            <w:r w:rsidRPr="00ED28AA">
              <w:rPr>
                <w:color w:val="0070C0"/>
                <w:sz w:val="22"/>
                <w:szCs w:val="20"/>
              </w:rPr>
              <w:t>Completion of dwellings</w:t>
            </w:r>
          </w:p>
          <w:p w14:paraId="189F4C9B" w14:textId="77777777" w:rsidR="00B22DEE" w:rsidRPr="00ED28AA" w:rsidRDefault="00B22DEE">
            <w:pPr>
              <w:rPr>
                <w:color w:val="0070C0"/>
                <w:sz w:val="22"/>
              </w:rPr>
            </w:pPr>
          </w:p>
          <w:p w14:paraId="324A9D1E" w14:textId="77777777" w:rsidR="00B22DEE" w:rsidRPr="00ED28AA" w:rsidRDefault="00B22DEE">
            <w:pPr>
              <w:rPr>
                <w:color w:val="0070C0"/>
                <w:sz w:val="22"/>
              </w:rPr>
            </w:pPr>
            <w:r w:rsidRPr="00ED28AA">
              <w:rPr>
                <w:color w:val="0070C0"/>
                <w:sz w:val="22"/>
              </w:rPr>
              <w:t>Number of completed dwellings</w:t>
            </w:r>
          </w:p>
          <w:p w14:paraId="737A5453" w14:textId="77777777" w:rsidR="00B22DEE" w:rsidRPr="00ED28AA" w:rsidRDefault="00B22DEE">
            <w:pPr>
              <w:rPr>
                <w:color w:val="0070C0"/>
                <w:sz w:val="22"/>
              </w:rPr>
            </w:pPr>
          </w:p>
          <w:p w14:paraId="3701D87B" w14:textId="77777777" w:rsidR="00B22DEE" w:rsidRPr="00ED28AA" w:rsidRDefault="00B22DEE">
            <w:pPr>
              <w:rPr>
                <w:color w:val="0070C0"/>
                <w:sz w:val="22"/>
              </w:rPr>
            </w:pPr>
            <w:r w:rsidRPr="00ED28AA">
              <w:rPr>
                <w:color w:val="0070C0"/>
                <w:sz w:val="22"/>
              </w:rPr>
              <w:t xml:space="preserve">Further detail within the annual Housing Land Monitoring Report </w:t>
            </w:r>
          </w:p>
        </w:tc>
        <w:tc>
          <w:tcPr>
            <w:tcW w:w="4394" w:type="dxa"/>
            <w:gridSpan w:val="2"/>
            <w:tcBorders>
              <w:top w:val="single" w:sz="4" w:space="0" w:color="auto"/>
              <w:left w:val="single" w:sz="4" w:space="0" w:color="auto"/>
              <w:bottom w:val="single" w:sz="4" w:space="0" w:color="auto"/>
              <w:right w:val="single" w:sz="4" w:space="0" w:color="auto"/>
            </w:tcBorders>
            <w:hideMark/>
          </w:tcPr>
          <w:p w14:paraId="5CDAC8EA" w14:textId="77777777" w:rsidR="00B22DEE" w:rsidRPr="00ED28AA" w:rsidRDefault="00B22DEE">
            <w:pPr>
              <w:rPr>
                <w:color w:val="0070C0"/>
                <w:sz w:val="22"/>
              </w:rPr>
            </w:pPr>
            <w:r w:rsidRPr="00ED28AA">
              <w:rPr>
                <w:color w:val="0070C0"/>
                <w:sz w:val="22"/>
              </w:rPr>
              <w:t>Progress as per assumptions in housing trajectory.</w:t>
            </w:r>
          </w:p>
        </w:tc>
        <w:tc>
          <w:tcPr>
            <w:tcW w:w="4678" w:type="dxa"/>
            <w:gridSpan w:val="2"/>
            <w:tcBorders>
              <w:top w:val="single" w:sz="4" w:space="0" w:color="auto"/>
              <w:left w:val="single" w:sz="4" w:space="0" w:color="auto"/>
              <w:bottom w:val="single" w:sz="4" w:space="0" w:color="auto"/>
              <w:right w:val="single" w:sz="4" w:space="0" w:color="auto"/>
            </w:tcBorders>
          </w:tcPr>
          <w:p w14:paraId="505A97DE" w14:textId="77777777" w:rsidR="00B22DEE" w:rsidRPr="00ED28AA" w:rsidRDefault="00B22DEE">
            <w:pPr>
              <w:rPr>
                <w:color w:val="0070C0"/>
                <w:sz w:val="22"/>
              </w:rPr>
            </w:pPr>
            <w:r w:rsidRPr="00ED28AA">
              <w:rPr>
                <w:color w:val="0070C0"/>
                <w:sz w:val="22"/>
              </w:rPr>
              <w:t>Work with landowners, developers, consultees and other stakeholders to understand reasons for why development is not coming forward and overcome issues.</w:t>
            </w:r>
          </w:p>
          <w:p w14:paraId="3E80F7D7" w14:textId="77777777" w:rsidR="00B22DEE" w:rsidRPr="00ED28AA" w:rsidRDefault="00B22DEE">
            <w:pPr>
              <w:rPr>
                <w:color w:val="0070C0"/>
                <w:sz w:val="22"/>
              </w:rPr>
            </w:pPr>
          </w:p>
          <w:p w14:paraId="74B0C4ED" w14:textId="77777777" w:rsidR="00B22DEE" w:rsidRPr="00ED28AA" w:rsidRDefault="00B22DEE">
            <w:pPr>
              <w:rPr>
                <w:color w:val="0070C0"/>
                <w:sz w:val="22"/>
              </w:rPr>
            </w:pPr>
            <w:r w:rsidRPr="00ED28AA">
              <w:rPr>
                <w:color w:val="0070C0"/>
                <w:sz w:val="22"/>
              </w:rPr>
              <w:t>Consider production of masterplans / supplementary plans where this will enable delivery of allocated sites.</w:t>
            </w:r>
          </w:p>
          <w:p w14:paraId="3C7F9F6D" w14:textId="77777777" w:rsidR="00B22DEE" w:rsidRPr="00ED28AA" w:rsidRDefault="00B22DEE">
            <w:pPr>
              <w:rPr>
                <w:color w:val="0070C0"/>
                <w:sz w:val="22"/>
              </w:rPr>
            </w:pPr>
          </w:p>
          <w:p w14:paraId="0713DEA9" w14:textId="77777777" w:rsidR="00B22DEE" w:rsidRPr="00ED28AA" w:rsidRDefault="00B22DEE">
            <w:pPr>
              <w:rPr>
                <w:color w:val="0070C0"/>
                <w:sz w:val="22"/>
              </w:rPr>
            </w:pPr>
            <w:r w:rsidRPr="00ED28AA">
              <w:rPr>
                <w:color w:val="0070C0"/>
                <w:sz w:val="22"/>
              </w:rPr>
              <w:t>Review of the Local Plan.</w:t>
            </w:r>
          </w:p>
        </w:tc>
      </w:tr>
      <w:tr w:rsidR="00ED28AA" w:rsidRPr="00ED28AA" w14:paraId="3A2043CC" w14:textId="77777777" w:rsidTr="00E9429B">
        <w:trPr>
          <w:trHeight w:val="842"/>
        </w:trPr>
        <w:tc>
          <w:tcPr>
            <w:tcW w:w="1838" w:type="dxa"/>
            <w:tcBorders>
              <w:top w:val="single" w:sz="4" w:space="0" w:color="auto"/>
              <w:left w:val="single" w:sz="4" w:space="0" w:color="auto"/>
              <w:bottom w:val="single" w:sz="4" w:space="0" w:color="auto"/>
              <w:right w:val="single" w:sz="4" w:space="0" w:color="auto"/>
            </w:tcBorders>
            <w:hideMark/>
          </w:tcPr>
          <w:p w14:paraId="776D63AC" w14:textId="77777777" w:rsidR="00B22DEE" w:rsidRPr="00ED28AA" w:rsidRDefault="00B22DEE">
            <w:pPr>
              <w:rPr>
                <w:color w:val="0070C0"/>
                <w:sz w:val="22"/>
              </w:rPr>
            </w:pPr>
            <w:r w:rsidRPr="00ED28AA">
              <w:rPr>
                <w:color w:val="0070C0"/>
                <w:sz w:val="22"/>
              </w:rPr>
              <w:t xml:space="preserve">H2: Provision for Gypsies, Travellers and Travelling </w:t>
            </w:r>
            <w:proofErr w:type="spellStart"/>
            <w:r w:rsidRPr="00ED28AA">
              <w:rPr>
                <w:color w:val="0070C0"/>
                <w:sz w:val="22"/>
              </w:rPr>
              <w:t>Showpeople</w:t>
            </w:r>
            <w:proofErr w:type="spellEnd"/>
          </w:p>
        </w:tc>
        <w:tc>
          <w:tcPr>
            <w:tcW w:w="3544" w:type="dxa"/>
            <w:gridSpan w:val="2"/>
            <w:tcBorders>
              <w:top w:val="single" w:sz="4" w:space="0" w:color="auto"/>
              <w:left w:val="single" w:sz="4" w:space="0" w:color="auto"/>
              <w:bottom w:val="single" w:sz="4" w:space="0" w:color="auto"/>
              <w:right w:val="single" w:sz="4" w:space="0" w:color="auto"/>
            </w:tcBorders>
          </w:tcPr>
          <w:p w14:paraId="3A95C242" w14:textId="77777777" w:rsidR="00B22DEE" w:rsidRPr="00ED28AA" w:rsidRDefault="00B22DEE">
            <w:pPr>
              <w:rPr>
                <w:color w:val="0070C0"/>
                <w:sz w:val="22"/>
              </w:rPr>
            </w:pPr>
            <w:r w:rsidRPr="00ED28AA">
              <w:rPr>
                <w:color w:val="0070C0"/>
                <w:sz w:val="22"/>
              </w:rPr>
              <w:t xml:space="preserve">Number of applications approved for Gypsy, Traveller and Travelling </w:t>
            </w:r>
            <w:proofErr w:type="spellStart"/>
            <w:r w:rsidRPr="00ED28AA">
              <w:rPr>
                <w:color w:val="0070C0"/>
                <w:sz w:val="22"/>
              </w:rPr>
              <w:t>Showpeople</w:t>
            </w:r>
            <w:proofErr w:type="spellEnd"/>
            <w:r w:rsidRPr="00ED28AA">
              <w:rPr>
                <w:color w:val="0070C0"/>
                <w:sz w:val="22"/>
              </w:rPr>
              <w:t xml:space="preserve"> sites</w:t>
            </w:r>
          </w:p>
          <w:p w14:paraId="1E4A32B9" w14:textId="77777777" w:rsidR="00B22DEE" w:rsidRPr="00ED28AA" w:rsidRDefault="00B22DEE">
            <w:pPr>
              <w:rPr>
                <w:color w:val="0070C0"/>
                <w:sz w:val="22"/>
              </w:rPr>
            </w:pPr>
          </w:p>
          <w:p w14:paraId="1F88A765" w14:textId="77777777" w:rsidR="00B22DEE" w:rsidRPr="00ED28AA" w:rsidRDefault="00B22DEE">
            <w:pPr>
              <w:rPr>
                <w:color w:val="0070C0"/>
                <w:sz w:val="22"/>
              </w:rPr>
            </w:pPr>
            <w:r w:rsidRPr="00ED28AA">
              <w:rPr>
                <w:color w:val="0070C0"/>
                <w:sz w:val="22"/>
              </w:rPr>
              <w:t>Net additional pitches / plots</w:t>
            </w:r>
          </w:p>
          <w:p w14:paraId="588A8C68" w14:textId="77777777" w:rsidR="00B22DEE" w:rsidRPr="00ED28AA" w:rsidRDefault="00B22DEE">
            <w:pPr>
              <w:rPr>
                <w:color w:val="0070C0"/>
                <w:sz w:val="22"/>
                <w:highlight w:val="yellow"/>
              </w:rPr>
            </w:pPr>
          </w:p>
          <w:p w14:paraId="56394CE5" w14:textId="77777777" w:rsidR="00B22DEE" w:rsidRPr="00ED28AA" w:rsidRDefault="00B22DEE">
            <w:pPr>
              <w:rPr>
                <w:color w:val="0070C0"/>
                <w:sz w:val="22"/>
              </w:rPr>
            </w:pPr>
            <w:r w:rsidRPr="00ED28AA">
              <w:rPr>
                <w:color w:val="0070C0"/>
                <w:sz w:val="22"/>
              </w:rPr>
              <w:t>Further detail within the annual Housing Land Monitoring Report</w:t>
            </w:r>
          </w:p>
        </w:tc>
        <w:tc>
          <w:tcPr>
            <w:tcW w:w="4394" w:type="dxa"/>
            <w:gridSpan w:val="2"/>
            <w:tcBorders>
              <w:top w:val="single" w:sz="4" w:space="0" w:color="auto"/>
              <w:left w:val="single" w:sz="4" w:space="0" w:color="auto"/>
              <w:bottom w:val="single" w:sz="4" w:space="0" w:color="auto"/>
              <w:right w:val="single" w:sz="4" w:space="0" w:color="auto"/>
            </w:tcBorders>
          </w:tcPr>
          <w:p w14:paraId="6F47C23C" w14:textId="77777777" w:rsidR="00B22DEE" w:rsidRPr="00ED28AA" w:rsidRDefault="00B22DEE">
            <w:pPr>
              <w:rPr>
                <w:color w:val="0070C0"/>
                <w:sz w:val="22"/>
              </w:rPr>
            </w:pPr>
            <w:r w:rsidRPr="00ED28AA">
              <w:rPr>
                <w:color w:val="0070C0"/>
                <w:sz w:val="22"/>
              </w:rPr>
              <w:t>Review of accommodation need every 5 years to guide decision making.</w:t>
            </w:r>
          </w:p>
          <w:p w14:paraId="2EF357DB" w14:textId="77777777" w:rsidR="00B22DEE" w:rsidRPr="00ED28AA" w:rsidRDefault="00B22DEE">
            <w:pPr>
              <w:rPr>
                <w:color w:val="0070C0"/>
                <w:sz w:val="22"/>
              </w:rPr>
            </w:pPr>
          </w:p>
          <w:p w14:paraId="487E414D" w14:textId="77777777" w:rsidR="00B22DEE" w:rsidRPr="00ED28AA" w:rsidRDefault="00B22DEE">
            <w:pPr>
              <w:rPr>
                <w:color w:val="0070C0"/>
                <w:sz w:val="22"/>
              </w:rPr>
            </w:pPr>
          </w:p>
          <w:p w14:paraId="2E9C1186" w14:textId="77777777" w:rsidR="00B22DEE" w:rsidRPr="00ED28AA" w:rsidRDefault="00B22DEE">
            <w:pPr>
              <w:rPr>
                <w:color w:val="0070C0"/>
                <w:sz w:val="22"/>
              </w:rPr>
            </w:pPr>
            <w:r w:rsidRPr="00ED28AA">
              <w:rPr>
                <w:color w:val="0070C0"/>
                <w:sz w:val="22"/>
              </w:rPr>
              <w:t>Monitor number of pitches and plots which will count towards meeting identified need.</w:t>
            </w:r>
          </w:p>
        </w:tc>
        <w:tc>
          <w:tcPr>
            <w:tcW w:w="4678" w:type="dxa"/>
            <w:gridSpan w:val="2"/>
            <w:tcBorders>
              <w:top w:val="single" w:sz="4" w:space="0" w:color="auto"/>
              <w:left w:val="single" w:sz="4" w:space="0" w:color="auto"/>
              <w:bottom w:val="single" w:sz="4" w:space="0" w:color="auto"/>
              <w:right w:val="single" w:sz="4" w:space="0" w:color="auto"/>
            </w:tcBorders>
          </w:tcPr>
          <w:p w14:paraId="34590065" w14:textId="77777777" w:rsidR="00B22DEE" w:rsidRPr="00ED28AA" w:rsidRDefault="00B22DEE">
            <w:pPr>
              <w:rPr>
                <w:color w:val="0070C0"/>
                <w:sz w:val="22"/>
              </w:rPr>
            </w:pPr>
            <w:r w:rsidRPr="00ED28AA">
              <w:rPr>
                <w:color w:val="0070C0"/>
                <w:sz w:val="22"/>
              </w:rPr>
              <w:t>Update traveller needs assessment to determine if identified need remains valid.</w:t>
            </w:r>
          </w:p>
          <w:p w14:paraId="5570FDCE" w14:textId="77777777" w:rsidR="00B22DEE" w:rsidRPr="00ED28AA" w:rsidRDefault="00B22DEE">
            <w:pPr>
              <w:rPr>
                <w:color w:val="0070C0"/>
                <w:sz w:val="22"/>
              </w:rPr>
            </w:pPr>
          </w:p>
          <w:p w14:paraId="6AC59CE1" w14:textId="77777777" w:rsidR="00B22DEE" w:rsidRPr="00ED28AA" w:rsidRDefault="00B22DEE">
            <w:pPr>
              <w:rPr>
                <w:color w:val="0070C0"/>
                <w:sz w:val="22"/>
              </w:rPr>
            </w:pPr>
            <w:r w:rsidRPr="00ED28AA">
              <w:rPr>
                <w:color w:val="0070C0"/>
                <w:sz w:val="22"/>
              </w:rPr>
              <w:t>Consider review of Local Plan and/or production of supplementary plan or guidance document.</w:t>
            </w:r>
          </w:p>
        </w:tc>
      </w:tr>
      <w:tr w:rsidR="00ED28AA" w:rsidRPr="00ED28AA" w14:paraId="4F41D266" w14:textId="77777777" w:rsidTr="00E9429B">
        <w:trPr>
          <w:trHeight w:val="842"/>
        </w:trPr>
        <w:tc>
          <w:tcPr>
            <w:tcW w:w="1838" w:type="dxa"/>
            <w:tcBorders>
              <w:top w:val="single" w:sz="4" w:space="0" w:color="auto"/>
              <w:left w:val="single" w:sz="4" w:space="0" w:color="auto"/>
              <w:bottom w:val="single" w:sz="4" w:space="0" w:color="auto"/>
              <w:right w:val="single" w:sz="4" w:space="0" w:color="auto"/>
            </w:tcBorders>
            <w:hideMark/>
          </w:tcPr>
          <w:p w14:paraId="02D5BDDB" w14:textId="77777777" w:rsidR="00B22DEE" w:rsidRPr="00ED28AA" w:rsidRDefault="00B22DEE">
            <w:pPr>
              <w:rPr>
                <w:color w:val="0070C0"/>
                <w:sz w:val="22"/>
              </w:rPr>
            </w:pPr>
            <w:r w:rsidRPr="00ED28AA">
              <w:rPr>
                <w:color w:val="0070C0"/>
                <w:sz w:val="22"/>
              </w:rPr>
              <w:lastRenderedPageBreak/>
              <w:t xml:space="preserve">H2a: Gypsy, Travellers and Travelling </w:t>
            </w:r>
            <w:proofErr w:type="spellStart"/>
            <w:r w:rsidRPr="00ED28AA">
              <w:rPr>
                <w:color w:val="0070C0"/>
                <w:sz w:val="22"/>
              </w:rPr>
              <w:t>Showpeople</w:t>
            </w:r>
            <w:proofErr w:type="spellEnd"/>
            <w:r w:rsidRPr="00ED28AA">
              <w:rPr>
                <w:color w:val="0070C0"/>
                <w:sz w:val="22"/>
              </w:rPr>
              <w:t xml:space="preserve"> Site Allocation</w:t>
            </w:r>
          </w:p>
        </w:tc>
        <w:tc>
          <w:tcPr>
            <w:tcW w:w="3544" w:type="dxa"/>
            <w:gridSpan w:val="2"/>
            <w:tcBorders>
              <w:top w:val="single" w:sz="4" w:space="0" w:color="auto"/>
              <w:left w:val="single" w:sz="4" w:space="0" w:color="auto"/>
              <w:bottom w:val="single" w:sz="4" w:space="0" w:color="auto"/>
              <w:right w:val="single" w:sz="4" w:space="0" w:color="auto"/>
            </w:tcBorders>
          </w:tcPr>
          <w:p w14:paraId="5CE13EBE" w14:textId="77777777" w:rsidR="00B22DEE" w:rsidRPr="00ED28AA" w:rsidRDefault="00B22DEE">
            <w:pPr>
              <w:rPr>
                <w:color w:val="0070C0"/>
                <w:sz w:val="22"/>
              </w:rPr>
            </w:pPr>
            <w:r w:rsidRPr="00ED28AA">
              <w:rPr>
                <w:color w:val="0070C0"/>
                <w:sz w:val="22"/>
              </w:rPr>
              <w:t xml:space="preserve">Delivery of allocated sites for use by the Gypsy, Traveller and Travelling </w:t>
            </w:r>
            <w:proofErr w:type="spellStart"/>
            <w:r w:rsidRPr="00ED28AA">
              <w:rPr>
                <w:color w:val="0070C0"/>
                <w:sz w:val="22"/>
              </w:rPr>
              <w:t>Showpeople</w:t>
            </w:r>
            <w:proofErr w:type="spellEnd"/>
            <w:r w:rsidRPr="00ED28AA">
              <w:rPr>
                <w:color w:val="0070C0"/>
                <w:sz w:val="22"/>
              </w:rPr>
              <w:t xml:space="preserve"> community.</w:t>
            </w:r>
          </w:p>
          <w:p w14:paraId="4830E41B" w14:textId="77777777" w:rsidR="00B22DEE" w:rsidRPr="00ED28AA" w:rsidRDefault="00B22DEE">
            <w:pPr>
              <w:rPr>
                <w:color w:val="0070C0"/>
                <w:sz w:val="22"/>
              </w:rPr>
            </w:pPr>
          </w:p>
          <w:p w14:paraId="16ABAB90" w14:textId="77777777" w:rsidR="00B22DEE" w:rsidRPr="00ED28AA" w:rsidRDefault="00B22DEE">
            <w:pPr>
              <w:rPr>
                <w:color w:val="0070C0"/>
                <w:sz w:val="22"/>
              </w:rPr>
            </w:pPr>
            <w:r w:rsidRPr="00ED28AA">
              <w:rPr>
                <w:color w:val="0070C0"/>
                <w:sz w:val="22"/>
              </w:rPr>
              <w:t>Net additional pitches / plots</w:t>
            </w:r>
          </w:p>
          <w:p w14:paraId="52E17F4A" w14:textId="77777777" w:rsidR="00B22DEE" w:rsidRPr="00ED28AA" w:rsidRDefault="00B22DEE">
            <w:pPr>
              <w:rPr>
                <w:color w:val="0070C0"/>
                <w:sz w:val="22"/>
              </w:rPr>
            </w:pPr>
          </w:p>
          <w:p w14:paraId="2FDD1AC4" w14:textId="77777777" w:rsidR="00B22DEE" w:rsidRPr="00ED28AA" w:rsidRDefault="00B22DEE">
            <w:pPr>
              <w:rPr>
                <w:color w:val="0070C0"/>
                <w:sz w:val="22"/>
              </w:rPr>
            </w:pPr>
            <w:r w:rsidRPr="00ED28AA">
              <w:rPr>
                <w:color w:val="0070C0"/>
                <w:sz w:val="22"/>
              </w:rPr>
              <w:t>Further detail within the annual Housing Land Monitoring Report</w:t>
            </w:r>
          </w:p>
        </w:tc>
        <w:tc>
          <w:tcPr>
            <w:tcW w:w="4394" w:type="dxa"/>
            <w:gridSpan w:val="2"/>
            <w:tcBorders>
              <w:top w:val="single" w:sz="4" w:space="0" w:color="auto"/>
              <w:left w:val="single" w:sz="4" w:space="0" w:color="auto"/>
              <w:bottom w:val="single" w:sz="4" w:space="0" w:color="auto"/>
              <w:right w:val="single" w:sz="4" w:space="0" w:color="auto"/>
            </w:tcBorders>
          </w:tcPr>
          <w:p w14:paraId="5058A5B9" w14:textId="77777777" w:rsidR="00B22DEE" w:rsidRPr="00ED28AA" w:rsidRDefault="00B22DEE">
            <w:pPr>
              <w:rPr>
                <w:color w:val="0070C0"/>
                <w:sz w:val="22"/>
              </w:rPr>
            </w:pPr>
            <w:r w:rsidRPr="00ED28AA">
              <w:rPr>
                <w:color w:val="0070C0"/>
                <w:sz w:val="22"/>
              </w:rPr>
              <w:t xml:space="preserve">14 additional plots for Travelling </w:t>
            </w:r>
            <w:proofErr w:type="spellStart"/>
            <w:r w:rsidRPr="00ED28AA">
              <w:rPr>
                <w:color w:val="0070C0"/>
                <w:sz w:val="22"/>
              </w:rPr>
              <w:t>Showpeople</w:t>
            </w:r>
            <w:proofErr w:type="spellEnd"/>
            <w:r w:rsidRPr="00ED28AA">
              <w:rPr>
                <w:color w:val="0070C0"/>
                <w:sz w:val="22"/>
              </w:rPr>
              <w:t xml:space="preserve"> and 4 pitches to meet future needs of Gypsies and Travellers.</w:t>
            </w:r>
          </w:p>
          <w:p w14:paraId="73DA7FD9" w14:textId="77777777" w:rsidR="00B22DEE" w:rsidRPr="00ED28AA" w:rsidRDefault="00B22DEE">
            <w:pPr>
              <w:rPr>
                <w:color w:val="0070C0"/>
                <w:sz w:val="22"/>
              </w:rPr>
            </w:pPr>
          </w:p>
          <w:p w14:paraId="20679947" w14:textId="77777777" w:rsidR="00B22DEE" w:rsidRPr="00ED28AA" w:rsidRDefault="00B22DEE">
            <w:pPr>
              <w:rPr>
                <w:color w:val="0070C0"/>
                <w:sz w:val="22"/>
              </w:rPr>
            </w:pPr>
          </w:p>
          <w:p w14:paraId="416FEC92" w14:textId="77777777" w:rsidR="00B22DEE" w:rsidRPr="00ED28AA" w:rsidRDefault="00B22DEE">
            <w:pPr>
              <w:rPr>
                <w:color w:val="0070C0"/>
                <w:sz w:val="22"/>
              </w:rPr>
            </w:pPr>
            <w:r w:rsidRPr="00ED28AA">
              <w:rPr>
                <w:color w:val="0070C0"/>
                <w:sz w:val="22"/>
              </w:rPr>
              <w:t>Monitor number of pitches and plots which will count towards meeting identified need.</w:t>
            </w:r>
          </w:p>
        </w:tc>
        <w:tc>
          <w:tcPr>
            <w:tcW w:w="4678" w:type="dxa"/>
            <w:gridSpan w:val="2"/>
            <w:tcBorders>
              <w:top w:val="single" w:sz="4" w:space="0" w:color="auto"/>
              <w:left w:val="single" w:sz="4" w:space="0" w:color="auto"/>
              <w:bottom w:val="single" w:sz="4" w:space="0" w:color="auto"/>
              <w:right w:val="single" w:sz="4" w:space="0" w:color="auto"/>
            </w:tcBorders>
          </w:tcPr>
          <w:p w14:paraId="7DD36438" w14:textId="77777777" w:rsidR="00B22DEE" w:rsidRPr="00ED28AA" w:rsidRDefault="00B22DEE">
            <w:pPr>
              <w:rPr>
                <w:color w:val="0070C0"/>
                <w:sz w:val="22"/>
              </w:rPr>
            </w:pPr>
            <w:r w:rsidRPr="00ED28AA">
              <w:rPr>
                <w:color w:val="0070C0"/>
                <w:sz w:val="22"/>
              </w:rPr>
              <w:t>Contact landowners of allocated sites to determine any causes of planning applications being delayed.</w:t>
            </w:r>
          </w:p>
          <w:p w14:paraId="31B8A79D" w14:textId="77777777" w:rsidR="00B22DEE" w:rsidRPr="00ED28AA" w:rsidRDefault="00B22DEE">
            <w:pPr>
              <w:rPr>
                <w:color w:val="0070C0"/>
                <w:sz w:val="22"/>
              </w:rPr>
            </w:pPr>
          </w:p>
          <w:p w14:paraId="140301D6" w14:textId="77777777" w:rsidR="00B22DEE" w:rsidRPr="00ED28AA" w:rsidRDefault="00B22DEE">
            <w:pPr>
              <w:rPr>
                <w:color w:val="0070C0"/>
                <w:sz w:val="22"/>
              </w:rPr>
            </w:pPr>
          </w:p>
          <w:p w14:paraId="526A3360" w14:textId="77777777" w:rsidR="00B22DEE" w:rsidRPr="00ED28AA" w:rsidRDefault="00B22DEE">
            <w:pPr>
              <w:rPr>
                <w:color w:val="0070C0"/>
                <w:sz w:val="22"/>
              </w:rPr>
            </w:pPr>
            <w:r w:rsidRPr="00ED28AA">
              <w:rPr>
                <w:color w:val="0070C0"/>
                <w:sz w:val="22"/>
              </w:rPr>
              <w:t>Update traveller needs assessment to determine if identified need remains valid.</w:t>
            </w:r>
          </w:p>
        </w:tc>
      </w:tr>
      <w:tr w:rsidR="00ED28AA" w:rsidRPr="00ED28AA" w14:paraId="333A7D76" w14:textId="77777777" w:rsidTr="00E9429B">
        <w:trPr>
          <w:trHeight w:val="842"/>
        </w:trPr>
        <w:tc>
          <w:tcPr>
            <w:tcW w:w="1838" w:type="dxa"/>
            <w:tcBorders>
              <w:top w:val="single" w:sz="4" w:space="0" w:color="auto"/>
              <w:left w:val="single" w:sz="4" w:space="0" w:color="auto"/>
              <w:bottom w:val="single" w:sz="4" w:space="0" w:color="auto"/>
              <w:right w:val="single" w:sz="4" w:space="0" w:color="auto"/>
            </w:tcBorders>
            <w:hideMark/>
          </w:tcPr>
          <w:p w14:paraId="483B196C" w14:textId="77777777" w:rsidR="00B22DEE" w:rsidRPr="00ED28AA" w:rsidRDefault="00B22DEE">
            <w:pPr>
              <w:rPr>
                <w:color w:val="0070C0"/>
                <w:sz w:val="22"/>
              </w:rPr>
            </w:pPr>
            <w:r w:rsidRPr="00ED28AA">
              <w:rPr>
                <w:color w:val="0070C0"/>
                <w:sz w:val="22"/>
              </w:rPr>
              <w:t>H3: Affordable Housing</w:t>
            </w:r>
          </w:p>
        </w:tc>
        <w:tc>
          <w:tcPr>
            <w:tcW w:w="3544" w:type="dxa"/>
            <w:gridSpan w:val="2"/>
            <w:tcBorders>
              <w:top w:val="single" w:sz="4" w:space="0" w:color="auto"/>
              <w:left w:val="single" w:sz="4" w:space="0" w:color="auto"/>
              <w:bottom w:val="single" w:sz="4" w:space="0" w:color="auto"/>
              <w:right w:val="single" w:sz="4" w:space="0" w:color="auto"/>
            </w:tcBorders>
          </w:tcPr>
          <w:p w14:paraId="1E4B12C3" w14:textId="77777777" w:rsidR="00B22DEE" w:rsidRPr="00ED28AA" w:rsidRDefault="00B22DEE">
            <w:pPr>
              <w:rPr>
                <w:color w:val="0070C0"/>
                <w:sz w:val="22"/>
              </w:rPr>
            </w:pPr>
            <w:r w:rsidRPr="00ED28AA">
              <w:rPr>
                <w:color w:val="0070C0"/>
                <w:sz w:val="22"/>
              </w:rPr>
              <w:t>Number of sites not meeting affordable housing requirement.</w:t>
            </w:r>
          </w:p>
          <w:p w14:paraId="411B841A" w14:textId="77777777" w:rsidR="00B22DEE" w:rsidRPr="00ED28AA" w:rsidRDefault="00B22DEE">
            <w:pPr>
              <w:rPr>
                <w:color w:val="0070C0"/>
                <w:sz w:val="22"/>
              </w:rPr>
            </w:pPr>
          </w:p>
          <w:p w14:paraId="57A7BB4D" w14:textId="77777777" w:rsidR="00B22DEE" w:rsidRPr="00ED28AA" w:rsidRDefault="00B22DEE">
            <w:pPr>
              <w:rPr>
                <w:color w:val="0070C0"/>
                <w:sz w:val="22"/>
              </w:rPr>
            </w:pPr>
            <w:r w:rsidRPr="00ED28AA">
              <w:rPr>
                <w:color w:val="0070C0"/>
                <w:sz w:val="22"/>
              </w:rPr>
              <w:t>Net affordable homes delivered</w:t>
            </w:r>
          </w:p>
          <w:p w14:paraId="58C95B5A" w14:textId="77777777" w:rsidR="00B22DEE" w:rsidRPr="00ED28AA" w:rsidRDefault="00B22DEE">
            <w:pPr>
              <w:rPr>
                <w:color w:val="0070C0"/>
                <w:sz w:val="22"/>
              </w:rPr>
            </w:pPr>
          </w:p>
          <w:p w14:paraId="3FC2787E" w14:textId="77777777" w:rsidR="00B22DEE" w:rsidRPr="00ED28AA" w:rsidRDefault="00B22DEE">
            <w:pPr>
              <w:rPr>
                <w:color w:val="0070C0"/>
                <w:sz w:val="22"/>
              </w:rPr>
            </w:pPr>
            <w:r w:rsidRPr="00ED28AA">
              <w:rPr>
                <w:color w:val="0070C0"/>
                <w:sz w:val="22"/>
              </w:rPr>
              <w:t>Further detail within the annual Housing Land Monitoring Report</w:t>
            </w:r>
          </w:p>
        </w:tc>
        <w:tc>
          <w:tcPr>
            <w:tcW w:w="4394" w:type="dxa"/>
            <w:gridSpan w:val="2"/>
            <w:tcBorders>
              <w:top w:val="single" w:sz="4" w:space="0" w:color="auto"/>
              <w:left w:val="single" w:sz="4" w:space="0" w:color="auto"/>
              <w:bottom w:val="single" w:sz="4" w:space="0" w:color="auto"/>
              <w:right w:val="single" w:sz="4" w:space="0" w:color="auto"/>
            </w:tcBorders>
          </w:tcPr>
          <w:p w14:paraId="229549B9" w14:textId="77777777" w:rsidR="00B22DEE" w:rsidRPr="00ED28AA" w:rsidRDefault="00B22DEE">
            <w:pPr>
              <w:rPr>
                <w:color w:val="0070C0"/>
                <w:sz w:val="22"/>
              </w:rPr>
            </w:pPr>
            <w:r w:rsidRPr="00ED28AA">
              <w:rPr>
                <w:color w:val="0070C0"/>
                <w:sz w:val="22"/>
              </w:rPr>
              <w:t>All sites to meet requirements as per policy H3.</w:t>
            </w:r>
          </w:p>
          <w:p w14:paraId="543A10C7" w14:textId="77777777" w:rsidR="00B22DEE" w:rsidRPr="00ED28AA" w:rsidRDefault="00B22DEE">
            <w:pPr>
              <w:rPr>
                <w:color w:val="0070C0"/>
                <w:sz w:val="22"/>
              </w:rPr>
            </w:pPr>
          </w:p>
          <w:p w14:paraId="52A28293" w14:textId="77777777" w:rsidR="00B22DEE" w:rsidRPr="00ED28AA" w:rsidRDefault="00B22DEE">
            <w:pPr>
              <w:rPr>
                <w:color w:val="0070C0"/>
                <w:sz w:val="22"/>
              </w:rPr>
            </w:pPr>
            <w:r w:rsidRPr="00ED28AA">
              <w:rPr>
                <w:color w:val="0070C0"/>
                <w:sz w:val="22"/>
              </w:rPr>
              <w:t>Sufficient to meet local need as set out in S7 and latest housing needs assessment.</w:t>
            </w:r>
          </w:p>
        </w:tc>
        <w:tc>
          <w:tcPr>
            <w:tcW w:w="4678" w:type="dxa"/>
            <w:gridSpan w:val="2"/>
            <w:tcBorders>
              <w:top w:val="single" w:sz="4" w:space="0" w:color="auto"/>
              <w:left w:val="single" w:sz="4" w:space="0" w:color="auto"/>
              <w:bottom w:val="single" w:sz="4" w:space="0" w:color="auto"/>
              <w:right w:val="single" w:sz="4" w:space="0" w:color="auto"/>
            </w:tcBorders>
          </w:tcPr>
          <w:p w14:paraId="3F782AE7" w14:textId="77777777" w:rsidR="00B22DEE" w:rsidRPr="00ED28AA" w:rsidRDefault="00B22DEE">
            <w:pPr>
              <w:rPr>
                <w:color w:val="0070C0"/>
                <w:sz w:val="22"/>
              </w:rPr>
            </w:pPr>
            <w:r w:rsidRPr="00ED28AA">
              <w:rPr>
                <w:color w:val="0070C0"/>
                <w:sz w:val="22"/>
              </w:rPr>
              <w:t>Review of the Local Plan.</w:t>
            </w:r>
          </w:p>
          <w:p w14:paraId="0012B02C" w14:textId="77777777" w:rsidR="00B22DEE" w:rsidRPr="00ED28AA" w:rsidRDefault="00B22DEE">
            <w:pPr>
              <w:rPr>
                <w:color w:val="0070C0"/>
                <w:sz w:val="22"/>
              </w:rPr>
            </w:pPr>
          </w:p>
          <w:p w14:paraId="67FD29B3" w14:textId="77777777" w:rsidR="00B22DEE" w:rsidRPr="00ED28AA" w:rsidRDefault="00B22DEE">
            <w:pPr>
              <w:rPr>
                <w:color w:val="0070C0"/>
                <w:sz w:val="22"/>
              </w:rPr>
            </w:pPr>
            <w:r w:rsidRPr="00ED28AA">
              <w:rPr>
                <w:color w:val="0070C0"/>
                <w:sz w:val="22"/>
              </w:rPr>
              <w:t>Review planning obligations to determine if these are affecting viability</w:t>
            </w:r>
          </w:p>
          <w:p w14:paraId="7635AE30" w14:textId="77777777" w:rsidR="00B22DEE" w:rsidRPr="00ED28AA" w:rsidRDefault="00B22DEE">
            <w:pPr>
              <w:rPr>
                <w:color w:val="0070C0"/>
                <w:sz w:val="22"/>
              </w:rPr>
            </w:pPr>
          </w:p>
          <w:p w14:paraId="04686013" w14:textId="77777777" w:rsidR="00B22DEE" w:rsidRPr="00ED28AA" w:rsidRDefault="00B22DEE">
            <w:pPr>
              <w:rPr>
                <w:color w:val="0070C0"/>
                <w:sz w:val="22"/>
              </w:rPr>
            </w:pPr>
            <w:r w:rsidRPr="00ED28AA">
              <w:rPr>
                <w:color w:val="0070C0"/>
                <w:sz w:val="22"/>
              </w:rPr>
              <w:t>Contact developers of schemes with affordable housing to determine barriers to delivery.</w:t>
            </w:r>
          </w:p>
        </w:tc>
      </w:tr>
      <w:tr w:rsidR="00ED28AA" w:rsidRPr="00ED28AA" w14:paraId="28A302E8" w14:textId="77777777" w:rsidTr="00E9429B">
        <w:trPr>
          <w:trHeight w:val="988"/>
        </w:trPr>
        <w:tc>
          <w:tcPr>
            <w:tcW w:w="1838" w:type="dxa"/>
            <w:tcBorders>
              <w:top w:val="single" w:sz="4" w:space="0" w:color="auto"/>
              <w:left w:val="single" w:sz="4" w:space="0" w:color="auto"/>
              <w:bottom w:val="single" w:sz="4" w:space="0" w:color="auto"/>
              <w:right w:val="single" w:sz="4" w:space="0" w:color="auto"/>
            </w:tcBorders>
            <w:hideMark/>
          </w:tcPr>
          <w:p w14:paraId="65EBF96C" w14:textId="77777777" w:rsidR="00B22DEE" w:rsidRPr="00ED28AA" w:rsidRDefault="00B22DEE">
            <w:pPr>
              <w:rPr>
                <w:color w:val="0070C0"/>
                <w:sz w:val="22"/>
              </w:rPr>
            </w:pPr>
            <w:r w:rsidRPr="00ED28AA">
              <w:rPr>
                <w:color w:val="0070C0"/>
                <w:sz w:val="22"/>
              </w:rPr>
              <w:t>H4: Rural Exceptions Sites</w:t>
            </w:r>
          </w:p>
        </w:tc>
        <w:tc>
          <w:tcPr>
            <w:tcW w:w="3544" w:type="dxa"/>
            <w:gridSpan w:val="2"/>
            <w:tcBorders>
              <w:top w:val="single" w:sz="4" w:space="0" w:color="auto"/>
              <w:left w:val="single" w:sz="4" w:space="0" w:color="auto"/>
              <w:bottom w:val="single" w:sz="4" w:space="0" w:color="auto"/>
              <w:right w:val="single" w:sz="4" w:space="0" w:color="auto"/>
            </w:tcBorders>
          </w:tcPr>
          <w:p w14:paraId="28CC911B" w14:textId="77777777" w:rsidR="00B22DEE" w:rsidRPr="00ED28AA" w:rsidRDefault="00B22DEE">
            <w:pPr>
              <w:rPr>
                <w:color w:val="0070C0"/>
                <w:sz w:val="22"/>
              </w:rPr>
            </w:pPr>
            <w:r w:rsidRPr="00ED28AA">
              <w:rPr>
                <w:color w:val="0070C0"/>
                <w:sz w:val="22"/>
              </w:rPr>
              <w:t>Net affordable homes delivered on exceptions sites (and gross)</w:t>
            </w:r>
          </w:p>
          <w:p w14:paraId="4AE78FBA" w14:textId="77777777" w:rsidR="00B22DEE" w:rsidRPr="00ED28AA" w:rsidRDefault="00B22DEE">
            <w:pPr>
              <w:rPr>
                <w:color w:val="0070C0"/>
                <w:sz w:val="22"/>
              </w:rPr>
            </w:pPr>
          </w:p>
          <w:p w14:paraId="3081A106" w14:textId="77777777" w:rsidR="00B22DEE" w:rsidRPr="00ED28AA" w:rsidRDefault="00B22DEE">
            <w:pPr>
              <w:rPr>
                <w:color w:val="0070C0"/>
                <w:sz w:val="22"/>
              </w:rPr>
            </w:pPr>
            <w:r w:rsidRPr="00ED28AA">
              <w:rPr>
                <w:color w:val="0070C0"/>
                <w:sz w:val="22"/>
              </w:rPr>
              <w:t>Further detail within the annual Housing Land Monitoring Report</w:t>
            </w:r>
          </w:p>
        </w:tc>
        <w:tc>
          <w:tcPr>
            <w:tcW w:w="4394" w:type="dxa"/>
            <w:gridSpan w:val="2"/>
            <w:tcBorders>
              <w:top w:val="single" w:sz="4" w:space="0" w:color="auto"/>
              <w:left w:val="single" w:sz="4" w:space="0" w:color="auto"/>
              <w:bottom w:val="single" w:sz="4" w:space="0" w:color="auto"/>
              <w:right w:val="single" w:sz="4" w:space="0" w:color="auto"/>
            </w:tcBorders>
            <w:hideMark/>
          </w:tcPr>
          <w:p w14:paraId="780B1D79" w14:textId="77777777" w:rsidR="00B22DEE" w:rsidRPr="00ED28AA" w:rsidRDefault="00B22DEE">
            <w:pPr>
              <w:rPr>
                <w:color w:val="0070C0"/>
                <w:sz w:val="22"/>
              </w:rPr>
            </w:pPr>
            <w:r w:rsidRPr="00ED28AA">
              <w:rPr>
                <w:color w:val="0070C0"/>
                <w:sz w:val="22"/>
              </w:rPr>
              <w:t>There is no specific target for rural exceptions, but monitoring will assist with understanding if there is a local need.</w:t>
            </w:r>
          </w:p>
        </w:tc>
        <w:tc>
          <w:tcPr>
            <w:tcW w:w="4678" w:type="dxa"/>
            <w:gridSpan w:val="2"/>
            <w:tcBorders>
              <w:top w:val="single" w:sz="4" w:space="0" w:color="auto"/>
              <w:left w:val="single" w:sz="4" w:space="0" w:color="auto"/>
              <w:bottom w:val="single" w:sz="4" w:space="0" w:color="auto"/>
              <w:right w:val="single" w:sz="4" w:space="0" w:color="auto"/>
            </w:tcBorders>
            <w:hideMark/>
          </w:tcPr>
          <w:p w14:paraId="5D7690EF" w14:textId="77777777" w:rsidR="00B22DEE" w:rsidRPr="00ED28AA" w:rsidRDefault="00B22DEE">
            <w:pPr>
              <w:rPr>
                <w:color w:val="0070C0"/>
                <w:sz w:val="22"/>
              </w:rPr>
            </w:pPr>
            <w:r w:rsidRPr="00ED28AA">
              <w:rPr>
                <w:color w:val="0070C0"/>
                <w:sz w:val="22"/>
              </w:rPr>
              <w:t>If a local level Housing Needs Survey establishes there is a particular need, the Council will consider working with landowners / developers / Registered Providers to identify specific sites to meet that need.</w:t>
            </w:r>
          </w:p>
        </w:tc>
      </w:tr>
      <w:tr w:rsidR="00ED28AA" w:rsidRPr="00ED28AA" w14:paraId="430E0D00" w14:textId="77777777" w:rsidTr="00E9429B">
        <w:trPr>
          <w:trHeight w:val="842"/>
        </w:trPr>
        <w:tc>
          <w:tcPr>
            <w:tcW w:w="1838" w:type="dxa"/>
            <w:tcBorders>
              <w:top w:val="single" w:sz="4" w:space="0" w:color="auto"/>
              <w:left w:val="single" w:sz="4" w:space="0" w:color="auto"/>
              <w:bottom w:val="single" w:sz="4" w:space="0" w:color="auto"/>
              <w:right w:val="single" w:sz="4" w:space="0" w:color="auto"/>
            </w:tcBorders>
            <w:hideMark/>
          </w:tcPr>
          <w:p w14:paraId="10B34F35" w14:textId="77777777" w:rsidR="00B22DEE" w:rsidRPr="00ED28AA" w:rsidRDefault="00B22DEE">
            <w:pPr>
              <w:rPr>
                <w:color w:val="0070C0"/>
                <w:sz w:val="22"/>
              </w:rPr>
            </w:pPr>
            <w:r w:rsidRPr="00ED28AA">
              <w:rPr>
                <w:color w:val="0070C0"/>
                <w:sz w:val="22"/>
              </w:rPr>
              <w:lastRenderedPageBreak/>
              <w:t>H5: Public Open Space on New Residential Developments</w:t>
            </w:r>
          </w:p>
        </w:tc>
        <w:tc>
          <w:tcPr>
            <w:tcW w:w="3544" w:type="dxa"/>
            <w:gridSpan w:val="2"/>
            <w:tcBorders>
              <w:top w:val="single" w:sz="4" w:space="0" w:color="auto"/>
              <w:left w:val="single" w:sz="4" w:space="0" w:color="auto"/>
              <w:bottom w:val="single" w:sz="4" w:space="0" w:color="auto"/>
              <w:right w:val="single" w:sz="4" w:space="0" w:color="auto"/>
            </w:tcBorders>
          </w:tcPr>
          <w:p w14:paraId="49F25E53" w14:textId="77777777" w:rsidR="00B22DEE" w:rsidRPr="00ED28AA" w:rsidRDefault="00B22DEE">
            <w:pPr>
              <w:rPr>
                <w:color w:val="0070C0"/>
                <w:sz w:val="22"/>
              </w:rPr>
            </w:pPr>
            <w:r w:rsidRPr="00ED28AA">
              <w:rPr>
                <w:color w:val="0070C0"/>
                <w:sz w:val="22"/>
              </w:rPr>
              <w:t>S106 commitments from signed agreements towards public open space on new residential development</w:t>
            </w:r>
          </w:p>
          <w:p w14:paraId="72196739" w14:textId="77777777" w:rsidR="00B22DEE" w:rsidRPr="00ED28AA" w:rsidRDefault="00B22DEE">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tcPr>
          <w:p w14:paraId="5399E413" w14:textId="77777777" w:rsidR="00B22DEE" w:rsidRPr="00ED28AA" w:rsidRDefault="00B22DEE">
            <w:pPr>
              <w:rPr>
                <w:color w:val="0070C0"/>
                <w:sz w:val="22"/>
              </w:rPr>
            </w:pPr>
            <w:r w:rsidRPr="00ED28AA">
              <w:rPr>
                <w:color w:val="0070C0"/>
                <w:sz w:val="22"/>
              </w:rPr>
              <w:t>All new public open space (or contributions towards existing open space) should be provided in line with the requirements of policy H5.</w:t>
            </w:r>
          </w:p>
          <w:p w14:paraId="51CF9C2C" w14:textId="77777777" w:rsidR="00B22DEE" w:rsidRPr="00ED28AA" w:rsidRDefault="00B22DEE">
            <w:pPr>
              <w:rPr>
                <w:color w:val="0070C0"/>
                <w:sz w:val="22"/>
              </w:rPr>
            </w:pPr>
          </w:p>
          <w:p w14:paraId="24A713B6" w14:textId="77777777" w:rsidR="00B22DEE" w:rsidRPr="00ED28AA" w:rsidRDefault="00B22DEE">
            <w:pPr>
              <w:rPr>
                <w:color w:val="0070C0"/>
                <w:sz w:val="22"/>
              </w:rPr>
            </w:pPr>
            <w:r w:rsidRPr="00ED28AA">
              <w:rPr>
                <w:color w:val="0070C0"/>
                <w:sz w:val="22"/>
              </w:rPr>
              <w:t xml:space="preserve">All open space delivered in the </w:t>
            </w:r>
            <w:proofErr w:type="gramStart"/>
            <w:r w:rsidRPr="00ED28AA">
              <w:rPr>
                <w:color w:val="0070C0"/>
                <w:sz w:val="22"/>
              </w:rPr>
              <w:t>District</w:t>
            </w:r>
            <w:proofErr w:type="gramEnd"/>
            <w:r w:rsidRPr="00ED28AA">
              <w:rPr>
                <w:color w:val="0070C0"/>
                <w:sz w:val="22"/>
              </w:rPr>
              <w:t xml:space="preserve"> should meet the standards set out in the Public Open Space Strategy.</w:t>
            </w:r>
          </w:p>
        </w:tc>
        <w:tc>
          <w:tcPr>
            <w:tcW w:w="4678" w:type="dxa"/>
            <w:gridSpan w:val="2"/>
            <w:tcBorders>
              <w:top w:val="single" w:sz="4" w:space="0" w:color="auto"/>
              <w:left w:val="single" w:sz="4" w:space="0" w:color="auto"/>
              <w:bottom w:val="single" w:sz="4" w:space="0" w:color="auto"/>
              <w:right w:val="single" w:sz="4" w:space="0" w:color="auto"/>
            </w:tcBorders>
          </w:tcPr>
          <w:p w14:paraId="38ABEAC9" w14:textId="77777777" w:rsidR="00B22DEE" w:rsidRPr="00ED28AA" w:rsidRDefault="00B22DEE">
            <w:pPr>
              <w:rPr>
                <w:color w:val="0070C0"/>
                <w:sz w:val="22"/>
              </w:rPr>
            </w:pPr>
            <w:r w:rsidRPr="00ED28AA">
              <w:rPr>
                <w:color w:val="0070C0"/>
                <w:sz w:val="22"/>
              </w:rPr>
              <w:t>Review implementation of policy.</w:t>
            </w:r>
          </w:p>
          <w:p w14:paraId="365AE74E" w14:textId="77777777" w:rsidR="00B22DEE" w:rsidRPr="00ED28AA" w:rsidRDefault="00B22DEE">
            <w:pPr>
              <w:rPr>
                <w:color w:val="0070C0"/>
                <w:sz w:val="22"/>
              </w:rPr>
            </w:pPr>
          </w:p>
          <w:p w14:paraId="58685D59" w14:textId="77777777" w:rsidR="00B22DEE" w:rsidRPr="00ED28AA" w:rsidRDefault="00B22DEE">
            <w:pPr>
              <w:rPr>
                <w:color w:val="0070C0"/>
                <w:sz w:val="22"/>
              </w:rPr>
            </w:pPr>
            <w:r w:rsidRPr="00ED28AA">
              <w:rPr>
                <w:color w:val="0070C0"/>
                <w:sz w:val="22"/>
              </w:rPr>
              <w:t>Review other planning obligations to determine if this is limiting implementation of policy</w:t>
            </w:r>
          </w:p>
          <w:p w14:paraId="36D1FA25" w14:textId="77777777" w:rsidR="00B22DEE" w:rsidRPr="00ED28AA" w:rsidRDefault="00B22DEE">
            <w:pPr>
              <w:rPr>
                <w:color w:val="0070C0"/>
                <w:sz w:val="22"/>
              </w:rPr>
            </w:pPr>
          </w:p>
          <w:p w14:paraId="30763CFA" w14:textId="77777777" w:rsidR="00B22DEE" w:rsidRPr="00ED28AA" w:rsidRDefault="00B22DEE">
            <w:pPr>
              <w:rPr>
                <w:color w:val="0070C0"/>
                <w:sz w:val="22"/>
              </w:rPr>
            </w:pPr>
            <w:r w:rsidRPr="00ED28AA">
              <w:rPr>
                <w:color w:val="0070C0"/>
                <w:sz w:val="22"/>
              </w:rPr>
              <w:t>Work with colleagues in Regeneration team to ensure policy approach is securing improvements required.</w:t>
            </w:r>
          </w:p>
        </w:tc>
      </w:tr>
      <w:tr w:rsidR="00ED28AA" w:rsidRPr="00ED28AA" w14:paraId="14D6C4AB" w14:textId="77777777" w:rsidTr="00E9429B">
        <w:trPr>
          <w:trHeight w:val="842"/>
        </w:trPr>
        <w:tc>
          <w:tcPr>
            <w:tcW w:w="1838" w:type="dxa"/>
            <w:tcBorders>
              <w:top w:val="single" w:sz="4" w:space="0" w:color="auto"/>
              <w:left w:val="single" w:sz="4" w:space="0" w:color="auto"/>
              <w:bottom w:val="single" w:sz="4" w:space="0" w:color="auto"/>
              <w:right w:val="single" w:sz="4" w:space="0" w:color="auto"/>
            </w:tcBorders>
            <w:hideMark/>
          </w:tcPr>
          <w:p w14:paraId="4D794F78" w14:textId="77777777" w:rsidR="00B22DEE" w:rsidRPr="00ED28AA" w:rsidRDefault="00B22DEE">
            <w:pPr>
              <w:rPr>
                <w:color w:val="0070C0"/>
                <w:sz w:val="22"/>
              </w:rPr>
            </w:pPr>
            <w:r w:rsidRPr="00ED28AA">
              <w:rPr>
                <w:color w:val="0070C0"/>
                <w:sz w:val="22"/>
              </w:rPr>
              <w:t>H6: Housing Mix</w:t>
            </w:r>
          </w:p>
        </w:tc>
        <w:tc>
          <w:tcPr>
            <w:tcW w:w="3544" w:type="dxa"/>
            <w:gridSpan w:val="2"/>
            <w:tcBorders>
              <w:top w:val="single" w:sz="4" w:space="0" w:color="auto"/>
              <w:left w:val="single" w:sz="4" w:space="0" w:color="auto"/>
              <w:bottom w:val="single" w:sz="4" w:space="0" w:color="auto"/>
              <w:right w:val="single" w:sz="4" w:space="0" w:color="auto"/>
            </w:tcBorders>
          </w:tcPr>
          <w:p w14:paraId="41EA7ADF" w14:textId="77777777" w:rsidR="00B22DEE" w:rsidRPr="00ED28AA" w:rsidRDefault="00B22DEE">
            <w:pPr>
              <w:rPr>
                <w:color w:val="0070C0"/>
                <w:sz w:val="22"/>
              </w:rPr>
            </w:pPr>
            <w:r w:rsidRPr="00ED28AA">
              <w:rPr>
                <w:color w:val="0070C0"/>
                <w:sz w:val="22"/>
              </w:rPr>
              <w:t>Mix of housing delivered (tenure and bedroom numbers)</w:t>
            </w:r>
          </w:p>
          <w:p w14:paraId="5B789367" w14:textId="77777777" w:rsidR="00B22DEE" w:rsidRPr="00ED28AA" w:rsidRDefault="00B22DEE">
            <w:pPr>
              <w:rPr>
                <w:color w:val="0070C0"/>
                <w:sz w:val="22"/>
              </w:rPr>
            </w:pPr>
          </w:p>
          <w:p w14:paraId="3BBBC0D1" w14:textId="77777777" w:rsidR="00B22DEE" w:rsidRPr="00ED28AA" w:rsidRDefault="00B22DEE">
            <w:pPr>
              <w:rPr>
                <w:color w:val="0070C0"/>
                <w:sz w:val="22"/>
              </w:rPr>
            </w:pPr>
          </w:p>
          <w:p w14:paraId="2CE0E912" w14:textId="77777777" w:rsidR="00B22DEE" w:rsidRPr="00ED28AA" w:rsidRDefault="00B22DEE">
            <w:pPr>
              <w:rPr>
                <w:color w:val="0070C0"/>
                <w:sz w:val="22"/>
              </w:rPr>
            </w:pPr>
            <w:r w:rsidRPr="00ED28AA">
              <w:rPr>
                <w:color w:val="0070C0"/>
                <w:sz w:val="22"/>
              </w:rPr>
              <w:t>Number of specialist</w:t>
            </w:r>
            <w:r w:rsidRPr="00ED28AA">
              <w:rPr>
                <w:color w:val="0070C0"/>
              </w:rPr>
              <w:t xml:space="preserve"> </w:t>
            </w:r>
            <w:r w:rsidRPr="00ED28AA">
              <w:rPr>
                <w:color w:val="0070C0"/>
                <w:sz w:val="22"/>
              </w:rPr>
              <w:t>accommodation units and care-bed spaces for older people approved</w:t>
            </w:r>
          </w:p>
          <w:p w14:paraId="4B5A1488" w14:textId="77777777" w:rsidR="00B22DEE" w:rsidRPr="00ED28AA" w:rsidRDefault="00B22DEE">
            <w:pPr>
              <w:rPr>
                <w:color w:val="0070C0"/>
                <w:sz w:val="22"/>
              </w:rPr>
            </w:pPr>
          </w:p>
          <w:p w14:paraId="59D279B3" w14:textId="77777777" w:rsidR="00B22DEE" w:rsidRPr="00ED28AA" w:rsidRDefault="00B22DEE">
            <w:pPr>
              <w:rPr>
                <w:color w:val="0070C0"/>
                <w:sz w:val="22"/>
              </w:rPr>
            </w:pPr>
            <w:r w:rsidRPr="00ED28AA">
              <w:rPr>
                <w:color w:val="0070C0"/>
                <w:sz w:val="22"/>
              </w:rPr>
              <w:t>Number of people on self-build register</w:t>
            </w:r>
          </w:p>
          <w:p w14:paraId="7A93AF20" w14:textId="77777777" w:rsidR="00B22DEE" w:rsidRPr="00ED28AA" w:rsidRDefault="00B22DEE">
            <w:pPr>
              <w:rPr>
                <w:color w:val="0070C0"/>
                <w:sz w:val="22"/>
              </w:rPr>
            </w:pPr>
          </w:p>
          <w:p w14:paraId="0EB25C6F" w14:textId="77777777" w:rsidR="00B22DEE" w:rsidRPr="00ED28AA" w:rsidRDefault="00B22DEE">
            <w:pPr>
              <w:rPr>
                <w:color w:val="0070C0"/>
                <w:sz w:val="22"/>
              </w:rPr>
            </w:pPr>
            <w:r w:rsidRPr="00ED28AA">
              <w:rPr>
                <w:color w:val="0070C0"/>
                <w:sz w:val="22"/>
              </w:rPr>
              <w:t>Number of custom and self-build plots granted planning permission</w:t>
            </w:r>
          </w:p>
          <w:p w14:paraId="6B90C0E6" w14:textId="77777777" w:rsidR="00B22DEE" w:rsidRPr="00ED28AA" w:rsidRDefault="00B22DEE">
            <w:pPr>
              <w:rPr>
                <w:color w:val="0070C0"/>
                <w:sz w:val="22"/>
              </w:rPr>
            </w:pPr>
          </w:p>
          <w:p w14:paraId="2B4528B3" w14:textId="77777777" w:rsidR="00B22DEE" w:rsidRPr="00ED28AA" w:rsidRDefault="00B22DEE">
            <w:pPr>
              <w:rPr>
                <w:color w:val="0070C0"/>
                <w:sz w:val="22"/>
              </w:rPr>
            </w:pPr>
            <w:r w:rsidRPr="00ED28AA">
              <w:rPr>
                <w:color w:val="0070C0"/>
                <w:sz w:val="22"/>
              </w:rPr>
              <w:t>Further detail within the annual Housing Land Monitoring Report</w:t>
            </w:r>
          </w:p>
        </w:tc>
        <w:tc>
          <w:tcPr>
            <w:tcW w:w="4394" w:type="dxa"/>
            <w:gridSpan w:val="2"/>
            <w:tcBorders>
              <w:top w:val="single" w:sz="4" w:space="0" w:color="auto"/>
              <w:left w:val="single" w:sz="4" w:space="0" w:color="auto"/>
              <w:bottom w:val="single" w:sz="4" w:space="0" w:color="auto"/>
              <w:right w:val="single" w:sz="4" w:space="0" w:color="auto"/>
            </w:tcBorders>
          </w:tcPr>
          <w:p w14:paraId="1737194C" w14:textId="77777777" w:rsidR="00B22DEE" w:rsidRPr="00ED28AA" w:rsidRDefault="00B22DEE">
            <w:pPr>
              <w:rPr>
                <w:color w:val="0070C0"/>
                <w:sz w:val="22"/>
              </w:rPr>
            </w:pPr>
            <w:r w:rsidRPr="00ED28AA">
              <w:rPr>
                <w:color w:val="0070C0"/>
                <w:sz w:val="22"/>
              </w:rPr>
              <w:t>Housing mix provided should be sufficient to address need identified in the latest housing needs assessment.</w:t>
            </w:r>
          </w:p>
          <w:p w14:paraId="37D229EA" w14:textId="77777777" w:rsidR="00B22DEE" w:rsidRPr="00ED28AA" w:rsidRDefault="00B22DEE">
            <w:pPr>
              <w:rPr>
                <w:color w:val="0070C0"/>
                <w:sz w:val="22"/>
              </w:rPr>
            </w:pPr>
          </w:p>
          <w:p w14:paraId="149EBD6B" w14:textId="77777777" w:rsidR="00B22DEE" w:rsidRPr="00ED28AA" w:rsidRDefault="00B22DEE">
            <w:pPr>
              <w:rPr>
                <w:color w:val="0070C0"/>
                <w:sz w:val="22"/>
              </w:rPr>
            </w:pPr>
            <w:r w:rsidRPr="00ED28AA">
              <w:rPr>
                <w:color w:val="0070C0"/>
                <w:sz w:val="22"/>
              </w:rPr>
              <w:t>10% of new dwellings on developments of 10+ to comply with M4 (Category 2) standards.</w:t>
            </w:r>
          </w:p>
          <w:p w14:paraId="28D56952" w14:textId="77777777" w:rsidR="00B22DEE" w:rsidRPr="00ED28AA" w:rsidRDefault="00B22DEE">
            <w:pPr>
              <w:rPr>
                <w:color w:val="0070C0"/>
                <w:sz w:val="22"/>
              </w:rPr>
            </w:pPr>
          </w:p>
          <w:p w14:paraId="1E363227" w14:textId="77777777" w:rsidR="00B22DEE" w:rsidRPr="00ED28AA" w:rsidRDefault="00B22DEE">
            <w:pPr>
              <w:rPr>
                <w:color w:val="0070C0"/>
                <w:sz w:val="22"/>
              </w:rPr>
            </w:pPr>
          </w:p>
          <w:p w14:paraId="202EC0F6" w14:textId="77777777" w:rsidR="00B22DEE" w:rsidRPr="00ED28AA" w:rsidRDefault="00B22DEE">
            <w:pPr>
              <w:rPr>
                <w:color w:val="0070C0"/>
                <w:sz w:val="22"/>
              </w:rPr>
            </w:pPr>
            <w:r w:rsidRPr="00ED28AA">
              <w:rPr>
                <w:color w:val="0070C0"/>
                <w:sz w:val="22"/>
              </w:rPr>
              <w:t>Delivery of sufficient plots with planning permission to meet need identified on self/custom build register.</w:t>
            </w:r>
          </w:p>
        </w:tc>
        <w:tc>
          <w:tcPr>
            <w:tcW w:w="4678" w:type="dxa"/>
            <w:gridSpan w:val="2"/>
            <w:tcBorders>
              <w:top w:val="single" w:sz="4" w:space="0" w:color="auto"/>
              <w:left w:val="single" w:sz="4" w:space="0" w:color="auto"/>
              <w:bottom w:val="single" w:sz="4" w:space="0" w:color="auto"/>
              <w:right w:val="single" w:sz="4" w:space="0" w:color="auto"/>
            </w:tcBorders>
          </w:tcPr>
          <w:p w14:paraId="3CAD5916" w14:textId="77777777" w:rsidR="00B22DEE" w:rsidRPr="00ED28AA" w:rsidRDefault="00B22DEE">
            <w:pPr>
              <w:rPr>
                <w:color w:val="0070C0"/>
                <w:sz w:val="22"/>
              </w:rPr>
            </w:pPr>
            <w:r w:rsidRPr="00ED28AA">
              <w:rPr>
                <w:color w:val="0070C0"/>
                <w:sz w:val="22"/>
              </w:rPr>
              <w:t>Review implementation of policy and latest housing needs assessment.</w:t>
            </w:r>
          </w:p>
          <w:p w14:paraId="613F71EA" w14:textId="77777777" w:rsidR="00B22DEE" w:rsidRPr="00ED28AA" w:rsidRDefault="00B22DEE">
            <w:pPr>
              <w:rPr>
                <w:color w:val="0070C0"/>
                <w:sz w:val="22"/>
              </w:rPr>
            </w:pPr>
          </w:p>
          <w:p w14:paraId="5A01FE70" w14:textId="77777777" w:rsidR="00B22DEE" w:rsidRPr="00ED28AA" w:rsidRDefault="00B22DEE">
            <w:pPr>
              <w:rPr>
                <w:color w:val="0070C0"/>
                <w:sz w:val="22"/>
              </w:rPr>
            </w:pPr>
          </w:p>
          <w:p w14:paraId="198B0620" w14:textId="77777777" w:rsidR="00B22DEE" w:rsidRPr="00ED28AA" w:rsidRDefault="00B22DEE">
            <w:pPr>
              <w:rPr>
                <w:color w:val="0070C0"/>
                <w:sz w:val="22"/>
              </w:rPr>
            </w:pPr>
            <w:r w:rsidRPr="00ED28AA">
              <w:rPr>
                <w:color w:val="0070C0"/>
                <w:sz w:val="22"/>
              </w:rPr>
              <w:t>Work with developers/landowners to understand and resolve any barriers to the delivery of specialist housing.</w:t>
            </w:r>
          </w:p>
          <w:p w14:paraId="0576C1A3" w14:textId="77777777" w:rsidR="00B22DEE" w:rsidRPr="00ED28AA" w:rsidRDefault="00B22DEE">
            <w:pPr>
              <w:rPr>
                <w:color w:val="0070C0"/>
                <w:sz w:val="22"/>
              </w:rPr>
            </w:pPr>
          </w:p>
          <w:p w14:paraId="37EF2CAF" w14:textId="77777777" w:rsidR="00B22DEE" w:rsidRPr="00ED28AA" w:rsidRDefault="00B22DEE">
            <w:pPr>
              <w:rPr>
                <w:color w:val="0070C0"/>
                <w:sz w:val="22"/>
              </w:rPr>
            </w:pPr>
          </w:p>
          <w:p w14:paraId="6D91FE54" w14:textId="77777777" w:rsidR="00B22DEE" w:rsidRPr="00ED28AA" w:rsidRDefault="00B22DEE">
            <w:pPr>
              <w:rPr>
                <w:color w:val="0070C0"/>
                <w:sz w:val="22"/>
              </w:rPr>
            </w:pPr>
            <w:r w:rsidRPr="00ED28AA">
              <w:rPr>
                <w:color w:val="0070C0"/>
                <w:sz w:val="22"/>
              </w:rPr>
              <w:t>Consider the allocation of Council-owned sites to meet specific requirements in terms of older people, disabled, self-build plots etc.</w:t>
            </w:r>
          </w:p>
        </w:tc>
      </w:tr>
      <w:tr w:rsidR="00ED28AA" w:rsidRPr="00ED28AA" w14:paraId="7C7774AB" w14:textId="77777777" w:rsidTr="00E9429B">
        <w:trPr>
          <w:trHeight w:val="988"/>
        </w:trPr>
        <w:tc>
          <w:tcPr>
            <w:tcW w:w="1838" w:type="dxa"/>
            <w:tcBorders>
              <w:top w:val="single" w:sz="4" w:space="0" w:color="auto"/>
              <w:left w:val="single" w:sz="4" w:space="0" w:color="auto"/>
              <w:bottom w:val="single" w:sz="4" w:space="0" w:color="auto"/>
              <w:right w:val="single" w:sz="4" w:space="0" w:color="auto"/>
            </w:tcBorders>
            <w:hideMark/>
          </w:tcPr>
          <w:p w14:paraId="0E439A2F" w14:textId="77777777" w:rsidR="00B22DEE" w:rsidRPr="00ED28AA" w:rsidRDefault="00B22DEE">
            <w:pPr>
              <w:rPr>
                <w:color w:val="0070C0"/>
                <w:sz w:val="22"/>
              </w:rPr>
            </w:pPr>
            <w:r w:rsidRPr="00ED28AA">
              <w:rPr>
                <w:color w:val="0070C0"/>
                <w:sz w:val="22"/>
              </w:rPr>
              <w:lastRenderedPageBreak/>
              <w:t>H7: Housing Density</w:t>
            </w:r>
          </w:p>
        </w:tc>
        <w:tc>
          <w:tcPr>
            <w:tcW w:w="3544" w:type="dxa"/>
            <w:gridSpan w:val="2"/>
            <w:tcBorders>
              <w:top w:val="single" w:sz="4" w:space="0" w:color="auto"/>
              <w:left w:val="single" w:sz="4" w:space="0" w:color="auto"/>
              <w:bottom w:val="single" w:sz="4" w:space="0" w:color="auto"/>
              <w:right w:val="single" w:sz="4" w:space="0" w:color="auto"/>
            </w:tcBorders>
          </w:tcPr>
          <w:p w14:paraId="527EAA2E" w14:textId="77777777" w:rsidR="00B22DEE" w:rsidRPr="00ED28AA" w:rsidRDefault="00B22DEE">
            <w:pPr>
              <w:rPr>
                <w:color w:val="0070C0"/>
                <w:sz w:val="22"/>
              </w:rPr>
            </w:pPr>
            <w:r w:rsidRPr="00ED28AA">
              <w:rPr>
                <w:color w:val="0070C0"/>
                <w:sz w:val="22"/>
              </w:rPr>
              <w:t>Number of approved residential developments not meeting minimum density requirements</w:t>
            </w:r>
          </w:p>
          <w:p w14:paraId="60538DE3" w14:textId="77777777" w:rsidR="00B22DEE" w:rsidRPr="00ED28AA" w:rsidRDefault="00B22DEE">
            <w:pPr>
              <w:rPr>
                <w:color w:val="0070C0"/>
                <w:sz w:val="22"/>
              </w:rPr>
            </w:pPr>
          </w:p>
          <w:p w14:paraId="00771BE1" w14:textId="77777777" w:rsidR="00B22DEE" w:rsidRPr="00ED28AA" w:rsidRDefault="00B22DEE">
            <w:pPr>
              <w:rPr>
                <w:color w:val="0070C0"/>
                <w:sz w:val="22"/>
              </w:rPr>
            </w:pPr>
            <w:r w:rsidRPr="00ED28AA">
              <w:rPr>
                <w:color w:val="0070C0"/>
                <w:sz w:val="22"/>
              </w:rPr>
              <w:t>Further detail within the annual Housing Land Monitoring Report</w:t>
            </w:r>
          </w:p>
        </w:tc>
        <w:tc>
          <w:tcPr>
            <w:tcW w:w="4394" w:type="dxa"/>
            <w:gridSpan w:val="2"/>
            <w:tcBorders>
              <w:top w:val="single" w:sz="4" w:space="0" w:color="auto"/>
              <w:left w:val="single" w:sz="4" w:space="0" w:color="auto"/>
              <w:bottom w:val="single" w:sz="4" w:space="0" w:color="auto"/>
              <w:right w:val="single" w:sz="4" w:space="0" w:color="auto"/>
            </w:tcBorders>
            <w:hideMark/>
          </w:tcPr>
          <w:p w14:paraId="7475351E" w14:textId="77777777" w:rsidR="00B22DEE" w:rsidRPr="00ED28AA" w:rsidRDefault="00B22DEE">
            <w:pPr>
              <w:rPr>
                <w:color w:val="0070C0"/>
                <w:sz w:val="22"/>
              </w:rPr>
            </w:pPr>
            <w:r w:rsidRPr="00ED28AA">
              <w:rPr>
                <w:color w:val="0070C0"/>
                <w:sz w:val="22"/>
              </w:rPr>
              <w:t>All residential development to meet minimum densities as set out in policy H7.</w:t>
            </w:r>
          </w:p>
        </w:tc>
        <w:tc>
          <w:tcPr>
            <w:tcW w:w="4678" w:type="dxa"/>
            <w:gridSpan w:val="2"/>
            <w:tcBorders>
              <w:top w:val="single" w:sz="4" w:space="0" w:color="auto"/>
              <w:left w:val="single" w:sz="4" w:space="0" w:color="auto"/>
              <w:bottom w:val="single" w:sz="4" w:space="0" w:color="auto"/>
              <w:right w:val="single" w:sz="4" w:space="0" w:color="auto"/>
            </w:tcBorders>
          </w:tcPr>
          <w:p w14:paraId="4F83AA72" w14:textId="77777777" w:rsidR="00B22DEE" w:rsidRPr="00ED28AA" w:rsidRDefault="00B22DEE">
            <w:pPr>
              <w:rPr>
                <w:color w:val="0070C0"/>
                <w:sz w:val="22"/>
              </w:rPr>
            </w:pPr>
            <w:r w:rsidRPr="00ED28AA">
              <w:rPr>
                <w:color w:val="0070C0"/>
                <w:sz w:val="22"/>
              </w:rPr>
              <w:t>Review of the Local Plan</w:t>
            </w:r>
          </w:p>
          <w:p w14:paraId="092EC809" w14:textId="77777777" w:rsidR="00B22DEE" w:rsidRPr="00ED28AA" w:rsidRDefault="00B22DEE">
            <w:pPr>
              <w:rPr>
                <w:color w:val="0070C0"/>
                <w:sz w:val="22"/>
              </w:rPr>
            </w:pPr>
          </w:p>
          <w:p w14:paraId="62BCB4F8" w14:textId="77777777" w:rsidR="00B22DEE" w:rsidRPr="00ED28AA" w:rsidRDefault="00B22DEE">
            <w:pPr>
              <w:rPr>
                <w:color w:val="0070C0"/>
                <w:sz w:val="22"/>
              </w:rPr>
            </w:pPr>
            <w:r w:rsidRPr="00ED28AA">
              <w:rPr>
                <w:color w:val="0070C0"/>
                <w:sz w:val="22"/>
              </w:rPr>
              <w:t>Explore why expected densities are not being achieved, including any viability implications.</w:t>
            </w:r>
          </w:p>
        </w:tc>
      </w:tr>
      <w:tr w:rsidR="00ED28AA" w:rsidRPr="00ED28AA" w14:paraId="7A8B8FB7" w14:textId="77777777" w:rsidTr="00E9429B">
        <w:trPr>
          <w:trHeight w:val="842"/>
        </w:trPr>
        <w:tc>
          <w:tcPr>
            <w:tcW w:w="1838" w:type="dxa"/>
            <w:tcBorders>
              <w:top w:val="single" w:sz="4" w:space="0" w:color="auto"/>
              <w:left w:val="single" w:sz="4" w:space="0" w:color="auto"/>
              <w:bottom w:val="single" w:sz="4" w:space="0" w:color="auto"/>
              <w:right w:val="single" w:sz="4" w:space="0" w:color="auto"/>
            </w:tcBorders>
            <w:hideMark/>
          </w:tcPr>
          <w:p w14:paraId="0DC3B784" w14:textId="77777777" w:rsidR="00B22DEE" w:rsidRPr="00ED28AA" w:rsidRDefault="00B22DEE">
            <w:pPr>
              <w:rPr>
                <w:color w:val="0070C0"/>
                <w:sz w:val="22"/>
              </w:rPr>
            </w:pPr>
            <w:r w:rsidRPr="00ED28AA">
              <w:rPr>
                <w:color w:val="0070C0"/>
                <w:sz w:val="22"/>
              </w:rPr>
              <w:t>H8: Houses in Multiple Occupation, Flats and Bedsits</w:t>
            </w:r>
          </w:p>
        </w:tc>
        <w:tc>
          <w:tcPr>
            <w:tcW w:w="3544" w:type="dxa"/>
            <w:gridSpan w:val="2"/>
            <w:tcBorders>
              <w:top w:val="single" w:sz="4" w:space="0" w:color="auto"/>
              <w:left w:val="single" w:sz="4" w:space="0" w:color="auto"/>
              <w:bottom w:val="single" w:sz="4" w:space="0" w:color="auto"/>
              <w:right w:val="single" w:sz="4" w:space="0" w:color="auto"/>
            </w:tcBorders>
          </w:tcPr>
          <w:p w14:paraId="2863EBF1" w14:textId="77777777" w:rsidR="00B22DEE" w:rsidRPr="00ED28AA" w:rsidRDefault="00B22DEE">
            <w:pPr>
              <w:rPr>
                <w:color w:val="0070C0"/>
                <w:sz w:val="22"/>
              </w:rPr>
            </w:pPr>
            <w:r w:rsidRPr="00ED28AA">
              <w:rPr>
                <w:color w:val="0070C0"/>
                <w:sz w:val="22"/>
              </w:rPr>
              <w:t xml:space="preserve">Number of planning applications for conversions to HMOs and the proportion refused/approved </w:t>
            </w:r>
          </w:p>
          <w:p w14:paraId="1C5F3DBE" w14:textId="77777777" w:rsidR="00B22DEE" w:rsidRPr="00ED28AA" w:rsidRDefault="00B22DEE">
            <w:pPr>
              <w:rPr>
                <w:color w:val="0070C0"/>
                <w:sz w:val="22"/>
              </w:rPr>
            </w:pPr>
          </w:p>
          <w:p w14:paraId="0CD0568D" w14:textId="77777777" w:rsidR="00B22DEE" w:rsidRPr="00ED28AA" w:rsidRDefault="00B22DEE">
            <w:pPr>
              <w:rPr>
                <w:color w:val="0070C0"/>
                <w:sz w:val="22"/>
              </w:rPr>
            </w:pPr>
            <w:r w:rsidRPr="00ED28AA">
              <w:rPr>
                <w:color w:val="0070C0"/>
                <w:sz w:val="22"/>
              </w:rPr>
              <w:t>Total number of HMOs in Ashfield and by ward</w:t>
            </w:r>
          </w:p>
          <w:p w14:paraId="2F951F5D" w14:textId="77777777" w:rsidR="00B22DEE" w:rsidRPr="00ED28AA" w:rsidRDefault="00B22DEE">
            <w:pPr>
              <w:rPr>
                <w:color w:val="0070C0"/>
                <w:sz w:val="22"/>
              </w:rPr>
            </w:pPr>
          </w:p>
          <w:p w14:paraId="1C4A0282" w14:textId="77777777" w:rsidR="00B22DEE" w:rsidRDefault="00B22DEE">
            <w:pPr>
              <w:rPr>
                <w:color w:val="0070C0"/>
                <w:sz w:val="22"/>
              </w:rPr>
            </w:pPr>
            <w:r w:rsidRPr="00ED28AA">
              <w:rPr>
                <w:color w:val="0070C0"/>
                <w:sz w:val="22"/>
              </w:rPr>
              <w:t>Further detail within the annual Housing Land Monitoring Report</w:t>
            </w:r>
          </w:p>
          <w:p w14:paraId="06E0F8D9" w14:textId="77777777" w:rsidR="00E9429B" w:rsidRPr="00ED28AA" w:rsidRDefault="00E9429B">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hideMark/>
          </w:tcPr>
          <w:p w14:paraId="7FB749EF" w14:textId="77777777" w:rsidR="00B22DEE" w:rsidRPr="00ED28AA" w:rsidRDefault="00B22DEE">
            <w:pPr>
              <w:rPr>
                <w:color w:val="0070C0"/>
                <w:sz w:val="22"/>
              </w:rPr>
            </w:pPr>
            <w:r w:rsidRPr="00ED28AA">
              <w:rPr>
                <w:color w:val="0070C0"/>
                <w:sz w:val="22"/>
              </w:rPr>
              <w:t>No specific target for these two indicators but commentary will be used to understand whether a high concentration of HMOs is occurring and whether this is causing significant harm to the character of the area or the amenity of nearby residents.</w:t>
            </w:r>
          </w:p>
        </w:tc>
        <w:tc>
          <w:tcPr>
            <w:tcW w:w="4678" w:type="dxa"/>
            <w:gridSpan w:val="2"/>
            <w:tcBorders>
              <w:top w:val="single" w:sz="4" w:space="0" w:color="auto"/>
              <w:left w:val="single" w:sz="4" w:space="0" w:color="auto"/>
              <w:bottom w:val="single" w:sz="4" w:space="0" w:color="auto"/>
              <w:right w:val="single" w:sz="4" w:space="0" w:color="auto"/>
            </w:tcBorders>
          </w:tcPr>
          <w:p w14:paraId="359C635D" w14:textId="77777777" w:rsidR="00B22DEE" w:rsidRPr="00ED28AA" w:rsidRDefault="00B22DEE">
            <w:pPr>
              <w:rPr>
                <w:color w:val="0070C0"/>
                <w:sz w:val="22"/>
              </w:rPr>
            </w:pPr>
            <w:r w:rsidRPr="00ED28AA">
              <w:rPr>
                <w:color w:val="0070C0"/>
                <w:sz w:val="22"/>
              </w:rPr>
              <w:t>Review implementation of policy.</w:t>
            </w:r>
          </w:p>
          <w:p w14:paraId="4B9CC545" w14:textId="77777777" w:rsidR="00B22DEE" w:rsidRPr="00ED28AA" w:rsidRDefault="00B22DEE">
            <w:pPr>
              <w:rPr>
                <w:color w:val="0070C0"/>
                <w:sz w:val="22"/>
              </w:rPr>
            </w:pPr>
          </w:p>
          <w:p w14:paraId="5848C3C7" w14:textId="77777777" w:rsidR="00B22DEE" w:rsidRPr="00ED28AA" w:rsidRDefault="00B22DEE">
            <w:pPr>
              <w:rPr>
                <w:color w:val="0070C0"/>
                <w:sz w:val="22"/>
              </w:rPr>
            </w:pPr>
            <w:r w:rsidRPr="00ED28AA">
              <w:rPr>
                <w:color w:val="0070C0"/>
                <w:sz w:val="22"/>
              </w:rPr>
              <w:t>Consider the use of an Article 4 direction to help prevent harmful over-concentrations of HMOs in specific areas.</w:t>
            </w:r>
          </w:p>
        </w:tc>
      </w:tr>
      <w:tr w:rsidR="00ED28AA" w:rsidRPr="00ED28AA" w14:paraId="6B6AB705" w14:textId="77777777" w:rsidTr="003767A6">
        <w:trPr>
          <w:trHeight w:val="630"/>
        </w:trPr>
        <w:tc>
          <w:tcPr>
            <w:tcW w:w="14454" w:type="dxa"/>
            <w:gridSpan w:val="7"/>
            <w:tcBorders>
              <w:top w:val="single" w:sz="4" w:space="0" w:color="auto"/>
              <w:left w:val="single" w:sz="4" w:space="0" w:color="auto"/>
              <w:bottom w:val="single" w:sz="4" w:space="0" w:color="auto"/>
              <w:right w:val="single" w:sz="4" w:space="0" w:color="auto"/>
            </w:tcBorders>
            <w:shd w:val="clear" w:color="auto" w:fill="E7E6E6" w:themeFill="background2"/>
          </w:tcPr>
          <w:p w14:paraId="474CE144" w14:textId="43F5D455" w:rsidR="001C41BA" w:rsidRPr="00E56F9C" w:rsidRDefault="001C41BA">
            <w:pPr>
              <w:rPr>
                <w:b/>
                <w:bCs/>
                <w:color w:val="0067B6"/>
                <w:sz w:val="22"/>
              </w:rPr>
            </w:pPr>
            <w:r w:rsidRPr="00E56F9C">
              <w:rPr>
                <w:b/>
                <w:bCs/>
                <w:color w:val="0067B6"/>
              </w:rPr>
              <w:t>Building a strong economy which provides opportunities for local people</w:t>
            </w:r>
          </w:p>
        </w:tc>
      </w:tr>
      <w:tr w:rsidR="00ED28AA" w:rsidRPr="00ED28AA" w14:paraId="51880E7E" w14:textId="77777777" w:rsidTr="003767A6">
        <w:trPr>
          <w:trHeight w:val="630"/>
        </w:trPr>
        <w:tc>
          <w:tcPr>
            <w:tcW w:w="18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079BD13" w14:textId="77777777" w:rsidR="00B22DEE" w:rsidRPr="00E56F9C" w:rsidRDefault="00B22DEE">
            <w:pPr>
              <w:rPr>
                <w:b/>
                <w:bCs/>
                <w:color w:val="0067B6"/>
                <w:sz w:val="22"/>
              </w:rPr>
            </w:pPr>
            <w:r w:rsidRPr="00E56F9C">
              <w:rPr>
                <w:b/>
                <w:bCs/>
                <w:color w:val="0067B6"/>
                <w:sz w:val="22"/>
              </w:rPr>
              <w:t>Policy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9573561" w14:textId="77777777" w:rsidR="00B22DEE" w:rsidRPr="00E56F9C" w:rsidRDefault="00B22DEE">
            <w:pPr>
              <w:rPr>
                <w:b/>
                <w:bCs/>
                <w:color w:val="0067B6"/>
                <w:sz w:val="22"/>
              </w:rPr>
            </w:pPr>
            <w:r w:rsidRPr="00E56F9C">
              <w:rPr>
                <w:b/>
                <w:bCs/>
                <w:color w:val="0067B6"/>
                <w:sz w:val="22"/>
              </w:rPr>
              <w:t>Indicator</w:t>
            </w:r>
          </w:p>
        </w:tc>
        <w:tc>
          <w:tcPr>
            <w:tcW w:w="439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11A79BEA" w14:textId="77777777" w:rsidR="00B22DEE" w:rsidRPr="00E56F9C" w:rsidRDefault="00B22DEE">
            <w:pPr>
              <w:rPr>
                <w:b/>
                <w:bCs/>
                <w:color w:val="0067B6"/>
                <w:sz w:val="22"/>
              </w:rPr>
            </w:pPr>
            <w:r w:rsidRPr="00E56F9C">
              <w:rPr>
                <w:b/>
                <w:bCs/>
                <w:color w:val="0067B6"/>
                <w:sz w:val="22"/>
              </w:rPr>
              <w:t>Target</w:t>
            </w:r>
          </w:p>
        </w:tc>
        <w:tc>
          <w:tcPr>
            <w:tcW w:w="467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6151308" w14:textId="77777777" w:rsidR="00B22DEE" w:rsidRPr="00E56F9C" w:rsidRDefault="00B22DEE">
            <w:pPr>
              <w:rPr>
                <w:b/>
                <w:bCs/>
                <w:color w:val="0067B6"/>
                <w:sz w:val="22"/>
              </w:rPr>
            </w:pPr>
            <w:r w:rsidRPr="00E56F9C">
              <w:rPr>
                <w:b/>
                <w:bCs/>
                <w:color w:val="0067B6"/>
                <w:sz w:val="22"/>
              </w:rPr>
              <w:t>Actions if target not met</w:t>
            </w:r>
          </w:p>
        </w:tc>
      </w:tr>
      <w:tr w:rsidR="00ED28AA" w:rsidRPr="00ED28AA" w14:paraId="2EECF15C"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6BA0E9E3" w14:textId="77777777" w:rsidR="00B22DEE" w:rsidRPr="00ED28AA" w:rsidRDefault="00B22DEE">
            <w:pPr>
              <w:rPr>
                <w:color w:val="0070C0"/>
                <w:sz w:val="22"/>
              </w:rPr>
            </w:pPr>
            <w:r w:rsidRPr="00ED28AA">
              <w:rPr>
                <w:color w:val="0070C0"/>
                <w:sz w:val="22"/>
              </w:rPr>
              <w:t>EM1: Business and Economic Development</w:t>
            </w:r>
          </w:p>
        </w:tc>
        <w:tc>
          <w:tcPr>
            <w:tcW w:w="3544" w:type="dxa"/>
            <w:gridSpan w:val="2"/>
            <w:tcBorders>
              <w:top w:val="single" w:sz="4" w:space="0" w:color="auto"/>
              <w:left w:val="single" w:sz="4" w:space="0" w:color="auto"/>
              <w:bottom w:val="single" w:sz="4" w:space="0" w:color="auto"/>
              <w:right w:val="single" w:sz="4" w:space="0" w:color="auto"/>
            </w:tcBorders>
            <w:hideMark/>
          </w:tcPr>
          <w:p w14:paraId="17399BCF" w14:textId="77777777" w:rsidR="00B22DEE" w:rsidRPr="00ED28AA" w:rsidRDefault="00B22DEE">
            <w:pPr>
              <w:rPr>
                <w:color w:val="0070C0"/>
                <w:sz w:val="22"/>
              </w:rPr>
            </w:pPr>
            <w:r w:rsidRPr="00ED28AA">
              <w:rPr>
                <w:color w:val="0070C0"/>
                <w:sz w:val="22"/>
              </w:rPr>
              <w:t>Amount of employment land taken up (allocated and windfall)</w:t>
            </w:r>
          </w:p>
        </w:tc>
        <w:tc>
          <w:tcPr>
            <w:tcW w:w="4394" w:type="dxa"/>
            <w:gridSpan w:val="2"/>
            <w:tcBorders>
              <w:top w:val="single" w:sz="4" w:space="0" w:color="auto"/>
              <w:left w:val="single" w:sz="4" w:space="0" w:color="auto"/>
              <w:bottom w:val="single" w:sz="4" w:space="0" w:color="auto"/>
              <w:right w:val="single" w:sz="4" w:space="0" w:color="auto"/>
            </w:tcBorders>
            <w:hideMark/>
          </w:tcPr>
          <w:p w14:paraId="181B0EDF" w14:textId="77777777" w:rsidR="00B22DEE" w:rsidRPr="00ED28AA" w:rsidRDefault="00B22DEE">
            <w:pPr>
              <w:rPr>
                <w:color w:val="0070C0"/>
                <w:sz w:val="22"/>
              </w:rPr>
            </w:pPr>
            <w:r w:rsidRPr="00ED28AA">
              <w:rPr>
                <w:color w:val="0070C0"/>
                <w:sz w:val="22"/>
              </w:rPr>
              <w:t xml:space="preserve">No specific target for this indicator. The Council’s annual Employment Land Monitoring report will assist in understanding economic development in the </w:t>
            </w:r>
            <w:proofErr w:type="gramStart"/>
            <w:r w:rsidRPr="00ED28AA">
              <w:rPr>
                <w:color w:val="0070C0"/>
                <w:sz w:val="22"/>
              </w:rPr>
              <w:t>District</w:t>
            </w:r>
            <w:proofErr w:type="gramEnd"/>
            <w:r w:rsidRPr="00ED28AA">
              <w:rPr>
                <w:color w:val="0070C0"/>
                <w:sz w:val="22"/>
              </w:rPr>
              <w:t>.</w:t>
            </w:r>
          </w:p>
        </w:tc>
        <w:tc>
          <w:tcPr>
            <w:tcW w:w="4678" w:type="dxa"/>
            <w:gridSpan w:val="2"/>
            <w:tcBorders>
              <w:top w:val="single" w:sz="4" w:space="0" w:color="auto"/>
              <w:left w:val="single" w:sz="4" w:space="0" w:color="auto"/>
              <w:bottom w:val="single" w:sz="4" w:space="0" w:color="auto"/>
              <w:right w:val="single" w:sz="4" w:space="0" w:color="auto"/>
            </w:tcBorders>
          </w:tcPr>
          <w:p w14:paraId="61163D1A" w14:textId="77777777" w:rsidR="00B22DEE" w:rsidRPr="00ED28AA" w:rsidRDefault="00B22DEE">
            <w:pPr>
              <w:rPr>
                <w:color w:val="0070C0"/>
                <w:sz w:val="22"/>
              </w:rPr>
            </w:pPr>
            <w:r w:rsidRPr="00ED28AA">
              <w:rPr>
                <w:color w:val="0070C0"/>
                <w:sz w:val="22"/>
              </w:rPr>
              <w:t>Work with Economic Development team to promote jobs and investment in Ashfield.</w:t>
            </w:r>
          </w:p>
          <w:p w14:paraId="2D330236" w14:textId="77777777" w:rsidR="00B22DEE" w:rsidRPr="00ED28AA" w:rsidRDefault="00B22DEE">
            <w:pPr>
              <w:rPr>
                <w:color w:val="0070C0"/>
                <w:sz w:val="22"/>
              </w:rPr>
            </w:pPr>
          </w:p>
          <w:p w14:paraId="18E89D73" w14:textId="77777777" w:rsidR="00B22DEE" w:rsidRPr="00ED28AA" w:rsidRDefault="00B22DEE">
            <w:pPr>
              <w:rPr>
                <w:color w:val="0070C0"/>
                <w:sz w:val="22"/>
              </w:rPr>
            </w:pPr>
            <w:r w:rsidRPr="00ED28AA">
              <w:rPr>
                <w:color w:val="0070C0"/>
                <w:sz w:val="22"/>
              </w:rPr>
              <w:t>Identify funding and other opportunities which could help unlock sites for economic development.</w:t>
            </w:r>
          </w:p>
        </w:tc>
      </w:tr>
      <w:tr w:rsidR="00ED28AA" w:rsidRPr="00ED28AA" w14:paraId="3FADB968" w14:textId="77777777" w:rsidTr="003767A6">
        <w:trPr>
          <w:trHeight w:val="842"/>
        </w:trPr>
        <w:tc>
          <w:tcPr>
            <w:tcW w:w="1838" w:type="dxa"/>
            <w:tcBorders>
              <w:top w:val="single" w:sz="4" w:space="0" w:color="auto"/>
              <w:left w:val="single" w:sz="4" w:space="0" w:color="auto"/>
              <w:bottom w:val="single" w:sz="4" w:space="0" w:color="auto"/>
              <w:right w:val="single" w:sz="4" w:space="0" w:color="auto"/>
            </w:tcBorders>
            <w:hideMark/>
          </w:tcPr>
          <w:p w14:paraId="52F4332F" w14:textId="77777777" w:rsidR="00B22DEE" w:rsidRPr="00ED28AA" w:rsidRDefault="00B22DEE">
            <w:pPr>
              <w:rPr>
                <w:color w:val="0070C0"/>
                <w:sz w:val="22"/>
              </w:rPr>
            </w:pPr>
            <w:r w:rsidRPr="00ED28AA">
              <w:rPr>
                <w:color w:val="0070C0"/>
                <w:sz w:val="22"/>
              </w:rPr>
              <w:lastRenderedPageBreak/>
              <w:t>EM2: Employment Land Allocations</w:t>
            </w:r>
          </w:p>
        </w:tc>
        <w:tc>
          <w:tcPr>
            <w:tcW w:w="3544" w:type="dxa"/>
            <w:gridSpan w:val="2"/>
            <w:tcBorders>
              <w:top w:val="single" w:sz="4" w:space="0" w:color="auto"/>
              <w:left w:val="single" w:sz="4" w:space="0" w:color="auto"/>
              <w:bottom w:val="single" w:sz="4" w:space="0" w:color="auto"/>
              <w:right w:val="single" w:sz="4" w:space="0" w:color="auto"/>
            </w:tcBorders>
            <w:hideMark/>
          </w:tcPr>
          <w:p w14:paraId="7D5C66F7" w14:textId="77777777" w:rsidR="00B22DEE" w:rsidRPr="00ED28AA" w:rsidRDefault="00B22DEE">
            <w:pPr>
              <w:rPr>
                <w:color w:val="0070C0"/>
                <w:sz w:val="22"/>
              </w:rPr>
            </w:pPr>
            <w:r w:rsidRPr="00ED28AA">
              <w:rPr>
                <w:color w:val="0070C0"/>
                <w:sz w:val="22"/>
              </w:rPr>
              <w:t xml:space="preserve">Progress with delivery of allocated sites at key stages, </w:t>
            </w:r>
            <w:proofErr w:type="spellStart"/>
            <w:r w:rsidRPr="00ED28AA">
              <w:rPr>
                <w:color w:val="0070C0"/>
                <w:sz w:val="22"/>
              </w:rPr>
              <w:t>e.g</w:t>
            </w:r>
            <w:proofErr w:type="spellEnd"/>
            <w:r w:rsidRPr="00ED28AA">
              <w:rPr>
                <w:color w:val="0070C0"/>
                <w:sz w:val="22"/>
              </w:rPr>
              <w:t>:</w:t>
            </w:r>
          </w:p>
          <w:p w14:paraId="5CE70A37" w14:textId="77777777" w:rsidR="00B22DEE" w:rsidRPr="00ED28AA" w:rsidRDefault="00B22DEE" w:rsidP="00B22DEE">
            <w:pPr>
              <w:keepNext w:val="0"/>
              <w:numPr>
                <w:ilvl w:val="0"/>
                <w:numId w:val="392"/>
              </w:numPr>
              <w:spacing w:before="0"/>
              <w:rPr>
                <w:color w:val="0070C0"/>
                <w:sz w:val="22"/>
              </w:rPr>
            </w:pPr>
            <w:r w:rsidRPr="00ED28AA">
              <w:rPr>
                <w:color w:val="0070C0"/>
                <w:sz w:val="22"/>
              </w:rPr>
              <w:t>Application submission</w:t>
            </w:r>
          </w:p>
          <w:p w14:paraId="267FBCD2" w14:textId="77777777" w:rsidR="00B22DEE" w:rsidRPr="00ED28AA" w:rsidRDefault="00B22DEE" w:rsidP="00B22DEE">
            <w:pPr>
              <w:keepNext w:val="0"/>
              <w:numPr>
                <w:ilvl w:val="0"/>
                <w:numId w:val="392"/>
              </w:numPr>
              <w:spacing w:before="0"/>
              <w:rPr>
                <w:color w:val="0070C0"/>
                <w:sz w:val="22"/>
              </w:rPr>
            </w:pPr>
            <w:r w:rsidRPr="00ED28AA">
              <w:rPr>
                <w:color w:val="0070C0"/>
                <w:sz w:val="22"/>
              </w:rPr>
              <w:t>Application determination</w:t>
            </w:r>
          </w:p>
          <w:p w14:paraId="0D7B79CB" w14:textId="77777777" w:rsidR="00B22DEE" w:rsidRPr="00ED28AA" w:rsidRDefault="00B22DEE" w:rsidP="00B22DEE">
            <w:pPr>
              <w:keepNext w:val="0"/>
              <w:numPr>
                <w:ilvl w:val="0"/>
                <w:numId w:val="392"/>
              </w:numPr>
              <w:spacing w:before="0"/>
              <w:rPr>
                <w:color w:val="0070C0"/>
                <w:sz w:val="22"/>
              </w:rPr>
            </w:pPr>
            <w:r w:rsidRPr="00ED28AA">
              <w:rPr>
                <w:color w:val="0070C0"/>
                <w:sz w:val="22"/>
              </w:rPr>
              <w:t>Discharge of conditions</w:t>
            </w:r>
          </w:p>
          <w:p w14:paraId="54FC0862" w14:textId="77777777" w:rsidR="00B22DEE" w:rsidRPr="00ED28AA" w:rsidRDefault="00B22DEE" w:rsidP="00B22DEE">
            <w:pPr>
              <w:keepNext w:val="0"/>
              <w:numPr>
                <w:ilvl w:val="0"/>
                <w:numId w:val="392"/>
              </w:numPr>
              <w:spacing w:before="0"/>
              <w:rPr>
                <w:color w:val="0070C0"/>
                <w:sz w:val="22"/>
              </w:rPr>
            </w:pPr>
            <w:r w:rsidRPr="00ED28AA">
              <w:rPr>
                <w:color w:val="0070C0"/>
                <w:sz w:val="22"/>
              </w:rPr>
              <w:t>Commencement of works</w:t>
            </w:r>
          </w:p>
          <w:p w14:paraId="63DA74CF" w14:textId="77777777" w:rsidR="00B22DEE" w:rsidRPr="00ED28AA" w:rsidRDefault="00B22DEE" w:rsidP="00B22DEE">
            <w:pPr>
              <w:keepNext w:val="0"/>
              <w:numPr>
                <w:ilvl w:val="0"/>
                <w:numId w:val="392"/>
              </w:numPr>
              <w:spacing w:before="0"/>
              <w:rPr>
                <w:color w:val="0070C0"/>
                <w:sz w:val="22"/>
              </w:rPr>
            </w:pPr>
            <w:r w:rsidRPr="00ED28AA">
              <w:rPr>
                <w:color w:val="0070C0"/>
                <w:sz w:val="22"/>
              </w:rPr>
              <w:t>Completion of employment floorspace</w:t>
            </w:r>
          </w:p>
        </w:tc>
        <w:tc>
          <w:tcPr>
            <w:tcW w:w="4394" w:type="dxa"/>
            <w:gridSpan w:val="2"/>
            <w:tcBorders>
              <w:top w:val="single" w:sz="4" w:space="0" w:color="auto"/>
              <w:left w:val="single" w:sz="4" w:space="0" w:color="auto"/>
              <w:bottom w:val="single" w:sz="4" w:space="0" w:color="auto"/>
              <w:right w:val="single" w:sz="4" w:space="0" w:color="auto"/>
            </w:tcBorders>
            <w:hideMark/>
          </w:tcPr>
          <w:p w14:paraId="4EC027E7" w14:textId="77777777" w:rsidR="00B22DEE" w:rsidRPr="00ED28AA" w:rsidRDefault="00B22DEE">
            <w:pPr>
              <w:rPr>
                <w:color w:val="0070C0"/>
                <w:sz w:val="22"/>
              </w:rPr>
            </w:pPr>
            <w:r w:rsidRPr="00ED28AA">
              <w:rPr>
                <w:color w:val="0070C0"/>
                <w:sz w:val="22"/>
              </w:rPr>
              <w:t>Deliver identified sites for employment uses through plan period as set out in EM2.</w:t>
            </w:r>
          </w:p>
        </w:tc>
        <w:tc>
          <w:tcPr>
            <w:tcW w:w="4678" w:type="dxa"/>
            <w:gridSpan w:val="2"/>
            <w:tcBorders>
              <w:top w:val="single" w:sz="4" w:space="0" w:color="auto"/>
              <w:left w:val="single" w:sz="4" w:space="0" w:color="auto"/>
              <w:bottom w:val="single" w:sz="4" w:space="0" w:color="auto"/>
              <w:right w:val="single" w:sz="4" w:space="0" w:color="auto"/>
            </w:tcBorders>
          </w:tcPr>
          <w:p w14:paraId="3CC7A8AD" w14:textId="77777777" w:rsidR="00B22DEE" w:rsidRPr="00ED28AA" w:rsidRDefault="00B22DEE">
            <w:pPr>
              <w:rPr>
                <w:color w:val="0070C0"/>
                <w:sz w:val="22"/>
              </w:rPr>
            </w:pPr>
            <w:r w:rsidRPr="00ED28AA">
              <w:rPr>
                <w:color w:val="0070C0"/>
                <w:sz w:val="22"/>
              </w:rPr>
              <w:t>Work with landowners, developers, consultees and other stakeholders to understand reasons for why development is not coming forward and overcome issues.</w:t>
            </w:r>
          </w:p>
          <w:p w14:paraId="529ED3EE" w14:textId="77777777" w:rsidR="00B22DEE" w:rsidRPr="00ED28AA" w:rsidRDefault="00B22DEE">
            <w:pPr>
              <w:rPr>
                <w:color w:val="0070C0"/>
                <w:sz w:val="22"/>
              </w:rPr>
            </w:pPr>
          </w:p>
          <w:p w14:paraId="32353E8F" w14:textId="77777777" w:rsidR="00B22DEE" w:rsidRPr="00ED28AA" w:rsidRDefault="00B22DEE">
            <w:pPr>
              <w:rPr>
                <w:color w:val="0070C0"/>
                <w:sz w:val="22"/>
              </w:rPr>
            </w:pPr>
            <w:r w:rsidRPr="00ED28AA">
              <w:rPr>
                <w:color w:val="0070C0"/>
                <w:sz w:val="22"/>
              </w:rPr>
              <w:t>Review of the Local Plan</w:t>
            </w:r>
          </w:p>
        </w:tc>
      </w:tr>
      <w:tr w:rsidR="00ED28AA" w:rsidRPr="00ED28AA" w14:paraId="225213C9"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06AEB33C" w14:textId="77777777" w:rsidR="00B22DEE" w:rsidRPr="00ED28AA" w:rsidRDefault="00B22DEE">
            <w:pPr>
              <w:rPr>
                <w:color w:val="0070C0"/>
                <w:sz w:val="22"/>
              </w:rPr>
            </w:pPr>
            <w:r w:rsidRPr="00ED28AA">
              <w:rPr>
                <w:color w:val="0070C0"/>
                <w:sz w:val="22"/>
              </w:rPr>
              <w:t>EM3: Retention of Employment Sites and Allocations</w:t>
            </w:r>
          </w:p>
        </w:tc>
        <w:tc>
          <w:tcPr>
            <w:tcW w:w="3544" w:type="dxa"/>
            <w:gridSpan w:val="2"/>
            <w:tcBorders>
              <w:top w:val="single" w:sz="4" w:space="0" w:color="auto"/>
              <w:left w:val="single" w:sz="4" w:space="0" w:color="auto"/>
              <w:bottom w:val="single" w:sz="4" w:space="0" w:color="auto"/>
              <w:right w:val="single" w:sz="4" w:space="0" w:color="auto"/>
            </w:tcBorders>
            <w:hideMark/>
          </w:tcPr>
          <w:p w14:paraId="771EC036" w14:textId="77777777" w:rsidR="00B22DEE" w:rsidRPr="00ED28AA" w:rsidRDefault="00B22DEE">
            <w:pPr>
              <w:rPr>
                <w:color w:val="0070C0"/>
                <w:sz w:val="22"/>
              </w:rPr>
            </w:pPr>
            <w:r w:rsidRPr="00ED28AA">
              <w:rPr>
                <w:color w:val="0070C0"/>
                <w:sz w:val="22"/>
              </w:rPr>
              <w:t>Employment land lost to non-employment uses</w:t>
            </w:r>
          </w:p>
        </w:tc>
        <w:tc>
          <w:tcPr>
            <w:tcW w:w="4394" w:type="dxa"/>
            <w:gridSpan w:val="2"/>
            <w:tcBorders>
              <w:top w:val="single" w:sz="4" w:space="0" w:color="auto"/>
              <w:left w:val="single" w:sz="4" w:space="0" w:color="auto"/>
              <w:bottom w:val="single" w:sz="4" w:space="0" w:color="auto"/>
              <w:right w:val="single" w:sz="4" w:space="0" w:color="auto"/>
            </w:tcBorders>
            <w:hideMark/>
          </w:tcPr>
          <w:p w14:paraId="71C0D964" w14:textId="77777777" w:rsidR="00B22DEE" w:rsidRPr="00ED28AA" w:rsidRDefault="00B22DEE">
            <w:pPr>
              <w:rPr>
                <w:color w:val="0070C0"/>
                <w:sz w:val="22"/>
              </w:rPr>
            </w:pPr>
            <w:r w:rsidRPr="00ED28AA">
              <w:rPr>
                <w:color w:val="0070C0"/>
                <w:sz w:val="22"/>
              </w:rPr>
              <w:t>No loss of designated employment land.</w:t>
            </w:r>
          </w:p>
        </w:tc>
        <w:tc>
          <w:tcPr>
            <w:tcW w:w="4678" w:type="dxa"/>
            <w:gridSpan w:val="2"/>
            <w:tcBorders>
              <w:top w:val="single" w:sz="4" w:space="0" w:color="auto"/>
              <w:left w:val="single" w:sz="4" w:space="0" w:color="auto"/>
              <w:bottom w:val="single" w:sz="4" w:space="0" w:color="auto"/>
              <w:right w:val="single" w:sz="4" w:space="0" w:color="auto"/>
            </w:tcBorders>
          </w:tcPr>
          <w:p w14:paraId="0E60C240" w14:textId="77777777" w:rsidR="00B22DEE" w:rsidRPr="00ED28AA" w:rsidRDefault="00B22DEE">
            <w:pPr>
              <w:rPr>
                <w:color w:val="0070C0"/>
                <w:sz w:val="22"/>
              </w:rPr>
            </w:pPr>
            <w:r w:rsidRPr="00ED28AA">
              <w:rPr>
                <w:color w:val="0070C0"/>
                <w:sz w:val="22"/>
              </w:rPr>
              <w:t>Review employment site designations to determine if they remain suitable for employment.</w:t>
            </w:r>
          </w:p>
          <w:p w14:paraId="3108BA89" w14:textId="77777777" w:rsidR="00B22DEE" w:rsidRPr="00ED28AA" w:rsidRDefault="00B22DEE">
            <w:pPr>
              <w:rPr>
                <w:color w:val="0070C0"/>
                <w:sz w:val="22"/>
              </w:rPr>
            </w:pPr>
          </w:p>
          <w:p w14:paraId="36E8F6D5" w14:textId="77777777" w:rsidR="00B22DEE" w:rsidRPr="00ED28AA" w:rsidRDefault="00B22DEE">
            <w:pPr>
              <w:rPr>
                <w:color w:val="0070C0"/>
                <w:sz w:val="22"/>
              </w:rPr>
            </w:pPr>
            <w:r w:rsidRPr="00ED28AA">
              <w:rPr>
                <w:color w:val="0070C0"/>
                <w:sz w:val="22"/>
              </w:rPr>
              <w:t>Contact landowners to determine reasons why sites are not being developed for employment.</w:t>
            </w:r>
          </w:p>
        </w:tc>
      </w:tr>
      <w:tr w:rsidR="00ED28AA" w:rsidRPr="00ED28AA" w14:paraId="3D21404A" w14:textId="77777777" w:rsidTr="003767A6">
        <w:trPr>
          <w:trHeight w:val="842"/>
        </w:trPr>
        <w:tc>
          <w:tcPr>
            <w:tcW w:w="1838" w:type="dxa"/>
            <w:tcBorders>
              <w:top w:val="single" w:sz="4" w:space="0" w:color="auto"/>
              <w:left w:val="single" w:sz="4" w:space="0" w:color="auto"/>
              <w:bottom w:val="single" w:sz="4" w:space="0" w:color="auto"/>
              <w:right w:val="single" w:sz="4" w:space="0" w:color="auto"/>
            </w:tcBorders>
            <w:hideMark/>
          </w:tcPr>
          <w:p w14:paraId="41CDC7A8" w14:textId="77777777" w:rsidR="00B22DEE" w:rsidRPr="00ED28AA" w:rsidRDefault="00B22DEE">
            <w:pPr>
              <w:rPr>
                <w:color w:val="0070C0"/>
                <w:sz w:val="22"/>
              </w:rPr>
            </w:pPr>
            <w:r w:rsidRPr="00ED28AA">
              <w:rPr>
                <w:color w:val="0070C0"/>
                <w:sz w:val="22"/>
              </w:rPr>
              <w:t>EM4: Rural Development</w:t>
            </w:r>
          </w:p>
        </w:tc>
        <w:tc>
          <w:tcPr>
            <w:tcW w:w="3544" w:type="dxa"/>
            <w:gridSpan w:val="2"/>
            <w:tcBorders>
              <w:top w:val="single" w:sz="4" w:space="0" w:color="auto"/>
              <w:left w:val="single" w:sz="4" w:space="0" w:color="auto"/>
              <w:bottom w:val="single" w:sz="4" w:space="0" w:color="auto"/>
              <w:right w:val="single" w:sz="4" w:space="0" w:color="auto"/>
            </w:tcBorders>
          </w:tcPr>
          <w:p w14:paraId="0E71565F" w14:textId="77777777" w:rsidR="00B22DEE" w:rsidRPr="00ED28AA" w:rsidRDefault="00B22DEE">
            <w:pPr>
              <w:rPr>
                <w:color w:val="0070C0"/>
                <w:sz w:val="22"/>
              </w:rPr>
            </w:pPr>
            <w:r w:rsidRPr="00ED28AA">
              <w:rPr>
                <w:color w:val="0070C0"/>
                <w:sz w:val="22"/>
              </w:rPr>
              <w:t>Number of planning applications approved outside the Main Urban Area for employment or appropriate recreational uses and % inappropriate</w:t>
            </w:r>
          </w:p>
          <w:p w14:paraId="2D0B21ED" w14:textId="77777777" w:rsidR="00B22DEE" w:rsidRPr="00ED28AA" w:rsidRDefault="00B22DEE">
            <w:pPr>
              <w:rPr>
                <w:color w:val="0070C0"/>
                <w:sz w:val="22"/>
              </w:rPr>
            </w:pPr>
          </w:p>
          <w:p w14:paraId="1F214968" w14:textId="77777777" w:rsidR="00B22DEE" w:rsidRPr="00ED28AA" w:rsidRDefault="00B22DEE">
            <w:pPr>
              <w:rPr>
                <w:color w:val="0070C0"/>
                <w:sz w:val="22"/>
              </w:rPr>
            </w:pPr>
          </w:p>
          <w:p w14:paraId="5B09D91F" w14:textId="77777777" w:rsidR="00B22DEE" w:rsidRPr="00ED28AA" w:rsidRDefault="00B22DEE">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hideMark/>
          </w:tcPr>
          <w:p w14:paraId="23DB58E6" w14:textId="77777777" w:rsidR="00B22DEE" w:rsidRPr="00ED28AA" w:rsidRDefault="00B22DEE">
            <w:pPr>
              <w:rPr>
                <w:color w:val="0070C0"/>
                <w:sz w:val="22"/>
              </w:rPr>
            </w:pPr>
            <w:r w:rsidRPr="00ED28AA">
              <w:rPr>
                <w:color w:val="0070C0"/>
                <w:sz w:val="22"/>
              </w:rPr>
              <w:t>No inappropriate approvals.</w:t>
            </w:r>
          </w:p>
        </w:tc>
        <w:tc>
          <w:tcPr>
            <w:tcW w:w="4678" w:type="dxa"/>
            <w:gridSpan w:val="2"/>
            <w:tcBorders>
              <w:top w:val="single" w:sz="4" w:space="0" w:color="auto"/>
              <w:left w:val="single" w:sz="4" w:space="0" w:color="auto"/>
              <w:bottom w:val="single" w:sz="4" w:space="0" w:color="auto"/>
              <w:right w:val="single" w:sz="4" w:space="0" w:color="auto"/>
            </w:tcBorders>
            <w:hideMark/>
          </w:tcPr>
          <w:p w14:paraId="30EE32D7" w14:textId="77777777" w:rsidR="00B22DEE" w:rsidRPr="00ED28AA" w:rsidRDefault="00B22DEE">
            <w:pPr>
              <w:rPr>
                <w:color w:val="0070C0"/>
                <w:sz w:val="22"/>
              </w:rPr>
            </w:pPr>
            <w:r w:rsidRPr="00ED28AA">
              <w:rPr>
                <w:color w:val="0070C0"/>
                <w:sz w:val="22"/>
              </w:rPr>
              <w:t>Review implementation of policy.</w:t>
            </w:r>
          </w:p>
        </w:tc>
      </w:tr>
      <w:tr w:rsidR="00ED28AA" w:rsidRPr="00ED28AA" w14:paraId="044DDA44" w14:textId="77777777" w:rsidTr="003767A6">
        <w:trPr>
          <w:trHeight w:val="842"/>
        </w:trPr>
        <w:tc>
          <w:tcPr>
            <w:tcW w:w="1838" w:type="dxa"/>
            <w:tcBorders>
              <w:top w:val="single" w:sz="4" w:space="0" w:color="auto"/>
              <w:left w:val="single" w:sz="4" w:space="0" w:color="auto"/>
              <w:bottom w:val="single" w:sz="4" w:space="0" w:color="auto"/>
              <w:right w:val="single" w:sz="4" w:space="0" w:color="auto"/>
            </w:tcBorders>
            <w:hideMark/>
          </w:tcPr>
          <w:p w14:paraId="0436EBB6" w14:textId="77777777" w:rsidR="00B22DEE" w:rsidRPr="00ED28AA" w:rsidRDefault="00B22DEE">
            <w:pPr>
              <w:rPr>
                <w:color w:val="0070C0"/>
                <w:sz w:val="22"/>
              </w:rPr>
            </w:pPr>
            <w:r w:rsidRPr="00ED28AA">
              <w:rPr>
                <w:color w:val="0070C0"/>
                <w:sz w:val="22"/>
              </w:rPr>
              <w:lastRenderedPageBreak/>
              <w:t>EM5: Education, Skills and Training</w:t>
            </w:r>
          </w:p>
        </w:tc>
        <w:tc>
          <w:tcPr>
            <w:tcW w:w="3544" w:type="dxa"/>
            <w:gridSpan w:val="2"/>
            <w:tcBorders>
              <w:top w:val="single" w:sz="4" w:space="0" w:color="auto"/>
              <w:left w:val="single" w:sz="4" w:space="0" w:color="auto"/>
              <w:bottom w:val="single" w:sz="4" w:space="0" w:color="auto"/>
              <w:right w:val="single" w:sz="4" w:space="0" w:color="auto"/>
            </w:tcBorders>
          </w:tcPr>
          <w:p w14:paraId="49FD5DB0" w14:textId="77777777" w:rsidR="00B22DEE" w:rsidRPr="00ED28AA" w:rsidRDefault="00B22DEE">
            <w:pPr>
              <w:rPr>
                <w:color w:val="0070C0"/>
                <w:sz w:val="22"/>
              </w:rPr>
            </w:pPr>
            <w:r w:rsidRPr="00ED28AA">
              <w:rPr>
                <w:color w:val="0070C0"/>
                <w:sz w:val="22"/>
              </w:rPr>
              <w:t>Number of planning applications approved which contribute towards education or training opportunities</w:t>
            </w:r>
          </w:p>
          <w:p w14:paraId="18000819" w14:textId="77777777" w:rsidR="00B22DEE" w:rsidRPr="00ED28AA" w:rsidRDefault="00B22DEE">
            <w:pPr>
              <w:rPr>
                <w:color w:val="0070C0"/>
                <w:sz w:val="22"/>
              </w:rPr>
            </w:pPr>
          </w:p>
          <w:p w14:paraId="544374C8" w14:textId="77777777" w:rsidR="00B22DEE" w:rsidRPr="00ED28AA" w:rsidRDefault="00B22DEE">
            <w:pPr>
              <w:rPr>
                <w:color w:val="0070C0"/>
                <w:sz w:val="22"/>
              </w:rPr>
            </w:pPr>
            <w:r w:rsidRPr="00ED28AA">
              <w:rPr>
                <w:color w:val="0070C0"/>
                <w:sz w:val="22"/>
              </w:rPr>
              <w:t>S106 commitments from signed agreements towards education</w:t>
            </w:r>
          </w:p>
        </w:tc>
        <w:tc>
          <w:tcPr>
            <w:tcW w:w="4394" w:type="dxa"/>
            <w:gridSpan w:val="2"/>
            <w:tcBorders>
              <w:top w:val="single" w:sz="4" w:space="0" w:color="auto"/>
              <w:left w:val="single" w:sz="4" w:space="0" w:color="auto"/>
              <w:bottom w:val="single" w:sz="4" w:space="0" w:color="auto"/>
              <w:right w:val="single" w:sz="4" w:space="0" w:color="auto"/>
            </w:tcBorders>
          </w:tcPr>
          <w:p w14:paraId="3AE4045C" w14:textId="77777777" w:rsidR="00B22DEE" w:rsidRPr="00ED28AA" w:rsidRDefault="00B22DEE">
            <w:pPr>
              <w:rPr>
                <w:color w:val="0070C0"/>
                <w:sz w:val="22"/>
              </w:rPr>
            </w:pPr>
            <w:r w:rsidRPr="00ED28AA">
              <w:rPr>
                <w:color w:val="0070C0"/>
                <w:sz w:val="22"/>
              </w:rPr>
              <w:t>No specific target for this indicator, but commentary will help understand how the policy is bringing forward opportunities.</w:t>
            </w:r>
          </w:p>
          <w:p w14:paraId="5887FFE2" w14:textId="77777777" w:rsidR="00B22DEE" w:rsidRPr="00ED28AA" w:rsidRDefault="00B22DEE">
            <w:pPr>
              <w:rPr>
                <w:color w:val="0070C0"/>
                <w:sz w:val="22"/>
              </w:rPr>
            </w:pPr>
          </w:p>
          <w:p w14:paraId="74705F5C" w14:textId="77777777" w:rsidR="00B22DEE" w:rsidRPr="00ED28AA" w:rsidRDefault="00B22DEE">
            <w:pPr>
              <w:rPr>
                <w:color w:val="0070C0"/>
                <w:sz w:val="22"/>
              </w:rPr>
            </w:pPr>
            <w:r w:rsidRPr="00ED28AA">
              <w:rPr>
                <w:color w:val="0070C0"/>
                <w:sz w:val="22"/>
              </w:rPr>
              <w:t>In line with the IDP.</w:t>
            </w:r>
          </w:p>
        </w:tc>
        <w:tc>
          <w:tcPr>
            <w:tcW w:w="4678" w:type="dxa"/>
            <w:gridSpan w:val="2"/>
            <w:tcBorders>
              <w:top w:val="single" w:sz="4" w:space="0" w:color="auto"/>
              <w:left w:val="single" w:sz="4" w:space="0" w:color="auto"/>
              <w:bottom w:val="single" w:sz="4" w:space="0" w:color="auto"/>
              <w:right w:val="single" w:sz="4" w:space="0" w:color="auto"/>
            </w:tcBorders>
          </w:tcPr>
          <w:p w14:paraId="16073998" w14:textId="77777777" w:rsidR="00B22DEE" w:rsidRPr="00ED28AA" w:rsidRDefault="00B22DEE">
            <w:pPr>
              <w:rPr>
                <w:color w:val="0070C0"/>
                <w:sz w:val="22"/>
              </w:rPr>
            </w:pPr>
            <w:r w:rsidRPr="00ED28AA">
              <w:rPr>
                <w:color w:val="0070C0"/>
                <w:sz w:val="22"/>
              </w:rPr>
              <w:t>Review implementation of policy.</w:t>
            </w:r>
          </w:p>
          <w:p w14:paraId="2E3948B9" w14:textId="77777777" w:rsidR="00B22DEE" w:rsidRPr="00ED28AA" w:rsidRDefault="00B22DEE">
            <w:pPr>
              <w:rPr>
                <w:color w:val="0070C0"/>
                <w:sz w:val="22"/>
              </w:rPr>
            </w:pPr>
          </w:p>
          <w:p w14:paraId="66A7A624" w14:textId="77777777" w:rsidR="00B22DEE" w:rsidRPr="00ED28AA" w:rsidRDefault="00B22DEE">
            <w:pPr>
              <w:rPr>
                <w:color w:val="0070C0"/>
                <w:sz w:val="22"/>
              </w:rPr>
            </w:pPr>
            <w:r w:rsidRPr="00ED28AA">
              <w:rPr>
                <w:color w:val="0070C0"/>
                <w:sz w:val="22"/>
              </w:rPr>
              <w:t>Work with partners and key stakeholders to understand any barriers to development for training / education purposes.</w:t>
            </w:r>
          </w:p>
          <w:p w14:paraId="489D911D" w14:textId="77777777" w:rsidR="00B22DEE" w:rsidRPr="00ED28AA" w:rsidRDefault="00B22DEE">
            <w:pPr>
              <w:rPr>
                <w:color w:val="0070C0"/>
                <w:sz w:val="22"/>
              </w:rPr>
            </w:pPr>
          </w:p>
          <w:p w14:paraId="5FD4DDCD" w14:textId="77777777" w:rsidR="00B22DEE" w:rsidRPr="00ED28AA" w:rsidRDefault="00B22DEE">
            <w:pPr>
              <w:rPr>
                <w:color w:val="0070C0"/>
                <w:sz w:val="22"/>
              </w:rPr>
            </w:pPr>
            <w:r w:rsidRPr="00ED28AA">
              <w:rPr>
                <w:color w:val="0070C0"/>
                <w:sz w:val="22"/>
              </w:rPr>
              <w:t>Review priorities in the IDP.</w:t>
            </w:r>
          </w:p>
        </w:tc>
      </w:tr>
      <w:tr w:rsidR="00ED28AA" w:rsidRPr="00ED28AA" w14:paraId="7F65EA17" w14:textId="77777777" w:rsidTr="003767A6">
        <w:trPr>
          <w:trHeight w:val="630"/>
        </w:trPr>
        <w:tc>
          <w:tcPr>
            <w:tcW w:w="14454" w:type="dxa"/>
            <w:gridSpan w:val="7"/>
            <w:tcBorders>
              <w:top w:val="single" w:sz="4" w:space="0" w:color="auto"/>
              <w:left w:val="single" w:sz="4" w:space="0" w:color="auto"/>
              <w:bottom w:val="single" w:sz="4" w:space="0" w:color="auto"/>
              <w:right w:val="single" w:sz="4" w:space="0" w:color="auto"/>
            </w:tcBorders>
            <w:shd w:val="clear" w:color="auto" w:fill="E7E6E6" w:themeFill="background2"/>
          </w:tcPr>
          <w:p w14:paraId="7DD21469" w14:textId="7FDC3753" w:rsidR="001C41BA" w:rsidRPr="00E56F9C" w:rsidRDefault="001C41BA">
            <w:pPr>
              <w:rPr>
                <w:b/>
                <w:bCs/>
                <w:color w:val="0067B6"/>
                <w:sz w:val="22"/>
              </w:rPr>
            </w:pPr>
            <w:r w:rsidRPr="00E56F9C">
              <w:rPr>
                <w:b/>
                <w:bCs/>
                <w:color w:val="0067B6"/>
              </w:rPr>
              <w:t>Placing vibrant town and local centres at the heart of the community</w:t>
            </w:r>
          </w:p>
        </w:tc>
      </w:tr>
      <w:tr w:rsidR="00ED28AA" w:rsidRPr="00ED28AA" w14:paraId="7AB994B3" w14:textId="77777777" w:rsidTr="003767A6">
        <w:trPr>
          <w:trHeight w:val="630"/>
        </w:trPr>
        <w:tc>
          <w:tcPr>
            <w:tcW w:w="18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2DD5AF2" w14:textId="77777777" w:rsidR="00B22DEE" w:rsidRPr="00E56F9C" w:rsidRDefault="00B22DEE">
            <w:pPr>
              <w:rPr>
                <w:b/>
                <w:bCs/>
                <w:color w:val="0067B6"/>
                <w:sz w:val="22"/>
              </w:rPr>
            </w:pPr>
            <w:r w:rsidRPr="00E56F9C">
              <w:rPr>
                <w:b/>
                <w:bCs/>
                <w:color w:val="0067B6"/>
                <w:sz w:val="22"/>
              </w:rPr>
              <w:t>Policy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0F6FC43" w14:textId="77777777" w:rsidR="00B22DEE" w:rsidRPr="00E56F9C" w:rsidRDefault="00B22DEE">
            <w:pPr>
              <w:rPr>
                <w:b/>
                <w:bCs/>
                <w:color w:val="0067B6"/>
                <w:sz w:val="22"/>
              </w:rPr>
            </w:pPr>
            <w:r w:rsidRPr="00E56F9C">
              <w:rPr>
                <w:b/>
                <w:bCs/>
                <w:color w:val="0067B6"/>
                <w:sz w:val="22"/>
              </w:rPr>
              <w:t>Indicator</w:t>
            </w:r>
          </w:p>
        </w:tc>
        <w:tc>
          <w:tcPr>
            <w:tcW w:w="439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0E38640B" w14:textId="77777777" w:rsidR="00B22DEE" w:rsidRPr="00E56F9C" w:rsidRDefault="00B22DEE">
            <w:pPr>
              <w:rPr>
                <w:b/>
                <w:bCs/>
                <w:color w:val="0067B6"/>
                <w:sz w:val="22"/>
              </w:rPr>
            </w:pPr>
            <w:r w:rsidRPr="00E56F9C">
              <w:rPr>
                <w:b/>
                <w:bCs/>
                <w:color w:val="0067B6"/>
                <w:sz w:val="22"/>
              </w:rPr>
              <w:t>Target</w:t>
            </w:r>
          </w:p>
        </w:tc>
        <w:tc>
          <w:tcPr>
            <w:tcW w:w="467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462BB56" w14:textId="77777777" w:rsidR="00B22DEE" w:rsidRPr="00E56F9C" w:rsidRDefault="00B22DEE">
            <w:pPr>
              <w:rPr>
                <w:b/>
                <w:bCs/>
                <w:color w:val="0067B6"/>
                <w:sz w:val="22"/>
              </w:rPr>
            </w:pPr>
            <w:r w:rsidRPr="00E56F9C">
              <w:rPr>
                <w:b/>
                <w:bCs/>
                <w:color w:val="0067B6"/>
                <w:sz w:val="22"/>
              </w:rPr>
              <w:t>Implication of not meeting target</w:t>
            </w:r>
          </w:p>
        </w:tc>
      </w:tr>
      <w:tr w:rsidR="00ED28AA" w:rsidRPr="00ED28AA" w14:paraId="453F33F2"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3C8A9BA7" w14:textId="77777777" w:rsidR="00B22DEE" w:rsidRPr="00ED28AA" w:rsidRDefault="00B22DEE">
            <w:pPr>
              <w:rPr>
                <w:color w:val="0070C0"/>
                <w:sz w:val="22"/>
              </w:rPr>
            </w:pPr>
            <w:r w:rsidRPr="00ED28AA">
              <w:rPr>
                <w:color w:val="0070C0"/>
                <w:sz w:val="22"/>
              </w:rPr>
              <w:t>SH1: Retail, Leisure, Commercial and Town Centre Uses</w:t>
            </w:r>
          </w:p>
        </w:tc>
        <w:tc>
          <w:tcPr>
            <w:tcW w:w="3544" w:type="dxa"/>
            <w:gridSpan w:val="2"/>
            <w:tcBorders>
              <w:top w:val="single" w:sz="4" w:space="0" w:color="auto"/>
              <w:left w:val="single" w:sz="4" w:space="0" w:color="auto"/>
              <w:bottom w:val="single" w:sz="4" w:space="0" w:color="auto"/>
              <w:right w:val="single" w:sz="4" w:space="0" w:color="auto"/>
            </w:tcBorders>
          </w:tcPr>
          <w:p w14:paraId="2C821CA0" w14:textId="77777777" w:rsidR="00B22DEE" w:rsidRPr="00ED28AA" w:rsidRDefault="00B22DEE">
            <w:pPr>
              <w:rPr>
                <w:color w:val="0070C0"/>
                <w:sz w:val="22"/>
              </w:rPr>
            </w:pPr>
            <w:r w:rsidRPr="00ED28AA">
              <w:rPr>
                <w:color w:val="0070C0"/>
                <w:sz w:val="22"/>
              </w:rPr>
              <w:t>Number of planning applications approved in town centres contrary to policy</w:t>
            </w:r>
          </w:p>
          <w:p w14:paraId="1691007E" w14:textId="77777777" w:rsidR="00B22DEE" w:rsidRPr="00ED28AA" w:rsidRDefault="00B22DEE">
            <w:pPr>
              <w:rPr>
                <w:color w:val="0070C0"/>
                <w:sz w:val="22"/>
              </w:rPr>
            </w:pPr>
          </w:p>
          <w:p w14:paraId="53CC977F" w14:textId="77777777" w:rsidR="00B22DEE" w:rsidRPr="00ED28AA" w:rsidRDefault="00B22DEE">
            <w:pPr>
              <w:rPr>
                <w:color w:val="0070C0"/>
                <w:sz w:val="22"/>
              </w:rPr>
            </w:pPr>
            <w:r w:rsidRPr="00ED28AA">
              <w:rPr>
                <w:color w:val="0070C0"/>
                <w:sz w:val="22"/>
              </w:rPr>
              <w:t xml:space="preserve">Number of </w:t>
            </w:r>
            <w:proofErr w:type="gramStart"/>
            <w:r w:rsidRPr="00ED28AA">
              <w:rPr>
                <w:color w:val="0070C0"/>
                <w:sz w:val="22"/>
              </w:rPr>
              <w:t>shop</w:t>
            </w:r>
            <w:proofErr w:type="gramEnd"/>
            <w:r w:rsidRPr="00ED28AA">
              <w:rPr>
                <w:color w:val="0070C0"/>
                <w:sz w:val="22"/>
              </w:rPr>
              <w:t xml:space="preserve"> to residential conversions approved</w:t>
            </w:r>
          </w:p>
          <w:p w14:paraId="6ADCC60A" w14:textId="77777777" w:rsidR="00B22DEE" w:rsidRPr="00ED28AA" w:rsidRDefault="00B22DEE">
            <w:pPr>
              <w:rPr>
                <w:color w:val="0070C0"/>
                <w:sz w:val="22"/>
              </w:rPr>
            </w:pPr>
          </w:p>
          <w:p w14:paraId="34778C02" w14:textId="77777777" w:rsidR="00B22DEE" w:rsidRPr="00ED28AA" w:rsidRDefault="00B22DEE">
            <w:pPr>
              <w:rPr>
                <w:color w:val="0070C0"/>
                <w:sz w:val="22"/>
              </w:rPr>
            </w:pPr>
            <w:r w:rsidRPr="00ED28AA">
              <w:rPr>
                <w:color w:val="0070C0"/>
                <w:sz w:val="22"/>
              </w:rPr>
              <w:t>Number of retail or leisure proposals exceeding 300 sqm approved without an impact test</w:t>
            </w:r>
          </w:p>
        </w:tc>
        <w:tc>
          <w:tcPr>
            <w:tcW w:w="4394" w:type="dxa"/>
            <w:gridSpan w:val="2"/>
            <w:tcBorders>
              <w:top w:val="single" w:sz="4" w:space="0" w:color="auto"/>
              <w:left w:val="single" w:sz="4" w:space="0" w:color="auto"/>
              <w:bottom w:val="single" w:sz="4" w:space="0" w:color="auto"/>
              <w:right w:val="single" w:sz="4" w:space="0" w:color="auto"/>
            </w:tcBorders>
          </w:tcPr>
          <w:p w14:paraId="694304E3" w14:textId="77777777" w:rsidR="00B22DEE" w:rsidRPr="00ED28AA" w:rsidRDefault="00B22DEE">
            <w:pPr>
              <w:rPr>
                <w:color w:val="0070C0"/>
                <w:sz w:val="22"/>
              </w:rPr>
            </w:pPr>
            <w:r w:rsidRPr="00ED28AA">
              <w:rPr>
                <w:color w:val="0070C0"/>
                <w:sz w:val="22"/>
              </w:rPr>
              <w:t>No approvals contrary to policy.</w:t>
            </w:r>
          </w:p>
          <w:p w14:paraId="4B1F6257" w14:textId="77777777" w:rsidR="00B22DEE" w:rsidRPr="00ED28AA" w:rsidRDefault="00B22DEE">
            <w:pPr>
              <w:rPr>
                <w:color w:val="0070C0"/>
                <w:sz w:val="22"/>
              </w:rPr>
            </w:pPr>
          </w:p>
          <w:p w14:paraId="0E0C7056" w14:textId="77777777" w:rsidR="00B22DEE" w:rsidRPr="00ED28AA" w:rsidRDefault="00B22DEE">
            <w:pPr>
              <w:rPr>
                <w:color w:val="0070C0"/>
                <w:sz w:val="22"/>
              </w:rPr>
            </w:pPr>
          </w:p>
          <w:p w14:paraId="062BD285" w14:textId="77777777" w:rsidR="00B22DEE" w:rsidRPr="00ED28AA" w:rsidRDefault="00B22DEE">
            <w:pPr>
              <w:rPr>
                <w:color w:val="0070C0"/>
                <w:sz w:val="22"/>
              </w:rPr>
            </w:pPr>
            <w:r w:rsidRPr="00ED28AA">
              <w:rPr>
                <w:color w:val="0070C0"/>
                <w:sz w:val="22"/>
              </w:rPr>
              <w:t>All shop conversions should be appropriate in design and demonstrate there is a lack of demand for retail units.</w:t>
            </w:r>
          </w:p>
          <w:p w14:paraId="5A37EB57" w14:textId="77777777" w:rsidR="00B22DEE" w:rsidRPr="00ED28AA" w:rsidRDefault="00B22DEE">
            <w:pPr>
              <w:rPr>
                <w:color w:val="0070C0"/>
                <w:sz w:val="22"/>
              </w:rPr>
            </w:pPr>
          </w:p>
          <w:p w14:paraId="2E4C5D32" w14:textId="77777777" w:rsidR="00B22DEE" w:rsidRPr="00ED28AA" w:rsidRDefault="00B22DEE">
            <w:pPr>
              <w:rPr>
                <w:color w:val="0070C0"/>
                <w:sz w:val="22"/>
              </w:rPr>
            </w:pPr>
            <w:r w:rsidRPr="00ED28AA">
              <w:rPr>
                <w:color w:val="0070C0"/>
                <w:sz w:val="22"/>
              </w:rPr>
              <w:t>Review applications to understand why impact test was not required.</w:t>
            </w:r>
          </w:p>
        </w:tc>
        <w:tc>
          <w:tcPr>
            <w:tcW w:w="4678" w:type="dxa"/>
            <w:gridSpan w:val="2"/>
            <w:tcBorders>
              <w:top w:val="single" w:sz="4" w:space="0" w:color="auto"/>
              <w:left w:val="single" w:sz="4" w:space="0" w:color="auto"/>
              <w:bottom w:val="single" w:sz="4" w:space="0" w:color="auto"/>
              <w:right w:val="single" w:sz="4" w:space="0" w:color="auto"/>
            </w:tcBorders>
          </w:tcPr>
          <w:p w14:paraId="42A012EB" w14:textId="77777777" w:rsidR="00B22DEE" w:rsidRPr="00ED28AA" w:rsidRDefault="00B22DEE">
            <w:pPr>
              <w:rPr>
                <w:color w:val="0070C0"/>
                <w:sz w:val="22"/>
              </w:rPr>
            </w:pPr>
            <w:r w:rsidRPr="00ED28AA">
              <w:rPr>
                <w:color w:val="0070C0"/>
                <w:sz w:val="22"/>
              </w:rPr>
              <w:t>Review implementation of policy.</w:t>
            </w:r>
          </w:p>
          <w:p w14:paraId="12028D5A" w14:textId="77777777" w:rsidR="00B22DEE" w:rsidRPr="00ED28AA" w:rsidRDefault="00B22DEE">
            <w:pPr>
              <w:rPr>
                <w:b/>
                <w:bCs/>
                <w:color w:val="0070C0"/>
                <w:sz w:val="22"/>
              </w:rPr>
            </w:pPr>
          </w:p>
          <w:p w14:paraId="06F57038" w14:textId="77777777" w:rsidR="00B22DEE" w:rsidRPr="00ED28AA" w:rsidRDefault="00B22DEE">
            <w:pPr>
              <w:rPr>
                <w:color w:val="0070C0"/>
                <w:sz w:val="22"/>
              </w:rPr>
            </w:pPr>
          </w:p>
          <w:p w14:paraId="4CD87E25" w14:textId="77777777" w:rsidR="00B22DEE" w:rsidRPr="00ED28AA" w:rsidRDefault="00B22DEE">
            <w:pPr>
              <w:rPr>
                <w:color w:val="0070C0"/>
                <w:sz w:val="22"/>
              </w:rPr>
            </w:pPr>
            <w:r w:rsidRPr="00ED28AA">
              <w:rPr>
                <w:color w:val="0070C0"/>
                <w:sz w:val="22"/>
              </w:rPr>
              <w:t>Consider production of planning guidance / supplementary plans where this will assist decision-making.</w:t>
            </w:r>
          </w:p>
          <w:p w14:paraId="286C1C85" w14:textId="77777777" w:rsidR="00B22DEE" w:rsidRPr="00ED28AA" w:rsidRDefault="00B22DEE">
            <w:pPr>
              <w:rPr>
                <w:color w:val="0070C0"/>
                <w:sz w:val="22"/>
              </w:rPr>
            </w:pPr>
          </w:p>
          <w:p w14:paraId="568EF44E" w14:textId="77777777" w:rsidR="00B22DEE" w:rsidRPr="00ED28AA" w:rsidRDefault="00B22DEE">
            <w:pPr>
              <w:rPr>
                <w:color w:val="0070C0"/>
                <w:sz w:val="22"/>
              </w:rPr>
            </w:pPr>
            <w:r w:rsidRPr="00ED28AA">
              <w:rPr>
                <w:color w:val="0070C0"/>
                <w:sz w:val="22"/>
              </w:rPr>
              <w:t>Work with landowners, developers and Economic Development colleagues to ensure new development is in appropriate locations.</w:t>
            </w:r>
          </w:p>
        </w:tc>
      </w:tr>
      <w:tr w:rsidR="00ED28AA" w:rsidRPr="00ED28AA" w14:paraId="47C53F92"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24B89C10" w14:textId="77777777" w:rsidR="00B22DEE" w:rsidRPr="00ED28AA" w:rsidRDefault="00B22DEE">
            <w:pPr>
              <w:rPr>
                <w:color w:val="0070C0"/>
                <w:sz w:val="22"/>
              </w:rPr>
            </w:pPr>
            <w:r w:rsidRPr="00ED28AA">
              <w:rPr>
                <w:color w:val="0070C0"/>
                <w:sz w:val="22"/>
              </w:rPr>
              <w:lastRenderedPageBreak/>
              <w:t>SH2: Local Shopping Centres, Shopping Parades and Single Shops</w:t>
            </w:r>
          </w:p>
        </w:tc>
        <w:tc>
          <w:tcPr>
            <w:tcW w:w="3544" w:type="dxa"/>
            <w:gridSpan w:val="2"/>
            <w:tcBorders>
              <w:top w:val="single" w:sz="4" w:space="0" w:color="auto"/>
              <w:left w:val="single" w:sz="4" w:space="0" w:color="auto"/>
              <w:bottom w:val="single" w:sz="4" w:space="0" w:color="auto"/>
              <w:right w:val="single" w:sz="4" w:space="0" w:color="auto"/>
            </w:tcBorders>
          </w:tcPr>
          <w:p w14:paraId="5947E0C9" w14:textId="77777777" w:rsidR="00B22DEE" w:rsidRPr="00ED28AA" w:rsidRDefault="00B22DEE">
            <w:pPr>
              <w:rPr>
                <w:color w:val="0070C0"/>
                <w:sz w:val="22"/>
              </w:rPr>
            </w:pPr>
            <w:r w:rsidRPr="00ED28AA">
              <w:rPr>
                <w:color w:val="0070C0"/>
                <w:sz w:val="22"/>
              </w:rPr>
              <w:t>Number of planning applications approved in local centres contrary to policy</w:t>
            </w:r>
          </w:p>
          <w:p w14:paraId="35876A18" w14:textId="77777777" w:rsidR="00B22DEE" w:rsidRPr="00ED28AA" w:rsidRDefault="00B22DEE">
            <w:pPr>
              <w:rPr>
                <w:color w:val="0070C0"/>
                <w:sz w:val="22"/>
              </w:rPr>
            </w:pPr>
          </w:p>
          <w:p w14:paraId="26FDE3DA" w14:textId="77777777" w:rsidR="00B22DEE" w:rsidRPr="00ED28AA" w:rsidRDefault="00B22DEE">
            <w:pPr>
              <w:rPr>
                <w:color w:val="0070C0"/>
                <w:sz w:val="22"/>
              </w:rPr>
            </w:pPr>
            <w:r w:rsidRPr="00ED28AA">
              <w:rPr>
                <w:color w:val="0070C0"/>
                <w:sz w:val="22"/>
              </w:rPr>
              <w:t xml:space="preserve">Number of </w:t>
            </w:r>
            <w:proofErr w:type="gramStart"/>
            <w:r w:rsidRPr="00ED28AA">
              <w:rPr>
                <w:color w:val="0070C0"/>
                <w:sz w:val="22"/>
              </w:rPr>
              <w:t>shop</w:t>
            </w:r>
            <w:proofErr w:type="gramEnd"/>
            <w:r w:rsidRPr="00ED28AA">
              <w:rPr>
                <w:color w:val="0070C0"/>
                <w:sz w:val="22"/>
              </w:rPr>
              <w:t xml:space="preserve"> to residential conversions approved</w:t>
            </w:r>
          </w:p>
          <w:p w14:paraId="751AE075" w14:textId="77777777" w:rsidR="00B22DEE" w:rsidRPr="00ED28AA" w:rsidRDefault="00B22DEE">
            <w:pPr>
              <w:rPr>
                <w:color w:val="0070C0"/>
                <w:sz w:val="22"/>
              </w:rPr>
            </w:pPr>
          </w:p>
          <w:p w14:paraId="2321E689" w14:textId="77777777" w:rsidR="00B22DEE" w:rsidRPr="00ED28AA" w:rsidRDefault="00B22DEE">
            <w:pPr>
              <w:rPr>
                <w:color w:val="0070C0"/>
                <w:sz w:val="22"/>
              </w:rPr>
            </w:pPr>
          </w:p>
          <w:p w14:paraId="6695DD53" w14:textId="77777777" w:rsidR="00B22DEE" w:rsidRPr="00ED28AA" w:rsidRDefault="00B22DEE">
            <w:pPr>
              <w:rPr>
                <w:color w:val="0070C0"/>
                <w:sz w:val="22"/>
              </w:rPr>
            </w:pPr>
            <w:r w:rsidRPr="00ED28AA">
              <w:rPr>
                <w:color w:val="0070C0"/>
                <w:sz w:val="22"/>
              </w:rPr>
              <w:t>Number of retail or leisure proposals exceeding 200 sqm approved without an impact test</w:t>
            </w:r>
          </w:p>
          <w:p w14:paraId="1E58A4E7" w14:textId="77777777" w:rsidR="00B22DEE" w:rsidRPr="00ED28AA" w:rsidRDefault="00B22DEE">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tcPr>
          <w:p w14:paraId="49BAED09" w14:textId="77777777" w:rsidR="00B22DEE" w:rsidRPr="00ED28AA" w:rsidRDefault="00B22DEE">
            <w:pPr>
              <w:rPr>
                <w:color w:val="0070C0"/>
                <w:sz w:val="22"/>
              </w:rPr>
            </w:pPr>
            <w:r w:rsidRPr="00ED28AA">
              <w:rPr>
                <w:color w:val="0070C0"/>
                <w:sz w:val="22"/>
              </w:rPr>
              <w:t>No approvals contrary to policy.</w:t>
            </w:r>
          </w:p>
          <w:p w14:paraId="2324582D" w14:textId="77777777" w:rsidR="00B22DEE" w:rsidRPr="00ED28AA" w:rsidRDefault="00B22DEE">
            <w:pPr>
              <w:rPr>
                <w:color w:val="0070C0"/>
                <w:sz w:val="22"/>
              </w:rPr>
            </w:pPr>
          </w:p>
          <w:p w14:paraId="44576B06" w14:textId="77777777" w:rsidR="00B22DEE" w:rsidRPr="00ED28AA" w:rsidRDefault="00B22DEE">
            <w:pPr>
              <w:rPr>
                <w:color w:val="0070C0"/>
                <w:sz w:val="22"/>
              </w:rPr>
            </w:pPr>
          </w:p>
          <w:p w14:paraId="7F6B08CA" w14:textId="77777777" w:rsidR="00B22DEE" w:rsidRPr="00ED28AA" w:rsidRDefault="00B22DEE">
            <w:pPr>
              <w:rPr>
                <w:color w:val="0070C0"/>
                <w:sz w:val="22"/>
              </w:rPr>
            </w:pPr>
            <w:r w:rsidRPr="00ED28AA">
              <w:rPr>
                <w:color w:val="0070C0"/>
                <w:sz w:val="22"/>
              </w:rPr>
              <w:t>All shop conversions should be appropriate in design and demonstrate there is a lack of demand for retail units.</w:t>
            </w:r>
          </w:p>
          <w:p w14:paraId="483D27F7" w14:textId="77777777" w:rsidR="00B22DEE" w:rsidRPr="00ED28AA" w:rsidRDefault="00B22DEE">
            <w:pPr>
              <w:rPr>
                <w:color w:val="0070C0"/>
                <w:sz w:val="22"/>
              </w:rPr>
            </w:pPr>
          </w:p>
          <w:p w14:paraId="6D330EDC" w14:textId="77777777" w:rsidR="00B22DEE" w:rsidRPr="00ED28AA" w:rsidRDefault="00B22DEE">
            <w:pPr>
              <w:rPr>
                <w:color w:val="0070C0"/>
                <w:sz w:val="22"/>
              </w:rPr>
            </w:pPr>
            <w:r w:rsidRPr="00ED28AA">
              <w:rPr>
                <w:color w:val="0070C0"/>
                <w:sz w:val="22"/>
              </w:rPr>
              <w:t>Review applications to understand why impact test was not required.</w:t>
            </w:r>
          </w:p>
        </w:tc>
        <w:tc>
          <w:tcPr>
            <w:tcW w:w="4678" w:type="dxa"/>
            <w:gridSpan w:val="2"/>
            <w:tcBorders>
              <w:top w:val="single" w:sz="4" w:space="0" w:color="auto"/>
              <w:left w:val="single" w:sz="4" w:space="0" w:color="auto"/>
              <w:bottom w:val="single" w:sz="4" w:space="0" w:color="auto"/>
              <w:right w:val="single" w:sz="4" w:space="0" w:color="auto"/>
            </w:tcBorders>
          </w:tcPr>
          <w:p w14:paraId="5ACE0FD9" w14:textId="77777777" w:rsidR="00B22DEE" w:rsidRPr="00ED28AA" w:rsidRDefault="00B22DEE">
            <w:pPr>
              <w:rPr>
                <w:color w:val="0070C0"/>
                <w:sz w:val="22"/>
              </w:rPr>
            </w:pPr>
            <w:r w:rsidRPr="00ED28AA">
              <w:rPr>
                <w:color w:val="0070C0"/>
                <w:sz w:val="22"/>
              </w:rPr>
              <w:t>Review implementation of policy.</w:t>
            </w:r>
          </w:p>
          <w:p w14:paraId="2E42D079" w14:textId="77777777" w:rsidR="00B22DEE" w:rsidRPr="00ED28AA" w:rsidRDefault="00B22DEE">
            <w:pPr>
              <w:rPr>
                <w:b/>
                <w:bCs/>
                <w:color w:val="0070C0"/>
                <w:sz w:val="22"/>
              </w:rPr>
            </w:pPr>
          </w:p>
          <w:p w14:paraId="54448739" w14:textId="77777777" w:rsidR="00B22DEE" w:rsidRPr="00ED28AA" w:rsidRDefault="00B22DEE">
            <w:pPr>
              <w:rPr>
                <w:color w:val="0070C0"/>
                <w:sz w:val="22"/>
              </w:rPr>
            </w:pPr>
          </w:p>
          <w:p w14:paraId="1D48B0B8" w14:textId="77777777" w:rsidR="00B22DEE" w:rsidRPr="00ED28AA" w:rsidRDefault="00B22DEE">
            <w:pPr>
              <w:rPr>
                <w:color w:val="0070C0"/>
                <w:sz w:val="22"/>
              </w:rPr>
            </w:pPr>
            <w:r w:rsidRPr="00ED28AA">
              <w:rPr>
                <w:color w:val="0070C0"/>
                <w:sz w:val="22"/>
              </w:rPr>
              <w:t>Consider production of planning guidance / supplementary plans where this would assist decision-making.</w:t>
            </w:r>
          </w:p>
          <w:p w14:paraId="08B03A38" w14:textId="77777777" w:rsidR="00B22DEE" w:rsidRPr="00ED28AA" w:rsidRDefault="00B22DEE">
            <w:pPr>
              <w:rPr>
                <w:color w:val="0070C0"/>
                <w:sz w:val="22"/>
              </w:rPr>
            </w:pPr>
          </w:p>
          <w:p w14:paraId="6BB632BC" w14:textId="77777777" w:rsidR="00B22DEE" w:rsidRPr="00ED28AA" w:rsidRDefault="00B22DEE">
            <w:pPr>
              <w:rPr>
                <w:color w:val="0070C0"/>
                <w:sz w:val="22"/>
              </w:rPr>
            </w:pPr>
            <w:r w:rsidRPr="00ED28AA">
              <w:rPr>
                <w:color w:val="0070C0"/>
                <w:sz w:val="22"/>
              </w:rPr>
              <w:t>Work with landowners, developers and Economic Development colleagues to ensure new development is in appropriate locations.</w:t>
            </w:r>
          </w:p>
        </w:tc>
      </w:tr>
      <w:tr w:rsidR="00ED28AA" w:rsidRPr="00ED28AA" w14:paraId="2529D398"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7524A5D1" w14:textId="77777777" w:rsidR="00B22DEE" w:rsidRPr="00ED28AA" w:rsidRDefault="00B22DEE">
            <w:pPr>
              <w:rPr>
                <w:color w:val="0070C0"/>
                <w:sz w:val="22"/>
              </w:rPr>
            </w:pPr>
            <w:r w:rsidRPr="00ED28AA">
              <w:rPr>
                <w:color w:val="0070C0"/>
                <w:sz w:val="22"/>
              </w:rPr>
              <w:t>SH3: Shopfronts</w:t>
            </w:r>
          </w:p>
        </w:tc>
        <w:tc>
          <w:tcPr>
            <w:tcW w:w="3544" w:type="dxa"/>
            <w:gridSpan w:val="2"/>
            <w:tcBorders>
              <w:top w:val="single" w:sz="4" w:space="0" w:color="auto"/>
              <w:left w:val="single" w:sz="4" w:space="0" w:color="auto"/>
              <w:bottom w:val="single" w:sz="4" w:space="0" w:color="auto"/>
              <w:right w:val="single" w:sz="4" w:space="0" w:color="auto"/>
            </w:tcBorders>
            <w:hideMark/>
          </w:tcPr>
          <w:p w14:paraId="19FA44B4" w14:textId="77777777" w:rsidR="00B22DEE" w:rsidRPr="00ED28AA" w:rsidRDefault="00B22DEE">
            <w:pPr>
              <w:rPr>
                <w:color w:val="0070C0"/>
                <w:sz w:val="22"/>
              </w:rPr>
            </w:pPr>
            <w:r w:rsidRPr="00ED28AA">
              <w:rPr>
                <w:color w:val="0070C0"/>
                <w:sz w:val="22"/>
              </w:rPr>
              <w:t>Number of planning applications granted contrary to policy</w:t>
            </w:r>
          </w:p>
        </w:tc>
        <w:tc>
          <w:tcPr>
            <w:tcW w:w="4394" w:type="dxa"/>
            <w:gridSpan w:val="2"/>
            <w:tcBorders>
              <w:top w:val="single" w:sz="4" w:space="0" w:color="auto"/>
              <w:left w:val="single" w:sz="4" w:space="0" w:color="auto"/>
              <w:bottom w:val="single" w:sz="4" w:space="0" w:color="auto"/>
              <w:right w:val="single" w:sz="4" w:space="0" w:color="auto"/>
            </w:tcBorders>
            <w:hideMark/>
          </w:tcPr>
          <w:p w14:paraId="312A77F2" w14:textId="77777777" w:rsidR="00B22DEE" w:rsidRPr="00ED28AA" w:rsidRDefault="00B22DEE">
            <w:pPr>
              <w:rPr>
                <w:color w:val="0070C0"/>
                <w:sz w:val="22"/>
              </w:rPr>
            </w:pPr>
            <w:r w:rsidRPr="00ED28AA">
              <w:rPr>
                <w:color w:val="0070C0"/>
                <w:sz w:val="22"/>
              </w:rPr>
              <w:t>No approvals contrary to policy.</w:t>
            </w:r>
          </w:p>
        </w:tc>
        <w:tc>
          <w:tcPr>
            <w:tcW w:w="4678" w:type="dxa"/>
            <w:gridSpan w:val="2"/>
            <w:tcBorders>
              <w:top w:val="single" w:sz="4" w:space="0" w:color="auto"/>
              <w:left w:val="single" w:sz="4" w:space="0" w:color="auto"/>
              <w:bottom w:val="single" w:sz="4" w:space="0" w:color="auto"/>
              <w:right w:val="single" w:sz="4" w:space="0" w:color="auto"/>
            </w:tcBorders>
          </w:tcPr>
          <w:p w14:paraId="45484E7D" w14:textId="77777777" w:rsidR="00B22DEE" w:rsidRPr="00ED28AA" w:rsidRDefault="00B22DEE">
            <w:pPr>
              <w:rPr>
                <w:color w:val="0070C0"/>
                <w:sz w:val="22"/>
              </w:rPr>
            </w:pPr>
            <w:r w:rsidRPr="00ED28AA">
              <w:rPr>
                <w:color w:val="0070C0"/>
                <w:sz w:val="22"/>
              </w:rPr>
              <w:t>Review implementation of policy.</w:t>
            </w:r>
          </w:p>
          <w:p w14:paraId="01F7E782" w14:textId="77777777" w:rsidR="00B22DEE" w:rsidRPr="00ED28AA" w:rsidRDefault="00B22DEE">
            <w:pPr>
              <w:rPr>
                <w:color w:val="0070C0"/>
                <w:sz w:val="22"/>
              </w:rPr>
            </w:pPr>
          </w:p>
          <w:p w14:paraId="1E790E64" w14:textId="77777777" w:rsidR="00B22DEE" w:rsidRPr="00ED28AA" w:rsidRDefault="00B22DEE">
            <w:pPr>
              <w:rPr>
                <w:color w:val="0070C0"/>
                <w:sz w:val="22"/>
              </w:rPr>
            </w:pPr>
            <w:r w:rsidRPr="00ED28AA">
              <w:rPr>
                <w:color w:val="0070C0"/>
                <w:sz w:val="22"/>
              </w:rPr>
              <w:t>Consider preparation of shopfront design guide where this would assist decision-making.</w:t>
            </w:r>
          </w:p>
        </w:tc>
      </w:tr>
      <w:tr w:rsidR="00ED28AA" w:rsidRPr="00ED28AA" w14:paraId="424986EA" w14:textId="77777777" w:rsidTr="003767A6">
        <w:trPr>
          <w:trHeight w:val="630"/>
        </w:trPr>
        <w:tc>
          <w:tcPr>
            <w:tcW w:w="14454" w:type="dxa"/>
            <w:gridSpan w:val="7"/>
            <w:tcBorders>
              <w:top w:val="single" w:sz="4" w:space="0" w:color="auto"/>
              <w:left w:val="single" w:sz="4" w:space="0" w:color="auto"/>
              <w:bottom w:val="single" w:sz="4" w:space="0" w:color="auto"/>
              <w:right w:val="single" w:sz="4" w:space="0" w:color="auto"/>
            </w:tcBorders>
            <w:shd w:val="clear" w:color="auto" w:fill="E7E6E6" w:themeFill="background2"/>
          </w:tcPr>
          <w:p w14:paraId="11D56327" w14:textId="2E9439E7" w:rsidR="001C41BA" w:rsidRPr="00E56F9C" w:rsidRDefault="001C41BA">
            <w:pPr>
              <w:rPr>
                <w:b/>
                <w:bCs/>
                <w:color w:val="0067B6"/>
                <w:sz w:val="22"/>
              </w:rPr>
            </w:pPr>
            <w:r w:rsidRPr="00E56F9C">
              <w:rPr>
                <w:b/>
                <w:bCs/>
                <w:color w:val="0067B6"/>
              </w:rPr>
              <w:t>Achieving successful development through well designed places</w:t>
            </w:r>
          </w:p>
        </w:tc>
      </w:tr>
      <w:tr w:rsidR="00ED28AA" w:rsidRPr="00ED28AA" w14:paraId="3E4C3E87" w14:textId="77777777" w:rsidTr="003767A6">
        <w:trPr>
          <w:trHeight w:val="630"/>
        </w:trPr>
        <w:tc>
          <w:tcPr>
            <w:tcW w:w="183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09BAA5F" w14:textId="77777777" w:rsidR="00B22DEE" w:rsidRPr="00E56F9C" w:rsidRDefault="00B22DEE">
            <w:pPr>
              <w:rPr>
                <w:b/>
                <w:bCs/>
                <w:color w:val="0067B6"/>
                <w:sz w:val="22"/>
              </w:rPr>
            </w:pPr>
            <w:r w:rsidRPr="00E56F9C">
              <w:rPr>
                <w:b/>
                <w:bCs/>
                <w:color w:val="0067B6"/>
                <w:sz w:val="22"/>
              </w:rPr>
              <w:t>Policy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EE3A805" w14:textId="77777777" w:rsidR="00B22DEE" w:rsidRPr="00E56F9C" w:rsidRDefault="00B22DEE">
            <w:pPr>
              <w:rPr>
                <w:b/>
                <w:bCs/>
                <w:color w:val="0067B6"/>
                <w:sz w:val="22"/>
              </w:rPr>
            </w:pPr>
            <w:r w:rsidRPr="00E56F9C">
              <w:rPr>
                <w:b/>
                <w:bCs/>
                <w:color w:val="0067B6"/>
                <w:sz w:val="22"/>
              </w:rPr>
              <w:t>Indicator</w:t>
            </w:r>
          </w:p>
        </w:tc>
        <w:tc>
          <w:tcPr>
            <w:tcW w:w="439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2EB1B9C9" w14:textId="77777777" w:rsidR="00B22DEE" w:rsidRPr="00E56F9C" w:rsidRDefault="00B22DEE">
            <w:pPr>
              <w:rPr>
                <w:b/>
                <w:bCs/>
                <w:color w:val="0067B6"/>
                <w:sz w:val="22"/>
              </w:rPr>
            </w:pPr>
            <w:r w:rsidRPr="00E56F9C">
              <w:rPr>
                <w:b/>
                <w:bCs/>
                <w:color w:val="0067B6"/>
                <w:sz w:val="22"/>
              </w:rPr>
              <w:t>Target</w:t>
            </w:r>
          </w:p>
        </w:tc>
        <w:tc>
          <w:tcPr>
            <w:tcW w:w="4678"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73311DAC" w14:textId="77777777" w:rsidR="00B22DEE" w:rsidRPr="00E56F9C" w:rsidRDefault="00B22DEE">
            <w:pPr>
              <w:rPr>
                <w:b/>
                <w:bCs/>
                <w:color w:val="0067B6"/>
                <w:sz w:val="22"/>
              </w:rPr>
            </w:pPr>
            <w:r w:rsidRPr="00E56F9C">
              <w:rPr>
                <w:b/>
                <w:bCs/>
                <w:color w:val="0067B6"/>
                <w:sz w:val="22"/>
              </w:rPr>
              <w:t>Actions if target not met</w:t>
            </w:r>
          </w:p>
        </w:tc>
      </w:tr>
      <w:tr w:rsidR="00ED28AA" w:rsidRPr="00ED28AA" w14:paraId="5F60500F"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0E07A261" w14:textId="77777777" w:rsidR="00B22DEE" w:rsidRPr="00ED28AA" w:rsidRDefault="00B22DEE">
            <w:pPr>
              <w:rPr>
                <w:color w:val="0070C0"/>
                <w:sz w:val="22"/>
              </w:rPr>
            </w:pPr>
            <w:r w:rsidRPr="00ED28AA">
              <w:rPr>
                <w:color w:val="0070C0"/>
                <w:sz w:val="22"/>
              </w:rPr>
              <w:t>SD1: Social Value</w:t>
            </w:r>
          </w:p>
        </w:tc>
        <w:tc>
          <w:tcPr>
            <w:tcW w:w="3544" w:type="dxa"/>
            <w:gridSpan w:val="2"/>
            <w:tcBorders>
              <w:top w:val="single" w:sz="4" w:space="0" w:color="auto"/>
              <w:left w:val="single" w:sz="4" w:space="0" w:color="auto"/>
              <w:bottom w:val="single" w:sz="4" w:space="0" w:color="auto"/>
              <w:right w:val="single" w:sz="4" w:space="0" w:color="auto"/>
            </w:tcBorders>
            <w:hideMark/>
          </w:tcPr>
          <w:p w14:paraId="55ED14D7" w14:textId="77777777" w:rsidR="00B22DEE" w:rsidRPr="00ED28AA" w:rsidRDefault="00B22DEE">
            <w:pPr>
              <w:rPr>
                <w:color w:val="0070C0"/>
                <w:sz w:val="22"/>
              </w:rPr>
            </w:pPr>
            <w:r w:rsidRPr="00ED28AA">
              <w:rPr>
                <w:color w:val="0070C0"/>
                <w:sz w:val="22"/>
              </w:rPr>
              <w:t>Number of major applications that have supplied a Social Value Strategy (SVS)</w:t>
            </w:r>
          </w:p>
        </w:tc>
        <w:tc>
          <w:tcPr>
            <w:tcW w:w="4394" w:type="dxa"/>
            <w:gridSpan w:val="2"/>
            <w:tcBorders>
              <w:top w:val="single" w:sz="4" w:space="0" w:color="auto"/>
              <w:left w:val="single" w:sz="4" w:space="0" w:color="auto"/>
              <w:bottom w:val="single" w:sz="4" w:space="0" w:color="auto"/>
              <w:right w:val="single" w:sz="4" w:space="0" w:color="auto"/>
            </w:tcBorders>
            <w:hideMark/>
          </w:tcPr>
          <w:p w14:paraId="03455F64" w14:textId="77777777" w:rsidR="00B22DEE" w:rsidRPr="00ED28AA" w:rsidRDefault="00B22DEE">
            <w:pPr>
              <w:rPr>
                <w:color w:val="0070C0"/>
                <w:sz w:val="22"/>
              </w:rPr>
            </w:pPr>
            <w:r w:rsidRPr="00ED28AA">
              <w:rPr>
                <w:color w:val="0070C0"/>
                <w:sz w:val="22"/>
              </w:rPr>
              <w:t xml:space="preserve">All major developments should submit </w:t>
            </w:r>
            <w:proofErr w:type="gramStart"/>
            <w:r w:rsidRPr="00ED28AA">
              <w:rPr>
                <w:color w:val="0070C0"/>
                <w:sz w:val="22"/>
              </w:rPr>
              <w:t>a</w:t>
            </w:r>
            <w:proofErr w:type="gramEnd"/>
            <w:r w:rsidRPr="00ED28AA">
              <w:rPr>
                <w:color w:val="0070C0"/>
                <w:sz w:val="22"/>
              </w:rPr>
              <w:t xml:space="preserve"> SVS. Commentary will assist the Council in understanding how social value is being secured.</w:t>
            </w:r>
          </w:p>
        </w:tc>
        <w:tc>
          <w:tcPr>
            <w:tcW w:w="4678" w:type="dxa"/>
            <w:gridSpan w:val="2"/>
            <w:tcBorders>
              <w:top w:val="single" w:sz="4" w:space="0" w:color="auto"/>
              <w:left w:val="single" w:sz="4" w:space="0" w:color="auto"/>
              <w:bottom w:val="single" w:sz="4" w:space="0" w:color="auto"/>
              <w:right w:val="single" w:sz="4" w:space="0" w:color="auto"/>
            </w:tcBorders>
          </w:tcPr>
          <w:p w14:paraId="1769264B" w14:textId="77777777" w:rsidR="00B22DEE" w:rsidRPr="00ED28AA" w:rsidRDefault="00B22DEE">
            <w:pPr>
              <w:rPr>
                <w:color w:val="0070C0"/>
                <w:sz w:val="22"/>
              </w:rPr>
            </w:pPr>
            <w:r w:rsidRPr="00ED28AA">
              <w:rPr>
                <w:color w:val="0070C0"/>
                <w:sz w:val="22"/>
              </w:rPr>
              <w:t>Review reasons why SVS are not being supplied.</w:t>
            </w:r>
          </w:p>
          <w:p w14:paraId="37EED01C" w14:textId="77777777" w:rsidR="00B22DEE" w:rsidRPr="00ED28AA" w:rsidRDefault="00B22DEE">
            <w:pPr>
              <w:rPr>
                <w:color w:val="0070C0"/>
                <w:sz w:val="22"/>
              </w:rPr>
            </w:pPr>
          </w:p>
          <w:p w14:paraId="5FB289E0" w14:textId="77777777" w:rsidR="00B22DEE" w:rsidRPr="00ED28AA" w:rsidRDefault="00B22DEE">
            <w:pPr>
              <w:rPr>
                <w:color w:val="0070C0"/>
                <w:sz w:val="22"/>
              </w:rPr>
            </w:pPr>
            <w:r w:rsidRPr="00ED28AA">
              <w:rPr>
                <w:color w:val="0070C0"/>
                <w:sz w:val="22"/>
              </w:rPr>
              <w:t>Prepare supplementary guidance document / plan to set out further information required for SVS.</w:t>
            </w:r>
          </w:p>
        </w:tc>
      </w:tr>
      <w:tr w:rsidR="00ED28AA" w:rsidRPr="00ED28AA" w14:paraId="67B4DEA9"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0CEC28B1" w14:textId="77777777" w:rsidR="00B22DEE" w:rsidRPr="00ED28AA" w:rsidRDefault="00B22DEE">
            <w:pPr>
              <w:rPr>
                <w:color w:val="0070C0"/>
                <w:sz w:val="22"/>
              </w:rPr>
            </w:pPr>
            <w:r w:rsidRPr="00ED28AA">
              <w:rPr>
                <w:color w:val="0070C0"/>
                <w:sz w:val="22"/>
              </w:rPr>
              <w:lastRenderedPageBreak/>
              <w:t>SD2: Good Design Considerations for Development</w:t>
            </w:r>
          </w:p>
        </w:tc>
        <w:tc>
          <w:tcPr>
            <w:tcW w:w="3544" w:type="dxa"/>
            <w:gridSpan w:val="2"/>
            <w:tcBorders>
              <w:top w:val="single" w:sz="4" w:space="0" w:color="auto"/>
              <w:left w:val="single" w:sz="4" w:space="0" w:color="auto"/>
              <w:bottom w:val="single" w:sz="4" w:space="0" w:color="auto"/>
              <w:right w:val="single" w:sz="4" w:space="0" w:color="auto"/>
            </w:tcBorders>
          </w:tcPr>
          <w:p w14:paraId="5AE1CE97" w14:textId="77777777" w:rsidR="00B22DEE" w:rsidRPr="00ED28AA" w:rsidRDefault="00B22DEE">
            <w:pPr>
              <w:rPr>
                <w:color w:val="0070C0"/>
                <w:sz w:val="22"/>
              </w:rPr>
            </w:pPr>
            <w:r w:rsidRPr="00ED28AA">
              <w:rPr>
                <w:color w:val="0070C0"/>
                <w:sz w:val="22"/>
              </w:rPr>
              <w:t>Number of planning applications granted contrary to policy</w:t>
            </w:r>
          </w:p>
          <w:p w14:paraId="23BF4ADA" w14:textId="77777777" w:rsidR="00B22DEE" w:rsidRPr="00ED28AA" w:rsidRDefault="00B22DEE">
            <w:pPr>
              <w:rPr>
                <w:color w:val="0070C0"/>
                <w:sz w:val="22"/>
              </w:rPr>
            </w:pPr>
          </w:p>
          <w:p w14:paraId="7CA7586C" w14:textId="77777777" w:rsidR="00B22DEE" w:rsidRPr="00ED28AA" w:rsidRDefault="00B22DEE">
            <w:pPr>
              <w:rPr>
                <w:color w:val="0070C0"/>
                <w:sz w:val="22"/>
              </w:rPr>
            </w:pPr>
            <w:r w:rsidRPr="00ED28AA">
              <w:rPr>
                <w:color w:val="0070C0"/>
                <w:sz w:val="22"/>
              </w:rPr>
              <w:t>Number of major applications where design review was carried out</w:t>
            </w:r>
          </w:p>
        </w:tc>
        <w:tc>
          <w:tcPr>
            <w:tcW w:w="4394" w:type="dxa"/>
            <w:gridSpan w:val="2"/>
            <w:tcBorders>
              <w:top w:val="single" w:sz="4" w:space="0" w:color="auto"/>
              <w:left w:val="single" w:sz="4" w:space="0" w:color="auto"/>
              <w:bottom w:val="single" w:sz="4" w:space="0" w:color="auto"/>
              <w:right w:val="single" w:sz="4" w:space="0" w:color="auto"/>
            </w:tcBorders>
          </w:tcPr>
          <w:p w14:paraId="3AF80F29" w14:textId="77777777" w:rsidR="00B22DEE" w:rsidRPr="00ED28AA" w:rsidRDefault="00B22DEE">
            <w:pPr>
              <w:rPr>
                <w:color w:val="0070C0"/>
                <w:sz w:val="22"/>
              </w:rPr>
            </w:pPr>
            <w:r w:rsidRPr="00ED28AA">
              <w:rPr>
                <w:color w:val="0070C0"/>
                <w:sz w:val="22"/>
              </w:rPr>
              <w:t>No approvals contrary to policy.</w:t>
            </w:r>
          </w:p>
          <w:p w14:paraId="596A6F56" w14:textId="77777777" w:rsidR="00B22DEE" w:rsidRPr="00ED28AA" w:rsidRDefault="00B22DEE">
            <w:pPr>
              <w:rPr>
                <w:color w:val="0070C0"/>
                <w:sz w:val="22"/>
              </w:rPr>
            </w:pPr>
          </w:p>
          <w:p w14:paraId="5ED668FB" w14:textId="77777777" w:rsidR="00B22DEE" w:rsidRPr="00ED28AA" w:rsidRDefault="00B22DEE">
            <w:pPr>
              <w:rPr>
                <w:color w:val="0070C0"/>
                <w:sz w:val="22"/>
              </w:rPr>
            </w:pPr>
            <w:r w:rsidRPr="00ED28AA">
              <w:rPr>
                <w:color w:val="0070C0"/>
                <w:sz w:val="22"/>
              </w:rPr>
              <w:t>No specific target for design reviews, but commentary will assist in understanding how design is being considered on development proposals.</w:t>
            </w:r>
          </w:p>
        </w:tc>
        <w:tc>
          <w:tcPr>
            <w:tcW w:w="4678" w:type="dxa"/>
            <w:gridSpan w:val="2"/>
            <w:tcBorders>
              <w:top w:val="single" w:sz="4" w:space="0" w:color="auto"/>
              <w:left w:val="single" w:sz="4" w:space="0" w:color="auto"/>
              <w:bottom w:val="single" w:sz="4" w:space="0" w:color="auto"/>
              <w:right w:val="single" w:sz="4" w:space="0" w:color="auto"/>
            </w:tcBorders>
          </w:tcPr>
          <w:p w14:paraId="62864DC8" w14:textId="77777777" w:rsidR="00B22DEE" w:rsidRPr="00ED28AA" w:rsidRDefault="00B22DEE">
            <w:pPr>
              <w:rPr>
                <w:color w:val="0070C0"/>
                <w:sz w:val="22"/>
              </w:rPr>
            </w:pPr>
            <w:r w:rsidRPr="00ED28AA">
              <w:rPr>
                <w:color w:val="0070C0"/>
                <w:sz w:val="22"/>
              </w:rPr>
              <w:t>Review implementation of policy.</w:t>
            </w:r>
          </w:p>
          <w:p w14:paraId="5562E160" w14:textId="77777777" w:rsidR="00B22DEE" w:rsidRPr="00ED28AA" w:rsidRDefault="00B22DEE">
            <w:pPr>
              <w:rPr>
                <w:color w:val="0070C0"/>
                <w:sz w:val="22"/>
              </w:rPr>
            </w:pPr>
          </w:p>
          <w:p w14:paraId="4D6CF30B" w14:textId="77777777" w:rsidR="00B22DEE" w:rsidRPr="00ED28AA" w:rsidRDefault="00B22DEE">
            <w:pPr>
              <w:rPr>
                <w:color w:val="0070C0"/>
                <w:sz w:val="22"/>
              </w:rPr>
            </w:pPr>
            <w:r w:rsidRPr="00ED28AA">
              <w:rPr>
                <w:color w:val="0070C0"/>
                <w:sz w:val="22"/>
              </w:rPr>
              <w:t>Produce / update design codes and other policy documents to promote good design and placemaking.</w:t>
            </w:r>
          </w:p>
        </w:tc>
      </w:tr>
      <w:tr w:rsidR="00ED28AA" w:rsidRPr="00ED28AA" w14:paraId="66FD0442"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20CEE84A" w14:textId="77777777" w:rsidR="00B22DEE" w:rsidRPr="00ED28AA" w:rsidRDefault="00B22DEE">
            <w:pPr>
              <w:rPr>
                <w:color w:val="0070C0"/>
                <w:sz w:val="22"/>
              </w:rPr>
            </w:pPr>
            <w:r w:rsidRPr="00ED28AA">
              <w:rPr>
                <w:color w:val="0070C0"/>
                <w:sz w:val="22"/>
              </w:rPr>
              <w:t>SD3: Amenity</w:t>
            </w:r>
          </w:p>
        </w:tc>
        <w:tc>
          <w:tcPr>
            <w:tcW w:w="3544" w:type="dxa"/>
            <w:gridSpan w:val="2"/>
            <w:tcBorders>
              <w:top w:val="single" w:sz="4" w:space="0" w:color="auto"/>
              <w:left w:val="single" w:sz="4" w:space="0" w:color="auto"/>
              <w:bottom w:val="single" w:sz="4" w:space="0" w:color="auto"/>
              <w:right w:val="single" w:sz="4" w:space="0" w:color="auto"/>
            </w:tcBorders>
            <w:hideMark/>
          </w:tcPr>
          <w:p w14:paraId="3CB23221" w14:textId="77777777" w:rsidR="00B22DEE" w:rsidRPr="00ED28AA" w:rsidRDefault="00B22DEE">
            <w:pPr>
              <w:rPr>
                <w:color w:val="0070C0"/>
                <w:sz w:val="22"/>
              </w:rPr>
            </w:pPr>
            <w:r w:rsidRPr="00ED28AA">
              <w:rPr>
                <w:color w:val="0070C0"/>
                <w:sz w:val="22"/>
              </w:rPr>
              <w:t>Number of applications granted contrary to policy</w:t>
            </w:r>
          </w:p>
        </w:tc>
        <w:tc>
          <w:tcPr>
            <w:tcW w:w="4394" w:type="dxa"/>
            <w:gridSpan w:val="2"/>
            <w:tcBorders>
              <w:top w:val="single" w:sz="4" w:space="0" w:color="auto"/>
              <w:left w:val="single" w:sz="4" w:space="0" w:color="auto"/>
              <w:bottom w:val="single" w:sz="4" w:space="0" w:color="auto"/>
              <w:right w:val="single" w:sz="4" w:space="0" w:color="auto"/>
            </w:tcBorders>
          </w:tcPr>
          <w:p w14:paraId="1B39EE43" w14:textId="77777777" w:rsidR="00B22DEE" w:rsidRPr="00ED28AA" w:rsidRDefault="00B22DEE">
            <w:pPr>
              <w:rPr>
                <w:color w:val="0070C0"/>
                <w:sz w:val="22"/>
              </w:rPr>
            </w:pPr>
            <w:r w:rsidRPr="00ED28AA">
              <w:rPr>
                <w:color w:val="0070C0"/>
                <w:sz w:val="22"/>
              </w:rPr>
              <w:t>No approvals contrary to policy.</w:t>
            </w:r>
          </w:p>
          <w:p w14:paraId="187644C1" w14:textId="77777777" w:rsidR="00B22DEE" w:rsidRPr="00ED28AA" w:rsidRDefault="00B22DEE">
            <w:pPr>
              <w:rPr>
                <w:color w:val="0070C0"/>
                <w:sz w:val="22"/>
              </w:rPr>
            </w:pPr>
          </w:p>
        </w:tc>
        <w:tc>
          <w:tcPr>
            <w:tcW w:w="4678" w:type="dxa"/>
            <w:gridSpan w:val="2"/>
            <w:tcBorders>
              <w:top w:val="single" w:sz="4" w:space="0" w:color="auto"/>
              <w:left w:val="single" w:sz="4" w:space="0" w:color="auto"/>
              <w:bottom w:val="single" w:sz="4" w:space="0" w:color="auto"/>
              <w:right w:val="single" w:sz="4" w:space="0" w:color="auto"/>
            </w:tcBorders>
            <w:hideMark/>
          </w:tcPr>
          <w:p w14:paraId="0C384D60" w14:textId="77777777" w:rsidR="00B22DEE" w:rsidRPr="00ED28AA" w:rsidRDefault="00B22DEE">
            <w:pPr>
              <w:rPr>
                <w:color w:val="0070C0"/>
                <w:sz w:val="22"/>
              </w:rPr>
            </w:pPr>
            <w:r w:rsidRPr="00ED28AA">
              <w:rPr>
                <w:color w:val="0070C0"/>
                <w:sz w:val="22"/>
              </w:rPr>
              <w:t>Review implementation of policy.</w:t>
            </w:r>
          </w:p>
        </w:tc>
      </w:tr>
      <w:tr w:rsidR="00ED28AA" w:rsidRPr="00ED28AA" w14:paraId="7EB0398F"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13995483" w14:textId="77777777" w:rsidR="00B22DEE" w:rsidRPr="00ED28AA" w:rsidRDefault="00B22DEE">
            <w:pPr>
              <w:rPr>
                <w:color w:val="0070C0"/>
                <w:sz w:val="22"/>
              </w:rPr>
            </w:pPr>
            <w:r w:rsidRPr="00ED28AA">
              <w:rPr>
                <w:color w:val="0070C0"/>
                <w:sz w:val="22"/>
              </w:rPr>
              <w:t>SD4: Recycling and Refuse Provision in New Development</w:t>
            </w:r>
          </w:p>
        </w:tc>
        <w:tc>
          <w:tcPr>
            <w:tcW w:w="3544" w:type="dxa"/>
            <w:gridSpan w:val="2"/>
            <w:tcBorders>
              <w:top w:val="single" w:sz="4" w:space="0" w:color="auto"/>
              <w:left w:val="single" w:sz="4" w:space="0" w:color="auto"/>
              <w:bottom w:val="single" w:sz="4" w:space="0" w:color="auto"/>
              <w:right w:val="single" w:sz="4" w:space="0" w:color="auto"/>
            </w:tcBorders>
          </w:tcPr>
          <w:p w14:paraId="7C4BD4B7" w14:textId="77777777" w:rsidR="00B22DEE" w:rsidRPr="00ED28AA" w:rsidRDefault="00B22DEE">
            <w:pPr>
              <w:rPr>
                <w:color w:val="0070C0"/>
                <w:sz w:val="22"/>
              </w:rPr>
            </w:pPr>
            <w:r w:rsidRPr="00ED28AA">
              <w:rPr>
                <w:color w:val="0070C0"/>
                <w:sz w:val="22"/>
              </w:rPr>
              <w:t>Number of applications granted contrary to policy</w:t>
            </w:r>
          </w:p>
          <w:p w14:paraId="042C7A5A" w14:textId="77777777" w:rsidR="00B22DEE" w:rsidRPr="00ED28AA" w:rsidRDefault="00B22DEE">
            <w:pPr>
              <w:rPr>
                <w:color w:val="0070C0"/>
                <w:sz w:val="22"/>
              </w:rPr>
            </w:pPr>
          </w:p>
          <w:p w14:paraId="395E8A90" w14:textId="77777777" w:rsidR="00B22DEE" w:rsidRPr="00ED28AA" w:rsidRDefault="00B22DEE">
            <w:pPr>
              <w:rPr>
                <w:color w:val="0070C0"/>
                <w:sz w:val="22"/>
              </w:rPr>
            </w:pPr>
            <w:r w:rsidRPr="00ED28AA">
              <w:rPr>
                <w:color w:val="0070C0"/>
                <w:sz w:val="22"/>
              </w:rPr>
              <w:t>Number of major applications for residential and commercial development that have provided a waste storage and collection plan</w:t>
            </w:r>
          </w:p>
        </w:tc>
        <w:tc>
          <w:tcPr>
            <w:tcW w:w="4394" w:type="dxa"/>
            <w:gridSpan w:val="2"/>
            <w:tcBorders>
              <w:top w:val="single" w:sz="4" w:space="0" w:color="auto"/>
              <w:left w:val="single" w:sz="4" w:space="0" w:color="auto"/>
              <w:bottom w:val="single" w:sz="4" w:space="0" w:color="auto"/>
              <w:right w:val="single" w:sz="4" w:space="0" w:color="auto"/>
            </w:tcBorders>
          </w:tcPr>
          <w:p w14:paraId="7AF6952B" w14:textId="77777777" w:rsidR="00B22DEE" w:rsidRPr="00ED28AA" w:rsidRDefault="00B22DEE">
            <w:pPr>
              <w:rPr>
                <w:color w:val="0070C0"/>
                <w:sz w:val="22"/>
              </w:rPr>
            </w:pPr>
            <w:r w:rsidRPr="00ED28AA">
              <w:rPr>
                <w:color w:val="0070C0"/>
                <w:sz w:val="22"/>
              </w:rPr>
              <w:t>No approvals contrary to policy.</w:t>
            </w:r>
          </w:p>
          <w:p w14:paraId="60C5912C" w14:textId="77777777" w:rsidR="00B22DEE" w:rsidRPr="00ED28AA" w:rsidRDefault="00B22DEE">
            <w:pPr>
              <w:rPr>
                <w:color w:val="0070C0"/>
                <w:sz w:val="22"/>
              </w:rPr>
            </w:pPr>
          </w:p>
          <w:p w14:paraId="165F3D3F" w14:textId="77777777" w:rsidR="00B22DEE" w:rsidRPr="00ED28AA" w:rsidRDefault="00B22DEE">
            <w:pPr>
              <w:rPr>
                <w:color w:val="0070C0"/>
                <w:sz w:val="22"/>
              </w:rPr>
            </w:pPr>
          </w:p>
          <w:p w14:paraId="5EBD61D1" w14:textId="77777777" w:rsidR="00B22DEE" w:rsidRPr="00ED28AA" w:rsidRDefault="00B22DEE">
            <w:pPr>
              <w:rPr>
                <w:color w:val="0070C0"/>
                <w:sz w:val="22"/>
              </w:rPr>
            </w:pPr>
            <w:r w:rsidRPr="00ED28AA">
              <w:rPr>
                <w:color w:val="0070C0"/>
                <w:sz w:val="22"/>
              </w:rPr>
              <w:t>All qualifying proposals should provide details of how waste and recycling will be managed.</w:t>
            </w:r>
          </w:p>
        </w:tc>
        <w:tc>
          <w:tcPr>
            <w:tcW w:w="4678" w:type="dxa"/>
            <w:gridSpan w:val="2"/>
            <w:tcBorders>
              <w:top w:val="single" w:sz="4" w:space="0" w:color="auto"/>
              <w:left w:val="single" w:sz="4" w:space="0" w:color="auto"/>
              <w:bottom w:val="single" w:sz="4" w:space="0" w:color="auto"/>
              <w:right w:val="single" w:sz="4" w:space="0" w:color="auto"/>
            </w:tcBorders>
          </w:tcPr>
          <w:p w14:paraId="225E7727" w14:textId="77777777" w:rsidR="00B22DEE" w:rsidRPr="00ED28AA" w:rsidRDefault="00B22DEE">
            <w:pPr>
              <w:rPr>
                <w:color w:val="0070C0"/>
                <w:sz w:val="22"/>
              </w:rPr>
            </w:pPr>
            <w:r w:rsidRPr="00ED28AA">
              <w:rPr>
                <w:color w:val="0070C0"/>
                <w:sz w:val="22"/>
              </w:rPr>
              <w:t>Review implementation of policy.</w:t>
            </w:r>
          </w:p>
          <w:p w14:paraId="1D0DE00C" w14:textId="77777777" w:rsidR="00B22DEE" w:rsidRPr="00ED28AA" w:rsidRDefault="00B22DEE">
            <w:pPr>
              <w:rPr>
                <w:color w:val="0070C0"/>
                <w:sz w:val="22"/>
              </w:rPr>
            </w:pPr>
          </w:p>
          <w:p w14:paraId="3858EDC6" w14:textId="77777777" w:rsidR="00B22DEE" w:rsidRPr="00ED28AA" w:rsidRDefault="00B22DEE">
            <w:pPr>
              <w:rPr>
                <w:color w:val="0070C0"/>
                <w:sz w:val="22"/>
              </w:rPr>
            </w:pPr>
          </w:p>
          <w:p w14:paraId="46A68E5C" w14:textId="77777777" w:rsidR="00B22DEE" w:rsidRPr="00ED28AA" w:rsidRDefault="00B22DEE">
            <w:pPr>
              <w:rPr>
                <w:color w:val="0070C0"/>
                <w:sz w:val="22"/>
              </w:rPr>
            </w:pPr>
            <w:r w:rsidRPr="00ED28AA">
              <w:rPr>
                <w:color w:val="0070C0"/>
                <w:sz w:val="22"/>
              </w:rPr>
              <w:t>Consider production of planning guidance document to set out requirements for waste and recycling on new developments.</w:t>
            </w:r>
          </w:p>
        </w:tc>
      </w:tr>
      <w:tr w:rsidR="00ED28AA" w:rsidRPr="00ED28AA" w14:paraId="740AE0E5" w14:textId="77777777" w:rsidTr="003767A6">
        <w:trPr>
          <w:trHeight w:val="988"/>
        </w:trPr>
        <w:tc>
          <w:tcPr>
            <w:tcW w:w="1855" w:type="dxa"/>
            <w:gridSpan w:val="2"/>
            <w:tcBorders>
              <w:top w:val="single" w:sz="4" w:space="0" w:color="auto"/>
              <w:left w:val="single" w:sz="4" w:space="0" w:color="auto"/>
              <w:bottom w:val="single" w:sz="4" w:space="0" w:color="auto"/>
              <w:right w:val="single" w:sz="4" w:space="0" w:color="auto"/>
            </w:tcBorders>
            <w:hideMark/>
          </w:tcPr>
          <w:p w14:paraId="4B948FF0" w14:textId="77777777" w:rsidR="00B22DEE" w:rsidRPr="00ED28AA" w:rsidRDefault="00B22DEE">
            <w:pPr>
              <w:rPr>
                <w:color w:val="0070C0"/>
                <w:sz w:val="22"/>
              </w:rPr>
            </w:pPr>
            <w:r w:rsidRPr="00ED28AA">
              <w:rPr>
                <w:color w:val="0070C0"/>
                <w:sz w:val="22"/>
              </w:rPr>
              <w:t>SD5: Developer Contributions</w:t>
            </w:r>
          </w:p>
        </w:tc>
        <w:tc>
          <w:tcPr>
            <w:tcW w:w="3540" w:type="dxa"/>
            <w:gridSpan w:val="2"/>
            <w:tcBorders>
              <w:top w:val="single" w:sz="4" w:space="0" w:color="auto"/>
              <w:left w:val="single" w:sz="4" w:space="0" w:color="auto"/>
              <w:bottom w:val="single" w:sz="4" w:space="0" w:color="auto"/>
              <w:right w:val="single" w:sz="4" w:space="0" w:color="auto"/>
            </w:tcBorders>
          </w:tcPr>
          <w:p w14:paraId="1D62C142" w14:textId="77777777" w:rsidR="00B22DEE" w:rsidRPr="00ED28AA" w:rsidRDefault="00B22DEE">
            <w:pPr>
              <w:rPr>
                <w:color w:val="0070C0"/>
                <w:sz w:val="22"/>
              </w:rPr>
            </w:pPr>
            <w:r w:rsidRPr="00ED28AA">
              <w:rPr>
                <w:color w:val="0070C0"/>
                <w:sz w:val="22"/>
              </w:rPr>
              <w:t>S106 commitments from signed agreements towards:</w:t>
            </w:r>
          </w:p>
          <w:p w14:paraId="709CB6FF" w14:textId="77777777" w:rsidR="00B22DEE" w:rsidRPr="00E618A8" w:rsidRDefault="00B22DEE" w:rsidP="00B22DEE">
            <w:pPr>
              <w:pStyle w:val="ListParagraph"/>
              <w:numPr>
                <w:ilvl w:val="0"/>
                <w:numId w:val="391"/>
              </w:numPr>
              <w:spacing w:after="0" w:line="240" w:lineRule="auto"/>
              <w:rPr>
                <w:rFonts w:ascii="Arial" w:hAnsi="Arial" w:cs="Arial"/>
                <w:color w:val="0070C0"/>
                <w:sz w:val="22"/>
              </w:rPr>
            </w:pPr>
            <w:r w:rsidRPr="00E618A8">
              <w:rPr>
                <w:rFonts w:ascii="Arial" w:hAnsi="Arial" w:cs="Arial"/>
                <w:color w:val="0070C0"/>
                <w:sz w:val="22"/>
              </w:rPr>
              <w:t>Broadband</w:t>
            </w:r>
          </w:p>
          <w:p w14:paraId="4725536A" w14:textId="77777777" w:rsidR="00B22DEE" w:rsidRPr="00E618A8" w:rsidRDefault="00B22DEE" w:rsidP="00B22DEE">
            <w:pPr>
              <w:pStyle w:val="ListParagraph"/>
              <w:numPr>
                <w:ilvl w:val="0"/>
                <w:numId w:val="391"/>
              </w:numPr>
              <w:spacing w:after="0" w:line="240" w:lineRule="auto"/>
              <w:rPr>
                <w:rFonts w:ascii="Arial" w:hAnsi="Arial" w:cs="Arial"/>
                <w:color w:val="0070C0"/>
                <w:sz w:val="22"/>
              </w:rPr>
            </w:pPr>
            <w:r w:rsidRPr="00E618A8">
              <w:rPr>
                <w:rFonts w:ascii="Arial" w:hAnsi="Arial" w:cs="Arial"/>
                <w:color w:val="0070C0"/>
                <w:sz w:val="22"/>
              </w:rPr>
              <w:t>Education</w:t>
            </w:r>
          </w:p>
          <w:p w14:paraId="7DFDF03B" w14:textId="77777777" w:rsidR="00B22DEE" w:rsidRPr="00E618A8" w:rsidRDefault="00B22DEE" w:rsidP="00B22DEE">
            <w:pPr>
              <w:pStyle w:val="ListParagraph"/>
              <w:numPr>
                <w:ilvl w:val="0"/>
                <w:numId w:val="391"/>
              </w:numPr>
              <w:spacing w:after="0" w:line="240" w:lineRule="auto"/>
              <w:rPr>
                <w:rFonts w:ascii="Arial" w:hAnsi="Arial" w:cs="Arial"/>
                <w:color w:val="0070C0"/>
                <w:sz w:val="22"/>
              </w:rPr>
            </w:pPr>
            <w:r w:rsidRPr="00E618A8">
              <w:rPr>
                <w:rFonts w:ascii="Arial" w:hAnsi="Arial" w:cs="Arial"/>
                <w:color w:val="0070C0"/>
                <w:sz w:val="22"/>
              </w:rPr>
              <w:t>Healthcare</w:t>
            </w:r>
          </w:p>
          <w:p w14:paraId="11F608C3" w14:textId="77777777" w:rsidR="00B22DEE" w:rsidRPr="00E618A8" w:rsidRDefault="00B22DEE" w:rsidP="00B22DEE">
            <w:pPr>
              <w:pStyle w:val="ListParagraph"/>
              <w:numPr>
                <w:ilvl w:val="0"/>
                <w:numId w:val="391"/>
              </w:numPr>
              <w:spacing w:after="0" w:line="240" w:lineRule="auto"/>
              <w:rPr>
                <w:rFonts w:ascii="Arial" w:hAnsi="Arial" w:cs="Arial"/>
                <w:color w:val="0070C0"/>
                <w:sz w:val="22"/>
              </w:rPr>
            </w:pPr>
            <w:r w:rsidRPr="00E618A8">
              <w:rPr>
                <w:rFonts w:ascii="Arial" w:hAnsi="Arial" w:cs="Arial"/>
                <w:color w:val="0070C0"/>
                <w:sz w:val="22"/>
              </w:rPr>
              <w:t>Public Open Space</w:t>
            </w:r>
          </w:p>
          <w:p w14:paraId="26BAE819" w14:textId="77777777" w:rsidR="00B22DEE" w:rsidRPr="00E618A8" w:rsidRDefault="00B22DEE" w:rsidP="00B22DEE">
            <w:pPr>
              <w:pStyle w:val="ListParagraph"/>
              <w:numPr>
                <w:ilvl w:val="0"/>
                <w:numId w:val="391"/>
              </w:numPr>
              <w:spacing w:after="0" w:line="240" w:lineRule="auto"/>
              <w:rPr>
                <w:rFonts w:ascii="Arial" w:hAnsi="Arial" w:cs="Arial"/>
                <w:color w:val="0070C0"/>
                <w:sz w:val="22"/>
              </w:rPr>
            </w:pPr>
            <w:r w:rsidRPr="00E618A8">
              <w:rPr>
                <w:rFonts w:ascii="Arial" w:hAnsi="Arial" w:cs="Arial"/>
                <w:color w:val="0070C0"/>
                <w:sz w:val="22"/>
              </w:rPr>
              <w:t>Public Realm</w:t>
            </w:r>
          </w:p>
          <w:p w14:paraId="6B66D6F4" w14:textId="77777777" w:rsidR="00B22DEE" w:rsidRPr="00E618A8" w:rsidRDefault="00B22DEE" w:rsidP="00B22DEE">
            <w:pPr>
              <w:pStyle w:val="ListParagraph"/>
              <w:numPr>
                <w:ilvl w:val="0"/>
                <w:numId w:val="391"/>
              </w:numPr>
              <w:spacing w:after="0" w:line="240" w:lineRule="auto"/>
              <w:rPr>
                <w:rFonts w:ascii="Arial" w:hAnsi="Arial" w:cs="Arial"/>
                <w:color w:val="0070C0"/>
                <w:sz w:val="22"/>
              </w:rPr>
            </w:pPr>
            <w:r w:rsidRPr="00E618A8">
              <w:rPr>
                <w:rFonts w:ascii="Arial" w:hAnsi="Arial" w:cs="Arial"/>
                <w:color w:val="0070C0"/>
                <w:sz w:val="22"/>
              </w:rPr>
              <w:t>Transport</w:t>
            </w:r>
          </w:p>
          <w:p w14:paraId="3F285ECA" w14:textId="77777777" w:rsidR="00B22DEE" w:rsidRPr="00ED28AA" w:rsidRDefault="00B22DEE">
            <w:pPr>
              <w:rPr>
                <w:color w:val="0070C0"/>
                <w:sz w:val="22"/>
              </w:rPr>
            </w:pPr>
            <w:r w:rsidRPr="00ED28AA">
              <w:rPr>
                <w:color w:val="0070C0"/>
                <w:sz w:val="22"/>
              </w:rPr>
              <w:t>Progress towards priorities in the Infrastructure Delivery Plan (IDP)</w:t>
            </w:r>
          </w:p>
        </w:tc>
        <w:tc>
          <w:tcPr>
            <w:tcW w:w="4387" w:type="dxa"/>
            <w:gridSpan w:val="2"/>
            <w:tcBorders>
              <w:top w:val="single" w:sz="4" w:space="0" w:color="auto"/>
              <w:left w:val="single" w:sz="4" w:space="0" w:color="auto"/>
              <w:bottom w:val="single" w:sz="4" w:space="0" w:color="auto"/>
              <w:right w:val="single" w:sz="4" w:space="0" w:color="auto"/>
            </w:tcBorders>
            <w:hideMark/>
          </w:tcPr>
          <w:p w14:paraId="0AC9351E" w14:textId="77777777" w:rsidR="00B22DEE" w:rsidRPr="00ED28AA" w:rsidRDefault="00B22DEE">
            <w:pPr>
              <w:rPr>
                <w:color w:val="0070C0"/>
                <w:sz w:val="22"/>
              </w:rPr>
            </w:pPr>
            <w:r w:rsidRPr="00ED28AA">
              <w:rPr>
                <w:color w:val="0070C0"/>
                <w:sz w:val="22"/>
              </w:rPr>
              <w:t>All developer contributions should be agreed in line with local plan policy and the Council’s IDP.</w:t>
            </w:r>
          </w:p>
        </w:tc>
        <w:tc>
          <w:tcPr>
            <w:tcW w:w="4672" w:type="dxa"/>
            <w:tcBorders>
              <w:top w:val="single" w:sz="4" w:space="0" w:color="auto"/>
              <w:left w:val="single" w:sz="4" w:space="0" w:color="auto"/>
              <w:bottom w:val="single" w:sz="4" w:space="0" w:color="auto"/>
              <w:right w:val="single" w:sz="4" w:space="0" w:color="auto"/>
            </w:tcBorders>
          </w:tcPr>
          <w:p w14:paraId="6407692F" w14:textId="77777777" w:rsidR="00B22DEE" w:rsidRPr="00ED28AA" w:rsidRDefault="00B22DEE">
            <w:pPr>
              <w:rPr>
                <w:color w:val="0070C0"/>
                <w:sz w:val="22"/>
              </w:rPr>
            </w:pPr>
            <w:r w:rsidRPr="00ED28AA">
              <w:rPr>
                <w:color w:val="0070C0"/>
                <w:sz w:val="22"/>
              </w:rPr>
              <w:t>Review priorities in the IDP.</w:t>
            </w:r>
          </w:p>
          <w:p w14:paraId="0B5B0D24" w14:textId="77777777" w:rsidR="00B22DEE" w:rsidRPr="00ED28AA" w:rsidRDefault="00B22DEE">
            <w:pPr>
              <w:rPr>
                <w:color w:val="0070C0"/>
                <w:sz w:val="22"/>
              </w:rPr>
            </w:pPr>
          </w:p>
          <w:p w14:paraId="3F13C21E" w14:textId="77777777" w:rsidR="00B22DEE" w:rsidRPr="00ED28AA" w:rsidRDefault="00B22DEE">
            <w:pPr>
              <w:rPr>
                <w:color w:val="0070C0"/>
                <w:sz w:val="22"/>
              </w:rPr>
            </w:pPr>
            <w:r w:rsidRPr="00ED28AA">
              <w:rPr>
                <w:color w:val="0070C0"/>
                <w:sz w:val="22"/>
              </w:rPr>
              <w:t>Work closely with Clinical Commissioning Group, County Council, Education providers and other stakeholders to review requirements and funding sources.</w:t>
            </w:r>
          </w:p>
        </w:tc>
      </w:tr>
      <w:tr w:rsidR="00ED28AA" w:rsidRPr="00ED28AA" w14:paraId="28027FA1" w14:textId="77777777" w:rsidTr="003767A6">
        <w:trPr>
          <w:trHeight w:val="988"/>
        </w:trPr>
        <w:tc>
          <w:tcPr>
            <w:tcW w:w="1855" w:type="dxa"/>
            <w:gridSpan w:val="2"/>
            <w:tcBorders>
              <w:top w:val="single" w:sz="4" w:space="0" w:color="auto"/>
              <w:left w:val="single" w:sz="4" w:space="0" w:color="auto"/>
              <w:bottom w:val="single" w:sz="4" w:space="0" w:color="auto"/>
              <w:right w:val="single" w:sz="4" w:space="0" w:color="auto"/>
            </w:tcBorders>
            <w:hideMark/>
          </w:tcPr>
          <w:p w14:paraId="6062B5E3" w14:textId="77777777" w:rsidR="00B22DEE" w:rsidRPr="00ED28AA" w:rsidRDefault="00B22DEE">
            <w:pPr>
              <w:rPr>
                <w:color w:val="0070C0"/>
                <w:sz w:val="22"/>
              </w:rPr>
            </w:pPr>
            <w:r w:rsidRPr="00ED28AA">
              <w:rPr>
                <w:color w:val="0070C0"/>
                <w:sz w:val="22"/>
              </w:rPr>
              <w:lastRenderedPageBreak/>
              <w:t>SD6: Assessing Development Viability and Development Demand</w:t>
            </w:r>
          </w:p>
        </w:tc>
        <w:tc>
          <w:tcPr>
            <w:tcW w:w="3540" w:type="dxa"/>
            <w:gridSpan w:val="2"/>
            <w:tcBorders>
              <w:top w:val="single" w:sz="4" w:space="0" w:color="auto"/>
              <w:left w:val="single" w:sz="4" w:space="0" w:color="auto"/>
              <w:bottom w:val="single" w:sz="4" w:space="0" w:color="auto"/>
              <w:right w:val="single" w:sz="4" w:space="0" w:color="auto"/>
            </w:tcBorders>
            <w:hideMark/>
          </w:tcPr>
          <w:p w14:paraId="45E8B9AE" w14:textId="77777777" w:rsidR="00B22DEE" w:rsidRPr="00ED28AA" w:rsidRDefault="00B22DEE">
            <w:pPr>
              <w:rPr>
                <w:color w:val="0070C0"/>
                <w:sz w:val="22"/>
              </w:rPr>
            </w:pPr>
            <w:r w:rsidRPr="00ED28AA">
              <w:rPr>
                <w:color w:val="0070C0"/>
                <w:sz w:val="22"/>
              </w:rPr>
              <w:t>Number of major applications approved where independent viability assessment was accepted to reduce the level of developer contributions required</w:t>
            </w:r>
          </w:p>
        </w:tc>
        <w:tc>
          <w:tcPr>
            <w:tcW w:w="4387" w:type="dxa"/>
            <w:gridSpan w:val="2"/>
            <w:tcBorders>
              <w:top w:val="single" w:sz="4" w:space="0" w:color="auto"/>
              <w:left w:val="single" w:sz="4" w:space="0" w:color="auto"/>
              <w:bottom w:val="single" w:sz="4" w:space="0" w:color="auto"/>
              <w:right w:val="single" w:sz="4" w:space="0" w:color="auto"/>
            </w:tcBorders>
            <w:hideMark/>
          </w:tcPr>
          <w:p w14:paraId="0C28177D" w14:textId="77777777" w:rsidR="00B22DEE" w:rsidRPr="00ED28AA" w:rsidRDefault="00B22DEE">
            <w:pPr>
              <w:rPr>
                <w:color w:val="0070C0"/>
                <w:sz w:val="22"/>
              </w:rPr>
            </w:pPr>
            <w:r w:rsidRPr="00ED28AA">
              <w:rPr>
                <w:color w:val="0070C0"/>
                <w:sz w:val="22"/>
              </w:rPr>
              <w:t>The Whole Plan Viability Assessment has determined the local plan policies to be realistic. Therefore, all development should be assumed to be viable in line with policy. Where applications cannot meet the obligations expected, commentary will assist with understanding any wider viability issues.</w:t>
            </w:r>
          </w:p>
        </w:tc>
        <w:tc>
          <w:tcPr>
            <w:tcW w:w="4672" w:type="dxa"/>
            <w:tcBorders>
              <w:top w:val="single" w:sz="4" w:space="0" w:color="auto"/>
              <w:left w:val="single" w:sz="4" w:space="0" w:color="auto"/>
              <w:bottom w:val="single" w:sz="4" w:space="0" w:color="auto"/>
              <w:right w:val="single" w:sz="4" w:space="0" w:color="auto"/>
            </w:tcBorders>
          </w:tcPr>
          <w:p w14:paraId="7919D0A0" w14:textId="77777777" w:rsidR="00B22DEE" w:rsidRPr="00ED28AA" w:rsidRDefault="00B22DEE">
            <w:pPr>
              <w:rPr>
                <w:color w:val="0070C0"/>
                <w:sz w:val="22"/>
              </w:rPr>
            </w:pPr>
            <w:r w:rsidRPr="00ED28AA">
              <w:rPr>
                <w:color w:val="0070C0"/>
                <w:sz w:val="22"/>
              </w:rPr>
              <w:t>Review implementation of policy and whether additional guidance in respect of viability is required.</w:t>
            </w:r>
          </w:p>
          <w:p w14:paraId="6E658F7F" w14:textId="77777777" w:rsidR="00B22DEE" w:rsidRPr="00ED28AA" w:rsidRDefault="00B22DEE">
            <w:pPr>
              <w:rPr>
                <w:color w:val="0070C0"/>
                <w:sz w:val="22"/>
              </w:rPr>
            </w:pPr>
          </w:p>
          <w:p w14:paraId="493EE144" w14:textId="77777777" w:rsidR="00B22DEE" w:rsidRPr="00ED28AA" w:rsidRDefault="00B22DEE">
            <w:pPr>
              <w:rPr>
                <w:color w:val="0070C0"/>
                <w:sz w:val="22"/>
              </w:rPr>
            </w:pPr>
            <w:r w:rsidRPr="00ED28AA">
              <w:rPr>
                <w:color w:val="0070C0"/>
                <w:sz w:val="22"/>
              </w:rPr>
              <w:t>Work with landowners, developers and key stakeholders to review developer obligations and whether alternate sources of funding can be secured.</w:t>
            </w:r>
          </w:p>
          <w:p w14:paraId="0C54B75C" w14:textId="77777777" w:rsidR="00B22DEE" w:rsidRPr="00ED28AA" w:rsidRDefault="00B22DEE">
            <w:pPr>
              <w:rPr>
                <w:color w:val="0070C0"/>
                <w:sz w:val="22"/>
              </w:rPr>
            </w:pPr>
          </w:p>
          <w:p w14:paraId="290B0D1B" w14:textId="77777777" w:rsidR="00B22DEE" w:rsidRPr="00ED28AA" w:rsidRDefault="00B22DEE">
            <w:pPr>
              <w:rPr>
                <w:color w:val="0070C0"/>
                <w:sz w:val="22"/>
              </w:rPr>
            </w:pPr>
            <w:r w:rsidRPr="00ED28AA">
              <w:rPr>
                <w:color w:val="0070C0"/>
                <w:sz w:val="22"/>
              </w:rPr>
              <w:t>Review of the Local Plan.</w:t>
            </w:r>
          </w:p>
        </w:tc>
      </w:tr>
      <w:tr w:rsidR="00ED28AA" w:rsidRPr="00ED28AA" w14:paraId="0A620CD7" w14:textId="77777777" w:rsidTr="003767A6">
        <w:trPr>
          <w:trHeight w:val="988"/>
        </w:trPr>
        <w:tc>
          <w:tcPr>
            <w:tcW w:w="1855" w:type="dxa"/>
            <w:gridSpan w:val="2"/>
            <w:tcBorders>
              <w:top w:val="single" w:sz="4" w:space="0" w:color="auto"/>
              <w:left w:val="single" w:sz="4" w:space="0" w:color="auto"/>
              <w:bottom w:val="single" w:sz="4" w:space="0" w:color="auto"/>
              <w:right w:val="single" w:sz="4" w:space="0" w:color="auto"/>
            </w:tcBorders>
            <w:hideMark/>
          </w:tcPr>
          <w:p w14:paraId="02E70D86" w14:textId="77777777" w:rsidR="00B22DEE" w:rsidRPr="00ED28AA" w:rsidRDefault="00B22DEE">
            <w:pPr>
              <w:rPr>
                <w:color w:val="0070C0"/>
                <w:sz w:val="22"/>
              </w:rPr>
            </w:pPr>
            <w:r w:rsidRPr="00ED28AA">
              <w:rPr>
                <w:color w:val="0070C0"/>
                <w:sz w:val="22"/>
              </w:rPr>
              <w:t>SD7: Communications Infrastructure</w:t>
            </w:r>
          </w:p>
        </w:tc>
        <w:tc>
          <w:tcPr>
            <w:tcW w:w="3540" w:type="dxa"/>
            <w:gridSpan w:val="2"/>
            <w:tcBorders>
              <w:top w:val="single" w:sz="4" w:space="0" w:color="auto"/>
              <w:left w:val="single" w:sz="4" w:space="0" w:color="auto"/>
              <w:bottom w:val="single" w:sz="4" w:space="0" w:color="auto"/>
              <w:right w:val="single" w:sz="4" w:space="0" w:color="auto"/>
            </w:tcBorders>
            <w:hideMark/>
          </w:tcPr>
          <w:p w14:paraId="74FE6C79" w14:textId="77777777" w:rsidR="00B22DEE" w:rsidRPr="00ED28AA" w:rsidRDefault="00B22DEE">
            <w:pPr>
              <w:rPr>
                <w:color w:val="0070C0"/>
                <w:sz w:val="22"/>
              </w:rPr>
            </w:pPr>
            <w:r w:rsidRPr="00ED28AA">
              <w:rPr>
                <w:color w:val="0070C0"/>
                <w:sz w:val="22"/>
              </w:rPr>
              <w:t>Number of applications granted contrary to policy</w:t>
            </w:r>
          </w:p>
        </w:tc>
        <w:tc>
          <w:tcPr>
            <w:tcW w:w="4387" w:type="dxa"/>
            <w:gridSpan w:val="2"/>
            <w:tcBorders>
              <w:top w:val="single" w:sz="4" w:space="0" w:color="auto"/>
              <w:left w:val="single" w:sz="4" w:space="0" w:color="auto"/>
              <w:bottom w:val="single" w:sz="4" w:space="0" w:color="auto"/>
              <w:right w:val="single" w:sz="4" w:space="0" w:color="auto"/>
            </w:tcBorders>
          </w:tcPr>
          <w:p w14:paraId="5F9450E6" w14:textId="77777777" w:rsidR="00B22DEE" w:rsidRPr="00ED28AA" w:rsidRDefault="00B22DEE">
            <w:pPr>
              <w:rPr>
                <w:color w:val="0070C0"/>
                <w:sz w:val="22"/>
              </w:rPr>
            </w:pPr>
            <w:r w:rsidRPr="00ED28AA">
              <w:rPr>
                <w:color w:val="0070C0"/>
                <w:sz w:val="22"/>
              </w:rPr>
              <w:t>No approvals contrary to policy.</w:t>
            </w:r>
          </w:p>
          <w:p w14:paraId="57F06A89" w14:textId="77777777" w:rsidR="00B22DEE" w:rsidRPr="00ED28AA" w:rsidRDefault="00B22DEE">
            <w:pPr>
              <w:rPr>
                <w:color w:val="0070C0"/>
                <w:sz w:val="22"/>
              </w:rPr>
            </w:pPr>
          </w:p>
        </w:tc>
        <w:tc>
          <w:tcPr>
            <w:tcW w:w="4672" w:type="dxa"/>
            <w:tcBorders>
              <w:top w:val="single" w:sz="4" w:space="0" w:color="auto"/>
              <w:left w:val="single" w:sz="4" w:space="0" w:color="auto"/>
              <w:bottom w:val="single" w:sz="4" w:space="0" w:color="auto"/>
              <w:right w:val="single" w:sz="4" w:space="0" w:color="auto"/>
            </w:tcBorders>
            <w:hideMark/>
          </w:tcPr>
          <w:p w14:paraId="3D33E196" w14:textId="77777777" w:rsidR="00B22DEE" w:rsidRPr="00ED28AA" w:rsidRDefault="00B22DEE">
            <w:pPr>
              <w:rPr>
                <w:color w:val="0070C0"/>
                <w:sz w:val="22"/>
              </w:rPr>
            </w:pPr>
            <w:r w:rsidRPr="00ED28AA">
              <w:rPr>
                <w:color w:val="0070C0"/>
                <w:sz w:val="22"/>
              </w:rPr>
              <w:t>Review implementation of policy.</w:t>
            </w:r>
          </w:p>
        </w:tc>
      </w:tr>
      <w:tr w:rsidR="00ED28AA" w:rsidRPr="00ED28AA" w14:paraId="51F52833" w14:textId="77777777" w:rsidTr="003767A6">
        <w:trPr>
          <w:trHeight w:val="988"/>
        </w:trPr>
        <w:tc>
          <w:tcPr>
            <w:tcW w:w="1855" w:type="dxa"/>
            <w:gridSpan w:val="2"/>
            <w:tcBorders>
              <w:top w:val="single" w:sz="4" w:space="0" w:color="auto"/>
              <w:left w:val="single" w:sz="4" w:space="0" w:color="auto"/>
              <w:bottom w:val="single" w:sz="4" w:space="0" w:color="auto"/>
              <w:right w:val="single" w:sz="4" w:space="0" w:color="auto"/>
            </w:tcBorders>
            <w:hideMark/>
          </w:tcPr>
          <w:p w14:paraId="6E93434F" w14:textId="77777777" w:rsidR="00B22DEE" w:rsidRPr="00ED28AA" w:rsidRDefault="00B22DEE">
            <w:pPr>
              <w:rPr>
                <w:color w:val="0070C0"/>
                <w:sz w:val="22"/>
              </w:rPr>
            </w:pPr>
            <w:r w:rsidRPr="00ED28AA">
              <w:rPr>
                <w:color w:val="0070C0"/>
                <w:sz w:val="22"/>
              </w:rPr>
              <w:t>SD8: Contaminated Land and Unstable Land</w:t>
            </w:r>
          </w:p>
        </w:tc>
        <w:tc>
          <w:tcPr>
            <w:tcW w:w="3540" w:type="dxa"/>
            <w:gridSpan w:val="2"/>
            <w:tcBorders>
              <w:top w:val="single" w:sz="4" w:space="0" w:color="auto"/>
              <w:left w:val="single" w:sz="4" w:space="0" w:color="auto"/>
              <w:bottom w:val="single" w:sz="4" w:space="0" w:color="auto"/>
              <w:right w:val="single" w:sz="4" w:space="0" w:color="auto"/>
            </w:tcBorders>
            <w:hideMark/>
          </w:tcPr>
          <w:p w14:paraId="228A182D" w14:textId="77777777" w:rsidR="00B22DEE" w:rsidRPr="00ED28AA" w:rsidRDefault="00B22DEE">
            <w:pPr>
              <w:rPr>
                <w:color w:val="0070C0"/>
                <w:sz w:val="22"/>
              </w:rPr>
            </w:pPr>
            <w:r w:rsidRPr="00ED28AA">
              <w:rPr>
                <w:color w:val="0070C0"/>
                <w:sz w:val="22"/>
              </w:rPr>
              <w:t>Hectares of land built on part of approved development classed as contaminated or within Mining Remediation Authority High Risk Area</w:t>
            </w:r>
          </w:p>
        </w:tc>
        <w:tc>
          <w:tcPr>
            <w:tcW w:w="4387" w:type="dxa"/>
            <w:gridSpan w:val="2"/>
            <w:tcBorders>
              <w:top w:val="single" w:sz="4" w:space="0" w:color="auto"/>
              <w:left w:val="single" w:sz="4" w:space="0" w:color="auto"/>
              <w:bottom w:val="single" w:sz="4" w:space="0" w:color="auto"/>
              <w:right w:val="single" w:sz="4" w:space="0" w:color="auto"/>
            </w:tcBorders>
            <w:hideMark/>
          </w:tcPr>
          <w:p w14:paraId="26CE2E2C" w14:textId="77777777" w:rsidR="00B22DEE" w:rsidRPr="00ED28AA" w:rsidRDefault="00B22DEE">
            <w:pPr>
              <w:rPr>
                <w:color w:val="0070C0"/>
                <w:sz w:val="22"/>
              </w:rPr>
            </w:pPr>
            <w:r w:rsidRPr="00ED28AA">
              <w:rPr>
                <w:color w:val="0070C0"/>
                <w:sz w:val="22"/>
              </w:rPr>
              <w:t>No specific target for this indicator, but commentary will assist in understanding the level of mitigation secured as part of policy review.</w:t>
            </w:r>
          </w:p>
        </w:tc>
        <w:tc>
          <w:tcPr>
            <w:tcW w:w="4672" w:type="dxa"/>
            <w:tcBorders>
              <w:top w:val="single" w:sz="4" w:space="0" w:color="auto"/>
              <w:left w:val="single" w:sz="4" w:space="0" w:color="auto"/>
              <w:bottom w:val="single" w:sz="4" w:space="0" w:color="auto"/>
              <w:right w:val="single" w:sz="4" w:space="0" w:color="auto"/>
            </w:tcBorders>
            <w:hideMark/>
          </w:tcPr>
          <w:p w14:paraId="4ECE0DD3" w14:textId="77777777" w:rsidR="00B22DEE" w:rsidRPr="00ED28AA" w:rsidRDefault="00B22DEE">
            <w:pPr>
              <w:rPr>
                <w:color w:val="0070C0"/>
                <w:sz w:val="22"/>
              </w:rPr>
            </w:pPr>
            <w:r w:rsidRPr="00ED28AA">
              <w:rPr>
                <w:color w:val="0070C0"/>
                <w:sz w:val="22"/>
              </w:rPr>
              <w:t>Liaise with Environmental Health colleagues / Mining Remediation Authority to assess whether advice on contamination / land stability is being correctly used in planning decisions.</w:t>
            </w:r>
          </w:p>
        </w:tc>
      </w:tr>
      <w:tr w:rsidR="00ED28AA" w:rsidRPr="00ED28AA" w14:paraId="312D6329"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4EBB5C47" w14:textId="77777777" w:rsidR="00B22DEE" w:rsidRPr="00ED28AA" w:rsidRDefault="00B22DEE">
            <w:pPr>
              <w:rPr>
                <w:color w:val="0070C0"/>
                <w:sz w:val="22"/>
              </w:rPr>
            </w:pPr>
            <w:r w:rsidRPr="00ED28AA">
              <w:rPr>
                <w:color w:val="0070C0"/>
                <w:sz w:val="22"/>
              </w:rPr>
              <w:t>SD9: Environmental Protection</w:t>
            </w:r>
          </w:p>
        </w:tc>
        <w:tc>
          <w:tcPr>
            <w:tcW w:w="3544" w:type="dxa"/>
            <w:gridSpan w:val="2"/>
            <w:tcBorders>
              <w:top w:val="single" w:sz="4" w:space="0" w:color="auto"/>
              <w:left w:val="single" w:sz="4" w:space="0" w:color="auto"/>
              <w:bottom w:val="single" w:sz="4" w:space="0" w:color="auto"/>
              <w:right w:val="single" w:sz="4" w:space="0" w:color="auto"/>
            </w:tcBorders>
          </w:tcPr>
          <w:p w14:paraId="04CFE5BD" w14:textId="77777777" w:rsidR="00B22DEE" w:rsidRPr="00ED28AA" w:rsidRDefault="00B22DEE">
            <w:pPr>
              <w:rPr>
                <w:color w:val="0070C0"/>
                <w:sz w:val="22"/>
              </w:rPr>
            </w:pPr>
            <w:r w:rsidRPr="00ED28AA">
              <w:rPr>
                <w:color w:val="0070C0"/>
                <w:sz w:val="22"/>
              </w:rPr>
              <w:t>Number of applications granted contrary to policy</w:t>
            </w:r>
          </w:p>
          <w:p w14:paraId="36AD4440" w14:textId="77777777" w:rsidR="00B22DEE" w:rsidRPr="00ED28AA" w:rsidRDefault="00B22DEE">
            <w:pPr>
              <w:rPr>
                <w:color w:val="0070C0"/>
                <w:sz w:val="22"/>
              </w:rPr>
            </w:pPr>
          </w:p>
          <w:p w14:paraId="302014C2" w14:textId="77777777" w:rsidR="00B22DEE" w:rsidRPr="00ED28AA" w:rsidRDefault="00B22DEE">
            <w:pPr>
              <w:rPr>
                <w:color w:val="0070C0"/>
                <w:sz w:val="22"/>
              </w:rPr>
            </w:pPr>
            <w:r w:rsidRPr="00ED28AA">
              <w:rPr>
                <w:color w:val="0070C0"/>
                <w:sz w:val="22"/>
              </w:rPr>
              <w:t xml:space="preserve">Number of Air Quality Management Areas (AQMAs) in the </w:t>
            </w:r>
            <w:proofErr w:type="gramStart"/>
            <w:r w:rsidRPr="00ED28AA">
              <w:rPr>
                <w:color w:val="0070C0"/>
                <w:sz w:val="22"/>
              </w:rPr>
              <w:t>District</w:t>
            </w:r>
            <w:proofErr w:type="gramEnd"/>
          </w:p>
        </w:tc>
        <w:tc>
          <w:tcPr>
            <w:tcW w:w="4394" w:type="dxa"/>
            <w:gridSpan w:val="2"/>
            <w:tcBorders>
              <w:top w:val="single" w:sz="4" w:space="0" w:color="auto"/>
              <w:left w:val="single" w:sz="4" w:space="0" w:color="auto"/>
              <w:bottom w:val="single" w:sz="4" w:space="0" w:color="auto"/>
              <w:right w:val="single" w:sz="4" w:space="0" w:color="auto"/>
            </w:tcBorders>
          </w:tcPr>
          <w:p w14:paraId="59C91138" w14:textId="77777777" w:rsidR="00B22DEE" w:rsidRPr="00ED28AA" w:rsidRDefault="00B22DEE">
            <w:pPr>
              <w:rPr>
                <w:color w:val="0070C0"/>
                <w:sz w:val="22"/>
              </w:rPr>
            </w:pPr>
            <w:r w:rsidRPr="00ED28AA">
              <w:rPr>
                <w:color w:val="0070C0"/>
                <w:sz w:val="22"/>
              </w:rPr>
              <w:t>No approvals contrary to policy.</w:t>
            </w:r>
          </w:p>
          <w:p w14:paraId="11A67AC5" w14:textId="77777777" w:rsidR="00B22DEE" w:rsidRPr="00ED28AA" w:rsidRDefault="00B22DEE">
            <w:pPr>
              <w:rPr>
                <w:color w:val="0070C0"/>
                <w:sz w:val="22"/>
              </w:rPr>
            </w:pPr>
          </w:p>
          <w:p w14:paraId="3AC0A0D9" w14:textId="77777777" w:rsidR="00B22DEE" w:rsidRPr="00ED28AA" w:rsidRDefault="00B22DEE">
            <w:pPr>
              <w:rPr>
                <w:color w:val="0070C0"/>
                <w:sz w:val="22"/>
              </w:rPr>
            </w:pPr>
          </w:p>
          <w:p w14:paraId="0AE7710A" w14:textId="77777777" w:rsidR="00B22DEE" w:rsidRPr="00ED28AA" w:rsidRDefault="00B22DEE">
            <w:pPr>
              <w:rPr>
                <w:color w:val="0070C0"/>
                <w:sz w:val="22"/>
              </w:rPr>
            </w:pPr>
            <w:r w:rsidRPr="00ED28AA">
              <w:rPr>
                <w:color w:val="0070C0"/>
                <w:sz w:val="22"/>
              </w:rPr>
              <w:t>No AQMAs.</w:t>
            </w:r>
          </w:p>
        </w:tc>
        <w:tc>
          <w:tcPr>
            <w:tcW w:w="4678" w:type="dxa"/>
            <w:gridSpan w:val="2"/>
            <w:tcBorders>
              <w:top w:val="single" w:sz="4" w:space="0" w:color="auto"/>
              <w:left w:val="single" w:sz="4" w:space="0" w:color="auto"/>
              <w:bottom w:val="single" w:sz="4" w:space="0" w:color="auto"/>
              <w:right w:val="single" w:sz="4" w:space="0" w:color="auto"/>
            </w:tcBorders>
          </w:tcPr>
          <w:p w14:paraId="6BE835B1" w14:textId="77777777" w:rsidR="00B22DEE" w:rsidRPr="00ED28AA" w:rsidRDefault="00B22DEE">
            <w:pPr>
              <w:rPr>
                <w:color w:val="0070C0"/>
                <w:sz w:val="22"/>
              </w:rPr>
            </w:pPr>
            <w:r w:rsidRPr="00ED28AA">
              <w:rPr>
                <w:color w:val="0070C0"/>
                <w:sz w:val="22"/>
              </w:rPr>
              <w:t>Review implementation of policy.</w:t>
            </w:r>
          </w:p>
          <w:p w14:paraId="4660B5D2" w14:textId="77777777" w:rsidR="00B22DEE" w:rsidRPr="00ED28AA" w:rsidRDefault="00B22DEE">
            <w:pPr>
              <w:rPr>
                <w:color w:val="0070C0"/>
                <w:sz w:val="22"/>
              </w:rPr>
            </w:pPr>
          </w:p>
          <w:p w14:paraId="072C1022" w14:textId="77777777" w:rsidR="00B22DEE" w:rsidRPr="00ED28AA" w:rsidRDefault="00B22DEE">
            <w:pPr>
              <w:rPr>
                <w:color w:val="0070C0"/>
                <w:sz w:val="22"/>
              </w:rPr>
            </w:pPr>
          </w:p>
          <w:p w14:paraId="4073AFD5" w14:textId="77777777" w:rsidR="00B22DEE" w:rsidRPr="00ED28AA" w:rsidRDefault="00B22DEE">
            <w:pPr>
              <w:rPr>
                <w:color w:val="0070C0"/>
                <w:sz w:val="22"/>
              </w:rPr>
            </w:pPr>
            <w:r w:rsidRPr="00ED28AA">
              <w:rPr>
                <w:color w:val="0070C0"/>
                <w:sz w:val="22"/>
              </w:rPr>
              <w:t>Follow actions required by designation of an AQMA.</w:t>
            </w:r>
          </w:p>
        </w:tc>
      </w:tr>
      <w:tr w:rsidR="00ED28AA" w:rsidRPr="00ED28AA" w14:paraId="28C9E727"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3541DB23" w14:textId="77777777" w:rsidR="00B22DEE" w:rsidRPr="00ED28AA" w:rsidRDefault="00B22DEE">
            <w:pPr>
              <w:rPr>
                <w:color w:val="0070C0"/>
                <w:sz w:val="22"/>
              </w:rPr>
            </w:pPr>
            <w:r w:rsidRPr="00ED28AA">
              <w:rPr>
                <w:color w:val="0070C0"/>
                <w:sz w:val="22"/>
              </w:rPr>
              <w:lastRenderedPageBreak/>
              <w:t>SD10: Transport Infrastructure</w:t>
            </w:r>
          </w:p>
        </w:tc>
        <w:tc>
          <w:tcPr>
            <w:tcW w:w="3544" w:type="dxa"/>
            <w:gridSpan w:val="2"/>
            <w:tcBorders>
              <w:top w:val="single" w:sz="4" w:space="0" w:color="auto"/>
              <w:left w:val="single" w:sz="4" w:space="0" w:color="auto"/>
              <w:bottom w:val="single" w:sz="4" w:space="0" w:color="auto"/>
              <w:right w:val="single" w:sz="4" w:space="0" w:color="auto"/>
            </w:tcBorders>
          </w:tcPr>
          <w:p w14:paraId="3A808CE1" w14:textId="77777777" w:rsidR="00B22DEE" w:rsidRPr="00ED28AA" w:rsidRDefault="00B22DEE">
            <w:pPr>
              <w:rPr>
                <w:color w:val="0070C0"/>
                <w:sz w:val="22"/>
              </w:rPr>
            </w:pPr>
            <w:r w:rsidRPr="00ED28AA">
              <w:rPr>
                <w:color w:val="0070C0"/>
                <w:sz w:val="22"/>
              </w:rPr>
              <w:t>S106 commitments from signed agreements towards transport infrastructure</w:t>
            </w:r>
          </w:p>
          <w:p w14:paraId="70A9724C" w14:textId="77777777" w:rsidR="00B22DEE" w:rsidRPr="00ED28AA" w:rsidRDefault="00B22DEE">
            <w:pPr>
              <w:rPr>
                <w:color w:val="0070C0"/>
                <w:sz w:val="22"/>
              </w:rPr>
            </w:pPr>
          </w:p>
          <w:p w14:paraId="2F92B04B" w14:textId="77777777" w:rsidR="00B22DEE" w:rsidRPr="00ED28AA" w:rsidRDefault="00B22DEE">
            <w:pPr>
              <w:rPr>
                <w:color w:val="0070C0"/>
                <w:sz w:val="22"/>
              </w:rPr>
            </w:pPr>
            <w:r w:rsidRPr="00ED28AA">
              <w:rPr>
                <w:color w:val="0070C0"/>
                <w:sz w:val="22"/>
              </w:rPr>
              <w:t>Rights of way and cycle routes created through new development.</w:t>
            </w:r>
          </w:p>
        </w:tc>
        <w:tc>
          <w:tcPr>
            <w:tcW w:w="4394" w:type="dxa"/>
            <w:gridSpan w:val="2"/>
            <w:tcBorders>
              <w:top w:val="single" w:sz="4" w:space="0" w:color="auto"/>
              <w:left w:val="single" w:sz="4" w:space="0" w:color="auto"/>
              <w:bottom w:val="single" w:sz="4" w:space="0" w:color="auto"/>
              <w:right w:val="single" w:sz="4" w:space="0" w:color="auto"/>
            </w:tcBorders>
          </w:tcPr>
          <w:p w14:paraId="2981E944" w14:textId="77777777" w:rsidR="00B22DEE" w:rsidRPr="00ED28AA" w:rsidRDefault="00B22DEE">
            <w:pPr>
              <w:rPr>
                <w:color w:val="0070C0"/>
                <w:sz w:val="22"/>
              </w:rPr>
            </w:pPr>
            <w:r w:rsidRPr="00ED28AA">
              <w:rPr>
                <w:color w:val="0070C0"/>
                <w:sz w:val="22"/>
              </w:rPr>
              <w:t>In line with the IDP.</w:t>
            </w:r>
          </w:p>
          <w:p w14:paraId="77DE9C22" w14:textId="77777777" w:rsidR="00B22DEE" w:rsidRPr="00ED28AA" w:rsidRDefault="00B22DEE">
            <w:pPr>
              <w:rPr>
                <w:color w:val="0070C0"/>
                <w:sz w:val="22"/>
              </w:rPr>
            </w:pPr>
          </w:p>
          <w:p w14:paraId="3218BAAA" w14:textId="77777777" w:rsidR="00B22DEE" w:rsidRPr="00ED28AA" w:rsidRDefault="00B22DEE">
            <w:pPr>
              <w:rPr>
                <w:color w:val="0070C0"/>
                <w:sz w:val="22"/>
              </w:rPr>
            </w:pPr>
          </w:p>
          <w:p w14:paraId="0409FCAC" w14:textId="77777777" w:rsidR="00B22DEE" w:rsidRPr="00ED28AA" w:rsidRDefault="00B22DEE">
            <w:pPr>
              <w:rPr>
                <w:color w:val="0070C0"/>
                <w:sz w:val="22"/>
              </w:rPr>
            </w:pPr>
            <w:r w:rsidRPr="00ED28AA">
              <w:rPr>
                <w:color w:val="0070C0"/>
                <w:sz w:val="22"/>
              </w:rPr>
              <w:t>New routes should connect to the existing network and green infrastructure. Existing routes to be protected wherever possible.</w:t>
            </w:r>
          </w:p>
        </w:tc>
        <w:tc>
          <w:tcPr>
            <w:tcW w:w="4678" w:type="dxa"/>
            <w:gridSpan w:val="2"/>
            <w:tcBorders>
              <w:top w:val="single" w:sz="4" w:space="0" w:color="auto"/>
              <w:left w:val="single" w:sz="4" w:space="0" w:color="auto"/>
              <w:bottom w:val="single" w:sz="4" w:space="0" w:color="auto"/>
              <w:right w:val="single" w:sz="4" w:space="0" w:color="auto"/>
            </w:tcBorders>
          </w:tcPr>
          <w:p w14:paraId="0E2F11A7" w14:textId="77777777" w:rsidR="00B22DEE" w:rsidRPr="00ED28AA" w:rsidRDefault="00B22DEE">
            <w:pPr>
              <w:rPr>
                <w:color w:val="0070C0"/>
                <w:sz w:val="22"/>
              </w:rPr>
            </w:pPr>
            <w:r w:rsidRPr="00ED28AA">
              <w:rPr>
                <w:color w:val="0070C0"/>
                <w:sz w:val="22"/>
              </w:rPr>
              <w:t>Review</w:t>
            </w:r>
            <w:r w:rsidRPr="00ED28AA">
              <w:rPr>
                <w:color w:val="0070C0"/>
              </w:rPr>
              <w:t xml:space="preserve"> </w:t>
            </w:r>
            <w:r w:rsidRPr="00ED28AA">
              <w:rPr>
                <w:color w:val="0070C0"/>
                <w:sz w:val="22"/>
              </w:rPr>
              <w:t>priorities in the IDP.</w:t>
            </w:r>
          </w:p>
          <w:p w14:paraId="3EC4EBDD" w14:textId="77777777" w:rsidR="00B22DEE" w:rsidRPr="00ED28AA" w:rsidRDefault="00B22DEE">
            <w:pPr>
              <w:rPr>
                <w:color w:val="0070C0"/>
                <w:sz w:val="22"/>
              </w:rPr>
            </w:pPr>
          </w:p>
          <w:p w14:paraId="23995FF8" w14:textId="77777777" w:rsidR="00B22DEE" w:rsidRPr="00ED28AA" w:rsidRDefault="00B22DEE">
            <w:pPr>
              <w:rPr>
                <w:color w:val="0070C0"/>
                <w:sz w:val="22"/>
              </w:rPr>
            </w:pPr>
            <w:r w:rsidRPr="00ED28AA">
              <w:rPr>
                <w:color w:val="0070C0"/>
                <w:sz w:val="22"/>
              </w:rPr>
              <w:t>Work with transport colleagues at County Council to understand issues restricting investment and maximise transport improvements.</w:t>
            </w:r>
          </w:p>
          <w:p w14:paraId="4E036909" w14:textId="77777777" w:rsidR="00B22DEE" w:rsidRPr="00ED28AA" w:rsidRDefault="00B22DEE">
            <w:pPr>
              <w:rPr>
                <w:color w:val="0070C0"/>
                <w:sz w:val="22"/>
              </w:rPr>
            </w:pPr>
          </w:p>
          <w:p w14:paraId="180227DF" w14:textId="77777777" w:rsidR="00E9429B" w:rsidRDefault="00B22DEE">
            <w:pPr>
              <w:rPr>
                <w:color w:val="0070C0"/>
                <w:sz w:val="22"/>
              </w:rPr>
            </w:pPr>
            <w:r w:rsidRPr="00ED28AA">
              <w:rPr>
                <w:color w:val="0070C0"/>
                <w:sz w:val="22"/>
              </w:rPr>
              <w:t>Proactively manage applications and ensure sustainable transport solutions are included on all developments</w:t>
            </w:r>
          </w:p>
          <w:p w14:paraId="73E16418" w14:textId="5E4F01BA" w:rsidR="00B22DEE" w:rsidRPr="00ED28AA" w:rsidRDefault="00B22DEE">
            <w:pPr>
              <w:rPr>
                <w:color w:val="0070C0"/>
                <w:sz w:val="22"/>
              </w:rPr>
            </w:pPr>
            <w:r w:rsidRPr="00ED28AA">
              <w:rPr>
                <w:color w:val="0070C0"/>
                <w:sz w:val="22"/>
              </w:rPr>
              <w:t>.</w:t>
            </w:r>
          </w:p>
        </w:tc>
      </w:tr>
      <w:tr w:rsidR="00ED28AA" w:rsidRPr="00ED28AA" w14:paraId="61556104"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64B59583" w14:textId="77777777" w:rsidR="00B22DEE" w:rsidRPr="00ED28AA" w:rsidRDefault="00B22DEE">
            <w:pPr>
              <w:rPr>
                <w:color w:val="0070C0"/>
                <w:sz w:val="22"/>
              </w:rPr>
            </w:pPr>
            <w:r w:rsidRPr="00ED28AA">
              <w:rPr>
                <w:color w:val="0070C0"/>
                <w:sz w:val="22"/>
              </w:rPr>
              <w:t>SD11: Parking</w:t>
            </w:r>
          </w:p>
        </w:tc>
        <w:tc>
          <w:tcPr>
            <w:tcW w:w="3544" w:type="dxa"/>
            <w:gridSpan w:val="2"/>
            <w:tcBorders>
              <w:top w:val="single" w:sz="4" w:space="0" w:color="auto"/>
              <w:left w:val="single" w:sz="4" w:space="0" w:color="auto"/>
              <w:bottom w:val="single" w:sz="4" w:space="0" w:color="auto"/>
              <w:right w:val="single" w:sz="4" w:space="0" w:color="auto"/>
            </w:tcBorders>
          </w:tcPr>
          <w:p w14:paraId="2535B455" w14:textId="77777777" w:rsidR="00B22DEE" w:rsidRPr="00ED28AA" w:rsidRDefault="00B22DEE">
            <w:pPr>
              <w:rPr>
                <w:b/>
                <w:bCs/>
                <w:color w:val="0070C0"/>
                <w:sz w:val="22"/>
              </w:rPr>
            </w:pPr>
            <w:r w:rsidRPr="00ED28AA">
              <w:rPr>
                <w:color w:val="0070C0"/>
                <w:sz w:val="22"/>
              </w:rPr>
              <w:t>Number of applications granted contrary to policy</w:t>
            </w:r>
          </w:p>
          <w:p w14:paraId="1853F061" w14:textId="77777777" w:rsidR="00B22DEE" w:rsidRPr="00ED28AA" w:rsidRDefault="00B22DEE">
            <w:pPr>
              <w:rPr>
                <w:color w:val="0070C0"/>
                <w:sz w:val="22"/>
              </w:rPr>
            </w:pPr>
          </w:p>
          <w:p w14:paraId="6739885C" w14:textId="77777777" w:rsidR="00B22DEE" w:rsidRPr="00ED28AA" w:rsidRDefault="00B22DEE">
            <w:pPr>
              <w:rPr>
                <w:color w:val="0070C0"/>
                <w:sz w:val="22"/>
              </w:rPr>
            </w:pPr>
            <w:r w:rsidRPr="00ED28AA">
              <w:rPr>
                <w:color w:val="0070C0"/>
                <w:sz w:val="22"/>
              </w:rPr>
              <w:t>Number of electric vehicle charge points included on new major development</w:t>
            </w:r>
          </w:p>
          <w:p w14:paraId="25312A6F" w14:textId="77777777" w:rsidR="00B22DEE" w:rsidRPr="00ED28AA" w:rsidRDefault="00B22DEE">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tcPr>
          <w:p w14:paraId="6A35A536" w14:textId="77777777" w:rsidR="00B22DEE" w:rsidRPr="00ED28AA" w:rsidRDefault="00B22DEE">
            <w:pPr>
              <w:rPr>
                <w:color w:val="0070C0"/>
                <w:sz w:val="22"/>
              </w:rPr>
            </w:pPr>
            <w:r w:rsidRPr="00ED28AA">
              <w:rPr>
                <w:color w:val="0070C0"/>
                <w:sz w:val="22"/>
              </w:rPr>
              <w:t>No approvals contrary to policy.</w:t>
            </w:r>
          </w:p>
          <w:p w14:paraId="270FEDFF" w14:textId="77777777" w:rsidR="00B22DEE" w:rsidRPr="00ED28AA" w:rsidRDefault="00B22DEE">
            <w:pPr>
              <w:rPr>
                <w:color w:val="0070C0"/>
                <w:sz w:val="22"/>
              </w:rPr>
            </w:pPr>
          </w:p>
          <w:p w14:paraId="50246EE6" w14:textId="77777777" w:rsidR="00B22DEE" w:rsidRPr="00ED28AA" w:rsidRDefault="00B22DEE">
            <w:pPr>
              <w:rPr>
                <w:color w:val="0070C0"/>
                <w:sz w:val="22"/>
              </w:rPr>
            </w:pPr>
            <w:r w:rsidRPr="00ED28AA">
              <w:rPr>
                <w:color w:val="0070C0"/>
                <w:sz w:val="22"/>
              </w:rPr>
              <w:t xml:space="preserve">Increase in number of electrical vehicle charge points installed in the </w:t>
            </w:r>
            <w:proofErr w:type="gramStart"/>
            <w:r w:rsidRPr="00ED28AA">
              <w:rPr>
                <w:color w:val="0070C0"/>
                <w:sz w:val="22"/>
              </w:rPr>
              <w:t>District</w:t>
            </w:r>
            <w:proofErr w:type="gramEnd"/>
            <w:r w:rsidRPr="00ED28AA">
              <w:rPr>
                <w:color w:val="0070C0"/>
                <w:sz w:val="22"/>
              </w:rPr>
              <w:t>.</w:t>
            </w:r>
          </w:p>
        </w:tc>
        <w:tc>
          <w:tcPr>
            <w:tcW w:w="4678" w:type="dxa"/>
            <w:gridSpan w:val="2"/>
            <w:tcBorders>
              <w:top w:val="single" w:sz="4" w:space="0" w:color="auto"/>
              <w:left w:val="single" w:sz="4" w:space="0" w:color="auto"/>
              <w:bottom w:val="single" w:sz="4" w:space="0" w:color="auto"/>
              <w:right w:val="single" w:sz="4" w:space="0" w:color="auto"/>
            </w:tcBorders>
          </w:tcPr>
          <w:p w14:paraId="20BF4F1D" w14:textId="77777777" w:rsidR="00B22DEE" w:rsidRPr="00ED28AA" w:rsidRDefault="00B22DEE">
            <w:pPr>
              <w:rPr>
                <w:color w:val="0070C0"/>
                <w:sz w:val="22"/>
              </w:rPr>
            </w:pPr>
            <w:r w:rsidRPr="00ED28AA">
              <w:rPr>
                <w:color w:val="0070C0"/>
                <w:sz w:val="22"/>
              </w:rPr>
              <w:t>Review implementation of policy.</w:t>
            </w:r>
          </w:p>
          <w:p w14:paraId="664AD20A" w14:textId="77777777" w:rsidR="00B22DEE" w:rsidRPr="00ED28AA" w:rsidRDefault="00B22DEE">
            <w:pPr>
              <w:rPr>
                <w:color w:val="0070C0"/>
                <w:sz w:val="22"/>
              </w:rPr>
            </w:pPr>
          </w:p>
          <w:p w14:paraId="51A3CD75" w14:textId="77777777" w:rsidR="00B22DEE" w:rsidRPr="00ED28AA" w:rsidRDefault="00B22DEE">
            <w:pPr>
              <w:rPr>
                <w:color w:val="0070C0"/>
                <w:sz w:val="22"/>
              </w:rPr>
            </w:pPr>
            <w:r w:rsidRPr="00ED28AA">
              <w:rPr>
                <w:color w:val="0070C0"/>
                <w:sz w:val="22"/>
              </w:rPr>
              <w:t>Proactively manage applications and ensure sustainable transport solutions are included on all developments</w:t>
            </w:r>
          </w:p>
          <w:p w14:paraId="140DE22A" w14:textId="77777777" w:rsidR="00B22DEE" w:rsidRPr="00ED28AA" w:rsidRDefault="00B22DEE">
            <w:pPr>
              <w:rPr>
                <w:color w:val="0070C0"/>
                <w:sz w:val="22"/>
              </w:rPr>
            </w:pPr>
          </w:p>
          <w:p w14:paraId="5D710AD7" w14:textId="77777777" w:rsidR="00B22DEE" w:rsidRDefault="00B22DEE">
            <w:pPr>
              <w:rPr>
                <w:color w:val="0070C0"/>
                <w:sz w:val="22"/>
              </w:rPr>
            </w:pPr>
            <w:r w:rsidRPr="00ED28AA">
              <w:rPr>
                <w:color w:val="0070C0"/>
                <w:sz w:val="22"/>
              </w:rPr>
              <w:t>Consider production of planning guidance document to set out further detail on parking requirements on new development.</w:t>
            </w:r>
          </w:p>
          <w:p w14:paraId="73AA24DE" w14:textId="77777777" w:rsidR="00E9429B" w:rsidRPr="00ED28AA" w:rsidRDefault="00E9429B">
            <w:pPr>
              <w:rPr>
                <w:color w:val="0070C0"/>
                <w:sz w:val="22"/>
              </w:rPr>
            </w:pPr>
          </w:p>
        </w:tc>
      </w:tr>
      <w:tr w:rsidR="00ED28AA" w:rsidRPr="00ED28AA" w14:paraId="3855CBA1"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2377C6C6" w14:textId="77777777" w:rsidR="00B22DEE" w:rsidRPr="00ED28AA" w:rsidRDefault="00B22DEE">
            <w:pPr>
              <w:rPr>
                <w:color w:val="0070C0"/>
                <w:sz w:val="22"/>
              </w:rPr>
            </w:pPr>
            <w:r w:rsidRPr="00ED28AA">
              <w:rPr>
                <w:color w:val="0070C0"/>
                <w:sz w:val="22"/>
              </w:rPr>
              <w:t>SD12: Advertisements</w:t>
            </w:r>
          </w:p>
        </w:tc>
        <w:tc>
          <w:tcPr>
            <w:tcW w:w="3544" w:type="dxa"/>
            <w:gridSpan w:val="2"/>
            <w:tcBorders>
              <w:top w:val="single" w:sz="4" w:space="0" w:color="auto"/>
              <w:left w:val="single" w:sz="4" w:space="0" w:color="auto"/>
              <w:bottom w:val="single" w:sz="4" w:space="0" w:color="auto"/>
              <w:right w:val="single" w:sz="4" w:space="0" w:color="auto"/>
            </w:tcBorders>
            <w:hideMark/>
          </w:tcPr>
          <w:p w14:paraId="4511581F" w14:textId="77777777" w:rsidR="00B22DEE" w:rsidRPr="00ED28AA" w:rsidRDefault="00B22DEE">
            <w:pPr>
              <w:rPr>
                <w:color w:val="0070C0"/>
                <w:sz w:val="22"/>
              </w:rPr>
            </w:pPr>
            <w:r w:rsidRPr="00ED28AA">
              <w:rPr>
                <w:color w:val="0070C0"/>
                <w:sz w:val="22"/>
              </w:rPr>
              <w:t>Number of applications granted contrary to policy</w:t>
            </w:r>
          </w:p>
        </w:tc>
        <w:tc>
          <w:tcPr>
            <w:tcW w:w="4394" w:type="dxa"/>
            <w:gridSpan w:val="2"/>
            <w:tcBorders>
              <w:top w:val="single" w:sz="4" w:space="0" w:color="auto"/>
              <w:left w:val="single" w:sz="4" w:space="0" w:color="auto"/>
              <w:bottom w:val="single" w:sz="4" w:space="0" w:color="auto"/>
              <w:right w:val="single" w:sz="4" w:space="0" w:color="auto"/>
            </w:tcBorders>
            <w:hideMark/>
          </w:tcPr>
          <w:p w14:paraId="456E6DF6" w14:textId="77777777" w:rsidR="00B22DEE" w:rsidRPr="00ED28AA" w:rsidRDefault="00B22DEE">
            <w:pPr>
              <w:rPr>
                <w:color w:val="0070C0"/>
                <w:sz w:val="22"/>
              </w:rPr>
            </w:pPr>
            <w:r w:rsidRPr="00ED28AA">
              <w:rPr>
                <w:color w:val="0070C0"/>
                <w:sz w:val="22"/>
              </w:rPr>
              <w:t>No approvals contrary to policy.</w:t>
            </w:r>
          </w:p>
        </w:tc>
        <w:tc>
          <w:tcPr>
            <w:tcW w:w="4678" w:type="dxa"/>
            <w:gridSpan w:val="2"/>
            <w:tcBorders>
              <w:top w:val="single" w:sz="4" w:space="0" w:color="auto"/>
              <w:left w:val="single" w:sz="4" w:space="0" w:color="auto"/>
              <w:bottom w:val="single" w:sz="4" w:space="0" w:color="auto"/>
              <w:right w:val="single" w:sz="4" w:space="0" w:color="auto"/>
            </w:tcBorders>
            <w:hideMark/>
          </w:tcPr>
          <w:p w14:paraId="387D41E5" w14:textId="77777777" w:rsidR="00B22DEE" w:rsidRPr="00ED28AA" w:rsidRDefault="00B22DEE">
            <w:pPr>
              <w:rPr>
                <w:color w:val="0070C0"/>
                <w:sz w:val="22"/>
              </w:rPr>
            </w:pPr>
            <w:r w:rsidRPr="00ED28AA">
              <w:rPr>
                <w:color w:val="0070C0"/>
                <w:sz w:val="22"/>
              </w:rPr>
              <w:t>Review implementation of policy.</w:t>
            </w:r>
          </w:p>
        </w:tc>
      </w:tr>
      <w:tr w:rsidR="00ED28AA" w:rsidRPr="00ED28AA" w14:paraId="0CBE316E" w14:textId="77777777" w:rsidTr="003767A6">
        <w:trPr>
          <w:trHeight w:val="988"/>
        </w:trPr>
        <w:tc>
          <w:tcPr>
            <w:tcW w:w="1838" w:type="dxa"/>
            <w:tcBorders>
              <w:top w:val="single" w:sz="4" w:space="0" w:color="auto"/>
              <w:left w:val="single" w:sz="4" w:space="0" w:color="auto"/>
              <w:bottom w:val="single" w:sz="4" w:space="0" w:color="auto"/>
              <w:right w:val="single" w:sz="4" w:space="0" w:color="auto"/>
            </w:tcBorders>
            <w:hideMark/>
          </w:tcPr>
          <w:p w14:paraId="50F767C0" w14:textId="77777777" w:rsidR="00B22DEE" w:rsidRPr="00ED28AA" w:rsidRDefault="00B22DEE">
            <w:pPr>
              <w:rPr>
                <w:color w:val="0070C0"/>
                <w:sz w:val="22"/>
              </w:rPr>
            </w:pPr>
            <w:r w:rsidRPr="00ED28AA">
              <w:rPr>
                <w:color w:val="0070C0"/>
                <w:sz w:val="22"/>
              </w:rPr>
              <w:lastRenderedPageBreak/>
              <w:t>SD13: Provision of Health and Community Facilities</w:t>
            </w:r>
          </w:p>
        </w:tc>
        <w:tc>
          <w:tcPr>
            <w:tcW w:w="3544" w:type="dxa"/>
            <w:gridSpan w:val="2"/>
            <w:tcBorders>
              <w:top w:val="single" w:sz="4" w:space="0" w:color="auto"/>
              <w:left w:val="single" w:sz="4" w:space="0" w:color="auto"/>
              <w:bottom w:val="single" w:sz="4" w:space="0" w:color="auto"/>
              <w:right w:val="single" w:sz="4" w:space="0" w:color="auto"/>
            </w:tcBorders>
          </w:tcPr>
          <w:p w14:paraId="3E541767" w14:textId="77777777" w:rsidR="00B22DEE" w:rsidRPr="00ED28AA" w:rsidRDefault="00B22DEE">
            <w:pPr>
              <w:rPr>
                <w:color w:val="0070C0"/>
                <w:sz w:val="22"/>
              </w:rPr>
            </w:pPr>
            <w:r w:rsidRPr="00ED28AA">
              <w:rPr>
                <w:color w:val="0070C0"/>
                <w:sz w:val="22"/>
              </w:rPr>
              <w:t>Loss/gain/improvement of</w:t>
            </w:r>
          </w:p>
          <w:p w14:paraId="3B129E6A" w14:textId="77777777" w:rsidR="00B22DEE" w:rsidRPr="00ED28AA" w:rsidRDefault="00B22DEE">
            <w:pPr>
              <w:rPr>
                <w:color w:val="0070C0"/>
                <w:sz w:val="22"/>
              </w:rPr>
            </w:pPr>
            <w:r w:rsidRPr="00ED28AA">
              <w:rPr>
                <w:color w:val="0070C0"/>
                <w:sz w:val="22"/>
              </w:rPr>
              <w:t>community and health facilities</w:t>
            </w:r>
          </w:p>
          <w:p w14:paraId="545413BC" w14:textId="77777777" w:rsidR="00B22DEE" w:rsidRPr="00ED28AA" w:rsidRDefault="00B22DEE">
            <w:pPr>
              <w:rPr>
                <w:color w:val="0070C0"/>
                <w:sz w:val="22"/>
              </w:rPr>
            </w:pPr>
          </w:p>
          <w:p w14:paraId="3885FB39" w14:textId="77777777" w:rsidR="00B22DEE" w:rsidRPr="00ED28AA" w:rsidRDefault="00B22DEE">
            <w:pPr>
              <w:rPr>
                <w:color w:val="0070C0"/>
                <w:sz w:val="22"/>
              </w:rPr>
            </w:pPr>
            <w:r w:rsidRPr="00ED28AA">
              <w:rPr>
                <w:color w:val="0070C0"/>
                <w:sz w:val="22"/>
              </w:rPr>
              <w:t>S106 commitments from signed agreements towards community and health facilities</w:t>
            </w:r>
          </w:p>
          <w:p w14:paraId="07039114" w14:textId="77777777" w:rsidR="00B22DEE" w:rsidRPr="00ED28AA" w:rsidRDefault="00B22DEE">
            <w:pPr>
              <w:rPr>
                <w:color w:val="0070C0"/>
                <w:sz w:val="22"/>
              </w:rPr>
            </w:pPr>
          </w:p>
        </w:tc>
        <w:tc>
          <w:tcPr>
            <w:tcW w:w="4394" w:type="dxa"/>
            <w:gridSpan w:val="2"/>
            <w:tcBorders>
              <w:top w:val="single" w:sz="4" w:space="0" w:color="auto"/>
              <w:left w:val="single" w:sz="4" w:space="0" w:color="auto"/>
              <w:bottom w:val="single" w:sz="4" w:space="0" w:color="auto"/>
              <w:right w:val="single" w:sz="4" w:space="0" w:color="auto"/>
            </w:tcBorders>
          </w:tcPr>
          <w:p w14:paraId="2EE157CD" w14:textId="77777777" w:rsidR="00B22DEE" w:rsidRPr="00ED28AA" w:rsidRDefault="00B22DEE">
            <w:pPr>
              <w:rPr>
                <w:color w:val="0070C0"/>
                <w:sz w:val="22"/>
              </w:rPr>
            </w:pPr>
            <w:r w:rsidRPr="00ED28AA">
              <w:rPr>
                <w:color w:val="0070C0"/>
                <w:sz w:val="22"/>
              </w:rPr>
              <w:t xml:space="preserve">No net loss of community and health facilities within the </w:t>
            </w:r>
            <w:proofErr w:type="gramStart"/>
            <w:r w:rsidRPr="00ED28AA">
              <w:rPr>
                <w:color w:val="0070C0"/>
                <w:sz w:val="22"/>
              </w:rPr>
              <w:t>District</w:t>
            </w:r>
            <w:proofErr w:type="gramEnd"/>
            <w:r w:rsidRPr="00ED28AA">
              <w:rPr>
                <w:color w:val="0070C0"/>
                <w:sz w:val="22"/>
              </w:rPr>
              <w:t>.</w:t>
            </w:r>
          </w:p>
          <w:p w14:paraId="15F21B68" w14:textId="77777777" w:rsidR="00B22DEE" w:rsidRPr="00ED28AA" w:rsidRDefault="00B22DEE">
            <w:pPr>
              <w:rPr>
                <w:color w:val="0070C0"/>
                <w:sz w:val="22"/>
              </w:rPr>
            </w:pPr>
          </w:p>
          <w:p w14:paraId="041226A6" w14:textId="77777777" w:rsidR="00B22DEE" w:rsidRPr="00ED28AA" w:rsidRDefault="00B22DEE">
            <w:pPr>
              <w:rPr>
                <w:color w:val="0070C0"/>
                <w:sz w:val="22"/>
              </w:rPr>
            </w:pPr>
            <w:r w:rsidRPr="00ED28AA">
              <w:rPr>
                <w:color w:val="0070C0"/>
                <w:sz w:val="22"/>
              </w:rPr>
              <w:t>In line with the IDP.</w:t>
            </w:r>
          </w:p>
        </w:tc>
        <w:tc>
          <w:tcPr>
            <w:tcW w:w="4678" w:type="dxa"/>
            <w:gridSpan w:val="2"/>
            <w:tcBorders>
              <w:top w:val="single" w:sz="4" w:space="0" w:color="auto"/>
              <w:left w:val="single" w:sz="4" w:space="0" w:color="auto"/>
              <w:bottom w:val="single" w:sz="4" w:space="0" w:color="auto"/>
              <w:right w:val="single" w:sz="4" w:space="0" w:color="auto"/>
            </w:tcBorders>
          </w:tcPr>
          <w:p w14:paraId="476154D1" w14:textId="77777777" w:rsidR="00B22DEE" w:rsidRPr="00ED28AA" w:rsidRDefault="00B22DEE">
            <w:pPr>
              <w:rPr>
                <w:color w:val="0070C0"/>
                <w:sz w:val="22"/>
              </w:rPr>
            </w:pPr>
            <w:r w:rsidRPr="00ED28AA">
              <w:rPr>
                <w:color w:val="0070C0"/>
                <w:sz w:val="22"/>
              </w:rPr>
              <w:t>Work closely with Clinical Commissioning Group, County Council, landowners and developers to identify barriers to the delivery of community and health facilities and find solutions.</w:t>
            </w:r>
          </w:p>
          <w:p w14:paraId="7BFFBDB3" w14:textId="77777777" w:rsidR="00B22DEE" w:rsidRPr="00ED28AA" w:rsidRDefault="00B22DEE">
            <w:pPr>
              <w:rPr>
                <w:color w:val="0070C0"/>
                <w:sz w:val="22"/>
              </w:rPr>
            </w:pPr>
          </w:p>
          <w:p w14:paraId="1D1D6BD3" w14:textId="77777777" w:rsidR="00B22DEE" w:rsidRPr="00ED28AA" w:rsidRDefault="00B22DEE">
            <w:pPr>
              <w:rPr>
                <w:color w:val="0070C0"/>
                <w:sz w:val="22"/>
              </w:rPr>
            </w:pPr>
            <w:r w:rsidRPr="00ED28AA">
              <w:rPr>
                <w:color w:val="0070C0"/>
                <w:sz w:val="22"/>
              </w:rPr>
              <w:t>Review priorities in the IDP.</w:t>
            </w:r>
          </w:p>
        </w:tc>
      </w:tr>
    </w:tbl>
    <w:p w14:paraId="777B1024" w14:textId="77777777" w:rsidR="00B22DEE" w:rsidRPr="00ED28AA" w:rsidRDefault="00B22DEE" w:rsidP="00B22DEE">
      <w:pPr>
        <w:tabs>
          <w:tab w:val="left" w:pos="930"/>
        </w:tabs>
        <w:rPr>
          <w:rFonts w:cstheme="minorBidi"/>
          <w:b/>
          <w:bCs/>
          <w:color w:val="0070C0"/>
          <w:kern w:val="2"/>
          <w:szCs w:val="22"/>
          <w:lang w:eastAsia="en-US"/>
          <w14:ligatures w14:val="standardContextual"/>
        </w:rPr>
      </w:pPr>
    </w:p>
    <w:p w14:paraId="00EDDB85" w14:textId="3E89C730" w:rsidR="00AF280E" w:rsidRPr="00ED28AA" w:rsidRDefault="00AF280E" w:rsidP="00CF07B9">
      <w:pPr>
        <w:pStyle w:val="Heading1"/>
      </w:pPr>
    </w:p>
    <w:p w14:paraId="65E6965C" w14:textId="77777777" w:rsidR="00B0709C" w:rsidRDefault="00B0709C" w:rsidP="00CF07B9">
      <w:pPr>
        <w:pStyle w:val="Heading1"/>
        <w:sectPr w:rsidR="00B0709C" w:rsidSect="00B0709C">
          <w:pgSz w:w="16838" w:h="11906" w:orient="landscape" w:code="9"/>
          <w:pgMar w:top="1134" w:right="1258" w:bottom="1133" w:left="1079" w:header="709" w:footer="709" w:gutter="0"/>
          <w:cols w:space="708"/>
          <w:docGrid w:linePitch="360"/>
        </w:sectPr>
      </w:pPr>
    </w:p>
    <w:p w14:paraId="686C0BE9" w14:textId="4A678889" w:rsidR="003E097C" w:rsidRPr="005437C6" w:rsidRDefault="003E097C" w:rsidP="00CF07B9">
      <w:pPr>
        <w:pStyle w:val="Heading1"/>
        <w:rPr>
          <w:shd w:val="clear" w:color="auto" w:fill="FEFEFE"/>
        </w:rPr>
      </w:pPr>
      <w:r w:rsidRPr="005437C6">
        <w:lastRenderedPageBreak/>
        <w:t>Appendix 13 - Existing Local Plan policies to be superseded upon adoption of the Ashfield Local Plan 2023 – 2040</w:t>
      </w:r>
    </w:p>
    <w:p w14:paraId="745D5848" w14:textId="77777777" w:rsidR="003E097C" w:rsidRPr="005437C6" w:rsidRDefault="003E097C" w:rsidP="00E7427E">
      <w:pPr>
        <w:rPr>
          <w:rFonts w:cs="Arial"/>
          <w:b/>
          <w:bCs/>
          <w:color w:val="0070C0"/>
        </w:rPr>
      </w:pPr>
    </w:p>
    <w:p w14:paraId="09102C69" w14:textId="36A60840" w:rsidR="00E7427E" w:rsidRPr="005437C6" w:rsidRDefault="00D5727C" w:rsidP="00E7427E">
      <w:pPr>
        <w:pStyle w:val="NormalWeb"/>
        <w:rPr>
          <w:rFonts w:ascii="Arial" w:hAnsi="Arial" w:cs="Arial"/>
          <w:color w:val="0070C0"/>
        </w:rPr>
      </w:pPr>
      <w:r>
        <w:rPr>
          <w:rFonts w:ascii="Arial" w:hAnsi="Arial" w:cs="Arial"/>
          <w:color w:val="0070C0"/>
          <w:shd w:val="clear" w:color="auto" w:fill="FEFEFE"/>
        </w:rPr>
        <w:t>U</w:t>
      </w:r>
      <w:r w:rsidR="00E7427E" w:rsidRPr="005437C6">
        <w:rPr>
          <w:rFonts w:ascii="Arial" w:hAnsi="Arial" w:cs="Arial"/>
          <w:color w:val="0070C0"/>
          <w:shd w:val="clear" w:color="auto" w:fill="FEFEFE"/>
        </w:rPr>
        <w:t>pon adoption, the Ashfield Local Plan 2023 – 2040 will replace the following saved policies, which are set out in the ‘D</w:t>
      </w:r>
      <w:r w:rsidR="00E7427E" w:rsidRPr="005437C6">
        <w:rPr>
          <w:rFonts w:ascii="Arial" w:hAnsi="Arial" w:cs="Arial"/>
          <w:color w:val="0070C0"/>
        </w:rPr>
        <w:t xml:space="preserve">irection under paragraph 1(3) of Schedule 8 to the Planning and Compulsory Purchase Act 2004’ (ADC Website, 05 September 2025).  </w:t>
      </w:r>
    </w:p>
    <w:p w14:paraId="34BE1C74" w14:textId="3F9E4FBA" w:rsidR="00E7427E" w:rsidRPr="005437C6" w:rsidRDefault="00E7427E" w:rsidP="00E7427E">
      <w:pPr>
        <w:pStyle w:val="NormalWeb"/>
        <w:rPr>
          <w:rFonts w:ascii="Arial" w:hAnsi="Arial" w:cs="Arial"/>
          <w:color w:val="0070C0"/>
        </w:rPr>
      </w:pPr>
      <w:r w:rsidRPr="005437C6">
        <w:rPr>
          <w:rFonts w:ascii="Arial" w:hAnsi="Arial" w:cs="Arial"/>
          <w:color w:val="0070C0"/>
        </w:rPr>
        <w:t xml:space="preserve">The following Table identifies the relevant policies of the Submitted Local Plan which will replace saved policies from the adopted Local Plan. </w:t>
      </w:r>
    </w:p>
    <w:tbl>
      <w:tblPr>
        <w:tblStyle w:val="TableGrid"/>
        <w:tblW w:w="0" w:type="auto"/>
        <w:tblLook w:val="04A0" w:firstRow="1" w:lastRow="0" w:firstColumn="1" w:lastColumn="0" w:noHBand="0" w:noVBand="1"/>
      </w:tblPr>
      <w:tblGrid>
        <w:gridCol w:w="3247"/>
        <w:gridCol w:w="6104"/>
      </w:tblGrid>
      <w:tr w:rsidR="005437C6" w:rsidRPr="005437C6" w14:paraId="2ACD1B2C" w14:textId="77777777">
        <w:tc>
          <w:tcPr>
            <w:tcW w:w="3247" w:type="dxa"/>
          </w:tcPr>
          <w:p w14:paraId="165382BA" w14:textId="77777777" w:rsidR="00E7427E" w:rsidRPr="005437C6" w:rsidRDefault="00E7427E" w:rsidP="003E097C">
            <w:pPr>
              <w:spacing w:before="0"/>
              <w:rPr>
                <w:rFonts w:cs="Arial"/>
                <w:b/>
                <w:bCs/>
                <w:color w:val="0070C0"/>
                <w:szCs w:val="24"/>
              </w:rPr>
            </w:pPr>
            <w:r w:rsidRPr="005437C6">
              <w:rPr>
                <w:rFonts w:cs="Arial"/>
                <w:b/>
                <w:bCs/>
                <w:color w:val="0070C0"/>
                <w:szCs w:val="24"/>
              </w:rPr>
              <w:lastRenderedPageBreak/>
              <w:t>Ashfield Local Plan Review – 2002 Saved Policies</w:t>
            </w:r>
          </w:p>
        </w:tc>
        <w:tc>
          <w:tcPr>
            <w:tcW w:w="6104" w:type="dxa"/>
          </w:tcPr>
          <w:p w14:paraId="1CCACAA7" w14:textId="77777777" w:rsidR="00E7427E" w:rsidRPr="005437C6" w:rsidRDefault="00E7427E" w:rsidP="003E097C">
            <w:pPr>
              <w:pStyle w:val="NormalWeb"/>
              <w:spacing w:before="0" w:beforeAutospacing="0"/>
              <w:rPr>
                <w:rFonts w:ascii="Arial" w:hAnsi="Arial" w:cs="Arial"/>
                <w:b/>
                <w:bCs/>
                <w:color w:val="0070C0"/>
              </w:rPr>
            </w:pPr>
            <w:r w:rsidRPr="005437C6">
              <w:rPr>
                <w:rFonts w:ascii="Arial" w:hAnsi="Arial" w:cs="Arial"/>
                <w:b/>
                <w:bCs/>
                <w:color w:val="0070C0"/>
              </w:rPr>
              <w:t>Ashfield Local Plan 2023 to 2040: Regulation 19 Pre-Submission Draft, November 2023</w:t>
            </w:r>
          </w:p>
        </w:tc>
      </w:tr>
      <w:tr w:rsidR="005437C6" w:rsidRPr="005437C6" w14:paraId="2DCA9DB0" w14:textId="77777777">
        <w:tc>
          <w:tcPr>
            <w:tcW w:w="3247" w:type="dxa"/>
          </w:tcPr>
          <w:p w14:paraId="19982ACC" w14:textId="77777777" w:rsidR="00E7427E" w:rsidRPr="005437C6" w:rsidRDefault="00E7427E" w:rsidP="003E097C">
            <w:pPr>
              <w:shd w:val="clear" w:color="auto" w:fill="FEFEFE"/>
              <w:spacing w:before="0"/>
              <w:ind w:left="142"/>
              <w:rPr>
                <w:rFonts w:cs="Arial"/>
                <w:color w:val="0070C0"/>
                <w:szCs w:val="24"/>
              </w:rPr>
            </w:pPr>
            <w:r w:rsidRPr="005437C6">
              <w:rPr>
                <w:rFonts w:cs="Arial"/>
                <w:color w:val="0070C0"/>
                <w:szCs w:val="24"/>
              </w:rPr>
              <w:t>ST1 Development</w:t>
            </w:r>
          </w:p>
        </w:tc>
        <w:tc>
          <w:tcPr>
            <w:tcW w:w="6104" w:type="dxa"/>
          </w:tcPr>
          <w:p w14:paraId="7DAE9658" w14:textId="77777777" w:rsidR="00E7427E" w:rsidRPr="005437C6" w:rsidRDefault="00E7427E" w:rsidP="003E097C">
            <w:pPr>
              <w:spacing w:before="0"/>
              <w:ind w:left="184"/>
              <w:rPr>
                <w:rFonts w:cs="Arial"/>
                <w:color w:val="0070C0"/>
                <w:szCs w:val="24"/>
              </w:rPr>
            </w:pPr>
            <w:r w:rsidRPr="005437C6">
              <w:rPr>
                <w:rFonts w:cs="Arial"/>
                <w:color w:val="0070C0"/>
                <w:szCs w:val="24"/>
              </w:rPr>
              <w:t>S2 Achieving Sustainable Development</w:t>
            </w:r>
          </w:p>
        </w:tc>
      </w:tr>
      <w:tr w:rsidR="005437C6" w:rsidRPr="005437C6" w14:paraId="4A2A7FBE" w14:textId="77777777">
        <w:tc>
          <w:tcPr>
            <w:tcW w:w="3247" w:type="dxa"/>
          </w:tcPr>
          <w:p w14:paraId="51103C2F" w14:textId="77777777" w:rsidR="00E7427E" w:rsidRPr="005437C6" w:rsidRDefault="00E7427E" w:rsidP="003E097C">
            <w:pPr>
              <w:shd w:val="clear" w:color="auto" w:fill="FEFEFE"/>
              <w:spacing w:before="0"/>
              <w:ind w:left="142"/>
              <w:rPr>
                <w:rFonts w:cs="Arial"/>
                <w:color w:val="0070C0"/>
                <w:szCs w:val="24"/>
              </w:rPr>
            </w:pPr>
            <w:r w:rsidRPr="005437C6">
              <w:rPr>
                <w:rFonts w:cs="Arial"/>
                <w:color w:val="0070C0"/>
                <w:szCs w:val="24"/>
              </w:rPr>
              <w:t>ST2 Main Urban Areas</w:t>
            </w:r>
          </w:p>
        </w:tc>
        <w:tc>
          <w:tcPr>
            <w:tcW w:w="6104" w:type="dxa"/>
          </w:tcPr>
          <w:p w14:paraId="76E1A958" w14:textId="77777777" w:rsidR="00E7427E" w:rsidRPr="005437C6" w:rsidRDefault="00E7427E" w:rsidP="003E097C">
            <w:pPr>
              <w:spacing w:before="0"/>
              <w:ind w:left="184"/>
              <w:rPr>
                <w:rFonts w:cs="Arial"/>
                <w:color w:val="0070C0"/>
                <w:szCs w:val="24"/>
              </w:rPr>
            </w:pPr>
            <w:r w:rsidRPr="005437C6">
              <w:rPr>
                <w:rFonts w:cs="Arial"/>
                <w:color w:val="0070C0"/>
                <w:szCs w:val="24"/>
              </w:rPr>
              <w:t>S1 Spatial Strategy to Deliver the Vision</w:t>
            </w:r>
          </w:p>
        </w:tc>
      </w:tr>
      <w:tr w:rsidR="005437C6" w:rsidRPr="005437C6" w14:paraId="4FD5555C" w14:textId="77777777">
        <w:tc>
          <w:tcPr>
            <w:tcW w:w="3247" w:type="dxa"/>
          </w:tcPr>
          <w:p w14:paraId="5B736FB8" w14:textId="77777777" w:rsidR="00E7427E" w:rsidRPr="005437C6" w:rsidRDefault="00E7427E" w:rsidP="003E097C">
            <w:pPr>
              <w:shd w:val="clear" w:color="auto" w:fill="FEFEFE"/>
              <w:spacing w:before="0"/>
              <w:ind w:left="142"/>
              <w:rPr>
                <w:rFonts w:cs="Arial"/>
                <w:color w:val="0070C0"/>
                <w:szCs w:val="24"/>
              </w:rPr>
            </w:pPr>
            <w:r w:rsidRPr="005437C6">
              <w:rPr>
                <w:rFonts w:cs="Arial"/>
                <w:color w:val="0070C0"/>
                <w:szCs w:val="24"/>
              </w:rPr>
              <w:t xml:space="preserve">ST3 Named Settlements </w:t>
            </w:r>
          </w:p>
        </w:tc>
        <w:tc>
          <w:tcPr>
            <w:tcW w:w="6104" w:type="dxa"/>
          </w:tcPr>
          <w:p w14:paraId="7691BB8F" w14:textId="77777777" w:rsidR="00E7427E" w:rsidRPr="005437C6" w:rsidRDefault="00E7427E" w:rsidP="003E097C">
            <w:pPr>
              <w:spacing w:before="0"/>
              <w:ind w:left="184"/>
              <w:rPr>
                <w:rFonts w:cs="Arial"/>
                <w:color w:val="0070C0"/>
                <w:szCs w:val="24"/>
              </w:rPr>
            </w:pPr>
            <w:r w:rsidRPr="005437C6">
              <w:rPr>
                <w:rFonts w:cs="Arial"/>
                <w:color w:val="0070C0"/>
                <w:szCs w:val="24"/>
              </w:rPr>
              <w:t>S1 Spatial Strategy to Deliver the Vision</w:t>
            </w:r>
          </w:p>
        </w:tc>
      </w:tr>
      <w:tr w:rsidR="005437C6" w:rsidRPr="005437C6" w14:paraId="48895A2A" w14:textId="77777777">
        <w:tc>
          <w:tcPr>
            <w:tcW w:w="3247" w:type="dxa"/>
          </w:tcPr>
          <w:p w14:paraId="4638805D" w14:textId="77777777" w:rsidR="00E7427E" w:rsidRPr="005437C6" w:rsidRDefault="00E7427E" w:rsidP="003E097C">
            <w:pPr>
              <w:shd w:val="clear" w:color="auto" w:fill="FEFEFE"/>
              <w:spacing w:before="0"/>
              <w:ind w:left="142"/>
              <w:rPr>
                <w:rFonts w:cs="Arial"/>
                <w:color w:val="0070C0"/>
                <w:szCs w:val="24"/>
              </w:rPr>
            </w:pPr>
            <w:r w:rsidRPr="005437C6">
              <w:rPr>
                <w:rFonts w:cs="Arial"/>
                <w:color w:val="0070C0"/>
                <w:szCs w:val="24"/>
              </w:rPr>
              <w:t>ST4 The Remainder of the District</w:t>
            </w:r>
          </w:p>
        </w:tc>
        <w:tc>
          <w:tcPr>
            <w:tcW w:w="6104" w:type="dxa"/>
          </w:tcPr>
          <w:p w14:paraId="00A156BE" w14:textId="77777777" w:rsidR="00E7427E" w:rsidRPr="005437C6" w:rsidRDefault="00E7427E" w:rsidP="003E097C">
            <w:pPr>
              <w:spacing w:before="0"/>
              <w:ind w:left="142"/>
              <w:rPr>
                <w:rFonts w:cs="Arial"/>
                <w:color w:val="0070C0"/>
                <w:szCs w:val="24"/>
              </w:rPr>
            </w:pPr>
            <w:r w:rsidRPr="005437C6">
              <w:rPr>
                <w:rFonts w:cs="Arial"/>
                <w:color w:val="0070C0"/>
                <w:szCs w:val="24"/>
              </w:rPr>
              <w:t>S1 Spatial Strategy to Deliver the Vision</w:t>
            </w:r>
          </w:p>
        </w:tc>
      </w:tr>
      <w:tr w:rsidR="005437C6" w:rsidRPr="005437C6" w14:paraId="164BD01D" w14:textId="77777777">
        <w:tc>
          <w:tcPr>
            <w:tcW w:w="3247" w:type="dxa"/>
          </w:tcPr>
          <w:p w14:paraId="5854DE5D" w14:textId="77777777" w:rsidR="00E7427E" w:rsidRPr="005437C6" w:rsidRDefault="00E7427E" w:rsidP="003E097C">
            <w:pPr>
              <w:spacing w:before="0"/>
              <w:ind w:left="142"/>
              <w:rPr>
                <w:rFonts w:cs="Arial"/>
                <w:color w:val="0070C0"/>
                <w:szCs w:val="24"/>
              </w:rPr>
            </w:pPr>
            <w:r w:rsidRPr="005437C6">
              <w:rPr>
                <w:rFonts w:cs="Arial"/>
                <w:color w:val="0070C0"/>
                <w:szCs w:val="24"/>
              </w:rPr>
              <w:t>EV1 Green Belt</w:t>
            </w:r>
          </w:p>
        </w:tc>
        <w:tc>
          <w:tcPr>
            <w:tcW w:w="6104" w:type="dxa"/>
          </w:tcPr>
          <w:p w14:paraId="4AE38AAC" w14:textId="77777777" w:rsidR="00E7427E" w:rsidRPr="005437C6" w:rsidRDefault="00E7427E" w:rsidP="003E097C">
            <w:pPr>
              <w:spacing w:before="0"/>
              <w:ind w:left="142"/>
              <w:rPr>
                <w:rFonts w:cs="Arial"/>
                <w:color w:val="0070C0"/>
                <w:szCs w:val="24"/>
              </w:rPr>
            </w:pPr>
            <w:r w:rsidRPr="005437C6">
              <w:rPr>
                <w:rFonts w:cs="Arial"/>
                <w:color w:val="0070C0"/>
                <w:szCs w:val="24"/>
              </w:rPr>
              <w:t>S4 Green Belt, EV1 Green Belt</w:t>
            </w:r>
          </w:p>
        </w:tc>
      </w:tr>
      <w:tr w:rsidR="005437C6" w:rsidRPr="005437C6" w14:paraId="4EDB053A" w14:textId="77777777">
        <w:tc>
          <w:tcPr>
            <w:tcW w:w="3247" w:type="dxa"/>
          </w:tcPr>
          <w:p w14:paraId="757BA406" w14:textId="77777777" w:rsidR="00E7427E" w:rsidRPr="005437C6" w:rsidRDefault="00E7427E" w:rsidP="003E097C">
            <w:pPr>
              <w:spacing w:before="0"/>
              <w:ind w:left="142"/>
              <w:rPr>
                <w:rFonts w:cs="Arial"/>
                <w:color w:val="0070C0"/>
                <w:szCs w:val="24"/>
              </w:rPr>
            </w:pPr>
            <w:r w:rsidRPr="005437C6">
              <w:rPr>
                <w:rFonts w:cs="Arial"/>
                <w:color w:val="0070C0"/>
                <w:szCs w:val="24"/>
              </w:rPr>
              <w:t>EV2 Countryside</w:t>
            </w:r>
          </w:p>
        </w:tc>
        <w:tc>
          <w:tcPr>
            <w:tcW w:w="6104" w:type="dxa"/>
          </w:tcPr>
          <w:p w14:paraId="235082ED" w14:textId="77777777" w:rsidR="00E7427E" w:rsidRPr="005437C6" w:rsidRDefault="00E7427E" w:rsidP="003E097C">
            <w:pPr>
              <w:spacing w:before="0"/>
              <w:ind w:left="142"/>
              <w:rPr>
                <w:rFonts w:cs="Arial"/>
                <w:color w:val="0070C0"/>
                <w:szCs w:val="24"/>
              </w:rPr>
            </w:pPr>
            <w:r w:rsidRPr="005437C6">
              <w:rPr>
                <w:rFonts w:cs="Arial"/>
                <w:color w:val="0070C0"/>
                <w:szCs w:val="24"/>
              </w:rPr>
              <w:t>S1 Spatial Strategy to Deliver the Vision</w:t>
            </w:r>
          </w:p>
          <w:p w14:paraId="62BB849A" w14:textId="77777777" w:rsidR="00E7427E" w:rsidRPr="005437C6" w:rsidRDefault="00E7427E" w:rsidP="003E097C">
            <w:pPr>
              <w:spacing w:before="0"/>
              <w:ind w:left="142"/>
              <w:rPr>
                <w:rFonts w:cs="Arial"/>
                <w:color w:val="0070C0"/>
                <w:szCs w:val="24"/>
              </w:rPr>
            </w:pPr>
            <w:r w:rsidRPr="005437C6">
              <w:rPr>
                <w:rFonts w:cs="Arial"/>
                <w:color w:val="0070C0"/>
                <w:szCs w:val="24"/>
              </w:rPr>
              <w:t>EV2 Countryside</w:t>
            </w:r>
          </w:p>
        </w:tc>
      </w:tr>
      <w:tr w:rsidR="005437C6" w:rsidRPr="005437C6" w14:paraId="46AC7068" w14:textId="77777777">
        <w:tc>
          <w:tcPr>
            <w:tcW w:w="3247" w:type="dxa"/>
          </w:tcPr>
          <w:p w14:paraId="43645085" w14:textId="77777777" w:rsidR="00E7427E" w:rsidRPr="005437C6" w:rsidRDefault="00E7427E" w:rsidP="003E097C">
            <w:pPr>
              <w:spacing w:before="0"/>
              <w:ind w:left="142"/>
              <w:rPr>
                <w:rFonts w:cs="Arial"/>
                <w:color w:val="0070C0"/>
                <w:szCs w:val="24"/>
              </w:rPr>
            </w:pPr>
            <w:r w:rsidRPr="005437C6">
              <w:rPr>
                <w:rFonts w:cs="Arial"/>
                <w:color w:val="0070C0"/>
                <w:szCs w:val="24"/>
              </w:rPr>
              <w:t>EV4 Mature Landscape Areas</w:t>
            </w:r>
          </w:p>
        </w:tc>
        <w:tc>
          <w:tcPr>
            <w:tcW w:w="6104" w:type="dxa"/>
          </w:tcPr>
          <w:p w14:paraId="7A71DEF8" w14:textId="77777777" w:rsidR="00E7427E" w:rsidRPr="005437C6" w:rsidRDefault="00E7427E" w:rsidP="003E097C">
            <w:pPr>
              <w:spacing w:before="0"/>
              <w:ind w:left="142"/>
              <w:rPr>
                <w:rFonts w:cs="Arial"/>
                <w:color w:val="0070C0"/>
                <w:szCs w:val="24"/>
              </w:rPr>
            </w:pPr>
            <w:r w:rsidRPr="005437C6">
              <w:rPr>
                <w:rFonts w:cs="Arial"/>
                <w:color w:val="0070C0"/>
                <w:szCs w:val="24"/>
              </w:rPr>
              <w:t>S13 Protecting and Enhancing Our Green Infrastructure and the Natural Environment</w:t>
            </w:r>
          </w:p>
          <w:p w14:paraId="7D83DC6E" w14:textId="77777777" w:rsidR="00E7427E" w:rsidRPr="005437C6" w:rsidRDefault="00E7427E" w:rsidP="003E097C">
            <w:pPr>
              <w:spacing w:before="0"/>
              <w:ind w:left="142"/>
              <w:rPr>
                <w:rFonts w:cs="Arial"/>
                <w:color w:val="0070C0"/>
                <w:szCs w:val="24"/>
              </w:rPr>
            </w:pPr>
            <w:r w:rsidRPr="005437C6">
              <w:rPr>
                <w:rFonts w:cs="Arial"/>
                <w:color w:val="0070C0"/>
                <w:szCs w:val="24"/>
              </w:rPr>
              <w:t>EV10 Protection and Enhancement of Landscape Character</w:t>
            </w:r>
          </w:p>
        </w:tc>
      </w:tr>
      <w:tr w:rsidR="005437C6" w:rsidRPr="005437C6" w14:paraId="17A719C8" w14:textId="77777777">
        <w:tc>
          <w:tcPr>
            <w:tcW w:w="3247" w:type="dxa"/>
          </w:tcPr>
          <w:p w14:paraId="606116C7" w14:textId="77777777" w:rsidR="00E7427E" w:rsidRPr="005437C6" w:rsidRDefault="00E7427E" w:rsidP="003E097C">
            <w:pPr>
              <w:spacing w:before="0"/>
              <w:ind w:left="142"/>
              <w:rPr>
                <w:rFonts w:cs="Arial"/>
                <w:color w:val="0070C0"/>
                <w:szCs w:val="24"/>
              </w:rPr>
            </w:pPr>
            <w:r w:rsidRPr="005437C6">
              <w:rPr>
                <w:rFonts w:cs="Arial"/>
                <w:color w:val="0070C0"/>
                <w:szCs w:val="24"/>
              </w:rPr>
              <w:t>EV5 Sites of Special Scientific Interest</w:t>
            </w:r>
          </w:p>
        </w:tc>
        <w:tc>
          <w:tcPr>
            <w:tcW w:w="6104" w:type="dxa"/>
          </w:tcPr>
          <w:p w14:paraId="07B3B7B3" w14:textId="77777777" w:rsidR="00E7427E" w:rsidRPr="005437C6" w:rsidRDefault="00E7427E" w:rsidP="003E097C">
            <w:pPr>
              <w:spacing w:before="0"/>
              <w:ind w:left="142"/>
              <w:rPr>
                <w:rFonts w:cs="Arial"/>
                <w:color w:val="0070C0"/>
                <w:szCs w:val="24"/>
              </w:rPr>
            </w:pPr>
            <w:r w:rsidRPr="005437C6">
              <w:rPr>
                <w:rFonts w:cs="Arial"/>
                <w:color w:val="0070C0"/>
                <w:szCs w:val="24"/>
              </w:rPr>
              <w:t>S13 Protecting and Enhancing Our Green Infrastructure and the Natural Environment</w:t>
            </w:r>
          </w:p>
          <w:p w14:paraId="149AF49E" w14:textId="77777777" w:rsidR="00E7427E" w:rsidRPr="005437C6" w:rsidRDefault="00E7427E" w:rsidP="003E097C">
            <w:pPr>
              <w:spacing w:before="0"/>
              <w:ind w:left="142"/>
              <w:rPr>
                <w:rFonts w:cs="Arial"/>
                <w:color w:val="0070C0"/>
                <w:szCs w:val="24"/>
              </w:rPr>
            </w:pPr>
            <w:r w:rsidRPr="005437C6">
              <w:rPr>
                <w:rFonts w:cs="Arial"/>
                <w:color w:val="0070C0"/>
                <w:szCs w:val="24"/>
              </w:rPr>
              <w:t>EV4 Green Infrastructure, Biodiversity and Geodiversity</w:t>
            </w:r>
          </w:p>
        </w:tc>
      </w:tr>
      <w:tr w:rsidR="005437C6" w:rsidRPr="005437C6" w14:paraId="67F02CFC" w14:textId="77777777">
        <w:tc>
          <w:tcPr>
            <w:tcW w:w="3247" w:type="dxa"/>
          </w:tcPr>
          <w:p w14:paraId="0094D2F8" w14:textId="77777777" w:rsidR="00E7427E" w:rsidRPr="005437C6" w:rsidRDefault="00E7427E" w:rsidP="003E097C">
            <w:pPr>
              <w:spacing w:before="0"/>
              <w:ind w:left="142"/>
              <w:rPr>
                <w:rFonts w:cs="Arial"/>
                <w:color w:val="0070C0"/>
                <w:szCs w:val="24"/>
              </w:rPr>
            </w:pPr>
            <w:r w:rsidRPr="005437C6">
              <w:rPr>
                <w:rFonts w:cs="Arial"/>
                <w:color w:val="0070C0"/>
                <w:szCs w:val="24"/>
              </w:rPr>
              <w:t>EV6 Local Nature Reserves and Sites of Importance for Nature Conservation and Geological Significance</w:t>
            </w:r>
          </w:p>
        </w:tc>
        <w:tc>
          <w:tcPr>
            <w:tcW w:w="6104" w:type="dxa"/>
          </w:tcPr>
          <w:p w14:paraId="686E283E" w14:textId="77777777" w:rsidR="00E7427E" w:rsidRPr="005437C6" w:rsidRDefault="00E7427E" w:rsidP="003E097C">
            <w:pPr>
              <w:spacing w:before="0"/>
              <w:ind w:left="142"/>
              <w:rPr>
                <w:rFonts w:cs="Arial"/>
                <w:color w:val="0070C0"/>
                <w:szCs w:val="24"/>
              </w:rPr>
            </w:pPr>
            <w:r w:rsidRPr="005437C6">
              <w:rPr>
                <w:rFonts w:cs="Arial"/>
                <w:color w:val="0070C0"/>
                <w:szCs w:val="24"/>
              </w:rPr>
              <w:t>S13 Protecting and Enhancing Our Green Infrastructure and the Natural Environment</w:t>
            </w:r>
          </w:p>
          <w:p w14:paraId="650ABC8C" w14:textId="77777777" w:rsidR="00E7427E" w:rsidRPr="005437C6" w:rsidRDefault="00E7427E" w:rsidP="003E097C">
            <w:pPr>
              <w:spacing w:before="0"/>
              <w:ind w:left="142"/>
              <w:rPr>
                <w:rFonts w:cs="Arial"/>
                <w:color w:val="0070C0"/>
                <w:szCs w:val="24"/>
              </w:rPr>
            </w:pPr>
            <w:r w:rsidRPr="005437C6">
              <w:rPr>
                <w:rFonts w:cs="Arial"/>
                <w:color w:val="0070C0"/>
                <w:szCs w:val="24"/>
              </w:rPr>
              <w:t>EV4 Green Infrastructure, Biodiversity and Geodiversity</w:t>
            </w:r>
          </w:p>
        </w:tc>
      </w:tr>
      <w:tr w:rsidR="005437C6" w:rsidRPr="005437C6" w14:paraId="0F70FE5A" w14:textId="77777777">
        <w:tc>
          <w:tcPr>
            <w:tcW w:w="3247" w:type="dxa"/>
          </w:tcPr>
          <w:p w14:paraId="03FAAF7E" w14:textId="77777777" w:rsidR="00E7427E" w:rsidRPr="005437C6" w:rsidRDefault="00E7427E" w:rsidP="003E097C">
            <w:pPr>
              <w:spacing w:before="0"/>
              <w:ind w:left="142"/>
              <w:rPr>
                <w:rFonts w:cs="Arial"/>
                <w:color w:val="0070C0"/>
                <w:szCs w:val="24"/>
              </w:rPr>
            </w:pPr>
            <w:r w:rsidRPr="005437C6">
              <w:rPr>
                <w:rFonts w:cs="Arial"/>
                <w:color w:val="0070C0"/>
                <w:szCs w:val="24"/>
              </w:rPr>
              <w:t>EV8 Trees and Woodland</w:t>
            </w:r>
          </w:p>
        </w:tc>
        <w:tc>
          <w:tcPr>
            <w:tcW w:w="6104" w:type="dxa"/>
          </w:tcPr>
          <w:p w14:paraId="432B367C" w14:textId="77777777" w:rsidR="00E7427E" w:rsidRPr="005437C6" w:rsidRDefault="00E7427E" w:rsidP="003E097C">
            <w:pPr>
              <w:spacing w:before="0"/>
              <w:ind w:left="142"/>
              <w:rPr>
                <w:rFonts w:cs="Arial"/>
                <w:color w:val="0070C0"/>
                <w:szCs w:val="24"/>
              </w:rPr>
            </w:pPr>
            <w:r w:rsidRPr="005437C6">
              <w:rPr>
                <w:rFonts w:cs="Arial"/>
                <w:color w:val="0070C0"/>
                <w:szCs w:val="24"/>
              </w:rPr>
              <w:t>S13 Protecting and Enhancing Our Green Infrastructure and the Natural Environment</w:t>
            </w:r>
          </w:p>
          <w:p w14:paraId="6BD61859" w14:textId="77777777" w:rsidR="00E7427E" w:rsidRPr="005437C6" w:rsidRDefault="00E7427E" w:rsidP="003E097C">
            <w:pPr>
              <w:spacing w:before="0"/>
              <w:ind w:left="142"/>
              <w:rPr>
                <w:rFonts w:cs="Arial"/>
                <w:color w:val="0070C0"/>
                <w:szCs w:val="24"/>
              </w:rPr>
            </w:pPr>
            <w:r w:rsidRPr="005437C6">
              <w:rPr>
                <w:rFonts w:cs="Arial"/>
                <w:color w:val="0070C0"/>
                <w:szCs w:val="24"/>
              </w:rPr>
              <w:t>EV6 Trees, Woodland and Hedgerows</w:t>
            </w:r>
          </w:p>
        </w:tc>
      </w:tr>
      <w:tr w:rsidR="005437C6" w:rsidRPr="005437C6" w14:paraId="11B6A3CA" w14:textId="77777777">
        <w:tc>
          <w:tcPr>
            <w:tcW w:w="3247" w:type="dxa"/>
          </w:tcPr>
          <w:p w14:paraId="7CDA8B73" w14:textId="77777777" w:rsidR="00E7427E" w:rsidRPr="005437C6" w:rsidRDefault="00E7427E" w:rsidP="003E097C">
            <w:pPr>
              <w:spacing w:before="0"/>
              <w:ind w:left="142"/>
              <w:rPr>
                <w:rFonts w:cs="Arial"/>
                <w:color w:val="0070C0"/>
                <w:szCs w:val="24"/>
              </w:rPr>
            </w:pPr>
            <w:r w:rsidRPr="005437C6">
              <w:rPr>
                <w:rFonts w:cs="Arial"/>
                <w:color w:val="0070C0"/>
                <w:szCs w:val="24"/>
              </w:rPr>
              <w:t>EV10 Conservation Areas</w:t>
            </w:r>
          </w:p>
        </w:tc>
        <w:tc>
          <w:tcPr>
            <w:tcW w:w="6104" w:type="dxa"/>
          </w:tcPr>
          <w:p w14:paraId="6724A2ED" w14:textId="77777777" w:rsidR="00E7427E" w:rsidRPr="005437C6" w:rsidRDefault="00E7427E" w:rsidP="003E097C">
            <w:pPr>
              <w:spacing w:before="0"/>
              <w:ind w:left="142"/>
              <w:rPr>
                <w:rFonts w:cs="Arial"/>
                <w:color w:val="0070C0"/>
                <w:szCs w:val="24"/>
              </w:rPr>
            </w:pPr>
            <w:r w:rsidRPr="005437C6">
              <w:rPr>
                <w:rFonts w:cs="Arial"/>
                <w:color w:val="0070C0"/>
                <w:szCs w:val="24"/>
              </w:rPr>
              <w:t>S14 Conserving and Enhancing Our Historic Environment</w:t>
            </w:r>
          </w:p>
          <w:p w14:paraId="038B4A86" w14:textId="77777777" w:rsidR="00E7427E" w:rsidRPr="005437C6" w:rsidRDefault="00E7427E" w:rsidP="003E097C">
            <w:pPr>
              <w:spacing w:before="0"/>
              <w:ind w:left="142"/>
              <w:rPr>
                <w:rFonts w:cs="Arial"/>
                <w:color w:val="0070C0"/>
                <w:szCs w:val="24"/>
              </w:rPr>
            </w:pPr>
            <w:r w:rsidRPr="005437C6">
              <w:rPr>
                <w:rFonts w:cs="Arial"/>
                <w:color w:val="0070C0"/>
                <w:szCs w:val="24"/>
              </w:rPr>
              <w:t>EV9 The Historic Environment</w:t>
            </w:r>
          </w:p>
        </w:tc>
      </w:tr>
      <w:tr w:rsidR="005437C6" w:rsidRPr="005437C6" w14:paraId="7A83CEFC" w14:textId="77777777">
        <w:tc>
          <w:tcPr>
            <w:tcW w:w="3247" w:type="dxa"/>
          </w:tcPr>
          <w:p w14:paraId="26B63D33" w14:textId="77777777" w:rsidR="00E7427E" w:rsidRPr="005437C6" w:rsidRDefault="00E7427E" w:rsidP="003E097C">
            <w:pPr>
              <w:spacing w:before="0"/>
              <w:ind w:left="142"/>
              <w:rPr>
                <w:rFonts w:cs="Arial"/>
                <w:color w:val="0070C0"/>
                <w:szCs w:val="24"/>
              </w:rPr>
            </w:pPr>
            <w:r w:rsidRPr="005437C6">
              <w:rPr>
                <w:rFonts w:cs="Arial"/>
                <w:color w:val="0070C0"/>
                <w:szCs w:val="24"/>
              </w:rPr>
              <w:t>EV11 Ancient Monuments and Archaeological Site</w:t>
            </w:r>
          </w:p>
        </w:tc>
        <w:tc>
          <w:tcPr>
            <w:tcW w:w="6104" w:type="dxa"/>
          </w:tcPr>
          <w:p w14:paraId="38568593" w14:textId="77777777" w:rsidR="00E7427E" w:rsidRPr="005437C6" w:rsidRDefault="00E7427E" w:rsidP="003E097C">
            <w:pPr>
              <w:spacing w:before="0"/>
              <w:ind w:left="142"/>
              <w:rPr>
                <w:rFonts w:cs="Arial"/>
                <w:color w:val="0070C0"/>
                <w:szCs w:val="24"/>
              </w:rPr>
            </w:pPr>
            <w:r w:rsidRPr="005437C6">
              <w:rPr>
                <w:rFonts w:cs="Arial"/>
                <w:color w:val="0070C0"/>
                <w:szCs w:val="24"/>
              </w:rPr>
              <w:t>S14 Conserving and Enhancing Our Historic Environment</w:t>
            </w:r>
          </w:p>
          <w:p w14:paraId="6A4F2D25" w14:textId="77777777" w:rsidR="00E7427E" w:rsidRPr="005437C6" w:rsidRDefault="00E7427E" w:rsidP="003E097C">
            <w:pPr>
              <w:spacing w:before="0"/>
              <w:ind w:left="142"/>
              <w:rPr>
                <w:rFonts w:cs="Arial"/>
                <w:color w:val="0070C0"/>
                <w:szCs w:val="24"/>
              </w:rPr>
            </w:pPr>
            <w:r w:rsidRPr="005437C6">
              <w:rPr>
                <w:rFonts w:cs="Arial"/>
                <w:color w:val="0070C0"/>
                <w:szCs w:val="24"/>
              </w:rPr>
              <w:t>EV9 The Historic Environment</w:t>
            </w:r>
          </w:p>
        </w:tc>
      </w:tr>
      <w:tr w:rsidR="005437C6" w:rsidRPr="005437C6" w14:paraId="08D3A4A9" w14:textId="77777777">
        <w:tc>
          <w:tcPr>
            <w:tcW w:w="3247" w:type="dxa"/>
          </w:tcPr>
          <w:p w14:paraId="2DA8A4FD" w14:textId="77777777" w:rsidR="00E7427E" w:rsidRPr="005437C6" w:rsidRDefault="00E7427E" w:rsidP="003E097C">
            <w:pPr>
              <w:spacing w:before="0"/>
              <w:ind w:left="142"/>
              <w:rPr>
                <w:rFonts w:cs="Arial"/>
                <w:color w:val="0070C0"/>
                <w:szCs w:val="24"/>
              </w:rPr>
            </w:pPr>
            <w:r w:rsidRPr="005437C6">
              <w:rPr>
                <w:rFonts w:cs="Arial"/>
                <w:color w:val="0070C0"/>
                <w:szCs w:val="24"/>
              </w:rPr>
              <w:t>EV14 Historic Parks and Gardens</w:t>
            </w:r>
          </w:p>
        </w:tc>
        <w:tc>
          <w:tcPr>
            <w:tcW w:w="6104" w:type="dxa"/>
          </w:tcPr>
          <w:p w14:paraId="39CE5919" w14:textId="77777777" w:rsidR="00E7427E" w:rsidRPr="005437C6" w:rsidRDefault="00E7427E" w:rsidP="003E097C">
            <w:pPr>
              <w:spacing w:before="0"/>
              <w:ind w:left="142"/>
              <w:rPr>
                <w:rFonts w:cs="Arial"/>
                <w:color w:val="0070C0"/>
                <w:szCs w:val="24"/>
              </w:rPr>
            </w:pPr>
            <w:r w:rsidRPr="005437C6">
              <w:rPr>
                <w:rFonts w:cs="Arial"/>
                <w:color w:val="0070C0"/>
                <w:szCs w:val="24"/>
              </w:rPr>
              <w:t>S14 Conserving and Enhancing Our Historic Environment</w:t>
            </w:r>
          </w:p>
          <w:p w14:paraId="3C3CF018" w14:textId="77777777" w:rsidR="00E7427E" w:rsidRPr="005437C6" w:rsidRDefault="00E7427E" w:rsidP="003E097C">
            <w:pPr>
              <w:spacing w:before="0"/>
              <w:ind w:left="142"/>
              <w:rPr>
                <w:rFonts w:cs="Arial"/>
                <w:color w:val="0070C0"/>
                <w:szCs w:val="24"/>
              </w:rPr>
            </w:pPr>
            <w:r w:rsidRPr="005437C6">
              <w:rPr>
                <w:rFonts w:cs="Arial"/>
                <w:color w:val="0070C0"/>
                <w:szCs w:val="24"/>
              </w:rPr>
              <w:t>EV9 The Historic Environment</w:t>
            </w:r>
          </w:p>
        </w:tc>
      </w:tr>
      <w:tr w:rsidR="005437C6" w:rsidRPr="005437C6" w14:paraId="2C0BC8C6" w14:textId="77777777">
        <w:tc>
          <w:tcPr>
            <w:tcW w:w="3247" w:type="dxa"/>
          </w:tcPr>
          <w:p w14:paraId="3A609600" w14:textId="77777777" w:rsidR="00E7427E" w:rsidRPr="005437C6" w:rsidRDefault="00E7427E" w:rsidP="003E097C">
            <w:pPr>
              <w:spacing w:before="0"/>
              <w:ind w:left="142"/>
              <w:rPr>
                <w:rFonts w:cs="Arial"/>
                <w:color w:val="0070C0"/>
                <w:szCs w:val="24"/>
              </w:rPr>
            </w:pPr>
            <w:r w:rsidRPr="005437C6">
              <w:rPr>
                <w:rFonts w:cs="Arial"/>
                <w:color w:val="0070C0"/>
                <w:szCs w:val="24"/>
              </w:rPr>
              <w:t>EM1 Employment Land Allocations</w:t>
            </w:r>
          </w:p>
        </w:tc>
        <w:tc>
          <w:tcPr>
            <w:tcW w:w="6104" w:type="dxa"/>
          </w:tcPr>
          <w:p w14:paraId="26675717" w14:textId="77777777" w:rsidR="00E7427E" w:rsidRPr="005437C6" w:rsidRDefault="00E7427E" w:rsidP="003E097C">
            <w:pPr>
              <w:spacing w:before="0"/>
              <w:ind w:left="142"/>
              <w:rPr>
                <w:rFonts w:cs="Arial"/>
                <w:color w:val="0070C0"/>
                <w:szCs w:val="24"/>
              </w:rPr>
            </w:pPr>
            <w:r w:rsidRPr="005437C6">
              <w:rPr>
                <w:rFonts w:cs="Arial"/>
                <w:color w:val="0070C0"/>
                <w:szCs w:val="24"/>
              </w:rPr>
              <w:t>S8 Delivering Economic Opportunities</w:t>
            </w:r>
          </w:p>
          <w:p w14:paraId="6584E612" w14:textId="77777777" w:rsidR="00E7427E" w:rsidRPr="005437C6" w:rsidRDefault="00E7427E" w:rsidP="003E097C">
            <w:pPr>
              <w:spacing w:before="0"/>
              <w:ind w:left="142"/>
              <w:rPr>
                <w:rFonts w:cs="Arial"/>
                <w:color w:val="0070C0"/>
                <w:szCs w:val="24"/>
              </w:rPr>
            </w:pPr>
            <w:r w:rsidRPr="005437C6">
              <w:rPr>
                <w:rFonts w:cs="Arial"/>
                <w:color w:val="0070C0"/>
                <w:szCs w:val="24"/>
              </w:rPr>
              <w:t>S6 Meeting Future Needs – Strategic Employment Allocation at Junction 27 M1 Motorway</w:t>
            </w:r>
          </w:p>
          <w:p w14:paraId="367B1CC7" w14:textId="77777777" w:rsidR="00E7427E" w:rsidRPr="005437C6" w:rsidRDefault="00E7427E" w:rsidP="003E097C">
            <w:pPr>
              <w:spacing w:before="0"/>
              <w:ind w:left="142"/>
              <w:rPr>
                <w:rFonts w:cs="Arial"/>
                <w:color w:val="0070C0"/>
                <w:szCs w:val="24"/>
              </w:rPr>
            </w:pPr>
            <w:r w:rsidRPr="005437C6">
              <w:rPr>
                <w:rFonts w:cs="Arial"/>
                <w:color w:val="0070C0"/>
                <w:szCs w:val="24"/>
              </w:rPr>
              <w:t>EM2 Employment Land Allocations</w:t>
            </w:r>
          </w:p>
        </w:tc>
      </w:tr>
      <w:tr w:rsidR="005437C6" w:rsidRPr="005437C6" w14:paraId="0B2CCAB3" w14:textId="77777777">
        <w:tc>
          <w:tcPr>
            <w:tcW w:w="3247" w:type="dxa"/>
          </w:tcPr>
          <w:p w14:paraId="5B221C89" w14:textId="77777777" w:rsidR="00E7427E" w:rsidRPr="005437C6" w:rsidRDefault="00E7427E" w:rsidP="003E097C">
            <w:pPr>
              <w:spacing w:before="0"/>
              <w:ind w:left="142"/>
              <w:rPr>
                <w:rFonts w:cs="Arial"/>
                <w:color w:val="0070C0"/>
                <w:szCs w:val="24"/>
              </w:rPr>
            </w:pPr>
            <w:r w:rsidRPr="005437C6">
              <w:rPr>
                <w:rFonts w:cs="Arial"/>
                <w:color w:val="0070C0"/>
                <w:szCs w:val="24"/>
              </w:rPr>
              <w:t>EM2 Open Air Testing Zone at Rolls Royce</w:t>
            </w:r>
          </w:p>
        </w:tc>
        <w:tc>
          <w:tcPr>
            <w:tcW w:w="6104" w:type="dxa"/>
          </w:tcPr>
          <w:p w14:paraId="46AD8DFC" w14:textId="77777777" w:rsidR="00E7427E" w:rsidRPr="005437C6" w:rsidRDefault="00E7427E" w:rsidP="003E097C">
            <w:pPr>
              <w:spacing w:before="0"/>
              <w:ind w:left="142"/>
              <w:rPr>
                <w:rFonts w:cs="Arial"/>
                <w:color w:val="0070C0"/>
                <w:szCs w:val="24"/>
              </w:rPr>
            </w:pPr>
            <w:r w:rsidRPr="005437C6">
              <w:rPr>
                <w:rFonts w:cs="Arial"/>
                <w:color w:val="0070C0"/>
                <w:szCs w:val="24"/>
              </w:rPr>
              <w:t>No longer applicable</w:t>
            </w:r>
          </w:p>
        </w:tc>
      </w:tr>
      <w:tr w:rsidR="005437C6" w:rsidRPr="005437C6" w14:paraId="762E4FD1" w14:textId="77777777">
        <w:tc>
          <w:tcPr>
            <w:tcW w:w="3247" w:type="dxa"/>
          </w:tcPr>
          <w:p w14:paraId="5068F9D0" w14:textId="77777777" w:rsidR="00E7427E" w:rsidRPr="005437C6" w:rsidRDefault="00E7427E" w:rsidP="003E097C">
            <w:pPr>
              <w:spacing w:before="0"/>
              <w:ind w:left="142"/>
              <w:rPr>
                <w:rFonts w:cs="Arial"/>
                <w:color w:val="0070C0"/>
                <w:szCs w:val="24"/>
              </w:rPr>
            </w:pPr>
            <w:r w:rsidRPr="005437C6">
              <w:rPr>
                <w:rFonts w:cs="Arial"/>
                <w:color w:val="0070C0"/>
                <w:szCs w:val="24"/>
              </w:rPr>
              <w:t>EM4 Protection of Employment Land Allocations</w:t>
            </w:r>
          </w:p>
        </w:tc>
        <w:tc>
          <w:tcPr>
            <w:tcW w:w="6104" w:type="dxa"/>
          </w:tcPr>
          <w:p w14:paraId="664470A9" w14:textId="77777777" w:rsidR="00E7427E" w:rsidRPr="005437C6" w:rsidRDefault="00E7427E" w:rsidP="003E097C">
            <w:pPr>
              <w:spacing w:before="0"/>
              <w:ind w:left="142"/>
              <w:rPr>
                <w:rFonts w:cs="Arial"/>
                <w:color w:val="0070C0"/>
                <w:szCs w:val="24"/>
              </w:rPr>
            </w:pPr>
            <w:r w:rsidRPr="005437C6">
              <w:rPr>
                <w:rFonts w:cs="Arial"/>
                <w:color w:val="0070C0"/>
                <w:szCs w:val="24"/>
              </w:rPr>
              <w:t>S8 Delivering Economic Opportunities</w:t>
            </w:r>
          </w:p>
          <w:p w14:paraId="6AA2E3E6" w14:textId="77777777" w:rsidR="00E7427E" w:rsidRPr="005437C6" w:rsidRDefault="00E7427E" w:rsidP="003E097C">
            <w:pPr>
              <w:spacing w:before="0"/>
              <w:ind w:left="142"/>
              <w:rPr>
                <w:rFonts w:cs="Arial"/>
                <w:color w:val="0070C0"/>
                <w:szCs w:val="24"/>
              </w:rPr>
            </w:pPr>
            <w:r w:rsidRPr="005437C6">
              <w:rPr>
                <w:rFonts w:cs="Arial"/>
                <w:color w:val="0070C0"/>
                <w:szCs w:val="24"/>
              </w:rPr>
              <w:t>EM1 Business and Economic Development</w:t>
            </w:r>
          </w:p>
          <w:p w14:paraId="060DECF6" w14:textId="77777777" w:rsidR="00E7427E" w:rsidRPr="005437C6" w:rsidRDefault="00E7427E" w:rsidP="003E097C">
            <w:pPr>
              <w:spacing w:before="0"/>
              <w:ind w:left="142"/>
              <w:rPr>
                <w:rFonts w:cs="Arial"/>
                <w:color w:val="0070C0"/>
                <w:szCs w:val="24"/>
              </w:rPr>
            </w:pPr>
            <w:r w:rsidRPr="005437C6">
              <w:rPr>
                <w:rFonts w:cs="Arial"/>
                <w:color w:val="0070C0"/>
                <w:szCs w:val="24"/>
              </w:rPr>
              <w:t>EM2 Employment Land Allocations</w:t>
            </w:r>
          </w:p>
          <w:p w14:paraId="5F485D40" w14:textId="77777777" w:rsidR="00E7427E" w:rsidRPr="005437C6" w:rsidRDefault="00E7427E" w:rsidP="003E097C">
            <w:pPr>
              <w:spacing w:before="0"/>
              <w:ind w:left="142"/>
              <w:rPr>
                <w:rFonts w:cs="Arial"/>
                <w:color w:val="0070C0"/>
                <w:szCs w:val="24"/>
              </w:rPr>
            </w:pPr>
            <w:r w:rsidRPr="005437C6">
              <w:rPr>
                <w:rFonts w:cs="Arial"/>
                <w:color w:val="0070C0"/>
                <w:szCs w:val="24"/>
              </w:rPr>
              <w:t>EM3 Retention of Employment Sites and Allocations</w:t>
            </w:r>
          </w:p>
        </w:tc>
      </w:tr>
      <w:tr w:rsidR="005437C6" w:rsidRPr="005437C6" w14:paraId="0F502AFC" w14:textId="77777777">
        <w:tc>
          <w:tcPr>
            <w:tcW w:w="3247" w:type="dxa"/>
          </w:tcPr>
          <w:p w14:paraId="69B8F085" w14:textId="77777777" w:rsidR="00E7427E" w:rsidRPr="005437C6" w:rsidRDefault="00E7427E" w:rsidP="003E097C">
            <w:pPr>
              <w:spacing w:before="0"/>
              <w:ind w:left="142"/>
              <w:rPr>
                <w:rFonts w:cs="Arial"/>
                <w:color w:val="0070C0"/>
                <w:szCs w:val="24"/>
              </w:rPr>
            </w:pPr>
            <w:r w:rsidRPr="005437C6">
              <w:rPr>
                <w:rFonts w:cs="Arial"/>
                <w:color w:val="0070C0"/>
                <w:szCs w:val="24"/>
              </w:rPr>
              <w:t>EM5 Protection of Existing Employment Sites and Buildings</w:t>
            </w:r>
          </w:p>
        </w:tc>
        <w:tc>
          <w:tcPr>
            <w:tcW w:w="6104" w:type="dxa"/>
          </w:tcPr>
          <w:p w14:paraId="76F01839" w14:textId="77777777" w:rsidR="00E7427E" w:rsidRPr="005437C6" w:rsidRDefault="00E7427E" w:rsidP="003E097C">
            <w:pPr>
              <w:spacing w:before="0"/>
              <w:ind w:left="142"/>
              <w:rPr>
                <w:rFonts w:cs="Arial"/>
                <w:color w:val="0070C0"/>
                <w:szCs w:val="24"/>
              </w:rPr>
            </w:pPr>
            <w:r w:rsidRPr="005437C6">
              <w:rPr>
                <w:rFonts w:cs="Arial"/>
                <w:color w:val="0070C0"/>
                <w:szCs w:val="24"/>
              </w:rPr>
              <w:t>S8 Delivering Economic Opportunities</w:t>
            </w:r>
          </w:p>
          <w:p w14:paraId="73DE30D9" w14:textId="77777777" w:rsidR="00E7427E" w:rsidRPr="005437C6" w:rsidRDefault="00E7427E" w:rsidP="003E097C">
            <w:pPr>
              <w:spacing w:before="0"/>
              <w:ind w:left="142"/>
              <w:rPr>
                <w:rFonts w:cs="Arial"/>
                <w:color w:val="0070C0"/>
                <w:szCs w:val="24"/>
              </w:rPr>
            </w:pPr>
            <w:r w:rsidRPr="005437C6">
              <w:rPr>
                <w:rFonts w:cs="Arial"/>
                <w:color w:val="0070C0"/>
                <w:szCs w:val="24"/>
              </w:rPr>
              <w:t>EM1 Business and Economic Development</w:t>
            </w:r>
          </w:p>
          <w:p w14:paraId="2E04F5A3" w14:textId="77777777" w:rsidR="00E7427E" w:rsidRPr="005437C6" w:rsidRDefault="00E7427E" w:rsidP="003E097C">
            <w:pPr>
              <w:spacing w:before="0"/>
              <w:ind w:left="142"/>
              <w:rPr>
                <w:rFonts w:cs="Arial"/>
                <w:color w:val="0070C0"/>
                <w:szCs w:val="24"/>
              </w:rPr>
            </w:pPr>
            <w:r w:rsidRPr="005437C6">
              <w:rPr>
                <w:rFonts w:cs="Arial"/>
                <w:color w:val="0070C0"/>
                <w:szCs w:val="24"/>
              </w:rPr>
              <w:t>EM3 Retention of Employment Sites and Allocations</w:t>
            </w:r>
          </w:p>
        </w:tc>
      </w:tr>
      <w:tr w:rsidR="005437C6" w:rsidRPr="005437C6" w14:paraId="3AD658F5" w14:textId="77777777">
        <w:tc>
          <w:tcPr>
            <w:tcW w:w="3247" w:type="dxa"/>
          </w:tcPr>
          <w:p w14:paraId="118DC4F0" w14:textId="77777777" w:rsidR="00E7427E" w:rsidRPr="005437C6" w:rsidRDefault="00E7427E" w:rsidP="003E097C">
            <w:pPr>
              <w:spacing w:before="0"/>
              <w:ind w:left="142"/>
              <w:rPr>
                <w:rFonts w:cs="Arial"/>
                <w:color w:val="0070C0"/>
                <w:szCs w:val="24"/>
              </w:rPr>
            </w:pPr>
            <w:r w:rsidRPr="005437C6">
              <w:rPr>
                <w:rFonts w:cs="Arial"/>
                <w:color w:val="0070C0"/>
                <w:szCs w:val="24"/>
              </w:rPr>
              <w:lastRenderedPageBreak/>
              <w:t>HG1 Housing Land Allocations</w:t>
            </w:r>
          </w:p>
        </w:tc>
        <w:tc>
          <w:tcPr>
            <w:tcW w:w="6104" w:type="dxa"/>
          </w:tcPr>
          <w:p w14:paraId="06C8F84B"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66EA0533" w14:textId="77777777" w:rsidR="00E7427E" w:rsidRPr="005437C6" w:rsidRDefault="00E7427E" w:rsidP="003E097C">
            <w:pPr>
              <w:spacing w:before="0"/>
              <w:ind w:left="142"/>
              <w:rPr>
                <w:rFonts w:cs="Arial"/>
                <w:color w:val="0070C0"/>
                <w:szCs w:val="24"/>
              </w:rPr>
            </w:pPr>
            <w:r w:rsidRPr="005437C6">
              <w:rPr>
                <w:rFonts w:cs="Arial"/>
                <w:color w:val="0070C0"/>
                <w:szCs w:val="24"/>
              </w:rPr>
              <w:t>H1 Housing Site Allocations</w:t>
            </w:r>
          </w:p>
        </w:tc>
      </w:tr>
      <w:tr w:rsidR="005437C6" w:rsidRPr="005437C6" w14:paraId="3B11EB0E" w14:textId="77777777">
        <w:tc>
          <w:tcPr>
            <w:tcW w:w="3247" w:type="dxa"/>
          </w:tcPr>
          <w:p w14:paraId="4C1F8A44" w14:textId="77777777" w:rsidR="00E7427E" w:rsidRPr="005437C6" w:rsidRDefault="00E7427E" w:rsidP="003E097C">
            <w:pPr>
              <w:spacing w:before="0"/>
              <w:ind w:left="142"/>
              <w:rPr>
                <w:rFonts w:cs="Arial"/>
                <w:color w:val="0070C0"/>
                <w:szCs w:val="24"/>
              </w:rPr>
            </w:pPr>
            <w:r w:rsidRPr="005437C6">
              <w:rPr>
                <w:rFonts w:cs="Arial"/>
                <w:color w:val="0070C0"/>
                <w:szCs w:val="24"/>
              </w:rPr>
              <w:t>HG3 Housing Density</w:t>
            </w:r>
          </w:p>
        </w:tc>
        <w:tc>
          <w:tcPr>
            <w:tcW w:w="6104" w:type="dxa"/>
          </w:tcPr>
          <w:p w14:paraId="710835AE" w14:textId="77777777" w:rsidR="00E7427E" w:rsidRPr="005437C6" w:rsidRDefault="00E7427E" w:rsidP="003E097C">
            <w:pPr>
              <w:spacing w:before="0"/>
              <w:ind w:left="142"/>
              <w:rPr>
                <w:rFonts w:cs="Arial"/>
                <w:color w:val="0070C0"/>
                <w:szCs w:val="24"/>
              </w:rPr>
            </w:pPr>
            <w:r w:rsidRPr="005437C6">
              <w:rPr>
                <w:rFonts w:cs="Arial"/>
                <w:color w:val="0070C0"/>
                <w:szCs w:val="24"/>
              </w:rPr>
              <w:t>S2 Achieving Sustainable Development</w:t>
            </w:r>
          </w:p>
          <w:p w14:paraId="63005263"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1E659BAC" w14:textId="77777777" w:rsidR="00E7427E" w:rsidRPr="005437C6" w:rsidRDefault="00E7427E" w:rsidP="003E097C">
            <w:pPr>
              <w:spacing w:before="0"/>
              <w:ind w:left="142"/>
              <w:rPr>
                <w:rFonts w:cs="Arial"/>
                <w:color w:val="0070C0"/>
                <w:szCs w:val="24"/>
              </w:rPr>
            </w:pPr>
            <w:r w:rsidRPr="005437C6">
              <w:rPr>
                <w:rFonts w:cs="Arial"/>
                <w:color w:val="0070C0"/>
                <w:szCs w:val="24"/>
              </w:rPr>
              <w:t>H7 Housing Density</w:t>
            </w:r>
          </w:p>
        </w:tc>
      </w:tr>
      <w:tr w:rsidR="005437C6" w:rsidRPr="005437C6" w14:paraId="7353226D" w14:textId="77777777">
        <w:tc>
          <w:tcPr>
            <w:tcW w:w="3247" w:type="dxa"/>
          </w:tcPr>
          <w:p w14:paraId="39733C32" w14:textId="77777777" w:rsidR="00E7427E" w:rsidRPr="005437C6" w:rsidRDefault="00E7427E" w:rsidP="003E097C">
            <w:pPr>
              <w:spacing w:before="0"/>
              <w:ind w:left="142"/>
              <w:rPr>
                <w:rFonts w:cs="Arial"/>
                <w:color w:val="0070C0"/>
                <w:szCs w:val="24"/>
              </w:rPr>
            </w:pPr>
            <w:r w:rsidRPr="005437C6">
              <w:rPr>
                <w:rFonts w:cs="Arial"/>
                <w:color w:val="0070C0"/>
                <w:szCs w:val="24"/>
              </w:rPr>
              <w:t>HG4 Affordable Housing</w:t>
            </w:r>
          </w:p>
        </w:tc>
        <w:tc>
          <w:tcPr>
            <w:tcW w:w="6104" w:type="dxa"/>
          </w:tcPr>
          <w:p w14:paraId="14D92847"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69EAE4A9" w14:textId="77777777" w:rsidR="00E7427E" w:rsidRPr="005437C6" w:rsidRDefault="00E7427E" w:rsidP="003E097C">
            <w:pPr>
              <w:spacing w:before="0"/>
              <w:ind w:left="142"/>
              <w:rPr>
                <w:rFonts w:cs="Arial"/>
                <w:color w:val="0070C0"/>
                <w:szCs w:val="24"/>
              </w:rPr>
            </w:pPr>
            <w:r w:rsidRPr="005437C6">
              <w:rPr>
                <w:rFonts w:cs="Arial"/>
                <w:color w:val="0070C0"/>
                <w:szCs w:val="24"/>
              </w:rPr>
              <w:t>H3 Affordable Housing</w:t>
            </w:r>
          </w:p>
        </w:tc>
      </w:tr>
      <w:tr w:rsidR="005437C6" w:rsidRPr="005437C6" w14:paraId="6D93A3F6" w14:textId="77777777">
        <w:tc>
          <w:tcPr>
            <w:tcW w:w="3247" w:type="dxa"/>
          </w:tcPr>
          <w:p w14:paraId="575C932D" w14:textId="77777777" w:rsidR="00E7427E" w:rsidRPr="005437C6" w:rsidRDefault="00E7427E" w:rsidP="003E097C">
            <w:pPr>
              <w:spacing w:before="0"/>
              <w:ind w:left="142"/>
              <w:rPr>
                <w:rFonts w:cs="Arial"/>
                <w:color w:val="0070C0"/>
                <w:szCs w:val="24"/>
              </w:rPr>
            </w:pPr>
            <w:r w:rsidRPr="005437C6">
              <w:rPr>
                <w:rFonts w:cs="Arial"/>
                <w:color w:val="0070C0"/>
                <w:szCs w:val="24"/>
              </w:rPr>
              <w:t>HG5 New Residential Development</w:t>
            </w:r>
          </w:p>
        </w:tc>
        <w:tc>
          <w:tcPr>
            <w:tcW w:w="6104" w:type="dxa"/>
          </w:tcPr>
          <w:p w14:paraId="15870EA0" w14:textId="77777777" w:rsidR="00E7427E" w:rsidRPr="005437C6" w:rsidRDefault="00E7427E" w:rsidP="003E097C">
            <w:pPr>
              <w:spacing w:before="0"/>
              <w:ind w:left="142"/>
              <w:rPr>
                <w:rFonts w:cs="Arial"/>
                <w:color w:val="0070C0"/>
                <w:szCs w:val="24"/>
              </w:rPr>
            </w:pPr>
            <w:r w:rsidRPr="005437C6">
              <w:rPr>
                <w:rFonts w:cs="Arial"/>
                <w:color w:val="0070C0"/>
                <w:szCs w:val="24"/>
              </w:rPr>
              <w:t>S2 Achieving Sustainable Development</w:t>
            </w:r>
          </w:p>
          <w:p w14:paraId="7948CB77"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78B28F09" w14:textId="77777777" w:rsidR="00E7427E" w:rsidRPr="005437C6" w:rsidRDefault="00E7427E" w:rsidP="003E097C">
            <w:pPr>
              <w:spacing w:before="0"/>
              <w:ind w:left="142"/>
              <w:rPr>
                <w:rFonts w:cs="Arial"/>
                <w:color w:val="0070C0"/>
                <w:szCs w:val="24"/>
              </w:rPr>
            </w:pPr>
            <w:r w:rsidRPr="005437C6">
              <w:rPr>
                <w:rFonts w:cs="Arial"/>
                <w:color w:val="0070C0"/>
                <w:szCs w:val="24"/>
              </w:rPr>
              <w:t>H4 Rural Exceptions Sites</w:t>
            </w:r>
          </w:p>
          <w:p w14:paraId="75264161" w14:textId="77777777" w:rsidR="00E7427E" w:rsidRPr="005437C6" w:rsidRDefault="00E7427E" w:rsidP="003E097C">
            <w:pPr>
              <w:spacing w:before="0"/>
              <w:ind w:left="142"/>
              <w:rPr>
                <w:rFonts w:cs="Arial"/>
                <w:color w:val="0070C0"/>
                <w:szCs w:val="24"/>
              </w:rPr>
            </w:pPr>
            <w:r w:rsidRPr="005437C6">
              <w:rPr>
                <w:rFonts w:cs="Arial"/>
                <w:color w:val="0070C0"/>
                <w:szCs w:val="24"/>
              </w:rPr>
              <w:t>H5 Public Open Space in New Residential Developments</w:t>
            </w:r>
          </w:p>
          <w:p w14:paraId="57A722D8" w14:textId="77777777" w:rsidR="00E7427E" w:rsidRPr="005437C6" w:rsidRDefault="00E7427E" w:rsidP="003E097C">
            <w:pPr>
              <w:spacing w:before="0"/>
              <w:ind w:left="142"/>
              <w:rPr>
                <w:rFonts w:cs="Arial"/>
                <w:color w:val="0070C0"/>
                <w:szCs w:val="24"/>
              </w:rPr>
            </w:pPr>
            <w:r w:rsidRPr="005437C6">
              <w:rPr>
                <w:rFonts w:cs="Arial"/>
                <w:color w:val="0070C0"/>
                <w:szCs w:val="24"/>
              </w:rPr>
              <w:t>H6 Housing Mix</w:t>
            </w:r>
          </w:p>
          <w:p w14:paraId="41F09501" w14:textId="77777777" w:rsidR="00E7427E" w:rsidRPr="005437C6" w:rsidRDefault="00E7427E" w:rsidP="003E097C">
            <w:pPr>
              <w:spacing w:before="0"/>
              <w:ind w:left="142"/>
              <w:rPr>
                <w:rFonts w:cs="Arial"/>
                <w:color w:val="0070C0"/>
                <w:szCs w:val="24"/>
              </w:rPr>
            </w:pPr>
            <w:r w:rsidRPr="005437C6">
              <w:rPr>
                <w:rFonts w:cs="Arial"/>
                <w:color w:val="0070C0"/>
                <w:szCs w:val="24"/>
              </w:rPr>
              <w:t>H7 Housing Density,</w:t>
            </w:r>
          </w:p>
          <w:p w14:paraId="45912DB7" w14:textId="77777777" w:rsidR="00E7427E" w:rsidRPr="005437C6" w:rsidRDefault="00E7427E" w:rsidP="003E097C">
            <w:pPr>
              <w:spacing w:before="0"/>
              <w:ind w:left="142"/>
              <w:rPr>
                <w:rFonts w:cs="Arial"/>
                <w:color w:val="0070C0"/>
                <w:szCs w:val="24"/>
              </w:rPr>
            </w:pPr>
            <w:r w:rsidRPr="005437C6">
              <w:rPr>
                <w:rFonts w:cs="Arial"/>
                <w:color w:val="0070C0"/>
                <w:szCs w:val="24"/>
              </w:rPr>
              <w:t>SD2 Good Design Considerations for Development</w:t>
            </w:r>
          </w:p>
        </w:tc>
      </w:tr>
      <w:tr w:rsidR="005437C6" w:rsidRPr="005437C6" w14:paraId="59278785" w14:textId="77777777">
        <w:tc>
          <w:tcPr>
            <w:tcW w:w="3247" w:type="dxa"/>
          </w:tcPr>
          <w:p w14:paraId="54061671" w14:textId="77777777" w:rsidR="00E7427E" w:rsidRPr="005437C6" w:rsidRDefault="00E7427E" w:rsidP="003E097C">
            <w:pPr>
              <w:spacing w:before="0"/>
              <w:ind w:left="142"/>
              <w:rPr>
                <w:rFonts w:cs="Arial"/>
                <w:color w:val="0070C0"/>
                <w:szCs w:val="24"/>
              </w:rPr>
            </w:pPr>
            <w:r w:rsidRPr="005437C6">
              <w:rPr>
                <w:rFonts w:cs="Arial"/>
                <w:color w:val="0070C0"/>
                <w:szCs w:val="24"/>
              </w:rPr>
              <w:t>HG6 Public Open Space in New Residential Developments</w:t>
            </w:r>
          </w:p>
        </w:tc>
        <w:tc>
          <w:tcPr>
            <w:tcW w:w="6104" w:type="dxa"/>
          </w:tcPr>
          <w:p w14:paraId="0897D37B"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4398D4C6" w14:textId="77777777" w:rsidR="00E7427E" w:rsidRPr="005437C6" w:rsidRDefault="00E7427E" w:rsidP="003E097C">
            <w:pPr>
              <w:spacing w:before="0"/>
              <w:ind w:left="142"/>
              <w:rPr>
                <w:rFonts w:cs="Arial"/>
                <w:color w:val="0070C0"/>
                <w:szCs w:val="24"/>
              </w:rPr>
            </w:pPr>
            <w:r w:rsidRPr="005437C6">
              <w:rPr>
                <w:rFonts w:cs="Arial"/>
                <w:color w:val="0070C0"/>
                <w:szCs w:val="24"/>
              </w:rPr>
              <w:t>H5 Public Open Space in New Residential Developments</w:t>
            </w:r>
          </w:p>
        </w:tc>
      </w:tr>
      <w:tr w:rsidR="005437C6" w:rsidRPr="005437C6" w14:paraId="238A07DA" w14:textId="77777777">
        <w:tc>
          <w:tcPr>
            <w:tcW w:w="3247" w:type="dxa"/>
          </w:tcPr>
          <w:p w14:paraId="5C86E01E" w14:textId="77777777" w:rsidR="00E7427E" w:rsidRPr="005437C6" w:rsidRDefault="00E7427E" w:rsidP="003E097C">
            <w:pPr>
              <w:spacing w:before="0"/>
              <w:ind w:left="142"/>
              <w:rPr>
                <w:rFonts w:cs="Arial"/>
                <w:color w:val="0070C0"/>
                <w:szCs w:val="24"/>
              </w:rPr>
            </w:pPr>
            <w:r w:rsidRPr="005437C6">
              <w:rPr>
                <w:rFonts w:cs="Arial"/>
                <w:color w:val="0070C0"/>
                <w:szCs w:val="24"/>
              </w:rPr>
              <w:t>HG7 Residential Extensions</w:t>
            </w:r>
          </w:p>
        </w:tc>
        <w:tc>
          <w:tcPr>
            <w:tcW w:w="6104" w:type="dxa"/>
          </w:tcPr>
          <w:p w14:paraId="3D50C0D5" w14:textId="77777777" w:rsidR="00E7427E" w:rsidRPr="005437C6" w:rsidRDefault="00E7427E" w:rsidP="003E097C">
            <w:pPr>
              <w:spacing w:before="0"/>
              <w:ind w:left="142"/>
              <w:rPr>
                <w:rFonts w:cs="Arial"/>
                <w:color w:val="0070C0"/>
                <w:szCs w:val="24"/>
              </w:rPr>
            </w:pPr>
            <w:r w:rsidRPr="005437C6">
              <w:rPr>
                <w:rFonts w:cs="Arial"/>
                <w:color w:val="0070C0"/>
                <w:szCs w:val="24"/>
              </w:rPr>
              <w:t>S2 Achieving Sustainable Development</w:t>
            </w:r>
          </w:p>
          <w:p w14:paraId="5E026E5D" w14:textId="77777777" w:rsidR="00E7427E" w:rsidRPr="005437C6" w:rsidRDefault="00E7427E" w:rsidP="003E097C">
            <w:pPr>
              <w:spacing w:before="0"/>
              <w:ind w:left="142"/>
              <w:rPr>
                <w:rFonts w:cs="Arial"/>
                <w:color w:val="0070C0"/>
                <w:szCs w:val="24"/>
              </w:rPr>
            </w:pPr>
            <w:r w:rsidRPr="005437C6">
              <w:rPr>
                <w:rFonts w:cs="Arial"/>
                <w:color w:val="0070C0"/>
                <w:szCs w:val="24"/>
              </w:rPr>
              <w:t>S5 High Quality Buildings and Places through Place Making and Design</w:t>
            </w:r>
          </w:p>
          <w:p w14:paraId="1E50CE76"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1D0D5531" w14:textId="77777777" w:rsidR="00E7427E" w:rsidRPr="005437C6" w:rsidRDefault="00E7427E" w:rsidP="003E097C">
            <w:pPr>
              <w:spacing w:before="0"/>
              <w:ind w:left="142"/>
              <w:rPr>
                <w:rFonts w:cs="Arial"/>
                <w:color w:val="0070C0"/>
                <w:szCs w:val="24"/>
              </w:rPr>
            </w:pPr>
            <w:r w:rsidRPr="005437C6">
              <w:rPr>
                <w:rFonts w:cs="Arial"/>
                <w:color w:val="0070C0"/>
                <w:szCs w:val="24"/>
              </w:rPr>
              <w:t>SD2 Good Design Considerations for Development</w:t>
            </w:r>
          </w:p>
        </w:tc>
      </w:tr>
      <w:tr w:rsidR="005437C6" w:rsidRPr="005437C6" w14:paraId="7D9468EA" w14:textId="77777777">
        <w:tc>
          <w:tcPr>
            <w:tcW w:w="3247" w:type="dxa"/>
          </w:tcPr>
          <w:p w14:paraId="015C01E1" w14:textId="77777777" w:rsidR="00E7427E" w:rsidRPr="005437C6" w:rsidRDefault="00E7427E" w:rsidP="003E097C">
            <w:pPr>
              <w:spacing w:before="0"/>
              <w:ind w:left="142"/>
              <w:rPr>
                <w:rFonts w:cs="Arial"/>
                <w:color w:val="0070C0"/>
                <w:szCs w:val="24"/>
              </w:rPr>
            </w:pPr>
            <w:r w:rsidRPr="005437C6">
              <w:rPr>
                <w:rFonts w:cs="Arial"/>
                <w:color w:val="0070C0"/>
                <w:szCs w:val="24"/>
              </w:rPr>
              <w:t>HG8 Residential Care Facilities, Houses in Multiple Occupation, Bedsits, Flats and Hostels</w:t>
            </w:r>
          </w:p>
        </w:tc>
        <w:tc>
          <w:tcPr>
            <w:tcW w:w="6104" w:type="dxa"/>
          </w:tcPr>
          <w:p w14:paraId="41C0B362"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18AE9B9C" w14:textId="77777777" w:rsidR="00E7427E" w:rsidRPr="005437C6" w:rsidRDefault="00E7427E" w:rsidP="003E097C">
            <w:pPr>
              <w:spacing w:before="0"/>
              <w:ind w:left="142"/>
              <w:rPr>
                <w:rFonts w:cs="Arial"/>
                <w:color w:val="0070C0"/>
                <w:szCs w:val="24"/>
              </w:rPr>
            </w:pPr>
            <w:r w:rsidRPr="005437C6">
              <w:rPr>
                <w:rFonts w:cs="Arial"/>
                <w:color w:val="0070C0"/>
                <w:szCs w:val="24"/>
              </w:rPr>
              <w:t>H8 Houses in Multiple Occupation, Flats and Bedsits</w:t>
            </w:r>
          </w:p>
        </w:tc>
      </w:tr>
      <w:tr w:rsidR="005437C6" w:rsidRPr="005437C6" w14:paraId="6C6E172E" w14:textId="77777777">
        <w:tc>
          <w:tcPr>
            <w:tcW w:w="3247" w:type="dxa"/>
          </w:tcPr>
          <w:p w14:paraId="4189D085" w14:textId="77777777" w:rsidR="00E7427E" w:rsidRPr="005437C6" w:rsidRDefault="00E7427E" w:rsidP="003E097C">
            <w:pPr>
              <w:spacing w:before="0"/>
              <w:ind w:left="142"/>
              <w:rPr>
                <w:rFonts w:cs="Arial"/>
                <w:color w:val="0070C0"/>
                <w:szCs w:val="24"/>
              </w:rPr>
            </w:pPr>
            <w:r w:rsidRPr="005437C6">
              <w:rPr>
                <w:rFonts w:cs="Arial"/>
                <w:color w:val="0070C0"/>
                <w:szCs w:val="24"/>
              </w:rPr>
              <w:t>HG9 Gypsy Caravan Sites for Travelling Show people</w:t>
            </w:r>
          </w:p>
        </w:tc>
        <w:tc>
          <w:tcPr>
            <w:tcW w:w="6104" w:type="dxa"/>
          </w:tcPr>
          <w:p w14:paraId="5F114D5D"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35D1DAD4" w14:textId="77777777" w:rsidR="00E7427E" w:rsidRPr="005437C6" w:rsidRDefault="00E7427E" w:rsidP="003E097C">
            <w:pPr>
              <w:spacing w:before="0"/>
              <w:ind w:left="142"/>
              <w:rPr>
                <w:rFonts w:cs="Arial"/>
                <w:color w:val="0070C0"/>
                <w:szCs w:val="24"/>
              </w:rPr>
            </w:pPr>
            <w:r w:rsidRPr="005437C6">
              <w:rPr>
                <w:rFonts w:cs="Arial"/>
                <w:color w:val="0070C0"/>
                <w:szCs w:val="24"/>
              </w:rPr>
              <w:t xml:space="preserve">H2 Provision for Gypsies, Travellers and Travelling </w:t>
            </w:r>
            <w:proofErr w:type="spellStart"/>
            <w:r w:rsidRPr="005437C6">
              <w:rPr>
                <w:rFonts w:cs="Arial"/>
                <w:color w:val="0070C0"/>
                <w:szCs w:val="24"/>
              </w:rPr>
              <w:t>Showpeople</w:t>
            </w:r>
            <w:proofErr w:type="spellEnd"/>
          </w:p>
          <w:p w14:paraId="4EC4BC06" w14:textId="77777777" w:rsidR="00E7427E" w:rsidRPr="005437C6" w:rsidRDefault="00E7427E" w:rsidP="003E097C">
            <w:pPr>
              <w:spacing w:before="0"/>
              <w:ind w:left="142"/>
              <w:rPr>
                <w:rFonts w:cs="Arial"/>
                <w:color w:val="0070C0"/>
                <w:szCs w:val="24"/>
              </w:rPr>
            </w:pPr>
            <w:r w:rsidRPr="005437C6">
              <w:rPr>
                <w:rFonts w:cs="Arial"/>
                <w:color w:val="0070C0"/>
                <w:szCs w:val="24"/>
              </w:rPr>
              <w:t xml:space="preserve">H2a Gypsy, Traveller and Travelling </w:t>
            </w:r>
            <w:proofErr w:type="spellStart"/>
            <w:r w:rsidRPr="005437C6">
              <w:rPr>
                <w:rFonts w:cs="Arial"/>
                <w:color w:val="0070C0"/>
                <w:szCs w:val="24"/>
              </w:rPr>
              <w:t>Showpeople</w:t>
            </w:r>
            <w:proofErr w:type="spellEnd"/>
            <w:r w:rsidRPr="005437C6">
              <w:rPr>
                <w:rFonts w:cs="Arial"/>
                <w:color w:val="0070C0"/>
                <w:szCs w:val="24"/>
              </w:rPr>
              <w:t xml:space="preserve"> Site Allocations</w:t>
            </w:r>
          </w:p>
        </w:tc>
      </w:tr>
      <w:tr w:rsidR="005437C6" w:rsidRPr="005437C6" w14:paraId="7D43EDC7" w14:textId="77777777">
        <w:tc>
          <w:tcPr>
            <w:tcW w:w="3247" w:type="dxa"/>
          </w:tcPr>
          <w:p w14:paraId="567C3A38" w14:textId="77777777" w:rsidR="00E7427E" w:rsidRPr="005437C6" w:rsidRDefault="00E7427E" w:rsidP="003E097C">
            <w:pPr>
              <w:spacing w:before="0"/>
              <w:ind w:left="142"/>
              <w:rPr>
                <w:rFonts w:cs="Arial"/>
                <w:color w:val="0070C0"/>
                <w:szCs w:val="24"/>
              </w:rPr>
            </w:pPr>
            <w:r w:rsidRPr="005437C6">
              <w:rPr>
                <w:rFonts w:cs="Arial"/>
                <w:color w:val="0070C0"/>
                <w:szCs w:val="24"/>
              </w:rPr>
              <w:t>TR1 Nottingham Express Transit</w:t>
            </w:r>
          </w:p>
        </w:tc>
        <w:tc>
          <w:tcPr>
            <w:tcW w:w="6104" w:type="dxa"/>
          </w:tcPr>
          <w:p w14:paraId="76D24F95" w14:textId="77777777" w:rsidR="00E7427E" w:rsidRPr="005437C6" w:rsidRDefault="00E7427E" w:rsidP="003E097C">
            <w:pPr>
              <w:spacing w:before="0"/>
              <w:ind w:left="142"/>
              <w:rPr>
                <w:rFonts w:cs="Arial"/>
                <w:color w:val="0070C0"/>
                <w:szCs w:val="24"/>
              </w:rPr>
            </w:pPr>
            <w:r w:rsidRPr="005437C6">
              <w:rPr>
                <w:rFonts w:cs="Arial"/>
                <w:color w:val="0070C0"/>
                <w:szCs w:val="24"/>
              </w:rPr>
              <w:t>S10 Improving Transport Infrastructure</w:t>
            </w:r>
          </w:p>
        </w:tc>
      </w:tr>
      <w:tr w:rsidR="005437C6" w:rsidRPr="005437C6" w14:paraId="7191A78F" w14:textId="77777777">
        <w:tc>
          <w:tcPr>
            <w:tcW w:w="3247" w:type="dxa"/>
          </w:tcPr>
          <w:p w14:paraId="3205E5CD" w14:textId="77777777" w:rsidR="00E7427E" w:rsidRPr="005437C6" w:rsidRDefault="00E7427E" w:rsidP="003E097C">
            <w:pPr>
              <w:spacing w:before="0"/>
              <w:ind w:left="142"/>
              <w:rPr>
                <w:rFonts w:cs="Arial"/>
                <w:color w:val="0070C0"/>
                <w:szCs w:val="24"/>
              </w:rPr>
            </w:pPr>
            <w:r w:rsidRPr="005437C6">
              <w:rPr>
                <w:rFonts w:cs="Arial"/>
                <w:color w:val="0070C0"/>
                <w:szCs w:val="24"/>
              </w:rPr>
              <w:t>TR2 Cycling Provision in New Development</w:t>
            </w:r>
          </w:p>
        </w:tc>
        <w:tc>
          <w:tcPr>
            <w:tcW w:w="6104" w:type="dxa"/>
          </w:tcPr>
          <w:p w14:paraId="274DC2B7" w14:textId="77777777" w:rsidR="00E7427E" w:rsidRPr="005437C6" w:rsidRDefault="00E7427E" w:rsidP="003E097C">
            <w:pPr>
              <w:spacing w:before="0"/>
              <w:ind w:left="142"/>
              <w:rPr>
                <w:rFonts w:cs="Arial"/>
                <w:color w:val="0070C0"/>
                <w:szCs w:val="24"/>
              </w:rPr>
            </w:pPr>
            <w:r w:rsidRPr="005437C6">
              <w:rPr>
                <w:rFonts w:cs="Arial"/>
                <w:color w:val="0070C0"/>
                <w:szCs w:val="24"/>
              </w:rPr>
              <w:t>S10 Improving Transport Infrastructure</w:t>
            </w:r>
          </w:p>
          <w:p w14:paraId="6D33A6C4" w14:textId="77777777" w:rsidR="00E7427E" w:rsidRPr="005437C6" w:rsidRDefault="00E7427E" w:rsidP="003E097C">
            <w:pPr>
              <w:spacing w:before="0"/>
              <w:ind w:left="142"/>
              <w:rPr>
                <w:rFonts w:cs="Arial"/>
                <w:color w:val="0070C0"/>
                <w:szCs w:val="24"/>
              </w:rPr>
            </w:pPr>
            <w:r w:rsidRPr="005437C6">
              <w:rPr>
                <w:rFonts w:cs="Arial"/>
                <w:color w:val="0070C0"/>
                <w:szCs w:val="24"/>
              </w:rPr>
              <w:t>SD10 Transport Infrastructure</w:t>
            </w:r>
          </w:p>
        </w:tc>
      </w:tr>
      <w:tr w:rsidR="005437C6" w:rsidRPr="005437C6" w14:paraId="029BB3CA" w14:textId="77777777">
        <w:tc>
          <w:tcPr>
            <w:tcW w:w="3247" w:type="dxa"/>
          </w:tcPr>
          <w:p w14:paraId="7BD60A9D" w14:textId="77777777" w:rsidR="00E7427E" w:rsidRPr="005437C6" w:rsidRDefault="00E7427E" w:rsidP="003E097C">
            <w:pPr>
              <w:spacing w:before="0"/>
              <w:ind w:left="142"/>
              <w:rPr>
                <w:rFonts w:cs="Arial"/>
                <w:color w:val="0070C0"/>
                <w:szCs w:val="24"/>
              </w:rPr>
            </w:pPr>
            <w:r w:rsidRPr="005437C6">
              <w:rPr>
                <w:rFonts w:cs="Arial"/>
                <w:color w:val="0070C0"/>
                <w:szCs w:val="24"/>
              </w:rPr>
              <w:t>TR3 Pedestrians and People with Limited Mobility</w:t>
            </w:r>
          </w:p>
        </w:tc>
        <w:tc>
          <w:tcPr>
            <w:tcW w:w="6104" w:type="dxa"/>
          </w:tcPr>
          <w:p w14:paraId="5D621801" w14:textId="77777777" w:rsidR="00E7427E" w:rsidRPr="005437C6" w:rsidRDefault="00E7427E" w:rsidP="003E097C">
            <w:pPr>
              <w:spacing w:before="0"/>
              <w:ind w:left="142"/>
              <w:rPr>
                <w:rFonts w:cs="Arial"/>
                <w:color w:val="0070C0"/>
                <w:szCs w:val="24"/>
              </w:rPr>
            </w:pPr>
            <w:r w:rsidRPr="005437C6">
              <w:rPr>
                <w:rFonts w:cs="Arial"/>
                <w:color w:val="0070C0"/>
                <w:szCs w:val="24"/>
              </w:rPr>
              <w:t>S10 Improving Transport Infrastructure</w:t>
            </w:r>
          </w:p>
          <w:p w14:paraId="173FB8A8" w14:textId="77777777" w:rsidR="00E7427E" w:rsidRPr="005437C6" w:rsidRDefault="00E7427E" w:rsidP="003E097C">
            <w:pPr>
              <w:spacing w:before="0"/>
              <w:ind w:left="142"/>
              <w:rPr>
                <w:rFonts w:cs="Arial"/>
                <w:color w:val="0070C0"/>
                <w:szCs w:val="24"/>
              </w:rPr>
            </w:pPr>
            <w:r w:rsidRPr="005437C6">
              <w:rPr>
                <w:rFonts w:cs="Arial"/>
                <w:color w:val="0070C0"/>
                <w:szCs w:val="24"/>
              </w:rPr>
              <w:t>SD2 Good Design Considerations for Development</w:t>
            </w:r>
          </w:p>
        </w:tc>
      </w:tr>
      <w:tr w:rsidR="005437C6" w:rsidRPr="005437C6" w14:paraId="66BBC05E" w14:textId="77777777">
        <w:tc>
          <w:tcPr>
            <w:tcW w:w="3247" w:type="dxa"/>
          </w:tcPr>
          <w:p w14:paraId="2A4D0D0C" w14:textId="77777777" w:rsidR="00E7427E" w:rsidRPr="005437C6" w:rsidRDefault="00E7427E" w:rsidP="003E097C">
            <w:pPr>
              <w:spacing w:before="0"/>
              <w:ind w:left="142"/>
              <w:rPr>
                <w:rFonts w:cs="Arial"/>
                <w:color w:val="0070C0"/>
                <w:szCs w:val="24"/>
              </w:rPr>
            </w:pPr>
            <w:r w:rsidRPr="005437C6">
              <w:rPr>
                <w:rFonts w:cs="Arial"/>
                <w:color w:val="0070C0"/>
                <w:szCs w:val="24"/>
              </w:rPr>
              <w:t>TR4 Pedestrian Priority Schemes</w:t>
            </w:r>
          </w:p>
        </w:tc>
        <w:tc>
          <w:tcPr>
            <w:tcW w:w="6104" w:type="dxa"/>
          </w:tcPr>
          <w:p w14:paraId="68FA55D5" w14:textId="77777777" w:rsidR="00E7427E" w:rsidRPr="005437C6" w:rsidRDefault="00E7427E" w:rsidP="003E097C">
            <w:pPr>
              <w:spacing w:before="0"/>
              <w:ind w:left="142"/>
              <w:rPr>
                <w:rFonts w:cs="Arial"/>
                <w:color w:val="0070C0"/>
                <w:szCs w:val="24"/>
              </w:rPr>
            </w:pPr>
            <w:r w:rsidRPr="005437C6">
              <w:rPr>
                <w:rFonts w:cs="Arial"/>
                <w:color w:val="0070C0"/>
                <w:szCs w:val="24"/>
              </w:rPr>
              <w:t>S10 Improving Transport Infrastructure,</w:t>
            </w:r>
          </w:p>
        </w:tc>
      </w:tr>
      <w:tr w:rsidR="005437C6" w:rsidRPr="005437C6" w14:paraId="10E49176" w14:textId="77777777">
        <w:tc>
          <w:tcPr>
            <w:tcW w:w="3247" w:type="dxa"/>
          </w:tcPr>
          <w:p w14:paraId="4BCFB6E1" w14:textId="77777777" w:rsidR="00E7427E" w:rsidRPr="005437C6" w:rsidRDefault="00E7427E" w:rsidP="003E097C">
            <w:pPr>
              <w:spacing w:before="0"/>
              <w:ind w:left="142"/>
              <w:rPr>
                <w:rFonts w:cs="Arial"/>
                <w:color w:val="0070C0"/>
                <w:szCs w:val="24"/>
              </w:rPr>
            </w:pPr>
            <w:r w:rsidRPr="005437C6">
              <w:rPr>
                <w:rFonts w:cs="Arial"/>
                <w:color w:val="0070C0"/>
                <w:szCs w:val="24"/>
              </w:rPr>
              <w:t>TR5 County Council Highway Schemes</w:t>
            </w:r>
          </w:p>
        </w:tc>
        <w:tc>
          <w:tcPr>
            <w:tcW w:w="6104" w:type="dxa"/>
          </w:tcPr>
          <w:p w14:paraId="7AA7C2AE" w14:textId="77777777" w:rsidR="00E7427E" w:rsidRPr="005437C6" w:rsidRDefault="00E7427E" w:rsidP="003E097C">
            <w:pPr>
              <w:spacing w:before="0"/>
              <w:ind w:left="142"/>
              <w:rPr>
                <w:rFonts w:cs="Arial"/>
                <w:color w:val="0070C0"/>
                <w:szCs w:val="24"/>
              </w:rPr>
            </w:pPr>
            <w:r w:rsidRPr="005437C6">
              <w:rPr>
                <w:rFonts w:cs="Arial"/>
                <w:color w:val="0070C0"/>
                <w:szCs w:val="24"/>
              </w:rPr>
              <w:t>S10 Improving Transport Infrastructure</w:t>
            </w:r>
          </w:p>
        </w:tc>
      </w:tr>
      <w:tr w:rsidR="005437C6" w:rsidRPr="005437C6" w14:paraId="2D0BAC75" w14:textId="77777777">
        <w:tc>
          <w:tcPr>
            <w:tcW w:w="3247" w:type="dxa"/>
          </w:tcPr>
          <w:p w14:paraId="2BAD2646" w14:textId="77777777" w:rsidR="00E7427E" w:rsidRPr="005437C6" w:rsidRDefault="00E7427E" w:rsidP="003E097C">
            <w:pPr>
              <w:spacing w:before="0"/>
              <w:ind w:left="142"/>
              <w:rPr>
                <w:rFonts w:cs="Arial"/>
                <w:color w:val="0070C0"/>
                <w:szCs w:val="24"/>
              </w:rPr>
            </w:pPr>
            <w:r w:rsidRPr="005437C6">
              <w:rPr>
                <w:rFonts w:cs="Arial"/>
                <w:color w:val="0070C0"/>
                <w:szCs w:val="24"/>
              </w:rPr>
              <w:t>TR6 Developer Contributions to Transport Improvements</w:t>
            </w:r>
          </w:p>
        </w:tc>
        <w:tc>
          <w:tcPr>
            <w:tcW w:w="6104" w:type="dxa"/>
          </w:tcPr>
          <w:p w14:paraId="2CA20D12" w14:textId="77777777" w:rsidR="00E7427E" w:rsidRPr="005437C6" w:rsidRDefault="00E7427E" w:rsidP="003E097C">
            <w:pPr>
              <w:spacing w:before="0"/>
              <w:ind w:left="142"/>
              <w:rPr>
                <w:rFonts w:cs="Arial"/>
                <w:color w:val="0070C0"/>
                <w:szCs w:val="24"/>
              </w:rPr>
            </w:pPr>
            <w:r w:rsidRPr="005437C6">
              <w:rPr>
                <w:rFonts w:cs="Arial"/>
                <w:color w:val="0070C0"/>
                <w:szCs w:val="24"/>
              </w:rPr>
              <w:t>S10 Improving Transport Infrastructure</w:t>
            </w:r>
          </w:p>
          <w:p w14:paraId="5FDC2382" w14:textId="77777777" w:rsidR="00E7427E" w:rsidRPr="005437C6" w:rsidRDefault="00E7427E" w:rsidP="003E097C">
            <w:pPr>
              <w:spacing w:before="0"/>
              <w:ind w:left="142"/>
              <w:rPr>
                <w:rFonts w:cs="Arial"/>
                <w:color w:val="0070C0"/>
                <w:szCs w:val="24"/>
              </w:rPr>
            </w:pPr>
            <w:r w:rsidRPr="005437C6">
              <w:rPr>
                <w:rFonts w:cs="Arial"/>
                <w:color w:val="0070C0"/>
                <w:szCs w:val="24"/>
              </w:rPr>
              <w:t>S9 Aligning Growth and Infrastructure</w:t>
            </w:r>
          </w:p>
          <w:p w14:paraId="1B4B265E" w14:textId="77777777" w:rsidR="00E7427E" w:rsidRPr="005437C6" w:rsidRDefault="00E7427E" w:rsidP="003E097C">
            <w:pPr>
              <w:spacing w:before="0"/>
              <w:ind w:left="142"/>
              <w:rPr>
                <w:rFonts w:cs="Arial"/>
                <w:color w:val="0070C0"/>
                <w:szCs w:val="24"/>
              </w:rPr>
            </w:pPr>
            <w:r w:rsidRPr="005437C6">
              <w:rPr>
                <w:rFonts w:cs="Arial"/>
                <w:color w:val="0070C0"/>
                <w:szCs w:val="24"/>
              </w:rPr>
              <w:t xml:space="preserve">SD5 Developer Contributions </w:t>
            </w:r>
          </w:p>
        </w:tc>
      </w:tr>
      <w:tr w:rsidR="005437C6" w:rsidRPr="005437C6" w14:paraId="077658E8" w14:textId="77777777">
        <w:tc>
          <w:tcPr>
            <w:tcW w:w="3247" w:type="dxa"/>
          </w:tcPr>
          <w:p w14:paraId="33E3C2D8" w14:textId="77777777" w:rsidR="00E7427E" w:rsidRPr="005437C6" w:rsidRDefault="00E7427E" w:rsidP="003E097C">
            <w:pPr>
              <w:spacing w:before="0"/>
              <w:ind w:left="142"/>
              <w:rPr>
                <w:rFonts w:cs="Arial"/>
                <w:color w:val="0070C0"/>
                <w:szCs w:val="24"/>
              </w:rPr>
            </w:pPr>
            <w:r w:rsidRPr="005437C6">
              <w:rPr>
                <w:rFonts w:cs="Arial"/>
                <w:color w:val="0070C0"/>
                <w:szCs w:val="24"/>
              </w:rPr>
              <w:t>SH1 District Shopping Centres</w:t>
            </w:r>
          </w:p>
        </w:tc>
        <w:tc>
          <w:tcPr>
            <w:tcW w:w="6104" w:type="dxa"/>
          </w:tcPr>
          <w:p w14:paraId="43B6B71A" w14:textId="77777777" w:rsidR="00E7427E" w:rsidRPr="005437C6" w:rsidRDefault="00E7427E" w:rsidP="003E097C">
            <w:pPr>
              <w:spacing w:before="0"/>
              <w:ind w:left="142"/>
              <w:rPr>
                <w:rFonts w:cs="Arial"/>
                <w:color w:val="0070C0"/>
                <w:szCs w:val="24"/>
              </w:rPr>
            </w:pPr>
            <w:r w:rsidRPr="005437C6">
              <w:rPr>
                <w:rFonts w:cs="Arial"/>
                <w:color w:val="0070C0"/>
                <w:szCs w:val="24"/>
              </w:rPr>
              <w:t>S11 Vibrant Town Centres</w:t>
            </w:r>
          </w:p>
          <w:p w14:paraId="539B4A18" w14:textId="77777777" w:rsidR="00E7427E" w:rsidRPr="005437C6" w:rsidRDefault="00E7427E" w:rsidP="003E097C">
            <w:pPr>
              <w:spacing w:before="0"/>
              <w:ind w:left="142"/>
              <w:rPr>
                <w:rFonts w:cs="Arial"/>
                <w:color w:val="0070C0"/>
                <w:szCs w:val="24"/>
              </w:rPr>
            </w:pPr>
            <w:r w:rsidRPr="005437C6">
              <w:rPr>
                <w:rFonts w:cs="Arial"/>
                <w:color w:val="0070C0"/>
                <w:szCs w:val="24"/>
              </w:rPr>
              <w:t xml:space="preserve">SH1 Retail, Leisure and Town Centre Uses </w:t>
            </w:r>
          </w:p>
        </w:tc>
      </w:tr>
      <w:tr w:rsidR="005437C6" w:rsidRPr="005437C6" w14:paraId="15C5AC00" w14:textId="77777777">
        <w:tc>
          <w:tcPr>
            <w:tcW w:w="3247" w:type="dxa"/>
          </w:tcPr>
          <w:p w14:paraId="623D7C1E" w14:textId="77777777" w:rsidR="00E7427E" w:rsidRPr="005437C6" w:rsidRDefault="00E7427E" w:rsidP="003E097C">
            <w:pPr>
              <w:spacing w:before="0"/>
              <w:ind w:left="142"/>
              <w:rPr>
                <w:rFonts w:cs="Arial"/>
                <w:color w:val="0070C0"/>
                <w:szCs w:val="24"/>
              </w:rPr>
            </w:pPr>
            <w:r w:rsidRPr="005437C6">
              <w:rPr>
                <w:rFonts w:cs="Arial"/>
                <w:color w:val="0070C0"/>
                <w:szCs w:val="24"/>
              </w:rPr>
              <w:lastRenderedPageBreak/>
              <w:t>SH2 Retail Development Sites</w:t>
            </w:r>
          </w:p>
        </w:tc>
        <w:tc>
          <w:tcPr>
            <w:tcW w:w="6104" w:type="dxa"/>
          </w:tcPr>
          <w:p w14:paraId="6BCF81CF" w14:textId="77777777" w:rsidR="00E7427E" w:rsidRPr="005437C6" w:rsidRDefault="00E7427E" w:rsidP="003E097C">
            <w:pPr>
              <w:spacing w:before="0"/>
              <w:ind w:left="142"/>
              <w:rPr>
                <w:rFonts w:cs="Arial"/>
                <w:color w:val="0070C0"/>
                <w:szCs w:val="24"/>
              </w:rPr>
            </w:pPr>
            <w:r w:rsidRPr="005437C6">
              <w:rPr>
                <w:rFonts w:cs="Arial"/>
                <w:color w:val="0070C0"/>
                <w:szCs w:val="24"/>
              </w:rPr>
              <w:t>S11 Vibrant Town Centres</w:t>
            </w:r>
          </w:p>
          <w:p w14:paraId="12B3C628" w14:textId="77777777" w:rsidR="00E7427E" w:rsidRPr="005437C6" w:rsidRDefault="00E7427E" w:rsidP="003E097C">
            <w:pPr>
              <w:spacing w:before="0"/>
              <w:ind w:left="142"/>
              <w:rPr>
                <w:rFonts w:cs="Arial"/>
                <w:color w:val="0070C0"/>
                <w:szCs w:val="24"/>
              </w:rPr>
            </w:pPr>
            <w:r w:rsidRPr="005437C6">
              <w:rPr>
                <w:rFonts w:cs="Arial"/>
                <w:color w:val="0070C0"/>
                <w:szCs w:val="24"/>
              </w:rPr>
              <w:t>SH1 Retail, Leisure and Town Centre Uses</w:t>
            </w:r>
          </w:p>
        </w:tc>
      </w:tr>
      <w:tr w:rsidR="005437C6" w:rsidRPr="005437C6" w14:paraId="3FD3595F" w14:textId="77777777">
        <w:tc>
          <w:tcPr>
            <w:tcW w:w="3247" w:type="dxa"/>
          </w:tcPr>
          <w:p w14:paraId="5B6429B4" w14:textId="77777777" w:rsidR="00E7427E" w:rsidRPr="005437C6" w:rsidRDefault="00E7427E" w:rsidP="003E097C">
            <w:pPr>
              <w:spacing w:before="0"/>
              <w:ind w:left="142"/>
              <w:rPr>
                <w:rFonts w:cs="Arial"/>
                <w:color w:val="0070C0"/>
                <w:szCs w:val="24"/>
              </w:rPr>
            </w:pPr>
            <w:r w:rsidRPr="005437C6">
              <w:rPr>
                <w:rFonts w:cs="Arial"/>
                <w:color w:val="0070C0"/>
                <w:szCs w:val="24"/>
              </w:rPr>
              <w:t>SH4 Local Shopping Centres</w:t>
            </w:r>
          </w:p>
        </w:tc>
        <w:tc>
          <w:tcPr>
            <w:tcW w:w="6104" w:type="dxa"/>
          </w:tcPr>
          <w:p w14:paraId="2CA0D6F4" w14:textId="77777777" w:rsidR="00E7427E" w:rsidRPr="005437C6" w:rsidRDefault="00E7427E" w:rsidP="003E097C">
            <w:pPr>
              <w:spacing w:before="0"/>
              <w:ind w:left="142"/>
              <w:rPr>
                <w:rFonts w:cs="Arial"/>
                <w:color w:val="0070C0"/>
                <w:szCs w:val="24"/>
              </w:rPr>
            </w:pPr>
            <w:r w:rsidRPr="005437C6">
              <w:rPr>
                <w:rFonts w:cs="Arial"/>
                <w:color w:val="0070C0"/>
                <w:szCs w:val="24"/>
              </w:rPr>
              <w:t>S11 Vibrant Town Centres</w:t>
            </w:r>
          </w:p>
          <w:p w14:paraId="31630C15" w14:textId="77777777" w:rsidR="00E7427E" w:rsidRPr="005437C6" w:rsidRDefault="00E7427E" w:rsidP="003E097C">
            <w:pPr>
              <w:spacing w:before="0"/>
              <w:ind w:left="142"/>
              <w:rPr>
                <w:rFonts w:cs="Arial"/>
                <w:color w:val="0070C0"/>
                <w:szCs w:val="24"/>
              </w:rPr>
            </w:pPr>
            <w:r w:rsidRPr="005437C6">
              <w:rPr>
                <w:rFonts w:cs="Arial"/>
                <w:color w:val="0070C0"/>
                <w:szCs w:val="24"/>
              </w:rPr>
              <w:t>SH2 Local Shopping Centres, Shopping Parades and Single Shops</w:t>
            </w:r>
          </w:p>
        </w:tc>
      </w:tr>
      <w:tr w:rsidR="005437C6" w:rsidRPr="005437C6" w14:paraId="7717B555" w14:textId="77777777">
        <w:tc>
          <w:tcPr>
            <w:tcW w:w="3247" w:type="dxa"/>
          </w:tcPr>
          <w:p w14:paraId="2A185FE3" w14:textId="77777777" w:rsidR="00E7427E" w:rsidRPr="005437C6" w:rsidRDefault="00E7427E" w:rsidP="003E097C">
            <w:pPr>
              <w:spacing w:before="0"/>
              <w:ind w:left="142"/>
              <w:rPr>
                <w:rFonts w:cs="Arial"/>
                <w:color w:val="0070C0"/>
                <w:szCs w:val="24"/>
              </w:rPr>
            </w:pPr>
            <w:r w:rsidRPr="005437C6">
              <w:rPr>
                <w:rFonts w:cs="Arial"/>
                <w:color w:val="0070C0"/>
                <w:szCs w:val="24"/>
              </w:rPr>
              <w:t>SH5 Minor Shopping Centres and Single Shops</w:t>
            </w:r>
          </w:p>
        </w:tc>
        <w:tc>
          <w:tcPr>
            <w:tcW w:w="6104" w:type="dxa"/>
          </w:tcPr>
          <w:p w14:paraId="04236128" w14:textId="77777777" w:rsidR="00E7427E" w:rsidRPr="005437C6" w:rsidRDefault="00E7427E" w:rsidP="003E097C">
            <w:pPr>
              <w:spacing w:before="0"/>
              <w:ind w:left="142"/>
              <w:rPr>
                <w:rFonts w:cs="Arial"/>
                <w:color w:val="0070C0"/>
                <w:szCs w:val="24"/>
              </w:rPr>
            </w:pPr>
            <w:r w:rsidRPr="005437C6">
              <w:rPr>
                <w:rFonts w:cs="Arial"/>
                <w:color w:val="0070C0"/>
                <w:szCs w:val="24"/>
              </w:rPr>
              <w:t>S11 Vibrant Town Centres</w:t>
            </w:r>
          </w:p>
          <w:p w14:paraId="5C52FF44" w14:textId="77777777" w:rsidR="00E7427E" w:rsidRPr="005437C6" w:rsidRDefault="00E7427E" w:rsidP="003E097C">
            <w:pPr>
              <w:spacing w:before="0"/>
              <w:ind w:left="142"/>
              <w:rPr>
                <w:rFonts w:cs="Arial"/>
                <w:color w:val="0070C0"/>
                <w:szCs w:val="24"/>
              </w:rPr>
            </w:pPr>
            <w:r w:rsidRPr="005437C6">
              <w:rPr>
                <w:rFonts w:cs="Arial"/>
                <w:color w:val="0070C0"/>
                <w:szCs w:val="24"/>
              </w:rPr>
              <w:t>SH2 Local Shopping Centres, Shopping Parades and Single Shops</w:t>
            </w:r>
          </w:p>
        </w:tc>
      </w:tr>
      <w:tr w:rsidR="005437C6" w:rsidRPr="005437C6" w14:paraId="6E403C55" w14:textId="77777777">
        <w:tc>
          <w:tcPr>
            <w:tcW w:w="3247" w:type="dxa"/>
          </w:tcPr>
          <w:p w14:paraId="639471B7" w14:textId="77777777" w:rsidR="00E7427E" w:rsidRPr="005437C6" w:rsidRDefault="00E7427E" w:rsidP="003E097C">
            <w:pPr>
              <w:spacing w:before="0"/>
              <w:ind w:left="142"/>
              <w:rPr>
                <w:rFonts w:cs="Arial"/>
                <w:color w:val="0070C0"/>
                <w:szCs w:val="24"/>
              </w:rPr>
            </w:pPr>
            <w:r w:rsidRPr="005437C6">
              <w:rPr>
                <w:rFonts w:cs="Arial"/>
                <w:color w:val="0070C0"/>
                <w:szCs w:val="24"/>
              </w:rPr>
              <w:t>SH7 Farm Shops</w:t>
            </w:r>
          </w:p>
        </w:tc>
        <w:tc>
          <w:tcPr>
            <w:tcW w:w="6104" w:type="dxa"/>
          </w:tcPr>
          <w:p w14:paraId="50DB72CA" w14:textId="77777777" w:rsidR="00E7427E" w:rsidRPr="005437C6" w:rsidRDefault="00E7427E" w:rsidP="003E097C">
            <w:pPr>
              <w:spacing w:before="0"/>
              <w:ind w:left="142"/>
              <w:rPr>
                <w:rFonts w:cs="Arial"/>
                <w:color w:val="0070C0"/>
                <w:szCs w:val="24"/>
              </w:rPr>
            </w:pPr>
            <w:r w:rsidRPr="005437C6">
              <w:rPr>
                <w:rFonts w:cs="Arial"/>
                <w:color w:val="0070C0"/>
                <w:szCs w:val="24"/>
              </w:rPr>
              <w:t>S11 Vibrant Town Centres</w:t>
            </w:r>
          </w:p>
          <w:p w14:paraId="0DCF8C26" w14:textId="77777777" w:rsidR="00E7427E" w:rsidRPr="005437C6" w:rsidRDefault="00E7427E" w:rsidP="003E097C">
            <w:pPr>
              <w:spacing w:before="0"/>
              <w:ind w:left="142"/>
              <w:rPr>
                <w:rFonts w:cs="Arial"/>
                <w:color w:val="0070C0"/>
                <w:szCs w:val="24"/>
              </w:rPr>
            </w:pPr>
            <w:r w:rsidRPr="005437C6">
              <w:rPr>
                <w:rFonts w:cs="Arial"/>
                <w:color w:val="0070C0"/>
                <w:szCs w:val="24"/>
              </w:rPr>
              <w:t>EM4 Rural Development</w:t>
            </w:r>
          </w:p>
        </w:tc>
      </w:tr>
      <w:tr w:rsidR="005437C6" w:rsidRPr="005437C6" w14:paraId="54960C20" w14:textId="77777777">
        <w:tc>
          <w:tcPr>
            <w:tcW w:w="3247" w:type="dxa"/>
          </w:tcPr>
          <w:p w14:paraId="3157815D" w14:textId="77777777" w:rsidR="00E7427E" w:rsidRPr="005437C6" w:rsidRDefault="00E7427E" w:rsidP="003E097C">
            <w:pPr>
              <w:spacing w:before="0"/>
              <w:ind w:left="142"/>
              <w:rPr>
                <w:rFonts w:cs="Arial"/>
                <w:color w:val="0070C0"/>
                <w:szCs w:val="24"/>
              </w:rPr>
            </w:pPr>
            <w:r w:rsidRPr="005437C6">
              <w:rPr>
                <w:rFonts w:cs="Arial"/>
                <w:color w:val="0070C0"/>
                <w:szCs w:val="24"/>
              </w:rPr>
              <w:t>SH8 Commercial/Retail Development</w:t>
            </w:r>
          </w:p>
        </w:tc>
        <w:tc>
          <w:tcPr>
            <w:tcW w:w="6104" w:type="dxa"/>
          </w:tcPr>
          <w:p w14:paraId="050AA9A0" w14:textId="77777777" w:rsidR="00E7427E" w:rsidRPr="005437C6" w:rsidRDefault="00E7427E" w:rsidP="003E097C">
            <w:pPr>
              <w:spacing w:before="0"/>
              <w:ind w:left="142"/>
              <w:rPr>
                <w:rFonts w:cs="Arial"/>
                <w:color w:val="0070C0"/>
                <w:szCs w:val="24"/>
              </w:rPr>
            </w:pPr>
            <w:r w:rsidRPr="005437C6">
              <w:rPr>
                <w:rFonts w:cs="Arial"/>
                <w:color w:val="0070C0"/>
                <w:szCs w:val="24"/>
              </w:rPr>
              <w:t>S11 Vibrant Town Centres</w:t>
            </w:r>
          </w:p>
          <w:p w14:paraId="051A14A1" w14:textId="77777777" w:rsidR="00E7427E" w:rsidRPr="005437C6" w:rsidRDefault="00E7427E" w:rsidP="003E097C">
            <w:pPr>
              <w:spacing w:before="0"/>
              <w:ind w:left="142"/>
              <w:rPr>
                <w:rFonts w:cs="Arial"/>
                <w:color w:val="0070C0"/>
                <w:szCs w:val="24"/>
              </w:rPr>
            </w:pPr>
            <w:r w:rsidRPr="005437C6">
              <w:rPr>
                <w:rFonts w:cs="Arial"/>
                <w:color w:val="0070C0"/>
                <w:szCs w:val="24"/>
              </w:rPr>
              <w:t>SH1 Retail, Leisure and Town Centre Uses</w:t>
            </w:r>
          </w:p>
        </w:tc>
      </w:tr>
      <w:tr w:rsidR="005437C6" w:rsidRPr="005437C6" w14:paraId="37AE3D75" w14:textId="77777777">
        <w:tc>
          <w:tcPr>
            <w:tcW w:w="3247" w:type="dxa"/>
          </w:tcPr>
          <w:p w14:paraId="1B5C04D7" w14:textId="77777777" w:rsidR="00E7427E" w:rsidRPr="005437C6" w:rsidRDefault="00E7427E" w:rsidP="003E097C">
            <w:pPr>
              <w:spacing w:before="0"/>
              <w:ind w:left="142"/>
              <w:rPr>
                <w:rFonts w:cs="Arial"/>
                <w:color w:val="0070C0"/>
                <w:szCs w:val="24"/>
              </w:rPr>
            </w:pPr>
            <w:r w:rsidRPr="005437C6">
              <w:rPr>
                <w:rFonts w:cs="Arial"/>
                <w:color w:val="0070C0"/>
                <w:szCs w:val="24"/>
              </w:rPr>
              <w:t>SH9 Hot Food Shops</w:t>
            </w:r>
          </w:p>
        </w:tc>
        <w:tc>
          <w:tcPr>
            <w:tcW w:w="6104" w:type="dxa"/>
          </w:tcPr>
          <w:p w14:paraId="34325E15" w14:textId="77777777" w:rsidR="00E7427E" w:rsidRPr="005437C6" w:rsidRDefault="00E7427E" w:rsidP="003E097C">
            <w:pPr>
              <w:spacing w:before="0"/>
              <w:ind w:left="142"/>
              <w:rPr>
                <w:rFonts w:cs="Arial"/>
                <w:color w:val="0070C0"/>
                <w:szCs w:val="24"/>
              </w:rPr>
            </w:pPr>
            <w:r w:rsidRPr="005437C6">
              <w:rPr>
                <w:rFonts w:cs="Arial"/>
                <w:color w:val="0070C0"/>
                <w:szCs w:val="24"/>
              </w:rPr>
              <w:t>S11 Vibrant Town Centres</w:t>
            </w:r>
          </w:p>
          <w:p w14:paraId="0B502B64" w14:textId="77777777" w:rsidR="00E7427E" w:rsidRPr="005437C6" w:rsidRDefault="00E7427E" w:rsidP="003E097C">
            <w:pPr>
              <w:spacing w:before="0"/>
              <w:ind w:left="142"/>
              <w:rPr>
                <w:rFonts w:cs="Arial"/>
                <w:color w:val="0070C0"/>
                <w:szCs w:val="24"/>
              </w:rPr>
            </w:pPr>
            <w:r w:rsidRPr="005437C6">
              <w:rPr>
                <w:rFonts w:cs="Arial"/>
                <w:color w:val="0070C0"/>
                <w:szCs w:val="24"/>
              </w:rPr>
              <w:t>SH1 Retail, Leisure and Town Centre Uses</w:t>
            </w:r>
          </w:p>
          <w:p w14:paraId="1D9D540D" w14:textId="77777777" w:rsidR="00E7427E" w:rsidRPr="005437C6" w:rsidRDefault="00E7427E" w:rsidP="003E097C">
            <w:pPr>
              <w:spacing w:before="0"/>
              <w:ind w:left="142"/>
              <w:rPr>
                <w:rFonts w:cs="Arial"/>
                <w:color w:val="0070C0"/>
                <w:szCs w:val="24"/>
              </w:rPr>
            </w:pPr>
            <w:r w:rsidRPr="005437C6">
              <w:rPr>
                <w:rFonts w:cs="Arial"/>
                <w:color w:val="0070C0"/>
                <w:szCs w:val="24"/>
              </w:rPr>
              <w:t>SH2 Local Shopping Centres, Shopping Parades and Single Shops</w:t>
            </w:r>
          </w:p>
        </w:tc>
      </w:tr>
      <w:tr w:rsidR="005437C6" w:rsidRPr="005437C6" w14:paraId="20E9A52D" w14:textId="77777777">
        <w:tc>
          <w:tcPr>
            <w:tcW w:w="3247" w:type="dxa"/>
          </w:tcPr>
          <w:p w14:paraId="327876F7" w14:textId="77777777" w:rsidR="00E7427E" w:rsidRPr="005437C6" w:rsidRDefault="00E7427E" w:rsidP="003E097C">
            <w:pPr>
              <w:spacing w:before="0"/>
              <w:ind w:left="142"/>
              <w:rPr>
                <w:rFonts w:cs="Arial"/>
                <w:color w:val="0070C0"/>
                <w:szCs w:val="24"/>
              </w:rPr>
            </w:pPr>
            <w:r w:rsidRPr="005437C6">
              <w:rPr>
                <w:rFonts w:cs="Arial"/>
                <w:color w:val="0070C0"/>
                <w:szCs w:val="24"/>
              </w:rPr>
              <w:t>RC1 New Informal Open Space</w:t>
            </w:r>
          </w:p>
        </w:tc>
        <w:tc>
          <w:tcPr>
            <w:tcW w:w="6104" w:type="dxa"/>
          </w:tcPr>
          <w:p w14:paraId="5278A3D1"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79316AB4" w14:textId="77777777" w:rsidR="00E7427E" w:rsidRPr="005437C6" w:rsidRDefault="00E7427E" w:rsidP="003E097C">
            <w:pPr>
              <w:spacing w:before="0"/>
              <w:ind w:left="142"/>
              <w:rPr>
                <w:rFonts w:cs="Arial"/>
                <w:color w:val="0070C0"/>
                <w:szCs w:val="24"/>
              </w:rPr>
            </w:pPr>
            <w:r w:rsidRPr="005437C6">
              <w:rPr>
                <w:rFonts w:cs="Arial"/>
                <w:color w:val="0070C0"/>
                <w:szCs w:val="24"/>
              </w:rPr>
              <w:t>H5 Public Open Space in New Residential Developments</w:t>
            </w:r>
          </w:p>
          <w:p w14:paraId="77D77D2A" w14:textId="77777777" w:rsidR="00E7427E" w:rsidRPr="005437C6" w:rsidRDefault="00E7427E" w:rsidP="003E097C">
            <w:pPr>
              <w:spacing w:before="0"/>
              <w:ind w:left="142"/>
              <w:rPr>
                <w:rFonts w:cs="Arial"/>
                <w:color w:val="0070C0"/>
                <w:szCs w:val="24"/>
              </w:rPr>
            </w:pPr>
            <w:r w:rsidRPr="005437C6">
              <w:rPr>
                <w:rFonts w:cs="Arial"/>
                <w:color w:val="0070C0"/>
                <w:szCs w:val="24"/>
              </w:rPr>
              <w:t>SD2 Good Design Considerations for Development</w:t>
            </w:r>
          </w:p>
        </w:tc>
      </w:tr>
      <w:tr w:rsidR="005437C6" w:rsidRPr="005437C6" w14:paraId="1B9CCDF7" w14:textId="77777777">
        <w:tc>
          <w:tcPr>
            <w:tcW w:w="3247" w:type="dxa"/>
          </w:tcPr>
          <w:p w14:paraId="3E727EFF" w14:textId="77777777" w:rsidR="00E7427E" w:rsidRPr="005437C6" w:rsidRDefault="00E7427E" w:rsidP="003E097C">
            <w:pPr>
              <w:spacing w:before="0"/>
              <w:ind w:left="142"/>
              <w:rPr>
                <w:rFonts w:cs="Arial"/>
                <w:color w:val="0070C0"/>
                <w:szCs w:val="24"/>
              </w:rPr>
            </w:pPr>
            <w:r w:rsidRPr="005437C6">
              <w:rPr>
                <w:rFonts w:cs="Arial"/>
                <w:color w:val="0070C0"/>
                <w:szCs w:val="24"/>
              </w:rPr>
              <w:t xml:space="preserve">RC2 Open Areas in Named Urban Areas and Names Settlements </w:t>
            </w:r>
          </w:p>
        </w:tc>
        <w:tc>
          <w:tcPr>
            <w:tcW w:w="6104" w:type="dxa"/>
          </w:tcPr>
          <w:p w14:paraId="497ED9B3" w14:textId="77777777" w:rsidR="00E7427E" w:rsidRPr="005437C6" w:rsidRDefault="00E7427E" w:rsidP="003E097C">
            <w:pPr>
              <w:spacing w:before="0"/>
              <w:ind w:left="142"/>
              <w:rPr>
                <w:rFonts w:cs="Arial"/>
                <w:color w:val="0070C0"/>
                <w:szCs w:val="24"/>
              </w:rPr>
            </w:pPr>
            <w:r w:rsidRPr="005437C6">
              <w:rPr>
                <w:rFonts w:cs="Arial"/>
                <w:color w:val="0070C0"/>
                <w:szCs w:val="24"/>
              </w:rPr>
              <w:t>S12 Tackling Health Inequalities and Facilitating Healthier Lifestyles</w:t>
            </w:r>
          </w:p>
          <w:p w14:paraId="2272726F" w14:textId="77777777" w:rsidR="00E7427E" w:rsidRPr="005437C6" w:rsidRDefault="00E7427E" w:rsidP="003E097C">
            <w:pPr>
              <w:spacing w:before="0"/>
              <w:ind w:left="142"/>
              <w:rPr>
                <w:rFonts w:cs="Arial"/>
                <w:color w:val="0070C0"/>
                <w:szCs w:val="24"/>
              </w:rPr>
            </w:pPr>
            <w:r w:rsidRPr="005437C6">
              <w:rPr>
                <w:rFonts w:cs="Arial"/>
                <w:color w:val="0070C0"/>
                <w:szCs w:val="24"/>
              </w:rPr>
              <w:t>EV5 Protection of Green Spaces and Recreation Facilities</w:t>
            </w:r>
          </w:p>
        </w:tc>
      </w:tr>
      <w:tr w:rsidR="005437C6" w:rsidRPr="005437C6" w14:paraId="395760CD" w14:textId="77777777">
        <w:tc>
          <w:tcPr>
            <w:tcW w:w="3247" w:type="dxa"/>
          </w:tcPr>
          <w:p w14:paraId="699634B3" w14:textId="77777777" w:rsidR="00E7427E" w:rsidRPr="005437C6" w:rsidRDefault="00E7427E" w:rsidP="003E097C">
            <w:pPr>
              <w:spacing w:before="0"/>
              <w:ind w:left="142"/>
              <w:rPr>
                <w:rFonts w:cs="Arial"/>
                <w:color w:val="0070C0"/>
                <w:szCs w:val="24"/>
              </w:rPr>
            </w:pPr>
            <w:r w:rsidRPr="005437C6">
              <w:rPr>
                <w:rFonts w:cs="Arial"/>
                <w:color w:val="0070C0"/>
                <w:szCs w:val="24"/>
              </w:rPr>
              <w:t xml:space="preserve">RC3 Formal Open Space </w:t>
            </w:r>
          </w:p>
        </w:tc>
        <w:tc>
          <w:tcPr>
            <w:tcW w:w="6104" w:type="dxa"/>
          </w:tcPr>
          <w:p w14:paraId="4270AB2B" w14:textId="77777777" w:rsidR="00E7427E" w:rsidRPr="005437C6" w:rsidRDefault="00E7427E" w:rsidP="003E097C">
            <w:pPr>
              <w:spacing w:before="0"/>
              <w:ind w:left="142"/>
              <w:rPr>
                <w:rFonts w:cs="Arial"/>
                <w:color w:val="0070C0"/>
                <w:szCs w:val="24"/>
              </w:rPr>
            </w:pPr>
            <w:r w:rsidRPr="005437C6">
              <w:rPr>
                <w:rFonts w:cs="Arial"/>
                <w:color w:val="0070C0"/>
                <w:szCs w:val="24"/>
              </w:rPr>
              <w:t>S12 Tackling Health Inequalities and Facilitating Healthier Lifestyles</w:t>
            </w:r>
          </w:p>
          <w:p w14:paraId="776358ED" w14:textId="77777777" w:rsidR="00E7427E" w:rsidRPr="005437C6" w:rsidRDefault="00E7427E" w:rsidP="003E097C">
            <w:pPr>
              <w:spacing w:before="0"/>
              <w:ind w:left="142"/>
              <w:rPr>
                <w:rFonts w:cs="Arial"/>
                <w:color w:val="0070C0"/>
                <w:szCs w:val="24"/>
              </w:rPr>
            </w:pPr>
            <w:r w:rsidRPr="005437C6">
              <w:rPr>
                <w:rFonts w:cs="Arial"/>
                <w:color w:val="0070C0"/>
                <w:szCs w:val="24"/>
              </w:rPr>
              <w:t>EV5 Protection of Green Spaces and Recreation Facilities</w:t>
            </w:r>
          </w:p>
        </w:tc>
      </w:tr>
      <w:tr w:rsidR="005437C6" w:rsidRPr="005437C6" w14:paraId="715EA9A0" w14:textId="77777777">
        <w:tc>
          <w:tcPr>
            <w:tcW w:w="3247" w:type="dxa"/>
          </w:tcPr>
          <w:p w14:paraId="6829771B" w14:textId="77777777" w:rsidR="00E7427E" w:rsidRPr="005437C6" w:rsidRDefault="00E7427E" w:rsidP="003E097C">
            <w:pPr>
              <w:spacing w:before="0"/>
              <w:ind w:left="142"/>
              <w:rPr>
                <w:rFonts w:cs="Arial"/>
                <w:color w:val="0070C0"/>
                <w:szCs w:val="24"/>
              </w:rPr>
            </w:pPr>
            <w:r w:rsidRPr="005437C6">
              <w:rPr>
                <w:rFonts w:cs="Arial"/>
                <w:color w:val="0070C0"/>
                <w:szCs w:val="24"/>
              </w:rPr>
              <w:t xml:space="preserve">RC4 New Formal Open Space </w:t>
            </w:r>
          </w:p>
        </w:tc>
        <w:tc>
          <w:tcPr>
            <w:tcW w:w="6104" w:type="dxa"/>
          </w:tcPr>
          <w:p w14:paraId="19CB3076" w14:textId="77777777" w:rsidR="00E7427E" w:rsidRPr="005437C6" w:rsidRDefault="00E7427E" w:rsidP="003E097C">
            <w:pPr>
              <w:spacing w:before="0"/>
              <w:ind w:left="142"/>
              <w:rPr>
                <w:rFonts w:cs="Arial"/>
                <w:color w:val="0070C0"/>
                <w:szCs w:val="24"/>
              </w:rPr>
            </w:pPr>
            <w:r w:rsidRPr="005437C6">
              <w:rPr>
                <w:rFonts w:cs="Arial"/>
                <w:color w:val="0070C0"/>
                <w:szCs w:val="24"/>
              </w:rPr>
              <w:t>S7 Meeting Future Housing Provision</w:t>
            </w:r>
          </w:p>
          <w:p w14:paraId="230ED6B1" w14:textId="77777777" w:rsidR="00E7427E" w:rsidRPr="005437C6" w:rsidRDefault="00E7427E" w:rsidP="003E097C">
            <w:pPr>
              <w:spacing w:before="0"/>
              <w:ind w:left="142"/>
              <w:rPr>
                <w:rFonts w:cs="Arial"/>
                <w:color w:val="0070C0"/>
                <w:szCs w:val="24"/>
              </w:rPr>
            </w:pPr>
            <w:r w:rsidRPr="005437C6">
              <w:rPr>
                <w:rFonts w:cs="Arial"/>
                <w:color w:val="0070C0"/>
                <w:szCs w:val="24"/>
              </w:rPr>
              <w:t>H5 Public Open Space in New Residential Developments</w:t>
            </w:r>
          </w:p>
          <w:p w14:paraId="0B4F0425" w14:textId="77777777" w:rsidR="00E7427E" w:rsidRPr="005437C6" w:rsidRDefault="00E7427E" w:rsidP="003E097C">
            <w:pPr>
              <w:spacing w:before="0"/>
              <w:ind w:left="142"/>
              <w:rPr>
                <w:rFonts w:cs="Arial"/>
                <w:color w:val="0070C0"/>
                <w:szCs w:val="24"/>
              </w:rPr>
            </w:pPr>
            <w:r w:rsidRPr="005437C6">
              <w:rPr>
                <w:rFonts w:cs="Arial"/>
                <w:color w:val="0070C0"/>
                <w:szCs w:val="24"/>
              </w:rPr>
              <w:t>SD2 Good Design Considerations for Development</w:t>
            </w:r>
          </w:p>
        </w:tc>
      </w:tr>
      <w:tr w:rsidR="005437C6" w:rsidRPr="005437C6" w14:paraId="4A256FBB" w14:textId="77777777">
        <w:tc>
          <w:tcPr>
            <w:tcW w:w="3247" w:type="dxa"/>
          </w:tcPr>
          <w:p w14:paraId="579E4314" w14:textId="77777777" w:rsidR="00E7427E" w:rsidRPr="005437C6" w:rsidRDefault="00E7427E" w:rsidP="003E097C">
            <w:pPr>
              <w:spacing w:before="0"/>
              <w:ind w:left="142"/>
              <w:rPr>
                <w:rFonts w:cs="Arial"/>
                <w:color w:val="0070C0"/>
                <w:szCs w:val="24"/>
              </w:rPr>
            </w:pPr>
            <w:r w:rsidRPr="005437C6">
              <w:rPr>
                <w:rFonts w:cs="Arial"/>
                <w:color w:val="0070C0"/>
                <w:szCs w:val="24"/>
              </w:rPr>
              <w:t xml:space="preserve">RC5 Allotments </w:t>
            </w:r>
          </w:p>
        </w:tc>
        <w:tc>
          <w:tcPr>
            <w:tcW w:w="6104" w:type="dxa"/>
          </w:tcPr>
          <w:p w14:paraId="6D803C17" w14:textId="77777777" w:rsidR="00E7427E" w:rsidRPr="005437C6" w:rsidRDefault="00E7427E" w:rsidP="003E097C">
            <w:pPr>
              <w:spacing w:before="0"/>
              <w:ind w:left="142"/>
              <w:rPr>
                <w:rFonts w:cs="Arial"/>
                <w:color w:val="0070C0"/>
                <w:szCs w:val="24"/>
              </w:rPr>
            </w:pPr>
            <w:r w:rsidRPr="005437C6">
              <w:rPr>
                <w:rFonts w:cs="Arial"/>
                <w:color w:val="0070C0"/>
                <w:szCs w:val="24"/>
              </w:rPr>
              <w:t>S12 Tackling Health Inequalities and Facilitating Healthier Lifestyles</w:t>
            </w:r>
          </w:p>
          <w:p w14:paraId="6B8E38C9" w14:textId="77777777" w:rsidR="00E7427E" w:rsidRPr="005437C6" w:rsidRDefault="00E7427E" w:rsidP="003E097C">
            <w:pPr>
              <w:spacing w:before="0"/>
              <w:ind w:left="142"/>
              <w:rPr>
                <w:rFonts w:cs="Arial"/>
                <w:color w:val="0070C0"/>
                <w:szCs w:val="24"/>
              </w:rPr>
            </w:pPr>
            <w:r w:rsidRPr="005437C6">
              <w:rPr>
                <w:rFonts w:cs="Arial"/>
                <w:color w:val="0070C0"/>
                <w:szCs w:val="24"/>
              </w:rPr>
              <w:t>EV7 Provision and Protection of Allotments</w:t>
            </w:r>
          </w:p>
        </w:tc>
      </w:tr>
      <w:tr w:rsidR="005437C6" w:rsidRPr="005437C6" w14:paraId="4605E580" w14:textId="77777777">
        <w:tc>
          <w:tcPr>
            <w:tcW w:w="3247" w:type="dxa"/>
          </w:tcPr>
          <w:p w14:paraId="193C2464" w14:textId="77777777" w:rsidR="00E7427E" w:rsidRPr="005437C6" w:rsidRDefault="00E7427E" w:rsidP="003E097C">
            <w:pPr>
              <w:spacing w:before="0"/>
              <w:ind w:left="142"/>
              <w:rPr>
                <w:rFonts w:cs="Arial"/>
                <w:color w:val="0070C0"/>
                <w:szCs w:val="24"/>
              </w:rPr>
            </w:pPr>
            <w:r w:rsidRPr="005437C6">
              <w:rPr>
                <w:rFonts w:cs="Arial"/>
                <w:color w:val="0070C0"/>
                <w:szCs w:val="24"/>
              </w:rPr>
              <w:t>RC6 Indoor Leisure Facilities</w:t>
            </w:r>
          </w:p>
        </w:tc>
        <w:tc>
          <w:tcPr>
            <w:tcW w:w="6104" w:type="dxa"/>
          </w:tcPr>
          <w:p w14:paraId="334CC06F" w14:textId="77777777" w:rsidR="00E7427E" w:rsidRPr="005437C6" w:rsidRDefault="00E7427E" w:rsidP="003E097C">
            <w:pPr>
              <w:spacing w:before="0"/>
              <w:ind w:left="142"/>
              <w:rPr>
                <w:rFonts w:cs="Arial"/>
                <w:color w:val="0070C0"/>
                <w:szCs w:val="24"/>
              </w:rPr>
            </w:pPr>
            <w:r w:rsidRPr="005437C6">
              <w:rPr>
                <w:rFonts w:cs="Arial"/>
                <w:color w:val="0070C0"/>
                <w:szCs w:val="24"/>
              </w:rPr>
              <w:t>S12 Tackling Health Inequalities and Facilitating Healthier Lifestyles</w:t>
            </w:r>
          </w:p>
          <w:p w14:paraId="227F2D54" w14:textId="77777777" w:rsidR="00E7427E" w:rsidRPr="005437C6" w:rsidRDefault="00E7427E" w:rsidP="003E097C">
            <w:pPr>
              <w:spacing w:before="0"/>
              <w:ind w:left="142"/>
              <w:rPr>
                <w:rFonts w:cs="Arial"/>
                <w:color w:val="0070C0"/>
                <w:szCs w:val="24"/>
              </w:rPr>
            </w:pPr>
            <w:r w:rsidRPr="005437C6">
              <w:rPr>
                <w:rFonts w:cs="Arial"/>
                <w:color w:val="0070C0"/>
                <w:szCs w:val="24"/>
              </w:rPr>
              <w:t>SH1 Retail, Leisure and Town Centre Uses</w:t>
            </w:r>
          </w:p>
          <w:p w14:paraId="03FAC28A" w14:textId="77777777" w:rsidR="00E7427E" w:rsidRPr="005437C6" w:rsidRDefault="00E7427E" w:rsidP="003E097C">
            <w:pPr>
              <w:spacing w:before="0"/>
              <w:ind w:left="142"/>
              <w:rPr>
                <w:rFonts w:cs="Arial"/>
                <w:color w:val="0070C0"/>
                <w:szCs w:val="24"/>
              </w:rPr>
            </w:pPr>
            <w:r w:rsidRPr="005437C6">
              <w:rPr>
                <w:rFonts w:cs="Arial"/>
                <w:color w:val="0070C0"/>
                <w:szCs w:val="24"/>
              </w:rPr>
              <w:t>SH2 Local Shopping Centres, Shopping Parades and Single Shops</w:t>
            </w:r>
          </w:p>
        </w:tc>
      </w:tr>
      <w:tr w:rsidR="005437C6" w:rsidRPr="005437C6" w14:paraId="2117BDF8" w14:textId="77777777">
        <w:tc>
          <w:tcPr>
            <w:tcW w:w="3247" w:type="dxa"/>
          </w:tcPr>
          <w:p w14:paraId="6B423045" w14:textId="77777777" w:rsidR="00E7427E" w:rsidRPr="005437C6" w:rsidRDefault="00E7427E" w:rsidP="003E097C">
            <w:pPr>
              <w:spacing w:before="0"/>
              <w:ind w:left="142"/>
              <w:rPr>
                <w:rFonts w:cs="Arial"/>
                <w:color w:val="0070C0"/>
                <w:szCs w:val="24"/>
              </w:rPr>
            </w:pPr>
            <w:r w:rsidRPr="005437C6">
              <w:rPr>
                <w:rFonts w:cs="Arial"/>
                <w:color w:val="0070C0"/>
                <w:szCs w:val="24"/>
              </w:rPr>
              <w:t>RC8 Recreational Routes</w:t>
            </w:r>
          </w:p>
        </w:tc>
        <w:tc>
          <w:tcPr>
            <w:tcW w:w="6104" w:type="dxa"/>
          </w:tcPr>
          <w:p w14:paraId="6542BFEC" w14:textId="77777777" w:rsidR="00E7427E" w:rsidRPr="005437C6" w:rsidRDefault="00E7427E" w:rsidP="003E097C">
            <w:pPr>
              <w:spacing w:before="0"/>
              <w:ind w:left="142"/>
              <w:rPr>
                <w:rFonts w:cs="Arial"/>
                <w:color w:val="0070C0"/>
                <w:szCs w:val="24"/>
              </w:rPr>
            </w:pPr>
            <w:r w:rsidRPr="005437C6">
              <w:rPr>
                <w:rFonts w:cs="Arial"/>
                <w:color w:val="0070C0"/>
                <w:szCs w:val="24"/>
              </w:rPr>
              <w:t>S2 Achieving Sustainable Development</w:t>
            </w:r>
          </w:p>
          <w:p w14:paraId="4CC9C07D" w14:textId="77777777" w:rsidR="00E7427E" w:rsidRPr="005437C6" w:rsidRDefault="00E7427E" w:rsidP="003E097C">
            <w:pPr>
              <w:spacing w:before="0"/>
              <w:ind w:left="142"/>
              <w:rPr>
                <w:rFonts w:cs="Arial"/>
                <w:color w:val="0070C0"/>
                <w:szCs w:val="24"/>
              </w:rPr>
            </w:pPr>
            <w:r w:rsidRPr="005437C6">
              <w:rPr>
                <w:rFonts w:cs="Arial"/>
                <w:color w:val="0070C0"/>
                <w:szCs w:val="24"/>
              </w:rPr>
              <w:t>S10 Improving Transport Infrastructure</w:t>
            </w:r>
          </w:p>
          <w:p w14:paraId="72EA49A2" w14:textId="77777777" w:rsidR="00E7427E" w:rsidRPr="005437C6" w:rsidRDefault="00E7427E" w:rsidP="003E097C">
            <w:pPr>
              <w:spacing w:before="0"/>
              <w:ind w:left="142"/>
              <w:rPr>
                <w:rFonts w:cs="Arial"/>
                <w:color w:val="0070C0"/>
                <w:szCs w:val="24"/>
              </w:rPr>
            </w:pPr>
            <w:r w:rsidRPr="005437C6">
              <w:rPr>
                <w:rFonts w:cs="Arial"/>
                <w:color w:val="0070C0"/>
                <w:szCs w:val="24"/>
              </w:rPr>
              <w:t>S12 Tackling Health Inequalities and Facilitating Healthier Lifestyles</w:t>
            </w:r>
          </w:p>
        </w:tc>
      </w:tr>
      <w:tr w:rsidR="005437C6" w:rsidRPr="005437C6" w14:paraId="154CBADF" w14:textId="77777777">
        <w:tc>
          <w:tcPr>
            <w:tcW w:w="3247" w:type="dxa"/>
          </w:tcPr>
          <w:p w14:paraId="26DF9F26" w14:textId="77777777" w:rsidR="00E7427E" w:rsidRPr="005437C6" w:rsidRDefault="00E7427E" w:rsidP="003E097C">
            <w:pPr>
              <w:spacing w:before="0"/>
              <w:ind w:left="142"/>
              <w:rPr>
                <w:rFonts w:cs="Arial"/>
                <w:color w:val="0070C0"/>
                <w:szCs w:val="24"/>
              </w:rPr>
            </w:pPr>
            <w:r w:rsidRPr="005437C6">
              <w:rPr>
                <w:rFonts w:cs="Arial"/>
                <w:color w:val="0070C0"/>
                <w:szCs w:val="24"/>
              </w:rPr>
              <w:t>RC9 Community Services</w:t>
            </w:r>
          </w:p>
        </w:tc>
        <w:tc>
          <w:tcPr>
            <w:tcW w:w="6104" w:type="dxa"/>
          </w:tcPr>
          <w:p w14:paraId="6BE9364A" w14:textId="77777777" w:rsidR="00E7427E" w:rsidRPr="005437C6" w:rsidRDefault="00E7427E" w:rsidP="003E097C">
            <w:pPr>
              <w:spacing w:before="0"/>
              <w:ind w:left="142"/>
              <w:rPr>
                <w:rFonts w:cs="Arial"/>
                <w:color w:val="0070C0"/>
                <w:szCs w:val="24"/>
              </w:rPr>
            </w:pPr>
            <w:r w:rsidRPr="005437C6">
              <w:rPr>
                <w:rFonts w:cs="Arial"/>
                <w:color w:val="0070C0"/>
                <w:szCs w:val="24"/>
              </w:rPr>
              <w:t>S2 Achieving Sustainable Development</w:t>
            </w:r>
          </w:p>
          <w:p w14:paraId="6CD4ABA4" w14:textId="77777777" w:rsidR="00E7427E" w:rsidRPr="005437C6" w:rsidRDefault="00E7427E" w:rsidP="003E097C">
            <w:pPr>
              <w:spacing w:before="0"/>
              <w:ind w:left="142"/>
              <w:rPr>
                <w:rFonts w:cs="Arial"/>
                <w:color w:val="0070C0"/>
                <w:szCs w:val="24"/>
              </w:rPr>
            </w:pPr>
            <w:r w:rsidRPr="005437C6">
              <w:rPr>
                <w:rFonts w:cs="Arial"/>
                <w:color w:val="0070C0"/>
                <w:szCs w:val="24"/>
              </w:rPr>
              <w:t>S12 Tackling Health Inequalities and Facilitating Healthier Lifestyles</w:t>
            </w:r>
          </w:p>
          <w:p w14:paraId="35C9AF09" w14:textId="77777777" w:rsidR="00E7427E" w:rsidRPr="005437C6" w:rsidRDefault="00E7427E" w:rsidP="003E097C">
            <w:pPr>
              <w:spacing w:before="0"/>
              <w:ind w:left="142"/>
              <w:rPr>
                <w:rFonts w:cs="Arial"/>
                <w:color w:val="0070C0"/>
                <w:szCs w:val="24"/>
              </w:rPr>
            </w:pPr>
            <w:r w:rsidRPr="005437C6">
              <w:rPr>
                <w:rFonts w:cs="Arial"/>
                <w:color w:val="0070C0"/>
                <w:szCs w:val="24"/>
              </w:rPr>
              <w:t>SD13 Provision and Protection of Health and Community Facilities</w:t>
            </w:r>
          </w:p>
        </w:tc>
      </w:tr>
    </w:tbl>
    <w:p w14:paraId="40917877" w14:textId="51DDA2E3" w:rsidR="00967C7D" w:rsidRPr="005437C6" w:rsidRDefault="00172C18" w:rsidP="00CF07B9">
      <w:pPr>
        <w:pStyle w:val="Heading1"/>
        <w:rPr>
          <w:rFonts w:cs="Arial"/>
          <w:szCs w:val="24"/>
        </w:rPr>
      </w:pPr>
      <w:r w:rsidRPr="005437C6">
        <w:lastRenderedPageBreak/>
        <w:t xml:space="preserve">Appendix 14 – Strategic Policies </w:t>
      </w:r>
    </w:p>
    <w:p w14:paraId="7B21D240" w14:textId="77777777" w:rsidR="009B2215" w:rsidRPr="005437C6" w:rsidRDefault="009B2215" w:rsidP="005B39D2">
      <w:pPr>
        <w:keepNext w:val="0"/>
        <w:autoSpaceDE w:val="0"/>
        <w:autoSpaceDN w:val="0"/>
        <w:adjustRightInd w:val="0"/>
        <w:spacing w:before="0"/>
        <w:rPr>
          <w:rFonts w:cs="Arial"/>
          <w:b/>
          <w:bCs/>
          <w:color w:val="0070C0"/>
          <w:szCs w:val="24"/>
        </w:rPr>
        <w:sectPr w:rsidR="009B2215" w:rsidRPr="005437C6" w:rsidSect="000A31CA">
          <w:pgSz w:w="11906" w:h="16838" w:code="9"/>
          <w:pgMar w:top="1258" w:right="1133" w:bottom="1079" w:left="1134" w:header="709" w:footer="709" w:gutter="0"/>
          <w:cols w:space="708"/>
          <w:docGrid w:linePitch="360"/>
        </w:sectPr>
      </w:pPr>
    </w:p>
    <w:p w14:paraId="4DBCD4C9" w14:textId="276C4D49" w:rsidR="00C602FD" w:rsidRPr="005437C6" w:rsidRDefault="00C602FD" w:rsidP="005B39D2">
      <w:pPr>
        <w:keepNext w:val="0"/>
        <w:autoSpaceDE w:val="0"/>
        <w:autoSpaceDN w:val="0"/>
        <w:adjustRightInd w:val="0"/>
        <w:spacing w:before="0"/>
        <w:rPr>
          <w:rFonts w:cs="Arial"/>
          <w:b/>
          <w:bCs/>
          <w:color w:val="0070C0"/>
          <w:szCs w:val="24"/>
        </w:rPr>
      </w:pPr>
    </w:p>
    <w:p w14:paraId="75FEB4EC" w14:textId="0E8BA5F9" w:rsidR="00172C18" w:rsidRPr="005437C6" w:rsidRDefault="00172C18" w:rsidP="00172C18">
      <w:pPr>
        <w:rPr>
          <w:rFonts w:cs="Arial"/>
          <w:color w:val="0070C0"/>
        </w:rPr>
      </w:pPr>
      <w:r w:rsidRPr="005437C6">
        <w:rPr>
          <w:rFonts w:cs="Arial"/>
          <w:color w:val="0070C0"/>
        </w:rPr>
        <w:t xml:space="preserve">The Council </w:t>
      </w:r>
      <w:r w:rsidR="00942DC9">
        <w:rPr>
          <w:rFonts w:cs="Arial"/>
          <w:color w:val="0070C0"/>
        </w:rPr>
        <w:t xml:space="preserve">has identified </w:t>
      </w:r>
      <w:r w:rsidRPr="005437C6">
        <w:rPr>
          <w:rFonts w:cs="Arial"/>
          <w:color w:val="0070C0"/>
        </w:rPr>
        <w:t>the following policies to be Strategic Policies:</w:t>
      </w:r>
    </w:p>
    <w:p w14:paraId="476FB3A0"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S1 Spatial Strategy to Deliver the Vision</w:t>
      </w:r>
    </w:p>
    <w:p w14:paraId="234ADE90"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S2 Achieving Sustainable Development</w:t>
      </w:r>
    </w:p>
    <w:p w14:paraId="0A490133"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S3 Meeting the Challenge of Climate Change</w:t>
      </w:r>
    </w:p>
    <w:p w14:paraId="2DBFAE90"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S4 Green Belt</w:t>
      </w:r>
    </w:p>
    <w:p w14:paraId="2D988429"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S5 High Quality Buildings and Places through Place Making and Design</w:t>
      </w:r>
    </w:p>
    <w:p w14:paraId="4F12D510" w14:textId="77777777" w:rsidR="00172C18" w:rsidRPr="005437C6" w:rsidRDefault="00172C18" w:rsidP="00A2566A">
      <w:pPr>
        <w:pStyle w:val="ListParagraph"/>
        <w:numPr>
          <w:ilvl w:val="0"/>
          <w:numId w:val="390"/>
        </w:numPr>
        <w:spacing w:before="120" w:after="120" w:line="288" w:lineRule="auto"/>
        <w:contextualSpacing w:val="0"/>
        <w:rPr>
          <w:rFonts w:ascii="Arial" w:hAnsi="Arial" w:cs="Arial"/>
          <w:color w:val="0070C0"/>
        </w:rPr>
      </w:pPr>
      <w:r w:rsidRPr="005437C6">
        <w:rPr>
          <w:rFonts w:ascii="Arial" w:hAnsi="Arial" w:cs="Arial"/>
          <w:color w:val="0070C0"/>
        </w:rPr>
        <w:t>S6 Meeting Future Needs – Strategic Employment Allocation at Junction 27 M1 Motorway</w:t>
      </w:r>
    </w:p>
    <w:p w14:paraId="20849B2F"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S7 Meeting Future Housing Provision</w:t>
      </w:r>
    </w:p>
    <w:p w14:paraId="1A4221C9"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S8 Delivering Economic Opportunities</w:t>
      </w:r>
    </w:p>
    <w:p w14:paraId="7616C8F9"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S9 Aligning Growth and Infrastructure</w:t>
      </w:r>
    </w:p>
    <w:p w14:paraId="6328F80F"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S10 Improving Transport Infrastructure</w:t>
      </w:r>
    </w:p>
    <w:p w14:paraId="35C13E2D"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S11 Vibrant Town Centres</w:t>
      </w:r>
    </w:p>
    <w:p w14:paraId="517B1F4F"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S12 Tackling Health Inequalities and Facilitating Healthier Lifestyles</w:t>
      </w:r>
    </w:p>
    <w:p w14:paraId="7B6D072B"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S13 Protecting and Enhancing Our Green Infrastructure and the Natural Environment</w:t>
      </w:r>
    </w:p>
    <w:p w14:paraId="20B8E4EC"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S14 Conserving and Enhancing Our Historic Environment</w:t>
      </w:r>
    </w:p>
    <w:p w14:paraId="70330594"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S15 Safeguarding Mineral Resources</w:t>
      </w:r>
    </w:p>
    <w:p w14:paraId="7069E26B"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EV1 Green Belt</w:t>
      </w:r>
    </w:p>
    <w:p w14:paraId="29201331"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H1 Housing Site Allocations</w:t>
      </w:r>
    </w:p>
    <w:p w14:paraId="4E8CFD11" w14:textId="77777777" w:rsidR="00172C18" w:rsidRPr="005437C6" w:rsidRDefault="00172C18" w:rsidP="00172C18">
      <w:pPr>
        <w:pStyle w:val="ListParagraph"/>
        <w:numPr>
          <w:ilvl w:val="0"/>
          <w:numId w:val="390"/>
        </w:numPr>
        <w:spacing w:before="120" w:after="120" w:line="288" w:lineRule="auto"/>
        <w:contextualSpacing w:val="0"/>
        <w:jc w:val="both"/>
        <w:rPr>
          <w:rFonts w:ascii="Arial" w:hAnsi="Arial" w:cs="Arial"/>
          <w:color w:val="0070C0"/>
        </w:rPr>
      </w:pPr>
      <w:r w:rsidRPr="005437C6">
        <w:rPr>
          <w:rFonts w:ascii="Arial" w:hAnsi="Arial" w:cs="Arial"/>
          <w:color w:val="0070C0"/>
        </w:rPr>
        <w:t xml:space="preserve">EM2 Employment Land Allocations.  </w:t>
      </w:r>
    </w:p>
    <w:p w14:paraId="0690C6A8" w14:textId="77777777" w:rsidR="009B2215" w:rsidRPr="005437C6" w:rsidRDefault="009B2215" w:rsidP="005B39D2">
      <w:pPr>
        <w:keepNext w:val="0"/>
        <w:autoSpaceDE w:val="0"/>
        <w:autoSpaceDN w:val="0"/>
        <w:adjustRightInd w:val="0"/>
        <w:spacing w:before="0"/>
        <w:rPr>
          <w:rFonts w:cs="Arial"/>
          <w:b/>
          <w:bCs/>
          <w:color w:val="0070C0"/>
          <w:szCs w:val="24"/>
        </w:rPr>
      </w:pPr>
    </w:p>
    <w:sectPr w:rsidR="009B2215" w:rsidRPr="005437C6" w:rsidSect="003157BC">
      <w:headerReference w:type="default" r:id="rId129"/>
      <w:footerReference w:type="default" r:id="rId130"/>
      <w:type w:val="continuous"/>
      <w:pgSz w:w="11906" w:h="16838" w:code="9"/>
      <w:pgMar w:top="1258" w:right="1133" w:bottom="1079"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6AE820" w14:textId="77777777" w:rsidR="00CD4579" w:rsidRDefault="00CD4579">
      <w:r>
        <w:separator/>
      </w:r>
    </w:p>
  </w:endnote>
  <w:endnote w:type="continuationSeparator" w:id="0">
    <w:p w14:paraId="60BACD6B" w14:textId="77777777" w:rsidR="00CD4579" w:rsidRDefault="00CD45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liss">
    <w:altName w:val="Calibri"/>
    <w:panose1 w:val="00000000000000000000"/>
    <w:charset w:val="00"/>
    <w:family w:val="swiss"/>
    <w:notTrueType/>
    <w:pitch w:val="default"/>
    <w:sig w:usb0="00000003" w:usb1="00000000" w:usb2="00000000" w:usb3="00000000" w:csb0="00000001" w:csb1="00000000"/>
  </w:font>
  <w:font w:name="Minion">
    <w:altName w:val="Cambria"/>
    <w:panose1 w:val="00000000000000000000"/>
    <w:charset w:val="00"/>
    <w:family w:val="roman"/>
    <w:notTrueType/>
    <w:pitch w:val="default"/>
    <w:sig w:usb0="00000003" w:usb1="00000000" w:usb2="00000000" w:usb3="00000000" w:csb0="00000001" w:csb1="00000000"/>
  </w:font>
  <w:font w:name="Frutiger 45 Light">
    <w:altName w:val="Calibri"/>
    <w:panose1 w:val="00000000000000000000"/>
    <w:charset w:val="00"/>
    <w:family w:val="swiss"/>
    <w:notTrueType/>
    <w:pitch w:val="default"/>
    <w:sig w:usb0="00000003" w:usb1="00000000" w:usb2="00000000" w:usb3="00000000" w:csb0="00000001" w:csb1="00000000"/>
  </w:font>
  <w:font w:name="Minion DisplaySC">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GillSans">
    <w:altName w:val="Calibri"/>
    <w:panose1 w:val="00000000000000000000"/>
    <w:charset w:val="00"/>
    <w:family w:val="swiss"/>
    <w:notTrueType/>
    <w:pitch w:val="default"/>
    <w:sig w:usb0="00000003" w:usb1="00000000" w:usb2="00000000" w:usb3="00000000" w:csb0="00000001" w:csb1="00000000"/>
  </w:font>
  <w:font w:name="Poppins">
    <w:charset w:val="00"/>
    <w:family w:val="auto"/>
    <w:pitch w:val="variable"/>
    <w:sig w:usb0="00008007" w:usb1="00000000" w:usb2="00000000" w:usb3="00000000" w:csb0="00000093" w:csb1="00000000"/>
  </w:font>
  <w:font w:name="Frutiger LT Std 45 Light">
    <w:altName w:val="Calibri"/>
    <w:panose1 w:val="00000000000000000000"/>
    <w:charset w:val="00"/>
    <w:family w:val="swiss"/>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HAKJEK+ArialMT">
    <w:altName w:val="Arial"/>
    <w:panose1 w:val="00000000000000000000"/>
    <w:charset w:val="00"/>
    <w:family w:val="swiss"/>
    <w:notTrueType/>
    <w:pitch w:val="default"/>
    <w:sig w:usb0="00000003" w:usb1="00000000" w:usb2="00000000" w:usb3="00000000" w:csb0="00000001" w:csb1="00000000"/>
  </w:font>
  <w:font w:name="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MS Mincho">
    <w:panose1 w:val="02020609040205080304"/>
    <w:charset w:val="80"/>
    <w:family w:val="modern"/>
    <w:pitch w:val="fixed"/>
    <w:sig w:usb0="E00002FF" w:usb1="6AC7FDFB" w:usb2="08000012" w:usb3="00000000" w:csb0="0002009F" w:csb1="00000000"/>
  </w:font>
  <w:font w:name="ArialMT">
    <w:altName w:val="MS Gothic"/>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OMDIGN+Arial,Bold">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71910" w14:textId="5625A6B0" w:rsidR="004024F3" w:rsidRPr="001A3BFC" w:rsidRDefault="004024F3" w:rsidP="002518C2">
    <w:pPr>
      <w:tabs>
        <w:tab w:val="center" w:pos="4550"/>
        <w:tab w:val="left" w:pos="5818"/>
      </w:tabs>
      <w:ind w:right="260"/>
      <w:jc w:val="right"/>
      <w:rPr>
        <w:szCs w:val="24"/>
      </w:rPr>
    </w:pPr>
  </w:p>
  <w:p w14:paraId="7E59626F" w14:textId="77777777" w:rsidR="004024F3" w:rsidRDefault="004024F3" w:rsidP="00BA7BE9">
    <w:pPr>
      <w:pStyle w:val="Footer"/>
      <w:tabs>
        <w:tab w:val="clear" w:pos="8306"/>
        <w:tab w:val="left" w:pos="87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41B5F" w14:textId="77777777" w:rsidR="004024F3" w:rsidRPr="001A3BFC" w:rsidRDefault="004024F3" w:rsidP="002518C2">
    <w:pPr>
      <w:tabs>
        <w:tab w:val="center" w:pos="4550"/>
        <w:tab w:val="left" w:pos="5818"/>
      </w:tabs>
      <w:ind w:right="260"/>
      <w:jc w:val="right"/>
      <w:rPr>
        <w:szCs w:val="24"/>
      </w:rPr>
    </w:pPr>
    <w:r w:rsidRPr="001A3BFC">
      <w:rPr>
        <w:noProof/>
        <w:spacing w:val="60"/>
        <w:szCs w:val="24"/>
      </w:rPr>
      <mc:AlternateContent>
        <mc:Choice Requires="wps">
          <w:drawing>
            <wp:anchor distT="0" distB="0" distL="114300" distR="114300" simplePos="0" relativeHeight="251658258" behindDoc="0" locked="0" layoutInCell="1" allowOverlap="1" wp14:anchorId="4886E7FA" wp14:editId="7A7E30DE">
              <wp:simplePos x="0" y="0"/>
              <wp:positionH relativeFrom="column">
                <wp:posOffset>3810</wp:posOffset>
              </wp:positionH>
              <wp:positionV relativeFrom="paragraph">
                <wp:posOffset>38735</wp:posOffset>
              </wp:positionV>
              <wp:extent cx="6046470" cy="5080"/>
              <wp:effectExtent l="9525" t="10160" r="11430" b="13335"/>
              <wp:wrapNone/>
              <wp:docPr id="270622267" name="AutoShap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46470" cy="508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1266EE71" id="_x0000_t32" coordsize="21600,21600" o:spt="32" o:oned="t" path="m,l21600,21600e" filled="f">
              <v:path arrowok="t" fillok="f" o:connecttype="none"/>
              <o:lock v:ext="edit" shapetype="t"/>
            </v:shapetype>
            <v:shape id="AutoShape 32" o:spid="_x0000_s1026" type="#_x0000_t32" alt="&quot;&quot;" style="position:absolute;margin-left:.3pt;margin-top:3.05pt;width:476.1pt;height:.4pt;flip: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"/>
          </w:pict>
        </mc:Fallback>
      </mc:AlternateContent>
    </w:r>
  </w:p>
  <w:p w14:paraId="5B0ACDD2" w14:textId="77777777" w:rsidR="004024F3" w:rsidRDefault="004024F3" w:rsidP="00BA7BE9">
    <w:pPr>
      <w:pStyle w:val="Footer"/>
      <w:tabs>
        <w:tab w:val="clear" w:pos="8306"/>
        <w:tab w:val="left" w:pos="876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328C0" w14:textId="0F4D99CB" w:rsidR="00054236" w:rsidRPr="001A3BFC" w:rsidRDefault="006474B6" w:rsidP="002518C2">
    <w:pPr>
      <w:tabs>
        <w:tab w:val="center" w:pos="4550"/>
        <w:tab w:val="left" w:pos="5818"/>
      </w:tabs>
      <w:ind w:right="260"/>
      <w:jc w:val="right"/>
      <w:rPr>
        <w:szCs w:val="24"/>
      </w:rPr>
    </w:pPr>
    <w:r>
      <w:rPr>
        <w:noProof/>
        <w:spacing w:val="60"/>
        <w:szCs w:val="24"/>
      </w:rPr>
      <mc:AlternateContent>
        <mc:Choice Requires="wps">
          <w:drawing>
            <wp:anchor distT="0" distB="0" distL="114300" distR="114300" simplePos="0" relativeHeight="251658254" behindDoc="0" locked="0" layoutInCell="1" allowOverlap="1" wp14:anchorId="2F11BFFD" wp14:editId="2245D189">
              <wp:simplePos x="0" y="0"/>
              <wp:positionH relativeFrom="margin">
                <wp:posOffset>-50165</wp:posOffset>
              </wp:positionH>
              <wp:positionV relativeFrom="paragraph">
                <wp:posOffset>9687</wp:posOffset>
              </wp:positionV>
              <wp:extent cx="6027258" cy="0"/>
              <wp:effectExtent l="0" t="0" r="0" b="0"/>
              <wp:wrapNone/>
              <wp:docPr id="902863670" name="Straight Connector 2"/>
              <wp:cNvGraphicFramePr/>
              <a:graphic xmlns:a="http://schemas.openxmlformats.org/drawingml/2006/main">
                <a:graphicData uri="http://schemas.microsoft.com/office/word/2010/wordprocessingShape">
                  <wps:wsp>
                    <wps:cNvCnPr/>
                    <wps:spPr>
                      <a:xfrm>
                        <a:off x="0" y="0"/>
                        <a:ext cx="602725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454523B0" id="Straight Connector 2" o:spid="_x0000_s1026" style="position:absolute;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95pt,.75pt" to="470.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" strokecolor="black [3200]" strokeweight=".5pt">
              <v:stroke joinstyle="miter"/>
              <w10:wrap anchorx="margin"/>
            </v:line>
          </w:pict>
        </mc:Fallback>
      </mc:AlternateContent>
    </w:r>
    <w:r w:rsidR="00054236" w:rsidRPr="001A3BFC">
      <w:rPr>
        <w:spacing w:val="60"/>
        <w:szCs w:val="24"/>
      </w:rPr>
      <w:t>Page</w:t>
    </w:r>
    <w:r w:rsidR="00054236" w:rsidRPr="001A3BFC">
      <w:rPr>
        <w:szCs w:val="24"/>
      </w:rPr>
      <w:t xml:space="preserve"> </w:t>
    </w:r>
    <w:r w:rsidR="00054236" w:rsidRPr="00D76B97">
      <w:rPr>
        <w:szCs w:val="24"/>
      </w:rPr>
      <w:fldChar w:fldCharType="begin"/>
    </w:r>
    <w:r w:rsidR="00054236" w:rsidRPr="00D76B97">
      <w:rPr>
        <w:szCs w:val="24"/>
      </w:rPr>
      <w:instrText xml:space="preserve"> PAGE   \* MERGEFORMAT </w:instrText>
    </w:r>
    <w:r w:rsidR="00054236" w:rsidRPr="00D76B97">
      <w:rPr>
        <w:szCs w:val="24"/>
      </w:rPr>
      <w:fldChar w:fldCharType="separate"/>
    </w:r>
    <w:r w:rsidR="00054236" w:rsidRPr="00D76B97">
      <w:rPr>
        <w:noProof/>
        <w:szCs w:val="24"/>
      </w:rPr>
      <w:t>1</w:t>
    </w:r>
    <w:r w:rsidR="00054236" w:rsidRPr="00D76B97">
      <w:rPr>
        <w:noProof/>
        <w:szCs w:val="24"/>
      </w:rPr>
      <w:fldChar w:fldCharType="end"/>
    </w:r>
  </w:p>
  <w:p w14:paraId="2DAF0486" w14:textId="41E1D412" w:rsidR="00054236" w:rsidRDefault="00054236" w:rsidP="00BA7BE9">
    <w:pPr>
      <w:pStyle w:val="Footer"/>
      <w:tabs>
        <w:tab w:val="clear" w:pos="8306"/>
        <w:tab w:val="left" w:pos="876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53BD8" w14:textId="77777777" w:rsidR="00D1540D" w:rsidRPr="001A3BFC" w:rsidRDefault="00D1540D" w:rsidP="002518C2">
    <w:pPr>
      <w:tabs>
        <w:tab w:val="center" w:pos="4550"/>
        <w:tab w:val="left" w:pos="5818"/>
      </w:tabs>
      <w:ind w:right="260"/>
      <w:jc w:val="right"/>
      <w:rPr>
        <w:szCs w:val="24"/>
      </w:rPr>
    </w:pPr>
    <w:r>
      <w:rPr>
        <w:noProof/>
        <w:spacing w:val="60"/>
        <w:szCs w:val="24"/>
      </w:rPr>
      <mc:AlternateContent>
        <mc:Choice Requires="wps">
          <w:drawing>
            <wp:anchor distT="0" distB="0" distL="114300" distR="114300" simplePos="0" relativeHeight="251658256" behindDoc="0" locked="0" layoutInCell="1" allowOverlap="1" wp14:anchorId="18481F96" wp14:editId="21F0862D">
              <wp:simplePos x="0" y="0"/>
              <wp:positionH relativeFrom="column">
                <wp:posOffset>-167641</wp:posOffset>
              </wp:positionH>
              <wp:positionV relativeFrom="paragraph">
                <wp:posOffset>33655</wp:posOffset>
              </wp:positionV>
              <wp:extent cx="13611225" cy="9525"/>
              <wp:effectExtent l="0" t="0" r="28575" b="28575"/>
              <wp:wrapNone/>
              <wp:docPr id="910717786" name="Straight Connector 2"/>
              <wp:cNvGraphicFramePr/>
              <a:graphic xmlns:a="http://schemas.openxmlformats.org/drawingml/2006/main">
                <a:graphicData uri="http://schemas.microsoft.com/office/word/2010/wordprocessingShape">
                  <wps:wsp>
                    <wps:cNvCnPr/>
                    <wps:spPr>
                      <a:xfrm>
                        <a:off x="0" y="0"/>
                        <a:ext cx="136112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380F6A17" id="Straight Connector 2"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2.65pt" to="1058.5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" strokecolor="black [3200]" strokeweight=".5pt">
              <v:stroke joinstyle="miter"/>
            </v:line>
          </w:pict>
        </mc:Fallback>
      </mc:AlternateContent>
    </w:r>
    <w:r w:rsidRPr="001A3BFC">
      <w:rPr>
        <w:spacing w:val="60"/>
        <w:szCs w:val="24"/>
      </w:rPr>
      <w:t>Page</w:t>
    </w:r>
    <w:r w:rsidRPr="001A3BFC">
      <w:rPr>
        <w:szCs w:val="24"/>
      </w:rPr>
      <w:t xml:space="preserve"> </w:t>
    </w:r>
    <w:r w:rsidRPr="00D76B97">
      <w:rPr>
        <w:szCs w:val="24"/>
      </w:rPr>
      <w:fldChar w:fldCharType="begin"/>
    </w:r>
    <w:r w:rsidRPr="00D76B97">
      <w:rPr>
        <w:szCs w:val="24"/>
      </w:rPr>
      <w:instrText xml:space="preserve"> PAGE   \* MERGEFORMAT </w:instrText>
    </w:r>
    <w:r w:rsidRPr="00D76B97">
      <w:rPr>
        <w:szCs w:val="24"/>
      </w:rPr>
      <w:fldChar w:fldCharType="separate"/>
    </w:r>
    <w:r w:rsidRPr="00D76B97">
      <w:rPr>
        <w:noProof/>
        <w:szCs w:val="24"/>
      </w:rPr>
      <w:t>1</w:t>
    </w:r>
    <w:r w:rsidRPr="00D76B97">
      <w:rPr>
        <w:noProof/>
        <w:szCs w:val="24"/>
      </w:rPr>
      <w:fldChar w:fldCharType="end"/>
    </w:r>
  </w:p>
  <w:p w14:paraId="4325B2C6" w14:textId="77777777" w:rsidR="00D1540D" w:rsidRDefault="00D1540D" w:rsidP="00BA7BE9">
    <w:pPr>
      <w:pStyle w:val="Footer"/>
      <w:tabs>
        <w:tab w:val="clear" w:pos="8306"/>
        <w:tab w:val="left" w:pos="876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92DD1" w14:textId="77777777" w:rsidR="004466EB" w:rsidRPr="001A3BFC" w:rsidRDefault="004466EB" w:rsidP="002518C2">
    <w:pPr>
      <w:tabs>
        <w:tab w:val="center" w:pos="4550"/>
        <w:tab w:val="left" w:pos="5818"/>
      </w:tabs>
      <w:ind w:right="260"/>
      <w:jc w:val="right"/>
      <w:rPr>
        <w:szCs w:val="24"/>
      </w:rPr>
    </w:pPr>
    <w:r>
      <w:rPr>
        <w:noProof/>
        <w:spacing w:val="60"/>
        <w:szCs w:val="24"/>
      </w:rPr>
      <mc:AlternateContent>
        <mc:Choice Requires="wps">
          <w:drawing>
            <wp:anchor distT="0" distB="0" distL="114300" distR="114300" simplePos="0" relativeHeight="251658259" behindDoc="0" locked="0" layoutInCell="1" allowOverlap="1" wp14:anchorId="156F0123" wp14:editId="5E8B515D">
              <wp:simplePos x="0" y="0"/>
              <wp:positionH relativeFrom="margin">
                <wp:posOffset>6350</wp:posOffset>
              </wp:positionH>
              <wp:positionV relativeFrom="paragraph">
                <wp:posOffset>23164</wp:posOffset>
              </wp:positionV>
              <wp:extent cx="6114553" cy="0"/>
              <wp:effectExtent l="0" t="0" r="0" b="0"/>
              <wp:wrapNone/>
              <wp:docPr id="209482597"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1455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3BD6023F" id="Straight Connector 2" o:spid="_x0000_s1026" alt="&quot;&quot;" style="position:absolute;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pt,1.8pt" to="481.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" strokecolor="black [3200]" strokeweight=".5pt">
              <v:stroke joinstyle="miter"/>
              <w10:wrap anchorx="margin"/>
            </v:line>
          </w:pict>
        </mc:Fallback>
      </mc:AlternateContent>
    </w:r>
    <w:r w:rsidRPr="001A3BFC">
      <w:rPr>
        <w:spacing w:val="60"/>
        <w:szCs w:val="24"/>
      </w:rPr>
      <w:t>Page</w:t>
    </w:r>
    <w:r w:rsidRPr="001A3BFC">
      <w:rPr>
        <w:szCs w:val="24"/>
      </w:rPr>
      <w:t xml:space="preserve"> </w:t>
    </w:r>
    <w:r w:rsidRPr="00D76B97">
      <w:rPr>
        <w:szCs w:val="24"/>
      </w:rPr>
      <w:fldChar w:fldCharType="begin"/>
    </w:r>
    <w:r w:rsidRPr="00D76B97">
      <w:rPr>
        <w:szCs w:val="24"/>
      </w:rPr>
      <w:instrText xml:space="preserve"> PAGE   \* MERGEFORMAT </w:instrText>
    </w:r>
    <w:r w:rsidRPr="00D76B97">
      <w:rPr>
        <w:szCs w:val="24"/>
      </w:rPr>
      <w:fldChar w:fldCharType="separate"/>
    </w:r>
    <w:r w:rsidRPr="00D76B97">
      <w:rPr>
        <w:noProof/>
        <w:szCs w:val="24"/>
      </w:rPr>
      <w:t>1</w:t>
    </w:r>
    <w:r w:rsidRPr="00D76B97">
      <w:rPr>
        <w:noProof/>
        <w:szCs w:val="24"/>
      </w:rPr>
      <w:fldChar w:fldCharType="end"/>
    </w:r>
  </w:p>
  <w:p w14:paraId="176F782E" w14:textId="77777777" w:rsidR="004466EB" w:rsidRDefault="004466EB" w:rsidP="00BA7BE9">
    <w:pPr>
      <w:pStyle w:val="Footer"/>
      <w:tabs>
        <w:tab w:val="clear" w:pos="8306"/>
        <w:tab w:val="left" w:pos="876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A7D282" w14:textId="77777777" w:rsidR="006474B6" w:rsidRPr="001A3BFC" w:rsidRDefault="006474B6" w:rsidP="002518C2">
    <w:pPr>
      <w:tabs>
        <w:tab w:val="center" w:pos="4550"/>
        <w:tab w:val="left" w:pos="5818"/>
      </w:tabs>
      <w:ind w:right="260"/>
      <w:jc w:val="right"/>
      <w:rPr>
        <w:szCs w:val="24"/>
      </w:rPr>
    </w:pPr>
    <w:r>
      <w:rPr>
        <w:noProof/>
        <w:spacing w:val="60"/>
        <w:szCs w:val="24"/>
      </w:rPr>
      <mc:AlternateContent>
        <mc:Choice Requires="wps">
          <w:drawing>
            <wp:anchor distT="0" distB="0" distL="114300" distR="114300" simplePos="0" relativeHeight="251658255" behindDoc="0" locked="0" layoutInCell="1" allowOverlap="1" wp14:anchorId="04706760" wp14:editId="7217AFFF">
              <wp:simplePos x="0" y="0"/>
              <wp:positionH relativeFrom="margin">
                <wp:posOffset>6350</wp:posOffset>
              </wp:positionH>
              <wp:positionV relativeFrom="paragraph">
                <wp:posOffset>23164</wp:posOffset>
              </wp:positionV>
              <wp:extent cx="6114553" cy="0"/>
              <wp:effectExtent l="0" t="0" r="0" b="0"/>
              <wp:wrapNone/>
              <wp:docPr id="70231881" name="Straight Connector 2"/>
              <wp:cNvGraphicFramePr/>
              <a:graphic xmlns:a="http://schemas.openxmlformats.org/drawingml/2006/main">
                <a:graphicData uri="http://schemas.microsoft.com/office/word/2010/wordprocessingShape">
                  <wps:wsp>
                    <wps:cNvCnPr/>
                    <wps:spPr>
                      <a:xfrm>
                        <a:off x="0" y="0"/>
                        <a:ext cx="611455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1F36D870" id="Straight Connector 2" o:spid="_x0000_s1026" style="position:absolute;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pt,1.8pt" to="481.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" strokecolor="black [3200]" strokeweight=".5pt">
              <v:stroke joinstyle="miter"/>
              <w10:wrap anchorx="margin"/>
            </v:line>
          </w:pict>
        </mc:Fallback>
      </mc:AlternateContent>
    </w:r>
    <w:r w:rsidRPr="001A3BFC">
      <w:rPr>
        <w:spacing w:val="60"/>
        <w:szCs w:val="24"/>
      </w:rPr>
      <w:t>Page</w:t>
    </w:r>
    <w:r w:rsidRPr="001A3BFC">
      <w:rPr>
        <w:szCs w:val="24"/>
      </w:rPr>
      <w:t xml:space="preserve"> </w:t>
    </w:r>
    <w:r w:rsidRPr="00D76B97">
      <w:rPr>
        <w:szCs w:val="24"/>
      </w:rPr>
      <w:fldChar w:fldCharType="begin"/>
    </w:r>
    <w:r w:rsidRPr="00D76B97">
      <w:rPr>
        <w:szCs w:val="24"/>
      </w:rPr>
      <w:instrText xml:space="preserve"> PAGE   \* MERGEFORMAT </w:instrText>
    </w:r>
    <w:r w:rsidRPr="00D76B97">
      <w:rPr>
        <w:szCs w:val="24"/>
      </w:rPr>
      <w:fldChar w:fldCharType="separate"/>
    </w:r>
    <w:r w:rsidRPr="00D76B97">
      <w:rPr>
        <w:noProof/>
        <w:szCs w:val="24"/>
      </w:rPr>
      <w:t>1</w:t>
    </w:r>
    <w:r w:rsidRPr="00D76B97">
      <w:rPr>
        <w:noProof/>
        <w:szCs w:val="24"/>
      </w:rPr>
      <w:fldChar w:fldCharType="end"/>
    </w:r>
  </w:p>
  <w:p w14:paraId="0943ADD5" w14:textId="77777777" w:rsidR="006474B6" w:rsidRDefault="006474B6" w:rsidP="00BA7BE9">
    <w:pPr>
      <w:pStyle w:val="Footer"/>
      <w:tabs>
        <w:tab w:val="clear" w:pos="8306"/>
        <w:tab w:val="left" w:pos="876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D3797" w14:textId="251AAF53" w:rsidR="00054236" w:rsidRDefault="00054236" w:rsidP="007576F1">
    <w:pPr>
      <w:pStyle w:val="Footer"/>
      <w:tabs>
        <w:tab w:val="clear" w:pos="8306"/>
        <w:tab w:val="right" w:pos="9214"/>
      </w:tabs>
      <w:ind w:left="-567"/>
      <w:rPr>
        <w:i/>
        <w:sz w:val="14"/>
      </w:rPr>
    </w:pPr>
    <w:r>
      <w:rPr>
        <w:i/>
        <w:noProof/>
        <w:sz w:val="18"/>
      </w:rPr>
      <w:drawing>
        <wp:inline distT="0" distB="0" distL="0" distR="0" wp14:anchorId="24F068F2" wp14:editId="446F06EC">
          <wp:extent cx="6637655" cy="1061085"/>
          <wp:effectExtent l="0" t="0" r="0" b="5715"/>
          <wp:docPr id="1806015559" name="Picture 1806015559"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655" cy="1061085"/>
                  </a:xfrm>
                  <a:prstGeom prst="rect">
                    <a:avLst/>
                  </a:prstGeom>
                  <a:noFill/>
                </pic:spPr>
              </pic:pic>
            </a:graphicData>
          </a:graphic>
        </wp:inline>
      </w:drawing>
    </w:r>
    <w:r>
      <w:rPr>
        <w:rStyle w:val="PageNumber"/>
        <w:i/>
        <w:sz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06C72D" w14:textId="77777777" w:rsidR="00CD4579" w:rsidRDefault="00CD4579">
      <w:r>
        <w:separator/>
      </w:r>
    </w:p>
  </w:footnote>
  <w:footnote w:type="continuationSeparator" w:id="0">
    <w:p w14:paraId="49CE19DA" w14:textId="77777777" w:rsidR="00CD4579" w:rsidRDefault="00CD4579">
      <w:r>
        <w:continuationSeparator/>
      </w:r>
    </w:p>
  </w:footnote>
  <w:footnote w:id="1">
    <w:p w14:paraId="1BBDC716" w14:textId="77777777" w:rsidR="003B66A4" w:rsidRPr="00566A13" w:rsidRDefault="003B66A4" w:rsidP="003B66A4">
      <w:pPr>
        <w:pStyle w:val="FootnoteText"/>
        <w:rPr>
          <w:strike/>
        </w:rPr>
      </w:pPr>
      <w:r w:rsidRPr="00486875">
        <w:rPr>
          <w:rStyle w:val="FootnoteReference"/>
        </w:rPr>
        <w:footnoteRef/>
      </w:r>
      <w:r w:rsidRPr="00486875">
        <w:t xml:space="preserve"> </w:t>
      </w:r>
      <w:hyperlink r:id="rId1" w:history="1">
        <w:r w:rsidRPr="00DB7616">
          <w:rPr>
            <w:rStyle w:val="Hyperlink"/>
          </w:rPr>
          <w:t>https://www.nottinghamshire.gov.uk/planning-and-environment/waste-development-plan/adopted-waste-local-plan</w:t>
        </w:r>
      </w:hyperlink>
      <w:r>
        <w:t xml:space="preserve"> </w:t>
      </w:r>
      <w:hyperlink r:id="rId2" w:history="1">
        <w:r w:rsidRPr="00566A13">
          <w:rPr>
            <w:rStyle w:val="Hyperlink"/>
            <w:strike/>
            <w:color w:val="000000" w:themeColor="text1"/>
          </w:rPr>
          <w:t>https://www.nottinghamshire.gov.uk/planning-and-environment/waste-development-plan/waste-core-strategy</w:t>
        </w:r>
      </w:hyperlink>
    </w:p>
  </w:footnote>
  <w:footnote w:id="2">
    <w:p w14:paraId="5AFAEFFB" w14:textId="77777777" w:rsidR="00054236" w:rsidRPr="00486875" w:rsidRDefault="00054236" w:rsidP="00284AAC">
      <w:pPr>
        <w:pStyle w:val="FootnoteText"/>
        <w:rPr>
          <w:strike/>
        </w:rPr>
      </w:pPr>
      <w:r w:rsidRPr="00486875">
        <w:rPr>
          <w:rStyle w:val="FootnoteReference"/>
          <w:strike/>
        </w:rPr>
        <w:footnoteRef/>
      </w:r>
      <w:r w:rsidRPr="00486875">
        <w:rPr>
          <w:strike/>
        </w:rPr>
        <w:t xml:space="preserve"> </w:t>
      </w:r>
      <w:hyperlink r:id="rId3" w:history="1">
        <w:r w:rsidRPr="00486875">
          <w:rPr>
            <w:rStyle w:val="Hyperlink"/>
            <w:strike/>
            <w:color w:val="000000" w:themeColor="text1"/>
          </w:rPr>
          <w:t>https://www.nottinghamshire.gov.uk/planning-and-environment/waste-development-plan/adopted-waste-local-plan</w:t>
        </w:r>
      </w:hyperlink>
    </w:p>
  </w:footnote>
  <w:footnote w:id="3">
    <w:p w14:paraId="67D56871" w14:textId="473CE929" w:rsidR="00054236" w:rsidRPr="003943F3" w:rsidRDefault="00054236" w:rsidP="00284AAC">
      <w:pPr>
        <w:pStyle w:val="FootnoteText"/>
      </w:pPr>
      <w:r w:rsidRPr="003943F3">
        <w:rPr>
          <w:rStyle w:val="FootnoteReference"/>
        </w:rPr>
        <w:footnoteRef/>
      </w:r>
      <w:r w:rsidRPr="003943F3">
        <w:t xml:space="preserve"> </w:t>
      </w:r>
      <w:hyperlink r:id="rId4" w:history="1">
        <w:r w:rsidRPr="003943F3">
          <w:rPr>
            <w:rStyle w:val="Hyperlink"/>
            <w:color w:val="000000" w:themeColor="text1"/>
          </w:rPr>
          <w:t>https://www.nottinghamshire.gov.uk/planning-and-environment/minerals-local-plan/adopted-minerals-local-plan</w:t>
        </w:r>
      </w:hyperlink>
      <w:hyperlink r:id="rId5" w:history="1">
        <w:r w:rsidR="009F03A5" w:rsidRPr="003943F3">
          <w:rPr>
            <w:rStyle w:val="Hyperlink"/>
            <w:color w:val="000000" w:themeColor="text1"/>
            <w:lang w:eastAsia="en-GB"/>
          </w:rPr>
          <w:t>https://www.nottinghamshire.gov.uk/planning-and-environment/minerals-local-plan/adopted-minerals-local-plan</w:t>
        </w:r>
      </w:hyperlink>
    </w:p>
  </w:footnote>
  <w:footnote w:id="4">
    <w:p w14:paraId="0114A559" w14:textId="77777777" w:rsidR="00054236" w:rsidRPr="003943F3" w:rsidRDefault="00054236" w:rsidP="00284AAC">
      <w:pPr>
        <w:pStyle w:val="FootnoteText"/>
      </w:pPr>
      <w:r w:rsidRPr="003943F3">
        <w:rPr>
          <w:rStyle w:val="FootnoteReference"/>
        </w:rPr>
        <w:footnoteRef/>
      </w:r>
      <w:r w:rsidRPr="003943F3">
        <w:t xml:space="preserve"> In accordance with section 39 of the </w:t>
      </w:r>
      <w:r w:rsidRPr="003943F3">
        <w:rPr>
          <w:rFonts w:eastAsia="Arial"/>
        </w:rPr>
        <w:t>Planning and Compulsory Purchase Act (2004).</w:t>
      </w:r>
    </w:p>
  </w:footnote>
  <w:footnote w:id="5">
    <w:p w14:paraId="10180932" w14:textId="77777777" w:rsidR="00054236" w:rsidRPr="003943F3" w:rsidRDefault="00054236" w:rsidP="00284AAC">
      <w:pPr>
        <w:pStyle w:val="FootnoteText"/>
      </w:pPr>
      <w:r>
        <w:rPr>
          <w:rStyle w:val="FootnoteReference"/>
        </w:rPr>
        <w:footnoteRef/>
      </w:r>
      <w:r>
        <w:t xml:space="preserve"> </w:t>
      </w:r>
      <w:r w:rsidRPr="003943F3">
        <w:t xml:space="preserve">The Planning and Compulsory Purchase Act 2004 and the Town and Country Planning (Local </w:t>
      </w:r>
      <w:r w:rsidRPr="003943F3">
        <w:t>Plan)(England) Regulations 2012, as amended.</w:t>
      </w:r>
    </w:p>
  </w:footnote>
  <w:footnote w:id="6">
    <w:p w14:paraId="70CDC2DE" w14:textId="191DA3B9" w:rsidR="004173E0" w:rsidRPr="003943F3" w:rsidRDefault="00054236">
      <w:pPr>
        <w:pStyle w:val="FootnoteText"/>
      </w:pPr>
      <w:r w:rsidRPr="003943F3">
        <w:rPr>
          <w:rStyle w:val="FootnoteReference"/>
        </w:rPr>
        <w:footnoteRef/>
      </w:r>
      <w:hyperlink r:id="rId6" w:history="1">
        <w:r w:rsidR="004173E0" w:rsidRPr="003943F3">
          <w:rPr>
            <w:rStyle w:val="Hyperlink"/>
            <w:color w:val="000000" w:themeColor="text1"/>
          </w:rPr>
          <w:t>https://assets.publishing.service.gov.uk/government/uploads/system/uploads/attachment_data/file/1182995/NPPF_Sept_23.pdf</w:t>
        </w:r>
      </w:hyperlink>
    </w:p>
  </w:footnote>
  <w:footnote w:id="7">
    <w:p w14:paraId="06B8C037" w14:textId="73538AAC" w:rsidR="00054236" w:rsidRPr="003943F3" w:rsidRDefault="00054236">
      <w:pPr>
        <w:pStyle w:val="FootnoteText"/>
      </w:pPr>
      <w:r w:rsidRPr="003943F3">
        <w:rPr>
          <w:rStyle w:val="FootnoteReference"/>
        </w:rPr>
        <w:footnoteRef/>
      </w:r>
      <w:r w:rsidRPr="003943F3">
        <w:t xml:space="preserve"> </w:t>
      </w:r>
      <w:hyperlink r:id="rId7" w:history="1">
        <w:r w:rsidRPr="003943F3">
          <w:rPr>
            <w:rStyle w:val="Hyperlink"/>
            <w:color w:val="000000" w:themeColor="text1"/>
          </w:rPr>
          <w:t>https://www.gov.uk/government/collections/planning-practice-guidance</w:t>
        </w:r>
      </w:hyperlink>
      <w:r w:rsidRPr="003943F3">
        <w:t xml:space="preserve"> </w:t>
      </w:r>
    </w:p>
  </w:footnote>
  <w:footnote w:id="8">
    <w:p w14:paraId="0525900C" w14:textId="44788185" w:rsidR="00054236" w:rsidRPr="003943F3" w:rsidRDefault="00054236" w:rsidP="00284AAC">
      <w:pPr>
        <w:pStyle w:val="FootnoteText"/>
      </w:pPr>
      <w:r w:rsidRPr="003943F3">
        <w:rPr>
          <w:rStyle w:val="FootnoteReference"/>
        </w:rPr>
        <w:footnoteRef/>
      </w:r>
      <w:r w:rsidRPr="003943F3">
        <w:t xml:space="preserve"> </w:t>
      </w:r>
      <w:hyperlink r:id="rId8" w:history="1">
        <w:r w:rsidR="00890704" w:rsidRPr="001D6255">
          <w:rPr>
            <w:rStyle w:val="Hyperlink"/>
          </w:rPr>
          <w:t>https://www.ashfield.gov.uk/planning-building-control/local-plan/emerging-local-plan/local-plan-evidence-base/</w:t>
        </w:r>
      </w:hyperlink>
      <w:r w:rsidR="00890704">
        <w:t xml:space="preserve">  </w:t>
      </w:r>
      <w:r w:rsidRPr="003943F3">
        <w:t xml:space="preserve"> </w:t>
      </w:r>
    </w:p>
  </w:footnote>
  <w:footnote w:id="9">
    <w:p w14:paraId="4A293CB9" w14:textId="507A46FE" w:rsidR="00054236" w:rsidRPr="003943F3" w:rsidRDefault="00054236" w:rsidP="00284AAC">
      <w:pPr>
        <w:pStyle w:val="FootnoteText"/>
      </w:pPr>
      <w:r w:rsidRPr="003943F3">
        <w:rPr>
          <w:rStyle w:val="FootnoteReference"/>
        </w:rPr>
        <w:footnoteRef/>
      </w:r>
      <w:r w:rsidRPr="003943F3">
        <w:t xml:space="preserve"> The Town </w:t>
      </w:r>
      <w:r w:rsidR="00890704">
        <w:t>&amp;</w:t>
      </w:r>
      <w:r w:rsidRPr="003943F3">
        <w:t xml:space="preserve"> Country Planning (Local Planning) (England) Regulations 2012, as amended Regulation 8(5).</w:t>
      </w:r>
    </w:p>
  </w:footnote>
  <w:footnote w:id="10">
    <w:p w14:paraId="6E656FD6" w14:textId="77777777" w:rsidR="00054236" w:rsidRPr="003943F3" w:rsidRDefault="00054236" w:rsidP="00284AAC">
      <w:pPr>
        <w:pStyle w:val="FootnoteText"/>
      </w:pPr>
      <w:r>
        <w:rPr>
          <w:rStyle w:val="FootnoteReference"/>
        </w:rPr>
        <w:footnoteRef/>
      </w:r>
      <w:r>
        <w:t xml:space="preserve"> </w:t>
      </w:r>
      <w:hyperlink r:id="rId9" w:history="1">
        <w:r w:rsidRPr="003943F3">
          <w:rPr>
            <w:rStyle w:val="Hyperlink"/>
            <w:color w:val="000000" w:themeColor="text1"/>
          </w:rPr>
          <w:t>https://www.ashfield.gov.uk/planning-building-control/local-plan/statement-of-community-involvement/</w:t>
        </w:r>
      </w:hyperlink>
    </w:p>
  </w:footnote>
  <w:footnote w:id="11">
    <w:p w14:paraId="44806731" w14:textId="77777777" w:rsidR="00054236" w:rsidRPr="003943F3" w:rsidRDefault="00054236" w:rsidP="00284AAC">
      <w:pPr>
        <w:pStyle w:val="FootnoteText"/>
      </w:pPr>
      <w:r w:rsidRPr="003943F3">
        <w:rPr>
          <w:rStyle w:val="FootnoteReference"/>
        </w:rPr>
        <w:footnoteRef/>
      </w:r>
      <w:r w:rsidRPr="003943F3">
        <w:t xml:space="preserve"> </w:t>
      </w:r>
      <w:hyperlink r:id="rId10" w:history="1">
        <w:r w:rsidRPr="003943F3">
          <w:rPr>
            <w:rStyle w:val="Hyperlink"/>
            <w:color w:val="000000" w:themeColor="text1"/>
          </w:rPr>
          <w:t>https://www.ashfield.gov.uk/planning-building-control/local-plan/emerging-local-plan/</w:t>
        </w:r>
      </w:hyperlink>
    </w:p>
  </w:footnote>
  <w:footnote w:id="12">
    <w:p w14:paraId="04D33D20" w14:textId="575AFB20" w:rsidR="006922A2" w:rsidRDefault="006922A2">
      <w:pPr>
        <w:pStyle w:val="FootnoteText"/>
      </w:pPr>
      <w:r>
        <w:rPr>
          <w:rStyle w:val="FootnoteReference"/>
        </w:rPr>
        <w:footnoteRef/>
      </w:r>
      <w:r>
        <w:t xml:space="preserve"> </w:t>
      </w:r>
      <w:hyperlink r:id="rId11" w:history="1">
        <w:r w:rsidRPr="002E649E">
          <w:rPr>
            <w:rStyle w:val="Hyperlink"/>
          </w:rPr>
          <w:t>https://www.ashfield.gov.uk/planning-building-control/local-plan/emerging-local-plan/</w:t>
        </w:r>
      </w:hyperlink>
    </w:p>
  </w:footnote>
  <w:footnote w:id="13">
    <w:p w14:paraId="0D03A5C9" w14:textId="77777777" w:rsidR="00054236" w:rsidRPr="003943F3" w:rsidRDefault="00054236" w:rsidP="00284AAC">
      <w:pPr>
        <w:pStyle w:val="FootnoteText"/>
      </w:pPr>
      <w:r>
        <w:rPr>
          <w:rStyle w:val="FootnoteReference"/>
        </w:rPr>
        <w:footnoteRef/>
      </w:r>
      <w:r>
        <w:t xml:space="preserve"> </w:t>
      </w:r>
      <w:hyperlink r:id="rId12" w:history="1">
        <w:r w:rsidRPr="003943F3">
          <w:rPr>
            <w:rStyle w:val="Hyperlink"/>
            <w:color w:val="000000" w:themeColor="text1"/>
          </w:rPr>
          <w:t>https://www.legislation.gov.uk/uksi/2017/1244/regulation/4/made</w:t>
        </w:r>
      </w:hyperlink>
      <w:r w:rsidRPr="003943F3">
        <w:t xml:space="preserve"> </w:t>
      </w:r>
    </w:p>
  </w:footnote>
  <w:footnote w:id="14">
    <w:p w14:paraId="060B4193" w14:textId="01D14B11" w:rsidR="00054236" w:rsidRPr="003943F3" w:rsidRDefault="00054236" w:rsidP="00284AAC">
      <w:pPr>
        <w:pStyle w:val="FootnoteText"/>
      </w:pPr>
      <w:r w:rsidRPr="003943F3">
        <w:rPr>
          <w:rStyle w:val="FootnoteReference"/>
        </w:rPr>
        <w:footnoteRef/>
      </w:r>
      <w:r w:rsidRPr="003943F3">
        <w:t xml:space="preserve"> </w:t>
      </w:r>
      <w:hyperlink r:id="rId13" w:history="1">
        <w:r w:rsidRPr="003943F3">
          <w:rPr>
            <w:rStyle w:val="Hyperlink"/>
            <w:color w:val="000000" w:themeColor="text1"/>
          </w:rPr>
          <w:t>https://www.ashfield.gov.uk/planning-building-control/development-management-documents/</w:t>
        </w:r>
      </w:hyperlink>
    </w:p>
  </w:footnote>
  <w:footnote w:id="15">
    <w:p w14:paraId="45EBAC6D" w14:textId="7766ED54" w:rsidR="00054236" w:rsidRDefault="00054236">
      <w:pPr>
        <w:pStyle w:val="FootnoteText"/>
      </w:pPr>
      <w:r>
        <w:rPr>
          <w:rStyle w:val="FootnoteReference"/>
        </w:rPr>
        <w:footnoteRef/>
      </w:r>
      <w:r>
        <w:t xml:space="preserve"> For FEMA see </w:t>
      </w:r>
      <w:r w:rsidR="00C24627">
        <w:t xml:space="preserve">Ashfield DC </w:t>
      </w:r>
      <w:r>
        <w:t>Background Paper No 3: Economy &amp; Employment Land 2021.</w:t>
      </w:r>
    </w:p>
  </w:footnote>
  <w:footnote w:id="16">
    <w:p w14:paraId="717FC13B" w14:textId="77777777" w:rsidR="00054236" w:rsidRPr="003943F3" w:rsidRDefault="00054236" w:rsidP="00100330">
      <w:pPr>
        <w:pStyle w:val="FootnoteText"/>
      </w:pPr>
      <w:r>
        <w:rPr>
          <w:rStyle w:val="FootnoteReference"/>
        </w:rPr>
        <w:footnoteRef/>
      </w:r>
      <w:r>
        <w:t xml:space="preserve">ONS data, mid 2019 </w:t>
      </w:r>
      <w:hyperlink r:id="rId14" w:history="1">
        <w:r w:rsidRPr="003943F3">
          <w:rPr>
            <w:rStyle w:val="Hyperlink"/>
            <w:color w:val="000000" w:themeColor="text1"/>
          </w:rPr>
          <w:t>https://www.ons.gov.uk/peoplepopulationandcommunity/populationandmigration/populationestimates/datasets/populationestimatesforukenglandandwalesscotlandandnorthernireland</w:t>
        </w:r>
      </w:hyperlink>
      <w:r w:rsidRPr="003943F3">
        <w:t xml:space="preserve"> </w:t>
      </w:r>
    </w:p>
  </w:footnote>
  <w:footnote w:id="17">
    <w:p w14:paraId="2DEB4E96" w14:textId="4579DE4D" w:rsidR="00D4225A" w:rsidRDefault="00D4225A">
      <w:pPr>
        <w:pStyle w:val="FootnoteText"/>
      </w:pPr>
      <w:r>
        <w:rPr>
          <w:rStyle w:val="FootnoteReference"/>
        </w:rPr>
        <w:footnoteRef/>
      </w:r>
      <w:r>
        <w:t xml:space="preserve"> </w:t>
      </w:r>
      <w:r w:rsidRPr="00D4225A">
        <w:t>https://www.sustrans.org.uk/national-cycle-network</w:t>
      </w:r>
    </w:p>
  </w:footnote>
  <w:footnote w:id="18">
    <w:p w14:paraId="309FE42B" w14:textId="77777777" w:rsidR="00054236" w:rsidRPr="002F2F34" w:rsidRDefault="00054236" w:rsidP="00100330">
      <w:pPr>
        <w:pStyle w:val="PlainText"/>
        <w:ind w:right="-46"/>
        <w:rPr>
          <w:rFonts w:ascii="Arial" w:hAnsi="Arial" w:cs="Arial"/>
        </w:rPr>
      </w:pPr>
      <w:r w:rsidRPr="00EA508A">
        <w:rPr>
          <w:rStyle w:val="FootnoteReference"/>
        </w:rPr>
        <w:footnoteRef/>
      </w:r>
      <w:r w:rsidRPr="00EA508A">
        <w:rPr>
          <w:rFonts w:ascii="Arial" w:hAnsi="Arial" w:cs="Arial"/>
        </w:rPr>
        <w:t xml:space="preserve"> </w:t>
      </w:r>
      <w:r w:rsidRPr="002F2F34">
        <w:rPr>
          <w:rFonts w:ascii="Arial" w:hAnsi="Arial" w:cs="Arial"/>
        </w:rPr>
        <w:t>2011 Rural-Urban Classification of Local Authority Districts and Similar Geographic Units in England:  DEFRA &amp; ONS.</w:t>
      </w:r>
    </w:p>
    <w:p w14:paraId="01011C51" w14:textId="77777777" w:rsidR="00054236" w:rsidRPr="00EA508A" w:rsidRDefault="00054236" w:rsidP="00100330">
      <w:pPr>
        <w:pStyle w:val="FootnoteText"/>
      </w:pPr>
    </w:p>
  </w:footnote>
  <w:footnote w:id="19">
    <w:p w14:paraId="22A808F9" w14:textId="77777777" w:rsidR="00054236" w:rsidRPr="003943F3" w:rsidRDefault="00054236" w:rsidP="00100330">
      <w:pPr>
        <w:pStyle w:val="FootnoteText"/>
      </w:pPr>
      <w:r>
        <w:rPr>
          <w:rStyle w:val="FootnoteReference"/>
        </w:rPr>
        <w:footnoteRef/>
      </w:r>
      <w:r>
        <w:t xml:space="preserve"> </w:t>
      </w:r>
      <w:hyperlink r:id="rId15" w:history="1">
        <w:r w:rsidRPr="003943F3">
          <w:rPr>
            <w:rStyle w:val="Hyperlink"/>
            <w:color w:val="000000" w:themeColor="text1"/>
          </w:rPr>
          <w:t>https://www.mansfield.gov.uk/downloads/file/482/natural-england-s-advice-notes-on-the-sherwood-ppspa-2014</w:t>
        </w:r>
      </w:hyperlink>
    </w:p>
  </w:footnote>
  <w:footnote w:id="20">
    <w:p w14:paraId="49A61096" w14:textId="77777777" w:rsidR="00054236" w:rsidRPr="003943F3" w:rsidRDefault="00054236" w:rsidP="00EC70AF">
      <w:pPr>
        <w:pStyle w:val="FootnoteText"/>
      </w:pPr>
      <w:r>
        <w:rPr>
          <w:rStyle w:val="FootnoteReference"/>
        </w:rPr>
        <w:footnoteRef/>
      </w:r>
      <w:r>
        <w:t xml:space="preserve"> </w:t>
      </w:r>
      <w:hyperlink r:id="rId16" w:history="1">
        <w:r w:rsidRPr="003943F3">
          <w:rPr>
            <w:rStyle w:val="Hyperlink"/>
            <w:color w:val="000000" w:themeColor="text1"/>
          </w:rPr>
          <w:t>https://www.ashfield.gov.uk/planning-building-control/neighbourhood-plans/jacksdale-underwood-selston-neighbourhood-plan/</w:t>
        </w:r>
      </w:hyperlink>
    </w:p>
  </w:footnote>
  <w:footnote w:id="21">
    <w:p w14:paraId="02D73100" w14:textId="77777777" w:rsidR="00054236" w:rsidRPr="003943F3" w:rsidRDefault="00054236" w:rsidP="00EC70AF">
      <w:pPr>
        <w:pStyle w:val="FootnoteText"/>
      </w:pPr>
      <w:r>
        <w:rPr>
          <w:rStyle w:val="FootnoteReference"/>
        </w:rPr>
        <w:footnoteRef/>
      </w:r>
      <w:r>
        <w:t xml:space="preserve"> </w:t>
      </w:r>
      <w:hyperlink r:id="rId17" w:history="1">
        <w:r w:rsidRPr="003943F3">
          <w:rPr>
            <w:rStyle w:val="Hyperlink"/>
            <w:color w:val="000000" w:themeColor="text1"/>
          </w:rPr>
          <w:t>https://www.ashfield.gov.uk/planning-building-control/neighbourhood-plans/teversal-stanton-hill-skegby-neighbourhood-plan/</w:t>
        </w:r>
      </w:hyperlink>
    </w:p>
  </w:footnote>
  <w:footnote w:id="22">
    <w:p w14:paraId="06243FA0" w14:textId="6A4489FF" w:rsidR="00054236" w:rsidRDefault="00054236" w:rsidP="00CC7A92">
      <w:pPr>
        <w:pStyle w:val="FootnoteText"/>
      </w:pPr>
      <w:r>
        <w:rPr>
          <w:rStyle w:val="FootnoteReference"/>
        </w:rPr>
        <w:footnoteRef/>
      </w:r>
      <w:r>
        <w:t xml:space="preserve"> </w:t>
      </w:r>
      <w:r w:rsidRPr="00FE6ABD">
        <w:t>Impacts of Neighbourhood Planning in England, Final Report to the Ministry of Housing, Communities and Local Government, May 2020.  University of Reading.</w:t>
      </w:r>
    </w:p>
  </w:footnote>
  <w:footnote w:id="23">
    <w:p w14:paraId="0AFD5EB0" w14:textId="77777777" w:rsidR="00054236" w:rsidRPr="003943F3" w:rsidRDefault="00054236" w:rsidP="00100330">
      <w:pPr>
        <w:pStyle w:val="FootnoteText"/>
      </w:pPr>
      <w:r>
        <w:rPr>
          <w:rStyle w:val="FootnoteReference"/>
        </w:rPr>
        <w:footnoteRef/>
      </w:r>
      <w:r>
        <w:t xml:space="preserve"> </w:t>
      </w:r>
      <w:hyperlink r:id="rId18" w:history="1">
        <w:r w:rsidRPr="003943F3">
          <w:rPr>
            <w:rStyle w:val="Hyperlink"/>
            <w:color w:val="000000" w:themeColor="text1"/>
          </w:rPr>
          <w:t>https://www.un.org/sustainabledevelopment/sustainable-development-goals/</w:t>
        </w:r>
      </w:hyperlink>
    </w:p>
  </w:footnote>
  <w:footnote w:id="24">
    <w:p w14:paraId="35264165" w14:textId="233E92E9" w:rsidR="00054236" w:rsidRPr="003943F3" w:rsidRDefault="00054236" w:rsidP="00100330">
      <w:pPr>
        <w:pStyle w:val="FootnoteText"/>
      </w:pPr>
      <w:r w:rsidRPr="003943F3">
        <w:rPr>
          <w:rStyle w:val="FootnoteReference"/>
        </w:rPr>
        <w:footnoteRef/>
      </w:r>
      <w:r w:rsidRPr="003943F3">
        <w:t xml:space="preserve"> National Planning Policy Framework 2021, </w:t>
      </w:r>
      <w:r w:rsidRPr="003943F3">
        <w:t>Part  2. Achieving sustainable development.</w:t>
      </w:r>
    </w:p>
  </w:footnote>
  <w:footnote w:id="25">
    <w:p w14:paraId="17A78B69" w14:textId="75E31236" w:rsidR="00054236" w:rsidRDefault="00054236" w:rsidP="00100330">
      <w:pPr>
        <w:pStyle w:val="FootnoteText"/>
      </w:pPr>
      <w:r>
        <w:rPr>
          <w:rStyle w:val="FootnoteReference"/>
        </w:rPr>
        <w:footnoteRef/>
      </w:r>
      <w:r>
        <w:t xml:space="preserve"> </w:t>
      </w:r>
      <w:r w:rsidRPr="00812925">
        <w:t>Town and Country Planning and Section 38(6) of the Planning and Compulsory Purchase Act 2004.</w:t>
      </w:r>
      <w:r w:rsidRPr="00606546">
        <w:t xml:space="preserve"> Section 70(2) of the</w:t>
      </w:r>
    </w:p>
  </w:footnote>
  <w:footnote w:id="26">
    <w:p w14:paraId="119BF076" w14:textId="4A07A439" w:rsidR="00054236" w:rsidRDefault="00054236" w:rsidP="00100330">
      <w:pPr>
        <w:pStyle w:val="FootnoteText"/>
      </w:pPr>
      <w:r>
        <w:rPr>
          <w:rStyle w:val="FootnoteReference"/>
        </w:rPr>
        <w:footnoteRef/>
      </w:r>
      <w:r>
        <w:t xml:space="preserve"> National Planning Policy Framework 202</w:t>
      </w:r>
      <w:r w:rsidR="008731D6">
        <w:t>3</w:t>
      </w:r>
      <w:r>
        <w:t xml:space="preserve">, </w:t>
      </w:r>
      <w:r w:rsidRPr="005B5D62">
        <w:t>Paragraph 15</w:t>
      </w:r>
      <w:r>
        <w:t>.</w:t>
      </w:r>
    </w:p>
  </w:footnote>
  <w:footnote w:id="27">
    <w:p w14:paraId="26648844" w14:textId="77777777" w:rsidR="00054236" w:rsidRDefault="00054236" w:rsidP="00100330">
      <w:pPr>
        <w:pStyle w:val="FootnoteText"/>
      </w:pPr>
      <w:r>
        <w:rPr>
          <w:rStyle w:val="FootnoteReference"/>
        </w:rPr>
        <w:footnoteRef/>
      </w:r>
      <w:r>
        <w:t xml:space="preserve"> This is a legal requirement under </w:t>
      </w:r>
      <w:r w:rsidRPr="002B30A7">
        <w:t xml:space="preserve">Section 19(1B-1E) of the Planning and Compulsory Purchase Act 2004.  </w:t>
      </w:r>
    </w:p>
  </w:footnote>
  <w:footnote w:id="28">
    <w:p w14:paraId="79CC6D08" w14:textId="77777777" w:rsidR="00054236" w:rsidRDefault="00054236" w:rsidP="00100330">
      <w:pPr>
        <w:pStyle w:val="FootnoteText"/>
      </w:pPr>
      <w:r>
        <w:rPr>
          <w:rStyle w:val="FootnoteReference"/>
        </w:rPr>
        <w:footnoteRef/>
      </w:r>
      <w:r>
        <w:t xml:space="preserve"> </w:t>
      </w:r>
      <w:r w:rsidRPr="00B91450">
        <w:rPr>
          <w:rFonts w:eastAsia="Calibri"/>
        </w:rPr>
        <w:t>These can include allocating sites, the provision of infrastructure and community facilities at a local level, establishing design principles, conserving and enhancing the natural and historic environment and setting out other development management policies.</w:t>
      </w:r>
    </w:p>
  </w:footnote>
  <w:footnote w:id="29">
    <w:p w14:paraId="327FC9AD" w14:textId="4C5C6EE7" w:rsidR="00054236" w:rsidRDefault="00054236" w:rsidP="00100330">
      <w:pPr>
        <w:pStyle w:val="FootnoteText"/>
      </w:pPr>
      <w:r>
        <w:rPr>
          <w:rStyle w:val="FootnoteReference"/>
        </w:rPr>
        <w:footnoteRef/>
      </w:r>
      <w:r>
        <w:t xml:space="preserve"> </w:t>
      </w:r>
      <w:r w:rsidRPr="00B91450">
        <w:rPr>
          <w:rFonts w:eastAsia="Calibri"/>
        </w:rPr>
        <w:t xml:space="preserve">Except in relation to town centre development, NPPF </w:t>
      </w:r>
      <w:r>
        <w:rPr>
          <w:rFonts w:eastAsia="Calibri"/>
        </w:rPr>
        <w:t>20</w:t>
      </w:r>
      <w:r w:rsidR="004173E0">
        <w:rPr>
          <w:rFonts w:eastAsia="Calibri"/>
        </w:rPr>
        <w:t>23</w:t>
      </w:r>
      <w:r>
        <w:rPr>
          <w:rFonts w:eastAsia="Calibri"/>
        </w:rPr>
        <w:t xml:space="preserve">, </w:t>
      </w:r>
      <w:r w:rsidRPr="00B91450">
        <w:rPr>
          <w:rFonts w:eastAsia="Calibri"/>
        </w:rPr>
        <w:t>Part 7.</w:t>
      </w:r>
    </w:p>
  </w:footnote>
  <w:footnote w:id="30">
    <w:p w14:paraId="6B68B428" w14:textId="77777777" w:rsidR="00054236" w:rsidRPr="003943F3" w:rsidRDefault="00054236" w:rsidP="00100330">
      <w:pPr>
        <w:pStyle w:val="FootnoteText"/>
      </w:pPr>
      <w:r>
        <w:rPr>
          <w:rStyle w:val="FootnoteReference"/>
        </w:rPr>
        <w:footnoteRef/>
      </w:r>
      <w:r>
        <w:t xml:space="preserve"> </w:t>
      </w:r>
      <w:hyperlink r:id="rId19" w:anchor="implementation" w:history="1">
        <w:r w:rsidRPr="003943F3">
          <w:rPr>
            <w:rStyle w:val="Hyperlink"/>
            <w:color w:val="000000" w:themeColor="text1"/>
          </w:rPr>
          <w:t>https://www.nottinghamshire.gov.uk/transport/public-transport/plans-strategies-policies/local-transport-plan#implementation</w:t>
        </w:r>
      </w:hyperlink>
    </w:p>
  </w:footnote>
  <w:footnote w:id="31">
    <w:p w14:paraId="2AD45938" w14:textId="77777777" w:rsidR="00054236" w:rsidRPr="003943F3" w:rsidRDefault="00054236" w:rsidP="00100330">
      <w:pPr>
        <w:pStyle w:val="FootnoteText"/>
      </w:pPr>
      <w:r>
        <w:rPr>
          <w:rStyle w:val="FootnoteReference"/>
        </w:rPr>
        <w:footnoteRef/>
      </w:r>
      <w:r>
        <w:t xml:space="preserve"> </w:t>
      </w:r>
      <w:hyperlink r:id="rId20" w:history="1">
        <w:r w:rsidRPr="003943F3">
          <w:rPr>
            <w:rStyle w:val="Hyperlink"/>
            <w:color w:val="000000" w:themeColor="text1"/>
          </w:rPr>
          <w:t>https://www.lepnetwork.net/lep-activities/local-industrial-strategies/</w:t>
        </w:r>
      </w:hyperlink>
    </w:p>
  </w:footnote>
  <w:footnote w:id="32">
    <w:p w14:paraId="2F6F8865" w14:textId="0F55900B" w:rsidR="00054236" w:rsidRPr="003943F3" w:rsidRDefault="00054236" w:rsidP="00100330">
      <w:pPr>
        <w:pStyle w:val="FootnoteText"/>
      </w:pPr>
      <w:r w:rsidRPr="003943F3">
        <w:rPr>
          <w:rStyle w:val="FootnoteReference"/>
        </w:rPr>
        <w:footnoteRef/>
      </w:r>
      <w:r w:rsidRPr="003943F3">
        <w:t xml:space="preserve"> NPPF 20</w:t>
      </w:r>
      <w:r w:rsidR="004173E0" w:rsidRPr="003943F3">
        <w:t>23</w:t>
      </w:r>
      <w:r w:rsidRPr="003943F3">
        <w:t>, paragraph 82.</w:t>
      </w:r>
    </w:p>
  </w:footnote>
  <w:footnote w:id="33">
    <w:p w14:paraId="64D0565E" w14:textId="77777777" w:rsidR="00054236" w:rsidRPr="003943F3" w:rsidRDefault="00054236" w:rsidP="00100330">
      <w:pPr>
        <w:pStyle w:val="FootnoteText"/>
      </w:pPr>
      <w:r w:rsidRPr="003943F3">
        <w:rPr>
          <w:rStyle w:val="FootnoteReference"/>
        </w:rPr>
        <w:footnoteRef/>
      </w:r>
      <w:r w:rsidRPr="003943F3">
        <w:t xml:space="preserve"> D2N2 Draft Local Industrial Strategy Proposition #</w:t>
      </w:r>
      <w:r w:rsidRPr="003943F3">
        <w:t>2  page 14</w:t>
      </w:r>
    </w:p>
  </w:footnote>
  <w:footnote w:id="34">
    <w:p w14:paraId="278E3F86" w14:textId="77777777" w:rsidR="00054236" w:rsidRDefault="00054236" w:rsidP="00100330">
      <w:pPr>
        <w:pStyle w:val="FootnoteText"/>
      </w:pPr>
      <w:r>
        <w:rPr>
          <w:rStyle w:val="FootnoteReference"/>
        </w:rPr>
        <w:footnoteRef/>
      </w:r>
      <w:r>
        <w:t xml:space="preserve"> </w:t>
      </w:r>
      <w:r w:rsidRPr="00CA6542">
        <w:t>D2N2 Draft Local Industrial Strategy Proposition #</w:t>
      </w:r>
      <w:r>
        <w:t>3</w:t>
      </w:r>
      <w:r w:rsidRPr="00CA6542">
        <w:t xml:space="preserve">  page 1</w:t>
      </w:r>
      <w:r>
        <w:t>7</w:t>
      </w:r>
    </w:p>
  </w:footnote>
  <w:footnote w:id="35">
    <w:p w14:paraId="617F92D0" w14:textId="77777777" w:rsidR="00BA7A0D" w:rsidRDefault="00BA7A0D" w:rsidP="00BA7A0D">
      <w:pPr>
        <w:pStyle w:val="FootnoteText"/>
      </w:pPr>
      <w:r>
        <w:rPr>
          <w:rStyle w:val="FootnoteReference"/>
        </w:rPr>
        <w:footnoteRef/>
      </w:r>
      <w:r>
        <w:t xml:space="preserve"> </w:t>
      </w:r>
      <w:hyperlink r:id="rId21" w:history="1">
        <w:r w:rsidRPr="00703218">
          <w:rPr>
            <w:rStyle w:val="Hyperlink"/>
          </w:rPr>
          <w:t>https://www.gov.uk/government/publications/integrated-rail-plan-for-the-north-and-the-midlands</w:t>
        </w:r>
      </w:hyperlink>
    </w:p>
  </w:footnote>
  <w:footnote w:id="36">
    <w:p w14:paraId="7630141E" w14:textId="77777777" w:rsidR="00BA7A0D" w:rsidRPr="00B54187" w:rsidRDefault="00BA7A0D" w:rsidP="00BA7A0D">
      <w:pPr>
        <w:pStyle w:val="FootnoteText"/>
        <w:rPr>
          <w:strike/>
        </w:rPr>
      </w:pPr>
      <w:r>
        <w:rPr>
          <w:rStyle w:val="FootnoteReference"/>
        </w:rPr>
        <w:footnoteRef/>
      </w:r>
      <w:r>
        <w:t xml:space="preserve"> </w:t>
      </w:r>
      <w:r w:rsidRPr="00B54187">
        <w:rPr>
          <w:strike/>
        </w:rPr>
        <w:t>Safeguarding directions aim to ensure that land which has been earmarked for major infrastructure projects is protected from conflicting developments before construction starts.</w:t>
      </w:r>
    </w:p>
    <w:p w14:paraId="2D80CBF2" w14:textId="77777777" w:rsidR="00BA7A0D" w:rsidRPr="00B54187" w:rsidRDefault="00BA7A0D" w:rsidP="00BA7A0D">
      <w:pPr>
        <w:pStyle w:val="FootnoteText"/>
        <w:rPr>
          <w:strike/>
        </w:rPr>
      </w:pPr>
      <w:hyperlink r:id="rId22" w:history="1">
        <w:r w:rsidRPr="00B54187">
          <w:rPr>
            <w:rStyle w:val="Hyperlink"/>
            <w:strike/>
            <w:color w:val="000000" w:themeColor="text1"/>
          </w:rPr>
          <w:t>https://www.gov.uk/government/publications/hs2-safeguarding-for-developers-and-local-authorities</w:t>
        </w:r>
      </w:hyperlink>
    </w:p>
  </w:footnote>
  <w:footnote w:id="37">
    <w:p w14:paraId="1342A149" w14:textId="7742FE47" w:rsidR="00033FE0" w:rsidRPr="00033FE0" w:rsidRDefault="00033FE0" w:rsidP="00033FE0">
      <w:pPr>
        <w:pStyle w:val="pf0"/>
        <w:rPr>
          <w:sz w:val="20"/>
          <w:szCs w:val="20"/>
        </w:rPr>
      </w:pPr>
      <w:r>
        <w:rPr>
          <w:rStyle w:val="FootnoteReference"/>
        </w:rPr>
        <w:footnoteRef/>
      </w:r>
      <w:r>
        <w:t xml:space="preserve"> </w:t>
      </w:r>
      <w:hyperlink r:id="rId23" w:history="1">
        <w:r>
          <w:rPr>
            <w:rStyle w:val="cf01"/>
            <w:color w:val="0000FF"/>
            <w:u w:val="single"/>
          </w:rPr>
          <w:t>https://www.nottinghamshire.gov.uk/policy-library/38815/the-joint-health-and-wellbeing-strategy-for-2022-2026</w:t>
        </w:r>
      </w:hyperlink>
    </w:p>
  </w:footnote>
  <w:footnote w:id="38">
    <w:p w14:paraId="250D8198" w14:textId="77777777" w:rsidR="00054236" w:rsidRPr="00E96CEF" w:rsidRDefault="00054236" w:rsidP="00100330">
      <w:pPr>
        <w:pStyle w:val="FootnoteText"/>
        <w:rPr>
          <w:color w:val="auto"/>
        </w:rPr>
      </w:pPr>
      <w:r w:rsidRPr="00E96CEF">
        <w:rPr>
          <w:rStyle w:val="FootnoteReference"/>
          <w:color w:val="auto"/>
        </w:rPr>
        <w:footnoteRef/>
      </w:r>
      <w:r w:rsidRPr="00E96CEF">
        <w:rPr>
          <w:color w:val="auto"/>
        </w:rPr>
        <w:t xml:space="preserve"> </w:t>
      </w:r>
      <w:hyperlink r:id="rId24" w:history="1">
        <w:r w:rsidRPr="00E96CEF">
          <w:rPr>
            <w:rStyle w:val="Hyperlink"/>
            <w:color w:val="auto"/>
          </w:rPr>
          <w:t>https://www.ashfield.gov.uk/your-council/strategies-plans-policies/</w:t>
        </w:r>
      </w:hyperlink>
      <w:r w:rsidRPr="00E96CEF">
        <w:rPr>
          <w:color w:val="auto"/>
        </w:rPr>
        <w:t xml:space="preserve"> </w:t>
      </w:r>
    </w:p>
  </w:footnote>
  <w:footnote w:id="39">
    <w:p w14:paraId="536B0E61" w14:textId="3A69F949" w:rsidR="00054236" w:rsidRPr="00A5463B" w:rsidRDefault="00054236">
      <w:pPr>
        <w:pStyle w:val="FootnoteText"/>
        <w:rPr>
          <w:color w:val="auto"/>
        </w:rPr>
      </w:pPr>
      <w:r>
        <w:rPr>
          <w:rStyle w:val="FootnoteReference"/>
        </w:rPr>
        <w:footnoteRef/>
      </w:r>
      <w:r>
        <w:t xml:space="preserve"> </w:t>
      </w:r>
      <w:hyperlink r:id="rId25" w:history="1">
        <w:r w:rsidRPr="00A5463B">
          <w:rPr>
            <w:rStyle w:val="Hyperlink"/>
            <w:color w:val="auto"/>
          </w:rPr>
          <w:t>https://www.ashfield.gov.uk/media/8d88f9438231a5e/social-value-policy.pdf</w:t>
        </w:r>
      </w:hyperlink>
    </w:p>
  </w:footnote>
  <w:footnote w:id="40">
    <w:p w14:paraId="12317C6A" w14:textId="77777777" w:rsidR="00054236" w:rsidRDefault="00054236" w:rsidP="00100330">
      <w:pPr>
        <w:pStyle w:val="FootnoteText"/>
      </w:pPr>
      <w:r w:rsidRPr="00A5463B">
        <w:rPr>
          <w:rStyle w:val="FootnoteReference"/>
          <w:color w:val="auto"/>
        </w:rPr>
        <w:footnoteRef/>
      </w:r>
      <w:r w:rsidRPr="00A5463B">
        <w:rPr>
          <w:color w:val="auto"/>
        </w:rPr>
        <w:t xml:space="preserve"> </w:t>
      </w:r>
      <w:hyperlink r:id="rId26" w:history="1">
        <w:r w:rsidRPr="00A5463B">
          <w:rPr>
            <w:rStyle w:val="Hyperlink"/>
            <w:color w:val="auto"/>
          </w:rPr>
          <w:t>https://www.ashfield.gov.uk/media/8d850ae2a324a84/ashfield-and-mansfield-a-plan-for-growth-2017.pdf</w:t>
        </w:r>
      </w:hyperlink>
    </w:p>
  </w:footnote>
  <w:footnote w:id="41">
    <w:p w14:paraId="46BEAA56" w14:textId="293F3BA6" w:rsidR="00103052" w:rsidRPr="00103052" w:rsidRDefault="00054236" w:rsidP="00100330">
      <w:pPr>
        <w:pStyle w:val="FootnoteText"/>
        <w:rPr>
          <w:color w:val="auto"/>
        </w:rPr>
      </w:pPr>
      <w:r w:rsidRPr="00A5463B">
        <w:rPr>
          <w:rStyle w:val="FootnoteReference"/>
          <w:color w:val="auto"/>
        </w:rPr>
        <w:footnoteRef/>
      </w:r>
      <w:r w:rsidRPr="00A5463B">
        <w:rPr>
          <w:color w:val="auto"/>
        </w:rPr>
        <w:t xml:space="preserve"> </w:t>
      </w:r>
      <w:hyperlink r:id="rId27" w:history="1">
        <w:r w:rsidR="00103052" w:rsidRPr="00103052">
          <w:rPr>
            <w:color w:val="0000FF"/>
            <w:u w:val="single"/>
            <w:lang w:eastAsia="en-GB"/>
          </w:rPr>
          <w:t>Affordable housing delivery strategy 2023 to 2025 - Ashfield District Council</w:t>
        </w:r>
      </w:hyperlink>
    </w:p>
    <w:p w14:paraId="1F27B5B4" w14:textId="1D1755E6" w:rsidR="00904ED5" w:rsidRPr="00103052" w:rsidRDefault="00103052" w:rsidP="00100330">
      <w:pPr>
        <w:pStyle w:val="FootnoteText"/>
        <w:rPr>
          <w:strike/>
          <w:color w:val="auto"/>
        </w:rPr>
      </w:pPr>
      <w:hyperlink r:id="rId28" w:history="1">
        <w:r w:rsidRPr="0006447B">
          <w:rPr>
            <w:rStyle w:val="Hyperlink"/>
            <w:strike/>
          </w:rPr>
          <w:t>https://www.ashfield.gov.uk/your-council/strategies-plans-policies/housing-strategy-research/affordable-housing-delivery-strategy-2021-to-2023/</w:t>
        </w:r>
      </w:hyperlink>
    </w:p>
  </w:footnote>
  <w:footnote w:id="42">
    <w:p w14:paraId="1931374E" w14:textId="69F4A8E3" w:rsidR="00054236" w:rsidRDefault="00054236">
      <w:pPr>
        <w:pStyle w:val="FootnoteText"/>
      </w:pPr>
      <w:r w:rsidRPr="00A5463B">
        <w:rPr>
          <w:rStyle w:val="FootnoteReference"/>
          <w:color w:val="auto"/>
        </w:rPr>
        <w:footnoteRef/>
      </w:r>
      <w:r w:rsidRPr="00A5463B">
        <w:rPr>
          <w:color w:val="auto"/>
        </w:rPr>
        <w:t xml:space="preserve"> </w:t>
      </w:r>
      <w:hyperlink r:id="rId29" w:history="1">
        <w:r w:rsidRPr="00A5463B">
          <w:rPr>
            <w:rStyle w:val="Hyperlink"/>
            <w:color w:val="auto"/>
          </w:rPr>
          <w:t>https://www.ashfield.gov.uk/community-leisure/anti-social-behaviour-community-safety/</w:t>
        </w:r>
      </w:hyperlink>
    </w:p>
  </w:footnote>
  <w:footnote w:id="43">
    <w:p w14:paraId="357E69E8" w14:textId="1A8A7269" w:rsidR="00054236" w:rsidRPr="00A5463B" w:rsidRDefault="00054236">
      <w:pPr>
        <w:pStyle w:val="FootnoteText"/>
        <w:rPr>
          <w:color w:val="auto"/>
        </w:rPr>
      </w:pPr>
      <w:r w:rsidRPr="00A5463B">
        <w:rPr>
          <w:rStyle w:val="FootnoteReference"/>
          <w:color w:val="auto"/>
        </w:rPr>
        <w:footnoteRef/>
      </w:r>
      <w:r w:rsidRPr="00A5463B">
        <w:rPr>
          <w:color w:val="auto"/>
        </w:rPr>
        <w:t xml:space="preserve"> </w:t>
      </w:r>
      <w:hyperlink r:id="rId30" w:history="1">
        <w:r w:rsidRPr="00A5463B">
          <w:rPr>
            <w:rStyle w:val="Hyperlink"/>
            <w:color w:val="auto"/>
          </w:rPr>
          <w:t>https://www.ashfield.gov.uk/business-licensing/support-into-work/towns-fund/</w:t>
        </w:r>
      </w:hyperlink>
      <w:r w:rsidRPr="00A5463B">
        <w:rPr>
          <w:color w:val="auto"/>
        </w:rPr>
        <w:t xml:space="preserve"> </w:t>
      </w:r>
    </w:p>
  </w:footnote>
  <w:footnote w:id="44">
    <w:p w14:paraId="05CCB5E4" w14:textId="77777777" w:rsidR="00054236" w:rsidRPr="00A5463B" w:rsidRDefault="00054236" w:rsidP="00162A7B">
      <w:pPr>
        <w:pStyle w:val="FootnoteText"/>
        <w:rPr>
          <w:color w:val="auto"/>
          <w:highlight w:val="yellow"/>
        </w:rPr>
      </w:pPr>
      <w:r w:rsidRPr="00A5463B">
        <w:rPr>
          <w:rStyle w:val="FootnoteReference"/>
          <w:color w:val="auto"/>
        </w:rPr>
        <w:footnoteRef/>
      </w:r>
      <w:r w:rsidRPr="00A5463B">
        <w:rPr>
          <w:color w:val="auto"/>
        </w:rPr>
        <w:t xml:space="preserve"> </w:t>
      </w:r>
      <w:hyperlink r:id="rId31" w:history="1">
        <w:r w:rsidRPr="00A5463B">
          <w:rPr>
            <w:rStyle w:val="Hyperlink"/>
            <w:color w:val="auto"/>
          </w:rPr>
          <w:t>https://www.ashfield.gov.uk/planning-building-control/development-management-documents/</w:t>
        </w:r>
      </w:hyperlink>
      <w:r w:rsidRPr="00A5463B">
        <w:rPr>
          <w:color w:val="auto"/>
          <w:highlight w:val="yellow"/>
        </w:rPr>
        <w:t xml:space="preserve"> </w:t>
      </w:r>
    </w:p>
  </w:footnote>
  <w:footnote w:id="45">
    <w:p w14:paraId="196A9079" w14:textId="77777777" w:rsidR="00054236" w:rsidRPr="00A5463B" w:rsidRDefault="00054236" w:rsidP="00162A7B">
      <w:pPr>
        <w:pStyle w:val="FootnoteText"/>
        <w:rPr>
          <w:color w:val="auto"/>
        </w:rPr>
      </w:pPr>
      <w:r w:rsidRPr="00A5463B">
        <w:rPr>
          <w:rStyle w:val="FootnoteReference"/>
          <w:color w:val="auto"/>
        </w:rPr>
        <w:footnoteRef/>
      </w:r>
      <w:r w:rsidRPr="00A5463B">
        <w:rPr>
          <w:color w:val="auto"/>
        </w:rPr>
        <w:t xml:space="preserve"> </w:t>
      </w:r>
      <w:hyperlink r:id="rId32" w:history="1">
        <w:r w:rsidRPr="00A5463B">
          <w:rPr>
            <w:rStyle w:val="Hyperlink"/>
            <w:color w:val="auto"/>
          </w:rPr>
          <w:t>https://www.ashfield.gov.uk/planning-building-control/local-plan/monitoring/</w:t>
        </w:r>
      </w:hyperlink>
    </w:p>
  </w:footnote>
  <w:footnote w:id="46">
    <w:p w14:paraId="28351E9E" w14:textId="77777777" w:rsidR="00054236" w:rsidRDefault="00054236" w:rsidP="00162A7B">
      <w:pPr>
        <w:pStyle w:val="FootnoteText"/>
      </w:pPr>
      <w:r w:rsidRPr="00A5463B">
        <w:rPr>
          <w:rStyle w:val="FootnoteReference"/>
          <w:color w:val="auto"/>
        </w:rPr>
        <w:footnoteRef/>
      </w:r>
      <w:r w:rsidRPr="00A5463B">
        <w:rPr>
          <w:color w:val="auto"/>
        </w:rPr>
        <w:t xml:space="preserve"> </w:t>
      </w:r>
      <w:hyperlink r:id="rId33" w:history="1">
        <w:r w:rsidRPr="00A5463B">
          <w:rPr>
            <w:rStyle w:val="Hyperlink"/>
            <w:color w:val="auto"/>
          </w:rPr>
          <w:t>https://www.ashfield.gov.uk/planning-building-control/local-plan/sustainability-appraisal/</w:t>
        </w:r>
      </w:hyperlink>
    </w:p>
  </w:footnote>
  <w:footnote w:id="47">
    <w:p w14:paraId="2194C7A7" w14:textId="40E2C81E" w:rsidR="001213D8" w:rsidRDefault="001213D8" w:rsidP="001213D8">
      <w:pPr>
        <w:pStyle w:val="FootnoteText"/>
      </w:pPr>
      <w:r>
        <w:rPr>
          <w:rStyle w:val="FootnoteReference"/>
          <w:rFonts w:eastAsiaTheme="majorEastAsia"/>
        </w:rPr>
        <w:footnoteRef/>
      </w:r>
      <w:r>
        <w:t xml:space="preserve"> Background Paper No 2: Housing 202</w:t>
      </w:r>
      <w:r w:rsidR="00B65753">
        <w:t>3</w:t>
      </w:r>
    </w:p>
  </w:footnote>
  <w:footnote w:id="48">
    <w:p w14:paraId="63BC14A7" w14:textId="77777777" w:rsidR="001213D8" w:rsidRDefault="001213D8" w:rsidP="001213D8">
      <w:pPr>
        <w:pStyle w:val="FootnoteText"/>
      </w:pPr>
      <w:r>
        <w:rPr>
          <w:rStyle w:val="FootnoteReference"/>
          <w:rFonts w:eastAsiaTheme="majorEastAsia"/>
        </w:rPr>
        <w:footnoteRef/>
      </w:r>
      <w:r>
        <w:t xml:space="preserve"> </w:t>
      </w:r>
      <w:r w:rsidRPr="00BD197D">
        <w:rPr>
          <w:rFonts w:eastAsia="Arial" w:cs="Arial"/>
          <w:bCs/>
          <w:color w:val="auto"/>
          <w:szCs w:val="22"/>
        </w:rPr>
        <w:t xml:space="preserve">The Nottingham Core HMA and Nottingham Outer HMA Employment Land Needs Study, </w:t>
      </w:r>
      <w:r>
        <w:rPr>
          <w:rFonts w:eastAsia="Arial" w:cs="Arial"/>
          <w:bCs/>
          <w:color w:val="auto"/>
          <w:szCs w:val="22"/>
        </w:rPr>
        <w:t xml:space="preserve">Litchfield, </w:t>
      </w:r>
      <w:r w:rsidRPr="00BD197D">
        <w:rPr>
          <w:rFonts w:eastAsia="Arial" w:cs="Arial"/>
          <w:bCs/>
          <w:color w:val="auto"/>
          <w:szCs w:val="22"/>
        </w:rPr>
        <w:t xml:space="preserve">2021.  </w:t>
      </w:r>
    </w:p>
  </w:footnote>
  <w:footnote w:id="49">
    <w:p w14:paraId="41713358" w14:textId="53923C52" w:rsidR="001213D8" w:rsidRDefault="001213D8" w:rsidP="001213D8">
      <w:pPr>
        <w:pStyle w:val="FootnoteText"/>
      </w:pPr>
      <w:r>
        <w:rPr>
          <w:rStyle w:val="FootnoteReference"/>
          <w:rFonts w:eastAsiaTheme="majorEastAsia"/>
        </w:rPr>
        <w:footnoteRef/>
      </w:r>
      <w:r>
        <w:t xml:space="preserve"> Background Paper No3: </w:t>
      </w:r>
      <w:r w:rsidRPr="00FF3EAD">
        <w:t xml:space="preserve">Economy and Employment Land </w:t>
      </w:r>
      <w:r>
        <w:t>July 202</w:t>
      </w:r>
      <w:r w:rsidR="00B65753">
        <w:t>1 &amp; 2023</w:t>
      </w:r>
      <w:r>
        <w:t>.</w:t>
      </w:r>
    </w:p>
  </w:footnote>
  <w:footnote w:id="50">
    <w:p w14:paraId="7442C63C" w14:textId="77777777" w:rsidR="006A5605" w:rsidRDefault="006A5605" w:rsidP="006A5605">
      <w:pPr>
        <w:pStyle w:val="FootnoteText"/>
      </w:pPr>
      <w:r>
        <w:rPr>
          <w:rStyle w:val="FootnoteReference"/>
          <w:rFonts w:eastAsiaTheme="majorEastAsia"/>
        </w:rPr>
        <w:footnoteRef/>
      </w:r>
      <w:r>
        <w:t xml:space="preserve"> </w:t>
      </w:r>
      <w:r w:rsidRPr="00D96366">
        <w:t>Hardwick Hall Setting Study National Trust, 2016. Atkins</w:t>
      </w:r>
    </w:p>
  </w:footnote>
  <w:footnote w:id="51">
    <w:p w14:paraId="40BBF49E" w14:textId="4A84D04B" w:rsidR="006A5605" w:rsidRDefault="006A5605" w:rsidP="006A5605">
      <w:pPr>
        <w:pStyle w:val="FootnoteText"/>
      </w:pPr>
      <w:r>
        <w:rPr>
          <w:rStyle w:val="FootnoteReference"/>
          <w:rFonts w:eastAsiaTheme="majorEastAsia"/>
        </w:rPr>
        <w:footnoteRef/>
      </w:r>
      <w:r>
        <w:t xml:space="preserve"> </w:t>
      </w:r>
      <w:r w:rsidRPr="00D96366">
        <w:t xml:space="preserve">NPPF </w:t>
      </w:r>
      <w:r w:rsidR="00B33498">
        <w:t xml:space="preserve">Sept </w:t>
      </w:r>
      <w:r w:rsidRPr="00D96366">
        <w:t>20</w:t>
      </w:r>
      <w:r w:rsidR="004173E0">
        <w:t>23</w:t>
      </w:r>
      <w:r>
        <w:t>,</w:t>
      </w:r>
      <w:r w:rsidRPr="00D96366">
        <w:t xml:space="preserve"> paragraph 189</w:t>
      </w:r>
    </w:p>
  </w:footnote>
  <w:footnote w:id="52">
    <w:p w14:paraId="6A05897E" w14:textId="6584C89C" w:rsidR="00054236" w:rsidRDefault="00054236">
      <w:pPr>
        <w:pStyle w:val="FootnoteText"/>
      </w:pPr>
      <w:r>
        <w:rPr>
          <w:rStyle w:val="FootnoteReference"/>
        </w:rPr>
        <w:footnoteRef/>
      </w:r>
      <w:r>
        <w:t xml:space="preserve"> </w:t>
      </w:r>
      <w:r w:rsidRPr="00D9460E">
        <w:t>Under the agent of change principle, if new development or uses are to be introduced near a pre-existing business, such as a live music venue, it is the responsibility of the developer to ensure solutions to address and mitigate noise are put forward as part of proposals.  (NPPF</w:t>
      </w:r>
      <w:r>
        <w:t xml:space="preserve"> 20</w:t>
      </w:r>
      <w:r w:rsidR="004173E0">
        <w:t>23</w:t>
      </w:r>
      <w:r>
        <w:t>,</w:t>
      </w:r>
      <w:r w:rsidRPr="00D9460E">
        <w:t xml:space="preserve"> paragraph 18</w:t>
      </w:r>
      <w:r>
        <w:t>7</w:t>
      </w:r>
      <w:r w:rsidRPr="00D9460E">
        <w:t>)</w:t>
      </w:r>
    </w:p>
  </w:footnote>
  <w:footnote w:id="53">
    <w:p w14:paraId="5AC640E5" w14:textId="221F4C33" w:rsidR="0042513D" w:rsidRDefault="0042513D">
      <w:pPr>
        <w:pStyle w:val="FootnoteText"/>
      </w:pPr>
      <w:r>
        <w:rPr>
          <w:rStyle w:val="FootnoteReference"/>
        </w:rPr>
        <w:footnoteRef/>
      </w:r>
      <w:r>
        <w:t xml:space="preserve"> </w:t>
      </w:r>
      <w:hyperlink r:id="rId34" w:history="1">
        <w:r>
          <w:rPr>
            <w:rStyle w:val="cf11"/>
            <w:color w:val="0000FF"/>
            <w:u w:val="single"/>
          </w:rPr>
          <w:t>https://www.gov.uk/government/publications/national-model-design-code</w:t>
        </w:r>
      </w:hyperlink>
    </w:p>
  </w:footnote>
  <w:footnote w:id="54">
    <w:p w14:paraId="7D4E7546" w14:textId="692AD937" w:rsidR="00F753D6" w:rsidRDefault="00F753D6" w:rsidP="00B65753">
      <w:pPr>
        <w:pStyle w:val="pf0"/>
        <w:spacing w:before="0" w:beforeAutospacing="0" w:after="0" w:afterAutospacing="0"/>
      </w:pPr>
      <w:r>
        <w:rPr>
          <w:rStyle w:val="FootnoteReference"/>
        </w:rPr>
        <w:footnoteRef/>
      </w:r>
      <w:r>
        <w:t xml:space="preserve"> </w:t>
      </w:r>
      <w:hyperlink r:id="rId35" w:history="1">
        <w:r w:rsidR="00667465">
          <w:rPr>
            <w:rStyle w:val="cf01"/>
            <w:color w:val="0000FF"/>
            <w:u w:val="single"/>
          </w:rPr>
          <w:t>Building for a Healthy Life - A Design Toolkit for neighbourhoods, streets, homes and public spaces, June 2020. Homes England</w:t>
        </w:r>
      </w:hyperlink>
    </w:p>
  </w:footnote>
  <w:footnote w:id="55">
    <w:p w14:paraId="17465106" w14:textId="63B4CDE7" w:rsidR="00054236" w:rsidRDefault="00054236" w:rsidP="00B65753">
      <w:pPr>
        <w:pStyle w:val="FootnoteText"/>
      </w:pPr>
      <w:r>
        <w:rPr>
          <w:rStyle w:val="FootnoteReference"/>
        </w:rPr>
        <w:footnoteRef/>
      </w:r>
      <w:r>
        <w:t xml:space="preserve"> </w:t>
      </w:r>
      <w:r w:rsidRPr="00FE6ABD">
        <w:t>Impacts of Neighbourhood Planning in England, Final Report to the Ministry of Housing, Communities and Local Government, May 2020.  University of Reading.</w:t>
      </w:r>
    </w:p>
  </w:footnote>
  <w:footnote w:id="56">
    <w:p w14:paraId="2496E748" w14:textId="77777777" w:rsidR="00054236" w:rsidRDefault="00054236" w:rsidP="00BD197D">
      <w:pPr>
        <w:pStyle w:val="FootnoteText"/>
      </w:pPr>
      <w:r>
        <w:rPr>
          <w:rStyle w:val="FootnoteReference"/>
        </w:rPr>
        <w:footnoteRef/>
      </w:r>
      <w:r>
        <w:t xml:space="preserve"> Nottingham Core HMA and Nottingham Outer HMA Employment Land Needs Study, 2021.  Lichfield</w:t>
      </w:r>
    </w:p>
  </w:footnote>
  <w:footnote w:id="57">
    <w:p w14:paraId="411AC155" w14:textId="29573DF2" w:rsidR="006456CA" w:rsidRDefault="006456CA">
      <w:pPr>
        <w:pStyle w:val="FootnoteText"/>
      </w:pPr>
      <w:r>
        <w:rPr>
          <w:rStyle w:val="FootnoteReference"/>
        </w:rPr>
        <w:footnoteRef/>
      </w:r>
      <w:r>
        <w:t xml:space="preserve"> </w:t>
      </w:r>
      <w:r w:rsidRPr="006456CA">
        <w:t>Nottinghamshire Core &amp; Outer HMA Logistics Study Final Report 2022</w:t>
      </w:r>
      <w:r>
        <w:t>. Iceni.</w:t>
      </w:r>
    </w:p>
  </w:footnote>
  <w:footnote w:id="58">
    <w:p w14:paraId="6FF92A34" w14:textId="77777777" w:rsidR="00054236" w:rsidRDefault="00054236" w:rsidP="00BD197D">
      <w:pPr>
        <w:pStyle w:val="FootnoteText"/>
      </w:pPr>
      <w:r>
        <w:rPr>
          <w:rStyle w:val="FootnoteReference"/>
        </w:rPr>
        <w:footnoteRef/>
      </w:r>
      <w:r>
        <w:t xml:space="preserve"> Planning Practice Guidance: </w:t>
      </w:r>
      <w:r w:rsidRPr="00013CD0">
        <w:t>Housing and economic needs assessment.</w:t>
      </w:r>
      <w:r>
        <w:t xml:space="preserve"> </w:t>
      </w:r>
      <w:r w:rsidRPr="00013CD0">
        <w:t>Paragraph:031 Reference ID: 2a-031-20190722 and Paragraph:032 Reference ID: 2a-032-20190722</w:t>
      </w:r>
    </w:p>
  </w:footnote>
  <w:footnote w:id="59">
    <w:p w14:paraId="44D50826" w14:textId="43A1B8D9" w:rsidR="00054236" w:rsidRDefault="00054236" w:rsidP="00BD197D">
      <w:pPr>
        <w:pStyle w:val="FootnoteText"/>
      </w:pPr>
      <w:r>
        <w:rPr>
          <w:rStyle w:val="FootnoteReference"/>
        </w:rPr>
        <w:footnoteRef/>
      </w:r>
      <w:r>
        <w:t xml:space="preserve"> </w:t>
      </w:r>
      <w:r w:rsidRPr="001363ED">
        <w:t xml:space="preserve">Background Paper </w:t>
      </w:r>
      <w:r>
        <w:t>No 3:</w:t>
      </w:r>
      <w:r w:rsidRPr="001363ED">
        <w:t xml:space="preserve"> </w:t>
      </w:r>
      <w:r>
        <w:t xml:space="preserve">Economy &amp; </w:t>
      </w:r>
      <w:r w:rsidRPr="001363ED">
        <w:t>Employment Land 202</w:t>
      </w:r>
      <w:r w:rsidR="000A5EE8">
        <w:t>3</w:t>
      </w:r>
      <w:r w:rsidRPr="001363ED">
        <w:t>.  Ashfield District Council.</w:t>
      </w:r>
    </w:p>
  </w:footnote>
  <w:footnote w:id="60">
    <w:p w14:paraId="4ABFA826" w14:textId="4C6461CE" w:rsidR="00054236" w:rsidRDefault="00054236">
      <w:pPr>
        <w:pStyle w:val="FootnoteText"/>
      </w:pPr>
      <w:r>
        <w:rPr>
          <w:rStyle w:val="FootnoteReference"/>
        </w:rPr>
        <w:footnoteRef/>
      </w:r>
      <w:r>
        <w:t xml:space="preserve"> The Local Housing Need is assessed using a standard approach based on published data. These include household projections and affordability ratios which vary on an annual basis. See </w:t>
      </w:r>
      <w:hyperlink r:id="rId36" w:history="1">
        <w:r w:rsidRPr="00323269">
          <w:rPr>
            <w:rStyle w:val="Hyperlink"/>
          </w:rPr>
          <w:t>https://www.gov.uk/guidance/housing-and-economic-development-needs-assessments</w:t>
        </w:r>
      </w:hyperlink>
      <w:r>
        <w:t xml:space="preserve"> </w:t>
      </w:r>
      <w:r w:rsidRPr="00910910">
        <w:t>for more information.</w:t>
      </w:r>
    </w:p>
  </w:footnote>
  <w:footnote w:id="61">
    <w:p w14:paraId="563EB58F" w14:textId="3E547CB1" w:rsidR="00054236" w:rsidRDefault="00054236">
      <w:pPr>
        <w:pStyle w:val="FootnoteText"/>
      </w:pPr>
      <w:r>
        <w:rPr>
          <w:rStyle w:val="FootnoteReference"/>
        </w:rPr>
        <w:footnoteRef/>
      </w:r>
      <w:r>
        <w:t xml:space="preserve"> </w:t>
      </w:r>
      <w:hyperlink r:id="rId37" w:history="1">
        <w:r w:rsidRPr="0093232D">
          <w:rPr>
            <w:rStyle w:val="Hyperlink"/>
          </w:rPr>
          <w:t>https://www.ashfield.gov.uk/planning-building-control/local-plan/monitoring/</w:t>
        </w:r>
      </w:hyperlink>
    </w:p>
    <w:p w14:paraId="65523E1A" w14:textId="77777777" w:rsidR="00054236" w:rsidRDefault="00054236">
      <w:pPr>
        <w:pStyle w:val="FootnoteText"/>
      </w:pPr>
    </w:p>
  </w:footnote>
  <w:footnote w:id="62">
    <w:p w14:paraId="6999651A" w14:textId="22E96927" w:rsidR="00054236" w:rsidRDefault="00054236">
      <w:pPr>
        <w:pStyle w:val="FootnoteText"/>
      </w:pPr>
      <w:r>
        <w:rPr>
          <w:rStyle w:val="FootnoteReference"/>
        </w:rPr>
        <w:footnoteRef/>
      </w:r>
      <w:r>
        <w:t xml:space="preserve"> </w:t>
      </w:r>
      <w:hyperlink r:id="rId38" w:history="1">
        <w:r w:rsidRPr="0093232D">
          <w:rPr>
            <w:rStyle w:val="Hyperlink"/>
          </w:rPr>
          <w:t>https://www.ashfield.gov.uk/media/8d890976f713e6c/2020-11-10-greater-nottingham-and-ashfield_housing-needs-assessment_final.pdf</w:t>
        </w:r>
      </w:hyperlink>
    </w:p>
    <w:p w14:paraId="2485C399" w14:textId="77777777" w:rsidR="00054236" w:rsidRDefault="00054236">
      <w:pPr>
        <w:pStyle w:val="FootnoteText"/>
      </w:pPr>
    </w:p>
  </w:footnote>
  <w:footnote w:id="63">
    <w:p w14:paraId="26A3F0D4" w14:textId="7765BC39" w:rsidR="00054236" w:rsidRDefault="00054236" w:rsidP="00743A52">
      <w:pPr>
        <w:pStyle w:val="FootnoteText"/>
      </w:pPr>
      <w:r>
        <w:rPr>
          <w:rStyle w:val="FootnoteReference"/>
        </w:rPr>
        <w:footnoteRef/>
      </w:r>
      <w:r>
        <w:t xml:space="preserve"> </w:t>
      </w:r>
      <w:hyperlink r:id="rId39" w:history="1">
        <w:r w:rsidRPr="00ED69D1">
          <w:rPr>
            <w:rStyle w:val="Hyperlink"/>
          </w:rPr>
          <w:t>https://www.ashfield.gov.uk/planning-building-control/building-control-regulations/self-build-custom-builds/self-build-custom-monitoring/</w:t>
        </w:r>
      </w:hyperlink>
    </w:p>
  </w:footnote>
  <w:footnote w:id="64">
    <w:p w14:paraId="21BC065C" w14:textId="1A202683" w:rsidR="00054236" w:rsidRPr="000032B0" w:rsidRDefault="00054236" w:rsidP="009F33D5">
      <w:pPr>
        <w:pStyle w:val="FootnoteText"/>
        <w:rPr>
          <w:color w:val="auto"/>
        </w:rPr>
      </w:pPr>
      <w:r>
        <w:rPr>
          <w:rStyle w:val="FootnoteReference"/>
        </w:rPr>
        <w:footnoteRef/>
      </w:r>
      <w:r>
        <w:t xml:space="preserve"> </w:t>
      </w:r>
      <w:r w:rsidRPr="000032B0">
        <w:rPr>
          <w:color w:val="auto"/>
        </w:rPr>
        <w:t>DCLG Planning Policy for Traveller Sites</w:t>
      </w:r>
      <w:r w:rsidR="002430A6">
        <w:rPr>
          <w:color w:val="auto"/>
        </w:rPr>
        <w:t xml:space="preserve">, </w:t>
      </w:r>
      <w:r w:rsidRPr="000032B0">
        <w:rPr>
          <w:color w:val="auto"/>
        </w:rPr>
        <w:t>August 2015</w:t>
      </w:r>
      <w:r w:rsidR="002430A6">
        <w:rPr>
          <w:color w:val="auto"/>
        </w:rPr>
        <w:t>.</w:t>
      </w:r>
      <w:r w:rsidRPr="000032B0">
        <w:rPr>
          <w:color w:val="auto"/>
        </w:rPr>
        <w:t xml:space="preserve"> </w:t>
      </w:r>
      <w:hyperlink r:id="rId40" w:history="1">
        <w:r w:rsidRPr="000032B0">
          <w:rPr>
            <w:rStyle w:val="Hyperlink"/>
            <w:color w:val="auto"/>
          </w:rPr>
          <w:t>https://www.gov.uk/government/uploads/system/uploads/attachment_data/file/457420/Final_planning_and_travellers_policy.pdf</w:t>
        </w:r>
      </w:hyperlink>
      <w:r w:rsidRPr="000032B0">
        <w:rPr>
          <w:color w:val="auto"/>
        </w:rPr>
        <w:t xml:space="preserve"> </w:t>
      </w:r>
    </w:p>
  </w:footnote>
  <w:footnote w:id="65">
    <w:p w14:paraId="17E50A14" w14:textId="14DF4D90" w:rsidR="00054236" w:rsidRDefault="00054236" w:rsidP="00E927BB">
      <w:pPr>
        <w:pStyle w:val="FootnoteText"/>
      </w:pPr>
      <w:r w:rsidRPr="000032B0">
        <w:rPr>
          <w:rStyle w:val="FootnoteReference"/>
          <w:color w:val="auto"/>
        </w:rPr>
        <w:footnoteRef/>
      </w:r>
      <w:r w:rsidRPr="000032B0">
        <w:rPr>
          <w:color w:val="auto"/>
        </w:rPr>
        <w:t xml:space="preserve"> </w:t>
      </w:r>
      <w:hyperlink r:id="rId41" w:history="1">
        <w:r w:rsidR="00207686" w:rsidRPr="000032B0">
          <w:rPr>
            <w:rStyle w:val="Hyperlink"/>
            <w:color w:val="auto"/>
          </w:rPr>
          <w:t>https://www.ashfield.gov.uk/planning-building-control/local-plan/emerging-local-plan/local-plan-evidence-base/</w:t>
        </w:r>
      </w:hyperlink>
    </w:p>
  </w:footnote>
  <w:footnote w:id="66">
    <w:p w14:paraId="1B608B44" w14:textId="5F541CDF" w:rsidR="00054236" w:rsidRDefault="00054236" w:rsidP="00B37017">
      <w:pPr>
        <w:pStyle w:val="FootnoteText"/>
      </w:pPr>
      <w:r>
        <w:rPr>
          <w:rStyle w:val="FootnoteReference"/>
        </w:rPr>
        <w:footnoteRef/>
      </w:r>
      <w:r>
        <w:t xml:space="preserve"> D2N2 – the Spark in the UK’s Growth Engine Strategic Economic Plan - 2019-2030’</w:t>
      </w:r>
    </w:p>
  </w:footnote>
  <w:footnote w:id="67">
    <w:p w14:paraId="1F12B3D7" w14:textId="5FE1C806" w:rsidR="00054236" w:rsidRDefault="00054236">
      <w:pPr>
        <w:pStyle w:val="FootnoteText"/>
      </w:pPr>
      <w:r>
        <w:rPr>
          <w:rStyle w:val="FootnoteReference"/>
        </w:rPr>
        <w:footnoteRef/>
      </w:r>
      <w:r>
        <w:t xml:space="preserve"> </w:t>
      </w:r>
      <w:r w:rsidRPr="00007D90">
        <w:t>Nottingham Core &amp; Nottingham Outer Employment Land Needs Study, May 2021. Lichfield.</w:t>
      </w:r>
      <w:r>
        <w:t xml:space="preserve">  Section 4.</w:t>
      </w:r>
    </w:p>
  </w:footnote>
  <w:footnote w:id="68">
    <w:p w14:paraId="16C7332E" w14:textId="25035DB7" w:rsidR="00054236" w:rsidRPr="00175900" w:rsidRDefault="00054236" w:rsidP="00175900">
      <w:pPr>
        <w:pStyle w:val="Default"/>
        <w:rPr>
          <w:rFonts w:ascii="Arial" w:hAnsi="Arial" w:cs="Arial"/>
          <w:sz w:val="20"/>
          <w:szCs w:val="20"/>
        </w:rPr>
      </w:pPr>
      <w:r w:rsidRPr="00175900">
        <w:rPr>
          <w:rStyle w:val="FootnoteReference"/>
          <w:rFonts w:ascii="Arial" w:hAnsi="Arial" w:cs="Arial"/>
          <w:sz w:val="20"/>
          <w:szCs w:val="20"/>
        </w:rPr>
        <w:footnoteRef/>
      </w:r>
      <w:r w:rsidRPr="00175900">
        <w:rPr>
          <w:rFonts w:ascii="Arial" w:hAnsi="Arial" w:cs="Arial"/>
          <w:sz w:val="20"/>
          <w:szCs w:val="20"/>
        </w:rPr>
        <w:t xml:space="preserve"> </w:t>
      </w:r>
      <w:bookmarkStart w:id="86" w:name="_Hlk77658762"/>
      <w:r w:rsidRPr="00175900">
        <w:rPr>
          <w:rFonts w:ascii="Arial" w:hAnsi="Arial" w:cs="Arial"/>
          <w:sz w:val="20"/>
          <w:szCs w:val="20"/>
        </w:rPr>
        <w:t xml:space="preserve">Nottingham Core &amp; Nottingham Outer Employment Land Needs Study, May 2021. Lichfield. </w:t>
      </w:r>
      <w:bookmarkEnd w:id="86"/>
      <w:r w:rsidRPr="00175900">
        <w:rPr>
          <w:rFonts w:ascii="Arial" w:hAnsi="Arial" w:cs="Arial"/>
          <w:sz w:val="20"/>
          <w:szCs w:val="20"/>
        </w:rPr>
        <w:t xml:space="preserve">Paragraph 3.82 &amp; Figure </w:t>
      </w:r>
      <w:r w:rsidRPr="00175900">
        <w:rPr>
          <w:rFonts w:ascii="Arial" w:hAnsi="Arial" w:cs="Arial"/>
          <w:color w:val="auto"/>
          <w:sz w:val="20"/>
          <w:szCs w:val="20"/>
        </w:rPr>
        <w:t>3.27 Rank of Indices of Multiple Deprivation in the Nottingham Core - Outer HMA</w:t>
      </w:r>
      <w:r w:rsidRPr="00175900">
        <w:rPr>
          <w:rFonts w:ascii="Arial" w:hAnsi="Arial" w:cs="Arial"/>
          <w:sz w:val="20"/>
          <w:szCs w:val="20"/>
        </w:rPr>
        <w:t>.</w:t>
      </w:r>
    </w:p>
  </w:footnote>
  <w:footnote w:id="69">
    <w:p w14:paraId="04AABABB" w14:textId="28B05CB4" w:rsidR="0069385A" w:rsidRDefault="0069385A">
      <w:pPr>
        <w:pStyle w:val="FootnoteText"/>
      </w:pPr>
      <w:r>
        <w:rPr>
          <w:rStyle w:val="FootnoteReference"/>
        </w:rPr>
        <w:footnoteRef/>
      </w:r>
      <w:r>
        <w:t xml:space="preserve"> </w:t>
      </w:r>
      <w:hyperlink r:id="rId42" w:history="1">
        <w:r w:rsidRPr="00E26734">
          <w:rPr>
            <w:rStyle w:val="Hyperlink"/>
          </w:rPr>
          <w:t>http://discoverashfield.co.uk/</w:t>
        </w:r>
      </w:hyperlink>
    </w:p>
  </w:footnote>
  <w:footnote w:id="70">
    <w:p w14:paraId="19F89BBB" w14:textId="61EED844" w:rsidR="00054236" w:rsidRDefault="00054236">
      <w:pPr>
        <w:pStyle w:val="FootnoteText"/>
      </w:pPr>
      <w:r>
        <w:rPr>
          <w:rStyle w:val="FootnoteReference"/>
        </w:rPr>
        <w:footnoteRef/>
      </w:r>
      <w:r>
        <w:t xml:space="preserve"> </w:t>
      </w:r>
      <w:hyperlink r:id="rId43" w:history="1">
        <w:r w:rsidRPr="00E25BEF">
          <w:rPr>
            <w:rStyle w:val="Hyperlink"/>
          </w:rPr>
          <w:t>https://www.gedling.gov.uk/acs/</w:t>
        </w:r>
      </w:hyperlink>
    </w:p>
  </w:footnote>
  <w:footnote w:id="71">
    <w:p w14:paraId="1E39173C" w14:textId="70FD1B60" w:rsidR="00054236" w:rsidRDefault="00054236" w:rsidP="00F26A22">
      <w:pPr>
        <w:pStyle w:val="CommentText"/>
      </w:pPr>
      <w:r>
        <w:rPr>
          <w:rStyle w:val="FootnoteReference"/>
        </w:rPr>
        <w:footnoteRef/>
      </w:r>
      <w:r>
        <w:t xml:space="preserve"> </w:t>
      </w:r>
      <w:hyperlink r:id="rId44" w:history="1">
        <w:r w:rsidRPr="00E25BEF">
          <w:rPr>
            <w:rStyle w:val="Hyperlink"/>
          </w:rPr>
          <w:t>https://www.ashfield.gov.uk/business-licensing/support-into-work/towns-fund/</w:t>
        </w:r>
      </w:hyperlink>
    </w:p>
  </w:footnote>
  <w:footnote w:id="72">
    <w:p w14:paraId="437FBBAE" w14:textId="131E7EDE" w:rsidR="00054236" w:rsidRPr="00C474FF" w:rsidRDefault="00054236" w:rsidP="008E6B40">
      <w:pPr>
        <w:spacing w:before="0"/>
        <w:outlineLvl w:val="0"/>
        <w:rPr>
          <w:rFonts w:cs="Arial"/>
          <w:strike/>
          <w:sz w:val="20"/>
        </w:rPr>
      </w:pPr>
      <w:r>
        <w:rPr>
          <w:rStyle w:val="FootnoteReference"/>
        </w:rPr>
        <w:footnoteRef/>
      </w:r>
      <w:r>
        <w:t xml:space="preserve"> </w:t>
      </w:r>
      <w:r w:rsidRPr="006E2655">
        <w:rPr>
          <w:rFonts w:cs="Arial"/>
          <w:kern w:val="36"/>
          <w:sz w:val="20"/>
        </w:rPr>
        <w:t xml:space="preserve">Planning Practice </w:t>
      </w:r>
      <w:r w:rsidRPr="00C474FF">
        <w:rPr>
          <w:rFonts w:cs="Arial"/>
          <w:kern w:val="36"/>
          <w:sz w:val="20"/>
        </w:rPr>
        <w:t>Guidance “Health</w:t>
      </w:r>
      <w:r w:rsidR="00DD4256" w:rsidRPr="00C474FF">
        <w:rPr>
          <w:rFonts w:cs="Arial"/>
          <w:kern w:val="36"/>
          <w:sz w:val="20"/>
        </w:rPr>
        <w:t>y and Safe Communities</w:t>
      </w:r>
      <w:r w:rsidRPr="00C474FF">
        <w:rPr>
          <w:rFonts w:cs="Arial"/>
          <w:kern w:val="36"/>
          <w:sz w:val="20"/>
        </w:rPr>
        <w:t xml:space="preserve">” </w:t>
      </w:r>
      <w:r w:rsidR="00DD4256" w:rsidRPr="00C474FF">
        <w:rPr>
          <w:rFonts w:cs="Arial"/>
          <w:kern w:val="36"/>
          <w:sz w:val="20"/>
        </w:rPr>
        <w:t xml:space="preserve">Paragraph: 001 Reference ID:53-001-20190722, Paragraph: 002 Reference ID:53-002-20190722 and </w:t>
      </w:r>
      <w:r w:rsidRPr="00C474FF">
        <w:rPr>
          <w:rFonts w:cs="Arial"/>
          <w:sz w:val="20"/>
        </w:rPr>
        <w:t>Paragraph:</w:t>
      </w:r>
      <w:r w:rsidR="00DD4256" w:rsidRPr="00C474FF">
        <w:t xml:space="preserve"> </w:t>
      </w:r>
      <w:r w:rsidR="00DD4256" w:rsidRPr="00C474FF">
        <w:rPr>
          <w:rFonts w:cs="Arial"/>
          <w:sz w:val="20"/>
        </w:rPr>
        <w:t>Paragraph: 005 Reference ID:53-005</w:t>
      </w:r>
    </w:p>
  </w:footnote>
  <w:footnote w:id="73">
    <w:p w14:paraId="164FD78F" w14:textId="01FC5185" w:rsidR="00054236" w:rsidRPr="00C474FF" w:rsidRDefault="00054236" w:rsidP="008E6B40">
      <w:pPr>
        <w:autoSpaceDE w:val="0"/>
        <w:autoSpaceDN w:val="0"/>
        <w:adjustRightInd w:val="0"/>
        <w:spacing w:before="0"/>
        <w:rPr>
          <w:rFonts w:cs="Arial"/>
          <w:sz w:val="20"/>
        </w:rPr>
      </w:pPr>
      <w:r w:rsidRPr="00C474FF">
        <w:rPr>
          <w:rStyle w:val="FootnoteReference"/>
          <w:rFonts w:cs="Arial"/>
          <w:sz w:val="20"/>
        </w:rPr>
        <w:footnoteRef/>
      </w:r>
      <w:r w:rsidRPr="00C474FF">
        <w:rPr>
          <w:rFonts w:cs="Arial"/>
          <w:sz w:val="20"/>
        </w:rPr>
        <w:t xml:space="preserve"> </w:t>
      </w:r>
      <w:r w:rsidR="00DD4256" w:rsidRPr="00C474FF">
        <w:rPr>
          <w:rFonts w:cs="Arial"/>
          <w:sz w:val="20"/>
        </w:rPr>
        <w:t xml:space="preserve">NHS Nottingham and Nottinghamshire Integrated Care Board. </w:t>
      </w:r>
    </w:p>
  </w:footnote>
  <w:footnote w:id="74">
    <w:p w14:paraId="66301AA4" w14:textId="4F1F5C43" w:rsidR="00054236" w:rsidRPr="00C474FF" w:rsidRDefault="00054236" w:rsidP="003178B5">
      <w:pPr>
        <w:autoSpaceDE w:val="0"/>
        <w:autoSpaceDN w:val="0"/>
        <w:adjustRightInd w:val="0"/>
        <w:spacing w:before="0"/>
        <w:rPr>
          <w:rFonts w:cs="Arial"/>
          <w:sz w:val="20"/>
        </w:rPr>
      </w:pPr>
      <w:r w:rsidRPr="00C474FF">
        <w:rPr>
          <w:rStyle w:val="FootnoteReference"/>
          <w:rFonts w:cs="Arial"/>
          <w:sz w:val="20"/>
        </w:rPr>
        <w:footnoteRef/>
      </w:r>
      <w:r w:rsidRPr="00C474FF">
        <w:rPr>
          <w:rFonts w:cs="Arial"/>
          <w:sz w:val="20"/>
        </w:rPr>
        <w:t xml:space="preserve"> Nottinghamshire Health and Wellbeing Board Joint Health and Wellbeing Strategy </w:t>
      </w:r>
      <w:r w:rsidR="00DD4256" w:rsidRPr="00C474FF">
        <w:rPr>
          <w:rFonts w:cs="Arial"/>
          <w:sz w:val="20"/>
        </w:rPr>
        <w:t xml:space="preserve">2022 -2026, </w:t>
      </w:r>
      <w:r w:rsidRPr="00C474FF">
        <w:rPr>
          <w:rFonts w:cs="Arial"/>
          <w:sz w:val="20"/>
        </w:rPr>
        <w:t>- Nottinghamshire County Council/ Nottinghamshire Health &amp; Wellbeing Board.</w:t>
      </w:r>
    </w:p>
  </w:footnote>
  <w:footnote w:id="75">
    <w:p w14:paraId="7F1E027E" w14:textId="05F5B715" w:rsidR="00054236" w:rsidRDefault="00054236" w:rsidP="001B3418">
      <w:pPr>
        <w:keepNext w:val="0"/>
        <w:spacing w:before="0"/>
        <w:contextualSpacing/>
        <w:jc w:val="both"/>
      </w:pPr>
      <w:r>
        <w:rPr>
          <w:rStyle w:val="FootnoteReference"/>
        </w:rPr>
        <w:footnoteRef/>
      </w:r>
      <w:r>
        <w:t xml:space="preserve"> </w:t>
      </w:r>
      <w:r w:rsidRPr="00302DDD">
        <w:rPr>
          <w:sz w:val="20"/>
        </w:rPr>
        <w:t>Ashfield Biodiversity Opportunity Mapping Project</w:t>
      </w:r>
      <w:r>
        <w:rPr>
          <w:sz w:val="20"/>
        </w:rPr>
        <w:t xml:space="preserve"> 2016.</w:t>
      </w:r>
      <w:r>
        <w:t xml:space="preserve"> </w:t>
      </w:r>
      <w:r w:rsidRPr="00171477">
        <w:rPr>
          <w:sz w:val="20"/>
        </w:rPr>
        <w:t>Nott</w:t>
      </w:r>
      <w:r>
        <w:rPr>
          <w:sz w:val="20"/>
        </w:rPr>
        <w:t>inghamshire Biodiversity Action Group</w:t>
      </w:r>
    </w:p>
  </w:footnote>
  <w:footnote w:id="76">
    <w:p w14:paraId="6AAB772F" w14:textId="3E8D5B97" w:rsidR="00054236" w:rsidRPr="009C7922" w:rsidRDefault="00054236" w:rsidP="00386A0E">
      <w:pPr>
        <w:pStyle w:val="FootnoteText"/>
      </w:pPr>
      <w:r w:rsidRPr="009C7922">
        <w:rPr>
          <w:rStyle w:val="FootnoteReference"/>
        </w:rPr>
        <w:footnoteRef/>
      </w:r>
      <w:r w:rsidRPr="009C7922">
        <w:t xml:space="preserve"> Local Biodiversity Action Plan for Nottinghamshire &amp; Updates.</w:t>
      </w:r>
      <w:r>
        <w:t xml:space="preserve"> </w:t>
      </w:r>
      <w:r w:rsidRPr="009C7922">
        <w:t>Nottinghamshire Biodiversity Action Group</w:t>
      </w:r>
    </w:p>
  </w:footnote>
  <w:footnote w:id="77">
    <w:p w14:paraId="1985EAB5" w14:textId="77777777" w:rsidR="00054236" w:rsidRPr="00EB4ACE" w:rsidRDefault="00054236" w:rsidP="00386A0E">
      <w:pPr>
        <w:pStyle w:val="FootnoteText"/>
        <w:ind w:left="426" w:hanging="426"/>
      </w:pPr>
      <w:r w:rsidRPr="00EB4ACE">
        <w:rPr>
          <w:rStyle w:val="FootnoteReference"/>
        </w:rPr>
        <w:footnoteRef/>
      </w:r>
      <w:r w:rsidRPr="00EB4ACE">
        <w:t xml:space="preserve">  •</w:t>
      </w:r>
      <w:r w:rsidRPr="00EB4ACE">
        <w:tab/>
        <w:t>Conservation Principles Policies and Guidance for the Sustainable Management of the</w:t>
      </w:r>
      <w:r>
        <w:t xml:space="preserve"> Historic Environment, Historic England</w:t>
      </w:r>
      <w:r w:rsidRPr="00EB4ACE">
        <w:t>, 2008</w:t>
      </w:r>
    </w:p>
    <w:p w14:paraId="4189D036" w14:textId="77777777" w:rsidR="00054236" w:rsidRPr="00653D1A" w:rsidRDefault="00054236" w:rsidP="00386A0E">
      <w:pPr>
        <w:pStyle w:val="FootnoteText"/>
        <w:ind w:left="426" w:hanging="426"/>
        <w:rPr>
          <w:color w:val="C00000"/>
        </w:rPr>
      </w:pPr>
      <w:r w:rsidRPr="00EB4ACE">
        <w:t xml:space="preserve">     •</w:t>
      </w:r>
      <w:r w:rsidRPr="00EB4ACE">
        <w:tab/>
        <w:t>Understanding Place Historic Area Assessments: Principles and Practice, H</w:t>
      </w:r>
      <w:r>
        <w:t>istoric England</w:t>
      </w:r>
      <w:r w:rsidRPr="00EB4ACE">
        <w:t>, 2010</w:t>
      </w:r>
    </w:p>
  </w:footnote>
  <w:footnote w:id="78">
    <w:p w14:paraId="3D90399A" w14:textId="77777777" w:rsidR="00054236" w:rsidRDefault="00054236" w:rsidP="00557459">
      <w:pPr>
        <w:pStyle w:val="FootnoteText"/>
      </w:pPr>
      <w:r>
        <w:rPr>
          <w:rStyle w:val="FootnoteReference"/>
        </w:rPr>
        <w:footnoteRef/>
      </w:r>
      <w:r>
        <w:t xml:space="preserve">    Criteria for Local Heritage Asset Designation, Ashfield District Council, Adopted 2013, Revised 2018.</w:t>
      </w:r>
    </w:p>
  </w:footnote>
  <w:footnote w:id="79">
    <w:p w14:paraId="062EFCB9" w14:textId="77777777" w:rsidR="00054236" w:rsidRPr="00CA6951" w:rsidRDefault="00054236" w:rsidP="00DE2722">
      <w:pPr>
        <w:rPr>
          <w:sz w:val="20"/>
        </w:rPr>
      </w:pPr>
      <w:r w:rsidRPr="00CA6951">
        <w:rPr>
          <w:rStyle w:val="FootnoteReference"/>
          <w:sz w:val="20"/>
        </w:rPr>
        <w:footnoteRef/>
      </w:r>
      <w:r w:rsidRPr="00CA6951">
        <w:rPr>
          <w:sz w:val="20"/>
        </w:rPr>
        <w:t xml:space="preserve"> </w:t>
      </w:r>
      <w:r w:rsidRPr="00CA6951">
        <w:rPr>
          <w:rFonts w:eastAsia="Arial"/>
          <w:sz w:val="20"/>
        </w:rPr>
        <w:t>Land Use Consultants, Centre for Sustainable Energy and SQW (2011) Low Carbon Energy Opportunities and Heat Mapping for Local Planning Areas Across the East Midlands: Final Report. Prepared for East Midlands Councils.</w:t>
      </w:r>
    </w:p>
  </w:footnote>
  <w:footnote w:id="80">
    <w:p w14:paraId="53A20498" w14:textId="77777777" w:rsidR="00054236" w:rsidRPr="006647EE" w:rsidRDefault="00054236" w:rsidP="00DE2722">
      <w:pPr>
        <w:pStyle w:val="FootnoteText"/>
        <w:rPr>
          <w:rFonts w:cs="Arial"/>
        </w:rPr>
      </w:pPr>
      <w:r w:rsidRPr="006647EE">
        <w:rPr>
          <w:rStyle w:val="FootnoteReference"/>
          <w:rFonts w:cs="Arial"/>
        </w:rPr>
        <w:footnoteRef/>
      </w:r>
      <w:r w:rsidRPr="006647EE">
        <w:rPr>
          <w:rFonts w:cs="Arial"/>
        </w:rPr>
        <w:t xml:space="preserve"> A Green Future: Our 25 Year Plan to Improve the Environment, 2018.   HM Government</w:t>
      </w:r>
      <w:r>
        <w:rPr>
          <w:rFonts w:cs="Arial"/>
        </w:rPr>
        <w:t>.</w:t>
      </w:r>
    </w:p>
  </w:footnote>
  <w:footnote w:id="81">
    <w:p w14:paraId="60AAD629" w14:textId="1A1C55A1" w:rsidR="002B4FE0" w:rsidRDefault="002B4FE0">
      <w:pPr>
        <w:pStyle w:val="FootnoteText"/>
      </w:pPr>
      <w:r>
        <w:rPr>
          <w:rStyle w:val="FootnoteReference"/>
        </w:rPr>
        <w:footnoteRef/>
      </w:r>
      <w:r>
        <w:t xml:space="preserve"> </w:t>
      </w:r>
      <w:hyperlink r:id="rId45" w:history="1">
        <w:r w:rsidRPr="0051756D">
          <w:rPr>
            <w:rStyle w:val="Hyperlink"/>
          </w:rPr>
          <w:t>https://www.gov.uk/government/publications/water-stressed-areas-2021-classification</w:t>
        </w:r>
      </w:hyperlink>
    </w:p>
  </w:footnote>
  <w:footnote w:id="82">
    <w:p w14:paraId="09972EB0" w14:textId="4C0DB0FE" w:rsidR="00054236" w:rsidRPr="00CA6951" w:rsidRDefault="00054236" w:rsidP="00DE2722">
      <w:pPr>
        <w:rPr>
          <w:sz w:val="20"/>
        </w:rPr>
      </w:pPr>
      <w:r w:rsidRPr="00CA6951">
        <w:rPr>
          <w:rStyle w:val="FootnoteReference"/>
          <w:sz w:val="20"/>
        </w:rPr>
        <w:footnoteRef/>
      </w:r>
      <w:r w:rsidRPr="00CA6951">
        <w:rPr>
          <w:sz w:val="20"/>
        </w:rPr>
        <w:t xml:space="preserve"> </w:t>
      </w:r>
      <w:proofErr w:type="spellStart"/>
      <w:r w:rsidRPr="00CA6951">
        <w:rPr>
          <w:rFonts w:eastAsia="Arial"/>
          <w:sz w:val="20"/>
        </w:rPr>
        <w:t>Entec</w:t>
      </w:r>
      <w:proofErr w:type="spellEnd"/>
      <w:r w:rsidRPr="00CA6951">
        <w:rPr>
          <w:rFonts w:eastAsia="Arial"/>
          <w:sz w:val="20"/>
        </w:rPr>
        <w:t xml:space="preserve"> (2010) Greater Nottingham and Ashfield Outline Water Cycle Study</w:t>
      </w:r>
      <w:r w:rsidR="002B4FE0">
        <w:rPr>
          <w:rFonts w:eastAsia="Arial"/>
          <w:sz w:val="20"/>
        </w:rPr>
        <w:t>.</w:t>
      </w:r>
    </w:p>
  </w:footnote>
  <w:footnote w:id="83">
    <w:p w14:paraId="5FF2225E" w14:textId="04E4192D" w:rsidR="00054236" w:rsidRPr="00386E5B" w:rsidRDefault="00054236" w:rsidP="00877B1A">
      <w:pPr>
        <w:shd w:val="clear" w:color="auto" w:fill="FFFFFF"/>
        <w:autoSpaceDE w:val="0"/>
        <w:autoSpaceDN w:val="0"/>
        <w:adjustRightInd w:val="0"/>
        <w:rPr>
          <w:sz w:val="20"/>
        </w:rPr>
      </w:pPr>
      <w:r>
        <w:rPr>
          <w:rStyle w:val="FootnoteReference"/>
          <w:rFonts w:eastAsia="Arial"/>
        </w:rPr>
        <w:footnoteRef/>
      </w:r>
      <w:r>
        <w:rPr>
          <w:color w:val="0000FF"/>
          <w:sz w:val="20"/>
        </w:rPr>
        <w:t xml:space="preserve"> </w:t>
      </w:r>
      <w:r w:rsidRPr="00386E5B">
        <w:rPr>
          <w:sz w:val="20"/>
        </w:rPr>
        <w:t>In a</w:t>
      </w:r>
      <w:r>
        <w:rPr>
          <w:sz w:val="20"/>
        </w:rPr>
        <w:t xml:space="preserve">ccordance with national policy. </w:t>
      </w:r>
      <w:r w:rsidRPr="00386E5B">
        <w:rPr>
          <w:sz w:val="20"/>
        </w:rPr>
        <w:t xml:space="preserve">Currently, under the National Planning Policy Framework </w:t>
      </w:r>
      <w:r>
        <w:rPr>
          <w:sz w:val="20"/>
        </w:rPr>
        <w:t xml:space="preserve">2021 </w:t>
      </w:r>
      <w:r w:rsidRPr="00386E5B">
        <w:rPr>
          <w:sz w:val="20"/>
        </w:rPr>
        <w:t xml:space="preserve">in Flood Zone 1, </w:t>
      </w:r>
      <w:r w:rsidRPr="00386E5B">
        <w:rPr>
          <w:sz w:val="20"/>
        </w:rPr>
        <w:t>a FRA will only be required for sites over 1ha.</w:t>
      </w:r>
    </w:p>
    <w:p w14:paraId="671D5CCB" w14:textId="77777777" w:rsidR="00054236" w:rsidRPr="00C10F29" w:rsidRDefault="00054236" w:rsidP="00877B1A">
      <w:pPr>
        <w:pStyle w:val="Heading"/>
        <w:rPr>
          <w:rStyle w:val="Heading10"/>
          <w:color w:val="0000FF"/>
        </w:rPr>
      </w:pPr>
    </w:p>
    <w:p w14:paraId="6C7DC01E" w14:textId="77777777" w:rsidR="00054236" w:rsidRDefault="00054236" w:rsidP="00877B1A">
      <w:pPr>
        <w:pStyle w:val="FootnoteText"/>
      </w:pPr>
    </w:p>
  </w:footnote>
  <w:footnote w:id="84">
    <w:p w14:paraId="20C5BAAB" w14:textId="086D7879" w:rsidR="00054236" w:rsidRDefault="00054236">
      <w:pPr>
        <w:pStyle w:val="FootnoteText"/>
        <w:rPr>
          <w:color w:val="auto"/>
        </w:rPr>
      </w:pPr>
      <w:r>
        <w:rPr>
          <w:rStyle w:val="FootnoteReference"/>
        </w:rPr>
        <w:footnoteRef/>
      </w:r>
      <w:r>
        <w:t xml:space="preserve"> </w:t>
      </w:r>
      <w:r w:rsidRPr="003B0537">
        <w:rPr>
          <w:color w:val="auto"/>
        </w:rPr>
        <w:t>Residential Extensions Design Guide Supplement Planning Guidance, 2014. Ashfield District Council</w:t>
      </w:r>
    </w:p>
    <w:p w14:paraId="49C1ED9C" w14:textId="50FBB57D" w:rsidR="00054236" w:rsidRPr="003B0537" w:rsidRDefault="00054236">
      <w:pPr>
        <w:pStyle w:val="FootnoteText"/>
        <w:rPr>
          <w:color w:val="auto"/>
        </w:rPr>
      </w:pPr>
      <w:hyperlink r:id="rId46" w:history="1">
        <w:r w:rsidRPr="009F708F">
          <w:rPr>
            <w:rStyle w:val="Hyperlink"/>
          </w:rPr>
          <w:t>https://www.ashfield.gov.uk/planning-building-control/development-management-documents/</w:t>
        </w:r>
      </w:hyperlink>
    </w:p>
  </w:footnote>
  <w:footnote w:id="85">
    <w:p w14:paraId="7A885901" w14:textId="58DC60BD" w:rsidR="00F25E41" w:rsidRDefault="00F25E41">
      <w:pPr>
        <w:pStyle w:val="FootnoteText"/>
      </w:pPr>
      <w:r>
        <w:rPr>
          <w:rStyle w:val="FootnoteReference"/>
        </w:rPr>
        <w:footnoteRef/>
      </w:r>
      <w:r>
        <w:t xml:space="preserve"> </w:t>
      </w:r>
      <w:r w:rsidRPr="00F25E41">
        <w:t>https://www.ashfield.gov.uk/media/sxef2zw3/ashfield-district-council-developer-guide-to-biodiversity-and-nature-conservation-november-2022.docx</w:t>
      </w:r>
    </w:p>
  </w:footnote>
  <w:footnote w:id="86">
    <w:p w14:paraId="094DB506" w14:textId="76EB0F4B" w:rsidR="00C96B5E" w:rsidRDefault="00C96B5E">
      <w:pPr>
        <w:pStyle w:val="FootnoteText"/>
      </w:pPr>
      <w:r>
        <w:rPr>
          <w:rStyle w:val="FootnoteReference"/>
        </w:rPr>
        <w:footnoteRef/>
      </w:r>
      <w:r>
        <w:t xml:space="preserve"> As defined in BREEM</w:t>
      </w:r>
    </w:p>
  </w:footnote>
  <w:footnote w:id="87">
    <w:p w14:paraId="1208E2CE" w14:textId="63D9E0E0" w:rsidR="007556D5" w:rsidRDefault="007556D5">
      <w:pPr>
        <w:pStyle w:val="FootnoteText"/>
      </w:pPr>
      <w:r>
        <w:rPr>
          <w:rStyle w:val="FootnoteReference"/>
        </w:rPr>
        <w:footnoteRef/>
      </w:r>
      <w:r>
        <w:t xml:space="preserve"> </w:t>
      </w:r>
      <w:hyperlink r:id="rId47" w:history="1">
        <w:r w:rsidRPr="00796DE9">
          <w:rPr>
            <w:rStyle w:val="Hyperlink"/>
          </w:rPr>
          <w:t>https://www.ashfield.gov.uk/media/xmhna3qg/natural_england_s_advice_notes_on_the_sherwood_ppspa__2014.pdf</w:t>
        </w:r>
      </w:hyperlink>
    </w:p>
    <w:p w14:paraId="202CD4D0" w14:textId="77777777" w:rsidR="007556D5" w:rsidRDefault="007556D5">
      <w:pPr>
        <w:pStyle w:val="FootnoteText"/>
      </w:pPr>
    </w:p>
  </w:footnote>
  <w:footnote w:id="88">
    <w:p w14:paraId="572E10B5" w14:textId="1B3EE237" w:rsidR="000540B6" w:rsidRDefault="000540B6">
      <w:pPr>
        <w:pStyle w:val="FootnoteText"/>
      </w:pPr>
      <w:r>
        <w:rPr>
          <w:rStyle w:val="FootnoteReference"/>
        </w:rPr>
        <w:footnoteRef/>
      </w:r>
      <w:r w:rsidRPr="000540B6">
        <w:t>https://www.ashfield.gov.uk/media/xmhna3qg/natural_england_s_advice_notes_on_the_sherwood_ppspa__2014.pdf</w:t>
      </w:r>
    </w:p>
  </w:footnote>
  <w:footnote w:id="89">
    <w:p w14:paraId="06C7816E" w14:textId="5D6461E3" w:rsidR="0052141C" w:rsidRPr="004B4158" w:rsidRDefault="0052141C">
      <w:pPr>
        <w:pStyle w:val="FootnoteText"/>
        <w:rPr>
          <w:color w:val="auto"/>
        </w:rPr>
      </w:pPr>
      <w:r w:rsidRPr="004B4158">
        <w:rPr>
          <w:rStyle w:val="FootnoteReference"/>
          <w:color w:val="auto"/>
        </w:rPr>
        <w:footnoteRef/>
      </w:r>
      <w:r w:rsidRPr="004B4158">
        <w:rPr>
          <w:color w:val="auto"/>
        </w:rPr>
        <w:t xml:space="preserve"> https://www.gov.uk/guidance/housing-supply-and-delivery#counting-other-forms-of-accommodation</w:t>
      </w:r>
    </w:p>
  </w:footnote>
  <w:footnote w:id="90">
    <w:p w14:paraId="6E9D34BC" w14:textId="77777777" w:rsidR="00054236" w:rsidRDefault="00054236" w:rsidP="00036685">
      <w:pPr>
        <w:pStyle w:val="FootnoteText"/>
      </w:pPr>
      <w:r>
        <w:rPr>
          <w:rStyle w:val="FootnoteReference"/>
          <w:rFonts w:eastAsia="Arial"/>
        </w:rPr>
        <w:footnoteRef/>
      </w:r>
      <w:r>
        <w:t xml:space="preserve"> Add link to website when published</w:t>
      </w:r>
    </w:p>
  </w:footnote>
  <w:footnote w:id="91">
    <w:p w14:paraId="1FFD14FF" w14:textId="77777777" w:rsidR="00054236" w:rsidRDefault="00054236" w:rsidP="00036685">
      <w:pPr>
        <w:pStyle w:val="FootnoteText"/>
      </w:pPr>
      <w:r>
        <w:rPr>
          <w:rStyle w:val="FootnoteReference"/>
        </w:rPr>
        <w:footnoteRef/>
      </w:r>
      <w:hyperlink r:id="rId48" w:history="1">
        <w:r>
          <w:rPr>
            <w:rStyle w:val="Hyperlink"/>
          </w:rPr>
          <w:t>Planning Policy for Traveller Sites, 2015 - DCLG</w:t>
        </w:r>
      </w:hyperlink>
    </w:p>
    <w:p w14:paraId="4B1B487D" w14:textId="77777777" w:rsidR="00054236" w:rsidRDefault="00054236" w:rsidP="00036685">
      <w:pPr>
        <w:pStyle w:val="FootnoteText"/>
      </w:pPr>
    </w:p>
  </w:footnote>
  <w:footnote w:id="92">
    <w:p w14:paraId="62CA1DC8" w14:textId="77777777" w:rsidR="007966F9" w:rsidRPr="00C101EC" w:rsidRDefault="007966F9" w:rsidP="007966F9">
      <w:pPr>
        <w:pStyle w:val="FootnoteText"/>
        <w:rPr>
          <w:color w:val="auto"/>
        </w:rPr>
      </w:pPr>
      <w:r>
        <w:rPr>
          <w:rStyle w:val="FootnoteReference"/>
        </w:rPr>
        <w:footnoteRef/>
      </w:r>
      <w:r>
        <w:t xml:space="preserve"> </w:t>
      </w:r>
      <w:bookmarkStart w:id="235" w:name="_Hlk139528087"/>
      <w:r>
        <w:t xml:space="preserve">Affordable Housing Delivery Strategy 2019-21 </w:t>
      </w:r>
      <w:bookmarkEnd w:id="235"/>
      <w:r w:rsidRPr="00C101EC">
        <w:rPr>
          <w:color w:val="auto"/>
        </w:rPr>
        <w:t xml:space="preserve">Review </w:t>
      </w:r>
      <w:hyperlink r:id="rId49" w:history="1">
        <w:r w:rsidRPr="00C101EC">
          <w:rPr>
            <w:rStyle w:val="Hyperlink"/>
            <w:color w:val="auto"/>
          </w:rPr>
          <w:t>https://www.ashfield.gov.uk/your-council/strategies-plans-policies/housing-strategy-research/</w:t>
        </w:r>
      </w:hyperlink>
    </w:p>
  </w:footnote>
  <w:footnote w:id="93">
    <w:p w14:paraId="26E273E8" w14:textId="219F89DA" w:rsidR="00C101EC" w:rsidRPr="00C101EC" w:rsidRDefault="00054236" w:rsidP="00C101EC">
      <w:pPr>
        <w:pStyle w:val="FootnoteText"/>
        <w:rPr>
          <w:color w:val="auto"/>
        </w:rPr>
      </w:pPr>
      <w:r w:rsidRPr="00823DBE">
        <w:rPr>
          <w:rStyle w:val="FootnoteReference"/>
        </w:rPr>
        <w:footnoteRef/>
      </w:r>
      <w:r w:rsidRPr="00823DBE">
        <w:t xml:space="preserve"> </w:t>
      </w:r>
      <w:r w:rsidR="00C101EC" w:rsidRPr="00C101EC">
        <w:rPr>
          <w:rStyle w:val="Hyperlink"/>
          <w:color w:val="auto"/>
          <w:u w:val="none"/>
        </w:rPr>
        <w:t xml:space="preserve">Ashfield </w:t>
      </w:r>
      <w:r w:rsidR="00C101EC">
        <w:rPr>
          <w:rStyle w:val="Hyperlink"/>
          <w:color w:val="auto"/>
          <w:u w:val="none"/>
        </w:rPr>
        <w:t xml:space="preserve">District </w:t>
      </w:r>
      <w:r w:rsidR="00C101EC" w:rsidRPr="00C101EC">
        <w:rPr>
          <w:rStyle w:val="Hyperlink"/>
          <w:color w:val="auto"/>
          <w:u w:val="none"/>
        </w:rPr>
        <w:t>Whole Plan Viability Assessment, 2023</w:t>
      </w:r>
      <w:r w:rsidR="00C101EC">
        <w:rPr>
          <w:rStyle w:val="Hyperlink"/>
          <w:color w:val="auto"/>
          <w:u w:val="none"/>
        </w:rPr>
        <w:t xml:space="preserve">, </w:t>
      </w:r>
      <w:r w:rsidR="00C101EC" w:rsidRPr="009E34A6">
        <w:rPr>
          <w:rFonts w:eastAsia="Calibri"/>
          <w:color w:val="auto"/>
        </w:rPr>
        <w:t>Nationwide CIL Services</w:t>
      </w:r>
    </w:p>
    <w:p w14:paraId="23333DF3" w14:textId="58853FF4" w:rsidR="00054236" w:rsidRPr="00C101EC" w:rsidRDefault="00054236" w:rsidP="00550BB9">
      <w:pPr>
        <w:pStyle w:val="FootnoteText"/>
        <w:rPr>
          <w:color w:val="auto"/>
        </w:rPr>
      </w:pPr>
    </w:p>
  </w:footnote>
  <w:footnote w:id="94">
    <w:p w14:paraId="5D0583A7" w14:textId="77777777" w:rsidR="00054236" w:rsidRDefault="00054236" w:rsidP="009D57B3">
      <w:pPr>
        <w:pStyle w:val="FootnoteText"/>
      </w:pPr>
      <w:r w:rsidRPr="00FC4F55">
        <w:rPr>
          <w:rStyle w:val="FootnoteReference"/>
        </w:rPr>
        <w:footnoteRef/>
      </w:r>
      <w:r w:rsidRPr="00FC4F55">
        <w:t xml:space="preserve"> </w:t>
      </w:r>
      <w:hyperlink r:id="rId50" w:history="1">
        <w:r w:rsidRPr="00FC4F55">
          <w:rPr>
            <w:rStyle w:val="Hyperlink"/>
          </w:rPr>
          <w:t>https://www.ashfield.gov.uk/planning-building-control/local-plan/</w:t>
        </w:r>
      </w:hyperlink>
    </w:p>
  </w:footnote>
  <w:footnote w:id="95">
    <w:p w14:paraId="03904FB7" w14:textId="77777777" w:rsidR="00054236" w:rsidRPr="00F17538" w:rsidRDefault="00054236" w:rsidP="00AE58B3">
      <w:pPr>
        <w:pStyle w:val="FootnoteText"/>
      </w:pPr>
      <w:r w:rsidRPr="00F17538">
        <w:rPr>
          <w:rStyle w:val="FootnoteReference"/>
          <w:rFonts w:eastAsia="Arial"/>
        </w:rPr>
        <w:footnoteRef/>
      </w:r>
      <w:r w:rsidRPr="00F17538">
        <w:t xml:space="preserve"> Housing which enables older people with longer term health conditions to live independently in self-contained accommodation as an alternative to residential care</w:t>
      </w:r>
      <w:r>
        <w:t>.</w:t>
      </w:r>
    </w:p>
  </w:footnote>
  <w:footnote w:id="96">
    <w:p w14:paraId="524EDDF8" w14:textId="77777777" w:rsidR="00054236" w:rsidRPr="00976BAF" w:rsidRDefault="00054236" w:rsidP="00AE58B3">
      <w:pPr>
        <w:pStyle w:val="FootnoteText"/>
        <w:rPr>
          <w:color w:val="auto"/>
        </w:rPr>
      </w:pPr>
      <w:r w:rsidRPr="00976BAF">
        <w:rPr>
          <w:rStyle w:val="FootnoteReference"/>
          <w:color w:val="auto"/>
        </w:rPr>
        <w:footnoteRef/>
      </w:r>
      <w:r w:rsidRPr="00976BAF">
        <w:rPr>
          <w:color w:val="auto"/>
        </w:rPr>
        <w:t xml:space="preserve"> </w:t>
      </w:r>
      <w:hyperlink r:id="rId51" w:history="1">
        <w:r w:rsidRPr="00976BAF">
          <w:rPr>
            <w:rStyle w:val="Hyperlink"/>
            <w:color w:val="auto"/>
          </w:rPr>
          <w:t>https://www.ashfield.gov.uk/planning-building-control/building-control-regulations/self-build-custom-builds/self-build-custom-monitoring/</w:t>
        </w:r>
      </w:hyperlink>
    </w:p>
    <w:p w14:paraId="36A65FAA" w14:textId="77777777" w:rsidR="00054236" w:rsidRPr="00976BAF" w:rsidRDefault="00054236" w:rsidP="00AE58B3">
      <w:pPr>
        <w:pStyle w:val="FootnoteText"/>
        <w:rPr>
          <w:color w:val="auto"/>
        </w:rPr>
      </w:pPr>
    </w:p>
    <w:p w14:paraId="27B0DE2B" w14:textId="77777777" w:rsidR="00054236" w:rsidRDefault="00054236" w:rsidP="00AE58B3">
      <w:pPr>
        <w:pStyle w:val="FootnoteText"/>
      </w:pPr>
    </w:p>
  </w:footnote>
  <w:footnote w:id="97">
    <w:p w14:paraId="52455588" w14:textId="77777777" w:rsidR="00054236" w:rsidRDefault="00054236" w:rsidP="00A81706">
      <w:pPr>
        <w:pStyle w:val="FootnoteText"/>
      </w:pPr>
      <w:r>
        <w:rPr>
          <w:rStyle w:val="FootnoteReference"/>
        </w:rPr>
        <w:footnoteRef/>
      </w:r>
      <w:r>
        <w:t xml:space="preserve"> See Policy EV1 Green Belt, EV2 Countryside and Appendix 5 </w:t>
      </w:r>
      <w:r w:rsidRPr="00CE5593">
        <w:t>Agricultural, Forestry and Other Occupational Dwellings</w:t>
      </w:r>
      <w:r>
        <w:t>.</w:t>
      </w:r>
    </w:p>
  </w:footnote>
  <w:footnote w:id="98">
    <w:p w14:paraId="48E7232B" w14:textId="3847B0A0" w:rsidR="00054236" w:rsidRDefault="00054236" w:rsidP="00A56503">
      <w:pPr>
        <w:pStyle w:val="FootnoteText"/>
      </w:pPr>
      <w:r>
        <w:rPr>
          <w:rStyle w:val="FootnoteReference"/>
        </w:rPr>
        <w:footnoteRef/>
      </w:r>
      <w:r>
        <w:t xml:space="preserve"> Hucknall Town Centre </w:t>
      </w:r>
      <w:r w:rsidR="00345E2F">
        <w:t xml:space="preserve">Spatial </w:t>
      </w:r>
      <w:r>
        <w:t>Masterplan</w:t>
      </w:r>
      <w:r w:rsidR="00345E2F">
        <w:t>, 2022. Ashfield District Council.</w:t>
      </w:r>
    </w:p>
  </w:footnote>
  <w:footnote w:id="99">
    <w:p w14:paraId="663D1471" w14:textId="77777777" w:rsidR="00054236" w:rsidRDefault="00054236" w:rsidP="00A56503">
      <w:pPr>
        <w:pStyle w:val="FootnoteText"/>
      </w:pPr>
      <w:r>
        <w:rPr>
          <w:rStyle w:val="FootnoteReference"/>
        </w:rPr>
        <w:footnoteRef/>
      </w:r>
      <w:r>
        <w:t xml:space="preserve"> Sutton Town Centre Spatial Masterplan, March 2019. Ashfield District Council.</w:t>
      </w:r>
    </w:p>
  </w:footnote>
  <w:footnote w:id="100">
    <w:p w14:paraId="50461B80" w14:textId="77777777" w:rsidR="00054236" w:rsidRDefault="00054236" w:rsidP="00A56503">
      <w:pPr>
        <w:pStyle w:val="FootnoteText"/>
      </w:pPr>
      <w:r>
        <w:rPr>
          <w:rStyle w:val="FootnoteReference"/>
        </w:rPr>
        <w:footnoteRef/>
      </w:r>
      <w:r>
        <w:t xml:space="preserve"> Kirkby-in-Ashfield Spatial Masterplan, 2021.  Ashfield District Council.</w:t>
      </w:r>
    </w:p>
  </w:footnote>
  <w:footnote w:id="101">
    <w:p w14:paraId="46A71E10" w14:textId="16FF88ED" w:rsidR="00054236" w:rsidRPr="00E81814" w:rsidRDefault="00054236" w:rsidP="00E81814">
      <w:pPr>
        <w:pStyle w:val="FootnoteText"/>
      </w:pPr>
      <w:r>
        <w:rPr>
          <w:rStyle w:val="FootnoteReference"/>
        </w:rPr>
        <w:footnoteRef/>
      </w:r>
      <w:r>
        <w:t xml:space="preserve"> </w:t>
      </w:r>
      <w:r w:rsidRPr="00E81814">
        <w:t>The Town and Country Planning (General Permitted Development etc.) (England) (Amendment) Order 2021.</w:t>
      </w:r>
    </w:p>
  </w:footnote>
  <w:footnote w:id="102">
    <w:p w14:paraId="6C8A4AFC" w14:textId="324F47C5" w:rsidR="00054236" w:rsidRDefault="00054236" w:rsidP="00A56503">
      <w:pPr>
        <w:pStyle w:val="FootnoteText"/>
      </w:pPr>
      <w:r>
        <w:rPr>
          <w:rStyle w:val="FootnoteReference"/>
        </w:rPr>
        <w:footnoteRef/>
      </w:r>
      <w:r>
        <w:t xml:space="preserve"> Guide for Converting Shops to Residential Supplementary Planning Document 2019. Ashfield District Council</w:t>
      </w:r>
    </w:p>
  </w:footnote>
  <w:footnote w:id="103">
    <w:p w14:paraId="52028DFE" w14:textId="6F4D6BF1" w:rsidR="00054236" w:rsidRDefault="00054236" w:rsidP="00E56122">
      <w:pPr>
        <w:pStyle w:val="FootnoteText"/>
      </w:pPr>
      <w:r>
        <w:rPr>
          <w:rStyle w:val="FootnoteReference"/>
        </w:rPr>
        <w:footnoteRef/>
      </w:r>
      <w:r>
        <w:t xml:space="preserve">  </w:t>
      </w:r>
      <w:r w:rsidRPr="00AA6E59">
        <w:t>Nexus Planning (20</w:t>
      </w:r>
      <w:r w:rsidR="00F62485">
        <w:t>23</w:t>
      </w:r>
      <w:r w:rsidRPr="00AA6E59">
        <w:t xml:space="preserve">) Ashfield </w:t>
      </w:r>
      <w:r w:rsidR="00F62485">
        <w:t>Town Centre / Local Centre</w:t>
      </w:r>
      <w:r w:rsidRPr="00AA6E59">
        <w:t xml:space="preserve"> Study</w:t>
      </w:r>
    </w:p>
  </w:footnote>
  <w:footnote w:id="104">
    <w:p w14:paraId="470E1C4B" w14:textId="77777777" w:rsidR="00054236" w:rsidRDefault="00054236" w:rsidP="00E56122">
      <w:pPr>
        <w:pStyle w:val="FootnoteText"/>
      </w:pPr>
      <w:r>
        <w:rPr>
          <w:rStyle w:val="FootnoteReference"/>
        </w:rPr>
        <w:footnoteRef/>
      </w:r>
      <w:r>
        <w:t xml:space="preserve"> </w:t>
      </w:r>
      <w:r w:rsidRPr="001D32FF">
        <w:t>Guide for Converting Shops to Residential Supplementary Planning Document 2019</w:t>
      </w:r>
      <w:r>
        <w:t>.</w:t>
      </w:r>
      <w:r w:rsidRPr="001D32FF">
        <w:t xml:space="preserve"> Ashfield District Council</w:t>
      </w:r>
    </w:p>
  </w:footnote>
  <w:footnote w:id="105">
    <w:p w14:paraId="05E7D924" w14:textId="307025A3" w:rsidR="00054236" w:rsidRDefault="00054236" w:rsidP="006E10D4">
      <w:pPr>
        <w:pStyle w:val="FootnoteText"/>
      </w:pPr>
      <w:r>
        <w:rPr>
          <w:rStyle w:val="FootnoteReference"/>
        </w:rPr>
        <w:footnoteRef/>
      </w:r>
      <w:r>
        <w:t xml:space="preserve"> </w:t>
      </w:r>
      <w:r w:rsidRPr="00A30BEB">
        <w:t>Community Infrastructure Regulations 2010 (as amended).  Paragraph 122</w:t>
      </w:r>
      <w:r>
        <w:t xml:space="preserve"> &amp; National Planning Policy Framework 2021, para. 57</w:t>
      </w:r>
    </w:p>
  </w:footnote>
  <w:footnote w:id="106">
    <w:p w14:paraId="124D0600" w14:textId="1DF7C79B" w:rsidR="00054236" w:rsidRDefault="00054236">
      <w:pPr>
        <w:pStyle w:val="FootnoteText"/>
      </w:pPr>
      <w:r>
        <w:rPr>
          <w:rStyle w:val="FootnoteReference"/>
        </w:rPr>
        <w:footnoteRef/>
      </w:r>
      <w:r>
        <w:t xml:space="preserve"> </w:t>
      </w:r>
      <w:r w:rsidRPr="007F5D56">
        <w:t>The Town and Country Planning (General Permitted Development) (England) Order 2015</w:t>
      </w:r>
      <w:r>
        <w:t>, as amended.</w:t>
      </w:r>
    </w:p>
  </w:footnote>
  <w:footnote w:id="107">
    <w:p w14:paraId="17165F04" w14:textId="77777777" w:rsidR="00054236" w:rsidRDefault="00054236" w:rsidP="00B22DC9">
      <w:r>
        <w:rPr>
          <w:rStyle w:val="FootnoteReference"/>
        </w:rPr>
        <w:footnoteRef/>
      </w:r>
      <w:r>
        <w:t xml:space="preserve"> </w:t>
      </w:r>
      <w:r w:rsidRPr="00C23319">
        <w:rPr>
          <w:sz w:val="20"/>
        </w:rPr>
        <w:t>Nottinghamshire County Council (2011) Nottinghamshire Local Transport Plan Strategy 2011/12 – 2025/26</w:t>
      </w:r>
      <w:r>
        <w:rPr>
          <w:sz w:val="20"/>
        </w:rPr>
        <w:t>.</w:t>
      </w:r>
    </w:p>
  </w:footnote>
  <w:footnote w:id="108">
    <w:p w14:paraId="5047DBEB" w14:textId="77777777" w:rsidR="00054236" w:rsidRDefault="00054236" w:rsidP="00B22DC9">
      <w:r>
        <w:rPr>
          <w:rStyle w:val="FootnoteReference"/>
        </w:rPr>
        <w:footnoteRef/>
      </w:r>
      <w:r>
        <w:t xml:space="preserve"> </w:t>
      </w:r>
      <w:r w:rsidRPr="00C23319">
        <w:rPr>
          <w:sz w:val="20"/>
        </w:rPr>
        <w:t>Nottinghamshire County Council (2006) Cycling Design Guide</w:t>
      </w:r>
      <w:r>
        <w:rPr>
          <w:sz w:val="20"/>
        </w:rPr>
        <w:t>.</w:t>
      </w:r>
    </w:p>
  </w:footnote>
  <w:footnote w:id="109">
    <w:p w14:paraId="4ED085C8" w14:textId="3D259A3F" w:rsidR="000853B4" w:rsidRDefault="000853B4">
      <w:pPr>
        <w:pStyle w:val="FootnoteText"/>
      </w:pPr>
      <w:r>
        <w:rPr>
          <w:rStyle w:val="FootnoteReference"/>
        </w:rPr>
        <w:footnoteRef/>
      </w:r>
      <w:r>
        <w:t xml:space="preserve"> At the time of publication, the Nottinghamshire Highway Design Guide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53C26" w14:textId="5E8E6919" w:rsidR="00054236" w:rsidRPr="00FD285F" w:rsidRDefault="00054236" w:rsidP="002518C2">
    <w:pPr>
      <w:pStyle w:val="Header"/>
      <w:tabs>
        <w:tab w:val="clear" w:pos="4153"/>
        <w:tab w:val="clear" w:pos="8306"/>
        <w:tab w:val="left" w:pos="5459"/>
      </w:tabs>
    </w:pPr>
  </w:p>
  <w:p w14:paraId="60C1710B" w14:textId="77777777" w:rsidR="00054236" w:rsidRPr="00FD285F" w:rsidRDefault="00054236" w:rsidP="002518C2">
    <w:pPr>
      <w:pStyle w:val="Header"/>
      <w:jc w:val="right"/>
    </w:pPr>
    <w: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1B678" w14:textId="4363C46F" w:rsidR="00054236" w:rsidRDefault="00054236" w:rsidP="007A4FE5">
    <w:pPr>
      <w:pStyle w:val="Header"/>
      <w:tabs>
        <w:tab w:val="clear" w:pos="8306"/>
        <w:tab w:val="right" w:pos="9639"/>
      </w:tabs>
    </w:pPr>
    <w:r>
      <w:t>Ashfield Draft Local Plan 202</w:t>
    </w:r>
    <w:r w:rsidR="009360B2">
      <w:t>3</w:t>
    </w:r>
    <w:r>
      <w:t xml:space="preserve"> - 20</w:t>
    </w:r>
    <w:r w:rsidR="009360B2">
      <w:t>40</w:t>
    </w:r>
    <w:r>
      <w:tab/>
    </w:r>
    <w:r w:rsidR="008852FB">
      <w:t xml:space="preserve"> </w:t>
    </w:r>
    <w:r w:rsidR="008852FB">
      <w:tab/>
    </w:r>
    <w:r>
      <w:t xml:space="preserve">Chapter </w:t>
    </w:r>
    <w:r w:rsidR="008852FB">
      <w:t>8: Town Centres</w:t>
    </w:r>
  </w:p>
  <w:p w14:paraId="4A320FD5" w14:textId="77777777" w:rsidR="00054236" w:rsidRPr="00FD285F" w:rsidRDefault="00054236" w:rsidP="002518C2">
    <w:pPr>
      <w:pStyle w:val="Header"/>
      <w:tabs>
        <w:tab w:val="clear" w:pos="4153"/>
        <w:tab w:val="clear" w:pos="8306"/>
        <w:tab w:val="left" w:pos="5459"/>
      </w:tabs>
    </w:pPr>
    <w:r>
      <w:rPr>
        <w:noProof/>
      </w:rPr>
      <mc:AlternateContent>
        <mc:Choice Requires="wps">
          <w:drawing>
            <wp:anchor distT="0" distB="0" distL="114300" distR="114300" simplePos="0" relativeHeight="251658244" behindDoc="0" locked="0" layoutInCell="1" allowOverlap="1" wp14:anchorId="04DB2655" wp14:editId="665A458C">
              <wp:simplePos x="0" y="0"/>
              <wp:positionH relativeFrom="column">
                <wp:posOffset>22860</wp:posOffset>
              </wp:positionH>
              <wp:positionV relativeFrom="paragraph">
                <wp:posOffset>68580</wp:posOffset>
              </wp:positionV>
              <wp:extent cx="6179185" cy="635"/>
              <wp:effectExtent l="9525" t="12700" r="12065" b="5715"/>
              <wp:wrapNone/>
              <wp:docPr id="33"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7130B9FA"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7D962A21" w14:textId="77777777" w:rsidR="00054236" w:rsidRPr="00FD285F" w:rsidRDefault="00054236" w:rsidP="002518C2">
    <w:pPr>
      <w:pStyle w:val="Header"/>
      <w:jc w:val="right"/>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ECE54" w14:textId="26C53A59" w:rsidR="000C34A3" w:rsidRDefault="000C34A3" w:rsidP="007A4FE5">
    <w:pPr>
      <w:pStyle w:val="Header"/>
      <w:tabs>
        <w:tab w:val="clear" w:pos="8306"/>
        <w:tab w:val="right" w:pos="9639"/>
      </w:tabs>
    </w:pPr>
    <w:r>
      <w:t>Ashfield Draft Local Plan 2023 - 2040</w:t>
    </w:r>
    <w:r>
      <w:tab/>
      <w:t xml:space="preserve"> </w:t>
    </w:r>
    <w:r>
      <w:tab/>
      <w:t xml:space="preserve">Chapter </w:t>
    </w:r>
    <w:proofErr w:type="gramStart"/>
    <w:r>
      <w:t>7:Economy</w:t>
    </w:r>
    <w:proofErr w:type="gramEnd"/>
  </w:p>
  <w:p w14:paraId="752E3EEF" w14:textId="77777777" w:rsidR="000C34A3" w:rsidRPr="00FD285F" w:rsidRDefault="000C34A3" w:rsidP="002518C2">
    <w:pPr>
      <w:pStyle w:val="Header"/>
      <w:tabs>
        <w:tab w:val="clear" w:pos="4153"/>
        <w:tab w:val="clear" w:pos="8306"/>
        <w:tab w:val="left" w:pos="5459"/>
      </w:tabs>
    </w:pPr>
    <w:r>
      <w:rPr>
        <w:noProof/>
      </w:rPr>
      <mc:AlternateContent>
        <mc:Choice Requires="wps">
          <w:drawing>
            <wp:anchor distT="0" distB="0" distL="114300" distR="114300" simplePos="0" relativeHeight="251658248" behindDoc="0" locked="0" layoutInCell="1" allowOverlap="1" wp14:anchorId="20C50639" wp14:editId="22310EE5">
              <wp:simplePos x="0" y="0"/>
              <wp:positionH relativeFrom="column">
                <wp:posOffset>-29683</wp:posOffset>
              </wp:positionH>
              <wp:positionV relativeFrom="paragraph">
                <wp:posOffset>68580</wp:posOffset>
              </wp:positionV>
              <wp:extent cx="6179185" cy="635"/>
              <wp:effectExtent l="0" t="0" r="31115" b="37465"/>
              <wp:wrapNone/>
              <wp:docPr id="1141902328"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0BE2334E" id="_x0000_t32" coordsize="21600,21600" o:spt="32" o:oned="t" path="m,l21600,21600e" filled="f">
              <v:path arrowok="t" fillok="f" o:connecttype="none"/>
              <o:lock v:ext="edit" shapetype="t"/>
            </v:shapetype>
            <v:shape id="AutoShape 36" o:spid="_x0000_s1026" type="#_x0000_t32" alt="&quot;&quot;" style="position:absolute;margin-left:-2.35pt;margin-top:5.4pt;width:486.55pt;height:.0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"/>
          </w:pict>
        </mc:Fallback>
      </mc:AlternateContent>
    </w:r>
  </w:p>
  <w:p w14:paraId="0A314F8A" w14:textId="77777777" w:rsidR="000C34A3" w:rsidRPr="00FD285F" w:rsidRDefault="000C34A3" w:rsidP="002518C2">
    <w:pPr>
      <w:pStyle w:val="Header"/>
      <w:jc w:val="right"/>
    </w:pPr>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91A49" w14:textId="02FBB47F" w:rsidR="000C34A3" w:rsidRDefault="000C34A3" w:rsidP="007A4FE5">
    <w:pPr>
      <w:pStyle w:val="Header"/>
      <w:tabs>
        <w:tab w:val="clear" w:pos="8306"/>
        <w:tab w:val="right" w:pos="9639"/>
      </w:tabs>
    </w:pPr>
    <w:r>
      <w:t>Ashfield Draft Local Plan 2023 - 2040</w:t>
    </w:r>
    <w:r>
      <w:tab/>
      <w:t xml:space="preserve"> </w:t>
    </w:r>
    <w:r>
      <w:tab/>
      <w:t>Chapter 8: Town Centres</w:t>
    </w:r>
  </w:p>
  <w:p w14:paraId="1C425CA8" w14:textId="77777777" w:rsidR="000C34A3" w:rsidRPr="00FD285F" w:rsidRDefault="000C34A3" w:rsidP="002518C2">
    <w:pPr>
      <w:pStyle w:val="Header"/>
      <w:tabs>
        <w:tab w:val="clear" w:pos="4153"/>
        <w:tab w:val="clear" w:pos="8306"/>
        <w:tab w:val="left" w:pos="5459"/>
      </w:tabs>
    </w:pPr>
    <w:r>
      <w:rPr>
        <w:noProof/>
      </w:rPr>
      <mc:AlternateContent>
        <mc:Choice Requires="wps">
          <w:drawing>
            <wp:anchor distT="0" distB="0" distL="114300" distR="114300" simplePos="0" relativeHeight="251658249" behindDoc="0" locked="0" layoutInCell="1" allowOverlap="1" wp14:anchorId="699BE3B9" wp14:editId="1C7C2493">
              <wp:simplePos x="0" y="0"/>
              <wp:positionH relativeFrom="column">
                <wp:posOffset>22860</wp:posOffset>
              </wp:positionH>
              <wp:positionV relativeFrom="paragraph">
                <wp:posOffset>68580</wp:posOffset>
              </wp:positionV>
              <wp:extent cx="6179185" cy="635"/>
              <wp:effectExtent l="9525" t="12700" r="12065" b="5715"/>
              <wp:wrapNone/>
              <wp:docPr id="189292997"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2B8E75B9"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38E94F81" w14:textId="77777777" w:rsidR="000C34A3" w:rsidRPr="00FD285F" w:rsidRDefault="000C34A3" w:rsidP="002518C2">
    <w:pPr>
      <w:pStyle w:val="Header"/>
      <w:jc w:val="right"/>
    </w:pPr>
    <w: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66EFF" w14:textId="77777777" w:rsidR="008852FB" w:rsidRDefault="008852FB" w:rsidP="007A4FE5">
    <w:pPr>
      <w:pStyle w:val="Header"/>
      <w:tabs>
        <w:tab w:val="clear" w:pos="8306"/>
        <w:tab w:val="right" w:pos="9639"/>
      </w:tabs>
    </w:pPr>
    <w:r>
      <w:t>Ashfield Draft Local Plan 2023 - 2040</w:t>
    </w:r>
    <w:r>
      <w:tab/>
    </w:r>
    <w:r>
      <w:tab/>
      <w:t>Chapter 9: Design</w:t>
    </w:r>
  </w:p>
  <w:p w14:paraId="08ECFFF6" w14:textId="77777777" w:rsidR="008852FB" w:rsidRPr="00FD285F" w:rsidRDefault="008852FB" w:rsidP="002518C2">
    <w:pPr>
      <w:pStyle w:val="Header"/>
      <w:tabs>
        <w:tab w:val="clear" w:pos="4153"/>
        <w:tab w:val="clear" w:pos="8306"/>
        <w:tab w:val="left" w:pos="5459"/>
      </w:tabs>
    </w:pPr>
    <w:r>
      <w:rPr>
        <w:noProof/>
      </w:rPr>
      <mc:AlternateContent>
        <mc:Choice Requires="wps">
          <w:drawing>
            <wp:anchor distT="0" distB="0" distL="114300" distR="114300" simplePos="0" relativeHeight="251658247" behindDoc="0" locked="0" layoutInCell="1" allowOverlap="1" wp14:anchorId="12CEB82E" wp14:editId="1F7C6A58">
              <wp:simplePos x="0" y="0"/>
              <wp:positionH relativeFrom="column">
                <wp:posOffset>22860</wp:posOffset>
              </wp:positionH>
              <wp:positionV relativeFrom="paragraph">
                <wp:posOffset>68580</wp:posOffset>
              </wp:positionV>
              <wp:extent cx="6179185" cy="635"/>
              <wp:effectExtent l="9525" t="12700" r="12065" b="5715"/>
              <wp:wrapNone/>
              <wp:docPr id="728864080"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38F3C862"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0724333F" w14:textId="77777777" w:rsidR="008852FB" w:rsidRPr="00FD285F" w:rsidRDefault="008852FB" w:rsidP="002518C2">
    <w:pPr>
      <w:pStyle w:val="Header"/>
      <w:jc w:val="right"/>
    </w:pP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BA257A" w14:textId="7EDBEBE9" w:rsidR="00054236" w:rsidRDefault="00054236" w:rsidP="007A4FE5">
    <w:pPr>
      <w:pStyle w:val="Header"/>
      <w:tabs>
        <w:tab w:val="clear" w:pos="8306"/>
        <w:tab w:val="right" w:pos="9639"/>
      </w:tabs>
    </w:pPr>
    <w:r>
      <w:t>Ashfield Draft Local Plan 202</w:t>
    </w:r>
    <w:r w:rsidR="00D333EC">
      <w:t>3</w:t>
    </w:r>
    <w:r>
      <w:t xml:space="preserve"> - 20</w:t>
    </w:r>
    <w:r w:rsidR="00D333EC">
      <w:t>40</w:t>
    </w:r>
    <w:r>
      <w:tab/>
    </w:r>
    <w:r>
      <w:tab/>
      <w:t>Appendices</w:t>
    </w:r>
  </w:p>
  <w:p w14:paraId="35D5755D" w14:textId="10740861" w:rsidR="00054236" w:rsidRPr="00FD285F" w:rsidRDefault="00054236" w:rsidP="003768E4">
    <w:pPr>
      <w:pStyle w:val="Header"/>
      <w:tabs>
        <w:tab w:val="clear" w:pos="4153"/>
        <w:tab w:val="clear" w:pos="8306"/>
        <w:tab w:val="left" w:pos="5459"/>
      </w:tabs>
    </w:pPr>
    <w:r>
      <w:rPr>
        <w:noProof/>
      </w:rPr>
      <mc:AlternateContent>
        <mc:Choice Requires="wps">
          <w:drawing>
            <wp:anchor distT="0" distB="0" distL="114300" distR="114300" simplePos="0" relativeHeight="251658245" behindDoc="0" locked="0" layoutInCell="1" allowOverlap="1" wp14:anchorId="5904412F" wp14:editId="13457E18">
              <wp:simplePos x="0" y="0"/>
              <wp:positionH relativeFrom="column">
                <wp:posOffset>22860</wp:posOffset>
              </wp:positionH>
              <wp:positionV relativeFrom="paragraph">
                <wp:posOffset>68580</wp:posOffset>
              </wp:positionV>
              <wp:extent cx="6179185" cy="635"/>
              <wp:effectExtent l="9525" t="12700" r="12065" b="5715"/>
              <wp:wrapNone/>
              <wp:docPr id="34"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63389A3B"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E8C0F" w14:textId="60839C07" w:rsidR="006474B6" w:rsidRDefault="006474B6" w:rsidP="007A4FE5">
    <w:pPr>
      <w:pStyle w:val="Header"/>
      <w:tabs>
        <w:tab w:val="clear" w:pos="8306"/>
        <w:tab w:val="right" w:pos="9639"/>
      </w:tabs>
    </w:pPr>
    <w:r>
      <w:t>Ashfield Draft Local Plan 2023 - 2040</w:t>
    </w:r>
    <w:r>
      <w:tab/>
    </w:r>
    <w:r>
      <w:tab/>
    </w:r>
    <w:r>
      <w:tab/>
    </w:r>
    <w:r>
      <w:tab/>
    </w:r>
    <w:r>
      <w:tab/>
    </w:r>
    <w:r>
      <w:tab/>
    </w:r>
    <w:r>
      <w:tab/>
    </w:r>
    <w:r>
      <w:tab/>
    </w:r>
    <w:r>
      <w:tab/>
    </w:r>
    <w:r>
      <w:tab/>
    </w:r>
    <w:r>
      <w:tab/>
    </w:r>
    <w:r>
      <w:tab/>
    </w:r>
    <w:r>
      <w:tab/>
    </w:r>
    <w:r>
      <w:tab/>
    </w:r>
    <w:r>
      <w:tab/>
    </w:r>
    <w:r>
      <w:tab/>
    </w:r>
    <w:r>
      <w:tab/>
      <w:t>Appendices</w:t>
    </w:r>
  </w:p>
  <w:p w14:paraId="6BFFE69A" w14:textId="77777777" w:rsidR="006474B6" w:rsidRPr="00FD285F" w:rsidRDefault="006474B6" w:rsidP="003768E4">
    <w:pPr>
      <w:pStyle w:val="Header"/>
      <w:tabs>
        <w:tab w:val="clear" w:pos="4153"/>
        <w:tab w:val="clear" w:pos="8306"/>
        <w:tab w:val="left" w:pos="5459"/>
      </w:tabs>
    </w:pPr>
    <w:r>
      <w:rPr>
        <w:noProof/>
      </w:rPr>
      <mc:AlternateContent>
        <mc:Choice Requires="wps">
          <w:drawing>
            <wp:anchor distT="0" distB="0" distL="114300" distR="114300" simplePos="0" relativeHeight="251658253" behindDoc="0" locked="0" layoutInCell="1" allowOverlap="1" wp14:anchorId="533E82E7" wp14:editId="3D110B04">
              <wp:simplePos x="0" y="0"/>
              <wp:positionH relativeFrom="column">
                <wp:posOffset>25004</wp:posOffset>
              </wp:positionH>
              <wp:positionV relativeFrom="paragraph">
                <wp:posOffset>71046</wp:posOffset>
              </wp:positionV>
              <wp:extent cx="13563971" cy="45719"/>
              <wp:effectExtent l="0" t="0" r="19050" b="31115"/>
              <wp:wrapNone/>
              <wp:docPr id="1912579988"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63971" cy="45719"/>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2031E687" id="_x0000_t32" coordsize="21600,21600" o:spt="32" o:oned="t" path="m,l21600,21600e" filled="f">
              <v:path arrowok="t" fillok="f" o:connecttype="none"/>
              <o:lock v:ext="edit" shapetype="t"/>
            </v:shapetype>
            <v:shape id="AutoShape 36" o:spid="_x0000_s1026" type="#_x0000_t32" alt="&quot;&quot;" style="position:absolute;margin-left:1.95pt;margin-top:5.6pt;width:1068.05pt;height:3.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"/>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C529C" w14:textId="77777777" w:rsidR="004466EB" w:rsidRDefault="004466EB" w:rsidP="007A4FE5">
    <w:pPr>
      <w:pStyle w:val="Header"/>
      <w:tabs>
        <w:tab w:val="clear" w:pos="8306"/>
        <w:tab w:val="right" w:pos="9639"/>
      </w:tabs>
    </w:pPr>
    <w:r>
      <w:t>Ashfield Draft Local Plan 2023 - 2040</w:t>
    </w:r>
    <w:r>
      <w:tab/>
    </w:r>
    <w:r>
      <w:tab/>
      <w:t>Appendices</w:t>
    </w:r>
  </w:p>
  <w:p w14:paraId="4159CEF0" w14:textId="77777777" w:rsidR="004466EB" w:rsidRPr="00FD285F" w:rsidRDefault="004466EB" w:rsidP="003768E4">
    <w:pPr>
      <w:pStyle w:val="Header"/>
      <w:tabs>
        <w:tab w:val="clear" w:pos="4153"/>
        <w:tab w:val="clear" w:pos="8306"/>
        <w:tab w:val="left" w:pos="5459"/>
      </w:tabs>
    </w:pPr>
    <w:r>
      <w:rPr>
        <w:noProof/>
      </w:rPr>
      <mc:AlternateContent>
        <mc:Choice Requires="wps">
          <w:drawing>
            <wp:anchor distT="0" distB="0" distL="114300" distR="114300" simplePos="0" relativeHeight="251658260" behindDoc="0" locked="0" layoutInCell="1" allowOverlap="1" wp14:anchorId="08EA0EE9" wp14:editId="164AA92F">
              <wp:simplePos x="0" y="0"/>
              <wp:positionH relativeFrom="column">
                <wp:posOffset>22860</wp:posOffset>
              </wp:positionH>
              <wp:positionV relativeFrom="paragraph">
                <wp:posOffset>68580</wp:posOffset>
              </wp:positionV>
              <wp:extent cx="6179185" cy="635"/>
              <wp:effectExtent l="9525" t="12700" r="12065" b="5715"/>
              <wp:wrapNone/>
              <wp:docPr id="1446262021"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5DBE31E5"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900B4" w14:textId="3F6FA1C8" w:rsidR="009B2215" w:rsidRDefault="009B2215" w:rsidP="007A4FE5">
    <w:pPr>
      <w:pStyle w:val="Header"/>
      <w:tabs>
        <w:tab w:val="clear" w:pos="8306"/>
        <w:tab w:val="right" w:pos="9639"/>
      </w:tabs>
    </w:pPr>
    <w:r>
      <w:t>Ashfield Draft Local Plan 2023 - 2040</w:t>
    </w:r>
    <w:r>
      <w:tab/>
    </w:r>
    <w:r>
      <w:tab/>
      <w:t>Appendices</w:t>
    </w:r>
  </w:p>
  <w:p w14:paraId="41BCA333" w14:textId="3F6FA1C8" w:rsidR="009B2215" w:rsidRPr="00FD285F" w:rsidRDefault="009B2215" w:rsidP="003768E4">
    <w:pPr>
      <w:pStyle w:val="Header"/>
      <w:tabs>
        <w:tab w:val="clear" w:pos="4153"/>
        <w:tab w:val="clear" w:pos="8306"/>
        <w:tab w:val="left" w:pos="5459"/>
      </w:tabs>
    </w:pPr>
    <w:r>
      <w:rPr>
        <w:noProof/>
      </w:rPr>
      <mc:AlternateContent>
        <mc:Choice Requires="wps">
          <w:drawing>
            <wp:anchor distT="0" distB="0" distL="114300" distR="114300" simplePos="0" relativeHeight="251658246" behindDoc="0" locked="0" layoutInCell="1" allowOverlap="1" wp14:anchorId="7CCDC300" wp14:editId="7CBED148">
              <wp:simplePos x="0" y="0"/>
              <wp:positionH relativeFrom="column">
                <wp:posOffset>22860</wp:posOffset>
              </wp:positionH>
              <wp:positionV relativeFrom="paragraph">
                <wp:posOffset>68580</wp:posOffset>
              </wp:positionV>
              <wp:extent cx="6179185" cy="635"/>
              <wp:effectExtent l="9525" t="12700" r="12065" b="5715"/>
              <wp:wrapNone/>
              <wp:docPr id="1571914512"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3E781577"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0B698B" w14:textId="77777777" w:rsidR="00054236" w:rsidRPr="001356B6" w:rsidRDefault="00054236" w:rsidP="001356B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8B33E" w14:textId="77777777" w:rsidR="004024F3" w:rsidRDefault="004024F3" w:rsidP="00067202">
    <w:pPr>
      <w:pStyle w:val="Header"/>
      <w:tabs>
        <w:tab w:val="clear" w:pos="8306"/>
        <w:tab w:val="left" w:pos="4320"/>
        <w:tab w:val="left" w:pos="5040"/>
        <w:tab w:val="left" w:pos="5760"/>
        <w:tab w:val="right" w:pos="9639"/>
      </w:tabs>
    </w:pPr>
    <w:r>
      <w:t xml:space="preserve">Ashfield Draft Local Plan 2023 - 2040 </w:t>
    </w:r>
  </w:p>
  <w:p w14:paraId="5E1145F6" w14:textId="77777777" w:rsidR="004024F3" w:rsidRPr="00FD285F" w:rsidRDefault="004024F3" w:rsidP="002518C2">
    <w:pPr>
      <w:pStyle w:val="Header"/>
      <w:tabs>
        <w:tab w:val="clear" w:pos="4153"/>
        <w:tab w:val="clear" w:pos="8306"/>
        <w:tab w:val="left" w:pos="5459"/>
      </w:tabs>
    </w:pPr>
    <w:r>
      <w:rPr>
        <w:noProof/>
      </w:rPr>
      <mc:AlternateContent>
        <mc:Choice Requires="wps">
          <w:drawing>
            <wp:anchor distT="0" distB="0" distL="114300" distR="114300" simplePos="0" relativeHeight="251658257" behindDoc="0" locked="0" layoutInCell="1" allowOverlap="1" wp14:anchorId="7560D8D1" wp14:editId="1F6AC82F">
              <wp:simplePos x="0" y="0"/>
              <wp:positionH relativeFrom="column">
                <wp:posOffset>22860</wp:posOffset>
              </wp:positionH>
              <wp:positionV relativeFrom="paragraph">
                <wp:posOffset>68580</wp:posOffset>
              </wp:positionV>
              <wp:extent cx="6179185" cy="635"/>
              <wp:effectExtent l="9525" t="12700" r="12065" b="5715"/>
              <wp:wrapNone/>
              <wp:docPr id="1036727699"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798FD3AF"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57B5D2B2" w14:textId="77777777" w:rsidR="004024F3" w:rsidRPr="00FD285F" w:rsidRDefault="004024F3" w:rsidP="002518C2">
    <w:pPr>
      <w:pStyle w:val="Header"/>
      <w:jc w:val="right"/>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7BBA3" w14:textId="2A0F87BD" w:rsidR="00054236" w:rsidRPr="00FD285F" w:rsidRDefault="00054236" w:rsidP="003943F3">
    <w:pPr>
      <w:pStyle w:val="Header"/>
      <w:tabs>
        <w:tab w:val="clear" w:pos="8306"/>
        <w:tab w:val="left" w:pos="4320"/>
        <w:tab w:val="left" w:pos="5040"/>
        <w:tab w:val="left" w:pos="5760"/>
        <w:tab w:val="right" w:pos="9639"/>
      </w:tabs>
    </w:pPr>
    <w:r>
      <w:t>Ashfield Draft Local Plan 202</w:t>
    </w:r>
    <w:r w:rsidR="00891456">
      <w:t>3</w:t>
    </w:r>
    <w:r>
      <w:t xml:space="preserve"> - 20</w:t>
    </w:r>
    <w:r w:rsidR="00891456">
      <w:t>40</w:t>
    </w:r>
    <w:r>
      <w:t xml:space="preserve"> </w:t>
    </w:r>
    <w:r>
      <w:tab/>
    </w:r>
    <w:r>
      <w:tab/>
    </w:r>
    <w:r>
      <w:tab/>
    </w:r>
    <w:r>
      <w:tab/>
    </w:r>
    <w:r>
      <w:tab/>
    </w:r>
  </w:p>
  <w:p w14:paraId="4EA6232C" w14:textId="30D7212C" w:rsidR="00054236" w:rsidRPr="00FD285F" w:rsidRDefault="004961DA" w:rsidP="002518C2">
    <w:pPr>
      <w:pStyle w:val="Header"/>
      <w:jc w:val="right"/>
    </w:pPr>
    <w:r>
      <w:rPr>
        <w:noProof/>
      </w:rPr>
      <mc:AlternateContent>
        <mc:Choice Requires="wps">
          <w:drawing>
            <wp:anchor distT="0" distB="0" distL="114300" distR="114300" simplePos="0" relativeHeight="251658242" behindDoc="0" locked="0" layoutInCell="1" allowOverlap="1" wp14:anchorId="56A02959" wp14:editId="1151304F">
              <wp:simplePos x="0" y="0"/>
              <wp:positionH relativeFrom="column">
                <wp:posOffset>22860</wp:posOffset>
              </wp:positionH>
              <wp:positionV relativeFrom="paragraph">
                <wp:posOffset>41113</wp:posOffset>
              </wp:positionV>
              <wp:extent cx="6179185" cy="635"/>
              <wp:effectExtent l="0" t="0" r="31115" b="37465"/>
              <wp:wrapNone/>
              <wp:docPr id="14"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179862E4" id="_x0000_t32" coordsize="21600,21600" o:spt="32" o:oned="t" path="m,l21600,21600e" filled="f">
              <v:path arrowok="t" fillok="f" o:connecttype="none"/>
              <o:lock v:ext="edit" shapetype="t"/>
            </v:shapetype>
            <v:shape id="AutoShape 36" o:spid="_x0000_s1026" type="#_x0000_t32" alt="&quot;&quot;" style="position:absolute;margin-left:1.8pt;margin-top:3.25pt;width:486.55pt;height:.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"/>
          </w:pict>
        </mc:Fallback>
      </mc:AlternateContent>
    </w:r>
    <w:r w:rsidR="00054236">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73560" w14:textId="66802DE9" w:rsidR="00054236" w:rsidRDefault="00054236" w:rsidP="007A4FE5">
    <w:pPr>
      <w:pStyle w:val="Header"/>
      <w:tabs>
        <w:tab w:val="clear" w:pos="8306"/>
      </w:tabs>
    </w:pPr>
    <w:r>
      <w:t>Ashfield Draft Local Plan 202</w:t>
    </w:r>
    <w:r w:rsidR="00EB0A16">
      <w:t>3</w:t>
    </w:r>
    <w:r>
      <w:t xml:space="preserve"> </w:t>
    </w:r>
    <w:r w:rsidR="00EB0A16">
      <w:t>–</w:t>
    </w:r>
    <w:r>
      <w:t xml:space="preserve"> 20</w:t>
    </w:r>
    <w:r w:rsidR="00EB0A16">
      <w:t>40</w:t>
    </w:r>
    <w:r>
      <w:t xml:space="preserve"> </w:t>
    </w:r>
    <w:r>
      <w:tab/>
    </w:r>
    <w:r>
      <w:tab/>
    </w:r>
    <w:r>
      <w:tab/>
    </w:r>
    <w:r>
      <w:tab/>
    </w:r>
    <w:r w:rsidR="005A0449">
      <w:t xml:space="preserve">        </w:t>
    </w:r>
    <w:r>
      <w:t>Chapter 1</w:t>
    </w:r>
    <w:r w:rsidR="00891456">
      <w:t>:</w:t>
    </w:r>
    <w:r>
      <w:t xml:space="preserve"> Where are we now?</w:t>
    </w:r>
  </w:p>
  <w:p w14:paraId="5A274BF6" w14:textId="77777777" w:rsidR="00054236" w:rsidRPr="00FD285F" w:rsidRDefault="00054236" w:rsidP="002518C2">
    <w:pPr>
      <w:pStyle w:val="Header"/>
      <w:tabs>
        <w:tab w:val="clear" w:pos="4153"/>
        <w:tab w:val="clear" w:pos="8306"/>
        <w:tab w:val="left" w:pos="5459"/>
      </w:tabs>
    </w:pPr>
    <w:r>
      <w:rPr>
        <w:noProof/>
      </w:rPr>
      <mc:AlternateContent>
        <mc:Choice Requires="wps">
          <w:drawing>
            <wp:anchor distT="0" distB="0" distL="114300" distR="114300" simplePos="0" relativeHeight="251658241" behindDoc="0" locked="0" layoutInCell="1" allowOverlap="1" wp14:anchorId="1E8CB529" wp14:editId="170EA18A">
              <wp:simplePos x="0" y="0"/>
              <wp:positionH relativeFrom="column">
                <wp:posOffset>22860</wp:posOffset>
              </wp:positionH>
              <wp:positionV relativeFrom="paragraph">
                <wp:posOffset>68580</wp:posOffset>
              </wp:positionV>
              <wp:extent cx="6179185" cy="635"/>
              <wp:effectExtent l="9525" t="12700" r="12065" b="5715"/>
              <wp:wrapNone/>
              <wp:docPr id="13"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270C9530"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3099FD07" w14:textId="77777777" w:rsidR="00054236" w:rsidRPr="00FD285F" w:rsidRDefault="00054236" w:rsidP="002518C2">
    <w:pPr>
      <w:pStyle w:val="Header"/>
      <w:jc w:val="right"/>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AEF31" w14:textId="79FB9C7C" w:rsidR="00054236" w:rsidRDefault="00054236" w:rsidP="007A4FE5">
    <w:pPr>
      <w:pStyle w:val="Header"/>
      <w:tabs>
        <w:tab w:val="clear" w:pos="8306"/>
        <w:tab w:val="right" w:pos="9639"/>
      </w:tabs>
    </w:pPr>
    <w:r>
      <w:t>Ashfield Draft Local Plan 202</w:t>
    </w:r>
    <w:r w:rsidR="000B65F0">
      <w:t>3</w:t>
    </w:r>
    <w:r>
      <w:t xml:space="preserve"> - 20</w:t>
    </w:r>
    <w:r w:rsidR="000B65F0">
      <w:t>40</w:t>
    </w:r>
    <w:r>
      <w:tab/>
    </w:r>
    <w:r>
      <w:tab/>
      <w:t>Chapter 2</w:t>
    </w:r>
    <w:r w:rsidR="00891456">
      <w:t>:</w:t>
    </w:r>
    <w:r>
      <w:t xml:space="preserve"> Shaping the Future</w:t>
    </w:r>
  </w:p>
  <w:p w14:paraId="5CA73006" w14:textId="77777777" w:rsidR="00054236" w:rsidRPr="00FD285F" w:rsidRDefault="00054236" w:rsidP="002518C2">
    <w:pPr>
      <w:pStyle w:val="Header"/>
      <w:tabs>
        <w:tab w:val="clear" w:pos="4153"/>
        <w:tab w:val="clear" w:pos="8306"/>
        <w:tab w:val="left" w:pos="5459"/>
      </w:tabs>
    </w:pPr>
    <w:r>
      <w:rPr>
        <w:noProof/>
      </w:rPr>
      <mc:AlternateContent>
        <mc:Choice Requires="wps">
          <w:drawing>
            <wp:anchor distT="0" distB="0" distL="114300" distR="114300" simplePos="0" relativeHeight="251658240" behindDoc="0" locked="0" layoutInCell="1" allowOverlap="1" wp14:anchorId="77078412" wp14:editId="7662ABFC">
              <wp:simplePos x="0" y="0"/>
              <wp:positionH relativeFrom="column">
                <wp:posOffset>22860</wp:posOffset>
              </wp:positionH>
              <wp:positionV relativeFrom="paragraph">
                <wp:posOffset>68580</wp:posOffset>
              </wp:positionV>
              <wp:extent cx="6179185" cy="635"/>
              <wp:effectExtent l="9525" t="12700" r="12065" b="5715"/>
              <wp:wrapNone/>
              <wp:docPr id="11"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63D85216"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14EA2E86" w14:textId="77777777" w:rsidR="00054236" w:rsidRPr="00FD285F" w:rsidRDefault="00054236" w:rsidP="002518C2">
    <w:pPr>
      <w:pStyle w:val="Header"/>
      <w:jc w:val="right"/>
    </w:pPr>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6144A" w14:textId="0A0F5EE4" w:rsidR="00054236" w:rsidRDefault="00054236" w:rsidP="007A4FE5">
    <w:pPr>
      <w:pStyle w:val="Header"/>
      <w:tabs>
        <w:tab w:val="clear" w:pos="8306"/>
        <w:tab w:val="right" w:pos="9639"/>
      </w:tabs>
    </w:pPr>
    <w:r>
      <w:t>Ashfield Draft Local Plan 202</w:t>
    </w:r>
    <w:r w:rsidR="00851435">
      <w:t>3</w:t>
    </w:r>
    <w:r>
      <w:t xml:space="preserve"> - 20</w:t>
    </w:r>
    <w:r w:rsidR="00851435">
      <w:t>40</w:t>
    </w:r>
    <w:r>
      <w:tab/>
    </w:r>
    <w:r>
      <w:tab/>
      <w:t xml:space="preserve">Chapter </w:t>
    </w:r>
    <w:r w:rsidR="00145805">
      <w:t>3: Spatial Strategy &amp; Strategic Policies</w:t>
    </w:r>
  </w:p>
  <w:p w14:paraId="29E5133B" w14:textId="77777777" w:rsidR="00054236" w:rsidRPr="00FD285F" w:rsidRDefault="00054236" w:rsidP="002518C2">
    <w:pPr>
      <w:pStyle w:val="Header"/>
      <w:tabs>
        <w:tab w:val="clear" w:pos="4153"/>
        <w:tab w:val="clear" w:pos="8306"/>
        <w:tab w:val="left" w:pos="5459"/>
      </w:tabs>
    </w:pPr>
    <w:r>
      <w:rPr>
        <w:noProof/>
      </w:rPr>
      <mc:AlternateContent>
        <mc:Choice Requires="wps">
          <w:drawing>
            <wp:anchor distT="0" distB="0" distL="114300" distR="114300" simplePos="0" relativeHeight="251658243" behindDoc="0" locked="0" layoutInCell="1" allowOverlap="1" wp14:anchorId="58CBA200" wp14:editId="1712C094">
              <wp:simplePos x="0" y="0"/>
              <wp:positionH relativeFrom="column">
                <wp:posOffset>22860</wp:posOffset>
              </wp:positionH>
              <wp:positionV relativeFrom="paragraph">
                <wp:posOffset>68580</wp:posOffset>
              </wp:positionV>
              <wp:extent cx="6179185" cy="635"/>
              <wp:effectExtent l="9525" t="12700" r="12065" b="5715"/>
              <wp:wrapNone/>
              <wp:docPr id="30"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601CB9E0"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541F88B0" w14:textId="77777777" w:rsidR="00054236" w:rsidRPr="00FD285F" w:rsidRDefault="00054236" w:rsidP="002518C2">
    <w:pPr>
      <w:pStyle w:val="Header"/>
      <w:jc w:val="right"/>
    </w:pP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BC0A2" w14:textId="4EFB70FE" w:rsidR="00145805" w:rsidRDefault="00145805" w:rsidP="007A4FE5">
    <w:pPr>
      <w:pStyle w:val="Header"/>
      <w:tabs>
        <w:tab w:val="clear" w:pos="8306"/>
        <w:tab w:val="right" w:pos="9639"/>
      </w:tabs>
    </w:pPr>
    <w:r>
      <w:t>Ashfield Draft Local Plan 2023 - 2040</w:t>
    </w:r>
    <w:r>
      <w:tab/>
    </w:r>
    <w:r>
      <w:tab/>
      <w:t>Chapter 4: Climate Change</w:t>
    </w:r>
  </w:p>
  <w:p w14:paraId="5189DBF8" w14:textId="77777777" w:rsidR="00145805" w:rsidRPr="00FD285F" w:rsidRDefault="00145805" w:rsidP="002518C2">
    <w:pPr>
      <w:pStyle w:val="Header"/>
      <w:tabs>
        <w:tab w:val="clear" w:pos="4153"/>
        <w:tab w:val="clear" w:pos="8306"/>
        <w:tab w:val="left" w:pos="5459"/>
      </w:tabs>
    </w:pPr>
    <w:r>
      <w:rPr>
        <w:noProof/>
      </w:rPr>
      <mc:AlternateContent>
        <mc:Choice Requires="wps">
          <w:drawing>
            <wp:anchor distT="0" distB="0" distL="114300" distR="114300" simplePos="0" relativeHeight="251658252" behindDoc="0" locked="0" layoutInCell="1" allowOverlap="1" wp14:anchorId="1BB395BD" wp14:editId="53842A48">
              <wp:simplePos x="0" y="0"/>
              <wp:positionH relativeFrom="column">
                <wp:posOffset>22860</wp:posOffset>
              </wp:positionH>
              <wp:positionV relativeFrom="paragraph">
                <wp:posOffset>68580</wp:posOffset>
              </wp:positionV>
              <wp:extent cx="6179185" cy="635"/>
              <wp:effectExtent l="9525" t="12700" r="12065" b="5715"/>
              <wp:wrapNone/>
              <wp:docPr id="604477429"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79E7E774"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30C8A01F" w14:textId="77777777" w:rsidR="00145805" w:rsidRPr="00FD285F" w:rsidRDefault="00145805" w:rsidP="002518C2">
    <w:pPr>
      <w:pStyle w:val="Header"/>
      <w:jc w:val="right"/>
    </w:pP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EE66B" w14:textId="5B9EAD6C" w:rsidR="00023DC3" w:rsidRDefault="00023DC3" w:rsidP="007A4FE5">
    <w:pPr>
      <w:pStyle w:val="Header"/>
      <w:tabs>
        <w:tab w:val="clear" w:pos="8306"/>
        <w:tab w:val="right" w:pos="9639"/>
      </w:tabs>
    </w:pPr>
    <w:r>
      <w:t>Ashfield Draft Local Plan 2023 - 2040</w:t>
    </w:r>
    <w:r>
      <w:tab/>
    </w:r>
    <w:r>
      <w:tab/>
      <w:t>Chapter 5: Natural Environment &amp; Heritage</w:t>
    </w:r>
  </w:p>
  <w:p w14:paraId="445A992C" w14:textId="77777777" w:rsidR="00023DC3" w:rsidRPr="00FD285F" w:rsidRDefault="00023DC3" w:rsidP="002518C2">
    <w:pPr>
      <w:pStyle w:val="Header"/>
      <w:tabs>
        <w:tab w:val="clear" w:pos="4153"/>
        <w:tab w:val="clear" w:pos="8306"/>
        <w:tab w:val="left" w:pos="5459"/>
      </w:tabs>
    </w:pPr>
    <w:r>
      <w:rPr>
        <w:noProof/>
      </w:rPr>
      <mc:AlternateContent>
        <mc:Choice Requires="wps">
          <w:drawing>
            <wp:anchor distT="0" distB="0" distL="114300" distR="114300" simplePos="0" relativeHeight="251658251" behindDoc="0" locked="0" layoutInCell="1" allowOverlap="1" wp14:anchorId="085EC6BC" wp14:editId="36FACCA6">
              <wp:simplePos x="0" y="0"/>
              <wp:positionH relativeFrom="column">
                <wp:posOffset>22860</wp:posOffset>
              </wp:positionH>
              <wp:positionV relativeFrom="paragraph">
                <wp:posOffset>68580</wp:posOffset>
              </wp:positionV>
              <wp:extent cx="6179185" cy="635"/>
              <wp:effectExtent l="9525" t="12700" r="12065" b="5715"/>
              <wp:wrapNone/>
              <wp:docPr id="327592218"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4B15B4BA"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62B301F4" w14:textId="77777777" w:rsidR="00023DC3" w:rsidRPr="00FD285F" w:rsidRDefault="00023DC3" w:rsidP="002518C2">
    <w:pPr>
      <w:pStyle w:val="Header"/>
      <w:jc w:val="right"/>
    </w:pP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49A70" w14:textId="77777777" w:rsidR="00023DC3" w:rsidRDefault="00023DC3" w:rsidP="007A4FE5">
    <w:pPr>
      <w:pStyle w:val="Header"/>
      <w:tabs>
        <w:tab w:val="clear" w:pos="8306"/>
        <w:tab w:val="right" w:pos="9639"/>
      </w:tabs>
    </w:pPr>
    <w:r>
      <w:t>Ashfield Draft Local Plan 2023 - 2040</w:t>
    </w:r>
    <w:r>
      <w:tab/>
    </w:r>
    <w:r>
      <w:tab/>
      <w:t>Chapter 6: Local Housing</w:t>
    </w:r>
  </w:p>
  <w:p w14:paraId="49157DF9" w14:textId="77777777" w:rsidR="00023DC3" w:rsidRPr="00FD285F" w:rsidRDefault="00023DC3" w:rsidP="002518C2">
    <w:pPr>
      <w:pStyle w:val="Header"/>
      <w:tabs>
        <w:tab w:val="clear" w:pos="4153"/>
        <w:tab w:val="clear" w:pos="8306"/>
        <w:tab w:val="left" w:pos="5459"/>
      </w:tabs>
    </w:pPr>
    <w:r>
      <w:rPr>
        <w:noProof/>
      </w:rPr>
      <mc:AlternateContent>
        <mc:Choice Requires="wps">
          <w:drawing>
            <wp:anchor distT="0" distB="0" distL="114300" distR="114300" simplePos="0" relativeHeight="251658250" behindDoc="0" locked="0" layoutInCell="1" allowOverlap="1" wp14:anchorId="715C54C7" wp14:editId="7E2D4D33">
              <wp:simplePos x="0" y="0"/>
              <wp:positionH relativeFrom="column">
                <wp:posOffset>22860</wp:posOffset>
              </wp:positionH>
              <wp:positionV relativeFrom="paragraph">
                <wp:posOffset>68580</wp:posOffset>
              </wp:positionV>
              <wp:extent cx="6179185" cy="635"/>
              <wp:effectExtent l="9525" t="12700" r="12065" b="5715"/>
              <wp:wrapNone/>
              <wp:docPr id="1432360786" name="Auto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9185" cy="63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389DB255" id="_x0000_t32" coordsize="21600,21600" o:spt="32" o:oned="t" path="m,l21600,21600e" filled="f">
              <v:path arrowok="t" fillok="f" o:connecttype="none"/>
              <o:lock v:ext="edit" shapetype="t"/>
            </v:shapetype>
            <v:shape id="AutoShape 36" o:spid="_x0000_s1026" type="#_x0000_t32" alt="&quot;&quot;" style="position:absolute;margin-left:1.8pt;margin-top:5.4pt;width:486.55pt;height:.0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"/>
          </w:pict>
        </mc:Fallback>
      </mc:AlternateContent>
    </w:r>
  </w:p>
  <w:p w14:paraId="588E97A4" w14:textId="77777777" w:rsidR="00023DC3" w:rsidRPr="00FD285F" w:rsidRDefault="00023DC3" w:rsidP="002518C2">
    <w:pPr>
      <w:pStyle w:val="Header"/>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57CF8"/>
    <w:multiLevelType w:val="hybridMultilevel"/>
    <w:tmpl w:val="A2868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1A224A"/>
    <w:multiLevelType w:val="multilevel"/>
    <w:tmpl w:val="8A1AB0F2"/>
    <w:lvl w:ilvl="0">
      <w:start w:val="1"/>
      <w:numFmt w:val="decimal"/>
      <w:lvlText w:val="%1."/>
      <w:lvlJc w:val="left"/>
      <w:pPr>
        <w:tabs>
          <w:tab w:val="num" w:pos="0"/>
        </w:tabs>
        <w:ind w:left="0" w:hanging="360"/>
      </w:pPr>
      <w:rPr>
        <w:rFonts w:hint="default"/>
        <w:b w:val="0"/>
        <w:bCs/>
        <w:strike w:val="0"/>
        <w:color w:val="auto"/>
        <w:sz w:val="24"/>
        <w:szCs w:val="24"/>
      </w:rPr>
    </w:lvl>
    <w:lvl w:ilvl="1">
      <w:start w:val="1"/>
      <w:numFmt w:val="decimal"/>
      <w:lvlText w:val="6.%2."/>
      <w:lvlJc w:val="left"/>
      <w:pPr>
        <w:ind w:left="0" w:hanging="360"/>
      </w:pPr>
      <w:rPr>
        <w:rFonts w:ascii="Arial" w:hAnsi="Arial" w:cs="Arial" w:hint="default"/>
        <w:b w:val="0"/>
        <w:bCs w:val="0"/>
        <w:strike w:val="0"/>
        <w:color w:val="auto"/>
        <w:sz w:val="24"/>
        <w:szCs w:val="24"/>
      </w:rPr>
    </w:lvl>
    <w:lvl w:ilvl="2">
      <w:start w:val="1"/>
      <w:numFmt w:val="decimal"/>
      <w:isLgl/>
      <w:lvlText w:val="%1.%2.%3"/>
      <w:lvlJc w:val="left"/>
      <w:pPr>
        <w:ind w:left="360" w:hanging="720"/>
      </w:pPr>
      <w:rPr>
        <w:rFonts w:hint="default"/>
      </w:rPr>
    </w:lvl>
    <w:lvl w:ilvl="3">
      <w:start w:val="1"/>
      <w:numFmt w:val="decimal"/>
      <w:isLgl/>
      <w:lvlText w:val="%1.%2.%3.%4"/>
      <w:lvlJc w:val="left"/>
      <w:pPr>
        <w:ind w:left="720" w:hanging="1080"/>
      </w:pPr>
      <w:rPr>
        <w:rFonts w:hint="default"/>
      </w:rPr>
    </w:lvl>
    <w:lvl w:ilvl="4">
      <w:start w:val="1"/>
      <w:numFmt w:val="decimal"/>
      <w:isLgl/>
      <w:lvlText w:val="%1.%2.%3.%4.%5"/>
      <w:lvlJc w:val="left"/>
      <w:pPr>
        <w:ind w:left="720" w:hanging="1080"/>
      </w:pPr>
      <w:rPr>
        <w:rFonts w:hint="default"/>
      </w:rPr>
    </w:lvl>
    <w:lvl w:ilvl="5">
      <w:start w:val="1"/>
      <w:numFmt w:val="decimal"/>
      <w:isLgl/>
      <w:lvlText w:val="%1.%2.%3.%4.%5.%6"/>
      <w:lvlJc w:val="left"/>
      <w:pPr>
        <w:ind w:left="1080" w:hanging="1440"/>
      </w:pPr>
      <w:rPr>
        <w:rFonts w:hint="default"/>
      </w:rPr>
    </w:lvl>
    <w:lvl w:ilvl="6">
      <w:start w:val="1"/>
      <w:numFmt w:val="decimal"/>
      <w:isLgl/>
      <w:lvlText w:val="%1.%2.%3.%4.%5.%6.%7"/>
      <w:lvlJc w:val="left"/>
      <w:pPr>
        <w:ind w:left="1080" w:hanging="1440"/>
      </w:pPr>
      <w:rPr>
        <w:rFonts w:hint="default"/>
      </w:rPr>
    </w:lvl>
    <w:lvl w:ilvl="7">
      <w:start w:val="1"/>
      <w:numFmt w:val="decimal"/>
      <w:isLgl/>
      <w:lvlText w:val="%1.%2.%3.%4.%5.%6.%7.%8"/>
      <w:lvlJc w:val="left"/>
      <w:pPr>
        <w:ind w:left="1440" w:hanging="1800"/>
      </w:pPr>
      <w:rPr>
        <w:rFonts w:hint="default"/>
      </w:rPr>
    </w:lvl>
    <w:lvl w:ilvl="8">
      <w:start w:val="1"/>
      <w:numFmt w:val="decimal"/>
      <w:isLgl/>
      <w:lvlText w:val="%1.%2.%3.%4.%5.%6.%7.%8.%9"/>
      <w:lvlJc w:val="left"/>
      <w:pPr>
        <w:ind w:left="1440" w:hanging="1800"/>
      </w:pPr>
      <w:rPr>
        <w:rFonts w:hint="default"/>
      </w:rPr>
    </w:lvl>
  </w:abstractNum>
  <w:abstractNum w:abstractNumId="2" w15:restartNumberingAfterBreak="0">
    <w:nsid w:val="008B78A0"/>
    <w:multiLevelType w:val="hybridMultilevel"/>
    <w:tmpl w:val="682E2DA2"/>
    <w:lvl w:ilvl="0" w:tplc="0809001B">
      <w:start w:val="1"/>
      <w:numFmt w:val="lowerRoman"/>
      <w:lvlText w:val="%1."/>
      <w:lvlJc w:val="right"/>
      <w:pPr>
        <w:ind w:left="1604" w:hanging="360"/>
      </w:pPr>
      <w:rPr>
        <w:rFonts w:hint="default"/>
      </w:rPr>
    </w:lvl>
    <w:lvl w:ilvl="1" w:tplc="08090003" w:tentative="1">
      <w:start w:val="1"/>
      <w:numFmt w:val="bullet"/>
      <w:lvlText w:val="o"/>
      <w:lvlJc w:val="left"/>
      <w:pPr>
        <w:ind w:left="2324" w:hanging="360"/>
      </w:pPr>
      <w:rPr>
        <w:rFonts w:ascii="Courier New" w:hAnsi="Courier New" w:cs="Courier New" w:hint="default"/>
      </w:rPr>
    </w:lvl>
    <w:lvl w:ilvl="2" w:tplc="08090005" w:tentative="1">
      <w:start w:val="1"/>
      <w:numFmt w:val="bullet"/>
      <w:lvlText w:val=""/>
      <w:lvlJc w:val="left"/>
      <w:pPr>
        <w:ind w:left="3044" w:hanging="360"/>
      </w:pPr>
      <w:rPr>
        <w:rFonts w:ascii="Wingdings" w:hAnsi="Wingdings" w:hint="default"/>
      </w:rPr>
    </w:lvl>
    <w:lvl w:ilvl="3" w:tplc="08090001" w:tentative="1">
      <w:start w:val="1"/>
      <w:numFmt w:val="bullet"/>
      <w:lvlText w:val=""/>
      <w:lvlJc w:val="left"/>
      <w:pPr>
        <w:ind w:left="3764" w:hanging="360"/>
      </w:pPr>
      <w:rPr>
        <w:rFonts w:ascii="Symbol" w:hAnsi="Symbol" w:hint="default"/>
      </w:rPr>
    </w:lvl>
    <w:lvl w:ilvl="4" w:tplc="08090003" w:tentative="1">
      <w:start w:val="1"/>
      <w:numFmt w:val="bullet"/>
      <w:lvlText w:val="o"/>
      <w:lvlJc w:val="left"/>
      <w:pPr>
        <w:ind w:left="4484" w:hanging="360"/>
      </w:pPr>
      <w:rPr>
        <w:rFonts w:ascii="Courier New" w:hAnsi="Courier New" w:cs="Courier New" w:hint="default"/>
      </w:rPr>
    </w:lvl>
    <w:lvl w:ilvl="5" w:tplc="08090005" w:tentative="1">
      <w:start w:val="1"/>
      <w:numFmt w:val="bullet"/>
      <w:lvlText w:val=""/>
      <w:lvlJc w:val="left"/>
      <w:pPr>
        <w:ind w:left="5204" w:hanging="360"/>
      </w:pPr>
      <w:rPr>
        <w:rFonts w:ascii="Wingdings" w:hAnsi="Wingdings" w:hint="default"/>
      </w:rPr>
    </w:lvl>
    <w:lvl w:ilvl="6" w:tplc="08090001" w:tentative="1">
      <w:start w:val="1"/>
      <w:numFmt w:val="bullet"/>
      <w:lvlText w:val=""/>
      <w:lvlJc w:val="left"/>
      <w:pPr>
        <w:ind w:left="5924" w:hanging="360"/>
      </w:pPr>
      <w:rPr>
        <w:rFonts w:ascii="Symbol" w:hAnsi="Symbol" w:hint="default"/>
      </w:rPr>
    </w:lvl>
    <w:lvl w:ilvl="7" w:tplc="08090003" w:tentative="1">
      <w:start w:val="1"/>
      <w:numFmt w:val="bullet"/>
      <w:lvlText w:val="o"/>
      <w:lvlJc w:val="left"/>
      <w:pPr>
        <w:ind w:left="6644" w:hanging="360"/>
      </w:pPr>
      <w:rPr>
        <w:rFonts w:ascii="Courier New" w:hAnsi="Courier New" w:cs="Courier New" w:hint="default"/>
      </w:rPr>
    </w:lvl>
    <w:lvl w:ilvl="8" w:tplc="08090005" w:tentative="1">
      <w:start w:val="1"/>
      <w:numFmt w:val="bullet"/>
      <w:lvlText w:val=""/>
      <w:lvlJc w:val="left"/>
      <w:pPr>
        <w:ind w:left="7364" w:hanging="360"/>
      </w:pPr>
      <w:rPr>
        <w:rFonts w:ascii="Wingdings" w:hAnsi="Wingdings" w:hint="default"/>
      </w:rPr>
    </w:lvl>
  </w:abstractNum>
  <w:abstractNum w:abstractNumId="3" w15:restartNumberingAfterBreak="0">
    <w:nsid w:val="00C11036"/>
    <w:multiLevelType w:val="hybridMultilevel"/>
    <w:tmpl w:val="715A1880"/>
    <w:lvl w:ilvl="0" w:tplc="4044D592">
      <w:start w:val="1"/>
      <w:numFmt w:val="bullet"/>
      <w:lvlText w:val=""/>
      <w:lvlJc w:val="left"/>
      <w:pPr>
        <w:ind w:left="2160" w:hanging="360"/>
      </w:pPr>
      <w:rPr>
        <w:rFonts w:ascii="Symbol" w:hAnsi="Symbol" w:hint="default"/>
        <w:color w:val="auto"/>
      </w:rPr>
    </w:lvl>
    <w:lvl w:ilvl="1" w:tplc="08090003">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 w15:restartNumberingAfterBreak="0">
    <w:nsid w:val="014868BC"/>
    <w:multiLevelType w:val="hybridMultilevel"/>
    <w:tmpl w:val="680AE4FE"/>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20E729D"/>
    <w:multiLevelType w:val="hybridMultilevel"/>
    <w:tmpl w:val="180CE4A6"/>
    <w:lvl w:ilvl="0" w:tplc="2F0C4AB4">
      <w:start w:val="1"/>
      <w:numFmt w:val="bullet"/>
      <w:lvlText w:val=""/>
      <w:lvlJc w:val="left"/>
      <w:pPr>
        <w:ind w:left="1211" w:hanging="360"/>
      </w:pPr>
      <w:rPr>
        <w:rFonts w:ascii="Symbol" w:hAnsi="Symbol" w:hint="default"/>
        <w:strike w:val="0"/>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6" w15:restartNumberingAfterBreak="0">
    <w:nsid w:val="02163D92"/>
    <w:multiLevelType w:val="hybridMultilevel"/>
    <w:tmpl w:val="85AEFD8E"/>
    <w:lvl w:ilvl="0" w:tplc="FFFFFFFF">
      <w:start w:val="1"/>
      <w:numFmt w:val="lowerLetter"/>
      <w:lvlText w:val="%1."/>
      <w:lvlJc w:val="left"/>
      <w:pPr>
        <w:ind w:left="666" w:hanging="360"/>
      </w:pPr>
      <w:rPr>
        <w:rFonts w:hint="default"/>
        <w:color w:val="0070C0"/>
      </w:rPr>
    </w:lvl>
    <w:lvl w:ilvl="1" w:tplc="FFFFFFFF" w:tentative="1">
      <w:start w:val="1"/>
      <w:numFmt w:val="lowerLetter"/>
      <w:lvlText w:val="%2."/>
      <w:lvlJc w:val="left"/>
      <w:pPr>
        <w:ind w:left="1386" w:hanging="360"/>
      </w:pPr>
    </w:lvl>
    <w:lvl w:ilvl="2" w:tplc="FFFFFFFF" w:tentative="1">
      <w:start w:val="1"/>
      <w:numFmt w:val="lowerRoman"/>
      <w:lvlText w:val="%3."/>
      <w:lvlJc w:val="right"/>
      <w:pPr>
        <w:ind w:left="2106" w:hanging="180"/>
      </w:pPr>
    </w:lvl>
    <w:lvl w:ilvl="3" w:tplc="FFFFFFFF" w:tentative="1">
      <w:start w:val="1"/>
      <w:numFmt w:val="decimal"/>
      <w:lvlText w:val="%4."/>
      <w:lvlJc w:val="left"/>
      <w:pPr>
        <w:ind w:left="2826" w:hanging="360"/>
      </w:pPr>
    </w:lvl>
    <w:lvl w:ilvl="4" w:tplc="FFFFFFFF" w:tentative="1">
      <w:start w:val="1"/>
      <w:numFmt w:val="lowerLetter"/>
      <w:lvlText w:val="%5."/>
      <w:lvlJc w:val="left"/>
      <w:pPr>
        <w:ind w:left="3546" w:hanging="360"/>
      </w:pPr>
    </w:lvl>
    <w:lvl w:ilvl="5" w:tplc="FFFFFFFF" w:tentative="1">
      <w:start w:val="1"/>
      <w:numFmt w:val="lowerRoman"/>
      <w:lvlText w:val="%6."/>
      <w:lvlJc w:val="right"/>
      <w:pPr>
        <w:ind w:left="4266" w:hanging="180"/>
      </w:pPr>
    </w:lvl>
    <w:lvl w:ilvl="6" w:tplc="FFFFFFFF" w:tentative="1">
      <w:start w:val="1"/>
      <w:numFmt w:val="decimal"/>
      <w:lvlText w:val="%7."/>
      <w:lvlJc w:val="left"/>
      <w:pPr>
        <w:ind w:left="4986" w:hanging="360"/>
      </w:pPr>
    </w:lvl>
    <w:lvl w:ilvl="7" w:tplc="FFFFFFFF" w:tentative="1">
      <w:start w:val="1"/>
      <w:numFmt w:val="lowerLetter"/>
      <w:lvlText w:val="%8."/>
      <w:lvlJc w:val="left"/>
      <w:pPr>
        <w:ind w:left="5706" w:hanging="360"/>
      </w:pPr>
    </w:lvl>
    <w:lvl w:ilvl="8" w:tplc="FFFFFFFF" w:tentative="1">
      <w:start w:val="1"/>
      <w:numFmt w:val="lowerRoman"/>
      <w:lvlText w:val="%9."/>
      <w:lvlJc w:val="right"/>
      <w:pPr>
        <w:ind w:left="6426" w:hanging="180"/>
      </w:pPr>
    </w:lvl>
  </w:abstractNum>
  <w:abstractNum w:abstractNumId="7" w15:restartNumberingAfterBreak="0">
    <w:nsid w:val="02407606"/>
    <w:multiLevelType w:val="hybridMultilevel"/>
    <w:tmpl w:val="4DDEB00C"/>
    <w:lvl w:ilvl="0" w:tplc="0809000F">
      <w:start w:val="1"/>
      <w:numFmt w:val="decimal"/>
      <w:lvlText w:val="%1."/>
      <w:lvlJc w:val="left"/>
      <w:pPr>
        <w:ind w:left="430" w:hanging="360"/>
      </w:pPr>
      <w:rPr>
        <w:rFonts w:hint="default"/>
      </w:rPr>
    </w:lvl>
    <w:lvl w:ilvl="1" w:tplc="08090019" w:tentative="1">
      <w:start w:val="1"/>
      <w:numFmt w:val="lowerLetter"/>
      <w:lvlText w:val="%2."/>
      <w:lvlJc w:val="left"/>
      <w:pPr>
        <w:ind w:left="1150" w:hanging="360"/>
      </w:pPr>
    </w:lvl>
    <w:lvl w:ilvl="2" w:tplc="0809001B" w:tentative="1">
      <w:start w:val="1"/>
      <w:numFmt w:val="lowerRoman"/>
      <w:lvlText w:val="%3."/>
      <w:lvlJc w:val="right"/>
      <w:pPr>
        <w:ind w:left="1870" w:hanging="180"/>
      </w:pPr>
    </w:lvl>
    <w:lvl w:ilvl="3" w:tplc="0809000F" w:tentative="1">
      <w:start w:val="1"/>
      <w:numFmt w:val="decimal"/>
      <w:lvlText w:val="%4."/>
      <w:lvlJc w:val="left"/>
      <w:pPr>
        <w:ind w:left="2590" w:hanging="360"/>
      </w:pPr>
    </w:lvl>
    <w:lvl w:ilvl="4" w:tplc="08090019" w:tentative="1">
      <w:start w:val="1"/>
      <w:numFmt w:val="lowerLetter"/>
      <w:lvlText w:val="%5."/>
      <w:lvlJc w:val="left"/>
      <w:pPr>
        <w:ind w:left="3310" w:hanging="360"/>
      </w:pPr>
    </w:lvl>
    <w:lvl w:ilvl="5" w:tplc="0809001B" w:tentative="1">
      <w:start w:val="1"/>
      <w:numFmt w:val="lowerRoman"/>
      <w:lvlText w:val="%6."/>
      <w:lvlJc w:val="right"/>
      <w:pPr>
        <w:ind w:left="4030" w:hanging="180"/>
      </w:pPr>
    </w:lvl>
    <w:lvl w:ilvl="6" w:tplc="0809000F" w:tentative="1">
      <w:start w:val="1"/>
      <w:numFmt w:val="decimal"/>
      <w:lvlText w:val="%7."/>
      <w:lvlJc w:val="left"/>
      <w:pPr>
        <w:ind w:left="4750" w:hanging="360"/>
      </w:pPr>
    </w:lvl>
    <w:lvl w:ilvl="7" w:tplc="08090019" w:tentative="1">
      <w:start w:val="1"/>
      <w:numFmt w:val="lowerLetter"/>
      <w:lvlText w:val="%8."/>
      <w:lvlJc w:val="left"/>
      <w:pPr>
        <w:ind w:left="5470" w:hanging="360"/>
      </w:pPr>
    </w:lvl>
    <w:lvl w:ilvl="8" w:tplc="0809001B" w:tentative="1">
      <w:start w:val="1"/>
      <w:numFmt w:val="lowerRoman"/>
      <w:lvlText w:val="%9."/>
      <w:lvlJc w:val="right"/>
      <w:pPr>
        <w:ind w:left="6190" w:hanging="180"/>
      </w:pPr>
    </w:lvl>
  </w:abstractNum>
  <w:abstractNum w:abstractNumId="8" w15:restartNumberingAfterBreak="0">
    <w:nsid w:val="025B1959"/>
    <w:multiLevelType w:val="hybridMultilevel"/>
    <w:tmpl w:val="0C5CA7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25F312B"/>
    <w:multiLevelType w:val="hybridMultilevel"/>
    <w:tmpl w:val="41B8B842"/>
    <w:lvl w:ilvl="0" w:tplc="46CA2B3A">
      <w:start w:val="1"/>
      <w:numFmt w:val="lowerLetter"/>
      <w:lvlText w:val="%1."/>
      <w:lvlJc w:val="left"/>
      <w:pPr>
        <w:ind w:left="1040" w:hanging="360"/>
      </w:pPr>
      <w:rPr>
        <w:rFonts w:hint="default"/>
      </w:rPr>
    </w:lvl>
    <w:lvl w:ilvl="1" w:tplc="08090019" w:tentative="1">
      <w:start w:val="1"/>
      <w:numFmt w:val="lowerLetter"/>
      <w:lvlText w:val="%2."/>
      <w:lvlJc w:val="left"/>
      <w:pPr>
        <w:ind w:left="1760" w:hanging="360"/>
      </w:pPr>
    </w:lvl>
    <w:lvl w:ilvl="2" w:tplc="0809001B" w:tentative="1">
      <w:start w:val="1"/>
      <w:numFmt w:val="lowerRoman"/>
      <w:lvlText w:val="%3."/>
      <w:lvlJc w:val="right"/>
      <w:pPr>
        <w:ind w:left="2480" w:hanging="180"/>
      </w:pPr>
    </w:lvl>
    <w:lvl w:ilvl="3" w:tplc="0809000F" w:tentative="1">
      <w:start w:val="1"/>
      <w:numFmt w:val="decimal"/>
      <w:lvlText w:val="%4."/>
      <w:lvlJc w:val="left"/>
      <w:pPr>
        <w:ind w:left="3200" w:hanging="360"/>
      </w:pPr>
    </w:lvl>
    <w:lvl w:ilvl="4" w:tplc="08090019" w:tentative="1">
      <w:start w:val="1"/>
      <w:numFmt w:val="lowerLetter"/>
      <w:lvlText w:val="%5."/>
      <w:lvlJc w:val="left"/>
      <w:pPr>
        <w:ind w:left="3920" w:hanging="360"/>
      </w:pPr>
    </w:lvl>
    <w:lvl w:ilvl="5" w:tplc="0809001B" w:tentative="1">
      <w:start w:val="1"/>
      <w:numFmt w:val="lowerRoman"/>
      <w:lvlText w:val="%6."/>
      <w:lvlJc w:val="right"/>
      <w:pPr>
        <w:ind w:left="4640" w:hanging="180"/>
      </w:pPr>
    </w:lvl>
    <w:lvl w:ilvl="6" w:tplc="0809000F" w:tentative="1">
      <w:start w:val="1"/>
      <w:numFmt w:val="decimal"/>
      <w:lvlText w:val="%7."/>
      <w:lvlJc w:val="left"/>
      <w:pPr>
        <w:ind w:left="5360" w:hanging="360"/>
      </w:pPr>
    </w:lvl>
    <w:lvl w:ilvl="7" w:tplc="08090019" w:tentative="1">
      <w:start w:val="1"/>
      <w:numFmt w:val="lowerLetter"/>
      <w:lvlText w:val="%8."/>
      <w:lvlJc w:val="left"/>
      <w:pPr>
        <w:ind w:left="6080" w:hanging="360"/>
      </w:pPr>
    </w:lvl>
    <w:lvl w:ilvl="8" w:tplc="0809001B" w:tentative="1">
      <w:start w:val="1"/>
      <w:numFmt w:val="lowerRoman"/>
      <w:lvlText w:val="%9."/>
      <w:lvlJc w:val="right"/>
      <w:pPr>
        <w:ind w:left="6800" w:hanging="180"/>
      </w:pPr>
    </w:lvl>
  </w:abstractNum>
  <w:abstractNum w:abstractNumId="10" w15:restartNumberingAfterBreak="0">
    <w:nsid w:val="033E1131"/>
    <w:multiLevelType w:val="hybridMultilevel"/>
    <w:tmpl w:val="93584436"/>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1" w15:restartNumberingAfterBreak="0">
    <w:nsid w:val="03CF48D5"/>
    <w:multiLevelType w:val="multilevel"/>
    <w:tmpl w:val="846E0B58"/>
    <w:lvl w:ilvl="0">
      <w:start w:val="1"/>
      <w:numFmt w:val="decimal"/>
      <w:lvlText w:val="%1."/>
      <w:lvlJc w:val="left"/>
      <w:pPr>
        <w:ind w:left="360" w:hanging="360"/>
      </w:pPr>
      <w:rPr>
        <w:rFonts w:hint="default"/>
      </w:rPr>
    </w:lvl>
    <w:lvl w:ilvl="1">
      <w:start w:val="42"/>
      <w:numFmt w:val="decimal"/>
      <w:isLgl/>
      <w:lvlText w:val="%1.%2"/>
      <w:lvlJc w:val="left"/>
      <w:pPr>
        <w:ind w:left="460" w:hanging="4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04002E3C"/>
    <w:multiLevelType w:val="hybridMultilevel"/>
    <w:tmpl w:val="E52080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4B122A6"/>
    <w:multiLevelType w:val="multilevel"/>
    <w:tmpl w:val="9A507CAA"/>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b w:val="0"/>
        <w:bCs w:val="0"/>
        <w:strike w:val="0"/>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04C6557B"/>
    <w:multiLevelType w:val="hybridMultilevel"/>
    <w:tmpl w:val="31947508"/>
    <w:lvl w:ilvl="0" w:tplc="B34CEA1C">
      <w:start w:val="1"/>
      <w:numFmt w:val="bullet"/>
      <w:lvlText w:val=""/>
      <w:lvlJc w:val="left"/>
      <w:pPr>
        <w:ind w:left="1069" w:hanging="360"/>
      </w:pPr>
      <w:rPr>
        <w:rFonts w:ascii="Symbol" w:hAnsi="Symbol" w:hint="default"/>
        <w:sz w:val="24"/>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5" w15:restartNumberingAfterBreak="0">
    <w:nsid w:val="05357D4A"/>
    <w:multiLevelType w:val="hybridMultilevel"/>
    <w:tmpl w:val="9E26A95E"/>
    <w:lvl w:ilvl="0" w:tplc="08090001">
      <w:start w:val="1"/>
      <w:numFmt w:val="bullet"/>
      <w:lvlText w:val=""/>
      <w:lvlJc w:val="left"/>
      <w:pPr>
        <w:ind w:left="764" w:hanging="360"/>
      </w:pPr>
      <w:rPr>
        <w:rFonts w:ascii="Symbol" w:hAnsi="Symbol" w:hint="default"/>
      </w:rPr>
    </w:lvl>
    <w:lvl w:ilvl="1" w:tplc="08090003" w:tentative="1">
      <w:start w:val="1"/>
      <w:numFmt w:val="bullet"/>
      <w:lvlText w:val="o"/>
      <w:lvlJc w:val="left"/>
      <w:pPr>
        <w:ind w:left="1484" w:hanging="360"/>
      </w:pPr>
      <w:rPr>
        <w:rFonts w:ascii="Courier New" w:hAnsi="Courier New" w:cs="Courier New" w:hint="default"/>
      </w:rPr>
    </w:lvl>
    <w:lvl w:ilvl="2" w:tplc="08090005" w:tentative="1">
      <w:start w:val="1"/>
      <w:numFmt w:val="bullet"/>
      <w:lvlText w:val=""/>
      <w:lvlJc w:val="left"/>
      <w:pPr>
        <w:ind w:left="2204" w:hanging="360"/>
      </w:pPr>
      <w:rPr>
        <w:rFonts w:ascii="Wingdings" w:hAnsi="Wingdings" w:hint="default"/>
      </w:rPr>
    </w:lvl>
    <w:lvl w:ilvl="3" w:tplc="08090001" w:tentative="1">
      <w:start w:val="1"/>
      <w:numFmt w:val="bullet"/>
      <w:lvlText w:val=""/>
      <w:lvlJc w:val="left"/>
      <w:pPr>
        <w:ind w:left="2924" w:hanging="360"/>
      </w:pPr>
      <w:rPr>
        <w:rFonts w:ascii="Symbol" w:hAnsi="Symbol" w:hint="default"/>
      </w:rPr>
    </w:lvl>
    <w:lvl w:ilvl="4" w:tplc="08090003" w:tentative="1">
      <w:start w:val="1"/>
      <w:numFmt w:val="bullet"/>
      <w:lvlText w:val="o"/>
      <w:lvlJc w:val="left"/>
      <w:pPr>
        <w:ind w:left="3644" w:hanging="360"/>
      </w:pPr>
      <w:rPr>
        <w:rFonts w:ascii="Courier New" w:hAnsi="Courier New" w:cs="Courier New" w:hint="default"/>
      </w:rPr>
    </w:lvl>
    <w:lvl w:ilvl="5" w:tplc="08090005" w:tentative="1">
      <w:start w:val="1"/>
      <w:numFmt w:val="bullet"/>
      <w:lvlText w:val=""/>
      <w:lvlJc w:val="left"/>
      <w:pPr>
        <w:ind w:left="4364" w:hanging="360"/>
      </w:pPr>
      <w:rPr>
        <w:rFonts w:ascii="Wingdings" w:hAnsi="Wingdings" w:hint="default"/>
      </w:rPr>
    </w:lvl>
    <w:lvl w:ilvl="6" w:tplc="08090001" w:tentative="1">
      <w:start w:val="1"/>
      <w:numFmt w:val="bullet"/>
      <w:lvlText w:val=""/>
      <w:lvlJc w:val="left"/>
      <w:pPr>
        <w:ind w:left="5084" w:hanging="360"/>
      </w:pPr>
      <w:rPr>
        <w:rFonts w:ascii="Symbol" w:hAnsi="Symbol" w:hint="default"/>
      </w:rPr>
    </w:lvl>
    <w:lvl w:ilvl="7" w:tplc="08090003" w:tentative="1">
      <w:start w:val="1"/>
      <w:numFmt w:val="bullet"/>
      <w:lvlText w:val="o"/>
      <w:lvlJc w:val="left"/>
      <w:pPr>
        <w:ind w:left="5804" w:hanging="360"/>
      </w:pPr>
      <w:rPr>
        <w:rFonts w:ascii="Courier New" w:hAnsi="Courier New" w:cs="Courier New" w:hint="default"/>
      </w:rPr>
    </w:lvl>
    <w:lvl w:ilvl="8" w:tplc="08090005" w:tentative="1">
      <w:start w:val="1"/>
      <w:numFmt w:val="bullet"/>
      <w:lvlText w:val=""/>
      <w:lvlJc w:val="left"/>
      <w:pPr>
        <w:ind w:left="6524" w:hanging="360"/>
      </w:pPr>
      <w:rPr>
        <w:rFonts w:ascii="Wingdings" w:hAnsi="Wingdings" w:hint="default"/>
      </w:rPr>
    </w:lvl>
  </w:abstractNum>
  <w:abstractNum w:abstractNumId="16" w15:restartNumberingAfterBreak="0">
    <w:nsid w:val="05D8580C"/>
    <w:multiLevelType w:val="hybridMultilevel"/>
    <w:tmpl w:val="17BC096A"/>
    <w:lvl w:ilvl="0" w:tplc="F23EFEAE">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5F36C4B"/>
    <w:multiLevelType w:val="hybridMultilevel"/>
    <w:tmpl w:val="836093A0"/>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60642CF"/>
    <w:multiLevelType w:val="hybridMultilevel"/>
    <w:tmpl w:val="91E6B242"/>
    <w:lvl w:ilvl="0" w:tplc="0809001B">
      <w:start w:val="1"/>
      <w:numFmt w:val="lowerRoman"/>
      <w:lvlText w:val="%1."/>
      <w:lvlJc w:val="righ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06093A94"/>
    <w:multiLevelType w:val="hybridMultilevel"/>
    <w:tmpl w:val="AE94197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564B5B"/>
    <w:multiLevelType w:val="hybridMultilevel"/>
    <w:tmpl w:val="1D1295BA"/>
    <w:lvl w:ilvl="0" w:tplc="6AD87B96">
      <w:start w:val="1"/>
      <w:numFmt w:val="decimal"/>
      <w:lvlText w:val="%1."/>
      <w:lvlJc w:val="left"/>
      <w:pPr>
        <w:tabs>
          <w:tab w:val="num" w:pos="360"/>
        </w:tabs>
        <w:ind w:left="360" w:hanging="360"/>
      </w:pPr>
      <w:rPr>
        <w:rFonts w:hint="default"/>
        <w:b w:val="0"/>
        <w:bCs/>
        <w:strike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70F02A9"/>
    <w:multiLevelType w:val="hybridMultilevel"/>
    <w:tmpl w:val="8D00CB96"/>
    <w:lvl w:ilvl="0" w:tplc="B34CEA1C">
      <w:start w:val="1"/>
      <w:numFmt w:val="bullet"/>
      <w:lvlText w:val=""/>
      <w:lvlJc w:val="left"/>
      <w:pPr>
        <w:ind w:left="1069" w:hanging="360"/>
      </w:pPr>
      <w:rPr>
        <w:rFonts w:ascii="Symbol" w:hAnsi="Symbol" w:hint="default"/>
        <w:sz w:val="24"/>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2" w15:restartNumberingAfterBreak="0">
    <w:nsid w:val="07E80167"/>
    <w:multiLevelType w:val="hybridMultilevel"/>
    <w:tmpl w:val="029C61D0"/>
    <w:lvl w:ilvl="0" w:tplc="29F4FEEA">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80C6808"/>
    <w:multiLevelType w:val="hybridMultilevel"/>
    <w:tmpl w:val="B642759E"/>
    <w:lvl w:ilvl="0" w:tplc="C994B3B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089C7101"/>
    <w:multiLevelType w:val="hybridMultilevel"/>
    <w:tmpl w:val="CF8EF150"/>
    <w:lvl w:ilvl="0" w:tplc="47E0DBC8">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9302477"/>
    <w:multiLevelType w:val="hybridMultilevel"/>
    <w:tmpl w:val="464C2B4C"/>
    <w:lvl w:ilvl="0" w:tplc="8B941D0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09510925"/>
    <w:multiLevelType w:val="hybridMultilevel"/>
    <w:tmpl w:val="62E679D4"/>
    <w:lvl w:ilvl="0" w:tplc="51D49410">
      <w:start w:val="1"/>
      <w:numFmt w:val="decimal"/>
      <w:lvlText w:val="%1."/>
      <w:lvlJc w:val="left"/>
      <w:pPr>
        <w:ind w:left="720" w:hanging="360"/>
      </w:pPr>
      <w:rPr>
        <w:rFonts w:cs="Arial"/>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9595ED5"/>
    <w:multiLevelType w:val="hybridMultilevel"/>
    <w:tmpl w:val="ACE2066E"/>
    <w:lvl w:ilvl="0" w:tplc="7FB01DF2">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096048A2"/>
    <w:multiLevelType w:val="hybridMultilevel"/>
    <w:tmpl w:val="60A895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9FA7E41"/>
    <w:multiLevelType w:val="hybridMultilevel"/>
    <w:tmpl w:val="A43E496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0" w15:restartNumberingAfterBreak="0">
    <w:nsid w:val="0A3C4C42"/>
    <w:multiLevelType w:val="hybridMultilevel"/>
    <w:tmpl w:val="68608502"/>
    <w:lvl w:ilvl="0" w:tplc="D7E878D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A4A5818"/>
    <w:multiLevelType w:val="hybridMultilevel"/>
    <w:tmpl w:val="CEC29156"/>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0A9515BF"/>
    <w:multiLevelType w:val="hybridMultilevel"/>
    <w:tmpl w:val="8F0C2E64"/>
    <w:lvl w:ilvl="0" w:tplc="195C2C40">
      <w:start w:val="1"/>
      <w:numFmt w:val="lowerLetter"/>
      <w:lvlText w:val="%1)"/>
      <w:lvlJc w:val="left"/>
      <w:pPr>
        <w:ind w:left="360" w:hanging="360"/>
      </w:pPr>
      <w:rPr>
        <w:rFonts w:ascii="Arial" w:eastAsia="Arial" w:hAnsi="Arial" w:cs="Arial"/>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0B142E24"/>
    <w:multiLevelType w:val="hybridMultilevel"/>
    <w:tmpl w:val="DB26D8C0"/>
    <w:lvl w:ilvl="0" w:tplc="B51A2B8E">
      <w:start w:val="1"/>
      <w:numFmt w:val="decimal"/>
      <w:lvlText w:val="%1."/>
      <w:lvlJc w:val="left"/>
      <w:pPr>
        <w:ind w:left="36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B2411BD"/>
    <w:multiLevelType w:val="hybridMultilevel"/>
    <w:tmpl w:val="87BCA68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0B311932"/>
    <w:multiLevelType w:val="hybridMultilevel"/>
    <w:tmpl w:val="921EFC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0B52006F"/>
    <w:multiLevelType w:val="hybridMultilevel"/>
    <w:tmpl w:val="A4109B24"/>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7" w15:restartNumberingAfterBreak="0">
    <w:nsid w:val="0B560857"/>
    <w:multiLevelType w:val="hybridMultilevel"/>
    <w:tmpl w:val="46F6A59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0BA9797F"/>
    <w:multiLevelType w:val="hybridMultilevel"/>
    <w:tmpl w:val="A852EE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0CD462F6"/>
    <w:multiLevelType w:val="hybridMultilevel"/>
    <w:tmpl w:val="8D242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D5110CB"/>
    <w:multiLevelType w:val="hybridMultilevel"/>
    <w:tmpl w:val="E2BA8C28"/>
    <w:lvl w:ilvl="0" w:tplc="21AE8200">
      <w:start w:val="1"/>
      <w:numFmt w:val="decimal"/>
      <w:lvlText w:val="%1."/>
      <w:lvlJc w:val="left"/>
      <w:pPr>
        <w:ind w:left="360" w:hanging="360"/>
      </w:pPr>
      <w:rPr>
        <w:strike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D797A16"/>
    <w:multiLevelType w:val="hybridMultilevel"/>
    <w:tmpl w:val="D0E22D9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42" w15:restartNumberingAfterBreak="0">
    <w:nsid w:val="0D883CAC"/>
    <w:multiLevelType w:val="hybridMultilevel"/>
    <w:tmpl w:val="622C8DA4"/>
    <w:lvl w:ilvl="0" w:tplc="CD863C0A">
      <w:start w:val="1"/>
      <w:numFmt w:val="decimal"/>
      <w:lvlText w:val="%1."/>
      <w:lvlJc w:val="left"/>
      <w:pPr>
        <w:tabs>
          <w:tab w:val="num" w:pos="360"/>
        </w:tabs>
        <w:ind w:left="360" w:hanging="360"/>
      </w:pPr>
      <w:rPr>
        <w:rFonts w:hint="default"/>
        <w:b w:val="0"/>
        <w:bCs w:val="0"/>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0D8D0262"/>
    <w:multiLevelType w:val="hybridMultilevel"/>
    <w:tmpl w:val="EF7AA0E4"/>
    <w:lvl w:ilvl="0" w:tplc="49EE9FDA">
      <w:start w:val="1"/>
      <w:numFmt w:val="decimal"/>
      <w:lvlText w:val="%1."/>
      <w:lvlJc w:val="left"/>
      <w:pPr>
        <w:tabs>
          <w:tab w:val="num" w:pos="360"/>
        </w:tabs>
        <w:ind w:left="360" w:hanging="360"/>
      </w:pPr>
      <w:rPr>
        <w:rFonts w:hint="default"/>
        <w:color w:val="auto"/>
      </w:rPr>
    </w:lvl>
    <w:lvl w:ilvl="1" w:tplc="70CCB80E">
      <w:start w:val="1"/>
      <w:numFmt w:val="lowerLetter"/>
      <w:lvlText w:val="%2)"/>
      <w:lvlJc w:val="left"/>
      <w:pPr>
        <w:tabs>
          <w:tab w:val="num" w:pos="1590"/>
        </w:tabs>
        <w:ind w:left="1590" w:hanging="51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4" w15:restartNumberingAfterBreak="0">
    <w:nsid w:val="0E42255B"/>
    <w:multiLevelType w:val="hybridMultilevel"/>
    <w:tmpl w:val="7CF659D6"/>
    <w:lvl w:ilvl="0" w:tplc="D7E878D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E4936A3"/>
    <w:multiLevelType w:val="hybridMultilevel"/>
    <w:tmpl w:val="A8A427D6"/>
    <w:lvl w:ilvl="0" w:tplc="344810F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0EB558C3"/>
    <w:multiLevelType w:val="hybridMultilevel"/>
    <w:tmpl w:val="0C4C4386"/>
    <w:lvl w:ilvl="0" w:tplc="B34CEA1C">
      <w:start w:val="1"/>
      <w:numFmt w:val="bullet"/>
      <w:lvlText w:val=""/>
      <w:lvlJc w:val="left"/>
      <w:pPr>
        <w:ind w:left="720" w:hanging="360"/>
      </w:pPr>
      <w:rPr>
        <w:rFonts w:ascii="Symbol" w:hAnsi="Symbol"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0EF61B75"/>
    <w:multiLevelType w:val="hybridMultilevel"/>
    <w:tmpl w:val="750E05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0F350F8E"/>
    <w:multiLevelType w:val="hybridMultilevel"/>
    <w:tmpl w:val="B7DE50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0F696CEC"/>
    <w:multiLevelType w:val="hybridMultilevel"/>
    <w:tmpl w:val="C9369FC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0" w15:restartNumberingAfterBreak="0">
    <w:nsid w:val="0F974EBA"/>
    <w:multiLevelType w:val="multilevel"/>
    <w:tmpl w:val="692ACEB8"/>
    <w:lvl w:ilvl="0">
      <w:start w:val="1"/>
      <w:numFmt w:val="bullet"/>
      <w:lvlText w:val=""/>
      <w:lvlJc w:val="left"/>
      <w:pPr>
        <w:ind w:left="35" w:hanging="460"/>
      </w:pPr>
      <w:rPr>
        <w:rFonts w:ascii="Symbol" w:hAnsi="Symbol" w:hint="default"/>
      </w:rPr>
    </w:lvl>
    <w:lvl w:ilvl="1">
      <w:start w:val="16"/>
      <w:numFmt w:val="decimal"/>
      <w:lvlText w:val="%1.%2"/>
      <w:lvlJc w:val="left"/>
      <w:pPr>
        <w:ind w:left="35" w:hanging="460"/>
      </w:pPr>
      <w:rPr>
        <w:rFonts w:ascii="Arial" w:hAnsi="Arial" w:cs="Arial" w:hint="default"/>
        <w:b w:val="0"/>
        <w:bCs w:val="0"/>
        <w:strike w:val="0"/>
        <w:color w:val="auto"/>
      </w:rPr>
    </w:lvl>
    <w:lvl w:ilvl="2">
      <w:start w:val="1"/>
      <w:numFmt w:val="decimal"/>
      <w:lvlText w:val="%1.%2.%3"/>
      <w:lvlJc w:val="left"/>
      <w:pPr>
        <w:ind w:left="295" w:hanging="720"/>
      </w:pPr>
      <w:rPr>
        <w:rFonts w:hint="default"/>
      </w:rPr>
    </w:lvl>
    <w:lvl w:ilvl="3">
      <w:start w:val="1"/>
      <w:numFmt w:val="decimal"/>
      <w:lvlText w:val="%1.%2.%3.%4"/>
      <w:lvlJc w:val="left"/>
      <w:pPr>
        <w:ind w:left="655" w:hanging="1080"/>
      </w:pPr>
      <w:rPr>
        <w:rFonts w:hint="default"/>
      </w:rPr>
    </w:lvl>
    <w:lvl w:ilvl="4">
      <w:start w:val="1"/>
      <w:numFmt w:val="decimal"/>
      <w:lvlText w:val="%1.%2.%3.%4.%5"/>
      <w:lvlJc w:val="left"/>
      <w:pPr>
        <w:ind w:left="655" w:hanging="1080"/>
      </w:pPr>
      <w:rPr>
        <w:rFonts w:hint="default"/>
      </w:rPr>
    </w:lvl>
    <w:lvl w:ilvl="5">
      <w:start w:val="1"/>
      <w:numFmt w:val="decimal"/>
      <w:lvlText w:val="%1.%2.%3.%4.%5.%6"/>
      <w:lvlJc w:val="left"/>
      <w:pPr>
        <w:ind w:left="1015" w:hanging="1440"/>
      </w:pPr>
      <w:rPr>
        <w:rFonts w:hint="default"/>
      </w:rPr>
    </w:lvl>
    <w:lvl w:ilvl="6">
      <w:start w:val="1"/>
      <w:numFmt w:val="decimal"/>
      <w:lvlText w:val="%1.%2.%3.%4.%5.%6.%7"/>
      <w:lvlJc w:val="left"/>
      <w:pPr>
        <w:ind w:left="1015" w:hanging="1440"/>
      </w:pPr>
      <w:rPr>
        <w:rFonts w:hint="default"/>
      </w:rPr>
    </w:lvl>
    <w:lvl w:ilvl="7">
      <w:start w:val="1"/>
      <w:numFmt w:val="decimal"/>
      <w:lvlText w:val="%1.%2.%3.%4.%5.%6.%7.%8"/>
      <w:lvlJc w:val="left"/>
      <w:pPr>
        <w:ind w:left="1375" w:hanging="1800"/>
      </w:pPr>
      <w:rPr>
        <w:rFonts w:hint="default"/>
      </w:rPr>
    </w:lvl>
    <w:lvl w:ilvl="8">
      <w:start w:val="1"/>
      <w:numFmt w:val="decimal"/>
      <w:lvlText w:val="%1.%2.%3.%4.%5.%6.%7.%8.%9"/>
      <w:lvlJc w:val="left"/>
      <w:pPr>
        <w:ind w:left="1375" w:hanging="1800"/>
      </w:pPr>
      <w:rPr>
        <w:rFonts w:hint="default"/>
      </w:rPr>
    </w:lvl>
  </w:abstractNum>
  <w:abstractNum w:abstractNumId="51" w15:restartNumberingAfterBreak="0">
    <w:nsid w:val="100F34EF"/>
    <w:multiLevelType w:val="hybridMultilevel"/>
    <w:tmpl w:val="E6D2931E"/>
    <w:lvl w:ilvl="0" w:tplc="114AA40C">
      <w:start w:val="1"/>
      <w:numFmt w:val="lowerRoman"/>
      <w:lvlText w:val="%1."/>
      <w:lvlJc w:val="left"/>
      <w:pPr>
        <w:ind w:left="1177" w:hanging="360"/>
      </w:pPr>
      <w:rPr>
        <w:rFonts w:hint="default"/>
      </w:rPr>
    </w:lvl>
    <w:lvl w:ilvl="1" w:tplc="08090019" w:tentative="1">
      <w:start w:val="1"/>
      <w:numFmt w:val="lowerLetter"/>
      <w:lvlText w:val="%2."/>
      <w:lvlJc w:val="left"/>
      <w:pPr>
        <w:ind w:left="1897" w:hanging="360"/>
      </w:pPr>
    </w:lvl>
    <w:lvl w:ilvl="2" w:tplc="0809001B" w:tentative="1">
      <w:start w:val="1"/>
      <w:numFmt w:val="lowerRoman"/>
      <w:lvlText w:val="%3."/>
      <w:lvlJc w:val="right"/>
      <w:pPr>
        <w:ind w:left="2617" w:hanging="180"/>
      </w:pPr>
    </w:lvl>
    <w:lvl w:ilvl="3" w:tplc="0809000F" w:tentative="1">
      <w:start w:val="1"/>
      <w:numFmt w:val="decimal"/>
      <w:lvlText w:val="%4."/>
      <w:lvlJc w:val="left"/>
      <w:pPr>
        <w:ind w:left="3337" w:hanging="360"/>
      </w:pPr>
    </w:lvl>
    <w:lvl w:ilvl="4" w:tplc="08090019" w:tentative="1">
      <w:start w:val="1"/>
      <w:numFmt w:val="lowerLetter"/>
      <w:lvlText w:val="%5."/>
      <w:lvlJc w:val="left"/>
      <w:pPr>
        <w:ind w:left="4057" w:hanging="360"/>
      </w:pPr>
    </w:lvl>
    <w:lvl w:ilvl="5" w:tplc="0809001B" w:tentative="1">
      <w:start w:val="1"/>
      <w:numFmt w:val="lowerRoman"/>
      <w:lvlText w:val="%6."/>
      <w:lvlJc w:val="right"/>
      <w:pPr>
        <w:ind w:left="4777" w:hanging="180"/>
      </w:pPr>
    </w:lvl>
    <w:lvl w:ilvl="6" w:tplc="0809000F" w:tentative="1">
      <w:start w:val="1"/>
      <w:numFmt w:val="decimal"/>
      <w:lvlText w:val="%7."/>
      <w:lvlJc w:val="left"/>
      <w:pPr>
        <w:ind w:left="5497" w:hanging="360"/>
      </w:pPr>
    </w:lvl>
    <w:lvl w:ilvl="7" w:tplc="08090019" w:tentative="1">
      <w:start w:val="1"/>
      <w:numFmt w:val="lowerLetter"/>
      <w:lvlText w:val="%8."/>
      <w:lvlJc w:val="left"/>
      <w:pPr>
        <w:ind w:left="6217" w:hanging="360"/>
      </w:pPr>
    </w:lvl>
    <w:lvl w:ilvl="8" w:tplc="0809001B" w:tentative="1">
      <w:start w:val="1"/>
      <w:numFmt w:val="lowerRoman"/>
      <w:lvlText w:val="%9."/>
      <w:lvlJc w:val="right"/>
      <w:pPr>
        <w:ind w:left="6937" w:hanging="180"/>
      </w:pPr>
    </w:lvl>
  </w:abstractNum>
  <w:abstractNum w:abstractNumId="52" w15:restartNumberingAfterBreak="0">
    <w:nsid w:val="10E6047F"/>
    <w:multiLevelType w:val="hybridMultilevel"/>
    <w:tmpl w:val="7214D752"/>
    <w:lvl w:ilvl="0" w:tplc="9C2CE666">
      <w:start w:val="1"/>
      <w:numFmt w:val="lowerLetter"/>
      <w:lvlText w:val="%1)"/>
      <w:lvlJc w:val="left"/>
      <w:pPr>
        <w:ind w:left="720" w:hanging="360"/>
      </w:pPr>
      <w:rPr>
        <w:rFonts w:hint="default"/>
        <w:b w:val="0"/>
        <w:bCs w:val="0"/>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11077543"/>
    <w:multiLevelType w:val="hybridMultilevel"/>
    <w:tmpl w:val="CF663C4C"/>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4" w15:restartNumberingAfterBreak="0">
    <w:nsid w:val="11633577"/>
    <w:multiLevelType w:val="hybridMultilevel"/>
    <w:tmpl w:val="B1D25F80"/>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11EC42F1"/>
    <w:multiLevelType w:val="hybridMultilevel"/>
    <w:tmpl w:val="942AB6B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6" w15:restartNumberingAfterBreak="0">
    <w:nsid w:val="127419B6"/>
    <w:multiLevelType w:val="hybridMultilevel"/>
    <w:tmpl w:val="826CF6C0"/>
    <w:lvl w:ilvl="0" w:tplc="08090001">
      <w:start w:val="1"/>
      <w:numFmt w:val="bullet"/>
      <w:lvlText w:val=""/>
      <w:lvlJc w:val="left"/>
      <w:pPr>
        <w:ind w:left="2288" w:hanging="360"/>
      </w:pPr>
      <w:rPr>
        <w:rFonts w:ascii="Symbol" w:hAnsi="Symbol" w:hint="default"/>
      </w:rPr>
    </w:lvl>
    <w:lvl w:ilvl="1" w:tplc="08090003" w:tentative="1">
      <w:start w:val="1"/>
      <w:numFmt w:val="bullet"/>
      <w:lvlText w:val="o"/>
      <w:lvlJc w:val="left"/>
      <w:pPr>
        <w:ind w:left="3008" w:hanging="360"/>
      </w:pPr>
      <w:rPr>
        <w:rFonts w:ascii="Courier New" w:hAnsi="Courier New" w:cs="Courier New" w:hint="default"/>
      </w:rPr>
    </w:lvl>
    <w:lvl w:ilvl="2" w:tplc="08090005" w:tentative="1">
      <w:start w:val="1"/>
      <w:numFmt w:val="bullet"/>
      <w:lvlText w:val=""/>
      <w:lvlJc w:val="left"/>
      <w:pPr>
        <w:ind w:left="3728" w:hanging="360"/>
      </w:pPr>
      <w:rPr>
        <w:rFonts w:ascii="Wingdings" w:hAnsi="Wingdings" w:hint="default"/>
      </w:rPr>
    </w:lvl>
    <w:lvl w:ilvl="3" w:tplc="08090001" w:tentative="1">
      <w:start w:val="1"/>
      <w:numFmt w:val="bullet"/>
      <w:lvlText w:val=""/>
      <w:lvlJc w:val="left"/>
      <w:pPr>
        <w:ind w:left="4448" w:hanging="360"/>
      </w:pPr>
      <w:rPr>
        <w:rFonts w:ascii="Symbol" w:hAnsi="Symbol" w:hint="default"/>
      </w:rPr>
    </w:lvl>
    <w:lvl w:ilvl="4" w:tplc="08090003" w:tentative="1">
      <w:start w:val="1"/>
      <w:numFmt w:val="bullet"/>
      <w:lvlText w:val="o"/>
      <w:lvlJc w:val="left"/>
      <w:pPr>
        <w:ind w:left="5168" w:hanging="360"/>
      </w:pPr>
      <w:rPr>
        <w:rFonts w:ascii="Courier New" w:hAnsi="Courier New" w:cs="Courier New" w:hint="default"/>
      </w:rPr>
    </w:lvl>
    <w:lvl w:ilvl="5" w:tplc="08090005" w:tentative="1">
      <w:start w:val="1"/>
      <w:numFmt w:val="bullet"/>
      <w:lvlText w:val=""/>
      <w:lvlJc w:val="left"/>
      <w:pPr>
        <w:ind w:left="5888" w:hanging="360"/>
      </w:pPr>
      <w:rPr>
        <w:rFonts w:ascii="Wingdings" w:hAnsi="Wingdings" w:hint="default"/>
      </w:rPr>
    </w:lvl>
    <w:lvl w:ilvl="6" w:tplc="08090001" w:tentative="1">
      <w:start w:val="1"/>
      <w:numFmt w:val="bullet"/>
      <w:lvlText w:val=""/>
      <w:lvlJc w:val="left"/>
      <w:pPr>
        <w:ind w:left="6608" w:hanging="360"/>
      </w:pPr>
      <w:rPr>
        <w:rFonts w:ascii="Symbol" w:hAnsi="Symbol" w:hint="default"/>
      </w:rPr>
    </w:lvl>
    <w:lvl w:ilvl="7" w:tplc="08090003" w:tentative="1">
      <w:start w:val="1"/>
      <w:numFmt w:val="bullet"/>
      <w:lvlText w:val="o"/>
      <w:lvlJc w:val="left"/>
      <w:pPr>
        <w:ind w:left="7328" w:hanging="360"/>
      </w:pPr>
      <w:rPr>
        <w:rFonts w:ascii="Courier New" w:hAnsi="Courier New" w:cs="Courier New" w:hint="default"/>
      </w:rPr>
    </w:lvl>
    <w:lvl w:ilvl="8" w:tplc="08090005" w:tentative="1">
      <w:start w:val="1"/>
      <w:numFmt w:val="bullet"/>
      <w:lvlText w:val=""/>
      <w:lvlJc w:val="left"/>
      <w:pPr>
        <w:ind w:left="8048" w:hanging="360"/>
      </w:pPr>
      <w:rPr>
        <w:rFonts w:ascii="Wingdings" w:hAnsi="Wingdings" w:hint="default"/>
      </w:rPr>
    </w:lvl>
  </w:abstractNum>
  <w:abstractNum w:abstractNumId="57" w15:restartNumberingAfterBreak="0">
    <w:nsid w:val="1289535B"/>
    <w:multiLevelType w:val="hybridMultilevel"/>
    <w:tmpl w:val="E2CEA97C"/>
    <w:lvl w:ilvl="0" w:tplc="08090019">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31D6664"/>
    <w:multiLevelType w:val="hybridMultilevel"/>
    <w:tmpl w:val="CF6E65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13C409BB"/>
    <w:multiLevelType w:val="hybridMultilevel"/>
    <w:tmpl w:val="E6CA85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14203D4E"/>
    <w:multiLevelType w:val="hybridMultilevel"/>
    <w:tmpl w:val="1CFEB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14664DFC"/>
    <w:multiLevelType w:val="hybridMultilevel"/>
    <w:tmpl w:val="EB085156"/>
    <w:lvl w:ilvl="0" w:tplc="45CE3E3E">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48019D7"/>
    <w:multiLevelType w:val="hybridMultilevel"/>
    <w:tmpl w:val="06A2C7AC"/>
    <w:lvl w:ilvl="0" w:tplc="08090001">
      <w:start w:val="1"/>
      <w:numFmt w:val="bullet"/>
      <w:lvlText w:val=""/>
      <w:lvlJc w:val="left"/>
      <w:pPr>
        <w:ind w:left="961" w:hanging="360"/>
      </w:pPr>
      <w:rPr>
        <w:rFonts w:ascii="Symbol" w:hAnsi="Symbol" w:hint="default"/>
      </w:rPr>
    </w:lvl>
    <w:lvl w:ilvl="1" w:tplc="08090003" w:tentative="1">
      <w:start w:val="1"/>
      <w:numFmt w:val="bullet"/>
      <w:lvlText w:val="o"/>
      <w:lvlJc w:val="left"/>
      <w:pPr>
        <w:ind w:left="1681" w:hanging="360"/>
      </w:pPr>
      <w:rPr>
        <w:rFonts w:ascii="Courier New" w:hAnsi="Courier New" w:cs="Courier New" w:hint="default"/>
      </w:rPr>
    </w:lvl>
    <w:lvl w:ilvl="2" w:tplc="08090005" w:tentative="1">
      <w:start w:val="1"/>
      <w:numFmt w:val="bullet"/>
      <w:lvlText w:val=""/>
      <w:lvlJc w:val="left"/>
      <w:pPr>
        <w:ind w:left="2401" w:hanging="360"/>
      </w:pPr>
      <w:rPr>
        <w:rFonts w:ascii="Wingdings" w:hAnsi="Wingdings" w:hint="default"/>
      </w:rPr>
    </w:lvl>
    <w:lvl w:ilvl="3" w:tplc="08090001" w:tentative="1">
      <w:start w:val="1"/>
      <w:numFmt w:val="bullet"/>
      <w:lvlText w:val=""/>
      <w:lvlJc w:val="left"/>
      <w:pPr>
        <w:ind w:left="3121" w:hanging="360"/>
      </w:pPr>
      <w:rPr>
        <w:rFonts w:ascii="Symbol" w:hAnsi="Symbol" w:hint="default"/>
      </w:rPr>
    </w:lvl>
    <w:lvl w:ilvl="4" w:tplc="08090003" w:tentative="1">
      <w:start w:val="1"/>
      <w:numFmt w:val="bullet"/>
      <w:lvlText w:val="o"/>
      <w:lvlJc w:val="left"/>
      <w:pPr>
        <w:ind w:left="3841" w:hanging="360"/>
      </w:pPr>
      <w:rPr>
        <w:rFonts w:ascii="Courier New" w:hAnsi="Courier New" w:cs="Courier New" w:hint="default"/>
      </w:rPr>
    </w:lvl>
    <w:lvl w:ilvl="5" w:tplc="08090005" w:tentative="1">
      <w:start w:val="1"/>
      <w:numFmt w:val="bullet"/>
      <w:lvlText w:val=""/>
      <w:lvlJc w:val="left"/>
      <w:pPr>
        <w:ind w:left="4561" w:hanging="360"/>
      </w:pPr>
      <w:rPr>
        <w:rFonts w:ascii="Wingdings" w:hAnsi="Wingdings" w:hint="default"/>
      </w:rPr>
    </w:lvl>
    <w:lvl w:ilvl="6" w:tplc="08090001" w:tentative="1">
      <w:start w:val="1"/>
      <w:numFmt w:val="bullet"/>
      <w:lvlText w:val=""/>
      <w:lvlJc w:val="left"/>
      <w:pPr>
        <w:ind w:left="5281" w:hanging="360"/>
      </w:pPr>
      <w:rPr>
        <w:rFonts w:ascii="Symbol" w:hAnsi="Symbol" w:hint="default"/>
      </w:rPr>
    </w:lvl>
    <w:lvl w:ilvl="7" w:tplc="08090003" w:tentative="1">
      <w:start w:val="1"/>
      <w:numFmt w:val="bullet"/>
      <w:lvlText w:val="o"/>
      <w:lvlJc w:val="left"/>
      <w:pPr>
        <w:ind w:left="6001" w:hanging="360"/>
      </w:pPr>
      <w:rPr>
        <w:rFonts w:ascii="Courier New" w:hAnsi="Courier New" w:cs="Courier New" w:hint="default"/>
      </w:rPr>
    </w:lvl>
    <w:lvl w:ilvl="8" w:tplc="08090005" w:tentative="1">
      <w:start w:val="1"/>
      <w:numFmt w:val="bullet"/>
      <w:lvlText w:val=""/>
      <w:lvlJc w:val="left"/>
      <w:pPr>
        <w:ind w:left="6721" w:hanging="360"/>
      </w:pPr>
      <w:rPr>
        <w:rFonts w:ascii="Wingdings" w:hAnsi="Wingdings" w:hint="default"/>
      </w:rPr>
    </w:lvl>
  </w:abstractNum>
  <w:abstractNum w:abstractNumId="63" w15:restartNumberingAfterBreak="0">
    <w:nsid w:val="14CB6FF1"/>
    <w:multiLevelType w:val="hybridMultilevel"/>
    <w:tmpl w:val="5CF81A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15952AFE"/>
    <w:multiLevelType w:val="hybridMultilevel"/>
    <w:tmpl w:val="021ADEA2"/>
    <w:lvl w:ilvl="0" w:tplc="E3582E1A">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 w15:restartNumberingAfterBreak="0">
    <w:nsid w:val="15981E3A"/>
    <w:multiLevelType w:val="hybridMultilevel"/>
    <w:tmpl w:val="BEC6336A"/>
    <w:lvl w:ilvl="0" w:tplc="08090001">
      <w:start w:val="1"/>
      <w:numFmt w:val="bullet"/>
      <w:lvlText w:val=""/>
      <w:lvlJc w:val="left"/>
      <w:pPr>
        <w:ind w:left="1324" w:hanging="360"/>
      </w:pPr>
      <w:rPr>
        <w:rFonts w:ascii="Symbol" w:hAnsi="Symbol" w:hint="default"/>
      </w:rPr>
    </w:lvl>
    <w:lvl w:ilvl="1" w:tplc="08090003" w:tentative="1">
      <w:start w:val="1"/>
      <w:numFmt w:val="bullet"/>
      <w:lvlText w:val="o"/>
      <w:lvlJc w:val="left"/>
      <w:pPr>
        <w:ind w:left="2044" w:hanging="360"/>
      </w:pPr>
      <w:rPr>
        <w:rFonts w:ascii="Courier New" w:hAnsi="Courier New" w:cs="Courier New" w:hint="default"/>
      </w:rPr>
    </w:lvl>
    <w:lvl w:ilvl="2" w:tplc="08090005" w:tentative="1">
      <w:start w:val="1"/>
      <w:numFmt w:val="bullet"/>
      <w:lvlText w:val=""/>
      <w:lvlJc w:val="left"/>
      <w:pPr>
        <w:ind w:left="2764" w:hanging="360"/>
      </w:pPr>
      <w:rPr>
        <w:rFonts w:ascii="Wingdings" w:hAnsi="Wingdings" w:hint="default"/>
      </w:rPr>
    </w:lvl>
    <w:lvl w:ilvl="3" w:tplc="08090001" w:tentative="1">
      <w:start w:val="1"/>
      <w:numFmt w:val="bullet"/>
      <w:lvlText w:val=""/>
      <w:lvlJc w:val="left"/>
      <w:pPr>
        <w:ind w:left="3484" w:hanging="360"/>
      </w:pPr>
      <w:rPr>
        <w:rFonts w:ascii="Symbol" w:hAnsi="Symbol" w:hint="default"/>
      </w:rPr>
    </w:lvl>
    <w:lvl w:ilvl="4" w:tplc="08090003" w:tentative="1">
      <w:start w:val="1"/>
      <w:numFmt w:val="bullet"/>
      <w:lvlText w:val="o"/>
      <w:lvlJc w:val="left"/>
      <w:pPr>
        <w:ind w:left="4204" w:hanging="360"/>
      </w:pPr>
      <w:rPr>
        <w:rFonts w:ascii="Courier New" w:hAnsi="Courier New" w:cs="Courier New" w:hint="default"/>
      </w:rPr>
    </w:lvl>
    <w:lvl w:ilvl="5" w:tplc="08090005" w:tentative="1">
      <w:start w:val="1"/>
      <w:numFmt w:val="bullet"/>
      <w:lvlText w:val=""/>
      <w:lvlJc w:val="left"/>
      <w:pPr>
        <w:ind w:left="4924" w:hanging="360"/>
      </w:pPr>
      <w:rPr>
        <w:rFonts w:ascii="Wingdings" w:hAnsi="Wingdings" w:hint="default"/>
      </w:rPr>
    </w:lvl>
    <w:lvl w:ilvl="6" w:tplc="08090001" w:tentative="1">
      <w:start w:val="1"/>
      <w:numFmt w:val="bullet"/>
      <w:lvlText w:val=""/>
      <w:lvlJc w:val="left"/>
      <w:pPr>
        <w:ind w:left="5644" w:hanging="360"/>
      </w:pPr>
      <w:rPr>
        <w:rFonts w:ascii="Symbol" w:hAnsi="Symbol" w:hint="default"/>
      </w:rPr>
    </w:lvl>
    <w:lvl w:ilvl="7" w:tplc="08090003" w:tentative="1">
      <w:start w:val="1"/>
      <w:numFmt w:val="bullet"/>
      <w:lvlText w:val="o"/>
      <w:lvlJc w:val="left"/>
      <w:pPr>
        <w:ind w:left="6364" w:hanging="360"/>
      </w:pPr>
      <w:rPr>
        <w:rFonts w:ascii="Courier New" w:hAnsi="Courier New" w:cs="Courier New" w:hint="default"/>
      </w:rPr>
    </w:lvl>
    <w:lvl w:ilvl="8" w:tplc="08090005" w:tentative="1">
      <w:start w:val="1"/>
      <w:numFmt w:val="bullet"/>
      <w:lvlText w:val=""/>
      <w:lvlJc w:val="left"/>
      <w:pPr>
        <w:ind w:left="7084" w:hanging="360"/>
      </w:pPr>
      <w:rPr>
        <w:rFonts w:ascii="Wingdings" w:hAnsi="Wingdings" w:hint="default"/>
      </w:rPr>
    </w:lvl>
  </w:abstractNum>
  <w:abstractNum w:abstractNumId="66" w15:restartNumberingAfterBreak="0">
    <w:nsid w:val="160B4EF5"/>
    <w:multiLevelType w:val="hybridMultilevel"/>
    <w:tmpl w:val="96E0823C"/>
    <w:lvl w:ilvl="0" w:tplc="87C63464">
      <w:start w:val="1"/>
      <w:numFmt w:val="lowerLetter"/>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16F3288C"/>
    <w:multiLevelType w:val="hybridMultilevel"/>
    <w:tmpl w:val="80E8A2AE"/>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17D753D5"/>
    <w:multiLevelType w:val="hybridMultilevel"/>
    <w:tmpl w:val="9CD06FC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17E3266F"/>
    <w:multiLevelType w:val="hybridMultilevel"/>
    <w:tmpl w:val="2E0279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183B4D35"/>
    <w:multiLevelType w:val="hybridMultilevel"/>
    <w:tmpl w:val="6D48E790"/>
    <w:lvl w:ilvl="0" w:tplc="B34CEA1C">
      <w:start w:val="1"/>
      <w:numFmt w:val="bullet"/>
      <w:lvlText w:val=""/>
      <w:lvlJc w:val="left"/>
      <w:pPr>
        <w:ind w:left="1069" w:hanging="360"/>
      </w:pPr>
      <w:rPr>
        <w:rFonts w:ascii="Symbol" w:hAnsi="Symbol" w:hint="default"/>
        <w:sz w:val="24"/>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71" w15:restartNumberingAfterBreak="0">
    <w:nsid w:val="185B1BF7"/>
    <w:multiLevelType w:val="multilevel"/>
    <w:tmpl w:val="40127972"/>
    <w:lvl w:ilvl="0">
      <w:start w:val="3"/>
      <w:numFmt w:val="decimal"/>
      <w:lvlText w:val="%1"/>
      <w:lvlJc w:val="left"/>
      <w:pPr>
        <w:ind w:left="460" w:hanging="460"/>
      </w:pPr>
      <w:rPr>
        <w:rFonts w:hint="default"/>
      </w:rPr>
    </w:lvl>
    <w:lvl w:ilvl="1">
      <w:start w:val="86"/>
      <w:numFmt w:val="decimal"/>
      <w:lvlText w:val="%1.%2"/>
      <w:lvlJc w:val="left"/>
      <w:pPr>
        <w:ind w:left="460" w:hanging="460"/>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193A76BC"/>
    <w:multiLevelType w:val="hybridMultilevel"/>
    <w:tmpl w:val="D53296EA"/>
    <w:lvl w:ilvl="0" w:tplc="4D38C286">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19602395"/>
    <w:multiLevelType w:val="hybridMultilevel"/>
    <w:tmpl w:val="870C6F2A"/>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198829DE"/>
    <w:multiLevelType w:val="hybridMultilevel"/>
    <w:tmpl w:val="C714F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1A0743F5"/>
    <w:multiLevelType w:val="hybridMultilevel"/>
    <w:tmpl w:val="B49E9C16"/>
    <w:lvl w:ilvl="0" w:tplc="799AA80E">
      <w:start w:val="1"/>
      <w:numFmt w:val="bullet"/>
      <w:lvlText w:val=""/>
      <w:lvlJc w:val="left"/>
      <w:pPr>
        <w:tabs>
          <w:tab w:val="num" w:pos="1040"/>
        </w:tabs>
        <w:ind w:left="1040" w:hanging="360"/>
      </w:pPr>
      <w:rPr>
        <w:rFonts w:ascii="Symbol" w:hAnsi="Symbol" w:hint="default"/>
        <w:color w:val="auto"/>
        <w:sz w:val="20"/>
        <w:szCs w:val="20"/>
      </w:rPr>
    </w:lvl>
    <w:lvl w:ilvl="1" w:tplc="08090003" w:tentative="1">
      <w:start w:val="1"/>
      <w:numFmt w:val="bullet"/>
      <w:lvlText w:val="o"/>
      <w:lvlJc w:val="left"/>
      <w:pPr>
        <w:tabs>
          <w:tab w:val="num" w:pos="1040"/>
        </w:tabs>
        <w:ind w:left="1040" w:hanging="360"/>
      </w:pPr>
      <w:rPr>
        <w:rFonts w:ascii="Courier New" w:hAnsi="Courier New" w:cs="Courier New" w:hint="default"/>
      </w:rPr>
    </w:lvl>
    <w:lvl w:ilvl="2" w:tplc="08090005" w:tentative="1">
      <w:start w:val="1"/>
      <w:numFmt w:val="bullet"/>
      <w:lvlText w:val=""/>
      <w:lvlJc w:val="left"/>
      <w:pPr>
        <w:tabs>
          <w:tab w:val="num" w:pos="1760"/>
        </w:tabs>
        <w:ind w:left="1760" w:hanging="360"/>
      </w:pPr>
      <w:rPr>
        <w:rFonts w:ascii="Wingdings" w:hAnsi="Wingdings" w:hint="default"/>
      </w:rPr>
    </w:lvl>
    <w:lvl w:ilvl="3" w:tplc="08090001" w:tentative="1">
      <w:start w:val="1"/>
      <w:numFmt w:val="bullet"/>
      <w:lvlText w:val=""/>
      <w:lvlJc w:val="left"/>
      <w:pPr>
        <w:tabs>
          <w:tab w:val="num" w:pos="2480"/>
        </w:tabs>
        <w:ind w:left="2480" w:hanging="360"/>
      </w:pPr>
      <w:rPr>
        <w:rFonts w:ascii="Symbol" w:hAnsi="Symbol" w:hint="default"/>
      </w:rPr>
    </w:lvl>
    <w:lvl w:ilvl="4" w:tplc="08090003" w:tentative="1">
      <w:start w:val="1"/>
      <w:numFmt w:val="bullet"/>
      <w:lvlText w:val="o"/>
      <w:lvlJc w:val="left"/>
      <w:pPr>
        <w:tabs>
          <w:tab w:val="num" w:pos="3200"/>
        </w:tabs>
        <w:ind w:left="3200" w:hanging="360"/>
      </w:pPr>
      <w:rPr>
        <w:rFonts w:ascii="Courier New" w:hAnsi="Courier New" w:cs="Courier New" w:hint="default"/>
      </w:rPr>
    </w:lvl>
    <w:lvl w:ilvl="5" w:tplc="08090005" w:tentative="1">
      <w:start w:val="1"/>
      <w:numFmt w:val="bullet"/>
      <w:lvlText w:val=""/>
      <w:lvlJc w:val="left"/>
      <w:pPr>
        <w:tabs>
          <w:tab w:val="num" w:pos="3920"/>
        </w:tabs>
        <w:ind w:left="3920" w:hanging="360"/>
      </w:pPr>
      <w:rPr>
        <w:rFonts w:ascii="Wingdings" w:hAnsi="Wingdings" w:hint="default"/>
      </w:rPr>
    </w:lvl>
    <w:lvl w:ilvl="6" w:tplc="08090001" w:tentative="1">
      <w:start w:val="1"/>
      <w:numFmt w:val="bullet"/>
      <w:lvlText w:val=""/>
      <w:lvlJc w:val="left"/>
      <w:pPr>
        <w:tabs>
          <w:tab w:val="num" w:pos="4640"/>
        </w:tabs>
        <w:ind w:left="4640" w:hanging="360"/>
      </w:pPr>
      <w:rPr>
        <w:rFonts w:ascii="Symbol" w:hAnsi="Symbol" w:hint="default"/>
      </w:rPr>
    </w:lvl>
    <w:lvl w:ilvl="7" w:tplc="08090003" w:tentative="1">
      <w:start w:val="1"/>
      <w:numFmt w:val="bullet"/>
      <w:lvlText w:val="o"/>
      <w:lvlJc w:val="left"/>
      <w:pPr>
        <w:tabs>
          <w:tab w:val="num" w:pos="5360"/>
        </w:tabs>
        <w:ind w:left="5360" w:hanging="360"/>
      </w:pPr>
      <w:rPr>
        <w:rFonts w:ascii="Courier New" w:hAnsi="Courier New" w:cs="Courier New" w:hint="default"/>
      </w:rPr>
    </w:lvl>
    <w:lvl w:ilvl="8" w:tplc="08090005" w:tentative="1">
      <w:start w:val="1"/>
      <w:numFmt w:val="bullet"/>
      <w:lvlText w:val=""/>
      <w:lvlJc w:val="left"/>
      <w:pPr>
        <w:tabs>
          <w:tab w:val="num" w:pos="6080"/>
        </w:tabs>
        <w:ind w:left="6080" w:hanging="360"/>
      </w:pPr>
      <w:rPr>
        <w:rFonts w:ascii="Wingdings" w:hAnsi="Wingdings" w:hint="default"/>
      </w:rPr>
    </w:lvl>
  </w:abstractNum>
  <w:abstractNum w:abstractNumId="76" w15:restartNumberingAfterBreak="0">
    <w:nsid w:val="1A317A03"/>
    <w:multiLevelType w:val="multilevel"/>
    <w:tmpl w:val="11A8B71E"/>
    <w:lvl w:ilvl="0">
      <w:start w:val="13"/>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strike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7" w15:restartNumberingAfterBreak="0">
    <w:nsid w:val="1A3D57E0"/>
    <w:multiLevelType w:val="hybridMultilevel"/>
    <w:tmpl w:val="DB0041A0"/>
    <w:lvl w:ilvl="0" w:tplc="E278B578">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1A4E6434"/>
    <w:multiLevelType w:val="hybridMultilevel"/>
    <w:tmpl w:val="EED891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1AFC5B93"/>
    <w:multiLevelType w:val="hybridMultilevel"/>
    <w:tmpl w:val="A18616F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1B1522EC"/>
    <w:multiLevelType w:val="hybridMultilevel"/>
    <w:tmpl w:val="AE30113C"/>
    <w:lvl w:ilvl="0" w:tplc="97FAF9C6">
      <w:start w:val="1"/>
      <w:numFmt w:val="bullet"/>
      <w:lvlText w:val=""/>
      <w:lvlJc w:val="left"/>
      <w:pPr>
        <w:tabs>
          <w:tab w:val="num" w:pos="960"/>
        </w:tabs>
        <w:ind w:left="960" w:hanging="360"/>
      </w:pPr>
      <w:rPr>
        <w:rFonts w:ascii="Symbol" w:hAnsi="Symbol" w:hint="default"/>
        <w:color w:val="auto"/>
        <w:sz w:val="20"/>
        <w:szCs w:val="20"/>
      </w:rPr>
    </w:lvl>
    <w:lvl w:ilvl="1" w:tplc="FFFFFFFF" w:tentative="1">
      <w:start w:val="1"/>
      <w:numFmt w:val="bullet"/>
      <w:lvlText w:val="o"/>
      <w:lvlJc w:val="left"/>
      <w:pPr>
        <w:tabs>
          <w:tab w:val="num" w:pos="960"/>
        </w:tabs>
        <w:ind w:left="960" w:hanging="360"/>
      </w:pPr>
      <w:rPr>
        <w:rFonts w:ascii="Courier New" w:hAnsi="Courier New" w:cs="Courier New" w:hint="default"/>
      </w:rPr>
    </w:lvl>
    <w:lvl w:ilvl="2" w:tplc="FFFFFFFF" w:tentative="1">
      <w:start w:val="1"/>
      <w:numFmt w:val="bullet"/>
      <w:lvlText w:val=""/>
      <w:lvlJc w:val="left"/>
      <w:pPr>
        <w:tabs>
          <w:tab w:val="num" w:pos="1680"/>
        </w:tabs>
        <w:ind w:left="1680" w:hanging="360"/>
      </w:pPr>
      <w:rPr>
        <w:rFonts w:ascii="Wingdings" w:hAnsi="Wingdings" w:hint="default"/>
      </w:rPr>
    </w:lvl>
    <w:lvl w:ilvl="3" w:tplc="FFFFFFFF" w:tentative="1">
      <w:start w:val="1"/>
      <w:numFmt w:val="bullet"/>
      <w:lvlText w:val=""/>
      <w:lvlJc w:val="left"/>
      <w:pPr>
        <w:tabs>
          <w:tab w:val="num" w:pos="2400"/>
        </w:tabs>
        <w:ind w:left="2400" w:hanging="360"/>
      </w:pPr>
      <w:rPr>
        <w:rFonts w:ascii="Symbol" w:hAnsi="Symbol" w:hint="default"/>
      </w:rPr>
    </w:lvl>
    <w:lvl w:ilvl="4" w:tplc="FFFFFFFF" w:tentative="1">
      <w:start w:val="1"/>
      <w:numFmt w:val="bullet"/>
      <w:lvlText w:val="o"/>
      <w:lvlJc w:val="left"/>
      <w:pPr>
        <w:tabs>
          <w:tab w:val="num" w:pos="3120"/>
        </w:tabs>
        <w:ind w:left="3120" w:hanging="360"/>
      </w:pPr>
      <w:rPr>
        <w:rFonts w:ascii="Courier New" w:hAnsi="Courier New" w:cs="Courier New" w:hint="default"/>
      </w:rPr>
    </w:lvl>
    <w:lvl w:ilvl="5" w:tplc="FFFFFFFF" w:tentative="1">
      <w:start w:val="1"/>
      <w:numFmt w:val="bullet"/>
      <w:lvlText w:val=""/>
      <w:lvlJc w:val="left"/>
      <w:pPr>
        <w:tabs>
          <w:tab w:val="num" w:pos="3840"/>
        </w:tabs>
        <w:ind w:left="3840" w:hanging="360"/>
      </w:pPr>
      <w:rPr>
        <w:rFonts w:ascii="Wingdings" w:hAnsi="Wingdings" w:hint="default"/>
      </w:rPr>
    </w:lvl>
    <w:lvl w:ilvl="6" w:tplc="FFFFFFFF" w:tentative="1">
      <w:start w:val="1"/>
      <w:numFmt w:val="bullet"/>
      <w:lvlText w:val=""/>
      <w:lvlJc w:val="left"/>
      <w:pPr>
        <w:tabs>
          <w:tab w:val="num" w:pos="4560"/>
        </w:tabs>
        <w:ind w:left="4560" w:hanging="360"/>
      </w:pPr>
      <w:rPr>
        <w:rFonts w:ascii="Symbol" w:hAnsi="Symbol" w:hint="default"/>
      </w:rPr>
    </w:lvl>
    <w:lvl w:ilvl="7" w:tplc="FFFFFFFF" w:tentative="1">
      <w:start w:val="1"/>
      <w:numFmt w:val="bullet"/>
      <w:lvlText w:val="o"/>
      <w:lvlJc w:val="left"/>
      <w:pPr>
        <w:tabs>
          <w:tab w:val="num" w:pos="5280"/>
        </w:tabs>
        <w:ind w:left="5280" w:hanging="360"/>
      </w:pPr>
      <w:rPr>
        <w:rFonts w:ascii="Courier New" w:hAnsi="Courier New" w:cs="Courier New" w:hint="default"/>
      </w:rPr>
    </w:lvl>
    <w:lvl w:ilvl="8" w:tplc="FFFFFFFF" w:tentative="1">
      <w:start w:val="1"/>
      <w:numFmt w:val="bullet"/>
      <w:lvlText w:val=""/>
      <w:lvlJc w:val="left"/>
      <w:pPr>
        <w:tabs>
          <w:tab w:val="num" w:pos="6000"/>
        </w:tabs>
        <w:ind w:left="6000" w:hanging="360"/>
      </w:pPr>
      <w:rPr>
        <w:rFonts w:ascii="Wingdings" w:hAnsi="Wingdings" w:hint="default"/>
      </w:rPr>
    </w:lvl>
  </w:abstractNum>
  <w:abstractNum w:abstractNumId="81" w15:restartNumberingAfterBreak="0">
    <w:nsid w:val="1B374311"/>
    <w:multiLevelType w:val="hybridMultilevel"/>
    <w:tmpl w:val="39F48E36"/>
    <w:lvl w:ilvl="0" w:tplc="177E8F70">
      <w:start w:val="1"/>
      <w:numFmt w:val="lowerRoman"/>
      <w:lvlText w:val="%1)"/>
      <w:lvlJc w:val="left"/>
      <w:pPr>
        <w:ind w:left="720" w:hanging="360"/>
      </w:pPr>
      <w:rPr>
        <w:rFonts w:ascii="Arial" w:hAnsi="Arial"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1B513531"/>
    <w:multiLevelType w:val="multilevel"/>
    <w:tmpl w:val="A1604ECC"/>
    <w:lvl w:ilvl="0">
      <w:start w:val="1"/>
      <w:numFmt w:val="decimal"/>
      <w:lvlText w:val="%1"/>
      <w:lvlJc w:val="left"/>
      <w:pPr>
        <w:ind w:left="360" w:hanging="360"/>
      </w:pPr>
      <w:rPr>
        <w:rFonts w:eastAsia="Times New Roman" w:hint="default"/>
      </w:rPr>
    </w:lvl>
    <w:lvl w:ilvl="1">
      <w:start w:val="9"/>
      <w:numFmt w:val="decimal"/>
      <w:lvlText w:val="%1.%2"/>
      <w:lvlJc w:val="left"/>
      <w:pPr>
        <w:ind w:left="2061" w:hanging="360"/>
      </w:pPr>
      <w:rPr>
        <w:rFonts w:ascii="Arial" w:eastAsia="Times New Roman" w:hAnsi="Arial" w:cs="Arial" w:hint="default"/>
        <w:b w:val="0"/>
        <w:bCs w:val="0"/>
        <w:strike w:val="0"/>
        <w:color w:val="auto"/>
        <w:sz w:val="24"/>
        <w:szCs w:val="24"/>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83" w15:restartNumberingAfterBreak="0">
    <w:nsid w:val="1B565FA0"/>
    <w:multiLevelType w:val="hybridMultilevel"/>
    <w:tmpl w:val="77B263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1BBB14F2"/>
    <w:multiLevelType w:val="hybridMultilevel"/>
    <w:tmpl w:val="8D06AD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1C0177BD"/>
    <w:multiLevelType w:val="hybridMultilevel"/>
    <w:tmpl w:val="6EF052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1D4C1520"/>
    <w:multiLevelType w:val="hybridMultilevel"/>
    <w:tmpl w:val="AFDE7258"/>
    <w:lvl w:ilvl="0" w:tplc="0A1C284E">
      <w:start w:val="1"/>
      <w:numFmt w:val="lowerLetter"/>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1D4C2EEA"/>
    <w:multiLevelType w:val="hybridMultilevel"/>
    <w:tmpl w:val="037611E8"/>
    <w:lvl w:ilvl="0" w:tplc="98FEB0A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 w15:restartNumberingAfterBreak="0">
    <w:nsid w:val="1D69787C"/>
    <w:multiLevelType w:val="hybridMultilevel"/>
    <w:tmpl w:val="EC121316"/>
    <w:lvl w:ilvl="0" w:tplc="A56A7B94">
      <w:start w:val="1"/>
      <w:numFmt w:val="lowerLetter"/>
      <w:lvlText w:val="%1)"/>
      <w:lvlJc w:val="left"/>
      <w:pPr>
        <w:tabs>
          <w:tab w:val="num" w:pos="964"/>
        </w:tabs>
        <w:ind w:left="964" w:hanging="510"/>
      </w:pPr>
      <w:rPr>
        <w:rFonts w:hint="default"/>
        <w:i w:val="0"/>
        <w:iCs/>
        <w:strike w:val="0"/>
        <w:color w:val="auto"/>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9" w15:restartNumberingAfterBreak="0">
    <w:nsid w:val="1DD10018"/>
    <w:multiLevelType w:val="hybridMultilevel"/>
    <w:tmpl w:val="AEC8B5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1E525A34"/>
    <w:multiLevelType w:val="multilevel"/>
    <w:tmpl w:val="7C0653B4"/>
    <w:lvl w:ilvl="0">
      <w:start w:val="1"/>
      <w:numFmt w:val="decimal"/>
      <w:lvlText w:val="%1"/>
      <w:lvlJc w:val="left"/>
      <w:pPr>
        <w:tabs>
          <w:tab w:val="num" w:pos="525"/>
        </w:tabs>
        <w:ind w:left="525" w:hanging="525"/>
      </w:pPr>
      <w:rPr>
        <w:rFonts w:hint="default"/>
      </w:rPr>
    </w:lvl>
    <w:lvl w:ilvl="1">
      <w:start w:val="1"/>
      <w:numFmt w:val="decimal"/>
      <w:lvlText w:val="4.%2"/>
      <w:lvlJc w:val="left"/>
      <w:pPr>
        <w:tabs>
          <w:tab w:val="num" w:pos="525"/>
        </w:tabs>
        <w:ind w:left="525" w:hanging="525"/>
      </w:pPr>
      <w:rPr>
        <w:rFonts w:hint="default"/>
        <w:b w:val="0"/>
        <w:bCs w:val="0"/>
        <w:color w:val="000000" w:themeColor="text1"/>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1" w15:restartNumberingAfterBreak="0">
    <w:nsid w:val="1E682D4C"/>
    <w:multiLevelType w:val="hybridMultilevel"/>
    <w:tmpl w:val="ED7A0DF0"/>
    <w:lvl w:ilvl="0" w:tplc="2C9CA0C0">
      <w:start w:val="1"/>
      <w:numFmt w:val="bullet"/>
      <w:lvlText w:val=""/>
      <w:lvlJc w:val="left"/>
      <w:pPr>
        <w:tabs>
          <w:tab w:val="num" w:pos="1154"/>
        </w:tabs>
        <w:ind w:left="1154" w:hanging="360"/>
      </w:pPr>
      <w:rPr>
        <w:rFonts w:ascii="Symbol" w:hAnsi="Symbol" w:hint="default"/>
        <w:color w:val="auto"/>
        <w:sz w:val="20"/>
        <w:szCs w:val="20"/>
      </w:rPr>
    </w:lvl>
    <w:lvl w:ilvl="1" w:tplc="FFFFFFFF" w:tentative="1">
      <w:start w:val="1"/>
      <w:numFmt w:val="bullet"/>
      <w:lvlText w:val="o"/>
      <w:lvlJc w:val="left"/>
      <w:pPr>
        <w:tabs>
          <w:tab w:val="num" w:pos="1154"/>
        </w:tabs>
        <w:ind w:left="1154" w:hanging="360"/>
      </w:pPr>
      <w:rPr>
        <w:rFonts w:ascii="Courier New" w:hAnsi="Courier New" w:cs="Courier New" w:hint="default"/>
      </w:rPr>
    </w:lvl>
    <w:lvl w:ilvl="2" w:tplc="FFFFFFFF" w:tentative="1">
      <w:start w:val="1"/>
      <w:numFmt w:val="bullet"/>
      <w:lvlText w:val=""/>
      <w:lvlJc w:val="left"/>
      <w:pPr>
        <w:tabs>
          <w:tab w:val="num" w:pos="1874"/>
        </w:tabs>
        <w:ind w:left="1874" w:hanging="360"/>
      </w:pPr>
      <w:rPr>
        <w:rFonts w:ascii="Wingdings" w:hAnsi="Wingdings" w:hint="default"/>
      </w:rPr>
    </w:lvl>
    <w:lvl w:ilvl="3" w:tplc="FFFFFFFF" w:tentative="1">
      <w:start w:val="1"/>
      <w:numFmt w:val="bullet"/>
      <w:lvlText w:val=""/>
      <w:lvlJc w:val="left"/>
      <w:pPr>
        <w:tabs>
          <w:tab w:val="num" w:pos="2594"/>
        </w:tabs>
        <w:ind w:left="2594" w:hanging="360"/>
      </w:pPr>
      <w:rPr>
        <w:rFonts w:ascii="Symbol" w:hAnsi="Symbol" w:hint="default"/>
      </w:rPr>
    </w:lvl>
    <w:lvl w:ilvl="4" w:tplc="FFFFFFFF" w:tentative="1">
      <w:start w:val="1"/>
      <w:numFmt w:val="bullet"/>
      <w:lvlText w:val="o"/>
      <w:lvlJc w:val="left"/>
      <w:pPr>
        <w:tabs>
          <w:tab w:val="num" w:pos="3314"/>
        </w:tabs>
        <w:ind w:left="3314" w:hanging="360"/>
      </w:pPr>
      <w:rPr>
        <w:rFonts w:ascii="Courier New" w:hAnsi="Courier New" w:cs="Courier New" w:hint="default"/>
      </w:rPr>
    </w:lvl>
    <w:lvl w:ilvl="5" w:tplc="FFFFFFFF" w:tentative="1">
      <w:start w:val="1"/>
      <w:numFmt w:val="bullet"/>
      <w:lvlText w:val=""/>
      <w:lvlJc w:val="left"/>
      <w:pPr>
        <w:tabs>
          <w:tab w:val="num" w:pos="4034"/>
        </w:tabs>
        <w:ind w:left="4034" w:hanging="360"/>
      </w:pPr>
      <w:rPr>
        <w:rFonts w:ascii="Wingdings" w:hAnsi="Wingdings" w:hint="default"/>
      </w:rPr>
    </w:lvl>
    <w:lvl w:ilvl="6" w:tplc="FFFFFFFF" w:tentative="1">
      <w:start w:val="1"/>
      <w:numFmt w:val="bullet"/>
      <w:lvlText w:val=""/>
      <w:lvlJc w:val="left"/>
      <w:pPr>
        <w:tabs>
          <w:tab w:val="num" w:pos="4754"/>
        </w:tabs>
        <w:ind w:left="4754" w:hanging="360"/>
      </w:pPr>
      <w:rPr>
        <w:rFonts w:ascii="Symbol" w:hAnsi="Symbol" w:hint="default"/>
      </w:rPr>
    </w:lvl>
    <w:lvl w:ilvl="7" w:tplc="FFFFFFFF" w:tentative="1">
      <w:start w:val="1"/>
      <w:numFmt w:val="bullet"/>
      <w:lvlText w:val="o"/>
      <w:lvlJc w:val="left"/>
      <w:pPr>
        <w:tabs>
          <w:tab w:val="num" w:pos="5474"/>
        </w:tabs>
        <w:ind w:left="5474" w:hanging="360"/>
      </w:pPr>
      <w:rPr>
        <w:rFonts w:ascii="Courier New" w:hAnsi="Courier New" w:cs="Courier New" w:hint="default"/>
      </w:rPr>
    </w:lvl>
    <w:lvl w:ilvl="8" w:tplc="FFFFFFFF" w:tentative="1">
      <w:start w:val="1"/>
      <w:numFmt w:val="bullet"/>
      <w:lvlText w:val=""/>
      <w:lvlJc w:val="left"/>
      <w:pPr>
        <w:tabs>
          <w:tab w:val="num" w:pos="6194"/>
        </w:tabs>
        <w:ind w:left="6194" w:hanging="360"/>
      </w:pPr>
      <w:rPr>
        <w:rFonts w:ascii="Wingdings" w:hAnsi="Wingdings" w:hint="default"/>
      </w:rPr>
    </w:lvl>
  </w:abstractNum>
  <w:abstractNum w:abstractNumId="92" w15:restartNumberingAfterBreak="0">
    <w:nsid w:val="1ECE73D7"/>
    <w:multiLevelType w:val="hybridMultilevel"/>
    <w:tmpl w:val="C37AB4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1FD264D9"/>
    <w:multiLevelType w:val="hybridMultilevel"/>
    <w:tmpl w:val="51A48DB6"/>
    <w:lvl w:ilvl="0" w:tplc="C03082C2">
      <w:start w:val="1"/>
      <w:numFmt w:val="lowerRoman"/>
      <w:lvlText w:val="%1"/>
      <w:lvlJc w:val="left"/>
      <w:pPr>
        <w:tabs>
          <w:tab w:val="num" w:pos="1117"/>
        </w:tabs>
        <w:ind w:left="1117" w:hanging="397"/>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4" w15:restartNumberingAfterBreak="0">
    <w:nsid w:val="206E5316"/>
    <w:multiLevelType w:val="hybridMultilevel"/>
    <w:tmpl w:val="8F8C99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20964309"/>
    <w:multiLevelType w:val="hybridMultilevel"/>
    <w:tmpl w:val="791810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6" w15:restartNumberingAfterBreak="0">
    <w:nsid w:val="20B20659"/>
    <w:multiLevelType w:val="hybridMultilevel"/>
    <w:tmpl w:val="52F26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211E2759"/>
    <w:multiLevelType w:val="hybridMultilevel"/>
    <w:tmpl w:val="5C68815A"/>
    <w:lvl w:ilvl="0" w:tplc="B34CEA1C">
      <w:start w:val="1"/>
      <w:numFmt w:val="bullet"/>
      <w:lvlText w:val=""/>
      <w:lvlJc w:val="left"/>
      <w:pPr>
        <w:ind w:left="1069" w:hanging="360"/>
      </w:pPr>
      <w:rPr>
        <w:rFonts w:ascii="Symbol" w:hAnsi="Symbol" w:hint="default"/>
        <w:sz w:val="24"/>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98" w15:restartNumberingAfterBreak="0">
    <w:nsid w:val="216C53DA"/>
    <w:multiLevelType w:val="hybridMultilevel"/>
    <w:tmpl w:val="17602AEE"/>
    <w:lvl w:ilvl="0" w:tplc="08090017">
      <w:start w:val="1"/>
      <w:numFmt w:val="lowerLetter"/>
      <w:lvlText w:val="%1)"/>
      <w:lvlJc w:val="left"/>
      <w:pPr>
        <w:ind w:left="817" w:hanging="360"/>
      </w:pPr>
    </w:lvl>
    <w:lvl w:ilvl="1" w:tplc="08090019" w:tentative="1">
      <w:start w:val="1"/>
      <w:numFmt w:val="lowerLetter"/>
      <w:lvlText w:val="%2."/>
      <w:lvlJc w:val="left"/>
      <w:pPr>
        <w:ind w:left="1537" w:hanging="360"/>
      </w:pPr>
    </w:lvl>
    <w:lvl w:ilvl="2" w:tplc="0809001B" w:tentative="1">
      <w:start w:val="1"/>
      <w:numFmt w:val="lowerRoman"/>
      <w:lvlText w:val="%3."/>
      <w:lvlJc w:val="right"/>
      <w:pPr>
        <w:ind w:left="2257" w:hanging="180"/>
      </w:pPr>
    </w:lvl>
    <w:lvl w:ilvl="3" w:tplc="0809000F" w:tentative="1">
      <w:start w:val="1"/>
      <w:numFmt w:val="decimal"/>
      <w:lvlText w:val="%4."/>
      <w:lvlJc w:val="left"/>
      <w:pPr>
        <w:ind w:left="2977" w:hanging="360"/>
      </w:pPr>
    </w:lvl>
    <w:lvl w:ilvl="4" w:tplc="08090019" w:tentative="1">
      <w:start w:val="1"/>
      <w:numFmt w:val="lowerLetter"/>
      <w:lvlText w:val="%5."/>
      <w:lvlJc w:val="left"/>
      <w:pPr>
        <w:ind w:left="3697" w:hanging="360"/>
      </w:pPr>
    </w:lvl>
    <w:lvl w:ilvl="5" w:tplc="0809001B" w:tentative="1">
      <w:start w:val="1"/>
      <w:numFmt w:val="lowerRoman"/>
      <w:lvlText w:val="%6."/>
      <w:lvlJc w:val="right"/>
      <w:pPr>
        <w:ind w:left="4417" w:hanging="180"/>
      </w:pPr>
    </w:lvl>
    <w:lvl w:ilvl="6" w:tplc="0809000F" w:tentative="1">
      <w:start w:val="1"/>
      <w:numFmt w:val="decimal"/>
      <w:lvlText w:val="%7."/>
      <w:lvlJc w:val="left"/>
      <w:pPr>
        <w:ind w:left="5137" w:hanging="360"/>
      </w:pPr>
    </w:lvl>
    <w:lvl w:ilvl="7" w:tplc="08090019" w:tentative="1">
      <w:start w:val="1"/>
      <w:numFmt w:val="lowerLetter"/>
      <w:lvlText w:val="%8."/>
      <w:lvlJc w:val="left"/>
      <w:pPr>
        <w:ind w:left="5857" w:hanging="360"/>
      </w:pPr>
    </w:lvl>
    <w:lvl w:ilvl="8" w:tplc="0809001B" w:tentative="1">
      <w:start w:val="1"/>
      <w:numFmt w:val="lowerRoman"/>
      <w:lvlText w:val="%9."/>
      <w:lvlJc w:val="right"/>
      <w:pPr>
        <w:ind w:left="6577" w:hanging="180"/>
      </w:pPr>
    </w:lvl>
  </w:abstractNum>
  <w:abstractNum w:abstractNumId="99" w15:restartNumberingAfterBreak="0">
    <w:nsid w:val="21D34260"/>
    <w:multiLevelType w:val="hybridMultilevel"/>
    <w:tmpl w:val="2190F518"/>
    <w:lvl w:ilvl="0" w:tplc="8B941D0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2242061A"/>
    <w:multiLevelType w:val="multilevel"/>
    <w:tmpl w:val="5C323D5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22BA7BDE"/>
    <w:multiLevelType w:val="hybridMultilevel"/>
    <w:tmpl w:val="AB5C8F3E"/>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22E853B6"/>
    <w:multiLevelType w:val="multilevel"/>
    <w:tmpl w:val="40127972"/>
    <w:lvl w:ilvl="0">
      <w:start w:val="3"/>
      <w:numFmt w:val="decimal"/>
      <w:lvlText w:val="%1"/>
      <w:lvlJc w:val="left"/>
      <w:pPr>
        <w:ind w:left="460" w:hanging="460"/>
      </w:pPr>
      <w:rPr>
        <w:rFonts w:hint="default"/>
      </w:rPr>
    </w:lvl>
    <w:lvl w:ilvl="1">
      <w:start w:val="86"/>
      <w:numFmt w:val="decimal"/>
      <w:lvlText w:val="%1.%2"/>
      <w:lvlJc w:val="left"/>
      <w:pPr>
        <w:ind w:left="460" w:hanging="460"/>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3" w15:restartNumberingAfterBreak="0">
    <w:nsid w:val="2337395C"/>
    <w:multiLevelType w:val="hybridMultilevel"/>
    <w:tmpl w:val="CBD2D848"/>
    <w:lvl w:ilvl="0" w:tplc="F50212CA">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4" w15:restartNumberingAfterBreak="0">
    <w:nsid w:val="23744DD3"/>
    <w:multiLevelType w:val="hybridMultilevel"/>
    <w:tmpl w:val="378C4DBA"/>
    <w:lvl w:ilvl="0" w:tplc="40C41738">
      <w:start w:val="1"/>
      <w:numFmt w:val="lowerLetter"/>
      <w:lvlText w:val="%1)"/>
      <w:lvlJc w:val="left"/>
      <w:pPr>
        <w:ind w:left="720" w:hanging="360"/>
      </w:pPr>
      <w:rPr>
        <w:rFonts w:hint="default"/>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23F93AA0"/>
    <w:multiLevelType w:val="hybridMultilevel"/>
    <w:tmpl w:val="A69AEB16"/>
    <w:lvl w:ilvl="0" w:tplc="08090001">
      <w:start w:val="1"/>
      <w:numFmt w:val="bullet"/>
      <w:lvlText w:val=""/>
      <w:lvlJc w:val="left"/>
      <w:pPr>
        <w:ind w:left="887" w:hanging="360"/>
      </w:pPr>
      <w:rPr>
        <w:rFonts w:ascii="Symbol" w:hAnsi="Symbol"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106" w15:restartNumberingAfterBreak="0">
    <w:nsid w:val="245D3C33"/>
    <w:multiLevelType w:val="hybridMultilevel"/>
    <w:tmpl w:val="5E3E0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24E36149"/>
    <w:multiLevelType w:val="hybridMultilevel"/>
    <w:tmpl w:val="21F63708"/>
    <w:lvl w:ilvl="0" w:tplc="86085708">
      <w:start w:val="1"/>
      <w:numFmt w:val="decimal"/>
      <w:lvlText w:val="%1."/>
      <w:lvlJc w:val="left"/>
      <w:pPr>
        <w:tabs>
          <w:tab w:val="num" w:pos="360"/>
        </w:tabs>
        <w:ind w:left="360" w:hanging="360"/>
      </w:pPr>
      <w:rPr>
        <w:rFonts w:hint="default"/>
        <w:b w:val="0"/>
        <w:bCs w:val="0"/>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25015E0C"/>
    <w:multiLevelType w:val="hybridMultilevel"/>
    <w:tmpl w:val="534AAB96"/>
    <w:lvl w:ilvl="0" w:tplc="7A5CB8BA">
      <w:start w:val="1"/>
      <w:numFmt w:val="lowerLetter"/>
      <w:lvlText w:val="%1."/>
      <w:lvlJc w:val="left"/>
      <w:pPr>
        <w:ind w:left="720" w:hanging="360"/>
      </w:pPr>
      <w:rPr>
        <w:rFonts w:hint="default"/>
      </w:rPr>
    </w:lvl>
    <w:lvl w:ilvl="1" w:tplc="08090019">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109" w15:restartNumberingAfterBreak="0">
    <w:nsid w:val="256E2850"/>
    <w:multiLevelType w:val="hybridMultilevel"/>
    <w:tmpl w:val="8DC077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 w15:restartNumberingAfterBreak="0">
    <w:nsid w:val="2634486E"/>
    <w:multiLevelType w:val="hybridMultilevel"/>
    <w:tmpl w:val="5AF4BF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1" w15:restartNumberingAfterBreak="0">
    <w:nsid w:val="267B6769"/>
    <w:multiLevelType w:val="hybridMultilevel"/>
    <w:tmpl w:val="DA72E796"/>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112" w15:restartNumberingAfterBreak="0">
    <w:nsid w:val="267B726F"/>
    <w:multiLevelType w:val="hybridMultilevel"/>
    <w:tmpl w:val="A768D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26860BA1"/>
    <w:multiLevelType w:val="hybridMultilevel"/>
    <w:tmpl w:val="87D0C10C"/>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4" w15:restartNumberingAfterBreak="0">
    <w:nsid w:val="26B35A13"/>
    <w:multiLevelType w:val="hybridMultilevel"/>
    <w:tmpl w:val="A208AD0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 w15:restartNumberingAfterBreak="0">
    <w:nsid w:val="27691CCB"/>
    <w:multiLevelType w:val="hybridMultilevel"/>
    <w:tmpl w:val="61A206DE"/>
    <w:lvl w:ilvl="0" w:tplc="AB66E19C">
      <w:start w:val="1"/>
      <w:numFmt w:val="bullet"/>
      <w:pStyle w:val="ListBullet"/>
      <w:lvlText w:val=""/>
      <w:lvlJc w:val="left"/>
      <w:pPr>
        <w:ind w:left="742" w:hanging="360"/>
      </w:pPr>
      <w:rPr>
        <w:rFonts w:ascii="Symbol" w:hAnsi="Symbol" w:hint="default"/>
      </w:rPr>
    </w:lvl>
    <w:lvl w:ilvl="1" w:tplc="08090003">
      <w:start w:val="1"/>
      <w:numFmt w:val="bullet"/>
      <w:lvlText w:val="o"/>
      <w:lvlJc w:val="left"/>
      <w:pPr>
        <w:ind w:left="1462" w:hanging="360"/>
      </w:pPr>
      <w:rPr>
        <w:rFonts w:ascii="Courier New" w:hAnsi="Courier New" w:cs="Courier New" w:hint="default"/>
      </w:rPr>
    </w:lvl>
    <w:lvl w:ilvl="2" w:tplc="08090005" w:tentative="1">
      <w:start w:val="1"/>
      <w:numFmt w:val="bullet"/>
      <w:lvlText w:val=""/>
      <w:lvlJc w:val="left"/>
      <w:pPr>
        <w:ind w:left="2182" w:hanging="360"/>
      </w:pPr>
      <w:rPr>
        <w:rFonts w:ascii="Wingdings" w:hAnsi="Wingdings" w:hint="default"/>
      </w:rPr>
    </w:lvl>
    <w:lvl w:ilvl="3" w:tplc="08090001" w:tentative="1">
      <w:start w:val="1"/>
      <w:numFmt w:val="bullet"/>
      <w:lvlText w:val=""/>
      <w:lvlJc w:val="left"/>
      <w:pPr>
        <w:ind w:left="2902" w:hanging="360"/>
      </w:pPr>
      <w:rPr>
        <w:rFonts w:ascii="Symbol" w:hAnsi="Symbol" w:hint="default"/>
      </w:rPr>
    </w:lvl>
    <w:lvl w:ilvl="4" w:tplc="08090003" w:tentative="1">
      <w:start w:val="1"/>
      <w:numFmt w:val="bullet"/>
      <w:lvlText w:val="o"/>
      <w:lvlJc w:val="left"/>
      <w:pPr>
        <w:ind w:left="3622" w:hanging="360"/>
      </w:pPr>
      <w:rPr>
        <w:rFonts w:ascii="Courier New" w:hAnsi="Courier New" w:cs="Courier New" w:hint="default"/>
      </w:rPr>
    </w:lvl>
    <w:lvl w:ilvl="5" w:tplc="08090005" w:tentative="1">
      <w:start w:val="1"/>
      <w:numFmt w:val="bullet"/>
      <w:lvlText w:val=""/>
      <w:lvlJc w:val="left"/>
      <w:pPr>
        <w:ind w:left="4342" w:hanging="360"/>
      </w:pPr>
      <w:rPr>
        <w:rFonts w:ascii="Wingdings" w:hAnsi="Wingdings" w:hint="default"/>
      </w:rPr>
    </w:lvl>
    <w:lvl w:ilvl="6" w:tplc="08090001" w:tentative="1">
      <w:start w:val="1"/>
      <w:numFmt w:val="bullet"/>
      <w:lvlText w:val=""/>
      <w:lvlJc w:val="left"/>
      <w:pPr>
        <w:ind w:left="5062" w:hanging="360"/>
      </w:pPr>
      <w:rPr>
        <w:rFonts w:ascii="Symbol" w:hAnsi="Symbol" w:hint="default"/>
      </w:rPr>
    </w:lvl>
    <w:lvl w:ilvl="7" w:tplc="08090003" w:tentative="1">
      <w:start w:val="1"/>
      <w:numFmt w:val="bullet"/>
      <w:lvlText w:val="o"/>
      <w:lvlJc w:val="left"/>
      <w:pPr>
        <w:ind w:left="5782" w:hanging="360"/>
      </w:pPr>
      <w:rPr>
        <w:rFonts w:ascii="Courier New" w:hAnsi="Courier New" w:cs="Courier New" w:hint="default"/>
      </w:rPr>
    </w:lvl>
    <w:lvl w:ilvl="8" w:tplc="08090005" w:tentative="1">
      <w:start w:val="1"/>
      <w:numFmt w:val="bullet"/>
      <w:lvlText w:val=""/>
      <w:lvlJc w:val="left"/>
      <w:pPr>
        <w:ind w:left="6502" w:hanging="360"/>
      </w:pPr>
      <w:rPr>
        <w:rFonts w:ascii="Wingdings" w:hAnsi="Wingdings" w:hint="default"/>
      </w:rPr>
    </w:lvl>
  </w:abstractNum>
  <w:abstractNum w:abstractNumId="116" w15:restartNumberingAfterBreak="0">
    <w:nsid w:val="27A4761E"/>
    <w:multiLevelType w:val="hybridMultilevel"/>
    <w:tmpl w:val="80FCA0FC"/>
    <w:lvl w:ilvl="0" w:tplc="98FEB0A8">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7" w15:restartNumberingAfterBreak="0">
    <w:nsid w:val="27F63C83"/>
    <w:multiLevelType w:val="hybridMultilevel"/>
    <w:tmpl w:val="4CB2CA20"/>
    <w:lvl w:ilvl="0" w:tplc="70CCB80E">
      <w:start w:val="1"/>
      <w:numFmt w:val="lowerLetter"/>
      <w:lvlText w:val="%1)"/>
      <w:lvlJc w:val="left"/>
      <w:pPr>
        <w:tabs>
          <w:tab w:val="num" w:pos="964"/>
        </w:tabs>
        <w:ind w:left="964" w:hanging="51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8" w15:restartNumberingAfterBreak="0">
    <w:nsid w:val="284054C7"/>
    <w:multiLevelType w:val="hybridMultilevel"/>
    <w:tmpl w:val="23C6D0D4"/>
    <w:lvl w:ilvl="0" w:tplc="87C63464">
      <w:start w:val="1"/>
      <w:numFmt w:val="lowerLetter"/>
      <w:lvlText w:val="%1)"/>
      <w:lvlJc w:val="left"/>
      <w:pPr>
        <w:ind w:left="36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284A5A35"/>
    <w:multiLevelType w:val="hybridMultilevel"/>
    <w:tmpl w:val="A6020D76"/>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65" w:hanging="360"/>
      </w:pPr>
      <w:rPr>
        <w:rFonts w:ascii="Courier New" w:hAnsi="Courier New" w:cs="Courier New" w:hint="default"/>
      </w:rPr>
    </w:lvl>
    <w:lvl w:ilvl="2" w:tplc="08090005" w:tentative="1">
      <w:start w:val="1"/>
      <w:numFmt w:val="bullet"/>
      <w:lvlText w:val=""/>
      <w:lvlJc w:val="left"/>
      <w:pPr>
        <w:ind w:left="2685" w:hanging="360"/>
      </w:pPr>
      <w:rPr>
        <w:rFonts w:ascii="Wingdings" w:hAnsi="Wingdings" w:hint="default"/>
      </w:rPr>
    </w:lvl>
    <w:lvl w:ilvl="3" w:tplc="08090001" w:tentative="1">
      <w:start w:val="1"/>
      <w:numFmt w:val="bullet"/>
      <w:lvlText w:val=""/>
      <w:lvlJc w:val="left"/>
      <w:pPr>
        <w:ind w:left="3405" w:hanging="360"/>
      </w:pPr>
      <w:rPr>
        <w:rFonts w:ascii="Symbol" w:hAnsi="Symbol" w:hint="default"/>
      </w:rPr>
    </w:lvl>
    <w:lvl w:ilvl="4" w:tplc="08090003" w:tentative="1">
      <w:start w:val="1"/>
      <w:numFmt w:val="bullet"/>
      <w:lvlText w:val="o"/>
      <w:lvlJc w:val="left"/>
      <w:pPr>
        <w:ind w:left="4125" w:hanging="360"/>
      </w:pPr>
      <w:rPr>
        <w:rFonts w:ascii="Courier New" w:hAnsi="Courier New" w:cs="Courier New" w:hint="default"/>
      </w:rPr>
    </w:lvl>
    <w:lvl w:ilvl="5" w:tplc="08090005" w:tentative="1">
      <w:start w:val="1"/>
      <w:numFmt w:val="bullet"/>
      <w:lvlText w:val=""/>
      <w:lvlJc w:val="left"/>
      <w:pPr>
        <w:ind w:left="4845" w:hanging="360"/>
      </w:pPr>
      <w:rPr>
        <w:rFonts w:ascii="Wingdings" w:hAnsi="Wingdings" w:hint="default"/>
      </w:rPr>
    </w:lvl>
    <w:lvl w:ilvl="6" w:tplc="08090001" w:tentative="1">
      <w:start w:val="1"/>
      <w:numFmt w:val="bullet"/>
      <w:lvlText w:val=""/>
      <w:lvlJc w:val="left"/>
      <w:pPr>
        <w:ind w:left="5565" w:hanging="360"/>
      </w:pPr>
      <w:rPr>
        <w:rFonts w:ascii="Symbol" w:hAnsi="Symbol" w:hint="default"/>
      </w:rPr>
    </w:lvl>
    <w:lvl w:ilvl="7" w:tplc="08090003" w:tentative="1">
      <w:start w:val="1"/>
      <w:numFmt w:val="bullet"/>
      <w:lvlText w:val="o"/>
      <w:lvlJc w:val="left"/>
      <w:pPr>
        <w:ind w:left="6285" w:hanging="360"/>
      </w:pPr>
      <w:rPr>
        <w:rFonts w:ascii="Courier New" w:hAnsi="Courier New" w:cs="Courier New" w:hint="default"/>
      </w:rPr>
    </w:lvl>
    <w:lvl w:ilvl="8" w:tplc="08090005" w:tentative="1">
      <w:start w:val="1"/>
      <w:numFmt w:val="bullet"/>
      <w:lvlText w:val=""/>
      <w:lvlJc w:val="left"/>
      <w:pPr>
        <w:ind w:left="7005" w:hanging="360"/>
      </w:pPr>
      <w:rPr>
        <w:rFonts w:ascii="Wingdings" w:hAnsi="Wingdings" w:hint="default"/>
      </w:rPr>
    </w:lvl>
  </w:abstractNum>
  <w:abstractNum w:abstractNumId="120" w15:restartNumberingAfterBreak="0">
    <w:nsid w:val="285B59D9"/>
    <w:multiLevelType w:val="hybridMultilevel"/>
    <w:tmpl w:val="2C146484"/>
    <w:lvl w:ilvl="0" w:tplc="5AEA2AC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287544F2"/>
    <w:multiLevelType w:val="hybridMultilevel"/>
    <w:tmpl w:val="EE6C2642"/>
    <w:lvl w:ilvl="0" w:tplc="70E8CD10">
      <w:start w:val="1"/>
      <w:numFmt w:val="lowerRoman"/>
      <w:lvlText w:val="%1."/>
      <w:lvlJc w:val="right"/>
      <w:pPr>
        <w:tabs>
          <w:tab w:val="num" w:pos="1429"/>
        </w:tabs>
        <w:ind w:left="1429" w:hanging="180"/>
      </w:pPr>
      <w:rPr>
        <w:rFonts w:hint="default"/>
      </w:rPr>
    </w:lvl>
    <w:lvl w:ilvl="1" w:tplc="C26A0782">
      <w:start w:val="1"/>
      <w:numFmt w:val="bullet"/>
      <w:lvlText w:val=""/>
      <w:lvlJc w:val="left"/>
      <w:pPr>
        <w:tabs>
          <w:tab w:val="num" w:pos="1789"/>
        </w:tabs>
        <w:ind w:left="1959" w:hanging="170"/>
      </w:pPr>
      <w:rPr>
        <w:rFonts w:ascii="Symbol" w:hAnsi="Symbol" w:hint="default"/>
        <w:color w:val="auto"/>
        <w:sz w:val="24"/>
      </w:rPr>
    </w:lvl>
    <w:lvl w:ilvl="2" w:tplc="0809001B" w:tentative="1">
      <w:start w:val="1"/>
      <w:numFmt w:val="lowerRoman"/>
      <w:lvlText w:val="%3."/>
      <w:lvlJc w:val="right"/>
      <w:pPr>
        <w:tabs>
          <w:tab w:val="num" w:pos="2869"/>
        </w:tabs>
        <w:ind w:left="2869" w:hanging="180"/>
      </w:pPr>
    </w:lvl>
    <w:lvl w:ilvl="3" w:tplc="0809000F" w:tentative="1">
      <w:start w:val="1"/>
      <w:numFmt w:val="decimal"/>
      <w:lvlText w:val="%4."/>
      <w:lvlJc w:val="left"/>
      <w:pPr>
        <w:tabs>
          <w:tab w:val="num" w:pos="3589"/>
        </w:tabs>
        <w:ind w:left="3589" w:hanging="360"/>
      </w:pPr>
    </w:lvl>
    <w:lvl w:ilvl="4" w:tplc="08090019" w:tentative="1">
      <w:start w:val="1"/>
      <w:numFmt w:val="lowerLetter"/>
      <w:lvlText w:val="%5."/>
      <w:lvlJc w:val="left"/>
      <w:pPr>
        <w:tabs>
          <w:tab w:val="num" w:pos="4309"/>
        </w:tabs>
        <w:ind w:left="4309" w:hanging="360"/>
      </w:pPr>
    </w:lvl>
    <w:lvl w:ilvl="5" w:tplc="0809001B" w:tentative="1">
      <w:start w:val="1"/>
      <w:numFmt w:val="lowerRoman"/>
      <w:lvlText w:val="%6."/>
      <w:lvlJc w:val="right"/>
      <w:pPr>
        <w:tabs>
          <w:tab w:val="num" w:pos="5029"/>
        </w:tabs>
        <w:ind w:left="5029" w:hanging="180"/>
      </w:pPr>
    </w:lvl>
    <w:lvl w:ilvl="6" w:tplc="0809000F" w:tentative="1">
      <w:start w:val="1"/>
      <w:numFmt w:val="decimal"/>
      <w:lvlText w:val="%7."/>
      <w:lvlJc w:val="left"/>
      <w:pPr>
        <w:tabs>
          <w:tab w:val="num" w:pos="5749"/>
        </w:tabs>
        <w:ind w:left="5749" w:hanging="360"/>
      </w:pPr>
    </w:lvl>
    <w:lvl w:ilvl="7" w:tplc="08090019" w:tentative="1">
      <w:start w:val="1"/>
      <w:numFmt w:val="lowerLetter"/>
      <w:lvlText w:val="%8."/>
      <w:lvlJc w:val="left"/>
      <w:pPr>
        <w:tabs>
          <w:tab w:val="num" w:pos="6469"/>
        </w:tabs>
        <w:ind w:left="6469" w:hanging="360"/>
      </w:pPr>
    </w:lvl>
    <w:lvl w:ilvl="8" w:tplc="0809001B" w:tentative="1">
      <w:start w:val="1"/>
      <w:numFmt w:val="lowerRoman"/>
      <w:lvlText w:val="%9."/>
      <w:lvlJc w:val="right"/>
      <w:pPr>
        <w:tabs>
          <w:tab w:val="num" w:pos="7189"/>
        </w:tabs>
        <w:ind w:left="7189" w:hanging="180"/>
      </w:pPr>
    </w:lvl>
  </w:abstractNum>
  <w:abstractNum w:abstractNumId="122" w15:restartNumberingAfterBreak="0">
    <w:nsid w:val="28A8631B"/>
    <w:multiLevelType w:val="hybridMultilevel"/>
    <w:tmpl w:val="9614F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28AF7CD2"/>
    <w:multiLevelType w:val="hybridMultilevel"/>
    <w:tmpl w:val="B48A9968"/>
    <w:lvl w:ilvl="0" w:tplc="114AA40C">
      <w:start w:val="1"/>
      <w:numFmt w:val="lowerRoman"/>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 w15:restartNumberingAfterBreak="0">
    <w:nsid w:val="2AC45C63"/>
    <w:multiLevelType w:val="hybridMultilevel"/>
    <w:tmpl w:val="778A5400"/>
    <w:lvl w:ilvl="0" w:tplc="0770B034">
      <w:start w:val="1"/>
      <w:numFmt w:val="decimal"/>
      <w:lvlText w:val="%1."/>
      <w:lvlJc w:val="left"/>
      <w:pPr>
        <w:ind w:left="502" w:hanging="360"/>
      </w:pPr>
      <w:rPr>
        <w:rFonts w:hint="default"/>
        <w:strike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25" w15:restartNumberingAfterBreak="0">
    <w:nsid w:val="2C114AD8"/>
    <w:multiLevelType w:val="hybridMultilevel"/>
    <w:tmpl w:val="4E8A95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6" w15:restartNumberingAfterBreak="0">
    <w:nsid w:val="2CBE32DF"/>
    <w:multiLevelType w:val="hybridMultilevel"/>
    <w:tmpl w:val="B39AD2F8"/>
    <w:lvl w:ilvl="0" w:tplc="08090001">
      <w:start w:val="1"/>
      <w:numFmt w:val="bullet"/>
      <w:lvlText w:val=""/>
      <w:lvlJc w:val="left"/>
      <w:pPr>
        <w:ind w:left="-338" w:hanging="360"/>
      </w:pPr>
      <w:rPr>
        <w:rFonts w:ascii="Symbol" w:hAnsi="Symbol" w:hint="default"/>
      </w:rPr>
    </w:lvl>
    <w:lvl w:ilvl="1" w:tplc="08090003" w:tentative="1">
      <w:start w:val="1"/>
      <w:numFmt w:val="bullet"/>
      <w:lvlText w:val="o"/>
      <w:lvlJc w:val="left"/>
      <w:pPr>
        <w:ind w:left="382" w:hanging="360"/>
      </w:pPr>
      <w:rPr>
        <w:rFonts w:ascii="Courier New" w:hAnsi="Courier New" w:cs="Courier New" w:hint="default"/>
      </w:rPr>
    </w:lvl>
    <w:lvl w:ilvl="2" w:tplc="08090005" w:tentative="1">
      <w:start w:val="1"/>
      <w:numFmt w:val="bullet"/>
      <w:lvlText w:val=""/>
      <w:lvlJc w:val="left"/>
      <w:pPr>
        <w:ind w:left="1102" w:hanging="360"/>
      </w:pPr>
      <w:rPr>
        <w:rFonts w:ascii="Wingdings" w:hAnsi="Wingdings" w:hint="default"/>
      </w:rPr>
    </w:lvl>
    <w:lvl w:ilvl="3" w:tplc="08090001" w:tentative="1">
      <w:start w:val="1"/>
      <w:numFmt w:val="bullet"/>
      <w:lvlText w:val=""/>
      <w:lvlJc w:val="left"/>
      <w:pPr>
        <w:ind w:left="1822" w:hanging="360"/>
      </w:pPr>
      <w:rPr>
        <w:rFonts w:ascii="Symbol" w:hAnsi="Symbol" w:hint="default"/>
      </w:rPr>
    </w:lvl>
    <w:lvl w:ilvl="4" w:tplc="08090003" w:tentative="1">
      <w:start w:val="1"/>
      <w:numFmt w:val="bullet"/>
      <w:lvlText w:val="o"/>
      <w:lvlJc w:val="left"/>
      <w:pPr>
        <w:ind w:left="2542" w:hanging="360"/>
      </w:pPr>
      <w:rPr>
        <w:rFonts w:ascii="Courier New" w:hAnsi="Courier New" w:cs="Courier New" w:hint="default"/>
      </w:rPr>
    </w:lvl>
    <w:lvl w:ilvl="5" w:tplc="08090005" w:tentative="1">
      <w:start w:val="1"/>
      <w:numFmt w:val="bullet"/>
      <w:lvlText w:val=""/>
      <w:lvlJc w:val="left"/>
      <w:pPr>
        <w:ind w:left="3262" w:hanging="360"/>
      </w:pPr>
      <w:rPr>
        <w:rFonts w:ascii="Wingdings" w:hAnsi="Wingdings" w:hint="default"/>
      </w:rPr>
    </w:lvl>
    <w:lvl w:ilvl="6" w:tplc="08090001" w:tentative="1">
      <w:start w:val="1"/>
      <w:numFmt w:val="bullet"/>
      <w:lvlText w:val=""/>
      <w:lvlJc w:val="left"/>
      <w:pPr>
        <w:ind w:left="3982" w:hanging="360"/>
      </w:pPr>
      <w:rPr>
        <w:rFonts w:ascii="Symbol" w:hAnsi="Symbol" w:hint="default"/>
      </w:rPr>
    </w:lvl>
    <w:lvl w:ilvl="7" w:tplc="08090003" w:tentative="1">
      <w:start w:val="1"/>
      <w:numFmt w:val="bullet"/>
      <w:lvlText w:val="o"/>
      <w:lvlJc w:val="left"/>
      <w:pPr>
        <w:ind w:left="4702" w:hanging="360"/>
      </w:pPr>
      <w:rPr>
        <w:rFonts w:ascii="Courier New" w:hAnsi="Courier New" w:cs="Courier New" w:hint="default"/>
      </w:rPr>
    </w:lvl>
    <w:lvl w:ilvl="8" w:tplc="08090005" w:tentative="1">
      <w:start w:val="1"/>
      <w:numFmt w:val="bullet"/>
      <w:lvlText w:val=""/>
      <w:lvlJc w:val="left"/>
      <w:pPr>
        <w:ind w:left="5422" w:hanging="360"/>
      </w:pPr>
      <w:rPr>
        <w:rFonts w:ascii="Wingdings" w:hAnsi="Wingdings" w:hint="default"/>
      </w:rPr>
    </w:lvl>
  </w:abstractNum>
  <w:abstractNum w:abstractNumId="127" w15:restartNumberingAfterBreak="0">
    <w:nsid w:val="2CBF5BE5"/>
    <w:multiLevelType w:val="hybridMultilevel"/>
    <w:tmpl w:val="58C612BE"/>
    <w:lvl w:ilvl="0" w:tplc="7562D430">
      <w:start w:val="1"/>
      <w:numFmt w:val="lowerRoman"/>
      <w:lvlText w:val="%1."/>
      <w:lvlJc w:val="left"/>
      <w:pPr>
        <w:ind w:left="1080" w:hanging="360"/>
      </w:pPr>
      <w:rPr>
        <w:rFonts w:hint="default"/>
        <w:strike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8" w15:restartNumberingAfterBreak="0">
    <w:nsid w:val="2CE76564"/>
    <w:multiLevelType w:val="hybridMultilevel"/>
    <w:tmpl w:val="CF44DE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2D1120DF"/>
    <w:multiLevelType w:val="hybridMultilevel"/>
    <w:tmpl w:val="B17ED852"/>
    <w:lvl w:ilvl="0" w:tplc="535C61C6">
      <w:start w:val="1"/>
      <w:numFmt w:val="decimal"/>
      <w:lvlText w:val="%1."/>
      <w:lvlJc w:val="left"/>
      <w:pPr>
        <w:ind w:left="360" w:hanging="360"/>
      </w:pPr>
      <w:rPr>
        <w:strik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 w15:restartNumberingAfterBreak="0">
    <w:nsid w:val="2D1F40CC"/>
    <w:multiLevelType w:val="hybridMultilevel"/>
    <w:tmpl w:val="4AF2898E"/>
    <w:lvl w:ilvl="0" w:tplc="10AAB27E">
      <w:start w:val="1"/>
      <w:numFmt w:val="bullet"/>
      <w:lvlText w:val=""/>
      <w:lvlJc w:val="left"/>
      <w:pPr>
        <w:tabs>
          <w:tab w:val="num" w:pos="397"/>
        </w:tabs>
        <w:ind w:left="397" w:hanging="397"/>
      </w:pPr>
      <w:rPr>
        <w:rFonts w:ascii="Symbol" w:hAnsi="Symbol" w:hint="default"/>
      </w:rPr>
    </w:lvl>
    <w:lvl w:ilvl="1" w:tplc="08090003" w:tentative="1">
      <w:start w:val="1"/>
      <w:numFmt w:val="bullet"/>
      <w:lvlText w:val="o"/>
      <w:lvlJc w:val="left"/>
      <w:pPr>
        <w:tabs>
          <w:tab w:val="num" w:pos="476"/>
        </w:tabs>
        <w:ind w:left="476" w:hanging="360"/>
      </w:pPr>
      <w:rPr>
        <w:rFonts w:ascii="Courier New" w:hAnsi="Courier New" w:cs="Courier New" w:hint="default"/>
      </w:rPr>
    </w:lvl>
    <w:lvl w:ilvl="2" w:tplc="08090005" w:tentative="1">
      <w:start w:val="1"/>
      <w:numFmt w:val="bullet"/>
      <w:lvlText w:val=""/>
      <w:lvlJc w:val="left"/>
      <w:pPr>
        <w:tabs>
          <w:tab w:val="num" w:pos="1196"/>
        </w:tabs>
        <w:ind w:left="1196" w:hanging="360"/>
      </w:pPr>
      <w:rPr>
        <w:rFonts w:ascii="Wingdings" w:hAnsi="Wingdings" w:hint="default"/>
      </w:rPr>
    </w:lvl>
    <w:lvl w:ilvl="3" w:tplc="08090001" w:tentative="1">
      <w:start w:val="1"/>
      <w:numFmt w:val="bullet"/>
      <w:lvlText w:val=""/>
      <w:lvlJc w:val="left"/>
      <w:pPr>
        <w:tabs>
          <w:tab w:val="num" w:pos="1916"/>
        </w:tabs>
        <w:ind w:left="1916" w:hanging="360"/>
      </w:pPr>
      <w:rPr>
        <w:rFonts w:ascii="Symbol" w:hAnsi="Symbol" w:hint="default"/>
      </w:rPr>
    </w:lvl>
    <w:lvl w:ilvl="4" w:tplc="08090003" w:tentative="1">
      <w:start w:val="1"/>
      <w:numFmt w:val="bullet"/>
      <w:lvlText w:val="o"/>
      <w:lvlJc w:val="left"/>
      <w:pPr>
        <w:tabs>
          <w:tab w:val="num" w:pos="2636"/>
        </w:tabs>
        <w:ind w:left="2636" w:hanging="360"/>
      </w:pPr>
      <w:rPr>
        <w:rFonts w:ascii="Courier New" w:hAnsi="Courier New" w:cs="Courier New" w:hint="default"/>
      </w:rPr>
    </w:lvl>
    <w:lvl w:ilvl="5" w:tplc="08090005" w:tentative="1">
      <w:start w:val="1"/>
      <w:numFmt w:val="bullet"/>
      <w:lvlText w:val=""/>
      <w:lvlJc w:val="left"/>
      <w:pPr>
        <w:tabs>
          <w:tab w:val="num" w:pos="3356"/>
        </w:tabs>
        <w:ind w:left="3356" w:hanging="360"/>
      </w:pPr>
      <w:rPr>
        <w:rFonts w:ascii="Wingdings" w:hAnsi="Wingdings" w:hint="default"/>
      </w:rPr>
    </w:lvl>
    <w:lvl w:ilvl="6" w:tplc="08090001" w:tentative="1">
      <w:start w:val="1"/>
      <w:numFmt w:val="bullet"/>
      <w:lvlText w:val=""/>
      <w:lvlJc w:val="left"/>
      <w:pPr>
        <w:tabs>
          <w:tab w:val="num" w:pos="4076"/>
        </w:tabs>
        <w:ind w:left="4076" w:hanging="360"/>
      </w:pPr>
      <w:rPr>
        <w:rFonts w:ascii="Symbol" w:hAnsi="Symbol" w:hint="default"/>
      </w:rPr>
    </w:lvl>
    <w:lvl w:ilvl="7" w:tplc="08090003" w:tentative="1">
      <w:start w:val="1"/>
      <w:numFmt w:val="bullet"/>
      <w:lvlText w:val="o"/>
      <w:lvlJc w:val="left"/>
      <w:pPr>
        <w:tabs>
          <w:tab w:val="num" w:pos="4796"/>
        </w:tabs>
        <w:ind w:left="4796" w:hanging="360"/>
      </w:pPr>
      <w:rPr>
        <w:rFonts w:ascii="Courier New" w:hAnsi="Courier New" w:cs="Courier New" w:hint="default"/>
      </w:rPr>
    </w:lvl>
    <w:lvl w:ilvl="8" w:tplc="08090005" w:tentative="1">
      <w:start w:val="1"/>
      <w:numFmt w:val="bullet"/>
      <w:lvlText w:val=""/>
      <w:lvlJc w:val="left"/>
      <w:pPr>
        <w:tabs>
          <w:tab w:val="num" w:pos="5516"/>
        </w:tabs>
        <w:ind w:left="5516" w:hanging="360"/>
      </w:pPr>
      <w:rPr>
        <w:rFonts w:ascii="Wingdings" w:hAnsi="Wingdings" w:hint="default"/>
      </w:rPr>
    </w:lvl>
  </w:abstractNum>
  <w:abstractNum w:abstractNumId="131" w15:restartNumberingAfterBreak="0">
    <w:nsid w:val="2DCF10BF"/>
    <w:multiLevelType w:val="hybridMultilevel"/>
    <w:tmpl w:val="196469A8"/>
    <w:lvl w:ilvl="0" w:tplc="C1EE646C">
      <w:start w:val="1"/>
      <w:numFmt w:val="decimal"/>
      <w:lvlText w:val="%1."/>
      <w:lvlJc w:val="left"/>
      <w:pPr>
        <w:tabs>
          <w:tab w:val="num" w:pos="360"/>
        </w:tabs>
        <w:ind w:left="360" w:hanging="360"/>
      </w:pPr>
      <w:rPr>
        <w:rFonts w:hint="default"/>
        <w:strike w:val="0"/>
      </w:rPr>
    </w:lvl>
    <w:lvl w:ilvl="1" w:tplc="70CCB80E">
      <w:start w:val="1"/>
      <w:numFmt w:val="lowerLetter"/>
      <w:lvlText w:val="%2)"/>
      <w:lvlJc w:val="left"/>
      <w:pPr>
        <w:tabs>
          <w:tab w:val="num" w:pos="1590"/>
        </w:tabs>
        <w:ind w:left="1590" w:hanging="51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2" w15:restartNumberingAfterBreak="0">
    <w:nsid w:val="2E0E7BE1"/>
    <w:multiLevelType w:val="hybridMultilevel"/>
    <w:tmpl w:val="9020A686"/>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2E2175EF"/>
    <w:multiLevelType w:val="hybridMultilevel"/>
    <w:tmpl w:val="2326E936"/>
    <w:lvl w:ilvl="0" w:tplc="888CDED6">
      <w:start w:val="5"/>
      <w:numFmt w:val="lowerLetter"/>
      <w:lvlText w:val="%1)"/>
      <w:lvlJc w:val="left"/>
      <w:pPr>
        <w:ind w:left="-208" w:hanging="360"/>
      </w:pPr>
      <w:rPr>
        <w:rFonts w:hint="default"/>
        <w:b w:val="0"/>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2E2B5150"/>
    <w:multiLevelType w:val="hybridMultilevel"/>
    <w:tmpl w:val="754EC176"/>
    <w:lvl w:ilvl="0" w:tplc="87C63464">
      <w:start w:val="1"/>
      <w:numFmt w:val="lowerLetter"/>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5" w15:restartNumberingAfterBreak="0">
    <w:nsid w:val="2E570E5B"/>
    <w:multiLevelType w:val="hybridMultilevel"/>
    <w:tmpl w:val="F6FCEA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2F5F0935"/>
    <w:multiLevelType w:val="hybridMultilevel"/>
    <w:tmpl w:val="DAE8A51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2FF50CF7"/>
    <w:multiLevelType w:val="hybridMultilevel"/>
    <w:tmpl w:val="4866E11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8" w15:restartNumberingAfterBreak="0">
    <w:nsid w:val="306961BB"/>
    <w:multiLevelType w:val="hybridMultilevel"/>
    <w:tmpl w:val="20C441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9" w15:restartNumberingAfterBreak="0">
    <w:nsid w:val="313757FF"/>
    <w:multiLevelType w:val="hybridMultilevel"/>
    <w:tmpl w:val="256638C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0" w15:restartNumberingAfterBreak="0">
    <w:nsid w:val="3228717A"/>
    <w:multiLevelType w:val="hybridMultilevel"/>
    <w:tmpl w:val="51F2280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1" w15:restartNumberingAfterBreak="0">
    <w:nsid w:val="329830D3"/>
    <w:multiLevelType w:val="hybridMultilevel"/>
    <w:tmpl w:val="8D94D1CC"/>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32F649BE"/>
    <w:multiLevelType w:val="hybridMultilevel"/>
    <w:tmpl w:val="9668BDEA"/>
    <w:lvl w:ilvl="0" w:tplc="98FEB0A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3" w15:restartNumberingAfterBreak="0">
    <w:nsid w:val="32F94403"/>
    <w:multiLevelType w:val="hybridMultilevel"/>
    <w:tmpl w:val="DAD4B87A"/>
    <w:lvl w:ilvl="0" w:tplc="98FEB0A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33EA563C"/>
    <w:multiLevelType w:val="hybridMultilevel"/>
    <w:tmpl w:val="EC54FAFE"/>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34782AA6"/>
    <w:multiLevelType w:val="hybridMultilevel"/>
    <w:tmpl w:val="CED41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348170B0"/>
    <w:multiLevelType w:val="hybridMultilevel"/>
    <w:tmpl w:val="E084B9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7" w15:restartNumberingAfterBreak="0">
    <w:nsid w:val="3493380E"/>
    <w:multiLevelType w:val="hybridMultilevel"/>
    <w:tmpl w:val="7DCEC23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8" w15:restartNumberingAfterBreak="0">
    <w:nsid w:val="363B2655"/>
    <w:multiLevelType w:val="hybridMultilevel"/>
    <w:tmpl w:val="98DA83DA"/>
    <w:lvl w:ilvl="0" w:tplc="98FEB0A8">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9" w15:restartNumberingAfterBreak="0">
    <w:nsid w:val="368B3DBB"/>
    <w:multiLevelType w:val="hybridMultilevel"/>
    <w:tmpl w:val="D340E0AC"/>
    <w:lvl w:ilvl="0" w:tplc="87C63464">
      <w:start w:val="1"/>
      <w:numFmt w:val="lowerLetter"/>
      <w:lvlText w:val="%1)"/>
      <w:lvlJc w:val="left"/>
      <w:pPr>
        <w:ind w:left="76" w:hanging="360"/>
      </w:pPr>
      <w:rPr>
        <w:rFonts w:hint="default"/>
        <w:b w:val="0"/>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150" w15:restartNumberingAfterBreak="0">
    <w:nsid w:val="36DE11AD"/>
    <w:multiLevelType w:val="hybridMultilevel"/>
    <w:tmpl w:val="5ED80EC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1" w15:restartNumberingAfterBreak="0">
    <w:nsid w:val="371721EB"/>
    <w:multiLevelType w:val="hybridMultilevel"/>
    <w:tmpl w:val="F79A662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52" w15:restartNumberingAfterBreak="0">
    <w:nsid w:val="37196AFD"/>
    <w:multiLevelType w:val="hybridMultilevel"/>
    <w:tmpl w:val="92121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37410199"/>
    <w:multiLevelType w:val="hybridMultilevel"/>
    <w:tmpl w:val="061A7E1E"/>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4" w15:restartNumberingAfterBreak="0">
    <w:nsid w:val="377B2A1B"/>
    <w:multiLevelType w:val="hybridMultilevel"/>
    <w:tmpl w:val="F6CA3424"/>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55" w15:restartNumberingAfterBreak="0">
    <w:nsid w:val="377F3C8B"/>
    <w:multiLevelType w:val="hybridMultilevel"/>
    <w:tmpl w:val="B93A88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6" w15:restartNumberingAfterBreak="0">
    <w:nsid w:val="3789390D"/>
    <w:multiLevelType w:val="hybridMultilevel"/>
    <w:tmpl w:val="BEFAF8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7" w15:restartNumberingAfterBreak="0">
    <w:nsid w:val="379F0AD4"/>
    <w:multiLevelType w:val="multilevel"/>
    <w:tmpl w:val="187CD222"/>
    <w:lvl w:ilvl="0">
      <w:start w:val="1"/>
      <w:numFmt w:val="decimal"/>
      <w:lvlText w:val="%1"/>
      <w:lvlJc w:val="left"/>
      <w:pPr>
        <w:tabs>
          <w:tab w:val="num" w:pos="525"/>
        </w:tabs>
        <w:ind w:left="525" w:hanging="525"/>
      </w:pPr>
      <w:rPr>
        <w:rFonts w:hint="default"/>
      </w:rPr>
    </w:lvl>
    <w:lvl w:ilvl="1">
      <w:start w:val="1"/>
      <w:numFmt w:val="decimal"/>
      <w:lvlText w:val="5.%2"/>
      <w:lvlJc w:val="left"/>
      <w:pPr>
        <w:tabs>
          <w:tab w:val="num" w:pos="525"/>
        </w:tabs>
        <w:ind w:left="525" w:hanging="525"/>
      </w:pPr>
      <w:rPr>
        <w:rFonts w:hint="default"/>
        <w:b w:val="0"/>
        <w:bCs w:val="0"/>
        <w:strike w:val="0"/>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58" w15:restartNumberingAfterBreak="0">
    <w:nsid w:val="37B56AF4"/>
    <w:multiLevelType w:val="hybridMultilevel"/>
    <w:tmpl w:val="A9CEB02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9" w15:restartNumberingAfterBreak="0">
    <w:nsid w:val="388C251E"/>
    <w:multiLevelType w:val="hybridMultilevel"/>
    <w:tmpl w:val="60CE4FEA"/>
    <w:lvl w:ilvl="0" w:tplc="DF9878A0">
      <w:start w:val="1"/>
      <w:numFmt w:val="lowerRoman"/>
      <w:lvlText w:val="%1"/>
      <w:lvlJc w:val="left"/>
      <w:pPr>
        <w:tabs>
          <w:tab w:val="num" w:pos="1117"/>
        </w:tabs>
        <w:ind w:left="1117" w:hanging="397"/>
      </w:pPr>
      <w:rPr>
        <w:rFonts w:hint="default"/>
      </w:rPr>
    </w:lvl>
    <w:lvl w:ilvl="1" w:tplc="08090019" w:tentative="1">
      <w:start w:val="1"/>
      <w:numFmt w:val="lowerLetter"/>
      <w:lvlText w:val="%2."/>
      <w:lvlJc w:val="left"/>
      <w:pPr>
        <w:tabs>
          <w:tab w:val="num" w:pos="1763"/>
        </w:tabs>
        <w:ind w:left="1763" w:hanging="360"/>
      </w:pPr>
    </w:lvl>
    <w:lvl w:ilvl="2" w:tplc="0809001B" w:tentative="1">
      <w:start w:val="1"/>
      <w:numFmt w:val="lowerRoman"/>
      <w:lvlText w:val="%3."/>
      <w:lvlJc w:val="right"/>
      <w:pPr>
        <w:tabs>
          <w:tab w:val="num" w:pos="2483"/>
        </w:tabs>
        <w:ind w:left="2483" w:hanging="180"/>
      </w:pPr>
    </w:lvl>
    <w:lvl w:ilvl="3" w:tplc="0809000F" w:tentative="1">
      <w:start w:val="1"/>
      <w:numFmt w:val="decimal"/>
      <w:lvlText w:val="%4."/>
      <w:lvlJc w:val="left"/>
      <w:pPr>
        <w:tabs>
          <w:tab w:val="num" w:pos="3203"/>
        </w:tabs>
        <w:ind w:left="3203" w:hanging="360"/>
      </w:pPr>
    </w:lvl>
    <w:lvl w:ilvl="4" w:tplc="08090019" w:tentative="1">
      <w:start w:val="1"/>
      <w:numFmt w:val="lowerLetter"/>
      <w:lvlText w:val="%5."/>
      <w:lvlJc w:val="left"/>
      <w:pPr>
        <w:tabs>
          <w:tab w:val="num" w:pos="3923"/>
        </w:tabs>
        <w:ind w:left="3923" w:hanging="360"/>
      </w:pPr>
    </w:lvl>
    <w:lvl w:ilvl="5" w:tplc="0809001B" w:tentative="1">
      <w:start w:val="1"/>
      <w:numFmt w:val="lowerRoman"/>
      <w:lvlText w:val="%6."/>
      <w:lvlJc w:val="right"/>
      <w:pPr>
        <w:tabs>
          <w:tab w:val="num" w:pos="4643"/>
        </w:tabs>
        <w:ind w:left="4643" w:hanging="180"/>
      </w:pPr>
    </w:lvl>
    <w:lvl w:ilvl="6" w:tplc="0809000F" w:tentative="1">
      <w:start w:val="1"/>
      <w:numFmt w:val="decimal"/>
      <w:lvlText w:val="%7."/>
      <w:lvlJc w:val="left"/>
      <w:pPr>
        <w:tabs>
          <w:tab w:val="num" w:pos="5363"/>
        </w:tabs>
        <w:ind w:left="5363" w:hanging="360"/>
      </w:pPr>
    </w:lvl>
    <w:lvl w:ilvl="7" w:tplc="08090019" w:tentative="1">
      <w:start w:val="1"/>
      <w:numFmt w:val="lowerLetter"/>
      <w:lvlText w:val="%8."/>
      <w:lvlJc w:val="left"/>
      <w:pPr>
        <w:tabs>
          <w:tab w:val="num" w:pos="6083"/>
        </w:tabs>
        <w:ind w:left="6083" w:hanging="360"/>
      </w:pPr>
    </w:lvl>
    <w:lvl w:ilvl="8" w:tplc="0809001B" w:tentative="1">
      <w:start w:val="1"/>
      <w:numFmt w:val="lowerRoman"/>
      <w:lvlText w:val="%9."/>
      <w:lvlJc w:val="right"/>
      <w:pPr>
        <w:tabs>
          <w:tab w:val="num" w:pos="6803"/>
        </w:tabs>
        <w:ind w:left="6803" w:hanging="180"/>
      </w:pPr>
    </w:lvl>
  </w:abstractNum>
  <w:abstractNum w:abstractNumId="160" w15:restartNumberingAfterBreak="0">
    <w:nsid w:val="38FF410D"/>
    <w:multiLevelType w:val="hybridMultilevel"/>
    <w:tmpl w:val="9D6010C2"/>
    <w:lvl w:ilvl="0" w:tplc="FFFFFFFF">
      <w:start w:val="1"/>
      <w:numFmt w:val="bullet"/>
      <w:lvlText w:val=""/>
      <w:lvlJc w:val="left"/>
      <w:pPr>
        <w:tabs>
          <w:tab w:val="num" w:pos="1133"/>
        </w:tabs>
        <w:ind w:left="1133" w:hanging="360"/>
      </w:pPr>
      <w:rPr>
        <w:rFonts w:ascii="Symbol" w:hAnsi="Symbol" w:hint="default"/>
        <w:color w:val="auto"/>
        <w:sz w:val="20"/>
        <w:szCs w:val="20"/>
      </w:rPr>
    </w:lvl>
    <w:lvl w:ilvl="1" w:tplc="FFFFFFFF" w:tentative="1">
      <w:start w:val="1"/>
      <w:numFmt w:val="bullet"/>
      <w:lvlText w:val="o"/>
      <w:lvlJc w:val="left"/>
      <w:pPr>
        <w:tabs>
          <w:tab w:val="num" w:pos="1133"/>
        </w:tabs>
        <w:ind w:left="1133" w:hanging="360"/>
      </w:pPr>
      <w:rPr>
        <w:rFonts w:ascii="Courier New" w:hAnsi="Courier New" w:cs="Courier New" w:hint="default"/>
      </w:rPr>
    </w:lvl>
    <w:lvl w:ilvl="2" w:tplc="FFFFFFFF" w:tentative="1">
      <w:start w:val="1"/>
      <w:numFmt w:val="bullet"/>
      <w:lvlText w:val=""/>
      <w:lvlJc w:val="left"/>
      <w:pPr>
        <w:tabs>
          <w:tab w:val="num" w:pos="1853"/>
        </w:tabs>
        <w:ind w:left="1853" w:hanging="360"/>
      </w:pPr>
      <w:rPr>
        <w:rFonts w:ascii="Wingdings" w:hAnsi="Wingdings" w:hint="default"/>
      </w:rPr>
    </w:lvl>
    <w:lvl w:ilvl="3" w:tplc="FFFFFFFF" w:tentative="1">
      <w:start w:val="1"/>
      <w:numFmt w:val="bullet"/>
      <w:lvlText w:val=""/>
      <w:lvlJc w:val="left"/>
      <w:pPr>
        <w:tabs>
          <w:tab w:val="num" w:pos="2573"/>
        </w:tabs>
        <w:ind w:left="2573" w:hanging="360"/>
      </w:pPr>
      <w:rPr>
        <w:rFonts w:ascii="Symbol" w:hAnsi="Symbol" w:hint="default"/>
      </w:rPr>
    </w:lvl>
    <w:lvl w:ilvl="4" w:tplc="FFFFFFFF" w:tentative="1">
      <w:start w:val="1"/>
      <w:numFmt w:val="bullet"/>
      <w:lvlText w:val="o"/>
      <w:lvlJc w:val="left"/>
      <w:pPr>
        <w:tabs>
          <w:tab w:val="num" w:pos="3293"/>
        </w:tabs>
        <w:ind w:left="3293" w:hanging="360"/>
      </w:pPr>
      <w:rPr>
        <w:rFonts w:ascii="Courier New" w:hAnsi="Courier New" w:cs="Courier New" w:hint="default"/>
      </w:rPr>
    </w:lvl>
    <w:lvl w:ilvl="5" w:tplc="FFFFFFFF" w:tentative="1">
      <w:start w:val="1"/>
      <w:numFmt w:val="bullet"/>
      <w:lvlText w:val=""/>
      <w:lvlJc w:val="left"/>
      <w:pPr>
        <w:tabs>
          <w:tab w:val="num" w:pos="4013"/>
        </w:tabs>
        <w:ind w:left="4013" w:hanging="360"/>
      </w:pPr>
      <w:rPr>
        <w:rFonts w:ascii="Wingdings" w:hAnsi="Wingdings" w:hint="default"/>
      </w:rPr>
    </w:lvl>
    <w:lvl w:ilvl="6" w:tplc="FFFFFFFF" w:tentative="1">
      <w:start w:val="1"/>
      <w:numFmt w:val="bullet"/>
      <w:lvlText w:val=""/>
      <w:lvlJc w:val="left"/>
      <w:pPr>
        <w:tabs>
          <w:tab w:val="num" w:pos="4733"/>
        </w:tabs>
        <w:ind w:left="4733" w:hanging="360"/>
      </w:pPr>
      <w:rPr>
        <w:rFonts w:ascii="Symbol" w:hAnsi="Symbol" w:hint="default"/>
      </w:rPr>
    </w:lvl>
    <w:lvl w:ilvl="7" w:tplc="FFFFFFFF" w:tentative="1">
      <w:start w:val="1"/>
      <w:numFmt w:val="bullet"/>
      <w:lvlText w:val="o"/>
      <w:lvlJc w:val="left"/>
      <w:pPr>
        <w:tabs>
          <w:tab w:val="num" w:pos="5453"/>
        </w:tabs>
        <w:ind w:left="5453" w:hanging="360"/>
      </w:pPr>
      <w:rPr>
        <w:rFonts w:ascii="Courier New" w:hAnsi="Courier New" w:cs="Courier New" w:hint="default"/>
      </w:rPr>
    </w:lvl>
    <w:lvl w:ilvl="8" w:tplc="FFFFFFFF" w:tentative="1">
      <w:start w:val="1"/>
      <w:numFmt w:val="bullet"/>
      <w:lvlText w:val=""/>
      <w:lvlJc w:val="left"/>
      <w:pPr>
        <w:tabs>
          <w:tab w:val="num" w:pos="6173"/>
        </w:tabs>
        <w:ind w:left="6173" w:hanging="360"/>
      </w:pPr>
      <w:rPr>
        <w:rFonts w:ascii="Wingdings" w:hAnsi="Wingdings" w:hint="default"/>
      </w:rPr>
    </w:lvl>
  </w:abstractNum>
  <w:abstractNum w:abstractNumId="161" w15:restartNumberingAfterBreak="0">
    <w:nsid w:val="39245D0C"/>
    <w:multiLevelType w:val="hybridMultilevel"/>
    <w:tmpl w:val="CBAE4C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2" w15:restartNumberingAfterBreak="0">
    <w:nsid w:val="39327D67"/>
    <w:multiLevelType w:val="hybridMultilevel"/>
    <w:tmpl w:val="708ACEEE"/>
    <w:lvl w:ilvl="0" w:tplc="F7C6FC62">
      <w:start w:val="1"/>
      <w:numFmt w:val="lowerLetter"/>
      <w:lvlText w:val="%1)"/>
      <w:lvlJc w:val="left"/>
      <w:pPr>
        <w:ind w:left="720" w:hanging="36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3" w15:restartNumberingAfterBreak="0">
    <w:nsid w:val="395C2C74"/>
    <w:multiLevelType w:val="hybridMultilevel"/>
    <w:tmpl w:val="DDD02130"/>
    <w:lvl w:ilvl="0" w:tplc="9C2CE666">
      <w:start w:val="1"/>
      <w:numFmt w:val="lowerLetter"/>
      <w:lvlText w:val="%1)"/>
      <w:lvlJc w:val="left"/>
      <w:pPr>
        <w:tabs>
          <w:tab w:val="num" w:pos="720"/>
        </w:tabs>
        <w:ind w:left="720" w:hanging="360"/>
      </w:pPr>
      <w:rPr>
        <w:rFonts w:hint="default"/>
        <w:b w:val="0"/>
        <w:bCs w:val="0"/>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4" w15:restartNumberingAfterBreak="0">
    <w:nsid w:val="395C4285"/>
    <w:multiLevelType w:val="hybridMultilevel"/>
    <w:tmpl w:val="519434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5" w15:restartNumberingAfterBreak="0">
    <w:nsid w:val="396879D8"/>
    <w:multiLevelType w:val="multilevel"/>
    <w:tmpl w:val="69B254A8"/>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strike w:val="0"/>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66" w15:restartNumberingAfterBreak="0">
    <w:nsid w:val="3983080E"/>
    <w:multiLevelType w:val="hybridMultilevel"/>
    <w:tmpl w:val="858478C6"/>
    <w:lvl w:ilvl="0" w:tplc="AE186E6E">
      <w:start w:val="1"/>
      <w:numFmt w:val="decimal"/>
      <w:lvlText w:val="%1."/>
      <w:lvlJc w:val="left"/>
      <w:pPr>
        <w:tabs>
          <w:tab w:val="num" w:pos="360"/>
        </w:tabs>
        <w:ind w:left="360" w:hanging="360"/>
      </w:pPr>
      <w:rPr>
        <w:rFonts w:hint="default"/>
        <w:color w:val="auto"/>
      </w:rPr>
    </w:lvl>
    <w:lvl w:ilvl="1" w:tplc="70CCB80E">
      <w:start w:val="1"/>
      <w:numFmt w:val="lowerLetter"/>
      <w:lvlText w:val="%2)"/>
      <w:lvlJc w:val="left"/>
      <w:pPr>
        <w:tabs>
          <w:tab w:val="num" w:pos="1590"/>
        </w:tabs>
        <w:ind w:left="1590" w:hanging="51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7" w15:restartNumberingAfterBreak="0">
    <w:nsid w:val="399537DE"/>
    <w:multiLevelType w:val="hybridMultilevel"/>
    <w:tmpl w:val="85AEFD8E"/>
    <w:lvl w:ilvl="0" w:tplc="08090019">
      <w:start w:val="1"/>
      <w:numFmt w:val="lowerLetter"/>
      <w:lvlText w:val="%1."/>
      <w:lvlJc w:val="left"/>
      <w:pPr>
        <w:ind w:left="666" w:hanging="360"/>
      </w:pPr>
      <w:rPr>
        <w:rFonts w:hint="default"/>
        <w:color w:val="0070C0"/>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68" w15:restartNumberingAfterBreak="0">
    <w:nsid w:val="39CC1120"/>
    <w:multiLevelType w:val="hybridMultilevel"/>
    <w:tmpl w:val="3A1CD458"/>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9" w15:restartNumberingAfterBreak="0">
    <w:nsid w:val="39CF092F"/>
    <w:multiLevelType w:val="hybridMultilevel"/>
    <w:tmpl w:val="E5A0BA26"/>
    <w:lvl w:ilvl="0" w:tplc="08090001">
      <w:start w:val="1"/>
      <w:numFmt w:val="bullet"/>
      <w:lvlText w:val=""/>
      <w:lvlJc w:val="left"/>
      <w:pPr>
        <w:ind w:left="1040" w:hanging="360"/>
      </w:pPr>
      <w:rPr>
        <w:rFonts w:ascii="Symbol" w:hAnsi="Symbol" w:hint="default"/>
      </w:rPr>
    </w:lvl>
    <w:lvl w:ilvl="1" w:tplc="08090003" w:tentative="1">
      <w:start w:val="1"/>
      <w:numFmt w:val="bullet"/>
      <w:lvlText w:val="o"/>
      <w:lvlJc w:val="left"/>
      <w:pPr>
        <w:ind w:left="1760" w:hanging="360"/>
      </w:pPr>
      <w:rPr>
        <w:rFonts w:ascii="Courier New" w:hAnsi="Courier New" w:cs="Courier New"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170" w15:restartNumberingAfterBreak="0">
    <w:nsid w:val="3A383976"/>
    <w:multiLevelType w:val="hybridMultilevel"/>
    <w:tmpl w:val="254EA936"/>
    <w:lvl w:ilvl="0" w:tplc="8632D386">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3A6D1CC1"/>
    <w:multiLevelType w:val="hybridMultilevel"/>
    <w:tmpl w:val="7E40D652"/>
    <w:lvl w:ilvl="0" w:tplc="23722B52">
      <w:start w:val="1"/>
      <w:numFmt w:val="lowerLetter"/>
      <w:lvlText w:val="%1."/>
      <w:lvlJc w:val="left"/>
      <w:pPr>
        <w:ind w:left="1154"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2" w15:restartNumberingAfterBreak="0">
    <w:nsid w:val="3AD96774"/>
    <w:multiLevelType w:val="hybridMultilevel"/>
    <w:tmpl w:val="46406682"/>
    <w:lvl w:ilvl="0" w:tplc="F94EEDFE">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3" w15:restartNumberingAfterBreak="0">
    <w:nsid w:val="3AE64B49"/>
    <w:multiLevelType w:val="hybridMultilevel"/>
    <w:tmpl w:val="D5165F46"/>
    <w:lvl w:ilvl="0" w:tplc="B34CEA1C">
      <w:start w:val="1"/>
      <w:numFmt w:val="bullet"/>
      <w:lvlText w:val=""/>
      <w:lvlJc w:val="left"/>
      <w:pPr>
        <w:ind w:left="885" w:hanging="360"/>
      </w:pPr>
      <w:rPr>
        <w:rFonts w:ascii="Symbol" w:hAnsi="Symbol" w:hint="default"/>
        <w:sz w:val="24"/>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74" w15:restartNumberingAfterBreak="0">
    <w:nsid w:val="3AEC32BD"/>
    <w:multiLevelType w:val="hybridMultilevel"/>
    <w:tmpl w:val="65ECA72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5" w15:restartNumberingAfterBreak="0">
    <w:nsid w:val="3B2E1A8B"/>
    <w:multiLevelType w:val="multilevel"/>
    <w:tmpl w:val="E0246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3B8F0B28"/>
    <w:multiLevelType w:val="hybridMultilevel"/>
    <w:tmpl w:val="61FEBBA2"/>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7" w15:restartNumberingAfterBreak="0">
    <w:nsid w:val="3BB603E9"/>
    <w:multiLevelType w:val="hybridMultilevel"/>
    <w:tmpl w:val="7D8C06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8" w15:restartNumberingAfterBreak="0">
    <w:nsid w:val="3C0E2F4B"/>
    <w:multiLevelType w:val="hybridMultilevel"/>
    <w:tmpl w:val="1472A074"/>
    <w:lvl w:ilvl="0" w:tplc="08090001">
      <w:start w:val="1"/>
      <w:numFmt w:val="bullet"/>
      <w:lvlText w:val=""/>
      <w:lvlJc w:val="left"/>
      <w:pPr>
        <w:ind w:left="899" w:hanging="360"/>
      </w:pPr>
      <w:rPr>
        <w:rFonts w:ascii="Symbol" w:hAnsi="Symbol" w:hint="default"/>
      </w:rPr>
    </w:lvl>
    <w:lvl w:ilvl="1" w:tplc="08090003" w:tentative="1">
      <w:start w:val="1"/>
      <w:numFmt w:val="bullet"/>
      <w:lvlText w:val="o"/>
      <w:lvlJc w:val="left"/>
      <w:pPr>
        <w:ind w:left="1619" w:hanging="360"/>
      </w:pPr>
      <w:rPr>
        <w:rFonts w:ascii="Courier New" w:hAnsi="Courier New" w:cs="Courier New" w:hint="default"/>
      </w:rPr>
    </w:lvl>
    <w:lvl w:ilvl="2" w:tplc="08090005" w:tentative="1">
      <w:start w:val="1"/>
      <w:numFmt w:val="bullet"/>
      <w:lvlText w:val=""/>
      <w:lvlJc w:val="left"/>
      <w:pPr>
        <w:ind w:left="2339" w:hanging="360"/>
      </w:pPr>
      <w:rPr>
        <w:rFonts w:ascii="Wingdings" w:hAnsi="Wingdings" w:hint="default"/>
      </w:rPr>
    </w:lvl>
    <w:lvl w:ilvl="3" w:tplc="08090001" w:tentative="1">
      <w:start w:val="1"/>
      <w:numFmt w:val="bullet"/>
      <w:lvlText w:val=""/>
      <w:lvlJc w:val="left"/>
      <w:pPr>
        <w:ind w:left="3059" w:hanging="360"/>
      </w:pPr>
      <w:rPr>
        <w:rFonts w:ascii="Symbol" w:hAnsi="Symbol" w:hint="default"/>
      </w:rPr>
    </w:lvl>
    <w:lvl w:ilvl="4" w:tplc="08090003" w:tentative="1">
      <w:start w:val="1"/>
      <w:numFmt w:val="bullet"/>
      <w:lvlText w:val="o"/>
      <w:lvlJc w:val="left"/>
      <w:pPr>
        <w:ind w:left="3779" w:hanging="360"/>
      </w:pPr>
      <w:rPr>
        <w:rFonts w:ascii="Courier New" w:hAnsi="Courier New" w:cs="Courier New" w:hint="default"/>
      </w:rPr>
    </w:lvl>
    <w:lvl w:ilvl="5" w:tplc="08090005" w:tentative="1">
      <w:start w:val="1"/>
      <w:numFmt w:val="bullet"/>
      <w:lvlText w:val=""/>
      <w:lvlJc w:val="left"/>
      <w:pPr>
        <w:ind w:left="4499" w:hanging="360"/>
      </w:pPr>
      <w:rPr>
        <w:rFonts w:ascii="Wingdings" w:hAnsi="Wingdings" w:hint="default"/>
      </w:rPr>
    </w:lvl>
    <w:lvl w:ilvl="6" w:tplc="08090001" w:tentative="1">
      <w:start w:val="1"/>
      <w:numFmt w:val="bullet"/>
      <w:lvlText w:val=""/>
      <w:lvlJc w:val="left"/>
      <w:pPr>
        <w:ind w:left="5219" w:hanging="360"/>
      </w:pPr>
      <w:rPr>
        <w:rFonts w:ascii="Symbol" w:hAnsi="Symbol" w:hint="default"/>
      </w:rPr>
    </w:lvl>
    <w:lvl w:ilvl="7" w:tplc="08090003" w:tentative="1">
      <w:start w:val="1"/>
      <w:numFmt w:val="bullet"/>
      <w:lvlText w:val="o"/>
      <w:lvlJc w:val="left"/>
      <w:pPr>
        <w:ind w:left="5939" w:hanging="360"/>
      </w:pPr>
      <w:rPr>
        <w:rFonts w:ascii="Courier New" w:hAnsi="Courier New" w:cs="Courier New" w:hint="default"/>
      </w:rPr>
    </w:lvl>
    <w:lvl w:ilvl="8" w:tplc="08090005" w:tentative="1">
      <w:start w:val="1"/>
      <w:numFmt w:val="bullet"/>
      <w:lvlText w:val=""/>
      <w:lvlJc w:val="left"/>
      <w:pPr>
        <w:ind w:left="6659" w:hanging="360"/>
      </w:pPr>
      <w:rPr>
        <w:rFonts w:ascii="Wingdings" w:hAnsi="Wingdings" w:hint="default"/>
      </w:rPr>
    </w:lvl>
  </w:abstractNum>
  <w:abstractNum w:abstractNumId="179" w15:restartNumberingAfterBreak="0">
    <w:nsid w:val="3C280E6A"/>
    <w:multiLevelType w:val="hybridMultilevel"/>
    <w:tmpl w:val="4FE0BC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0" w15:restartNumberingAfterBreak="0">
    <w:nsid w:val="3C8F06D3"/>
    <w:multiLevelType w:val="hybridMultilevel"/>
    <w:tmpl w:val="D7600962"/>
    <w:lvl w:ilvl="0" w:tplc="08090017">
      <w:start w:val="1"/>
      <w:numFmt w:val="lowerLetter"/>
      <w:lvlText w:val="%1)"/>
      <w:lvlJc w:val="left"/>
      <w:pPr>
        <w:ind w:left="817" w:hanging="360"/>
      </w:pPr>
    </w:lvl>
    <w:lvl w:ilvl="1" w:tplc="08090019" w:tentative="1">
      <w:start w:val="1"/>
      <w:numFmt w:val="lowerLetter"/>
      <w:lvlText w:val="%2."/>
      <w:lvlJc w:val="left"/>
      <w:pPr>
        <w:ind w:left="1537" w:hanging="360"/>
      </w:pPr>
    </w:lvl>
    <w:lvl w:ilvl="2" w:tplc="0809001B" w:tentative="1">
      <w:start w:val="1"/>
      <w:numFmt w:val="lowerRoman"/>
      <w:lvlText w:val="%3."/>
      <w:lvlJc w:val="right"/>
      <w:pPr>
        <w:ind w:left="2257" w:hanging="180"/>
      </w:pPr>
    </w:lvl>
    <w:lvl w:ilvl="3" w:tplc="0809000F" w:tentative="1">
      <w:start w:val="1"/>
      <w:numFmt w:val="decimal"/>
      <w:lvlText w:val="%4."/>
      <w:lvlJc w:val="left"/>
      <w:pPr>
        <w:ind w:left="2977" w:hanging="360"/>
      </w:pPr>
    </w:lvl>
    <w:lvl w:ilvl="4" w:tplc="08090019" w:tentative="1">
      <w:start w:val="1"/>
      <w:numFmt w:val="lowerLetter"/>
      <w:lvlText w:val="%5."/>
      <w:lvlJc w:val="left"/>
      <w:pPr>
        <w:ind w:left="3697" w:hanging="360"/>
      </w:pPr>
    </w:lvl>
    <w:lvl w:ilvl="5" w:tplc="0809001B" w:tentative="1">
      <w:start w:val="1"/>
      <w:numFmt w:val="lowerRoman"/>
      <w:lvlText w:val="%6."/>
      <w:lvlJc w:val="right"/>
      <w:pPr>
        <w:ind w:left="4417" w:hanging="180"/>
      </w:pPr>
    </w:lvl>
    <w:lvl w:ilvl="6" w:tplc="0809000F" w:tentative="1">
      <w:start w:val="1"/>
      <w:numFmt w:val="decimal"/>
      <w:lvlText w:val="%7."/>
      <w:lvlJc w:val="left"/>
      <w:pPr>
        <w:ind w:left="5137" w:hanging="360"/>
      </w:pPr>
    </w:lvl>
    <w:lvl w:ilvl="7" w:tplc="08090019" w:tentative="1">
      <w:start w:val="1"/>
      <w:numFmt w:val="lowerLetter"/>
      <w:lvlText w:val="%8."/>
      <w:lvlJc w:val="left"/>
      <w:pPr>
        <w:ind w:left="5857" w:hanging="360"/>
      </w:pPr>
    </w:lvl>
    <w:lvl w:ilvl="8" w:tplc="0809001B" w:tentative="1">
      <w:start w:val="1"/>
      <w:numFmt w:val="lowerRoman"/>
      <w:lvlText w:val="%9."/>
      <w:lvlJc w:val="right"/>
      <w:pPr>
        <w:ind w:left="6577" w:hanging="180"/>
      </w:pPr>
    </w:lvl>
  </w:abstractNum>
  <w:abstractNum w:abstractNumId="181" w15:restartNumberingAfterBreak="0">
    <w:nsid w:val="3CAF4CF6"/>
    <w:multiLevelType w:val="multilevel"/>
    <w:tmpl w:val="FD0AF366"/>
    <w:lvl w:ilvl="0">
      <w:start w:val="1"/>
      <w:numFmt w:val="decimal"/>
      <w:lvlText w:val="%1"/>
      <w:lvlJc w:val="left"/>
      <w:pPr>
        <w:tabs>
          <w:tab w:val="num" w:pos="525"/>
        </w:tabs>
        <w:ind w:left="525" w:hanging="525"/>
      </w:pPr>
      <w:rPr>
        <w:rFonts w:hint="default"/>
      </w:rPr>
    </w:lvl>
    <w:lvl w:ilvl="1">
      <w:start w:val="1"/>
      <w:numFmt w:val="decimal"/>
      <w:lvlText w:val="2.%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2" w15:restartNumberingAfterBreak="0">
    <w:nsid w:val="3CC1662E"/>
    <w:multiLevelType w:val="hybridMultilevel"/>
    <w:tmpl w:val="9B4096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3" w15:restartNumberingAfterBreak="0">
    <w:nsid w:val="3CC21513"/>
    <w:multiLevelType w:val="hybridMultilevel"/>
    <w:tmpl w:val="05CEE9E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3CC33749"/>
    <w:multiLevelType w:val="hybridMultilevel"/>
    <w:tmpl w:val="50D8F93E"/>
    <w:lvl w:ilvl="0" w:tplc="8F288706">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3CDD25E3"/>
    <w:multiLevelType w:val="hybridMultilevel"/>
    <w:tmpl w:val="4384A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3CDE6262"/>
    <w:multiLevelType w:val="hybridMultilevel"/>
    <w:tmpl w:val="1412474C"/>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7" w15:restartNumberingAfterBreak="0">
    <w:nsid w:val="3D040046"/>
    <w:multiLevelType w:val="hybridMultilevel"/>
    <w:tmpl w:val="73B2EEFA"/>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8" w15:restartNumberingAfterBreak="0">
    <w:nsid w:val="3DEC53B6"/>
    <w:multiLevelType w:val="hybridMultilevel"/>
    <w:tmpl w:val="53FC5BB6"/>
    <w:lvl w:ilvl="0" w:tplc="2C3A0DDE">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3E0D447F"/>
    <w:multiLevelType w:val="multilevel"/>
    <w:tmpl w:val="E5A479A4"/>
    <w:lvl w:ilvl="0">
      <w:start w:val="2"/>
      <w:numFmt w:val="decimal"/>
      <w:lvlText w:val="%1"/>
      <w:lvlJc w:val="left"/>
      <w:pPr>
        <w:ind w:left="360" w:hanging="360"/>
      </w:pPr>
      <w:rPr>
        <w:rFonts w:eastAsia="Arial" w:hint="default"/>
      </w:rPr>
    </w:lvl>
    <w:lvl w:ilvl="1">
      <w:start w:val="2"/>
      <w:numFmt w:val="decimal"/>
      <w:lvlText w:val="%1.%2"/>
      <w:lvlJc w:val="left"/>
      <w:pPr>
        <w:ind w:left="360" w:hanging="36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1800" w:hanging="1800"/>
      </w:pPr>
      <w:rPr>
        <w:rFonts w:eastAsia="Arial" w:hint="default"/>
      </w:rPr>
    </w:lvl>
  </w:abstractNum>
  <w:abstractNum w:abstractNumId="190" w15:restartNumberingAfterBreak="0">
    <w:nsid w:val="3E8B100A"/>
    <w:multiLevelType w:val="hybridMultilevel"/>
    <w:tmpl w:val="0226A438"/>
    <w:lvl w:ilvl="0" w:tplc="08090001">
      <w:start w:val="1"/>
      <w:numFmt w:val="bullet"/>
      <w:lvlText w:val=""/>
      <w:lvlJc w:val="left"/>
      <w:pPr>
        <w:ind w:left="1324" w:hanging="360"/>
      </w:pPr>
      <w:rPr>
        <w:rFonts w:ascii="Symbol" w:hAnsi="Symbol" w:hint="default"/>
      </w:rPr>
    </w:lvl>
    <w:lvl w:ilvl="1" w:tplc="08090003" w:tentative="1">
      <w:start w:val="1"/>
      <w:numFmt w:val="bullet"/>
      <w:lvlText w:val="o"/>
      <w:lvlJc w:val="left"/>
      <w:pPr>
        <w:ind w:left="2044" w:hanging="360"/>
      </w:pPr>
      <w:rPr>
        <w:rFonts w:ascii="Courier New" w:hAnsi="Courier New" w:cs="Courier New" w:hint="default"/>
      </w:rPr>
    </w:lvl>
    <w:lvl w:ilvl="2" w:tplc="08090005" w:tentative="1">
      <w:start w:val="1"/>
      <w:numFmt w:val="bullet"/>
      <w:lvlText w:val=""/>
      <w:lvlJc w:val="left"/>
      <w:pPr>
        <w:ind w:left="2764" w:hanging="360"/>
      </w:pPr>
      <w:rPr>
        <w:rFonts w:ascii="Wingdings" w:hAnsi="Wingdings" w:hint="default"/>
      </w:rPr>
    </w:lvl>
    <w:lvl w:ilvl="3" w:tplc="08090001" w:tentative="1">
      <w:start w:val="1"/>
      <w:numFmt w:val="bullet"/>
      <w:lvlText w:val=""/>
      <w:lvlJc w:val="left"/>
      <w:pPr>
        <w:ind w:left="3484" w:hanging="360"/>
      </w:pPr>
      <w:rPr>
        <w:rFonts w:ascii="Symbol" w:hAnsi="Symbol" w:hint="default"/>
      </w:rPr>
    </w:lvl>
    <w:lvl w:ilvl="4" w:tplc="08090003" w:tentative="1">
      <w:start w:val="1"/>
      <w:numFmt w:val="bullet"/>
      <w:lvlText w:val="o"/>
      <w:lvlJc w:val="left"/>
      <w:pPr>
        <w:ind w:left="4204" w:hanging="360"/>
      </w:pPr>
      <w:rPr>
        <w:rFonts w:ascii="Courier New" w:hAnsi="Courier New" w:cs="Courier New" w:hint="default"/>
      </w:rPr>
    </w:lvl>
    <w:lvl w:ilvl="5" w:tplc="08090005" w:tentative="1">
      <w:start w:val="1"/>
      <w:numFmt w:val="bullet"/>
      <w:lvlText w:val=""/>
      <w:lvlJc w:val="left"/>
      <w:pPr>
        <w:ind w:left="4924" w:hanging="360"/>
      </w:pPr>
      <w:rPr>
        <w:rFonts w:ascii="Wingdings" w:hAnsi="Wingdings" w:hint="default"/>
      </w:rPr>
    </w:lvl>
    <w:lvl w:ilvl="6" w:tplc="08090001" w:tentative="1">
      <w:start w:val="1"/>
      <w:numFmt w:val="bullet"/>
      <w:lvlText w:val=""/>
      <w:lvlJc w:val="left"/>
      <w:pPr>
        <w:ind w:left="5644" w:hanging="360"/>
      </w:pPr>
      <w:rPr>
        <w:rFonts w:ascii="Symbol" w:hAnsi="Symbol" w:hint="default"/>
      </w:rPr>
    </w:lvl>
    <w:lvl w:ilvl="7" w:tplc="08090003" w:tentative="1">
      <w:start w:val="1"/>
      <w:numFmt w:val="bullet"/>
      <w:lvlText w:val="o"/>
      <w:lvlJc w:val="left"/>
      <w:pPr>
        <w:ind w:left="6364" w:hanging="360"/>
      </w:pPr>
      <w:rPr>
        <w:rFonts w:ascii="Courier New" w:hAnsi="Courier New" w:cs="Courier New" w:hint="default"/>
      </w:rPr>
    </w:lvl>
    <w:lvl w:ilvl="8" w:tplc="08090005" w:tentative="1">
      <w:start w:val="1"/>
      <w:numFmt w:val="bullet"/>
      <w:lvlText w:val=""/>
      <w:lvlJc w:val="left"/>
      <w:pPr>
        <w:ind w:left="7084" w:hanging="360"/>
      </w:pPr>
      <w:rPr>
        <w:rFonts w:ascii="Wingdings" w:hAnsi="Wingdings" w:hint="default"/>
      </w:rPr>
    </w:lvl>
  </w:abstractNum>
  <w:abstractNum w:abstractNumId="191" w15:restartNumberingAfterBreak="0">
    <w:nsid w:val="3E905C9B"/>
    <w:multiLevelType w:val="hybridMultilevel"/>
    <w:tmpl w:val="654C8CF6"/>
    <w:lvl w:ilvl="0" w:tplc="47E0DBC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2" w15:restartNumberingAfterBreak="0">
    <w:nsid w:val="3EC671F1"/>
    <w:multiLevelType w:val="hybridMultilevel"/>
    <w:tmpl w:val="FECEC5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3EF929D7"/>
    <w:multiLevelType w:val="hybridMultilevel"/>
    <w:tmpl w:val="359041D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3F294200"/>
    <w:multiLevelType w:val="hybridMultilevel"/>
    <w:tmpl w:val="83501C1C"/>
    <w:lvl w:ilvl="0" w:tplc="B34CEA1C">
      <w:start w:val="1"/>
      <w:numFmt w:val="bullet"/>
      <w:lvlText w:val=""/>
      <w:lvlJc w:val="left"/>
      <w:pPr>
        <w:ind w:left="720" w:hanging="360"/>
      </w:pPr>
      <w:rPr>
        <w:rFonts w:ascii="Symbol" w:hAnsi="Symbol"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3F2D5EDB"/>
    <w:multiLevelType w:val="hybridMultilevel"/>
    <w:tmpl w:val="4A0ADE98"/>
    <w:lvl w:ilvl="0" w:tplc="01B62304">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6" w15:restartNumberingAfterBreak="0">
    <w:nsid w:val="3F944558"/>
    <w:multiLevelType w:val="hybridMultilevel"/>
    <w:tmpl w:val="E7E4C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3FD470E0"/>
    <w:multiLevelType w:val="hybridMultilevel"/>
    <w:tmpl w:val="272ADD02"/>
    <w:lvl w:ilvl="0" w:tplc="B34CEA1C">
      <w:start w:val="1"/>
      <w:numFmt w:val="bullet"/>
      <w:lvlText w:val=""/>
      <w:lvlJc w:val="left"/>
      <w:pPr>
        <w:ind w:left="1069" w:hanging="360"/>
      </w:pPr>
      <w:rPr>
        <w:rFonts w:ascii="Symbol" w:hAnsi="Symbol" w:hint="default"/>
        <w:sz w:val="24"/>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98" w15:restartNumberingAfterBreak="0">
    <w:nsid w:val="3FD6263A"/>
    <w:multiLevelType w:val="hybridMultilevel"/>
    <w:tmpl w:val="58182036"/>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9" w15:restartNumberingAfterBreak="0">
    <w:nsid w:val="3FD921A0"/>
    <w:multiLevelType w:val="hybridMultilevel"/>
    <w:tmpl w:val="773C9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40320B6F"/>
    <w:multiLevelType w:val="hybridMultilevel"/>
    <w:tmpl w:val="B8EA773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01" w15:restartNumberingAfterBreak="0">
    <w:nsid w:val="405E1A5D"/>
    <w:multiLevelType w:val="hybridMultilevel"/>
    <w:tmpl w:val="21F053FA"/>
    <w:lvl w:ilvl="0" w:tplc="084A6BA2">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2" w15:restartNumberingAfterBreak="0">
    <w:nsid w:val="40776380"/>
    <w:multiLevelType w:val="hybridMultilevel"/>
    <w:tmpl w:val="E7A09C2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3" w15:restartNumberingAfterBreak="0">
    <w:nsid w:val="41191CC4"/>
    <w:multiLevelType w:val="hybridMultilevel"/>
    <w:tmpl w:val="765E89C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4" w15:restartNumberingAfterBreak="0">
    <w:nsid w:val="411A336D"/>
    <w:multiLevelType w:val="hybridMultilevel"/>
    <w:tmpl w:val="2B920454"/>
    <w:lvl w:ilvl="0" w:tplc="AB72C35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41465CBC"/>
    <w:multiLevelType w:val="hybridMultilevel"/>
    <w:tmpl w:val="E5FCB85E"/>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6" w15:restartNumberingAfterBreak="0">
    <w:nsid w:val="41E523BD"/>
    <w:multiLevelType w:val="hybridMultilevel"/>
    <w:tmpl w:val="C9647AFE"/>
    <w:lvl w:ilvl="0" w:tplc="F04E6B0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7" w15:restartNumberingAfterBreak="0">
    <w:nsid w:val="42C1334D"/>
    <w:multiLevelType w:val="hybridMultilevel"/>
    <w:tmpl w:val="BB8C9116"/>
    <w:lvl w:ilvl="0" w:tplc="E2B6E11C">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42E163CD"/>
    <w:multiLevelType w:val="hybridMultilevel"/>
    <w:tmpl w:val="F96C2850"/>
    <w:lvl w:ilvl="0" w:tplc="95ECEE0A">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9" w15:restartNumberingAfterBreak="0">
    <w:nsid w:val="431E1884"/>
    <w:multiLevelType w:val="hybridMultilevel"/>
    <w:tmpl w:val="83CE15E4"/>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0" w15:restartNumberingAfterBreak="0">
    <w:nsid w:val="43803CF9"/>
    <w:multiLevelType w:val="hybridMultilevel"/>
    <w:tmpl w:val="A352146E"/>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11" w15:restartNumberingAfterBreak="0">
    <w:nsid w:val="44007D5E"/>
    <w:multiLevelType w:val="hybridMultilevel"/>
    <w:tmpl w:val="C2EEC6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44FE13EC"/>
    <w:multiLevelType w:val="hybridMultilevel"/>
    <w:tmpl w:val="D2C8EE0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13" w15:restartNumberingAfterBreak="0">
    <w:nsid w:val="45035748"/>
    <w:multiLevelType w:val="hybridMultilevel"/>
    <w:tmpl w:val="609E138C"/>
    <w:lvl w:ilvl="0" w:tplc="1E6A1ECE">
      <w:start w:val="1"/>
      <w:numFmt w:val="bullet"/>
      <w:lvlText w:val=""/>
      <w:lvlJc w:val="left"/>
      <w:pPr>
        <w:ind w:left="360" w:hanging="360"/>
      </w:pPr>
      <w:rPr>
        <w:rFonts w:ascii="Symbol" w:hAnsi="Symbol"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4" w15:restartNumberingAfterBreak="0">
    <w:nsid w:val="459518E9"/>
    <w:multiLevelType w:val="hybridMultilevel"/>
    <w:tmpl w:val="C7361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45E232D2"/>
    <w:multiLevelType w:val="multilevel"/>
    <w:tmpl w:val="CD40CFE8"/>
    <w:lvl w:ilvl="0">
      <w:start w:val="1"/>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6" w15:restartNumberingAfterBreak="0">
    <w:nsid w:val="46090287"/>
    <w:multiLevelType w:val="multilevel"/>
    <w:tmpl w:val="2696CB82"/>
    <w:lvl w:ilvl="0">
      <w:start w:val="1"/>
      <w:numFmt w:val="decimal"/>
      <w:lvlText w:val="%1"/>
      <w:lvlJc w:val="left"/>
      <w:pPr>
        <w:tabs>
          <w:tab w:val="num" w:pos="525"/>
        </w:tabs>
        <w:ind w:left="525" w:hanging="525"/>
      </w:pPr>
      <w:rPr>
        <w:rFonts w:hint="default"/>
      </w:rPr>
    </w:lvl>
    <w:lvl w:ilvl="1">
      <w:start w:val="1"/>
      <w:numFmt w:val="decimal"/>
      <w:lvlText w:val="8.%2"/>
      <w:lvlJc w:val="left"/>
      <w:pPr>
        <w:tabs>
          <w:tab w:val="num" w:pos="525"/>
        </w:tabs>
        <w:ind w:left="525" w:hanging="525"/>
      </w:pPr>
      <w:rPr>
        <w:rFonts w:hint="default"/>
        <w:b w:val="0"/>
        <w:bCs/>
        <w:color w:val="auto"/>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17" w15:restartNumberingAfterBreak="0">
    <w:nsid w:val="465A3630"/>
    <w:multiLevelType w:val="hybridMultilevel"/>
    <w:tmpl w:val="359A9DF0"/>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8" w15:restartNumberingAfterBreak="0">
    <w:nsid w:val="46BE3529"/>
    <w:multiLevelType w:val="hybridMultilevel"/>
    <w:tmpl w:val="CA189750"/>
    <w:lvl w:ilvl="0" w:tplc="5614CC8C">
      <w:start w:val="1"/>
      <w:numFmt w:val="lowerLetter"/>
      <w:lvlText w:val="%1."/>
      <w:lvlJc w:val="left"/>
      <w:pPr>
        <w:ind w:left="1069" w:hanging="360"/>
      </w:pPr>
      <w:rPr>
        <w:color w:val="000000" w:themeColor="text1"/>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19" w15:restartNumberingAfterBreak="0">
    <w:nsid w:val="46D1713D"/>
    <w:multiLevelType w:val="hybridMultilevel"/>
    <w:tmpl w:val="E430A2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473D2406"/>
    <w:multiLevelType w:val="hybridMultilevel"/>
    <w:tmpl w:val="04BCDD76"/>
    <w:lvl w:ilvl="0" w:tplc="98FEB0A8">
      <w:start w:val="1"/>
      <w:numFmt w:val="bullet"/>
      <w:lvlText w:val=""/>
      <w:lvlJc w:val="left"/>
      <w:pPr>
        <w:ind w:left="960" w:hanging="360"/>
      </w:pPr>
      <w:rPr>
        <w:rFonts w:ascii="Symbol" w:hAnsi="Symbol" w:hint="default"/>
        <w:color w:val="auto"/>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221" w15:restartNumberingAfterBreak="0">
    <w:nsid w:val="476E0F56"/>
    <w:multiLevelType w:val="hybridMultilevel"/>
    <w:tmpl w:val="26CEF48A"/>
    <w:lvl w:ilvl="0" w:tplc="6CF42CB6">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2" w15:restartNumberingAfterBreak="0">
    <w:nsid w:val="47D61FCC"/>
    <w:multiLevelType w:val="hybridMultilevel"/>
    <w:tmpl w:val="1A00B366"/>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3" w15:restartNumberingAfterBreak="0">
    <w:nsid w:val="484A120A"/>
    <w:multiLevelType w:val="hybridMultilevel"/>
    <w:tmpl w:val="4FFE2084"/>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65" w:hanging="360"/>
      </w:pPr>
      <w:rPr>
        <w:rFonts w:ascii="Courier New" w:hAnsi="Courier New" w:cs="Courier New" w:hint="default"/>
      </w:rPr>
    </w:lvl>
    <w:lvl w:ilvl="2" w:tplc="08090005" w:tentative="1">
      <w:start w:val="1"/>
      <w:numFmt w:val="bullet"/>
      <w:lvlText w:val=""/>
      <w:lvlJc w:val="left"/>
      <w:pPr>
        <w:ind w:left="2685" w:hanging="360"/>
      </w:pPr>
      <w:rPr>
        <w:rFonts w:ascii="Wingdings" w:hAnsi="Wingdings" w:hint="default"/>
      </w:rPr>
    </w:lvl>
    <w:lvl w:ilvl="3" w:tplc="08090001" w:tentative="1">
      <w:start w:val="1"/>
      <w:numFmt w:val="bullet"/>
      <w:lvlText w:val=""/>
      <w:lvlJc w:val="left"/>
      <w:pPr>
        <w:ind w:left="3405" w:hanging="360"/>
      </w:pPr>
      <w:rPr>
        <w:rFonts w:ascii="Symbol" w:hAnsi="Symbol" w:hint="default"/>
      </w:rPr>
    </w:lvl>
    <w:lvl w:ilvl="4" w:tplc="08090003" w:tentative="1">
      <w:start w:val="1"/>
      <w:numFmt w:val="bullet"/>
      <w:lvlText w:val="o"/>
      <w:lvlJc w:val="left"/>
      <w:pPr>
        <w:ind w:left="4125" w:hanging="360"/>
      </w:pPr>
      <w:rPr>
        <w:rFonts w:ascii="Courier New" w:hAnsi="Courier New" w:cs="Courier New" w:hint="default"/>
      </w:rPr>
    </w:lvl>
    <w:lvl w:ilvl="5" w:tplc="08090005" w:tentative="1">
      <w:start w:val="1"/>
      <w:numFmt w:val="bullet"/>
      <w:lvlText w:val=""/>
      <w:lvlJc w:val="left"/>
      <w:pPr>
        <w:ind w:left="4845" w:hanging="360"/>
      </w:pPr>
      <w:rPr>
        <w:rFonts w:ascii="Wingdings" w:hAnsi="Wingdings" w:hint="default"/>
      </w:rPr>
    </w:lvl>
    <w:lvl w:ilvl="6" w:tplc="08090001" w:tentative="1">
      <w:start w:val="1"/>
      <w:numFmt w:val="bullet"/>
      <w:lvlText w:val=""/>
      <w:lvlJc w:val="left"/>
      <w:pPr>
        <w:ind w:left="5565" w:hanging="360"/>
      </w:pPr>
      <w:rPr>
        <w:rFonts w:ascii="Symbol" w:hAnsi="Symbol" w:hint="default"/>
      </w:rPr>
    </w:lvl>
    <w:lvl w:ilvl="7" w:tplc="08090003" w:tentative="1">
      <w:start w:val="1"/>
      <w:numFmt w:val="bullet"/>
      <w:lvlText w:val="o"/>
      <w:lvlJc w:val="left"/>
      <w:pPr>
        <w:ind w:left="6285" w:hanging="360"/>
      </w:pPr>
      <w:rPr>
        <w:rFonts w:ascii="Courier New" w:hAnsi="Courier New" w:cs="Courier New" w:hint="default"/>
      </w:rPr>
    </w:lvl>
    <w:lvl w:ilvl="8" w:tplc="08090005" w:tentative="1">
      <w:start w:val="1"/>
      <w:numFmt w:val="bullet"/>
      <w:lvlText w:val=""/>
      <w:lvlJc w:val="left"/>
      <w:pPr>
        <w:ind w:left="7005" w:hanging="360"/>
      </w:pPr>
      <w:rPr>
        <w:rFonts w:ascii="Wingdings" w:hAnsi="Wingdings" w:hint="default"/>
      </w:rPr>
    </w:lvl>
  </w:abstractNum>
  <w:abstractNum w:abstractNumId="224" w15:restartNumberingAfterBreak="0">
    <w:nsid w:val="498C493E"/>
    <w:multiLevelType w:val="hybridMultilevel"/>
    <w:tmpl w:val="0EECD5C4"/>
    <w:lvl w:ilvl="0" w:tplc="08090001">
      <w:start w:val="1"/>
      <w:numFmt w:val="bullet"/>
      <w:lvlText w:val=""/>
      <w:lvlJc w:val="left"/>
      <w:pPr>
        <w:ind w:left="1070" w:hanging="360"/>
      </w:pPr>
      <w:rPr>
        <w:rFonts w:ascii="Symbol" w:hAnsi="Symbol"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225" w15:restartNumberingAfterBreak="0">
    <w:nsid w:val="49C375EF"/>
    <w:multiLevelType w:val="hybridMultilevel"/>
    <w:tmpl w:val="3418CA3E"/>
    <w:lvl w:ilvl="0" w:tplc="2BF00C2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6" w15:restartNumberingAfterBreak="0">
    <w:nsid w:val="4A137C81"/>
    <w:multiLevelType w:val="hybridMultilevel"/>
    <w:tmpl w:val="8D4ADE6C"/>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7" w15:restartNumberingAfterBreak="0">
    <w:nsid w:val="4AFD21AD"/>
    <w:multiLevelType w:val="hybridMultilevel"/>
    <w:tmpl w:val="B9488088"/>
    <w:lvl w:ilvl="0" w:tplc="46CA2B3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8" w15:restartNumberingAfterBreak="0">
    <w:nsid w:val="4B0A765F"/>
    <w:multiLevelType w:val="hybridMultilevel"/>
    <w:tmpl w:val="DE94946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4B4F6A8E"/>
    <w:multiLevelType w:val="hybridMultilevel"/>
    <w:tmpl w:val="35F66536"/>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65" w:hanging="360"/>
      </w:pPr>
      <w:rPr>
        <w:rFonts w:ascii="Courier New" w:hAnsi="Courier New" w:cs="Courier New" w:hint="default"/>
      </w:rPr>
    </w:lvl>
    <w:lvl w:ilvl="2" w:tplc="08090005" w:tentative="1">
      <w:start w:val="1"/>
      <w:numFmt w:val="bullet"/>
      <w:lvlText w:val=""/>
      <w:lvlJc w:val="left"/>
      <w:pPr>
        <w:ind w:left="2685" w:hanging="360"/>
      </w:pPr>
      <w:rPr>
        <w:rFonts w:ascii="Wingdings" w:hAnsi="Wingdings" w:hint="default"/>
      </w:rPr>
    </w:lvl>
    <w:lvl w:ilvl="3" w:tplc="08090001" w:tentative="1">
      <w:start w:val="1"/>
      <w:numFmt w:val="bullet"/>
      <w:lvlText w:val=""/>
      <w:lvlJc w:val="left"/>
      <w:pPr>
        <w:ind w:left="3405" w:hanging="360"/>
      </w:pPr>
      <w:rPr>
        <w:rFonts w:ascii="Symbol" w:hAnsi="Symbol" w:hint="default"/>
      </w:rPr>
    </w:lvl>
    <w:lvl w:ilvl="4" w:tplc="08090003" w:tentative="1">
      <w:start w:val="1"/>
      <w:numFmt w:val="bullet"/>
      <w:lvlText w:val="o"/>
      <w:lvlJc w:val="left"/>
      <w:pPr>
        <w:ind w:left="4125" w:hanging="360"/>
      </w:pPr>
      <w:rPr>
        <w:rFonts w:ascii="Courier New" w:hAnsi="Courier New" w:cs="Courier New" w:hint="default"/>
      </w:rPr>
    </w:lvl>
    <w:lvl w:ilvl="5" w:tplc="08090005" w:tentative="1">
      <w:start w:val="1"/>
      <w:numFmt w:val="bullet"/>
      <w:lvlText w:val=""/>
      <w:lvlJc w:val="left"/>
      <w:pPr>
        <w:ind w:left="4845" w:hanging="360"/>
      </w:pPr>
      <w:rPr>
        <w:rFonts w:ascii="Wingdings" w:hAnsi="Wingdings" w:hint="default"/>
      </w:rPr>
    </w:lvl>
    <w:lvl w:ilvl="6" w:tplc="08090001" w:tentative="1">
      <w:start w:val="1"/>
      <w:numFmt w:val="bullet"/>
      <w:lvlText w:val=""/>
      <w:lvlJc w:val="left"/>
      <w:pPr>
        <w:ind w:left="5565" w:hanging="360"/>
      </w:pPr>
      <w:rPr>
        <w:rFonts w:ascii="Symbol" w:hAnsi="Symbol" w:hint="default"/>
      </w:rPr>
    </w:lvl>
    <w:lvl w:ilvl="7" w:tplc="08090003" w:tentative="1">
      <w:start w:val="1"/>
      <w:numFmt w:val="bullet"/>
      <w:lvlText w:val="o"/>
      <w:lvlJc w:val="left"/>
      <w:pPr>
        <w:ind w:left="6285" w:hanging="360"/>
      </w:pPr>
      <w:rPr>
        <w:rFonts w:ascii="Courier New" w:hAnsi="Courier New" w:cs="Courier New" w:hint="default"/>
      </w:rPr>
    </w:lvl>
    <w:lvl w:ilvl="8" w:tplc="08090005" w:tentative="1">
      <w:start w:val="1"/>
      <w:numFmt w:val="bullet"/>
      <w:lvlText w:val=""/>
      <w:lvlJc w:val="left"/>
      <w:pPr>
        <w:ind w:left="7005" w:hanging="360"/>
      </w:pPr>
      <w:rPr>
        <w:rFonts w:ascii="Wingdings" w:hAnsi="Wingdings" w:hint="default"/>
      </w:rPr>
    </w:lvl>
  </w:abstractNum>
  <w:abstractNum w:abstractNumId="230" w15:restartNumberingAfterBreak="0">
    <w:nsid w:val="4BA82A54"/>
    <w:multiLevelType w:val="hybridMultilevel"/>
    <w:tmpl w:val="0BFABF58"/>
    <w:lvl w:ilvl="0" w:tplc="7A5CB8B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1" w15:restartNumberingAfterBreak="0">
    <w:nsid w:val="4BBA54F3"/>
    <w:multiLevelType w:val="hybridMultilevel"/>
    <w:tmpl w:val="811C709C"/>
    <w:lvl w:ilvl="0" w:tplc="0809000B">
      <w:start w:val="1"/>
      <w:numFmt w:val="bullet"/>
      <w:lvlText w:val=""/>
      <w:lvlJc w:val="left"/>
      <w:pPr>
        <w:ind w:left="1607" w:hanging="360"/>
      </w:pPr>
      <w:rPr>
        <w:rFonts w:ascii="Wingdings" w:hAnsi="Wingdings" w:hint="default"/>
      </w:rPr>
    </w:lvl>
    <w:lvl w:ilvl="1" w:tplc="08090003" w:tentative="1">
      <w:start w:val="1"/>
      <w:numFmt w:val="bullet"/>
      <w:lvlText w:val="o"/>
      <w:lvlJc w:val="left"/>
      <w:pPr>
        <w:ind w:left="2327" w:hanging="360"/>
      </w:pPr>
      <w:rPr>
        <w:rFonts w:ascii="Courier New" w:hAnsi="Courier New" w:cs="Courier New" w:hint="default"/>
      </w:rPr>
    </w:lvl>
    <w:lvl w:ilvl="2" w:tplc="08090005" w:tentative="1">
      <w:start w:val="1"/>
      <w:numFmt w:val="bullet"/>
      <w:lvlText w:val=""/>
      <w:lvlJc w:val="left"/>
      <w:pPr>
        <w:ind w:left="3047" w:hanging="360"/>
      </w:pPr>
      <w:rPr>
        <w:rFonts w:ascii="Wingdings" w:hAnsi="Wingdings" w:hint="default"/>
      </w:rPr>
    </w:lvl>
    <w:lvl w:ilvl="3" w:tplc="08090001" w:tentative="1">
      <w:start w:val="1"/>
      <w:numFmt w:val="bullet"/>
      <w:lvlText w:val=""/>
      <w:lvlJc w:val="left"/>
      <w:pPr>
        <w:ind w:left="3767" w:hanging="360"/>
      </w:pPr>
      <w:rPr>
        <w:rFonts w:ascii="Symbol" w:hAnsi="Symbol" w:hint="default"/>
      </w:rPr>
    </w:lvl>
    <w:lvl w:ilvl="4" w:tplc="08090003" w:tentative="1">
      <w:start w:val="1"/>
      <w:numFmt w:val="bullet"/>
      <w:lvlText w:val="o"/>
      <w:lvlJc w:val="left"/>
      <w:pPr>
        <w:ind w:left="4487" w:hanging="360"/>
      </w:pPr>
      <w:rPr>
        <w:rFonts w:ascii="Courier New" w:hAnsi="Courier New" w:cs="Courier New" w:hint="default"/>
      </w:rPr>
    </w:lvl>
    <w:lvl w:ilvl="5" w:tplc="08090005" w:tentative="1">
      <w:start w:val="1"/>
      <w:numFmt w:val="bullet"/>
      <w:lvlText w:val=""/>
      <w:lvlJc w:val="left"/>
      <w:pPr>
        <w:ind w:left="5207" w:hanging="360"/>
      </w:pPr>
      <w:rPr>
        <w:rFonts w:ascii="Wingdings" w:hAnsi="Wingdings" w:hint="default"/>
      </w:rPr>
    </w:lvl>
    <w:lvl w:ilvl="6" w:tplc="08090001" w:tentative="1">
      <w:start w:val="1"/>
      <w:numFmt w:val="bullet"/>
      <w:lvlText w:val=""/>
      <w:lvlJc w:val="left"/>
      <w:pPr>
        <w:ind w:left="5927" w:hanging="360"/>
      </w:pPr>
      <w:rPr>
        <w:rFonts w:ascii="Symbol" w:hAnsi="Symbol" w:hint="default"/>
      </w:rPr>
    </w:lvl>
    <w:lvl w:ilvl="7" w:tplc="08090003" w:tentative="1">
      <w:start w:val="1"/>
      <w:numFmt w:val="bullet"/>
      <w:lvlText w:val="o"/>
      <w:lvlJc w:val="left"/>
      <w:pPr>
        <w:ind w:left="6647" w:hanging="360"/>
      </w:pPr>
      <w:rPr>
        <w:rFonts w:ascii="Courier New" w:hAnsi="Courier New" w:cs="Courier New" w:hint="default"/>
      </w:rPr>
    </w:lvl>
    <w:lvl w:ilvl="8" w:tplc="08090005" w:tentative="1">
      <w:start w:val="1"/>
      <w:numFmt w:val="bullet"/>
      <w:lvlText w:val=""/>
      <w:lvlJc w:val="left"/>
      <w:pPr>
        <w:ind w:left="7367" w:hanging="360"/>
      </w:pPr>
      <w:rPr>
        <w:rFonts w:ascii="Wingdings" w:hAnsi="Wingdings" w:hint="default"/>
      </w:rPr>
    </w:lvl>
  </w:abstractNum>
  <w:abstractNum w:abstractNumId="232" w15:restartNumberingAfterBreak="0">
    <w:nsid w:val="4BD57C9B"/>
    <w:multiLevelType w:val="hybridMultilevel"/>
    <w:tmpl w:val="18B2D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4C9533CA"/>
    <w:multiLevelType w:val="hybridMultilevel"/>
    <w:tmpl w:val="58FC139C"/>
    <w:lvl w:ilvl="0" w:tplc="CFA45C26">
      <w:start w:val="1"/>
      <w:numFmt w:val="lowerLetter"/>
      <w:lvlText w:val="%1)"/>
      <w:lvlJc w:val="left"/>
      <w:pPr>
        <w:ind w:left="-206" w:hanging="360"/>
      </w:pPr>
      <w:rPr>
        <w:b w:val="0"/>
      </w:rPr>
    </w:lvl>
    <w:lvl w:ilvl="1" w:tplc="08090019">
      <w:start w:val="1"/>
      <w:numFmt w:val="lowerLetter"/>
      <w:lvlText w:val="%2."/>
      <w:lvlJc w:val="left"/>
      <w:pPr>
        <w:ind w:left="514" w:hanging="360"/>
      </w:pPr>
    </w:lvl>
    <w:lvl w:ilvl="2" w:tplc="0809001B" w:tentative="1">
      <w:start w:val="1"/>
      <w:numFmt w:val="lowerRoman"/>
      <w:lvlText w:val="%3."/>
      <w:lvlJc w:val="right"/>
      <w:pPr>
        <w:ind w:left="1234" w:hanging="180"/>
      </w:pPr>
    </w:lvl>
    <w:lvl w:ilvl="3" w:tplc="0809000F" w:tentative="1">
      <w:start w:val="1"/>
      <w:numFmt w:val="decimal"/>
      <w:lvlText w:val="%4."/>
      <w:lvlJc w:val="left"/>
      <w:pPr>
        <w:ind w:left="1954" w:hanging="360"/>
      </w:pPr>
    </w:lvl>
    <w:lvl w:ilvl="4" w:tplc="08090019" w:tentative="1">
      <w:start w:val="1"/>
      <w:numFmt w:val="lowerLetter"/>
      <w:lvlText w:val="%5."/>
      <w:lvlJc w:val="left"/>
      <w:pPr>
        <w:ind w:left="2674" w:hanging="360"/>
      </w:pPr>
    </w:lvl>
    <w:lvl w:ilvl="5" w:tplc="0809001B" w:tentative="1">
      <w:start w:val="1"/>
      <w:numFmt w:val="lowerRoman"/>
      <w:lvlText w:val="%6."/>
      <w:lvlJc w:val="right"/>
      <w:pPr>
        <w:ind w:left="3394" w:hanging="180"/>
      </w:pPr>
    </w:lvl>
    <w:lvl w:ilvl="6" w:tplc="0809000F" w:tentative="1">
      <w:start w:val="1"/>
      <w:numFmt w:val="decimal"/>
      <w:lvlText w:val="%7."/>
      <w:lvlJc w:val="left"/>
      <w:pPr>
        <w:ind w:left="4114" w:hanging="360"/>
      </w:pPr>
    </w:lvl>
    <w:lvl w:ilvl="7" w:tplc="08090019" w:tentative="1">
      <w:start w:val="1"/>
      <w:numFmt w:val="lowerLetter"/>
      <w:lvlText w:val="%8."/>
      <w:lvlJc w:val="left"/>
      <w:pPr>
        <w:ind w:left="4834" w:hanging="360"/>
      </w:pPr>
    </w:lvl>
    <w:lvl w:ilvl="8" w:tplc="0809001B" w:tentative="1">
      <w:start w:val="1"/>
      <w:numFmt w:val="lowerRoman"/>
      <w:lvlText w:val="%9."/>
      <w:lvlJc w:val="right"/>
      <w:pPr>
        <w:ind w:left="5554" w:hanging="180"/>
      </w:pPr>
    </w:lvl>
  </w:abstractNum>
  <w:abstractNum w:abstractNumId="234" w15:restartNumberingAfterBreak="0">
    <w:nsid w:val="4E8E67A3"/>
    <w:multiLevelType w:val="hybridMultilevel"/>
    <w:tmpl w:val="BF4AFF30"/>
    <w:lvl w:ilvl="0" w:tplc="9370AA4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4EFD04EC"/>
    <w:multiLevelType w:val="hybridMultilevel"/>
    <w:tmpl w:val="CAE676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6" w15:restartNumberingAfterBreak="0">
    <w:nsid w:val="4F146C49"/>
    <w:multiLevelType w:val="hybridMultilevel"/>
    <w:tmpl w:val="4182AE0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7" w15:restartNumberingAfterBreak="0">
    <w:nsid w:val="4F26192E"/>
    <w:multiLevelType w:val="hybridMultilevel"/>
    <w:tmpl w:val="3A263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8" w15:restartNumberingAfterBreak="0">
    <w:nsid w:val="4F89096A"/>
    <w:multiLevelType w:val="hybridMultilevel"/>
    <w:tmpl w:val="5E4E3BBC"/>
    <w:lvl w:ilvl="0" w:tplc="0BB21616">
      <w:start w:val="1"/>
      <w:numFmt w:val="decimal"/>
      <w:lvlText w:val="%1."/>
      <w:lvlJc w:val="left"/>
      <w:pPr>
        <w:tabs>
          <w:tab w:val="num" w:pos="360"/>
        </w:tabs>
        <w:ind w:left="360" w:hanging="360"/>
      </w:pPr>
      <w:rPr>
        <w:rFonts w:hint="default"/>
        <w:b w:val="0"/>
        <w:bCs/>
        <w:strike w:val="0"/>
        <w:color w:val="auto"/>
        <w:sz w:val="24"/>
        <w:szCs w:val="24"/>
      </w:rPr>
    </w:lvl>
    <w:lvl w:ilvl="1" w:tplc="08090019">
      <w:start w:val="1"/>
      <w:numFmt w:val="lowerLetter"/>
      <w:lvlText w:val="%2."/>
      <w:lvlJc w:val="left"/>
      <w:pPr>
        <w:tabs>
          <w:tab w:val="num" w:pos="1440"/>
        </w:tabs>
        <w:ind w:left="1440" w:hanging="360"/>
      </w:pPr>
    </w:lvl>
    <w:lvl w:ilvl="2" w:tplc="BD561B44">
      <w:numFmt w:val="bullet"/>
      <w:lvlText w:val="•"/>
      <w:lvlJc w:val="left"/>
      <w:pPr>
        <w:ind w:left="2340" w:hanging="360"/>
      </w:pPr>
      <w:rPr>
        <w:rFonts w:ascii="Arial" w:eastAsia="Times New Roman" w:hAnsi="Arial" w:cs="Arial" w:hint="default"/>
      </w:r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9" w15:restartNumberingAfterBreak="0">
    <w:nsid w:val="4F967404"/>
    <w:multiLevelType w:val="multilevel"/>
    <w:tmpl w:val="880EEA62"/>
    <w:lvl w:ilvl="0">
      <w:start w:val="1"/>
      <w:numFmt w:val="decimal"/>
      <w:lvlText w:val="%1"/>
      <w:lvlJc w:val="left"/>
      <w:pPr>
        <w:tabs>
          <w:tab w:val="num" w:pos="525"/>
        </w:tabs>
        <w:ind w:left="525" w:hanging="525"/>
      </w:pPr>
      <w:rPr>
        <w:rFonts w:hint="default"/>
      </w:rPr>
    </w:lvl>
    <w:lvl w:ilvl="1">
      <w:start w:val="1"/>
      <w:numFmt w:val="decimal"/>
      <w:lvlText w:val="9.%2"/>
      <w:lvlJc w:val="left"/>
      <w:pPr>
        <w:tabs>
          <w:tab w:val="num" w:pos="525"/>
        </w:tabs>
        <w:ind w:left="525" w:hanging="525"/>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40" w15:restartNumberingAfterBreak="0">
    <w:nsid w:val="503266C1"/>
    <w:multiLevelType w:val="hybridMultilevel"/>
    <w:tmpl w:val="B15000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1" w15:restartNumberingAfterBreak="0">
    <w:nsid w:val="507907A5"/>
    <w:multiLevelType w:val="hybridMultilevel"/>
    <w:tmpl w:val="0F00EFA4"/>
    <w:lvl w:ilvl="0" w:tplc="2460E054">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2" w15:restartNumberingAfterBreak="0">
    <w:nsid w:val="50813BCF"/>
    <w:multiLevelType w:val="hybridMultilevel"/>
    <w:tmpl w:val="78A6E9C2"/>
    <w:lvl w:ilvl="0" w:tplc="5A109410">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3" w15:restartNumberingAfterBreak="0">
    <w:nsid w:val="511D149A"/>
    <w:multiLevelType w:val="hybridMultilevel"/>
    <w:tmpl w:val="30AA6912"/>
    <w:lvl w:ilvl="0" w:tplc="46CA2B3A">
      <w:start w:val="1"/>
      <w:numFmt w:val="lowerLetter"/>
      <w:lvlText w:val="%1."/>
      <w:lvlJc w:val="left"/>
      <w:pPr>
        <w:ind w:left="862"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4" w15:restartNumberingAfterBreak="0">
    <w:nsid w:val="51434D84"/>
    <w:multiLevelType w:val="hybridMultilevel"/>
    <w:tmpl w:val="0E6478B8"/>
    <w:lvl w:ilvl="0" w:tplc="7A5CB8B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519E6B72"/>
    <w:multiLevelType w:val="hybridMultilevel"/>
    <w:tmpl w:val="A3FA5BB8"/>
    <w:lvl w:ilvl="0" w:tplc="98FEB0A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6" w15:restartNumberingAfterBreak="0">
    <w:nsid w:val="51C83300"/>
    <w:multiLevelType w:val="hybridMultilevel"/>
    <w:tmpl w:val="AD3A3E42"/>
    <w:lvl w:ilvl="0" w:tplc="AFAE320E">
      <w:start w:val="1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527D5A9A"/>
    <w:multiLevelType w:val="hybridMultilevel"/>
    <w:tmpl w:val="0E6A3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530945FF"/>
    <w:multiLevelType w:val="hybridMultilevel"/>
    <w:tmpl w:val="FF98FAC8"/>
    <w:lvl w:ilvl="0" w:tplc="AB72C35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9" w15:restartNumberingAfterBreak="0">
    <w:nsid w:val="530E7E11"/>
    <w:multiLevelType w:val="hybridMultilevel"/>
    <w:tmpl w:val="2C4A7C84"/>
    <w:lvl w:ilvl="0" w:tplc="FFFFFFFF">
      <w:start w:val="1"/>
      <w:numFmt w:val="bullet"/>
      <w:lvlText w:val=""/>
      <w:lvlJc w:val="left"/>
      <w:pPr>
        <w:tabs>
          <w:tab w:val="num" w:pos="1080"/>
        </w:tabs>
        <w:ind w:left="1080" w:hanging="360"/>
      </w:pPr>
      <w:rPr>
        <w:rFonts w:ascii="Symbol" w:hAnsi="Symbol" w:hint="default"/>
        <w:color w:val="auto"/>
        <w:sz w:val="20"/>
        <w:szCs w:val="20"/>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50" w15:restartNumberingAfterBreak="0">
    <w:nsid w:val="533601E2"/>
    <w:multiLevelType w:val="hybridMultilevel"/>
    <w:tmpl w:val="08AE4C66"/>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65" w:hanging="360"/>
      </w:pPr>
      <w:rPr>
        <w:rFonts w:ascii="Courier New" w:hAnsi="Courier New" w:cs="Courier New" w:hint="default"/>
      </w:rPr>
    </w:lvl>
    <w:lvl w:ilvl="2" w:tplc="08090005" w:tentative="1">
      <w:start w:val="1"/>
      <w:numFmt w:val="bullet"/>
      <w:lvlText w:val=""/>
      <w:lvlJc w:val="left"/>
      <w:pPr>
        <w:ind w:left="2685" w:hanging="360"/>
      </w:pPr>
      <w:rPr>
        <w:rFonts w:ascii="Wingdings" w:hAnsi="Wingdings" w:hint="default"/>
      </w:rPr>
    </w:lvl>
    <w:lvl w:ilvl="3" w:tplc="08090001" w:tentative="1">
      <w:start w:val="1"/>
      <w:numFmt w:val="bullet"/>
      <w:lvlText w:val=""/>
      <w:lvlJc w:val="left"/>
      <w:pPr>
        <w:ind w:left="3405" w:hanging="360"/>
      </w:pPr>
      <w:rPr>
        <w:rFonts w:ascii="Symbol" w:hAnsi="Symbol" w:hint="default"/>
      </w:rPr>
    </w:lvl>
    <w:lvl w:ilvl="4" w:tplc="08090003" w:tentative="1">
      <w:start w:val="1"/>
      <w:numFmt w:val="bullet"/>
      <w:lvlText w:val="o"/>
      <w:lvlJc w:val="left"/>
      <w:pPr>
        <w:ind w:left="4125" w:hanging="360"/>
      </w:pPr>
      <w:rPr>
        <w:rFonts w:ascii="Courier New" w:hAnsi="Courier New" w:cs="Courier New" w:hint="default"/>
      </w:rPr>
    </w:lvl>
    <w:lvl w:ilvl="5" w:tplc="08090005" w:tentative="1">
      <w:start w:val="1"/>
      <w:numFmt w:val="bullet"/>
      <w:lvlText w:val=""/>
      <w:lvlJc w:val="left"/>
      <w:pPr>
        <w:ind w:left="4845" w:hanging="360"/>
      </w:pPr>
      <w:rPr>
        <w:rFonts w:ascii="Wingdings" w:hAnsi="Wingdings" w:hint="default"/>
      </w:rPr>
    </w:lvl>
    <w:lvl w:ilvl="6" w:tplc="08090001" w:tentative="1">
      <w:start w:val="1"/>
      <w:numFmt w:val="bullet"/>
      <w:lvlText w:val=""/>
      <w:lvlJc w:val="left"/>
      <w:pPr>
        <w:ind w:left="5565" w:hanging="360"/>
      </w:pPr>
      <w:rPr>
        <w:rFonts w:ascii="Symbol" w:hAnsi="Symbol" w:hint="default"/>
      </w:rPr>
    </w:lvl>
    <w:lvl w:ilvl="7" w:tplc="08090003" w:tentative="1">
      <w:start w:val="1"/>
      <w:numFmt w:val="bullet"/>
      <w:lvlText w:val="o"/>
      <w:lvlJc w:val="left"/>
      <w:pPr>
        <w:ind w:left="6285" w:hanging="360"/>
      </w:pPr>
      <w:rPr>
        <w:rFonts w:ascii="Courier New" w:hAnsi="Courier New" w:cs="Courier New" w:hint="default"/>
      </w:rPr>
    </w:lvl>
    <w:lvl w:ilvl="8" w:tplc="08090005" w:tentative="1">
      <w:start w:val="1"/>
      <w:numFmt w:val="bullet"/>
      <w:lvlText w:val=""/>
      <w:lvlJc w:val="left"/>
      <w:pPr>
        <w:ind w:left="7005" w:hanging="360"/>
      </w:pPr>
      <w:rPr>
        <w:rFonts w:ascii="Wingdings" w:hAnsi="Wingdings" w:hint="default"/>
      </w:rPr>
    </w:lvl>
  </w:abstractNum>
  <w:abstractNum w:abstractNumId="251" w15:restartNumberingAfterBreak="0">
    <w:nsid w:val="545B7D6A"/>
    <w:multiLevelType w:val="hybridMultilevel"/>
    <w:tmpl w:val="528E851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2" w15:restartNumberingAfterBreak="0">
    <w:nsid w:val="54AA4A4E"/>
    <w:multiLevelType w:val="hybridMultilevel"/>
    <w:tmpl w:val="957072C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3" w15:restartNumberingAfterBreak="0">
    <w:nsid w:val="55B013CB"/>
    <w:multiLevelType w:val="hybridMultilevel"/>
    <w:tmpl w:val="19F416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4" w15:restartNumberingAfterBreak="0">
    <w:nsid w:val="55E17257"/>
    <w:multiLevelType w:val="hybridMultilevel"/>
    <w:tmpl w:val="D19E4834"/>
    <w:lvl w:ilvl="0" w:tplc="58DEB2DA">
      <w:start w:val="1"/>
      <w:numFmt w:val="decimal"/>
      <w:lvlText w:val="%1."/>
      <w:lvlJc w:val="left"/>
      <w:pPr>
        <w:tabs>
          <w:tab w:val="num" w:pos="360"/>
        </w:tabs>
        <w:ind w:left="360" w:hanging="360"/>
      </w:pPr>
      <w:rPr>
        <w:rFonts w:hint="default"/>
        <w:b w:val="0"/>
        <w:bCs w:val="0"/>
        <w:strike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56437E76"/>
    <w:multiLevelType w:val="hybridMultilevel"/>
    <w:tmpl w:val="794834C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6" w15:restartNumberingAfterBreak="0">
    <w:nsid w:val="564E293E"/>
    <w:multiLevelType w:val="hybridMultilevel"/>
    <w:tmpl w:val="F238E66E"/>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7" w15:restartNumberingAfterBreak="0">
    <w:nsid w:val="567052E4"/>
    <w:multiLevelType w:val="hybridMultilevel"/>
    <w:tmpl w:val="907418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8" w15:restartNumberingAfterBreak="0">
    <w:nsid w:val="56EE41BA"/>
    <w:multiLevelType w:val="hybridMultilevel"/>
    <w:tmpl w:val="5920810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9" w15:restartNumberingAfterBreak="0">
    <w:nsid w:val="57604132"/>
    <w:multiLevelType w:val="hybridMultilevel"/>
    <w:tmpl w:val="CB96CA9C"/>
    <w:lvl w:ilvl="0" w:tplc="C046D85A">
      <w:start w:val="1"/>
      <w:numFmt w:val="lowerLetter"/>
      <w:lvlText w:val="%1)"/>
      <w:lvlJc w:val="left"/>
      <w:pPr>
        <w:ind w:left="36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0" w15:restartNumberingAfterBreak="0">
    <w:nsid w:val="57CD0C20"/>
    <w:multiLevelType w:val="hybridMultilevel"/>
    <w:tmpl w:val="C3B6A8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58087F6C"/>
    <w:multiLevelType w:val="hybridMultilevel"/>
    <w:tmpl w:val="34D892A6"/>
    <w:lvl w:ilvl="0" w:tplc="06AC37AC">
      <w:start w:val="1"/>
      <w:numFmt w:val="lowerLetter"/>
      <w:lvlText w:val="%1)"/>
      <w:lvlJc w:val="left"/>
      <w:pPr>
        <w:ind w:left="720" w:hanging="360"/>
      </w:pPr>
      <w:rPr>
        <w:rFonts w:ascii="Arial" w:eastAsia="Times New Roman" w:hAnsi="Arial" w:cs="Aria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2" w15:restartNumberingAfterBreak="0">
    <w:nsid w:val="58AA3342"/>
    <w:multiLevelType w:val="hybridMultilevel"/>
    <w:tmpl w:val="6758247C"/>
    <w:lvl w:ilvl="0" w:tplc="402E926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3" w15:restartNumberingAfterBreak="0">
    <w:nsid w:val="59E01F26"/>
    <w:multiLevelType w:val="hybridMultilevel"/>
    <w:tmpl w:val="635C2F80"/>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4" w15:restartNumberingAfterBreak="0">
    <w:nsid w:val="5A567142"/>
    <w:multiLevelType w:val="hybridMultilevel"/>
    <w:tmpl w:val="A0EE4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5" w15:restartNumberingAfterBreak="0">
    <w:nsid w:val="5A900D91"/>
    <w:multiLevelType w:val="hybridMultilevel"/>
    <w:tmpl w:val="70667F40"/>
    <w:lvl w:ilvl="0" w:tplc="FFFFFFFF">
      <w:start w:val="1"/>
      <w:numFmt w:val="bullet"/>
      <w:lvlText w:val=""/>
      <w:lvlJc w:val="left"/>
      <w:pPr>
        <w:tabs>
          <w:tab w:val="num" w:pos="1040"/>
        </w:tabs>
        <w:ind w:left="1040" w:hanging="360"/>
      </w:pPr>
      <w:rPr>
        <w:rFonts w:ascii="Symbol" w:hAnsi="Symbol" w:hint="default"/>
        <w:color w:val="auto"/>
        <w:sz w:val="20"/>
        <w:szCs w:val="20"/>
      </w:rPr>
    </w:lvl>
    <w:lvl w:ilvl="1" w:tplc="FFFFFFFF">
      <w:start w:val="1"/>
      <w:numFmt w:val="decimal"/>
      <w:lvlText w:val="%2."/>
      <w:lvlJc w:val="left"/>
      <w:pPr>
        <w:tabs>
          <w:tab w:val="num" w:pos="1040"/>
        </w:tabs>
        <w:ind w:left="1040" w:hanging="360"/>
      </w:pPr>
      <w:rPr>
        <w:rFonts w:hint="default"/>
        <w:color w:val="auto"/>
        <w:sz w:val="24"/>
        <w:szCs w:val="24"/>
      </w:rPr>
    </w:lvl>
    <w:lvl w:ilvl="2" w:tplc="FFFFFFFF" w:tentative="1">
      <w:start w:val="1"/>
      <w:numFmt w:val="bullet"/>
      <w:lvlText w:val=""/>
      <w:lvlJc w:val="left"/>
      <w:pPr>
        <w:tabs>
          <w:tab w:val="num" w:pos="1760"/>
        </w:tabs>
        <w:ind w:left="1760" w:hanging="360"/>
      </w:pPr>
      <w:rPr>
        <w:rFonts w:ascii="Wingdings" w:hAnsi="Wingdings" w:hint="default"/>
      </w:rPr>
    </w:lvl>
    <w:lvl w:ilvl="3" w:tplc="FFFFFFFF" w:tentative="1">
      <w:start w:val="1"/>
      <w:numFmt w:val="bullet"/>
      <w:lvlText w:val=""/>
      <w:lvlJc w:val="left"/>
      <w:pPr>
        <w:tabs>
          <w:tab w:val="num" w:pos="2480"/>
        </w:tabs>
        <w:ind w:left="2480" w:hanging="360"/>
      </w:pPr>
      <w:rPr>
        <w:rFonts w:ascii="Symbol" w:hAnsi="Symbol" w:hint="default"/>
      </w:rPr>
    </w:lvl>
    <w:lvl w:ilvl="4" w:tplc="FFFFFFFF" w:tentative="1">
      <w:start w:val="1"/>
      <w:numFmt w:val="bullet"/>
      <w:lvlText w:val="o"/>
      <w:lvlJc w:val="left"/>
      <w:pPr>
        <w:tabs>
          <w:tab w:val="num" w:pos="3200"/>
        </w:tabs>
        <w:ind w:left="3200" w:hanging="360"/>
      </w:pPr>
      <w:rPr>
        <w:rFonts w:ascii="Courier New" w:hAnsi="Courier New" w:cs="Courier New" w:hint="default"/>
      </w:rPr>
    </w:lvl>
    <w:lvl w:ilvl="5" w:tplc="FFFFFFFF" w:tentative="1">
      <w:start w:val="1"/>
      <w:numFmt w:val="bullet"/>
      <w:lvlText w:val=""/>
      <w:lvlJc w:val="left"/>
      <w:pPr>
        <w:tabs>
          <w:tab w:val="num" w:pos="3920"/>
        </w:tabs>
        <w:ind w:left="3920" w:hanging="360"/>
      </w:pPr>
      <w:rPr>
        <w:rFonts w:ascii="Wingdings" w:hAnsi="Wingdings" w:hint="default"/>
      </w:rPr>
    </w:lvl>
    <w:lvl w:ilvl="6" w:tplc="FFFFFFFF" w:tentative="1">
      <w:start w:val="1"/>
      <w:numFmt w:val="bullet"/>
      <w:lvlText w:val=""/>
      <w:lvlJc w:val="left"/>
      <w:pPr>
        <w:tabs>
          <w:tab w:val="num" w:pos="4640"/>
        </w:tabs>
        <w:ind w:left="4640" w:hanging="360"/>
      </w:pPr>
      <w:rPr>
        <w:rFonts w:ascii="Symbol" w:hAnsi="Symbol" w:hint="default"/>
      </w:rPr>
    </w:lvl>
    <w:lvl w:ilvl="7" w:tplc="FFFFFFFF" w:tentative="1">
      <w:start w:val="1"/>
      <w:numFmt w:val="bullet"/>
      <w:lvlText w:val="o"/>
      <w:lvlJc w:val="left"/>
      <w:pPr>
        <w:tabs>
          <w:tab w:val="num" w:pos="5360"/>
        </w:tabs>
        <w:ind w:left="5360" w:hanging="360"/>
      </w:pPr>
      <w:rPr>
        <w:rFonts w:ascii="Courier New" w:hAnsi="Courier New" w:cs="Courier New" w:hint="default"/>
      </w:rPr>
    </w:lvl>
    <w:lvl w:ilvl="8" w:tplc="FFFFFFFF" w:tentative="1">
      <w:start w:val="1"/>
      <w:numFmt w:val="bullet"/>
      <w:lvlText w:val=""/>
      <w:lvlJc w:val="left"/>
      <w:pPr>
        <w:tabs>
          <w:tab w:val="num" w:pos="6080"/>
        </w:tabs>
        <w:ind w:left="6080" w:hanging="360"/>
      </w:pPr>
      <w:rPr>
        <w:rFonts w:ascii="Wingdings" w:hAnsi="Wingdings" w:hint="default"/>
      </w:rPr>
    </w:lvl>
  </w:abstractNum>
  <w:abstractNum w:abstractNumId="266" w15:restartNumberingAfterBreak="0">
    <w:nsid w:val="5B4B088A"/>
    <w:multiLevelType w:val="hybridMultilevel"/>
    <w:tmpl w:val="961897EC"/>
    <w:lvl w:ilvl="0" w:tplc="8B941D0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7" w15:restartNumberingAfterBreak="0">
    <w:nsid w:val="5B602E7B"/>
    <w:multiLevelType w:val="hybridMultilevel"/>
    <w:tmpl w:val="A9B29392"/>
    <w:lvl w:ilvl="0" w:tplc="114AA40C">
      <w:start w:val="1"/>
      <w:numFmt w:val="lowerRoman"/>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5B6B68A9"/>
    <w:multiLevelType w:val="hybridMultilevel"/>
    <w:tmpl w:val="4B4E4B1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69" w15:restartNumberingAfterBreak="0">
    <w:nsid w:val="5B7154D4"/>
    <w:multiLevelType w:val="hybridMultilevel"/>
    <w:tmpl w:val="1E0E755C"/>
    <w:lvl w:ilvl="0" w:tplc="06AC37AC">
      <w:start w:val="1"/>
      <w:numFmt w:val="lowerLetter"/>
      <w:lvlText w:val="%1)"/>
      <w:lvlJc w:val="left"/>
      <w:pPr>
        <w:ind w:left="360" w:hanging="360"/>
      </w:pPr>
      <w:rPr>
        <w:rFonts w:ascii="Arial" w:eastAsia="Times New Roman" w:hAnsi="Arial" w:cs="Arial"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0" w15:restartNumberingAfterBreak="0">
    <w:nsid w:val="5B98302E"/>
    <w:multiLevelType w:val="hybridMultilevel"/>
    <w:tmpl w:val="3D6A6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5BBE51AF"/>
    <w:multiLevelType w:val="hybridMultilevel"/>
    <w:tmpl w:val="FF0E3F08"/>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72" w15:restartNumberingAfterBreak="0">
    <w:nsid w:val="5BC8536C"/>
    <w:multiLevelType w:val="hybridMultilevel"/>
    <w:tmpl w:val="4C42EE14"/>
    <w:lvl w:ilvl="0" w:tplc="0BD2FAC2">
      <w:start w:val="1"/>
      <w:numFmt w:val="lowerLetter"/>
      <w:lvlText w:val="%1)"/>
      <w:lvlJc w:val="left"/>
      <w:pPr>
        <w:ind w:left="-208" w:hanging="360"/>
      </w:pPr>
      <w:rPr>
        <w:rFonts w:hint="default"/>
        <w:b w:val="0"/>
        <w:strike w:val="0"/>
      </w:rPr>
    </w:lvl>
    <w:lvl w:ilvl="1" w:tplc="08090019" w:tentative="1">
      <w:start w:val="1"/>
      <w:numFmt w:val="lowerLetter"/>
      <w:lvlText w:val="%2."/>
      <w:lvlJc w:val="left"/>
      <w:pPr>
        <w:ind w:left="512" w:hanging="360"/>
      </w:pPr>
    </w:lvl>
    <w:lvl w:ilvl="2" w:tplc="0809001B" w:tentative="1">
      <w:start w:val="1"/>
      <w:numFmt w:val="lowerRoman"/>
      <w:lvlText w:val="%3."/>
      <w:lvlJc w:val="right"/>
      <w:pPr>
        <w:ind w:left="1232" w:hanging="180"/>
      </w:pPr>
    </w:lvl>
    <w:lvl w:ilvl="3" w:tplc="0809000F" w:tentative="1">
      <w:start w:val="1"/>
      <w:numFmt w:val="decimal"/>
      <w:lvlText w:val="%4."/>
      <w:lvlJc w:val="left"/>
      <w:pPr>
        <w:ind w:left="1952" w:hanging="360"/>
      </w:pPr>
    </w:lvl>
    <w:lvl w:ilvl="4" w:tplc="08090019" w:tentative="1">
      <w:start w:val="1"/>
      <w:numFmt w:val="lowerLetter"/>
      <w:lvlText w:val="%5."/>
      <w:lvlJc w:val="left"/>
      <w:pPr>
        <w:ind w:left="2672" w:hanging="360"/>
      </w:pPr>
    </w:lvl>
    <w:lvl w:ilvl="5" w:tplc="0809001B" w:tentative="1">
      <w:start w:val="1"/>
      <w:numFmt w:val="lowerRoman"/>
      <w:lvlText w:val="%6."/>
      <w:lvlJc w:val="right"/>
      <w:pPr>
        <w:ind w:left="3392" w:hanging="180"/>
      </w:pPr>
    </w:lvl>
    <w:lvl w:ilvl="6" w:tplc="0809000F" w:tentative="1">
      <w:start w:val="1"/>
      <w:numFmt w:val="decimal"/>
      <w:lvlText w:val="%7."/>
      <w:lvlJc w:val="left"/>
      <w:pPr>
        <w:ind w:left="4112" w:hanging="360"/>
      </w:pPr>
    </w:lvl>
    <w:lvl w:ilvl="7" w:tplc="08090019" w:tentative="1">
      <w:start w:val="1"/>
      <w:numFmt w:val="lowerLetter"/>
      <w:lvlText w:val="%8."/>
      <w:lvlJc w:val="left"/>
      <w:pPr>
        <w:ind w:left="4832" w:hanging="360"/>
      </w:pPr>
    </w:lvl>
    <w:lvl w:ilvl="8" w:tplc="0809001B" w:tentative="1">
      <w:start w:val="1"/>
      <w:numFmt w:val="lowerRoman"/>
      <w:lvlText w:val="%9."/>
      <w:lvlJc w:val="right"/>
      <w:pPr>
        <w:ind w:left="5552" w:hanging="180"/>
      </w:pPr>
    </w:lvl>
  </w:abstractNum>
  <w:abstractNum w:abstractNumId="273" w15:restartNumberingAfterBreak="0">
    <w:nsid w:val="5BC9725E"/>
    <w:multiLevelType w:val="hybridMultilevel"/>
    <w:tmpl w:val="1C30A99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74" w15:restartNumberingAfterBreak="0">
    <w:nsid w:val="5C23717D"/>
    <w:multiLevelType w:val="hybridMultilevel"/>
    <w:tmpl w:val="F5820270"/>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65" w:hanging="360"/>
      </w:pPr>
      <w:rPr>
        <w:rFonts w:ascii="Courier New" w:hAnsi="Courier New" w:cs="Courier New" w:hint="default"/>
      </w:rPr>
    </w:lvl>
    <w:lvl w:ilvl="2" w:tplc="08090005" w:tentative="1">
      <w:start w:val="1"/>
      <w:numFmt w:val="bullet"/>
      <w:lvlText w:val=""/>
      <w:lvlJc w:val="left"/>
      <w:pPr>
        <w:ind w:left="2685" w:hanging="360"/>
      </w:pPr>
      <w:rPr>
        <w:rFonts w:ascii="Wingdings" w:hAnsi="Wingdings" w:hint="default"/>
      </w:rPr>
    </w:lvl>
    <w:lvl w:ilvl="3" w:tplc="08090001" w:tentative="1">
      <w:start w:val="1"/>
      <w:numFmt w:val="bullet"/>
      <w:lvlText w:val=""/>
      <w:lvlJc w:val="left"/>
      <w:pPr>
        <w:ind w:left="3405" w:hanging="360"/>
      </w:pPr>
      <w:rPr>
        <w:rFonts w:ascii="Symbol" w:hAnsi="Symbol" w:hint="default"/>
      </w:rPr>
    </w:lvl>
    <w:lvl w:ilvl="4" w:tplc="08090003" w:tentative="1">
      <w:start w:val="1"/>
      <w:numFmt w:val="bullet"/>
      <w:lvlText w:val="o"/>
      <w:lvlJc w:val="left"/>
      <w:pPr>
        <w:ind w:left="4125" w:hanging="360"/>
      </w:pPr>
      <w:rPr>
        <w:rFonts w:ascii="Courier New" w:hAnsi="Courier New" w:cs="Courier New" w:hint="default"/>
      </w:rPr>
    </w:lvl>
    <w:lvl w:ilvl="5" w:tplc="08090005" w:tentative="1">
      <w:start w:val="1"/>
      <w:numFmt w:val="bullet"/>
      <w:lvlText w:val=""/>
      <w:lvlJc w:val="left"/>
      <w:pPr>
        <w:ind w:left="4845" w:hanging="360"/>
      </w:pPr>
      <w:rPr>
        <w:rFonts w:ascii="Wingdings" w:hAnsi="Wingdings" w:hint="default"/>
      </w:rPr>
    </w:lvl>
    <w:lvl w:ilvl="6" w:tplc="08090001" w:tentative="1">
      <w:start w:val="1"/>
      <w:numFmt w:val="bullet"/>
      <w:lvlText w:val=""/>
      <w:lvlJc w:val="left"/>
      <w:pPr>
        <w:ind w:left="5565" w:hanging="360"/>
      </w:pPr>
      <w:rPr>
        <w:rFonts w:ascii="Symbol" w:hAnsi="Symbol" w:hint="default"/>
      </w:rPr>
    </w:lvl>
    <w:lvl w:ilvl="7" w:tplc="08090003" w:tentative="1">
      <w:start w:val="1"/>
      <w:numFmt w:val="bullet"/>
      <w:lvlText w:val="o"/>
      <w:lvlJc w:val="left"/>
      <w:pPr>
        <w:ind w:left="6285" w:hanging="360"/>
      </w:pPr>
      <w:rPr>
        <w:rFonts w:ascii="Courier New" w:hAnsi="Courier New" w:cs="Courier New" w:hint="default"/>
      </w:rPr>
    </w:lvl>
    <w:lvl w:ilvl="8" w:tplc="08090005" w:tentative="1">
      <w:start w:val="1"/>
      <w:numFmt w:val="bullet"/>
      <w:lvlText w:val=""/>
      <w:lvlJc w:val="left"/>
      <w:pPr>
        <w:ind w:left="7005" w:hanging="360"/>
      </w:pPr>
      <w:rPr>
        <w:rFonts w:ascii="Wingdings" w:hAnsi="Wingdings" w:hint="default"/>
      </w:rPr>
    </w:lvl>
  </w:abstractNum>
  <w:abstractNum w:abstractNumId="275" w15:restartNumberingAfterBreak="0">
    <w:nsid w:val="5CAF0134"/>
    <w:multiLevelType w:val="hybridMultilevel"/>
    <w:tmpl w:val="97DC3D1A"/>
    <w:lvl w:ilvl="0" w:tplc="D7E878D4">
      <w:start w:val="1"/>
      <w:numFmt w:val="lowerLetter"/>
      <w:lvlText w:val="%1."/>
      <w:lvlJc w:val="left"/>
      <w:pPr>
        <w:ind w:left="72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6" w15:restartNumberingAfterBreak="0">
    <w:nsid w:val="5D775EB8"/>
    <w:multiLevelType w:val="hybridMultilevel"/>
    <w:tmpl w:val="BE267216"/>
    <w:lvl w:ilvl="0" w:tplc="5002CC64">
      <w:start w:val="2"/>
      <w:numFmt w:val="decimal"/>
      <w:lvlText w:val="%1."/>
      <w:lvlJc w:val="left"/>
      <w:pPr>
        <w:tabs>
          <w:tab w:val="num" w:pos="360"/>
        </w:tabs>
        <w:ind w:left="360" w:hanging="360"/>
      </w:pPr>
      <w:rPr>
        <w:rFonts w:hint="default"/>
        <w:b w:val="0"/>
        <w:bCs/>
        <w:color w:val="auto"/>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7" w15:restartNumberingAfterBreak="0">
    <w:nsid w:val="5E645BEC"/>
    <w:multiLevelType w:val="hybridMultilevel"/>
    <w:tmpl w:val="DA2EC68A"/>
    <w:lvl w:ilvl="0" w:tplc="B34CEA1C">
      <w:start w:val="1"/>
      <w:numFmt w:val="bullet"/>
      <w:lvlText w:val=""/>
      <w:lvlJc w:val="left"/>
      <w:pPr>
        <w:ind w:left="1154" w:hanging="360"/>
      </w:pPr>
      <w:rPr>
        <w:rFonts w:ascii="Symbol" w:hAnsi="Symbol" w:hint="default"/>
        <w:sz w:val="24"/>
      </w:rPr>
    </w:lvl>
    <w:lvl w:ilvl="1" w:tplc="08090003" w:tentative="1">
      <w:start w:val="1"/>
      <w:numFmt w:val="bullet"/>
      <w:lvlText w:val="o"/>
      <w:lvlJc w:val="left"/>
      <w:pPr>
        <w:ind w:left="1874" w:hanging="360"/>
      </w:pPr>
      <w:rPr>
        <w:rFonts w:ascii="Courier New" w:hAnsi="Courier New" w:cs="Courier New" w:hint="default"/>
      </w:rPr>
    </w:lvl>
    <w:lvl w:ilvl="2" w:tplc="08090005" w:tentative="1">
      <w:start w:val="1"/>
      <w:numFmt w:val="bullet"/>
      <w:lvlText w:val=""/>
      <w:lvlJc w:val="left"/>
      <w:pPr>
        <w:ind w:left="2594" w:hanging="360"/>
      </w:pPr>
      <w:rPr>
        <w:rFonts w:ascii="Wingdings" w:hAnsi="Wingdings" w:hint="default"/>
      </w:rPr>
    </w:lvl>
    <w:lvl w:ilvl="3" w:tplc="08090001" w:tentative="1">
      <w:start w:val="1"/>
      <w:numFmt w:val="bullet"/>
      <w:lvlText w:val=""/>
      <w:lvlJc w:val="left"/>
      <w:pPr>
        <w:ind w:left="3314" w:hanging="360"/>
      </w:pPr>
      <w:rPr>
        <w:rFonts w:ascii="Symbol" w:hAnsi="Symbol" w:hint="default"/>
      </w:rPr>
    </w:lvl>
    <w:lvl w:ilvl="4" w:tplc="08090003" w:tentative="1">
      <w:start w:val="1"/>
      <w:numFmt w:val="bullet"/>
      <w:lvlText w:val="o"/>
      <w:lvlJc w:val="left"/>
      <w:pPr>
        <w:ind w:left="4034" w:hanging="360"/>
      </w:pPr>
      <w:rPr>
        <w:rFonts w:ascii="Courier New" w:hAnsi="Courier New" w:cs="Courier New" w:hint="default"/>
      </w:rPr>
    </w:lvl>
    <w:lvl w:ilvl="5" w:tplc="08090005" w:tentative="1">
      <w:start w:val="1"/>
      <w:numFmt w:val="bullet"/>
      <w:lvlText w:val=""/>
      <w:lvlJc w:val="left"/>
      <w:pPr>
        <w:ind w:left="4754" w:hanging="360"/>
      </w:pPr>
      <w:rPr>
        <w:rFonts w:ascii="Wingdings" w:hAnsi="Wingdings" w:hint="default"/>
      </w:rPr>
    </w:lvl>
    <w:lvl w:ilvl="6" w:tplc="08090001" w:tentative="1">
      <w:start w:val="1"/>
      <w:numFmt w:val="bullet"/>
      <w:lvlText w:val=""/>
      <w:lvlJc w:val="left"/>
      <w:pPr>
        <w:ind w:left="5474" w:hanging="360"/>
      </w:pPr>
      <w:rPr>
        <w:rFonts w:ascii="Symbol" w:hAnsi="Symbol" w:hint="default"/>
      </w:rPr>
    </w:lvl>
    <w:lvl w:ilvl="7" w:tplc="08090003" w:tentative="1">
      <w:start w:val="1"/>
      <w:numFmt w:val="bullet"/>
      <w:lvlText w:val="o"/>
      <w:lvlJc w:val="left"/>
      <w:pPr>
        <w:ind w:left="6194" w:hanging="360"/>
      </w:pPr>
      <w:rPr>
        <w:rFonts w:ascii="Courier New" w:hAnsi="Courier New" w:cs="Courier New" w:hint="default"/>
      </w:rPr>
    </w:lvl>
    <w:lvl w:ilvl="8" w:tplc="08090005" w:tentative="1">
      <w:start w:val="1"/>
      <w:numFmt w:val="bullet"/>
      <w:lvlText w:val=""/>
      <w:lvlJc w:val="left"/>
      <w:pPr>
        <w:ind w:left="6914" w:hanging="360"/>
      </w:pPr>
      <w:rPr>
        <w:rFonts w:ascii="Wingdings" w:hAnsi="Wingdings" w:hint="default"/>
      </w:rPr>
    </w:lvl>
  </w:abstractNum>
  <w:abstractNum w:abstractNumId="278" w15:restartNumberingAfterBreak="0">
    <w:nsid w:val="5EA106D6"/>
    <w:multiLevelType w:val="hybridMultilevel"/>
    <w:tmpl w:val="DD3ABEE0"/>
    <w:lvl w:ilvl="0" w:tplc="2E22288A">
      <w:start w:val="1"/>
      <w:numFmt w:val="decimal"/>
      <w:pStyle w:val="Section01Text"/>
      <w:lvlText w:val="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15:restartNumberingAfterBreak="0">
    <w:nsid w:val="5FAF072D"/>
    <w:multiLevelType w:val="hybridMultilevel"/>
    <w:tmpl w:val="CFDE1380"/>
    <w:lvl w:ilvl="0" w:tplc="8DCA153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0" w15:restartNumberingAfterBreak="0">
    <w:nsid w:val="5FEF154B"/>
    <w:multiLevelType w:val="hybridMultilevel"/>
    <w:tmpl w:val="47420ED6"/>
    <w:lvl w:ilvl="0" w:tplc="114AA40C">
      <w:start w:val="1"/>
      <w:numFmt w:val="lowerRoman"/>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1" w15:restartNumberingAfterBreak="0">
    <w:nsid w:val="60B0089B"/>
    <w:multiLevelType w:val="hybridMultilevel"/>
    <w:tmpl w:val="837816FE"/>
    <w:lvl w:ilvl="0" w:tplc="DF9878A0">
      <w:start w:val="1"/>
      <w:numFmt w:val="lowerRoman"/>
      <w:lvlText w:val="%1"/>
      <w:lvlJc w:val="left"/>
      <w:pPr>
        <w:tabs>
          <w:tab w:val="num" w:pos="1117"/>
        </w:tabs>
        <w:ind w:left="1117" w:hanging="397"/>
      </w:pPr>
      <w:rPr>
        <w:rFonts w:hint="default"/>
      </w:rPr>
    </w:lvl>
    <w:lvl w:ilvl="1" w:tplc="0809000F">
      <w:start w:val="1"/>
      <w:numFmt w:val="decimal"/>
      <w:lvlText w:val="%2."/>
      <w:lvlJc w:val="left"/>
      <w:pPr>
        <w:tabs>
          <w:tab w:val="num" w:pos="1763"/>
        </w:tabs>
        <w:ind w:left="1763" w:hanging="360"/>
      </w:pPr>
      <w:rPr>
        <w:rFonts w:hint="default"/>
      </w:rPr>
    </w:lvl>
    <w:lvl w:ilvl="2" w:tplc="0809001B" w:tentative="1">
      <w:start w:val="1"/>
      <w:numFmt w:val="lowerRoman"/>
      <w:lvlText w:val="%3."/>
      <w:lvlJc w:val="right"/>
      <w:pPr>
        <w:tabs>
          <w:tab w:val="num" w:pos="2483"/>
        </w:tabs>
        <w:ind w:left="2483" w:hanging="180"/>
      </w:pPr>
    </w:lvl>
    <w:lvl w:ilvl="3" w:tplc="0809000F" w:tentative="1">
      <w:start w:val="1"/>
      <w:numFmt w:val="decimal"/>
      <w:lvlText w:val="%4."/>
      <w:lvlJc w:val="left"/>
      <w:pPr>
        <w:tabs>
          <w:tab w:val="num" w:pos="3203"/>
        </w:tabs>
        <w:ind w:left="3203" w:hanging="360"/>
      </w:pPr>
    </w:lvl>
    <w:lvl w:ilvl="4" w:tplc="08090019" w:tentative="1">
      <w:start w:val="1"/>
      <w:numFmt w:val="lowerLetter"/>
      <w:lvlText w:val="%5."/>
      <w:lvlJc w:val="left"/>
      <w:pPr>
        <w:tabs>
          <w:tab w:val="num" w:pos="3923"/>
        </w:tabs>
        <w:ind w:left="3923" w:hanging="360"/>
      </w:pPr>
    </w:lvl>
    <w:lvl w:ilvl="5" w:tplc="0809001B" w:tentative="1">
      <w:start w:val="1"/>
      <w:numFmt w:val="lowerRoman"/>
      <w:lvlText w:val="%6."/>
      <w:lvlJc w:val="right"/>
      <w:pPr>
        <w:tabs>
          <w:tab w:val="num" w:pos="4643"/>
        </w:tabs>
        <w:ind w:left="4643" w:hanging="180"/>
      </w:pPr>
    </w:lvl>
    <w:lvl w:ilvl="6" w:tplc="0809000F" w:tentative="1">
      <w:start w:val="1"/>
      <w:numFmt w:val="decimal"/>
      <w:lvlText w:val="%7."/>
      <w:lvlJc w:val="left"/>
      <w:pPr>
        <w:tabs>
          <w:tab w:val="num" w:pos="5363"/>
        </w:tabs>
        <w:ind w:left="5363" w:hanging="360"/>
      </w:pPr>
    </w:lvl>
    <w:lvl w:ilvl="7" w:tplc="08090019" w:tentative="1">
      <w:start w:val="1"/>
      <w:numFmt w:val="lowerLetter"/>
      <w:lvlText w:val="%8."/>
      <w:lvlJc w:val="left"/>
      <w:pPr>
        <w:tabs>
          <w:tab w:val="num" w:pos="6083"/>
        </w:tabs>
        <w:ind w:left="6083" w:hanging="360"/>
      </w:pPr>
    </w:lvl>
    <w:lvl w:ilvl="8" w:tplc="0809001B" w:tentative="1">
      <w:start w:val="1"/>
      <w:numFmt w:val="lowerRoman"/>
      <w:lvlText w:val="%9."/>
      <w:lvlJc w:val="right"/>
      <w:pPr>
        <w:tabs>
          <w:tab w:val="num" w:pos="6803"/>
        </w:tabs>
        <w:ind w:left="6803" w:hanging="180"/>
      </w:pPr>
    </w:lvl>
  </w:abstractNum>
  <w:abstractNum w:abstractNumId="282" w15:restartNumberingAfterBreak="0">
    <w:nsid w:val="60DC2A9F"/>
    <w:multiLevelType w:val="hybridMultilevel"/>
    <w:tmpl w:val="A25C4C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3" w15:restartNumberingAfterBreak="0">
    <w:nsid w:val="61816A29"/>
    <w:multiLevelType w:val="multilevel"/>
    <w:tmpl w:val="7EF4E61E"/>
    <w:lvl w:ilvl="0">
      <w:start w:val="1"/>
      <w:numFmt w:val="decimal"/>
      <w:lvlText w:val="%1"/>
      <w:lvlJc w:val="left"/>
      <w:pPr>
        <w:tabs>
          <w:tab w:val="num" w:pos="525"/>
        </w:tabs>
        <w:ind w:left="525" w:hanging="525"/>
      </w:pPr>
      <w:rPr>
        <w:rFonts w:hint="default"/>
      </w:rPr>
    </w:lvl>
    <w:lvl w:ilvl="1">
      <w:start w:val="1"/>
      <w:numFmt w:val="decimal"/>
      <w:lvlText w:val="7.%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84" w15:restartNumberingAfterBreak="0">
    <w:nsid w:val="62BF7F6A"/>
    <w:multiLevelType w:val="hybridMultilevel"/>
    <w:tmpl w:val="C09004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5" w15:restartNumberingAfterBreak="0">
    <w:nsid w:val="62E66D5A"/>
    <w:multiLevelType w:val="hybridMultilevel"/>
    <w:tmpl w:val="AABC8B68"/>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6" w15:restartNumberingAfterBreak="0">
    <w:nsid w:val="62FC1ECC"/>
    <w:multiLevelType w:val="hybridMultilevel"/>
    <w:tmpl w:val="E1C6145C"/>
    <w:lvl w:ilvl="0" w:tplc="6840C848">
      <w:start w:val="1"/>
      <w:numFmt w:val="bullet"/>
      <w:lvlText w:val=""/>
      <w:lvlJc w:val="left"/>
      <w:pPr>
        <w:ind w:left="360" w:hanging="360"/>
      </w:pPr>
      <w:rPr>
        <w:rFonts w:ascii="Symbol" w:hAnsi="Symbol" w:hint="default"/>
        <w:strike w:val="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7" w15:restartNumberingAfterBreak="0">
    <w:nsid w:val="630207DE"/>
    <w:multiLevelType w:val="hybridMultilevel"/>
    <w:tmpl w:val="F476E2AA"/>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8" w15:restartNumberingAfterBreak="0">
    <w:nsid w:val="634F0A60"/>
    <w:multiLevelType w:val="hybridMultilevel"/>
    <w:tmpl w:val="89E22D22"/>
    <w:lvl w:ilvl="0" w:tplc="C298F4B6">
      <w:start w:val="1"/>
      <w:numFmt w:val="lowerLetter"/>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9" w15:restartNumberingAfterBreak="0">
    <w:nsid w:val="63574FBE"/>
    <w:multiLevelType w:val="hybridMultilevel"/>
    <w:tmpl w:val="9594E9B4"/>
    <w:lvl w:ilvl="0" w:tplc="54720DE0">
      <w:start w:val="1"/>
      <w:numFmt w:val="decimal"/>
      <w:lvlText w:val="%1."/>
      <w:lvlJc w:val="left"/>
      <w:pPr>
        <w:ind w:left="720" w:hanging="360"/>
      </w:pPr>
      <w:rPr>
        <w:rFonts w:cs="Arial" w:hint="default"/>
        <w:b w:val="0"/>
        <w:bCs/>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0" w15:restartNumberingAfterBreak="0">
    <w:nsid w:val="63726AAA"/>
    <w:multiLevelType w:val="hybridMultilevel"/>
    <w:tmpl w:val="AB6E42FE"/>
    <w:lvl w:ilvl="0" w:tplc="06AC37AC">
      <w:start w:val="1"/>
      <w:numFmt w:val="lowerLetter"/>
      <w:lvlText w:val="%1)"/>
      <w:lvlJc w:val="left"/>
      <w:pPr>
        <w:ind w:left="720" w:hanging="360"/>
      </w:pPr>
      <w:rPr>
        <w:rFonts w:ascii="Arial" w:eastAsia="Times New Roman" w:hAnsi="Arial" w:cs="Aria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1" w15:restartNumberingAfterBreak="0">
    <w:nsid w:val="642A73AA"/>
    <w:multiLevelType w:val="multilevel"/>
    <w:tmpl w:val="47F8455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92" w15:restartNumberingAfterBreak="0">
    <w:nsid w:val="643C0DF0"/>
    <w:multiLevelType w:val="hybridMultilevel"/>
    <w:tmpl w:val="D422D47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3" w15:restartNumberingAfterBreak="0">
    <w:nsid w:val="64445557"/>
    <w:multiLevelType w:val="hybridMultilevel"/>
    <w:tmpl w:val="536AA258"/>
    <w:lvl w:ilvl="0" w:tplc="81E6D5D4">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94" w15:restartNumberingAfterBreak="0">
    <w:nsid w:val="645F5BE1"/>
    <w:multiLevelType w:val="hybridMultilevel"/>
    <w:tmpl w:val="17F2F2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5" w15:restartNumberingAfterBreak="0">
    <w:nsid w:val="6499108C"/>
    <w:multiLevelType w:val="hybridMultilevel"/>
    <w:tmpl w:val="405A4748"/>
    <w:lvl w:ilvl="0" w:tplc="F0F6C7E6">
      <w:start w:val="1"/>
      <w:numFmt w:val="decimal"/>
      <w:lvlText w:val="%1."/>
      <w:lvlJc w:val="left"/>
      <w:pPr>
        <w:tabs>
          <w:tab w:val="num" w:pos="360"/>
        </w:tabs>
        <w:ind w:left="36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6" w15:restartNumberingAfterBreak="0">
    <w:nsid w:val="64D46497"/>
    <w:multiLevelType w:val="hybridMultilevel"/>
    <w:tmpl w:val="80DE46C0"/>
    <w:lvl w:ilvl="0" w:tplc="FFFFFFFF">
      <w:start w:val="1"/>
      <w:numFmt w:val="bullet"/>
      <w:lvlText w:val=""/>
      <w:lvlJc w:val="left"/>
      <w:pPr>
        <w:tabs>
          <w:tab w:val="num" w:pos="1211"/>
        </w:tabs>
        <w:ind w:left="1211" w:hanging="360"/>
      </w:pPr>
      <w:rPr>
        <w:rFonts w:ascii="Symbol" w:hAnsi="Symbol" w:hint="default"/>
        <w:color w:val="auto"/>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7" w15:restartNumberingAfterBreak="0">
    <w:nsid w:val="64E72FC6"/>
    <w:multiLevelType w:val="hybridMultilevel"/>
    <w:tmpl w:val="66BA7F36"/>
    <w:lvl w:ilvl="0" w:tplc="D71E5BCA">
      <w:start w:val="1"/>
      <w:numFmt w:val="lowerLetter"/>
      <w:lvlText w:val="%1."/>
      <w:lvlJc w:val="left"/>
      <w:pPr>
        <w:ind w:left="720" w:hanging="360"/>
      </w:pPr>
      <w:rPr>
        <w:rFonts w:hint="default"/>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8" w15:restartNumberingAfterBreak="0">
    <w:nsid w:val="64F271C1"/>
    <w:multiLevelType w:val="hybridMultilevel"/>
    <w:tmpl w:val="84ECF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65106ADE"/>
    <w:multiLevelType w:val="hybridMultilevel"/>
    <w:tmpl w:val="0D3C0FD6"/>
    <w:lvl w:ilvl="0" w:tplc="C3980F00">
      <w:numFmt w:val="bullet"/>
      <w:pStyle w:val="Disclaimerlist"/>
      <w:lvlText w:val=""/>
      <w:lvlJc w:val="left"/>
      <w:pPr>
        <w:ind w:left="805" w:hanging="361"/>
      </w:pPr>
      <w:rPr>
        <w:rFonts w:ascii="Symbol" w:eastAsia="Symbol" w:hAnsi="Symbol" w:cs="Symbol" w:hint="default"/>
        <w:b w:val="0"/>
        <w:bCs w:val="0"/>
        <w:i w:val="0"/>
        <w:iCs w:val="0"/>
        <w:color w:val="090909"/>
        <w:spacing w:val="0"/>
        <w:w w:val="99"/>
        <w:sz w:val="20"/>
        <w:szCs w:val="20"/>
        <w:lang w:val="en-US" w:eastAsia="en-US" w:bidi="ar-SA"/>
      </w:rPr>
    </w:lvl>
    <w:lvl w:ilvl="1" w:tplc="F5ECFF9A">
      <w:numFmt w:val="bullet"/>
      <w:lvlText w:val="•"/>
      <w:lvlJc w:val="left"/>
      <w:pPr>
        <w:ind w:left="1712" w:hanging="361"/>
      </w:pPr>
      <w:rPr>
        <w:rFonts w:hint="default"/>
        <w:lang w:val="en-US" w:eastAsia="en-US" w:bidi="ar-SA"/>
      </w:rPr>
    </w:lvl>
    <w:lvl w:ilvl="2" w:tplc="56487B28">
      <w:numFmt w:val="bullet"/>
      <w:lvlText w:val="•"/>
      <w:lvlJc w:val="left"/>
      <w:pPr>
        <w:ind w:left="2624" w:hanging="361"/>
      </w:pPr>
      <w:rPr>
        <w:rFonts w:hint="default"/>
        <w:lang w:val="en-US" w:eastAsia="en-US" w:bidi="ar-SA"/>
      </w:rPr>
    </w:lvl>
    <w:lvl w:ilvl="3" w:tplc="109C8AA4">
      <w:numFmt w:val="bullet"/>
      <w:lvlText w:val="•"/>
      <w:lvlJc w:val="left"/>
      <w:pPr>
        <w:ind w:left="3536" w:hanging="361"/>
      </w:pPr>
      <w:rPr>
        <w:rFonts w:hint="default"/>
        <w:lang w:val="en-US" w:eastAsia="en-US" w:bidi="ar-SA"/>
      </w:rPr>
    </w:lvl>
    <w:lvl w:ilvl="4" w:tplc="2EE0BB5C">
      <w:numFmt w:val="bullet"/>
      <w:lvlText w:val="•"/>
      <w:lvlJc w:val="left"/>
      <w:pPr>
        <w:ind w:left="4448" w:hanging="361"/>
      </w:pPr>
      <w:rPr>
        <w:rFonts w:hint="default"/>
        <w:lang w:val="en-US" w:eastAsia="en-US" w:bidi="ar-SA"/>
      </w:rPr>
    </w:lvl>
    <w:lvl w:ilvl="5" w:tplc="530455EE">
      <w:numFmt w:val="bullet"/>
      <w:lvlText w:val="•"/>
      <w:lvlJc w:val="left"/>
      <w:pPr>
        <w:ind w:left="5361" w:hanging="361"/>
      </w:pPr>
      <w:rPr>
        <w:rFonts w:hint="default"/>
        <w:lang w:val="en-US" w:eastAsia="en-US" w:bidi="ar-SA"/>
      </w:rPr>
    </w:lvl>
    <w:lvl w:ilvl="6" w:tplc="171042C2">
      <w:numFmt w:val="bullet"/>
      <w:lvlText w:val="•"/>
      <w:lvlJc w:val="left"/>
      <w:pPr>
        <w:ind w:left="6273" w:hanging="361"/>
      </w:pPr>
      <w:rPr>
        <w:rFonts w:hint="default"/>
        <w:lang w:val="en-US" w:eastAsia="en-US" w:bidi="ar-SA"/>
      </w:rPr>
    </w:lvl>
    <w:lvl w:ilvl="7" w:tplc="681687F6">
      <w:numFmt w:val="bullet"/>
      <w:lvlText w:val="•"/>
      <w:lvlJc w:val="left"/>
      <w:pPr>
        <w:ind w:left="7185" w:hanging="361"/>
      </w:pPr>
      <w:rPr>
        <w:rFonts w:hint="default"/>
        <w:lang w:val="en-US" w:eastAsia="en-US" w:bidi="ar-SA"/>
      </w:rPr>
    </w:lvl>
    <w:lvl w:ilvl="8" w:tplc="85767A2C">
      <w:numFmt w:val="bullet"/>
      <w:lvlText w:val="•"/>
      <w:lvlJc w:val="left"/>
      <w:pPr>
        <w:ind w:left="8097" w:hanging="361"/>
      </w:pPr>
      <w:rPr>
        <w:rFonts w:hint="default"/>
        <w:lang w:val="en-US" w:eastAsia="en-US" w:bidi="ar-SA"/>
      </w:rPr>
    </w:lvl>
  </w:abstractNum>
  <w:abstractNum w:abstractNumId="300" w15:restartNumberingAfterBreak="0">
    <w:nsid w:val="65466A18"/>
    <w:multiLevelType w:val="hybridMultilevel"/>
    <w:tmpl w:val="DD0E12E2"/>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1" w15:restartNumberingAfterBreak="0">
    <w:nsid w:val="65511817"/>
    <w:multiLevelType w:val="hybridMultilevel"/>
    <w:tmpl w:val="DB388030"/>
    <w:lvl w:ilvl="0" w:tplc="98FEB0A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2" w15:restartNumberingAfterBreak="0">
    <w:nsid w:val="659968D4"/>
    <w:multiLevelType w:val="hybridMultilevel"/>
    <w:tmpl w:val="98F0A862"/>
    <w:lvl w:ilvl="0" w:tplc="114AA40C">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3" w15:restartNumberingAfterBreak="0">
    <w:nsid w:val="659D783D"/>
    <w:multiLevelType w:val="hybridMultilevel"/>
    <w:tmpl w:val="0EBA7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66187648"/>
    <w:multiLevelType w:val="hybridMultilevel"/>
    <w:tmpl w:val="CEE6F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670D2258"/>
    <w:multiLevelType w:val="hybridMultilevel"/>
    <w:tmpl w:val="2158B5DC"/>
    <w:lvl w:ilvl="0" w:tplc="F9026E52">
      <w:start w:val="1"/>
      <w:numFmt w:val="lowerLetter"/>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306" w15:restartNumberingAfterBreak="0">
    <w:nsid w:val="672E2419"/>
    <w:multiLevelType w:val="hybridMultilevel"/>
    <w:tmpl w:val="349A5B6A"/>
    <w:lvl w:ilvl="0" w:tplc="9650F508">
      <w:start w:val="1"/>
      <w:numFmt w:val="bullet"/>
      <w:lvlText w:val=""/>
      <w:lvlJc w:val="left"/>
      <w:pPr>
        <w:tabs>
          <w:tab w:val="num" w:pos="582"/>
        </w:tabs>
        <w:ind w:left="582" w:hanging="397"/>
      </w:pPr>
      <w:rPr>
        <w:rFonts w:ascii="Symbol" w:hAnsi="Symbol" w:hint="default"/>
      </w:rPr>
    </w:lvl>
    <w:lvl w:ilvl="1" w:tplc="08090003" w:tentative="1">
      <w:start w:val="1"/>
      <w:numFmt w:val="bullet"/>
      <w:lvlText w:val="o"/>
      <w:lvlJc w:val="left"/>
      <w:pPr>
        <w:tabs>
          <w:tab w:val="num" w:pos="1625"/>
        </w:tabs>
        <w:ind w:left="1625" w:hanging="360"/>
      </w:pPr>
      <w:rPr>
        <w:rFonts w:ascii="Courier New" w:hAnsi="Courier New" w:cs="Courier New" w:hint="default"/>
      </w:rPr>
    </w:lvl>
    <w:lvl w:ilvl="2" w:tplc="08090005" w:tentative="1">
      <w:start w:val="1"/>
      <w:numFmt w:val="bullet"/>
      <w:lvlText w:val=""/>
      <w:lvlJc w:val="left"/>
      <w:pPr>
        <w:tabs>
          <w:tab w:val="num" w:pos="2345"/>
        </w:tabs>
        <w:ind w:left="2345" w:hanging="360"/>
      </w:pPr>
      <w:rPr>
        <w:rFonts w:ascii="Wingdings" w:hAnsi="Wingdings" w:hint="default"/>
      </w:rPr>
    </w:lvl>
    <w:lvl w:ilvl="3" w:tplc="08090001" w:tentative="1">
      <w:start w:val="1"/>
      <w:numFmt w:val="bullet"/>
      <w:lvlText w:val=""/>
      <w:lvlJc w:val="left"/>
      <w:pPr>
        <w:tabs>
          <w:tab w:val="num" w:pos="3065"/>
        </w:tabs>
        <w:ind w:left="3065" w:hanging="360"/>
      </w:pPr>
      <w:rPr>
        <w:rFonts w:ascii="Symbol" w:hAnsi="Symbol" w:hint="default"/>
      </w:rPr>
    </w:lvl>
    <w:lvl w:ilvl="4" w:tplc="08090003" w:tentative="1">
      <w:start w:val="1"/>
      <w:numFmt w:val="bullet"/>
      <w:lvlText w:val="o"/>
      <w:lvlJc w:val="left"/>
      <w:pPr>
        <w:tabs>
          <w:tab w:val="num" w:pos="3785"/>
        </w:tabs>
        <w:ind w:left="3785" w:hanging="360"/>
      </w:pPr>
      <w:rPr>
        <w:rFonts w:ascii="Courier New" w:hAnsi="Courier New" w:cs="Courier New" w:hint="default"/>
      </w:rPr>
    </w:lvl>
    <w:lvl w:ilvl="5" w:tplc="08090005" w:tentative="1">
      <w:start w:val="1"/>
      <w:numFmt w:val="bullet"/>
      <w:lvlText w:val=""/>
      <w:lvlJc w:val="left"/>
      <w:pPr>
        <w:tabs>
          <w:tab w:val="num" w:pos="4505"/>
        </w:tabs>
        <w:ind w:left="4505" w:hanging="360"/>
      </w:pPr>
      <w:rPr>
        <w:rFonts w:ascii="Wingdings" w:hAnsi="Wingdings" w:hint="default"/>
      </w:rPr>
    </w:lvl>
    <w:lvl w:ilvl="6" w:tplc="08090001" w:tentative="1">
      <w:start w:val="1"/>
      <w:numFmt w:val="bullet"/>
      <w:lvlText w:val=""/>
      <w:lvlJc w:val="left"/>
      <w:pPr>
        <w:tabs>
          <w:tab w:val="num" w:pos="5225"/>
        </w:tabs>
        <w:ind w:left="5225" w:hanging="360"/>
      </w:pPr>
      <w:rPr>
        <w:rFonts w:ascii="Symbol" w:hAnsi="Symbol" w:hint="default"/>
      </w:rPr>
    </w:lvl>
    <w:lvl w:ilvl="7" w:tplc="08090003" w:tentative="1">
      <w:start w:val="1"/>
      <w:numFmt w:val="bullet"/>
      <w:lvlText w:val="o"/>
      <w:lvlJc w:val="left"/>
      <w:pPr>
        <w:tabs>
          <w:tab w:val="num" w:pos="5945"/>
        </w:tabs>
        <w:ind w:left="5945" w:hanging="360"/>
      </w:pPr>
      <w:rPr>
        <w:rFonts w:ascii="Courier New" w:hAnsi="Courier New" w:cs="Courier New" w:hint="default"/>
      </w:rPr>
    </w:lvl>
    <w:lvl w:ilvl="8" w:tplc="08090005" w:tentative="1">
      <w:start w:val="1"/>
      <w:numFmt w:val="bullet"/>
      <w:lvlText w:val=""/>
      <w:lvlJc w:val="left"/>
      <w:pPr>
        <w:tabs>
          <w:tab w:val="num" w:pos="6665"/>
        </w:tabs>
        <w:ind w:left="6665" w:hanging="360"/>
      </w:pPr>
      <w:rPr>
        <w:rFonts w:ascii="Wingdings" w:hAnsi="Wingdings" w:hint="default"/>
      </w:rPr>
    </w:lvl>
  </w:abstractNum>
  <w:abstractNum w:abstractNumId="307" w15:restartNumberingAfterBreak="0">
    <w:nsid w:val="67347563"/>
    <w:multiLevelType w:val="hybridMultilevel"/>
    <w:tmpl w:val="4E5230D6"/>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8" w15:restartNumberingAfterBreak="0">
    <w:nsid w:val="676B49B8"/>
    <w:multiLevelType w:val="hybridMultilevel"/>
    <w:tmpl w:val="4B3477CC"/>
    <w:lvl w:ilvl="0" w:tplc="799AA80E">
      <w:start w:val="1"/>
      <w:numFmt w:val="bullet"/>
      <w:lvlText w:val=""/>
      <w:lvlJc w:val="left"/>
      <w:pPr>
        <w:tabs>
          <w:tab w:val="num" w:pos="1040"/>
        </w:tabs>
        <w:ind w:left="1040" w:hanging="360"/>
      </w:pPr>
      <w:rPr>
        <w:rFonts w:ascii="Symbol" w:hAnsi="Symbol" w:hint="default"/>
        <w:color w:val="auto"/>
        <w:sz w:val="20"/>
        <w:szCs w:val="20"/>
      </w:rPr>
    </w:lvl>
    <w:lvl w:ilvl="1" w:tplc="08090003" w:tentative="1">
      <w:start w:val="1"/>
      <w:numFmt w:val="bullet"/>
      <w:lvlText w:val="o"/>
      <w:lvlJc w:val="left"/>
      <w:pPr>
        <w:tabs>
          <w:tab w:val="num" w:pos="1040"/>
        </w:tabs>
        <w:ind w:left="1040" w:hanging="360"/>
      </w:pPr>
      <w:rPr>
        <w:rFonts w:ascii="Courier New" w:hAnsi="Courier New" w:cs="Courier New" w:hint="default"/>
      </w:rPr>
    </w:lvl>
    <w:lvl w:ilvl="2" w:tplc="08090005" w:tentative="1">
      <w:start w:val="1"/>
      <w:numFmt w:val="bullet"/>
      <w:lvlText w:val=""/>
      <w:lvlJc w:val="left"/>
      <w:pPr>
        <w:tabs>
          <w:tab w:val="num" w:pos="1760"/>
        </w:tabs>
        <w:ind w:left="1760" w:hanging="360"/>
      </w:pPr>
      <w:rPr>
        <w:rFonts w:ascii="Wingdings" w:hAnsi="Wingdings" w:hint="default"/>
      </w:rPr>
    </w:lvl>
    <w:lvl w:ilvl="3" w:tplc="08090001" w:tentative="1">
      <w:start w:val="1"/>
      <w:numFmt w:val="bullet"/>
      <w:lvlText w:val=""/>
      <w:lvlJc w:val="left"/>
      <w:pPr>
        <w:tabs>
          <w:tab w:val="num" w:pos="2480"/>
        </w:tabs>
        <w:ind w:left="2480" w:hanging="360"/>
      </w:pPr>
      <w:rPr>
        <w:rFonts w:ascii="Symbol" w:hAnsi="Symbol" w:hint="default"/>
      </w:rPr>
    </w:lvl>
    <w:lvl w:ilvl="4" w:tplc="08090003" w:tentative="1">
      <w:start w:val="1"/>
      <w:numFmt w:val="bullet"/>
      <w:lvlText w:val="o"/>
      <w:lvlJc w:val="left"/>
      <w:pPr>
        <w:tabs>
          <w:tab w:val="num" w:pos="3200"/>
        </w:tabs>
        <w:ind w:left="3200" w:hanging="360"/>
      </w:pPr>
      <w:rPr>
        <w:rFonts w:ascii="Courier New" w:hAnsi="Courier New" w:cs="Courier New" w:hint="default"/>
      </w:rPr>
    </w:lvl>
    <w:lvl w:ilvl="5" w:tplc="08090005" w:tentative="1">
      <w:start w:val="1"/>
      <w:numFmt w:val="bullet"/>
      <w:lvlText w:val=""/>
      <w:lvlJc w:val="left"/>
      <w:pPr>
        <w:tabs>
          <w:tab w:val="num" w:pos="3920"/>
        </w:tabs>
        <w:ind w:left="3920" w:hanging="360"/>
      </w:pPr>
      <w:rPr>
        <w:rFonts w:ascii="Wingdings" w:hAnsi="Wingdings" w:hint="default"/>
      </w:rPr>
    </w:lvl>
    <w:lvl w:ilvl="6" w:tplc="08090001" w:tentative="1">
      <w:start w:val="1"/>
      <w:numFmt w:val="bullet"/>
      <w:lvlText w:val=""/>
      <w:lvlJc w:val="left"/>
      <w:pPr>
        <w:tabs>
          <w:tab w:val="num" w:pos="4640"/>
        </w:tabs>
        <w:ind w:left="4640" w:hanging="360"/>
      </w:pPr>
      <w:rPr>
        <w:rFonts w:ascii="Symbol" w:hAnsi="Symbol" w:hint="default"/>
      </w:rPr>
    </w:lvl>
    <w:lvl w:ilvl="7" w:tplc="08090003" w:tentative="1">
      <w:start w:val="1"/>
      <w:numFmt w:val="bullet"/>
      <w:lvlText w:val="o"/>
      <w:lvlJc w:val="left"/>
      <w:pPr>
        <w:tabs>
          <w:tab w:val="num" w:pos="5360"/>
        </w:tabs>
        <w:ind w:left="5360" w:hanging="360"/>
      </w:pPr>
      <w:rPr>
        <w:rFonts w:ascii="Courier New" w:hAnsi="Courier New" w:cs="Courier New" w:hint="default"/>
      </w:rPr>
    </w:lvl>
    <w:lvl w:ilvl="8" w:tplc="08090005" w:tentative="1">
      <w:start w:val="1"/>
      <w:numFmt w:val="bullet"/>
      <w:lvlText w:val=""/>
      <w:lvlJc w:val="left"/>
      <w:pPr>
        <w:tabs>
          <w:tab w:val="num" w:pos="6080"/>
        </w:tabs>
        <w:ind w:left="6080" w:hanging="360"/>
      </w:pPr>
      <w:rPr>
        <w:rFonts w:ascii="Wingdings" w:hAnsi="Wingdings" w:hint="default"/>
      </w:rPr>
    </w:lvl>
  </w:abstractNum>
  <w:abstractNum w:abstractNumId="309" w15:restartNumberingAfterBreak="0">
    <w:nsid w:val="67777A4D"/>
    <w:multiLevelType w:val="hybridMultilevel"/>
    <w:tmpl w:val="DB44729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0" w15:restartNumberingAfterBreak="0">
    <w:nsid w:val="67D93072"/>
    <w:multiLevelType w:val="hybridMultilevel"/>
    <w:tmpl w:val="78D043EE"/>
    <w:lvl w:ilvl="0" w:tplc="53B00D1A">
      <w:start w:val="1"/>
      <w:numFmt w:val="decimal"/>
      <w:lvlText w:val="%1."/>
      <w:lvlJc w:val="left"/>
      <w:pPr>
        <w:ind w:left="927"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1" w15:restartNumberingAfterBreak="0">
    <w:nsid w:val="67DA5C67"/>
    <w:multiLevelType w:val="hybridMultilevel"/>
    <w:tmpl w:val="5276E16C"/>
    <w:lvl w:ilvl="0" w:tplc="F01E525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6858357A"/>
    <w:multiLevelType w:val="hybridMultilevel"/>
    <w:tmpl w:val="C9CE64D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3" w15:restartNumberingAfterBreak="0">
    <w:nsid w:val="687E7F75"/>
    <w:multiLevelType w:val="hybridMultilevel"/>
    <w:tmpl w:val="1618E238"/>
    <w:lvl w:ilvl="0" w:tplc="08090001">
      <w:start w:val="1"/>
      <w:numFmt w:val="bullet"/>
      <w:lvlText w:val=""/>
      <w:lvlJc w:val="left"/>
      <w:pPr>
        <w:ind w:left="1040" w:hanging="360"/>
      </w:pPr>
      <w:rPr>
        <w:rFonts w:ascii="Symbol" w:hAnsi="Symbol" w:hint="default"/>
      </w:rPr>
    </w:lvl>
    <w:lvl w:ilvl="1" w:tplc="08090003" w:tentative="1">
      <w:start w:val="1"/>
      <w:numFmt w:val="bullet"/>
      <w:lvlText w:val="o"/>
      <w:lvlJc w:val="left"/>
      <w:pPr>
        <w:ind w:left="1760" w:hanging="360"/>
      </w:pPr>
      <w:rPr>
        <w:rFonts w:ascii="Courier New" w:hAnsi="Courier New" w:cs="Courier New"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314" w15:restartNumberingAfterBreak="0">
    <w:nsid w:val="69675B30"/>
    <w:multiLevelType w:val="hybridMultilevel"/>
    <w:tmpl w:val="39085F08"/>
    <w:lvl w:ilvl="0" w:tplc="636822AE">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698E47A3"/>
    <w:multiLevelType w:val="hybridMultilevel"/>
    <w:tmpl w:val="F45892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6" w15:restartNumberingAfterBreak="0">
    <w:nsid w:val="69BD3F96"/>
    <w:multiLevelType w:val="hybridMultilevel"/>
    <w:tmpl w:val="40822854"/>
    <w:lvl w:ilvl="0" w:tplc="C994B3B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7" w15:restartNumberingAfterBreak="0">
    <w:nsid w:val="69CF7E3D"/>
    <w:multiLevelType w:val="hybridMultilevel"/>
    <w:tmpl w:val="5642908E"/>
    <w:lvl w:ilvl="0" w:tplc="97FAF9C6">
      <w:start w:val="1"/>
      <w:numFmt w:val="bullet"/>
      <w:lvlText w:val=""/>
      <w:lvlJc w:val="left"/>
      <w:pPr>
        <w:ind w:left="360" w:hanging="360"/>
      </w:pPr>
      <w:rPr>
        <w:rFonts w:ascii="Symbol" w:hAnsi="Symbol" w:hint="default"/>
        <w:color w:val="auto"/>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8" w15:restartNumberingAfterBreak="0">
    <w:nsid w:val="6AC97A8D"/>
    <w:multiLevelType w:val="hybridMultilevel"/>
    <w:tmpl w:val="79F665CC"/>
    <w:lvl w:ilvl="0" w:tplc="46CA2B3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9" w15:restartNumberingAfterBreak="0">
    <w:nsid w:val="6B22580F"/>
    <w:multiLevelType w:val="hybridMultilevel"/>
    <w:tmpl w:val="EC807B3C"/>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0" w15:restartNumberingAfterBreak="0">
    <w:nsid w:val="6B242495"/>
    <w:multiLevelType w:val="hybridMultilevel"/>
    <w:tmpl w:val="0E820242"/>
    <w:lvl w:ilvl="0" w:tplc="1C7AFB14">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1" w15:restartNumberingAfterBreak="0">
    <w:nsid w:val="6B3467BC"/>
    <w:multiLevelType w:val="hybridMultilevel"/>
    <w:tmpl w:val="BCAEFA7C"/>
    <w:lvl w:ilvl="0" w:tplc="E092FD74">
      <w:start w:val="1"/>
      <w:numFmt w:val="decimal"/>
      <w:lvlText w:val="%1."/>
      <w:lvlJc w:val="left"/>
      <w:pPr>
        <w:tabs>
          <w:tab w:val="num" w:pos="982"/>
        </w:tabs>
        <w:ind w:left="982" w:hanging="360"/>
      </w:pPr>
      <w:rPr>
        <w:rFonts w:hint="default"/>
      </w:rPr>
    </w:lvl>
    <w:lvl w:ilvl="1" w:tplc="08090019" w:tentative="1">
      <w:start w:val="1"/>
      <w:numFmt w:val="lowerLetter"/>
      <w:lvlText w:val="%2."/>
      <w:lvlJc w:val="left"/>
      <w:pPr>
        <w:ind w:left="2062" w:hanging="360"/>
      </w:pPr>
    </w:lvl>
    <w:lvl w:ilvl="2" w:tplc="0809001B" w:tentative="1">
      <w:start w:val="1"/>
      <w:numFmt w:val="lowerRoman"/>
      <w:lvlText w:val="%3."/>
      <w:lvlJc w:val="right"/>
      <w:pPr>
        <w:ind w:left="2782" w:hanging="180"/>
      </w:pPr>
    </w:lvl>
    <w:lvl w:ilvl="3" w:tplc="0809000F" w:tentative="1">
      <w:start w:val="1"/>
      <w:numFmt w:val="decimal"/>
      <w:lvlText w:val="%4."/>
      <w:lvlJc w:val="left"/>
      <w:pPr>
        <w:ind w:left="3502" w:hanging="360"/>
      </w:pPr>
    </w:lvl>
    <w:lvl w:ilvl="4" w:tplc="08090019" w:tentative="1">
      <w:start w:val="1"/>
      <w:numFmt w:val="lowerLetter"/>
      <w:lvlText w:val="%5."/>
      <w:lvlJc w:val="left"/>
      <w:pPr>
        <w:ind w:left="4222" w:hanging="360"/>
      </w:pPr>
    </w:lvl>
    <w:lvl w:ilvl="5" w:tplc="0809001B" w:tentative="1">
      <w:start w:val="1"/>
      <w:numFmt w:val="lowerRoman"/>
      <w:lvlText w:val="%6."/>
      <w:lvlJc w:val="right"/>
      <w:pPr>
        <w:ind w:left="4942" w:hanging="180"/>
      </w:pPr>
    </w:lvl>
    <w:lvl w:ilvl="6" w:tplc="0809000F" w:tentative="1">
      <w:start w:val="1"/>
      <w:numFmt w:val="decimal"/>
      <w:lvlText w:val="%7."/>
      <w:lvlJc w:val="left"/>
      <w:pPr>
        <w:ind w:left="5662" w:hanging="360"/>
      </w:pPr>
    </w:lvl>
    <w:lvl w:ilvl="7" w:tplc="08090019" w:tentative="1">
      <w:start w:val="1"/>
      <w:numFmt w:val="lowerLetter"/>
      <w:lvlText w:val="%8."/>
      <w:lvlJc w:val="left"/>
      <w:pPr>
        <w:ind w:left="6382" w:hanging="360"/>
      </w:pPr>
    </w:lvl>
    <w:lvl w:ilvl="8" w:tplc="0809001B" w:tentative="1">
      <w:start w:val="1"/>
      <w:numFmt w:val="lowerRoman"/>
      <w:lvlText w:val="%9."/>
      <w:lvlJc w:val="right"/>
      <w:pPr>
        <w:ind w:left="7102" w:hanging="180"/>
      </w:pPr>
    </w:lvl>
  </w:abstractNum>
  <w:abstractNum w:abstractNumId="322" w15:restartNumberingAfterBreak="0">
    <w:nsid w:val="6BE051C6"/>
    <w:multiLevelType w:val="hybridMultilevel"/>
    <w:tmpl w:val="D410E788"/>
    <w:lvl w:ilvl="0" w:tplc="FFFFFFFF">
      <w:start w:val="1"/>
      <w:numFmt w:val="bullet"/>
      <w:lvlText w:val=""/>
      <w:lvlJc w:val="left"/>
      <w:pPr>
        <w:tabs>
          <w:tab w:val="num" w:pos="1211"/>
        </w:tabs>
        <w:ind w:left="1211" w:hanging="360"/>
      </w:pPr>
      <w:rPr>
        <w:rFonts w:ascii="Symbol" w:hAnsi="Symbol" w:hint="default"/>
        <w:color w:val="auto"/>
        <w:sz w:val="20"/>
        <w:szCs w:val="20"/>
      </w:rPr>
    </w:lvl>
    <w:lvl w:ilvl="1" w:tplc="FFFFFFFF">
      <w:start w:val="1"/>
      <w:numFmt w:val="bullet"/>
      <w:lvlText w:val="o"/>
      <w:lvlJc w:val="left"/>
      <w:pPr>
        <w:tabs>
          <w:tab w:val="num" w:pos="1211"/>
        </w:tabs>
        <w:ind w:left="1211" w:hanging="360"/>
      </w:pPr>
      <w:rPr>
        <w:rFonts w:ascii="Courier New" w:hAnsi="Courier New" w:cs="Courier New" w:hint="default"/>
      </w:rPr>
    </w:lvl>
    <w:lvl w:ilvl="2" w:tplc="FFFFFFFF" w:tentative="1">
      <w:start w:val="1"/>
      <w:numFmt w:val="bullet"/>
      <w:lvlText w:val=""/>
      <w:lvlJc w:val="left"/>
      <w:pPr>
        <w:tabs>
          <w:tab w:val="num" w:pos="1931"/>
        </w:tabs>
        <w:ind w:left="1931" w:hanging="360"/>
      </w:pPr>
      <w:rPr>
        <w:rFonts w:ascii="Wingdings" w:hAnsi="Wingdings" w:hint="default"/>
      </w:rPr>
    </w:lvl>
    <w:lvl w:ilvl="3" w:tplc="FFFFFFFF" w:tentative="1">
      <w:start w:val="1"/>
      <w:numFmt w:val="bullet"/>
      <w:lvlText w:val=""/>
      <w:lvlJc w:val="left"/>
      <w:pPr>
        <w:tabs>
          <w:tab w:val="num" w:pos="2651"/>
        </w:tabs>
        <w:ind w:left="2651" w:hanging="360"/>
      </w:pPr>
      <w:rPr>
        <w:rFonts w:ascii="Symbol" w:hAnsi="Symbol" w:hint="default"/>
      </w:rPr>
    </w:lvl>
    <w:lvl w:ilvl="4" w:tplc="FFFFFFFF" w:tentative="1">
      <w:start w:val="1"/>
      <w:numFmt w:val="bullet"/>
      <w:lvlText w:val="o"/>
      <w:lvlJc w:val="left"/>
      <w:pPr>
        <w:tabs>
          <w:tab w:val="num" w:pos="3371"/>
        </w:tabs>
        <w:ind w:left="3371" w:hanging="360"/>
      </w:pPr>
      <w:rPr>
        <w:rFonts w:ascii="Courier New" w:hAnsi="Courier New" w:cs="Courier New" w:hint="default"/>
      </w:rPr>
    </w:lvl>
    <w:lvl w:ilvl="5" w:tplc="FFFFFFFF" w:tentative="1">
      <w:start w:val="1"/>
      <w:numFmt w:val="bullet"/>
      <w:lvlText w:val=""/>
      <w:lvlJc w:val="left"/>
      <w:pPr>
        <w:tabs>
          <w:tab w:val="num" w:pos="4091"/>
        </w:tabs>
        <w:ind w:left="4091" w:hanging="360"/>
      </w:pPr>
      <w:rPr>
        <w:rFonts w:ascii="Wingdings" w:hAnsi="Wingdings" w:hint="default"/>
      </w:rPr>
    </w:lvl>
    <w:lvl w:ilvl="6" w:tplc="FFFFFFFF" w:tentative="1">
      <w:start w:val="1"/>
      <w:numFmt w:val="bullet"/>
      <w:lvlText w:val=""/>
      <w:lvlJc w:val="left"/>
      <w:pPr>
        <w:tabs>
          <w:tab w:val="num" w:pos="4811"/>
        </w:tabs>
        <w:ind w:left="4811" w:hanging="360"/>
      </w:pPr>
      <w:rPr>
        <w:rFonts w:ascii="Symbol" w:hAnsi="Symbol" w:hint="default"/>
      </w:rPr>
    </w:lvl>
    <w:lvl w:ilvl="7" w:tplc="FFFFFFFF" w:tentative="1">
      <w:start w:val="1"/>
      <w:numFmt w:val="bullet"/>
      <w:lvlText w:val="o"/>
      <w:lvlJc w:val="left"/>
      <w:pPr>
        <w:tabs>
          <w:tab w:val="num" w:pos="5531"/>
        </w:tabs>
        <w:ind w:left="5531" w:hanging="360"/>
      </w:pPr>
      <w:rPr>
        <w:rFonts w:ascii="Courier New" w:hAnsi="Courier New" w:cs="Courier New" w:hint="default"/>
      </w:rPr>
    </w:lvl>
    <w:lvl w:ilvl="8" w:tplc="FFFFFFFF" w:tentative="1">
      <w:start w:val="1"/>
      <w:numFmt w:val="bullet"/>
      <w:lvlText w:val=""/>
      <w:lvlJc w:val="left"/>
      <w:pPr>
        <w:tabs>
          <w:tab w:val="num" w:pos="6251"/>
        </w:tabs>
        <w:ind w:left="6251" w:hanging="360"/>
      </w:pPr>
      <w:rPr>
        <w:rFonts w:ascii="Wingdings" w:hAnsi="Wingdings" w:hint="default"/>
      </w:rPr>
    </w:lvl>
  </w:abstractNum>
  <w:abstractNum w:abstractNumId="323" w15:restartNumberingAfterBreak="0">
    <w:nsid w:val="6BEE5DB1"/>
    <w:multiLevelType w:val="hybridMultilevel"/>
    <w:tmpl w:val="3520653E"/>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6C136CE5"/>
    <w:multiLevelType w:val="hybridMultilevel"/>
    <w:tmpl w:val="B114DAC0"/>
    <w:lvl w:ilvl="0" w:tplc="87C63464">
      <w:start w:val="1"/>
      <w:numFmt w:val="lowerLetter"/>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5" w15:restartNumberingAfterBreak="0">
    <w:nsid w:val="6C195793"/>
    <w:multiLevelType w:val="hybridMultilevel"/>
    <w:tmpl w:val="98BE3038"/>
    <w:lvl w:ilvl="0" w:tplc="3FC00554">
      <w:start w:val="1"/>
      <w:numFmt w:val="lowerLetter"/>
      <w:lvlText w:val="%1)"/>
      <w:lvlJc w:val="left"/>
      <w:pPr>
        <w:ind w:left="430" w:hanging="360"/>
      </w:pPr>
      <w:rPr>
        <w:rFonts w:hint="default"/>
        <w:b/>
        <w:bCs/>
        <w:strike w:val="0"/>
      </w:rPr>
    </w:lvl>
    <w:lvl w:ilvl="1" w:tplc="FFFFFFFF" w:tentative="1">
      <w:start w:val="1"/>
      <w:numFmt w:val="lowerLetter"/>
      <w:lvlText w:val="%2."/>
      <w:lvlJc w:val="left"/>
      <w:pPr>
        <w:ind w:left="1150" w:hanging="360"/>
      </w:pPr>
    </w:lvl>
    <w:lvl w:ilvl="2" w:tplc="FFFFFFFF" w:tentative="1">
      <w:start w:val="1"/>
      <w:numFmt w:val="lowerRoman"/>
      <w:lvlText w:val="%3."/>
      <w:lvlJc w:val="right"/>
      <w:pPr>
        <w:ind w:left="1870" w:hanging="180"/>
      </w:pPr>
    </w:lvl>
    <w:lvl w:ilvl="3" w:tplc="FFFFFFFF" w:tentative="1">
      <w:start w:val="1"/>
      <w:numFmt w:val="decimal"/>
      <w:lvlText w:val="%4."/>
      <w:lvlJc w:val="left"/>
      <w:pPr>
        <w:ind w:left="2590" w:hanging="360"/>
      </w:pPr>
    </w:lvl>
    <w:lvl w:ilvl="4" w:tplc="FFFFFFFF" w:tentative="1">
      <w:start w:val="1"/>
      <w:numFmt w:val="lowerLetter"/>
      <w:lvlText w:val="%5."/>
      <w:lvlJc w:val="left"/>
      <w:pPr>
        <w:ind w:left="3310" w:hanging="360"/>
      </w:pPr>
    </w:lvl>
    <w:lvl w:ilvl="5" w:tplc="FFFFFFFF" w:tentative="1">
      <w:start w:val="1"/>
      <w:numFmt w:val="lowerRoman"/>
      <w:lvlText w:val="%6."/>
      <w:lvlJc w:val="right"/>
      <w:pPr>
        <w:ind w:left="4030" w:hanging="180"/>
      </w:pPr>
    </w:lvl>
    <w:lvl w:ilvl="6" w:tplc="FFFFFFFF" w:tentative="1">
      <w:start w:val="1"/>
      <w:numFmt w:val="decimal"/>
      <w:lvlText w:val="%7."/>
      <w:lvlJc w:val="left"/>
      <w:pPr>
        <w:ind w:left="4750" w:hanging="360"/>
      </w:pPr>
    </w:lvl>
    <w:lvl w:ilvl="7" w:tplc="FFFFFFFF" w:tentative="1">
      <w:start w:val="1"/>
      <w:numFmt w:val="lowerLetter"/>
      <w:lvlText w:val="%8."/>
      <w:lvlJc w:val="left"/>
      <w:pPr>
        <w:ind w:left="5470" w:hanging="360"/>
      </w:pPr>
    </w:lvl>
    <w:lvl w:ilvl="8" w:tplc="FFFFFFFF" w:tentative="1">
      <w:start w:val="1"/>
      <w:numFmt w:val="lowerRoman"/>
      <w:lvlText w:val="%9."/>
      <w:lvlJc w:val="right"/>
      <w:pPr>
        <w:ind w:left="6190" w:hanging="180"/>
      </w:pPr>
    </w:lvl>
  </w:abstractNum>
  <w:abstractNum w:abstractNumId="326" w15:restartNumberingAfterBreak="0">
    <w:nsid w:val="6C292E2C"/>
    <w:multiLevelType w:val="hybridMultilevel"/>
    <w:tmpl w:val="C8CA651A"/>
    <w:lvl w:ilvl="0" w:tplc="06AC37AC">
      <w:start w:val="1"/>
      <w:numFmt w:val="lowerLetter"/>
      <w:lvlText w:val="%1)"/>
      <w:lvlJc w:val="left"/>
      <w:pPr>
        <w:ind w:left="1080" w:hanging="360"/>
      </w:pPr>
      <w:rPr>
        <w:rFonts w:ascii="Arial" w:eastAsia="Times New Roman" w:hAnsi="Arial" w:cs="Arial"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7" w15:restartNumberingAfterBreak="0">
    <w:nsid w:val="6CA2632E"/>
    <w:multiLevelType w:val="hybridMultilevel"/>
    <w:tmpl w:val="A47CB960"/>
    <w:lvl w:ilvl="0" w:tplc="0C906E24">
      <w:start w:val="1"/>
      <w:numFmt w:val="decimal"/>
      <w:lvlText w:val="%1."/>
      <w:lvlJc w:val="left"/>
      <w:pPr>
        <w:tabs>
          <w:tab w:val="num" w:pos="360"/>
        </w:tabs>
        <w:ind w:left="36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8" w15:restartNumberingAfterBreak="0">
    <w:nsid w:val="6CA95E33"/>
    <w:multiLevelType w:val="hybridMultilevel"/>
    <w:tmpl w:val="11A8D848"/>
    <w:lvl w:ilvl="0" w:tplc="98FEB0A8">
      <w:start w:val="1"/>
      <w:numFmt w:val="bullet"/>
      <w:lvlText w:val=""/>
      <w:lvlJc w:val="left"/>
      <w:pPr>
        <w:ind w:left="1211" w:hanging="360"/>
      </w:pPr>
      <w:rPr>
        <w:rFonts w:ascii="Symbol" w:hAnsi="Symbol" w:hint="default"/>
        <w:color w:val="auto"/>
      </w:rPr>
    </w:lvl>
    <w:lvl w:ilvl="1" w:tplc="08090003">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29" w15:restartNumberingAfterBreak="0">
    <w:nsid w:val="6E2D121C"/>
    <w:multiLevelType w:val="hybridMultilevel"/>
    <w:tmpl w:val="F0847C0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0" w15:restartNumberingAfterBreak="0">
    <w:nsid w:val="6E5C033A"/>
    <w:multiLevelType w:val="hybridMultilevel"/>
    <w:tmpl w:val="E93C6486"/>
    <w:lvl w:ilvl="0" w:tplc="EE2A4A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6E6E39F7"/>
    <w:multiLevelType w:val="hybridMultilevel"/>
    <w:tmpl w:val="E14A51B8"/>
    <w:lvl w:ilvl="0" w:tplc="87C63464">
      <w:start w:val="1"/>
      <w:numFmt w:val="lowerLetter"/>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2" w15:restartNumberingAfterBreak="0">
    <w:nsid w:val="6EA27DF2"/>
    <w:multiLevelType w:val="hybridMultilevel"/>
    <w:tmpl w:val="1B62C878"/>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33" w15:restartNumberingAfterBreak="0">
    <w:nsid w:val="6EA61409"/>
    <w:multiLevelType w:val="hybridMultilevel"/>
    <w:tmpl w:val="14FC8330"/>
    <w:lvl w:ilvl="0" w:tplc="36E68F98">
      <w:start w:val="1"/>
      <w:numFmt w:val="lowerLetter"/>
      <w:lvlText w:val="%1)"/>
      <w:lvlJc w:val="left"/>
      <w:pPr>
        <w:ind w:left="720" w:hanging="360"/>
      </w:pPr>
      <w:rPr>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4" w15:restartNumberingAfterBreak="0">
    <w:nsid w:val="6EA874CB"/>
    <w:multiLevelType w:val="hybridMultilevel"/>
    <w:tmpl w:val="DC3EBCB0"/>
    <w:lvl w:ilvl="0" w:tplc="8E9A1B54">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5" w15:restartNumberingAfterBreak="0">
    <w:nsid w:val="6EBB5B01"/>
    <w:multiLevelType w:val="hybridMultilevel"/>
    <w:tmpl w:val="1CB21D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6" w15:restartNumberingAfterBreak="0">
    <w:nsid w:val="6EC955F5"/>
    <w:multiLevelType w:val="hybridMultilevel"/>
    <w:tmpl w:val="BFE2BD66"/>
    <w:lvl w:ilvl="0" w:tplc="85208572">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7" w15:restartNumberingAfterBreak="0">
    <w:nsid w:val="6F5F5235"/>
    <w:multiLevelType w:val="hybridMultilevel"/>
    <w:tmpl w:val="239EEBC6"/>
    <w:lvl w:ilvl="0" w:tplc="08090001">
      <w:start w:val="1"/>
      <w:numFmt w:val="bullet"/>
      <w:lvlText w:val=""/>
      <w:lvlJc w:val="left"/>
      <w:pPr>
        <w:ind w:left="1324" w:hanging="360"/>
      </w:pPr>
      <w:rPr>
        <w:rFonts w:ascii="Symbol" w:hAnsi="Symbol" w:hint="default"/>
      </w:rPr>
    </w:lvl>
    <w:lvl w:ilvl="1" w:tplc="08090003" w:tentative="1">
      <w:start w:val="1"/>
      <w:numFmt w:val="bullet"/>
      <w:lvlText w:val="o"/>
      <w:lvlJc w:val="left"/>
      <w:pPr>
        <w:ind w:left="2044" w:hanging="360"/>
      </w:pPr>
      <w:rPr>
        <w:rFonts w:ascii="Courier New" w:hAnsi="Courier New" w:cs="Courier New" w:hint="default"/>
      </w:rPr>
    </w:lvl>
    <w:lvl w:ilvl="2" w:tplc="08090005" w:tentative="1">
      <w:start w:val="1"/>
      <w:numFmt w:val="bullet"/>
      <w:lvlText w:val=""/>
      <w:lvlJc w:val="left"/>
      <w:pPr>
        <w:ind w:left="2764" w:hanging="360"/>
      </w:pPr>
      <w:rPr>
        <w:rFonts w:ascii="Wingdings" w:hAnsi="Wingdings" w:hint="default"/>
      </w:rPr>
    </w:lvl>
    <w:lvl w:ilvl="3" w:tplc="08090001" w:tentative="1">
      <w:start w:val="1"/>
      <w:numFmt w:val="bullet"/>
      <w:lvlText w:val=""/>
      <w:lvlJc w:val="left"/>
      <w:pPr>
        <w:ind w:left="3484" w:hanging="360"/>
      </w:pPr>
      <w:rPr>
        <w:rFonts w:ascii="Symbol" w:hAnsi="Symbol" w:hint="default"/>
      </w:rPr>
    </w:lvl>
    <w:lvl w:ilvl="4" w:tplc="08090003" w:tentative="1">
      <w:start w:val="1"/>
      <w:numFmt w:val="bullet"/>
      <w:lvlText w:val="o"/>
      <w:lvlJc w:val="left"/>
      <w:pPr>
        <w:ind w:left="4204" w:hanging="360"/>
      </w:pPr>
      <w:rPr>
        <w:rFonts w:ascii="Courier New" w:hAnsi="Courier New" w:cs="Courier New" w:hint="default"/>
      </w:rPr>
    </w:lvl>
    <w:lvl w:ilvl="5" w:tplc="08090005" w:tentative="1">
      <w:start w:val="1"/>
      <w:numFmt w:val="bullet"/>
      <w:lvlText w:val=""/>
      <w:lvlJc w:val="left"/>
      <w:pPr>
        <w:ind w:left="4924" w:hanging="360"/>
      </w:pPr>
      <w:rPr>
        <w:rFonts w:ascii="Wingdings" w:hAnsi="Wingdings" w:hint="default"/>
      </w:rPr>
    </w:lvl>
    <w:lvl w:ilvl="6" w:tplc="08090001" w:tentative="1">
      <w:start w:val="1"/>
      <w:numFmt w:val="bullet"/>
      <w:lvlText w:val=""/>
      <w:lvlJc w:val="left"/>
      <w:pPr>
        <w:ind w:left="5644" w:hanging="360"/>
      </w:pPr>
      <w:rPr>
        <w:rFonts w:ascii="Symbol" w:hAnsi="Symbol" w:hint="default"/>
      </w:rPr>
    </w:lvl>
    <w:lvl w:ilvl="7" w:tplc="08090003" w:tentative="1">
      <w:start w:val="1"/>
      <w:numFmt w:val="bullet"/>
      <w:lvlText w:val="o"/>
      <w:lvlJc w:val="left"/>
      <w:pPr>
        <w:ind w:left="6364" w:hanging="360"/>
      </w:pPr>
      <w:rPr>
        <w:rFonts w:ascii="Courier New" w:hAnsi="Courier New" w:cs="Courier New" w:hint="default"/>
      </w:rPr>
    </w:lvl>
    <w:lvl w:ilvl="8" w:tplc="08090005" w:tentative="1">
      <w:start w:val="1"/>
      <w:numFmt w:val="bullet"/>
      <w:lvlText w:val=""/>
      <w:lvlJc w:val="left"/>
      <w:pPr>
        <w:ind w:left="7084" w:hanging="360"/>
      </w:pPr>
      <w:rPr>
        <w:rFonts w:ascii="Wingdings" w:hAnsi="Wingdings" w:hint="default"/>
      </w:rPr>
    </w:lvl>
  </w:abstractNum>
  <w:abstractNum w:abstractNumId="338" w15:restartNumberingAfterBreak="0">
    <w:nsid w:val="6F875E14"/>
    <w:multiLevelType w:val="hybridMultilevel"/>
    <w:tmpl w:val="D7BE509C"/>
    <w:lvl w:ilvl="0" w:tplc="D7E878D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9" w15:restartNumberingAfterBreak="0">
    <w:nsid w:val="6FCC440B"/>
    <w:multiLevelType w:val="hybridMultilevel"/>
    <w:tmpl w:val="29309EB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0" w15:restartNumberingAfterBreak="0">
    <w:nsid w:val="6FE200A6"/>
    <w:multiLevelType w:val="hybridMultilevel"/>
    <w:tmpl w:val="07C44310"/>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1" w15:restartNumberingAfterBreak="0">
    <w:nsid w:val="70E55D8B"/>
    <w:multiLevelType w:val="hybridMultilevel"/>
    <w:tmpl w:val="A8125110"/>
    <w:lvl w:ilvl="0" w:tplc="F1561B0C">
      <w:start w:val="1"/>
      <w:numFmt w:val="decimal"/>
      <w:lvlText w:val="%1."/>
      <w:lvlJc w:val="left"/>
      <w:pPr>
        <w:tabs>
          <w:tab w:val="num" w:pos="360"/>
        </w:tabs>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70E677E3"/>
    <w:multiLevelType w:val="hybridMultilevel"/>
    <w:tmpl w:val="3DF2CF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3" w15:restartNumberingAfterBreak="0">
    <w:nsid w:val="72685ED6"/>
    <w:multiLevelType w:val="hybridMultilevel"/>
    <w:tmpl w:val="F8F0CC54"/>
    <w:lvl w:ilvl="0" w:tplc="3D683F5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4" w15:restartNumberingAfterBreak="0">
    <w:nsid w:val="72D65F29"/>
    <w:multiLevelType w:val="hybridMultilevel"/>
    <w:tmpl w:val="96FA60A4"/>
    <w:lvl w:ilvl="0" w:tplc="FEAA4322">
      <w:start w:val="1"/>
      <w:numFmt w:val="lowerLetter"/>
      <w:lvlText w:val="%1."/>
      <w:lvlJc w:val="left"/>
      <w:pPr>
        <w:ind w:left="1211" w:hanging="360"/>
      </w:pPr>
      <w:rPr>
        <w:rFonts w:hint="default"/>
        <w:color w:val="auto"/>
      </w:rPr>
    </w:lvl>
    <w:lvl w:ilvl="1" w:tplc="08090019">
      <w:start w:val="1"/>
      <w:numFmt w:val="lowerLetter"/>
      <w:lvlText w:val="%2."/>
      <w:lvlJc w:val="left"/>
      <w:pPr>
        <w:ind w:left="851" w:hanging="360"/>
      </w:pPr>
    </w:lvl>
    <w:lvl w:ilvl="2" w:tplc="0809001B" w:tentative="1">
      <w:start w:val="1"/>
      <w:numFmt w:val="lowerRoman"/>
      <w:lvlText w:val="%3."/>
      <w:lvlJc w:val="right"/>
      <w:pPr>
        <w:ind w:left="1571" w:hanging="180"/>
      </w:pPr>
    </w:lvl>
    <w:lvl w:ilvl="3" w:tplc="0809000F" w:tentative="1">
      <w:start w:val="1"/>
      <w:numFmt w:val="decimal"/>
      <w:lvlText w:val="%4."/>
      <w:lvlJc w:val="left"/>
      <w:pPr>
        <w:ind w:left="2291" w:hanging="360"/>
      </w:pPr>
    </w:lvl>
    <w:lvl w:ilvl="4" w:tplc="08090019" w:tentative="1">
      <w:start w:val="1"/>
      <w:numFmt w:val="lowerLetter"/>
      <w:lvlText w:val="%5."/>
      <w:lvlJc w:val="left"/>
      <w:pPr>
        <w:ind w:left="3011" w:hanging="360"/>
      </w:pPr>
    </w:lvl>
    <w:lvl w:ilvl="5" w:tplc="0809001B" w:tentative="1">
      <w:start w:val="1"/>
      <w:numFmt w:val="lowerRoman"/>
      <w:lvlText w:val="%6."/>
      <w:lvlJc w:val="right"/>
      <w:pPr>
        <w:ind w:left="3731" w:hanging="180"/>
      </w:pPr>
    </w:lvl>
    <w:lvl w:ilvl="6" w:tplc="0809000F" w:tentative="1">
      <w:start w:val="1"/>
      <w:numFmt w:val="decimal"/>
      <w:lvlText w:val="%7."/>
      <w:lvlJc w:val="left"/>
      <w:pPr>
        <w:ind w:left="4451" w:hanging="360"/>
      </w:pPr>
    </w:lvl>
    <w:lvl w:ilvl="7" w:tplc="08090019" w:tentative="1">
      <w:start w:val="1"/>
      <w:numFmt w:val="lowerLetter"/>
      <w:lvlText w:val="%8."/>
      <w:lvlJc w:val="left"/>
      <w:pPr>
        <w:ind w:left="5171" w:hanging="360"/>
      </w:pPr>
    </w:lvl>
    <w:lvl w:ilvl="8" w:tplc="0809001B" w:tentative="1">
      <w:start w:val="1"/>
      <w:numFmt w:val="lowerRoman"/>
      <w:lvlText w:val="%9."/>
      <w:lvlJc w:val="right"/>
      <w:pPr>
        <w:ind w:left="5891" w:hanging="180"/>
      </w:pPr>
    </w:lvl>
  </w:abstractNum>
  <w:abstractNum w:abstractNumId="345" w15:restartNumberingAfterBreak="0">
    <w:nsid w:val="72E63222"/>
    <w:multiLevelType w:val="hybridMultilevel"/>
    <w:tmpl w:val="E8500CFC"/>
    <w:lvl w:ilvl="0" w:tplc="8B084970">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46" w15:restartNumberingAfterBreak="0">
    <w:nsid w:val="732222CC"/>
    <w:multiLevelType w:val="hybridMultilevel"/>
    <w:tmpl w:val="4A9A51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7" w15:restartNumberingAfterBreak="0">
    <w:nsid w:val="73AB4849"/>
    <w:multiLevelType w:val="hybridMultilevel"/>
    <w:tmpl w:val="BB80CC76"/>
    <w:lvl w:ilvl="0" w:tplc="46CA2B3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8" w15:restartNumberingAfterBreak="0">
    <w:nsid w:val="73E27139"/>
    <w:multiLevelType w:val="hybridMultilevel"/>
    <w:tmpl w:val="B4EA1E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9" w15:restartNumberingAfterBreak="0">
    <w:nsid w:val="740243D8"/>
    <w:multiLevelType w:val="hybridMultilevel"/>
    <w:tmpl w:val="89888866"/>
    <w:lvl w:ilvl="0" w:tplc="2E5E3058">
      <w:start w:val="1"/>
      <w:numFmt w:val="decimal"/>
      <w:lvlText w:val="%1."/>
      <w:lvlJc w:val="left"/>
      <w:pPr>
        <w:tabs>
          <w:tab w:val="num" w:pos="-1341"/>
        </w:tabs>
        <w:ind w:left="-1341" w:hanging="360"/>
      </w:pPr>
      <w:rPr>
        <w:rFonts w:hint="default"/>
      </w:rPr>
    </w:lvl>
    <w:lvl w:ilvl="1" w:tplc="08090019" w:tentative="1">
      <w:start w:val="1"/>
      <w:numFmt w:val="lowerLetter"/>
      <w:lvlText w:val="%2."/>
      <w:lvlJc w:val="left"/>
      <w:pPr>
        <w:ind w:left="-261" w:hanging="360"/>
      </w:pPr>
    </w:lvl>
    <w:lvl w:ilvl="2" w:tplc="0809001B" w:tentative="1">
      <w:start w:val="1"/>
      <w:numFmt w:val="lowerRoman"/>
      <w:lvlText w:val="%3."/>
      <w:lvlJc w:val="right"/>
      <w:pPr>
        <w:ind w:left="459" w:hanging="180"/>
      </w:pPr>
    </w:lvl>
    <w:lvl w:ilvl="3" w:tplc="0809000F" w:tentative="1">
      <w:start w:val="1"/>
      <w:numFmt w:val="decimal"/>
      <w:lvlText w:val="%4."/>
      <w:lvlJc w:val="left"/>
      <w:pPr>
        <w:ind w:left="1179" w:hanging="360"/>
      </w:pPr>
    </w:lvl>
    <w:lvl w:ilvl="4" w:tplc="08090019" w:tentative="1">
      <w:start w:val="1"/>
      <w:numFmt w:val="lowerLetter"/>
      <w:lvlText w:val="%5."/>
      <w:lvlJc w:val="left"/>
      <w:pPr>
        <w:ind w:left="1899" w:hanging="360"/>
      </w:pPr>
    </w:lvl>
    <w:lvl w:ilvl="5" w:tplc="0809001B" w:tentative="1">
      <w:start w:val="1"/>
      <w:numFmt w:val="lowerRoman"/>
      <w:lvlText w:val="%6."/>
      <w:lvlJc w:val="right"/>
      <w:pPr>
        <w:ind w:left="2619" w:hanging="180"/>
      </w:pPr>
    </w:lvl>
    <w:lvl w:ilvl="6" w:tplc="0809000F" w:tentative="1">
      <w:start w:val="1"/>
      <w:numFmt w:val="decimal"/>
      <w:lvlText w:val="%7."/>
      <w:lvlJc w:val="left"/>
      <w:pPr>
        <w:ind w:left="3339" w:hanging="360"/>
      </w:pPr>
    </w:lvl>
    <w:lvl w:ilvl="7" w:tplc="08090019" w:tentative="1">
      <w:start w:val="1"/>
      <w:numFmt w:val="lowerLetter"/>
      <w:lvlText w:val="%8."/>
      <w:lvlJc w:val="left"/>
      <w:pPr>
        <w:ind w:left="4059" w:hanging="360"/>
      </w:pPr>
    </w:lvl>
    <w:lvl w:ilvl="8" w:tplc="0809001B" w:tentative="1">
      <w:start w:val="1"/>
      <w:numFmt w:val="lowerRoman"/>
      <w:lvlText w:val="%9."/>
      <w:lvlJc w:val="right"/>
      <w:pPr>
        <w:ind w:left="4779" w:hanging="180"/>
      </w:pPr>
    </w:lvl>
  </w:abstractNum>
  <w:abstractNum w:abstractNumId="350" w15:restartNumberingAfterBreak="0">
    <w:nsid w:val="754B1F1A"/>
    <w:multiLevelType w:val="hybridMultilevel"/>
    <w:tmpl w:val="B5029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756F026F"/>
    <w:multiLevelType w:val="hybridMultilevel"/>
    <w:tmpl w:val="8D2AF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2" w15:restartNumberingAfterBreak="0">
    <w:nsid w:val="76016149"/>
    <w:multiLevelType w:val="hybridMultilevel"/>
    <w:tmpl w:val="D1E0105E"/>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3" w15:restartNumberingAfterBreak="0">
    <w:nsid w:val="769F01B2"/>
    <w:multiLevelType w:val="hybridMultilevel"/>
    <w:tmpl w:val="750E3E2C"/>
    <w:lvl w:ilvl="0" w:tplc="B0263FD6">
      <w:start w:val="1"/>
      <w:numFmt w:val="decimal"/>
      <w:lvlText w:val="%1."/>
      <w:lvlJc w:val="left"/>
      <w:pPr>
        <w:tabs>
          <w:tab w:val="num" w:pos="360"/>
        </w:tabs>
        <w:ind w:left="360" w:hanging="360"/>
      </w:pPr>
      <w:rPr>
        <w:rFonts w:hint="default"/>
        <w:b w:val="0"/>
        <w:bCs/>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4" w15:restartNumberingAfterBreak="0">
    <w:nsid w:val="76B14597"/>
    <w:multiLevelType w:val="hybridMultilevel"/>
    <w:tmpl w:val="10109880"/>
    <w:lvl w:ilvl="0" w:tplc="B34CEA1C">
      <w:start w:val="1"/>
      <w:numFmt w:val="bullet"/>
      <w:lvlText w:val=""/>
      <w:lvlJc w:val="left"/>
      <w:pPr>
        <w:ind w:left="1069" w:hanging="360"/>
      </w:pPr>
      <w:rPr>
        <w:rFonts w:ascii="Symbol" w:hAnsi="Symbol" w:hint="default"/>
        <w:sz w:val="24"/>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55" w15:restartNumberingAfterBreak="0">
    <w:nsid w:val="76B605A5"/>
    <w:multiLevelType w:val="hybridMultilevel"/>
    <w:tmpl w:val="1C4C0C2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56" w15:restartNumberingAfterBreak="0">
    <w:nsid w:val="772049CF"/>
    <w:multiLevelType w:val="multilevel"/>
    <w:tmpl w:val="BDB0B150"/>
    <w:lvl w:ilvl="0">
      <w:start w:val="1"/>
      <w:numFmt w:val="bullet"/>
      <w:lvlText w:val=""/>
      <w:lvlJc w:val="left"/>
      <w:pPr>
        <w:tabs>
          <w:tab w:val="num" w:pos="1080"/>
        </w:tabs>
        <w:ind w:left="1080" w:hanging="360"/>
      </w:pPr>
      <w:rPr>
        <w:rFonts w:ascii="Symbol" w:hAnsi="Symbol" w:hint="default"/>
        <w:sz w:val="20"/>
      </w:rPr>
    </w:lvl>
    <w:lvl w:ilvl="1">
      <w:numFmt w:val="bullet"/>
      <w:lvlText w:val="•"/>
      <w:lvlJc w:val="left"/>
      <w:pPr>
        <w:ind w:left="1875" w:hanging="435"/>
      </w:pPr>
      <w:rPr>
        <w:rFonts w:ascii="Calibri" w:eastAsia="Times New Roman" w:hAnsi="Calibri" w:cs="Calibri" w:hint="default"/>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57" w15:restartNumberingAfterBreak="0">
    <w:nsid w:val="77AF36C3"/>
    <w:multiLevelType w:val="hybridMultilevel"/>
    <w:tmpl w:val="17CE9BB2"/>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58" w15:restartNumberingAfterBreak="0">
    <w:nsid w:val="77EE45FC"/>
    <w:multiLevelType w:val="hybridMultilevel"/>
    <w:tmpl w:val="4636F2E0"/>
    <w:lvl w:ilvl="0" w:tplc="8E9A1B5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9" w15:restartNumberingAfterBreak="0">
    <w:nsid w:val="77FE1818"/>
    <w:multiLevelType w:val="hybridMultilevel"/>
    <w:tmpl w:val="BFC8FEA8"/>
    <w:lvl w:ilvl="0" w:tplc="07FA47B0">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0" w15:restartNumberingAfterBreak="0">
    <w:nsid w:val="787C790B"/>
    <w:multiLevelType w:val="hybridMultilevel"/>
    <w:tmpl w:val="5360EDE8"/>
    <w:lvl w:ilvl="0" w:tplc="793EDAE2">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1" w15:restartNumberingAfterBreak="0">
    <w:nsid w:val="788306B3"/>
    <w:multiLevelType w:val="hybridMultilevel"/>
    <w:tmpl w:val="8FEE169E"/>
    <w:lvl w:ilvl="0" w:tplc="FFFFFFFF">
      <w:start w:val="1"/>
      <w:numFmt w:val="lowerLetter"/>
      <w:lvlText w:val="%1."/>
      <w:lvlJc w:val="left"/>
      <w:pPr>
        <w:ind w:left="66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2" w15:restartNumberingAfterBreak="0">
    <w:nsid w:val="78897A9B"/>
    <w:multiLevelType w:val="hybridMultilevel"/>
    <w:tmpl w:val="9092C2FA"/>
    <w:lvl w:ilvl="0" w:tplc="E33E4E88">
      <w:start w:val="1"/>
      <w:numFmt w:val="decimal"/>
      <w:lvlText w:val="%1."/>
      <w:lvlJc w:val="left"/>
      <w:pPr>
        <w:tabs>
          <w:tab w:val="num" w:pos="360"/>
        </w:tabs>
        <w:ind w:left="360" w:hanging="360"/>
      </w:pPr>
      <w:rPr>
        <w:rFonts w:hint="default"/>
      </w:rPr>
    </w:lvl>
    <w:lvl w:ilvl="1" w:tplc="6728D6B4">
      <w:start w:val="1"/>
      <w:numFmt w:val="lowerLetter"/>
      <w:lvlText w:val="%2)"/>
      <w:lvlJc w:val="left"/>
      <w:pPr>
        <w:tabs>
          <w:tab w:val="num" w:pos="964"/>
        </w:tabs>
        <w:ind w:left="964" w:hanging="510"/>
      </w:pPr>
      <w:rPr>
        <w:rFonts w:ascii="Arial" w:hAnsi="Arial" w:cs="Arial" w:hint="default"/>
        <w:color w:val="000000" w:themeColor="text1"/>
      </w:rPr>
    </w:lvl>
    <w:lvl w:ilvl="2" w:tplc="0809001B">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63" w15:restartNumberingAfterBreak="0">
    <w:nsid w:val="78DD1982"/>
    <w:multiLevelType w:val="hybridMultilevel"/>
    <w:tmpl w:val="7DCC606E"/>
    <w:lvl w:ilvl="0" w:tplc="98FEB0A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4" w15:restartNumberingAfterBreak="0">
    <w:nsid w:val="793705F4"/>
    <w:multiLevelType w:val="hybridMultilevel"/>
    <w:tmpl w:val="0E3EC9F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65" w15:restartNumberingAfterBreak="0">
    <w:nsid w:val="799D4813"/>
    <w:multiLevelType w:val="hybridMultilevel"/>
    <w:tmpl w:val="0FA819AC"/>
    <w:lvl w:ilvl="0" w:tplc="25F2F87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6" w15:restartNumberingAfterBreak="0">
    <w:nsid w:val="79E75679"/>
    <w:multiLevelType w:val="hybridMultilevel"/>
    <w:tmpl w:val="FD1843BE"/>
    <w:lvl w:ilvl="0" w:tplc="63647B12">
      <w:start w:val="1"/>
      <w:numFmt w:val="lowerLetter"/>
      <w:lvlText w:val="%1."/>
      <w:lvlJc w:val="left"/>
      <w:pPr>
        <w:ind w:left="666" w:hanging="360"/>
      </w:pPr>
      <w:rPr>
        <w:rFonts w:hint="default"/>
        <w:b w:val="0"/>
        <w:bCs w:val="0"/>
      </w:rPr>
    </w:lvl>
    <w:lvl w:ilvl="1" w:tplc="FFFFFFFF">
      <w:start w:val="1"/>
      <w:numFmt w:val="lowerLetter"/>
      <w:lvlText w:val="%2."/>
      <w:lvlJc w:val="left"/>
      <w:pPr>
        <w:ind w:left="1386" w:hanging="360"/>
      </w:pPr>
    </w:lvl>
    <w:lvl w:ilvl="2" w:tplc="FFFFFFFF" w:tentative="1">
      <w:start w:val="1"/>
      <w:numFmt w:val="lowerRoman"/>
      <w:lvlText w:val="%3."/>
      <w:lvlJc w:val="right"/>
      <w:pPr>
        <w:ind w:left="2106" w:hanging="180"/>
      </w:pPr>
    </w:lvl>
    <w:lvl w:ilvl="3" w:tplc="FFFFFFFF" w:tentative="1">
      <w:start w:val="1"/>
      <w:numFmt w:val="decimal"/>
      <w:lvlText w:val="%4."/>
      <w:lvlJc w:val="left"/>
      <w:pPr>
        <w:ind w:left="2826" w:hanging="360"/>
      </w:pPr>
    </w:lvl>
    <w:lvl w:ilvl="4" w:tplc="FFFFFFFF" w:tentative="1">
      <w:start w:val="1"/>
      <w:numFmt w:val="lowerLetter"/>
      <w:lvlText w:val="%5."/>
      <w:lvlJc w:val="left"/>
      <w:pPr>
        <w:ind w:left="3546" w:hanging="360"/>
      </w:pPr>
    </w:lvl>
    <w:lvl w:ilvl="5" w:tplc="FFFFFFFF" w:tentative="1">
      <w:start w:val="1"/>
      <w:numFmt w:val="lowerRoman"/>
      <w:lvlText w:val="%6."/>
      <w:lvlJc w:val="right"/>
      <w:pPr>
        <w:ind w:left="4266" w:hanging="180"/>
      </w:pPr>
    </w:lvl>
    <w:lvl w:ilvl="6" w:tplc="FFFFFFFF" w:tentative="1">
      <w:start w:val="1"/>
      <w:numFmt w:val="decimal"/>
      <w:lvlText w:val="%7."/>
      <w:lvlJc w:val="left"/>
      <w:pPr>
        <w:ind w:left="4986" w:hanging="360"/>
      </w:pPr>
    </w:lvl>
    <w:lvl w:ilvl="7" w:tplc="FFFFFFFF" w:tentative="1">
      <w:start w:val="1"/>
      <w:numFmt w:val="lowerLetter"/>
      <w:lvlText w:val="%8."/>
      <w:lvlJc w:val="left"/>
      <w:pPr>
        <w:ind w:left="5706" w:hanging="360"/>
      </w:pPr>
    </w:lvl>
    <w:lvl w:ilvl="8" w:tplc="FFFFFFFF" w:tentative="1">
      <w:start w:val="1"/>
      <w:numFmt w:val="lowerRoman"/>
      <w:lvlText w:val="%9."/>
      <w:lvlJc w:val="right"/>
      <w:pPr>
        <w:ind w:left="6426" w:hanging="180"/>
      </w:pPr>
    </w:lvl>
  </w:abstractNum>
  <w:abstractNum w:abstractNumId="367" w15:restartNumberingAfterBreak="0">
    <w:nsid w:val="79E7672E"/>
    <w:multiLevelType w:val="hybridMultilevel"/>
    <w:tmpl w:val="41EA3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8" w15:restartNumberingAfterBreak="0">
    <w:nsid w:val="79EC2783"/>
    <w:multiLevelType w:val="hybridMultilevel"/>
    <w:tmpl w:val="1A244A36"/>
    <w:lvl w:ilvl="0" w:tplc="BE2063CC">
      <w:start w:val="1"/>
      <w:numFmt w:val="bullet"/>
      <w:lvlText w:val=""/>
      <w:lvlJc w:val="left"/>
      <w:pPr>
        <w:tabs>
          <w:tab w:val="num" w:pos="397"/>
        </w:tabs>
        <w:ind w:left="397" w:hanging="39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9" w15:restartNumberingAfterBreak="0">
    <w:nsid w:val="7A752411"/>
    <w:multiLevelType w:val="hybridMultilevel"/>
    <w:tmpl w:val="B98240BC"/>
    <w:lvl w:ilvl="0" w:tplc="AB72C35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0" w15:restartNumberingAfterBreak="0">
    <w:nsid w:val="7A8A6486"/>
    <w:multiLevelType w:val="hybridMultilevel"/>
    <w:tmpl w:val="0B76F13A"/>
    <w:lvl w:ilvl="0" w:tplc="007AA05E">
      <w:start w:val="1"/>
      <w:numFmt w:val="lowerLetter"/>
      <w:lvlText w:val="%1."/>
      <w:lvlJc w:val="left"/>
      <w:pPr>
        <w:ind w:left="862" w:hanging="360"/>
      </w:pPr>
      <w:rPr>
        <w:rFonts w:hint="default"/>
        <w:strike w:val="0"/>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371" w15:restartNumberingAfterBreak="0">
    <w:nsid w:val="7AC654EE"/>
    <w:multiLevelType w:val="hybridMultilevel"/>
    <w:tmpl w:val="504CE974"/>
    <w:lvl w:ilvl="0" w:tplc="A02A0A3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2" w15:restartNumberingAfterBreak="0">
    <w:nsid w:val="7ADF7F74"/>
    <w:multiLevelType w:val="hybridMultilevel"/>
    <w:tmpl w:val="B9347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7B0658F0"/>
    <w:multiLevelType w:val="hybridMultilevel"/>
    <w:tmpl w:val="66DA3554"/>
    <w:lvl w:ilvl="0" w:tplc="6838C00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4" w15:restartNumberingAfterBreak="0">
    <w:nsid w:val="7B607620"/>
    <w:multiLevelType w:val="hybridMultilevel"/>
    <w:tmpl w:val="3C12C91E"/>
    <w:lvl w:ilvl="0" w:tplc="FFDA1A7C">
      <w:start w:val="1"/>
      <w:numFmt w:val="bullet"/>
      <w:lvlText w:val=""/>
      <w:lvlJc w:val="left"/>
      <w:pPr>
        <w:tabs>
          <w:tab w:val="num" w:pos="1154"/>
        </w:tabs>
        <w:ind w:left="1154" w:hanging="360"/>
      </w:pPr>
      <w:rPr>
        <w:rFonts w:ascii="Symbol" w:hAnsi="Symbol" w:hint="default"/>
        <w:color w:val="auto"/>
        <w:sz w:val="20"/>
        <w:szCs w:val="20"/>
      </w:rPr>
    </w:lvl>
    <w:lvl w:ilvl="1" w:tplc="08090003" w:tentative="1">
      <w:start w:val="1"/>
      <w:numFmt w:val="bullet"/>
      <w:lvlText w:val="o"/>
      <w:lvlJc w:val="left"/>
      <w:pPr>
        <w:tabs>
          <w:tab w:val="num" w:pos="1154"/>
        </w:tabs>
        <w:ind w:left="1154" w:hanging="360"/>
      </w:pPr>
      <w:rPr>
        <w:rFonts w:ascii="Courier New" w:hAnsi="Courier New" w:cs="Courier New" w:hint="default"/>
      </w:rPr>
    </w:lvl>
    <w:lvl w:ilvl="2" w:tplc="08090005" w:tentative="1">
      <w:start w:val="1"/>
      <w:numFmt w:val="bullet"/>
      <w:lvlText w:val=""/>
      <w:lvlJc w:val="left"/>
      <w:pPr>
        <w:tabs>
          <w:tab w:val="num" w:pos="1874"/>
        </w:tabs>
        <w:ind w:left="1874" w:hanging="360"/>
      </w:pPr>
      <w:rPr>
        <w:rFonts w:ascii="Wingdings" w:hAnsi="Wingdings" w:hint="default"/>
      </w:rPr>
    </w:lvl>
    <w:lvl w:ilvl="3" w:tplc="08090001" w:tentative="1">
      <w:start w:val="1"/>
      <w:numFmt w:val="bullet"/>
      <w:lvlText w:val=""/>
      <w:lvlJc w:val="left"/>
      <w:pPr>
        <w:tabs>
          <w:tab w:val="num" w:pos="2594"/>
        </w:tabs>
        <w:ind w:left="2594" w:hanging="360"/>
      </w:pPr>
      <w:rPr>
        <w:rFonts w:ascii="Symbol" w:hAnsi="Symbol" w:hint="default"/>
      </w:rPr>
    </w:lvl>
    <w:lvl w:ilvl="4" w:tplc="08090003" w:tentative="1">
      <w:start w:val="1"/>
      <w:numFmt w:val="bullet"/>
      <w:lvlText w:val="o"/>
      <w:lvlJc w:val="left"/>
      <w:pPr>
        <w:tabs>
          <w:tab w:val="num" w:pos="3314"/>
        </w:tabs>
        <w:ind w:left="3314" w:hanging="360"/>
      </w:pPr>
      <w:rPr>
        <w:rFonts w:ascii="Courier New" w:hAnsi="Courier New" w:cs="Courier New" w:hint="default"/>
      </w:rPr>
    </w:lvl>
    <w:lvl w:ilvl="5" w:tplc="08090005" w:tentative="1">
      <w:start w:val="1"/>
      <w:numFmt w:val="bullet"/>
      <w:lvlText w:val=""/>
      <w:lvlJc w:val="left"/>
      <w:pPr>
        <w:tabs>
          <w:tab w:val="num" w:pos="4034"/>
        </w:tabs>
        <w:ind w:left="4034" w:hanging="360"/>
      </w:pPr>
      <w:rPr>
        <w:rFonts w:ascii="Wingdings" w:hAnsi="Wingdings" w:hint="default"/>
      </w:rPr>
    </w:lvl>
    <w:lvl w:ilvl="6" w:tplc="08090001" w:tentative="1">
      <w:start w:val="1"/>
      <w:numFmt w:val="bullet"/>
      <w:lvlText w:val=""/>
      <w:lvlJc w:val="left"/>
      <w:pPr>
        <w:tabs>
          <w:tab w:val="num" w:pos="4754"/>
        </w:tabs>
        <w:ind w:left="4754" w:hanging="360"/>
      </w:pPr>
      <w:rPr>
        <w:rFonts w:ascii="Symbol" w:hAnsi="Symbol" w:hint="default"/>
      </w:rPr>
    </w:lvl>
    <w:lvl w:ilvl="7" w:tplc="08090003" w:tentative="1">
      <w:start w:val="1"/>
      <w:numFmt w:val="bullet"/>
      <w:lvlText w:val="o"/>
      <w:lvlJc w:val="left"/>
      <w:pPr>
        <w:tabs>
          <w:tab w:val="num" w:pos="5474"/>
        </w:tabs>
        <w:ind w:left="5474" w:hanging="360"/>
      </w:pPr>
      <w:rPr>
        <w:rFonts w:ascii="Courier New" w:hAnsi="Courier New" w:cs="Courier New" w:hint="default"/>
      </w:rPr>
    </w:lvl>
    <w:lvl w:ilvl="8" w:tplc="08090005" w:tentative="1">
      <w:start w:val="1"/>
      <w:numFmt w:val="bullet"/>
      <w:lvlText w:val=""/>
      <w:lvlJc w:val="left"/>
      <w:pPr>
        <w:tabs>
          <w:tab w:val="num" w:pos="6194"/>
        </w:tabs>
        <w:ind w:left="6194" w:hanging="360"/>
      </w:pPr>
      <w:rPr>
        <w:rFonts w:ascii="Wingdings" w:hAnsi="Wingdings" w:hint="default"/>
      </w:rPr>
    </w:lvl>
  </w:abstractNum>
  <w:abstractNum w:abstractNumId="375" w15:restartNumberingAfterBreak="0">
    <w:nsid w:val="7B8273A3"/>
    <w:multiLevelType w:val="hybridMultilevel"/>
    <w:tmpl w:val="0194F284"/>
    <w:lvl w:ilvl="0" w:tplc="DF9878A0">
      <w:start w:val="1"/>
      <w:numFmt w:val="lowerRoman"/>
      <w:lvlText w:val="%1"/>
      <w:lvlJc w:val="left"/>
      <w:pPr>
        <w:tabs>
          <w:tab w:val="num" w:pos="794"/>
        </w:tabs>
        <w:ind w:left="794" w:hanging="397"/>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76" w15:restartNumberingAfterBreak="0">
    <w:nsid w:val="7BA53AA7"/>
    <w:multiLevelType w:val="hybridMultilevel"/>
    <w:tmpl w:val="92F40C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7" w15:restartNumberingAfterBreak="0">
    <w:nsid w:val="7BB9349F"/>
    <w:multiLevelType w:val="hybridMultilevel"/>
    <w:tmpl w:val="0E4CCAF2"/>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8" w15:restartNumberingAfterBreak="0">
    <w:nsid w:val="7BDC0D3E"/>
    <w:multiLevelType w:val="hybridMultilevel"/>
    <w:tmpl w:val="6EAC393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79" w15:restartNumberingAfterBreak="0">
    <w:nsid w:val="7C3F4096"/>
    <w:multiLevelType w:val="hybridMultilevel"/>
    <w:tmpl w:val="047EBD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0" w15:restartNumberingAfterBreak="0">
    <w:nsid w:val="7C56399D"/>
    <w:multiLevelType w:val="hybridMultilevel"/>
    <w:tmpl w:val="BC06AC5A"/>
    <w:lvl w:ilvl="0" w:tplc="E56E50DE">
      <w:start w:val="1"/>
      <w:numFmt w:val="decimal"/>
      <w:lvlText w:val="%1."/>
      <w:lvlJc w:val="left"/>
      <w:pPr>
        <w:tabs>
          <w:tab w:val="num" w:pos="360"/>
        </w:tabs>
        <w:ind w:left="36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1" w15:restartNumberingAfterBreak="0">
    <w:nsid w:val="7CA9216F"/>
    <w:multiLevelType w:val="hybridMultilevel"/>
    <w:tmpl w:val="9934E35A"/>
    <w:lvl w:ilvl="0" w:tplc="243EAF8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2" w15:restartNumberingAfterBreak="0">
    <w:nsid w:val="7CAF2A67"/>
    <w:multiLevelType w:val="hybridMultilevel"/>
    <w:tmpl w:val="CC5A350E"/>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3" w15:restartNumberingAfterBreak="0">
    <w:nsid w:val="7D8B05CE"/>
    <w:multiLevelType w:val="hybridMultilevel"/>
    <w:tmpl w:val="BFF6D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7DAD217B"/>
    <w:multiLevelType w:val="hybridMultilevel"/>
    <w:tmpl w:val="6B16BB78"/>
    <w:lvl w:ilvl="0" w:tplc="EEB2B9D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5" w15:restartNumberingAfterBreak="0">
    <w:nsid w:val="7E490D8F"/>
    <w:multiLevelType w:val="hybridMultilevel"/>
    <w:tmpl w:val="B66E42AA"/>
    <w:lvl w:ilvl="0" w:tplc="8B941D0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7E5B4953"/>
    <w:multiLevelType w:val="hybridMultilevel"/>
    <w:tmpl w:val="07D265EE"/>
    <w:lvl w:ilvl="0" w:tplc="A6D4809E">
      <w:start w:val="1"/>
      <w:numFmt w:val="bullet"/>
      <w:lvlText w:val=""/>
      <w:lvlJc w:val="left"/>
      <w:pPr>
        <w:tabs>
          <w:tab w:val="num" w:pos="567"/>
        </w:tabs>
        <w:ind w:left="567" w:hanging="340"/>
      </w:pPr>
      <w:rPr>
        <w:rFonts w:ascii="Symbol" w:hAnsi="Symbol" w:hint="default"/>
        <w:color w:val="auto"/>
      </w:rPr>
    </w:lvl>
    <w:lvl w:ilvl="1" w:tplc="9BB61D10">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7" w15:restartNumberingAfterBreak="0">
    <w:nsid w:val="7E6F3EB7"/>
    <w:multiLevelType w:val="hybridMultilevel"/>
    <w:tmpl w:val="871CE37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8" w15:restartNumberingAfterBreak="0">
    <w:nsid w:val="7F0242B9"/>
    <w:multiLevelType w:val="hybridMultilevel"/>
    <w:tmpl w:val="FECA1D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9" w15:restartNumberingAfterBreak="0">
    <w:nsid w:val="7F0F45DD"/>
    <w:multiLevelType w:val="hybridMultilevel"/>
    <w:tmpl w:val="8F6E1250"/>
    <w:lvl w:ilvl="0" w:tplc="08090017">
      <w:start w:val="1"/>
      <w:numFmt w:val="lowerLetter"/>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0" w15:restartNumberingAfterBreak="0">
    <w:nsid w:val="7F8E40BB"/>
    <w:multiLevelType w:val="hybridMultilevel"/>
    <w:tmpl w:val="34B0ADD8"/>
    <w:lvl w:ilvl="0" w:tplc="C994B3B6">
      <w:start w:val="1"/>
      <w:numFmt w:val="lowerLetter"/>
      <w:lvlText w:val="%1."/>
      <w:lvlJc w:val="left"/>
      <w:pPr>
        <w:ind w:left="10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1" w15:restartNumberingAfterBreak="0">
    <w:nsid w:val="7F9B3C9B"/>
    <w:multiLevelType w:val="hybridMultilevel"/>
    <w:tmpl w:val="7042EE7A"/>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92" w15:restartNumberingAfterBreak="0">
    <w:nsid w:val="7FE300ED"/>
    <w:multiLevelType w:val="hybridMultilevel"/>
    <w:tmpl w:val="4E2449C6"/>
    <w:lvl w:ilvl="0" w:tplc="08090001">
      <w:start w:val="1"/>
      <w:numFmt w:val="bullet"/>
      <w:lvlText w:val=""/>
      <w:lvlJc w:val="left"/>
      <w:pPr>
        <w:ind w:left="887" w:hanging="360"/>
      </w:pPr>
      <w:rPr>
        <w:rFonts w:ascii="Symbol" w:hAnsi="Symbol"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393" w15:restartNumberingAfterBreak="0">
    <w:nsid w:val="7FE42DCF"/>
    <w:multiLevelType w:val="hybridMultilevel"/>
    <w:tmpl w:val="1A94131A"/>
    <w:lvl w:ilvl="0" w:tplc="B34CEA1C">
      <w:start w:val="1"/>
      <w:numFmt w:val="bullet"/>
      <w:lvlText w:val=""/>
      <w:lvlJc w:val="left"/>
      <w:pPr>
        <w:ind w:left="1247" w:hanging="360"/>
      </w:pPr>
      <w:rPr>
        <w:rFonts w:ascii="Symbol" w:hAnsi="Symbol" w:hint="default"/>
        <w:sz w:val="24"/>
      </w:rPr>
    </w:lvl>
    <w:lvl w:ilvl="1" w:tplc="08090003" w:tentative="1">
      <w:start w:val="1"/>
      <w:numFmt w:val="bullet"/>
      <w:lvlText w:val="o"/>
      <w:lvlJc w:val="left"/>
      <w:pPr>
        <w:ind w:left="1967" w:hanging="360"/>
      </w:pPr>
      <w:rPr>
        <w:rFonts w:ascii="Courier New" w:hAnsi="Courier New" w:cs="Courier New" w:hint="default"/>
      </w:rPr>
    </w:lvl>
    <w:lvl w:ilvl="2" w:tplc="08090005" w:tentative="1">
      <w:start w:val="1"/>
      <w:numFmt w:val="bullet"/>
      <w:lvlText w:val=""/>
      <w:lvlJc w:val="left"/>
      <w:pPr>
        <w:ind w:left="2687" w:hanging="360"/>
      </w:pPr>
      <w:rPr>
        <w:rFonts w:ascii="Wingdings" w:hAnsi="Wingdings" w:hint="default"/>
      </w:rPr>
    </w:lvl>
    <w:lvl w:ilvl="3" w:tplc="08090001" w:tentative="1">
      <w:start w:val="1"/>
      <w:numFmt w:val="bullet"/>
      <w:lvlText w:val=""/>
      <w:lvlJc w:val="left"/>
      <w:pPr>
        <w:ind w:left="3407" w:hanging="360"/>
      </w:pPr>
      <w:rPr>
        <w:rFonts w:ascii="Symbol" w:hAnsi="Symbol" w:hint="default"/>
      </w:rPr>
    </w:lvl>
    <w:lvl w:ilvl="4" w:tplc="08090003" w:tentative="1">
      <w:start w:val="1"/>
      <w:numFmt w:val="bullet"/>
      <w:lvlText w:val="o"/>
      <w:lvlJc w:val="left"/>
      <w:pPr>
        <w:ind w:left="4127" w:hanging="360"/>
      </w:pPr>
      <w:rPr>
        <w:rFonts w:ascii="Courier New" w:hAnsi="Courier New" w:cs="Courier New" w:hint="default"/>
      </w:rPr>
    </w:lvl>
    <w:lvl w:ilvl="5" w:tplc="08090005" w:tentative="1">
      <w:start w:val="1"/>
      <w:numFmt w:val="bullet"/>
      <w:lvlText w:val=""/>
      <w:lvlJc w:val="left"/>
      <w:pPr>
        <w:ind w:left="4847" w:hanging="360"/>
      </w:pPr>
      <w:rPr>
        <w:rFonts w:ascii="Wingdings" w:hAnsi="Wingdings" w:hint="default"/>
      </w:rPr>
    </w:lvl>
    <w:lvl w:ilvl="6" w:tplc="08090001" w:tentative="1">
      <w:start w:val="1"/>
      <w:numFmt w:val="bullet"/>
      <w:lvlText w:val=""/>
      <w:lvlJc w:val="left"/>
      <w:pPr>
        <w:ind w:left="5567" w:hanging="360"/>
      </w:pPr>
      <w:rPr>
        <w:rFonts w:ascii="Symbol" w:hAnsi="Symbol" w:hint="default"/>
      </w:rPr>
    </w:lvl>
    <w:lvl w:ilvl="7" w:tplc="08090003" w:tentative="1">
      <w:start w:val="1"/>
      <w:numFmt w:val="bullet"/>
      <w:lvlText w:val="o"/>
      <w:lvlJc w:val="left"/>
      <w:pPr>
        <w:ind w:left="6287" w:hanging="360"/>
      </w:pPr>
      <w:rPr>
        <w:rFonts w:ascii="Courier New" w:hAnsi="Courier New" w:cs="Courier New" w:hint="default"/>
      </w:rPr>
    </w:lvl>
    <w:lvl w:ilvl="8" w:tplc="08090005" w:tentative="1">
      <w:start w:val="1"/>
      <w:numFmt w:val="bullet"/>
      <w:lvlText w:val=""/>
      <w:lvlJc w:val="left"/>
      <w:pPr>
        <w:ind w:left="7007" w:hanging="360"/>
      </w:pPr>
      <w:rPr>
        <w:rFonts w:ascii="Wingdings" w:hAnsi="Wingdings" w:hint="default"/>
      </w:rPr>
    </w:lvl>
  </w:abstractNum>
  <w:num w:numId="1" w16cid:durableId="1809088035">
    <w:abstractNumId w:val="181"/>
  </w:num>
  <w:num w:numId="2" w16cid:durableId="2103604579">
    <w:abstractNumId w:val="165"/>
  </w:num>
  <w:num w:numId="3" w16cid:durableId="792216499">
    <w:abstractNumId w:val="90"/>
  </w:num>
  <w:num w:numId="4" w16cid:durableId="1496607383">
    <w:abstractNumId w:val="76"/>
  </w:num>
  <w:num w:numId="5" w16cid:durableId="2081244626">
    <w:abstractNumId w:val="157"/>
  </w:num>
  <w:num w:numId="6" w16cid:durableId="1866677998">
    <w:abstractNumId w:val="216"/>
  </w:num>
  <w:num w:numId="7" w16cid:durableId="937325615">
    <w:abstractNumId w:val="239"/>
  </w:num>
  <w:num w:numId="8" w16cid:durableId="1965690618">
    <w:abstractNumId w:val="130"/>
  </w:num>
  <w:num w:numId="9" w16cid:durableId="555823414">
    <w:abstractNumId w:val="375"/>
  </w:num>
  <w:num w:numId="10" w16cid:durableId="1101070469">
    <w:abstractNumId w:val="368"/>
  </w:num>
  <w:num w:numId="11" w16cid:durableId="1174611939">
    <w:abstractNumId w:val="362"/>
  </w:num>
  <w:num w:numId="12" w16cid:durableId="451554241">
    <w:abstractNumId w:val="117"/>
  </w:num>
  <w:num w:numId="13" w16cid:durableId="1962879584">
    <w:abstractNumId w:val="213"/>
  </w:num>
  <w:num w:numId="14" w16cid:durableId="2059745740">
    <w:abstractNumId w:val="238"/>
  </w:num>
  <w:num w:numId="15" w16cid:durableId="1822380768">
    <w:abstractNumId w:val="120"/>
  </w:num>
  <w:num w:numId="16" w16cid:durableId="1498232196">
    <w:abstractNumId w:val="203"/>
  </w:num>
  <w:num w:numId="17" w16cid:durableId="1060637989">
    <w:abstractNumId w:val="156"/>
  </w:num>
  <w:num w:numId="18" w16cid:durableId="1861778607">
    <w:abstractNumId w:val="94"/>
  </w:num>
  <w:num w:numId="19" w16cid:durableId="1563560221">
    <w:abstractNumId w:val="179"/>
  </w:num>
  <w:num w:numId="20" w16cid:durableId="1965653674">
    <w:abstractNumId w:val="370"/>
  </w:num>
  <w:num w:numId="21" w16cid:durableId="550461909">
    <w:abstractNumId w:val="276"/>
  </w:num>
  <w:num w:numId="22" w16cid:durableId="154107722">
    <w:abstractNumId w:val="34"/>
  </w:num>
  <w:num w:numId="23" w16cid:durableId="181214097">
    <w:abstractNumId w:val="20"/>
  </w:num>
  <w:num w:numId="24" w16cid:durableId="48921523">
    <w:abstractNumId w:val="12"/>
  </w:num>
  <w:num w:numId="25" w16cid:durableId="854458812">
    <w:abstractNumId w:val="47"/>
  </w:num>
  <w:num w:numId="26" w16cid:durableId="1256404047">
    <w:abstractNumId w:val="56"/>
  </w:num>
  <w:num w:numId="27" w16cid:durableId="1249464544">
    <w:abstractNumId w:val="5"/>
  </w:num>
  <w:num w:numId="28" w16cid:durableId="1702514527">
    <w:abstractNumId w:val="283"/>
  </w:num>
  <w:num w:numId="29" w16cid:durableId="579600777">
    <w:abstractNumId w:val="163"/>
  </w:num>
  <w:num w:numId="30" w16cid:durableId="294454961">
    <w:abstractNumId w:val="254"/>
  </w:num>
  <w:num w:numId="31" w16cid:durableId="764770150">
    <w:abstractNumId w:val="294"/>
  </w:num>
  <w:num w:numId="32" w16cid:durableId="477962988">
    <w:abstractNumId w:val="235"/>
  </w:num>
  <w:num w:numId="33" w16cid:durableId="844058147">
    <w:abstractNumId w:val="45"/>
  </w:num>
  <w:num w:numId="34" w16cid:durableId="247622935">
    <w:abstractNumId w:val="353"/>
  </w:num>
  <w:num w:numId="35" w16cid:durableId="153765168">
    <w:abstractNumId w:val="236"/>
  </w:num>
  <w:num w:numId="36" w16cid:durableId="1242057962">
    <w:abstractNumId w:val="109"/>
  </w:num>
  <w:num w:numId="37" w16cid:durableId="1055160159">
    <w:abstractNumId w:val="292"/>
  </w:num>
  <w:num w:numId="38" w16cid:durableId="1400401542">
    <w:abstractNumId w:val="24"/>
  </w:num>
  <w:num w:numId="39" w16cid:durableId="645165457">
    <w:abstractNumId w:val="240"/>
  </w:num>
  <w:num w:numId="40" w16cid:durableId="720593865">
    <w:abstractNumId w:val="329"/>
  </w:num>
  <w:num w:numId="41" w16cid:durableId="1724013347">
    <w:abstractNumId w:val="114"/>
  </w:num>
  <w:num w:numId="42" w16cid:durableId="837112934">
    <w:abstractNumId w:val="81"/>
  </w:num>
  <w:num w:numId="43" w16cid:durableId="1132599821">
    <w:abstractNumId w:val="345"/>
  </w:num>
  <w:num w:numId="44" w16cid:durableId="677462628">
    <w:abstractNumId w:val="190"/>
  </w:num>
  <w:num w:numId="45" w16cid:durableId="404760666">
    <w:abstractNumId w:val="80"/>
  </w:num>
  <w:num w:numId="46" w16cid:durableId="79375369">
    <w:abstractNumId w:val="249"/>
  </w:num>
  <w:num w:numId="47" w16cid:durableId="508105496">
    <w:abstractNumId w:val="220"/>
  </w:num>
  <w:num w:numId="48" w16cid:durableId="304314607">
    <w:abstractNumId w:val="215"/>
  </w:num>
  <w:num w:numId="49" w16cid:durableId="441345956">
    <w:abstractNumId w:val="10"/>
  </w:num>
  <w:num w:numId="50" w16cid:durableId="175966565">
    <w:abstractNumId w:val="271"/>
  </w:num>
  <w:num w:numId="51" w16cid:durableId="1132291666">
    <w:abstractNumId w:val="251"/>
  </w:num>
  <w:num w:numId="52" w16cid:durableId="762074222">
    <w:abstractNumId w:val="82"/>
  </w:num>
  <w:num w:numId="53" w16cid:durableId="841043707">
    <w:abstractNumId w:val="126"/>
  </w:num>
  <w:num w:numId="54" w16cid:durableId="1090275825">
    <w:abstractNumId w:val="137"/>
  </w:num>
  <w:num w:numId="55" w16cid:durableId="2062750923">
    <w:abstractNumId w:val="282"/>
  </w:num>
  <w:num w:numId="56" w16cid:durableId="1638561539">
    <w:abstractNumId w:val="150"/>
  </w:num>
  <w:num w:numId="57" w16cid:durableId="368264779">
    <w:abstractNumId w:val="391"/>
  </w:num>
  <w:num w:numId="58" w16cid:durableId="394819498">
    <w:abstractNumId w:val="147"/>
  </w:num>
  <w:num w:numId="59" w16cid:durableId="1597127347">
    <w:abstractNumId w:val="284"/>
  </w:num>
  <w:num w:numId="60" w16cid:durableId="1302536947">
    <w:abstractNumId w:val="257"/>
  </w:num>
  <w:num w:numId="61" w16cid:durableId="2108844412">
    <w:abstractNumId w:val="155"/>
  </w:num>
  <w:num w:numId="62" w16cid:durableId="379011300">
    <w:abstractNumId w:val="15"/>
  </w:num>
  <w:num w:numId="63" w16cid:durableId="2089692192">
    <w:abstractNumId w:val="8"/>
  </w:num>
  <w:num w:numId="64" w16cid:durableId="1172530109">
    <w:abstractNumId w:val="389"/>
  </w:num>
  <w:num w:numId="65" w16cid:durableId="829752431">
    <w:abstractNumId w:val="377"/>
  </w:num>
  <w:num w:numId="66" w16cid:durableId="294414782">
    <w:abstractNumId w:val="233"/>
  </w:num>
  <w:num w:numId="67" w16cid:durableId="593052840">
    <w:abstractNumId w:val="118"/>
  </w:num>
  <w:num w:numId="68" w16cid:durableId="2058817851">
    <w:abstractNumId w:val="149"/>
  </w:num>
  <w:num w:numId="69" w16cid:durableId="1224482607">
    <w:abstractNumId w:val="66"/>
  </w:num>
  <w:num w:numId="70" w16cid:durableId="398410265">
    <w:abstractNumId w:val="32"/>
  </w:num>
  <w:num w:numId="71" w16cid:durableId="850337654">
    <w:abstractNumId w:val="272"/>
  </w:num>
  <w:num w:numId="72" w16cid:durableId="747581623">
    <w:abstractNumId w:val="19"/>
  </w:num>
  <w:num w:numId="73" w16cid:durableId="1877505041">
    <w:abstractNumId w:val="64"/>
  </w:num>
  <w:num w:numId="74" w16cid:durableId="180432589">
    <w:abstractNumId w:val="201"/>
  </w:num>
  <w:num w:numId="75" w16cid:durableId="1365255824">
    <w:abstractNumId w:val="27"/>
  </w:num>
  <w:num w:numId="76" w16cid:durableId="1931547397">
    <w:abstractNumId w:val="259"/>
  </w:num>
  <w:num w:numId="77" w16cid:durableId="1343125872">
    <w:abstractNumId w:val="134"/>
  </w:num>
  <w:num w:numId="78" w16cid:durableId="893010436">
    <w:abstractNumId w:val="324"/>
  </w:num>
  <w:num w:numId="79" w16cid:durableId="1200358136">
    <w:abstractNumId w:val="331"/>
  </w:num>
  <w:num w:numId="80" w16cid:durableId="469325471">
    <w:abstractNumId w:val="356"/>
  </w:num>
  <w:num w:numId="81" w16cid:durableId="1652174887">
    <w:abstractNumId w:val="365"/>
  </w:num>
  <w:num w:numId="82" w16cid:durableId="1465924622">
    <w:abstractNumId w:val="371"/>
  </w:num>
  <w:num w:numId="83" w16cid:durableId="1259605648">
    <w:abstractNumId w:val="279"/>
  </w:num>
  <w:num w:numId="84" w16cid:durableId="248123125">
    <w:abstractNumId w:val="320"/>
  </w:num>
  <w:num w:numId="85" w16cid:durableId="1243031556">
    <w:abstractNumId w:val="3"/>
  </w:num>
  <w:num w:numId="86" w16cid:durableId="1110277392">
    <w:abstractNumId w:val="103"/>
  </w:num>
  <w:num w:numId="87" w16cid:durableId="558826156">
    <w:abstractNumId w:val="195"/>
  </w:num>
  <w:num w:numId="88" w16cid:durableId="775632735">
    <w:abstractNumId w:val="172"/>
  </w:num>
  <w:num w:numId="89" w16cid:durableId="1762608114">
    <w:abstractNumId w:val="359"/>
  </w:num>
  <w:num w:numId="90" w16cid:durableId="996688942">
    <w:abstractNumId w:val="189"/>
  </w:num>
  <w:num w:numId="91" w16cid:durableId="1997103286">
    <w:abstractNumId w:val="38"/>
  </w:num>
  <w:num w:numId="92" w16cid:durableId="414471198">
    <w:abstractNumId w:val="1"/>
  </w:num>
  <w:num w:numId="93" w16cid:durableId="1286694328">
    <w:abstractNumId w:val="388"/>
  </w:num>
  <w:num w:numId="94" w16cid:durableId="1930389670">
    <w:abstractNumId w:val="85"/>
  </w:num>
  <w:num w:numId="95" w16cid:durableId="297342322">
    <w:abstractNumId w:val="36"/>
  </w:num>
  <w:num w:numId="96" w16cid:durableId="1770655607">
    <w:abstractNumId w:val="50"/>
  </w:num>
  <w:num w:numId="97" w16cid:durableId="304092567">
    <w:abstractNumId w:val="110"/>
  </w:num>
  <w:num w:numId="98" w16cid:durableId="316308291">
    <w:abstractNumId w:val="342"/>
  </w:num>
  <w:num w:numId="99" w16cid:durableId="1859613092">
    <w:abstractNumId w:val="49"/>
  </w:num>
  <w:num w:numId="100" w16cid:durableId="1733774824">
    <w:abstractNumId w:val="151"/>
  </w:num>
  <w:num w:numId="101" w16cid:durableId="615064792">
    <w:abstractNumId w:val="124"/>
  </w:num>
  <w:num w:numId="102" w16cid:durableId="293371137">
    <w:abstractNumId w:val="2"/>
  </w:num>
  <w:num w:numId="103" w16cid:durableId="1876651830">
    <w:abstractNumId w:val="71"/>
  </w:num>
  <w:num w:numId="104" w16cid:durableId="617682045">
    <w:abstractNumId w:val="133"/>
  </w:num>
  <w:num w:numId="105" w16cid:durableId="931543944">
    <w:abstractNumId w:val="58"/>
  </w:num>
  <w:num w:numId="106" w16cid:durableId="1379816675">
    <w:abstractNumId w:val="43"/>
  </w:num>
  <w:num w:numId="107" w16cid:durableId="1626084645">
    <w:abstractNumId w:val="166"/>
  </w:num>
  <w:num w:numId="108" w16cid:durableId="591012607">
    <w:abstractNumId w:val="131"/>
  </w:num>
  <w:num w:numId="109" w16cid:durableId="1857116614">
    <w:abstractNumId w:val="291"/>
  </w:num>
  <w:num w:numId="110" w16cid:durableId="84303654">
    <w:abstractNumId w:val="258"/>
  </w:num>
  <w:num w:numId="111" w16cid:durableId="79105809">
    <w:abstractNumId w:val="62"/>
  </w:num>
  <w:num w:numId="112" w16cid:durableId="1540901464">
    <w:abstractNumId w:val="309"/>
  </w:num>
  <w:num w:numId="113" w16cid:durableId="923686628">
    <w:abstractNumId w:val="140"/>
  </w:num>
  <w:num w:numId="114" w16cid:durableId="678124159">
    <w:abstractNumId w:val="37"/>
  </w:num>
  <w:num w:numId="115" w16cid:durableId="1664816622">
    <w:abstractNumId w:val="193"/>
  </w:num>
  <w:num w:numId="116" w16cid:durableId="1311445065">
    <w:abstractNumId w:val="113"/>
  </w:num>
  <w:num w:numId="117" w16cid:durableId="1687635146">
    <w:abstractNumId w:val="183"/>
  </w:num>
  <w:num w:numId="118" w16cid:durableId="1703356292">
    <w:abstractNumId w:val="136"/>
  </w:num>
  <w:num w:numId="119" w16cid:durableId="1661154877">
    <w:abstractNumId w:val="125"/>
  </w:num>
  <w:num w:numId="120" w16cid:durableId="352338616">
    <w:abstractNumId w:val="303"/>
  </w:num>
  <w:num w:numId="121" w16cid:durableId="1196389921">
    <w:abstractNumId w:val="339"/>
  </w:num>
  <w:num w:numId="122" w16cid:durableId="2015574251">
    <w:abstractNumId w:val="63"/>
  </w:num>
  <w:num w:numId="123" w16cid:durableId="1344282141">
    <w:abstractNumId w:val="202"/>
  </w:num>
  <w:num w:numId="124" w16cid:durableId="863249039">
    <w:abstractNumId w:val="200"/>
  </w:num>
  <w:num w:numId="125" w16cid:durableId="1995595951">
    <w:abstractNumId w:val="206"/>
  </w:num>
  <w:num w:numId="126" w16cid:durableId="749892870">
    <w:abstractNumId w:val="234"/>
  </w:num>
  <w:num w:numId="127" w16cid:durableId="1872377300">
    <w:abstractNumId w:val="91"/>
  </w:num>
  <w:num w:numId="128" w16cid:durableId="2120877958">
    <w:abstractNumId w:val="374"/>
  </w:num>
  <w:num w:numId="129" w16cid:durableId="46758682">
    <w:abstractNumId w:val="112"/>
  </w:num>
  <w:num w:numId="130" w16cid:durableId="460460087">
    <w:abstractNumId w:val="326"/>
  </w:num>
  <w:num w:numId="131" w16cid:durableId="2016960902">
    <w:abstractNumId w:val="26"/>
  </w:num>
  <w:num w:numId="132" w16cid:durableId="2007442529">
    <w:abstractNumId w:val="208"/>
  </w:num>
  <w:num w:numId="133" w16cid:durableId="2043360297">
    <w:abstractNumId w:val="288"/>
  </w:num>
  <w:num w:numId="134" w16cid:durableId="1052728421">
    <w:abstractNumId w:val="313"/>
  </w:num>
  <w:num w:numId="135" w16cid:durableId="400565603">
    <w:abstractNumId w:val="285"/>
  </w:num>
  <w:num w:numId="136" w16cid:durableId="1046953551">
    <w:abstractNumId w:val="308"/>
  </w:num>
  <w:num w:numId="137" w16cid:durableId="1677267549">
    <w:abstractNumId w:val="138"/>
  </w:num>
  <w:num w:numId="138" w16cid:durableId="1483160932">
    <w:abstractNumId w:val="68"/>
  </w:num>
  <w:num w:numId="139" w16cid:durableId="1579903377">
    <w:abstractNumId w:val="380"/>
  </w:num>
  <w:num w:numId="140" w16cid:durableId="134027567">
    <w:abstractNumId w:val="228"/>
  </w:num>
  <w:num w:numId="141" w16cid:durableId="592007906">
    <w:abstractNumId w:val="357"/>
  </w:num>
  <w:num w:numId="142" w16cid:durableId="1409234661">
    <w:abstractNumId w:val="349"/>
  </w:num>
  <w:num w:numId="143" w16cid:durableId="2139949415">
    <w:abstractNumId w:val="333"/>
  </w:num>
  <w:num w:numId="144" w16cid:durableId="1612593264">
    <w:abstractNumId w:val="79"/>
  </w:num>
  <w:num w:numId="145" w16cid:durableId="889077486">
    <w:abstractNumId w:val="180"/>
  </w:num>
  <w:num w:numId="146" w16cid:durableId="1212962599">
    <w:abstractNumId w:val="98"/>
  </w:num>
  <w:num w:numId="147" w16cid:durableId="1075586335">
    <w:abstractNumId w:val="51"/>
  </w:num>
  <w:num w:numId="148" w16cid:durableId="1851482409">
    <w:abstractNumId w:val="75"/>
  </w:num>
  <w:num w:numId="149" w16cid:durableId="47265152">
    <w:abstractNumId w:val="160"/>
  </w:num>
  <w:num w:numId="150" w16cid:durableId="1861624221">
    <w:abstractNumId w:val="77"/>
  </w:num>
  <w:num w:numId="151" w16cid:durableId="1111708151">
    <w:abstractNumId w:val="169"/>
  </w:num>
  <w:num w:numId="152" w16cid:durableId="551041301">
    <w:abstractNumId w:val="312"/>
  </w:num>
  <w:num w:numId="153" w16cid:durableId="1596790818">
    <w:abstractNumId w:val="343"/>
  </w:num>
  <w:num w:numId="154" w16cid:durableId="1003166430">
    <w:abstractNumId w:val="265"/>
  </w:num>
  <w:num w:numId="155" w16cid:durableId="1976443435">
    <w:abstractNumId w:val="191"/>
  </w:num>
  <w:num w:numId="156" w16cid:durableId="1861627544">
    <w:abstractNumId w:val="35"/>
  </w:num>
  <w:num w:numId="157" w16cid:durableId="472797688">
    <w:abstractNumId w:val="135"/>
  </w:num>
  <w:num w:numId="158" w16cid:durableId="713235546">
    <w:abstractNumId w:val="59"/>
  </w:num>
  <w:num w:numId="159" w16cid:durableId="1801415019">
    <w:abstractNumId w:val="322"/>
  </w:num>
  <w:num w:numId="160" w16cid:durableId="1367219121">
    <w:abstractNumId w:val="378"/>
  </w:num>
  <w:num w:numId="161" w16cid:durableId="419331754">
    <w:abstractNumId w:val="11"/>
  </w:num>
  <w:num w:numId="162" w16cid:durableId="1795904520">
    <w:abstractNumId w:val="23"/>
  </w:num>
  <w:num w:numId="163" w16cid:durableId="965742567">
    <w:abstractNumId w:val="316"/>
  </w:num>
  <w:num w:numId="164" w16cid:durableId="1203247779">
    <w:abstractNumId w:val="327"/>
  </w:num>
  <w:num w:numId="165" w16cid:durableId="220989684">
    <w:abstractNumId w:val="9"/>
  </w:num>
  <w:num w:numId="166" w16cid:durableId="1754935267">
    <w:abstractNumId w:val="243"/>
  </w:num>
  <w:num w:numId="167" w16cid:durableId="1565991426">
    <w:abstractNumId w:val="210"/>
  </w:num>
  <w:num w:numId="168" w16cid:durableId="437605026">
    <w:abstractNumId w:val="154"/>
  </w:num>
  <w:num w:numId="169" w16cid:durableId="473840341">
    <w:abstractNumId w:val="390"/>
  </w:num>
  <w:num w:numId="170" w16cid:durableId="1717194435">
    <w:abstractNumId w:val="42"/>
  </w:num>
  <w:num w:numId="171" w16cid:durableId="1826123488">
    <w:abstractNumId w:val="227"/>
  </w:num>
  <w:num w:numId="172" w16cid:durableId="599802872">
    <w:abstractNumId w:val="318"/>
  </w:num>
  <w:num w:numId="173" w16cid:durableId="1466968882">
    <w:abstractNumId w:val="347"/>
  </w:num>
  <w:num w:numId="174" w16cid:durableId="768427706">
    <w:abstractNumId w:val="310"/>
  </w:num>
  <w:num w:numId="175" w16cid:durableId="60561829">
    <w:abstractNumId w:val="107"/>
  </w:num>
  <w:num w:numId="176" w16cid:durableId="93595579">
    <w:abstractNumId w:val="171"/>
  </w:num>
  <w:num w:numId="177" w16cid:durableId="2102870592">
    <w:abstractNumId w:val="306"/>
  </w:num>
  <w:num w:numId="178" w16cid:durableId="335574832">
    <w:abstractNumId w:val="277"/>
  </w:num>
  <w:num w:numId="179" w16cid:durableId="262343181">
    <w:abstractNumId w:val="152"/>
  </w:num>
  <w:num w:numId="180" w16cid:durableId="1432625784">
    <w:abstractNumId w:val="225"/>
  </w:num>
  <w:num w:numId="181" w16cid:durableId="1804881121">
    <w:abstractNumId w:val="204"/>
  </w:num>
  <w:num w:numId="182" w16cid:durableId="650213802">
    <w:abstractNumId w:val="242"/>
  </w:num>
  <w:num w:numId="183" w16cid:durableId="2073770203">
    <w:abstractNumId w:val="360"/>
  </w:num>
  <w:num w:numId="184" w16cid:durableId="1633052657">
    <w:abstractNumId w:val="14"/>
  </w:num>
  <w:num w:numId="185" w16cid:durableId="2118483342">
    <w:abstractNumId w:val="336"/>
  </w:num>
  <w:num w:numId="186" w16cid:durableId="2087267370">
    <w:abstractNumId w:val="104"/>
  </w:num>
  <w:num w:numId="187" w16cid:durableId="1878275584">
    <w:abstractNumId w:val="266"/>
  </w:num>
  <w:num w:numId="188" w16cid:durableId="715811125">
    <w:abstractNumId w:val="382"/>
  </w:num>
  <w:num w:numId="189" w16cid:durableId="1847863216">
    <w:abstractNumId w:val="295"/>
  </w:num>
  <w:num w:numId="190" w16cid:durableId="1939870312">
    <w:abstractNumId w:val="369"/>
  </w:num>
  <w:num w:numId="191" w16cid:durableId="1003438198">
    <w:abstractNumId w:val="21"/>
  </w:num>
  <w:num w:numId="192" w16cid:durableId="1459958478">
    <w:abstractNumId w:val="53"/>
  </w:num>
  <w:num w:numId="193" w16cid:durableId="525682777">
    <w:abstractNumId w:val="263"/>
  </w:num>
  <w:num w:numId="194" w16cid:durableId="121585484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16cid:durableId="1114517549">
    <w:abstractNumId w:val="241"/>
  </w:num>
  <w:num w:numId="196" w16cid:durableId="99224056">
    <w:abstractNumId w:val="139"/>
  </w:num>
  <w:num w:numId="197" w16cid:durableId="143007706">
    <w:abstractNumId w:val="55"/>
  </w:num>
  <w:num w:numId="198" w16cid:durableId="358165339">
    <w:abstractNumId w:val="46"/>
  </w:num>
  <w:num w:numId="199" w16cid:durableId="310791003">
    <w:abstractNumId w:val="385"/>
  </w:num>
  <w:num w:numId="200" w16cid:durableId="13966756">
    <w:abstractNumId w:val="146"/>
  </w:num>
  <w:num w:numId="201" w16cid:durableId="1905870476">
    <w:abstractNumId w:val="393"/>
  </w:num>
  <w:num w:numId="202" w16cid:durableId="1824932830">
    <w:abstractNumId w:val="173"/>
  </w:num>
  <w:num w:numId="203" w16cid:durableId="1556621777">
    <w:abstractNumId w:val="184"/>
  </w:num>
  <w:num w:numId="204" w16cid:durableId="1617057026">
    <w:abstractNumId w:val="25"/>
  </w:num>
  <w:num w:numId="205" w16cid:durableId="1244876175">
    <w:abstractNumId w:val="211"/>
  </w:num>
  <w:num w:numId="206" w16cid:durableId="1418289706">
    <w:abstractNumId w:val="248"/>
  </w:num>
  <w:num w:numId="207" w16cid:durableId="733816908">
    <w:abstractNumId w:val="340"/>
  </w:num>
  <w:num w:numId="208" w16cid:durableId="887885930">
    <w:abstractNumId w:val="197"/>
  </w:num>
  <w:num w:numId="209" w16cid:durableId="831332855">
    <w:abstractNumId w:val="177"/>
  </w:num>
  <w:num w:numId="210" w16cid:durableId="722366398">
    <w:abstractNumId w:val="105"/>
  </w:num>
  <w:num w:numId="211" w16cid:durableId="1861625438">
    <w:abstractNumId w:val="392"/>
  </w:num>
  <w:num w:numId="212" w16cid:durableId="248471525">
    <w:abstractNumId w:val="192"/>
  </w:num>
  <w:num w:numId="213" w16cid:durableId="1332172395">
    <w:abstractNumId w:val="286"/>
  </w:num>
  <w:num w:numId="214" w16cid:durableId="2070109053">
    <w:abstractNumId w:val="224"/>
  </w:num>
  <w:num w:numId="215" w16cid:durableId="2010059505">
    <w:abstractNumId w:val="223"/>
  </w:num>
  <w:num w:numId="216" w16cid:durableId="1964343029">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16cid:durableId="543294200">
    <w:abstractNumId w:val="3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16cid:durableId="1508445374">
    <w:abstractNumId w:val="88"/>
  </w:num>
  <w:num w:numId="219" w16cid:durableId="15159929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16cid:durableId="1660574459">
    <w:abstractNumId w:val="162"/>
  </w:num>
  <w:num w:numId="221" w16cid:durableId="805437673">
    <w:abstractNumId w:val="18"/>
  </w:num>
  <w:num w:numId="222" w16cid:durableId="22823558">
    <w:abstractNumId w:val="108"/>
  </w:num>
  <w:num w:numId="223" w16cid:durableId="1403328684">
    <w:abstractNumId w:val="387"/>
  </w:num>
  <w:num w:numId="224" w16cid:durableId="1952518489">
    <w:abstractNumId w:val="244"/>
  </w:num>
  <w:num w:numId="225" w16cid:durableId="1303315441">
    <w:abstractNumId w:val="123"/>
  </w:num>
  <w:num w:numId="226" w16cid:durableId="696546898">
    <w:abstractNumId w:val="230"/>
  </w:num>
  <w:num w:numId="227" w16cid:durableId="896479037">
    <w:abstractNumId w:val="229"/>
  </w:num>
  <w:num w:numId="228" w16cid:durableId="1648515445">
    <w:abstractNumId w:val="274"/>
  </w:num>
  <w:num w:numId="229" w16cid:durableId="176819874">
    <w:abstractNumId w:val="119"/>
  </w:num>
  <w:num w:numId="230" w16cid:durableId="1519002142">
    <w:abstractNumId w:val="250"/>
  </w:num>
  <w:num w:numId="231" w16cid:durableId="29842772">
    <w:abstractNumId w:val="289"/>
  </w:num>
  <w:num w:numId="232" w16cid:durableId="132524889">
    <w:abstractNumId w:val="344"/>
  </w:num>
  <w:num w:numId="233" w16cid:durableId="1505634247">
    <w:abstractNumId w:val="341"/>
  </w:num>
  <w:num w:numId="234" w16cid:durableId="99297056">
    <w:abstractNumId w:val="178"/>
  </w:num>
  <w:num w:numId="235" w16cid:durableId="1918242328">
    <w:abstractNumId w:val="164"/>
  </w:num>
  <w:num w:numId="236" w16cid:durableId="1591432156">
    <w:abstractNumId w:val="315"/>
  </w:num>
  <w:num w:numId="237" w16cid:durableId="683938414">
    <w:abstractNumId w:val="381"/>
  </w:num>
  <w:num w:numId="238" w16cid:durableId="1386370655">
    <w:abstractNumId w:val="87"/>
  </w:num>
  <w:num w:numId="239" w16cid:durableId="1454442251">
    <w:abstractNumId w:val="143"/>
  </w:num>
  <w:num w:numId="240" w16cid:durableId="1602760304">
    <w:abstractNumId w:val="40"/>
  </w:num>
  <w:num w:numId="241" w16cid:durableId="127404961">
    <w:abstractNumId w:val="319"/>
  </w:num>
  <w:num w:numId="242" w16cid:durableId="1047535671">
    <w:abstractNumId w:val="198"/>
  </w:num>
  <w:num w:numId="243" w16cid:durableId="1644501507">
    <w:abstractNumId w:val="222"/>
  </w:num>
  <w:num w:numId="244" w16cid:durableId="36703711">
    <w:abstractNumId w:val="168"/>
  </w:num>
  <w:num w:numId="245" w16cid:durableId="710155418">
    <w:abstractNumId w:val="72"/>
  </w:num>
  <w:num w:numId="246" w16cid:durableId="1077090533">
    <w:abstractNumId w:val="101"/>
  </w:num>
  <w:num w:numId="247" w16cid:durableId="1311011718">
    <w:abstractNumId w:val="352"/>
  </w:num>
  <w:num w:numId="248" w16cid:durableId="1579709773">
    <w:abstractNumId w:val="141"/>
  </w:num>
  <w:num w:numId="249" w16cid:durableId="1238858777">
    <w:abstractNumId w:val="54"/>
  </w:num>
  <w:num w:numId="250" w16cid:durableId="1668442754">
    <w:abstractNumId w:val="255"/>
  </w:num>
  <w:num w:numId="251" w16cid:durableId="1939485284">
    <w:abstractNumId w:val="297"/>
  </w:num>
  <w:num w:numId="252" w16cid:durableId="952057312">
    <w:abstractNumId w:val="148"/>
  </w:num>
  <w:num w:numId="253" w16cid:durableId="430200467">
    <w:abstractNumId w:val="4"/>
  </w:num>
  <w:num w:numId="254" w16cid:durableId="1762066723">
    <w:abstractNumId w:val="287"/>
  </w:num>
  <w:num w:numId="255" w16cid:durableId="1152060051">
    <w:abstractNumId w:val="129"/>
  </w:num>
  <w:num w:numId="256" w16cid:durableId="962468726">
    <w:abstractNumId w:val="17"/>
  </w:num>
  <w:num w:numId="257" w16cid:durableId="1360156151">
    <w:abstractNumId w:val="209"/>
  </w:num>
  <w:num w:numId="258" w16cid:durableId="1032993771">
    <w:abstractNumId w:val="132"/>
  </w:num>
  <w:num w:numId="259" w16cid:durableId="396365606">
    <w:abstractNumId w:val="334"/>
  </w:num>
  <w:num w:numId="260" w16cid:durableId="796534382">
    <w:abstractNumId w:val="221"/>
  </w:num>
  <w:num w:numId="261" w16cid:durableId="1993681703">
    <w:abstractNumId w:val="226"/>
  </w:num>
  <w:num w:numId="262" w16cid:durableId="498470240">
    <w:abstractNumId w:val="176"/>
  </w:num>
  <w:num w:numId="263" w16cid:durableId="1164122697">
    <w:abstractNumId w:val="307"/>
  </w:num>
  <w:num w:numId="264" w16cid:durableId="2082628937">
    <w:abstractNumId w:val="73"/>
  </w:num>
  <w:num w:numId="265" w16cid:durableId="907420781">
    <w:abstractNumId w:val="314"/>
  </w:num>
  <w:num w:numId="266" w16cid:durableId="204873240">
    <w:abstractNumId w:val="358"/>
  </w:num>
  <w:num w:numId="267" w16cid:durableId="1099594683">
    <w:abstractNumId w:val="67"/>
  </w:num>
  <w:num w:numId="268" w16cid:durableId="1288269925">
    <w:abstractNumId w:val="31"/>
  </w:num>
  <w:num w:numId="269" w16cid:durableId="700667892">
    <w:abstractNumId w:val="217"/>
  </w:num>
  <w:num w:numId="270" w16cid:durableId="1486311793">
    <w:abstractNumId w:val="16"/>
  </w:num>
  <w:num w:numId="271" w16cid:durableId="863056131">
    <w:abstractNumId w:val="323"/>
  </w:num>
  <w:num w:numId="272" w16cid:durableId="12801549">
    <w:abstractNumId w:val="116"/>
  </w:num>
  <w:num w:numId="273" w16cid:durableId="1756778894">
    <w:abstractNumId w:val="153"/>
  </w:num>
  <w:num w:numId="274" w16cid:durableId="806169381">
    <w:abstractNumId w:val="186"/>
  </w:num>
  <w:num w:numId="275" w16cid:durableId="150367509">
    <w:abstractNumId w:val="61"/>
  </w:num>
  <w:num w:numId="276" w16cid:durableId="1237788097">
    <w:abstractNumId w:val="317"/>
  </w:num>
  <w:num w:numId="277" w16cid:durableId="382101806">
    <w:abstractNumId w:val="262"/>
  </w:num>
  <w:num w:numId="278" w16cid:durableId="128057394">
    <w:abstractNumId w:val="187"/>
  </w:num>
  <w:num w:numId="279" w16cid:durableId="48768886">
    <w:abstractNumId w:val="205"/>
  </w:num>
  <w:num w:numId="280" w16cid:durableId="1944216818">
    <w:abstractNumId w:val="33"/>
  </w:num>
  <w:num w:numId="281" w16cid:durableId="1275361291">
    <w:abstractNumId w:val="328"/>
  </w:num>
  <w:num w:numId="282" w16cid:durableId="1834369006">
    <w:abstractNumId w:val="301"/>
  </w:num>
  <w:num w:numId="283" w16cid:durableId="172766010">
    <w:abstractNumId w:val="245"/>
  </w:num>
  <w:num w:numId="284" w16cid:durableId="143011924">
    <w:abstractNumId w:val="373"/>
  </w:num>
  <w:num w:numId="285" w16cid:durableId="1268928596">
    <w:abstractNumId w:val="144"/>
  </w:num>
  <w:num w:numId="286" w16cid:durableId="1800107912">
    <w:abstractNumId w:val="363"/>
  </w:num>
  <w:num w:numId="287" w16cid:durableId="228613010">
    <w:abstractNumId w:val="142"/>
  </w:num>
  <w:num w:numId="288" w16cid:durableId="978653948">
    <w:abstractNumId w:val="311"/>
  </w:num>
  <w:num w:numId="289" w16cid:durableId="682515266">
    <w:abstractNumId w:val="275"/>
  </w:num>
  <w:num w:numId="290" w16cid:durableId="1234580790">
    <w:abstractNumId w:val="194"/>
  </w:num>
  <w:num w:numId="291" w16cid:durableId="1541937211">
    <w:abstractNumId w:val="44"/>
  </w:num>
  <w:num w:numId="292" w16cid:durableId="1589928552">
    <w:abstractNumId w:val="379"/>
  </w:num>
  <w:num w:numId="293" w16cid:durableId="1086267147">
    <w:abstractNumId w:val="260"/>
  </w:num>
  <w:num w:numId="294" w16cid:durableId="833689502">
    <w:abstractNumId w:val="97"/>
  </w:num>
  <w:num w:numId="295" w16cid:durableId="1516268613">
    <w:abstractNumId w:val="70"/>
  </w:num>
  <w:num w:numId="296" w16cid:durableId="539783139">
    <w:abstractNumId w:val="188"/>
  </w:num>
  <w:num w:numId="297" w16cid:durableId="1146438068">
    <w:abstractNumId w:val="338"/>
  </w:num>
  <w:num w:numId="298" w16cid:durableId="588344682">
    <w:abstractNumId w:val="30"/>
  </w:num>
  <w:num w:numId="299" w16cid:durableId="331031763">
    <w:abstractNumId w:val="92"/>
  </w:num>
  <w:num w:numId="300" w16cid:durableId="1665664228">
    <w:abstractNumId w:val="354"/>
  </w:num>
  <w:num w:numId="301" w16cid:durableId="787704714">
    <w:abstractNumId w:val="300"/>
  </w:num>
  <w:num w:numId="302" w16cid:durableId="1858234758">
    <w:abstractNumId w:val="182"/>
  </w:num>
  <w:num w:numId="303" w16cid:durableId="587424144">
    <w:abstractNumId w:val="212"/>
  </w:num>
  <w:num w:numId="304" w16cid:durableId="436752886">
    <w:abstractNumId w:val="170"/>
  </w:num>
  <w:num w:numId="305" w16cid:durableId="5447081">
    <w:abstractNumId w:val="384"/>
  </w:num>
  <w:num w:numId="306" w16cid:durableId="1059666120">
    <w:abstractNumId w:val="100"/>
  </w:num>
  <w:num w:numId="307" w16cid:durableId="1128741302">
    <w:abstractNumId w:val="174"/>
  </w:num>
  <w:num w:numId="308" w16cid:durableId="1746759411">
    <w:abstractNumId w:val="293"/>
  </w:num>
  <w:num w:numId="309" w16cid:durableId="650063455">
    <w:abstractNumId w:val="346"/>
  </w:num>
  <w:num w:numId="310" w16cid:durableId="1795321756">
    <w:abstractNumId w:val="231"/>
  </w:num>
  <w:num w:numId="311" w16cid:durableId="43023503">
    <w:abstractNumId w:val="256"/>
  </w:num>
  <w:num w:numId="312" w16cid:durableId="1643657724">
    <w:abstractNumId w:val="386"/>
  </w:num>
  <w:num w:numId="313" w16cid:durableId="1866751812">
    <w:abstractNumId w:val="121"/>
  </w:num>
  <w:num w:numId="314" w16cid:durableId="1058284095">
    <w:abstractNumId w:val="281"/>
  </w:num>
  <w:num w:numId="315" w16cid:durableId="1764915122">
    <w:abstractNumId w:val="159"/>
  </w:num>
  <w:num w:numId="316" w16cid:durableId="786000904">
    <w:abstractNumId w:val="93"/>
  </w:num>
  <w:num w:numId="317" w16cid:durableId="1439257749">
    <w:abstractNumId w:val="115"/>
  </w:num>
  <w:num w:numId="318" w16cid:durableId="225917167">
    <w:abstractNumId w:val="278"/>
  </w:num>
  <w:num w:numId="319" w16cid:durableId="2065255278">
    <w:abstractNumId w:val="65"/>
  </w:num>
  <w:num w:numId="320" w16cid:durableId="1904757677">
    <w:abstractNumId w:val="321"/>
  </w:num>
  <w:num w:numId="321" w16cid:durableId="1277912239">
    <w:abstractNumId w:val="252"/>
  </w:num>
  <w:num w:numId="322" w16cid:durableId="1824663489">
    <w:abstractNumId w:val="218"/>
  </w:num>
  <w:num w:numId="323" w16cid:durableId="873611683">
    <w:abstractNumId w:val="269"/>
  </w:num>
  <w:num w:numId="324" w16cid:durableId="1467356008">
    <w:abstractNumId w:val="127"/>
  </w:num>
  <w:num w:numId="325" w16cid:durableId="332225757">
    <w:abstractNumId w:val="280"/>
  </w:num>
  <w:num w:numId="326" w16cid:durableId="1260138665">
    <w:abstractNumId w:val="52"/>
  </w:num>
  <w:num w:numId="327" w16cid:durableId="674192996">
    <w:abstractNumId w:val="290"/>
  </w:num>
  <w:num w:numId="328" w16cid:durableId="82920778">
    <w:abstractNumId w:val="261"/>
  </w:num>
  <w:num w:numId="329" w16cid:durableId="861935015">
    <w:abstractNumId w:val="330"/>
  </w:num>
  <w:num w:numId="330" w16cid:durableId="1962608757">
    <w:abstractNumId w:val="111"/>
  </w:num>
  <w:num w:numId="331" w16cid:durableId="1886138119">
    <w:abstractNumId w:val="267"/>
  </w:num>
  <w:num w:numId="332" w16cid:durableId="379328773">
    <w:abstractNumId w:val="41"/>
  </w:num>
  <w:num w:numId="333" w16cid:durableId="1815248452">
    <w:abstractNumId w:val="7"/>
  </w:num>
  <w:num w:numId="334" w16cid:durableId="1050181555">
    <w:abstractNumId w:val="325"/>
  </w:num>
  <w:num w:numId="335" w16cid:durableId="678123174">
    <w:abstractNumId w:val="296"/>
  </w:num>
  <w:num w:numId="336" w16cid:durableId="246429068">
    <w:abstractNumId w:val="351"/>
  </w:num>
  <w:num w:numId="337" w16cid:durableId="1309166208">
    <w:abstractNumId w:val="302"/>
  </w:num>
  <w:num w:numId="338" w16cid:durableId="725222307">
    <w:abstractNumId w:val="102"/>
  </w:num>
  <w:num w:numId="339" w16cid:durableId="1826163379">
    <w:abstractNumId w:val="128"/>
  </w:num>
  <w:num w:numId="340" w16cid:durableId="1291282302">
    <w:abstractNumId w:val="175"/>
  </w:num>
  <w:num w:numId="341" w16cid:durableId="135879681">
    <w:abstractNumId w:val="268"/>
  </w:num>
  <w:num w:numId="342" w16cid:durableId="463471355">
    <w:abstractNumId w:val="355"/>
  </w:num>
  <w:num w:numId="343" w16cid:durableId="414403308">
    <w:abstractNumId w:val="29"/>
  </w:num>
  <w:num w:numId="344" w16cid:durableId="1848447210">
    <w:abstractNumId w:val="13"/>
  </w:num>
  <w:num w:numId="345" w16cid:durableId="1369406898">
    <w:abstractNumId w:val="305"/>
  </w:num>
  <w:num w:numId="346" w16cid:durableId="734665271">
    <w:abstractNumId w:val="366"/>
  </w:num>
  <w:num w:numId="347" w16cid:durableId="2129160205">
    <w:abstractNumId w:val="57"/>
  </w:num>
  <w:num w:numId="348" w16cid:durableId="1800342034">
    <w:abstractNumId w:val="167"/>
  </w:num>
  <w:num w:numId="349" w16cid:durableId="313147846">
    <w:abstractNumId w:val="361"/>
  </w:num>
  <w:num w:numId="350" w16cid:durableId="1354114109">
    <w:abstractNumId w:val="6"/>
  </w:num>
  <w:num w:numId="351" w16cid:durableId="254559682">
    <w:abstractNumId w:val="348"/>
  </w:num>
  <w:num w:numId="352" w16cid:durableId="1403721996">
    <w:abstractNumId w:val="86"/>
  </w:num>
  <w:num w:numId="353" w16cid:durableId="964963114">
    <w:abstractNumId w:val="69"/>
  </w:num>
  <w:num w:numId="354" w16cid:durableId="1373193936">
    <w:abstractNumId w:val="332"/>
  </w:num>
  <w:num w:numId="355" w16cid:durableId="858129759">
    <w:abstractNumId w:val="237"/>
  </w:num>
  <w:num w:numId="356" w16cid:durableId="169024109">
    <w:abstractNumId w:val="364"/>
  </w:num>
  <w:num w:numId="357" w16cid:durableId="1596202956">
    <w:abstractNumId w:val="78"/>
  </w:num>
  <w:num w:numId="358" w16cid:durableId="2047900128">
    <w:abstractNumId w:val="247"/>
  </w:num>
  <w:num w:numId="359" w16cid:durableId="1647541816">
    <w:abstractNumId w:val="0"/>
  </w:num>
  <w:num w:numId="360" w16cid:durableId="1942179505">
    <w:abstractNumId w:val="367"/>
  </w:num>
  <w:num w:numId="361" w16cid:durableId="676659966">
    <w:abstractNumId w:val="196"/>
  </w:num>
  <w:num w:numId="362" w16cid:durableId="1437478721">
    <w:abstractNumId w:val="28"/>
  </w:num>
  <w:num w:numId="363" w16cid:durableId="813135119">
    <w:abstractNumId w:val="106"/>
  </w:num>
  <w:num w:numId="364" w16cid:durableId="880088920">
    <w:abstractNumId w:val="232"/>
  </w:num>
  <w:num w:numId="365" w16cid:durableId="683896577">
    <w:abstractNumId w:val="335"/>
  </w:num>
  <w:num w:numId="366" w16cid:durableId="685981210">
    <w:abstractNumId w:val="122"/>
  </w:num>
  <w:num w:numId="367" w16cid:durableId="1121997583">
    <w:abstractNumId w:val="83"/>
  </w:num>
  <w:num w:numId="368" w16cid:durableId="530722945">
    <w:abstractNumId w:val="350"/>
  </w:num>
  <w:num w:numId="369" w16cid:durableId="817112192">
    <w:abstractNumId w:val="383"/>
  </w:num>
  <w:num w:numId="370" w16cid:durableId="1882553517">
    <w:abstractNumId w:val="273"/>
  </w:num>
  <w:num w:numId="371" w16cid:durableId="1384215865">
    <w:abstractNumId w:val="246"/>
  </w:num>
  <w:num w:numId="372" w16cid:durableId="1936865645">
    <w:abstractNumId w:val="214"/>
  </w:num>
  <w:num w:numId="373" w16cid:durableId="989670573">
    <w:abstractNumId w:val="89"/>
  </w:num>
  <w:num w:numId="374" w16cid:durableId="2034114236">
    <w:abstractNumId w:val="270"/>
  </w:num>
  <w:num w:numId="375" w16cid:durableId="161315311">
    <w:abstractNumId w:val="74"/>
  </w:num>
  <w:num w:numId="376" w16cid:durableId="1266116473">
    <w:abstractNumId w:val="253"/>
  </w:num>
  <w:num w:numId="377" w16cid:durableId="1898780918">
    <w:abstractNumId w:val="264"/>
  </w:num>
  <w:num w:numId="378" w16cid:durableId="1634864079">
    <w:abstractNumId w:val="145"/>
  </w:num>
  <w:num w:numId="379" w16cid:durableId="634918451">
    <w:abstractNumId w:val="298"/>
  </w:num>
  <w:num w:numId="380" w16cid:durableId="424573843">
    <w:abstractNumId w:val="39"/>
  </w:num>
  <w:num w:numId="381" w16cid:durableId="1346516364">
    <w:abstractNumId w:val="185"/>
  </w:num>
  <w:num w:numId="382" w16cid:durableId="331682417">
    <w:abstractNumId w:val="372"/>
  </w:num>
  <w:num w:numId="383" w16cid:durableId="1329210684">
    <w:abstractNumId w:val="96"/>
  </w:num>
  <w:num w:numId="384" w16cid:durableId="1683623430">
    <w:abstractNumId w:val="199"/>
  </w:num>
  <w:num w:numId="385" w16cid:durableId="1573196507">
    <w:abstractNumId w:val="48"/>
  </w:num>
  <w:num w:numId="386" w16cid:durableId="985552663">
    <w:abstractNumId w:val="219"/>
  </w:num>
  <w:num w:numId="387" w16cid:durableId="1044209967">
    <w:abstractNumId w:val="84"/>
  </w:num>
  <w:num w:numId="388" w16cid:durableId="484667148">
    <w:abstractNumId w:val="304"/>
  </w:num>
  <w:num w:numId="389" w16cid:durableId="1814133434">
    <w:abstractNumId w:val="60"/>
  </w:num>
  <w:num w:numId="390" w16cid:durableId="1065223960">
    <w:abstractNumId w:val="158"/>
  </w:num>
  <w:num w:numId="391" w16cid:durableId="1868903670">
    <w:abstractNumId w:val="161"/>
  </w:num>
  <w:num w:numId="392" w16cid:durableId="45030776">
    <w:abstractNumId w:val="376"/>
  </w:num>
  <w:num w:numId="393" w16cid:durableId="351881166">
    <w:abstractNumId w:val="95"/>
  </w:num>
  <w:num w:numId="394" w16cid:durableId="1644501717">
    <w:abstractNumId w:val="299"/>
  </w:num>
  <w:numIdMacAtCleanup w:val="3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837"/>
    <w:rsid w:val="000005E9"/>
    <w:rsid w:val="00000ED0"/>
    <w:rsid w:val="00000F44"/>
    <w:rsid w:val="00001313"/>
    <w:rsid w:val="00002277"/>
    <w:rsid w:val="000024F2"/>
    <w:rsid w:val="00002594"/>
    <w:rsid w:val="000026DA"/>
    <w:rsid w:val="000032A9"/>
    <w:rsid w:val="000032B0"/>
    <w:rsid w:val="0000339F"/>
    <w:rsid w:val="00003B89"/>
    <w:rsid w:val="00004C49"/>
    <w:rsid w:val="00005C63"/>
    <w:rsid w:val="000071FC"/>
    <w:rsid w:val="00007328"/>
    <w:rsid w:val="00007935"/>
    <w:rsid w:val="00007D90"/>
    <w:rsid w:val="00007FDF"/>
    <w:rsid w:val="000106BE"/>
    <w:rsid w:val="000109CC"/>
    <w:rsid w:val="00010C3D"/>
    <w:rsid w:val="000115EB"/>
    <w:rsid w:val="00011A21"/>
    <w:rsid w:val="00011C5C"/>
    <w:rsid w:val="00012319"/>
    <w:rsid w:val="000123C3"/>
    <w:rsid w:val="000123E5"/>
    <w:rsid w:val="000124CA"/>
    <w:rsid w:val="00012862"/>
    <w:rsid w:val="000128EA"/>
    <w:rsid w:val="00012C05"/>
    <w:rsid w:val="00012D1B"/>
    <w:rsid w:val="00014427"/>
    <w:rsid w:val="00014EF9"/>
    <w:rsid w:val="00015419"/>
    <w:rsid w:val="00015C04"/>
    <w:rsid w:val="00015E51"/>
    <w:rsid w:val="00016592"/>
    <w:rsid w:val="00016D24"/>
    <w:rsid w:val="00017F77"/>
    <w:rsid w:val="00020251"/>
    <w:rsid w:val="00020E3C"/>
    <w:rsid w:val="00020F6E"/>
    <w:rsid w:val="0002188E"/>
    <w:rsid w:val="00021F6A"/>
    <w:rsid w:val="00022AAD"/>
    <w:rsid w:val="00022BF0"/>
    <w:rsid w:val="00023DC3"/>
    <w:rsid w:val="00023ED8"/>
    <w:rsid w:val="0002416B"/>
    <w:rsid w:val="0002420A"/>
    <w:rsid w:val="00024856"/>
    <w:rsid w:val="00024CB3"/>
    <w:rsid w:val="000255E1"/>
    <w:rsid w:val="0002609D"/>
    <w:rsid w:val="00026F5A"/>
    <w:rsid w:val="000275CC"/>
    <w:rsid w:val="00027BA6"/>
    <w:rsid w:val="00030BC8"/>
    <w:rsid w:val="00030D3A"/>
    <w:rsid w:val="00031087"/>
    <w:rsid w:val="0003129D"/>
    <w:rsid w:val="00032183"/>
    <w:rsid w:val="00033102"/>
    <w:rsid w:val="00033930"/>
    <w:rsid w:val="000339D2"/>
    <w:rsid w:val="00033FDC"/>
    <w:rsid w:val="00033FE0"/>
    <w:rsid w:val="000350D9"/>
    <w:rsid w:val="000361B7"/>
    <w:rsid w:val="00036685"/>
    <w:rsid w:val="0003677A"/>
    <w:rsid w:val="000367CE"/>
    <w:rsid w:val="00036CAA"/>
    <w:rsid w:val="0003711C"/>
    <w:rsid w:val="000375BB"/>
    <w:rsid w:val="00037754"/>
    <w:rsid w:val="00037B2E"/>
    <w:rsid w:val="00037B3E"/>
    <w:rsid w:val="00037BA4"/>
    <w:rsid w:val="0004003D"/>
    <w:rsid w:val="00040103"/>
    <w:rsid w:val="0004042E"/>
    <w:rsid w:val="00040A23"/>
    <w:rsid w:val="000411E8"/>
    <w:rsid w:val="00041502"/>
    <w:rsid w:val="000420A1"/>
    <w:rsid w:val="00042AAB"/>
    <w:rsid w:val="00042D67"/>
    <w:rsid w:val="000447CA"/>
    <w:rsid w:val="00045A5E"/>
    <w:rsid w:val="0004606E"/>
    <w:rsid w:val="000465DE"/>
    <w:rsid w:val="0004665C"/>
    <w:rsid w:val="00046A27"/>
    <w:rsid w:val="000471A5"/>
    <w:rsid w:val="0004780C"/>
    <w:rsid w:val="00051133"/>
    <w:rsid w:val="0005284D"/>
    <w:rsid w:val="00052A69"/>
    <w:rsid w:val="00053040"/>
    <w:rsid w:val="00053AF5"/>
    <w:rsid w:val="000540B6"/>
    <w:rsid w:val="00054236"/>
    <w:rsid w:val="000543F3"/>
    <w:rsid w:val="00054A4F"/>
    <w:rsid w:val="00056872"/>
    <w:rsid w:val="00056A42"/>
    <w:rsid w:val="00057C58"/>
    <w:rsid w:val="00057D8B"/>
    <w:rsid w:val="00060090"/>
    <w:rsid w:val="00060199"/>
    <w:rsid w:val="000606B4"/>
    <w:rsid w:val="000607E8"/>
    <w:rsid w:val="00061D05"/>
    <w:rsid w:val="00061E53"/>
    <w:rsid w:val="000620E0"/>
    <w:rsid w:val="0006270D"/>
    <w:rsid w:val="00062AA2"/>
    <w:rsid w:val="00062C65"/>
    <w:rsid w:val="00063B08"/>
    <w:rsid w:val="00063F53"/>
    <w:rsid w:val="00064C03"/>
    <w:rsid w:val="00064C82"/>
    <w:rsid w:val="00065083"/>
    <w:rsid w:val="000662E0"/>
    <w:rsid w:val="000663FF"/>
    <w:rsid w:val="00067202"/>
    <w:rsid w:val="00067782"/>
    <w:rsid w:val="00067832"/>
    <w:rsid w:val="00067DDB"/>
    <w:rsid w:val="00070A9C"/>
    <w:rsid w:val="000714E7"/>
    <w:rsid w:val="000716EF"/>
    <w:rsid w:val="00071C70"/>
    <w:rsid w:val="0007216F"/>
    <w:rsid w:val="000735F1"/>
    <w:rsid w:val="0007484B"/>
    <w:rsid w:val="000749A5"/>
    <w:rsid w:val="00074C15"/>
    <w:rsid w:val="00075569"/>
    <w:rsid w:val="00075861"/>
    <w:rsid w:val="000758D1"/>
    <w:rsid w:val="000759B0"/>
    <w:rsid w:val="00075C87"/>
    <w:rsid w:val="00076A3B"/>
    <w:rsid w:val="00077560"/>
    <w:rsid w:val="000800D4"/>
    <w:rsid w:val="000808D9"/>
    <w:rsid w:val="000811B0"/>
    <w:rsid w:val="00081237"/>
    <w:rsid w:val="000812E9"/>
    <w:rsid w:val="00081DDC"/>
    <w:rsid w:val="00081EAE"/>
    <w:rsid w:val="00082366"/>
    <w:rsid w:val="00082C7F"/>
    <w:rsid w:val="00082D3B"/>
    <w:rsid w:val="00082ECE"/>
    <w:rsid w:val="00083228"/>
    <w:rsid w:val="00083320"/>
    <w:rsid w:val="0008340A"/>
    <w:rsid w:val="0008379F"/>
    <w:rsid w:val="00083A29"/>
    <w:rsid w:val="00083EF7"/>
    <w:rsid w:val="00084362"/>
    <w:rsid w:val="00084ABA"/>
    <w:rsid w:val="00084E15"/>
    <w:rsid w:val="000852BF"/>
    <w:rsid w:val="000853B4"/>
    <w:rsid w:val="00085A0E"/>
    <w:rsid w:val="0008607A"/>
    <w:rsid w:val="00086C68"/>
    <w:rsid w:val="00087361"/>
    <w:rsid w:val="00087474"/>
    <w:rsid w:val="00087D5C"/>
    <w:rsid w:val="0009024F"/>
    <w:rsid w:val="00090543"/>
    <w:rsid w:val="000905C1"/>
    <w:rsid w:val="00090A96"/>
    <w:rsid w:val="00091F56"/>
    <w:rsid w:val="0009371E"/>
    <w:rsid w:val="00093B4D"/>
    <w:rsid w:val="00093D3B"/>
    <w:rsid w:val="00094886"/>
    <w:rsid w:val="000948F6"/>
    <w:rsid w:val="00094CAD"/>
    <w:rsid w:val="00095701"/>
    <w:rsid w:val="00095BBA"/>
    <w:rsid w:val="00095F11"/>
    <w:rsid w:val="0009644F"/>
    <w:rsid w:val="00096475"/>
    <w:rsid w:val="0009753C"/>
    <w:rsid w:val="00097E77"/>
    <w:rsid w:val="000A01C2"/>
    <w:rsid w:val="000A069B"/>
    <w:rsid w:val="000A0BB9"/>
    <w:rsid w:val="000A144B"/>
    <w:rsid w:val="000A1A0B"/>
    <w:rsid w:val="000A1C9A"/>
    <w:rsid w:val="000A2179"/>
    <w:rsid w:val="000A318D"/>
    <w:rsid w:val="000A31CA"/>
    <w:rsid w:val="000A515A"/>
    <w:rsid w:val="000A56D0"/>
    <w:rsid w:val="000A56D7"/>
    <w:rsid w:val="000A58C8"/>
    <w:rsid w:val="000A5EE8"/>
    <w:rsid w:val="000A617B"/>
    <w:rsid w:val="000A72B1"/>
    <w:rsid w:val="000B01B9"/>
    <w:rsid w:val="000B0235"/>
    <w:rsid w:val="000B025E"/>
    <w:rsid w:val="000B0D2F"/>
    <w:rsid w:val="000B0DCD"/>
    <w:rsid w:val="000B2137"/>
    <w:rsid w:val="000B2E05"/>
    <w:rsid w:val="000B31B8"/>
    <w:rsid w:val="000B31F9"/>
    <w:rsid w:val="000B3D9D"/>
    <w:rsid w:val="000B4F46"/>
    <w:rsid w:val="000B5068"/>
    <w:rsid w:val="000B507F"/>
    <w:rsid w:val="000B5BF8"/>
    <w:rsid w:val="000B65F0"/>
    <w:rsid w:val="000B6AA8"/>
    <w:rsid w:val="000B701C"/>
    <w:rsid w:val="000B75CD"/>
    <w:rsid w:val="000B7E26"/>
    <w:rsid w:val="000C0462"/>
    <w:rsid w:val="000C07E6"/>
    <w:rsid w:val="000C1B98"/>
    <w:rsid w:val="000C237A"/>
    <w:rsid w:val="000C24DB"/>
    <w:rsid w:val="000C34A3"/>
    <w:rsid w:val="000C4C7C"/>
    <w:rsid w:val="000C50C7"/>
    <w:rsid w:val="000C73E3"/>
    <w:rsid w:val="000C78A5"/>
    <w:rsid w:val="000D0A37"/>
    <w:rsid w:val="000D1359"/>
    <w:rsid w:val="000D1F7E"/>
    <w:rsid w:val="000D2322"/>
    <w:rsid w:val="000D2A18"/>
    <w:rsid w:val="000D2CBD"/>
    <w:rsid w:val="000D32B5"/>
    <w:rsid w:val="000D375C"/>
    <w:rsid w:val="000D38DE"/>
    <w:rsid w:val="000D3A2E"/>
    <w:rsid w:val="000D3A3F"/>
    <w:rsid w:val="000D3F26"/>
    <w:rsid w:val="000D4BF1"/>
    <w:rsid w:val="000D50DA"/>
    <w:rsid w:val="000D534C"/>
    <w:rsid w:val="000D5B58"/>
    <w:rsid w:val="000D7A30"/>
    <w:rsid w:val="000D7D2D"/>
    <w:rsid w:val="000E07F5"/>
    <w:rsid w:val="000E096B"/>
    <w:rsid w:val="000E0A5F"/>
    <w:rsid w:val="000E0D18"/>
    <w:rsid w:val="000E1591"/>
    <w:rsid w:val="000E1B91"/>
    <w:rsid w:val="000E2286"/>
    <w:rsid w:val="000E37F7"/>
    <w:rsid w:val="000E3B3D"/>
    <w:rsid w:val="000E3EB6"/>
    <w:rsid w:val="000E42A5"/>
    <w:rsid w:val="000E45F7"/>
    <w:rsid w:val="000E4D46"/>
    <w:rsid w:val="000E507A"/>
    <w:rsid w:val="000E5311"/>
    <w:rsid w:val="000E66DA"/>
    <w:rsid w:val="000E688D"/>
    <w:rsid w:val="000E6D5F"/>
    <w:rsid w:val="000E7542"/>
    <w:rsid w:val="000E778B"/>
    <w:rsid w:val="000E7F65"/>
    <w:rsid w:val="000F1672"/>
    <w:rsid w:val="000F1B9B"/>
    <w:rsid w:val="000F1DDF"/>
    <w:rsid w:val="000F235A"/>
    <w:rsid w:val="000F2744"/>
    <w:rsid w:val="000F32C5"/>
    <w:rsid w:val="000F359B"/>
    <w:rsid w:val="000F38FD"/>
    <w:rsid w:val="000F3C65"/>
    <w:rsid w:val="000F3D91"/>
    <w:rsid w:val="000F44BC"/>
    <w:rsid w:val="000F4AFC"/>
    <w:rsid w:val="000F54F1"/>
    <w:rsid w:val="000F5A71"/>
    <w:rsid w:val="000F60A6"/>
    <w:rsid w:val="000F69D8"/>
    <w:rsid w:val="000F6F8D"/>
    <w:rsid w:val="000F7520"/>
    <w:rsid w:val="000F7BB4"/>
    <w:rsid w:val="001000DC"/>
    <w:rsid w:val="00100330"/>
    <w:rsid w:val="00100CF9"/>
    <w:rsid w:val="001012CC"/>
    <w:rsid w:val="001015D1"/>
    <w:rsid w:val="0010170C"/>
    <w:rsid w:val="001019CE"/>
    <w:rsid w:val="00101C9C"/>
    <w:rsid w:val="00101EC0"/>
    <w:rsid w:val="00102700"/>
    <w:rsid w:val="00103052"/>
    <w:rsid w:val="001035F5"/>
    <w:rsid w:val="001037B6"/>
    <w:rsid w:val="00103BD7"/>
    <w:rsid w:val="00104919"/>
    <w:rsid w:val="001057AD"/>
    <w:rsid w:val="00106B8C"/>
    <w:rsid w:val="00106E0C"/>
    <w:rsid w:val="0010754D"/>
    <w:rsid w:val="001077BA"/>
    <w:rsid w:val="00107882"/>
    <w:rsid w:val="0010799C"/>
    <w:rsid w:val="00107F27"/>
    <w:rsid w:val="00110609"/>
    <w:rsid w:val="001106D6"/>
    <w:rsid w:val="001109C7"/>
    <w:rsid w:val="0011216B"/>
    <w:rsid w:val="00114DE4"/>
    <w:rsid w:val="00116286"/>
    <w:rsid w:val="001165CC"/>
    <w:rsid w:val="00116687"/>
    <w:rsid w:val="00116854"/>
    <w:rsid w:val="001177CB"/>
    <w:rsid w:val="00120400"/>
    <w:rsid w:val="00120CE4"/>
    <w:rsid w:val="001213D8"/>
    <w:rsid w:val="00121424"/>
    <w:rsid w:val="001220C2"/>
    <w:rsid w:val="00122B8E"/>
    <w:rsid w:val="00122BED"/>
    <w:rsid w:val="00122CC2"/>
    <w:rsid w:val="00122DD6"/>
    <w:rsid w:val="001236E9"/>
    <w:rsid w:val="0012406E"/>
    <w:rsid w:val="001245C7"/>
    <w:rsid w:val="00124632"/>
    <w:rsid w:val="00124D73"/>
    <w:rsid w:val="001257D7"/>
    <w:rsid w:val="00125B10"/>
    <w:rsid w:val="00126509"/>
    <w:rsid w:val="00126838"/>
    <w:rsid w:val="00126BAD"/>
    <w:rsid w:val="00126C86"/>
    <w:rsid w:val="001275A6"/>
    <w:rsid w:val="00127654"/>
    <w:rsid w:val="001277CD"/>
    <w:rsid w:val="00127DE4"/>
    <w:rsid w:val="001302C7"/>
    <w:rsid w:val="001302E3"/>
    <w:rsid w:val="00130CD7"/>
    <w:rsid w:val="00131B72"/>
    <w:rsid w:val="00131D06"/>
    <w:rsid w:val="00131EFC"/>
    <w:rsid w:val="00132202"/>
    <w:rsid w:val="00132BE8"/>
    <w:rsid w:val="00132D2B"/>
    <w:rsid w:val="001336FB"/>
    <w:rsid w:val="001338DE"/>
    <w:rsid w:val="001345A2"/>
    <w:rsid w:val="001347BB"/>
    <w:rsid w:val="00134852"/>
    <w:rsid w:val="001356B6"/>
    <w:rsid w:val="001356C8"/>
    <w:rsid w:val="00136064"/>
    <w:rsid w:val="00136594"/>
    <w:rsid w:val="00136628"/>
    <w:rsid w:val="001373A7"/>
    <w:rsid w:val="00137673"/>
    <w:rsid w:val="001377BC"/>
    <w:rsid w:val="00137873"/>
    <w:rsid w:val="00137890"/>
    <w:rsid w:val="001409E8"/>
    <w:rsid w:val="00141603"/>
    <w:rsid w:val="00142C51"/>
    <w:rsid w:val="00143332"/>
    <w:rsid w:val="001437D1"/>
    <w:rsid w:val="001438A8"/>
    <w:rsid w:val="00143AB1"/>
    <w:rsid w:val="00143CCF"/>
    <w:rsid w:val="00145037"/>
    <w:rsid w:val="00145805"/>
    <w:rsid w:val="00145A4C"/>
    <w:rsid w:val="001461E0"/>
    <w:rsid w:val="00146AEF"/>
    <w:rsid w:val="00147089"/>
    <w:rsid w:val="001479E6"/>
    <w:rsid w:val="00147CD5"/>
    <w:rsid w:val="00150C39"/>
    <w:rsid w:val="0015118D"/>
    <w:rsid w:val="001512E7"/>
    <w:rsid w:val="001517E7"/>
    <w:rsid w:val="00151A37"/>
    <w:rsid w:val="0015227A"/>
    <w:rsid w:val="00152609"/>
    <w:rsid w:val="001533DB"/>
    <w:rsid w:val="001543D2"/>
    <w:rsid w:val="001558D9"/>
    <w:rsid w:val="001568F9"/>
    <w:rsid w:val="001573A4"/>
    <w:rsid w:val="00160DC8"/>
    <w:rsid w:val="0016126C"/>
    <w:rsid w:val="0016177D"/>
    <w:rsid w:val="00161EF5"/>
    <w:rsid w:val="001621AE"/>
    <w:rsid w:val="00162658"/>
    <w:rsid w:val="00162A7B"/>
    <w:rsid w:val="00162DE0"/>
    <w:rsid w:val="001630D1"/>
    <w:rsid w:val="001639D0"/>
    <w:rsid w:val="00163CA4"/>
    <w:rsid w:val="00163F59"/>
    <w:rsid w:val="00164823"/>
    <w:rsid w:val="00165056"/>
    <w:rsid w:val="00165C32"/>
    <w:rsid w:val="00165F5C"/>
    <w:rsid w:val="001674F3"/>
    <w:rsid w:val="00167764"/>
    <w:rsid w:val="0016791D"/>
    <w:rsid w:val="001703C2"/>
    <w:rsid w:val="001704B9"/>
    <w:rsid w:val="00170789"/>
    <w:rsid w:val="00170A9D"/>
    <w:rsid w:val="00170FD8"/>
    <w:rsid w:val="00171477"/>
    <w:rsid w:val="00171539"/>
    <w:rsid w:val="001716FF"/>
    <w:rsid w:val="00171AF9"/>
    <w:rsid w:val="00172C18"/>
    <w:rsid w:val="00172E03"/>
    <w:rsid w:val="001739F1"/>
    <w:rsid w:val="001743FA"/>
    <w:rsid w:val="00174872"/>
    <w:rsid w:val="00174DE4"/>
    <w:rsid w:val="00174E18"/>
    <w:rsid w:val="00175900"/>
    <w:rsid w:val="00175C2F"/>
    <w:rsid w:val="00175D40"/>
    <w:rsid w:val="001760A7"/>
    <w:rsid w:val="00176BFC"/>
    <w:rsid w:val="001770A9"/>
    <w:rsid w:val="00177166"/>
    <w:rsid w:val="001774D8"/>
    <w:rsid w:val="001779D6"/>
    <w:rsid w:val="001804D4"/>
    <w:rsid w:val="0018075D"/>
    <w:rsid w:val="00181466"/>
    <w:rsid w:val="00181DE7"/>
    <w:rsid w:val="0018227C"/>
    <w:rsid w:val="00182A46"/>
    <w:rsid w:val="00183086"/>
    <w:rsid w:val="0018331B"/>
    <w:rsid w:val="00183721"/>
    <w:rsid w:val="001839AE"/>
    <w:rsid w:val="00183BB2"/>
    <w:rsid w:val="00183D0D"/>
    <w:rsid w:val="00184119"/>
    <w:rsid w:val="001841C2"/>
    <w:rsid w:val="00185783"/>
    <w:rsid w:val="00185F93"/>
    <w:rsid w:val="00186473"/>
    <w:rsid w:val="0018654F"/>
    <w:rsid w:val="00186AAF"/>
    <w:rsid w:val="001878A4"/>
    <w:rsid w:val="0018792A"/>
    <w:rsid w:val="00190028"/>
    <w:rsid w:val="00190389"/>
    <w:rsid w:val="001909D1"/>
    <w:rsid w:val="00190F62"/>
    <w:rsid w:val="00191765"/>
    <w:rsid w:val="0019227B"/>
    <w:rsid w:val="00193119"/>
    <w:rsid w:val="00193284"/>
    <w:rsid w:val="00193309"/>
    <w:rsid w:val="00193C63"/>
    <w:rsid w:val="00194712"/>
    <w:rsid w:val="001947EA"/>
    <w:rsid w:val="00194C6A"/>
    <w:rsid w:val="0019548A"/>
    <w:rsid w:val="00196772"/>
    <w:rsid w:val="001968F2"/>
    <w:rsid w:val="001969B6"/>
    <w:rsid w:val="00197D3E"/>
    <w:rsid w:val="001A0164"/>
    <w:rsid w:val="001A01F6"/>
    <w:rsid w:val="001A0C1E"/>
    <w:rsid w:val="001A11CA"/>
    <w:rsid w:val="001A1269"/>
    <w:rsid w:val="001A12BE"/>
    <w:rsid w:val="001A14B0"/>
    <w:rsid w:val="001A15ED"/>
    <w:rsid w:val="001A1EBE"/>
    <w:rsid w:val="001A2C49"/>
    <w:rsid w:val="001A30F8"/>
    <w:rsid w:val="001A32F6"/>
    <w:rsid w:val="001A3B69"/>
    <w:rsid w:val="001A3BFC"/>
    <w:rsid w:val="001A47C5"/>
    <w:rsid w:val="001A51EE"/>
    <w:rsid w:val="001A5A1F"/>
    <w:rsid w:val="001A5EDD"/>
    <w:rsid w:val="001A68E1"/>
    <w:rsid w:val="001A7A47"/>
    <w:rsid w:val="001B0A51"/>
    <w:rsid w:val="001B0F28"/>
    <w:rsid w:val="001B1166"/>
    <w:rsid w:val="001B14F5"/>
    <w:rsid w:val="001B196B"/>
    <w:rsid w:val="001B203E"/>
    <w:rsid w:val="001B223C"/>
    <w:rsid w:val="001B2727"/>
    <w:rsid w:val="001B2940"/>
    <w:rsid w:val="001B3418"/>
    <w:rsid w:val="001B36C6"/>
    <w:rsid w:val="001B3786"/>
    <w:rsid w:val="001B3A11"/>
    <w:rsid w:val="001B4DEF"/>
    <w:rsid w:val="001B4E15"/>
    <w:rsid w:val="001B5662"/>
    <w:rsid w:val="001B58B3"/>
    <w:rsid w:val="001B6A1E"/>
    <w:rsid w:val="001B716F"/>
    <w:rsid w:val="001B720A"/>
    <w:rsid w:val="001C0370"/>
    <w:rsid w:val="001C05F6"/>
    <w:rsid w:val="001C072E"/>
    <w:rsid w:val="001C0D3B"/>
    <w:rsid w:val="001C256D"/>
    <w:rsid w:val="001C2A13"/>
    <w:rsid w:val="001C2E57"/>
    <w:rsid w:val="001C3010"/>
    <w:rsid w:val="001C357B"/>
    <w:rsid w:val="001C41BA"/>
    <w:rsid w:val="001C4983"/>
    <w:rsid w:val="001C4CFD"/>
    <w:rsid w:val="001C4F6D"/>
    <w:rsid w:val="001C52F4"/>
    <w:rsid w:val="001C5363"/>
    <w:rsid w:val="001C71C2"/>
    <w:rsid w:val="001C7579"/>
    <w:rsid w:val="001C7593"/>
    <w:rsid w:val="001C7722"/>
    <w:rsid w:val="001D25B0"/>
    <w:rsid w:val="001D2C19"/>
    <w:rsid w:val="001D42A5"/>
    <w:rsid w:val="001D4AC9"/>
    <w:rsid w:val="001D4C46"/>
    <w:rsid w:val="001D4FB2"/>
    <w:rsid w:val="001D5506"/>
    <w:rsid w:val="001D58CA"/>
    <w:rsid w:val="001D64D8"/>
    <w:rsid w:val="001D6782"/>
    <w:rsid w:val="001D681F"/>
    <w:rsid w:val="001D6E4A"/>
    <w:rsid w:val="001D7014"/>
    <w:rsid w:val="001E0B6B"/>
    <w:rsid w:val="001E1066"/>
    <w:rsid w:val="001E13A6"/>
    <w:rsid w:val="001E14C4"/>
    <w:rsid w:val="001E2CB2"/>
    <w:rsid w:val="001E2E8B"/>
    <w:rsid w:val="001E339B"/>
    <w:rsid w:val="001E3C71"/>
    <w:rsid w:val="001E3DD8"/>
    <w:rsid w:val="001E49C4"/>
    <w:rsid w:val="001E53B8"/>
    <w:rsid w:val="001E5C86"/>
    <w:rsid w:val="001E611A"/>
    <w:rsid w:val="001E6C9A"/>
    <w:rsid w:val="001E72FC"/>
    <w:rsid w:val="001F0542"/>
    <w:rsid w:val="001F1206"/>
    <w:rsid w:val="001F122D"/>
    <w:rsid w:val="001F1619"/>
    <w:rsid w:val="001F1D01"/>
    <w:rsid w:val="001F2048"/>
    <w:rsid w:val="001F29FB"/>
    <w:rsid w:val="001F39D3"/>
    <w:rsid w:val="001F4B3D"/>
    <w:rsid w:val="001F4ECB"/>
    <w:rsid w:val="001F5295"/>
    <w:rsid w:val="001F5766"/>
    <w:rsid w:val="001F5B4D"/>
    <w:rsid w:val="001F5D6B"/>
    <w:rsid w:val="001F5E88"/>
    <w:rsid w:val="001F728F"/>
    <w:rsid w:val="001F7FA8"/>
    <w:rsid w:val="00200367"/>
    <w:rsid w:val="002003A0"/>
    <w:rsid w:val="0020285D"/>
    <w:rsid w:val="00203265"/>
    <w:rsid w:val="00203E92"/>
    <w:rsid w:val="0020406D"/>
    <w:rsid w:val="00204445"/>
    <w:rsid w:val="00204573"/>
    <w:rsid w:val="00205D98"/>
    <w:rsid w:val="0020638E"/>
    <w:rsid w:val="00207686"/>
    <w:rsid w:val="002077E5"/>
    <w:rsid w:val="00207A50"/>
    <w:rsid w:val="00210FEA"/>
    <w:rsid w:val="00211171"/>
    <w:rsid w:val="002113FF"/>
    <w:rsid w:val="00211F36"/>
    <w:rsid w:val="00212CBB"/>
    <w:rsid w:val="00212F25"/>
    <w:rsid w:val="00214C9D"/>
    <w:rsid w:val="00215439"/>
    <w:rsid w:val="0021547A"/>
    <w:rsid w:val="00215F98"/>
    <w:rsid w:val="00216BD3"/>
    <w:rsid w:val="00216E2F"/>
    <w:rsid w:val="002171F8"/>
    <w:rsid w:val="0021731E"/>
    <w:rsid w:val="0021743C"/>
    <w:rsid w:val="00217DCF"/>
    <w:rsid w:val="002201FB"/>
    <w:rsid w:val="002208BE"/>
    <w:rsid w:val="00220B40"/>
    <w:rsid w:val="00221AE3"/>
    <w:rsid w:val="00221F22"/>
    <w:rsid w:val="0022205B"/>
    <w:rsid w:val="00222651"/>
    <w:rsid w:val="00222E0D"/>
    <w:rsid w:val="002243F1"/>
    <w:rsid w:val="002250D8"/>
    <w:rsid w:val="002253B9"/>
    <w:rsid w:val="00225BB2"/>
    <w:rsid w:val="0022640B"/>
    <w:rsid w:val="00226A99"/>
    <w:rsid w:val="00226B94"/>
    <w:rsid w:val="00226DDB"/>
    <w:rsid w:val="00226EEC"/>
    <w:rsid w:val="002308D8"/>
    <w:rsid w:val="002314C0"/>
    <w:rsid w:val="00231A34"/>
    <w:rsid w:val="00231DC7"/>
    <w:rsid w:val="002323C2"/>
    <w:rsid w:val="00232EC9"/>
    <w:rsid w:val="00232FC6"/>
    <w:rsid w:val="00233729"/>
    <w:rsid w:val="00233EA4"/>
    <w:rsid w:val="0023416B"/>
    <w:rsid w:val="00235111"/>
    <w:rsid w:val="0023556C"/>
    <w:rsid w:val="002355BC"/>
    <w:rsid w:val="00235B8A"/>
    <w:rsid w:val="00236C3D"/>
    <w:rsid w:val="00236F84"/>
    <w:rsid w:val="002376D7"/>
    <w:rsid w:val="00237D76"/>
    <w:rsid w:val="002403CB"/>
    <w:rsid w:val="0024147A"/>
    <w:rsid w:val="002415F6"/>
    <w:rsid w:val="002419B2"/>
    <w:rsid w:val="00242096"/>
    <w:rsid w:val="0024215D"/>
    <w:rsid w:val="002429E0"/>
    <w:rsid w:val="00242E0B"/>
    <w:rsid w:val="002430A6"/>
    <w:rsid w:val="00243FEA"/>
    <w:rsid w:val="0024442A"/>
    <w:rsid w:val="00244DBD"/>
    <w:rsid w:val="00244E0D"/>
    <w:rsid w:val="00245E02"/>
    <w:rsid w:val="00246975"/>
    <w:rsid w:val="00247030"/>
    <w:rsid w:val="00247318"/>
    <w:rsid w:val="00247CC2"/>
    <w:rsid w:val="00247F5A"/>
    <w:rsid w:val="00250155"/>
    <w:rsid w:val="002513CC"/>
    <w:rsid w:val="002518C2"/>
    <w:rsid w:val="00252824"/>
    <w:rsid w:val="00252D26"/>
    <w:rsid w:val="00253929"/>
    <w:rsid w:val="00253BF8"/>
    <w:rsid w:val="00254208"/>
    <w:rsid w:val="00254AD7"/>
    <w:rsid w:val="00254EE5"/>
    <w:rsid w:val="0025538D"/>
    <w:rsid w:val="00255768"/>
    <w:rsid w:val="002558FC"/>
    <w:rsid w:val="002575D9"/>
    <w:rsid w:val="002579BF"/>
    <w:rsid w:val="002605A4"/>
    <w:rsid w:val="00260771"/>
    <w:rsid w:val="00262A0A"/>
    <w:rsid w:val="00262B69"/>
    <w:rsid w:val="00263588"/>
    <w:rsid w:val="00263E28"/>
    <w:rsid w:val="00263EF4"/>
    <w:rsid w:val="00263F59"/>
    <w:rsid w:val="00264261"/>
    <w:rsid w:val="002648B6"/>
    <w:rsid w:val="00264D69"/>
    <w:rsid w:val="00265BB0"/>
    <w:rsid w:val="00266968"/>
    <w:rsid w:val="0026700F"/>
    <w:rsid w:val="002672F8"/>
    <w:rsid w:val="00267BA0"/>
    <w:rsid w:val="00270F75"/>
    <w:rsid w:val="002711EB"/>
    <w:rsid w:val="00271AD9"/>
    <w:rsid w:val="002724E7"/>
    <w:rsid w:val="00272847"/>
    <w:rsid w:val="00272D79"/>
    <w:rsid w:val="00272FB0"/>
    <w:rsid w:val="0027321B"/>
    <w:rsid w:val="00273618"/>
    <w:rsid w:val="0027362D"/>
    <w:rsid w:val="00273B1F"/>
    <w:rsid w:val="0027436C"/>
    <w:rsid w:val="002747A3"/>
    <w:rsid w:val="00274F30"/>
    <w:rsid w:val="00275006"/>
    <w:rsid w:val="002752F1"/>
    <w:rsid w:val="0027552A"/>
    <w:rsid w:val="002760F9"/>
    <w:rsid w:val="00276170"/>
    <w:rsid w:val="00276532"/>
    <w:rsid w:val="0027662E"/>
    <w:rsid w:val="00276F87"/>
    <w:rsid w:val="0027706D"/>
    <w:rsid w:val="00277C2E"/>
    <w:rsid w:val="002809E0"/>
    <w:rsid w:val="00280BEB"/>
    <w:rsid w:val="00280CC4"/>
    <w:rsid w:val="00280E44"/>
    <w:rsid w:val="00281FEA"/>
    <w:rsid w:val="00282712"/>
    <w:rsid w:val="00282AF5"/>
    <w:rsid w:val="00282C6F"/>
    <w:rsid w:val="002831AE"/>
    <w:rsid w:val="00283434"/>
    <w:rsid w:val="00283CC6"/>
    <w:rsid w:val="00283DFD"/>
    <w:rsid w:val="00283E3F"/>
    <w:rsid w:val="002846D7"/>
    <w:rsid w:val="00284AAC"/>
    <w:rsid w:val="002850DF"/>
    <w:rsid w:val="00285BC7"/>
    <w:rsid w:val="002866EF"/>
    <w:rsid w:val="00287238"/>
    <w:rsid w:val="0028763B"/>
    <w:rsid w:val="0028773A"/>
    <w:rsid w:val="00291935"/>
    <w:rsid w:val="00291A31"/>
    <w:rsid w:val="002928C3"/>
    <w:rsid w:val="002929F1"/>
    <w:rsid w:val="00293A33"/>
    <w:rsid w:val="0029431A"/>
    <w:rsid w:val="00294349"/>
    <w:rsid w:val="00294863"/>
    <w:rsid w:val="00295469"/>
    <w:rsid w:val="00295930"/>
    <w:rsid w:val="00295D3F"/>
    <w:rsid w:val="00295F3C"/>
    <w:rsid w:val="002A001B"/>
    <w:rsid w:val="002A0FC7"/>
    <w:rsid w:val="002A20BE"/>
    <w:rsid w:val="002A2692"/>
    <w:rsid w:val="002A39B7"/>
    <w:rsid w:val="002A39C8"/>
    <w:rsid w:val="002A3B48"/>
    <w:rsid w:val="002A43CA"/>
    <w:rsid w:val="002A48D6"/>
    <w:rsid w:val="002A4D86"/>
    <w:rsid w:val="002A52E4"/>
    <w:rsid w:val="002A646F"/>
    <w:rsid w:val="002A6911"/>
    <w:rsid w:val="002A7830"/>
    <w:rsid w:val="002A7873"/>
    <w:rsid w:val="002A7CD8"/>
    <w:rsid w:val="002A7E73"/>
    <w:rsid w:val="002B08F4"/>
    <w:rsid w:val="002B0ABE"/>
    <w:rsid w:val="002B15A2"/>
    <w:rsid w:val="002B1A0E"/>
    <w:rsid w:val="002B1D29"/>
    <w:rsid w:val="002B2A0F"/>
    <w:rsid w:val="002B2DB1"/>
    <w:rsid w:val="002B2EB1"/>
    <w:rsid w:val="002B3F94"/>
    <w:rsid w:val="002B4292"/>
    <w:rsid w:val="002B4933"/>
    <w:rsid w:val="002B49AE"/>
    <w:rsid w:val="002B4FE0"/>
    <w:rsid w:val="002B549C"/>
    <w:rsid w:val="002B5518"/>
    <w:rsid w:val="002B62F5"/>
    <w:rsid w:val="002B6AC7"/>
    <w:rsid w:val="002B78E1"/>
    <w:rsid w:val="002B7E66"/>
    <w:rsid w:val="002C070D"/>
    <w:rsid w:val="002C09A3"/>
    <w:rsid w:val="002C0A96"/>
    <w:rsid w:val="002C1DE3"/>
    <w:rsid w:val="002C24E5"/>
    <w:rsid w:val="002C3CE1"/>
    <w:rsid w:val="002C3E00"/>
    <w:rsid w:val="002C4B19"/>
    <w:rsid w:val="002C51B9"/>
    <w:rsid w:val="002C5283"/>
    <w:rsid w:val="002C530D"/>
    <w:rsid w:val="002C5568"/>
    <w:rsid w:val="002C5A19"/>
    <w:rsid w:val="002C5D0F"/>
    <w:rsid w:val="002C75C3"/>
    <w:rsid w:val="002C776A"/>
    <w:rsid w:val="002C7E16"/>
    <w:rsid w:val="002D00A7"/>
    <w:rsid w:val="002D0973"/>
    <w:rsid w:val="002D0E11"/>
    <w:rsid w:val="002D2782"/>
    <w:rsid w:val="002D2B91"/>
    <w:rsid w:val="002D2E81"/>
    <w:rsid w:val="002D38F3"/>
    <w:rsid w:val="002D3B1B"/>
    <w:rsid w:val="002D4089"/>
    <w:rsid w:val="002D41C6"/>
    <w:rsid w:val="002D41E0"/>
    <w:rsid w:val="002D51A6"/>
    <w:rsid w:val="002D536D"/>
    <w:rsid w:val="002D54C4"/>
    <w:rsid w:val="002D5527"/>
    <w:rsid w:val="002D5557"/>
    <w:rsid w:val="002D5B3C"/>
    <w:rsid w:val="002D5BAC"/>
    <w:rsid w:val="002D5F36"/>
    <w:rsid w:val="002D6995"/>
    <w:rsid w:val="002D7365"/>
    <w:rsid w:val="002D75F6"/>
    <w:rsid w:val="002D7FE1"/>
    <w:rsid w:val="002E007F"/>
    <w:rsid w:val="002E03CB"/>
    <w:rsid w:val="002E0CB4"/>
    <w:rsid w:val="002E0D71"/>
    <w:rsid w:val="002E0D73"/>
    <w:rsid w:val="002E14E1"/>
    <w:rsid w:val="002E1CD4"/>
    <w:rsid w:val="002E2D01"/>
    <w:rsid w:val="002E2D52"/>
    <w:rsid w:val="002E32C8"/>
    <w:rsid w:val="002E3A8E"/>
    <w:rsid w:val="002E4099"/>
    <w:rsid w:val="002E456E"/>
    <w:rsid w:val="002E4628"/>
    <w:rsid w:val="002E7409"/>
    <w:rsid w:val="002E7432"/>
    <w:rsid w:val="002E7654"/>
    <w:rsid w:val="002E79A6"/>
    <w:rsid w:val="002F01AC"/>
    <w:rsid w:val="002F0248"/>
    <w:rsid w:val="002F0813"/>
    <w:rsid w:val="002F1957"/>
    <w:rsid w:val="002F2DAC"/>
    <w:rsid w:val="002F2FA9"/>
    <w:rsid w:val="002F3399"/>
    <w:rsid w:val="002F34F5"/>
    <w:rsid w:val="002F3798"/>
    <w:rsid w:val="002F39BB"/>
    <w:rsid w:val="002F433C"/>
    <w:rsid w:val="002F4EC7"/>
    <w:rsid w:val="002F5056"/>
    <w:rsid w:val="002F6259"/>
    <w:rsid w:val="002F65C2"/>
    <w:rsid w:val="002F678F"/>
    <w:rsid w:val="002F682C"/>
    <w:rsid w:val="002F688A"/>
    <w:rsid w:val="002F6AAC"/>
    <w:rsid w:val="002F6B86"/>
    <w:rsid w:val="002F6C4C"/>
    <w:rsid w:val="002F782E"/>
    <w:rsid w:val="002F7BD2"/>
    <w:rsid w:val="002F7DD9"/>
    <w:rsid w:val="002F7DDE"/>
    <w:rsid w:val="002F7EC6"/>
    <w:rsid w:val="0030132D"/>
    <w:rsid w:val="00301481"/>
    <w:rsid w:val="00302542"/>
    <w:rsid w:val="00302C2D"/>
    <w:rsid w:val="00302EF4"/>
    <w:rsid w:val="00304258"/>
    <w:rsid w:val="00304477"/>
    <w:rsid w:val="00304916"/>
    <w:rsid w:val="00304960"/>
    <w:rsid w:val="00304995"/>
    <w:rsid w:val="003052A9"/>
    <w:rsid w:val="003053B2"/>
    <w:rsid w:val="003057F6"/>
    <w:rsid w:val="00306211"/>
    <w:rsid w:val="0030635A"/>
    <w:rsid w:val="0030688C"/>
    <w:rsid w:val="00310B5D"/>
    <w:rsid w:val="00310DB0"/>
    <w:rsid w:val="00311F30"/>
    <w:rsid w:val="00312351"/>
    <w:rsid w:val="0031252C"/>
    <w:rsid w:val="003125C6"/>
    <w:rsid w:val="00312DA2"/>
    <w:rsid w:val="00313271"/>
    <w:rsid w:val="003157BC"/>
    <w:rsid w:val="00315937"/>
    <w:rsid w:val="00315A24"/>
    <w:rsid w:val="00316569"/>
    <w:rsid w:val="003168F6"/>
    <w:rsid w:val="003178B5"/>
    <w:rsid w:val="003178CD"/>
    <w:rsid w:val="00317A1D"/>
    <w:rsid w:val="00317E1B"/>
    <w:rsid w:val="003208DE"/>
    <w:rsid w:val="00320D51"/>
    <w:rsid w:val="00320F37"/>
    <w:rsid w:val="003213A2"/>
    <w:rsid w:val="00321AAC"/>
    <w:rsid w:val="00322636"/>
    <w:rsid w:val="00322860"/>
    <w:rsid w:val="00322F44"/>
    <w:rsid w:val="00323052"/>
    <w:rsid w:val="003237FC"/>
    <w:rsid w:val="003238A8"/>
    <w:rsid w:val="00323B1A"/>
    <w:rsid w:val="00323B50"/>
    <w:rsid w:val="003247B5"/>
    <w:rsid w:val="00324CF1"/>
    <w:rsid w:val="003254EE"/>
    <w:rsid w:val="00325AB9"/>
    <w:rsid w:val="00325F5B"/>
    <w:rsid w:val="00326594"/>
    <w:rsid w:val="00326F9A"/>
    <w:rsid w:val="00327364"/>
    <w:rsid w:val="00327519"/>
    <w:rsid w:val="00331448"/>
    <w:rsid w:val="003316CE"/>
    <w:rsid w:val="00332594"/>
    <w:rsid w:val="00333A85"/>
    <w:rsid w:val="00333B11"/>
    <w:rsid w:val="00333BD1"/>
    <w:rsid w:val="00334080"/>
    <w:rsid w:val="00334182"/>
    <w:rsid w:val="003348C2"/>
    <w:rsid w:val="00335039"/>
    <w:rsid w:val="00335974"/>
    <w:rsid w:val="00335B79"/>
    <w:rsid w:val="0033656F"/>
    <w:rsid w:val="00336787"/>
    <w:rsid w:val="0033785B"/>
    <w:rsid w:val="00337A4B"/>
    <w:rsid w:val="00340317"/>
    <w:rsid w:val="003409BC"/>
    <w:rsid w:val="00340B1E"/>
    <w:rsid w:val="00340B85"/>
    <w:rsid w:val="00340FEC"/>
    <w:rsid w:val="0034106E"/>
    <w:rsid w:val="0034128D"/>
    <w:rsid w:val="0034140D"/>
    <w:rsid w:val="0034194F"/>
    <w:rsid w:val="003420AD"/>
    <w:rsid w:val="00342683"/>
    <w:rsid w:val="003428E2"/>
    <w:rsid w:val="00343048"/>
    <w:rsid w:val="0034448B"/>
    <w:rsid w:val="003444EA"/>
    <w:rsid w:val="0034457C"/>
    <w:rsid w:val="003445EE"/>
    <w:rsid w:val="00345155"/>
    <w:rsid w:val="00345680"/>
    <w:rsid w:val="00345E2F"/>
    <w:rsid w:val="00346060"/>
    <w:rsid w:val="00346816"/>
    <w:rsid w:val="00346F49"/>
    <w:rsid w:val="003471DC"/>
    <w:rsid w:val="00347A20"/>
    <w:rsid w:val="00347EBC"/>
    <w:rsid w:val="003506D6"/>
    <w:rsid w:val="003509F0"/>
    <w:rsid w:val="00350A6B"/>
    <w:rsid w:val="00350B39"/>
    <w:rsid w:val="00350C97"/>
    <w:rsid w:val="00350D3B"/>
    <w:rsid w:val="00350D6C"/>
    <w:rsid w:val="00350E58"/>
    <w:rsid w:val="003514D5"/>
    <w:rsid w:val="00351C44"/>
    <w:rsid w:val="0035250A"/>
    <w:rsid w:val="003533BC"/>
    <w:rsid w:val="0035353F"/>
    <w:rsid w:val="00353C19"/>
    <w:rsid w:val="00353F70"/>
    <w:rsid w:val="0035415B"/>
    <w:rsid w:val="00354505"/>
    <w:rsid w:val="00354DBC"/>
    <w:rsid w:val="00354E25"/>
    <w:rsid w:val="003552FD"/>
    <w:rsid w:val="0035542F"/>
    <w:rsid w:val="003556ED"/>
    <w:rsid w:val="00356904"/>
    <w:rsid w:val="00357037"/>
    <w:rsid w:val="003576A3"/>
    <w:rsid w:val="0035791A"/>
    <w:rsid w:val="0035792D"/>
    <w:rsid w:val="00357D4F"/>
    <w:rsid w:val="003601D8"/>
    <w:rsid w:val="0036027E"/>
    <w:rsid w:val="00360343"/>
    <w:rsid w:val="0036055D"/>
    <w:rsid w:val="003608A1"/>
    <w:rsid w:val="00360A19"/>
    <w:rsid w:val="0036144A"/>
    <w:rsid w:val="00362291"/>
    <w:rsid w:val="00363099"/>
    <w:rsid w:val="00364693"/>
    <w:rsid w:val="00364726"/>
    <w:rsid w:val="00364D97"/>
    <w:rsid w:val="00364F75"/>
    <w:rsid w:val="003654BB"/>
    <w:rsid w:val="00365807"/>
    <w:rsid w:val="00366D49"/>
    <w:rsid w:val="0036716A"/>
    <w:rsid w:val="00367BE8"/>
    <w:rsid w:val="0037066C"/>
    <w:rsid w:val="00370DE7"/>
    <w:rsid w:val="003711D3"/>
    <w:rsid w:val="0037191F"/>
    <w:rsid w:val="00372D94"/>
    <w:rsid w:val="00373187"/>
    <w:rsid w:val="003733F2"/>
    <w:rsid w:val="003736C4"/>
    <w:rsid w:val="00373DD1"/>
    <w:rsid w:val="00373EF9"/>
    <w:rsid w:val="00373FFB"/>
    <w:rsid w:val="00374281"/>
    <w:rsid w:val="00376157"/>
    <w:rsid w:val="003762BA"/>
    <w:rsid w:val="003767A6"/>
    <w:rsid w:val="003768E4"/>
    <w:rsid w:val="00377974"/>
    <w:rsid w:val="00377997"/>
    <w:rsid w:val="00377C3F"/>
    <w:rsid w:val="0038000B"/>
    <w:rsid w:val="003809B3"/>
    <w:rsid w:val="00380B39"/>
    <w:rsid w:val="00380F63"/>
    <w:rsid w:val="003810AD"/>
    <w:rsid w:val="003815D0"/>
    <w:rsid w:val="00381691"/>
    <w:rsid w:val="003820F9"/>
    <w:rsid w:val="00382109"/>
    <w:rsid w:val="003823BC"/>
    <w:rsid w:val="00382C5F"/>
    <w:rsid w:val="00383073"/>
    <w:rsid w:val="0038361D"/>
    <w:rsid w:val="00383F74"/>
    <w:rsid w:val="00384225"/>
    <w:rsid w:val="003861A9"/>
    <w:rsid w:val="00386A0E"/>
    <w:rsid w:val="00390AFE"/>
    <w:rsid w:val="00390FBF"/>
    <w:rsid w:val="0039208B"/>
    <w:rsid w:val="00392C38"/>
    <w:rsid w:val="0039305B"/>
    <w:rsid w:val="00393687"/>
    <w:rsid w:val="003940B4"/>
    <w:rsid w:val="003940FC"/>
    <w:rsid w:val="0039426E"/>
    <w:rsid w:val="003942E7"/>
    <w:rsid w:val="003943F3"/>
    <w:rsid w:val="003957DC"/>
    <w:rsid w:val="003962EC"/>
    <w:rsid w:val="00396B0B"/>
    <w:rsid w:val="003A0A0F"/>
    <w:rsid w:val="003A0E1A"/>
    <w:rsid w:val="003A0E21"/>
    <w:rsid w:val="003A144F"/>
    <w:rsid w:val="003A1A0D"/>
    <w:rsid w:val="003A1FBD"/>
    <w:rsid w:val="003A2B8A"/>
    <w:rsid w:val="003A325B"/>
    <w:rsid w:val="003A35EE"/>
    <w:rsid w:val="003A37B3"/>
    <w:rsid w:val="003A449B"/>
    <w:rsid w:val="003A4F9F"/>
    <w:rsid w:val="003A519C"/>
    <w:rsid w:val="003A546D"/>
    <w:rsid w:val="003A5812"/>
    <w:rsid w:val="003A5F20"/>
    <w:rsid w:val="003A631C"/>
    <w:rsid w:val="003A7C04"/>
    <w:rsid w:val="003A7D4D"/>
    <w:rsid w:val="003B0537"/>
    <w:rsid w:val="003B07A1"/>
    <w:rsid w:val="003B0DE1"/>
    <w:rsid w:val="003B0F9E"/>
    <w:rsid w:val="003B14B5"/>
    <w:rsid w:val="003B18C7"/>
    <w:rsid w:val="003B24F2"/>
    <w:rsid w:val="003B25DC"/>
    <w:rsid w:val="003B2C6E"/>
    <w:rsid w:val="003B30FD"/>
    <w:rsid w:val="003B3973"/>
    <w:rsid w:val="003B5395"/>
    <w:rsid w:val="003B5637"/>
    <w:rsid w:val="003B5B6A"/>
    <w:rsid w:val="003B6211"/>
    <w:rsid w:val="003B62E9"/>
    <w:rsid w:val="003B66A4"/>
    <w:rsid w:val="003B6AF2"/>
    <w:rsid w:val="003B714F"/>
    <w:rsid w:val="003B77B6"/>
    <w:rsid w:val="003C0768"/>
    <w:rsid w:val="003C0B3D"/>
    <w:rsid w:val="003C1A5E"/>
    <w:rsid w:val="003C262A"/>
    <w:rsid w:val="003C2C55"/>
    <w:rsid w:val="003C3146"/>
    <w:rsid w:val="003C32D3"/>
    <w:rsid w:val="003C3D52"/>
    <w:rsid w:val="003C3EF2"/>
    <w:rsid w:val="003C3F55"/>
    <w:rsid w:val="003C413D"/>
    <w:rsid w:val="003C4302"/>
    <w:rsid w:val="003C4AE1"/>
    <w:rsid w:val="003C4CA1"/>
    <w:rsid w:val="003C5064"/>
    <w:rsid w:val="003C7732"/>
    <w:rsid w:val="003C777B"/>
    <w:rsid w:val="003C7E62"/>
    <w:rsid w:val="003D06DF"/>
    <w:rsid w:val="003D1372"/>
    <w:rsid w:val="003D200C"/>
    <w:rsid w:val="003D2A07"/>
    <w:rsid w:val="003D3F66"/>
    <w:rsid w:val="003D483E"/>
    <w:rsid w:val="003D4BD3"/>
    <w:rsid w:val="003D6096"/>
    <w:rsid w:val="003D6694"/>
    <w:rsid w:val="003D6C7E"/>
    <w:rsid w:val="003D7F3B"/>
    <w:rsid w:val="003E097C"/>
    <w:rsid w:val="003E0B72"/>
    <w:rsid w:val="003E14D3"/>
    <w:rsid w:val="003E1553"/>
    <w:rsid w:val="003E1F5A"/>
    <w:rsid w:val="003E1FF0"/>
    <w:rsid w:val="003E29BB"/>
    <w:rsid w:val="003E2B7C"/>
    <w:rsid w:val="003E3324"/>
    <w:rsid w:val="003E3494"/>
    <w:rsid w:val="003E39CE"/>
    <w:rsid w:val="003E3BD8"/>
    <w:rsid w:val="003E4BA7"/>
    <w:rsid w:val="003E5A5F"/>
    <w:rsid w:val="003E5B17"/>
    <w:rsid w:val="003E6203"/>
    <w:rsid w:val="003E63D9"/>
    <w:rsid w:val="003E70BC"/>
    <w:rsid w:val="003F10FA"/>
    <w:rsid w:val="003F17DD"/>
    <w:rsid w:val="003F182E"/>
    <w:rsid w:val="003F22C3"/>
    <w:rsid w:val="003F28A4"/>
    <w:rsid w:val="003F46AD"/>
    <w:rsid w:val="003F515A"/>
    <w:rsid w:val="003F5C36"/>
    <w:rsid w:val="003F7348"/>
    <w:rsid w:val="00400162"/>
    <w:rsid w:val="004001D4"/>
    <w:rsid w:val="00400B3D"/>
    <w:rsid w:val="00401534"/>
    <w:rsid w:val="00402072"/>
    <w:rsid w:val="004024BD"/>
    <w:rsid w:val="004024F3"/>
    <w:rsid w:val="00403031"/>
    <w:rsid w:val="0040335E"/>
    <w:rsid w:val="004036E3"/>
    <w:rsid w:val="0040372C"/>
    <w:rsid w:val="0040385F"/>
    <w:rsid w:val="00404E8A"/>
    <w:rsid w:val="00405C0A"/>
    <w:rsid w:val="00406091"/>
    <w:rsid w:val="0040622F"/>
    <w:rsid w:val="0040640F"/>
    <w:rsid w:val="0040699B"/>
    <w:rsid w:val="00407E37"/>
    <w:rsid w:val="00410153"/>
    <w:rsid w:val="00410812"/>
    <w:rsid w:val="00410C02"/>
    <w:rsid w:val="004117D2"/>
    <w:rsid w:val="004121A2"/>
    <w:rsid w:val="00412FA7"/>
    <w:rsid w:val="00413465"/>
    <w:rsid w:val="004139B4"/>
    <w:rsid w:val="004143A2"/>
    <w:rsid w:val="00415285"/>
    <w:rsid w:val="004152DA"/>
    <w:rsid w:val="004152F0"/>
    <w:rsid w:val="0041597C"/>
    <w:rsid w:val="004160FB"/>
    <w:rsid w:val="00416190"/>
    <w:rsid w:val="00416653"/>
    <w:rsid w:val="004173E0"/>
    <w:rsid w:val="0042028E"/>
    <w:rsid w:val="00420D92"/>
    <w:rsid w:val="004212F1"/>
    <w:rsid w:val="0042130F"/>
    <w:rsid w:val="004216DA"/>
    <w:rsid w:val="00422C17"/>
    <w:rsid w:val="00423167"/>
    <w:rsid w:val="00423A68"/>
    <w:rsid w:val="00423CC3"/>
    <w:rsid w:val="004249F6"/>
    <w:rsid w:val="00424EEF"/>
    <w:rsid w:val="0042513D"/>
    <w:rsid w:val="004259B0"/>
    <w:rsid w:val="00425B8E"/>
    <w:rsid w:val="00426D81"/>
    <w:rsid w:val="00426FA6"/>
    <w:rsid w:val="00427115"/>
    <w:rsid w:val="004275FB"/>
    <w:rsid w:val="00427AF0"/>
    <w:rsid w:val="00427B71"/>
    <w:rsid w:val="0043047B"/>
    <w:rsid w:val="004307D1"/>
    <w:rsid w:val="004316BD"/>
    <w:rsid w:val="004317A5"/>
    <w:rsid w:val="00431F84"/>
    <w:rsid w:val="00433759"/>
    <w:rsid w:val="00433E30"/>
    <w:rsid w:val="00433F9D"/>
    <w:rsid w:val="004342CA"/>
    <w:rsid w:val="00434E4D"/>
    <w:rsid w:val="004361BD"/>
    <w:rsid w:val="00436218"/>
    <w:rsid w:val="0043650B"/>
    <w:rsid w:val="0043727A"/>
    <w:rsid w:val="0043791E"/>
    <w:rsid w:val="00437DFD"/>
    <w:rsid w:val="00440618"/>
    <w:rsid w:val="00440F3A"/>
    <w:rsid w:val="004411E3"/>
    <w:rsid w:val="004417D3"/>
    <w:rsid w:val="00441D75"/>
    <w:rsid w:val="004422C5"/>
    <w:rsid w:val="00442AE5"/>
    <w:rsid w:val="00442C13"/>
    <w:rsid w:val="00442F74"/>
    <w:rsid w:val="00443DF1"/>
    <w:rsid w:val="00444393"/>
    <w:rsid w:val="00444FED"/>
    <w:rsid w:val="0044521A"/>
    <w:rsid w:val="004453B1"/>
    <w:rsid w:val="004455A3"/>
    <w:rsid w:val="00445ACB"/>
    <w:rsid w:val="004466EB"/>
    <w:rsid w:val="004468F4"/>
    <w:rsid w:val="00446E92"/>
    <w:rsid w:val="00447AB3"/>
    <w:rsid w:val="00450591"/>
    <w:rsid w:val="0045070C"/>
    <w:rsid w:val="00450B33"/>
    <w:rsid w:val="00450F6B"/>
    <w:rsid w:val="00451C69"/>
    <w:rsid w:val="00451D75"/>
    <w:rsid w:val="00451E82"/>
    <w:rsid w:val="00452551"/>
    <w:rsid w:val="00452FA6"/>
    <w:rsid w:val="00453114"/>
    <w:rsid w:val="00453240"/>
    <w:rsid w:val="00453827"/>
    <w:rsid w:val="00453862"/>
    <w:rsid w:val="004551BC"/>
    <w:rsid w:val="00455787"/>
    <w:rsid w:val="00456233"/>
    <w:rsid w:val="00456C52"/>
    <w:rsid w:val="004575AD"/>
    <w:rsid w:val="00457A76"/>
    <w:rsid w:val="00457F5E"/>
    <w:rsid w:val="004602E6"/>
    <w:rsid w:val="004604D6"/>
    <w:rsid w:val="0046089F"/>
    <w:rsid w:val="00460FA1"/>
    <w:rsid w:val="004610D7"/>
    <w:rsid w:val="0046118B"/>
    <w:rsid w:val="00461654"/>
    <w:rsid w:val="00461A72"/>
    <w:rsid w:val="00461BBB"/>
    <w:rsid w:val="00461D79"/>
    <w:rsid w:val="00461E90"/>
    <w:rsid w:val="00463401"/>
    <w:rsid w:val="004640BF"/>
    <w:rsid w:val="00464313"/>
    <w:rsid w:val="0046498A"/>
    <w:rsid w:val="00465D01"/>
    <w:rsid w:val="00466CBB"/>
    <w:rsid w:val="00467365"/>
    <w:rsid w:val="00467705"/>
    <w:rsid w:val="0047006C"/>
    <w:rsid w:val="004718B3"/>
    <w:rsid w:val="00471FF9"/>
    <w:rsid w:val="004720A5"/>
    <w:rsid w:val="0047268B"/>
    <w:rsid w:val="00472971"/>
    <w:rsid w:val="00472C9F"/>
    <w:rsid w:val="004736BE"/>
    <w:rsid w:val="004742E8"/>
    <w:rsid w:val="00474D95"/>
    <w:rsid w:val="00475D1B"/>
    <w:rsid w:val="00476885"/>
    <w:rsid w:val="00476A55"/>
    <w:rsid w:val="00476E4D"/>
    <w:rsid w:val="004774E8"/>
    <w:rsid w:val="004801F5"/>
    <w:rsid w:val="00480206"/>
    <w:rsid w:val="00480319"/>
    <w:rsid w:val="004804BE"/>
    <w:rsid w:val="00481140"/>
    <w:rsid w:val="004817C6"/>
    <w:rsid w:val="00481841"/>
    <w:rsid w:val="00482B51"/>
    <w:rsid w:val="00483086"/>
    <w:rsid w:val="00483AC7"/>
    <w:rsid w:val="00483DCD"/>
    <w:rsid w:val="00483FDF"/>
    <w:rsid w:val="004843BE"/>
    <w:rsid w:val="004846A4"/>
    <w:rsid w:val="0048486B"/>
    <w:rsid w:val="00484CD2"/>
    <w:rsid w:val="004858A4"/>
    <w:rsid w:val="00485E09"/>
    <w:rsid w:val="0048629E"/>
    <w:rsid w:val="00486875"/>
    <w:rsid w:val="00486F6C"/>
    <w:rsid w:val="0048712C"/>
    <w:rsid w:val="00487C78"/>
    <w:rsid w:val="00487F89"/>
    <w:rsid w:val="004907D7"/>
    <w:rsid w:val="004916B8"/>
    <w:rsid w:val="0049361A"/>
    <w:rsid w:val="0049508B"/>
    <w:rsid w:val="0049587F"/>
    <w:rsid w:val="004961DA"/>
    <w:rsid w:val="0049758C"/>
    <w:rsid w:val="00497811"/>
    <w:rsid w:val="004979B6"/>
    <w:rsid w:val="00497B96"/>
    <w:rsid w:val="004A007C"/>
    <w:rsid w:val="004A0C5D"/>
    <w:rsid w:val="004A12CF"/>
    <w:rsid w:val="004A1C8F"/>
    <w:rsid w:val="004A1E29"/>
    <w:rsid w:val="004A1FF0"/>
    <w:rsid w:val="004A218C"/>
    <w:rsid w:val="004A26D5"/>
    <w:rsid w:val="004A2F96"/>
    <w:rsid w:val="004A3578"/>
    <w:rsid w:val="004A3711"/>
    <w:rsid w:val="004A437E"/>
    <w:rsid w:val="004A528F"/>
    <w:rsid w:val="004A5491"/>
    <w:rsid w:val="004A5697"/>
    <w:rsid w:val="004A5D83"/>
    <w:rsid w:val="004A6476"/>
    <w:rsid w:val="004A6EB6"/>
    <w:rsid w:val="004A7713"/>
    <w:rsid w:val="004A7B92"/>
    <w:rsid w:val="004A7F61"/>
    <w:rsid w:val="004B0C30"/>
    <w:rsid w:val="004B10EA"/>
    <w:rsid w:val="004B2147"/>
    <w:rsid w:val="004B29B4"/>
    <w:rsid w:val="004B2AB0"/>
    <w:rsid w:val="004B2DC3"/>
    <w:rsid w:val="004B3014"/>
    <w:rsid w:val="004B3B57"/>
    <w:rsid w:val="004B3B75"/>
    <w:rsid w:val="004B3CCF"/>
    <w:rsid w:val="004B40BA"/>
    <w:rsid w:val="004B4158"/>
    <w:rsid w:val="004B73B5"/>
    <w:rsid w:val="004B7C65"/>
    <w:rsid w:val="004C0391"/>
    <w:rsid w:val="004C0537"/>
    <w:rsid w:val="004C0CAB"/>
    <w:rsid w:val="004C1094"/>
    <w:rsid w:val="004C145C"/>
    <w:rsid w:val="004C1505"/>
    <w:rsid w:val="004C17AA"/>
    <w:rsid w:val="004C1BFF"/>
    <w:rsid w:val="004C272D"/>
    <w:rsid w:val="004C2BED"/>
    <w:rsid w:val="004C2FCD"/>
    <w:rsid w:val="004C3552"/>
    <w:rsid w:val="004C3B7F"/>
    <w:rsid w:val="004C3EE6"/>
    <w:rsid w:val="004C40BB"/>
    <w:rsid w:val="004C46E3"/>
    <w:rsid w:val="004C50B3"/>
    <w:rsid w:val="004C544E"/>
    <w:rsid w:val="004C5459"/>
    <w:rsid w:val="004C557A"/>
    <w:rsid w:val="004C5E1B"/>
    <w:rsid w:val="004C67D8"/>
    <w:rsid w:val="004C757A"/>
    <w:rsid w:val="004C775E"/>
    <w:rsid w:val="004C7A58"/>
    <w:rsid w:val="004C7B8E"/>
    <w:rsid w:val="004D0577"/>
    <w:rsid w:val="004D073F"/>
    <w:rsid w:val="004D1175"/>
    <w:rsid w:val="004D1D2A"/>
    <w:rsid w:val="004D2098"/>
    <w:rsid w:val="004D2644"/>
    <w:rsid w:val="004D2B4D"/>
    <w:rsid w:val="004D3970"/>
    <w:rsid w:val="004D449E"/>
    <w:rsid w:val="004D4AC9"/>
    <w:rsid w:val="004D532E"/>
    <w:rsid w:val="004D5481"/>
    <w:rsid w:val="004D5B4D"/>
    <w:rsid w:val="004D6083"/>
    <w:rsid w:val="004D690C"/>
    <w:rsid w:val="004D74FC"/>
    <w:rsid w:val="004E03BE"/>
    <w:rsid w:val="004E0CDE"/>
    <w:rsid w:val="004E19A7"/>
    <w:rsid w:val="004E2224"/>
    <w:rsid w:val="004E22B8"/>
    <w:rsid w:val="004E2A63"/>
    <w:rsid w:val="004E2D36"/>
    <w:rsid w:val="004E3652"/>
    <w:rsid w:val="004E3752"/>
    <w:rsid w:val="004E3862"/>
    <w:rsid w:val="004E3F70"/>
    <w:rsid w:val="004E519C"/>
    <w:rsid w:val="004E527E"/>
    <w:rsid w:val="004E56DD"/>
    <w:rsid w:val="004E56FA"/>
    <w:rsid w:val="004E5735"/>
    <w:rsid w:val="004E64A8"/>
    <w:rsid w:val="004E6E6F"/>
    <w:rsid w:val="004E709C"/>
    <w:rsid w:val="004E73DE"/>
    <w:rsid w:val="004F11C2"/>
    <w:rsid w:val="004F11F5"/>
    <w:rsid w:val="004F1515"/>
    <w:rsid w:val="004F18BA"/>
    <w:rsid w:val="004F1BD2"/>
    <w:rsid w:val="004F2330"/>
    <w:rsid w:val="004F2A3F"/>
    <w:rsid w:val="004F360A"/>
    <w:rsid w:val="004F38C1"/>
    <w:rsid w:val="004F5615"/>
    <w:rsid w:val="004F5A73"/>
    <w:rsid w:val="004F5C06"/>
    <w:rsid w:val="004F61C7"/>
    <w:rsid w:val="004F6CCC"/>
    <w:rsid w:val="004F7994"/>
    <w:rsid w:val="004F7B2B"/>
    <w:rsid w:val="004F7C60"/>
    <w:rsid w:val="00500483"/>
    <w:rsid w:val="00500F38"/>
    <w:rsid w:val="00501094"/>
    <w:rsid w:val="00501527"/>
    <w:rsid w:val="00501F96"/>
    <w:rsid w:val="00503675"/>
    <w:rsid w:val="005037CB"/>
    <w:rsid w:val="00503B33"/>
    <w:rsid w:val="00503C86"/>
    <w:rsid w:val="00504366"/>
    <w:rsid w:val="005043B5"/>
    <w:rsid w:val="005045D0"/>
    <w:rsid w:val="00505AF6"/>
    <w:rsid w:val="00505BA8"/>
    <w:rsid w:val="00505E22"/>
    <w:rsid w:val="005068CB"/>
    <w:rsid w:val="00506B27"/>
    <w:rsid w:val="00506E84"/>
    <w:rsid w:val="005072C5"/>
    <w:rsid w:val="00507499"/>
    <w:rsid w:val="0050774F"/>
    <w:rsid w:val="005107C5"/>
    <w:rsid w:val="0051086F"/>
    <w:rsid w:val="005119B4"/>
    <w:rsid w:val="005125A9"/>
    <w:rsid w:val="0051278A"/>
    <w:rsid w:val="00512E85"/>
    <w:rsid w:val="00513402"/>
    <w:rsid w:val="00513403"/>
    <w:rsid w:val="00513A68"/>
    <w:rsid w:val="00513ABA"/>
    <w:rsid w:val="00514400"/>
    <w:rsid w:val="00516134"/>
    <w:rsid w:val="00516394"/>
    <w:rsid w:val="0051675A"/>
    <w:rsid w:val="00517692"/>
    <w:rsid w:val="00517EF8"/>
    <w:rsid w:val="00520234"/>
    <w:rsid w:val="0052046F"/>
    <w:rsid w:val="00520712"/>
    <w:rsid w:val="00520780"/>
    <w:rsid w:val="0052141C"/>
    <w:rsid w:val="00522445"/>
    <w:rsid w:val="0052332D"/>
    <w:rsid w:val="0052341B"/>
    <w:rsid w:val="00523987"/>
    <w:rsid w:val="00523DED"/>
    <w:rsid w:val="00523EBA"/>
    <w:rsid w:val="00524752"/>
    <w:rsid w:val="00524C97"/>
    <w:rsid w:val="00524FA6"/>
    <w:rsid w:val="00525618"/>
    <w:rsid w:val="0052574F"/>
    <w:rsid w:val="00526221"/>
    <w:rsid w:val="0052626B"/>
    <w:rsid w:val="005267B6"/>
    <w:rsid w:val="00527BF8"/>
    <w:rsid w:val="00530268"/>
    <w:rsid w:val="005302AC"/>
    <w:rsid w:val="005302F5"/>
    <w:rsid w:val="00531652"/>
    <w:rsid w:val="005318B0"/>
    <w:rsid w:val="00532F6A"/>
    <w:rsid w:val="005334C0"/>
    <w:rsid w:val="0053391E"/>
    <w:rsid w:val="00534A13"/>
    <w:rsid w:val="005352FB"/>
    <w:rsid w:val="005365F8"/>
    <w:rsid w:val="0053674B"/>
    <w:rsid w:val="005372F6"/>
    <w:rsid w:val="0053773A"/>
    <w:rsid w:val="00537973"/>
    <w:rsid w:val="005401B6"/>
    <w:rsid w:val="005408F1"/>
    <w:rsid w:val="00541407"/>
    <w:rsid w:val="00541C68"/>
    <w:rsid w:val="00541C83"/>
    <w:rsid w:val="00542233"/>
    <w:rsid w:val="00542840"/>
    <w:rsid w:val="005432DA"/>
    <w:rsid w:val="005437C6"/>
    <w:rsid w:val="00543E6C"/>
    <w:rsid w:val="00544C2E"/>
    <w:rsid w:val="00545D27"/>
    <w:rsid w:val="00546C3C"/>
    <w:rsid w:val="00546E7F"/>
    <w:rsid w:val="005478B6"/>
    <w:rsid w:val="00547D6A"/>
    <w:rsid w:val="00550517"/>
    <w:rsid w:val="00550BB9"/>
    <w:rsid w:val="00550DB6"/>
    <w:rsid w:val="005512C6"/>
    <w:rsid w:val="005516EF"/>
    <w:rsid w:val="00551D24"/>
    <w:rsid w:val="00552AE0"/>
    <w:rsid w:val="005532BD"/>
    <w:rsid w:val="00554474"/>
    <w:rsid w:val="00554688"/>
    <w:rsid w:val="00554717"/>
    <w:rsid w:val="005553FA"/>
    <w:rsid w:val="00555B70"/>
    <w:rsid w:val="00556C94"/>
    <w:rsid w:val="00557459"/>
    <w:rsid w:val="00557DC2"/>
    <w:rsid w:val="00560309"/>
    <w:rsid w:val="00560A22"/>
    <w:rsid w:val="00560BD2"/>
    <w:rsid w:val="00563527"/>
    <w:rsid w:val="00563592"/>
    <w:rsid w:val="00563F3F"/>
    <w:rsid w:val="0056594F"/>
    <w:rsid w:val="00565F76"/>
    <w:rsid w:val="00566A13"/>
    <w:rsid w:val="005673FD"/>
    <w:rsid w:val="00567588"/>
    <w:rsid w:val="00567A3F"/>
    <w:rsid w:val="00567B32"/>
    <w:rsid w:val="005700F2"/>
    <w:rsid w:val="005703EA"/>
    <w:rsid w:val="00571EF3"/>
    <w:rsid w:val="0057361A"/>
    <w:rsid w:val="00573E5A"/>
    <w:rsid w:val="00574048"/>
    <w:rsid w:val="005745EF"/>
    <w:rsid w:val="005759AB"/>
    <w:rsid w:val="00575DF7"/>
    <w:rsid w:val="00575F84"/>
    <w:rsid w:val="00576BE0"/>
    <w:rsid w:val="00576C9E"/>
    <w:rsid w:val="00576FFE"/>
    <w:rsid w:val="00577086"/>
    <w:rsid w:val="005775C8"/>
    <w:rsid w:val="0057774E"/>
    <w:rsid w:val="00577A3E"/>
    <w:rsid w:val="00577E6A"/>
    <w:rsid w:val="00580F27"/>
    <w:rsid w:val="00581522"/>
    <w:rsid w:val="00581EDE"/>
    <w:rsid w:val="00582E38"/>
    <w:rsid w:val="00582E7C"/>
    <w:rsid w:val="0058361A"/>
    <w:rsid w:val="0058380A"/>
    <w:rsid w:val="00583E02"/>
    <w:rsid w:val="00584A67"/>
    <w:rsid w:val="0058621D"/>
    <w:rsid w:val="005865A9"/>
    <w:rsid w:val="005869A7"/>
    <w:rsid w:val="00587875"/>
    <w:rsid w:val="005902AE"/>
    <w:rsid w:val="00590473"/>
    <w:rsid w:val="005906FD"/>
    <w:rsid w:val="0059088F"/>
    <w:rsid w:val="005908AA"/>
    <w:rsid w:val="00592129"/>
    <w:rsid w:val="00592322"/>
    <w:rsid w:val="00592917"/>
    <w:rsid w:val="00593022"/>
    <w:rsid w:val="00593970"/>
    <w:rsid w:val="00593C68"/>
    <w:rsid w:val="005942FA"/>
    <w:rsid w:val="00594337"/>
    <w:rsid w:val="00594ED9"/>
    <w:rsid w:val="005958D7"/>
    <w:rsid w:val="00595970"/>
    <w:rsid w:val="005962B8"/>
    <w:rsid w:val="00596E15"/>
    <w:rsid w:val="0059701D"/>
    <w:rsid w:val="005972B3"/>
    <w:rsid w:val="0059751A"/>
    <w:rsid w:val="00597667"/>
    <w:rsid w:val="0059768E"/>
    <w:rsid w:val="0059798D"/>
    <w:rsid w:val="00597F9C"/>
    <w:rsid w:val="005A0449"/>
    <w:rsid w:val="005A0692"/>
    <w:rsid w:val="005A0919"/>
    <w:rsid w:val="005A0FAE"/>
    <w:rsid w:val="005A14BD"/>
    <w:rsid w:val="005A1A0E"/>
    <w:rsid w:val="005A1A32"/>
    <w:rsid w:val="005A2211"/>
    <w:rsid w:val="005A24EA"/>
    <w:rsid w:val="005A27B0"/>
    <w:rsid w:val="005A30A8"/>
    <w:rsid w:val="005A33EB"/>
    <w:rsid w:val="005A3B66"/>
    <w:rsid w:val="005A3CA6"/>
    <w:rsid w:val="005A3E46"/>
    <w:rsid w:val="005A461B"/>
    <w:rsid w:val="005A49C7"/>
    <w:rsid w:val="005A4F12"/>
    <w:rsid w:val="005A5B51"/>
    <w:rsid w:val="005A5BB8"/>
    <w:rsid w:val="005A5FB3"/>
    <w:rsid w:val="005A611B"/>
    <w:rsid w:val="005A7CFC"/>
    <w:rsid w:val="005B03EE"/>
    <w:rsid w:val="005B04AE"/>
    <w:rsid w:val="005B0939"/>
    <w:rsid w:val="005B0C05"/>
    <w:rsid w:val="005B2834"/>
    <w:rsid w:val="005B3164"/>
    <w:rsid w:val="005B39D2"/>
    <w:rsid w:val="005B3A0F"/>
    <w:rsid w:val="005B3A3E"/>
    <w:rsid w:val="005B3E3B"/>
    <w:rsid w:val="005B3F3D"/>
    <w:rsid w:val="005B3F83"/>
    <w:rsid w:val="005B40A0"/>
    <w:rsid w:val="005B464E"/>
    <w:rsid w:val="005B5698"/>
    <w:rsid w:val="005B59A9"/>
    <w:rsid w:val="005B5AA3"/>
    <w:rsid w:val="005B5FEA"/>
    <w:rsid w:val="005B6093"/>
    <w:rsid w:val="005B74FD"/>
    <w:rsid w:val="005B7EBB"/>
    <w:rsid w:val="005C01D3"/>
    <w:rsid w:val="005C0269"/>
    <w:rsid w:val="005C05C0"/>
    <w:rsid w:val="005C05DD"/>
    <w:rsid w:val="005C05EC"/>
    <w:rsid w:val="005C061D"/>
    <w:rsid w:val="005C0D16"/>
    <w:rsid w:val="005C191D"/>
    <w:rsid w:val="005C1A90"/>
    <w:rsid w:val="005C1DB7"/>
    <w:rsid w:val="005C1E3E"/>
    <w:rsid w:val="005C2395"/>
    <w:rsid w:val="005C27E8"/>
    <w:rsid w:val="005C3793"/>
    <w:rsid w:val="005C37A6"/>
    <w:rsid w:val="005C4220"/>
    <w:rsid w:val="005C478A"/>
    <w:rsid w:val="005C4A2D"/>
    <w:rsid w:val="005C61E1"/>
    <w:rsid w:val="005C6551"/>
    <w:rsid w:val="005C71E9"/>
    <w:rsid w:val="005C7A7B"/>
    <w:rsid w:val="005C7C7C"/>
    <w:rsid w:val="005C7FE5"/>
    <w:rsid w:val="005D00E8"/>
    <w:rsid w:val="005D0346"/>
    <w:rsid w:val="005D04C8"/>
    <w:rsid w:val="005D05E5"/>
    <w:rsid w:val="005D1A6F"/>
    <w:rsid w:val="005D1A85"/>
    <w:rsid w:val="005D1A8A"/>
    <w:rsid w:val="005D1C5F"/>
    <w:rsid w:val="005D22E5"/>
    <w:rsid w:val="005D25F5"/>
    <w:rsid w:val="005D32F9"/>
    <w:rsid w:val="005D3347"/>
    <w:rsid w:val="005D36E4"/>
    <w:rsid w:val="005D3851"/>
    <w:rsid w:val="005D4599"/>
    <w:rsid w:val="005D5960"/>
    <w:rsid w:val="005D5B24"/>
    <w:rsid w:val="005D5D1D"/>
    <w:rsid w:val="005D6672"/>
    <w:rsid w:val="005D690C"/>
    <w:rsid w:val="005E01EF"/>
    <w:rsid w:val="005E0689"/>
    <w:rsid w:val="005E06B1"/>
    <w:rsid w:val="005E0BF5"/>
    <w:rsid w:val="005E1157"/>
    <w:rsid w:val="005E17D1"/>
    <w:rsid w:val="005E21D7"/>
    <w:rsid w:val="005E2443"/>
    <w:rsid w:val="005E25A8"/>
    <w:rsid w:val="005E2DE2"/>
    <w:rsid w:val="005E3B87"/>
    <w:rsid w:val="005E3E26"/>
    <w:rsid w:val="005E4008"/>
    <w:rsid w:val="005E4150"/>
    <w:rsid w:val="005E507C"/>
    <w:rsid w:val="005E6E1C"/>
    <w:rsid w:val="005E6FE4"/>
    <w:rsid w:val="005E7952"/>
    <w:rsid w:val="005F01A3"/>
    <w:rsid w:val="005F0E89"/>
    <w:rsid w:val="005F19AC"/>
    <w:rsid w:val="005F1B0D"/>
    <w:rsid w:val="005F1C8E"/>
    <w:rsid w:val="005F1E27"/>
    <w:rsid w:val="005F229B"/>
    <w:rsid w:val="005F2CDC"/>
    <w:rsid w:val="005F40A4"/>
    <w:rsid w:val="005F45F0"/>
    <w:rsid w:val="005F468B"/>
    <w:rsid w:val="005F4914"/>
    <w:rsid w:val="005F495B"/>
    <w:rsid w:val="005F5270"/>
    <w:rsid w:val="005F5506"/>
    <w:rsid w:val="005F5595"/>
    <w:rsid w:val="005F5AF9"/>
    <w:rsid w:val="005F6E65"/>
    <w:rsid w:val="005F7EA0"/>
    <w:rsid w:val="006002AB"/>
    <w:rsid w:val="00600B93"/>
    <w:rsid w:val="00600E27"/>
    <w:rsid w:val="00601192"/>
    <w:rsid w:val="00601667"/>
    <w:rsid w:val="0060169B"/>
    <w:rsid w:val="0060186F"/>
    <w:rsid w:val="00601A92"/>
    <w:rsid w:val="00601F9E"/>
    <w:rsid w:val="0060204C"/>
    <w:rsid w:val="0060245F"/>
    <w:rsid w:val="00602775"/>
    <w:rsid w:val="0060286D"/>
    <w:rsid w:val="0060290E"/>
    <w:rsid w:val="00603545"/>
    <w:rsid w:val="00603B4C"/>
    <w:rsid w:val="00604711"/>
    <w:rsid w:val="006047FC"/>
    <w:rsid w:val="00604AAE"/>
    <w:rsid w:val="00605667"/>
    <w:rsid w:val="00605918"/>
    <w:rsid w:val="00605A1B"/>
    <w:rsid w:val="0060608F"/>
    <w:rsid w:val="0060632E"/>
    <w:rsid w:val="00606471"/>
    <w:rsid w:val="00606546"/>
    <w:rsid w:val="00606604"/>
    <w:rsid w:val="0060670D"/>
    <w:rsid w:val="00606E15"/>
    <w:rsid w:val="006074C0"/>
    <w:rsid w:val="00610CFE"/>
    <w:rsid w:val="006111D3"/>
    <w:rsid w:val="0061128F"/>
    <w:rsid w:val="00611448"/>
    <w:rsid w:val="00611C8D"/>
    <w:rsid w:val="00612A21"/>
    <w:rsid w:val="00612EF9"/>
    <w:rsid w:val="00613DA6"/>
    <w:rsid w:val="00614042"/>
    <w:rsid w:val="006141BF"/>
    <w:rsid w:val="00614ECC"/>
    <w:rsid w:val="006157E6"/>
    <w:rsid w:val="00615D37"/>
    <w:rsid w:val="0061663C"/>
    <w:rsid w:val="0061668F"/>
    <w:rsid w:val="00616B41"/>
    <w:rsid w:val="00616F65"/>
    <w:rsid w:val="006179DE"/>
    <w:rsid w:val="00617AEA"/>
    <w:rsid w:val="00620175"/>
    <w:rsid w:val="00620402"/>
    <w:rsid w:val="00622E46"/>
    <w:rsid w:val="006236BA"/>
    <w:rsid w:val="006239E6"/>
    <w:rsid w:val="006245F8"/>
    <w:rsid w:val="00624794"/>
    <w:rsid w:val="0062567E"/>
    <w:rsid w:val="00625A85"/>
    <w:rsid w:val="00626CD5"/>
    <w:rsid w:val="00627321"/>
    <w:rsid w:val="00630888"/>
    <w:rsid w:val="00630D3C"/>
    <w:rsid w:val="00631C76"/>
    <w:rsid w:val="00632834"/>
    <w:rsid w:val="00632DA7"/>
    <w:rsid w:val="00632F33"/>
    <w:rsid w:val="00632F3E"/>
    <w:rsid w:val="006339A2"/>
    <w:rsid w:val="00633F5C"/>
    <w:rsid w:val="00634B68"/>
    <w:rsid w:val="00636D0F"/>
    <w:rsid w:val="0063776D"/>
    <w:rsid w:val="00637C6B"/>
    <w:rsid w:val="0064018F"/>
    <w:rsid w:val="0064097A"/>
    <w:rsid w:val="00640F06"/>
    <w:rsid w:val="00641CC6"/>
    <w:rsid w:val="0064223B"/>
    <w:rsid w:val="006423A0"/>
    <w:rsid w:val="00642B11"/>
    <w:rsid w:val="00642E60"/>
    <w:rsid w:val="006431BD"/>
    <w:rsid w:val="00643558"/>
    <w:rsid w:val="00643893"/>
    <w:rsid w:val="006441BC"/>
    <w:rsid w:val="00644698"/>
    <w:rsid w:val="00644EC7"/>
    <w:rsid w:val="00645376"/>
    <w:rsid w:val="006456CA"/>
    <w:rsid w:val="006458E1"/>
    <w:rsid w:val="006460B0"/>
    <w:rsid w:val="00646236"/>
    <w:rsid w:val="006464B5"/>
    <w:rsid w:val="00647236"/>
    <w:rsid w:val="006474B6"/>
    <w:rsid w:val="006474F4"/>
    <w:rsid w:val="00651121"/>
    <w:rsid w:val="00651CCF"/>
    <w:rsid w:val="00651EB2"/>
    <w:rsid w:val="0065452C"/>
    <w:rsid w:val="00654648"/>
    <w:rsid w:val="00654961"/>
    <w:rsid w:val="006549CC"/>
    <w:rsid w:val="00654B53"/>
    <w:rsid w:val="0065529A"/>
    <w:rsid w:val="006556C9"/>
    <w:rsid w:val="00655AB8"/>
    <w:rsid w:val="00655AE8"/>
    <w:rsid w:val="00655DBA"/>
    <w:rsid w:val="00656007"/>
    <w:rsid w:val="00656648"/>
    <w:rsid w:val="00656893"/>
    <w:rsid w:val="00656DAA"/>
    <w:rsid w:val="006575F7"/>
    <w:rsid w:val="006618AD"/>
    <w:rsid w:val="0066269F"/>
    <w:rsid w:val="00662A2B"/>
    <w:rsid w:val="00662C8F"/>
    <w:rsid w:val="00663568"/>
    <w:rsid w:val="006648CD"/>
    <w:rsid w:val="00664F4B"/>
    <w:rsid w:val="0066561F"/>
    <w:rsid w:val="00666C7A"/>
    <w:rsid w:val="00667336"/>
    <w:rsid w:val="00667465"/>
    <w:rsid w:val="0067043F"/>
    <w:rsid w:val="006704A7"/>
    <w:rsid w:val="006707D9"/>
    <w:rsid w:val="00670849"/>
    <w:rsid w:val="006708E8"/>
    <w:rsid w:val="00670CD6"/>
    <w:rsid w:val="00671CFC"/>
    <w:rsid w:val="006725CC"/>
    <w:rsid w:val="006725D3"/>
    <w:rsid w:val="00673B7B"/>
    <w:rsid w:val="00673FC7"/>
    <w:rsid w:val="00674DFA"/>
    <w:rsid w:val="00674E5E"/>
    <w:rsid w:val="00674F5E"/>
    <w:rsid w:val="00675185"/>
    <w:rsid w:val="00676029"/>
    <w:rsid w:val="00676383"/>
    <w:rsid w:val="00676CFD"/>
    <w:rsid w:val="006777E8"/>
    <w:rsid w:val="006777F3"/>
    <w:rsid w:val="00677AA3"/>
    <w:rsid w:val="006802A3"/>
    <w:rsid w:val="00680958"/>
    <w:rsid w:val="006810E3"/>
    <w:rsid w:val="0068143C"/>
    <w:rsid w:val="00681BE7"/>
    <w:rsid w:val="00682BF2"/>
    <w:rsid w:val="00682D6E"/>
    <w:rsid w:val="00682EA7"/>
    <w:rsid w:val="00683812"/>
    <w:rsid w:val="00683A83"/>
    <w:rsid w:val="006849B1"/>
    <w:rsid w:val="00684AC4"/>
    <w:rsid w:val="0068533A"/>
    <w:rsid w:val="00686CDE"/>
    <w:rsid w:val="0068741D"/>
    <w:rsid w:val="006879AA"/>
    <w:rsid w:val="006900F6"/>
    <w:rsid w:val="0069024C"/>
    <w:rsid w:val="00691E1C"/>
    <w:rsid w:val="006922A2"/>
    <w:rsid w:val="00692372"/>
    <w:rsid w:val="0069282E"/>
    <w:rsid w:val="00692AA8"/>
    <w:rsid w:val="00692CD9"/>
    <w:rsid w:val="00693253"/>
    <w:rsid w:val="00693816"/>
    <w:rsid w:val="0069385A"/>
    <w:rsid w:val="00693B0A"/>
    <w:rsid w:val="00693DAB"/>
    <w:rsid w:val="006944E1"/>
    <w:rsid w:val="00694FCA"/>
    <w:rsid w:val="006950FA"/>
    <w:rsid w:val="0069557C"/>
    <w:rsid w:val="00696066"/>
    <w:rsid w:val="0069629F"/>
    <w:rsid w:val="006965EA"/>
    <w:rsid w:val="00696C27"/>
    <w:rsid w:val="00696D0D"/>
    <w:rsid w:val="006971C4"/>
    <w:rsid w:val="006977E7"/>
    <w:rsid w:val="006A10D4"/>
    <w:rsid w:val="006A1312"/>
    <w:rsid w:val="006A1718"/>
    <w:rsid w:val="006A2145"/>
    <w:rsid w:val="006A267A"/>
    <w:rsid w:val="006A2E08"/>
    <w:rsid w:val="006A339B"/>
    <w:rsid w:val="006A3B2B"/>
    <w:rsid w:val="006A4760"/>
    <w:rsid w:val="006A5451"/>
    <w:rsid w:val="006A5605"/>
    <w:rsid w:val="006A60BB"/>
    <w:rsid w:val="006A68C0"/>
    <w:rsid w:val="006A6B19"/>
    <w:rsid w:val="006B0683"/>
    <w:rsid w:val="006B0C43"/>
    <w:rsid w:val="006B271E"/>
    <w:rsid w:val="006B407B"/>
    <w:rsid w:val="006B4676"/>
    <w:rsid w:val="006B5518"/>
    <w:rsid w:val="006B5FCB"/>
    <w:rsid w:val="006B643D"/>
    <w:rsid w:val="006B75FA"/>
    <w:rsid w:val="006C05BC"/>
    <w:rsid w:val="006C144A"/>
    <w:rsid w:val="006C1D3F"/>
    <w:rsid w:val="006C310B"/>
    <w:rsid w:val="006C318C"/>
    <w:rsid w:val="006C3192"/>
    <w:rsid w:val="006C32FE"/>
    <w:rsid w:val="006C37A4"/>
    <w:rsid w:val="006C49F9"/>
    <w:rsid w:val="006C4AFF"/>
    <w:rsid w:val="006C4B5A"/>
    <w:rsid w:val="006C562B"/>
    <w:rsid w:val="006C58F8"/>
    <w:rsid w:val="006C686F"/>
    <w:rsid w:val="006C6E20"/>
    <w:rsid w:val="006C6E8A"/>
    <w:rsid w:val="006C6EB8"/>
    <w:rsid w:val="006C732F"/>
    <w:rsid w:val="006D051B"/>
    <w:rsid w:val="006D08C6"/>
    <w:rsid w:val="006D0971"/>
    <w:rsid w:val="006D0EC0"/>
    <w:rsid w:val="006D1160"/>
    <w:rsid w:val="006D2AD9"/>
    <w:rsid w:val="006D2EDD"/>
    <w:rsid w:val="006D2FF5"/>
    <w:rsid w:val="006D3A8E"/>
    <w:rsid w:val="006D3EC1"/>
    <w:rsid w:val="006D4520"/>
    <w:rsid w:val="006D4619"/>
    <w:rsid w:val="006D490F"/>
    <w:rsid w:val="006D4B2C"/>
    <w:rsid w:val="006D4F49"/>
    <w:rsid w:val="006D578B"/>
    <w:rsid w:val="006D57FE"/>
    <w:rsid w:val="006D5A5A"/>
    <w:rsid w:val="006D61DD"/>
    <w:rsid w:val="006D647D"/>
    <w:rsid w:val="006D7633"/>
    <w:rsid w:val="006D7F84"/>
    <w:rsid w:val="006E0F36"/>
    <w:rsid w:val="006E1045"/>
    <w:rsid w:val="006E1093"/>
    <w:rsid w:val="006E10D4"/>
    <w:rsid w:val="006E20EE"/>
    <w:rsid w:val="006E2180"/>
    <w:rsid w:val="006E239B"/>
    <w:rsid w:val="006E25C7"/>
    <w:rsid w:val="006E2655"/>
    <w:rsid w:val="006E2892"/>
    <w:rsid w:val="006E2C4C"/>
    <w:rsid w:val="006E2DFC"/>
    <w:rsid w:val="006E3244"/>
    <w:rsid w:val="006E3315"/>
    <w:rsid w:val="006E36B9"/>
    <w:rsid w:val="006E3758"/>
    <w:rsid w:val="006E3B8B"/>
    <w:rsid w:val="006E52A5"/>
    <w:rsid w:val="006E541C"/>
    <w:rsid w:val="006E5AF7"/>
    <w:rsid w:val="006E5EE2"/>
    <w:rsid w:val="006E636F"/>
    <w:rsid w:val="006E6603"/>
    <w:rsid w:val="006E6C02"/>
    <w:rsid w:val="006E6F68"/>
    <w:rsid w:val="006E7518"/>
    <w:rsid w:val="006E7585"/>
    <w:rsid w:val="006F0565"/>
    <w:rsid w:val="006F17BD"/>
    <w:rsid w:val="006F381B"/>
    <w:rsid w:val="006F38E7"/>
    <w:rsid w:val="006F4117"/>
    <w:rsid w:val="006F54EC"/>
    <w:rsid w:val="006F6328"/>
    <w:rsid w:val="006F69C6"/>
    <w:rsid w:val="006F6F68"/>
    <w:rsid w:val="0070040B"/>
    <w:rsid w:val="0070142B"/>
    <w:rsid w:val="00701985"/>
    <w:rsid w:val="00701F6B"/>
    <w:rsid w:val="00702656"/>
    <w:rsid w:val="0070295B"/>
    <w:rsid w:val="00702A30"/>
    <w:rsid w:val="00702A43"/>
    <w:rsid w:val="00702ADB"/>
    <w:rsid w:val="0070369C"/>
    <w:rsid w:val="00704125"/>
    <w:rsid w:val="00705B5B"/>
    <w:rsid w:val="00705DCE"/>
    <w:rsid w:val="007070E5"/>
    <w:rsid w:val="0070738F"/>
    <w:rsid w:val="007075B1"/>
    <w:rsid w:val="007078B2"/>
    <w:rsid w:val="00710512"/>
    <w:rsid w:val="00711BDA"/>
    <w:rsid w:val="007127BE"/>
    <w:rsid w:val="0071366B"/>
    <w:rsid w:val="00715236"/>
    <w:rsid w:val="00715436"/>
    <w:rsid w:val="00715557"/>
    <w:rsid w:val="00715560"/>
    <w:rsid w:val="00715CE5"/>
    <w:rsid w:val="00716A70"/>
    <w:rsid w:val="00716B08"/>
    <w:rsid w:val="00716B53"/>
    <w:rsid w:val="00717E21"/>
    <w:rsid w:val="00720413"/>
    <w:rsid w:val="0072049B"/>
    <w:rsid w:val="00721EDC"/>
    <w:rsid w:val="0072218C"/>
    <w:rsid w:val="0072260E"/>
    <w:rsid w:val="00722A05"/>
    <w:rsid w:val="00723572"/>
    <w:rsid w:val="00723839"/>
    <w:rsid w:val="007238F4"/>
    <w:rsid w:val="00723B23"/>
    <w:rsid w:val="00724F4F"/>
    <w:rsid w:val="00725295"/>
    <w:rsid w:val="007254E3"/>
    <w:rsid w:val="0072560D"/>
    <w:rsid w:val="007257F8"/>
    <w:rsid w:val="00725C8E"/>
    <w:rsid w:val="00725CDC"/>
    <w:rsid w:val="00725FBA"/>
    <w:rsid w:val="00726C44"/>
    <w:rsid w:val="0072704B"/>
    <w:rsid w:val="00727EAC"/>
    <w:rsid w:val="007303DD"/>
    <w:rsid w:val="00731071"/>
    <w:rsid w:val="0073396F"/>
    <w:rsid w:val="00733D9A"/>
    <w:rsid w:val="007341F1"/>
    <w:rsid w:val="007346F3"/>
    <w:rsid w:val="007348E3"/>
    <w:rsid w:val="00734AA0"/>
    <w:rsid w:val="00735790"/>
    <w:rsid w:val="0073604D"/>
    <w:rsid w:val="00736360"/>
    <w:rsid w:val="00736660"/>
    <w:rsid w:val="00736EDC"/>
    <w:rsid w:val="00736FD1"/>
    <w:rsid w:val="00737587"/>
    <w:rsid w:val="00737B22"/>
    <w:rsid w:val="00740BC5"/>
    <w:rsid w:val="00740EDD"/>
    <w:rsid w:val="007413B5"/>
    <w:rsid w:val="00743227"/>
    <w:rsid w:val="00743A52"/>
    <w:rsid w:val="00743C6B"/>
    <w:rsid w:val="00743F63"/>
    <w:rsid w:val="00744A8A"/>
    <w:rsid w:val="00745096"/>
    <w:rsid w:val="0074570C"/>
    <w:rsid w:val="00745B10"/>
    <w:rsid w:val="00745F6B"/>
    <w:rsid w:val="0074603F"/>
    <w:rsid w:val="0074669E"/>
    <w:rsid w:val="007468EC"/>
    <w:rsid w:val="00746A71"/>
    <w:rsid w:val="00746B95"/>
    <w:rsid w:val="00746F75"/>
    <w:rsid w:val="00750DB9"/>
    <w:rsid w:val="00751773"/>
    <w:rsid w:val="00751C12"/>
    <w:rsid w:val="007529CE"/>
    <w:rsid w:val="007529E0"/>
    <w:rsid w:val="00753C16"/>
    <w:rsid w:val="0075452A"/>
    <w:rsid w:val="007549A4"/>
    <w:rsid w:val="007556D5"/>
    <w:rsid w:val="00755DA1"/>
    <w:rsid w:val="0075630E"/>
    <w:rsid w:val="00756474"/>
    <w:rsid w:val="00756539"/>
    <w:rsid w:val="00757034"/>
    <w:rsid w:val="007576F1"/>
    <w:rsid w:val="00757836"/>
    <w:rsid w:val="00760911"/>
    <w:rsid w:val="00760BD2"/>
    <w:rsid w:val="00761818"/>
    <w:rsid w:val="007620D3"/>
    <w:rsid w:val="00762FCE"/>
    <w:rsid w:val="00763B31"/>
    <w:rsid w:val="007641C1"/>
    <w:rsid w:val="00764B4D"/>
    <w:rsid w:val="00764BA7"/>
    <w:rsid w:val="007658C4"/>
    <w:rsid w:val="00765D4E"/>
    <w:rsid w:val="007668B0"/>
    <w:rsid w:val="00766DE9"/>
    <w:rsid w:val="007670B8"/>
    <w:rsid w:val="00770402"/>
    <w:rsid w:val="00770486"/>
    <w:rsid w:val="007708DA"/>
    <w:rsid w:val="00770995"/>
    <w:rsid w:val="00770FDC"/>
    <w:rsid w:val="00771096"/>
    <w:rsid w:val="0077141C"/>
    <w:rsid w:val="00771BB1"/>
    <w:rsid w:val="007725B4"/>
    <w:rsid w:val="0077286B"/>
    <w:rsid w:val="007730C7"/>
    <w:rsid w:val="00773F39"/>
    <w:rsid w:val="007740F1"/>
    <w:rsid w:val="0077413C"/>
    <w:rsid w:val="00774946"/>
    <w:rsid w:val="00774B18"/>
    <w:rsid w:val="00775301"/>
    <w:rsid w:val="007754C0"/>
    <w:rsid w:val="007756E7"/>
    <w:rsid w:val="00775875"/>
    <w:rsid w:val="00775B82"/>
    <w:rsid w:val="007771BA"/>
    <w:rsid w:val="00777383"/>
    <w:rsid w:val="007808EC"/>
    <w:rsid w:val="00780E66"/>
    <w:rsid w:val="00781827"/>
    <w:rsid w:val="00781A02"/>
    <w:rsid w:val="00782ECF"/>
    <w:rsid w:val="00783B89"/>
    <w:rsid w:val="00783C77"/>
    <w:rsid w:val="007844C8"/>
    <w:rsid w:val="00784721"/>
    <w:rsid w:val="00784864"/>
    <w:rsid w:val="0078728A"/>
    <w:rsid w:val="00787448"/>
    <w:rsid w:val="00787939"/>
    <w:rsid w:val="00787979"/>
    <w:rsid w:val="00787A8A"/>
    <w:rsid w:val="007905C4"/>
    <w:rsid w:val="007913FA"/>
    <w:rsid w:val="00791571"/>
    <w:rsid w:val="00792004"/>
    <w:rsid w:val="00792ACB"/>
    <w:rsid w:val="00792C8B"/>
    <w:rsid w:val="00793093"/>
    <w:rsid w:val="0079337B"/>
    <w:rsid w:val="00794464"/>
    <w:rsid w:val="0079525C"/>
    <w:rsid w:val="007955CB"/>
    <w:rsid w:val="00795D14"/>
    <w:rsid w:val="00795EED"/>
    <w:rsid w:val="007966F9"/>
    <w:rsid w:val="0079686C"/>
    <w:rsid w:val="007A0A55"/>
    <w:rsid w:val="007A195A"/>
    <w:rsid w:val="007A1A00"/>
    <w:rsid w:val="007A31F1"/>
    <w:rsid w:val="007A34B9"/>
    <w:rsid w:val="007A3B9F"/>
    <w:rsid w:val="007A4531"/>
    <w:rsid w:val="007A4E12"/>
    <w:rsid w:val="007A4EBE"/>
    <w:rsid w:val="007A4FE5"/>
    <w:rsid w:val="007A55F3"/>
    <w:rsid w:val="007A58E3"/>
    <w:rsid w:val="007A60AE"/>
    <w:rsid w:val="007A7C27"/>
    <w:rsid w:val="007A7C36"/>
    <w:rsid w:val="007B01BC"/>
    <w:rsid w:val="007B089E"/>
    <w:rsid w:val="007B0B9B"/>
    <w:rsid w:val="007B167F"/>
    <w:rsid w:val="007B18A4"/>
    <w:rsid w:val="007B1D68"/>
    <w:rsid w:val="007B1EAF"/>
    <w:rsid w:val="007B2953"/>
    <w:rsid w:val="007B2BCE"/>
    <w:rsid w:val="007B3CF4"/>
    <w:rsid w:val="007B3DC8"/>
    <w:rsid w:val="007B4812"/>
    <w:rsid w:val="007B4AFC"/>
    <w:rsid w:val="007B5078"/>
    <w:rsid w:val="007B5733"/>
    <w:rsid w:val="007B64E3"/>
    <w:rsid w:val="007B66A3"/>
    <w:rsid w:val="007B6B09"/>
    <w:rsid w:val="007B6BB8"/>
    <w:rsid w:val="007B7AEE"/>
    <w:rsid w:val="007B7FDD"/>
    <w:rsid w:val="007C0F6B"/>
    <w:rsid w:val="007C128E"/>
    <w:rsid w:val="007C169B"/>
    <w:rsid w:val="007C16E1"/>
    <w:rsid w:val="007C1865"/>
    <w:rsid w:val="007C22FA"/>
    <w:rsid w:val="007C275D"/>
    <w:rsid w:val="007C27D9"/>
    <w:rsid w:val="007C3324"/>
    <w:rsid w:val="007C37BE"/>
    <w:rsid w:val="007C3864"/>
    <w:rsid w:val="007C5A67"/>
    <w:rsid w:val="007C5CC2"/>
    <w:rsid w:val="007C6CA4"/>
    <w:rsid w:val="007C70B0"/>
    <w:rsid w:val="007C76CF"/>
    <w:rsid w:val="007D093C"/>
    <w:rsid w:val="007D1121"/>
    <w:rsid w:val="007D1777"/>
    <w:rsid w:val="007D1949"/>
    <w:rsid w:val="007D19C3"/>
    <w:rsid w:val="007D1D7B"/>
    <w:rsid w:val="007D2025"/>
    <w:rsid w:val="007D2106"/>
    <w:rsid w:val="007D2B8D"/>
    <w:rsid w:val="007D361A"/>
    <w:rsid w:val="007D3964"/>
    <w:rsid w:val="007D416A"/>
    <w:rsid w:val="007D431A"/>
    <w:rsid w:val="007D4658"/>
    <w:rsid w:val="007D4782"/>
    <w:rsid w:val="007D504C"/>
    <w:rsid w:val="007D5154"/>
    <w:rsid w:val="007D5678"/>
    <w:rsid w:val="007D64E6"/>
    <w:rsid w:val="007D6B1E"/>
    <w:rsid w:val="007D6C96"/>
    <w:rsid w:val="007D6E49"/>
    <w:rsid w:val="007D703C"/>
    <w:rsid w:val="007D7267"/>
    <w:rsid w:val="007D7329"/>
    <w:rsid w:val="007D7849"/>
    <w:rsid w:val="007D7A4C"/>
    <w:rsid w:val="007E034D"/>
    <w:rsid w:val="007E04A4"/>
    <w:rsid w:val="007E08D6"/>
    <w:rsid w:val="007E0D38"/>
    <w:rsid w:val="007E0F25"/>
    <w:rsid w:val="007E1CA9"/>
    <w:rsid w:val="007E2AE9"/>
    <w:rsid w:val="007E2E44"/>
    <w:rsid w:val="007E3047"/>
    <w:rsid w:val="007E3072"/>
    <w:rsid w:val="007E3707"/>
    <w:rsid w:val="007E3EB2"/>
    <w:rsid w:val="007E4BD0"/>
    <w:rsid w:val="007E5069"/>
    <w:rsid w:val="007E543F"/>
    <w:rsid w:val="007E5D73"/>
    <w:rsid w:val="007E629E"/>
    <w:rsid w:val="007E644A"/>
    <w:rsid w:val="007E66A6"/>
    <w:rsid w:val="007E68C4"/>
    <w:rsid w:val="007E743E"/>
    <w:rsid w:val="007F0607"/>
    <w:rsid w:val="007F1014"/>
    <w:rsid w:val="007F14BB"/>
    <w:rsid w:val="007F1F69"/>
    <w:rsid w:val="007F2532"/>
    <w:rsid w:val="007F27C2"/>
    <w:rsid w:val="007F27D8"/>
    <w:rsid w:val="007F35DE"/>
    <w:rsid w:val="007F38B2"/>
    <w:rsid w:val="007F3D96"/>
    <w:rsid w:val="007F3DA8"/>
    <w:rsid w:val="007F445A"/>
    <w:rsid w:val="007F47E8"/>
    <w:rsid w:val="007F4CF8"/>
    <w:rsid w:val="007F50FE"/>
    <w:rsid w:val="007F518D"/>
    <w:rsid w:val="007F5553"/>
    <w:rsid w:val="007F5D56"/>
    <w:rsid w:val="007F7D1C"/>
    <w:rsid w:val="008002A7"/>
    <w:rsid w:val="008005B1"/>
    <w:rsid w:val="00800842"/>
    <w:rsid w:val="008008F0"/>
    <w:rsid w:val="0080115E"/>
    <w:rsid w:val="008012F4"/>
    <w:rsid w:val="0080138B"/>
    <w:rsid w:val="008016CC"/>
    <w:rsid w:val="00801826"/>
    <w:rsid w:val="008025AD"/>
    <w:rsid w:val="00802D3A"/>
    <w:rsid w:val="00802E24"/>
    <w:rsid w:val="008038C2"/>
    <w:rsid w:val="00804333"/>
    <w:rsid w:val="00804383"/>
    <w:rsid w:val="008048E1"/>
    <w:rsid w:val="00804BE8"/>
    <w:rsid w:val="00804E43"/>
    <w:rsid w:val="00805AEA"/>
    <w:rsid w:val="00805F11"/>
    <w:rsid w:val="00805F35"/>
    <w:rsid w:val="00806943"/>
    <w:rsid w:val="00806F68"/>
    <w:rsid w:val="00810170"/>
    <w:rsid w:val="0081058F"/>
    <w:rsid w:val="008119B0"/>
    <w:rsid w:val="00811D23"/>
    <w:rsid w:val="00812066"/>
    <w:rsid w:val="00812D02"/>
    <w:rsid w:val="008131AD"/>
    <w:rsid w:val="00813254"/>
    <w:rsid w:val="00813D27"/>
    <w:rsid w:val="00813E0F"/>
    <w:rsid w:val="0081756B"/>
    <w:rsid w:val="008175E3"/>
    <w:rsid w:val="00817916"/>
    <w:rsid w:val="008179DB"/>
    <w:rsid w:val="00817DED"/>
    <w:rsid w:val="008208AE"/>
    <w:rsid w:val="008209C2"/>
    <w:rsid w:val="00822140"/>
    <w:rsid w:val="00822C43"/>
    <w:rsid w:val="00823085"/>
    <w:rsid w:val="0082341B"/>
    <w:rsid w:val="008238A7"/>
    <w:rsid w:val="00823C79"/>
    <w:rsid w:val="00823DBE"/>
    <w:rsid w:val="0082424D"/>
    <w:rsid w:val="008242D1"/>
    <w:rsid w:val="008243E5"/>
    <w:rsid w:val="00824839"/>
    <w:rsid w:val="00824E93"/>
    <w:rsid w:val="00825421"/>
    <w:rsid w:val="008258C9"/>
    <w:rsid w:val="0082604F"/>
    <w:rsid w:val="00827166"/>
    <w:rsid w:val="0082742B"/>
    <w:rsid w:val="00827521"/>
    <w:rsid w:val="00827566"/>
    <w:rsid w:val="008277E6"/>
    <w:rsid w:val="008301BC"/>
    <w:rsid w:val="008301E0"/>
    <w:rsid w:val="0083025F"/>
    <w:rsid w:val="00830B51"/>
    <w:rsid w:val="00830E79"/>
    <w:rsid w:val="00832465"/>
    <w:rsid w:val="008328D3"/>
    <w:rsid w:val="00832DE8"/>
    <w:rsid w:val="00833322"/>
    <w:rsid w:val="00833421"/>
    <w:rsid w:val="0083405B"/>
    <w:rsid w:val="008345E8"/>
    <w:rsid w:val="00834714"/>
    <w:rsid w:val="008405D1"/>
    <w:rsid w:val="00840790"/>
    <w:rsid w:val="008407E8"/>
    <w:rsid w:val="008417A0"/>
    <w:rsid w:val="00841B6C"/>
    <w:rsid w:val="008424C7"/>
    <w:rsid w:val="0084256E"/>
    <w:rsid w:val="00842651"/>
    <w:rsid w:val="00842A95"/>
    <w:rsid w:val="008437F2"/>
    <w:rsid w:val="008439E4"/>
    <w:rsid w:val="00843B67"/>
    <w:rsid w:val="008444B8"/>
    <w:rsid w:val="00844D74"/>
    <w:rsid w:val="008462AC"/>
    <w:rsid w:val="00846390"/>
    <w:rsid w:val="00846C66"/>
    <w:rsid w:val="0084774F"/>
    <w:rsid w:val="00850996"/>
    <w:rsid w:val="00850EC7"/>
    <w:rsid w:val="00851435"/>
    <w:rsid w:val="00851443"/>
    <w:rsid w:val="00851683"/>
    <w:rsid w:val="00851A7B"/>
    <w:rsid w:val="00852394"/>
    <w:rsid w:val="008524A9"/>
    <w:rsid w:val="008524CC"/>
    <w:rsid w:val="008526EA"/>
    <w:rsid w:val="00853E30"/>
    <w:rsid w:val="0085549A"/>
    <w:rsid w:val="008555C0"/>
    <w:rsid w:val="00855820"/>
    <w:rsid w:val="0085595A"/>
    <w:rsid w:val="00855C4A"/>
    <w:rsid w:val="00855CD8"/>
    <w:rsid w:val="00856135"/>
    <w:rsid w:val="00860AEB"/>
    <w:rsid w:val="00861A84"/>
    <w:rsid w:val="0086214A"/>
    <w:rsid w:val="00862B71"/>
    <w:rsid w:val="00862BB0"/>
    <w:rsid w:val="00862E44"/>
    <w:rsid w:val="00862F6B"/>
    <w:rsid w:val="00862FF7"/>
    <w:rsid w:val="008634A8"/>
    <w:rsid w:val="00863823"/>
    <w:rsid w:val="0086385F"/>
    <w:rsid w:val="00863FDE"/>
    <w:rsid w:val="00864294"/>
    <w:rsid w:val="008653C4"/>
    <w:rsid w:val="00865571"/>
    <w:rsid w:val="00865694"/>
    <w:rsid w:val="00865993"/>
    <w:rsid w:val="0086693C"/>
    <w:rsid w:val="0086726A"/>
    <w:rsid w:val="0086757D"/>
    <w:rsid w:val="008714ED"/>
    <w:rsid w:val="00871CCC"/>
    <w:rsid w:val="00871EF6"/>
    <w:rsid w:val="00871FB2"/>
    <w:rsid w:val="0087241D"/>
    <w:rsid w:val="00872748"/>
    <w:rsid w:val="00872E07"/>
    <w:rsid w:val="008731D6"/>
    <w:rsid w:val="00873BF7"/>
    <w:rsid w:val="00873D24"/>
    <w:rsid w:val="008745A9"/>
    <w:rsid w:val="00874A98"/>
    <w:rsid w:val="00874DF0"/>
    <w:rsid w:val="008753C8"/>
    <w:rsid w:val="00875F18"/>
    <w:rsid w:val="00876153"/>
    <w:rsid w:val="00876232"/>
    <w:rsid w:val="00876A7B"/>
    <w:rsid w:val="00877223"/>
    <w:rsid w:val="008775DB"/>
    <w:rsid w:val="00877B1A"/>
    <w:rsid w:val="0088196C"/>
    <w:rsid w:val="00881A69"/>
    <w:rsid w:val="00881CDC"/>
    <w:rsid w:val="00881D31"/>
    <w:rsid w:val="00882556"/>
    <w:rsid w:val="00882778"/>
    <w:rsid w:val="00882A00"/>
    <w:rsid w:val="00882EFF"/>
    <w:rsid w:val="0088399A"/>
    <w:rsid w:val="00883D51"/>
    <w:rsid w:val="00883EA2"/>
    <w:rsid w:val="008841A2"/>
    <w:rsid w:val="00884624"/>
    <w:rsid w:val="008852C8"/>
    <w:rsid w:val="008852FB"/>
    <w:rsid w:val="00885752"/>
    <w:rsid w:val="008859B2"/>
    <w:rsid w:val="00885A45"/>
    <w:rsid w:val="00886087"/>
    <w:rsid w:val="00886620"/>
    <w:rsid w:val="00886978"/>
    <w:rsid w:val="00887051"/>
    <w:rsid w:val="0088743C"/>
    <w:rsid w:val="00887480"/>
    <w:rsid w:val="00887512"/>
    <w:rsid w:val="00887572"/>
    <w:rsid w:val="00887BBB"/>
    <w:rsid w:val="00887DD7"/>
    <w:rsid w:val="008902F0"/>
    <w:rsid w:val="00890358"/>
    <w:rsid w:val="00890361"/>
    <w:rsid w:val="00890704"/>
    <w:rsid w:val="008908EB"/>
    <w:rsid w:val="00890C95"/>
    <w:rsid w:val="00890E0D"/>
    <w:rsid w:val="0089108C"/>
    <w:rsid w:val="00891187"/>
    <w:rsid w:val="00891447"/>
    <w:rsid w:val="00891456"/>
    <w:rsid w:val="00891763"/>
    <w:rsid w:val="00891B31"/>
    <w:rsid w:val="008926B2"/>
    <w:rsid w:val="00892AC4"/>
    <w:rsid w:val="00893DC2"/>
    <w:rsid w:val="00893F8E"/>
    <w:rsid w:val="0089485A"/>
    <w:rsid w:val="008952ED"/>
    <w:rsid w:val="0089667C"/>
    <w:rsid w:val="008969BA"/>
    <w:rsid w:val="008979C3"/>
    <w:rsid w:val="00897BBB"/>
    <w:rsid w:val="00897CE3"/>
    <w:rsid w:val="008A3620"/>
    <w:rsid w:val="008A3EA4"/>
    <w:rsid w:val="008A4365"/>
    <w:rsid w:val="008A4495"/>
    <w:rsid w:val="008A4B7C"/>
    <w:rsid w:val="008A5261"/>
    <w:rsid w:val="008A58B9"/>
    <w:rsid w:val="008A5E51"/>
    <w:rsid w:val="008A6016"/>
    <w:rsid w:val="008A6027"/>
    <w:rsid w:val="008A714E"/>
    <w:rsid w:val="008A7472"/>
    <w:rsid w:val="008A7FF6"/>
    <w:rsid w:val="008B0EF3"/>
    <w:rsid w:val="008B0F3C"/>
    <w:rsid w:val="008B12B5"/>
    <w:rsid w:val="008B178A"/>
    <w:rsid w:val="008B2E50"/>
    <w:rsid w:val="008B369A"/>
    <w:rsid w:val="008B36CB"/>
    <w:rsid w:val="008B41AE"/>
    <w:rsid w:val="008B431E"/>
    <w:rsid w:val="008B4DAB"/>
    <w:rsid w:val="008B5327"/>
    <w:rsid w:val="008B53E3"/>
    <w:rsid w:val="008B5F49"/>
    <w:rsid w:val="008B64DE"/>
    <w:rsid w:val="008B709D"/>
    <w:rsid w:val="008B7347"/>
    <w:rsid w:val="008B78E9"/>
    <w:rsid w:val="008C0EC5"/>
    <w:rsid w:val="008C1599"/>
    <w:rsid w:val="008C160B"/>
    <w:rsid w:val="008C1C97"/>
    <w:rsid w:val="008C275A"/>
    <w:rsid w:val="008C35A7"/>
    <w:rsid w:val="008C385C"/>
    <w:rsid w:val="008C39C9"/>
    <w:rsid w:val="008C3C62"/>
    <w:rsid w:val="008C4052"/>
    <w:rsid w:val="008C4B45"/>
    <w:rsid w:val="008C4BBF"/>
    <w:rsid w:val="008C59D6"/>
    <w:rsid w:val="008C5D99"/>
    <w:rsid w:val="008C64EB"/>
    <w:rsid w:val="008C6642"/>
    <w:rsid w:val="008C6D89"/>
    <w:rsid w:val="008C72B3"/>
    <w:rsid w:val="008C7841"/>
    <w:rsid w:val="008D08B5"/>
    <w:rsid w:val="008D167E"/>
    <w:rsid w:val="008D1898"/>
    <w:rsid w:val="008D1CA5"/>
    <w:rsid w:val="008D2A27"/>
    <w:rsid w:val="008D2BB1"/>
    <w:rsid w:val="008D3167"/>
    <w:rsid w:val="008D41F2"/>
    <w:rsid w:val="008D489D"/>
    <w:rsid w:val="008D51C2"/>
    <w:rsid w:val="008D51D6"/>
    <w:rsid w:val="008D5533"/>
    <w:rsid w:val="008D5936"/>
    <w:rsid w:val="008D5E2E"/>
    <w:rsid w:val="008D6AC7"/>
    <w:rsid w:val="008D6DA9"/>
    <w:rsid w:val="008D78DC"/>
    <w:rsid w:val="008D7963"/>
    <w:rsid w:val="008D7AE2"/>
    <w:rsid w:val="008E084B"/>
    <w:rsid w:val="008E0CDC"/>
    <w:rsid w:val="008E176D"/>
    <w:rsid w:val="008E1A71"/>
    <w:rsid w:val="008E268F"/>
    <w:rsid w:val="008E2764"/>
    <w:rsid w:val="008E28C7"/>
    <w:rsid w:val="008E2EA2"/>
    <w:rsid w:val="008E34E0"/>
    <w:rsid w:val="008E378E"/>
    <w:rsid w:val="008E4BAD"/>
    <w:rsid w:val="008E4EC8"/>
    <w:rsid w:val="008E54E2"/>
    <w:rsid w:val="008E599A"/>
    <w:rsid w:val="008E5C5C"/>
    <w:rsid w:val="008E6AC8"/>
    <w:rsid w:val="008E6B40"/>
    <w:rsid w:val="008E715B"/>
    <w:rsid w:val="008E7997"/>
    <w:rsid w:val="008E7A8F"/>
    <w:rsid w:val="008E7DFD"/>
    <w:rsid w:val="008F00B4"/>
    <w:rsid w:val="008F037C"/>
    <w:rsid w:val="008F21DB"/>
    <w:rsid w:val="008F2AC1"/>
    <w:rsid w:val="008F2BD2"/>
    <w:rsid w:val="008F2DD7"/>
    <w:rsid w:val="008F30DB"/>
    <w:rsid w:val="008F38EC"/>
    <w:rsid w:val="008F4010"/>
    <w:rsid w:val="008F43C1"/>
    <w:rsid w:val="008F48FB"/>
    <w:rsid w:val="008F50D4"/>
    <w:rsid w:val="008F56D3"/>
    <w:rsid w:val="008F5954"/>
    <w:rsid w:val="008F76BA"/>
    <w:rsid w:val="009006F0"/>
    <w:rsid w:val="00900F1C"/>
    <w:rsid w:val="00901882"/>
    <w:rsid w:val="00901B11"/>
    <w:rsid w:val="0090254E"/>
    <w:rsid w:val="009025A4"/>
    <w:rsid w:val="00902DE5"/>
    <w:rsid w:val="00902FA5"/>
    <w:rsid w:val="00903178"/>
    <w:rsid w:val="0090360C"/>
    <w:rsid w:val="00903663"/>
    <w:rsid w:val="00903ECF"/>
    <w:rsid w:val="00904356"/>
    <w:rsid w:val="00904A0B"/>
    <w:rsid w:val="00904A57"/>
    <w:rsid w:val="00904A9A"/>
    <w:rsid w:val="00904E04"/>
    <w:rsid w:val="00904ED5"/>
    <w:rsid w:val="009050F5"/>
    <w:rsid w:val="00905266"/>
    <w:rsid w:val="00905CC9"/>
    <w:rsid w:val="00906D20"/>
    <w:rsid w:val="00907092"/>
    <w:rsid w:val="00907163"/>
    <w:rsid w:val="009073A0"/>
    <w:rsid w:val="00907767"/>
    <w:rsid w:val="00907A74"/>
    <w:rsid w:val="00907AAC"/>
    <w:rsid w:val="009102EA"/>
    <w:rsid w:val="00910643"/>
    <w:rsid w:val="009106E2"/>
    <w:rsid w:val="00910A12"/>
    <w:rsid w:val="00910CAF"/>
    <w:rsid w:val="00910DC0"/>
    <w:rsid w:val="00912435"/>
    <w:rsid w:val="00912C6F"/>
    <w:rsid w:val="0091398D"/>
    <w:rsid w:val="00913AE0"/>
    <w:rsid w:val="00913CD2"/>
    <w:rsid w:val="00914607"/>
    <w:rsid w:val="00914A38"/>
    <w:rsid w:val="00914CF7"/>
    <w:rsid w:val="00914D55"/>
    <w:rsid w:val="009153EE"/>
    <w:rsid w:val="009155AB"/>
    <w:rsid w:val="009158F7"/>
    <w:rsid w:val="009159C5"/>
    <w:rsid w:val="0091688C"/>
    <w:rsid w:val="00916E25"/>
    <w:rsid w:val="00916FFE"/>
    <w:rsid w:val="0091749B"/>
    <w:rsid w:val="0092101E"/>
    <w:rsid w:val="009222E5"/>
    <w:rsid w:val="00922B31"/>
    <w:rsid w:val="0092346E"/>
    <w:rsid w:val="009236CC"/>
    <w:rsid w:val="00923B24"/>
    <w:rsid w:val="009245F7"/>
    <w:rsid w:val="00924ED5"/>
    <w:rsid w:val="009251CD"/>
    <w:rsid w:val="00926FB9"/>
    <w:rsid w:val="009275E5"/>
    <w:rsid w:val="009301C9"/>
    <w:rsid w:val="009303B2"/>
    <w:rsid w:val="0093065B"/>
    <w:rsid w:val="00933854"/>
    <w:rsid w:val="00933AEA"/>
    <w:rsid w:val="00933E54"/>
    <w:rsid w:val="00934513"/>
    <w:rsid w:val="00934568"/>
    <w:rsid w:val="00934BCC"/>
    <w:rsid w:val="009353B1"/>
    <w:rsid w:val="009355A4"/>
    <w:rsid w:val="0093597C"/>
    <w:rsid w:val="00935FDC"/>
    <w:rsid w:val="009360B2"/>
    <w:rsid w:val="00936E25"/>
    <w:rsid w:val="0094043B"/>
    <w:rsid w:val="009408A8"/>
    <w:rsid w:val="00940913"/>
    <w:rsid w:val="0094095A"/>
    <w:rsid w:val="009421C3"/>
    <w:rsid w:val="00942D98"/>
    <w:rsid w:val="00942DC9"/>
    <w:rsid w:val="00943164"/>
    <w:rsid w:val="009431BD"/>
    <w:rsid w:val="009433B8"/>
    <w:rsid w:val="009441CB"/>
    <w:rsid w:val="009442F6"/>
    <w:rsid w:val="00944A5F"/>
    <w:rsid w:val="00944D6B"/>
    <w:rsid w:val="00944FA3"/>
    <w:rsid w:val="00945102"/>
    <w:rsid w:val="00945E91"/>
    <w:rsid w:val="0094758C"/>
    <w:rsid w:val="0095083D"/>
    <w:rsid w:val="009510C1"/>
    <w:rsid w:val="00951D22"/>
    <w:rsid w:val="00951D27"/>
    <w:rsid w:val="00951D2E"/>
    <w:rsid w:val="00952440"/>
    <w:rsid w:val="009529CD"/>
    <w:rsid w:val="0095316A"/>
    <w:rsid w:val="00953461"/>
    <w:rsid w:val="0095348B"/>
    <w:rsid w:val="0095363C"/>
    <w:rsid w:val="0095386B"/>
    <w:rsid w:val="00953DE7"/>
    <w:rsid w:val="00953E70"/>
    <w:rsid w:val="009545F6"/>
    <w:rsid w:val="009549D3"/>
    <w:rsid w:val="00954FA6"/>
    <w:rsid w:val="0095521E"/>
    <w:rsid w:val="00955B58"/>
    <w:rsid w:val="00956981"/>
    <w:rsid w:val="00956FB5"/>
    <w:rsid w:val="009573B0"/>
    <w:rsid w:val="009573B6"/>
    <w:rsid w:val="00957D19"/>
    <w:rsid w:val="00960216"/>
    <w:rsid w:val="00960D14"/>
    <w:rsid w:val="0096164A"/>
    <w:rsid w:val="0096183A"/>
    <w:rsid w:val="00961CF0"/>
    <w:rsid w:val="00962255"/>
    <w:rsid w:val="009635D9"/>
    <w:rsid w:val="009644B8"/>
    <w:rsid w:val="00964513"/>
    <w:rsid w:val="009645A1"/>
    <w:rsid w:val="009658C2"/>
    <w:rsid w:val="00965E7D"/>
    <w:rsid w:val="00965F13"/>
    <w:rsid w:val="00966959"/>
    <w:rsid w:val="00966A07"/>
    <w:rsid w:val="009676B5"/>
    <w:rsid w:val="00967C7D"/>
    <w:rsid w:val="009702A2"/>
    <w:rsid w:val="00970A98"/>
    <w:rsid w:val="00970D89"/>
    <w:rsid w:val="009717F1"/>
    <w:rsid w:val="00971CEA"/>
    <w:rsid w:val="00971DAF"/>
    <w:rsid w:val="00971F1A"/>
    <w:rsid w:val="00971F34"/>
    <w:rsid w:val="00972862"/>
    <w:rsid w:val="009728AD"/>
    <w:rsid w:val="00973431"/>
    <w:rsid w:val="00973651"/>
    <w:rsid w:val="00973BDE"/>
    <w:rsid w:val="0097505D"/>
    <w:rsid w:val="009751E8"/>
    <w:rsid w:val="00975320"/>
    <w:rsid w:val="009753A4"/>
    <w:rsid w:val="009761D6"/>
    <w:rsid w:val="009763F1"/>
    <w:rsid w:val="00976BAF"/>
    <w:rsid w:val="00977572"/>
    <w:rsid w:val="0098104B"/>
    <w:rsid w:val="00981F8A"/>
    <w:rsid w:val="00981FD9"/>
    <w:rsid w:val="009822AD"/>
    <w:rsid w:val="009830CB"/>
    <w:rsid w:val="009831A5"/>
    <w:rsid w:val="009838D1"/>
    <w:rsid w:val="00984081"/>
    <w:rsid w:val="00984404"/>
    <w:rsid w:val="00984438"/>
    <w:rsid w:val="00985BCC"/>
    <w:rsid w:val="00986242"/>
    <w:rsid w:val="00986644"/>
    <w:rsid w:val="00986D42"/>
    <w:rsid w:val="009871EF"/>
    <w:rsid w:val="0098742F"/>
    <w:rsid w:val="00987F2E"/>
    <w:rsid w:val="00990197"/>
    <w:rsid w:val="009904E0"/>
    <w:rsid w:val="00990D20"/>
    <w:rsid w:val="00991E62"/>
    <w:rsid w:val="00991F0D"/>
    <w:rsid w:val="0099236E"/>
    <w:rsid w:val="00992672"/>
    <w:rsid w:val="009926BC"/>
    <w:rsid w:val="00992A53"/>
    <w:rsid w:val="00992F7D"/>
    <w:rsid w:val="0099318A"/>
    <w:rsid w:val="009933FB"/>
    <w:rsid w:val="0099389A"/>
    <w:rsid w:val="00993E9F"/>
    <w:rsid w:val="00994575"/>
    <w:rsid w:val="00994A1B"/>
    <w:rsid w:val="00995322"/>
    <w:rsid w:val="00995338"/>
    <w:rsid w:val="00995CE7"/>
    <w:rsid w:val="009969B5"/>
    <w:rsid w:val="00996C1B"/>
    <w:rsid w:val="009974D8"/>
    <w:rsid w:val="009A10F2"/>
    <w:rsid w:val="009A1580"/>
    <w:rsid w:val="009A1B27"/>
    <w:rsid w:val="009A1B9A"/>
    <w:rsid w:val="009A1BF5"/>
    <w:rsid w:val="009A29E5"/>
    <w:rsid w:val="009A2A06"/>
    <w:rsid w:val="009A2D67"/>
    <w:rsid w:val="009A3409"/>
    <w:rsid w:val="009A3879"/>
    <w:rsid w:val="009A3F02"/>
    <w:rsid w:val="009A4A9D"/>
    <w:rsid w:val="009A52AA"/>
    <w:rsid w:val="009A63D1"/>
    <w:rsid w:val="009A6738"/>
    <w:rsid w:val="009A6ABD"/>
    <w:rsid w:val="009A6F7E"/>
    <w:rsid w:val="009A72D2"/>
    <w:rsid w:val="009B02C6"/>
    <w:rsid w:val="009B0758"/>
    <w:rsid w:val="009B07FE"/>
    <w:rsid w:val="009B0877"/>
    <w:rsid w:val="009B0E03"/>
    <w:rsid w:val="009B1D4D"/>
    <w:rsid w:val="009B2215"/>
    <w:rsid w:val="009B22F6"/>
    <w:rsid w:val="009B32C8"/>
    <w:rsid w:val="009B3B07"/>
    <w:rsid w:val="009B4089"/>
    <w:rsid w:val="009B412C"/>
    <w:rsid w:val="009B459C"/>
    <w:rsid w:val="009B49B5"/>
    <w:rsid w:val="009B500D"/>
    <w:rsid w:val="009B507C"/>
    <w:rsid w:val="009B5E5C"/>
    <w:rsid w:val="009B70E9"/>
    <w:rsid w:val="009B79AC"/>
    <w:rsid w:val="009B7B8D"/>
    <w:rsid w:val="009B7F9F"/>
    <w:rsid w:val="009C0639"/>
    <w:rsid w:val="009C0F17"/>
    <w:rsid w:val="009C1289"/>
    <w:rsid w:val="009C12CD"/>
    <w:rsid w:val="009C1527"/>
    <w:rsid w:val="009C1A9B"/>
    <w:rsid w:val="009C1BFE"/>
    <w:rsid w:val="009C1CAA"/>
    <w:rsid w:val="009C213B"/>
    <w:rsid w:val="009C22FA"/>
    <w:rsid w:val="009C30E1"/>
    <w:rsid w:val="009C3143"/>
    <w:rsid w:val="009C4890"/>
    <w:rsid w:val="009C48B2"/>
    <w:rsid w:val="009C4D57"/>
    <w:rsid w:val="009C4ECF"/>
    <w:rsid w:val="009C55D9"/>
    <w:rsid w:val="009C5FB2"/>
    <w:rsid w:val="009C69F1"/>
    <w:rsid w:val="009C7475"/>
    <w:rsid w:val="009C7B74"/>
    <w:rsid w:val="009D01CE"/>
    <w:rsid w:val="009D0F2B"/>
    <w:rsid w:val="009D1797"/>
    <w:rsid w:val="009D1815"/>
    <w:rsid w:val="009D1C50"/>
    <w:rsid w:val="009D1CE8"/>
    <w:rsid w:val="009D1DF2"/>
    <w:rsid w:val="009D20EC"/>
    <w:rsid w:val="009D275E"/>
    <w:rsid w:val="009D305A"/>
    <w:rsid w:val="009D3B44"/>
    <w:rsid w:val="009D4C91"/>
    <w:rsid w:val="009D5241"/>
    <w:rsid w:val="009D5737"/>
    <w:rsid w:val="009D57B3"/>
    <w:rsid w:val="009D6270"/>
    <w:rsid w:val="009D6858"/>
    <w:rsid w:val="009D694C"/>
    <w:rsid w:val="009D6E8C"/>
    <w:rsid w:val="009D720C"/>
    <w:rsid w:val="009D7670"/>
    <w:rsid w:val="009D77EE"/>
    <w:rsid w:val="009E06FF"/>
    <w:rsid w:val="009E0AE0"/>
    <w:rsid w:val="009E1189"/>
    <w:rsid w:val="009E1371"/>
    <w:rsid w:val="009E14F6"/>
    <w:rsid w:val="009E1A64"/>
    <w:rsid w:val="009E2A6C"/>
    <w:rsid w:val="009E3214"/>
    <w:rsid w:val="009E32FB"/>
    <w:rsid w:val="009E34A6"/>
    <w:rsid w:val="009E38AC"/>
    <w:rsid w:val="009E4444"/>
    <w:rsid w:val="009E5676"/>
    <w:rsid w:val="009E5787"/>
    <w:rsid w:val="009E5B8D"/>
    <w:rsid w:val="009E5F4E"/>
    <w:rsid w:val="009E5FD4"/>
    <w:rsid w:val="009E6F00"/>
    <w:rsid w:val="009E75A0"/>
    <w:rsid w:val="009E7912"/>
    <w:rsid w:val="009F03A5"/>
    <w:rsid w:val="009F0ABD"/>
    <w:rsid w:val="009F0B25"/>
    <w:rsid w:val="009F0EC8"/>
    <w:rsid w:val="009F1A89"/>
    <w:rsid w:val="009F1F17"/>
    <w:rsid w:val="009F23A3"/>
    <w:rsid w:val="009F33D5"/>
    <w:rsid w:val="009F53F8"/>
    <w:rsid w:val="009F5403"/>
    <w:rsid w:val="009F56EA"/>
    <w:rsid w:val="009F5E32"/>
    <w:rsid w:val="009F6506"/>
    <w:rsid w:val="009F65C3"/>
    <w:rsid w:val="009F78A0"/>
    <w:rsid w:val="009F7B0F"/>
    <w:rsid w:val="00A0047B"/>
    <w:rsid w:val="00A00721"/>
    <w:rsid w:val="00A00D55"/>
    <w:rsid w:val="00A010AB"/>
    <w:rsid w:val="00A0210F"/>
    <w:rsid w:val="00A02441"/>
    <w:rsid w:val="00A02452"/>
    <w:rsid w:val="00A02D78"/>
    <w:rsid w:val="00A03382"/>
    <w:rsid w:val="00A035F6"/>
    <w:rsid w:val="00A03E50"/>
    <w:rsid w:val="00A044CF"/>
    <w:rsid w:val="00A04606"/>
    <w:rsid w:val="00A048F9"/>
    <w:rsid w:val="00A04DD7"/>
    <w:rsid w:val="00A04E80"/>
    <w:rsid w:val="00A055C8"/>
    <w:rsid w:val="00A05AB3"/>
    <w:rsid w:val="00A05D94"/>
    <w:rsid w:val="00A0601D"/>
    <w:rsid w:val="00A06033"/>
    <w:rsid w:val="00A10208"/>
    <w:rsid w:val="00A10C3E"/>
    <w:rsid w:val="00A11347"/>
    <w:rsid w:val="00A11849"/>
    <w:rsid w:val="00A1210E"/>
    <w:rsid w:val="00A1220B"/>
    <w:rsid w:val="00A12210"/>
    <w:rsid w:val="00A1272D"/>
    <w:rsid w:val="00A13D7B"/>
    <w:rsid w:val="00A142EB"/>
    <w:rsid w:val="00A14AF6"/>
    <w:rsid w:val="00A15884"/>
    <w:rsid w:val="00A16BF2"/>
    <w:rsid w:val="00A179BA"/>
    <w:rsid w:val="00A17B9D"/>
    <w:rsid w:val="00A17D4A"/>
    <w:rsid w:val="00A20CC5"/>
    <w:rsid w:val="00A20D05"/>
    <w:rsid w:val="00A217AD"/>
    <w:rsid w:val="00A220DF"/>
    <w:rsid w:val="00A22321"/>
    <w:rsid w:val="00A22461"/>
    <w:rsid w:val="00A22F2A"/>
    <w:rsid w:val="00A23C02"/>
    <w:rsid w:val="00A24804"/>
    <w:rsid w:val="00A24CCD"/>
    <w:rsid w:val="00A25631"/>
    <w:rsid w:val="00A2566A"/>
    <w:rsid w:val="00A2590B"/>
    <w:rsid w:val="00A26DE8"/>
    <w:rsid w:val="00A30262"/>
    <w:rsid w:val="00A308CA"/>
    <w:rsid w:val="00A30ED8"/>
    <w:rsid w:val="00A316C3"/>
    <w:rsid w:val="00A31CBB"/>
    <w:rsid w:val="00A31FDA"/>
    <w:rsid w:val="00A3215F"/>
    <w:rsid w:val="00A3243E"/>
    <w:rsid w:val="00A32846"/>
    <w:rsid w:val="00A32ADA"/>
    <w:rsid w:val="00A332FB"/>
    <w:rsid w:val="00A33703"/>
    <w:rsid w:val="00A35ED5"/>
    <w:rsid w:val="00A36091"/>
    <w:rsid w:val="00A3627D"/>
    <w:rsid w:val="00A36F12"/>
    <w:rsid w:val="00A37985"/>
    <w:rsid w:val="00A37A61"/>
    <w:rsid w:val="00A411D5"/>
    <w:rsid w:val="00A41302"/>
    <w:rsid w:val="00A416B6"/>
    <w:rsid w:val="00A418D1"/>
    <w:rsid w:val="00A42275"/>
    <w:rsid w:val="00A42FCF"/>
    <w:rsid w:val="00A430E6"/>
    <w:rsid w:val="00A438BB"/>
    <w:rsid w:val="00A44712"/>
    <w:rsid w:val="00A457BC"/>
    <w:rsid w:val="00A46149"/>
    <w:rsid w:val="00A462AA"/>
    <w:rsid w:val="00A47132"/>
    <w:rsid w:val="00A47B05"/>
    <w:rsid w:val="00A47CB1"/>
    <w:rsid w:val="00A50197"/>
    <w:rsid w:val="00A506C9"/>
    <w:rsid w:val="00A50725"/>
    <w:rsid w:val="00A50951"/>
    <w:rsid w:val="00A52BBF"/>
    <w:rsid w:val="00A52DCB"/>
    <w:rsid w:val="00A5318A"/>
    <w:rsid w:val="00A5385A"/>
    <w:rsid w:val="00A53A3F"/>
    <w:rsid w:val="00A5463B"/>
    <w:rsid w:val="00A5470B"/>
    <w:rsid w:val="00A556DE"/>
    <w:rsid w:val="00A56503"/>
    <w:rsid w:val="00A56D9E"/>
    <w:rsid w:val="00A56EEE"/>
    <w:rsid w:val="00A57000"/>
    <w:rsid w:val="00A573F2"/>
    <w:rsid w:val="00A57A64"/>
    <w:rsid w:val="00A60918"/>
    <w:rsid w:val="00A619C2"/>
    <w:rsid w:val="00A619C9"/>
    <w:rsid w:val="00A61A09"/>
    <w:rsid w:val="00A61B81"/>
    <w:rsid w:val="00A6293F"/>
    <w:rsid w:val="00A62CAF"/>
    <w:rsid w:val="00A633A0"/>
    <w:rsid w:val="00A638CC"/>
    <w:rsid w:val="00A646D1"/>
    <w:rsid w:val="00A65172"/>
    <w:rsid w:val="00A658ED"/>
    <w:rsid w:val="00A66F9C"/>
    <w:rsid w:val="00A70150"/>
    <w:rsid w:val="00A7066F"/>
    <w:rsid w:val="00A706EE"/>
    <w:rsid w:val="00A7070A"/>
    <w:rsid w:val="00A714D1"/>
    <w:rsid w:val="00A71D3C"/>
    <w:rsid w:val="00A72FF3"/>
    <w:rsid w:val="00A73078"/>
    <w:rsid w:val="00A731AF"/>
    <w:rsid w:val="00A73757"/>
    <w:rsid w:val="00A73B1B"/>
    <w:rsid w:val="00A7475C"/>
    <w:rsid w:val="00A74954"/>
    <w:rsid w:val="00A74A90"/>
    <w:rsid w:val="00A74C45"/>
    <w:rsid w:val="00A74E08"/>
    <w:rsid w:val="00A752DC"/>
    <w:rsid w:val="00A75D60"/>
    <w:rsid w:val="00A762BA"/>
    <w:rsid w:val="00A768B2"/>
    <w:rsid w:val="00A769B6"/>
    <w:rsid w:val="00A76F00"/>
    <w:rsid w:val="00A773F3"/>
    <w:rsid w:val="00A77588"/>
    <w:rsid w:val="00A77635"/>
    <w:rsid w:val="00A77DF5"/>
    <w:rsid w:val="00A806B4"/>
    <w:rsid w:val="00A80D1B"/>
    <w:rsid w:val="00A8162B"/>
    <w:rsid w:val="00A81691"/>
    <w:rsid w:val="00A81706"/>
    <w:rsid w:val="00A8235C"/>
    <w:rsid w:val="00A825A2"/>
    <w:rsid w:val="00A82701"/>
    <w:rsid w:val="00A82819"/>
    <w:rsid w:val="00A82872"/>
    <w:rsid w:val="00A82E3C"/>
    <w:rsid w:val="00A84C99"/>
    <w:rsid w:val="00A868E4"/>
    <w:rsid w:val="00A86E75"/>
    <w:rsid w:val="00A87EAF"/>
    <w:rsid w:val="00A90ACD"/>
    <w:rsid w:val="00A9195B"/>
    <w:rsid w:val="00A91B65"/>
    <w:rsid w:val="00A91CBD"/>
    <w:rsid w:val="00A91D25"/>
    <w:rsid w:val="00A9209E"/>
    <w:rsid w:val="00A929BD"/>
    <w:rsid w:val="00A9362B"/>
    <w:rsid w:val="00A93D67"/>
    <w:rsid w:val="00A93F41"/>
    <w:rsid w:val="00A944AF"/>
    <w:rsid w:val="00A945FD"/>
    <w:rsid w:val="00A95B98"/>
    <w:rsid w:val="00A96EFA"/>
    <w:rsid w:val="00A9732E"/>
    <w:rsid w:val="00AA00A1"/>
    <w:rsid w:val="00AA0570"/>
    <w:rsid w:val="00AA0641"/>
    <w:rsid w:val="00AA0C71"/>
    <w:rsid w:val="00AA122F"/>
    <w:rsid w:val="00AA13E2"/>
    <w:rsid w:val="00AA1F76"/>
    <w:rsid w:val="00AA1FAA"/>
    <w:rsid w:val="00AA2306"/>
    <w:rsid w:val="00AA2475"/>
    <w:rsid w:val="00AA355B"/>
    <w:rsid w:val="00AA3F44"/>
    <w:rsid w:val="00AA4C2C"/>
    <w:rsid w:val="00AA5142"/>
    <w:rsid w:val="00AA5581"/>
    <w:rsid w:val="00AA62F9"/>
    <w:rsid w:val="00AA6B15"/>
    <w:rsid w:val="00AB0058"/>
    <w:rsid w:val="00AB1A98"/>
    <w:rsid w:val="00AB2592"/>
    <w:rsid w:val="00AB3521"/>
    <w:rsid w:val="00AB35B3"/>
    <w:rsid w:val="00AB3DAE"/>
    <w:rsid w:val="00AB4715"/>
    <w:rsid w:val="00AB4836"/>
    <w:rsid w:val="00AB4A58"/>
    <w:rsid w:val="00AB4F00"/>
    <w:rsid w:val="00AB50E6"/>
    <w:rsid w:val="00AB5694"/>
    <w:rsid w:val="00AB5800"/>
    <w:rsid w:val="00AB58EE"/>
    <w:rsid w:val="00AB6E5F"/>
    <w:rsid w:val="00AB6EB3"/>
    <w:rsid w:val="00AB6F9F"/>
    <w:rsid w:val="00AB70D3"/>
    <w:rsid w:val="00AB717E"/>
    <w:rsid w:val="00AB7718"/>
    <w:rsid w:val="00AB791C"/>
    <w:rsid w:val="00AB7BDF"/>
    <w:rsid w:val="00AC00D5"/>
    <w:rsid w:val="00AC1197"/>
    <w:rsid w:val="00AC122B"/>
    <w:rsid w:val="00AC20F4"/>
    <w:rsid w:val="00AC297F"/>
    <w:rsid w:val="00AC29AE"/>
    <w:rsid w:val="00AC2E22"/>
    <w:rsid w:val="00AC3011"/>
    <w:rsid w:val="00AC320B"/>
    <w:rsid w:val="00AC3244"/>
    <w:rsid w:val="00AC329F"/>
    <w:rsid w:val="00AC331B"/>
    <w:rsid w:val="00AC3C1D"/>
    <w:rsid w:val="00AC4332"/>
    <w:rsid w:val="00AC45CD"/>
    <w:rsid w:val="00AC4A0D"/>
    <w:rsid w:val="00AC4AE7"/>
    <w:rsid w:val="00AC4BA4"/>
    <w:rsid w:val="00AC4DFA"/>
    <w:rsid w:val="00AC7379"/>
    <w:rsid w:val="00AD078B"/>
    <w:rsid w:val="00AD1016"/>
    <w:rsid w:val="00AD154B"/>
    <w:rsid w:val="00AD196D"/>
    <w:rsid w:val="00AD2C99"/>
    <w:rsid w:val="00AD315E"/>
    <w:rsid w:val="00AD3C00"/>
    <w:rsid w:val="00AD3C5E"/>
    <w:rsid w:val="00AD470D"/>
    <w:rsid w:val="00AD472B"/>
    <w:rsid w:val="00AD5162"/>
    <w:rsid w:val="00AD5423"/>
    <w:rsid w:val="00AD63F0"/>
    <w:rsid w:val="00AD7434"/>
    <w:rsid w:val="00AD7C8F"/>
    <w:rsid w:val="00AD7DB8"/>
    <w:rsid w:val="00AE046B"/>
    <w:rsid w:val="00AE0914"/>
    <w:rsid w:val="00AE10BA"/>
    <w:rsid w:val="00AE1C9F"/>
    <w:rsid w:val="00AE1E42"/>
    <w:rsid w:val="00AE218F"/>
    <w:rsid w:val="00AE2C0F"/>
    <w:rsid w:val="00AE2D25"/>
    <w:rsid w:val="00AE2D63"/>
    <w:rsid w:val="00AE30BD"/>
    <w:rsid w:val="00AE365C"/>
    <w:rsid w:val="00AE3846"/>
    <w:rsid w:val="00AE3FBB"/>
    <w:rsid w:val="00AE5300"/>
    <w:rsid w:val="00AE58B3"/>
    <w:rsid w:val="00AE66C8"/>
    <w:rsid w:val="00AE71BE"/>
    <w:rsid w:val="00AE785A"/>
    <w:rsid w:val="00AE7D37"/>
    <w:rsid w:val="00AF02F7"/>
    <w:rsid w:val="00AF0313"/>
    <w:rsid w:val="00AF04D2"/>
    <w:rsid w:val="00AF0802"/>
    <w:rsid w:val="00AF1598"/>
    <w:rsid w:val="00AF20B5"/>
    <w:rsid w:val="00AF213C"/>
    <w:rsid w:val="00AF246F"/>
    <w:rsid w:val="00AF2808"/>
    <w:rsid w:val="00AF280E"/>
    <w:rsid w:val="00AF2E2B"/>
    <w:rsid w:val="00AF3D45"/>
    <w:rsid w:val="00AF3F72"/>
    <w:rsid w:val="00AF492D"/>
    <w:rsid w:val="00AF5874"/>
    <w:rsid w:val="00AF5A25"/>
    <w:rsid w:val="00AF6C1D"/>
    <w:rsid w:val="00AF6FAC"/>
    <w:rsid w:val="00B0030D"/>
    <w:rsid w:val="00B00577"/>
    <w:rsid w:val="00B00712"/>
    <w:rsid w:val="00B00CB9"/>
    <w:rsid w:val="00B00CE2"/>
    <w:rsid w:val="00B011B7"/>
    <w:rsid w:val="00B02175"/>
    <w:rsid w:val="00B029F9"/>
    <w:rsid w:val="00B02ACB"/>
    <w:rsid w:val="00B02C92"/>
    <w:rsid w:val="00B0357B"/>
    <w:rsid w:val="00B03C79"/>
    <w:rsid w:val="00B042E8"/>
    <w:rsid w:val="00B0466E"/>
    <w:rsid w:val="00B049C5"/>
    <w:rsid w:val="00B04DE3"/>
    <w:rsid w:val="00B0709C"/>
    <w:rsid w:val="00B1082D"/>
    <w:rsid w:val="00B10B0E"/>
    <w:rsid w:val="00B111F5"/>
    <w:rsid w:val="00B11660"/>
    <w:rsid w:val="00B11EBA"/>
    <w:rsid w:val="00B11F91"/>
    <w:rsid w:val="00B122F0"/>
    <w:rsid w:val="00B12E29"/>
    <w:rsid w:val="00B136C5"/>
    <w:rsid w:val="00B13AEF"/>
    <w:rsid w:val="00B14351"/>
    <w:rsid w:val="00B147B2"/>
    <w:rsid w:val="00B150C4"/>
    <w:rsid w:val="00B1560E"/>
    <w:rsid w:val="00B15934"/>
    <w:rsid w:val="00B15D5E"/>
    <w:rsid w:val="00B15ECD"/>
    <w:rsid w:val="00B16090"/>
    <w:rsid w:val="00B163E1"/>
    <w:rsid w:val="00B1726F"/>
    <w:rsid w:val="00B173B0"/>
    <w:rsid w:val="00B1757A"/>
    <w:rsid w:val="00B17D6D"/>
    <w:rsid w:val="00B20E61"/>
    <w:rsid w:val="00B212D3"/>
    <w:rsid w:val="00B2195C"/>
    <w:rsid w:val="00B21B99"/>
    <w:rsid w:val="00B21D61"/>
    <w:rsid w:val="00B22150"/>
    <w:rsid w:val="00B223B6"/>
    <w:rsid w:val="00B227BE"/>
    <w:rsid w:val="00B2285E"/>
    <w:rsid w:val="00B22DC9"/>
    <w:rsid w:val="00B22DEE"/>
    <w:rsid w:val="00B2365E"/>
    <w:rsid w:val="00B23B4B"/>
    <w:rsid w:val="00B23C21"/>
    <w:rsid w:val="00B23EA3"/>
    <w:rsid w:val="00B243DB"/>
    <w:rsid w:val="00B2468D"/>
    <w:rsid w:val="00B246B8"/>
    <w:rsid w:val="00B25806"/>
    <w:rsid w:val="00B25A3A"/>
    <w:rsid w:val="00B2601A"/>
    <w:rsid w:val="00B27085"/>
    <w:rsid w:val="00B277EC"/>
    <w:rsid w:val="00B3086C"/>
    <w:rsid w:val="00B30A29"/>
    <w:rsid w:val="00B313DE"/>
    <w:rsid w:val="00B31CC0"/>
    <w:rsid w:val="00B31E67"/>
    <w:rsid w:val="00B31FC7"/>
    <w:rsid w:val="00B32851"/>
    <w:rsid w:val="00B32BE6"/>
    <w:rsid w:val="00B32F0C"/>
    <w:rsid w:val="00B333C5"/>
    <w:rsid w:val="00B33498"/>
    <w:rsid w:val="00B33C3A"/>
    <w:rsid w:val="00B33D71"/>
    <w:rsid w:val="00B33F6F"/>
    <w:rsid w:val="00B34068"/>
    <w:rsid w:val="00B34655"/>
    <w:rsid w:val="00B36CFE"/>
    <w:rsid w:val="00B36D98"/>
    <w:rsid w:val="00B37017"/>
    <w:rsid w:val="00B37216"/>
    <w:rsid w:val="00B37E81"/>
    <w:rsid w:val="00B37F23"/>
    <w:rsid w:val="00B40389"/>
    <w:rsid w:val="00B4045C"/>
    <w:rsid w:val="00B406BA"/>
    <w:rsid w:val="00B40716"/>
    <w:rsid w:val="00B40D4A"/>
    <w:rsid w:val="00B41221"/>
    <w:rsid w:val="00B41355"/>
    <w:rsid w:val="00B41706"/>
    <w:rsid w:val="00B42C71"/>
    <w:rsid w:val="00B42E2B"/>
    <w:rsid w:val="00B435E4"/>
    <w:rsid w:val="00B44EFF"/>
    <w:rsid w:val="00B44F05"/>
    <w:rsid w:val="00B45259"/>
    <w:rsid w:val="00B462C9"/>
    <w:rsid w:val="00B476AF"/>
    <w:rsid w:val="00B47CC7"/>
    <w:rsid w:val="00B502FA"/>
    <w:rsid w:val="00B51B51"/>
    <w:rsid w:val="00B51EEB"/>
    <w:rsid w:val="00B525B4"/>
    <w:rsid w:val="00B52A41"/>
    <w:rsid w:val="00B52C82"/>
    <w:rsid w:val="00B5314A"/>
    <w:rsid w:val="00B535CA"/>
    <w:rsid w:val="00B53A88"/>
    <w:rsid w:val="00B54029"/>
    <w:rsid w:val="00B54187"/>
    <w:rsid w:val="00B54366"/>
    <w:rsid w:val="00B54DD6"/>
    <w:rsid w:val="00B553F3"/>
    <w:rsid w:val="00B5541A"/>
    <w:rsid w:val="00B5590F"/>
    <w:rsid w:val="00B5593F"/>
    <w:rsid w:val="00B562A5"/>
    <w:rsid w:val="00B56368"/>
    <w:rsid w:val="00B564C9"/>
    <w:rsid w:val="00B570EA"/>
    <w:rsid w:val="00B60425"/>
    <w:rsid w:val="00B61C86"/>
    <w:rsid w:val="00B624BC"/>
    <w:rsid w:val="00B6321D"/>
    <w:rsid w:val="00B63763"/>
    <w:rsid w:val="00B63B5F"/>
    <w:rsid w:val="00B63F5A"/>
    <w:rsid w:val="00B64BDF"/>
    <w:rsid w:val="00B64D25"/>
    <w:rsid w:val="00B655F7"/>
    <w:rsid w:val="00B65753"/>
    <w:rsid w:val="00B65C7D"/>
    <w:rsid w:val="00B65E98"/>
    <w:rsid w:val="00B663FD"/>
    <w:rsid w:val="00B66EAC"/>
    <w:rsid w:val="00B67513"/>
    <w:rsid w:val="00B67CBD"/>
    <w:rsid w:val="00B707D6"/>
    <w:rsid w:val="00B71241"/>
    <w:rsid w:val="00B71F41"/>
    <w:rsid w:val="00B71F68"/>
    <w:rsid w:val="00B72CFC"/>
    <w:rsid w:val="00B73BD4"/>
    <w:rsid w:val="00B73E82"/>
    <w:rsid w:val="00B74241"/>
    <w:rsid w:val="00B74357"/>
    <w:rsid w:val="00B75642"/>
    <w:rsid w:val="00B765B2"/>
    <w:rsid w:val="00B77564"/>
    <w:rsid w:val="00B77C1D"/>
    <w:rsid w:val="00B77E5E"/>
    <w:rsid w:val="00B77E9A"/>
    <w:rsid w:val="00B80DEC"/>
    <w:rsid w:val="00B81972"/>
    <w:rsid w:val="00B81A81"/>
    <w:rsid w:val="00B81AB8"/>
    <w:rsid w:val="00B81C1A"/>
    <w:rsid w:val="00B823E7"/>
    <w:rsid w:val="00B83660"/>
    <w:rsid w:val="00B83892"/>
    <w:rsid w:val="00B83D8D"/>
    <w:rsid w:val="00B845B1"/>
    <w:rsid w:val="00B846E0"/>
    <w:rsid w:val="00B84A30"/>
    <w:rsid w:val="00B84B5F"/>
    <w:rsid w:val="00B84C2F"/>
    <w:rsid w:val="00B857EA"/>
    <w:rsid w:val="00B857FE"/>
    <w:rsid w:val="00B85F8C"/>
    <w:rsid w:val="00B861B0"/>
    <w:rsid w:val="00B86D01"/>
    <w:rsid w:val="00B87025"/>
    <w:rsid w:val="00B8736C"/>
    <w:rsid w:val="00B87CB2"/>
    <w:rsid w:val="00B87CF5"/>
    <w:rsid w:val="00B901A8"/>
    <w:rsid w:val="00B906AC"/>
    <w:rsid w:val="00B906EC"/>
    <w:rsid w:val="00B90979"/>
    <w:rsid w:val="00B90DBE"/>
    <w:rsid w:val="00B90E6C"/>
    <w:rsid w:val="00B91AFC"/>
    <w:rsid w:val="00B91E9C"/>
    <w:rsid w:val="00B92713"/>
    <w:rsid w:val="00B931A7"/>
    <w:rsid w:val="00B93732"/>
    <w:rsid w:val="00B93DFF"/>
    <w:rsid w:val="00B94071"/>
    <w:rsid w:val="00B94708"/>
    <w:rsid w:val="00B94A80"/>
    <w:rsid w:val="00B950F7"/>
    <w:rsid w:val="00B95747"/>
    <w:rsid w:val="00B958CB"/>
    <w:rsid w:val="00B95DFD"/>
    <w:rsid w:val="00B96A9C"/>
    <w:rsid w:val="00B97868"/>
    <w:rsid w:val="00BA0285"/>
    <w:rsid w:val="00BA02C9"/>
    <w:rsid w:val="00BA082F"/>
    <w:rsid w:val="00BA118F"/>
    <w:rsid w:val="00BA11B7"/>
    <w:rsid w:val="00BA1248"/>
    <w:rsid w:val="00BA1665"/>
    <w:rsid w:val="00BA1CD4"/>
    <w:rsid w:val="00BA221C"/>
    <w:rsid w:val="00BA2530"/>
    <w:rsid w:val="00BA2674"/>
    <w:rsid w:val="00BA293F"/>
    <w:rsid w:val="00BA29ED"/>
    <w:rsid w:val="00BA3F88"/>
    <w:rsid w:val="00BA3FA6"/>
    <w:rsid w:val="00BA5209"/>
    <w:rsid w:val="00BA5FB2"/>
    <w:rsid w:val="00BA645B"/>
    <w:rsid w:val="00BA64FE"/>
    <w:rsid w:val="00BA6CF7"/>
    <w:rsid w:val="00BA7170"/>
    <w:rsid w:val="00BA7A05"/>
    <w:rsid w:val="00BA7A0D"/>
    <w:rsid w:val="00BA7BE9"/>
    <w:rsid w:val="00BA7C05"/>
    <w:rsid w:val="00BB00AA"/>
    <w:rsid w:val="00BB0EDE"/>
    <w:rsid w:val="00BB15EC"/>
    <w:rsid w:val="00BB1663"/>
    <w:rsid w:val="00BB17F1"/>
    <w:rsid w:val="00BB19BB"/>
    <w:rsid w:val="00BB1AEB"/>
    <w:rsid w:val="00BB1C5D"/>
    <w:rsid w:val="00BB3FE6"/>
    <w:rsid w:val="00BB456C"/>
    <w:rsid w:val="00BB5053"/>
    <w:rsid w:val="00BB554C"/>
    <w:rsid w:val="00BB60DE"/>
    <w:rsid w:val="00BB639C"/>
    <w:rsid w:val="00BB655D"/>
    <w:rsid w:val="00BB665C"/>
    <w:rsid w:val="00BB6CAF"/>
    <w:rsid w:val="00BB71A8"/>
    <w:rsid w:val="00BB72C9"/>
    <w:rsid w:val="00BC0401"/>
    <w:rsid w:val="00BC0E0A"/>
    <w:rsid w:val="00BC283D"/>
    <w:rsid w:val="00BC3207"/>
    <w:rsid w:val="00BC3D9B"/>
    <w:rsid w:val="00BC4926"/>
    <w:rsid w:val="00BC5188"/>
    <w:rsid w:val="00BC5B20"/>
    <w:rsid w:val="00BC5B24"/>
    <w:rsid w:val="00BC5DE5"/>
    <w:rsid w:val="00BC6556"/>
    <w:rsid w:val="00BC685A"/>
    <w:rsid w:val="00BC68D6"/>
    <w:rsid w:val="00BC76FB"/>
    <w:rsid w:val="00BC7733"/>
    <w:rsid w:val="00BC77F4"/>
    <w:rsid w:val="00BD0222"/>
    <w:rsid w:val="00BD1220"/>
    <w:rsid w:val="00BD197D"/>
    <w:rsid w:val="00BD206D"/>
    <w:rsid w:val="00BD2530"/>
    <w:rsid w:val="00BD39EF"/>
    <w:rsid w:val="00BD4547"/>
    <w:rsid w:val="00BD4F81"/>
    <w:rsid w:val="00BD522C"/>
    <w:rsid w:val="00BD5E50"/>
    <w:rsid w:val="00BD64F1"/>
    <w:rsid w:val="00BD666B"/>
    <w:rsid w:val="00BD69DD"/>
    <w:rsid w:val="00BD70C4"/>
    <w:rsid w:val="00BD74F8"/>
    <w:rsid w:val="00BD7933"/>
    <w:rsid w:val="00BD7BE9"/>
    <w:rsid w:val="00BE0CBA"/>
    <w:rsid w:val="00BE13FE"/>
    <w:rsid w:val="00BE1423"/>
    <w:rsid w:val="00BE1D63"/>
    <w:rsid w:val="00BE2024"/>
    <w:rsid w:val="00BE209B"/>
    <w:rsid w:val="00BE29FE"/>
    <w:rsid w:val="00BE2D18"/>
    <w:rsid w:val="00BE4612"/>
    <w:rsid w:val="00BE49E7"/>
    <w:rsid w:val="00BE6768"/>
    <w:rsid w:val="00BE6D36"/>
    <w:rsid w:val="00BE7EB7"/>
    <w:rsid w:val="00BF0372"/>
    <w:rsid w:val="00BF07B5"/>
    <w:rsid w:val="00BF0AC8"/>
    <w:rsid w:val="00BF0FE8"/>
    <w:rsid w:val="00BF129D"/>
    <w:rsid w:val="00BF148E"/>
    <w:rsid w:val="00BF1DD6"/>
    <w:rsid w:val="00BF2230"/>
    <w:rsid w:val="00BF236E"/>
    <w:rsid w:val="00BF2720"/>
    <w:rsid w:val="00BF417D"/>
    <w:rsid w:val="00BF42EB"/>
    <w:rsid w:val="00BF4C77"/>
    <w:rsid w:val="00BF4CA5"/>
    <w:rsid w:val="00BF54B3"/>
    <w:rsid w:val="00BF5CA9"/>
    <w:rsid w:val="00BF5E16"/>
    <w:rsid w:val="00BF6B18"/>
    <w:rsid w:val="00BF6C0B"/>
    <w:rsid w:val="00BF7431"/>
    <w:rsid w:val="00BF7D7B"/>
    <w:rsid w:val="00C00587"/>
    <w:rsid w:val="00C01E11"/>
    <w:rsid w:val="00C021AC"/>
    <w:rsid w:val="00C02B74"/>
    <w:rsid w:val="00C03130"/>
    <w:rsid w:val="00C0328E"/>
    <w:rsid w:val="00C032D2"/>
    <w:rsid w:val="00C03849"/>
    <w:rsid w:val="00C03A0A"/>
    <w:rsid w:val="00C03B06"/>
    <w:rsid w:val="00C03B47"/>
    <w:rsid w:val="00C03C9B"/>
    <w:rsid w:val="00C03CC1"/>
    <w:rsid w:val="00C04F5E"/>
    <w:rsid w:val="00C05337"/>
    <w:rsid w:val="00C05894"/>
    <w:rsid w:val="00C05F80"/>
    <w:rsid w:val="00C06076"/>
    <w:rsid w:val="00C06232"/>
    <w:rsid w:val="00C06FBD"/>
    <w:rsid w:val="00C072D3"/>
    <w:rsid w:val="00C07494"/>
    <w:rsid w:val="00C07A33"/>
    <w:rsid w:val="00C07A7E"/>
    <w:rsid w:val="00C101EC"/>
    <w:rsid w:val="00C10AD1"/>
    <w:rsid w:val="00C10C07"/>
    <w:rsid w:val="00C1169B"/>
    <w:rsid w:val="00C1177B"/>
    <w:rsid w:val="00C11F6F"/>
    <w:rsid w:val="00C1301A"/>
    <w:rsid w:val="00C13E9E"/>
    <w:rsid w:val="00C146D8"/>
    <w:rsid w:val="00C154B9"/>
    <w:rsid w:val="00C1562F"/>
    <w:rsid w:val="00C15BF8"/>
    <w:rsid w:val="00C1699D"/>
    <w:rsid w:val="00C176BA"/>
    <w:rsid w:val="00C17B15"/>
    <w:rsid w:val="00C2111B"/>
    <w:rsid w:val="00C2155B"/>
    <w:rsid w:val="00C21F53"/>
    <w:rsid w:val="00C22FED"/>
    <w:rsid w:val="00C23246"/>
    <w:rsid w:val="00C234DC"/>
    <w:rsid w:val="00C23F30"/>
    <w:rsid w:val="00C24627"/>
    <w:rsid w:val="00C24AFA"/>
    <w:rsid w:val="00C24E42"/>
    <w:rsid w:val="00C24F6A"/>
    <w:rsid w:val="00C25A24"/>
    <w:rsid w:val="00C25A58"/>
    <w:rsid w:val="00C25ED4"/>
    <w:rsid w:val="00C2784D"/>
    <w:rsid w:val="00C27B73"/>
    <w:rsid w:val="00C3038E"/>
    <w:rsid w:val="00C30837"/>
    <w:rsid w:val="00C30F6A"/>
    <w:rsid w:val="00C31FCB"/>
    <w:rsid w:val="00C32250"/>
    <w:rsid w:val="00C33147"/>
    <w:rsid w:val="00C333F6"/>
    <w:rsid w:val="00C33507"/>
    <w:rsid w:val="00C336C2"/>
    <w:rsid w:val="00C33E9E"/>
    <w:rsid w:val="00C34874"/>
    <w:rsid w:val="00C34A83"/>
    <w:rsid w:val="00C3530A"/>
    <w:rsid w:val="00C35C6E"/>
    <w:rsid w:val="00C36767"/>
    <w:rsid w:val="00C374DB"/>
    <w:rsid w:val="00C40811"/>
    <w:rsid w:val="00C40B42"/>
    <w:rsid w:val="00C42081"/>
    <w:rsid w:val="00C42127"/>
    <w:rsid w:val="00C42522"/>
    <w:rsid w:val="00C42609"/>
    <w:rsid w:val="00C42C6B"/>
    <w:rsid w:val="00C42CFB"/>
    <w:rsid w:val="00C42E7A"/>
    <w:rsid w:val="00C4355F"/>
    <w:rsid w:val="00C444E2"/>
    <w:rsid w:val="00C44B0C"/>
    <w:rsid w:val="00C44CD4"/>
    <w:rsid w:val="00C44E4D"/>
    <w:rsid w:val="00C44EFA"/>
    <w:rsid w:val="00C44FB8"/>
    <w:rsid w:val="00C45633"/>
    <w:rsid w:val="00C45D9C"/>
    <w:rsid w:val="00C4609B"/>
    <w:rsid w:val="00C464EB"/>
    <w:rsid w:val="00C46756"/>
    <w:rsid w:val="00C47243"/>
    <w:rsid w:val="00C474FF"/>
    <w:rsid w:val="00C500AA"/>
    <w:rsid w:val="00C50A33"/>
    <w:rsid w:val="00C50BF3"/>
    <w:rsid w:val="00C50C83"/>
    <w:rsid w:val="00C50CE9"/>
    <w:rsid w:val="00C513B3"/>
    <w:rsid w:val="00C526A0"/>
    <w:rsid w:val="00C52ABF"/>
    <w:rsid w:val="00C52BB8"/>
    <w:rsid w:val="00C54CCD"/>
    <w:rsid w:val="00C54DEC"/>
    <w:rsid w:val="00C55193"/>
    <w:rsid w:val="00C55639"/>
    <w:rsid w:val="00C55DF4"/>
    <w:rsid w:val="00C55F46"/>
    <w:rsid w:val="00C576F5"/>
    <w:rsid w:val="00C602FD"/>
    <w:rsid w:val="00C60DE1"/>
    <w:rsid w:val="00C61685"/>
    <w:rsid w:val="00C617CC"/>
    <w:rsid w:val="00C618C4"/>
    <w:rsid w:val="00C61D04"/>
    <w:rsid w:val="00C61DF6"/>
    <w:rsid w:val="00C624AA"/>
    <w:rsid w:val="00C62752"/>
    <w:rsid w:val="00C62955"/>
    <w:rsid w:val="00C62D81"/>
    <w:rsid w:val="00C63DAB"/>
    <w:rsid w:val="00C6440F"/>
    <w:rsid w:val="00C65432"/>
    <w:rsid w:val="00C65526"/>
    <w:rsid w:val="00C6552B"/>
    <w:rsid w:val="00C657A0"/>
    <w:rsid w:val="00C66463"/>
    <w:rsid w:val="00C66622"/>
    <w:rsid w:val="00C67DFC"/>
    <w:rsid w:val="00C70502"/>
    <w:rsid w:val="00C706B6"/>
    <w:rsid w:val="00C70C2D"/>
    <w:rsid w:val="00C70C88"/>
    <w:rsid w:val="00C71348"/>
    <w:rsid w:val="00C716F6"/>
    <w:rsid w:val="00C7289B"/>
    <w:rsid w:val="00C7335C"/>
    <w:rsid w:val="00C7390D"/>
    <w:rsid w:val="00C73BA0"/>
    <w:rsid w:val="00C73DD1"/>
    <w:rsid w:val="00C7453A"/>
    <w:rsid w:val="00C74B3F"/>
    <w:rsid w:val="00C74EB6"/>
    <w:rsid w:val="00C75A1E"/>
    <w:rsid w:val="00C768F7"/>
    <w:rsid w:val="00C771AA"/>
    <w:rsid w:val="00C80046"/>
    <w:rsid w:val="00C80195"/>
    <w:rsid w:val="00C80369"/>
    <w:rsid w:val="00C80ED9"/>
    <w:rsid w:val="00C81035"/>
    <w:rsid w:val="00C811CE"/>
    <w:rsid w:val="00C81CA4"/>
    <w:rsid w:val="00C8201D"/>
    <w:rsid w:val="00C833BB"/>
    <w:rsid w:val="00C833DB"/>
    <w:rsid w:val="00C84C2A"/>
    <w:rsid w:val="00C84C7A"/>
    <w:rsid w:val="00C85715"/>
    <w:rsid w:val="00C867BE"/>
    <w:rsid w:val="00C867E1"/>
    <w:rsid w:val="00C873EF"/>
    <w:rsid w:val="00C87422"/>
    <w:rsid w:val="00C87597"/>
    <w:rsid w:val="00C876F3"/>
    <w:rsid w:val="00C87826"/>
    <w:rsid w:val="00C8783F"/>
    <w:rsid w:val="00C87B25"/>
    <w:rsid w:val="00C9018E"/>
    <w:rsid w:val="00C912AB"/>
    <w:rsid w:val="00C91943"/>
    <w:rsid w:val="00C91A62"/>
    <w:rsid w:val="00C91AAA"/>
    <w:rsid w:val="00C91EE4"/>
    <w:rsid w:val="00C9212A"/>
    <w:rsid w:val="00C92372"/>
    <w:rsid w:val="00C92E3E"/>
    <w:rsid w:val="00C9318C"/>
    <w:rsid w:val="00C93758"/>
    <w:rsid w:val="00C94A9A"/>
    <w:rsid w:val="00C94D01"/>
    <w:rsid w:val="00C9531F"/>
    <w:rsid w:val="00C95587"/>
    <w:rsid w:val="00C955B1"/>
    <w:rsid w:val="00C955B7"/>
    <w:rsid w:val="00C95E17"/>
    <w:rsid w:val="00C962CD"/>
    <w:rsid w:val="00C96B5E"/>
    <w:rsid w:val="00C96DA0"/>
    <w:rsid w:val="00C979C8"/>
    <w:rsid w:val="00C97D7B"/>
    <w:rsid w:val="00CA1587"/>
    <w:rsid w:val="00CA19EE"/>
    <w:rsid w:val="00CA1F11"/>
    <w:rsid w:val="00CA21BE"/>
    <w:rsid w:val="00CA26C9"/>
    <w:rsid w:val="00CA26D5"/>
    <w:rsid w:val="00CA3362"/>
    <w:rsid w:val="00CA3382"/>
    <w:rsid w:val="00CA4AAD"/>
    <w:rsid w:val="00CA5351"/>
    <w:rsid w:val="00CA5B16"/>
    <w:rsid w:val="00CA619B"/>
    <w:rsid w:val="00CA6AB8"/>
    <w:rsid w:val="00CA6BAA"/>
    <w:rsid w:val="00CA7494"/>
    <w:rsid w:val="00CB02F0"/>
    <w:rsid w:val="00CB0557"/>
    <w:rsid w:val="00CB0854"/>
    <w:rsid w:val="00CB1B12"/>
    <w:rsid w:val="00CB1EE3"/>
    <w:rsid w:val="00CB2C23"/>
    <w:rsid w:val="00CB3BCB"/>
    <w:rsid w:val="00CB3D8E"/>
    <w:rsid w:val="00CB51F1"/>
    <w:rsid w:val="00CB5290"/>
    <w:rsid w:val="00CB5552"/>
    <w:rsid w:val="00CB580E"/>
    <w:rsid w:val="00CB5AE9"/>
    <w:rsid w:val="00CB6138"/>
    <w:rsid w:val="00CB73E4"/>
    <w:rsid w:val="00CB780D"/>
    <w:rsid w:val="00CB7A1B"/>
    <w:rsid w:val="00CC160C"/>
    <w:rsid w:val="00CC17E1"/>
    <w:rsid w:val="00CC1AE6"/>
    <w:rsid w:val="00CC2D82"/>
    <w:rsid w:val="00CC2EB5"/>
    <w:rsid w:val="00CC3C95"/>
    <w:rsid w:val="00CC4BC6"/>
    <w:rsid w:val="00CC4BF8"/>
    <w:rsid w:val="00CC502D"/>
    <w:rsid w:val="00CC6BDF"/>
    <w:rsid w:val="00CC7021"/>
    <w:rsid w:val="00CC7721"/>
    <w:rsid w:val="00CC7A92"/>
    <w:rsid w:val="00CC7DD4"/>
    <w:rsid w:val="00CD0084"/>
    <w:rsid w:val="00CD03FC"/>
    <w:rsid w:val="00CD1A50"/>
    <w:rsid w:val="00CD2C7D"/>
    <w:rsid w:val="00CD2F6E"/>
    <w:rsid w:val="00CD3C59"/>
    <w:rsid w:val="00CD3FE0"/>
    <w:rsid w:val="00CD40CF"/>
    <w:rsid w:val="00CD4161"/>
    <w:rsid w:val="00CD44E3"/>
    <w:rsid w:val="00CD4579"/>
    <w:rsid w:val="00CD4BF3"/>
    <w:rsid w:val="00CD4DC3"/>
    <w:rsid w:val="00CD5564"/>
    <w:rsid w:val="00CD5B8F"/>
    <w:rsid w:val="00CD6115"/>
    <w:rsid w:val="00CD61AD"/>
    <w:rsid w:val="00CD6284"/>
    <w:rsid w:val="00CD6678"/>
    <w:rsid w:val="00CD791D"/>
    <w:rsid w:val="00CD7C43"/>
    <w:rsid w:val="00CE0B9C"/>
    <w:rsid w:val="00CE12DF"/>
    <w:rsid w:val="00CE17CB"/>
    <w:rsid w:val="00CE1E63"/>
    <w:rsid w:val="00CE204F"/>
    <w:rsid w:val="00CE241F"/>
    <w:rsid w:val="00CE29D9"/>
    <w:rsid w:val="00CE2A6E"/>
    <w:rsid w:val="00CE2ED6"/>
    <w:rsid w:val="00CE308E"/>
    <w:rsid w:val="00CE3097"/>
    <w:rsid w:val="00CE33EB"/>
    <w:rsid w:val="00CE3BE2"/>
    <w:rsid w:val="00CE4801"/>
    <w:rsid w:val="00CE49EE"/>
    <w:rsid w:val="00CE5402"/>
    <w:rsid w:val="00CE5450"/>
    <w:rsid w:val="00CE6287"/>
    <w:rsid w:val="00CE68E7"/>
    <w:rsid w:val="00CE6C3C"/>
    <w:rsid w:val="00CE6CCF"/>
    <w:rsid w:val="00CE7909"/>
    <w:rsid w:val="00CF07B9"/>
    <w:rsid w:val="00CF0C33"/>
    <w:rsid w:val="00CF19CA"/>
    <w:rsid w:val="00CF1CC2"/>
    <w:rsid w:val="00CF1E18"/>
    <w:rsid w:val="00CF4EF1"/>
    <w:rsid w:val="00CF5436"/>
    <w:rsid w:val="00CF5720"/>
    <w:rsid w:val="00CF6378"/>
    <w:rsid w:val="00CF681C"/>
    <w:rsid w:val="00CF6F0D"/>
    <w:rsid w:val="00CF70FB"/>
    <w:rsid w:val="00CF726D"/>
    <w:rsid w:val="00CF7407"/>
    <w:rsid w:val="00CF792A"/>
    <w:rsid w:val="00CF7D2E"/>
    <w:rsid w:val="00D00199"/>
    <w:rsid w:val="00D00774"/>
    <w:rsid w:val="00D01157"/>
    <w:rsid w:val="00D0115A"/>
    <w:rsid w:val="00D022BB"/>
    <w:rsid w:val="00D02ACF"/>
    <w:rsid w:val="00D02D33"/>
    <w:rsid w:val="00D02E67"/>
    <w:rsid w:val="00D04E13"/>
    <w:rsid w:val="00D054F9"/>
    <w:rsid w:val="00D06046"/>
    <w:rsid w:val="00D0642D"/>
    <w:rsid w:val="00D064CA"/>
    <w:rsid w:val="00D1054F"/>
    <w:rsid w:val="00D10872"/>
    <w:rsid w:val="00D10933"/>
    <w:rsid w:val="00D11CB5"/>
    <w:rsid w:val="00D130E9"/>
    <w:rsid w:val="00D13954"/>
    <w:rsid w:val="00D1425C"/>
    <w:rsid w:val="00D14538"/>
    <w:rsid w:val="00D148F4"/>
    <w:rsid w:val="00D14CD5"/>
    <w:rsid w:val="00D1540D"/>
    <w:rsid w:val="00D15A9D"/>
    <w:rsid w:val="00D168A6"/>
    <w:rsid w:val="00D16B7F"/>
    <w:rsid w:val="00D16DD1"/>
    <w:rsid w:val="00D173D4"/>
    <w:rsid w:val="00D1744B"/>
    <w:rsid w:val="00D17A6A"/>
    <w:rsid w:val="00D17B5C"/>
    <w:rsid w:val="00D20016"/>
    <w:rsid w:val="00D20668"/>
    <w:rsid w:val="00D20E9D"/>
    <w:rsid w:val="00D20F34"/>
    <w:rsid w:val="00D210FC"/>
    <w:rsid w:val="00D217AF"/>
    <w:rsid w:val="00D2216F"/>
    <w:rsid w:val="00D22758"/>
    <w:rsid w:val="00D22E30"/>
    <w:rsid w:val="00D23A3A"/>
    <w:rsid w:val="00D23A89"/>
    <w:rsid w:val="00D23BAA"/>
    <w:rsid w:val="00D2433A"/>
    <w:rsid w:val="00D243BF"/>
    <w:rsid w:val="00D24D66"/>
    <w:rsid w:val="00D25924"/>
    <w:rsid w:val="00D2679D"/>
    <w:rsid w:val="00D272EF"/>
    <w:rsid w:val="00D279C4"/>
    <w:rsid w:val="00D30208"/>
    <w:rsid w:val="00D30884"/>
    <w:rsid w:val="00D31BE3"/>
    <w:rsid w:val="00D31C32"/>
    <w:rsid w:val="00D32197"/>
    <w:rsid w:val="00D33210"/>
    <w:rsid w:val="00D333EC"/>
    <w:rsid w:val="00D337CE"/>
    <w:rsid w:val="00D33EF1"/>
    <w:rsid w:val="00D341FC"/>
    <w:rsid w:val="00D34450"/>
    <w:rsid w:val="00D34A53"/>
    <w:rsid w:val="00D34C8F"/>
    <w:rsid w:val="00D34CFA"/>
    <w:rsid w:val="00D365D2"/>
    <w:rsid w:val="00D369A8"/>
    <w:rsid w:val="00D37528"/>
    <w:rsid w:val="00D40800"/>
    <w:rsid w:val="00D40B70"/>
    <w:rsid w:val="00D40E16"/>
    <w:rsid w:val="00D41092"/>
    <w:rsid w:val="00D411FD"/>
    <w:rsid w:val="00D41D18"/>
    <w:rsid w:val="00D41DD2"/>
    <w:rsid w:val="00D4225A"/>
    <w:rsid w:val="00D42DBF"/>
    <w:rsid w:val="00D42EF7"/>
    <w:rsid w:val="00D4357F"/>
    <w:rsid w:val="00D43850"/>
    <w:rsid w:val="00D43ABE"/>
    <w:rsid w:val="00D459EC"/>
    <w:rsid w:val="00D45CE9"/>
    <w:rsid w:val="00D461DC"/>
    <w:rsid w:val="00D462C3"/>
    <w:rsid w:val="00D46943"/>
    <w:rsid w:val="00D471FD"/>
    <w:rsid w:val="00D4728E"/>
    <w:rsid w:val="00D5088D"/>
    <w:rsid w:val="00D50892"/>
    <w:rsid w:val="00D51F1B"/>
    <w:rsid w:val="00D5241E"/>
    <w:rsid w:val="00D5273E"/>
    <w:rsid w:val="00D528AE"/>
    <w:rsid w:val="00D528F1"/>
    <w:rsid w:val="00D52CC1"/>
    <w:rsid w:val="00D5340B"/>
    <w:rsid w:val="00D53644"/>
    <w:rsid w:val="00D53E67"/>
    <w:rsid w:val="00D546E8"/>
    <w:rsid w:val="00D55F3C"/>
    <w:rsid w:val="00D56CDD"/>
    <w:rsid w:val="00D56F8F"/>
    <w:rsid w:val="00D5727C"/>
    <w:rsid w:val="00D57829"/>
    <w:rsid w:val="00D6041F"/>
    <w:rsid w:val="00D60EED"/>
    <w:rsid w:val="00D6131B"/>
    <w:rsid w:val="00D61B49"/>
    <w:rsid w:val="00D61C7E"/>
    <w:rsid w:val="00D61EA6"/>
    <w:rsid w:val="00D62541"/>
    <w:rsid w:val="00D627E0"/>
    <w:rsid w:val="00D6293C"/>
    <w:rsid w:val="00D62C17"/>
    <w:rsid w:val="00D62C2B"/>
    <w:rsid w:val="00D63005"/>
    <w:rsid w:val="00D631A4"/>
    <w:rsid w:val="00D63CD7"/>
    <w:rsid w:val="00D652B5"/>
    <w:rsid w:val="00D65AFB"/>
    <w:rsid w:val="00D65BD7"/>
    <w:rsid w:val="00D6634A"/>
    <w:rsid w:val="00D66505"/>
    <w:rsid w:val="00D66CBD"/>
    <w:rsid w:val="00D702A3"/>
    <w:rsid w:val="00D70FDB"/>
    <w:rsid w:val="00D714F0"/>
    <w:rsid w:val="00D718A1"/>
    <w:rsid w:val="00D726D5"/>
    <w:rsid w:val="00D729CA"/>
    <w:rsid w:val="00D72ABA"/>
    <w:rsid w:val="00D73238"/>
    <w:rsid w:val="00D73438"/>
    <w:rsid w:val="00D74C15"/>
    <w:rsid w:val="00D74E6D"/>
    <w:rsid w:val="00D7550F"/>
    <w:rsid w:val="00D7662D"/>
    <w:rsid w:val="00D76B97"/>
    <w:rsid w:val="00D76E4E"/>
    <w:rsid w:val="00D772A1"/>
    <w:rsid w:val="00D7737B"/>
    <w:rsid w:val="00D77FD4"/>
    <w:rsid w:val="00D801F2"/>
    <w:rsid w:val="00D80274"/>
    <w:rsid w:val="00D80418"/>
    <w:rsid w:val="00D810CA"/>
    <w:rsid w:val="00D81391"/>
    <w:rsid w:val="00D82143"/>
    <w:rsid w:val="00D83F60"/>
    <w:rsid w:val="00D846ED"/>
    <w:rsid w:val="00D84826"/>
    <w:rsid w:val="00D85481"/>
    <w:rsid w:val="00D85BE2"/>
    <w:rsid w:val="00D90053"/>
    <w:rsid w:val="00D905AF"/>
    <w:rsid w:val="00D906C9"/>
    <w:rsid w:val="00D90AAE"/>
    <w:rsid w:val="00D90C26"/>
    <w:rsid w:val="00D90FD5"/>
    <w:rsid w:val="00D9165E"/>
    <w:rsid w:val="00D91843"/>
    <w:rsid w:val="00D91D0F"/>
    <w:rsid w:val="00D92285"/>
    <w:rsid w:val="00D92FCA"/>
    <w:rsid w:val="00D93B0E"/>
    <w:rsid w:val="00D93D9F"/>
    <w:rsid w:val="00D93F11"/>
    <w:rsid w:val="00D9460E"/>
    <w:rsid w:val="00D949EB"/>
    <w:rsid w:val="00D95880"/>
    <w:rsid w:val="00D95EFE"/>
    <w:rsid w:val="00D96366"/>
    <w:rsid w:val="00D96988"/>
    <w:rsid w:val="00DA0F09"/>
    <w:rsid w:val="00DA1197"/>
    <w:rsid w:val="00DA16B8"/>
    <w:rsid w:val="00DA17F4"/>
    <w:rsid w:val="00DA188C"/>
    <w:rsid w:val="00DA1C20"/>
    <w:rsid w:val="00DA200B"/>
    <w:rsid w:val="00DA2785"/>
    <w:rsid w:val="00DA2EE2"/>
    <w:rsid w:val="00DA3799"/>
    <w:rsid w:val="00DA3B66"/>
    <w:rsid w:val="00DA3B72"/>
    <w:rsid w:val="00DA47AB"/>
    <w:rsid w:val="00DA4833"/>
    <w:rsid w:val="00DA4BB6"/>
    <w:rsid w:val="00DA4E83"/>
    <w:rsid w:val="00DA5747"/>
    <w:rsid w:val="00DA5F50"/>
    <w:rsid w:val="00DA66BD"/>
    <w:rsid w:val="00DA6CAF"/>
    <w:rsid w:val="00DA78DE"/>
    <w:rsid w:val="00DA7A92"/>
    <w:rsid w:val="00DB03C6"/>
    <w:rsid w:val="00DB05C3"/>
    <w:rsid w:val="00DB0E11"/>
    <w:rsid w:val="00DB1D90"/>
    <w:rsid w:val="00DB3466"/>
    <w:rsid w:val="00DB3B75"/>
    <w:rsid w:val="00DB3BBB"/>
    <w:rsid w:val="00DB48AA"/>
    <w:rsid w:val="00DB4D89"/>
    <w:rsid w:val="00DB5146"/>
    <w:rsid w:val="00DB5D5B"/>
    <w:rsid w:val="00DB6511"/>
    <w:rsid w:val="00DB66DD"/>
    <w:rsid w:val="00DB6B7E"/>
    <w:rsid w:val="00DB7685"/>
    <w:rsid w:val="00DB7AA8"/>
    <w:rsid w:val="00DC03DB"/>
    <w:rsid w:val="00DC0C53"/>
    <w:rsid w:val="00DC0D18"/>
    <w:rsid w:val="00DC0E89"/>
    <w:rsid w:val="00DC20BF"/>
    <w:rsid w:val="00DC218C"/>
    <w:rsid w:val="00DC2E34"/>
    <w:rsid w:val="00DC3F42"/>
    <w:rsid w:val="00DC46C4"/>
    <w:rsid w:val="00DC5A22"/>
    <w:rsid w:val="00DC5A91"/>
    <w:rsid w:val="00DC5B07"/>
    <w:rsid w:val="00DC5BDD"/>
    <w:rsid w:val="00DC6E14"/>
    <w:rsid w:val="00DC7087"/>
    <w:rsid w:val="00DC7291"/>
    <w:rsid w:val="00DC770B"/>
    <w:rsid w:val="00DC7963"/>
    <w:rsid w:val="00DD006E"/>
    <w:rsid w:val="00DD103F"/>
    <w:rsid w:val="00DD2B4C"/>
    <w:rsid w:val="00DD2EA0"/>
    <w:rsid w:val="00DD3732"/>
    <w:rsid w:val="00DD389C"/>
    <w:rsid w:val="00DD4136"/>
    <w:rsid w:val="00DD4256"/>
    <w:rsid w:val="00DD4CAE"/>
    <w:rsid w:val="00DD500D"/>
    <w:rsid w:val="00DD5921"/>
    <w:rsid w:val="00DD5BA6"/>
    <w:rsid w:val="00DD5D63"/>
    <w:rsid w:val="00DD5F40"/>
    <w:rsid w:val="00DD6F8C"/>
    <w:rsid w:val="00DD790B"/>
    <w:rsid w:val="00DE21D3"/>
    <w:rsid w:val="00DE2722"/>
    <w:rsid w:val="00DE31F2"/>
    <w:rsid w:val="00DE3D60"/>
    <w:rsid w:val="00DE3D8F"/>
    <w:rsid w:val="00DE451D"/>
    <w:rsid w:val="00DE491C"/>
    <w:rsid w:val="00DE5C6F"/>
    <w:rsid w:val="00DE5E31"/>
    <w:rsid w:val="00DE5F42"/>
    <w:rsid w:val="00DE5F46"/>
    <w:rsid w:val="00DE6139"/>
    <w:rsid w:val="00DE78F5"/>
    <w:rsid w:val="00DE7B60"/>
    <w:rsid w:val="00DE7BDD"/>
    <w:rsid w:val="00DE7D31"/>
    <w:rsid w:val="00DE7EAF"/>
    <w:rsid w:val="00DF024C"/>
    <w:rsid w:val="00DF046D"/>
    <w:rsid w:val="00DF0A33"/>
    <w:rsid w:val="00DF1069"/>
    <w:rsid w:val="00DF1FF1"/>
    <w:rsid w:val="00DF276B"/>
    <w:rsid w:val="00DF2EBC"/>
    <w:rsid w:val="00DF39A6"/>
    <w:rsid w:val="00DF39A9"/>
    <w:rsid w:val="00DF3ACF"/>
    <w:rsid w:val="00DF3FCE"/>
    <w:rsid w:val="00DF4737"/>
    <w:rsid w:val="00DF5108"/>
    <w:rsid w:val="00DF5728"/>
    <w:rsid w:val="00DF6B48"/>
    <w:rsid w:val="00DF6BFE"/>
    <w:rsid w:val="00DF6EA3"/>
    <w:rsid w:val="00DF7B60"/>
    <w:rsid w:val="00E01079"/>
    <w:rsid w:val="00E010E5"/>
    <w:rsid w:val="00E0121B"/>
    <w:rsid w:val="00E0208B"/>
    <w:rsid w:val="00E02410"/>
    <w:rsid w:val="00E029B2"/>
    <w:rsid w:val="00E03936"/>
    <w:rsid w:val="00E04046"/>
    <w:rsid w:val="00E0543F"/>
    <w:rsid w:val="00E05D2B"/>
    <w:rsid w:val="00E06316"/>
    <w:rsid w:val="00E0659F"/>
    <w:rsid w:val="00E06EFC"/>
    <w:rsid w:val="00E0701B"/>
    <w:rsid w:val="00E07131"/>
    <w:rsid w:val="00E07307"/>
    <w:rsid w:val="00E07A2D"/>
    <w:rsid w:val="00E102C7"/>
    <w:rsid w:val="00E10775"/>
    <w:rsid w:val="00E10A27"/>
    <w:rsid w:val="00E10D5A"/>
    <w:rsid w:val="00E110D8"/>
    <w:rsid w:val="00E11306"/>
    <w:rsid w:val="00E114AC"/>
    <w:rsid w:val="00E11652"/>
    <w:rsid w:val="00E11EF6"/>
    <w:rsid w:val="00E121E8"/>
    <w:rsid w:val="00E12D6C"/>
    <w:rsid w:val="00E14410"/>
    <w:rsid w:val="00E14474"/>
    <w:rsid w:val="00E14543"/>
    <w:rsid w:val="00E14577"/>
    <w:rsid w:val="00E14774"/>
    <w:rsid w:val="00E14DE8"/>
    <w:rsid w:val="00E15304"/>
    <w:rsid w:val="00E15350"/>
    <w:rsid w:val="00E16488"/>
    <w:rsid w:val="00E16AB7"/>
    <w:rsid w:val="00E17944"/>
    <w:rsid w:val="00E17EA4"/>
    <w:rsid w:val="00E17EB0"/>
    <w:rsid w:val="00E205BE"/>
    <w:rsid w:val="00E21E15"/>
    <w:rsid w:val="00E229CE"/>
    <w:rsid w:val="00E247B9"/>
    <w:rsid w:val="00E247F4"/>
    <w:rsid w:val="00E250AF"/>
    <w:rsid w:val="00E25114"/>
    <w:rsid w:val="00E2584D"/>
    <w:rsid w:val="00E26ABD"/>
    <w:rsid w:val="00E2742D"/>
    <w:rsid w:val="00E27808"/>
    <w:rsid w:val="00E2785D"/>
    <w:rsid w:val="00E27A3E"/>
    <w:rsid w:val="00E30044"/>
    <w:rsid w:val="00E30700"/>
    <w:rsid w:val="00E308E9"/>
    <w:rsid w:val="00E30ED8"/>
    <w:rsid w:val="00E30F38"/>
    <w:rsid w:val="00E3111C"/>
    <w:rsid w:val="00E314AA"/>
    <w:rsid w:val="00E315F5"/>
    <w:rsid w:val="00E31DDC"/>
    <w:rsid w:val="00E3260E"/>
    <w:rsid w:val="00E3388F"/>
    <w:rsid w:val="00E348D9"/>
    <w:rsid w:val="00E357C3"/>
    <w:rsid w:val="00E362DC"/>
    <w:rsid w:val="00E36A67"/>
    <w:rsid w:val="00E36B00"/>
    <w:rsid w:val="00E40772"/>
    <w:rsid w:val="00E40C6E"/>
    <w:rsid w:val="00E41E7C"/>
    <w:rsid w:val="00E42ECA"/>
    <w:rsid w:val="00E439EC"/>
    <w:rsid w:val="00E43B14"/>
    <w:rsid w:val="00E43B3F"/>
    <w:rsid w:val="00E44687"/>
    <w:rsid w:val="00E44914"/>
    <w:rsid w:val="00E45153"/>
    <w:rsid w:val="00E4575E"/>
    <w:rsid w:val="00E457FE"/>
    <w:rsid w:val="00E475F9"/>
    <w:rsid w:val="00E478F6"/>
    <w:rsid w:val="00E503F2"/>
    <w:rsid w:val="00E50AAC"/>
    <w:rsid w:val="00E50B69"/>
    <w:rsid w:val="00E51B02"/>
    <w:rsid w:val="00E51D51"/>
    <w:rsid w:val="00E53AAA"/>
    <w:rsid w:val="00E54162"/>
    <w:rsid w:val="00E54C76"/>
    <w:rsid w:val="00E55846"/>
    <w:rsid w:val="00E56122"/>
    <w:rsid w:val="00E56AD1"/>
    <w:rsid w:val="00E56F9C"/>
    <w:rsid w:val="00E579E7"/>
    <w:rsid w:val="00E601A9"/>
    <w:rsid w:val="00E603D5"/>
    <w:rsid w:val="00E60404"/>
    <w:rsid w:val="00E605B7"/>
    <w:rsid w:val="00E60A8A"/>
    <w:rsid w:val="00E618A8"/>
    <w:rsid w:val="00E622FE"/>
    <w:rsid w:val="00E6288C"/>
    <w:rsid w:val="00E62B9B"/>
    <w:rsid w:val="00E62CCD"/>
    <w:rsid w:val="00E631A5"/>
    <w:rsid w:val="00E64178"/>
    <w:rsid w:val="00E64668"/>
    <w:rsid w:val="00E6484A"/>
    <w:rsid w:val="00E64B7D"/>
    <w:rsid w:val="00E64DE0"/>
    <w:rsid w:val="00E652D4"/>
    <w:rsid w:val="00E653E6"/>
    <w:rsid w:val="00E66BAE"/>
    <w:rsid w:val="00E66FB8"/>
    <w:rsid w:val="00E676D7"/>
    <w:rsid w:val="00E67961"/>
    <w:rsid w:val="00E67B4D"/>
    <w:rsid w:val="00E67CFF"/>
    <w:rsid w:val="00E71331"/>
    <w:rsid w:val="00E71D8B"/>
    <w:rsid w:val="00E73430"/>
    <w:rsid w:val="00E73BE7"/>
    <w:rsid w:val="00E73FF6"/>
    <w:rsid w:val="00E7427E"/>
    <w:rsid w:val="00E75EB6"/>
    <w:rsid w:val="00E76A24"/>
    <w:rsid w:val="00E76E07"/>
    <w:rsid w:val="00E76EDB"/>
    <w:rsid w:val="00E779B3"/>
    <w:rsid w:val="00E8036B"/>
    <w:rsid w:val="00E807FA"/>
    <w:rsid w:val="00E80A94"/>
    <w:rsid w:val="00E81033"/>
    <w:rsid w:val="00E81814"/>
    <w:rsid w:val="00E81B70"/>
    <w:rsid w:val="00E81E3D"/>
    <w:rsid w:val="00E81E58"/>
    <w:rsid w:val="00E821F3"/>
    <w:rsid w:val="00E825A6"/>
    <w:rsid w:val="00E832DE"/>
    <w:rsid w:val="00E83DE7"/>
    <w:rsid w:val="00E845CD"/>
    <w:rsid w:val="00E84CD9"/>
    <w:rsid w:val="00E84DEC"/>
    <w:rsid w:val="00E8535E"/>
    <w:rsid w:val="00E86376"/>
    <w:rsid w:val="00E864C3"/>
    <w:rsid w:val="00E876F5"/>
    <w:rsid w:val="00E87DB4"/>
    <w:rsid w:val="00E91138"/>
    <w:rsid w:val="00E91262"/>
    <w:rsid w:val="00E9146C"/>
    <w:rsid w:val="00E9175F"/>
    <w:rsid w:val="00E91CDF"/>
    <w:rsid w:val="00E91D97"/>
    <w:rsid w:val="00E927BB"/>
    <w:rsid w:val="00E92BC9"/>
    <w:rsid w:val="00E9354D"/>
    <w:rsid w:val="00E936E0"/>
    <w:rsid w:val="00E9429B"/>
    <w:rsid w:val="00E9479B"/>
    <w:rsid w:val="00E95C72"/>
    <w:rsid w:val="00E96136"/>
    <w:rsid w:val="00E963E4"/>
    <w:rsid w:val="00E96CEF"/>
    <w:rsid w:val="00E97F77"/>
    <w:rsid w:val="00EA0392"/>
    <w:rsid w:val="00EA03A6"/>
    <w:rsid w:val="00EA06F8"/>
    <w:rsid w:val="00EA0A26"/>
    <w:rsid w:val="00EA219E"/>
    <w:rsid w:val="00EA2ED5"/>
    <w:rsid w:val="00EA346C"/>
    <w:rsid w:val="00EA3D41"/>
    <w:rsid w:val="00EA4F09"/>
    <w:rsid w:val="00EA51C1"/>
    <w:rsid w:val="00EA55F8"/>
    <w:rsid w:val="00EA6573"/>
    <w:rsid w:val="00EA6642"/>
    <w:rsid w:val="00EA7AE9"/>
    <w:rsid w:val="00EA7D34"/>
    <w:rsid w:val="00EB067E"/>
    <w:rsid w:val="00EB0A16"/>
    <w:rsid w:val="00EB1FFC"/>
    <w:rsid w:val="00EB29E1"/>
    <w:rsid w:val="00EB3456"/>
    <w:rsid w:val="00EB3507"/>
    <w:rsid w:val="00EB566A"/>
    <w:rsid w:val="00EB59F4"/>
    <w:rsid w:val="00EB5E28"/>
    <w:rsid w:val="00EB5F11"/>
    <w:rsid w:val="00EB6F5E"/>
    <w:rsid w:val="00EB703C"/>
    <w:rsid w:val="00EB71FA"/>
    <w:rsid w:val="00EC032B"/>
    <w:rsid w:val="00EC0A74"/>
    <w:rsid w:val="00EC189E"/>
    <w:rsid w:val="00EC1CF0"/>
    <w:rsid w:val="00EC2986"/>
    <w:rsid w:val="00EC2E31"/>
    <w:rsid w:val="00EC3341"/>
    <w:rsid w:val="00EC37F8"/>
    <w:rsid w:val="00EC4D30"/>
    <w:rsid w:val="00EC520F"/>
    <w:rsid w:val="00EC54DB"/>
    <w:rsid w:val="00EC5992"/>
    <w:rsid w:val="00EC5B14"/>
    <w:rsid w:val="00EC62DC"/>
    <w:rsid w:val="00EC658F"/>
    <w:rsid w:val="00EC6719"/>
    <w:rsid w:val="00EC6B75"/>
    <w:rsid w:val="00EC7023"/>
    <w:rsid w:val="00EC70AF"/>
    <w:rsid w:val="00EC748C"/>
    <w:rsid w:val="00EC780D"/>
    <w:rsid w:val="00ED04E8"/>
    <w:rsid w:val="00ED0EC5"/>
    <w:rsid w:val="00ED1045"/>
    <w:rsid w:val="00ED1147"/>
    <w:rsid w:val="00ED1C15"/>
    <w:rsid w:val="00ED27CF"/>
    <w:rsid w:val="00ED28AA"/>
    <w:rsid w:val="00ED28C8"/>
    <w:rsid w:val="00ED29BE"/>
    <w:rsid w:val="00ED2B01"/>
    <w:rsid w:val="00ED2D6A"/>
    <w:rsid w:val="00ED3371"/>
    <w:rsid w:val="00ED37DE"/>
    <w:rsid w:val="00ED39FA"/>
    <w:rsid w:val="00ED3B6E"/>
    <w:rsid w:val="00ED4BED"/>
    <w:rsid w:val="00ED500C"/>
    <w:rsid w:val="00ED5660"/>
    <w:rsid w:val="00ED58B9"/>
    <w:rsid w:val="00ED59A2"/>
    <w:rsid w:val="00ED5A17"/>
    <w:rsid w:val="00ED5F54"/>
    <w:rsid w:val="00ED606E"/>
    <w:rsid w:val="00ED67D8"/>
    <w:rsid w:val="00ED6A06"/>
    <w:rsid w:val="00ED7B83"/>
    <w:rsid w:val="00EE0366"/>
    <w:rsid w:val="00EE0CAA"/>
    <w:rsid w:val="00EE1451"/>
    <w:rsid w:val="00EE212C"/>
    <w:rsid w:val="00EE2288"/>
    <w:rsid w:val="00EE2AAD"/>
    <w:rsid w:val="00EE2E2F"/>
    <w:rsid w:val="00EE366F"/>
    <w:rsid w:val="00EE39E9"/>
    <w:rsid w:val="00EE4294"/>
    <w:rsid w:val="00EE515D"/>
    <w:rsid w:val="00EE551A"/>
    <w:rsid w:val="00EE55DF"/>
    <w:rsid w:val="00EE61EA"/>
    <w:rsid w:val="00EE6845"/>
    <w:rsid w:val="00EE6AB2"/>
    <w:rsid w:val="00EE7309"/>
    <w:rsid w:val="00EE7607"/>
    <w:rsid w:val="00EE7B51"/>
    <w:rsid w:val="00EF0189"/>
    <w:rsid w:val="00EF052D"/>
    <w:rsid w:val="00EF099D"/>
    <w:rsid w:val="00EF0CAA"/>
    <w:rsid w:val="00EF0E94"/>
    <w:rsid w:val="00EF15FE"/>
    <w:rsid w:val="00EF2146"/>
    <w:rsid w:val="00EF23FE"/>
    <w:rsid w:val="00EF2A48"/>
    <w:rsid w:val="00EF36DF"/>
    <w:rsid w:val="00EF4CC3"/>
    <w:rsid w:val="00EF521C"/>
    <w:rsid w:val="00EF68E6"/>
    <w:rsid w:val="00EF69CC"/>
    <w:rsid w:val="00EF69FE"/>
    <w:rsid w:val="00EF6D60"/>
    <w:rsid w:val="00F001AF"/>
    <w:rsid w:val="00F00B66"/>
    <w:rsid w:val="00F01893"/>
    <w:rsid w:val="00F01ACB"/>
    <w:rsid w:val="00F01BB7"/>
    <w:rsid w:val="00F02029"/>
    <w:rsid w:val="00F023D6"/>
    <w:rsid w:val="00F02EAA"/>
    <w:rsid w:val="00F031F8"/>
    <w:rsid w:val="00F03837"/>
    <w:rsid w:val="00F0384F"/>
    <w:rsid w:val="00F03BAA"/>
    <w:rsid w:val="00F0413E"/>
    <w:rsid w:val="00F0415C"/>
    <w:rsid w:val="00F05476"/>
    <w:rsid w:val="00F05D84"/>
    <w:rsid w:val="00F05DE3"/>
    <w:rsid w:val="00F06483"/>
    <w:rsid w:val="00F072C3"/>
    <w:rsid w:val="00F100ED"/>
    <w:rsid w:val="00F105D2"/>
    <w:rsid w:val="00F10F95"/>
    <w:rsid w:val="00F11371"/>
    <w:rsid w:val="00F11936"/>
    <w:rsid w:val="00F11A72"/>
    <w:rsid w:val="00F11CA2"/>
    <w:rsid w:val="00F1261F"/>
    <w:rsid w:val="00F12DDD"/>
    <w:rsid w:val="00F12F37"/>
    <w:rsid w:val="00F1340D"/>
    <w:rsid w:val="00F13C46"/>
    <w:rsid w:val="00F13F35"/>
    <w:rsid w:val="00F155DB"/>
    <w:rsid w:val="00F159AC"/>
    <w:rsid w:val="00F15D08"/>
    <w:rsid w:val="00F16B1E"/>
    <w:rsid w:val="00F17B02"/>
    <w:rsid w:val="00F20421"/>
    <w:rsid w:val="00F20A31"/>
    <w:rsid w:val="00F21571"/>
    <w:rsid w:val="00F219BF"/>
    <w:rsid w:val="00F2268B"/>
    <w:rsid w:val="00F22DDF"/>
    <w:rsid w:val="00F23168"/>
    <w:rsid w:val="00F2342B"/>
    <w:rsid w:val="00F23C1C"/>
    <w:rsid w:val="00F249BF"/>
    <w:rsid w:val="00F24B53"/>
    <w:rsid w:val="00F2519C"/>
    <w:rsid w:val="00F25DE9"/>
    <w:rsid w:val="00F25E41"/>
    <w:rsid w:val="00F260E8"/>
    <w:rsid w:val="00F262E9"/>
    <w:rsid w:val="00F26A22"/>
    <w:rsid w:val="00F26B55"/>
    <w:rsid w:val="00F27432"/>
    <w:rsid w:val="00F27690"/>
    <w:rsid w:val="00F27C74"/>
    <w:rsid w:val="00F30460"/>
    <w:rsid w:val="00F3057E"/>
    <w:rsid w:val="00F3137E"/>
    <w:rsid w:val="00F316CC"/>
    <w:rsid w:val="00F325CB"/>
    <w:rsid w:val="00F3288E"/>
    <w:rsid w:val="00F32C46"/>
    <w:rsid w:val="00F33392"/>
    <w:rsid w:val="00F33901"/>
    <w:rsid w:val="00F34584"/>
    <w:rsid w:val="00F34DDF"/>
    <w:rsid w:val="00F3555B"/>
    <w:rsid w:val="00F358B4"/>
    <w:rsid w:val="00F35A8A"/>
    <w:rsid w:val="00F370B5"/>
    <w:rsid w:val="00F3715C"/>
    <w:rsid w:val="00F378A3"/>
    <w:rsid w:val="00F40F23"/>
    <w:rsid w:val="00F41CD5"/>
    <w:rsid w:val="00F42018"/>
    <w:rsid w:val="00F42218"/>
    <w:rsid w:val="00F42DBE"/>
    <w:rsid w:val="00F42E02"/>
    <w:rsid w:val="00F449C8"/>
    <w:rsid w:val="00F44C34"/>
    <w:rsid w:val="00F46258"/>
    <w:rsid w:val="00F46B4C"/>
    <w:rsid w:val="00F473CE"/>
    <w:rsid w:val="00F476A9"/>
    <w:rsid w:val="00F5001B"/>
    <w:rsid w:val="00F515E4"/>
    <w:rsid w:val="00F51C0F"/>
    <w:rsid w:val="00F52D46"/>
    <w:rsid w:val="00F53521"/>
    <w:rsid w:val="00F53D97"/>
    <w:rsid w:val="00F53DED"/>
    <w:rsid w:val="00F54961"/>
    <w:rsid w:val="00F55758"/>
    <w:rsid w:val="00F55774"/>
    <w:rsid w:val="00F56081"/>
    <w:rsid w:val="00F5643E"/>
    <w:rsid w:val="00F5686D"/>
    <w:rsid w:val="00F56B37"/>
    <w:rsid w:val="00F56F2F"/>
    <w:rsid w:val="00F57008"/>
    <w:rsid w:val="00F577CC"/>
    <w:rsid w:val="00F57BDC"/>
    <w:rsid w:val="00F57CF6"/>
    <w:rsid w:val="00F602C1"/>
    <w:rsid w:val="00F608AC"/>
    <w:rsid w:val="00F60F32"/>
    <w:rsid w:val="00F61574"/>
    <w:rsid w:val="00F61844"/>
    <w:rsid w:val="00F61CCF"/>
    <w:rsid w:val="00F61D88"/>
    <w:rsid w:val="00F62485"/>
    <w:rsid w:val="00F638E3"/>
    <w:rsid w:val="00F644BB"/>
    <w:rsid w:val="00F647DA"/>
    <w:rsid w:val="00F649BE"/>
    <w:rsid w:val="00F64D55"/>
    <w:rsid w:val="00F65669"/>
    <w:rsid w:val="00F66191"/>
    <w:rsid w:val="00F6691C"/>
    <w:rsid w:val="00F66CEF"/>
    <w:rsid w:val="00F67162"/>
    <w:rsid w:val="00F67F93"/>
    <w:rsid w:val="00F70171"/>
    <w:rsid w:val="00F70A18"/>
    <w:rsid w:val="00F70E15"/>
    <w:rsid w:val="00F71AB9"/>
    <w:rsid w:val="00F73665"/>
    <w:rsid w:val="00F739A1"/>
    <w:rsid w:val="00F7468D"/>
    <w:rsid w:val="00F753D6"/>
    <w:rsid w:val="00F75718"/>
    <w:rsid w:val="00F75C34"/>
    <w:rsid w:val="00F777E4"/>
    <w:rsid w:val="00F77EF9"/>
    <w:rsid w:val="00F801C4"/>
    <w:rsid w:val="00F808ED"/>
    <w:rsid w:val="00F81839"/>
    <w:rsid w:val="00F82198"/>
    <w:rsid w:val="00F82553"/>
    <w:rsid w:val="00F82D11"/>
    <w:rsid w:val="00F83FA9"/>
    <w:rsid w:val="00F844C8"/>
    <w:rsid w:val="00F84F04"/>
    <w:rsid w:val="00F85185"/>
    <w:rsid w:val="00F85FC9"/>
    <w:rsid w:val="00F86477"/>
    <w:rsid w:val="00F87C7E"/>
    <w:rsid w:val="00F90229"/>
    <w:rsid w:val="00F906E1"/>
    <w:rsid w:val="00F90D50"/>
    <w:rsid w:val="00F911EA"/>
    <w:rsid w:val="00F9165A"/>
    <w:rsid w:val="00F916A1"/>
    <w:rsid w:val="00F91EE8"/>
    <w:rsid w:val="00F91FB8"/>
    <w:rsid w:val="00F92702"/>
    <w:rsid w:val="00F92863"/>
    <w:rsid w:val="00F928F0"/>
    <w:rsid w:val="00F931D6"/>
    <w:rsid w:val="00F93C25"/>
    <w:rsid w:val="00F93E71"/>
    <w:rsid w:val="00F94D12"/>
    <w:rsid w:val="00F95176"/>
    <w:rsid w:val="00F9575E"/>
    <w:rsid w:val="00F96564"/>
    <w:rsid w:val="00F96B4B"/>
    <w:rsid w:val="00F979AC"/>
    <w:rsid w:val="00F97A17"/>
    <w:rsid w:val="00FA0A04"/>
    <w:rsid w:val="00FA0C6F"/>
    <w:rsid w:val="00FA1F11"/>
    <w:rsid w:val="00FA238A"/>
    <w:rsid w:val="00FA27F7"/>
    <w:rsid w:val="00FA2CC6"/>
    <w:rsid w:val="00FA2F70"/>
    <w:rsid w:val="00FA33B6"/>
    <w:rsid w:val="00FA4D41"/>
    <w:rsid w:val="00FA5EDA"/>
    <w:rsid w:val="00FA642D"/>
    <w:rsid w:val="00FA693F"/>
    <w:rsid w:val="00FA6D93"/>
    <w:rsid w:val="00FA7BBF"/>
    <w:rsid w:val="00FA7D5B"/>
    <w:rsid w:val="00FB0CAB"/>
    <w:rsid w:val="00FB0E8B"/>
    <w:rsid w:val="00FB1760"/>
    <w:rsid w:val="00FB1D2B"/>
    <w:rsid w:val="00FB200D"/>
    <w:rsid w:val="00FB24E9"/>
    <w:rsid w:val="00FB2580"/>
    <w:rsid w:val="00FB4E8F"/>
    <w:rsid w:val="00FB51D8"/>
    <w:rsid w:val="00FB5934"/>
    <w:rsid w:val="00FB59CD"/>
    <w:rsid w:val="00FB6510"/>
    <w:rsid w:val="00FB66BD"/>
    <w:rsid w:val="00FB6A1E"/>
    <w:rsid w:val="00FB7251"/>
    <w:rsid w:val="00FC07A8"/>
    <w:rsid w:val="00FC1551"/>
    <w:rsid w:val="00FC1A29"/>
    <w:rsid w:val="00FC1FF2"/>
    <w:rsid w:val="00FC267B"/>
    <w:rsid w:val="00FC2A72"/>
    <w:rsid w:val="00FC30E0"/>
    <w:rsid w:val="00FC31A8"/>
    <w:rsid w:val="00FC3377"/>
    <w:rsid w:val="00FC3BE6"/>
    <w:rsid w:val="00FC3D87"/>
    <w:rsid w:val="00FC41C7"/>
    <w:rsid w:val="00FC44D3"/>
    <w:rsid w:val="00FC4F55"/>
    <w:rsid w:val="00FC592E"/>
    <w:rsid w:val="00FC599D"/>
    <w:rsid w:val="00FC6353"/>
    <w:rsid w:val="00FC6582"/>
    <w:rsid w:val="00FC72D8"/>
    <w:rsid w:val="00FC7999"/>
    <w:rsid w:val="00FC79C8"/>
    <w:rsid w:val="00FC7B33"/>
    <w:rsid w:val="00FD0024"/>
    <w:rsid w:val="00FD028C"/>
    <w:rsid w:val="00FD07D5"/>
    <w:rsid w:val="00FD08E3"/>
    <w:rsid w:val="00FD0B77"/>
    <w:rsid w:val="00FD261F"/>
    <w:rsid w:val="00FD285F"/>
    <w:rsid w:val="00FD2AE5"/>
    <w:rsid w:val="00FD2E24"/>
    <w:rsid w:val="00FD3AA2"/>
    <w:rsid w:val="00FD45D0"/>
    <w:rsid w:val="00FD45E8"/>
    <w:rsid w:val="00FD4C8A"/>
    <w:rsid w:val="00FD5465"/>
    <w:rsid w:val="00FD5861"/>
    <w:rsid w:val="00FD5894"/>
    <w:rsid w:val="00FD5E62"/>
    <w:rsid w:val="00FD72B7"/>
    <w:rsid w:val="00FD7A7F"/>
    <w:rsid w:val="00FD7B6E"/>
    <w:rsid w:val="00FE0871"/>
    <w:rsid w:val="00FE0924"/>
    <w:rsid w:val="00FE194A"/>
    <w:rsid w:val="00FE2359"/>
    <w:rsid w:val="00FE2581"/>
    <w:rsid w:val="00FE25A6"/>
    <w:rsid w:val="00FE35C2"/>
    <w:rsid w:val="00FE4057"/>
    <w:rsid w:val="00FE4423"/>
    <w:rsid w:val="00FE5171"/>
    <w:rsid w:val="00FE523D"/>
    <w:rsid w:val="00FE5DB3"/>
    <w:rsid w:val="00FE720C"/>
    <w:rsid w:val="00FE7A93"/>
    <w:rsid w:val="00FF0010"/>
    <w:rsid w:val="00FF0439"/>
    <w:rsid w:val="00FF08BC"/>
    <w:rsid w:val="00FF0E05"/>
    <w:rsid w:val="00FF15E9"/>
    <w:rsid w:val="00FF1DA1"/>
    <w:rsid w:val="00FF234F"/>
    <w:rsid w:val="00FF2564"/>
    <w:rsid w:val="00FF31AB"/>
    <w:rsid w:val="00FF38D6"/>
    <w:rsid w:val="00FF3B4D"/>
    <w:rsid w:val="00FF3EAD"/>
    <w:rsid w:val="00FF4012"/>
    <w:rsid w:val="00FF4973"/>
    <w:rsid w:val="00FF55E5"/>
    <w:rsid w:val="00FF5D55"/>
    <w:rsid w:val="00FF68BA"/>
    <w:rsid w:val="00FF6C7D"/>
    <w:rsid w:val="00FF79A8"/>
    <w:rsid w:val="00FF7B6A"/>
    <w:rsid w:val="00FF7BC6"/>
    <w:rsid w:val="00FF7C7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Street"/>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hapeDefaults>
    <o:shapedefaults v:ext="edit" spidmax="2050"/>
    <o:shapelayout v:ext="edit">
      <o:idmap v:ext="edit" data="2"/>
    </o:shapelayout>
  </w:shapeDefaults>
  <w:decimalSymbol w:val="."/>
  <w:listSeparator w:val=","/>
  <w14:docId w14:val="596EEA97"/>
  <w15:chartTrackingRefBased/>
  <w15:docId w15:val="{1BEAF7CC-1A88-4046-96F9-678886769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footnote reference" w:uiPriority="99"/>
    <w:lsdException w:name="annotation reference" w:uiPriority="99"/>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2778"/>
    <w:pPr>
      <w:keepNext/>
      <w:spacing w:before="120"/>
    </w:pPr>
    <w:rPr>
      <w:rFonts w:ascii="Arial" w:hAnsi="Arial"/>
      <w:color w:val="000000" w:themeColor="text1"/>
      <w:sz w:val="24"/>
    </w:rPr>
  </w:style>
  <w:style w:type="paragraph" w:styleId="Heading1">
    <w:name w:val="heading 1"/>
    <w:basedOn w:val="Normal"/>
    <w:next w:val="Normal"/>
    <w:link w:val="Heading1Char"/>
    <w:autoRedefine/>
    <w:qFormat/>
    <w:rsid w:val="00CF07B9"/>
    <w:pPr>
      <w:spacing w:before="0"/>
      <w:outlineLvl w:val="0"/>
    </w:pPr>
    <w:rPr>
      <w:i/>
      <w:iCs/>
      <w:noProof/>
      <w:color w:val="ED0000"/>
      <w:spacing w:val="-2"/>
      <w:sz w:val="28"/>
      <w:szCs w:val="28"/>
      <w:lang w:eastAsia="en-US"/>
    </w:rPr>
  </w:style>
  <w:style w:type="paragraph" w:styleId="Heading2">
    <w:name w:val="heading 2"/>
    <w:basedOn w:val="Normal"/>
    <w:next w:val="Normal"/>
    <w:link w:val="Heading2Char"/>
    <w:uiPriority w:val="9"/>
    <w:qFormat/>
    <w:rsid w:val="001019CE"/>
    <w:pPr>
      <w:spacing w:before="0"/>
      <w:jc w:val="center"/>
      <w:outlineLvl w:val="1"/>
    </w:pPr>
    <w:rPr>
      <w:b/>
      <w:sz w:val="40"/>
      <w:lang w:eastAsia="en-US"/>
    </w:rPr>
  </w:style>
  <w:style w:type="paragraph" w:styleId="Heading3">
    <w:name w:val="heading 3"/>
    <w:basedOn w:val="Normal"/>
    <w:next w:val="Normal"/>
    <w:link w:val="Heading3Char"/>
    <w:autoRedefine/>
    <w:uiPriority w:val="9"/>
    <w:qFormat/>
    <w:rsid w:val="000447CA"/>
    <w:pPr>
      <w:spacing w:before="0"/>
      <w:ind w:left="709"/>
      <w:outlineLvl w:val="2"/>
    </w:pPr>
    <w:rPr>
      <w:rFonts w:eastAsia="Calibri" w:cs="Arial"/>
      <w:b/>
      <w:bCs/>
      <w:iCs/>
      <w:color w:val="auto"/>
      <w:szCs w:val="24"/>
      <w:lang w:eastAsia="en-US"/>
    </w:rPr>
  </w:style>
  <w:style w:type="paragraph" w:styleId="Heading4">
    <w:name w:val="heading 4"/>
    <w:basedOn w:val="Normal"/>
    <w:next w:val="Normal"/>
    <w:link w:val="Heading4Char"/>
    <w:uiPriority w:val="9"/>
    <w:qFormat/>
    <w:pPr>
      <w:outlineLvl w:val="3"/>
    </w:pPr>
    <w:rPr>
      <w:b/>
      <w:sz w:val="28"/>
    </w:rPr>
  </w:style>
  <w:style w:type="paragraph" w:styleId="Heading5">
    <w:name w:val="heading 5"/>
    <w:basedOn w:val="Normal"/>
    <w:next w:val="Normal"/>
    <w:link w:val="Heading5Char"/>
    <w:autoRedefine/>
    <w:uiPriority w:val="9"/>
    <w:qFormat/>
    <w:rsid w:val="001A3BFC"/>
    <w:pPr>
      <w:outlineLvl w:val="4"/>
    </w:pPr>
    <w:rPr>
      <w:b/>
      <w:bCs/>
      <w:lang w:val="en-US"/>
    </w:rPr>
  </w:style>
  <w:style w:type="paragraph" w:styleId="Heading6">
    <w:name w:val="heading 6"/>
    <w:basedOn w:val="Normal"/>
    <w:next w:val="Normal"/>
    <w:link w:val="Heading6Char"/>
    <w:uiPriority w:val="9"/>
    <w:qFormat/>
    <w:pPr>
      <w:suppressAutoHyphens/>
      <w:spacing w:line="240" w:lineRule="atLeast"/>
      <w:outlineLvl w:val="5"/>
    </w:pPr>
    <w:rPr>
      <w:b/>
      <w:bCs/>
    </w:rPr>
  </w:style>
  <w:style w:type="paragraph" w:styleId="Heading7">
    <w:name w:val="heading 7"/>
    <w:basedOn w:val="Normal"/>
    <w:next w:val="Normal"/>
    <w:link w:val="Heading7Char"/>
    <w:uiPriority w:val="9"/>
    <w:qFormat/>
    <w:pPr>
      <w:suppressAutoHyphens/>
      <w:spacing w:line="240" w:lineRule="atLeast"/>
      <w:outlineLvl w:val="6"/>
    </w:pPr>
    <w:rPr>
      <w:rFonts w:ascii="Times New Roman" w:hAnsi="Times New Roman"/>
      <w:i/>
      <w:iCs/>
    </w:rPr>
  </w:style>
  <w:style w:type="paragraph" w:styleId="Heading8">
    <w:name w:val="heading 8"/>
    <w:basedOn w:val="Normal"/>
    <w:next w:val="Normal"/>
    <w:link w:val="Heading8Char"/>
    <w:uiPriority w:val="9"/>
    <w:qFormat/>
    <w:pPr>
      <w:suppressAutoHyphens/>
      <w:spacing w:line="240" w:lineRule="atLeast"/>
      <w:ind w:left="57"/>
      <w:outlineLvl w:val="7"/>
    </w:pPr>
    <w:rPr>
      <w:b/>
      <w:bCs/>
    </w:rPr>
  </w:style>
  <w:style w:type="paragraph" w:styleId="Heading9">
    <w:name w:val="heading 9"/>
    <w:basedOn w:val="Normal"/>
    <w:next w:val="Normal"/>
    <w:link w:val="Heading9Char"/>
    <w:uiPriority w:val="9"/>
    <w:qFormat/>
    <w:pPr>
      <w:tabs>
        <w:tab w:val="left" w:pos="-720"/>
      </w:tabs>
      <w:suppressAutoHyphens/>
      <w:spacing w:line="360" w:lineRule="auto"/>
      <w:ind w:right="576"/>
      <w:jc w:val="both"/>
      <w:outlineLvl w:val="8"/>
    </w:pPr>
    <w:rPr>
      <w:b/>
      <w:bCs/>
      <w:spacing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jc w:val="both"/>
    </w:pPr>
  </w:style>
  <w:style w:type="paragraph" w:styleId="BodyText2">
    <w:name w:val="Body Text 2"/>
    <w:basedOn w:val="Normal"/>
    <w:link w:val="BodyText2Char1"/>
    <w:pPr>
      <w:keepNext w:val="0"/>
      <w:spacing w:before="0"/>
    </w:pPr>
    <w:rPr>
      <w:rFonts w:ascii="Times New Roman" w:hAnsi="Times New Roman"/>
      <w:lang w:eastAsia="en-US"/>
    </w:rPr>
  </w:style>
  <w:style w:type="paragraph" w:styleId="BodyText3">
    <w:name w:val="Body Text 3"/>
    <w:basedOn w:val="Normal"/>
    <w:rPr>
      <w:b/>
      <w:bCs/>
    </w:rPr>
  </w:style>
  <w:style w:type="paragraph" w:styleId="BodyTextIndent">
    <w:name w:val="Body Text Indent"/>
    <w:basedOn w:val="Normal"/>
    <w:link w:val="BodyTextIndentChar"/>
    <w:pPr>
      <w:ind w:left="397"/>
    </w:pPr>
  </w:style>
  <w:style w:type="paragraph" w:styleId="Header">
    <w:name w:val="header"/>
    <w:basedOn w:val="Normal"/>
    <w:link w:val="HeaderChar"/>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character" w:styleId="Hyperlink">
    <w:name w:val="Hyperlink"/>
    <w:uiPriority w:val="99"/>
    <w:rPr>
      <w:color w:val="0000FF"/>
      <w:u w:val="single"/>
    </w:rPr>
  </w:style>
  <w:style w:type="paragraph" w:customStyle="1" w:styleId="ReportLevel1">
    <w:name w:val="Report Level 1"/>
    <w:next w:val="ReportText"/>
    <w:pPr>
      <w:keepNext/>
      <w:tabs>
        <w:tab w:val="num" w:pos="720"/>
      </w:tabs>
      <w:spacing w:after="80"/>
      <w:ind w:left="720" w:hanging="360"/>
      <w:outlineLvl w:val="0"/>
    </w:pPr>
    <w:rPr>
      <w:rFonts w:ascii="Arial Black" w:hAnsi="Arial Black"/>
      <w:color w:val="008080"/>
      <w:sz w:val="28"/>
      <w:lang w:eastAsia="en-US"/>
    </w:rPr>
  </w:style>
  <w:style w:type="paragraph" w:customStyle="1" w:styleId="ReportText">
    <w:name w:val="Report Text"/>
    <w:pPr>
      <w:spacing w:after="120" w:line="260" w:lineRule="atLeast"/>
      <w:ind w:left="1253"/>
    </w:pPr>
    <w:rPr>
      <w:rFonts w:ascii="Arial" w:hAnsi="Arial"/>
      <w:lang w:eastAsia="en-US"/>
    </w:rPr>
  </w:style>
  <w:style w:type="paragraph" w:customStyle="1" w:styleId="ReportLevel2">
    <w:name w:val="Report Level 2"/>
    <w:basedOn w:val="ReportLevel1"/>
    <w:next w:val="ReportText"/>
    <w:pPr>
      <w:pBdr>
        <w:bottom w:val="single" w:sz="18" w:space="2" w:color="008080"/>
      </w:pBdr>
      <w:tabs>
        <w:tab w:val="clear" w:pos="720"/>
        <w:tab w:val="num" w:pos="1440"/>
      </w:tabs>
      <w:spacing w:before="140"/>
      <w:ind w:left="1440"/>
      <w:outlineLvl w:val="1"/>
    </w:pPr>
    <w:rPr>
      <w:color w:val="auto"/>
      <w:sz w:val="20"/>
    </w:rPr>
  </w:style>
  <w:style w:type="paragraph" w:customStyle="1" w:styleId="ReportLevel3">
    <w:name w:val="Report Level 3"/>
    <w:basedOn w:val="ReportLevel2"/>
    <w:next w:val="ReportText"/>
    <w:pPr>
      <w:pBdr>
        <w:bottom w:val="none" w:sz="0" w:space="0" w:color="auto"/>
      </w:pBdr>
      <w:tabs>
        <w:tab w:val="clear" w:pos="1440"/>
        <w:tab w:val="num" w:pos="2160"/>
      </w:tabs>
      <w:spacing w:after="0"/>
      <w:ind w:left="2160" w:hanging="180"/>
      <w:outlineLvl w:val="2"/>
    </w:pPr>
    <w:rPr>
      <w:sz w:val="18"/>
      <w:szCs w:val="18"/>
    </w:rPr>
  </w:style>
  <w:style w:type="paragraph" w:customStyle="1" w:styleId="ReportLevel4">
    <w:name w:val="Report Level 4"/>
    <w:basedOn w:val="ReportLevel3"/>
    <w:next w:val="ReportText"/>
    <w:pPr>
      <w:tabs>
        <w:tab w:val="clear" w:pos="2160"/>
        <w:tab w:val="num" w:pos="2880"/>
      </w:tabs>
      <w:ind w:left="2880" w:hanging="360"/>
      <w:outlineLvl w:val="3"/>
    </w:pPr>
  </w:style>
  <w:style w:type="character" w:customStyle="1" w:styleId="BodyText2Char">
    <w:name w:val="Body Text 2 Char"/>
    <w:rPr>
      <w:sz w:val="24"/>
      <w:lang w:val="en-GB" w:eastAsia="en-US" w:bidi="ar-SA"/>
    </w:rPr>
  </w:style>
  <w:style w:type="paragraph" w:styleId="Caption">
    <w:name w:val="caption"/>
    <w:basedOn w:val="Normal"/>
    <w:next w:val="Normal"/>
    <w:uiPriority w:val="35"/>
    <w:qFormat/>
    <w:pPr>
      <w:keepNext w:val="0"/>
      <w:tabs>
        <w:tab w:val="left" w:pos="1080"/>
      </w:tabs>
      <w:spacing w:before="240"/>
      <w:ind w:left="1253"/>
    </w:pPr>
    <w:rPr>
      <w:b/>
      <w:sz w:val="20"/>
      <w:lang w:eastAsia="en-US"/>
    </w:rPr>
  </w:style>
  <w:style w:type="paragraph" w:styleId="FootnoteText">
    <w:name w:val="footnote text"/>
    <w:basedOn w:val="Normal"/>
    <w:link w:val="FootnoteTextChar"/>
    <w:uiPriority w:val="99"/>
    <w:semiHidden/>
    <w:pPr>
      <w:keepNext w:val="0"/>
      <w:spacing w:before="0"/>
    </w:pPr>
    <w:rPr>
      <w:sz w:val="20"/>
      <w:lang w:eastAsia="en-US"/>
    </w:rPr>
  </w:style>
  <w:style w:type="character" w:styleId="FootnoteReference">
    <w:name w:val="footnote reference"/>
    <w:uiPriority w:val="99"/>
    <w:semiHidden/>
    <w:rPr>
      <w:vertAlign w:val="superscript"/>
    </w:rPr>
  </w:style>
  <w:style w:type="character" w:customStyle="1" w:styleId="ReportTextChar">
    <w:name w:val="Report Text Char"/>
    <w:rPr>
      <w:rFonts w:ascii="Arial" w:hAnsi="Arial"/>
      <w:lang w:val="en-GB" w:eastAsia="en-US" w:bidi="ar-SA"/>
    </w:rPr>
  </w:style>
  <w:style w:type="character" w:customStyle="1" w:styleId="ReportLevel2Char">
    <w:name w:val="Report Level 2 Char"/>
    <w:rPr>
      <w:rFonts w:ascii="Arial Black" w:hAnsi="Arial Black"/>
      <w:lang w:val="en-GB" w:eastAsia="en-US" w:bidi="ar-SA"/>
    </w:rPr>
  </w:style>
  <w:style w:type="character" w:customStyle="1" w:styleId="ReportLevel3Char">
    <w:name w:val="Report Level 3 Char"/>
    <w:rPr>
      <w:rFonts w:ascii="Arial Black" w:hAnsi="Arial Black"/>
      <w:sz w:val="18"/>
      <w:szCs w:val="18"/>
      <w:lang w:val="en-GB" w:eastAsia="en-US" w:bidi="ar-SA"/>
    </w:rPr>
  </w:style>
  <w:style w:type="paragraph" w:styleId="NormalWeb">
    <w:name w:val="Normal (Web)"/>
    <w:basedOn w:val="Normal"/>
    <w:uiPriority w:val="99"/>
    <w:pPr>
      <w:keepNext w:val="0"/>
      <w:spacing w:before="100" w:beforeAutospacing="1" w:after="100" w:afterAutospacing="1"/>
    </w:pPr>
    <w:rPr>
      <w:rFonts w:ascii="Times New Roman" w:hAnsi="Times New Roman"/>
      <w:szCs w:val="24"/>
    </w:rPr>
  </w:style>
  <w:style w:type="paragraph" w:styleId="Subtitle">
    <w:name w:val="Subtitle"/>
    <w:basedOn w:val="Normal"/>
    <w:link w:val="SubtitleChar"/>
    <w:uiPriority w:val="11"/>
    <w:qFormat/>
    <w:pPr>
      <w:keepNext w:val="0"/>
      <w:spacing w:before="0"/>
    </w:pPr>
    <w:rPr>
      <w:rFonts w:ascii="Times New Roman" w:hAnsi="Times New Roman"/>
      <w:lang w:eastAsia="en-US"/>
    </w:rPr>
  </w:style>
  <w:style w:type="paragraph" w:customStyle="1" w:styleId="Default">
    <w:name w:val="Default"/>
    <w:pPr>
      <w:autoSpaceDE w:val="0"/>
      <w:autoSpaceDN w:val="0"/>
      <w:adjustRightInd w:val="0"/>
    </w:pPr>
    <w:rPr>
      <w:color w:val="000000"/>
      <w:sz w:val="24"/>
      <w:szCs w:val="24"/>
    </w:rPr>
  </w:style>
  <w:style w:type="character" w:styleId="FollowedHyperlink">
    <w:name w:val="FollowedHyperlink"/>
    <w:uiPriority w:val="99"/>
    <w:rPr>
      <w:color w:val="800080"/>
      <w:u w:val="single"/>
    </w:rPr>
  </w:style>
  <w:style w:type="paragraph" w:customStyle="1" w:styleId="body-intro">
    <w:name w:val="body-intro"/>
    <w:basedOn w:val="Normal"/>
    <w:pPr>
      <w:keepNext w:val="0"/>
      <w:spacing w:before="100" w:beforeAutospacing="1" w:after="100" w:afterAutospacing="1" w:line="320" w:lineRule="atLeast"/>
    </w:pPr>
    <w:rPr>
      <w:rFonts w:cs="Arial"/>
      <w:b/>
      <w:bCs/>
      <w:color w:val="003333"/>
      <w:szCs w:val="24"/>
    </w:rPr>
  </w:style>
  <w:style w:type="paragraph" w:customStyle="1" w:styleId="body">
    <w:name w:val="body"/>
    <w:basedOn w:val="Normal"/>
    <w:pPr>
      <w:keepNext w:val="0"/>
      <w:shd w:val="clear" w:color="auto" w:fill="FFFFFF"/>
      <w:spacing w:before="100" w:beforeAutospacing="1" w:after="100" w:afterAutospacing="1" w:line="320" w:lineRule="atLeast"/>
      <w:jc w:val="both"/>
    </w:pPr>
    <w:rPr>
      <w:rFonts w:cs="Arial"/>
      <w:szCs w:val="24"/>
    </w:rPr>
  </w:style>
  <w:style w:type="paragraph" w:styleId="BodyTextIndent2">
    <w:name w:val="Body Text Indent 2"/>
    <w:basedOn w:val="Normal"/>
    <w:pPr>
      <w:keepNext w:val="0"/>
      <w:autoSpaceDE w:val="0"/>
      <w:autoSpaceDN w:val="0"/>
      <w:adjustRightInd w:val="0"/>
      <w:spacing w:before="0"/>
      <w:ind w:left="360" w:hanging="360"/>
    </w:pPr>
    <w:rPr>
      <w:rFonts w:cs="Arial"/>
      <w:szCs w:val="22"/>
    </w:rPr>
  </w:style>
  <w:style w:type="paragraph" w:customStyle="1" w:styleId="xl75">
    <w:name w:val="xl75"/>
    <w:basedOn w:val="Normal"/>
    <w:pPr>
      <w:keepNext w:val="0"/>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font6">
    <w:name w:val="font6"/>
    <w:basedOn w:val="Normal"/>
    <w:pPr>
      <w:keepNext w:val="0"/>
      <w:spacing w:before="100" w:beforeAutospacing="1" w:after="100" w:afterAutospacing="1"/>
    </w:pPr>
    <w:rPr>
      <w:rFonts w:cs="Arial"/>
      <w:b/>
      <w:bCs/>
      <w:szCs w:val="24"/>
      <w:lang w:eastAsia="en-US"/>
    </w:rPr>
  </w:style>
  <w:style w:type="paragraph" w:customStyle="1" w:styleId="font7">
    <w:name w:val="font7"/>
    <w:basedOn w:val="Normal"/>
    <w:pPr>
      <w:keepNext w:val="0"/>
      <w:spacing w:before="100" w:beforeAutospacing="1" w:after="100" w:afterAutospacing="1"/>
    </w:pPr>
    <w:rPr>
      <w:rFonts w:cs="Arial"/>
      <w:b/>
      <w:bCs/>
      <w:sz w:val="20"/>
      <w:lang w:eastAsia="en-US"/>
    </w:rPr>
  </w:style>
  <w:style w:type="paragraph" w:customStyle="1" w:styleId="xl24">
    <w:name w:val="xl24"/>
    <w:basedOn w:val="Normal"/>
    <w:pPr>
      <w:keepNext w:val="0"/>
      <w:pBdr>
        <w:left w:val="single" w:sz="4" w:space="0" w:color="auto"/>
        <w:bottom w:val="double" w:sz="6"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xl25">
    <w:name w:val="xl25"/>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style1">
    <w:name w:val="style1"/>
    <w:basedOn w:val="Normal"/>
    <w:pPr>
      <w:keepNext w:val="0"/>
      <w:spacing w:before="100" w:beforeAutospacing="1" w:after="100" w:afterAutospacing="1"/>
    </w:pPr>
    <w:rPr>
      <w:rFonts w:ascii="Times New Roman" w:hAnsi="Times New Roman"/>
      <w:sz w:val="15"/>
      <w:szCs w:val="15"/>
    </w:rPr>
  </w:style>
  <w:style w:type="paragraph" w:customStyle="1" w:styleId="Pa31">
    <w:name w:val="Pa3++1"/>
    <w:basedOn w:val="Default"/>
    <w:next w:val="Default"/>
    <w:pPr>
      <w:spacing w:after="100" w:line="191" w:lineRule="atLeast"/>
    </w:pPr>
    <w:rPr>
      <w:rFonts w:ascii="Arial" w:hAnsi="Arial"/>
      <w:color w:val="auto"/>
    </w:rPr>
  </w:style>
  <w:style w:type="paragraph" w:customStyle="1" w:styleId="xl26">
    <w:name w:val="xl26"/>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xl28">
    <w:name w:val="xl28"/>
    <w:basedOn w:val="Normal"/>
    <w:pPr>
      <w:keepNext w:val="0"/>
      <w:spacing w:before="100" w:beforeAutospacing="1" w:after="100" w:afterAutospacing="1"/>
    </w:pPr>
    <w:rPr>
      <w:rFonts w:cs="Arial"/>
      <w:b/>
      <w:bCs/>
      <w:szCs w:val="24"/>
      <w:lang w:eastAsia="en-US"/>
    </w:rPr>
  </w:style>
  <w:style w:type="paragraph" w:customStyle="1" w:styleId="xl29">
    <w:name w:val="xl29"/>
    <w:basedOn w:val="Normal"/>
    <w:pPr>
      <w:keepNext w:val="0"/>
      <w:spacing w:before="100" w:beforeAutospacing="1" w:after="100" w:afterAutospacing="1"/>
      <w:jc w:val="center"/>
    </w:pPr>
    <w:rPr>
      <w:rFonts w:ascii="Times New Roman" w:hAnsi="Times New Roman"/>
      <w:szCs w:val="24"/>
      <w:lang w:eastAsia="en-US"/>
    </w:rPr>
  </w:style>
  <w:style w:type="paragraph" w:customStyle="1" w:styleId="inset">
    <w:name w:val="inset"/>
    <w:basedOn w:val="Normal"/>
    <w:pPr>
      <w:keepNext w:val="0"/>
      <w:spacing w:before="0"/>
    </w:pPr>
    <w:rPr>
      <w:snapToGrid w:val="0"/>
      <w:color w:val="000066"/>
      <w:sz w:val="18"/>
      <w:szCs w:val="24"/>
      <w:lang w:val="en-US" w:eastAsia="en-US"/>
    </w:rPr>
  </w:style>
  <w:style w:type="paragraph" w:styleId="BodyTextIndent3">
    <w:name w:val="Body Text Indent 3"/>
    <w:basedOn w:val="Normal"/>
    <w:pPr>
      <w:autoSpaceDE w:val="0"/>
      <w:autoSpaceDN w:val="0"/>
      <w:adjustRightInd w:val="0"/>
      <w:ind w:left="525"/>
    </w:pPr>
    <w:rPr>
      <w:rFonts w:cs="Arial"/>
      <w:color w:val="000000"/>
      <w:szCs w:val="21"/>
      <w:lang w:val="en-US"/>
    </w:rPr>
  </w:style>
  <w:style w:type="paragraph" w:customStyle="1" w:styleId="Pa9">
    <w:name w:val="Pa9"/>
    <w:basedOn w:val="Default"/>
    <w:next w:val="Default"/>
    <w:pPr>
      <w:spacing w:line="171" w:lineRule="atLeast"/>
    </w:pPr>
    <w:rPr>
      <w:rFonts w:ascii="Arial" w:hAnsi="Arial"/>
      <w:color w:val="auto"/>
    </w:rPr>
  </w:style>
  <w:style w:type="paragraph" w:customStyle="1" w:styleId="Pa10">
    <w:name w:val="Pa10"/>
    <w:basedOn w:val="Default"/>
    <w:next w:val="Default"/>
    <w:pPr>
      <w:spacing w:line="261" w:lineRule="atLeast"/>
    </w:pPr>
    <w:rPr>
      <w:rFonts w:ascii="Arial" w:hAnsi="Arial"/>
      <w:color w:val="auto"/>
    </w:rPr>
  </w:style>
  <w:style w:type="paragraph" w:customStyle="1" w:styleId="09Coverheading2">
    <w:name w:val="09_Cover heading 2"/>
    <w:basedOn w:val="Normal"/>
    <w:pPr>
      <w:keepNext w:val="0"/>
      <w:spacing w:before="0"/>
      <w:jc w:val="right"/>
    </w:pPr>
    <w:rPr>
      <w:b/>
      <w:sz w:val="40"/>
      <w:lang w:eastAsia="en-US"/>
    </w:rPr>
  </w:style>
  <w:style w:type="paragraph" w:styleId="ListParagraph">
    <w:name w:val="List Paragraph"/>
    <w:aliases w:val="Paragraph 1"/>
    <w:basedOn w:val="Normal"/>
    <w:link w:val="ListParagraphChar"/>
    <w:uiPriority w:val="1"/>
    <w:qFormat/>
    <w:rsid w:val="00756474"/>
    <w:pPr>
      <w:keepNext w:val="0"/>
      <w:spacing w:before="0" w:after="200" w:line="276" w:lineRule="auto"/>
      <w:ind w:left="720"/>
      <w:contextualSpacing/>
    </w:pPr>
    <w:rPr>
      <w:rFonts w:ascii="Calibri" w:hAnsi="Calibri"/>
      <w:szCs w:val="22"/>
      <w:lang w:eastAsia="en-US"/>
    </w:rPr>
  </w:style>
  <w:style w:type="character" w:customStyle="1" w:styleId="A7">
    <w:name w:val="A7"/>
    <w:rsid w:val="006D7F84"/>
    <w:rPr>
      <w:rFonts w:cs="Bliss"/>
      <w:b/>
      <w:bCs/>
      <w:i/>
      <w:iCs/>
      <w:color w:val="000000"/>
      <w:sz w:val="88"/>
      <w:szCs w:val="88"/>
    </w:rPr>
  </w:style>
  <w:style w:type="table" w:styleId="TableGrid">
    <w:name w:val="Table Grid"/>
    <w:aliases w:val="Report Table"/>
    <w:basedOn w:val="TableNormal"/>
    <w:uiPriority w:val="39"/>
    <w:rsid w:val="00AC737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M1">
    <w:name w:val="CM1"/>
    <w:basedOn w:val="Default"/>
    <w:next w:val="Default"/>
    <w:uiPriority w:val="99"/>
    <w:rsid w:val="00E102C7"/>
    <w:pPr>
      <w:spacing w:line="231" w:lineRule="atLeast"/>
    </w:pPr>
    <w:rPr>
      <w:rFonts w:ascii="Arial" w:hAnsi="Arial" w:cs="Arial"/>
      <w:color w:val="auto"/>
    </w:rPr>
  </w:style>
  <w:style w:type="paragraph" w:customStyle="1" w:styleId="CM20">
    <w:name w:val="CM20"/>
    <w:basedOn w:val="Default"/>
    <w:next w:val="Default"/>
    <w:uiPriority w:val="99"/>
    <w:rsid w:val="00EE0CAA"/>
    <w:pPr>
      <w:spacing w:line="231" w:lineRule="atLeast"/>
    </w:pPr>
    <w:rPr>
      <w:rFonts w:ascii="Arial" w:hAnsi="Arial" w:cs="Arial"/>
      <w:color w:val="auto"/>
    </w:rPr>
  </w:style>
  <w:style w:type="paragraph" w:customStyle="1" w:styleId="CM60">
    <w:name w:val="CM60"/>
    <w:basedOn w:val="Default"/>
    <w:next w:val="Default"/>
    <w:uiPriority w:val="99"/>
    <w:rsid w:val="00EE0CAA"/>
    <w:rPr>
      <w:rFonts w:ascii="Arial" w:hAnsi="Arial" w:cs="Arial"/>
      <w:color w:val="auto"/>
    </w:rPr>
  </w:style>
  <w:style w:type="character" w:customStyle="1" w:styleId="A8">
    <w:name w:val="A8"/>
    <w:rsid w:val="004E6E6F"/>
    <w:rPr>
      <w:rFonts w:cs="Minion"/>
      <w:color w:val="000000"/>
      <w:sz w:val="15"/>
      <w:szCs w:val="15"/>
    </w:rPr>
  </w:style>
  <w:style w:type="paragraph" w:customStyle="1" w:styleId="Pa8">
    <w:name w:val="Pa8"/>
    <w:basedOn w:val="Default"/>
    <w:next w:val="Default"/>
    <w:uiPriority w:val="99"/>
    <w:rsid w:val="004E6E6F"/>
    <w:pPr>
      <w:spacing w:line="221" w:lineRule="atLeast"/>
    </w:pPr>
    <w:rPr>
      <w:rFonts w:ascii="Minion" w:hAnsi="Minion"/>
      <w:color w:val="auto"/>
    </w:rPr>
  </w:style>
  <w:style w:type="paragraph" w:customStyle="1" w:styleId="Pa12">
    <w:name w:val="Pa12"/>
    <w:basedOn w:val="Default"/>
    <w:next w:val="Default"/>
    <w:uiPriority w:val="99"/>
    <w:rsid w:val="00501527"/>
    <w:pPr>
      <w:spacing w:line="221" w:lineRule="atLeast"/>
    </w:pPr>
    <w:rPr>
      <w:rFonts w:ascii="Minion" w:hAnsi="Minion"/>
      <w:color w:val="auto"/>
    </w:rPr>
  </w:style>
  <w:style w:type="paragraph" w:customStyle="1" w:styleId="Pa13">
    <w:name w:val="Pa13"/>
    <w:basedOn w:val="Default"/>
    <w:next w:val="Default"/>
    <w:uiPriority w:val="99"/>
    <w:rsid w:val="00501527"/>
    <w:pPr>
      <w:spacing w:line="221" w:lineRule="atLeast"/>
    </w:pPr>
    <w:rPr>
      <w:rFonts w:ascii="Minion" w:hAnsi="Minion"/>
      <w:color w:val="auto"/>
    </w:rPr>
  </w:style>
  <w:style w:type="character" w:customStyle="1" w:styleId="A11">
    <w:name w:val="A11"/>
    <w:uiPriority w:val="99"/>
    <w:rsid w:val="00501527"/>
    <w:rPr>
      <w:rFonts w:cs="Minion"/>
      <w:color w:val="000000"/>
      <w:sz w:val="22"/>
      <w:szCs w:val="22"/>
    </w:rPr>
  </w:style>
  <w:style w:type="paragraph" w:customStyle="1" w:styleId="Pa0">
    <w:name w:val="Pa0"/>
    <w:basedOn w:val="Default"/>
    <w:next w:val="Default"/>
    <w:rsid w:val="00501527"/>
    <w:pPr>
      <w:spacing w:line="241" w:lineRule="atLeast"/>
    </w:pPr>
    <w:rPr>
      <w:rFonts w:ascii="Minion" w:hAnsi="Minion"/>
      <w:color w:val="auto"/>
    </w:rPr>
  </w:style>
  <w:style w:type="character" w:customStyle="1" w:styleId="A4">
    <w:name w:val="A4"/>
    <w:rsid w:val="00501527"/>
    <w:rPr>
      <w:rFonts w:ascii="Frutiger 45 Light" w:hAnsi="Frutiger 45 Light" w:cs="Frutiger 45 Light"/>
      <w:b/>
      <w:bCs/>
      <w:color w:val="000000"/>
      <w:sz w:val="14"/>
      <w:szCs w:val="14"/>
    </w:rPr>
  </w:style>
  <w:style w:type="character" w:customStyle="1" w:styleId="A3">
    <w:name w:val="A3"/>
    <w:uiPriority w:val="99"/>
    <w:rsid w:val="00501527"/>
    <w:rPr>
      <w:rFonts w:ascii="Minion DisplaySC" w:hAnsi="Minion DisplaySC" w:cs="Minion DisplaySC"/>
      <w:color w:val="000000"/>
      <w:sz w:val="16"/>
      <w:szCs w:val="16"/>
    </w:rPr>
  </w:style>
  <w:style w:type="character" w:styleId="Emphasis">
    <w:name w:val="Emphasis"/>
    <w:uiPriority w:val="20"/>
    <w:qFormat/>
    <w:rsid w:val="00BB554C"/>
    <w:rPr>
      <w:i/>
      <w:iCs/>
    </w:rPr>
  </w:style>
  <w:style w:type="character" w:styleId="Strong">
    <w:name w:val="Strong"/>
    <w:uiPriority w:val="22"/>
    <w:qFormat/>
    <w:rsid w:val="00347A20"/>
    <w:rPr>
      <w:b/>
      <w:bCs/>
    </w:rPr>
  </w:style>
  <w:style w:type="paragraph" w:styleId="BalloonText">
    <w:name w:val="Balloon Text"/>
    <w:basedOn w:val="Normal"/>
    <w:link w:val="BalloonTextChar"/>
    <w:uiPriority w:val="99"/>
    <w:semiHidden/>
    <w:rsid w:val="007D4658"/>
    <w:rPr>
      <w:rFonts w:ascii="Tahoma" w:hAnsi="Tahoma" w:cs="Tahoma"/>
      <w:sz w:val="16"/>
      <w:szCs w:val="16"/>
    </w:rPr>
  </w:style>
  <w:style w:type="paragraph" w:customStyle="1" w:styleId="Covertitle">
    <w:name w:val="Cover title"/>
    <w:basedOn w:val="Normal"/>
    <w:next w:val="Normal"/>
    <w:rsid w:val="002308D8"/>
    <w:pPr>
      <w:keepNext w:val="0"/>
      <w:spacing w:before="0" w:after="120"/>
      <w:contextualSpacing/>
    </w:pPr>
    <w:rPr>
      <w:rFonts w:eastAsia="SimSun"/>
      <w:b/>
      <w:color w:val="015CAE"/>
      <w:sz w:val="54"/>
      <w:szCs w:val="22"/>
      <w:lang w:eastAsia="zh-CN"/>
    </w:rPr>
  </w:style>
  <w:style w:type="paragraph" w:styleId="TOC3">
    <w:name w:val="toc 3"/>
    <w:basedOn w:val="Normal"/>
    <w:next w:val="Normal"/>
    <w:autoRedefine/>
    <w:uiPriority w:val="39"/>
    <w:rsid w:val="002308D8"/>
    <w:pPr>
      <w:spacing w:before="0"/>
      <w:ind w:left="240"/>
    </w:pPr>
    <w:rPr>
      <w:rFonts w:asciiTheme="minorHAnsi" w:hAnsiTheme="minorHAnsi" w:cstheme="minorHAnsi"/>
      <w:sz w:val="20"/>
    </w:rPr>
  </w:style>
  <w:style w:type="paragraph" w:customStyle="1" w:styleId="CM41">
    <w:name w:val="CM41"/>
    <w:basedOn w:val="Default"/>
    <w:next w:val="Default"/>
    <w:rsid w:val="00033102"/>
    <w:rPr>
      <w:rFonts w:ascii="Arial" w:hAnsi="Arial"/>
      <w:color w:val="auto"/>
    </w:rPr>
  </w:style>
  <w:style w:type="character" w:customStyle="1" w:styleId="A5">
    <w:name w:val="A5"/>
    <w:rsid w:val="0060204C"/>
    <w:rPr>
      <w:rFonts w:cs="Frutiger 45 Light"/>
      <w:color w:val="000000"/>
    </w:rPr>
  </w:style>
  <w:style w:type="paragraph" w:customStyle="1" w:styleId="Pa19">
    <w:name w:val="Pa19"/>
    <w:basedOn w:val="Default"/>
    <w:next w:val="Default"/>
    <w:uiPriority w:val="99"/>
    <w:rsid w:val="0060204C"/>
    <w:pPr>
      <w:spacing w:line="241" w:lineRule="atLeast"/>
    </w:pPr>
    <w:rPr>
      <w:rFonts w:ascii="Frutiger 45 Light" w:hAnsi="Frutiger 45 Light"/>
      <w:color w:val="auto"/>
    </w:rPr>
  </w:style>
  <w:style w:type="character" w:customStyle="1" w:styleId="BodyText2Char1">
    <w:name w:val="Body Text 2 Char1"/>
    <w:link w:val="BodyText2"/>
    <w:rsid w:val="00EF4CC3"/>
    <w:rPr>
      <w:sz w:val="24"/>
      <w:lang w:val="en-GB" w:eastAsia="en-US" w:bidi="ar-SA"/>
    </w:rPr>
  </w:style>
  <w:style w:type="paragraph" w:styleId="DocumentMap">
    <w:name w:val="Document Map"/>
    <w:basedOn w:val="Normal"/>
    <w:semiHidden/>
    <w:rsid w:val="006F38E7"/>
    <w:pPr>
      <w:shd w:val="clear" w:color="auto" w:fill="000080"/>
    </w:pPr>
    <w:rPr>
      <w:rFonts w:ascii="Tahoma" w:hAnsi="Tahoma" w:cs="Tahoma"/>
      <w:sz w:val="20"/>
    </w:rPr>
  </w:style>
  <w:style w:type="character" w:customStyle="1" w:styleId="st">
    <w:name w:val="st"/>
    <w:basedOn w:val="DefaultParagraphFont"/>
    <w:rsid w:val="00C91AAA"/>
  </w:style>
  <w:style w:type="paragraph" w:customStyle="1" w:styleId="normalnumbered">
    <w:name w:val="normal numbered"/>
    <w:basedOn w:val="Normal"/>
    <w:link w:val="normalnumberedChar"/>
    <w:rsid w:val="001336FB"/>
    <w:pPr>
      <w:keepNext w:val="0"/>
      <w:tabs>
        <w:tab w:val="num" w:pos="720"/>
        <w:tab w:val="num" w:pos="860"/>
      </w:tabs>
      <w:spacing w:after="240" w:line="360" w:lineRule="auto"/>
      <w:jc w:val="both"/>
    </w:pPr>
    <w:rPr>
      <w:sz w:val="20"/>
      <w:szCs w:val="24"/>
    </w:rPr>
  </w:style>
  <w:style w:type="character" w:customStyle="1" w:styleId="normalnumberedChar">
    <w:name w:val="normal numbered Char"/>
    <w:link w:val="normalnumbered"/>
    <w:rsid w:val="001336FB"/>
    <w:rPr>
      <w:rFonts w:ascii="Arial" w:hAnsi="Arial"/>
      <w:szCs w:val="24"/>
    </w:rPr>
  </w:style>
  <w:style w:type="character" w:customStyle="1" w:styleId="Heading2Char">
    <w:name w:val="Heading 2 Char"/>
    <w:link w:val="Heading2"/>
    <w:uiPriority w:val="9"/>
    <w:rsid w:val="001019CE"/>
    <w:rPr>
      <w:rFonts w:ascii="Arial" w:hAnsi="Arial"/>
      <w:b/>
      <w:color w:val="000000" w:themeColor="text1"/>
      <w:sz w:val="40"/>
      <w:lang w:eastAsia="en-US"/>
    </w:rPr>
  </w:style>
  <w:style w:type="character" w:customStyle="1" w:styleId="Heading3Char">
    <w:name w:val="Heading 3 Char"/>
    <w:link w:val="Heading3"/>
    <w:uiPriority w:val="9"/>
    <w:rsid w:val="000447CA"/>
    <w:rPr>
      <w:rFonts w:ascii="Arial" w:eastAsia="Calibri" w:hAnsi="Arial" w:cs="Arial"/>
      <w:b/>
      <w:bCs/>
      <w:iCs/>
      <w:sz w:val="24"/>
      <w:szCs w:val="24"/>
      <w:lang w:eastAsia="en-US"/>
    </w:rPr>
  </w:style>
  <w:style w:type="character" w:customStyle="1" w:styleId="SubtitleChar">
    <w:name w:val="Subtitle Char"/>
    <w:link w:val="Subtitle"/>
    <w:uiPriority w:val="11"/>
    <w:rsid w:val="00922B31"/>
    <w:rPr>
      <w:sz w:val="24"/>
      <w:lang w:eastAsia="en-US"/>
    </w:rPr>
  </w:style>
  <w:style w:type="character" w:customStyle="1" w:styleId="FooterChar">
    <w:name w:val="Footer Char"/>
    <w:link w:val="Footer"/>
    <w:uiPriority w:val="99"/>
    <w:rsid w:val="009D20EC"/>
    <w:rPr>
      <w:rFonts w:ascii="Arial" w:hAnsi="Arial"/>
      <w:sz w:val="22"/>
    </w:rPr>
  </w:style>
  <w:style w:type="character" w:customStyle="1" w:styleId="tgc">
    <w:name w:val="_tgc"/>
    <w:basedOn w:val="DefaultParagraphFont"/>
    <w:rsid w:val="0068741D"/>
  </w:style>
  <w:style w:type="paragraph" w:styleId="PlainText">
    <w:name w:val="Plain Text"/>
    <w:basedOn w:val="Normal"/>
    <w:link w:val="PlainTextChar"/>
    <w:rsid w:val="009F78A0"/>
    <w:pPr>
      <w:keepNext w:val="0"/>
      <w:spacing w:before="0"/>
    </w:pPr>
    <w:rPr>
      <w:rFonts w:ascii="Courier New" w:hAnsi="Courier New" w:cs="Courier New"/>
      <w:sz w:val="20"/>
    </w:rPr>
  </w:style>
  <w:style w:type="character" w:customStyle="1" w:styleId="PlainTextChar">
    <w:name w:val="Plain Text Char"/>
    <w:link w:val="PlainText"/>
    <w:rsid w:val="009F78A0"/>
    <w:rPr>
      <w:rFonts w:ascii="Courier New" w:hAnsi="Courier New" w:cs="Courier New"/>
    </w:rPr>
  </w:style>
  <w:style w:type="character" w:customStyle="1" w:styleId="FootnoteTextChar">
    <w:name w:val="Footnote Text Char"/>
    <w:link w:val="FootnoteText"/>
    <w:uiPriority w:val="99"/>
    <w:semiHidden/>
    <w:rsid w:val="00FC6353"/>
    <w:rPr>
      <w:rFonts w:ascii="Arial" w:hAnsi="Arial"/>
      <w:lang w:eastAsia="en-US"/>
    </w:rPr>
  </w:style>
  <w:style w:type="table" w:customStyle="1" w:styleId="TableGrid1">
    <w:name w:val="Table Grid1"/>
    <w:basedOn w:val="TableNormal"/>
    <w:next w:val="TableGrid"/>
    <w:uiPriority w:val="39"/>
    <w:rsid w:val="00350C9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444E2"/>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rsid w:val="005C27E8"/>
    <w:rPr>
      <w:sz w:val="20"/>
    </w:rPr>
  </w:style>
  <w:style w:type="character" w:customStyle="1" w:styleId="CommentTextChar">
    <w:name w:val="Comment Text Char"/>
    <w:basedOn w:val="DefaultParagraphFont"/>
    <w:link w:val="CommentText"/>
    <w:uiPriority w:val="99"/>
    <w:rsid w:val="005C27E8"/>
    <w:rPr>
      <w:rFonts w:ascii="Arial" w:hAnsi="Arial"/>
      <w:color w:val="000000" w:themeColor="text1"/>
    </w:rPr>
  </w:style>
  <w:style w:type="character" w:styleId="CommentReference">
    <w:name w:val="annotation reference"/>
    <w:uiPriority w:val="99"/>
    <w:rsid w:val="005C27E8"/>
    <w:rPr>
      <w:sz w:val="16"/>
      <w:szCs w:val="16"/>
    </w:rPr>
  </w:style>
  <w:style w:type="table" w:customStyle="1" w:styleId="TableGrid3">
    <w:name w:val="Table Grid3"/>
    <w:basedOn w:val="TableNormal"/>
    <w:next w:val="TableGrid"/>
    <w:uiPriority w:val="39"/>
    <w:rsid w:val="00253929"/>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5">
    <w:name w:val="Pa5"/>
    <w:basedOn w:val="Default"/>
    <w:next w:val="Default"/>
    <w:rsid w:val="003178B5"/>
    <w:pPr>
      <w:spacing w:line="261" w:lineRule="atLeast"/>
    </w:pPr>
    <w:rPr>
      <w:rFonts w:ascii="GillSans" w:hAnsi="GillSans"/>
      <w:color w:val="auto"/>
    </w:rPr>
  </w:style>
  <w:style w:type="character" w:customStyle="1" w:styleId="A12">
    <w:name w:val="A12"/>
    <w:uiPriority w:val="99"/>
    <w:rsid w:val="003178B5"/>
    <w:rPr>
      <w:rFonts w:cs="Poppins"/>
      <w:b/>
      <w:bCs/>
      <w:color w:val="000000"/>
      <w:sz w:val="28"/>
      <w:szCs w:val="28"/>
    </w:rPr>
  </w:style>
  <w:style w:type="character" w:styleId="UnresolvedMention">
    <w:name w:val="Unresolved Mention"/>
    <w:basedOn w:val="DefaultParagraphFont"/>
    <w:uiPriority w:val="99"/>
    <w:semiHidden/>
    <w:unhideWhenUsed/>
    <w:rsid w:val="00284AAC"/>
    <w:rPr>
      <w:color w:val="605E5C"/>
      <w:shd w:val="clear" w:color="auto" w:fill="E1DFDD"/>
    </w:rPr>
  </w:style>
  <w:style w:type="table" w:customStyle="1" w:styleId="TableGrid18">
    <w:name w:val="Table Grid18"/>
    <w:basedOn w:val="TableNormal"/>
    <w:next w:val="TableGrid"/>
    <w:uiPriority w:val="39"/>
    <w:rsid w:val="00386A0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D2A07"/>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1">
    <w:name w:val="Report Table1"/>
    <w:basedOn w:val="TableNormal"/>
    <w:next w:val="TableGrid"/>
    <w:rsid w:val="00357D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rsid w:val="00E66BAE"/>
    <w:rPr>
      <w:b/>
      <w:bCs/>
    </w:rPr>
  </w:style>
  <w:style w:type="character" w:customStyle="1" w:styleId="CommentSubjectChar">
    <w:name w:val="Comment Subject Char"/>
    <w:basedOn w:val="CommentTextChar"/>
    <w:link w:val="CommentSubject"/>
    <w:uiPriority w:val="99"/>
    <w:rsid w:val="00E66BAE"/>
    <w:rPr>
      <w:rFonts w:ascii="Arial" w:hAnsi="Arial"/>
      <w:b/>
      <w:bCs/>
      <w:color w:val="000000" w:themeColor="text1"/>
    </w:rPr>
  </w:style>
  <w:style w:type="paragraph" w:customStyle="1" w:styleId="Heading">
    <w:name w:val="Heading"/>
    <w:link w:val="Heading10"/>
    <w:rsid w:val="00DE2722"/>
    <w:pPr>
      <w:tabs>
        <w:tab w:val="left" w:pos="680"/>
      </w:tabs>
      <w:spacing w:after="170"/>
    </w:pPr>
    <w:rPr>
      <w:rFonts w:ascii="Arial" w:eastAsia="Arial" w:hAnsi="Arial"/>
      <w:b/>
      <w:color w:val="A91A37"/>
      <w:sz w:val="24"/>
    </w:rPr>
  </w:style>
  <w:style w:type="character" w:customStyle="1" w:styleId="Heading10">
    <w:name w:val="Heading1"/>
    <w:link w:val="Heading"/>
    <w:locked/>
    <w:rsid w:val="00DE2722"/>
    <w:rPr>
      <w:rFonts w:ascii="Arial" w:eastAsia="Arial" w:hAnsi="Arial"/>
      <w:b/>
      <w:color w:val="A91A37"/>
      <w:sz w:val="24"/>
    </w:rPr>
  </w:style>
  <w:style w:type="character" w:customStyle="1" w:styleId="Normal1">
    <w:name w:val="Normal1"/>
    <w:rsid w:val="007D1121"/>
    <w:rPr>
      <w:rFonts w:ascii="Arial" w:eastAsia="Arial" w:hAnsi="Arial"/>
      <w:noProof w:val="0"/>
      <w:sz w:val="24"/>
      <w:lang w:val="en-GB"/>
    </w:rPr>
  </w:style>
  <w:style w:type="paragraph" w:customStyle="1" w:styleId="Policy">
    <w:name w:val="Policy"/>
    <w:link w:val="Policy1"/>
    <w:rsid w:val="003C7E62"/>
    <w:pPr>
      <w:tabs>
        <w:tab w:val="left" w:pos="680"/>
        <w:tab w:val="left" w:pos="1133"/>
        <w:tab w:val="left" w:pos="2267"/>
      </w:tabs>
      <w:spacing w:after="113" w:line="300" w:lineRule="exact"/>
      <w:ind w:left="283" w:right="283"/>
    </w:pPr>
    <w:rPr>
      <w:rFonts w:ascii="Arial" w:eastAsia="Arial" w:hAnsi="Arial"/>
      <w:sz w:val="28"/>
    </w:rPr>
  </w:style>
  <w:style w:type="character" w:customStyle="1" w:styleId="Policy1">
    <w:name w:val="Policy1"/>
    <w:link w:val="Policy"/>
    <w:locked/>
    <w:rsid w:val="003C7E62"/>
    <w:rPr>
      <w:rFonts w:ascii="Arial" w:eastAsia="Arial" w:hAnsi="Arial"/>
      <w:sz w:val="28"/>
    </w:rPr>
  </w:style>
  <w:style w:type="paragraph" w:styleId="Revision">
    <w:name w:val="Revision"/>
    <w:hidden/>
    <w:uiPriority w:val="99"/>
    <w:semiHidden/>
    <w:rsid w:val="00757836"/>
    <w:rPr>
      <w:rFonts w:ascii="Arial" w:hAnsi="Arial"/>
      <w:color w:val="000000" w:themeColor="text1"/>
      <w:sz w:val="24"/>
    </w:rPr>
  </w:style>
  <w:style w:type="table" w:customStyle="1" w:styleId="TableGrid5">
    <w:name w:val="Table Grid5"/>
    <w:basedOn w:val="TableNormal"/>
    <w:next w:val="TableGrid"/>
    <w:uiPriority w:val="39"/>
    <w:rsid w:val="00945E91"/>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955CB"/>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75D60"/>
    <w:pPr>
      <w:keepNext w:val="0"/>
      <w:spacing w:before="0"/>
    </w:pPr>
    <w:rPr>
      <w:rFonts w:ascii="Calibri" w:eastAsiaTheme="minorHAnsi" w:hAnsi="Calibri" w:cs="Calibri"/>
      <w:color w:val="auto"/>
      <w:sz w:val="22"/>
      <w:szCs w:val="22"/>
    </w:rPr>
  </w:style>
  <w:style w:type="table" w:customStyle="1" w:styleId="TableGrid7">
    <w:name w:val="Table Grid7"/>
    <w:basedOn w:val="TableNormal"/>
    <w:next w:val="TableGrid"/>
    <w:uiPriority w:val="39"/>
    <w:rsid w:val="006157E6"/>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B42C71"/>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B42C71"/>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B42C71"/>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89485A"/>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236F84"/>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41502"/>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041502"/>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B958CB"/>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FA27F7"/>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7C6CA4"/>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CE241F"/>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CE6287"/>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263F59"/>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dslegrhslegp3text">
    <w:name w:val="legds legrhs legp3text"/>
    <w:basedOn w:val="DefaultParagraphFont"/>
    <w:rsid w:val="00C602FD"/>
  </w:style>
  <w:style w:type="character" w:customStyle="1" w:styleId="ParaNo">
    <w:name w:val="Para No"/>
    <w:rsid w:val="00C602FD"/>
    <w:rPr>
      <w:noProof w:val="0"/>
      <w:spacing w:val="0"/>
      <w:sz w:val="20"/>
      <w:lang w:val="en-GB"/>
    </w:rPr>
  </w:style>
  <w:style w:type="paragraph" w:customStyle="1" w:styleId="Bullet1">
    <w:name w:val="Bullet 1"/>
    <w:rsid w:val="00C602FD"/>
    <w:pPr>
      <w:keepLines/>
      <w:tabs>
        <w:tab w:val="left" w:pos="680"/>
      </w:tabs>
      <w:spacing w:after="113"/>
      <w:ind w:left="1133" w:right="56"/>
    </w:pPr>
    <w:rPr>
      <w:rFonts w:ascii="Arial" w:eastAsia="Arial" w:hAnsi="Arial"/>
      <w:sz w:val="24"/>
    </w:rPr>
  </w:style>
  <w:style w:type="character" w:customStyle="1" w:styleId="Footnote">
    <w:name w:val="Footnote"/>
    <w:rsid w:val="00C602FD"/>
    <w:rPr>
      <w:rFonts w:ascii="Arial" w:eastAsia="Arial" w:hAnsi="Arial"/>
      <w:noProof w:val="0"/>
      <w:position w:val="10"/>
      <w:sz w:val="16"/>
      <w:lang w:val="en-GB"/>
    </w:rPr>
  </w:style>
  <w:style w:type="paragraph" w:customStyle="1" w:styleId="FirstLine">
    <w:name w:val="First Line"/>
    <w:rsid w:val="00C602FD"/>
    <w:pPr>
      <w:tabs>
        <w:tab w:val="left" w:pos="680"/>
      </w:tabs>
      <w:spacing w:after="113"/>
    </w:pPr>
    <w:rPr>
      <w:rFonts w:ascii="Arial" w:eastAsia="Arial" w:hAnsi="Arial"/>
      <w:sz w:val="24"/>
    </w:rPr>
  </w:style>
  <w:style w:type="paragraph" w:customStyle="1" w:styleId="Bullet2">
    <w:name w:val="Bullet 2"/>
    <w:basedOn w:val="Normal"/>
    <w:rsid w:val="00C602FD"/>
    <w:pPr>
      <w:keepNext w:val="0"/>
      <w:tabs>
        <w:tab w:val="left" w:pos="680"/>
      </w:tabs>
      <w:spacing w:before="0" w:after="113"/>
      <w:ind w:left="1133" w:right="566"/>
    </w:pPr>
    <w:rPr>
      <w:rFonts w:eastAsia="Arial"/>
      <w:color w:val="182B61"/>
    </w:rPr>
  </w:style>
  <w:style w:type="table" w:customStyle="1" w:styleId="TableGrid22">
    <w:name w:val="Table Grid22"/>
    <w:basedOn w:val="TableNormal"/>
    <w:next w:val="TableGrid"/>
    <w:uiPriority w:val="59"/>
    <w:rsid w:val="00C60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link w:val="Caption2"/>
    <w:rsid w:val="00C602FD"/>
    <w:pPr>
      <w:tabs>
        <w:tab w:val="left" w:pos="680"/>
        <w:tab w:val="left" w:pos="2267"/>
      </w:tabs>
      <w:suppressAutoHyphens/>
      <w:spacing w:after="56" w:line="260" w:lineRule="exact"/>
      <w:ind w:left="56" w:right="56"/>
      <w:textAlignment w:val="baseline"/>
    </w:pPr>
    <w:rPr>
      <w:rFonts w:ascii="Arial" w:hAnsi="Arial" w:cs="Arial"/>
    </w:rPr>
  </w:style>
  <w:style w:type="character" w:customStyle="1" w:styleId="Caption2">
    <w:name w:val="Caption2"/>
    <w:link w:val="Caption1"/>
    <w:locked/>
    <w:rsid w:val="00C602FD"/>
    <w:rPr>
      <w:rFonts w:ascii="Arial" w:hAnsi="Arial" w:cs="Arial"/>
    </w:rPr>
  </w:style>
  <w:style w:type="character" w:customStyle="1" w:styleId="caption21">
    <w:name w:val="caption21"/>
    <w:rsid w:val="00C602FD"/>
    <w:rPr>
      <w:b w:val="0"/>
      <w:bCs w:val="0"/>
      <w:color w:val="000066"/>
      <w:sz w:val="19"/>
      <w:szCs w:val="19"/>
    </w:rPr>
  </w:style>
  <w:style w:type="character" w:customStyle="1" w:styleId="BodyTextIndentChar">
    <w:name w:val="Body Text Indent Char"/>
    <w:link w:val="BodyTextIndent"/>
    <w:locked/>
    <w:rsid w:val="00C602FD"/>
    <w:rPr>
      <w:rFonts w:ascii="Arial" w:hAnsi="Arial"/>
      <w:color w:val="000000" w:themeColor="text1"/>
      <w:sz w:val="24"/>
    </w:rPr>
  </w:style>
  <w:style w:type="character" w:customStyle="1" w:styleId="st1">
    <w:name w:val="st1"/>
    <w:basedOn w:val="DefaultParagraphFont"/>
    <w:rsid w:val="00C602FD"/>
  </w:style>
  <w:style w:type="paragraph" w:customStyle="1" w:styleId="TextBoxindent2">
    <w:name w:val="Text Box indent2"/>
    <w:rsid w:val="00C602FD"/>
    <w:pPr>
      <w:tabs>
        <w:tab w:val="left" w:pos="1360"/>
        <w:tab w:val="left" w:pos="1587"/>
      </w:tabs>
      <w:spacing w:after="113"/>
      <w:ind w:left="850"/>
    </w:pPr>
    <w:rPr>
      <w:rFonts w:ascii="Arial" w:hAnsi="Arial"/>
      <w:sz w:val="24"/>
    </w:rPr>
  </w:style>
  <w:style w:type="paragraph" w:customStyle="1" w:styleId="Indent">
    <w:name w:val="Indent"/>
    <w:basedOn w:val="Normal"/>
    <w:rsid w:val="00C602FD"/>
    <w:pPr>
      <w:keepNext w:val="0"/>
      <w:tabs>
        <w:tab w:val="left" w:pos="720"/>
      </w:tabs>
      <w:spacing w:before="0"/>
    </w:pPr>
    <w:rPr>
      <w:color w:val="auto"/>
      <w:lang w:eastAsia="en-US"/>
    </w:rPr>
  </w:style>
  <w:style w:type="paragraph" w:styleId="ListBullet">
    <w:name w:val="List Bullet"/>
    <w:basedOn w:val="Normal"/>
    <w:autoRedefine/>
    <w:rsid w:val="00C602FD"/>
    <w:pPr>
      <w:keepNext w:val="0"/>
      <w:numPr>
        <w:numId w:val="317"/>
      </w:numPr>
      <w:tabs>
        <w:tab w:val="left" w:pos="1276"/>
        <w:tab w:val="left" w:pos="1980"/>
      </w:tabs>
      <w:spacing w:before="0"/>
      <w:ind w:left="1276" w:hanging="425"/>
      <w:jc w:val="both"/>
    </w:pPr>
    <w:rPr>
      <w:color w:val="auto"/>
      <w:szCs w:val="24"/>
      <w:lang w:eastAsia="en-US"/>
    </w:rPr>
  </w:style>
  <w:style w:type="paragraph" w:styleId="NoSpacing">
    <w:name w:val="No Spacing"/>
    <w:link w:val="NoSpacingChar"/>
    <w:uiPriority w:val="1"/>
    <w:qFormat/>
    <w:rsid w:val="00C602FD"/>
    <w:rPr>
      <w:rFonts w:ascii="Arial" w:eastAsia="Calibri" w:hAnsi="Arial"/>
      <w:sz w:val="24"/>
      <w:szCs w:val="22"/>
      <w:lang w:eastAsia="en-US"/>
    </w:rPr>
  </w:style>
  <w:style w:type="paragraph" w:customStyle="1" w:styleId="Pa27">
    <w:name w:val="Pa27"/>
    <w:basedOn w:val="Default"/>
    <w:next w:val="Default"/>
    <w:rsid w:val="00C602FD"/>
    <w:pPr>
      <w:spacing w:line="241" w:lineRule="atLeast"/>
    </w:pPr>
    <w:rPr>
      <w:rFonts w:ascii="Arial" w:hAnsi="Arial"/>
      <w:color w:val="auto"/>
    </w:rPr>
  </w:style>
  <w:style w:type="paragraph" w:customStyle="1" w:styleId="Pa7">
    <w:name w:val="Pa7"/>
    <w:basedOn w:val="Default"/>
    <w:next w:val="Default"/>
    <w:uiPriority w:val="99"/>
    <w:rsid w:val="00C602FD"/>
    <w:pPr>
      <w:spacing w:line="241" w:lineRule="atLeast"/>
    </w:pPr>
    <w:rPr>
      <w:rFonts w:ascii="Frutiger LT Std 45 Light" w:hAnsi="Frutiger LT Std 45 Light"/>
      <w:color w:val="auto"/>
    </w:rPr>
  </w:style>
  <w:style w:type="paragraph" w:customStyle="1" w:styleId="Pa11">
    <w:name w:val="Pa11"/>
    <w:basedOn w:val="Default"/>
    <w:next w:val="Default"/>
    <w:rsid w:val="00C602FD"/>
    <w:pPr>
      <w:spacing w:line="241" w:lineRule="atLeast"/>
    </w:pPr>
    <w:rPr>
      <w:rFonts w:ascii="Frutiger LT Std 45 Light" w:hAnsi="Frutiger LT Std 45 Light"/>
      <w:color w:val="auto"/>
    </w:rPr>
  </w:style>
  <w:style w:type="paragraph" w:customStyle="1" w:styleId="Pa310">
    <w:name w:val="Pa31"/>
    <w:basedOn w:val="Normal"/>
    <w:next w:val="Normal"/>
    <w:rsid w:val="00C602FD"/>
    <w:pPr>
      <w:keepNext w:val="0"/>
      <w:autoSpaceDE w:val="0"/>
      <w:autoSpaceDN w:val="0"/>
      <w:adjustRightInd w:val="0"/>
      <w:spacing w:before="0" w:line="241" w:lineRule="atLeast"/>
    </w:pPr>
    <w:rPr>
      <w:color w:val="auto"/>
      <w:szCs w:val="24"/>
    </w:rPr>
  </w:style>
  <w:style w:type="character" w:customStyle="1" w:styleId="normalboldchar">
    <w:name w:val="normalboldchar"/>
    <w:basedOn w:val="DefaultParagraphFont"/>
    <w:rsid w:val="00C602FD"/>
  </w:style>
  <w:style w:type="paragraph" w:customStyle="1" w:styleId="cmpnonumber">
    <w:name w:val="cmp_nonumber"/>
    <w:basedOn w:val="Normal"/>
    <w:rsid w:val="00C602FD"/>
    <w:pPr>
      <w:keepNext w:val="0"/>
      <w:spacing w:before="100" w:beforeAutospacing="1" w:after="100" w:afterAutospacing="1"/>
    </w:pPr>
    <w:rPr>
      <w:rFonts w:ascii="Times New Roman" w:hAnsi="Times New Roman"/>
      <w:color w:val="auto"/>
      <w:szCs w:val="24"/>
    </w:rPr>
  </w:style>
  <w:style w:type="character" w:customStyle="1" w:styleId="incmptitlepolicy">
    <w:name w:val="in_cmp_title_policy"/>
    <w:basedOn w:val="DefaultParagraphFont"/>
    <w:rsid w:val="00C602FD"/>
  </w:style>
  <w:style w:type="paragraph" w:customStyle="1" w:styleId="justify">
    <w:name w:val="justify"/>
    <w:basedOn w:val="Normal"/>
    <w:rsid w:val="00C602FD"/>
    <w:pPr>
      <w:keepNext w:val="0"/>
      <w:spacing w:before="100" w:beforeAutospacing="1" w:after="100" w:afterAutospacing="1"/>
    </w:pPr>
    <w:rPr>
      <w:rFonts w:ascii="Times New Roman" w:hAnsi="Times New Roman"/>
      <w:color w:val="auto"/>
      <w:szCs w:val="24"/>
    </w:rPr>
  </w:style>
  <w:style w:type="paragraph" w:customStyle="1" w:styleId="Pa39">
    <w:name w:val="Pa39"/>
    <w:basedOn w:val="Normal"/>
    <w:next w:val="Normal"/>
    <w:rsid w:val="00C602FD"/>
    <w:pPr>
      <w:keepNext w:val="0"/>
      <w:autoSpaceDE w:val="0"/>
      <w:autoSpaceDN w:val="0"/>
      <w:adjustRightInd w:val="0"/>
      <w:spacing w:before="0" w:line="241" w:lineRule="atLeast"/>
    </w:pPr>
    <w:rPr>
      <w:color w:val="auto"/>
      <w:szCs w:val="24"/>
    </w:rPr>
  </w:style>
  <w:style w:type="paragraph" w:customStyle="1" w:styleId="CM32">
    <w:name w:val="CM32"/>
    <w:basedOn w:val="Normal"/>
    <w:next w:val="Normal"/>
    <w:rsid w:val="00C602FD"/>
    <w:pPr>
      <w:keepNext w:val="0"/>
      <w:autoSpaceDE w:val="0"/>
      <w:autoSpaceDN w:val="0"/>
      <w:adjustRightInd w:val="0"/>
      <w:spacing w:before="0"/>
    </w:pPr>
    <w:rPr>
      <w:color w:val="auto"/>
      <w:szCs w:val="24"/>
    </w:rPr>
  </w:style>
  <w:style w:type="paragraph" w:customStyle="1" w:styleId="legp1paratext1">
    <w:name w:val="legp1paratext1"/>
    <w:basedOn w:val="Normal"/>
    <w:rsid w:val="00C602FD"/>
    <w:pPr>
      <w:keepNext w:val="0"/>
      <w:shd w:val="clear" w:color="auto" w:fill="FFFFFF"/>
      <w:spacing w:before="0" w:after="120" w:line="360" w:lineRule="atLeast"/>
      <w:ind w:firstLine="240"/>
      <w:jc w:val="both"/>
    </w:pPr>
    <w:rPr>
      <w:rFonts w:ascii="Times New Roman" w:hAnsi="Times New Roman"/>
      <w:color w:val="000000"/>
      <w:sz w:val="19"/>
      <w:szCs w:val="19"/>
    </w:rPr>
  </w:style>
  <w:style w:type="paragraph" w:styleId="Title">
    <w:name w:val="Title"/>
    <w:basedOn w:val="Normal"/>
    <w:link w:val="TitleChar"/>
    <w:uiPriority w:val="10"/>
    <w:qFormat/>
    <w:rsid w:val="00C602FD"/>
    <w:pPr>
      <w:keepNext w:val="0"/>
      <w:spacing w:before="0"/>
      <w:jc w:val="center"/>
    </w:pPr>
    <w:rPr>
      <w:rFonts w:cs="Arial"/>
      <w:b/>
      <w:color w:val="000000"/>
      <w:sz w:val="28"/>
      <w:lang w:val="en-US"/>
    </w:rPr>
  </w:style>
  <w:style w:type="character" w:customStyle="1" w:styleId="TitleChar">
    <w:name w:val="Title Char"/>
    <w:basedOn w:val="DefaultParagraphFont"/>
    <w:link w:val="Title"/>
    <w:uiPriority w:val="10"/>
    <w:rsid w:val="00C602FD"/>
    <w:rPr>
      <w:rFonts w:ascii="Arial" w:hAnsi="Arial" w:cs="Arial"/>
      <w:b/>
      <w:color w:val="000000"/>
      <w:sz w:val="28"/>
      <w:lang w:val="en-US"/>
    </w:rPr>
  </w:style>
  <w:style w:type="paragraph" w:customStyle="1" w:styleId="Default1">
    <w:name w:val="Default1"/>
    <w:basedOn w:val="Default"/>
    <w:next w:val="Default"/>
    <w:rsid w:val="00C602FD"/>
    <w:rPr>
      <w:rFonts w:ascii="Gill Sans MT" w:eastAsia="Calibri" w:hAnsi="Gill Sans MT"/>
      <w:color w:val="auto"/>
    </w:rPr>
  </w:style>
  <w:style w:type="paragraph" w:customStyle="1" w:styleId="Normal10">
    <w:name w:val="Normal+1"/>
    <w:basedOn w:val="Default"/>
    <w:next w:val="Default"/>
    <w:rsid w:val="00C602FD"/>
    <w:rPr>
      <w:rFonts w:ascii="Arial" w:hAnsi="Arial"/>
      <w:color w:val="auto"/>
    </w:rPr>
  </w:style>
  <w:style w:type="paragraph" w:customStyle="1" w:styleId="name">
    <w:name w:val="name"/>
    <w:basedOn w:val="Normal"/>
    <w:rsid w:val="00C602FD"/>
    <w:pPr>
      <w:keepNext w:val="0"/>
      <w:tabs>
        <w:tab w:val="left" w:leader="dot" w:pos="6237"/>
        <w:tab w:val="left" w:pos="6804"/>
        <w:tab w:val="left" w:leader="dot" w:pos="9639"/>
      </w:tabs>
      <w:spacing w:before="0" w:line="480" w:lineRule="auto"/>
    </w:pPr>
    <w:rPr>
      <w:color w:val="auto"/>
      <w:sz w:val="20"/>
    </w:rPr>
  </w:style>
  <w:style w:type="paragraph" w:customStyle="1" w:styleId="xl22">
    <w:name w:val="xl22"/>
    <w:basedOn w:val="Normal"/>
    <w:rsid w:val="00C602FD"/>
    <w:pPr>
      <w:keepNext w:val="0"/>
      <w:shd w:val="clear" w:color="auto" w:fill="C0C0C0"/>
      <w:spacing w:before="100" w:beforeAutospacing="1" w:after="100" w:afterAutospacing="1"/>
      <w:textAlignment w:val="center"/>
    </w:pPr>
    <w:rPr>
      <w:rFonts w:cs="Arial"/>
      <w:b/>
      <w:bCs/>
      <w:color w:val="auto"/>
      <w:szCs w:val="24"/>
    </w:rPr>
  </w:style>
  <w:style w:type="paragraph" w:customStyle="1" w:styleId="xl23">
    <w:name w:val="xl23"/>
    <w:basedOn w:val="Normal"/>
    <w:rsid w:val="00C602FD"/>
    <w:pPr>
      <w:keepNext w:val="0"/>
      <w:spacing w:before="100" w:beforeAutospacing="1" w:after="100" w:afterAutospacing="1"/>
    </w:pPr>
    <w:rPr>
      <w:rFonts w:cs="Arial"/>
      <w:color w:val="auto"/>
      <w:szCs w:val="24"/>
    </w:rPr>
  </w:style>
  <w:style w:type="paragraph" w:customStyle="1" w:styleId="xl27">
    <w:name w:val="xl27"/>
    <w:basedOn w:val="Normal"/>
    <w:rsid w:val="00C602FD"/>
    <w:pPr>
      <w:keepNext w:val="0"/>
      <w:pBdr>
        <w:left w:val="single" w:sz="8" w:space="0" w:color="auto"/>
        <w:bottom w:val="dotted" w:sz="4" w:space="0" w:color="auto"/>
        <w:right w:val="dotted" w:sz="4" w:space="0" w:color="auto"/>
      </w:pBdr>
      <w:spacing w:before="100" w:beforeAutospacing="1" w:after="100" w:afterAutospacing="1"/>
      <w:jc w:val="both"/>
      <w:textAlignment w:val="top"/>
    </w:pPr>
    <w:rPr>
      <w:rFonts w:cs="Arial"/>
      <w:color w:val="auto"/>
      <w:szCs w:val="24"/>
    </w:rPr>
  </w:style>
  <w:style w:type="paragraph" w:customStyle="1" w:styleId="xl30">
    <w:name w:val="xl30"/>
    <w:basedOn w:val="Normal"/>
    <w:rsid w:val="00C602FD"/>
    <w:pPr>
      <w:keepNext w:val="0"/>
      <w:pBdr>
        <w:bottom w:val="single" w:sz="8" w:space="0" w:color="auto"/>
        <w:right w:val="dotted" w:sz="4" w:space="0" w:color="auto"/>
      </w:pBdr>
      <w:spacing w:before="100" w:beforeAutospacing="1" w:after="100" w:afterAutospacing="1"/>
      <w:jc w:val="both"/>
      <w:textAlignment w:val="top"/>
    </w:pPr>
    <w:rPr>
      <w:rFonts w:cs="Arial"/>
      <w:color w:val="auto"/>
      <w:szCs w:val="24"/>
    </w:rPr>
  </w:style>
  <w:style w:type="paragraph" w:customStyle="1" w:styleId="xl31">
    <w:name w:val="xl31"/>
    <w:basedOn w:val="Normal"/>
    <w:rsid w:val="00C602FD"/>
    <w:pPr>
      <w:keepNext w:val="0"/>
      <w:pBdr>
        <w:bottom w:val="single" w:sz="8" w:space="0" w:color="auto"/>
        <w:right w:val="single" w:sz="8" w:space="0" w:color="auto"/>
      </w:pBdr>
      <w:spacing w:before="100" w:beforeAutospacing="1" w:after="100" w:afterAutospacing="1"/>
      <w:jc w:val="both"/>
      <w:textAlignment w:val="top"/>
    </w:pPr>
    <w:rPr>
      <w:rFonts w:cs="Arial"/>
      <w:color w:val="auto"/>
      <w:szCs w:val="24"/>
    </w:rPr>
  </w:style>
  <w:style w:type="paragraph" w:customStyle="1" w:styleId="Pa1">
    <w:name w:val="Pa1"/>
    <w:basedOn w:val="Normal"/>
    <w:next w:val="Normal"/>
    <w:rsid w:val="00C602FD"/>
    <w:pPr>
      <w:keepNext w:val="0"/>
      <w:autoSpaceDE w:val="0"/>
      <w:autoSpaceDN w:val="0"/>
      <w:adjustRightInd w:val="0"/>
      <w:spacing w:before="0" w:line="321" w:lineRule="atLeast"/>
    </w:pPr>
    <w:rPr>
      <w:rFonts w:ascii="Frutiger 45 Light" w:eastAsia="Calibri" w:hAnsi="Frutiger 45 Light"/>
      <w:color w:val="auto"/>
      <w:szCs w:val="24"/>
      <w:lang w:eastAsia="en-US"/>
    </w:rPr>
  </w:style>
  <w:style w:type="paragraph" w:customStyle="1" w:styleId="xl32">
    <w:name w:val="xl32"/>
    <w:basedOn w:val="Normal"/>
    <w:rsid w:val="00C602FD"/>
    <w:pPr>
      <w:keepNext w:val="0"/>
      <w:pBdr>
        <w:top w:val="single" w:sz="4" w:space="0" w:color="auto"/>
        <w:left w:val="single" w:sz="4" w:space="0" w:color="auto"/>
        <w:bottom w:val="single" w:sz="4" w:space="0" w:color="auto"/>
        <w:right w:val="single" w:sz="4" w:space="0" w:color="auto"/>
      </w:pBdr>
      <w:spacing w:before="100" w:beforeAutospacing="1" w:after="100" w:afterAutospacing="1"/>
    </w:pPr>
    <w:rPr>
      <w:rFonts w:cs="Arial"/>
      <w:color w:val="auto"/>
      <w:szCs w:val="24"/>
    </w:rPr>
  </w:style>
  <w:style w:type="paragraph" w:customStyle="1" w:styleId="xl33">
    <w:name w:val="xl33"/>
    <w:basedOn w:val="Normal"/>
    <w:rsid w:val="00C602FD"/>
    <w:pPr>
      <w:keepNext w:val="0"/>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szCs w:val="24"/>
    </w:rPr>
  </w:style>
  <w:style w:type="paragraph" w:customStyle="1" w:styleId="xl34">
    <w:name w:val="xl34"/>
    <w:basedOn w:val="Normal"/>
    <w:rsid w:val="00C602FD"/>
    <w:pPr>
      <w:keepNext w:val="0"/>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szCs w:val="24"/>
    </w:rPr>
  </w:style>
  <w:style w:type="character" w:customStyle="1" w:styleId="legdsleglhslegp3no">
    <w:name w:val="legds leglhs legp3no"/>
    <w:basedOn w:val="DefaultParagraphFont"/>
    <w:rsid w:val="00C602FD"/>
  </w:style>
  <w:style w:type="paragraph" w:customStyle="1" w:styleId="CM34">
    <w:name w:val="CM34"/>
    <w:basedOn w:val="Normal"/>
    <w:next w:val="Normal"/>
    <w:uiPriority w:val="99"/>
    <w:rsid w:val="00C602FD"/>
    <w:pPr>
      <w:keepNext w:val="0"/>
      <w:autoSpaceDE w:val="0"/>
      <w:autoSpaceDN w:val="0"/>
      <w:adjustRightInd w:val="0"/>
      <w:spacing w:before="0"/>
    </w:pPr>
    <w:rPr>
      <w:rFonts w:ascii="HAKJEK+ArialMT" w:eastAsia="Calibri" w:hAnsi="HAKJEK+ArialMT"/>
      <w:color w:val="auto"/>
      <w:szCs w:val="24"/>
      <w:lang w:eastAsia="en-US"/>
    </w:rPr>
  </w:style>
  <w:style w:type="character" w:customStyle="1" w:styleId="BalloonTextChar">
    <w:name w:val="Balloon Text Char"/>
    <w:link w:val="BalloonText"/>
    <w:uiPriority w:val="99"/>
    <w:semiHidden/>
    <w:rsid w:val="00C602FD"/>
    <w:rPr>
      <w:rFonts w:ascii="Tahoma" w:hAnsi="Tahoma" w:cs="Tahoma"/>
      <w:color w:val="000000" w:themeColor="text1"/>
      <w:sz w:val="16"/>
      <w:szCs w:val="16"/>
    </w:rPr>
  </w:style>
  <w:style w:type="paragraph" w:customStyle="1" w:styleId="xl65">
    <w:name w:val="xl65"/>
    <w:basedOn w:val="Normal"/>
    <w:rsid w:val="00C602FD"/>
    <w:pPr>
      <w:keepNext w:val="0"/>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Arial"/>
      <w:b/>
      <w:bCs/>
      <w:color w:val="auto"/>
      <w:szCs w:val="24"/>
    </w:rPr>
  </w:style>
  <w:style w:type="paragraph" w:customStyle="1" w:styleId="xl66">
    <w:name w:val="xl66"/>
    <w:basedOn w:val="Normal"/>
    <w:rsid w:val="00C602FD"/>
    <w:pPr>
      <w:keepNext w:val="0"/>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Arial"/>
      <w:b/>
      <w:bCs/>
      <w:color w:val="auto"/>
      <w:szCs w:val="24"/>
    </w:rPr>
  </w:style>
  <w:style w:type="paragraph" w:customStyle="1" w:styleId="xl67">
    <w:name w:val="xl67"/>
    <w:basedOn w:val="Normal"/>
    <w:rsid w:val="00C602FD"/>
    <w:pPr>
      <w:keepNext w:val="0"/>
      <w:pBdr>
        <w:top w:val="single" w:sz="4" w:space="0" w:color="auto"/>
        <w:left w:val="single" w:sz="4" w:space="0" w:color="auto"/>
        <w:bottom w:val="single" w:sz="4" w:space="0" w:color="auto"/>
        <w:right w:val="single" w:sz="4" w:space="0" w:color="auto"/>
      </w:pBdr>
      <w:spacing w:before="100" w:beforeAutospacing="1" w:after="100" w:afterAutospacing="1"/>
    </w:pPr>
    <w:rPr>
      <w:rFonts w:cs="Arial"/>
      <w:color w:val="auto"/>
      <w:szCs w:val="24"/>
    </w:rPr>
  </w:style>
  <w:style w:type="paragraph" w:styleId="EndnoteText">
    <w:name w:val="endnote text"/>
    <w:basedOn w:val="Normal"/>
    <w:link w:val="EndnoteTextChar"/>
    <w:rsid w:val="00C602FD"/>
    <w:pPr>
      <w:keepNext w:val="0"/>
      <w:spacing w:before="0"/>
    </w:pPr>
    <w:rPr>
      <w:rFonts w:cs="Arial"/>
      <w:color w:val="auto"/>
      <w:sz w:val="20"/>
    </w:rPr>
  </w:style>
  <w:style w:type="character" w:customStyle="1" w:styleId="EndnoteTextChar">
    <w:name w:val="Endnote Text Char"/>
    <w:basedOn w:val="DefaultParagraphFont"/>
    <w:link w:val="EndnoteText"/>
    <w:rsid w:val="00C602FD"/>
    <w:rPr>
      <w:rFonts w:ascii="Arial" w:hAnsi="Arial" w:cs="Arial"/>
    </w:rPr>
  </w:style>
  <w:style w:type="character" w:styleId="EndnoteReference">
    <w:name w:val="endnote reference"/>
    <w:rsid w:val="00C602FD"/>
    <w:rPr>
      <w:vertAlign w:val="superscript"/>
    </w:rPr>
  </w:style>
  <w:style w:type="table" w:styleId="TableGrid1a">
    <w:name w:val="Table Grid 1"/>
    <w:basedOn w:val="TableNormal"/>
    <w:rsid w:val="00C602F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PlainTable5">
    <w:name w:val="Plain Table 5"/>
    <w:basedOn w:val="TableNormal"/>
    <w:uiPriority w:val="45"/>
    <w:rsid w:val="00C602FD"/>
    <w:tblPr>
      <w:tblStyleRowBandSize w:val="1"/>
      <w:tblStyleColBandSize w:val="1"/>
    </w:tblPr>
    <w:tblStylePr w:type="firstRow">
      <w:rPr>
        <w:rFonts w:ascii="DengXian" w:eastAsia="Times New Roman" w:hAnsi="DengXian" w:cs="Times New Roman"/>
        <w:i/>
        <w:iCs/>
        <w:sz w:val="26"/>
      </w:rPr>
      <w:tblPr/>
      <w:tcPr>
        <w:tcBorders>
          <w:bottom w:val="single" w:sz="4" w:space="0" w:color="7F7F7F"/>
        </w:tcBorders>
        <w:shd w:val="clear" w:color="auto" w:fill="FFFFFF"/>
      </w:tcPr>
    </w:tblStylePr>
    <w:tblStylePr w:type="lastRow">
      <w:rPr>
        <w:rFonts w:ascii="DengXian" w:eastAsia="Times New Roman" w:hAnsi="DengXian" w:cs="Times New Roman"/>
        <w:i/>
        <w:iCs/>
        <w:sz w:val="26"/>
      </w:rPr>
      <w:tblPr/>
      <w:tcPr>
        <w:tcBorders>
          <w:top w:val="single" w:sz="4" w:space="0" w:color="7F7F7F"/>
        </w:tcBorders>
        <w:shd w:val="clear" w:color="auto" w:fill="FFFFFF"/>
      </w:tcPr>
    </w:tblStylePr>
    <w:tblStylePr w:type="firstCol">
      <w:pPr>
        <w:jc w:val="right"/>
      </w:pPr>
      <w:rPr>
        <w:rFonts w:ascii="DengXian" w:eastAsia="Times New Roman" w:hAnsi="DengXian" w:cs="Times New Roman"/>
        <w:i/>
        <w:iCs/>
        <w:sz w:val="26"/>
      </w:rPr>
      <w:tblPr/>
      <w:tcPr>
        <w:tcBorders>
          <w:right w:val="single" w:sz="4" w:space="0" w:color="7F7F7F"/>
        </w:tcBorders>
        <w:shd w:val="clear" w:color="auto" w:fill="FFFFFF"/>
      </w:tcPr>
    </w:tblStylePr>
    <w:tblStylePr w:type="lastCol">
      <w:rPr>
        <w:rFonts w:ascii="DengXian" w:eastAsia="Times New Roman" w:hAnsi="DengXian"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odyTextChar">
    <w:name w:val="Body Text Char"/>
    <w:link w:val="BodyText"/>
    <w:rsid w:val="00C602FD"/>
    <w:rPr>
      <w:rFonts w:ascii="Arial" w:hAnsi="Arial"/>
      <w:color w:val="000000" w:themeColor="text1"/>
      <w:sz w:val="24"/>
    </w:rPr>
  </w:style>
  <w:style w:type="paragraph" w:customStyle="1" w:styleId="Section01Text">
    <w:name w:val="Section 01 Text"/>
    <w:basedOn w:val="Normal"/>
    <w:link w:val="Section01TextChar"/>
    <w:qFormat/>
    <w:rsid w:val="00C602FD"/>
    <w:pPr>
      <w:numPr>
        <w:numId w:val="318"/>
      </w:numPr>
      <w:spacing w:before="0" w:after="240" w:line="360" w:lineRule="auto"/>
      <w:outlineLvl w:val="2"/>
    </w:pPr>
    <w:rPr>
      <w:rFonts w:cs="Arial"/>
      <w:bCs/>
      <w:iCs/>
      <w:color w:val="auto"/>
      <w:sz w:val="20"/>
      <w:lang w:eastAsia="en-US"/>
    </w:rPr>
  </w:style>
  <w:style w:type="character" w:customStyle="1" w:styleId="Section01TextChar">
    <w:name w:val="Section 01 Text Char"/>
    <w:link w:val="Section01Text"/>
    <w:rsid w:val="00C602FD"/>
    <w:rPr>
      <w:rFonts w:ascii="Arial" w:hAnsi="Arial" w:cs="Arial"/>
      <w:bCs/>
      <w:iCs/>
      <w:lang w:eastAsia="en-US"/>
    </w:rPr>
  </w:style>
  <w:style w:type="table" w:styleId="MediumShading1-Accent3">
    <w:name w:val="Medium Shading 1 Accent 3"/>
    <w:basedOn w:val="TableNormal"/>
    <w:uiPriority w:val="63"/>
    <w:rsid w:val="00C602FD"/>
    <w:rPr>
      <w:lang w:val="en-US"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C602FD"/>
    <w:rPr>
      <w:lang w:val="en-US"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xl68">
    <w:name w:val="xl68"/>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b/>
      <w:bCs/>
      <w:color w:val="auto"/>
      <w:szCs w:val="24"/>
    </w:rPr>
  </w:style>
  <w:style w:type="paragraph" w:customStyle="1" w:styleId="xl69">
    <w:name w:val="xl69"/>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cs="Arial"/>
      <w:color w:val="000000"/>
      <w:szCs w:val="24"/>
    </w:rPr>
  </w:style>
  <w:style w:type="paragraph" w:customStyle="1" w:styleId="xl70">
    <w:name w:val="xl70"/>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color w:val="000000"/>
      <w:szCs w:val="24"/>
    </w:rPr>
  </w:style>
  <w:style w:type="paragraph" w:customStyle="1" w:styleId="xl71">
    <w:name w:val="xl71"/>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cs="Arial"/>
      <w:b/>
      <w:bCs/>
      <w:color w:val="000000"/>
      <w:szCs w:val="24"/>
    </w:rPr>
  </w:style>
  <w:style w:type="paragraph" w:customStyle="1" w:styleId="xl72">
    <w:name w:val="xl72"/>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color w:val="auto"/>
      <w:szCs w:val="24"/>
    </w:rPr>
  </w:style>
  <w:style w:type="paragraph" w:customStyle="1" w:styleId="xl73">
    <w:name w:val="xl73"/>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cs="Arial"/>
      <w:color w:val="auto"/>
      <w:szCs w:val="24"/>
    </w:rPr>
  </w:style>
  <w:style w:type="paragraph" w:customStyle="1" w:styleId="xl74">
    <w:name w:val="xl74"/>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cs="Arial"/>
      <w:color w:val="000000"/>
      <w:szCs w:val="24"/>
    </w:rPr>
  </w:style>
  <w:style w:type="paragraph" w:customStyle="1" w:styleId="xl76">
    <w:name w:val="xl76"/>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cs="Arial"/>
      <w:b/>
      <w:bCs/>
      <w:color w:val="000000"/>
      <w:szCs w:val="24"/>
    </w:rPr>
  </w:style>
  <w:style w:type="paragraph" w:customStyle="1" w:styleId="xl77">
    <w:name w:val="xl77"/>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cs="Arial"/>
      <w:color w:val="auto"/>
      <w:szCs w:val="24"/>
    </w:rPr>
  </w:style>
  <w:style w:type="paragraph" w:customStyle="1" w:styleId="xl78">
    <w:name w:val="xl78"/>
    <w:basedOn w:val="Normal"/>
    <w:rsid w:val="00C602FD"/>
    <w:pPr>
      <w:keepNext w:val="0"/>
      <w:shd w:val="clear" w:color="000000" w:fill="FFFFFF"/>
      <w:spacing w:before="100" w:beforeAutospacing="1" w:after="100" w:afterAutospacing="1"/>
      <w:textAlignment w:val="top"/>
    </w:pPr>
    <w:rPr>
      <w:rFonts w:cs="Arial"/>
      <w:b/>
      <w:bCs/>
      <w:color w:val="auto"/>
      <w:sz w:val="22"/>
      <w:szCs w:val="22"/>
    </w:rPr>
  </w:style>
  <w:style w:type="paragraph" w:customStyle="1" w:styleId="xl79">
    <w:name w:val="xl79"/>
    <w:basedOn w:val="Normal"/>
    <w:rsid w:val="00C602FD"/>
    <w:pPr>
      <w:keepNext w:val="0"/>
      <w:shd w:val="clear" w:color="000000" w:fill="FFFFFF"/>
      <w:spacing w:before="100" w:beforeAutospacing="1" w:after="100" w:afterAutospacing="1"/>
    </w:pPr>
    <w:rPr>
      <w:rFonts w:cs="Arial"/>
      <w:color w:val="auto"/>
      <w:szCs w:val="24"/>
    </w:rPr>
  </w:style>
  <w:style w:type="paragraph" w:customStyle="1" w:styleId="xl80">
    <w:name w:val="xl80"/>
    <w:basedOn w:val="Normal"/>
    <w:rsid w:val="00C602FD"/>
    <w:pPr>
      <w:keepNext w:val="0"/>
      <w:shd w:val="clear" w:color="000000" w:fill="FFFFFF"/>
      <w:spacing w:before="100" w:beforeAutospacing="1" w:after="100" w:afterAutospacing="1"/>
      <w:jc w:val="center"/>
    </w:pPr>
    <w:rPr>
      <w:rFonts w:cs="Arial"/>
      <w:color w:val="auto"/>
      <w:szCs w:val="24"/>
    </w:rPr>
  </w:style>
  <w:style w:type="paragraph" w:customStyle="1" w:styleId="xl81">
    <w:name w:val="xl81"/>
    <w:basedOn w:val="Normal"/>
    <w:rsid w:val="00C602FD"/>
    <w:pPr>
      <w:keepNext w:val="0"/>
      <w:shd w:val="clear" w:color="000000" w:fill="FFFFFF"/>
      <w:spacing w:before="100" w:beforeAutospacing="1" w:after="100" w:afterAutospacing="1"/>
    </w:pPr>
    <w:rPr>
      <w:rFonts w:cs="Arial"/>
      <w:b/>
      <w:bCs/>
      <w:color w:val="auto"/>
      <w:szCs w:val="24"/>
    </w:rPr>
  </w:style>
  <w:style w:type="paragraph" w:customStyle="1" w:styleId="xl82">
    <w:name w:val="xl82"/>
    <w:basedOn w:val="Normal"/>
    <w:rsid w:val="00C602FD"/>
    <w:pPr>
      <w:keepNext w:val="0"/>
      <w:shd w:val="clear" w:color="000000" w:fill="FFFFFF"/>
      <w:spacing w:before="100" w:beforeAutospacing="1" w:after="100" w:afterAutospacing="1"/>
    </w:pPr>
    <w:rPr>
      <w:rFonts w:cs="Arial"/>
      <w:color w:val="auto"/>
      <w:szCs w:val="24"/>
    </w:rPr>
  </w:style>
  <w:style w:type="paragraph" w:customStyle="1" w:styleId="xl83">
    <w:name w:val="xl83"/>
    <w:basedOn w:val="Normal"/>
    <w:rsid w:val="00C602FD"/>
    <w:pPr>
      <w:keepNext w:val="0"/>
      <w:shd w:val="clear" w:color="000000" w:fill="FFFFFF"/>
      <w:spacing w:before="100" w:beforeAutospacing="1" w:after="100" w:afterAutospacing="1"/>
      <w:jc w:val="center"/>
    </w:pPr>
    <w:rPr>
      <w:rFonts w:cs="Arial"/>
      <w:color w:val="auto"/>
      <w:szCs w:val="24"/>
    </w:rPr>
  </w:style>
  <w:style w:type="paragraph" w:customStyle="1" w:styleId="xl84">
    <w:name w:val="xl84"/>
    <w:basedOn w:val="Normal"/>
    <w:rsid w:val="00C602FD"/>
    <w:pPr>
      <w:keepNext w:val="0"/>
      <w:shd w:val="clear" w:color="000000" w:fill="FFFFFF"/>
      <w:spacing w:before="100" w:beforeAutospacing="1" w:after="100" w:afterAutospacing="1"/>
      <w:jc w:val="center"/>
    </w:pPr>
    <w:rPr>
      <w:rFonts w:cs="Arial"/>
      <w:color w:val="000000"/>
      <w:szCs w:val="24"/>
    </w:rPr>
  </w:style>
  <w:style w:type="paragraph" w:customStyle="1" w:styleId="xl85">
    <w:name w:val="xl85"/>
    <w:basedOn w:val="Normal"/>
    <w:rsid w:val="00C602FD"/>
    <w:pPr>
      <w:keepNext w:val="0"/>
      <w:shd w:val="clear" w:color="000000" w:fill="FFFFFF"/>
      <w:spacing w:before="100" w:beforeAutospacing="1" w:after="100" w:afterAutospacing="1"/>
    </w:pPr>
    <w:rPr>
      <w:rFonts w:cs="Arial"/>
      <w:color w:val="000000"/>
      <w:szCs w:val="24"/>
    </w:rPr>
  </w:style>
  <w:style w:type="paragraph" w:customStyle="1" w:styleId="xl86">
    <w:name w:val="xl86"/>
    <w:basedOn w:val="Normal"/>
    <w:rsid w:val="00C602FD"/>
    <w:pPr>
      <w:keepNext w:val="0"/>
      <w:shd w:val="clear" w:color="000000" w:fill="FFFFFF"/>
      <w:spacing w:before="100" w:beforeAutospacing="1" w:after="100" w:afterAutospacing="1"/>
      <w:jc w:val="right"/>
    </w:pPr>
    <w:rPr>
      <w:rFonts w:cs="Arial"/>
      <w:b/>
      <w:bCs/>
      <w:color w:val="000000"/>
      <w:szCs w:val="24"/>
    </w:rPr>
  </w:style>
  <w:style w:type="paragraph" w:customStyle="1" w:styleId="xl87">
    <w:name w:val="xl87"/>
    <w:basedOn w:val="Normal"/>
    <w:rsid w:val="00C602FD"/>
    <w:pPr>
      <w:keepNext w:val="0"/>
      <w:shd w:val="clear" w:color="000000" w:fill="FFFFFF"/>
      <w:spacing w:before="100" w:beforeAutospacing="1" w:after="100" w:afterAutospacing="1"/>
    </w:pPr>
    <w:rPr>
      <w:rFonts w:cs="Arial"/>
      <w:color w:val="auto"/>
      <w:szCs w:val="24"/>
    </w:rPr>
  </w:style>
  <w:style w:type="paragraph" w:customStyle="1" w:styleId="xl88">
    <w:name w:val="xl88"/>
    <w:basedOn w:val="Normal"/>
    <w:rsid w:val="00C602FD"/>
    <w:pPr>
      <w:keepNext w:val="0"/>
      <w:shd w:val="clear" w:color="000000" w:fill="FFFFFF"/>
      <w:spacing w:before="100" w:beforeAutospacing="1" w:after="100" w:afterAutospacing="1"/>
      <w:jc w:val="center"/>
    </w:pPr>
    <w:rPr>
      <w:rFonts w:cs="Arial"/>
      <w:color w:val="auto"/>
      <w:szCs w:val="24"/>
    </w:rPr>
  </w:style>
  <w:style w:type="paragraph" w:customStyle="1" w:styleId="xl89">
    <w:name w:val="xl89"/>
    <w:basedOn w:val="Normal"/>
    <w:rsid w:val="00C602FD"/>
    <w:pPr>
      <w:keepNext w:val="0"/>
      <w:shd w:val="clear" w:color="000000" w:fill="FFFFFF"/>
      <w:spacing w:before="100" w:beforeAutospacing="1" w:after="100" w:afterAutospacing="1"/>
      <w:textAlignment w:val="top"/>
    </w:pPr>
    <w:rPr>
      <w:rFonts w:cs="Arial"/>
      <w:b/>
      <w:bCs/>
      <w:color w:val="auto"/>
      <w:szCs w:val="24"/>
    </w:rPr>
  </w:style>
  <w:style w:type="paragraph" w:customStyle="1" w:styleId="xl90">
    <w:name w:val="xl90"/>
    <w:basedOn w:val="Normal"/>
    <w:rsid w:val="00C602FD"/>
    <w:pPr>
      <w:keepNext w:val="0"/>
      <w:shd w:val="clear" w:color="000000" w:fill="FFFFFF"/>
      <w:spacing w:before="100" w:beforeAutospacing="1" w:after="100" w:afterAutospacing="1"/>
    </w:pPr>
    <w:rPr>
      <w:rFonts w:cs="Arial"/>
      <w:color w:val="auto"/>
      <w:szCs w:val="24"/>
    </w:rPr>
  </w:style>
  <w:style w:type="paragraph" w:customStyle="1" w:styleId="xl91">
    <w:name w:val="xl91"/>
    <w:basedOn w:val="Normal"/>
    <w:rsid w:val="00C602FD"/>
    <w:pPr>
      <w:keepNext w:val="0"/>
      <w:shd w:val="clear" w:color="000000" w:fill="FFFFFF"/>
      <w:spacing w:before="100" w:beforeAutospacing="1" w:after="100" w:afterAutospacing="1"/>
    </w:pPr>
    <w:rPr>
      <w:rFonts w:cs="Arial"/>
      <w:color w:val="auto"/>
      <w:szCs w:val="24"/>
    </w:rPr>
  </w:style>
  <w:style w:type="paragraph" w:customStyle="1" w:styleId="xl92">
    <w:name w:val="xl92"/>
    <w:basedOn w:val="Normal"/>
    <w:rsid w:val="00C602FD"/>
    <w:pPr>
      <w:keepNext w:val="0"/>
      <w:shd w:val="clear" w:color="000000" w:fill="FFFFFF"/>
      <w:spacing w:before="100" w:beforeAutospacing="1" w:after="100" w:afterAutospacing="1"/>
    </w:pPr>
    <w:rPr>
      <w:rFonts w:cs="Arial"/>
      <w:b/>
      <w:bCs/>
      <w:color w:val="auto"/>
      <w:szCs w:val="24"/>
    </w:rPr>
  </w:style>
  <w:style w:type="paragraph" w:customStyle="1" w:styleId="xl93">
    <w:name w:val="xl93"/>
    <w:basedOn w:val="Normal"/>
    <w:rsid w:val="00C602FD"/>
    <w:pPr>
      <w:keepNext w:val="0"/>
      <w:shd w:val="clear" w:color="000000" w:fill="FFFFFF"/>
      <w:spacing w:before="100" w:beforeAutospacing="1" w:after="100" w:afterAutospacing="1"/>
      <w:jc w:val="center"/>
    </w:pPr>
    <w:rPr>
      <w:rFonts w:cs="Arial"/>
      <w:b/>
      <w:bCs/>
      <w:color w:val="auto"/>
      <w:szCs w:val="24"/>
    </w:rPr>
  </w:style>
  <w:style w:type="paragraph" w:customStyle="1" w:styleId="xl94">
    <w:name w:val="xl94"/>
    <w:basedOn w:val="Normal"/>
    <w:rsid w:val="00C602FD"/>
    <w:pPr>
      <w:keepNext w:val="0"/>
      <w:shd w:val="clear" w:color="000000" w:fill="FFFFFF"/>
      <w:spacing w:before="100" w:beforeAutospacing="1" w:after="100" w:afterAutospacing="1"/>
    </w:pPr>
    <w:rPr>
      <w:rFonts w:cs="Arial"/>
      <w:b/>
      <w:bCs/>
      <w:color w:val="auto"/>
      <w:szCs w:val="24"/>
    </w:rPr>
  </w:style>
  <w:style w:type="paragraph" w:customStyle="1" w:styleId="xl95">
    <w:name w:val="xl95"/>
    <w:basedOn w:val="Normal"/>
    <w:rsid w:val="00C602FD"/>
    <w:pPr>
      <w:keepNext w:val="0"/>
      <w:shd w:val="clear" w:color="000000" w:fill="FFFFFF"/>
      <w:spacing w:before="100" w:beforeAutospacing="1" w:after="100" w:afterAutospacing="1"/>
    </w:pPr>
    <w:rPr>
      <w:rFonts w:cs="Arial"/>
      <w:b/>
      <w:bCs/>
      <w:color w:val="auto"/>
      <w:szCs w:val="24"/>
    </w:rPr>
  </w:style>
  <w:style w:type="paragraph" w:customStyle="1" w:styleId="xl96">
    <w:name w:val="xl96"/>
    <w:basedOn w:val="Normal"/>
    <w:rsid w:val="00C602FD"/>
    <w:pPr>
      <w:keepNext w:val="0"/>
      <w:shd w:val="clear" w:color="000000" w:fill="FFFFFF"/>
      <w:spacing w:before="100" w:beforeAutospacing="1" w:after="100" w:afterAutospacing="1"/>
    </w:pPr>
    <w:rPr>
      <w:rFonts w:cs="Arial"/>
      <w:color w:val="auto"/>
      <w:szCs w:val="24"/>
    </w:rPr>
  </w:style>
  <w:style w:type="paragraph" w:customStyle="1" w:styleId="xl97">
    <w:name w:val="xl97"/>
    <w:basedOn w:val="Normal"/>
    <w:rsid w:val="00C602FD"/>
    <w:pPr>
      <w:keepNext w:val="0"/>
      <w:shd w:val="clear" w:color="000000" w:fill="FFFFFF"/>
      <w:spacing w:before="100" w:beforeAutospacing="1" w:after="100" w:afterAutospacing="1"/>
      <w:textAlignment w:val="center"/>
    </w:pPr>
    <w:rPr>
      <w:rFonts w:cs="Arial"/>
      <w:b/>
      <w:bCs/>
      <w:color w:val="auto"/>
      <w:szCs w:val="24"/>
    </w:rPr>
  </w:style>
  <w:style w:type="paragraph" w:customStyle="1" w:styleId="xl98">
    <w:name w:val="xl98"/>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Arial"/>
      <w:b/>
      <w:bCs/>
      <w:color w:val="auto"/>
      <w:szCs w:val="24"/>
    </w:rPr>
  </w:style>
  <w:style w:type="paragraph" w:customStyle="1" w:styleId="xl99">
    <w:name w:val="xl99"/>
    <w:basedOn w:val="Normal"/>
    <w:rsid w:val="00C602FD"/>
    <w:pPr>
      <w:keepNext w:val="0"/>
      <w:shd w:val="clear" w:color="000000" w:fill="FFFFFF"/>
      <w:spacing w:before="100" w:beforeAutospacing="1" w:after="100" w:afterAutospacing="1"/>
      <w:jc w:val="right"/>
      <w:textAlignment w:val="center"/>
    </w:pPr>
    <w:rPr>
      <w:rFonts w:cs="Arial"/>
      <w:b/>
      <w:bCs/>
      <w:color w:val="auto"/>
      <w:szCs w:val="24"/>
    </w:rPr>
  </w:style>
  <w:style w:type="paragraph" w:customStyle="1" w:styleId="xl100">
    <w:name w:val="xl100"/>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cs="Arial"/>
      <w:b/>
      <w:bCs/>
      <w:color w:val="auto"/>
      <w:szCs w:val="24"/>
    </w:rPr>
  </w:style>
  <w:style w:type="paragraph" w:customStyle="1" w:styleId="xl101">
    <w:name w:val="xl101"/>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cs="Arial"/>
      <w:b/>
      <w:bCs/>
      <w:color w:val="auto"/>
      <w:szCs w:val="24"/>
    </w:rPr>
  </w:style>
  <w:style w:type="paragraph" w:customStyle="1" w:styleId="xl102">
    <w:name w:val="xl102"/>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cs="Arial"/>
      <w:b/>
      <w:bCs/>
      <w:color w:val="auto"/>
      <w:szCs w:val="24"/>
    </w:rPr>
  </w:style>
  <w:style w:type="paragraph" w:customStyle="1" w:styleId="xl103">
    <w:name w:val="xl103"/>
    <w:basedOn w:val="Normal"/>
    <w:rsid w:val="00C602FD"/>
    <w:pPr>
      <w:keepNext w:val="0"/>
      <w:shd w:val="clear" w:color="000000" w:fill="FFFFFF"/>
      <w:spacing w:before="100" w:beforeAutospacing="1" w:after="100" w:afterAutospacing="1"/>
      <w:textAlignment w:val="top"/>
    </w:pPr>
    <w:rPr>
      <w:rFonts w:cs="Arial"/>
      <w:b/>
      <w:bCs/>
      <w:color w:val="auto"/>
      <w:sz w:val="22"/>
      <w:szCs w:val="22"/>
    </w:rPr>
  </w:style>
  <w:style w:type="paragraph" w:customStyle="1" w:styleId="xl104">
    <w:name w:val="xl104"/>
    <w:basedOn w:val="Normal"/>
    <w:rsid w:val="00C602FD"/>
    <w:pPr>
      <w:keepNext w:val="0"/>
      <w:shd w:val="clear" w:color="000000" w:fill="FFFFFF"/>
      <w:spacing w:before="100" w:beforeAutospacing="1" w:after="100" w:afterAutospacing="1"/>
    </w:pPr>
    <w:rPr>
      <w:rFonts w:cs="Arial"/>
      <w:b/>
      <w:bCs/>
      <w:color w:val="auto"/>
      <w:szCs w:val="24"/>
    </w:rPr>
  </w:style>
  <w:style w:type="paragraph" w:customStyle="1" w:styleId="xl105">
    <w:name w:val="xl105"/>
    <w:basedOn w:val="Normal"/>
    <w:rsid w:val="00C602FD"/>
    <w:pPr>
      <w:keepNext w:val="0"/>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pPr>
    <w:rPr>
      <w:rFonts w:cs="Arial"/>
      <w:color w:val="auto"/>
      <w:szCs w:val="24"/>
    </w:rPr>
  </w:style>
  <w:style w:type="paragraph" w:customStyle="1" w:styleId="xl106">
    <w:name w:val="xl106"/>
    <w:basedOn w:val="Normal"/>
    <w:rsid w:val="00C602FD"/>
    <w:pPr>
      <w:keepNext w:val="0"/>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cs="Arial"/>
      <w:color w:val="auto"/>
      <w:szCs w:val="24"/>
    </w:rPr>
  </w:style>
  <w:style w:type="paragraph" w:customStyle="1" w:styleId="xl107">
    <w:name w:val="xl107"/>
    <w:basedOn w:val="Normal"/>
    <w:rsid w:val="00C602FD"/>
    <w:pPr>
      <w:keepNext w:val="0"/>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cs="Arial"/>
      <w:color w:val="auto"/>
      <w:szCs w:val="24"/>
    </w:rPr>
  </w:style>
  <w:style w:type="paragraph" w:customStyle="1" w:styleId="xl108">
    <w:name w:val="xl108"/>
    <w:basedOn w:val="Normal"/>
    <w:rsid w:val="00C602FD"/>
    <w:pPr>
      <w:keepNext w:val="0"/>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rFonts w:cs="Arial"/>
      <w:b/>
      <w:bCs/>
      <w:color w:val="auto"/>
      <w:szCs w:val="24"/>
    </w:rPr>
  </w:style>
  <w:style w:type="paragraph" w:customStyle="1" w:styleId="xl109">
    <w:name w:val="xl109"/>
    <w:basedOn w:val="Normal"/>
    <w:rsid w:val="00C602FD"/>
    <w:pPr>
      <w:keepNext w:val="0"/>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pPr>
    <w:rPr>
      <w:rFonts w:cs="Arial"/>
      <w:color w:val="auto"/>
      <w:szCs w:val="24"/>
    </w:rPr>
  </w:style>
  <w:style w:type="paragraph" w:customStyle="1" w:styleId="xl110">
    <w:name w:val="xl110"/>
    <w:basedOn w:val="Normal"/>
    <w:rsid w:val="00C602FD"/>
    <w:pPr>
      <w:keepNext w:val="0"/>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pPr>
    <w:rPr>
      <w:rFonts w:cs="Arial"/>
      <w:color w:val="auto"/>
      <w:szCs w:val="24"/>
    </w:rPr>
  </w:style>
  <w:style w:type="paragraph" w:customStyle="1" w:styleId="xl111">
    <w:name w:val="xl111"/>
    <w:basedOn w:val="Normal"/>
    <w:rsid w:val="00C602FD"/>
    <w:pPr>
      <w:keepNext w:val="0"/>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pPr>
    <w:rPr>
      <w:rFonts w:cs="Arial"/>
      <w:color w:val="auto"/>
      <w:szCs w:val="24"/>
    </w:rPr>
  </w:style>
  <w:style w:type="paragraph" w:customStyle="1" w:styleId="xl112">
    <w:name w:val="xl112"/>
    <w:basedOn w:val="Normal"/>
    <w:rsid w:val="00C602FD"/>
    <w:pPr>
      <w:keepNext w:val="0"/>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pPr>
    <w:rPr>
      <w:rFonts w:cs="Arial"/>
      <w:color w:val="auto"/>
      <w:szCs w:val="24"/>
    </w:rPr>
  </w:style>
  <w:style w:type="paragraph" w:customStyle="1" w:styleId="xl113">
    <w:name w:val="xl113"/>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cs="Arial"/>
      <w:color w:val="auto"/>
      <w:szCs w:val="24"/>
    </w:rPr>
  </w:style>
  <w:style w:type="paragraph" w:customStyle="1" w:styleId="xl114">
    <w:name w:val="xl114"/>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Arial"/>
      <w:b/>
      <w:bCs/>
      <w:color w:val="000000"/>
      <w:szCs w:val="24"/>
    </w:rPr>
  </w:style>
  <w:style w:type="paragraph" w:customStyle="1" w:styleId="xl115">
    <w:name w:val="xl115"/>
    <w:basedOn w:val="Normal"/>
    <w:rsid w:val="00C602FD"/>
    <w:pPr>
      <w:keepNext w:val="0"/>
      <w:shd w:val="clear" w:color="000000" w:fill="FFFFFF"/>
      <w:spacing w:before="100" w:beforeAutospacing="1" w:after="100" w:afterAutospacing="1"/>
      <w:textAlignment w:val="center"/>
    </w:pPr>
    <w:rPr>
      <w:rFonts w:cs="Arial"/>
      <w:color w:val="auto"/>
      <w:szCs w:val="24"/>
    </w:rPr>
  </w:style>
  <w:style w:type="paragraph" w:customStyle="1" w:styleId="xl116">
    <w:name w:val="xl116"/>
    <w:basedOn w:val="Normal"/>
    <w:rsid w:val="00C602FD"/>
    <w:pPr>
      <w:keepNext w:val="0"/>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cs="Arial"/>
      <w:b/>
      <w:bCs/>
      <w:color w:val="auto"/>
      <w:szCs w:val="24"/>
    </w:rPr>
  </w:style>
  <w:style w:type="paragraph" w:customStyle="1" w:styleId="xl117">
    <w:name w:val="xl117"/>
    <w:basedOn w:val="Normal"/>
    <w:rsid w:val="00C602FD"/>
    <w:pPr>
      <w:keepNext w:val="0"/>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textAlignment w:val="center"/>
    </w:pPr>
    <w:rPr>
      <w:rFonts w:cs="Arial"/>
      <w:b/>
      <w:bCs/>
      <w:color w:val="auto"/>
      <w:szCs w:val="24"/>
    </w:rPr>
  </w:style>
  <w:style w:type="paragraph" w:customStyle="1" w:styleId="xl118">
    <w:name w:val="xl118"/>
    <w:basedOn w:val="Normal"/>
    <w:rsid w:val="00C602FD"/>
    <w:pPr>
      <w:keepNext w:val="0"/>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rFonts w:cs="Arial"/>
      <w:b/>
      <w:bCs/>
      <w:color w:val="auto"/>
      <w:szCs w:val="24"/>
    </w:rPr>
  </w:style>
  <w:style w:type="paragraph" w:customStyle="1" w:styleId="xl119">
    <w:name w:val="xl119"/>
    <w:basedOn w:val="Normal"/>
    <w:rsid w:val="00C602FD"/>
    <w:pPr>
      <w:keepNext w:val="0"/>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cs="Arial"/>
      <w:b/>
      <w:bCs/>
      <w:color w:val="auto"/>
      <w:szCs w:val="24"/>
    </w:rPr>
  </w:style>
  <w:style w:type="paragraph" w:customStyle="1" w:styleId="xl120">
    <w:name w:val="xl120"/>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cs="Arial"/>
      <w:b/>
      <w:bCs/>
      <w:color w:val="auto"/>
      <w:szCs w:val="24"/>
    </w:rPr>
  </w:style>
  <w:style w:type="paragraph" w:customStyle="1" w:styleId="xl121">
    <w:name w:val="xl121"/>
    <w:basedOn w:val="Normal"/>
    <w:rsid w:val="00C602FD"/>
    <w:pPr>
      <w:keepNext w:val="0"/>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right"/>
      <w:textAlignment w:val="center"/>
    </w:pPr>
    <w:rPr>
      <w:rFonts w:cs="Arial"/>
      <w:b/>
      <w:bCs/>
      <w:color w:val="auto"/>
      <w:szCs w:val="24"/>
    </w:rPr>
  </w:style>
  <w:style w:type="paragraph" w:customStyle="1" w:styleId="xl122">
    <w:name w:val="xl122"/>
    <w:basedOn w:val="Normal"/>
    <w:rsid w:val="00C602FD"/>
    <w:pPr>
      <w:keepNext w:val="0"/>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right"/>
      <w:textAlignment w:val="center"/>
    </w:pPr>
    <w:rPr>
      <w:rFonts w:cs="Arial"/>
      <w:b/>
      <w:bCs/>
      <w:color w:val="auto"/>
      <w:szCs w:val="24"/>
    </w:rPr>
  </w:style>
  <w:style w:type="paragraph" w:customStyle="1" w:styleId="xl123">
    <w:name w:val="xl123"/>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cs="Arial"/>
      <w:b/>
      <w:bCs/>
      <w:color w:val="auto"/>
      <w:szCs w:val="24"/>
    </w:rPr>
  </w:style>
  <w:style w:type="paragraph" w:customStyle="1" w:styleId="xl124">
    <w:name w:val="xl124"/>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Arial"/>
      <w:b/>
      <w:bCs/>
      <w:color w:val="auto"/>
      <w:sz w:val="28"/>
      <w:szCs w:val="28"/>
    </w:rPr>
  </w:style>
  <w:style w:type="paragraph" w:customStyle="1" w:styleId="xl125">
    <w:name w:val="xl125"/>
    <w:basedOn w:val="Normal"/>
    <w:rsid w:val="00C602FD"/>
    <w:pPr>
      <w:keepNext w:val="0"/>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rFonts w:cs="Arial"/>
      <w:b/>
      <w:bCs/>
      <w:color w:val="auto"/>
      <w:sz w:val="28"/>
      <w:szCs w:val="28"/>
    </w:rPr>
  </w:style>
  <w:style w:type="paragraph" w:customStyle="1" w:styleId="xl126">
    <w:name w:val="xl126"/>
    <w:basedOn w:val="Normal"/>
    <w:rsid w:val="00C602FD"/>
    <w:pPr>
      <w:keepNext w:val="0"/>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right"/>
      <w:textAlignment w:val="center"/>
    </w:pPr>
    <w:rPr>
      <w:rFonts w:cs="Arial"/>
      <w:b/>
      <w:bCs/>
      <w:color w:val="auto"/>
      <w:sz w:val="28"/>
      <w:szCs w:val="28"/>
    </w:rPr>
  </w:style>
  <w:style w:type="paragraph" w:customStyle="1" w:styleId="xl127">
    <w:name w:val="xl127"/>
    <w:basedOn w:val="Normal"/>
    <w:rsid w:val="00C602FD"/>
    <w:pPr>
      <w:keepNext w:val="0"/>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right"/>
      <w:textAlignment w:val="center"/>
    </w:pPr>
    <w:rPr>
      <w:rFonts w:cs="Arial"/>
      <w:b/>
      <w:bCs/>
      <w:color w:val="auto"/>
      <w:sz w:val="28"/>
      <w:szCs w:val="28"/>
    </w:rPr>
  </w:style>
  <w:style w:type="paragraph" w:customStyle="1" w:styleId="xl128">
    <w:name w:val="xl128"/>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cs="Arial"/>
      <w:b/>
      <w:bCs/>
      <w:color w:val="auto"/>
      <w:sz w:val="28"/>
      <w:szCs w:val="28"/>
    </w:rPr>
  </w:style>
  <w:style w:type="paragraph" w:customStyle="1" w:styleId="xl129">
    <w:name w:val="xl129"/>
    <w:basedOn w:val="Normal"/>
    <w:rsid w:val="00C602FD"/>
    <w:pPr>
      <w:keepNext w:val="0"/>
      <w:shd w:val="clear" w:color="000000" w:fill="FFFFFF"/>
      <w:spacing w:before="100" w:beforeAutospacing="1" w:after="100" w:afterAutospacing="1"/>
      <w:jc w:val="right"/>
      <w:textAlignment w:val="center"/>
    </w:pPr>
    <w:rPr>
      <w:rFonts w:cs="Arial"/>
      <w:b/>
      <w:bCs/>
      <w:color w:val="auto"/>
      <w:sz w:val="28"/>
      <w:szCs w:val="28"/>
    </w:rPr>
  </w:style>
  <w:style w:type="paragraph" w:customStyle="1" w:styleId="xl130">
    <w:name w:val="xl130"/>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Arial"/>
      <w:b/>
      <w:bCs/>
      <w:color w:val="000000"/>
      <w:szCs w:val="24"/>
    </w:rPr>
  </w:style>
  <w:style w:type="paragraph" w:customStyle="1" w:styleId="xl131">
    <w:name w:val="xl131"/>
    <w:basedOn w:val="Normal"/>
    <w:rsid w:val="00C602FD"/>
    <w:pPr>
      <w:keepNext w:val="0"/>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rFonts w:cs="Arial"/>
      <w:b/>
      <w:bCs/>
      <w:color w:val="000000"/>
      <w:szCs w:val="24"/>
    </w:rPr>
  </w:style>
  <w:style w:type="paragraph" w:customStyle="1" w:styleId="xl132">
    <w:name w:val="xl132"/>
    <w:basedOn w:val="Normal"/>
    <w:rsid w:val="00C602FD"/>
    <w:pPr>
      <w:keepNext w:val="0"/>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right"/>
      <w:textAlignment w:val="center"/>
    </w:pPr>
    <w:rPr>
      <w:rFonts w:cs="Arial"/>
      <w:b/>
      <w:bCs/>
      <w:color w:val="000000"/>
      <w:szCs w:val="24"/>
    </w:rPr>
  </w:style>
  <w:style w:type="paragraph" w:customStyle="1" w:styleId="xl133">
    <w:name w:val="xl133"/>
    <w:basedOn w:val="Normal"/>
    <w:rsid w:val="00C602FD"/>
    <w:pPr>
      <w:keepNext w:val="0"/>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right"/>
      <w:textAlignment w:val="center"/>
    </w:pPr>
    <w:rPr>
      <w:rFonts w:cs="Arial"/>
      <w:b/>
      <w:bCs/>
      <w:color w:val="000000"/>
      <w:szCs w:val="24"/>
    </w:rPr>
  </w:style>
  <w:style w:type="paragraph" w:customStyle="1" w:styleId="xl134">
    <w:name w:val="xl134"/>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cs="Arial"/>
      <w:b/>
      <w:bCs/>
      <w:color w:val="000000"/>
      <w:szCs w:val="24"/>
    </w:rPr>
  </w:style>
  <w:style w:type="paragraph" w:customStyle="1" w:styleId="xl135">
    <w:name w:val="xl135"/>
    <w:basedOn w:val="Normal"/>
    <w:rsid w:val="00C602FD"/>
    <w:pPr>
      <w:keepNext w:val="0"/>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cs="Arial"/>
      <w:b/>
      <w:bCs/>
      <w:color w:val="auto"/>
      <w:szCs w:val="24"/>
    </w:rPr>
  </w:style>
  <w:style w:type="paragraph" w:customStyle="1" w:styleId="xl136">
    <w:name w:val="xl136"/>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cs="Arial"/>
      <w:b/>
      <w:bCs/>
      <w:color w:val="auto"/>
      <w:szCs w:val="24"/>
    </w:rPr>
  </w:style>
  <w:style w:type="paragraph" w:customStyle="1" w:styleId="xl137">
    <w:name w:val="xl137"/>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cs="Arial"/>
      <w:b/>
      <w:bCs/>
      <w:color w:val="auto"/>
      <w:szCs w:val="24"/>
    </w:rPr>
  </w:style>
  <w:style w:type="paragraph" w:customStyle="1" w:styleId="xl138">
    <w:name w:val="xl138"/>
    <w:basedOn w:val="Normal"/>
    <w:rsid w:val="00C602FD"/>
    <w:pPr>
      <w:keepNext w:val="0"/>
      <w:shd w:val="clear" w:color="000000" w:fill="D9D9D9"/>
      <w:spacing w:before="100" w:beforeAutospacing="1" w:after="100" w:afterAutospacing="1"/>
    </w:pPr>
    <w:rPr>
      <w:rFonts w:cs="Arial"/>
      <w:color w:val="auto"/>
      <w:szCs w:val="24"/>
    </w:rPr>
  </w:style>
  <w:style w:type="paragraph" w:customStyle="1" w:styleId="xl139">
    <w:name w:val="xl139"/>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cs="Arial"/>
      <w:b/>
      <w:bCs/>
      <w:color w:val="auto"/>
      <w:szCs w:val="24"/>
    </w:rPr>
  </w:style>
  <w:style w:type="paragraph" w:customStyle="1" w:styleId="xl140">
    <w:name w:val="xl140"/>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cs="Arial"/>
      <w:b/>
      <w:bCs/>
      <w:color w:val="auto"/>
      <w:szCs w:val="24"/>
    </w:rPr>
  </w:style>
  <w:style w:type="paragraph" w:customStyle="1" w:styleId="xl141">
    <w:name w:val="xl141"/>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cs="Arial"/>
      <w:b/>
      <w:bCs/>
      <w:color w:val="auto"/>
      <w:szCs w:val="24"/>
    </w:rPr>
  </w:style>
  <w:style w:type="paragraph" w:customStyle="1" w:styleId="xl142">
    <w:name w:val="xl142"/>
    <w:basedOn w:val="Normal"/>
    <w:rsid w:val="00C602FD"/>
    <w:pPr>
      <w:keepNext w:val="0"/>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cs="Arial"/>
      <w:b/>
      <w:bCs/>
      <w:color w:val="auto"/>
      <w:szCs w:val="24"/>
    </w:rPr>
  </w:style>
  <w:style w:type="paragraph" w:customStyle="1" w:styleId="xl143">
    <w:name w:val="xl143"/>
    <w:basedOn w:val="Normal"/>
    <w:rsid w:val="00C602FD"/>
    <w:pPr>
      <w:keepNext w:val="0"/>
      <w:spacing w:before="100" w:beforeAutospacing="1" w:after="100" w:afterAutospacing="1"/>
      <w:textAlignment w:val="center"/>
    </w:pPr>
    <w:rPr>
      <w:rFonts w:cs="Arial"/>
      <w:b/>
      <w:bCs/>
      <w:color w:val="auto"/>
      <w:szCs w:val="24"/>
    </w:rPr>
  </w:style>
  <w:style w:type="paragraph" w:customStyle="1" w:styleId="xl144">
    <w:name w:val="xl144"/>
    <w:basedOn w:val="Normal"/>
    <w:rsid w:val="00C602FD"/>
    <w:pPr>
      <w:keepNext w:val="0"/>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Arial"/>
      <w:b/>
      <w:bCs/>
      <w:color w:val="auto"/>
      <w:szCs w:val="24"/>
    </w:rPr>
  </w:style>
  <w:style w:type="paragraph" w:customStyle="1" w:styleId="xl145">
    <w:name w:val="xl145"/>
    <w:basedOn w:val="Normal"/>
    <w:rsid w:val="00C602FD"/>
    <w:pPr>
      <w:keepNext w:val="0"/>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cs="Arial"/>
      <w:b/>
      <w:bCs/>
      <w:color w:val="auto"/>
      <w:szCs w:val="24"/>
    </w:rPr>
  </w:style>
  <w:style w:type="paragraph" w:customStyle="1" w:styleId="xl146">
    <w:name w:val="xl146"/>
    <w:basedOn w:val="Normal"/>
    <w:rsid w:val="00C602FD"/>
    <w:pPr>
      <w:keepNext w:val="0"/>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rFonts w:cs="Arial"/>
      <w:b/>
      <w:bCs/>
      <w:color w:val="auto"/>
      <w:szCs w:val="24"/>
    </w:rPr>
  </w:style>
  <w:style w:type="paragraph" w:customStyle="1" w:styleId="xl147">
    <w:name w:val="xl147"/>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Arial"/>
      <w:b/>
      <w:bCs/>
      <w:color w:val="auto"/>
      <w:szCs w:val="24"/>
    </w:rPr>
  </w:style>
  <w:style w:type="paragraph" w:customStyle="1" w:styleId="xl148">
    <w:name w:val="xl148"/>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Arial"/>
      <w:color w:val="auto"/>
      <w:szCs w:val="24"/>
    </w:rPr>
  </w:style>
  <w:style w:type="paragraph" w:customStyle="1" w:styleId="xl149">
    <w:name w:val="xl149"/>
    <w:basedOn w:val="Normal"/>
    <w:rsid w:val="00C602FD"/>
    <w:pPr>
      <w:keepNext w:val="0"/>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Arial"/>
      <w:color w:val="auto"/>
      <w:szCs w:val="24"/>
    </w:rPr>
  </w:style>
  <w:style w:type="paragraph" w:customStyle="1" w:styleId="xl150">
    <w:name w:val="xl150"/>
    <w:basedOn w:val="Normal"/>
    <w:rsid w:val="00C602FD"/>
    <w:pPr>
      <w:keepNext w:val="0"/>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cs="Arial"/>
      <w:b/>
      <w:bCs/>
      <w:color w:val="auto"/>
      <w:szCs w:val="24"/>
    </w:rPr>
  </w:style>
  <w:style w:type="paragraph" w:customStyle="1" w:styleId="xl151">
    <w:name w:val="xl151"/>
    <w:basedOn w:val="Normal"/>
    <w:rsid w:val="00C602FD"/>
    <w:pPr>
      <w:keepNext w:val="0"/>
      <w:pBdr>
        <w:top w:val="single" w:sz="4" w:space="0" w:color="auto"/>
        <w:bottom w:val="single" w:sz="4" w:space="0" w:color="auto"/>
      </w:pBdr>
      <w:spacing w:before="100" w:beforeAutospacing="1" w:after="100" w:afterAutospacing="1"/>
      <w:textAlignment w:val="center"/>
    </w:pPr>
    <w:rPr>
      <w:rFonts w:cs="Arial"/>
      <w:b/>
      <w:bCs/>
      <w:color w:val="auto"/>
      <w:szCs w:val="24"/>
    </w:rPr>
  </w:style>
  <w:style w:type="paragraph" w:customStyle="1" w:styleId="xl152">
    <w:name w:val="xl152"/>
    <w:basedOn w:val="Normal"/>
    <w:rsid w:val="00C602FD"/>
    <w:pPr>
      <w:keepNext w:val="0"/>
      <w:pBdr>
        <w:top w:val="single" w:sz="4" w:space="0" w:color="auto"/>
        <w:bottom w:val="single" w:sz="4" w:space="0" w:color="auto"/>
        <w:right w:val="single" w:sz="4" w:space="0" w:color="auto"/>
      </w:pBdr>
      <w:spacing w:before="100" w:beforeAutospacing="1" w:after="100" w:afterAutospacing="1"/>
      <w:textAlignment w:val="center"/>
    </w:pPr>
    <w:rPr>
      <w:rFonts w:cs="Arial"/>
      <w:b/>
      <w:bCs/>
      <w:color w:val="auto"/>
      <w:szCs w:val="24"/>
    </w:rPr>
  </w:style>
  <w:style w:type="paragraph" w:customStyle="1" w:styleId="xl153">
    <w:name w:val="xl153"/>
    <w:basedOn w:val="Normal"/>
    <w:rsid w:val="00C602FD"/>
    <w:pPr>
      <w:keepNext w:val="0"/>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cs="Arial"/>
      <w:b/>
      <w:bCs/>
      <w:color w:val="auto"/>
      <w:sz w:val="28"/>
      <w:szCs w:val="28"/>
    </w:rPr>
  </w:style>
  <w:style w:type="paragraph" w:customStyle="1" w:styleId="xl154">
    <w:name w:val="xl154"/>
    <w:basedOn w:val="Normal"/>
    <w:rsid w:val="00C602FD"/>
    <w:pPr>
      <w:keepNext w:val="0"/>
      <w:pBdr>
        <w:top w:val="single" w:sz="4" w:space="0" w:color="auto"/>
        <w:bottom w:val="single" w:sz="4" w:space="0" w:color="auto"/>
      </w:pBdr>
      <w:spacing w:before="100" w:beforeAutospacing="1" w:after="100" w:afterAutospacing="1"/>
      <w:textAlignment w:val="center"/>
    </w:pPr>
    <w:rPr>
      <w:rFonts w:cs="Arial"/>
      <w:color w:val="auto"/>
      <w:sz w:val="28"/>
      <w:szCs w:val="28"/>
    </w:rPr>
  </w:style>
  <w:style w:type="paragraph" w:customStyle="1" w:styleId="xl155">
    <w:name w:val="xl155"/>
    <w:basedOn w:val="Normal"/>
    <w:rsid w:val="00C602FD"/>
    <w:pPr>
      <w:keepNext w:val="0"/>
      <w:pBdr>
        <w:top w:val="single" w:sz="4" w:space="0" w:color="auto"/>
        <w:bottom w:val="single" w:sz="4" w:space="0" w:color="auto"/>
        <w:right w:val="single" w:sz="4" w:space="0" w:color="auto"/>
      </w:pBdr>
      <w:spacing w:before="100" w:beforeAutospacing="1" w:after="100" w:afterAutospacing="1"/>
      <w:textAlignment w:val="center"/>
    </w:pPr>
    <w:rPr>
      <w:rFonts w:cs="Arial"/>
      <w:color w:val="auto"/>
      <w:sz w:val="28"/>
      <w:szCs w:val="28"/>
    </w:rPr>
  </w:style>
  <w:style w:type="paragraph" w:customStyle="1" w:styleId="xl156">
    <w:name w:val="xl156"/>
    <w:basedOn w:val="Normal"/>
    <w:rsid w:val="00C602FD"/>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cs="Arial"/>
      <w:b/>
      <w:bCs/>
      <w:color w:val="auto"/>
      <w:szCs w:val="24"/>
    </w:rPr>
  </w:style>
  <w:style w:type="paragraph" w:customStyle="1" w:styleId="xl157">
    <w:name w:val="xl157"/>
    <w:basedOn w:val="Normal"/>
    <w:rsid w:val="00C602FD"/>
    <w:pPr>
      <w:keepNext w:val="0"/>
      <w:pBdr>
        <w:bottom w:val="single" w:sz="4" w:space="0" w:color="auto"/>
      </w:pBdr>
      <w:spacing w:before="100" w:beforeAutospacing="1" w:after="100" w:afterAutospacing="1"/>
      <w:textAlignment w:val="top"/>
    </w:pPr>
    <w:rPr>
      <w:rFonts w:cs="Arial"/>
      <w:b/>
      <w:bCs/>
      <w:color w:val="auto"/>
      <w:szCs w:val="24"/>
    </w:rPr>
  </w:style>
  <w:style w:type="paragraph" w:customStyle="1" w:styleId="xl158">
    <w:name w:val="xl158"/>
    <w:basedOn w:val="Normal"/>
    <w:rsid w:val="00C602FD"/>
    <w:pPr>
      <w:keepNext w:val="0"/>
      <w:pBdr>
        <w:bottom w:val="single" w:sz="4" w:space="0" w:color="auto"/>
      </w:pBdr>
      <w:spacing w:before="100" w:beforeAutospacing="1" w:after="100" w:afterAutospacing="1"/>
    </w:pPr>
    <w:rPr>
      <w:rFonts w:cs="Arial"/>
      <w:color w:val="auto"/>
      <w:szCs w:val="24"/>
    </w:rPr>
  </w:style>
  <w:style w:type="paragraph" w:customStyle="1" w:styleId="xl159">
    <w:name w:val="xl159"/>
    <w:basedOn w:val="Normal"/>
    <w:rsid w:val="00C602FD"/>
    <w:pPr>
      <w:keepNext w:val="0"/>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cs="Arial"/>
      <w:b/>
      <w:bCs/>
      <w:color w:val="auto"/>
      <w:szCs w:val="24"/>
    </w:rPr>
  </w:style>
  <w:style w:type="paragraph" w:customStyle="1" w:styleId="xl160">
    <w:name w:val="xl160"/>
    <w:basedOn w:val="Normal"/>
    <w:rsid w:val="00C602FD"/>
    <w:pPr>
      <w:keepNext w:val="0"/>
      <w:pBdr>
        <w:top w:val="single" w:sz="4" w:space="0" w:color="auto"/>
        <w:bottom w:val="single" w:sz="4" w:space="0" w:color="auto"/>
      </w:pBdr>
      <w:spacing w:before="100" w:beforeAutospacing="1" w:after="100" w:afterAutospacing="1"/>
    </w:pPr>
    <w:rPr>
      <w:rFonts w:cs="Arial"/>
      <w:b/>
      <w:bCs/>
      <w:color w:val="auto"/>
      <w:szCs w:val="24"/>
    </w:rPr>
  </w:style>
  <w:style w:type="paragraph" w:customStyle="1" w:styleId="xl161">
    <w:name w:val="xl161"/>
    <w:basedOn w:val="Normal"/>
    <w:rsid w:val="00C602FD"/>
    <w:pPr>
      <w:keepNext w:val="0"/>
      <w:pBdr>
        <w:top w:val="single" w:sz="4" w:space="0" w:color="auto"/>
        <w:bottom w:val="single" w:sz="4" w:space="0" w:color="auto"/>
        <w:right w:val="single" w:sz="4" w:space="0" w:color="auto"/>
      </w:pBdr>
      <w:spacing w:before="100" w:beforeAutospacing="1" w:after="100" w:afterAutospacing="1"/>
    </w:pPr>
    <w:rPr>
      <w:rFonts w:cs="Arial"/>
      <w:b/>
      <w:bCs/>
      <w:color w:val="auto"/>
      <w:szCs w:val="24"/>
    </w:rPr>
  </w:style>
  <w:style w:type="paragraph" w:customStyle="1" w:styleId="xl162">
    <w:name w:val="xl162"/>
    <w:basedOn w:val="Normal"/>
    <w:rsid w:val="00C602FD"/>
    <w:pPr>
      <w:keepNext w:val="0"/>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cs="Arial"/>
      <w:b/>
      <w:bCs/>
      <w:color w:val="auto"/>
      <w:sz w:val="28"/>
      <w:szCs w:val="28"/>
    </w:rPr>
  </w:style>
  <w:style w:type="paragraph" w:customStyle="1" w:styleId="xl163">
    <w:name w:val="xl163"/>
    <w:basedOn w:val="Normal"/>
    <w:rsid w:val="00C602FD"/>
    <w:pPr>
      <w:keepNext w:val="0"/>
      <w:pBdr>
        <w:top w:val="single" w:sz="4" w:space="0" w:color="auto"/>
        <w:bottom w:val="single" w:sz="4" w:space="0" w:color="auto"/>
      </w:pBdr>
      <w:spacing w:before="100" w:beforeAutospacing="1" w:after="100" w:afterAutospacing="1"/>
      <w:textAlignment w:val="center"/>
    </w:pPr>
    <w:rPr>
      <w:rFonts w:cs="Arial"/>
      <w:b/>
      <w:bCs/>
      <w:color w:val="auto"/>
      <w:sz w:val="28"/>
      <w:szCs w:val="28"/>
    </w:rPr>
  </w:style>
  <w:style w:type="paragraph" w:customStyle="1" w:styleId="xl164">
    <w:name w:val="xl164"/>
    <w:basedOn w:val="Normal"/>
    <w:rsid w:val="00C602FD"/>
    <w:pPr>
      <w:keepNext w:val="0"/>
      <w:pBdr>
        <w:top w:val="single" w:sz="4" w:space="0" w:color="auto"/>
        <w:bottom w:val="single" w:sz="4" w:space="0" w:color="auto"/>
      </w:pBdr>
      <w:spacing w:before="100" w:beforeAutospacing="1" w:after="100" w:afterAutospacing="1"/>
    </w:pPr>
    <w:rPr>
      <w:rFonts w:cs="Arial"/>
      <w:b/>
      <w:bCs/>
      <w:color w:val="auto"/>
      <w:szCs w:val="24"/>
    </w:rPr>
  </w:style>
  <w:style w:type="paragraph" w:customStyle="1" w:styleId="xl165">
    <w:name w:val="xl165"/>
    <w:basedOn w:val="Normal"/>
    <w:rsid w:val="00C602FD"/>
    <w:pPr>
      <w:keepNext w:val="0"/>
      <w:pBdr>
        <w:bottom w:val="single" w:sz="4" w:space="0" w:color="auto"/>
      </w:pBdr>
      <w:spacing w:before="100" w:beforeAutospacing="1" w:after="100" w:afterAutospacing="1"/>
      <w:textAlignment w:val="top"/>
    </w:pPr>
    <w:rPr>
      <w:rFonts w:cs="Arial"/>
      <w:b/>
      <w:bCs/>
      <w:color w:val="auto"/>
      <w:szCs w:val="24"/>
    </w:rPr>
  </w:style>
  <w:style w:type="paragraph" w:customStyle="1" w:styleId="xl166">
    <w:name w:val="xl166"/>
    <w:basedOn w:val="Normal"/>
    <w:rsid w:val="00C602FD"/>
    <w:pPr>
      <w:keepNext w:val="0"/>
      <w:pBdr>
        <w:bottom w:val="single" w:sz="4" w:space="0" w:color="auto"/>
      </w:pBdr>
      <w:spacing w:before="100" w:beforeAutospacing="1" w:after="100" w:afterAutospacing="1"/>
    </w:pPr>
    <w:rPr>
      <w:rFonts w:cs="Arial"/>
      <w:color w:val="auto"/>
      <w:szCs w:val="24"/>
    </w:rPr>
  </w:style>
  <w:style w:type="paragraph" w:styleId="TOCHeading">
    <w:name w:val="TOC Heading"/>
    <w:basedOn w:val="Heading1"/>
    <w:next w:val="Normal"/>
    <w:uiPriority w:val="39"/>
    <w:unhideWhenUsed/>
    <w:qFormat/>
    <w:rsid w:val="00C602FD"/>
    <w:pPr>
      <w:keepLines/>
      <w:spacing w:before="240" w:line="259" w:lineRule="auto"/>
      <w:outlineLvl w:val="9"/>
    </w:pPr>
    <w:rPr>
      <w:rFonts w:ascii="Calibri Light" w:hAnsi="Calibri Light"/>
      <w:b/>
      <w:bCs/>
      <w:color w:val="2E74B5"/>
      <w:sz w:val="32"/>
      <w:szCs w:val="32"/>
      <w:lang w:val="en-US"/>
    </w:rPr>
  </w:style>
  <w:style w:type="paragraph" w:styleId="TOC1">
    <w:name w:val="toc 1"/>
    <w:basedOn w:val="Normal"/>
    <w:next w:val="Normal"/>
    <w:autoRedefine/>
    <w:uiPriority w:val="39"/>
    <w:rsid w:val="005F5AF9"/>
    <w:pPr>
      <w:tabs>
        <w:tab w:val="right" w:leader="dot" w:pos="9629"/>
      </w:tabs>
      <w:spacing w:before="360"/>
    </w:pPr>
    <w:rPr>
      <w:rFonts w:asciiTheme="majorHAnsi" w:hAnsiTheme="majorHAnsi" w:cstheme="majorHAnsi"/>
      <w:b/>
      <w:bCs/>
      <w:caps/>
      <w:noProof/>
      <w:szCs w:val="24"/>
    </w:rPr>
  </w:style>
  <w:style w:type="paragraph" w:styleId="TOC2">
    <w:name w:val="toc 2"/>
    <w:basedOn w:val="Normal"/>
    <w:next w:val="Normal"/>
    <w:autoRedefine/>
    <w:uiPriority w:val="39"/>
    <w:rsid w:val="00C602FD"/>
    <w:pPr>
      <w:spacing w:before="240"/>
    </w:pPr>
    <w:rPr>
      <w:rFonts w:asciiTheme="minorHAnsi" w:hAnsiTheme="minorHAnsi" w:cstheme="minorHAnsi"/>
      <w:b/>
      <w:bCs/>
      <w:sz w:val="20"/>
    </w:rPr>
  </w:style>
  <w:style w:type="paragraph" w:styleId="TOC4">
    <w:name w:val="toc 4"/>
    <w:basedOn w:val="Normal"/>
    <w:next w:val="Normal"/>
    <w:autoRedefine/>
    <w:uiPriority w:val="39"/>
    <w:unhideWhenUsed/>
    <w:rsid w:val="00C602FD"/>
    <w:pPr>
      <w:spacing w:before="0"/>
      <w:ind w:left="480"/>
    </w:pPr>
    <w:rPr>
      <w:rFonts w:asciiTheme="minorHAnsi" w:hAnsiTheme="minorHAnsi" w:cstheme="minorHAnsi"/>
      <w:sz w:val="20"/>
    </w:rPr>
  </w:style>
  <w:style w:type="paragraph" w:styleId="TOC5">
    <w:name w:val="toc 5"/>
    <w:basedOn w:val="Normal"/>
    <w:next w:val="Normal"/>
    <w:autoRedefine/>
    <w:uiPriority w:val="39"/>
    <w:unhideWhenUsed/>
    <w:rsid w:val="00C602FD"/>
    <w:pPr>
      <w:spacing w:before="0"/>
      <w:ind w:left="720"/>
    </w:pPr>
    <w:rPr>
      <w:rFonts w:asciiTheme="minorHAnsi" w:hAnsiTheme="minorHAnsi" w:cstheme="minorHAnsi"/>
      <w:sz w:val="20"/>
    </w:rPr>
  </w:style>
  <w:style w:type="paragraph" w:styleId="TOC6">
    <w:name w:val="toc 6"/>
    <w:basedOn w:val="Normal"/>
    <w:next w:val="Normal"/>
    <w:autoRedefine/>
    <w:uiPriority w:val="39"/>
    <w:unhideWhenUsed/>
    <w:rsid w:val="00C602FD"/>
    <w:pPr>
      <w:spacing w:before="0"/>
      <w:ind w:left="960"/>
    </w:pPr>
    <w:rPr>
      <w:rFonts w:asciiTheme="minorHAnsi" w:hAnsiTheme="minorHAnsi" w:cstheme="minorHAnsi"/>
      <w:sz w:val="20"/>
    </w:rPr>
  </w:style>
  <w:style w:type="paragraph" w:styleId="TOC7">
    <w:name w:val="toc 7"/>
    <w:basedOn w:val="Normal"/>
    <w:next w:val="Normal"/>
    <w:autoRedefine/>
    <w:uiPriority w:val="39"/>
    <w:unhideWhenUsed/>
    <w:rsid w:val="00C602FD"/>
    <w:pPr>
      <w:spacing w:before="0"/>
      <w:ind w:left="1200"/>
    </w:pPr>
    <w:rPr>
      <w:rFonts w:asciiTheme="minorHAnsi" w:hAnsiTheme="minorHAnsi" w:cstheme="minorHAnsi"/>
      <w:sz w:val="20"/>
    </w:rPr>
  </w:style>
  <w:style w:type="paragraph" w:styleId="TOC8">
    <w:name w:val="toc 8"/>
    <w:basedOn w:val="Normal"/>
    <w:next w:val="Normal"/>
    <w:autoRedefine/>
    <w:uiPriority w:val="39"/>
    <w:unhideWhenUsed/>
    <w:rsid w:val="00C602FD"/>
    <w:pPr>
      <w:spacing w:before="0"/>
      <w:ind w:left="1440"/>
    </w:pPr>
    <w:rPr>
      <w:rFonts w:asciiTheme="minorHAnsi" w:hAnsiTheme="minorHAnsi" w:cstheme="minorHAnsi"/>
      <w:sz w:val="20"/>
    </w:rPr>
  </w:style>
  <w:style w:type="paragraph" w:styleId="TOC9">
    <w:name w:val="toc 9"/>
    <w:basedOn w:val="Normal"/>
    <w:next w:val="Normal"/>
    <w:autoRedefine/>
    <w:uiPriority w:val="39"/>
    <w:unhideWhenUsed/>
    <w:rsid w:val="00C602FD"/>
    <w:pPr>
      <w:spacing w:before="0"/>
      <w:ind w:left="1680"/>
    </w:pPr>
    <w:rPr>
      <w:rFonts w:asciiTheme="minorHAnsi" w:hAnsiTheme="minorHAnsi" w:cstheme="minorHAnsi"/>
      <w:sz w:val="20"/>
    </w:rPr>
  </w:style>
  <w:style w:type="character" w:customStyle="1" w:styleId="NoSpacingChar">
    <w:name w:val="No Spacing Char"/>
    <w:link w:val="NoSpacing"/>
    <w:uiPriority w:val="1"/>
    <w:rsid w:val="00C602FD"/>
    <w:rPr>
      <w:rFonts w:ascii="Arial" w:eastAsia="Calibri" w:hAnsi="Arial"/>
      <w:sz w:val="24"/>
      <w:szCs w:val="22"/>
      <w:lang w:eastAsia="en-US"/>
    </w:rPr>
  </w:style>
  <w:style w:type="table" w:customStyle="1" w:styleId="TableGrid23">
    <w:name w:val="Table Grid23"/>
    <w:basedOn w:val="TableNormal"/>
    <w:next w:val="TableGrid"/>
    <w:uiPriority w:val="59"/>
    <w:rsid w:val="00967C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tsHeader">
    <w:name w:val="Contents Header"/>
    <w:basedOn w:val="Heading1"/>
    <w:link w:val="ContentsHeaderChar"/>
    <w:qFormat/>
    <w:rsid w:val="00673B7B"/>
    <w:rPr>
      <w:rFonts w:cs="Arial"/>
      <w:sz w:val="40"/>
      <w:szCs w:val="40"/>
    </w:rPr>
  </w:style>
  <w:style w:type="character" w:customStyle="1" w:styleId="Heading1Char">
    <w:name w:val="Heading 1 Char"/>
    <w:basedOn w:val="DefaultParagraphFont"/>
    <w:link w:val="Heading1"/>
    <w:rsid w:val="00CF07B9"/>
    <w:rPr>
      <w:rFonts w:ascii="Arial" w:hAnsi="Arial"/>
      <w:i/>
      <w:iCs/>
      <w:noProof/>
      <w:color w:val="ED0000"/>
      <w:spacing w:val="-2"/>
      <w:sz w:val="28"/>
      <w:szCs w:val="28"/>
      <w:lang w:eastAsia="en-US"/>
    </w:rPr>
  </w:style>
  <w:style w:type="character" w:customStyle="1" w:styleId="ContentsHeaderChar">
    <w:name w:val="Contents Header Char"/>
    <w:basedOn w:val="Heading1Char"/>
    <w:link w:val="ContentsHeader"/>
    <w:rsid w:val="00673B7B"/>
    <w:rPr>
      <w:rFonts w:ascii="Arial" w:hAnsi="Arial" w:cs="Arial"/>
      <w:b w:val="0"/>
      <w:bCs w:val="0"/>
      <w:i/>
      <w:iCs/>
      <w:noProof/>
      <w:color w:val="000000" w:themeColor="text1"/>
      <w:spacing w:val="-2"/>
      <w:sz w:val="40"/>
      <w:szCs w:val="40"/>
      <w:lang w:eastAsia="en-US"/>
    </w:rPr>
  </w:style>
  <w:style w:type="paragraph" w:customStyle="1" w:styleId="msonormal0">
    <w:name w:val="msonormal"/>
    <w:basedOn w:val="Normal"/>
    <w:rsid w:val="00FA2CC6"/>
    <w:pPr>
      <w:keepNext w:val="0"/>
      <w:spacing w:before="100" w:beforeAutospacing="1" w:after="100" w:afterAutospacing="1"/>
    </w:pPr>
    <w:rPr>
      <w:rFonts w:cs="Arial"/>
      <w:color w:val="auto"/>
      <w:szCs w:val="24"/>
    </w:rPr>
  </w:style>
  <w:style w:type="character" w:customStyle="1" w:styleId="Heading4Char">
    <w:name w:val="Heading 4 Char"/>
    <w:basedOn w:val="DefaultParagraphFont"/>
    <w:link w:val="Heading4"/>
    <w:uiPriority w:val="9"/>
    <w:rsid w:val="003D483E"/>
    <w:rPr>
      <w:rFonts w:ascii="Arial" w:hAnsi="Arial"/>
      <w:b/>
      <w:color w:val="000000" w:themeColor="text1"/>
      <w:sz w:val="28"/>
    </w:rPr>
  </w:style>
  <w:style w:type="character" w:customStyle="1" w:styleId="ListParagraphChar">
    <w:name w:val="List Paragraph Char"/>
    <w:aliases w:val="Paragraph 1 Char"/>
    <w:link w:val="ListParagraph"/>
    <w:uiPriority w:val="34"/>
    <w:locked/>
    <w:rsid w:val="00715560"/>
    <w:rPr>
      <w:rFonts w:ascii="Calibri" w:hAnsi="Calibri"/>
      <w:color w:val="000000" w:themeColor="text1"/>
      <w:sz w:val="24"/>
      <w:szCs w:val="22"/>
      <w:lang w:eastAsia="en-US"/>
    </w:rPr>
  </w:style>
  <w:style w:type="character" w:styleId="BookTitle">
    <w:name w:val="Book Title"/>
    <w:basedOn w:val="DefaultParagraphFont"/>
    <w:uiPriority w:val="33"/>
    <w:qFormat/>
    <w:rsid w:val="007620D3"/>
    <w:rPr>
      <w:b/>
      <w:bCs/>
      <w:i/>
      <w:iCs/>
      <w:spacing w:val="5"/>
    </w:rPr>
  </w:style>
  <w:style w:type="paragraph" w:customStyle="1" w:styleId="Style10">
    <w:name w:val="Style1"/>
    <w:basedOn w:val="Normal"/>
    <w:link w:val="Style1Char"/>
    <w:qFormat/>
    <w:rsid w:val="007620D3"/>
    <w:pPr>
      <w:jc w:val="center"/>
    </w:pPr>
    <w:rPr>
      <w:rFonts w:cs="Arial"/>
      <w:b/>
      <w:bCs/>
      <w:color w:val="0070C0"/>
      <w:sz w:val="40"/>
      <w:szCs w:val="40"/>
    </w:rPr>
  </w:style>
  <w:style w:type="character" w:customStyle="1" w:styleId="Style1Char">
    <w:name w:val="Style1 Char"/>
    <w:basedOn w:val="DefaultParagraphFont"/>
    <w:link w:val="Style10"/>
    <w:rsid w:val="007620D3"/>
    <w:rPr>
      <w:rFonts w:ascii="Arial" w:hAnsi="Arial" w:cs="Arial"/>
      <w:b/>
      <w:bCs/>
      <w:color w:val="0070C0"/>
      <w:sz w:val="40"/>
      <w:szCs w:val="40"/>
    </w:rPr>
  </w:style>
  <w:style w:type="character" w:customStyle="1" w:styleId="cf01">
    <w:name w:val="cf01"/>
    <w:basedOn w:val="DefaultParagraphFont"/>
    <w:rsid w:val="0028773A"/>
    <w:rPr>
      <w:rFonts w:ascii="Segoe UI" w:hAnsi="Segoe UI" w:cs="Segoe UI" w:hint="default"/>
      <w:sz w:val="18"/>
      <w:szCs w:val="18"/>
    </w:rPr>
  </w:style>
  <w:style w:type="table" w:customStyle="1" w:styleId="TableGrid24">
    <w:name w:val="Table Grid24"/>
    <w:basedOn w:val="TableNormal"/>
    <w:next w:val="TableGrid"/>
    <w:uiPriority w:val="39"/>
    <w:rsid w:val="000B3D9D"/>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033FE0"/>
    <w:pPr>
      <w:keepNext w:val="0"/>
      <w:spacing w:before="100" w:beforeAutospacing="1" w:after="100" w:afterAutospacing="1"/>
    </w:pPr>
    <w:rPr>
      <w:rFonts w:cs="Arial"/>
      <w:color w:val="auto"/>
      <w:szCs w:val="24"/>
    </w:rPr>
  </w:style>
  <w:style w:type="character" w:customStyle="1" w:styleId="cf11">
    <w:name w:val="cf11"/>
    <w:basedOn w:val="DefaultParagraphFont"/>
    <w:rsid w:val="0042513D"/>
    <w:rPr>
      <w:rFonts w:ascii="Segoe UI" w:hAnsi="Segoe UI" w:cs="Segoe UI" w:hint="default"/>
      <w:sz w:val="18"/>
      <w:szCs w:val="18"/>
    </w:rPr>
  </w:style>
  <w:style w:type="character" w:customStyle="1" w:styleId="Heading5Char">
    <w:name w:val="Heading 5 Char"/>
    <w:basedOn w:val="DefaultParagraphFont"/>
    <w:link w:val="Heading5"/>
    <w:uiPriority w:val="9"/>
    <w:rsid w:val="004466EB"/>
    <w:rPr>
      <w:rFonts w:ascii="Arial" w:hAnsi="Arial"/>
      <w:b/>
      <w:bCs/>
      <w:color w:val="000000" w:themeColor="text1"/>
      <w:sz w:val="24"/>
      <w:lang w:val="en-US"/>
    </w:rPr>
  </w:style>
  <w:style w:type="character" w:customStyle="1" w:styleId="Heading6Char">
    <w:name w:val="Heading 6 Char"/>
    <w:basedOn w:val="DefaultParagraphFont"/>
    <w:link w:val="Heading6"/>
    <w:uiPriority w:val="9"/>
    <w:rsid w:val="004466EB"/>
    <w:rPr>
      <w:rFonts w:ascii="Arial" w:hAnsi="Arial"/>
      <w:b/>
      <w:bCs/>
      <w:color w:val="000000" w:themeColor="text1"/>
      <w:sz w:val="24"/>
    </w:rPr>
  </w:style>
  <w:style w:type="paragraph" w:styleId="Quote">
    <w:name w:val="Quote"/>
    <w:basedOn w:val="Normal"/>
    <w:next w:val="Normal"/>
    <w:link w:val="QuoteChar"/>
    <w:uiPriority w:val="29"/>
    <w:qFormat/>
    <w:rsid w:val="004466EB"/>
    <w:pPr>
      <w:spacing w:before="200" w:line="264" w:lineRule="auto"/>
      <w:ind w:left="864" w:right="864"/>
      <w:jc w:val="center"/>
    </w:pPr>
    <w:rPr>
      <w:rFonts w:asciiTheme="majorHAnsi" w:eastAsiaTheme="majorEastAsia" w:hAnsiTheme="majorHAnsi" w:cstheme="majorBidi"/>
      <w:i/>
      <w:iCs/>
      <w:szCs w:val="24"/>
    </w:rPr>
  </w:style>
  <w:style w:type="character" w:customStyle="1" w:styleId="QuoteChar">
    <w:name w:val="Quote Char"/>
    <w:basedOn w:val="DefaultParagraphFont"/>
    <w:link w:val="Quote"/>
    <w:uiPriority w:val="29"/>
    <w:rsid w:val="004466EB"/>
    <w:rPr>
      <w:rFonts w:asciiTheme="majorHAnsi" w:eastAsiaTheme="majorEastAsia" w:hAnsiTheme="majorHAnsi" w:cstheme="majorBidi"/>
      <w:i/>
      <w:iCs/>
      <w:color w:val="000000" w:themeColor="text1"/>
      <w:sz w:val="24"/>
      <w:szCs w:val="24"/>
    </w:rPr>
  </w:style>
  <w:style w:type="paragraph" w:styleId="IntenseQuote">
    <w:name w:val="Intense Quote"/>
    <w:basedOn w:val="Normal"/>
    <w:next w:val="Normal"/>
    <w:link w:val="IntenseQuoteChar"/>
    <w:uiPriority w:val="30"/>
    <w:qFormat/>
    <w:rsid w:val="004466EB"/>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4466EB"/>
    <w:rPr>
      <w:rFonts w:asciiTheme="majorHAnsi" w:eastAsiaTheme="majorEastAsia" w:hAnsiTheme="majorHAnsi" w:cstheme="majorBidi"/>
      <w:color w:val="000000" w:themeColor="text1"/>
      <w:sz w:val="26"/>
      <w:szCs w:val="26"/>
    </w:rPr>
  </w:style>
  <w:style w:type="character" w:styleId="SubtleEmphasis">
    <w:name w:val="Subtle Emphasis"/>
    <w:basedOn w:val="DefaultParagraphFont"/>
    <w:uiPriority w:val="19"/>
    <w:qFormat/>
    <w:rsid w:val="004466EB"/>
    <w:rPr>
      <w:i/>
      <w:iCs/>
      <w:color w:val="auto"/>
    </w:rPr>
  </w:style>
  <w:style w:type="character" w:styleId="IntenseEmphasis">
    <w:name w:val="Intense Emphasis"/>
    <w:basedOn w:val="DefaultParagraphFont"/>
    <w:uiPriority w:val="21"/>
    <w:qFormat/>
    <w:rsid w:val="004466EB"/>
    <w:rPr>
      <w:b/>
      <w:bCs/>
      <w:i/>
      <w:iCs/>
      <w:color w:val="auto"/>
    </w:rPr>
  </w:style>
  <w:style w:type="character" w:styleId="SubtleReference">
    <w:name w:val="Subtle Reference"/>
    <w:basedOn w:val="DefaultParagraphFont"/>
    <w:uiPriority w:val="31"/>
    <w:qFormat/>
    <w:rsid w:val="004466EB"/>
    <w:rPr>
      <w:smallCaps/>
      <w:color w:val="auto"/>
      <w:u w:val="single" w:color="7F7F7F" w:themeColor="text1" w:themeTint="80"/>
    </w:rPr>
  </w:style>
  <w:style w:type="character" w:styleId="IntenseReference">
    <w:name w:val="Intense Reference"/>
    <w:basedOn w:val="DefaultParagraphFont"/>
    <w:uiPriority w:val="32"/>
    <w:qFormat/>
    <w:rsid w:val="004466EB"/>
    <w:rPr>
      <w:b/>
      <w:bCs/>
      <w:smallCaps/>
      <w:color w:val="auto"/>
      <w:u w:val="single"/>
    </w:rPr>
  </w:style>
  <w:style w:type="character" w:customStyle="1" w:styleId="Heading7Char">
    <w:name w:val="Heading 7 Char"/>
    <w:basedOn w:val="DefaultParagraphFont"/>
    <w:link w:val="Heading7"/>
    <w:uiPriority w:val="9"/>
    <w:rsid w:val="004466EB"/>
    <w:rPr>
      <w:i/>
      <w:iCs/>
      <w:color w:val="000000" w:themeColor="text1"/>
      <w:sz w:val="24"/>
    </w:rPr>
  </w:style>
  <w:style w:type="character" w:customStyle="1" w:styleId="Heading8Char">
    <w:name w:val="Heading 8 Char"/>
    <w:basedOn w:val="DefaultParagraphFont"/>
    <w:link w:val="Heading8"/>
    <w:uiPriority w:val="9"/>
    <w:rsid w:val="004466EB"/>
    <w:rPr>
      <w:rFonts w:ascii="Arial" w:hAnsi="Arial"/>
      <w:b/>
      <w:bCs/>
      <w:color w:val="000000" w:themeColor="text1"/>
      <w:sz w:val="24"/>
    </w:rPr>
  </w:style>
  <w:style w:type="character" w:customStyle="1" w:styleId="Heading9Char">
    <w:name w:val="Heading 9 Char"/>
    <w:basedOn w:val="DefaultParagraphFont"/>
    <w:link w:val="Heading9"/>
    <w:uiPriority w:val="9"/>
    <w:rsid w:val="004466EB"/>
    <w:rPr>
      <w:rFonts w:ascii="Arial" w:hAnsi="Arial"/>
      <w:b/>
      <w:bCs/>
      <w:color w:val="000000" w:themeColor="text1"/>
      <w:spacing w:val="-3"/>
      <w:sz w:val="24"/>
    </w:rPr>
  </w:style>
  <w:style w:type="character" w:customStyle="1" w:styleId="HeaderChar">
    <w:name w:val="Header Char"/>
    <w:basedOn w:val="DefaultParagraphFont"/>
    <w:link w:val="Header"/>
    <w:rsid w:val="004466EB"/>
    <w:rPr>
      <w:rFonts w:ascii="Arial" w:hAnsi="Arial"/>
      <w:color w:val="000000" w:themeColor="text1"/>
      <w:sz w:val="24"/>
    </w:rPr>
  </w:style>
  <w:style w:type="paragraph" w:customStyle="1" w:styleId="Disclaimerheadertext">
    <w:name w:val="Disclaimer header text"/>
    <w:basedOn w:val="Heading1"/>
    <w:qFormat/>
    <w:rsid w:val="00CF07B9"/>
    <w:rPr>
      <w:b/>
      <w:i w:val="0"/>
      <w:color w:val="auto"/>
    </w:rPr>
  </w:style>
  <w:style w:type="paragraph" w:customStyle="1" w:styleId="Disclaimerlist">
    <w:name w:val="Disclaimer list"/>
    <w:basedOn w:val="ListParagraph"/>
    <w:qFormat/>
    <w:rsid w:val="00B00CE2"/>
    <w:pPr>
      <w:widowControl w:val="0"/>
      <w:numPr>
        <w:numId w:val="394"/>
      </w:numPr>
      <w:tabs>
        <w:tab w:val="left" w:pos="805"/>
      </w:tabs>
      <w:autoSpaceDE w:val="0"/>
      <w:autoSpaceDN w:val="0"/>
      <w:spacing w:before="120" w:after="120" w:line="360" w:lineRule="auto"/>
      <w:ind w:left="799" w:hanging="357"/>
      <w:contextualSpacing w:val="0"/>
    </w:pPr>
    <w:rPr>
      <w:rFonts w:ascii="Arial" w:hAnsi="Arial"/>
      <w:color w:val="090909"/>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899774">
      <w:bodyDiv w:val="1"/>
      <w:marLeft w:val="0"/>
      <w:marRight w:val="0"/>
      <w:marTop w:val="0"/>
      <w:marBottom w:val="0"/>
      <w:divBdr>
        <w:top w:val="none" w:sz="0" w:space="0" w:color="auto"/>
        <w:left w:val="none" w:sz="0" w:space="0" w:color="auto"/>
        <w:bottom w:val="none" w:sz="0" w:space="0" w:color="auto"/>
        <w:right w:val="none" w:sz="0" w:space="0" w:color="auto"/>
      </w:divBdr>
      <w:divsChild>
        <w:div w:id="1860771782">
          <w:marLeft w:val="0"/>
          <w:marRight w:val="0"/>
          <w:marTop w:val="0"/>
          <w:marBottom w:val="0"/>
          <w:divBdr>
            <w:top w:val="none" w:sz="0" w:space="0" w:color="auto"/>
            <w:left w:val="none" w:sz="0" w:space="0" w:color="auto"/>
            <w:bottom w:val="none" w:sz="0" w:space="0" w:color="auto"/>
            <w:right w:val="none" w:sz="0" w:space="0" w:color="auto"/>
          </w:divBdr>
          <w:divsChild>
            <w:div w:id="314723506">
              <w:marLeft w:val="0"/>
              <w:marRight w:val="0"/>
              <w:marTop w:val="0"/>
              <w:marBottom w:val="0"/>
              <w:divBdr>
                <w:top w:val="none" w:sz="0" w:space="0" w:color="auto"/>
                <w:left w:val="none" w:sz="0" w:space="0" w:color="auto"/>
                <w:bottom w:val="none" w:sz="0" w:space="0" w:color="auto"/>
                <w:right w:val="none" w:sz="0" w:space="0" w:color="auto"/>
              </w:divBdr>
              <w:divsChild>
                <w:div w:id="1278835714">
                  <w:marLeft w:val="-300"/>
                  <w:marRight w:val="0"/>
                  <w:marTop w:val="0"/>
                  <w:marBottom w:val="0"/>
                  <w:divBdr>
                    <w:top w:val="none" w:sz="0" w:space="0" w:color="auto"/>
                    <w:left w:val="none" w:sz="0" w:space="0" w:color="auto"/>
                    <w:bottom w:val="none" w:sz="0" w:space="0" w:color="auto"/>
                    <w:right w:val="none" w:sz="0" w:space="0" w:color="auto"/>
                  </w:divBdr>
                  <w:divsChild>
                    <w:div w:id="46413109">
                      <w:marLeft w:val="0"/>
                      <w:marRight w:val="0"/>
                      <w:marTop w:val="0"/>
                      <w:marBottom w:val="0"/>
                      <w:divBdr>
                        <w:top w:val="none" w:sz="0" w:space="0" w:color="auto"/>
                        <w:left w:val="none" w:sz="0" w:space="0" w:color="auto"/>
                        <w:bottom w:val="none" w:sz="0" w:space="0" w:color="auto"/>
                        <w:right w:val="none" w:sz="0" w:space="0" w:color="auto"/>
                      </w:divBdr>
                      <w:divsChild>
                        <w:div w:id="1298146046">
                          <w:marLeft w:val="0"/>
                          <w:marRight w:val="0"/>
                          <w:marTop w:val="0"/>
                          <w:marBottom w:val="0"/>
                          <w:divBdr>
                            <w:top w:val="none" w:sz="0" w:space="0" w:color="auto"/>
                            <w:left w:val="none" w:sz="0" w:space="0" w:color="auto"/>
                            <w:bottom w:val="none" w:sz="0" w:space="0" w:color="auto"/>
                            <w:right w:val="none" w:sz="0" w:space="0" w:color="auto"/>
                          </w:divBdr>
                          <w:divsChild>
                            <w:div w:id="1993633305">
                              <w:marLeft w:val="0"/>
                              <w:marRight w:val="0"/>
                              <w:marTop w:val="0"/>
                              <w:marBottom w:val="0"/>
                              <w:divBdr>
                                <w:top w:val="none" w:sz="0" w:space="0" w:color="auto"/>
                                <w:left w:val="none" w:sz="0" w:space="0" w:color="auto"/>
                                <w:bottom w:val="none" w:sz="0" w:space="0" w:color="auto"/>
                                <w:right w:val="none" w:sz="0" w:space="0" w:color="auto"/>
                              </w:divBdr>
                              <w:divsChild>
                                <w:div w:id="126349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212996">
      <w:bodyDiv w:val="1"/>
      <w:marLeft w:val="0"/>
      <w:marRight w:val="0"/>
      <w:marTop w:val="0"/>
      <w:marBottom w:val="0"/>
      <w:divBdr>
        <w:top w:val="none" w:sz="0" w:space="0" w:color="auto"/>
        <w:left w:val="none" w:sz="0" w:space="0" w:color="auto"/>
        <w:bottom w:val="none" w:sz="0" w:space="0" w:color="auto"/>
        <w:right w:val="none" w:sz="0" w:space="0" w:color="auto"/>
      </w:divBdr>
    </w:div>
    <w:div w:id="113253298">
      <w:bodyDiv w:val="1"/>
      <w:marLeft w:val="0"/>
      <w:marRight w:val="0"/>
      <w:marTop w:val="0"/>
      <w:marBottom w:val="0"/>
      <w:divBdr>
        <w:top w:val="none" w:sz="0" w:space="0" w:color="auto"/>
        <w:left w:val="none" w:sz="0" w:space="0" w:color="auto"/>
        <w:bottom w:val="none" w:sz="0" w:space="0" w:color="auto"/>
        <w:right w:val="none" w:sz="0" w:space="0" w:color="auto"/>
      </w:divBdr>
    </w:div>
    <w:div w:id="117335659">
      <w:bodyDiv w:val="1"/>
      <w:marLeft w:val="0"/>
      <w:marRight w:val="0"/>
      <w:marTop w:val="0"/>
      <w:marBottom w:val="0"/>
      <w:divBdr>
        <w:top w:val="none" w:sz="0" w:space="0" w:color="auto"/>
        <w:left w:val="none" w:sz="0" w:space="0" w:color="auto"/>
        <w:bottom w:val="none" w:sz="0" w:space="0" w:color="auto"/>
        <w:right w:val="none" w:sz="0" w:space="0" w:color="auto"/>
      </w:divBdr>
      <w:divsChild>
        <w:div w:id="415134348">
          <w:marLeft w:val="0"/>
          <w:marRight w:val="0"/>
          <w:marTop w:val="0"/>
          <w:marBottom w:val="0"/>
          <w:divBdr>
            <w:top w:val="none" w:sz="0" w:space="0" w:color="auto"/>
            <w:left w:val="none" w:sz="0" w:space="0" w:color="auto"/>
            <w:bottom w:val="none" w:sz="0" w:space="0" w:color="auto"/>
            <w:right w:val="none" w:sz="0" w:space="0" w:color="auto"/>
          </w:divBdr>
          <w:divsChild>
            <w:div w:id="498886437">
              <w:marLeft w:val="0"/>
              <w:marRight w:val="0"/>
              <w:marTop w:val="0"/>
              <w:marBottom w:val="0"/>
              <w:divBdr>
                <w:top w:val="none" w:sz="0" w:space="0" w:color="auto"/>
                <w:left w:val="none" w:sz="0" w:space="0" w:color="auto"/>
                <w:bottom w:val="none" w:sz="0" w:space="0" w:color="auto"/>
                <w:right w:val="none" w:sz="0" w:space="0" w:color="auto"/>
              </w:divBdr>
              <w:divsChild>
                <w:div w:id="105855448">
                  <w:marLeft w:val="0"/>
                  <w:marRight w:val="0"/>
                  <w:marTop w:val="0"/>
                  <w:marBottom w:val="0"/>
                  <w:divBdr>
                    <w:top w:val="none" w:sz="0" w:space="0" w:color="auto"/>
                    <w:left w:val="none" w:sz="0" w:space="0" w:color="auto"/>
                    <w:bottom w:val="none" w:sz="0" w:space="0" w:color="auto"/>
                    <w:right w:val="none" w:sz="0" w:space="0" w:color="auto"/>
                  </w:divBdr>
                  <w:divsChild>
                    <w:div w:id="1644576322">
                      <w:marLeft w:val="0"/>
                      <w:marRight w:val="-3225"/>
                      <w:marTop w:val="0"/>
                      <w:marBottom w:val="0"/>
                      <w:divBdr>
                        <w:top w:val="none" w:sz="0" w:space="0" w:color="auto"/>
                        <w:left w:val="none" w:sz="0" w:space="0" w:color="auto"/>
                        <w:bottom w:val="none" w:sz="0" w:space="0" w:color="auto"/>
                        <w:right w:val="none" w:sz="0" w:space="0" w:color="auto"/>
                      </w:divBdr>
                      <w:divsChild>
                        <w:div w:id="1855997559">
                          <w:marLeft w:val="2715"/>
                          <w:marRight w:val="3225"/>
                          <w:marTop w:val="0"/>
                          <w:marBottom w:val="0"/>
                          <w:divBdr>
                            <w:top w:val="none" w:sz="0" w:space="0" w:color="auto"/>
                            <w:left w:val="none" w:sz="0" w:space="0" w:color="auto"/>
                            <w:bottom w:val="none" w:sz="0" w:space="0" w:color="auto"/>
                            <w:right w:val="none" w:sz="0" w:space="0" w:color="auto"/>
                          </w:divBdr>
                          <w:divsChild>
                            <w:div w:id="1666206288">
                              <w:marLeft w:val="300"/>
                              <w:marRight w:val="300"/>
                              <w:marTop w:val="300"/>
                              <w:marBottom w:val="300"/>
                              <w:divBdr>
                                <w:top w:val="none" w:sz="0" w:space="0" w:color="auto"/>
                                <w:left w:val="none" w:sz="0" w:space="0" w:color="auto"/>
                                <w:bottom w:val="dotted" w:sz="6" w:space="15" w:color="666633"/>
                                <w:right w:val="none" w:sz="0" w:space="0" w:color="auto"/>
                              </w:divBdr>
                              <w:divsChild>
                                <w:div w:id="7454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964346">
      <w:bodyDiv w:val="1"/>
      <w:marLeft w:val="0"/>
      <w:marRight w:val="0"/>
      <w:marTop w:val="0"/>
      <w:marBottom w:val="0"/>
      <w:divBdr>
        <w:top w:val="none" w:sz="0" w:space="0" w:color="auto"/>
        <w:left w:val="none" w:sz="0" w:space="0" w:color="auto"/>
        <w:bottom w:val="none" w:sz="0" w:space="0" w:color="auto"/>
        <w:right w:val="none" w:sz="0" w:space="0" w:color="auto"/>
      </w:divBdr>
      <w:divsChild>
        <w:div w:id="439842394">
          <w:marLeft w:val="0"/>
          <w:marRight w:val="0"/>
          <w:marTop w:val="0"/>
          <w:marBottom w:val="0"/>
          <w:divBdr>
            <w:top w:val="none" w:sz="0" w:space="0" w:color="auto"/>
            <w:left w:val="none" w:sz="0" w:space="0" w:color="auto"/>
            <w:bottom w:val="none" w:sz="0" w:space="0" w:color="auto"/>
            <w:right w:val="none" w:sz="0" w:space="0" w:color="auto"/>
          </w:divBdr>
          <w:divsChild>
            <w:div w:id="133258497">
              <w:marLeft w:val="0"/>
              <w:marRight w:val="0"/>
              <w:marTop w:val="0"/>
              <w:marBottom w:val="0"/>
              <w:divBdr>
                <w:top w:val="none" w:sz="0" w:space="0" w:color="auto"/>
                <w:left w:val="none" w:sz="0" w:space="0" w:color="auto"/>
                <w:bottom w:val="none" w:sz="0" w:space="0" w:color="auto"/>
                <w:right w:val="none" w:sz="0" w:space="0" w:color="auto"/>
              </w:divBdr>
              <w:divsChild>
                <w:div w:id="658390000">
                  <w:marLeft w:val="-300"/>
                  <w:marRight w:val="0"/>
                  <w:marTop w:val="0"/>
                  <w:marBottom w:val="0"/>
                  <w:divBdr>
                    <w:top w:val="none" w:sz="0" w:space="0" w:color="auto"/>
                    <w:left w:val="none" w:sz="0" w:space="0" w:color="auto"/>
                    <w:bottom w:val="none" w:sz="0" w:space="0" w:color="auto"/>
                    <w:right w:val="none" w:sz="0" w:space="0" w:color="auto"/>
                  </w:divBdr>
                  <w:divsChild>
                    <w:div w:id="1998263245">
                      <w:marLeft w:val="0"/>
                      <w:marRight w:val="0"/>
                      <w:marTop w:val="0"/>
                      <w:marBottom w:val="0"/>
                      <w:divBdr>
                        <w:top w:val="none" w:sz="0" w:space="0" w:color="auto"/>
                        <w:left w:val="none" w:sz="0" w:space="0" w:color="auto"/>
                        <w:bottom w:val="none" w:sz="0" w:space="0" w:color="auto"/>
                        <w:right w:val="none" w:sz="0" w:space="0" w:color="auto"/>
                      </w:divBdr>
                      <w:divsChild>
                        <w:div w:id="1555654423">
                          <w:marLeft w:val="0"/>
                          <w:marRight w:val="0"/>
                          <w:marTop w:val="0"/>
                          <w:marBottom w:val="0"/>
                          <w:divBdr>
                            <w:top w:val="none" w:sz="0" w:space="0" w:color="auto"/>
                            <w:left w:val="none" w:sz="0" w:space="0" w:color="auto"/>
                            <w:bottom w:val="none" w:sz="0" w:space="0" w:color="auto"/>
                            <w:right w:val="none" w:sz="0" w:space="0" w:color="auto"/>
                          </w:divBdr>
                          <w:divsChild>
                            <w:div w:id="870726439">
                              <w:marLeft w:val="0"/>
                              <w:marRight w:val="0"/>
                              <w:marTop w:val="0"/>
                              <w:marBottom w:val="0"/>
                              <w:divBdr>
                                <w:top w:val="none" w:sz="0" w:space="0" w:color="auto"/>
                                <w:left w:val="none" w:sz="0" w:space="0" w:color="auto"/>
                                <w:bottom w:val="none" w:sz="0" w:space="0" w:color="auto"/>
                                <w:right w:val="none" w:sz="0" w:space="0" w:color="auto"/>
                              </w:divBdr>
                              <w:divsChild>
                                <w:div w:id="139673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308161">
      <w:bodyDiv w:val="1"/>
      <w:marLeft w:val="0"/>
      <w:marRight w:val="0"/>
      <w:marTop w:val="0"/>
      <w:marBottom w:val="0"/>
      <w:divBdr>
        <w:top w:val="none" w:sz="0" w:space="0" w:color="auto"/>
        <w:left w:val="none" w:sz="0" w:space="0" w:color="auto"/>
        <w:bottom w:val="none" w:sz="0" w:space="0" w:color="auto"/>
        <w:right w:val="none" w:sz="0" w:space="0" w:color="auto"/>
      </w:divBdr>
    </w:div>
    <w:div w:id="295112392">
      <w:bodyDiv w:val="1"/>
      <w:marLeft w:val="0"/>
      <w:marRight w:val="0"/>
      <w:marTop w:val="0"/>
      <w:marBottom w:val="0"/>
      <w:divBdr>
        <w:top w:val="none" w:sz="0" w:space="0" w:color="auto"/>
        <w:left w:val="none" w:sz="0" w:space="0" w:color="auto"/>
        <w:bottom w:val="none" w:sz="0" w:space="0" w:color="auto"/>
        <w:right w:val="none" w:sz="0" w:space="0" w:color="auto"/>
      </w:divBdr>
    </w:div>
    <w:div w:id="387799624">
      <w:bodyDiv w:val="1"/>
      <w:marLeft w:val="0"/>
      <w:marRight w:val="0"/>
      <w:marTop w:val="0"/>
      <w:marBottom w:val="0"/>
      <w:divBdr>
        <w:top w:val="none" w:sz="0" w:space="0" w:color="auto"/>
        <w:left w:val="none" w:sz="0" w:space="0" w:color="auto"/>
        <w:bottom w:val="none" w:sz="0" w:space="0" w:color="auto"/>
        <w:right w:val="none" w:sz="0" w:space="0" w:color="auto"/>
      </w:divBdr>
      <w:divsChild>
        <w:div w:id="1700661749">
          <w:marLeft w:val="0"/>
          <w:marRight w:val="0"/>
          <w:marTop w:val="100"/>
          <w:marBottom w:val="100"/>
          <w:divBdr>
            <w:top w:val="none" w:sz="0" w:space="0" w:color="auto"/>
            <w:left w:val="single" w:sz="6" w:space="0" w:color="DDDDDD"/>
            <w:bottom w:val="none" w:sz="0" w:space="0" w:color="auto"/>
            <w:right w:val="single" w:sz="6" w:space="0" w:color="DDDDDD"/>
          </w:divBdr>
          <w:divsChild>
            <w:div w:id="68818871">
              <w:marLeft w:val="0"/>
              <w:marRight w:val="0"/>
              <w:marTop w:val="0"/>
              <w:marBottom w:val="0"/>
              <w:divBdr>
                <w:top w:val="none" w:sz="0" w:space="0" w:color="auto"/>
                <w:left w:val="none" w:sz="0" w:space="0" w:color="auto"/>
                <w:bottom w:val="none" w:sz="0" w:space="0" w:color="auto"/>
                <w:right w:val="none" w:sz="0" w:space="0" w:color="auto"/>
              </w:divBdr>
              <w:divsChild>
                <w:div w:id="1167286806">
                  <w:marLeft w:val="0"/>
                  <w:marRight w:val="0"/>
                  <w:marTop w:val="0"/>
                  <w:marBottom w:val="0"/>
                  <w:divBdr>
                    <w:top w:val="none" w:sz="0" w:space="0" w:color="auto"/>
                    <w:left w:val="none" w:sz="0" w:space="0" w:color="auto"/>
                    <w:bottom w:val="none" w:sz="0" w:space="0" w:color="auto"/>
                    <w:right w:val="none" w:sz="0" w:space="0" w:color="auto"/>
                  </w:divBdr>
                  <w:divsChild>
                    <w:div w:id="114913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790808">
      <w:bodyDiv w:val="1"/>
      <w:marLeft w:val="0"/>
      <w:marRight w:val="0"/>
      <w:marTop w:val="0"/>
      <w:marBottom w:val="0"/>
      <w:divBdr>
        <w:top w:val="none" w:sz="0" w:space="0" w:color="auto"/>
        <w:left w:val="none" w:sz="0" w:space="0" w:color="auto"/>
        <w:bottom w:val="none" w:sz="0" w:space="0" w:color="auto"/>
        <w:right w:val="none" w:sz="0" w:space="0" w:color="auto"/>
      </w:divBdr>
    </w:div>
    <w:div w:id="402683385">
      <w:bodyDiv w:val="1"/>
      <w:marLeft w:val="0"/>
      <w:marRight w:val="0"/>
      <w:marTop w:val="0"/>
      <w:marBottom w:val="0"/>
      <w:divBdr>
        <w:top w:val="none" w:sz="0" w:space="0" w:color="auto"/>
        <w:left w:val="none" w:sz="0" w:space="0" w:color="auto"/>
        <w:bottom w:val="none" w:sz="0" w:space="0" w:color="auto"/>
        <w:right w:val="none" w:sz="0" w:space="0" w:color="auto"/>
      </w:divBdr>
      <w:divsChild>
        <w:div w:id="800149490">
          <w:marLeft w:val="0"/>
          <w:marRight w:val="0"/>
          <w:marTop w:val="0"/>
          <w:marBottom w:val="0"/>
          <w:divBdr>
            <w:top w:val="none" w:sz="0" w:space="0" w:color="auto"/>
            <w:left w:val="none" w:sz="0" w:space="0" w:color="auto"/>
            <w:bottom w:val="none" w:sz="0" w:space="0" w:color="auto"/>
            <w:right w:val="none" w:sz="0" w:space="0" w:color="auto"/>
          </w:divBdr>
          <w:divsChild>
            <w:div w:id="1275821800">
              <w:marLeft w:val="0"/>
              <w:marRight w:val="0"/>
              <w:marTop w:val="0"/>
              <w:marBottom w:val="0"/>
              <w:divBdr>
                <w:top w:val="none" w:sz="0" w:space="0" w:color="auto"/>
                <w:left w:val="none" w:sz="0" w:space="0" w:color="auto"/>
                <w:bottom w:val="none" w:sz="0" w:space="0" w:color="auto"/>
                <w:right w:val="none" w:sz="0" w:space="0" w:color="auto"/>
              </w:divBdr>
              <w:divsChild>
                <w:div w:id="283276365">
                  <w:marLeft w:val="0"/>
                  <w:marRight w:val="0"/>
                  <w:marTop w:val="270"/>
                  <w:marBottom w:val="270"/>
                  <w:divBdr>
                    <w:top w:val="none" w:sz="0" w:space="0" w:color="auto"/>
                    <w:left w:val="none" w:sz="0" w:space="0" w:color="auto"/>
                    <w:bottom w:val="none" w:sz="0" w:space="0" w:color="auto"/>
                    <w:right w:val="none" w:sz="0" w:space="0" w:color="auto"/>
                  </w:divBdr>
                  <w:divsChild>
                    <w:div w:id="7740597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443231203">
      <w:bodyDiv w:val="1"/>
      <w:marLeft w:val="0"/>
      <w:marRight w:val="0"/>
      <w:marTop w:val="0"/>
      <w:marBottom w:val="0"/>
      <w:divBdr>
        <w:top w:val="none" w:sz="0" w:space="0" w:color="auto"/>
        <w:left w:val="none" w:sz="0" w:space="0" w:color="auto"/>
        <w:bottom w:val="none" w:sz="0" w:space="0" w:color="auto"/>
        <w:right w:val="none" w:sz="0" w:space="0" w:color="auto"/>
      </w:divBdr>
    </w:div>
    <w:div w:id="478692834">
      <w:bodyDiv w:val="1"/>
      <w:marLeft w:val="0"/>
      <w:marRight w:val="0"/>
      <w:marTop w:val="0"/>
      <w:marBottom w:val="0"/>
      <w:divBdr>
        <w:top w:val="none" w:sz="0" w:space="0" w:color="auto"/>
        <w:left w:val="none" w:sz="0" w:space="0" w:color="auto"/>
        <w:bottom w:val="none" w:sz="0" w:space="0" w:color="auto"/>
        <w:right w:val="none" w:sz="0" w:space="0" w:color="auto"/>
      </w:divBdr>
      <w:divsChild>
        <w:div w:id="684790446">
          <w:marLeft w:val="0"/>
          <w:marRight w:val="0"/>
          <w:marTop w:val="0"/>
          <w:marBottom w:val="0"/>
          <w:divBdr>
            <w:top w:val="none" w:sz="0" w:space="0" w:color="auto"/>
            <w:left w:val="none" w:sz="0" w:space="0" w:color="auto"/>
            <w:bottom w:val="none" w:sz="0" w:space="0" w:color="auto"/>
            <w:right w:val="none" w:sz="0" w:space="0" w:color="auto"/>
          </w:divBdr>
          <w:divsChild>
            <w:div w:id="1009790073">
              <w:marLeft w:val="0"/>
              <w:marRight w:val="0"/>
              <w:marTop w:val="0"/>
              <w:marBottom w:val="0"/>
              <w:divBdr>
                <w:top w:val="none" w:sz="0" w:space="0" w:color="auto"/>
                <w:left w:val="none" w:sz="0" w:space="0" w:color="auto"/>
                <w:bottom w:val="none" w:sz="0" w:space="0" w:color="auto"/>
                <w:right w:val="none" w:sz="0" w:space="0" w:color="auto"/>
              </w:divBdr>
              <w:divsChild>
                <w:div w:id="599021679">
                  <w:marLeft w:val="0"/>
                  <w:marRight w:val="0"/>
                  <w:marTop w:val="0"/>
                  <w:marBottom w:val="0"/>
                  <w:divBdr>
                    <w:top w:val="none" w:sz="0" w:space="0" w:color="auto"/>
                    <w:left w:val="none" w:sz="0" w:space="0" w:color="auto"/>
                    <w:bottom w:val="none" w:sz="0" w:space="0" w:color="auto"/>
                    <w:right w:val="none" w:sz="0" w:space="0" w:color="auto"/>
                  </w:divBdr>
                  <w:divsChild>
                    <w:div w:id="1947469298">
                      <w:marLeft w:val="0"/>
                      <w:marRight w:val="0"/>
                      <w:marTop w:val="0"/>
                      <w:marBottom w:val="0"/>
                      <w:divBdr>
                        <w:top w:val="none" w:sz="0" w:space="0" w:color="auto"/>
                        <w:left w:val="none" w:sz="0" w:space="0" w:color="auto"/>
                        <w:bottom w:val="none" w:sz="0" w:space="0" w:color="auto"/>
                        <w:right w:val="none" w:sz="0" w:space="0" w:color="auto"/>
                      </w:divBdr>
                      <w:divsChild>
                        <w:div w:id="1427772854">
                          <w:marLeft w:val="0"/>
                          <w:marRight w:val="0"/>
                          <w:marTop w:val="0"/>
                          <w:marBottom w:val="0"/>
                          <w:divBdr>
                            <w:top w:val="none" w:sz="0" w:space="0" w:color="auto"/>
                            <w:left w:val="none" w:sz="0" w:space="0" w:color="auto"/>
                            <w:bottom w:val="none" w:sz="0" w:space="0" w:color="auto"/>
                            <w:right w:val="none" w:sz="0" w:space="0" w:color="auto"/>
                          </w:divBdr>
                          <w:divsChild>
                            <w:div w:id="116798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0274378">
      <w:bodyDiv w:val="1"/>
      <w:marLeft w:val="0"/>
      <w:marRight w:val="0"/>
      <w:marTop w:val="0"/>
      <w:marBottom w:val="0"/>
      <w:divBdr>
        <w:top w:val="none" w:sz="0" w:space="0" w:color="auto"/>
        <w:left w:val="none" w:sz="0" w:space="0" w:color="auto"/>
        <w:bottom w:val="none" w:sz="0" w:space="0" w:color="auto"/>
        <w:right w:val="none" w:sz="0" w:space="0" w:color="auto"/>
      </w:divBdr>
    </w:div>
    <w:div w:id="485628580">
      <w:bodyDiv w:val="1"/>
      <w:marLeft w:val="0"/>
      <w:marRight w:val="0"/>
      <w:marTop w:val="0"/>
      <w:marBottom w:val="0"/>
      <w:divBdr>
        <w:top w:val="none" w:sz="0" w:space="0" w:color="auto"/>
        <w:left w:val="none" w:sz="0" w:space="0" w:color="auto"/>
        <w:bottom w:val="none" w:sz="0" w:space="0" w:color="auto"/>
        <w:right w:val="none" w:sz="0" w:space="0" w:color="auto"/>
      </w:divBdr>
    </w:div>
    <w:div w:id="571895577">
      <w:bodyDiv w:val="1"/>
      <w:marLeft w:val="0"/>
      <w:marRight w:val="0"/>
      <w:marTop w:val="0"/>
      <w:marBottom w:val="0"/>
      <w:divBdr>
        <w:top w:val="none" w:sz="0" w:space="0" w:color="auto"/>
        <w:left w:val="none" w:sz="0" w:space="0" w:color="auto"/>
        <w:bottom w:val="none" w:sz="0" w:space="0" w:color="auto"/>
        <w:right w:val="none" w:sz="0" w:space="0" w:color="auto"/>
      </w:divBdr>
    </w:div>
    <w:div w:id="628097814">
      <w:bodyDiv w:val="1"/>
      <w:marLeft w:val="0"/>
      <w:marRight w:val="0"/>
      <w:marTop w:val="0"/>
      <w:marBottom w:val="0"/>
      <w:divBdr>
        <w:top w:val="none" w:sz="0" w:space="0" w:color="auto"/>
        <w:left w:val="none" w:sz="0" w:space="0" w:color="auto"/>
        <w:bottom w:val="none" w:sz="0" w:space="0" w:color="auto"/>
        <w:right w:val="none" w:sz="0" w:space="0" w:color="auto"/>
      </w:divBdr>
    </w:div>
    <w:div w:id="713850361">
      <w:bodyDiv w:val="1"/>
      <w:marLeft w:val="0"/>
      <w:marRight w:val="0"/>
      <w:marTop w:val="0"/>
      <w:marBottom w:val="0"/>
      <w:divBdr>
        <w:top w:val="none" w:sz="0" w:space="0" w:color="auto"/>
        <w:left w:val="none" w:sz="0" w:space="0" w:color="auto"/>
        <w:bottom w:val="none" w:sz="0" w:space="0" w:color="auto"/>
        <w:right w:val="none" w:sz="0" w:space="0" w:color="auto"/>
      </w:divBdr>
      <w:divsChild>
        <w:div w:id="1136411040">
          <w:marLeft w:val="0"/>
          <w:marRight w:val="0"/>
          <w:marTop w:val="0"/>
          <w:marBottom w:val="0"/>
          <w:divBdr>
            <w:top w:val="none" w:sz="0" w:space="0" w:color="auto"/>
            <w:left w:val="none" w:sz="0" w:space="0" w:color="auto"/>
            <w:bottom w:val="none" w:sz="0" w:space="0" w:color="auto"/>
            <w:right w:val="none" w:sz="0" w:space="0" w:color="auto"/>
          </w:divBdr>
          <w:divsChild>
            <w:div w:id="1481120945">
              <w:marLeft w:val="0"/>
              <w:marRight w:val="0"/>
              <w:marTop w:val="0"/>
              <w:marBottom w:val="0"/>
              <w:divBdr>
                <w:top w:val="none" w:sz="0" w:space="0" w:color="auto"/>
                <w:left w:val="none" w:sz="0" w:space="0" w:color="auto"/>
                <w:bottom w:val="none" w:sz="0" w:space="0" w:color="auto"/>
                <w:right w:val="none" w:sz="0" w:space="0" w:color="auto"/>
              </w:divBdr>
              <w:divsChild>
                <w:div w:id="1110010643">
                  <w:marLeft w:val="-300"/>
                  <w:marRight w:val="0"/>
                  <w:marTop w:val="0"/>
                  <w:marBottom w:val="0"/>
                  <w:divBdr>
                    <w:top w:val="none" w:sz="0" w:space="0" w:color="auto"/>
                    <w:left w:val="none" w:sz="0" w:space="0" w:color="auto"/>
                    <w:bottom w:val="none" w:sz="0" w:space="0" w:color="auto"/>
                    <w:right w:val="none" w:sz="0" w:space="0" w:color="auto"/>
                  </w:divBdr>
                  <w:divsChild>
                    <w:div w:id="1441990011">
                      <w:marLeft w:val="0"/>
                      <w:marRight w:val="0"/>
                      <w:marTop w:val="0"/>
                      <w:marBottom w:val="0"/>
                      <w:divBdr>
                        <w:top w:val="none" w:sz="0" w:space="0" w:color="auto"/>
                        <w:left w:val="none" w:sz="0" w:space="0" w:color="auto"/>
                        <w:bottom w:val="none" w:sz="0" w:space="0" w:color="auto"/>
                        <w:right w:val="none" w:sz="0" w:space="0" w:color="auto"/>
                      </w:divBdr>
                      <w:divsChild>
                        <w:div w:id="1399789962">
                          <w:marLeft w:val="0"/>
                          <w:marRight w:val="0"/>
                          <w:marTop w:val="0"/>
                          <w:marBottom w:val="0"/>
                          <w:divBdr>
                            <w:top w:val="none" w:sz="0" w:space="0" w:color="auto"/>
                            <w:left w:val="none" w:sz="0" w:space="0" w:color="auto"/>
                            <w:bottom w:val="none" w:sz="0" w:space="0" w:color="auto"/>
                            <w:right w:val="none" w:sz="0" w:space="0" w:color="auto"/>
                          </w:divBdr>
                          <w:divsChild>
                            <w:div w:id="1918978005">
                              <w:marLeft w:val="0"/>
                              <w:marRight w:val="0"/>
                              <w:marTop w:val="0"/>
                              <w:marBottom w:val="0"/>
                              <w:divBdr>
                                <w:top w:val="none" w:sz="0" w:space="0" w:color="auto"/>
                                <w:left w:val="none" w:sz="0" w:space="0" w:color="auto"/>
                                <w:bottom w:val="none" w:sz="0" w:space="0" w:color="auto"/>
                                <w:right w:val="none" w:sz="0" w:space="0" w:color="auto"/>
                              </w:divBdr>
                              <w:divsChild>
                                <w:div w:id="1397780958">
                                  <w:marLeft w:val="0"/>
                                  <w:marRight w:val="0"/>
                                  <w:marTop w:val="0"/>
                                  <w:marBottom w:val="0"/>
                                  <w:divBdr>
                                    <w:top w:val="none" w:sz="0" w:space="0" w:color="auto"/>
                                    <w:left w:val="none" w:sz="0" w:space="0" w:color="auto"/>
                                    <w:bottom w:val="none" w:sz="0" w:space="0" w:color="auto"/>
                                    <w:right w:val="none" w:sz="0" w:space="0" w:color="auto"/>
                                  </w:divBdr>
                                </w:div>
                                <w:div w:id="183422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2685508">
      <w:bodyDiv w:val="1"/>
      <w:marLeft w:val="0"/>
      <w:marRight w:val="0"/>
      <w:marTop w:val="0"/>
      <w:marBottom w:val="0"/>
      <w:divBdr>
        <w:top w:val="none" w:sz="0" w:space="0" w:color="auto"/>
        <w:left w:val="none" w:sz="0" w:space="0" w:color="auto"/>
        <w:bottom w:val="none" w:sz="0" w:space="0" w:color="auto"/>
        <w:right w:val="none" w:sz="0" w:space="0" w:color="auto"/>
      </w:divBdr>
    </w:div>
    <w:div w:id="758646643">
      <w:bodyDiv w:val="1"/>
      <w:marLeft w:val="0"/>
      <w:marRight w:val="0"/>
      <w:marTop w:val="0"/>
      <w:marBottom w:val="0"/>
      <w:divBdr>
        <w:top w:val="none" w:sz="0" w:space="0" w:color="auto"/>
        <w:left w:val="none" w:sz="0" w:space="0" w:color="auto"/>
        <w:bottom w:val="none" w:sz="0" w:space="0" w:color="auto"/>
        <w:right w:val="none" w:sz="0" w:space="0" w:color="auto"/>
      </w:divBdr>
    </w:div>
    <w:div w:id="845944417">
      <w:bodyDiv w:val="1"/>
      <w:marLeft w:val="0"/>
      <w:marRight w:val="0"/>
      <w:marTop w:val="0"/>
      <w:marBottom w:val="0"/>
      <w:divBdr>
        <w:top w:val="none" w:sz="0" w:space="0" w:color="auto"/>
        <w:left w:val="none" w:sz="0" w:space="0" w:color="auto"/>
        <w:bottom w:val="none" w:sz="0" w:space="0" w:color="auto"/>
        <w:right w:val="none" w:sz="0" w:space="0" w:color="auto"/>
      </w:divBdr>
      <w:divsChild>
        <w:div w:id="1664357452">
          <w:marLeft w:val="0"/>
          <w:marRight w:val="0"/>
          <w:marTop w:val="0"/>
          <w:marBottom w:val="0"/>
          <w:divBdr>
            <w:top w:val="none" w:sz="0" w:space="0" w:color="auto"/>
            <w:left w:val="none" w:sz="0" w:space="0" w:color="auto"/>
            <w:bottom w:val="none" w:sz="0" w:space="0" w:color="auto"/>
            <w:right w:val="none" w:sz="0" w:space="0" w:color="auto"/>
          </w:divBdr>
          <w:divsChild>
            <w:div w:id="646594467">
              <w:marLeft w:val="0"/>
              <w:marRight w:val="0"/>
              <w:marTop w:val="0"/>
              <w:marBottom w:val="0"/>
              <w:divBdr>
                <w:top w:val="none" w:sz="0" w:space="0" w:color="auto"/>
                <w:left w:val="none" w:sz="0" w:space="0" w:color="auto"/>
                <w:bottom w:val="none" w:sz="0" w:space="0" w:color="auto"/>
                <w:right w:val="none" w:sz="0" w:space="0" w:color="auto"/>
              </w:divBdr>
              <w:divsChild>
                <w:div w:id="151676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375842">
      <w:bodyDiv w:val="1"/>
      <w:marLeft w:val="0"/>
      <w:marRight w:val="0"/>
      <w:marTop w:val="0"/>
      <w:marBottom w:val="0"/>
      <w:divBdr>
        <w:top w:val="none" w:sz="0" w:space="0" w:color="auto"/>
        <w:left w:val="none" w:sz="0" w:space="0" w:color="auto"/>
        <w:bottom w:val="none" w:sz="0" w:space="0" w:color="auto"/>
        <w:right w:val="none" w:sz="0" w:space="0" w:color="auto"/>
      </w:divBdr>
      <w:divsChild>
        <w:div w:id="1319845430">
          <w:marLeft w:val="0"/>
          <w:marRight w:val="0"/>
          <w:marTop w:val="0"/>
          <w:marBottom w:val="0"/>
          <w:divBdr>
            <w:top w:val="none" w:sz="0" w:space="0" w:color="auto"/>
            <w:left w:val="none" w:sz="0" w:space="0" w:color="auto"/>
            <w:bottom w:val="none" w:sz="0" w:space="0" w:color="auto"/>
            <w:right w:val="none" w:sz="0" w:space="0" w:color="auto"/>
          </w:divBdr>
          <w:divsChild>
            <w:div w:id="1322856370">
              <w:marLeft w:val="0"/>
              <w:marRight w:val="0"/>
              <w:marTop w:val="0"/>
              <w:marBottom w:val="0"/>
              <w:divBdr>
                <w:top w:val="none" w:sz="0" w:space="0" w:color="auto"/>
                <w:left w:val="none" w:sz="0" w:space="0" w:color="auto"/>
                <w:bottom w:val="none" w:sz="0" w:space="0" w:color="auto"/>
                <w:right w:val="none" w:sz="0" w:space="0" w:color="auto"/>
              </w:divBdr>
              <w:divsChild>
                <w:div w:id="1171290019">
                  <w:marLeft w:val="-300"/>
                  <w:marRight w:val="0"/>
                  <w:marTop w:val="0"/>
                  <w:marBottom w:val="0"/>
                  <w:divBdr>
                    <w:top w:val="none" w:sz="0" w:space="0" w:color="auto"/>
                    <w:left w:val="none" w:sz="0" w:space="0" w:color="auto"/>
                    <w:bottom w:val="none" w:sz="0" w:space="0" w:color="auto"/>
                    <w:right w:val="none" w:sz="0" w:space="0" w:color="auto"/>
                  </w:divBdr>
                  <w:divsChild>
                    <w:div w:id="1635065593">
                      <w:marLeft w:val="0"/>
                      <w:marRight w:val="0"/>
                      <w:marTop w:val="0"/>
                      <w:marBottom w:val="0"/>
                      <w:divBdr>
                        <w:top w:val="none" w:sz="0" w:space="0" w:color="auto"/>
                        <w:left w:val="none" w:sz="0" w:space="0" w:color="auto"/>
                        <w:bottom w:val="none" w:sz="0" w:space="0" w:color="auto"/>
                        <w:right w:val="none" w:sz="0" w:space="0" w:color="auto"/>
                      </w:divBdr>
                      <w:divsChild>
                        <w:div w:id="244803093">
                          <w:marLeft w:val="0"/>
                          <w:marRight w:val="0"/>
                          <w:marTop w:val="0"/>
                          <w:marBottom w:val="0"/>
                          <w:divBdr>
                            <w:top w:val="none" w:sz="0" w:space="0" w:color="auto"/>
                            <w:left w:val="none" w:sz="0" w:space="0" w:color="auto"/>
                            <w:bottom w:val="none" w:sz="0" w:space="0" w:color="auto"/>
                            <w:right w:val="none" w:sz="0" w:space="0" w:color="auto"/>
                          </w:divBdr>
                          <w:divsChild>
                            <w:div w:id="349839886">
                              <w:marLeft w:val="0"/>
                              <w:marRight w:val="0"/>
                              <w:marTop w:val="0"/>
                              <w:marBottom w:val="0"/>
                              <w:divBdr>
                                <w:top w:val="none" w:sz="0" w:space="0" w:color="auto"/>
                                <w:left w:val="none" w:sz="0" w:space="0" w:color="auto"/>
                                <w:bottom w:val="none" w:sz="0" w:space="0" w:color="auto"/>
                                <w:right w:val="none" w:sz="0" w:space="0" w:color="auto"/>
                              </w:divBdr>
                              <w:divsChild>
                                <w:div w:id="759719955">
                                  <w:marLeft w:val="0"/>
                                  <w:marRight w:val="0"/>
                                  <w:marTop w:val="0"/>
                                  <w:marBottom w:val="0"/>
                                  <w:divBdr>
                                    <w:top w:val="none" w:sz="0" w:space="0" w:color="auto"/>
                                    <w:left w:val="none" w:sz="0" w:space="0" w:color="auto"/>
                                    <w:bottom w:val="none" w:sz="0" w:space="0" w:color="auto"/>
                                    <w:right w:val="none" w:sz="0" w:space="0" w:color="auto"/>
                                  </w:divBdr>
                                </w:div>
                                <w:div w:id="143170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0480990">
      <w:bodyDiv w:val="1"/>
      <w:marLeft w:val="0"/>
      <w:marRight w:val="0"/>
      <w:marTop w:val="0"/>
      <w:marBottom w:val="0"/>
      <w:divBdr>
        <w:top w:val="none" w:sz="0" w:space="0" w:color="auto"/>
        <w:left w:val="none" w:sz="0" w:space="0" w:color="auto"/>
        <w:bottom w:val="none" w:sz="0" w:space="0" w:color="auto"/>
        <w:right w:val="none" w:sz="0" w:space="0" w:color="auto"/>
      </w:divBdr>
    </w:div>
    <w:div w:id="951594938">
      <w:bodyDiv w:val="1"/>
      <w:marLeft w:val="0"/>
      <w:marRight w:val="0"/>
      <w:marTop w:val="0"/>
      <w:marBottom w:val="0"/>
      <w:divBdr>
        <w:top w:val="none" w:sz="0" w:space="0" w:color="auto"/>
        <w:left w:val="none" w:sz="0" w:space="0" w:color="auto"/>
        <w:bottom w:val="none" w:sz="0" w:space="0" w:color="auto"/>
        <w:right w:val="none" w:sz="0" w:space="0" w:color="auto"/>
      </w:divBdr>
    </w:div>
    <w:div w:id="983700996">
      <w:bodyDiv w:val="1"/>
      <w:marLeft w:val="0"/>
      <w:marRight w:val="0"/>
      <w:marTop w:val="0"/>
      <w:marBottom w:val="0"/>
      <w:divBdr>
        <w:top w:val="none" w:sz="0" w:space="0" w:color="auto"/>
        <w:left w:val="none" w:sz="0" w:space="0" w:color="auto"/>
        <w:bottom w:val="none" w:sz="0" w:space="0" w:color="auto"/>
        <w:right w:val="none" w:sz="0" w:space="0" w:color="auto"/>
      </w:divBdr>
      <w:divsChild>
        <w:div w:id="338972959">
          <w:marLeft w:val="547"/>
          <w:marRight w:val="0"/>
          <w:marTop w:val="96"/>
          <w:marBottom w:val="0"/>
          <w:divBdr>
            <w:top w:val="none" w:sz="0" w:space="0" w:color="auto"/>
            <w:left w:val="none" w:sz="0" w:space="0" w:color="auto"/>
            <w:bottom w:val="none" w:sz="0" w:space="0" w:color="auto"/>
            <w:right w:val="none" w:sz="0" w:space="0" w:color="auto"/>
          </w:divBdr>
        </w:div>
        <w:div w:id="1071735686">
          <w:marLeft w:val="547"/>
          <w:marRight w:val="0"/>
          <w:marTop w:val="96"/>
          <w:marBottom w:val="0"/>
          <w:divBdr>
            <w:top w:val="none" w:sz="0" w:space="0" w:color="auto"/>
            <w:left w:val="none" w:sz="0" w:space="0" w:color="auto"/>
            <w:bottom w:val="none" w:sz="0" w:space="0" w:color="auto"/>
            <w:right w:val="none" w:sz="0" w:space="0" w:color="auto"/>
          </w:divBdr>
        </w:div>
        <w:div w:id="1072192503">
          <w:marLeft w:val="547"/>
          <w:marRight w:val="0"/>
          <w:marTop w:val="96"/>
          <w:marBottom w:val="0"/>
          <w:divBdr>
            <w:top w:val="none" w:sz="0" w:space="0" w:color="auto"/>
            <w:left w:val="none" w:sz="0" w:space="0" w:color="auto"/>
            <w:bottom w:val="none" w:sz="0" w:space="0" w:color="auto"/>
            <w:right w:val="none" w:sz="0" w:space="0" w:color="auto"/>
          </w:divBdr>
        </w:div>
        <w:div w:id="1120143848">
          <w:marLeft w:val="547"/>
          <w:marRight w:val="0"/>
          <w:marTop w:val="96"/>
          <w:marBottom w:val="0"/>
          <w:divBdr>
            <w:top w:val="none" w:sz="0" w:space="0" w:color="auto"/>
            <w:left w:val="none" w:sz="0" w:space="0" w:color="auto"/>
            <w:bottom w:val="none" w:sz="0" w:space="0" w:color="auto"/>
            <w:right w:val="none" w:sz="0" w:space="0" w:color="auto"/>
          </w:divBdr>
        </w:div>
        <w:div w:id="2134521978">
          <w:marLeft w:val="547"/>
          <w:marRight w:val="0"/>
          <w:marTop w:val="96"/>
          <w:marBottom w:val="0"/>
          <w:divBdr>
            <w:top w:val="none" w:sz="0" w:space="0" w:color="auto"/>
            <w:left w:val="none" w:sz="0" w:space="0" w:color="auto"/>
            <w:bottom w:val="none" w:sz="0" w:space="0" w:color="auto"/>
            <w:right w:val="none" w:sz="0" w:space="0" w:color="auto"/>
          </w:divBdr>
        </w:div>
      </w:divsChild>
    </w:div>
    <w:div w:id="990988773">
      <w:bodyDiv w:val="1"/>
      <w:marLeft w:val="0"/>
      <w:marRight w:val="0"/>
      <w:marTop w:val="0"/>
      <w:marBottom w:val="0"/>
      <w:divBdr>
        <w:top w:val="none" w:sz="0" w:space="0" w:color="auto"/>
        <w:left w:val="none" w:sz="0" w:space="0" w:color="auto"/>
        <w:bottom w:val="none" w:sz="0" w:space="0" w:color="auto"/>
        <w:right w:val="none" w:sz="0" w:space="0" w:color="auto"/>
      </w:divBdr>
    </w:div>
    <w:div w:id="1027490876">
      <w:bodyDiv w:val="1"/>
      <w:marLeft w:val="0"/>
      <w:marRight w:val="0"/>
      <w:marTop w:val="0"/>
      <w:marBottom w:val="0"/>
      <w:divBdr>
        <w:top w:val="none" w:sz="0" w:space="0" w:color="auto"/>
        <w:left w:val="none" w:sz="0" w:space="0" w:color="auto"/>
        <w:bottom w:val="none" w:sz="0" w:space="0" w:color="auto"/>
        <w:right w:val="none" w:sz="0" w:space="0" w:color="auto"/>
      </w:divBdr>
    </w:div>
    <w:div w:id="1033577682">
      <w:bodyDiv w:val="1"/>
      <w:marLeft w:val="0"/>
      <w:marRight w:val="0"/>
      <w:marTop w:val="0"/>
      <w:marBottom w:val="0"/>
      <w:divBdr>
        <w:top w:val="none" w:sz="0" w:space="0" w:color="auto"/>
        <w:left w:val="none" w:sz="0" w:space="0" w:color="auto"/>
        <w:bottom w:val="none" w:sz="0" w:space="0" w:color="auto"/>
        <w:right w:val="none" w:sz="0" w:space="0" w:color="auto"/>
      </w:divBdr>
    </w:div>
    <w:div w:id="1042048502">
      <w:bodyDiv w:val="1"/>
      <w:marLeft w:val="0"/>
      <w:marRight w:val="0"/>
      <w:marTop w:val="0"/>
      <w:marBottom w:val="0"/>
      <w:divBdr>
        <w:top w:val="none" w:sz="0" w:space="0" w:color="auto"/>
        <w:left w:val="none" w:sz="0" w:space="0" w:color="auto"/>
        <w:bottom w:val="none" w:sz="0" w:space="0" w:color="auto"/>
        <w:right w:val="none" w:sz="0" w:space="0" w:color="auto"/>
      </w:divBdr>
    </w:div>
    <w:div w:id="1051809526">
      <w:bodyDiv w:val="1"/>
      <w:marLeft w:val="0"/>
      <w:marRight w:val="0"/>
      <w:marTop w:val="0"/>
      <w:marBottom w:val="0"/>
      <w:divBdr>
        <w:top w:val="none" w:sz="0" w:space="0" w:color="auto"/>
        <w:left w:val="none" w:sz="0" w:space="0" w:color="auto"/>
        <w:bottom w:val="none" w:sz="0" w:space="0" w:color="auto"/>
        <w:right w:val="none" w:sz="0" w:space="0" w:color="auto"/>
      </w:divBdr>
      <w:divsChild>
        <w:div w:id="13046690">
          <w:marLeft w:val="0"/>
          <w:marRight w:val="0"/>
          <w:marTop w:val="0"/>
          <w:marBottom w:val="0"/>
          <w:divBdr>
            <w:top w:val="none" w:sz="0" w:space="0" w:color="auto"/>
            <w:left w:val="none" w:sz="0" w:space="0" w:color="auto"/>
            <w:bottom w:val="none" w:sz="0" w:space="0" w:color="auto"/>
            <w:right w:val="none" w:sz="0" w:space="0" w:color="auto"/>
          </w:divBdr>
          <w:divsChild>
            <w:div w:id="288629816">
              <w:marLeft w:val="0"/>
              <w:marRight w:val="0"/>
              <w:marTop w:val="0"/>
              <w:marBottom w:val="0"/>
              <w:divBdr>
                <w:top w:val="none" w:sz="0" w:space="0" w:color="auto"/>
                <w:left w:val="none" w:sz="0" w:space="0" w:color="auto"/>
                <w:bottom w:val="none" w:sz="0" w:space="0" w:color="auto"/>
                <w:right w:val="none" w:sz="0" w:space="0" w:color="auto"/>
              </w:divBdr>
              <w:divsChild>
                <w:div w:id="71971524">
                  <w:marLeft w:val="0"/>
                  <w:marRight w:val="0"/>
                  <w:marTop w:val="0"/>
                  <w:marBottom w:val="0"/>
                  <w:divBdr>
                    <w:top w:val="none" w:sz="0" w:space="0" w:color="auto"/>
                    <w:left w:val="none" w:sz="0" w:space="0" w:color="auto"/>
                    <w:bottom w:val="none" w:sz="0" w:space="0" w:color="auto"/>
                    <w:right w:val="none" w:sz="0" w:space="0" w:color="auto"/>
                  </w:divBdr>
                  <w:divsChild>
                    <w:div w:id="1010713691">
                      <w:marLeft w:val="0"/>
                      <w:marRight w:val="0"/>
                      <w:marTop w:val="0"/>
                      <w:marBottom w:val="0"/>
                      <w:divBdr>
                        <w:top w:val="none" w:sz="0" w:space="0" w:color="auto"/>
                        <w:left w:val="none" w:sz="0" w:space="0" w:color="auto"/>
                        <w:bottom w:val="none" w:sz="0" w:space="0" w:color="auto"/>
                        <w:right w:val="none" w:sz="0" w:space="0" w:color="auto"/>
                      </w:divBdr>
                      <w:divsChild>
                        <w:div w:id="1410077222">
                          <w:marLeft w:val="0"/>
                          <w:marRight w:val="0"/>
                          <w:marTop w:val="0"/>
                          <w:marBottom w:val="0"/>
                          <w:divBdr>
                            <w:top w:val="none" w:sz="0" w:space="0" w:color="auto"/>
                            <w:left w:val="none" w:sz="0" w:space="0" w:color="auto"/>
                            <w:bottom w:val="none" w:sz="0" w:space="0" w:color="auto"/>
                            <w:right w:val="none" w:sz="0" w:space="0" w:color="auto"/>
                          </w:divBdr>
                          <w:divsChild>
                            <w:div w:id="177924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024048">
      <w:bodyDiv w:val="1"/>
      <w:marLeft w:val="0"/>
      <w:marRight w:val="0"/>
      <w:marTop w:val="0"/>
      <w:marBottom w:val="0"/>
      <w:divBdr>
        <w:top w:val="none" w:sz="0" w:space="0" w:color="auto"/>
        <w:left w:val="none" w:sz="0" w:space="0" w:color="auto"/>
        <w:bottom w:val="none" w:sz="0" w:space="0" w:color="auto"/>
        <w:right w:val="none" w:sz="0" w:space="0" w:color="auto"/>
      </w:divBdr>
    </w:div>
    <w:div w:id="1176385559">
      <w:bodyDiv w:val="1"/>
      <w:marLeft w:val="0"/>
      <w:marRight w:val="0"/>
      <w:marTop w:val="0"/>
      <w:marBottom w:val="0"/>
      <w:divBdr>
        <w:top w:val="none" w:sz="0" w:space="0" w:color="auto"/>
        <w:left w:val="none" w:sz="0" w:space="0" w:color="auto"/>
        <w:bottom w:val="none" w:sz="0" w:space="0" w:color="auto"/>
        <w:right w:val="none" w:sz="0" w:space="0" w:color="auto"/>
      </w:divBdr>
    </w:div>
    <w:div w:id="1196384668">
      <w:bodyDiv w:val="1"/>
      <w:marLeft w:val="0"/>
      <w:marRight w:val="0"/>
      <w:marTop w:val="0"/>
      <w:marBottom w:val="0"/>
      <w:divBdr>
        <w:top w:val="none" w:sz="0" w:space="0" w:color="auto"/>
        <w:left w:val="none" w:sz="0" w:space="0" w:color="auto"/>
        <w:bottom w:val="none" w:sz="0" w:space="0" w:color="auto"/>
        <w:right w:val="none" w:sz="0" w:space="0" w:color="auto"/>
      </w:divBdr>
    </w:div>
    <w:div w:id="1249148862">
      <w:bodyDiv w:val="1"/>
      <w:marLeft w:val="0"/>
      <w:marRight w:val="0"/>
      <w:marTop w:val="0"/>
      <w:marBottom w:val="0"/>
      <w:divBdr>
        <w:top w:val="none" w:sz="0" w:space="0" w:color="auto"/>
        <w:left w:val="none" w:sz="0" w:space="0" w:color="auto"/>
        <w:bottom w:val="none" w:sz="0" w:space="0" w:color="auto"/>
        <w:right w:val="none" w:sz="0" w:space="0" w:color="auto"/>
      </w:divBdr>
    </w:div>
    <w:div w:id="1266617527">
      <w:bodyDiv w:val="1"/>
      <w:marLeft w:val="0"/>
      <w:marRight w:val="0"/>
      <w:marTop w:val="0"/>
      <w:marBottom w:val="0"/>
      <w:divBdr>
        <w:top w:val="none" w:sz="0" w:space="0" w:color="auto"/>
        <w:left w:val="none" w:sz="0" w:space="0" w:color="auto"/>
        <w:bottom w:val="none" w:sz="0" w:space="0" w:color="auto"/>
        <w:right w:val="none" w:sz="0" w:space="0" w:color="auto"/>
      </w:divBdr>
    </w:div>
    <w:div w:id="1292202108">
      <w:bodyDiv w:val="1"/>
      <w:marLeft w:val="0"/>
      <w:marRight w:val="0"/>
      <w:marTop w:val="0"/>
      <w:marBottom w:val="0"/>
      <w:divBdr>
        <w:top w:val="none" w:sz="0" w:space="0" w:color="auto"/>
        <w:left w:val="none" w:sz="0" w:space="0" w:color="auto"/>
        <w:bottom w:val="none" w:sz="0" w:space="0" w:color="auto"/>
        <w:right w:val="none" w:sz="0" w:space="0" w:color="auto"/>
      </w:divBdr>
      <w:divsChild>
        <w:div w:id="56444718">
          <w:marLeft w:val="0"/>
          <w:marRight w:val="0"/>
          <w:marTop w:val="0"/>
          <w:marBottom w:val="0"/>
          <w:divBdr>
            <w:top w:val="none" w:sz="0" w:space="0" w:color="auto"/>
            <w:left w:val="none" w:sz="0" w:space="0" w:color="auto"/>
            <w:bottom w:val="none" w:sz="0" w:space="0" w:color="auto"/>
            <w:right w:val="none" w:sz="0" w:space="0" w:color="auto"/>
          </w:divBdr>
          <w:divsChild>
            <w:div w:id="1063718156">
              <w:marLeft w:val="0"/>
              <w:marRight w:val="0"/>
              <w:marTop w:val="0"/>
              <w:marBottom w:val="0"/>
              <w:divBdr>
                <w:top w:val="none" w:sz="0" w:space="0" w:color="auto"/>
                <w:left w:val="none" w:sz="0" w:space="0" w:color="auto"/>
                <w:bottom w:val="none" w:sz="0" w:space="0" w:color="auto"/>
                <w:right w:val="none" w:sz="0" w:space="0" w:color="auto"/>
              </w:divBdr>
              <w:divsChild>
                <w:div w:id="629242603">
                  <w:marLeft w:val="-300"/>
                  <w:marRight w:val="0"/>
                  <w:marTop w:val="0"/>
                  <w:marBottom w:val="0"/>
                  <w:divBdr>
                    <w:top w:val="none" w:sz="0" w:space="0" w:color="auto"/>
                    <w:left w:val="none" w:sz="0" w:space="0" w:color="auto"/>
                    <w:bottom w:val="none" w:sz="0" w:space="0" w:color="auto"/>
                    <w:right w:val="none" w:sz="0" w:space="0" w:color="auto"/>
                  </w:divBdr>
                  <w:divsChild>
                    <w:div w:id="633291631">
                      <w:marLeft w:val="0"/>
                      <w:marRight w:val="0"/>
                      <w:marTop w:val="0"/>
                      <w:marBottom w:val="0"/>
                      <w:divBdr>
                        <w:top w:val="none" w:sz="0" w:space="0" w:color="auto"/>
                        <w:left w:val="none" w:sz="0" w:space="0" w:color="auto"/>
                        <w:bottom w:val="none" w:sz="0" w:space="0" w:color="auto"/>
                        <w:right w:val="none" w:sz="0" w:space="0" w:color="auto"/>
                      </w:divBdr>
                      <w:divsChild>
                        <w:div w:id="1036345151">
                          <w:marLeft w:val="0"/>
                          <w:marRight w:val="0"/>
                          <w:marTop w:val="0"/>
                          <w:marBottom w:val="0"/>
                          <w:divBdr>
                            <w:top w:val="none" w:sz="0" w:space="0" w:color="auto"/>
                            <w:left w:val="none" w:sz="0" w:space="0" w:color="auto"/>
                            <w:bottom w:val="none" w:sz="0" w:space="0" w:color="auto"/>
                            <w:right w:val="none" w:sz="0" w:space="0" w:color="auto"/>
                          </w:divBdr>
                          <w:divsChild>
                            <w:div w:id="1868058377">
                              <w:marLeft w:val="0"/>
                              <w:marRight w:val="0"/>
                              <w:marTop w:val="0"/>
                              <w:marBottom w:val="0"/>
                              <w:divBdr>
                                <w:top w:val="none" w:sz="0" w:space="0" w:color="auto"/>
                                <w:left w:val="none" w:sz="0" w:space="0" w:color="auto"/>
                                <w:bottom w:val="none" w:sz="0" w:space="0" w:color="auto"/>
                                <w:right w:val="none" w:sz="0" w:space="0" w:color="auto"/>
                              </w:divBdr>
                              <w:divsChild>
                                <w:div w:id="15344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7146882">
      <w:bodyDiv w:val="1"/>
      <w:marLeft w:val="0"/>
      <w:marRight w:val="0"/>
      <w:marTop w:val="0"/>
      <w:marBottom w:val="0"/>
      <w:divBdr>
        <w:top w:val="none" w:sz="0" w:space="0" w:color="auto"/>
        <w:left w:val="none" w:sz="0" w:space="0" w:color="auto"/>
        <w:bottom w:val="none" w:sz="0" w:space="0" w:color="auto"/>
        <w:right w:val="none" w:sz="0" w:space="0" w:color="auto"/>
      </w:divBdr>
    </w:div>
    <w:div w:id="1360399946">
      <w:bodyDiv w:val="1"/>
      <w:marLeft w:val="0"/>
      <w:marRight w:val="0"/>
      <w:marTop w:val="0"/>
      <w:marBottom w:val="0"/>
      <w:divBdr>
        <w:top w:val="none" w:sz="0" w:space="0" w:color="auto"/>
        <w:left w:val="none" w:sz="0" w:space="0" w:color="auto"/>
        <w:bottom w:val="none" w:sz="0" w:space="0" w:color="auto"/>
        <w:right w:val="none" w:sz="0" w:space="0" w:color="auto"/>
      </w:divBdr>
      <w:divsChild>
        <w:div w:id="873925244">
          <w:marLeft w:val="0"/>
          <w:marRight w:val="0"/>
          <w:marTop w:val="0"/>
          <w:marBottom w:val="0"/>
          <w:divBdr>
            <w:top w:val="none" w:sz="0" w:space="0" w:color="auto"/>
            <w:left w:val="none" w:sz="0" w:space="0" w:color="auto"/>
            <w:bottom w:val="none" w:sz="0" w:space="0" w:color="auto"/>
            <w:right w:val="none" w:sz="0" w:space="0" w:color="auto"/>
          </w:divBdr>
          <w:divsChild>
            <w:div w:id="973291706">
              <w:marLeft w:val="0"/>
              <w:marRight w:val="0"/>
              <w:marTop w:val="0"/>
              <w:marBottom w:val="0"/>
              <w:divBdr>
                <w:top w:val="none" w:sz="0" w:space="0" w:color="auto"/>
                <w:left w:val="none" w:sz="0" w:space="0" w:color="auto"/>
                <w:bottom w:val="none" w:sz="0" w:space="0" w:color="auto"/>
                <w:right w:val="none" w:sz="0" w:space="0" w:color="auto"/>
              </w:divBdr>
              <w:divsChild>
                <w:div w:id="302737797">
                  <w:marLeft w:val="-300"/>
                  <w:marRight w:val="0"/>
                  <w:marTop w:val="0"/>
                  <w:marBottom w:val="0"/>
                  <w:divBdr>
                    <w:top w:val="none" w:sz="0" w:space="0" w:color="auto"/>
                    <w:left w:val="none" w:sz="0" w:space="0" w:color="auto"/>
                    <w:bottom w:val="none" w:sz="0" w:space="0" w:color="auto"/>
                    <w:right w:val="none" w:sz="0" w:space="0" w:color="auto"/>
                  </w:divBdr>
                  <w:divsChild>
                    <w:div w:id="515584858">
                      <w:marLeft w:val="0"/>
                      <w:marRight w:val="0"/>
                      <w:marTop w:val="0"/>
                      <w:marBottom w:val="0"/>
                      <w:divBdr>
                        <w:top w:val="none" w:sz="0" w:space="0" w:color="auto"/>
                        <w:left w:val="none" w:sz="0" w:space="0" w:color="auto"/>
                        <w:bottom w:val="none" w:sz="0" w:space="0" w:color="auto"/>
                        <w:right w:val="none" w:sz="0" w:space="0" w:color="auto"/>
                      </w:divBdr>
                      <w:divsChild>
                        <w:div w:id="2139882026">
                          <w:marLeft w:val="0"/>
                          <w:marRight w:val="0"/>
                          <w:marTop w:val="0"/>
                          <w:marBottom w:val="0"/>
                          <w:divBdr>
                            <w:top w:val="none" w:sz="0" w:space="0" w:color="auto"/>
                            <w:left w:val="none" w:sz="0" w:space="0" w:color="auto"/>
                            <w:bottom w:val="none" w:sz="0" w:space="0" w:color="auto"/>
                            <w:right w:val="none" w:sz="0" w:space="0" w:color="auto"/>
                          </w:divBdr>
                          <w:divsChild>
                            <w:div w:id="718282804">
                              <w:marLeft w:val="0"/>
                              <w:marRight w:val="0"/>
                              <w:marTop w:val="0"/>
                              <w:marBottom w:val="0"/>
                              <w:divBdr>
                                <w:top w:val="none" w:sz="0" w:space="0" w:color="auto"/>
                                <w:left w:val="none" w:sz="0" w:space="0" w:color="auto"/>
                                <w:bottom w:val="none" w:sz="0" w:space="0" w:color="auto"/>
                                <w:right w:val="none" w:sz="0" w:space="0" w:color="auto"/>
                              </w:divBdr>
                              <w:divsChild>
                                <w:div w:id="635765071">
                                  <w:marLeft w:val="0"/>
                                  <w:marRight w:val="0"/>
                                  <w:marTop w:val="0"/>
                                  <w:marBottom w:val="0"/>
                                  <w:divBdr>
                                    <w:top w:val="none" w:sz="0" w:space="0" w:color="auto"/>
                                    <w:left w:val="none" w:sz="0" w:space="0" w:color="auto"/>
                                    <w:bottom w:val="none" w:sz="0" w:space="0" w:color="auto"/>
                                    <w:right w:val="none" w:sz="0" w:space="0" w:color="auto"/>
                                  </w:divBdr>
                                </w:div>
                                <w:div w:id="170042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1587617">
      <w:bodyDiv w:val="1"/>
      <w:marLeft w:val="0"/>
      <w:marRight w:val="0"/>
      <w:marTop w:val="0"/>
      <w:marBottom w:val="0"/>
      <w:divBdr>
        <w:top w:val="none" w:sz="0" w:space="0" w:color="auto"/>
        <w:left w:val="none" w:sz="0" w:space="0" w:color="auto"/>
        <w:bottom w:val="none" w:sz="0" w:space="0" w:color="auto"/>
        <w:right w:val="none" w:sz="0" w:space="0" w:color="auto"/>
      </w:divBdr>
    </w:div>
    <w:div w:id="1479422379">
      <w:bodyDiv w:val="1"/>
      <w:marLeft w:val="0"/>
      <w:marRight w:val="0"/>
      <w:marTop w:val="0"/>
      <w:marBottom w:val="0"/>
      <w:divBdr>
        <w:top w:val="none" w:sz="0" w:space="0" w:color="auto"/>
        <w:left w:val="none" w:sz="0" w:space="0" w:color="auto"/>
        <w:bottom w:val="none" w:sz="0" w:space="0" w:color="auto"/>
        <w:right w:val="none" w:sz="0" w:space="0" w:color="auto"/>
      </w:divBdr>
    </w:div>
    <w:div w:id="1512068963">
      <w:bodyDiv w:val="1"/>
      <w:marLeft w:val="0"/>
      <w:marRight w:val="0"/>
      <w:marTop w:val="0"/>
      <w:marBottom w:val="0"/>
      <w:divBdr>
        <w:top w:val="none" w:sz="0" w:space="0" w:color="auto"/>
        <w:left w:val="none" w:sz="0" w:space="0" w:color="auto"/>
        <w:bottom w:val="none" w:sz="0" w:space="0" w:color="auto"/>
        <w:right w:val="none" w:sz="0" w:space="0" w:color="auto"/>
      </w:divBdr>
    </w:div>
    <w:div w:id="1529299367">
      <w:bodyDiv w:val="1"/>
      <w:marLeft w:val="0"/>
      <w:marRight w:val="0"/>
      <w:marTop w:val="0"/>
      <w:marBottom w:val="0"/>
      <w:divBdr>
        <w:top w:val="none" w:sz="0" w:space="0" w:color="auto"/>
        <w:left w:val="none" w:sz="0" w:space="0" w:color="auto"/>
        <w:bottom w:val="none" w:sz="0" w:space="0" w:color="auto"/>
        <w:right w:val="none" w:sz="0" w:space="0" w:color="auto"/>
      </w:divBdr>
      <w:divsChild>
        <w:div w:id="1581327328">
          <w:marLeft w:val="0"/>
          <w:marRight w:val="0"/>
          <w:marTop w:val="0"/>
          <w:marBottom w:val="0"/>
          <w:divBdr>
            <w:top w:val="none" w:sz="0" w:space="0" w:color="auto"/>
            <w:left w:val="none" w:sz="0" w:space="0" w:color="auto"/>
            <w:bottom w:val="none" w:sz="0" w:space="0" w:color="auto"/>
            <w:right w:val="none" w:sz="0" w:space="0" w:color="auto"/>
          </w:divBdr>
          <w:divsChild>
            <w:div w:id="853303839">
              <w:marLeft w:val="0"/>
              <w:marRight w:val="0"/>
              <w:marTop w:val="0"/>
              <w:marBottom w:val="0"/>
              <w:divBdr>
                <w:top w:val="none" w:sz="0" w:space="0" w:color="auto"/>
                <w:left w:val="none" w:sz="0" w:space="0" w:color="auto"/>
                <w:bottom w:val="none" w:sz="0" w:space="0" w:color="auto"/>
                <w:right w:val="none" w:sz="0" w:space="0" w:color="auto"/>
              </w:divBdr>
              <w:divsChild>
                <w:div w:id="1088111011">
                  <w:marLeft w:val="0"/>
                  <w:marRight w:val="0"/>
                  <w:marTop w:val="0"/>
                  <w:marBottom w:val="0"/>
                  <w:divBdr>
                    <w:top w:val="none" w:sz="0" w:space="0" w:color="auto"/>
                    <w:left w:val="none" w:sz="0" w:space="0" w:color="auto"/>
                    <w:bottom w:val="none" w:sz="0" w:space="0" w:color="auto"/>
                    <w:right w:val="none" w:sz="0" w:space="0" w:color="auto"/>
                  </w:divBdr>
                  <w:divsChild>
                    <w:div w:id="91477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287560">
      <w:bodyDiv w:val="1"/>
      <w:marLeft w:val="0"/>
      <w:marRight w:val="0"/>
      <w:marTop w:val="0"/>
      <w:marBottom w:val="0"/>
      <w:divBdr>
        <w:top w:val="none" w:sz="0" w:space="0" w:color="auto"/>
        <w:left w:val="none" w:sz="0" w:space="0" w:color="auto"/>
        <w:bottom w:val="none" w:sz="0" w:space="0" w:color="auto"/>
        <w:right w:val="none" w:sz="0" w:space="0" w:color="auto"/>
      </w:divBdr>
    </w:div>
    <w:div w:id="1579635670">
      <w:bodyDiv w:val="1"/>
      <w:marLeft w:val="0"/>
      <w:marRight w:val="0"/>
      <w:marTop w:val="0"/>
      <w:marBottom w:val="0"/>
      <w:divBdr>
        <w:top w:val="none" w:sz="0" w:space="0" w:color="auto"/>
        <w:left w:val="none" w:sz="0" w:space="0" w:color="auto"/>
        <w:bottom w:val="none" w:sz="0" w:space="0" w:color="auto"/>
        <w:right w:val="none" w:sz="0" w:space="0" w:color="auto"/>
      </w:divBdr>
      <w:divsChild>
        <w:div w:id="364185206">
          <w:marLeft w:val="0"/>
          <w:marRight w:val="0"/>
          <w:marTop w:val="0"/>
          <w:marBottom w:val="0"/>
          <w:divBdr>
            <w:top w:val="none" w:sz="0" w:space="0" w:color="auto"/>
            <w:left w:val="none" w:sz="0" w:space="0" w:color="auto"/>
            <w:bottom w:val="none" w:sz="0" w:space="0" w:color="auto"/>
            <w:right w:val="none" w:sz="0" w:space="0" w:color="auto"/>
          </w:divBdr>
          <w:divsChild>
            <w:div w:id="1984502309">
              <w:marLeft w:val="0"/>
              <w:marRight w:val="0"/>
              <w:marTop w:val="0"/>
              <w:marBottom w:val="0"/>
              <w:divBdr>
                <w:top w:val="none" w:sz="0" w:space="0" w:color="auto"/>
                <w:left w:val="none" w:sz="0" w:space="0" w:color="auto"/>
                <w:bottom w:val="none" w:sz="0" w:space="0" w:color="auto"/>
                <w:right w:val="none" w:sz="0" w:space="0" w:color="auto"/>
              </w:divBdr>
              <w:divsChild>
                <w:div w:id="627125534">
                  <w:marLeft w:val="0"/>
                  <w:marRight w:val="0"/>
                  <w:marTop w:val="0"/>
                  <w:marBottom w:val="0"/>
                  <w:divBdr>
                    <w:top w:val="none" w:sz="0" w:space="0" w:color="auto"/>
                    <w:left w:val="none" w:sz="0" w:space="0" w:color="auto"/>
                    <w:bottom w:val="none" w:sz="0" w:space="0" w:color="auto"/>
                    <w:right w:val="none" w:sz="0" w:space="0" w:color="auto"/>
                  </w:divBdr>
                  <w:divsChild>
                    <w:div w:id="1830635212">
                      <w:marLeft w:val="0"/>
                      <w:marRight w:val="-3225"/>
                      <w:marTop w:val="0"/>
                      <w:marBottom w:val="0"/>
                      <w:divBdr>
                        <w:top w:val="none" w:sz="0" w:space="0" w:color="auto"/>
                        <w:left w:val="none" w:sz="0" w:space="0" w:color="auto"/>
                        <w:bottom w:val="none" w:sz="0" w:space="0" w:color="auto"/>
                        <w:right w:val="none" w:sz="0" w:space="0" w:color="auto"/>
                      </w:divBdr>
                      <w:divsChild>
                        <w:div w:id="1618949447">
                          <w:marLeft w:val="2715"/>
                          <w:marRight w:val="3225"/>
                          <w:marTop w:val="0"/>
                          <w:marBottom w:val="0"/>
                          <w:divBdr>
                            <w:top w:val="none" w:sz="0" w:space="0" w:color="auto"/>
                            <w:left w:val="none" w:sz="0" w:space="0" w:color="auto"/>
                            <w:bottom w:val="none" w:sz="0" w:space="0" w:color="auto"/>
                            <w:right w:val="none" w:sz="0" w:space="0" w:color="auto"/>
                          </w:divBdr>
                          <w:divsChild>
                            <w:div w:id="1751006815">
                              <w:marLeft w:val="300"/>
                              <w:marRight w:val="300"/>
                              <w:marTop w:val="300"/>
                              <w:marBottom w:val="300"/>
                              <w:divBdr>
                                <w:top w:val="none" w:sz="0" w:space="0" w:color="auto"/>
                                <w:left w:val="none" w:sz="0" w:space="0" w:color="auto"/>
                                <w:bottom w:val="dotted" w:sz="6" w:space="15" w:color="993366"/>
                                <w:right w:val="none" w:sz="0" w:space="0" w:color="auto"/>
                              </w:divBdr>
                              <w:divsChild>
                                <w:div w:id="9497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1833689">
      <w:bodyDiv w:val="1"/>
      <w:marLeft w:val="0"/>
      <w:marRight w:val="0"/>
      <w:marTop w:val="0"/>
      <w:marBottom w:val="0"/>
      <w:divBdr>
        <w:top w:val="none" w:sz="0" w:space="0" w:color="auto"/>
        <w:left w:val="none" w:sz="0" w:space="0" w:color="auto"/>
        <w:bottom w:val="none" w:sz="0" w:space="0" w:color="auto"/>
        <w:right w:val="none" w:sz="0" w:space="0" w:color="auto"/>
      </w:divBdr>
      <w:divsChild>
        <w:div w:id="1879901413">
          <w:marLeft w:val="0"/>
          <w:marRight w:val="0"/>
          <w:marTop w:val="0"/>
          <w:marBottom w:val="0"/>
          <w:divBdr>
            <w:top w:val="none" w:sz="0" w:space="0" w:color="auto"/>
            <w:left w:val="none" w:sz="0" w:space="0" w:color="auto"/>
            <w:bottom w:val="none" w:sz="0" w:space="0" w:color="auto"/>
            <w:right w:val="none" w:sz="0" w:space="0" w:color="auto"/>
          </w:divBdr>
          <w:divsChild>
            <w:div w:id="84696630">
              <w:marLeft w:val="0"/>
              <w:marRight w:val="0"/>
              <w:marTop w:val="0"/>
              <w:marBottom w:val="0"/>
              <w:divBdr>
                <w:top w:val="none" w:sz="0" w:space="0" w:color="auto"/>
                <w:left w:val="none" w:sz="0" w:space="0" w:color="auto"/>
                <w:bottom w:val="none" w:sz="0" w:space="0" w:color="auto"/>
                <w:right w:val="none" w:sz="0" w:space="0" w:color="auto"/>
              </w:divBdr>
              <w:divsChild>
                <w:div w:id="898714529">
                  <w:marLeft w:val="-300"/>
                  <w:marRight w:val="0"/>
                  <w:marTop w:val="0"/>
                  <w:marBottom w:val="0"/>
                  <w:divBdr>
                    <w:top w:val="none" w:sz="0" w:space="0" w:color="auto"/>
                    <w:left w:val="none" w:sz="0" w:space="0" w:color="auto"/>
                    <w:bottom w:val="none" w:sz="0" w:space="0" w:color="auto"/>
                    <w:right w:val="none" w:sz="0" w:space="0" w:color="auto"/>
                  </w:divBdr>
                  <w:divsChild>
                    <w:div w:id="368721295">
                      <w:marLeft w:val="0"/>
                      <w:marRight w:val="0"/>
                      <w:marTop w:val="0"/>
                      <w:marBottom w:val="0"/>
                      <w:divBdr>
                        <w:top w:val="none" w:sz="0" w:space="0" w:color="auto"/>
                        <w:left w:val="none" w:sz="0" w:space="0" w:color="auto"/>
                        <w:bottom w:val="none" w:sz="0" w:space="0" w:color="auto"/>
                        <w:right w:val="none" w:sz="0" w:space="0" w:color="auto"/>
                      </w:divBdr>
                      <w:divsChild>
                        <w:div w:id="1366440911">
                          <w:marLeft w:val="0"/>
                          <w:marRight w:val="0"/>
                          <w:marTop w:val="0"/>
                          <w:marBottom w:val="0"/>
                          <w:divBdr>
                            <w:top w:val="none" w:sz="0" w:space="0" w:color="auto"/>
                            <w:left w:val="none" w:sz="0" w:space="0" w:color="auto"/>
                            <w:bottom w:val="none" w:sz="0" w:space="0" w:color="auto"/>
                            <w:right w:val="none" w:sz="0" w:space="0" w:color="auto"/>
                          </w:divBdr>
                          <w:divsChild>
                            <w:div w:id="1702391818">
                              <w:marLeft w:val="0"/>
                              <w:marRight w:val="0"/>
                              <w:marTop w:val="0"/>
                              <w:marBottom w:val="0"/>
                              <w:divBdr>
                                <w:top w:val="none" w:sz="0" w:space="0" w:color="auto"/>
                                <w:left w:val="none" w:sz="0" w:space="0" w:color="auto"/>
                                <w:bottom w:val="none" w:sz="0" w:space="0" w:color="auto"/>
                                <w:right w:val="none" w:sz="0" w:space="0" w:color="auto"/>
                              </w:divBdr>
                              <w:divsChild>
                                <w:div w:id="135299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6375589">
      <w:bodyDiv w:val="1"/>
      <w:marLeft w:val="0"/>
      <w:marRight w:val="0"/>
      <w:marTop w:val="0"/>
      <w:marBottom w:val="0"/>
      <w:divBdr>
        <w:top w:val="none" w:sz="0" w:space="0" w:color="auto"/>
        <w:left w:val="none" w:sz="0" w:space="0" w:color="auto"/>
        <w:bottom w:val="none" w:sz="0" w:space="0" w:color="auto"/>
        <w:right w:val="none" w:sz="0" w:space="0" w:color="auto"/>
      </w:divBdr>
    </w:div>
    <w:div w:id="1655833288">
      <w:bodyDiv w:val="1"/>
      <w:marLeft w:val="0"/>
      <w:marRight w:val="0"/>
      <w:marTop w:val="0"/>
      <w:marBottom w:val="0"/>
      <w:divBdr>
        <w:top w:val="none" w:sz="0" w:space="0" w:color="auto"/>
        <w:left w:val="none" w:sz="0" w:space="0" w:color="auto"/>
        <w:bottom w:val="none" w:sz="0" w:space="0" w:color="auto"/>
        <w:right w:val="none" w:sz="0" w:space="0" w:color="auto"/>
      </w:divBdr>
    </w:div>
    <w:div w:id="1682313108">
      <w:bodyDiv w:val="1"/>
      <w:marLeft w:val="0"/>
      <w:marRight w:val="0"/>
      <w:marTop w:val="0"/>
      <w:marBottom w:val="0"/>
      <w:divBdr>
        <w:top w:val="none" w:sz="0" w:space="0" w:color="auto"/>
        <w:left w:val="none" w:sz="0" w:space="0" w:color="auto"/>
        <w:bottom w:val="none" w:sz="0" w:space="0" w:color="auto"/>
        <w:right w:val="none" w:sz="0" w:space="0" w:color="auto"/>
      </w:divBdr>
    </w:div>
    <w:div w:id="1686053924">
      <w:bodyDiv w:val="1"/>
      <w:marLeft w:val="0"/>
      <w:marRight w:val="0"/>
      <w:marTop w:val="0"/>
      <w:marBottom w:val="0"/>
      <w:divBdr>
        <w:top w:val="none" w:sz="0" w:space="0" w:color="auto"/>
        <w:left w:val="none" w:sz="0" w:space="0" w:color="auto"/>
        <w:bottom w:val="none" w:sz="0" w:space="0" w:color="auto"/>
        <w:right w:val="none" w:sz="0" w:space="0" w:color="auto"/>
      </w:divBdr>
    </w:div>
    <w:div w:id="1706297647">
      <w:bodyDiv w:val="1"/>
      <w:marLeft w:val="0"/>
      <w:marRight w:val="0"/>
      <w:marTop w:val="0"/>
      <w:marBottom w:val="0"/>
      <w:divBdr>
        <w:top w:val="none" w:sz="0" w:space="0" w:color="auto"/>
        <w:left w:val="none" w:sz="0" w:space="0" w:color="auto"/>
        <w:bottom w:val="none" w:sz="0" w:space="0" w:color="auto"/>
        <w:right w:val="none" w:sz="0" w:space="0" w:color="auto"/>
      </w:divBdr>
    </w:div>
    <w:div w:id="1739935531">
      <w:bodyDiv w:val="1"/>
      <w:marLeft w:val="0"/>
      <w:marRight w:val="0"/>
      <w:marTop w:val="0"/>
      <w:marBottom w:val="0"/>
      <w:divBdr>
        <w:top w:val="none" w:sz="0" w:space="0" w:color="auto"/>
        <w:left w:val="none" w:sz="0" w:space="0" w:color="auto"/>
        <w:bottom w:val="none" w:sz="0" w:space="0" w:color="auto"/>
        <w:right w:val="none" w:sz="0" w:space="0" w:color="auto"/>
      </w:divBdr>
    </w:div>
    <w:div w:id="1762097338">
      <w:bodyDiv w:val="1"/>
      <w:marLeft w:val="0"/>
      <w:marRight w:val="0"/>
      <w:marTop w:val="0"/>
      <w:marBottom w:val="0"/>
      <w:divBdr>
        <w:top w:val="none" w:sz="0" w:space="0" w:color="auto"/>
        <w:left w:val="none" w:sz="0" w:space="0" w:color="auto"/>
        <w:bottom w:val="none" w:sz="0" w:space="0" w:color="auto"/>
        <w:right w:val="none" w:sz="0" w:space="0" w:color="auto"/>
      </w:divBdr>
    </w:div>
    <w:div w:id="1790925989">
      <w:bodyDiv w:val="1"/>
      <w:marLeft w:val="0"/>
      <w:marRight w:val="0"/>
      <w:marTop w:val="0"/>
      <w:marBottom w:val="0"/>
      <w:divBdr>
        <w:top w:val="none" w:sz="0" w:space="0" w:color="auto"/>
        <w:left w:val="none" w:sz="0" w:space="0" w:color="auto"/>
        <w:bottom w:val="none" w:sz="0" w:space="0" w:color="auto"/>
        <w:right w:val="none" w:sz="0" w:space="0" w:color="auto"/>
      </w:divBdr>
      <w:divsChild>
        <w:div w:id="440299454">
          <w:marLeft w:val="0"/>
          <w:marRight w:val="0"/>
          <w:marTop w:val="0"/>
          <w:marBottom w:val="0"/>
          <w:divBdr>
            <w:top w:val="none" w:sz="0" w:space="0" w:color="auto"/>
            <w:left w:val="none" w:sz="0" w:space="0" w:color="auto"/>
            <w:bottom w:val="none" w:sz="0" w:space="0" w:color="auto"/>
            <w:right w:val="none" w:sz="0" w:space="0" w:color="auto"/>
          </w:divBdr>
          <w:divsChild>
            <w:div w:id="198710394">
              <w:marLeft w:val="0"/>
              <w:marRight w:val="0"/>
              <w:marTop w:val="0"/>
              <w:marBottom w:val="0"/>
              <w:divBdr>
                <w:top w:val="none" w:sz="0" w:space="0" w:color="auto"/>
                <w:left w:val="none" w:sz="0" w:space="0" w:color="auto"/>
                <w:bottom w:val="none" w:sz="0" w:space="0" w:color="auto"/>
                <w:right w:val="none" w:sz="0" w:space="0" w:color="auto"/>
              </w:divBdr>
              <w:divsChild>
                <w:div w:id="182325690">
                  <w:marLeft w:val="0"/>
                  <w:marRight w:val="0"/>
                  <w:marTop w:val="225"/>
                  <w:marBottom w:val="0"/>
                  <w:divBdr>
                    <w:top w:val="single" w:sz="48" w:space="0" w:color="F7FBFE"/>
                    <w:left w:val="single" w:sz="48" w:space="0" w:color="F7FBFE"/>
                    <w:bottom w:val="single" w:sz="48" w:space="0" w:color="F7FBFE"/>
                    <w:right w:val="single" w:sz="48" w:space="0" w:color="F7FBFE"/>
                  </w:divBdr>
                  <w:divsChild>
                    <w:div w:id="874274463">
                      <w:marLeft w:val="0"/>
                      <w:marRight w:val="0"/>
                      <w:marTop w:val="0"/>
                      <w:marBottom w:val="0"/>
                      <w:divBdr>
                        <w:top w:val="none" w:sz="0" w:space="0" w:color="auto"/>
                        <w:left w:val="none" w:sz="0" w:space="0" w:color="auto"/>
                        <w:bottom w:val="none" w:sz="0" w:space="0" w:color="auto"/>
                        <w:right w:val="none" w:sz="0" w:space="0" w:color="auto"/>
                      </w:divBdr>
                      <w:divsChild>
                        <w:div w:id="5892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374791">
      <w:bodyDiv w:val="1"/>
      <w:marLeft w:val="0"/>
      <w:marRight w:val="0"/>
      <w:marTop w:val="0"/>
      <w:marBottom w:val="0"/>
      <w:divBdr>
        <w:top w:val="none" w:sz="0" w:space="0" w:color="auto"/>
        <w:left w:val="none" w:sz="0" w:space="0" w:color="auto"/>
        <w:bottom w:val="none" w:sz="0" w:space="0" w:color="auto"/>
        <w:right w:val="none" w:sz="0" w:space="0" w:color="auto"/>
      </w:divBdr>
    </w:div>
    <w:div w:id="1848326408">
      <w:bodyDiv w:val="1"/>
      <w:marLeft w:val="0"/>
      <w:marRight w:val="0"/>
      <w:marTop w:val="0"/>
      <w:marBottom w:val="0"/>
      <w:divBdr>
        <w:top w:val="none" w:sz="0" w:space="0" w:color="auto"/>
        <w:left w:val="none" w:sz="0" w:space="0" w:color="auto"/>
        <w:bottom w:val="none" w:sz="0" w:space="0" w:color="auto"/>
        <w:right w:val="none" w:sz="0" w:space="0" w:color="auto"/>
      </w:divBdr>
    </w:div>
    <w:div w:id="1884750278">
      <w:bodyDiv w:val="1"/>
      <w:marLeft w:val="0"/>
      <w:marRight w:val="0"/>
      <w:marTop w:val="0"/>
      <w:marBottom w:val="0"/>
      <w:divBdr>
        <w:top w:val="none" w:sz="0" w:space="0" w:color="auto"/>
        <w:left w:val="none" w:sz="0" w:space="0" w:color="auto"/>
        <w:bottom w:val="none" w:sz="0" w:space="0" w:color="auto"/>
        <w:right w:val="none" w:sz="0" w:space="0" w:color="auto"/>
      </w:divBdr>
    </w:div>
    <w:div w:id="1923098670">
      <w:bodyDiv w:val="1"/>
      <w:marLeft w:val="0"/>
      <w:marRight w:val="0"/>
      <w:marTop w:val="0"/>
      <w:marBottom w:val="0"/>
      <w:divBdr>
        <w:top w:val="none" w:sz="0" w:space="0" w:color="auto"/>
        <w:left w:val="none" w:sz="0" w:space="0" w:color="auto"/>
        <w:bottom w:val="none" w:sz="0" w:space="0" w:color="auto"/>
        <w:right w:val="none" w:sz="0" w:space="0" w:color="auto"/>
      </w:divBdr>
    </w:div>
    <w:div w:id="1965576053">
      <w:bodyDiv w:val="1"/>
      <w:marLeft w:val="0"/>
      <w:marRight w:val="0"/>
      <w:marTop w:val="0"/>
      <w:marBottom w:val="0"/>
      <w:divBdr>
        <w:top w:val="none" w:sz="0" w:space="0" w:color="auto"/>
        <w:left w:val="none" w:sz="0" w:space="0" w:color="auto"/>
        <w:bottom w:val="none" w:sz="0" w:space="0" w:color="auto"/>
        <w:right w:val="none" w:sz="0" w:space="0" w:color="auto"/>
      </w:divBdr>
    </w:div>
    <w:div w:id="1971394755">
      <w:bodyDiv w:val="1"/>
      <w:marLeft w:val="0"/>
      <w:marRight w:val="0"/>
      <w:marTop w:val="0"/>
      <w:marBottom w:val="0"/>
      <w:divBdr>
        <w:top w:val="none" w:sz="0" w:space="0" w:color="auto"/>
        <w:left w:val="none" w:sz="0" w:space="0" w:color="auto"/>
        <w:bottom w:val="none" w:sz="0" w:space="0" w:color="auto"/>
        <w:right w:val="none" w:sz="0" w:space="0" w:color="auto"/>
      </w:divBdr>
    </w:div>
    <w:div w:id="1982230111">
      <w:bodyDiv w:val="1"/>
      <w:marLeft w:val="0"/>
      <w:marRight w:val="0"/>
      <w:marTop w:val="0"/>
      <w:marBottom w:val="0"/>
      <w:divBdr>
        <w:top w:val="none" w:sz="0" w:space="0" w:color="auto"/>
        <w:left w:val="none" w:sz="0" w:space="0" w:color="auto"/>
        <w:bottom w:val="none" w:sz="0" w:space="0" w:color="auto"/>
        <w:right w:val="none" w:sz="0" w:space="0" w:color="auto"/>
      </w:divBdr>
    </w:div>
    <w:div w:id="1983264174">
      <w:bodyDiv w:val="1"/>
      <w:marLeft w:val="0"/>
      <w:marRight w:val="0"/>
      <w:marTop w:val="0"/>
      <w:marBottom w:val="0"/>
      <w:divBdr>
        <w:top w:val="none" w:sz="0" w:space="0" w:color="auto"/>
        <w:left w:val="none" w:sz="0" w:space="0" w:color="auto"/>
        <w:bottom w:val="none" w:sz="0" w:space="0" w:color="auto"/>
        <w:right w:val="none" w:sz="0" w:space="0" w:color="auto"/>
      </w:divBdr>
    </w:div>
    <w:div w:id="2017422048">
      <w:bodyDiv w:val="1"/>
      <w:marLeft w:val="0"/>
      <w:marRight w:val="0"/>
      <w:marTop w:val="0"/>
      <w:marBottom w:val="0"/>
      <w:divBdr>
        <w:top w:val="none" w:sz="0" w:space="0" w:color="auto"/>
        <w:left w:val="none" w:sz="0" w:space="0" w:color="auto"/>
        <w:bottom w:val="none" w:sz="0" w:space="0" w:color="auto"/>
        <w:right w:val="none" w:sz="0" w:space="0" w:color="auto"/>
      </w:divBdr>
      <w:divsChild>
        <w:div w:id="709844922">
          <w:marLeft w:val="0"/>
          <w:marRight w:val="0"/>
          <w:marTop w:val="0"/>
          <w:marBottom w:val="0"/>
          <w:divBdr>
            <w:top w:val="none" w:sz="0" w:space="0" w:color="auto"/>
            <w:left w:val="none" w:sz="0" w:space="0" w:color="auto"/>
            <w:bottom w:val="none" w:sz="0" w:space="0" w:color="auto"/>
            <w:right w:val="none" w:sz="0" w:space="0" w:color="auto"/>
          </w:divBdr>
          <w:divsChild>
            <w:div w:id="2010214035">
              <w:marLeft w:val="0"/>
              <w:marRight w:val="0"/>
              <w:marTop w:val="0"/>
              <w:marBottom w:val="0"/>
              <w:divBdr>
                <w:top w:val="none" w:sz="0" w:space="0" w:color="auto"/>
                <w:left w:val="none" w:sz="0" w:space="0" w:color="auto"/>
                <w:bottom w:val="none" w:sz="0" w:space="0" w:color="auto"/>
                <w:right w:val="none" w:sz="0" w:space="0" w:color="auto"/>
              </w:divBdr>
              <w:divsChild>
                <w:div w:id="1203010755">
                  <w:marLeft w:val="0"/>
                  <w:marRight w:val="0"/>
                  <w:marTop w:val="0"/>
                  <w:marBottom w:val="0"/>
                  <w:divBdr>
                    <w:top w:val="none" w:sz="0" w:space="0" w:color="auto"/>
                    <w:left w:val="none" w:sz="0" w:space="0" w:color="auto"/>
                    <w:bottom w:val="none" w:sz="0" w:space="0" w:color="auto"/>
                    <w:right w:val="none" w:sz="0" w:space="0" w:color="auto"/>
                  </w:divBdr>
                  <w:divsChild>
                    <w:div w:id="1209419502">
                      <w:marLeft w:val="0"/>
                      <w:marRight w:val="-3225"/>
                      <w:marTop w:val="0"/>
                      <w:marBottom w:val="0"/>
                      <w:divBdr>
                        <w:top w:val="none" w:sz="0" w:space="0" w:color="auto"/>
                        <w:left w:val="none" w:sz="0" w:space="0" w:color="auto"/>
                        <w:bottom w:val="none" w:sz="0" w:space="0" w:color="auto"/>
                        <w:right w:val="none" w:sz="0" w:space="0" w:color="auto"/>
                      </w:divBdr>
                      <w:divsChild>
                        <w:div w:id="1104302471">
                          <w:marLeft w:val="2715"/>
                          <w:marRight w:val="3225"/>
                          <w:marTop w:val="0"/>
                          <w:marBottom w:val="0"/>
                          <w:divBdr>
                            <w:top w:val="none" w:sz="0" w:space="0" w:color="auto"/>
                            <w:left w:val="none" w:sz="0" w:space="0" w:color="auto"/>
                            <w:bottom w:val="none" w:sz="0" w:space="0" w:color="auto"/>
                            <w:right w:val="none" w:sz="0" w:space="0" w:color="auto"/>
                          </w:divBdr>
                          <w:divsChild>
                            <w:div w:id="1348486244">
                              <w:marLeft w:val="300"/>
                              <w:marRight w:val="300"/>
                              <w:marTop w:val="300"/>
                              <w:marBottom w:val="300"/>
                              <w:divBdr>
                                <w:top w:val="none" w:sz="0" w:space="0" w:color="auto"/>
                                <w:left w:val="none" w:sz="0" w:space="0" w:color="auto"/>
                                <w:bottom w:val="dotted" w:sz="6" w:space="15" w:color="666633"/>
                                <w:right w:val="none" w:sz="0" w:space="0" w:color="auto"/>
                              </w:divBdr>
                              <w:divsChild>
                                <w:div w:id="14452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6662660">
      <w:bodyDiv w:val="1"/>
      <w:marLeft w:val="0"/>
      <w:marRight w:val="0"/>
      <w:marTop w:val="0"/>
      <w:marBottom w:val="0"/>
      <w:divBdr>
        <w:top w:val="none" w:sz="0" w:space="0" w:color="auto"/>
        <w:left w:val="none" w:sz="0" w:space="0" w:color="auto"/>
        <w:bottom w:val="none" w:sz="0" w:space="0" w:color="auto"/>
        <w:right w:val="none" w:sz="0" w:space="0" w:color="auto"/>
      </w:divBdr>
      <w:divsChild>
        <w:div w:id="805659578">
          <w:marLeft w:val="274"/>
          <w:marRight w:val="0"/>
          <w:marTop w:val="0"/>
          <w:marBottom w:val="0"/>
          <w:divBdr>
            <w:top w:val="none" w:sz="0" w:space="0" w:color="auto"/>
            <w:left w:val="none" w:sz="0" w:space="0" w:color="auto"/>
            <w:bottom w:val="none" w:sz="0" w:space="0" w:color="auto"/>
            <w:right w:val="none" w:sz="0" w:space="0" w:color="auto"/>
          </w:divBdr>
        </w:div>
      </w:divsChild>
    </w:div>
    <w:div w:id="2056813635">
      <w:bodyDiv w:val="1"/>
      <w:marLeft w:val="0"/>
      <w:marRight w:val="0"/>
      <w:marTop w:val="0"/>
      <w:marBottom w:val="0"/>
      <w:divBdr>
        <w:top w:val="none" w:sz="0" w:space="0" w:color="auto"/>
        <w:left w:val="none" w:sz="0" w:space="0" w:color="auto"/>
        <w:bottom w:val="none" w:sz="0" w:space="0" w:color="auto"/>
        <w:right w:val="none" w:sz="0" w:space="0" w:color="auto"/>
      </w:divBdr>
    </w:div>
    <w:div w:id="2093041707">
      <w:bodyDiv w:val="1"/>
      <w:marLeft w:val="0"/>
      <w:marRight w:val="0"/>
      <w:marTop w:val="0"/>
      <w:marBottom w:val="0"/>
      <w:divBdr>
        <w:top w:val="none" w:sz="0" w:space="0" w:color="auto"/>
        <w:left w:val="none" w:sz="0" w:space="0" w:color="auto"/>
        <w:bottom w:val="none" w:sz="0" w:space="0" w:color="auto"/>
        <w:right w:val="none" w:sz="0" w:space="0" w:color="auto"/>
      </w:divBdr>
      <w:divsChild>
        <w:div w:id="1582131821">
          <w:marLeft w:val="0"/>
          <w:marRight w:val="0"/>
          <w:marTop w:val="0"/>
          <w:marBottom w:val="0"/>
          <w:divBdr>
            <w:top w:val="none" w:sz="0" w:space="0" w:color="auto"/>
            <w:left w:val="none" w:sz="0" w:space="0" w:color="auto"/>
            <w:bottom w:val="none" w:sz="0" w:space="0" w:color="auto"/>
            <w:right w:val="none" w:sz="0" w:space="0" w:color="auto"/>
          </w:divBdr>
          <w:divsChild>
            <w:div w:id="253784675">
              <w:marLeft w:val="0"/>
              <w:marRight w:val="0"/>
              <w:marTop w:val="0"/>
              <w:marBottom w:val="0"/>
              <w:divBdr>
                <w:top w:val="none" w:sz="0" w:space="0" w:color="auto"/>
                <w:left w:val="none" w:sz="0" w:space="0" w:color="auto"/>
                <w:bottom w:val="none" w:sz="0" w:space="0" w:color="auto"/>
                <w:right w:val="none" w:sz="0" w:space="0" w:color="auto"/>
              </w:divBdr>
              <w:divsChild>
                <w:div w:id="716275057">
                  <w:marLeft w:val="-300"/>
                  <w:marRight w:val="0"/>
                  <w:marTop w:val="0"/>
                  <w:marBottom w:val="0"/>
                  <w:divBdr>
                    <w:top w:val="none" w:sz="0" w:space="0" w:color="auto"/>
                    <w:left w:val="none" w:sz="0" w:space="0" w:color="auto"/>
                    <w:bottom w:val="none" w:sz="0" w:space="0" w:color="auto"/>
                    <w:right w:val="none" w:sz="0" w:space="0" w:color="auto"/>
                  </w:divBdr>
                  <w:divsChild>
                    <w:div w:id="2019885591">
                      <w:marLeft w:val="0"/>
                      <w:marRight w:val="0"/>
                      <w:marTop w:val="0"/>
                      <w:marBottom w:val="0"/>
                      <w:divBdr>
                        <w:top w:val="none" w:sz="0" w:space="0" w:color="auto"/>
                        <w:left w:val="none" w:sz="0" w:space="0" w:color="auto"/>
                        <w:bottom w:val="none" w:sz="0" w:space="0" w:color="auto"/>
                        <w:right w:val="none" w:sz="0" w:space="0" w:color="auto"/>
                      </w:divBdr>
                      <w:divsChild>
                        <w:div w:id="1193569831">
                          <w:marLeft w:val="0"/>
                          <w:marRight w:val="0"/>
                          <w:marTop w:val="0"/>
                          <w:marBottom w:val="0"/>
                          <w:divBdr>
                            <w:top w:val="none" w:sz="0" w:space="0" w:color="auto"/>
                            <w:left w:val="none" w:sz="0" w:space="0" w:color="auto"/>
                            <w:bottom w:val="none" w:sz="0" w:space="0" w:color="auto"/>
                            <w:right w:val="none" w:sz="0" w:space="0" w:color="auto"/>
                          </w:divBdr>
                          <w:divsChild>
                            <w:div w:id="281420848">
                              <w:marLeft w:val="0"/>
                              <w:marRight w:val="0"/>
                              <w:marTop w:val="0"/>
                              <w:marBottom w:val="0"/>
                              <w:divBdr>
                                <w:top w:val="none" w:sz="0" w:space="0" w:color="auto"/>
                                <w:left w:val="none" w:sz="0" w:space="0" w:color="auto"/>
                                <w:bottom w:val="none" w:sz="0" w:space="0" w:color="auto"/>
                                <w:right w:val="none" w:sz="0" w:space="0" w:color="auto"/>
                              </w:divBdr>
                              <w:divsChild>
                                <w:div w:id="77352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4228581">
      <w:bodyDiv w:val="1"/>
      <w:marLeft w:val="0"/>
      <w:marRight w:val="0"/>
      <w:marTop w:val="0"/>
      <w:marBottom w:val="0"/>
      <w:divBdr>
        <w:top w:val="none" w:sz="0" w:space="0" w:color="auto"/>
        <w:left w:val="none" w:sz="0" w:space="0" w:color="auto"/>
        <w:bottom w:val="none" w:sz="0" w:space="0" w:color="auto"/>
        <w:right w:val="none" w:sz="0" w:space="0" w:color="auto"/>
      </w:divBdr>
    </w:div>
    <w:div w:id="2144804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hyperlink" Target="https://www.ashfield.gov.uk/planning-and-building-control/supplementary-planning-documents-and-guidance/" TargetMode="External"/><Relationship Id="rId21" Type="http://schemas.openxmlformats.org/officeDocument/2006/relationships/customXml" Target="ink/ink1.xm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customXml" Target="ink/ink9.xml"/><Relationship Id="rId68" Type="http://schemas.openxmlformats.org/officeDocument/2006/relationships/image" Target="media/image100.png"/><Relationship Id="rId84" Type="http://schemas.openxmlformats.org/officeDocument/2006/relationships/customXml" Target="ink/ink11.xml"/><Relationship Id="rId89" Type="http://schemas.openxmlformats.org/officeDocument/2006/relationships/customXml" Target="ink/ink12.xml"/><Relationship Id="rId112" Type="http://schemas.openxmlformats.org/officeDocument/2006/relationships/hyperlink" Target="https://www.ashfield.gov.uk/planning-and-building-control/supplementary-planning-documents-and-guidance/" TargetMode="External"/><Relationship Id="rId16" Type="http://schemas.openxmlformats.org/officeDocument/2006/relationships/header" Target="header2.xml"/><Relationship Id="rId107" Type="http://schemas.openxmlformats.org/officeDocument/2006/relationships/image" Target="media/image37.jpeg"/><Relationship Id="rId11" Type="http://schemas.openxmlformats.org/officeDocument/2006/relationships/image" Target="media/image1.jpeg"/><Relationship Id="rId32" Type="http://schemas.openxmlformats.org/officeDocument/2006/relationships/customXml" Target="ink/ink4.xml"/><Relationship Id="rId37" Type="http://schemas.openxmlformats.org/officeDocument/2006/relationships/image" Target="media/image11.png"/><Relationship Id="rId53" Type="http://schemas.openxmlformats.org/officeDocument/2006/relationships/header" Target="header9.xml"/><Relationship Id="rId58" Type="http://schemas.openxmlformats.org/officeDocument/2006/relationships/header" Target="header12.xml"/><Relationship Id="rId74" Type="http://schemas.openxmlformats.org/officeDocument/2006/relationships/image" Target="media/image25.emf"/><Relationship Id="rId79" Type="http://schemas.openxmlformats.org/officeDocument/2006/relationships/image" Target="media/image30.png"/><Relationship Id="rId102" Type="http://schemas.openxmlformats.org/officeDocument/2006/relationships/image" Target="media/image35.jpeg"/><Relationship Id="rId123" Type="http://schemas.openxmlformats.org/officeDocument/2006/relationships/image" Target="media/image45.jpeg"/><Relationship Id="rId128" Type="http://schemas.openxmlformats.org/officeDocument/2006/relationships/image" Target="media/image46.png"/><Relationship Id="rId5" Type="http://schemas.openxmlformats.org/officeDocument/2006/relationships/numbering" Target="numbering.xml"/><Relationship Id="rId90" Type="http://schemas.openxmlformats.org/officeDocument/2006/relationships/image" Target="media/image191.png"/><Relationship Id="rId95" Type="http://schemas.openxmlformats.org/officeDocument/2006/relationships/customXml" Target="ink/ink15.xml"/><Relationship Id="rId22" Type="http://schemas.openxmlformats.org/officeDocument/2006/relationships/image" Target="media/image3.png"/><Relationship Id="rId27" Type="http://schemas.openxmlformats.org/officeDocument/2006/relationships/image" Target="media/image7.png"/><Relationship Id="rId43" Type="http://schemas.openxmlformats.org/officeDocument/2006/relationships/image" Target="media/image15.jpeg"/><Relationship Id="rId48" Type="http://schemas.openxmlformats.org/officeDocument/2006/relationships/header" Target="header6.xml"/><Relationship Id="rId69" Type="http://schemas.openxmlformats.org/officeDocument/2006/relationships/image" Target="media/image20.emf"/><Relationship Id="rId113" Type="http://schemas.openxmlformats.org/officeDocument/2006/relationships/hyperlink" Target="https://www.ashfield.gov.uk/planning-and-building-control/supplementary-planning-documents-and-guidance/" TargetMode="External"/><Relationship Id="rId118" Type="http://schemas.openxmlformats.org/officeDocument/2006/relationships/image" Target="media/image42.png"/><Relationship Id="rId80" Type="http://schemas.openxmlformats.org/officeDocument/2006/relationships/image" Target="media/image31.emf"/><Relationship Id="rId85" Type="http://schemas.openxmlformats.org/officeDocument/2006/relationships/image" Target="media/image17.png"/><Relationship Id="rId12" Type="http://schemas.openxmlformats.org/officeDocument/2006/relationships/hyperlink" Target="mailto:localplan@ashfield.gov.uk" TargetMode="External"/><Relationship Id="rId17" Type="http://schemas.openxmlformats.org/officeDocument/2006/relationships/footer" Target="footer2.xml"/><Relationship Id="rId33" Type="http://schemas.openxmlformats.org/officeDocument/2006/relationships/image" Target="media/image9.png"/><Relationship Id="rId38" Type="http://schemas.openxmlformats.org/officeDocument/2006/relationships/customXml" Target="ink/ink7.xml"/><Relationship Id="rId59" Type="http://schemas.openxmlformats.org/officeDocument/2006/relationships/header" Target="header13.xml"/><Relationship Id="rId103" Type="http://schemas.openxmlformats.org/officeDocument/2006/relationships/hyperlink" Target="https://www.ashfield.gov.uk/local-plan-examination/submission-documents-and-evidence-base/" TargetMode="External"/><Relationship Id="rId108" Type="http://schemas.openxmlformats.org/officeDocument/2006/relationships/hyperlink" Target="https://www.ashfield.gov.uk/planning-and-building-control/supplementary-planning-documents-and-guidance/" TargetMode="External"/><Relationship Id="rId124" Type="http://schemas.openxmlformats.org/officeDocument/2006/relationships/hyperlink" Target="https://www.ashfield.gov.uk/planning-and-building-control/supplementary-planning-documents-and-guidance/" TargetMode="External"/><Relationship Id="rId129" Type="http://schemas.openxmlformats.org/officeDocument/2006/relationships/header" Target="header18.xml"/><Relationship Id="rId54" Type="http://schemas.openxmlformats.org/officeDocument/2006/relationships/hyperlink" Target="http://www.opsi.gov.uk/si/si2006/20060372.htm" TargetMode="External"/><Relationship Id="rId70" Type="http://schemas.openxmlformats.org/officeDocument/2006/relationships/image" Target="media/image21.emf"/><Relationship Id="rId75" Type="http://schemas.openxmlformats.org/officeDocument/2006/relationships/image" Target="media/image26.emf"/><Relationship Id="rId91" Type="http://schemas.openxmlformats.org/officeDocument/2006/relationships/customXml" Target="ink/ink13.xml"/><Relationship Id="rId96" Type="http://schemas.openxmlformats.org/officeDocument/2006/relationships/image" Target="media/image19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customXml" Target="ink/ink2.xml"/><Relationship Id="rId28" Type="http://schemas.openxmlformats.org/officeDocument/2006/relationships/header" Target="header4.xml"/><Relationship Id="rId49" Type="http://schemas.openxmlformats.org/officeDocument/2006/relationships/hyperlink" Target="http://planningguidance.planningportal.gov.uk/blog/guidance/local-plans/" TargetMode="External"/><Relationship Id="rId114" Type="http://schemas.openxmlformats.org/officeDocument/2006/relationships/image" Target="media/image40.png"/><Relationship Id="rId119" Type="http://schemas.openxmlformats.org/officeDocument/2006/relationships/image" Target="media/image43.jpeg"/><Relationship Id="rId44" Type="http://schemas.openxmlformats.org/officeDocument/2006/relationships/image" Target="media/image16.png"/><Relationship Id="rId60" Type="http://schemas.openxmlformats.org/officeDocument/2006/relationships/hyperlink" Target="http://www.defra.gov.uk/food-farm/farm-manage/cross-compliance/" TargetMode="External"/><Relationship Id="rId81" Type="http://schemas.openxmlformats.org/officeDocument/2006/relationships/image" Target="media/image32.png"/><Relationship Id="rId86" Type="http://schemas.openxmlformats.org/officeDocument/2006/relationships/image" Target="media/image33.png"/><Relationship Id="rId130" Type="http://schemas.openxmlformats.org/officeDocument/2006/relationships/footer" Target="footer7.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12.png"/><Relationship Id="rId109" Type="http://schemas.openxmlformats.org/officeDocument/2006/relationships/hyperlink" Target="https://www.ashfield.gov.uk/planning-and-building-control/supplementary-planning-documents-and-guidance/" TargetMode="External"/><Relationship Id="rId34" Type="http://schemas.openxmlformats.org/officeDocument/2006/relationships/customXml" Target="ink/ink5.xml"/><Relationship Id="rId50" Type="http://schemas.openxmlformats.org/officeDocument/2006/relationships/header" Target="header7.xml"/><Relationship Id="rId55" Type="http://schemas.openxmlformats.org/officeDocument/2006/relationships/hyperlink" Target="http://www.opsi.gov.uk/si/si2007/uksi_20071903_en_1" TargetMode="External"/><Relationship Id="rId76" Type="http://schemas.openxmlformats.org/officeDocument/2006/relationships/image" Target="media/image27.emf"/><Relationship Id="rId97" Type="http://schemas.openxmlformats.org/officeDocument/2006/relationships/chart" Target="charts/chart1.xml"/><Relationship Id="rId104" Type="http://schemas.openxmlformats.org/officeDocument/2006/relationships/hyperlink" Target="https://www.ashfield.gov.uk/planning-and-building-control/supplementary-planning-documents-and-guidance/" TargetMode="External"/><Relationship Id="rId120" Type="http://schemas.openxmlformats.org/officeDocument/2006/relationships/hyperlink" Target="https://www.ashfield.gov.uk/planning-and-building-control/supplementary-planning-documents-and-guidance/" TargetMode="External"/><Relationship Id="rId125" Type="http://schemas.openxmlformats.org/officeDocument/2006/relationships/hyperlink" Target="https://www.ashfield.gov.uk/planning-and-building-control/supplementary-planning-documents-and-guidance/" TargetMode="External"/><Relationship Id="rId7" Type="http://schemas.openxmlformats.org/officeDocument/2006/relationships/settings" Target="settings.xml"/><Relationship Id="rId71" Type="http://schemas.openxmlformats.org/officeDocument/2006/relationships/image" Target="media/image22.emf"/><Relationship Id="rId92" Type="http://schemas.openxmlformats.org/officeDocument/2006/relationships/image" Target="media/image200.png"/><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image" Target="media/image4.png"/><Relationship Id="rId40" Type="http://schemas.openxmlformats.org/officeDocument/2006/relationships/customXml" Target="ink/ink8.xml"/><Relationship Id="rId45" Type="http://schemas.openxmlformats.org/officeDocument/2006/relationships/image" Target="media/image17.emf"/><Relationship Id="rId87" Type="http://schemas.openxmlformats.org/officeDocument/2006/relationships/header" Target="header15.xml"/><Relationship Id="rId110" Type="http://schemas.openxmlformats.org/officeDocument/2006/relationships/image" Target="media/image38.png"/><Relationship Id="rId115" Type="http://schemas.openxmlformats.org/officeDocument/2006/relationships/image" Target="media/image41.png"/><Relationship Id="rId131" Type="http://schemas.openxmlformats.org/officeDocument/2006/relationships/fontTable" Target="fontTable.xml"/><Relationship Id="rId61" Type="http://schemas.openxmlformats.org/officeDocument/2006/relationships/hyperlink" Target="https://www.gov.uk/guidance/first-homes" TargetMode="External"/><Relationship Id="rId82" Type="http://schemas.openxmlformats.org/officeDocument/2006/relationships/customXml" Target="ink/ink10.xml"/><Relationship Id="rId19" Type="http://schemas.openxmlformats.org/officeDocument/2006/relationships/footer" Target="footer3.xml"/><Relationship Id="rId14" Type="http://schemas.openxmlformats.org/officeDocument/2006/relationships/footer" Target="footer1.xml"/><Relationship Id="rId30" Type="http://schemas.openxmlformats.org/officeDocument/2006/relationships/customXml" Target="ink/ink3.xml"/><Relationship Id="rId35" Type="http://schemas.openxmlformats.org/officeDocument/2006/relationships/image" Target="media/image10.png"/><Relationship Id="rId56" Type="http://schemas.openxmlformats.org/officeDocument/2006/relationships/header" Target="header10.xml"/><Relationship Id="rId77" Type="http://schemas.openxmlformats.org/officeDocument/2006/relationships/image" Target="media/image28.emf"/><Relationship Id="rId100" Type="http://schemas.openxmlformats.org/officeDocument/2006/relationships/header" Target="header16.xml"/><Relationship Id="rId105" Type="http://schemas.openxmlformats.org/officeDocument/2006/relationships/hyperlink" Target="https://www.ashfield.gov.uk/planning-and-building-control/supplementary-planning-documents-and-guidance/" TargetMode="External"/><Relationship Id="rId126" Type="http://schemas.openxmlformats.org/officeDocument/2006/relationships/header" Target="header17.xml"/><Relationship Id="rId8" Type="http://schemas.openxmlformats.org/officeDocument/2006/relationships/webSettings" Target="webSettings.xml"/><Relationship Id="rId51" Type="http://schemas.openxmlformats.org/officeDocument/2006/relationships/header" Target="header8.xml"/><Relationship Id="rId72" Type="http://schemas.openxmlformats.org/officeDocument/2006/relationships/image" Target="media/image23.emf"/><Relationship Id="rId93" Type="http://schemas.openxmlformats.org/officeDocument/2006/relationships/customXml" Target="ink/ink14.xml"/><Relationship Id="rId98" Type="http://schemas.openxmlformats.org/officeDocument/2006/relationships/chart" Target="charts/chart2.xml"/><Relationship Id="rId121" Type="http://schemas.openxmlformats.org/officeDocument/2006/relationships/hyperlink" Target="https://www.ashfield.gov.uk/local-plan-examination/submission-documents-and-evidence-base/" TargetMode="Externa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18.jpeg"/><Relationship Id="rId116" Type="http://schemas.openxmlformats.org/officeDocument/2006/relationships/hyperlink" Target="https://www.ashfield.gov.uk/planning-and-building-control/supplementary-planning-documents-and-guidance/" TargetMode="External"/><Relationship Id="rId20" Type="http://schemas.openxmlformats.org/officeDocument/2006/relationships/image" Target="media/image3.jpeg"/><Relationship Id="rId41" Type="http://schemas.openxmlformats.org/officeDocument/2006/relationships/image" Target="media/image13.png"/><Relationship Id="rId62" Type="http://schemas.openxmlformats.org/officeDocument/2006/relationships/header" Target="header14.xml"/><Relationship Id="rId83" Type="http://schemas.openxmlformats.org/officeDocument/2006/relationships/image" Target="media/image160.png"/><Relationship Id="rId88" Type="http://schemas.openxmlformats.org/officeDocument/2006/relationships/footer" Target="footer4.xml"/><Relationship Id="rId111" Type="http://schemas.openxmlformats.org/officeDocument/2006/relationships/image" Target="media/image39.jpeg"/><Relationship Id="rId132" Type="http://schemas.openxmlformats.org/officeDocument/2006/relationships/theme" Target="theme/theme1.xml"/><Relationship Id="rId15" Type="http://schemas.openxmlformats.org/officeDocument/2006/relationships/image" Target="media/image2.png"/><Relationship Id="rId36" Type="http://schemas.openxmlformats.org/officeDocument/2006/relationships/customXml" Target="ink/ink6.xml"/><Relationship Id="rId57" Type="http://schemas.openxmlformats.org/officeDocument/2006/relationships/header" Target="header11.xml"/><Relationship Id="rId106" Type="http://schemas.openxmlformats.org/officeDocument/2006/relationships/image" Target="media/image36.png"/><Relationship Id="rId127" Type="http://schemas.openxmlformats.org/officeDocument/2006/relationships/footer" Target="footer6.xml"/><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hyperlink" Target="https://assets.publishing.service.gov.uk/government/uploads/system/uploads/attachment_data/file/1012931/HDT_Measurement_Rule_Book.pdf" TargetMode="External"/><Relationship Id="rId73" Type="http://schemas.openxmlformats.org/officeDocument/2006/relationships/image" Target="media/image24.emf"/><Relationship Id="rId78" Type="http://schemas.openxmlformats.org/officeDocument/2006/relationships/image" Target="media/image29.emf"/><Relationship Id="rId94" Type="http://schemas.openxmlformats.org/officeDocument/2006/relationships/image" Target="media/image21.png"/><Relationship Id="rId99" Type="http://schemas.openxmlformats.org/officeDocument/2006/relationships/image" Target="media/image34.emf"/><Relationship Id="rId101" Type="http://schemas.openxmlformats.org/officeDocument/2006/relationships/footer" Target="footer5.xml"/><Relationship Id="rId122" Type="http://schemas.openxmlformats.org/officeDocument/2006/relationships/image" Target="media/image44.png"/><Relationship Id="rId4" Type="http://schemas.openxmlformats.org/officeDocument/2006/relationships/customXml" Target="../customXml/item4.xml"/><Relationship Id="rId9" Type="http://schemas.openxmlformats.org/officeDocument/2006/relationships/footnotes" Target="footnotes.xml"/></Relationships>
</file>

<file path=word/_rels/footer7.xml.rels><?xml version="1.0" encoding="UTF-8" standalone="yes"?>
<Relationships xmlns="http://schemas.openxmlformats.org/package/2006/relationships"><Relationship Id="rId1" Type="http://schemas.openxmlformats.org/officeDocument/2006/relationships/image" Target="media/image47.png"/></Relationships>
</file>

<file path=word/_rels/footnotes.xml.rels><?xml version="1.0" encoding="UTF-8" standalone="yes"?>
<Relationships xmlns="http://schemas.openxmlformats.org/package/2006/relationships"><Relationship Id="rId13" Type="http://schemas.openxmlformats.org/officeDocument/2006/relationships/hyperlink" Target="https://www.ashfield.gov.uk/planning-building-control/development-management-documents/" TargetMode="External"/><Relationship Id="rId18" Type="http://schemas.openxmlformats.org/officeDocument/2006/relationships/hyperlink" Target="https://www.un.org/sustainabledevelopment/sustainable-development-goals/" TargetMode="External"/><Relationship Id="rId26" Type="http://schemas.openxmlformats.org/officeDocument/2006/relationships/hyperlink" Target="https://www.ashfield.gov.uk/media/8d850ae2a324a84/ashfield-and-mansfield-a-plan-for-growth-2017.pdf" TargetMode="External"/><Relationship Id="rId39" Type="http://schemas.openxmlformats.org/officeDocument/2006/relationships/hyperlink" Target="https://www.ashfield.gov.uk/planning-building-control/building-control-regulations/self-build-custom-builds/self-build-custom-monitoring/" TargetMode="External"/><Relationship Id="rId21" Type="http://schemas.openxmlformats.org/officeDocument/2006/relationships/hyperlink" Target="https://www.gov.uk/government/publications/integrated-rail-plan-for-the-north-and-the-midlands" TargetMode="External"/><Relationship Id="rId34" Type="http://schemas.openxmlformats.org/officeDocument/2006/relationships/hyperlink" Target="https://www.gov.uk/government/publications/national-model-design-code" TargetMode="External"/><Relationship Id="rId42" Type="http://schemas.openxmlformats.org/officeDocument/2006/relationships/hyperlink" Target="http://discoverashfield.co.uk/" TargetMode="External"/><Relationship Id="rId47" Type="http://schemas.openxmlformats.org/officeDocument/2006/relationships/hyperlink" Target="https://www.ashfield.gov.uk/media/xmhna3qg/natural_england_s_advice_notes_on_the_sherwood_ppspa__2014.pdf" TargetMode="External"/><Relationship Id="rId50" Type="http://schemas.openxmlformats.org/officeDocument/2006/relationships/hyperlink" Target="https://www.ashfield.gov.uk/planning-building-control/local-plan/" TargetMode="External"/><Relationship Id="rId7" Type="http://schemas.openxmlformats.org/officeDocument/2006/relationships/hyperlink" Target="https://www.gov.uk/government/collections/planning-practice-guidance" TargetMode="External"/><Relationship Id="rId2" Type="http://schemas.openxmlformats.org/officeDocument/2006/relationships/hyperlink" Target="https://www.nottinghamshire.gov.uk/planning-and-environment/waste-development-plan/waste-core-strategy" TargetMode="External"/><Relationship Id="rId16" Type="http://schemas.openxmlformats.org/officeDocument/2006/relationships/hyperlink" Target="https://www.ashfield.gov.uk/planning-building-control/neighbourhood-plans/jacksdale-underwood-selston-neighbourhood-plan/" TargetMode="External"/><Relationship Id="rId29" Type="http://schemas.openxmlformats.org/officeDocument/2006/relationships/hyperlink" Target="https://www.ashfield.gov.uk/community-leisure/anti-social-behaviour-community-safety/" TargetMode="External"/><Relationship Id="rId11" Type="http://schemas.openxmlformats.org/officeDocument/2006/relationships/hyperlink" Target="https://www.ashfield.gov.uk/planning-building-control/local-plan/emerging-local-plan/" TargetMode="External"/><Relationship Id="rId24" Type="http://schemas.openxmlformats.org/officeDocument/2006/relationships/hyperlink" Target="https://www.ashfield.gov.uk/your-council/strategies-plans-policies/" TargetMode="External"/><Relationship Id="rId32" Type="http://schemas.openxmlformats.org/officeDocument/2006/relationships/hyperlink" Target="https://www.ashfield.gov.uk/planning-building-control/local-plan/monitoring/" TargetMode="External"/><Relationship Id="rId37" Type="http://schemas.openxmlformats.org/officeDocument/2006/relationships/hyperlink" Target="https://www.ashfield.gov.uk/planning-building-control/local-plan/monitoring/" TargetMode="External"/><Relationship Id="rId40" Type="http://schemas.openxmlformats.org/officeDocument/2006/relationships/hyperlink" Target="https://www.gov.uk/government/uploads/system/uploads/attachment_data/file/457420/Final_planning_and_travellers_policy.pdf" TargetMode="External"/><Relationship Id="rId45" Type="http://schemas.openxmlformats.org/officeDocument/2006/relationships/hyperlink" Target="https://www.gov.uk/government/publications/water-stressed-areas-2021-classification" TargetMode="External"/><Relationship Id="rId5" Type="http://schemas.openxmlformats.org/officeDocument/2006/relationships/hyperlink" Target="https://www.nottinghamshire.gov.uk/planning-and-environment/minerals-local-plan/adopted-minerals-local-plan" TargetMode="External"/><Relationship Id="rId15" Type="http://schemas.openxmlformats.org/officeDocument/2006/relationships/hyperlink" Target="https://www.mansfield.gov.uk/downloads/file/482/natural-england-s-advice-notes-on-the-sherwood-ppspa-2014" TargetMode="External"/><Relationship Id="rId23" Type="http://schemas.openxmlformats.org/officeDocument/2006/relationships/hyperlink" Target="https://www.nottinghamshire.gov.uk/policy-library/38815/the-joint-health-and-wellbeing-strategy-for-2022-2026" TargetMode="External"/><Relationship Id="rId28" Type="http://schemas.openxmlformats.org/officeDocument/2006/relationships/hyperlink" Target="https://www.ashfield.gov.uk/your-council/strategies-plans-policies/housing-strategy-research/affordable-housing-delivery-strategy-2021-to-2023/" TargetMode="External"/><Relationship Id="rId36" Type="http://schemas.openxmlformats.org/officeDocument/2006/relationships/hyperlink" Target="https://www.gov.uk/guidance/housing-and-economic-development-needs-assessments" TargetMode="External"/><Relationship Id="rId49" Type="http://schemas.openxmlformats.org/officeDocument/2006/relationships/hyperlink" Target="https://www.ashfield.gov.uk/your-council/strategies-plans-policies/housing-strategy-research/" TargetMode="External"/><Relationship Id="rId10" Type="http://schemas.openxmlformats.org/officeDocument/2006/relationships/hyperlink" Target="https://www.ashfield.gov.uk/planning-building-control/local-plan/emerging-local-plan/" TargetMode="External"/><Relationship Id="rId19" Type="http://schemas.openxmlformats.org/officeDocument/2006/relationships/hyperlink" Target="https://www.nottinghamshire.gov.uk/transport/public-transport/plans-strategies-policies/local-transport-plan" TargetMode="External"/><Relationship Id="rId31" Type="http://schemas.openxmlformats.org/officeDocument/2006/relationships/hyperlink" Target="https://www.ashfield.gov.uk/planning-building-control/development-management-documents/" TargetMode="External"/><Relationship Id="rId44" Type="http://schemas.openxmlformats.org/officeDocument/2006/relationships/hyperlink" Target="https://www.ashfield.gov.uk/business-licensing/support-into-work/towns-fund/" TargetMode="External"/><Relationship Id="rId4" Type="http://schemas.openxmlformats.org/officeDocument/2006/relationships/hyperlink" Target="https://www.nottinghamshire.gov.uk/planning-and-environment/minerals-local-plan/adopted-minerals-local-plan" TargetMode="External"/><Relationship Id="rId9" Type="http://schemas.openxmlformats.org/officeDocument/2006/relationships/hyperlink" Target="https://www.ashfield.gov.uk/planning-building-control/local-plan/statement-of-community-involvement/" TargetMode="External"/><Relationship Id="rId14" Type="http://schemas.openxmlformats.org/officeDocument/2006/relationships/hyperlink" Target="https://www.ons.gov.uk/peoplepopulationandcommunity/populationandmigration/populationestimates/datasets/populationestimatesforukenglandandwalesscotlandandnorthernireland" TargetMode="External"/><Relationship Id="rId22" Type="http://schemas.openxmlformats.org/officeDocument/2006/relationships/hyperlink" Target="https://www.gov.uk/government/publications/hs2-safeguarding-for-developers-and-local-authorities" TargetMode="External"/><Relationship Id="rId27" Type="http://schemas.openxmlformats.org/officeDocument/2006/relationships/hyperlink" Target="https://www.ashfield.gov.uk/housing/housing-strategy-and-research/affordable-housing-delivery-strategy-2023-to-2025/" TargetMode="External"/><Relationship Id="rId30" Type="http://schemas.openxmlformats.org/officeDocument/2006/relationships/hyperlink" Target="https://www.ashfield.gov.uk/business-licensing/support-into-work/towns-fund/" TargetMode="External"/><Relationship Id="rId35" Type="http://schemas.openxmlformats.org/officeDocument/2006/relationships/hyperlink" Target="https://www.udg.org.uk/sites/default/files/publications/files/14JULY20%20BFL%202020%20Brochure_3.pdf" TargetMode="External"/><Relationship Id="rId43" Type="http://schemas.openxmlformats.org/officeDocument/2006/relationships/hyperlink" Target="https://www.gedling.gov.uk/acs/" TargetMode="External"/><Relationship Id="rId48" Type="http://schemas.openxmlformats.org/officeDocument/2006/relationships/hyperlink" Target="https://assets.publishing.service.gov.uk/government/uploads/system/uploads/attachment_data/file/457420/Final_planning_and_travellers_policy.pdf" TargetMode="External"/><Relationship Id="rId8" Type="http://schemas.openxmlformats.org/officeDocument/2006/relationships/hyperlink" Target="https://www.ashfield.gov.uk/planning-building-control/local-plan/emerging-local-plan/local-plan-evidence-base/" TargetMode="External"/><Relationship Id="rId51" Type="http://schemas.openxmlformats.org/officeDocument/2006/relationships/hyperlink" Target="https://www.ashfield.gov.uk/planning-building-control/building-control-regulations/self-build-custom-builds/self-build-custom-monitoring/" TargetMode="External"/><Relationship Id="rId3" Type="http://schemas.openxmlformats.org/officeDocument/2006/relationships/hyperlink" Target="https://www.nottinghamshire.gov.uk/planning-and-environment/waste-development-plan/adopted-waste-local-plan" TargetMode="External"/><Relationship Id="rId12" Type="http://schemas.openxmlformats.org/officeDocument/2006/relationships/hyperlink" Target="https://www.legislation.gov.uk/uksi/2017/1244/regulation/4/made" TargetMode="External"/><Relationship Id="rId17" Type="http://schemas.openxmlformats.org/officeDocument/2006/relationships/hyperlink" Target="https://www.ashfield.gov.uk/planning-building-control/neighbourhood-plans/teversal-stanton-hill-skegby-neighbourhood-plan/" TargetMode="External"/><Relationship Id="rId25" Type="http://schemas.openxmlformats.org/officeDocument/2006/relationships/hyperlink" Target="https://www.ashfield.gov.uk/media/8d88f9438231a5e/social-value-policy.pdf" TargetMode="External"/><Relationship Id="rId33" Type="http://schemas.openxmlformats.org/officeDocument/2006/relationships/hyperlink" Target="https://www.ashfield.gov.uk/planning-building-control/local-plan/sustainability-appraisal/" TargetMode="External"/><Relationship Id="rId38" Type="http://schemas.openxmlformats.org/officeDocument/2006/relationships/hyperlink" Target="https://www.ashfield.gov.uk/media/8d890976f713e6c/2020-11-10-greater-nottingham-and-ashfield_housing-needs-assessment_final.pdf" TargetMode="External"/><Relationship Id="rId46" Type="http://schemas.openxmlformats.org/officeDocument/2006/relationships/hyperlink" Target="https://www.ashfield.gov.uk/planning-building-control/development-management-documents/" TargetMode="External"/><Relationship Id="rId20" Type="http://schemas.openxmlformats.org/officeDocument/2006/relationships/hyperlink" Target="https://www.lepnetwork.net/lep-activities/local-industrial-strategies/" TargetMode="External"/><Relationship Id="rId41" Type="http://schemas.openxmlformats.org/officeDocument/2006/relationships/hyperlink" Target="https://www.ashfield.gov.uk/planning-building-control/local-plan/emerging-local-plan/local-plan-evidence-base/" TargetMode="External"/><Relationship Id="rId1" Type="http://schemas.openxmlformats.org/officeDocument/2006/relationships/hyperlink" Target="https://www.nottinghamshire.gov.uk/planning-and-environment/waste-development-plan/adopted-waste-local-plan" TargetMode="External"/><Relationship Id="rId6" Type="http://schemas.openxmlformats.org/officeDocument/2006/relationships/hyperlink" Target="https://assets.publishing.service.gov.uk/government/uploads/system/uploads/attachment_data/file/1182995/NPPF_Sept_23.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Ashfield Housing Trajectory Chart 2023 to 2040</a:t>
            </a:r>
          </a:p>
        </c:rich>
      </c:tx>
      <c:layout>
        <c:manualLayout>
          <c:xMode val="edge"/>
          <c:yMode val="edge"/>
          <c:x val="0.12018744531933509"/>
          <c:y val="5.6100973506499324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1"/>
          <c:order val="1"/>
          <c:tx>
            <c:strRef>
              <c:f>'Trajectory 2023-2040'!$A$4</c:f>
              <c:strCache>
                <c:ptCount val="1"/>
                <c:pt idx="0">
                  <c:v>Projected completions from large sites without planning permission</c:v>
                </c:pt>
              </c:strCache>
            </c:strRef>
          </c:tx>
          <c:spPr>
            <a:solidFill>
              <a:schemeClr val="accent2"/>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2023-2040'!$B$4:$R$4</c:f>
              <c:numCache>
                <c:formatCode>#,##0</c:formatCode>
                <c:ptCount val="17"/>
                <c:pt idx="0">
                  <c:v>0</c:v>
                </c:pt>
                <c:pt idx="1">
                  <c:v>0</c:v>
                </c:pt>
                <c:pt idx="2">
                  <c:v>35</c:v>
                </c:pt>
                <c:pt idx="3">
                  <c:v>140</c:v>
                </c:pt>
                <c:pt idx="4">
                  <c:v>108</c:v>
                </c:pt>
                <c:pt idx="5">
                  <c:v>1082</c:v>
                </c:pt>
                <c:pt idx="6">
                  <c:v>694</c:v>
                </c:pt>
                <c:pt idx="7">
                  <c:v>480</c:v>
                </c:pt>
                <c:pt idx="8">
                  <c:v>350</c:v>
                </c:pt>
                <c:pt idx="9">
                  <c:v>318</c:v>
                </c:pt>
                <c:pt idx="10">
                  <c:v>266</c:v>
                </c:pt>
                <c:pt idx="11">
                  <c:v>157</c:v>
                </c:pt>
                <c:pt idx="12">
                  <c:v>124</c:v>
                </c:pt>
                <c:pt idx="13">
                  <c:v>3</c:v>
                </c:pt>
                <c:pt idx="14">
                  <c:v>0</c:v>
                </c:pt>
                <c:pt idx="15">
                  <c:v>0</c:v>
                </c:pt>
                <c:pt idx="16">
                  <c:v>0</c:v>
                </c:pt>
              </c:numCache>
            </c:numRef>
          </c:val>
          <c:extLst>
            <c:ext xmlns:c16="http://schemas.microsoft.com/office/drawing/2014/chart" uri="{C3380CC4-5D6E-409C-BE32-E72D297353CC}">
              <c16:uniqueId val="{00000000-EF10-4C82-8111-AB42962F42B8}"/>
            </c:ext>
          </c:extLst>
        </c:ser>
        <c:ser>
          <c:idx val="2"/>
          <c:order val="2"/>
          <c:tx>
            <c:strRef>
              <c:f>'Trajectory 2023-2040'!$A$5</c:f>
              <c:strCache>
                <c:ptCount val="1"/>
                <c:pt idx="0">
                  <c:v>Projected completions from large sites with Full planning permission</c:v>
                </c:pt>
              </c:strCache>
            </c:strRef>
          </c:tx>
          <c:spPr>
            <a:solidFill>
              <a:srgbClr val="92D050"/>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2023-2040'!$B$5:$R$5</c:f>
              <c:numCache>
                <c:formatCode>#,##0</c:formatCode>
                <c:ptCount val="17"/>
                <c:pt idx="0">
                  <c:v>310</c:v>
                </c:pt>
                <c:pt idx="1">
                  <c:v>338</c:v>
                </c:pt>
                <c:pt idx="2">
                  <c:v>280</c:v>
                </c:pt>
                <c:pt idx="3">
                  <c:v>244</c:v>
                </c:pt>
                <c:pt idx="4">
                  <c:v>184</c:v>
                </c:pt>
                <c:pt idx="5">
                  <c:v>129</c:v>
                </c:pt>
                <c:pt idx="6">
                  <c:v>81</c:v>
                </c:pt>
                <c:pt idx="7">
                  <c:v>70</c:v>
                </c:pt>
                <c:pt idx="8">
                  <c:v>70</c:v>
                </c:pt>
                <c:pt idx="9">
                  <c:v>55</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1-EF10-4C82-8111-AB42962F42B8}"/>
            </c:ext>
          </c:extLst>
        </c:ser>
        <c:ser>
          <c:idx val="3"/>
          <c:order val="3"/>
          <c:tx>
            <c:strRef>
              <c:f>'Trajectory 2023-2040'!$A$6</c:f>
              <c:strCache>
                <c:ptCount val="1"/>
                <c:pt idx="0">
                  <c:v>Projected completions from large sites with outline planning permission</c:v>
                </c:pt>
              </c:strCache>
            </c:strRef>
          </c:tx>
          <c:spPr>
            <a:solidFill>
              <a:schemeClr val="accent6">
                <a:lumMod val="75000"/>
              </a:schemeClr>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2023-2040'!$B$6:$R$6</c:f>
              <c:numCache>
                <c:formatCode>#,##0</c:formatCode>
                <c:ptCount val="17"/>
                <c:pt idx="0">
                  <c:v>0</c:v>
                </c:pt>
                <c:pt idx="1">
                  <c:v>0</c:v>
                </c:pt>
                <c:pt idx="2">
                  <c:v>0</c:v>
                </c:pt>
                <c:pt idx="3">
                  <c:v>58</c:v>
                </c:pt>
                <c:pt idx="4">
                  <c:v>35</c:v>
                </c:pt>
                <c:pt idx="5">
                  <c:v>47</c:v>
                </c:pt>
                <c:pt idx="6">
                  <c:v>35</c:v>
                </c:pt>
                <c:pt idx="7">
                  <c:v>14</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2-EF10-4C82-8111-AB42962F42B8}"/>
            </c:ext>
          </c:extLst>
        </c:ser>
        <c:ser>
          <c:idx val="4"/>
          <c:order val="4"/>
          <c:tx>
            <c:strRef>
              <c:f>'Trajectory 2023-2040'!$A$7</c:f>
              <c:strCache>
                <c:ptCount val="1"/>
                <c:pt idx="0">
                  <c:v>Projected Completions from Small Sites with Full Planning Permission</c:v>
                </c:pt>
              </c:strCache>
            </c:strRef>
          </c:tx>
          <c:spPr>
            <a:solidFill>
              <a:schemeClr val="accent5"/>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2023-2040'!$B$7:$R$7</c:f>
              <c:numCache>
                <c:formatCode>#,##0</c:formatCode>
                <c:ptCount val="17"/>
                <c:pt idx="0">
                  <c:v>81</c:v>
                </c:pt>
                <c:pt idx="1">
                  <c:v>18</c:v>
                </c:pt>
                <c:pt idx="2">
                  <c:v>151</c:v>
                </c:pt>
                <c:pt idx="3">
                  <c:v>20</c:v>
                </c:pt>
                <c:pt idx="4">
                  <c:v>1</c:v>
                </c:pt>
                <c:pt idx="5">
                  <c:v>0</c:v>
                </c:pt>
                <c:pt idx="6">
                  <c:v>0</c:v>
                </c:pt>
                <c:pt idx="7">
                  <c:v>0</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3-EF10-4C82-8111-AB42962F42B8}"/>
            </c:ext>
          </c:extLst>
        </c:ser>
        <c:ser>
          <c:idx val="5"/>
          <c:order val="5"/>
          <c:tx>
            <c:strRef>
              <c:f>'Trajectory 2023-2040'!$A$8</c:f>
              <c:strCache>
                <c:ptCount val="1"/>
                <c:pt idx="0">
                  <c:v>Projected Completions from Small Sites with Outline Planning Permission</c:v>
                </c:pt>
              </c:strCache>
            </c:strRef>
          </c:tx>
          <c:spPr>
            <a:solidFill>
              <a:srgbClr val="66FFFF"/>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2023-2040'!$B$8:$R$8</c:f>
              <c:numCache>
                <c:formatCode>#,##0</c:formatCode>
                <c:ptCount val="17"/>
                <c:pt idx="0">
                  <c:v>0</c:v>
                </c:pt>
                <c:pt idx="1">
                  <c:v>0</c:v>
                </c:pt>
                <c:pt idx="2">
                  <c:v>0</c:v>
                </c:pt>
                <c:pt idx="3">
                  <c:v>51</c:v>
                </c:pt>
                <c:pt idx="4">
                  <c:v>16</c:v>
                </c:pt>
                <c:pt idx="5">
                  <c:v>0</c:v>
                </c:pt>
                <c:pt idx="6">
                  <c:v>0</c:v>
                </c:pt>
                <c:pt idx="7">
                  <c:v>0</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4-EF10-4C82-8111-AB42962F42B8}"/>
            </c:ext>
          </c:extLst>
        </c:ser>
        <c:ser>
          <c:idx val="6"/>
          <c:order val="6"/>
          <c:tx>
            <c:strRef>
              <c:f>'Trajectory 2023-2040'!$A$9</c:f>
              <c:strCache>
                <c:ptCount val="1"/>
                <c:pt idx="0">
                  <c:v>Projected Completions from prior approval schemes</c:v>
                </c:pt>
              </c:strCache>
            </c:strRef>
          </c:tx>
          <c:spPr>
            <a:solidFill>
              <a:srgbClr val="FFFF00"/>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2023-2040'!$B$9:$R$9</c:f>
              <c:numCache>
                <c:formatCode>#,##0</c:formatCode>
                <c:ptCount val="17"/>
                <c:pt idx="0">
                  <c:v>7</c:v>
                </c:pt>
                <c:pt idx="1">
                  <c:v>5</c:v>
                </c:pt>
                <c:pt idx="2">
                  <c:v>2</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5-EF10-4C82-8111-AB42962F42B8}"/>
            </c:ext>
          </c:extLst>
        </c:ser>
        <c:ser>
          <c:idx val="7"/>
          <c:order val="7"/>
          <c:tx>
            <c:strRef>
              <c:f>'Trajectory 2023-2040'!$A$10</c:f>
              <c:strCache>
                <c:ptCount val="1"/>
                <c:pt idx="0">
                  <c:v>Past/Projected Completions from C2 schemes</c:v>
                </c:pt>
              </c:strCache>
            </c:strRef>
          </c:tx>
          <c:spPr>
            <a:solidFill>
              <a:schemeClr val="bg1">
                <a:lumMod val="75000"/>
              </a:schemeClr>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2023-2040'!$B$10:$R$10</c:f>
              <c:numCache>
                <c:formatCode>#,##0</c:formatCode>
                <c:ptCount val="17"/>
                <c:pt idx="0">
                  <c:v>2</c:v>
                </c:pt>
                <c:pt idx="1">
                  <c:v>3</c:v>
                </c:pt>
                <c:pt idx="2">
                  <c:v>41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6-EF10-4C82-8111-AB42962F42B8}"/>
            </c:ext>
          </c:extLst>
        </c:ser>
        <c:ser>
          <c:idx val="8"/>
          <c:order val="8"/>
          <c:tx>
            <c:strRef>
              <c:f>'Trajectory 2023-2040'!$A$11</c:f>
              <c:strCache>
                <c:ptCount val="1"/>
                <c:pt idx="0">
                  <c:v>Small site windfall allowance</c:v>
                </c:pt>
              </c:strCache>
            </c:strRef>
          </c:tx>
          <c:spPr>
            <a:solidFill>
              <a:srgbClr val="CC00FF"/>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2023-2040'!$B$11:$R$11</c:f>
              <c:numCache>
                <c:formatCode>#,##0</c:formatCode>
                <c:ptCount val="17"/>
                <c:pt idx="0">
                  <c:v>0</c:v>
                </c:pt>
                <c:pt idx="1">
                  <c:v>0</c:v>
                </c:pt>
                <c:pt idx="2">
                  <c:v>0</c:v>
                </c:pt>
                <c:pt idx="3">
                  <c:v>0</c:v>
                </c:pt>
                <c:pt idx="4">
                  <c:v>0</c:v>
                </c:pt>
                <c:pt idx="5">
                  <c:v>60</c:v>
                </c:pt>
                <c:pt idx="6">
                  <c:v>60</c:v>
                </c:pt>
                <c:pt idx="7">
                  <c:v>60</c:v>
                </c:pt>
                <c:pt idx="8">
                  <c:v>60</c:v>
                </c:pt>
                <c:pt idx="9">
                  <c:v>60</c:v>
                </c:pt>
                <c:pt idx="10">
                  <c:v>60</c:v>
                </c:pt>
                <c:pt idx="11">
                  <c:v>60</c:v>
                </c:pt>
                <c:pt idx="12">
                  <c:v>60</c:v>
                </c:pt>
                <c:pt idx="13">
                  <c:v>60</c:v>
                </c:pt>
                <c:pt idx="14">
                  <c:v>60</c:v>
                </c:pt>
                <c:pt idx="15">
                  <c:v>60</c:v>
                </c:pt>
                <c:pt idx="16">
                  <c:v>60</c:v>
                </c:pt>
              </c:numCache>
            </c:numRef>
          </c:val>
          <c:extLst>
            <c:ext xmlns:c16="http://schemas.microsoft.com/office/drawing/2014/chart" uri="{C3380CC4-5D6E-409C-BE32-E72D297353CC}">
              <c16:uniqueId val="{00000007-EF10-4C82-8111-AB42962F42B8}"/>
            </c:ext>
          </c:extLst>
        </c:ser>
        <c:dLbls>
          <c:showLegendKey val="0"/>
          <c:showVal val="0"/>
          <c:showCatName val="0"/>
          <c:showSerName val="0"/>
          <c:showPercent val="0"/>
          <c:showBubbleSize val="0"/>
        </c:dLbls>
        <c:gapWidth val="150"/>
        <c:overlap val="100"/>
        <c:axId val="357994352"/>
        <c:axId val="357994712"/>
        <c:extLst>
          <c:ext xmlns:c15="http://schemas.microsoft.com/office/drawing/2012/chart" uri="{02D57815-91ED-43cb-92C2-25804820EDAC}">
            <c15:filteredBarSeries>
              <c15:ser>
                <c:idx val="0"/>
                <c:order val="0"/>
                <c:tx>
                  <c:strRef>
                    <c:extLst>
                      <c:ext uri="{02D57815-91ED-43cb-92C2-25804820EDAC}">
                        <c15:formulaRef>
                          <c15:sqref>'Trajectory 2023-2040'!$A$3</c15:sqref>
                        </c15:formulaRef>
                      </c:ext>
                    </c:extLst>
                    <c:strCache>
                      <c:ptCount val="1"/>
                      <c:pt idx="0">
                        <c:v>Past C3 Completions (net)*</c:v>
                      </c:pt>
                    </c:strCache>
                  </c:strRef>
                </c:tx>
                <c:spPr>
                  <a:solidFill>
                    <a:schemeClr val="accent1"/>
                  </a:solidFill>
                  <a:ln>
                    <a:noFill/>
                  </a:ln>
                  <a:effectLst/>
                </c:spPr>
                <c:invertIfNegative val="0"/>
                <c:cat>
                  <c:strRef>
                    <c:extLst>
                      <c:ex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c:ext uri="{02D57815-91ED-43cb-92C2-25804820EDAC}">
                        <c15:formulaRef>
                          <c15:sqref>'Trajectory 2023-2040'!$B$3:$R$3</c15:sqref>
                        </c15:formulaRef>
                      </c:ext>
                    </c:extLst>
                    <c:numCache>
                      <c:formatCode>#,##0</c:formatCode>
                      <c:ptCount val="1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A-EF10-4C82-8111-AB42962F42B8}"/>
                  </c:ext>
                </c:extLst>
              </c15:ser>
            </c15:filteredBarSeries>
          </c:ext>
        </c:extLst>
      </c:barChart>
      <c:lineChart>
        <c:grouping val="standard"/>
        <c:varyColors val="0"/>
        <c:ser>
          <c:idx val="10"/>
          <c:order val="10"/>
          <c:tx>
            <c:strRef>
              <c:f>'Trajectory 2023-2040'!$A$13</c:f>
              <c:strCache>
                <c:ptCount val="1"/>
                <c:pt idx="0">
                  <c:v>PLAN - Annual requirement</c:v>
                </c:pt>
              </c:strCache>
            </c:strRef>
          </c:tx>
          <c:spPr>
            <a:ln w="28575" cap="rnd">
              <a:solidFill>
                <a:srgbClr val="0000FF"/>
              </a:solidFill>
              <a:round/>
            </a:ln>
            <a:effectLst/>
          </c:spPr>
          <c:marker>
            <c:symbol val="circle"/>
            <c:size val="5"/>
            <c:spPr>
              <a:solidFill>
                <a:srgbClr val="0000FF"/>
              </a:solidFill>
              <a:ln w="9525">
                <a:solidFill>
                  <a:srgbClr val="0000FF"/>
                </a:solidFill>
              </a:ln>
              <a:effectLst/>
            </c:spPr>
          </c:marker>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2023-2040'!$B$13:$R$13</c:f>
              <c:numCache>
                <c:formatCode>#,##0</c:formatCode>
                <c:ptCount val="17"/>
                <c:pt idx="0">
                  <c:v>446</c:v>
                </c:pt>
                <c:pt idx="1">
                  <c:v>446</c:v>
                </c:pt>
                <c:pt idx="2">
                  <c:v>446</c:v>
                </c:pt>
                <c:pt idx="3">
                  <c:v>446</c:v>
                </c:pt>
                <c:pt idx="4">
                  <c:v>446</c:v>
                </c:pt>
                <c:pt idx="5">
                  <c:v>446</c:v>
                </c:pt>
                <c:pt idx="6">
                  <c:v>446</c:v>
                </c:pt>
                <c:pt idx="7">
                  <c:v>446</c:v>
                </c:pt>
                <c:pt idx="8">
                  <c:v>446</c:v>
                </c:pt>
                <c:pt idx="9">
                  <c:v>446</c:v>
                </c:pt>
                <c:pt idx="10">
                  <c:v>446</c:v>
                </c:pt>
                <c:pt idx="11">
                  <c:v>446</c:v>
                </c:pt>
                <c:pt idx="12">
                  <c:v>446</c:v>
                </c:pt>
                <c:pt idx="13">
                  <c:v>446</c:v>
                </c:pt>
                <c:pt idx="14">
                  <c:v>446</c:v>
                </c:pt>
                <c:pt idx="15">
                  <c:v>446</c:v>
                </c:pt>
                <c:pt idx="16">
                  <c:v>446</c:v>
                </c:pt>
              </c:numCache>
            </c:numRef>
          </c:val>
          <c:smooth val="0"/>
          <c:extLst>
            <c:ext xmlns:c16="http://schemas.microsoft.com/office/drawing/2014/chart" uri="{C3380CC4-5D6E-409C-BE32-E72D297353CC}">
              <c16:uniqueId val="{00000008-EF10-4C82-8111-AB42962F42B8}"/>
            </c:ext>
          </c:extLst>
        </c:ser>
        <c:ser>
          <c:idx val="14"/>
          <c:order val="14"/>
          <c:tx>
            <c:strRef>
              <c:f>'Trajectory 2023-2040'!$A$17</c:f>
              <c:strCache>
                <c:ptCount val="1"/>
                <c:pt idx="0">
                  <c:v>MANAGE - Annual requirement taking account of past/projected completions</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2023-2040'!$B$17:$R$17</c:f>
              <c:numCache>
                <c:formatCode>#,##0</c:formatCode>
                <c:ptCount val="17"/>
                <c:pt idx="0">
                  <c:v>422.47058823529414</c:v>
                </c:pt>
                <c:pt idx="1">
                  <c:v>426.125</c:v>
                </c:pt>
                <c:pt idx="2">
                  <c:v>420.6</c:v>
                </c:pt>
                <c:pt idx="3">
                  <c:v>414</c:v>
                </c:pt>
                <c:pt idx="4">
                  <c:v>419.38461538461536</c:v>
                </c:pt>
                <c:pt idx="5">
                  <c:v>344.5</c:v>
                </c:pt>
                <c:pt idx="6">
                  <c:v>296.72727272727275</c:v>
                </c:pt>
                <c:pt idx="7">
                  <c:v>264</c:v>
                </c:pt>
                <c:pt idx="8">
                  <c:v>240</c:v>
                </c:pt>
                <c:pt idx="9">
                  <c:v>215.875</c:v>
                </c:pt>
                <c:pt idx="10">
                  <c:v>200.14285714285714</c:v>
                </c:pt>
                <c:pt idx="11">
                  <c:v>197.33333333333334</c:v>
                </c:pt>
                <c:pt idx="12">
                  <c:v>200</c:v>
                </c:pt>
                <c:pt idx="13">
                  <c:v>234.25</c:v>
                </c:pt>
                <c:pt idx="14">
                  <c:v>292.33333333333331</c:v>
                </c:pt>
                <c:pt idx="15">
                  <c:v>408.5</c:v>
                </c:pt>
                <c:pt idx="16">
                  <c:v>757</c:v>
                </c:pt>
              </c:numCache>
            </c:numRef>
          </c:val>
          <c:smooth val="0"/>
          <c:extLst>
            <c:ext xmlns:c16="http://schemas.microsoft.com/office/drawing/2014/chart" uri="{C3380CC4-5D6E-409C-BE32-E72D297353CC}">
              <c16:uniqueId val="{00000009-EF10-4C82-8111-AB42962F42B8}"/>
            </c:ext>
          </c:extLst>
        </c:ser>
        <c:dLbls>
          <c:showLegendKey val="0"/>
          <c:showVal val="0"/>
          <c:showCatName val="0"/>
          <c:showSerName val="0"/>
          <c:showPercent val="0"/>
          <c:showBubbleSize val="0"/>
        </c:dLbls>
        <c:marker val="1"/>
        <c:smooth val="0"/>
        <c:axId val="357994352"/>
        <c:axId val="357994712"/>
        <c:extLst>
          <c:ext xmlns:c15="http://schemas.microsoft.com/office/drawing/2012/chart" uri="{02D57815-91ED-43cb-92C2-25804820EDAC}">
            <c15:filteredLineSeries>
              <c15:ser>
                <c:idx val="9"/>
                <c:order val="9"/>
                <c:tx>
                  <c:strRef>
                    <c:extLst>
                      <c:ext uri="{02D57815-91ED-43cb-92C2-25804820EDAC}">
                        <c15:formulaRef>
                          <c15:sqref>'Trajectory 2023-2040'!$A$12</c15:sqref>
                        </c15:formulaRef>
                      </c:ext>
                    </c:extLst>
                    <c:strCache>
                      <c:ptCount val="1"/>
                      <c:pt idx="0">
                        <c:v>Cumulative Completions</c:v>
                      </c:pt>
                    </c:strCache>
                  </c:strRef>
                </c:tx>
                <c:spPr>
                  <a:ln w="28575" cap="rnd">
                    <a:solidFill>
                      <a:schemeClr val="accent4">
                        <a:lumMod val="60000"/>
                      </a:schemeClr>
                    </a:solidFill>
                    <a:round/>
                  </a:ln>
                  <a:effectLst/>
                </c:spPr>
                <c:marker>
                  <c:symbol val="none"/>
                </c:marker>
                <c:cat>
                  <c:strRef>
                    <c:extLst>
                      <c:ex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c:ext uri="{02D57815-91ED-43cb-92C2-25804820EDAC}">
                        <c15:formulaRef>
                          <c15:sqref>'Trajectory 2023-2040'!$B$12:$R$12</c15:sqref>
                        </c15:formulaRef>
                      </c:ext>
                    </c:extLst>
                    <c:numCache>
                      <c:formatCode>#,##0</c:formatCode>
                      <c:ptCount val="17"/>
                      <c:pt idx="0">
                        <c:v>400</c:v>
                      </c:pt>
                      <c:pt idx="1">
                        <c:v>764</c:v>
                      </c:pt>
                      <c:pt idx="2">
                        <c:v>1273</c:v>
                      </c:pt>
                      <c:pt idx="3">
                        <c:v>1786</c:v>
                      </c:pt>
                      <c:pt idx="4">
                        <c:v>2130</c:v>
                      </c:pt>
                      <c:pt idx="5">
                        <c:v>3448</c:v>
                      </c:pt>
                      <c:pt idx="6">
                        <c:v>4318</c:v>
                      </c:pt>
                      <c:pt idx="7">
                        <c:v>4942</c:v>
                      </c:pt>
                      <c:pt idx="8">
                        <c:v>5422</c:v>
                      </c:pt>
                      <c:pt idx="9">
                        <c:v>5855</c:v>
                      </c:pt>
                      <c:pt idx="10">
                        <c:v>6181</c:v>
                      </c:pt>
                      <c:pt idx="11">
                        <c:v>6398</c:v>
                      </c:pt>
                      <c:pt idx="12">
                        <c:v>6582</c:v>
                      </c:pt>
                      <c:pt idx="13">
                        <c:v>6645</c:v>
                      </c:pt>
                      <c:pt idx="14">
                        <c:v>6705</c:v>
                      </c:pt>
                      <c:pt idx="15">
                        <c:v>6765</c:v>
                      </c:pt>
                      <c:pt idx="16">
                        <c:v>6825</c:v>
                      </c:pt>
                    </c:numCache>
                  </c:numRef>
                </c:val>
                <c:smooth val="0"/>
                <c:extLst>
                  <c:ext xmlns:c16="http://schemas.microsoft.com/office/drawing/2014/chart" uri="{C3380CC4-5D6E-409C-BE32-E72D297353CC}">
                    <c16:uniqueId val="{0000000B-EF10-4C82-8111-AB42962F42B8}"/>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'Trajectory 2023-2040'!$A$14</c15:sqref>
                        </c15:formulaRef>
                      </c:ext>
                    </c:extLst>
                    <c:strCache>
                      <c:ptCount val="1"/>
                      <c:pt idx="0">
                        <c:v>PLAN - Cumulative requirement</c:v>
                      </c:pt>
                    </c:strCache>
                  </c:strRef>
                </c:tx>
                <c:spPr>
                  <a:ln w="28575" cap="rnd">
                    <a:solidFill>
                      <a:schemeClr val="accent6">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xmlns:c15="http://schemas.microsoft.com/office/drawing/2012/chart">
                      <c:ext xmlns:c15="http://schemas.microsoft.com/office/drawing/2012/chart" uri="{02D57815-91ED-43cb-92C2-25804820EDAC}">
                        <c15:formulaRef>
                          <c15:sqref>'Trajectory 2023-2040'!$B$14:$R$14</c15:sqref>
                        </c15:formulaRef>
                      </c:ext>
                    </c:extLst>
                    <c:numCache>
                      <c:formatCode>#,##0</c:formatCode>
                      <c:ptCount val="17"/>
                      <c:pt idx="0">
                        <c:v>446</c:v>
                      </c:pt>
                      <c:pt idx="1">
                        <c:v>892</c:v>
                      </c:pt>
                      <c:pt idx="2">
                        <c:v>1338</c:v>
                      </c:pt>
                      <c:pt idx="3">
                        <c:v>1784</c:v>
                      </c:pt>
                      <c:pt idx="4">
                        <c:v>2230</c:v>
                      </c:pt>
                      <c:pt idx="5">
                        <c:v>2676</c:v>
                      </c:pt>
                      <c:pt idx="6">
                        <c:v>3122</c:v>
                      </c:pt>
                      <c:pt idx="7">
                        <c:v>3568</c:v>
                      </c:pt>
                      <c:pt idx="8">
                        <c:v>4014</c:v>
                      </c:pt>
                      <c:pt idx="9">
                        <c:v>4460</c:v>
                      </c:pt>
                      <c:pt idx="10">
                        <c:v>4906</c:v>
                      </c:pt>
                      <c:pt idx="11">
                        <c:v>5352</c:v>
                      </c:pt>
                      <c:pt idx="12">
                        <c:v>5798</c:v>
                      </c:pt>
                      <c:pt idx="13">
                        <c:v>6244</c:v>
                      </c:pt>
                      <c:pt idx="14">
                        <c:v>6690</c:v>
                      </c:pt>
                      <c:pt idx="15">
                        <c:v>7136</c:v>
                      </c:pt>
                      <c:pt idx="16">
                        <c:v>7582</c:v>
                      </c:pt>
                    </c:numCache>
                  </c:numRef>
                </c:val>
                <c:smooth val="0"/>
                <c:extLst xmlns:c15="http://schemas.microsoft.com/office/drawing/2012/chart">
                  <c:ext xmlns:c16="http://schemas.microsoft.com/office/drawing/2014/chart" uri="{C3380CC4-5D6E-409C-BE32-E72D297353CC}">
                    <c16:uniqueId val="{0000000C-EF10-4C82-8111-AB42962F42B8}"/>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'Trajectory 2023-2040'!$A$15</c15:sqref>
                        </c15:formulaRef>
                      </c:ext>
                    </c:extLst>
                    <c:strCache>
                      <c:ptCount val="1"/>
                      <c:pt idx="0">
                        <c:v>MONITOR - No. dwellings above or below cumulative requirement</c:v>
                      </c:pt>
                    </c:strCache>
                  </c:strRef>
                </c:tx>
                <c:spPr>
                  <a:ln w="28575" cap="rnd">
                    <a:solidFill>
                      <a:schemeClr val="accent1">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xmlns:c15="http://schemas.microsoft.com/office/drawing/2012/chart">
                      <c:ext xmlns:c15="http://schemas.microsoft.com/office/drawing/2012/chart" uri="{02D57815-91ED-43cb-92C2-25804820EDAC}">
                        <c15:formulaRef>
                          <c15:sqref>'Trajectory 2023-2040'!$B$15:$R$15</c15:sqref>
                        </c15:formulaRef>
                      </c:ext>
                    </c:extLst>
                    <c:numCache>
                      <c:formatCode>#,##0</c:formatCode>
                      <c:ptCount val="17"/>
                      <c:pt idx="0">
                        <c:v>-46</c:v>
                      </c:pt>
                      <c:pt idx="1">
                        <c:v>-128</c:v>
                      </c:pt>
                      <c:pt idx="2">
                        <c:v>-65</c:v>
                      </c:pt>
                      <c:pt idx="3">
                        <c:v>2</c:v>
                      </c:pt>
                      <c:pt idx="4">
                        <c:v>-100</c:v>
                      </c:pt>
                      <c:pt idx="5">
                        <c:v>772</c:v>
                      </c:pt>
                      <c:pt idx="6">
                        <c:v>1196</c:v>
                      </c:pt>
                      <c:pt idx="7">
                        <c:v>1374</c:v>
                      </c:pt>
                      <c:pt idx="8">
                        <c:v>1408</c:v>
                      </c:pt>
                      <c:pt idx="9">
                        <c:v>1395</c:v>
                      </c:pt>
                      <c:pt idx="10">
                        <c:v>1275</c:v>
                      </c:pt>
                      <c:pt idx="11">
                        <c:v>1046</c:v>
                      </c:pt>
                      <c:pt idx="12">
                        <c:v>784</c:v>
                      </c:pt>
                      <c:pt idx="13">
                        <c:v>401</c:v>
                      </c:pt>
                      <c:pt idx="14">
                        <c:v>15</c:v>
                      </c:pt>
                      <c:pt idx="15">
                        <c:v>-371</c:v>
                      </c:pt>
                      <c:pt idx="16">
                        <c:v>-757</c:v>
                      </c:pt>
                    </c:numCache>
                  </c:numRef>
                </c:val>
                <c:smooth val="0"/>
                <c:extLst xmlns:c15="http://schemas.microsoft.com/office/drawing/2012/chart">
                  <c:ext xmlns:c16="http://schemas.microsoft.com/office/drawing/2014/chart" uri="{C3380CC4-5D6E-409C-BE32-E72D297353CC}">
                    <c16:uniqueId val="{0000000D-EF10-4C82-8111-AB42962F42B8}"/>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'Trajectory 2023-2040'!$A$16</c15:sqref>
                        </c15:formulaRef>
                      </c:ext>
                    </c:extLst>
                    <c:strCache>
                      <c:ptCount val="1"/>
                      <c:pt idx="0">
                        <c:v>MANAGE - Requirement taking account of past/projected completions</c:v>
                      </c:pt>
                    </c:strCache>
                  </c:strRef>
                </c:tx>
                <c:spPr>
                  <a:ln w="28575" cap="rnd">
                    <a:solidFill>
                      <a:schemeClr val="accent2">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xmlns:c15="http://schemas.microsoft.com/office/drawing/2012/chart">
                      <c:ext xmlns:c15="http://schemas.microsoft.com/office/drawing/2012/chart" uri="{02D57815-91ED-43cb-92C2-25804820EDAC}">
                        <c15:formulaRef>
                          <c15:sqref>'Trajectory 2023-2040'!$B$16:$R$16</c15:sqref>
                        </c15:formulaRef>
                      </c:ext>
                    </c:extLst>
                    <c:numCache>
                      <c:formatCode>#,##0</c:formatCode>
                      <c:ptCount val="17"/>
                      <c:pt idx="0">
                        <c:v>7182</c:v>
                      </c:pt>
                      <c:pt idx="1">
                        <c:v>6818</c:v>
                      </c:pt>
                      <c:pt idx="2">
                        <c:v>6309</c:v>
                      </c:pt>
                      <c:pt idx="3">
                        <c:v>5796</c:v>
                      </c:pt>
                      <c:pt idx="4">
                        <c:v>5452</c:v>
                      </c:pt>
                      <c:pt idx="5">
                        <c:v>4134</c:v>
                      </c:pt>
                      <c:pt idx="6">
                        <c:v>3264</c:v>
                      </c:pt>
                      <c:pt idx="7">
                        <c:v>2640</c:v>
                      </c:pt>
                      <c:pt idx="8">
                        <c:v>2160</c:v>
                      </c:pt>
                      <c:pt idx="9">
                        <c:v>1727</c:v>
                      </c:pt>
                      <c:pt idx="10">
                        <c:v>1401</c:v>
                      </c:pt>
                      <c:pt idx="11">
                        <c:v>1184</c:v>
                      </c:pt>
                      <c:pt idx="12">
                        <c:v>1000</c:v>
                      </c:pt>
                      <c:pt idx="13">
                        <c:v>937</c:v>
                      </c:pt>
                      <c:pt idx="14">
                        <c:v>877</c:v>
                      </c:pt>
                      <c:pt idx="15">
                        <c:v>817</c:v>
                      </c:pt>
                      <c:pt idx="16">
                        <c:v>757</c:v>
                      </c:pt>
                    </c:numCache>
                  </c:numRef>
                </c:val>
                <c:smooth val="0"/>
                <c:extLst xmlns:c15="http://schemas.microsoft.com/office/drawing/2012/chart">
                  <c:ext xmlns:c16="http://schemas.microsoft.com/office/drawing/2014/chart" uri="{C3380CC4-5D6E-409C-BE32-E72D297353CC}">
                    <c16:uniqueId val="{0000000E-EF10-4C82-8111-AB42962F42B8}"/>
                  </c:ext>
                </c:extLst>
              </c15:ser>
            </c15:filteredLineSeries>
          </c:ext>
        </c:extLst>
      </c:lineChart>
      <c:catAx>
        <c:axId val="35799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994712"/>
        <c:crosses val="autoZero"/>
        <c:auto val="1"/>
        <c:lblAlgn val="ctr"/>
        <c:lblOffset val="100"/>
        <c:noMultiLvlLbl val="0"/>
      </c:catAx>
      <c:valAx>
        <c:axId val="357994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99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rgbClr val="0070C0"/>
                </a:solidFill>
                <a:latin typeface="+mn-lt"/>
                <a:ea typeface="+mn-ea"/>
                <a:cs typeface="+mn-cs"/>
              </a:defRPr>
            </a:pPr>
            <a:r>
              <a:rPr lang="en-GB"/>
              <a:t>Ashfield Housing Trajectory Chart 2023 to 2040</a:t>
            </a:r>
          </a:p>
        </c:rich>
      </c:tx>
      <c:layout>
        <c:manualLayout>
          <c:xMode val="edge"/>
          <c:yMode val="edge"/>
          <c:x val="0.16768740157480316"/>
          <c:y val="1.431330222103438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70C0"/>
              </a:solidFill>
              <a:latin typeface="+mn-lt"/>
              <a:ea typeface="+mn-ea"/>
              <a:cs typeface="+mn-cs"/>
            </a:defRPr>
          </a:pPr>
          <a:endParaRPr lang="en-US"/>
        </a:p>
      </c:txPr>
    </c:title>
    <c:autoTitleDeleted val="0"/>
    <c:plotArea>
      <c:layout/>
      <c:barChart>
        <c:barDir val="col"/>
        <c:grouping val="stacked"/>
        <c:varyColors val="0"/>
        <c:ser>
          <c:idx val="1"/>
          <c:order val="1"/>
          <c:tx>
            <c:strRef>
              <c:f>'Trajectory 2023-2040'!$A$3</c:f>
              <c:strCache>
                <c:ptCount val="1"/>
                <c:pt idx="0">
                  <c:v>Completions from large sites without planning permission</c:v>
                </c:pt>
              </c:strCache>
            </c:strRef>
          </c:tx>
          <c:spPr>
            <a:solidFill>
              <a:schemeClr val="accent2"/>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2023-2040'!$B$3:$R$3</c:f>
              <c:numCache>
                <c:formatCode>#,##0</c:formatCode>
                <c:ptCount val="17"/>
                <c:pt idx="0">
                  <c:v>0</c:v>
                </c:pt>
                <c:pt idx="1">
                  <c:v>0</c:v>
                </c:pt>
                <c:pt idx="2">
                  <c:v>0</c:v>
                </c:pt>
                <c:pt idx="3">
                  <c:v>44</c:v>
                </c:pt>
                <c:pt idx="4">
                  <c:v>67</c:v>
                </c:pt>
                <c:pt idx="5">
                  <c:v>64</c:v>
                </c:pt>
                <c:pt idx="6">
                  <c:v>161</c:v>
                </c:pt>
                <c:pt idx="7">
                  <c:v>380</c:v>
                </c:pt>
                <c:pt idx="8">
                  <c:v>375</c:v>
                </c:pt>
                <c:pt idx="9">
                  <c:v>416</c:v>
                </c:pt>
                <c:pt idx="10">
                  <c:v>456</c:v>
                </c:pt>
                <c:pt idx="11">
                  <c:v>432</c:v>
                </c:pt>
                <c:pt idx="12">
                  <c:v>333</c:v>
                </c:pt>
                <c:pt idx="13">
                  <c:v>227</c:v>
                </c:pt>
                <c:pt idx="14">
                  <c:v>210</c:v>
                </c:pt>
                <c:pt idx="15">
                  <c:v>93</c:v>
                </c:pt>
                <c:pt idx="16">
                  <c:v>70</c:v>
                </c:pt>
              </c:numCache>
            </c:numRef>
          </c:val>
          <c:extLst>
            <c:ext xmlns:c16="http://schemas.microsoft.com/office/drawing/2014/chart" uri="{C3380CC4-5D6E-409C-BE32-E72D297353CC}">
              <c16:uniqueId val="{00000000-CB68-4B3E-B78E-44F15C1FF282}"/>
            </c:ext>
          </c:extLst>
        </c:ser>
        <c:ser>
          <c:idx val="2"/>
          <c:order val="2"/>
          <c:tx>
            <c:strRef>
              <c:f>'Trajectory 2023-2040'!$A$4</c:f>
              <c:strCache>
                <c:ptCount val="1"/>
                <c:pt idx="0">
                  <c:v>Completions from large sites with Full planning permission</c:v>
                </c:pt>
              </c:strCache>
            </c:strRef>
          </c:tx>
          <c:spPr>
            <a:solidFill>
              <a:srgbClr val="92D050"/>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2023-2040'!$B$4:$R$4</c:f>
              <c:numCache>
                <c:formatCode>#,##0</c:formatCode>
                <c:ptCount val="17"/>
                <c:pt idx="0">
                  <c:v>353</c:v>
                </c:pt>
                <c:pt idx="1">
                  <c:v>398</c:v>
                </c:pt>
                <c:pt idx="2">
                  <c:v>532</c:v>
                </c:pt>
                <c:pt idx="3">
                  <c:v>449</c:v>
                </c:pt>
                <c:pt idx="4">
                  <c:v>441</c:v>
                </c:pt>
                <c:pt idx="5">
                  <c:v>352</c:v>
                </c:pt>
                <c:pt idx="6">
                  <c:v>176</c:v>
                </c:pt>
                <c:pt idx="7">
                  <c:v>70</c:v>
                </c:pt>
                <c:pt idx="8">
                  <c:v>32</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1-CB68-4B3E-B78E-44F15C1FF282}"/>
            </c:ext>
          </c:extLst>
        </c:ser>
        <c:ser>
          <c:idx val="3"/>
          <c:order val="3"/>
          <c:tx>
            <c:strRef>
              <c:f>'Trajectory 2023-2040'!$A$5</c:f>
              <c:strCache>
                <c:ptCount val="1"/>
                <c:pt idx="0">
                  <c:v>Completions from large sites with outline planning permission</c:v>
                </c:pt>
              </c:strCache>
            </c:strRef>
          </c:tx>
          <c:spPr>
            <a:solidFill>
              <a:schemeClr val="accent6">
                <a:lumMod val="75000"/>
              </a:schemeClr>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2023-2040'!$B$5:$R$5</c:f>
              <c:numCache>
                <c:formatCode>#,##0</c:formatCode>
                <c:ptCount val="17"/>
                <c:pt idx="0">
                  <c:v>0</c:v>
                </c:pt>
                <c:pt idx="1">
                  <c:v>0</c:v>
                </c:pt>
                <c:pt idx="2">
                  <c:v>0</c:v>
                </c:pt>
                <c:pt idx="3">
                  <c:v>0</c:v>
                </c:pt>
                <c:pt idx="4">
                  <c:v>0</c:v>
                </c:pt>
                <c:pt idx="5">
                  <c:v>0</c:v>
                </c:pt>
                <c:pt idx="6">
                  <c:v>35</c:v>
                </c:pt>
                <c:pt idx="7">
                  <c:v>91</c:v>
                </c:pt>
                <c:pt idx="8">
                  <c:v>105</c:v>
                </c:pt>
                <c:pt idx="9">
                  <c:v>70</c:v>
                </c:pt>
                <c:pt idx="10">
                  <c:v>70</c:v>
                </c:pt>
                <c:pt idx="11">
                  <c:v>70</c:v>
                </c:pt>
                <c:pt idx="12">
                  <c:v>55</c:v>
                </c:pt>
                <c:pt idx="13">
                  <c:v>35</c:v>
                </c:pt>
                <c:pt idx="14">
                  <c:v>35</c:v>
                </c:pt>
                <c:pt idx="15">
                  <c:v>20</c:v>
                </c:pt>
                <c:pt idx="16">
                  <c:v>0</c:v>
                </c:pt>
              </c:numCache>
            </c:numRef>
          </c:val>
          <c:extLst>
            <c:ext xmlns:c16="http://schemas.microsoft.com/office/drawing/2014/chart" uri="{C3380CC4-5D6E-409C-BE32-E72D297353CC}">
              <c16:uniqueId val="{00000002-CB68-4B3E-B78E-44F15C1FF282}"/>
            </c:ext>
          </c:extLst>
        </c:ser>
        <c:ser>
          <c:idx val="4"/>
          <c:order val="4"/>
          <c:tx>
            <c:strRef>
              <c:f>'Trajectory 2023-2040'!$A$6</c:f>
              <c:strCache>
                <c:ptCount val="1"/>
                <c:pt idx="0">
                  <c:v>Completions from Small Sites with Full Planning Permission</c:v>
                </c:pt>
              </c:strCache>
            </c:strRef>
          </c:tx>
          <c:spPr>
            <a:solidFill>
              <a:schemeClr val="accent5"/>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2023-2040'!$B$6:$R$6</c:f>
              <c:numCache>
                <c:formatCode>#,##0</c:formatCode>
                <c:ptCount val="17"/>
                <c:pt idx="0">
                  <c:v>86</c:v>
                </c:pt>
                <c:pt idx="1">
                  <c:v>49</c:v>
                </c:pt>
                <c:pt idx="2">
                  <c:v>73</c:v>
                </c:pt>
                <c:pt idx="3">
                  <c:v>94</c:v>
                </c:pt>
                <c:pt idx="4">
                  <c:v>93</c:v>
                </c:pt>
                <c:pt idx="5">
                  <c:v>21</c:v>
                </c:pt>
                <c:pt idx="6">
                  <c:v>3</c:v>
                </c:pt>
                <c:pt idx="7">
                  <c:v>0</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3-CB68-4B3E-B78E-44F15C1FF282}"/>
            </c:ext>
          </c:extLst>
        </c:ser>
        <c:ser>
          <c:idx val="5"/>
          <c:order val="5"/>
          <c:tx>
            <c:strRef>
              <c:f>'Trajectory 2023-2040'!$A$7</c:f>
              <c:strCache>
                <c:ptCount val="1"/>
                <c:pt idx="0">
                  <c:v>Completions from Small Sites with Outline Planning Permission</c:v>
                </c:pt>
              </c:strCache>
            </c:strRef>
          </c:tx>
          <c:spPr>
            <a:solidFill>
              <a:srgbClr val="66FFFF"/>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2023-2040'!$B$7:$R$7</c:f>
              <c:numCache>
                <c:formatCode>#,##0</c:formatCode>
                <c:ptCount val="17"/>
                <c:pt idx="0">
                  <c:v>0</c:v>
                </c:pt>
                <c:pt idx="1">
                  <c:v>0</c:v>
                </c:pt>
                <c:pt idx="2">
                  <c:v>0</c:v>
                </c:pt>
                <c:pt idx="3">
                  <c:v>0</c:v>
                </c:pt>
                <c:pt idx="4">
                  <c:v>0</c:v>
                </c:pt>
                <c:pt idx="5">
                  <c:v>47</c:v>
                </c:pt>
                <c:pt idx="6">
                  <c:v>11</c:v>
                </c:pt>
                <c:pt idx="7">
                  <c:v>0</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4-CB68-4B3E-B78E-44F15C1FF282}"/>
            </c:ext>
          </c:extLst>
        </c:ser>
        <c:ser>
          <c:idx val="6"/>
          <c:order val="6"/>
          <c:tx>
            <c:strRef>
              <c:f>'Trajectory 2023-2040'!$A$8</c:f>
              <c:strCache>
                <c:ptCount val="1"/>
                <c:pt idx="0">
                  <c:v>Completions from prior approval schemes and PD</c:v>
                </c:pt>
              </c:strCache>
            </c:strRef>
          </c:tx>
          <c:spPr>
            <a:solidFill>
              <a:srgbClr val="FFFF00"/>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2023-2040'!$B$8:$R$8</c:f>
              <c:numCache>
                <c:formatCode>#,##0</c:formatCode>
                <c:ptCount val="17"/>
                <c:pt idx="0">
                  <c:v>14</c:v>
                </c:pt>
                <c:pt idx="1">
                  <c:v>5</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5-CB68-4B3E-B78E-44F15C1FF282}"/>
            </c:ext>
          </c:extLst>
        </c:ser>
        <c:ser>
          <c:idx val="7"/>
          <c:order val="7"/>
          <c:tx>
            <c:strRef>
              <c:f>'Trajectory 2023-2040'!$A$9</c:f>
              <c:strCache>
                <c:ptCount val="1"/>
                <c:pt idx="0">
                  <c:v>Completions from C2 schemes</c:v>
                </c:pt>
              </c:strCache>
            </c:strRef>
          </c:tx>
          <c:spPr>
            <a:solidFill>
              <a:srgbClr val="FFC000"/>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2023-2040'!$B$9:$R$9</c:f>
              <c:numCache>
                <c:formatCode>#,##0</c:formatCode>
                <c:ptCount val="17"/>
                <c:pt idx="0">
                  <c:v>0</c:v>
                </c:pt>
                <c:pt idx="1">
                  <c:v>4</c:v>
                </c:pt>
                <c:pt idx="2">
                  <c:v>6</c:v>
                </c:pt>
                <c:pt idx="3">
                  <c:v>1</c:v>
                </c:pt>
                <c:pt idx="4">
                  <c:v>0</c:v>
                </c:pt>
                <c:pt idx="5">
                  <c:v>0</c:v>
                </c:pt>
                <c:pt idx="6">
                  <c:v>0</c:v>
                </c:pt>
                <c:pt idx="7">
                  <c:v>0</c:v>
                </c:pt>
                <c:pt idx="8">
                  <c:v>0</c:v>
                </c:pt>
                <c:pt idx="9">
                  <c:v>0</c:v>
                </c:pt>
                <c:pt idx="10">
                  <c:v>0</c:v>
                </c:pt>
                <c:pt idx="11">
                  <c:v>0</c:v>
                </c:pt>
                <c:pt idx="12">
                  <c:v>0</c:v>
                </c:pt>
                <c:pt idx="13">
                  <c:v>0</c:v>
                </c:pt>
                <c:pt idx="14">
                  <c:v>0</c:v>
                </c:pt>
                <c:pt idx="15">
                  <c:v>0</c:v>
                </c:pt>
                <c:pt idx="16">
                  <c:v>0</c:v>
                </c:pt>
              </c:numCache>
            </c:numRef>
          </c:val>
          <c:extLst>
            <c:ext xmlns:c16="http://schemas.microsoft.com/office/drawing/2014/chart" uri="{C3380CC4-5D6E-409C-BE32-E72D297353CC}">
              <c16:uniqueId val="{00000006-CB68-4B3E-B78E-44F15C1FF282}"/>
            </c:ext>
          </c:extLst>
        </c:ser>
        <c:ser>
          <c:idx val="8"/>
          <c:order val="8"/>
          <c:tx>
            <c:strRef>
              <c:f>'Trajectory 2023-2040'!$A$11</c:f>
              <c:strCache>
                <c:ptCount val="1"/>
                <c:pt idx="0">
                  <c:v>Small site windfall allowance</c:v>
                </c:pt>
              </c:strCache>
            </c:strRef>
          </c:tx>
          <c:spPr>
            <a:solidFill>
              <a:srgbClr val="CC00FF"/>
            </a:solidFill>
            <a:ln>
              <a:noFill/>
            </a:ln>
            <a:effectLst/>
          </c:spPr>
          <c:invertIfNegative val="0"/>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2023-2040'!$B$11:$R$11</c:f>
              <c:numCache>
                <c:formatCode>#,##0</c:formatCode>
                <c:ptCount val="17"/>
                <c:pt idx="0">
                  <c:v>0</c:v>
                </c:pt>
                <c:pt idx="1">
                  <c:v>0</c:v>
                </c:pt>
                <c:pt idx="2">
                  <c:v>0</c:v>
                </c:pt>
                <c:pt idx="3">
                  <c:v>0</c:v>
                </c:pt>
                <c:pt idx="4">
                  <c:v>0</c:v>
                </c:pt>
                <c:pt idx="5">
                  <c:v>91</c:v>
                </c:pt>
                <c:pt idx="6">
                  <c:v>91</c:v>
                </c:pt>
                <c:pt idx="7">
                  <c:v>91</c:v>
                </c:pt>
                <c:pt idx="8">
                  <c:v>91</c:v>
                </c:pt>
                <c:pt idx="9">
                  <c:v>91</c:v>
                </c:pt>
                <c:pt idx="10">
                  <c:v>91</c:v>
                </c:pt>
                <c:pt idx="11">
                  <c:v>91</c:v>
                </c:pt>
                <c:pt idx="12">
                  <c:v>91</c:v>
                </c:pt>
                <c:pt idx="13">
                  <c:v>91</c:v>
                </c:pt>
                <c:pt idx="14">
                  <c:v>91</c:v>
                </c:pt>
                <c:pt idx="15">
                  <c:v>91</c:v>
                </c:pt>
                <c:pt idx="16">
                  <c:v>91</c:v>
                </c:pt>
              </c:numCache>
            </c:numRef>
          </c:val>
          <c:extLst>
            <c:ext xmlns:c16="http://schemas.microsoft.com/office/drawing/2014/chart" uri="{C3380CC4-5D6E-409C-BE32-E72D297353CC}">
              <c16:uniqueId val="{00000007-CB68-4B3E-B78E-44F15C1FF282}"/>
            </c:ext>
          </c:extLst>
        </c:ser>
        <c:dLbls>
          <c:showLegendKey val="0"/>
          <c:showVal val="0"/>
          <c:showCatName val="0"/>
          <c:showSerName val="0"/>
          <c:showPercent val="0"/>
          <c:showBubbleSize val="0"/>
        </c:dLbls>
        <c:gapWidth val="150"/>
        <c:overlap val="100"/>
        <c:axId val="357994352"/>
        <c:axId val="357994712"/>
        <c:extLst>
          <c:ext xmlns:c15="http://schemas.microsoft.com/office/drawing/2012/chart" uri="{02D57815-91ED-43cb-92C2-25804820EDAC}">
            <c15:filteredBarSeries>
              <c15:ser>
                <c:idx val="0"/>
                <c:order val="0"/>
                <c:tx>
                  <c:strRef>
                    <c:extLst>
                      <c:ext uri="{02D57815-91ED-43cb-92C2-25804820EDAC}">
                        <c15:formulaRef>
                          <c15:sqref>'Trajectory 2023-2040'!#REF!</c15:sqref>
                        </c15:formulaRef>
                      </c:ext>
                    </c:extLst>
                    <c:strCache>
                      <c:ptCount val="1"/>
                      <c:pt idx="0">
                        <c:v>#REF!</c:v>
                      </c:pt>
                    </c:strCache>
                  </c:strRef>
                </c:tx>
                <c:spPr>
                  <a:solidFill>
                    <a:schemeClr val="accent1"/>
                  </a:solidFill>
                  <a:ln>
                    <a:noFill/>
                  </a:ln>
                  <a:effectLst/>
                </c:spPr>
                <c:invertIfNegative val="0"/>
                <c:cat>
                  <c:strRef>
                    <c:extLst>
                      <c:ex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c:ext uri="{02D57815-91ED-43cb-92C2-25804820EDAC}">
                        <c15:formulaRef>
                          <c15:sqref>'Trajectory 2023-2040'!#REF!</c15:sqref>
                        </c15:formulaRef>
                      </c:ext>
                    </c:extLst>
                    <c:numCache>
                      <c:formatCode>General</c:formatCode>
                      <c:ptCount val="1"/>
                      <c:pt idx="0">
                        <c:v>1</c:v>
                      </c:pt>
                    </c:numCache>
                  </c:numRef>
                </c:val>
                <c:extLst>
                  <c:ext xmlns:c16="http://schemas.microsoft.com/office/drawing/2014/chart" uri="{C3380CC4-5D6E-409C-BE32-E72D297353CC}">
                    <c16:uniqueId val="{0000000A-CB68-4B3E-B78E-44F15C1FF282}"/>
                  </c:ext>
                </c:extLst>
              </c15:ser>
            </c15:filteredBarSeries>
          </c:ext>
        </c:extLst>
      </c:barChart>
      <c:lineChart>
        <c:grouping val="standard"/>
        <c:varyColors val="0"/>
        <c:ser>
          <c:idx val="10"/>
          <c:order val="10"/>
          <c:tx>
            <c:strRef>
              <c:f>'Trajectory 2023-2040'!$A$13</c:f>
              <c:strCache>
                <c:ptCount val="1"/>
                <c:pt idx="0">
                  <c:v>PLAN - Annual requirement</c:v>
                </c:pt>
              </c:strCache>
            </c:strRef>
          </c:tx>
          <c:spPr>
            <a:ln w="28575" cap="rnd">
              <a:solidFill>
                <a:srgbClr val="0000FF"/>
              </a:solidFill>
              <a:round/>
            </a:ln>
            <a:effectLst/>
          </c:spPr>
          <c:marker>
            <c:symbol val="circle"/>
            <c:size val="5"/>
            <c:spPr>
              <a:solidFill>
                <a:srgbClr val="0000FF"/>
              </a:solidFill>
              <a:ln w="9525">
                <a:solidFill>
                  <a:srgbClr val="0000FF"/>
                </a:solidFill>
              </a:ln>
              <a:effectLst/>
            </c:spPr>
          </c:marker>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2023-2040'!$B$13:$R$13</c:f>
              <c:numCache>
                <c:formatCode>#,##0</c:formatCode>
                <c:ptCount val="17"/>
                <c:pt idx="0">
                  <c:v>446</c:v>
                </c:pt>
                <c:pt idx="1">
                  <c:v>446</c:v>
                </c:pt>
                <c:pt idx="2">
                  <c:v>446</c:v>
                </c:pt>
                <c:pt idx="3">
                  <c:v>446</c:v>
                </c:pt>
                <c:pt idx="4">
                  <c:v>446</c:v>
                </c:pt>
                <c:pt idx="5">
                  <c:v>446</c:v>
                </c:pt>
                <c:pt idx="6">
                  <c:v>446</c:v>
                </c:pt>
                <c:pt idx="7">
                  <c:v>446</c:v>
                </c:pt>
                <c:pt idx="8">
                  <c:v>446</c:v>
                </c:pt>
                <c:pt idx="9">
                  <c:v>446</c:v>
                </c:pt>
                <c:pt idx="10">
                  <c:v>446</c:v>
                </c:pt>
                <c:pt idx="11">
                  <c:v>446</c:v>
                </c:pt>
                <c:pt idx="12">
                  <c:v>446</c:v>
                </c:pt>
                <c:pt idx="13">
                  <c:v>446</c:v>
                </c:pt>
                <c:pt idx="14">
                  <c:v>446</c:v>
                </c:pt>
                <c:pt idx="15">
                  <c:v>446</c:v>
                </c:pt>
                <c:pt idx="16">
                  <c:v>446</c:v>
                </c:pt>
              </c:numCache>
            </c:numRef>
          </c:val>
          <c:smooth val="0"/>
          <c:extLst>
            <c:ext xmlns:c16="http://schemas.microsoft.com/office/drawing/2014/chart" uri="{C3380CC4-5D6E-409C-BE32-E72D297353CC}">
              <c16:uniqueId val="{00000008-CB68-4B3E-B78E-44F15C1FF282}"/>
            </c:ext>
          </c:extLst>
        </c:ser>
        <c:ser>
          <c:idx val="14"/>
          <c:order val="14"/>
          <c:tx>
            <c:strRef>
              <c:f>'Trajectory 2023-2040'!$A$17</c:f>
              <c:strCache>
                <c:ptCount val="1"/>
                <c:pt idx="0">
                  <c:v>MANAGE - Annual requirement taking account of past/projected completions</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strRef>
              <c:f>'Trajectory 2023-2040'!$B$2:$R$2</c:f>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f>'Trajectory 2023-2040'!$B$17:$R$17</c:f>
              <c:numCache>
                <c:formatCode>#,##0</c:formatCode>
                <c:ptCount val="17"/>
                <c:pt idx="0">
                  <c:v>419.41176470588238</c:v>
                </c:pt>
                <c:pt idx="1">
                  <c:v>417.1875</c:v>
                </c:pt>
                <c:pt idx="2">
                  <c:v>404.33333333333331</c:v>
                </c:pt>
                <c:pt idx="3">
                  <c:v>391.28571428571428</c:v>
                </c:pt>
                <c:pt idx="4">
                  <c:v>375.15384615384613</c:v>
                </c:pt>
                <c:pt idx="5">
                  <c:v>358.5</c:v>
                </c:pt>
                <c:pt idx="6">
                  <c:v>347.72727272727275</c:v>
                </c:pt>
                <c:pt idx="7">
                  <c:v>319.3</c:v>
                </c:pt>
                <c:pt idx="8">
                  <c:v>287.77777777777777</c:v>
                </c:pt>
                <c:pt idx="9">
                  <c:v>251.625</c:v>
                </c:pt>
                <c:pt idx="10">
                  <c:v>199.42857142857142</c:v>
                </c:pt>
                <c:pt idx="11">
                  <c:v>133.83333333333334</c:v>
                </c:pt>
                <c:pt idx="12">
                  <c:v>64.8</c:v>
                </c:pt>
                <c:pt idx="13">
                  <c:v>-7.25</c:v>
                </c:pt>
                <c:pt idx="14">
                  <c:v>-121.66666666666667</c:v>
                </c:pt>
                <c:pt idx="15">
                  <c:v>-284.5</c:v>
                </c:pt>
                <c:pt idx="16">
                  <c:v>-730</c:v>
                </c:pt>
              </c:numCache>
            </c:numRef>
          </c:val>
          <c:smooth val="0"/>
          <c:extLst>
            <c:ext xmlns:c16="http://schemas.microsoft.com/office/drawing/2014/chart" uri="{C3380CC4-5D6E-409C-BE32-E72D297353CC}">
              <c16:uniqueId val="{00000009-CB68-4B3E-B78E-44F15C1FF282}"/>
            </c:ext>
          </c:extLst>
        </c:ser>
        <c:dLbls>
          <c:showLegendKey val="0"/>
          <c:showVal val="0"/>
          <c:showCatName val="0"/>
          <c:showSerName val="0"/>
          <c:showPercent val="0"/>
          <c:showBubbleSize val="0"/>
        </c:dLbls>
        <c:marker val="1"/>
        <c:smooth val="0"/>
        <c:axId val="357994352"/>
        <c:axId val="357994712"/>
        <c:extLst>
          <c:ext xmlns:c15="http://schemas.microsoft.com/office/drawing/2012/chart" uri="{02D57815-91ED-43cb-92C2-25804820EDAC}">
            <c15:filteredLineSeries>
              <c15:ser>
                <c:idx val="9"/>
                <c:order val="9"/>
                <c:tx>
                  <c:strRef>
                    <c:extLst>
                      <c:ext uri="{02D57815-91ED-43cb-92C2-25804820EDAC}">
                        <c15:formulaRef>
                          <c15:sqref>'Trajectory 2023-2040'!$A$12</c15:sqref>
                        </c15:formulaRef>
                      </c:ext>
                    </c:extLst>
                    <c:strCache>
                      <c:ptCount val="1"/>
                      <c:pt idx="0">
                        <c:v>Cumulative Completions</c:v>
                      </c:pt>
                    </c:strCache>
                  </c:strRef>
                </c:tx>
                <c:spPr>
                  <a:ln w="28575" cap="rnd">
                    <a:solidFill>
                      <a:schemeClr val="accent4">
                        <a:lumMod val="60000"/>
                      </a:schemeClr>
                    </a:solidFill>
                    <a:round/>
                  </a:ln>
                  <a:effectLst/>
                </c:spPr>
                <c:marker>
                  <c:symbol val="none"/>
                </c:marker>
                <c:cat>
                  <c:strRef>
                    <c:extLst>
                      <c:ex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c:ext uri="{02D57815-91ED-43cb-92C2-25804820EDAC}">
                        <c15:formulaRef>
                          <c15:sqref>'Trajectory 2023-2040'!$B$12:$R$12</c15:sqref>
                        </c15:formulaRef>
                      </c:ext>
                    </c:extLst>
                    <c:numCache>
                      <c:formatCode>#,##0</c:formatCode>
                      <c:ptCount val="17"/>
                      <c:pt idx="0">
                        <c:v>452</c:v>
                      </c:pt>
                      <c:pt idx="1">
                        <c:v>907</c:v>
                      </c:pt>
                      <c:pt idx="2">
                        <c:v>1517</c:v>
                      </c:pt>
                      <c:pt idx="3">
                        <c:v>2104</c:v>
                      </c:pt>
                      <c:pt idx="4">
                        <c:v>2705</c:v>
                      </c:pt>
                      <c:pt idx="5">
                        <c:v>3280</c:v>
                      </c:pt>
                      <c:pt idx="6">
                        <c:v>3757</c:v>
                      </c:pt>
                      <c:pt idx="7">
                        <c:v>4389</c:v>
                      </c:pt>
                      <c:pt idx="8">
                        <c:v>4992</c:v>
                      </c:pt>
                      <c:pt idx="9">
                        <c:v>5569</c:v>
                      </c:pt>
                      <c:pt idx="10">
                        <c:v>6186</c:v>
                      </c:pt>
                      <c:pt idx="11">
                        <c:v>6779</c:v>
                      </c:pt>
                      <c:pt idx="12">
                        <c:v>7258</c:v>
                      </c:pt>
                      <c:pt idx="13">
                        <c:v>7611</c:v>
                      </c:pt>
                      <c:pt idx="14">
                        <c:v>7947</c:v>
                      </c:pt>
                      <c:pt idx="15">
                        <c:v>8151</c:v>
                      </c:pt>
                      <c:pt idx="16">
                        <c:v>8312</c:v>
                      </c:pt>
                    </c:numCache>
                  </c:numRef>
                </c:val>
                <c:smooth val="0"/>
                <c:extLst>
                  <c:ext xmlns:c16="http://schemas.microsoft.com/office/drawing/2014/chart" uri="{C3380CC4-5D6E-409C-BE32-E72D297353CC}">
                    <c16:uniqueId val="{0000000B-CB68-4B3E-B78E-44F15C1FF282}"/>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'Trajectory 2023-2040'!$A$14</c15:sqref>
                        </c15:formulaRef>
                      </c:ext>
                    </c:extLst>
                    <c:strCache>
                      <c:ptCount val="1"/>
                      <c:pt idx="0">
                        <c:v>PLAN - Cumulative requirement</c:v>
                      </c:pt>
                    </c:strCache>
                  </c:strRef>
                </c:tx>
                <c:spPr>
                  <a:ln w="28575" cap="rnd">
                    <a:solidFill>
                      <a:schemeClr val="accent6">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xmlns:c15="http://schemas.microsoft.com/office/drawing/2012/chart">
                      <c:ext xmlns:c15="http://schemas.microsoft.com/office/drawing/2012/chart" uri="{02D57815-91ED-43cb-92C2-25804820EDAC}">
                        <c15:formulaRef>
                          <c15:sqref>'Trajectory 2023-2040'!$B$14:$R$14</c15:sqref>
                        </c15:formulaRef>
                      </c:ext>
                    </c:extLst>
                    <c:numCache>
                      <c:formatCode>#,##0</c:formatCode>
                      <c:ptCount val="17"/>
                      <c:pt idx="0">
                        <c:v>446</c:v>
                      </c:pt>
                      <c:pt idx="1">
                        <c:v>892</c:v>
                      </c:pt>
                      <c:pt idx="2">
                        <c:v>1338</c:v>
                      </c:pt>
                      <c:pt idx="3">
                        <c:v>1784</c:v>
                      </c:pt>
                      <c:pt idx="4">
                        <c:v>2230</c:v>
                      </c:pt>
                      <c:pt idx="5">
                        <c:v>2676</c:v>
                      </c:pt>
                      <c:pt idx="6">
                        <c:v>3122</c:v>
                      </c:pt>
                      <c:pt idx="7">
                        <c:v>3568</c:v>
                      </c:pt>
                      <c:pt idx="8">
                        <c:v>4014</c:v>
                      </c:pt>
                      <c:pt idx="9">
                        <c:v>4460</c:v>
                      </c:pt>
                      <c:pt idx="10">
                        <c:v>4906</c:v>
                      </c:pt>
                      <c:pt idx="11">
                        <c:v>5352</c:v>
                      </c:pt>
                      <c:pt idx="12">
                        <c:v>5798</c:v>
                      </c:pt>
                      <c:pt idx="13">
                        <c:v>6244</c:v>
                      </c:pt>
                      <c:pt idx="14">
                        <c:v>6690</c:v>
                      </c:pt>
                      <c:pt idx="15">
                        <c:v>7136</c:v>
                      </c:pt>
                      <c:pt idx="16">
                        <c:v>7582</c:v>
                      </c:pt>
                    </c:numCache>
                  </c:numRef>
                </c:val>
                <c:smooth val="0"/>
                <c:extLst xmlns:c15="http://schemas.microsoft.com/office/drawing/2012/chart">
                  <c:ext xmlns:c16="http://schemas.microsoft.com/office/drawing/2014/chart" uri="{C3380CC4-5D6E-409C-BE32-E72D297353CC}">
                    <c16:uniqueId val="{0000000C-CB68-4B3E-B78E-44F15C1FF282}"/>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'Trajectory 2023-2040'!$A$15</c15:sqref>
                        </c15:formulaRef>
                      </c:ext>
                    </c:extLst>
                    <c:strCache>
                      <c:ptCount val="1"/>
                      <c:pt idx="0">
                        <c:v>MONITOR - No. dwellings above or below cumulative requirement</c:v>
                      </c:pt>
                    </c:strCache>
                  </c:strRef>
                </c:tx>
                <c:spPr>
                  <a:ln w="28575" cap="rnd">
                    <a:solidFill>
                      <a:schemeClr val="accent1">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xmlns:c15="http://schemas.microsoft.com/office/drawing/2012/chart">
                      <c:ext xmlns:c15="http://schemas.microsoft.com/office/drawing/2012/chart" uri="{02D57815-91ED-43cb-92C2-25804820EDAC}">
                        <c15:formulaRef>
                          <c15:sqref>'Trajectory 2023-2040'!$B$15:$R$15</c15:sqref>
                        </c15:formulaRef>
                      </c:ext>
                    </c:extLst>
                    <c:numCache>
                      <c:formatCode>#,##0</c:formatCode>
                      <c:ptCount val="17"/>
                      <c:pt idx="0">
                        <c:v>6</c:v>
                      </c:pt>
                      <c:pt idx="1">
                        <c:v>15</c:v>
                      </c:pt>
                      <c:pt idx="2">
                        <c:v>179</c:v>
                      </c:pt>
                      <c:pt idx="3">
                        <c:v>320</c:v>
                      </c:pt>
                      <c:pt idx="4">
                        <c:v>475</c:v>
                      </c:pt>
                      <c:pt idx="5">
                        <c:v>604</c:v>
                      </c:pt>
                      <c:pt idx="6">
                        <c:v>635</c:v>
                      </c:pt>
                      <c:pt idx="7">
                        <c:v>821</c:v>
                      </c:pt>
                      <c:pt idx="8">
                        <c:v>978</c:v>
                      </c:pt>
                      <c:pt idx="9">
                        <c:v>1109</c:v>
                      </c:pt>
                      <c:pt idx="10">
                        <c:v>1280</c:v>
                      </c:pt>
                      <c:pt idx="11">
                        <c:v>1427</c:v>
                      </c:pt>
                      <c:pt idx="12">
                        <c:v>1460</c:v>
                      </c:pt>
                      <c:pt idx="13">
                        <c:v>1367</c:v>
                      </c:pt>
                      <c:pt idx="14">
                        <c:v>1257</c:v>
                      </c:pt>
                      <c:pt idx="15">
                        <c:v>1015</c:v>
                      </c:pt>
                      <c:pt idx="16">
                        <c:v>730</c:v>
                      </c:pt>
                    </c:numCache>
                  </c:numRef>
                </c:val>
                <c:smooth val="0"/>
                <c:extLst xmlns:c15="http://schemas.microsoft.com/office/drawing/2012/chart">
                  <c:ext xmlns:c16="http://schemas.microsoft.com/office/drawing/2014/chart" uri="{C3380CC4-5D6E-409C-BE32-E72D297353CC}">
                    <c16:uniqueId val="{0000000D-CB68-4B3E-B78E-44F15C1FF282}"/>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'Trajectory 2023-2040'!$A$16</c15:sqref>
                        </c15:formulaRef>
                      </c:ext>
                    </c:extLst>
                    <c:strCache>
                      <c:ptCount val="1"/>
                      <c:pt idx="0">
                        <c:v>MANAGE - Requirement taking account of past/projected completions</c:v>
                      </c:pt>
                    </c:strCache>
                  </c:strRef>
                </c:tx>
                <c:spPr>
                  <a:ln w="28575" cap="rnd">
                    <a:solidFill>
                      <a:schemeClr val="accent2">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'Trajectory 2023-2040'!$B$2:$R$2</c15:sqref>
                        </c15:formulaRef>
                      </c:ext>
                    </c:extLst>
                    <c:strCache>
                      <c:ptCount val="17"/>
                      <c:pt idx="0">
                        <c:v>2023/24</c:v>
                      </c:pt>
                      <c:pt idx="1">
                        <c:v>2024/25</c:v>
                      </c:pt>
                      <c:pt idx="2">
                        <c:v>2025/26</c:v>
                      </c:pt>
                      <c:pt idx="3">
                        <c:v>2026/27</c:v>
                      </c:pt>
                      <c:pt idx="4">
                        <c:v>2027/28</c:v>
                      </c:pt>
                      <c:pt idx="5">
                        <c:v>2028/29</c:v>
                      </c:pt>
                      <c:pt idx="6">
                        <c:v>2029/30</c:v>
                      </c:pt>
                      <c:pt idx="7">
                        <c:v>2030/31</c:v>
                      </c:pt>
                      <c:pt idx="8">
                        <c:v>2031/32</c:v>
                      </c:pt>
                      <c:pt idx="9">
                        <c:v>2032/33</c:v>
                      </c:pt>
                      <c:pt idx="10">
                        <c:v>2033/34</c:v>
                      </c:pt>
                      <c:pt idx="11">
                        <c:v>2034/35</c:v>
                      </c:pt>
                      <c:pt idx="12">
                        <c:v>2035/36</c:v>
                      </c:pt>
                      <c:pt idx="13">
                        <c:v>2036/37</c:v>
                      </c:pt>
                      <c:pt idx="14">
                        <c:v>2037/38</c:v>
                      </c:pt>
                      <c:pt idx="15">
                        <c:v>2038/39</c:v>
                      </c:pt>
                      <c:pt idx="16">
                        <c:v>2039/40</c:v>
                      </c:pt>
                    </c:strCache>
                  </c:strRef>
                </c:cat>
                <c:val>
                  <c:numRef>
                    <c:extLst xmlns:c15="http://schemas.microsoft.com/office/drawing/2012/chart">
                      <c:ext xmlns:c15="http://schemas.microsoft.com/office/drawing/2012/chart" uri="{02D57815-91ED-43cb-92C2-25804820EDAC}">
                        <c15:formulaRef>
                          <c15:sqref>'Trajectory 2023-2040'!$B$16:$R$16</c15:sqref>
                        </c15:formulaRef>
                      </c:ext>
                    </c:extLst>
                    <c:numCache>
                      <c:formatCode>#,##0</c:formatCode>
                      <c:ptCount val="17"/>
                      <c:pt idx="0">
                        <c:v>7130</c:v>
                      </c:pt>
                      <c:pt idx="1">
                        <c:v>6675</c:v>
                      </c:pt>
                      <c:pt idx="2">
                        <c:v>6065</c:v>
                      </c:pt>
                      <c:pt idx="3">
                        <c:v>5478</c:v>
                      </c:pt>
                      <c:pt idx="4">
                        <c:v>4877</c:v>
                      </c:pt>
                      <c:pt idx="5">
                        <c:v>4302</c:v>
                      </c:pt>
                      <c:pt idx="6">
                        <c:v>3825</c:v>
                      </c:pt>
                      <c:pt idx="7">
                        <c:v>3193</c:v>
                      </c:pt>
                      <c:pt idx="8">
                        <c:v>2590</c:v>
                      </c:pt>
                      <c:pt idx="9">
                        <c:v>2013</c:v>
                      </c:pt>
                      <c:pt idx="10">
                        <c:v>1396</c:v>
                      </c:pt>
                      <c:pt idx="11">
                        <c:v>803</c:v>
                      </c:pt>
                      <c:pt idx="12">
                        <c:v>324</c:v>
                      </c:pt>
                      <c:pt idx="13">
                        <c:v>-29</c:v>
                      </c:pt>
                      <c:pt idx="14">
                        <c:v>-365</c:v>
                      </c:pt>
                      <c:pt idx="15">
                        <c:v>-569</c:v>
                      </c:pt>
                      <c:pt idx="16">
                        <c:v>-730</c:v>
                      </c:pt>
                    </c:numCache>
                  </c:numRef>
                </c:val>
                <c:smooth val="0"/>
                <c:extLst xmlns:c15="http://schemas.microsoft.com/office/drawing/2012/chart">
                  <c:ext xmlns:c16="http://schemas.microsoft.com/office/drawing/2014/chart" uri="{C3380CC4-5D6E-409C-BE32-E72D297353CC}">
                    <c16:uniqueId val="{0000000E-CB68-4B3E-B78E-44F15C1FF282}"/>
                  </c:ext>
                </c:extLst>
              </c15:ser>
            </c15:filteredLineSeries>
          </c:ext>
        </c:extLst>
      </c:lineChart>
      <c:catAx>
        <c:axId val="35799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en-US"/>
          </a:p>
        </c:txPr>
        <c:crossAx val="357994712"/>
        <c:crosses val="autoZero"/>
        <c:auto val="1"/>
        <c:lblAlgn val="ctr"/>
        <c:lblOffset val="100"/>
        <c:noMultiLvlLbl val="0"/>
      </c:catAx>
      <c:valAx>
        <c:axId val="357994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en-US"/>
          </a:p>
        </c:txPr>
        <c:crossAx val="35799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solidFill>
            <a:srgbClr val="0070C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3-05T10:07:06.838"/>
    </inkml:context>
    <inkml:brush xml:id="br0">
      <inkml:brushProperty name="width" value="0.05" units="cm"/>
      <inkml:brushProperty name="height" value="0.05" units="cm"/>
      <inkml:brushProperty name="ignorePressure" value="1"/>
    </inkml:brush>
  </inkml:definitions>
  <inkml:trace contextRef="#ctx0" brushRef="#br0">4120 31,'8418'8418,"-8405"-8406</inkml:trace>
  <inkml:trace contextRef="#ctx0" brushRef="#br0" timeOffset="1188.08">59 1051,'12538'12538,"-12525"-12525</inkml:trace>
  <inkml:trace contextRef="#ctx0" brushRef="#br0" timeOffset="7073.87">1 6190,'11533'11534,"-11520"-11522</inkml:trace>
  <inkml:trace contextRef="#ctx0" brushRef="#br0" timeOffset="12176.84">30 11300,'6526'6526,"-6532"-6533</inkml:trace>
  <inkml:trace contextRef="#ctx0" brushRef="#br0" timeOffset="23149.57">9112 1,'3502'3501,"-3490"-3488</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24T15:39:31.291"/>
    </inkml:context>
    <inkml:brush xml:id="br0">
      <inkml:brushProperty name="width" value="0.0501" units="cm"/>
      <inkml:brushProperty name="height" value="0.0501" units="cm"/>
    </inkml:brush>
  </inkml:definitions>
  <inkml:trace contextRef="#ctx0" brushRef="#br0">0 0 24575,'0'0'-8191</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24T15:40:33.671"/>
    </inkml:context>
    <inkml:brush xml:id="br0">
      <inkml:brushProperty name="width" value="0.05" units="cm"/>
      <inkml:brushProperty name="height" value="0.05" units="cm"/>
    </inkml:brush>
  </inkml:definitions>
  <inkml:trace contextRef="#ctx0" brushRef="#br0">0 1 20036,'37924'22595'0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25T16:00:27.405"/>
    </inkml:context>
    <inkml:brush xml:id="br0">
      <inkml:brushProperty name="width" value="0.05" units="cm"/>
      <inkml:brushProperty name="height" value="0.05" units="cm"/>
    </inkml:brush>
  </inkml:definitions>
  <inkml:trace contextRef="#ctx0" brushRef="#br0">0 1 24010,'17003'23144'0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25T16:00:14.991"/>
    </inkml:context>
    <inkml:brush xml:id="br0">
      <inkml:brushProperty name="width" value="0.05" units="cm"/>
      <inkml:brushProperty name="height" value="0.05" units="cm"/>
    </inkml:brush>
  </inkml:definitions>
  <inkml:trace contextRef="#ctx0" brushRef="#br0">0 0 24575</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25T16:00:11.851"/>
    </inkml:context>
    <inkml:brush xml:id="br0">
      <inkml:brushProperty name="width" value="0.05" units="cm"/>
      <inkml:brushProperty name="height" value="0.05" units="cm"/>
    </inkml:brush>
  </inkml:definitions>
  <inkml:trace contextRef="#ctx0" brushRef="#br0">0 1 24575</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24T15:58:31.548"/>
    </inkml:context>
    <inkml:brush xml:id="br0">
      <inkml:brushProperty name="width" value="0.05" units="cm"/>
      <inkml:brushProperty name="height" value="0.05" units="cm"/>
    </inkml:brush>
  </inkml:definitions>
  <inkml:trace contextRef="#ctx0" brushRef="#br0">0 0 23057,'16948'23604'0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3-05T10:07:24.161"/>
    </inkml:context>
    <inkml:brush xml:id="br0">
      <inkml:brushProperty name="width" value="0.05" units="cm"/>
      <inkml:brushProperty name="height" value="0.05" units="cm"/>
      <inkml:brushProperty name="ignorePressure" value="1"/>
    </inkml:brush>
  </inkml:definitions>
  <inkml:trace contextRef="#ctx0" brushRef="#br0">1 0,'1420'1421,"-1411"-1413</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3-05T10:13:15.186"/>
    </inkml:context>
    <inkml:brush xml:id="br0">
      <inkml:brushProperty name="width" value="0.05" units="cm"/>
      <inkml:brushProperty name="height" value="0.05" units="cm"/>
      <inkml:brushProperty name="ignorePressure" value="1"/>
    </inkml:brush>
  </inkml:definitions>
  <inkml:trace contextRef="#ctx0" brushRef="#br0">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3-05T10:12:59.470"/>
    </inkml:context>
    <inkml:brush xml:id="br0">
      <inkml:brushProperty name="width" value="0.05" units="cm"/>
      <inkml:brushProperty name="height" value="0.05" units="cm"/>
      <inkml:brushProperty name="ignorePressure" value="1"/>
    </inkml:brush>
  </inkml:definitions>
  <inkml:trace contextRef="#ctx0" brushRef="#br0">1 1,'587'587,"-580"-580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3-05T10:12:54.762"/>
    </inkml:context>
    <inkml:brush xml:id="br0">
      <inkml:brushProperty name="width" value="0.05" units="cm"/>
      <inkml:brushProperty name="height" value="0.05" units="cm"/>
      <inkml:brushProperty name="ignorePressure" value="1"/>
    </inkml:brush>
  </inkml:definitions>
  <inkml:trace contextRef="#ctx0" brushRef="#br0">1 0,'5505'5506,"-5498"-5500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3-05T10:12:49.093"/>
    </inkml:context>
    <inkml:brush xml:id="br0">
      <inkml:brushProperty name="width" value="0.05" units="cm"/>
      <inkml:brushProperty name="height" value="0.05" units="cm"/>
      <inkml:brushProperty name="ignorePressure" value="1"/>
    </inkml:brush>
  </inkml:definitions>
  <inkml:trace contextRef="#ctx0" brushRef="#br0">1 0,'10524'10524,"-10518"-10517</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3-05T10:12:42.146"/>
    </inkml:context>
    <inkml:brush xml:id="br0">
      <inkml:brushProperty name="width" value="0.05" units="cm"/>
      <inkml:brushProperty name="height" value="0.05" units="cm"/>
      <inkml:brushProperty name="ignorePressure" value="1"/>
    </inkml:brush>
  </inkml:definitions>
  <inkml:trace contextRef="#ctx0" brushRef="#br0">0 0,'8161'8161,"-8615"-8615,589 589,-122-122</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6-03-05T10:12:36.156"/>
    </inkml:context>
    <inkml:brush xml:id="br0">
      <inkml:brushProperty name="width" value="0.05" units="cm"/>
      <inkml:brushProperty name="height" value="0.05" units="cm"/>
      <inkml:brushProperty name="ignorePressure" value="1"/>
    </inkml:brush>
  </inkml:definitions>
  <inkml:trace contextRef="#ctx0" brushRef="#br0">1 1,'3046'3046,"-3041"-3041</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26T09:38:39.809"/>
    </inkml:context>
    <inkml:brush xml:id="br0">
      <inkml:brushProperty name="width" value="0.05" units="cm"/>
      <inkml:brushProperty name="height" value="0.05" units="cm"/>
    </inkml:brush>
  </inkml:definitions>
  <inkml:trace contextRef="#ctx0" brushRef="#br0">1 0 19163,'39282'16895'0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6E2B146FD34140847B35400FF54AE3" ma:contentTypeVersion="12" ma:contentTypeDescription="Create a new document." ma:contentTypeScope="" ma:versionID="52a57a1b55dbceff6b116dc967b075f0">
  <xsd:schema xmlns:xsd="http://www.w3.org/2001/XMLSchema" xmlns:xs="http://www.w3.org/2001/XMLSchema" xmlns:p="http://schemas.microsoft.com/office/2006/metadata/properties" xmlns:ns1="http://schemas.microsoft.com/sharepoint/v3" xmlns:ns2="f970c4d9-0836-4355-b45b-340d00ee6289" targetNamespace="http://schemas.microsoft.com/office/2006/metadata/properties" ma:root="true" ma:fieldsID="ff902c1c5d4f1ce6928dd97292906724" ns1:_="" ns2:_="">
    <xsd:import namespace="http://schemas.microsoft.com/sharepoint/v3"/>
    <xsd:import namespace="f970c4d9-0836-4355-b45b-340d00ee628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BillingMetadata" minOccurs="0"/>
                <xsd:element ref="ns2:MediaServiceDateTaken"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Unified Compliance Policy Properties" ma:hidden="true" ma:internalName="_ip_UnifiedCompliancePolicyProperties">
      <xsd:simpleType>
        <xsd:restriction base="dms:Note"/>
      </xsd:simpleType>
    </xsd:element>
    <xsd:element name="_ip_UnifiedCompliancePolicyUIAction" ma:index="1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970c4d9-0836-4355-b45b-340d00ee62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3" nillable="true" ma:displayName="MediaServiceBillingMetadata" ma:hidden="true" ma:internalName="MediaServiceBillingMetadata" ma:readOnly="true">
      <xsd:simpleType>
        <xsd:restriction base="dms:Note"/>
      </xsd:simpleType>
    </xsd:element>
    <xsd:element name="MediaServiceDateTaken" ma:index="14" nillable="true" ma:displayName="MediaServiceDateTaken" ma:descriptio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f970c4d9-0836-4355-b45b-340d00ee628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03E4C69-2344-4956-9E66-BB6EF61409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970c4d9-0836-4355-b45b-340d00ee62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64BA0A-25D7-4357-A952-FFD777B09A39}">
  <ds:schemaRefs>
    <ds:schemaRef ds:uri="http://schemas.openxmlformats.org/officeDocument/2006/bibliography"/>
  </ds:schemaRefs>
</ds:datastoreItem>
</file>

<file path=customXml/itemProps3.xml><?xml version="1.0" encoding="utf-8"?>
<ds:datastoreItem xmlns:ds="http://schemas.openxmlformats.org/officeDocument/2006/customXml" ds:itemID="{031D3842-CC22-4FF1-9B64-31A28E24877A}">
  <ds:schemaRefs>
    <ds:schemaRef ds:uri="http://schemas.microsoft.com/sharepoint/v3/contenttype/forms"/>
  </ds:schemaRefs>
</ds:datastoreItem>
</file>

<file path=customXml/itemProps4.xml><?xml version="1.0" encoding="utf-8"?>
<ds:datastoreItem xmlns:ds="http://schemas.openxmlformats.org/officeDocument/2006/customXml" ds:itemID="{39D0F159-EEB8-44D5-978B-C217F71E0301}">
  <ds:schemaRefs>
    <ds:schemaRef ds:uri="http://schemas.microsoft.com/office/2006/metadata/properties"/>
    <ds:schemaRef ds:uri="http://schemas.microsoft.com/office/infopath/2007/PartnerControls"/>
    <ds:schemaRef ds:uri="http://schemas.microsoft.com/sharepoint/v3"/>
    <ds:schemaRef ds:uri="f970c4d9-0836-4355-b45b-340d00ee6289"/>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431</Pages>
  <Words>109990</Words>
  <Characters>791935</Characters>
  <Application>Microsoft Office Word</Application>
  <DocSecurity>0</DocSecurity>
  <Lines>23292</Lines>
  <Paragraphs>18790</Paragraphs>
  <ScaleCrop>false</ScaleCrop>
  <HeadingPairs>
    <vt:vector size="2" baseType="variant">
      <vt:variant>
        <vt:lpstr>Title</vt:lpstr>
      </vt:variant>
      <vt:variant>
        <vt:i4>1</vt:i4>
      </vt:variant>
    </vt:vector>
  </HeadingPairs>
  <TitlesOfParts>
    <vt:vector size="1" baseType="lpstr">
      <vt:lpstr>SHEFFIELD HALLAM UNIVERSITY</vt:lpstr>
    </vt:vector>
  </TitlesOfParts>
  <Company>Hewlett-Packard</Company>
  <LinksUpToDate>false</LinksUpToDate>
  <CharactersWithSpaces>883135</CharactersWithSpaces>
  <SharedDoc>false</SharedDoc>
  <HLinks>
    <vt:vector size="960" baseType="variant">
      <vt:variant>
        <vt:i4>1703940</vt:i4>
      </vt:variant>
      <vt:variant>
        <vt:i4>594</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591</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588</vt:i4>
      </vt:variant>
      <vt:variant>
        <vt:i4>0</vt:i4>
      </vt:variant>
      <vt:variant>
        <vt:i4>5</vt:i4>
      </vt:variant>
      <vt:variant>
        <vt:lpwstr>https://www.ashfield.gov.uk/planning-and-building-control/supplementary-planning-documents-and-guidance/</vt:lpwstr>
      </vt:variant>
      <vt:variant>
        <vt:lpwstr/>
      </vt:variant>
      <vt:variant>
        <vt:i4>3539045</vt:i4>
      </vt:variant>
      <vt:variant>
        <vt:i4>585</vt:i4>
      </vt:variant>
      <vt:variant>
        <vt:i4>0</vt:i4>
      </vt:variant>
      <vt:variant>
        <vt:i4>5</vt:i4>
      </vt:variant>
      <vt:variant>
        <vt:lpwstr>https://www.ashfield.gov.uk/local-plan-examination/submission-documents-and-evidence-base/</vt:lpwstr>
      </vt:variant>
      <vt:variant>
        <vt:lpwstr/>
      </vt:variant>
      <vt:variant>
        <vt:i4>1703940</vt:i4>
      </vt:variant>
      <vt:variant>
        <vt:i4>582</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579</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576</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573</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570</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567</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564</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561</vt:i4>
      </vt:variant>
      <vt:variant>
        <vt:i4>0</vt:i4>
      </vt:variant>
      <vt:variant>
        <vt:i4>5</vt:i4>
      </vt:variant>
      <vt:variant>
        <vt:lpwstr>https://www.ashfield.gov.uk/planning-and-building-control/supplementary-planning-documents-and-guidance/</vt:lpwstr>
      </vt:variant>
      <vt:variant>
        <vt:lpwstr/>
      </vt:variant>
      <vt:variant>
        <vt:i4>1703940</vt:i4>
      </vt:variant>
      <vt:variant>
        <vt:i4>558</vt:i4>
      </vt:variant>
      <vt:variant>
        <vt:i4>0</vt:i4>
      </vt:variant>
      <vt:variant>
        <vt:i4>5</vt:i4>
      </vt:variant>
      <vt:variant>
        <vt:lpwstr>https://www.ashfield.gov.uk/planning-and-building-control/supplementary-planning-documents-and-guidance/</vt:lpwstr>
      </vt:variant>
      <vt:variant>
        <vt:lpwstr/>
      </vt:variant>
      <vt:variant>
        <vt:i4>3539045</vt:i4>
      </vt:variant>
      <vt:variant>
        <vt:i4>555</vt:i4>
      </vt:variant>
      <vt:variant>
        <vt:i4>0</vt:i4>
      </vt:variant>
      <vt:variant>
        <vt:i4>5</vt:i4>
      </vt:variant>
      <vt:variant>
        <vt:lpwstr>https://www.ashfield.gov.uk/local-plan-examination/submission-documents-and-evidence-base/</vt:lpwstr>
      </vt:variant>
      <vt:variant>
        <vt:lpwstr/>
      </vt:variant>
      <vt:variant>
        <vt:i4>8126580</vt:i4>
      </vt:variant>
      <vt:variant>
        <vt:i4>552</vt:i4>
      </vt:variant>
      <vt:variant>
        <vt:i4>0</vt:i4>
      </vt:variant>
      <vt:variant>
        <vt:i4>5</vt:i4>
      </vt:variant>
      <vt:variant>
        <vt:lpwstr>https://www.gov.uk/guidance/first-homes</vt:lpwstr>
      </vt:variant>
      <vt:variant>
        <vt:lpwstr/>
      </vt:variant>
      <vt:variant>
        <vt:i4>2424872</vt:i4>
      </vt:variant>
      <vt:variant>
        <vt:i4>549</vt:i4>
      </vt:variant>
      <vt:variant>
        <vt:i4>0</vt:i4>
      </vt:variant>
      <vt:variant>
        <vt:i4>5</vt:i4>
      </vt:variant>
      <vt:variant>
        <vt:lpwstr>http://www.defra.gov.uk/food-farm/farm-manage/cross-compliance/</vt:lpwstr>
      </vt:variant>
      <vt:variant>
        <vt:lpwstr/>
      </vt:variant>
      <vt:variant>
        <vt:i4>7274501</vt:i4>
      </vt:variant>
      <vt:variant>
        <vt:i4>546</vt:i4>
      </vt:variant>
      <vt:variant>
        <vt:i4>0</vt:i4>
      </vt:variant>
      <vt:variant>
        <vt:i4>5</vt:i4>
      </vt:variant>
      <vt:variant>
        <vt:lpwstr>http://www.opsi.gov.uk/si/si2007/uksi_20071903_en_1</vt:lpwstr>
      </vt:variant>
      <vt:variant>
        <vt:lpwstr/>
      </vt:variant>
      <vt:variant>
        <vt:i4>6226010</vt:i4>
      </vt:variant>
      <vt:variant>
        <vt:i4>543</vt:i4>
      </vt:variant>
      <vt:variant>
        <vt:i4>0</vt:i4>
      </vt:variant>
      <vt:variant>
        <vt:i4>5</vt:i4>
      </vt:variant>
      <vt:variant>
        <vt:lpwstr>http://www.opsi.gov.uk/si/si2006/20060372.htm</vt:lpwstr>
      </vt:variant>
      <vt:variant>
        <vt:lpwstr/>
      </vt:variant>
      <vt:variant>
        <vt:i4>6684729</vt:i4>
      </vt:variant>
      <vt:variant>
        <vt:i4>540</vt:i4>
      </vt:variant>
      <vt:variant>
        <vt:i4>0</vt:i4>
      </vt:variant>
      <vt:variant>
        <vt:i4>5</vt:i4>
      </vt:variant>
      <vt:variant>
        <vt:lpwstr>https://assets.publishing.service.gov.uk/government/uploads/system/uploads/attachment_data/file/1012931/HDT_Measurement_Rule_Book.pdf</vt:lpwstr>
      </vt:variant>
      <vt:variant>
        <vt:lpwstr/>
      </vt:variant>
      <vt:variant>
        <vt:i4>917584</vt:i4>
      </vt:variant>
      <vt:variant>
        <vt:i4>537</vt:i4>
      </vt:variant>
      <vt:variant>
        <vt:i4>0</vt:i4>
      </vt:variant>
      <vt:variant>
        <vt:i4>5</vt:i4>
      </vt:variant>
      <vt:variant>
        <vt:lpwstr>http://planningguidance.planningportal.gov.uk/blog/guidance/local-plans/</vt:lpwstr>
      </vt:variant>
      <vt:variant>
        <vt:lpwstr/>
      </vt:variant>
      <vt:variant>
        <vt:i4>1310771</vt:i4>
      </vt:variant>
      <vt:variant>
        <vt:i4>530</vt:i4>
      </vt:variant>
      <vt:variant>
        <vt:i4>0</vt:i4>
      </vt:variant>
      <vt:variant>
        <vt:i4>5</vt:i4>
      </vt:variant>
      <vt:variant>
        <vt:lpwstr/>
      </vt:variant>
      <vt:variant>
        <vt:lpwstr>_Toc145511632</vt:lpwstr>
      </vt:variant>
      <vt:variant>
        <vt:i4>1310771</vt:i4>
      </vt:variant>
      <vt:variant>
        <vt:i4>524</vt:i4>
      </vt:variant>
      <vt:variant>
        <vt:i4>0</vt:i4>
      </vt:variant>
      <vt:variant>
        <vt:i4>5</vt:i4>
      </vt:variant>
      <vt:variant>
        <vt:lpwstr/>
      </vt:variant>
      <vt:variant>
        <vt:lpwstr>_Toc145511631</vt:lpwstr>
      </vt:variant>
      <vt:variant>
        <vt:i4>1310771</vt:i4>
      </vt:variant>
      <vt:variant>
        <vt:i4>518</vt:i4>
      </vt:variant>
      <vt:variant>
        <vt:i4>0</vt:i4>
      </vt:variant>
      <vt:variant>
        <vt:i4>5</vt:i4>
      </vt:variant>
      <vt:variant>
        <vt:lpwstr/>
      </vt:variant>
      <vt:variant>
        <vt:lpwstr>_Toc145511630</vt:lpwstr>
      </vt:variant>
      <vt:variant>
        <vt:i4>1376307</vt:i4>
      </vt:variant>
      <vt:variant>
        <vt:i4>512</vt:i4>
      </vt:variant>
      <vt:variant>
        <vt:i4>0</vt:i4>
      </vt:variant>
      <vt:variant>
        <vt:i4>5</vt:i4>
      </vt:variant>
      <vt:variant>
        <vt:lpwstr/>
      </vt:variant>
      <vt:variant>
        <vt:lpwstr>_Toc145511629</vt:lpwstr>
      </vt:variant>
      <vt:variant>
        <vt:i4>1376307</vt:i4>
      </vt:variant>
      <vt:variant>
        <vt:i4>506</vt:i4>
      </vt:variant>
      <vt:variant>
        <vt:i4>0</vt:i4>
      </vt:variant>
      <vt:variant>
        <vt:i4>5</vt:i4>
      </vt:variant>
      <vt:variant>
        <vt:lpwstr/>
      </vt:variant>
      <vt:variant>
        <vt:lpwstr>_Toc145511628</vt:lpwstr>
      </vt:variant>
      <vt:variant>
        <vt:i4>1376307</vt:i4>
      </vt:variant>
      <vt:variant>
        <vt:i4>500</vt:i4>
      </vt:variant>
      <vt:variant>
        <vt:i4>0</vt:i4>
      </vt:variant>
      <vt:variant>
        <vt:i4>5</vt:i4>
      </vt:variant>
      <vt:variant>
        <vt:lpwstr/>
      </vt:variant>
      <vt:variant>
        <vt:lpwstr>_Toc145511627</vt:lpwstr>
      </vt:variant>
      <vt:variant>
        <vt:i4>1376307</vt:i4>
      </vt:variant>
      <vt:variant>
        <vt:i4>494</vt:i4>
      </vt:variant>
      <vt:variant>
        <vt:i4>0</vt:i4>
      </vt:variant>
      <vt:variant>
        <vt:i4>5</vt:i4>
      </vt:variant>
      <vt:variant>
        <vt:lpwstr/>
      </vt:variant>
      <vt:variant>
        <vt:lpwstr>_Toc145511626</vt:lpwstr>
      </vt:variant>
      <vt:variant>
        <vt:i4>1310771</vt:i4>
      </vt:variant>
      <vt:variant>
        <vt:i4>488</vt:i4>
      </vt:variant>
      <vt:variant>
        <vt:i4>0</vt:i4>
      </vt:variant>
      <vt:variant>
        <vt:i4>5</vt:i4>
      </vt:variant>
      <vt:variant>
        <vt:lpwstr/>
      </vt:variant>
      <vt:variant>
        <vt:lpwstr>_Toc145511633</vt:lpwstr>
      </vt:variant>
      <vt:variant>
        <vt:i4>1376307</vt:i4>
      </vt:variant>
      <vt:variant>
        <vt:i4>482</vt:i4>
      </vt:variant>
      <vt:variant>
        <vt:i4>0</vt:i4>
      </vt:variant>
      <vt:variant>
        <vt:i4>5</vt:i4>
      </vt:variant>
      <vt:variant>
        <vt:lpwstr/>
      </vt:variant>
      <vt:variant>
        <vt:lpwstr>_Toc145511624</vt:lpwstr>
      </vt:variant>
      <vt:variant>
        <vt:i4>1376307</vt:i4>
      </vt:variant>
      <vt:variant>
        <vt:i4>476</vt:i4>
      </vt:variant>
      <vt:variant>
        <vt:i4>0</vt:i4>
      </vt:variant>
      <vt:variant>
        <vt:i4>5</vt:i4>
      </vt:variant>
      <vt:variant>
        <vt:lpwstr/>
      </vt:variant>
      <vt:variant>
        <vt:lpwstr>_Toc145511623</vt:lpwstr>
      </vt:variant>
      <vt:variant>
        <vt:i4>1376307</vt:i4>
      </vt:variant>
      <vt:variant>
        <vt:i4>470</vt:i4>
      </vt:variant>
      <vt:variant>
        <vt:i4>0</vt:i4>
      </vt:variant>
      <vt:variant>
        <vt:i4>5</vt:i4>
      </vt:variant>
      <vt:variant>
        <vt:lpwstr/>
      </vt:variant>
      <vt:variant>
        <vt:lpwstr>_Toc145511622</vt:lpwstr>
      </vt:variant>
      <vt:variant>
        <vt:i4>1376307</vt:i4>
      </vt:variant>
      <vt:variant>
        <vt:i4>464</vt:i4>
      </vt:variant>
      <vt:variant>
        <vt:i4>0</vt:i4>
      </vt:variant>
      <vt:variant>
        <vt:i4>5</vt:i4>
      </vt:variant>
      <vt:variant>
        <vt:lpwstr/>
      </vt:variant>
      <vt:variant>
        <vt:lpwstr>_Toc145511621</vt:lpwstr>
      </vt:variant>
      <vt:variant>
        <vt:i4>1376307</vt:i4>
      </vt:variant>
      <vt:variant>
        <vt:i4>458</vt:i4>
      </vt:variant>
      <vt:variant>
        <vt:i4>0</vt:i4>
      </vt:variant>
      <vt:variant>
        <vt:i4>5</vt:i4>
      </vt:variant>
      <vt:variant>
        <vt:lpwstr/>
      </vt:variant>
      <vt:variant>
        <vt:lpwstr>_Toc145511620</vt:lpwstr>
      </vt:variant>
      <vt:variant>
        <vt:i4>1441843</vt:i4>
      </vt:variant>
      <vt:variant>
        <vt:i4>452</vt:i4>
      </vt:variant>
      <vt:variant>
        <vt:i4>0</vt:i4>
      </vt:variant>
      <vt:variant>
        <vt:i4>5</vt:i4>
      </vt:variant>
      <vt:variant>
        <vt:lpwstr/>
      </vt:variant>
      <vt:variant>
        <vt:lpwstr>_Toc145511619</vt:lpwstr>
      </vt:variant>
      <vt:variant>
        <vt:i4>1441843</vt:i4>
      </vt:variant>
      <vt:variant>
        <vt:i4>446</vt:i4>
      </vt:variant>
      <vt:variant>
        <vt:i4>0</vt:i4>
      </vt:variant>
      <vt:variant>
        <vt:i4>5</vt:i4>
      </vt:variant>
      <vt:variant>
        <vt:lpwstr/>
      </vt:variant>
      <vt:variant>
        <vt:lpwstr>_Toc145511618</vt:lpwstr>
      </vt:variant>
      <vt:variant>
        <vt:i4>1441843</vt:i4>
      </vt:variant>
      <vt:variant>
        <vt:i4>440</vt:i4>
      </vt:variant>
      <vt:variant>
        <vt:i4>0</vt:i4>
      </vt:variant>
      <vt:variant>
        <vt:i4>5</vt:i4>
      </vt:variant>
      <vt:variant>
        <vt:lpwstr/>
      </vt:variant>
      <vt:variant>
        <vt:lpwstr>_Toc145511617</vt:lpwstr>
      </vt:variant>
      <vt:variant>
        <vt:i4>1441843</vt:i4>
      </vt:variant>
      <vt:variant>
        <vt:i4>434</vt:i4>
      </vt:variant>
      <vt:variant>
        <vt:i4>0</vt:i4>
      </vt:variant>
      <vt:variant>
        <vt:i4>5</vt:i4>
      </vt:variant>
      <vt:variant>
        <vt:lpwstr/>
      </vt:variant>
      <vt:variant>
        <vt:lpwstr>_Toc145511616</vt:lpwstr>
      </vt:variant>
      <vt:variant>
        <vt:i4>1441843</vt:i4>
      </vt:variant>
      <vt:variant>
        <vt:i4>428</vt:i4>
      </vt:variant>
      <vt:variant>
        <vt:i4>0</vt:i4>
      </vt:variant>
      <vt:variant>
        <vt:i4>5</vt:i4>
      </vt:variant>
      <vt:variant>
        <vt:lpwstr/>
      </vt:variant>
      <vt:variant>
        <vt:lpwstr>_Toc145511615</vt:lpwstr>
      </vt:variant>
      <vt:variant>
        <vt:i4>1441843</vt:i4>
      </vt:variant>
      <vt:variant>
        <vt:i4>422</vt:i4>
      </vt:variant>
      <vt:variant>
        <vt:i4>0</vt:i4>
      </vt:variant>
      <vt:variant>
        <vt:i4>5</vt:i4>
      </vt:variant>
      <vt:variant>
        <vt:lpwstr/>
      </vt:variant>
      <vt:variant>
        <vt:lpwstr>_Toc145511614</vt:lpwstr>
      </vt:variant>
      <vt:variant>
        <vt:i4>1441843</vt:i4>
      </vt:variant>
      <vt:variant>
        <vt:i4>416</vt:i4>
      </vt:variant>
      <vt:variant>
        <vt:i4>0</vt:i4>
      </vt:variant>
      <vt:variant>
        <vt:i4>5</vt:i4>
      </vt:variant>
      <vt:variant>
        <vt:lpwstr/>
      </vt:variant>
      <vt:variant>
        <vt:lpwstr>_Toc145511613</vt:lpwstr>
      </vt:variant>
      <vt:variant>
        <vt:i4>1441843</vt:i4>
      </vt:variant>
      <vt:variant>
        <vt:i4>410</vt:i4>
      </vt:variant>
      <vt:variant>
        <vt:i4>0</vt:i4>
      </vt:variant>
      <vt:variant>
        <vt:i4>5</vt:i4>
      </vt:variant>
      <vt:variant>
        <vt:lpwstr/>
      </vt:variant>
      <vt:variant>
        <vt:lpwstr>_Toc145511612</vt:lpwstr>
      </vt:variant>
      <vt:variant>
        <vt:i4>1441843</vt:i4>
      </vt:variant>
      <vt:variant>
        <vt:i4>404</vt:i4>
      </vt:variant>
      <vt:variant>
        <vt:i4>0</vt:i4>
      </vt:variant>
      <vt:variant>
        <vt:i4>5</vt:i4>
      </vt:variant>
      <vt:variant>
        <vt:lpwstr/>
      </vt:variant>
      <vt:variant>
        <vt:lpwstr>_Toc145511611</vt:lpwstr>
      </vt:variant>
      <vt:variant>
        <vt:i4>1441843</vt:i4>
      </vt:variant>
      <vt:variant>
        <vt:i4>398</vt:i4>
      </vt:variant>
      <vt:variant>
        <vt:i4>0</vt:i4>
      </vt:variant>
      <vt:variant>
        <vt:i4>5</vt:i4>
      </vt:variant>
      <vt:variant>
        <vt:lpwstr/>
      </vt:variant>
      <vt:variant>
        <vt:lpwstr>_Toc145511610</vt:lpwstr>
      </vt:variant>
      <vt:variant>
        <vt:i4>1507379</vt:i4>
      </vt:variant>
      <vt:variant>
        <vt:i4>392</vt:i4>
      </vt:variant>
      <vt:variant>
        <vt:i4>0</vt:i4>
      </vt:variant>
      <vt:variant>
        <vt:i4>5</vt:i4>
      </vt:variant>
      <vt:variant>
        <vt:lpwstr/>
      </vt:variant>
      <vt:variant>
        <vt:lpwstr>_Toc145511609</vt:lpwstr>
      </vt:variant>
      <vt:variant>
        <vt:i4>1507379</vt:i4>
      </vt:variant>
      <vt:variant>
        <vt:i4>386</vt:i4>
      </vt:variant>
      <vt:variant>
        <vt:i4>0</vt:i4>
      </vt:variant>
      <vt:variant>
        <vt:i4>5</vt:i4>
      </vt:variant>
      <vt:variant>
        <vt:lpwstr/>
      </vt:variant>
      <vt:variant>
        <vt:lpwstr>_Toc145511608</vt:lpwstr>
      </vt:variant>
      <vt:variant>
        <vt:i4>1507379</vt:i4>
      </vt:variant>
      <vt:variant>
        <vt:i4>380</vt:i4>
      </vt:variant>
      <vt:variant>
        <vt:i4>0</vt:i4>
      </vt:variant>
      <vt:variant>
        <vt:i4>5</vt:i4>
      </vt:variant>
      <vt:variant>
        <vt:lpwstr/>
      </vt:variant>
      <vt:variant>
        <vt:lpwstr>_Toc145511607</vt:lpwstr>
      </vt:variant>
      <vt:variant>
        <vt:i4>1507379</vt:i4>
      </vt:variant>
      <vt:variant>
        <vt:i4>374</vt:i4>
      </vt:variant>
      <vt:variant>
        <vt:i4>0</vt:i4>
      </vt:variant>
      <vt:variant>
        <vt:i4>5</vt:i4>
      </vt:variant>
      <vt:variant>
        <vt:lpwstr/>
      </vt:variant>
      <vt:variant>
        <vt:lpwstr>_Toc145511606</vt:lpwstr>
      </vt:variant>
      <vt:variant>
        <vt:i4>1507379</vt:i4>
      </vt:variant>
      <vt:variant>
        <vt:i4>368</vt:i4>
      </vt:variant>
      <vt:variant>
        <vt:i4>0</vt:i4>
      </vt:variant>
      <vt:variant>
        <vt:i4>5</vt:i4>
      </vt:variant>
      <vt:variant>
        <vt:lpwstr/>
      </vt:variant>
      <vt:variant>
        <vt:lpwstr>_Toc145511605</vt:lpwstr>
      </vt:variant>
      <vt:variant>
        <vt:i4>1507379</vt:i4>
      </vt:variant>
      <vt:variant>
        <vt:i4>362</vt:i4>
      </vt:variant>
      <vt:variant>
        <vt:i4>0</vt:i4>
      </vt:variant>
      <vt:variant>
        <vt:i4>5</vt:i4>
      </vt:variant>
      <vt:variant>
        <vt:lpwstr/>
      </vt:variant>
      <vt:variant>
        <vt:lpwstr>_Toc145511604</vt:lpwstr>
      </vt:variant>
      <vt:variant>
        <vt:i4>1507379</vt:i4>
      </vt:variant>
      <vt:variant>
        <vt:i4>356</vt:i4>
      </vt:variant>
      <vt:variant>
        <vt:i4>0</vt:i4>
      </vt:variant>
      <vt:variant>
        <vt:i4>5</vt:i4>
      </vt:variant>
      <vt:variant>
        <vt:lpwstr/>
      </vt:variant>
      <vt:variant>
        <vt:lpwstr>_Toc145511603</vt:lpwstr>
      </vt:variant>
      <vt:variant>
        <vt:i4>1507379</vt:i4>
      </vt:variant>
      <vt:variant>
        <vt:i4>350</vt:i4>
      </vt:variant>
      <vt:variant>
        <vt:i4>0</vt:i4>
      </vt:variant>
      <vt:variant>
        <vt:i4>5</vt:i4>
      </vt:variant>
      <vt:variant>
        <vt:lpwstr/>
      </vt:variant>
      <vt:variant>
        <vt:lpwstr>_Toc145511602</vt:lpwstr>
      </vt:variant>
      <vt:variant>
        <vt:i4>1507379</vt:i4>
      </vt:variant>
      <vt:variant>
        <vt:i4>344</vt:i4>
      </vt:variant>
      <vt:variant>
        <vt:i4>0</vt:i4>
      </vt:variant>
      <vt:variant>
        <vt:i4>5</vt:i4>
      </vt:variant>
      <vt:variant>
        <vt:lpwstr/>
      </vt:variant>
      <vt:variant>
        <vt:lpwstr>_Toc145511601</vt:lpwstr>
      </vt:variant>
      <vt:variant>
        <vt:i4>1507379</vt:i4>
      </vt:variant>
      <vt:variant>
        <vt:i4>338</vt:i4>
      </vt:variant>
      <vt:variant>
        <vt:i4>0</vt:i4>
      </vt:variant>
      <vt:variant>
        <vt:i4>5</vt:i4>
      </vt:variant>
      <vt:variant>
        <vt:lpwstr/>
      </vt:variant>
      <vt:variant>
        <vt:lpwstr>_Toc145511600</vt:lpwstr>
      </vt:variant>
      <vt:variant>
        <vt:i4>1966128</vt:i4>
      </vt:variant>
      <vt:variant>
        <vt:i4>332</vt:i4>
      </vt:variant>
      <vt:variant>
        <vt:i4>0</vt:i4>
      </vt:variant>
      <vt:variant>
        <vt:i4>5</vt:i4>
      </vt:variant>
      <vt:variant>
        <vt:lpwstr/>
      </vt:variant>
      <vt:variant>
        <vt:lpwstr>_Toc145511599</vt:lpwstr>
      </vt:variant>
      <vt:variant>
        <vt:i4>1966128</vt:i4>
      </vt:variant>
      <vt:variant>
        <vt:i4>326</vt:i4>
      </vt:variant>
      <vt:variant>
        <vt:i4>0</vt:i4>
      </vt:variant>
      <vt:variant>
        <vt:i4>5</vt:i4>
      </vt:variant>
      <vt:variant>
        <vt:lpwstr/>
      </vt:variant>
      <vt:variant>
        <vt:lpwstr>_Toc145511598</vt:lpwstr>
      </vt:variant>
      <vt:variant>
        <vt:i4>1966128</vt:i4>
      </vt:variant>
      <vt:variant>
        <vt:i4>320</vt:i4>
      </vt:variant>
      <vt:variant>
        <vt:i4>0</vt:i4>
      </vt:variant>
      <vt:variant>
        <vt:i4>5</vt:i4>
      </vt:variant>
      <vt:variant>
        <vt:lpwstr/>
      </vt:variant>
      <vt:variant>
        <vt:lpwstr>_Toc145511597</vt:lpwstr>
      </vt:variant>
      <vt:variant>
        <vt:i4>1966128</vt:i4>
      </vt:variant>
      <vt:variant>
        <vt:i4>314</vt:i4>
      </vt:variant>
      <vt:variant>
        <vt:i4>0</vt:i4>
      </vt:variant>
      <vt:variant>
        <vt:i4>5</vt:i4>
      </vt:variant>
      <vt:variant>
        <vt:lpwstr/>
      </vt:variant>
      <vt:variant>
        <vt:lpwstr>_Toc145511596</vt:lpwstr>
      </vt:variant>
      <vt:variant>
        <vt:i4>1966128</vt:i4>
      </vt:variant>
      <vt:variant>
        <vt:i4>308</vt:i4>
      </vt:variant>
      <vt:variant>
        <vt:i4>0</vt:i4>
      </vt:variant>
      <vt:variant>
        <vt:i4>5</vt:i4>
      </vt:variant>
      <vt:variant>
        <vt:lpwstr/>
      </vt:variant>
      <vt:variant>
        <vt:lpwstr>_Toc145511595</vt:lpwstr>
      </vt:variant>
      <vt:variant>
        <vt:i4>1966128</vt:i4>
      </vt:variant>
      <vt:variant>
        <vt:i4>302</vt:i4>
      </vt:variant>
      <vt:variant>
        <vt:i4>0</vt:i4>
      </vt:variant>
      <vt:variant>
        <vt:i4>5</vt:i4>
      </vt:variant>
      <vt:variant>
        <vt:lpwstr/>
      </vt:variant>
      <vt:variant>
        <vt:lpwstr>_Toc145511594</vt:lpwstr>
      </vt:variant>
      <vt:variant>
        <vt:i4>1966128</vt:i4>
      </vt:variant>
      <vt:variant>
        <vt:i4>296</vt:i4>
      </vt:variant>
      <vt:variant>
        <vt:i4>0</vt:i4>
      </vt:variant>
      <vt:variant>
        <vt:i4>5</vt:i4>
      </vt:variant>
      <vt:variant>
        <vt:lpwstr/>
      </vt:variant>
      <vt:variant>
        <vt:lpwstr>_Toc145511593</vt:lpwstr>
      </vt:variant>
      <vt:variant>
        <vt:i4>1966128</vt:i4>
      </vt:variant>
      <vt:variant>
        <vt:i4>290</vt:i4>
      </vt:variant>
      <vt:variant>
        <vt:i4>0</vt:i4>
      </vt:variant>
      <vt:variant>
        <vt:i4>5</vt:i4>
      </vt:variant>
      <vt:variant>
        <vt:lpwstr/>
      </vt:variant>
      <vt:variant>
        <vt:lpwstr>_Toc145511592</vt:lpwstr>
      </vt:variant>
      <vt:variant>
        <vt:i4>1966128</vt:i4>
      </vt:variant>
      <vt:variant>
        <vt:i4>284</vt:i4>
      </vt:variant>
      <vt:variant>
        <vt:i4>0</vt:i4>
      </vt:variant>
      <vt:variant>
        <vt:i4>5</vt:i4>
      </vt:variant>
      <vt:variant>
        <vt:lpwstr/>
      </vt:variant>
      <vt:variant>
        <vt:lpwstr>_Toc145511591</vt:lpwstr>
      </vt:variant>
      <vt:variant>
        <vt:i4>1966128</vt:i4>
      </vt:variant>
      <vt:variant>
        <vt:i4>278</vt:i4>
      </vt:variant>
      <vt:variant>
        <vt:i4>0</vt:i4>
      </vt:variant>
      <vt:variant>
        <vt:i4>5</vt:i4>
      </vt:variant>
      <vt:variant>
        <vt:lpwstr/>
      </vt:variant>
      <vt:variant>
        <vt:lpwstr>_Toc145511590</vt:lpwstr>
      </vt:variant>
      <vt:variant>
        <vt:i4>2031664</vt:i4>
      </vt:variant>
      <vt:variant>
        <vt:i4>272</vt:i4>
      </vt:variant>
      <vt:variant>
        <vt:i4>0</vt:i4>
      </vt:variant>
      <vt:variant>
        <vt:i4>5</vt:i4>
      </vt:variant>
      <vt:variant>
        <vt:lpwstr/>
      </vt:variant>
      <vt:variant>
        <vt:lpwstr>_Toc145511589</vt:lpwstr>
      </vt:variant>
      <vt:variant>
        <vt:i4>2031664</vt:i4>
      </vt:variant>
      <vt:variant>
        <vt:i4>266</vt:i4>
      </vt:variant>
      <vt:variant>
        <vt:i4>0</vt:i4>
      </vt:variant>
      <vt:variant>
        <vt:i4>5</vt:i4>
      </vt:variant>
      <vt:variant>
        <vt:lpwstr/>
      </vt:variant>
      <vt:variant>
        <vt:lpwstr>_Toc145511588</vt:lpwstr>
      </vt:variant>
      <vt:variant>
        <vt:i4>2031664</vt:i4>
      </vt:variant>
      <vt:variant>
        <vt:i4>260</vt:i4>
      </vt:variant>
      <vt:variant>
        <vt:i4>0</vt:i4>
      </vt:variant>
      <vt:variant>
        <vt:i4>5</vt:i4>
      </vt:variant>
      <vt:variant>
        <vt:lpwstr/>
      </vt:variant>
      <vt:variant>
        <vt:lpwstr>_Toc145511587</vt:lpwstr>
      </vt:variant>
      <vt:variant>
        <vt:i4>2031664</vt:i4>
      </vt:variant>
      <vt:variant>
        <vt:i4>254</vt:i4>
      </vt:variant>
      <vt:variant>
        <vt:i4>0</vt:i4>
      </vt:variant>
      <vt:variant>
        <vt:i4>5</vt:i4>
      </vt:variant>
      <vt:variant>
        <vt:lpwstr/>
      </vt:variant>
      <vt:variant>
        <vt:lpwstr>_Toc145511586</vt:lpwstr>
      </vt:variant>
      <vt:variant>
        <vt:i4>2031664</vt:i4>
      </vt:variant>
      <vt:variant>
        <vt:i4>248</vt:i4>
      </vt:variant>
      <vt:variant>
        <vt:i4>0</vt:i4>
      </vt:variant>
      <vt:variant>
        <vt:i4>5</vt:i4>
      </vt:variant>
      <vt:variant>
        <vt:lpwstr/>
      </vt:variant>
      <vt:variant>
        <vt:lpwstr>_Toc145511585</vt:lpwstr>
      </vt:variant>
      <vt:variant>
        <vt:i4>2031664</vt:i4>
      </vt:variant>
      <vt:variant>
        <vt:i4>242</vt:i4>
      </vt:variant>
      <vt:variant>
        <vt:i4>0</vt:i4>
      </vt:variant>
      <vt:variant>
        <vt:i4>5</vt:i4>
      </vt:variant>
      <vt:variant>
        <vt:lpwstr/>
      </vt:variant>
      <vt:variant>
        <vt:lpwstr>_Toc145511584</vt:lpwstr>
      </vt:variant>
      <vt:variant>
        <vt:i4>2031664</vt:i4>
      </vt:variant>
      <vt:variant>
        <vt:i4>236</vt:i4>
      </vt:variant>
      <vt:variant>
        <vt:i4>0</vt:i4>
      </vt:variant>
      <vt:variant>
        <vt:i4>5</vt:i4>
      </vt:variant>
      <vt:variant>
        <vt:lpwstr/>
      </vt:variant>
      <vt:variant>
        <vt:lpwstr>_Toc145511583</vt:lpwstr>
      </vt:variant>
      <vt:variant>
        <vt:i4>2031664</vt:i4>
      </vt:variant>
      <vt:variant>
        <vt:i4>230</vt:i4>
      </vt:variant>
      <vt:variant>
        <vt:i4>0</vt:i4>
      </vt:variant>
      <vt:variant>
        <vt:i4>5</vt:i4>
      </vt:variant>
      <vt:variant>
        <vt:lpwstr/>
      </vt:variant>
      <vt:variant>
        <vt:lpwstr>_Toc145511582</vt:lpwstr>
      </vt:variant>
      <vt:variant>
        <vt:i4>2031664</vt:i4>
      </vt:variant>
      <vt:variant>
        <vt:i4>224</vt:i4>
      </vt:variant>
      <vt:variant>
        <vt:i4>0</vt:i4>
      </vt:variant>
      <vt:variant>
        <vt:i4>5</vt:i4>
      </vt:variant>
      <vt:variant>
        <vt:lpwstr/>
      </vt:variant>
      <vt:variant>
        <vt:lpwstr>_Toc145511581</vt:lpwstr>
      </vt:variant>
      <vt:variant>
        <vt:i4>2031664</vt:i4>
      </vt:variant>
      <vt:variant>
        <vt:i4>218</vt:i4>
      </vt:variant>
      <vt:variant>
        <vt:i4>0</vt:i4>
      </vt:variant>
      <vt:variant>
        <vt:i4>5</vt:i4>
      </vt:variant>
      <vt:variant>
        <vt:lpwstr/>
      </vt:variant>
      <vt:variant>
        <vt:lpwstr>_Toc145511580</vt:lpwstr>
      </vt:variant>
      <vt:variant>
        <vt:i4>1048624</vt:i4>
      </vt:variant>
      <vt:variant>
        <vt:i4>212</vt:i4>
      </vt:variant>
      <vt:variant>
        <vt:i4>0</vt:i4>
      </vt:variant>
      <vt:variant>
        <vt:i4>5</vt:i4>
      </vt:variant>
      <vt:variant>
        <vt:lpwstr/>
      </vt:variant>
      <vt:variant>
        <vt:lpwstr>_Toc145511579</vt:lpwstr>
      </vt:variant>
      <vt:variant>
        <vt:i4>1048624</vt:i4>
      </vt:variant>
      <vt:variant>
        <vt:i4>206</vt:i4>
      </vt:variant>
      <vt:variant>
        <vt:i4>0</vt:i4>
      </vt:variant>
      <vt:variant>
        <vt:i4>5</vt:i4>
      </vt:variant>
      <vt:variant>
        <vt:lpwstr/>
      </vt:variant>
      <vt:variant>
        <vt:lpwstr>_Toc145511578</vt:lpwstr>
      </vt:variant>
      <vt:variant>
        <vt:i4>1048624</vt:i4>
      </vt:variant>
      <vt:variant>
        <vt:i4>200</vt:i4>
      </vt:variant>
      <vt:variant>
        <vt:i4>0</vt:i4>
      </vt:variant>
      <vt:variant>
        <vt:i4>5</vt:i4>
      </vt:variant>
      <vt:variant>
        <vt:lpwstr/>
      </vt:variant>
      <vt:variant>
        <vt:lpwstr>_Toc145511577</vt:lpwstr>
      </vt:variant>
      <vt:variant>
        <vt:i4>1048624</vt:i4>
      </vt:variant>
      <vt:variant>
        <vt:i4>194</vt:i4>
      </vt:variant>
      <vt:variant>
        <vt:i4>0</vt:i4>
      </vt:variant>
      <vt:variant>
        <vt:i4>5</vt:i4>
      </vt:variant>
      <vt:variant>
        <vt:lpwstr/>
      </vt:variant>
      <vt:variant>
        <vt:lpwstr>_Toc145511576</vt:lpwstr>
      </vt:variant>
      <vt:variant>
        <vt:i4>1048624</vt:i4>
      </vt:variant>
      <vt:variant>
        <vt:i4>188</vt:i4>
      </vt:variant>
      <vt:variant>
        <vt:i4>0</vt:i4>
      </vt:variant>
      <vt:variant>
        <vt:i4>5</vt:i4>
      </vt:variant>
      <vt:variant>
        <vt:lpwstr/>
      </vt:variant>
      <vt:variant>
        <vt:lpwstr>_Toc145511575</vt:lpwstr>
      </vt:variant>
      <vt:variant>
        <vt:i4>1048624</vt:i4>
      </vt:variant>
      <vt:variant>
        <vt:i4>182</vt:i4>
      </vt:variant>
      <vt:variant>
        <vt:i4>0</vt:i4>
      </vt:variant>
      <vt:variant>
        <vt:i4>5</vt:i4>
      </vt:variant>
      <vt:variant>
        <vt:lpwstr/>
      </vt:variant>
      <vt:variant>
        <vt:lpwstr>_Toc145511574</vt:lpwstr>
      </vt:variant>
      <vt:variant>
        <vt:i4>1048624</vt:i4>
      </vt:variant>
      <vt:variant>
        <vt:i4>176</vt:i4>
      </vt:variant>
      <vt:variant>
        <vt:i4>0</vt:i4>
      </vt:variant>
      <vt:variant>
        <vt:i4>5</vt:i4>
      </vt:variant>
      <vt:variant>
        <vt:lpwstr/>
      </vt:variant>
      <vt:variant>
        <vt:lpwstr>_Toc145511573</vt:lpwstr>
      </vt:variant>
      <vt:variant>
        <vt:i4>1048624</vt:i4>
      </vt:variant>
      <vt:variant>
        <vt:i4>170</vt:i4>
      </vt:variant>
      <vt:variant>
        <vt:i4>0</vt:i4>
      </vt:variant>
      <vt:variant>
        <vt:i4>5</vt:i4>
      </vt:variant>
      <vt:variant>
        <vt:lpwstr/>
      </vt:variant>
      <vt:variant>
        <vt:lpwstr>_Toc145511572</vt:lpwstr>
      </vt:variant>
      <vt:variant>
        <vt:i4>1048624</vt:i4>
      </vt:variant>
      <vt:variant>
        <vt:i4>164</vt:i4>
      </vt:variant>
      <vt:variant>
        <vt:i4>0</vt:i4>
      </vt:variant>
      <vt:variant>
        <vt:i4>5</vt:i4>
      </vt:variant>
      <vt:variant>
        <vt:lpwstr/>
      </vt:variant>
      <vt:variant>
        <vt:lpwstr>_Toc145511571</vt:lpwstr>
      </vt:variant>
      <vt:variant>
        <vt:i4>1048624</vt:i4>
      </vt:variant>
      <vt:variant>
        <vt:i4>158</vt:i4>
      </vt:variant>
      <vt:variant>
        <vt:i4>0</vt:i4>
      </vt:variant>
      <vt:variant>
        <vt:i4>5</vt:i4>
      </vt:variant>
      <vt:variant>
        <vt:lpwstr/>
      </vt:variant>
      <vt:variant>
        <vt:lpwstr>_Toc145511570</vt:lpwstr>
      </vt:variant>
      <vt:variant>
        <vt:i4>1114160</vt:i4>
      </vt:variant>
      <vt:variant>
        <vt:i4>152</vt:i4>
      </vt:variant>
      <vt:variant>
        <vt:i4>0</vt:i4>
      </vt:variant>
      <vt:variant>
        <vt:i4>5</vt:i4>
      </vt:variant>
      <vt:variant>
        <vt:lpwstr/>
      </vt:variant>
      <vt:variant>
        <vt:lpwstr>_Toc145511569</vt:lpwstr>
      </vt:variant>
      <vt:variant>
        <vt:i4>1114160</vt:i4>
      </vt:variant>
      <vt:variant>
        <vt:i4>146</vt:i4>
      </vt:variant>
      <vt:variant>
        <vt:i4>0</vt:i4>
      </vt:variant>
      <vt:variant>
        <vt:i4>5</vt:i4>
      </vt:variant>
      <vt:variant>
        <vt:lpwstr/>
      </vt:variant>
      <vt:variant>
        <vt:lpwstr>_Toc145511568</vt:lpwstr>
      </vt:variant>
      <vt:variant>
        <vt:i4>1114160</vt:i4>
      </vt:variant>
      <vt:variant>
        <vt:i4>140</vt:i4>
      </vt:variant>
      <vt:variant>
        <vt:i4>0</vt:i4>
      </vt:variant>
      <vt:variant>
        <vt:i4>5</vt:i4>
      </vt:variant>
      <vt:variant>
        <vt:lpwstr/>
      </vt:variant>
      <vt:variant>
        <vt:lpwstr>_Toc145511567</vt:lpwstr>
      </vt:variant>
      <vt:variant>
        <vt:i4>1114160</vt:i4>
      </vt:variant>
      <vt:variant>
        <vt:i4>134</vt:i4>
      </vt:variant>
      <vt:variant>
        <vt:i4>0</vt:i4>
      </vt:variant>
      <vt:variant>
        <vt:i4>5</vt:i4>
      </vt:variant>
      <vt:variant>
        <vt:lpwstr/>
      </vt:variant>
      <vt:variant>
        <vt:lpwstr>_Toc145511566</vt:lpwstr>
      </vt:variant>
      <vt:variant>
        <vt:i4>1114160</vt:i4>
      </vt:variant>
      <vt:variant>
        <vt:i4>128</vt:i4>
      </vt:variant>
      <vt:variant>
        <vt:i4>0</vt:i4>
      </vt:variant>
      <vt:variant>
        <vt:i4>5</vt:i4>
      </vt:variant>
      <vt:variant>
        <vt:lpwstr/>
      </vt:variant>
      <vt:variant>
        <vt:lpwstr>_Toc145511565</vt:lpwstr>
      </vt:variant>
      <vt:variant>
        <vt:i4>1114160</vt:i4>
      </vt:variant>
      <vt:variant>
        <vt:i4>122</vt:i4>
      </vt:variant>
      <vt:variant>
        <vt:i4>0</vt:i4>
      </vt:variant>
      <vt:variant>
        <vt:i4>5</vt:i4>
      </vt:variant>
      <vt:variant>
        <vt:lpwstr/>
      </vt:variant>
      <vt:variant>
        <vt:lpwstr>_Toc145511564</vt:lpwstr>
      </vt:variant>
      <vt:variant>
        <vt:i4>1114160</vt:i4>
      </vt:variant>
      <vt:variant>
        <vt:i4>116</vt:i4>
      </vt:variant>
      <vt:variant>
        <vt:i4>0</vt:i4>
      </vt:variant>
      <vt:variant>
        <vt:i4>5</vt:i4>
      </vt:variant>
      <vt:variant>
        <vt:lpwstr/>
      </vt:variant>
      <vt:variant>
        <vt:lpwstr>_Toc145511563</vt:lpwstr>
      </vt:variant>
      <vt:variant>
        <vt:i4>1114160</vt:i4>
      </vt:variant>
      <vt:variant>
        <vt:i4>110</vt:i4>
      </vt:variant>
      <vt:variant>
        <vt:i4>0</vt:i4>
      </vt:variant>
      <vt:variant>
        <vt:i4>5</vt:i4>
      </vt:variant>
      <vt:variant>
        <vt:lpwstr/>
      </vt:variant>
      <vt:variant>
        <vt:lpwstr>_Toc145511562</vt:lpwstr>
      </vt:variant>
      <vt:variant>
        <vt:i4>1114160</vt:i4>
      </vt:variant>
      <vt:variant>
        <vt:i4>104</vt:i4>
      </vt:variant>
      <vt:variant>
        <vt:i4>0</vt:i4>
      </vt:variant>
      <vt:variant>
        <vt:i4>5</vt:i4>
      </vt:variant>
      <vt:variant>
        <vt:lpwstr/>
      </vt:variant>
      <vt:variant>
        <vt:lpwstr>_Toc145511561</vt:lpwstr>
      </vt:variant>
      <vt:variant>
        <vt:i4>1114160</vt:i4>
      </vt:variant>
      <vt:variant>
        <vt:i4>98</vt:i4>
      </vt:variant>
      <vt:variant>
        <vt:i4>0</vt:i4>
      </vt:variant>
      <vt:variant>
        <vt:i4>5</vt:i4>
      </vt:variant>
      <vt:variant>
        <vt:lpwstr/>
      </vt:variant>
      <vt:variant>
        <vt:lpwstr>_Toc145511560</vt:lpwstr>
      </vt:variant>
      <vt:variant>
        <vt:i4>1179696</vt:i4>
      </vt:variant>
      <vt:variant>
        <vt:i4>92</vt:i4>
      </vt:variant>
      <vt:variant>
        <vt:i4>0</vt:i4>
      </vt:variant>
      <vt:variant>
        <vt:i4>5</vt:i4>
      </vt:variant>
      <vt:variant>
        <vt:lpwstr/>
      </vt:variant>
      <vt:variant>
        <vt:lpwstr>_Toc145511559</vt:lpwstr>
      </vt:variant>
      <vt:variant>
        <vt:i4>1179696</vt:i4>
      </vt:variant>
      <vt:variant>
        <vt:i4>86</vt:i4>
      </vt:variant>
      <vt:variant>
        <vt:i4>0</vt:i4>
      </vt:variant>
      <vt:variant>
        <vt:i4>5</vt:i4>
      </vt:variant>
      <vt:variant>
        <vt:lpwstr/>
      </vt:variant>
      <vt:variant>
        <vt:lpwstr>_Toc145511558</vt:lpwstr>
      </vt:variant>
      <vt:variant>
        <vt:i4>1179696</vt:i4>
      </vt:variant>
      <vt:variant>
        <vt:i4>80</vt:i4>
      </vt:variant>
      <vt:variant>
        <vt:i4>0</vt:i4>
      </vt:variant>
      <vt:variant>
        <vt:i4>5</vt:i4>
      </vt:variant>
      <vt:variant>
        <vt:lpwstr/>
      </vt:variant>
      <vt:variant>
        <vt:lpwstr>_Toc145511557</vt:lpwstr>
      </vt:variant>
      <vt:variant>
        <vt:i4>1179696</vt:i4>
      </vt:variant>
      <vt:variant>
        <vt:i4>74</vt:i4>
      </vt:variant>
      <vt:variant>
        <vt:i4>0</vt:i4>
      </vt:variant>
      <vt:variant>
        <vt:i4>5</vt:i4>
      </vt:variant>
      <vt:variant>
        <vt:lpwstr/>
      </vt:variant>
      <vt:variant>
        <vt:lpwstr>_Toc145511556</vt:lpwstr>
      </vt:variant>
      <vt:variant>
        <vt:i4>1179696</vt:i4>
      </vt:variant>
      <vt:variant>
        <vt:i4>68</vt:i4>
      </vt:variant>
      <vt:variant>
        <vt:i4>0</vt:i4>
      </vt:variant>
      <vt:variant>
        <vt:i4>5</vt:i4>
      </vt:variant>
      <vt:variant>
        <vt:lpwstr/>
      </vt:variant>
      <vt:variant>
        <vt:lpwstr>_Toc145511555</vt:lpwstr>
      </vt:variant>
      <vt:variant>
        <vt:i4>1179696</vt:i4>
      </vt:variant>
      <vt:variant>
        <vt:i4>62</vt:i4>
      </vt:variant>
      <vt:variant>
        <vt:i4>0</vt:i4>
      </vt:variant>
      <vt:variant>
        <vt:i4>5</vt:i4>
      </vt:variant>
      <vt:variant>
        <vt:lpwstr/>
      </vt:variant>
      <vt:variant>
        <vt:lpwstr>_Toc145511554</vt:lpwstr>
      </vt:variant>
      <vt:variant>
        <vt:i4>1179696</vt:i4>
      </vt:variant>
      <vt:variant>
        <vt:i4>56</vt:i4>
      </vt:variant>
      <vt:variant>
        <vt:i4>0</vt:i4>
      </vt:variant>
      <vt:variant>
        <vt:i4>5</vt:i4>
      </vt:variant>
      <vt:variant>
        <vt:lpwstr/>
      </vt:variant>
      <vt:variant>
        <vt:lpwstr>_Toc145511553</vt:lpwstr>
      </vt:variant>
      <vt:variant>
        <vt:i4>1179696</vt:i4>
      </vt:variant>
      <vt:variant>
        <vt:i4>50</vt:i4>
      </vt:variant>
      <vt:variant>
        <vt:i4>0</vt:i4>
      </vt:variant>
      <vt:variant>
        <vt:i4>5</vt:i4>
      </vt:variant>
      <vt:variant>
        <vt:lpwstr/>
      </vt:variant>
      <vt:variant>
        <vt:lpwstr>_Toc145511552</vt:lpwstr>
      </vt:variant>
      <vt:variant>
        <vt:i4>1179696</vt:i4>
      </vt:variant>
      <vt:variant>
        <vt:i4>44</vt:i4>
      </vt:variant>
      <vt:variant>
        <vt:i4>0</vt:i4>
      </vt:variant>
      <vt:variant>
        <vt:i4>5</vt:i4>
      </vt:variant>
      <vt:variant>
        <vt:lpwstr/>
      </vt:variant>
      <vt:variant>
        <vt:lpwstr>_Toc145511551</vt:lpwstr>
      </vt:variant>
      <vt:variant>
        <vt:i4>1179696</vt:i4>
      </vt:variant>
      <vt:variant>
        <vt:i4>38</vt:i4>
      </vt:variant>
      <vt:variant>
        <vt:i4>0</vt:i4>
      </vt:variant>
      <vt:variant>
        <vt:i4>5</vt:i4>
      </vt:variant>
      <vt:variant>
        <vt:lpwstr/>
      </vt:variant>
      <vt:variant>
        <vt:lpwstr>_Toc145511550</vt:lpwstr>
      </vt:variant>
      <vt:variant>
        <vt:i4>1245232</vt:i4>
      </vt:variant>
      <vt:variant>
        <vt:i4>32</vt:i4>
      </vt:variant>
      <vt:variant>
        <vt:i4>0</vt:i4>
      </vt:variant>
      <vt:variant>
        <vt:i4>5</vt:i4>
      </vt:variant>
      <vt:variant>
        <vt:lpwstr/>
      </vt:variant>
      <vt:variant>
        <vt:lpwstr>_Toc145511549</vt:lpwstr>
      </vt:variant>
      <vt:variant>
        <vt:i4>1245232</vt:i4>
      </vt:variant>
      <vt:variant>
        <vt:i4>26</vt:i4>
      </vt:variant>
      <vt:variant>
        <vt:i4>0</vt:i4>
      </vt:variant>
      <vt:variant>
        <vt:i4>5</vt:i4>
      </vt:variant>
      <vt:variant>
        <vt:lpwstr/>
      </vt:variant>
      <vt:variant>
        <vt:lpwstr>_Toc145511548</vt:lpwstr>
      </vt:variant>
      <vt:variant>
        <vt:i4>1245232</vt:i4>
      </vt:variant>
      <vt:variant>
        <vt:i4>20</vt:i4>
      </vt:variant>
      <vt:variant>
        <vt:i4>0</vt:i4>
      </vt:variant>
      <vt:variant>
        <vt:i4>5</vt:i4>
      </vt:variant>
      <vt:variant>
        <vt:lpwstr/>
      </vt:variant>
      <vt:variant>
        <vt:lpwstr>_Toc145511547</vt:lpwstr>
      </vt:variant>
      <vt:variant>
        <vt:i4>1245232</vt:i4>
      </vt:variant>
      <vt:variant>
        <vt:i4>14</vt:i4>
      </vt:variant>
      <vt:variant>
        <vt:i4>0</vt:i4>
      </vt:variant>
      <vt:variant>
        <vt:i4>5</vt:i4>
      </vt:variant>
      <vt:variant>
        <vt:lpwstr/>
      </vt:variant>
      <vt:variant>
        <vt:lpwstr>_Toc145511546</vt:lpwstr>
      </vt:variant>
      <vt:variant>
        <vt:i4>1245232</vt:i4>
      </vt:variant>
      <vt:variant>
        <vt:i4>8</vt:i4>
      </vt:variant>
      <vt:variant>
        <vt:i4>0</vt:i4>
      </vt:variant>
      <vt:variant>
        <vt:i4>5</vt:i4>
      </vt:variant>
      <vt:variant>
        <vt:lpwstr/>
      </vt:variant>
      <vt:variant>
        <vt:lpwstr>_Toc145511545</vt:lpwstr>
      </vt:variant>
      <vt:variant>
        <vt:i4>1245232</vt:i4>
      </vt:variant>
      <vt:variant>
        <vt:i4>2</vt:i4>
      </vt:variant>
      <vt:variant>
        <vt:i4>0</vt:i4>
      </vt:variant>
      <vt:variant>
        <vt:i4>5</vt:i4>
      </vt:variant>
      <vt:variant>
        <vt:lpwstr/>
      </vt:variant>
      <vt:variant>
        <vt:lpwstr>_Toc145511544</vt:lpwstr>
      </vt:variant>
      <vt:variant>
        <vt:i4>655369</vt:i4>
      </vt:variant>
      <vt:variant>
        <vt:i4>150</vt:i4>
      </vt:variant>
      <vt:variant>
        <vt:i4>0</vt:i4>
      </vt:variant>
      <vt:variant>
        <vt:i4>5</vt:i4>
      </vt:variant>
      <vt:variant>
        <vt:lpwstr>https://www.ashfield.gov.uk/planning-building-control/building-control-regulations/self-build-custom-builds/self-build-custom-monitoring/</vt:lpwstr>
      </vt:variant>
      <vt:variant>
        <vt:lpwstr/>
      </vt:variant>
      <vt:variant>
        <vt:i4>5046274</vt:i4>
      </vt:variant>
      <vt:variant>
        <vt:i4>147</vt:i4>
      </vt:variant>
      <vt:variant>
        <vt:i4>0</vt:i4>
      </vt:variant>
      <vt:variant>
        <vt:i4>5</vt:i4>
      </vt:variant>
      <vt:variant>
        <vt:lpwstr>https://www.ashfield.gov.uk/planning-building-control/local-plan/</vt:lpwstr>
      </vt:variant>
      <vt:variant>
        <vt:lpwstr/>
      </vt:variant>
      <vt:variant>
        <vt:i4>4980806</vt:i4>
      </vt:variant>
      <vt:variant>
        <vt:i4>144</vt:i4>
      </vt:variant>
      <vt:variant>
        <vt:i4>0</vt:i4>
      </vt:variant>
      <vt:variant>
        <vt:i4>5</vt:i4>
      </vt:variant>
      <vt:variant>
        <vt:lpwstr>https://www.ashfield.gov.uk/your-council/strategies-plans-policies/housing-strategy-research/</vt:lpwstr>
      </vt:variant>
      <vt:variant>
        <vt:lpwstr/>
      </vt:variant>
      <vt:variant>
        <vt:i4>5046379</vt:i4>
      </vt:variant>
      <vt:variant>
        <vt:i4>141</vt:i4>
      </vt:variant>
      <vt:variant>
        <vt:i4>0</vt:i4>
      </vt:variant>
      <vt:variant>
        <vt:i4>5</vt:i4>
      </vt:variant>
      <vt:variant>
        <vt:lpwstr>https://assets.publishing.service.gov.uk/government/uploads/system/uploads/attachment_data/file/457420/Final_planning_and_travellers_policy.pdf</vt:lpwstr>
      </vt:variant>
      <vt:variant>
        <vt:lpwstr/>
      </vt:variant>
      <vt:variant>
        <vt:i4>5570583</vt:i4>
      </vt:variant>
      <vt:variant>
        <vt:i4>138</vt:i4>
      </vt:variant>
      <vt:variant>
        <vt:i4>0</vt:i4>
      </vt:variant>
      <vt:variant>
        <vt:i4>5</vt:i4>
      </vt:variant>
      <vt:variant>
        <vt:lpwstr>https://www.ashfield.gov.uk/media/xmhna3qg/natural_england_s_advice_notes_on_the_sherwood_ppspa__2014.pdf</vt:lpwstr>
      </vt:variant>
      <vt:variant>
        <vt:lpwstr/>
      </vt:variant>
      <vt:variant>
        <vt:i4>3014702</vt:i4>
      </vt:variant>
      <vt:variant>
        <vt:i4>135</vt:i4>
      </vt:variant>
      <vt:variant>
        <vt:i4>0</vt:i4>
      </vt:variant>
      <vt:variant>
        <vt:i4>5</vt:i4>
      </vt:variant>
      <vt:variant>
        <vt:lpwstr>https://www.ashfield.gov.uk/planning-building-control/development-management-documents/</vt:lpwstr>
      </vt:variant>
      <vt:variant>
        <vt:lpwstr/>
      </vt:variant>
      <vt:variant>
        <vt:i4>2359342</vt:i4>
      </vt:variant>
      <vt:variant>
        <vt:i4>132</vt:i4>
      </vt:variant>
      <vt:variant>
        <vt:i4>0</vt:i4>
      </vt:variant>
      <vt:variant>
        <vt:i4>5</vt:i4>
      </vt:variant>
      <vt:variant>
        <vt:lpwstr>https://www.gov.uk/government/publications/water-stressed-areas-2021-classification</vt:lpwstr>
      </vt:variant>
      <vt:variant>
        <vt:lpwstr/>
      </vt:variant>
      <vt:variant>
        <vt:i4>589851</vt:i4>
      </vt:variant>
      <vt:variant>
        <vt:i4>129</vt:i4>
      </vt:variant>
      <vt:variant>
        <vt:i4>0</vt:i4>
      </vt:variant>
      <vt:variant>
        <vt:i4>5</vt:i4>
      </vt:variant>
      <vt:variant>
        <vt:lpwstr>https://www.ashfield.gov.uk/business-licensing/support-into-work/towns-fund/</vt:lpwstr>
      </vt:variant>
      <vt:variant>
        <vt:lpwstr/>
      </vt:variant>
      <vt:variant>
        <vt:i4>3735653</vt:i4>
      </vt:variant>
      <vt:variant>
        <vt:i4>126</vt:i4>
      </vt:variant>
      <vt:variant>
        <vt:i4>0</vt:i4>
      </vt:variant>
      <vt:variant>
        <vt:i4>5</vt:i4>
      </vt:variant>
      <vt:variant>
        <vt:lpwstr>https://www.gedling.gov.uk/acs/</vt:lpwstr>
      </vt:variant>
      <vt:variant>
        <vt:lpwstr/>
      </vt:variant>
      <vt:variant>
        <vt:i4>2162741</vt:i4>
      </vt:variant>
      <vt:variant>
        <vt:i4>123</vt:i4>
      </vt:variant>
      <vt:variant>
        <vt:i4>0</vt:i4>
      </vt:variant>
      <vt:variant>
        <vt:i4>5</vt:i4>
      </vt:variant>
      <vt:variant>
        <vt:lpwstr>http://discoverashfield.co.uk/</vt:lpwstr>
      </vt:variant>
      <vt:variant>
        <vt:lpwstr/>
      </vt:variant>
      <vt:variant>
        <vt:i4>3145827</vt:i4>
      </vt:variant>
      <vt:variant>
        <vt:i4>120</vt:i4>
      </vt:variant>
      <vt:variant>
        <vt:i4>0</vt:i4>
      </vt:variant>
      <vt:variant>
        <vt:i4>5</vt:i4>
      </vt:variant>
      <vt:variant>
        <vt:lpwstr>https://www.ashfield.gov.uk/planning-building-control/local-plan/emerging-local-plan/local-plan-evidence-base/</vt:lpwstr>
      </vt:variant>
      <vt:variant>
        <vt:lpwstr/>
      </vt:variant>
      <vt:variant>
        <vt:i4>8126538</vt:i4>
      </vt:variant>
      <vt:variant>
        <vt:i4>117</vt:i4>
      </vt:variant>
      <vt:variant>
        <vt:i4>0</vt:i4>
      </vt:variant>
      <vt:variant>
        <vt:i4>5</vt:i4>
      </vt:variant>
      <vt:variant>
        <vt:lpwstr>https://www.gov.uk/government/uploads/system/uploads/attachment_data/file/457420/Final_planning_and_travellers_policy.pdf</vt:lpwstr>
      </vt:variant>
      <vt:variant>
        <vt:lpwstr/>
      </vt:variant>
      <vt:variant>
        <vt:i4>655369</vt:i4>
      </vt:variant>
      <vt:variant>
        <vt:i4>114</vt:i4>
      </vt:variant>
      <vt:variant>
        <vt:i4>0</vt:i4>
      </vt:variant>
      <vt:variant>
        <vt:i4>5</vt:i4>
      </vt:variant>
      <vt:variant>
        <vt:lpwstr>https://www.ashfield.gov.uk/planning-building-control/building-control-regulations/self-build-custom-builds/self-build-custom-monitoring/</vt:lpwstr>
      </vt:variant>
      <vt:variant>
        <vt:lpwstr/>
      </vt:variant>
      <vt:variant>
        <vt:i4>4718616</vt:i4>
      </vt:variant>
      <vt:variant>
        <vt:i4>111</vt:i4>
      </vt:variant>
      <vt:variant>
        <vt:i4>0</vt:i4>
      </vt:variant>
      <vt:variant>
        <vt:i4>5</vt:i4>
      </vt:variant>
      <vt:variant>
        <vt:lpwstr>https://www.ashfield.gov.uk/media/8d890976f713e6c/2020-11-10-greater-nottingham-and-ashfield_housing-needs-assessment_final.pdf</vt:lpwstr>
      </vt:variant>
      <vt:variant>
        <vt:lpwstr/>
      </vt:variant>
      <vt:variant>
        <vt:i4>589898</vt:i4>
      </vt:variant>
      <vt:variant>
        <vt:i4>108</vt:i4>
      </vt:variant>
      <vt:variant>
        <vt:i4>0</vt:i4>
      </vt:variant>
      <vt:variant>
        <vt:i4>5</vt:i4>
      </vt:variant>
      <vt:variant>
        <vt:lpwstr>https://www.ashfield.gov.uk/planning-building-control/local-plan/monitoring/</vt:lpwstr>
      </vt:variant>
      <vt:variant>
        <vt:lpwstr/>
      </vt:variant>
      <vt:variant>
        <vt:i4>2621503</vt:i4>
      </vt:variant>
      <vt:variant>
        <vt:i4>105</vt:i4>
      </vt:variant>
      <vt:variant>
        <vt:i4>0</vt:i4>
      </vt:variant>
      <vt:variant>
        <vt:i4>5</vt:i4>
      </vt:variant>
      <vt:variant>
        <vt:lpwstr>https://www.gov.uk/guidance/housing-and-economic-development-needs-assessments</vt:lpwstr>
      </vt:variant>
      <vt:variant>
        <vt:lpwstr/>
      </vt:variant>
      <vt:variant>
        <vt:i4>2621517</vt:i4>
      </vt:variant>
      <vt:variant>
        <vt:i4>102</vt:i4>
      </vt:variant>
      <vt:variant>
        <vt:i4>0</vt:i4>
      </vt:variant>
      <vt:variant>
        <vt:i4>5</vt:i4>
      </vt:variant>
      <vt:variant>
        <vt:lpwstr>https://www.udg.org.uk/sites/default/files/publications/files/14JULY20 BFL 2020 Brochure_3.pdf</vt:lpwstr>
      </vt:variant>
      <vt:variant>
        <vt:lpwstr/>
      </vt:variant>
      <vt:variant>
        <vt:i4>4456465</vt:i4>
      </vt:variant>
      <vt:variant>
        <vt:i4>99</vt:i4>
      </vt:variant>
      <vt:variant>
        <vt:i4>0</vt:i4>
      </vt:variant>
      <vt:variant>
        <vt:i4>5</vt:i4>
      </vt:variant>
      <vt:variant>
        <vt:lpwstr>https://www.gov.uk/government/publications/national-model-design-code</vt:lpwstr>
      </vt:variant>
      <vt:variant>
        <vt:lpwstr/>
      </vt:variant>
      <vt:variant>
        <vt:i4>3145778</vt:i4>
      </vt:variant>
      <vt:variant>
        <vt:i4>96</vt:i4>
      </vt:variant>
      <vt:variant>
        <vt:i4>0</vt:i4>
      </vt:variant>
      <vt:variant>
        <vt:i4>5</vt:i4>
      </vt:variant>
      <vt:variant>
        <vt:lpwstr>https://www.ashfield.gov.uk/planning-building-control/local-plan/sustainability-appraisal/</vt:lpwstr>
      </vt:variant>
      <vt:variant>
        <vt:lpwstr/>
      </vt:variant>
      <vt:variant>
        <vt:i4>589898</vt:i4>
      </vt:variant>
      <vt:variant>
        <vt:i4>93</vt:i4>
      </vt:variant>
      <vt:variant>
        <vt:i4>0</vt:i4>
      </vt:variant>
      <vt:variant>
        <vt:i4>5</vt:i4>
      </vt:variant>
      <vt:variant>
        <vt:lpwstr>https://www.ashfield.gov.uk/planning-building-control/local-plan/monitoring/</vt:lpwstr>
      </vt:variant>
      <vt:variant>
        <vt:lpwstr/>
      </vt:variant>
      <vt:variant>
        <vt:i4>3014702</vt:i4>
      </vt:variant>
      <vt:variant>
        <vt:i4>90</vt:i4>
      </vt:variant>
      <vt:variant>
        <vt:i4>0</vt:i4>
      </vt:variant>
      <vt:variant>
        <vt:i4>5</vt:i4>
      </vt:variant>
      <vt:variant>
        <vt:lpwstr>https://www.ashfield.gov.uk/planning-building-control/development-management-documents/</vt:lpwstr>
      </vt:variant>
      <vt:variant>
        <vt:lpwstr/>
      </vt:variant>
      <vt:variant>
        <vt:i4>589851</vt:i4>
      </vt:variant>
      <vt:variant>
        <vt:i4>87</vt:i4>
      </vt:variant>
      <vt:variant>
        <vt:i4>0</vt:i4>
      </vt:variant>
      <vt:variant>
        <vt:i4>5</vt:i4>
      </vt:variant>
      <vt:variant>
        <vt:lpwstr>https://www.ashfield.gov.uk/business-licensing/support-into-work/towns-fund/</vt:lpwstr>
      </vt:variant>
      <vt:variant>
        <vt:lpwstr/>
      </vt:variant>
      <vt:variant>
        <vt:i4>5177359</vt:i4>
      </vt:variant>
      <vt:variant>
        <vt:i4>84</vt:i4>
      </vt:variant>
      <vt:variant>
        <vt:i4>0</vt:i4>
      </vt:variant>
      <vt:variant>
        <vt:i4>5</vt:i4>
      </vt:variant>
      <vt:variant>
        <vt:lpwstr>https://www.ashfield.gov.uk/community-leisure/anti-social-behaviour-community-safety/</vt:lpwstr>
      </vt:variant>
      <vt:variant>
        <vt:lpwstr/>
      </vt:variant>
      <vt:variant>
        <vt:i4>3276922</vt:i4>
      </vt:variant>
      <vt:variant>
        <vt:i4>81</vt:i4>
      </vt:variant>
      <vt:variant>
        <vt:i4>0</vt:i4>
      </vt:variant>
      <vt:variant>
        <vt:i4>5</vt:i4>
      </vt:variant>
      <vt:variant>
        <vt:lpwstr>https://www.ashfield.gov.uk/your-council/strategies-plans-policies/housing-strategy-research/affordable-housing-delivery-strategy-2021-to-2023/</vt:lpwstr>
      </vt:variant>
      <vt:variant>
        <vt:lpwstr/>
      </vt:variant>
      <vt:variant>
        <vt:i4>589908</vt:i4>
      </vt:variant>
      <vt:variant>
        <vt:i4>78</vt:i4>
      </vt:variant>
      <vt:variant>
        <vt:i4>0</vt:i4>
      </vt:variant>
      <vt:variant>
        <vt:i4>5</vt:i4>
      </vt:variant>
      <vt:variant>
        <vt:lpwstr>https://www.ashfield.gov.uk/housing/housing-strategy-and-research/affordable-housing-delivery-strategy-2023-to-2025/</vt:lpwstr>
      </vt:variant>
      <vt:variant>
        <vt:lpwstr/>
      </vt:variant>
      <vt:variant>
        <vt:i4>6815798</vt:i4>
      </vt:variant>
      <vt:variant>
        <vt:i4>75</vt:i4>
      </vt:variant>
      <vt:variant>
        <vt:i4>0</vt:i4>
      </vt:variant>
      <vt:variant>
        <vt:i4>5</vt:i4>
      </vt:variant>
      <vt:variant>
        <vt:lpwstr>https://www.ashfield.gov.uk/media/8d850ae2a324a84/ashfield-and-mansfield-a-plan-for-growth-2017.pdf</vt:lpwstr>
      </vt:variant>
      <vt:variant>
        <vt:lpwstr/>
      </vt:variant>
      <vt:variant>
        <vt:i4>5963799</vt:i4>
      </vt:variant>
      <vt:variant>
        <vt:i4>72</vt:i4>
      </vt:variant>
      <vt:variant>
        <vt:i4>0</vt:i4>
      </vt:variant>
      <vt:variant>
        <vt:i4>5</vt:i4>
      </vt:variant>
      <vt:variant>
        <vt:lpwstr>https://www.ashfield.gov.uk/media/8d88f9438231a5e/social-value-policy.pdf</vt:lpwstr>
      </vt:variant>
      <vt:variant>
        <vt:lpwstr/>
      </vt:variant>
      <vt:variant>
        <vt:i4>7995452</vt:i4>
      </vt:variant>
      <vt:variant>
        <vt:i4>69</vt:i4>
      </vt:variant>
      <vt:variant>
        <vt:i4>0</vt:i4>
      </vt:variant>
      <vt:variant>
        <vt:i4>5</vt:i4>
      </vt:variant>
      <vt:variant>
        <vt:lpwstr>https://www.ashfield.gov.uk/your-council/strategies-plans-policies/</vt:lpwstr>
      </vt:variant>
      <vt:variant>
        <vt:lpwstr/>
      </vt:variant>
      <vt:variant>
        <vt:i4>1114124</vt:i4>
      </vt:variant>
      <vt:variant>
        <vt:i4>66</vt:i4>
      </vt:variant>
      <vt:variant>
        <vt:i4>0</vt:i4>
      </vt:variant>
      <vt:variant>
        <vt:i4>5</vt:i4>
      </vt:variant>
      <vt:variant>
        <vt:lpwstr>https://www.nottinghamshire.gov.uk/policy-library/38815/the-joint-health-and-wellbeing-strategy-for-2022-2026</vt:lpwstr>
      </vt:variant>
      <vt:variant>
        <vt:lpwstr/>
      </vt:variant>
      <vt:variant>
        <vt:i4>327748</vt:i4>
      </vt:variant>
      <vt:variant>
        <vt:i4>63</vt:i4>
      </vt:variant>
      <vt:variant>
        <vt:i4>0</vt:i4>
      </vt:variant>
      <vt:variant>
        <vt:i4>5</vt:i4>
      </vt:variant>
      <vt:variant>
        <vt:lpwstr>https://www.gov.uk/government/publications/hs2-safeguarding-for-developers-and-local-authorities</vt:lpwstr>
      </vt:variant>
      <vt:variant>
        <vt:lpwstr/>
      </vt:variant>
      <vt:variant>
        <vt:i4>7471224</vt:i4>
      </vt:variant>
      <vt:variant>
        <vt:i4>60</vt:i4>
      </vt:variant>
      <vt:variant>
        <vt:i4>0</vt:i4>
      </vt:variant>
      <vt:variant>
        <vt:i4>5</vt:i4>
      </vt:variant>
      <vt:variant>
        <vt:lpwstr>https://www.gov.uk/government/publications/integrated-rail-plan-for-the-north-and-the-midlands</vt:lpwstr>
      </vt:variant>
      <vt:variant>
        <vt:lpwstr/>
      </vt:variant>
      <vt:variant>
        <vt:i4>7929888</vt:i4>
      </vt:variant>
      <vt:variant>
        <vt:i4>57</vt:i4>
      </vt:variant>
      <vt:variant>
        <vt:i4>0</vt:i4>
      </vt:variant>
      <vt:variant>
        <vt:i4>5</vt:i4>
      </vt:variant>
      <vt:variant>
        <vt:lpwstr>https://www.lepnetwork.net/lep-activities/local-industrial-strategies/</vt:lpwstr>
      </vt:variant>
      <vt:variant>
        <vt:lpwstr/>
      </vt:variant>
      <vt:variant>
        <vt:i4>3801194</vt:i4>
      </vt:variant>
      <vt:variant>
        <vt:i4>54</vt:i4>
      </vt:variant>
      <vt:variant>
        <vt:i4>0</vt:i4>
      </vt:variant>
      <vt:variant>
        <vt:i4>5</vt:i4>
      </vt:variant>
      <vt:variant>
        <vt:lpwstr>https://www.nottinghamshire.gov.uk/transport/public-transport/plans-strategies-policies/local-transport-plan</vt:lpwstr>
      </vt:variant>
      <vt:variant>
        <vt:lpwstr>implementation</vt:lpwstr>
      </vt:variant>
      <vt:variant>
        <vt:i4>4194398</vt:i4>
      </vt:variant>
      <vt:variant>
        <vt:i4>51</vt:i4>
      </vt:variant>
      <vt:variant>
        <vt:i4>0</vt:i4>
      </vt:variant>
      <vt:variant>
        <vt:i4>5</vt:i4>
      </vt:variant>
      <vt:variant>
        <vt:lpwstr>https://www.un.org/sustainabledevelopment/sustainable-development-goals/</vt:lpwstr>
      </vt:variant>
      <vt:variant>
        <vt:lpwstr/>
      </vt:variant>
      <vt:variant>
        <vt:i4>7471214</vt:i4>
      </vt:variant>
      <vt:variant>
        <vt:i4>48</vt:i4>
      </vt:variant>
      <vt:variant>
        <vt:i4>0</vt:i4>
      </vt:variant>
      <vt:variant>
        <vt:i4>5</vt:i4>
      </vt:variant>
      <vt:variant>
        <vt:lpwstr>https://www.ashfield.gov.uk/planning-building-control/neighbourhood-plans/teversal-stanton-hill-skegby-neighbourhood-plan/</vt:lpwstr>
      </vt:variant>
      <vt:variant>
        <vt:lpwstr/>
      </vt:variant>
      <vt:variant>
        <vt:i4>393232</vt:i4>
      </vt:variant>
      <vt:variant>
        <vt:i4>45</vt:i4>
      </vt:variant>
      <vt:variant>
        <vt:i4>0</vt:i4>
      </vt:variant>
      <vt:variant>
        <vt:i4>5</vt:i4>
      </vt:variant>
      <vt:variant>
        <vt:lpwstr>https://www.ashfield.gov.uk/planning-building-control/neighbourhood-plans/jacksdale-underwood-selston-neighbourhood-plan/</vt:lpwstr>
      </vt:variant>
      <vt:variant>
        <vt:lpwstr/>
      </vt:variant>
      <vt:variant>
        <vt:i4>4587535</vt:i4>
      </vt:variant>
      <vt:variant>
        <vt:i4>42</vt:i4>
      </vt:variant>
      <vt:variant>
        <vt:i4>0</vt:i4>
      </vt:variant>
      <vt:variant>
        <vt:i4>5</vt:i4>
      </vt:variant>
      <vt:variant>
        <vt:lpwstr>https://www.mansfield.gov.uk/downloads/file/482/natural-england-s-advice-notes-on-the-sherwood-ppspa-2014</vt:lpwstr>
      </vt:variant>
      <vt:variant>
        <vt:lpwstr/>
      </vt:variant>
      <vt:variant>
        <vt:i4>5570584</vt:i4>
      </vt:variant>
      <vt:variant>
        <vt:i4>39</vt:i4>
      </vt:variant>
      <vt:variant>
        <vt:i4>0</vt:i4>
      </vt:variant>
      <vt:variant>
        <vt:i4>5</vt:i4>
      </vt:variant>
      <vt:variant>
        <vt:lpwstr>https://www.ons.gov.uk/peoplepopulationandcommunity/populationandmigration/populationestimates/datasets/populationestimatesforukenglandandwalesscotlandandnorthernireland</vt:lpwstr>
      </vt:variant>
      <vt:variant>
        <vt:lpwstr/>
      </vt:variant>
      <vt:variant>
        <vt:i4>3014702</vt:i4>
      </vt:variant>
      <vt:variant>
        <vt:i4>36</vt:i4>
      </vt:variant>
      <vt:variant>
        <vt:i4>0</vt:i4>
      </vt:variant>
      <vt:variant>
        <vt:i4>5</vt:i4>
      </vt:variant>
      <vt:variant>
        <vt:lpwstr>https://www.ashfield.gov.uk/planning-building-control/development-management-documents/</vt:lpwstr>
      </vt:variant>
      <vt:variant>
        <vt:lpwstr/>
      </vt:variant>
      <vt:variant>
        <vt:i4>7864382</vt:i4>
      </vt:variant>
      <vt:variant>
        <vt:i4>33</vt:i4>
      </vt:variant>
      <vt:variant>
        <vt:i4>0</vt:i4>
      </vt:variant>
      <vt:variant>
        <vt:i4>5</vt:i4>
      </vt:variant>
      <vt:variant>
        <vt:lpwstr>https://www.legislation.gov.uk/uksi/2017/1244/regulation/4/made</vt:lpwstr>
      </vt:variant>
      <vt:variant>
        <vt:lpwstr/>
      </vt:variant>
      <vt:variant>
        <vt:i4>4718670</vt:i4>
      </vt:variant>
      <vt:variant>
        <vt:i4>30</vt:i4>
      </vt:variant>
      <vt:variant>
        <vt:i4>0</vt:i4>
      </vt:variant>
      <vt:variant>
        <vt:i4>5</vt:i4>
      </vt:variant>
      <vt:variant>
        <vt:lpwstr>https://www.ashfield.gov.uk/planning-building-control/local-plan/emerging-local-plan/</vt:lpwstr>
      </vt:variant>
      <vt:variant>
        <vt:lpwstr/>
      </vt:variant>
      <vt:variant>
        <vt:i4>4718670</vt:i4>
      </vt:variant>
      <vt:variant>
        <vt:i4>27</vt:i4>
      </vt:variant>
      <vt:variant>
        <vt:i4>0</vt:i4>
      </vt:variant>
      <vt:variant>
        <vt:i4>5</vt:i4>
      </vt:variant>
      <vt:variant>
        <vt:lpwstr>https://www.ashfield.gov.uk/planning-building-control/local-plan/emerging-local-plan/</vt:lpwstr>
      </vt:variant>
      <vt:variant>
        <vt:lpwstr/>
      </vt:variant>
      <vt:variant>
        <vt:i4>458761</vt:i4>
      </vt:variant>
      <vt:variant>
        <vt:i4>24</vt:i4>
      </vt:variant>
      <vt:variant>
        <vt:i4>0</vt:i4>
      </vt:variant>
      <vt:variant>
        <vt:i4>5</vt:i4>
      </vt:variant>
      <vt:variant>
        <vt:lpwstr>https://www.ashfield.gov.uk/planning-building-control/local-plan/statement-of-community-involvement/</vt:lpwstr>
      </vt:variant>
      <vt:variant>
        <vt:lpwstr/>
      </vt:variant>
      <vt:variant>
        <vt:i4>3145827</vt:i4>
      </vt:variant>
      <vt:variant>
        <vt:i4>21</vt:i4>
      </vt:variant>
      <vt:variant>
        <vt:i4>0</vt:i4>
      </vt:variant>
      <vt:variant>
        <vt:i4>5</vt:i4>
      </vt:variant>
      <vt:variant>
        <vt:lpwstr>https://www.ashfield.gov.uk/planning-building-control/local-plan/emerging-local-plan/local-plan-evidence-base/</vt:lpwstr>
      </vt:variant>
      <vt:variant>
        <vt:lpwstr/>
      </vt:variant>
      <vt:variant>
        <vt:i4>5767249</vt:i4>
      </vt:variant>
      <vt:variant>
        <vt:i4>18</vt:i4>
      </vt:variant>
      <vt:variant>
        <vt:i4>0</vt:i4>
      </vt:variant>
      <vt:variant>
        <vt:i4>5</vt:i4>
      </vt:variant>
      <vt:variant>
        <vt:lpwstr>https://www.gov.uk/government/collections/planning-practice-guidance</vt:lpwstr>
      </vt:variant>
      <vt:variant>
        <vt:lpwstr/>
      </vt:variant>
      <vt:variant>
        <vt:i4>5636152</vt:i4>
      </vt:variant>
      <vt:variant>
        <vt:i4>15</vt:i4>
      </vt:variant>
      <vt:variant>
        <vt:i4>0</vt:i4>
      </vt:variant>
      <vt:variant>
        <vt:i4>5</vt:i4>
      </vt:variant>
      <vt:variant>
        <vt:lpwstr>https://assets.publishing.service.gov.uk/government/uploads/system/uploads/attachment_data/file/1182995/NPPF_Sept_23.pdf</vt:lpwstr>
      </vt:variant>
      <vt:variant>
        <vt:lpwstr/>
      </vt:variant>
      <vt:variant>
        <vt:i4>7209062</vt:i4>
      </vt:variant>
      <vt:variant>
        <vt:i4>12</vt:i4>
      </vt:variant>
      <vt:variant>
        <vt:i4>0</vt:i4>
      </vt:variant>
      <vt:variant>
        <vt:i4>5</vt:i4>
      </vt:variant>
      <vt:variant>
        <vt:lpwstr>https://www.nottinghamshire.gov.uk/planning-and-environment/minerals-local-plan/adopted-minerals-local-plan</vt:lpwstr>
      </vt:variant>
      <vt:variant>
        <vt:lpwstr/>
      </vt:variant>
      <vt:variant>
        <vt:i4>7209062</vt:i4>
      </vt:variant>
      <vt:variant>
        <vt:i4>9</vt:i4>
      </vt:variant>
      <vt:variant>
        <vt:i4>0</vt:i4>
      </vt:variant>
      <vt:variant>
        <vt:i4>5</vt:i4>
      </vt:variant>
      <vt:variant>
        <vt:lpwstr>https://www.nottinghamshire.gov.uk/planning-and-environment/minerals-local-plan/adopted-minerals-local-plan</vt:lpwstr>
      </vt:variant>
      <vt:variant>
        <vt:lpwstr/>
      </vt:variant>
      <vt:variant>
        <vt:i4>7012477</vt:i4>
      </vt:variant>
      <vt:variant>
        <vt:i4>6</vt:i4>
      </vt:variant>
      <vt:variant>
        <vt:i4>0</vt:i4>
      </vt:variant>
      <vt:variant>
        <vt:i4>5</vt:i4>
      </vt:variant>
      <vt:variant>
        <vt:lpwstr>https://www.nottinghamshire.gov.uk/planning-and-environment/waste-development-plan/adopted-waste-local-plan</vt:lpwstr>
      </vt:variant>
      <vt:variant>
        <vt:lpwstr/>
      </vt:variant>
      <vt:variant>
        <vt:i4>3276918</vt:i4>
      </vt:variant>
      <vt:variant>
        <vt:i4>3</vt:i4>
      </vt:variant>
      <vt:variant>
        <vt:i4>0</vt:i4>
      </vt:variant>
      <vt:variant>
        <vt:i4>5</vt:i4>
      </vt:variant>
      <vt:variant>
        <vt:lpwstr>https://www.nottinghamshire.gov.uk/planning-and-environment/waste-development-plan/waste-core-strategy</vt:lpwstr>
      </vt:variant>
      <vt:variant>
        <vt:lpwstr/>
      </vt:variant>
      <vt:variant>
        <vt:i4>7012477</vt:i4>
      </vt:variant>
      <vt:variant>
        <vt:i4>0</vt:i4>
      </vt:variant>
      <vt:variant>
        <vt:i4>0</vt:i4>
      </vt:variant>
      <vt:variant>
        <vt:i4>5</vt:i4>
      </vt:variant>
      <vt:variant>
        <vt:lpwstr>https://www.nottinghamshire.gov.uk/planning-and-environment/waste-development-plan/adopted-waste-local-plan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SHEFFIELD HALLAM UNIVERSITY</dc:title>
  <dc:subject/>
  <dc:creator>sedjn</dc:creator>
  <cp:keywords/>
  <dc:description/>
  <cp:lastModifiedBy>Sharon.Simcox</cp:lastModifiedBy>
  <cp:revision>2</cp:revision>
  <cp:lastPrinted>2026-03-04T01:18:00Z</cp:lastPrinted>
  <dcterms:created xsi:type="dcterms:W3CDTF">2026-06-16T09:55:00Z</dcterms:created>
  <dcterms:modified xsi:type="dcterms:W3CDTF">2026-06-16T09:55:00Z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4287800.00000000</vt:lpwstr>
  </property>
  <property fmtid="{D5CDD505-2E9C-101B-9397-08002B2CF9AE}" pid="3" name="ContentTypeId">
    <vt:lpwstr>0x010100746E2B146FD34140847B35400FF54AE3</vt:lpwstr>
  </property>
  <property fmtid="{D5CDD505-2E9C-101B-9397-08002B2CF9AE}" pid="4" name="MediaServiceImageTags">
    <vt:lpwstr/>
  </property>
</Properties>
</file>